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08" w:rsidRPr="00105508" w:rsidRDefault="00105508" w:rsidP="0010550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05508">
        <w:rPr>
          <w:rFonts w:ascii="黑体" w:eastAsia="黑体" w:hAnsi="黑体" w:hint="eastAsia"/>
          <w:sz w:val="32"/>
          <w:szCs w:val="32"/>
        </w:rPr>
        <w:t>附件1</w:t>
      </w:r>
    </w:p>
    <w:p w:rsidR="00105508" w:rsidRPr="00105508" w:rsidRDefault="00105508" w:rsidP="00105508">
      <w:pPr>
        <w:spacing w:line="720" w:lineRule="exact"/>
        <w:ind w:firstLineChars="200" w:firstLine="880"/>
        <w:contextualSpacing/>
        <w:mirrorIndents/>
        <w:jc w:val="center"/>
        <w:rPr>
          <w:rFonts w:ascii="方正小标宋简体" w:eastAsia="方正小标宋简体" w:hAnsi="宋体"/>
          <w:sz w:val="44"/>
          <w:szCs w:val="44"/>
        </w:rPr>
      </w:pPr>
      <w:r w:rsidRPr="00105508">
        <w:rPr>
          <w:rFonts w:ascii="方正小标宋简体" w:eastAsia="方正小标宋简体" w:hAnsi="宋体" w:hint="eastAsia"/>
          <w:sz w:val="44"/>
          <w:szCs w:val="44"/>
        </w:rPr>
        <w:t>造价咨询编审服务费标准</w:t>
      </w:r>
    </w:p>
    <w:p w:rsidR="00105508" w:rsidRPr="00105508" w:rsidRDefault="00105508" w:rsidP="00105508">
      <w:pPr>
        <w:spacing w:line="720" w:lineRule="exact"/>
        <w:ind w:firstLineChars="200" w:firstLine="880"/>
        <w:contextualSpacing/>
        <w:mirrorIndents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05508" w:rsidRPr="00105508" w:rsidRDefault="00105508" w:rsidP="007D20F3">
      <w:pPr>
        <w:spacing w:beforeLines="50" w:afterLines="50" w:line="500" w:lineRule="exact"/>
        <w:ind w:firstLineChars="200" w:firstLine="640"/>
        <w:contextualSpacing/>
        <w:mirrorIndents/>
        <w:rPr>
          <w:rFonts w:ascii="黑体" w:eastAsia="黑体" w:hAnsi="黑体"/>
          <w:sz w:val="32"/>
          <w:szCs w:val="32"/>
        </w:rPr>
      </w:pPr>
      <w:r w:rsidRPr="00105508">
        <w:rPr>
          <w:rFonts w:ascii="黑体" w:eastAsia="黑体" w:hAnsi="黑体" w:hint="eastAsia"/>
          <w:sz w:val="32"/>
          <w:szCs w:val="32"/>
        </w:rPr>
        <w:t>一、招标控制价（含工程量清单）编制服务费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1．费用按下列公式计算：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招标控制价(含工程量清单)编制服务费＝某工程的实际中标金额×</w:t>
      </w:r>
      <w:r w:rsidR="00511469" w:rsidRPr="003B01B5">
        <w:rPr>
          <w:rFonts w:ascii="仿宋" w:eastAsia="仿宋" w:hAnsi="仿宋" w:hint="eastAsia"/>
          <w:sz w:val="28"/>
          <w:szCs w:val="28"/>
        </w:rPr>
        <w:t>招标控制价(含工程量清单)编制</w:t>
      </w:r>
      <w:r w:rsidRPr="003B01B5">
        <w:rPr>
          <w:rFonts w:ascii="仿宋" w:eastAsia="仿宋" w:hAnsi="仿宋" w:hint="eastAsia"/>
          <w:sz w:val="28"/>
          <w:szCs w:val="28"/>
        </w:rPr>
        <w:t>服务费收费标准×30%（</w:t>
      </w:r>
      <w:r w:rsidRPr="003B01B5">
        <w:rPr>
          <w:rFonts w:ascii="仿宋" w:eastAsia="仿宋" w:hAnsi="仿宋"/>
          <w:color w:val="000000"/>
          <w:spacing w:val="20"/>
          <w:sz w:val="28"/>
          <w:szCs w:val="28"/>
        </w:rPr>
        <w:t>按差额定率累进法计算</w:t>
      </w:r>
      <w:r w:rsidRPr="003B01B5">
        <w:rPr>
          <w:rFonts w:ascii="仿宋" w:eastAsia="仿宋" w:hAnsi="仿宋" w:hint="eastAsia"/>
          <w:sz w:val="28"/>
          <w:szCs w:val="28"/>
        </w:rPr>
        <w:t>）。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2．若项目经2次</w:t>
      </w:r>
      <w:r w:rsidR="00CD5AF2" w:rsidRPr="003B01B5">
        <w:rPr>
          <w:rFonts w:ascii="仿宋" w:eastAsia="仿宋" w:hAnsi="仿宋" w:hint="eastAsia"/>
          <w:sz w:val="28"/>
          <w:szCs w:val="28"/>
        </w:rPr>
        <w:t>招标均</w:t>
      </w:r>
      <w:r w:rsidRPr="003B01B5">
        <w:rPr>
          <w:rFonts w:ascii="仿宋" w:eastAsia="仿宋" w:hAnsi="仿宋" w:hint="eastAsia"/>
          <w:sz w:val="28"/>
          <w:szCs w:val="28"/>
        </w:rPr>
        <w:t>流标后改为委托</w:t>
      </w:r>
      <w:r w:rsidR="00CD5AF2" w:rsidRPr="003B01B5">
        <w:rPr>
          <w:rFonts w:ascii="仿宋" w:eastAsia="仿宋" w:hAnsi="仿宋" w:hint="eastAsia"/>
          <w:sz w:val="28"/>
          <w:szCs w:val="28"/>
        </w:rPr>
        <w:t>或直接委托</w:t>
      </w:r>
      <w:r w:rsidRPr="003B01B5">
        <w:rPr>
          <w:rFonts w:ascii="仿宋" w:eastAsia="仿宋" w:hAnsi="仿宋" w:hint="eastAsia"/>
          <w:sz w:val="28"/>
          <w:szCs w:val="28"/>
        </w:rPr>
        <w:t>时，</w:t>
      </w:r>
      <w:r w:rsidR="00CD5AF2" w:rsidRPr="003B01B5">
        <w:rPr>
          <w:rFonts w:ascii="仿宋" w:eastAsia="仿宋" w:hAnsi="仿宋" w:hint="eastAsia"/>
          <w:sz w:val="28"/>
          <w:szCs w:val="28"/>
        </w:rPr>
        <w:t>上述公式中的“某</w:t>
      </w:r>
      <w:r w:rsidRPr="003B01B5">
        <w:rPr>
          <w:rFonts w:ascii="仿宋" w:eastAsia="仿宋" w:hAnsi="仿宋" w:hint="eastAsia"/>
          <w:sz w:val="28"/>
          <w:szCs w:val="28"/>
        </w:rPr>
        <w:t>工程的实际中标金额</w:t>
      </w:r>
      <w:r w:rsidR="00CD5AF2" w:rsidRPr="003B01B5">
        <w:rPr>
          <w:rFonts w:ascii="仿宋" w:eastAsia="仿宋" w:hAnsi="仿宋" w:hint="eastAsia"/>
          <w:sz w:val="28"/>
          <w:szCs w:val="28"/>
        </w:rPr>
        <w:t>”</w:t>
      </w:r>
      <w:r w:rsidRPr="003B01B5">
        <w:rPr>
          <w:rFonts w:ascii="仿宋" w:eastAsia="仿宋" w:hAnsi="仿宋" w:hint="eastAsia"/>
          <w:sz w:val="28"/>
          <w:szCs w:val="28"/>
        </w:rPr>
        <w:t>按委托合同金额计取。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bCs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3．</w:t>
      </w:r>
      <w:r w:rsidR="00511469" w:rsidRPr="003B01B5">
        <w:rPr>
          <w:rFonts w:ascii="仿宋" w:eastAsia="仿宋" w:hAnsi="仿宋" w:hint="eastAsia"/>
          <w:sz w:val="28"/>
          <w:szCs w:val="28"/>
        </w:rPr>
        <w:t>招标控制价(含工程量清单)编制</w:t>
      </w:r>
      <w:r w:rsidRPr="003B01B5">
        <w:rPr>
          <w:rFonts w:ascii="仿宋" w:eastAsia="仿宋" w:hAnsi="仿宋" w:hint="eastAsia"/>
          <w:sz w:val="28"/>
          <w:szCs w:val="28"/>
        </w:rPr>
        <w:t>服务费计费标准</w:t>
      </w:r>
      <w:r w:rsidRPr="003B01B5">
        <w:rPr>
          <w:rFonts w:ascii="仿宋" w:eastAsia="仿宋" w:hAnsi="仿宋" w:hint="eastAsia"/>
          <w:bCs/>
          <w:sz w:val="28"/>
          <w:szCs w:val="28"/>
        </w:rPr>
        <w:t>如下表：</w:t>
      </w:r>
    </w:p>
    <w:p w:rsidR="00105508" w:rsidRPr="003B01B5" w:rsidRDefault="00511469" w:rsidP="00105508">
      <w:pPr>
        <w:spacing w:line="600" w:lineRule="exact"/>
        <w:ind w:firstLine="200"/>
        <w:contextualSpacing/>
        <w:mirrorIndents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3B01B5">
        <w:rPr>
          <w:rFonts w:ascii="仿宋" w:eastAsia="仿宋" w:hAnsi="仿宋" w:hint="eastAsia"/>
          <w:b/>
          <w:color w:val="000000"/>
          <w:sz w:val="28"/>
          <w:szCs w:val="28"/>
        </w:rPr>
        <w:t>招标控制价(含工程量清单)编制</w:t>
      </w:r>
      <w:r w:rsidR="00105508" w:rsidRPr="003B01B5">
        <w:rPr>
          <w:rFonts w:ascii="仿宋" w:eastAsia="仿宋" w:hAnsi="仿宋"/>
          <w:b/>
          <w:color w:val="000000"/>
          <w:sz w:val="28"/>
          <w:szCs w:val="28"/>
        </w:rPr>
        <w:t>服务收费标准</w:t>
      </w:r>
    </w:p>
    <w:tbl>
      <w:tblPr>
        <w:tblW w:w="0" w:type="auto"/>
        <w:jc w:val="center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2"/>
        <w:gridCol w:w="1946"/>
        <w:gridCol w:w="1946"/>
      </w:tblGrid>
      <w:tr w:rsidR="003B01B5" w:rsidTr="003B01B5">
        <w:trPr>
          <w:trHeight w:val="905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5" w:rsidRDefault="003B01B5" w:rsidP="003B01B5">
            <w:pPr>
              <w:widowControl/>
              <w:spacing w:before="100" w:beforeAutospacing="1" w:after="100" w:afterAutospacing="1" w:line="320" w:lineRule="exact"/>
              <w:ind w:firstLine="46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　　服务类型</w:t>
            </w:r>
          </w:p>
          <w:p w:rsidR="003B01B5" w:rsidRDefault="003B01B5" w:rsidP="003B01B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中标金额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或修编审定工程造价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3B01B5">
            <w:pPr>
              <w:widowControl/>
              <w:spacing w:before="100" w:beforeAutospacing="1" w:after="100" w:afterAutospacing="1" w:line="320" w:lineRule="exact"/>
              <w:ind w:firstLine="454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工程招标</w:t>
            </w:r>
          </w:p>
          <w:p w:rsidR="003B01B5" w:rsidRDefault="003B01B5" w:rsidP="003B01B5">
            <w:pPr>
              <w:widowControl/>
              <w:spacing w:before="100" w:beforeAutospacing="1" w:after="100" w:afterAutospacing="1" w:line="32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费率（%）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3B01B5">
            <w:pPr>
              <w:widowControl/>
              <w:spacing w:before="100" w:beforeAutospacing="1" w:after="100" w:afterAutospacing="1" w:line="360" w:lineRule="auto"/>
              <w:ind w:firstLine="46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3B01B5" w:rsidTr="003B01B5">
        <w:trPr>
          <w:trHeight w:hRule="exact" w:val="45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100</w:t>
            </w:r>
            <w:r>
              <w:rPr>
                <w:rFonts w:ascii="宋体" w:hAnsi="宋体" w:hint="eastAsia"/>
                <w:color w:val="000000"/>
                <w:sz w:val="24"/>
              </w:rPr>
              <w:t>（含100）</w:t>
            </w:r>
            <w:r>
              <w:rPr>
                <w:rFonts w:ascii="宋体" w:hAnsi="宋体"/>
                <w:color w:val="000000"/>
                <w:sz w:val="24"/>
              </w:rPr>
              <w:t>以下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1.0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1B5" w:rsidRPr="003B01B5" w:rsidRDefault="003B01B5" w:rsidP="003B01B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01B5">
              <w:rPr>
                <w:rFonts w:asciiTheme="minorEastAsia" w:eastAsiaTheme="minorEastAsia" w:hAnsiTheme="minorEastAsia"/>
                <w:sz w:val="24"/>
                <w:szCs w:val="24"/>
              </w:rPr>
              <w:t>差额定率累进法计算</w:t>
            </w:r>
          </w:p>
        </w:tc>
      </w:tr>
      <w:tr w:rsidR="003B01B5" w:rsidTr="005779A4">
        <w:trPr>
          <w:trHeight w:hRule="exact" w:val="45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100-500</w:t>
            </w:r>
            <w:r>
              <w:rPr>
                <w:rFonts w:ascii="宋体" w:hAnsi="宋体" w:hint="eastAsia"/>
                <w:color w:val="000000"/>
                <w:sz w:val="24"/>
              </w:rPr>
              <w:t>（含500）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0.7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B01B5" w:rsidTr="006C1D0D">
        <w:trPr>
          <w:trHeight w:hRule="exact" w:val="45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500-1000</w:t>
            </w:r>
            <w:r>
              <w:rPr>
                <w:rFonts w:ascii="宋体" w:hAnsi="宋体" w:hint="eastAsia"/>
                <w:color w:val="000000"/>
                <w:sz w:val="24"/>
              </w:rPr>
              <w:t>（含1000）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0.55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B01B5" w:rsidTr="00B772F7">
        <w:trPr>
          <w:trHeight w:hRule="exact" w:val="45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1000-5000</w:t>
            </w:r>
            <w:r>
              <w:rPr>
                <w:rFonts w:ascii="宋体" w:hAnsi="宋体" w:hint="eastAsia"/>
                <w:color w:val="000000"/>
                <w:sz w:val="24"/>
              </w:rPr>
              <w:t>（含5000）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0.35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B01B5" w:rsidTr="002741C6">
        <w:trPr>
          <w:trHeight w:hRule="exact" w:val="45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5000-10000</w:t>
            </w:r>
            <w:r>
              <w:rPr>
                <w:rFonts w:ascii="宋体" w:hAnsi="宋体" w:hint="eastAsia"/>
                <w:color w:val="000000"/>
                <w:sz w:val="24"/>
              </w:rPr>
              <w:t>（含10000）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0.2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B01B5" w:rsidTr="00203802">
        <w:trPr>
          <w:trHeight w:hRule="exact" w:val="45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10000-50000</w:t>
            </w:r>
            <w:r>
              <w:rPr>
                <w:rFonts w:ascii="宋体" w:hAnsi="宋体" w:hint="eastAsia"/>
                <w:color w:val="000000"/>
                <w:sz w:val="24"/>
              </w:rPr>
              <w:t>（含50000）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0.</w:t>
            </w: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B01B5" w:rsidTr="00377A74">
        <w:trPr>
          <w:trHeight w:hRule="exact" w:val="45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50000-100000</w:t>
            </w:r>
            <w:r>
              <w:rPr>
                <w:rFonts w:ascii="宋体" w:hAnsi="宋体" w:hint="eastAsia"/>
                <w:color w:val="000000"/>
                <w:sz w:val="24"/>
              </w:rPr>
              <w:t>（含100000）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0.</w:t>
            </w: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B01B5" w:rsidTr="00BB4A80">
        <w:trPr>
          <w:trHeight w:hRule="exact" w:val="45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100000-500000</w:t>
            </w:r>
            <w:r>
              <w:rPr>
                <w:rFonts w:ascii="宋体" w:hAnsi="宋体" w:hint="eastAsia"/>
                <w:color w:val="000000"/>
                <w:sz w:val="24"/>
              </w:rPr>
              <w:t>（含500000）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0.</w:t>
            </w: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B01B5" w:rsidTr="00443D2E">
        <w:trPr>
          <w:trHeight w:hRule="exact" w:val="45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500000-1000000</w:t>
            </w:r>
            <w:r>
              <w:rPr>
                <w:rFonts w:ascii="宋体" w:hAnsi="宋体" w:hint="eastAsia"/>
                <w:color w:val="000000"/>
                <w:sz w:val="24"/>
              </w:rPr>
              <w:t>（含1000000）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0.</w:t>
            </w: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B01B5" w:rsidTr="00443D2E">
        <w:trPr>
          <w:trHeight w:hRule="exact" w:val="454"/>
          <w:jc w:val="center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010C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1000000以上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　　0.</w:t>
            </w: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B5" w:rsidRDefault="003B01B5" w:rsidP="001E74D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6253F" w:rsidRPr="003B01B5" w:rsidRDefault="0026253F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lastRenderedPageBreak/>
        <w:t>4．</w:t>
      </w:r>
      <w:r w:rsidR="00AA0F70" w:rsidRPr="003B01B5">
        <w:rPr>
          <w:rFonts w:ascii="仿宋" w:eastAsia="仿宋" w:hAnsi="仿宋" w:hint="eastAsia"/>
          <w:sz w:val="28"/>
          <w:szCs w:val="28"/>
        </w:rPr>
        <w:t>若只编制工程量清单则按招标控制价(含工程量清单)编制服务费的40%计费。</w:t>
      </w:r>
    </w:p>
    <w:p w:rsidR="0026253F" w:rsidRPr="003B01B5" w:rsidRDefault="00AA0F70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5.工程量清单更新咨询服务费计算公式：</w:t>
      </w:r>
    </w:p>
    <w:p w:rsidR="00AA0F70" w:rsidRPr="003B01B5" w:rsidRDefault="00AA0F70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工程量清单更新咨询服务费＝工程量清单更新完成后的审定工程造价×</w:t>
      </w:r>
      <w:r w:rsidR="00511469" w:rsidRPr="003B01B5">
        <w:rPr>
          <w:rFonts w:ascii="仿宋" w:eastAsia="仿宋" w:hAnsi="仿宋" w:hint="eastAsia"/>
          <w:sz w:val="28"/>
          <w:szCs w:val="28"/>
        </w:rPr>
        <w:t>招标控制价(含工程量清单)编制</w:t>
      </w:r>
      <w:r w:rsidRPr="003B01B5">
        <w:rPr>
          <w:rFonts w:ascii="仿宋" w:eastAsia="仿宋" w:hAnsi="仿宋" w:hint="eastAsia"/>
          <w:sz w:val="28"/>
          <w:szCs w:val="28"/>
        </w:rPr>
        <w:t>服务费收费标准×30%（</w:t>
      </w:r>
      <w:r w:rsidRPr="003B01B5">
        <w:rPr>
          <w:rFonts w:ascii="仿宋" w:eastAsia="仿宋" w:hAnsi="仿宋"/>
          <w:sz w:val="28"/>
          <w:szCs w:val="28"/>
        </w:rPr>
        <w:t>按差额定率累进法计算</w:t>
      </w:r>
      <w:r w:rsidRPr="003B01B5">
        <w:rPr>
          <w:rFonts w:ascii="仿宋" w:eastAsia="仿宋" w:hAnsi="仿宋" w:hint="eastAsia"/>
          <w:sz w:val="28"/>
          <w:szCs w:val="28"/>
        </w:rPr>
        <w:t>）</w:t>
      </w:r>
    </w:p>
    <w:p w:rsidR="00105508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 w:hint="eastAsia"/>
          <w:sz w:val="28"/>
          <w:szCs w:val="28"/>
        </w:rPr>
      </w:pPr>
      <w:r w:rsidRPr="003B01B5">
        <w:rPr>
          <w:rFonts w:ascii="仿宋" w:eastAsia="仿宋" w:hAnsi="仿宋"/>
          <w:sz w:val="28"/>
          <w:szCs w:val="28"/>
        </w:rPr>
        <w:t>注：</w:t>
      </w:r>
      <w:r w:rsidR="00AA0F70" w:rsidRPr="003B01B5">
        <w:rPr>
          <w:rFonts w:ascii="仿宋" w:eastAsia="仿宋" w:hAnsi="仿宋" w:hint="eastAsia"/>
          <w:sz w:val="28"/>
          <w:szCs w:val="28"/>
        </w:rPr>
        <w:t>招标控制价(含工程量清单)编制服务费</w:t>
      </w:r>
      <w:r w:rsidRPr="003B01B5">
        <w:rPr>
          <w:rFonts w:ascii="仿宋" w:eastAsia="仿宋" w:hAnsi="仿宋"/>
          <w:sz w:val="28"/>
          <w:szCs w:val="28"/>
        </w:rPr>
        <w:t>按</w:t>
      </w:r>
      <w:r w:rsidRPr="003B01B5">
        <w:rPr>
          <w:rFonts w:ascii="仿宋" w:eastAsia="仿宋" w:hAnsi="仿宋" w:hint="eastAsia"/>
          <w:sz w:val="28"/>
          <w:szCs w:val="28"/>
        </w:rPr>
        <w:t>实际中标金额为计算基数,</w:t>
      </w:r>
      <w:r w:rsidRPr="003B01B5">
        <w:rPr>
          <w:rFonts w:ascii="仿宋" w:eastAsia="仿宋" w:hAnsi="仿宋"/>
          <w:sz w:val="28"/>
          <w:szCs w:val="28"/>
        </w:rPr>
        <w:t xml:space="preserve"> 按差额定率累进法计算。</w:t>
      </w:r>
      <w:r w:rsidR="00AA0F70" w:rsidRPr="003B01B5">
        <w:rPr>
          <w:rFonts w:ascii="仿宋" w:eastAsia="仿宋" w:hAnsi="仿宋" w:hint="eastAsia"/>
          <w:sz w:val="28"/>
          <w:szCs w:val="28"/>
        </w:rPr>
        <w:t>工程量清单更新咨询服务费</w:t>
      </w:r>
      <w:r w:rsidR="00AA0F70" w:rsidRPr="003B01B5">
        <w:rPr>
          <w:rFonts w:ascii="仿宋" w:eastAsia="仿宋" w:hAnsi="仿宋"/>
          <w:sz w:val="28"/>
          <w:szCs w:val="28"/>
        </w:rPr>
        <w:t>按</w:t>
      </w:r>
      <w:r w:rsidR="00511469" w:rsidRPr="003B01B5">
        <w:rPr>
          <w:rFonts w:ascii="仿宋" w:eastAsia="仿宋" w:hAnsi="仿宋" w:hint="eastAsia"/>
          <w:sz w:val="28"/>
          <w:szCs w:val="28"/>
        </w:rPr>
        <w:t>单次委托的清单</w:t>
      </w:r>
      <w:r w:rsidR="00AA0F70" w:rsidRPr="003B01B5">
        <w:rPr>
          <w:rFonts w:ascii="仿宋" w:eastAsia="仿宋" w:hAnsi="仿宋" w:hint="eastAsia"/>
          <w:sz w:val="28"/>
          <w:szCs w:val="28"/>
        </w:rPr>
        <w:t>更新完成后的</w:t>
      </w:r>
      <w:r w:rsidR="0020487C" w:rsidRPr="003B01B5">
        <w:rPr>
          <w:rFonts w:ascii="仿宋" w:eastAsia="仿宋" w:hAnsi="仿宋" w:hint="eastAsia"/>
          <w:sz w:val="28"/>
          <w:szCs w:val="28"/>
        </w:rPr>
        <w:t>项目</w:t>
      </w:r>
      <w:r w:rsidR="00AA0F70" w:rsidRPr="003B01B5">
        <w:rPr>
          <w:rFonts w:ascii="仿宋" w:eastAsia="仿宋" w:hAnsi="仿宋" w:hint="eastAsia"/>
          <w:sz w:val="28"/>
          <w:szCs w:val="28"/>
        </w:rPr>
        <w:t>审定工程造价</w:t>
      </w:r>
      <w:r w:rsidR="00511469" w:rsidRPr="003B01B5">
        <w:rPr>
          <w:rFonts w:ascii="仿宋" w:eastAsia="仿宋" w:hAnsi="仿宋" w:hint="eastAsia"/>
          <w:sz w:val="28"/>
          <w:szCs w:val="28"/>
        </w:rPr>
        <w:t>总和</w:t>
      </w:r>
      <w:r w:rsidR="00AA0F70" w:rsidRPr="003B01B5">
        <w:rPr>
          <w:rFonts w:ascii="仿宋" w:eastAsia="仿宋" w:hAnsi="仿宋" w:hint="eastAsia"/>
          <w:sz w:val="28"/>
          <w:szCs w:val="28"/>
        </w:rPr>
        <w:t>为计算基数,</w:t>
      </w:r>
      <w:r w:rsidR="00AA0F70" w:rsidRPr="003B01B5">
        <w:rPr>
          <w:rFonts w:ascii="仿宋" w:eastAsia="仿宋" w:hAnsi="仿宋"/>
          <w:sz w:val="28"/>
          <w:szCs w:val="28"/>
        </w:rPr>
        <w:t xml:space="preserve"> 按差额定率累进法计算</w:t>
      </w:r>
      <w:r w:rsidR="00511469" w:rsidRPr="003B01B5">
        <w:rPr>
          <w:rFonts w:ascii="仿宋" w:eastAsia="仿宋" w:hAnsi="仿宋" w:hint="eastAsia"/>
          <w:sz w:val="28"/>
          <w:szCs w:val="28"/>
        </w:rPr>
        <w:t>，单次委托内容按《工程项目造价咨询委托通知书》列明的内容。</w:t>
      </w:r>
    </w:p>
    <w:p w:rsidR="007D20F3" w:rsidRPr="003B01B5" w:rsidRDefault="007D20F3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6．</w:t>
      </w:r>
      <w:r w:rsidR="00330A7C">
        <w:rPr>
          <w:rFonts w:ascii="仿宋" w:eastAsia="仿宋" w:hAnsi="仿宋" w:hint="eastAsia"/>
          <w:sz w:val="28"/>
          <w:szCs w:val="28"/>
        </w:rPr>
        <w:t>南宁市</w:t>
      </w:r>
      <w:r w:rsidRPr="007D20F3">
        <w:rPr>
          <w:rFonts w:ascii="仿宋" w:eastAsia="仿宋" w:hAnsi="仿宋" w:hint="eastAsia"/>
          <w:sz w:val="28"/>
          <w:szCs w:val="28"/>
        </w:rPr>
        <w:t>定点采购</w:t>
      </w:r>
      <w:r w:rsidR="00330A7C">
        <w:rPr>
          <w:rFonts w:ascii="仿宋" w:eastAsia="仿宋" w:hAnsi="仿宋" w:hint="eastAsia"/>
          <w:sz w:val="28"/>
          <w:szCs w:val="28"/>
        </w:rPr>
        <w:t>政府</w:t>
      </w:r>
      <w:r w:rsidRPr="007D20F3">
        <w:rPr>
          <w:rFonts w:ascii="仿宋" w:eastAsia="仿宋" w:hAnsi="仿宋" w:hint="eastAsia"/>
          <w:sz w:val="28"/>
          <w:szCs w:val="28"/>
        </w:rPr>
        <w:t>工程施工招标控制价编制计费按南宁市财政局文件执行。</w:t>
      </w:r>
    </w:p>
    <w:p w:rsidR="00105508" w:rsidRPr="00105508" w:rsidRDefault="00105508" w:rsidP="007D20F3">
      <w:pPr>
        <w:spacing w:beforeLines="50" w:afterLines="50" w:line="520" w:lineRule="exact"/>
        <w:ind w:firstLineChars="200" w:firstLine="640"/>
        <w:contextualSpacing/>
        <w:mirrorIndents/>
        <w:outlineLvl w:val="0"/>
        <w:rPr>
          <w:rFonts w:ascii="黑体" w:eastAsia="黑体" w:hAnsi="黑体"/>
          <w:sz w:val="32"/>
          <w:szCs w:val="32"/>
        </w:rPr>
      </w:pPr>
      <w:r w:rsidRPr="00105508">
        <w:rPr>
          <w:rFonts w:ascii="黑体" w:eastAsia="黑体" w:hAnsi="黑体" w:hint="eastAsia"/>
          <w:sz w:val="32"/>
          <w:szCs w:val="32"/>
        </w:rPr>
        <w:t>二、预算编审服务费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1．费用按下列公式计算：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预算编审服务费＝（某工程项目审定工程建安造价×</w:t>
      </w:r>
      <w:r w:rsidR="009827FF" w:rsidRPr="003B01B5">
        <w:rPr>
          <w:rFonts w:ascii="仿宋" w:eastAsia="仿宋" w:hAnsi="仿宋" w:hint="eastAsia"/>
          <w:sz w:val="28"/>
          <w:szCs w:val="28"/>
        </w:rPr>
        <w:t>预算编审</w:t>
      </w:r>
      <w:r w:rsidRPr="003B01B5">
        <w:rPr>
          <w:rFonts w:ascii="仿宋" w:eastAsia="仿宋" w:hAnsi="仿宋" w:hint="eastAsia"/>
          <w:sz w:val="28"/>
          <w:szCs w:val="28"/>
        </w:rPr>
        <w:t>服务费计费标准）×难度系数×（1-下浮系数）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（1）入库造价咨询单位的下浮系数均按</w:t>
      </w:r>
      <w:r w:rsidR="005249E8" w:rsidRPr="003B01B5">
        <w:rPr>
          <w:rFonts w:ascii="仿宋" w:eastAsia="仿宋" w:hAnsi="仿宋" w:hint="eastAsia"/>
          <w:sz w:val="28"/>
          <w:szCs w:val="28"/>
        </w:rPr>
        <w:t>5</w:t>
      </w:r>
      <w:r w:rsidRPr="003B01B5">
        <w:rPr>
          <w:rFonts w:ascii="仿宋" w:eastAsia="仿宋" w:hAnsi="仿宋" w:hint="eastAsia"/>
          <w:sz w:val="28"/>
          <w:szCs w:val="28"/>
        </w:rPr>
        <w:t>0%。</w:t>
      </w:r>
    </w:p>
    <w:p w:rsidR="009447F5" w:rsidRPr="003B01B5" w:rsidRDefault="00D3152C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（</w:t>
      </w:r>
      <w:r w:rsidR="005249E8" w:rsidRPr="003B01B5">
        <w:rPr>
          <w:rFonts w:ascii="仿宋" w:eastAsia="仿宋" w:hAnsi="仿宋" w:hint="eastAsia"/>
          <w:sz w:val="28"/>
          <w:szCs w:val="28"/>
        </w:rPr>
        <w:t>2</w:t>
      </w:r>
      <w:r w:rsidRPr="003B01B5">
        <w:rPr>
          <w:rFonts w:ascii="仿宋" w:eastAsia="仿宋" w:hAnsi="仿宋" w:hint="eastAsia"/>
          <w:sz w:val="28"/>
          <w:szCs w:val="28"/>
        </w:rPr>
        <w:t>）公式中“</w:t>
      </w:r>
      <w:r w:rsidR="009447F5" w:rsidRPr="003B01B5">
        <w:rPr>
          <w:rFonts w:ascii="仿宋" w:eastAsia="仿宋" w:hAnsi="仿宋" w:hint="eastAsia"/>
          <w:sz w:val="28"/>
          <w:szCs w:val="28"/>
        </w:rPr>
        <w:t>某工程项目审定工程建安造价</w:t>
      </w:r>
      <w:r w:rsidRPr="003B01B5">
        <w:rPr>
          <w:rFonts w:ascii="仿宋" w:eastAsia="仿宋" w:hAnsi="仿宋" w:hint="eastAsia"/>
          <w:sz w:val="28"/>
          <w:szCs w:val="28"/>
        </w:rPr>
        <w:t>”</w:t>
      </w:r>
      <w:r w:rsidR="009447F5" w:rsidRPr="003B01B5">
        <w:rPr>
          <w:rFonts w:ascii="仿宋" w:eastAsia="仿宋" w:hAnsi="仿宋" w:hint="eastAsia"/>
          <w:sz w:val="28"/>
          <w:szCs w:val="28"/>
        </w:rPr>
        <w:t>：</w:t>
      </w:r>
      <w:r w:rsidRPr="003B01B5">
        <w:rPr>
          <w:rFonts w:ascii="仿宋" w:eastAsia="仿宋" w:hAnsi="仿宋" w:hint="eastAsia"/>
          <w:sz w:val="28"/>
          <w:szCs w:val="28"/>
        </w:rPr>
        <w:t>是指</w:t>
      </w:r>
      <w:r w:rsidR="005249E8" w:rsidRPr="003B01B5">
        <w:rPr>
          <w:rFonts w:ascii="仿宋" w:eastAsia="仿宋" w:hAnsi="仿宋" w:hint="eastAsia"/>
          <w:sz w:val="28"/>
          <w:szCs w:val="28"/>
        </w:rPr>
        <w:t>单次委托</w:t>
      </w:r>
      <w:r w:rsidR="00F33313" w:rsidRPr="003B01B5">
        <w:rPr>
          <w:rFonts w:ascii="仿宋" w:eastAsia="仿宋" w:hAnsi="仿宋" w:hint="eastAsia"/>
          <w:sz w:val="28"/>
          <w:szCs w:val="28"/>
        </w:rPr>
        <w:t>的造价咨询服务完成后</w:t>
      </w:r>
      <w:r w:rsidRPr="003B01B5">
        <w:rPr>
          <w:rFonts w:ascii="仿宋" w:eastAsia="仿宋" w:hAnsi="仿宋" w:hint="eastAsia"/>
          <w:sz w:val="28"/>
          <w:szCs w:val="28"/>
        </w:rPr>
        <w:t>出具</w:t>
      </w:r>
      <w:r w:rsidR="005249E8" w:rsidRPr="003B01B5">
        <w:rPr>
          <w:rFonts w:ascii="仿宋" w:eastAsia="仿宋" w:hAnsi="仿宋" w:hint="eastAsia"/>
          <w:sz w:val="28"/>
          <w:szCs w:val="28"/>
        </w:rPr>
        <w:t>经甲方认可的</w:t>
      </w:r>
      <w:r w:rsidRPr="003B01B5">
        <w:rPr>
          <w:rFonts w:ascii="仿宋" w:eastAsia="仿宋" w:hAnsi="仿宋" w:hint="eastAsia"/>
          <w:sz w:val="28"/>
          <w:szCs w:val="28"/>
        </w:rPr>
        <w:t>正式咨询报告中的项目审定</w:t>
      </w:r>
      <w:r w:rsidR="005249E8" w:rsidRPr="003B01B5">
        <w:rPr>
          <w:rFonts w:ascii="仿宋" w:eastAsia="仿宋" w:hAnsi="仿宋" w:hint="eastAsia"/>
          <w:sz w:val="28"/>
          <w:szCs w:val="28"/>
        </w:rPr>
        <w:t>价</w:t>
      </w:r>
      <w:r w:rsidR="00F33313" w:rsidRPr="003B01B5">
        <w:rPr>
          <w:rFonts w:ascii="仿宋" w:eastAsia="仿宋" w:hAnsi="仿宋" w:hint="eastAsia"/>
          <w:sz w:val="28"/>
          <w:szCs w:val="28"/>
        </w:rPr>
        <w:t>的</w:t>
      </w:r>
      <w:r w:rsidR="005249E8" w:rsidRPr="003B01B5">
        <w:rPr>
          <w:rFonts w:ascii="仿宋" w:eastAsia="仿宋" w:hAnsi="仿宋" w:hint="eastAsia"/>
          <w:sz w:val="28"/>
          <w:szCs w:val="28"/>
        </w:rPr>
        <w:t>总和</w:t>
      </w:r>
      <w:r w:rsidRPr="003B01B5">
        <w:rPr>
          <w:rFonts w:ascii="仿宋" w:eastAsia="仿宋" w:hAnsi="仿宋" w:hint="eastAsia"/>
          <w:sz w:val="28"/>
          <w:szCs w:val="28"/>
        </w:rPr>
        <w:t>。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（</w:t>
      </w:r>
      <w:r w:rsidR="00F33313" w:rsidRPr="003B01B5">
        <w:rPr>
          <w:rFonts w:ascii="仿宋" w:eastAsia="仿宋" w:hAnsi="仿宋" w:hint="eastAsia"/>
          <w:sz w:val="28"/>
          <w:szCs w:val="28"/>
        </w:rPr>
        <w:t>3</w:t>
      </w:r>
      <w:r w:rsidRPr="003B01B5">
        <w:rPr>
          <w:rFonts w:ascii="仿宋" w:eastAsia="仿宋" w:hAnsi="仿宋" w:hint="eastAsia"/>
          <w:sz w:val="28"/>
          <w:szCs w:val="28"/>
        </w:rPr>
        <w:t>）甲方明确不属于乙方审核范围（内容）的事项，不计入</w:t>
      </w:r>
      <w:r w:rsidR="00B16C46" w:rsidRPr="003B01B5">
        <w:rPr>
          <w:rFonts w:ascii="仿宋" w:eastAsia="仿宋" w:hAnsi="仿宋" w:hint="eastAsia"/>
          <w:sz w:val="28"/>
          <w:szCs w:val="28"/>
        </w:rPr>
        <w:t>“某工程项目审定工程建安造价”</w:t>
      </w:r>
      <w:r w:rsidRPr="003B01B5">
        <w:rPr>
          <w:rFonts w:ascii="仿宋" w:eastAsia="仿宋" w:hAnsi="仿宋" w:hint="eastAsia"/>
          <w:sz w:val="28"/>
          <w:szCs w:val="28"/>
        </w:rPr>
        <w:t>。</w:t>
      </w:r>
    </w:p>
    <w:p w:rsidR="002E75A4" w:rsidRDefault="002E75A4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lastRenderedPageBreak/>
        <w:t>（4）</w:t>
      </w:r>
      <w:r w:rsidR="00D3152C" w:rsidRPr="003B01B5">
        <w:rPr>
          <w:rFonts w:ascii="仿宋" w:eastAsia="仿宋" w:hAnsi="仿宋" w:hint="eastAsia"/>
          <w:sz w:val="28"/>
          <w:szCs w:val="28"/>
        </w:rPr>
        <w:t>预算编审</w:t>
      </w:r>
      <w:r w:rsidRPr="003B01B5">
        <w:rPr>
          <w:rFonts w:ascii="仿宋" w:eastAsia="仿宋" w:hAnsi="仿宋" w:hint="eastAsia"/>
          <w:sz w:val="28"/>
          <w:szCs w:val="28"/>
        </w:rPr>
        <w:t>服务费计费标准如下表：</w:t>
      </w:r>
    </w:p>
    <w:p w:rsidR="003B01B5" w:rsidRPr="003B01B5" w:rsidRDefault="003B01B5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</w:p>
    <w:p w:rsidR="002E75A4" w:rsidRPr="003B01B5" w:rsidRDefault="00D3152C" w:rsidP="003B01B5">
      <w:pPr>
        <w:spacing w:line="600" w:lineRule="exact"/>
        <w:ind w:firstLine="200"/>
        <w:contextualSpacing/>
        <w:mirrorIndents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3B01B5">
        <w:rPr>
          <w:rFonts w:ascii="仿宋" w:eastAsia="仿宋" w:hAnsi="仿宋" w:hint="eastAsia"/>
          <w:b/>
          <w:color w:val="000000"/>
          <w:sz w:val="28"/>
          <w:szCs w:val="28"/>
        </w:rPr>
        <w:t>预算编审</w:t>
      </w:r>
      <w:r w:rsidR="002E75A4" w:rsidRPr="003B01B5">
        <w:rPr>
          <w:rFonts w:ascii="仿宋" w:eastAsia="仿宋" w:hAnsi="仿宋" w:hint="eastAsia"/>
          <w:b/>
          <w:color w:val="000000"/>
          <w:sz w:val="28"/>
          <w:szCs w:val="28"/>
        </w:rPr>
        <w:t>服务费计费标准表</w:t>
      </w: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4127"/>
        <w:gridCol w:w="1914"/>
        <w:gridCol w:w="1920"/>
      </w:tblGrid>
      <w:tr w:rsidR="002E75A4" w:rsidTr="00DE3B17">
        <w:trPr>
          <w:trHeight w:val="42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2E75A4" w:rsidP="00F0548D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ar-SA"/>
              </w:rPr>
            </w:pPr>
            <w:r w:rsidRPr="00EC5900">
              <w:rPr>
                <w:rFonts w:ascii="宋体" w:hAnsi="宋体" w:hint="eastAsia"/>
                <w:sz w:val="24"/>
                <w:szCs w:val="24"/>
              </w:rPr>
              <w:t>审定单项造价M（万元）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12146D" w:rsidP="00F0548D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ar-S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预算编审</w:t>
            </w:r>
            <w:r w:rsidR="002E75A4" w:rsidRPr="00EC5900">
              <w:rPr>
                <w:rFonts w:ascii="宋体" w:hAnsi="宋体" w:hint="eastAsia"/>
                <w:sz w:val="24"/>
                <w:szCs w:val="24"/>
              </w:rPr>
              <w:t>服务费计费标准（费率）</w:t>
            </w:r>
            <w:r w:rsidR="002E75A4" w:rsidRPr="00EC5900">
              <w:rPr>
                <w:rFonts w:ascii="宋体" w:hAnsi="宋体" w:cs="宋体" w:hint="eastAsia"/>
                <w:kern w:val="0"/>
                <w:sz w:val="24"/>
                <w:szCs w:val="24"/>
              </w:rPr>
              <w:t>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2E75A4" w:rsidP="00F0548D">
            <w:pPr>
              <w:widowControl/>
              <w:suppressAutoHyphens/>
              <w:jc w:val="center"/>
              <w:rPr>
                <w:rFonts w:ascii="宋体" w:hAnsi="宋体"/>
                <w:sz w:val="24"/>
                <w:szCs w:val="24"/>
                <w:lang w:eastAsia="ar-SA"/>
              </w:rPr>
            </w:pPr>
            <w:r w:rsidRPr="00EC5900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E75A4" w:rsidTr="00DE3B17">
        <w:trPr>
          <w:trHeight w:val="45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2E75A4" w:rsidP="00F0548D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ar-SA"/>
              </w:rPr>
            </w:pPr>
            <w:r w:rsidRPr="00EC59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  <w:r w:rsidR="00DE3B17" w:rsidRPr="00EC59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 w:rsidRPr="00EC5900"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DE3B17" w:rsidP="00F0548D">
            <w:pPr>
              <w:widowControl/>
              <w:suppressAutoHyphens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  <w:lang w:eastAsia="ar-SA"/>
              </w:rPr>
            </w:pPr>
            <w:r>
              <w:rPr>
                <w:rFonts w:ascii="宋体" w:hAnsi="宋体" w:cs="Courier New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3B01B5" w:rsidRDefault="005249E8" w:rsidP="003B01B5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 w:val="24"/>
                <w:szCs w:val="24"/>
                <w:lang w:eastAsia="ar-SA"/>
              </w:rPr>
            </w:pPr>
            <w:r w:rsidRPr="003B01B5">
              <w:rPr>
                <w:rFonts w:asciiTheme="minorEastAsia" w:eastAsiaTheme="minorEastAsia" w:hAnsiTheme="minorEastAsia"/>
                <w:sz w:val="24"/>
                <w:szCs w:val="24"/>
              </w:rPr>
              <w:t>按差额定率累进法计算</w:t>
            </w:r>
          </w:p>
        </w:tc>
      </w:tr>
      <w:tr w:rsidR="002E75A4" w:rsidTr="002E75A4">
        <w:trPr>
          <w:trHeight w:val="45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2E75A4" w:rsidP="00F0548D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ar-SA"/>
              </w:rPr>
            </w:pPr>
            <w:r w:rsidRPr="00EC5900">
              <w:rPr>
                <w:rFonts w:ascii="宋体" w:hAnsi="宋体" w:cs="宋体" w:hint="eastAsia"/>
                <w:kern w:val="0"/>
                <w:sz w:val="24"/>
                <w:szCs w:val="24"/>
              </w:rPr>
              <w:t>500</w:t>
            </w:r>
            <w:r w:rsidR="00DE3B17">
              <w:rPr>
                <w:rFonts w:ascii="宋体" w:hAnsi="宋体" w:cs="宋体" w:hint="eastAsia"/>
                <w:color w:val="000000"/>
                <w:kern w:val="0"/>
                <w:sz w:val="24"/>
              </w:rPr>
              <w:t>＜</w:t>
            </w:r>
            <w:r w:rsidRPr="00EC59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  <w:r w:rsidR="00DE3B17" w:rsidRPr="00EC59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 w:rsidRPr="00EC5900">
              <w:rPr>
                <w:rFonts w:ascii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DE3B17" w:rsidP="00F0548D">
            <w:pPr>
              <w:widowControl/>
              <w:suppressAutoHyphens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  <w:lang w:eastAsia="ar-SA"/>
              </w:rPr>
            </w:pPr>
            <w:r>
              <w:rPr>
                <w:rFonts w:ascii="宋体" w:hAnsi="宋体" w:cs="Courier New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Default="002E75A4" w:rsidP="00F0548D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lang w:eastAsia="ar-SA"/>
              </w:rPr>
            </w:pPr>
          </w:p>
        </w:tc>
      </w:tr>
      <w:tr w:rsidR="002E75A4" w:rsidTr="002E75A4">
        <w:trPr>
          <w:trHeight w:val="45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2E75A4" w:rsidP="00F0548D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ar-SA"/>
              </w:rPr>
            </w:pPr>
            <w:r w:rsidRPr="00EC5900">
              <w:rPr>
                <w:rFonts w:ascii="宋体" w:hAnsi="宋体" w:cs="宋体" w:hint="eastAsia"/>
                <w:kern w:val="0"/>
                <w:sz w:val="24"/>
                <w:szCs w:val="24"/>
              </w:rPr>
              <w:t>1000</w:t>
            </w:r>
            <w:r w:rsidR="00DE3B17">
              <w:rPr>
                <w:rFonts w:ascii="宋体" w:hAnsi="宋体" w:cs="宋体" w:hint="eastAsia"/>
                <w:color w:val="000000"/>
                <w:kern w:val="0"/>
                <w:sz w:val="24"/>
              </w:rPr>
              <w:t>＜</w:t>
            </w:r>
            <w:r w:rsidRPr="00EC59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  <w:r w:rsidR="00DE3B17" w:rsidRPr="00EC59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 w:rsidRPr="00EC5900">
              <w:rPr>
                <w:rFonts w:ascii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DE3B17" w:rsidP="00F0548D">
            <w:pPr>
              <w:widowControl/>
              <w:suppressAutoHyphens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  <w:lang w:eastAsia="ar-SA"/>
              </w:rPr>
            </w:pPr>
            <w:r>
              <w:rPr>
                <w:rFonts w:ascii="宋体" w:hAnsi="宋体" w:cs="Courier New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Default="002E75A4" w:rsidP="00F0548D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lang w:eastAsia="ar-SA"/>
              </w:rPr>
            </w:pPr>
          </w:p>
        </w:tc>
      </w:tr>
      <w:tr w:rsidR="002E75A4" w:rsidTr="002E75A4">
        <w:trPr>
          <w:trHeight w:val="45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2E75A4" w:rsidP="00F0548D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ar-SA"/>
              </w:rPr>
            </w:pPr>
            <w:r w:rsidRPr="00EC5900">
              <w:rPr>
                <w:rFonts w:ascii="宋体" w:hAnsi="宋体" w:cs="宋体" w:hint="eastAsia"/>
                <w:kern w:val="0"/>
                <w:sz w:val="24"/>
                <w:szCs w:val="24"/>
              </w:rPr>
              <w:t>5000</w:t>
            </w:r>
            <w:r w:rsidR="00DE3B17">
              <w:rPr>
                <w:rFonts w:ascii="宋体" w:hAnsi="宋体" w:cs="宋体" w:hint="eastAsia"/>
                <w:color w:val="000000"/>
                <w:kern w:val="0"/>
                <w:sz w:val="24"/>
              </w:rPr>
              <w:t>＜</w:t>
            </w:r>
            <w:r w:rsidRPr="00EC59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  <w:r w:rsidR="00DE3B17" w:rsidRPr="00EC59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 w:rsidRPr="00EC5900">
              <w:rPr>
                <w:rFonts w:ascii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DE3B17" w:rsidP="00F0548D">
            <w:pPr>
              <w:widowControl/>
              <w:suppressAutoHyphens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  <w:lang w:eastAsia="ar-SA"/>
              </w:rPr>
            </w:pPr>
            <w:r>
              <w:rPr>
                <w:rFonts w:ascii="宋体" w:hAnsi="宋体" w:cs="Courier New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Default="002E75A4" w:rsidP="00F0548D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lang w:eastAsia="ar-SA"/>
              </w:rPr>
            </w:pPr>
          </w:p>
        </w:tc>
      </w:tr>
      <w:tr w:rsidR="002E75A4" w:rsidTr="002E75A4">
        <w:trPr>
          <w:trHeight w:val="45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2E75A4" w:rsidP="00DE3B17"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ar-SA"/>
              </w:rPr>
            </w:pPr>
            <w:r w:rsidRPr="00EC5900">
              <w:rPr>
                <w:rFonts w:ascii="宋体" w:hAnsi="宋体" w:cs="宋体" w:hint="eastAsia"/>
                <w:kern w:val="0"/>
                <w:sz w:val="24"/>
                <w:szCs w:val="24"/>
              </w:rPr>
              <w:t>10000</w:t>
            </w:r>
            <w:r w:rsidR="00DE3B17">
              <w:rPr>
                <w:rFonts w:ascii="宋体" w:hAnsi="宋体" w:cs="宋体" w:hint="eastAsia"/>
                <w:color w:val="000000"/>
                <w:kern w:val="0"/>
                <w:sz w:val="24"/>
              </w:rPr>
              <w:t>＜</w:t>
            </w:r>
            <w:r w:rsidRPr="00EC590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Pr="00EC5900" w:rsidRDefault="00DE3B17" w:rsidP="00F0548D">
            <w:pPr>
              <w:widowControl/>
              <w:suppressAutoHyphens/>
              <w:jc w:val="center"/>
              <w:rPr>
                <w:rFonts w:ascii="宋体" w:hAnsi="宋体" w:cs="Courier New"/>
                <w:color w:val="000000"/>
                <w:kern w:val="0"/>
                <w:sz w:val="24"/>
                <w:szCs w:val="24"/>
                <w:lang w:eastAsia="ar-SA"/>
              </w:rPr>
            </w:pPr>
            <w:r>
              <w:rPr>
                <w:rFonts w:ascii="宋体" w:hAnsi="宋体" w:cs="Courier New" w:hint="eastAsia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A4" w:rsidRDefault="002E75A4" w:rsidP="00F0548D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lang w:eastAsia="ar-SA"/>
              </w:rPr>
            </w:pPr>
          </w:p>
        </w:tc>
      </w:tr>
    </w:tbl>
    <w:p w:rsidR="002E75A4" w:rsidRDefault="002E75A4" w:rsidP="002E75A4">
      <w:pPr>
        <w:spacing w:line="360" w:lineRule="auto"/>
        <w:ind w:firstLineChars="750" w:firstLine="1575"/>
        <w:jc w:val="center"/>
        <w:rPr>
          <w:rFonts w:ascii="宋体" w:hAnsi="宋体"/>
          <w:bCs/>
          <w:szCs w:val="21"/>
          <w:lang w:eastAsia="ar-SA"/>
        </w:rPr>
      </w:pPr>
    </w:p>
    <w:p w:rsidR="002E75A4" w:rsidRDefault="002E75A4" w:rsidP="002E75A4">
      <w:pPr>
        <w:spacing w:line="360" w:lineRule="auto"/>
        <w:ind w:firstLineChars="750" w:firstLine="1575"/>
        <w:jc w:val="center"/>
        <w:rPr>
          <w:rFonts w:ascii="宋体" w:hAnsi="宋体"/>
          <w:bCs/>
          <w:szCs w:val="21"/>
        </w:rPr>
      </w:pPr>
    </w:p>
    <w:p w:rsidR="002E75A4" w:rsidRDefault="002E75A4" w:rsidP="002E75A4">
      <w:pPr>
        <w:spacing w:line="360" w:lineRule="auto"/>
        <w:ind w:firstLineChars="750" w:firstLine="1575"/>
        <w:jc w:val="center"/>
        <w:rPr>
          <w:rFonts w:ascii="宋体" w:hAnsi="宋体"/>
          <w:bCs/>
          <w:szCs w:val="21"/>
        </w:rPr>
      </w:pPr>
    </w:p>
    <w:p w:rsidR="002E75A4" w:rsidRDefault="002E75A4" w:rsidP="00105508">
      <w:pPr>
        <w:spacing w:line="600" w:lineRule="exact"/>
        <w:ind w:firstLineChars="200" w:firstLine="640"/>
        <w:contextualSpacing/>
        <w:mirrorIndents/>
        <w:rPr>
          <w:rFonts w:ascii="仿宋" w:eastAsia="仿宋" w:hAnsi="仿宋"/>
          <w:sz w:val="32"/>
          <w:szCs w:val="32"/>
        </w:rPr>
      </w:pPr>
    </w:p>
    <w:p w:rsidR="002E75A4" w:rsidRDefault="002E75A4" w:rsidP="00105508">
      <w:pPr>
        <w:spacing w:line="600" w:lineRule="exact"/>
        <w:ind w:firstLineChars="200" w:firstLine="640"/>
        <w:contextualSpacing/>
        <w:mirrorIndents/>
        <w:rPr>
          <w:rFonts w:ascii="仿宋" w:eastAsia="仿宋" w:hAnsi="仿宋"/>
          <w:sz w:val="32"/>
          <w:szCs w:val="32"/>
        </w:rPr>
      </w:pPr>
    </w:p>
    <w:p w:rsidR="002E75A4" w:rsidRDefault="002E75A4" w:rsidP="00105508">
      <w:pPr>
        <w:spacing w:line="600" w:lineRule="exact"/>
        <w:ind w:firstLineChars="200" w:firstLine="640"/>
        <w:contextualSpacing/>
        <w:mirrorIndents/>
        <w:rPr>
          <w:rFonts w:ascii="仿宋" w:eastAsia="仿宋" w:hAnsi="仿宋"/>
          <w:sz w:val="32"/>
          <w:szCs w:val="32"/>
        </w:rPr>
      </w:pPr>
    </w:p>
    <w:p w:rsidR="002E75A4" w:rsidRDefault="002E75A4" w:rsidP="00105508">
      <w:pPr>
        <w:spacing w:line="600" w:lineRule="exact"/>
        <w:ind w:firstLineChars="200" w:firstLine="640"/>
        <w:contextualSpacing/>
        <w:mirrorIndents/>
        <w:rPr>
          <w:rFonts w:ascii="仿宋" w:eastAsia="仿宋" w:hAnsi="仿宋"/>
          <w:sz w:val="32"/>
          <w:szCs w:val="32"/>
        </w:rPr>
      </w:pPr>
    </w:p>
    <w:p w:rsidR="002E75A4" w:rsidRPr="00105508" w:rsidRDefault="002E75A4" w:rsidP="003B01B5">
      <w:pPr>
        <w:spacing w:line="360" w:lineRule="auto"/>
        <w:ind w:firstLineChars="200" w:firstLine="420"/>
        <w:contextualSpacing/>
        <w:mirrorIndents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Cs/>
          <w:szCs w:val="21"/>
        </w:rPr>
        <w:t>收费标准根据《广西壮族自治区物价局关于我区工程造价咨询服务收费标准的通知》（桂价费〔2013〕88号）综合确定）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2．难度系数根据实际情况在合同中约定如下：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（1）</w:t>
      </w:r>
      <w:r w:rsidR="009447F5" w:rsidRPr="003B01B5">
        <w:rPr>
          <w:rFonts w:ascii="仿宋" w:eastAsia="仿宋" w:hAnsi="仿宋" w:hint="eastAsia"/>
          <w:sz w:val="28"/>
          <w:szCs w:val="28"/>
        </w:rPr>
        <w:t>、</w:t>
      </w:r>
      <w:r w:rsidRPr="003B01B5">
        <w:rPr>
          <w:rFonts w:ascii="仿宋" w:eastAsia="仿宋" w:hAnsi="仿宋" w:hint="eastAsia"/>
          <w:sz w:val="28"/>
          <w:szCs w:val="28"/>
        </w:rPr>
        <w:t>水利、市政道路、排水、公路及土地整理项目、园林绿化工程，难度系数0.8；</w:t>
      </w:r>
    </w:p>
    <w:p w:rsidR="00105508" w:rsidRPr="003B01B5" w:rsidRDefault="00105508" w:rsidP="00696F9C">
      <w:pPr>
        <w:spacing w:line="360" w:lineRule="auto"/>
        <w:ind w:firstLineChars="200" w:firstLine="560"/>
        <w:contextualSpacing/>
        <w:mirrorIndents/>
        <w:outlineLvl w:val="0"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（2）桥梁和房建项目，难度系数为1.2；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（3）</w:t>
      </w:r>
      <w:r w:rsidR="007647C2" w:rsidRPr="003B01B5">
        <w:rPr>
          <w:rFonts w:ascii="仿宋" w:eastAsia="仿宋" w:hAnsi="仿宋" w:hint="eastAsia"/>
          <w:sz w:val="28"/>
          <w:szCs w:val="28"/>
        </w:rPr>
        <w:t>轨道交通</w:t>
      </w:r>
      <w:r w:rsidR="00F33313" w:rsidRPr="003B01B5">
        <w:rPr>
          <w:rFonts w:ascii="仿宋" w:eastAsia="仿宋" w:hAnsi="仿宋" w:hint="eastAsia"/>
          <w:sz w:val="28"/>
          <w:szCs w:val="28"/>
        </w:rPr>
        <w:t>（含</w:t>
      </w:r>
      <w:r w:rsidR="007647C2" w:rsidRPr="003B01B5">
        <w:rPr>
          <w:rFonts w:ascii="仿宋" w:eastAsia="仿宋" w:hAnsi="仿宋" w:hint="eastAsia"/>
          <w:sz w:val="28"/>
          <w:szCs w:val="28"/>
        </w:rPr>
        <w:t>车站、场段、管线迁改、交通疏解、机电安装、区间土建</w:t>
      </w:r>
      <w:r w:rsidR="00736E2E" w:rsidRPr="003B01B5">
        <w:rPr>
          <w:rFonts w:ascii="仿宋" w:eastAsia="仿宋" w:hAnsi="仿宋" w:hint="eastAsia"/>
          <w:sz w:val="28"/>
          <w:szCs w:val="28"/>
        </w:rPr>
        <w:t>等</w:t>
      </w:r>
      <w:r w:rsidR="00F33313" w:rsidRPr="003B01B5">
        <w:rPr>
          <w:rFonts w:ascii="仿宋" w:eastAsia="仿宋" w:hAnsi="仿宋" w:hint="eastAsia"/>
          <w:sz w:val="28"/>
          <w:szCs w:val="28"/>
        </w:rPr>
        <w:t>）</w:t>
      </w:r>
      <w:r w:rsidR="007647C2" w:rsidRPr="003B01B5">
        <w:rPr>
          <w:rFonts w:ascii="仿宋" w:eastAsia="仿宋" w:hAnsi="仿宋" w:hint="eastAsia"/>
          <w:sz w:val="28"/>
          <w:szCs w:val="28"/>
        </w:rPr>
        <w:t>项目</w:t>
      </w:r>
      <w:r w:rsidR="00736E2E" w:rsidRPr="003B01B5">
        <w:rPr>
          <w:rFonts w:ascii="仿宋" w:eastAsia="仿宋" w:hAnsi="仿宋" w:hint="eastAsia"/>
          <w:sz w:val="28"/>
          <w:szCs w:val="28"/>
        </w:rPr>
        <w:t>及</w:t>
      </w:r>
      <w:r w:rsidR="009447F5" w:rsidRPr="003B01B5">
        <w:rPr>
          <w:rFonts w:ascii="仿宋" w:eastAsia="仿宋" w:hAnsi="仿宋" w:hint="eastAsia"/>
          <w:sz w:val="28"/>
          <w:szCs w:val="28"/>
        </w:rPr>
        <w:t>其他</w:t>
      </w:r>
      <w:r w:rsidR="00C91E9D" w:rsidRPr="003B01B5">
        <w:rPr>
          <w:rFonts w:ascii="仿宋" w:eastAsia="仿宋" w:hAnsi="仿宋" w:hint="eastAsia"/>
          <w:sz w:val="28"/>
          <w:szCs w:val="28"/>
        </w:rPr>
        <w:t>项目</w:t>
      </w:r>
      <w:r w:rsidRPr="003B01B5">
        <w:rPr>
          <w:rFonts w:ascii="仿宋" w:eastAsia="仿宋" w:hAnsi="仿宋" w:hint="eastAsia"/>
          <w:sz w:val="28"/>
          <w:szCs w:val="28"/>
        </w:rPr>
        <w:t>的难度系数为1.0。</w:t>
      </w:r>
    </w:p>
    <w:p w:rsidR="00105508" w:rsidRPr="00105508" w:rsidRDefault="00105508" w:rsidP="007D20F3">
      <w:pPr>
        <w:spacing w:beforeLines="50" w:afterLines="50" w:line="520" w:lineRule="exact"/>
        <w:ind w:firstLineChars="200" w:firstLine="640"/>
        <w:contextualSpacing/>
        <w:mirrorIndents/>
        <w:outlineLvl w:val="0"/>
        <w:rPr>
          <w:rFonts w:ascii="黑体" w:eastAsia="黑体" w:hAnsi="黑体"/>
          <w:sz w:val="32"/>
          <w:szCs w:val="32"/>
        </w:rPr>
      </w:pPr>
      <w:r w:rsidRPr="00105508">
        <w:rPr>
          <w:rFonts w:ascii="黑体" w:eastAsia="黑体" w:hAnsi="黑体" w:hint="eastAsia"/>
          <w:sz w:val="32"/>
          <w:szCs w:val="32"/>
        </w:rPr>
        <w:t>三、结算编审服务费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（一）费用计算公式：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计算公式一：结算审核服务费＝某工程项目审定工程总造价×（1-下浮系数）×难度系数×分段计费系数×1.5‰</w:t>
      </w:r>
    </w:p>
    <w:p w:rsidR="00105508" w:rsidRPr="003B01B5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计算公式二：结算审核服务费＝某工程项目审查定案净减值×（1-下</w:t>
      </w:r>
      <w:r w:rsidRPr="003B01B5">
        <w:rPr>
          <w:rFonts w:ascii="仿宋" w:eastAsia="仿宋" w:hAnsi="仿宋" w:hint="eastAsia"/>
          <w:sz w:val="28"/>
          <w:szCs w:val="28"/>
        </w:rPr>
        <w:lastRenderedPageBreak/>
        <w:t>浮系数）×难度系数×分段计费系数×5％</w:t>
      </w:r>
    </w:p>
    <w:p w:rsidR="00105508" w:rsidRPr="003B01B5" w:rsidRDefault="007D20F3" w:rsidP="007D20F3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bookmarkStart w:id="0" w:name="OLE_LINK3"/>
      <w:bookmarkStart w:id="1" w:name="OLE_LINK4"/>
      <w:r w:rsidRPr="007D20F3">
        <w:rPr>
          <w:rFonts w:ascii="仿宋" w:eastAsia="仿宋" w:hAnsi="仿宋" w:hint="eastAsia"/>
          <w:sz w:val="28"/>
          <w:szCs w:val="28"/>
        </w:rPr>
        <w:t>以上两种结算审核服务费，支付时只能选择其中一种付费标准，按审核费高的付费，但最高结算审核服务费超过60万元的，按60万元计。结算审核服务费少于1000元的，按1000元计。</w:t>
      </w:r>
      <w:r w:rsidR="00105508" w:rsidRPr="003B01B5">
        <w:rPr>
          <w:rFonts w:ascii="仿宋" w:eastAsia="仿宋" w:hAnsi="仿宋" w:hint="eastAsia"/>
          <w:sz w:val="28"/>
          <w:szCs w:val="28"/>
        </w:rPr>
        <w:t>各类系数如下：</w:t>
      </w:r>
    </w:p>
    <w:bookmarkEnd w:id="0"/>
    <w:bookmarkEnd w:id="1"/>
    <w:p w:rsidR="00105508" w:rsidRPr="0065736E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65736E">
        <w:rPr>
          <w:rFonts w:ascii="仿宋" w:eastAsia="仿宋" w:hAnsi="仿宋" w:hint="eastAsia"/>
          <w:sz w:val="28"/>
          <w:szCs w:val="28"/>
        </w:rPr>
        <w:t>1.入库单位的下浮系数均为</w:t>
      </w:r>
      <w:r w:rsidR="007D20F3" w:rsidRPr="0065736E">
        <w:rPr>
          <w:rFonts w:ascii="仿宋" w:eastAsia="仿宋" w:hAnsi="仿宋" w:hint="eastAsia"/>
          <w:sz w:val="28"/>
          <w:szCs w:val="28"/>
        </w:rPr>
        <w:t>36.83</w:t>
      </w:r>
      <w:r w:rsidRPr="0065736E">
        <w:rPr>
          <w:rFonts w:ascii="仿宋" w:eastAsia="仿宋" w:hAnsi="仿宋" w:hint="eastAsia"/>
          <w:sz w:val="28"/>
          <w:szCs w:val="28"/>
        </w:rPr>
        <w:t>%。</w:t>
      </w:r>
    </w:p>
    <w:p w:rsidR="00105508" w:rsidRPr="0065736E" w:rsidRDefault="00105508" w:rsidP="003B01B5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65736E">
        <w:rPr>
          <w:rFonts w:ascii="仿宋" w:eastAsia="仿宋" w:hAnsi="仿宋" w:hint="eastAsia"/>
          <w:sz w:val="28"/>
          <w:szCs w:val="28"/>
        </w:rPr>
        <w:t>2.难度系数具体如下：</w:t>
      </w:r>
    </w:p>
    <w:p w:rsidR="007D20F3" w:rsidRPr="007D20F3" w:rsidRDefault="007D20F3" w:rsidP="007D20F3">
      <w:pPr>
        <w:spacing w:line="360" w:lineRule="auto"/>
        <w:ind w:firstLineChars="200" w:firstLine="560"/>
        <w:contextualSpacing/>
        <w:mirrorIndents/>
        <w:rPr>
          <w:rFonts w:ascii="仿宋" w:eastAsia="仿宋" w:hAnsi="仿宋" w:hint="eastAsia"/>
          <w:sz w:val="28"/>
          <w:szCs w:val="28"/>
        </w:rPr>
      </w:pPr>
      <w:r w:rsidRPr="007D20F3">
        <w:rPr>
          <w:rFonts w:ascii="仿宋" w:eastAsia="仿宋" w:hAnsi="仿宋" w:hint="eastAsia"/>
          <w:sz w:val="28"/>
          <w:szCs w:val="28"/>
        </w:rPr>
        <w:t>A、水利、市政道路、排水、公路及土地整理项目，难度系数0.9；</w:t>
      </w:r>
    </w:p>
    <w:p w:rsidR="007D20F3" w:rsidRPr="007D20F3" w:rsidRDefault="007D20F3" w:rsidP="007D20F3">
      <w:pPr>
        <w:spacing w:line="360" w:lineRule="auto"/>
        <w:ind w:firstLineChars="200" w:firstLine="560"/>
        <w:contextualSpacing/>
        <w:mirrorIndents/>
        <w:rPr>
          <w:rFonts w:ascii="仿宋" w:eastAsia="仿宋" w:hAnsi="仿宋" w:hint="eastAsia"/>
          <w:sz w:val="28"/>
          <w:szCs w:val="28"/>
        </w:rPr>
      </w:pPr>
      <w:r w:rsidRPr="007D20F3">
        <w:rPr>
          <w:rFonts w:ascii="仿宋" w:eastAsia="仿宋" w:hAnsi="仿宋" w:hint="eastAsia"/>
          <w:sz w:val="28"/>
          <w:szCs w:val="28"/>
        </w:rPr>
        <w:t>B、桥梁、房建、轨道交通和仿古建筑项目，难度系数为1.1；</w:t>
      </w:r>
    </w:p>
    <w:p w:rsidR="007D20F3" w:rsidRDefault="007D20F3" w:rsidP="007D20F3">
      <w:pPr>
        <w:spacing w:line="360" w:lineRule="auto"/>
        <w:ind w:firstLineChars="200" w:firstLine="560"/>
        <w:contextualSpacing/>
        <w:mirrorIndents/>
        <w:rPr>
          <w:rFonts w:ascii="仿宋" w:eastAsia="仿宋" w:hAnsi="仿宋" w:hint="eastAsia"/>
          <w:sz w:val="28"/>
          <w:szCs w:val="28"/>
        </w:rPr>
      </w:pPr>
      <w:r w:rsidRPr="007D20F3">
        <w:rPr>
          <w:rFonts w:ascii="仿宋" w:eastAsia="仿宋" w:hAnsi="仿宋" w:hint="eastAsia"/>
          <w:sz w:val="28"/>
          <w:szCs w:val="28"/>
        </w:rPr>
        <w:t>C、其余项目的难度系数为1.0。</w:t>
      </w:r>
    </w:p>
    <w:p w:rsidR="00105508" w:rsidRPr="003B01B5" w:rsidRDefault="00105508" w:rsidP="007D20F3">
      <w:pPr>
        <w:spacing w:line="360" w:lineRule="auto"/>
        <w:ind w:firstLineChars="200" w:firstLine="560"/>
        <w:contextualSpacing/>
        <w:mirrorIndents/>
        <w:rPr>
          <w:rFonts w:ascii="仿宋" w:eastAsia="仿宋" w:hAnsi="仿宋"/>
          <w:sz w:val="28"/>
          <w:szCs w:val="28"/>
        </w:rPr>
      </w:pPr>
      <w:r w:rsidRPr="003B01B5">
        <w:rPr>
          <w:rFonts w:ascii="仿宋" w:eastAsia="仿宋" w:hAnsi="仿宋" w:hint="eastAsia"/>
          <w:sz w:val="28"/>
          <w:szCs w:val="28"/>
        </w:rPr>
        <w:t>3.分段计费系数设置如下：</w:t>
      </w:r>
    </w:p>
    <w:p w:rsidR="007D20F3" w:rsidRPr="007D20F3" w:rsidRDefault="007D20F3" w:rsidP="007D20F3">
      <w:pPr>
        <w:spacing w:line="360" w:lineRule="auto"/>
        <w:ind w:firstLineChars="200" w:firstLine="560"/>
        <w:contextualSpacing/>
        <w:mirrorIndents/>
        <w:rPr>
          <w:rFonts w:ascii="仿宋" w:eastAsia="仿宋" w:hAnsi="仿宋" w:hint="eastAsia"/>
          <w:sz w:val="28"/>
          <w:szCs w:val="28"/>
        </w:rPr>
      </w:pPr>
      <w:r w:rsidRPr="007D20F3">
        <w:rPr>
          <w:rFonts w:ascii="仿宋" w:eastAsia="仿宋" w:hAnsi="仿宋" w:hint="eastAsia"/>
          <w:sz w:val="28"/>
          <w:szCs w:val="28"/>
        </w:rPr>
        <w:t>M（万元）为送审结算造价，则：M＜200，分段计费系数为1.2；200≤M＜500，分段计费系数为1.0；500≤M＜1000，分段计费系数为0.9；1000≤M＜3000，分段计费系数为0.85；3000≤M＜5000，分段计费系数为0.75；5000≤M＜10000，分段计费系数为0.7；10000≤M＜30000，分段计费系数公式一为0.68，公式二为0.6；30000≤M＜50000，分段计费系数公式一为0.60，公式二为0.45；50000≤M＜80000，分段计费系数为公式一为0.55，公式二为0.3；80000≤M＜100000，分段计费系数公式一为0.53，公式二为0.25；M≥100000,分段计费系数公式一为0.50，公式二为0.20。</w:t>
      </w:r>
    </w:p>
    <w:sectPr w:rsidR="007D20F3" w:rsidRPr="007D20F3" w:rsidSect="00C25151">
      <w:footerReference w:type="even" r:id="rId6"/>
      <w:footerReference w:type="default" r:id="rId7"/>
      <w:pgSz w:w="11906" w:h="16838"/>
      <w:pgMar w:top="1985" w:right="1418" w:bottom="158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72" w:rsidRDefault="00361A72" w:rsidP="00105508">
      <w:r>
        <w:separator/>
      </w:r>
    </w:p>
  </w:endnote>
  <w:endnote w:type="continuationSeparator" w:id="1">
    <w:p w:rsidR="00361A72" w:rsidRDefault="00361A72" w:rsidP="0010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3543"/>
      <w:docPartObj>
        <w:docPartGallery w:val="Page Numbers (Bottom of Page)"/>
        <w:docPartUnique/>
      </w:docPartObj>
    </w:sdtPr>
    <w:sdtContent>
      <w:p w:rsidR="006564FC" w:rsidRDefault="00307FC2">
        <w:pPr>
          <w:pStyle w:val="a4"/>
          <w:jc w:val="center"/>
        </w:pPr>
        <w:fldSimple w:instr=" PAGE   \* MERGEFORMAT ">
          <w:r w:rsidR="0065736E" w:rsidRPr="0065736E">
            <w:rPr>
              <w:noProof/>
              <w:lang w:val="zh-CN"/>
            </w:rPr>
            <w:t>-</w:t>
          </w:r>
          <w:r w:rsidR="0065736E">
            <w:rPr>
              <w:noProof/>
            </w:rPr>
            <w:t xml:space="preserve"> 4 -</w:t>
          </w:r>
        </w:fldSimple>
      </w:p>
    </w:sdtContent>
  </w:sdt>
  <w:p w:rsidR="00C25151" w:rsidRDefault="00C251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3542"/>
      <w:docPartObj>
        <w:docPartGallery w:val="Page Numbers (Bottom of Page)"/>
        <w:docPartUnique/>
      </w:docPartObj>
    </w:sdtPr>
    <w:sdtContent>
      <w:p w:rsidR="006564FC" w:rsidRDefault="00307FC2">
        <w:pPr>
          <w:pStyle w:val="a4"/>
          <w:jc w:val="center"/>
        </w:pPr>
        <w:fldSimple w:instr=" PAGE   \* MERGEFORMAT ">
          <w:r w:rsidR="00406DA5" w:rsidRPr="00406DA5">
            <w:rPr>
              <w:noProof/>
              <w:lang w:val="zh-CN"/>
            </w:rPr>
            <w:t>-</w:t>
          </w:r>
          <w:r w:rsidR="00406DA5">
            <w:rPr>
              <w:noProof/>
            </w:rPr>
            <w:t xml:space="preserve"> 3 -</w:t>
          </w:r>
        </w:fldSimple>
      </w:p>
    </w:sdtContent>
  </w:sdt>
  <w:p w:rsidR="00C25151" w:rsidRDefault="00C251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72" w:rsidRDefault="00361A72" w:rsidP="00105508">
      <w:r>
        <w:separator/>
      </w:r>
    </w:p>
  </w:footnote>
  <w:footnote w:type="continuationSeparator" w:id="1">
    <w:p w:rsidR="00361A72" w:rsidRDefault="00361A72" w:rsidP="00105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508"/>
    <w:rsid w:val="00023D89"/>
    <w:rsid w:val="00044E58"/>
    <w:rsid w:val="00071C79"/>
    <w:rsid w:val="0010517A"/>
    <w:rsid w:val="00105508"/>
    <w:rsid w:val="0012146D"/>
    <w:rsid w:val="00130FC5"/>
    <w:rsid w:val="00167C48"/>
    <w:rsid w:val="001732EA"/>
    <w:rsid w:val="001741D5"/>
    <w:rsid w:val="00174BB3"/>
    <w:rsid w:val="00194408"/>
    <w:rsid w:val="001E74DB"/>
    <w:rsid w:val="002024CA"/>
    <w:rsid w:val="0020487C"/>
    <w:rsid w:val="0022140B"/>
    <w:rsid w:val="00240430"/>
    <w:rsid w:val="0026253F"/>
    <w:rsid w:val="002E75A4"/>
    <w:rsid w:val="00303C28"/>
    <w:rsid w:val="00307FC2"/>
    <w:rsid w:val="00330A7C"/>
    <w:rsid w:val="00361A72"/>
    <w:rsid w:val="003B01B5"/>
    <w:rsid w:val="00406DA5"/>
    <w:rsid w:val="004D4F82"/>
    <w:rsid w:val="004E63BD"/>
    <w:rsid w:val="00507E9B"/>
    <w:rsid w:val="00511469"/>
    <w:rsid w:val="005249E8"/>
    <w:rsid w:val="005500E7"/>
    <w:rsid w:val="00554E23"/>
    <w:rsid w:val="005C163D"/>
    <w:rsid w:val="00625068"/>
    <w:rsid w:val="006564FC"/>
    <w:rsid w:val="0065736E"/>
    <w:rsid w:val="006774FB"/>
    <w:rsid w:val="00696F9C"/>
    <w:rsid w:val="006A3A3E"/>
    <w:rsid w:val="00736E2E"/>
    <w:rsid w:val="00763672"/>
    <w:rsid w:val="007647C2"/>
    <w:rsid w:val="007D0343"/>
    <w:rsid w:val="007D20F3"/>
    <w:rsid w:val="007E0D99"/>
    <w:rsid w:val="008213A2"/>
    <w:rsid w:val="00882C1C"/>
    <w:rsid w:val="00897C84"/>
    <w:rsid w:val="008D50D8"/>
    <w:rsid w:val="008D7087"/>
    <w:rsid w:val="009447F5"/>
    <w:rsid w:val="0096008D"/>
    <w:rsid w:val="009827FF"/>
    <w:rsid w:val="009C1479"/>
    <w:rsid w:val="009E2F49"/>
    <w:rsid w:val="00A87F38"/>
    <w:rsid w:val="00AA0F70"/>
    <w:rsid w:val="00AC077B"/>
    <w:rsid w:val="00AD2D58"/>
    <w:rsid w:val="00B16C46"/>
    <w:rsid w:val="00B175CE"/>
    <w:rsid w:val="00C10DAA"/>
    <w:rsid w:val="00C25151"/>
    <w:rsid w:val="00C257AA"/>
    <w:rsid w:val="00C86A66"/>
    <w:rsid w:val="00C91E9D"/>
    <w:rsid w:val="00C91FF9"/>
    <w:rsid w:val="00CD5AF2"/>
    <w:rsid w:val="00D3152C"/>
    <w:rsid w:val="00DB2E25"/>
    <w:rsid w:val="00DB48E6"/>
    <w:rsid w:val="00DE3B17"/>
    <w:rsid w:val="00E5295C"/>
    <w:rsid w:val="00EB1F40"/>
    <w:rsid w:val="00EC5900"/>
    <w:rsid w:val="00F319F0"/>
    <w:rsid w:val="00F33313"/>
    <w:rsid w:val="00F90C2C"/>
    <w:rsid w:val="00FA22F2"/>
    <w:rsid w:val="00FD2769"/>
    <w:rsid w:val="00FE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508"/>
    <w:rPr>
      <w:sz w:val="18"/>
      <w:szCs w:val="18"/>
    </w:rPr>
  </w:style>
  <w:style w:type="character" w:customStyle="1" w:styleId="Char1">
    <w:name w:val="纯文本 Char1"/>
    <w:aliases w:val="普通文字1 Char,普通文字2 Char,普通文字3 Char,普通文字4 Char,普通文字5 Char,普通文字6 Char,普通文字11 Char,普通文字21 Char,普通文字31 Char,普通文字41 Char,普通文字7 Char,普通文字 Char Char1,纯文本 Char1 Char Char Char,纯文本 Char Char Char Char Char,纯文本 Char Char1 Char,纯文本 Char1 Char Char1,小 Char"/>
    <w:basedOn w:val="a0"/>
    <w:link w:val="a5"/>
    <w:rsid w:val="00AC077B"/>
    <w:rPr>
      <w:rFonts w:ascii="宋体" w:eastAsia="宋体" w:hAnsi="Courier New"/>
    </w:rPr>
  </w:style>
  <w:style w:type="paragraph" w:styleId="a5">
    <w:name w:val="Plain Text"/>
    <w:aliases w:val="普通文字1,普通文字2,普通文字3,普通文字4,普通文字5,普通文字6,普通文字11,普通文字21,普通文字31,普通文字41,普通文字7,普通文字 Char,纯文本 Char1 Char Char,纯文本 Char Char Char Char,纯文本 Char Char1,纯文本 Char1 Char,纯文本 Char Char Char,普通文字,纯文本 Char Char,普通文字 Char Char,正 文 1,Texte,小,普通文字 Char + 居中,文字缩进"/>
    <w:basedOn w:val="a"/>
    <w:link w:val="Char1"/>
    <w:rsid w:val="00AC077B"/>
    <w:rPr>
      <w:rFonts w:ascii="宋体" w:hAnsi="Courier New" w:cstheme="minorBidi"/>
      <w:szCs w:val="22"/>
    </w:rPr>
  </w:style>
  <w:style w:type="character" w:customStyle="1" w:styleId="Char2">
    <w:name w:val="纯文本 Char"/>
    <w:basedOn w:val="a0"/>
    <w:link w:val="a5"/>
    <w:uiPriority w:val="99"/>
    <w:semiHidden/>
    <w:rsid w:val="00AC077B"/>
    <w:rPr>
      <w:rFonts w:ascii="宋体" w:eastAsia="宋体" w:hAnsi="Courier New" w:cs="Courier New"/>
      <w:szCs w:val="21"/>
    </w:rPr>
  </w:style>
  <w:style w:type="paragraph" w:styleId="a6">
    <w:name w:val="Document Map"/>
    <w:basedOn w:val="a"/>
    <w:link w:val="Char3"/>
    <w:uiPriority w:val="99"/>
    <w:semiHidden/>
    <w:unhideWhenUsed/>
    <w:rsid w:val="001E74DB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6"/>
    <w:uiPriority w:val="99"/>
    <w:semiHidden/>
    <w:rsid w:val="001E74D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陶丽莎</dc:creator>
  <cp:lastModifiedBy>NNRT</cp:lastModifiedBy>
  <cp:revision>3</cp:revision>
  <cp:lastPrinted>2015-10-23T08:02:00Z</cp:lastPrinted>
  <dcterms:created xsi:type="dcterms:W3CDTF">2018-04-08T06:40:00Z</dcterms:created>
  <dcterms:modified xsi:type="dcterms:W3CDTF">2018-04-08T06:40:00Z</dcterms:modified>
</cp:coreProperties>
</file>