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黑体" w:eastAsia="黑体"/>
          <w:sz w:val="44"/>
          <w:szCs w:val="48"/>
        </w:rPr>
      </w:pPr>
      <w:bookmarkStart w:id="0" w:name="_Toc114052336"/>
      <w:bookmarkStart w:id="1" w:name="_Toc114052410"/>
      <w:bookmarkStart w:id="2" w:name="_Toc286386830"/>
      <w:r>
        <w:rPr>
          <w:rFonts w:hint="eastAsia" w:ascii="黑体" w:eastAsia="黑体"/>
          <w:sz w:val="44"/>
          <w:szCs w:val="48"/>
        </w:rPr>
        <w:t>南宁轨道交通集团有限责任公司</w:t>
      </w:r>
    </w:p>
    <w:p>
      <w:pPr>
        <w:spacing w:after="120"/>
        <w:jc w:val="center"/>
        <w:rPr>
          <w:rFonts w:ascii="黑体" w:eastAsia="黑体"/>
          <w:sz w:val="44"/>
          <w:szCs w:val="48"/>
        </w:rPr>
      </w:pPr>
      <w:r>
        <w:rPr>
          <w:rFonts w:hint="eastAsia" w:ascii="黑体" w:eastAsia="黑体"/>
          <w:sz w:val="44"/>
          <w:szCs w:val="48"/>
        </w:rPr>
        <w:t>运营分公司可视化党建工作物资采购项目</w:t>
      </w:r>
    </w:p>
    <w:p>
      <w:pPr>
        <w:spacing w:after="120"/>
        <w:jc w:val="center"/>
        <w:rPr>
          <w:rFonts w:ascii="黑体" w:eastAsia="黑体"/>
          <w:sz w:val="36"/>
          <w:szCs w:val="36"/>
        </w:rPr>
      </w:pPr>
      <w:r>
        <w:rPr>
          <w:rFonts w:hint="eastAsia" w:ascii="黑体" w:eastAsia="黑体"/>
          <w:sz w:val="36"/>
          <w:szCs w:val="36"/>
        </w:rPr>
        <w:t>（项目编号</w:t>
      </w:r>
      <w:r>
        <w:rPr>
          <w:rFonts w:hint="eastAsia" w:ascii="黑体" w:eastAsia="黑体"/>
          <w:color w:val="auto"/>
          <w:sz w:val="36"/>
          <w:szCs w:val="36"/>
        </w:rPr>
        <w:t>:</w:t>
      </w:r>
      <w:r>
        <w:rPr>
          <w:rFonts w:hint="eastAsia" w:ascii="黑体" w:hAnsi="Calibri" w:eastAsia="黑体" w:cs="Times New Roman"/>
          <w:color w:val="auto"/>
          <w:sz w:val="36"/>
          <w:szCs w:val="36"/>
          <w:u w:val="none"/>
        </w:rPr>
        <w:t>NNGD-YY-DQBX-0</w:t>
      </w:r>
      <w:r>
        <w:rPr>
          <w:rFonts w:hint="eastAsia" w:ascii="黑体" w:hAnsi="Calibri" w:eastAsia="黑体" w:cs="Times New Roman"/>
          <w:color w:val="auto"/>
          <w:sz w:val="36"/>
          <w:szCs w:val="36"/>
          <w:u w:val="none"/>
          <w:lang w:val="en-US" w:eastAsia="zh-CN"/>
        </w:rPr>
        <w:t>2</w:t>
      </w:r>
      <w:r>
        <w:rPr>
          <w:rFonts w:hint="eastAsia" w:ascii="黑体" w:eastAsia="黑体"/>
          <w:sz w:val="36"/>
          <w:szCs w:val="36"/>
        </w:rPr>
        <w:t>）</w:t>
      </w:r>
    </w:p>
    <w:p>
      <w:pPr>
        <w:spacing w:after="120"/>
        <w:jc w:val="center"/>
        <w:rPr>
          <w:rFonts w:ascii="黑体" w:eastAsia="黑体"/>
          <w:sz w:val="36"/>
          <w:szCs w:val="44"/>
        </w:rPr>
      </w:pPr>
    </w:p>
    <w:p>
      <w:pPr>
        <w:spacing w:after="120"/>
        <w:jc w:val="center"/>
        <w:rPr>
          <w:rFonts w:eastAsia="黑体"/>
          <w:b/>
          <w:sz w:val="52"/>
          <w:szCs w:val="52"/>
        </w:rPr>
      </w:pPr>
    </w:p>
    <w:p>
      <w:pPr>
        <w:spacing w:after="120"/>
        <w:jc w:val="center"/>
        <w:rPr>
          <w:rFonts w:eastAsia="黑体"/>
          <w:b/>
          <w:sz w:val="52"/>
          <w:szCs w:val="52"/>
        </w:rPr>
      </w:pPr>
      <w:r>
        <w:rPr>
          <w:rFonts w:hint="eastAsia" w:eastAsia="黑体"/>
          <w:b/>
          <w:sz w:val="52"/>
          <w:szCs w:val="52"/>
        </w:rPr>
        <w:t>比</w:t>
      </w:r>
    </w:p>
    <w:p>
      <w:pPr>
        <w:spacing w:after="120"/>
        <w:jc w:val="center"/>
        <w:rPr>
          <w:rFonts w:eastAsia="黑体"/>
          <w:b/>
          <w:sz w:val="52"/>
          <w:szCs w:val="52"/>
        </w:rPr>
      </w:pPr>
      <w:r>
        <w:rPr>
          <w:rFonts w:hint="eastAsia" w:eastAsia="黑体"/>
          <w:b/>
          <w:sz w:val="52"/>
          <w:szCs w:val="52"/>
        </w:rPr>
        <w:t>选</w:t>
      </w:r>
    </w:p>
    <w:p>
      <w:pPr>
        <w:spacing w:after="120"/>
        <w:jc w:val="center"/>
        <w:rPr>
          <w:rFonts w:eastAsia="黑体"/>
          <w:b/>
          <w:sz w:val="52"/>
          <w:szCs w:val="52"/>
        </w:rPr>
      </w:pPr>
      <w:r>
        <w:rPr>
          <w:rFonts w:eastAsia="黑体"/>
          <w:b/>
          <w:sz w:val="52"/>
          <w:szCs w:val="52"/>
        </w:rPr>
        <w:t>文</w:t>
      </w:r>
    </w:p>
    <w:p>
      <w:pPr>
        <w:spacing w:after="120"/>
        <w:jc w:val="center"/>
        <w:rPr>
          <w:rFonts w:eastAsia="黑体"/>
          <w:b/>
          <w:sz w:val="52"/>
          <w:szCs w:val="52"/>
        </w:rPr>
      </w:pPr>
      <w:r>
        <w:rPr>
          <w:rFonts w:eastAsia="黑体"/>
          <w:b/>
          <w:sz w:val="52"/>
          <w:szCs w:val="52"/>
        </w:rPr>
        <w:t>件</w:t>
      </w:r>
    </w:p>
    <w:p>
      <w:pPr>
        <w:spacing w:line="360" w:lineRule="exact"/>
        <w:jc w:val="center"/>
        <w:rPr>
          <w:rFonts w:ascii="宋体"/>
          <w:b/>
          <w:sz w:val="52"/>
          <w:szCs w:val="20"/>
        </w:rPr>
      </w:pPr>
    </w:p>
    <w:p>
      <w:pPr>
        <w:spacing w:line="360" w:lineRule="exact"/>
        <w:jc w:val="center"/>
        <w:rPr>
          <w:rFonts w:ascii="宋体"/>
          <w:b/>
          <w:sz w:val="52"/>
          <w:szCs w:val="20"/>
        </w:rPr>
      </w:pPr>
    </w:p>
    <w:p>
      <w:pPr>
        <w:spacing w:line="360" w:lineRule="exact"/>
        <w:jc w:val="center"/>
        <w:rPr>
          <w:rFonts w:ascii="宋体"/>
          <w:b/>
          <w:sz w:val="52"/>
          <w:szCs w:val="20"/>
        </w:rPr>
      </w:pPr>
    </w:p>
    <w:p>
      <w:pPr>
        <w:jc w:val="center"/>
        <w:rPr>
          <w:rFonts w:ascii="宋体"/>
          <w:b/>
          <w:sz w:val="52"/>
          <w:szCs w:val="20"/>
        </w:rPr>
      </w:pPr>
      <w:r>
        <w:rPr>
          <w:rFonts w:hint="eastAsia" w:ascii="宋体" w:hAnsi="宋体"/>
          <w:b/>
          <w:sz w:val="52"/>
        </w:rPr>
        <w:drawing>
          <wp:inline distT="0" distB="0" distL="0" distR="0">
            <wp:extent cx="2179320" cy="2423160"/>
            <wp:effectExtent l="0" t="0" r="0" b="0"/>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184500" cy="2428578"/>
                    </a:xfrm>
                    <a:prstGeom prst="rect">
                      <a:avLst/>
                    </a:prstGeom>
                    <a:noFill/>
                    <a:ln>
                      <a:noFill/>
                    </a:ln>
                  </pic:spPr>
                </pic:pic>
              </a:graphicData>
            </a:graphic>
          </wp:inline>
        </w:drawing>
      </w:r>
    </w:p>
    <w:p>
      <w:pPr>
        <w:spacing w:line="360" w:lineRule="exact"/>
        <w:jc w:val="center"/>
        <w:rPr>
          <w:rFonts w:ascii="宋体"/>
          <w:b/>
          <w:sz w:val="52"/>
          <w:szCs w:val="20"/>
        </w:rPr>
      </w:pPr>
    </w:p>
    <w:p>
      <w:pPr>
        <w:spacing w:line="360" w:lineRule="exact"/>
        <w:jc w:val="center"/>
        <w:rPr>
          <w:rFonts w:ascii="宋体"/>
          <w:b/>
          <w:sz w:val="52"/>
          <w:szCs w:val="20"/>
        </w:rPr>
      </w:pPr>
    </w:p>
    <w:p>
      <w:pPr>
        <w:spacing w:line="360" w:lineRule="exact"/>
        <w:ind w:left="630" w:leftChars="300"/>
        <w:rPr>
          <w:sz w:val="28"/>
          <w:szCs w:val="28"/>
        </w:rPr>
      </w:pPr>
    </w:p>
    <w:p>
      <w:pPr>
        <w:spacing w:line="360" w:lineRule="exact"/>
        <w:rPr>
          <w:rFonts w:ascii="黑体" w:eastAsia="黑体"/>
          <w:sz w:val="28"/>
          <w:szCs w:val="28"/>
        </w:rPr>
      </w:pPr>
    </w:p>
    <w:p>
      <w:pPr>
        <w:ind w:left="630" w:leftChars="300" w:firstLine="218" w:firstLineChars="77"/>
        <w:jc w:val="left"/>
        <w:rPr>
          <w:rFonts w:ascii="黑体" w:eastAsia="黑体"/>
          <w:sz w:val="28"/>
          <w:szCs w:val="28"/>
        </w:rPr>
      </w:pPr>
      <w:r>
        <w:rPr>
          <w:rFonts w:hint="eastAsia" w:ascii="黑体" w:eastAsia="黑体"/>
          <w:spacing w:val="12"/>
          <w:w w:val="93"/>
          <w:kern w:val="0"/>
          <w:sz w:val="28"/>
          <w:szCs w:val="28"/>
        </w:rPr>
        <w:t>比选发起</w:t>
      </w:r>
      <w:r>
        <w:rPr>
          <w:rFonts w:hint="eastAsia" w:ascii="黑体" w:eastAsia="黑体"/>
          <w:spacing w:val="1"/>
          <w:w w:val="93"/>
          <w:kern w:val="0"/>
          <w:sz w:val="28"/>
          <w:szCs w:val="28"/>
        </w:rPr>
        <w:t>人</w:t>
      </w:r>
      <w:r>
        <w:rPr>
          <w:rFonts w:hint="eastAsia" w:ascii="黑体" w:eastAsia="黑体"/>
          <w:sz w:val="28"/>
          <w:szCs w:val="28"/>
        </w:rPr>
        <w:t>：南宁轨道交通集团有限责任公司运营分公司</w:t>
      </w:r>
    </w:p>
    <w:p>
      <w:pPr>
        <w:ind w:left="630" w:leftChars="300" w:firstLine="219" w:firstLineChars="59"/>
        <w:jc w:val="left"/>
        <w:rPr>
          <w:rFonts w:ascii="黑体" w:eastAsia="黑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134" w:right="851" w:bottom="1134" w:left="1134" w:header="454" w:footer="567" w:gutter="0"/>
          <w:pgNumType w:start="1"/>
          <w:cols w:space="425" w:num="1"/>
          <w:titlePg/>
          <w:docGrid w:linePitch="326" w:charSpace="0"/>
        </w:sectPr>
      </w:pPr>
      <w:r>
        <w:rPr>
          <w:rFonts w:hint="eastAsia" w:ascii="黑体" w:eastAsia="黑体"/>
          <w:spacing w:val="46"/>
          <w:kern w:val="0"/>
          <w:sz w:val="28"/>
          <w:szCs w:val="28"/>
        </w:rPr>
        <w:t>编制时</w:t>
      </w:r>
      <w:r>
        <w:rPr>
          <w:rFonts w:hint="eastAsia" w:ascii="黑体" w:eastAsia="黑体"/>
          <w:spacing w:val="2"/>
          <w:kern w:val="0"/>
          <w:sz w:val="28"/>
          <w:szCs w:val="28"/>
        </w:rPr>
        <w:t>间</w:t>
      </w:r>
      <w:r>
        <w:rPr>
          <w:rFonts w:hint="eastAsia" w:ascii="黑体" w:eastAsia="黑体"/>
          <w:sz w:val="28"/>
          <w:szCs w:val="28"/>
        </w:rPr>
        <w:t>：</w:t>
      </w:r>
      <w:r>
        <w:rPr>
          <w:rFonts w:ascii="黑体" w:eastAsia="黑体"/>
          <w:sz w:val="28"/>
          <w:szCs w:val="28"/>
          <w:u w:val="single"/>
        </w:rPr>
        <w:t>201</w:t>
      </w:r>
      <w:r>
        <w:rPr>
          <w:rFonts w:hint="eastAsia" w:ascii="黑体" w:eastAsia="黑体"/>
          <w:sz w:val="28"/>
          <w:szCs w:val="28"/>
          <w:u w:val="single"/>
        </w:rPr>
        <w:t>9</w:t>
      </w:r>
      <w:r>
        <w:rPr>
          <w:rFonts w:hint="eastAsia" w:ascii="黑体" w:eastAsia="黑体"/>
          <w:sz w:val="28"/>
          <w:szCs w:val="28"/>
        </w:rPr>
        <w:t>年</w:t>
      </w:r>
      <w:r>
        <w:rPr>
          <w:rFonts w:hint="eastAsia" w:ascii="黑体" w:eastAsia="黑体"/>
          <w:sz w:val="28"/>
          <w:szCs w:val="28"/>
          <w:u w:val="single"/>
        </w:rPr>
        <w:t>3</w:t>
      </w:r>
      <w:r>
        <w:rPr>
          <w:rFonts w:hint="eastAsia" w:ascii="黑体" w:eastAsia="黑体"/>
          <w:sz w:val="28"/>
          <w:szCs w:val="28"/>
        </w:rPr>
        <w:t>月</w:t>
      </w:r>
      <w:r>
        <w:rPr>
          <w:rFonts w:hint="eastAsia" w:ascii="黑体" w:eastAsia="黑体"/>
          <w:sz w:val="28"/>
          <w:szCs w:val="28"/>
          <w:u w:val="single"/>
        </w:rPr>
        <w:t>11</w:t>
      </w:r>
      <w:r>
        <w:rPr>
          <w:rFonts w:hint="eastAsia" w:ascii="黑体" w:eastAsia="黑体"/>
          <w:sz w:val="28"/>
          <w:szCs w:val="28"/>
        </w:rPr>
        <w:t>日</w:t>
      </w:r>
    </w:p>
    <w:p>
      <w:pPr>
        <w:tabs>
          <w:tab w:val="left" w:pos="6329"/>
        </w:tabs>
        <w:jc w:val="left"/>
        <w:rPr>
          <w:b/>
          <w:sz w:val="32"/>
        </w:rPr>
      </w:pPr>
      <w:r>
        <w:rPr>
          <w:rFonts w:hint="eastAsia"/>
          <w:b/>
          <w:sz w:val="32"/>
        </w:rPr>
        <w:tab/>
      </w:r>
    </w:p>
    <w:p>
      <w:pPr>
        <w:jc w:val="center"/>
        <w:rPr>
          <w:b/>
          <w:sz w:val="32"/>
        </w:rPr>
      </w:pPr>
      <w:r>
        <w:rPr>
          <w:rFonts w:hint="eastAsia"/>
          <w:b/>
          <w:sz w:val="32"/>
        </w:rPr>
        <w:t>目　录</w:t>
      </w:r>
    </w:p>
    <w:p>
      <w:pPr>
        <w:pStyle w:val="26"/>
        <w:tabs>
          <w:tab w:val="right" w:leader="dot" w:pos="9921"/>
        </w:tabs>
      </w:pPr>
      <w:r>
        <w:rPr>
          <w:rFonts w:ascii="宋体" w:hAnsi="宋体"/>
          <w:bCs w:val="0"/>
          <w:i/>
          <w:iCs/>
          <w:sz w:val="36"/>
          <w:szCs w:val="28"/>
        </w:rPr>
        <w:fldChar w:fldCharType="begin"/>
      </w:r>
      <w:r>
        <w:rPr>
          <w:rFonts w:ascii="宋体" w:hAnsi="宋体"/>
          <w:bCs w:val="0"/>
          <w:i/>
          <w:iCs/>
          <w:sz w:val="36"/>
          <w:szCs w:val="28"/>
        </w:rPr>
        <w:instrText xml:space="preserve"> TOC \o "1-2" \h \z \u </w:instrText>
      </w:r>
      <w:r>
        <w:rPr>
          <w:rFonts w:ascii="宋体" w:hAnsi="宋体"/>
          <w:bCs w:val="0"/>
          <w:i/>
          <w:iCs/>
          <w:sz w:val="36"/>
          <w:szCs w:val="28"/>
        </w:rPr>
        <w:fldChar w:fldCharType="separate"/>
      </w:r>
      <w:r>
        <w:fldChar w:fldCharType="begin"/>
      </w:r>
      <w:r>
        <w:instrText xml:space="preserve"> HYPERLINK \l "_Toc27377" </w:instrText>
      </w:r>
      <w:r>
        <w:fldChar w:fldCharType="separate"/>
      </w:r>
      <w:r>
        <w:rPr>
          <w:rFonts w:hint="eastAsia"/>
        </w:rPr>
        <w:t>第一章. 比选公告</w:t>
      </w:r>
      <w:r>
        <w:tab/>
      </w:r>
      <w:r>
        <w:fldChar w:fldCharType="begin"/>
      </w:r>
      <w:r>
        <w:instrText xml:space="preserve"> PAGEREF _Toc27377 </w:instrText>
      </w:r>
      <w:r>
        <w:fldChar w:fldCharType="separate"/>
      </w:r>
      <w:r>
        <w:t>3</w:t>
      </w:r>
      <w:r>
        <w:fldChar w:fldCharType="end"/>
      </w:r>
      <w:r>
        <w:fldChar w:fldCharType="end"/>
      </w:r>
    </w:p>
    <w:p>
      <w:pPr>
        <w:pStyle w:val="26"/>
        <w:tabs>
          <w:tab w:val="right" w:leader="dot" w:pos="9921"/>
        </w:tabs>
      </w:pPr>
      <w:r>
        <w:fldChar w:fldCharType="begin"/>
      </w:r>
      <w:r>
        <w:instrText xml:space="preserve"> HYPERLINK \l "_Toc30859" </w:instrText>
      </w:r>
      <w:r>
        <w:fldChar w:fldCharType="separate"/>
      </w:r>
      <w:r>
        <w:rPr>
          <w:rFonts w:hint="eastAsia"/>
        </w:rPr>
        <w:t>第二章. 比选须知</w:t>
      </w:r>
      <w:r>
        <w:tab/>
      </w:r>
      <w:r>
        <w:fldChar w:fldCharType="begin"/>
      </w:r>
      <w:r>
        <w:instrText xml:space="preserve"> PAGEREF _Toc30859 </w:instrText>
      </w:r>
      <w:r>
        <w:fldChar w:fldCharType="separate"/>
      </w:r>
      <w:r>
        <w:t>4</w:t>
      </w:r>
      <w:r>
        <w:fldChar w:fldCharType="end"/>
      </w:r>
      <w:r>
        <w:fldChar w:fldCharType="end"/>
      </w:r>
    </w:p>
    <w:p>
      <w:pPr>
        <w:pStyle w:val="30"/>
        <w:tabs>
          <w:tab w:val="right" w:leader="dot" w:pos="9921"/>
        </w:tabs>
      </w:pPr>
      <w:r>
        <w:fldChar w:fldCharType="begin"/>
      </w:r>
      <w:r>
        <w:instrText xml:space="preserve"> HYPERLINK \l "_Toc9597" </w:instrText>
      </w:r>
      <w:r>
        <w:fldChar w:fldCharType="separate"/>
      </w:r>
      <w:r>
        <w:rPr>
          <w:rFonts w:hint="eastAsia"/>
        </w:rPr>
        <w:t>前附表</w:t>
      </w:r>
      <w:r>
        <w:tab/>
      </w:r>
      <w:r>
        <w:fldChar w:fldCharType="begin"/>
      </w:r>
      <w:r>
        <w:instrText xml:space="preserve"> PAGEREF _Toc9597 </w:instrText>
      </w:r>
      <w:r>
        <w:fldChar w:fldCharType="separate"/>
      </w:r>
      <w:r>
        <w:t>4</w:t>
      </w:r>
      <w:r>
        <w:fldChar w:fldCharType="end"/>
      </w:r>
      <w:r>
        <w:fldChar w:fldCharType="end"/>
      </w:r>
    </w:p>
    <w:p>
      <w:pPr>
        <w:pStyle w:val="30"/>
        <w:tabs>
          <w:tab w:val="right" w:leader="dot" w:pos="9921"/>
        </w:tabs>
      </w:pPr>
      <w:r>
        <w:fldChar w:fldCharType="begin"/>
      </w:r>
      <w:r>
        <w:instrText xml:space="preserve"> HYPERLINK \l "_Toc22232" </w:instrText>
      </w:r>
      <w:r>
        <w:fldChar w:fldCharType="separate"/>
      </w:r>
      <w:r>
        <w:rPr>
          <w:rFonts w:asciiTheme="majorEastAsia" w:hAnsiTheme="majorEastAsia" w:eastAsiaTheme="majorEastAsia"/>
          <w:szCs w:val="24"/>
        </w:rPr>
        <w:t xml:space="preserve">一、 </w:t>
      </w:r>
      <w:r>
        <w:rPr>
          <w:rFonts w:hint="eastAsia" w:asciiTheme="majorEastAsia" w:hAnsiTheme="majorEastAsia" w:eastAsiaTheme="majorEastAsia"/>
          <w:szCs w:val="24"/>
        </w:rPr>
        <w:t>总  则</w:t>
      </w:r>
      <w:r>
        <w:tab/>
      </w:r>
      <w:r>
        <w:fldChar w:fldCharType="begin"/>
      </w:r>
      <w:r>
        <w:instrText xml:space="preserve"> PAGEREF _Toc22232 </w:instrText>
      </w:r>
      <w:r>
        <w:fldChar w:fldCharType="separate"/>
      </w:r>
      <w:r>
        <w:t>5</w:t>
      </w:r>
      <w:r>
        <w:fldChar w:fldCharType="end"/>
      </w:r>
      <w:r>
        <w:fldChar w:fldCharType="end"/>
      </w:r>
    </w:p>
    <w:p>
      <w:pPr>
        <w:pStyle w:val="30"/>
        <w:tabs>
          <w:tab w:val="right" w:leader="dot" w:pos="9921"/>
        </w:tabs>
      </w:pPr>
      <w:r>
        <w:fldChar w:fldCharType="begin"/>
      </w:r>
      <w:r>
        <w:instrText xml:space="preserve"> HYPERLINK \l "_Toc11748" </w:instrText>
      </w:r>
      <w:r>
        <w:fldChar w:fldCharType="separate"/>
      </w:r>
      <w:r>
        <w:rPr>
          <w:rFonts w:asciiTheme="majorEastAsia" w:hAnsiTheme="majorEastAsia" w:eastAsiaTheme="majorEastAsia"/>
          <w:szCs w:val="24"/>
        </w:rPr>
        <w:t xml:space="preserve">二、 </w:t>
      </w:r>
      <w:r>
        <w:rPr>
          <w:rFonts w:hint="eastAsia" w:asciiTheme="majorEastAsia" w:hAnsiTheme="majorEastAsia" w:eastAsiaTheme="majorEastAsia"/>
          <w:szCs w:val="24"/>
        </w:rPr>
        <w:t>比选文件</w:t>
      </w:r>
      <w:r>
        <w:tab/>
      </w:r>
      <w:r>
        <w:fldChar w:fldCharType="begin"/>
      </w:r>
      <w:r>
        <w:instrText xml:space="preserve"> PAGEREF _Toc11748 </w:instrText>
      </w:r>
      <w:r>
        <w:fldChar w:fldCharType="separate"/>
      </w:r>
      <w:r>
        <w:t>5</w:t>
      </w:r>
      <w:r>
        <w:fldChar w:fldCharType="end"/>
      </w:r>
      <w:r>
        <w:fldChar w:fldCharType="end"/>
      </w:r>
    </w:p>
    <w:p>
      <w:pPr>
        <w:pStyle w:val="30"/>
        <w:tabs>
          <w:tab w:val="right" w:leader="dot" w:pos="9921"/>
        </w:tabs>
      </w:pPr>
      <w:r>
        <w:fldChar w:fldCharType="begin"/>
      </w:r>
      <w:r>
        <w:instrText xml:space="preserve"> HYPERLINK \l "_Toc27738" </w:instrText>
      </w:r>
      <w:r>
        <w:fldChar w:fldCharType="separate"/>
      </w:r>
      <w:r>
        <w:rPr>
          <w:rFonts w:asciiTheme="majorEastAsia" w:hAnsiTheme="majorEastAsia" w:eastAsiaTheme="majorEastAsia"/>
          <w:szCs w:val="24"/>
        </w:rPr>
        <w:t xml:space="preserve">三、 </w:t>
      </w:r>
      <w:r>
        <w:rPr>
          <w:rFonts w:hint="eastAsia" w:asciiTheme="majorEastAsia" w:hAnsiTheme="majorEastAsia" w:eastAsiaTheme="majorEastAsia"/>
          <w:szCs w:val="24"/>
        </w:rPr>
        <w:t>申请比选报价说明</w:t>
      </w:r>
      <w:r>
        <w:tab/>
      </w:r>
      <w:r>
        <w:fldChar w:fldCharType="begin"/>
      </w:r>
      <w:r>
        <w:instrText xml:space="preserve"> PAGEREF _Toc27738 </w:instrText>
      </w:r>
      <w:r>
        <w:fldChar w:fldCharType="separate"/>
      </w:r>
      <w:r>
        <w:t>5</w:t>
      </w:r>
      <w:r>
        <w:fldChar w:fldCharType="end"/>
      </w:r>
      <w:r>
        <w:fldChar w:fldCharType="end"/>
      </w:r>
    </w:p>
    <w:p>
      <w:pPr>
        <w:pStyle w:val="30"/>
        <w:tabs>
          <w:tab w:val="right" w:leader="dot" w:pos="9921"/>
        </w:tabs>
      </w:pPr>
      <w:r>
        <w:fldChar w:fldCharType="begin"/>
      </w:r>
      <w:r>
        <w:instrText xml:space="preserve"> HYPERLINK \l "_Toc5976" </w:instrText>
      </w:r>
      <w:r>
        <w:fldChar w:fldCharType="separate"/>
      </w:r>
      <w:r>
        <w:rPr>
          <w:rFonts w:asciiTheme="majorEastAsia" w:hAnsiTheme="majorEastAsia" w:eastAsiaTheme="majorEastAsia"/>
          <w:szCs w:val="24"/>
        </w:rPr>
        <w:t xml:space="preserve">四、 </w:t>
      </w:r>
      <w:r>
        <w:rPr>
          <w:rFonts w:hint="eastAsia" w:asciiTheme="majorEastAsia" w:hAnsiTheme="majorEastAsia" w:eastAsiaTheme="majorEastAsia"/>
          <w:szCs w:val="24"/>
        </w:rPr>
        <w:t>比选申请文件的编制</w:t>
      </w:r>
      <w:r>
        <w:tab/>
      </w:r>
      <w:r>
        <w:fldChar w:fldCharType="begin"/>
      </w:r>
      <w:r>
        <w:instrText xml:space="preserve"> PAGEREF _Toc5976 </w:instrText>
      </w:r>
      <w:r>
        <w:fldChar w:fldCharType="separate"/>
      </w:r>
      <w:r>
        <w:t>6</w:t>
      </w:r>
      <w:r>
        <w:fldChar w:fldCharType="end"/>
      </w:r>
      <w:r>
        <w:fldChar w:fldCharType="end"/>
      </w:r>
    </w:p>
    <w:p>
      <w:pPr>
        <w:pStyle w:val="30"/>
        <w:tabs>
          <w:tab w:val="right" w:leader="dot" w:pos="9921"/>
        </w:tabs>
      </w:pPr>
      <w:r>
        <w:fldChar w:fldCharType="begin"/>
      </w:r>
      <w:r>
        <w:instrText xml:space="preserve"> HYPERLINK \l "_Toc4012" </w:instrText>
      </w:r>
      <w:r>
        <w:fldChar w:fldCharType="separate"/>
      </w:r>
      <w:r>
        <w:rPr>
          <w:rFonts w:asciiTheme="majorEastAsia" w:hAnsiTheme="majorEastAsia" w:eastAsiaTheme="majorEastAsia"/>
          <w:szCs w:val="24"/>
        </w:rPr>
        <w:t xml:space="preserve">五、 </w:t>
      </w:r>
      <w:r>
        <w:rPr>
          <w:rFonts w:hint="eastAsia" w:asciiTheme="majorEastAsia" w:hAnsiTheme="majorEastAsia" w:eastAsiaTheme="majorEastAsia"/>
          <w:szCs w:val="24"/>
        </w:rPr>
        <w:t>比选申请文件的递交</w:t>
      </w:r>
      <w:r>
        <w:tab/>
      </w:r>
      <w:r>
        <w:fldChar w:fldCharType="begin"/>
      </w:r>
      <w:r>
        <w:instrText xml:space="preserve"> PAGEREF _Toc4012 </w:instrText>
      </w:r>
      <w:r>
        <w:fldChar w:fldCharType="separate"/>
      </w:r>
      <w:r>
        <w:t>7</w:t>
      </w:r>
      <w:r>
        <w:fldChar w:fldCharType="end"/>
      </w:r>
      <w:r>
        <w:fldChar w:fldCharType="end"/>
      </w:r>
    </w:p>
    <w:p>
      <w:pPr>
        <w:pStyle w:val="30"/>
        <w:tabs>
          <w:tab w:val="right" w:leader="dot" w:pos="9921"/>
        </w:tabs>
      </w:pPr>
      <w:r>
        <w:fldChar w:fldCharType="begin"/>
      </w:r>
      <w:r>
        <w:instrText xml:space="preserve"> HYPERLINK \l "_Toc30067" </w:instrText>
      </w:r>
      <w:r>
        <w:fldChar w:fldCharType="separate"/>
      </w:r>
      <w:r>
        <w:rPr>
          <w:rFonts w:asciiTheme="majorEastAsia" w:hAnsiTheme="majorEastAsia" w:eastAsiaTheme="majorEastAsia"/>
          <w:szCs w:val="24"/>
        </w:rPr>
        <w:t xml:space="preserve">六、 </w:t>
      </w:r>
      <w:r>
        <w:rPr>
          <w:rFonts w:hint="eastAsia" w:asciiTheme="majorEastAsia" w:hAnsiTheme="majorEastAsia" w:eastAsiaTheme="majorEastAsia"/>
          <w:szCs w:val="24"/>
        </w:rPr>
        <w:t>评　审</w:t>
      </w:r>
      <w:r>
        <w:tab/>
      </w:r>
      <w:r>
        <w:fldChar w:fldCharType="begin"/>
      </w:r>
      <w:r>
        <w:instrText xml:space="preserve"> PAGEREF _Toc30067 </w:instrText>
      </w:r>
      <w:r>
        <w:fldChar w:fldCharType="separate"/>
      </w:r>
      <w:r>
        <w:t>8</w:t>
      </w:r>
      <w:r>
        <w:fldChar w:fldCharType="end"/>
      </w:r>
      <w:r>
        <w:fldChar w:fldCharType="end"/>
      </w:r>
    </w:p>
    <w:p>
      <w:pPr>
        <w:pStyle w:val="30"/>
        <w:tabs>
          <w:tab w:val="right" w:leader="dot" w:pos="9921"/>
        </w:tabs>
      </w:pPr>
      <w:r>
        <w:fldChar w:fldCharType="begin"/>
      </w:r>
      <w:r>
        <w:instrText xml:space="preserve"> HYPERLINK \l "_Toc26564" </w:instrText>
      </w:r>
      <w:r>
        <w:fldChar w:fldCharType="separate"/>
      </w:r>
      <w:r>
        <w:rPr>
          <w:rFonts w:asciiTheme="majorEastAsia" w:hAnsiTheme="majorEastAsia" w:eastAsiaTheme="majorEastAsia"/>
          <w:szCs w:val="24"/>
        </w:rPr>
        <w:t xml:space="preserve">七、 </w:t>
      </w:r>
      <w:r>
        <w:rPr>
          <w:rFonts w:hint="eastAsia" w:asciiTheme="majorEastAsia" w:hAnsiTheme="majorEastAsia" w:eastAsiaTheme="majorEastAsia"/>
          <w:szCs w:val="24"/>
        </w:rPr>
        <w:t>授予合同</w:t>
      </w:r>
      <w:r>
        <w:tab/>
      </w:r>
      <w:r>
        <w:fldChar w:fldCharType="begin"/>
      </w:r>
      <w:r>
        <w:instrText xml:space="preserve"> PAGEREF _Toc26564 </w:instrText>
      </w:r>
      <w:r>
        <w:fldChar w:fldCharType="separate"/>
      </w:r>
      <w:r>
        <w:t>9</w:t>
      </w:r>
      <w:r>
        <w:fldChar w:fldCharType="end"/>
      </w:r>
      <w:r>
        <w:fldChar w:fldCharType="end"/>
      </w:r>
    </w:p>
    <w:p>
      <w:pPr>
        <w:pStyle w:val="26"/>
        <w:tabs>
          <w:tab w:val="right" w:leader="dot" w:pos="9921"/>
        </w:tabs>
      </w:pPr>
      <w:r>
        <w:fldChar w:fldCharType="begin"/>
      </w:r>
      <w:r>
        <w:instrText xml:space="preserve"> HYPERLINK \l "_Toc13839" </w:instrText>
      </w:r>
      <w:r>
        <w:fldChar w:fldCharType="separate"/>
      </w:r>
      <w:r>
        <w:rPr>
          <w:rFonts w:hint="eastAsia"/>
        </w:rPr>
        <w:t>第三章. 技术及需求</w:t>
      </w:r>
      <w:r>
        <w:tab/>
      </w:r>
      <w:r>
        <w:fldChar w:fldCharType="begin"/>
      </w:r>
      <w:r>
        <w:instrText xml:space="preserve"> PAGEREF _Toc13839 </w:instrText>
      </w:r>
      <w:r>
        <w:fldChar w:fldCharType="separate"/>
      </w:r>
      <w:r>
        <w:t>13</w:t>
      </w:r>
      <w:r>
        <w:fldChar w:fldCharType="end"/>
      </w:r>
      <w:r>
        <w:fldChar w:fldCharType="end"/>
      </w:r>
    </w:p>
    <w:p>
      <w:pPr>
        <w:pStyle w:val="26"/>
        <w:tabs>
          <w:tab w:val="right" w:leader="dot" w:pos="9921"/>
        </w:tabs>
      </w:pPr>
      <w:r>
        <w:fldChar w:fldCharType="begin"/>
      </w:r>
      <w:r>
        <w:instrText xml:space="preserve"> HYPERLINK \l "_Toc27366" </w:instrText>
      </w:r>
      <w:r>
        <w:fldChar w:fldCharType="separate"/>
      </w:r>
      <w:r>
        <w:rPr>
          <w:rFonts w:hint="eastAsia"/>
        </w:rPr>
        <w:t>第四章. 评审细则</w:t>
      </w:r>
      <w:r>
        <w:tab/>
      </w:r>
      <w:r>
        <w:fldChar w:fldCharType="begin"/>
      </w:r>
      <w:r>
        <w:instrText xml:space="preserve"> PAGEREF _Toc27366 </w:instrText>
      </w:r>
      <w:r>
        <w:fldChar w:fldCharType="separate"/>
      </w:r>
      <w:r>
        <w:t>14</w:t>
      </w:r>
      <w:r>
        <w:fldChar w:fldCharType="end"/>
      </w:r>
      <w:r>
        <w:fldChar w:fldCharType="end"/>
      </w:r>
    </w:p>
    <w:p>
      <w:pPr>
        <w:pStyle w:val="26"/>
        <w:tabs>
          <w:tab w:val="right" w:leader="dot" w:pos="9921"/>
        </w:tabs>
      </w:pPr>
      <w:r>
        <w:fldChar w:fldCharType="begin"/>
      </w:r>
      <w:r>
        <w:instrText xml:space="preserve"> HYPERLINK \l "_Toc32488" </w:instrText>
      </w:r>
      <w:r>
        <w:fldChar w:fldCharType="separate"/>
      </w:r>
      <w:r>
        <w:rPr>
          <w:rFonts w:hint="eastAsia"/>
        </w:rPr>
        <w:t>第五章. 合同正文（格式）</w:t>
      </w:r>
      <w:r>
        <w:tab/>
      </w:r>
      <w:r>
        <w:fldChar w:fldCharType="begin"/>
      </w:r>
      <w:r>
        <w:instrText xml:space="preserve"> PAGEREF _Toc32488 </w:instrText>
      </w:r>
      <w:r>
        <w:fldChar w:fldCharType="separate"/>
      </w:r>
      <w:r>
        <w:t>15</w:t>
      </w:r>
      <w:r>
        <w:fldChar w:fldCharType="end"/>
      </w:r>
      <w:r>
        <w:fldChar w:fldCharType="end"/>
      </w:r>
    </w:p>
    <w:p>
      <w:pPr>
        <w:pStyle w:val="30"/>
        <w:tabs>
          <w:tab w:val="right" w:leader="dot" w:pos="9921"/>
        </w:tabs>
      </w:pPr>
      <w:r>
        <w:fldChar w:fldCharType="begin"/>
      </w:r>
      <w:r>
        <w:instrText xml:space="preserve"> HYPERLINK \l "_Toc13887" </w:instrText>
      </w:r>
      <w:r>
        <w:fldChar w:fldCharType="separate"/>
      </w:r>
      <w:r>
        <w:t xml:space="preserve">1. </w:t>
      </w:r>
      <w:r>
        <w:rPr>
          <w:rFonts w:hint="eastAsia"/>
        </w:rPr>
        <w:t>定义和法律</w:t>
      </w:r>
      <w:r>
        <w:tab/>
      </w:r>
      <w:r>
        <w:fldChar w:fldCharType="begin"/>
      </w:r>
      <w:r>
        <w:instrText xml:space="preserve"> PAGEREF _Toc13887 </w:instrText>
      </w:r>
      <w:r>
        <w:fldChar w:fldCharType="separate"/>
      </w:r>
      <w:r>
        <w:t>15</w:t>
      </w:r>
      <w:r>
        <w:fldChar w:fldCharType="end"/>
      </w:r>
      <w:r>
        <w:fldChar w:fldCharType="end"/>
      </w:r>
    </w:p>
    <w:p>
      <w:pPr>
        <w:pStyle w:val="30"/>
        <w:tabs>
          <w:tab w:val="right" w:leader="dot" w:pos="9921"/>
        </w:tabs>
      </w:pPr>
      <w:r>
        <w:fldChar w:fldCharType="begin"/>
      </w:r>
      <w:r>
        <w:instrText xml:space="preserve"> HYPERLINK \l "_Toc21840" </w:instrText>
      </w:r>
      <w:r>
        <w:fldChar w:fldCharType="separate"/>
      </w:r>
      <w:r>
        <w:t xml:space="preserve">2. </w:t>
      </w:r>
      <w:r>
        <w:rPr>
          <w:rFonts w:hint="eastAsia"/>
        </w:rPr>
        <w:t>合同标的</w:t>
      </w:r>
      <w:r>
        <w:tab/>
      </w:r>
      <w:r>
        <w:fldChar w:fldCharType="begin"/>
      </w:r>
      <w:r>
        <w:instrText xml:space="preserve"> PAGEREF _Toc21840 </w:instrText>
      </w:r>
      <w:r>
        <w:fldChar w:fldCharType="separate"/>
      </w:r>
      <w:r>
        <w:t>15</w:t>
      </w:r>
      <w:r>
        <w:fldChar w:fldCharType="end"/>
      </w:r>
      <w:r>
        <w:fldChar w:fldCharType="end"/>
      </w:r>
    </w:p>
    <w:p>
      <w:pPr>
        <w:pStyle w:val="30"/>
        <w:tabs>
          <w:tab w:val="right" w:leader="dot" w:pos="9921"/>
        </w:tabs>
      </w:pPr>
      <w:r>
        <w:fldChar w:fldCharType="begin"/>
      </w:r>
      <w:r>
        <w:instrText xml:space="preserve"> HYPERLINK \l "_Toc2893" </w:instrText>
      </w:r>
      <w:r>
        <w:fldChar w:fldCharType="separate"/>
      </w:r>
      <w:r>
        <w:t xml:space="preserve">3. </w:t>
      </w:r>
      <w:r>
        <w:rPr>
          <w:rFonts w:hint="eastAsia"/>
        </w:rPr>
        <w:t>合同价格</w:t>
      </w:r>
      <w:r>
        <w:tab/>
      </w:r>
      <w:r>
        <w:fldChar w:fldCharType="begin"/>
      </w:r>
      <w:r>
        <w:instrText xml:space="preserve"> PAGEREF _Toc2893 </w:instrText>
      </w:r>
      <w:r>
        <w:fldChar w:fldCharType="separate"/>
      </w:r>
      <w:r>
        <w:t>15</w:t>
      </w:r>
      <w:r>
        <w:fldChar w:fldCharType="end"/>
      </w:r>
      <w:r>
        <w:fldChar w:fldCharType="end"/>
      </w:r>
    </w:p>
    <w:p>
      <w:pPr>
        <w:pStyle w:val="30"/>
        <w:tabs>
          <w:tab w:val="right" w:leader="dot" w:pos="9921"/>
        </w:tabs>
      </w:pPr>
      <w:r>
        <w:fldChar w:fldCharType="begin"/>
      </w:r>
      <w:r>
        <w:instrText xml:space="preserve"> HYPERLINK \l "_Toc18553" </w:instrText>
      </w:r>
      <w:r>
        <w:fldChar w:fldCharType="separate"/>
      </w:r>
      <w:r>
        <w:t xml:space="preserve">4. </w:t>
      </w:r>
      <w:r>
        <w:rPr>
          <w:rFonts w:hint="eastAsia"/>
        </w:rPr>
        <w:t>交货</w:t>
      </w:r>
      <w:r>
        <w:tab/>
      </w:r>
      <w:r>
        <w:fldChar w:fldCharType="begin"/>
      </w:r>
      <w:r>
        <w:instrText xml:space="preserve"> PAGEREF _Toc18553 </w:instrText>
      </w:r>
      <w:r>
        <w:fldChar w:fldCharType="separate"/>
      </w:r>
      <w:r>
        <w:t>16</w:t>
      </w:r>
      <w:r>
        <w:fldChar w:fldCharType="end"/>
      </w:r>
      <w:r>
        <w:fldChar w:fldCharType="end"/>
      </w:r>
    </w:p>
    <w:p>
      <w:pPr>
        <w:pStyle w:val="30"/>
        <w:tabs>
          <w:tab w:val="right" w:leader="dot" w:pos="9921"/>
        </w:tabs>
      </w:pPr>
      <w:r>
        <w:fldChar w:fldCharType="begin"/>
      </w:r>
      <w:r>
        <w:instrText xml:space="preserve"> HYPERLINK \l "_Toc27000" </w:instrText>
      </w:r>
      <w:r>
        <w:fldChar w:fldCharType="separate"/>
      </w:r>
      <w:r>
        <w:t xml:space="preserve">5. </w:t>
      </w:r>
      <w:r>
        <w:rPr>
          <w:rFonts w:hint="eastAsia"/>
        </w:rPr>
        <w:t>合同文件和资料</w:t>
      </w:r>
      <w:r>
        <w:tab/>
      </w:r>
      <w:r>
        <w:fldChar w:fldCharType="begin"/>
      </w:r>
      <w:r>
        <w:instrText xml:space="preserve"> PAGEREF _Toc27000 </w:instrText>
      </w:r>
      <w:r>
        <w:fldChar w:fldCharType="separate"/>
      </w:r>
      <w:r>
        <w:t>16</w:t>
      </w:r>
      <w:r>
        <w:fldChar w:fldCharType="end"/>
      </w:r>
      <w:r>
        <w:fldChar w:fldCharType="end"/>
      </w:r>
    </w:p>
    <w:p>
      <w:pPr>
        <w:pStyle w:val="30"/>
        <w:tabs>
          <w:tab w:val="right" w:leader="dot" w:pos="9921"/>
        </w:tabs>
      </w:pPr>
      <w:r>
        <w:fldChar w:fldCharType="begin"/>
      </w:r>
      <w:r>
        <w:instrText xml:space="preserve"> HYPERLINK \l "_Toc23335" </w:instrText>
      </w:r>
      <w:r>
        <w:fldChar w:fldCharType="separate"/>
      </w:r>
      <w:r>
        <w:t xml:space="preserve">6. </w:t>
      </w:r>
      <w:r>
        <w:rPr>
          <w:rFonts w:hint="eastAsia"/>
        </w:rPr>
        <w:t>知识产权</w:t>
      </w:r>
      <w:r>
        <w:tab/>
      </w:r>
      <w:r>
        <w:fldChar w:fldCharType="begin"/>
      </w:r>
      <w:r>
        <w:instrText xml:space="preserve"> PAGEREF _Toc23335 </w:instrText>
      </w:r>
      <w:r>
        <w:fldChar w:fldCharType="separate"/>
      </w:r>
      <w:r>
        <w:t>16</w:t>
      </w:r>
      <w:r>
        <w:fldChar w:fldCharType="end"/>
      </w:r>
      <w:r>
        <w:fldChar w:fldCharType="end"/>
      </w:r>
    </w:p>
    <w:p>
      <w:pPr>
        <w:pStyle w:val="30"/>
        <w:tabs>
          <w:tab w:val="right" w:leader="dot" w:pos="9921"/>
        </w:tabs>
      </w:pPr>
      <w:r>
        <w:fldChar w:fldCharType="begin"/>
      </w:r>
      <w:r>
        <w:instrText xml:space="preserve"> HYPERLINK \l "_Toc11658" </w:instrText>
      </w:r>
      <w:r>
        <w:fldChar w:fldCharType="separate"/>
      </w:r>
      <w:r>
        <w:t xml:space="preserve">7. </w:t>
      </w:r>
      <w:r>
        <w:rPr>
          <w:rFonts w:hint="eastAsia"/>
        </w:rPr>
        <w:t>履约保证金</w:t>
      </w:r>
      <w:r>
        <w:tab/>
      </w:r>
      <w:r>
        <w:fldChar w:fldCharType="begin"/>
      </w:r>
      <w:r>
        <w:instrText xml:space="preserve"> PAGEREF _Toc11658 </w:instrText>
      </w:r>
      <w:r>
        <w:fldChar w:fldCharType="separate"/>
      </w:r>
      <w:r>
        <w:t>16</w:t>
      </w:r>
      <w:r>
        <w:fldChar w:fldCharType="end"/>
      </w:r>
      <w:r>
        <w:fldChar w:fldCharType="end"/>
      </w:r>
    </w:p>
    <w:p>
      <w:pPr>
        <w:pStyle w:val="30"/>
        <w:tabs>
          <w:tab w:val="right" w:leader="dot" w:pos="9921"/>
        </w:tabs>
      </w:pPr>
      <w:r>
        <w:fldChar w:fldCharType="begin"/>
      </w:r>
      <w:r>
        <w:instrText xml:space="preserve"> HYPERLINK \l "_Toc4031" </w:instrText>
      </w:r>
      <w:r>
        <w:fldChar w:fldCharType="separate"/>
      </w:r>
      <w:r>
        <w:t xml:space="preserve">8. </w:t>
      </w:r>
      <w:r>
        <w:rPr>
          <w:rFonts w:hint="eastAsia"/>
        </w:rPr>
        <w:t>包装</w:t>
      </w:r>
      <w:r>
        <w:tab/>
      </w:r>
      <w:r>
        <w:fldChar w:fldCharType="begin"/>
      </w:r>
      <w:r>
        <w:instrText xml:space="preserve"> PAGEREF _Toc4031 </w:instrText>
      </w:r>
      <w:r>
        <w:fldChar w:fldCharType="separate"/>
      </w:r>
      <w:r>
        <w:t>16</w:t>
      </w:r>
      <w:r>
        <w:fldChar w:fldCharType="end"/>
      </w:r>
      <w:r>
        <w:fldChar w:fldCharType="end"/>
      </w:r>
    </w:p>
    <w:p>
      <w:pPr>
        <w:pStyle w:val="30"/>
        <w:tabs>
          <w:tab w:val="right" w:leader="dot" w:pos="9921"/>
        </w:tabs>
      </w:pPr>
      <w:r>
        <w:fldChar w:fldCharType="begin"/>
      </w:r>
      <w:r>
        <w:instrText xml:space="preserve"> HYPERLINK \l "_Toc11762" </w:instrText>
      </w:r>
      <w:r>
        <w:fldChar w:fldCharType="separate"/>
      </w:r>
      <w:r>
        <w:t xml:space="preserve">9. </w:t>
      </w:r>
      <w:r>
        <w:rPr>
          <w:rFonts w:hint="eastAsia"/>
        </w:rPr>
        <w:t>验收</w:t>
      </w:r>
      <w:r>
        <w:tab/>
      </w:r>
      <w:r>
        <w:fldChar w:fldCharType="begin"/>
      </w:r>
      <w:r>
        <w:instrText xml:space="preserve"> PAGEREF _Toc11762 </w:instrText>
      </w:r>
      <w:r>
        <w:fldChar w:fldCharType="separate"/>
      </w:r>
      <w:r>
        <w:t>17</w:t>
      </w:r>
      <w:r>
        <w:fldChar w:fldCharType="end"/>
      </w:r>
      <w:r>
        <w:fldChar w:fldCharType="end"/>
      </w:r>
    </w:p>
    <w:p>
      <w:pPr>
        <w:pStyle w:val="30"/>
        <w:tabs>
          <w:tab w:val="right" w:leader="dot" w:pos="9921"/>
        </w:tabs>
      </w:pPr>
      <w:r>
        <w:fldChar w:fldCharType="begin"/>
      </w:r>
      <w:r>
        <w:instrText xml:space="preserve"> HYPERLINK \l "_Toc21014" </w:instrText>
      </w:r>
      <w:r>
        <w:fldChar w:fldCharType="separate"/>
      </w:r>
      <w:r>
        <w:t xml:space="preserve">10. </w:t>
      </w:r>
      <w:r>
        <w:rPr>
          <w:rFonts w:hint="eastAsia"/>
        </w:rPr>
        <w:t>质量标准、质保期和质保服务</w:t>
      </w:r>
      <w:r>
        <w:tab/>
      </w:r>
      <w:r>
        <w:fldChar w:fldCharType="begin"/>
      </w:r>
      <w:r>
        <w:instrText xml:space="preserve"> PAGEREF _Toc21014 </w:instrText>
      </w:r>
      <w:r>
        <w:fldChar w:fldCharType="separate"/>
      </w:r>
      <w:r>
        <w:t>17</w:t>
      </w:r>
      <w:r>
        <w:fldChar w:fldCharType="end"/>
      </w:r>
      <w:r>
        <w:fldChar w:fldCharType="end"/>
      </w:r>
    </w:p>
    <w:p>
      <w:pPr>
        <w:pStyle w:val="30"/>
        <w:tabs>
          <w:tab w:val="right" w:leader="dot" w:pos="9921"/>
        </w:tabs>
      </w:pPr>
      <w:r>
        <w:fldChar w:fldCharType="begin"/>
      </w:r>
      <w:r>
        <w:instrText xml:space="preserve"> HYPERLINK \l "_Toc16871" </w:instrText>
      </w:r>
      <w:r>
        <w:fldChar w:fldCharType="separate"/>
      </w:r>
      <w:r>
        <w:t xml:space="preserve">11. </w:t>
      </w:r>
      <w:r>
        <w:rPr>
          <w:rFonts w:hint="eastAsia"/>
        </w:rPr>
        <w:t>所有权与风险转移</w:t>
      </w:r>
      <w:r>
        <w:tab/>
      </w:r>
      <w:r>
        <w:fldChar w:fldCharType="begin"/>
      </w:r>
      <w:r>
        <w:instrText xml:space="preserve"> PAGEREF _Toc16871 </w:instrText>
      </w:r>
      <w:r>
        <w:fldChar w:fldCharType="separate"/>
      </w:r>
      <w:r>
        <w:t>17</w:t>
      </w:r>
      <w:r>
        <w:fldChar w:fldCharType="end"/>
      </w:r>
      <w:r>
        <w:fldChar w:fldCharType="end"/>
      </w:r>
    </w:p>
    <w:p>
      <w:pPr>
        <w:pStyle w:val="30"/>
        <w:tabs>
          <w:tab w:val="right" w:leader="dot" w:pos="9921"/>
        </w:tabs>
      </w:pPr>
      <w:r>
        <w:fldChar w:fldCharType="begin"/>
      </w:r>
      <w:r>
        <w:instrText xml:space="preserve"> HYPERLINK \l "_Toc5226" </w:instrText>
      </w:r>
      <w:r>
        <w:fldChar w:fldCharType="separate"/>
      </w:r>
      <w:r>
        <w:t xml:space="preserve">12. </w:t>
      </w:r>
      <w:r>
        <w:rPr>
          <w:rFonts w:hint="eastAsia"/>
        </w:rPr>
        <w:t>付款</w:t>
      </w:r>
      <w:r>
        <w:tab/>
      </w:r>
      <w:r>
        <w:fldChar w:fldCharType="begin"/>
      </w:r>
      <w:r>
        <w:instrText xml:space="preserve"> PAGEREF _Toc5226 </w:instrText>
      </w:r>
      <w:r>
        <w:fldChar w:fldCharType="separate"/>
      </w:r>
      <w:r>
        <w:t>17</w:t>
      </w:r>
      <w:r>
        <w:fldChar w:fldCharType="end"/>
      </w:r>
      <w:r>
        <w:fldChar w:fldCharType="end"/>
      </w:r>
    </w:p>
    <w:p>
      <w:pPr>
        <w:pStyle w:val="30"/>
        <w:tabs>
          <w:tab w:val="right" w:leader="dot" w:pos="9921"/>
        </w:tabs>
      </w:pPr>
      <w:r>
        <w:fldChar w:fldCharType="begin"/>
      </w:r>
      <w:r>
        <w:instrText xml:space="preserve"> HYPERLINK \l "_Toc21231" </w:instrText>
      </w:r>
      <w:r>
        <w:fldChar w:fldCharType="separate"/>
      </w:r>
      <w:r>
        <w:t xml:space="preserve">13. </w:t>
      </w:r>
      <w:r>
        <w:rPr>
          <w:rFonts w:hint="eastAsia"/>
        </w:rPr>
        <w:t>违约责任</w:t>
      </w:r>
      <w:r>
        <w:tab/>
      </w:r>
      <w:r>
        <w:fldChar w:fldCharType="begin"/>
      </w:r>
      <w:r>
        <w:instrText xml:space="preserve"> PAGEREF _Toc21231 </w:instrText>
      </w:r>
      <w:r>
        <w:fldChar w:fldCharType="separate"/>
      </w:r>
      <w:r>
        <w:t>18</w:t>
      </w:r>
      <w:r>
        <w:fldChar w:fldCharType="end"/>
      </w:r>
      <w:r>
        <w:fldChar w:fldCharType="end"/>
      </w:r>
    </w:p>
    <w:p>
      <w:pPr>
        <w:pStyle w:val="30"/>
        <w:tabs>
          <w:tab w:val="right" w:leader="dot" w:pos="9921"/>
        </w:tabs>
      </w:pPr>
      <w:r>
        <w:fldChar w:fldCharType="begin"/>
      </w:r>
      <w:r>
        <w:instrText xml:space="preserve"> HYPERLINK \l "_Toc24935" </w:instrText>
      </w:r>
      <w:r>
        <w:fldChar w:fldCharType="separate"/>
      </w:r>
      <w:r>
        <w:t xml:space="preserve">14. </w:t>
      </w:r>
      <w:r>
        <w:rPr>
          <w:rFonts w:hint="eastAsia"/>
        </w:rPr>
        <w:t>不可抗力</w:t>
      </w:r>
      <w:r>
        <w:tab/>
      </w:r>
      <w:r>
        <w:fldChar w:fldCharType="begin"/>
      </w:r>
      <w:r>
        <w:instrText xml:space="preserve"> PAGEREF _Toc24935 </w:instrText>
      </w:r>
      <w:r>
        <w:fldChar w:fldCharType="separate"/>
      </w:r>
      <w:r>
        <w:t>18</w:t>
      </w:r>
      <w:r>
        <w:fldChar w:fldCharType="end"/>
      </w:r>
      <w:r>
        <w:fldChar w:fldCharType="end"/>
      </w:r>
    </w:p>
    <w:p>
      <w:pPr>
        <w:pStyle w:val="30"/>
        <w:tabs>
          <w:tab w:val="right" w:leader="dot" w:pos="9921"/>
        </w:tabs>
      </w:pPr>
      <w:r>
        <w:fldChar w:fldCharType="begin"/>
      </w:r>
      <w:r>
        <w:instrText xml:space="preserve"> HYPERLINK \l "_Toc21334" </w:instrText>
      </w:r>
      <w:r>
        <w:fldChar w:fldCharType="separate"/>
      </w:r>
      <w:r>
        <w:t xml:space="preserve">15. </w:t>
      </w:r>
      <w:r>
        <w:rPr>
          <w:rFonts w:hint="eastAsia"/>
        </w:rPr>
        <w:t>税费</w:t>
      </w:r>
      <w:r>
        <w:tab/>
      </w:r>
      <w:r>
        <w:fldChar w:fldCharType="begin"/>
      </w:r>
      <w:r>
        <w:instrText xml:space="preserve"> PAGEREF _Toc21334 </w:instrText>
      </w:r>
      <w:r>
        <w:fldChar w:fldCharType="separate"/>
      </w:r>
      <w:r>
        <w:t>19</w:t>
      </w:r>
      <w:r>
        <w:fldChar w:fldCharType="end"/>
      </w:r>
      <w:r>
        <w:fldChar w:fldCharType="end"/>
      </w:r>
    </w:p>
    <w:p>
      <w:pPr>
        <w:pStyle w:val="30"/>
        <w:tabs>
          <w:tab w:val="right" w:leader="dot" w:pos="9921"/>
        </w:tabs>
      </w:pPr>
      <w:r>
        <w:fldChar w:fldCharType="begin"/>
      </w:r>
      <w:r>
        <w:instrText xml:space="preserve"> HYPERLINK \l "_Toc29490" </w:instrText>
      </w:r>
      <w:r>
        <w:fldChar w:fldCharType="separate"/>
      </w:r>
      <w:r>
        <w:t xml:space="preserve">16. </w:t>
      </w:r>
      <w:r>
        <w:rPr>
          <w:rFonts w:hint="eastAsia"/>
        </w:rPr>
        <w:t>变更指示</w:t>
      </w:r>
      <w:r>
        <w:tab/>
      </w:r>
      <w:r>
        <w:fldChar w:fldCharType="begin"/>
      </w:r>
      <w:r>
        <w:instrText xml:space="preserve"> PAGEREF _Toc29490 </w:instrText>
      </w:r>
      <w:r>
        <w:fldChar w:fldCharType="separate"/>
      </w:r>
      <w:r>
        <w:t>19</w:t>
      </w:r>
      <w:r>
        <w:fldChar w:fldCharType="end"/>
      </w:r>
      <w:r>
        <w:fldChar w:fldCharType="end"/>
      </w:r>
    </w:p>
    <w:p>
      <w:pPr>
        <w:pStyle w:val="30"/>
        <w:tabs>
          <w:tab w:val="right" w:leader="dot" w:pos="9921"/>
        </w:tabs>
      </w:pPr>
      <w:r>
        <w:fldChar w:fldCharType="begin"/>
      </w:r>
      <w:r>
        <w:instrText xml:space="preserve"> HYPERLINK \l "_Toc2451" </w:instrText>
      </w:r>
      <w:r>
        <w:fldChar w:fldCharType="separate"/>
      </w:r>
      <w:r>
        <w:t xml:space="preserve">17. </w:t>
      </w:r>
      <w:r>
        <w:rPr>
          <w:rFonts w:hint="eastAsia"/>
        </w:rPr>
        <w:t>转让和分包</w:t>
      </w:r>
      <w:r>
        <w:tab/>
      </w:r>
      <w:r>
        <w:fldChar w:fldCharType="begin"/>
      </w:r>
      <w:r>
        <w:instrText xml:space="preserve"> PAGEREF _Toc2451 </w:instrText>
      </w:r>
      <w:r>
        <w:fldChar w:fldCharType="separate"/>
      </w:r>
      <w:r>
        <w:t>19</w:t>
      </w:r>
      <w:r>
        <w:fldChar w:fldCharType="end"/>
      </w:r>
      <w:r>
        <w:fldChar w:fldCharType="end"/>
      </w:r>
    </w:p>
    <w:p>
      <w:pPr>
        <w:pStyle w:val="30"/>
        <w:tabs>
          <w:tab w:val="right" w:leader="dot" w:pos="9921"/>
        </w:tabs>
      </w:pPr>
      <w:r>
        <w:fldChar w:fldCharType="begin"/>
      </w:r>
      <w:r>
        <w:instrText xml:space="preserve"> HYPERLINK \l "_Toc8129" </w:instrText>
      </w:r>
      <w:r>
        <w:fldChar w:fldCharType="separate"/>
      </w:r>
      <w:r>
        <w:t xml:space="preserve">18. </w:t>
      </w:r>
      <w:r>
        <w:rPr>
          <w:rFonts w:hint="eastAsia"/>
        </w:rPr>
        <w:t>争端处理</w:t>
      </w:r>
      <w:r>
        <w:tab/>
      </w:r>
      <w:r>
        <w:fldChar w:fldCharType="begin"/>
      </w:r>
      <w:r>
        <w:instrText xml:space="preserve"> PAGEREF _Toc8129 </w:instrText>
      </w:r>
      <w:r>
        <w:fldChar w:fldCharType="separate"/>
      </w:r>
      <w:r>
        <w:t>19</w:t>
      </w:r>
      <w:r>
        <w:fldChar w:fldCharType="end"/>
      </w:r>
      <w:r>
        <w:fldChar w:fldCharType="end"/>
      </w:r>
    </w:p>
    <w:p>
      <w:pPr>
        <w:pStyle w:val="30"/>
        <w:tabs>
          <w:tab w:val="right" w:leader="dot" w:pos="9921"/>
        </w:tabs>
      </w:pPr>
      <w:r>
        <w:fldChar w:fldCharType="begin"/>
      </w:r>
      <w:r>
        <w:instrText xml:space="preserve"> HYPERLINK \l "_Toc24501" </w:instrText>
      </w:r>
      <w:r>
        <w:fldChar w:fldCharType="separate"/>
      </w:r>
      <w:r>
        <w:t xml:space="preserve">19. </w:t>
      </w:r>
      <w:r>
        <w:rPr>
          <w:rFonts w:hint="eastAsia"/>
        </w:rPr>
        <w:t>合同生效及其它</w:t>
      </w:r>
      <w:r>
        <w:tab/>
      </w:r>
      <w:r>
        <w:fldChar w:fldCharType="begin"/>
      </w:r>
      <w:r>
        <w:instrText xml:space="preserve"> PAGEREF _Toc24501 </w:instrText>
      </w:r>
      <w:r>
        <w:fldChar w:fldCharType="separate"/>
      </w:r>
      <w:r>
        <w:t>19</w:t>
      </w:r>
      <w:r>
        <w:fldChar w:fldCharType="end"/>
      </w:r>
      <w:r>
        <w:fldChar w:fldCharType="end"/>
      </w:r>
    </w:p>
    <w:p>
      <w:pPr>
        <w:pStyle w:val="30"/>
        <w:tabs>
          <w:tab w:val="right" w:leader="dot" w:pos="9921"/>
        </w:tabs>
      </w:pPr>
      <w:r>
        <w:fldChar w:fldCharType="begin"/>
      </w:r>
      <w:r>
        <w:instrText xml:space="preserve"> HYPERLINK \l "_Toc11537" </w:instrText>
      </w:r>
      <w:r>
        <w:fldChar w:fldCharType="separate"/>
      </w:r>
      <w:r>
        <w:rPr>
          <w:rFonts w:hint="eastAsia"/>
        </w:rPr>
        <w:t>廉 政 合 同</w:t>
      </w:r>
      <w:r>
        <w:tab/>
      </w:r>
      <w:r>
        <w:fldChar w:fldCharType="begin"/>
      </w:r>
      <w:r>
        <w:instrText xml:space="preserve"> PAGEREF _Toc11537 </w:instrText>
      </w:r>
      <w:r>
        <w:fldChar w:fldCharType="separate"/>
      </w:r>
      <w:r>
        <w:t>21</w:t>
      </w:r>
      <w:r>
        <w:fldChar w:fldCharType="end"/>
      </w:r>
      <w:r>
        <w:fldChar w:fldCharType="end"/>
      </w:r>
    </w:p>
    <w:p>
      <w:pPr>
        <w:pStyle w:val="30"/>
        <w:tabs>
          <w:tab w:val="right" w:leader="dot" w:pos="9921"/>
        </w:tabs>
      </w:pPr>
      <w:r>
        <w:fldChar w:fldCharType="begin"/>
      </w:r>
      <w:r>
        <w:instrText xml:space="preserve"> HYPERLINK \l "_Toc8007" </w:instrText>
      </w:r>
      <w:r>
        <w:fldChar w:fldCharType="separate"/>
      </w:r>
      <w:r>
        <w:rPr>
          <w:rFonts w:hint="eastAsia"/>
        </w:rPr>
        <w:t>三方协议</w:t>
      </w:r>
      <w:r>
        <w:tab/>
      </w:r>
      <w:r>
        <w:fldChar w:fldCharType="begin"/>
      </w:r>
      <w:r>
        <w:instrText xml:space="preserve"> PAGEREF _Toc8007 </w:instrText>
      </w:r>
      <w:r>
        <w:fldChar w:fldCharType="separate"/>
      </w:r>
      <w:r>
        <w:t>23</w:t>
      </w:r>
      <w:r>
        <w:fldChar w:fldCharType="end"/>
      </w:r>
      <w:r>
        <w:fldChar w:fldCharType="end"/>
      </w:r>
    </w:p>
    <w:p>
      <w:pPr>
        <w:pStyle w:val="26"/>
        <w:tabs>
          <w:tab w:val="right" w:leader="dot" w:pos="9921"/>
        </w:tabs>
      </w:pPr>
      <w:r>
        <w:fldChar w:fldCharType="begin"/>
      </w:r>
      <w:r>
        <w:instrText xml:space="preserve"> HYPERLINK \l "_Toc10664" </w:instrText>
      </w:r>
      <w:r>
        <w:fldChar w:fldCharType="separate"/>
      </w:r>
      <w:r>
        <w:rPr>
          <w:rFonts w:hint="eastAsia"/>
        </w:rPr>
        <w:t>第六章. 比选申请文件（格式）</w:t>
      </w:r>
      <w:r>
        <w:tab/>
      </w:r>
      <w:r>
        <w:fldChar w:fldCharType="begin"/>
      </w:r>
      <w:r>
        <w:instrText xml:space="preserve"> PAGEREF _Toc10664 </w:instrText>
      </w:r>
      <w:r>
        <w:fldChar w:fldCharType="separate"/>
      </w:r>
      <w:r>
        <w:t>24</w:t>
      </w:r>
      <w:r>
        <w:fldChar w:fldCharType="end"/>
      </w:r>
      <w:r>
        <w:fldChar w:fldCharType="end"/>
      </w:r>
    </w:p>
    <w:p>
      <w:pPr>
        <w:pStyle w:val="30"/>
        <w:tabs>
          <w:tab w:val="right" w:leader="dot" w:pos="9921"/>
        </w:tabs>
      </w:pPr>
      <w:r>
        <w:fldChar w:fldCharType="begin"/>
      </w:r>
      <w:r>
        <w:instrText xml:space="preserve"> HYPERLINK \l "_Toc27678" </w:instrText>
      </w:r>
      <w:r>
        <w:fldChar w:fldCharType="separate"/>
      </w:r>
      <w:r>
        <w:rPr>
          <w:rFonts w:hint="eastAsia"/>
        </w:rPr>
        <w:t>资格审查部分</w:t>
      </w:r>
      <w:r>
        <w:tab/>
      </w:r>
      <w:r>
        <w:fldChar w:fldCharType="begin"/>
      </w:r>
      <w:r>
        <w:instrText xml:space="preserve"> PAGEREF _Toc27678 </w:instrText>
      </w:r>
      <w:r>
        <w:fldChar w:fldCharType="separate"/>
      </w:r>
      <w:r>
        <w:t>24</w:t>
      </w:r>
      <w:r>
        <w:fldChar w:fldCharType="end"/>
      </w:r>
      <w:r>
        <w:fldChar w:fldCharType="end"/>
      </w:r>
    </w:p>
    <w:p>
      <w:pPr>
        <w:pStyle w:val="30"/>
        <w:tabs>
          <w:tab w:val="right" w:leader="dot" w:pos="9921"/>
        </w:tabs>
      </w:pPr>
      <w:r>
        <w:fldChar w:fldCharType="begin"/>
      </w:r>
      <w:r>
        <w:instrText xml:space="preserve"> HYPERLINK \l "_Toc18416" </w:instrText>
      </w:r>
      <w:r>
        <w:fldChar w:fldCharType="separate"/>
      </w:r>
      <w:r>
        <w:rPr>
          <w:rFonts w:hint="eastAsia"/>
        </w:rPr>
        <w:t>技术部分</w:t>
      </w:r>
      <w:r>
        <w:tab/>
      </w:r>
      <w:r>
        <w:fldChar w:fldCharType="begin"/>
      </w:r>
      <w:r>
        <w:instrText xml:space="preserve"> PAGEREF _Toc18416 </w:instrText>
      </w:r>
      <w:r>
        <w:fldChar w:fldCharType="separate"/>
      </w:r>
      <w:r>
        <w:t>32</w:t>
      </w:r>
      <w:r>
        <w:fldChar w:fldCharType="end"/>
      </w:r>
      <w:r>
        <w:fldChar w:fldCharType="end"/>
      </w:r>
    </w:p>
    <w:p>
      <w:pPr>
        <w:pStyle w:val="30"/>
        <w:tabs>
          <w:tab w:val="right" w:leader="dot" w:pos="9921"/>
        </w:tabs>
      </w:pPr>
      <w:r>
        <w:fldChar w:fldCharType="begin"/>
      </w:r>
      <w:r>
        <w:instrText xml:space="preserve"> HYPERLINK \l "_Toc4875" </w:instrText>
      </w:r>
      <w:r>
        <w:fldChar w:fldCharType="separate"/>
      </w:r>
      <w:r>
        <w:rPr>
          <w:rFonts w:hint="eastAsia"/>
        </w:rPr>
        <w:t>商务部分</w:t>
      </w:r>
      <w:r>
        <w:tab/>
      </w:r>
      <w:r>
        <w:fldChar w:fldCharType="begin"/>
      </w:r>
      <w:r>
        <w:instrText xml:space="preserve"> PAGEREF _Toc4875 </w:instrText>
      </w:r>
      <w:r>
        <w:fldChar w:fldCharType="separate"/>
      </w:r>
      <w:r>
        <w:t>34</w:t>
      </w:r>
      <w:r>
        <w:fldChar w:fldCharType="end"/>
      </w:r>
      <w:r>
        <w:fldChar w:fldCharType="end"/>
      </w:r>
    </w:p>
    <w:p>
      <w:pPr>
        <w:widowControl/>
        <w:spacing w:beforeLines="100"/>
        <w:jc w:val="left"/>
        <w:rPr>
          <w:rFonts w:ascii="宋体" w:hAnsi="宋体" w:cs="Arial"/>
          <w:bCs/>
          <w:sz w:val="28"/>
          <w:szCs w:val="28"/>
        </w:rPr>
      </w:pPr>
      <w:r>
        <w:rPr>
          <w:rFonts w:ascii="宋体" w:hAnsi="宋体" w:cstheme="minorHAnsi"/>
          <w:bCs/>
          <w:i/>
          <w:iCs/>
          <w:szCs w:val="28"/>
        </w:rPr>
        <w:fldChar w:fldCharType="end"/>
      </w:r>
      <w:r>
        <w:rPr>
          <w:rFonts w:ascii="宋体" w:hAnsi="宋体"/>
          <w:bCs/>
          <w:szCs w:val="28"/>
        </w:rPr>
        <w:br w:type="page"/>
      </w:r>
    </w:p>
    <w:bookmarkEnd w:id="0"/>
    <w:bookmarkEnd w:id="1"/>
    <w:bookmarkEnd w:id="2"/>
    <w:p>
      <w:pPr>
        <w:pStyle w:val="32"/>
        <w:numPr>
          <w:ilvl w:val="0"/>
          <w:numId w:val="2"/>
        </w:numPr>
        <w:spacing w:before="100" w:beforeAutospacing="1" w:after="0"/>
        <w:rPr>
          <w:sz w:val="24"/>
        </w:rPr>
      </w:pPr>
      <w:bookmarkStart w:id="3" w:name="_Toc27377"/>
      <w:bookmarkStart w:id="4" w:name="_Toc286386831"/>
      <w:bookmarkStart w:id="5" w:name="_Toc437544520"/>
      <w:bookmarkStart w:id="6" w:name="_Toc437544675"/>
      <w:bookmarkStart w:id="7" w:name="_Toc114052411"/>
      <w:bookmarkStart w:id="8" w:name="_Toc114052337"/>
      <w:bookmarkStart w:id="9" w:name="_Toc392862473"/>
      <w:r>
        <w:rPr>
          <w:rFonts w:hint="eastAsia"/>
          <w:sz w:val="24"/>
        </w:rPr>
        <w:t>比选公告</w:t>
      </w:r>
      <w:bookmarkEnd w:id="3"/>
    </w:p>
    <w:p>
      <w:pPr>
        <w:spacing w:beforeLines="50"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南宁轨道交通集团有限责任公司运营分公司需采购广告类物资一批，现邀请符合条件的供应商参加；比选发起人为南宁轨道交通集团有限责任公司运营分公司。</w:t>
      </w:r>
    </w:p>
    <w:p>
      <w:pPr>
        <w:pStyle w:val="47"/>
        <w:numPr>
          <w:ilvl w:val="0"/>
          <w:numId w:val="3"/>
        </w:numPr>
        <w:spacing w:beforeLines="50"/>
        <w:ind w:left="482" w:hanging="482" w:hangingChars="200"/>
        <w:rPr>
          <w:rFonts w:ascii="宋体" w:hAnsi="宋体"/>
          <w:b/>
          <w:sz w:val="24"/>
          <w:szCs w:val="24"/>
        </w:rPr>
      </w:pPr>
      <w:r>
        <w:rPr>
          <w:rFonts w:hint="eastAsia" w:ascii="宋体" w:hAnsi="宋体"/>
          <w:b/>
          <w:sz w:val="24"/>
          <w:szCs w:val="24"/>
        </w:rPr>
        <w:t>项目简况</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项目名称：南宁轨道交通集团有限责任公司运营分公司可视化党建工作物资采购项目。</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项目编号：NNGD-YY-DQBX-0</w:t>
      </w:r>
      <w:r>
        <w:rPr>
          <w:rFonts w:hint="eastAsia" w:cs="宋体" w:asciiTheme="minorEastAsia" w:hAnsiTheme="minorEastAsia"/>
          <w:kern w:val="0"/>
          <w:sz w:val="24"/>
          <w:szCs w:val="24"/>
          <w:lang w:val="en-US" w:eastAsia="zh-CN"/>
        </w:rPr>
        <w:t>2</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项目内容：本项目的供货及相关服务，如：pvc亚克力夹板、书架等。</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交货期限：45天（中选通知书发出后，按交货通知交货）。</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本项目设有比选保证金、履约保证金，不设预付款。</w:t>
      </w:r>
    </w:p>
    <w:p>
      <w:pPr>
        <w:pStyle w:val="47"/>
        <w:numPr>
          <w:ilvl w:val="1"/>
          <w:numId w:val="4"/>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本项目上限控制价</w:t>
      </w:r>
      <w:r>
        <w:rPr>
          <w:rFonts w:hint="eastAsia" w:cs="宋体" w:asciiTheme="minorEastAsia" w:hAnsiTheme="minorEastAsia"/>
          <w:kern w:val="0"/>
          <w:sz w:val="24"/>
          <w:szCs w:val="24"/>
          <w:lang w:val="en-US" w:eastAsia="zh-CN"/>
        </w:rPr>
        <w:t>325496.18</w:t>
      </w:r>
      <w:r>
        <w:rPr>
          <w:rFonts w:hint="eastAsia" w:cs="宋体" w:asciiTheme="minorEastAsia" w:hAnsiTheme="minorEastAsia"/>
          <w:kern w:val="0"/>
          <w:sz w:val="24"/>
          <w:szCs w:val="24"/>
        </w:rPr>
        <w:t>元</w:t>
      </w:r>
      <w:r>
        <w:rPr>
          <w:rFonts w:hint="eastAsia" w:cs="宋体" w:asciiTheme="minorEastAsia" w:hAnsiTheme="minorEastAsia"/>
          <w:kern w:val="0"/>
          <w:sz w:val="24"/>
          <w:szCs w:val="24"/>
          <w:lang w:eastAsia="zh-CN"/>
        </w:rPr>
        <w:t>（含税）</w:t>
      </w:r>
      <w:r>
        <w:rPr>
          <w:rFonts w:hint="eastAsia" w:cs="宋体" w:asciiTheme="minorEastAsia" w:hAnsiTheme="minorEastAsia"/>
          <w:kern w:val="0"/>
          <w:sz w:val="24"/>
          <w:szCs w:val="24"/>
        </w:rPr>
        <w:t>。</w:t>
      </w:r>
    </w:p>
    <w:p>
      <w:pPr>
        <w:pStyle w:val="47"/>
        <w:numPr>
          <w:ilvl w:val="0"/>
          <w:numId w:val="3"/>
        </w:numPr>
        <w:spacing w:beforeLines="50"/>
        <w:ind w:left="482" w:hanging="482" w:hangingChars="200"/>
        <w:rPr>
          <w:rFonts w:ascii="宋体" w:hAnsi="宋体"/>
          <w:b/>
          <w:sz w:val="24"/>
          <w:szCs w:val="24"/>
        </w:rPr>
      </w:pPr>
      <w:r>
        <w:rPr>
          <w:rFonts w:hint="eastAsia" w:ascii="宋体" w:hAnsi="宋体"/>
          <w:b/>
          <w:sz w:val="24"/>
          <w:szCs w:val="24"/>
        </w:rPr>
        <w:t>供应商资格要求</w:t>
      </w:r>
    </w:p>
    <w:p>
      <w:pPr>
        <w:pStyle w:val="47"/>
        <w:numPr>
          <w:ilvl w:val="0"/>
          <w:numId w:val="5"/>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具有国内独立法人资格的制造商或代理商，营业执照经营范围至少包括下列范围之一：</w:t>
      </w:r>
      <w:r>
        <w:rPr>
          <w:rFonts w:hint="eastAsia" w:ascii="宋体" w:hAnsi="宋体" w:cs="宋体"/>
          <w:kern w:val="0"/>
          <w:sz w:val="24"/>
          <w:szCs w:val="24"/>
        </w:rPr>
        <w:t>①广告设计制作，②日用品，③办公用品，④标识制作，⑤包装装潢印刷</w:t>
      </w:r>
      <w:r>
        <w:rPr>
          <w:rFonts w:hint="eastAsia" w:cs="宋体" w:asciiTheme="minorEastAsia" w:hAnsiTheme="minorEastAsia"/>
          <w:kern w:val="0"/>
          <w:sz w:val="24"/>
          <w:szCs w:val="24"/>
        </w:rPr>
        <w:t>。</w:t>
      </w:r>
    </w:p>
    <w:p>
      <w:pPr>
        <w:pStyle w:val="47"/>
        <w:numPr>
          <w:ilvl w:val="0"/>
          <w:numId w:val="5"/>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本次比选不接受联合体报价；母、子公司只允许其中一家公司参与比选申请，同一法人代表，只接受一家参与比选申请。</w:t>
      </w:r>
    </w:p>
    <w:p>
      <w:pPr>
        <w:pStyle w:val="47"/>
        <w:numPr>
          <w:ilvl w:val="0"/>
          <w:numId w:val="3"/>
        </w:numPr>
        <w:spacing w:beforeLines="50"/>
        <w:ind w:left="482" w:hanging="482" w:hangingChars="200"/>
        <w:rPr>
          <w:rFonts w:ascii="宋体" w:hAnsi="宋体"/>
          <w:b/>
          <w:sz w:val="24"/>
          <w:szCs w:val="24"/>
        </w:rPr>
      </w:pPr>
      <w:r>
        <w:rPr>
          <w:rFonts w:hint="eastAsia" w:ascii="宋体" w:hAnsi="宋体"/>
          <w:b/>
          <w:sz w:val="24"/>
          <w:szCs w:val="24"/>
        </w:rPr>
        <w:t>报名方式及时间</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请有意参与的供应商填写报名申请函(附件1</w:t>
      </w:r>
      <w:r>
        <w:rPr>
          <w:rFonts w:cs="宋体" w:asciiTheme="minorEastAsia" w:hAnsiTheme="minorEastAsia"/>
          <w:kern w:val="0"/>
          <w:sz w:val="24"/>
          <w:szCs w:val="24"/>
        </w:rPr>
        <w:t>）</w:t>
      </w:r>
      <w:r>
        <w:rPr>
          <w:rFonts w:hint="eastAsia" w:cs="宋体" w:asciiTheme="minorEastAsia" w:hAnsiTheme="minorEastAsia"/>
          <w:kern w:val="0"/>
          <w:sz w:val="24"/>
          <w:szCs w:val="24"/>
        </w:rPr>
        <w:t>，于</w:t>
      </w:r>
      <w:r>
        <w:rPr>
          <w:rFonts w:hint="eastAsia" w:cs="宋体" w:asciiTheme="minorEastAsia" w:hAnsiTheme="minorEastAsia"/>
          <w:kern w:val="0"/>
          <w:sz w:val="24"/>
          <w:szCs w:val="24"/>
          <w:lang w:val="en-US" w:eastAsia="zh-CN"/>
        </w:rPr>
        <w:t>2019</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13</w:t>
      </w:r>
      <w:r>
        <w:rPr>
          <w:rFonts w:hint="eastAsia" w:cs="宋体" w:asciiTheme="minorEastAsia" w:hAnsiTheme="minorEastAsia"/>
          <w:kern w:val="0"/>
          <w:sz w:val="24"/>
          <w:szCs w:val="24"/>
        </w:rPr>
        <w:t>日17时30分前以书面形式（原件送达或扫描件电子邮件）提交比选发起人。</w:t>
      </w:r>
    </w:p>
    <w:p>
      <w:pPr>
        <w:pStyle w:val="47"/>
        <w:numPr>
          <w:ilvl w:val="0"/>
          <w:numId w:val="3"/>
        </w:numPr>
        <w:spacing w:beforeLines="50"/>
        <w:ind w:left="482" w:hanging="482" w:hangingChars="200"/>
        <w:rPr>
          <w:rFonts w:ascii="宋体" w:hAnsi="宋体"/>
          <w:b/>
          <w:sz w:val="24"/>
          <w:szCs w:val="24"/>
        </w:rPr>
      </w:pPr>
      <w:r>
        <w:rPr>
          <w:rFonts w:hint="eastAsia" w:ascii="宋体" w:hAnsi="宋体"/>
          <w:b/>
          <w:sz w:val="24"/>
          <w:szCs w:val="24"/>
        </w:rPr>
        <w:t>比选文件的获取</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请有意报名的供应商自行网上下载电子版比选文件；供应商未报名并获取比选文件的，比选发起人将拒收其比选申请文件。</w:t>
      </w:r>
    </w:p>
    <w:p>
      <w:pPr>
        <w:pStyle w:val="47"/>
        <w:numPr>
          <w:ilvl w:val="0"/>
          <w:numId w:val="3"/>
        </w:numPr>
        <w:spacing w:beforeLines="50"/>
        <w:ind w:left="482" w:hanging="482" w:hangingChars="200"/>
        <w:rPr>
          <w:rFonts w:ascii="宋体" w:hAnsi="宋体"/>
          <w:b/>
          <w:sz w:val="24"/>
          <w:szCs w:val="24"/>
        </w:rPr>
      </w:pPr>
      <w:r>
        <w:rPr>
          <w:rFonts w:hint="eastAsia" w:ascii="宋体" w:hAnsi="宋体"/>
          <w:b/>
          <w:sz w:val="24"/>
          <w:szCs w:val="24"/>
        </w:rPr>
        <w:t>比选发起人联系方式</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联系人：杨工，电话：0771-</w:t>
      </w:r>
      <w:r>
        <w:rPr>
          <w:rFonts w:cs="宋体" w:asciiTheme="minorEastAsia" w:hAnsiTheme="minorEastAsia"/>
          <w:kern w:val="0"/>
          <w:sz w:val="24"/>
          <w:szCs w:val="24"/>
        </w:rPr>
        <w:t>2</w:t>
      </w:r>
      <w:r>
        <w:rPr>
          <w:rFonts w:hint="eastAsia" w:cs="宋体" w:asciiTheme="minorEastAsia" w:hAnsiTheme="minorEastAsia"/>
          <w:kern w:val="0"/>
          <w:sz w:val="24"/>
          <w:szCs w:val="24"/>
        </w:rPr>
        <w:t>779869，电子邮箱：</w:t>
      </w:r>
      <w:r>
        <w:fldChar w:fldCharType="begin"/>
      </w:r>
      <w:r>
        <w:instrText xml:space="preserve"> HYPERLINK "mailto:hanzhuan2016@foxmail.com；" </w:instrText>
      </w:r>
      <w:r>
        <w:fldChar w:fldCharType="separate"/>
      </w:r>
      <w:r>
        <w:rPr>
          <w:rStyle w:val="39"/>
          <w:rFonts w:hint="eastAsia" w:cs="宋体" w:asciiTheme="minorEastAsia" w:hAnsiTheme="minorEastAsia"/>
          <w:color w:val="auto"/>
          <w:kern w:val="0"/>
          <w:sz w:val="24"/>
          <w:szCs w:val="24"/>
        </w:rPr>
        <w:t>274808309@qq.com；</w:t>
      </w:r>
      <w:r>
        <w:rPr>
          <w:rStyle w:val="39"/>
          <w:rFonts w:hint="eastAsia" w:cs="宋体" w:asciiTheme="minorEastAsia" w:hAnsiTheme="minorEastAsia"/>
          <w:color w:val="auto"/>
          <w:kern w:val="0"/>
          <w:sz w:val="24"/>
          <w:szCs w:val="24"/>
        </w:rPr>
        <w:fldChar w:fldCharType="end"/>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联系人：</w:t>
      </w:r>
      <w:r>
        <w:rPr>
          <w:rFonts w:hint="eastAsia" w:cs="宋体" w:asciiTheme="minorEastAsia" w:hAnsiTheme="minorEastAsia"/>
          <w:kern w:val="0"/>
          <w:sz w:val="24"/>
          <w:szCs w:val="24"/>
          <w:lang w:eastAsia="zh-CN"/>
        </w:rPr>
        <w:t>唐</w:t>
      </w:r>
      <w:r>
        <w:rPr>
          <w:rFonts w:hint="eastAsia" w:cs="宋体" w:asciiTheme="minorEastAsia" w:hAnsiTheme="minorEastAsia"/>
          <w:kern w:val="0"/>
          <w:sz w:val="24"/>
          <w:szCs w:val="24"/>
        </w:rPr>
        <w:t>工，电话：0771-2779869；</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地址：广西壮族自治区南宁市青秀区云景路83号南宁轨道交通1号线屯里车辆段运营综合楼509室，邮编：530029。</w:t>
      </w:r>
    </w:p>
    <w:p>
      <w:pPr>
        <w:widowControl/>
        <w:jc w:val="left"/>
        <w:rPr>
          <w:rFonts w:cs="宋体" w:asciiTheme="minorEastAsia" w:hAnsiTheme="minorEastAsia"/>
          <w:kern w:val="0"/>
          <w:sz w:val="24"/>
          <w:szCs w:val="24"/>
        </w:rPr>
      </w:pPr>
      <w:r>
        <w:rPr>
          <w:rFonts w:cs="宋体" w:asciiTheme="minorEastAsia" w:hAnsiTheme="minorEastAsia"/>
          <w:kern w:val="0"/>
          <w:sz w:val="24"/>
          <w:szCs w:val="24"/>
        </w:rPr>
        <w:br w:type="page"/>
      </w:r>
    </w:p>
    <w:p>
      <w:pPr>
        <w:pStyle w:val="32"/>
        <w:numPr>
          <w:ilvl w:val="0"/>
          <w:numId w:val="2"/>
        </w:numPr>
        <w:spacing w:before="100" w:beforeAutospacing="1" w:after="0"/>
        <w:rPr>
          <w:sz w:val="24"/>
        </w:rPr>
      </w:pPr>
      <w:bookmarkStart w:id="10" w:name="_Toc30859"/>
      <w:r>
        <w:rPr>
          <w:rFonts w:hint="eastAsia"/>
          <w:sz w:val="24"/>
        </w:rPr>
        <w:t>比选须知</w:t>
      </w:r>
      <w:bookmarkEnd w:id="4"/>
      <w:bookmarkEnd w:id="5"/>
      <w:bookmarkEnd w:id="6"/>
      <w:bookmarkEnd w:id="7"/>
      <w:bookmarkEnd w:id="8"/>
      <w:bookmarkEnd w:id="10"/>
    </w:p>
    <w:bookmarkEnd w:id="9"/>
    <w:p>
      <w:pPr>
        <w:pStyle w:val="3"/>
        <w:spacing w:before="0" w:after="0" w:line="240" w:lineRule="auto"/>
        <w:rPr>
          <w:sz w:val="24"/>
        </w:rPr>
      </w:pPr>
      <w:bookmarkStart w:id="11" w:name="_Ref483049734"/>
      <w:bookmarkStart w:id="12" w:name="_Toc9597"/>
      <w:r>
        <w:rPr>
          <w:rFonts w:hint="eastAsia"/>
          <w:sz w:val="24"/>
        </w:rPr>
        <w:t>前附表</w:t>
      </w:r>
      <w:bookmarkEnd w:id="11"/>
      <w:bookmarkEnd w:id="12"/>
    </w:p>
    <w:tbl>
      <w:tblPr>
        <w:tblStyle w:val="34"/>
        <w:tblW w:w="100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376"/>
        <w:gridCol w:w="7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653" w:type="dxa"/>
            <w:shd w:val="clear" w:color="auto" w:fill="D8D8D8" w:themeFill="background1" w:themeFillShade="D9"/>
            <w:vAlign w:val="center"/>
          </w:tcPr>
          <w:p>
            <w:pPr>
              <w:spacing w:line="240" w:lineRule="exact"/>
              <w:jc w:val="center"/>
              <w:rPr>
                <w:rFonts w:ascii="宋体" w:hAnsi="宋体"/>
                <w:szCs w:val="21"/>
              </w:rPr>
            </w:pPr>
            <w:r>
              <w:rPr>
                <w:rFonts w:hint="eastAsia" w:ascii="宋体" w:hAnsi="宋体"/>
                <w:szCs w:val="21"/>
              </w:rPr>
              <w:t>序号</w:t>
            </w:r>
          </w:p>
        </w:tc>
        <w:tc>
          <w:tcPr>
            <w:tcW w:w="1376" w:type="dxa"/>
            <w:shd w:val="clear" w:color="auto" w:fill="D8D8D8" w:themeFill="background1" w:themeFillShade="D9"/>
            <w:vAlign w:val="center"/>
          </w:tcPr>
          <w:p>
            <w:pPr>
              <w:spacing w:line="240" w:lineRule="exact"/>
              <w:jc w:val="center"/>
              <w:rPr>
                <w:rFonts w:ascii="宋体" w:hAnsi="宋体"/>
                <w:szCs w:val="21"/>
              </w:rPr>
            </w:pPr>
            <w:r>
              <w:rPr>
                <w:rFonts w:hint="eastAsia" w:ascii="宋体" w:hAnsi="宋体"/>
                <w:szCs w:val="21"/>
              </w:rPr>
              <w:t>名称</w:t>
            </w:r>
          </w:p>
        </w:tc>
        <w:tc>
          <w:tcPr>
            <w:tcW w:w="7980" w:type="dxa"/>
            <w:shd w:val="clear" w:color="auto" w:fill="D8D8D8" w:themeFill="background1" w:themeFillShade="D9"/>
            <w:vAlign w:val="center"/>
          </w:tcPr>
          <w:p>
            <w:pPr>
              <w:spacing w:line="240" w:lineRule="exact"/>
              <w:jc w:val="center"/>
              <w:rPr>
                <w:rFonts w:ascii="宋体" w:hAnsi="宋体"/>
                <w:szCs w:val="21"/>
              </w:rPr>
            </w:pPr>
            <w:r>
              <w:rPr>
                <w:rFonts w:hint="eastAsia" w:ascii="宋体" w:hAnsi="宋体"/>
                <w:szCs w:val="21"/>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１</w:t>
            </w:r>
          </w:p>
        </w:tc>
        <w:tc>
          <w:tcPr>
            <w:tcW w:w="1376" w:type="dxa"/>
            <w:shd w:val="clear" w:color="auto" w:fill="auto"/>
            <w:vAlign w:val="center"/>
          </w:tcPr>
          <w:p>
            <w:pPr>
              <w:spacing w:line="240" w:lineRule="exact"/>
              <w:jc w:val="center"/>
              <w:rPr>
                <w:rFonts w:ascii="宋体" w:hAnsi="宋体"/>
                <w:szCs w:val="21"/>
              </w:rPr>
            </w:pPr>
            <w:r>
              <w:rPr>
                <w:rFonts w:hint="eastAsia" w:ascii="宋体" w:hAnsi="宋体"/>
                <w:szCs w:val="21"/>
              </w:rPr>
              <w:t>项目名称</w:t>
            </w:r>
          </w:p>
        </w:tc>
        <w:tc>
          <w:tcPr>
            <w:tcW w:w="7980" w:type="dxa"/>
            <w:vAlign w:val="center"/>
          </w:tcPr>
          <w:p>
            <w:pPr>
              <w:pStyle w:val="16"/>
              <w:spacing w:line="240" w:lineRule="exact"/>
              <w:ind w:firstLine="0" w:firstLineChars="0"/>
              <w:rPr>
                <w:rFonts w:ascii="宋体" w:hAnsi="宋体" w:eastAsia="宋体" w:cs="Times New Roman"/>
                <w:color w:val="auto"/>
                <w:sz w:val="21"/>
                <w:szCs w:val="21"/>
              </w:rPr>
            </w:pPr>
            <w:r>
              <w:rPr>
                <w:rFonts w:hint="eastAsia" w:ascii="宋体" w:hAnsi="宋体" w:eastAsia="宋体" w:cs="Times New Roman"/>
                <w:color w:val="auto"/>
                <w:sz w:val="21"/>
                <w:szCs w:val="21"/>
              </w:rPr>
              <w:t>南宁轨道交通集团有限责任公司运营分公司可视化党建工作物资采购项目。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2</w:t>
            </w:r>
          </w:p>
        </w:tc>
        <w:tc>
          <w:tcPr>
            <w:tcW w:w="1376" w:type="dxa"/>
            <w:shd w:val="clear" w:color="auto" w:fill="auto"/>
            <w:vAlign w:val="center"/>
          </w:tcPr>
          <w:p>
            <w:pPr>
              <w:spacing w:line="240" w:lineRule="exact"/>
              <w:jc w:val="center"/>
              <w:rPr>
                <w:rFonts w:ascii="宋体" w:hAnsi="宋体"/>
                <w:szCs w:val="21"/>
              </w:rPr>
            </w:pPr>
            <w:r>
              <w:rPr>
                <w:rFonts w:hint="eastAsia" w:ascii="宋体" w:hAnsi="宋体"/>
                <w:szCs w:val="21"/>
              </w:rPr>
              <w:t>项目编号</w:t>
            </w:r>
          </w:p>
        </w:tc>
        <w:tc>
          <w:tcPr>
            <w:tcW w:w="7980" w:type="dxa"/>
            <w:vAlign w:val="center"/>
          </w:tcPr>
          <w:p>
            <w:pPr>
              <w:spacing w:line="240" w:lineRule="exact"/>
              <w:rPr>
                <w:rFonts w:ascii="宋体" w:hAnsi="宋体"/>
                <w:szCs w:val="21"/>
              </w:rPr>
            </w:pPr>
            <w:r>
              <w:rPr>
                <w:rFonts w:hint="eastAsia" w:cs="宋体" w:asciiTheme="minorEastAsia" w:hAnsiTheme="minorEastAsia"/>
                <w:kern w:val="0"/>
                <w:sz w:val="24"/>
                <w:szCs w:val="24"/>
              </w:rPr>
              <w:t>NNGD-YY-DQBX-0</w:t>
            </w:r>
            <w:r>
              <w:rPr>
                <w:rFonts w:hint="eastAsia" w:cs="宋体" w:asciiTheme="minorEastAsia" w:hAnsiTheme="minorEastAsia"/>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3</w:t>
            </w:r>
          </w:p>
        </w:tc>
        <w:tc>
          <w:tcPr>
            <w:tcW w:w="1376" w:type="dxa"/>
            <w:vAlign w:val="center"/>
          </w:tcPr>
          <w:p>
            <w:pPr>
              <w:spacing w:line="240" w:lineRule="exact"/>
              <w:jc w:val="center"/>
              <w:rPr>
                <w:rFonts w:ascii="宋体" w:hAnsi="宋体"/>
                <w:szCs w:val="21"/>
              </w:rPr>
            </w:pPr>
            <w:r>
              <w:rPr>
                <w:rFonts w:hint="eastAsia" w:ascii="宋体" w:hAnsi="宋体"/>
                <w:szCs w:val="21"/>
              </w:rPr>
              <w:t>项目内容</w:t>
            </w:r>
          </w:p>
        </w:tc>
        <w:tc>
          <w:tcPr>
            <w:tcW w:w="7980" w:type="dxa"/>
            <w:vAlign w:val="center"/>
          </w:tcPr>
          <w:p>
            <w:pPr>
              <w:spacing w:line="240" w:lineRule="exact"/>
              <w:rPr>
                <w:rFonts w:ascii="宋体" w:hAnsi="宋体"/>
                <w:szCs w:val="21"/>
              </w:rPr>
            </w:pPr>
            <w:r>
              <w:rPr>
                <w:rFonts w:hint="eastAsia" w:ascii="宋体" w:hAnsi="宋体"/>
                <w:szCs w:val="21"/>
              </w:rPr>
              <w:t>本项目的供货及相关服务，如：</w:t>
            </w:r>
            <w:r>
              <w:rPr>
                <w:rFonts w:hint="eastAsia" w:cs="宋体" w:asciiTheme="minorEastAsia" w:hAnsiTheme="minorEastAsia"/>
                <w:kern w:val="0"/>
                <w:sz w:val="24"/>
                <w:szCs w:val="24"/>
              </w:rPr>
              <w:t>pvc亚克力夹板、书架等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4</w:t>
            </w:r>
          </w:p>
        </w:tc>
        <w:tc>
          <w:tcPr>
            <w:tcW w:w="1376" w:type="dxa"/>
            <w:vAlign w:val="center"/>
          </w:tcPr>
          <w:p>
            <w:pPr>
              <w:spacing w:line="240" w:lineRule="exact"/>
              <w:jc w:val="center"/>
              <w:rPr>
                <w:rFonts w:ascii="宋体" w:hAnsi="宋体"/>
                <w:szCs w:val="21"/>
              </w:rPr>
            </w:pPr>
            <w:r>
              <w:rPr>
                <w:rFonts w:hint="eastAsia" w:ascii="宋体" w:hAnsi="宋体"/>
                <w:szCs w:val="21"/>
              </w:rPr>
              <w:t>交货期限</w:t>
            </w:r>
          </w:p>
        </w:tc>
        <w:tc>
          <w:tcPr>
            <w:tcW w:w="7980" w:type="dxa"/>
            <w:vAlign w:val="center"/>
          </w:tcPr>
          <w:p>
            <w:pPr>
              <w:rPr>
                <w:rFonts w:ascii="宋体" w:hAnsi="宋体"/>
                <w:szCs w:val="21"/>
              </w:rPr>
            </w:pPr>
            <w:r>
              <w:rPr>
                <w:rFonts w:hint="eastAsia"/>
              </w:rPr>
              <w:t>45天（中选通知书发出后，按交货通知交货）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5</w:t>
            </w:r>
          </w:p>
        </w:tc>
        <w:tc>
          <w:tcPr>
            <w:tcW w:w="1376" w:type="dxa"/>
            <w:vAlign w:val="center"/>
          </w:tcPr>
          <w:p>
            <w:pPr>
              <w:spacing w:line="240" w:lineRule="exact"/>
              <w:rPr>
                <w:rFonts w:ascii="宋体" w:hAnsi="宋体"/>
                <w:szCs w:val="21"/>
              </w:rPr>
            </w:pPr>
            <w:r>
              <w:rPr>
                <w:rFonts w:hint="eastAsia" w:ascii="宋体" w:hAnsi="宋体"/>
                <w:szCs w:val="21"/>
              </w:rPr>
              <w:t>上限控制价</w:t>
            </w:r>
          </w:p>
        </w:tc>
        <w:tc>
          <w:tcPr>
            <w:tcW w:w="7980" w:type="dxa"/>
            <w:vAlign w:val="center"/>
          </w:tcPr>
          <w:p>
            <w:pPr>
              <w:spacing w:line="240" w:lineRule="exact"/>
              <w:rPr>
                <w:rFonts w:ascii="宋体" w:hAnsi="宋体"/>
                <w:szCs w:val="21"/>
              </w:rPr>
            </w:pPr>
            <w:r>
              <w:rPr>
                <w:rFonts w:hint="eastAsia" w:ascii="宋体" w:hAnsi="宋体"/>
                <w:szCs w:val="21"/>
              </w:rPr>
              <w:t>人民币</w:t>
            </w:r>
            <w:r>
              <w:rPr>
                <w:rFonts w:hint="eastAsia" w:cs="宋体" w:asciiTheme="minorEastAsia" w:hAnsiTheme="minorEastAsia"/>
                <w:kern w:val="0"/>
                <w:sz w:val="24"/>
                <w:szCs w:val="24"/>
                <w:lang w:val="en-US" w:eastAsia="zh-CN"/>
              </w:rPr>
              <w:t>325496.18</w:t>
            </w:r>
            <w:r>
              <w:rPr>
                <w:rFonts w:hint="eastAsia" w:ascii="宋体" w:hAnsi="宋体"/>
                <w:szCs w:val="21"/>
              </w:rPr>
              <w:t>元</w:t>
            </w:r>
            <w:r>
              <w:rPr>
                <w:rFonts w:hint="eastAsia" w:ascii="宋体" w:hAnsi="宋体"/>
                <w:szCs w:val="21"/>
                <w:lang w:eastAsia="zh-CN"/>
              </w:rPr>
              <w:t>（含税）</w:t>
            </w: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3"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6</w:t>
            </w:r>
          </w:p>
        </w:tc>
        <w:tc>
          <w:tcPr>
            <w:tcW w:w="1376" w:type="dxa"/>
            <w:vAlign w:val="center"/>
          </w:tcPr>
          <w:p>
            <w:pPr>
              <w:pStyle w:val="47"/>
              <w:spacing w:beforeLines="50"/>
              <w:ind w:firstLine="0" w:firstLineChars="0"/>
              <w:rPr>
                <w:rFonts w:ascii="宋体" w:hAnsi="宋体"/>
                <w:szCs w:val="21"/>
              </w:rPr>
            </w:pPr>
            <w:r>
              <w:rPr>
                <w:rFonts w:hint="eastAsia" w:ascii="宋体" w:hAnsi="宋体"/>
                <w:szCs w:val="21"/>
              </w:rPr>
              <w:t>供应商资格要求</w:t>
            </w:r>
          </w:p>
        </w:tc>
        <w:tc>
          <w:tcPr>
            <w:tcW w:w="7980" w:type="dxa"/>
            <w:vAlign w:val="center"/>
          </w:tcPr>
          <w:p>
            <w:pPr>
              <w:spacing w:afterLines="50"/>
              <w:rPr>
                <w:rFonts w:ascii="宋体" w:hAnsi="宋体"/>
                <w:szCs w:val="21"/>
              </w:rPr>
            </w:pPr>
            <w:r>
              <w:rPr>
                <w:rFonts w:hint="eastAsia" w:ascii="宋体" w:hAnsi="宋体"/>
                <w:szCs w:val="21"/>
              </w:rPr>
              <w:t>1）具有国内独立法人资格的制造商或代理商，营业执照经营范围至少包括下列范围之一：①广告设计制作，②日用品，③办公用品，④标识制作，⑤包装装潢印刷。</w:t>
            </w:r>
          </w:p>
          <w:p>
            <w:pPr>
              <w:pStyle w:val="47"/>
              <w:spacing w:beforeLines="50"/>
              <w:ind w:firstLine="0" w:firstLineChars="0"/>
              <w:rPr>
                <w:rFonts w:ascii="宋体" w:hAnsi="宋体"/>
                <w:szCs w:val="21"/>
              </w:rPr>
            </w:pPr>
            <w:r>
              <w:rPr>
                <w:rFonts w:hint="eastAsia" w:ascii="宋体" w:hAnsi="宋体"/>
                <w:szCs w:val="21"/>
              </w:rPr>
              <w:t>2）本次比选不接受联合体报价；母、子公司只允许其中一家公司参与比选申请，同一法人代表，只接受一家参与比选申请。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7</w:t>
            </w:r>
          </w:p>
        </w:tc>
        <w:tc>
          <w:tcPr>
            <w:tcW w:w="1376" w:type="dxa"/>
            <w:vAlign w:val="center"/>
          </w:tcPr>
          <w:p>
            <w:pPr>
              <w:spacing w:line="240" w:lineRule="exact"/>
              <w:jc w:val="center"/>
              <w:rPr>
                <w:rFonts w:ascii="宋体" w:hAnsi="宋体"/>
                <w:szCs w:val="21"/>
              </w:rPr>
            </w:pPr>
            <w:r>
              <w:rPr>
                <w:rFonts w:hint="eastAsia" w:ascii="宋体" w:hAnsi="宋体"/>
                <w:szCs w:val="21"/>
              </w:rPr>
              <w:t>报价</w:t>
            </w:r>
          </w:p>
        </w:tc>
        <w:tc>
          <w:tcPr>
            <w:tcW w:w="7980" w:type="dxa"/>
            <w:vAlign w:val="center"/>
          </w:tcPr>
          <w:p>
            <w:pPr>
              <w:spacing w:line="240" w:lineRule="exact"/>
              <w:rPr>
                <w:rFonts w:ascii="宋体" w:hAnsi="宋体"/>
                <w:szCs w:val="21"/>
              </w:rPr>
            </w:pPr>
            <w:r>
              <w:rPr>
                <w:rFonts w:hint="eastAsia" w:ascii="宋体" w:hAnsi="宋体"/>
                <w:szCs w:val="21"/>
              </w:rPr>
              <w:t>比选申请人必须对本项目中的所有内容作完整唯一的报价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8</w:t>
            </w:r>
          </w:p>
        </w:tc>
        <w:tc>
          <w:tcPr>
            <w:tcW w:w="1376" w:type="dxa"/>
            <w:vAlign w:val="center"/>
          </w:tcPr>
          <w:p>
            <w:pPr>
              <w:spacing w:line="240" w:lineRule="exact"/>
              <w:jc w:val="center"/>
              <w:rPr>
                <w:rFonts w:ascii="宋体" w:hAnsi="宋体"/>
                <w:szCs w:val="21"/>
              </w:rPr>
            </w:pPr>
            <w:r>
              <w:rPr>
                <w:rFonts w:hint="eastAsia" w:ascii="宋体" w:hAnsi="宋体"/>
                <w:szCs w:val="21"/>
              </w:rPr>
              <w:t xml:space="preserve">比选有效期 </w:t>
            </w:r>
          </w:p>
        </w:tc>
        <w:tc>
          <w:tcPr>
            <w:tcW w:w="7980" w:type="dxa"/>
            <w:vAlign w:val="center"/>
          </w:tcPr>
          <w:p>
            <w:pPr>
              <w:spacing w:line="240" w:lineRule="exact"/>
              <w:rPr>
                <w:rFonts w:ascii="宋体" w:hAnsi="宋体"/>
                <w:szCs w:val="21"/>
              </w:rPr>
            </w:pPr>
            <w:r>
              <w:rPr>
                <w:rFonts w:hint="eastAsia" w:ascii="宋体" w:hAnsi="宋体"/>
                <w:szCs w:val="21"/>
              </w:rPr>
              <w:t>120天（从比选截止日期算起）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9</w:t>
            </w:r>
          </w:p>
        </w:tc>
        <w:tc>
          <w:tcPr>
            <w:tcW w:w="1376" w:type="dxa"/>
            <w:vAlign w:val="center"/>
          </w:tcPr>
          <w:p>
            <w:pPr>
              <w:spacing w:line="240" w:lineRule="exact"/>
              <w:jc w:val="center"/>
              <w:rPr>
                <w:rFonts w:ascii="宋体" w:hAnsi="宋体"/>
                <w:szCs w:val="21"/>
              </w:rPr>
            </w:pPr>
            <w:r>
              <w:rPr>
                <w:rFonts w:hint="eastAsia" w:ascii="宋体" w:hAnsi="宋体"/>
                <w:szCs w:val="21"/>
              </w:rPr>
              <w:t xml:space="preserve">比选申请文件份数 </w:t>
            </w:r>
          </w:p>
        </w:tc>
        <w:tc>
          <w:tcPr>
            <w:tcW w:w="7980" w:type="dxa"/>
            <w:vAlign w:val="center"/>
          </w:tcPr>
          <w:p>
            <w:pPr>
              <w:spacing w:line="240" w:lineRule="exact"/>
              <w:rPr>
                <w:rFonts w:ascii="宋体" w:hAnsi="宋体"/>
                <w:szCs w:val="21"/>
              </w:rPr>
            </w:pPr>
            <w:r>
              <w:rPr>
                <w:rFonts w:hint="eastAsia" w:ascii="宋体" w:hAnsi="宋体"/>
                <w:szCs w:val="21"/>
              </w:rPr>
              <w:t xml:space="preserve">纸质版壹正肆副共五份；电子版一式两份（WORD或EXCEL格式一份，盖章后的PDF格式扫描件一份，存于同一个U盘内）。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10</w:t>
            </w:r>
          </w:p>
        </w:tc>
        <w:tc>
          <w:tcPr>
            <w:tcW w:w="1376" w:type="dxa"/>
            <w:vAlign w:val="center"/>
          </w:tcPr>
          <w:p>
            <w:pPr>
              <w:spacing w:line="240" w:lineRule="exact"/>
              <w:jc w:val="center"/>
              <w:rPr>
                <w:rFonts w:ascii="宋体" w:hAnsi="宋体"/>
                <w:szCs w:val="21"/>
              </w:rPr>
            </w:pPr>
            <w:r>
              <w:rPr>
                <w:rFonts w:hint="eastAsia" w:ascii="宋体" w:hAnsi="宋体"/>
                <w:szCs w:val="21"/>
              </w:rPr>
              <w:t>比选申请文件递交时间、地点</w:t>
            </w:r>
          </w:p>
        </w:tc>
        <w:tc>
          <w:tcPr>
            <w:tcW w:w="7980" w:type="dxa"/>
            <w:vAlign w:val="center"/>
          </w:tcPr>
          <w:p>
            <w:pPr>
              <w:pStyle w:val="47"/>
              <w:numPr>
                <w:ilvl w:val="0"/>
                <w:numId w:val="6"/>
              </w:numPr>
              <w:spacing w:beforeLines="50"/>
              <w:ind w:left="0" w:firstLine="0" w:firstLineChars="0"/>
              <w:rPr>
                <w:rFonts w:ascii="宋体" w:hAnsi="宋体"/>
                <w:szCs w:val="21"/>
              </w:rPr>
            </w:pPr>
            <w:r>
              <w:rPr>
                <w:rFonts w:hint="eastAsia" w:ascii="宋体" w:hAnsi="宋体"/>
                <w:szCs w:val="21"/>
              </w:rPr>
              <w:t>时间：</w:t>
            </w:r>
            <w:r>
              <w:rPr>
                <w:rFonts w:hint="eastAsia" w:ascii="宋体" w:hAnsi="宋体"/>
                <w:szCs w:val="21"/>
                <w:lang w:val="en-US" w:eastAsia="zh-CN"/>
              </w:rPr>
              <w:t>2019</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0</w:t>
            </w:r>
            <w:r>
              <w:rPr>
                <w:rFonts w:hint="eastAsia" w:ascii="宋体" w:hAnsi="宋体"/>
                <w:szCs w:val="21"/>
              </w:rPr>
              <w:t>0-</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3</w:t>
            </w:r>
            <w:r>
              <w:rPr>
                <w:rFonts w:hint="eastAsia" w:ascii="宋体" w:hAnsi="宋体"/>
                <w:szCs w:val="21"/>
              </w:rPr>
              <w:t>0</w:t>
            </w:r>
          </w:p>
          <w:p>
            <w:pPr>
              <w:pStyle w:val="47"/>
              <w:numPr>
                <w:ilvl w:val="0"/>
                <w:numId w:val="6"/>
              </w:numPr>
              <w:spacing w:beforeLines="50"/>
              <w:ind w:left="0" w:firstLine="0" w:firstLineChars="0"/>
              <w:rPr>
                <w:rFonts w:ascii="宋体" w:hAnsi="宋体"/>
                <w:szCs w:val="21"/>
              </w:rPr>
            </w:pPr>
            <w:r>
              <w:rPr>
                <w:rFonts w:hint="eastAsia" w:ascii="宋体" w:hAnsi="宋体"/>
                <w:szCs w:val="21"/>
              </w:rPr>
              <w:t>地点：广西壮族自治区南宁市青秀区云景路69号南宁轨道大厦A2楼105室。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11</w:t>
            </w:r>
          </w:p>
        </w:tc>
        <w:tc>
          <w:tcPr>
            <w:tcW w:w="1376" w:type="dxa"/>
            <w:vAlign w:val="center"/>
          </w:tcPr>
          <w:p>
            <w:pPr>
              <w:spacing w:line="240" w:lineRule="exact"/>
              <w:jc w:val="center"/>
              <w:rPr>
                <w:rFonts w:ascii="宋体" w:hAnsi="宋体"/>
                <w:szCs w:val="21"/>
              </w:rPr>
            </w:pPr>
            <w:r>
              <w:rPr>
                <w:rFonts w:hint="eastAsia" w:ascii="宋体" w:hAnsi="宋体"/>
                <w:szCs w:val="21"/>
              </w:rPr>
              <w:t>比选时间</w:t>
            </w:r>
          </w:p>
          <w:p>
            <w:pPr>
              <w:spacing w:line="240" w:lineRule="exact"/>
              <w:jc w:val="center"/>
              <w:rPr>
                <w:rFonts w:ascii="宋体" w:hAnsi="宋体"/>
                <w:szCs w:val="21"/>
              </w:rPr>
            </w:pPr>
            <w:r>
              <w:rPr>
                <w:rFonts w:hint="eastAsia" w:ascii="宋体" w:hAnsi="宋体"/>
                <w:szCs w:val="21"/>
              </w:rPr>
              <w:t xml:space="preserve">及地点 </w:t>
            </w:r>
          </w:p>
        </w:tc>
        <w:tc>
          <w:tcPr>
            <w:tcW w:w="7980" w:type="dxa"/>
            <w:vAlign w:val="center"/>
          </w:tcPr>
          <w:p>
            <w:pPr>
              <w:pStyle w:val="47"/>
              <w:numPr>
                <w:ilvl w:val="0"/>
                <w:numId w:val="7"/>
              </w:numPr>
              <w:spacing w:beforeLines="50"/>
              <w:ind w:left="0" w:firstLine="0" w:firstLineChars="0"/>
              <w:rPr>
                <w:rFonts w:ascii="宋体" w:hAnsi="宋体"/>
                <w:szCs w:val="21"/>
              </w:rPr>
            </w:pPr>
            <w:r>
              <w:rPr>
                <w:rFonts w:hint="eastAsia" w:ascii="宋体" w:hAnsi="宋体"/>
                <w:szCs w:val="21"/>
              </w:rPr>
              <w:t>时间：</w:t>
            </w:r>
            <w:r>
              <w:rPr>
                <w:rFonts w:hint="eastAsia" w:ascii="宋体" w:hAnsi="宋体"/>
                <w:szCs w:val="21"/>
                <w:lang w:val="en-US" w:eastAsia="zh-CN"/>
              </w:rPr>
              <w:t>2019</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8</w:t>
            </w:r>
            <w:r>
              <w:rPr>
                <w:rFonts w:hint="eastAsia" w:ascii="宋体" w:hAnsi="宋体"/>
                <w:szCs w:val="21"/>
              </w:rPr>
              <w:t>:</w:t>
            </w:r>
            <w:r>
              <w:rPr>
                <w:rFonts w:hint="eastAsia" w:ascii="宋体" w:hAnsi="宋体"/>
                <w:szCs w:val="21"/>
                <w:lang w:val="en-US" w:eastAsia="zh-CN"/>
              </w:rPr>
              <w:t>3</w:t>
            </w:r>
            <w:r>
              <w:rPr>
                <w:rFonts w:hint="eastAsia" w:ascii="宋体" w:hAnsi="宋体"/>
                <w:szCs w:val="21"/>
              </w:rPr>
              <w:t>0</w:t>
            </w:r>
          </w:p>
          <w:p>
            <w:pPr>
              <w:pStyle w:val="47"/>
              <w:numPr>
                <w:ilvl w:val="0"/>
                <w:numId w:val="7"/>
              </w:numPr>
              <w:spacing w:beforeLines="50"/>
              <w:ind w:firstLineChars="0"/>
              <w:rPr>
                <w:rFonts w:ascii="宋体" w:hAnsi="宋体"/>
                <w:szCs w:val="21"/>
              </w:rPr>
            </w:pPr>
            <w:r>
              <w:rPr>
                <w:rFonts w:hint="eastAsia" w:ascii="宋体" w:hAnsi="宋体"/>
                <w:szCs w:val="21"/>
              </w:rPr>
              <w:t>地点：广西壮族自治区南宁市青秀区云景路69号南宁轨道大厦A2楼104室。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12</w:t>
            </w:r>
          </w:p>
        </w:tc>
        <w:tc>
          <w:tcPr>
            <w:tcW w:w="1376" w:type="dxa"/>
            <w:vAlign w:val="center"/>
          </w:tcPr>
          <w:p>
            <w:pPr>
              <w:spacing w:line="240" w:lineRule="exact"/>
              <w:jc w:val="center"/>
              <w:rPr>
                <w:rFonts w:ascii="宋体" w:hAnsi="宋体"/>
                <w:szCs w:val="21"/>
              </w:rPr>
            </w:pPr>
            <w:r>
              <w:rPr>
                <w:rFonts w:hint="eastAsia" w:ascii="宋体" w:hAnsi="宋体"/>
                <w:szCs w:val="21"/>
              </w:rPr>
              <w:t>比选文件答疑</w:t>
            </w:r>
          </w:p>
        </w:tc>
        <w:tc>
          <w:tcPr>
            <w:tcW w:w="7980" w:type="dxa"/>
            <w:vAlign w:val="center"/>
          </w:tcPr>
          <w:p>
            <w:pPr>
              <w:pStyle w:val="47"/>
              <w:numPr>
                <w:ilvl w:val="0"/>
                <w:numId w:val="8"/>
              </w:numPr>
              <w:spacing w:beforeLines="50"/>
              <w:ind w:left="0" w:firstLine="0" w:firstLineChars="0"/>
              <w:rPr>
                <w:rFonts w:ascii="宋体" w:hAnsi="宋体"/>
                <w:szCs w:val="21"/>
              </w:rPr>
            </w:pPr>
            <w:r>
              <w:rPr>
                <w:rFonts w:ascii="宋体" w:hAnsi="宋体"/>
                <w:szCs w:val="21"/>
              </w:rPr>
              <w:t>提出问题的截止时间：</w:t>
            </w:r>
            <w:r>
              <w:rPr>
                <w:rFonts w:hint="eastAsia" w:ascii="宋体" w:hAnsi="宋体"/>
                <w:szCs w:val="21"/>
                <w:lang w:val="en-US" w:eastAsia="zh-CN"/>
              </w:rPr>
              <w:t>2019</w:t>
            </w:r>
            <w:r>
              <w:rPr>
                <w:rFonts w:ascii="宋体" w:hAnsi="宋体"/>
                <w:szCs w:val="21"/>
              </w:rPr>
              <w:t>年</w:t>
            </w:r>
            <w:r>
              <w:rPr>
                <w:rFonts w:hint="eastAsia" w:ascii="宋体" w:hAnsi="宋体"/>
                <w:szCs w:val="21"/>
                <w:lang w:val="en-US" w:eastAsia="zh-CN"/>
              </w:rPr>
              <w:t>5</w:t>
            </w:r>
            <w:r>
              <w:rPr>
                <w:rFonts w:ascii="宋体" w:hAnsi="宋体"/>
                <w:szCs w:val="21"/>
              </w:rPr>
              <w:t>月</w:t>
            </w:r>
            <w:r>
              <w:rPr>
                <w:rFonts w:hint="eastAsia" w:ascii="宋体" w:hAnsi="宋体"/>
                <w:szCs w:val="21"/>
                <w:lang w:val="en-US" w:eastAsia="zh-CN"/>
              </w:rPr>
              <w:t>13</w:t>
            </w:r>
            <w:r>
              <w:rPr>
                <w:rFonts w:ascii="宋体" w:hAnsi="宋体"/>
                <w:szCs w:val="21"/>
              </w:rPr>
              <w:t>日</w:t>
            </w:r>
            <w:r>
              <w:rPr>
                <w:rFonts w:hint="eastAsia" w:ascii="宋体" w:hAnsi="宋体"/>
                <w:szCs w:val="21"/>
              </w:rPr>
              <w:t>17:30；</w:t>
            </w:r>
          </w:p>
          <w:p>
            <w:pPr>
              <w:pStyle w:val="47"/>
              <w:numPr>
                <w:ilvl w:val="0"/>
                <w:numId w:val="8"/>
              </w:numPr>
              <w:spacing w:beforeLines="50"/>
              <w:ind w:left="0" w:firstLine="0" w:firstLineChars="0"/>
              <w:rPr>
                <w:rFonts w:ascii="宋体" w:hAnsi="宋体"/>
                <w:szCs w:val="21"/>
              </w:rPr>
            </w:pPr>
            <w:r>
              <w:rPr>
                <w:rFonts w:hint="eastAsia" w:ascii="宋体" w:hAnsi="宋体"/>
                <w:szCs w:val="21"/>
              </w:rPr>
              <w:t>提出问题的方式：书面为准（加盖法人单位公章，电子扫描件有效）；</w:t>
            </w:r>
          </w:p>
          <w:p>
            <w:pPr>
              <w:pStyle w:val="47"/>
              <w:numPr>
                <w:ilvl w:val="0"/>
                <w:numId w:val="8"/>
              </w:numPr>
              <w:spacing w:beforeLines="50"/>
              <w:ind w:left="0" w:firstLine="0" w:firstLineChars="0"/>
              <w:rPr>
                <w:rFonts w:ascii="宋体" w:hAnsi="宋体"/>
                <w:szCs w:val="21"/>
              </w:rPr>
            </w:pPr>
            <w:r>
              <w:rPr>
                <w:rFonts w:hint="eastAsia" w:ascii="宋体" w:hAnsi="宋体"/>
                <w:szCs w:val="21"/>
              </w:rPr>
              <w:t>书面</w:t>
            </w:r>
            <w:r>
              <w:rPr>
                <w:rFonts w:ascii="宋体" w:hAnsi="宋体"/>
                <w:szCs w:val="21"/>
              </w:rPr>
              <w:t>澄清的时间：</w:t>
            </w:r>
            <w:r>
              <w:rPr>
                <w:rFonts w:hint="eastAsia" w:ascii="宋体" w:hAnsi="宋体"/>
                <w:szCs w:val="21"/>
                <w:lang w:val="en-US" w:eastAsia="zh-CN"/>
              </w:rPr>
              <w:t>2019</w:t>
            </w:r>
            <w:r>
              <w:rPr>
                <w:rFonts w:ascii="宋体" w:hAnsi="宋体"/>
                <w:szCs w:val="21"/>
              </w:rPr>
              <w:t>年</w:t>
            </w:r>
            <w:r>
              <w:rPr>
                <w:rFonts w:hint="eastAsia" w:ascii="宋体" w:hAnsi="宋体"/>
                <w:szCs w:val="21"/>
                <w:lang w:val="en-US" w:eastAsia="zh-CN"/>
              </w:rPr>
              <w:t>5</w:t>
            </w:r>
            <w:r>
              <w:rPr>
                <w:rFonts w:ascii="宋体" w:hAnsi="宋体"/>
                <w:szCs w:val="21"/>
              </w:rPr>
              <w:t>月</w:t>
            </w:r>
            <w:r>
              <w:rPr>
                <w:rFonts w:hint="eastAsia" w:ascii="宋体" w:hAnsi="宋体"/>
                <w:szCs w:val="21"/>
                <w:lang w:val="en-US" w:eastAsia="zh-CN"/>
              </w:rPr>
              <w:t>16</w:t>
            </w:r>
            <w:r>
              <w:rPr>
                <w:rFonts w:ascii="宋体" w:hAnsi="宋体"/>
                <w:szCs w:val="21"/>
              </w:rPr>
              <w:t>日</w:t>
            </w:r>
            <w:r>
              <w:rPr>
                <w:rFonts w:hint="eastAsia" w:ascii="宋体" w:hAnsi="宋体"/>
                <w:szCs w:val="21"/>
              </w:rPr>
              <w:t>17:30</w:t>
            </w:r>
            <w:r>
              <w:rPr>
                <w:rFonts w:ascii="宋体" w:hAnsi="宋体"/>
                <w:szCs w:val="21"/>
              </w:rPr>
              <w:t>前</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13</w:t>
            </w:r>
          </w:p>
        </w:tc>
        <w:tc>
          <w:tcPr>
            <w:tcW w:w="1376" w:type="dxa"/>
            <w:vAlign w:val="center"/>
          </w:tcPr>
          <w:p>
            <w:pPr>
              <w:spacing w:line="240" w:lineRule="exact"/>
              <w:jc w:val="left"/>
              <w:rPr>
                <w:rFonts w:ascii="宋体" w:hAnsi="宋体"/>
                <w:szCs w:val="21"/>
              </w:rPr>
            </w:pPr>
            <w:r>
              <w:rPr>
                <w:rFonts w:hint="eastAsia" w:ascii="宋体" w:hAnsi="宋体"/>
                <w:szCs w:val="21"/>
              </w:rPr>
              <w:t>比选保证金</w:t>
            </w:r>
          </w:p>
        </w:tc>
        <w:tc>
          <w:tcPr>
            <w:tcW w:w="7980" w:type="dxa"/>
            <w:vAlign w:val="center"/>
          </w:tcPr>
          <w:p>
            <w:pPr>
              <w:pStyle w:val="47"/>
              <w:numPr>
                <w:ilvl w:val="0"/>
                <w:numId w:val="9"/>
              </w:numPr>
              <w:spacing w:beforeLines="50"/>
              <w:ind w:left="0" w:firstLine="0" w:firstLineChars="0"/>
              <w:rPr>
                <w:rFonts w:ascii="宋体" w:hAnsi="宋体"/>
                <w:szCs w:val="21"/>
              </w:rPr>
            </w:pPr>
            <w:r>
              <w:rPr>
                <w:rFonts w:hint="eastAsia" w:ascii="宋体" w:hAnsi="宋体"/>
                <w:szCs w:val="21"/>
              </w:rPr>
              <w:t>缴纳金额：人民币</w:t>
            </w:r>
            <w:r>
              <w:rPr>
                <w:rFonts w:hint="eastAsia" w:ascii="宋体" w:hAnsi="宋体"/>
                <w:szCs w:val="21"/>
                <w:lang w:val="en-US" w:eastAsia="zh-CN"/>
              </w:rPr>
              <w:t>1.5</w:t>
            </w:r>
            <w:r>
              <w:rPr>
                <w:rFonts w:hint="eastAsia" w:ascii="宋体" w:hAnsi="宋体"/>
                <w:szCs w:val="21"/>
              </w:rPr>
              <w:t>万元整；</w:t>
            </w:r>
          </w:p>
          <w:p>
            <w:pPr>
              <w:pStyle w:val="47"/>
              <w:numPr>
                <w:ilvl w:val="0"/>
                <w:numId w:val="9"/>
              </w:numPr>
              <w:spacing w:beforeLines="50"/>
              <w:ind w:left="0" w:firstLine="0" w:firstLineChars="0"/>
              <w:rPr>
                <w:rFonts w:ascii="宋体" w:hAnsi="宋体"/>
                <w:szCs w:val="21"/>
              </w:rPr>
            </w:pPr>
            <w:r>
              <w:rPr>
                <w:rFonts w:hint="eastAsia" w:ascii="宋体" w:hAnsi="宋体"/>
                <w:szCs w:val="21"/>
              </w:rPr>
              <w:t>缴纳时间：</w:t>
            </w:r>
            <w:r>
              <w:rPr>
                <w:rFonts w:hint="eastAsia" w:ascii="宋体" w:hAnsi="宋体"/>
                <w:szCs w:val="21"/>
                <w:lang w:val="en-US" w:eastAsia="zh-CN"/>
              </w:rPr>
              <w:t>2</w:t>
            </w:r>
            <w:ins w:id="0" w:author="无悔" w:date="2019-05-05T16:30:17Z">
              <w:r>
                <w:rPr>
                  <w:rFonts w:hint="eastAsia" w:ascii="宋体" w:hAnsi="宋体"/>
                  <w:szCs w:val="21"/>
                  <w:lang w:val="en-US" w:eastAsia="zh-CN"/>
                </w:rPr>
                <w:t>0</w:t>
              </w:r>
            </w:ins>
            <w:r>
              <w:rPr>
                <w:rFonts w:hint="eastAsia" w:ascii="宋体" w:hAnsi="宋体"/>
                <w:szCs w:val="21"/>
                <w:lang w:val="en-US" w:eastAsia="zh-CN"/>
              </w:rPr>
              <w:t>19</w:t>
            </w:r>
            <w:r>
              <w:rPr>
                <w:rFonts w:hint="eastAsia" w:ascii="宋体" w:hAnsi="宋体"/>
                <w:szCs w:val="21"/>
              </w:rPr>
              <w:t>年</w:t>
            </w:r>
            <w:r>
              <w:rPr>
                <w:rFonts w:hint="eastAsia" w:ascii="宋体" w:hAnsi="宋体"/>
                <w:szCs w:val="21"/>
                <w:lang w:val="en-US" w:eastAsia="zh-CN"/>
              </w:rPr>
              <w:t>5</w:t>
            </w:r>
            <w:r>
              <w:rPr>
                <w:rFonts w:hint="eastAsia" w:ascii="宋体" w:hAnsi="宋体"/>
                <w:szCs w:val="21"/>
              </w:rPr>
              <w:t>月</w:t>
            </w:r>
            <w:r>
              <w:rPr>
                <w:rFonts w:hint="eastAsia" w:ascii="宋体" w:hAnsi="宋体"/>
                <w:szCs w:val="21"/>
                <w:lang w:val="en-US" w:eastAsia="zh-CN"/>
              </w:rPr>
              <w:t>17</w:t>
            </w:r>
            <w:r>
              <w:rPr>
                <w:rFonts w:hint="eastAsia" w:ascii="宋体" w:hAnsi="宋体"/>
                <w:szCs w:val="21"/>
              </w:rPr>
              <w:t>日</w:t>
            </w:r>
            <w:r>
              <w:rPr>
                <w:rFonts w:hint="eastAsia" w:ascii="宋体" w:hAnsi="宋体"/>
                <w:szCs w:val="21"/>
                <w:lang w:val="en-US" w:eastAsia="zh-CN"/>
              </w:rPr>
              <w:t>8</w:t>
            </w:r>
            <w:r>
              <w:rPr>
                <w:rFonts w:hint="eastAsia" w:ascii="宋体" w:hAnsi="宋体"/>
                <w:szCs w:val="21"/>
              </w:rPr>
              <w:t>:30前；</w:t>
            </w:r>
          </w:p>
          <w:p>
            <w:pPr>
              <w:pStyle w:val="47"/>
              <w:numPr>
                <w:ilvl w:val="0"/>
                <w:numId w:val="9"/>
              </w:numPr>
              <w:spacing w:beforeLines="50"/>
              <w:ind w:left="0" w:firstLine="0" w:firstLineChars="0"/>
              <w:rPr>
                <w:rFonts w:ascii="宋体" w:hAnsi="宋体"/>
                <w:szCs w:val="21"/>
              </w:rPr>
            </w:pPr>
            <w:r>
              <w:rPr>
                <w:rFonts w:hint="eastAsia" w:ascii="宋体" w:hAnsi="宋体"/>
                <w:szCs w:val="21"/>
              </w:rPr>
              <w:t>其他规定：见本章第</w:t>
            </w:r>
            <w:r>
              <w:fldChar w:fldCharType="begin"/>
            </w:r>
            <w:r>
              <w:instrText xml:space="preserve">REF _Ref462914355 \n \h  \* MERGEFORMAT </w:instrText>
            </w:r>
            <w:r>
              <w:fldChar w:fldCharType="separate"/>
            </w:r>
            <w:r>
              <w:rPr>
                <w:rFonts w:ascii="宋体" w:hAnsi="宋体"/>
                <w:szCs w:val="21"/>
              </w:rPr>
              <w:t>11</w:t>
            </w:r>
            <w:r>
              <w:rPr>
                <w:rFonts w:ascii="宋体" w:hAnsi="宋体"/>
                <w:szCs w:val="21"/>
              </w:rPr>
              <w:fldChar w:fldCharType="end"/>
            </w:r>
            <w:r>
              <w:rPr>
                <w:rFonts w:hint="eastAsia" w:ascii="宋体" w:hAnsi="宋体"/>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14</w:t>
            </w:r>
          </w:p>
        </w:tc>
        <w:tc>
          <w:tcPr>
            <w:tcW w:w="1376" w:type="dxa"/>
            <w:vAlign w:val="center"/>
          </w:tcPr>
          <w:p>
            <w:pPr>
              <w:spacing w:line="240" w:lineRule="exact"/>
              <w:jc w:val="left"/>
              <w:rPr>
                <w:rFonts w:ascii="宋体" w:hAnsi="宋体"/>
                <w:szCs w:val="21"/>
              </w:rPr>
            </w:pPr>
            <w:r>
              <w:rPr>
                <w:rFonts w:hint="eastAsia" w:ascii="宋体" w:hAnsi="宋体"/>
                <w:szCs w:val="21"/>
              </w:rPr>
              <w:t>履约保证金</w:t>
            </w:r>
          </w:p>
        </w:tc>
        <w:tc>
          <w:tcPr>
            <w:tcW w:w="7980" w:type="dxa"/>
            <w:vAlign w:val="center"/>
          </w:tcPr>
          <w:p>
            <w:pPr>
              <w:pStyle w:val="47"/>
              <w:numPr>
                <w:ilvl w:val="0"/>
                <w:numId w:val="10"/>
              </w:numPr>
              <w:spacing w:beforeLines="50"/>
              <w:ind w:left="0" w:firstLine="0" w:firstLineChars="0"/>
              <w:rPr>
                <w:rFonts w:ascii="宋体" w:hAnsi="宋体"/>
                <w:szCs w:val="21"/>
              </w:rPr>
            </w:pPr>
            <w:r>
              <w:rPr>
                <w:rFonts w:hint="eastAsia" w:ascii="宋体" w:hAnsi="宋体"/>
                <w:szCs w:val="21"/>
              </w:rPr>
              <w:t>缴纳</w:t>
            </w:r>
            <w:r>
              <w:rPr>
                <w:rFonts w:ascii="宋体" w:hAnsi="宋体"/>
                <w:szCs w:val="21"/>
              </w:rPr>
              <w:t>金额：</w:t>
            </w:r>
            <w:r>
              <w:rPr>
                <w:rFonts w:hint="eastAsia" w:ascii="宋体" w:hAnsi="宋体"/>
                <w:szCs w:val="21"/>
              </w:rPr>
              <w:t>签约合同总价格的5%（四舍五入，精确到元）</w:t>
            </w:r>
          </w:p>
          <w:p>
            <w:pPr>
              <w:pStyle w:val="47"/>
              <w:numPr>
                <w:ilvl w:val="0"/>
                <w:numId w:val="10"/>
              </w:numPr>
              <w:spacing w:beforeLines="50"/>
              <w:ind w:left="0" w:firstLine="0" w:firstLineChars="0"/>
              <w:rPr>
                <w:rFonts w:ascii="宋体" w:hAnsi="宋体"/>
                <w:szCs w:val="21"/>
              </w:rPr>
            </w:pPr>
            <w:r>
              <w:rPr>
                <w:rFonts w:hint="eastAsia" w:ascii="宋体" w:hAnsi="宋体"/>
                <w:szCs w:val="21"/>
              </w:rPr>
              <w:t>缴纳时间：中选通知书发出之日起30日内，签订合同前足额缴纳，如中选人未能按约定时间足额缴纳，视为自动放弃中选资格；</w:t>
            </w:r>
          </w:p>
          <w:p>
            <w:pPr>
              <w:pStyle w:val="47"/>
              <w:numPr>
                <w:ilvl w:val="0"/>
                <w:numId w:val="10"/>
              </w:numPr>
              <w:spacing w:beforeLines="50"/>
              <w:ind w:left="0" w:firstLine="0" w:firstLineChars="0"/>
              <w:rPr>
                <w:rFonts w:ascii="宋体" w:hAnsi="宋体"/>
                <w:szCs w:val="21"/>
              </w:rPr>
            </w:pPr>
            <w:r>
              <w:rPr>
                <w:rFonts w:hint="eastAsia" w:ascii="宋体" w:hAnsi="宋体"/>
                <w:szCs w:val="21"/>
              </w:rPr>
              <w:t>其他规定：见</w:t>
            </w:r>
            <w:r>
              <w:fldChar w:fldCharType="begin"/>
            </w:r>
            <w:r>
              <w:instrText xml:space="preserve">REF _Ref488050446 \r \h  \* MERGEFORMAT </w:instrText>
            </w:r>
            <w:r>
              <w:fldChar w:fldCharType="separate"/>
            </w:r>
            <w:r>
              <w:rPr>
                <w:rFonts w:hint="eastAsia" w:ascii="宋体" w:hAnsi="宋体"/>
                <w:szCs w:val="21"/>
              </w:rPr>
              <w:t>第五章</w:t>
            </w:r>
            <w:r>
              <w:rPr>
                <w:rFonts w:ascii="宋体" w:hAnsi="宋体"/>
                <w:szCs w:val="21"/>
              </w:rPr>
              <w:t>.　</w:t>
            </w:r>
            <w:r>
              <w:rPr>
                <w:rFonts w:ascii="宋体" w:hAnsi="宋体"/>
                <w:szCs w:val="21"/>
              </w:rPr>
              <w:fldChar w:fldCharType="end"/>
            </w:r>
            <w:r>
              <w:rPr>
                <w:rFonts w:hint="eastAsia" w:ascii="宋体" w:hAnsi="宋体"/>
                <w:szCs w:val="21"/>
              </w:rPr>
              <w:t>第</w:t>
            </w:r>
            <w:r>
              <w:fldChar w:fldCharType="begin"/>
            </w:r>
            <w:r>
              <w:instrText xml:space="preserve">REF _Ref462914568 \n \h  \* MERGEFORMAT </w:instrText>
            </w:r>
            <w:r>
              <w:fldChar w:fldCharType="separate"/>
            </w:r>
            <w:r>
              <w:rPr>
                <w:rFonts w:ascii="宋体" w:hAnsi="宋体"/>
                <w:szCs w:val="21"/>
              </w:rPr>
              <w:t>7</w:t>
            </w:r>
            <w:r>
              <w:rPr>
                <w:rFonts w:ascii="宋体" w:hAnsi="宋体"/>
                <w:szCs w:val="21"/>
              </w:rPr>
              <w:fldChar w:fldCharType="end"/>
            </w:r>
            <w:r>
              <w:rPr>
                <w:rFonts w:hint="eastAsia" w:ascii="宋体" w:hAnsi="宋体"/>
                <w:szCs w:val="21"/>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653" w:type="dxa"/>
            <w:vAlign w:val="center"/>
          </w:tcPr>
          <w:p>
            <w:pPr>
              <w:spacing w:line="240" w:lineRule="exact"/>
              <w:jc w:val="center"/>
              <w:rPr>
                <w:rFonts w:ascii="宋体" w:hAnsi="宋体"/>
                <w:szCs w:val="21"/>
              </w:rPr>
            </w:pPr>
            <w:r>
              <w:rPr>
                <w:rFonts w:hint="eastAsia" w:ascii="宋体" w:hAnsi="宋体"/>
                <w:szCs w:val="21"/>
              </w:rPr>
              <w:t>15</w:t>
            </w:r>
          </w:p>
        </w:tc>
        <w:tc>
          <w:tcPr>
            <w:tcW w:w="1376" w:type="dxa"/>
            <w:vAlign w:val="center"/>
          </w:tcPr>
          <w:p>
            <w:pPr>
              <w:spacing w:line="240" w:lineRule="exact"/>
              <w:jc w:val="left"/>
              <w:rPr>
                <w:rFonts w:ascii="宋体" w:hAnsi="宋体"/>
                <w:szCs w:val="21"/>
              </w:rPr>
            </w:pPr>
            <w:r>
              <w:rPr>
                <w:rFonts w:hint="eastAsia" w:ascii="宋体" w:hAnsi="宋体"/>
                <w:szCs w:val="21"/>
              </w:rPr>
              <w:t>评比办法</w:t>
            </w:r>
          </w:p>
        </w:tc>
        <w:tc>
          <w:tcPr>
            <w:tcW w:w="7980" w:type="dxa"/>
            <w:vAlign w:val="center"/>
          </w:tcPr>
          <w:p>
            <w:pPr>
              <w:rPr>
                <w:rFonts w:ascii="宋体" w:hAnsi="宋体"/>
                <w:szCs w:val="21"/>
              </w:rPr>
            </w:pPr>
            <w:r>
              <w:rPr>
                <w:rFonts w:hint="eastAsia" w:ascii="宋体" w:hAnsi="宋体"/>
                <w:szCs w:val="21"/>
              </w:rPr>
              <w:t>评审小组对通过资格、技术及商务评审的比选申请人的</w:t>
            </w:r>
            <w:r>
              <w:rPr>
                <w:rFonts w:hint="eastAsia" w:ascii="宋体" w:hAnsi="宋体"/>
                <w:szCs w:val="21"/>
                <w:lang w:eastAsia="zh-CN"/>
              </w:rPr>
              <w:t>不含税</w:t>
            </w:r>
            <w:r>
              <w:rPr>
                <w:rFonts w:hint="eastAsia" w:ascii="宋体" w:hAnsi="宋体"/>
                <w:szCs w:val="21"/>
              </w:rPr>
              <w:t>总价由低到高进行排序，总价最低的排名第一（总价相同时，交货期较短者排名在前；交货期也相同时，质保期较长者排名在前；质保期也相同时，性能参数较优者排名在前），以此类推，评审小组推荐排名第一的为中选供应商。</w:t>
            </w:r>
          </w:p>
        </w:tc>
      </w:tr>
    </w:tbl>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13" w:name="_Toc22232"/>
      <w:bookmarkStart w:id="14" w:name="_Toc437544521"/>
      <w:bookmarkStart w:id="15" w:name="_Toc286386833"/>
      <w:bookmarkStart w:id="16" w:name="_Toc437544676"/>
      <w:bookmarkStart w:id="17" w:name="_Toc114052339"/>
      <w:bookmarkStart w:id="18" w:name="_Toc114052413"/>
      <w:r>
        <w:rPr>
          <w:rFonts w:hint="eastAsia" w:asciiTheme="majorEastAsia" w:hAnsiTheme="majorEastAsia" w:eastAsiaTheme="majorEastAsia"/>
          <w:sz w:val="24"/>
          <w:szCs w:val="24"/>
        </w:rPr>
        <w:t>总  则</w:t>
      </w:r>
      <w:bookmarkEnd w:id="13"/>
      <w:bookmarkEnd w:id="14"/>
      <w:bookmarkEnd w:id="15"/>
      <w:bookmarkEnd w:id="16"/>
      <w:bookmarkEnd w:id="17"/>
      <w:bookmarkEnd w:id="18"/>
    </w:p>
    <w:p>
      <w:pPr>
        <w:pStyle w:val="4"/>
        <w:numPr>
          <w:ilvl w:val="0"/>
          <w:numId w:val="12"/>
        </w:numPr>
        <w:spacing w:beforeLines="50" w:after="0" w:line="240" w:lineRule="auto"/>
        <w:ind w:left="0" w:firstLine="0"/>
        <w:rPr>
          <w:sz w:val="24"/>
        </w:rPr>
      </w:pPr>
      <w:bookmarkStart w:id="19" w:name="_Toc286386836"/>
      <w:bookmarkStart w:id="20" w:name="_Toc114052416"/>
      <w:bookmarkStart w:id="21" w:name="_Toc392862477"/>
      <w:bookmarkStart w:id="22" w:name="_Toc114052342"/>
      <w:r>
        <w:rPr>
          <w:rFonts w:hint="eastAsia"/>
          <w:sz w:val="24"/>
        </w:rPr>
        <w:t>项目说明</w:t>
      </w:r>
    </w:p>
    <w:p>
      <w:pPr>
        <w:pStyle w:val="47"/>
        <w:numPr>
          <w:ilvl w:val="1"/>
          <w:numId w:val="12"/>
        </w:numPr>
        <w:spacing w:afterLines="50"/>
        <w:ind w:left="480" w:hanging="480" w:hangingChars="200"/>
        <w:rPr>
          <w:rFonts w:ascii="宋体" w:hAnsi="宋体"/>
          <w:sz w:val="24"/>
        </w:rPr>
      </w:pPr>
      <w:r>
        <w:rPr>
          <w:rFonts w:hint="eastAsia" w:ascii="宋体" w:hAnsi="宋体"/>
          <w:sz w:val="24"/>
        </w:rPr>
        <w:t>项目说明见比选须知前附表（以下称“前附表”）所述。</w:t>
      </w:r>
    </w:p>
    <w:p>
      <w:pPr>
        <w:pStyle w:val="47"/>
        <w:numPr>
          <w:ilvl w:val="1"/>
          <w:numId w:val="12"/>
        </w:numPr>
        <w:spacing w:afterLines="50"/>
        <w:ind w:left="480" w:hanging="480" w:hangingChars="200"/>
        <w:rPr>
          <w:rFonts w:ascii="宋体" w:hAnsi="宋体"/>
          <w:sz w:val="24"/>
        </w:rPr>
      </w:pPr>
      <w:r>
        <w:rPr>
          <w:rFonts w:hint="eastAsia" w:ascii="宋体" w:hAnsi="宋体"/>
          <w:sz w:val="24"/>
        </w:rPr>
        <w:t>本项目按照国家有关的法律、法规，按公开公平公正原则通过比选择优选定供应商。</w:t>
      </w:r>
    </w:p>
    <w:p>
      <w:pPr>
        <w:pStyle w:val="4"/>
        <w:numPr>
          <w:ilvl w:val="0"/>
          <w:numId w:val="12"/>
        </w:numPr>
        <w:spacing w:beforeLines="50" w:after="0" w:line="240" w:lineRule="auto"/>
        <w:ind w:left="0" w:firstLine="0"/>
        <w:rPr>
          <w:sz w:val="24"/>
        </w:rPr>
      </w:pPr>
      <w:r>
        <w:rPr>
          <w:rFonts w:hint="eastAsia"/>
          <w:sz w:val="24"/>
        </w:rPr>
        <w:t>资格与合格条件的要求</w:t>
      </w:r>
      <w:bookmarkEnd w:id="19"/>
      <w:bookmarkEnd w:id="20"/>
      <w:bookmarkEnd w:id="21"/>
      <w:bookmarkEnd w:id="22"/>
    </w:p>
    <w:p>
      <w:pPr>
        <w:pStyle w:val="47"/>
        <w:ind w:firstLine="480"/>
        <w:rPr>
          <w:sz w:val="24"/>
          <w:szCs w:val="24"/>
        </w:rPr>
      </w:pPr>
      <w:r>
        <w:rPr>
          <w:rFonts w:hint="eastAsia"/>
          <w:sz w:val="24"/>
          <w:szCs w:val="24"/>
        </w:rPr>
        <w:t>比选申请人必须具有前附表第6条相应的资质和条件要求。</w:t>
      </w:r>
      <w:bookmarkStart w:id="23" w:name="_Toc286386837"/>
      <w:bookmarkStart w:id="24" w:name="_Toc114052343"/>
      <w:bookmarkStart w:id="25" w:name="_Toc392862478"/>
      <w:bookmarkStart w:id="26" w:name="_Toc114052417"/>
    </w:p>
    <w:p>
      <w:pPr>
        <w:pStyle w:val="4"/>
        <w:numPr>
          <w:ilvl w:val="0"/>
          <w:numId w:val="12"/>
        </w:numPr>
        <w:spacing w:beforeLines="50" w:after="0" w:line="240" w:lineRule="auto"/>
        <w:ind w:left="0" w:firstLine="0"/>
        <w:rPr>
          <w:sz w:val="24"/>
        </w:rPr>
      </w:pPr>
      <w:r>
        <w:rPr>
          <w:rFonts w:hint="eastAsia"/>
          <w:sz w:val="24"/>
        </w:rPr>
        <w:t>申请比选费用</w:t>
      </w:r>
      <w:bookmarkEnd w:id="23"/>
      <w:bookmarkEnd w:id="24"/>
      <w:bookmarkEnd w:id="25"/>
      <w:bookmarkEnd w:id="26"/>
    </w:p>
    <w:p>
      <w:pPr>
        <w:pStyle w:val="47"/>
        <w:ind w:firstLine="480"/>
        <w:rPr>
          <w:sz w:val="24"/>
          <w:szCs w:val="24"/>
        </w:rPr>
      </w:pPr>
      <w:r>
        <w:rPr>
          <w:rFonts w:hint="eastAsia"/>
          <w:sz w:val="24"/>
          <w:szCs w:val="24"/>
        </w:rPr>
        <w:t>比选申请人应承担其编制、递交文件所涉及的一切费用。无论评审结果如何，比选发起人对上述费用不承担任何责任。</w:t>
      </w:r>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27" w:name="_Toc114052418"/>
      <w:bookmarkStart w:id="28" w:name="_Toc437544677"/>
      <w:bookmarkStart w:id="29" w:name="_Toc114052344"/>
      <w:bookmarkStart w:id="30" w:name="_Toc286386838"/>
      <w:bookmarkStart w:id="31" w:name="_Toc437544522"/>
      <w:bookmarkStart w:id="32" w:name="_Toc11748"/>
      <w:r>
        <w:rPr>
          <w:rFonts w:hint="eastAsia" w:asciiTheme="majorEastAsia" w:hAnsiTheme="majorEastAsia" w:eastAsiaTheme="majorEastAsia"/>
          <w:sz w:val="24"/>
          <w:szCs w:val="24"/>
        </w:rPr>
        <w:t>比选文件</w:t>
      </w:r>
      <w:bookmarkEnd w:id="27"/>
      <w:bookmarkEnd w:id="28"/>
      <w:bookmarkEnd w:id="29"/>
      <w:bookmarkEnd w:id="30"/>
      <w:bookmarkEnd w:id="31"/>
      <w:bookmarkEnd w:id="32"/>
      <w:bookmarkStart w:id="33" w:name="_Toc114052345"/>
      <w:bookmarkStart w:id="34" w:name="_Toc286386839"/>
      <w:bookmarkStart w:id="35" w:name="_Toc392862480"/>
      <w:bookmarkStart w:id="36" w:name="_Toc114052419"/>
    </w:p>
    <w:p>
      <w:pPr>
        <w:pStyle w:val="4"/>
        <w:numPr>
          <w:ilvl w:val="0"/>
          <w:numId w:val="12"/>
        </w:numPr>
        <w:spacing w:beforeLines="50" w:after="0" w:line="240" w:lineRule="auto"/>
        <w:ind w:left="0" w:firstLine="0"/>
        <w:rPr>
          <w:sz w:val="24"/>
        </w:rPr>
      </w:pPr>
      <w:r>
        <w:rPr>
          <w:rFonts w:hint="eastAsia"/>
          <w:sz w:val="24"/>
        </w:rPr>
        <w:t>比选文件的组成</w:t>
      </w:r>
      <w:bookmarkEnd w:id="33"/>
      <w:bookmarkEnd w:id="34"/>
      <w:bookmarkEnd w:id="35"/>
      <w:bookmarkEnd w:id="36"/>
    </w:p>
    <w:p>
      <w:pPr>
        <w:pStyle w:val="47"/>
        <w:spacing w:afterLines="50"/>
        <w:ind w:firstLine="480"/>
        <w:rPr>
          <w:sz w:val="24"/>
          <w:szCs w:val="24"/>
        </w:rPr>
      </w:pPr>
      <w:r>
        <w:rPr>
          <w:rFonts w:hint="eastAsia"/>
          <w:sz w:val="24"/>
          <w:szCs w:val="24"/>
        </w:rPr>
        <w:t>比选文件包括比选公告、比选须知、技术及需求、评审细则、合同条款（格式）、比选申请文件（格式）。</w:t>
      </w:r>
    </w:p>
    <w:p>
      <w:pPr>
        <w:pStyle w:val="4"/>
        <w:numPr>
          <w:ilvl w:val="0"/>
          <w:numId w:val="12"/>
        </w:numPr>
        <w:spacing w:beforeLines="50" w:after="0" w:line="240" w:lineRule="auto"/>
        <w:ind w:left="0" w:firstLine="0"/>
        <w:rPr>
          <w:sz w:val="24"/>
        </w:rPr>
      </w:pPr>
      <w:bookmarkStart w:id="37" w:name="_Toc114052420"/>
      <w:bookmarkStart w:id="38" w:name="_Toc392862481"/>
      <w:bookmarkStart w:id="39" w:name="_Toc286386840"/>
      <w:bookmarkStart w:id="40" w:name="_Toc114052346"/>
      <w:r>
        <w:rPr>
          <w:rFonts w:hint="eastAsia"/>
          <w:sz w:val="24"/>
        </w:rPr>
        <w:t>比选文件的解释</w:t>
      </w:r>
      <w:bookmarkEnd w:id="37"/>
      <w:bookmarkEnd w:id="38"/>
      <w:bookmarkEnd w:id="39"/>
      <w:bookmarkEnd w:id="40"/>
    </w:p>
    <w:p>
      <w:pPr>
        <w:pStyle w:val="47"/>
        <w:spacing w:afterLines="50"/>
        <w:ind w:firstLine="480"/>
        <w:rPr>
          <w:sz w:val="24"/>
          <w:szCs w:val="24"/>
        </w:rPr>
      </w:pPr>
      <w:r>
        <w:rPr>
          <w:rFonts w:hint="eastAsia"/>
          <w:sz w:val="24"/>
          <w:szCs w:val="24"/>
        </w:rPr>
        <w:t>比选发起人向比选申请人提供的有关本项目的资料和数据，是比选发起人现有的能为比选申请人所利用的资料；比选发起人对比选申请人由此而做出的推论、理解和结论概不负责。</w:t>
      </w:r>
    </w:p>
    <w:p>
      <w:pPr>
        <w:pStyle w:val="4"/>
        <w:numPr>
          <w:ilvl w:val="0"/>
          <w:numId w:val="12"/>
        </w:numPr>
        <w:spacing w:beforeLines="50" w:after="0" w:line="240" w:lineRule="auto"/>
        <w:ind w:left="0" w:firstLine="0"/>
        <w:rPr>
          <w:sz w:val="24"/>
        </w:rPr>
      </w:pPr>
      <w:bookmarkStart w:id="41" w:name="_Toc392862482"/>
      <w:bookmarkStart w:id="42" w:name="_Toc114052421"/>
      <w:bookmarkStart w:id="43" w:name="_Toc114052347"/>
      <w:bookmarkStart w:id="44" w:name="_Toc286386841"/>
      <w:r>
        <w:rPr>
          <w:rFonts w:hint="eastAsia"/>
          <w:sz w:val="24"/>
        </w:rPr>
        <w:t>比选文件的</w:t>
      </w:r>
      <w:bookmarkEnd w:id="41"/>
      <w:bookmarkEnd w:id="42"/>
      <w:bookmarkEnd w:id="43"/>
      <w:bookmarkEnd w:id="44"/>
      <w:r>
        <w:rPr>
          <w:rFonts w:hint="eastAsia"/>
          <w:sz w:val="24"/>
        </w:rPr>
        <w:t>答疑</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比选申请人可提出与比选有关的任何问题并按前附表第12条之规定通知比选发起人。</w:t>
      </w:r>
    </w:p>
    <w:p>
      <w:pPr>
        <w:pStyle w:val="47"/>
        <w:numPr>
          <w:ilvl w:val="1"/>
          <w:numId w:val="12"/>
        </w:numPr>
        <w:spacing w:afterLines="50"/>
        <w:ind w:left="480" w:hanging="480" w:hangingChars="200"/>
        <w:rPr>
          <w:rFonts w:ascii="宋体" w:hAnsi="宋体"/>
          <w:sz w:val="24"/>
        </w:rPr>
      </w:pPr>
      <w:r>
        <w:rPr>
          <w:rFonts w:hint="eastAsia" w:ascii="宋体" w:hAnsi="宋体"/>
          <w:sz w:val="24"/>
        </w:rPr>
        <w:t>若</w:t>
      </w:r>
      <w:r>
        <w:fldChar w:fldCharType="begin"/>
      </w:r>
      <w:r>
        <w:instrText xml:space="preserve">REF _Ref488050650 \r \h  \* MERGEFORMAT </w:instrText>
      </w:r>
      <w:r>
        <w:fldChar w:fldCharType="separate"/>
      </w:r>
      <w:r>
        <w:rPr>
          <w:rFonts w:hint="eastAsia" w:ascii="宋体" w:hAnsi="宋体"/>
          <w:sz w:val="24"/>
        </w:rPr>
        <w:t>第三章</w:t>
      </w:r>
      <w:r>
        <w:rPr>
          <w:rFonts w:ascii="宋体" w:hAnsi="宋体"/>
          <w:sz w:val="24"/>
        </w:rPr>
        <w:t>.　</w:t>
      </w:r>
      <w:r>
        <w:rPr>
          <w:rFonts w:ascii="宋体" w:hAnsi="宋体"/>
          <w:sz w:val="24"/>
        </w:rPr>
        <w:fldChar w:fldCharType="end"/>
      </w:r>
      <w:r>
        <w:rPr>
          <w:rFonts w:hint="eastAsia" w:ascii="宋体" w:hAnsi="宋体"/>
          <w:sz w:val="24"/>
        </w:rPr>
        <w:t>“技术需求及数量表”中所列的货物已停产或者淘汰的，以及规格型号不清的请比选申请人提出书面修改意见，提供并标明符合技术参数要求的产品品牌及型号。</w:t>
      </w:r>
    </w:p>
    <w:p>
      <w:pPr>
        <w:pStyle w:val="47"/>
        <w:numPr>
          <w:ilvl w:val="1"/>
          <w:numId w:val="12"/>
        </w:numPr>
        <w:spacing w:afterLines="50"/>
        <w:ind w:left="480" w:hanging="480" w:hangingChars="200"/>
        <w:rPr>
          <w:rFonts w:ascii="宋体" w:hAnsi="宋体"/>
          <w:sz w:val="24"/>
        </w:rPr>
      </w:pPr>
      <w:r>
        <w:rPr>
          <w:rFonts w:hint="eastAsia" w:ascii="宋体" w:hAnsi="宋体"/>
          <w:sz w:val="24"/>
        </w:rPr>
        <w:t>比选发起人通过“比选补遗文件”将答疑及修改内容在前附表规定的时间内以书面行式（电子扫描件有效）发给所有通过报名预审的比选申请人，并作为比选文件的组成部分。</w:t>
      </w:r>
    </w:p>
    <w:p>
      <w:pPr>
        <w:pStyle w:val="47"/>
        <w:numPr>
          <w:ilvl w:val="1"/>
          <w:numId w:val="12"/>
        </w:numPr>
        <w:spacing w:afterLines="50"/>
        <w:ind w:left="480" w:hanging="480" w:hangingChars="200"/>
        <w:rPr>
          <w:rFonts w:ascii="宋体" w:hAnsi="宋体"/>
          <w:sz w:val="24"/>
        </w:rPr>
      </w:pPr>
      <w:r>
        <w:rPr>
          <w:rFonts w:hint="eastAsia" w:ascii="宋体" w:hAnsi="宋体"/>
          <w:sz w:val="24"/>
        </w:rPr>
        <w:t>比选发起人只回答与比选文件内容有关的问题，并有权对任何无关的问题不作回答。</w:t>
      </w:r>
    </w:p>
    <w:p>
      <w:pPr>
        <w:pStyle w:val="47"/>
        <w:numPr>
          <w:ilvl w:val="1"/>
          <w:numId w:val="12"/>
        </w:numPr>
        <w:spacing w:afterLines="50"/>
        <w:ind w:left="480" w:hanging="480" w:hangingChars="200"/>
        <w:rPr>
          <w:rFonts w:ascii="宋体" w:hAnsi="宋体"/>
          <w:sz w:val="24"/>
        </w:rPr>
      </w:pPr>
      <w:r>
        <w:rPr>
          <w:rFonts w:hint="eastAsia" w:ascii="宋体" w:hAnsi="宋体"/>
          <w:sz w:val="24"/>
        </w:rPr>
        <w:t>比选补遗文件包括所有问题和答复，但不指明澄清问题的来源。</w:t>
      </w:r>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45" w:name="_Toc437544678"/>
      <w:bookmarkStart w:id="46" w:name="_Toc114052348"/>
      <w:bookmarkStart w:id="47" w:name="_Toc27738"/>
      <w:bookmarkStart w:id="48" w:name="_Toc437544523"/>
      <w:bookmarkStart w:id="49" w:name="_Toc286386842"/>
      <w:bookmarkStart w:id="50" w:name="_Toc114052422"/>
      <w:r>
        <w:rPr>
          <w:rFonts w:hint="eastAsia" w:asciiTheme="majorEastAsia" w:hAnsiTheme="majorEastAsia" w:eastAsiaTheme="majorEastAsia"/>
          <w:sz w:val="24"/>
          <w:szCs w:val="24"/>
        </w:rPr>
        <w:t>申请比选报价说明</w:t>
      </w:r>
      <w:bookmarkEnd w:id="45"/>
      <w:bookmarkEnd w:id="46"/>
      <w:bookmarkEnd w:id="47"/>
      <w:bookmarkEnd w:id="48"/>
      <w:bookmarkEnd w:id="49"/>
      <w:bookmarkEnd w:id="50"/>
      <w:bookmarkStart w:id="51" w:name="_Toc114052349"/>
      <w:bookmarkStart w:id="52" w:name="_Toc114052423"/>
      <w:bookmarkStart w:id="53" w:name="_Toc392862484"/>
      <w:bookmarkStart w:id="54" w:name="_Toc286386843"/>
    </w:p>
    <w:p>
      <w:pPr>
        <w:pStyle w:val="4"/>
        <w:numPr>
          <w:ilvl w:val="0"/>
          <w:numId w:val="12"/>
        </w:numPr>
        <w:spacing w:beforeLines="50" w:after="0" w:line="240" w:lineRule="auto"/>
        <w:ind w:left="0" w:firstLine="0"/>
        <w:rPr>
          <w:sz w:val="24"/>
        </w:rPr>
      </w:pPr>
      <w:r>
        <w:rPr>
          <w:rFonts w:hint="eastAsia"/>
          <w:sz w:val="24"/>
        </w:rPr>
        <w:t>申请比选报价</w:t>
      </w:r>
      <w:bookmarkEnd w:id="51"/>
      <w:bookmarkEnd w:id="52"/>
      <w:bookmarkEnd w:id="53"/>
      <w:bookmarkEnd w:id="54"/>
    </w:p>
    <w:p>
      <w:pPr>
        <w:pStyle w:val="47"/>
        <w:numPr>
          <w:ilvl w:val="1"/>
          <w:numId w:val="12"/>
        </w:numPr>
        <w:spacing w:afterLines="50"/>
        <w:ind w:left="480" w:hanging="480" w:hangingChars="200"/>
        <w:rPr>
          <w:rFonts w:ascii="宋体" w:hAnsi="宋体"/>
          <w:sz w:val="24"/>
        </w:rPr>
      </w:pPr>
      <w:bookmarkStart w:id="55" w:name="_Ref483049668"/>
      <w:r>
        <w:rPr>
          <w:rFonts w:hint="eastAsia" w:ascii="宋体" w:hAnsi="宋体"/>
          <w:sz w:val="24"/>
        </w:rPr>
        <w:t>比选申请人报价应包括但不限于：货物价格及出厂检验费、运输费、装卸费、各种税费、保险费、验收费、培训费、包装费、专利费、质保期所需相关的服务费用以及比选申请人企业利润、税金、政策性文件规定和合同包含的所有风险、责任等一切费用。</w:t>
      </w:r>
      <w:bookmarkEnd w:id="55"/>
    </w:p>
    <w:p>
      <w:pPr>
        <w:pStyle w:val="47"/>
        <w:numPr>
          <w:ilvl w:val="1"/>
          <w:numId w:val="12"/>
        </w:numPr>
        <w:spacing w:afterLines="50"/>
        <w:ind w:left="480" w:hanging="480" w:hangingChars="200"/>
        <w:rPr>
          <w:rFonts w:ascii="宋体" w:hAnsi="宋体"/>
          <w:sz w:val="24"/>
        </w:rPr>
      </w:pPr>
      <w:r>
        <w:rPr>
          <w:rFonts w:hint="eastAsia" w:ascii="宋体" w:hAnsi="宋体"/>
          <w:sz w:val="24"/>
        </w:rPr>
        <w:t>本项目报价应为确定性报价，不接受选择性报价，任何有选择性的报价将不予接受；在比选申请文件递交截止时间后，针对比选申请文件作出的任何修改将不予接受。</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比选申请人须按比选文件的要求进行报价，所报货物的规格参数及品牌等须符合比选文件要求，分项报价表的序号应与《技术需求及数量表》的序号一致。</w:t>
      </w:r>
    </w:p>
    <w:p>
      <w:pPr>
        <w:pStyle w:val="47"/>
        <w:numPr>
          <w:ilvl w:val="1"/>
          <w:numId w:val="12"/>
        </w:numPr>
        <w:spacing w:afterLines="50"/>
        <w:ind w:left="480" w:hanging="480" w:hangingChars="200"/>
        <w:rPr>
          <w:rFonts w:ascii="宋体" w:hAnsi="宋体"/>
          <w:sz w:val="24"/>
        </w:rPr>
      </w:pPr>
      <w:r>
        <w:rPr>
          <w:rFonts w:hint="eastAsia" w:ascii="宋体" w:hAnsi="宋体"/>
          <w:sz w:val="24"/>
        </w:rPr>
        <w:t>对原产地在中国境外的货物，必须是在中国海关完税的可合法销售的货物，并提供相应的完整的报关单。</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比选申请文件编制的依据：本比选文件。</w:t>
      </w:r>
    </w:p>
    <w:p>
      <w:pPr>
        <w:pStyle w:val="47"/>
        <w:numPr>
          <w:ilvl w:val="1"/>
          <w:numId w:val="12"/>
        </w:numPr>
        <w:spacing w:afterLines="50"/>
        <w:ind w:left="480" w:hanging="480" w:hangingChars="200"/>
        <w:rPr>
          <w:rFonts w:ascii="宋体" w:hAnsi="宋体"/>
          <w:sz w:val="24"/>
        </w:rPr>
      </w:pPr>
      <w:r>
        <w:rPr>
          <w:rFonts w:hint="eastAsia" w:ascii="宋体" w:hAnsi="宋体"/>
          <w:sz w:val="24"/>
        </w:rPr>
        <w:t>比选发起人对本项目的澄清说明，比选申请人应以澄清后的要求进行报价。</w:t>
      </w:r>
    </w:p>
    <w:p>
      <w:pPr>
        <w:pStyle w:val="47"/>
        <w:numPr>
          <w:ilvl w:val="1"/>
          <w:numId w:val="12"/>
        </w:numPr>
        <w:spacing w:afterLines="50"/>
        <w:ind w:firstLineChars="0"/>
        <w:rPr>
          <w:rFonts w:ascii="宋体" w:hAnsi="宋体"/>
          <w:sz w:val="24"/>
        </w:rPr>
      </w:pPr>
      <w:r>
        <w:rPr>
          <w:rFonts w:hint="eastAsia" w:ascii="宋体" w:hAnsi="宋体"/>
          <w:b/>
          <w:sz w:val="24"/>
        </w:rPr>
        <w:t>比选申请人的报价须包含项目总价(比选申请函)和分项报价表；缺少项目总价(比选申请函)或缺少分项报价表的，视为实质性不响应；</w:t>
      </w:r>
      <w:r>
        <w:rPr>
          <w:rFonts w:hint="eastAsia" w:ascii="宋体" w:hAnsi="宋体"/>
          <w:sz w:val="24"/>
        </w:rPr>
        <w:t>分项报价表须包含货物单价、合价及总价，单项货物的单价×数量等于该项货物合价；全部货物合价之和等于项目总价。</w:t>
      </w:r>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56" w:name="_Toc437544524"/>
      <w:bookmarkStart w:id="57" w:name="_Toc437544679"/>
      <w:bookmarkStart w:id="58" w:name="_Toc286386844"/>
      <w:bookmarkStart w:id="59" w:name="_Toc114052424"/>
      <w:bookmarkStart w:id="60" w:name="_Toc114052350"/>
      <w:bookmarkStart w:id="61" w:name="_Toc5976"/>
      <w:r>
        <w:rPr>
          <w:rFonts w:hint="eastAsia" w:asciiTheme="majorEastAsia" w:hAnsiTheme="majorEastAsia" w:eastAsiaTheme="majorEastAsia"/>
          <w:sz w:val="24"/>
          <w:szCs w:val="24"/>
        </w:rPr>
        <w:t>比选申请文件的编制</w:t>
      </w:r>
      <w:bookmarkEnd w:id="56"/>
      <w:bookmarkEnd w:id="57"/>
      <w:bookmarkEnd w:id="58"/>
      <w:bookmarkEnd w:id="59"/>
      <w:bookmarkEnd w:id="60"/>
      <w:bookmarkEnd w:id="61"/>
    </w:p>
    <w:p>
      <w:pPr>
        <w:pStyle w:val="4"/>
        <w:numPr>
          <w:ilvl w:val="0"/>
          <w:numId w:val="12"/>
        </w:numPr>
        <w:spacing w:beforeLines="50" w:after="0" w:line="240" w:lineRule="auto"/>
        <w:ind w:left="0" w:firstLine="0"/>
        <w:rPr>
          <w:sz w:val="24"/>
        </w:rPr>
      </w:pPr>
      <w:bookmarkStart w:id="62" w:name="_Toc392862486"/>
      <w:bookmarkStart w:id="63" w:name="_Toc286386845"/>
      <w:r>
        <w:rPr>
          <w:rFonts w:hint="eastAsia"/>
          <w:sz w:val="24"/>
        </w:rPr>
        <w:t>注意事项</w:t>
      </w:r>
      <w:bookmarkEnd w:id="62"/>
      <w:bookmarkEnd w:id="63"/>
    </w:p>
    <w:p>
      <w:pPr>
        <w:pStyle w:val="47"/>
        <w:numPr>
          <w:ilvl w:val="1"/>
          <w:numId w:val="12"/>
        </w:numPr>
        <w:spacing w:afterLines="50"/>
        <w:ind w:left="480" w:hanging="480" w:hangingChars="200"/>
        <w:rPr>
          <w:rFonts w:ascii="宋体" w:hAnsi="宋体"/>
          <w:sz w:val="24"/>
        </w:rPr>
      </w:pPr>
      <w:r>
        <w:rPr>
          <w:rFonts w:hint="eastAsia" w:ascii="宋体" w:hAnsi="宋体"/>
          <w:sz w:val="24"/>
        </w:rPr>
        <w:t>比选申请人应认真阅读比选文件，按照比选文件的要求编制比选申请文件。若未按比选文件要求提交比选申请文件，或未对比选文件提出的实质性要求和条件作出响应，可能导致该比选申请文件被拒绝。</w:t>
      </w:r>
    </w:p>
    <w:p>
      <w:pPr>
        <w:pStyle w:val="47"/>
        <w:numPr>
          <w:ilvl w:val="1"/>
          <w:numId w:val="12"/>
        </w:numPr>
        <w:spacing w:afterLines="50"/>
        <w:ind w:left="480" w:hanging="480" w:hangingChars="200"/>
        <w:rPr>
          <w:rFonts w:ascii="宋体" w:hAnsi="宋体"/>
          <w:sz w:val="24"/>
        </w:rPr>
      </w:pPr>
      <w:r>
        <w:rPr>
          <w:rFonts w:hint="eastAsia" w:ascii="宋体" w:hAnsi="宋体"/>
          <w:sz w:val="24"/>
        </w:rPr>
        <w:t>比选文件提出的实质性要求和条件是指本项目所涉及的价格、服务、合同条款（格式）、性能参数，或评审小组认定的其他内容。</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比选申请文件等所有来往函电须统一使用中文(特别规定除外)。</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比选申请文件中使用的计量单位除比选文件有特殊规定外，一律使用法定计量单位。</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比选申请文件须按要求进行签字和盖章。</w:t>
      </w:r>
    </w:p>
    <w:p>
      <w:pPr>
        <w:pStyle w:val="47"/>
        <w:numPr>
          <w:ilvl w:val="1"/>
          <w:numId w:val="12"/>
        </w:numPr>
        <w:spacing w:afterLines="50"/>
        <w:ind w:left="480" w:hanging="480" w:hangingChars="200"/>
        <w:rPr>
          <w:rFonts w:ascii="宋体" w:hAnsi="宋体"/>
          <w:sz w:val="24"/>
        </w:rPr>
      </w:pPr>
      <w:r>
        <w:rPr>
          <w:rFonts w:hint="eastAsia" w:ascii="宋体" w:hAnsi="宋体"/>
          <w:sz w:val="24"/>
        </w:rPr>
        <w:t>全套比选申请文件应无涂改和行间插字，除非这些删改是根据比选发起人指示进行的；或者是比选申请人造成的必须修改的错误，但修改处应由比选申请人法定代表人或授权委托代理人签字并加盖公章予以证明，否则修改无效。</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比选申请文件纸质版包括：一份“正本”、四份“副本”，并标明“正本”和“副本”；正本与副本均应使用不能擦去的黑色墨水打印或书写，分别装订成册。</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电子版：正本编制完成后，保存一份电子版（非表格部分可用WORD格式，表格部分可使用EXCEL格式）；正本打印盖章后扫描保存为另一份电子版（PDF格式）；将两份电子版正本比选申请文件保存在同一个U盘。</w:t>
      </w:r>
    </w:p>
    <w:p>
      <w:pPr>
        <w:pStyle w:val="47"/>
        <w:numPr>
          <w:ilvl w:val="1"/>
          <w:numId w:val="12"/>
        </w:numPr>
        <w:spacing w:afterLines="50"/>
        <w:ind w:left="480" w:hanging="480" w:hangingChars="200"/>
        <w:rPr>
          <w:rFonts w:ascii="宋体" w:hAnsi="宋体"/>
          <w:sz w:val="24"/>
        </w:rPr>
      </w:pPr>
      <w:r>
        <w:rPr>
          <w:rFonts w:hint="eastAsia" w:ascii="宋体" w:hAnsi="宋体"/>
          <w:sz w:val="24"/>
        </w:rPr>
        <w:t>比选申请文件电子版与纸质版内容不一致时，以纸质版为准；正本和副本不一致时，以正本为准。</w:t>
      </w:r>
    </w:p>
    <w:p>
      <w:pPr>
        <w:pStyle w:val="4"/>
        <w:numPr>
          <w:ilvl w:val="0"/>
          <w:numId w:val="12"/>
        </w:numPr>
        <w:spacing w:beforeLines="50" w:after="0" w:line="240" w:lineRule="auto"/>
        <w:ind w:left="0" w:firstLine="0"/>
        <w:rPr>
          <w:sz w:val="24"/>
        </w:rPr>
      </w:pPr>
      <w:bookmarkStart w:id="64" w:name="_Toc114052426"/>
      <w:bookmarkStart w:id="65" w:name="_Ref464481848"/>
      <w:bookmarkStart w:id="66" w:name="_Toc392862487"/>
      <w:bookmarkStart w:id="67" w:name="_Toc114052352"/>
      <w:bookmarkStart w:id="68" w:name="_Toc286386846"/>
      <w:bookmarkStart w:id="69" w:name="_Ref464481847"/>
      <w:r>
        <w:rPr>
          <w:rFonts w:hint="eastAsia"/>
          <w:sz w:val="24"/>
        </w:rPr>
        <w:t>比选申请文件的组成</w:t>
      </w:r>
      <w:bookmarkEnd w:id="64"/>
      <w:bookmarkEnd w:id="65"/>
      <w:bookmarkEnd w:id="66"/>
      <w:bookmarkEnd w:id="67"/>
      <w:bookmarkEnd w:id="68"/>
      <w:bookmarkEnd w:id="69"/>
    </w:p>
    <w:p>
      <w:pPr>
        <w:pStyle w:val="47"/>
        <w:numPr>
          <w:ilvl w:val="1"/>
          <w:numId w:val="12"/>
        </w:numPr>
        <w:spacing w:afterLines="50"/>
        <w:ind w:left="480" w:hanging="480" w:hangingChars="200"/>
        <w:rPr>
          <w:rFonts w:ascii="宋体" w:hAnsi="宋体"/>
          <w:sz w:val="24"/>
        </w:rPr>
      </w:pPr>
      <w:bookmarkStart w:id="70" w:name="_Toc114052354"/>
      <w:r>
        <w:rPr>
          <w:rFonts w:ascii="宋体" w:hAnsi="宋体"/>
          <w:sz w:val="24"/>
        </w:rPr>
        <w:t>比选申请文件由资格审查部分、</w:t>
      </w:r>
      <w:r>
        <w:rPr>
          <w:rFonts w:hint="eastAsia" w:ascii="宋体" w:hAnsi="宋体"/>
          <w:sz w:val="24"/>
        </w:rPr>
        <w:t>技术部分、</w:t>
      </w:r>
      <w:r>
        <w:rPr>
          <w:rFonts w:ascii="宋体" w:hAnsi="宋体"/>
          <w:sz w:val="24"/>
        </w:rPr>
        <w:t>商务部分</w:t>
      </w:r>
      <w:r>
        <w:rPr>
          <w:rFonts w:hint="eastAsia" w:ascii="宋体" w:hAnsi="宋体"/>
          <w:sz w:val="24"/>
        </w:rPr>
        <w:t>三</w:t>
      </w:r>
      <w:r>
        <w:rPr>
          <w:rFonts w:ascii="宋体" w:hAnsi="宋体"/>
          <w:sz w:val="24"/>
        </w:rPr>
        <w:t>部分组成。</w:t>
      </w:r>
    </w:p>
    <w:p>
      <w:pPr>
        <w:pStyle w:val="47"/>
        <w:numPr>
          <w:ilvl w:val="1"/>
          <w:numId w:val="12"/>
        </w:numPr>
        <w:spacing w:afterLines="50"/>
        <w:ind w:left="480" w:hanging="480" w:hangingChars="200"/>
        <w:rPr>
          <w:rFonts w:ascii="宋体" w:hAnsi="宋体"/>
          <w:sz w:val="24"/>
        </w:rPr>
      </w:pPr>
      <w:bookmarkStart w:id="71" w:name="_Ref483054033"/>
      <w:r>
        <w:rPr>
          <w:rFonts w:hint="eastAsia" w:ascii="宋体" w:hAnsi="宋体"/>
          <w:sz w:val="24"/>
        </w:rPr>
        <w:t>资格审查</w:t>
      </w:r>
      <w:r>
        <w:rPr>
          <w:rFonts w:ascii="宋体" w:hAnsi="宋体"/>
          <w:sz w:val="24"/>
        </w:rPr>
        <w:t>部分主要包括下列内容：</w:t>
      </w:r>
      <w:bookmarkEnd w:id="71"/>
    </w:p>
    <w:p>
      <w:pPr>
        <w:pStyle w:val="47"/>
        <w:numPr>
          <w:ilvl w:val="2"/>
          <w:numId w:val="12"/>
        </w:numPr>
        <w:ind w:firstLineChars="0"/>
        <w:rPr>
          <w:rFonts w:ascii="宋体" w:hAnsi="宋体"/>
          <w:sz w:val="24"/>
        </w:rPr>
      </w:pPr>
      <w:bookmarkStart w:id="72" w:name="_Ref483060579"/>
      <w:r>
        <w:rPr>
          <w:rFonts w:hint="eastAsia" w:ascii="宋体" w:hAnsi="宋体"/>
          <w:sz w:val="24"/>
        </w:rPr>
        <w:t>比选保证金缴纳证明</w:t>
      </w:r>
      <w:r>
        <w:rPr>
          <w:rFonts w:hint="eastAsia" w:ascii="宋体" w:hAnsi="宋体"/>
          <w:kern w:val="0"/>
          <w:sz w:val="24"/>
        </w:rPr>
        <w:t>（复印件，原件备查）</w:t>
      </w:r>
      <w:bookmarkEnd w:id="72"/>
    </w:p>
    <w:p>
      <w:pPr>
        <w:pStyle w:val="47"/>
        <w:numPr>
          <w:ilvl w:val="2"/>
          <w:numId w:val="12"/>
        </w:numPr>
        <w:ind w:firstLineChars="0"/>
        <w:rPr>
          <w:rFonts w:ascii="宋体" w:hAnsi="宋体"/>
          <w:sz w:val="24"/>
        </w:rPr>
      </w:pPr>
      <w:bookmarkStart w:id="73" w:name="_Ref483060645"/>
      <w:r>
        <w:rPr>
          <w:rFonts w:hint="eastAsia" w:ascii="宋体" w:hAnsi="宋体"/>
          <w:sz w:val="24"/>
        </w:rPr>
        <w:t>诚信声明（原件）</w:t>
      </w:r>
      <w:bookmarkEnd w:id="73"/>
    </w:p>
    <w:p>
      <w:pPr>
        <w:pStyle w:val="47"/>
        <w:numPr>
          <w:ilvl w:val="2"/>
          <w:numId w:val="12"/>
        </w:numPr>
        <w:ind w:firstLineChars="0"/>
        <w:rPr>
          <w:rFonts w:ascii="宋体" w:hAnsi="宋体"/>
          <w:sz w:val="24"/>
        </w:rPr>
      </w:pPr>
      <w:bookmarkStart w:id="74" w:name="_Ref483060659"/>
      <w:r>
        <w:rPr>
          <w:rFonts w:hint="eastAsia" w:ascii="宋体" w:hAnsi="宋体"/>
          <w:sz w:val="24"/>
        </w:rPr>
        <w:t>法定代表人资格证明书（原件）</w:t>
      </w:r>
      <w:bookmarkEnd w:id="74"/>
    </w:p>
    <w:p>
      <w:pPr>
        <w:pStyle w:val="47"/>
        <w:numPr>
          <w:ilvl w:val="2"/>
          <w:numId w:val="12"/>
        </w:numPr>
        <w:ind w:firstLineChars="0"/>
        <w:rPr>
          <w:rFonts w:ascii="宋体" w:hAnsi="宋体"/>
          <w:sz w:val="24"/>
        </w:rPr>
      </w:pPr>
      <w:bookmarkStart w:id="75" w:name="_Ref483060669"/>
      <w:r>
        <w:rPr>
          <w:rFonts w:hint="eastAsia" w:ascii="宋体" w:hAnsi="宋体"/>
          <w:sz w:val="24"/>
        </w:rPr>
        <w:t>授权委托书（原件）</w:t>
      </w:r>
      <w:bookmarkEnd w:id="75"/>
    </w:p>
    <w:p>
      <w:pPr>
        <w:pStyle w:val="47"/>
        <w:ind w:left="709" w:firstLine="0" w:firstLineChars="0"/>
        <w:rPr>
          <w:rFonts w:ascii="宋体" w:hAnsi="宋体"/>
          <w:sz w:val="24"/>
        </w:rPr>
      </w:pPr>
      <w:r>
        <w:rPr>
          <w:rFonts w:hint="eastAsia" w:ascii="宋体" w:hAnsi="宋体"/>
          <w:sz w:val="24"/>
        </w:rPr>
        <w:t>(由法定代表人参加</w:t>
      </w:r>
      <w:r>
        <w:rPr>
          <w:rFonts w:hint="eastAsia" w:ascii="宋体" w:hAnsi="宋体"/>
          <w:kern w:val="0"/>
          <w:sz w:val="24"/>
        </w:rPr>
        <w:t>评审、签订合同及合同实施过程中的一切文件并处理与之有关的一切事务的，可不提供</w:t>
      </w:r>
      <w:r>
        <w:rPr>
          <w:rFonts w:hint="eastAsia" w:ascii="宋体" w:hAnsi="宋体"/>
          <w:sz w:val="24"/>
        </w:rPr>
        <w:t>)</w:t>
      </w:r>
    </w:p>
    <w:p>
      <w:pPr>
        <w:pStyle w:val="47"/>
        <w:numPr>
          <w:ilvl w:val="2"/>
          <w:numId w:val="12"/>
        </w:numPr>
        <w:ind w:firstLineChars="0"/>
        <w:rPr>
          <w:rFonts w:ascii="宋体" w:hAnsi="宋体"/>
          <w:sz w:val="24"/>
        </w:rPr>
      </w:pPr>
      <w:bookmarkStart w:id="76" w:name="_Ref483060679"/>
      <w:r>
        <w:rPr>
          <w:rFonts w:hint="eastAsia" w:ascii="宋体" w:hAnsi="宋体"/>
          <w:sz w:val="24"/>
        </w:rPr>
        <w:t>营业执照副本（复印件，原件备查）</w:t>
      </w:r>
      <w:bookmarkEnd w:id="76"/>
    </w:p>
    <w:p>
      <w:pPr>
        <w:pStyle w:val="47"/>
        <w:numPr>
          <w:ilvl w:val="2"/>
          <w:numId w:val="12"/>
        </w:numPr>
        <w:ind w:firstLineChars="0"/>
        <w:rPr>
          <w:rFonts w:ascii="宋体" w:hAnsi="宋体"/>
          <w:sz w:val="24"/>
        </w:rPr>
      </w:pPr>
      <w:bookmarkStart w:id="77" w:name="_Ref483060684"/>
      <w:r>
        <w:rPr>
          <w:rFonts w:hint="eastAsia" w:ascii="宋体" w:hAnsi="宋体"/>
          <w:sz w:val="24"/>
        </w:rPr>
        <w:t>组织机构代码证（复印件，原件备查；已“三证合一”的可不提供）</w:t>
      </w:r>
      <w:bookmarkEnd w:id="77"/>
    </w:p>
    <w:bookmarkEnd w:id="70"/>
    <w:p>
      <w:pPr>
        <w:pStyle w:val="47"/>
        <w:numPr>
          <w:ilvl w:val="1"/>
          <w:numId w:val="12"/>
        </w:numPr>
        <w:spacing w:beforeLines="50"/>
        <w:ind w:left="648" w:hanging="648" w:hangingChars="270"/>
        <w:rPr>
          <w:rFonts w:ascii="宋体" w:hAnsi="宋体"/>
          <w:sz w:val="24"/>
        </w:rPr>
      </w:pPr>
      <w:r>
        <w:rPr>
          <w:rFonts w:hint="eastAsia" w:ascii="宋体" w:hAnsi="宋体"/>
          <w:sz w:val="24"/>
        </w:rPr>
        <w:t>技术部分</w:t>
      </w:r>
      <w:r>
        <w:rPr>
          <w:rFonts w:ascii="宋体" w:hAnsi="宋体"/>
          <w:sz w:val="24"/>
        </w:rPr>
        <w:t>主要包括下列内容：</w:t>
      </w:r>
    </w:p>
    <w:p>
      <w:pPr>
        <w:pStyle w:val="47"/>
        <w:numPr>
          <w:ilvl w:val="2"/>
          <w:numId w:val="12"/>
        </w:numPr>
        <w:ind w:firstLineChars="0"/>
        <w:rPr>
          <w:rFonts w:ascii="宋体" w:hAnsi="宋体"/>
          <w:sz w:val="24"/>
        </w:rPr>
      </w:pPr>
      <w:bookmarkStart w:id="78" w:name="_Ref483062102"/>
      <w:r>
        <w:rPr>
          <w:rFonts w:hint="eastAsia" w:ascii="宋体" w:hAnsi="宋体"/>
          <w:sz w:val="24"/>
        </w:rPr>
        <w:t>服务承诺书（包括如何组织送货，如何进行售后保障等；并明确到货日期和质保期）</w:t>
      </w:r>
      <w:bookmarkEnd w:id="78"/>
    </w:p>
    <w:p>
      <w:pPr>
        <w:pStyle w:val="47"/>
        <w:numPr>
          <w:ilvl w:val="2"/>
          <w:numId w:val="12"/>
        </w:numPr>
        <w:ind w:firstLineChars="0"/>
        <w:rPr>
          <w:rFonts w:ascii="宋体" w:hAnsi="宋体"/>
          <w:sz w:val="24"/>
        </w:rPr>
      </w:pPr>
      <w:bookmarkStart w:id="79" w:name="_Ref483062107"/>
      <w:r>
        <w:rPr>
          <w:rFonts w:hint="eastAsia" w:ascii="宋体" w:hAnsi="宋体"/>
          <w:sz w:val="24"/>
        </w:rPr>
        <w:t>技术需求偏离表(格式及要求等见附件3)</w:t>
      </w:r>
      <w:bookmarkEnd w:id="79"/>
    </w:p>
    <w:p>
      <w:pPr>
        <w:pStyle w:val="47"/>
        <w:numPr>
          <w:ilvl w:val="2"/>
          <w:numId w:val="12"/>
        </w:numPr>
        <w:ind w:firstLineChars="0"/>
        <w:rPr>
          <w:rFonts w:ascii="宋体" w:hAnsi="宋体"/>
          <w:sz w:val="24"/>
        </w:rPr>
      </w:pPr>
      <w:bookmarkStart w:id="80" w:name="_Ref483061849"/>
      <w:r>
        <w:rPr>
          <w:rFonts w:hint="eastAsia" w:ascii="宋体" w:hAnsi="宋体"/>
          <w:sz w:val="24"/>
        </w:rPr>
        <w:t>比选申请人认为有必要提供的其他材料或优惠条件（如有）</w:t>
      </w:r>
      <w:bookmarkEnd w:id="80"/>
    </w:p>
    <w:p>
      <w:pPr>
        <w:pStyle w:val="47"/>
        <w:numPr>
          <w:ilvl w:val="1"/>
          <w:numId w:val="12"/>
        </w:numPr>
        <w:spacing w:beforeLines="50"/>
        <w:ind w:left="648" w:hanging="648" w:hangingChars="270"/>
        <w:rPr>
          <w:rFonts w:ascii="宋体" w:hAnsi="宋体"/>
          <w:sz w:val="24"/>
        </w:rPr>
      </w:pPr>
      <w:r>
        <w:rPr>
          <w:rFonts w:ascii="宋体" w:hAnsi="宋体"/>
          <w:sz w:val="24"/>
        </w:rPr>
        <w:t>商务部分主要包括下列内容：</w:t>
      </w:r>
    </w:p>
    <w:p>
      <w:pPr>
        <w:pStyle w:val="47"/>
        <w:numPr>
          <w:ilvl w:val="2"/>
          <w:numId w:val="12"/>
        </w:numPr>
        <w:ind w:firstLineChars="0"/>
        <w:rPr>
          <w:rFonts w:ascii="宋体" w:hAnsi="宋体"/>
          <w:sz w:val="24"/>
        </w:rPr>
      </w:pPr>
      <w:bookmarkStart w:id="81" w:name="_Ref483206692"/>
      <w:r>
        <w:rPr>
          <w:rFonts w:hint="eastAsia" w:ascii="宋体" w:hAnsi="宋体"/>
          <w:sz w:val="24"/>
        </w:rPr>
        <w:t>比选申请函</w:t>
      </w:r>
      <w:bookmarkEnd w:id="81"/>
    </w:p>
    <w:p>
      <w:pPr>
        <w:pStyle w:val="47"/>
        <w:numPr>
          <w:ilvl w:val="2"/>
          <w:numId w:val="12"/>
        </w:numPr>
        <w:ind w:firstLineChars="0"/>
        <w:rPr>
          <w:rFonts w:ascii="宋体" w:hAnsi="宋体"/>
          <w:sz w:val="24"/>
        </w:rPr>
      </w:pPr>
      <w:bookmarkStart w:id="82" w:name="_Ref483206548"/>
      <w:r>
        <w:rPr>
          <w:rFonts w:hint="eastAsia" w:ascii="宋体" w:hAnsi="宋体"/>
          <w:sz w:val="24"/>
        </w:rPr>
        <w:t>分项报价表（格式及要求等见附件4）</w:t>
      </w:r>
      <w:bookmarkEnd w:id="82"/>
    </w:p>
    <w:p>
      <w:pPr>
        <w:pStyle w:val="47"/>
        <w:numPr>
          <w:ilvl w:val="1"/>
          <w:numId w:val="12"/>
        </w:numPr>
        <w:spacing w:beforeLines="50"/>
        <w:ind w:left="648" w:hanging="648" w:hangingChars="270"/>
        <w:rPr>
          <w:rFonts w:ascii="宋体" w:hAnsi="宋体"/>
          <w:sz w:val="24"/>
        </w:rPr>
      </w:pPr>
      <w:r>
        <w:rPr>
          <w:rFonts w:hint="eastAsia" w:ascii="宋体" w:hAnsi="宋体"/>
          <w:sz w:val="24"/>
        </w:rPr>
        <w:t>比选申请人按要求的格式和顺序另行编制比选申请文件，表格可以按同样格式扩展。</w:t>
      </w:r>
    </w:p>
    <w:p>
      <w:pPr>
        <w:pStyle w:val="4"/>
        <w:numPr>
          <w:ilvl w:val="0"/>
          <w:numId w:val="12"/>
        </w:numPr>
        <w:spacing w:beforeLines="50" w:after="0" w:line="240" w:lineRule="auto"/>
        <w:ind w:left="0" w:firstLine="0"/>
        <w:rPr>
          <w:sz w:val="24"/>
        </w:rPr>
      </w:pPr>
      <w:bookmarkStart w:id="83" w:name="_Toc114052427"/>
      <w:bookmarkStart w:id="84" w:name="_Toc286386847"/>
      <w:bookmarkStart w:id="85" w:name="_Toc392862488"/>
      <w:bookmarkStart w:id="86" w:name="_Toc114052363"/>
      <w:r>
        <w:rPr>
          <w:rFonts w:hint="eastAsia"/>
          <w:sz w:val="24"/>
        </w:rPr>
        <w:t>比选有效期</w:t>
      </w:r>
      <w:bookmarkEnd w:id="83"/>
      <w:bookmarkEnd w:id="84"/>
      <w:bookmarkEnd w:id="85"/>
      <w:bookmarkEnd w:id="86"/>
    </w:p>
    <w:p>
      <w:pPr>
        <w:pStyle w:val="47"/>
        <w:numPr>
          <w:ilvl w:val="1"/>
          <w:numId w:val="12"/>
        </w:numPr>
        <w:tabs>
          <w:tab w:val="left" w:pos="709"/>
        </w:tabs>
        <w:spacing w:afterLines="50"/>
        <w:ind w:left="480" w:hanging="480" w:hangingChars="200"/>
        <w:rPr>
          <w:rFonts w:ascii="宋体" w:hAnsi="宋体"/>
          <w:sz w:val="24"/>
        </w:rPr>
      </w:pPr>
      <w:r>
        <w:rPr>
          <w:rFonts w:hint="eastAsia" w:ascii="宋体" w:hAnsi="宋体"/>
          <w:sz w:val="24"/>
        </w:rPr>
        <w:t>比选申请文件在前附表第8条所述时间内有效。</w:t>
      </w:r>
    </w:p>
    <w:p>
      <w:pPr>
        <w:pStyle w:val="47"/>
        <w:numPr>
          <w:ilvl w:val="1"/>
          <w:numId w:val="12"/>
        </w:numPr>
        <w:tabs>
          <w:tab w:val="left" w:pos="709"/>
        </w:tabs>
        <w:spacing w:afterLines="50"/>
        <w:ind w:left="480" w:hanging="480" w:hangingChars="200"/>
        <w:rPr>
          <w:rFonts w:ascii="宋体" w:hAnsi="宋体"/>
          <w:sz w:val="24"/>
        </w:rPr>
      </w:pPr>
      <w:r>
        <w:rPr>
          <w:rFonts w:hint="eastAsia" w:ascii="宋体" w:hAnsi="宋体"/>
          <w:sz w:val="24"/>
        </w:rPr>
        <w:t>在原定比选有效期满前，如果出现特殊情况，比选发起人可以书面形式向比选申请人提出延长比选有效期的要求，比选申请人应以书面形式予以答复。同意延长比选有效期的比选申请人不允许修改其比选申请文件。在延长的比选有效期内，本比选文件仍然适用。</w:t>
      </w:r>
    </w:p>
    <w:p>
      <w:pPr>
        <w:pStyle w:val="4"/>
        <w:numPr>
          <w:ilvl w:val="0"/>
          <w:numId w:val="12"/>
        </w:numPr>
        <w:spacing w:beforeLines="50" w:after="0" w:line="240" w:lineRule="auto"/>
        <w:ind w:left="0" w:firstLine="0"/>
        <w:rPr>
          <w:sz w:val="24"/>
        </w:rPr>
      </w:pPr>
      <w:bookmarkStart w:id="87" w:name="_Toc286386848"/>
      <w:bookmarkStart w:id="88" w:name="_Toc392862489"/>
      <w:bookmarkStart w:id="89" w:name="_Ref462913188"/>
      <w:bookmarkStart w:id="90" w:name="_Toc114052428"/>
      <w:bookmarkStart w:id="91" w:name="_Toc114052364"/>
      <w:bookmarkStart w:id="92" w:name="_Ref462914355"/>
      <w:r>
        <w:rPr>
          <w:rFonts w:hint="eastAsia"/>
          <w:sz w:val="24"/>
        </w:rPr>
        <w:t>比选保证金</w:t>
      </w:r>
      <w:bookmarkEnd w:id="87"/>
      <w:bookmarkEnd w:id="88"/>
      <w:bookmarkEnd w:id="89"/>
      <w:bookmarkEnd w:id="90"/>
      <w:bookmarkEnd w:id="91"/>
      <w:bookmarkEnd w:id="92"/>
    </w:p>
    <w:p>
      <w:pPr>
        <w:pStyle w:val="47"/>
        <w:numPr>
          <w:ilvl w:val="1"/>
          <w:numId w:val="12"/>
        </w:numPr>
        <w:spacing w:afterLines="50"/>
        <w:ind w:left="600" w:hanging="600" w:hangingChars="250"/>
        <w:rPr>
          <w:rFonts w:ascii="宋体" w:hAnsi="宋体"/>
          <w:sz w:val="24"/>
        </w:rPr>
      </w:pPr>
      <w:r>
        <w:rPr>
          <w:rFonts w:hint="eastAsia" w:ascii="宋体" w:hAnsi="宋体"/>
          <w:sz w:val="24"/>
        </w:rPr>
        <w:t>缴纳方式：银行转账。</w:t>
      </w:r>
    </w:p>
    <w:p>
      <w:pPr>
        <w:pStyle w:val="47"/>
        <w:numPr>
          <w:ilvl w:val="1"/>
          <w:numId w:val="12"/>
        </w:numPr>
        <w:spacing w:afterLines="50"/>
        <w:ind w:left="600" w:hanging="600" w:hangingChars="250"/>
        <w:rPr>
          <w:rFonts w:ascii="宋体" w:hAnsi="宋体"/>
          <w:sz w:val="24"/>
        </w:rPr>
      </w:pPr>
      <w:r>
        <w:rPr>
          <w:rFonts w:hint="eastAsia" w:ascii="宋体" w:hAnsi="宋体"/>
          <w:sz w:val="24"/>
        </w:rPr>
        <w:t>确认方式：以比选申请人的转账回执单或比选发起人财务出具的收款证明为准(收款证明领取地址：南宁市青秀区云景路69号南宁轨道大厦A2楼807室，肖会计，电话0771-2332805；仅限工作日工作时间领取)</w:t>
      </w:r>
    </w:p>
    <w:p>
      <w:pPr>
        <w:pStyle w:val="47"/>
        <w:numPr>
          <w:ilvl w:val="1"/>
          <w:numId w:val="12"/>
        </w:numPr>
        <w:spacing w:beforeLines="50"/>
        <w:ind w:left="648" w:hanging="648" w:hangingChars="270"/>
        <w:rPr>
          <w:rFonts w:ascii="宋体" w:hAnsi="宋体"/>
          <w:sz w:val="24"/>
        </w:rPr>
      </w:pPr>
      <w:r>
        <w:rPr>
          <w:rFonts w:hint="eastAsia" w:ascii="宋体" w:hAnsi="宋体"/>
          <w:sz w:val="24"/>
        </w:rPr>
        <w:t>比选保证金、履约保证金收款</w:t>
      </w:r>
      <w:r>
        <w:rPr>
          <w:rFonts w:ascii="宋体" w:hAnsi="宋体"/>
          <w:sz w:val="24"/>
        </w:rPr>
        <w:t>账户</w:t>
      </w:r>
      <w:r>
        <w:rPr>
          <w:rFonts w:hint="eastAsia" w:ascii="宋体" w:hAnsi="宋体"/>
          <w:sz w:val="24"/>
        </w:rPr>
        <w:t>：</w:t>
      </w:r>
    </w:p>
    <w:tbl>
      <w:tblPr>
        <w:tblStyle w:val="34"/>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1"/>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kern w:val="0"/>
                <w:sz w:val="24"/>
              </w:rPr>
            </w:pPr>
            <w:r>
              <w:rPr>
                <w:rFonts w:hint="eastAsia" w:ascii="宋体" w:hAnsi="宋体"/>
                <w:kern w:val="0"/>
                <w:sz w:val="24"/>
              </w:rPr>
              <w:t>开户名称：</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FF0000"/>
                <w:kern w:val="0"/>
                <w:sz w:val="24"/>
              </w:rPr>
            </w:pPr>
            <w:r>
              <w:rPr>
                <w:rFonts w:hint="eastAsia" w:ascii="宋体" w:hAnsi="宋体"/>
                <w:color w:val="FF0000"/>
                <w:kern w:val="0"/>
                <w:sz w:val="24"/>
              </w:rPr>
              <w:t>南宁轨道交通集团有限责任公司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kern w:val="0"/>
                <w:sz w:val="24"/>
              </w:rPr>
            </w:pPr>
            <w:r>
              <w:rPr>
                <w:rFonts w:hint="eastAsia" w:ascii="宋体" w:hAnsi="宋体"/>
                <w:kern w:val="0"/>
                <w:sz w:val="24"/>
              </w:rPr>
              <w:t>开户银行：</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FF0000"/>
                <w:kern w:val="0"/>
                <w:sz w:val="24"/>
              </w:rPr>
            </w:pPr>
            <w:r>
              <w:rPr>
                <w:rFonts w:hint="eastAsia" w:ascii="宋体" w:hAnsi="宋体"/>
                <w:color w:val="FF0000"/>
                <w:kern w:val="0"/>
                <w:sz w:val="24"/>
              </w:rPr>
              <w:t>建行南宁市青山路支行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jc w:val="center"/>
        </w:trPr>
        <w:tc>
          <w:tcPr>
            <w:tcW w:w="1501" w:type="dxa"/>
            <w:tcBorders>
              <w:top w:val="single" w:color="auto" w:sz="4" w:space="0"/>
              <w:left w:val="single" w:color="auto" w:sz="4" w:space="0"/>
              <w:bottom w:val="single" w:color="auto" w:sz="4" w:space="0"/>
              <w:right w:val="nil"/>
            </w:tcBorders>
            <w:vAlign w:val="center"/>
          </w:tcPr>
          <w:p>
            <w:pPr>
              <w:rPr>
                <w:rFonts w:ascii="宋体" w:hAnsi="宋体"/>
                <w:kern w:val="0"/>
                <w:sz w:val="24"/>
              </w:rPr>
            </w:pPr>
            <w:r>
              <w:rPr>
                <w:rFonts w:hint="eastAsia" w:ascii="宋体" w:hAnsi="宋体"/>
                <w:kern w:val="0"/>
                <w:sz w:val="24"/>
              </w:rPr>
              <w:t>账    号：</w:t>
            </w:r>
          </w:p>
        </w:tc>
        <w:tc>
          <w:tcPr>
            <w:tcW w:w="7170" w:type="dxa"/>
            <w:tcBorders>
              <w:top w:val="single" w:color="auto" w:sz="4" w:space="0"/>
              <w:left w:val="nil"/>
              <w:bottom w:val="single" w:color="auto" w:sz="4" w:space="0"/>
              <w:right w:val="single" w:color="auto" w:sz="4" w:space="0"/>
            </w:tcBorders>
            <w:vAlign w:val="center"/>
          </w:tcPr>
          <w:p>
            <w:pPr>
              <w:rPr>
                <w:rFonts w:ascii="宋体" w:hAnsi="宋体"/>
                <w:color w:val="FF0000"/>
                <w:kern w:val="0"/>
                <w:sz w:val="24"/>
              </w:rPr>
            </w:pPr>
            <w:r>
              <w:rPr>
                <w:rFonts w:ascii="宋体" w:hAnsi="宋体"/>
                <w:color w:val="FF0000"/>
                <w:sz w:val="24"/>
                <w:szCs w:val="24"/>
              </w:rPr>
              <w:t>4500 1604 5560 5070 2020</w:t>
            </w:r>
          </w:p>
        </w:tc>
      </w:tr>
    </w:tbl>
    <w:p>
      <w:pPr>
        <w:pStyle w:val="47"/>
        <w:numPr>
          <w:ilvl w:val="1"/>
          <w:numId w:val="12"/>
        </w:numPr>
        <w:spacing w:beforeLines="50" w:afterLines="50"/>
        <w:ind w:left="600" w:hanging="600" w:hangingChars="250"/>
        <w:rPr>
          <w:rFonts w:ascii="宋体" w:hAnsi="宋体"/>
          <w:sz w:val="24"/>
        </w:rPr>
      </w:pPr>
      <w:r>
        <w:rPr>
          <w:rFonts w:hint="eastAsia" w:ascii="宋体" w:hAnsi="宋体"/>
          <w:sz w:val="24"/>
        </w:rPr>
        <w:t>退还：非中选人于本项目合同签订后5天内退还；</w:t>
      </w:r>
      <w:r>
        <w:rPr>
          <w:rFonts w:hint="eastAsia" w:ascii="宋体" w:hAnsi="宋体"/>
          <w:kern w:val="0"/>
          <w:sz w:val="24"/>
        </w:rPr>
        <w:t>中选人的比选保证金自动转为履约保证金的一部分</w:t>
      </w:r>
      <w:r>
        <w:rPr>
          <w:rFonts w:hint="eastAsia" w:ascii="宋体" w:hAnsi="宋体"/>
          <w:sz w:val="24"/>
        </w:rPr>
        <w:t>。</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比选申请人在缴纳比选保证金时，</w:t>
      </w:r>
      <w:r>
        <w:rPr>
          <w:rFonts w:hint="eastAsia" w:ascii="宋体" w:hAnsi="宋体"/>
          <w:b/>
          <w:sz w:val="24"/>
        </w:rPr>
        <w:t>必须用比选申请人的公司账户进行银行转账，并在付款信息上注明参选项目名称、项目编号及用途等信息</w:t>
      </w:r>
      <w:r>
        <w:rPr>
          <w:rFonts w:hint="eastAsia" w:ascii="宋体" w:hAnsi="宋体"/>
          <w:sz w:val="24"/>
        </w:rPr>
        <w:t>。</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比选申请人若未按本比选文件规定方式按时足额缴纳比选保证金，比选发起人有权拒绝其参与本次比选。</w:t>
      </w:r>
      <w:bookmarkStart w:id="93" w:name="_Toc286386851"/>
      <w:bookmarkStart w:id="94" w:name="_Toc114052367"/>
      <w:bookmarkStart w:id="95" w:name="_Toc114052431"/>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96" w:name="_Toc437544680"/>
      <w:bookmarkStart w:id="97" w:name="_Toc4012"/>
      <w:bookmarkStart w:id="98" w:name="_Toc437544525"/>
      <w:r>
        <w:rPr>
          <w:rFonts w:hint="eastAsia" w:asciiTheme="majorEastAsia" w:hAnsiTheme="majorEastAsia" w:eastAsiaTheme="majorEastAsia"/>
          <w:sz w:val="24"/>
          <w:szCs w:val="24"/>
        </w:rPr>
        <w:t>比选申请文件的递交</w:t>
      </w:r>
      <w:bookmarkEnd w:id="93"/>
      <w:bookmarkEnd w:id="94"/>
      <w:bookmarkEnd w:id="95"/>
      <w:bookmarkEnd w:id="96"/>
      <w:bookmarkEnd w:id="97"/>
      <w:bookmarkEnd w:id="98"/>
    </w:p>
    <w:p>
      <w:pPr>
        <w:pStyle w:val="4"/>
        <w:numPr>
          <w:ilvl w:val="0"/>
          <w:numId w:val="12"/>
        </w:numPr>
        <w:spacing w:beforeLines="50" w:after="0" w:line="240" w:lineRule="auto"/>
        <w:ind w:left="0" w:firstLine="0"/>
        <w:rPr>
          <w:sz w:val="24"/>
        </w:rPr>
      </w:pPr>
      <w:bookmarkStart w:id="99" w:name="_Ref464481866"/>
      <w:bookmarkStart w:id="100" w:name="_Toc114052432"/>
      <w:bookmarkStart w:id="101" w:name="_Toc114052368"/>
      <w:bookmarkStart w:id="102" w:name="_Toc392862493"/>
      <w:bookmarkStart w:id="103" w:name="_Toc286386852"/>
      <w:r>
        <w:rPr>
          <w:rFonts w:hint="eastAsia"/>
          <w:sz w:val="24"/>
        </w:rPr>
        <w:t>装订及封装</w:t>
      </w:r>
      <w:bookmarkEnd w:id="99"/>
      <w:bookmarkEnd w:id="100"/>
      <w:bookmarkEnd w:id="101"/>
      <w:bookmarkEnd w:id="102"/>
      <w:bookmarkEnd w:id="103"/>
    </w:p>
    <w:p>
      <w:pPr>
        <w:pStyle w:val="47"/>
        <w:numPr>
          <w:ilvl w:val="1"/>
          <w:numId w:val="12"/>
        </w:numPr>
        <w:spacing w:afterLines="50"/>
        <w:ind w:left="600" w:hanging="600" w:hangingChars="250"/>
        <w:rPr>
          <w:rFonts w:ascii="宋体" w:hAnsi="宋体"/>
          <w:sz w:val="24"/>
        </w:rPr>
      </w:pPr>
      <w:r>
        <w:rPr>
          <w:rFonts w:ascii="宋体" w:hAnsi="宋体"/>
          <w:sz w:val="24"/>
        </w:rPr>
        <w:t>装订要求：</w:t>
      </w:r>
      <w:r>
        <w:rPr>
          <w:rFonts w:hint="eastAsia" w:ascii="宋体" w:hAnsi="宋体"/>
          <w:b/>
          <w:sz w:val="24"/>
        </w:rPr>
        <w:t>比选申请文件必须用胶装的形式装订成册，不允许以订书针、活页夹、拉杆夹、打孔等非固定方式装订；</w:t>
      </w:r>
      <w:r>
        <w:rPr>
          <w:rFonts w:hint="eastAsia" w:ascii="宋体" w:hAnsi="宋体"/>
          <w:sz w:val="24"/>
        </w:rPr>
        <w:t>其中的资格审查部分</w:t>
      </w:r>
      <w:r>
        <w:rPr>
          <w:rFonts w:ascii="宋体" w:hAnsi="宋体"/>
          <w:sz w:val="24"/>
        </w:rPr>
        <w:t>、</w:t>
      </w:r>
      <w:r>
        <w:rPr>
          <w:rFonts w:hint="eastAsia" w:ascii="宋体" w:hAnsi="宋体"/>
          <w:sz w:val="24"/>
        </w:rPr>
        <w:t>技术部分、</w:t>
      </w:r>
      <w:r>
        <w:rPr>
          <w:rFonts w:ascii="宋体" w:hAnsi="宋体"/>
          <w:sz w:val="24"/>
        </w:rPr>
        <w:t>商务部分分开装订</w:t>
      </w:r>
      <w:r>
        <w:rPr>
          <w:rFonts w:hint="eastAsia" w:ascii="宋体" w:hAnsi="宋体"/>
          <w:sz w:val="24"/>
        </w:rPr>
        <w:t>；各部分一正四副分开装订</w:t>
      </w:r>
      <w:r>
        <w:rPr>
          <w:rFonts w:ascii="宋体" w:hAnsi="宋体"/>
          <w:sz w:val="24"/>
        </w:rPr>
        <w:t>。</w:t>
      </w:r>
    </w:p>
    <w:p>
      <w:pPr>
        <w:pStyle w:val="47"/>
        <w:numPr>
          <w:ilvl w:val="1"/>
          <w:numId w:val="12"/>
        </w:numPr>
        <w:spacing w:afterLines="50"/>
        <w:ind w:left="600" w:hanging="600" w:hangingChars="250"/>
        <w:rPr>
          <w:rFonts w:ascii="宋体" w:hAnsi="宋体"/>
          <w:sz w:val="24"/>
        </w:rPr>
      </w:pPr>
      <w:r>
        <w:rPr>
          <w:rFonts w:hint="eastAsia" w:ascii="宋体" w:hAnsi="宋体"/>
          <w:sz w:val="24"/>
        </w:rPr>
        <w:t>包封要求：资格审查部分纸质版、技术部分纸质版、电子版U盘密封于同一个密封袋，商务部分纸质版单独包封于另一个密封袋。每个密封袋均须在封面标注项目名称、项目编号、所装文件名称、比选申请人名称。</w:t>
      </w:r>
    </w:p>
    <w:p>
      <w:pPr>
        <w:pStyle w:val="47"/>
        <w:numPr>
          <w:ilvl w:val="1"/>
          <w:numId w:val="12"/>
        </w:numPr>
        <w:spacing w:afterLines="50"/>
        <w:ind w:left="600" w:hanging="600" w:hangingChars="250"/>
        <w:rPr>
          <w:rFonts w:ascii="宋体" w:hAnsi="宋体"/>
          <w:sz w:val="24"/>
        </w:rPr>
      </w:pPr>
      <w:r>
        <w:rPr>
          <w:rFonts w:hint="eastAsia" w:ascii="宋体" w:hAnsi="宋体"/>
          <w:sz w:val="24"/>
        </w:rPr>
        <w:t>密封袋均应加盖公章，若密封袋未加盖公章或破损严重，比选发起人将拒收。</w:t>
      </w:r>
    </w:p>
    <w:p>
      <w:pPr>
        <w:pStyle w:val="4"/>
        <w:numPr>
          <w:ilvl w:val="0"/>
          <w:numId w:val="12"/>
        </w:numPr>
        <w:spacing w:beforeLines="50" w:after="0" w:line="240" w:lineRule="auto"/>
        <w:ind w:left="0" w:firstLine="0"/>
        <w:rPr>
          <w:sz w:val="24"/>
        </w:rPr>
      </w:pPr>
      <w:bookmarkStart w:id="104" w:name="_Toc392862494"/>
      <w:bookmarkStart w:id="105" w:name="_Toc114052369"/>
      <w:bookmarkStart w:id="106" w:name="_Toc286386853"/>
      <w:bookmarkStart w:id="107" w:name="_Toc114052433"/>
      <w:r>
        <w:rPr>
          <w:rFonts w:hint="eastAsia"/>
          <w:sz w:val="24"/>
        </w:rPr>
        <w:t>递交</w:t>
      </w:r>
      <w:bookmarkEnd w:id="104"/>
      <w:bookmarkEnd w:id="105"/>
      <w:bookmarkEnd w:id="106"/>
      <w:bookmarkEnd w:id="107"/>
      <w:r>
        <w:rPr>
          <w:rFonts w:hint="eastAsia"/>
          <w:sz w:val="24"/>
        </w:rPr>
        <w:t>的时间和地点</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比选申请文件须按前附表规定的时间和地址递交，比选发起人将拒收在递交时间截止以后送到的比选申请文件。</w:t>
      </w:r>
    </w:p>
    <w:p>
      <w:pPr>
        <w:pStyle w:val="47"/>
        <w:numPr>
          <w:ilvl w:val="1"/>
          <w:numId w:val="12"/>
        </w:numPr>
        <w:spacing w:afterLines="50"/>
        <w:ind w:left="600" w:hanging="600" w:hangingChars="250"/>
        <w:rPr>
          <w:rFonts w:ascii="宋体" w:hAnsi="宋体"/>
          <w:sz w:val="24"/>
        </w:rPr>
      </w:pPr>
      <w:r>
        <w:rPr>
          <w:rFonts w:hint="eastAsia" w:ascii="宋体" w:hAnsi="宋体"/>
          <w:sz w:val="24"/>
        </w:rPr>
        <w:t>比选发起人可以以补充通知方式，酌情延长递交比选申请文件的截止日期。在上述情况下，比选发起人与比选申请人在比选截止期以前拥有的全部权力、责任和义务，将适用于延长后新的递交文件截止日期。</w:t>
      </w:r>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108" w:name="_Toc437544681"/>
      <w:bookmarkStart w:id="109" w:name="_Toc30067"/>
      <w:bookmarkStart w:id="110" w:name="_Toc437544526"/>
      <w:r>
        <w:rPr>
          <w:rFonts w:hint="eastAsia" w:asciiTheme="majorEastAsia" w:hAnsiTheme="majorEastAsia" w:eastAsiaTheme="majorEastAsia"/>
          <w:sz w:val="24"/>
          <w:szCs w:val="24"/>
        </w:rPr>
        <w:t>评　审</w:t>
      </w:r>
      <w:bookmarkEnd w:id="108"/>
      <w:bookmarkEnd w:id="109"/>
      <w:bookmarkEnd w:id="110"/>
    </w:p>
    <w:p>
      <w:pPr>
        <w:pStyle w:val="4"/>
        <w:numPr>
          <w:ilvl w:val="0"/>
          <w:numId w:val="12"/>
        </w:numPr>
        <w:spacing w:beforeLines="50" w:after="0" w:line="240" w:lineRule="auto"/>
        <w:ind w:left="0" w:firstLine="0"/>
        <w:rPr>
          <w:sz w:val="24"/>
        </w:rPr>
      </w:pPr>
      <w:r>
        <w:rPr>
          <w:rFonts w:hint="eastAsia"/>
          <w:sz w:val="24"/>
        </w:rPr>
        <w:t>评审程序</w:t>
      </w:r>
    </w:p>
    <w:p>
      <w:pPr>
        <w:pStyle w:val="47"/>
        <w:numPr>
          <w:ilvl w:val="1"/>
          <w:numId w:val="12"/>
        </w:numPr>
        <w:spacing w:afterLines="50"/>
        <w:ind w:left="600" w:hanging="600" w:hangingChars="250"/>
        <w:rPr>
          <w:rFonts w:ascii="宋体" w:hAnsi="宋体"/>
          <w:sz w:val="24"/>
        </w:rPr>
      </w:pPr>
      <w:r>
        <w:rPr>
          <w:rFonts w:hint="eastAsia" w:ascii="宋体" w:hAnsi="宋体"/>
          <w:sz w:val="24"/>
        </w:rPr>
        <w:t>比选发起人将于比选文件规定的时间和地点举行评审会议，参加评审的比选申请人法定代表人或授权委托代理人应携带有效证明材料签名报到，以证明其身份及出席评审会议。</w:t>
      </w:r>
    </w:p>
    <w:p>
      <w:pPr>
        <w:pStyle w:val="47"/>
        <w:numPr>
          <w:ilvl w:val="1"/>
          <w:numId w:val="12"/>
        </w:numPr>
        <w:spacing w:afterLines="50"/>
        <w:ind w:left="600" w:hanging="600" w:hangingChars="250"/>
        <w:rPr>
          <w:rFonts w:ascii="宋体" w:hAnsi="宋体"/>
          <w:sz w:val="24"/>
        </w:rPr>
      </w:pPr>
      <w:r>
        <w:rPr>
          <w:rFonts w:hint="eastAsia" w:ascii="宋体" w:hAnsi="宋体"/>
          <w:sz w:val="24"/>
        </w:rPr>
        <w:t>本项目由南宁轨道交通集团有限责任公司5人及以上单数组成评审小组，对比选申请文件按评审标准进行评审；由南宁轨道交通集团有限责任公司合约法规部人员作为评审会议主持人，纪检监察部门进行监督。</w:t>
      </w:r>
    </w:p>
    <w:p>
      <w:pPr>
        <w:pStyle w:val="47"/>
        <w:numPr>
          <w:ilvl w:val="1"/>
          <w:numId w:val="12"/>
        </w:numPr>
        <w:spacing w:afterLines="50"/>
        <w:ind w:left="600" w:hanging="600" w:hangingChars="250"/>
        <w:rPr>
          <w:rFonts w:ascii="宋体" w:hAnsi="宋体"/>
          <w:sz w:val="24"/>
        </w:rPr>
      </w:pPr>
      <w:r>
        <w:rPr>
          <w:rFonts w:hint="eastAsia" w:ascii="宋体" w:hAnsi="宋体"/>
          <w:sz w:val="24"/>
        </w:rPr>
        <w:t>评审小组成员应当独立、客观、公正的履行职责，遵守职业道德，对所提出的评审意见承担个人责任；评审小组成员和监督、主持、记录人员应对整个评审活动保密。</w:t>
      </w:r>
    </w:p>
    <w:p>
      <w:pPr>
        <w:pStyle w:val="47"/>
        <w:numPr>
          <w:ilvl w:val="1"/>
          <w:numId w:val="12"/>
        </w:numPr>
        <w:spacing w:beforeLines="50"/>
        <w:ind w:left="648" w:hanging="648" w:hangingChars="270"/>
        <w:rPr>
          <w:rFonts w:ascii="宋体" w:hAnsi="宋体"/>
          <w:sz w:val="24"/>
        </w:rPr>
      </w:pPr>
      <w:r>
        <w:rPr>
          <w:rFonts w:hint="eastAsia" w:ascii="宋体" w:hAnsi="宋体"/>
          <w:sz w:val="24"/>
        </w:rPr>
        <w:t>评审会议程序：</w:t>
      </w:r>
    </w:p>
    <w:p>
      <w:pPr>
        <w:pStyle w:val="47"/>
        <w:numPr>
          <w:ilvl w:val="2"/>
          <w:numId w:val="12"/>
        </w:numPr>
        <w:ind w:left="842" w:hanging="842" w:hangingChars="351"/>
        <w:rPr>
          <w:rFonts w:ascii="宋体" w:hAnsi="宋体"/>
          <w:sz w:val="24"/>
        </w:rPr>
      </w:pPr>
      <w:r>
        <w:rPr>
          <w:rFonts w:hint="eastAsia" w:ascii="宋体" w:hAnsi="宋体"/>
          <w:sz w:val="24"/>
        </w:rPr>
        <w:t>评审全过程由公司纪检监察部门监督。</w:t>
      </w:r>
    </w:p>
    <w:p>
      <w:pPr>
        <w:pStyle w:val="47"/>
        <w:numPr>
          <w:ilvl w:val="2"/>
          <w:numId w:val="12"/>
        </w:numPr>
        <w:ind w:left="842" w:hanging="842" w:hangingChars="351"/>
        <w:rPr>
          <w:rFonts w:ascii="宋体" w:hAnsi="宋体"/>
          <w:sz w:val="24"/>
        </w:rPr>
      </w:pPr>
      <w:r>
        <w:rPr>
          <w:rFonts w:hint="eastAsia" w:ascii="宋体" w:hAnsi="宋体"/>
          <w:sz w:val="24"/>
        </w:rPr>
        <w:t>比选申请人法定代表人或授权委托代理人签名报到，并验证有效身份证明，各比选申请人交叉检验文件密封性。</w:t>
      </w:r>
    </w:p>
    <w:p>
      <w:pPr>
        <w:pStyle w:val="47"/>
        <w:numPr>
          <w:ilvl w:val="2"/>
          <w:numId w:val="12"/>
        </w:numPr>
        <w:ind w:left="842" w:hanging="842" w:hangingChars="351"/>
        <w:rPr>
          <w:rFonts w:ascii="宋体" w:hAnsi="宋体"/>
          <w:sz w:val="24"/>
        </w:rPr>
      </w:pPr>
      <w:r>
        <w:rPr>
          <w:rFonts w:hint="eastAsia" w:ascii="宋体" w:hAnsi="宋体"/>
          <w:sz w:val="24"/>
        </w:rPr>
        <w:t>主持人宣布评审会议开始，各比选申请人候场。</w:t>
      </w:r>
    </w:p>
    <w:p>
      <w:pPr>
        <w:pStyle w:val="47"/>
        <w:numPr>
          <w:ilvl w:val="2"/>
          <w:numId w:val="12"/>
        </w:numPr>
        <w:ind w:left="842" w:hanging="842" w:hangingChars="351"/>
        <w:rPr>
          <w:rFonts w:ascii="宋体" w:hAnsi="宋体"/>
          <w:sz w:val="24"/>
        </w:rPr>
      </w:pPr>
      <w:r>
        <w:rPr>
          <w:rFonts w:hint="eastAsia" w:ascii="宋体" w:hAnsi="宋体"/>
          <w:sz w:val="24"/>
        </w:rPr>
        <w:t>评审小组确认文件密封性及外包装签署是否正确，检验人员对结果签字确认。</w:t>
      </w:r>
    </w:p>
    <w:p>
      <w:pPr>
        <w:pStyle w:val="47"/>
        <w:numPr>
          <w:ilvl w:val="2"/>
          <w:numId w:val="12"/>
        </w:numPr>
        <w:ind w:left="842" w:hanging="842" w:hangingChars="351"/>
        <w:rPr>
          <w:rFonts w:ascii="宋体" w:hAnsi="宋体"/>
          <w:sz w:val="24"/>
        </w:rPr>
      </w:pPr>
      <w:r>
        <w:rPr>
          <w:rFonts w:hint="eastAsia" w:ascii="宋体" w:hAnsi="宋体"/>
          <w:sz w:val="24"/>
        </w:rPr>
        <w:t>评审小组启封比选申请文件外包装和比选申请文件资格审查部分、技术部分。</w:t>
      </w:r>
    </w:p>
    <w:p>
      <w:pPr>
        <w:pStyle w:val="47"/>
        <w:numPr>
          <w:ilvl w:val="2"/>
          <w:numId w:val="12"/>
        </w:numPr>
        <w:ind w:left="842" w:hanging="842" w:hangingChars="351"/>
        <w:rPr>
          <w:rFonts w:ascii="宋体" w:hAnsi="宋体"/>
          <w:sz w:val="24"/>
        </w:rPr>
      </w:pPr>
      <w:r>
        <w:rPr>
          <w:rFonts w:hint="eastAsia" w:ascii="宋体" w:hAnsi="宋体"/>
          <w:sz w:val="24"/>
        </w:rPr>
        <w:t>评审小组审验比选申请文件的资格审查部分，检查比选申请人提交的诚信声明、法定代表人资格证明书、授权委托书、营业执照副本等材料，进行资格审查。</w:t>
      </w:r>
    </w:p>
    <w:p>
      <w:pPr>
        <w:pStyle w:val="47"/>
        <w:numPr>
          <w:ilvl w:val="2"/>
          <w:numId w:val="12"/>
        </w:numPr>
        <w:ind w:left="842" w:hanging="842" w:hangingChars="351"/>
        <w:rPr>
          <w:rFonts w:ascii="宋体" w:hAnsi="宋体"/>
          <w:sz w:val="24"/>
        </w:rPr>
      </w:pPr>
      <w:r>
        <w:rPr>
          <w:rFonts w:hint="eastAsia" w:ascii="宋体" w:hAnsi="宋体"/>
          <w:sz w:val="24"/>
        </w:rPr>
        <w:t>评审小组对通过资格审查的比选申请文件技术部分进行评审。</w:t>
      </w:r>
    </w:p>
    <w:p>
      <w:pPr>
        <w:pStyle w:val="47"/>
        <w:numPr>
          <w:ilvl w:val="2"/>
          <w:numId w:val="12"/>
        </w:numPr>
        <w:ind w:left="842" w:hanging="842" w:hangingChars="351"/>
        <w:rPr>
          <w:rFonts w:ascii="宋体" w:hAnsi="宋体"/>
          <w:sz w:val="24"/>
        </w:rPr>
      </w:pPr>
      <w:r>
        <w:rPr>
          <w:rFonts w:hint="eastAsia" w:ascii="宋体" w:hAnsi="宋体"/>
          <w:sz w:val="24"/>
        </w:rPr>
        <w:t>评审小组启封并审查通过资格审查和技术审查的比选申请文件的商务部分。</w:t>
      </w:r>
    </w:p>
    <w:p>
      <w:pPr>
        <w:pStyle w:val="47"/>
        <w:numPr>
          <w:ilvl w:val="2"/>
          <w:numId w:val="12"/>
        </w:numPr>
        <w:ind w:left="842" w:hanging="842" w:hangingChars="351"/>
        <w:rPr>
          <w:rFonts w:ascii="宋体" w:hAnsi="宋体"/>
          <w:sz w:val="24"/>
        </w:rPr>
      </w:pPr>
      <w:r>
        <w:rPr>
          <w:rFonts w:hint="eastAsia" w:ascii="宋体" w:hAnsi="宋体"/>
          <w:sz w:val="24"/>
        </w:rPr>
        <w:t>评审过程须做比选记录，评审委员、监督人、记录人等有关人员在比选记录表上签字确认，主持人宣读比选结果。</w:t>
      </w:r>
    </w:p>
    <w:p>
      <w:pPr>
        <w:pStyle w:val="47"/>
        <w:numPr>
          <w:ilvl w:val="2"/>
          <w:numId w:val="12"/>
        </w:numPr>
        <w:tabs>
          <w:tab w:val="left" w:pos="993"/>
        </w:tabs>
        <w:ind w:left="842" w:hanging="842" w:hangingChars="351"/>
        <w:rPr>
          <w:rFonts w:ascii="宋体" w:hAnsi="宋体"/>
          <w:sz w:val="24"/>
        </w:rPr>
      </w:pPr>
      <w:r>
        <w:rPr>
          <w:rFonts w:hint="eastAsia" w:ascii="宋体" w:hAnsi="宋体"/>
          <w:sz w:val="24"/>
        </w:rPr>
        <w:t>评审结束。</w:t>
      </w:r>
    </w:p>
    <w:p>
      <w:pPr>
        <w:pStyle w:val="4"/>
        <w:numPr>
          <w:ilvl w:val="0"/>
          <w:numId w:val="12"/>
        </w:numPr>
        <w:spacing w:beforeLines="50" w:after="0" w:line="240" w:lineRule="auto"/>
        <w:ind w:left="0" w:firstLine="0"/>
        <w:rPr>
          <w:sz w:val="24"/>
        </w:rPr>
      </w:pPr>
      <w:bookmarkStart w:id="111" w:name="_Toc392862499"/>
      <w:r>
        <w:rPr>
          <w:rFonts w:hint="eastAsia"/>
          <w:sz w:val="24"/>
        </w:rPr>
        <w:t>比选申请文件的澄清或说明</w:t>
      </w:r>
      <w:bookmarkEnd w:id="111"/>
    </w:p>
    <w:p>
      <w:pPr>
        <w:pStyle w:val="47"/>
        <w:numPr>
          <w:ilvl w:val="1"/>
          <w:numId w:val="12"/>
        </w:numPr>
        <w:spacing w:afterLines="50"/>
        <w:ind w:left="600" w:hanging="600" w:hangingChars="250"/>
        <w:rPr>
          <w:rFonts w:ascii="宋体" w:hAnsi="宋体"/>
          <w:sz w:val="24"/>
        </w:rPr>
      </w:pPr>
      <w:r>
        <w:rPr>
          <w:rFonts w:hint="eastAsia" w:ascii="宋体" w:hAnsi="宋体"/>
          <w:sz w:val="24"/>
        </w:rPr>
        <w:t>评审小组将以书面形式要求比选申请人就其比选申请文件中含义不明确、同类问题表述不一致或有明显文字错误等的内容予以澄清或说明。</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比选申请人对要求澄清或说明的内容应在评审小组规定的时间内以书面形式予以澄清，该澄清或说明函应有法定代表人或其授权委托代理人的签名或盖公章。</w:t>
      </w:r>
    </w:p>
    <w:p>
      <w:pPr>
        <w:pStyle w:val="47"/>
        <w:numPr>
          <w:ilvl w:val="1"/>
          <w:numId w:val="12"/>
        </w:numPr>
        <w:ind w:left="600" w:hanging="600" w:hangingChars="250"/>
        <w:rPr>
          <w:rFonts w:ascii="宋体" w:hAnsi="宋体"/>
          <w:sz w:val="24"/>
        </w:rPr>
      </w:pPr>
      <w:r>
        <w:rPr>
          <w:rFonts w:hint="eastAsia" w:ascii="宋体" w:hAnsi="宋体"/>
          <w:sz w:val="24"/>
        </w:rPr>
        <w:t>比选申请人的澄清或说明作为比选申请文件的组成部分。</w:t>
      </w:r>
    </w:p>
    <w:p>
      <w:pPr>
        <w:pStyle w:val="47"/>
        <w:numPr>
          <w:ilvl w:val="1"/>
          <w:numId w:val="12"/>
        </w:numPr>
        <w:spacing w:afterLines="50"/>
        <w:ind w:left="600" w:hanging="600" w:hangingChars="250"/>
        <w:rPr>
          <w:rFonts w:ascii="宋体" w:hAnsi="宋体"/>
          <w:sz w:val="24"/>
        </w:rPr>
      </w:pPr>
      <w:r>
        <w:rPr>
          <w:rFonts w:hint="eastAsia" w:ascii="宋体" w:hAnsi="宋体"/>
          <w:sz w:val="24"/>
        </w:rPr>
        <w:t>对比选申请文件的澄清或说明不得超出比选申请文件的范围或改变比选的实质内容。</w:t>
      </w:r>
    </w:p>
    <w:p>
      <w:pPr>
        <w:pStyle w:val="4"/>
        <w:numPr>
          <w:ilvl w:val="0"/>
          <w:numId w:val="12"/>
        </w:numPr>
        <w:spacing w:beforeLines="50" w:after="0" w:line="240" w:lineRule="auto"/>
        <w:ind w:left="0" w:firstLine="0"/>
        <w:rPr>
          <w:sz w:val="24"/>
        </w:rPr>
      </w:pPr>
      <w:r>
        <w:rPr>
          <w:rFonts w:hint="eastAsia"/>
          <w:sz w:val="24"/>
        </w:rPr>
        <w:t>出现下列情况之一，本次比选无效：</w:t>
      </w:r>
    </w:p>
    <w:p>
      <w:pPr>
        <w:pStyle w:val="47"/>
        <w:numPr>
          <w:ilvl w:val="1"/>
          <w:numId w:val="12"/>
        </w:numPr>
        <w:ind w:left="600" w:hanging="600" w:hangingChars="250"/>
        <w:rPr>
          <w:rFonts w:ascii="宋体" w:hAnsi="宋体"/>
          <w:sz w:val="24"/>
        </w:rPr>
      </w:pPr>
      <w:r>
        <w:rPr>
          <w:rFonts w:hint="eastAsia" w:ascii="宋体" w:hAnsi="宋体"/>
          <w:sz w:val="24"/>
        </w:rPr>
        <w:t>在比选申请文件递交截止时间递交的供应商不满3家的。</w:t>
      </w:r>
    </w:p>
    <w:p>
      <w:pPr>
        <w:pStyle w:val="47"/>
        <w:numPr>
          <w:ilvl w:val="1"/>
          <w:numId w:val="12"/>
        </w:numPr>
        <w:ind w:left="600" w:hanging="600" w:hangingChars="250"/>
        <w:rPr>
          <w:rFonts w:ascii="宋体" w:hAnsi="宋体"/>
          <w:sz w:val="24"/>
        </w:rPr>
      </w:pPr>
      <w:r>
        <w:rPr>
          <w:rFonts w:hint="eastAsia" w:ascii="宋体" w:hAnsi="宋体"/>
          <w:sz w:val="24"/>
        </w:rPr>
        <w:t>有效比选申请文件2家，且评审小组认为没有竞争力的。</w:t>
      </w:r>
    </w:p>
    <w:p>
      <w:pPr>
        <w:pStyle w:val="47"/>
        <w:numPr>
          <w:ilvl w:val="1"/>
          <w:numId w:val="12"/>
        </w:numPr>
        <w:ind w:left="600" w:hanging="600" w:hangingChars="250"/>
        <w:rPr>
          <w:rFonts w:ascii="宋体" w:hAnsi="宋体"/>
          <w:sz w:val="24"/>
        </w:rPr>
      </w:pPr>
      <w:r>
        <w:rPr>
          <w:rFonts w:hint="eastAsia" w:ascii="宋体" w:hAnsi="宋体"/>
          <w:sz w:val="24"/>
        </w:rPr>
        <w:t>有效比选申请文件只有1家或0家的。</w:t>
      </w:r>
    </w:p>
    <w:p>
      <w:pPr>
        <w:pStyle w:val="4"/>
        <w:numPr>
          <w:ilvl w:val="0"/>
          <w:numId w:val="12"/>
        </w:numPr>
        <w:spacing w:beforeLines="50" w:after="0" w:line="240" w:lineRule="auto"/>
        <w:ind w:left="0" w:firstLine="0"/>
        <w:rPr>
          <w:sz w:val="24"/>
        </w:rPr>
      </w:pPr>
      <w:bookmarkStart w:id="112" w:name="_Toc114052375"/>
      <w:bookmarkStart w:id="113" w:name="_Toc286386859"/>
      <w:bookmarkStart w:id="114" w:name="_Toc392862500"/>
      <w:bookmarkStart w:id="115" w:name="_Toc114052439"/>
      <w:r>
        <w:rPr>
          <w:rFonts w:hint="eastAsia"/>
          <w:sz w:val="24"/>
        </w:rPr>
        <w:t>评审保密</w:t>
      </w:r>
      <w:bookmarkEnd w:id="112"/>
      <w:bookmarkEnd w:id="113"/>
      <w:bookmarkEnd w:id="114"/>
      <w:bookmarkEnd w:id="115"/>
    </w:p>
    <w:p>
      <w:pPr>
        <w:pStyle w:val="47"/>
        <w:numPr>
          <w:ilvl w:val="1"/>
          <w:numId w:val="12"/>
        </w:numPr>
        <w:spacing w:afterLines="50"/>
        <w:ind w:left="600" w:hanging="600" w:hangingChars="250"/>
        <w:rPr>
          <w:rFonts w:ascii="宋体" w:hAnsi="宋体"/>
          <w:sz w:val="24"/>
        </w:rPr>
      </w:pPr>
      <w:r>
        <w:rPr>
          <w:rFonts w:hint="eastAsia" w:ascii="宋体" w:hAnsi="宋体"/>
          <w:sz w:val="24"/>
        </w:rPr>
        <w:t>评审小组成员、有关工作人员及其他知情人不得透露对比选申请文件的评审和比较、中选、候选供应商的推荐情况以及与评审有关的其他情况；</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比选申请人在评审过程中所进行的力图影响评审公正性的活动，都将被取消比选资格。</w:t>
      </w:r>
    </w:p>
    <w:p>
      <w:pPr>
        <w:pStyle w:val="4"/>
        <w:numPr>
          <w:ilvl w:val="0"/>
          <w:numId w:val="12"/>
        </w:numPr>
        <w:spacing w:beforeLines="50" w:after="0" w:line="240" w:lineRule="auto"/>
        <w:ind w:left="0" w:firstLine="0"/>
        <w:rPr>
          <w:sz w:val="24"/>
        </w:rPr>
      </w:pPr>
      <w:bookmarkStart w:id="116" w:name="_Toc392862501"/>
      <w:r>
        <w:rPr>
          <w:rFonts w:hint="eastAsia"/>
          <w:sz w:val="24"/>
        </w:rPr>
        <w:t>比选申请文件</w:t>
      </w:r>
      <w:bookmarkEnd w:id="116"/>
      <w:r>
        <w:rPr>
          <w:rFonts w:hint="eastAsia"/>
          <w:sz w:val="24"/>
        </w:rPr>
        <w:t>评审</w:t>
      </w:r>
    </w:p>
    <w:p>
      <w:pPr>
        <w:pStyle w:val="47"/>
        <w:numPr>
          <w:ilvl w:val="1"/>
          <w:numId w:val="12"/>
        </w:numPr>
        <w:spacing w:afterLines="50"/>
        <w:ind w:left="600" w:hanging="600" w:hangingChars="250"/>
        <w:rPr>
          <w:rFonts w:ascii="宋体" w:hAnsi="宋体"/>
          <w:sz w:val="24"/>
        </w:rPr>
      </w:pPr>
      <w:r>
        <w:rPr>
          <w:rFonts w:ascii="宋体" w:hAnsi="宋体"/>
          <w:sz w:val="24"/>
        </w:rPr>
        <w:t>比选申请人资格审查</w:t>
      </w:r>
      <w:r>
        <w:rPr>
          <w:rFonts w:hint="eastAsia" w:ascii="宋体" w:hAnsi="宋体"/>
          <w:sz w:val="24"/>
        </w:rPr>
        <w:t>：只有通过资格审查才能进入详评，所要提供的材料见本章第</w:t>
      </w:r>
      <w:r>
        <w:fldChar w:fldCharType="begin"/>
      </w:r>
      <w:r>
        <w:instrText xml:space="preserve">REF _Ref483054033 \r \h  \* MERGEFORMAT </w:instrText>
      </w:r>
      <w:r>
        <w:fldChar w:fldCharType="separate"/>
      </w:r>
      <w:r>
        <w:rPr>
          <w:rFonts w:ascii="宋体" w:hAnsi="宋体"/>
          <w:sz w:val="24"/>
        </w:rPr>
        <w:t>9.2</w:t>
      </w:r>
      <w:r>
        <w:rPr>
          <w:rFonts w:ascii="宋体" w:hAnsi="宋体"/>
          <w:sz w:val="24"/>
        </w:rPr>
        <w:fldChar w:fldCharType="end"/>
      </w:r>
      <w:r>
        <w:rPr>
          <w:rFonts w:hint="eastAsia" w:ascii="宋体" w:hAnsi="宋体"/>
          <w:sz w:val="24"/>
        </w:rPr>
        <w:t>条，资格审查资料有任何一项不合格者其资格审查视为不通过。</w:t>
      </w:r>
    </w:p>
    <w:p>
      <w:pPr>
        <w:pStyle w:val="47"/>
        <w:numPr>
          <w:ilvl w:val="1"/>
          <w:numId w:val="12"/>
        </w:numPr>
        <w:spacing w:afterLines="50"/>
        <w:ind w:left="600" w:hanging="600" w:hangingChars="250"/>
        <w:rPr>
          <w:rFonts w:ascii="宋体" w:hAnsi="宋体"/>
          <w:sz w:val="24"/>
        </w:rPr>
      </w:pPr>
      <w:r>
        <w:rPr>
          <w:rFonts w:hint="eastAsia" w:ascii="宋体" w:hAnsi="宋体"/>
          <w:sz w:val="24"/>
        </w:rPr>
        <w:t>比选申请文件符合性鉴定：比选申请文件应实质响应比选文件的要求，须与比选文件所有条款、条件和规定无明显差异或保留。评审小组对实质上不响应的比选申请文件予以拒绝。</w:t>
      </w:r>
    </w:p>
    <w:p>
      <w:pPr>
        <w:pStyle w:val="47"/>
        <w:numPr>
          <w:ilvl w:val="1"/>
          <w:numId w:val="12"/>
        </w:numPr>
        <w:spacing w:beforeLines="50"/>
        <w:ind w:left="651" w:hanging="651" w:hangingChars="270"/>
        <w:rPr>
          <w:rFonts w:ascii="宋体" w:hAnsi="宋体"/>
          <w:b/>
          <w:sz w:val="24"/>
        </w:rPr>
      </w:pPr>
      <w:r>
        <w:rPr>
          <w:rFonts w:hint="eastAsia" w:ascii="宋体" w:hAnsi="宋体"/>
          <w:b/>
          <w:sz w:val="24"/>
        </w:rPr>
        <w:t>比选申请人或其比选申请文件有下列情况之一，其比选申请文件将被视为无效：</w:t>
      </w:r>
    </w:p>
    <w:p>
      <w:pPr>
        <w:pStyle w:val="47"/>
        <w:numPr>
          <w:ilvl w:val="2"/>
          <w:numId w:val="12"/>
        </w:numPr>
        <w:ind w:left="842" w:hanging="842" w:hangingChars="351"/>
        <w:rPr>
          <w:rFonts w:ascii="宋体" w:hAnsi="宋体"/>
          <w:sz w:val="24"/>
        </w:rPr>
      </w:pPr>
      <w:r>
        <w:rPr>
          <w:rFonts w:hint="eastAsia" w:ascii="宋体" w:hAnsi="宋体"/>
          <w:sz w:val="24"/>
        </w:rPr>
        <w:t>商务报价超过上限控制价的；</w:t>
      </w:r>
    </w:p>
    <w:p>
      <w:pPr>
        <w:pStyle w:val="47"/>
        <w:numPr>
          <w:ilvl w:val="2"/>
          <w:numId w:val="12"/>
        </w:numPr>
        <w:ind w:left="842" w:hanging="842" w:hangingChars="351"/>
        <w:rPr>
          <w:rFonts w:ascii="宋体" w:hAnsi="宋体"/>
          <w:sz w:val="24"/>
        </w:rPr>
      </w:pPr>
      <w:r>
        <w:rPr>
          <w:rFonts w:hint="eastAsia" w:ascii="宋体" w:hAnsi="宋体"/>
          <w:sz w:val="24"/>
        </w:rPr>
        <w:t>比选申请人法定代表人或授权委托代理人未按时参加评审会议的；</w:t>
      </w:r>
    </w:p>
    <w:p>
      <w:pPr>
        <w:pStyle w:val="47"/>
        <w:numPr>
          <w:ilvl w:val="2"/>
          <w:numId w:val="12"/>
        </w:numPr>
        <w:ind w:left="842" w:hanging="842" w:hangingChars="351"/>
        <w:rPr>
          <w:rFonts w:ascii="宋体" w:hAnsi="宋体"/>
          <w:sz w:val="24"/>
        </w:rPr>
      </w:pPr>
      <w:r>
        <w:rPr>
          <w:rFonts w:hint="eastAsia" w:ascii="宋体" w:hAnsi="宋体"/>
          <w:sz w:val="24"/>
        </w:rPr>
        <w:t>不按本章第</w:t>
      </w:r>
      <w:r>
        <w:fldChar w:fldCharType="begin"/>
      </w:r>
      <w:r>
        <w:instrText xml:space="preserve">REF _Ref464481847 \n \h  \* MERGEFORMAT </w:instrText>
      </w:r>
      <w:r>
        <w:fldChar w:fldCharType="separate"/>
      </w:r>
      <w:r>
        <w:rPr>
          <w:rFonts w:ascii="宋体" w:hAnsi="宋体"/>
          <w:sz w:val="24"/>
        </w:rPr>
        <w:t>9</w:t>
      </w:r>
      <w:r>
        <w:rPr>
          <w:rFonts w:ascii="宋体" w:hAnsi="宋体"/>
          <w:sz w:val="24"/>
        </w:rPr>
        <w:fldChar w:fldCharType="end"/>
      </w:r>
      <w:r>
        <w:rPr>
          <w:rFonts w:hint="eastAsia" w:ascii="宋体" w:hAnsi="宋体"/>
          <w:sz w:val="24"/>
        </w:rPr>
        <w:t>条内容提供资料并装订在比选申请文件内的；</w:t>
      </w:r>
    </w:p>
    <w:p>
      <w:pPr>
        <w:pStyle w:val="47"/>
        <w:numPr>
          <w:ilvl w:val="2"/>
          <w:numId w:val="12"/>
        </w:numPr>
        <w:ind w:left="842" w:hanging="842" w:hangingChars="351"/>
        <w:rPr>
          <w:rFonts w:ascii="宋体" w:hAnsi="宋体"/>
          <w:sz w:val="24"/>
        </w:rPr>
      </w:pPr>
      <w:r>
        <w:rPr>
          <w:rFonts w:hint="eastAsia" w:ascii="宋体" w:hAnsi="宋体"/>
          <w:sz w:val="24"/>
        </w:rPr>
        <w:t>不按本章第</w:t>
      </w:r>
      <w:r>
        <w:fldChar w:fldCharType="begin"/>
      </w:r>
      <w:r>
        <w:instrText xml:space="preserve">REF _Ref464481866 \n \h  \* MERGEFORMAT </w:instrText>
      </w:r>
      <w:r>
        <w:fldChar w:fldCharType="separate"/>
      </w:r>
      <w:r>
        <w:rPr>
          <w:rFonts w:ascii="宋体" w:hAnsi="宋体"/>
          <w:sz w:val="24"/>
        </w:rPr>
        <w:t>12</w:t>
      </w:r>
      <w:r>
        <w:rPr>
          <w:rFonts w:ascii="宋体" w:hAnsi="宋体"/>
          <w:sz w:val="24"/>
        </w:rPr>
        <w:fldChar w:fldCharType="end"/>
      </w:r>
      <w:r>
        <w:rPr>
          <w:rFonts w:hint="eastAsia" w:ascii="宋体" w:hAnsi="宋体"/>
          <w:sz w:val="24"/>
        </w:rPr>
        <w:t>条要求装订、封装的；</w:t>
      </w:r>
    </w:p>
    <w:p>
      <w:pPr>
        <w:pStyle w:val="47"/>
        <w:numPr>
          <w:ilvl w:val="2"/>
          <w:numId w:val="12"/>
        </w:numPr>
        <w:ind w:left="842" w:hanging="842" w:hangingChars="351"/>
        <w:rPr>
          <w:rFonts w:ascii="宋体" w:hAnsi="宋体"/>
          <w:sz w:val="24"/>
        </w:rPr>
      </w:pPr>
      <w:r>
        <w:rPr>
          <w:rFonts w:hint="eastAsia" w:ascii="宋体" w:hAnsi="宋体"/>
          <w:sz w:val="24"/>
        </w:rPr>
        <w:t>由授权委托代理人签字或盖章，但未随比选申请文件提交有效</w:t>
      </w:r>
      <w:r>
        <w:rPr>
          <w:rFonts w:ascii="宋体" w:hAnsi="宋体"/>
          <w:sz w:val="24"/>
        </w:rPr>
        <w:t>“</w:t>
      </w:r>
      <w:r>
        <w:rPr>
          <w:rFonts w:hint="eastAsia" w:ascii="宋体" w:hAnsi="宋体"/>
          <w:sz w:val="24"/>
        </w:rPr>
        <w:t>授权委托书</w:t>
      </w:r>
      <w:r>
        <w:rPr>
          <w:rFonts w:ascii="宋体" w:hAnsi="宋体"/>
          <w:sz w:val="24"/>
        </w:rPr>
        <w:t>”</w:t>
      </w:r>
      <w:r>
        <w:rPr>
          <w:rFonts w:hint="eastAsia" w:ascii="宋体" w:hAnsi="宋体"/>
          <w:sz w:val="24"/>
        </w:rPr>
        <w:t>的；</w:t>
      </w:r>
    </w:p>
    <w:p>
      <w:pPr>
        <w:pStyle w:val="47"/>
        <w:numPr>
          <w:ilvl w:val="2"/>
          <w:numId w:val="12"/>
        </w:numPr>
        <w:ind w:left="842" w:hanging="842" w:hangingChars="351"/>
        <w:rPr>
          <w:rFonts w:ascii="宋体" w:hAnsi="宋体"/>
          <w:sz w:val="24"/>
        </w:rPr>
      </w:pPr>
      <w:r>
        <w:rPr>
          <w:rFonts w:hint="eastAsia" w:ascii="宋体" w:hAnsi="宋体"/>
          <w:sz w:val="24"/>
        </w:rPr>
        <w:t>比选申请文件的关键内容字迹模糊、辨认不清的；</w:t>
      </w:r>
    </w:p>
    <w:p>
      <w:pPr>
        <w:pStyle w:val="47"/>
        <w:numPr>
          <w:ilvl w:val="2"/>
          <w:numId w:val="12"/>
        </w:numPr>
        <w:ind w:left="842" w:hanging="842" w:hangingChars="351"/>
        <w:rPr>
          <w:rFonts w:ascii="宋体" w:hAnsi="宋体"/>
          <w:sz w:val="24"/>
        </w:rPr>
      </w:pPr>
      <w:r>
        <w:rPr>
          <w:rFonts w:hint="eastAsia" w:ascii="宋体" w:hAnsi="宋体"/>
          <w:sz w:val="24"/>
        </w:rPr>
        <w:t>比选申请文件内容不真实的；</w:t>
      </w:r>
    </w:p>
    <w:p>
      <w:pPr>
        <w:pStyle w:val="47"/>
        <w:numPr>
          <w:ilvl w:val="2"/>
          <w:numId w:val="12"/>
        </w:numPr>
        <w:ind w:left="842" w:hanging="842" w:hangingChars="351"/>
        <w:rPr>
          <w:rFonts w:ascii="宋体" w:hAnsi="宋体"/>
          <w:sz w:val="24"/>
        </w:rPr>
      </w:pPr>
      <w:r>
        <w:rPr>
          <w:rFonts w:hint="eastAsia" w:ascii="宋体" w:hAnsi="宋体"/>
          <w:sz w:val="24"/>
        </w:rPr>
        <w:t>更改《技术需求偏离表》中“性能参数要求(一)”、“参考品牌及型号(三)”所列内容的；</w:t>
      </w:r>
    </w:p>
    <w:p>
      <w:pPr>
        <w:pStyle w:val="47"/>
        <w:numPr>
          <w:ilvl w:val="2"/>
          <w:numId w:val="12"/>
        </w:numPr>
        <w:ind w:left="842" w:hanging="842" w:hangingChars="351"/>
        <w:rPr>
          <w:rFonts w:ascii="宋体" w:hAnsi="宋体"/>
          <w:sz w:val="24"/>
        </w:rPr>
      </w:pPr>
      <w:r>
        <w:rPr>
          <w:rFonts w:hint="eastAsia" w:ascii="宋体" w:hAnsi="宋体"/>
          <w:sz w:val="24"/>
        </w:rPr>
        <w:t>《技术需求偏离表》中的“供货性能参数(二)” 与《分项报价表》中的“供货性能参数②”、《技术需求偏离表》中的“供货品牌及型号(四)”与《分项报价表》中的“供货品牌及型号①”不一致的；</w:t>
      </w:r>
    </w:p>
    <w:p>
      <w:pPr>
        <w:pStyle w:val="47"/>
        <w:numPr>
          <w:ilvl w:val="2"/>
          <w:numId w:val="12"/>
        </w:numPr>
        <w:tabs>
          <w:tab w:val="left" w:pos="993"/>
        </w:tabs>
        <w:ind w:left="842" w:hanging="842" w:hangingChars="351"/>
        <w:rPr>
          <w:rFonts w:ascii="宋体" w:hAnsi="宋体"/>
          <w:sz w:val="24"/>
        </w:rPr>
      </w:pPr>
      <w:r>
        <w:rPr>
          <w:rFonts w:hint="eastAsia" w:ascii="宋体" w:hAnsi="宋体"/>
          <w:sz w:val="24"/>
        </w:rPr>
        <w:t>比选申请文件实质上不响应比选文件的要求的。</w:t>
      </w:r>
    </w:p>
    <w:p>
      <w:pPr>
        <w:pStyle w:val="47"/>
        <w:numPr>
          <w:ilvl w:val="1"/>
          <w:numId w:val="12"/>
        </w:numPr>
        <w:spacing w:beforeLines="50"/>
        <w:ind w:left="648" w:hanging="648" w:hangingChars="270"/>
        <w:rPr>
          <w:rFonts w:ascii="宋体" w:hAnsi="宋体"/>
          <w:sz w:val="24"/>
        </w:rPr>
      </w:pPr>
      <w:r>
        <w:rPr>
          <w:rFonts w:hint="eastAsia" w:ascii="宋体" w:hAnsi="宋体"/>
          <w:sz w:val="24"/>
        </w:rPr>
        <w:t>评审小组按</w:t>
      </w:r>
      <w:r>
        <w:fldChar w:fldCharType="begin"/>
      </w:r>
      <w:r>
        <w:instrText xml:space="preserve"> REF _Ref483054490 \h  \* MERGEFORMAT </w:instrText>
      </w:r>
      <w:r>
        <w:fldChar w:fldCharType="separate"/>
      </w:r>
      <w:r>
        <w:rPr>
          <w:rFonts w:hint="eastAsia"/>
          <w:sz w:val="24"/>
        </w:rPr>
        <w:t>评审细则</w:t>
      </w:r>
      <w:r>
        <w:rPr>
          <w:rFonts w:hint="eastAsia"/>
          <w:sz w:val="24"/>
        </w:rPr>
        <w:fldChar w:fldCharType="end"/>
      </w:r>
      <w:r>
        <w:rPr>
          <w:rFonts w:hint="eastAsia" w:ascii="宋体" w:hAnsi="宋体"/>
          <w:sz w:val="24"/>
        </w:rPr>
        <w:t>等比选文件的规定进行评审，并推荐排名第一的比选申请人为第一中选人。</w:t>
      </w:r>
    </w:p>
    <w:p>
      <w:pPr>
        <w:pStyle w:val="4"/>
        <w:numPr>
          <w:ilvl w:val="0"/>
          <w:numId w:val="12"/>
        </w:numPr>
        <w:spacing w:beforeLines="50" w:after="0" w:line="240" w:lineRule="auto"/>
        <w:ind w:left="0" w:firstLine="0"/>
        <w:rPr>
          <w:sz w:val="24"/>
        </w:rPr>
      </w:pPr>
      <w:bookmarkStart w:id="117" w:name="_Toc114052441"/>
      <w:bookmarkStart w:id="118" w:name="_Toc114052377"/>
      <w:bookmarkStart w:id="119" w:name="_Toc392862502"/>
      <w:bookmarkStart w:id="120" w:name="_Toc286386861"/>
      <w:r>
        <w:rPr>
          <w:rFonts w:hint="eastAsia"/>
          <w:sz w:val="24"/>
        </w:rPr>
        <w:t>评审结果公示</w:t>
      </w:r>
      <w:bookmarkEnd w:id="117"/>
      <w:bookmarkEnd w:id="118"/>
      <w:bookmarkEnd w:id="119"/>
      <w:bookmarkEnd w:id="120"/>
    </w:p>
    <w:p>
      <w:pPr>
        <w:pStyle w:val="47"/>
        <w:numPr>
          <w:ilvl w:val="1"/>
          <w:numId w:val="12"/>
        </w:numPr>
        <w:spacing w:afterLines="50"/>
        <w:ind w:left="600" w:hanging="600" w:hangingChars="250"/>
        <w:rPr>
          <w:rFonts w:ascii="宋体" w:hAnsi="宋体"/>
          <w:sz w:val="24"/>
        </w:rPr>
      </w:pPr>
      <w:r>
        <w:rPr>
          <w:rFonts w:hint="eastAsia" w:ascii="宋体" w:hAnsi="宋体"/>
          <w:sz w:val="24"/>
        </w:rPr>
        <w:t>在评审结束经比选发起人确认后，将在南宁轨道交通集团有限责任公司官方网站（www.nngdjt.com）以结果公示的形式通知各比选申请人评审结果。</w:t>
      </w:r>
    </w:p>
    <w:p>
      <w:pPr>
        <w:pStyle w:val="47"/>
        <w:numPr>
          <w:ilvl w:val="1"/>
          <w:numId w:val="12"/>
        </w:numPr>
        <w:spacing w:afterLines="50"/>
        <w:ind w:left="600" w:hanging="600" w:hangingChars="250"/>
        <w:rPr>
          <w:sz w:val="24"/>
          <w:szCs w:val="24"/>
        </w:rPr>
      </w:pPr>
      <w:r>
        <w:rPr>
          <w:rFonts w:hint="eastAsia" w:ascii="宋体" w:hAnsi="宋体"/>
          <w:sz w:val="24"/>
        </w:rPr>
        <w:t>比选申请人如对评审结果有异议，须按公示规定的时间和方式向比选发起人提出质疑；比选发起人在收到书面质疑后5个工作日内做出答复，但答复的内容不得涉及商业秘密。</w:t>
      </w:r>
      <w:bookmarkStart w:id="121" w:name="_Toc114052442"/>
      <w:bookmarkStart w:id="122" w:name="_Toc114052378"/>
      <w:bookmarkStart w:id="123" w:name="_Toc286386862"/>
    </w:p>
    <w:p>
      <w:pPr>
        <w:pStyle w:val="3"/>
        <w:numPr>
          <w:ilvl w:val="0"/>
          <w:numId w:val="11"/>
        </w:numPr>
        <w:spacing w:beforeLines="150" w:after="0" w:line="240" w:lineRule="auto"/>
        <w:ind w:left="0" w:firstLine="0"/>
        <w:jc w:val="center"/>
        <w:rPr>
          <w:rFonts w:asciiTheme="majorEastAsia" w:hAnsiTheme="majorEastAsia" w:eastAsiaTheme="majorEastAsia"/>
          <w:sz w:val="24"/>
          <w:szCs w:val="24"/>
        </w:rPr>
      </w:pPr>
      <w:bookmarkStart w:id="124" w:name="_Toc437544682"/>
      <w:bookmarkStart w:id="125" w:name="_Toc437544527"/>
      <w:bookmarkStart w:id="126" w:name="_Toc26564"/>
      <w:r>
        <w:rPr>
          <w:rFonts w:hint="eastAsia" w:asciiTheme="majorEastAsia" w:hAnsiTheme="majorEastAsia" w:eastAsiaTheme="majorEastAsia"/>
          <w:sz w:val="24"/>
          <w:szCs w:val="24"/>
        </w:rPr>
        <w:t>授予合同</w:t>
      </w:r>
      <w:bookmarkEnd w:id="121"/>
      <w:bookmarkEnd w:id="122"/>
      <w:bookmarkEnd w:id="123"/>
      <w:bookmarkEnd w:id="124"/>
      <w:bookmarkEnd w:id="125"/>
      <w:bookmarkEnd w:id="126"/>
    </w:p>
    <w:p>
      <w:pPr>
        <w:pStyle w:val="4"/>
        <w:numPr>
          <w:ilvl w:val="0"/>
          <w:numId w:val="12"/>
        </w:numPr>
        <w:spacing w:beforeLines="50" w:after="0" w:line="240" w:lineRule="auto"/>
        <w:ind w:left="0" w:firstLine="0"/>
        <w:rPr>
          <w:sz w:val="24"/>
        </w:rPr>
      </w:pPr>
      <w:bookmarkStart w:id="127" w:name="_Toc114052443"/>
      <w:bookmarkStart w:id="128" w:name="_Toc286386863"/>
      <w:bookmarkStart w:id="129" w:name="_Toc114052379"/>
      <w:bookmarkStart w:id="130" w:name="_Toc392862504"/>
      <w:r>
        <w:rPr>
          <w:rFonts w:hint="eastAsia"/>
          <w:sz w:val="24"/>
        </w:rPr>
        <w:t>中选通知书</w:t>
      </w:r>
      <w:bookmarkEnd w:id="127"/>
      <w:bookmarkEnd w:id="128"/>
      <w:bookmarkEnd w:id="129"/>
      <w:bookmarkEnd w:id="130"/>
    </w:p>
    <w:p>
      <w:pPr>
        <w:pStyle w:val="47"/>
        <w:numPr>
          <w:ilvl w:val="1"/>
          <w:numId w:val="12"/>
        </w:numPr>
        <w:ind w:left="600" w:hanging="600" w:hangingChars="250"/>
        <w:rPr>
          <w:rFonts w:ascii="宋体" w:hAnsi="宋体"/>
          <w:sz w:val="24"/>
        </w:rPr>
      </w:pPr>
      <w:r>
        <w:rPr>
          <w:rFonts w:hint="eastAsia" w:ascii="宋体" w:hAnsi="宋体"/>
          <w:sz w:val="24"/>
        </w:rPr>
        <w:t>比选结果公示期满后，比选发起人将向中选人发出中选通知书。</w:t>
      </w:r>
    </w:p>
    <w:p>
      <w:pPr>
        <w:pStyle w:val="47"/>
        <w:numPr>
          <w:ilvl w:val="1"/>
          <w:numId w:val="12"/>
        </w:numPr>
        <w:ind w:left="600" w:hanging="600" w:hangingChars="250"/>
        <w:rPr>
          <w:rFonts w:ascii="宋体" w:hAnsi="宋体"/>
          <w:sz w:val="24"/>
        </w:rPr>
      </w:pPr>
      <w:r>
        <w:rPr>
          <w:rFonts w:hint="eastAsia" w:ascii="宋体" w:hAnsi="宋体"/>
          <w:sz w:val="24"/>
        </w:rPr>
        <w:t>比选发起人无义务向未中选的比选申请人解释未中选原因，不退还比选申请文件。</w:t>
      </w:r>
    </w:p>
    <w:p>
      <w:pPr>
        <w:pStyle w:val="47"/>
        <w:numPr>
          <w:ilvl w:val="1"/>
          <w:numId w:val="12"/>
        </w:numPr>
        <w:ind w:left="600" w:hanging="600" w:hangingChars="250"/>
        <w:rPr>
          <w:rFonts w:ascii="宋体" w:hAnsi="宋体"/>
          <w:sz w:val="24"/>
        </w:rPr>
      </w:pPr>
      <w:r>
        <w:rPr>
          <w:rFonts w:hint="eastAsia" w:ascii="宋体" w:hAnsi="宋体"/>
          <w:sz w:val="24"/>
        </w:rPr>
        <w:t>中选通知书为合同的组成部分。</w:t>
      </w:r>
    </w:p>
    <w:p>
      <w:pPr>
        <w:pStyle w:val="4"/>
        <w:numPr>
          <w:ilvl w:val="0"/>
          <w:numId w:val="12"/>
        </w:numPr>
        <w:spacing w:beforeLines="50" w:after="0" w:line="240" w:lineRule="auto"/>
        <w:ind w:left="0" w:firstLine="0"/>
        <w:rPr>
          <w:sz w:val="24"/>
        </w:rPr>
      </w:pPr>
      <w:bookmarkStart w:id="131" w:name="_Toc114052444"/>
      <w:bookmarkStart w:id="132" w:name="_Toc114052380"/>
      <w:bookmarkStart w:id="133" w:name="_Toc392862505"/>
      <w:bookmarkStart w:id="134" w:name="_Toc286386864"/>
      <w:r>
        <w:rPr>
          <w:rFonts w:hint="eastAsia"/>
          <w:sz w:val="24"/>
        </w:rPr>
        <w:t>合同的签署</w:t>
      </w:r>
      <w:bookmarkEnd w:id="131"/>
      <w:bookmarkEnd w:id="132"/>
      <w:bookmarkEnd w:id="133"/>
      <w:bookmarkEnd w:id="134"/>
    </w:p>
    <w:p>
      <w:pPr>
        <w:pStyle w:val="47"/>
        <w:numPr>
          <w:ilvl w:val="1"/>
          <w:numId w:val="12"/>
        </w:numPr>
        <w:spacing w:afterLines="50"/>
        <w:ind w:left="600" w:hanging="600" w:hangingChars="250"/>
        <w:rPr>
          <w:rFonts w:ascii="宋体" w:hAnsi="宋体"/>
          <w:sz w:val="24"/>
        </w:rPr>
      </w:pPr>
      <w:r>
        <w:rPr>
          <w:rFonts w:hint="eastAsia" w:ascii="宋体" w:hAnsi="宋体"/>
          <w:sz w:val="24"/>
        </w:rPr>
        <w:t>中选人应按中选通知书的规定按时足额缴纳履约保证金，由法定代表人或授权委托代理人与比选发起人及时签订合同。</w:t>
      </w:r>
    </w:p>
    <w:p>
      <w:pPr>
        <w:pStyle w:val="47"/>
        <w:numPr>
          <w:ilvl w:val="1"/>
          <w:numId w:val="12"/>
        </w:numPr>
        <w:spacing w:afterLines="50"/>
        <w:ind w:left="602" w:hanging="602" w:hangingChars="250"/>
        <w:rPr>
          <w:rFonts w:ascii="宋体" w:hAnsi="宋体"/>
          <w:b/>
          <w:sz w:val="24"/>
        </w:rPr>
      </w:pPr>
      <w:r>
        <w:rPr>
          <w:rFonts w:hint="eastAsia" w:ascii="宋体" w:hAnsi="宋体"/>
          <w:b/>
          <w:sz w:val="24"/>
        </w:rPr>
        <w:t>如第一中选人因自身原因不能履约签订合同或履行合同的，比选发起人将取消其中选资格，比选保证金不予退还，并从后续排名中选候选人中依次向上递补确定中选人或重新比选确定中选人。</w:t>
      </w:r>
    </w:p>
    <w:p>
      <w:pPr>
        <w:pStyle w:val="4"/>
        <w:numPr>
          <w:ilvl w:val="0"/>
          <w:numId w:val="12"/>
        </w:numPr>
        <w:spacing w:beforeLines="50" w:after="0" w:line="240" w:lineRule="auto"/>
        <w:ind w:left="0" w:firstLine="0"/>
        <w:rPr>
          <w:b w:val="0"/>
          <w:sz w:val="24"/>
        </w:rPr>
      </w:pPr>
      <w:r>
        <w:rPr>
          <w:rFonts w:hint="eastAsia"/>
          <w:b w:val="0"/>
          <w:sz w:val="24"/>
        </w:rPr>
        <w:t>根据本项目需要，履行本项目合同过程中所需的中选通知书、交货通知、原厂供货证明的内容及格式约定如下：</w:t>
      </w:r>
    </w:p>
    <w:p>
      <w:pPr>
        <w:widowControl/>
        <w:jc w:val="center"/>
        <w:rPr>
          <w:rFonts w:ascii="宋体" w:hAnsi="宋体"/>
          <w:sz w:val="24"/>
        </w:rPr>
      </w:pPr>
      <w:r>
        <w:rPr>
          <w:rFonts w:ascii="宋体" w:hAnsi="宋体"/>
          <w:sz w:val="24"/>
        </w:rPr>
        <w:br w:type="page"/>
      </w:r>
    </w:p>
    <w:p>
      <w:pPr>
        <w:pStyle w:val="47"/>
        <w:numPr>
          <w:ilvl w:val="1"/>
          <w:numId w:val="12"/>
        </w:numPr>
        <w:spacing w:afterLines="50"/>
        <w:ind w:left="600" w:hanging="600" w:hangingChars="250"/>
        <w:rPr>
          <w:rFonts w:ascii="宋体" w:hAnsi="宋体"/>
          <w:sz w:val="24"/>
        </w:rPr>
      </w:pPr>
      <w:r>
        <w:rPr>
          <w:rFonts w:hint="eastAsia" w:ascii="宋体" w:hAnsi="宋体"/>
          <w:sz w:val="24"/>
        </w:rPr>
        <w:t>中选通知书</w:t>
      </w:r>
    </w:p>
    <w:p>
      <w:pPr>
        <w:widowControl/>
        <w:jc w:val="center"/>
        <w:rPr>
          <w:rFonts w:ascii="宋体" w:hAnsi="宋体"/>
          <w:b/>
          <w:sz w:val="24"/>
          <w:szCs w:val="24"/>
        </w:rPr>
      </w:pPr>
    </w:p>
    <w:p>
      <w:pPr>
        <w:widowControl/>
        <w:jc w:val="center"/>
        <w:rPr>
          <w:rFonts w:ascii="宋体" w:hAnsi="宋体"/>
          <w:b/>
          <w:sz w:val="24"/>
          <w:szCs w:val="24"/>
        </w:rPr>
      </w:pPr>
      <w:r>
        <w:rPr>
          <w:rFonts w:hint="eastAsia" w:ascii="宋体" w:hAnsi="宋体"/>
          <w:b/>
          <w:sz w:val="24"/>
          <w:szCs w:val="24"/>
        </w:rPr>
        <w:t>南宁轨道交通集团有限责任公司</w:t>
      </w:r>
    </w:p>
    <w:p>
      <w:pPr>
        <w:spacing w:line="360" w:lineRule="auto"/>
        <w:ind w:left="2"/>
        <w:jc w:val="center"/>
        <w:rPr>
          <w:rFonts w:ascii="宋体" w:hAnsi="宋体"/>
          <w:b/>
          <w:sz w:val="24"/>
          <w:szCs w:val="24"/>
        </w:rPr>
      </w:pPr>
      <w:r>
        <w:rPr>
          <w:rFonts w:hint="eastAsia" w:ascii="宋体" w:hAnsi="宋体"/>
          <w:b/>
          <w:sz w:val="24"/>
          <w:szCs w:val="24"/>
        </w:rPr>
        <w:t>运营分公司可视化党建工作物资采购项目中选通知书</w:t>
      </w:r>
    </w:p>
    <w:p>
      <w:pPr>
        <w:spacing w:beforeLines="100" w:line="360" w:lineRule="auto"/>
        <w:rPr>
          <w:rFonts w:ascii="宋体" w:hAnsi="宋体"/>
          <w:sz w:val="24"/>
          <w:szCs w:val="24"/>
        </w:rPr>
      </w:pPr>
      <w:r>
        <w:rPr>
          <w:rFonts w:hint="eastAsia" w:ascii="宋体" w:hAnsi="宋体"/>
          <w:sz w:val="24"/>
          <w:szCs w:val="24"/>
          <w:u w:val="single"/>
        </w:rPr>
        <w:t>×××××公司</w:t>
      </w:r>
      <w:r>
        <w:rPr>
          <w:rFonts w:hint="eastAsia" w:ascii="宋体" w:hAnsi="宋体"/>
          <w:sz w:val="24"/>
          <w:szCs w:val="24"/>
        </w:rPr>
        <w:t>：</w:t>
      </w:r>
    </w:p>
    <w:p>
      <w:pPr>
        <w:spacing w:before="100" w:beforeAutospacing="1" w:after="100" w:afterAutospacing="1"/>
        <w:ind w:firstLine="480" w:firstLineChars="200"/>
        <w:rPr>
          <w:rFonts w:ascii="宋体" w:hAnsi="宋体"/>
          <w:sz w:val="24"/>
          <w:szCs w:val="24"/>
        </w:rPr>
      </w:pPr>
      <w:r>
        <w:rPr>
          <w:rFonts w:hint="eastAsia" w:ascii="宋体" w:hAnsi="宋体"/>
          <w:sz w:val="24"/>
          <w:szCs w:val="24"/>
        </w:rPr>
        <w:t>根据《南宁轨道交通集团有限责任公司运营分公司可视化党建工作物资采购项目比选公告》（项目编号:）的要求，贵公司于2018年×月×日提交了比选申请文件，经评审</w:t>
      </w:r>
      <w:r>
        <w:rPr>
          <w:rFonts w:ascii="宋体" w:hAnsi="宋体"/>
          <w:sz w:val="24"/>
          <w:szCs w:val="24"/>
        </w:rPr>
        <w:t>，</w:t>
      </w:r>
      <w:r>
        <w:rPr>
          <w:rFonts w:hint="eastAsia" w:ascii="宋体" w:hAnsi="宋体"/>
          <w:sz w:val="24"/>
          <w:szCs w:val="24"/>
        </w:rPr>
        <w:t>贵公司以人民币</w:t>
      </w:r>
      <w:r>
        <w:rPr>
          <w:rFonts w:hint="eastAsia" w:ascii="宋体" w:hAnsi="宋体"/>
          <w:sz w:val="24"/>
          <w:szCs w:val="24"/>
          <w:u w:val="single"/>
        </w:rPr>
        <w:t>×××元（￥      ）</w:t>
      </w:r>
      <w:r>
        <w:rPr>
          <w:rFonts w:hint="eastAsia" w:ascii="宋体" w:hAnsi="宋体"/>
          <w:sz w:val="24"/>
          <w:szCs w:val="24"/>
        </w:rPr>
        <w:t>的价格中选！</w:t>
      </w:r>
    </w:p>
    <w:p>
      <w:pPr>
        <w:spacing w:before="100" w:beforeAutospacing="1" w:after="100" w:afterAutospacing="1"/>
        <w:ind w:firstLine="480" w:firstLineChars="200"/>
        <w:rPr>
          <w:rFonts w:ascii="宋体" w:hAnsi="宋体"/>
          <w:sz w:val="24"/>
          <w:szCs w:val="24"/>
        </w:rPr>
      </w:pPr>
      <w:r>
        <w:rPr>
          <w:rFonts w:hint="eastAsia" w:ascii="宋体" w:hAnsi="宋体"/>
          <w:sz w:val="24"/>
          <w:szCs w:val="24"/>
        </w:rPr>
        <w:t>其他注意事项：</w:t>
      </w:r>
    </w:p>
    <w:p>
      <w:pPr>
        <w:pStyle w:val="47"/>
        <w:numPr>
          <w:ilvl w:val="0"/>
          <w:numId w:val="13"/>
        </w:numPr>
        <w:tabs>
          <w:tab w:val="left" w:pos="851"/>
          <w:tab w:val="left" w:pos="993"/>
          <w:tab w:val="left" w:pos="1276"/>
        </w:tabs>
        <w:spacing w:before="100" w:beforeAutospacing="1" w:afterLines="50"/>
        <w:ind w:left="0" w:firstLine="480"/>
        <w:rPr>
          <w:rFonts w:ascii="宋体" w:hAnsi="宋体"/>
          <w:sz w:val="24"/>
          <w:szCs w:val="24"/>
        </w:rPr>
      </w:pPr>
      <w:r>
        <w:rPr>
          <w:rFonts w:ascii="宋体" w:hAnsi="宋体"/>
          <w:sz w:val="24"/>
          <w:szCs w:val="24"/>
        </w:rPr>
        <w:t>请</w:t>
      </w:r>
      <w:r>
        <w:rPr>
          <w:rFonts w:hint="eastAsia" w:ascii="宋体" w:hAnsi="宋体"/>
          <w:sz w:val="24"/>
          <w:szCs w:val="24"/>
        </w:rPr>
        <w:t>于本通知书发出后30日内，至广西壮族自治区南宁市青秀区云景路83号南宁轨道交通1号线屯里车辆段运营综合楼509室与本公司签订采购项目合同书。</w:t>
      </w:r>
    </w:p>
    <w:p>
      <w:pPr>
        <w:pStyle w:val="47"/>
        <w:numPr>
          <w:ilvl w:val="0"/>
          <w:numId w:val="13"/>
        </w:numPr>
        <w:tabs>
          <w:tab w:val="left" w:pos="851"/>
          <w:tab w:val="left" w:pos="993"/>
          <w:tab w:val="left" w:pos="1276"/>
        </w:tabs>
        <w:spacing w:before="100" w:beforeAutospacing="1" w:afterLines="50"/>
        <w:ind w:left="0" w:firstLine="480"/>
        <w:rPr>
          <w:rFonts w:ascii="宋体" w:hAnsi="宋体"/>
          <w:sz w:val="24"/>
          <w:szCs w:val="24"/>
        </w:rPr>
      </w:pPr>
      <w:r>
        <w:rPr>
          <w:rFonts w:hint="eastAsia" w:ascii="宋体" w:hAnsi="宋体"/>
          <w:sz w:val="24"/>
          <w:szCs w:val="24"/>
        </w:rPr>
        <w:t>签订合同前，须缴纳履约保证金人民币×××元整。已缴纳的比选保证金自动转为履约保证金的一部分，不足部分通过公司账户银行转账补足缴纳。</w:t>
      </w:r>
    </w:p>
    <w:p>
      <w:pPr>
        <w:pStyle w:val="47"/>
        <w:numPr>
          <w:ilvl w:val="0"/>
          <w:numId w:val="13"/>
        </w:numPr>
        <w:tabs>
          <w:tab w:val="left" w:pos="851"/>
          <w:tab w:val="left" w:pos="993"/>
          <w:tab w:val="left" w:pos="1276"/>
        </w:tabs>
        <w:spacing w:before="100" w:beforeAutospacing="1" w:afterLines="50"/>
        <w:ind w:left="0" w:firstLine="480"/>
        <w:rPr>
          <w:rFonts w:ascii="宋体" w:hAnsi="宋体"/>
          <w:sz w:val="24"/>
          <w:szCs w:val="24"/>
        </w:rPr>
      </w:pPr>
      <w:r>
        <w:rPr>
          <w:rFonts w:hint="eastAsia" w:ascii="宋体" w:hAnsi="宋体"/>
          <w:sz w:val="24"/>
          <w:szCs w:val="24"/>
        </w:rPr>
        <w:t>交货时间：本通知书发出后，按交货通知交货。</w:t>
      </w:r>
    </w:p>
    <w:p>
      <w:pPr>
        <w:spacing w:line="360" w:lineRule="auto"/>
        <w:ind w:left="2" w:firstLine="570"/>
        <w:rPr>
          <w:rFonts w:ascii="宋体" w:hAnsi="宋体"/>
          <w:sz w:val="24"/>
          <w:szCs w:val="24"/>
        </w:rPr>
      </w:pPr>
    </w:p>
    <w:p>
      <w:pPr>
        <w:spacing w:line="360" w:lineRule="auto"/>
        <w:ind w:right="900"/>
        <w:jc w:val="right"/>
        <w:rPr>
          <w:rFonts w:ascii="宋体" w:hAnsi="宋体"/>
          <w:sz w:val="24"/>
          <w:szCs w:val="24"/>
        </w:rPr>
      </w:pPr>
      <w:r>
        <w:rPr>
          <w:rFonts w:hint="eastAsia" w:ascii="宋体" w:hAnsi="宋体"/>
          <w:sz w:val="24"/>
          <w:szCs w:val="24"/>
        </w:rPr>
        <w:t>南宁轨道交通集团有限责任公司(章)</w:t>
      </w:r>
    </w:p>
    <w:p>
      <w:pPr>
        <w:spacing w:line="360" w:lineRule="auto"/>
        <w:ind w:firstLine="6120" w:firstLineChars="2550"/>
        <w:rPr>
          <w:rFonts w:ascii="宋体" w:hAnsi="宋体"/>
          <w:sz w:val="24"/>
          <w:szCs w:val="24"/>
        </w:rPr>
      </w:pPr>
      <w:r>
        <w:rPr>
          <w:rFonts w:hint="eastAsia" w:ascii="宋体" w:hAnsi="宋体"/>
          <w:sz w:val="24"/>
          <w:szCs w:val="24"/>
        </w:rPr>
        <w:t>201</w:t>
      </w:r>
      <w:r>
        <w:rPr>
          <w:rFonts w:hint="eastAsia" w:ascii="宋体" w:hAnsi="宋体"/>
          <w:sz w:val="24"/>
          <w:szCs w:val="24"/>
          <w:lang w:val="en-US" w:eastAsia="zh-CN"/>
        </w:rPr>
        <w:t>9</w:t>
      </w:r>
      <w:r>
        <w:rPr>
          <w:rFonts w:hint="eastAsia" w:ascii="宋体" w:hAnsi="宋体"/>
          <w:sz w:val="24"/>
          <w:szCs w:val="24"/>
        </w:rPr>
        <w:t>年×月×日</w:t>
      </w:r>
    </w:p>
    <w:p>
      <w:pPr>
        <w:widowControl/>
        <w:jc w:val="left"/>
        <w:rPr>
          <w:rFonts w:ascii="宋体" w:hAnsi="宋体"/>
          <w:sz w:val="24"/>
          <w:szCs w:val="24"/>
        </w:rPr>
        <w:sectPr>
          <w:headerReference r:id="rId9" w:type="default"/>
          <w:footerReference r:id="rId10" w:type="default"/>
          <w:pgSz w:w="11906" w:h="16838"/>
          <w:pgMar w:top="1134" w:right="851" w:bottom="1134" w:left="1134" w:header="454" w:footer="567" w:gutter="0"/>
          <w:pgNumType w:chapStyle="1"/>
          <w:cols w:space="425" w:num="1"/>
          <w:docGrid w:linePitch="312" w:charSpace="0"/>
        </w:sectPr>
      </w:pPr>
      <w:r>
        <w:rPr>
          <w:rFonts w:ascii="宋体" w:hAnsi="宋体"/>
          <w:sz w:val="24"/>
          <w:szCs w:val="24"/>
        </w:rPr>
        <w:br w:type="page"/>
      </w:r>
    </w:p>
    <w:p>
      <w:pPr>
        <w:pStyle w:val="47"/>
        <w:numPr>
          <w:ilvl w:val="1"/>
          <w:numId w:val="12"/>
        </w:numPr>
        <w:spacing w:afterLines="50"/>
        <w:ind w:left="600" w:hanging="600" w:hangingChars="250"/>
        <w:rPr>
          <w:rFonts w:ascii="宋体" w:hAnsi="宋体"/>
          <w:sz w:val="24"/>
        </w:rPr>
      </w:pPr>
      <w:r>
        <w:rPr>
          <w:rFonts w:hint="eastAsia" w:ascii="宋体" w:hAnsi="宋体"/>
          <w:sz w:val="24"/>
        </w:rPr>
        <w:t>交货通知</w:t>
      </w:r>
    </w:p>
    <w:tbl>
      <w:tblPr>
        <w:tblStyle w:val="35"/>
        <w:tblW w:w="857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47"/>
        <w:gridCol w:w="1418"/>
        <w:gridCol w:w="14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5747" w:type="dxa"/>
            <w:vAlign w:val="center"/>
          </w:tcPr>
          <w:p>
            <w:pPr>
              <w:pStyle w:val="47"/>
              <w:widowControl/>
              <w:ind w:firstLine="0" w:firstLineChars="0"/>
              <w:jc w:val="right"/>
              <w:rPr>
                <w:rFonts w:ascii="宋体" w:hAnsi="宋体"/>
                <w:b/>
                <w:sz w:val="24"/>
                <w:szCs w:val="24"/>
              </w:rPr>
            </w:pPr>
            <w:r>
              <w:rPr>
                <w:rFonts w:hint="eastAsia" w:ascii="宋体" w:hAnsi="宋体"/>
                <w:b/>
                <w:sz w:val="24"/>
                <w:szCs w:val="24"/>
              </w:rPr>
              <w:t>运营分公司可视化党建工作项目物资采购项目第　×　批</w:t>
            </w:r>
          </w:p>
        </w:tc>
        <w:tc>
          <w:tcPr>
            <w:tcW w:w="1418" w:type="dxa"/>
            <w:vAlign w:val="center"/>
          </w:tcPr>
          <w:p>
            <w:pPr>
              <w:pStyle w:val="47"/>
              <w:widowControl/>
              <w:ind w:firstLine="0" w:firstLineChars="0"/>
              <w:jc w:val="center"/>
              <w:rPr>
                <w:rFonts w:ascii="宋体" w:hAnsi="宋体"/>
                <w:b/>
                <w:sz w:val="24"/>
                <w:szCs w:val="24"/>
              </w:rPr>
            </w:pPr>
            <w:r>
              <w:rPr>
                <w:rFonts w:hint="eastAsia" w:ascii="宋体" w:hAnsi="宋体"/>
                <w:b/>
                <w:sz w:val="24"/>
                <w:szCs w:val="24"/>
              </w:rPr>
              <w:t>交货通知</w:t>
            </w:r>
          </w:p>
          <w:p>
            <w:pPr>
              <w:pStyle w:val="47"/>
              <w:widowControl/>
              <w:ind w:firstLine="0" w:firstLineChars="0"/>
              <w:jc w:val="center"/>
              <w:rPr>
                <w:rFonts w:ascii="宋体" w:hAnsi="宋体"/>
                <w:b/>
                <w:sz w:val="24"/>
                <w:szCs w:val="24"/>
              </w:rPr>
            </w:pPr>
            <w:r>
              <w:rPr>
                <w:rFonts w:hint="eastAsia" w:ascii="宋体" w:hAnsi="宋体"/>
                <w:b/>
                <w:sz w:val="24"/>
                <w:szCs w:val="24"/>
              </w:rPr>
              <w:t>送货单</w:t>
            </w:r>
          </w:p>
        </w:tc>
        <w:tc>
          <w:tcPr>
            <w:tcW w:w="1414" w:type="dxa"/>
            <w:vAlign w:val="center"/>
          </w:tcPr>
          <w:p>
            <w:pPr>
              <w:pStyle w:val="47"/>
              <w:widowControl/>
              <w:ind w:firstLine="0" w:firstLineChars="0"/>
              <w:rPr>
                <w:rFonts w:ascii="宋体" w:hAnsi="宋体"/>
                <w:b/>
                <w:sz w:val="24"/>
                <w:szCs w:val="24"/>
              </w:rPr>
            </w:pPr>
            <w:r>
              <w:rPr>
                <w:rFonts w:hint="eastAsia" w:ascii="宋体" w:hAnsi="宋体"/>
                <w:b/>
                <w:sz w:val="24"/>
                <w:szCs w:val="24"/>
              </w:rPr>
              <w:t>（×号线）</w:t>
            </w:r>
          </w:p>
        </w:tc>
      </w:tr>
    </w:tbl>
    <w:p>
      <w:pPr>
        <w:rPr>
          <w:lang w:val="zh-CN"/>
        </w:rPr>
      </w:pPr>
    </w:p>
    <w:tbl>
      <w:tblPr>
        <w:tblStyle w:val="35"/>
        <w:tblW w:w="14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30"/>
        <w:gridCol w:w="2597"/>
        <w:gridCol w:w="805"/>
        <w:gridCol w:w="1322"/>
        <w:gridCol w:w="1417"/>
        <w:gridCol w:w="1276"/>
        <w:gridCol w:w="1417"/>
        <w:gridCol w:w="1560"/>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4557" w:type="dxa"/>
            <w:gridSpan w:val="10"/>
            <w:vAlign w:val="center"/>
          </w:tcPr>
          <w:p>
            <w:pPr>
              <w:widowControl/>
              <w:jc w:val="center"/>
              <w:rPr>
                <w:sz w:val="24"/>
              </w:rPr>
            </w:pPr>
            <w:r>
              <w:rPr>
                <w:rFonts w:hint="eastAsia"/>
                <w:sz w:val="24"/>
              </w:rPr>
              <w:t>供应商（章）：　　　　　　　供应商联系人及电话：　　　　　　　项目编号：YY1/2/3-BX-SB-2018017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sz w:val="24"/>
              </w:rPr>
              <w:br w:type="page"/>
            </w:r>
            <w:r>
              <w:rPr>
                <w:rFonts w:hint="eastAsia"/>
                <w:sz w:val="24"/>
              </w:rPr>
              <w:t>序号</w:t>
            </w:r>
          </w:p>
        </w:tc>
        <w:tc>
          <w:tcPr>
            <w:tcW w:w="1230" w:type="dxa"/>
            <w:vAlign w:val="center"/>
          </w:tcPr>
          <w:p>
            <w:pPr>
              <w:widowControl/>
              <w:jc w:val="center"/>
              <w:rPr>
                <w:sz w:val="24"/>
              </w:rPr>
            </w:pPr>
            <w:r>
              <w:rPr>
                <w:rFonts w:hint="eastAsia"/>
                <w:sz w:val="24"/>
              </w:rPr>
              <w:t>计划序号</w:t>
            </w:r>
          </w:p>
        </w:tc>
        <w:tc>
          <w:tcPr>
            <w:tcW w:w="2597" w:type="dxa"/>
            <w:vAlign w:val="center"/>
          </w:tcPr>
          <w:p>
            <w:pPr>
              <w:widowControl/>
              <w:jc w:val="center"/>
              <w:rPr>
                <w:sz w:val="24"/>
              </w:rPr>
            </w:pPr>
            <w:r>
              <w:rPr>
                <w:rFonts w:hint="eastAsia"/>
                <w:sz w:val="24"/>
              </w:rPr>
              <w:t>货物名称</w:t>
            </w:r>
          </w:p>
        </w:tc>
        <w:tc>
          <w:tcPr>
            <w:tcW w:w="805" w:type="dxa"/>
            <w:vAlign w:val="center"/>
          </w:tcPr>
          <w:p>
            <w:pPr>
              <w:widowControl/>
              <w:jc w:val="center"/>
              <w:rPr>
                <w:sz w:val="24"/>
              </w:rPr>
            </w:pPr>
            <w:r>
              <w:rPr>
                <w:rFonts w:hint="eastAsia"/>
                <w:sz w:val="24"/>
              </w:rPr>
              <w:t>单位</w:t>
            </w:r>
          </w:p>
        </w:tc>
        <w:tc>
          <w:tcPr>
            <w:tcW w:w="1322" w:type="dxa"/>
            <w:vAlign w:val="center"/>
          </w:tcPr>
          <w:p>
            <w:pPr>
              <w:widowControl/>
              <w:jc w:val="center"/>
              <w:rPr>
                <w:sz w:val="24"/>
              </w:rPr>
            </w:pPr>
            <w:r>
              <w:rPr>
                <w:rFonts w:hint="eastAsia"/>
                <w:sz w:val="24"/>
              </w:rPr>
              <w:t>合同数量</w:t>
            </w:r>
          </w:p>
        </w:tc>
        <w:tc>
          <w:tcPr>
            <w:tcW w:w="1417" w:type="dxa"/>
            <w:vAlign w:val="center"/>
          </w:tcPr>
          <w:p>
            <w:pPr>
              <w:widowControl/>
              <w:jc w:val="center"/>
              <w:rPr>
                <w:sz w:val="24"/>
              </w:rPr>
            </w:pPr>
            <w:r>
              <w:rPr>
                <w:rFonts w:hint="eastAsia"/>
                <w:sz w:val="24"/>
              </w:rPr>
              <w:t>送货数量</w:t>
            </w:r>
          </w:p>
        </w:tc>
        <w:tc>
          <w:tcPr>
            <w:tcW w:w="1276" w:type="dxa"/>
            <w:vAlign w:val="center"/>
          </w:tcPr>
          <w:p>
            <w:pPr>
              <w:widowControl/>
              <w:jc w:val="center"/>
              <w:rPr>
                <w:sz w:val="24"/>
              </w:rPr>
            </w:pPr>
            <w:r>
              <w:rPr>
                <w:rFonts w:hint="eastAsia"/>
                <w:sz w:val="24"/>
              </w:rPr>
              <w:t>实收数量</w:t>
            </w:r>
          </w:p>
        </w:tc>
        <w:tc>
          <w:tcPr>
            <w:tcW w:w="1417" w:type="dxa"/>
            <w:vAlign w:val="center"/>
          </w:tcPr>
          <w:p>
            <w:pPr>
              <w:widowControl/>
              <w:jc w:val="center"/>
              <w:rPr>
                <w:sz w:val="24"/>
              </w:rPr>
            </w:pPr>
            <w:r>
              <w:rPr>
                <w:rFonts w:hint="eastAsia"/>
                <w:sz w:val="24"/>
              </w:rPr>
              <w:t>交货日期</w:t>
            </w:r>
          </w:p>
        </w:tc>
        <w:tc>
          <w:tcPr>
            <w:tcW w:w="1560" w:type="dxa"/>
            <w:vAlign w:val="center"/>
          </w:tcPr>
          <w:p>
            <w:pPr>
              <w:widowControl/>
              <w:jc w:val="center"/>
              <w:rPr>
                <w:sz w:val="24"/>
              </w:rPr>
            </w:pPr>
            <w:r>
              <w:rPr>
                <w:rFonts w:hint="eastAsia"/>
                <w:sz w:val="24"/>
              </w:rPr>
              <w:t>交货地点</w:t>
            </w:r>
          </w:p>
        </w:tc>
        <w:tc>
          <w:tcPr>
            <w:tcW w:w="2230" w:type="dxa"/>
            <w:vAlign w:val="center"/>
          </w:tcPr>
          <w:p>
            <w:pPr>
              <w:widowControl/>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rFonts w:hint="eastAsia"/>
                <w:sz w:val="24"/>
              </w:rPr>
              <w:t>1</w:t>
            </w:r>
          </w:p>
        </w:tc>
        <w:tc>
          <w:tcPr>
            <w:tcW w:w="1230" w:type="dxa"/>
            <w:vAlign w:val="center"/>
          </w:tcPr>
          <w:p>
            <w:pPr>
              <w:widowControl/>
              <w:rPr>
                <w:sz w:val="24"/>
              </w:rPr>
            </w:pPr>
          </w:p>
        </w:tc>
        <w:tc>
          <w:tcPr>
            <w:tcW w:w="2597" w:type="dxa"/>
            <w:vAlign w:val="center"/>
          </w:tcPr>
          <w:p>
            <w:pPr>
              <w:widowControl/>
              <w:rPr>
                <w:sz w:val="24"/>
              </w:rPr>
            </w:pPr>
          </w:p>
        </w:tc>
        <w:tc>
          <w:tcPr>
            <w:tcW w:w="805" w:type="dxa"/>
            <w:vAlign w:val="center"/>
          </w:tcPr>
          <w:p>
            <w:pPr>
              <w:widowControl/>
              <w:jc w:val="center"/>
              <w:rPr>
                <w:sz w:val="24"/>
              </w:rPr>
            </w:pPr>
          </w:p>
        </w:tc>
        <w:tc>
          <w:tcPr>
            <w:tcW w:w="1322" w:type="dxa"/>
            <w:vAlign w:val="center"/>
          </w:tcPr>
          <w:p>
            <w:pPr>
              <w:widowControl/>
              <w:jc w:val="center"/>
              <w:rPr>
                <w:sz w:val="24"/>
              </w:rPr>
            </w:pPr>
          </w:p>
        </w:tc>
        <w:tc>
          <w:tcPr>
            <w:tcW w:w="1417" w:type="dxa"/>
            <w:vAlign w:val="center"/>
          </w:tcPr>
          <w:p>
            <w:pPr>
              <w:widowControl/>
              <w:jc w:val="center"/>
              <w:rPr>
                <w:sz w:val="24"/>
              </w:rPr>
            </w:pPr>
          </w:p>
        </w:tc>
        <w:tc>
          <w:tcPr>
            <w:tcW w:w="1276" w:type="dxa"/>
            <w:vAlign w:val="center"/>
          </w:tcPr>
          <w:p>
            <w:pPr>
              <w:widowControl/>
              <w:jc w:val="center"/>
              <w:rPr>
                <w:sz w:val="24"/>
              </w:rPr>
            </w:pPr>
          </w:p>
        </w:tc>
        <w:tc>
          <w:tcPr>
            <w:tcW w:w="1417" w:type="dxa"/>
            <w:vAlign w:val="center"/>
          </w:tcPr>
          <w:p>
            <w:pPr>
              <w:widowControl/>
              <w:jc w:val="center"/>
              <w:rPr>
                <w:sz w:val="24"/>
              </w:rPr>
            </w:pPr>
          </w:p>
        </w:tc>
        <w:tc>
          <w:tcPr>
            <w:tcW w:w="1560" w:type="dxa"/>
            <w:vAlign w:val="center"/>
          </w:tcPr>
          <w:p>
            <w:pPr>
              <w:widowControl/>
              <w:rPr>
                <w:sz w:val="24"/>
              </w:rPr>
            </w:pPr>
          </w:p>
        </w:tc>
        <w:tc>
          <w:tcPr>
            <w:tcW w:w="2230"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03" w:type="dxa"/>
            <w:vAlign w:val="center"/>
          </w:tcPr>
          <w:p>
            <w:pPr>
              <w:widowControl/>
              <w:jc w:val="center"/>
              <w:rPr>
                <w:sz w:val="24"/>
              </w:rPr>
            </w:pPr>
            <w:r>
              <w:rPr>
                <w:rFonts w:hint="eastAsia"/>
                <w:sz w:val="24"/>
              </w:rPr>
              <w:t>2</w:t>
            </w:r>
          </w:p>
        </w:tc>
        <w:tc>
          <w:tcPr>
            <w:tcW w:w="1230" w:type="dxa"/>
            <w:vAlign w:val="center"/>
          </w:tcPr>
          <w:p>
            <w:pPr>
              <w:widowControl/>
              <w:rPr>
                <w:sz w:val="24"/>
              </w:rPr>
            </w:pPr>
          </w:p>
        </w:tc>
        <w:tc>
          <w:tcPr>
            <w:tcW w:w="2597" w:type="dxa"/>
            <w:vAlign w:val="center"/>
          </w:tcPr>
          <w:p>
            <w:pPr>
              <w:widowControl/>
              <w:rPr>
                <w:sz w:val="24"/>
              </w:rPr>
            </w:pPr>
          </w:p>
        </w:tc>
        <w:tc>
          <w:tcPr>
            <w:tcW w:w="805" w:type="dxa"/>
            <w:vAlign w:val="center"/>
          </w:tcPr>
          <w:p>
            <w:pPr>
              <w:widowControl/>
              <w:jc w:val="center"/>
              <w:rPr>
                <w:sz w:val="24"/>
              </w:rPr>
            </w:pPr>
          </w:p>
        </w:tc>
        <w:tc>
          <w:tcPr>
            <w:tcW w:w="1322" w:type="dxa"/>
            <w:vAlign w:val="center"/>
          </w:tcPr>
          <w:p>
            <w:pPr>
              <w:widowControl/>
              <w:jc w:val="center"/>
              <w:rPr>
                <w:sz w:val="24"/>
              </w:rPr>
            </w:pPr>
          </w:p>
        </w:tc>
        <w:tc>
          <w:tcPr>
            <w:tcW w:w="1417" w:type="dxa"/>
            <w:vAlign w:val="center"/>
          </w:tcPr>
          <w:p>
            <w:pPr>
              <w:widowControl/>
              <w:jc w:val="center"/>
              <w:rPr>
                <w:sz w:val="24"/>
              </w:rPr>
            </w:pPr>
          </w:p>
        </w:tc>
        <w:tc>
          <w:tcPr>
            <w:tcW w:w="1276" w:type="dxa"/>
            <w:vAlign w:val="center"/>
          </w:tcPr>
          <w:p>
            <w:pPr>
              <w:widowControl/>
              <w:jc w:val="center"/>
              <w:rPr>
                <w:sz w:val="24"/>
              </w:rPr>
            </w:pPr>
          </w:p>
        </w:tc>
        <w:tc>
          <w:tcPr>
            <w:tcW w:w="1417" w:type="dxa"/>
            <w:vAlign w:val="center"/>
          </w:tcPr>
          <w:p>
            <w:pPr>
              <w:widowControl/>
              <w:jc w:val="center"/>
              <w:rPr>
                <w:sz w:val="24"/>
              </w:rPr>
            </w:pPr>
          </w:p>
        </w:tc>
        <w:tc>
          <w:tcPr>
            <w:tcW w:w="1560" w:type="dxa"/>
            <w:vAlign w:val="center"/>
          </w:tcPr>
          <w:p>
            <w:pPr>
              <w:widowControl/>
              <w:rPr>
                <w:sz w:val="24"/>
              </w:rPr>
            </w:pPr>
          </w:p>
        </w:tc>
        <w:tc>
          <w:tcPr>
            <w:tcW w:w="2230"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rFonts w:hint="eastAsia"/>
                <w:sz w:val="24"/>
              </w:rPr>
              <w:t>3</w:t>
            </w:r>
          </w:p>
        </w:tc>
        <w:tc>
          <w:tcPr>
            <w:tcW w:w="1230" w:type="dxa"/>
            <w:vAlign w:val="center"/>
          </w:tcPr>
          <w:p>
            <w:pPr>
              <w:widowControl/>
              <w:rPr>
                <w:sz w:val="24"/>
              </w:rPr>
            </w:pPr>
          </w:p>
        </w:tc>
        <w:tc>
          <w:tcPr>
            <w:tcW w:w="2597" w:type="dxa"/>
            <w:vAlign w:val="center"/>
          </w:tcPr>
          <w:p>
            <w:pPr>
              <w:widowControl/>
              <w:rPr>
                <w:sz w:val="24"/>
              </w:rPr>
            </w:pPr>
          </w:p>
        </w:tc>
        <w:tc>
          <w:tcPr>
            <w:tcW w:w="805" w:type="dxa"/>
            <w:vAlign w:val="center"/>
          </w:tcPr>
          <w:p>
            <w:pPr>
              <w:widowControl/>
              <w:jc w:val="center"/>
              <w:rPr>
                <w:sz w:val="24"/>
              </w:rPr>
            </w:pPr>
          </w:p>
        </w:tc>
        <w:tc>
          <w:tcPr>
            <w:tcW w:w="1322" w:type="dxa"/>
            <w:vAlign w:val="center"/>
          </w:tcPr>
          <w:p>
            <w:pPr>
              <w:widowControl/>
              <w:jc w:val="center"/>
              <w:rPr>
                <w:sz w:val="24"/>
              </w:rPr>
            </w:pPr>
          </w:p>
        </w:tc>
        <w:tc>
          <w:tcPr>
            <w:tcW w:w="1417" w:type="dxa"/>
            <w:vAlign w:val="center"/>
          </w:tcPr>
          <w:p>
            <w:pPr>
              <w:widowControl/>
              <w:jc w:val="center"/>
              <w:rPr>
                <w:sz w:val="24"/>
              </w:rPr>
            </w:pPr>
          </w:p>
        </w:tc>
        <w:tc>
          <w:tcPr>
            <w:tcW w:w="1276" w:type="dxa"/>
            <w:vAlign w:val="center"/>
          </w:tcPr>
          <w:p>
            <w:pPr>
              <w:widowControl/>
              <w:jc w:val="center"/>
              <w:rPr>
                <w:sz w:val="24"/>
              </w:rPr>
            </w:pPr>
          </w:p>
        </w:tc>
        <w:tc>
          <w:tcPr>
            <w:tcW w:w="1417" w:type="dxa"/>
            <w:vAlign w:val="center"/>
          </w:tcPr>
          <w:p>
            <w:pPr>
              <w:widowControl/>
              <w:jc w:val="center"/>
              <w:rPr>
                <w:sz w:val="24"/>
              </w:rPr>
            </w:pPr>
          </w:p>
        </w:tc>
        <w:tc>
          <w:tcPr>
            <w:tcW w:w="1560" w:type="dxa"/>
            <w:vAlign w:val="center"/>
          </w:tcPr>
          <w:p>
            <w:pPr>
              <w:widowControl/>
              <w:rPr>
                <w:sz w:val="24"/>
              </w:rPr>
            </w:pPr>
          </w:p>
        </w:tc>
        <w:tc>
          <w:tcPr>
            <w:tcW w:w="2230"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rFonts w:hint="eastAsia"/>
                <w:sz w:val="24"/>
              </w:rPr>
              <w:t>4</w:t>
            </w:r>
          </w:p>
        </w:tc>
        <w:tc>
          <w:tcPr>
            <w:tcW w:w="1230" w:type="dxa"/>
            <w:vAlign w:val="center"/>
          </w:tcPr>
          <w:p>
            <w:pPr>
              <w:widowControl/>
              <w:rPr>
                <w:sz w:val="24"/>
              </w:rPr>
            </w:pPr>
          </w:p>
        </w:tc>
        <w:tc>
          <w:tcPr>
            <w:tcW w:w="2597" w:type="dxa"/>
            <w:vAlign w:val="center"/>
          </w:tcPr>
          <w:p>
            <w:pPr>
              <w:widowControl/>
              <w:rPr>
                <w:sz w:val="24"/>
              </w:rPr>
            </w:pPr>
          </w:p>
        </w:tc>
        <w:tc>
          <w:tcPr>
            <w:tcW w:w="805" w:type="dxa"/>
            <w:vAlign w:val="center"/>
          </w:tcPr>
          <w:p>
            <w:pPr>
              <w:widowControl/>
              <w:jc w:val="center"/>
              <w:rPr>
                <w:sz w:val="24"/>
              </w:rPr>
            </w:pPr>
          </w:p>
        </w:tc>
        <w:tc>
          <w:tcPr>
            <w:tcW w:w="1322" w:type="dxa"/>
            <w:vAlign w:val="center"/>
          </w:tcPr>
          <w:p>
            <w:pPr>
              <w:widowControl/>
              <w:jc w:val="center"/>
              <w:rPr>
                <w:sz w:val="24"/>
              </w:rPr>
            </w:pPr>
          </w:p>
        </w:tc>
        <w:tc>
          <w:tcPr>
            <w:tcW w:w="1417" w:type="dxa"/>
            <w:vAlign w:val="center"/>
          </w:tcPr>
          <w:p>
            <w:pPr>
              <w:widowControl/>
              <w:jc w:val="center"/>
              <w:rPr>
                <w:sz w:val="24"/>
              </w:rPr>
            </w:pPr>
          </w:p>
        </w:tc>
        <w:tc>
          <w:tcPr>
            <w:tcW w:w="1276" w:type="dxa"/>
            <w:vAlign w:val="center"/>
          </w:tcPr>
          <w:p>
            <w:pPr>
              <w:widowControl/>
              <w:jc w:val="center"/>
              <w:rPr>
                <w:sz w:val="24"/>
              </w:rPr>
            </w:pPr>
          </w:p>
        </w:tc>
        <w:tc>
          <w:tcPr>
            <w:tcW w:w="1417" w:type="dxa"/>
            <w:vAlign w:val="center"/>
          </w:tcPr>
          <w:p>
            <w:pPr>
              <w:widowControl/>
              <w:jc w:val="center"/>
              <w:rPr>
                <w:sz w:val="24"/>
              </w:rPr>
            </w:pPr>
          </w:p>
        </w:tc>
        <w:tc>
          <w:tcPr>
            <w:tcW w:w="1560" w:type="dxa"/>
            <w:vAlign w:val="center"/>
          </w:tcPr>
          <w:p>
            <w:pPr>
              <w:widowControl/>
              <w:rPr>
                <w:sz w:val="24"/>
              </w:rPr>
            </w:pPr>
          </w:p>
        </w:tc>
        <w:tc>
          <w:tcPr>
            <w:tcW w:w="2230"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rFonts w:hint="eastAsia"/>
                <w:sz w:val="24"/>
              </w:rPr>
              <w:t>5</w:t>
            </w:r>
          </w:p>
        </w:tc>
        <w:tc>
          <w:tcPr>
            <w:tcW w:w="1230" w:type="dxa"/>
            <w:vAlign w:val="center"/>
          </w:tcPr>
          <w:p>
            <w:pPr>
              <w:widowControl/>
              <w:rPr>
                <w:sz w:val="24"/>
              </w:rPr>
            </w:pPr>
          </w:p>
        </w:tc>
        <w:tc>
          <w:tcPr>
            <w:tcW w:w="2597" w:type="dxa"/>
            <w:vAlign w:val="center"/>
          </w:tcPr>
          <w:p>
            <w:pPr>
              <w:widowControl/>
              <w:rPr>
                <w:sz w:val="24"/>
              </w:rPr>
            </w:pPr>
          </w:p>
        </w:tc>
        <w:tc>
          <w:tcPr>
            <w:tcW w:w="805" w:type="dxa"/>
            <w:vAlign w:val="center"/>
          </w:tcPr>
          <w:p>
            <w:pPr>
              <w:widowControl/>
              <w:jc w:val="center"/>
              <w:rPr>
                <w:sz w:val="24"/>
              </w:rPr>
            </w:pPr>
          </w:p>
        </w:tc>
        <w:tc>
          <w:tcPr>
            <w:tcW w:w="1322" w:type="dxa"/>
            <w:vAlign w:val="center"/>
          </w:tcPr>
          <w:p>
            <w:pPr>
              <w:widowControl/>
              <w:jc w:val="center"/>
              <w:rPr>
                <w:sz w:val="24"/>
              </w:rPr>
            </w:pPr>
          </w:p>
        </w:tc>
        <w:tc>
          <w:tcPr>
            <w:tcW w:w="1417" w:type="dxa"/>
            <w:vAlign w:val="center"/>
          </w:tcPr>
          <w:p>
            <w:pPr>
              <w:widowControl/>
              <w:jc w:val="center"/>
              <w:rPr>
                <w:sz w:val="24"/>
              </w:rPr>
            </w:pPr>
          </w:p>
        </w:tc>
        <w:tc>
          <w:tcPr>
            <w:tcW w:w="1276" w:type="dxa"/>
            <w:vAlign w:val="center"/>
          </w:tcPr>
          <w:p>
            <w:pPr>
              <w:widowControl/>
              <w:jc w:val="center"/>
              <w:rPr>
                <w:sz w:val="24"/>
              </w:rPr>
            </w:pPr>
          </w:p>
        </w:tc>
        <w:tc>
          <w:tcPr>
            <w:tcW w:w="1417" w:type="dxa"/>
            <w:vAlign w:val="center"/>
          </w:tcPr>
          <w:p>
            <w:pPr>
              <w:widowControl/>
              <w:jc w:val="center"/>
              <w:rPr>
                <w:sz w:val="24"/>
              </w:rPr>
            </w:pPr>
          </w:p>
        </w:tc>
        <w:tc>
          <w:tcPr>
            <w:tcW w:w="1560" w:type="dxa"/>
            <w:vAlign w:val="center"/>
          </w:tcPr>
          <w:p>
            <w:pPr>
              <w:widowControl/>
              <w:rPr>
                <w:sz w:val="24"/>
              </w:rPr>
            </w:pPr>
          </w:p>
        </w:tc>
        <w:tc>
          <w:tcPr>
            <w:tcW w:w="2230" w:type="dxa"/>
            <w:vAlign w:val="center"/>
          </w:tcPr>
          <w:p>
            <w:pPr>
              <w:widowControl/>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5335" w:type="dxa"/>
            <w:gridSpan w:val="4"/>
            <w:vAlign w:val="center"/>
          </w:tcPr>
          <w:p>
            <w:pPr>
              <w:widowControl/>
              <w:jc w:val="center"/>
              <w:rPr>
                <w:b/>
                <w:sz w:val="24"/>
              </w:rPr>
            </w:pPr>
            <w:r>
              <w:rPr>
                <w:rFonts w:hint="eastAsia"/>
                <w:b/>
                <w:sz w:val="24"/>
              </w:rPr>
              <w:t>合计</w:t>
            </w:r>
          </w:p>
        </w:tc>
        <w:tc>
          <w:tcPr>
            <w:tcW w:w="1322" w:type="dxa"/>
            <w:vAlign w:val="center"/>
          </w:tcPr>
          <w:p>
            <w:pPr>
              <w:widowControl/>
              <w:jc w:val="center"/>
              <w:rPr>
                <w:b/>
                <w:sz w:val="24"/>
              </w:rPr>
            </w:pPr>
          </w:p>
        </w:tc>
        <w:tc>
          <w:tcPr>
            <w:tcW w:w="1417" w:type="dxa"/>
            <w:vAlign w:val="center"/>
          </w:tcPr>
          <w:p>
            <w:pPr>
              <w:widowControl/>
              <w:jc w:val="center"/>
              <w:rPr>
                <w:b/>
                <w:sz w:val="24"/>
              </w:rPr>
            </w:pPr>
          </w:p>
        </w:tc>
        <w:tc>
          <w:tcPr>
            <w:tcW w:w="1276" w:type="dxa"/>
            <w:vAlign w:val="center"/>
          </w:tcPr>
          <w:p>
            <w:pPr>
              <w:widowControl/>
              <w:jc w:val="center"/>
              <w:rPr>
                <w:b/>
                <w:sz w:val="24"/>
              </w:rPr>
            </w:pPr>
          </w:p>
        </w:tc>
        <w:tc>
          <w:tcPr>
            <w:tcW w:w="1417" w:type="dxa"/>
            <w:vAlign w:val="center"/>
          </w:tcPr>
          <w:p>
            <w:pPr>
              <w:widowControl/>
              <w:jc w:val="center"/>
              <w:rPr>
                <w:b/>
                <w:sz w:val="24"/>
              </w:rPr>
            </w:pPr>
            <w:r>
              <w:rPr>
                <w:rFonts w:hint="eastAsia"/>
                <w:b/>
                <w:sz w:val="24"/>
              </w:rPr>
              <w:t>/</w:t>
            </w:r>
          </w:p>
        </w:tc>
        <w:tc>
          <w:tcPr>
            <w:tcW w:w="1560" w:type="dxa"/>
            <w:vAlign w:val="center"/>
          </w:tcPr>
          <w:p>
            <w:pPr>
              <w:widowControl/>
              <w:jc w:val="center"/>
              <w:rPr>
                <w:b/>
                <w:sz w:val="24"/>
              </w:rPr>
            </w:pPr>
            <w:r>
              <w:rPr>
                <w:rFonts w:hint="eastAsia"/>
                <w:b/>
                <w:sz w:val="24"/>
              </w:rPr>
              <w:t>/</w:t>
            </w:r>
          </w:p>
        </w:tc>
        <w:tc>
          <w:tcPr>
            <w:tcW w:w="2230" w:type="dxa"/>
            <w:vAlign w:val="center"/>
          </w:tcPr>
          <w:p>
            <w:pPr>
              <w:widowControl/>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03" w:type="dxa"/>
            <w:vAlign w:val="center"/>
          </w:tcPr>
          <w:p>
            <w:pPr>
              <w:widowControl/>
              <w:jc w:val="center"/>
              <w:rPr>
                <w:sz w:val="24"/>
              </w:rPr>
            </w:pPr>
            <w:r>
              <w:rPr>
                <w:rFonts w:hint="eastAsia"/>
                <w:sz w:val="24"/>
              </w:rPr>
              <w:t>注：</w:t>
            </w:r>
          </w:p>
        </w:tc>
        <w:tc>
          <w:tcPr>
            <w:tcW w:w="13854" w:type="dxa"/>
            <w:gridSpan w:val="9"/>
            <w:vAlign w:val="center"/>
          </w:tcPr>
          <w:p>
            <w:pPr>
              <w:widowControl/>
              <w:rPr>
                <w:sz w:val="24"/>
              </w:rPr>
            </w:pPr>
            <w:r>
              <w:rPr>
                <w:rFonts w:hint="eastAsia"/>
                <w:sz w:val="24"/>
              </w:rPr>
              <w:t>1.本通知送货时携带纸质版一式两份，仅做收货凭据，不做为验收合格和结算凭证。</w:t>
            </w:r>
          </w:p>
          <w:p>
            <w:pPr>
              <w:widowControl/>
              <w:rPr>
                <w:sz w:val="24"/>
              </w:rPr>
            </w:pPr>
            <w:r>
              <w:rPr>
                <w:rFonts w:hint="eastAsia"/>
                <w:sz w:val="24"/>
              </w:rPr>
              <w:t>2.实收数量栏不能留空，数量为“0”时用“/”表示；“合计”栏中的"实收数量"为必填项。</w:t>
            </w:r>
          </w:p>
          <w:p>
            <w:pPr>
              <w:widowControl/>
              <w:rPr>
                <w:sz w:val="24"/>
              </w:rPr>
            </w:pPr>
            <w:r>
              <w:rPr>
                <w:rFonts w:hint="eastAsia"/>
                <w:sz w:val="24"/>
              </w:rPr>
              <w:t>3.本清单如有涂改必须有双方签名认可，否则无效。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4557" w:type="dxa"/>
            <w:gridSpan w:val="10"/>
            <w:vAlign w:val="center"/>
          </w:tcPr>
          <w:p>
            <w:pPr>
              <w:widowControl/>
              <w:rPr>
                <w:sz w:val="24"/>
              </w:rPr>
            </w:pPr>
            <w:r>
              <w:rPr>
                <w:rFonts w:hint="eastAsia"/>
                <w:sz w:val="24"/>
              </w:rPr>
              <w:t>送货人（签名）：　　　　　　　　　　　　　　　　　　　　　　　　　运输工具及车号：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14557" w:type="dxa"/>
            <w:gridSpan w:val="10"/>
            <w:vAlign w:val="center"/>
          </w:tcPr>
          <w:p>
            <w:pPr>
              <w:widowControl/>
              <w:rPr>
                <w:sz w:val="24"/>
              </w:rPr>
            </w:pPr>
            <w:r>
              <w:rPr>
                <w:rFonts w:hint="eastAsia"/>
                <w:sz w:val="24"/>
              </w:rPr>
              <w:t>收货人（签名）：　　　　　　　　　　　　　　　　　　　　　　　　　收货时间：</w:t>
            </w:r>
          </w:p>
        </w:tc>
      </w:tr>
    </w:tbl>
    <w:p>
      <w:pPr>
        <w:pStyle w:val="47"/>
        <w:widowControl/>
        <w:ind w:left="425" w:firstLine="0" w:firstLineChars="0"/>
        <w:jc w:val="left"/>
        <w:rPr>
          <w:sz w:val="24"/>
        </w:rPr>
      </w:pPr>
    </w:p>
    <w:p>
      <w:pPr>
        <w:pStyle w:val="47"/>
        <w:widowControl/>
        <w:ind w:left="425" w:firstLine="0" w:firstLineChars="0"/>
        <w:jc w:val="left"/>
        <w:rPr>
          <w:sz w:val="24"/>
        </w:rPr>
      </w:pPr>
    </w:p>
    <w:p>
      <w:pPr>
        <w:pStyle w:val="47"/>
        <w:widowControl/>
        <w:ind w:left="425" w:firstLine="0" w:firstLineChars="0"/>
        <w:jc w:val="left"/>
        <w:rPr>
          <w:sz w:val="24"/>
        </w:rPr>
      </w:pPr>
    </w:p>
    <w:p>
      <w:pPr>
        <w:ind w:right="902"/>
        <w:jc w:val="right"/>
        <w:rPr>
          <w:rFonts w:ascii="宋体" w:hAnsi="宋体"/>
          <w:sz w:val="24"/>
          <w:szCs w:val="24"/>
        </w:rPr>
      </w:pPr>
      <w:r>
        <w:rPr>
          <w:rFonts w:hint="eastAsia" w:ascii="宋体" w:hAnsi="宋体"/>
          <w:sz w:val="24"/>
          <w:szCs w:val="24"/>
        </w:rPr>
        <w:t>南宁轨道交通集团有限责任公司运营分公司党群部(章)</w:t>
      </w:r>
    </w:p>
    <w:p>
      <w:pPr>
        <w:pStyle w:val="47"/>
        <w:widowControl/>
        <w:spacing w:before="100" w:beforeAutospacing="1"/>
        <w:ind w:left="425" w:firstLine="0" w:firstLineChars="0"/>
        <w:jc w:val="center"/>
        <w:rPr>
          <w:sz w:val="24"/>
        </w:rPr>
        <w:sectPr>
          <w:pgSz w:w="16838" w:h="11906" w:orient="landscape"/>
          <w:pgMar w:top="1134" w:right="1134" w:bottom="851" w:left="1134" w:header="454" w:footer="567" w:gutter="0"/>
          <w:pgNumType w:chapStyle="1"/>
          <w:cols w:space="425" w:num="1"/>
          <w:docGrid w:linePitch="312" w:charSpace="0"/>
        </w:sectPr>
      </w:pPr>
      <w:r>
        <w:rPr>
          <w:rFonts w:hint="eastAsia"/>
          <w:sz w:val="24"/>
        </w:rPr>
        <w:t>　　　　　　　　　　　　　　　　　　　　　　　通知日期：201</w:t>
      </w:r>
      <w:r>
        <w:rPr>
          <w:rFonts w:hint="eastAsia"/>
          <w:sz w:val="24"/>
          <w:lang w:val="en-US" w:eastAsia="zh-CN"/>
        </w:rPr>
        <w:t>9</w:t>
      </w:r>
      <w:r>
        <w:rPr>
          <w:rFonts w:hint="eastAsia"/>
          <w:sz w:val="24"/>
        </w:rPr>
        <w:t>年×月×日</w:t>
      </w:r>
    </w:p>
    <w:p>
      <w:pPr>
        <w:pStyle w:val="47"/>
        <w:numPr>
          <w:ilvl w:val="1"/>
          <w:numId w:val="12"/>
        </w:numPr>
        <w:spacing w:afterLines="50"/>
        <w:ind w:left="600" w:hanging="600" w:hangingChars="250"/>
        <w:rPr>
          <w:rFonts w:ascii="宋体" w:hAnsi="宋体"/>
          <w:sz w:val="24"/>
        </w:rPr>
      </w:pPr>
      <w:r>
        <w:rPr>
          <w:rFonts w:hint="eastAsia" w:ascii="宋体" w:hAnsi="宋体"/>
          <w:sz w:val="24"/>
        </w:rPr>
        <w:t>原厂供货证明</w:t>
      </w:r>
    </w:p>
    <w:p>
      <w:pPr>
        <w:pStyle w:val="4"/>
        <w:numPr>
          <w:ilvl w:val="0"/>
          <w:numId w:val="0"/>
        </w:numPr>
        <w:spacing w:before="100" w:beforeAutospacing="1" w:after="100" w:afterAutospacing="1" w:line="240" w:lineRule="auto"/>
        <w:jc w:val="center"/>
        <w:rPr>
          <w:sz w:val="24"/>
        </w:rPr>
      </w:pPr>
      <w:r>
        <w:rPr>
          <w:rFonts w:hint="eastAsia"/>
          <w:sz w:val="24"/>
        </w:rPr>
        <w:t>供货证明</w:t>
      </w:r>
    </w:p>
    <w:p>
      <w:pPr>
        <w:spacing w:beforeLines="50"/>
        <w:rPr>
          <w:rFonts w:ascii="宋体" w:hAnsi="宋体"/>
          <w:sz w:val="24"/>
          <w:szCs w:val="24"/>
        </w:rPr>
      </w:pPr>
      <w:r>
        <w:rPr>
          <w:rFonts w:hint="eastAsia" w:ascii="宋体" w:hAnsi="宋体"/>
          <w:sz w:val="24"/>
          <w:szCs w:val="24"/>
        </w:rPr>
        <w:t>南宁轨道交通集团有限责任公司：</w:t>
      </w:r>
    </w:p>
    <w:p>
      <w:pPr>
        <w:spacing w:beforeLines="50" w:line="360" w:lineRule="auto"/>
        <w:ind w:firstLine="480" w:firstLineChars="200"/>
        <w:jc w:val="left"/>
        <w:rPr>
          <w:rFonts w:ascii="宋体" w:hAnsi="宋体"/>
          <w:sz w:val="24"/>
        </w:rPr>
      </w:pPr>
      <w:r>
        <w:rPr>
          <w:rFonts w:hint="eastAsia" w:asciiTheme="minorEastAsia" w:hAnsiTheme="minorEastAsia" w:eastAsiaTheme="minorEastAsia"/>
          <w:sz w:val="24"/>
          <w:szCs w:val="24"/>
        </w:rPr>
        <w:t>兹证明（单位）</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 xml:space="preserve"> 在贵公司</w:t>
      </w:r>
      <w:r>
        <w:rPr>
          <w:rFonts w:hint="eastAsia" w:asciiTheme="minorEastAsia" w:hAnsiTheme="minorEastAsia" w:eastAsiaTheme="minorEastAsia"/>
          <w:sz w:val="24"/>
          <w:szCs w:val="24"/>
          <w:u w:val="single"/>
        </w:rPr>
        <w:t>　运营分公司</w:t>
      </w:r>
      <w:r>
        <w:rPr>
          <w:rFonts w:hint="eastAsia" w:cs="宋体" w:asciiTheme="minorEastAsia" w:hAnsiTheme="minorEastAsia" w:eastAsiaTheme="minorEastAsia"/>
          <w:kern w:val="0"/>
          <w:sz w:val="24"/>
          <w:szCs w:val="24"/>
          <w:u w:val="single"/>
        </w:rPr>
        <w:t>可视化党建工作</w:t>
      </w:r>
      <w:r>
        <w:rPr>
          <w:rFonts w:hint="eastAsia" w:cs="宋体" w:asciiTheme="minorEastAsia" w:hAnsiTheme="minorEastAsia"/>
          <w:kern w:val="0"/>
          <w:sz w:val="24"/>
          <w:szCs w:val="24"/>
          <w:u w:val="single"/>
        </w:rPr>
        <w:t>物资</w:t>
      </w:r>
      <w:r>
        <w:rPr>
          <w:rFonts w:hint="eastAsia" w:asciiTheme="minorEastAsia" w:hAnsiTheme="minorEastAsia" w:eastAsiaTheme="minorEastAsia"/>
          <w:sz w:val="24"/>
          <w:szCs w:val="24"/>
          <w:u w:val="single"/>
        </w:rPr>
        <w:t>　</w:t>
      </w:r>
      <w:r>
        <w:rPr>
          <w:rFonts w:hint="eastAsia" w:asciiTheme="minorEastAsia" w:hAnsiTheme="minorEastAsia" w:eastAsiaTheme="minorEastAsia"/>
          <w:sz w:val="24"/>
          <w:szCs w:val="24"/>
        </w:rPr>
        <w:t>采购项目（项目编号：）中，向贵方交付的以下货物为我公司生产(提供)：</w:t>
      </w:r>
    </w:p>
    <w:tbl>
      <w:tblPr>
        <w:tblStyle w:val="34"/>
        <w:tblpPr w:leftFromText="180" w:rightFromText="180" w:vertAnchor="page" w:horzAnchor="page" w:tblpX="1181" w:tblpY="4464"/>
        <w:tblW w:w="9747" w:type="dxa"/>
        <w:tblInd w:w="0" w:type="dxa"/>
        <w:tblLayout w:type="fixed"/>
        <w:tblCellMar>
          <w:top w:w="0" w:type="dxa"/>
          <w:left w:w="108" w:type="dxa"/>
          <w:bottom w:w="0" w:type="dxa"/>
          <w:right w:w="108" w:type="dxa"/>
        </w:tblCellMar>
      </w:tblPr>
      <w:tblGrid>
        <w:gridCol w:w="708"/>
        <w:gridCol w:w="1164"/>
        <w:gridCol w:w="1414"/>
        <w:gridCol w:w="1391"/>
        <w:gridCol w:w="1432"/>
        <w:gridCol w:w="623"/>
        <w:gridCol w:w="1143"/>
        <w:gridCol w:w="1872"/>
      </w:tblGrid>
      <w:tr>
        <w:tblPrEx>
          <w:tblLayout w:type="fixed"/>
          <w:tblCellMar>
            <w:top w:w="0" w:type="dxa"/>
            <w:left w:w="108" w:type="dxa"/>
            <w:bottom w:w="0" w:type="dxa"/>
            <w:right w:w="108" w:type="dxa"/>
          </w:tblCellMar>
        </w:tblPrEx>
        <w:trPr>
          <w:trHeight w:val="557"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cs="宋体"/>
                <w:b/>
                <w:bCs/>
                <w:kern w:val="0"/>
                <w:sz w:val="24"/>
                <w:szCs w:val="24"/>
              </w:rPr>
            </w:pPr>
            <w:bookmarkStart w:id="135" w:name="_Ref483205858"/>
            <w:bookmarkStart w:id="136" w:name="_Ref483051053"/>
            <w:bookmarkStart w:id="137" w:name="_Ref483050788"/>
            <w:bookmarkStart w:id="138" w:name="_Ref483050990"/>
            <w:bookmarkStart w:id="139" w:name="_Ref483050999"/>
            <w:bookmarkStart w:id="140" w:name="_Toc437544530"/>
            <w:bookmarkStart w:id="141" w:name="_Ref483051006"/>
            <w:bookmarkStart w:id="142" w:name="_Ref483050873"/>
            <w:bookmarkStart w:id="143" w:name="_Ref483050884"/>
            <w:bookmarkStart w:id="144" w:name="_Ref483205842"/>
            <w:bookmarkStart w:id="145" w:name="_Toc437544685"/>
            <w:bookmarkStart w:id="146" w:name="_Ref483050879"/>
            <w:r>
              <w:rPr>
                <w:rFonts w:hint="eastAsia" w:ascii="宋体" w:hAnsi="宋体" w:cs="宋体"/>
                <w:b/>
                <w:bCs/>
                <w:kern w:val="0"/>
                <w:sz w:val="24"/>
                <w:szCs w:val="24"/>
              </w:rPr>
              <w:t>序号</w:t>
            </w:r>
          </w:p>
        </w:tc>
        <w:tc>
          <w:tcPr>
            <w:tcW w:w="116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计划号</w:t>
            </w:r>
          </w:p>
        </w:tc>
        <w:tc>
          <w:tcPr>
            <w:tcW w:w="141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货物名称</w:t>
            </w:r>
          </w:p>
        </w:tc>
        <w:tc>
          <w:tcPr>
            <w:tcW w:w="139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品牌/生产厂</w:t>
            </w:r>
          </w:p>
        </w:tc>
        <w:tc>
          <w:tcPr>
            <w:tcW w:w="143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规格型号/技术参数</w:t>
            </w:r>
          </w:p>
        </w:tc>
        <w:tc>
          <w:tcPr>
            <w:tcW w:w="62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单位</w:t>
            </w:r>
          </w:p>
        </w:tc>
        <w:tc>
          <w:tcPr>
            <w:tcW w:w="114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数量</w:t>
            </w:r>
          </w:p>
        </w:tc>
        <w:tc>
          <w:tcPr>
            <w:tcW w:w="1872"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kern w:val="0"/>
                <w:sz w:val="24"/>
                <w:szCs w:val="24"/>
              </w:rPr>
            </w:pPr>
            <w:r>
              <w:rPr>
                <w:rFonts w:hint="eastAsia" w:ascii="宋体" w:hAnsi="宋体" w:cs="宋体"/>
                <w:b/>
                <w:bCs/>
                <w:kern w:val="0"/>
                <w:sz w:val="24"/>
                <w:szCs w:val="24"/>
              </w:rPr>
              <w:t>备注</w:t>
            </w: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1</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2</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3</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4</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702" w:hRule="atLeast"/>
        </w:trPr>
        <w:tc>
          <w:tcPr>
            <w:tcW w:w="70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5</w:t>
            </w:r>
          </w:p>
        </w:tc>
        <w:tc>
          <w:tcPr>
            <w:tcW w:w="116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14"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391"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143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c>
          <w:tcPr>
            <w:tcW w:w="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872"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4"/>
                <w:szCs w:val="24"/>
              </w:rPr>
            </w:pPr>
          </w:p>
        </w:tc>
      </w:tr>
      <w:tr>
        <w:tblPrEx>
          <w:tblLayout w:type="fixed"/>
          <w:tblCellMar>
            <w:top w:w="0" w:type="dxa"/>
            <w:left w:w="108" w:type="dxa"/>
            <w:bottom w:w="0" w:type="dxa"/>
            <w:right w:w="108" w:type="dxa"/>
          </w:tblCellMar>
        </w:tblPrEx>
        <w:trPr>
          <w:trHeight w:val="680" w:hRule="atLeast"/>
        </w:trPr>
        <w:tc>
          <w:tcPr>
            <w:tcW w:w="9747" w:type="dxa"/>
            <w:gridSpan w:val="8"/>
            <w:shd w:val="clear" w:color="auto" w:fill="auto"/>
            <w:vAlign w:val="bottom"/>
          </w:tcPr>
          <w:p>
            <w:pPr>
              <w:widowControl/>
              <w:spacing w:line="240" w:lineRule="exact"/>
              <w:rPr>
                <w:rFonts w:ascii="宋体" w:hAnsi="宋体" w:cs="宋体"/>
                <w:b/>
                <w:kern w:val="0"/>
                <w:sz w:val="24"/>
                <w:szCs w:val="24"/>
              </w:rPr>
            </w:pPr>
            <w:r>
              <w:rPr>
                <w:rFonts w:hint="eastAsia" w:ascii="宋体" w:hAnsi="宋体" w:cs="宋体"/>
                <w:b/>
                <w:kern w:val="0"/>
                <w:sz w:val="24"/>
                <w:szCs w:val="24"/>
              </w:rPr>
              <w:t>我单位联系信息：</w:t>
            </w:r>
          </w:p>
        </w:tc>
      </w:tr>
      <w:tr>
        <w:tblPrEx>
          <w:tblLayout w:type="fixed"/>
          <w:tblCellMar>
            <w:top w:w="0" w:type="dxa"/>
            <w:left w:w="108" w:type="dxa"/>
            <w:bottom w:w="0" w:type="dxa"/>
            <w:right w:w="108" w:type="dxa"/>
          </w:tblCellMar>
        </w:tblPrEx>
        <w:trPr>
          <w:trHeight w:val="440" w:hRule="atLeast"/>
        </w:trPr>
        <w:tc>
          <w:tcPr>
            <w:tcW w:w="9747" w:type="dxa"/>
            <w:gridSpan w:val="8"/>
            <w:shd w:val="clear" w:color="auto" w:fill="auto"/>
            <w:vAlign w:val="bottom"/>
          </w:tcPr>
          <w:p>
            <w:pPr>
              <w:widowControl/>
              <w:jc w:val="left"/>
              <w:rPr>
                <w:rFonts w:ascii="宋体" w:hAnsi="宋体" w:cs="宋体"/>
                <w:kern w:val="0"/>
                <w:sz w:val="24"/>
                <w:szCs w:val="24"/>
              </w:rPr>
            </w:pPr>
            <w:r>
              <w:rPr>
                <w:rFonts w:hint="eastAsia" w:ascii="宋体" w:hAnsi="宋体" w:cs="宋体"/>
                <w:kern w:val="0"/>
                <w:sz w:val="24"/>
                <w:szCs w:val="24"/>
              </w:rPr>
              <w:t>地址：　　　　　　　　　　　　　　　固定电话：</w:t>
            </w:r>
          </w:p>
        </w:tc>
      </w:tr>
      <w:tr>
        <w:tblPrEx>
          <w:tblLayout w:type="fixed"/>
          <w:tblCellMar>
            <w:top w:w="0" w:type="dxa"/>
            <w:left w:w="108" w:type="dxa"/>
            <w:bottom w:w="0" w:type="dxa"/>
            <w:right w:w="108" w:type="dxa"/>
          </w:tblCellMar>
        </w:tblPrEx>
        <w:trPr>
          <w:trHeight w:val="547" w:hRule="atLeast"/>
        </w:trPr>
        <w:tc>
          <w:tcPr>
            <w:tcW w:w="9747" w:type="dxa"/>
            <w:gridSpan w:val="8"/>
            <w:shd w:val="clear" w:color="auto" w:fill="auto"/>
            <w:vAlign w:val="bottom"/>
          </w:tcPr>
          <w:p>
            <w:pPr>
              <w:spacing w:beforeLines="50"/>
              <w:rPr>
                <w:rFonts w:ascii="宋体" w:hAnsi="宋体"/>
                <w:sz w:val="24"/>
                <w:szCs w:val="24"/>
              </w:rPr>
            </w:pPr>
            <w:r>
              <w:rPr>
                <w:rFonts w:hint="eastAsia" w:ascii="宋体" w:hAnsi="宋体"/>
                <w:sz w:val="24"/>
                <w:szCs w:val="24"/>
              </w:rPr>
              <w:t>联 系 人：                      　　部门及职务：</w:t>
            </w:r>
          </w:p>
        </w:tc>
      </w:tr>
      <w:tr>
        <w:tblPrEx>
          <w:tblLayout w:type="fixed"/>
          <w:tblCellMar>
            <w:top w:w="0" w:type="dxa"/>
            <w:left w:w="108" w:type="dxa"/>
            <w:bottom w:w="0" w:type="dxa"/>
            <w:right w:w="108" w:type="dxa"/>
          </w:tblCellMar>
        </w:tblPrEx>
        <w:trPr>
          <w:trHeight w:val="441" w:hRule="atLeast"/>
        </w:trPr>
        <w:tc>
          <w:tcPr>
            <w:tcW w:w="9747" w:type="dxa"/>
            <w:gridSpan w:val="8"/>
            <w:shd w:val="clear" w:color="auto" w:fill="auto"/>
            <w:vAlign w:val="bottom"/>
          </w:tcPr>
          <w:p>
            <w:pPr>
              <w:spacing w:beforeLines="50"/>
              <w:rPr>
                <w:rFonts w:ascii="宋体" w:hAnsi="宋体"/>
                <w:sz w:val="24"/>
                <w:szCs w:val="24"/>
              </w:rPr>
            </w:pPr>
            <w:r>
              <w:rPr>
                <w:rFonts w:hint="eastAsia" w:ascii="宋体" w:hAnsi="宋体"/>
                <w:sz w:val="24"/>
                <w:szCs w:val="24"/>
              </w:rPr>
              <w:t>联系电话（手机）：               　　其他联系方式：</w:t>
            </w:r>
          </w:p>
        </w:tc>
      </w:tr>
      <w:tr>
        <w:tblPrEx>
          <w:tblLayout w:type="fixed"/>
          <w:tblCellMar>
            <w:top w:w="0" w:type="dxa"/>
            <w:left w:w="108" w:type="dxa"/>
            <w:bottom w:w="0" w:type="dxa"/>
            <w:right w:w="108" w:type="dxa"/>
          </w:tblCellMar>
        </w:tblPrEx>
        <w:trPr>
          <w:trHeight w:val="1550" w:hRule="atLeast"/>
        </w:trPr>
        <w:tc>
          <w:tcPr>
            <w:tcW w:w="9747" w:type="dxa"/>
            <w:gridSpan w:val="8"/>
            <w:shd w:val="clear" w:color="auto" w:fill="auto"/>
            <w:vAlign w:val="center"/>
          </w:tcPr>
          <w:p>
            <w:pPr>
              <w:spacing w:beforeLines="50"/>
              <w:jc w:val="center"/>
              <w:rPr>
                <w:rFonts w:ascii="宋体" w:hAnsi="宋体"/>
                <w:sz w:val="24"/>
                <w:szCs w:val="24"/>
              </w:rPr>
            </w:pPr>
            <w:r>
              <w:rPr>
                <w:rFonts w:hint="eastAsia" w:ascii="宋体" w:hAnsi="宋体"/>
                <w:sz w:val="24"/>
                <w:szCs w:val="24"/>
              </w:rPr>
              <w:t>　　　　　单位：（公章）</w:t>
            </w:r>
          </w:p>
          <w:p>
            <w:pPr>
              <w:spacing w:beforeLines="50"/>
              <w:rPr>
                <w:rFonts w:ascii="宋体" w:hAnsi="宋体"/>
                <w:sz w:val="24"/>
                <w:szCs w:val="24"/>
              </w:rPr>
            </w:pPr>
            <w:r>
              <w:rPr>
                <w:rFonts w:hint="eastAsia" w:ascii="宋体" w:hAnsi="宋体"/>
                <w:sz w:val="24"/>
                <w:szCs w:val="24"/>
              </w:rPr>
              <w:t xml:space="preserve">                                  　　日期：</w:t>
            </w:r>
          </w:p>
        </w:tc>
      </w:tr>
    </w:tbl>
    <w:p>
      <w:pPr>
        <w:widowControl/>
        <w:jc w:val="left"/>
        <w:rPr>
          <w:rFonts w:ascii="Cambria" w:hAnsi="Cambria"/>
          <w:b/>
          <w:bCs/>
          <w:sz w:val="24"/>
          <w:szCs w:val="32"/>
          <w:lang w:val="zh-CN"/>
        </w:rPr>
      </w:pPr>
      <w:r>
        <w:rPr>
          <w:rFonts w:ascii="Cambria" w:hAnsi="Cambria"/>
          <w:b/>
          <w:bCs/>
          <w:sz w:val="24"/>
          <w:szCs w:val="32"/>
          <w:lang w:val="zh-CN"/>
        </w:rPr>
        <w:br w:type="page"/>
      </w:r>
    </w:p>
    <w:p>
      <w:pPr>
        <w:pStyle w:val="32"/>
        <w:numPr>
          <w:ilvl w:val="0"/>
          <w:numId w:val="2"/>
        </w:numPr>
        <w:spacing w:before="100" w:beforeAutospacing="1" w:after="0"/>
        <w:rPr>
          <w:sz w:val="24"/>
        </w:rPr>
      </w:pPr>
      <w:bookmarkStart w:id="147" w:name="_Toc13839"/>
      <w:bookmarkStart w:id="148" w:name="_Ref488050650"/>
      <w:r>
        <w:rPr>
          <w:rFonts w:hint="eastAsia"/>
          <w:sz w:val="24"/>
        </w:rPr>
        <w:t>技术及需求</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spacing w:beforeLines="100"/>
        <w:rPr>
          <w:b/>
          <w:sz w:val="24"/>
        </w:rPr>
      </w:pPr>
      <w:r>
        <w:rPr>
          <w:rFonts w:hint="eastAsia"/>
          <w:b/>
          <w:sz w:val="24"/>
        </w:rPr>
        <w:t>具体需求数量及性能参数等详见附件2：《技术需求及数量表》</w:t>
      </w:r>
    </w:p>
    <w:p>
      <w:pPr>
        <w:ind w:left="482" w:hanging="482" w:hangingChars="200"/>
        <w:jc w:val="left"/>
        <w:rPr>
          <w:rFonts w:ascii="宋体" w:hAnsi="宋体"/>
          <w:b/>
          <w:kern w:val="58"/>
          <w:sz w:val="24"/>
          <w:szCs w:val="20"/>
        </w:rPr>
      </w:pPr>
    </w:p>
    <w:p>
      <w:pPr>
        <w:ind w:left="482" w:hanging="482" w:hangingChars="200"/>
        <w:jc w:val="left"/>
        <w:rPr>
          <w:rFonts w:ascii="宋体" w:hAnsi="宋体"/>
          <w:b/>
          <w:kern w:val="58"/>
          <w:sz w:val="24"/>
          <w:szCs w:val="20"/>
        </w:rPr>
      </w:pPr>
      <w:r>
        <w:rPr>
          <w:rFonts w:hint="eastAsia" w:ascii="宋体" w:hAnsi="宋体"/>
          <w:b/>
          <w:kern w:val="58"/>
          <w:sz w:val="24"/>
          <w:szCs w:val="20"/>
        </w:rPr>
        <w:t>注</w:t>
      </w:r>
      <w:r>
        <w:rPr>
          <w:rFonts w:ascii="宋体" w:hAnsi="宋体"/>
          <w:b/>
          <w:kern w:val="58"/>
          <w:sz w:val="24"/>
          <w:szCs w:val="20"/>
        </w:rPr>
        <w:t>：</w:t>
      </w:r>
    </w:p>
    <w:p>
      <w:pPr>
        <w:pStyle w:val="47"/>
        <w:numPr>
          <w:ilvl w:val="0"/>
          <w:numId w:val="14"/>
        </w:numPr>
        <w:spacing w:beforeLines="50" w:line="360" w:lineRule="auto"/>
        <w:ind w:left="480" w:hanging="480" w:hangingChars="200"/>
        <w:jc w:val="left"/>
        <w:rPr>
          <w:rFonts w:ascii="宋体" w:hAnsi="宋体"/>
          <w:kern w:val="58"/>
          <w:sz w:val="24"/>
          <w:szCs w:val="20"/>
        </w:rPr>
      </w:pPr>
      <w:r>
        <w:rPr>
          <w:rFonts w:hint="eastAsia" w:ascii="宋体" w:hAnsi="宋体"/>
          <w:kern w:val="58"/>
          <w:sz w:val="24"/>
          <w:szCs w:val="20"/>
        </w:rPr>
        <w:t>本项目货物的设计、制造必须符合中华人民共和国国家标准和相关行业标准及规定；这些标准必须是有关机构颁布的最新的标准；比选申请人应按国家规定提供相应的产品检验报告和合格证。</w:t>
      </w:r>
    </w:p>
    <w:p>
      <w:pPr>
        <w:pStyle w:val="47"/>
        <w:numPr>
          <w:ilvl w:val="0"/>
          <w:numId w:val="14"/>
        </w:numPr>
        <w:spacing w:beforeLines="50" w:line="360" w:lineRule="auto"/>
        <w:ind w:left="480" w:hanging="480" w:hangingChars="200"/>
        <w:jc w:val="left"/>
        <w:rPr>
          <w:rFonts w:ascii="宋体" w:hAnsi="宋体"/>
          <w:kern w:val="58"/>
          <w:sz w:val="24"/>
          <w:szCs w:val="20"/>
        </w:rPr>
      </w:pPr>
      <w:r>
        <w:rPr>
          <w:rFonts w:hint="eastAsia" w:ascii="宋体" w:hAnsi="宋体"/>
          <w:kern w:val="58"/>
          <w:sz w:val="24"/>
          <w:szCs w:val="20"/>
        </w:rPr>
        <w:t>本比选文件并未充分引用有关条文和标准规范，提出的是最基本的技术要求，比选申请人应提供符合本项目规格参数需求和工业制造标准、优质的市场已有的成熟产品，以满足使用可靠、技术先进、操作简单、维护方便的要求；除非比选发起人主动提出，比选发起人不接受任何形式的改装或定制类产品。</w:t>
      </w:r>
    </w:p>
    <w:p>
      <w:pPr>
        <w:pStyle w:val="47"/>
        <w:numPr>
          <w:ilvl w:val="0"/>
          <w:numId w:val="14"/>
        </w:numPr>
        <w:spacing w:beforeLines="50" w:line="360" w:lineRule="auto"/>
        <w:ind w:firstLineChars="0"/>
        <w:jc w:val="left"/>
        <w:rPr>
          <w:rFonts w:ascii="宋体" w:hAnsi="宋体"/>
          <w:kern w:val="58"/>
          <w:sz w:val="24"/>
          <w:szCs w:val="20"/>
        </w:rPr>
      </w:pPr>
      <w:r>
        <w:rPr>
          <w:rFonts w:hint="eastAsia" w:ascii="宋体" w:hAnsi="宋体"/>
          <w:kern w:val="58"/>
          <w:sz w:val="24"/>
          <w:szCs w:val="20"/>
        </w:rPr>
        <w:t>比选申请人所报货物的规格参数需与“技术需求及数量表”中的要求完全相符，所报货物的性能参数须等同于或优于“技术需求及数量表”中的要求，所报货物品牌须等同于或优于参考品牌。</w:t>
      </w:r>
    </w:p>
    <w:p>
      <w:pPr>
        <w:pStyle w:val="47"/>
        <w:numPr>
          <w:ilvl w:val="0"/>
          <w:numId w:val="14"/>
        </w:numPr>
        <w:spacing w:beforeLines="50" w:line="360" w:lineRule="auto"/>
        <w:ind w:firstLineChars="0"/>
        <w:jc w:val="left"/>
        <w:rPr>
          <w:rFonts w:ascii="宋体" w:hAnsi="宋体"/>
          <w:kern w:val="58"/>
          <w:sz w:val="24"/>
          <w:szCs w:val="20"/>
        </w:rPr>
      </w:pPr>
      <w:r>
        <w:rPr>
          <w:rFonts w:hint="eastAsia" w:ascii="宋体" w:hAnsi="宋体"/>
          <w:kern w:val="58"/>
          <w:sz w:val="24"/>
          <w:szCs w:val="20"/>
        </w:rPr>
        <w:t>性能参数、参考品牌如有偏离，比选申请人应在比选申请文件的技术部分加以详细描述，并提供相关资料（产品合格证、产品性能参数说明书、行业权威部门出具的检测报告及其他可提供的说明资料），并经比选评审小组评审通过认可其产品及资料；如若</w:t>
      </w:r>
      <w:r>
        <w:rPr>
          <w:rFonts w:ascii="宋体" w:hAnsi="宋体"/>
          <w:kern w:val="58"/>
          <w:sz w:val="24"/>
          <w:szCs w:val="20"/>
        </w:rPr>
        <w:t>中选</w:t>
      </w:r>
      <w:r>
        <w:rPr>
          <w:rFonts w:hint="eastAsia" w:ascii="宋体" w:hAnsi="宋体"/>
          <w:kern w:val="58"/>
          <w:sz w:val="24"/>
          <w:szCs w:val="20"/>
        </w:rPr>
        <w:t>，比选发起人在价格不变的基础上有权要求比选申请人按比选文件参考品牌供货。</w:t>
      </w:r>
    </w:p>
    <w:p>
      <w:pPr>
        <w:pStyle w:val="47"/>
        <w:numPr>
          <w:ilvl w:val="0"/>
          <w:numId w:val="14"/>
        </w:numPr>
        <w:spacing w:beforeLines="50" w:line="360" w:lineRule="auto"/>
        <w:ind w:left="480" w:hanging="480" w:hangingChars="200"/>
        <w:jc w:val="left"/>
        <w:rPr>
          <w:rFonts w:ascii="宋体" w:hAnsi="宋体"/>
          <w:kern w:val="58"/>
          <w:sz w:val="24"/>
          <w:szCs w:val="20"/>
        </w:rPr>
      </w:pPr>
      <w:r>
        <w:rPr>
          <w:rFonts w:hint="eastAsia" w:ascii="宋体" w:hAnsi="宋体"/>
          <w:kern w:val="58"/>
          <w:sz w:val="24"/>
          <w:szCs w:val="20"/>
        </w:rPr>
        <w:t>本比选文件所使用的标准如与比选申请人所执行的标准发生矛盾时，按较高标准执行，同时比选申请人应在比选申请文件中加以注明，并附上引用较高标准造成成本及报价差异说明。</w:t>
      </w:r>
      <w:bookmarkStart w:id="149" w:name="_Toc392862508"/>
      <w:r>
        <w:rPr>
          <w:rFonts w:ascii="宋体" w:hAnsi="宋体"/>
          <w:b/>
          <w:kern w:val="58"/>
          <w:sz w:val="24"/>
          <w:szCs w:val="20"/>
        </w:rPr>
        <w:br w:type="page"/>
      </w:r>
    </w:p>
    <w:p>
      <w:pPr>
        <w:pStyle w:val="32"/>
        <w:numPr>
          <w:ilvl w:val="0"/>
          <w:numId w:val="2"/>
        </w:numPr>
        <w:spacing w:before="100" w:beforeAutospacing="1" w:after="0"/>
        <w:rPr>
          <w:sz w:val="24"/>
        </w:rPr>
      </w:pPr>
      <w:bookmarkStart w:id="150" w:name="_Ref483054490"/>
      <w:bookmarkStart w:id="151" w:name="_Toc27366"/>
      <w:bookmarkStart w:id="152" w:name="_Toc437544531"/>
      <w:bookmarkStart w:id="153" w:name="_Ref483054481"/>
      <w:bookmarkStart w:id="154" w:name="_Toc437544686"/>
      <w:r>
        <w:rPr>
          <w:rFonts w:hint="eastAsia"/>
          <w:sz w:val="24"/>
        </w:rPr>
        <w:t>评审细则</w:t>
      </w:r>
      <w:bookmarkEnd w:id="149"/>
      <w:bookmarkEnd w:id="150"/>
      <w:bookmarkEnd w:id="151"/>
      <w:bookmarkEnd w:id="152"/>
      <w:bookmarkEnd w:id="153"/>
      <w:bookmarkEnd w:id="154"/>
    </w:p>
    <w:p>
      <w:pPr>
        <w:pStyle w:val="47"/>
        <w:numPr>
          <w:ilvl w:val="0"/>
          <w:numId w:val="15"/>
        </w:numPr>
        <w:autoSpaceDE w:val="0"/>
        <w:autoSpaceDN w:val="0"/>
        <w:adjustRightInd w:val="0"/>
        <w:spacing w:beforeLines="50" w:line="400" w:lineRule="exact"/>
        <w:ind w:firstLineChars="0"/>
        <w:rPr>
          <w:rFonts w:ascii="宋体" w:hAnsi="宋体"/>
          <w:kern w:val="0"/>
          <w:sz w:val="24"/>
        </w:rPr>
      </w:pPr>
      <w:r>
        <w:rPr>
          <w:rFonts w:hint="eastAsia" w:ascii="宋体" w:hAnsi="宋体"/>
          <w:kern w:val="0"/>
          <w:sz w:val="24"/>
        </w:rPr>
        <w:t>资格评审：评审小组按照比选文件的要求，对比选申请文件进行资格审查；只有通过资格审查的方可进入技术评审。</w:t>
      </w:r>
    </w:p>
    <w:p>
      <w:pPr>
        <w:pStyle w:val="47"/>
        <w:numPr>
          <w:ilvl w:val="0"/>
          <w:numId w:val="15"/>
        </w:numPr>
        <w:autoSpaceDE w:val="0"/>
        <w:autoSpaceDN w:val="0"/>
        <w:adjustRightInd w:val="0"/>
        <w:spacing w:beforeLines="50" w:line="400" w:lineRule="exact"/>
        <w:ind w:left="480" w:hanging="480" w:hangingChars="200"/>
        <w:rPr>
          <w:rFonts w:ascii="宋体" w:hAnsi="宋体"/>
          <w:kern w:val="0"/>
          <w:sz w:val="24"/>
        </w:rPr>
      </w:pPr>
      <w:r>
        <w:rPr>
          <w:rFonts w:hint="eastAsia" w:ascii="宋体" w:hAnsi="宋体"/>
          <w:kern w:val="0"/>
          <w:sz w:val="24"/>
        </w:rPr>
        <w:t>技术评审：评审小组按照比选文件的要求，对比选申请文件的技术内容进行评审；只有通过技术评审的方可进入商务评审。</w:t>
      </w:r>
    </w:p>
    <w:p>
      <w:pPr>
        <w:pStyle w:val="47"/>
        <w:numPr>
          <w:ilvl w:val="0"/>
          <w:numId w:val="15"/>
        </w:numPr>
        <w:autoSpaceDE w:val="0"/>
        <w:autoSpaceDN w:val="0"/>
        <w:adjustRightInd w:val="0"/>
        <w:spacing w:beforeLines="50" w:line="400" w:lineRule="exact"/>
        <w:ind w:firstLineChars="0"/>
        <w:rPr>
          <w:rFonts w:ascii="宋体" w:hAnsi="宋体"/>
          <w:kern w:val="0"/>
          <w:sz w:val="24"/>
        </w:rPr>
      </w:pPr>
      <w:r>
        <w:rPr>
          <w:rFonts w:hint="eastAsia" w:ascii="宋体" w:hAnsi="宋体"/>
          <w:kern w:val="0"/>
          <w:sz w:val="24"/>
        </w:rPr>
        <w:t>商务评审：商务评审以评审价格为依据，评审价格在比选申请文件《商务部分》报价（即“商务报价”）的基础上按下列规则修正。</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若</w:t>
      </w:r>
      <w:r>
        <w:rPr>
          <w:rFonts w:ascii="宋体" w:hAnsi="宋体"/>
          <w:kern w:val="0"/>
          <w:sz w:val="24"/>
        </w:rPr>
        <w:t>数字表示的</w:t>
      </w:r>
      <w:r>
        <w:rPr>
          <w:rFonts w:hint="eastAsia" w:ascii="宋体" w:hAnsi="宋体"/>
          <w:kern w:val="0"/>
          <w:sz w:val="24"/>
        </w:rPr>
        <w:t>数值与</w:t>
      </w:r>
      <w:r>
        <w:rPr>
          <w:rFonts w:ascii="宋体" w:hAnsi="宋体"/>
          <w:kern w:val="0"/>
          <w:sz w:val="24"/>
        </w:rPr>
        <w:t>用文字表示的</w:t>
      </w:r>
      <w:r>
        <w:rPr>
          <w:rFonts w:hint="eastAsia" w:ascii="宋体" w:hAnsi="宋体"/>
          <w:kern w:val="0"/>
          <w:sz w:val="24"/>
        </w:rPr>
        <w:t>数值</w:t>
      </w:r>
      <w:r>
        <w:rPr>
          <w:rFonts w:ascii="宋体" w:hAnsi="宋体"/>
          <w:kern w:val="0"/>
          <w:sz w:val="24"/>
        </w:rPr>
        <w:t>不一致，以文字表示的</w:t>
      </w:r>
      <w:r>
        <w:rPr>
          <w:rFonts w:hint="eastAsia" w:ascii="宋体" w:hAnsi="宋体"/>
          <w:kern w:val="0"/>
          <w:sz w:val="24"/>
        </w:rPr>
        <w:t>数值</w:t>
      </w:r>
      <w:r>
        <w:rPr>
          <w:rFonts w:ascii="宋体" w:hAnsi="宋体"/>
          <w:kern w:val="0"/>
          <w:sz w:val="24"/>
        </w:rPr>
        <w:t>为准</w:t>
      </w:r>
      <w:r>
        <w:rPr>
          <w:rFonts w:hint="eastAsia" w:ascii="宋体" w:hAnsi="宋体"/>
          <w:kern w:val="0"/>
          <w:sz w:val="24"/>
        </w:rPr>
        <w:t>；</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若</w:t>
      </w:r>
      <w:r>
        <w:rPr>
          <w:rFonts w:ascii="宋体" w:hAnsi="宋体"/>
          <w:kern w:val="0"/>
          <w:sz w:val="24"/>
        </w:rPr>
        <w:t>单价与数量的乘积与合价不一致，以</w:t>
      </w:r>
      <w:r>
        <w:rPr>
          <w:rFonts w:hint="eastAsia" w:ascii="宋体" w:hAnsi="宋体"/>
          <w:kern w:val="0"/>
          <w:sz w:val="24"/>
        </w:rPr>
        <w:t>单价为准修改</w:t>
      </w:r>
      <w:r>
        <w:rPr>
          <w:rFonts w:ascii="宋体" w:hAnsi="宋体"/>
          <w:kern w:val="0"/>
          <w:sz w:val="24"/>
        </w:rPr>
        <w:t>合价</w:t>
      </w:r>
      <w:r>
        <w:rPr>
          <w:rFonts w:hint="eastAsia" w:ascii="宋体" w:hAnsi="宋体"/>
          <w:kern w:val="0"/>
          <w:sz w:val="24"/>
        </w:rPr>
        <w:t>，但单价金额小数点有明显错误的除外</w:t>
      </w:r>
      <w:r>
        <w:rPr>
          <w:rFonts w:ascii="宋体" w:hAnsi="宋体"/>
          <w:kern w:val="0"/>
          <w:sz w:val="24"/>
        </w:rPr>
        <w:t>；</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若以</w:t>
      </w:r>
      <w:r>
        <w:rPr>
          <w:rFonts w:ascii="宋体" w:hAnsi="宋体"/>
          <w:kern w:val="0"/>
          <w:sz w:val="24"/>
        </w:rPr>
        <w:t>合价</w:t>
      </w:r>
      <w:r>
        <w:rPr>
          <w:rFonts w:hint="eastAsia" w:ascii="宋体" w:hAnsi="宋体"/>
          <w:kern w:val="0"/>
          <w:sz w:val="24"/>
        </w:rPr>
        <w:t>计算的结果</w:t>
      </w:r>
      <w:r>
        <w:rPr>
          <w:rFonts w:ascii="宋体" w:hAnsi="宋体"/>
          <w:kern w:val="0"/>
          <w:sz w:val="24"/>
        </w:rPr>
        <w:t>与</w:t>
      </w:r>
      <w:r>
        <w:rPr>
          <w:rFonts w:hint="eastAsia" w:ascii="宋体" w:hAnsi="宋体"/>
          <w:kern w:val="0"/>
          <w:sz w:val="24"/>
        </w:rPr>
        <w:t>总价</w:t>
      </w:r>
      <w:r>
        <w:rPr>
          <w:rFonts w:ascii="宋体" w:hAnsi="宋体"/>
          <w:kern w:val="0"/>
          <w:sz w:val="24"/>
        </w:rPr>
        <w:t>不一致，以</w:t>
      </w:r>
      <w:r>
        <w:rPr>
          <w:rFonts w:hint="eastAsia" w:ascii="宋体" w:hAnsi="宋体"/>
          <w:kern w:val="0"/>
          <w:sz w:val="24"/>
        </w:rPr>
        <w:t>合价为准修改总价；</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漏项报价视为已包含在总价，不能修改单价、数量及合价等内容；</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修正后的总价若高于商务报价，则评审价以修正后的总价为准，中选价以商务报价为准；修正后的总价若低于商务报价，则评审价以商务报价为准，中选价以修正后的总价为准；</w:t>
      </w:r>
    </w:p>
    <w:p>
      <w:pPr>
        <w:pStyle w:val="47"/>
        <w:numPr>
          <w:ilvl w:val="1"/>
          <w:numId w:val="15"/>
        </w:numPr>
        <w:autoSpaceDE w:val="0"/>
        <w:autoSpaceDN w:val="0"/>
        <w:adjustRightInd w:val="0"/>
        <w:spacing w:beforeLines="50"/>
        <w:ind w:firstLineChars="0"/>
        <w:rPr>
          <w:rFonts w:ascii="宋体" w:hAnsi="宋体"/>
          <w:kern w:val="0"/>
          <w:sz w:val="24"/>
        </w:rPr>
      </w:pPr>
      <w:r>
        <w:rPr>
          <w:rFonts w:hint="eastAsia" w:ascii="宋体" w:hAnsi="宋体"/>
          <w:kern w:val="0"/>
          <w:sz w:val="24"/>
        </w:rPr>
        <w:t>比选申请人若不接受以上规则，则其商务报价按无效报价处理。</w:t>
      </w:r>
    </w:p>
    <w:p>
      <w:pPr>
        <w:pStyle w:val="47"/>
        <w:numPr>
          <w:ilvl w:val="0"/>
          <w:numId w:val="15"/>
        </w:numPr>
        <w:autoSpaceDE w:val="0"/>
        <w:autoSpaceDN w:val="0"/>
        <w:adjustRightInd w:val="0"/>
        <w:spacing w:beforeLines="50" w:line="400" w:lineRule="exact"/>
        <w:ind w:left="480" w:hanging="480" w:hangingChars="200"/>
        <w:rPr>
          <w:rFonts w:ascii="宋体" w:hAnsi="宋体"/>
          <w:kern w:val="0"/>
          <w:sz w:val="24"/>
        </w:rPr>
      </w:pPr>
      <w:r>
        <w:rPr>
          <w:rFonts w:ascii="宋体" w:hAnsi="宋体"/>
          <w:kern w:val="0"/>
          <w:sz w:val="24"/>
        </w:rPr>
        <w:t>评</w:t>
      </w:r>
      <w:r>
        <w:rPr>
          <w:rFonts w:hint="eastAsia" w:ascii="宋体" w:hAnsi="宋体"/>
          <w:kern w:val="0"/>
          <w:sz w:val="24"/>
        </w:rPr>
        <w:t>审</w:t>
      </w:r>
      <w:r>
        <w:rPr>
          <w:rFonts w:ascii="宋体" w:hAnsi="宋体"/>
          <w:kern w:val="0"/>
          <w:sz w:val="24"/>
        </w:rPr>
        <w:t>期间不接受任何</w:t>
      </w:r>
      <w:r>
        <w:rPr>
          <w:rFonts w:hint="eastAsia" w:ascii="宋体" w:hAnsi="宋体"/>
          <w:kern w:val="0"/>
          <w:sz w:val="24"/>
        </w:rPr>
        <w:t>比选申请人</w:t>
      </w:r>
      <w:r>
        <w:rPr>
          <w:rFonts w:ascii="宋体" w:hAnsi="宋体"/>
          <w:kern w:val="0"/>
          <w:sz w:val="24"/>
        </w:rPr>
        <w:t>主动提出的对单价、合价</w:t>
      </w:r>
      <w:r>
        <w:rPr>
          <w:rFonts w:hint="eastAsia" w:ascii="宋体" w:hAnsi="宋体"/>
          <w:kern w:val="0"/>
          <w:sz w:val="24"/>
        </w:rPr>
        <w:t>及总价</w:t>
      </w:r>
      <w:r>
        <w:rPr>
          <w:rFonts w:ascii="宋体" w:hAnsi="宋体"/>
          <w:kern w:val="0"/>
          <w:sz w:val="24"/>
        </w:rPr>
        <w:t>的</w:t>
      </w:r>
      <w:r>
        <w:rPr>
          <w:rFonts w:hint="eastAsia" w:ascii="宋体" w:hAnsi="宋体"/>
          <w:kern w:val="0"/>
          <w:sz w:val="24"/>
        </w:rPr>
        <w:t>调</w:t>
      </w:r>
      <w:r>
        <w:rPr>
          <w:rFonts w:ascii="宋体" w:hAnsi="宋体"/>
          <w:kern w:val="0"/>
          <w:sz w:val="24"/>
        </w:rPr>
        <w:t>整</w:t>
      </w:r>
      <w:r>
        <w:rPr>
          <w:rFonts w:hint="eastAsia" w:ascii="宋体" w:hAnsi="宋体"/>
          <w:kern w:val="0"/>
          <w:sz w:val="24"/>
        </w:rPr>
        <w:t>。</w:t>
      </w:r>
    </w:p>
    <w:p>
      <w:pPr>
        <w:pStyle w:val="47"/>
        <w:numPr>
          <w:ilvl w:val="0"/>
          <w:numId w:val="15"/>
        </w:numPr>
        <w:autoSpaceDE w:val="0"/>
        <w:autoSpaceDN w:val="0"/>
        <w:adjustRightInd w:val="0"/>
        <w:spacing w:beforeLines="50" w:line="400" w:lineRule="exact"/>
        <w:ind w:left="480" w:hanging="480" w:hangingChars="200"/>
        <w:rPr>
          <w:rFonts w:ascii="宋体" w:hAnsi="宋体"/>
          <w:kern w:val="0"/>
          <w:sz w:val="24"/>
        </w:rPr>
      </w:pPr>
      <w:r>
        <w:rPr>
          <w:rFonts w:hint="eastAsia" w:ascii="宋体" w:hAnsi="宋体"/>
          <w:kern w:val="0"/>
          <w:sz w:val="24"/>
        </w:rPr>
        <w:t>如比选申请文件中有含义不明确，对同类问题表达不一致，或有明显的文字、数字计算错误的，评审小组可要求比选申请人进行必要的澄清、说明或补正，并详细记录，但不得改变比选申请文件的实质内容。评审小组</w:t>
      </w:r>
      <w:r>
        <w:rPr>
          <w:rFonts w:ascii="宋体" w:hAnsi="宋体"/>
          <w:kern w:val="0"/>
          <w:sz w:val="24"/>
        </w:rPr>
        <w:t>对</w:t>
      </w:r>
      <w:r>
        <w:rPr>
          <w:rFonts w:hint="eastAsia" w:ascii="宋体" w:hAnsi="宋体"/>
          <w:kern w:val="0"/>
          <w:sz w:val="24"/>
        </w:rPr>
        <w:t>比选申请人</w:t>
      </w:r>
      <w:r>
        <w:rPr>
          <w:rFonts w:ascii="宋体" w:hAnsi="宋体"/>
          <w:kern w:val="0"/>
          <w:sz w:val="24"/>
        </w:rPr>
        <w:t>提交的澄清、说明或补正有疑问的，可以要求</w:t>
      </w:r>
      <w:r>
        <w:rPr>
          <w:rFonts w:hint="eastAsia" w:ascii="宋体" w:hAnsi="宋体"/>
          <w:kern w:val="0"/>
          <w:sz w:val="24"/>
        </w:rPr>
        <w:t>比选申请人</w:t>
      </w:r>
      <w:r>
        <w:rPr>
          <w:rFonts w:ascii="宋体" w:hAnsi="宋体"/>
          <w:kern w:val="0"/>
          <w:sz w:val="24"/>
        </w:rPr>
        <w:t>进一步澄清、说明或补正，直至满足</w:t>
      </w:r>
      <w:r>
        <w:rPr>
          <w:rFonts w:hint="eastAsia" w:ascii="宋体" w:hAnsi="宋体"/>
          <w:kern w:val="0"/>
          <w:sz w:val="24"/>
        </w:rPr>
        <w:t>评审小组</w:t>
      </w:r>
      <w:r>
        <w:rPr>
          <w:rFonts w:ascii="宋体" w:hAnsi="宋体"/>
          <w:kern w:val="0"/>
          <w:sz w:val="24"/>
        </w:rPr>
        <w:t>的要求。</w:t>
      </w:r>
      <w:r>
        <w:rPr>
          <w:rFonts w:hint="eastAsia" w:ascii="宋体" w:hAnsi="宋体"/>
          <w:kern w:val="0"/>
          <w:sz w:val="24"/>
        </w:rPr>
        <w:t>如</w:t>
      </w:r>
      <w:r>
        <w:rPr>
          <w:rFonts w:ascii="宋体" w:hAnsi="宋体"/>
          <w:kern w:val="0"/>
          <w:sz w:val="24"/>
        </w:rPr>
        <w:t>比选申请人拒绝接受</w:t>
      </w:r>
      <w:r>
        <w:rPr>
          <w:rFonts w:hint="eastAsia" w:ascii="宋体" w:hAnsi="宋体"/>
          <w:kern w:val="0"/>
          <w:sz w:val="24"/>
        </w:rPr>
        <w:t>或不能在评审小组规定的时间内接受</w:t>
      </w:r>
      <w:r>
        <w:rPr>
          <w:rFonts w:ascii="宋体" w:hAnsi="宋体"/>
          <w:kern w:val="0"/>
          <w:sz w:val="24"/>
        </w:rPr>
        <w:t>澄清、说明或补正，</w:t>
      </w:r>
      <w:r>
        <w:rPr>
          <w:rFonts w:hint="eastAsia" w:ascii="宋体" w:hAnsi="宋体"/>
          <w:kern w:val="0"/>
          <w:sz w:val="24"/>
        </w:rPr>
        <w:t>由评审小组做出处理意见。</w:t>
      </w:r>
    </w:p>
    <w:p>
      <w:pPr>
        <w:pStyle w:val="47"/>
        <w:numPr>
          <w:ilvl w:val="0"/>
          <w:numId w:val="15"/>
        </w:numPr>
        <w:autoSpaceDE w:val="0"/>
        <w:autoSpaceDN w:val="0"/>
        <w:adjustRightInd w:val="0"/>
        <w:spacing w:beforeLines="50" w:line="400" w:lineRule="exact"/>
        <w:ind w:left="480" w:hanging="480" w:hangingChars="200"/>
        <w:rPr>
          <w:rFonts w:ascii="宋体" w:hAnsi="宋体"/>
          <w:kern w:val="0"/>
          <w:sz w:val="24"/>
        </w:rPr>
      </w:pPr>
      <w:r>
        <w:rPr>
          <w:rFonts w:hint="eastAsia" w:ascii="宋体" w:hAnsi="宋体"/>
          <w:kern w:val="0"/>
          <w:sz w:val="24"/>
        </w:rPr>
        <w:t>评比办法：评审小组对通过资格、技术及商务评审的比选申请人的</w:t>
      </w:r>
      <w:r>
        <w:rPr>
          <w:rFonts w:hint="eastAsia" w:ascii="宋体" w:hAnsi="宋体"/>
          <w:color w:val="FF0000"/>
          <w:kern w:val="0"/>
          <w:sz w:val="24"/>
        </w:rPr>
        <w:t>总价（即</w:t>
      </w:r>
      <w:r>
        <w:rPr>
          <w:rFonts w:hint="eastAsia" w:ascii="宋体" w:hAnsi="宋体"/>
          <w:color w:val="FF0000"/>
          <w:kern w:val="0"/>
          <w:sz w:val="24"/>
          <w:lang w:eastAsia="zh-CN"/>
        </w:rPr>
        <w:t>不</w:t>
      </w:r>
      <w:r>
        <w:rPr>
          <w:rFonts w:hint="eastAsia" w:ascii="宋体" w:hAnsi="宋体"/>
          <w:color w:val="FF0000"/>
          <w:kern w:val="0"/>
          <w:sz w:val="24"/>
        </w:rPr>
        <w:t>含税总价）</w:t>
      </w:r>
      <w:r>
        <w:rPr>
          <w:rFonts w:hint="eastAsia" w:ascii="宋体" w:hAnsi="宋体"/>
          <w:kern w:val="0"/>
          <w:sz w:val="24"/>
        </w:rPr>
        <w:t>由低到高进行排序，总价最低的排名第一（总价相同时，交货期较短者排名在前；交货期也相同时，质保期较长者排名在前；质保期也相同时，性能参数较优者排名在前），以此类推，评审小组推荐排名第一的为中选供应商。</w:t>
      </w:r>
    </w:p>
    <w:p>
      <w:pPr>
        <w:pStyle w:val="47"/>
        <w:numPr>
          <w:ilvl w:val="0"/>
          <w:numId w:val="15"/>
        </w:numPr>
        <w:autoSpaceDE w:val="0"/>
        <w:autoSpaceDN w:val="0"/>
        <w:adjustRightInd w:val="0"/>
        <w:spacing w:beforeLines="50" w:line="400" w:lineRule="exact"/>
        <w:ind w:firstLineChars="0"/>
        <w:rPr>
          <w:rFonts w:ascii="宋体" w:hAnsi="宋体"/>
          <w:kern w:val="0"/>
          <w:sz w:val="24"/>
        </w:rPr>
      </w:pPr>
      <w:r>
        <w:rPr>
          <w:rFonts w:hint="eastAsia" w:ascii="宋体" w:hAnsi="宋体"/>
          <w:kern w:val="0"/>
          <w:sz w:val="24"/>
        </w:rPr>
        <w:t>其它未尽事宜，由评审小组审议确定；评审小组如意见不一致时，通过记名投票方式以少数服从多数原则确定。</w:t>
      </w:r>
    </w:p>
    <w:p>
      <w:pPr>
        <w:widowControl/>
        <w:jc w:val="left"/>
        <w:rPr>
          <w:rFonts w:ascii="宋体" w:hAnsi="宋体"/>
          <w:sz w:val="24"/>
          <w:szCs w:val="24"/>
        </w:rPr>
        <w:sectPr>
          <w:pgSz w:w="11906" w:h="16838"/>
          <w:pgMar w:top="1134" w:right="851" w:bottom="1134" w:left="1134" w:header="454" w:footer="567" w:gutter="0"/>
          <w:pgNumType w:chapStyle="1"/>
          <w:cols w:space="425" w:num="1"/>
          <w:docGrid w:linePitch="312" w:charSpace="0"/>
        </w:sectPr>
      </w:pPr>
      <w:bookmarkStart w:id="155" w:name="_Toc437544532"/>
      <w:bookmarkStart w:id="156" w:name="_Toc437544687"/>
      <w:bookmarkStart w:id="157" w:name="_Toc392862509"/>
      <w:r>
        <w:rPr>
          <w:rFonts w:asciiTheme="majorEastAsia" w:hAnsiTheme="majorEastAsia" w:eastAsiaTheme="majorEastAsia"/>
          <w:sz w:val="24"/>
        </w:rPr>
        <w:br w:type="page"/>
      </w:r>
    </w:p>
    <w:p>
      <w:pPr>
        <w:pStyle w:val="32"/>
        <w:numPr>
          <w:ilvl w:val="0"/>
          <w:numId w:val="2"/>
        </w:numPr>
        <w:spacing w:before="100" w:beforeAutospacing="1" w:after="0"/>
        <w:rPr>
          <w:sz w:val="24"/>
        </w:rPr>
      </w:pPr>
      <w:bookmarkStart w:id="158" w:name="_Toc32488"/>
      <w:bookmarkStart w:id="159" w:name="_Ref488050446"/>
      <w:r>
        <w:rPr>
          <w:rFonts w:hint="eastAsia"/>
          <w:sz w:val="24"/>
        </w:rPr>
        <w:t>合同正文（格式）</w:t>
      </w:r>
      <w:bookmarkEnd w:id="155"/>
      <w:bookmarkEnd w:id="156"/>
      <w:bookmarkEnd w:id="157"/>
      <w:bookmarkEnd w:id="158"/>
      <w:bookmarkEnd w:id="159"/>
    </w:p>
    <w:p>
      <w:pPr>
        <w:rPr>
          <w:lang w:val="zh-CN"/>
        </w:rPr>
      </w:pPr>
    </w:p>
    <w:tbl>
      <w:tblPr>
        <w:tblStyle w:val="35"/>
        <w:tblW w:w="101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kern w:val="0"/>
                <w:sz w:val="24"/>
              </w:rPr>
            </w:pPr>
            <w:r>
              <w:rPr>
                <w:rFonts w:hint="eastAsia" w:ascii="宋体" w:hAnsi="宋体"/>
                <w:kern w:val="0"/>
                <w:sz w:val="24"/>
              </w:rPr>
              <w:t>甲方：南宁轨道交通集团有限责任公司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7" w:hRule="atLeast"/>
        </w:trPr>
        <w:tc>
          <w:tcPr>
            <w:tcW w:w="10135" w:type="dxa"/>
            <w:vAlign w:val="center"/>
          </w:tcPr>
          <w:p>
            <w:pPr>
              <w:ind w:right="-86" w:rightChars="-41"/>
              <w:rPr>
                <w:rFonts w:ascii="宋体" w:hAnsi="宋体"/>
                <w:kern w:val="0"/>
                <w:sz w:val="24"/>
              </w:rPr>
            </w:pPr>
            <w:r>
              <w:rPr>
                <w:rFonts w:hint="eastAsia" w:ascii="宋体" w:hAnsi="宋体"/>
                <w:kern w:val="0"/>
                <w:sz w:val="24"/>
              </w:rPr>
              <w:t>乙方：</w:t>
            </w:r>
          </w:p>
        </w:tc>
      </w:tr>
    </w:tbl>
    <w:p>
      <w:pPr>
        <w:pStyle w:val="3"/>
        <w:numPr>
          <w:ilvl w:val="0"/>
          <w:numId w:val="16"/>
        </w:numPr>
        <w:spacing w:beforeLines="100" w:afterLines="50" w:line="240" w:lineRule="auto"/>
        <w:ind w:left="0" w:firstLine="0"/>
        <w:rPr>
          <w:sz w:val="24"/>
        </w:rPr>
      </w:pPr>
      <w:bookmarkStart w:id="160" w:name="_Toc369786982"/>
      <w:bookmarkStart w:id="161" w:name="_Toc437544533"/>
      <w:bookmarkStart w:id="162" w:name="_Toc13887"/>
      <w:r>
        <w:rPr>
          <w:rFonts w:hint="eastAsia"/>
          <w:sz w:val="24"/>
        </w:rPr>
        <w:t>定义</w:t>
      </w:r>
      <w:bookmarkEnd w:id="160"/>
      <w:r>
        <w:rPr>
          <w:rFonts w:hint="eastAsia"/>
          <w:sz w:val="24"/>
        </w:rPr>
        <w:t>和法律</w:t>
      </w:r>
      <w:bookmarkEnd w:id="161"/>
      <w:bookmarkEnd w:id="162"/>
    </w:p>
    <w:p>
      <w:pPr>
        <w:pStyle w:val="47"/>
        <w:numPr>
          <w:ilvl w:val="1"/>
          <w:numId w:val="17"/>
        </w:numPr>
        <w:spacing w:beforeLines="50" w:afterLines="50"/>
        <w:ind w:firstLineChars="0"/>
        <w:rPr>
          <w:sz w:val="24"/>
        </w:rPr>
      </w:pPr>
      <w:r>
        <w:rPr>
          <w:rFonts w:hint="eastAsia"/>
          <w:sz w:val="24"/>
        </w:rPr>
        <w:t>“合同”系指甲方和乙方已签署的协议，即由双方签订的合同格式中的文件，包括所有的附件、附录和组成合同部分的所有其它文件。</w:t>
      </w:r>
    </w:p>
    <w:p>
      <w:pPr>
        <w:pStyle w:val="47"/>
        <w:numPr>
          <w:ilvl w:val="1"/>
          <w:numId w:val="17"/>
        </w:numPr>
        <w:spacing w:beforeLines="50" w:afterLines="50"/>
        <w:ind w:left="600" w:hanging="600" w:hangingChars="250"/>
        <w:rPr>
          <w:sz w:val="24"/>
        </w:rPr>
      </w:pPr>
      <w:r>
        <w:rPr>
          <w:rFonts w:hint="eastAsia"/>
          <w:sz w:val="24"/>
        </w:rPr>
        <w:t>“货物”系指乙方按合同要求，须向甲方提供的一切设备、机械、器具、耗材、备品备件、工具、手册及其它技术资料和其它材料等。</w:t>
      </w:r>
    </w:p>
    <w:p>
      <w:pPr>
        <w:pStyle w:val="47"/>
        <w:numPr>
          <w:ilvl w:val="1"/>
          <w:numId w:val="17"/>
        </w:numPr>
        <w:spacing w:beforeLines="50" w:afterLines="50"/>
        <w:ind w:left="600" w:hanging="600" w:hangingChars="250"/>
        <w:rPr>
          <w:sz w:val="24"/>
        </w:rPr>
      </w:pPr>
      <w:r>
        <w:rPr>
          <w:rFonts w:hint="eastAsia"/>
          <w:sz w:val="24"/>
        </w:rPr>
        <w:t>“服务”系指合同规定乙方须承担与货物相关的服务，包括但不限于安装或安装指导、调试、技术协助、校准、培训以及其它乙方应承担的义务。</w:t>
      </w:r>
    </w:p>
    <w:p>
      <w:pPr>
        <w:pStyle w:val="47"/>
        <w:numPr>
          <w:ilvl w:val="1"/>
          <w:numId w:val="17"/>
        </w:numPr>
        <w:spacing w:beforeLines="50" w:afterLines="50"/>
        <w:ind w:left="600" w:hanging="600" w:hangingChars="250"/>
        <w:rPr>
          <w:sz w:val="24"/>
        </w:rPr>
      </w:pPr>
      <w:r>
        <w:rPr>
          <w:rFonts w:hint="eastAsia"/>
          <w:sz w:val="24"/>
        </w:rPr>
        <w:t>“现场”系指合同项下货物仓储、存放、安装或安装指导、调试、运行的现场。</w:t>
      </w:r>
    </w:p>
    <w:p>
      <w:pPr>
        <w:pStyle w:val="47"/>
        <w:numPr>
          <w:ilvl w:val="1"/>
          <w:numId w:val="17"/>
        </w:numPr>
        <w:spacing w:beforeLines="50" w:afterLines="50"/>
        <w:ind w:left="600" w:hanging="600" w:hangingChars="250"/>
        <w:rPr>
          <w:sz w:val="24"/>
        </w:rPr>
      </w:pPr>
      <w:r>
        <w:rPr>
          <w:rFonts w:hint="eastAsia"/>
          <w:sz w:val="24"/>
        </w:rPr>
        <w:t>“验收”系指甲方依据本合同规定接收货物所依据的程序和条件。</w:t>
      </w:r>
    </w:p>
    <w:p>
      <w:pPr>
        <w:pStyle w:val="47"/>
        <w:numPr>
          <w:ilvl w:val="1"/>
          <w:numId w:val="17"/>
        </w:numPr>
        <w:spacing w:beforeLines="50" w:afterLines="50"/>
        <w:ind w:left="600" w:hanging="600" w:hangingChars="250"/>
        <w:rPr>
          <w:sz w:val="24"/>
        </w:rPr>
      </w:pPr>
      <w:r>
        <w:rPr>
          <w:rFonts w:hint="eastAsia"/>
          <w:sz w:val="24"/>
        </w:rPr>
        <w:t>“1号线”系指南宁轨道交通集团有限责任公司。</w:t>
      </w:r>
    </w:p>
    <w:p>
      <w:pPr>
        <w:pStyle w:val="47"/>
        <w:numPr>
          <w:ilvl w:val="1"/>
          <w:numId w:val="17"/>
        </w:numPr>
        <w:spacing w:beforeLines="50" w:afterLines="50"/>
        <w:ind w:left="600" w:hanging="600" w:hangingChars="250"/>
        <w:rPr>
          <w:sz w:val="24"/>
        </w:rPr>
      </w:pPr>
      <w:r>
        <w:rPr>
          <w:rFonts w:hint="eastAsia"/>
          <w:sz w:val="24"/>
        </w:rPr>
        <w:t>“2号线”系指南宁轨道交通二号线建设有限公司。</w:t>
      </w:r>
    </w:p>
    <w:p>
      <w:pPr>
        <w:pStyle w:val="47"/>
        <w:numPr>
          <w:ilvl w:val="1"/>
          <w:numId w:val="17"/>
        </w:numPr>
        <w:spacing w:beforeLines="50" w:afterLines="50"/>
        <w:ind w:left="600" w:hanging="600" w:hangingChars="250"/>
        <w:rPr>
          <w:sz w:val="24"/>
        </w:rPr>
      </w:pPr>
      <w:r>
        <w:rPr>
          <w:rFonts w:hint="eastAsia"/>
          <w:sz w:val="24"/>
        </w:rPr>
        <w:t>本合同适用的是中国的法律、法规，及部门规章、项目所在地的地方法规、地方规章。</w:t>
      </w:r>
    </w:p>
    <w:p>
      <w:pPr>
        <w:pStyle w:val="3"/>
        <w:numPr>
          <w:ilvl w:val="0"/>
          <w:numId w:val="16"/>
        </w:numPr>
        <w:spacing w:beforeLines="100" w:afterLines="50" w:line="240" w:lineRule="auto"/>
        <w:ind w:left="0" w:firstLine="0"/>
        <w:rPr>
          <w:sz w:val="24"/>
        </w:rPr>
      </w:pPr>
      <w:bookmarkStart w:id="163" w:name="_Toc437544534"/>
      <w:bookmarkStart w:id="164" w:name="_Toc369786983"/>
      <w:bookmarkStart w:id="165" w:name="_Toc21840"/>
      <w:r>
        <w:rPr>
          <w:rFonts w:hint="eastAsia"/>
          <w:sz w:val="24"/>
        </w:rPr>
        <w:t>合同标的</w:t>
      </w:r>
      <w:bookmarkEnd w:id="163"/>
      <w:bookmarkEnd w:id="164"/>
      <w:bookmarkEnd w:id="165"/>
    </w:p>
    <w:p>
      <w:pPr>
        <w:pStyle w:val="47"/>
        <w:numPr>
          <w:ilvl w:val="1"/>
          <w:numId w:val="16"/>
        </w:numPr>
        <w:spacing w:beforeLines="50" w:afterLines="50"/>
        <w:ind w:firstLineChars="0"/>
        <w:rPr>
          <w:sz w:val="24"/>
        </w:rPr>
      </w:pPr>
      <w:r>
        <w:rPr>
          <w:rFonts w:hint="eastAsia"/>
          <w:sz w:val="24"/>
        </w:rPr>
        <w:t>本次合同的标的为南宁轨道交通集团有限公司运营分公司</w:t>
      </w:r>
      <w:r>
        <w:rPr>
          <w:rFonts w:hint="eastAsia" w:cs="宋体" w:asciiTheme="minorEastAsia" w:hAnsiTheme="minorEastAsia"/>
          <w:kern w:val="0"/>
          <w:sz w:val="24"/>
          <w:szCs w:val="24"/>
        </w:rPr>
        <w:t>屯里车辆段维修中心党总支等5个“党建示范基地”物资采购项目</w:t>
      </w:r>
      <w:r>
        <w:rPr>
          <w:rFonts w:hint="eastAsia"/>
          <w:sz w:val="24"/>
        </w:rPr>
        <w:t>的供货及质保期保障等相关服务，供货范围、数量及详细分项报价等见附件</w:t>
      </w:r>
      <w:r>
        <w:rPr>
          <w:rFonts w:hint="eastAsia" w:ascii="宋体" w:hAnsi="宋体"/>
          <w:sz w:val="24"/>
        </w:rPr>
        <w:t>(一)</w:t>
      </w:r>
      <w:r>
        <w:rPr>
          <w:rFonts w:hint="eastAsia"/>
          <w:sz w:val="24"/>
        </w:rPr>
        <w:t>：《分项报价表》。</w:t>
      </w:r>
    </w:p>
    <w:p>
      <w:pPr>
        <w:pStyle w:val="47"/>
        <w:numPr>
          <w:ilvl w:val="1"/>
          <w:numId w:val="16"/>
        </w:numPr>
        <w:spacing w:beforeLines="50" w:afterLines="50"/>
        <w:ind w:left="600" w:hanging="600" w:hangingChars="250"/>
        <w:rPr>
          <w:sz w:val="24"/>
        </w:rPr>
      </w:pPr>
      <w:r>
        <w:rPr>
          <w:rFonts w:hint="eastAsia"/>
          <w:sz w:val="24"/>
        </w:rPr>
        <w:t>乙方提供的所有货物及服务内容必须完全满足合同的要求。</w:t>
      </w:r>
    </w:p>
    <w:p>
      <w:pPr>
        <w:pStyle w:val="3"/>
        <w:numPr>
          <w:ilvl w:val="0"/>
          <w:numId w:val="16"/>
        </w:numPr>
        <w:spacing w:beforeLines="100" w:afterLines="50" w:line="240" w:lineRule="auto"/>
        <w:ind w:left="0" w:firstLine="0"/>
        <w:rPr>
          <w:sz w:val="24"/>
        </w:rPr>
      </w:pPr>
      <w:bookmarkStart w:id="166" w:name="_Toc2893"/>
      <w:bookmarkStart w:id="167" w:name="_Toc369786984"/>
      <w:bookmarkStart w:id="168" w:name="_Toc437544535"/>
      <w:r>
        <w:rPr>
          <w:rFonts w:hint="eastAsia"/>
          <w:sz w:val="24"/>
        </w:rPr>
        <w:t>合同价格</w:t>
      </w:r>
      <w:bookmarkEnd w:id="166"/>
      <w:bookmarkEnd w:id="167"/>
      <w:bookmarkEnd w:id="168"/>
    </w:p>
    <w:p>
      <w:pPr>
        <w:pStyle w:val="47"/>
        <w:numPr>
          <w:ilvl w:val="1"/>
          <w:numId w:val="16"/>
        </w:numPr>
        <w:spacing w:beforeLines="50" w:afterLines="50"/>
        <w:ind w:firstLineChars="0"/>
        <w:rPr>
          <w:sz w:val="24"/>
        </w:rPr>
      </w:pPr>
      <w:bookmarkStart w:id="169" w:name="_Toc437545048"/>
      <w:bookmarkEnd w:id="169"/>
      <w:bookmarkStart w:id="170" w:name="_Toc437544880"/>
      <w:bookmarkEnd w:id="170"/>
      <w:bookmarkStart w:id="171" w:name="_Toc437544763"/>
      <w:bookmarkEnd w:id="171"/>
      <w:bookmarkStart w:id="172" w:name="_Toc437544169"/>
      <w:bookmarkEnd w:id="172"/>
      <w:bookmarkStart w:id="173" w:name="_Toc437545089"/>
      <w:bookmarkEnd w:id="173"/>
      <w:bookmarkStart w:id="174" w:name="_Toc437544536"/>
      <w:bookmarkEnd w:id="174"/>
      <w:r>
        <w:rPr>
          <w:rFonts w:hint="eastAsia"/>
          <w:sz w:val="24"/>
        </w:rPr>
        <w:t>本合同</w:t>
      </w:r>
      <w:r>
        <w:rPr>
          <w:rFonts w:hint="eastAsia"/>
          <w:sz w:val="24"/>
          <w:lang w:eastAsia="zh-CN"/>
        </w:rPr>
        <w:t>不含税</w:t>
      </w:r>
      <w:r>
        <w:rPr>
          <w:rFonts w:hint="eastAsia"/>
          <w:sz w:val="24"/>
        </w:rPr>
        <w:t>总价格为人民币：（大写）XXX 元（￥XXX.XX）</w:t>
      </w:r>
      <w:r>
        <w:rPr>
          <w:rFonts w:hint="eastAsia"/>
          <w:sz w:val="24"/>
          <w:lang w:eastAsia="zh-CN"/>
        </w:rPr>
        <w:t>，含税总价格为人民币</w:t>
      </w:r>
      <w:r>
        <w:rPr>
          <w:rFonts w:hint="eastAsia"/>
          <w:sz w:val="24"/>
        </w:rPr>
        <w:t>（大写）XXX 元（￥XXX.XX）</w:t>
      </w:r>
      <w:r>
        <w:rPr>
          <w:rFonts w:hint="eastAsia"/>
          <w:sz w:val="24"/>
          <w:lang w:eastAsia="zh-CN"/>
        </w:rPr>
        <w:t>，税率</w:t>
      </w:r>
      <w:r>
        <w:rPr>
          <w:rFonts w:hint="eastAsia"/>
          <w:sz w:val="24"/>
          <w:lang w:val="en-US" w:eastAsia="zh-CN"/>
        </w:rPr>
        <w:t>#%</w:t>
      </w:r>
      <w:r>
        <w:rPr>
          <w:rFonts w:hint="eastAsia"/>
          <w:sz w:val="24"/>
        </w:rPr>
        <w:t>。其中1号线</w:t>
      </w:r>
      <w:r>
        <w:rPr>
          <w:rFonts w:hint="eastAsia"/>
          <w:sz w:val="24"/>
          <w:lang w:eastAsia="zh-CN"/>
        </w:rPr>
        <w:t>不含税</w:t>
      </w:r>
      <w:r>
        <w:rPr>
          <w:rFonts w:hint="eastAsia"/>
          <w:sz w:val="24"/>
        </w:rPr>
        <w:t>货物总价格为人民币：（大写）XXX 元（￥XXX.XX）</w:t>
      </w:r>
      <w:r>
        <w:rPr>
          <w:rFonts w:hint="eastAsia"/>
          <w:sz w:val="24"/>
          <w:lang w:eastAsia="zh-CN"/>
        </w:rPr>
        <w:t>，含税总价格为人民币</w:t>
      </w:r>
      <w:r>
        <w:rPr>
          <w:rFonts w:hint="eastAsia"/>
          <w:sz w:val="24"/>
        </w:rPr>
        <w:t>（大写）XXX 元（￥XXX.XX）</w:t>
      </w:r>
      <w:r>
        <w:rPr>
          <w:rFonts w:hint="eastAsia"/>
          <w:sz w:val="24"/>
          <w:lang w:eastAsia="zh-CN"/>
        </w:rPr>
        <w:t>，税率</w:t>
      </w:r>
      <w:r>
        <w:rPr>
          <w:rFonts w:hint="eastAsia"/>
          <w:sz w:val="24"/>
          <w:lang w:val="en-US" w:eastAsia="zh-CN"/>
        </w:rPr>
        <w:t>#%</w:t>
      </w:r>
      <w:r>
        <w:rPr>
          <w:rFonts w:hint="eastAsia"/>
          <w:sz w:val="24"/>
          <w:lang w:eastAsia="zh-CN"/>
        </w:rPr>
        <w:t>；</w:t>
      </w:r>
      <w:r>
        <w:rPr>
          <w:rFonts w:hint="eastAsia"/>
          <w:sz w:val="24"/>
        </w:rPr>
        <w:t>2号线</w:t>
      </w:r>
      <w:r>
        <w:rPr>
          <w:rFonts w:hint="eastAsia"/>
          <w:sz w:val="24"/>
          <w:lang w:eastAsia="zh-CN"/>
        </w:rPr>
        <w:t>不含税</w:t>
      </w:r>
      <w:r>
        <w:rPr>
          <w:rFonts w:hint="eastAsia"/>
          <w:sz w:val="24"/>
        </w:rPr>
        <w:t>货物总价格为人民币：（大写）XXX 元（￥XXX.XX）</w:t>
      </w:r>
      <w:r>
        <w:rPr>
          <w:rFonts w:hint="eastAsia"/>
          <w:sz w:val="24"/>
          <w:lang w:eastAsia="zh-CN"/>
        </w:rPr>
        <w:t>，税率</w:t>
      </w:r>
      <w:r>
        <w:rPr>
          <w:rFonts w:hint="eastAsia"/>
          <w:sz w:val="24"/>
          <w:lang w:val="en-US" w:eastAsia="zh-CN"/>
        </w:rPr>
        <w:t>#%</w:t>
      </w:r>
      <w:r>
        <w:rPr>
          <w:rFonts w:hint="eastAsia"/>
          <w:sz w:val="24"/>
        </w:rPr>
        <w:t>。</w:t>
      </w:r>
    </w:p>
    <w:p>
      <w:pPr>
        <w:pStyle w:val="47"/>
        <w:numPr>
          <w:ilvl w:val="1"/>
          <w:numId w:val="16"/>
        </w:numPr>
        <w:spacing w:beforeLines="50" w:afterLines="50"/>
        <w:ind w:left="600" w:hanging="600" w:hangingChars="250"/>
        <w:rPr>
          <w:sz w:val="24"/>
        </w:rPr>
      </w:pPr>
      <w:r>
        <w:rPr>
          <w:rFonts w:hint="eastAsia"/>
          <w:sz w:val="24"/>
        </w:rPr>
        <w:t>本合同约定的货物单价为固定单价，在合同执行期间不受任何其他因素（汇率浮动、物价指数浮动、甲方调整采购数量等）影响。供货期内的报价有效期至交货后验收合格之日起1年内有效。</w:t>
      </w:r>
    </w:p>
    <w:p>
      <w:pPr>
        <w:pStyle w:val="47"/>
        <w:numPr>
          <w:ilvl w:val="1"/>
          <w:numId w:val="16"/>
        </w:numPr>
        <w:spacing w:beforeLines="50" w:afterLines="50"/>
        <w:ind w:left="600" w:hanging="600" w:hangingChars="250"/>
        <w:rPr>
          <w:sz w:val="24"/>
        </w:rPr>
      </w:pPr>
      <w:r>
        <w:rPr>
          <w:rFonts w:hint="eastAsia"/>
          <w:sz w:val="24"/>
        </w:rPr>
        <w:t>本合同单价为货到现场价（含货物出厂价、包装、运输、保险、装卸、安装或安装指导、调试、验收、利润、培训及质保期维护等履行合同过程中产生的所有成本和费用以及乙方应承担的一切税费）。对于未填报单价的项目，甲方均认为已包含在合同价格内。</w:t>
      </w:r>
    </w:p>
    <w:p>
      <w:pPr>
        <w:pStyle w:val="47"/>
        <w:numPr>
          <w:ilvl w:val="1"/>
          <w:numId w:val="16"/>
        </w:numPr>
        <w:spacing w:beforeLines="50" w:afterLines="50"/>
        <w:ind w:left="600" w:hanging="600" w:hangingChars="250"/>
        <w:rPr>
          <w:sz w:val="24"/>
        </w:rPr>
      </w:pPr>
      <w:r>
        <w:rPr>
          <w:rFonts w:hint="eastAsia"/>
          <w:sz w:val="24"/>
        </w:rPr>
        <w:t>质保期内进行维修或更换的备品备件均由乙方提供，费用已含入合同价格内。</w:t>
      </w:r>
    </w:p>
    <w:p>
      <w:pPr>
        <w:pStyle w:val="47"/>
        <w:numPr>
          <w:ilvl w:val="1"/>
          <w:numId w:val="16"/>
        </w:numPr>
        <w:spacing w:beforeLines="50" w:afterLines="50"/>
        <w:ind w:left="602" w:hanging="602" w:hangingChars="250"/>
        <w:rPr>
          <w:b/>
          <w:sz w:val="24"/>
        </w:rPr>
      </w:pPr>
      <w:r>
        <w:rPr>
          <w:rFonts w:hint="eastAsia"/>
          <w:b/>
          <w:sz w:val="24"/>
        </w:rPr>
        <w:t>合同及附件中所列的数量为本次预计采购数量，如有调整以甲方发出的交货通知为准。甲方有权根据实际使用情况及需求变更情况对未交货产品数量进行部分或全部调整，包括增加或减少，不论实际数量大于或低于合同预计数量，均按照本合同约定的单价执行。</w:t>
      </w:r>
    </w:p>
    <w:p>
      <w:pPr>
        <w:pStyle w:val="3"/>
        <w:numPr>
          <w:ilvl w:val="0"/>
          <w:numId w:val="16"/>
        </w:numPr>
        <w:spacing w:beforeLines="100" w:afterLines="50" w:line="240" w:lineRule="auto"/>
        <w:ind w:left="0" w:firstLine="0"/>
        <w:rPr>
          <w:sz w:val="24"/>
        </w:rPr>
      </w:pPr>
      <w:bookmarkStart w:id="175" w:name="_Toc369786986"/>
      <w:bookmarkStart w:id="176" w:name="_Toc18553"/>
      <w:bookmarkStart w:id="177" w:name="_Toc437544539"/>
      <w:r>
        <w:rPr>
          <w:rFonts w:hint="eastAsia"/>
          <w:sz w:val="24"/>
        </w:rPr>
        <w:t>交货</w:t>
      </w:r>
      <w:bookmarkEnd w:id="175"/>
      <w:bookmarkEnd w:id="176"/>
      <w:bookmarkEnd w:id="177"/>
    </w:p>
    <w:p>
      <w:pPr>
        <w:pStyle w:val="47"/>
        <w:numPr>
          <w:ilvl w:val="1"/>
          <w:numId w:val="16"/>
        </w:numPr>
        <w:spacing w:beforeLines="50" w:afterLines="50"/>
        <w:ind w:firstLineChars="0"/>
        <w:rPr>
          <w:sz w:val="24"/>
        </w:rPr>
      </w:pPr>
      <w:r>
        <w:rPr>
          <w:rFonts w:hint="eastAsia"/>
          <w:sz w:val="24"/>
        </w:rPr>
        <w:t>交货期：45天（中选通知书发出后，按交货通知交货）。</w:t>
      </w:r>
    </w:p>
    <w:p>
      <w:pPr>
        <w:pStyle w:val="47"/>
        <w:numPr>
          <w:ilvl w:val="1"/>
          <w:numId w:val="16"/>
        </w:numPr>
        <w:spacing w:beforeLines="50" w:afterLines="50"/>
        <w:ind w:firstLineChars="0"/>
        <w:rPr>
          <w:sz w:val="24"/>
        </w:rPr>
      </w:pPr>
      <w:r>
        <w:rPr>
          <w:rFonts w:hint="eastAsia"/>
          <w:sz w:val="24"/>
        </w:rPr>
        <w:t>交货地点：甲方指定的仓储地点或现场存放点，存放点由甲方现场指定。乙方负责交货地点的卸货和现场存放点的就位。</w:t>
      </w:r>
    </w:p>
    <w:p>
      <w:pPr>
        <w:pStyle w:val="3"/>
        <w:numPr>
          <w:ilvl w:val="0"/>
          <w:numId w:val="16"/>
        </w:numPr>
        <w:spacing w:beforeLines="100" w:afterLines="50" w:line="240" w:lineRule="auto"/>
        <w:ind w:left="0" w:firstLine="0"/>
        <w:rPr>
          <w:sz w:val="24"/>
        </w:rPr>
      </w:pPr>
      <w:bookmarkStart w:id="178" w:name="_Toc27000"/>
      <w:bookmarkStart w:id="179" w:name="_Toc437544540"/>
      <w:bookmarkStart w:id="180" w:name="_Toc369786987"/>
      <w:r>
        <w:rPr>
          <w:rFonts w:hint="eastAsia"/>
          <w:sz w:val="24"/>
        </w:rPr>
        <w:t>合同文件和资料</w:t>
      </w:r>
      <w:bookmarkEnd w:id="178"/>
      <w:bookmarkEnd w:id="179"/>
      <w:bookmarkEnd w:id="180"/>
    </w:p>
    <w:p>
      <w:pPr>
        <w:pStyle w:val="47"/>
        <w:numPr>
          <w:ilvl w:val="1"/>
          <w:numId w:val="16"/>
        </w:numPr>
        <w:spacing w:beforeLines="50" w:afterLines="50"/>
        <w:ind w:firstLineChars="0"/>
        <w:rPr>
          <w:sz w:val="24"/>
        </w:rPr>
      </w:pPr>
      <w:bookmarkStart w:id="181" w:name="_Ref462911623"/>
      <w:r>
        <w:rPr>
          <w:rFonts w:hint="eastAsia"/>
          <w:sz w:val="24"/>
        </w:rPr>
        <w:t>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81"/>
    </w:p>
    <w:p>
      <w:pPr>
        <w:pStyle w:val="47"/>
        <w:numPr>
          <w:ilvl w:val="1"/>
          <w:numId w:val="16"/>
        </w:numPr>
        <w:spacing w:beforeLines="50" w:afterLines="50"/>
        <w:ind w:left="600" w:hanging="600" w:hangingChars="250"/>
        <w:rPr>
          <w:sz w:val="24"/>
        </w:rPr>
      </w:pPr>
      <w:r>
        <w:rPr>
          <w:rFonts w:hint="eastAsia"/>
          <w:sz w:val="24"/>
        </w:rPr>
        <w:t>未经甲方事先书面同意，除了履行本合同之外，乙方不应使用合同条款</w:t>
      </w:r>
      <w:r>
        <w:fldChar w:fldCharType="begin"/>
      </w:r>
      <w:r>
        <w:instrText xml:space="preserve">REF _Ref462911623 \n \h  \* MERGEFORMAT </w:instrText>
      </w:r>
      <w:r>
        <w:fldChar w:fldCharType="separate"/>
      </w:r>
      <w:r>
        <w:rPr>
          <w:sz w:val="24"/>
        </w:rPr>
        <w:t>5.1</w:t>
      </w:r>
      <w:r>
        <w:rPr>
          <w:sz w:val="24"/>
        </w:rPr>
        <w:fldChar w:fldCharType="end"/>
      </w:r>
      <w:r>
        <w:rPr>
          <w:rFonts w:hint="eastAsia"/>
          <w:sz w:val="24"/>
        </w:rPr>
        <w:t>条所列举的任何文件和资料。</w:t>
      </w:r>
    </w:p>
    <w:p>
      <w:pPr>
        <w:pStyle w:val="47"/>
        <w:numPr>
          <w:ilvl w:val="1"/>
          <w:numId w:val="16"/>
        </w:numPr>
        <w:spacing w:beforeLines="50" w:afterLines="50"/>
        <w:ind w:left="567" w:hanging="567" w:firstLineChars="0"/>
        <w:rPr>
          <w:sz w:val="24"/>
        </w:rPr>
      </w:pPr>
      <w:r>
        <w:rPr>
          <w:rFonts w:hint="eastAsia"/>
          <w:sz w:val="24"/>
        </w:rPr>
        <w:t>除了合同本身之外，合同条款</w:t>
      </w:r>
      <w:r>
        <w:fldChar w:fldCharType="begin"/>
      </w:r>
      <w:r>
        <w:instrText xml:space="preserve">REF _Ref462911623 \r \h  \* MERGEFORMAT </w:instrText>
      </w:r>
      <w:r>
        <w:fldChar w:fldCharType="separate"/>
      </w:r>
      <w:r>
        <w:rPr>
          <w:sz w:val="24"/>
        </w:rPr>
        <w:t>5.1</w:t>
      </w:r>
      <w:r>
        <w:rPr>
          <w:sz w:val="24"/>
        </w:rPr>
        <w:fldChar w:fldCharType="end"/>
      </w:r>
      <w:r>
        <w:rPr>
          <w:rFonts w:hint="eastAsia"/>
          <w:sz w:val="24"/>
        </w:rPr>
        <w:t>条所列举的任何文件是甲方的财产。如甲方有要求，乙方在完成本合同后应将这些文件及复制件全部归还给甲方。</w:t>
      </w:r>
    </w:p>
    <w:p>
      <w:pPr>
        <w:pStyle w:val="47"/>
        <w:numPr>
          <w:ilvl w:val="1"/>
          <w:numId w:val="16"/>
        </w:numPr>
        <w:spacing w:beforeLines="50" w:afterLines="50"/>
        <w:ind w:left="600" w:hanging="600" w:hangingChars="250"/>
        <w:rPr>
          <w:sz w:val="24"/>
        </w:rPr>
      </w:pPr>
      <w:r>
        <w:rPr>
          <w:rFonts w:hint="eastAsia"/>
          <w:sz w:val="24"/>
        </w:rPr>
        <w:t>乙方应提供与货物相符的中文技术资料，例如：样本、图纸、操作手册、使用说明、维修指南或服务手册等，并随每批货物一同装箱。如本条款所述资料不完整，乙方应在收到甲方通知后立即免费提供。</w:t>
      </w:r>
    </w:p>
    <w:p>
      <w:pPr>
        <w:pStyle w:val="47"/>
        <w:numPr>
          <w:ilvl w:val="1"/>
          <w:numId w:val="16"/>
        </w:numPr>
        <w:spacing w:beforeLines="50" w:afterLines="50"/>
        <w:ind w:left="600" w:hanging="600" w:hangingChars="250"/>
        <w:rPr>
          <w:sz w:val="24"/>
        </w:rPr>
      </w:pPr>
      <w:r>
        <w:rPr>
          <w:rFonts w:hint="eastAsia"/>
          <w:sz w:val="24"/>
        </w:rPr>
        <w:t>技术资料的全部费用已包含在合同价格内。</w:t>
      </w:r>
    </w:p>
    <w:p>
      <w:pPr>
        <w:pStyle w:val="3"/>
        <w:numPr>
          <w:ilvl w:val="0"/>
          <w:numId w:val="16"/>
        </w:numPr>
        <w:spacing w:beforeLines="100" w:afterLines="50" w:line="240" w:lineRule="auto"/>
        <w:ind w:left="0" w:firstLine="0"/>
        <w:rPr>
          <w:sz w:val="24"/>
        </w:rPr>
      </w:pPr>
      <w:bookmarkStart w:id="182" w:name="_Toc369786988"/>
      <w:bookmarkStart w:id="183" w:name="_Toc437544541"/>
      <w:bookmarkStart w:id="184" w:name="_Toc23335"/>
      <w:r>
        <w:rPr>
          <w:rFonts w:hint="eastAsia"/>
          <w:sz w:val="24"/>
        </w:rPr>
        <w:t>知识产权</w:t>
      </w:r>
      <w:bookmarkEnd w:id="182"/>
      <w:bookmarkEnd w:id="183"/>
      <w:bookmarkEnd w:id="184"/>
    </w:p>
    <w:p>
      <w:pPr>
        <w:pStyle w:val="47"/>
        <w:numPr>
          <w:ilvl w:val="0"/>
          <w:numId w:val="18"/>
        </w:numPr>
        <w:ind w:firstLineChars="0"/>
        <w:rPr>
          <w:rFonts w:ascii="宋体" w:hAnsi="宋体"/>
          <w:vanish/>
          <w:kern w:val="0"/>
          <w:sz w:val="24"/>
        </w:rPr>
      </w:pPr>
    </w:p>
    <w:p>
      <w:pPr>
        <w:pStyle w:val="47"/>
        <w:numPr>
          <w:ilvl w:val="0"/>
          <w:numId w:val="18"/>
        </w:numPr>
        <w:ind w:firstLineChars="0"/>
        <w:rPr>
          <w:rFonts w:ascii="宋体" w:hAnsi="宋体"/>
          <w:vanish/>
          <w:kern w:val="0"/>
          <w:sz w:val="24"/>
        </w:rPr>
      </w:pPr>
    </w:p>
    <w:p>
      <w:pPr>
        <w:pStyle w:val="47"/>
        <w:numPr>
          <w:ilvl w:val="0"/>
          <w:numId w:val="18"/>
        </w:numPr>
        <w:ind w:firstLineChars="0"/>
        <w:rPr>
          <w:rFonts w:ascii="宋体" w:hAnsi="宋体"/>
          <w:vanish/>
          <w:kern w:val="0"/>
          <w:sz w:val="24"/>
        </w:rPr>
      </w:pPr>
    </w:p>
    <w:p>
      <w:pPr>
        <w:pStyle w:val="47"/>
        <w:numPr>
          <w:ilvl w:val="0"/>
          <w:numId w:val="18"/>
        </w:numPr>
        <w:ind w:firstLineChars="0"/>
        <w:rPr>
          <w:rFonts w:ascii="宋体" w:hAnsi="宋体"/>
          <w:vanish/>
          <w:kern w:val="0"/>
          <w:sz w:val="24"/>
        </w:rPr>
      </w:pPr>
    </w:p>
    <w:p>
      <w:pPr>
        <w:pStyle w:val="47"/>
        <w:numPr>
          <w:ilvl w:val="0"/>
          <w:numId w:val="18"/>
        </w:numPr>
        <w:ind w:firstLineChars="0"/>
        <w:rPr>
          <w:rFonts w:ascii="宋体" w:hAnsi="宋体"/>
          <w:vanish/>
          <w:kern w:val="0"/>
          <w:sz w:val="24"/>
        </w:rPr>
      </w:pPr>
    </w:p>
    <w:p>
      <w:pPr>
        <w:pStyle w:val="47"/>
        <w:numPr>
          <w:ilvl w:val="0"/>
          <w:numId w:val="18"/>
        </w:numPr>
        <w:ind w:firstLineChars="0"/>
        <w:rPr>
          <w:rFonts w:ascii="宋体" w:hAnsi="宋体"/>
          <w:vanish/>
          <w:kern w:val="0"/>
          <w:sz w:val="24"/>
        </w:rPr>
      </w:pPr>
    </w:p>
    <w:p>
      <w:pPr>
        <w:pStyle w:val="47"/>
        <w:numPr>
          <w:ilvl w:val="1"/>
          <w:numId w:val="16"/>
        </w:numPr>
        <w:spacing w:beforeLines="50" w:afterLines="50"/>
        <w:ind w:left="600" w:hanging="600" w:hangingChars="250"/>
        <w:rPr>
          <w:sz w:val="24"/>
        </w:rPr>
      </w:pPr>
      <w:r>
        <w:rPr>
          <w:rFonts w:hint="eastAsia"/>
          <w:sz w:val="24"/>
        </w:rPr>
        <w:t>乙方应保证，甲方在中华人民共和国境内使用该批货物或货物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货物的任何一部分，由此扩大损失部分也由乙方承担，但甲方需提前发函告知乙方。</w:t>
      </w:r>
    </w:p>
    <w:p>
      <w:pPr>
        <w:pStyle w:val="47"/>
        <w:numPr>
          <w:ilvl w:val="1"/>
          <w:numId w:val="16"/>
        </w:numPr>
        <w:spacing w:beforeLines="50" w:afterLines="50"/>
        <w:ind w:left="600" w:hanging="600" w:hangingChars="250"/>
        <w:rPr>
          <w:rFonts w:ascii="宋体" w:hAnsi="宋体"/>
          <w:kern w:val="0"/>
          <w:sz w:val="24"/>
        </w:rPr>
      </w:pPr>
      <w:r>
        <w:rPr>
          <w:rFonts w:hint="eastAsia"/>
          <w:sz w:val="24"/>
        </w:rPr>
        <w:t>甲方永久享有乙方为本合同项下提供的产品、软件、技术资料的使用权，并无需承担任何费用。</w:t>
      </w:r>
    </w:p>
    <w:p>
      <w:pPr>
        <w:pStyle w:val="3"/>
        <w:numPr>
          <w:ilvl w:val="0"/>
          <w:numId w:val="16"/>
        </w:numPr>
        <w:spacing w:beforeLines="100" w:afterLines="50" w:line="240" w:lineRule="auto"/>
        <w:ind w:left="0" w:firstLine="0"/>
        <w:rPr>
          <w:sz w:val="24"/>
        </w:rPr>
      </w:pPr>
      <w:bookmarkStart w:id="185" w:name="_Ref462914568"/>
      <w:bookmarkStart w:id="186" w:name="_Toc11658"/>
      <w:bookmarkStart w:id="187" w:name="_Toc437544542"/>
      <w:bookmarkStart w:id="188" w:name="_Toc369786989"/>
      <w:r>
        <w:rPr>
          <w:rFonts w:hint="eastAsia"/>
          <w:sz w:val="24"/>
        </w:rPr>
        <w:t>履约保证金</w:t>
      </w:r>
      <w:bookmarkEnd w:id="185"/>
      <w:bookmarkEnd w:id="186"/>
      <w:bookmarkEnd w:id="187"/>
      <w:bookmarkEnd w:id="188"/>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0"/>
          <w:numId w:val="19"/>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履约保证金金额：</w:t>
      </w:r>
      <w:r>
        <w:rPr>
          <w:rFonts w:hint="eastAsia" w:ascii="宋体" w:hAnsi="宋体"/>
          <w:sz w:val="24"/>
        </w:rPr>
        <w:t>¥</w:t>
      </w:r>
      <w:r>
        <w:rPr>
          <w:rFonts w:hint="eastAsia"/>
          <w:sz w:val="24"/>
        </w:rPr>
        <w:t>元（签约合同总价格的5</w:t>
      </w:r>
      <w:r>
        <w:rPr>
          <w:sz w:val="24"/>
        </w:rPr>
        <w:t>%</w:t>
      </w:r>
      <w:r>
        <w:rPr>
          <w:rFonts w:hint="eastAsia"/>
          <w:sz w:val="24"/>
        </w:rPr>
        <w:t>；四舍五入，精确到元）。</w:t>
      </w:r>
    </w:p>
    <w:p>
      <w:pPr>
        <w:pStyle w:val="47"/>
        <w:numPr>
          <w:ilvl w:val="1"/>
          <w:numId w:val="16"/>
        </w:numPr>
        <w:spacing w:beforeLines="50" w:afterLines="50"/>
        <w:ind w:firstLineChars="0"/>
        <w:rPr>
          <w:sz w:val="24"/>
        </w:rPr>
      </w:pPr>
      <w:r>
        <w:rPr>
          <w:rFonts w:hint="eastAsia"/>
          <w:sz w:val="24"/>
        </w:rPr>
        <w:t>缴纳形式：乙方的比选保证金自动转为履约保证金的一部分，不足部分通过其公司账户以银行转账的形式补足缴纳；甲方收款账户同比选保证金收款账户。</w:t>
      </w:r>
    </w:p>
    <w:p>
      <w:pPr>
        <w:pStyle w:val="47"/>
        <w:numPr>
          <w:ilvl w:val="1"/>
          <w:numId w:val="16"/>
        </w:numPr>
        <w:spacing w:beforeLines="50" w:afterLines="50"/>
        <w:ind w:firstLineChars="0"/>
        <w:rPr>
          <w:sz w:val="24"/>
        </w:rPr>
      </w:pPr>
      <w:r>
        <w:rPr>
          <w:rFonts w:hint="eastAsia"/>
          <w:sz w:val="24"/>
        </w:rPr>
        <w:t>退还：本合同项下全部货物的质保期满经</w:t>
      </w:r>
      <w:r>
        <w:rPr>
          <w:sz w:val="24"/>
        </w:rPr>
        <w:t>乙方</w:t>
      </w:r>
      <w:r>
        <w:rPr>
          <w:rFonts w:hint="eastAsia"/>
          <w:sz w:val="24"/>
        </w:rPr>
        <w:t>书面</w:t>
      </w:r>
      <w:r>
        <w:rPr>
          <w:sz w:val="24"/>
        </w:rPr>
        <w:t>申请</w:t>
      </w:r>
      <w:r>
        <w:rPr>
          <w:rFonts w:hint="eastAsia"/>
          <w:sz w:val="24"/>
        </w:rPr>
        <w:t>、</w:t>
      </w:r>
      <w:r>
        <w:rPr>
          <w:sz w:val="24"/>
        </w:rPr>
        <w:t>甲方确认</w:t>
      </w:r>
      <w:r>
        <w:rPr>
          <w:rFonts w:hint="eastAsia"/>
          <w:sz w:val="24"/>
        </w:rPr>
        <w:t>无质量异议60个工作日内退还。</w:t>
      </w:r>
    </w:p>
    <w:p>
      <w:pPr>
        <w:pStyle w:val="3"/>
        <w:numPr>
          <w:ilvl w:val="0"/>
          <w:numId w:val="16"/>
        </w:numPr>
        <w:spacing w:beforeLines="100" w:afterLines="50" w:line="240" w:lineRule="auto"/>
        <w:ind w:left="0" w:firstLine="0"/>
        <w:rPr>
          <w:sz w:val="24"/>
        </w:rPr>
      </w:pPr>
      <w:bookmarkStart w:id="189" w:name="_Toc4031"/>
      <w:bookmarkStart w:id="190" w:name="_Toc437544543"/>
      <w:bookmarkStart w:id="191" w:name="_Toc369786990"/>
      <w:r>
        <w:rPr>
          <w:rFonts w:hint="eastAsia"/>
          <w:sz w:val="24"/>
        </w:rPr>
        <w:t>包装</w:t>
      </w:r>
      <w:bookmarkEnd w:id="189"/>
      <w:bookmarkEnd w:id="190"/>
      <w:bookmarkEnd w:id="191"/>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pStyle w:val="47"/>
        <w:numPr>
          <w:ilvl w:val="0"/>
          <w:numId w:val="20"/>
        </w:numPr>
        <w:ind w:firstLineChars="0"/>
        <w:rPr>
          <w:rFonts w:ascii="宋体" w:hAnsi="宋体"/>
          <w:vanish/>
          <w:kern w:val="0"/>
          <w:sz w:val="24"/>
        </w:rPr>
      </w:pPr>
    </w:p>
    <w:p>
      <w:pPr>
        <w:spacing w:beforeLines="50" w:afterLines="50"/>
        <w:ind w:firstLine="480" w:firstLineChars="200"/>
        <w:rPr>
          <w:sz w:val="24"/>
        </w:rPr>
      </w:pPr>
      <w:r>
        <w:rPr>
          <w:rFonts w:hint="eastAsia"/>
          <w:sz w:val="24"/>
        </w:rPr>
        <w:t>除非本合同另有规定，提供的全部货物须采用相应标准的保护措施进行包装。这种包装应适于内陆运输，并有良好的防潮、防震、防锈和防野蛮装卸等保护措施</w:t>
      </w:r>
      <w:r>
        <w:rPr>
          <w:sz w:val="24"/>
        </w:rPr>
        <w:t>,</w:t>
      </w:r>
      <w:r>
        <w:rPr>
          <w:rFonts w:hint="eastAsia"/>
          <w:sz w:val="24"/>
        </w:rPr>
        <w:t>以确保货物安全运抵现场。乙方应承担由于其包装或其防护措施不妥而引起货物锈蚀、损坏和丢失的任何损失的责任或费用。</w:t>
      </w:r>
    </w:p>
    <w:p>
      <w:pPr>
        <w:pStyle w:val="3"/>
        <w:numPr>
          <w:ilvl w:val="0"/>
          <w:numId w:val="16"/>
        </w:numPr>
        <w:spacing w:beforeLines="100" w:afterLines="50" w:line="240" w:lineRule="auto"/>
        <w:ind w:left="0" w:firstLine="0"/>
        <w:rPr>
          <w:sz w:val="24"/>
        </w:rPr>
      </w:pPr>
      <w:bookmarkStart w:id="192" w:name="_Toc437544544"/>
      <w:bookmarkStart w:id="193" w:name="_Toc11762"/>
      <w:bookmarkStart w:id="194" w:name="_Toc369786991"/>
      <w:r>
        <w:rPr>
          <w:rFonts w:hint="eastAsia"/>
          <w:sz w:val="24"/>
        </w:rPr>
        <w:t>验收</w:t>
      </w:r>
      <w:bookmarkEnd w:id="192"/>
      <w:bookmarkEnd w:id="193"/>
      <w:bookmarkEnd w:id="194"/>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0"/>
          <w:numId w:val="21"/>
        </w:numPr>
        <w:tabs>
          <w:tab w:val="left" w:pos="720"/>
          <w:tab w:val="left" w:pos="900"/>
        </w:tabs>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乙方应于发货前2个工作日书面通知甲方，根据双方协定时间地点进行交货和验收，验收合格之日起计算质保期。</w:t>
      </w:r>
    </w:p>
    <w:p>
      <w:pPr>
        <w:pStyle w:val="47"/>
        <w:numPr>
          <w:ilvl w:val="1"/>
          <w:numId w:val="16"/>
        </w:numPr>
        <w:spacing w:beforeLines="50" w:afterLines="50"/>
        <w:ind w:firstLineChars="0"/>
        <w:rPr>
          <w:sz w:val="24"/>
        </w:rPr>
      </w:pPr>
      <w:r>
        <w:rPr>
          <w:rFonts w:hint="eastAsia"/>
          <w:sz w:val="24"/>
        </w:rPr>
        <w:t>货物验收时须同时满足以下各项标准及要求方为合格：</w:t>
      </w:r>
    </w:p>
    <w:p>
      <w:pPr>
        <w:pStyle w:val="47"/>
        <w:numPr>
          <w:ilvl w:val="2"/>
          <w:numId w:val="16"/>
        </w:numPr>
        <w:ind w:left="708" w:hanging="708" w:hangingChars="295"/>
        <w:rPr>
          <w:sz w:val="24"/>
        </w:rPr>
      </w:pPr>
      <w:r>
        <w:rPr>
          <w:rFonts w:hint="eastAsia"/>
          <w:sz w:val="24"/>
        </w:rPr>
        <w:t>供货清单、质量合格证书、保修证书、产品使用说明书及其他应随产品一同装箱的技术资料，原产地在国外的货物须提供中国海关的报关单；</w:t>
      </w:r>
    </w:p>
    <w:p>
      <w:pPr>
        <w:pStyle w:val="47"/>
        <w:numPr>
          <w:ilvl w:val="2"/>
          <w:numId w:val="16"/>
        </w:numPr>
        <w:ind w:left="708" w:hanging="708" w:hangingChars="295"/>
        <w:rPr>
          <w:sz w:val="24"/>
        </w:rPr>
      </w:pPr>
      <w:r>
        <w:rPr>
          <w:rFonts w:hint="eastAsia"/>
          <w:sz w:val="24"/>
        </w:rPr>
        <w:t>本合同所涉及的质量、技术、服务及验收的相关内容。</w:t>
      </w:r>
    </w:p>
    <w:p>
      <w:pPr>
        <w:pStyle w:val="3"/>
        <w:numPr>
          <w:ilvl w:val="0"/>
          <w:numId w:val="16"/>
        </w:numPr>
        <w:spacing w:beforeLines="100" w:afterLines="50" w:line="240" w:lineRule="auto"/>
        <w:ind w:left="0" w:firstLine="0"/>
        <w:rPr>
          <w:sz w:val="24"/>
        </w:rPr>
      </w:pPr>
      <w:bookmarkStart w:id="195" w:name="_Toc437544545"/>
      <w:bookmarkStart w:id="196" w:name="_Toc21014"/>
      <w:r>
        <w:rPr>
          <w:rFonts w:hint="eastAsia"/>
          <w:sz w:val="24"/>
        </w:rPr>
        <w:t>质量标准、质保期和质保服务</w:t>
      </w:r>
      <w:bookmarkEnd w:id="195"/>
      <w:bookmarkEnd w:id="196"/>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0"/>
          <w:numId w:val="22"/>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乙方交付的货物的质量、质保期、售后服务等应符合合同规定的标准。如合同规定的标准低于国家或行业标准，或未提及适用标准，则按国家标准或行业标准的较高标准执行。这些标准必须是有关机构发布的最新有效版本的标准。</w:t>
      </w:r>
    </w:p>
    <w:p>
      <w:pPr>
        <w:pStyle w:val="47"/>
        <w:numPr>
          <w:ilvl w:val="1"/>
          <w:numId w:val="16"/>
        </w:numPr>
        <w:spacing w:beforeLines="50" w:afterLines="50"/>
        <w:ind w:firstLineChars="0"/>
        <w:rPr>
          <w:sz w:val="24"/>
        </w:rPr>
      </w:pPr>
      <w:r>
        <w:rPr>
          <w:rFonts w:hint="eastAsia"/>
          <w:b/>
          <w:sz w:val="24"/>
        </w:rPr>
        <w:t>本合同内货物质保期：12个月</w:t>
      </w:r>
      <w:r>
        <w:rPr>
          <w:rFonts w:hint="eastAsia"/>
          <w:sz w:val="24"/>
        </w:rPr>
        <w:t>；质保期内乙方提供免费上门维修（包含所有配件的更换及服务）及保养服务。</w:t>
      </w:r>
    </w:p>
    <w:p>
      <w:pPr>
        <w:pStyle w:val="47"/>
        <w:numPr>
          <w:ilvl w:val="1"/>
          <w:numId w:val="16"/>
        </w:numPr>
        <w:spacing w:beforeLines="50" w:afterLines="50"/>
        <w:ind w:firstLineChars="0"/>
        <w:rPr>
          <w:sz w:val="24"/>
        </w:rPr>
      </w:pPr>
      <w:r>
        <w:rPr>
          <w:rFonts w:hint="eastAsia"/>
          <w:sz w:val="24"/>
        </w:rPr>
        <w:t>有保质期的产品，乙方所供货物的有效保质期须不少于整个保质期的2/3；无保质期的产品，乙方所供货物须为交货时1年以内生产的货物。如涉及到特殊物品，由双方协商决定。</w:t>
      </w:r>
    </w:p>
    <w:p>
      <w:pPr>
        <w:pStyle w:val="47"/>
        <w:numPr>
          <w:ilvl w:val="1"/>
          <w:numId w:val="16"/>
        </w:numPr>
        <w:spacing w:beforeLines="50" w:afterLines="50"/>
        <w:ind w:firstLineChars="0"/>
        <w:rPr>
          <w:sz w:val="24"/>
        </w:rPr>
      </w:pPr>
      <w:r>
        <w:rPr>
          <w:rFonts w:hint="eastAsia"/>
          <w:sz w:val="24"/>
        </w:rPr>
        <w:t>乙方提供的货物必须是全新原装正品，质保</w:t>
      </w:r>
      <w:r>
        <w:rPr>
          <w:sz w:val="24"/>
        </w:rPr>
        <w:t>期内非因</w:t>
      </w:r>
      <w:r>
        <w:rPr>
          <w:rFonts w:hint="eastAsia"/>
          <w:sz w:val="24"/>
        </w:rPr>
        <w:t>甲方</w:t>
      </w:r>
      <w:r>
        <w:rPr>
          <w:sz w:val="24"/>
        </w:rPr>
        <w:t>原因而出现质量问题的，</w:t>
      </w:r>
      <w:r>
        <w:rPr>
          <w:rFonts w:hint="eastAsia"/>
          <w:sz w:val="24"/>
        </w:rPr>
        <w:t>乙方需在8小时内响应，在甲方要求的时间内完成三包服务（</w:t>
      </w:r>
      <w:r>
        <w:rPr>
          <w:sz w:val="24"/>
        </w:rPr>
        <w:t>包修、包换或包退</w:t>
      </w:r>
      <w:r>
        <w:rPr>
          <w:rFonts w:hint="eastAsia"/>
          <w:sz w:val="24"/>
        </w:rPr>
        <w:t>）</w:t>
      </w:r>
      <w:r>
        <w:rPr>
          <w:sz w:val="24"/>
        </w:rPr>
        <w:t>，并承担</w:t>
      </w:r>
      <w:r>
        <w:rPr>
          <w:rFonts w:hint="eastAsia"/>
          <w:sz w:val="24"/>
        </w:rPr>
        <w:t>三包服务所产生的</w:t>
      </w:r>
      <w:r>
        <w:rPr>
          <w:sz w:val="24"/>
        </w:rPr>
        <w:t>费用。</w:t>
      </w:r>
      <w:r>
        <w:rPr>
          <w:rFonts w:hint="eastAsia"/>
          <w:sz w:val="24"/>
        </w:rPr>
        <w:t>乙方</w:t>
      </w:r>
      <w:r>
        <w:rPr>
          <w:sz w:val="24"/>
        </w:rPr>
        <w:t>不能修理和不能调换</w:t>
      </w:r>
      <w:r>
        <w:rPr>
          <w:rFonts w:hint="eastAsia"/>
          <w:sz w:val="24"/>
        </w:rPr>
        <w:t>的</w:t>
      </w:r>
      <w:r>
        <w:rPr>
          <w:sz w:val="24"/>
        </w:rPr>
        <w:t>，按不能交货处理</w:t>
      </w:r>
      <w:r>
        <w:rPr>
          <w:rFonts w:hint="eastAsia"/>
          <w:sz w:val="24"/>
        </w:rPr>
        <w:t>。</w:t>
      </w:r>
    </w:p>
    <w:p>
      <w:pPr>
        <w:pStyle w:val="47"/>
        <w:numPr>
          <w:ilvl w:val="1"/>
          <w:numId w:val="16"/>
        </w:numPr>
        <w:spacing w:beforeLines="50" w:afterLines="50"/>
        <w:ind w:firstLineChars="0"/>
        <w:rPr>
          <w:sz w:val="24"/>
        </w:rPr>
      </w:pPr>
      <w:r>
        <w:rPr>
          <w:rFonts w:hint="eastAsia"/>
          <w:sz w:val="24"/>
        </w:rPr>
        <w:t>质保期内，乙方应负责提供充足的备品备件。质保期满后，乙方应继续提供维修服务，只收取维修配件成本费（人工费收取由双方协商确定）。</w:t>
      </w:r>
    </w:p>
    <w:p>
      <w:pPr>
        <w:pStyle w:val="47"/>
        <w:numPr>
          <w:ilvl w:val="1"/>
          <w:numId w:val="16"/>
        </w:numPr>
        <w:spacing w:beforeLines="50" w:afterLines="50"/>
        <w:ind w:firstLineChars="0"/>
        <w:rPr>
          <w:sz w:val="24"/>
        </w:rPr>
      </w:pPr>
      <w:r>
        <w:rPr>
          <w:rFonts w:hint="eastAsia"/>
          <w:sz w:val="24"/>
        </w:rPr>
        <w:t>如配件将要停产，乙方应事先告知甲方将要停产的计划，使甲方有足够的时间采购所需的备品备件。</w:t>
      </w:r>
    </w:p>
    <w:p>
      <w:pPr>
        <w:pStyle w:val="47"/>
        <w:numPr>
          <w:ilvl w:val="1"/>
          <w:numId w:val="16"/>
        </w:numPr>
        <w:spacing w:beforeLines="50" w:afterLines="50"/>
        <w:ind w:firstLineChars="0"/>
        <w:rPr>
          <w:sz w:val="24"/>
        </w:rPr>
      </w:pPr>
      <w:r>
        <w:rPr>
          <w:rFonts w:hint="eastAsia"/>
          <w:sz w:val="24"/>
        </w:rPr>
        <w:t>在配件停产后，如甲方要求，乙方应免费向甲方提供备件的蓝图、图纸和规格。</w:t>
      </w:r>
    </w:p>
    <w:p>
      <w:pPr>
        <w:pStyle w:val="3"/>
        <w:numPr>
          <w:ilvl w:val="0"/>
          <w:numId w:val="16"/>
        </w:numPr>
        <w:spacing w:beforeLines="100" w:afterLines="50" w:line="240" w:lineRule="auto"/>
        <w:ind w:left="0" w:firstLine="0"/>
        <w:rPr>
          <w:sz w:val="24"/>
        </w:rPr>
      </w:pPr>
      <w:bookmarkStart w:id="197" w:name="_Toc16871"/>
      <w:bookmarkStart w:id="198" w:name="_Toc437544546"/>
      <w:r>
        <w:rPr>
          <w:rFonts w:hint="eastAsia"/>
          <w:sz w:val="24"/>
        </w:rPr>
        <w:t>所有权与风险转移</w:t>
      </w:r>
      <w:bookmarkEnd w:id="197"/>
      <w:bookmarkEnd w:id="198"/>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0"/>
          <w:numId w:val="23"/>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货物所有权和毁损、灭失的风险自乙方将货物运至甲方指定的交货地点并经甲方开箱清点（或经安装调试）验收合格，出具书面验收报告并办理交接手续后由乙方转移至甲方。如另有约定的从其约定。</w:t>
      </w:r>
    </w:p>
    <w:p>
      <w:pPr>
        <w:pStyle w:val="47"/>
        <w:numPr>
          <w:ilvl w:val="1"/>
          <w:numId w:val="16"/>
        </w:numPr>
        <w:spacing w:beforeLines="50" w:afterLines="50"/>
        <w:ind w:firstLineChars="0"/>
        <w:rPr>
          <w:sz w:val="24"/>
        </w:rPr>
      </w:pPr>
      <w:r>
        <w:rPr>
          <w:rFonts w:hint="eastAsia"/>
          <w:sz w:val="24"/>
        </w:rPr>
        <w:t>所有权和风险的转移，不得减轻或免除乙方的产品质量责任；不影响因乙方履行义务不符合合同约定，甲方要求其承担违约责任的权利。</w:t>
      </w:r>
    </w:p>
    <w:p>
      <w:pPr>
        <w:pStyle w:val="3"/>
        <w:numPr>
          <w:ilvl w:val="0"/>
          <w:numId w:val="16"/>
        </w:numPr>
        <w:spacing w:beforeLines="100" w:afterLines="50" w:line="240" w:lineRule="auto"/>
        <w:ind w:left="0" w:firstLine="0"/>
        <w:rPr>
          <w:sz w:val="24"/>
        </w:rPr>
      </w:pPr>
      <w:bookmarkStart w:id="199" w:name="_Toc437544547"/>
      <w:bookmarkStart w:id="200" w:name="_Toc5226"/>
      <w:bookmarkStart w:id="201" w:name="_Toc369786994"/>
      <w:r>
        <w:rPr>
          <w:rFonts w:hint="eastAsia"/>
          <w:sz w:val="24"/>
        </w:rPr>
        <w:t>付款</w:t>
      </w:r>
      <w:bookmarkEnd w:id="199"/>
      <w:bookmarkEnd w:id="200"/>
      <w:bookmarkEnd w:id="201"/>
    </w:p>
    <w:p>
      <w:pPr>
        <w:widowControl/>
        <w:snapToGrid w:val="0"/>
        <w:spacing w:line="400" w:lineRule="exact"/>
        <w:ind w:firstLine="420"/>
        <w:rPr>
          <w:rFonts w:hint="eastAsia" w:ascii="Calibri" w:hAnsi="Calibri"/>
          <w:sz w:val="24"/>
          <w:szCs w:val="22"/>
        </w:rPr>
      </w:pPr>
      <w:r>
        <w:rPr>
          <w:rFonts w:hint="eastAsia" w:ascii="宋体" w:hAnsi="宋体"/>
          <w:sz w:val="18"/>
          <w:szCs w:val="18"/>
        </w:rPr>
        <w:t>（</w:t>
      </w:r>
      <w:r>
        <w:rPr>
          <w:rFonts w:hint="eastAsia" w:ascii="Calibri" w:hAnsi="Calibri"/>
          <w:sz w:val="24"/>
          <w:szCs w:val="22"/>
        </w:rPr>
        <w:t>1）全部货物到货并验收合格后，乙方根据甲方要求完成档案归档及合同结算经甲方审定后，甲方在收到乙方提供的以下材料后45个工作日内支付至合同最终结算审定金额的95%。</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①乙方开具的增值税专用发票金额，金额为合同最终结算审定金额的100%扣除已开票部分的余额。</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②乙方出具的支付申请书。</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③甲方或南宁市相关审计部门出具的合同审计结论。</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④乙方全部货物验收合格证明。</w:t>
      </w:r>
    </w:p>
    <w:p>
      <w:pPr>
        <w:widowControl/>
        <w:snapToGrid w:val="0"/>
        <w:spacing w:line="400" w:lineRule="exact"/>
        <w:ind w:firstLine="420"/>
        <w:rPr>
          <w:rFonts w:hint="eastAsia" w:ascii="Calibri" w:hAnsi="Calibri"/>
          <w:sz w:val="24"/>
          <w:szCs w:val="22"/>
        </w:rPr>
      </w:pPr>
      <w:r>
        <w:rPr>
          <w:rFonts w:hint="eastAsia" w:ascii="Calibri" w:hAnsi="Calibri"/>
          <w:sz w:val="24"/>
          <w:szCs w:val="22"/>
        </w:rPr>
        <w:t>（2）全部货物质保期满，经甲方确认所有批次产品均无质量问题或乙方已更换有质量问题产品经甲方确认合格后，甲方在收到由乙方提供的以下材料后45个</w:t>
      </w:r>
      <w:r>
        <w:rPr>
          <w:rFonts w:hint="eastAsia" w:ascii="Calibri" w:hAnsi="Calibri" w:cs="Times New Roman"/>
          <w:sz w:val="24"/>
          <w:szCs w:val="22"/>
        </w:rPr>
        <w:t>工作日内支付结算审定金额的剩余价款</w:t>
      </w:r>
      <w:r>
        <w:rPr>
          <w:rFonts w:hint="eastAsia" w:ascii="Calibri" w:hAnsi="Calibri"/>
          <w:sz w:val="24"/>
          <w:szCs w:val="22"/>
        </w:rPr>
        <w:t>。</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①乙方出具的支付申请。</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②甲方或南宁市相关审计部门出具的合同审计结论。</w:t>
      </w:r>
    </w:p>
    <w:p>
      <w:pPr>
        <w:widowControl/>
        <w:snapToGrid w:val="0"/>
        <w:spacing w:line="400" w:lineRule="exact"/>
        <w:ind w:firstLine="420"/>
        <w:rPr>
          <w:rFonts w:hint="eastAsia" w:ascii="Calibri" w:hAnsi="Calibri"/>
          <w:sz w:val="24"/>
          <w:szCs w:val="22"/>
        </w:rPr>
      </w:pPr>
      <w:r>
        <w:rPr>
          <w:rFonts w:hint="eastAsia" w:ascii="Calibri" w:hAnsi="Calibri"/>
          <w:sz w:val="24"/>
          <w:szCs w:val="22"/>
        </w:rPr>
        <w:t>③双方确认的质保期满后产品合格证明。</w:t>
      </w:r>
    </w:p>
    <w:p>
      <w:pPr>
        <w:pStyle w:val="47"/>
        <w:numPr>
          <w:ilvl w:val="1"/>
          <w:numId w:val="16"/>
        </w:numPr>
        <w:spacing w:beforeLines="50" w:afterLines="50"/>
        <w:ind w:firstLineChars="0"/>
        <w:rPr>
          <w:sz w:val="24"/>
        </w:rPr>
      </w:pPr>
      <w:r>
        <w:rPr>
          <w:rFonts w:hint="eastAsia"/>
          <w:sz w:val="24"/>
        </w:rPr>
        <w:t>本合同项下涉及2号线或3号线付款的，由甲方组织签订甲方、乙方、丙方（2号线或3号线）三方协议，乙方向丙方开具发票，由丙方向乙方支付经甲方核准的合同应付价款。</w:t>
      </w:r>
    </w:p>
    <w:p>
      <w:pPr>
        <w:pStyle w:val="3"/>
        <w:numPr>
          <w:ilvl w:val="0"/>
          <w:numId w:val="16"/>
        </w:numPr>
        <w:spacing w:beforeLines="100" w:afterLines="50" w:line="240" w:lineRule="auto"/>
        <w:ind w:left="0" w:firstLine="0"/>
        <w:rPr>
          <w:sz w:val="24"/>
        </w:rPr>
      </w:pPr>
      <w:bookmarkStart w:id="202" w:name="_Toc437544548"/>
      <w:bookmarkStart w:id="203" w:name="_Toc21231"/>
      <w:bookmarkStart w:id="204" w:name="_Toc369786995"/>
      <w:r>
        <w:rPr>
          <w:rFonts w:hint="eastAsia"/>
          <w:sz w:val="24"/>
        </w:rPr>
        <w:t>违约责任</w:t>
      </w:r>
      <w:bookmarkEnd w:id="202"/>
      <w:bookmarkEnd w:id="203"/>
      <w:bookmarkEnd w:id="204"/>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0"/>
          <w:numId w:val="24"/>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甲方未按时支付合同款项，应按延误天数及同期银行存款利率向乙方支付违约金。</w:t>
      </w:r>
    </w:p>
    <w:p>
      <w:pPr>
        <w:pStyle w:val="47"/>
        <w:numPr>
          <w:ilvl w:val="1"/>
          <w:numId w:val="16"/>
        </w:numPr>
        <w:spacing w:beforeLines="50" w:afterLines="50"/>
        <w:ind w:firstLineChars="0"/>
        <w:rPr>
          <w:sz w:val="24"/>
        </w:rPr>
      </w:pPr>
      <w:bookmarkStart w:id="205" w:name="_Ref462913103"/>
      <w:r>
        <w:rPr>
          <w:rFonts w:hint="eastAsia"/>
          <w:sz w:val="24"/>
        </w:rPr>
        <w:t>合同签订后，乙方不能交付货物，则向甲方支付未交付货物总价格20%的违约金，同时甲方重新采购因价格差所造成的损失由乙方承担。</w:t>
      </w:r>
      <w:bookmarkEnd w:id="205"/>
    </w:p>
    <w:p>
      <w:pPr>
        <w:pStyle w:val="47"/>
        <w:numPr>
          <w:ilvl w:val="1"/>
          <w:numId w:val="16"/>
        </w:numPr>
        <w:spacing w:beforeLines="50" w:afterLines="50"/>
        <w:ind w:firstLineChars="0"/>
        <w:rPr>
          <w:sz w:val="24"/>
        </w:rPr>
      </w:pPr>
      <w:bookmarkStart w:id="206" w:name="_Ref462913114"/>
      <w:r>
        <w:rPr>
          <w:rFonts w:hint="eastAsia"/>
          <w:sz w:val="24"/>
        </w:rPr>
        <w:t>乙方逾期交货，每逾期一天，乙方应按未交付货物总价格的0.5</w:t>
      </w:r>
      <w:r>
        <w:rPr>
          <w:sz w:val="24"/>
        </w:rPr>
        <w:t>%</w:t>
      </w:r>
      <w:r>
        <w:rPr>
          <w:rFonts w:hint="eastAsia"/>
          <w:sz w:val="24"/>
        </w:rPr>
        <w:t>向甲方支付违约金，但该违约金累计不超过合同总价格的10%；逾期超过</w:t>
      </w:r>
      <w:r>
        <w:rPr>
          <w:sz w:val="24"/>
        </w:rPr>
        <w:t>2</w:t>
      </w:r>
      <w:r>
        <w:rPr>
          <w:rFonts w:hint="eastAsia"/>
          <w:sz w:val="24"/>
        </w:rPr>
        <w:t>0天仍不能交货的，甲方有权单方解除合同。</w:t>
      </w:r>
      <w:bookmarkEnd w:id="206"/>
    </w:p>
    <w:p>
      <w:pPr>
        <w:pStyle w:val="47"/>
        <w:numPr>
          <w:ilvl w:val="1"/>
          <w:numId w:val="16"/>
        </w:numPr>
        <w:spacing w:beforeLines="50" w:afterLines="50"/>
        <w:ind w:left="567" w:hanging="567" w:firstLineChars="0"/>
        <w:rPr>
          <w:sz w:val="24"/>
        </w:rPr>
      </w:pPr>
      <w:r>
        <w:rPr>
          <w:rFonts w:hint="eastAsia"/>
          <w:sz w:val="24"/>
        </w:rPr>
        <w:t>乙方提供货物或服务不符合合同规定标准的，甲方有权拒收该货物，如乙方拒绝更换，按条款</w:t>
      </w:r>
      <w:r>
        <w:fldChar w:fldCharType="begin"/>
      </w:r>
      <w:r>
        <w:instrText xml:space="preserve">REF _Ref462913103 \n \h  \* MERGEFORMAT </w:instrText>
      </w:r>
      <w:r>
        <w:fldChar w:fldCharType="separate"/>
      </w:r>
      <w:r>
        <w:rPr>
          <w:sz w:val="24"/>
        </w:rPr>
        <w:t>13.2</w:t>
      </w:r>
      <w:r>
        <w:rPr>
          <w:sz w:val="24"/>
        </w:rPr>
        <w:fldChar w:fldCharType="end"/>
      </w:r>
      <w:r>
        <w:rPr>
          <w:rFonts w:hint="eastAsia"/>
          <w:sz w:val="24"/>
        </w:rPr>
        <w:t>处理；如乙方重新提供符合要求的货物但逾期交货的，按条款</w:t>
      </w:r>
      <w:r>
        <w:fldChar w:fldCharType="begin"/>
      </w:r>
      <w:r>
        <w:instrText xml:space="preserve">REF _Ref462913114 \n \h  \* MERGEFORMAT </w:instrText>
      </w:r>
      <w:r>
        <w:fldChar w:fldCharType="separate"/>
      </w:r>
      <w:r>
        <w:rPr>
          <w:sz w:val="24"/>
        </w:rPr>
        <w:t>13.3</w:t>
      </w:r>
      <w:r>
        <w:rPr>
          <w:sz w:val="24"/>
        </w:rPr>
        <w:fldChar w:fldCharType="end"/>
      </w:r>
      <w:r>
        <w:rPr>
          <w:rFonts w:hint="eastAsia"/>
          <w:sz w:val="24"/>
        </w:rPr>
        <w:t>处理。</w:t>
      </w:r>
    </w:p>
    <w:p>
      <w:pPr>
        <w:pStyle w:val="47"/>
        <w:numPr>
          <w:ilvl w:val="1"/>
          <w:numId w:val="16"/>
        </w:numPr>
        <w:spacing w:beforeLines="50" w:afterLines="50"/>
        <w:ind w:firstLineChars="0"/>
        <w:rPr>
          <w:sz w:val="24"/>
        </w:rPr>
      </w:pPr>
      <w:r>
        <w:rPr>
          <w:rFonts w:hint="eastAsia"/>
          <w:sz w:val="24"/>
        </w:rPr>
        <w:t>如甲方同意乙方更换货物，需另行签订补充协议，乙方承诺如更换货物的品质不低于原合同的，按原合同价格结算。</w:t>
      </w:r>
    </w:p>
    <w:p>
      <w:pPr>
        <w:pStyle w:val="47"/>
        <w:numPr>
          <w:ilvl w:val="1"/>
          <w:numId w:val="16"/>
        </w:numPr>
        <w:spacing w:beforeLines="50" w:afterLines="50"/>
        <w:ind w:firstLineChars="0"/>
        <w:rPr>
          <w:sz w:val="24"/>
        </w:rPr>
      </w:pPr>
      <w:r>
        <w:rPr>
          <w:rFonts w:hint="eastAsia"/>
          <w:sz w:val="24"/>
        </w:rPr>
        <w:t>乙方不履行保修义务或拖延履行保修义务，或乙方存在恶意磋商或虚假承诺等不正当竞争行为，甲方有权罚没其履约保证金，或扣除合同总价格5%的违约金，同时甲方有权将乙方列入不良行为记录名单、一年内禁止其参加甲方的任何采购活动。</w:t>
      </w:r>
    </w:p>
    <w:p>
      <w:pPr>
        <w:pStyle w:val="47"/>
        <w:numPr>
          <w:ilvl w:val="1"/>
          <w:numId w:val="16"/>
        </w:numPr>
        <w:spacing w:beforeLines="50" w:afterLines="50"/>
        <w:ind w:firstLineChars="0"/>
        <w:rPr>
          <w:sz w:val="24"/>
        </w:rPr>
      </w:pPr>
      <w:r>
        <w:rPr>
          <w:rFonts w:hint="eastAsia"/>
          <w:sz w:val="24"/>
        </w:rPr>
        <w:t>由于乙方所提供的产品质量不合格给甲方或第三方造成人身财产损失的，乙方应承担全部责任。</w:t>
      </w:r>
    </w:p>
    <w:p>
      <w:pPr>
        <w:pStyle w:val="47"/>
        <w:numPr>
          <w:ilvl w:val="1"/>
          <w:numId w:val="16"/>
        </w:numPr>
        <w:spacing w:beforeLines="50" w:afterLines="50"/>
        <w:ind w:firstLineChars="0"/>
        <w:rPr>
          <w:sz w:val="24"/>
        </w:rPr>
      </w:pPr>
      <w:r>
        <w:rPr>
          <w:rFonts w:hint="eastAsia"/>
          <w:sz w:val="24"/>
        </w:rPr>
        <w:t>甲方验收不合格的货物，乙方须于接到甲方通知之日起15个工作日内从甲方仓库出库；逾期出库的，每逾期一天，乙方按逾期出库货物总价格的0.5</w:t>
      </w:r>
      <w:r>
        <w:rPr>
          <w:sz w:val="24"/>
        </w:rPr>
        <w:t>%</w:t>
      </w:r>
      <w:r>
        <w:rPr>
          <w:rFonts w:hint="eastAsia"/>
          <w:sz w:val="24"/>
        </w:rPr>
        <w:t>向甲方支付违约金；逾期超过</w:t>
      </w:r>
      <w:r>
        <w:rPr>
          <w:sz w:val="24"/>
        </w:rPr>
        <w:t>2</w:t>
      </w:r>
      <w:r>
        <w:rPr>
          <w:rFonts w:hint="eastAsia"/>
          <w:sz w:val="24"/>
        </w:rPr>
        <w:t>0天仍不出库的，视为乙方同意放弃这些不合格货物的所有权利，并委托甲方全权处置这些货物，处置费用由乙方承担。</w:t>
      </w:r>
    </w:p>
    <w:p>
      <w:pPr>
        <w:pStyle w:val="47"/>
        <w:numPr>
          <w:ilvl w:val="1"/>
          <w:numId w:val="16"/>
        </w:numPr>
        <w:spacing w:beforeLines="50" w:afterLines="50"/>
        <w:ind w:firstLineChars="0"/>
        <w:rPr>
          <w:sz w:val="24"/>
        </w:rPr>
      </w:pPr>
      <w:r>
        <w:rPr>
          <w:rFonts w:hint="eastAsia"/>
          <w:sz w:val="24"/>
        </w:rPr>
        <w:t>乙方违反其他合同条款的，需向甲方支付合同价格5%-10</w:t>
      </w:r>
      <w:r>
        <w:rPr>
          <w:sz w:val="24"/>
        </w:rPr>
        <w:t>%</w:t>
      </w:r>
      <w:r>
        <w:rPr>
          <w:rFonts w:hint="eastAsia"/>
          <w:sz w:val="24"/>
        </w:rPr>
        <w:t>的违约金。</w:t>
      </w:r>
    </w:p>
    <w:p>
      <w:pPr>
        <w:pStyle w:val="47"/>
        <w:numPr>
          <w:ilvl w:val="1"/>
          <w:numId w:val="16"/>
        </w:numPr>
        <w:spacing w:beforeLines="50" w:afterLines="50"/>
        <w:ind w:firstLineChars="0"/>
        <w:rPr>
          <w:sz w:val="24"/>
        </w:rPr>
      </w:pPr>
      <w:r>
        <w:rPr>
          <w:rFonts w:hint="eastAsia"/>
          <w:sz w:val="24"/>
        </w:rPr>
        <w:t>因乙方原因解除合同的，应向甲方支付合同价格10</w:t>
      </w:r>
      <w:r>
        <w:rPr>
          <w:sz w:val="24"/>
        </w:rPr>
        <w:t>%</w:t>
      </w:r>
      <w:r>
        <w:rPr>
          <w:rFonts w:hint="eastAsia"/>
          <w:sz w:val="24"/>
        </w:rPr>
        <w:t>的违约金，如造成甲方损失的，乙方应承担赔偿责任。</w:t>
      </w:r>
    </w:p>
    <w:p>
      <w:pPr>
        <w:pStyle w:val="47"/>
        <w:numPr>
          <w:ilvl w:val="1"/>
          <w:numId w:val="16"/>
        </w:numPr>
        <w:tabs>
          <w:tab w:val="left" w:pos="709"/>
        </w:tabs>
        <w:spacing w:beforeLines="50" w:afterLines="50"/>
        <w:ind w:firstLineChars="0"/>
        <w:rPr>
          <w:sz w:val="24"/>
        </w:rPr>
      </w:pPr>
      <w:r>
        <w:rPr>
          <w:rFonts w:hint="eastAsia"/>
          <w:sz w:val="24"/>
        </w:rPr>
        <w:t>本合同中所列的违约金和赔偿款，甲方有权从履约保证金或货款中扣除。所有违约金和赔偿款的支付，不免除乙方继续履行合同义务，也不减轻乙方合同项下的其他责任和义务。</w:t>
      </w:r>
    </w:p>
    <w:p>
      <w:pPr>
        <w:pStyle w:val="3"/>
        <w:numPr>
          <w:ilvl w:val="0"/>
          <w:numId w:val="16"/>
        </w:numPr>
        <w:spacing w:beforeLines="100" w:afterLines="50" w:line="240" w:lineRule="auto"/>
        <w:ind w:left="0" w:firstLine="0"/>
        <w:rPr>
          <w:sz w:val="24"/>
        </w:rPr>
      </w:pPr>
      <w:bookmarkStart w:id="207" w:name="_Toc437544549"/>
      <w:bookmarkStart w:id="208" w:name="_Toc24935"/>
      <w:bookmarkStart w:id="209" w:name="_Toc369786996"/>
      <w:r>
        <w:rPr>
          <w:rFonts w:hint="eastAsia"/>
          <w:sz w:val="24"/>
        </w:rPr>
        <w:t>不可抗力</w:t>
      </w:r>
      <w:bookmarkEnd w:id="207"/>
      <w:bookmarkEnd w:id="208"/>
      <w:bookmarkEnd w:id="209"/>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0"/>
          <w:numId w:val="25"/>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不可抗力系指甲乙双方在缔结合同时所不能预见的，并且它的发生及其后果是无法避免和无法克服的事件，诸如战争、严重火灾、洪水、台风、地震等。</w:t>
      </w:r>
    </w:p>
    <w:p>
      <w:pPr>
        <w:pStyle w:val="47"/>
        <w:numPr>
          <w:ilvl w:val="1"/>
          <w:numId w:val="16"/>
        </w:numPr>
        <w:spacing w:beforeLines="50" w:afterLines="50"/>
        <w:ind w:firstLineChars="0"/>
        <w:rPr>
          <w:sz w:val="24"/>
        </w:rPr>
      </w:pPr>
      <w:r>
        <w:rPr>
          <w:rFonts w:hint="eastAsia"/>
          <w:sz w:val="24"/>
        </w:rPr>
        <w:t>受阻方应在不可抗力事件发生后</w:t>
      </w:r>
      <w:r>
        <w:rPr>
          <w:sz w:val="24"/>
        </w:rPr>
        <w:t>7</w:t>
      </w:r>
      <w:r>
        <w:rPr>
          <w:rFonts w:hint="eastAsia"/>
          <w:sz w:val="24"/>
        </w:rPr>
        <w:t>天内，以书面形式通知另一方并详细描述不可抗力事件的发生原因、情况和可能导致的后果，包括该不可抗力事件发生的日期和预计停止的时间，以及对该方履行在本合同下义务的影响，并在另一方合理要求的时间内提供证明。</w:t>
      </w:r>
    </w:p>
    <w:p>
      <w:pPr>
        <w:pStyle w:val="47"/>
        <w:numPr>
          <w:ilvl w:val="1"/>
          <w:numId w:val="16"/>
        </w:numPr>
        <w:spacing w:beforeLines="50" w:afterLines="50"/>
        <w:ind w:firstLineChars="0"/>
        <w:rPr>
          <w:sz w:val="24"/>
        </w:rPr>
      </w:pPr>
      <w:r>
        <w:rPr>
          <w:rFonts w:hint="eastAsia"/>
          <w:sz w:val="24"/>
        </w:rPr>
        <w:t>发生不可抗力事件时，双方应各自承担不可抗力事件对其造成的损失。</w:t>
      </w:r>
    </w:p>
    <w:p>
      <w:pPr>
        <w:pStyle w:val="47"/>
        <w:numPr>
          <w:ilvl w:val="1"/>
          <w:numId w:val="16"/>
        </w:numPr>
        <w:spacing w:beforeLines="50" w:afterLines="50"/>
        <w:ind w:firstLineChars="0"/>
        <w:rPr>
          <w:sz w:val="24"/>
        </w:rPr>
      </w:pPr>
      <w:r>
        <w:rPr>
          <w:rFonts w:hint="eastAsia"/>
          <w:sz w:val="24"/>
        </w:rPr>
        <w:t>若不可抗力发生使合同执行受阻，则合同执行时间根据受影响的时间相应延长，但合同价格不得调整。</w:t>
      </w:r>
    </w:p>
    <w:p>
      <w:pPr>
        <w:pStyle w:val="47"/>
        <w:numPr>
          <w:ilvl w:val="1"/>
          <w:numId w:val="16"/>
        </w:numPr>
        <w:spacing w:beforeLines="50" w:afterLines="50"/>
        <w:ind w:firstLineChars="0"/>
        <w:rPr>
          <w:sz w:val="24"/>
        </w:rPr>
      </w:pPr>
      <w:r>
        <w:rPr>
          <w:rFonts w:hint="eastAsia"/>
          <w:sz w:val="24"/>
        </w:rPr>
        <w:t>一旦不可抗力事件的影响持续60天以上，双方应通过友好协商在合理的时间内达成一致的处理办法。</w:t>
      </w:r>
    </w:p>
    <w:p>
      <w:pPr>
        <w:pStyle w:val="47"/>
        <w:numPr>
          <w:ilvl w:val="1"/>
          <w:numId w:val="16"/>
        </w:numPr>
        <w:spacing w:beforeLines="50" w:afterLines="50"/>
        <w:ind w:firstLineChars="0"/>
        <w:rPr>
          <w:sz w:val="24"/>
        </w:rPr>
      </w:pPr>
      <w:r>
        <w:rPr>
          <w:rFonts w:hint="eastAsia"/>
          <w:sz w:val="24"/>
        </w:rPr>
        <w:t>迟延履行期间发生的不可抗力不具有免责效力。</w:t>
      </w:r>
    </w:p>
    <w:p>
      <w:pPr>
        <w:pStyle w:val="3"/>
        <w:numPr>
          <w:ilvl w:val="0"/>
          <w:numId w:val="16"/>
        </w:numPr>
        <w:spacing w:beforeLines="100" w:afterLines="50" w:line="240" w:lineRule="auto"/>
        <w:ind w:left="0" w:firstLine="0"/>
        <w:rPr>
          <w:sz w:val="24"/>
        </w:rPr>
      </w:pPr>
      <w:bookmarkStart w:id="210" w:name="_Toc369786997"/>
      <w:bookmarkStart w:id="211" w:name="_Toc437544550"/>
      <w:bookmarkStart w:id="212" w:name="_Toc21334"/>
      <w:r>
        <w:rPr>
          <w:rFonts w:hint="eastAsia"/>
          <w:sz w:val="24"/>
        </w:rPr>
        <w:t>税费</w:t>
      </w:r>
      <w:bookmarkEnd w:id="210"/>
      <w:bookmarkEnd w:id="211"/>
      <w:bookmarkEnd w:id="212"/>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0"/>
          <w:numId w:val="26"/>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中国政府向乙方征收的与履行本合同有关的一切税费由乙方支付。</w:t>
      </w:r>
    </w:p>
    <w:p>
      <w:pPr>
        <w:pStyle w:val="47"/>
        <w:numPr>
          <w:ilvl w:val="1"/>
          <w:numId w:val="16"/>
        </w:numPr>
        <w:spacing w:beforeLines="50" w:afterLines="50"/>
        <w:ind w:firstLineChars="0"/>
        <w:rPr>
          <w:sz w:val="24"/>
        </w:rPr>
      </w:pPr>
      <w:r>
        <w:rPr>
          <w:rFonts w:hint="eastAsia"/>
          <w:sz w:val="24"/>
        </w:rPr>
        <w:t>发生在中国境外的，与履行本合同有关的一切税费，应由乙方承担。</w:t>
      </w:r>
    </w:p>
    <w:p>
      <w:pPr>
        <w:pStyle w:val="3"/>
        <w:numPr>
          <w:ilvl w:val="0"/>
          <w:numId w:val="16"/>
        </w:numPr>
        <w:spacing w:beforeLines="100" w:afterLines="50" w:line="240" w:lineRule="auto"/>
        <w:ind w:left="0" w:firstLine="0"/>
        <w:rPr>
          <w:sz w:val="24"/>
        </w:rPr>
      </w:pPr>
      <w:bookmarkStart w:id="213" w:name="_Toc29490"/>
      <w:bookmarkStart w:id="214" w:name="_Toc369786998"/>
      <w:bookmarkStart w:id="215" w:name="_Toc437544551"/>
      <w:r>
        <w:rPr>
          <w:rFonts w:hint="eastAsia"/>
          <w:sz w:val="24"/>
        </w:rPr>
        <w:t>变更指示</w:t>
      </w:r>
      <w:bookmarkEnd w:id="213"/>
      <w:bookmarkEnd w:id="214"/>
      <w:bookmarkEnd w:id="215"/>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0"/>
          <w:numId w:val="27"/>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甲方可随时向乙方发出书面的变更指示，若该变更导致了乙方履行合同项下任何部分义务的费用或所需时间的增减，应对合同价格或交货进度进行合理的调整，另行签订补充合同。</w:t>
      </w:r>
    </w:p>
    <w:p>
      <w:pPr>
        <w:pStyle w:val="47"/>
        <w:numPr>
          <w:ilvl w:val="1"/>
          <w:numId w:val="16"/>
        </w:numPr>
        <w:spacing w:beforeLines="50" w:afterLines="50"/>
        <w:ind w:firstLineChars="0"/>
        <w:rPr>
          <w:sz w:val="24"/>
        </w:rPr>
      </w:pPr>
      <w:r>
        <w:rPr>
          <w:rFonts w:hint="eastAsia"/>
          <w:sz w:val="24"/>
        </w:rPr>
        <w:t>对合同条款做出任何改动或偏离，均须由甲乙双方签署书面协议或合同。</w:t>
      </w:r>
    </w:p>
    <w:p>
      <w:pPr>
        <w:pStyle w:val="3"/>
        <w:numPr>
          <w:ilvl w:val="0"/>
          <w:numId w:val="16"/>
        </w:numPr>
        <w:spacing w:beforeLines="100" w:afterLines="50" w:line="240" w:lineRule="auto"/>
        <w:ind w:left="0" w:firstLine="0"/>
        <w:rPr>
          <w:sz w:val="24"/>
        </w:rPr>
      </w:pPr>
      <w:bookmarkStart w:id="216" w:name="_Toc2451"/>
      <w:bookmarkStart w:id="217" w:name="_Toc437544552"/>
      <w:bookmarkStart w:id="218" w:name="_Toc369786999"/>
      <w:r>
        <w:rPr>
          <w:rFonts w:hint="eastAsia"/>
          <w:sz w:val="24"/>
        </w:rPr>
        <w:t>转让和分包</w:t>
      </w:r>
      <w:bookmarkEnd w:id="216"/>
      <w:bookmarkEnd w:id="217"/>
    </w:p>
    <w:p>
      <w:pPr>
        <w:spacing w:beforeLines="50" w:afterLines="50"/>
        <w:ind w:firstLine="480" w:firstLineChars="200"/>
        <w:rPr>
          <w:sz w:val="24"/>
        </w:rPr>
      </w:pPr>
      <w:r>
        <w:rPr>
          <w:rFonts w:hint="eastAsia"/>
          <w:sz w:val="24"/>
        </w:rPr>
        <w:t>除甲方事先书面同意外，乙方不得将其合同权利、责任和义务部分转让或全部转让或转移给第三方。</w:t>
      </w:r>
    </w:p>
    <w:bookmarkEnd w:id="218"/>
    <w:p>
      <w:pPr>
        <w:pStyle w:val="3"/>
        <w:numPr>
          <w:ilvl w:val="0"/>
          <w:numId w:val="16"/>
        </w:numPr>
        <w:spacing w:beforeLines="100" w:afterLines="50" w:line="240" w:lineRule="auto"/>
        <w:ind w:left="0" w:firstLine="0"/>
        <w:rPr>
          <w:sz w:val="24"/>
        </w:rPr>
      </w:pPr>
      <w:bookmarkStart w:id="219" w:name="_Toc8129"/>
      <w:bookmarkStart w:id="220" w:name="_Toc437544553"/>
      <w:bookmarkStart w:id="221" w:name="_Toc369787000"/>
      <w:r>
        <w:rPr>
          <w:rFonts w:hint="eastAsia"/>
          <w:sz w:val="24"/>
        </w:rPr>
        <w:t>争端处理</w:t>
      </w:r>
      <w:bookmarkEnd w:id="219"/>
      <w:bookmarkEnd w:id="220"/>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pStyle w:val="47"/>
        <w:numPr>
          <w:ilvl w:val="0"/>
          <w:numId w:val="28"/>
        </w:numPr>
        <w:ind w:firstLineChars="0"/>
        <w:rPr>
          <w:rFonts w:ascii="宋体" w:hAnsi="宋体"/>
          <w:vanish/>
          <w:kern w:val="0"/>
          <w:sz w:val="24"/>
        </w:rPr>
      </w:pPr>
    </w:p>
    <w:p>
      <w:pPr>
        <w:spacing w:beforeLines="50" w:line="360" w:lineRule="auto"/>
        <w:rPr>
          <w:rFonts w:ascii="宋体" w:hAnsi="宋体"/>
          <w:kern w:val="0"/>
          <w:sz w:val="24"/>
        </w:rPr>
      </w:pPr>
      <w:r>
        <w:rPr>
          <w:rFonts w:hint="eastAsia" w:ascii="宋体" w:hAnsi="宋体"/>
          <w:kern w:val="0"/>
          <w:sz w:val="24"/>
        </w:rPr>
        <w:t>本合同发生争议，由双方友好协商解决，协商不成，依法向甲方所在地人民法院提起诉讼。</w:t>
      </w:r>
    </w:p>
    <w:bookmarkEnd w:id="221"/>
    <w:p>
      <w:pPr>
        <w:pStyle w:val="3"/>
        <w:numPr>
          <w:ilvl w:val="0"/>
          <w:numId w:val="16"/>
        </w:numPr>
        <w:spacing w:beforeLines="100" w:afterLines="50" w:line="240" w:lineRule="auto"/>
        <w:ind w:left="0" w:firstLine="0"/>
        <w:rPr>
          <w:sz w:val="24"/>
        </w:rPr>
      </w:pPr>
      <w:bookmarkStart w:id="222" w:name="_Toc24501"/>
      <w:bookmarkStart w:id="223" w:name="_Toc437544554"/>
      <w:bookmarkStart w:id="224" w:name="_Toc369787001"/>
      <w:r>
        <w:rPr>
          <w:rFonts w:hint="eastAsia"/>
          <w:sz w:val="24"/>
        </w:rPr>
        <w:t>合同生效及其它</w:t>
      </w:r>
      <w:bookmarkEnd w:id="222"/>
      <w:bookmarkEnd w:id="223"/>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0"/>
          <w:numId w:val="29"/>
        </w:numPr>
        <w:ind w:firstLineChars="0"/>
        <w:rPr>
          <w:rFonts w:ascii="宋体" w:hAnsi="宋体"/>
          <w:vanish/>
          <w:kern w:val="0"/>
          <w:sz w:val="24"/>
        </w:rPr>
      </w:pPr>
    </w:p>
    <w:p>
      <w:pPr>
        <w:pStyle w:val="47"/>
        <w:numPr>
          <w:ilvl w:val="1"/>
          <w:numId w:val="16"/>
        </w:numPr>
        <w:spacing w:beforeLines="50" w:afterLines="50"/>
        <w:ind w:firstLineChars="0"/>
        <w:rPr>
          <w:sz w:val="24"/>
        </w:rPr>
      </w:pPr>
      <w:r>
        <w:rPr>
          <w:rFonts w:hint="eastAsia"/>
          <w:sz w:val="24"/>
        </w:rPr>
        <w:t>本合同在甲方收到乙方支付的履约保证金后，双方签字盖章后生效。</w:t>
      </w:r>
    </w:p>
    <w:p>
      <w:pPr>
        <w:pStyle w:val="47"/>
        <w:numPr>
          <w:ilvl w:val="1"/>
          <w:numId w:val="16"/>
        </w:numPr>
        <w:spacing w:beforeLines="50" w:afterLines="50"/>
        <w:ind w:firstLineChars="0"/>
        <w:rPr>
          <w:sz w:val="24"/>
        </w:rPr>
      </w:pPr>
      <w:r>
        <w:rPr>
          <w:rFonts w:hint="eastAsia"/>
          <w:sz w:val="24"/>
        </w:rPr>
        <w:t>下列合同附件为本合同不可分割的部分并与本合同具有同等效力：</w:t>
      </w:r>
    </w:p>
    <w:p>
      <w:pPr>
        <w:pStyle w:val="47"/>
        <w:numPr>
          <w:ilvl w:val="2"/>
          <w:numId w:val="16"/>
        </w:numPr>
        <w:ind w:left="811" w:hanging="811" w:hangingChars="338"/>
        <w:rPr>
          <w:sz w:val="24"/>
        </w:rPr>
      </w:pPr>
      <w:r>
        <w:rPr>
          <w:rFonts w:hint="eastAsia"/>
          <w:sz w:val="24"/>
        </w:rPr>
        <w:t>分项报价表；</w:t>
      </w:r>
    </w:p>
    <w:p>
      <w:pPr>
        <w:pStyle w:val="47"/>
        <w:numPr>
          <w:ilvl w:val="2"/>
          <w:numId w:val="16"/>
        </w:numPr>
        <w:ind w:left="811" w:hanging="811" w:hangingChars="338"/>
        <w:rPr>
          <w:sz w:val="24"/>
        </w:rPr>
      </w:pPr>
      <w:r>
        <w:rPr>
          <w:rFonts w:hint="eastAsia"/>
          <w:sz w:val="24"/>
        </w:rPr>
        <w:t>廉政合同。</w:t>
      </w:r>
    </w:p>
    <w:p>
      <w:pPr>
        <w:pStyle w:val="47"/>
        <w:numPr>
          <w:ilvl w:val="1"/>
          <w:numId w:val="16"/>
        </w:numPr>
        <w:spacing w:beforeLines="50" w:afterLines="50"/>
        <w:ind w:firstLineChars="0"/>
        <w:rPr>
          <w:sz w:val="24"/>
        </w:rPr>
      </w:pPr>
      <w:r>
        <w:rPr>
          <w:rFonts w:hint="eastAsia"/>
          <w:sz w:val="24"/>
        </w:rPr>
        <w:t>下列文件是本合同不可分割的组成部分，本合同未尽事宜从其规定，相互解释，互为说明。除合同另有规定外，其优先顺序如下</w:t>
      </w:r>
      <w:r>
        <w:rPr>
          <w:sz w:val="24"/>
        </w:rPr>
        <w:t>:</w:t>
      </w:r>
    </w:p>
    <w:p>
      <w:pPr>
        <w:pStyle w:val="47"/>
        <w:numPr>
          <w:ilvl w:val="2"/>
          <w:numId w:val="16"/>
        </w:numPr>
        <w:ind w:left="811" w:hanging="811" w:hangingChars="338"/>
        <w:rPr>
          <w:sz w:val="24"/>
        </w:rPr>
      </w:pPr>
      <w:r>
        <w:rPr>
          <w:rFonts w:hint="eastAsia"/>
          <w:sz w:val="24"/>
        </w:rPr>
        <w:t>中选通知书；</w:t>
      </w:r>
    </w:p>
    <w:p>
      <w:pPr>
        <w:pStyle w:val="47"/>
        <w:numPr>
          <w:ilvl w:val="2"/>
          <w:numId w:val="16"/>
        </w:numPr>
        <w:ind w:left="811" w:hanging="811" w:hangingChars="338"/>
        <w:rPr>
          <w:sz w:val="24"/>
        </w:rPr>
      </w:pPr>
      <w:r>
        <w:rPr>
          <w:rFonts w:hint="eastAsia"/>
          <w:sz w:val="24"/>
        </w:rPr>
        <w:t>本合同文本及附件；</w:t>
      </w:r>
    </w:p>
    <w:p>
      <w:pPr>
        <w:pStyle w:val="47"/>
        <w:numPr>
          <w:ilvl w:val="2"/>
          <w:numId w:val="16"/>
        </w:numPr>
        <w:ind w:left="811" w:hanging="811" w:hangingChars="338"/>
        <w:rPr>
          <w:sz w:val="24"/>
        </w:rPr>
      </w:pPr>
      <w:r>
        <w:rPr>
          <w:rFonts w:hint="eastAsia"/>
          <w:sz w:val="24"/>
        </w:rPr>
        <w:t>比选过程中的澄清文件；</w:t>
      </w:r>
    </w:p>
    <w:p>
      <w:pPr>
        <w:pStyle w:val="47"/>
        <w:numPr>
          <w:ilvl w:val="2"/>
          <w:numId w:val="16"/>
        </w:numPr>
        <w:ind w:left="811" w:hanging="811" w:hangingChars="338"/>
        <w:rPr>
          <w:sz w:val="24"/>
        </w:rPr>
      </w:pPr>
      <w:r>
        <w:rPr>
          <w:rFonts w:hint="eastAsia"/>
          <w:sz w:val="24"/>
        </w:rPr>
        <w:t>比选文件；</w:t>
      </w:r>
    </w:p>
    <w:p>
      <w:pPr>
        <w:pStyle w:val="47"/>
        <w:numPr>
          <w:ilvl w:val="2"/>
          <w:numId w:val="16"/>
        </w:numPr>
        <w:ind w:left="811" w:hanging="811" w:hangingChars="338"/>
        <w:rPr>
          <w:sz w:val="24"/>
        </w:rPr>
      </w:pPr>
      <w:r>
        <w:rPr>
          <w:rFonts w:hint="eastAsia"/>
          <w:sz w:val="24"/>
        </w:rPr>
        <w:t>比选申请文件；</w:t>
      </w:r>
    </w:p>
    <w:p>
      <w:pPr>
        <w:pStyle w:val="47"/>
        <w:numPr>
          <w:ilvl w:val="2"/>
          <w:numId w:val="16"/>
        </w:numPr>
        <w:ind w:left="811" w:hanging="811" w:hangingChars="338"/>
        <w:rPr>
          <w:sz w:val="24"/>
        </w:rPr>
      </w:pPr>
      <w:r>
        <w:rPr>
          <w:rFonts w:hint="eastAsia"/>
          <w:sz w:val="24"/>
        </w:rPr>
        <w:t>南宁轨道交通集团有限责任公司制定的相关文件。</w:t>
      </w:r>
    </w:p>
    <w:p>
      <w:pPr>
        <w:pStyle w:val="47"/>
        <w:numPr>
          <w:ilvl w:val="1"/>
          <w:numId w:val="16"/>
        </w:numPr>
        <w:spacing w:beforeLines="50" w:afterLines="50"/>
        <w:ind w:firstLineChars="0"/>
        <w:rPr>
          <w:sz w:val="24"/>
        </w:rPr>
      </w:pPr>
      <w:r>
        <w:rPr>
          <w:rFonts w:hint="eastAsia"/>
          <w:sz w:val="24"/>
        </w:rPr>
        <w:t>本合同正本</w:t>
      </w:r>
      <w:r>
        <w:rPr>
          <w:sz w:val="24"/>
        </w:rPr>
        <w:t>2</w:t>
      </w:r>
      <w:r>
        <w:rPr>
          <w:rFonts w:hint="eastAsia"/>
          <w:sz w:val="24"/>
        </w:rPr>
        <w:t>份，甲、乙双方各</w:t>
      </w:r>
      <w:r>
        <w:rPr>
          <w:sz w:val="24"/>
        </w:rPr>
        <w:t>1</w:t>
      </w:r>
      <w:r>
        <w:rPr>
          <w:rFonts w:hint="eastAsia"/>
          <w:sz w:val="24"/>
        </w:rPr>
        <w:t>份；副本6份，甲方5份，乙方1份；正副本均具有同等法律效力。若正本与副本内容有偏离时，以正本为准。</w:t>
      </w:r>
    </w:p>
    <w:p>
      <w:pPr>
        <w:pStyle w:val="47"/>
        <w:numPr>
          <w:ilvl w:val="1"/>
          <w:numId w:val="16"/>
        </w:numPr>
        <w:spacing w:beforeLines="50" w:afterLines="50"/>
        <w:ind w:firstLineChars="0"/>
        <w:rPr>
          <w:sz w:val="24"/>
        </w:rPr>
      </w:pPr>
      <w:r>
        <w:rPr>
          <w:rFonts w:hint="eastAsia"/>
          <w:sz w:val="24"/>
        </w:rPr>
        <w:t>甲乙双方未尽事宜，经协商一致，可签订补充协议，补充协议与本合同具有同等法律效力。</w:t>
      </w:r>
    </w:p>
    <w:bookmarkEnd w:id="224"/>
    <w:p>
      <w:pPr>
        <w:rPr>
          <w:rFonts w:ascii="宋体" w:hAnsi="宋体"/>
          <w:kern w:val="0"/>
          <w:sz w:val="24"/>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1"/>
        <w:gridCol w:w="51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62"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电话：0771-2332807</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纳税人识别号：914501006821248433</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开户银行：建行南宁市朝阳支行营业部</w:t>
            </w:r>
          </w:p>
        </w:tc>
        <w:tc>
          <w:tcPr>
            <w:tcW w:w="516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161" w:type="dxa"/>
            <w:tcBorders>
              <w:right w:val="single" w:color="auto" w:sz="4" w:space="0"/>
            </w:tcBorders>
          </w:tcPr>
          <w:p>
            <w:pPr>
              <w:ind w:right="-86" w:rightChars="-41"/>
              <w:rPr>
                <w:rFonts w:ascii="宋体" w:hAnsi="宋体"/>
                <w:kern w:val="0"/>
                <w:sz w:val="24"/>
              </w:rPr>
            </w:pPr>
            <w:r>
              <w:rPr>
                <w:rFonts w:hint="eastAsia" w:ascii="宋体" w:hAnsi="宋体"/>
                <w:kern w:val="0"/>
                <w:sz w:val="24"/>
              </w:rPr>
              <w:t>银行账号：</w:t>
            </w:r>
            <w:r>
              <w:rPr>
                <w:rFonts w:ascii="宋体" w:hAnsi="宋体"/>
                <w:kern w:val="0"/>
                <w:sz w:val="24"/>
              </w:rPr>
              <w:t>45001604473059116688</w:t>
            </w:r>
          </w:p>
        </w:tc>
        <w:tc>
          <w:tcPr>
            <w:tcW w:w="5162"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银行账号：</w:t>
            </w:r>
          </w:p>
        </w:tc>
      </w:tr>
    </w:tbl>
    <w:p>
      <w:pPr>
        <w:rPr>
          <w:rFonts w:ascii="宋体" w:hAnsi="宋体"/>
          <w:kern w:val="0"/>
          <w:sz w:val="24"/>
        </w:rPr>
      </w:pPr>
    </w:p>
    <w:p>
      <w:pPr>
        <w:widowControl/>
        <w:jc w:val="left"/>
        <w:rPr>
          <w:rFonts w:ascii="宋体" w:hAnsi="宋体"/>
          <w:kern w:val="0"/>
          <w:sz w:val="24"/>
        </w:rPr>
      </w:pPr>
      <w:r>
        <w:rPr>
          <w:rFonts w:ascii="宋体" w:hAnsi="宋体"/>
          <w:kern w:val="0"/>
          <w:sz w:val="24"/>
        </w:rPr>
        <w:br w:type="page"/>
      </w:r>
    </w:p>
    <w:p>
      <w:pPr>
        <w:ind w:right="-86" w:rightChars="-41"/>
        <w:rPr>
          <w:rFonts w:ascii="宋体" w:hAnsi="宋体"/>
          <w:kern w:val="0"/>
          <w:sz w:val="24"/>
        </w:rPr>
      </w:pPr>
      <w:r>
        <w:rPr>
          <w:rFonts w:hint="eastAsia" w:ascii="宋体" w:hAnsi="宋体"/>
          <w:kern w:val="0"/>
          <w:sz w:val="24"/>
        </w:rPr>
        <w:t>附件(二)</w:t>
      </w:r>
    </w:p>
    <w:p>
      <w:pPr>
        <w:pStyle w:val="3"/>
        <w:spacing w:before="0" w:after="100" w:afterAutospacing="1" w:line="240" w:lineRule="auto"/>
        <w:jc w:val="center"/>
        <w:rPr>
          <w:sz w:val="36"/>
        </w:rPr>
      </w:pPr>
      <w:bookmarkStart w:id="225" w:name="_Toc11537"/>
      <w:r>
        <w:rPr>
          <w:rFonts w:hint="eastAsia"/>
          <w:sz w:val="36"/>
        </w:rPr>
        <w:t>廉 政 合 同</w:t>
      </w:r>
      <w:bookmarkEnd w:id="225"/>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甲方 ：南宁轨道交通集团有限责任公司</w:t>
      </w:r>
    </w:p>
    <w:p>
      <w:pPr>
        <w:widowControl/>
        <w:autoSpaceDE w:val="0"/>
        <w:autoSpaceDN w:val="0"/>
        <w:spacing w:line="400" w:lineRule="exact"/>
        <w:ind w:firstLine="420"/>
        <w:textAlignment w:val="bottom"/>
        <w:rPr>
          <w:rFonts w:ascii="宋体" w:hAnsi="宋体"/>
          <w:sz w:val="24"/>
          <w:szCs w:val="21"/>
        </w:rPr>
      </w:pPr>
      <w:r>
        <w:rPr>
          <w:rFonts w:hint="eastAsia" w:ascii="宋体" w:hAnsi="宋体"/>
          <w:sz w:val="24"/>
          <w:szCs w:val="21"/>
        </w:rPr>
        <w:t>乙方 ：</w:t>
      </w:r>
    </w:p>
    <w:p>
      <w:pPr>
        <w:spacing w:line="400" w:lineRule="exact"/>
        <w:ind w:firstLine="480" w:firstLineChars="200"/>
        <w:rPr>
          <w:rFonts w:ascii="宋体" w:hAnsi="宋体"/>
          <w:sz w:val="24"/>
          <w:szCs w:val="21"/>
        </w:rPr>
      </w:pPr>
      <w:r>
        <w:rPr>
          <w:rFonts w:ascii="宋体" w:hAnsi="宋体"/>
          <w:sz w:val="24"/>
          <w:szCs w:val="21"/>
        </w:rPr>
        <w:t>为加强</w:t>
      </w:r>
      <w:r>
        <w:rPr>
          <w:rFonts w:hint="eastAsia" w:ascii="宋体" w:hAnsi="宋体"/>
          <w:sz w:val="24"/>
          <w:szCs w:val="21"/>
        </w:rPr>
        <w:t>采购工作</w:t>
      </w:r>
      <w:r>
        <w:rPr>
          <w:rFonts w:ascii="宋体" w:hAnsi="宋体"/>
          <w:sz w:val="24"/>
          <w:szCs w:val="21"/>
        </w:rPr>
        <w:t>中的廉政建设，规范</w:t>
      </w:r>
      <w:r>
        <w:rPr>
          <w:rFonts w:hint="eastAsia" w:ascii="宋体" w:hAnsi="宋体"/>
          <w:sz w:val="24"/>
          <w:szCs w:val="21"/>
        </w:rPr>
        <w:t>采购工作</w:t>
      </w:r>
      <w:r>
        <w:rPr>
          <w:rFonts w:ascii="宋体" w:hAnsi="宋体"/>
          <w:sz w:val="24"/>
          <w:szCs w:val="21"/>
        </w:rPr>
        <w:t>过程中</w:t>
      </w:r>
      <w:r>
        <w:rPr>
          <w:rFonts w:hint="eastAsia" w:ascii="宋体" w:hAnsi="宋体"/>
          <w:sz w:val="24"/>
          <w:szCs w:val="21"/>
        </w:rPr>
        <w:t>甲</w:t>
      </w:r>
      <w:r>
        <w:rPr>
          <w:rFonts w:ascii="宋体" w:hAnsi="宋体"/>
          <w:sz w:val="24"/>
          <w:szCs w:val="21"/>
        </w:rPr>
        <w:t>、</w:t>
      </w:r>
      <w:r>
        <w:rPr>
          <w:rFonts w:hint="eastAsia" w:ascii="宋体" w:hAnsi="宋体"/>
          <w:sz w:val="24"/>
          <w:szCs w:val="21"/>
        </w:rPr>
        <w:t>乙</w:t>
      </w:r>
      <w:r>
        <w:rPr>
          <w:rFonts w:ascii="宋体" w:hAnsi="宋体"/>
          <w:sz w:val="24"/>
          <w:szCs w:val="21"/>
        </w:rPr>
        <w:t>双方的各项活动，防止发生各种谋取不正当利益的违法违纪行为，保护国家、集体和当事人的合法权益，根据国家有关</w:t>
      </w:r>
      <w:r>
        <w:rPr>
          <w:rFonts w:hint="eastAsia" w:ascii="宋体" w:hAnsi="宋体"/>
          <w:sz w:val="24"/>
          <w:szCs w:val="21"/>
        </w:rPr>
        <w:t>采购工作</w:t>
      </w:r>
      <w:r>
        <w:rPr>
          <w:rFonts w:ascii="宋体" w:hAnsi="宋体"/>
          <w:sz w:val="24"/>
          <w:szCs w:val="21"/>
        </w:rPr>
        <w:t>的法律法规和廉政建设责任制规定，特订立本廉政合同。</w:t>
      </w:r>
    </w:p>
    <w:p>
      <w:pPr>
        <w:spacing w:line="400" w:lineRule="exact"/>
        <w:ind w:firstLine="540" w:firstLineChars="225"/>
        <w:rPr>
          <w:rFonts w:ascii="宋体" w:hAnsi="宋体"/>
          <w:sz w:val="24"/>
          <w:szCs w:val="21"/>
        </w:rPr>
      </w:pPr>
      <w:r>
        <w:rPr>
          <w:rFonts w:ascii="宋体" w:hAnsi="宋体"/>
          <w:sz w:val="24"/>
          <w:szCs w:val="21"/>
        </w:rPr>
        <w:t xml:space="preserve">第一条 </w:t>
      </w:r>
      <w:r>
        <w:rPr>
          <w:rFonts w:hint="eastAsia" w:ascii="宋体" w:hAnsi="宋体"/>
          <w:sz w:val="24"/>
          <w:szCs w:val="21"/>
        </w:rPr>
        <w:t>甲乙</w:t>
      </w:r>
      <w:r>
        <w:rPr>
          <w:rFonts w:ascii="宋体" w:hAnsi="宋体"/>
          <w:sz w:val="24"/>
          <w:szCs w:val="21"/>
        </w:rPr>
        <w:t>双方的责任</w:t>
      </w:r>
    </w:p>
    <w:p>
      <w:pPr>
        <w:spacing w:line="400" w:lineRule="exact"/>
        <w:ind w:firstLine="540" w:firstLineChars="225"/>
        <w:rPr>
          <w:rFonts w:ascii="宋体" w:hAnsi="宋体"/>
          <w:sz w:val="24"/>
          <w:szCs w:val="21"/>
        </w:rPr>
      </w:pPr>
      <w:r>
        <w:rPr>
          <w:rFonts w:ascii="宋体" w:hAnsi="宋体"/>
          <w:sz w:val="24"/>
          <w:szCs w:val="21"/>
        </w:rPr>
        <w:t>（一）应严格遵守国家关于市场准入、项目招标投标、</w:t>
      </w:r>
      <w:r>
        <w:rPr>
          <w:rFonts w:hint="eastAsia" w:ascii="宋体" w:hAnsi="宋体"/>
          <w:sz w:val="24"/>
          <w:szCs w:val="21"/>
        </w:rPr>
        <w:t>采购工作</w:t>
      </w:r>
      <w:r>
        <w:rPr>
          <w:rFonts w:ascii="宋体" w:hAnsi="宋体"/>
          <w:sz w:val="24"/>
          <w:szCs w:val="21"/>
        </w:rPr>
        <w:t>、招标代理管理、市场活动的有关法律、法规，相关政策，以及廉政建设的各项规定。</w:t>
      </w:r>
    </w:p>
    <w:p>
      <w:pPr>
        <w:spacing w:line="400" w:lineRule="exact"/>
        <w:ind w:firstLine="540" w:firstLineChars="225"/>
        <w:rPr>
          <w:rFonts w:ascii="宋体" w:hAnsi="宋体"/>
          <w:sz w:val="24"/>
          <w:szCs w:val="21"/>
        </w:rPr>
      </w:pPr>
      <w:r>
        <w:rPr>
          <w:rFonts w:ascii="宋体" w:hAnsi="宋体"/>
          <w:sz w:val="24"/>
          <w:szCs w:val="21"/>
        </w:rPr>
        <w:t>（二）严格执行</w:t>
      </w:r>
      <w:r>
        <w:rPr>
          <w:rFonts w:hint="eastAsia" w:ascii="宋体" w:hAnsi="宋体"/>
          <w:sz w:val="24"/>
          <w:szCs w:val="21"/>
        </w:rPr>
        <w:t>本招标、采购合同</w:t>
      </w:r>
      <w:r>
        <w:rPr>
          <w:rFonts w:ascii="宋体" w:hAnsi="宋体"/>
          <w:sz w:val="24"/>
          <w:szCs w:val="21"/>
        </w:rPr>
        <w:t>文件，自觉按合同办事。</w:t>
      </w:r>
    </w:p>
    <w:p>
      <w:pPr>
        <w:spacing w:line="400" w:lineRule="exact"/>
        <w:ind w:firstLine="540" w:firstLineChars="225"/>
        <w:rPr>
          <w:rFonts w:ascii="宋体" w:hAnsi="宋体"/>
          <w:sz w:val="24"/>
          <w:szCs w:val="21"/>
        </w:rPr>
      </w:pPr>
      <w:r>
        <w:rPr>
          <w:rFonts w:ascii="宋体" w:hAnsi="宋体"/>
          <w:sz w:val="24"/>
          <w:szCs w:val="21"/>
        </w:rPr>
        <w:t>（三）业务活动必须坚持公开、公平、公正、诚信、透明的原则（除法律法规另有规定者外），不得为获取不正当的利益，损害国家、集体和对方利益，不得违反</w:t>
      </w:r>
      <w:r>
        <w:rPr>
          <w:rFonts w:hint="eastAsia" w:ascii="宋体" w:hAnsi="宋体"/>
          <w:sz w:val="24"/>
          <w:szCs w:val="21"/>
        </w:rPr>
        <w:t>采购工作</w:t>
      </w:r>
      <w:r>
        <w:rPr>
          <w:rFonts w:ascii="宋体" w:hAnsi="宋体"/>
          <w:sz w:val="24"/>
          <w:szCs w:val="21"/>
        </w:rPr>
        <w:t>管理的规章制度。</w:t>
      </w:r>
    </w:p>
    <w:p>
      <w:pPr>
        <w:spacing w:line="400" w:lineRule="exact"/>
        <w:ind w:firstLine="540" w:firstLineChars="225"/>
        <w:rPr>
          <w:rFonts w:ascii="宋体" w:hAnsi="宋体"/>
          <w:sz w:val="24"/>
          <w:szCs w:val="21"/>
        </w:rPr>
      </w:pPr>
      <w:r>
        <w:rPr>
          <w:rFonts w:ascii="宋体" w:hAnsi="宋体"/>
          <w:sz w:val="24"/>
          <w:szCs w:val="21"/>
        </w:rPr>
        <w:t>（四）发现对方在业务活动中有违规、违纪、违法行为的，应及时提醒对方，情节严重的，应向其上级主管部门或纪检监察、司法等有关机关举报。</w:t>
      </w:r>
    </w:p>
    <w:p>
      <w:pPr>
        <w:spacing w:line="400" w:lineRule="exact"/>
        <w:ind w:firstLine="540" w:firstLineChars="225"/>
        <w:rPr>
          <w:rFonts w:ascii="宋体" w:hAnsi="宋体"/>
          <w:sz w:val="24"/>
          <w:szCs w:val="21"/>
        </w:rPr>
      </w:pPr>
      <w:r>
        <w:rPr>
          <w:rFonts w:ascii="宋体" w:hAnsi="宋体"/>
          <w:sz w:val="24"/>
          <w:szCs w:val="21"/>
        </w:rPr>
        <w:t xml:space="preserve">第二条 </w:t>
      </w:r>
      <w:r>
        <w:rPr>
          <w:rFonts w:hint="eastAsia" w:ascii="宋体" w:hAnsi="宋体"/>
          <w:sz w:val="24"/>
          <w:szCs w:val="21"/>
        </w:rPr>
        <w:t>甲</w:t>
      </w:r>
      <w:r>
        <w:rPr>
          <w:rFonts w:ascii="宋体" w:hAnsi="宋体"/>
          <w:sz w:val="24"/>
          <w:szCs w:val="21"/>
        </w:rPr>
        <w:t>方的责任</w:t>
      </w:r>
    </w:p>
    <w:p>
      <w:pPr>
        <w:spacing w:line="400" w:lineRule="exact"/>
        <w:ind w:firstLine="540" w:firstLineChars="225"/>
        <w:rPr>
          <w:rFonts w:ascii="宋体" w:hAnsi="宋体"/>
          <w:sz w:val="24"/>
          <w:szCs w:val="21"/>
        </w:rPr>
      </w:pPr>
      <w:r>
        <w:rPr>
          <w:rFonts w:hint="eastAsia" w:ascii="宋体" w:hAnsi="宋体"/>
          <w:sz w:val="24"/>
          <w:szCs w:val="21"/>
        </w:rPr>
        <w:t>甲</w:t>
      </w:r>
      <w:r>
        <w:rPr>
          <w:rFonts w:ascii="宋体" w:hAnsi="宋体"/>
          <w:sz w:val="24"/>
          <w:szCs w:val="21"/>
        </w:rPr>
        <w:t>方的领导和从事该</w:t>
      </w:r>
      <w:r>
        <w:rPr>
          <w:rFonts w:hint="eastAsia" w:ascii="宋体" w:hAnsi="宋体"/>
          <w:sz w:val="24"/>
          <w:szCs w:val="21"/>
        </w:rPr>
        <w:t>采购</w:t>
      </w:r>
      <w:r>
        <w:rPr>
          <w:rFonts w:ascii="宋体" w:hAnsi="宋体"/>
          <w:sz w:val="24"/>
          <w:szCs w:val="21"/>
        </w:rPr>
        <w:t>项目的工作人员，在</w:t>
      </w:r>
      <w:r>
        <w:rPr>
          <w:rFonts w:hint="eastAsia" w:ascii="宋体" w:hAnsi="宋体"/>
          <w:sz w:val="24"/>
          <w:szCs w:val="21"/>
        </w:rPr>
        <w:t>采购工作</w:t>
      </w:r>
      <w:r>
        <w:rPr>
          <w:rFonts w:ascii="宋体" w:hAnsi="宋体"/>
          <w:sz w:val="24"/>
          <w:szCs w:val="21"/>
        </w:rPr>
        <w:t>的事前、事中、事后应遵守以下规定：</w:t>
      </w:r>
    </w:p>
    <w:p>
      <w:pPr>
        <w:spacing w:line="400" w:lineRule="exact"/>
        <w:ind w:firstLine="540" w:firstLineChars="225"/>
        <w:rPr>
          <w:rFonts w:ascii="宋体" w:hAnsi="宋体"/>
          <w:sz w:val="24"/>
          <w:szCs w:val="21"/>
        </w:rPr>
      </w:pPr>
      <w:r>
        <w:rPr>
          <w:rFonts w:ascii="宋体" w:hAnsi="宋体"/>
          <w:sz w:val="24"/>
          <w:szCs w:val="21"/>
        </w:rPr>
        <w:t>（一）不准向</w:t>
      </w:r>
      <w:r>
        <w:rPr>
          <w:rFonts w:hint="eastAsia" w:ascii="宋体" w:hAnsi="宋体"/>
          <w:sz w:val="24"/>
          <w:szCs w:val="21"/>
        </w:rPr>
        <w:t>乙</w:t>
      </w:r>
      <w:r>
        <w:rPr>
          <w:rFonts w:ascii="宋体" w:hAnsi="宋体"/>
          <w:sz w:val="24"/>
          <w:szCs w:val="21"/>
        </w:rPr>
        <w:t>方和相关单位索要或接受回扣、礼金、有价证券、贵重物品和好处费、感谢费等。</w:t>
      </w:r>
    </w:p>
    <w:p>
      <w:pPr>
        <w:spacing w:line="400" w:lineRule="exact"/>
        <w:ind w:firstLine="540" w:firstLineChars="225"/>
        <w:rPr>
          <w:rFonts w:ascii="宋体" w:hAnsi="宋体"/>
          <w:sz w:val="24"/>
          <w:szCs w:val="21"/>
        </w:rPr>
      </w:pPr>
      <w:r>
        <w:rPr>
          <w:rFonts w:ascii="宋体" w:hAnsi="宋体"/>
          <w:sz w:val="24"/>
          <w:szCs w:val="21"/>
        </w:rPr>
        <w:t>（二）不准在</w:t>
      </w:r>
      <w:r>
        <w:rPr>
          <w:rFonts w:hint="eastAsia" w:ascii="宋体" w:hAnsi="宋体"/>
          <w:sz w:val="24"/>
          <w:szCs w:val="21"/>
        </w:rPr>
        <w:t>乙方</w:t>
      </w:r>
      <w:r>
        <w:rPr>
          <w:rFonts w:ascii="宋体" w:hAnsi="宋体"/>
          <w:sz w:val="24"/>
          <w:szCs w:val="21"/>
        </w:rPr>
        <w:t>和相关单位报销任何应由</w:t>
      </w:r>
      <w:r>
        <w:rPr>
          <w:rFonts w:hint="eastAsia" w:ascii="宋体" w:hAnsi="宋体"/>
          <w:sz w:val="24"/>
          <w:szCs w:val="21"/>
        </w:rPr>
        <w:t>甲</w:t>
      </w:r>
      <w:r>
        <w:rPr>
          <w:rFonts w:ascii="宋体" w:hAnsi="宋体"/>
          <w:sz w:val="24"/>
          <w:szCs w:val="21"/>
        </w:rPr>
        <w:t>方或个人支付的费用。</w:t>
      </w:r>
    </w:p>
    <w:p>
      <w:pPr>
        <w:spacing w:line="400" w:lineRule="exact"/>
        <w:ind w:firstLine="540" w:firstLineChars="225"/>
        <w:rPr>
          <w:rFonts w:ascii="宋体" w:hAnsi="宋体"/>
          <w:sz w:val="24"/>
          <w:szCs w:val="21"/>
        </w:rPr>
      </w:pPr>
      <w:r>
        <w:rPr>
          <w:rFonts w:ascii="宋体" w:hAnsi="宋体"/>
          <w:sz w:val="24"/>
          <w:szCs w:val="21"/>
        </w:rPr>
        <w:t>（三）不准要求、暗示或接受</w:t>
      </w:r>
      <w:r>
        <w:rPr>
          <w:rFonts w:hint="eastAsia" w:ascii="宋体" w:hAnsi="宋体"/>
          <w:sz w:val="24"/>
          <w:szCs w:val="21"/>
        </w:rPr>
        <w:t>乙</w:t>
      </w:r>
      <w:r>
        <w:rPr>
          <w:rFonts w:ascii="宋体" w:hAnsi="宋体"/>
          <w:sz w:val="24"/>
          <w:szCs w:val="21"/>
        </w:rPr>
        <w:t>方和相关单位为个人装修住房、婚丧嫁娶、配偶子女的工作安排以及出国（境）、旅游等提供方便。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（四）不准参加有可能影响公正执行公务的</w:t>
      </w:r>
      <w:r>
        <w:rPr>
          <w:rFonts w:hint="eastAsia" w:ascii="宋体" w:hAnsi="宋体"/>
          <w:sz w:val="24"/>
          <w:szCs w:val="21"/>
        </w:rPr>
        <w:t>乙</w:t>
      </w:r>
      <w:r>
        <w:rPr>
          <w:rFonts w:ascii="宋体" w:hAnsi="宋体"/>
          <w:sz w:val="24"/>
          <w:szCs w:val="21"/>
        </w:rPr>
        <w:t>方和相关单位的宴请、娱乐等活动。</w:t>
      </w:r>
    </w:p>
    <w:p>
      <w:pPr>
        <w:spacing w:line="400" w:lineRule="exact"/>
        <w:ind w:firstLine="540" w:firstLineChars="225"/>
        <w:rPr>
          <w:rFonts w:ascii="宋体" w:hAnsi="宋体"/>
          <w:sz w:val="24"/>
          <w:szCs w:val="21"/>
        </w:rPr>
      </w:pPr>
      <w:r>
        <w:rPr>
          <w:rFonts w:ascii="宋体" w:hAnsi="宋体"/>
          <w:sz w:val="24"/>
          <w:szCs w:val="21"/>
        </w:rPr>
        <w:t>（五）不准向</w:t>
      </w:r>
      <w:r>
        <w:rPr>
          <w:rFonts w:hint="eastAsia" w:ascii="宋体" w:hAnsi="宋体"/>
          <w:sz w:val="24"/>
          <w:szCs w:val="21"/>
        </w:rPr>
        <w:t>乙</w:t>
      </w:r>
      <w:r>
        <w:rPr>
          <w:rFonts w:ascii="宋体" w:hAnsi="宋体"/>
          <w:sz w:val="24"/>
          <w:szCs w:val="21"/>
        </w:rPr>
        <w:t>方和相关单位介绍或为配偶、子女、亲属参与同</w:t>
      </w:r>
      <w:r>
        <w:rPr>
          <w:rFonts w:hint="eastAsia" w:ascii="宋体" w:hAnsi="宋体"/>
          <w:sz w:val="24"/>
          <w:szCs w:val="21"/>
        </w:rPr>
        <w:t>甲</w:t>
      </w:r>
      <w:r>
        <w:rPr>
          <w:rFonts w:ascii="宋体" w:hAnsi="宋体"/>
          <w:sz w:val="24"/>
          <w:szCs w:val="21"/>
        </w:rPr>
        <w:t>方</w:t>
      </w:r>
      <w:r>
        <w:rPr>
          <w:rFonts w:hint="eastAsia" w:ascii="宋体" w:hAnsi="宋体"/>
          <w:sz w:val="24"/>
          <w:szCs w:val="21"/>
        </w:rPr>
        <w:t>本</w:t>
      </w:r>
      <w:r>
        <w:rPr>
          <w:rFonts w:ascii="宋体" w:hAnsi="宋体"/>
          <w:sz w:val="24"/>
          <w:szCs w:val="21"/>
        </w:rPr>
        <w:t>项目合同有关的业务等活动。不得以任何理由要求</w:t>
      </w:r>
      <w:r>
        <w:rPr>
          <w:rFonts w:hint="eastAsia" w:ascii="宋体" w:hAnsi="宋体"/>
          <w:sz w:val="24"/>
          <w:szCs w:val="21"/>
        </w:rPr>
        <w:t>乙</w:t>
      </w:r>
      <w:r>
        <w:rPr>
          <w:rFonts w:ascii="宋体" w:hAnsi="宋体"/>
          <w:sz w:val="24"/>
          <w:szCs w:val="21"/>
        </w:rPr>
        <w:t>方和相关单位在</w:t>
      </w:r>
      <w:r>
        <w:rPr>
          <w:rFonts w:hint="eastAsia" w:ascii="宋体" w:hAnsi="宋体"/>
          <w:sz w:val="24"/>
          <w:szCs w:val="21"/>
        </w:rPr>
        <w:t>合同执行</w:t>
      </w:r>
      <w:r>
        <w:rPr>
          <w:rFonts w:ascii="宋体" w:hAnsi="宋体"/>
          <w:sz w:val="24"/>
          <w:szCs w:val="21"/>
        </w:rPr>
        <w:t>中使用某种产品、材料和设备。</w:t>
      </w:r>
    </w:p>
    <w:p>
      <w:pPr>
        <w:spacing w:line="400" w:lineRule="exact"/>
        <w:ind w:firstLine="540" w:firstLineChars="225"/>
        <w:rPr>
          <w:rFonts w:ascii="宋体" w:hAnsi="宋体"/>
          <w:sz w:val="24"/>
          <w:szCs w:val="21"/>
        </w:rPr>
      </w:pPr>
      <w:r>
        <w:rPr>
          <w:rFonts w:ascii="宋体" w:hAnsi="宋体"/>
          <w:sz w:val="24"/>
          <w:szCs w:val="21"/>
        </w:rPr>
        <w:t xml:space="preserve">第三条 </w:t>
      </w:r>
      <w:r>
        <w:rPr>
          <w:rFonts w:hint="eastAsia" w:ascii="宋体" w:hAnsi="宋体"/>
          <w:sz w:val="24"/>
          <w:szCs w:val="21"/>
        </w:rPr>
        <w:t>乙</w:t>
      </w:r>
      <w:r>
        <w:rPr>
          <w:rFonts w:ascii="宋体" w:hAnsi="宋体"/>
          <w:sz w:val="24"/>
          <w:szCs w:val="21"/>
        </w:rPr>
        <w:t>方的责任</w:t>
      </w:r>
    </w:p>
    <w:p>
      <w:pPr>
        <w:spacing w:line="400" w:lineRule="exact"/>
        <w:ind w:firstLine="540" w:firstLineChars="225"/>
        <w:rPr>
          <w:rFonts w:ascii="宋体" w:hAnsi="宋体"/>
          <w:sz w:val="24"/>
          <w:szCs w:val="21"/>
        </w:rPr>
      </w:pPr>
      <w:r>
        <w:rPr>
          <w:rFonts w:ascii="宋体" w:hAnsi="宋体"/>
          <w:sz w:val="24"/>
          <w:szCs w:val="21"/>
        </w:rPr>
        <w:t>应与</w:t>
      </w:r>
      <w:r>
        <w:rPr>
          <w:rFonts w:hint="eastAsia" w:ascii="宋体" w:hAnsi="宋体"/>
          <w:sz w:val="24"/>
          <w:szCs w:val="21"/>
        </w:rPr>
        <w:t>甲</w:t>
      </w:r>
      <w:r>
        <w:rPr>
          <w:rFonts w:ascii="宋体" w:hAnsi="宋体"/>
          <w:sz w:val="24"/>
          <w:szCs w:val="21"/>
        </w:rPr>
        <w:t>方保持正常的业务交往，按照有关法律法规和程序开展业务工作，严格执行</w:t>
      </w:r>
      <w:r>
        <w:rPr>
          <w:rFonts w:hint="eastAsia" w:ascii="宋体" w:hAnsi="宋体"/>
          <w:sz w:val="24"/>
          <w:szCs w:val="21"/>
        </w:rPr>
        <w:t>采购工作</w:t>
      </w:r>
      <w:r>
        <w:rPr>
          <w:rFonts w:ascii="宋体" w:hAnsi="宋体"/>
          <w:sz w:val="24"/>
          <w:szCs w:val="21"/>
        </w:rPr>
        <w:t>的有关方针、政策，尤其是有关</w:t>
      </w:r>
      <w:r>
        <w:rPr>
          <w:rFonts w:hint="eastAsia" w:ascii="宋体" w:hAnsi="宋体"/>
          <w:sz w:val="24"/>
          <w:szCs w:val="21"/>
        </w:rPr>
        <w:t>本项目</w:t>
      </w:r>
      <w:r>
        <w:rPr>
          <w:rFonts w:ascii="宋体" w:hAnsi="宋体"/>
          <w:sz w:val="24"/>
          <w:szCs w:val="21"/>
        </w:rPr>
        <w:t>的强制性标准和规范，并遵守以下规定：</w:t>
      </w:r>
    </w:p>
    <w:p>
      <w:pPr>
        <w:spacing w:line="400" w:lineRule="exact"/>
        <w:ind w:firstLine="540" w:firstLineChars="225"/>
        <w:rPr>
          <w:rFonts w:ascii="宋体" w:hAnsi="宋体"/>
          <w:sz w:val="24"/>
          <w:szCs w:val="21"/>
        </w:rPr>
      </w:pPr>
      <w:r>
        <w:rPr>
          <w:rFonts w:ascii="宋体" w:hAnsi="宋体"/>
          <w:sz w:val="24"/>
          <w:szCs w:val="21"/>
        </w:rPr>
        <w:t>（一）不准以任何理由向</w:t>
      </w:r>
      <w:r>
        <w:rPr>
          <w:rFonts w:hint="eastAsia" w:ascii="宋体" w:hAnsi="宋体"/>
          <w:sz w:val="24"/>
          <w:szCs w:val="21"/>
        </w:rPr>
        <w:t>甲</w:t>
      </w:r>
      <w:r>
        <w:rPr>
          <w:rFonts w:ascii="宋体" w:hAnsi="宋体"/>
          <w:sz w:val="24"/>
          <w:szCs w:val="21"/>
        </w:rPr>
        <w:t>方及其工作人员索要、接受或赠送礼金、有价证券、贵重物品及回扣、好处费、感谢费等。</w:t>
      </w:r>
    </w:p>
    <w:p>
      <w:pPr>
        <w:spacing w:line="400" w:lineRule="exact"/>
        <w:ind w:firstLine="540" w:firstLineChars="225"/>
        <w:rPr>
          <w:rFonts w:ascii="宋体" w:hAnsi="宋体"/>
          <w:sz w:val="24"/>
          <w:szCs w:val="21"/>
        </w:rPr>
      </w:pPr>
      <w:r>
        <w:rPr>
          <w:rFonts w:ascii="宋体" w:hAnsi="宋体"/>
          <w:sz w:val="24"/>
          <w:szCs w:val="21"/>
        </w:rPr>
        <w:t>（二）不准以任何理由为</w:t>
      </w:r>
      <w:r>
        <w:rPr>
          <w:rFonts w:hint="eastAsia" w:ascii="宋体" w:hAnsi="宋体"/>
          <w:sz w:val="24"/>
          <w:szCs w:val="21"/>
        </w:rPr>
        <w:t>甲</w:t>
      </w:r>
      <w:r>
        <w:rPr>
          <w:rFonts w:ascii="宋体" w:hAnsi="宋体"/>
          <w:sz w:val="24"/>
          <w:szCs w:val="21"/>
        </w:rPr>
        <w:t>方和相关单位报销应由对方或个人支付的费用。</w:t>
      </w:r>
    </w:p>
    <w:p>
      <w:pPr>
        <w:spacing w:line="400" w:lineRule="exact"/>
        <w:ind w:firstLine="540" w:firstLineChars="225"/>
        <w:rPr>
          <w:rFonts w:ascii="宋体" w:hAnsi="宋体"/>
          <w:sz w:val="24"/>
          <w:szCs w:val="21"/>
        </w:rPr>
      </w:pPr>
      <w:r>
        <w:rPr>
          <w:rFonts w:ascii="宋体" w:hAnsi="宋体"/>
          <w:sz w:val="24"/>
          <w:szCs w:val="21"/>
        </w:rPr>
        <w:t>（三）不准接受或暗示为</w:t>
      </w:r>
      <w:r>
        <w:rPr>
          <w:rFonts w:hint="eastAsia" w:ascii="宋体" w:hAnsi="宋体"/>
          <w:sz w:val="24"/>
          <w:szCs w:val="21"/>
        </w:rPr>
        <w:t>甲</w:t>
      </w:r>
      <w:r>
        <w:rPr>
          <w:rFonts w:ascii="宋体" w:hAnsi="宋体"/>
          <w:sz w:val="24"/>
          <w:szCs w:val="21"/>
        </w:rPr>
        <w:t>方、相关单位或个人装修住房、婚丧嫁娶、配偶子女的工作安排以及出国（境）、旅游等提供方便。</w:t>
      </w:r>
    </w:p>
    <w:p>
      <w:pPr>
        <w:spacing w:line="400" w:lineRule="exact"/>
        <w:ind w:firstLine="540" w:firstLineChars="225"/>
        <w:rPr>
          <w:rFonts w:ascii="宋体" w:hAnsi="宋体"/>
          <w:sz w:val="24"/>
          <w:szCs w:val="21"/>
        </w:rPr>
      </w:pPr>
      <w:r>
        <w:rPr>
          <w:rFonts w:ascii="宋体" w:hAnsi="宋体"/>
          <w:sz w:val="24"/>
          <w:szCs w:val="21"/>
        </w:rPr>
        <w:t>（四）不准以任何理由为</w:t>
      </w:r>
      <w:r>
        <w:rPr>
          <w:rFonts w:hint="eastAsia" w:ascii="宋体" w:hAnsi="宋体"/>
          <w:sz w:val="24"/>
          <w:szCs w:val="21"/>
        </w:rPr>
        <w:t>甲</w:t>
      </w:r>
      <w:r>
        <w:rPr>
          <w:rFonts w:ascii="宋体" w:hAnsi="宋体"/>
          <w:sz w:val="24"/>
          <w:szCs w:val="21"/>
        </w:rPr>
        <w:t>方、相关单位或个人组织有可能影响公正执行公务的宴请、健身、娱乐等活动。</w:t>
      </w:r>
    </w:p>
    <w:p>
      <w:pPr>
        <w:spacing w:line="400" w:lineRule="exact"/>
        <w:ind w:firstLine="540" w:firstLineChars="225"/>
        <w:rPr>
          <w:rFonts w:ascii="宋体" w:hAnsi="宋体"/>
          <w:sz w:val="24"/>
          <w:szCs w:val="21"/>
        </w:rPr>
      </w:pPr>
      <w:r>
        <w:rPr>
          <w:rFonts w:ascii="宋体" w:hAnsi="宋体"/>
          <w:sz w:val="24"/>
          <w:szCs w:val="21"/>
        </w:rPr>
        <w:t>第四条 违约责任</w:t>
      </w:r>
    </w:p>
    <w:p>
      <w:pPr>
        <w:spacing w:line="400" w:lineRule="exact"/>
        <w:ind w:firstLine="540" w:firstLineChars="225"/>
        <w:rPr>
          <w:rFonts w:ascii="宋体" w:hAnsi="宋体"/>
          <w:sz w:val="24"/>
          <w:szCs w:val="21"/>
        </w:rPr>
      </w:pPr>
      <w:r>
        <w:rPr>
          <w:rFonts w:ascii="宋体" w:hAnsi="宋体"/>
          <w:sz w:val="24"/>
          <w:szCs w:val="21"/>
        </w:rPr>
        <w:t>（一）</w:t>
      </w:r>
      <w:r>
        <w:rPr>
          <w:rFonts w:hint="eastAsia" w:ascii="宋体" w:hAnsi="宋体"/>
          <w:sz w:val="24"/>
          <w:szCs w:val="21"/>
        </w:rPr>
        <w:t>甲</w:t>
      </w:r>
      <w:r>
        <w:rPr>
          <w:rFonts w:ascii="宋体" w:hAnsi="宋体"/>
          <w:sz w:val="24"/>
          <w:szCs w:val="21"/>
        </w:rPr>
        <w:t>方工作人员有违反本协议第一、二条责任行为的，按照管理权限，依据有关法律法规和规定给予党纪、政纪处分或组织处理；涉嫌犯罪的，移交司法机关追究刑事责任；给</w:t>
      </w:r>
      <w:r>
        <w:rPr>
          <w:rFonts w:hint="eastAsia" w:ascii="宋体" w:hAnsi="宋体"/>
          <w:sz w:val="24"/>
          <w:szCs w:val="21"/>
        </w:rPr>
        <w:t>乙</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ascii="宋体" w:hAnsi="宋体"/>
          <w:sz w:val="24"/>
          <w:szCs w:val="21"/>
        </w:rPr>
        <w:t>（二）</w:t>
      </w:r>
      <w:r>
        <w:rPr>
          <w:rFonts w:hint="eastAsia" w:ascii="宋体" w:hAnsi="宋体"/>
          <w:sz w:val="24"/>
          <w:szCs w:val="21"/>
        </w:rPr>
        <w:t>乙</w:t>
      </w:r>
      <w:r>
        <w:rPr>
          <w:rFonts w:ascii="宋体" w:hAnsi="宋体"/>
          <w:sz w:val="24"/>
          <w:szCs w:val="21"/>
        </w:rPr>
        <w:t>方工作人员有违反本协议第一、三条责任行为的，按照管理权限，依据有关法律法规和规定给予党纪、政纪处分或组织处理；涉嫌犯罪的，移交司法机关追究刑事责任；给</w:t>
      </w:r>
      <w:r>
        <w:rPr>
          <w:rFonts w:hint="eastAsia" w:ascii="宋体" w:hAnsi="宋体"/>
          <w:sz w:val="24"/>
          <w:szCs w:val="21"/>
        </w:rPr>
        <w:t>甲</w:t>
      </w:r>
      <w:r>
        <w:rPr>
          <w:rFonts w:ascii="宋体" w:hAnsi="宋体"/>
          <w:sz w:val="24"/>
          <w:szCs w:val="21"/>
        </w:rPr>
        <w:t>方单位造成经济损失的，应予以赔偿。</w:t>
      </w:r>
    </w:p>
    <w:p>
      <w:pPr>
        <w:spacing w:line="400" w:lineRule="exact"/>
        <w:ind w:firstLine="540" w:firstLineChars="225"/>
        <w:rPr>
          <w:rFonts w:ascii="宋体" w:hAnsi="宋体"/>
          <w:sz w:val="24"/>
          <w:szCs w:val="21"/>
        </w:rPr>
      </w:pPr>
      <w:r>
        <w:rPr>
          <w:rFonts w:hint="eastAsia" w:ascii="宋体" w:hAnsi="宋体"/>
          <w:sz w:val="24"/>
          <w:szCs w:val="21"/>
        </w:rPr>
        <w:t>第五条 本合同与南宁轨道交通集团有限责任公司运营分公司2018年票务设备采购项目合同书具有同等法律效力，经双方签字盖章后立即生效。</w:t>
      </w:r>
    </w:p>
    <w:p>
      <w:pPr>
        <w:spacing w:line="400" w:lineRule="exact"/>
        <w:ind w:firstLine="540" w:firstLineChars="225"/>
        <w:rPr>
          <w:rFonts w:ascii="宋体" w:hAnsi="宋体"/>
          <w:sz w:val="24"/>
          <w:szCs w:val="21"/>
        </w:rPr>
      </w:pPr>
      <w:r>
        <w:rPr>
          <w:rFonts w:hint="eastAsia" w:ascii="宋体" w:hAnsi="宋体"/>
          <w:sz w:val="24"/>
          <w:szCs w:val="21"/>
        </w:rPr>
        <w:t>第六条 本合同的有效期：自双方签字盖章之日起，有效期同南宁轨道交通集团有限责任公司运营分公司</w:t>
      </w:r>
      <w:r>
        <w:rPr>
          <w:rFonts w:hint="eastAsia" w:cs="宋体" w:asciiTheme="minorEastAsia" w:hAnsiTheme="minorEastAsia"/>
          <w:kern w:val="0"/>
          <w:sz w:val="24"/>
          <w:szCs w:val="24"/>
        </w:rPr>
        <w:t>屯里车辆段维修中心党总支等5个“党建示范基地”物资</w:t>
      </w:r>
      <w:r>
        <w:rPr>
          <w:rFonts w:hint="eastAsia" w:ascii="宋体" w:hAnsi="宋体"/>
          <w:sz w:val="24"/>
          <w:szCs w:val="21"/>
        </w:rPr>
        <w:t>采购项目合同书。</w:t>
      </w:r>
    </w:p>
    <w:p>
      <w:pPr>
        <w:spacing w:line="400" w:lineRule="exact"/>
        <w:rPr>
          <w:rFonts w:ascii="宋体" w:hAnsi="宋体"/>
          <w:kern w:val="0"/>
          <w:sz w:val="24"/>
          <w:szCs w:val="21"/>
        </w:rPr>
      </w:pPr>
    </w:p>
    <w:tbl>
      <w:tblPr>
        <w:tblStyle w:val="35"/>
        <w:tblW w:w="103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90"/>
        <w:gridCol w:w="51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5191"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5191"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9" w:hRule="atLeast"/>
          <w:jc w:val="center"/>
        </w:trPr>
        <w:tc>
          <w:tcPr>
            <w:tcW w:w="5190"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5191"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地址：</w:t>
            </w:r>
          </w:p>
        </w:tc>
      </w:tr>
    </w:tbl>
    <w:p>
      <w:pPr>
        <w:rPr>
          <w:rFonts w:ascii="宋体" w:hAnsi="宋体"/>
          <w:kern w:val="0"/>
          <w:sz w:val="24"/>
        </w:rPr>
      </w:pPr>
    </w:p>
    <w:p>
      <w:pPr>
        <w:widowControl/>
        <w:jc w:val="left"/>
        <w:rPr>
          <w:rFonts w:ascii="宋体" w:hAnsi="宋体"/>
          <w:kern w:val="0"/>
          <w:sz w:val="24"/>
        </w:rPr>
      </w:pPr>
      <w:r>
        <w:rPr>
          <w:rFonts w:ascii="宋体" w:hAnsi="宋体"/>
          <w:kern w:val="0"/>
          <w:sz w:val="24"/>
        </w:rPr>
        <w:br w:type="page"/>
      </w:r>
    </w:p>
    <w:p>
      <w:pPr>
        <w:pStyle w:val="3"/>
        <w:spacing w:before="0" w:after="100" w:afterAutospacing="1" w:line="240" w:lineRule="auto"/>
        <w:jc w:val="center"/>
        <w:rPr>
          <w:sz w:val="36"/>
        </w:rPr>
      </w:pPr>
      <w:bookmarkStart w:id="226" w:name="_Toc8007"/>
      <w:r>
        <w:rPr>
          <w:rFonts w:hint="eastAsia"/>
          <w:sz w:val="36"/>
        </w:rPr>
        <w:t>三方协议</w:t>
      </w:r>
      <w:bookmarkEnd w:id="226"/>
    </w:p>
    <w:p>
      <w:pPr>
        <w:spacing w:beforeLines="50" w:line="400" w:lineRule="exact"/>
        <w:ind w:firstLine="480" w:firstLineChars="200"/>
        <w:rPr>
          <w:rFonts w:ascii="宋体" w:hAnsi="宋体"/>
          <w:sz w:val="24"/>
          <w:szCs w:val="24"/>
        </w:rPr>
      </w:pPr>
      <w:r>
        <w:rPr>
          <w:rFonts w:hint="eastAsia" w:ascii="宋体" w:hAnsi="宋体"/>
          <w:sz w:val="24"/>
          <w:szCs w:val="24"/>
        </w:rPr>
        <w:t>鉴于甲、乙双方已签订《</w:t>
      </w:r>
      <w:r>
        <w:rPr>
          <w:rFonts w:hint="eastAsia" w:cs="宋体" w:asciiTheme="minorEastAsia" w:hAnsiTheme="minorEastAsia"/>
          <w:kern w:val="0"/>
          <w:sz w:val="24"/>
          <w:szCs w:val="24"/>
        </w:rPr>
        <w:t>南宁轨道交通集团有限责任公司运营分公司可视化党建工作物资采购项目合同书</w:t>
      </w:r>
      <w:r>
        <w:rPr>
          <w:rFonts w:hint="eastAsia" w:ascii="宋体" w:hAnsi="宋体"/>
          <w:sz w:val="24"/>
          <w:szCs w:val="24"/>
        </w:rPr>
        <w:t>》(合同编号，以下简称“原合同”)，遵循平等、自愿、公平和诚信的原则，经甲、乙、丙三方友好协商达成本协议，三方共同遵照履行。</w:t>
      </w:r>
    </w:p>
    <w:p>
      <w:pPr>
        <w:pStyle w:val="47"/>
        <w:spacing w:beforeLines="50" w:afterLines="50"/>
        <w:ind w:left="-420" w:leftChars="-200" w:firstLine="480"/>
        <w:outlineLvl w:val="0"/>
        <w:rPr>
          <w:rFonts w:ascii="宋体" w:hAnsi="宋体"/>
          <w:sz w:val="24"/>
          <w:szCs w:val="24"/>
        </w:rPr>
      </w:pPr>
      <w:bookmarkStart w:id="227" w:name="_Toc29690"/>
      <w:r>
        <w:rPr>
          <w:rFonts w:hint="eastAsia" w:ascii="宋体" w:hAnsi="宋体"/>
          <w:sz w:val="24"/>
          <w:szCs w:val="24"/>
        </w:rPr>
        <w:t>1、本协议明确涉及2号线（或“3号线”）货物的费用支付关系，生效后，乙方向丙方开具发票，由丙方向乙方支付经甲方核准的原合同应付价款。</w:t>
      </w:r>
      <w:bookmarkEnd w:id="227"/>
    </w:p>
    <w:p>
      <w:pPr>
        <w:pStyle w:val="47"/>
        <w:spacing w:beforeLines="50" w:afterLines="50"/>
        <w:ind w:left="-420" w:leftChars="-200" w:firstLine="480"/>
        <w:outlineLvl w:val="0"/>
        <w:rPr>
          <w:rFonts w:ascii="宋体" w:hAnsi="宋体"/>
          <w:sz w:val="24"/>
          <w:szCs w:val="24"/>
        </w:rPr>
      </w:pPr>
      <w:bookmarkStart w:id="228" w:name="_Toc1360"/>
      <w:r>
        <w:rPr>
          <w:rFonts w:hint="eastAsia" w:ascii="宋体" w:hAnsi="宋体"/>
          <w:sz w:val="24"/>
          <w:szCs w:val="24"/>
        </w:rPr>
        <w:t>2、除另有约定外，原合同的其他内容及履行方式不变。</w:t>
      </w:r>
      <w:bookmarkEnd w:id="228"/>
    </w:p>
    <w:p>
      <w:pPr>
        <w:pStyle w:val="47"/>
        <w:spacing w:beforeLines="50" w:afterLines="50"/>
        <w:ind w:left="-420" w:leftChars="-200" w:firstLine="480"/>
        <w:outlineLvl w:val="0"/>
        <w:rPr>
          <w:rFonts w:ascii="宋体" w:hAnsi="宋体"/>
          <w:sz w:val="24"/>
          <w:szCs w:val="24"/>
        </w:rPr>
      </w:pPr>
      <w:bookmarkStart w:id="229" w:name="_Toc11951"/>
      <w:r>
        <w:rPr>
          <w:rFonts w:hint="eastAsia" w:ascii="宋体" w:hAnsi="宋体"/>
          <w:sz w:val="24"/>
          <w:szCs w:val="24"/>
        </w:rPr>
        <w:t>3、因本协议发生的争议，按照原合同约定的争议解决方式处理，丙方亦无异议。</w:t>
      </w:r>
      <w:bookmarkEnd w:id="229"/>
    </w:p>
    <w:p>
      <w:pPr>
        <w:pStyle w:val="47"/>
        <w:spacing w:beforeLines="50" w:afterLines="50"/>
        <w:ind w:left="-420" w:leftChars="-200" w:firstLine="480"/>
        <w:outlineLvl w:val="0"/>
        <w:rPr>
          <w:rFonts w:ascii="宋体" w:hAnsi="宋体"/>
          <w:sz w:val="24"/>
          <w:szCs w:val="24"/>
        </w:rPr>
      </w:pPr>
      <w:bookmarkStart w:id="230" w:name="_Toc14172"/>
      <w:r>
        <w:rPr>
          <w:rFonts w:hint="eastAsia" w:ascii="宋体" w:hAnsi="宋体"/>
          <w:sz w:val="24"/>
          <w:szCs w:val="24"/>
        </w:rPr>
        <w:t>4、本协议经三方法定代表人或委托代理人签字盖章后生效。</w:t>
      </w:r>
      <w:bookmarkEnd w:id="230"/>
    </w:p>
    <w:p>
      <w:pPr>
        <w:pStyle w:val="47"/>
        <w:spacing w:beforeLines="50" w:afterLines="50"/>
        <w:ind w:left="-420" w:leftChars="-200" w:firstLine="480"/>
        <w:outlineLvl w:val="0"/>
        <w:rPr>
          <w:rFonts w:ascii="宋体" w:hAnsi="宋体"/>
          <w:sz w:val="24"/>
          <w:szCs w:val="24"/>
        </w:rPr>
      </w:pPr>
      <w:bookmarkStart w:id="231" w:name="_Toc30764"/>
      <w:r>
        <w:rPr>
          <w:rFonts w:hint="eastAsia" w:ascii="宋体" w:hAnsi="宋体"/>
          <w:sz w:val="24"/>
          <w:szCs w:val="24"/>
        </w:rPr>
        <w:t>5、本协议一式拾份：甲方陆份、乙方贰份、丙方贰份；具有同等法律效力。</w:t>
      </w:r>
      <w:bookmarkEnd w:id="231"/>
    </w:p>
    <w:p>
      <w:pPr>
        <w:rPr>
          <w:rFonts w:ascii="宋体" w:hAnsi="宋体"/>
          <w:sz w:val="24"/>
          <w:szCs w:val="24"/>
        </w:rPr>
      </w:pPr>
    </w:p>
    <w:p>
      <w:pPr>
        <w:rPr>
          <w:rFonts w:ascii="宋体" w:hAnsi="宋体"/>
          <w:sz w:val="24"/>
          <w:szCs w:val="24"/>
        </w:rPr>
      </w:pPr>
      <w:r>
        <w:rPr>
          <w:rFonts w:hint="eastAsia" w:ascii="宋体" w:hAnsi="宋体"/>
          <w:sz w:val="24"/>
          <w:szCs w:val="24"/>
        </w:rPr>
        <w:t>（以下无正文）</w:t>
      </w:r>
    </w:p>
    <w:p>
      <w:pPr>
        <w:spacing w:before="100" w:beforeAutospacing="1" w:after="100" w:afterAutospacing="1"/>
        <w:rPr>
          <w:rFonts w:ascii="宋体" w:hAnsi="宋体"/>
          <w:sz w:val="24"/>
          <w:szCs w:val="24"/>
        </w:rPr>
      </w:pPr>
    </w:p>
    <w:tbl>
      <w:tblPr>
        <w:tblStyle w:val="35"/>
        <w:tblW w:w="103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31"/>
        <w:gridCol w:w="4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kern w:val="0"/>
                <w:sz w:val="24"/>
              </w:rPr>
            </w:pPr>
            <w:r>
              <w:rPr>
                <w:rFonts w:hint="eastAsia" w:ascii="宋体" w:hAnsi="宋体"/>
                <w:kern w:val="0"/>
                <w:sz w:val="24"/>
              </w:rPr>
              <w:t>甲方：南宁轨道交通集团有限责任公司</w:t>
            </w:r>
          </w:p>
        </w:tc>
        <w:tc>
          <w:tcPr>
            <w:tcW w:w="4792" w:type="dxa"/>
            <w:tcBorders>
              <w:top w:val="single" w:color="auto" w:sz="4" w:space="0"/>
              <w:left w:val="single" w:color="auto" w:sz="4" w:space="0"/>
              <w:bottom w:val="nil"/>
            </w:tcBorders>
          </w:tcPr>
          <w:p>
            <w:pPr>
              <w:ind w:right="-86" w:rightChars="-41"/>
              <w:rPr>
                <w:rFonts w:ascii="宋体" w:hAnsi="宋体"/>
                <w:kern w:val="0"/>
                <w:sz w:val="24"/>
              </w:rPr>
            </w:pPr>
            <w:r>
              <w:rPr>
                <w:rFonts w:hint="eastAsia" w:ascii="宋体" w:hAnsi="宋体"/>
                <w:kern w:val="0"/>
                <w:sz w:val="24"/>
              </w:rPr>
              <w:t>乙方：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kern w:val="0"/>
                <w:sz w:val="24"/>
              </w:rPr>
            </w:pPr>
            <w:r>
              <w:rPr>
                <w:rFonts w:hint="eastAsia" w:ascii="宋体" w:hAnsi="宋体"/>
                <w:kern w:val="0"/>
                <w:sz w:val="24"/>
              </w:rPr>
              <w:t xml:space="preserve">法定代表人或委托代理人: </w:t>
            </w:r>
          </w:p>
        </w:tc>
        <w:tc>
          <w:tcPr>
            <w:tcW w:w="479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法定代表人或委托代理人：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kern w:val="0"/>
                <w:sz w:val="24"/>
              </w:rPr>
            </w:pPr>
            <w:r>
              <w:rPr>
                <w:rFonts w:hint="eastAsia" w:ascii="宋体" w:hAnsi="宋体"/>
                <w:kern w:val="0"/>
                <w:sz w:val="24"/>
              </w:rPr>
              <w:t>地址：南宁市云景路69号</w:t>
            </w:r>
          </w:p>
        </w:tc>
        <w:tc>
          <w:tcPr>
            <w:tcW w:w="479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kern w:val="0"/>
                <w:sz w:val="24"/>
              </w:rPr>
            </w:pPr>
            <w:r>
              <w:rPr>
                <w:rFonts w:hint="eastAsia" w:ascii="宋体" w:hAnsi="宋体"/>
                <w:kern w:val="0"/>
                <w:sz w:val="24"/>
              </w:rPr>
              <w:t>电话：0771-2332807</w:t>
            </w:r>
          </w:p>
        </w:tc>
        <w:tc>
          <w:tcPr>
            <w:tcW w:w="479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right w:val="single" w:color="auto" w:sz="4" w:space="0"/>
            </w:tcBorders>
          </w:tcPr>
          <w:p>
            <w:pPr>
              <w:ind w:right="-86" w:rightChars="-41"/>
              <w:rPr>
                <w:rFonts w:ascii="宋体" w:hAnsi="宋体"/>
                <w:kern w:val="0"/>
                <w:sz w:val="24"/>
              </w:rPr>
            </w:pPr>
            <w:r>
              <w:rPr>
                <w:rFonts w:hint="eastAsia" w:ascii="宋体" w:hAnsi="宋体"/>
                <w:kern w:val="0"/>
                <w:sz w:val="24"/>
              </w:rPr>
              <w:t>纳税人识别号：914501006821248433</w:t>
            </w:r>
          </w:p>
        </w:tc>
        <w:tc>
          <w:tcPr>
            <w:tcW w:w="479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8" w:hRule="atLeast"/>
          <w:jc w:val="center"/>
        </w:trPr>
        <w:tc>
          <w:tcPr>
            <w:tcW w:w="5531" w:type="dxa"/>
            <w:tcBorders>
              <w:bottom w:val="nil"/>
              <w:right w:val="single" w:color="auto" w:sz="4" w:space="0"/>
            </w:tcBorders>
          </w:tcPr>
          <w:p>
            <w:pPr>
              <w:ind w:right="-86" w:rightChars="-41"/>
              <w:rPr>
                <w:rFonts w:ascii="宋体" w:hAnsi="宋体"/>
                <w:kern w:val="0"/>
                <w:sz w:val="24"/>
              </w:rPr>
            </w:pPr>
            <w:r>
              <w:rPr>
                <w:rFonts w:hint="eastAsia" w:ascii="宋体" w:hAnsi="宋体"/>
                <w:kern w:val="0"/>
                <w:sz w:val="24"/>
              </w:rPr>
              <w:t>开户银行：建行南宁市朝阳支行营业部</w:t>
            </w:r>
          </w:p>
        </w:tc>
        <w:tc>
          <w:tcPr>
            <w:tcW w:w="4792" w:type="dxa"/>
            <w:tcBorders>
              <w:top w:val="nil"/>
              <w:left w:val="single" w:color="auto" w:sz="4" w:space="0"/>
              <w:bottom w:val="nil"/>
            </w:tcBorders>
          </w:tcPr>
          <w:p>
            <w:pPr>
              <w:ind w:right="-86" w:rightChars="-41"/>
              <w:rPr>
                <w:rFonts w:ascii="宋体" w:hAnsi="宋体"/>
                <w:kern w:val="0"/>
                <w:sz w:val="24"/>
              </w:rPr>
            </w:pPr>
            <w:r>
              <w:rPr>
                <w:rFonts w:hint="eastAsia" w:ascii="宋体" w:hAnsi="宋体"/>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5531" w:type="dxa"/>
            <w:tcBorders>
              <w:top w:val="nil"/>
              <w:bottom w:val="single" w:color="auto" w:sz="4" w:space="0"/>
              <w:right w:val="single" w:color="auto" w:sz="4" w:space="0"/>
            </w:tcBorders>
          </w:tcPr>
          <w:p>
            <w:pPr>
              <w:ind w:right="-86" w:rightChars="-41"/>
              <w:rPr>
                <w:rFonts w:ascii="宋体" w:hAnsi="宋体"/>
                <w:kern w:val="0"/>
                <w:sz w:val="24"/>
              </w:rPr>
            </w:pPr>
            <w:r>
              <w:rPr>
                <w:rFonts w:hint="eastAsia" w:ascii="宋体" w:hAnsi="宋体"/>
                <w:kern w:val="0"/>
                <w:sz w:val="24"/>
              </w:rPr>
              <w:t>银行账号：</w:t>
            </w:r>
            <w:r>
              <w:rPr>
                <w:rFonts w:ascii="宋体" w:hAnsi="宋体"/>
                <w:kern w:val="0"/>
                <w:sz w:val="24"/>
              </w:rPr>
              <w:t>45001604473059116688</w:t>
            </w:r>
          </w:p>
        </w:tc>
        <w:tc>
          <w:tcPr>
            <w:tcW w:w="4792" w:type="dxa"/>
            <w:tcBorders>
              <w:top w:val="nil"/>
              <w:left w:val="single" w:color="auto" w:sz="4" w:space="0"/>
              <w:bottom w:val="single" w:color="auto" w:sz="4" w:space="0"/>
            </w:tcBorders>
          </w:tcPr>
          <w:p>
            <w:pPr>
              <w:ind w:right="-86" w:rightChars="-41"/>
              <w:rPr>
                <w:rFonts w:ascii="宋体" w:hAnsi="宋体"/>
                <w:kern w:val="0"/>
                <w:sz w:val="24"/>
              </w:rPr>
            </w:pPr>
            <w:r>
              <w:rPr>
                <w:rFonts w:hint="eastAsia" w:ascii="宋体" w:hAnsi="宋体"/>
                <w:kern w:val="0"/>
                <w:sz w:val="24"/>
              </w:rPr>
              <w:t>银行账号：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丙方：南宁轨道交通二号线建设有限公司（或</w:t>
            </w:r>
            <w:r>
              <w:rPr>
                <w:rFonts w:hint="eastAsia"/>
                <w:sz w:val="24"/>
              </w:rPr>
              <w:t>南宁轨道交通三号线建设有限公司</w:t>
            </w:r>
            <w:r>
              <w:rPr>
                <w:rFonts w:hint="eastAsia" w:ascii="宋体" w:hAnsi="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 xml:space="preserve">法定代表人或委托代理人: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地址：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纳税人识别号：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开户银行：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1" w:hRule="atLeast"/>
          <w:jc w:val="center"/>
        </w:trPr>
        <w:tc>
          <w:tcPr>
            <w:tcW w:w="10323" w:type="dxa"/>
            <w:gridSpan w:val="2"/>
            <w:vAlign w:val="center"/>
          </w:tcPr>
          <w:p>
            <w:pPr>
              <w:ind w:right="-86" w:rightChars="-41"/>
              <w:rPr>
                <w:rFonts w:ascii="宋体" w:hAnsi="宋体"/>
                <w:kern w:val="0"/>
                <w:sz w:val="24"/>
              </w:rPr>
            </w:pPr>
            <w:r>
              <w:rPr>
                <w:rFonts w:hint="eastAsia" w:ascii="宋体" w:hAnsi="宋体"/>
                <w:kern w:val="0"/>
                <w:sz w:val="24"/>
              </w:rPr>
              <w:t>银行账号：</w:t>
            </w:r>
          </w:p>
        </w:tc>
      </w:tr>
    </w:tbl>
    <w:p>
      <w:pPr>
        <w:spacing w:line="360" w:lineRule="auto"/>
        <w:rPr>
          <w:rFonts w:ascii="宋体" w:hAnsi="宋体"/>
          <w:sz w:val="24"/>
          <w:szCs w:val="24"/>
        </w:rPr>
      </w:pPr>
    </w:p>
    <w:p>
      <w:pPr>
        <w:rPr>
          <w:rFonts w:ascii="宋体" w:hAnsi="宋体"/>
          <w:kern w:val="0"/>
          <w:sz w:val="24"/>
        </w:rPr>
      </w:pPr>
    </w:p>
    <w:p>
      <w:pPr>
        <w:widowControl/>
        <w:jc w:val="left"/>
        <w:rPr>
          <w:rFonts w:ascii="宋体" w:hAnsi="宋体"/>
          <w:kern w:val="0"/>
          <w:sz w:val="24"/>
        </w:rPr>
      </w:pPr>
      <w:r>
        <w:rPr>
          <w:rFonts w:ascii="宋体" w:hAnsi="宋体"/>
          <w:kern w:val="0"/>
          <w:sz w:val="24"/>
        </w:rPr>
        <w:br w:type="page"/>
      </w:r>
    </w:p>
    <w:p>
      <w:pPr>
        <w:pStyle w:val="32"/>
        <w:numPr>
          <w:ilvl w:val="0"/>
          <w:numId w:val="2"/>
        </w:numPr>
        <w:spacing w:before="100" w:beforeAutospacing="1" w:after="0"/>
        <w:rPr>
          <w:sz w:val="24"/>
        </w:rPr>
      </w:pPr>
      <w:bookmarkStart w:id="232" w:name="_Toc437544683"/>
      <w:bookmarkStart w:id="233" w:name="_Toc437544528"/>
      <w:bookmarkStart w:id="234" w:name="_Toc10664"/>
      <w:r>
        <w:rPr>
          <w:rFonts w:hint="eastAsia"/>
          <w:sz w:val="24"/>
        </w:rPr>
        <w:t>比选申请文件</w:t>
      </w:r>
      <w:bookmarkEnd w:id="232"/>
      <w:bookmarkEnd w:id="233"/>
      <w:bookmarkStart w:id="235" w:name="_Toc114052452"/>
      <w:bookmarkStart w:id="236" w:name="_Toc114052388"/>
      <w:r>
        <w:rPr>
          <w:rFonts w:hint="eastAsia"/>
          <w:sz w:val="24"/>
        </w:rPr>
        <w:t>（格式</w:t>
      </w:r>
      <w:bookmarkEnd w:id="235"/>
      <w:bookmarkEnd w:id="236"/>
      <w:r>
        <w:rPr>
          <w:rFonts w:hint="eastAsia"/>
          <w:sz w:val="24"/>
        </w:rPr>
        <w:t>）</w:t>
      </w:r>
      <w:bookmarkEnd w:id="234"/>
    </w:p>
    <w:p>
      <w:pPr>
        <w:rPr>
          <w:rFonts w:ascii="宋体" w:hAnsi="宋体"/>
          <w:kern w:val="0"/>
          <w:sz w:val="84"/>
        </w:rPr>
      </w:pPr>
      <w:bookmarkStart w:id="237" w:name="_Toc114052390"/>
    </w:p>
    <w:bookmarkEnd w:id="237"/>
    <w:p>
      <w:pPr>
        <w:jc w:val="center"/>
        <w:rPr>
          <w:rFonts w:ascii="宋体" w:hAnsi="宋体"/>
          <w:kern w:val="0"/>
          <w:sz w:val="48"/>
          <w:szCs w:val="48"/>
        </w:rPr>
      </w:pPr>
      <w:r>
        <w:rPr>
          <w:rFonts w:hint="eastAsia" w:ascii="宋体" w:hAnsi="宋体"/>
          <w:kern w:val="0"/>
          <w:sz w:val="48"/>
          <w:szCs w:val="48"/>
          <w:u w:val="single"/>
        </w:rPr>
        <w:t>201</w:t>
      </w:r>
      <w:r>
        <w:rPr>
          <w:rFonts w:hint="eastAsia" w:ascii="宋体" w:hAnsi="宋体"/>
          <w:kern w:val="0"/>
          <w:sz w:val="48"/>
          <w:szCs w:val="48"/>
          <w:u w:val="single"/>
          <w:lang w:val="en-US" w:eastAsia="zh-CN"/>
        </w:rPr>
        <w:t>9</w:t>
      </w:r>
      <w:r>
        <w:rPr>
          <w:rFonts w:hint="eastAsia" w:ascii="宋体" w:hAnsi="宋体"/>
          <w:kern w:val="0"/>
          <w:sz w:val="48"/>
          <w:szCs w:val="48"/>
          <w:u w:val="single"/>
        </w:rPr>
        <w:t>年</w:t>
      </w:r>
      <w:r>
        <w:rPr>
          <w:rFonts w:hint="eastAsia" w:ascii="宋体" w:hAnsi="宋体"/>
          <w:kern w:val="0"/>
          <w:sz w:val="48"/>
          <w:szCs w:val="48"/>
        </w:rPr>
        <w:t>南宁轨道交通集团有限责任公司运营分公司可视化党建工作物资采购项目比选申请文件</w:t>
      </w:r>
    </w:p>
    <w:p>
      <w:pPr>
        <w:pStyle w:val="3"/>
        <w:spacing w:after="100" w:afterAutospacing="1" w:line="240" w:lineRule="auto"/>
        <w:jc w:val="center"/>
        <w:rPr>
          <w:sz w:val="48"/>
        </w:rPr>
      </w:pPr>
      <w:bookmarkStart w:id="238" w:name="_Toc27678"/>
      <w:r>
        <w:rPr>
          <w:rFonts w:hint="eastAsia"/>
          <w:sz w:val="48"/>
        </w:rPr>
        <w:t>资格审查部分</w:t>
      </w:r>
      <w:bookmarkEnd w:id="238"/>
    </w:p>
    <w:p>
      <w:pPr>
        <w:autoSpaceDE w:val="0"/>
        <w:autoSpaceDN w:val="0"/>
        <w:adjustRightInd w:val="0"/>
        <w:spacing w:before="100" w:beforeAutospacing="1" w:after="100" w:afterAutospacing="1"/>
        <w:jc w:val="center"/>
        <w:rPr>
          <w:rFonts w:ascii="楷体_GB2312" w:eastAsia="楷体_GB2312"/>
          <w:kern w:val="0"/>
          <w:sz w:val="24"/>
        </w:rPr>
      </w:pPr>
      <w:r>
        <w:rPr>
          <w:rFonts w:hint="eastAsia" w:ascii="楷体_GB2312" w:eastAsia="楷体_GB2312"/>
          <w:kern w:val="0"/>
          <w:sz w:val="24"/>
        </w:rPr>
        <w:t>项目编号：</w:t>
      </w:r>
    </w:p>
    <w:p>
      <w:pPr>
        <w:autoSpaceDE w:val="0"/>
        <w:autoSpaceDN w:val="0"/>
        <w:adjustRightInd w:val="0"/>
        <w:spacing w:beforeLines="50" w:afterLines="1000"/>
        <w:jc w:val="center"/>
        <w:rPr>
          <w:rFonts w:ascii="楷体_GB2312" w:eastAsia="楷体_GB2312"/>
          <w:kern w:val="0"/>
          <w:sz w:val="36"/>
          <w:szCs w:val="36"/>
        </w:rPr>
      </w:pPr>
      <w:r>
        <w:rPr>
          <w:rFonts w:hint="eastAsia" w:ascii="楷体_GB2312" w:eastAsia="楷体_GB2312"/>
          <w:kern w:val="0"/>
          <w:sz w:val="36"/>
          <w:szCs w:val="36"/>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日期：　　　年    月    日</w:t>
            </w:r>
          </w:p>
        </w:tc>
      </w:tr>
    </w:tbl>
    <w:p>
      <w:pPr>
        <w:widowControl/>
        <w:jc w:val="left"/>
        <w:rPr>
          <w:b/>
          <w:sz w:val="30"/>
          <w:szCs w:val="30"/>
        </w:rPr>
      </w:pPr>
      <w:r>
        <w:rPr>
          <w:b/>
          <w:sz w:val="30"/>
          <w:szCs w:val="30"/>
        </w:rPr>
        <w:br w:type="page"/>
      </w:r>
    </w:p>
    <w:p>
      <w:pPr>
        <w:pStyle w:val="4"/>
        <w:spacing w:before="100" w:beforeAutospacing="1" w:after="100" w:afterAutospacing="1" w:line="240" w:lineRule="auto"/>
        <w:jc w:val="center"/>
        <w:rPr>
          <w:sz w:val="24"/>
        </w:rPr>
      </w:pPr>
      <w:r>
        <w:rPr>
          <w:rFonts w:hint="eastAsia"/>
          <w:sz w:val="24"/>
        </w:rPr>
        <w:t>目　录</w:t>
      </w:r>
    </w:p>
    <w:p>
      <w:pPr>
        <w:pStyle w:val="47"/>
        <w:numPr>
          <w:ilvl w:val="0"/>
          <w:numId w:val="30"/>
        </w:numPr>
        <w:tabs>
          <w:tab w:val="left" w:pos="826"/>
        </w:tabs>
        <w:spacing w:line="560" w:lineRule="exact"/>
        <w:ind w:firstLineChars="0"/>
        <w:rPr>
          <w:rFonts w:ascii="宋体" w:hAnsi="宋体"/>
          <w:kern w:val="0"/>
          <w:sz w:val="24"/>
        </w:rPr>
      </w:pPr>
      <w:r>
        <w:fldChar w:fldCharType="begin"/>
      </w:r>
      <w:r>
        <w:instrText xml:space="preserve"> REF _Ref483060579 \h  \* MERGEFORMAT </w:instrText>
      </w:r>
      <w:r>
        <w:fldChar w:fldCharType="separate"/>
      </w:r>
      <w:r>
        <w:rPr>
          <w:rFonts w:hint="eastAsia" w:ascii="宋体" w:hAnsi="宋体"/>
          <w:sz w:val="24"/>
        </w:rPr>
        <w:t>比选保证金缴纳证明（复印件，原件备查）</w:t>
      </w:r>
      <w:r>
        <w:rPr>
          <w:rFonts w:hint="eastAsia" w:ascii="宋体" w:hAnsi="宋体"/>
          <w:sz w:val="24"/>
        </w:rPr>
        <w:fldChar w:fldCharType="end"/>
      </w:r>
    </w:p>
    <w:p>
      <w:pPr>
        <w:pStyle w:val="47"/>
        <w:numPr>
          <w:ilvl w:val="0"/>
          <w:numId w:val="30"/>
        </w:numPr>
        <w:tabs>
          <w:tab w:val="left" w:pos="826"/>
        </w:tabs>
        <w:spacing w:line="560" w:lineRule="exact"/>
        <w:ind w:firstLineChars="0"/>
        <w:rPr>
          <w:rFonts w:ascii="宋体" w:hAnsi="宋体"/>
          <w:kern w:val="0"/>
          <w:sz w:val="24"/>
        </w:rPr>
      </w:pPr>
      <w:r>
        <w:fldChar w:fldCharType="begin"/>
      </w:r>
      <w:r>
        <w:instrText xml:space="preserve"> REF _Ref483060645 \h  \* MERGEFORMAT </w:instrText>
      </w:r>
      <w:r>
        <w:fldChar w:fldCharType="separate"/>
      </w:r>
      <w:r>
        <w:rPr>
          <w:rFonts w:hint="eastAsia" w:ascii="宋体" w:hAnsi="宋体"/>
          <w:sz w:val="24"/>
        </w:rPr>
        <w:t>诚信声明（原件）</w:t>
      </w:r>
      <w:r>
        <w:rPr>
          <w:rFonts w:hint="eastAsia" w:ascii="宋体" w:hAnsi="宋体"/>
          <w:sz w:val="24"/>
        </w:rPr>
        <w:fldChar w:fldCharType="end"/>
      </w:r>
    </w:p>
    <w:p>
      <w:pPr>
        <w:pStyle w:val="47"/>
        <w:numPr>
          <w:ilvl w:val="0"/>
          <w:numId w:val="30"/>
        </w:numPr>
        <w:tabs>
          <w:tab w:val="left" w:pos="826"/>
        </w:tabs>
        <w:spacing w:line="560" w:lineRule="exact"/>
        <w:ind w:firstLineChars="0"/>
        <w:rPr>
          <w:rFonts w:ascii="宋体" w:hAnsi="宋体"/>
          <w:sz w:val="24"/>
          <w:szCs w:val="24"/>
        </w:rPr>
      </w:pPr>
      <w:r>
        <w:fldChar w:fldCharType="begin"/>
      </w:r>
      <w:r>
        <w:instrText xml:space="preserve"> REF _Ref483060659 \h  \* MERGEFORMAT </w:instrText>
      </w:r>
      <w:r>
        <w:fldChar w:fldCharType="separate"/>
      </w:r>
      <w:r>
        <w:rPr>
          <w:rFonts w:hint="eastAsia" w:ascii="宋体" w:hAnsi="宋体"/>
          <w:sz w:val="24"/>
        </w:rPr>
        <w:t>法定代表人资格证明书（原件）</w:t>
      </w:r>
      <w:r>
        <w:rPr>
          <w:rFonts w:hint="eastAsia" w:ascii="宋体" w:hAnsi="宋体"/>
          <w:sz w:val="24"/>
        </w:rPr>
        <w:fldChar w:fldCharType="end"/>
      </w:r>
    </w:p>
    <w:p>
      <w:pPr>
        <w:pStyle w:val="47"/>
        <w:numPr>
          <w:ilvl w:val="0"/>
          <w:numId w:val="30"/>
        </w:numPr>
        <w:tabs>
          <w:tab w:val="left" w:pos="826"/>
        </w:tabs>
        <w:spacing w:line="560" w:lineRule="exact"/>
        <w:ind w:firstLineChars="0"/>
        <w:rPr>
          <w:rFonts w:ascii="宋体" w:hAnsi="宋体"/>
          <w:kern w:val="0"/>
          <w:sz w:val="24"/>
        </w:rPr>
      </w:pPr>
      <w:r>
        <w:fldChar w:fldCharType="begin"/>
      </w:r>
      <w:r>
        <w:instrText xml:space="preserve"> REF _Ref483060669 \h  \* MERGEFORMAT </w:instrText>
      </w:r>
      <w:r>
        <w:fldChar w:fldCharType="separate"/>
      </w:r>
      <w:r>
        <w:rPr>
          <w:rFonts w:hint="eastAsia" w:ascii="宋体" w:hAnsi="宋体"/>
          <w:sz w:val="24"/>
        </w:rPr>
        <w:t>授权委托书（原件）</w:t>
      </w:r>
      <w:r>
        <w:rPr>
          <w:rFonts w:hint="eastAsia" w:ascii="宋体" w:hAnsi="宋体"/>
          <w:sz w:val="24"/>
        </w:rPr>
        <w:fldChar w:fldCharType="end"/>
      </w:r>
    </w:p>
    <w:p>
      <w:pPr>
        <w:pStyle w:val="47"/>
        <w:numPr>
          <w:ilvl w:val="0"/>
          <w:numId w:val="30"/>
        </w:numPr>
        <w:tabs>
          <w:tab w:val="left" w:pos="826"/>
        </w:tabs>
        <w:spacing w:line="560" w:lineRule="exact"/>
        <w:ind w:firstLineChars="0"/>
        <w:rPr>
          <w:rFonts w:ascii="宋体" w:hAnsi="宋体"/>
          <w:kern w:val="0"/>
          <w:sz w:val="24"/>
        </w:rPr>
      </w:pPr>
      <w:r>
        <w:fldChar w:fldCharType="begin"/>
      </w:r>
      <w:r>
        <w:instrText xml:space="preserve"> REF _Ref483060679 \h  \* MERGEFORMAT </w:instrText>
      </w:r>
      <w:r>
        <w:fldChar w:fldCharType="separate"/>
      </w:r>
      <w:r>
        <w:rPr>
          <w:rFonts w:hint="eastAsia" w:ascii="宋体" w:hAnsi="宋体"/>
          <w:sz w:val="24"/>
        </w:rPr>
        <w:t>营业执照副本（复印件，原件备查）</w:t>
      </w:r>
      <w:r>
        <w:rPr>
          <w:rFonts w:hint="eastAsia" w:ascii="宋体" w:hAnsi="宋体"/>
          <w:sz w:val="24"/>
        </w:rPr>
        <w:fldChar w:fldCharType="end"/>
      </w:r>
    </w:p>
    <w:p>
      <w:pPr>
        <w:pStyle w:val="47"/>
        <w:numPr>
          <w:ilvl w:val="0"/>
          <w:numId w:val="30"/>
        </w:numPr>
        <w:tabs>
          <w:tab w:val="left" w:pos="826"/>
        </w:tabs>
        <w:spacing w:line="560" w:lineRule="exact"/>
        <w:ind w:firstLineChars="0"/>
        <w:rPr>
          <w:rFonts w:ascii="宋体" w:hAnsi="宋体"/>
          <w:kern w:val="0"/>
          <w:sz w:val="24"/>
        </w:rPr>
      </w:pPr>
      <w:r>
        <w:fldChar w:fldCharType="begin"/>
      </w:r>
      <w:r>
        <w:instrText xml:space="preserve"> REF _Ref483060684 \h  \* MERGEFORMAT </w:instrText>
      </w:r>
      <w:r>
        <w:fldChar w:fldCharType="separate"/>
      </w:r>
      <w:r>
        <w:rPr>
          <w:rFonts w:hint="eastAsia" w:ascii="宋体" w:hAnsi="宋体"/>
          <w:sz w:val="24"/>
        </w:rPr>
        <w:t>组织机构代码证（复印件，原件备查；已“三证合一”的可不提供）</w:t>
      </w:r>
      <w:r>
        <w:rPr>
          <w:rFonts w:hint="eastAsia" w:ascii="宋体" w:hAnsi="宋体"/>
          <w:sz w:val="24"/>
        </w:rPr>
        <w:fldChar w:fldCharType="end"/>
      </w:r>
    </w:p>
    <w:p>
      <w:pPr>
        <w:spacing w:line="560" w:lineRule="exact"/>
        <w:rPr>
          <w:rFonts w:ascii="宋体" w:hAnsi="宋体"/>
          <w:b/>
          <w:bCs/>
          <w:sz w:val="28"/>
          <w:szCs w:val="28"/>
        </w:rPr>
        <w:sectPr>
          <w:pgSz w:w="11906" w:h="16838"/>
          <w:pgMar w:top="1134" w:right="851" w:bottom="1134" w:left="1134" w:header="454" w:footer="567" w:gutter="0"/>
          <w:pgNumType w:chapStyle="1"/>
          <w:cols w:space="425" w:num="1"/>
          <w:docGrid w:linePitch="312" w:charSpace="0"/>
        </w:sectPr>
      </w:pPr>
    </w:p>
    <w:p>
      <w:pPr>
        <w:pStyle w:val="4"/>
        <w:numPr>
          <w:ilvl w:val="0"/>
          <w:numId w:val="31"/>
        </w:numPr>
        <w:spacing w:before="100" w:beforeAutospacing="1" w:after="100" w:afterAutospacing="1" w:line="240" w:lineRule="auto"/>
        <w:ind w:left="0" w:firstLine="0"/>
        <w:jc w:val="center"/>
        <w:rPr>
          <w:sz w:val="24"/>
        </w:rPr>
      </w:pPr>
      <w:r>
        <w:fldChar w:fldCharType="begin"/>
      </w:r>
      <w:r>
        <w:instrText xml:space="preserve"> REF _Ref483060579 \h  \* MERGEFORMAT </w:instrText>
      </w:r>
      <w:r>
        <w:fldChar w:fldCharType="separate"/>
      </w:r>
      <w:r>
        <w:rPr>
          <w:rFonts w:hint="eastAsia" w:ascii="宋体" w:hAnsi="宋体"/>
          <w:sz w:val="24"/>
        </w:rPr>
        <w:t>比选保证金缴纳证明（复印件，原件备查）</w:t>
      </w:r>
      <w:r>
        <w:rPr>
          <w:rFonts w:hint="eastAsia" w:ascii="宋体" w:hAnsi="宋体"/>
          <w:sz w:val="24"/>
        </w:rPr>
        <w:fldChar w:fldCharType="end"/>
      </w:r>
    </w:p>
    <w:p>
      <w:pPr>
        <w:jc w:val="center"/>
      </w:pPr>
      <w:r>
        <w:rPr>
          <w:rFonts w:hint="eastAsia" w:ascii="宋体" w:hAnsi="宋体"/>
          <w:sz w:val="24"/>
        </w:rPr>
        <w:t>（比选发起人财务出具的收款证明或比选申请人的转账回执单）</w:t>
      </w:r>
    </w:p>
    <w:p>
      <w:pPr>
        <w:widowControl/>
        <w:jc w:val="left"/>
        <w:rPr>
          <w:rFonts w:ascii="Times New Roman" w:hAnsi="Times New Roman"/>
          <w:b/>
          <w:sz w:val="24"/>
          <w:szCs w:val="20"/>
        </w:rPr>
      </w:pPr>
      <w:r>
        <w:rPr>
          <w:sz w:val="24"/>
        </w:rPr>
        <w:br w:type="page"/>
      </w:r>
    </w:p>
    <w:p>
      <w:pPr>
        <w:pStyle w:val="4"/>
        <w:numPr>
          <w:ilvl w:val="0"/>
          <w:numId w:val="31"/>
        </w:numPr>
        <w:spacing w:before="100" w:beforeAutospacing="1" w:after="100" w:afterAutospacing="1" w:line="240" w:lineRule="auto"/>
        <w:ind w:left="0" w:firstLine="0"/>
        <w:jc w:val="center"/>
        <w:rPr>
          <w:sz w:val="24"/>
        </w:rPr>
      </w:pPr>
      <w:r>
        <w:rPr>
          <w:rFonts w:hint="eastAsia"/>
          <w:sz w:val="24"/>
        </w:rPr>
        <w:t>诚信声明</w:t>
      </w:r>
    </w:p>
    <w:p>
      <w:pPr>
        <w:spacing w:afterLines="50" w:line="560" w:lineRule="exact"/>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（法定代表人、身份证号码             </w:t>
      </w:r>
      <w:r>
        <w:rPr>
          <w:rFonts w:hint="eastAsia" w:ascii="宋体" w:hAnsi="宋体"/>
          <w:sz w:val="24"/>
        </w:rPr>
        <w:t>）郑重声明：</w:t>
      </w:r>
    </w:p>
    <w:p>
      <w:pPr>
        <w:pStyle w:val="47"/>
        <w:numPr>
          <w:ilvl w:val="0"/>
          <w:numId w:val="32"/>
        </w:numPr>
        <w:spacing w:beforeLines="100" w:line="360" w:lineRule="auto"/>
        <w:ind w:left="0" w:firstLine="454" w:firstLineChars="0"/>
        <w:rPr>
          <w:rFonts w:ascii="宋体" w:hAnsi="宋体"/>
          <w:sz w:val="24"/>
        </w:rPr>
      </w:pPr>
      <w:r>
        <w:rPr>
          <w:rFonts w:hint="eastAsia" w:ascii="宋体" w:hAnsi="宋体"/>
          <w:sz w:val="24"/>
        </w:rPr>
        <w:t>本企业参加编号为</w:t>
      </w:r>
      <w:r>
        <w:rPr>
          <w:rFonts w:hint="eastAsia" w:cs="宋体" w:asciiTheme="minorEastAsia" w:hAnsiTheme="minorEastAsia"/>
          <w:kern w:val="0"/>
          <w:sz w:val="24"/>
          <w:szCs w:val="24"/>
        </w:rPr>
        <w:t>南宁轨道交通集团有限责任公司运营分公司可视化党建工作项目物资采购项目</w:t>
      </w:r>
      <w:r>
        <w:rPr>
          <w:rFonts w:hint="eastAsia" w:ascii="宋体" w:hAnsi="宋体"/>
          <w:sz w:val="24"/>
        </w:rPr>
        <w:t>比选活动所提交的所有资料、填写数据及所包含的附件资料内容是真实的、合法的、有效的；</w:t>
      </w:r>
    </w:p>
    <w:p>
      <w:pPr>
        <w:pStyle w:val="47"/>
        <w:numPr>
          <w:ilvl w:val="0"/>
          <w:numId w:val="32"/>
        </w:numPr>
        <w:spacing w:beforeLines="100" w:line="360" w:lineRule="auto"/>
        <w:ind w:left="0" w:firstLine="454" w:firstLineChars="0"/>
        <w:rPr>
          <w:rFonts w:ascii="宋体" w:hAnsi="宋体"/>
          <w:sz w:val="24"/>
        </w:rPr>
      </w:pPr>
      <w:r>
        <w:rPr>
          <w:rFonts w:hint="eastAsia" w:ascii="宋体" w:hAnsi="宋体"/>
          <w:sz w:val="24"/>
        </w:rPr>
        <w:t>本企业未被国家、广西壮族自治区、南宁市相关行政主管部门通报停止投标活动，无犯罪行贿记录；</w:t>
      </w:r>
    </w:p>
    <w:p>
      <w:pPr>
        <w:pStyle w:val="47"/>
        <w:numPr>
          <w:ilvl w:val="0"/>
          <w:numId w:val="32"/>
        </w:numPr>
        <w:spacing w:beforeLines="100" w:line="360" w:lineRule="auto"/>
        <w:ind w:left="0" w:firstLine="454" w:firstLineChars="0"/>
        <w:rPr>
          <w:rFonts w:ascii="宋体" w:hAnsi="宋体"/>
          <w:sz w:val="24"/>
        </w:rPr>
      </w:pPr>
      <w:r>
        <w:rPr>
          <w:rFonts w:hint="eastAsia" w:ascii="宋体" w:hAnsi="宋体"/>
          <w:sz w:val="24"/>
        </w:rPr>
        <w:t>同时，我在此所作的声明也是真实有效的，并愿意对在比选过程中有关部门的调查结果承担责任；</w:t>
      </w:r>
    </w:p>
    <w:p>
      <w:pPr>
        <w:pStyle w:val="47"/>
        <w:numPr>
          <w:ilvl w:val="0"/>
          <w:numId w:val="32"/>
        </w:numPr>
        <w:spacing w:beforeLines="100" w:line="360" w:lineRule="auto"/>
        <w:ind w:left="0" w:firstLine="454" w:firstLineChars="0"/>
        <w:rPr>
          <w:rFonts w:ascii="宋体" w:hAnsi="宋体"/>
          <w:sz w:val="24"/>
        </w:rPr>
      </w:pPr>
      <w:r>
        <w:rPr>
          <w:rFonts w:hint="eastAsia" w:ascii="宋体" w:hAnsi="宋体"/>
          <w:sz w:val="24"/>
        </w:rPr>
        <w:t>本企业提交的所有比选申请资料如有不实，愿接受相关部门依据有关法律法规给予的处罚。</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比选申请人：（公章）</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法定代表人：（签字或盖章）</w:t>
      </w:r>
    </w:p>
    <w:p>
      <w:pPr>
        <w:spacing w:line="560" w:lineRule="exact"/>
        <w:ind w:firstLine="480" w:firstLineChars="200"/>
        <w:rPr>
          <w:rFonts w:ascii="宋体" w:hAnsi="宋体"/>
          <w:sz w:val="24"/>
        </w:rPr>
      </w:pPr>
    </w:p>
    <w:p>
      <w:pPr>
        <w:spacing w:line="560" w:lineRule="exact"/>
        <w:ind w:firstLine="480" w:firstLineChars="200"/>
        <w:rPr>
          <w:rFonts w:ascii="宋体" w:hAnsi="宋体"/>
          <w:sz w:val="24"/>
        </w:rPr>
      </w:pPr>
      <w:r>
        <w:rPr>
          <w:rFonts w:hint="eastAsia" w:ascii="宋体" w:hAnsi="宋体"/>
          <w:sz w:val="24"/>
        </w:rPr>
        <w:t>日期：　　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jc w:val="center"/>
        <w:rPr>
          <w:rFonts w:ascii="宋体" w:hAnsi="宋体"/>
          <w:kern w:val="0"/>
          <w:sz w:val="84"/>
        </w:rPr>
        <w:sectPr>
          <w:pgSz w:w="11906" w:h="16838"/>
          <w:pgMar w:top="1134" w:right="851" w:bottom="1134" w:left="1134" w:header="454" w:footer="567" w:gutter="0"/>
          <w:cols w:space="425" w:num="1"/>
          <w:docGrid w:linePitch="312" w:charSpace="0"/>
        </w:sectPr>
      </w:pPr>
    </w:p>
    <w:p>
      <w:pPr>
        <w:pStyle w:val="4"/>
        <w:numPr>
          <w:ilvl w:val="0"/>
          <w:numId w:val="31"/>
        </w:numPr>
        <w:spacing w:before="100" w:beforeAutospacing="1" w:after="100" w:afterAutospacing="1" w:line="240" w:lineRule="auto"/>
        <w:ind w:left="0" w:firstLine="0"/>
        <w:jc w:val="center"/>
        <w:rPr>
          <w:sz w:val="24"/>
        </w:rPr>
      </w:pPr>
      <w:r>
        <w:rPr>
          <w:rFonts w:hint="eastAsia"/>
          <w:sz w:val="24"/>
        </w:rPr>
        <w:t>法定代表人资格证明书</w:t>
      </w:r>
    </w:p>
    <w:p>
      <w:pPr>
        <w:rPr>
          <w:rFonts w:ascii="宋体" w:hAnsi="宋体"/>
          <w:b/>
        </w:rPr>
      </w:pPr>
    </w:p>
    <w:p>
      <w:pPr>
        <w:ind w:firstLine="612"/>
        <w:rPr>
          <w:rFonts w:ascii="宋体" w:hAnsi="宋体"/>
          <w:sz w:val="24"/>
        </w:rPr>
      </w:pPr>
      <w:r>
        <w:rPr>
          <w:rFonts w:hint="eastAsia" w:ascii="宋体" w:hAnsi="宋体"/>
          <w:sz w:val="24"/>
        </w:rPr>
        <w:t>单位名称：</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ind w:firstLine="612"/>
        <w:rPr>
          <w:rFonts w:ascii="宋体" w:hAnsi="宋体"/>
          <w:sz w:val="24"/>
        </w:rPr>
      </w:pPr>
    </w:p>
    <w:p>
      <w:pPr>
        <w:ind w:firstLine="610"/>
        <w:rPr>
          <w:rFonts w:ascii="宋体" w:hAnsi="宋体"/>
          <w:sz w:val="24"/>
          <w:u w:val="single"/>
        </w:rPr>
      </w:pPr>
      <w:r>
        <w:rPr>
          <w:rFonts w:hint="eastAsia" w:ascii="宋体" w:hAnsi="宋体"/>
          <w:sz w:val="24"/>
        </w:rPr>
        <w:t>单位性质：</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ind w:firstLine="610"/>
        <w:rPr>
          <w:rFonts w:ascii="宋体" w:hAnsi="宋体"/>
          <w:sz w:val="24"/>
        </w:rPr>
      </w:pPr>
    </w:p>
    <w:p>
      <w:pPr>
        <w:ind w:firstLine="610"/>
        <w:rPr>
          <w:rFonts w:ascii="宋体" w:hAnsi="宋体"/>
          <w:sz w:val="24"/>
          <w:u w:val="single"/>
        </w:rPr>
      </w:pPr>
      <w:r>
        <w:rPr>
          <w:rFonts w:hint="eastAsia" w:ascii="宋体" w:hAnsi="宋体"/>
          <w:sz w:val="24"/>
        </w:rPr>
        <w:t>地    址：</w:t>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r>
        <w:rPr>
          <w:rFonts w:hint="eastAsia" w:ascii="宋体" w:hAnsi="宋体"/>
          <w:sz w:val="24"/>
          <w:u w:val="single"/>
        </w:rPr>
        <w:tab/>
      </w:r>
    </w:p>
    <w:p>
      <w:pPr>
        <w:ind w:firstLine="610"/>
        <w:rPr>
          <w:rFonts w:ascii="宋体" w:hAnsi="宋体"/>
          <w:sz w:val="24"/>
        </w:rPr>
      </w:pPr>
    </w:p>
    <w:p>
      <w:pPr>
        <w:ind w:firstLine="610"/>
        <w:rPr>
          <w:rFonts w:ascii="宋体" w:hAnsi="宋体"/>
          <w:sz w:val="24"/>
        </w:rPr>
      </w:pPr>
      <w:r>
        <w:rPr>
          <w:rFonts w:hint="eastAsia" w:ascii="宋体" w:hAnsi="宋体"/>
          <w:sz w:val="24"/>
        </w:rPr>
        <w:t>成立时间：年月日</w:t>
      </w:r>
    </w:p>
    <w:p>
      <w:pPr>
        <w:ind w:firstLine="610"/>
        <w:rPr>
          <w:rFonts w:ascii="宋体" w:hAnsi="宋体"/>
          <w:sz w:val="24"/>
        </w:rPr>
      </w:pPr>
    </w:p>
    <w:p>
      <w:pPr>
        <w:ind w:firstLine="610"/>
        <w:rPr>
          <w:rFonts w:ascii="宋体" w:hAnsi="宋体"/>
          <w:sz w:val="24"/>
          <w:u w:val="single"/>
        </w:rPr>
      </w:pPr>
      <w:r>
        <w:rPr>
          <w:rFonts w:hint="eastAsia" w:ascii="宋体" w:hAnsi="宋体"/>
          <w:sz w:val="24"/>
        </w:rPr>
        <w:t>经营期限：</w:t>
      </w:r>
      <w:r>
        <w:rPr>
          <w:rFonts w:hint="eastAsia" w:ascii="宋体" w:hAnsi="宋体"/>
          <w:sz w:val="24"/>
          <w:u w:val="single"/>
        </w:rPr>
        <w:tab/>
      </w:r>
      <w:r>
        <w:rPr>
          <w:rFonts w:hint="eastAsia" w:ascii="宋体" w:hAnsi="宋体"/>
          <w:sz w:val="24"/>
          <w:u w:val="single"/>
        </w:rPr>
        <w:tab/>
      </w:r>
    </w:p>
    <w:p>
      <w:pPr>
        <w:ind w:firstLine="610"/>
        <w:rPr>
          <w:rFonts w:ascii="宋体" w:hAnsi="宋体"/>
          <w:sz w:val="24"/>
        </w:rPr>
      </w:pPr>
    </w:p>
    <w:p>
      <w:pPr>
        <w:ind w:firstLine="610"/>
        <w:rPr>
          <w:rFonts w:ascii="宋体" w:hAnsi="宋体"/>
          <w:sz w:val="24"/>
          <w:u w:val="single"/>
        </w:rPr>
      </w:pPr>
      <w:r>
        <w:rPr>
          <w:rFonts w:hint="eastAsia" w:ascii="宋体" w:hAnsi="宋体"/>
          <w:sz w:val="24"/>
        </w:rPr>
        <w:t>姓    名： 性别：年龄： 职务：</w:t>
      </w:r>
      <w:r>
        <w:rPr>
          <w:rFonts w:hint="eastAsia" w:ascii="宋体" w:hAnsi="宋体"/>
          <w:sz w:val="24"/>
          <w:u w:val="single"/>
        </w:rPr>
        <w:tab/>
      </w:r>
      <w:r>
        <w:rPr>
          <w:rFonts w:hint="eastAsia" w:ascii="宋体" w:hAnsi="宋体"/>
          <w:sz w:val="24"/>
          <w:u w:val="single"/>
        </w:rPr>
        <w:tab/>
      </w:r>
    </w:p>
    <w:p>
      <w:pPr>
        <w:ind w:firstLine="610"/>
        <w:rPr>
          <w:rFonts w:ascii="宋体" w:hAnsi="宋体"/>
          <w:sz w:val="24"/>
        </w:rPr>
      </w:pPr>
    </w:p>
    <w:p>
      <w:pPr>
        <w:ind w:firstLine="610"/>
        <w:rPr>
          <w:rFonts w:ascii="宋体" w:hAnsi="宋体"/>
          <w:sz w:val="24"/>
        </w:rPr>
      </w:pPr>
      <w:r>
        <w:rPr>
          <w:rFonts w:hint="eastAsia" w:ascii="宋体" w:hAnsi="宋体"/>
          <w:sz w:val="24"/>
        </w:rPr>
        <w:t>系</w:t>
      </w:r>
      <w:r>
        <w:rPr>
          <w:rFonts w:hint="eastAsia" w:ascii="宋体" w:hAnsi="宋体"/>
          <w:sz w:val="24"/>
          <w:u w:val="single"/>
        </w:rPr>
        <w:t xml:space="preserve">          （比选申请人单位名称）         </w:t>
      </w:r>
      <w:r>
        <w:rPr>
          <w:rFonts w:hint="eastAsia" w:ascii="宋体" w:hAnsi="宋体"/>
          <w:sz w:val="24"/>
        </w:rPr>
        <w:t>的法定代表人。</w:t>
      </w:r>
    </w:p>
    <w:p>
      <w:pPr>
        <w:ind w:firstLine="610"/>
        <w:rPr>
          <w:rFonts w:ascii="宋体" w:hAnsi="宋体"/>
          <w:sz w:val="24"/>
        </w:rPr>
      </w:pPr>
    </w:p>
    <w:p>
      <w:pPr>
        <w:ind w:firstLine="610"/>
        <w:rPr>
          <w:rFonts w:ascii="宋体" w:hAnsi="宋体"/>
          <w:sz w:val="24"/>
        </w:rPr>
      </w:pPr>
      <w:r>
        <w:rPr>
          <w:rFonts w:hint="eastAsia" w:ascii="宋体" w:hAnsi="宋体"/>
          <w:sz w:val="24"/>
        </w:rPr>
        <w:t>特此证明。</w:t>
      </w:r>
    </w:p>
    <w:p>
      <w:pPr>
        <w:tabs>
          <w:tab w:val="left" w:pos="720"/>
          <w:tab w:val="left" w:pos="900"/>
        </w:tabs>
        <w:spacing w:line="360" w:lineRule="auto"/>
        <w:rPr>
          <w:rFonts w:ascii="宋体" w:hAnsi="宋体"/>
          <w:sz w:val="24"/>
        </w:rPr>
      </w:pPr>
    </w:p>
    <w:p>
      <w:pPr>
        <w:tabs>
          <w:tab w:val="left" w:pos="720"/>
          <w:tab w:val="left" w:pos="900"/>
        </w:tabs>
        <w:spacing w:before="100" w:beforeAutospacing="1" w:after="100" w:afterAutospacing="1" w:line="360" w:lineRule="auto"/>
        <w:jc w:val="center"/>
        <w:rPr>
          <w:rFonts w:ascii="宋体" w:hAnsi="宋体"/>
          <w:sz w:val="24"/>
        </w:rPr>
      </w:pPr>
      <w:r>
        <w:rPr>
          <w:rFonts w:hint="eastAsia" w:ascii="宋体" w:hAnsi="宋体"/>
          <w:sz w:val="24"/>
        </w:rPr>
        <w:t xml:space="preserve">                           比选申请人：</w:t>
      </w:r>
      <w:r>
        <w:rPr>
          <w:rFonts w:hint="eastAsia" w:ascii="宋体" w:hAnsi="宋体"/>
          <w:sz w:val="24"/>
          <w:u w:val="single"/>
        </w:rPr>
        <w:t xml:space="preserve">     （公章）        </w:t>
      </w:r>
    </w:p>
    <w:p>
      <w:pPr>
        <w:spacing w:before="100" w:beforeAutospacing="1" w:after="100" w:afterAutospacing="1"/>
        <w:jc w:val="center"/>
        <w:rPr>
          <w:rFonts w:ascii="宋体" w:hAnsi="宋体"/>
          <w:sz w:val="24"/>
        </w:rPr>
      </w:pPr>
      <w:r>
        <w:rPr>
          <w:rFonts w:hint="eastAsia" w:ascii="宋体" w:hAnsi="宋体"/>
          <w:sz w:val="24"/>
        </w:rPr>
        <w:t xml:space="preserve">                                  日  期：年月日</w:t>
      </w:r>
    </w:p>
    <w:tbl>
      <w:tblPr>
        <w:tblStyle w:val="35"/>
        <w:tblW w:w="9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4" w:hRule="atLeast"/>
          <w:jc w:val="center"/>
        </w:trPr>
        <w:tc>
          <w:tcPr>
            <w:tcW w:w="9767" w:type="dxa"/>
          </w:tcPr>
          <w:p>
            <w:pPr>
              <w:pStyle w:val="47"/>
              <w:spacing w:before="100" w:beforeAutospacing="1" w:after="100" w:afterAutospacing="1"/>
              <w:ind w:firstLine="0" w:firstLineChars="0"/>
              <w:rPr>
                <w:rFonts w:ascii="楷体_GB2312" w:eastAsia="楷体_GB2312"/>
                <w:kern w:val="0"/>
                <w:sz w:val="24"/>
              </w:rPr>
            </w:pPr>
            <w:r>
              <w:rPr>
                <w:rFonts w:hint="eastAsia" w:ascii="楷体_GB2312" w:eastAsia="楷体_GB2312"/>
                <w:kern w:val="0"/>
                <w:sz w:val="24"/>
              </w:rPr>
              <w:t>法定代表人身份证复印件（正反两面；也可另附页）：</w:t>
            </w:r>
          </w:p>
        </w:tc>
      </w:tr>
    </w:tbl>
    <w:p>
      <w:pPr>
        <w:pStyle w:val="4"/>
        <w:numPr>
          <w:ilvl w:val="0"/>
          <w:numId w:val="31"/>
        </w:numPr>
        <w:spacing w:before="100" w:beforeAutospacing="1" w:after="100" w:afterAutospacing="1" w:line="240" w:lineRule="auto"/>
        <w:ind w:left="0" w:firstLine="0"/>
        <w:jc w:val="center"/>
        <w:rPr>
          <w:rFonts w:ascii="宋体" w:hAnsi="宋体"/>
          <w:b w:val="0"/>
          <w:kern w:val="0"/>
          <w:sz w:val="24"/>
          <w:szCs w:val="24"/>
        </w:rPr>
      </w:pPr>
      <w:r>
        <w:rPr>
          <w:rFonts w:hint="eastAsia" w:ascii="楷体_GB2312" w:eastAsia="楷体_GB2312"/>
          <w:b w:val="0"/>
          <w:kern w:val="0"/>
          <w:sz w:val="24"/>
        </w:rPr>
        <w:br w:type="page"/>
      </w:r>
      <w:r>
        <w:rPr>
          <w:rFonts w:hint="eastAsia"/>
          <w:sz w:val="24"/>
          <w:szCs w:val="24"/>
        </w:rPr>
        <w:t>授权委托书</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本授权委托书声明：我</w:t>
      </w:r>
      <w:r>
        <w:rPr>
          <w:rFonts w:hint="eastAsia" w:ascii="宋体" w:hAnsi="宋体"/>
          <w:kern w:val="0"/>
          <w:sz w:val="24"/>
          <w:u w:val="single"/>
        </w:rPr>
        <w:t xml:space="preserve">   （姓名）    </w:t>
      </w:r>
      <w:r>
        <w:rPr>
          <w:rFonts w:hint="eastAsia" w:ascii="宋体" w:hAnsi="宋体"/>
          <w:kern w:val="0"/>
          <w:sz w:val="24"/>
        </w:rPr>
        <w:t>系</w:t>
      </w:r>
      <w:r>
        <w:rPr>
          <w:rFonts w:hint="eastAsia" w:ascii="宋体" w:hAnsi="宋体"/>
          <w:kern w:val="0"/>
          <w:sz w:val="24"/>
          <w:u w:val="single"/>
        </w:rPr>
        <w:t>（比选申请人名称）</w:t>
      </w:r>
      <w:r>
        <w:rPr>
          <w:rFonts w:hint="eastAsia" w:ascii="宋体" w:hAnsi="宋体"/>
          <w:kern w:val="0"/>
          <w:sz w:val="24"/>
        </w:rPr>
        <w:t>的法定代表人，现授权委托</w:t>
      </w:r>
      <w:r>
        <w:rPr>
          <w:rFonts w:ascii="宋体" w:hAnsi="宋体"/>
          <w:kern w:val="0"/>
          <w:sz w:val="24"/>
          <w:u w:val="single"/>
        </w:rPr>
        <w:t>(</w:t>
      </w:r>
      <w:r>
        <w:rPr>
          <w:rFonts w:hint="eastAsia" w:ascii="宋体" w:hAnsi="宋体"/>
          <w:kern w:val="0"/>
          <w:sz w:val="24"/>
          <w:u w:val="single"/>
        </w:rPr>
        <w:t xml:space="preserve">比选申请人名称)        </w:t>
      </w:r>
      <w:r>
        <w:rPr>
          <w:rFonts w:hint="eastAsia" w:ascii="宋体" w:hAnsi="宋体"/>
          <w:kern w:val="0"/>
          <w:sz w:val="24"/>
        </w:rPr>
        <w:t>的</w:t>
      </w:r>
      <w:r>
        <w:rPr>
          <w:rFonts w:hint="eastAsia" w:ascii="宋体" w:hAnsi="宋体"/>
          <w:kern w:val="0"/>
          <w:sz w:val="24"/>
          <w:u w:val="single"/>
        </w:rPr>
        <w:t xml:space="preserve">   （姓名）  </w:t>
      </w:r>
      <w:r>
        <w:rPr>
          <w:rFonts w:hint="eastAsia" w:ascii="宋体" w:hAnsi="宋体"/>
          <w:kern w:val="0"/>
          <w:sz w:val="24"/>
        </w:rPr>
        <w:t>为我公司代理人，以本公司名义参加</w:t>
      </w:r>
      <w:r>
        <w:rPr>
          <w:rFonts w:hint="eastAsia" w:ascii="宋体" w:hAnsi="宋体"/>
          <w:kern w:val="0"/>
          <w:sz w:val="24"/>
          <w:u w:val="single"/>
        </w:rPr>
        <w:t xml:space="preserve"> 南宁轨道交通集团有限责任公司运营分公司</w:t>
      </w:r>
      <w:r>
        <w:rPr>
          <w:rFonts w:hint="eastAsia" w:cs="宋体" w:asciiTheme="minorEastAsia" w:hAnsiTheme="minorEastAsia"/>
          <w:kern w:val="0"/>
          <w:sz w:val="24"/>
          <w:szCs w:val="24"/>
        </w:rPr>
        <w:t>可视化党建工作物资采购项目</w:t>
      </w:r>
      <w:r>
        <w:rPr>
          <w:rFonts w:hint="eastAsia" w:ascii="宋体" w:hAnsi="宋体"/>
          <w:kern w:val="0"/>
          <w:sz w:val="24"/>
        </w:rPr>
        <w:t>比选活动。代理人在评审、合同签订及实施过程中所签署的一切文件及处理与之有关的一切事务，我均予以确认。</w:t>
      </w:r>
    </w:p>
    <w:p>
      <w:pPr>
        <w:autoSpaceDE w:val="0"/>
        <w:autoSpaceDN w:val="0"/>
        <w:adjustRightInd w:val="0"/>
        <w:spacing w:line="480" w:lineRule="auto"/>
        <w:ind w:firstLine="614" w:firstLineChars="256"/>
        <w:rPr>
          <w:rFonts w:ascii="宋体" w:hAnsi="宋体"/>
          <w:kern w:val="0"/>
          <w:sz w:val="24"/>
        </w:rPr>
      </w:pPr>
      <w:r>
        <w:rPr>
          <w:rFonts w:hint="eastAsia" w:ascii="宋体" w:hAnsi="宋体"/>
          <w:kern w:val="0"/>
          <w:sz w:val="24"/>
        </w:rPr>
        <w:t>代理人无转委权。特此委托。</w:t>
      </w:r>
    </w:p>
    <w:tbl>
      <w:tblPr>
        <w:tblStyle w:val="35"/>
        <w:tblW w:w="97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79"/>
        <w:gridCol w:w="2551"/>
        <w:gridCol w:w="2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Lines="50" w:afterLines="50"/>
              <w:rPr>
                <w:sz w:val="24"/>
                <w:szCs w:val="24"/>
              </w:rPr>
            </w:pPr>
            <w:r>
              <w:rPr>
                <w:rFonts w:hint="eastAsia"/>
                <w:sz w:val="24"/>
                <w:szCs w:val="24"/>
              </w:rPr>
              <w:t>代理人：</w:t>
            </w:r>
          </w:p>
        </w:tc>
        <w:tc>
          <w:tcPr>
            <w:tcW w:w="2551" w:type="dxa"/>
            <w:vAlign w:val="center"/>
          </w:tcPr>
          <w:p>
            <w:pPr>
              <w:widowControl/>
              <w:spacing w:beforeLines="50" w:afterLines="50"/>
              <w:rPr>
                <w:sz w:val="24"/>
                <w:szCs w:val="24"/>
              </w:rPr>
            </w:pPr>
            <w:r>
              <w:rPr>
                <w:rFonts w:hint="eastAsia"/>
                <w:sz w:val="24"/>
                <w:szCs w:val="24"/>
              </w:rPr>
              <w:t>性别：</w:t>
            </w:r>
          </w:p>
        </w:tc>
        <w:tc>
          <w:tcPr>
            <w:tcW w:w="2324" w:type="dxa"/>
            <w:vAlign w:val="center"/>
          </w:tcPr>
          <w:p>
            <w:pPr>
              <w:widowControl/>
              <w:spacing w:beforeLines="50" w:afterLines="50"/>
              <w:rPr>
                <w:sz w:val="24"/>
                <w:szCs w:val="24"/>
              </w:rPr>
            </w:pPr>
            <w:r>
              <w:rPr>
                <w:rFonts w:hint="eastAsia"/>
                <w:sz w:val="24"/>
                <w:szCs w:val="24"/>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4879" w:type="dxa"/>
            <w:vAlign w:val="center"/>
          </w:tcPr>
          <w:p>
            <w:pPr>
              <w:widowControl/>
              <w:spacing w:beforeLines="50" w:afterLines="50"/>
              <w:rPr>
                <w:sz w:val="24"/>
                <w:szCs w:val="24"/>
              </w:rPr>
            </w:pPr>
            <w:r>
              <w:rPr>
                <w:rFonts w:hint="eastAsia"/>
                <w:sz w:val="24"/>
                <w:szCs w:val="24"/>
              </w:rPr>
              <w:t>单位：</w:t>
            </w:r>
          </w:p>
        </w:tc>
        <w:tc>
          <w:tcPr>
            <w:tcW w:w="2551" w:type="dxa"/>
            <w:vAlign w:val="center"/>
          </w:tcPr>
          <w:p>
            <w:pPr>
              <w:widowControl/>
              <w:spacing w:beforeLines="50" w:afterLines="50"/>
              <w:rPr>
                <w:sz w:val="24"/>
                <w:szCs w:val="24"/>
              </w:rPr>
            </w:pPr>
            <w:r>
              <w:rPr>
                <w:rFonts w:hint="eastAsia"/>
                <w:sz w:val="24"/>
                <w:szCs w:val="24"/>
              </w:rPr>
              <w:t>部门：</w:t>
            </w:r>
          </w:p>
        </w:tc>
        <w:tc>
          <w:tcPr>
            <w:tcW w:w="2324" w:type="dxa"/>
            <w:vAlign w:val="center"/>
          </w:tcPr>
          <w:p>
            <w:pPr>
              <w:widowControl/>
              <w:spacing w:beforeLines="50" w:afterLines="50"/>
              <w:rPr>
                <w:sz w:val="24"/>
                <w:szCs w:val="24"/>
              </w:rPr>
            </w:pPr>
            <w:r>
              <w:rPr>
                <w:rFonts w:hint="eastAsia"/>
                <w:sz w:val="24"/>
                <w:szCs w:val="24"/>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jc w:val="center"/>
        </w:trPr>
        <w:tc>
          <w:tcPr>
            <w:tcW w:w="9754" w:type="dxa"/>
            <w:gridSpan w:val="3"/>
            <w:vAlign w:val="center"/>
          </w:tcPr>
          <w:p>
            <w:pPr>
              <w:widowControl/>
              <w:spacing w:beforeLines="50" w:afterLines="50"/>
              <w:rPr>
                <w:sz w:val="24"/>
                <w:szCs w:val="24"/>
              </w:rPr>
            </w:pPr>
            <w:r>
              <w:rPr>
                <w:rFonts w:hint="eastAsia"/>
                <w:sz w:val="24"/>
                <w:szCs w:val="24"/>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2" w:hRule="atLeast"/>
          <w:jc w:val="center"/>
        </w:trPr>
        <w:tc>
          <w:tcPr>
            <w:tcW w:w="9754" w:type="dxa"/>
            <w:gridSpan w:val="3"/>
            <w:vAlign w:val="center"/>
          </w:tcPr>
          <w:p>
            <w:pPr>
              <w:widowControl/>
              <w:spacing w:beforeLines="50" w:afterLines="50"/>
              <w:rPr>
                <w:sz w:val="24"/>
                <w:szCs w:val="24"/>
              </w:rPr>
            </w:pPr>
            <w:r>
              <w:rPr>
                <w:rFonts w:hint="eastAsia" w:ascii="宋体" w:hAnsi="宋体"/>
                <w:kern w:val="0"/>
                <w:sz w:val="24"/>
                <w:szCs w:val="24"/>
              </w:rPr>
              <w:t>法定代表人：（签字或盖章）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2" w:hRule="atLeast"/>
          <w:jc w:val="center"/>
        </w:trPr>
        <w:tc>
          <w:tcPr>
            <w:tcW w:w="9754" w:type="dxa"/>
            <w:gridSpan w:val="3"/>
            <w:vAlign w:val="center"/>
          </w:tcPr>
          <w:p>
            <w:pPr>
              <w:widowControl/>
              <w:spacing w:beforeLines="50" w:afterLines="50"/>
              <w:rPr>
                <w:sz w:val="24"/>
                <w:szCs w:val="24"/>
              </w:rPr>
            </w:pPr>
            <w:r>
              <w:rPr>
                <w:rFonts w:hint="eastAsia"/>
                <w:sz w:val="24"/>
                <w:szCs w:val="24"/>
              </w:rPr>
              <w:t>日期：　　年　　月　　日</w:t>
            </w:r>
          </w:p>
        </w:tc>
      </w:tr>
    </w:tbl>
    <w:p>
      <w:pPr>
        <w:autoSpaceDE w:val="0"/>
        <w:autoSpaceDN w:val="0"/>
        <w:adjustRightInd w:val="0"/>
        <w:spacing w:beforeLines="50" w:afterLines="50"/>
        <w:jc w:val="left"/>
        <w:rPr>
          <w:rFonts w:ascii="宋体" w:hAnsi="宋体"/>
          <w:kern w:val="0"/>
          <w:sz w:val="24"/>
        </w:rPr>
      </w:pPr>
      <w:r>
        <w:rPr>
          <w:rFonts w:hint="eastAsia" w:ascii="宋体" w:hAnsi="宋体"/>
          <w:b/>
          <w:kern w:val="0"/>
          <w:sz w:val="24"/>
        </w:rPr>
        <w:t>注：比选申请人出具的授权委托书必须按本格式提供，否则其比选申请文件做无效处理。</w:t>
      </w:r>
    </w:p>
    <w:tbl>
      <w:tblPr>
        <w:tblStyle w:val="35"/>
        <w:tblW w:w="10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2" w:hRule="atLeast"/>
          <w:jc w:val="center"/>
        </w:trPr>
        <w:tc>
          <w:tcPr>
            <w:tcW w:w="10137" w:type="dxa"/>
          </w:tcPr>
          <w:p>
            <w:pPr>
              <w:pStyle w:val="47"/>
              <w:spacing w:before="100" w:beforeAutospacing="1" w:after="100" w:afterAutospacing="1"/>
              <w:ind w:firstLine="0" w:firstLineChars="0"/>
              <w:rPr>
                <w:rFonts w:ascii="楷体_GB2312" w:eastAsia="楷体_GB2312"/>
                <w:kern w:val="0"/>
                <w:sz w:val="24"/>
              </w:rPr>
            </w:pPr>
            <w:r>
              <w:rPr>
                <w:rFonts w:hint="eastAsia" w:ascii="楷体_GB2312" w:eastAsia="楷体_GB2312"/>
                <w:kern w:val="0"/>
                <w:sz w:val="24"/>
              </w:rPr>
              <w:t>代理人身份证复印件（正反两面；也可另附页）：</w:t>
            </w:r>
          </w:p>
          <w:p>
            <w:pPr>
              <w:pStyle w:val="47"/>
              <w:spacing w:before="100" w:beforeAutospacing="1" w:after="100" w:afterAutospacing="1"/>
              <w:ind w:firstLine="0" w:firstLineChars="0"/>
              <w:rPr>
                <w:rFonts w:ascii="楷体_GB2312" w:eastAsia="楷体_GB2312"/>
                <w:kern w:val="0"/>
                <w:sz w:val="24"/>
              </w:rPr>
            </w:pPr>
            <w:r>
              <w:rPr>
                <w:rFonts w:hint="eastAsia" w:ascii="楷体_GB2312" w:eastAsia="楷体_GB2312"/>
                <w:kern w:val="0"/>
                <w:sz w:val="24"/>
              </w:rPr>
              <w:t>(由法定代表人参加评审、签订合同及合同实施过程中的一切文件并处理与之有关的一切事务的，可不提供授权委托书)</w:t>
            </w:r>
          </w:p>
        </w:tc>
      </w:tr>
    </w:tbl>
    <w:p>
      <w:pPr>
        <w:widowControl/>
        <w:jc w:val="left"/>
        <w:rPr>
          <w:rFonts w:ascii="宋体" w:hAnsi="宋体"/>
          <w:kern w:val="0"/>
          <w:sz w:val="24"/>
        </w:rPr>
      </w:pPr>
      <w:r>
        <w:rPr>
          <w:rFonts w:ascii="宋体" w:hAnsi="宋体"/>
          <w:kern w:val="0"/>
          <w:sz w:val="24"/>
        </w:rPr>
        <w:br w:type="page"/>
      </w:r>
    </w:p>
    <w:p>
      <w:pPr>
        <w:pStyle w:val="4"/>
        <w:numPr>
          <w:ilvl w:val="0"/>
          <w:numId w:val="31"/>
        </w:numPr>
        <w:spacing w:beforeLines="50" w:after="100" w:afterAutospacing="1" w:line="240" w:lineRule="auto"/>
        <w:ind w:left="0" w:firstLine="0"/>
        <w:jc w:val="left"/>
        <w:rPr>
          <w:b w:val="0"/>
          <w:sz w:val="24"/>
        </w:rPr>
      </w:pPr>
      <w:r>
        <w:fldChar w:fldCharType="begin"/>
      </w:r>
      <w:r>
        <w:instrText xml:space="preserve"> REF _Ref483060679 \h  \* MERGEFORMAT </w:instrText>
      </w:r>
      <w:r>
        <w:fldChar w:fldCharType="separate"/>
      </w:r>
      <w:r>
        <w:rPr>
          <w:rFonts w:hint="eastAsia" w:ascii="宋体" w:hAnsi="宋体"/>
          <w:sz w:val="24"/>
        </w:rPr>
        <w:t>营业执照副本（复印件，原件备查）</w:t>
      </w:r>
      <w:r>
        <w:rPr>
          <w:rFonts w:hint="eastAsia" w:ascii="宋体" w:hAnsi="宋体"/>
          <w:sz w:val="24"/>
        </w:rPr>
        <w:fldChar w:fldCharType="end"/>
      </w:r>
    </w:p>
    <w:p>
      <w:pPr>
        <w:pStyle w:val="4"/>
        <w:numPr>
          <w:ilvl w:val="0"/>
          <w:numId w:val="31"/>
        </w:numPr>
        <w:spacing w:beforeLines="50" w:after="100" w:afterAutospacing="1" w:line="240" w:lineRule="auto"/>
        <w:ind w:left="0" w:firstLine="0"/>
        <w:jc w:val="left"/>
        <w:rPr>
          <w:sz w:val="24"/>
        </w:rPr>
      </w:pPr>
      <w:r>
        <w:fldChar w:fldCharType="begin"/>
      </w:r>
      <w:r>
        <w:instrText xml:space="preserve"> REF _Ref483060684 \h  \* MERGEFORMAT </w:instrText>
      </w:r>
      <w:r>
        <w:fldChar w:fldCharType="separate"/>
      </w:r>
      <w:r>
        <w:rPr>
          <w:rFonts w:hint="eastAsia" w:ascii="宋体" w:hAnsi="宋体"/>
          <w:sz w:val="24"/>
        </w:rPr>
        <w:t>组织机构代码证（复印件，原件备查；已“三证合一”的可不提供）</w:t>
      </w:r>
      <w:r>
        <w:rPr>
          <w:rFonts w:hint="eastAsia" w:ascii="宋体" w:hAnsi="宋体"/>
          <w:sz w:val="24"/>
        </w:rPr>
        <w:fldChar w:fldCharType="end"/>
      </w:r>
    </w:p>
    <w:p>
      <w:pPr>
        <w:pStyle w:val="4"/>
        <w:numPr>
          <w:ilvl w:val="0"/>
          <w:numId w:val="31"/>
        </w:numPr>
        <w:spacing w:beforeLines="50" w:after="0" w:line="240" w:lineRule="auto"/>
        <w:ind w:left="0" w:firstLine="0"/>
        <w:jc w:val="left"/>
        <w:rPr>
          <w:rFonts w:ascii="宋体" w:hAnsi="宋体"/>
          <w:kern w:val="0"/>
          <w:sz w:val="24"/>
        </w:rPr>
      </w:pPr>
      <w:r>
        <w:rPr>
          <w:sz w:val="28"/>
        </w:rPr>
        <w:br w:type="page"/>
      </w:r>
    </w:p>
    <w:p>
      <w:pPr>
        <w:pStyle w:val="4"/>
        <w:numPr>
          <w:ilvl w:val="0"/>
          <w:numId w:val="31"/>
        </w:numPr>
        <w:spacing w:before="100" w:beforeAutospacing="1" w:after="100" w:afterAutospacing="1" w:line="240" w:lineRule="auto"/>
        <w:ind w:left="0" w:firstLine="0"/>
        <w:jc w:val="center"/>
        <w:rPr>
          <w:sz w:val="24"/>
        </w:rPr>
      </w:pPr>
      <w:r>
        <w:rPr>
          <w:rFonts w:hint="eastAsia"/>
          <w:sz w:val="24"/>
        </w:rPr>
        <w:t>保密承诺书</w:t>
      </w:r>
    </w:p>
    <w:p>
      <w:pPr>
        <w:pStyle w:val="61"/>
        <w:spacing w:beforeLines="100"/>
        <w:rPr>
          <w:rFonts w:ascii="宋体" w:hAnsi="宋体"/>
          <w:szCs w:val="24"/>
        </w:rPr>
      </w:pPr>
      <w:r>
        <w:rPr>
          <w:rFonts w:hint="eastAsia" w:ascii="宋体" w:hAnsi="宋体"/>
          <w:szCs w:val="24"/>
        </w:rPr>
        <w:t>致：南宁轨道交通集团有限责任公司</w:t>
      </w:r>
    </w:p>
    <w:p>
      <w:pPr>
        <w:pStyle w:val="61"/>
        <w:spacing w:before="120"/>
        <w:ind w:firstLine="480" w:firstLineChars="200"/>
        <w:rPr>
          <w:rFonts w:ascii="宋体" w:hAnsi="宋体"/>
          <w:szCs w:val="24"/>
        </w:rPr>
      </w:pPr>
      <w:r>
        <w:rPr>
          <w:rFonts w:hint="eastAsia" w:ascii="宋体" w:hAnsi="宋体"/>
          <w:szCs w:val="24"/>
        </w:rPr>
        <w:t>我方在实施</w:t>
      </w:r>
      <w:r>
        <w:rPr>
          <w:rFonts w:hint="eastAsia" w:ascii="宋体" w:hAnsi="宋体"/>
          <w:bCs/>
          <w:szCs w:val="24"/>
        </w:rPr>
        <w:t>贵方采购项目</w:t>
      </w:r>
      <w:r>
        <w:rPr>
          <w:rFonts w:hint="eastAsia" w:ascii="宋体" w:hAnsi="宋体"/>
          <w:szCs w:val="24"/>
        </w:rPr>
        <w:t>期间，就保密事宜做出如下承诺：</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我方自知悉贵方的保密信息之日起，依照法律法规规定及有关约定承担保密义务。</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未经贵方同意，我方不擅自保存与贵方保密信息有关的任何物品、资料，也不私自进行复制、交流或者转移。</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我方不会擅自使用任何属于第三方的保密信息，且保证此类信息不会侵犯任何第三方的知识产权及其它权益。若我方违反本规定而导致贵方遭受第三方的侵权指控时，我方承担法律责任。</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若我方发现贵方的保密信息可能被泄露或已经被泄露时，会及时通知贵方，并采取有效措施防止保密信息进一步泄露。</w:t>
      </w:r>
    </w:p>
    <w:p>
      <w:pPr>
        <w:pStyle w:val="47"/>
        <w:numPr>
          <w:ilvl w:val="0"/>
          <w:numId w:val="33"/>
        </w:numPr>
        <w:tabs>
          <w:tab w:val="left" w:pos="360"/>
          <w:tab w:val="left" w:pos="900"/>
        </w:tabs>
        <w:spacing w:beforeLines="50" w:line="360" w:lineRule="auto"/>
        <w:ind w:left="0" w:firstLine="480"/>
        <w:rPr>
          <w:rFonts w:ascii="宋体" w:hAnsi="宋体"/>
          <w:sz w:val="24"/>
          <w:szCs w:val="24"/>
        </w:rPr>
      </w:pPr>
      <w:r>
        <w:rPr>
          <w:rFonts w:hint="eastAsia" w:ascii="宋体" w:hAnsi="宋体"/>
          <w:sz w:val="24"/>
          <w:szCs w:val="24"/>
        </w:rPr>
        <w:t>无论何种原因导致合同未签订或合同结束，我方均按照本协议约定对接触、知悉的保密信息承担保密义务，该保密义务直至这些保密信息由贵方公开或已实际公开时止。</w:t>
      </w:r>
    </w:p>
    <w:p>
      <w:pPr>
        <w:tabs>
          <w:tab w:val="left" w:pos="720"/>
          <w:tab w:val="left" w:pos="900"/>
        </w:tabs>
        <w:spacing w:beforeLines="200" w:line="360" w:lineRule="auto"/>
        <w:jc w:val="center"/>
        <w:rPr>
          <w:rFonts w:ascii="宋体" w:hAnsi="宋体"/>
          <w:sz w:val="24"/>
        </w:rPr>
      </w:pPr>
      <w:r>
        <w:rPr>
          <w:rFonts w:hint="eastAsia" w:ascii="宋体" w:hAnsi="宋体"/>
          <w:sz w:val="24"/>
        </w:rPr>
        <w:t>　　　　　　　　　　　　　　　　　　比选申请人：（公章）</w:t>
      </w:r>
    </w:p>
    <w:p>
      <w:pPr>
        <w:spacing w:line="360" w:lineRule="auto"/>
        <w:ind w:right="1200"/>
        <w:jc w:val="right"/>
        <w:rPr>
          <w:rFonts w:ascii="宋体" w:hAnsi="宋体"/>
          <w:sz w:val="24"/>
        </w:rPr>
      </w:pPr>
      <w:r>
        <w:rPr>
          <w:rFonts w:hint="eastAsia" w:ascii="宋体" w:hAnsi="宋体"/>
          <w:sz w:val="24"/>
          <w:u w:val="single"/>
        </w:rPr>
        <w:t xml:space="preserve">　     </w:t>
      </w:r>
      <w:r>
        <w:rPr>
          <w:rFonts w:hint="eastAsia" w:ascii="宋体" w:hAnsi="宋体"/>
          <w:sz w:val="24"/>
        </w:rPr>
        <w:t>年月日</w:t>
      </w:r>
    </w:p>
    <w:p>
      <w:pPr>
        <w:widowControl/>
        <w:jc w:val="left"/>
        <w:rPr>
          <w:rFonts w:ascii="宋体" w:hAnsi="宋体"/>
          <w:kern w:val="0"/>
          <w:sz w:val="24"/>
        </w:rPr>
      </w:pPr>
      <w:r>
        <w:rPr>
          <w:rFonts w:ascii="宋体" w:hAnsi="宋体"/>
          <w:kern w:val="0"/>
          <w:sz w:val="24"/>
        </w:rPr>
        <w:br w:type="page"/>
      </w:r>
    </w:p>
    <w:p>
      <w:pPr>
        <w:jc w:val="center"/>
        <w:rPr>
          <w:rFonts w:ascii="宋体" w:hAnsi="宋体"/>
          <w:kern w:val="0"/>
          <w:sz w:val="48"/>
          <w:szCs w:val="48"/>
          <w:u w:val="single"/>
        </w:rPr>
      </w:pPr>
    </w:p>
    <w:p>
      <w:pPr>
        <w:jc w:val="center"/>
        <w:rPr>
          <w:rFonts w:ascii="宋体" w:hAnsi="宋体"/>
          <w:kern w:val="0"/>
          <w:sz w:val="48"/>
          <w:szCs w:val="48"/>
        </w:rPr>
      </w:pPr>
      <w:r>
        <w:rPr>
          <w:rFonts w:hint="eastAsia" w:ascii="宋体" w:hAnsi="宋体"/>
          <w:kern w:val="0"/>
          <w:sz w:val="48"/>
          <w:szCs w:val="48"/>
          <w:u w:val="single"/>
        </w:rPr>
        <w:t>201</w:t>
      </w:r>
      <w:r>
        <w:rPr>
          <w:rFonts w:hint="eastAsia" w:ascii="宋体" w:hAnsi="宋体"/>
          <w:kern w:val="0"/>
          <w:sz w:val="48"/>
          <w:szCs w:val="48"/>
          <w:u w:val="single"/>
          <w:lang w:val="en-US" w:eastAsia="zh-CN"/>
        </w:rPr>
        <w:t>9</w:t>
      </w:r>
      <w:r>
        <w:rPr>
          <w:rFonts w:hint="eastAsia" w:ascii="宋体" w:hAnsi="宋体"/>
          <w:kern w:val="0"/>
          <w:sz w:val="48"/>
          <w:szCs w:val="48"/>
          <w:u w:val="single"/>
        </w:rPr>
        <w:t>年南宁轨道交通集团有限责任公司运营分公司可视化党建工作物资采购项目比</w:t>
      </w:r>
      <w:r>
        <w:rPr>
          <w:rFonts w:hint="eastAsia" w:ascii="宋体" w:hAnsi="宋体"/>
          <w:kern w:val="0"/>
          <w:sz w:val="48"/>
          <w:szCs w:val="48"/>
        </w:rPr>
        <w:t>选申请文件</w:t>
      </w:r>
    </w:p>
    <w:p>
      <w:pPr>
        <w:pStyle w:val="3"/>
        <w:spacing w:after="100" w:afterAutospacing="1" w:line="240" w:lineRule="auto"/>
        <w:jc w:val="center"/>
        <w:rPr>
          <w:sz w:val="48"/>
        </w:rPr>
      </w:pPr>
      <w:bookmarkStart w:id="239" w:name="_Toc18416"/>
      <w:r>
        <w:rPr>
          <w:rFonts w:hint="eastAsia"/>
          <w:sz w:val="48"/>
        </w:rPr>
        <w:t>技术部分</w:t>
      </w:r>
      <w:bookmarkEnd w:id="239"/>
    </w:p>
    <w:p>
      <w:pPr>
        <w:autoSpaceDE w:val="0"/>
        <w:autoSpaceDN w:val="0"/>
        <w:adjustRightInd w:val="0"/>
        <w:spacing w:beforeLines="50"/>
        <w:jc w:val="center"/>
        <w:rPr>
          <w:rFonts w:ascii="楷体_GB2312" w:eastAsia="楷体_GB2312"/>
          <w:kern w:val="0"/>
          <w:sz w:val="24"/>
        </w:rPr>
      </w:pPr>
      <w:r>
        <w:rPr>
          <w:rFonts w:hint="eastAsia" w:ascii="楷体_GB2312" w:eastAsia="楷体_GB2312"/>
          <w:kern w:val="0"/>
          <w:sz w:val="24"/>
        </w:rPr>
        <w:t>项目编号：</w:t>
      </w:r>
    </w:p>
    <w:p>
      <w:pPr>
        <w:autoSpaceDE w:val="0"/>
        <w:autoSpaceDN w:val="0"/>
        <w:adjustRightInd w:val="0"/>
        <w:spacing w:beforeLines="50" w:afterLines="1000"/>
        <w:jc w:val="center"/>
        <w:rPr>
          <w:rFonts w:ascii="宋体" w:hAnsi="宋体"/>
          <w:kern w:val="0"/>
          <w:sz w:val="32"/>
          <w:szCs w:val="44"/>
        </w:rPr>
      </w:pPr>
      <w:r>
        <w:rPr>
          <w:rFonts w:hint="eastAsia" w:ascii="宋体" w:hAnsi="宋体"/>
          <w:kern w:val="0"/>
          <w:sz w:val="32"/>
          <w:szCs w:val="44"/>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日期：　　　年    月    日</w:t>
            </w:r>
          </w:p>
        </w:tc>
      </w:tr>
    </w:tbl>
    <w:p>
      <w:pPr>
        <w:autoSpaceDE w:val="0"/>
        <w:autoSpaceDN w:val="0"/>
        <w:adjustRightInd w:val="0"/>
        <w:jc w:val="left"/>
        <w:rPr>
          <w:rFonts w:ascii="楷体_GB2312" w:eastAsia="楷体_GB2312"/>
          <w:kern w:val="0"/>
          <w:sz w:val="24"/>
        </w:rPr>
        <w:sectPr>
          <w:pgSz w:w="11906" w:h="16838"/>
          <w:pgMar w:top="1134" w:right="851" w:bottom="1134" w:left="1134" w:header="454" w:footer="567" w:gutter="0"/>
          <w:cols w:space="425" w:num="1"/>
          <w:docGrid w:linePitch="312" w:charSpace="0"/>
        </w:sectPr>
      </w:pPr>
    </w:p>
    <w:p>
      <w:pPr>
        <w:autoSpaceDE w:val="0"/>
        <w:autoSpaceDN w:val="0"/>
        <w:adjustRightInd w:val="0"/>
        <w:jc w:val="left"/>
        <w:rPr>
          <w:rFonts w:ascii="楷体_GB2312" w:eastAsia="楷体_GB2312"/>
          <w:kern w:val="0"/>
          <w:sz w:val="24"/>
        </w:rPr>
      </w:pPr>
    </w:p>
    <w:p>
      <w:pPr>
        <w:pStyle w:val="4"/>
        <w:spacing w:before="100" w:beforeAutospacing="1" w:after="100" w:afterAutospacing="1" w:line="240" w:lineRule="auto"/>
        <w:jc w:val="center"/>
        <w:rPr>
          <w:sz w:val="24"/>
        </w:rPr>
      </w:pPr>
      <w:bookmarkStart w:id="240" w:name="_Toc437544684"/>
      <w:bookmarkStart w:id="241" w:name="_Toc437544529"/>
      <w:r>
        <w:rPr>
          <w:rFonts w:hint="eastAsia"/>
          <w:sz w:val="24"/>
        </w:rPr>
        <w:t>目　录</w:t>
      </w:r>
      <w:bookmarkEnd w:id="240"/>
      <w:bookmarkEnd w:id="241"/>
    </w:p>
    <w:p>
      <w:pPr>
        <w:pStyle w:val="4"/>
        <w:numPr>
          <w:ilvl w:val="0"/>
          <w:numId w:val="34"/>
        </w:numPr>
        <w:spacing w:beforeLines="50" w:after="100" w:afterAutospacing="1" w:line="240" w:lineRule="auto"/>
        <w:ind w:left="649" w:hanging="649" w:hangingChars="202"/>
        <w:jc w:val="left"/>
        <w:rPr>
          <w:sz w:val="24"/>
        </w:rPr>
      </w:pPr>
      <w:r>
        <w:fldChar w:fldCharType="begin"/>
      </w:r>
      <w:r>
        <w:instrText xml:space="preserve"> REF _Ref483062102 \h  \* MERGEFORMAT </w:instrText>
      </w:r>
      <w:r>
        <w:fldChar w:fldCharType="separate"/>
      </w:r>
      <w:r>
        <w:rPr>
          <w:rFonts w:hint="eastAsia" w:ascii="宋体" w:hAnsi="宋体"/>
          <w:sz w:val="24"/>
        </w:rPr>
        <w:t>服务实施方案（包括如何组织送货，如何进行售后保障等；并明确到货日期和质保期）</w:t>
      </w:r>
      <w:r>
        <w:rPr>
          <w:rFonts w:hint="eastAsia" w:ascii="宋体" w:hAnsi="宋体"/>
          <w:sz w:val="24"/>
        </w:rPr>
        <w:fldChar w:fldCharType="end"/>
      </w:r>
    </w:p>
    <w:p>
      <w:pPr>
        <w:pStyle w:val="4"/>
        <w:numPr>
          <w:ilvl w:val="0"/>
          <w:numId w:val="34"/>
        </w:numPr>
        <w:spacing w:beforeLines="50" w:after="100" w:afterAutospacing="1" w:line="240" w:lineRule="auto"/>
        <w:ind w:left="649" w:hanging="649" w:hangingChars="202"/>
        <w:jc w:val="left"/>
        <w:rPr>
          <w:b w:val="0"/>
          <w:sz w:val="24"/>
        </w:rPr>
      </w:pPr>
      <w:r>
        <w:fldChar w:fldCharType="begin"/>
      </w:r>
      <w:r>
        <w:instrText xml:space="preserve"> REF _Ref483062107 \h  \* MERGEFORMAT </w:instrText>
      </w:r>
      <w:r>
        <w:fldChar w:fldCharType="separate"/>
      </w:r>
      <w:r>
        <w:rPr>
          <w:rFonts w:hint="eastAsia" w:ascii="宋体" w:hAnsi="宋体"/>
          <w:sz w:val="24"/>
        </w:rPr>
        <w:t>技术需求偏离表(格式及要求等见附件3)</w:t>
      </w:r>
      <w:r>
        <w:rPr>
          <w:rFonts w:hint="eastAsia" w:ascii="宋体" w:hAnsi="宋体"/>
          <w:sz w:val="24"/>
        </w:rPr>
        <w:fldChar w:fldCharType="end"/>
      </w:r>
    </w:p>
    <w:p>
      <w:pPr>
        <w:pStyle w:val="4"/>
        <w:numPr>
          <w:ilvl w:val="0"/>
          <w:numId w:val="34"/>
        </w:numPr>
        <w:spacing w:beforeLines="50" w:after="100" w:afterAutospacing="1" w:line="240" w:lineRule="auto"/>
        <w:ind w:left="649" w:hanging="649" w:hangingChars="202"/>
        <w:jc w:val="left"/>
        <w:rPr>
          <w:rFonts w:ascii="宋体" w:hAnsi="宋体"/>
          <w:sz w:val="24"/>
        </w:rPr>
        <w:sectPr>
          <w:pgSz w:w="11906" w:h="16838"/>
          <w:pgMar w:top="1134" w:right="851" w:bottom="1134" w:left="1134" w:header="454" w:footer="567" w:gutter="0"/>
          <w:cols w:space="425" w:num="1"/>
          <w:docGrid w:linePitch="312" w:charSpace="0"/>
        </w:sectPr>
      </w:pPr>
      <w:r>
        <w:fldChar w:fldCharType="begin"/>
      </w:r>
      <w:r>
        <w:instrText xml:space="preserve"> REF _Ref483061849 \h  \* MERGEFORMAT </w:instrText>
      </w:r>
      <w:r>
        <w:fldChar w:fldCharType="separate"/>
      </w:r>
      <w:r>
        <w:rPr>
          <w:rFonts w:hint="eastAsia" w:ascii="宋体" w:hAnsi="宋体"/>
          <w:sz w:val="24"/>
        </w:rPr>
        <w:t>比选申请人认为有必要提供的其他材料或优惠条件（如有）</w:t>
      </w:r>
      <w:r>
        <w:rPr>
          <w:rFonts w:hint="eastAsia" w:ascii="宋体" w:hAnsi="宋体"/>
          <w:sz w:val="24"/>
        </w:rPr>
        <w:fldChar w:fldCharType="end"/>
      </w:r>
    </w:p>
    <w:p>
      <w:pPr>
        <w:rPr>
          <w:rFonts w:ascii="宋体" w:hAnsi="宋体"/>
          <w:kern w:val="0"/>
          <w:sz w:val="84"/>
        </w:rPr>
      </w:pPr>
    </w:p>
    <w:p>
      <w:pPr>
        <w:jc w:val="center"/>
        <w:rPr>
          <w:rFonts w:ascii="宋体" w:hAnsi="宋体"/>
          <w:kern w:val="0"/>
          <w:sz w:val="48"/>
          <w:szCs w:val="48"/>
        </w:rPr>
      </w:pPr>
      <w:r>
        <w:rPr>
          <w:rFonts w:hint="eastAsia" w:ascii="宋体" w:hAnsi="宋体"/>
          <w:kern w:val="0"/>
          <w:sz w:val="48"/>
          <w:szCs w:val="48"/>
          <w:u w:val="single"/>
        </w:rPr>
        <w:t>201</w:t>
      </w:r>
      <w:r>
        <w:rPr>
          <w:rFonts w:hint="eastAsia" w:ascii="宋体" w:hAnsi="宋体"/>
          <w:kern w:val="0"/>
          <w:sz w:val="48"/>
          <w:szCs w:val="48"/>
          <w:u w:val="single"/>
          <w:lang w:val="en-US" w:eastAsia="zh-CN"/>
        </w:rPr>
        <w:t>9</w:t>
      </w:r>
      <w:r>
        <w:rPr>
          <w:rFonts w:hint="eastAsia" w:ascii="宋体" w:hAnsi="宋体"/>
          <w:kern w:val="0"/>
          <w:sz w:val="48"/>
          <w:szCs w:val="48"/>
          <w:u w:val="single"/>
        </w:rPr>
        <w:t>年</w:t>
      </w:r>
      <w:r>
        <w:rPr>
          <w:rFonts w:hint="eastAsia" w:ascii="宋体" w:hAnsi="宋体"/>
          <w:kern w:val="0"/>
          <w:sz w:val="48"/>
          <w:szCs w:val="48"/>
        </w:rPr>
        <w:t>南宁轨道交通集团有限责任公司运营分公司可视化党建工作物资采购项目比选申请文件</w:t>
      </w:r>
    </w:p>
    <w:p>
      <w:pPr>
        <w:pStyle w:val="3"/>
        <w:spacing w:after="100" w:afterAutospacing="1" w:line="240" w:lineRule="auto"/>
        <w:jc w:val="center"/>
        <w:rPr>
          <w:sz w:val="48"/>
        </w:rPr>
      </w:pPr>
      <w:bookmarkStart w:id="242" w:name="_Toc4875"/>
      <w:r>
        <w:rPr>
          <w:rFonts w:hint="eastAsia"/>
          <w:sz w:val="48"/>
        </w:rPr>
        <w:t>商务部分</w:t>
      </w:r>
      <w:bookmarkEnd w:id="242"/>
    </w:p>
    <w:p>
      <w:pPr>
        <w:autoSpaceDE w:val="0"/>
        <w:autoSpaceDN w:val="0"/>
        <w:adjustRightInd w:val="0"/>
        <w:spacing w:beforeLines="50"/>
        <w:jc w:val="center"/>
        <w:rPr>
          <w:rFonts w:ascii="楷体_GB2312" w:eastAsia="楷体_GB2312"/>
          <w:kern w:val="0"/>
          <w:sz w:val="24"/>
        </w:rPr>
      </w:pPr>
      <w:r>
        <w:rPr>
          <w:rFonts w:hint="eastAsia" w:ascii="楷体_GB2312" w:eastAsia="楷体_GB2312"/>
          <w:kern w:val="0"/>
          <w:sz w:val="24"/>
        </w:rPr>
        <w:t>项目编号：</w:t>
      </w:r>
    </w:p>
    <w:p>
      <w:pPr>
        <w:autoSpaceDE w:val="0"/>
        <w:autoSpaceDN w:val="0"/>
        <w:adjustRightInd w:val="0"/>
        <w:spacing w:beforeLines="50" w:afterLines="1000"/>
        <w:jc w:val="center"/>
        <w:rPr>
          <w:rFonts w:ascii="宋体" w:hAnsi="宋体"/>
          <w:kern w:val="0"/>
          <w:sz w:val="32"/>
          <w:szCs w:val="32"/>
        </w:rPr>
      </w:pPr>
      <w:r>
        <w:rPr>
          <w:rFonts w:hint="eastAsia" w:ascii="宋体" w:hAnsi="宋体"/>
          <w:kern w:val="0"/>
          <w:sz w:val="32"/>
          <w:szCs w:val="32"/>
        </w:rPr>
        <w:t>（＊本）</w:t>
      </w:r>
    </w:p>
    <w:tbl>
      <w:tblPr>
        <w:tblStyle w:val="35"/>
        <w:tblW w:w="9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比选申请人：(公章)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法定代表人或委托代理人：(签字或盖章)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电话/传真：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26"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08" w:hRule="atLeast"/>
          <w:jc w:val="center"/>
        </w:trPr>
        <w:tc>
          <w:tcPr>
            <w:tcW w:w="9215" w:type="dxa"/>
          </w:tcPr>
          <w:p>
            <w:pPr>
              <w:autoSpaceDE w:val="0"/>
              <w:autoSpaceDN w:val="0"/>
              <w:adjustRightInd w:val="0"/>
              <w:spacing w:beforeLines="100" w:afterLines="100"/>
              <w:rPr>
                <w:rFonts w:ascii="宋体" w:hAnsi="宋体"/>
                <w:kern w:val="0"/>
                <w:sz w:val="28"/>
              </w:rPr>
            </w:pPr>
            <w:r>
              <w:rPr>
                <w:rFonts w:hint="eastAsia" w:ascii="宋体" w:hAnsi="宋体"/>
                <w:kern w:val="0"/>
                <w:sz w:val="28"/>
              </w:rPr>
              <w:t>日期：　　　年    月    日</w:t>
            </w:r>
          </w:p>
        </w:tc>
      </w:tr>
    </w:tbl>
    <w:p>
      <w:pPr>
        <w:autoSpaceDE w:val="0"/>
        <w:autoSpaceDN w:val="0"/>
        <w:adjustRightInd w:val="0"/>
        <w:rPr>
          <w:rFonts w:ascii="宋体" w:hAnsi="宋体"/>
          <w:kern w:val="0"/>
          <w:sz w:val="28"/>
          <w:szCs w:val="28"/>
        </w:rPr>
      </w:pPr>
    </w:p>
    <w:p>
      <w:pPr>
        <w:pStyle w:val="4"/>
        <w:spacing w:before="100" w:beforeAutospacing="1" w:after="100" w:afterAutospacing="1" w:line="240" w:lineRule="auto"/>
        <w:jc w:val="center"/>
      </w:pPr>
      <w:bookmarkStart w:id="246" w:name="_GoBack"/>
      <w:bookmarkEnd w:id="246"/>
      <w:r>
        <w:rPr>
          <w:rFonts w:ascii="楷体_GB2312" w:eastAsia="楷体_GB2312"/>
          <w:sz w:val="24"/>
        </w:rPr>
        <w:br w:type="page"/>
      </w:r>
      <w:bookmarkStart w:id="243" w:name="_Toc114052453"/>
      <w:bookmarkStart w:id="244" w:name="_Toc114052393"/>
      <w:r>
        <w:rPr>
          <w:rFonts w:hint="eastAsia"/>
          <w:sz w:val="24"/>
        </w:rPr>
        <w:t>目　录</w:t>
      </w:r>
    </w:p>
    <w:p>
      <w:pPr>
        <w:numPr>
          <w:ilvl w:val="0"/>
          <w:numId w:val="35"/>
        </w:numPr>
        <w:autoSpaceDE w:val="0"/>
        <w:autoSpaceDN w:val="0"/>
        <w:adjustRightInd w:val="0"/>
        <w:spacing w:beforeLines="50" w:afterLines="50" w:line="360" w:lineRule="auto"/>
        <w:ind w:left="0" w:firstLine="420" w:firstLineChars="200"/>
        <w:jc w:val="left"/>
        <w:rPr>
          <w:rFonts w:ascii="宋体" w:hAnsi="宋体"/>
          <w:kern w:val="0"/>
          <w:sz w:val="24"/>
        </w:rPr>
      </w:pPr>
      <w:r>
        <w:fldChar w:fldCharType="begin"/>
      </w:r>
      <w:r>
        <w:instrText xml:space="preserve"> REF _Ref483206692 \h  \* MERGEFORMAT </w:instrText>
      </w:r>
      <w:r>
        <w:fldChar w:fldCharType="separate"/>
      </w:r>
      <w:r>
        <w:rPr>
          <w:rFonts w:hint="eastAsia" w:ascii="宋体" w:hAnsi="宋体"/>
          <w:sz w:val="24"/>
        </w:rPr>
        <w:t>比选申请函</w:t>
      </w:r>
      <w:r>
        <w:rPr>
          <w:rFonts w:hint="eastAsia" w:ascii="宋体" w:hAnsi="宋体"/>
          <w:sz w:val="24"/>
        </w:rPr>
        <w:fldChar w:fldCharType="end"/>
      </w:r>
    </w:p>
    <w:p>
      <w:pPr>
        <w:numPr>
          <w:ilvl w:val="0"/>
          <w:numId w:val="35"/>
        </w:numPr>
        <w:autoSpaceDE w:val="0"/>
        <w:autoSpaceDN w:val="0"/>
        <w:adjustRightInd w:val="0"/>
        <w:spacing w:beforeLines="50" w:afterLines="50" w:line="360" w:lineRule="auto"/>
        <w:ind w:left="0" w:firstLine="420" w:firstLineChars="200"/>
        <w:rPr>
          <w:rFonts w:ascii="宋体" w:hAnsi="宋体"/>
          <w:kern w:val="0"/>
          <w:sz w:val="24"/>
        </w:rPr>
      </w:pPr>
      <w:r>
        <w:fldChar w:fldCharType="begin"/>
      </w:r>
      <w:r>
        <w:instrText xml:space="preserve"> REF _Ref483206548 \h  \* MERGEFORMAT </w:instrText>
      </w:r>
      <w:r>
        <w:fldChar w:fldCharType="separate"/>
      </w:r>
      <w:r>
        <w:rPr>
          <w:rFonts w:hint="eastAsia" w:ascii="宋体" w:hAnsi="宋体"/>
          <w:sz w:val="24"/>
        </w:rPr>
        <w:t>分项报价表（格式及要求等见附件4）</w:t>
      </w:r>
      <w:r>
        <w:rPr>
          <w:rFonts w:hint="eastAsia" w:ascii="宋体" w:hAnsi="宋体"/>
          <w:sz w:val="24"/>
        </w:rPr>
        <w:fldChar w:fldCharType="end"/>
      </w:r>
    </w:p>
    <w:p>
      <w:pPr>
        <w:autoSpaceDE w:val="0"/>
        <w:autoSpaceDN w:val="0"/>
        <w:adjustRightInd w:val="0"/>
        <w:spacing w:line="360" w:lineRule="auto"/>
        <w:jc w:val="center"/>
        <w:rPr>
          <w:rFonts w:ascii="宋体" w:hAnsi="宋体"/>
          <w:b/>
          <w:kern w:val="0"/>
          <w:sz w:val="30"/>
          <w:szCs w:val="30"/>
        </w:rPr>
      </w:pPr>
    </w:p>
    <w:p>
      <w:pPr>
        <w:autoSpaceDE w:val="0"/>
        <w:autoSpaceDN w:val="0"/>
        <w:adjustRightInd w:val="0"/>
        <w:spacing w:line="360" w:lineRule="auto"/>
        <w:rPr>
          <w:rFonts w:ascii="宋体" w:hAnsi="宋体"/>
          <w:b/>
          <w:kern w:val="0"/>
          <w:sz w:val="30"/>
          <w:szCs w:val="30"/>
        </w:rPr>
        <w:sectPr>
          <w:pgSz w:w="11906" w:h="16838"/>
          <w:pgMar w:top="1134" w:right="851" w:bottom="1134" w:left="1134" w:header="454" w:footer="567" w:gutter="0"/>
          <w:cols w:space="425" w:num="1"/>
          <w:docGrid w:linePitch="312" w:charSpace="0"/>
        </w:sectPr>
      </w:pPr>
    </w:p>
    <w:p>
      <w:pPr>
        <w:pStyle w:val="4"/>
        <w:numPr>
          <w:ilvl w:val="0"/>
          <w:numId w:val="36"/>
        </w:numPr>
        <w:spacing w:before="100" w:beforeAutospacing="1" w:after="100" w:afterAutospacing="1" w:line="240" w:lineRule="auto"/>
        <w:ind w:left="0" w:firstLine="0"/>
        <w:jc w:val="center"/>
        <w:rPr>
          <w:sz w:val="24"/>
        </w:rPr>
      </w:pPr>
      <w:r>
        <w:rPr>
          <w:rFonts w:hint="eastAsia"/>
          <w:sz w:val="24"/>
        </w:rPr>
        <w:t>比选申请函</w:t>
      </w:r>
      <w:bookmarkEnd w:id="243"/>
      <w:bookmarkEnd w:id="244"/>
    </w:p>
    <w:p>
      <w:pPr>
        <w:autoSpaceDE w:val="0"/>
        <w:autoSpaceDN w:val="0"/>
        <w:adjustRightInd w:val="0"/>
        <w:spacing w:afterLines="50"/>
        <w:jc w:val="left"/>
        <w:rPr>
          <w:rFonts w:ascii="宋体" w:hAnsi="宋体"/>
          <w:kern w:val="0"/>
          <w:sz w:val="24"/>
        </w:rPr>
      </w:pPr>
      <w:bookmarkStart w:id="245" w:name="_Toc114052394"/>
      <w:r>
        <w:rPr>
          <w:rFonts w:hint="eastAsia" w:ascii="宋体" w:hAnsi="宋体"/>
          <w:kern w:val="0"/>
          <w:sz w:val="24"/>
          <w:u w:val="single"/>
        </w:rPr>
        <w:t>南宁轨道交通集团有限责任公司</w:t>
      </w:r>
      <w:r>
        <w:rPr>
          <w:rFonts w:hint="eastAsia" w:ascii="宋体" w:hAnsi="宋体"/>
          <w:kern w:val="0"/>
          <w:sz w:val="24"/>
        </w:rPr>
        <w:t>：</w:t>
      </w:r>
      <w:bookmarkEnd w:id="245"/>
    </w:p>
    <w:p>
      <w:pPr>
        <w:pStyle w:val="47"/>
        <w:numPr>
          <w:ilvl w:val="0"/>
          <w:numId w:val="37"/>
        </w:numPr>
        <w:spacing w:line="560" w:lineRule="exact"/>
        <w:ind w:firstLineChars="0"/>
        <w:rPr>
          <w:rFonts w:ascii="宋体" w:hAnsi="宋体"/>
          <w:sz w:val="24"/>
        </w:rPr>
      </w:pPr>
      <w:r>
        <w:rPr>
          <w:rFonts w:hint="eastAsia" w:ascii="宋体" w:hAnsi="宋体"/>
          <w:kern w:val="0"/>
          <w:sz w:val="24"/>
        </w:rPr>
        <w:t>根据</w:t>
      </w:r>
      <w:r>
        <w:rPr>
          <w:rFonts w:hint="eastAsia" w:cs="宋体" w:asciiTheme="minorEastAsia" w:hAnsiTheme="minorEastAsia"/>
          <w:kern w:val="0"/>
          <w:sz w:val="24"/>
          <w:szCs w:val="24"/>
        </w:rPr>
        <w:t>南宁轨道交通集团有限责任公司运营分公司可视化党建工作物资采购项目</w:t>
      </w:r>
      <w:r>
        <w:rPr>
          <w:rFonts w:hint="eastAsia" w:ascii="宋体" w:hAnsi="宋体"/>
          <w:kern w:val="0"/>
          <w:sz w:val="24"/>
        </w:rPr>
        <w:t>（项目编号：）比选公告，遵照相关法律、法规的规定，我单位经考察现场和研究上述比选文件的须知、合同条件、技术规范和其他有关文件后，</w:t>
      </w:r>
      <w:r>
        <w:rPr>
          <w:rFonts w:hint="eastAsia" w:ascii="宋体" w:hAnsi="宋体"/>
          <w:color w:val="FF0000"/>
          <w:kern w:val="0"/>
          <w:sz w:val="24"/>
        </w:rPr>
        <w:t>我方愿以不含税总价人民币</w:t>
      </w:r>
      <w:r>
        <w:rPr>
          <w:rFonts w:hint="eastAsia" w:ascii="宋体" w:hAnsi="宋体"/>
          <w:sz w:val="24"/>
        </w:rPr>
        <w:t>￥</w:t>
      </w:r>
      <w:r>
        <w:rPr>
          <w:rFonts w:hint="eastAsia" w:ascii="宋体" w:hAnsi="宋体"/>
          <w:kern w:val="0"/>
          <w:sz w:val="24"/>
          <w:u w:val="single"/>
        </w:rPr>
        <w:t xml:space="preserve"> ×××</w:t>
      </w:r>
      <w:r>
        <w:rPr>
          <w:rFonts w:hint="eastAsia" w:ascii="宋体" w:hAnsi="宋体"/>
          <w:sz w:val="24"/>
        </w:rPr>
        <w:t>元(大写：</w:t>
      </w:r>
      <w:r>
        <w:rPr>
          <w:rFonts w:hint="eastAsia" w:ascii="宋体" w:hAnsi="宋体"/>
          <w:sz w:val="24"/>
          <w:u w:val="single"/>
        </w:rPr>
        <w:t xml:space="preserve"> ××××××  </w:t>
      </w:r>
      <w:r>
        <w:rPr>
          <w:rFonts w:hint="eastAsia" w:ascii="宋体" w:hAnsi="宋体"/>
          <w:sz w:val="24"/>
        </w:rPr>
        <w:t>)</w:t>
      </w:r>
      <w:r>
        <w:rPr>
          <w:rFonts w:hint="eastAsia" w:ascii="宋体" w:hAnsi="宋体"/>
          <w:kern w:val="0"/>
          <w:sz w:val="24"/>
        </w:rPr>
        <w:t>的总价格按上述范围完成贵方安排的全部工作。</w:t>
      </w:r>
    </w:p>
    <w:p>
      <w:pPr>
        <w:pStyle w:val="47"/>
        <w:numPr>
          <w:ilvl w:val="0"/>
          <w:numId w:val="37"/>
        </w:numPr>
        <w:autoSpaceDE w:val="0"/>
        <w:autoSpaceDN w:val="0"/>
        <w:adjustRightInd w:val="0"/>
        <w:spacing w:line="560" w:lineRule="exact"/>
        <w:ind w:firstLineChars="0"/>
        <w:rPr>
          <w:rFonts w:ascii="宋体" w:hAnsi="宋体"/>
          <w:kern w:val="0"/>
          <w:sz w:val="24"/>
        </w:rPr>
      </w:pPr>
      <w:r>
        <w:rPr>
          <w:rFonts w:hint="eastAsia" w:ascii="宋体" w:hAnsi="宋体"/>
          <w:kern w:val="0"/>
          <w:sz w:val="24"/>
        </w:rPr>
        <w:t>我方根据比选文件的规定，承担完成合同的责任和义务。</w:t>
      </w:r>
    </w:p>
    <w:p>
      <w:pPr>
        <w:pStyle w:val="47"/>
        <w:numPr>
          <w:ilvl w:val="0"/>
          <w:numId w:val="37"/>
        </w:numPr>
        <w:autoSpaceDE w:val="0"/>
        <w:autoSpaceDN w:val="0"/>
        <w:adjustRightInd w:val="0"/>
        <w:spacing w:line="560" w:lineRule="exact"/>
        <w:ind w:firstLineChars="0"/>
        <w:rPr>
          <w:rFonts w:ascii="宋体" w:hAnsi="宋体"/>
          <w:kern w:val="0"/>
          <w:sz w:val="24"/>
        </w:rPr>
      </w:pPr>
      <w:r>
        <w:rPr>
          <w:rFonts w:hint="eastAsia" w:ascii="宋体" w:hAnsi="宋体"/>
          <w:kern w:val="0"/>
          <w:sz w:val="24"/>
        </w:rPr>
        <w:t>我方已详细审核比选申请文件，我方知道必须放弃提出含糊不清或误解问题的权利。</w:t>
      </w:r>
    </w:p>
    <w:p>
      <w:pPr>
        <w:pStyle w:val="47"/>
        <w:numPr>
          <w:ilvl w:val="0"/>
          <w:numId w:val="37"/>
        </w:numPr>
        <w:autoSpaceDE w:val="0"/>
        <w:autoSpaceDN w:val="0"/>
        <w:adjustRightInd w:val="0"/>
        <w:spacing w:line="560" w:lineRule="exact"/>
        <w:ind w:firstLineChars="0"/>
        <w:rPr>
          <w:rFonts w:ascii="宋体" w:hAnsi="宋体"/>
          <w:kern w:val="0"/>
          <w:sz w:val="24"/>
        </w:rPr>
      </w:pPr>
      <w:r>
        <w:rPr>
          <w:rFonts w:hint="eastAsia" w:ascii="宋体" w:hAnsi="宋体"/>
          <w:kern w:val="0"/>
          <w:sz w:val="24"/>
        </w:rPr>
        <w:t>同意向贵方提供贵方可能要求的与本比选有关的任何数据或资料。</w:t>
      </w:r>
    </w:p>
    <w:p>
      <w:pPr>
        <w:pStyle w:val="47"/>
        <w:numPr>
          <w:ilvl w:val="0"/>
          <w:numId w:val="37"/>
        </w:numPr>
        <w:autoSpaceDE w:val="0"/>
        <w:autoSpaceDN w:val="0"/>
        <w:adjustRightInd w:val="0"/>
        <w:spacing w:line="560" w:lineRule="exact"/>
        <w:ind w:firstLineChars="0"/>
        <w:rPr>
          <w:rFonts w:ascii="宋体" w:hAnsi="宋体"/>
          <w:kern w:val="0"/>
          <w:sz w:val="24"/>
        </w:rPr>
      </w:pPr>
      <w:r>
        <w:rPr>
          <w:rFonts w:hint="eastAsia" w:ascii="宋体" w:hAnsi="宋体"/>
          <w:kern w:val="0"/>
          <w:sz w:val="24"/>
        </w:rPr>
        <w:t>我方将严格遵守相关法律、法规的规定，知悉作为供应商应负的法律责任。</w:t>
      </w:r>
    </w:p>
    <w:p>
      <w:pPr>
        <w:pStyle w:val="47"/>
        <w:numPr>
          <w:ilvl w:val="0"/>
          <w:numId w:val="37"/>
        </w:numPr>
        <w:autoSpaceDE w:val="0"/>
        <w:autoSpaceDN w:val="0"/>
        <w:adjustRightInd w:val="0"/>
        <w:spacing w:line="560" w:lineRule="exact"/>
        <w:ind w:firstLineChars="0"/>
        <w:rPr>
          <w:rFonts w:ascii="宋体" w:hAnsi="宋体"/>
          <w:kern w:val="0"/>
          <w:sz w:val="24"/>
        </w:rPr>
      </w:pPr>
      <w:r>
        <w:rPr>
          <w:rFonts w:hint="eastAsia" w:ascii="宋体" w:hAnsi="宋体"/>
          <w:kern w:val="0"/>
          <w:sz w:val="24"/>
        </w:rPr>
        <w:t>与本比选项目有关的正式通讯地址为：</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比选申请人名称：</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地址：</w:t>
      </w:r>
      <w:r>
        <w:rPr>
          <w:rFonts w:hint="eastAsia" w:ascii="宋体" w:hAnsi="宋体"/>
          <w:kern w:val="0"/>
          <w:sz w:val="24"/>
          <w:u w:val="single"/>
        </w:rPr>
        <w:t xml:space="preserve">                       　　         </w:t>
      </w:r>
      <w:r>
        <w:rPr>
          <w:rFonts w:hint="eastAsia" w:ascii="宋体" w:hAnsi="宋体"/>
          <w:kern w:val="0"/>
          <w:sz w:val="24"/>
        </w:rPr>
        <w:t xml:space="preserve"> 邮编：</w:t>
      </w:r>
    </w:p>
    <w:p>
      <w:pPr>
        <w:autoSpaceDE w:val="0"/>
        <w:autoSpaceDN w:val="0"/>
        <w:adjustRightInd w:val="0"/>
        <w:spacing w:line="560" w:lineRule="exact"/>
        <w:ind w:firstLine="480" w:firstLineChars="200"/>
        <w:rPr>
          <w:rFonts w:ascii="宋体" w:hAnsi="宋体"/>
          <w:kern w:val="0"/>
          <w:sz w:val="24"/>
          <w:u w:val="single"/>
        </w:rPr>
      </w:pPr>
      <w:r>
        <w:rPr>
          <w:rFonts w:hint="eastAsia" w:ascii="宋体" w:hAnsi="宋体"/>
          <w:kern w:val="0"/>
          <w:sz w:val="24"/>
        </w:rPr>
        <w:t>电话、电报、传真或电传：</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开户名称：</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开户银行：</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账号：</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法定代表人或委托代理人签名(或盖章)：</w:t>
      </w:r>
    </w:p>
    <w:p>
      <w:pPr>
        <w:autoSpaceDE w:val="0"/>
        <w:autoSpaceDN w:val="0"/>
        <w:adjustRightInd w:val="0"/>
        <w:spacing w:line="560" w:lineRule="exact"/>
        <w:ind w:firstLine="480" w:firstLineChars="200"/>
        <w:rPr>
          <w:rFonts w:ascii="宋体" w:hAnsi="宋体"/>
          <w:kern w:val="0"/>
          <w:sz w:val="24"/>
        </w:rPr>
      </w:pPr>
      <w:r>
        <w:rPr>
          <w:rFonts w:hint="eastAsia" w:ascii="宋体" w:hAnsi="宋体"/>
          <w:kern w:val="0"/>
          <w:sz w:val="24"/>
        </w:rPr>
        <w:t>比选申请人：（公章）</w:t>
      </w:r>
    </w:p>
    <w:p>
      <w:pPr>
        <w:autoSpaceDE w:val="0"/>
        <w:autoSpaceDN w:val="0"/>
        <w:adjustRightInd w:val="0"/>
        <w:spacing w:before="100" w:beforeAutospacing="1" w:line="560" w:lineRule="exact"/>
        <w:ind w:firstLine="480" w:firstLineChars="200"/>
        <w:jc w:val="center"/>
        <w:rPr>
          <w:rFonts w:ascii="宋体" w:hAnsi="宋体"/>
          <w:kern w:val="0"/>
          <w:sz w:val="24"/>
          <w:u w:val="single"/>
        </w:rPr>
      </w:pPr>
      <w:r>
        <w:rPr>
          <w:rFonts w:hint="eastAsia" w:ascii="宋体" w:hAnsi="宋体"/>
          <w:kern w:val="0"/>
          <w:sz w:val="24"/>
        </w:rPr>
        <w:t>　　　　　　　　　　　　　　　　　　　日　期：　　年　月　日</w:t>
      </w:r>
    </w:p>
    <w:p>
      <w:pPr>
        <w:autoSpaceDE w:val="0"/>
        <w:autoSpaceDN w:val="0"/>
        <w:adjustRightInd w:val="0"/>
        <w:spacing w:line="360" w:lineRule="auto"/>
        <w:rPr>
          <w:rFonts w:ascii="楷体_GB2312" w:eastAsia="楷体_GB2312"/>
          <w:kern w:val="0"/>
          <w:sz w:val="24"/>
          <w:u w:val="single"/>
        </w:rPr>
      </w:pPr>
    </w:p>
    <w:p>
      <w:pPr>
        <w:autoSpaceDE w:val="0"/>
        <w:autoSpaceDN w:val="0"/>
        <w:adjustRightInd w:val="0"/>
        <w:spacing w:line="360" w:lineRule="auto"/>
        <w:rPr>
          <w:b/>
          <w:sz w:val="24"/>
        </w:rPr>
      </w:pPr>
      <w:r>
        <w:rPr>
          <w:rFonts w:hint="eastAsia" w:ascii="宋体" w:hAnsi="宋体"/>
          <w:b/>
          <w:kern w:val="0"/>
          <w:sz w:val="24"/>
        </w:rPr>
        <w:t>注：未按照本比选申请函要求填报的将被视为非实质性响应。</w:t>
      </w:r>
    </w:p>
    <w:sectPr>
      <w:headerReference r:id="rId11" w:type="default"/>
      <w:footerReference r:id="rId12" w:type="default"/>
      <w:pgSz w:w="11906" w:h="16838"/>
      <w:pgMar w:top="1134" w:right="851" w:bottom="1134" w:left="1134" w:header="454" w:footer="567"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sdt>
      <w:sdtPr>
        <w:id w:val="-305242834"/>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31</w:t>
        </w:r>
        <w:r>
          <w:fldChar w:fldCharType="end"/>
        </w:r>
        <w:r>
          <w:rPr>
            <w:rFonts w:hint="eastAsia"/>
          </w:rPr>
          <w:t>页</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4547633"/>
    </w:sdtPr>
    <w:sdtContent>
      <w:p>
        <w:pPr>
          <w:pStyle w:val="24"/>
        </w:pPr>
        <w:sdt>
          <w:sdtPr>
            <w:id w:val="-778110673"/>
          </w:sdtPr>
          <w:sdtContent>
            <w:r>
              <w:rPr>
                <w:rFonts w:hint="eastAsia"/>
              </w:rPr>
              <w:t>第</w:t>
            </w:r>
            <w:r>
              <w:fldChar w:fldCharType="begin"/>
            </w:r>
            <w:r>
              <w:instrText xml:space="preserve">PAGE  \* Arabic  \* MERGEFORMAT</w:instrText>
            </w:r>
            <w:r>
              <w:fldChar w:fldCharType="separate"/>
            </w:r>
            <w:r>
              <w:t>30</w:t>
            </w:r>
            <w:r>
              <w:fldChar w:fldCharType="end"/>
            </w:r>
            <w:r>
              <w:rPr>
                <w:rFonts w:hint="eastAsia"/>
              </w:rPr>
              <w:t>页/共</w:t>
            </w:r>
            <w:r>
              <w:fldChar w:fldCharType="begin"/>
            </w:r>
            <w:r>
              <w:instrText xml:space="preserve"> NUMPAGES  \* Arabic  \* MERGEFORMAT </w:instrText>
            </w:r>
            <w:r>
              <w:fldChar w:fldCharType="separate"/>
            </w:r>
            <w:r>
              <w:t>36</w:t>
            </w:r>
            <w:r>
              <w:fldChar w:fldCharType="end"/>
            </w:r>
            <w:r>
              <w:rPr>
                <w:rFonts w:hint="eastAsia"/>
              </w:rPr>
              <w:t>页</w:t>
            </w:r>
          </w:sdtContent>
        </w:sdt>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right"/>
    </w:pPr>
    <w:sdt>
      <w:sdtPr>
        <w:id w:val="300351408"/>
      </w:sdtPr>
      <w:sdtContent>
        <w:r>
          <w:rPr>
            <w:rFonts w:hint="eastAsia"/>
          </w:rPr>
          <w:t>第</w:t>
        </w:r>
        <w:r>
          <w:fldChar w:fldCharType="begin"/>
        </w:r>
        <w:r>
          <w:instrText xml:space="preserve">PAGE  \* Arabic  \* MERGEFORMAT</w:instrText>
        </w:r>
        <w:r>
          <w:fldChar w:fldCharType="separate"/>
        </w:r>
        <w:r>
          <w:t>1</w:t>
        </w:r>
        <w:r>
          <w:fldChar w:fldCharType="end"/>
        </w:r>
        <w:r>
          <w:rPr>
            <w:rFonts w:hint="eastAsia"/>
          </w:rPr>
          <w:t>页/共</w:t>
        </w:r>
        <w:r>
          <w:fldChar w:fldCharType="begin"/>
        </w:r>
        <w:r>
          <w:instrText xml:space="preserve"> NUMPAGES  \* Arabic  \* MERGEFORMAT </w:instrText>
        </w:r>
        <w:r>
          <w:fldChar w:fldCharType="separate"/>
        </w:r>
        <w:r>
          <w:t>6</w:t>
        </w:r>
        <w:r>
          <w:fldChar w:fldCharType="end"/>
        </w:r>
        <w:r>
          <w:rPr>
            <w:rFonts w:hint="eastAsia"/>
          </w:rPr>
          <w:t>页</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461456"/>
    </w:sdtPr>
    <w:sdtContent>
      <w:sdt>
        <w:sdtPr>
          <w:id w:val="-1699086704"/>
        </w:sdtPr>
        <w:sdtContent>
          <w:p>
            <w:pPr>
              <w:pStyle w:val="24"/>
              <w:jc w:val="right"/>
            </w:pPr>
            <w:r>
              <w:rPr>
                <w:rFonts w:hint="eastAsia"/>
              </w:rPr>
              <w:t>第</w:t>
            </w:r>
            <w:r>
              <w:fldChar w:fldCharType="begin"/>
            </w:r>
            <w:r>
              <w:instrText xml:space="preserve">PAGE  \* Arabic  \* MERGEFORMAT</w:instrText>
            </w:r>
            <w:r>
              <w:fldChar w:fldCharType="separate"/>
            </w:r>
            <w:r>
              <w:t>29</w:t>
            </w:r>
            <w:r>
              <w:fldChar w:fldCharType="end"/>
            </w:r>
            <w:r>
              <w:rPr>
                <w:rFonts w:hint="eastAsia"/>
              </w:rPr>
              <w:t>页/共</w:t>
            </w:r>
            <w:r>
              <w:fldChar w:fldCharType="begin"/>
            </w:r>
            <w:r>
              <w:instrText xml:space="preserve"> NUMPAGES  \* Arabic  \* MERGEFORMAT </w:instrText>
            </w:r>
            <w:r>
              <w:fldChar w:fldCharType="separate"/>
            </w:r>
            <w:r>
              <w:t>36</w:t>
            </w:r>
            <w:r>
              <w:fldChar w:fldCharType="end"/>
            </w:r>
            <w:r>
              <w:rPr>
                <w:rFonts w:hint="eastAsia"/>
              </w:rPr>
              <w:t>页</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rFonts w:hint="eastAsia"/>
      </w:rPr>
      <w:t>第</w:t>
    </w:r>
    <w:r>
      <w:fldChar w:fldCharType="begin"/>
    </w:r>
    <w:r>
      <w:instrText xml:space="preserve">PAGE  \* Arabic  \* MERGEFORMAT</w:instrText>
    </w:r>
    <w:r>
      <w:fldChar w:fldCharType="separate"/>
    </w:r>
    <w:r>
      <w:t>35</w:t>
    </w:r>
    <w:r>
      <w:fldChar w:fldCharType="end"/>
    </w:r>
    <w:r>
      <w:rPr>
        <w:rFonts w:hint="eastAsia"/>
      </w:rPr>
      <w:t>页/共</w:t>
    </w:r>
    <w:r>
      <w:fldChar w:fldCharType="begin"/>
    </w:r>
    <w:r>
      <w:instrText xml:space="preserve"> NUMPAGES  \* Arabic  \* MERGEFORMAT </w:instrText>
    </w:r>
    <w:r>
      <w:fldChar w:fldCharType="separate"/>
    </w:r>
    <w:r>
      <w:t>35</w:t>
    </w:r>
    <w:r>
      <w:fldChar w:fldCharType="end"/>
    </w:r>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left"/>
    </w:pPr>
    <w:r>
      <w:rPr>
        <w:lang w:val="en-US"/>
      </w:rPr>
      <w:drawing>
        <wp:inline distT="0" distB="0" distL="0" distR="0">
          <wp:extent cx="2017395" cy="229870"/>
          <wp:effectExtent l="0" t="0" r="190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rPr>
        <w:lang w:val="en-US"/>
      </w:rPr>
      <w:drawing>
        <wp:inline distT="0" distB="0" distL="0" distR="0">
          <wp:extent cx="2017395" cy="229870"/>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rPr>
        <w:lang w:val="en-US"/>
      </w:rPr>
      <w:drawing>
        <wp:inline distT="0" distB="0" distL="0" distR="0">
          <wp:extent cx="2017395" cy="229870"/>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right"/>
    </w:pPr>
    <w:r>
      <w:rPr>
        <w:lang w:val="en-US"/>
      </w:rPr>
      <w:drawing>
        <wp:inline distT="0" distB="0" distL="0" distR="0">
          <wp:extent cx="2017395" cy="229870"/>
          <wp:effectExtent l="0" t="0" r="190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474" cy="2304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0"/>
      </w:pBdr>
      <w:jc w:val="left"/>
    </w:pPr>
    <w:r>
      <w:rPr>
        <w:lang w:val="en-US"/>
      </w:rPr>
      <w:drawing>
        <wp:inline distT="0" distB="0" distL="0" distR="0">
          <wp:extent cx="2017395" cy="229870"/>
          <wp:effectExtent l="0" t="0" r="190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17646" cy="23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2DD"/>
    <w:multiLevelType w:val="multilevel"/>
    <w:tmpl w:val="03D952DD"/>
    <w:lvl w:ilvl="0" w:tentative="0">
      <w:start w:val="1"/>
      <w:numFmt w:val="decimal"/>
      <w:lvlText w:val="%1."/>
      <w:lvlJc w:val="left"/>
      <w:pPr>
        <w:ind w:left="425" w:hanging="425"/>
      </w:pPr>
      <w:rPr>
        <w:b/>
        <w:sz w:val="24"/>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
    <w:nsid w:val="09250E23"/>
    <w:multiLevelType w:val="multilevel"/>
    <w:tmpl w:val="09250E23"/>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
    <w:nsid w:val="0A1D23DD"/>
    <w:multiLevelType w:val="multilevel"/>
    <w:tmpl w:val="0A1D23DD"/>
    <w:lvl w:ilvl="0" w:tentative="0">
      <w:start w:val="1"/>
      <w:numFmt w:val="chineseCountingThousand"/>
      <w:pStyle w:val="2"/>
      <w:suff w:val="nothing"/>
      <w:lvlText w:val="第%1章　"/>
      <w:lvlJc w:val="left"/>
      <w:pPr>
        <w:ind w:left="0" w:firstLine="0"/>
      </w:pPr>
      <w:rPr>
        <w:rFonts w:hint="eastAsia"/>
      </w:rPr>
    </w:lvl>
    <w:lvl w:ilvl="1" w:tentative="0">
      <w:start w:val="1"/>
      <w:numFmt w:val="none"/>
      <w:pStyle w:val="3"/>
      <w:suff w:val="nothing"/>
      <w:lvlText w:val=""/>
      <w:lvlJc w:val="left"/>
      <w:pPr>
        <w:ind w:left="0" w:firstLine="0"/>
      </w:pPr>
      <w:rPr>
        <w:rFonts w:hint="eastAsia"/>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0C3757B5"/>
    <w:multiLevelType w:val="multilevel"/>
    <w:tmpl w:val="0C3757B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4">
    <w:nsid w:val="0F3518CA"/>
    <w:multiLevelType w:val="multilevel"/>
    <w:tmpl w:val="0F3518CA"/>
    <w:lvl w:ilvl="0" w:tentative="0">
      <w:start w:val="1"/>
      <w:numFmt w:val="decimal"/>
      <w:lvlText w:val="%1."/>
      <w:lvlJc w:val="left"/>
      <w:pPr>
        <w:ind w:left="425" w:hanging="425"/>
      </w:pPr>
      <w:rPr>
        <w:b/>
        <w:color w:val="auto"/>
      </w:rPr>
    </w:lvl>
    <w:lvl w:ilvl="1" w:tentative="0">
      <w:start w:val="1"/>
      <w:numFmt w:val="decimal"/>
      <w:lvlText w:val="%1.%2."/>
      <w:lvlJc w:val="left"/>
      <w:pPr>
        <w:ind w:left="567" w:hanging="567"/>
      </w:pPr>
      <w:rPr>
        <w:b w:val="0"/>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5">
    <w:nsid w:val="0F9E52D0"/>
    <w:multiLevelType w:val="multilevel"/>
    <w:tmpl w:val="0F9E52D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17060784"/>
    <w:multiLevelType w:val="multilevel"/>
    <w:tmpl w:val="17060784"/>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7">
    <w:nsid w:val="1B7C279D"/>
    <w:multiLevelType w:val="multilevel"/>
    <w:tmpl w:val="1B7C279D"/>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C80240F"/>
    <w:multiLevelType w:val="multilevel"/>
    <w:tmpl w:val="1C80240F"/>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DD5227C"/>
    <w:multiLevelType w:val="multilevel"/>
    <w:tmpl w:val="1DD5227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0">
    <w:nsid w:val="1DDF3793"/>
    <w:multiLevelType w:val="multilevel"/>
    <w:tmpl w:val="1DDF379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067524D"/>
    <w:multiLevelType w:val="multilevel"/>
    <w:tmpl w:val="2067524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2">
    <w:nsid w:val="24660D82"/>
    <w:multiLevelType w:val="multilevel"/>
    <w:tmpl w:val="24660D8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3">
    <w:nsid w:val="277B500A"/>
    <w:multiLevelType w:val="multilevel"/>
    <w:tmpl w:val="277B50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C6F6B29"/>
    <w:multiLevelType w:val="multilevel"/>
    <w:tmpl w:val="2C6F6B2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5">
    <w:nsid w:val="3099091C"/>
    <w:multiLevelType w:val="multilevel"/>
    <w:tmpl w:val="3099091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6">
    <w:nsid w:val="32E6560D"/>
    <w:multiLevelType w:val="multilevel"/>
    <w:tmpl w:val="32E656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7">
    <w:nsid w:val="33FA3277"/>
    <w:multiLevelType w:val="multilevel"/>
    <w:tmpl w:val="33FA3277"/>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8">
    <w:nsid w:val="378070BE"/>
    <w:multiLevelType w:val="multilevel"/>
    <w:tmpl w:val="378070B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3A9E77AC"/>
    <w:multiLevelType w:val="multilevel"/>
    <w:tmpl w:val="3A9E77AC"/>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0">
    <w:nsid w:val="3F030F72"/>
    <w:multiLevelType w:val="multilevel"/>
    <w:tmpl w:val="3F030F7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FF42F4A"/>
    <w:multiLevelType w:val="multilevel"/>
    <w:tmpl w:val="3FF42F4A"/>
    <w:lvl w:ilvl="0" w:tentative="0">
      <w:start w:val="1"/>
      <w:numFmt w:val="decimal"/>
      <w:lvlText w:val="%1."/>
      <w:lvlJc w:val="left"/>
      <w:pPr>
        <w:ind w:left="425" w:hanging="425"/>
      </w:pPr>
      <w:rPr>
        <w:b/>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2">
    <w:nsid w:val="40A37D7E"/>
    <w:multiLevelType w:val="multilevel"/>
    <w:tmpl w:val="40A37D7E"/>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3">
    <w:nsid w:val="4D5C1750"/>
    <w:multiLevelType w:val="multilevel"/>
    <w:tmpl w:val="4D5C175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1920492"/>
    <w:multiLevelType w:val="multilevel"/>
    <w:tmpl w:val="51920492"/>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38E2F69"/>
    <w:multiLevelType w:val="multilevel"/>
    <w:tmpl w:val="538E2F69"/>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6">
    <w:nsid w:val="56A653C5"/>
    <w:multiLevelType w:val="multilevel"/>
    <w:tmpl w:val="56A653C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7">
    <w:nsid w:val="620365B6"/>
    <w:multiLevelType w:val="multilevel"/>
    <w:tmpl w:val="620365B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24B1494"/>
    <w:multiLevelType w:val="multilevel"/>
    <w:tmpl w:val="624B1494"/>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6A823B15"/>
    <w:multiLevelType w:val="multilevel"/>
    <w:tmpl w:val="6A823B15"/>
    <w:lvl w:ilvl="0" w:tentative="0">
      <w:start w:val="1"/>
      <w:numFmt w:val="decimal"/>
      <w:lvlText w:val="（%1）"/>
      <w:lvlJc w:val="left"/>
      <w:pPr>
        <w:ind w:left="992" w:hanging="420"/>
      </w:pPr>
      <w:rPr>
        <w:rFonts w:hint="eastAsia"/>
      </w:rPr>
    </w:lvl>
    <w:lvl w:ilvl="1" w:tentative="0">
      <w:start w:val="1"/>
      <w:numFmt w:val="lowerLetter"/>
      <w:lvlText w:val="%2)"/>
      <w:lvlJc w:val="left"/>
      <w:pPr>
        <w:ind w:left="1412" w:hanging="420"/>
      </w:pPr>
    </w:lvl>
    <w:lvl w:ilvl="2" w:tentative="0">
      <w:start w:val="1"/>
      <w:numFmt w:val="lowerRoman"/>
      <w:lvlText w:val="%3."/>
      <w:lvlJc w:val="right"/>
      <w:pPr>
        <w:ind w:left="1832" w:hanging="420"/>
      </w:pPr>
    </w:lvl>
    <w:lvl w:ilvl="3" w:tentative="0">
      <w:start w:val="1"/>
      <w:numFmt w:val="decimal"/>
      <w:lvlText w:val="%4."/>
      <w:lvlJc w:val="left"/>
      <w:pPr>
        <w:ind w:left="2252" w:hanging="420"/>
      </w:pPr>
    </w:lvl>
    <w:lvl w:ilvl="4" w:tentative="0">
      <w:start w:val="1"/>
      <w:numFmt w:val="lowerLetter"/>
      <w:lvlText w:val="%5)"/>
      <w:lvlJc w:val="left"/>
      <w:pPr>
        <w:ind w:left="2672" w:hanging="420"/>
      </w:pPr>
    </w:lvl>
    <w:lvl w:ilvl="5" w:tentative="0">
      <w:start w:val="1"/>
      <w:numFmt w:val="lowerRoman"/>
      <w:lvlText w:val="%6."/>
      <w:lvlJc w:val="right"/>
      <w:pPr>
        <w:ind w:left="3092" w:hanging="420"/>
      </w:pPr>
    </w:lvl>
    <w:lvl w:ilvl="6" w:tentative="0">
      <w:start w:val="1"/>
      <w:numFmt w:val="decimal"/>
      <w:lvlText w:val="%7."/>
      <w:lvlJc w:val="left"/>
      <w:pPr>
        <w:ind w:left="3512" w:hanging="420"/>
      </w:pPr>
    </w:lvl>
    <w:lvl w:ilvl="7" w:tentative="0">
      <w:start w:val="1"/>
      <w:numFmt w:val="lowerLetter"/>
      <w:lvlText w:val="%8)"/>
      <w:lvlJc w:val="left"/>
      <w:pPr>
        <w:ind w:left="3932" w:hanging="420"/>
      </w:pPr>
    </w:lvl>
    <w:lvl w:ilvl="8" w:tentative="0">
      <w:start w:val="1"/>
      <w:numFmt w:val="lowerRoman"/>
      <w:lvlText w:val="%9."/>
      <w:lvlJc w:val="right"/>
      <w:pPr>
        <w:ind w:left="4352" w:hanging="420"/>
      </w:pPr>
    </w:lvl>
  </w:abstractNum>
  <w:abstractNum w:abstractNumId="31">
    <w:nsid w:val="6B961E55"/>
    <w:multiLevelType w:val="multilevel"/>
    <w:tmpl w:val="6B961E55"/>
    <w:lvl w:ilvl="0" w:tentative="0">
      <w:start w:val="1"/>
      <w:numFmt w:val="decimal"/>
      <w:lvlText w:val="%1)."/>
      <w:lvlJc w:val="left"/>
      <w:pPr>
        <w:ind w:left="425" w:hanging="425"/>
      </w:pPr>
      <w:rPr>
        <w:rFonts w:hint="default"/>
        <w:b w:val="0"/>
      </w:r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2">
    <w:nsid w:val="734E541E"/>
    <w:multiLevelType w:val="multilevel"/>
    <w:tmpl w:val="734E541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62244B5"/>
    <w:multiLevelType w:val="multilevel"/>
    <w:tmpl w:val="762244B5"/>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4">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7E18280D"/>
    <w:multiLevelType w:val="multilevel"/>
    <w:tmpl w:val="7E18280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2"/>
  </w:num>
  <w:num w:numId="2">
    <w:abstractNumId w:val="28"/>
  </w:num>
  <w:num w:numId="3">
    <w:abstractNumId w:val="35"/>
  </w:num>
  <w:num w:numId="4">
    <w:abstractNumId w:val="29"/>
  </w:num>
  <w:num w:numId="5">
    <w:abstractNumId w:val="34"/>
  </w:num>
  <w:num w:numId="6">
    <w:abstractNumId w:val="23"/>
  </w:num>
  <w:num w:numId="7">
    <w:abstractNumId w:val="20"/>
  </w:num>
  <w:num w:numId="8">
    <w:abstractNumId w:val="32"/>
  </w:num>
  <w:num w:numId="9">
    <w:abstractNumId w:val="27"/>
  </w:num>
  <w:num w:numId="10">
    <w:abstractNumId w:val="13"/>
  </w:num>
  <w:num w:numId="11">
    <w:abstractNumId w:val="7"/>
  </w:num>
  <w:num w:numId="12">
    <w:abstractNumId w:val="15"/>
  </w:num>
  <w:num w:numId="13">
    <w:abstractNumId w:val="30"/>
  </w:num>
  <w:num w:numId="14">
    <w:abstractNumId w:val="10"/>
  </w:num>
  <w:num w:numId="15">
    <w:abstractNumId w:val="4"/>
  </w:num>
  <w:num w:numId="16">
    <w:abstractNumId w:val="18"/>
  </w:num>
  <w:num w:numId="17">
    <w:abstractNumId w:val="9"/>
  </w:num>
  <w:num w:numId="18">
    <w:abstractNumId w:val="8"/>
  </w:num>
  <w:num w:numId="19">
    <w:abstractNumId w:val="36"/>
  </w:num>
  <w:num w:numId="20">
    <w:abstractNumId w:val="19"/>
  </w:num>
  <w:num w:numId="21">
    <w:abstractNumId w:val="17"/>
  </w:num>
  <w:num w:numId="22">
    <w:abstractNumId w:val="16"/>
  </w:num>
  <w:num w:numId="23">
    <w:abstractNumId w:val="1"/>
  </w:num>
  <w:num w:numId="24">
    <w:abstractNumId w:val="33"/>
  </w:num>
  <w:num w:numId="25">
    <w:abstractNumId w:val="25"/>
  </w:num>
  <w:num w:numId="26">
    <w:abstractNumId w:val="6"/>
  </w:num>
  <w:num w:numId="27">
    <w:abstractNumId w:val="22"/>
  </w:num>
  <w:num w:numId="28">
    <w:abstractNumId w:val="26"/>
  </w:num>
  <w:num w:numId="29">
    <w:abstractNumId w:val="24"/>
  </w:num>
  <w:num w:numId="30">
    <w:abstractNumId w:val="14"/>
  </w:num>
  <w:num w:numId="31">
    <w:abstractNumId w:val="0"/>
  </w:num>
  <w:num w:numId="32">
    <w:abstractNumId w:val="5"/>
  </w:num>
  <w:num w:numId="33">
    <w:abstractNumId w:val="31"/>
  </w:num>
  <w:num w:numId="34">
    <w:abstractNumId w:val="21"/>
  </w:num>
  <w:num w:numId="35">
    <w:abstractNumId w:val="12"/>
  </w:num>
  <w:num w:numId="36">
    <w:abstractNumId w:val="11"/>
  </w:num>
  <w:num w:numId="3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无悔">
    <w15:presenceInfo w15:providerId="WPS Office" w15:userId="741736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49A5"/>
    <w:rsid w:val="00001A42"/>
    <w:rsid w:val="00001E89"/>
    <w:rsid w:val="000038C0"/>
    <w:rsid w:val="0000459A"/>
    <w:rsid w:val="00004B0F"/>
    <w:rsid w:val="00005603"/>
    <w:rsid w:val="000058A3"/>
    <w:rsid w:val="00005B9F"/>
    <w:rsid w:val="0000734F"/>
    <w:rsid w:val="0000794F"/>
    <w:rsid w:val="00007C91"/>
    <w:rsid w:val="00012605"/>
    <w:rsid w:val="00012BD5"/>
    <w:rsid w:val="00012DD7"/>
    <w:rsid w:val="00013572"/>
    <w:rsid w:val="00013C0B"/>
    <w:rsid w:val="00013C9F"/>
    <w:rsid w:val="0001409D"/>
    <w:rsid w:val="00014D46"/>
    <w:rsid w:val="00016D44"/>
    <w:rsid w:val="000175F0"/>
    <w:rsid w:val="000204E2"/>
    <w:rsid w:val="00020994"/>
    <w:rsid w:val="00020E21"/>
    <w:rsid w:val="000219A4"/>
    <w:rsid w:val="0002357C"/>
    <w:rsid w:val="00023D3A"/>
    <w:rsid w:val="0002412C"/>
    <w:rsid w:val="00024395"/>
    <w:rsid w:val="00024759"/>
    <w:rsid w:val="00024D3B"/>
    <w:rsid w:val="00026F62"/>
    <w:rsid w:val="00027E61"/>
    <w:rsid w:val="00030838"/>
    <w:rsid w:val="0003131F"/>
    <w:rsid w:val="00032895"/>
    <w:rsid w:val="00032EB3"/>
    <w:rsid w:val="000331C0"/>
    <w:rsid w:val="000332A8"/>
    <w:rsid w:val="00033DA8"/>
    <w:rsid w:val="00034004"/>
    <w:rsid w:val="00034533"/>
    <w:rsid w:val="00034596"/>
    <w:rsid w:val="000363BE"/>
    <w:rsid w:val="0003666E"/>
    <w:rsid w:val="00037F84"/>
    <w:rsid w:val="00040144"/>
    <w:rsid w:val="00041C56"/>
    <w:rsid w:val="000421CC"/>
    <w:rsid w:val="000421EB"/>
    <w:rsid w:val="00043E9C"/>
    <w:rsid w:val="00044352"/>
    <w:rsid w:val="0004641E"/>
    <w:rsid w:val="00047612"/>
    <w:rsid w:val="00047F69"/>
    <w:rsid w:val="0005002B"/>
    <w:rsid w:val="000512C5"/>
    <w:rsid w:val="00051761"/>
    <w:rsid w:val="00052220"/>
    <w:rsid w:val="00052C56"/>
    <w:rsid w:val="000548B2"/>
    <w:rsid w:val="00055628"/>
    <w:rsid w:val="00055947"/>
    <w:rsid w:val="00056949"/>
    <w:rsid w:val="0005697C"/>
    <w:rsid w:val="00056DC1"/>
    <w:rsid w:val="00056DF5"/>
    <w:rsid w:val="000572CA"/>
    <w:rsid w:val="00057663"/>
    <w:rsid w:val="000578C8"/>
    <w:rsid w:val="00061751"/>
    <w:rsid w:val="000619D2"/>
    <w:rsid w:val="00061DA0"/>
    <w:rsid w:val="00062CE7"/>
    <w:rsid w:val="0006483B"/>
    <w:rsid w:val="00064AAD"/>
    <w:rsid w:val="00064C4B"/>
    <w:rsid w:val="000654BF"/>
    <w:rsid w:val="000657DE"/>
    <w:rsid w:val="000659CC"/>
    <w:rsid w:val="00066389"/>
    <w:rsid w:val="00066F91"/>
    <w:rsid w:val="00067342"/>
    <w:rsid w:val="0007070F"/>
    <w:rsid w:val="00072AD6"/>
    <w:rsid w:val="00072DC2"/>
    <w:rsid w:val="00073425"/>
    <w:rsid w:val="000735D1"/>
    <w:rsid w:val="00074029"/>
    <w:rsid w:val="00074943"/>
    <w:rsid w:val="00074AA4"/>
    <w:rsid w:val="00074BD8"/>
    <w:rsid w:val="0007514A"/>
    <w:rsid w:val="000753C0"/>
    <w:rsid w:val="000758A2"/>
    <w:rsid w:val="00075A88"/>
    <w:rsid w:val="00075C02"/>
    <w:rsid w:val="00076B36"/>
    <w:rsid w:val="000775DC"/>
    <w:rsid w:val="00080357"/>
    <w:rsid w:val="000809B3"/>
    <w:rsid w:val="00080E6B"/>
    <w:rsid w:val="00080F60"/>
    <w:rsid w:val="000815F0"/>
    <w:rsid w:val="00081A65"/>
    <w:rsid w:val="00082986"/>
    <w:rsid w:val="00083CC5"/>
    <w:rsid w:val="000847DF"/>
    <w:rsid w:val="00085763"/>
    <w:rsid w:val="00085B0C"/>
    <w:rsid w:val="00085CC9"/>
    <w:rsid w:val="00085CFD"/>
    <w:rsid w:val="00085D4D"/>
    <w:rsid w:val="00085E53"/>
    <w:rsid w:val="0008625B"/>
    <w:rsid w:val="00086A2E"/>
    <w:rsid w:val="000902B2"/>
    <w:rsid w:val="00090AC7"/>
    <w:rsid w:val="0009175B"/>
    <w:rsid w:val="00092638"/>
    <w:rsid w:val="00092BF7"/>
    <w:rsid w:val="00093931"/>
    <w:rsid w:val="00093B14"/>
    <w:rsid w:val="0009414D"/>
    <w:rsid w:val="000944AB"/>
    <w:rsid w:val="00094742"/>
    <w:rsid w:val="00094CB7"/>
    <w:rsid w:val="00094CD1"/>
    <w:rsid w:val="00095180"/>
    <w:rsid w:val="00095FD4"/>
    <w:rsid w:val="00096645"/>
    <w:rsid w:val="000969F2"/>
    <w:rsid w:val="00097427"/>
    <w:rsid w:val="000974D8"/>
    <w:rsid w:val="000A0C2B"/>
    <w:rsid w:val="000A0D4F"/>
    <w:rsid w:val="000A2C79"/>
    <w:rsid w:val="000A3B84"/>
    <w:rsid w:val="000A45F4"/>
    <w:rsid w:val="000A4F76"/>
    <w:rsid w:val="000A60D1"/>
    <w:rsid w:val="000A6907"/>
    <w:rsid w:val="000A6E90"/>
    <w:rsid w:val="000A7153"/>
    <w:rsid w:val="000A760B"/>
    <w:rsid w:val="000A79A4"/>
    <w:rsid w:val="000A79CC"/>
    <w:rsid w:val="000B0B8D"/>
    <w:rsid w:val="000B12F2"/>
    <w:rsid w:val="000B1A06"/>
    <w:rsid w:val="000B26E5"/>
    <w:rsid w:val="000B332C"/>
    <w:rsid w:val="000B3A01"/>
    <w:rsid w:val="000B4035"/>
    <w:rsid w:val="000B578F"/>
    <w:rsid w:val="000B61FB"/>
    <w:rsid w:val="000B6E2E"/>
    <w:rsid w:val="000B7EC8"/>
    <w:rsid w:val="000C004A"/>
    <w:rsid w:val="000C009A"/>
    <w:rsid w:val="000C0FF4"/>
    <w:rsid w:val="000C2349"/>
    <w:rsid w:val="000C3383"/>
    <w:rsid w:val="000C3E48"/>
    <w:rsid w:val="000C4549"/>
    <w:rsid w:val="000C5215"/>
    <w:rsid w:val="000C5859"/>
    <w:rsid w:val="000C685E"/>
    <w:rsid w:val="000C687A"/>
    <w:rsid w:val="000C6F7C"/>
    <w:rsid w:val="000C7284"/>
    <w:rsid w:val="000D0375"/>
    <w:rsid w:val="000D0DB8"/>
    <w:rsid w:val="000D292F"/>
    <w:rsid w:val="000D3FE5"/>
    <w:rsid w:val="000D49AF"/>
    <w:rsid w:val="000D4AEE"/>
    <w:rsid w:val="000D5080"/>
    <w:rsid w:val="000D556E"/>
    <w:rsid w:val="000D7292"/>
    <w:rsid w:val="000E0650"/>
    <w:rsid w:val="000E0865"/>
    <w:rsid w:val="000E1BE5"/>
    <w:rsid w:val="000E2A50"/>
    <w:rsid w:val="000E2B13"/>
    <w:rsid w:val="000E3786"/>
    <w:rsid w:val="000E3BAC"/>
    <w:rsid w:val="000E3DBC"/>
    <w:rsid w:val="000E431A"/>
    <w:rsid w:val="000E4328"/>
    <w:rsid w:val="000E4718"/>
    <w:rsid w:val="000E67A5"/>
    <w:rsid w:val="000E6D71"/>
    <w:rsid w:val="000E6E1D"/>
    <w:rsid w:val="000E727A"/>
    <w:rsid w:val="000E739F"/>
    <w:rsid w:val="000F055B"/>
    <w:rsid w:val="000F090F"/>
    <w:rsid w:val="000F12B3"/>
    <w:rsid w:val="000F12D3"/>
    <w:rsid w:val="000F2742"/>
    <w:rsid w:val="000F2877"/>
    <w:rsid w:val="000F3578"/>
    <w:rsid w:val="000F3E49"/>
    <w:rsid w:val="000F45BD"/>
    <w:rsid w:val="000F5641"/>
    <w:rsid w:val="000F5FB8"/>
    <w:rsid w:val="000F67BD"/>
    <w:rsid w:val="000F6C93"/>
    <w:rsid w:val="000F6D7A"/>
    <w:rsid w:val="000F7100"/>
    <w:rsid w:val="0010011A"/>
    <w:rsid w:val="00101E8B"/>
    <w:rsid w:val="00102538"/>
    <w:rsid w:val="001038BC"/>
    <w:rsid w:val="00103980"/>
    <w:rsid w:val="001040A6"/>
    <w:rsid w:val="001043C7"/>
    <w:rsid w:val="001045CF"/>
    <w:rsid w:val="00105064"/>
    <w:rsid w:val="00105402"/>
    <w:rsid w:val="00105ADA"/>
    <w:rsid w:val="00105B1A"/>
    <w:rsid w:val="00105DBD"/>
    <w:rsid w:val="00105FDC"/>
    <w:rsid w:val="0010606F"/>
    <w:rsid w:val="001065F9"/>
    <w:rsid w:val="00107164"/>
    <w:rsid w:val="0011034A"/>
    <w:rsid w:val="00110A85"/>
    <w:rsid w:val="0011395F"/>
    <w:rsid w:val="001141C1"/>
    <w:rsid w:val="00115409"/>
    <w:rsid w:val="001169CD"/>
    <w:rsid w:val="00116AB6"/>
    <w:rsid w:val="00116C77"/>
    <w:rsid w:val="00120025"/>
    <w:rsid w:val="00120890"/>
    <w:rsid w:val="00120CD9"/>
    <w:rsid w:val="001215FD"/>
    <w:rsid w:val="00121C87"/>
    <w:rsid w:val="00123253"/>
    <w:rsid w:val="00124219"/>
    <w:rsid w:val="0012470F"/>
    <w:rsid w:val="00125088"/>
    <w:rsid w:val="001254CF"/>
    <w:rsid w:val="00125ABD"/>
    <w:rsid w:val="00125D43"/>
    <w:rsid w:val="00125FA8"/>
    <w:rsid w:val="001265F0"/>
    <w:rsid w:val="00126836"/>
    <w:rsid w:val="00126D86"/>
    <w:rsid w:val="00126DE0"/>
    <w:rsid w:val="00126F88"/>
    <w:rsid w:val="00127589"/>
    <w:rsid w:val="00130DB9"/>
    <w:rsid w:val="00130EF5"/>
    <w:rsid w:val="00131BCB"/>
    <w:rsid w:val="00133368"/>
    <w:rsid w:val="00133811"/>
    <w:rsid w:val="00134723"/>
    <w:rsid w:val="001350A3"/>
    <w:rsid w:val="00136636"/>
    <w:rsid w:val="00137455"/>
    <w:rsid w:val="00140BF7"/>
    <w:rsid w:val="00142A29"/>
    <w:rsid w:val="00142A59"/>
    <w:rsid w:val="001435F3"/>
    <w:rsid w:val="00143955"/>
    <w:rsid w:val="00143CDA"/>
    <w:rsid w:val="00143D26"/>
    <w:rsid w:val="0014502C"/>
    <w:rsid w:val="00145830"/>
    <w:rsid w:val="001469B3"/>
    <w:rsid w:val="00147263"/>
    <w:rsid w:val="001474AB"/>
    <w:rsid w:val="001474D8"/>
    <w:rsid w:val="001477A8"/>
    <w:rsid w:val="001478F7"/>
    <w:rsid w:val="00147BD0"/>
    <w:rsid w:val="00150416"/>
    <w:rsid w:val="00150568"/>
    <w:rsid w:val="00151BD8"/>
    <w:rsid w:val="00151C9B"/>
    <w:rsid w:val="00152378"/>
    <w:rsid w:val="00154D7C"/>
    <w:rsid w:val="0015539F"/>
    <w:rsid w:val="001557AB"/>
    <w:rsid w:val="00155AE5"/>
    <w:rsid w:val="0015623C"/>
    <w:rsid w:val="001569EC"/>
    <w:rsid w:val="00156C68"/>
    <w:rsid w:val="00156DA6"/>
    <w:rsid w:val="001576A0"/>
    <w:rsid w:val="00157A10"/>
    <w:rsid w:val="001600AD"/>
    <w:rsid w:val="001602F8"/>
    <w:rsid w:val="00160523"/>
    <w:rsid w:val="00161AA3"/>
    <w:rsid w:val="00161C42"/>
    <w:rsid w:val="00162EED"/>
    <w:rsid w:val="00163FAF"/>
    <w:rsid w:val="00166B0E"/>
    <w:rsid w:val="00166F0E"/>
    <w:rsid w:val="00167298"/>
    <w:rsid w:val="00167855"/>
    <w:rsid w:val="00167F2D"/>
    <w:rsid w:val="00170E3C"/>
    <w:rsid w:val="001718D7"/>
    <w:rsid w:val="00171D14"/>
    <w:rsid w:val="00171D69"/>
    <w:rsid w:val="00172273"/>
    <w:rsid w:val="001739BD"/>
    <w:rsid w:val="00173B0B"/>
    <w:rsid w:val="00173B1F"/>
    <w:rsid w:val="00174799"/>
    <w:rsid w:val="00174A3D"/>
    <w:rsid w:val="001755A2"/>
    <w:rsid w:val="00176335"/>
    <w:rsid w:val="00177828"/>
    <w:rsid w:val="00180EE6"/>
    <w:rsid w:val="0018104E"/>
    <w:rsid w:val="00181CA2"/>
    <w:rsid w:val="00182044"/>
    <w:rsid w:val="00182D7A"/>
    <w:rsid w:val="00182E4E"/>
    <w:rsid w:val="001830A9"/>
    <w:rsid w:val="001832D4"/>
    <w:rsid w:val="0018412E"/>
    <w:rsid w:val="00185777"/>
    <w:rsid w:val="00186371"/>
    <w:rsid w:val="00186879"/>
    <w:rsid w:val="00186E8B"/>
    <w:rsid w:val="00187574"/>
    <w:rsid w:val="00187993"/>
    <w:rsid w:val="00191A01"/>
    <w:rsid w:val="001937A6"/>
    <w:rsid w:val="0019468B"/>
    <w:rsid w:val="00196152"/>
    <w:rsid w:val="00197D2D"/>
    <w:rsid w:val="00197D7B"/>
    <w:rsid w:val="001A05E9"/>
    <w:rsid w:val="001A19C2"/>
    <w:rsid w:val="001A1C76"/>
    <w:rsid w:val="001A2245"/>
    <w:rsid w:val="001A227A"/>
    <w:rsid w:val="001A2907"/>
    <w:rsid w:val="001A378A"/>
    <w:rsid w:val="001A3F34"/>
    <w:rsid w:val="001A4525"/>
    <w:rsid w:val="001A5C63"/>
    <w:rsid w:val="001A6910"/>
    <w:rsid w:val="001A7FB0"/>
    <w:rsid w:val="001B03AF"/>
    <w:rsid w:val="001B11B0"/>
    <w:rsid w:val="001B1745"/>
    <w:rsid w:val="001B2918"/>
    <w:rsid w:val="001B2F19"/>
    <w:rsid w:val="001B36CB"/>
    <w:rsid w:val="001B36E8"/>
    <w:rsid w:val="001B4DF9"/>
    <w:rsid w:val="001B5A70"/>
    <w:rsid w:val="001B5A7C"/>
    <w:rsid w:val="001B6757"/>
    <w:rsid w:val="001B7B41"/>
    <w:rsid w:val="001C0CAB"/>
    <w:rsid w:val="001C1CFC"/>
    <w:rsid w:val="001C1D9C"/>
    <w:rsid w:val="001C403D"/>
    <w:rsid w:val="001C4045"/>
    <w:rsid w:val="001C4153"/>
    <w:rsid w:val="001C452A"/>
    <w:rsid w:val="001C466D"/>
    <w:rsid w:val="001C489D"/>
    <w:rsid w:val="001C4CD3"/>
    <w:rsid w:val="001C5813"/>
    <w:rsid w:val="001C6050"/>
    <w:rsid w:val="001C675B"/>
    <w:rsid w:val="001C6D75"/>
    <w:rsid w:val="001D0F1B"/>
    <w:rsid w:val="001D1C30"/>
    <w:rsid w:val="001D2708"/>
    <w:rsid w:val="001D2812"/>
    <w:rsid w:val="001D2E91"/>
    <w:rsid w:val="001D3A69"/>
    <w:rsid w:val="001D47C0"/>
    <w:rsid w:val="001D4D8D"/>
    <w:rsid w:val="001D52BE"/>
    <w:rsid w:val="001D54FF"/>
    <w:rsid w:val="001D5FB8"/>
    <w:rsid w:val="001D635B"/>
    <w:rsid w:val="001D6D16"/>
    <w:rsid w:val="001D715D"/>
    <w:rsid w:val="001E0197"/>
    <w:rsid w:val="001E01A3"/>
    <w:rsid w:val="001E0584"/>
    <w:rsid w:val="001E1A05"/>
    <w:rsid w:val="001E1BE8"/>
    <w:rsid w:val="001E2C7D"/>
    <w:rsid w:val="001E3395"/>
    <w:rsid w:val="001E3789"/>
    <w:rsid w:val="001E4BBA"/>
    <w:rsid w:val="001E5028"/>
    <w:rsid w:val="001E5864"/>
    <w:rsid w:val="001E58D8"/>
    <w:rsid w:val="001E731D"/>
    <w:rsid w:val="001F071C"/>
    <w:rsid w:val="001F083C"/>
    <w:rsid w:val="001F16A3"/>
    <w:rsid w:val="001F243D"/>
    <w:rsid w:val="001F2BC8"/>
    <w:rsid w:val="001F31A1"/>
    <w:rsid w:val="001F31D0"/>
    <w:rsid w:val="001F51EF"/>
    <w:rsid w:val="001F5D9F"/>
    <w:rsid w:val="001F60EB"/>
    <w:rsid w:val="001F660F"/>
    <w:rsid w:val="001F670B"/>
    <w:rsid w:val="001F73C1"/>
    <w:rsid w:val="001F768D"/>
    <w:rsid w:val="001F7693"/>
    <w:rsid w:val="001F7AE5"/>
    <w:rsid w:val="00200D61"/>
    <w:rsid w:val="002012D9"/>
    <w:rsid w:val="00201887"/>
    <w:rsid w:val="00201A3A"/>
    <w:rsid w:val="00202FC5"/>
    <w:rsid w:val="00203FB2"/>
    <w:rsid w:val="00205BCC"/>
    <w:rsid w:val="00205F64"/>
    <w:rsid w:val="0020625C"/>
    <w:rsid w:val="002064C9"/>
    <w:rsid w:val="002065D9"/>
    <w:rsid w:val="00206820"/>
    <w:rsid w:val="00206C0D"/>
    <w:rsid w:val="00207124"/>
    <w:rsid w:val="0020740C"/>
    <w:rsid w:val="00207E06"/>
    <w:rsid w:val="0021096F"/>
    <w:rsid w:val="00212335"/>
    <w:rsid w:val="00212A05"/>
    <w:rsid w:val="00212BC1"/>
    <w:rsid w:val="00213181"/>
    <w:rsid w:val="00213747"/>
    <w:rsid w:val="002142E6"/>
    <w:rsid w:val="00216A26"/>
    <w:rsid w:val="00216A4D"/>
    <w:rsid w:val="002170FB"/>
    <w:rsid w:val="00220AFE"/>
    <w:rsid w:val="0022295B"/>
    <w:rsid w:val="00222AD6"/>
    <w:rsid w:val="00222E16"/>
    <w:rsid w:val="00222F04"/>
    <w:rsid w:val="002242D0"/>
    <w:rsid w:val="002257CE"/>
    <w:rsid w:val="00225C6F"/>
    <w:rsid w:val="002262CA"/>
    <w:rsid w:val="002270B8"/>
    <w:rsid w:val="00230052"/>
    <w:rsid w:val="00230603"/>
    <w:rsid w:val="002309B9"/>
    <w:rsid w:val="00230B22"/>
    <w:rsid w:val="0023102F"/>
    <w:rsid w:val="0023167B"/>
    <w:rsid w:val="00232396"/>
    <w:rsid w:val="0023307B"/>
    <w:rsid w:val="0023408B"/>
    <w:rsid w:val="002357C8"/>
    <w:rsid w:val="0023589B"/>
    <w:rsid w:val="00236350"/>
    <w:rsid w:val="00237EF7"/>
    <w:rsid w:val="00240A71"/>
    <w:rsid w:val="00241656"/>
    <w:rsid w:val="002424A6"/>
    <w:rsid w:val="002431AA"/>
    <w:rsid w:val="00243863"/>
    <w:rsid w:val="00243D70"/>
    <w:rsid w:val="00243FC6"/>
    <w:rsid w:val="002443A0"/>
    <w:rsid w:val="00244C48"/>
    <w:rsid w:val="002453C7"/>
    <w:rsid w:val="00245B40"/>
    <w:rsid w:val="00245C09"/>
    <w:rsid w:val="00246758"/>
    <w:rsid w:val="002502AB"/>
    <w:rsid w:val="002502CC"/>
    <w:rsid w:val="0025083D"/>
    <w:rsid w:val="00251BEC"/>
    <w:rsid w:val="002525DE"/>
    <w:rsid w:val="00252841"/>
    <w:rsid w:val="0025284C"/>
    <w:rsid w:val="002528BC"/>
    <w:rsid w:val="00254CA1"/>
    <w:rsid w:val="002551E8"/>
    <w:rsid w:val="0025576E"/>
    <w:rsid w:val="00255C73"/>
    <w:rsid w:val="00255E3C"/>
    <w:rsid w:val="002564F4"/>
    <w:rsid w:val="00256BCB"/>
    <w:rsid w:val="00256ED8"/>
    <w:rsid w:val="002571AE"/>
    <w:rsid w:val="00260E83"/>
    <w:rsid w:val="002611C3"/>
    <w:rsid w:val="00261255"/>
    <w:rsid w:val="002622D5"/>
    <w:rsid w:val="002625A8"/>
    <w:rsid w:val="00262969"/>
    <w:rsid w:val="00262BC5"/>
    <w:rsid w:val="0026302F"/>
    <w:rsid w:val="0026318F"/>
    <w:rsid w:val="002635BC"/>
    <w:rsid w:val="00263B3E"/>
    <w:rsid w:val="00263F5C"/>
    <w:rsid w:val="00264FE9"/>
    <w:rsid w:val="002656D8"/>
    <w:rsid w:val="00266E98"/>
    <w:rsid w:val="00266F18"/>
    <w:rsid w:val="00266FE0"/>
    <w:rsid w:val="00270512"/>
    <w:rsid w:val="002707F5"/>
    <w:rsid w:val="00270AC1"/>
    <w:rsid w:val="0027109F"/>
    <w:rsid w:val="00271AEA"/>
    <w:rsid w:val="002727D8"/>
    <w:rsid w:val="002747D1"/>
    <w:rsid w:val="00274DE9"/>
    <w:rsid w:val="00275CF2"/>
    <w:rsid w:val="00276DB2"/>
    <w:rsid w:val="00280096"/>
    <w:rsid w:val="00280DA7"/>
    <w:rsid w:val="00280FFE"/>
    <w:rsid w:val="002819F6"/>
    <w:rsid w:val="00281ECF"/>
    <w:rsid w:val="0028223D"/>
    <w:rsid w:val="002828E1"/>
    <w:rsid w:val="00282E73"/>
    <w:rsid w:val="002832F6"/>
    <w:rsid w:val="00283456"/>
    <w:rsid w:val="002837F1"/>
    <w:rsid w:val="00285993"/>
    <w:rsid w:val="002859C8"/>
    <w:rsid w:val="002862BB"/>
    <w:rsid w:val="00286482"/>
    <w:rsid w:val="0028656B"/>
    <w:rsid w:val="002868FE"/>
    <w:rsid w:val="0028723D"/>
    <w:rsid w:val="00287BD2"/>
    <w:rsid w:val="00290554"/>
    <w:rsid w:val="00290C86"/>
    <w:rsid w:val="00291953"/>
    <w:rsid w:val="002919DB"/>
    <w:rsid w:val="0029255E"/>
    <w:rsid w:val="00293A8D"/>
    <w:rsid w:val="0029540D"/>
    <w:rsid w:val="0029595C"/>
    <w:rsid w:val="00295B45"/>
    <w:rsid w:val="00296F5D"/>
    <w:rsid w:val="00296F84"/>
    <w:rsid w:val="002A13A1"/>
    <w:rsid w:val="002A1814"/>
    <w:rsid w:val="002A2C1F"/>
    <w:rsid w:val="002A3341"/>
    <w:rsid w:val="002A4752"/>
    <w:rsid w:val="002A4BD6"/>
    <w:rsid w:val="002A5051"/>
    <w:rsid w:val="002A59B4"/>
    <w:rsid w:val="002A5BD0"/>
    <w:rsid w:val="002A7D05"/>
    <w:rsid w:val="002B0749"/>
    <w:rsid w:val="002B0FEF"/>
    <w:rsid w:val="002B2166"/>
    <w:rsid w:val="002B2315"/>
    <w:rsid w:val="002B353B"/>
    <w:rsid w:val="002B4523"/>
    <w:rsid w:val="002B4CAF"/>
    <w:rsid w:val="002B52D0"/>
    <w:rsid w:val="002B72ED"/>
    <w:rsid w:val="002B7B21"/>
    <w:rsid w:val="002B7BE1"/>
    <w:rsid w:val="002C01D9"/>
    <w:rsid w:val="002C03B5"/>
    <w:rsid w:val="002C052B"/>
    <w:rsid w:val="002C06E4"/>
    <w:rsid w:val="002C196D"/>
    <w:rsid w:val="002C1D81"/>
    <w:rsid w:val="002C2E9E"/>
    <w:rsid w:val="002C2FBB"/>
    <w:rsid w:val="002C315C"/>
    <w:rsid w:val="002C3EAE"/>
    <w:rsid w:val="002C4339"/>
    <w:rsid w:val="002C466C"/>
    <w:rsid w:val="002C4FF1"/>
    <w:rsid w:val="002C5FA2"/>
    <w:rsid w:val="002C64BE"/>
    <w:rsid w:val="002C6933"/>
    <w:rsid w:val="002C6B5C"/>
    <w:rsid w:val="002D0472"/>
    <w:rsid w:val="002D0EE8"/>
    <w:rsid w:val="002D129F"/>
    <w:rsid w:val="002D1560"/>
    <w:rsid w:val="002D183A"/>
    <w:rsid w:val="002D411E"/>
    <w:rsid w:val="002D4FB6"/>
    <w:rsid w:val="002D661E"/>
    <w:rsid w:val="002D7483"/>
    <w:rsid w:val="002E036C"/>
    <w:rsid w:val="002E07BD"/>
    <w:rsid w:val="002E0F07"/>
    <w:rsid w:val="002E0FD5"/>
    <w:rsid w:val="002E15C1"/>
    <w:rsid w:val="002E173F"/>
    <w:rsid w:val="002E20A3"/>
    <w:rsid w:val="002E2F52"/>
    <w:rsid w:val="002E312D"/>
    <w:rsid w:val="002E32D1"/>
    <w:rsid w:val="002E4F1F"/>
    <w:rsid w:val="002E6B15"/>
    <w:rsid w:val="002E7B6A"/>
    <w:rsid w:val="002E7D8F"/>
    <w:rsid w:val="002F0699"/>
    <w:rsid w:val="002F0E90"/>
    <w:rsid w:val="002F1246"/>
    <w:rsid w:val="002F1D4A"/>
    <w:rsid w:val="002F206A"/>
    <w:rsid w:val="002F206C"/>
    <w:rsid w:val="002F35DA"/>
    <w:rsid w:val="002F365C"/>
    <w:rsid w:val="002F49A5"/>
    <w:rsid w:val="002F4C86"/>
    <w:rsid w:val="002F6290"/>
    <w:rsid w:val="002F695E"/>
    <w:rsid w:val="002F75AB"/>
    <w:rsid w:val="003012FB"/>
    <w:rsid w:val="00301357"/>
    <w:rsid w:val="0030187A"/>
    <w:rsid w:val="003020BD"/>
    <w:rsid w:val="0030288C"/>
    <w:rsid w:val="00303975"/>
    <w:rsid w:val="00303C23"/>
    <w:rsid w:val="00303FC9"/>
    <w:rsid w:val="00304579"/>
    <w:rsid w:val="003102F8"/>
    <w:rsid w:val="00310D65"/>
    <w:rsid w:val="00310F36"/>
    <w:rsid w:val="0031178F"/>
    <w:rsid w:val="00311945"/>
    <w:rsid w:val="003125BF"/>
    <w:rsid w:val="00312D8C"/>
    <w:rsid w:val="003131A7"/>
    <w:rsid w:val="00314A7B"/>
    <w:rsid w:val="003153BF"/>
    <w:rsid w:val="003167AE"/>
    <w:rsid w:val="00320036"/>
    <w:rsid w:val="003215B7"/>
    <w:rsid w:val="0032193B"/>
    <w:rsid w:val="0032246A"/>
    <w:rsid w:val="00322552"/>
    <w:rsid w:val="003235E9"/>
    <w:rsid w:val="003238C9"/>
    <w:rsid w:val="00325B07"/>
    <w:rsid w:val="0032762C"/>
    <w:rsid w:val="0033046D"/>
    <w:rsid w:val="00332503"/>
    <w:rsid w:val="003325A1"/>
    <w:rsid w:val="0033413E"/>
    <w:rsid w:val="00334836"/>
    <w:rsid w:val="00336804"/>
    <w:rsid w:val="00336F86"/>
    <w:rsid w:val="00337595"/>
    <w:rsid w:val="00340014"/>
    <w:rsid w:val="00340784"/>
    <w:rsid w:val="00344277"/>
    <w:rsid w:val="0034438E"/>
    <w:rsid w:val="00344DAF"/>
    <w:rsid w:val="00344E47"/>
    <w:rsid w:val="00345F04"/>
    <w:rsid w:val="00346306"/>
    <w:rsid w:val="0034661D"/>
    <w:rsid w:val="00346DE2"/>
    <w:rsid w:val="00346E02"/>
    <w:rsid w:val="00347126"/>
    <w:rsid w:val="00347D01"/>
    <w:rsid w:val="00347FD3"/>
    <w:rsid w:val="00350468"/>
    <w:rsid w:val="00350AFB"/>
    <w:rsid w:val="00350DE2"/>
    <w:rsid w:val="00350F62"/>
    <w:rsid w:val="00351EE7"/>
    <w:rsid w:val="00352209"/>
    <w:rsid w:val="00352606"/>
    <w:rsid w:val="003535C3"/>
    <w:rsid w:val="00353B56"/>
    <w:rsid w:val="003546BD"/>
    <w:rsid w:val="00355140"/>
    <w:rsid w:val="00356116"/>
    <w:rsid w:val="00356258"/>
    <w:rsid w:val="003562AB"/>
    <w:rsid w:val="003565B6"/>
    <w:rsid w:val="003566D8"/>
    <w:rsid w:val="003568C8"/>
    <w:rsid w:val="00356B33"/>
    <w:rsid w:val="00356BFD"/>
    <w:rsid w:val="003575B5"/>
    <w:rsid w:val="00357EAB"/>
    <w:rsid w:val="0036004E"/>
    <w:rsid w:val="00361B4E"/>
    <w:rsid w:val="003626F9"/>
    <w:rsid w:val="003650E1"/>
    <w:rsid w:val="00365927"/>
    <w:rsid w:val="00365B5B"/>
    <w:rsid w:val="00366138"/>
    <w:rsid w:val="00366143"/>
    <w:rsid w:val="003674EE"/>
    <w:rsid w:val="00367932"/>
    <w:rsid w:val="00367EA4"/>
    <w:rsid w:val="003701C5"/>
    <w:rsid w:val="003702FF"/>
    <w:rsid w:val="003707B1"/>
    <w:rsid w:val="00371724"/>
    <w:rsid w:val="00371F35"/>
    <w:rsid w:val="003732F4"/>
    <w:rsid w:val="0037402F"/>
    <w:rsid w:val="00375234"/>
    <w:rsid w:val="003752C0"/>
    <w:rsid w:val="00376BDC"/>
    <w:rsid w:val="00376F0F"/>
    <w:rsid w:val="00377333"/>
    <w:rsid w:val="00377780"/>
    <w:rsid w:val="00377C1B"/>
    <w:rsid w:val="00377F21"/>
    <w:rsid w:val="003805D5"/>
    <w:rsid w:val="00380C4A"/>
    <w:rsid w:val="00380C86"/>
    <w:rsid w:val="00381298"/>
    <w:rsid w:val="00381918"/>
    <w:rsid w:val="003824B3"/>
    <w:rsid w:val="00382C97"/>
    <w:rsid w:val="00382DBE"/>
    <w:rsid w:val="00382F36"/>
    <w:rsid w:val="00383012"/>
    <w:rsid w:val="00383307"/>
    <w:rsid w:val="0038492C"/>
    <w:rsid w:val="003853E9"/>
    <w:rsid w:val="003862E5"/>
    <w:rsid w:val="00386956"/>
    <w:rsid w:val="0038742F"/>
    <w:rsid w:val="00387F9B"/>
    <w:rsid w:val="00390AB7"/>
    <w:rsid w:val="00390DDA"/>
    <w:rsid w:val="003912E1"/>
    <w:rsid w:val="00391599"/>
    <w:rsid w:val="00392FE1"/>
    <w:rsid w:val="00393953"/>
    <w:rsid w:val="00393C1B"/>
    <w:rsid w:val="0039503F"/>
    <w:rsid w:val="00395923"/>
    <w:rsid w:val="003962D6"/>
    <w:rsid w:val="003969AC"/>
    <w:rsid w:val="00396A21"/>
    <w:rsid w:val="003976D8"/>
    <w:rsid w:val="003A02B6"/>
    <w:rsid w:val="003A0B4F"/>
    <w:rsid w:val="003A1592"/>
    <w:rsid w:val="003A1F28"/>
    <w:rsid w:val="003A2CB1"/>
    <w:rsid w:val="003A32CB"/>
    <w:rsid w:val="003A37E5"/>
    <w:rsid w:val="003A3941"/>
    <w:rsid w:val="003A3B6F"/>
    <w:rsid w:val="003A4BED"/>
    <w:rsid w:val="003A4F63"/>
    <w:rsid w:val="003A5CF6"/>
    <w:rsid w:val="003A66FF"/>
    <w:rsid w:val="003B0351"/>
    <w:rsid w:val="003B08E4"/>
    <w:rsid w:val="003B1137"/>
    <w:rsid w:val="003B20EC"/>
    <w:rsid w:val="003B2426"/>
    <w:rsid w:val="003B2F3B"/>
    <w:rsid w:val="003B3912"/>
    <w:rsid w:val="003B3A62"/>
    <w:rsid w:val="003B3BB0"/>
    <w:rsid w:val="003B5AD1"/>
    <w:rsid w:val="003B6A6E"/>
    <w:rsid w:val="003B71B9"/>
    <w:rsid w:val="003B731E"/>
    <w:rsid w:val="003B763E"/>
    <w:rsid w:val="003C0F8E"/>
    <w:rsid w:val="003C15A9"/>
    <w:rsid w:val="003C1631"/>
    <w:rsid w:val="003C27D9"/>
    <w:rsid w:val="003C28DC"/>
    <w:rsid w:val="003C4B16"/>
    <w:rsid w:val="003C4D75"/>
    <w:rsid w:val="003C4E59"/>
    <w:rsid w:val="003C53C8"/>
    <w:rsid w:val="003C58F7"/>
    <w:rsid w:val="003C5972"/>
    <w:rsid w:val="003C5A84"/>
    <w:rsid w:val="003C6C7A"/>
    <w:rsid w:val="003C6EF8"/>
    <w:rsid w:val="003C7324"/>
    <w:rsid w:val="003C7829"/>
    <w:rsid w:val="003C7C8B"/>
    <w:rsid w:val="003C7F1F"/>
    <w:rsid w:val="003D0D4B"/>
    <w:rsid w:val="003D2A38"/>
    <w:rsid w:val="003D36D9"/>
    <w:rsid w:val="003D3761"/>
    <w:rsid w:val="003D38A9"/>
    <w:rsid w:val="003D3B0D"/>
    <w:rsid w:val="003D3DE0"/>
    <w:rsid w:val="003D3EF2"/>
    <w:rsid w:val="003D3F11"/>
    <w:rsid w:val="003D4584"/>
    <w:rsid w:val="003D4758"/>
    <w:rsid w:val="003D4DC9"/>
    <w:rsid w:val="003D6028"/>
    <w:rsid w:val="003D6459"/>
    <w:rsid w:val="003D64A5"/>
    <w:rsid w:val="003D6D20"/>
    <w:rsid w:val="003D7816"/>
    <w:rsid w:val="003E05DF"/>
    <w:rsid w:val="003E1E30"/>
    <w:rsid w:val="003E1FD2"/>
    <w:rsid w:val="003E268B"/>
    <w:rsid w:val="003E2C63"/>
    <w:rsid w:val="003E3797"/>
    <w:rsid w:val="003E4695"/>
    <w:rsid w:val="003E4C0D"/>
    <w:rsid w:val="003E4D4C"/>
    <w:rsid w:val="003E58B6"/>
    <w:rsid w:val="003E6706"/>
    <w:rsid w:val="003F0921"/>
    <w:rsid w:val="003F09B5"/>
    <w:rsid w:val="003F09BC"/>
    <w:rsid w:val="003F12FC"/>
    <w:rsid w:val="003F130C"/>
    <w:rsid w:val="003F2008"/>
    <w:rsid w:val="003F256C"/>
    <w:rsid w:val="003F4364"/>
    <w:rsid w:val="003F4CC3"/>
    <w:rsid w:val="003F4F9B"/>
    <w:rsid w:val="003F55FA"/>
    <w:rsid w:val="003F6DB7"/>
    <w:rsid w:val="00400BFE"/>
    <w:rsid w:val="004025A5"/>
    <w:rsid w:val="00403B1E"/>
    <w:rsid w:val="00403D1F"/>
    <w:rsid w:val="00404FFE"/>
    <w:rsid w:val="00406AE0"/>
    <w:rsid w:val="00406DC3"/>
    <w:rsid w:val="004074C2"/>
    <w:rsid w:val="004078BD"/>
    <w:rsid w:val="00407C4C"/>
    <w:rsid w:val="00410349"/>
    <w:rsid w:val="004104AA"/>
    <w:rsid w:val="004118DF"/>
    <w:rsid w:val="0041223D"/>
    <w:rsid w:val="00413041"/>
    <w:rsid w:val="004145E9"/>
    <w:rsid w:val="00414947"/>
    <w:rsid w:val="00414D77"/>
    <w:rsid w:val="004151D4"/>
    <w:rsid w:val="00415C47"/>
    <w:rsid w:val="00416168"/>
    <w:rsid w:val="00416D0B"/>
    <w:rsid w:val="00416E0C"/>
    <w:rsid w:val="00417E8E"/>
    <w:rsid w:val="00422048"/>
    <w:rsid w:val="0042426B"/>
    <w:rsid w:val="00424CEB"/>
    <w:rsid w:val="00425782"/>
    <w:rsid w:val="004262FC"/>
    <w:rsid w:val="004263BC"/>
    <w:rsid w:val="00426CC9"/>
    <w:rsid w:val="00427A34"/>
    <w:rsid w:val="004317C6"/>
    <w:rsid w:val="00431BEA"/>
    <w:rsid w:val="00432D44"/>
    <w:rsid w:val="00433847"/>
    <w:rsid w:val="004340D5"/>
    <w:rsid w:val="00437653"/>
    <w:rsid w:val="00437BB4"/>
    <w:rsid w:val="00440100"/>
    <w:rsid w:val="00441124"/>
    <w:rsid w:val="00441B98"/>
    <w:rsid w:val="00441C92"/>
    <w:rsid w:val="00441DE5"/>
    <w:rsid w:val="00442C26"/>
    <w:rsid w:val="00442E81"/>
    <w:rsid w:val="00443992"/>
    <w:rsid w:val="00445075"/>
    <w:rsid w:val="0044515E"/>
    <w:rsid w:val="00445202"/>
    <w:rsid w:val="00445F76"/>
    <w:rsid w:val="0044625B"/>
    <w:rsid w:val="004477B0"/>
    <w:rsid w:val="00447A81"/>
    <w:rsid w:val="00447BB7"/>
    <w:rsid w:val="00450EC5"/>
    <w:rsid w:val="004513E7"/>
    <w:rsid w:val="004522A2"/>
    <w:rsid w:val="004522E4"/>
    <w:rsid w:val="0045250F"/>
    <w:rsid w:val="004525DE"/>
    <w:rsid w:val="00452CA9"/>
    <w:rsid w:val="00454728"/>
    <w:rsid w:val="004550DD"/>
    <w:rsid w:val="00456F35"/>
    <w:rsid w:val="00457852"/>
    <w:rsid w:val="00460320"/>
    <w:rsid w:val="00460596"/>
    <w:rsid w:val="0046069F"/>
    <w:rsid w:val="00461639"/>
    <w:rsid w:val="00461A55"/>
    <w:rsid w:val="00461CC2"/>
    <w:rsid w:val="00461E57"/>
    <w:rsid w:val="00462D22"/>
    <w:rsid w:val="00463543"/>
    <w:rsid w:val="004640D4"/>
    <w:rsid w:val="004643F0"/>
    <w:rsid w:val="00464428"/>
    <w:rsid w:val="00464A0A"/>
    <w:rsid w:val="00465473"/>
    <w:rsid w:val="00465794"/>
    <w:rsid w:val="0046586D"/>
    <w:rsid w:val="0046633C"/>
    <w:rsid w:val="00467B93"/>
    <w:rsid w:val="0047082D"/>
    <w:rsid w:val="00471A9E"/>
    <w:rsid w:val="00472D93"/>
    <w:rsid w:val="00473993"/>
    <w:rsid w:val="00473F45"/>
    <w:rsid w:val="00474A32"/>
    <w:rsid w:val="00474B74"/>
    <w:rsid w:val="00474B7A"/>
    <w:rsid w:val="00474BDB"/>
    <w:rsid w:val="00474D57"/>
    <w:rsid w:val="00474FB2"/>
    <w:rsid w:val="00474FCE"/>
    <w:rsid w:val="00475292"/>
    <w:rsid w:val="00476A9A"/>
    <w:rsid w:val="0047731F"/>
    <w:rsid w:val="00477987"/>
    <w:rsid w:val="00477C9F"/>
    <w:rsid w:val="00477ED8"/>
    <w:rsid w:val="004809D5"/>
    <w:rsid w:val="00480C49"/>
    <w:rsid w:val="00480DA4"/>
    <w:rsid w:val="0048106E"/>
    <w:rsid w:val="00482B57"/>
    <w:rsid w:val="00482FDF"/>
    <w:rsid w:val="00484094"/>
    <w:rsid w:val="004852F8"/>
    <w:rsid w:val="004856F1"/>
    <w:rsid w:val="00485D46"/>
    <w:rsid w:val="004863E6"/>
    <w:rsid w:val="004864EC"/>
    <w:rsid w:val="0048656D"/>
    <w:rsid w:val="004866B1"/>
    <w:rsid w:val="00490729"/>
    <w:rsid w:val="00490A37"/>
    <w:rsid w:val="00491ECA"/>
    <w:rsid w:val="00492097"/>
    <w:rsid w:val="004924D6"/>
    <w:rsid w:val="0049301C"/>
    <w:rsid w:val="00494F21"/>
    <w:rsid w:val="004950E6"/>
    <w:rsid w:val="004954FF"/>
    <w:rsid w:val="0049630E"/>
    <w:rsid w:val="004963C9"/>
    <w:rsid w:val="00496D2D"/>
    <w:rsid w:val="004A16D8"/>
    <w:rsid w:val="004A1E38"/>
    <w:rsid w:val="004A3B52"/>
    <w:rsid w:val="004A3C28"/>
    <w:rsid w:val="004A4C1C"/>
    <w:rsid w:val="004A4E92"/>
    <w:rsid w:val="004A5691"/>
    <w:rsid w:val="004A5A1A"/>
    <w:rsid w:val="004A5E3C"/>
    <w:rsid w:val="004A643B"/>
    <w:rsid w:val="004A6674"/>
    <w:rsid w:val="004A6A38"/>
    <w:rsid w:val="004A704B"/>
    <w:rsid w:val="004A7674"/>
    <w:rsid w:val="004A7D31"/>
    <w:rsid w:val="004B05E1"/>
    <w:rsid w:val="004B0787"/>
    <w:rsid w:val="004B13B6"/>
    <w:rsid w:val="004B1AD0"/>
    <w:rsid w:val="004B2D1C"/>
    <w:rsid w:val="004B2D55"/>
    <w:rsid w:val="004B2E2F"/>
    <w:rsid w:val="004B3C62"/>
    <w:rsid w:val="004B3CF1"/>
    <w:rsid w:val="004B3DC9"/>
    <w:rsid w:val="004B3EB4"/>
    <w:rsid w:val="004B4F4A"/>
    <w:rsid w:val="004B5731"/>
    <w:rsid w:val="004B5DEC"/>
    <w:rsid w:val="004B631F"/>
    <w:rsid w:val="004B63F0"/>
    <w:rsid w:val="004B761C"/>
    <w:rsid w:val="004B7D56"/>
    <w:rsid w:val="004C00B2"/>
    <w:rsid w:val="004C0138"/>
    <w:rsid w:val="004C0207"/>
    <w:rsid w:val="004C0D4B"/>
    <w:rsid w:val="004C1986"/>
    <w:rsid w:val="004C1C30"/>
    <w:rsid w:val="004C1E80"/>
    <w:rsid w:val="004C2B50"/>
    <w:rsid w:val="004C3A55"/>
    <w:rsid w:val="004C4EC6"/>
    <w:rsid w:val="004C51F3"/>
    <w:rsid w:val="004C5C7C"/>
    <w:rsid w:val="004C644C"/>
    <w:rsid w:val="004C70CE"/>
    <w:rsid w:val="004C75FF"/>
    <w:rsid w:val="004C7C74"/>
    <w:rsid w:val="004D0C4B"/>
    <w:rsid w:val="004D2003"/>
    <w:rsid w:val="004D23A2"/>
    <w:rsid w:val="004D3798"/>
    <w:rsid w:val="004D471E"/>
    <w:rsid w:val="004D49C2"/>
    <w:rsid w:val="004D54D1"/>
    <w:rsid w:val="004D5821"/>
    <w:rsid w:val="004D61E2"/>
    <w:rsid w:val="004D6B00"/>
    <w:rsid w:val="004D7E91"/>
    <w:rsid w:val="004E05BD"/>
    <w:rsid w:val="004E0C6C"/>
    <w:rsid w:val="004E1042"/>
    <w:rsid w:val="004E1B08"/>
    <w:rsid w:val="004E24EE"/>
    <w:rsid w:val="004E2BD8"/>
    <w:rsid w:val="004E3126"/>
    <w:rsid w:val="004E479D"/>
    <w:rsid w:val="004E47C0"/>
    <w:rsid w:val="004E52B0"/>
    <w:rsid w:val="004E6643"/>
    <w:rsid w:val="004E7363"/>
    <w:rsid w:val="004F068E"/>
    <w:rsid w:val="004F2206"/>
    <w:rsid w:val="004F3004"/>
    <w:rsid w:val="004F38FA"/>
    <w:rsid w:val="004F3C37"/>
    <w:rsid w:val="004F481E"/>
    <w:rsid w:val="004F5B50"/>
    <w:rsid w:val="004F5CEC"/>
    <w:rsid w:val="004F71F4"/>
    <w:rsid w:val="00500898"/>
    <w:rsid w:val="00500E86"/>
    <w:rsid w:val="00500FFD"/>
    <w:rsid w:val="00501711"/>
    <w:rsid w:val="00501C7D"/>
    <w:rsid w:val="00501FA8"/>
    <w:rsid w:val="005020D4"/>
    <w:rsid w:val="0050326B"/>
    <w:rsid w:val="00503756"/>
    <w:rsid w:val="0050442D"/>
    <w:rsid w:val="00505335"/>
    <w:rsid w:val="005063C4"/>
    <w:rsid w:val="00506809"/>
    <w:rsid w:val="005072A0"/>
    <w:rsid w:val="00510360"/>
    <w:rsid w:val="005107B3"/>
    <w:rsid w:val="0051151F"/>
    <w:rsid w:val="00511BE5"/>
    <w:rsid w:val="00513582"/>
    <w:rsid w:val="00514353"/>
    <w:rsid w:val="00514615"/>
    <w:rsid w:val="005151EC"/>
    <w:rsid w:val="005153ED"/>
    <w:rsid w:val="00515A5F"/>
    <w:rsid w:val="00517101"/>
    <w:rsid w:val="00517F25"/>
    <w:rsid w:val="005200F7"/>
    <w:rsid w:val="00521973"/>
    <w:rsid w:val="00522A26"/>
    <w:rsid w:val="00523209"/>
    <w:rsid w:val="005241EA"/>
    <w:rsid w:val="0052452C"/>
    <w:rsid w:val="005245A0"/>
    <w:rsid w:val="00525E28"/>
    <w:rsid w:val="00526785"/>
    <w:rsid w:val="00526BF2"/>
    <w:rsid w:val="00526BF7"/>
    <w:rsid w:val="0052794D"/>
    <w:rsid w:val="00527A59"/>
    <w:rsid w:val="00527F3F"/>
    <w:rsid w:val="005317A0"/>
    <w:rsid w:val="0053198A"/>
    <w:rsid w:val="0053228C"/>
    <w:rsid w:val="005347CC"/>
    <w:rsid w:val="005350B6"/>
    <w:rsid w:val="005359AB"/>
    <w:rsid w:val="0053663B"/>
    <w:rsid w:val="00536BDA"/>
    <w:rsid w:val="00536CA3"/>
    <w:rsid w:val="005372B1"/>
    <w:rsid w:val="005376DD"/>
    <w:rsid w:val="0054016A"/>
    <w:rsid w:val="00540236"/>
    <w:rsid w:val="0054098E"/>
    <w:rsid w:val="00540B52"/>
    <w:rsid w:val="00541672"/>
    <w:rsid w:val="005419AC"/>
    <w:rsid w:val="00542199"/>
    <w:rsid w:val="005421B8"/>
    <w:rsid w:val="00542CAD"/>
    <w:rsid w:val="005430A6"/>
    <w:rsid w:val="005435DD"/>
    <w:rsid w:val="005439FE"/>
    <w:rsid w:val="005447B2"/>
    <w:rsid w:val="0054482A"/>
    <w:rsid w:val="005463EB"/>
    <w:rsid w:val="0054659A"/>
    <w:rsid w:val="005468BD"/>
    <w:rsid w:val="00546EDF"/>
    <w:rsid w:val="00550B58"/>
    <w:rsid w:val="00551D97"/>
    <w:rsid w:val="00551F6D"/>
    <w:rsid w:val="00552A14"/>
    <w:rsid w:val="00553CE5"/>
    <w:rsid w:val="0055539F"/>
    <w:rsid w:val="00556304"/>
    <w:rsid w:val="005563F4"/>
    <w:rsid w:val="00556C5B"/>
    <w:rsid w:val="0055743C"/>
    <w:rsid w:val="00557B91"/>
    <w:rsid w:val="005603AC"/>
    <w:rsid w:val="00562B21"/>
    <w:rsid w:val="0056323E"/>
    <w:rsid w:val="005643FF"/>
    <w:rsid w:val="00564F99"/>
    <w:rsid w:val="00566B5E"/>
    <w:rsid w:val="0057013A"/>
    <w:rsid w:val="005713F7"/>
    <w:rsid w:val="00572047"/>
    <w:rsid w:val="00572125"/>
    <w:rsid w:val="005723E3"/>
    <w:rsid w:val="00572CF2"/>
    <w:rsid w:val="00574019"/>
    <w:rsid w:val="00574876"/>
    <w:rsid w:val="00574BFE"/>
    <w:rsid w:val="00577DBB"/>
    <w:rsid w:val="00577F8E"/>
    <w:rsid w:val="0058132E"/>
    <w:rsid w:val="00581F78"/>
    <w:rsid w:val="00582CDD"/>
    <w:rsid w:val="00582F9B"/>
    <w:rsid w:val="0058300C"/>
    <w:rsid w:val="0058388D"/>
    <w:rsid w:val="00584CED"/>
    <w:rsid w:val="005855A3"/>
    <w:rsid w:val="0058653A"/>
    <w:rsid w:val="005865DE"/>
    <w:rsid w:val="0058669C"/>
    <w:rsid w:val="00586811"/>
    <w:rsid w:val="00586BC9"/>
    <w:rsid w:val="00587AA4"/>
    <w:rsid w:val="00587C60"/>
    <w:rsid w:val="0059014E"/>
    <w:rsid w:val="0059043B"/>
    <w:rsid w:val="005907C5"/>
    <w:rsid w:val="0059087D"/>
    <w:rsid w:val="00590D15"/>
    <w:rsid w:val="005912E0"/>
    <w:rsid w:val="005921C8"/>
    <w:rsid w:val="00593DFC"/>
    <w:rsid w:val="00593FE0"/>
    <w:rsid w:val="0059404F"/>
    <w:rsid w:val="00594B9A"/>
    <w:rsid w:val="00595699"/>
    <w:rsid w:val="0059608E"/>
    <w:rsid w:val="0059792E"/>
    <w:rsid w:val="00597A1C"/>
    <w:rsid w:val="00597D2B"/>
    <w:rsid w:val="00597E62"/>
    <w:rsid w:val="00597FB3"/>
    <w:rsid w:val="005A0807"/>
    <w:rsid w:val="005A08D6"/>
    <w:rsid w:val="005A1A7F"/>
    <w:rsid w:val="005A1B16"/>
    <w:rsid w:val="005A28EA"/>
    <w:rsid w:val="005A448C"/>
    <w:rsid w:val="005A44DB"/>
    <w:rsid w:val="005A5D96"/>
    <w:rsid w:val="005A6862"/>
    <w:rsid w:val="005A6ACE"/>
    <w:rsid w:val="005A7CC3"/>
    <w:rsid w:val="005B0773"/>
    <w:rsid w:val="005B1060"/>
    <w:rsid w:val="005B1FA3"/>
    <w:rsid w:val="005B299A"/>
    <w:rsid w:val="005B32F4"/>
    <w:rsid w:val="005B34E7"/>
    <w:rsid w:val="005B3BDB"/>
    <w:rsid w:val="005B5877"/>
    <w:rsid w:val="005B639F"/>
    <w:rsid w:val="005B6E9A"/>
    <w:rsid w:val="005C1F9C"/>
    <w:rsid w:val="005C396C"/>
    <w:rsid w:val="005C3AF0"/>
    <w:rsid w:val="005C5DF6"/>
    <w:rsid w:val="005C7831"/>
    <w:rsid w:val="005C7A08"/>
    <w:rsid w:val="005D2D77"/>
    <w:rsid w:val="005D30C7"/>
    <w:rsid w:val="005D3741"/>
    <w:rsid w:val="005D3AA1"/>
    <w:rsid w:val="005D3DD0"/>
    <w:rsid w:val="005D4C67"/>
    <w:rsid w:val="005D4FD8"/>
    <w:rsid w:val="005D506C"/>
    <w:rsid w:val="005D578A"/>
    <w:rsid w:val="005D623E"/>
    <w:rsid w:val="005D6DE6"/>
    <w:rsid w:val="005D71EF"/>
    <w:rsid w:val="005E0021"/>
    <w:rsid w:val="005E14CB"/>
    <w:rsid w:val="005E263C"/>
    <w:rsid w:val="005E304A"/>
    <w:rsid w:val="005E3B97"/>
    <w:rsid w:val="005E3BBE"/>
    <w:rsid w:val="005E57C7"/>
    <w:rsid w:val="005E5B8F"/>
    <w:rsid w:val="005E61CC"/>
    <w:rsid w:val="005E6CEC"/>
    <w:rsid w:val="005E72AF"/>
    <w:rsid w:val="005E7559"/>
    <w:rsid w:val="005F0290"/>
    <w:rsid w:val="005F061E"/>
    <w:rsid w:val="005F0F70"/>
    <w:rsid w:val="005F11A9"/>
    <w:rsid w:val="005F1961"/>
    <w:rsid w:val="005F219E"/>
    <w:rsid w:val="005F2701"/>
    <w:rsid w:val="005F27D2"/>
    <w:rsid w:val="005F2950"/>
    <w:rsid w:val="005F3778"/>
    <w:rsid w:val="005F3D0E"/>
    <w:rsid w:val="005F3D7A"/>
    <w:rsid w:val="005F40F4"/>
    <w:rsid w:val="005F5222"/>
    <w:rsid w:val="005F5D83"/>
    <w:rsid w:val="005F5ED5"/>
    <w:rsid w:val="005F6DBE"/>
    <w:rsid w:val="005F7212"/>
    <w:rsid w:val="005F7694"/>
    <w:rsid w:val="005F79FC"/>
    <w:rsid w:val="0060086C"/>
    <w:rsid w:val="00600F51"/>
    <w:rsid w:val="00601BEB"/>
    <w:rsid w:val="00601CB6"/>
    <w:rsid w:val="0060362A"/>
    <w:rsid w:val="006041D7"/>
    <w:rsid w:val="0060437D"/>
    <w:rsid w:val="006047DA"/>
    <w:rsid w:val="006048D0"/>
    <w:rsid w:val="00605934"/>
    <w:rsid w:val="006063A7"/>
    <w:rsid w:val="00606EE5"/>
    <w:rsid w:val="00607374"/>
    <w:rsid w:val="006078F6"/>
    <w:rsid w:val="006079E6"/>
    <w:rsid w:val="00610110"/>
    <w:rsid w:val="00610355"/>
    <w:rsid w:val="00610765"/>
    <w:rsid w:val="00611E34"/>
    <w:rsid w:val="0061215F"/>
    <w:rsid w:val="0061224E"/>
    <w:rsid w:val="00612D7E"/>
    <w:rsid w:val="00613C83"/>
    <w:rsid w:val="00613D00"/>
    <w:rsid w:val="00614EEB"/>
    <w:rsid w:val="0061525E"/>
    <w:rsid w:val="00615F3D"/>
    <w:rsid w:val="0061633B"/>
    <w:rsid w:val="0061642D"/>
    <w:rsid w:val="00617108"/>
    <w:rsid w:val="006171AF"/>
    <w:rsid w:val="0061786A"/>
    <w:rsid w:val="006202A6"/>
    <w:rsid w:val="006205E5"/>
    <w:rsid w:val="006209BE"/>
    <w:rsid w:val="0062188B"/>
    <w:rsid w:val="00621A54"/>
    <w:rsid w:val="00621C63"/>
    <w:rsid w:val="00622DD9"/>
    <w:rsid w:val="00622E53"/>
    <w:rsid w:val="006236D9"/>
    <w:rsid w:val="00627021"/>
    <w:rsid w:val="00627313"/>
    <w:rsid w:val="0063084B"/>
    <w:rsid w:val="00630FAF"/>
    <w:rsid w:val="00631919"/>
    <w:rsid w:val="00631DE8"/>
    <w:rsid w:val="00631E78"/>
    <w:rsid w:val="006327E1"/>
    <w:rsid w:val="0063289B"/>
    <w:rsid w:val="00632937"/>
    <w:rsid w:val="00632BE6"/>
    <w:rsid w:val="0063305D"/>
    <w:rsid w:val="0063333B"/>
    <w:rsid w:val="00633C43"/>
    <w:rsid w:val="00633EEF"/>
    <w:rsid w:val="00634058"/>
    <w:rsid w:val="00634152"/>
    <w:rsid w:val="00634494"/>
    <w:rsid w:val="006349CC"/>
    <w:rsid w:val="00635143"/>
    <w:rsid w:val="006357BD"/>
    <w:rsid w:val="00635C41"/>
    <w:rsid w:val="0063603D"/>
    <w:rsid w:val="00636284"/>
    <w:rsid w:val="006363F0"/>
    <w:rsid w:val="00636C25"/>
    <w:rsid w:val="00636C33"/>
    <w:rsid w:val="00637305"/>
    <w:rsid w:val="006401F9"/>
    <w:rsid w:val="00640DCD"/>
    <w:rsid w:val="006416CC"/>
    <w:rsid w:val="0064184A"/>
    <w:rsid w:val="0064188D"/>
    <w:rsid w:val="006420C4"/>
    <w:rsid w:val="006425CF"/>
    <w:rsid w:val="0064313E"/>
    <w:rsid w:val="006437DE"/>
    <w:rsid w:val="006446E7"/>
    <w:rsid w:val="006450FC"/>
    <w:rsid w:val="0064530B"/>
    <w:rsid w:val="00645E7D"/>
    <w:rsid w:val="00645F44"/>
    <w:rsid w:val="00646AEA"/>
    <w:rsid w:val="006470FA"/>
    <w:rsid w:val="006471A3"/>
    <w:rsid w:val="006472D1"/>
    <w:rsid w:val="00647987"/>
    <w:rsid w:val="00650273"/>
    <w:rsid w:val="00650805"/>
    <w:rsid w:val="00650824"/>
    <w:rsid w:val="006517DC"/>
    <w:rsid w:val="00651F3C"/>
    <w:rsid w:val="006521A0"/>
    <w:rsid w:val="00654ADC"/>
    <w:rsid w:val="00654BFC"/>
    <w:rsid w:val="00654D54"/>
    <w:rsid w:val="00655542"/>
    <w:rsid w:val="00655E32"/>
    <w:rsid w:val="00656518"/>
    <w:rsid w:val="00656BC9"/>
    <w:rsid w:val="00657943"/>
    <w:rsid w:val="00657B10"/>
    <w:rsid w:val="00657EB7"/>
    <w:rsid w:val="00660101"/>
    <w:rsid w:val="00660311"/>
    <w:rsid w:val="00660C23"/>
    <w:rsid w:val="00660E18"/>
    <w:rsid w:val="006630A5"/>
    <w:rsid w:val="00663188"/>
    <w:rsid w:val="00664A6F"/>
    <w:rsid w:val="00664B0E"/>
    <w:rsid w:val="006653A9"/>
    <w:rsid w:val="006664C9"/>
    <w:rsid w:val="006667A2"/>
    <w:rsid w:val="00667086"/>
    <w:rsid w:val="0066761E"/>
    <w:rsid w:val="00667D01"/>
    <w:rsid w:val="00670037"/>
    <w:rsid w:val="00670559"/>
    <w:rsid w:val="00670EB6"/>
    <w:rsid w:val="00671CE2"/>
    <w:rsid w:val="00672237"/>
    <w:rsid w:val="00672689"/>
    <w:rsid w:val="0067280D"/>
    <w:rsid w:val="00673D7A"/>
    <w:rsid w:val="00675631"/>
    <w:rsid w:val="00676793"/>
    <w:rsid w:val="00676938"/>
    <w:rsid w:val="006778ED"/>
    <w:rsid w:val="00677A32"/>
    <w:rsid w:val="00677F00"/>
    <w:rsid w:val="0068006D"/>
    <w:rsid w:val="00680099"/>
    <w:rsid w:val="006819A1"/>
    <w:rsid w:val="00682254"/>
    <w:rsid w:val="0068508F"/>
    <w:rsid w:val="00685170"/>
    <w:rsid w:val="006856ED"/>
    <w:rsid w:val="00685AA8"/>
    <w:rsid w:val="00687242"/>
    <w:rsid w:val="00690421"/>
    <w:rsid w:val="00690D01"/>
    <w:rsid w:val="00690D99"/>
    <w:rsid w:val="00691046"/>
    <w:rsid w:val="00691248"/>
    <w:rsid w:val="0069243A"/>
    <w:rsid w:val="006925E7"/>
    <w:rsid w:val="0069334A"/>
    <w:rsid w:val="00693A3F"/>
    <w:rsid w:val="00694562"/>
    <w:rsid w:val="0069462C"/>
    <w:rsid w:val="00694950"/>
    <w:rsid w:val="00694CA4"/>
    <w:rsid w:val="0069521E"/>
    <w:rsid w:val="0069586E"/>
    <w:rsid w:val="00695C44"/>
    <w:rsid w:val="006963CC"/>
    <w:rsid w:val="006A0144"/>
    <w:rsid w:val="006A08CB"/>
    <w:rsid w:val="006A0F7E"/>
    <w:rsid w:val="006A1274"/>
    <w:rsid w:val="006A2537"/>
    <w:rsid w:val="006A2E17"/>
    <w:rsid w:val="006A2F93"/>
    <w:rsid w:val="006A300C"/>
    <w:rsid w:val="006A4EA2"/>
    <w:rsid w:val="006A54C6"/>
    <w:rsid w:val="006A54CC"/>
    <w:rsid w:val="006A5C1D"/>
    <w:rsid w:val="006A5FF0"/>
    <w:rsid w:val="006A7307"/>
    <w:rsid w:val="006A76B6"/>
    <w:rsid w:val="006A7C23"/>
    <w:rsid w:val="006B052C"/>
    <w:rsid w:val="006B1328"/>
    <w:rsid w:val="006B14BB"/>
    <w:rsid w:val="006B2B67"/>
    <w:rsid w:val="006B494B"/>
    <w:rsid w:val="006B5794"/>
    <w:rsid w:val="006B5F50"/>
    <w:rsid w:val="006B7C4F"/>
    <w:rsid w:val="006C1037"/>
    <w:rsid w:val="006C120D"/>
    <w:rsid w:val="006C1548"/>
    <w:rsid w:val="006C1597"/>
    <w:rsid w:val="006C271F"/>
    <w:rsid w:val="006C3029"/>
    <w:rsid w:val="006C30B7"/>
    <w:rsid w:val="006C3769"/>
    <w:rsid w:val="006C38AA"/>
    <w:rsid w:val="006C3B53"/>
    <w:rsid w:val="006C3C1F"/>
    <w:rsid w:val="006C493D"/>
    <w:rsid w:val="006C532B"/>
    <w:rsid w:val="006C556C"/>
    <w:rsid w:val="006C5EF3"/>
    <w:rsid w:val="006C6EFF"/>
    <w:rsid w:val="006C7A96"/>
    <w:rsid w:val="006D059D"/>
    <w:rsid w:val="006D06ED"/>
    <w:rsid w:val="006D0A83"/>
    <w:rsid w:val="006D0DF7"/>
    <w:rsid w:val="006D1992"/>
    <w:rsid w:val="006D2382"/>
    <w:rsid w:val="006D24D2"/>
    <w:rsid w:val="006D2E71"/>
    <w:rsid w:val="006D342F"/>
    <w:rsid w:val="006D44FB"/>
    <w:rsid w:val="006D468C"/>
    <w:rsid w:val="006D49E2"/>
    <w:rsid w:val="006D5475"/>
    <w:rsid w:val="006D553D"/>
    <w:rsid w:val="006D6F33"/>
    <w:rsid w:val="006E0062"/>
    <w:rsid w:val="006E0623"/>
    <w:rsid w:val="006E06B3"/>
    <w:rsid w:val="006E3CCB"/>
    <w:rsid w:val="006E48F6"/>
    <w:rsid w:val="006E56B1"/>
    <w:rsid w:val="006E5BC1"/>
    <w:rsid w:val="006E66D7"/>
    <w:rsid w:val="006E6C46"/>
    <w:rsid w:val="006E742F"/>
    <w:rsid w:val="006E77E0"/>
    <w:rsid w:val="006F0534"/>
    <w:rsid w:val="006F0E68"/>
    <w:rsid w:val="006F1E41"/>
    <w:rsid w:val="006F22FE"/>
    <w:rsid w:val="006F239F"/>
    <w:rsid w:val="006F2B99"/>
    <w:rsid w:val="006F3936"/>
    <w:rsid w:val="006F41AF"/>
    <w:rsid w:val="006F421A"/>
    <w:rsid w:val="006F4BB2"/>
    <w:rsid w:val="006F54FF"/>
    <w:rsid w:val="006F5F45"/>
    <w:rsid w:val="006F6A3D"/>
    <w:rsid w:val="006F6CE9"/>
    <w:rsid w:val="006F6D37"/>
    <w:rsid w:val="006F7011"/>
    <w:rsid w:val="00700CA8"/>
    <w:rsid w:val="00701326"/>
    <w:rsid w:val="00701D08"/>
    <w:rsid w:val="00702349"/>
    <w:rsid w:val="0070237A"/>
    <w:rsid w:val="00702A22"/>
    <w:rsid w:val="00704F92"/>
    <w:rsid w:val="00705461"/>
    <w:rsid w:val="007061A5"/>
    <w:rsid w:val="00707501"/>
    <w:rsid w:val="007076ED"/>
    <w:rsid w:val="00710FF3"/>
    <w:rsid w:val="00711F8B"/>
    <w:rsid w:val="0071272A"/>
    <w:rsid w:val="007127A2"/>
    <w:rsid w:val="007148E9"/>
    <w:rsid w:val="00714972"/>
    <w:rsid w:val="007155F2"/>
    <w:rsid w:val="00715E34"/>
    <w:rsid w:val="007167A7"/>
    <w:rsid w:val="00716B2E"/>
    <w:rsid w:val="00716F29"/>
    <w:rsid w:val="00717256"/>
    <w:rsid w:val="00717593"/>
    <w:rsid w:val="00717FD4"/>
    <w:rsid w:val="00720567"/>
    <w:rsid w:val="00722028"/>
    <w:rsid w:val="00722241"/>
    <w:rsid w:val="007224D5"/>
    <w:rsid w:val="00722F49"/>
    <w:rsid w:val="00724262"/>
    <w:rsid w:val="00724806"/>
    <w:rsid w:val="00724FB5"/>
    <w:rsid w:val="00724FBB"/>
    <w:rsid w:val="00725F91"/>
    <w:rsid w:val="0072652B"/>
    <w:rsid w:val="0072719B"/>
    <w:rsid w:val="00730723"/>
    <w:rsid w:val="0073072C"/>
    <w:rsid w:val="0073229E"/>
    <w:rsid w:val="007323D9"/>
    <w:rsid w:val="00735333"/>
    <w:rsid w:val="00735582"/>
    <w:rsid w:val="00735CC6"/>
    <w:rsid w:val="007361AC"/>
    <w:rsid w:val="0073698A"/>
    <w:rsid w:val="00737FDE"/>
    <w:rsid w:val="0074029E"/>
    <w:rsid w:val="00740B10"/>
    <w:rsid w:val="00741331"/>
    <w:rsid w:val="0074157B"/>
    <w:rsid w:val="007416B5"/>
    <w:rsid w:val="007432BA"/>
    <w:rsid w:val="00743C05"/>
    <w:rsid w:val="00744123"/>
    <w:rsid w:val="00744755"/>
    <w:rsid w:val="0074581C"/>
    <w:rsid w:val="00745C1B"/>
    <w:rsid w:val="00746665"/>
    <w:rsid w:val="007501CE"/>
    <w:rsid w:val="00750B42"/>
    <w:rsid w:val="00750C1D"/>
    <w:rsid w:val="007523FA"/>
    <w:rsid w:val="00752A34"/>
    <w:rsid w:val="00752C6C"/>
    <w:rsid w:val="007530E2"/>
    <w:rsid w:val="00753462"/>
    <w:rsid w:val="00753FE1"/>
    <w:rsid w:val="00754A7C"/>
    <w:rsid w:val="007551EE"/>
    <w:rsid w:val="0075622D"/>
    <w:rsid w:val="00756571"/>
    <w:rsid w:val="00756894"/>
    <w:rsid w:val="0075781A"/>
    <w:rsid w:val="00761178"/>
    <w:rsid w:val="007614DF"/>
    <w:rsid w:val="0076150D"/>
    <w:rsid w:val="00761846"/>
    <w:rsid w:val="007629BA"/>
    <w:rsid w:val="00762B06"/>
    <w:rsid w:val="00762C6B"/>
    <w:rsid w:val="0076371F"/>
    <w:rsid w:val="007640D3"/>
    <w:rsid w:val="007646B6"/>
    <w:rsid w:val="0076519C"/>
    <w:rsid w:val="007651BD"/>
    <w:rsid w:val="00765DF8"/>
    <w:rsid w:val="00766532"/>
    <w:rsid w:val="007677DD"/>
    <w:rsid w:val="00767A2A"/>
    <w:rsid w:val="00770B7A"/>
    <w:rsid w:val="00770F4E"/>
    <w:rsid w:val="00770FC9"/>
    <w:rsid w:val="007731BA"/>
    <w:rsid w:val="00773FD6"/>
    <w:rsid w:val="00774099"/>
    <w:rsid w:val="0077421C"/>
    <w:rsid w:val="00774347"/>
    <w:rsid w:val="00774932"/>
    <w:rsid w:val="00774C2F"/>
    <w:rsid w:val="007758C1"/>
    <w:rsid w:val="007759F7"/>
    <w:rsid w:val="0077790D"/>
    <w:rsid w:val="00780292"/>
    <w:rsid w:val="007810FB"/>
    <w:rsid w:val="00782865"/>
    <w:rsid w:val="00782C18"/>
    <w:rsid w:val="00783801"/>
    <w:rsid w:val="007841B7"/>
    <w:rsid w:val="00784FB4"/>
    <w:rsid w:val="007857E6"/>
    <w:rsid w:val="00786687"/>
    <w:rsid w:val="00787596"/>
    <w:rsid w:val="00790C20"/>
    <w:rsid w:val="00791222"/>
    <w:rsid w:val="0079544F"/>
    <w:rsid w:val="00795636"/>
    <w:rsid w:val="00795AF6"/>
    <w:rsid w:val="00795DD4"/>
    <w:rsid w:val="007968C7"/>
    <w:rsid w:val="00797978"/>
    <w:rsid w:val="007A1715"/>
    <w:rsid w:val="007A28A1"/>
    <w:rsid w:val="007A3339"/>
    <w:rsid w:val="007A3427"/>
    <w:rsid w:val="007A4420"/>
    <w:rsid w:val="007A4C07"/>
    <w:rsid w:val="007A5099"/>
    <w:rsid w:val="007A595D"/>
    <w:rsid w:val="007A5D4D"/>
    <w:rsid w:val="007A6AB8"/>
    <w:rsid w:val="007A6ABC"/>
    <w:rsid w:val="007A6CCB"/>
    <w:rsid w:val="007A75A8"/>
    <w:rsid w:val="007A7C57"/>
    <w:rsid w:val="007B03F9"/>
    <w:rsid w:val="007B1476"/>
    <w:rsid w:val="007B251A"/>
    <w:rsid w:val="007B2530"/>
    <w:rsid w:val="007B28CC"/>
    <w:rsid w:val="007B2DCD"/>
    <w:rsid w:val="007B34CE"/>
    <w:rsid w:val="007B3B3D"/>
    <w:rsid w:val="007B3E55"/>
    <w:rsid w:val="007B402E"/>
    <w:rsid w:val="007B5101"/>
    <w:rsid w:val="007B6C04"/>
    <w:rsid w:val="007B6C24"/>
    <w:rsid w:val="007B793C"/>
    <w:rsid w:val="007C05AC"/>
    <w:rsid w:val="007C0857"/>
    <w:rsid w:val="007C0C47"/>
    <w:rsid w:val="007C176F"/>
    <w:rsid w:val="007C4B9F"/>
    <w:rsid w:val="007C53B5"/>
    <w:rsid w:val="007D0856"/>
    <w:rsid w:val="007D1890"/>
    <w:rsid w:val="007D3B91"/>
    <w:rsid w:val="007D4A02"/>
    <w:rsid w:val="007D5658"/>
    <w:rsid w:val="007D5C88"/>
    <w:rsid w:val="007D60F4"/>
    <w:rsid w:val="007D6BF2"/>
    <w:rsid w:val="007D755E"/>
    <w:rsid w:val="007D7634"/>
    <w:rsid w:val="007D7672"/>
    <w:rsid w:val="007E0A01"/>
    <w:rsid w:val="007E103F"/>
    <w:rsid w:val="007E1211"/>
    <w:rsid w:val="007E195E"/>
    <w:rsid w:val="007E1B92"/>
    <w:rsid w:val="007E313C"/>
    <w:rsid w:val="007E443A"/>
    <w:rsid w:val="007E4A00"/>
    <w:rsid w:val="007E4EFE"/>
    <w:rsid w:val="007E5417"/>
    <w:rsid w:val="007E56DA"/>
    <w:rsid w:val="007E56FD"/>
    <w:rsid w:val="007E5BE6"/>
    <w:rsid w:val="007E5C19"/>
    <w:rsid w:val="007E5F84"/>
    <w:rsid w:val="007E63B9"/>
    <w:rsid w:val="007E69C4"/>
    <w:rsid w:val="007E6F64"/>
    <w:rsid w:val="007E71E1"/>
    <w:rsid w:val="007E7272"/>
    <w:rsid w:val="007E73AC"/>
    <w:rsid w:val="007E7EBF"/>
    <w:rsid w:val="007F0333"/>
    <w:rsid w:val="007F0462"/>
    <w:rsid w:val="007F087D"/>
    <w:rsid w:val="007F1712"/>
    <w:rsid w:val="007F250E"/>
    <w:rsid w:val="007F27F2"/>
    <w:rsid w:val="007F2ED8"/>
    <w:rsid w:val="007F3675"/>
    <w:rsid w:val="007F36D9"/>
    <w:rsid w:val="007F3D09"/>
    <w:rsid w:val="007F437D"/>
    <w:rsid w:val="007F47E8"/>
    <w:rsid w:val="007F4AAD"/>
    <w:rsid w:val="007F4D86"/>
    <w:rsid w:val="007F51E1"/>
    <w:rsid w:val="007F54A9"/>
    <w:rsid w:val="007F560A"/>
    <w:rsid w:val="007F57BF"/>
    <w:rsid w:val="007F57F7"/>
    <w:rsid w:val="007F6316"/>
    <w:rsid w:val="007F635E"/>
    <w:rsid w:val="007F6389"/>
    <w:rsid w:val="007F63C7"/>
    <w:rsid w:val="007F6430"/>
    <w:rsid w:val="007F7669"/>
    <w:rsid w:val="008009DF"/>
    <w:rsid w:val="00801AA2"/>
    <w:rsid w:val="0080205D"/>
    <w:rsid w:val="0080270B"/>
    <w:rsid w:val="00803A4A"/>
    <w:rsid w:val="00803F86"/>
    <w:rsid w:val="0080484B"/>
    <w:rsid w:val="008049D1"/>
    <w:rsid w:val="008054D1"/>
    <w:rsid w:val="00806C5C"/>
    <w:rsid w:val="00806CDC"/>
    <w:rsid w:val="0080763B"/>
    <w:rsid w:val="008104CC"/>
    <w:rsid w:val="0081065C"/>
    <w:rsid w:val="00810F3F"/>
    <w:rsid w:val="00810F57"/>
    <w:rsid w:val="00811052"/>
    <w:rsid w:val="00811FF6"/>
    <w:rsid w:val="0081318E"/>
    <w:rsid w:val="008133D0"/>
    <w:rsid w:val="00814815"/>
    <w:rsid w:val="00815FFE"/>
    <w:rsid w:val="0081670B"/>
    <w:rsid w:val="00817EC4"/>
    <w:rsid w:val="0082017D"/>
    <w:rsid w:val="008205F7"/>
    <w:rsid w:val="00820DD0"/>
    <w:rsid w:val="0082155E"/>
    <w:rsid w:val="00822689"/>
    <w:rsid w:val="0082287B"/>
    <w:rsid w:val="008251F1"/>
    <w:rsid w:val="00825D2D"/>
    <w:rsid w:val="00825D5E"/>
    <w:rsid w:val="0082634B"/>
    <w:rsid w:val="0082796D"/>
    <w:rsid w:val="00827E6F"/>
    <w:rsid w:val="0083033C"/>
    <w:rsid w:val="00831547"/>
    <w:rsid w:val="008315FE"/>
    <w:rsid w:val="00831AAE"/>
    <w:rsid w:val="00832966"/>
    <w:rsid w:val="00833920"/>
    <w:rsid w:val="00834CA2"/>
    <w:rsid w:val="00834E24"/>
    <w:rsid w:val="008353D9"/>
    <w:rsid w:val="008357B0"/>
    <w:rsid w:val="008358E2"/>
    <w:rsid w:val="00835FF9"/>
    <w:rsid w:val="0083634E"/>
    <w:rsid w:val="008369BB"/>
    <w:rsid w:val="00837743"/>
    <w:rsid w:val="00837F2A"/>
    <w:rsid w:val="0084041B"/>
    <w:rsid w:val="008404F2"/>
    <w:rsid w:val="00840755"/>
    <w:rsid w:val="00840EB0"/>
    <w:rsid w:val="00840F98"/>
    <w:rsid w:val="00844A63"/>
    <w:rsid w:val="00844C79"/>
    <w:rsid w:val="00844D6E"/>
    <w:rsid w:val="00845A51"/>
    <w:rsid w:val="008463D8"/>
    <w:rsid w:val="008464CC"/>
    <w:rsid w:val="00847078"/>
    <w:rsid w:val="00847816"/>
    <w:rsid w:val="0084792D"/>
    <w:rsid w:val="00847DA0"/>
    <w:rsid w:val="00851BBB"/>
    <w:rsid w:val="008528AD"/>
    <w:rsid w:val="0085314B"/>
    <w:rsid w:val="008556EB"/>
    <w:rsid w:val="008557CF"/>
    <w:rsid w:val="0085580B"/>
    <w:rsid w:val="00856799"/>
    <w:rsid w:val="008573EE"/>
    <w:rsid w:val="008578DC"/>
    <w:rsid w:val="00860186"/>
    <w:rsid w:val="00860A6D"/>
    <w:rsid w:val="00861206"/>
    <w:rsid w:val="00861275"/>
    <w:rsid w:val="00861879"/>
    <w:rsid w:val="00861C5D"/>
    <w:rsid w:val="00862172"/>
    <w:rsid w:val="00862702"/>
    <w:rsid w:val="00862992"/>
    <w:rsid w:val="00864F62"/>
    <w:rsid w:val="0086538E"/>
    <w:rsid w:val="00866064"/>
    <w:rsid w:val="008660DD"/>
    <w:rsid w:val="00866776"/>
    <w:rsid w:val="00866811"/>
    <w:rsid w:val="00866FA3"/>
    <w:rsid w:val="008679F6"/>
    <w:rsid w:val="008707C6"/>
    <w:rsid w:val="00870F9F"/>
    <w:rsid w:val="0087110D"/>
    <w:rsid w:val="00871265"/>
    <w:rsid w:val="00872AE3"/>
    <w:rsid w:val="00872F78"/>
    <w:rsid w:val="00873641"/>
    <w:rsid w:val="00874116"/>
    <w:rsid w:val="00874705"/>
    <w:rsid w:val="00875B22"/>
    <w:rsid w:val="00875EC7"/>
    <w:rsid w:val="00876D11"/>
    <w:rsid w:val="00877049"/>
    <w:rsid w:val="00877B85"/>
    <w:rsid w:val="00880FC1"/>
    <w:rsid w:val="008817D1"/>
    <w:rsid w:val="00881844"/>
    <w:rsid w:val="0088212B"/>
    <w:rsid w:val="00882482"/>
    <w:rsid w:val="00882FDB"/>
    <w:rsid w:val="00883437"/>
    <w:rsid w:val="00884C14"/>
    <w:rsid w:val="00884DF0"/>
    <w:rsid w:val="00885741"/>
    <w:rsid w:val="00885949"/>
    <w:rsid w:val="008860BA"/>
    <w:rsid w:val="0088685A"/>
    <w:rsid w:val="00886BD6"/>
    <w:rsid w:val="00886C1E"/>
    <w:rsid w:val="00887FBC"/>
    <w:rsid w:val="008900A1"/>
    <w:rsid w:val="008903C7"/>
    <w:rsid w:val="00891A9D"/>
    <w:rsid w:val="00892DA6"/>
    <w:rsid w:val="0089307C"/>
    <w:rsid w:val="008941AC"/>
    <w:rsid w:val="008941C7"/>
    <w:rsid w:val="00894F26"/>
    <w:rsid w:val="008958F2"/>
    <w:rsid w:val="0089621F"/>
    <w:rsid w:val="008963D8"/>
    <w:rsid w:val="008A05AC"/>
    <w:rsid w:val="008A0D1B"/>
    <w:rsid w:val="008A1172"/>
    <w:rsid w:val="008A16F8"/>
    <w:rsid w:val="008A191D"/>
    <w:rsid w:val="008A2F53"/>
    <w:rsid w:val="008A3129"/>
    <w:rsid w:val="008A369B"/>
    <w:rsid w:val="008A37F6"/>
    <w:rsid w:val="008A39E5"/>
    <w:rsid w:val="008A4119"/>
    <w:rsid w:val="008A59CD"/>
    <w:rsid w:val="008A5A8A"/>
    <w:rsid w:val="008A5E08"/>
    <w:rsid w:val="008A62D6"/>
    <w:rsid w:val="008A73E5"/>
    <w:rsid w:val="008A7E11"/>
    <w:rsid w:val="008B1AC9"/>
    <w:rsid w:val="008B2129"/>
    <w:rsid w:val="008B22DC"/>
    <w:rsid w:val="008B26B9"/>
    <w:rsid w:val="008B3297"/>
    <w:rsid w:val="008B3338"/>
    <w:rsid w:val="008B3984"/>
    <w:rsid w:val="008B3D3E"/>
    <w:rsid w:val="008B42E7"/>
    <w:rsid w:val="008B4461"/>
    <w:rsid w:val="008B4A3B"/>
    <w:rsid w:val="008B4AD7"/>
    <w:rsid w:val="008B52FE"/>
    <w:rsid w:val="008B5D7C"/>
    <w:rsid w:val="008B64A1"/>
    <w:rsid w:val="008B6C34"/>
    <w:rsid w:val="008B7617"/>
    <w:rsid w:val="008C0469"/>
    <w:rsid w:val="008C08E2"/>
    <w:rsid w:val="008C097E"/>
    <w:rsid w:val="008C15EF"/>
    <w:rsid w:val="008C1E2C"/>
    <w:rsid w:val="008C2E5F"/>
    <w:rsid w:val="008C38D4"/>
    <w:rsid w:val="008C44C9"/>
    <w:rsid w:val="008C489F"/>
    <w:rsid w:val="008C4D1A"/>
    <w:rsid w:val="008C53EC"/>
    <w:rsid w:val="008C5625"/>
    <w:rsid w:val="008C5EC6"/>
    <w:rsid w:val="008C6BD4"/>
    <w:rsid w:val="008C6E60"/>
    <w:rsid w:val="008C70C4"/>
    <w:rsid w:val="008C7665"/>
    <w:rsid w:val="008C7C10"/>
    <w:rsid w:val="008D06C7"/>
    <w:rsid w:val="008D07BD"/>
    <w:rsid w:val="008D07E5"/>
    <w:rsid w:val="008D0B71"/>
    <w:rsid w:val="008D28D8"/>
    <w:rsid w:val="008D31CC"/>
    <w:rsid w:val="008D362E"/>
    <w:rsid w:val="008D38EE"/>
    <w:rsid w:val="008D3D0E"/>
    <w:rsid w:val="008D41F6"/>
    <w:rsid w:val="008D468C"/>
    <w:rsid w:val="008D4883"/>
    <w:rsid w:val="008D49D8"/>
    <w:rsid w:val="008E04CB"/>
    <w:rsid w:val="008E278D"/>
    <w:rsid w:val="008E4599"/>
    <w:rsid w:val="008E4A48"/>
    <w:rsid w:val="008E50A7"/>
    <w:rsid w:val="008E571A"/>
    <w:rsid w:val="008E6656"/>
    <w:rsid w:val="008E6662"/>
    <w:rsid w:val="008E6C8E"/>
    <w:rsid w:val="008E74BF"/>
    <w:rsid w:val="008E7508"/>
    <w:rsid w:val="008F0268"/>
    <w:rsid w:val="008F0A43"/>
    <w:rsid w:val="008F13F0"/>
    <w:rsid w:val="008F1AA2"/>
    <w:rsid w:val="008F1D07"/>
    <w:rsid w:val="008F2312"/>
    <w:rsid w:val="008F27A4"/>
    <w:rsid w:val="008F2C94"/>
    <w:rsid w:val="008F3280"/>
    <w:rsid w:val="008F3302"/>
    <w:rsid w:val="008F3327"/>
    <w:rsid w:val="008F3AB1"/>
    <w:rsid w:val="008F3F9D"/>
    <w:rsid w:val="008F45E4"/>
    <w:rsid w:val="008F47A2"/>
    <w:rsid w:val="008F4EF9"/>
    <w:rsid w:val="008F54AE"/>
    <w:rsid w:val="008F57B5"/>
    <w:rsid w:val="008F5BF7"/>
    <w:rsid w:val="008F740A"/>
    <w:rsid w:val="008F7C28"/>
    <w:rsid w:val="008F7EAA"/>
    <w:rsid w:val="009007F2"/>
    <w:rsid w:val="00900FC8"/>
    <w:rsid w:val="00901100"/>
    <w:rsid w:val="00901536"/>
    <w:rsid w:val="0090172B"/>
    <w:rsid w:val="00901A02"/>
    <w:rsid w:val="00901E87"/>
    <w:rsid w:val="00902D1D"/>
    <w:rsid w:val="00902FA3"/>
    <w:rsid w:val="00903492"/>
    <w:rsid w:val="00903A0B"/>
    <w:rsid w:val="00903BA0"/>
    <w:rsid w:val="00903D0B"/>
    <w:rsid w:val="00904158"/>
    <w:rsid w:val="0090418B"/>
    <w:rsid w:val="00905126"/>
    <w:rsid w:val="009053A6"/>
    <w:rsid w:val="009053CD"/>
    <w:rsid w:val="009066EC"/>
    <w:rsid w:val="009067A9"/>
    <w:rsid w:val="0090717A"/>
    <w:rsid w:val="009073AE"/>
    <w:rsid w:val="00910732"/>
    <w:rsid w:val="00911760"/>
    <w:rsid w:val="00911913"/>
    <w:rsid w:val="009123B9"/>
    <w:rsid w:val="00912875"/>
    <w:rsid w:val="00912A03"/>
    <w:rsid w:val="00914182"/>
    <w:rsid w:val="009146A8"/>
    <w:rsid w:val="00914D42"/>
    <w:rsid w:val="009157C1"/>
    <w:rsid w:val="00915AFC"/>
    <w:rsid w:val="009175F2"/>
    <w:rsid w:val="00920600"/>
    <w:rsid w:val="00920B43"/>
    <w:rsid w:val="00921503"/>
    <w:rsid w:val="0092175F"/>
    <w:rsid w:val="009221CD"/>
    <w:rsid w:val="0092257D"/>
    <w:rsid w:val="009226F6"/>
    <w:rsid w:val="00924374"/>
    <w:rsid w:val="00924542"/>
    <w:rsid w:val="0092462E"/>
    <w:rsid w:val="009250A7"/>
    <w:rsid w:val="00925949"/>
    <w:rsid w:val="00925D2D"/>
    <w:rsid w:val="009279A5"/>
    <w:rsid w:val="00927A69"/>
    <w:rsid w:val="00927E7D"/>
    <w:rsid w:val="00930E1E"/>
    <w:rsid w:val="00931406"/>
    <w:rsid w:val="00931E7C"/>
    <w:rsid w:val="00933869"/>
    <w:rsid w:val="00933E50"/>
    <w:rsid w:val="00934899"/>
    <w:rsid w:val="00934CDA"/>
    <w:rsid w:val="009352C5"/>
    <w:rsid w:val="009354D6"/>
    <w:rsid w:val="009373D5"/>
    <w:rsid w:val="009379F7"/>
    <w:rsid w:val="009405A6"/>
    <w:rsid w:val="00941143"/>
    <w:rsid w:val="009411E4"/>
    <w:rsid w:val="00941D65"/>
    <w:rsid w:val="009427D7"/>
    <w:rsid w:val="009433E0"/>
    <w:rsid w:val="00943764"/>
    <w:rsid w:val="009439E7"/>
    <w:rsid w:val="0094450F"/>
    <w:rsid w:val="009449C2"/>
    <w:rsid w:val="00944D93"/>
    <w:rsid w:val="00944E6C"/>
    <w:rsid w:val="00945C1E"/>
    <w:rsid w:val="00945DC3"/>
    <w:rsid w:val="009467DB"/>
    <w:rsid w:val="0094691D"/>
    <w:rsid w:val="00946B24"/>
    <w:rsid w:val="00946CD7"/>
    <w:rsid w:val="00947700"/>
    <w:rsid w:val="0095043A"/>
    <w:rsid w:val="00950562"/>
    <w:rsid w:val="00950AA9"/>
    <w:rsid w:val="009512D1"/>
    <w:rsid w:val="00951304"/>
    <w:rsid w:val="00951735"/>
    <w:rsid w:val="00951D0F"/>
    <w:rsid w:val="00952E13"/>
    <w:rsid w:val="00952F66"/>
    <w:rsid w:val="00953115"/>
    <w:rsid w:val="009549A3"/>
    <w:rsid w:val="00954C2F"/>
    <w:rsid w:val="00954C7B"/>
    <w:rsid w:val="009552E5"/>
    <w:rsid w:val="009559D2"/>
    <w:rsid w:val="0095770F"/>
    <w:rsid w:val="00957D25"/>
    <w:rsid w:val="00960790"/>
    <w:rsid w:val="00961526"/>
    <w:rsid w:val="00961955"/>
    <w:rsid w:val="00962EEF"/>
    <w:rsid w:val="009630F5"/>
    <w:rsid w:val="00963C10"/>
    <w:rsid w:val="00963DC2"/>
    <w:rsid w:val="00963ED5"/>
    <w:rsid w:val="00966209"/>
    <w:rsid w:val="00966A2C"/>
    <w:rsid w:val="00966F75"/>
    <w:rsid w:val="00967E44"/>
    <w:rsid w:val="009706D1"/>
    <w:rsid w:val="0097291F"/>
    <w:rsid w:val="00972D2D"/>
    <w:rsid w:val="0097305F"/>
    <w:rsid w:val="00973188"/>
    <w:rsid w:val="00973297"/>
    <w:rsid w:val="0097377D"/>
    <w:rsid w:val="00973E9A"/>
    <w:rsid w:val="00975999"/>
    <w:rsid w:val="009761D4"/>
    <w:rsid w:val="009769BD"/>
    <w:rsid w:val="00976C4A"/>
    <w:rsid w:val="00976DFB"/>
    <w:rsid w:val="00977BC2"/>
    <w:rsid w:val="00977BC6"/>
    <w:rsid w:val="009800A5"/>
    <w:rsid w:val="00980DB1"/>
    <w:rsid w:val="00980DF6"/>
    <w:rsid w:val="00981AAC"/>
    <w:rsid w:val="0098249C"/>
    <w:rsid w:val="00982819"/>
    <w:rsid w:val="009830F9"/>
    <w:rsid w:val="009837BC"/>
    <w:rsid w:val="00983817"/>
    <w:rsid w:val="0098402B"/>
    <w:rsid w:val="00985165"/>
    <w:rsid w:val="00985480"/>
    <w:rsid w:val="00985AB9"/>
    <w:rsid w:val="00987A03"/>
    <w:rsid w:val="00987F62"/>
    <w:rsid w:val="00990E78"/>
    <w:rsid w:val="0099132A"/>
    <w:rsid w:val="009922A3"/>
    <w:rsid w:val="009922C4"/>
    <w:rsid w:val="009926BB"/>
    <w:rsid w:val="00992CB5"/>
    <w:rsid w:val="00993183"/>
    <w:rsid w:val="00993A1F"/>
    <w:rsid w:val="00993C68"/>
    <w:rsid w:val="009947DD"/>
    <w:rsid w:val="00996C38"/>
    <w:rsid w:val="00997D87"/>
    <w:rsid w:val="00997FBD"/>
    <w:rsid w:val="009A05F5"/>
    <w:rsid w:val="009A12AE"/>
    <w:rsid w:val="009A17D5"/>
    <w:rsid w:val="009A1BB8"/>
    <w:rsid w:val="009A1BEA"/>
    <w:rsid w:val="009A3F36"/>
    <w:rsid w:val="009A408C"/>
    <w:rsid w:val="009A5C9D"/>
    <w:rsid w:val="009A5DC8"/>
    <w:rsid w:val="009A6346"/>
    <w:rsid w:val="009A7477"/>
    <w:rsid w:val="009A7B5E"/>
    <w:rsid w:val="009A7EBE"/>
    <w:rsid w:val="009A7FAF"/>
    <w:rsid w:val="009B1A3B"/>
    <w:rsid w:val="009B2147"/>
    <w:rsid w:val="009B2642"/>
    <w:rsid w:val="009B2890"/>
    <w:rsid w:val="009B2916"/>
    <w:rsid w:val="009B294F"/>
    <w:rsid w:val="009B2EFB"/>
    <w:rsid w:val="009B3155"/>
    <w:rsid w:val="009B31A1"/>
    <w:rsid w:val="009B32AB"/>
    <w:rsid w:val="009B34B2"/>
    <w:rsid w:val="009B5481"/>
    <w:rsid w:val="009B5573"/>
    <w:rsid w:val="009B572B"/>
    <w:rsid w:val="009B66DC"/>
    <w:rsid w:val="009B699B"/>
    <w:rsid w:val="009B6A31"/>
    <w:rsid w:val="009B71CE"/>
    <w:rsid w:val="009C0150"/>
    <w:rsid w:val="009C020B"/>
    <w:rsid w:val="009C0728"/>
    <w:rsid w:val="009C0915"/>
    <w:rsid w:val="009C1C4C"/>
    <w:rsid w:val="009C34B6"/>
    <w:rsid w:val="009C4BA5"/>
    <w:rsid w:val="009C4E5A"/>
    <w:rsid w:val="009C4FB3"/>
    <w:rsid w:val="009C51C0"/>
    <w:rsid w:val="009C5B5D"/>
    <w:rsid w:val="009C73B5"/>
    <w:rsid w:val="009C76BA"/>
    <w:rsid w:val="009C7AD6"/>
    <w:rsid w:val="009C7F26"/>
    <w:rsid w:val="009D0621"/>
    <w:rsid w:val="009D06C0"/>
    <w:rsid w:val="009D098D"/>
    <w:rsid w:val="009D0D5B"/>
    <w:rsid w:val="009D1ABA"/>
    <w:rsid w:val="009D1B6F"/>
    <w:rsid w:val="009D1C48"/>
    <w:rsid w:val="009D25CC"/>
    <w:rsid w:val="009D2AA1"/>
    <w:rsid w:val="009D2FE4"/>
    <w:rsid w:val="009D34BD"/>
    <w:rsid w:val="009D3F2E"/>
    <w:rsid w:val="009D4DF8"/>
    <w:rsid w:val="009D4E76"/>
    <w:rsid w:val="009D4EC9"/>
    <w:rsid w:val="009D52D5"/>
    <w:rsid w:val="009D538B"/>
    <w:rsid w:val="009D54EB"/>
    <w:rsid w:val="009D5DAD"/>
    <w:rsid w:val="009D6228"/>
    <w:rsid w:val="009D62CD"/>
    <w:rsid w:val="009D6DCA"/>
    <w:rsid w:val="009D7455"/>
    <w:rsid w:val="009D7B27"/>
    <w:rsid w:val="009E07ED"/>
    <w:rsid w:val="009E0888"/>
    <w:rsid w:val="009E0CB5"/>
    <w:rsid w:val="009E14C9"/>
    <w:rsid w:val="009E196B"/>
    <w:rsid w:val="009E1EEE"/>
    <w:rsid w:val="009E26EA"/>
    <w:rsid w:val="009E29F9"/>
    <w:rsid w:val="009E4490"/>
    <w:rsid w:val="009E4CAA"/>
    <w:rsid w:val="009E51B9"/>
    <w:rsid w:val="009E6E6E"/>
    <w:rsid w:val="009E76EF"/>
    <w:rsid w:val="009E7C27"/>
    <w:rsid w:val="009F04AD"/>
    <w:rsid w:val="009F321D"/>
    <w:rsid w:val="009F50A6"/>
    <w:rsid w:val="009F5FA5"/>
    <w:rsid w:val="009F76A8"/>
    <w:rsid w:val="009F7805"/>
    <w:rsid w:val="009F7F70"/>
    <w:rsid w:val="00A0017B"/>
    <w:rsid w:val="00A0024B"/>
    <w:rsid w:val="00A0067F"/>
    <w:rsid w:val="00A006CB"/>
    <w:rsid w:val="00A015EE"/>
    <w:rsid w:val="00A01DC7"/>
    <w:rsid w:val="00A022A3"/>
    <w:rsid w:val="00A0245A"/>
    <w:rsid w:val="00A039E6"/>
    <w:rsid w:val="00A04FC3"/>
    <w:rsid w:val="00A05192"/>
    <w:rsid w:val="00A05441"/>
    <w:rsid w:val="00A05948"/>
    <w:rsid w:val="00A0596E"/>
    <w:rsid w:val="00A05CC2"/>
    <w:rsid w:val="00A064C4"/>
    <w:rsid w:val="00A071ED"/>
    <w:rsid w:val="00A0798E"/>
    <w:rsid w:val="00A103D1"/>
    <w:rsid w:val="00A11FA3"/>
    <w:rsid w:val="00A12D8F"/>
    <w:rsid w:val="00A12FF9"/>
    <w:rsid w:val="00A139CC"/>
    <w:rsid w:val="00A14814"/>
    <w:rsid w:val="00A14B63"/>
    <w:rsid w:val="00A14D26"/>
    <w:rsid w:val="00A16085"/>
    <w:rsid w:val="00A16969"/>
    <w:rsid w:val="00A171B2"/>
    <w:rsid w:val="00A175B7"/>
    <w:rsid w:val="00A20088"/>
    <w:rsid w:val="00A203EF"/>
    <w:rsid w:val="00A206FA"/>
    <w:rsid w:val="00A20A7D"/>
    <w:rsid w:val="00A2176F"/>
    <w:rsid w:val="00A23931"/>
    <w:rsid w:val="00A2453B"/>
    <w:rsid w:val="00A24881"/>
    <w:rsid w:val="00A24B8D"/>
    <w:rsid w:val="00A24C9D"/>
    <w:rsid w:val="00A25656"/>
    <w:rsid w:val="00A259A0"/>
    <w:rsid w:val="00A25BF1"/>
    <w:rsid w:val="00A26480"/>
    <w:rsid w:val="00A26B90"/>
    <w:rsid w:val="00A26CB8"/>
    <w:rsid w:val="00A26D1F"/>
    <w:rsid w:val="00A26D82"/>
    <w:rsid w:val="00A30121"/>
    <w:rsid w:val="00A309AB"/>
    <w:rsid w:val="00A31A99"/>
    <w:rsid w:val="00A31CC3"/>
    <w:rsid w:val="00A335DB"/>
    <w:rsid w:val="00A33A4A"/>
    <w:rsid w:val="00A33CA8"/>
    <w:rsid w:val="00A33EB2"/>
    <w:rsid w:val="00A33FAD"/>
    <w:rsid w:val="00A34199"/>
    <w:rsid w:val="00A35555"/>
    <w:rsid w:val="00A35E9B"/>
    <w:rsid w:val="00A3636B"/>
    <w:rsid w:val="00A364DB"/>
    <w:rsid w:val="00A40CD0"/>
    <w:rsid w:val="00A417CE"/>
    <w:rsid w:val="00A42862"/>
    <w:rsid w:val="00A42B85"/>
    <w:rsid w:val="00A43830"/>
    <w:rsid w:val="00A438EB"/>
    <w:rsid w:val="00A440BB"/>
    <w:rsid w:val="00A44181"/>
    <w:rsid w:val="00A441EA"/>
    <w:rsid w:val="00A44E2F"/>
    <w:rsid w:val="00A4575C"/>
    <w:rsid w:val="00A462AB"/>
    <w:rsid w:val="00A46411"/>
    <w:rsid w:val="00A46434"/>
    <w:rsid w:val="00A46487"/>
    <w:rsid w:val="00A4735A"/>
    <w:rsid w:val="00A47B92"/>
    <w:rsid w:val="00A5033B"/>
    <w:rsid w:val="00A50BCE"/>
    <w:rsid w:val="00A51345"/>
    <w:rsid w:val="00A5234F"/>
    <w:rsid w:val="00A52B92"/>
    <w:rsid w:val="00A53676"/>
    <w:rsid w:val="00A543BE"/>
    <w:rsid w:val="00A553CE"/>
    <w:rsid w:val="00A55A90"/>
    <w:rsid w:val="00A55C30"/>
    <w:rsid w:val="00A56449"/>
    <w:rsid w:val="00A57AC0"/>
    <w:rsid w:val="00A60E8D"/>
    <w:rsid w:val="00A63204"/>
    <w:rsid w:val="00A63771"/>
    <w:rsid w:val="00A63BE9"/>
    <w:rsid w:val="00A63D5E"/>
    <w:rsid w:val="00A63D88"/>
    <w:rsid w:val="00A65A1A"/>
    <w:rsid w:val="00A67E5B"/>
    <w:rsid w:val="00A70B04"/>
    <w:rsid w:val="00A714B4"/>
    <w:rsid w:val="00A717AD"/>
    <w:rsid w:val="00A73029"/>
    <w:rsid w:val="00A73941"/>
    <w:rsid w:val="00A73C13"/>
    <w:rsid w:val="00A75153"/>
    <w:rsid w:val="00A751F0"/>
    <w:rsid w:val="00A7532B"/>
    <w:rsid w:val="00A75545"/>
    <w:rsid w:val="00A756D4"/>
    <w:rsid w:val="00A75A02"/>
    <w:rsid w:val="00A75ED5"/>
    <w:rsid w:val="00A761AD"/>
    <w:rsid w:val="00A76D67"/>
    <w:rsid w:val="00A803F7"/>
    <w:rsid w:val="00A80C7A"/>
    <w:rsid w:val="00A81F14"/>
    <w:rsid w:val="00A82801"/>
    <w:rsid w:val="00A82C96"/>
    <w:rsid w:val="00A82CD5"/>
    <w:rsid w:val="00A83DCA"/>
    <w:rsid w:val="00A84187"/>
    <w:rsid w:val="00A84D21"/>
    <w:rsid w:val="00A85641"/>
    <w:rsid w:val="00A85933"/>
    <w:rsid w:val="00A86570"/>
    <w:rsid w:val="00A866B3"/>
    <w:rsid w:val="00A868B1"/>
    <w:rsid w:val="00A91932"/>
    <w:rsid w:val="00A91F87"/>
    <w:rsid w:val="00A9323B"/>
    <w:rsid w:val="00A936FC"/>
    <w:rsid w:val="00A93F4D"/>
    <w:rsid w:val="00A9409A"/>
    <w:rsid w:val="00A94545"/>
    <w:rsid w:val="00A94634"/>
    <w:rsid w:val="00A95519"/>
    <w:rsid w:val="00A96CF5"/>
    <w:rsid w:val="00A97754"/>
    <w:rsid w:val="00AA05BD"/>
    <w:rsid w:val="00AA07E7"/>
    <w:rsid w:val="00AA0B8E"/>
    <w:rsid w:val="00AA0F01"/>
    <w:rsid w:val="00AA2917"/>
    <w:rsid w:val="00AA33B6"/>
    <w:rsid w:val="00AA39A8"/>
    <w:rsid w:val="00AA4197"/>
    <w:rsid w:val="00AA43AF"/>
    <w:rsid w:val="00AA44FF"/>
    <w:rsid w:val="00AA4C01"/>
    <w:rsid w:val="00AA4F4D"/>
    <w:rsid w:val="00AA6040"/>
    <w:rsid w:val="00AA691A"/>
    <w:rsid w:val="00AB0C69"/>
    <w:rsid w:val="00AB0D26"/>
    <w:rsid w:val="00AB1AB3"/>
    <w:rsid w:val="00AB23A5"/>
    <w:rsid w:val="00AB2EB9"/>
    <w:rsid w:val="00AB31E3"/>
    <w:rsid w:val="00AB33FD"/>
    <w:rsid w:val="00AB388F"/>
    <w:rsid w:val="00AB39C5"/>
    <w:rsid w:val="00AB4650"/>
    <w:rsid w:val="00AB475C"/>
    <w:rsid w:val="00AB4CAB"/>
    <w:rsid w:val="00AB5742"/>
    <w:rsid w:val="00AB6485"/>
    <w:rsid w:val="00AB78D1"/>
    <w:rsid w:val="00AB7B3C"/>
    <w:rsid w:val="00AC035B"/>
    <w:rsid w:val="00AC0BAA"/>
    <w:rsid w:val="00AC171D"/>
    <w:rsid w:val="00AC194B"/>
    <w:rsid w:val="00AC213C"/>
    <w:rsid w:val="00AC2238"/>
    <w:rsid w:val="00AC2801"/>
    <w:rsid w:val="00AC2F5D"/>
    <w:rsid w:val="00AC39AC"/>
    <w:rsid w:val="00AC43AE"/>
    <w:rsid w:val="00AC44F2"/>
    <w:rsid w:val="00AC4F15"/>
    <w:rsid w:val="00AC54F4"/>
    <w:rsid w:val="00AC56A1"/>
    <w:rsid w:val="00AC6496"/>
    <w:rsid w:val="00AC7077"/>
    <w:rsid w:val="00AC7224"/>
    <w:rsid w:val="00AC7651"/>
    <w:rsid w:val="00AC7F2C"/>
    <w:rsid w:val="00AD01D6"/>
    <w:rsid w:val="00AD0865"/>
    <w:rsid w:val="00AD2656"/>
    <w:rsid w:val="00AD27AF"/>
    <w:rsid w:val="00AD3D35"/>
    <w:rsid w:val="00AD3F80"/>
    <w:rsid w:val="00AD4F4F"/>
    <w:rsid w:val="00AD5F87"/>
    <w:rsid w:val="00AD6281"/>
    <w:rsid w:val="00AD7602"/>
    <w:rsid w:val="00AD76B2"/>
    <w:rsid w:val="00AE0CDE"/>
    <w:rsid w:val="00AE1199"/>
    <w:rsid w:val="00AE13BE"/>
    <w:rsid w:val="00AE17FE"/>
    <w:rsid w:val="00AE2D69"/>
    <w:rsid w:val="00AE48BE"/>
    <w:rsid w:val="00AE4EB6"/>
    <w:rsid w:val="00AE5109"/>
    <w:rsid w:val="00AE5894"/>
    <w:rsid w:val="00AE60E6"/>
    <w:rsid w:val="00AE6823"/>
    <w:rsid w:val="00AE77F2"/>
    <w:rsid w:val="00AF00E4"/>
    <w:rsid w:val="00AF059D"/>
    <w:rsid w:val="00AF162A"/>
    <w:rsid w:val="00AF1915"/>
    <w:rsid w:val="00AF2ACA"/>
    <w:rsid w:val="00AF32EF"/>
    <w:rsid w:val="00AF38E6"/>
    <w:rsid w:val="00AF3B5A"/>
    <w:rsid w:val="00AF3D77"/>
    <w:rsid w:val="00AF4D36"/>
    <w:rsid w:val="00AF5F1D"/>
    <w:rsid w:val="00AF6274"/>
    <w:rsid w:val="00AF64A3"/>
    <w:rsid w:val="00AF6523"/>
    <w:rsid w:val="00AF6C25"/>
    <w:rsid w:val="00AF7B82"/>
    <w:rsid w:val="00B02342"/>
    <w:rsid w:val="00B04637"/>
    <w:rsid w:val="00B04A38"/>
    <w:rsid w:val="00B0661E"/>
    <w:rsid w:val="00B119BA"/>
    <w:rsid w:val="00B11D33"/>
    <w:rsid w:val="00B12331"/>
    <w:rsid w:val="00B1271B"/>
    <w:rsid w:val="00B13AFB"/>
    <w:rsid w:val="00B141DC"/>
    <w:rsid w:val="00B14FFA"/>
    <w:rsid w:val="00B15501"/>
    <w:rsid w:val="00B16166"/>
    <w:rsid w:val="00B17778"/>
    <w:rsid w:val="00B202D1"/>
    <w:rsid w:val="00B20CAF"/>
    <w:rsid w:val="00B20FFA"/>
    <w:rsid w:val="00B21177"/>
    <w:rsid w:val="00B22598"/>
    <w:rsid w:val="00B23281"/>
    <w:rsid w:val="00B2427B"/>
    <w:rsid w:val="00B247AF"/>
    <w:rsid w:val="00B24C21"/>
    <w:rsid w:val="00B24DA7"/>
    <w:rsid w:val="00B25207"/>
    <w:rsid w:val="00B2536E"/>
    <w:rsid w:val="00B256E6"/>
    <w:rsid w:val="00B2576D"/>
    <w:rsid w:val="00B26337"/>
    <w:rsid w:val="00B277D9"/>
    <w:rsid w:val="00B27A70"/>
    <w:rsid w:val="00B27F78"/>
    <w:rsid w:val="00B32EA8"/>
    <w:rsid w:val="00B33321"/>
    <w:rsid w:val="00B3476B"/>
    <w:rsid w:val="00B35CE8"/>
    <w:rsid w:val="00B36124"/>
    <w:rsid w:val="00B37CF5"/>
    <w:rsid w:val="00B37D51"/>
    <w:rsid w:val="00B402EF"/>
    <w:rsid w:val="00B4200D"/>
    <w:rsid w:val="00B42706"/>
    <w:rsid w:val="00B434D3"/>
    <w:rsid w:val="00B43AB5"/>
    <w:rsid w:val="00B43D8A"/>
    <w:rsid w:val="00B43DC6"/>
    <w:rsid w:val="00B44260"/>
    <w:rsid w:val="00B44616"/>
    <w:rsid w:val="00B44F89"/>
    <w:rsid w:val="00B453E7"/>
    <w:rsid w:val="00B4584A"/>
    <w:rsid w:val="00B4594C"/>
    <w:rsid w:val="00B462C6"/>
    <w:rsid w:val="00B46514"/>
    <w:rsid w:val="00B46F4C"/>
    <w:rsid w:val="00B47849"/>
    <w:rsid w:val="00B47A6A"/>
    <w:rsid w:val="00B50742"/>
    <w:rsid w:val="00B50F67"/>
    <w:rsid w:val="00B5119E"/>
    <w:rsid w:val="00B5162F"/>
    <w:rsid w:val="00B51983"/>
    <w:rsid w:val="00B51C13"/>
    <w:rsid w:val="00B51E58"/>
    <w:rsid w:val="00B52457"/>
    <w:rsid w:val="00B527F5"/>
    <w:rsid w:val="00B53429"/>
    <w:rsid w:val="00B539C3"/>
    <w:rsid w:val="00B5407A"/>
    <w:rsid w:val="00B541EB"/>
    <w:rsid w:val="00B5463A"/>
    <w:rsid w:val="00B55B43"/>
    <w:rsid w:val="00B56B8C"/>
    <w:rsid w:val="00B57243"/>
    <w:rsid w:val="00B57F78"/>
    <w:rsid w:val="00B608A6"/>
    <w:rsid w:val="00B611E9"/>
    <w:rsid w:val="00B6131A"/>
    <w:rsid w:val="00B621C2"/>
    <w:rsid w:val="00B62E44"/>
    <w:rsid w:val="00B63B6C"/>
    <w:rsid w:val="00B63C20"/>
    <w:rsid w:val="00B63D72"/>
    <w:rsid w:val="00B6463F"/>
    <w:rsid w:val="00B64FE1"/>
    <w:rsid w:val="00B652DC"/>
    <w:rsid w:val="00B66D4E"/>
    <w:rsid w:val="00B70196"/>
    <w:rsid w:val="00B70535"/>
    <w:rsid w:val="00B706E9"/>
    <w:rsid w:val="00B70AE9"/>
    <w:rsid w:val="00B71C72"/>
    <w:rsid w:val="00B71E28"/>
    <w:rsid w:val="00B720B4"/>
    <w:rsid w:val="00B726BA"/>
    <w:rsid w:val="00B72737"/>
    <w:rsid w:val="00B73954"/>
    <w:rsid w:val="00B73DD7"/>
    <w:rsid w:val="00B74D6B"/>
    <w:rsid w:val="00B74DCC"/>
    <w:rsid w:val="00B75245"/>
    <w:rsid w:val="00B75744"/>
    <w:rsid w:val="00B7688B"/>
    <w:rsid w:val="00B76F7D"/>
    <w:rsid w:val="00B779D8"/>
    <w:rsid w:val="00B77F59"/>
    <w:rsid w:val="00B800E2"/>
    <w:rsid w:val="00B8026B"/>
    <w:rsid w:val="00B803C1"/>
    <w:rsid w:val="00B809A1"/>
    <w:rsid w:val="00B80CC6"/>
    <w:rsid w:val="00B80D6C"/>
    <w:rsid w:val="00B81F1B"/>
    <w:rsid w:val="00B82611"/>
    <w:rsid w:val="00B82841"/>
    <w:rsid w:val="00B8384B"/>
    <w:rsid w:val="00B83FD5"/>
    <w:rsid w:val="00B86529"/>
    <w:rsid w:val="00B87410"/>
    <w:rsid w:val="00B878B2"/>
    <w:rsid w:val="00B9089B"/>
    <w:rsid w:val="00B90BDC"/>
    <w:rsid w:val="00B90C9E"/>
    <w:rsid w:val="00B91043"/>
    <w:rsid w:val="00B92FAA"/>
    <w:rsid w:val="00B93122"/>
    <w:rsid w:val="00B93877"/>
    <w:rsid w:val="00B93E5A"/>
    <w:rsid w:val="00B947AC"/>
    <w:rsid w:val="00B94A5D"/>
    <w:rsid w:val="00B95008"/>
    <w:rsid w:val="00B953A4"/>
    <w:rsid w:val="00B9568B"/>
    <w:rsid w:val="00B95744"/>
    <w:rsid w:val="00B95EF5"/>
    <w:rsid w:val="00B968F5"/>
    <w:rsid w:val="00B9739B"/>
    <w:rsid w:val="00B97CE6"/>
    <w:rsid w:val="00BA0977"/>
    <w:rsid w:val="00BA0CF8"/>
    <w:rsid w:val="00BA0D59"/>
    <w:rsid w:val="00BA12D6"/>
    <w:rsid w:val="00BA148E"/>
    <w:rsid w:val="00BA19D1"/>
    <w:rsid w:val="00BA3EAE"/>
    <w:rsid w:val="00BA496D"/>
    <w:rsid w:val="00BA55D0"/>
    <w:rsid w:val="00BA56FC"/>
    <w:rsid w:val="00BA68E6"/>
    <w:rsid w:val="00BB01AD"/>
    <w:rsid w:val="00BB01C6"/>
    <w:rsid w:val="00BB0C27"/>
    <w:rsid w:val="00BB0DEA"/>
    <w:rsid w:val="00BB0DF5"/>
    <w:rsid w:val="00BB1210"/>
    <w:rsid w:val="00BB2238"/>
    <w:rsid w:val="00BB31D3"/>
    <w:rsid w:val="00BB3879"/>
    <w:rsid w:val="00BB38DB"/>
    <w:rsid w:val="00BB41E8"/>
    <w:rsid w:val="00BB4C7D"/>
    <w:rsid w:val="00BB4E99"/>
    <w:rsid w:val="00BB5A2A"/>
    <w:rsid w:val="00BB729E"/>
    <w:rsid w:val="00BB7661"/>
    <w:rsid w:val="00BB7953"/>
    <w:rsid w:val="00BC066F"/>
    <w:rsid w:val="00BC211C"/>
    <w:rsid w:val="00BC26A0"/>
    <w:rsid w:val="00BC34E6"/>
    <w:rsid w:val="00BC3B5D"/>
    <w:rsid w:val="00BC3CB4"/>
    <w:rsid w:val="00BC4F21"/>
    <w:rsid w:val="00BC5F7B"/>
    <w:rsid w:val="00BC6730"/>
    <w:rsid w:val="00BC6CAC"/>
    <w:rsid w:val="00BC7180"/>
    <w:rsid w:val="00BC7530"/>
    <w:rsid w:val="00BC753C"/>
    <w:rsid w:val="00BD0051"/>
    <w:rsid w:val="00BD006F"/>
    <w:rsid w:val="00BD0B1F"/>
    <w:rsid w:val="00BD198A"/>
    <w:rsid w:val="00BD1EBF"/>
    <w:rsid w:val="00BD1EDD"/>
    <w:rsid w:val="00BD2A9F"/>
    <w:rsid w:val="00BD2AD0"/>
    <w:rsid w:val="00BD321B"/>
    <w:rsid w:val="00BD34BB"/>
    <w:rsid w:val="00BD391A"/>
    <w:rsid w:val="00BD41F2"/>
    <w:rsid w:val="00BD512E"/>
    <w:rsid w:val="00BD539C"/>
    <w:rsid w:val="00BD61C3"/>
    <w:rsid w:val="00BD70F4"/>
    <w:rsid w:val="00BD71E4"/>
    <w:rsid w:val="00BD72DE"/>
    <w:rsid w:val="00BD78E2"/>
    <w:rsid w:val="00BE0689"/>
    <w:rsid w:val="00BE1BEC"/>
    <w:rsid w:val="00BE2544"/>
    <w:rsid w:val="00BE37D3"/>
    <w:rsid w:val="00BE3B75"/>
    <w:rsid w:val="00BE4B0F"/>
    <w:rsid w:val="00BE4C5D"/>
    <w:rsid w:val="00BE5823"/>
    <w:rsid w:val="00BE5CAC"/>
    <w:rsid w:val="00BE5D1B"/>
    <w:rsid w:val="00BE62F6"/>
    <w:rsid w:val="00BE6FD7"/>
    <w:rsid w:val="00BE7318"/>
    <w:rsid w:val="00BE7E63"/>
    <w:rsid w:val="00BF06AC"/>
    <w:rsid w:val="00BF0A49"/>
    <w:rsid w:val="00BF1689"/>
    <w:rsid w:val="00BF1D3A"/>
    <w:rsid w:val="00BF3479"/>
    <w:rsid w:val="00BF3630"/>
    <w:rsid w:val="00BF3F7B"/>
    <w:rsid w:val="00BF4402"/>
    <w:rsid w:val="00BF4687"/>
    <w:rsid w:val="00BF6178"/>
    <w:rsid w:val="00BF6641"/>
    <w:rsid w:val="00BF6B76"/>
    <w:rsid w:val="00BF6E88"/>
    <w:rsid w:val="00BF79AF"/>
    <w:rsid w:val="00C0133C"/>
    <w:rsid w:val="00C01BC3"/>
    <w:rsid w:val="00C037BA"/>
    <w:rsid w:val="00C039B7"/>
    <w:rsid w:val="00C03BBD"/>
    <w:rsid w:val="00C03CFA"/>
    <w:rsid w:val="00C04FA5"/>
    <w:rsid w:val="00C06AB0"/>
    <w:rsid w:val="00C06CAF"/>
    <w:rsid w:val="00C10AE1"/>
    <w:rsid w:val="00C10B43"/>
    <w:rsid w:val="00C10D9E"/>
    <w:rsid w:val="00C11774"/>
    <w:rsid w:val="00C1261A"/>
    <w:rsid w:val="00C14577"/>
    <w:rsid w:val="00C1463C"/>
    <w:rsid w:val="00C14699"/>
    <w:rsid w:val="00C1518E"/>
    <w:rsid w:val="00C1634A"/>
    <w:rsid w:val="00C16D39"/>
    <w:rsid w:val="00C17008"/>
    <w:rsid w:val="00C17537"/>
    <w:rsid w:val="00C17F41"/>
    <w:rsid w:val="00C20501"/>
    <w:rsid w:val="00C22755"/>
    <w:rsid w:val="00C23E7E"/>
    <w:rsid w:val="00C2625E"/>
    <w:rsid w:val="00C2741F"/>
    <w:rsid w:val="00C302EB"/>
    <w:rsid w:val="00C30581"/>
    <w:rsid w:val="00C31E54"/>
    <w:rsid w:val="00C32FBB"/>
    <w:rsid w:val="00C330B5"/>
    <w:rsid w:val="00C3355D"/>
    <w:rsid w:val="00C337BF"/>
    <w:rsid w:val="00C3426E"/>
    <w:rsid w:val="00C349A5"/>
    <w:rsid w:val="00C3568D"/>
    <w:rsid w:val="00C35BA8"/>
    <w:rsid w:val="00C35DCC"/>
    <w:rsid w:val="00C373D3"/>
    <w:rsid w:val="00C376EF"/>
    <w:rsid w:val="00C37B10"/>
    <w:rsid w:val="00C40B30"/>
    <w:rsid w:val="00C40D8A"/>
    <w:rsid w:val="00C4103C"/>
    <w:rsid w:val="00C4128A"/>
    <w:rsid w:val="00C41CAC"/>
    <w:rsid w:val="00C41F47"/>
    <w:rsid w:val="00C43B36"/>
    <w:rsid w:val="00C442EB"/>
    <w:rsid w:val="00C4467A"/>
    <w:rsid w:val="00C44A6E"/>
    <w:rsid w:val="00C46039"/>
    <w:rsid w:val="00C465DE"/>
    <w:rsid w:val="00C46E7B"/>
    <w:rsid w:val="00C47C33"/>
    <w:rsid w:val="00C50BCD"/>
    <w:rsid w:val="00C518C9"/>
    <w:rsid w:val="00C51DDC"/>
    <w:rsid w:val="00C520E0"/>
    <w:rsid w:val="00C52342"/>
    <w:rsid w:val="00C52582"/>
    <w:rsid w:val="00C52AF3"/>
    <w:rsid w:val="00C52E2C"/>
    <w:rsid w:val="00C53851"/>
    <w:rsid w:val="00C53A7D"/>
    <w:rsid w:val="00C55178"/>
    <w:rsid w:val="00C5572A"/>
    <w:rsid w:val="00C55E2C"/>
    <w:rsid w:val="00C55F42"/>
    <w:rsid w:val="00C570F7"/>
    <w:rsid w:val="00C5761F"/>
    <w:rsid w:val="00C602D6"/>
    <w:rsid w:val="00C60461"/>
    <w:rsid w:val="00C606EE"/>
    <w:rsid w:val="00C60886"/>
    <w:rsid w:val="00C608B2"/>
    <w:rsid w:val="00C612F7"/>
    <w:rsid w:val="00C61350"/>
    <w:rsid w:val="00C61CC1"/>
    <w:rsid w:val="00C61E29"/>
    <w:rsid w:val="00C623C6"/>
    <w:rsid w:val="00C624DC"/>
    <w:rsid w:val="00C63835"/>
    <w:rsid w:val="00C64B04"/>
    <w:rsid w:val="00C65138"/>
    <w:rsid w:val="00C6526D"/>
    <w:rsid w:val="00C65A32"/>
    <w:rsid w:val="00C66037"/>
    <w:rsid w:val="00C66744"/>
    <w:rsid w:val="00C6696C"/>
    <w:rsid w:val="00C66C90"/>
    <w:rsid w:val="00C674AD"/>
    <w:rsid w:val="00C704FB"/>
    <w:rsid w:val="00C70833"/>
    <w:rsid w:val="00C70E9B"/>
    <w:rsid w:val="00C71055"/>
    <w:rsid w:val="00C71381"/>
    <w:rsid w:val="00C71453"/>
    <w:rsid w:val="00C715D6"/>
    <w:rsid w:val="00C72DB7"/>
    <w:rsid w:val="00C7339C"/>
    <w:rsid w:val="00C73959"/>
    <w:rsid w:val="00C74745"/>
    <w:rsid w:val="00C7593B"/>
    <w:rsid w:val="00C76AED"/>
    <w:rsid w:val="00C76C70"/>
    <w:rsid w:val="00C77180"/>
    <w:rsid w:val="00C775EB"/>
    <w:rsid w:val="00C77BD0"/>
    <w:rsid w:val="00C77DCD"/>
    <w:rsid w:val="00C804CF"/>
    <w:rsid w:val="00C8128A"/>
    <w:rsid w:val="00C83364"/>
    <w:rsid w:val="00C835B7"/>
    <w:rsid w:val="00C835F1"/>
    <w:rsid w:val="00C855E7"/>
    <w:rsid w:val="00C8621A"/>
    <w:rsid w:val="00C873ED"/>
    <w:rsid w:val="00C8749F"/>
    <w:rsid w:val="00C879E1"/>
    <w:rsid w:val="00C87B4E"/>
    <w:rsid w:val="00C903E3"/>
    <w:rsid w:val="00C907A0"/>
    <w:rsid w:val="00C908BA"/>
    <w:rsid w:val="00C91246"/>
    <w:rsid w:val="00C927FB"/>
    <w:rsid w:val="00C92D13"/>
    <w:rsid w:val="00C92E12"/>
    <w:rsid w:val="00C93022"/>
    <w:rsid w:val="00C932A9"/>
    <w:rsid w:val="00C936B3"/>
    <w:rsid w:val="00C94B8D"/>
    <w:rsid w:val="00C95665"/>
    <w:rsid w:val="00C96036"/>
    <w:rsid w:val="00C97213"/>
    <w:rsid w:val="00C97701"/>
    <w:rsid w:val="00C978BC"/>
    <w:rsid w:val="00CA071F"/>
    <w:rsid w:val="00CA14C2"/>
    <w:rsid w:val="00CA1618"/>
    <w:rsid w:val="00CA192F"/>
    <w:rsid w:val="00CA1A10"/>
    <w:rsid w:val="00CA1B09"/>
    <w:rsid w:val="00CA3537"/>
    <w:rsid w:val="00CA3A27"/>
    <w:rsid w:val="00CA3E49"/>
    <w:rsid w:val="00CA3E4B"/>
    <w:rsid w:val="00CA4256"/>
    <w:rsid w:val="00CA4D1D"/>
    <w:rsid w:val="00CA62A9"/>
    <w:rsid w:val="00CA6B66"/>
    <w:rsid w:val="00CB0A20"/>
    <w:rsid w:val="00CB1E8D"/>
    <w:rsid w:val="00CB1F0E"/>
    <w:rsid w:val="00CB26CC"/>
    <w:rsid w:val="00CB3767"/>
    <w:rsid w:val="00CB3A13"/>
    <w:rsid w:val="00CB3DB2"/>
    <w:rsid w:val="00CB4199"/>
    <w:rsid w:val="00CB437A"/>
    <w:rsid w:val="00CB4B85"/>
    <w:rsid w:val="00CB4FDB"/>
    <w:rsid w:val="00CB5093"/>
    <w:rsid w:val="00CB585F"/>
    <w:rsid w:val="00CB6124"/>
    <w:rsid w:val="00CB7ADB"/>
    <w:rsid w:val="00CB7F9B"/>
    <w:rsid w:val="00CC0CB4"/>
    <w:rsid w:val="00CC0E3B"/>
    <w:rsid w:val="00CC0FAF"/>
    <w:rsid w:val="00CC10EE"/>
    <w:rsid w:val="00CC163A"/>
    <w:rsid w:val="00CC184E"/>
    <w:rsid w:val="00CC37A0"/>
    <w:rsid w:val="00CC43A3"/>
    <w:rsid w:val="00CC43E8"/>
    <w:rsid w:val="00CC463F"/>
    <w:rsid w:val="00CC6442"/>
    <w:rsid w:val="00CC6676"/>
    <w:rsid w:val="00CC66F9"/>
    <w:rsid w:val="00CC7AFD"/>
    <w:rsid w:val="00CD066E"/>
    <w:rsid w:val="00CD0689"/>
    <w:rsid w:val="00CD0F5E"/>
    <w:rsid w:val="00CD124B"/>
    <w:rsid w:val="00CD1862"/>
    <w:rsid w:val="00CD2807"/>
    <w:rsid w:val="00CD39D9"/>
    <w:rsid w:val="00CD42DB"/>
    <w:rsid w:val="00CD5498"/>
    <w:rsid w:val="00CD59CF"/>
    <w:rsid w:val="00CD5F16"/>
    <w:rsid w:val="00CD6978"/>
    <w:rsid w:val="00CD6CDC"/>
    <w:rsid w:val="00CD7AB4"/>
    <w:rsid w:val="00CD7B45"/>
    <w:rsid w:val="00CD7B6E"/>
    <w:rsid w:val="00CD7CE6"/>
    <w:rsid w:val="00CE01F7"/>
    <w:rsid w:val="00CE0965"/>
    <w:rsid w:val="00CE0F65"/>
    <w:rsid w:val="00CE178A"/>
    <w:rsid w:val="00CE27DC"/>
    <w:rsid w:val="00CE2853"/>
    <w:rsid w:val="00CE334D"/>
    <w:rsid w:val="00CE3AD4"/>
    <w:rsid w:val="00CE5621"/>
    <w:rsid w:val="00CE5628"/>
    <w:rsid w:val="00CE5D8F"/>
    <w:rsid w:val="00CE6EBB"/>
    <w:rsid w:val="00CE6EE4"/>
    <w:rsid w:val="00CE72C3"/>
    <w:rsid w:val="00CE7A5B"/>
    <w:rsid w:val="00CE7C40"/>
    <w:rsid w:val="00CF1482"/>
    <w:rsid w:val="00CF18D3"/>
    <w:rsid w:val="00CF4E82"/>
    <w:rsid w:val="00CF7E64"/>
    <w:rsid w:val="00D00168"/>
    <w:rsid w:val="00D01BA3"/>
    <w:rsid w:val="00D02324"/>
    <w:rsid w:val="00D03F42"/>
    <w:rsid w:val="00D0540A"/>
    <w:rsid w:val="00D05615"/>
    <w:rsid w:val="00D05CC7"/>
    <w:rsid w:val="00D06237"/>
    <w:rsid w:val="00D0656B"/>
    <w:rsid w:val="00D07407"/>
    <w:rsid w:val="00D0755F"/>
    <w:rsid w:val="00D078A9"/>
    <w:rsid w:val="00D100C2"/>
    <w:rsid w:val="00D101EB"/>
    <w:rsid w:val="00D10FE0"/>
    <w:rsid w:val="00D11388"/>
    <w:rsid w:val="00D1141B"/>
    <w:rsid w:val="00D11E4D"/>
    <w:rsid w:val="00D122A4"/>
    <w:rsid w:val="00D1454F"/>
    <w:rsid w:val="00D14890"/>
    <w:rsid w:val="00D14A75"/>
    <w:rsid w:val="00D16871"/>
    <w:rsid w:val="00D16876"/>
    <w:rsid w:val="00D16EB4"/>
    <w:rsid w:val="00D1710E"/>
    <w:rsid w:val="00D20968"/>
    <w:rsid w:val="00D2098D"/>
    <w:rsid w:val="00D20A37"/>
    <w:rsid w:val="00D20CB6"/>
    <w:rsid w:val="00D221BB"/>
    <w:rsid w:val="00D23F5E"/>
    <w:rsid w:val="00D241E8"/>
    <w:rsid w:val="00D25C84"/>
    <w:rsid w:val="00D27469"/>
    <w:rsid w:val="00D2751C"/>
    <w:rsid w:val="00D27D26"/>
    <w:rsid w:val="00D30504"/>
    <w:rsid w:val="00D316F2"/>
    <w:rsid w:val="00D31C1C"/>
    <w:rsid w:val="00D32C58"/>
    <w:rsid w:val="00D33113"/>
    <w:rsid w:val="00D339C0"/>
    <w:rsid w:val="00D34252"/>
    <w:rsid w:val="00D3459A"/>
    <w:rsid w:val="00D34CFC"/>
    <w:rsid w:val="00D34FD7"/>
    <w:rsid w:val="00D3539E"/>
    <w:rsid w:val="00D368B5"/>
    <w:rsid w:val="00D36FB7"/>
    <w:rsid w:val="00D371FF"/>
    <w:rsid w:val="00D40721"/>
    <w:rsid w:val="00D40B80"/>
    <w:rsid w:val="00D418D1"/>
    <w:rsid w:val="00D41FFF"/>
    <w:rsid w:val="00D42957"/>
    <w:rsid w:val="00D42A50"/>
    <w:rsid w:val="00D42FE1"/>
    <w:rsid w:val="00D43364"/>
    <w:rsid w:val="00D43F96"/>
    <w:rsid w:val="00D44100"/>
    <w:rsid w:val="00D44B88"/>
    <w:rsid w:val="00D45417"/>
    <w:rsid w:val="00D45588"/>
    <w:rsid w:val="00D456BE"/>
    <w:rsid w:val="00D45854"/>
    <w:rsid w:val="00D45DC5"/>
    <w:rsid w:val="00D46217"/>
    <w:rsid w:val="00D46AC2"/>
    <w:rsid w:val="00D474E5"/>
    <w:rsid w:val="00D474FE"/>
    <w:rsid w:val="00D50B36"/>
    <w:rsid w:val="00D51FD2"/>
    <w:rsid w:val="00D52944"/>
    <w:rsid w:val="00D52F91"/>
    <w:rsid w:val="00D530B8"/>
    <w:rsid w:val="00D53232"/>
    <w:rsid w:val="00D53718"/>
    <w:rsid w:val="00D538F4"/>
    <w:rsid w:val="00D55C2E"/>
    <w:rsid w:val="00D56231"/>
    <w:rsid w:val="00D56499"/>
    <w:rsid w:val="00D57C02"/>
    <w:rsid w:val="00D605B0"/>
    <w:rsid w:val="00D60FAE"/>
    <w:rsid w:val="00D611D7"/>
    <w:rsid w:val="00D613FC"/>
    <w:rsid w:val="00D61EF4"/>
    <w:rsid w:val="00D62189"/>
    <w:rsid w:val="00D63645"/>
    <w:rsid w:val="00D63FCB"/>
    <w:rsid w:val="00D6415F"/>
    <w:rsid w:val="00D64362"/>
    <w:rsid w:val="00D6471A"/>
    <w:rsid w:val="00D6716F"/>
    <w:rsid w:val="00D67D68"/>
    <w:rsid w:val="00D708AB"/>
    <w:rsid w:val="00D7099C"/>
    <w:rsid w:val="00D70C3E"/>
    <w:rsid w:val="00D70DAB"/>
    <w:rsid w:val="00D714AD"/>
    <w:rsid w:val="00D71701"/>
    <w:rsid w:val="00D71B7E"/>
    <w:rsid w:val="00D72A4C"/>
    <w:rsid w:val="00D73352"/>
    <w:rsid w:val="00D74C5E"/>
    <w:rsid w:val="00D75B64"/>
    <w:rsid w:val="00D76B53"/>
    <w:rsid w:val="00D76BFA"/>
    <w:rsid w:val="00D77355"/>
    <w:rsid w:val="00D80B42"/>
    <w:rsid w:val="00D8109F"/>
    <w:rsid w:val="00D815E8"/>
    <w:rsid w:val="00D81F51"/>
    <w:rsid w:val="00D81F7E"/>
    <w:rsid w:val="00D825AC"/>
    <w:rsid w:val="00D826D7"/>
    <w:rsid w:val="00D83F0B"/>
    <w:rsid w:val="00D84FE1"/>
    <w:rsid w:val="00D85992"/>
    <w:rsid w:val="00D85C02"/>
    <w:rsid w:val="00D85DB7"/>
    <w:rsid w:val="00D85DB8"/>
    <w:rsid w:val="00D85E26"/>
    <w:rsid w:val="00D86B26"/>
    <w:rsid w:val="00D86B39"/>
    <w:rsid w:val="00D87B02"/>
    <w:rsid w:val="00D9019E"/>
    <w:rsid w:val="00D90BB9"/>
    <w:rsid w:val="00D91B30"/>
    <w:rsid w:val="00D91C63"/>
    <w:rsid w:val="00D91D89"/>
    <w:rsid w:val="00D91EA6"/>
    <w:rsid w:val="00D922C6"/>
    <w:rsid w:val="00D93A9B"/>
    <w:rsid w:val="00D94392"/>
    <w:rsid w:val="00D943EF"/>
    <w:rsid w:val="00D95234"/>
    <w:rsid w:val="00D95755"/>
    <w:rsid w:val="00DA000B"/>
    <w:rsid w:val="00DA10E9"/>
    <w:rsid w:val="00DA1560"/>
    <w:rsid w:val="00DA1584"/>
    <w:rsid w:val="00DA191C"/>
    <w:rsid w:val="00DA35E4"/>
    <w:rsid w:val="00DA3989"/>
    <w:rsid w:val="00DA3AF3"/>
    <w:rsid w:val="00DA42DF"/>
    <w:rsid w:val="00DA4C62"/>
    <w:rsid w:val="00DA553F"/>
    <w:rsid w:val="00DA64CA"/>
    <w:rsid w:val="00DA6F19"/>
    <w:rsid w:val="00DA7630"/>
    <w:rsid w:val="00DB0202"/>
    <w:rsid w:val="00DB39F2"/>
    <w:rsid w:val="00DB40EA"/>
    <w:rsid w:val="00DB535E"/>
    <w:rsid w:val="00DB706D"/>
    <w:rsid w:val="00DB73F2"/>
    <w:rsid w:val="00DB7FC6"/>
    <w:rsid w:val="00DC23B9"/>
    <w:rsid w:val="00DC3C94"/>
    <w:rsid w:val="00DC4702"/>
    <w:rsid w:val="00DC4E0A"/>
    <w:rsid w:val="00DC4F02"/>
    <w:rsid w:val="00DC5EE4"/>
    <w:rsid w:val="00DC606F"/>
    <w:rsid w:val="00DC65DA"/>
    <w:rsid w:val="00DC7432"/>
    <w:rsid w:val="00DC7681"/>
    <w:rsid w:val="00DC7A64"/>
    <w:rsid w:val="00DD0B6B"/>
    <w:rsid w:val="00DD2AF6"/>
    <w:rsid w:val="00DD4ECD"/>
    <w:rsid w:val="00DD52DA"/>
    <w:rsid w:val="00DD6109"/>
    <w:rsid w:val="00DD6217"/>
    <w:rsid w:val="00DD663D"/>
    <w:rsid w:val="00DD7E37"/>
    <w:rsid w:val="00DE0F4A"/>
    <w:rsid w:val="00DE3180"/>
    <w:rsid w:val="00DE36C0"/>
    <w:rsid w:val="00DE3E94"/>
    <w:rsid w:val="00DE53D1"/>
    <w:rsid w:val="00DE5696"/>
    <w:rsid w:val="00DE5C86"/>
    <w:rsid w:val="00DE64DC"/>
    <w:rsid w:val="00DE7910"/>
    <w:rsid w:val="00DF0365"/>
    <w:rsid w:val="00DF1349"/>
    <w:rsid w:val="00DF16A3"/>
    <w:rsid w:val="00DF1BC0"/>
    <w:rsid w:val="00DF1E73"/>
    <w:rsid w:val="00DF1FA2"/>
    <w:rsid w:val="00DF242E"/>
    <w:rsid w:val="00DF2A91"/>
    <w:rsid w:val="00DF3045"/>
    <w:rsid w:val="00DF48F5"/>
    <w:rsid w:val="00DF4BD0"/>
    <w:rsid w:val="00DF5B78"/>
    <w:rsid w:val="00DF5E66"/>
    <w:rsid w:val="00DF69DC"/>
    <w:rsid w:val="00DF7D39"/>
    <w:rsid w:val="00DF7F49"/>
    <w:rsid w:val="00E01B9F"/>
    <w:rsid w:val="00E01EFA"/>
    <w:rsid w:val="00E02398"/>
    <w:rsid w:val="00E02959"/>
    <w:rsid w:val="00E029A6"/>
    <w:rsid w:val="00E050F6"/>
    <w:rsid w:val="00E0540E"/>
    <w:rsid w:val="00E05774"/>
    <w:rsid w:val="00E05964"/>
    <w:rsid w:val="00E06E7A"/>
    <w:rsid w:val="00E0706B"/>
    <w:rsid w:val="00E107AF"/>
    <w:rsid w:val="00E1093B"/>
    <w:rsid w:val="00E10B9D"/>
    <w:rsid w:val="00E10F53"/>
    <w:rsid w:val="00E11679"/>
    <w:rsid w:val="00E1253E"/>
    <w:rsid w:val="00E126F6"/>
    <w:rsid w:val="00E12F25"/>
    <w:rsid w:val="00E131E4"/>
    <w:rsid w:val="00E13460"/>
    <w:rsid w:val="00E13674"/>
    <w:rsid w:val="00E142F3"/>
    <w:rsid w:val="00E147C5"/>
    <w:rsid w:val="00E14F2A"/>
    <w:rsid w:val="00E15632"/>
    <w:rsid w:val="00E165CE"/>
    <w:rsid w:val="00E177AC"/>
    <w:rsid w:val="00E206AE"/>
    <w:rsid w:val="00E212E1"/>
    <w:rsid w:val="00E213DE"/>
    <w:rsid w:val="00E2251E"/>
    <w:rsid w:val="00E2263A"/>
    <w:rsid w:val="00E23736"/>
    <w:rsid w:val="00E237E1"/>
    <w:rsid w:val="00E23B55"/>
    <w:rsid w:val="00E2454D"/>
    <w:rsid w:val="00E24642"/>
    <w:rsid w:val="00E24865"/>
    <w:rsid w:val="00E249B4"/>
    <w:rsid w:val="00E24CA6"/>
    <w:rsid w:val="00E25812"/>
    <w:rsid w:val="00E263F5"/>
    <w:rsid w:val="00E26555"/>
    <w:rsid w:val="00E26FE5"/>
    <w:rsid w:val="00E277C2"/>
    <w:rsid w:val="00E27B66"/>
    <w:rsid w:val="00E309DA"/>
    <w:rsid w:val="00E31443"/>
    <w:rsid w:val="00E315A0"/>
    <w:rsid w:val="00E31AB4"/>
    <w:rsid w:val="00E32A0D"/>
    <w:rsid w:val="00E32A7A"/>
    <w:rsid w:val="00E33122"/>
    <w:rsid w:val="00E331F9"/>
    <w:rsid w:val="00E358C6"/>
    <w:rsid w:val="00E35FD6"/>
    <w:rsid w:val="00E36166"/>
    <w:rsid w:val="00E40945"/>
    <w:rsid w:val="00E40A0E"/>
    <w:rsid w:val="00E41F6E"/>
    <w:rsid w:val="00E423F0"/>
    <w:rsid w:val="00E425E8"/>
    <w:rsid w:val="00E42A2F"/>
    <w:rsid w:val="00E432D4"/>
    <w:rsid w:val="00E43705"/>
    <w:rsid w:val="00E439FD"/>
    <w:rsid w:val="00E45E53"/>
    <w:rsid w:val="00E46F9E"/>
    <w:rsid w:val="00E505C7"/>
    <w:rsid w:val="00E50A2B"/>
    <w:rsid w:val="00E50E31"/>
    <w:rsid w:val="00E50E46"/>
    <w:rsid w:val="00E548BE"/>
    <w:rsid w:val="00E5738E"/>
    <w:rsid w:val="00E577C7"/>
    <w:rsid w:val="00E60C80"/>
    <w:rsid w:val="00E60E5E"/>
    <w:rsid w:val="00E61A47"/>
    <w:rsid w:val="00E61AE1"/>
    <w:rsid w:val="00E61BDA"/>
    <w:rsid w:val="00E61C8F"/>
    <w:rsid w:val="00E6229D"/>
    <w:rsid w:val="00E63268"/>
    <w:rsid w:val="00E63399"/>
    <w:rsid w:val="00E6480A"/>
    <w:rsid w:val="00E659CA"/>
    <w:rsid w:val="00E659F8"/>
    <w:rsid w:val="00E65F36"/>
    <w:rsid w:val="00E66FCA"/>
    <w:rsid w:val="00E6739E"/>
    <w:rsid w:val="00E67F10"/>
    <w:rsid w:val="00E7121E"/>
    <w:rsid w:val="00E71635"/>
    <w:rsid w:val="00E71CDB"/>
    <w:rsid w:val="00E71EBB"/>
    <w:rsid w:val="00E727A1"/>
    <w:rsid w:val="00E729C0"/>
    <w:rsid w:val="00E72D59"/>
    <w:rsid w:val="00E734F4"/>
    <w:rsid w:val="00E73776"/>
    <w:rsid w:val="00E73814"/>
    <w:rsid w:val="00E7430D"/>
    <w:rsid w:val="00E749D5"/>
    <w:rsid w:val="00E75A08"/>
    <w:rsid w:val="00E76CA7"/>
    <w:rsid w:val="00E77A71"/>
    <w:rsid w:val="00E8004B"/>
    <w:rsid w:val="00E80C0E"/>
    <w:rsid w:val="00E81180"/>
    <w:rsid w:val="00E814C8"/>
    <w:rsid w:val="00E818A3"/>
    <w:rsid w:val="00E81A03"/>
    <w:rsid w:val="00E82005"/>
    <w:rsid w:val="00E82D77"/>
    <w:rsid w:val="00E830D6"/>
    <w:rsid w:val="00E833D3"/>
    <w:rsid w:val="00E84596"/>
    <w:rsid w:val="00E854D1"/>
    <w:rsid w:val="00E85866"/>
    <w:rsid w:val="00E85A30"/>
    <w:rsid w:val="00E87D7E"/>
    <w:rsid w:val="00E90708"/>
    <w:rsid w:val="00E90923"/>
    <w:rsid w:val="00E912A6"/>
    <w:rsid w:val="00E91513"/>
    <w:rsid w:val="00E91ABA"/>
    <w:rsid w:val="00E934B4"/>
    <w:rsid w:val="00E94B15"/>
    <w:rsid w:val="00E94C42"/>
    <w:rsid w:val="00E94F68"/>
    <w:rsid w:val="00E97541"/>
    <w:rsid w:val="00EA0220"/>
    <w:rsid w:val="00EA2D1C"/>
    <w:rsid w:val="00EA2DE8"/>
    <w:rsid w:val="00EA2E14"/>
    <w:rsid w:val="00EA31F2"/>
    <w:rsid w:val="00EA32D2"/>
    <w:rsid w:val="00EA4225"/>
    <w:rsid w:val="00EA42DD"/>
    <w:rsid w:val="00EA497F"/>
    <w:rsid w:val="00EA4DE6"/>
    <w:rsid w:val="00EA538B"/>
    <w:rsid w:val="00EA5AE9"/>
    <w:rsid w:val="00EA5B77"/>
    <w:rsid w:val="00EA5E17"/>
    <w:rsid w:val="00EA6901"/>
    <w:rsid w:val="00EA6C1B"/>
    <w:rsid w:val="00EB034E"/>
    <w:rsid w:val="00EB04FA"/>
    <w:rsid w:val="00EB07E6"/>
    <w:rsid w:val="00EB0B69"/>
    <w:rsid w:val="00EB209E"/>
    <w:rsid w:val="00EB3DFD"/>
    <w:rsid w:val="00EB456C"/>
    <w:rsid w:val="00EB48F4"/>
    <w:rsid w:val="00EB4E6F"/>
    <w:rsid w:val="00EB5437"/>
    <w:rsid w:val="00EB5883"/>
    <w:rsid w:val="00EB5F7F"/>
    <w:rsid w:val="00EB6CFB"/>
    <w:rsid w:val="00EB7037"/>
    <w:rsid w:val="00EB7148"/>
    <w:rsid w:val="00EB7C02"/>
    <w:rsid w:val="00EC07C4"/>
    <w:rsid w:val="00EC0F5D"/>
    <w:rsid w:val="00EC1525"/>
    <w:rsid w:val="00EC2195"/>
    <w:rsid w:val="00EC2911"/>
    <w:rsid w:val="00EC30C6"/>
    <w:rsid w:val="00EC4933"/>
    <w:rsid w:val="00EC4C53"/>
    <w:rsid w:val="00EC534F"/>
    <w:rsid w:val="00EC5B58"/>
    <w:rsid w:val="00EC6581"/>
    <w:rsid w:val="00EC678E"/>
    <w:rsid w:val="00EC6FB6"/>
    <w:rsid w:val="00EC758D"/>
    <w:rsid w:val="00ED0AF6"/>
    <w:rsid w:val="00ED0E50"/>
    <w:rsid w:val="00ED104D"/>
    <w:rsid w:val="00ED1239"/>
    <w:rsid w:val="00ED129C"/>
    <w:rsid w:val="00ED16F9"/>
    <w:rsid w:val="00ED19C3"/>
    <w:rsid w:val="00ED20E9"/>
    <w:rsid w:val="00ED2F44"/>
    <w:rsid w:val="00ED4BC0"/>
    <w:rsid w:val="00ED4ECA"/>
    <w:rsid w:val="00ED5ED0"/>
    <w:rsid w:val="00ED767B"/>
    <w:rsid w:val="00EE0E58"/>
    <w:rsid w:val="00EE1263"/>
    <w:rsid w:val="00EE1EDC"/>
    <w:rsid w:val="00EE3FB1"/>
    <w:rsid w:val="00EE47DB"/>
    <w:rsid w:val="00EE798B"/>
    <w:rsid w:val="00EE7F45"/>
    <w:rsid w:val="00EF25AF"/>
    <w:rsid w:val="00EF3543"/>
    <w:rsid w:val="00EF3D74"/>
    <w:rsid w:val="00EF62CC"/>
    <w:rsid w:val="00EF6584"/>
    <w:rsid w:val="00EF6C39"/>
    <w:rsid w:val="00EF7C81"/>
    <w:rsid w:val="00F0024C"/>
    <w:rsid w:val="00F00F94"/>
    <w:rsid w:val="00F01262"/>
    <w:rsid w:val="00F01C64"/>
    <w:rsid w:val="00F02409"/>
    <w:rsid w:val="00F0259A"/>
    <w:rsid w:val="00F03159"/>
    <w:rsid w:val="00F0343C"/>
    <w:rsid w:val="00F03E48"/>
    <w:rsid w:val="00F04168"/>
    <w:rsid w:val="00F047EC"/>
    <w:rsid w:val="00F05279"/>
    <w:rsid w:val="00F057F4"/>
    <w:rsid w:val="00F07156"/>
    <w:rsid w:val="00F102AA"/>
    <w:rsid w:val="00F10AB2"/>
    <w:rsid w:val="00F10DDF"/>
    <w:rsid w:val="00F115AD"/>
    <w:rsid w:val="00F11880"/>
    <w:rsid w:val="00F118D6"/>
    <w:rsid w:val="00F11B26"/>
    <w:rsid w:val="00F137E0"/>
    <w:rsid w:val="00F140A7"/>
    <w:rsid w:val="00F1631F"/>
    <w:rsid w:val="00F16493"/>
    <w:rsid w:val="00F17749"/>
    <w:rsid w:val="00F2072B"/>
    <w:rsid w:val="00F20E40"/>
    <w:rsid w:val="00F215D8"/>
    <w:rsid w:val="00F22579"/>
    <w:rsid w:val="00F22605"/>
    <w:rsid w:val="00F228A4"/>
    <w:rsid w:val="00F24817"/>
    <w:rsid w:val="00F26084"/>
    <w:rsid w:val="00F267D0"/>
    <w:rsid w:val="00F2778C"/>
    <w:rsid w:val="00F27E9F"/>
    <w:rsid w:val="00F31654"/>
    <w:rsid w:val="00F3168F"/>
    <w:rsid w:val="00F3369B"/>
    <w:rsid w:val="00F3371A"/>
    <w:rsid w:val="00F338F7"/>
    <w:rsid w:val="00F33AF3"/>
    <w:rsid w:val="00F33DB0"/>
    <w:rsid w:val="00F33E12"/>
    <w:rsid w:val="00F33F1F"/>
    <w:rsid w:val="00F34707"/>
    <w:rsid w:val="00F34F19"/>
    <w:rsid w:val="00F3526B"/>
    <w:rsid w:val="00F360AF"/>
    <w:rsid w:val="00F360B4"/>
    <w:rsid w:val="00F37EFC"/>
    <w:rsid w:val="00F4092B"/>
    <w:rsid w:val="00F41738"/>
    <w:rsid w:val="00F42EF2"/>
    <w:rsid w:val="00F43F2F"/>
    <w:rsid w:val="00F44362"/>
    <w:rsid w:val="00F44ADA"/>
    <w:rsid w:val="00F44BC2"/>
    <w:rsid w:val="00F46C93"/>
    <w:rsid w:val="00F47931"/>
    <w:rsid w:val="00F50117"/>
    <w:rsid w:val="00F51438"/>
    <w:rsid w:val="00F52C65"/>
    <w:rsid w:val="00F534CF"/>
    <w:rsid w:val="00F5448D"/>
    <w:rsid w:val="00F547C7"/>
    <w:rsid w:val="00F5784C"/>
    <w:rsid w:val="00F60ACE"/>
    <w:rsid w:val="00F60C4F"/>
    <w:rsid w:val="00F60EC6"/>
    <w:rsid w:val="00F60EE9"/>
    <w:rsid w:val="00F62305"/>
    <w:rsid w:val="00F62D6B"/>
    <w:rsid w:val="00F6329E"/>
    <w:rsid w:val="00F63AB6"/>
    <w:rsid w:val="00F63B50"/>
    <w:rsid w:val="00F64362"/>
    <w:rsid w:val="00F64EF6"/>
    <w:rsid w:val="00F66751"/>
    <w:rsid w:val="00F67DF9"/>
    <w:rsid w:val="00F7153C"/>
    <w:rsid w:val="00F715D8"/>
    <w:rsid w:val="00F71FA6"/>
    <w:rsid w:val="00F7234C"/>
    <w:rsid w:val="00F73C70"/>
    <w:rsid w:val="00F73CC1"/>
    <w:rsid w:val="00F75715"/>
    <w:rsid w:val="00F7587A"/>
    <w:rsid w:val="00F75F0E"/>
    <w:rsid w:val="00F76889"/>
    <w:rsid w:val="00F779AE"/>
    <w:rsid w:val="00F80311"/>
    <w:rsid w:val="00F813C6"/>
    <w:rsid w:val="00F816F3"/>
    <w:rsid w:val="00F819BA"/>
    <w:rsid w:val="00F8323C"/>
    <w:rsid w:val="00F83AA3"/>
    <w:rsid w:val="00F844B4"/>
    <w:rsid w:val="00F857B1"/>
    <w:rsid w:val="00F86038"/>
    <w:rsid w:val="00F861D6"/>
    <w:rsid w:val="00F862CE"/>
    <w:rsid w:val="00F878D8"/>
    <w:rsid w:val="00F91081"/>
    <w:rsid w:val="00F91AA5"/>
    <w:rsid w:val="00F91EE5"/>
    <w:rsid w:val="00F92643"/>
    <w:rsid w:val="00F92905"/>
    <w:rsid w:val="00F94AD5"/>
    <w:rsid w:val="00F94E85"/>
    <w:rsid w:val="00F95658"/>
    <w:rsid w:val="00F957FC"/>
    <w:rsid w:val="00F95E71"/>
    <w:rsid w:val="00F97A19"/>
    <w:rsid w:val="00FA054F"/>
    <w:rsid w:val="00FA067D"/>
    <w:rsid w:val="00FA0FD8"/>
    <w:rsid w:val="00FA217E"/>
    <w:rsid w:val="00FA234A"/>
    <w:rsid w:val="00FA268F"/>
    <w:rsid w:val="00FA27CA"/>
    <w:rsid w:val="00FA5523"/>
    <w:rsid w:val="00FA5ABD"/>
    <w:rsid w:val="00FA5C08"/>
    <w:rsid w:val="00FA6994"/>
    <w:rsid w:val="00FA7E3A"/>
    <w:rsid w:val="00FB19F1"/>
    <w:rsid w:val="00FB1EDC"/>
    <w:rsid w:val="00FB22C6"/>
    <w:rsid w:val="00FB282F"/>
    <w:rsid w:val="00FB3000"/>
    <w:rsid w:val="00FB3160"/>
    <w:rsid w:val="00FB3270"/>
    <w:rsid w:val="00FB39E3"/>
    <w:rsid w:val="00FB3EB0"/>
    <w:rsid w:val="00FB4336"/>
    <w:rsid w:val="00FB4865"/>
    <w:rsid w:val="00FB57E9"/>
    <w:rsid w:val="00FB58C1"/>
    <w:rsid w:val="00FB5D7B"/>
    <w:rsid w:val="00FB5E6C"/>
    <w:rsid w:val="00FB66CE"/>
    <w:rsid w:val="00FB7753"/>
    <w:rsid w:val="00FC00E0"/>
    <w:rsid w:val="00FC0124"/>
    <w:rsid w:val="00FC0E41"/>
    <w:rsid w:val="00FC0F64"/>
    <w:rsid w:val="00FC1212"/>
    <w:rsid w:val="00FC236A"/>
    <w:rsid w:val="00FC27F1"/>
    <w:rsid w:val="00FC2B06"/>
    <w:rsid w:val="00FC5736"/>
    <w:rsid w:val="00FC5FF8"/>
    <w:rsid w:val="00FC6044"/>
    <w:rsid w:val="00FC6047"/>
    <w:rsid w:val="00FC6ECA"/>
    <w:rsid w:val="00FD0594"/>
    <w:rsid w:val="00FD0F94"/>
    <w:rsid w:val="00FD136F"/>
    <w:rsid w:val="00FD14EA"/>
    <w:rsid w:val="00FD1A22"/>
    <w:rsid w:val="00FD1C93"/>
    <w:rsid w:val="00FD1E62"/>
    <w:rsid w:val="00FD37B2"/>
    <w:rsid w:val="00FD37F7"/>
    <w:rsid w:val="00FD4C28"/>
    <w:rsid w:val="00FD4E7C"/>
    <w:rsid w:val="00FD57C6"/>
    <w:rsid w:val="00FD57E6"/>
    <w:rsid w:val="00FD6023"/>
    <w:rsid w:val="00FD6513"/>
    <w:rsid w:val="00FD714F"/>
    <w:rsid w:val="00FD77EB"/>
    <w:rsid w:val="00FD7F33"/>
    <w:rsid w:val="00FD7FD6"/>
    <w:rsid w:val="00FE00D8"/>
    <w:rsid w:val="00FE0DA2"/>
    <w:rsid w:val="00FE0E6A"/>
    <w:rsid w:val="00FE21B9"/>
    <w:rsid w:val="00FE2551"/>
    <w:rsid w:val="00FE452A"/>
    <w:rsid w:val="00FE5EE3"/>
    <w:rsid w:val="00FE6617"/>
    <w:rsid w:val="00FF0079"/>
    <w:rsid w:val="00FF0A38"/>
    <w:rsid w:val="00FF14AE"/>
    <w:rsid w:val="00FF154F"/>
    <w:rsid w:val="00FF1585"/>
    <w:rsid w:val="00FF16F9"/>
    <w:rsid w:val="00FF2257"/>
    <w:rsid w:val="00FF33F4"/>
    <w:rsid w:val="00FF4469"/>
    <w:rsid w:val="00FF4AE0"/>
    <w:rsid w:val="00FF7761"/>
    <w:rsid w:val="00FF78ED"/>
    <w:rsid w:val="0281792A"/>
    <w:rsid w:val="042D3D0E"/>
    <w:rsid w:val="04894A4A"/>
    <w:rsid w:val="06356A42"/>
    <w:rsid w:val="0DD55B08"/>
    <w:rsid w:val="1A6A6332"/>
    <w:rsid w:val="219D214A"/>
    <w:rsid w:val="22900C24"/>
    <w:rsid w:val="22E550F5"/>
    <w:rsid w:val="29AB10FB"/>
    <w:rsid w:val="2C1B413C"/>
    <w:rsid w:val="2E993568"/>
    <w:rsid w:val="2FFB75FA"/>
    <w:rsid w:val="2FFF7517"/>
    <w:rsid w:val="3163279C"/>
    <w:rsid w:val="338624F3"/>
    <w:rsid w:val="36A54EB6"/>
    <w:rsid w:val="385147DD"/>
    <w:rsid w:val="3D68050C"/>
    <w:rsid w:val="3E2B11AF"/>
    <w:rsid w:val="3E546FF8"/>
    <w:rsid w:val="3F441B15"/>
    <w:rsid w:val="40793316"/>
    <w:rsid w:val="41016A7D"/>
    <w:rsid w:val="47CE7554"/>
    <w:rsid w:val="48807E18"/>
    <w:rsid w:val="49FC212E"/>
    <w:rsid w:val="548B47A4"/>
    <w:rsid w:val="5693239E"/>
    <w:rsid w:val="57A90631"/>
    <w:rsid w:val="6175718A"/>
    <w:rsid w:val="619141E9"/>
    <w:rsid w:val="623409C1"/>
    <w:rsid w:val="680D157E"/>
    <w:rsid w:val="6CF52876"/>
    <w:rsid w:val="6E713CAF"/>
    <w:rsid w:val="70B93519"/>
    <w:rsid w:val="729529B5"/>
    <w:rsid w:val="76143DFE"/>
    <w:rsid w:val="79E65359"/>
    <w:rsid w:val="7FD36645"/>
    <w:rsid w:val="7FF85A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rFonts w:ascii="Times New Roman" w:hAnsi="Times New Roman"/>
      <w:b/>
      <w:kern w:val="44"/>
      <w:sz w:val="44"/>
      <w:szCs w:val="20"/>
    </w:rPr>
  </w:style>
  <w:style w:type="paragraph" w:styleId="3">
    <w:name w:val="heading 2"/>
    <w:basedOn w:val="1"/>
    <w:next w:val="1"/>
    <w:qFormat/>
    <w:uiPriority w:val="0"/>
    <w:pPr>
      <w:keepNext/>
      <w:keepLines/>
      <w:numPr>
        <w:ilvl w:val="1"/>
        <w:numId w:val="1"/>
      </w:numPr>
      <w:spacing w:before="260" w:after="260" w:line="413" w:lineRule="auto"/>
      <w:outlineLvl w:val="1"/>
    </w:pPr>
    <w:rPr>
      <w:rFonts w:ascii="Arial" w:hAnsi="Arial" w:eastAsia="黑体"/>
      <w:b/>
      <w:sz w:val="32"/>
      <w:szCs w:val="20"/>
    </w:rPr>
  </w:style>
  <w:style w:type="paragraph" w:styleId="4">
    <w:name w:val="heading 3"/>
    <w:basedOn w:val="1"/>
    <w:next w:val="1"/>
    <w:qFormat/>
    <w:uiPriority w:val="0"/>
    <w:pPr>
      <w:keepNext/>
      <w:keepLines/>
      <w:numPr>
        <w:ilvl w:val="2"/>
        <w:numId w:val="1"/>
      </w:numPr>
      <w:spacing w:before="260" w:after="260" w:line="413" w:lineRule="auto"/>
      <w:outlineLvl w:val="2"/>
    </w:pPr>
    <w:rPr>
      <w:rFonts w:ascii="Times New Roman" w:hAnsi="Times New Roman"/>
      <w:b/>
      <w:sz w:val="32"/>
      <w:szCs w:val="20"/>
    </w:rPr>
  </w:style>
  <w:style w:type="paragraph" w:styleId="5">
    <w:name w:val="heading 4"/>
    <w:basedOn w:val="1"/>
    <w:next w:val="1"/>
    <w:link w:val="62"/>
    <w:unhideWhenUsed/>
    <w:qFormat/>
    <w:uiPriority w:val="0"/>
    <w:pPr>
      <w:keepNext/>
      <w:keepLines/>
      <w:numPr>
        <w:ilvl w:val="3"/>
        <w:numId w:val="1"/>
      </w:numPr>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63"/>
    <w:semiHidden/>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4"/>
    <w:semiHidden/>
    <w:unhideWhenUsed/>
    <w:qFormat/>
    <w:uiPriority w:val="0"/>
    <w:pPr>
      <w:keepNext/>
      <w:keepLines/>
      <w:numPr>
        <w:ilvl w:val="5"/>
        <w:numId w:val="1"/>
      </w:numPr>
      <w:spacing w:before="240" w:after="64" w:line="320" w:lineRule="auto"/>
      <w:outlineLvl w:val="5"/>
    </w:pPr>
    <w:rPr>
      <w:rFonts w:asciiTheme="majorHAnsi" w:hAnsiTheme="majorHAnsi" w:eastAsiaTheme="majorEastAsia" w:cstheme="majorBidi"/>
      <w:b/>
      <w:bCs/>
      <w:sz w:val="24"/>
      <w:szCs w:val="24"/>
    </w:rPr>
  </w:style>
  <w:style w:type="paragraph" w:styleId="8">
    <w:name w:val="heading 7"/>
    <w:basedOn w:val="1"/>
    <w:next w:val="1"/>
    <w:link w:val="65"/>
    <w:semiHidden/>
    <w:unhideWhenUsed/>
    <w:qFormat/>
    <w:uiPriority w:val="0"/>
    <w:pPr>
      <w:keepNext/>
      <w:keepLines/>
      <w:numPr>
        <w:ilvl w:val="6"/>
        <w:numId w:val="1"/>
      </w:numPr>
      <w:spacing w:before="240" w:after="64" w:line="320" w:lineRule="auto"/>
      <w:outlineLvl w:val="6"/>
    </w:pPr>
    <w:rPr>
      <w:b/>
      <w:bCs/>
      <w:sz w:val="24"/>
      <w:szCs w:val="24"/>
    </w:rPr>
  </w:style>
  <w:style w:type="paragraph" w:styleId="9">
    <w:name w:val="heading 8"/>
    <w:basedOn w:val="1"/>
    <w:next w:val="1"/>
    <w:link w:val="66"/>
    <w:semiHidden/>
    <w:unhideWhenUsed/>
    <w:qFormat/>
    <w:uiPriority w:val="0"/>
    <w:pPr>
      <w:keepNext/>
      <w:keepLines/>
      <w:numPr>
        <w:ilvl w:val="7"/>
        <w:numId w:val="1"/>
      </w:numPr>
      <w:spacing w:before="240" w:after="64" w:line="320" w:lineRule="auto"/>
      <w:outlineLvl w:val="7"/>
    </w:pPr>
    <w:rPr>
      <w:rFonts w:asciiTheme="majorHAnsi" w:hAnsiTheme="majorHAnsi" w:eastAsiaTheme="majorEastAsia" w:cstheme="majorBidi"/>
      <w:sz w:val="24"/>
      <w:szCs w:val="24"/>
    </w:rPr>
  </w:style>
  <w:style w:type="paragraph" w:styleId="10">
    <w:name w:val="heading 9"/>
    <w:basedOn w:val="1"/>
    <w:next w:val="1"/>
    <w:link w:val="67"/>
    <w:semiHidden/>
    <w:unhideWhenUsed/>
    <w:qFormat/>
    <w:uiPriority w:val="0"/>
    <w:pPr>
      <w:keepNext/>
      <w:keepLines/>
      <w:numPr>
        <w:ilvl w:val="8"/>
        <w:numId w:val="1"/>
      </w:numPr>
      <w:spacing w:before="240" w:after="64" w:line="320" w:lineRule="auto"/>
      <w:outlineLvl w:val="8"/>
    </w:pPr>
    <w:rPr>
      <w:rFonts w:asciiTheme="majorHAnsi" w:hAnsiTheme="majorHAnsi" w:eastAsiaTheme="majorEastAsia" w:cstheme="majorBidi"/>
      <w:szCs w:val="21"/>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1260"/>
      <w:jc w:val="left"/>
    </w:pPr>
    <w:rPr>
      <w:rFonts w:asciiTheme="minorHAnsi" w:hAnsiTheme="minorHAnsi" w:cstheme="minorHAnsi"/>
      <w:sz w:val="18"/>
      <w:szCs w:val="18"/>
    </w:rPr>
  </w:style>
  <w:style w:type="paragraph" w:styleId="12">
    <w:name w:val="caption"/>
    <w:basedOn w:val="1"/>
    <w:next w:val="1"/>
    <w:unhideWhenUsed/>
    <w:qFormat/>
    <w:uiPriority w:val="0"/>
    <w:rPr>
      <w:rFonts w:eastAsia="黑体" w:asciiTheme="majorHAnsi" w:hAnsiTheme="majorHAnsi" w:cstheme="majorBidi"/>
      <w:sz w:val="20"/>
      <w:szCs w:val="20"/>
    </w:rPr>
  </w:style>
  <w:style w:type="paragraph" w:styleId="13">
    <w:name w:val="Document Map"/>
    <w:basedOn w:val="1"/>
    <w:qFormat/>
    <w:uiPriority w:val="0"/>
    <w:pPr>
      <w:shd w:val="clear" w:color="auto" w:fill="000080"/>
    </w:pPr>
    <w:rPr>
      <w:rFonts w:ascii="Times New Roman" w:hAnsi="Times New Roman"/>
      <w:sz w:val="30"/>
      <w:szCs w:val="20"/>
    </w:rPr>
  </w:style>
  <w:style w:type="paragraph" w:styleId="14">
    <w:name w:val="annotation text"/>
    <w:basedOn w:val="1"/>
    <w:link w:val="51"/>
    <w:qFormat/>
    <w:uiPriority w:val="0"/>
    <w:pPr>
      <w:jc w:val="left"/>
    </w:pPr>
    <w:rPr>
      <w:lang w:val="zh-CN"/>
    </w:rPr>
  </w:style>
  <w:style w:type="paragraph" w:styleId="15">
    <w:name w:val="Body Text"/>
    <w:basedOn w:val="1"/>
    <w:qFormat/>
    <w:uiPriority w:val="0"/>
    <w:pPr>
      <w:spacing w:after="120"/>
    </w:pPr>
  </w:style>
  <w:style w:type="paragraph" w:styleId="16">
    <w:name w:val="Body Text Indent"/>
    <w:basedOn w:val="1"/>
    <w:link w:val="41"/>
    <w:qFormat/>
    <w:uiPriority w:val="0"/>
    <w:pPr>
      <w:spacing w:line="480" w:lineRule="exact"/>
      <w:ind w:firstLine="549" w:firstLineChars="196"/>
    </w:pPr>
    <w:rPr>
      <w:rFonts w:ascii="仿宋_GB2312" w:hAnsi="Times New Roman" w:eastAsia="仿宋_GB2312" w:cs="Arial"/>
      <w:color w:val="000000"/>
      <w:sz w:val="28"/>
      <w:szCs w:val="24"/>
    </w:rPr>
  </w:style>
  <w:style w:type="paragraph" w:styleId="17">
    <w:name w:val="toc 5"/>
    <w:basedOn w:val="1"/>
    <w:next w:val="1"/>
    <w:qFormat/>
    <w:uiPriority w:val="0"/>
    <w:pPr>
      <w:ind w:left="840"/>
      <w:jc w:val="left"/>
    </w:pPr>
    <w:rPr>
      <w:rFonts w:asciiTheme="minorHAnsi" w:hAnsiTheme="minorHAnsi" w:cstheme="minorHAnsi"/>
      <w:sz w:val="18"/>
      <w:szCs w:val="18"/>
    </w:rPr>
  </w:style>
  <w:style w:type="paragraph" w:styleId="18">
    <w:name w:val="toc 3"/>
    <w:basedOn w:val="1"/>
    <w:next w:val="1"/>
    <w:qFormat/>
    <w:uiPriority w:val="39"/>
    <w:pPr>
      <w:ind w:left="420"/>
      <w:jc w:val="left"/>
    </w:pPr>
    <w:rPr>
      <w:rFonts w:asciiTheme="minorHAnsi" w:hAnsiTheme="minorHAnsi" w:cstheme="minorHAnsi"/>
      <w:i/>
      <w:iCs/>
      <w:sz w:val="20"/>
      <w:szCs w:val="20"/>
    </w:rPr>
  </w:style>
  <w:style w:type="paragraph" w:styleId="19">
    <w:name w:val="Plain Text"/>
    <w:basedOn w:val="1"/>
    <w:link w:val="43"/>
    <w:qFormat/>
    <w:uiPriority w:val="0"/>
    <w:pPr>
      <w:adjustRightInd w:val="0"/>
      <w:spacing w:line="312" w:lineRule="atLeast"/>
      <w:textAlignment w:val="baseline"/>
    </w:pPr>
    <w:rPr>
      <w:rFonts w:ascii="宋体" w:hAnsi="Courier New"/>
      <w:kern w:val="0"/>
      <w:szCs w:val="20"/>
    </w:rPr>
  </w:style>
  <w:style w:type="paragraph" w:styleId="20">
    <w:name w:val="toc 8"/>
    <w:basedOn w:val="1"/>
    <w:next w:val="1"/>
    <w:qFormat/>
    <w:uiPriority w:val="0"/>
    <w:pPr>
      <w:ind w:left="1470"/>
      <w:jc w:val="left"/>
    </w:pPr>
    <w:rPr>
      <w:rFonts w:asciiTheme="minorHAnsi" w:hAnsiTheme="minorHAnsi" w:cstheme="minorHAnsi"/>
      <w:sz w:val="18"/>
      <w:szCs w:val="18"/>
    </w:rPr>
  </w:style>
  <w:style w:type="paragraph" w:styleId="21">
    <w:name w:val="Date"/>
    <w:basedOn w:val="1"/>
    <w:next w:val="1"/>
    <w:qFormat/>
    <w:uiPriority w:val="0"/>
    <w:rPr>
      <w:rFonts w:ascii="宋体" w:hAnsi="Times New Roman"/>
      <w:color w:val="000000"/>
      <w:kern w:val="0"/>
      <w:sz w:val="30"/>
      <w:szCs w:val="20"/>
    </w:rPr>
  </w:style>
  <w:style w:type="paragraph" w:styleId="22">
    <w:name w:val="Body Text Indent 2"/>
    <w:basedOn w:val="1"/>
    <w:qFormat/>
    <w:uiPriority w:val="0"/>
    <w:pPr>
      <w:autoSpaceDE w:val="0"/>
      <w:autoSpaceDN w:val="0"/>
      <w:adjustRightInd w:val="0"/>
      <w:ind w:left="1260" w:hanging="660"/>
      <w:jc w:val="left"/>
    </w:pPr>
    <w:rPr>
      <w:rFonts w:ascii="方正仿宋简体" w:hAnsi="Times New Roman" w:eastAsia="方正仿宋简体"/>
      <w:color w:val="000000"/>
      <w:kern w:val="0"/>
      <w:sz w:val="30"/>
      <w:szCs w:val="20"/>
    </w:rPr>
  </w:style>
  <w:style w:type="paragraph" w:styleId="23">
    <w:name w:val="Balloon Text"/>
    <w:basedOn w:val="1"/>
    <w:qFormat/>
    <w:uiPriority w:val="0"/>
    <w:rPr>
      <w:rFonts w:ascii="Times New Roman" w:hAnsi="Times New Roman"/>
      <w:sz w:val="18"/>
      <w:szCs w:val="20"/>
    </w:rPr>
  </w:style>
  <w:style w:type="paragraph" w:styleId="24">
    <w:name w:val="footer"/>
    <w:basedOn w:val="1"/>
    <w:link w:val="53"/>
    <w:qFormat/>
    <w:uiPriority w:val="99"/>
    <w:pPr>
      <w:tabs>
        <w:tab w:val="center" w:pos="4153"/>
        <w:tab w:val="right" w:pos="8306"/>
      </w:tabs>
      <w:snapToGrid w:val="0"/>
      <w:jc w:val="left"/>
    </w:pPr>
    <w:rPr>
      <w:rFonts w:ascii="Times New Roman" w:hAnsi="Times New Roman"/>
      <w:sz w:val="18"/>
      <w:szCs w:val="20"/>
      <w:lang w:val="zh-CN"/>
    </w:rPr>
  </w:style>
  <w:style w:type="paragraph" w:styleId="25">
    <w:name w:val="header"/>
    <w:basedOn w:val="1"/>
    <w:link w:val="58"/>
    <w:qFormat/>
    <w:uiPriority w:val="99"/>
    <w:pPr>
      <w:pBdr>
        <w:bottom w:val="single" w:color="auto" w:sz="6" w:space="1"/>
      </w:pBdr>
      <w:tabs>
        <w:tab w:val="center" w:pos="4153"/>
        <w:tab w:val="right" w:pos="8306"/>
      </w:tabs>
      <w:snapToGrid w:val="0"/>
      <w:jc w:val="center"/>
    </w:pPr>
    <w:rPr>
      <w:rFonts w:ascii="Times New Roman" w:hAnsi="Times New Roman"/>
      <w:sz w:val="18"/>
      <w:szCs w:val="20"/>
      <w:lang w:val="zh-CN"/>
    </w:rPr>
  </w:style>
  <w:style w:type="paragraph" w:styleId="26">
    <w:name w:val="toc 1"/>
    <w:basedOn w:val="1"/>
    <w:next w:val="1"/>
    <w:qFormat/>
    <w:uiPriority w:val="39"/>
    <w:pPr>
      <w:spacing w:before="120" w:after="120"/>
      <w:jc w:val="left"/>
    </w:pPr>
    <w:rPr>
      <w:rFonts w:asciiTheme="minorHAnsi" w:hAnsiTheme="minorHAnsi" w:cstheme="minorHAnsi"/>
      <w:b/>
      <w:bCs/>
      <w:caps/>
      <w:sz w:val="20"/>
      <w:szCs w:val="20"/>
    </w:rPr>
  </w:style>
  <w:style w:type="paragraph" w:styleId="27">
    <w:name w:val="toc 4"/>
    <w:basedOn w:val="1"/>
    <w:next w:val="1"/>
    <w:qFormat/>
    <w:uiPriority w:val="0"/>
    <w:pPr>
      <w:ind w:left="630"/>
      <w:jc w:val="left"/>
    </w:pPr>
    <w:rPr>
      <w:rFonts w:asciiTheme="minorHAnsi" w:hAnsiTheme="minorHAnsi" w:cstheme="minorHAnsi"/>
      <w:sz w:val="18"/>
      <w:szCs w:val="18"/>
    </w:rPr>
  </w:style>
  <w:style w:type="paragraph" w:styleId="28">
    <w:name w:val="toc 6"/>
    <w:basedOn w:val="1"/>
    <w:next w:val="1"/>
    <w:qFormat/>
    <w:uiPriority w:val="0"/>
    <w:pPr>
      <w:ind w:left="1050"/>
      <w:jc w:val="left"/>
    </w:pPr>
    <w:rPr>
      <w:rFonts w:asciiTheme="minorHAnsi" w:hAnsiTheme="minorHAnsi" w:cstheme="minorHAnsi"/>
      <w:sz w:val="18"/>
      <w:szCs w:val="18"/>
    </w:rPr>
  </w:style>
  <w:style w:type="paragraph" w:styleId="29">
    <w:name w:val="Body Text Indent 3"/>
    <w:basedOn w:val="1"/>
    <w:qFormat/>
    <w:uiPriority w:val="0"/>
    <w:pPr>
      <w:autoSpaceDE w:val="0"/>
      <w:autoSpaceDN w:val="0"/>
      <w:adjustRightInd w:val="0"/>
      <w:spacing w:line="360" w:lineRule="exact"/>
      <w:ind w:firstLine="600"/>
    </w:pPr>
    <w:rPr>
      <w:rFonts w:ascii="方正仿宋简体" w:hAnsi="Times New Roman" w:eastAsia="方正仿宋简体"/>
      <w:color w:val="000000"/>
      <w:kern w:val="0"/>
      <w:sz w:val="28"/>
      <w:szCs w:val="20"/>
    </w:rPr>
  </w:style>
  <w:style w:type="paragraph" w:styleId="30">
    <w:name w:val="toc 2"/>
    <w:basedOn w:val="1"/>
    <w:next w:val="1"/>
    <w:qFormat/>
    <w:uiPriority w:val="39"/>
    <w:pPr>
      <w:ind w:left="210"/>
      <w:jc w:val="left"/>
    </w:pPr>
    <w:rPr>
      <w:rFonts w:asciiTheme="minorHAnsi" w:hAnsiTheme="minorHAnsi" w:cstheme="minorHAnsi"/>
      <w:smallCaps/>
      <w:sz w:val="20"/>
      <w:szCs w:val="20"/>
    </w:rPr>
  </w:style>
  <w:style w:type="paragraph" w:styleId="31">
    <w:name w:val="toc 9"/>
    <w:basedOn w:val="1"/>
    <w:next w:val="1"/>
    <w:qFormat/>
    <w:uiPriority w:val="0"/>
    <w:pPr>
      <w:ind w:left="1680"/>
      <w:jc w:val="left"/>
    </w:pPr>
    <w:rPr>
      <w:rFonts w:asciiTheme="minorHAnsi" w:hAnsiTheme="minorHAnsi" w:cstheme="minorHAnsi"/>
      <w:sz w:val="18"/>
      <w:szCs w:val="18"/>
    </w:rPr>
  </w:style>
  <w:style w:type="paragraph" w:styleId="32">
    <w:name w:val="Title"/>
    <w:basedOn w:val="1"/>
    <w:next w:val="1"/>
    <w:link w:val="54"/>
    <w:qFormat/>
    <w:uiPriority w:val="0"/>
    <w:pPr>
      <w:spacing w:before="240" w:after="60"/>
      <w:jc w:val="center"/>
      <w:outlineLvl w:val="0"/>
    </w:pPr>
    <w:rPr>
      <w:rFonts w:ascii="Cambria" w:hAnsi="Cambria"/>
      <w:b/>
      <w:bCs/>
      <w:sz w:val="32"/>
      <w:szCs w:val="32"/>
      <w:lang w:val="zh-CN"/>
    </w:rPr>
  </w:style>
  <w:style w:type="paragraph" w:styleId="33">
    <w:name w:val="annotation subject"/>
    <w:basedOn w:val="14"/>
    <w:next w:val="14"/>
    <w:link w:val="52"/>
    <w:qFormat/>
    <w:uiPriority w:val="0"/>
    <w:rPr>
      <w:b/>
      <w:bCs/>
    </w:rPr>
  </w:style>
  <w:style w:type="table" w:styleId="35">
    <w:name w:val="Table Grid"/>
    <w:basedOn w:val="34"/>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37">
    <w:name w:val="Strong"/>
    <w:qFormat/>
    <w:uiPriority w:val="22"/>
    <w:rPr>
      <w:b/>
      <w:bCs/>
    </w:rPr>
  </w:style>
  <w:style w:type="character" w:styleId="38">
    <w:name w:val="page number"/>
    <w:basedOn w:val="36"/>
    <w:qFormat/>
    <w:uiPriority w:val="0"/>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正文文本缩进 Char"/>
    <w:link w:val="16"/>
    <w:qFormat/>
    <w:locked/>
    <w:uiPriority w:val="0"/>
    <w:rPr>
      <w:rFonts w:ascii="仿宋_GB2312" w:eastAsia="仿宋_GB2312" w:cs="Arial"/>
      <w:color w:val="000000"/>
      <w:kern w:val="2"/>
      <w:sz w:val="28"/>
      <w:szCs w:val="24"/>
      <w:lang w:val="en-US" w:eastAsia="zh-CN" w:bidi="ar-SA"/>
    </w:rPr>
  </w:style>
  <w:style w:type="paragraph" w:customStyle="1" w:styleId="42">
    <w:name w:val="Char Char Char Char Char Char Char Char Char Char Char Char"/>
    <w:basedOn w:val="1"/>
    <w:qFormat/>
    <w:uiPriority w:val="0"/>
    <w:rPr>
      <w:rFonts w:ascii="宋体" w:hAnsi="宋体" w:cs="Courier New"/>
      <w:sz w:val="32"/>
      <w:szCs w:val="32"/>
    </w:rPr>
  </w:style>
  <w:style w:type="character" w:customStyle="1" w:styleId="43">
    <w:name w:val="纯文本 Char"/>
    <w:link w:val="19"/>
    <w:qFormat/>
    <w:uiPriority w:val="0"/>
    <w:rPr>
      <w:rFonts w:ascii="宋体" w:hAnsi="Courier New" w:eastAsia="宋体"/>
      <w:sz w:val="21"/>
      <w:lang w:val="en-US" w:eastAsia="zh-CN" w:bidi="ar-SA"/>
    </w:rPr>
  </w:style>
  <w:style w:type="paragraph" w:customStyle="1" w:styleId="44">
    <w:name w:val="Char"/>
    <w:basedOn w:val="13"/>
    <w:qFormat/>
    <w:uiPriority w:val="0"/>
    <w:pPr>
      <w:widowControl/>
      <w:ind w:firstLine="454"/>
      <w:jc w:val="left"/>
    </w:pPr>
    <w:rPr>
      <w:rFonts w:ascii="Tahoma" w:hAnsi="Tahoma"/>
      <w:kern w:val="0"/>
      <w:sz w:val="24"/>
    </w:rPr>
  </w:style>
  <w:style w:type="paragraph" w:customStyle="1" w:styleId="45">
    <w:name w:val="样式1"/>
    <w:basedOn w:val="1"/>
    <w:qFormat/>
    <w:uiPriority w:val="0"/>
    <w:pPr>
      <w:spacing w:before="120" w:after="120" w:line="300" w:lineRule="auto"/>
    </w:pPr>
    <w:rPr>
      <w:rFonts w:ascii="宋体" w:hAnsi="宋体"/>
      <w:b/>
      <w:sz w:val="24"/>
      <w:szCs w:val="20"/>
    </w:rPr>
  </w:style>
  <w:style w:type="paragraph" w:customStyle="1" w:styleId="46">
    <w:name w:val="Char1"/>
    <w:basedOn w:val="1"/>
    <w:qFormat/>
    <w:uiPriority w:val="0"/>
    <w:pPr>
      <w:widowControl/>
      <w:tabs>
        <w:tab w:val="left" w:pos="509"/>
      </w:tabs>
      <w:spacing w:after="160" w:line="240" w:lineRule="exact"/>
      <w:ind w:left="252"/>
      <w:jc w:val="left"/>
    </w:pPr>
    <w:rPr>
      <w:rFonts w:ascii="Verdana" w:hAnsi="Verdana" w:eastAsia="仿宋_GB2312"/>
      <w:kern w:val="0"/>
      <w:sz w:val="24"/>
      <w:szCs w:val="20"/>
      <w:lang w:eastAsia="en-US"/>
    </w:rPr>
  </w:style>
  <w:style w:type="paragraph" w:styleId="47">
    <w:name w:val="List Paragraph"/>
    <w:basedOn w:val="1"/>
    <w:qFormat/>
    <w:uiPriority w:val="34"/>
    <w:pPr>
      <w:ind w:firstLine="420" w:firstLineChars="200"/>
    </w:pPr>
  </w:style>
  <w:style w:type="paragraph" w:customStyle="1" w:styleId="48">
    <w:name w:val="Char Char Char Char Char Char Char Char Char Char"/>
    <w:basedOn w:val="1"/>
    <w:qFormat/>
    <w:uiPriority w:val="0"/>
    <w:pPr>
      <w:widowControl/>
      <w:spacing w:after="160" w:line="240" w:lineRule="exact"/>
      <w:jc w:val="left"/>
    </w:pPr>
    <w:rPr>
      <w:rFonts w:ascii="Times New Roman" w:hAnsi="Times New Roman"/>
      <w:szCs w:val="20"/>
    </w:rPr>
  </w:style>
  <w:style w:type="paragraph" w:customStyle="1" w:styleId="49">
    <w:name w:val="Char2"/>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50">
    <w:name w:val="2ji"/>
    <w:basedOn w:val="3"/>
    <w:qFormat/>
    <w:uiPriority w:val="0"/>
    <w:pPr>
      <w:adjustRightInd w:val="0"/>
      <w:spacing w:before="0" w:after="0" w:line="360" w:lineRule="auto"/>
      <w:textAlignment w:val="baseline"/>
    </w:pPr>
    <w:rPr>
      <w:rFonts w:ascii="宋体" w:hAnsi="宋体" w:eastAsia="宋体"/>
      <w:bCs/>
      <w:kern w:val="0"/>
      <w:sz w:val="21"/>
      <w:szCs w:val="21"/>
    </w:rPr>
  </w:style>
  <w:style w:type="character" w:customStyle="1" w:styleId="51">
    <w:name w:val="批注文字 Char"/>
    <w:link w:val="14"/>
    <w:qFormat/>
    <w:uiPriority w:val="0"/>
    <w:rPr>
      <w:rFonts w:ascii="Calibri" w:hAnsi="Calibri"/>
      <w:kern w:val="2"/>
      <w:sz w:val="21"/>
      <w:szCs w:val="22"/>
    </w:rPr>
  </w:style>
  <w:style w:type="character" w:customStyle="1" w:styleId="52">
    <w:name w:val="批注主题 Char"/>
    <w:link w:val="33"/>
    <w:qFormat/>
    <w:uiPriority w:val="0"/>
    <w:rPr>
      <w:rFonts w:ascii="Calibri" w:hAnsi="Calibri"/>
      <w:b/>
      <w:bCs/>
      <w:kern w:val="2"/>
      <w:sz w:val="21"/>
      <w:szCs w:val="22"/>
    </w:rPr>
  </w:style>
  <w:style w:type="character" w:customStyle="1" w:styleId="53">
    <w:name w:val="页脚 Char"/>
    <w:link w:val="24"/>
    <w:qFormat/>
    <w:uiPriority w:val="99"/>
    <w:rPr>
      <w:kern w:val="2"/>
      <w:sz w:val="18"/>
    </w:rPr>
  </w:style>
  <w:style w:type="character" w:customStyle="1" w:styleId="54">
    <w:name w:val="标题 Char"/>
    <w:link w:val="32"/>
    <w:qFormat/>
    <w:uiPriority w:val="0"/>
    <w:rPr>
      <w:rFonts w:ascii="Cambria" w:hAnsi="Cambria" w:cs="Times New Roman"/>
      <w:b/>
      <w:bCs/>
      <w:kern w:val="2"/>
      <w:sz w:val="32"/>
      <w:szCs w:val="32"/>
    </w:rPr>
  </w:style>
  <w:style w:type="paragraph" w:customStyle="1" w:styleId="55">
    <w:name w:val="缺省文本"/>
    <w:basedOn w:val="1"/>
    <w:qFormat/>
    <w:uiPriority w:val="0"/>
    <w:pPr>
      <w:autoSpaceDE w:val="0"/>
      <w:autoSpaceDN w:val="0"/>
      <w:adjustRightInd w:val="0"/>
      <w:spacing w:before="20" w:after="20" w:line="400" w:lineRule="atLeast"/>
      <w:ind w:firstLine="504"/>
      <w:jc w:val="left"/>
    </w:pPr>
    <w:rPr>
      <w:rFonts w:ascii="Times New Roman" w:hAnsi="Times New Roman"/>
      <w:kern w:val="0"/>
      <w:sz w:val="24"/>
      <w:szCs w:val="20"/>
    </w:rPr>
  </w:style>
  <w:style w:type="paragraph" w:customStyle="1" w:styleId="56">
    <w:name w:val="Inside Address"/>
    <w:basedOn w:val="15"/>
    <w:qFormat/>
    <w:uiPriority w:val="0"/>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character" w:customStyle="1" w:styleId="57">
    <w:name w:val="普通文字1 Char1"/>
    <w:qFormat/>
    <w:uiPriority w:val="0"/>
    <w:rPr>
      <w:rFonts w:ascii="宋体" w:hAnsi="Courier New" w:eastAsia="宋体"/>
      <w:kern w:val="2"/>
      <w:sz w:val="21"/>
      <w:lang w:val="en-US" w:eastAsia="zh-CN" w:bidi="ar-SA"/>
    </w:rPr>
  </w:style>
  <w:style w:type="character" w:customStyle="1" w:styleId="58">
    <w:name w:val="页眉 Char"/>
    <w:link w:val="25"/>
    <w:qFormat/>
    <w:uiPriority w:val="99"/>
    <w:rPr>
      <w:kern w:val="2"/>
      <w:sz w:val="18"/>
    </w:rPr>
  </w:style>
  <w:style w:type="paragraph" w:customStyle="1" w:styleId="5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sz w:val="28"/>
      <w:szCs w:val="28"/>
    </w:rPr>
  </w:style>
  <w:style w:type="paragraph" w:customStyle="1" w:styleId="60">
    <w:name w:val="N"/>
    <w:basedOn w:val="1"/>
    <w:qFormat/>
    <w:uiPriority w:val="0"/>
    <w:pPr>
      <w:widowControl/>
      <w:overflowPunct w:val="0"/>
      <w:autoSpaceDE w:val="0"/>
      <w:autoSpaceDN w:val="0"/>
      <w:adjustRightInd w:val="0"/>
      <w:spacing w:line="360" w:lineRule="auto"/>
      <w:jc w:val="left"/>
      <w:textAlignment w:val="baseline"/>
    </w:pPr>
    <w:rPr>
      <w:rFonts w:ascii="Times New Roman" w:hAnsi="Times New Roman"/>
      <w:kern w:val="0"/>
      <w:sz w:val="24"/>
      <w:szCs w:val="20"/>
    </w:rPr>
  </w:style>
  <w:style w:type="paragraph" w:customStyle="1" w:styleId="61">
    <w:name w:val="cST text"/>
    <w:basedOn w:val="1"/>
    <w:qFormat/>
    <w:uiPriority w:val="0"/>
    <w:pPr>
      <w:spacing w:beforeLines="50" w:line="360" w:lineRule="auto"/>
    </w:pPr>
    <w:rPr>
      <w:rFonts w:ascii="Times New Roman" w:hAnsi="Times New Roman"/>
      <w:sz w:val="24"/>
      <w:szCs w:val="20"/>
    </w:rPr>
  </w:style>
  <w:style w:type="character" w:customStyle="1" w:styleId="62">
    <w:name w:val="标题 4 Char"/>
    <w:basedOn w:val="36"/>
    <w:link w:val="5"/>
    <w:qFormat/>
    <w:uiPriority w:val="0"/>
    <w:rPr>
      <w:rFonts w:asciiTheme="majorHAnsi" w:hAnsiTheme="majorHAnsi" w:eastAsiaTheme="majorEastAsia" w:cstheme="majorBidi"/>
      <w:b/>
      <w:bCs/>
      <w:kern w:val="2"/>
      <w:sz w:val="28"/>
      <w:szCs w:val="28"/>
    </w:rPr>
  </w:style>
  <w:style w:type="character" w:customStyle="1" w:styleId="63">
    <w:name w:val="标题 5 Char"/>
    <w:basedOn w:val="36"/>
    <w:link w:val="6"/>
    <w:semiHidden/>
    <w:qFormat/>
    <w:uiPriority w:val="0"/>
    <w:rPr>
      <w:rFonts w:ascii="Calibri" w:hAnsi="Calibri"/>
      <w:b/>
      <w:bCs/>
      <w:kern w:val="2"/>
      <w:sz w:val="28"/>
      <w:szCs w:val="28"/>
    </w:rPr>
  </w:style>
  <w:style w:type="character" w:customStyle="1" w:styleId="64">
    <w:name w:val="标题 6 Char"/>
    <w:basedOn w:val="36"/>
    <w:link w:val="7"/>
    <w:semiHidden/>
    <w:qFormat/>
    <w:uiPriority w:val="0"/>
    <w:rPr>
      <w:rFonts w:asciiTheme="majorHAnsi" w:hAnsiTheme="majorHAnsi" w:eastAsiaTheme="majorEastAsia" w:cstheme="majorBidi"/>
      <w:b/>
      <w:bCs/>
      <w:kern w:val="2"/>
      <w:sz w:val="24"/>
      <w:szCs w:val="24"/>
    </w:rPr>
  </w:style>
  <w:style w:type="character" w:customStyle="1" w:styleId="65">
    <w:name w:val="标题 7 Char"/>
    <w:basedOn w:val="36"/>
    <w:link w:val="8"/>
    <w:semiHidden/>
    <w:qFormat/>
    <w:uiPriority w:val="0"/>
    <w:rPr>
      <w:rFonts w:ascii="Calibri" w:hAnsi="Calibri"/>
      <w:b/>
      <w:bCs/>
      <w:kern w:val="2"/>
      <w:sz w:val="24"/>
      <w:szCs w:val="24"/>
    </w:rPr>
  </w:style>
  <w:style w:type="character" w:customStyle="1" w:styleId="66">
    <w:name w:val="标题 8 Char"/>
    <w:basedOn w:val="36"/>
    <w:link w:val="9"/>
    <w:semiHidden/>
    <w:qFormat/>
    <w:uiPriority w:val="0"/>
    <w:rPr>
      <w:rFonts w:asciiTheme="majorHAnsi" w:hAnsiTheme="majorHAnsi" w:eastAsiaTheme="majorEastAsia" w:cstheme="majorBidi"/>
      <w:kern w:val="2"/>
      <w:sz w:val="24"/>
      <w:szCs w:val="24"/>
    </w:rPr>
  </w:style>
  <w:style w:type="character" w:customStyle="1" w:styleId="67">
    <w:name w:val="标题 9 Char"/>
    <w:basedOn w:val="36"/>
    <w:link w:val="10"/>
    <w:semiHidden/>
    <w:qFormat/>
    <w:uiPriority w:val="0"/>
    <w:rPr>
      <w:rFonts w:asciiTheme="majorHAnsi" w:hAnsiTheme="majorHAnsi" w:eastAsiaTheme="majorEastAsia" w:cstheme="maj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001286-9473-4181-BA07-B23C6EF793E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3451</Words>
  <Characters>19673</Characters>
  <Lines>163</Lines>
  <Paragraphs>46</Paragraphs>
  <TotalTime>1255</TotalTime>
  <ScaleCrop>false</ScaleCrop>
  <LinksUpToDate>false</LinksUpToDate>
  <CharactersWithSpaces>23078</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2015-12-05T03:21:00Z</dcterms:created>
  <dc:creator>MC SYSTEM</dc:creator>
  <cp:lastModifiedBy>无悔</cp:lastModifiedBy>
  <cp:lastPrinted>2019-05-05T08:30:00Z</cp:lastPrinted>
  <dcterms:modified xsi:type="dcterms:W3CDTF">2019-05-06T01:04:20Z</dcterms:modified>
  <dc:title>附件3</dc:title>
  <cp:revision>1299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