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color w:val="000000" w:themeColor="text1"/>
          <w:sz w:val="44"/>
          <w:szCs w:val="48"/>
        </w:rPr>
      </w:pPr>
      <w:r>
        <w:rPr>
          <w:rFonts w:hint="eastAsia" w:ascii="黑体" w:eastAsia="黑体"/>
          <w:color w:val="000000" w:themeColor="text1"/>
          <w:sz w:val="44"/>
          <w:szCs w:val="48"/>
        </w:rPr>
        <w:t xml:space="preserve">南宁轨道交通集团有限责任公司 </w:t>
      </w:r>
    </w:p>
    <w:p>
      <w:pPr>
        <w:spacing w:line="480" w:lineRule="auto"/>
        <w:jc w:val="center"/>
        <w:rPr>
          <w:rFonts w:eastAsia="黑体"/>
          <w:bCs/>
          <w:color w:val="000000" w:themeColor="text1"/>
          <w:sz w:val="44"/>
          <w:szCs w:val="44"/>
        </w:rPr>
      </w:pPr>
      <w:r>
        <w:rPr>
          <w:rFonts w:hint="eastAsia" w:eastAsia="黑体"/>
          <w:bCs/>
          <w:color w:val="000000" w:themeColor="text1"/>
          <w:sz w:val="44"/>
          <w:szCs w:val="44"/>
        </w:rPr>
        <w:t>南宁东站周边一体化综合开发项目采用合作模式进行开发全套征集文件编制服务项目项目</w:t>
      </w:r>
    </w:p>
    <w:p>
      <w:pPr>
        <w:spacing w:line="480" w:lineRule="auto"/>
        <w:rPr>
          <w:rFonts w:eastAsia="黑体"/>
          <w:b/>
          <w:bCs/>
          <w:color w:val="000000" w:themeColor="text1"/>
          <w:sz w:val="28"/>
          <w:szCs w:val="28"/>
        </w:rPr>
      </w:pPr>
    </w:p>
    <w:p>
      <w:pPr>
        <w:spacing w:line="480" w:lineRule="auto"/>
        <w:jc w:val="center"/>
        <w:rPr>
          <w:rFonts w:eastAsia="黑体"/>
          <w:b/>
          <w:bCs/>
          <w:color w:val="000000" w:themeColor="text1"/>
          <w:sz w:val="44"/>
          <w:szCs w:val="44"/>
        </w:rPr>
      </w:pPr>
    </w:p>
    <w:p>
      <w:pPr>
        <w:spacing w:line="480" w:lineRule="auto"/>
        <w:jc w:val="center"/>
        <w:rPr>
          <w:rFonts w:eastAsia="黑体"/>
          <w:b/>
          <w:bCs/>
          <w:color w:val="000000" w:themeColor="text1"/>
          <w:sz w:val="44"/>
          <w:szCs w:val="44"/>
        </w:rPr>
      </w:pPr>
      <w:r>
        <w:rPr>
          <w:rFonts w:hint="eastAsia" w:eastAsia="黑体"/>
          <w:b/>
          <w:bCs/>
          <w:color w:val="000000" w:themeColor="text1"/>
          <w:sz w:val="44"/>
          <w:szCs w:val="44"/>
        </w:rPr>
        <w:t>比</w:t>
      </w:r>
    </w:p>
    <w:p>
      <w:pPr>
        <w:spacing w:line="480" w:lineRule="auto"/>
        <w:rPr>
          <w:rFonts w:eastAsia="黑体"/>
          <w:b/>
          <w:bCs/>
          <w:color w:val="000000" w:themeColor="text1"/>
          <w:sz w:val="44"/>
          <w:szCs w:val="44"/>
        </w:rPr>
      </w:pPr>
    </w:p>
    <w:p>
      <w:pPr>
        <w:spacing w:line="480" w:lineRule="auto"/>
        <w:jc w:val="center"/>
        <w:rPr>
          <w:rFonts w:eastAsia="黑体"/>
          <w:b/>
          <w:bCs/>
          <w:color w:val="000000" w:themeColor="text1"/>
          <w:sz w:val="44"/>
          <w:szCs w:val="44"/>
        </w:rPr>
      </w:pPr>
    </w:p>
    <w:p>
      <w:pPr>
        <w:spacing w:line="480" w:lineRule="auto"/>
        <w:jc w:val="center"/>
        <w:rPr>
          <w:rFonts w:eastAsia="黑体"/>
          <w:b/>
          <w:bCs/>
          <w:color w:val="000000" w:themeColor="text1"/>
          <w:sz w:val="44"/>
          <w:szCs w:val="44"/>
        </w:rPr>
      </w:pPr>
      <w:r>
        <w:rPr>
          <w:rFonts w:hint="eastAsia" w:eastAsia="黑体"/>
          <w:b/>
          <w:bCs/>
          <w:color w:val="000000" w:themeColor="text1"/>
          <w:sz w:val="44"/>
          <w:szCs w:val="44"/>
        </w:rPr>
        <w:t>选</w:t>
      </w:r>
    </w:p>
    <w:p>
      <w:pPr>
        <w:spacing w:line="480" w:lineRule="auto"/>
        <w:jc w:val="center"/>
        <w:rPr>
          <w:rFonts w:eastAsia="黑体"/>
          <w:b/>
          <w:bCs/>
          <w:color w:val="000000" w:themeColor="text1"/>
          <w:sz w:val="44"/>
          <w:szCs w:val="44"/>
        </w:rPr>
      </w:pPr>
    </w:p>
    <w:p>
      <w:pPr>
        <w:spacing w:line="480" w:lineRule="auto"/>
        <w:jc w:val="center"/>
        <w:rPr>
          <w:rFonts w:eastAsia="黑体"/>
          <w:b/>
          <w:bCs/>
          <w:color w:val="000000" w:themeColor="text1"/>
          <w:sz w:val="44"/>
          <w:szCs w:val="44"/>
        </w:rPr>
      </w:pPr>
    </w:p>
    <w:p>
      <w:pPr>
        <w:spacing w:line="480" w:lineRule="auto"/>
        <w:jc w:val="center"/>
        <w:rPr>
          <w:rFonts w:eastAsia="黑体"/>
          <w:b/>
          <w:bCs/>
          <w:color w:val="000000" w:themeColor="text1"/>
          <w:sz w:val="44"/>
          <w:szCs w:val="44"/>
        </w:rPr>
      </w:pPr>
      <w:r>
        <w:rPr>
          <w:rFonts w:hint="eastAsia" w:eastAsia="黑体"/>
          <w:b/>
          <w:bCs/>
          <w:color w:val="000000" w:themeColor="text1"/>
          <w:sz w:val="44"/>
          <w:szCs w:val="44"/>
        </w:rPr>
        <w:t>文</w:t>
      </w:r>
    </w:p>
    <w:p>
      <w:pPr>
        <w:jc w:val="center"/>
        <w:rPr>
          <w:rFonts w:eastAsia="黑体"/>
          <w:b/>
          <w:bCs/>
          <w:color w:val="000000" w:themeColor="text1"/>
          <w:sz w:val="44"/>
          <w:szCs w:val="44"/>
        </w:rPr>
      </w:pPr>
    </w:p>
    <w:p>
      <w:pPr>
        <w:jc w:val="center"/>
        <w:rPr>
          <w:rFonts w:eastAsia="黑体"/>
          <w:b/>
          <w:bCs/>
          <w:color w:val="000000" w:themeColor="text1"/>
          <w:sz w:val="44"/>
          <w:szCs w:val="44"/>
        </w:rPr>
      </w:pPr>
    </w:p>
    <w:p>
      <w:pPr>
        <w:jc w:val="center"/>
        <w:rPr>
          <w:rFonts w:eastAsia="黑体"/>
          <w:b/>
          <w:bCs/>
          <w:color w:val="000000" w:themeColor="text1"/>
          <w:sz w:val="44"/>
          <w:szCs w:val="44"/>
        </w:rPr>
      </w:pPr>
      <w:r>
        <w:rPr>
          <w:rFonts w:hint="eastAsia" w:eastAsia="黑体"/>
          <w:b/>
          <w:bCs/>
          <w:color w:val="000000" w:themeColor="text1"/>
          <w:sz w:val="44"/>
          <w:szCs w:val="44"/>
        </w:rPr>
        <w:t>件</w:t>
      </w:r>
    </w:p>
    <w:p>
      <w:pPr>
        <w:spacing w:line="360" w:lineRule="auto"/>
        <w:rPr>
          <w:b/>
          <w:bCs/>
          <w:color w:val="000000" w:themeColor="text1"/>
          <w:sz w:val="36"/>
          <w:szCs w:val="36"/>
        </w:rPr>
      </w:pPr>
    </w:p>
    <w:p>
      <w:pPr>
        <w:spacing w:line="360" w:lineRule="auto"/>
        <w:rPr>
          <w:b/>
          <w:bCs/>
          <w:color w:val="000000" w:themeColor="text1"/>
          <w:sz w:val="36"/>
          <w:szCs w:val="36"/>
        </w:rPr>
      </w:pPr>
    </w:p>
    <w:p>
      <w:pPr>
        <w:spacing w:line="360" w:lineRule="auto"/>
        <w:ind w:firstLine="1800" w:firstLineChars="498"/>
        <w:rPr>
          <w:b/>
          <w:bCs/>
          <w:color w:val="000000" w:themeColor="text1"/>
          <w:sz w:val="36"/>
          <w:szCs w:val="36"/>
        </w:rPr>
      </w:pPr>
    </w:p>
    <w:p>
      <w:pPr>
        <w:spacing w:line="360" w:lineRule="auto"/>
        <w:ind w:left="0" w:leftChars="0" w:firstLine="0" w:firstLineChars="0"/>
        <w:jc w:val="center"/>
        <w:rPr>
          <w:b/>
          <w:bCs/>
          <w:color w:val="000000" w:themeColor="text1"/>
          <w:sz w:val="32"/>
          <w:szCs w:val="32"/>
        </w:rPr>
      </w:pPr>
      <w:r>
        <w:rPr>
          <w:rFonts w:hint="eastAsia"/>
          <w:b/>
          <w:bCs/>
          <w:color w:val="000000" w:themeColor="text1"/>
          <w:sz w:val="32"/>
          <w:szCs w:val="32"/>
        </w:rPr>
        <w:t>比选人：南宁轨道交通集团有限责任公司</w:t>
      </w:r>
    </w:p>
    <w:p>
      <w:pPr>
        <w:ind w:left="0" w:leftChars="0" w:firstLine="0" w:firstLineChars="0"/>
        <w:jc w:val="center"/>
        <w:rPr>
          <w:rFonts w:ascii="宋体" w:hAnsi="宋体" w:cs="宋体"/>
          <w:b/>
          <w:color w:val="000000" w:themeColor="text1"/>
          <w:sz w:val="32"/>
          <w:szCs w:val="32"/>
        </w:rPr>
        <w:sectPr>
          <w:headerReference r:id="rId3" w:type="default"/>
          <w:footerReference r:id="rId4" w:type="default"/>
          <w:pgSz w:w="11906" w:h="16838"/>
          <w:pgMar w:top="1440" w:right="1247" w:bottom="1440" w:left="1440" w:header="851" w:footer="992" w:gutter="0"/>
          <w:pgNumType w:start="1"/>
          <w:cols w:space="720" w:num="1"/>
          <w:docGrid w:type="lines" w:linePitch="312" w:charSpace="0"/>
        </w:sectPr>
      </w:pPr>
      <w:r>
        <w:rPr>
          <w:rFonts w:hint="eastAsia"/>
          <w:b/>
          <w:bCs/>
          <w:color w:val="000000" w:themeColor="text1"/>
          <w:sz w:val="32"/>
          <w:szCs w:val="32"/>
        </w:rPr>
        <w:t>2019年</w:t>
      </w:r>
      <w:r>
        <w:rPr>
          <w:rFonts w:hint="eastAsia"/>
          <w:b/>
          <w:bCs/>
          <w:color w:val="000000" w:themeColor="text1"/>
          <w:sz w:val="32"/>
          <w:szCs w:val="32"/>
          <w:lang w:val="en-US" w:eastAsia="zh-CN"/>
        </w:rPr>
        <w:t>7</w:t>
      </w:r>
      <w:r>
        <w:rPr>
          <w:rFonts w:hint="eastAsia"/>
          <w:b/>
          <w:bCs/>
          <w:color w:val="000000" w:themeColor="text1"/>
          <w:sz w:val="32"/>
          <w:szCs w:val="32"/>
        </w:rPr>
        <w:t>月</w:t>
      </w:r>
    </w:p>
    <w:p>
      <w:pPr>
        <w:pStyle w:val="2"/>
        <w:tabs>
          <w:tab w:val="right" w:leader="dot" w:pos="9219"/>
        </w:tabs>
        <w:rPr>
          <w:b w:val="0"/>
          <w:color w:val="000000" w:themeColor="text1"/>
        </w:rPr>
      </w:pPr>
      <w:bookmarkStart w:id="0" w:name="_Toc461525293"/>
      <w:bookmarkStart w:id="1" w:name="_Toc23188"/>
      <w:bookmarkStart w:id="2" w:name="_Toc14943"/>
      <w:bookmarkStart w:id="3" w:name="_Toc12363"/>
      <w:bookmarkStart w:id="4" w:name="_Toc21106"/>
      <w:bookmarkStart w:id="5" w:name="_Toc25905"/>
      <w:bookmarkStart w:id="6" w:name="_Toc4954"/>
      <w:bookmarkStart w:id="7" w:name="_Toc9980"/>
      <w:bookmarkStart w:id="8" w:name="_Toc27692"/>
      <w:bookmarkStart w:id="9" w:name="_Toc32122"/>
      <w:bookmarkStart w:id="10" w:name="_Toc471482358"/>
      <w:bookmarkStart w:id="11" w:name="_Toc18159"/>
      <w:r>
        <w:rPr>
          <w:rFonts w:hint="eastAsia"/>
          <w:b w:val="0"/>
          <w:color w:val="000000" w:themeColor="text1"/>
        </w:rPr>
        <w:t>目录</w:t>
      </w:r>
      <w:bookmarkEnd w:id="0"/>
      <w:bookmarkEnd w:id="1"/>
      <w:bookmarkEnd w:id="2"/>
      <w:bookmarkEnd w:id="3"/>
      <w:bookmarkEnd w:id="4"/>
      <w:bookmarkEnd w:id="5"/>
      <w:bookmarkEnd w:id="6"/>
      <w:bookmarkEnd w:id="7"/>
      <w:bookmarkEnd w:id="8"/>
      <w:bookmarkEnd w:id="9"/>
      <w:bookmarkEnd w:id="10"/>
      <w:bookmarkEnd w:id="11"/>
    </w:p>
    <w:p>
      <w:pPr>
        <w:pStyle w:val="18"/>
        <w:tabs>
          <w:tab w:val="right" w:leader="dot" w:pos="9209"/>
        </w:tabs>
        <w:rPr>
          <w:rFonts w:asciiTheme="minorHAnsi" w:hAnsiTheme="minorHAnsi" w:eastAsiaTheme="minorEastAsia" w:cstheme="minorBidi"/>
          <w:color w:val="000000" w:themeColor="text1"/>
          <w:szCs w:val="22"/>
        </w:rPr>
      </w:pPr>
      <w:r>
        <w:rPr>
          <w:rFonts w:ascii="宋体" w:hAnsi="宋体" w:cs="宋体"/>
          <w:color w:val="000000" w:themeColor="text1"/>
          <w:szCs w:val="28"/>
        </w:rPr>
        <w:fldChar w:fldCharType="begin"/>
      </w:r>
      <w:r>
        <w:rPr>
          <w:rFonts w:ascii="宋体" w:hAnsi="宋体" w:cs="宋体"/>
          <w:color w:val="000000" w:themeColor="text1"/>
          <w:szCs w:val="28"/>
        </w:rPr>
        <w:instrText xml:space="preserve"> TOC \o "1-2" \h \z \u </w:instrText>
      </w:r>
      <w:r>
        <w:rPr>
          <w:rFonts w:ascii="宋体" w:hAnsi="宋体" w:cs="宋体"/>
          <w:color w:val="000000" w:themeColor="text1"/>
          <w:szCs w:val="28"/>
        </w:rPr>
        <w:fldChar w:fldCharType="separate"/>
      </w:r>
      <w:r>
        <w:fldChar w:fldCharType="begin"/>
      </w:r>
      <w:r>
        <w:instrText xml:space="preserve"> HYPERLINK \l "_Toc471482358" </w:instrText>
      </w:r>
      <w:r>
        <w:fldChar w:fldCharType="separate"/>
      </w:r>
      <w:r>
        <w:rPr>
          <w:rStyle w:val="27"/>
          <w:rFonts w:hint="eastAsia"/>
          <w:color w:val="000000" w:themeColor="text1"/>
        </w:rPr>
        <w:t>目录</w:t>
      </w:r>
      <w:r>
        <w:rPr>
          <w:color w:val="000000" w:themeColor="text1"/>
        </w:rPr>
        <w:tab/>
      </w:r>
      <w:r>
        <w:rPr>
          <w:color w:val="000000" w:themeColor="text1"/>
        </w:rPr>
        <w:fldChar w:fldCharType="begin"/>
      </w:r>
      <w:r>
        <w:rPr>
          <w:color w:val="000000" w:themeColor="text1"/>
        </w:rPr>
        <w:instrText xml:space="preserve"> PAGEREF _Toc471482358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8"/>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"_Toc471482359" </w:instrText>
      </w:r>
      <w:r>
        <w:fldChar w:fldCharType="separate"/>
      </w:r>
      <w:r>
        <w:rPr>
          <w:rStyle w:val="27"/>
          <w:rFonts w:hint="eastAsia" w:ascii="宋体" w:hAnsi="宋体" w:cs="宋体"/>
          <w:color w:val="000000" w:themeColor="text1"/>
        </w:rPr>
        <w:t>第一章比选须知</w:t>
      </w:r>
      <w:r>
        <w:rPr>
          <w:color w:val="000000" w:themeColor="text1"/>
        </w:rPr>
        <w:tab/>
      </w:r>
      <w:r>
        <w:rPr>
          <w:color w:val="000000" w:themeColor="text1"/>
        </w:rPr>
        <w:fldChar w:fldCharType="begin"/>
      </w:r>
      <w:r>
        <w:rPr>
          <w:color w:val="000000" w:themeColor="text1"/>
        </w:rPr>
        <w:instrText xml:space="preserve"> PAGEREF _Toc471482359 \h </w:instrText>
      </w:r>
      <w:r>
        <w:rPr>
          <w:color w:val="000000" w:themeColor="text1"/>
        </w:rPr>
        <w:fldChar w:fldCharType="separate"/>
      </w:r>
      <w:r>
        <w:rPr>
          <w:color w:val="000000" w:themeColor="text1"/>
        </w:rPr>
        <w:t>2</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"_Toc471482360" </w:instrText>
      </w:r>
      <w:r>
        <w:fldChar w:fldCharType="separate"/>
      </w:r>
      <w:r>
        <w:rPr>
          <w:rStyle w:val="27"/>
          <w:rFonts w:hint="eastAsia"/>
          <w:color w:val="000000" w:themeColor="text1"/>
        </w:rPr>
        <w:t>前附表</w:t>
      </w:r>
      <w:r>
        <w:rPr>
          <w:color w:val="000000" w:themeColor="text1"/>
        </w:rPr>
        <w:tab/>
      </w:r>
      <w:r>
        <w:rPr>
          <w:color w:val="000000" w:themeColor="text1"/>
        </w:rPr>
        <w:fldChar w:fldCharType="begin"/>
      </w:r>
      <w:r>
        <w:rPr>
          <w:color w:val="000000" w:themeColor="text1"/>
        </w:rPr>
        <w:instrText xml:space="preserve"> PAGEREF _Toc471482360 \h </w:instrText>
      </w:r>
      <w:r>
        <w:rPr>
          <w:color w:val="000000" w:themeColor="text1"/>
        </w:rPr>
        <w:fldChar w:fldCharType="separate"/>
      </w:r>
      <w:r>
        <w:rPr>
          <w:color w:val="000000" w:themeColor="text1"/>
        </w:rPr>
        <w:t>2</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"_Toc471482361" </w:instrText>
      </w:r>
      <w:r>
        <w:fldChar w:fldCharType="separate"/>
      </w:r>
      <w:r>
        <w:rPr>
          <w:rStyle w:val="27"/>
          <w:rFonts w:hint="eastAsia"/>
          <w:color w:val="000000" w:themeColor="text1"/>
        </w:rPr>
        <w:t>一、总则</w:t>
      </w:r>
      <w:r>
        <w:rPr>
          <w:color w:val="000000" w:themeColor="text1"/>
        </w:rPr>
        <w:tab/>
      </w:r>
      <w:r>
        <w:rPr>
          <w:color w:val="000000" w:themeColor="text1"/>
        </w:rPr>
        <w:fldChar w:fldCharType="begin"/>
      </w:r>
      <w:r>
        <w:rPr>
          <w:color w:val="000000" w:themeColor="text1"/>
        </w:rPr>
        <w:instrText xml:space="preserve"> PAGEREF _Toc471482361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"_Toc471482362" </w:instrText>
      </w:r>
      <w:r>
        <w:fldChar w:fldCharType="separate"/>
      </w:r>
      <w:r>
        <w:rPr>
          <w:rStyle w:val="27"/>
          <w:rFonts w:hint="eastAsia"/>
          <w:color w:val="000000" w:themeColor="text1"/>
        </w:rPr>
        <w:t>二、比选文件</w:t>
      </w:r>
      <w:r>
        <w:rPr>
          <w:color w:val="000000" w:themeColor="text1"/>
        </w:rPr>
        <w:tab/>
      </w:r>
      <w:r>
        <w:rPr>
          <w:color w:val="000000" w:themeColor="text1"/>
        </w:rPr>
        <w:fldChar w:fldCharType="begin"/>
      </w:r>
      <w:r>
        <w:rPr>
          <w:color w:val="000000" w:themeColor="text1"/>
        </w:rPr>
        <w:instrText xml:space="preserve"> PAGEREF _Toc471482362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"_Toc471482363" </w:instrText>
      </w:r>
      <w:r>
        <w:fldChar w:fldCharType="separate"/>
      </w:r>
      <w:r>
        <w:rPr>
          <w:rStyle w:val="27"/>
          <w:rFonts w:hint="eastAsia"/>
          <w:color w:val="000000" w:themeColor="text1"/>
        </w:rPr>
        <w:t>三、申请比选报价说明</w:t>
      </w:r>
      <w:r>
        <w:rPr>
          <w:color w:val="000000" w:themeColor="text1"/>
        </w:rPr>
        <w:tab/>
      </w:r>
      <w:r>
        <w:rPr>
          <w:color w:val="000000" w:themeColor="text1"/>
        </w:rPr>
        <w:fldChar w:fldCharType="begin"/>
      </w:r>
      <w:r>
        <w:rPr>
          <w:color w:val="000000" w:themeColor="text1"/>
        </w:rPr>
        <w:instrText xml:space="preserve"> PAGEREF _Toc471482363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"_Toc471482364" </w:instrText>
      </w:r>
      <w:r>
        <w:fldChar w:fldCharType="separate"/>
      </w:r>
      <w:r>
        <w:rPr>
          <w:rStyle w:val="27"/>
          <w:rFonts w:hint="eastAsia"/>
          <w:color w:val="000000" w:themeColor="text1"/>
        </w:rPr>
        <w:t>四、比选申请文件的编制</w:t>
      </w:r>
      <w:r>
        <w:rPr>
          <w:color w:val="000000" w:themeColor="text1"/>
        </w:rPr>
        <w:tab/>
      </w:r>
      <w:r>
        <w:rPr>
          <w:color w:val="000000" w:themeColor="text1"/>
        </w:rPr>
        <w:fldChar w:fldCharType="begin"/>
      </w:r>
      <w:r>
        <w:rPr>
          <w:color w:val="000000" w:themeColor="text1"/>
        </w:rPr>
        <w:instrText xml:space="preserve"> PAGEREF _Toc471482364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"_Toc471482365" </w:instrText>
      </w:r>
      <w:r>
        <w:fldChar w:fldCharType="separate"/>
      </w:r>
      <w:r>
        <w:rPr>
          <w:rStyle w:val="27"/>
          <w:rFonts w:hint="eastAsia"/>
          <w:color w:val="000000" w:themeColor="text1"/>
        </w:rPr>
        <w:t>五、比选申请文件的递交</w:t>
      </w:r>
      <w:r>
        <w:rPr>
          <w:color w:val="000000" w:themeColor="text1"/>
        </w:rPr>
        <w:tab/>
      </w:r>
      <w:r>
        <w:rPr>
          <w:color w:val="000000" w:themeColor="text1"/>
        </w:rPr>
        <w:fldChar w:fldCharType="begin"/>
      </w:r>
      <w:r>
        <w:rPr>
          <w:color w:val="000000" w:themeColor="text1"/>
        </w:rPr>
        <w:instrText xml:space="preserve"> PAGEREF _Toc471482365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"_Toc471482366" </w:instrText>
      </w:r>
      <w:r>
        <w:fldChar w:fldCharType="separate"/>
      </w:r>
      <w:r>
        <w:rPr>
          <w:rStyle w:val="27"/>
          <w:rFonts w:hint="eastAsia"/>
          <w:color w:val="000000" w:themeColor="text1"/>
        </w:rPr>
        <w:t>六、评比</w:t>
      </w:r>
      <w:r>
        <w:rPr>
          <w:color w:val="000000" w:themeColor="text1"/>
        </w:rPr>
        <w:tab/>
      </w:r>
      <w:r>
        <w:rPr>
          <w:color w:val="000000" w:themeColor="text1"/>
        </w:rPr>
        <w:fldChar w:fldCharType="begin"/>
      </w:r>
      <w:r>
        <w:rPr>
          <w:color w:val="000000" w:themeColor="text1"/>
        </w:rPr>
        <w:instrText xml:space="preserve"> PAGEREF _Toc471482366 \h </w:instrText>
      </w:r>
      <w:r>
        <w:rPr>
          <w:color w:val="000000" w:themeColor="text1"/>
        </w:rPr>
        <w:fldChar w:fldCharType="separate"/>
      </w:r>
      <w:r>
        <w:rPr>
          <w:color w:val="000000" w:themeColor="text1"/>
        </w:rPr>
        <w:t>8</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"_Toc471482367" </w:instrText>
      </w:r>
      <w:r>
        <w:fldChar w:fldCharType="separate"/>
      </w:r>
      <w:r>
        <w:rPr>
          <w:rStyle w:val="27"/>
          <w:rFonts w:hint="eastAsia"/>
          <w:color w:val="000000" w:themeColor="text1"/>
        </w:rPr>
        <w:t>七、授予合同</w:t>
      </w:r>
      <w:r>
        <w:rPr>
          <w:color w:val="000000" w:themeColor="text1"/>
        </w:rPr>
        <w:tab/>
      </w:r>
      <w:r>
        <w:rPr>
          <w:color w:val="000000" w:themeColor="text1"/>
        </w:rPr>
        <w:fldChar w:fldCharType="begin"/>
      </w:r>
      <w:r>
        <w:rPr>
          <w:color w:val="000000" w:themeColor="text1"/>
        </w:rPr>
        <w:instrText xml:space="preserve"> PAGEREF _Toc471482367 \h </w:instrText>
      </w:r>
      <w:r>
        <w:rPr>
          <w:color w:val="000000" w:themeColor="text1"/>
        </w:rPr>
        <w:fldChar w:fldCharType="separate"/>
      </w:r>
      <w:r>
        <w:rPr>
          <w:color w:val="000000" w:themeColor="text1"/>
        </w:rPr>
        <w:t>10</w:t>
      </w:r>
      <w:r>
        <w:rPr>
          <w:color w:val="000000" w:themeColor="text1"/>
        </w:rPr>
        <w:fldChar w:fldCharType="end"/>
      </w:r>
      <w:r>
        <w:rPr>
          <w:color w:val="000000" w:themeColor="text1"/>
        </w:rPr>
        <w:fldChar w:fldCharType="end"/>
      </w:r>
    </w:p>
    <w:p>
      <w:pPr>
        <w:pStyle w:val="18"/>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"_Toc471482368" </w:instrText>
      </w:r>
      <w:r>
        <w:fldChar w:fldCharType="separate"/>
      </w:r>
      <w:r>
        <w:rPr>
          <w:rStyle w:val="27"/>
          <w:rFonts w:hint="eastAsia"/>
          <w:color w:val="000000" w:themeColor="text1"/>
        </w:rPr>
        <w:t>第二章合同条款</w:t>
      </w:r>
      <w:r>
        <w:rPr>
          <w:color w:val="000000" w:themeColor="text1"/>
        </w:rPr>
        <w:tab/>
      </w:r>
      <w:r>
        <w:rPr>
          <w:color w:val="000000" w:themeColor="text1"/>
        </w:rPr>
        <w:fldChar w:fldCharType="begin"/>
      </w:r>
      <w:r>
        <w:rPr>
          <w:color w:val="000000" w:themeColor="text1"/>
        </w:rPr>
        <w:instrText xml:space="preserve"> PAGEREF _Toc471482368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18"/>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"_Toc471482369" </w:instrText>
      </w:r>
      <w:r>
        <w:fldChar w:fldCharType="separate"/>
      </w:r>
      <w:r>
        <w:rPr>
          <w:rStyle w:val="27"/>
          <w:rFonts w:hint="eastAsia" w:ascii="宋体" w:hAnsi="宋体" w:cs="宋体"/>
          <w:color w:val="000000" w:themeColor="text1"/>
        </w:rPr>
        <w:t>第三章 比选申请文件（格式）</w:t>
      </w:r>
      <w:r>
        <w:rPr>
          <w:color w:val="000000" w:themeColor="text1"/>
        </w:rPr>
        <w:tab/>
      </w:r>
      <w:r>
        <w:rPr>
          <w:color w:val="000000" w:themeColor="text1"/>
        </w:rPr>
        <w:fldChar w:fldCharType="begin"/>
      </w:r>
      <w:r>
        <w:rPr>
          <w:color w:val="000000" w:themeColor="text1"/>
        </w:rPr>
        <w:instrText xml:space="preserve"> PAGEREF _Toc471482369 \h </w:instrText>
      </w:r>
      <w:r>
        <w:rPr>
          <w:color w:val="000000" w:themeColor="text1"/>
        </w:rPr>
        <w:fldChar w:fldCharType="separate"/>
      </w:r>
      <w:r>
        <w:rPr>
          <w:color w:val="000000" w:themeColor="text1"/>
        </w:rPr>
        <w:t>18</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"_Toc471482370" </w:instrText>
      </w:r>
      <w:r>
        <w:fldChar w:fldCharType="separate"/>
      </w:r>
      <w:r>
        <w:rPr>
          <w:rStyle w:val="27"/>
          <w:rFonts w:hint="eastAsia"/>
          <w:color w:val="000000" w:themeColor="text1"/>
        </w:rPr>
        <w:t>一、资格审查文件目录</w:t>
      </w:r>
      <w:r>
        <w:rPr>
          <w:color w:val="000000" w:themeColor="text1"/>
        </w:rPr>
        <w:tab/>
      </w:r>
      <w:r>
        <w:rPr>
          <w:color w:val="000000" w:themeColor="text1"/>
        </w:rPr>
        <w:fldChar w:fldCharType="begin"/>
      </w:r>
      <w:r>
        <w:rPr>
          <w:color w:val="000000" w:themeColor="text1"/>
        </w:rPr>
        <w:instrText xml:space="preserve"> PAGEREF _Toc471482370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"_Toc471482371" </w:instrText>
      </w:r>
      <w:r>
        <w:fldChar w:fldCharType="separate"/>
      </w:r>
      <w:r>
        <w:rPr>
          <w:rStyle w:val="27"/>
          <w:rFonts w:hint="eastAsia"/>
          <w:color w:val="000000" w:themeColor="text1"/>
        </w:rPr>
        <w:t>二、技术部分材料目录</w:t>
      </w:r>
      <w:r>
        <w:rPr>
          <w:color w:val="000000" w:themeColor="text1"/>
        </w:rPr>
        <w:tab/>
      </w:r>
      <w:r>
        <w:rPr>
          <w:color w:val="000000" w:themeColor="text1"/>
        </w:rPr>
        <w:fldChar w:fldCharType="begin"/>
      </w:r>
      <w:r>
        <w:rPr>
          <w:color w:val="000000" w:themeColor="text1"/>
        </w:rPr>
        <w:instrText xml:space="preserve"> PAGEREF _Toc471482371 \h </w:instrText>
      </w:r>
      <w:r>
        <w:rPr>
          <w:color w:val="000000" w:themeColor="text1"/>
        </w:rPr>
        <w:fldChar w:fldCharType="separate"/>
      </w:r>
      <w:r>
        <w:rPr>
          <w:color w:val="000000" w:themeColor="text1"/>
        </w:rPr>
        <w:t>27</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"_Toc471482372" </w:instrText>
      </w:r>
      <w:r>
        <w:fldChar w:fldCharType="separate"/>
      </w:r>
      <w:r>
        <w:rPr>
          <w:rStyle w:val="27"/>
          <w:rFonts w:hint="eastAsia"/>
          <w:color w:val="000000" w:themeColor="text1"/>
        </w:rPr>
        <w:t>三、商务部分材料目录</w:t>
      </w:r>
      <w:r>
        <w:rPr>
          <w:color w:val="000000" w:themeColor="text1"/>
        </w:rPr>
        <w:tab/>
      </w:r>
      <w:r>
        <w:rPr>
          <w:color w:val="000000" w:themeColor="text1"/>
        </w:rPr>
        <w:fldChar w:fldCharType="begin"/>
      </w:r>
      <w:r>
        <w:rPr>
          <w:color w:val="000000" w:themeColor="text1"/>
        </w:rPr>
        <w:instrText xml:space="preserve"> PAGEREF _Toc471482372 \h </w:instrText>
      </w:r>
      <w:r>
        <w:rPr>
          <w:color w:val="000000" w:themeColor="text1"/>
        </w:rPr>
        <w:fldChar w:fldCharType="separate"/>
      </w:r>
      <w:r>
        <w:rPr>
          <w:color w:val="000000" w:themeColor="text1"/>
        </w:rPr>
        <w:t>32</w:t>
      </w:r>
      <w:r>
        <w:rPr>
          <w:color w:val="000000" w:themeColor="text1"/>
        </w:rPr>
        <w:fldChar w:fldCharType="end"/>
      </w:r>
      <w:r>
        <w:rPr>
          <w:color w:val="000000" w:themeColor="text1"/>
        </w:rPr>
        <w:fldChar w:fldCharType="end"/>
      </w:r>
    </w:p>
    <w:p>
      <w:pPr>
        <w:pStyle w:val="18"/>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"_Toc471482373" </w:instrText>
      </w:r>
      <w:r>
        <w:fldChar w:fldCharType="separate"/>
      </w:r>
      <w:r>
        <w:rPr>
          <w:rStyle w:val="27"/>
          <w:rFonts w:hint="eastAsia"/>
          <w:color w:val="000000" w:themeColor="text1"/>
        </w:rPr>
        <w:t>第四章评比办法</w:t>
      </w:r>
      <w:r>
        <w:rPr>
          <w:color w:val="000000" w:themeColor="text1"/>
        </w:rPr>
        <w:tab/>
      </w:r>
      <w:r>
        <w:rPr>
          <w:color w:val="000000" w:themeColor="text1"/>
        </w:rPr>
        <w:fldChar w:fldCharType="begin"/>
      </w:r>
      <w:r>
        <w:rPr>
          <w:color w:val="000000" w:themeColor="text1"/>
        </w:rPr>
        <w:instrText xml:space="preserve"> PAGEREF _Toc471482373 \h </w:instrText>
      </w:r>
      <w:r>
        <w:rPr>
          <w:color w:val="000000" w:themeColor="text1"/>
        </w:rPr>
        <w:fldChar w:fldCharType="separate"/>
      </w:r>
      <w:r>
        <w:rPr>
          <w:color w:val="000000" w:themeColor="text1"/>
        </w:rPr>
        <w:t>34</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"_Toc471482374" </w:instrText>
      </w:r>
      <w:r>
        <w:fldChar w:fldCharType="separate"/>
      </w:r>
      <w:r>
        <w:rPr>
          <w:rStyle w:val="27"/>
          <w:rFonts w:hint="eastAsia"/>
          <w:color w:val="000000" w:themeColor="text1"/>
        </w:rPr>
        <w:t>一、综合评分办法</w:t>
      </w:r>
      <w:r>
        <w:rPr>
          <w:color w:val="000000" w:themeColor="text1"/>
        </w:rPr>
        <w:tab/>
      </w:r>
      <w:r>
        <w:rPr>
          <w:rFonts w:hint="eastAsia"/>
          <w:color w:val="000000" w:themeColor="text1"/>
        </w:rPr>
        <w:t>34</w:t>
      </w:r>
      <w:r>
        <w:rPr>
          <w:rFonts w:hint="eastAsia"/>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"_Toc471482375" </w:instrText>
      </w:r>
      <w:r>
        <w:fldChar w:fldCharType="separate"/>
      </w:r>
      <w:r>
        <w:rPr>
          <w:rStyle w:val="27"/>
          <w:rFonts w:hint="eastAsia"/>
          <w:color w:val="000000" w:themeColor="text1"/>
        </w:rPr>
        <w:t>二、总分计算公式</w:t>
      </w:r>
      <w:r>
        <w:rPr>
          <w:color w:val="000000" w:themeColor="text1"/>
        </w:rPr>
        <w:tab/>
      </w:r>
      <w:r>
        <w:rPr>
          <w:rFonts w:hint="eastAsia"/>
          <w:color w:val="000000" w:themeColor="text1"/>
        </w:rPr>
        <w:t>34</w:t>
      </w:r>
      <w:r>
        <w:rPr>
          <w:rFonts w:hint="eastAsia"/>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"_Toc471482376" </w:instrText>
      </w:r>
      <w:r>
        <w:fldChar w:fldCharType="separate"/>
      </w:r>
      <w:r>
        <w:rPr>
          <w:rStyle w:val="27"/>
          <w:rFonts w:hint="eastAsia"/>
          <w:color w:val="000000" w:themeColor="text1"/>
        </w:rPr>
        <w:t>三、评分细则</w:t>
      </w:r>
      <w:r>
        <w:rPr>
          <w:color w:val="000000" w:themeColor="text1"/>
        </w:rPr>
        <w:tab/>
      </w:r>
      <w:r>
        <w:rPr>
          <w:color w:val="000000" w:themeColor="text1"/>
        </w:rPr>
        <w:fldChar w:fldCharType="begin"/>
      </w:r>
      <w:r>
        <w:rPr>
          <w:color w:val="000000" w:themeColor="text1"/>
        </w:rPr>
        <w:instrText xml:space="preserve"> PAGEREF _Toc471482376 \h </w:instrText>
      </w:r>
      <w:r>
        <w:rPr>
          <w:color w:val="000000" w:themeColor="text1"/>
        </w:rPr>
        <w:fldChar w:fldCharType="separate"/>
      </w:r>
      <w:r>
        <w:rPr>
          <w:color w:val="000000" w:themeColor="text1"/>
        </w:rPr>
        <w:t>34</w:t>
      </w:r>
      <w:r>
        <w:rPr>
          <w:color w:val="000000" w:themeColor="text1"/>
        </w:rPr>
        <w:fldChar w:fldCharType="end"/>
      </w:r>
      <w:r>
        <w:rPr>
          <w:color w:val="000000" w:themeColor="text1"/>
        </w:rPr>
        <w:fldChar w:fldCharType="end"/>
      </w:r>
    </w:p>
    <w:p>
      <w:pPr>
        <w:pStyle w:val="22"/>
        <w:tabs>
          <w:tab w:val="right" w:leader="dot" w:pos="9209"/>
        </w:tabs>
        <w:rPr>
          <w:rFonts w:asciiTheme="minorHAnsi" w:hAnsiTheme="minorHAnsi" w:eastAsiaTheme="minorEastAsia" w:cstheme="minorBidi"/>
          <w:color w:val="000000" w:themeColor="text1"/>
          <w:szCs w:val="22"/>
        </w:rPr>
      </w:pPr>
      <w:r>
        <w:fldChar w:fldCharType="begin"/>
      </w:r>
      <w:r>
        <w:instrText xml:space="preserve"> HYPERLINK \l "_Toc471482377" </w:instrText>
      </w:r>
      <w:r>
        <w:fldChar w:fldCharType="separate"/>
      </w:r>
      <w:r>
        <w:rPr>
          <w:rStyle w:val="27"/>
          <w:rFonts w:hint="eastAsia"/>
          <w:color w:val="000000" w:themeColor="text1"/>
        </w:rPr>
        <w:t>四、中选标准</w:t>
      </w:r>
      <w:r>
        <w:rPr>
          <w:color w:val="000000" w:themeColor="text1"/>
        </w:rPr>
        <w:tab/>
      </w:r>
      <w:r>
        <w:rPr>
          <w:color w:val="000000" w:themeColor="text1"/>
        </w:rPr>
        <w:fldChar w:fldCharType="begin"/>
      </w:r>
      <w:r>
        <w:rPr>
          <w:color w:val="000000" w:themeColor="text1"/>
        </w:rPr>
        <w:instrText xml:space="preserve"> PAGEREF _Toc471482377 \h </w:instrText>
      </w:r>
      <w:r>
        <w:rPr>
          <w:color w:val="000000" w:themeColor="text1"/>
        </w:rPr>
        <w:fldChar w:fldCharType="separate"/>
      </w:r>
      <w:r>
        <w:rPr>
          <w:color w:val="000000" w:themeColor="text1"/>
        </w:rPr>
        <w:t>37</w:t>
      </w:r>
      <w:r>
        <w:rPr>
          <w:color w:val="000000" w:themeColor="text1"/>
        </w:rPr>
        <w:fldChar w:fldCharType="end"/>
      </w:r>
      <w:r>
        <w:rPr>
          <w:color w:val="000000" w:themeColor="text1"/>
        </w:rPr>
        <w:fldChar w:fldCharType="end"/>
      </w:r>
    </w:p>
    <w:p>
      <w:pPr>
        <w:tabs>
          <w:tab w:val="right" w:leader="dot" w:pos="9219"/>
        </w:tabs>
        <w:jc w:val="left"/>
        <w:outlineLvl w:val="2"/>
        <w:rPr>
          <w:rFonts w:ascii="宋体" w:hAnsi="宋体" w:cs="宋体"/>
          <w:color w:val="000000" w:themeColor="text1"/>
          <w:szCs w:val="28"/>
        </w:rPr>
      </w:pPr>
      <w:r>
        <w:rPr>
          <w:rFonts w:ascii="宋体" w:hAnsi="宋体" w:cs="宋体"/>
          <w:color w:val="000000" w:themeColor="text1"/>
          <w:szCs w:val="28"/>
        </w:rPr>
        <w:fldChar w:fldCharType="end"/>
      </w: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center"/>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pStyle w:val="2"/>
        <w:rPr>
          <w:rFonts w:ascii="宋体" w:hAnsi="宋体" w:cs="宋体"/>
          <w:color w:val="000000" w:themeColor="text1"/>
          <w:szCs w:val="28"/>
        </w:rPr>
      </w:pPr>
      <w:bookmarkStart w:id="12" w:name="_Toc24752"/>
      <w:bookmarkStart w:id="13" w:name="_Toc27762"/>
      <w:bookmarkStart w:id="14" w:name="_Toc20342"/>
      <w:bookmarkStart w:id="15" w:name="_Toc9092"/>
      <w:bookmarkStart w:id="16" w:name="_Toc14897"/>
      <w:bookmarkStart w:id="17" w:name="_Toc11052"/>
      <w:bookmarkStart w:id="18" w:name="_Toc32556"/>
      <w:bookmarkStart w:id="19" w:name="_Toc32719"/>
      <w:bookmarkStart w:id="20" w:name="_Toc30578"/>
      <w:bookmarkStart w:id="21" w:name="_Toc461525294"/>
      <w:bookmarkStart w:id="22" w:name="_Toc12557"/>
      <w:bookmarkStart w:id="23" w:name="_Toc471482359"/>
      <w:bookmarkStart w:id="24" w:name="_Toc14177"/>
      <w:bookmarkStart w:id="25" w:name="_Toc24235"/>
      <w:r>
        <w:rPr>
          <w:rFonts w:hint="eastAsia" w:ascii="宋体" w:hAnsi="宋体" w:cs="宋体"/>
          <w:color w:val="000000" w:themeColor="text1"/>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jc w:val="left"/>
        <w:rPr>
          <w:color w:val="000000" w:themeColor="text1"/>
          <w:sz w:val="24"/>
          <w:szCs w:val="24"/>
        </w:rPr>
      </w:pPr>
      <w:bookmarkStart w:id="26" w:name="_Toc17641"/>
      <w:bookmarkStart w:id="27" w:name="_Toc32591"/>
      <w:bookmarkStart w:id="28" w:name="_Toc2242"/>
      <w:bookmarkStart w:id="29" w:name="_Toc471482360"/>
      <w:bookmarkStart w:id="30" w:name="_Toc24239"/>
      <w:bookmarkStart w:id="31" w:name="_Toc17254"/>
      <w:bookmarkStart w:id="32" w:name="_Toc461525295"/>
      <w:bookmarkStart w:id="33" w:name="_Toc14510"/>
      <w:bookmarkStart w:id="34" w:name="_Toc18263"/>
      <w:bookmarkStart w:id="35" w:name="_Toc11329"/>
      <w:bookmarkStart w:id="36" w:name="_Toc31166"/>
      <w:bookmarkStart w:id="37" w:name="_Toc2162"/>
      <w:bookmarkStart w:id="38" w:name="_Toc21327"/>
      <w:bookmarkStart w:id="39" w:name="_Toc11337"/>
      <w:r>
        <w:rPr>
          <w:color w:val="000000" w:themeColor="text1"/>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45"/>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序号</w:t>
            </w:r>
          </w:p>
        </w:tc>
        <w:tc>
          <w:tcPr>
            <w:tcW w:w="2145" w:type="dxa"/>
            <w:vAlign w:val="center"/>
          </w:tcPr>
          <w:p>
            <w:pPr>
              <w:jc w:val="center"/>
              <w:rPr>
                <w:rFonts w:ascii="宋体" w:hAnsi="宋体" w:cs="宋体"/>
                <w:color w:val="000000" w:themeColor="text1"/>
                <w:szCs w:val="21"/>
              </w:rPr>
            </w:pPr>
          </w:p>
        </w:tc>
        <w:tc>
          <w:tcPr>
            <w:tcW w:w="6611" w:type="dxa"/>
          </w:tcPr>
          <w:p>
            <w:pPr>
              <w:jc w:val="center"/>
              <w:rPr>
                <w:rFonts w:ascii="宋体" w:hAnsi="宋体" w:cs="宋体"/>
                <w:color w:val="000000" w:themeColor="text1"/>
                <w:szCs w:val="21"/>
              </w:rPr>
            </w:pPr>
            <w:r>
              <w:rPr>
                <w:rFonts w:hint="eastAsia" w:ascii="宋体" w:hAnsi="宋体" w:cs="宋体"/>
                <w:color w:val="000000" w:themeColor="text1"/>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项目名称</w:t>
            </w:r>
          </w:p>
        </w:tc>
        <w:tc>
          <w:tcPr>
            <w:tcW w:w="6611" w:type="dxa"/>
            <w:vAlign w:val="center"/>
          </w:tcPr>
          <w:p>
            <w:pPr>
              <w:ind w:right="-3"/>
              <w:jc w:val="left"/>
              <w:rPr>
                <w:rFonts w:ascii="宋体" w:hAnsi="宋体" w:cs="宋体"/>
                <w:color w:val="000000" w:themeColor="text1"/>
                <w:szCs w:val="21"/>
              </w:rPr>
            </w:pPr>
            <w:r>
              <w:rPr>
                <w:rFonts w:hint="eastAsia" w:ascii="宋体" w:hAnsi="宋体" w:cs="宋体"/>
                <w:color w:val="000000" w:themeColor="text1"/>
                <w:szCs w:val="21"/>
              </w:rPr>
              <w:t>南宁东站周边一体化综合开发项目采用合作模式进行开发全套征集文件编制服务项目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项目范围</w:t>
            </w:r>
          </w:p>
        </w:tc>
        <w:tc>
          <w:tcPr>
            <w:tcW w:w="6611" w:type="dxa"/>
          </w:tcPr>
          <w:p>
            <w:pPr>
              <w:ind w:right="-3"/>
              <w:jc w:val="left"/>
              <w:rPr>
                <w:rFonts w:ascii="宋体" w:hAnsi="宋体" w:cs="宋体"/>
                <w:color w:val="000000" w:themeColor="text1"/>
                <w:szCs w:val="21"/>
              </w:rPr>
            </w:pPr>
            <w:r>
              <w:rPr>
                <w:rFonts w:hint="eastAsia" w:ascii="宋体" w:hAnsi="宋体" w:cs="宋体"/>
                <w:color w:val="000000" w:themeColor="text1"/>
                <w:szCs w:val="21"/>
              </w:rPr>
              <w:t>南宁东站周边一体化综合开发项目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项目内容</w:t>
            </w:r>
          </w:p>
        </w:tc>
        <w:tc>
          <w:tcPr>
            <w:tcW w:w="6611" w:type="dxa"/>
          </w:tcPr>
          <w:p>
            <w:pPr>
              <w:spacing w:line="360" w:lineRule="auto"/>
              <w:rPr>
                <w:rFonts w:ascii="宋体" w:hAnsi="宋体" w:cs="宋体"/>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牵头</w:t>
            </w:r>
            <w:r>
              <w:rPr>
                <w:rFonts w:ascii="宋体" w:hAnsi="宋体" w:cs="宋体"/>
                <w:color w:val="000000" w:themeColor="text1"/>
                <w:szCs w:val="21"/>
              </w:rPr>
              <w:t>单位</w:t>
            </w:r>
            <w:r>
              <w:rPr>
                <w:rFonts w:hint="eastAsia" w:ascii="宋体" w:hAnsi="宋体" w:cs="宋体"/>
                <w:color w:val="000000" w:themeColor="text1"/>
                <w:szCs w:val="21"/>
              </w:rPr>
              <w:t>联合会计事务所和</w:t>
            </w:r>
            <w:r>
              <w:rPr>
                <w:rFonts w:hint="eastAsia" w:cs="宋体"/>
                <w:color w:val="000000" w:themeColor="text1"/>
                <w:szCs w:val="21"/>
              </w:rPr>
              <w:t>管理咨询机构</w:t>
            </w:r>
            <w:r>
              <w:rPr>
                <w:rFonts w:ascii="宋体" w:hAnsi="宋体" w:cs="宋体"/>
                <w:color w:val="000000" w:themeColor="text1"/>
                <w:szCs w:val="21"/>
              </w:rPr>
              <w:t>负责提供编制</w:t>
            </w:r>
            <w:r>
              <w:rPr>
                <w:rFonts w:hint="eastAsia" w:ascii="宋体" w:hAnsi="宋体" w:cs="宋体"/>
                <w:color w:val="000000" w:themeColor="text1"/>
                <w:szCs w:val="21"/>
              </w:rPr>
              <w:t>挂产权交易所前的所有征集</w:t>
            </w:r>
            <w:r>
              <w:rPr>
                <w:rFonts w:ascii="宋体" w:hAnsi="宋体" w:cs="宋体"/>
                <w:color w:val="000000" w:themeColor="text1"/>
                <w:szCs w:val="21"/>
              </w:rPr>
              <w:t>文件资料</w:t>
            </w:r>
            <w:r>
              <w:rPr>
                <w:rFonts w:hint="eastAsia" w:ascii="宋体" w:hAnsi="宋体" w:cs="宋体"/>
                <w:color w:val="000000" w:themeColor="text1"/>
                <w:szCs w:val="21"/>
              </w:rPr>
              <w:t>编制</w:t>
            </w:r>
            <w:r>
              <w:rPr>
                <w:rFonts w:ascii="宋体" w:hAnsi="宋体" w:cs="宋体"/>
                <w:color w:val="000000" w:themeColor="text1"/>
                <w:szCs w:val="21"/>
              </w:rPr>
              <w:t>，审</w:t>
            </w:r>
            <w:r>
              <w:rPr>
                <w:rFonts w:hint="eastAsia" w:ascii="宋体" w:hAnsi="宋体" w:cs="宋体"/>
                <w:color w:val="000000" w:themeColor="text1"/>
                <w:szCs w:val="21"/>
              </w:rPr>
              <w:t>查</w:t>
            </w:r>
            <w:r>
              <w:rPr>
                <w:rFonts w:ascii="宋体" w:hAnsi="宋体" w:cs="宋体"/>
                <w:color w:val="000000" w:themeColor="text1"/>
                <w:szCs w:val="21"/>
              </w:rPr>
              <w:t>招标文件，</w:t>
            </w:r>
            <w:r>
              <w:rPr>
                <w:rFonts w:hint="eastAsia" w:ascii="宋体" w:hAnsi="宋体" w:cs="宋体"/>
                <w:color w:val="000000" w:themeColor="text1"/>
                <w:szCs w:val="21"/>
              </w:rPr>
              <w:t>组织现场勘查及项目的相关工作会议，并就征集的所有环节的资产处置并提出合法性进行把关，需要</w:t>
            </w:r>
            <w:r>
              <w:rPr>
                <w:rFonts w:ascii="宋体" w:hAnsi="宋体" w:cs="宋体"/>
                <w:color w:val="000000" w:themeColor="text1"/>
                <w:szCs w:val="21"/>
              </w:rPr>
              <w:t>派</w:t>
            </w:r>
            <w:r>
              <w:rPr>
                <w:rFonts w:hint="eastAsia" w:ascii="宋体" w:hAnsi="宋体" w:cs="宋体"/>
                <w:color w:val="000000" w:themeColor="text1"/>
                <w:szCs w:val="21"/>
              </w:rPr>
              <w:t>至少一名</w:t>
            </w:r>
            <w:r>
              <w:rPr>
                <w:rFonts w:ascii="宋体" w:hAnsi="宋体" w:cs="宋体"/>
                <w:color w:val="000000" w:themeColor="text1"/>
                <w:szCs w:val="21"/>
              </w:rPr>
              <w:t>代表</w:t>
            </w:r>
            <w:r>
              <w:rPr>
                <w:rFonts w:hint="eastAsia" w:ascii="宋体" w:hAnsi="宋体" w:cs="宋体"/>
                <w:color w:val="000000" w:themeColor="text1"/>
                <w:szCs w:val="21"/>
              </w:rPr>
              <w:t>参与广西联合产权交易所进行相关工作对接</w:t>
            </w:r>
            <w:r>
              <w:rPr>
                <w:rFonts w:ascii="宋体" w:hAnsi="宋体" w:cs="宋体"/>
                <w:color w:val="000000" w:themeColor="text1"/>
                <w:szCs w:val="21"/>
              </w:rPr>
              <w:t>。</w:t>
            </w:r>
          </w:p>
          <w:p>
            <w:pPr>
              <w:spacing w:line="360" w:lineRule="auto"/>
              <w:rPr>
                <w:rFonts w:ascii="宋体" w:hAnsi="宋体" w:cs="宋体"/>
                <w:color w:val="000000" w:themeColor="text1"/>
                <w:szCs w:val="21"/>
              </w:rPr>
            </w:pPr>
            <w:r>
              <w:rPr>
                <w:rFonts w:hint="eastAsia" w:ascii="宋体" w:hAnsi="宋体" w:cs="宋体"/>
                <w:color w:val="000000" w:themeColor="text1"/>
                <w:szCs w:val="21"/>
              </w:rPr>
              <w:t>2、协助征集方和广西联合产权交易所进行项目沟通，协助</w:t>
            </w:r>
            <w:r>
              <w:rPr>
                <w:rFonts w:ascii="宋体" w:hAnsi="宋体" w:cs="宋体"/>
                <w:color w:val="000000" w:themeColor="text1"/>
                <w:szCs w:val="21"/>
              </w:rPr>
              <w:t>发布</w:t>
            </w:r>
            <w:r>
              <w:rPr>
                <w:rFonts w:hint="eastAsia" w:ascii="宋体" w:hAnsi="宋体" w:cs="宋体"/>
                <w:color w:val="000000" w:themeColor="text1"/>
                <w:szCs w:val="21"/>
              </w:rPr>
              <w:t>征集</w:t>
            </w:r>
            <w:r>
              <w:rPr>
                <w:rFonts w:ascii="宋体" w:hAnsi="宋体" w:cs="宋体"/>
                <w:color w:val="000000" w:themeColor="text1"/>
                <w:szCs w:val="21"/>
              </w:rPr>
              <w:t>公告</w:t>
            </w:r>
            <w:r>
              <w:rPr>
                <w:rFonts w:hint="eastAsia" w:ascii="宋体" w:hAnsi="宋体" w:cs="宋体"/>
                <w:color w:val="000000" w:themeColor="text1"/>
                <w:szCs w:val="21"/>
              </w:rPr>
              <w:t>、专家评审、</w:t>
            </w:r>
            <w:r>
              <w:rPr>
                <w:rFonts w:ascii="宋体" w:hAnsi="宋体" w:cs="宋体"/>
                <w:color w:val="000000" w:themeColor="text1"/>
                <w:szCs w:val="21"/>
              </w:rPr>
              <w:t>合同准备和</w:t>
            </w:r>
            <w:r>
              <w:rPr>
                <w:rFonts w:hint="eastAsia" w:ascii="宋体" w:hAnsi="宋体" w:cs="宋体"/>
                <w:color w:val="000000" w:themeColor="text1"/>
                <w:szCs w:val="21"/>
              </w:rPr>
              <w:t>签订</w:t>
            </w:r>
            <w:r>
              <w:rPr>
                <w:rFonts w:ascii="宋体" w:hAnsi="宋体" w:cs="宋体"/>
                <w:color w:val="000000" w:themeColor="text1"/>
                <w:szCs w:val="21"/>
              </w:rPr>
              <w:t>合同等相关工作。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shd w:val="clear" w:color="auto" w:fill="CCE8CF" w:themeFill="background1"/>
            <w:vAlign w:val="center"/>
          </w:tcPr>
          <w:p>
            <w:pPr>
              <w:jc w:val="center"/>
              <w:rPr>
                <w:rFonts w:ascii="宋体" w:hAnsi="宋体" w:cs="宋体"/>
                <w:color w:val="000000" w:themeColor="text1"/>
                <w:szCs w:val="21"/>
              </w:rPr>
            </w:pPr>
            <w:r>
              <w:rPr>
                <w:rFonts w:hint="eastAsia" w:ascii="宋体" w:hAnsi="宋体" w:cs="宋体"/>
                <w:color w:val="000000" w:themeColor="text1"/>
                <w:szCs w:val="21"/>
              </w:rPr>
              <w:t>4</w:t>
            </w:r>
          </w:p>
        </w:tc>
        <w:tc>
          <w:tcPr>
            <w:tcW w:w="2145" w:type="dxa"/>
            <w:shd w:val="clear" w:color="auto" w:fill="CCE8CF" w:themeFill="background1"/>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资金来源</w:t>
            </w:r>
          </w:p>
        </w:tc>
        <w:tc>
          <w:tcPr>
            <w:tcW w:w="6611" w:type="dxa"/>
            <w:shd w:val="clear" w:color="auto" w:fill="CCE8CF" w:themeFill="background1"/>
          </w:tcPr>
          <w:p>
            <w:pPr>
              <w:ind w:right="-3"/>
              <w:jc w:val="left"/>
              <w:rPr>
                <w:rFonts w:ascii="宋体" w:hAnsi="宋体" w:cs="宋体"/>
                <w:color w:val="000000" w:themeColor="text1"/>
                <w:szCs w:val="21"/>
              </w:rPr>
            </w:pPr>
            <w:r>
              <w:rPr>
                <w:rFonts w:hint="eastAsia" w:ascii="宋体" w:hAnsi="宋体" w:cs="宋体"/>
                <w:color w:val="000000" w:themeColor="text1"/>
                <w:szCs w:val="21"/>
              </w:rPr>
              <w:t>企业自有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计费方式</w:t>
            </w:r>
          </w:p>
        </w:tc>
        <w:tc>
          <w:tcPr>
            <w:tcW w:w="6611" w:type="dxa"/>
            <w:tcBorders>
              <w:bottom w:val="single" w:color="auto" w:sz="4" w:space="0"/>
            </w:tcBorders>
          </w:tcPr>
          <w:p>
            <w:pPr>
              <w:ind w:right="-3"/>
              <w:jc w:val="left"/>
              <w:rPr>
                <w:rFonts w:ascii="宋体" w:hAnsi="宋体" w:cs="宋体"/>
                <w:color w:val="000000" w:themeColor="text1"/>
                <w:szCs w:val="21"/>
              </w:rPr>
            </w:pPr>
            <w:r>
              <w:rPr>
                <w:rFonts w:hint="eastAsia" w:ascii="宋体" w:hAnsi="宋体" w:cs="宋体"/>
                <w:color w:val="000000" w:themeColor="text1"/>
                <w:szCs w:val="21"/>
              </w:rPr>
              <w:t>采用总价包干，费用不予调整；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6</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上限控制价</w:t>
            </w:r>
          </w:p>
        </w:tc>
        <w:tc>
          <w:tcPr>
            <w:tcW w:w="6611" w:type="dxa"/>
            <w:tcBorders>
              <w:bottom w:val="single" w:color="auto" w:sz="4" w:space="0"/>
            </w:tcBorders>
            <w:vAlign w:val="center"/>
          </w:tcPr>
          <w:p>
            <w:pPr>
              <w:ind w:right="-3"/>
              <w:jc w:val="left"/>
              <w:rPr>
                <w:rFonts w:ascii="宋体" w:hAnsi="宋体" w:cs="宋体"/>
                <w:color w:val="000000" w:themeColor="text1"/>
                <w:szCs w:val="21"/>
              </w:rPr>
            </w:pPr>
            <w:r>
              <w:rPr>
                <w:rFonts w:hint="eastAsia" w:ascii="宋体" w:hAnsi="宋体" w:cs="宋体"/>
                <w:color w:val="000000" w:themeColor="text1"/>
                <w:szCs w:val="21"/>
              </w:rPr>
              <w:t>伍拾肆万肆仟玖佰玖拾伍元整。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报价方式</w:t>
            </w:r>
          </w:p>
        </w:tc>
        <w:tc>
          <w:tcPr>
            <w:tcW w:w="6611" w:type="dxa"/>
            <w:tcBorders>
              <w:top w:val="single" w:color="auto" w:sz="4" w:space="0"/>
            </w:tcBorders>
            <w:vAlign w:val="center"/>
          </w:tcPr>
          <w:p>
            <w:pPr>
              <w:ind w:right="-3"/>
              <w:jc w:val="left"/>
              <w:rPr>
                <w:rFonts w:ascii="宋体" w:hAnsi="宋体" w:cs="宋体"/>
                <w:color w:val="000000" w:themeColor="text1"/>
                <w:szCs w:val="21"/>
              </w:rPr>
            </w:pPr>
            <w:r>
              <w:rPr>
                <w:rFonts w:hint="eastAsia" w:ascii="宋体" w:hAnsi="宋体" w:cs="宋体"/>
                <w:color w:val="000000" w:themeColor="text1"/>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8</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合同期限</w:t>
            </w:r>
          </w:p>
        </w:tc>
        <w:tc>
          <w:tcPr>
            <w:tcW w:w="6611" w:type="dxa"/>
            <w:vAlign w:val="center"/>
          </w:tcPr>
          <w:p>
            <w:pPr>
              <w:ind w:right="-3"/>
              <w:jc w:val="left"/>
              <w:rPr>
                <w:rFonts w:ascii="宋体" w:hAnsi="宋体" w:cs="宋体"/>
                <w:color w:val="000000" w:themeColor="text1"/>
                <w:szCs w:val="21"/>
              </w:rPr>
            </w:pPr>
            <w:r>
              <w:rPr>
                <w:rFonts w:hint="eastAsia" w:ascii="宋体" w:hAnsi="宋体" w:cs="宋体"/>
                <w:color w:val="000000" w:themeColor="text1"/>
                <w:szCs w:val="21"/>
              </w:rPr>
              <w:t>约一年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9</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比选申请人资格要求</w:t>
            </w:r>
          </w:p>
        </w:tc>
        <w:tc>
          <w:tcPr>
            <w:tcW w:w="6611" w:type="dxa"/>
            <w:vAlign w:val="center"/>
          </w:tcPr>
          <w:p>
            <w:pPr>
              <w:keepNext/>
              <w:keepLines/>
              <w:spacing w:before="260" w:after="260" w:line="360" w:lineRule="auto"/>
              <w:ind w:firstLine="420" w:firstLineChars="200"/>
              <w:outlineLvl w:val="0"/>
              <w:rPr>
                <w:rFonts w:cs="宋体"/>
                <w:color w:val="000000" w:themeColor="text1"/>
                <w:szCs w:val="21"/>
              </w:rPr>
            </w:pPr>
            <w:r>
              <w:rPr>
                <w:rFonts w:hint="eastAsia" w:cs="宋体"/>
                <w:color w:val="000000" w:themeColor="text1"/>
                <w:szCs w:val="21"/>
              </w:rPr>
              <w:t>本次比选仅接受联合体申请。联合体应满足下列要求：牵头方应为资产评估机构，同时应包含会计师事务所、管理咨询机构；其中，会计师事务所和管理咨询机构由牵头方自主联合。</w:t>
            </w:r>
          </w:p>
          <w:p>
            <w:pPr>
              <w:spacing w:line="360" w:lineRule="auto"/>
              <w:ind w:firstLine="420" w:firstLineChars="200"/>
              <w:outlineLvl w:val="0"/>
              <w:rPr>
                <w:rFonts w:ascii="宋体" w:hAnsi="宋体" w:cs="宋体"/>
                <w:color w:val="000000" w:themeColor="text1"/>
                <w:sz w:val="28"/>
                <w:szCs w:val="21"/>
              </w:rPr>
            </w:pPr>
            <w:r>
              <w:rPr>
                <w:rFonts w:hint="eastAsia" w:cs="宋体"/>
                <w:color w:val="000000" w:themeColor="text1"/>
                <w:szCs w:val="21"/>
              </w:rPr>
              <w:t>资产评估机构、会计师事务所必须满足南宁市国资委评估中介、审计机构备选库名单（《关于公布调整后的南宁市国资委审计、评估中介机构备选库名单的公告》</w:t>
            </w:r>
            <w:r>
              <w:rPr>
                <w:rFonts w:cs="宋体"/>
                <w:color w:val="000000" w:themeColor="text1"/>
                <w:szCs w:val="21"/>
              </w:rPr>
              <w:t>2017</w:t>
            </w:r>
            <w:r>
              <w:rPr>
                <w:rFonts w:hint="eastAsia" w:cs="宋体"/>
                <w:color w:val="000000" w:themeColor="text1"/>
                <w:szCs w:val="21"/>
              </w:rPr>
              <w:t>年），联合体各方均应符合“具有独立法人资格”、“具有独立承担民事责任的能力”的条件。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获取比选文件的时间、地点、方式及比选文件售价</w:t>
            </w:r>
          </w:p>
        </w:tc>
        <w:tc>
          <w:tcPr>
            <w:tcW w:w="6611"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凡有意参与的潜在比选申请人，请登录南宁轨道交通集团有限责任公司官网(</w:t>
            </w:r>
            <w:r>
              <w:rPr>
                <w:rFonts w:ascii="宋体" w:hAnsi="宋体" w:cs="宋体"/>
                <w:color w:val="000000" w:themeColor="text1"/>
                <w:szCs w:val="21"/>
              </w:rPr>
              <w:t>http://www.nngdjt.com/</w:t>
            </w:r>
            <w:r>
              <w:rPr>
                <w:rFonts w:hint="eastAsia" w:ascii="宋体" w:hAnsi="宋体" w:cs="宋体"/>
                <w:color w:val="000000" w:themeColor="text1"/>
                <w:szCs w:val="21"/>
              </w:rPr>
              <w:t>)的招标招商中的招标公告处下载比选文件。</w:t>
            </w:r>
          </w:p>
          <w:p>
            <w:pPr>
              <w:jc w:val="left"/>
              <w:rPr>
                <w:rFonts w:ascii="宋体" w:hAnsi="宋体" w:cs="宋体"/>
                <w:color w:val="000000" w:themeColor="text1"/>
                <w:szCs w:val="21"/>
              </w:rPr>
            </w:pPr>
            <w:r>
              <w:rPr>
                <w:rFonts w:hint="eastAsia" w:ascii="宋体" w:hAnsi="宋体" w:cs="宋体"/>
                <w:color w:val="000000" w:themeColor="text1"/>
                <w:szCs w:val="21"/>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比选有效期</w:t>
            </w:r>
          </w:p>
        </w:tc>
        <w:tc>
          <w:tcPr>
            <w:tcW w:w="6611" w:type="dxa"/>
            <w:vAlign w:val="center"/>
          </w:tcPr>
          <w:p>
            <w:pPr>
              <w:ind w:right="753"/>
              <w:jc w:val="left"/>
              <w:rPr>
                <w:rFonts w:ascii="宋体" w:hAnsi="宋体" w:cs="宋体"/>
                <w:color w:val="000000" w:themeColor="text1"/>
                <w:szCs w:val="21"/>
              </w:rPr>
            </w:pPr>
            <w:r>
              <w:rPr>
                <w:rFonts w:hint="eastAsia" w:ascii="宋体" w:hAnsi="宋体" w:cs="宋体"/>
                <w:color w:val="000000" w:themeColor="text1"/>
                <w:szCs w:val="21"/>
              </w:rPr>
              <w:t>30天（比选有效期是指为保证比选发起人有足够的时间完成评审和与中选人签订合同而在一定时间内保持有效的期限。比选有效期从比选申请文件递交截止之日算起。）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比选申请文件份数</w:t>
            </w:r>
          </w:p>
        </w:tc>
        <w:tc>
          <w:tcPr>
            <w:tcW w:w="6611" w:type="dxa"/>
            <w:vAlign w:val="center"/>
          </w:tcPr>
          <w:p>
            <w:pPr>
              <w:ind w:right="753"/>
              <w:jc w:val="left"/>
              <w:rPr>
                <w:rFonts w:ascii="宋体" w:hAnsi="宋体" w:cs="宋体"/>
                <w:color w:val="000000" w:themeColor="text1"/>
                <w:szCs w:val="21"/>
              </w:rPr>
            </w:pPr>
            <w:r>
              <w:rPr>
                <w:rFonts w:hint="eastAsia" w:ascii="宋体" w:hAnsi="宋体" w:cs="宋体"/>
                <w:color w:val="000000" w:themeColor="text1"/>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w:t>
            </w:r>
          </w:p>
        </w:tc>
        <w:tc>
          <w:tcPr>
            <w:tcW w:w="2145"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比选申请文件递交地址</w:t>
            </w:r>
          </w:p>
        </w:tc>
        <w:tc>
          <w:tcPr>
            <w:tcW w:w="6611" w:type="dxa"/>
            <w:vAlign w:val="center"/>
          </w:tcPr>
          <w:p>
            <w:pPr>
              <w:ind w:right="-3"/>
              <w:jc w:val="left"/>
              <w:rPr>
                <w:rFonts w:hint="eastAsia" w:ascii="宋体" w:hAnsi="宋体" w:eastAsia="宋体" w:cs="宋体"/>
                <w:color w:val="000000" w:themeColor="text1"/>
                <w:szCs w:val="21"/>
                <w:lang w:eastAsia="zh-CN"/>
              </w:rPr>
            </w:pPr>
            <w:r>
              <w:rPr>
                <w:rFonts w:hint="eastAsia" w:ascii="宋体" w:hAnsi="宋体" w:cs="宋体"/>
                <w:color w:val="000000" w:themeColor="text1"/>
                <w:szCs w:val="21"/>
              </w:rPr>
              <w:t>地点：南宁轨道交通集团有限责任公司A</w:t>
            </w:r>
            <w:r>
              <w:rPr>
                <w:rFonts w:hint="eastAsia" w:ascii="宋体" w:hAnsi="宋体" w:cs="宋体"/>
                <w:color w:val="000000" w:themeColor="text1"/>
                <w:szCs w:val="21"/>
                <w:lang w:val="en-US" w:eastAsia="zh-CN"/>
              </w:rPr>
              <w:t>2</w:t>
            </w:r>
            <w:r>
              <w:rPr>
                <w:rFonts w:hint="eastAsia" w:ascii="宋体" w:hAnsi="宋体" w:cs="宋体"/>
                <w:color w:val="000000" w:themeColor="text1"/>
                <w:szCs w:val="21"/>
              </w:rPr>
              <w:t>栋</w:t>
            </w:r>
            <w:r>
              <w:rPr>
                <w:rFonts w:hint="eastAsia" w:ascii="宋体" w:hAnsi="宋体" w:cs="宋体"/>
                <w:color w:val="000000" w:themeColor="text1"/>
                <w:szCs w:val="21"/>
                <w:lang w:eastAsia="zh-CN"/>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shd w:val="clear" w:color="auto" w:fill="CCE8CF" w:themeFill="background1"/>
            <w:vAlign w:val="center"/>
          </w:tcPr>
          <w:p>
            <w:pPr>
              <w:jc w:val="center"/>
              <w:rPr>
                <w:rFonts w:ascii="宋体" w:hAnsi="宋体" w:cs="宋体"/>
                <w:color w:val="000000" w:themeColor="text1"/>
                <w:szCs w:val="21"/>
              </w:rPr>
            </w:pPr>
            <w:r>
              <w:rPr>
                <w:rFonts w:hint="eastAsia" w:ascii="宋体" w:hAnsi="宋体" w:cs="宋体"/>
                <w:color w:val="000000" w:themeColor="text1"/>
                <w:szCs w:val="21"/>
              </w:rPr>
              <w:t>14</w:t>
            </w:r>
          </w:p>
        </w:tc>
        <w:tc>
          <w:tcPr>
            <w:tcW w:w="2145" w:type="dxa"/>
            <w:shd w:val="clear" w:color="auto" w:fill="CCE8CF" w:themeFill="background1"/>
            <w:vAlign w:val="center"/>
          </w:tcPr>
          <w:p>
            <w:pPr>
              <w:jc w:val="left"/>
              <w:rPr>
                <w:rFonts w:ascii="宋体" w:hAnsi="宋体" w:cs="宋体"/>
                <w:color w:val="000000" w:themeColor="text1"/>
                <w:szCs w:val="21"/>
              </w:rPr>
            </w:pPr>
            <w:r>
              <w:rPr>
                <w:rFonts w:hint="eastAsia" w:ascii="宋体" w:hAnsi="宋体" w:cs="宋体"/>
                <w:color w:val="000000" w:themeColor="text1"/>
                <w:szCs w:val="21"/>
              </w:rPr>
              <w:t xml:space="preserve">比选申请文件递交截止日期 </w:t>
            </w:r>
          </w:p>
        </w:tc>
        <w:tc>
          <w:tcPr>
            <w:tcW w:w="6611" w:type="dxa"/>
            <w:shd w:val="clear" w:color="auto" w:fill="CCE8CF" w:themeFill="background1"/>
            <w:vAlign w:val="center"/>
          </w:tcPr>
          <w:p>
            <w:pPr>
              <w:ind w:right="753"/>
              <w:jc w:val="left"/>
              <w:rPr>
                <w:rFonts w:ascii="宋体" w:hAnsi="宋体" w:cs="宋体"/>
                <w:color w:val="000000" w:themeColor="text1"/>
                <w:szCs w:val="21"/>
              </w:rPr>
            </w:pPr>
            <w:r>
              <w:rPr>
                <w:rFonts w:hint="eastAsia" w:ascii="宋体" w:hAnsi="宋体" w:cs="宋体"/>
                <w:color w:val="000000" w:themeColor="text1"/>
                <w:szCs w:val="21"/>
              </w:rPr>
              <w:t xml:space="preserve">2019年7月26日上午9:30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shd w:val="clear" w:color="auto" w:fill="CCE8CF" w:themeFill="background1"/>
            <w:vAlign w:val="center"/>
          </w:tcPr>
          <w:p>
            <w:pPr>
              <w:jc w:val="center"/>
              <w:rPr>
                <w:rFonts w:ascii="宋体" w:hAnsi="宋体" w:cs="宋体"/>
                <w:color w:val="000000" w:themeColor="text1"/>
                <w:szCs w:val="21"/>
              </w:rPr>
            </w:pPr>
            <w:r>
              <w:rPr>
                <w:rFonts w:hint="eastAsia" w:ascii="宋体" w:hAnsi="宋体" w:cs="宋体"/>
                <w:color w:val="000000" w:themeColor="text1"/>
                <w:szCs w:val="21"/>
              </w:rPr>
              <w:t>15</w:t>
            </w:r>
          </w:p>
        </w:tc>
        <w:tc>
          <w:tcPr>
            <w:tcW w:w="2145" w:type="dxa"/>
            <w:shd w:val="clear" w:color="auto" w:fill="CCE8CF" w:themeFill="background1"/>
            <w:vAlign w:val="center"/>
          </w:tcPr>
          <w:p>
            <w:pPr>
              <w:jc w:val="left"/>
              <w:rPr>
                <w:rFonts w:ascii="宋体" w:hAnsi="宋体" w:cs="宋体"/>
                <w:color w:val="000000" w:themeColor="text1"/>
                <w:szCs w:val="21"/>
              </w:rPr>
            </w:pPr>
            <w:r>
              <w:rPr>
                <w:rFonts w:hint="eastAsia" w:ascii="宋体" w:hAnsi="宋体" w:cs="宋体"/>
                <w:color w:val="000000" w:themeColor="text1"/>
                <w:szCs w:val="21"/>
              </w:rPr>
              <w:t xml:space="preserve">比选时间、地点          </w:t>
            </w:r>
          </w:p>
        </w:tc>
        <w:tc>
          <w:tcPr>
            <w:tcW w:w="6611" w:type="dxa"/>
            <w:shd w:val="clear" w:color="auto" w:fill="CCE8CF" w:themeFill="background1"/>
            <w:vAlign w:val="center"/>
          </w:tcPr>
          <w:p>
            <w:pPr>
              <w:ind w:right="753"/>
              <w:jc w:val="left"/>
              <w:rPr>
                <w:rFonts w:ascii="宋体" w:hAnsi="宋体" w:cs="宋体"/>
                <w:color w:val="000000" w:themeColor="text1"/>
                <w:szCs w:val="21"/>
              </w:rPr>
            </w:pPr>
            <w:r>
              <w:rPr>
                <w:rFonts w:hint="eastAsia" w:ascii="宋体" w:hAnsi="宋体" w:cs="宋体"/>
                <w:color w:val="000000" w:themeColor="text1"/>
                <w:szCs w:val="21"/>
              </w:rPr>
              <w:t>时间：</w:t>
            </w:r>
            <w:r>
              <w:rPr>
                <w:rFonts w:ascii="宋体" w:hAnsi="宋体" w:cs="宋体"/>
                <w:color w:val="000000" w:themeColor="text1"/>
                <w:szCs w:val="21"/>
              </w:rPr>
              <w:t>2019年7月</w:t>
            </w:r>
            <w:r>
              <w:rPr>
                <w:rFonts w:hint="eastAsia" w:ascii="宋体" w:hAnsi="宋体" w:cs="宋体"/>
                <w:color w:val="000000" w:themeColor="text1"/>
                <w:szCs w:val="21"/>
              </w:rPr>
              <w:t>26日</w:t>
            </w:r>
            <w:r>
              <w:rPr>
                <w:rFonts w:ascii="宋体" w:hAnsi="宋体" w:cs="宋体"/>
                <w:color w:val="000000" w:themeColor="text1"/>
                <w:szCs w:val="21"/>
              </w:rPr>
              <w:t>上午9:</w:t>
            </w:r>
            <w:r>
              <w:rPr>
                <w:rFonts w:hint="eastAsia" w:ascii="宋体" w:hAnsi="宋体" w:cs="宋体"/>
                <w:color w:val="000000" w:themeColor="text1"/>
                <w:szCs w:val="21"/>
              </w:rPr>
              <w:t>3</w:t>
            </w:r>
            <w:r>
              <w:rPr>
                <w:rFonts w:ascii="宋体" w:hAnsi="宋体" w:cs="宋体"/>
                <w:color w:val="000000" w:themeColor="text1"/>
                <w:szCs w:val="21"/>
              </w:rPr>
              <w:t>0-11:30</w:t>
            </w:r>
          </w:p>
          <w:p>
            <w:pPr>
              <w:ind w:right="-3"/>
              <w:jc w:val="left"/>
              <w:rPr>
                <w:rFonts w:hint="eastAsia" w:ascii="宋体" w:hAnsi="宋体" w:eastAsia="宋体" w:cs="宋体"/>
                <w:color w:val="000000" w:themeColor="text1"/>
                <w:szCs w:val="21"/>
                <w:lang w:eastAsia="zh-CN"/>
              </w:rPr>
            </w:pPr>
            <w:r>
              <w:rPr>
                <w:rFonts w:hint="eastAsia" w:ascii="宋体" w:hAnsi="宋体" w:cs="宋体"/>
                <w:color w:val="000000" w:themeColor="text1"/>
                <w:szCs w:val="21"/>
              </w:rPr>
              <w:t>地点：南宁轨道交通集团有限责任公司A</w:t>
            </w:r>
            <w:r>
              <w:rPr>
                <w:rFonts w:hint="eastAsia" w:ascii="宋体" w:hAnsi="宋体" w:cs="宋体"/>
                <w:color w:val="000000" w:themeColor="text1"/>
                <w:szCs w:val="21"/>
                <w:lang w:val="en-US" w:eastAsia="zh-CN"/>
              </w:rPr>
              <w:t>2</w:t>
            </w:r>
            <w:r>
              <w:rPr>
                <w:rFonts w:hint="eastAsia" w:ascii="宋体" w:hAnsi="宋体" w:cs="宋体"/>
                <w:color w:val="000000" w:themeColor="text1"/>
                <w:szCs w:val="21"/>
              </w:rPr>
              <w:t>栋</w:t>
            </w:r>
            <w:r>
              <w:rPr>
                <w:rFonts w:hint="eastAsia" w:ascii="宋体" w:hAnsi="宋体" w:cs="宋体"/>
                <w:color w:val="000000" w:themeColor="text1"/>
                <w:szCs w:val="21"/>
                <w:lang w:eastAsia="zh-CN"/>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16</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评比办法</w:t>
            </w:r>
          </w:p>
        </w:tc>
        <w:tc>
          <w:tcPr>
            <w:tcW w:w="6611" w:type="dxa"/>
            <w:vAlign w:val="center"/>
          </w:tcPr>
          <w:p>
            <w:pPr>
              <w:ind w:right="753"/>
              <w:jc w:val="left"/>
              <w:rPr>
                <w:rFonts w:ascii="宋体" w:hAnsi="宋体" w:cs="宋体"/>
                <w:color w:val="000000" w:themeColor="text1"/>
                <w:szCs w:val="21"/>
              </w:rPr>
            </w:pPr>
            <w:r>
              <w:rPr>
                <w:rFonts w:hint="eastAsia" w:ascii="宋体" w:hAnsi="宋体" w:cs="宋体"/>
                <w:color w:val="000000" w:themeColor="text1"/>
                <w:szCs w:val="21"/>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17</w:t>
            </w:r>
          </w:p>
        </w:tc>
        <w:tc>
          <w:tcPr>
            <w:tcW w:w="214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中选通知</w:t>
            </w:r>
          </w:p>
        </w:tc>
        <w:tc>
          <w:tcPr>
            <w:tcW w:w="6611" w:type="dxa"/>
          </w:tcPr>
          <w:p>
            <w:pPr>
              <w:ind w:right="-3"/>
              <w:jc w:val="left"/>
              <w:rPr>
                <w:rFonts w:ascii="宋体" w:hAnsi="宋体" w:cs="宋体"/>
                <w:color w:val="000000" w:themeColor="text1"/>
                <w:szCs w:val="21"/>
              </w:rPr>
            </w:pPr>
            <w:r>
              <w:rPr>
                <w:rFonts w:hint="eastAsia" w:ascii="宋体" w:hAnsi="宋体" w:cs="宋体"/>
                <w:color w:val="000000" w:themeColor="text1"/>
                <w:szCs w:val="21"/>
              </w:rPr>
              <w:t>比选人根据评比委员会的评比结果在比选有效期内向中选的比选申请人发出中选通知书。</w:t>
            </w:r>
          </w:p>
          <w:p>
            <w:pPr>
              <w:ind w:right="-3"/>
              <w:jc w:val="left"/>
              <w:rPr>
                <w:rFonts w:ascii="宋体" w:hAnsi="宋体" w:cs="宋体"/>
                <w:color w:val="000000" w:themeColor="text1"/>
                <w:szCs w:val="21"/>
              </w:rPr>
            </w:pPr>
            <w:r>
              <w:rPr>
                <w:rFonts w:hint="eastAsia" w:ascii="宋体" w:hAnsi="宋体" w:cs="宋体"/>
                <w:color w:val="000000" w:themeColor="text1"/>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18</w:t>
            </w:r>
          </w:p>
        </w:tc>
        <w:tc>
          <w:tcPr>
            <w:tcW w:w="2145"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比选保证金</w:t>
            </w:r>
          </w:p>
        </w:tc>
        <w:tc>
          <w:tcPr>
            <w:tcW w:w="6611" w:type="dxa"/>
            <w:vAlign w:val="center"/>
          </w:tcPr>
          <w:p>
            <w:pPr>
              <w:spacing w:line="240" w:lineRule="exact"/>
              <w:rPr>
                <w:rFonts w:ascii="宋体" w:hAnsi="宋体"/>
                <w:color w:val="000000" w:themeColor="text1"/>
                <w:szCs w:val="21"/>
              </w:rPr>
            </w:pPr>
            <w:r>
              <w:rPr>
                <w:rFonts w:hint="eastAsia" w:ascii="宋体" w:hAnsi="宋体"/>
                <w:color w:val="000000" w:themeColor="text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19</w:t>
            </w:r>
          </w:p>
        </w:tc>
        <w:tc>
          <w:tcPr>
            <w:tcW w:w="2145"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履约保证金</w:t>
            </w:r>
          </w:p>
        </w:tc>
        <w:tc>
          <w:tcPr>
            <w:tcW w:w="6611" w:type="dxa"/>
            <w:vAlign w:val="center"/>
          </w:tcPr>
          <w:p>
            <w:pPr>
              <w:spacing w:line="240" w:lineRule="exact"/>
              <w:jc w:val="left"/>
              <w:rPr>
                <w:rFonts w:ascii="宋体" w:hAnsi="宋体"/>
                <w:color w:val="000000" w:themeColor="text1"/>
                <w:szCs w:val="21"/>
              </w:rPr>
            </w:pPr>
            <w:r>
              <w:rPr>
                <w:rFonts w:hint="eastAsia" w:ascii="宋体" w:hAnsi="宋体"/>
                <w:color w:val="000000" w:themeColor="text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20</w:t>
            </w:r>
          </w:p>
        </w:tc>
        <w:tc>
          <w:tcPr>
            <w:tcW w:w="2145"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联系方式</w:t>
            </w:r>
          </w:p>
        </w:tc>
        <w:tc>
          <w:tcPr>
            <w:tcW w:w="6611" w:type="dxa"/>
            <w:vAlign w:val="center"/>
          </w:tcPr>
          <w:p>
            <w:pPr>
              <w:ind w:right="753"/>
              <w:jc w:val="left"/>
              <w:rPr>
                <w:rFonts w:ascii="宋体" w:hAnsi="宋体" w:cs="宋体"/>
                <w:color w:val="000000" w:themeColor="text1"/>
                <w:szCs w:val="21"/>
              </w:rPr>
            </w:pPr>
            <w:r>
              <w:rPr>
                <w:rFonts w:hint="eastAsia" w:ascii="宋体" w:hAnsi="宋体" w:cs="宋体"/>
                <w:color w:val="000000" w:themeColor="text1"/>
                <w:szCs w:val="21"/>
              </w:rPr>
              <w:t>联系人：张工   0771-2338658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67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21</w:t>
            </w:r>
          </w:p>
        </w:tc>
        <w:tc>
          <w:tcPr>
            <w:tcW w:w="2145"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其他事项</w:t>
            </w:r>
          </w:p>
        </w:tc>
        <w:tc>
          <w:tcPr>
            <w:tcW w:w="6611" w:type="dxa"/>
            <w:vAlign w:val="center"/>
          </w:tcPr>
          <w:p>
            <w:pPr>
              <w:ind w:right="-3"/>
              <w:jc w:val="left"/>
              <w:rPr>
                <w:rFonts w:ascii="宋体" w:hAnsi="宋体" w:cs="宋体"/>
                <w:color w:val="000000" w:themeColor="text1"/>
                <w:szCs w:val="21"/>
              </w:rPr>
            </w:pPr>
            <w:r>
              <w:rPr>
                <w:rFonts w:hint="eastAsia" w:ascii="宋体" w:hAnsi="宋体" w:cs="宋体"/>
                <w:color w:val="000000" w:themeColor="text1"/>
                <w:szCs w:val="21"/>
              </w:rPr>
              <w:t>中选单位如放弃中选资格，则比选发起人有权将其列入不良行为记录名单、一年内禁止其参加比选发起人的任何采购活动。</w:t>
            </w:r>
          </w:p>
        </w:tc>
      </w:tr>
    </w:tbl>
    <w:p>
      <w:pPr>
        <w:pStyle w:val="4"/>
        <w:jc w:val="center"/>
        <w:rPr>
          <w:color w:val="000000" w:themeColor="text1"/>
          <w:sz w:val="21"/>
          <w:szCs w:val="21"/>
        </w:rPr>
      </w:pPr>
      <w:bookmarkStart w:id="40" w:name="_Toc6681"/>
      <w:bookmarkStart w:id="41" w:name="_Toc26201"/>
      <w:bookmarkStart w:id="42" w:name="_Toc30162"/>
      <w:bookmarkStart w:id="43" w:name="_Toc18983"/>
      <w:bookmarkStart w:id="44" w:name="_Toc3861"/>
      <w:bookmarkStart w:id="45" w:name="_Toc336"/>
      <w:bookmarkStart w:id="46" w:name="_Toc32363"/>
      <w:bookmarkStart w:id="47" w:name="_Toc12506"/>
      <w:bookmarkStart w:id="48" w:name="_Toc461525297"/>
      <w:bookmarkStart w:id="49" w:name="_Toc20803"/>
      <w:bookmarkStart w:id="50" w:name="_Toc16198"/>
      <w:bookmarkStart w:id="51" w:name="_Toc28086"/>
      <w:bookmarkStart w:id="52" w:name="_Toc12419"/>
      <w:bookmarkStart w:id="53" w:name="_Toc471482361"/>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4"/>
        <w:jc w:val="center"/>
        <w:rPr>
          <w:color w:val="000000" w:themeColor="text1"/>
          <w:sz w:val="21"/>
          <w:szCs w:val="21"/>
        </w:rPr>
      </w:pPr>
      <w:r>
        <w:rPr>
          <w:rFonts w:hint="eastAsia"/>
          <w:color w:val="000000" w:themeColor="text1"/>
          <w:sz w:val="21"/>
          <w:szCs w:val="21"/>
        </w:rPr>
        <w:t>一、</w:t>
      </w:r>
      <w:r>
        <w:rPr>
          <w:color w:val="000000" w:themeColor="text1"/>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pacing w:line="360" w:lineRule="auto"/>
        <w:ind w:right="753"/>
        <w:jc w:val="left"/>
        <w:rPr>
          <w:rFonts w:ascii="宋体" w:hAnsi="宋体" w:cs="宋体"/>
          <w:color w:val="000000" w:themeColor="text1"/>
          <w:szCs w:val="21"/>
        </w:rPr>
      </w:pPr>
      <w:bookmarkStart w:id="54" w:name="_Toc310318572"/>
      <w:bookmarkStart w:id="55" w:name="_Toc286386834"/>
      <w:bookmarkStart w:id="56" w:name="_Toc114052414"/>
      <w:bookmarkStart w:id="57" w:name="_Toc114052340"/>
      <w:r>
        <w:rPr>
          <w:rFonts w:hint="eastAsia" w:ascii="宋体" w:hAnsi="宋体" w:cs="宋体"/>
          <w:color w:val="000000" w:themeColor="text1"/>
          <w:szCs w:val="21"/>
        </w:rPr>
        <w:t xml:space="preserve">    1.项目比选说明</w:t>
      </w:r>
      <w:bookmarkEnd w:id="54"/>
      <w:bookmarkEnd w:id="55"/>
      <w:bookmarkEnd w:id="56"/>
      <w:bookmarkEnd w:id="57"/>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1.1 项目比选的说明见比选须知前附表（以下称“前附表”）第1项～第21项所述。</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1.2 上述项目按照国家有关的法律、法规作为依据，并按照南宁市政府现行有关规定执行，南宁轨道交通集团有限责任公司现通过公开比选来择优选定服务单位。</w:t>
      </w:r>
    </w:p>
    <w:p>
      <w:pPr>
        <w:widowControl/>
        <w:spacing w:line="360" w:lineRule="auto"/>
        <w:ind w:firstLine="420"/>
        <w:rPr>
          <w:rFonts w:ascii="宋体" w:hAnsi="宋体" w:cs="宋体"/>
          <w:color w:val="000000" w:themeColor="text1"/>
          <w:szCs w:val="21"/>
        </w:rPr>
      </w:pPr>
      <w:r>
        <w:rPr>
          <w:rFonts w:hint="eastAsia" w:ascii="宋体" w:hAnsi="宋体" w:cs="宋体"/>
          <w:color w:val="000000" w:themeColor="text1"/>
          <w:szCs w:val="21"/>
        </w:rPr>
        <w:t>2.工作内容：</w:t>
      </w:r>
    </w:p>
    <w:p>
      <w:pPr>
        <w:widowControl/>
        <w:spacing w:line="360" w:lineRule="auto"/>
        <w:ind w:firstLine="420"/>
        <w:rPr>
          <w:rFonts w:ascii="宋体" w:hAnsi="宋体" w:cs="宋体"/>
          <w:color w:val="000000" w:themeColor="text1"/>
          <w:szCs w:val="21"/>
        </w:rPr>
      </w:pPr>
      <w:r>
        <w:rPr>
          <w:rFonts w:hint="eastAsia" w:ascii="宋体" w:hAnsi="宋体" w:cs="宋体"/>
          <w:color w:val="000000" w:themeColor="text1"/>
          <w:szCs w:val="21"/>
        </w:rPr>
        <w:t>2.</w:t>
      </w:r>
      <w:r>
        <w:rPr>
          <w:rFonts w:ascii="宋体" w:hAnsi="宋体" w:cs="宋体"/>
          <w:color w:val="000000" w:themeColor="text1"/>
          <w:szCs w:val="21"/>
        </w:rPr>
        <w:t>1、</w:t>
      </w:r>
      <w:r>
        <w:rPr>
          <w:rFonts w:hint="eastAsia" w:ascii="宋体" w:hAnsi="宋体" w:cs="宋体"/>
          <w:color w:val="000000" w:themeColor="text1"/>
          <w:szCs w:val="21"/>
        </w:rPr>
        <w:t>牵头</w:t>
      </w:r>
      <w:r>
        <w:rPr>
          <w:rFonts w:ascii="宋体" w:hAnsi="宋体" w:cs="宋体"/>
          <w:color w:val="000000" w:themeColor="text1"/>
          <w:szCs w:val="21"/>
        </w:rPr>
        <w:t>单位</w:t>
      </w:r>
      <w:r>
        <w:rPr>
          <w:rFonts w:hint="eastAsia" w:ascii="宋体" w:hAnsi="宋体" w:cs="宋体"/>
          <w:color w:val="000000" w:themeColor="text1"/>
          <w:szCs w:val="21"/>
        </w:rPr>
        <w:t>联合会计事务所和</w:t>
      </w:r>
      <w:r>
        <w:rPr>
          <w:rFonts w:hint="eastAsia" w:cs="宋体"/>
          <w:color w:val="000000" w:themeColor="text1"/>
          <w:szCs w:val="21"/>
        </w:rPr>
        <w:t>管理咨询机构</w:t>
      </w:r>
      <w:r>
        <w:rPr>
          <w:rFonts w:ascii="宋体" w:hAnsi="宋体" w:cs="宋体"/>
          <w:color w:val="000000" w:themeColor="text1"/>
          <w:szCs w:val="21"/>
        </w:rPr>
        <w:t>负责提供编制</w:t>
      </w:r>
      <w:r>
        <w:rPr>
          <w:rFonts w:hint="eastAsia" w:ascii="宋体" w:hAnsi="宋体" w:cs="宋体"/>
          <w:color w:val="000000" w:themeColor="text1"/>
          <w:szCs w:val="21"/>
        </w:rPr>
        <w:t>挂产权交易所前的所有征集</w:t>
      </w:r>
      <w:r>
        <w:rPr>
          <w:rFonts w:ascii="宋体" w:hAnsi="宋体" w:cs="宋体"/>
          <w:color w:val="000000" w:themeColor="text1"/>
          <w:szCs w:val="21"/>
        </w:rPr>
        <w:t>文件资料</w:t>
      </w:r>
      <w:r>
        <w:rPr>
          <w:rFonts w:hint="eastAsia" w:ascii="宋体" w:hAnsi="宋体" w:cs="宋体"/>
          <w:color w:val="000000" w:themeColor="text1"/>
          <w:szCs w:val="21"/>
        </w:rPr>
        <w:t>编制</w:t>
      </w:r>
      <w:r>
        <w:rPr>
          <w:rFonts w:ascii="宋体" w:hAnsi="宋体" w:cs="宋体"/>
          <w:color w:val="000000" w:themeColor="text1"/>
          <w:szCs w:val="21"/>
        </w:rPr>
        <w:t>，审</w:t>
      </w:r>
      <w:r>
        <w:rPr>
          <w:rFonts w:hint="eastAsia" w:ascii="宋体" w:hAnsi="宋体" w:cs="宋体"/>
          <w:color w:val="000000" w:themeColor="text1"/>
          <w:szCs w:val="21"/>
        </w:rPr>
        <w:t>查</w:t>
      </w:r>
      <w:r>
        <w:rPr>
          <w:rFonts w:ascii="宋体" w:hAnsi="宋体" w:cs="宋体"/>
          <w:color w:val="000000" w:themeColor="text1"/>
          <w:szCs w:val="21"/>
        </w:rPr>
        <w:t>招标文件，</w:t>
      </w:r>
      <w:r>
        <w:rPr>
          <w:rFonts w:hint="eastAsia" w:ascii="宋体" w:hAnsi="宋体" w:cs="宋体"/>
          <w:color w:val="000000" w:themeColor="text1"/>
          <w:szCs w:val="21"/>
        </w:rPr>
        <w:t>组织现场勘查及项目的相关工作会议，并就征集的所有环节的资产处置并提出合法性进行把关，需要</w:t>
      </w:r>
      <w:r>
        <w:rPr>
          <w:rFonts w:ascii="宋体" w:hAnsi="宋体" w:cs="宋体"/>
          <w:color w:val="000000" w:themeColor="text1"/>
          <w:szCs w:val="21"/>
        </w:rPr>
        <w:t>派</w:t>
      </w:r>
      <w:r>
        <w:rPr>
          <w:rFonts w:hint="eastAsia" w:ascii="宋体" w:hAnsi="宋体" w:cs="宋体"/>
          <w:color w:val="000000" w:themeColor="text1"/>
          <w:szCs w:val="21"/>
        </w:rPr>
        <w:t>至少一名</w:t>
      </w:r>
      <w:r>
        <w:rPr>
          <w:rFonts w:ascii="宋体" w:hAnsi="宋体" w:cs="宋体"/>
          <w:color w:val="000000" w:themeColor="text1"/>
          <w:szCs w:val="21"/>
        </w:rPr>
        <w:t>代表</w:t>
      </w:r>
      <w:r>
        <w:rPr>
          <w:rFonts w:hint="eastAsia" w:ascii="宋体" w:hAnsi="宋体" w:cs="宋体"/>
          <w:color w:val="000000" w:themeColor="text1"/>
          <w:szCs w:val="21"/>
        </w:rPr>
        <w:t>参与广西联合产权交易所进行相关工作对接</w:t>
      </w:r>
      <w:r>
        <w:rPr>
          <w:rFonts w:ascii="宋体" w:hAnsi="宋体" w:cs="宋体"/>
          <w:color w:val="000000" w:themeColor="text1"/>
          <w:szCs w:val="21"/>
        </w:rPr>
        <w:t>。</w:t>
      </w:r>
    </w:p>
    <w:p>
      <w:pPr>
        <w:widowControl/>
        <w:spacing w:line="360" w:lineRule="auto"/>
        <w:ind w:firstLine="420"/>
        <w:rPr>
          <w:rFonts w:ascii="宋体" w:hAnsi="宋体" w:cs="宋体"/>
          <w:color w:val="000000" w:themeColor="text1"/>
          <w:szCs w:val="21"/>
        </w:rPr>
      </w:pPr>
      <w:r>
        <w:rPr>
          <w:rFonts w:hint="eastAsia" w:ascii="宋体" w:hAnsi="宋体" w:cs="宋体"/>
          <w:color w:val="000000" w:themeColor="text1"/>
          <w:szCs w:val="21"/>
        </w:rPr>
        <w:t>2.2、协助征集方和广西联合产权交易所进行项目沟通，协助</w:t>
      </w:r>
      <w:r>
        <w:rPr>
          <w:rFonts w:ascii="宋体" w:hAnsi="宋体" w:cs="宋体"/>
          <w:color w:val="000000" w:themeColor="text1"/>
          <w:szCs w:val="21"/>
        </w:rPr>
        <w:t>发布</w:t>
      </w:r>
      <w:r>
        <w:rPr>
          <w:rFonts w:hint="eastAsia" w:ascii="宋体" w:hAnsi="宋体" w:cs="宋体"/>
          <w:color w:val="000000" w:themeColor="text1"/>
          <w:szCs w:val="21"/>
        </w:rPr>
        <w:t>征集</w:t>
      </w:r>
      <w:r>
        <w:rPr>
          <w:rFonts w:ascii="宋体" w:hAnsi="宋体" w:cs="宋体"/>
          <w:color w:val="000000" w:themeColor="text1"/>
          <w:szCs w:val="21"/>
        </w:rPr>
        <w:t>公告</w:t>
      </w:r>
      <w:r>
        <w:rPr>
          <w:rFonts w:hint="eastAsia" w:ascii="宋体" w:hAnsi="宋体" w:cs="宋体"/>
          <w:color w:val="000000" w:themeColor="text1"/>
          <w:szCs w:val="21"/>
        </w:rPr>
        <w:t>、专家评审、</w:t>
      </w:r>
      <w:r>
        <w:rPr>
          <w:rFonts w:ascii="宋体" w:hAnsi="宋体" w:cs="宋体"/>
          <w:color w:val="000000" w:themeColor="text1"/>
          <w:szCs w:val="21"/>
        </w:rPr>
        <w:t>合同准备和</w:t>
      </w:r>
      <w:r>
        <w:rPr>
          <w:rFonts w:hint="eastAsia" w:ascii="宋体" w:hAnsi="宋体" w:cs="宋体"/>
          <w:color w:val="000000" w:themeColor="text1"/>
          <w:szCs w:val="21"/>
        </w:rPr>
        <w:t>签订</w:t>
      </w:r>
      <w:r>
        <w:rPr>
          <w:rFonts w:ascii="宋体" w:hAnsi="宋体" w:cs="宋体"/>
          <w:color w:val="000000" w:themeColor="text1"/>
          <w:szCs w:val="21"/>
        </w:rPr>
        <w:t>合同等相关工作。</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3.资金来源</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资金来源见前附表第4项所述。</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4.</w:t>
      </w:r>
      <w:bookmarkStart w:id="58" w:name="_Toc114052342"/>
      <w:bookmarkStart w:id="59" w:name="_Toc286386836"/>
      <w:bookmarkStart w:id="60" w:name="_Toc114052416"/>
      <w:bookmarkStart w:id="61" w:name="_Toc310318574"/>
      <w:r>
        <w:rPr>
          <w:rFonts w:hint="eastAsia" w:ascii="宋体" w:hAnsi="宋体" w:cs="宋体"/>
          <w:color w:val="000000" w:themeColor="text1"/>
          <w:szCs w:val="21"/>
        </w:rPr>
        <w:t>比选申请人资格要求</w:t>
      </w:r>
      <w:bookmarkEnd w:id="58"/>
      <w:bookmarkEnd w:id="59"/>
      <w:bookmarkEnd w:id="60"/>
      <w:bookmarkEnd w:id="61"/>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4.1比选申请人必须具有前附表第9项相应的资质及要求。</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5.</w:t>
      </w:r>
      <w:bookmarkStart w:id="62" w:name="_Toc310318575"/>
      <w:bookmarkStart w:id="63" w:name="_Toc286386837"/>
      <w:bookmarkStart w:id="64" w:name="_Toc114052417"/>
      <w:bookmarkStart w:id="65" w:name="_Toc114052343"/>
      <w:r>
        <w:rPr>
          <w:rFonts w:hint="eastAsia" w:ascii="宋体" w:hAnsi="宋体" w:cs="宋体"/>
          <w:color w:val="000000" w:themeColor="text1"/>
          <w:szCs w:val="21"/>
        </w:rPr>
        <w:t>申请比选费用</w:t>
      </w:r>
      <w:bookmarkEnd w:id="62"/>
      <w:bookmarkEnd w:id="63"/>
      <w:bookmarkEnd w:id="64"/>
      <w:bookmarkEnd w:id="65"/>
    </w:p>
    <w:p>
      <w:pPr>
        <w:tabs>
          <w:tab w:val="left" w:pos="8610"/>
        </w:tabs>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5.1 比选申请人应承担其编制文件与递交文件所涉及的一切费用。不管评比结果如何，比选人对上述费用不负任何责任。</w:t>
      </w:r>
    </w:p>
    <w:p>
      <w:pPr>
        <w:pStyle w:val="4"/>
        <w:jc w:val="center"/>
        <w:rPr>
          <w:color w:val="000000" w:themeColor="text1"/>
          <w:sz w:val="21"/>
          <w:szCs w:val="21"/>
        </w:rPr>
      </w:pPr>
      <w:bookmarkStart w:id="66" w:name="_Toc461525298"/>
      <w:bookmarkStart w:id="67" w:name="_Toc6541"/>
      <w:bookmarkStart w:id="68" w:name="_Toc471482362"/>
      <w:bookmarkStart w:id="69" w:name="_Toc8029"/>
      <w:bookmarkStart w:id="70" w:name="_Toc18809"/>
      <w:bookmarkStart w:id="71" w:name="_Toc5207"/>
      <w:bookmarkStart w:id="72" w:name="_Toc3066"/>
      <w:bookmarkStart w:id="73" w:name="_Toc15439"/>
      <w:bookmarkStart w:id="74" w:name="_Toc26141"/>
      <w:bookmarkStart w:id="75" w:name="_Toc17725"/>
      <w:bookmarkStart w:id="76" w:name="_Toc25256"/>
      <w:bookmarkStart w:id="77" w:name="_Toc16023"/>
      <w:bookmarkStart w:id="78" w:name="_Toc17323"/>
      <w:bookmarkStart w:id="79" w:name="_Toc22143"/>
      <w:r>
        <w:rPr>
          <w:rFonts w:hint="eastAsia"/>
          <w:color w:val="000000" w:themeColor="text1"/>
          <w:sz w:val="21"/>
          <w:szCs w:val="21"/>
        </w:rPr>
        <w:t>二、</w:t>
      </w:r>
      <w:r>
        <w:rPr>
          <w:color w:val="000000" w:themeColor="text1"/>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6.</w:t>
      </w:r>
      <w:bookmarkStart w:id="80" w:name="_Toc310318577"/>
      <w:bookmarkStart w:id="81" w:name="_Toc286386839"/>
      <w:bookmarkStart w:id="82" w:name="_Toc114052419"/>
      <w:bookmarkStart w:id="83" w:name="_Toc114052345"/>
      <w:r>
        <w:rPr>
          <w:rFonts w:hint="eastAsia" w:ascii="宋体" w:hAnsi="宋体" w:cs="宋体"/>
          <w:color w:val="000000" w:themeColor="text1"/>
          <w:szCs w:val="21"/>
        </w:rPr>
        <w:t>比选文件的组成</w:t>
      </w:r>
      <w:bookmarkEnd w:id="80"/>
      <w:bookmarkEnd w:id="81"/>
      <w:bookmarkEnd w:id="82"/>
      <w:bookmarkEnd w:id="83"/>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6.1比选文件包括比选须知前附表、比选须知、合同条款（格式）、比选申请文件格式、评比办法。</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7.</w:t>
      </w:r>
      <w:bookmarkStart w:id="84" w:name="_Toc310318578"/>
      <w:bookmarkStart w:id="85" w:name="_Toc114052346"/>
      <w:bookmarkStart w:id="86" w:name="_Toc114052420"/>
      <w:bookmarkStart w:id="87" w:name="_Toc286386840"/>
      <w:r>
        <w:rPr>
          <w:rFonts w:hint="eastAsia" w:ascii="宋体" w:hAnsi="宋体" w:cs="宋体"/>
          <w:color w:val="000000" w:themeColor="text1"/>
          <w:szCs w:val="21"/>
        </w:rPr>
        <w:t>比选文件的解释</w:t>
      </w:r>
      <w:bookmarkEnd w:id="84"/>
      <w:bookmarkEnd w:id="85"/>
      <w:bookmarkEnd w:id="86"/>
      <w:bookmarkEnd w:id="87"/>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8.</w:t>
      </w:r>
      <w:bookmarkStart w:id="88" w:name="_Toc310318579"/>
      <w:bookmarkStart w:id="89" w:name="_Toc286386841"/>
      <w:bookmarkStart w:id="90" w:name="_Toc114052347"/>
      <w:bookmarkStart w:id="91" w:name="_Toc114052421"/>
      <w:r>
        <w:rPr>
          <w:rFonts w:hint="eastAsia" w:ascii="宋体" w:hAnsi="宋体" w:cs="宋体"/>
          <w:color w:val="000000" w:themeColor="text1"/>
          <w:szCs w:val="21"/>
        </w:rPr>
        <w:t>比选文件的修改</w:t>
      </w:r>
      <w:bookmarkEnd w:id="88"/>
      <w:bookmarkEnd w:id="89"/>
      <w:bookmarkEnd w:id="90"/>
      <w:bookmarkEnd w:id="91"/>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8.1 在递交文件截止日期前2天，比选人可以采用补充通知的方式修改比选文件。</w:t>
      </w:r>
    </w:p>
    <w:p>
      <w:pPr>
        <w:spacing w:line="360" w:lineRule="auto"/>
        <w:ind w:right="-21" w:firstLine="405"/>
        <w:jc w:val="left"/>
        <w:rPr>
          <w:rFonts w:ascii="宋体" w:hAnsi="宋体" w:cs="宋体"/>
          <w:color w:val="000000" w:themeColor="text1"/>
          <w:szCs w:val="21"/>
        </w:rPr>
      </w:pPr>
      <w:r>
        <w:rPr>
          <w:rFonts w:hint="eastAsia" w:ascii="宋体" w:hAnsi="宋体" w:cs="宋体"/>
          <w:color w:val="000000" w:themeColor="text1"/>
          <w:szCs w:val="21"/>
        </w:rPr>
        <w:t>8.2 补充通知将以书面形式，在比选人官网发布，补充通知作为比选文件的组成部分，对比选申请人起约束作用。</w:t>
      </w:r>
    </w:p>
    <w:p>
      <w:pPr>
        <w:ind w:right="-21" w:firstLine="405"/>
        <w:jc w:val="left"/>
        <w:rPr>
          <w:rFonts w:ascii="宋体" w:hAnsi="宋体" w:cs="宋体"/>
          <w:color w:val="000000" w:themeColor="text1"/>
          <w:szCs w:val="21"/>
        </w:rPr>
      </w:pPr>
    </w:p>
    <w:p>
      <w:pPr>
        <w:pStyle w:val="4"/>
        <w:jc w:val="center"/>
        <w:rPr>
          <w:color w:val="000000" w:themeColor="text1"/>
          <w:sz w:val="21"/>
          <w:szCs w:val="21"/>
        </w:rPr>
      </w:pPr>
      <w:bookmarkStart w:id="92" w:name="_Toc9684"/>
      <w:bookmarkStart w:id="93" w:name="_Toc30617"/>
      <w:bookmarkStart w:id="94" w:name="_Toc10523"/>
      <w:bookmarkStart w:id="95" w:name="_Toc461525299"/>
      <w:bookmarkStart w:id="96" w:name="_Toc29216"/>
      <w:bookmarkStart w:id="97" w:name="_Toc26897"/>
      <w:bookmarkStart w:id="98" w:name="_Toc18772"/>
      <w:bookmarkStart w:id="99" w:name="_Toc19209"/>
      <w:bookmarkStart w:id="100" w:name="_Toc9199"/>
      <w:bookmarkStart w:id="101" w:name="_Toc9453"/>
      <w:bookmarkStart w:id="102" w:name="_Toc8400"/>
      <w:bookmarkStart w:id="103" w:name="_Toc471482363"/>
      <w:bookmarkStart w:id="104" w:name="_Toc24574"/>
      <w:bookmarkStart w:id="105" w:name="_Toc6395"/>
      <w:r>
        <w:rPr>
          <w:rFonts w:hint="eastAsia"/>
          <w:color w:val="000000" w:themeColor="text1"/>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ind w:right="754"/>
        <w:jc w:val="left"/>
        <w:rPr>
          <w:rFonts w:ascii="宋体" w:hAnsi="宋体" w:cs="宋体"/>
          <w:color w:val="000000" w:themeColor="text1"/>
          <w:szCs w:val="21"/>
        </w:rPr>
      </w:pPr>
      <w:r>
        <w:rPr>
          <w:rFonts w:hint="eastAsia" w:ascii="宋体" w:hAnsi="宋体" w:cs="宋体"/>
          <w:color w:val="000000" w:themeColor="text1"/>
          <w:szCs w:val="21"/>
        </w:rPr>
        <w:t xml:space="preserve">    9.</w:t>
      </w:r>
      <w:bookmarkStart w:id="106" w:name="_Toc286386843"/>
      <w:bookmarkStart w:id="107" w:name="_Toc114052349"/>
      <w:bookmarkStart w:id="108" w:name="_Toc114052423"/>
      <w:bookmarkStart w:id="109" w:name="_Toc310318581"/>
      <w:r>
        <w:rPr>
          <w:rFonts w:hint="eastAsia" w:ascii="宋体" w:hAnsi="宋体" w:cs="宋体"/>
          <w:color w:val="000000" w:themeColor="text1"/>
          <w:szCs w:val="21"/>
        </w:rPr>
        <w:t>申请比选</w:t>
      </w:r>
      <w:bookmarkEnd w:id="106"/>
      <w:bookmarkEnd w:id="107"/>
      <w:bookmarkEnd w:id="108"/>
      <w:r>
        <w:rPr>
          <w:rFonts w:hint="eastAsia" w:ascii="宋体" w:hAnsi="宋体" w:cs="宋体"/>
          <w:color w:val="000000" w:themeColor="text1"/>
          <w:szCs w:val="21"/>
        </w:rPr>
        <w:t>报价</w:t>
      </w:r>
      <w:bookmarkEnd w:id="109"/>
    </w:p>
    <w:p>
      <w:pPr>
        <w:spacing w:line="360" w:lineRule="auto"/>
        <w:ind w:right="754"/>
        <w:jc w:val="left"/>
        <w:rPr>
          <w:rFonts w:ascii="宋体" w:hAnsi="宋体" w:cs="宋体"/>
          <w:color w:val="000000" w:themeColor="text1"/>
          <w:szCs w:val="21"/>
        </w:rPr>
      </w:pPr>
      <w:r>
        <w:rPr>
          <w:rFonts w:hint="eastAsia" w:ascii="宋体" w:hAnsi="宋体" w:cs="宋体"/>
          <w:color w:val="000000" w:themeColor="text1"/>
          <w:szCs w:val="21"/>
        </w:rPr>
        <w:t xml:space="preserve">    9.1申请比选报价见比选须知前附表第7项所述。</w:t>
      </w:r>
    </w:p>
    <w:p>
      <w:pPr>
        <w:pStyle w:val="4"/>
        <w:jc w:val="center"/>
        <w:rPr>
          <w:color w:val="000000" w:themeColor="text1"/>
          <w:sz w:val="21"/>
          <w:szCs w:val="21"/>
        </w:rPr>
      </w:pPr>
      <w:bookmarkStart w:id="110" w:name="_Toc2346"/>
      <w:bookmarkStart w:id="111" w:name="_Toc17722"/>
      <w:bookmarkStart w:id="112" w:name="_Toc18607"/>
      <w:bookmarkStart w:id="113" w:name="_Toc461525300"/>
      <w:bookmarkStart w:id="114" w:name="_Toc17188"/>
      <w:bookmarkStart w:id="115" w:name="_Toc11943"/>
      <w:bookmarkStart w:id="116" w:name="_Toc17259"/>
      <w:bookmarkStart w:id="117" w:name="_Toc23455"/>
      <w:bookmarkStart w:id="118" w:name="_Toc5583"/>
      <w:bookmarkStart w:id="119" w:name="_Toc471482364"/>
      <w:bookmarkStart w:id="120" w:name="_Toc31461"/>
      <w:bookmarkStart w:id="121" w:name="_Toc23191"/>
      <w:bookmarkStart w:id="122" w:name="_Toc25856"/>
      <w:bookmarkStart w:id="123" w:name="_Toc26723"/>
      <w:r>
        <w:rPr>
          <w:rFonts w:hint="eastAsia"/>
          <w:color w:val="000000" w:themeColor="text1"/>
          <w:sz w:val="21"/>
          <w:szCs w:val="21"/>
        </w:rPr>
        <w:t>四、比选申请文件的</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color w:val="000000" w:themeColor="text1"/>
          <w:sz w:val="21"/>
          <w:szCs w:val="21"/>
        </w:rPr>
        <w:t>编制</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10.</w:t>
      </w:r>
      <w:bookmarkStart w:id="124" w:name="_Toc310318583"/>
      <w:bookmarkStart w:id="125" w:name="_Toc286386845"/>
      <w:r>
        <w:rPr>
          <w:rFonts w:hint="eastAsia" w:ascii="宋体" w:hAnsi="宋体" w:cs="宋体"/>
          <w:color w:val="000000" w:themeColor="text1"/>
          <w:szCs w:val="21"/>
        </w:rPr>
        <w:t>比选申请文件编写注意事项</w:t>
      </w:r>
      <w:bookmarkEnd w:id="124"/>
      <w:bookmarkEnd w:id="125"/>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10.2比选文件提出的实质性要求和条件是指本比选项目所涉及的最低人员配置、价格、服务及其它要求、合同条款等内容。</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10.3比选申请人的比选申请文件所有来往函件统一使用中文(特别规定除外)。</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10.4比选申请文件中使用的计量单位除比选文件中有特殊规定外，一律使用法定计量单位。</w:t>
      </w:r>
    </w:p>
    <w:p>
      <w:pPr>
        <w:spacing w:line="360" w:lineRule="auto"/>
        <w:ind w:right="753"/>
        <w:jc w:val="left"/>
        <w:rPr>
          <w:rFonts w:ascii="宋体" w:hAnsi="宋体" w:cs="宋体"/>
          <w:color w:val="000000" w:themeColor="text1"/>
          <w:szCs w:val="21"/>
        </w:rPr>
      </w:pPr>
      <w:bookmarkStart w:id="126" w:name="_Toc114052426"/>
      <w:bookmarkStart w:id="127" w:name="_Toc286386846"/>
      <w:bookmarkStart w:id="128" w:name="_Toc310318584"/>
      <w:bookmarkStart w:id="129" w:name="_Toc114052352"/>
      <w:r>
        <w:rPr>
          <w:rFonts w:hint="eastAsia" w:ascii="宋体" w:hAnsi="宋体" w:cs="宋体"/>
          <w:color w:val="000000" w:themeColor="text1"/>
          <w:szCs w:val="21"/>
        </w:rPr>
        <w:t xml:space="preserve">    11.比选申请文件的组成</w:t>
      </w:r>
      <w:bookmarkEnd w:id="126"/>
      <w:bookmarkEnd w:id="127"/>
      <w:bookmarkEnd w:id="128"/>
      <w:bookmarkEnd w:id="129"/>
    </w:p>
    <w:p>
      <w:pPr>
        <w:spacing w:line="360" w:lineRule="auto"/>
        <w:ind w:right="-21"/>
        <w:jc w:val="left"/>
        <w:rPr>
          <w:rFonts w:ascii="宋体" w:hAnsi="宋体" w:cs="宋体"/>
          <w:color w:val="000000" w:themeColor="text1"/>
          <w:szCs w:val="21"/>
        </w:rPr>
      </w:pPr>
      <w:bookmarkStart w:id="130" w:name="_Toc114052354"/>
      <w:r>
        <w:rPr>
          <w:rFonts w:hint="eastAsia" w:ascii="宋体" w:hAnsi="宋体" w:cs="宋体"/>
          <w:color w:val="000000" w:themeColor="text1"/>
          <w:szCs w:val="21"/>
        </w:rPr>
        <w:t xml:space="preserve">    11.1比选申请文件由资格审查部分、技术部分、商务部分三部分组成，详细要求与部分格式详见第三章。</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11.2资格审查部分主要包括下列内容：</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w:t>
      </w:r>
      <w:r>
        <w:rPr>
          <w:rFonts w:hint="eastAsia" w:ascii="宋体" w:hAnsi="宋体" w:cs="宋体"/>
          <w:color w:val="000000" w:themeColor="text1"/>
          <w:szCs w:val="21"/>
        </w:rPr>
        <w:tab/>
      </w:r>
      <w:r>
        <w:rPr>
          <w:rFonts w:hint="eastAsia" w:ascii="宋体" w:hAnsi="宋体" w:cs="宋体"/>
          <w:color w:val="000000" w:themeColor="text1"/>
          <w:szCs w:val="21"/>
        </w:rPr>
        <w:t>联合体协议书（原件）</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2.</w:t>
      </w:r>
      <w:r>
        <w:rPr>
          <w:rFonts w:hint="eastAsia" w:ascii="宋体" w:hAnsi="宋体" w:cs="宋体"/>
          <w:color w:val="000000" w:themeColor="text1"/>
          <w:szCs w:val="21"/>
        </w:rPr>
        <w:tab/>
      </w:r>
      <w:r>
        <w:rPr>
          <w:rFonts w:hint="eastAsia" w:ascii="宋体" w:hAnsi="宋体" w:cs="宋体"/>
          <w:color w:val="000000" w:themeColor="text1"/>
          <w:szCs w:val="21"/>
        </w:rPr>
        <w:t>诚信声明（原件）</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3.</w:t>
      </w:r>
      <w:r>
        <w:rPr>
          <w:rFonts w:hint="eastAsia" w:ascii="宋体" w:hAnsi="宋体" w:cs="宋体"/>
          <w:color w:val="000000" w:themeColor="text1"/>
          <w:szCs w:val="21"/>
        </w:rPr>
        <w:tab/>
      </w:r>
      <w:r>
        <w:rPr>
          <w:rFonts w:hint="eastAsia" w:ascii="宋体" w:hAnsi="宋体" w:cs="宋体"/>
          <w:color w:val="000000" w:themeColor="text1"/>
          <w:szCs w:val="21"/>
        </w:rPr>
        <w:t>法定代表人资格证明书（原件）</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4.</w:t>
      </w:r>
      <w:r>
        <w:rPr>
          <w:rFonts w:hint="eastAsia" w:ascii="宋体" w:hAnsi="宋体" w:cs="宋体"/>
          <w:color w:val="000000" w:themeColor="text1"/>
          <w:szCs w:val="21"/>
        </w:rPr>
        <w:tab/>
      </w:r>
      <w:r>
        <w:rPr>
          <w:rFonts w:hint="eastAsia" w:ascii="宋体" w:hAnsi="宋体" w:cs="宋体"/>
          <w:color w:val="000000" w:themeColor="text1"/>
          <w:szCs w:val="21"/>
        </w:rPr>
        <w:t>法定代表人身份证（提供复印件加盖法人单位公章）</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5.</w:t>
      </w:r>
      <w:r>
        <w:rPr>
          <w:rFonts w:hint="eastAsia" w:ascii="宋体" w:hAnsi="宋体" w:cs="宋体"/>
          <w:color w:val="000000" w:themeColor="text1"/>
          <w:szCs w:val="21"/>
        </w:rPr>
        <w:tab/>
      </w:r>
      <w:r>
        <w:rPr>
          <w:rFonts w:hint="eastAsia" w:ascii="宋体" w:hAnsi="宋体" w:cs="宋体"/>
          <w:color w:val="000000" w:themeColor="text1"/>
          <w:szCs w:val="21"/>
        </w:rPr>
        <w:t>授权委托书（原件）</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6.</w:t>
      </w:r>
      <w:r>
        <w:rPr>
          <w:rFonts w:hint="eastAsia" w:ascii="宋体" w:hAnsi="宋体" w:cs="宋体"/>
          <w:color w:val="000000" w:themeColor="text1"/>
          <w:szCs w:val="21"/>
        </w:rPr>
        <w:tab/>
      </w:r>
      <w:r>
        <w:rPr>
          <w:rFonts w:hint="eastAsia" w:ascii="宋体" w:hAnsi="宋体" w:cs="宋体"/>
          <w:color w:val="000000" w:themeColor="text1"/>
          <w:szCs w:val="21"/>
        </w:rPr>
        <w:t>授权代理人身份证（提供复印件加盖法人单位公章）</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7.</w:t>
      </w:r>
      <w:r>
        <w:rPr>
          <w:rFonts w:hint="eastAsia" w:ascii="宋体" w:hAnsi="宋体" w:cs="宋体"/>
          <w:color w:val="000000" w:themeColor="text1"/>
          <w:szCs w:val="21"/>
        </w:rPr>
        <w:tab/>
      </w:r>
      <w:r>
        <w:rPr>
          <w:rFonts w:hint="eastAsia" w:ascii="宋体" w:hAnsi="宋体" w:cs="宋体"/>
          <w:color w:val="000000" w:themeColor="text1"/>
          <w:szCs w:val="21"/>
        </w:rPr>
        <w:t>营业执照（提供复印件加盖法人单位公章）</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8.</w:t>
      </w:r>
      <w:r>
        <w:rPr>
          <w:rFonts w:hint="eastAsia" w:ascii="宋体" w:hAnsi="宋体" w:cs="宋体"/>
          <w:color w:val="000000" w:themeColor="text1"/>
          <w:szCs w:val="21"/>
        </w:rPr>
        <w:tab/>
      </w:r>
      <w:r>
        <w:rPr>
          <w:rFonts w:hint="eastAsia" w:ascii="宋体" w:hAnsi="宋体" w:cs="宋体"/>
          <w:color w:val="000000" w:themeColor="text1"/>
          <w:szCs w:val="21"/>
        </w:rPr>
        <w:t>税务登记证（加盖单位公章, 如已办理三证合一则不需提供）；</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9.</w:t>
      </w:r>
      <w:r>
        <w:rPr>
          <w:rFonts w:hint="eastAsia" w:ascii="宋体" w:hAnsi="宋体" w:cs="宋体"/>
          <w:color w:val="000000" w:themeColor="text1"/>
          <w:szCs w:val="21"/>
        </w:rPr>
        <w:tab/>
      </w:r>
      <w:r>
        <w:rPr>
          <w:rFonts w:hint="eastAsia" w:ascii="宋体" w:hAnsi="宋体" w:cs="宋体"/>
          <w:color w:val="000000" w:themeColor="text1"/>
          <w:szCs w:val="21"/>
        </w:rPr>
        <w:t>组织机构代码证复印件（加盖单位公章, 如已办理三证合一则不需提供）</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10.拟投入人员配置表（至少一名注册造价师、注册评估师、注册会计师）（参考技术部分拟投入人员配置明显表格式填写）</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11.咨询管理机构应出具近三年不少于2个企业管理咨询服务合同，合同金额不低于40万元整</w:t>
      </w:r>
    </w:p>
    <w:p>
      <w:pPr>
        <w:ind w:right="-21" w:firstLine="420"/>
        <w:jc w:val="left"/>
        <w:rPr>
          <w:rFonts w:ascii="宋体" w:hAnsi="宋体" w:cs="宋体"/>
          <w:color w:val="000000" w:themeColor="text1"/>
          <w:szCs w:val="21"/>
        </w:rPr>
      </w:pPr>
      <w:r>
        <w:rPr>
          <w:rFonts w:hint="eastAsia" w:ascii="宋体" w:hAnsi="宋体" w:cs="宋体"/>
          <w:color w:val="000000" w:themeColor="text1"/>
          <w:szCs w:val="21"/>
        </w:rPr>
        <w:t>备注：以上材料均需加盖单位公章，并按照目录顺序编排，标注页码</w:t>
      </w:r>
    </w:p>
    <w:p>
      <w:pPr>
        <w:spacing w:line="360" w:lineRule="auto"/>
        <w:ind w:right="753"/>
        <w:jc w:val="left"/>
        <w:rPr>
          <w:rFonts w:ascii="宋体" w:hAnsi="宋体" w:cs="宋体"/>
          <w:color w:val="000000" w:themeColor="text1"/>
          <w:szCs w:val="21"/>
        </w:rPr>
      </w:pPr>
    </w:p>
    <w:bookmarkEnd w:id="130"/>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11.3技术部分主要包括下列内容：</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（1）业绩表；</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（2）拟投入人员配置明细表； </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（3）拟投入人员的相关工作业绩、资历及能力（由比选申请人自行编写）</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（4）服务方案（由比选申请人自行编写）</w:t>
      </w:r>
    </w:p>
    <w:p>
      <w:pPr>
        <w:spacing w:line="360" w:lineRule="auto"/>
        <w:ind w:right="753" w:firstLine="315" w:firstLineChars="150"/>
        <w:jc w:val="left"/>
        <w:rPr>
          <w:rFonts w:ascii="宋体" w:hAnsi="宋体" w:cs="宋体"/>
          <w:color w:val="000000" w:themeColor="text1"/>
          <w:szCs w:val="21"/>
        </w:rPr>
      </w:pPr>
      <w:r>
        <w:rPr>
          <w:rFonts w:hint="eastAsia" w:ascii="宋体" w:hAnsi="宋体" w:cs="宋体"/>
          <w:color w:val="000000" w:themeColor="text1"/>
          <w:szCs w:val="21"/>
        </w:rPr>
        <w:t>（5）其他……</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11.4商务部分主要包括下列内容：</w:t>
      </w:r>
    </w:p>
    <w:p>
      <w:pPr>
        <w:spacing w:line="360" w:lineRule="auto"/>
        <w:ind w:right="753" w:firstLine="315" w:firstLineChars="150"/>
        <w:jc w:val="left"/>
        <w:rPr>
          <w:rFonts w:ascii="宋体" w:hAnsi="宋体" w:cs="宋体"/>
          <w:color w:val="000000" w:themeColor="text1"/>
          <w:szCs w:val="21"/>
        </w:rPr>
      </w:pPr>
      <w:r>
        <w:rPr>
          <w:rFonts w:hint="eastAsia" w:ascii="宋体" w:hAnsi="宋体" w:cs="宋体"/>
          <w:color w:val="000000" w:themeColor="text1"/>
          <w:szCs w:val="21"/>
        </w:rPr>
        <w:t>（1）报价表；</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11.5比选申请人需按照比选人提供的比选申请文件格式和顺序另行编制比选申请文件，但表格可以按同样格式扩展。</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12.</w:t>
      </w:r>
      <w:bookmarkStart w:id="131" w:name="_Toc286386847"/>
      <w:bookmarkStart w:id="132" w:name="_Toc310318585"/>
      <w:bookmarkStart w:id="133" w:name="_Toc114052363"/>
      <w:bookmarkStart w:id="134" w:name="_Toc114052427"/>
      <w:r>
        <w:rPr>
          <w:rFonts w:hint="eastAsia" w:ascii="宋体" w:hAnsi="宋体" w:cs="宋体"/>
          <w:color w:val="000000" w:themeColor="text1"/>
          <w:szCs w:val="21"/>
        </w:rPr>
        <w:t>比选有效期</w:t>
      </w:r>
      <w:bookmarkEnd w:id="131"/>
      <w:bookmarkEnd w:id="132"/>
      <w:bookmarkEnd w:id="133"/>
      <w:bookmarkEnd w:id="134"/>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12.1 比选申请文件在前附表第14条规定的递交比选申请文件日期之后的30天内有效。</w:t>
      </w:r>
    </w:p>
    <w:p>
      <w:pPr>
        <w:spacing w:line="360" w:lineRule="auto"/>
        <w:ind w:right="-21" w:firstLine="420"/>
        <w:jc w:val="left"/>
        <w:rPr>
          <w:rFonts w:ascii="宋体" w:hAnsi="宋体" w:cs="宋体"/>
          <w:color w:val="000000" w:themeColor="text1"/>
          <w:szCs w:val="21"/>
        </w:rPr>
      </w:pPr>
      <w:r>
        <w:rPr>
          <w:rFonts w:hint="eastAsia" w:ascii="宋体" w:hAnsi="宋体" w:cs="宋体"/>
          <w:color w:val="000000" w:themeColor="text1"/>
          <w:szCs w:val="21"/>
        </w:rPr>
        <w:t>13.比选保证金</w:t>
      </w:r>
    </w:p>
    <w:p>
      <w:pPr>
        <w:spacing w:line="360" w:lineRule="auto"/>
        <w:ind w:right="-21" w:firstLine="420"/>
        <w:jc w:val="left"/>
        <w:rPr>
          <w:rFonts w:ascii="宋体" w:hAnsi="宋体" w:cs="宋体"/>
          <w:color w:val="000000" w:themeColor="text1"/>
          <w:szCs w:val="21"/>
        </w:rPr>
      </w:pPr>
      <w:r>
        <w:rPr>
          <w:rFonts w:hint="eastAsia" w:ascii="宋体" w:hAnsi="宋体" w:cs="宋体"/>
          <w:color w:val="000000" w:themeColor="text1"/>
          <w:szCs w:val="21"/>
        </w:rPr>
        <w:t>13.1本项目不设比选保证金</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14.</w:t>
      </w:r>
      <w:bookmarkStart w:id="135" w:name="_Toc286386849"/>
      <w:bookmarkStart w:id="136" w:name="_Toc114052365"/>
      <w:bookmarkStart w:id="137" w:name="_Toc114052429"/>
      <w:bookmarkStart w:id="138" w:name="_Toc310318587"/>
      <w:r>
        <w:rPr>
          <w:rFonts w:hint="eastAsia" w:ascii="宋体" w:hAnsi="宋体" w:cs="宋体"/>
          <w:color w:val="000000" w:themeColor="text1"/>
          <w:szCs w:val="21"/>
        </w:rPr>
        <w:t>比选答疑</w:t>
      </w:r>
      <w:bookmarkEnd w:id="135"/>
      <w:bookmarkEnd w:id="136"/>
      <w:bookmarkEnd w:id="137"/>
      <w:bookmarkEnd w:id="138"/>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14.2比选补遗文件包括所有问题和答复，比选人将于递交文件截止时间2天前以书面形式,在比选人官网发布，予以答复。</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15.</w:t>
      </w:r>
      <w:bookmarkStart w:id="139" w:name="_Toc286386850"/>
      <w:bookmarkStart w:id="140" w:name="_Toc114052366"/>
      <w:bookmarkStart w:id="141" w:name="_Toc310318588"/>
      <w:bookmarkStart w:id="142" w:name="_Toc114052430"/>
      <w:r>
        <w:rPr>
          <w:rFonts w:hint="eastAsia" w:ascii="宋体" w:hAnsi="宋体" w:cs="宋体"/>
          <w:color w:val="000000" w:themeColor="text1"/>
          <w:szCs w:val="21"/>
        </w:rPr>
        <w:t>比选申请文件的份数</w:t>
      </w:r>
      <w:bookmarkEnd w:id="139"/>
      <w:bookmarkEnd w:id="140"/>
      <w:bookmarkEnd w:id="141"/>
      <w:bookmarkEnd w:id="142"/>
      <w:r>
        <w:rPr>
          <w:rFonts w:hint="eastAsia" w:ascii="宋体" w:hAnsi="宋体" w:cs="宋体"/>
          <w:color w:val="000000" w:themeColor="text1"/>
          <w:szCs w:val="21"/>
        </w:rPr>
        <w:t>和签署</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15.2比选申请文件正本与副本均应使用不能擦去的黑色墨水打印或书写，装订成册，由比选申请人负责人或授权委托代理人亲自签署或加盖印鉴，并加盖比选申请人单位公章。</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color w:val="000000" w:themeColor="text1"/>
          <w:sz w:val="21"/>
          <w:szCs w:val="21"/>
        </w:rPr>
      </w:pPr>
      <w:bookmarkStart w:id="143" w:name="_Toc28652"/>
      <w:bookmarkStart w:id="144" w:name="_Toc25460"/>
      <w:bookmarkStart w:id="145" w:name="_Toc31804"/>
      <w:bookmarkStart w:id="146" w:name="_Toc2153"/>
      <w:bookmarkStart w:id="147" w:name="_Toc461525301"/>
      <w:bookmarkStart w:id="148" w:name="_Toc16937"/>
      <w:bookmarkStart w:id="149" w:name="_Toc15955"/>
      <w:bookmarkStart w:id="150" w:name="_Toc14726"/>
      <w:bookmarkStart w:id="151" w:name="_Toc23101"/>
      <w:bookmarkStart w:id="152" w:name="_Toc19276"/>
      <w:bookmarkStart w:id="153" w:name="_Toc471482365"/>
      <w:bookmarkStart w:id="154" w:name="_Toc11391"/>
      <w:bookmarkStart w:id="155" w:name="_Toc23604"/>
      <w:bookmarkStart w:id="156" w:name="_Toc28307"/>
      <w:r>
        <w:rPr>
          <w:rFonts w:hint="eastAsia"/>
          <w:color w:val="000000" w:themeColor="text1"/>
          <w:sz w:val="21"/>
          <w:szCs w:val="21"/>
        </w:rPr>
        <w:t>五、</w:t>
      </w:r>
      <w:r>
        <w:rPr>
          <w:color w:val="000000" w:themeColor="text1"/>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    16.比选申请文件的密封与标志</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16.1比选申请文件装订要求：比选申请文件中资格审查部分、技术部分、商务部分分开装订，每册采用粘贴方式装订，装订应牢固、不易拆散和换页，不得采用活页装订。</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16.2比选申请文件的资格审查部分、技术部分、商务部分分别分开密封在三个内层密封袋内，再合封在一个外层密封袋内（即采用双层包封法密封），并在内层密封袋上清楚地注明“资格审查部分”或“技术部分”或“商务部分”，提交比选申请文件时应为1个密封袋。</w:t>
      </w:r>
    </w:p>
    <w:p>
      <w:pPr>
        <w:tabs>
          <w:tab w:val="left" w:pos="8610"/>
        </w:tabs>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16.3密封袋封口处都应加盖比选申请人公章或粘贴加盖公章的密封条，若密封袋没有加盖公章或破损严重，有可能导致比选人的拒收。</w:t>
      </w:r>
    </w:p>
    <w:p>
      <w:pPr>
        <w:tabs>
          <w:tab w:val="left" w:pos="8610"/>
        </w:tabs>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16.4外层密封袋上需写明：</w:t>
      </w:r>
    </w:p>
    <w:p>
      <w:pPr>
        <w:tabs>
          <w:tab w:val="left" w:pos="8610"/>
        </w:tabs>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（1）比选项目名称：</w:t>
      </w:r>
    </w:p>
    <w:p>
      <w:pPr>
        <w:tabs>
          <w:tab w:val="left" w:pos="8610"/>
        </w:tabs>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（2）比选申请人名称：</w:t>
      </w:r>
    </w:p>
    <w:p>
      <w:pPr>
        <w:tabs>
          <w:tab w:val="left" w:pos="8610"/>
        </w:tabs>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（3）比选申请人法定代表人姓名或委托代理人姓名：</w:t>
      </w:r>
    </w:p>
    <w:p>
      <w:pPr>
        <w:tabs>
          <w:tab w:val="left" w:pos="8610"/>
        </w:tabs>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（4）2019年7月2日北京时间时分比选，此时间以前不得开封。</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16.5比选申请文件递交至前附表第13项所述的单位和地址。</w:t>
      </w:r>
    </w:p>
    <w:p>
      <w:pPr>
        <w:spacing w:line="360" w:lineRule="auto"/>
        <w:ind w:right="753" w:firstLine="420" w:firstLineChars="200"/>
        <w:jc w:val="left"/>
        <w:rPr>
          <w:rFonts w:ascii="宋体" w:hAnsi="宋体" w:cs="宋体"/>
          <w:color w:val="000000" w:themeColor="text1"/>
          <w:szCs w:val="21"/>
        </w:rPr>
      </w:pPr>
      <w:r>
        <w:rPr>
          <w:rFonts w:hint="eastAsia" w:ascii="宋体" w:hAnsi="宋体" w:cs="宋体"/>
          <w:color w:val="000000" w:themeColor="text1"/>
          <w:szCs w:val="21"/>
        </w:rPr>
        <w:t>17.递交比选文件截止期</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17.1比选申请人应在前附表第14项所述规定的时间，将比选申请文件递交至前附表第13项所述的单位和地址。</w:t>
      </w:r>
    </w:p>
    <w:p>
      <w:pPr>
        <w:pStyle w:val="4"/>
        <w:jc w:val="center"/>
        <w:rPr>
          <w:color w:val="000000" w:themeColor="text1"/>
          <w:sz w:val="21"/>
          <w:szCs w:val="21"/>
        </w:rPr>
      </w:pPr>
      <w:bookmarkStart w:id="157" w:name="_Toc29047"/>
      <w:bookmarkStart w:id="158" w:name="_Toc32687"/>
      <w:bookmarkStart w:id="159" w:name="_Toc20601"/>
      <w:bookmarkStart w:id="160" w:name="_Toc6376"/>
      <w:bookmarkStart w:id="161" w:name="_Toc17217"/>
      <w:bookmarkStart w:id="162" w:name="_Toc22118"/>
      <w:bookmarkStart w:id="163" w:name="_Toc30232"/>
      <w:bookmarkStart w:id="164" w:name="_Toc20356"/>
      <w:bookmarkStart w:id="165" w:name="_Toc31139"/>
      <w:bookmarkStart w:id="166" w:name="_Toc1057"/>
      <w:bookmarkStart w:id="167" w:name="_Toc31034"/>
      <w:bookmarkStart w:id="168" w:name="_Toc27095"/>
      <w:bookmarkStart w:id="169" w:name="_Toc471482366"/>
      <w:bookmarkStart w:id="170" w:name="_Toc461525302"/>
      <w:r>
        <w:rPr>
          <w:rFonts w:hint="eastAsia"/>
          <w:color w:val="000000" w:themeColor="text1"/>
          <w:sz w:val="21"/>
          <w:szCs w:val="21"/>
        </w:rPr>
        <w:t>六、评</w:t>
      </w:r>
      <w:bookmarkEnd w:id="157"/>
      <w:bookmarkEnd w:id="158"/>
      <w:bookmarkEnd w:id="159"/>
      <w:r>
        <w:rPr>
          <w:rFonts w:hint="eastAsia"/>
          <w:color w:val="000000" w:themeColor="text1"/>
          <w:sz w:val="21"/>
          <w:szCs w:val="21"/>
        </w:rPr>
        <w:t>比</w:t>
      </w:r>
      <w:bookmarkEnd w:id="160"/>
      <w:bookmarkEnd w:id="161"/>
      <w:bookmarkEnd w:id="162"/>
      <w:bookmarkEnd w:id="163"/>
      <w:bookmarkEnd w:id="164"/>
      <w:bookmarkEnd w:id="165"/>
      <w:bookmarkEnd w:id="166"/>
      <w:bookmarkEnd w:id="167"/>
      <w:bookmarkEnd w:id="168"/>
      <w:bookmarkEnd w:id="169"/>
      <w:bookmarkEnd w:id="170"/>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18.评比委员会</w:t>
      </w:r>
    </w:p>
    <w:p>
      <w:pPr>
        <w:spacing w:line="360" w:lineRule="auto"/>
        <w:ind w:firstLine="420"/>
        <w:rPr>
          <w:rFonts w:ascii="宋体" w:hAnsi="宋体" w:cs="宋体"/>
          <w:color w:val="000000" w:themeColor="text1"/>
          <w:szCs w:val="21"/>
        </w:rPr>
      </w:pPr>
      <w:r>
        <w:rPr>
          <w:rFonts w:hint="eastAsia" w:ascii="宋体" w:hAnsi="宋体" w:cs="宋体"/>
          <w:color w:val="000000" w:themeColor="text1"/>
          <w:szCs w:val="21"/>
        </w:rPr>
        <w:t>18.1</w:t>
      </w:r>
      <w:r>
        <w:rPr>
          <w:rFonts w:hint="eastAsia" w:ascii="宋体" w:hAnsi="宋体"/>
          <w:color w:val="000000" w:themeColor="text1"/>
          <w:szCs w:val="21"/>
        </w:rPr>
        <w:t>本项目的评比委员会由我司派员组成</w:t>
      </w:r>
      <w:r>
        <w:rPr>
          <w:rFonts w:hint="eastAsia" w:ascii="宋体" w:hAnsi="宋体" w:cs="宋体"/>
          <w:color w:val="000000" w:themeColor="text1"/>
          <w:szCs w:val="21"/>
        </w:rPr>
        <w:t>。</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18.2</w:t>
      </w:r>
      <w:r>
        <w:rPr>
          <w:rFonts w:hint="eastAsia" w:ascii="宋体" w:hAnsi="宋体"/>
          <w:color w:val="000000" w:themeColor="text1"/>
          <w:szCs w:val="21"/>
        </w:rPr>
        <w:t>评比委员会成员独立、客观、公正地履行职责，遵守职业道德，对所提出的评比意见承担个人责任；评比委员会成员应对整个评比活动保密。</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18.3</w:t>
      </w:r>
      <w:r>
        <w:rPr>
          <w:rFonts w:hint="eastAsia" w:ascii="宋体" w:hAnsi="宋体"/>
          <w:color w:val="000000" w:themeColor="text1"/>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570"/>
        <w:rPr>
          <w:rFonts w:ascii="宋体" w:hAnsi="宋体" w:cs="宋体"/>
          <w:color w:val="000000" w:themeColor="text1"/>
          <w:szCs w:val="21"/>
        </w:rPr>
      </w:pPr>
      <w:r>
        <w:rPr>
          <w:rFonts w:hint="eastAsia" w:ascii="宋体" w:hAnsi="宋体" w:cs="宋体"/>
          <w:color w:val="000000" w:themeColor="text1"/>
          <w:szCs w:val="21"/>
        </w:rPr>
        <w:t>18.4</w:t>
      </w:r>
      <w:r>
        <w:rPr>
          <w:rFonts w:hint="eastAsia" w:ascii="宋体" w:hAnsi="宋体"/>
          <w:color w:val="000000" w:themeColor="text1"/>
          <w:szCs w:val="21"/>
        </w:rPr>
        <w:t>严禁任何单位或个人以任何形式操纵、干预评比过程和评比结果</w:t>
      </w:r>
      <w:r>
        <w:rPr>
          <w:rFonts w:hint="eastAsia" w:ascii="宋体" w:hAnsi="宋体" w:cs="宋体"/>
          <w:color w:val="000000" w:themeColor="text1"/>
          <w:szCs w:val="21"/>
        </w:rPr>
        <w:t>。</w:t>
      </w:r>
    </w:p>
    <w:p>
      <w:pPr>
        <w:spacing w:line="360" w:lineRule="auto"/>
        <w:ind w:right="753"/>
        <w:jc w:val="left"/>
        <w:rPr>
          <w:rFonts w:ascii="宋体" w:hAnsi="宋体" w:cs="宋体"/>
          <w:color w:val="000000" w:themeColor="text1"/>
          <w:szCs w:val="21"/>
        </w:rPr>
      </w:pPr>
      <w:bookmarkStart w:id="171" w:name="_Toc310318596"/>
      <w:r>
        <w:rPr>
          <w:rFonts w:hint="eastAsia" w:ascii="宋体" w:hAnsi="宋体" w:cs="宋体"/>
          <w:color w:val="000000" w:themeColor="text1"/>
          <w:szCs w:val="21"/>
        </w:rPr>
        <w:t xml:space="preserve">    19.评比</w:t>
      </w:r>
      <w:bookmarkEnd w:id="171"/>
    </w:p>
    <w:p>
      <w:pPr>
        <w:spacing w:line="360" w:lineRule="auto"/>
        <w:ind w:right="-21" w:firstLine="420" w:firstLineChars="200"/>
        <w:jc w:val="left"/>
        <w:rPr>
          <w:rFonts w:ascii="宋体" w:hAnsi="宋体" w:cs="宋体"/>
          <w:color w:val="000000" w:themeColor="text1"/>
          <w:szCs w:val="21"/>
        </w:rPr>
      </w:pPr>
      <w:r>
        <w:rPr>
          <w:rFonts w:hint="eastAsia" w:ascii="宋体" w:hAnsi="宋体" w:cs="宋体"/>
          <w:color w:val="000000" w:themeColor="text1"/>
          <w:szCs w:val="21"/>
        </w:rPr>
        <w:t>19.1</w:t>
      </w:r>
      <w:r>
        <w:rPr>
          <w:rFonts w:hint="eastAsia" w:ascii="宋体" w:hAnsi="宋体"/>
          <w:color w:val="000000" w:themeColor="text1"/>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19.2评比会议程序：</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19.2.1比选申请人负责人或授权委托代理人应签名报到，比选人验证比选申请人法定代表人资格证明、授权委托书及委托代理人有效身份证明。</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19.2.2比选申请人退场</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19.2.3由主持人宣布评比会议开始，评比委员会确认文件是否密封。</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19.2.4评比委员会启封比选申请文件的资格审查部分，并进行评审。</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19.2.5由主持人当众宣布审查结果，并宣读有效的比选申请人名称以及比选人认为需要的其他内容。</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19.2.6评比委员会启封通过资格审查的比选申请文件的技术部分，并进行评审。</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19.2.7评比委员会启封通过资格审查的比选申请文件的商务部分，并进行评审。</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19.2.8在评比过程中，评比委员、记录人等有关人员在比选记录表上签字确认，主持人宣读比选结果。</w:t>
      </w:r>
    </w:p>
    <w:p>
      <w:pPr>
        <w:spacing w:line="360" w:lineRule="auto"/>
        <w:ind w:right="-21" w:firstLine="420" w:firstLineChars="200"/>
        <w:jc w:val="left"/>
        <w:rPr>
          <w:rFonts w:ascii="宋体" w:hAnsi="宋体" w:cs="宋体"/>
          <w:color w:val="000000" w:themeColor="text1"/>
          <w:szCs w:val="21"/>
        </w:rPr>
      </w:pPr>
      <w:r>
        <w:rPr>
          <w:rFonts w:hint="eastAsia" w:ascii="宋体" w:hAnsi="宋体"/>
          <w:color w:val="000000" w:themeColor="text1"/>
          <w:szCs w:val="21"/>
        </w:rPr>
        <w:t>19.2.9评比结束</w:t>
      </w:r>
    </w:p>
    <w:p>
      <w:pPr>
        <w:spacing w:line="360" w:lineRule="auto"/>
        <w:ind w:right="753" w:firstLine="420" w:firstLineChars="200"/>
        <w:jc w:val="left"/>
        <w:rPr>
          <w:rFonts w:ascii="宋体" w:hAnsi="宋体" w:cs="宋体"/>
          <w:color w:val="000000" w:themeColor="text1"/>
          <w:szCs w:val="21"/>
        </w:rPr>
      </w:pPr>
      <w:bookmarkStart w:id="172" w:name="_Toc114052375"/>
      <w:bookmarkStart w:id="173" w:name="_Toc286386859"/>
      <w:bookmarkStart w:id="174" w:name="_Toc114052439"/>
      <w:bookmarkStart w:id="175" w:name="_Toc310318597"/>
      <w:r>
        <w:rPr>
          <w:rFonts w:hint="eastAsia" w:ascii="宋体" w:hAnsi="宋体" w:cs="宋体"/>
          <w:color w:val="000000" w:themeColor="text1"/>
          <w:szCs w:val="21"/>
        </w:rPr>
        <w:t>20.评比</w:t>
      </w:r>
      <w:bookmarkEnd w:id="172"/>
      <w:bookmarkEnd w:id="173"/>
      <w:bookmarkEnd w:id="174"/>
      <w:bookmarkEnd w:id="175"/>
      <w:r>
        <w:rPr>
          <w:rFonts w:hint="eastAsia" w:ascii="宋体" w:hAnsi="宋体" w:cs="宋体"/>
          <w:color w:val="000000" w:themeColor="text1"/>
          <w:szCs w:val="21"/>
        </w:rPr>
        <w:t>工作相关要求</w:t>
      </w:r>
    </w:p>
    <w:p>
      <w:pPr>
        <w:spacing w:line="360" w:lineRule="auto"/>
        <w:ind w:right="753" w:firstLine="420" w:firstLineChars="200"/>
        <w:jc w:val="left"/>
        <w:rPr>
          <w:rFonts w:ascii="宋体" w:hAnsi="宋体"/>
          <w:color w:val="000000" w:themeColor="text1"/>
          <w:szCs w:val="21"/>
        </w:rPr>
      </w:pPr>
      <w:r>
        <w:rPr>
          <w:rFonts w:hint="eastAsia" w:ascii="宋体" w:hAnsi="宋体" w:cs="宋体"/>
          <w:color w:val="000000" w:themeColor="text1"/>
          <w:szCs w:val="21"/>
        </w:rPr>
        <w:t>20</w:t>
      </w:r>
      <w:r>
        <w:rPr>
          <w:rFonts w:hint="eastAsia" w:ascii="宋体" w:hAnsi="宋体"/>
          <w:color w:val="000000" w:themeColor="text1"/>
          <w:szCs w:val="21"/>
        </w:rPr>
        <w:t>.1本次比选的工作由评比委员会负责。</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20.2出现下列特殊情况之一，本次比选无效，本公司将重新组织比选：</w:t>
      </w:r>
    </w:p>
    <w:p>
      <w:pPr>
        <w:ind w:right="-21" w:firstLine="420" w:firstLineChars="200"/>
        <w:jc w:val="left"/>
        <w:rPr>
          <w:rFonts w:ascii="宋体" w:hAnsi="宋体"/>
          <w:color w:val="000000" w:themeColor="text1"/>
          <w:szCs w:val="21"/>
        </w:rPr>
      </w:pPr>
      <w:r>
        <w:rPr>
          <w:rFonts w:ascii="宋体" w:hAnsi="宋体"/>
          <w:color w:val="000000" w:themeColor="text1"/>
          <w:szCs w:val="21"/>
        </w:rPr>
        <w:t>20.2.1在比选申请文件递交截止时间到达时提交比选申请文件的比选申请人少于3家的；</w:t>
      </w:r>
    </w:p>
    <w:p>
      <w:pPr>
        <w:ind w:right="-21" w:firstLine="420" w:firstLineChars="200"/>
        <w:jc w:val="left"/>
        <w:rPr>
          <w:rFonts w:ascii="宋体" w:hAnsi="宋体"/>
          <w:color w:val="000000" w:themeColor="text1"/>
          <w:szCs w:val="21"/>
        </w:rPr>
      </w:pPr>
      <w:r>
        <w:rPr>
          <w:rFonts w:ascii="宋体" w:hAnsi="宋体"/>
          <w:color w:val="000000" w:themeColor="text1"/>
          <w:szCs w:val="21"/>
        </w:rPr>
        <w:t>20.2.2比选申请文件有效的比选申请人仅有2家，且评委认为没有竞争力的；</w:t>
      </w:r>
    </w:p>
    <w:p>
      <w:pPr>
        <w:ind w:right="-21" w:firstLine="420" w:firstLineChars="200"/>
        <w:jc w:val="left"/>
        <w:rPr>
          <w:rFonts w:ascii="宋体" w:hAnsi="宋体"/>
          <w:color w:val="000000" w:themeColor="text1"/>
          <w:szCs w:val="21"/>
        </w:rPr>
      </w:pPr>
      <w:r>
        <w:rPr>
          <w:rFonts w:ascii="宋体" w:hAnsi="宋体"/>
          <w:color w:val="000000" w:themeColor="text1"/>
          <w:szCs w:val="21"/>
        </w:rPr>
        <w:t>20.2.3有效比选申请文件只有1家或0家的；</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20.3评比过程的保密性。评比委员会成员、有关工作人员及其他知情人不得透露对比选申请文件的评比和比较、中选候选人的推荐情况以及与比选有关的其他情况。</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20.4比选申请人在评比过程中所进行的力图影响评比公正性的活动，可能导致其中选无效。</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20.5比选申请文件的澄清或说明</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20.5.1评比时评比委员会将以书面形式要求比选申请人就其比选申请文件中含义不明确、同类问题表述不一致或有明显文字错误等的内容予以澄清或说明。</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20.5.2比选申请人对要求澄清或说明的内容应在评比委员会规定的时间内以书面形式予以澄清，该澄清或说明函应有比选申请人负责人或其委托代理人的签名。</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20.5.3比选申请人的澄清或说明函作为比选申请文件的组成部分。</w:t>
      </w:r>
    </w:p>
    <w:p>
      <w:pPr>
        <w:spacing w:line="360" w:lineRule="auto"/>
        <w:ind w:right="-21" w:firstLine="420" w:firstLineChars="200"/>
        <w:jc w:val="left"/>
        <w:rPr>
          <w:rFonts w:ascii="宋体" w:hAnsi="宋体"/>
          <w:color w:val="000000" w:themeColor="text1"/>
          <w:szCs w:val="21"/>
        </w:rPr>
      </w:pPr>
      <w:r>
        <w:rPr>
          <w:rFonts w:hint="eastAsia" w:ascii="宋体" w:hAnsi="宋体"/>
          <w:color w:val="000000" w:themeColor="text1"/>
          <w:szCs w:val="21"/>
        </w:rPr>
        <w:t>20.5.4比选申请人对比选申请文件的澄清或说明不得超出比选申请文件的范围或改变投标的实质内容。</w:t>
      </w:r>
    </w:p>
    <w:p>
      <w:pPr>
        <w:spacing w:line="360" w:lineRule="auto"/>
        <w:ind w:right="753"/>
        <w:jc w:val="left"/>
        <w:rPr>
          <w:rFonts w:ascii="宋体" w:hAnsi="宋体" w:cs="宋体"/>
          <w:color w:val="000000" w:themeColor="text1"/>
          <w:szCs w:val="21"/>
        </w:rPr>
      </w:pPr>
      <w:bookmarkStart w:id="176" w:name="_Toc310318598"/>
      <w:r>
        <w:rPr>
          <w:rFonts w:hint="eastAsia" w:ascii="宋体" w:hAnsi="宋体" w:cs="宋体"/>
          <w:color w:val="000000" w:themeColor="text1"/>
          <w:szCs w:val="21"/>
        </w:rPr>
        <w:t xml:space="preserve">    21.比选申请文件评比</w:t>
      </w:r>
      <w:bookmarkEnd w:id="176"/>
      <w:r>
        <w:rPr>
          <w:rFonts w:hint="eastAsia" w:ascii="宋体" w:hAnsi="宋体" w:cs="宋体"/>
          <w:color w:val="000000" w:themeColor="text1"/>
          <w:szCs w:val="21"/>
        </w:rPr>
        <w:t>相关要求</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21.1比选申请人资格审查</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只有通过资格审查才能进入下一步的评比，资格审查资料有任何一项不合格者其资格审查视为不通过。</w:t>
      </w:r>
    </w:p>
    <w:p>
      <w:pPr>
        <w:spacing w:line="360" w:lineRule="auto"/>
        <w:ind w:right="-21"/>
        <w:jc w:val="left"/>
        <w:rPr>
          <w:rFonts w:ascii="宋体" w:hAnsi="宋体" w:cs="宋体"/>
          <w:b/>
          <w:color w:val="000000" w:themeColor="text1"/>
          <w:szCs w:val="21"/>
        </w:rPr>
      </w:pPr>
      <w:r>
        <w:rPr>
          <w:rFonts w:hint="eastAsia" w:ascii="宋体" w:hAnsi="宋体" w:cs="宋体"/>
          <w:b/>
          <w:color w:val="000000" w:themeColor="text1"/>
          <w:szCs w:val="21"/>
        </w:rPr>
        <w:t xml:space="preserve">  21.2比选申请人或其比选文件有下列情况之一者，其比选申请文件将视为无效或作废处理：</w:t>
      </w:r>
    </w:p>
    <w:p>
      <w:pPr>
        <w:spacing w:line="360" w:lineRule="auto"/>
        <w:ind w:right="-21"/>
        <w:jc w:val="left"/>
        <w:rPr>
          <w:rFonts w:ascii="宋体" w:hAnsi="宋体" w:cs="宋体"/>
          <w:b/>
          <w:color w:val="000000" w:themeColor="text1"/>
          <w:szCs w:val="21"/>
        </w:rPr>
      </w:pPr>
      <w:r>
        <w:rPr>
          <w:rFonts w:hint="eastAsia" w:ascii="宋体" w:hAnsi="宋体" w:cs="宋体"/>
          <w:b/>
          <w:color w:val="000000" w:themeColor="text1"/>
          <w:szCs w:val="21"/>
        </w:rPr>
        <w:t xml:space="preserve">    （1）比选申请人的负责人或委托代理人未按时参加评比会议的；</w:t>
      </w:r>
    </w:p>
    <w:p>
      <w:pPr>
        <w:spacing w:line="360" w:lineRule="auto"/>
        <w:ind w:right="753"/>
        <w:jc w:val="left"/>
        <w:rPr>
          <w:rFonts w:ascii="宋体" w:hAnsi="宋体" w:cs="宋体"/>
          <w:b/>
          <w:color w:val="000000" w:themeColor="text1"/>
          <w:szCs w:val="21"/>
        </w:rPr>
      </w:pPr>
      <w:r>
        <w:rPr>
          <w:rFonts w:hint="eastAsia" w:ascii="宋体" w:hAnsi="宋体" w:cs="宋体"/>
          <w:b/>
          <w:color w:val="000000" w:themeColor="text1"/>
          <w:szCs w:val="21"/>
        </w:rPr>
        <w:t xml:space="preserve">    （2）比选申请文件未按照规定的要求装订、密封和标记的；</w:t>
      </w:r>
    </w:p>
    <w:p>
      <w:pPr>
        <w:spacing w:line="360" w:lineRule="auto"/>
        <w:ind w:right="-21"/>
        <w:jc w:val="left"/>
        <w:rPr>
          <w:rFonts w:ascii="宋体" w:hAnsi="宋体" w:cs="宋体"/>
          <w:b/>
          <w:color w:val="000000" w:themeColor="text1"/>
          <w:szCs w:val="21"/>
        </w:rPr>
      </w:pPr>
      <w:r>
        <w:rPr>
          <w:rFonts w:hint="eastAsia" w:ascii="宋体" w:hAnsi="宋体" w:cs="宋体"/>
          <w:b/>
          <w:color w:val="000000" w:themeColor="text1"/>
          <w:szCs w:val="21"/>
        </w:rPr>
        <w:t xml:space="preserve">    （3）本须知第11条规定的比选申请文件有关内容未按本须知第15条规定加盖比选申请人公章、未经比选申请人负责人或其委托代理人签字或盖章的；</w:t>
      </w:r>
    </w:p>
    <w:p>
      <w:pPr>
        <w:spacing w:line="360" w:lineRule="auto"/>
        <w:ind w:right="-21"/>
        <w:jc w:val="left"/>
        <w:rPr>
          <w:rFonts w:ascii="宋体" w:hAnsi="宋体" w:cs="宋体"/>
          <w:b/>
          <w:color w:val="000000" w:themeColor="text1"/>
          <w:szCs w:val="21"/>
        </w:rPr>
      </w:pPr>
      <w:r>
        <w:rPr>
          <w:rFonts w:hint="eastAsia" w:ascii="宋体" w:hAnsi="宋体" w:cs="宋体"/>
          <w:b/>
          <w:color w:val="000000" w:themeColor="text1"/>
          <w:szCs w:val="21"/>
        </w:rPr>
        <w:t xml:space="preserve">    （4）不按本须知第11条内容提供资料的；逾期递交比选申请文件的；</w:t>
      </w:r>
    </w:p>
    <w:p>
      <w:pPr>
        <w:spacing w:line="360" w:lineRule="auto"/>
        <w:ind w:right="753"/>
        <w:jc w:val="left"/>
        <w:rPr>
          <w:rFonts w:ascii="宋体" w:hAnsi="宋体" w:cs="宋体"/>
          <w:b/>
          <w:color w:val="000000" w:themeColor="text1"/>
          <w:szCs w:val="21"/>
        </w:rPr>
      </w:pPr>
      <w:r>
        <w:rPr>
          <w:rFonts w:hint="eastAsia" w:ascii="宋体" w:hAnsi="宋体" w:cs="宋体"/>
          <w:b/>
          <w:color w:val="000000" w:themeColor="text1"/>
          <w:szCs w:val="21"/>
        </w:rPr>
        <w:t xml:space="preserve">    （5）比选申请文件内容不真实的；</w:t>
      </w:r>
    </w:p>
    <w:p>
      <w:pPr>
        <w:spacing w:line="360" w:lineRule="auto"/>
        <w:ind w:firstLine="422" w:firstLineChars="200"/>
        <w:rPr>
          <w:rFonts w:ascii="宋体" w:hAnsi="宋体"/>
          <w:b/>
          <w:color w:val="000000" w:themeColor="text1"/>
          <w:szCs w:val="21"/>
        </w:rPr>
      </w:pPr>
      <w:r>
        <w:rPr>
          <w:rFonts w:hint="eastAsia" w:ascii="宋体" w:hAnsi="宋体" w:cs="宋体"/>
          <w:b/>
          <w:color w:val="000000" w:themeColor="text1"/>
          <w:szCs w:val="21"/>
        </w:rPr>
        <w:t>（6）比选申请文件实质上没有响应比选文件的要求的；</w:t>
      </w:r>
      <w:r>
        <w:rPr>
          <w:rFonts w:hint="eastAsia" w:ascii="宋体" w:hAnsi="宋体"/>
          <w:b/>
          <w:color w:val="000000" w:themeColor="text1"/>
          <w:szCs w:val="21"/>
        </w:rPr>
        <w:t>（包括以下内容：比选项目所涉及的人员配置、业绩、价格、服务内容、合同条款等）</w:t>
      </w:r>
    </w:p>
    <w:p>
      <w:pPr>
        <w:spacing w:line="360" w:lineRule="auto"/>
        <w:ind w:right="-21" w:firstLine="413" w:firstLineChars="196"/>
        <w:jc w:val="left"/>
        <w:rPr>
          <w:rFonts w:ascii="宋体" w:hAnsi="宋体"/>
          <w:b/>
          <w:color w:val="000000" w:themeColor="text1"/>
          <w:szCs w:val="21"/>
        </w:rPr>
      </w:pPr>
      <w:r>
        <w:rPr>
          <w:rFonts w:hint="eastAsia" w:ascii="宋体" w:hAnsi="宋体"/>
          <w:b/>
          <w:color w:val="000000" w:themeColor="text1"/>
          <w:szCs w:val="21"/>
        </w:rPr>
        <w:t>（7）比选申请人报价超过上控价的。</w:t>
      </w:r>
    </w:p>
    <w:p>
      <w:pPr>
        <w:spacing w:line="360" w:lineRule="auto"/>
        <w:ind w:right="-21" w:firstLine="413" w:firstLineChars="196"/>
        <w:jc w:val="left"/>
        <w:rPr>
          <w:rFonts w:ascii="宋体" w:hAnsi="宋体"/>
          <w:b/>
          <w:color w:val="000000" w:themeColor="text1"/>
          <w:szCs w:val="21"/>
        </w:rPr>
      </w:pPr>
      <w:r>
        <w:rPr>
          <w:rFonts w:hint="eastAsia" w:ascii="宋体" w:hAnsi="宋体" w:cs="宋体"/>
          <w:b/>
          <w:color w:val="000000" w:themeColor="text1"/>
          <w:szCs w:val="21"/>
        </w:rPr>
        <w:t>（8）比选申请人不符合前附表第9条所述资格要求或比选申请人符合前附表第9条所述资格要求但就本比选项目分别提交两个（每个正本一份、副本四份）及以上的比选申请文件的。</w:t>
      </w:r>
    </w:p>
    <w:p>
      <w:pPr>
        <w:spacing w:line="360" w:lineRule="auto"/>
        <w:ind w:right="753"/>
        <w:jc w:val="left"/>
        <w:rPr>
          <w:rFonts w:ascii="宋体" w:hAnsi="宋体" w:cs="宋体"/>
          <w:color w:val="000000" w:themeColor="text1"/>
          <w:szCs w:val="21"/>
        </w:rPr>
      </w:pPr>
      <w:r>
        <w:rPr>
          <w:rFonts w:ascii="宋体" w:hAnsi="宋体" w:cs="宋体"/>
          <w:color w:val="000000" w:themeColor="text1"/>
          <w:szCs w:val="21"/>
        </w:rPr>
        <w:t xml:space="preserve">    21.3评比细则</w:t>
      </w:r>
    </w:p>
    <w:p>
      <w:pPr>
        <w:spacing w:line="360" w:lineRule="auto"/>
        <w:ind w:right="753"/>
        <w:jc w:val="left"/>
        <w:rPr>
          <w:rFonts w:ascii="宋体" w:hAnsi="宋体" w:cs="宋体"/>
          <w:color w:val="000000" w:themeColor="text1"/>
          <w:szCs w:val="21"/>
        </w:rPr>
      </w:pPr>
      <w:r>
        <w:rPr>
          <w:rFonts w:ascii="宋体" w:hAnsi="宋体" w:cs="宋体"/>
          <w:color w:val="000000" w:themeColor="text1"/>
          <w:szCs w:val="21"/>
        </w:rPr>
        <w:t xml:space="preserve">    详见第四章。</w:t>
      </w:r>
    </w:p>
    <w:p>
      <w:pPr>
        <w:spacing w:line="360" w:lineRule="auto"/>
        <w:ind w:right="753"/>
        <w:jc w:val="left"/>
        <w:rPr>
          <w:rFonts w:ascii="宋体" w:hAnsi="宋体" w:cs="宋体"/>
          <w:color w:val="000000" w:themeColor="text1"/>
          <w:szCs w:val="21"/>
        </w:rPr>
      </w:pPr>
      <w:r>
        <w:rPr>
          <w:rFonts w:ascii="宋体" w:hAnsi="宋体" w:cs="宋体"/>
          <w:color w:val="000000" w:themeColor="text1"/>
          <w:szCs w:val="21"/>
        </w:rPr>
        <w:t xml:space="preserve">    21.4确定中选人</w:t>
      </w:r>
    </w:p>
    <w:p>
      <w:pPr>
        <w:spacing w:line="360" w:lineRule="auto"/>
        <w:ind w:right="753" w:firstLine="420" w:firstLineChars="200"/>
        <w:jc w:val="left"/>
        <w:rPr>
          <w:rFonts w:ascii="宋体" w:hAnsi="宋体" w:cs="宋体"/>
          <w:color w:val="000000" w:themeColor="text1"/>
          <w:szCs w:val="21"/>
        </w:rPr>
      </w:pPr>
      <w:r>
        <w:rPr>
          <w:rFonts w:hint="eastAsia" w:ascii="宋体" w:hAnsi="宋体" w:cs="宋体"/>
          <w:color w:val="000000" w:themeColor="text1"/>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spacing w:line="360" w:lineRule="auto"/>
        <w:ind w:right="753"/>
        <w:jc w:val="left"/>
        <w:rPr>
          <w:rFonts w:ascii="宋体" w:hAnsi="宋体" w:cs="宋体"/>
          <w:color w:val="000000" w:themeColor="text1"/>
          <w:szCs w:val="21"/>
        </w:rPr>
      </w:pPr>
      <w:bookmarkStart w:id="177" w:name="_Toc286386861"/>
      <w:bookmarkStart w:id="178" w:name="_Toc310318599"/>
      <w:bookmarkStart w:id="179" w:name="_Toc114052441"/>
      <w:bookmarkStart w:id="180" w:name="_Toc114052377"/>
      <w:r>
        <w:rPr>
          <w:rFonts w:hint="eastAsia" w:ascii="宋体" w:hAnsi="宋体" w:cs="宋体"/>
          <w:color w:val="000000" w:themeColor="text1"/>
          <w:szCs w:val="21"/>
        </w:rPr>
        <w:t xml:space="preserve">    22.评比结果公示</w:t>
      </w:r>
      <w:bookmarkEnd w:id="177"/>
      <w:bookmarkEnd w:id="178"/>
      <w:bookmarkEnd w:id="179"/>
      <w:bookmarkEnd w:id="180"/>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22.1在评比结束后，比选人将在南宁轨道交通集团有限责任公司官网(</w:t>
      </w:r>
      <w:r>
        <w:rPr>
          <w:rFonts w:ascii="宋体" w:hAnsi="宋体" w:cs="宋体"/>
          <w:color w:val="000000" w:themeColor="text1"/>
          <w:szCs w:val="21"/>
        </w:rPr>
        <w:t>http://www.nngdjt.com/</w:t>
      </w:r>
      <w:r>
        <w:rPr>
          <w:rFonts w:hint="eastAsia" w:ascii="宋体" w:hAnsi="宋体" w:cs="宋体"/>
          <w:color w:val="000000" w:themeColor="text1"/>
          <w:szCs w:val="21"/>
        </w:rPr>
        <w:t>)的招标招商中的中标信息处公示评比结果。</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jc w:val="center"/>
        <w:rPr>
          <w:color w:val="000000" w:themeColor="text1"/>
          <w:sz w:val="21"/>
          <w:szCs w:val="21"/>
        </w:rPr>
      </w:pPr>
      <w:bookmarkStart w:id="181" w:name="_Toc471482367"/>
      <w:bookmarkStart w:id="182" w:name="_Toc24316"/>
      <w:bookmarkStart w:id="183" w:name="_Toc20403"/>
      <w:bookmarkStart w:id="184" w:name="_Toc17996"/>
      <w:bookmarkStart w:id="185" w:name="_Toc24212"/>
      <w:bookmarkStart w:id="186" w:name="_Toc19549"/>
      <w:bookmarkStart w:id="187" w:name="_Toc16746"/>
      <w:bookmarkStart w:id="188" w:name="_Toc12010"/>
      <w:bookmarkStart w:id="189" w:name="_Toc16935"/>
      <w:bookmarkStart w:id="190" w:name="_Toc6141"/>
      <w:bookmarkStart w:id="191" w:name="_Toc8363"/>
      <w:bookmarkStart w:id="192" w:name="_Toc30023"/>
      <w:bookmarkStart w:id="193" w:name="_Toc461525303"/>
      <w:bookmarkStart w:id="194" w:name="_Toc529"/>
      <w:r>
        <w:rPr>
          <w:rFonts w:hint="eastAsia"/>
          <w:color w:val="000000" w:themeColor="text1"/>
          <w:sz w:val="21"/>
          <w:szCs w:val="21"/>
        </w:rPr>
        <w:t>七、</w:t>
      </w:r>
      <w:r>
        <w:rPr>
          <w:color w:val="000000" w:themeColor="text1"/>
          <w:sz w:val="21"/>
          <w:szCs w:val="21"/>
        </w:rPr>
        <w:t>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23.中选通知书</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23.1比选人将向中选人发出中选通知书。</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23.2比选人无义务向落选的比选申请人解释落选原因和退还比选申请文件。</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23.3中选通知书作为合同的组成部分。</w:t>
      </w:r>
    </w:p>
    <w:p>
      <w:pPr>
        <w:spacing w:line="360" w:lineRule="auto"/>
        <w:ind w:right="753"/>
        <w:jc w:val="left"/>
        <w:rPr>
          <w:rFonts w:ascii="宋体" w:hAnsi="宋体" w:cs="宋体"/>
          <w:color w:val="000000" w:themeColor="text1"/>
          <w:szCs w:val="21"/>
        </w:rPr>
      </w:pPr>
      <w:r>
        <w:rPr>
          <w:rFonts w:hint="eastAsia" w:ascii="宋体" w:hAnsi="宋体" w:cs="宋体"/>
          <w:color w:val="000000" w:themeColor="text1"/>
          <w:szCs w:val="21"/>
        </w:rPr>
        <w:t xml:space="preserve">    24.合同的签署</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24.1中选人应按中选通知书中的相关要求，由中选人负责人或授权代表前往比选人处与比选人进行签订合同。</w:t>
      </w:r>
    </w:p>
    <w:p>
      <w:pPr>
        <w:spacing w:line="360" w:lineRule="auto"/>
        <w:ind w:right="-21"/>
        <w:jc w:val="left"/>
        <w:rPr>
          <w:rFonts w:ascii="宋体" w:hAnsi="宋体" w:cs="宋体"/>
          <w:color w:val="000000" w:themeColor="text1"/>
          <w:szCs w:val="21"/>
        </w:rPr>
      </w:pPr>
      <w:r>
        <w:rPr>
          <w:rFonts w:hint="eastAsia" w:ascii="宋体" w:hAnsi="宋体" w:cs="宋体"/>
          <w:color w:val="000000" w:themeColor="text1"/>
          <w:szCs w:val="21"/>
        </w:rPr>
        <w:t xml:space="preserve">    24.2中选人如放弃中选资格，则比选人有权将其列入不良行为记录名单、三年内禁止其参加比选人发起的任何采购活动。</w:t>
      </w:r>
    </w:p>
    <w:p>
      <w:pPr>
        <w:spacing w:line="360" w:lineRule="auto"/>
        <w:ind w:right="753" w:firstLine="420" w:firstLineChars="200"/>
        <w:jc w:val="left"/>
        <w:rPr>
          <w:rFonts w:ascii="宋体" w:hAnsi="宋体" w:cs="宋体"/>
          <w:color w:val="000000" w:themeColor="text1"/>
          <w:szCs w:val="21"/>
        </w:rPr>
      </w:pPr>
      <w:r>
        <w:rPr>
          <w:rFonts w:hint="eastAsia" w:ascii="宋体" w:hAnsi="宋体" w:cs="宋体"/>
          <w:color w:val="000000" w:themeColor="text1"/>
          <w:szCs w:val="21"/>
        </w:rPr>
        <w:t>24.3中选人被废除中选资格后，比选人有权将标授予预备中选单位。</w:t>
      </w:r>
    </w:p>
    <w:p>
      <w:pPr>
        <w:pStyle w:val="2"/>
        <w:rPr>
          <w:color w:val="000000" w:themeColor="text1"/>
          <w:sz w:val="24"/>
          <w:szCs w:val="24"/>
        </w:rPr>
      </w:pPr>
      <w:r>
        <w:rPr>
          <w:rFonts w:hint="eastAsia"/>
          <w:color w:val="000000" w:themeColor="text1"/>
          <w:sz w:val="21"/>
          <w:szCs w:val="21"/>
        </w:rPr>
        <w:br w:type="page"/>
      </w:r>
      <w:bookmarkStart w:id="195" w:name="_Toc21670"/>
      <w:bookmarkStart w:id="196" w:name="_Toc4769"/>
      <w:bookmarkStart w:id="197" w:name="_Toc461525304"/>
      <w:bookmarkStart w:id="198" w:name="_Toc471482368"/>
      <w:bookmarkStart w:id="199" w:name="_Toc31070"/>
      <w:bookmarkStart w:id="200" w:name="_Toc5964"/>
      <w:bookmarkStart w:id="201" w:name="_Toc12854"/>
      <w:bookmarkStart w:id="202" w:name="_Toc21358"/>
      <w:bookmarkStart w:id="203" w:name="_Toc1354"/>
      <w:bookmarkStart w:id="204" w:name="_Toc16062"/>
      <w:bookmarkStart w:id="205" w:name="_Toc2960"/>
      <w:bookmarkStart w:id="206" w:name="_Toc333307121"/>
      <w:bookmarkStart w:id="207" w:name="_Toc7234"/>
      <w:r>
        <w:rPr>
          <w:rFonts w:hint="eastAsia"/>
          <w:color w:val="000000" w:themeColor="text1"/>
          <w:sz w:val="24"/>
          <w:szCs w:val="24"/>
        </w:rPr>
        <w:t>第二章合同条款</w:t>
      </w:r>
      <w:bookmarkEnd w:id="195"/>
      <w:bookmarkEnd w:id="196"/>
      <w:bookmarkEnd w:id="197"/>
      <w:bookmarkEnd w:id="198"/>
      <w:bookmarkEnd w:id="199"/>
      <w:bookmarkEnd w:id="200"/>
      <w:bookmarkEnd w:id="201"/>
      <w:bookmarkEnd w:id="202"/>
      <w:bookmarkEnd w:id="203"/>
      <w:bookmarkEnd w:id="204"/>
      <w:bookmarkEnd w:id="205"/>
    </w:p>
    <w:p>
      <w:pPr>
        <w:ind w:right="560"/>
        <w:jc w:val="center"/>
        <w:rPr>
          <w:rFonts w:ascii="宋体" w:hAnsi="宋体" w:cs="宋体"/>
          <w:b/>
          <w:bCs/>
          <w:color w:val="000000" w:themeColor="text1"/>
          <w:sz w:val="24"/>
        </w:rPr>
      </w:pPr>
      <w:r>
        <w:rPr>
          <w:rFonts w:hint="eastAsia" w:ascii="宋体" w:hAnsi="宋体" w:cs="宋体"/>
          <w:color w:val="000000" w:themeColor="text1"/>
          <w:sz w:val="24"/>
        </w:rPr>
        <w:t xml:space="preserve">    合同编号：</w:t>
      </w:r>
    </w:p>
    <w:p>
      <w:pPr>
        <w:jc w:val="center"/>
        <w:rPr>
          <w:rFonts w:ascii="宋体" w:hAnsi="宋体"/>
          <w:color w:val="000000" w:themeColor="text1"/>
          <w:sz w:val="36"/>
          <w:szCs w:val="36"/>
        </w:rPr>
      </w:pPr>
      <w:r>
        <w:rPr>
          <w:rFonts w:hint="eastAsia" w:ascii="宋体" w:hAnsi="宋体"/>
          <w:color w:val="000000" w:themeColor="text1"/>
          <w:sz w:val="36"/>
          <w:szCs w:val="36"/>
        </w:rPr>
        <w:t>南宁轨道交通集团有限责任公司</w:t>
      </w:r>
    </w:p>
    <w:p>
      <w:pPr>
        <w:spacing w:line="360" w:lineRule="auto"/>
        <w:ind w:firstLine="720" w:firstLineChars="200"/>
        <w:jc w:val="center"/>
        <w:outlineLvl w:val="0"/>
        <w:rPr>
          <w:rFonts w:ascii="宋体" w:hAnsi="宋体"/>
          <w:color w:val="000000" w:themeColor="text1"/>
          <w:sz w:val="36"/>
          <w:szCs w:val="36"/>
        </w:rPr>
      </w:pPr>
      <w:r>
        <w:rPr>
          <w:rFonts w:hint="eastAsia" w:ascii="宋体" w:hAnsi="宋体"/>
          <w:color w:val="000000" w:themeColor="text1"/>
          <w:sz w:val="36"/>
          <w:szCs w:val="36"/>
        </w:rPr>
        <w:t>南宁东站周边一体化综合开发项目采用合作模式进行开发全套征集文件编制服务项目合同</w:t>
      </w:r>
    </w:p>
    <w:p>
      <w:pPr>
        <w:jc w:val="center"/>
        <w:rPr>
          <w:rFonts w:ascii="黑体" w:hAnsi="黑体" w:eastAsia="黑体" w:cs="宋体"/>
          <w:b/>
          <w:bCs/>
          <w:color w:val="000000" w:themeColor="text1"/>
          <w:sz w:val="36"/>
          <w:szCs w:val="36"/>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甲方：南宁轨道交通集团有限责任公司</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乙方：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（一）牵头方：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（二）成员方：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（三）成员方：</w:t>
      </w:r>
    </w:p>
    <w:p>
      <w:pPr>
        <w:spacing w:line="360" w:lineRule="auto"/>
        <w:ind w:firstLine="480" w:firstLineChars="200"/>
        <w:rPr>
          <w:rFonts w:ascii="宋体" w:hAnsi="宋体"/>
          <w:b/>
          <w:color w:val="000000" w:themeColor="text1"/>
          <w:sz w:val="24"/>
        </w:rPr>
      </w:pPr>
      <w:r>
        <w:rPr>
          <w:rFonts w:hint="eastAsia" w:ascii="宋体" w:hAnsi="宋体"/>
          <w:color w:val="000000" w:themeColor="text1"/>
          <w:sz w:val="24"/>
        </w:rPr>
        <w:t>甲方因业务发展需要，通过公开比选确定乙方为中选单位，经双方平等友好协商，达成如下协议：</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1.合同文件的优先次序</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1.1下列文件一起构成合同文件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（1）合同协议书及各种合同附件（含比选评审期间和合同谈判过程中的澄清文件和补充资料）；</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（2）联合体协议书</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（2）中选通知书；</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（3）比选申请文件及比选申请函；</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（4）比选文件；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（5）其他合同文件。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1.2上述文件互相补充和解释，如有不明确或不一致之处，以上述次序在先者为准；同一次序的文件以时间在后的为准。</w:t>
      </w:r>
    </w:p>
    <w:p>
      <w:pPr>
        <w:spacing w:line="360" w:lineRule="auto"/>
        <w:ind w:firstLine="482" w:firstLineChars="200"/>
        <w:rPr>
          <w:rFonts w:hAnsi="宋体"/>
          <w:color w:val="000000" w:themeColor="text1"/>
          <w:sz w:val="24"/>
        </w:rPr>
      </w:pPr>
      <w:r>
        <w:rPr>
          <w:rFonts w:hint="eastAsia" w:hAnsi="宋体"/>
          <w:b/>
          <w:color w:val="000000" w:themeColor="text1"/>
          <w:sz w:val="24"/>
        </w:rPr>
        <w:t>2.</w:t>
      </w:r>
      <w:r>
        <w:rPr>
          <w:rFonts w:hint="eastAsia" w:hAnsi="宋体"/>
          <w:color w:val="000000" w:themeColor="text1"/>
          <w:sz w:val="24"/>
        </w:rPr>
        <w:t>甲乙双方同意，指派由乙方组成的团队为甲方提供服务。乙方指定为日常联系人，负责服务工作的联系与对接。乙方应按照合法、公正、独立、优质、高效的原则为甲方提供服务，认真维护甲方的合法权益。</w:t>
      </w:r>
    </w:p>
    <w:p>
      <w:pPr>
        <w:spacing w:line="360" w:lineRule="auto"/>
        <w:ind w:firstLine="482" w:firstLineChars="200"/>
        <w:rPr>
          <w:rFonts w:ascii="宋体" w:hAnsi="宋体"/>
          <w:color w:val="000000" w:themeColor="text1"/>
          <w:sz w:val="24"/>
        </w:rPr>
      </w:pPr>
      <w:r>
        <w:rPr>
          <w:rFonts w:hint="eastAsia" w:ascii="宋体" w:hAnsi="宋体"/>
          <w:b/>
          <w:color w:val="000000" w:themeColor="text1"/>
          <w:sz w:val="24"/>
        </w:rPr>
        <w:t>3.合同期限</w:t>
      </w:r>
      <w:r>
        <w:rPr>
          <w:rFonts w:hint="eastAsia" w:ascii="宋体" w:hAnsi="宋体"/>
          <w:color w:val="000000" w:themeColor="text1"/>
          <w:sz w:val="24"/>
        </w:rPr>
        <w:t>：</w:t>
      </w:r>
      <w:r>
        <w:rPr>
          <w:rFonts w:hint="eastAsia" w:ascii="宋体" w:hAnsi="宋体"/>
          <w:b/>
          <w:color w:val="000000" w:themeColor="text1"/>
          <w:sz w:val="24"/>
        </w:rPr>
        <w:t>约一年</w:t>
      </w:r>
      <w:r>
        <w:rPr>
          <w:rFonts w:hint="eastAsia" w:ascii="宋体" w:hAnsi="宋体"/>
          <w:color w:val="000000" w:themeColor="text1"/>
          <w:sz w:val="24"/>
        </w:rPr>
        <w:t>。</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4.乙方的服务范围及工作内容</w:t>
      </w:r>
    </w:p>
    <w:p>
      <w:pPr>
        <w:spacing w:line="360" w:lineRule="auto"/>
        <w:ind w:firstLine="480" w:firstLineChars="200"/>
        <w:rPr>
          <w:rFonts w:ascii="宋体" w:hAnsi="宋体"/>
          <w:color w:val="000000" w:themeColor="text1"/>
          <w:sz w:val="24"/>
        </w:rPr>
      </w:pPr>
      <w:r>
        <w:rPr>
          <w:rFonts w:hint="eastAsia" w:ascii="宋体" w:hAnsi="宋体"/>
          <w:bCs/>
          <w:color w:val="000000" w:themeColor="text1"/>
          <w:sz w:val="24"/>
        </w:rPr>
        <w:t>乙方负责甲方的服务工作范围为：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4.1联合体服务牵头方:召集各联合体单位编制、</w:t>
      </w:r>
      <w:r>
        <w:rPr>
          <w:rFonts w:ascii="宋体" w:hAnsi="宋体"/>
          <w:color w:val="000000" w:themeColor="text1"/>
          <w:sz w:val="24"/>
        </w:rPr>
        <w:t>编写</w:t>
      </w:r>
      <w:r>
        <w:rPr>
          <w:rFonts w:hint="eastAsia" w:ascii="宋体" w:hAnsi="宋体"/>
          <w:color w:val="000000" w:themeColor="text1"/>
          <w:sz w:val="24"/>
        </w:rPr>
        <w:t>征集文件</w:t>
      </w:r>
      <w:r>
        <w:rPr>
          <w:rFonts w:ascii="宋体" w:hAnsi="宋体"/>
          <w:color w:val="000000" w:themeColor="text1"/>
          <w:sz w:val="24"/>
        </w:rPr>
        <w:t>；</w:t>
      </w:r>
      <w:r>
        <w:rPr>
          <w:rFonts w:hint="eastAsia" w:ascii="宋体" w:hAnsi="宋体"/>
          <w:color w:val="000000" w:themeColor="text1"/>
          <w:sz w:val="24"/>
        </w:rPr>
        <w:t>协助</w:t>
      </w:r>
      <w:r>
        <w:rPr>
          <w:rFonts w:ascii="宋体" w:hAnsi="宋体"/>
          <w:color w:val="000000" w:themeColor="text1"/>
          <w:sz w:val="24"/>
        </w:rPr>
        <w:t>发布</w:t>
      </w:r>
      <w:r>
        <w:rPr>
          <w:rFonts w:hint="eastAsia" w:ascii="宋体" w:hAnsi="宋体"/>
          <w:color w:val="000000" w:themeColor="text1"/>
          <w:sz w:val="24"/>
        </w:rPr>
        <w:t>征集</w:t>
      </w:r>
      <w:r>
        <w:rPr>
          <w:rFonts w:ascii="宋体" w:hAnsi="宋体"/>
          <w:color w:val="000000" w:themeColor="text1"/>
          <w:sz w:val="24"/>
        </w:rPr>
        <w:t>公告</w:t>
      </w:r>
      <w:r>
        <w:rPr>
          <w:rFonts w:hint="eastAsia" w:ascii="宋体" w:hAnsi="宋体"/>
          <w:color w:val="000000" w:themeColor="text1"/>
          <w:sz w:val="24"/>
        </w:rPr>
        <w:t>、</w:t>
      </w:r>
      <w:r>
        <w:rPr>
          <w:rFonts w:ascii="宋体" w:hAnsi="宋体"/>
          <w:color w:val="000000" w:themeColor="text1"/>
          <w:sz w:val="24"/>
        </w:rPr>
        <w:t>合同准备和</w:t>
      </w:r>
      <w:r>
        <w:rPr>
          <w:rFonts w:hint="eastAsia" w:ascii="宋体" w:hAnsi="宋体"/>
          <w:color w:val="000000" w:themeColor="text1"/>
          <w:sz w:val="24"/>
        </w:rPr>
        <w:t>签订</w:t>
      </w:r>
      <w:r>
        <w:rPr>
          <w:rFonts w:ascii="宋体" w:hAnsi="宋体"/>
          <w:color w:val="000000" w:themeColor="text1"/>
          <w:sz w:val="24"/>
        </w:rPr>
        <w:t>合同等相关工作</w:t>
      </w:r>
      <w:r>
        <w:rPr>
          <w:rFonts w:hint="eastAsia" w:ascii="宋体" w:hAnsi="宋体"/>
          <w:color w:val="000000" w:themeColor="text1"/>
          <w:sz w:val="24"/>
        </w:rPr>
        <w:t>，并积极与配合律师团队对编写文件的合法合规性进行审查。依据有关国有资产处置的相关法律法规和规范性文件，针对该项目的特点和需求进行编制文件的总体把关，广西联合产权交易所进行项目沟通，承担起联合单位之间及联合体与甲方之间的沟通协调责任。</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4.2联合体配合方咨询管理机构:</w:t>
      </w:r>
      <w:r>
        <w:rPr>
          <w:rFonts w:ascii="宋体" w:hAnsi="宋体"/>
          <w:color w:val="000000" w:themeColor="text1"/>
          <w:sz w:val="24"/>
        </w:rPr>
        <w:t>针对项目的</w:t>
      </w:r>
      <w:r>
        <w:rPr>
          <w:rFonts w:hint="eastAsia" w:ascii="宋体" w:hAnsi="宋体"/>
          <w:color w:val="000000" w:themeColor="text1"/>
          <w:sz w:val="24"/>
        </w:rPr>
        <w:t>合资</w:t>
      </w:r>
      <w:r>
        <w:rPr>
          <w:rFonts w:ascii="宋体" w:hAnsi="宋体"/>
          <w:color w:val="000000" w:themeColor="text1"/>
          <w:sz w:val="24"/>
        </w:rPr>
        <w:t>经营方式</w:t>
      </w:r>
      <w:r>
        <w:rPr>
          <w:rFonts w:hint="eastAsia" w:ascii="宋体" w:hAnsi="宋体"/>
          <w:color w:val="000000" w:themeColor="text1"/>
          <w:sz w:val="24"/>
        </w:rPr>
        <w:t>、</w:t>
      </w:r>
      <w:r>
        <w:rPr>
          <w:rFonts w:ascii="宋体" w:hAnsi="宋体"/>
          <w:color w:val="000000" w:themeColor="text1"/>
          <w:sz w:val="24"/>
        </w:rPr>
        <w:t>项目投资资金</w:t>
      </w:r>
      <w:r>
        <w:rPr>
          <w:rFonts w:hint="eastAsia" w:ascii="宋体" w:hAnsi="宋体"/>
          <w:color w:val="000000" w:themeColor="text1"/>
          <w:sz w:val="24"/>
        </w:rPr>
        <w:t>监管、支取</w:t>
      </w:r>
      <w:r>
        <w:rPr>
          <w:rFonts w:ascii="宋体" w:hAnsi="宋体"/>
          <w:color w:val="000000" w:themeColor="text1"/>
          <w:sz w:val="24"/>
        </w:rPr>
        <w:t>应注意的事项提供相关专业意见</w:t>
      </w:r>
      <w:r>
        <w:rPr>
          <w:rFonts w:hint="eastAsia" w:ascii="宋体" w:hAnsi="宋体"/>
          <w:color w:val="000000" w:themeColor="text1"/>
          <w:sz w:val="24"/>
        </w:rPr>
        <w:t>，包括但不限于合资公司的制度、授权、章程等事项。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4.3联合体配合方会计师事务所： 针对项目挂牌价格的会计准则、合资公司的财务授权、制度、章程等提出合理化建议。进一步完善甲方内控制度建设，全面提升合资公司管理水平，有效防范风险，提高甲方经济效益</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（服务范围、内容最后以中标单位与甲方商定为准）。</w:t>
      </w:r>
    </w:p>
    <w:p>
      <w:pPr>
        <w:spacing w:line="360" w:lineRule="auto"/>
        <w:rPr>
          <w:rFonts w:ascii="宋体" w:hAnsi="宋体"/>
          <w:b/>
          <w:i/>
          <w:color w:val="000000" w:themeColor="text1"/>
          <w:sz w:val="24"/>
          <w:u w:val="single"/>
        </w:rPr>
      </w:pPr>
      <w:r>
        <w:rPr>
          <w:rFonts w:ascii="宋体" w:hAnsi="宋体"/>
          <w:b/>
          <w:color w:val="000000" w:themeColor="text1"/>
          <w:sz w:val="24"/>
        </w:rPr>
        <w:t>5</w:t>
      </w:r>
      <w:r>
        <w:rPr>
          <w:rFonts w:hint="eastAsia" w:ascii="宋体" w:hAnsi="宋体"/>
          <w:b/>
          <w:color w:val="000000" w:themeColor="text1"/>
          <w:sz w:val="24"/>
        </w:rPr>
        <w:t>.委托服务方式</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本合同所述的现场为甲方的办公地点：</w:t>
      </w:r>
      <w:r>
        <w:rPr>
          <w:rFonts w:ascii="宋体" w:hAnsi="宋体"/>
          <w:color w:val="000000" w:themeColor="text1"/>
          <w:sz w:val="24"/>
          <w:u w:val="single"/>
        </w:rPr>
        <w:t>南宁市云景路69号</w:t>
      </w:r>
      <w:r>
        <w:rPr>
          <w:rFonts w:hint="eastAsia" w:ascii="宋体" w:hAnsi="宋体"/>
          <w:color w:val="000000" w:themeColor="text1"/>
          <w:sz w:val="24"/>
        </w:rPr>
        <w:t>。远程工作地点包括但不限于乙方办公地点。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现场工作主要包括：面对面调研和意见征询、服务相关问题和方案的讨论和会议、培训及集中答疑辅导、现场的检查与问题诊断、成果物的评审。</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远程工作主要包括：信息搜集与整理、文案撰写校验与排版、乙方内部研讨论证与知识库查询、基于电话邮件即时通讯工具的沟通答疑辅导。</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工作计划届时将作为本合同附件。甲方指定为项目负责人，乙方指定为项目负责人。</w:t>
      </w:r>
    </w:p>
    <w:p>
      <w:pPr>
        <w:spacing w:line="360" w:lineRule="auto"/>
        <w:rPr>
          <w:rFonts w:ascii="宋体" w:hAnsi="宋体"/>
          <w:b/>
          <w:color w:val="000000" w:themeColor="text1"/>
          <w:sz w:val="24"/>
        </w:rPr>
      </w:pPr>
      <w:r>
        <w:rPr>
          <w:rFonts w:hint="eastAsia" w:ascii="宋体" w:hAnsi="宋体"/>
          <w:b/>
          <w:color w:val="000000" w:themeColor="text1"/>
          <w:sz w:val="24"/>
        </w:rPr>
        <w:t>6.委托服务计划</w:t>
      </w:r>
    </w:p>
    <w:p>
      <w:pPr>
        <w:spacing w:line="360" w:lineRule="auto"/>
        <w:ind w:firstLine="480" w:firstLineChars="200"/>
        <w:rPr>
          <w:rFonts w:ascii="宋体" w:hAnsi="宋体"/>
          <w:color w:val="000000" w:themeColor="text1"/>
          <w:szCs w:val="21"/>
        </w:rPr>
      </w:pPr>
      <w:r>
        <w:rPr>
          <w:rFonts w:hint="eastAsia" w:ascii="宋体" w:hAnsi="宋体"/>
          <w:color w:val="000000" w:themeColor="text1"/>
          <w:sz w:val="24"/>
        </w:rPr>
        <w:t>双方约定以比选文件中的相关要求为基础，于本合同签订后的一个月内交付服务工作成果，具体时间计划，以甲方认可的书面工作计划为准：</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甲方授权为本合同约定服务及成果物的接收、管理、确认、验收机构或责任人。</w:t>
      </w:r>
    </w:p>
    <w:p>
      <w:pPr>
        <w:spacing w:line="360" w:lineRule="auto"/>
        <w:rPr>
          <w:rFonts w:ascii="宋体" w:hAnsi="宋体"/>
          <w:b/>
          <w:color w:val="000000" w:themeColor="text1"/>
          <w:sz w:val="24"/>
        </w:rPr>
      </w:pPr>
      <w:r>
        <w:rPr>
          <w:rFonts w:hint="eastAsia" w:ascii="宋体" w:hAnsi="宋体"/>
          <w:b/>
          <w:color w:val="000000" w:themeColor="text1"/>
          <w:sz w:val="24"/>
        </w:rPr>
        <w:t>7.费用及支付</w:t>
      </w:r>
    </w:p>
    <w:p>
      <w:pPr>
        <w:spacing w:line="360" w:lineRule="auto"/>
        <w:ind w:firstLine="482" w:firstLineChars="200"/>
        <w:rPr>
          <w:rFonts w:ascii="宋体" w:hAnsi="宋体"/>
          <w:b/>
          <w:bCs/>
          <w:color w:val="000000" w:themeColor="text1"/>
          <w:sz w:val="24"/>
        </w:rPr>
      </w:pPr>
      <w:r>
        <w:rPr>
          <w:rFonts w:hint="eastAsia" w:ascii="宋体" w:hAnsi="宋体"/>
          <w:b/>
          <w:bCs/>
          <w:color w:val="000000" w:themeColor="text1"/>
          <w:sz w:val="24"/>
        </w:rPr>
        <w:t>本合同总金额共计人民币</w:t>
      </w:r>
      <w:r>
        <w:rPr>
          <w:rFonts w:hint="eastAsia" w:ascii="宋体" w:hAnsi="宋体"/>
          <w:b/>
          <w:bCs/>
          <w:color w:val="000000" w:themeColor="text1"/>
          <w:sz w:val="24"/>
          <w:u w:val="single"/>
        </w:rPr>
        <w:t xml:space="preserve">         </w:t>
      </w:r>
      <w:r>
        <w:rPr>
          <w:rFonts w:hint="eastAsia" w:ascii="宋体" w:hAnsi="宋体"/>
          <w:b/>
          <w:bCs/>
          <w:color w:val="000000" w:themeColor="text1"/>
          <w:sz w:val="24"/>
        </w:rPr>
        <w:t>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7.1.甲方将服务费汇入联合体牵头方指定账号，各联合体单位之间的结算、相关税费由联合体牵头方负责。</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7.2</w:t>
      </w:r>
      <w:r>
        <w:rPr>
          <w:rFonts w:ascii="宋体" w:hAnsi="宋体"/>
          <w:color w:val="000000" w:themeColor="text1"/>
          <w:sz w:val="24"/>
        </w:rPr>
        <w:t>.</w:t>
      </w:r>
      <w:r>
        <w:rPr>
          <w:rFonts w:hint="eastAsia" w:ascii="宋体" w:hAnsi="宋体"/>
          <w:color w:val="000000" w:themeColor="text1"/>
          <w:sz w:val="24"/>
        </w:rPr>
        <w:t>合同签订后牵头方按甲方要求提交相关支付申请后十个工作日内由甲方支付给牵头方该合同总报价的</w:t>
      </w:r>
      <w:r>
        <w:rPr>
          <w:rFonts w:hint="eastAsia" w:ascii="宋体" w:hAnsi="宋体"/>
          <w:color w:val="000000" w:themeColor="text1"/>
          <w:sz w:val="24"/>
          <w:u w:val="single"/>
        </w:rPr>
        <w:t>20</w:t>
      </w:r>
      <w:r>
        <w:rPr>
          <w:rFonts w:ascii="宋体" w:hAnsi="宋体"/>
          <w:color w:val="000000" w:themeColor="text1"/>
          <w:sz w:val="24"/>
        </w:rPr>
        <w:t>%</w:t>
      </w:r>
      <w:r>
        <w:rPr>
          <w:rFonts w:hint="eastAsia" w:ascii="宋体" w:hAnsi="宋体"/>
          <w:color w:val="000000" w:themeColor="text1"/>
          <w:sz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7.3</w:t>
      </w:r>
      <w:r>
        <w:rPr>
          <w:rFonts w:ascii="宋体" w:hAnsi="宋体"/>
          <w:color w:val="000000" w:themeColor="text1"/>
          <w:sz w:val="24"/>
        </w:rPr>
        <w:t>.</w:t>
      </w:r>
      <w:r>
        <w:rPr>
          <w:rFonts w:hint="eastAsia" w:ascii="宋体" w:hAnsi="宋体"/>
          <w:color w:val="000000" w:themeColor="text1"/>
          <w:sz w:val="24"/>
        </w:rPr>
        <w:t>整套征集文件经律师审查，并成功上交易平台发布征集信息后，牵头方按甲方要求提交相关支付申请后十个工作日内由甲方支付给牵头方该合同总报价的</w:t>
      </w:r>
      <w:r>
        <w:rPr>
          <w:rFonts w:hint="eastAsia" w:ascii="宋体" w:hAnsi="宋体"/>
          <w:color w:val="000000" w:themeColor="text1"/>
          <w:sz w:val="24"/>
          <w:u w:val="single"/>
        </w:rPr>
        <w:t>70</w:t>
      </w:r>
      <w:r>
        <w:rPr>
          <w:rFonts w:ascii="宋体" w:hAnsi="宋体"/>
          <w:color w:val="000000" w:themeColor="text1"/>
          <w:sz w:val="24"/>
        </w:rPr>
        <w:t>%</w:t>
      </w:r>
      <w:r>
        <w:rPr>
          <w:rFonts w:hint="eastAsia" w:ascii="宋体" w:hAnsi="宋体"/>
          <w:color w:val="000000" w:themeColor="text1"/>
          <w:sz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7.4</w:t>
      </w:r>
      <w:r>
        <w:rPr>
          <w:rFonts w:ascii="宋体" w:hAnsi="宋体"/>
          <w:color w:val="000000" w:themeColor="text1"/>
          <w:sz w:val="24"/>
        </w:rPr>
        <w:t>.</w:t>
      </w:r>
      <w:r>
        <w:rPr>
          <w:rFonts w:hint="eastAsia" w:ascii="宋体" w:hAnsi="宋体"/>
          <w:color w:val="000000" w:themeColor="text1"/>
          <w:sz w:val="24"/>
        </w:rPr>
        <w:t>东站项目（8.9.10地块）若成功征集到合作方，且联合体单位配合完成合资公司的制度、授权等事项后，牵头方提出结算申请，甲方审批同意后支付余款。</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7.5.若东站项目（8.9.10地块）连续两次未能征集到合作方，则乙方无需支付剩余尾款。</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甲方在收到乙方提供的增值税专用发票、支付申请书及验收单材料后进行支付。</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（1）乙方每次提供的当次支付金额相对应的等额增值税专用发票。</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（2）乙方出具的支付申请书。</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（3）甲乙双方签名确认的验收单。</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（4）经甲方审定的结算资料。</w:t>
      </w:r>
    </w:p>
    <w:p>
      <w:pPr>
        <w:spacing w:line="360" w:lineRule="auto"/>
        <w:rPr>
          <w:rFonts w:ascii="宋体" w:hAnsi="宋体"/>
          <w:color w:val="000000" w:themeColor="text1"/>
          <w:sz w:val="24"/>
        </w:rPr>
      </w:pPr>
      <w:r>
        <w:rPr>
          <w:rFonts w:hint="eastAsia" w:ascii="宋体" w:hAnsi="宋体"/>
          <w:color w:val="000000" w:themeColor="text1"/>
          <w:sz w:val="24"/>
        </w:rPr>
        <w:t>上述合同款项由甲方汇入乙方指定帐户，同时乙方须向甲方出具等额发票。</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乙方开户银行名称、地址和帐号为：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乙方开户行：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地址：</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账号/行号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7.3.费用调整</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甲方需变更服务内容且超出合同范围的，经双方协商一致后另行签订补充协议。</w:t>
      </w:r>
    </w:p>
    <w:p>
      <w:pPr>
        <w:spacing w:line="360" w:lineRule="auto"/>
        <w:rPr>
          <w:rFonts w:ascii="宋体" w:hAnsi="宋体"/>
          <w:b/>
          <w:color w:val="000000" w:themeColor="text1"/>
          <w:sz w:val="24"/>
        </w:rPr>
      </w:pPr>
      <w:r>
        <w:rPr>
          <w:rFonts w:hint="eastAsia" w:ascii="宋体" w:hAnsi="宋体"/>
          <w:b/>
          <w:color w:val="000000" w:themeColor="text1"/>
          <w:sz w:val="24"/>
        </w:rPr>
        <w:t>8.项目验收</w:t>
      </w:r>
    </w:p>
    <w:p>
      <w:pPr>
        <w:spacing w:line="360" w:lineRule="auto"/>
        <w:ind w:firstLine="480" w:firstLineChars="200"/>
        <w:rPr>
          <w:rFonts w:ascii="宋体" w:hAnsi="宋体"/>
          <w:color w:val="000000" w:themeColor="text1"/>
          <w:sz w:val="24"/>
        </w:rPr>
      </w:pPr>
      <w:r>
        <w:rPr>
          <w:rFonts w:hint="eastAsia" w:ascii="宋体" w:hAnsi="宋体"/>
          <w:bCs/>
          <w:color w:val="000000" w:themeColor="text1"/>
          <w:sz w:val="24"/>
        </w:rPr>
        <w:t>阶段验收：1、整套征集文件经律师审查无意见后，并成功上交易平台发布征集信息</w:t>
      </w:r>
      <w:r>
        <w:rPr>
          <w:rFonts w:hint="eastAsia" w:ascii="宋体" w:hAnsi="宋体"/>
          <w:color w:val="000000" w:themeColor="text1"/>
          <w:sz w:val="24"/>
        </w:rPr>
        <w:t>；2、项目（8.9.10地块）若成功招到合作方，联合体单位配合完成合资公司的制度、授权、章程等事项并以甲方最终的会议纪要为准。</w:t>
      </w:r>
    </w:p>
    <w:p>
      <w:pPr>
        <w:spacing w:line="360" w:lineRule="auto"/>
        <w:rPr>
          <w:rFonts w:ascii="宋体" w:hAnsi="宋体"/>
          <w:b/>
          <w:color w:val="000000" w:themeColor="text1"/>
          <w:sz w:val="24"/>
        </w:rPr>
      </w:pPr>
      <w:r>
        <w:rPr>
          <w:rFonts w:hint="eastAsia" w:ascii="宋体" w:hAnsi="宋体"/>
          <w:b/>
          <w:color w:val="000000" w:themeColor="text1"/>
          <w:sz w:val="24"/>
        </w:rPr>
        <w:t>9.甲方权利义务</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9</w:t>
      </w:r>
      <w:r>
        <w:rPr>
          <w:rFonts w:ascii="宋体" w:hAnsi="宋体"/>
          <w:bCs/>
          <w:color w:val="000000" w:themeColor="text1"/>
          <w:sz w:val="24"/>
        </w:rPr>
        <w:t>.1</w:t>
      </w:r>
      <w:r>
        <w:rPr>
          <w:rFonts w:hint="eastAsia" w:ascii="宋体" w:hAnsi="宋体"/>
          <w:bCs/>
          <w:color w:val="000000" w:themeColor="text1"/>
          <w:sz w:val="24"/>
        </w:rPr>
        <w:t>甲方有权向乙方询问工作进展情况及相关内容；甲方有权阐述对具体问题的意见和建议。</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9.2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9.3因乙方原因造成甲方重大损失的，甲方有权随时解除本合同并要求乙方承担相应的赔偿责任。</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9.4因乙方未按合同约定按时按质完成工作内容，达不到甲方的要求，甲方有权要求解除本合同并要求乙方承担相应的赔偿责任。</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9.5及时按照约定的方式，确认服务工作范围和需求、确认乙方每个阶段的工作。</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9．6甲方应按照合同约定的付款方式、付款时间及金额向乙方支付费用。</w:t>
      </w:r>
    </w:p>
    <w:p>
      <w:pPr>
        <w:spacing w:line="360" w:lineRule="auto"/>
        <w:rPr>
          <w:rFonts w:ascii="宋体" w:hAnsi="宋体"/>
          <w:b/>
          <w:color w:val="000000" w:themeColor="text1"/>
          <w:sz w:val="24"/>
        </w:rPr>
      </w:pPr>
      <w:r>
        <w:rPr>
          <w:rFonts w:hint="eastAsia" w:ascii="宋体" w:hAnsi="宋体"/>
          <w:b/>
          <w:color w:val="000000" w:themeColor="text1"/>
          <w:sz w:val="24"/>
        </w:rPr>
        <w:t>10.乙方权利义务</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10.1按照双方确认的服务工作计划，确保服务的质量和进度开展服务工作</w:t>
      </w:r>
      <w:r>
        <w:rPr>
          <w:rFonts w:ascii="宋体" w:hAnsi="宋体"/>
          <w:color w:val="000000" w:themeColor="text1"/>
          <w:sz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10.2按协议要求提供服务，及时将成果物交付甲方</w:t>
      </w:r>
      <w:r>
        <w:rPr>
          <w:rFonts w:ascii="宋体" w:hAnsi="宋体"/>
          <w:color w:val="000000" w:themeColor="text1"/>
          <w:sz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10.3及时得到服务款</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10.4乙方应对甲方提供的基础资料保密，不得用于本项目以外的项目。乙方应遵守本合同之保密要求，并采取相应的保密措施，以防泄露服务成果；保密义务在本合同有效期内及本合同终止后持续存在。</w:t>
      </w:r>
    </w:p>
    <w:p>
      <w:pPr>
        <w:spacing w:line="360" w:lineRule="auto"/>
        <w:rPr>
          <w:rFonts w:ascii="宋体" w:hAnsi="宋体"/>
          <w:b/>
          <w:color w:val="000000" w:themeColor="text1"/>
          <w:sz w:val="24"/>
        </w:rPr>
      </w:pPr>
      <w:r>
        <w:rPr>
          <w:rFonts w:hint="eastAsia" w:ascii="宋体" w:hAnsi="宋体"/>
          <w:b/>
          <w:color w:val="000000" w:themeColor="text1"/>
          <w:sz w:val="24"/>
        </w:rPr>
        <w:t>11.违约责任</w:t>
      </w:r>
    </w:p>
    <w:p>
      <w:pPr>
        <w:spacing w:line="360" w:lineRule="auto"/>
        <w:ind w:firstLine="480" w:firstLineChars="200"/>
        <w:rPr>
          <w:rFonts w:ascii="宋体" w:hAnsi="宋体" w:cs="Gulim"/>
          <w:color w:val="000000" w:themeColor="text1"/>
          <w:sz w:val="24"/>
          <w:lang w:bidi="en-US"/>
        </w:rPr>
      </w:pPr>
      <w:r>
        <w:rPr>
          <w:rFonts w:hint="eastAsia" w:ascii="宋体" w:hAnsi="宋体" w:cs="Gulim"/>
          <w:color w:val="000000" w:themeColor="text1"/>
          <w:sz w:val="24"/>
          <w:lang w:bidi="en-US"/>
        </w:rPr>
        <w:t>11.1本合同正式签订生效后，任何一方不履行或不完全履行本合同约定条款的，即构成违约。任何一方违约不履行本合同，违约方应向守约方支付由于违约造成的一切损失。</w:t>
      </w:r>
    </w:p>
    <w:p>
      <w:pPr>
        <w:spacing w:line="360" w:lineRule="auto"/>
        <w:ind w:firstLine="480" w:firstLineChars="200"/>
        <w:rPr>
          <w:rFonts w:ascii="宋体" w:hAnsi="宋体"/>
          <w:color w:val="000000" w:themeColor="text1"/>
          <w:sz w:val="24"/>
        </w:rPr>
      </w:pPr>
      <w:r>
        <w:rPr>
          <w:rFonts w:hint="eastAsia" w:ascii="宋体" w:hAnsi="宋体" w:cs="Gulim"/>
          <w:color w:val="000000" w:themeColor="text1"/>
          <w:sz w:val="24"/>
          <w:lang w:bidi="en-US"/>
        </w:rPr>
        <w:t>11.2如乙方不能按照本合同约定履行义务的，甲方有权直接解除合同，剩余合同费用不予支付。甲方有权视情形要求乙方退回已支付的全部或部分服务费用，给甲方造成其他损失的，乙方还应进行赔偿。</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11.3因乙方原因导致知识产权或其他纠纷，从而导致甲方不能正常使用乙方提供的服务的, 乙方须全额退还甲方已经支付的款项，因此给甲方造成损失的，由乙方承担全部赔偿责任。</w:t>
      </w:r>
    </w:p>
    <w:p>
      <w:pPr>
        <w:spacing w:line="360" w:lineRule="auto"/>
        <w:rPr>
          <w:rFonts w:ascii="宋体" w:hAnsi="宋体"/>
          <w:b/>
          <w:color w:val="000000" w:themeColor="text1"/>
          <w:sz w:val="24"/>
        </w:rPr>
      </w:pPr>
      <w:r>
        <w:rPr>
          <w:rFonts w:hint="eastAsia" w:ascii="宋体" w:hAnsi="宋体"/>
          <w:b/>
          <w:color w:val="000000" w:themeColor="text1"/>
          <w:sz w:val="24"/>
        </w:rPr>
        <w:t>12</w:t>
      </w:r>
      <w:r>
        <w:rPr>
          <w:rFonts w:ascii="宋体" w:hAnsi="宋体"/>
          <w:b/>
          <w:color w:val="000000" w:themeColor="text1"/>
          <w:sz w:val="24"/>
        </w:rPr>
        <w:t>.</w:t>
      </w:r>
      <w:r>
        <w:rPr>
          <w:rFonts w:hint="eastAsia"/>
          <w:b/>
          <w:color w:val="000000" w:themeColor="text1"/>
          <w:sz w:val="24"/>
        </w:rPr>
        <w:t xml:space="preserve"> 服务成果知识产权的归属和保护</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w:t>
      </w:r>
      <w:r>
        <w:rPr>
          <w:rFonts w:ascii="宋体" w:hAnsi="宋体"/>
          <w:color w:val="000000" w:themeColor="text1"/>
          <w:sz w:val="24"/>
        </w:rPr>
        <w:t>.1乙方应保证所提供的服务或其任何一部分均不会侵犯任何第三方的专利权、商标权和著作权。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w:t>
      </w:r>
      <w:r>
        <w:rPr>
          <w:rFonts w:ascii="宋体" w:hAnsi="宋体"/>
          <w:color w:val="000000" w:themeColor="text1"/>
          <w:sz w:val="24"/>
        </w:rPr>
        <w:t xml:space="preserve">.2 </w:t>
      </w:r>
      <w:r>
        <w:rPr>
          <w:rFonts w:hint="eastAsia" w:ascii="宋体" w:hAnsi="宋体"/>
          <w:color w:val="000000" w:themeColor="text1"/>
          <w:sz w:val="24"/>
        </w:rPr>
        <w:t>成果文件的知识产权归甲方所有。甲方有权公开展示成果，并通过传播媒介、专业杂志、书刊或其他形式介绍、展示及评价成果文件。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w:t>
      </w:r>
      <w:r>
        <w:rPr>
          <w:rFonts w:ascii="宋体" w:hAnsi="宋体"/>
          <w:color w:val="000000" w:themeColor="text1"/>
          <w:sz w:val="24"/>
        </w:rPr>
        <w:t xml:space="preserve">.3 </w:t>
      </w:r>
      <w:r>
        <w:rPr>
          <w:rFonts w:hint="eastAsia" w:ascii="宋体" w:hAnsi="宋体"/>
          <w:color w:val="000000" w:themeColor="text1"/>
          <w:sz w:val="24"/>
        </w:rPr>
        <w:t>成果文件未经甲方同意，任何单位和个人都无权以任何形式向社会公开展示使用成果文件。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w:t>
      </w:r>
      <w:r>
        <w:rPr>
          <w:rFonts w:ascii="宋体" w:hAnsi="宋体"/>
          <w:color w:val="000000" w:themeColor="text1"/>
          <w:sz w:val="24"/>
        </w:rPr>
        <w:t xml:space="preserve">.4 </w:t>
      </w:r>
      <w:r>
        <w:rPr>
          <w:rFonts w:hint="eastAsia" w:ascii="宋体" w:hAnsi="宋体"/>
          <w:color w:val="000000" w:themeColor="text1"/>
          <w:sz w:val="24"/>
        </w:rPr>
        <w:t>甲、乙双方应严格保守对方商业秘密。未经双方书面同意不得将保密信息对外发布或披露、提供给任何第三方。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w:t>
      </w:r>
      <w:r>
        <w:rPr>
          <w:rFonts w:ascii="宋体" w:hAnsi="宋体"/>
          <w:color w:val="000000" w:themeColor="text1"/>
          <w:sz w:val="24"/>
        </w:rPr>
        <w:t xml:space="preserve">.5 </w:t>
      </w:r>
      <w:r>
        <w:rPr>
          <w:rFonts w:hint="eastAsia" w:ascii="宋体" w:hAnsi="宋体"/>
          <w:color w:val="000000" w:themeColor="text1"/>
          <w:sz w:val="24"/>
        </w:rPr>
        <w:t>本条在本合同终止或解除后仍继续有效。</w:t>
      </w:r>
    </w:p>
    <w:p>
      <w:pPr>
        <w:spacing w:line="360" w:lineRule="auto"/>
        <w:rPr>
          <w:rFonts w:ascii="宋体" w:hAnsi="宋体"/>
          <w:b/>
          <w:color w:val="000000" w:themeColor="text1"/>
          <w:sz w:val="24"/>
        </w:rPr>
      </w:pPr>
      <w:r>
        <w:rPr>
          <w:rFonts w:hint="eastAsia" w:ascii="宋体" w:hAnsi="宋体"/>
          <w:b/>
          <w:color w:val="000000" w:themeColor="text1"/>
          <w:sz w:val="24"/>
        </w:rPr>
        <w:t>13</w:t>
      </w:r>
      <w:r>
        <w:rPr>
          <w:rFonts w:ascii="宋体" w:hAnsi="宋体"/>
          <w:b/>
          <w:color w:val="000000" w:themeColor="text1"/>
          <w:sz w:val="24"/>
        </w:rPr>
        <w:t>.</w:t>
      </w:r>
      <w:r>
        <w:rPr>
          <w:rFonts w:hint="eastAsia" w:ascii="宋体" w:hAnsi="宋体"/>
          <w:b/>
          <w:color w:val="000000" w:themeColor="text1"/>
          <w:sz w:val="24"/>
        </w:rPr>
        <w:t>不可抗力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13.2 对不可抗力事件造成的未履行或延迟履行义务，任何一方均不承担责任。受不可抗力事件影响的一方须采取适当措施以减少或消除不可抗力的影响，并尽快恢复履行受不可抗力事件影响的义务。</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13.3 本合同所称不可抗力事件指无法克服、无法预见、超出一方或双方合理控制范围且妨碍双方完全履行合同义务的事件。不可抗力事件包括但不限于以下方面：自然灾害、暴动、战争、内乱、爆炸、火灾、洪水。</w:t>
      </w:r>
    </w:p>
    <w:p>
      <w:pPr>
        <w:spacing w:line="360" w:lineRule="auto"/>
        <w:rPr>
          <w:rFonts w:ascii="宋体" w:hAnsi="宋体"/>
          <w:b/>
          <w:color w:val="000000" w:themeColor="text1"/>
          <w:sz w:val="24"/>
        </w:rPr>
      </w:pPr>
      <w:r>
        <w:rPr>
          <w:rFonts w:hint="eastAsia" w:ascii="宋体" w:hAnsi="宋体"/>
          <w:b/>
          <w:color w:val="000000" w:themeColor="text1"/>
          <w:sz w:val="24"/>
        </w:rPr>
        <w:t>14.其他约定</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14.1本合同未尽事宜，双方另行以书面形式商定；如协商未能解决争议，任何一方均可提交南宁市青秀区人民法院处理，产生的诉讼费、律师费用由责任方承担。</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14.2本合同正本一式份，甲方执玖份，乙方执份，每份具有同等法律效力。本合同自双方代表签字、单位盖章之日起生效。</w:t>
      </w:r>
    </w:p>
    <w:p>
      <w:pPr>
        <w:spacing w:line="360" w:lineRule="auto"/>
        <w:ind w:hanging="2"/>
        <w:rPr>
          <w:rFonts w:ascii="宋体" w:hAnsi="宋体"/>
          <w:color w:val="000000" w:themeColor="text1"/>
          <w:sz w:val="24"/>
        </w:rPr>
      </w:pPr>
      <w:r>
        <w:rPr>
          <w:rFonts w:hint="eastAsia" w:ascii="宋体" w:hAnsi="宋体"/>
          <w:color w:val="000000" w:themeColor="text1"/>
          <w:sz w:val="24"/>
        </w:rPr>
        <w:t>（以下无正文）</w:t>
      </w:r>
    </w:p>
    <w:p>
      <w:pPr>
        <w:spacing w:line="360" w:lineRule="auto"/>
        <w:rPr>
          <w:rFonts w:ascii="宋体" w:hAnsi="宋体"/>
          <w:color w:val="000000" w:themeColor="text1"/>
          <w:sz w:val="24"/>
        </w:rPr>
      </w:pPr>
    </w:p>
    <w:p>
      <w:pPr>
        <w:spacing w:line="360" w:lineRule="auto"/>
        <w:rPr>
          <w:rFonts w:ascii="宋体" w:hAnsi="宋体"/>
          <w:color w:val="000000" w:themeColor="text1"/>
          <w:sz w:val="24"/>
        </w:rPr>
      </w:pPr>
      <w:r>
        <w:rPr>
          <w:rFonts w:hint="eastAsia" w:ascii="宋体" w:hAnsi="宋体"/>
          <w:color w:val="000000" w:themeColor="text1"/>
          <w:sz w:val="24"/>
        </w:rPr>
        <w:t>（本页签章页）</w:t>
      </w:r>
    </w:p>
    <w:p>
      <w:pPr>
        <w:adjustRightInd w:val="0"/>
        <w:snapToGrid w:val="0"/>
        <w:spacing w:line="360" w:lineRule="auto"/>
        <w:outlineLvl w:val="2"/>
        <w:rPr>
          <w:rFonts w:ascii="宋体" w:hAnsi="宋体"/>
          <w:color w:val="000000" w:themeColor="text1"/>
          <w:sz w:val="24"/>
        </w:rPr>
      </w:pPr>
    </w:p>
    <w:tbl>
      <w:tblPr>
        <w:tblStyle w:val="25"/>
        <w:tblW w:w="9322" w:type="dxa"/>
        <w:tblInd w:w="0" w:type="dxa"/>
        <w:tblLayout w:type="fixed"/>
        <w:tblCellMar>
          <w:top w:w="0" w:type="dxa"/>
          <w:left w:w="108" w:type="dxa"/>
          <w:bottom w:w="0" w:type="dxa"/>
          <w:right w:w="108" w:type="dxa"/>
        </w:tblCellMar>
      </w:tblPr>
      <w:tblGrid>
        <w:gridCol w:w="4786"/>
        <w:gridCol w:w="4536"/>
      </w:tblGrid>
      <w:tr>
        <w:tblPrEx>
          <w:tblLayout w:type="fixed"/>
          <w:tblCellMar>
            <w:top w:w="0" w:type="dxa"/>
            <w:left w:w="108" w:type="dxa"/>
            <w:bottom w:w="0" w:type="dxa"/>
            <w:right w:w="108" w:type="dxa"/>
          </w:tblCellMar>
        </w:tblPrEx>
        <w:tc>
          <w:tcPr>
            <w:tcW w:w="4786" w:type="dxa"/>
          </w:tcPr>
          <w:p>
            <w:pPr>
              <w:spacing w:before="120"/>
              <w:ind w:left="1200" w:right="-57" w:hanging="1200"/>
              <w:rPr>
                <w:rFonts w:ascii="宋体" w:hAnsi="宋体" w:cs="Courier New"/>
                <w:szCs w:val="21"/>
              </w:rPr>
            </w:pPr>
            <w:r>
              <w:rPr>
                <w:rFonts w:hint="eastAsia" w:ascii="宋体" w:hAnsi="宋体" w:cs="Courier New"/>
                <w:szCs w:val="21"/>
              </w:rPr>
              <w:t>甲方：南宁轨道交通集团有限责任公司</w:t>
            </w:r>
          </w:p>
          <w:p>
            <w:pPr>
              <w:spacing w:before="120"/>
              <w:ind w:left="1200" w:right="-57" w:hanging="1200"/>
              <w:rPr>
                <w:rFonts w:ascii="宋体" w:hAnsi="宋体" w:cs="Courier New"/>
                <w:szCs w:val="21"/>
              </w:rPr>
            </w:pPr>
            <w:r>
              <w:rPr>
                <w:rFonts w:hint="eastAsia" w:ascii="宋体" w:hAnsi="宋体" w:cs="Courier New"/>
                <w:szCs w:val="21"/>
              </w:rPr>
              <w:t>法定代表人或授权人：</w:t>
            </w:r>
            <w:r>
              <w:rPr>
                <w:rFonts w:ascii="宋体" w:hAnsi="宋体" w:cs="Courier New"/>
                <w:szCs w:val="21"/>
                <w:u w:val="single"/>
              </w:rPr>
              <w:t xml:space="preserve">             </w:t>
            </w:r>
          </w:p>
          <w:p>
            <w:pPr>
              <w:spacing w:before="120"/>
              <w:ind w:left="735" w:right="-57" w:hanging="735"/>
              <w:rPr>
                <w:rFonts w:ascii="宋体" w:hAnsi="宋体" w:cs="Courier New"/>
                <w:szCs w:val="21"/>
                <w:u w:val="single"/>
              </w:rPr>
            </w:pPr>
            <w:r>
              <w:rPr>
                <w:rFonts w:hint="eastAsia" w:ascii="宋体" w:hAnsi="宋体" w:cs="Courier New"/>
                <w:szCs w:val="21"/>
              </w:rPr>
              <w:t>地址：</w:t>
            </w:r>
            <w:r>
              <w:rPr>
                <w:rFonts w:hint="eastAsia" w:ascii="宋体" w:hAnsi="宋体" w:cs="Courier New"/>
                <w:szCs w:val="21"/>
                <w:u w:val="single"/>
              </w:rPr>
              <w:t>广西南宁市青秀区云景路69号</w:t>
            </w:r>
          </w:p>
          <w:p>
            <w:pPr>
              <w:spacing w:before="120"/>
              <w:ind w:left="210" w:leftChars="100" w:right="-57" w:firstLine="420" w:firstLineChars="200"/>
              <w:rPr>
                <w:rFonts w:ascii="宋体" w:hAnsi="宋体" w:cs="Courier New"/>
                <w:szCs w:val="21"/>
                <w:u w:val="single"/>
              </w:rPr>
            </w:pPr>
            <w:r>
              <w:rPr>
                <w:rFonts w:hint="eastAsia" w:ascii="宋体" w:hAnsi="宋体" w:cs="Courier New"/>
                <w:szCs w:val="21"/>
                <w:u w:val="single"/>
              </w:rPr>
              <w:t>南宁轨道大厦</w:t>
            </w:r>
          </w:p>
          <w:p>
            <w:pPr>
              <w:spacing w:before="120"/>
              <w:ind w:left="1200" w:right="-57" w:hanging="1200"/>
              <w:rPr>
                <w:rFonts w:ascii="宋体" w:hAnsi="宋体" w:cs="Courier New"/>
                <w:szCs w:val="21"/>
              </w:rPr>
            </w:pPr>
            <w:r>
              <w:rPr>
                <w:rFonts w:hint="eastAsia" w:ascii="宋体" w:hAnsi="宋体" w:cs="Courier New"/>
                <w:szCs w:val="21"/>
              </w:rPr>
              <w:t>邮政编码：</w:t>
            </w:r>
            <w:r>
              <w:rPr>
                <w:rFonts w:ascii="宋体" w:hAnsi="宋体" w:cs="Courier New"/>
                <w:szCs w:val="21"/>
                <w:u w:val="single"/>
              </w:rPr>
              <w:t xml:space="preserve">                       </w:t>
            </w:r>
          </w:p>
          <w:p>
            <w:pPr>
              <w:spacing w:before="120"/>
              <w:ind w:left="1200" w:right="-57" w:hanging="1200"/>
              <w:rPr>
                <w:rFonts w:ascii="宋体" w:hAnsi="宋体" w:cs="Courier New"/>
                <w:szCs w:val="21"/>
              </w:rPr>
            </w:pPr>
            <w:r>
              <w:rPr>
                <w:rFonts w:hint="eastAsia" w:ascii="宋体" w:hAnsi="宋体" w:cs="Courier New"/>
                <w:szCs w:val="21"/>
              </w:rPr>
              <w:t>联系人：</w:t>
            </w:r>
            <w:r>
              <w:rPr>
                <w:rFonts w:ascii="宋体" w:hAnsi="宋体" w:cs="Courier New"/>
                <w:szCs w:val="21"/>
                <w:u w:val="single"/>
              </w:rPr>
              <w:t xml:space="preserve">                         </w:t>
            </w:r>
          </w:p>
          <w:p>
            <w:pPr>
              <w:spacing w:before="120"/>
              <w:ind w:left="1200" w:right="-57" w:hanging="1200"/>
              <w:rPr>
                <w:rFonts w:ascii="宋体" w:hAnsi="宋体" w:cs="Courier New"/>
                <w:szCs w:val="21"/>
                <w:u w:val="single"/>
              </w:rPr>
            </w:pPr>
            <w:r>
              <w:rPr>
                <w:rFonts w:hint="eastAsia" w:ascii="宋体" w:hAnsi="宋体" w:cs="Courier New"/>
                <w:szCs w:val="21"/>
              </w:rPr>
              <w:t>联系电话：</w:t>
            </w:r>
            <w:r>
              <w:rPr>
                <w:rFonts w:ascii="宋体" w:hAnsi="宋体" w:cs="Courier New"/>
                <w:szCs w:val="21"/>
                <w:u w:val="single"/>
              </w:rPr>
              <w:t xml:space="preserve">                       </w:t>
            </w:r>
          </w:p>
          <w:p>
            <w:pPr>
              <w:spacing w:before="120"/>
              <w:ind w:left="1200" w:right="-57" w:hanging="1200"/>
              <w:rPr>
                <w:rFonts w:ascii="宋体" w:hAnsi="宋体" w:cs="Courier New"/>
                <w:szCs w:val="21"/>
                <w:u w:val="single"/>
              </w:rPr>
            </w:pPr>
            <w:r>
              <w:rPr>
                <w:rFonts w:hint="eastAsia" w:ascii="宋体" w:hAnsi="宋体" w:cs="Courier New"/>
                <w:szCs w:val="21"/>
              </w:rPr>
              <w:t>传真：</w:t>
            </w:r>
            <w:r>
              <w:rPr>
                <w:rFonts w:ascii="宋体" w:hAnsi="宋体" w:cs="Courier New"/>
                <w:szCs w:val="21"/>
                <w:u w:val="single"/>
              </w:rPr>
              <w:t xml:space="preserve">                           </w:t>
            </w:r>
          </w:p>
          <w:p>
            <w:pPr>
              <w:spacing w:before="120"/>
              <w:ind w:left="1200" w:right="-57" w:hanging="1200"/>
              <w:rPr>
                <w:rFonts w:ascii="宋体" w:hAnsi="宋体" w:cs="Courier New"/>
                <w:szCs w:val="21"/>
                <w:u w:val="single"/>
              </w:rPr>
            </w:pPr>
            <w:r>
              <w:rPr>
                <w:rFonts w:hint="eastAsia" w:ascii="宋体" w:hAnsi="宋体" w:cs="Courier New"/>
                <w:szCs w:val="21"/>
              </w:rPr>
              <w:t>开户银行：</w:t>
            </w:r>
            <w:r>
              <w:rPr>
                <w:rFonts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银行账号：</w:t>
            </w:r>
            <w:r>
              <w:rPr>
                <w:rFonts w:ascii="宋体" w:hAnsi="宋体" w:cs="Courier New"/>
                <w:szCs w:val="21"/>
                <w:u w:val="single"/>
              </w:rPr>
              <w:t xml:space="preserve">                       </w:t>
            </w:r>
          </w:p>
          <w:p>
            <w:pPr>
              <w:spacing w:before="120"/>
              <w:ind w:left="1200" w:right="-57" w:hanging="1200"/>
              <w:rPr>
                <w:rFonts w:ascii="宋体" w:hAnsi="宋体" w:cs="Courier New"/>
                <w:szCs w:val="21"/>
              </w:rPr>
            </w:pPr>
          </w:p>
          <w:p>
            <w:pPr>
              <w:spacing w:before="120"/>
              <w:ind w:left="735" w:right="-57" w:hanging="735"/>
              <w:rPr>
                <w:rFonts w:ascii="宋体" w:hAnsi="宋体" w:cs="Courier New"/>
                <w:szCs w:val="21"/>
              </w:rPr>
            </w:pPr>
            <w:r>
              <w:rPr>
                <w:rFonts w:hint="eastAsia" w:ascii="宋体" w:hAnsi="宋体" w:cs="Courier New"/>
                <w:szCs w:val="21"/>
              </w:rPr>
              <w:t>乙方（联合体）： （牵头方）</w:t>
            </w:r>
          </w:p>
          <w:p>
            <w:pPr>
              <w:spacing w:before="120"/>
              <w:ind w:left="1155" w:leftChars="550" w:right="-57" w:firstLine="525" w:firstLineChars="250"/>
              <w:rPr>
                <w:rFonts w:ascii="宋体" w:hAnsi="宋体" w:cs="Courier New"/>
                <w:szCs w:val="21"/>
              </w:rPr>
            </w:pPr>
            <w:r>
              <w:rPr>
                <w:rFonts w:hint="eastAsia" w:ascii="宋体" w:hAnsi="宋体" w:cs="Courier New"/>
                <w:szCs w:val="21"/>
              </w:rPr>
              <w:t>（成员）</w:t>
            </w:r>
          </w:p>
          <w:p>
            <w:pPr>
              <w:spacing w:before="120"/>
              <w:ind w:right="-57" w:firstLine="1470" w:firstLineChars="700"/>
              <w:rPr>
                <w:rFonts w:ascii="宋体" w:hAnsi="宋体" w:cs="Courier New"/>
                <w:szCs w:val="21"/>
              </w:rPr>
            </w:pPr>
            <w:r>
              <w:rPr>
                <w:rFonts w:hint="eastAsia" w:ascii="宋体" w:hAnsi="宋体" w:cs="Courier New"/>
                <w:szCs w:val="21"/>
              </w:rPr>
              <w:t xml:space="preserve">  （成员）</w:t>
            </w:r>
          </w:p>
          <w:p>
            <w:pPr>
              <w:spacing w:before="120"/>
              <w:ind w:left="1200" w:right="-57" w:hanging="1200"/>
              <w:rPr>
                <w:rFonts w:ascii="宋体" w:hAnsi="宋体" w:cs="Courier New"/>
                <w:szCs w:val="21"/>
              </w:rPr>
            </w:pPr>
          </w:p>
          <w:p>
            <w:pPr>
              <w:spacing w:before="120"/>
              <w:ind w:left="735" w:right="-57" w:hanging="735"/>
              <w:rPr>
                <w:rFonts w:ascii="宋体" w:hAnsi="宋体" w:cs="Courier New"/>
                <w:szCs w:val="21"/>
              </w:rPr>
            </w:pPr>
            <w:r>
              <w:rPr>
                <w:rFonts w:hint="eastAsia" w:ascii="宋体" w:hAnsi="宋体" w:cs="Courier New"/>
                <w:szCs w:val="21"/>
              </w:rPr>
              <w:t>联合体牵头单位：</w:t>
            </w:r>
            <w:r>
              <w:rPr>
                <w:rFonts w:ascii="宋体" w:hAnsi="宋体" w:cs="Courier New"/>
                <w:szCs w:val="21"/>
              </w:rPr>
              <w:t xml:space="preserve">  </w:t>
            </w:r>
            <w:r>
              <w:rPr>
                <w:rFonts w:hint="eastAsia" w:ascii="宋体" w:hAnsi="宋体" w:cs="Courier New"/>
                <w:szCs w:val="21"/>
              </w:rPr>
              <w:t xml:space="preserve"> </w:t>
            </w:r>
            <w:r>
              <w:rPr>
                <w:rFonts w:ascii="宋体" w:hAnsi="宋体" w:cs="Courier New"/>
                <w:szCs w:val="21"/>
              </w:rPr>
              <w:t xml:space="preserve">    </w:t>
            </w:r>
          </w:p>
          <w:p>
            <w:pPr>
              <w:spacing w:before="120"/>
              <w:ind w:left="735" w:right="-57" w:hanging="735"/>
              <w:rPr>
                <w:rFonts w:ascii="宋体" w:hAnsi="宋体" w:cs="Courier New"/>
                <w:szCs w:val="21"/>
                <w:u w:val="single"/>
              </w:rPr>
            </w:pPr>
            <w:r>
              <w:rPr>
                <w:rFonts w:hint="eastAsia" w:ascii="宋体" w:hAnsi="宋体" w:cs="Courier New"/>
                <w:szCs w:val="21"/>
              </w:rPr>
              <w:t>法定代表人或授权人：</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p>
          <w:p>
            <w:pPr>
              <w:spacing w:before="120"/>
              <w:ind w:left="735" w:right="-57" w:hanging="735"/>
              <w:rPr>
                <w:u w:val="single"/>
              </w:rPr>
            </w:pPr>
            <w:r>
              <w:rPr>
                <w:rFonts w:hint="eastAsia" w:ascii="宋体" w:hAnsi="宋体" w:cs="Courier New"/>
                <w:szCs w:val="21"/>
              </w:rPr>
              <w:t>地址：</w:t>
            </w:r>
            <w:r>
              <w:rPr>
                <w:rFonts w:hint="eastAsia"/>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邮政编码：</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联系人：</w:t>
            </w:r>
            <w:r>
              <w:rPr>
                <w:rFonts w:ascii="宋体" w:hAnsi="宋体" w:cs="Courier New"/>
                <w:szCs w:val="21"/>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联系电话：</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传真：</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开户银行：</w:t>
            </w:r>
            <w:r>
              <w:rPr>
                <w:rFonts w:hint="eastAsia" w:ascii="宋体" w:hAnsi="宋体" w:cs="Courier New"/>
                <w:szCs w:val="21"/>
                <w:u w:val="single"/>
              </w:rPr>
              <w:t xml:space="preserve">                       </w:t>
            </w:r>
          </w:p>
          <w:p>
            <w:pPr>
              <w:spacing w:before="120"/>
              <w:ind w:left="1200" w:right="-57" w:hanging="1200"/>
              <w:rPr>
                <w:rFonts w:ascii="宋体" w:hAnsi="宋体" w:cs="Courier New"/>
                <w:szCs w:val="21"/>
              </w:rPr>
            </w:pPr>
            <w:r>
              <w:rPr>
                <w:rFonts w:hint="eastAsia" w:ascii="宋体" w:hAnsi="宋体" w:cs="Courier New"/>
                <w:szCs w:val="21"/>
              </w:rPr>
              <w:t>银行账号：</w:t>
            </w:r>
            <w:r>
              <w:rPr>
                <w:rFonts w:hint="eastAsia" w:ascii="宋体" w:hAnsi="宋体" w:cs="Courier New"/>
                <w:szCs w:val="21"/>
                <w:u w:val="single"/>
              </w:rPr>
              <w:t xml:space="preserve">                      </w:t>
            </w:r>
          </w:p>
        </w:tc>
        <w:tc>
          <w:tcPr>
            <w:tcW w:w="4536" w:type="dxa"/>
          </w:tcPr>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r>
              <w:rPr>
                <w:rFonts w:hint="eastAsia" w:ascii="宋体" w:hAnsi="宋体" w:cs="Courier New"/>
                <w:szCs w:val="21"/>
              </w:rPr>
              <w:t xml:space="preserve"> </w:t>
            </w: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p>
          <w:p>
            <w:pPr>
              <w:spacing w:before="120"/>
              <w:ind w:left="735" w:right="-57" w:hanging="735"/>
              <w:rPr>
                <w:rFonts w:ascii="宋体" w:hAnsi="宋体" w:cs="Courier New"/>
                <w:szCs w:val="21"/>
              </w:rPr>
            </w:pPr>
            <w:r>
              <w:rPr>
                <w:rFonts w:hint="eastAsia" w:ascii="宋体" w:hAnsi="宋体" w:cs="Courier New"/>
                <w:szCs w:val="21"/>
              </w:rPr>
              <w:t xml:space="preserve">联合体成员单位： </w:t>
            </w:r>
          </w:p>
          <w:p>
            <w:pPr>
              <w:spacing w:before="120"/>
              <w:ind w:left="735" w:right="-57" w:hanging="735"/>
              <w:rPr>
                <w:rFonts w:ascii="宋体" w:hAnsi="宋体" w:cs="Courier New"/>
                <w:szCs w:val="21"/>
                <w:u w:val="single"/>
              </w:rPr>
            </w:pPr>
            <w:r>
              <w:rPr>
                <w:rFonts w:hint="eastAsia" w:ascii="宋体" w:hAnsi="宋体" w:cs="Courier New"/>
                <w:szCs w:val="21"/>
              </w:rPr>
              <w:t>法定代表人或授权人：</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p>
          <w:p>
            <w:pPr>
              <w:spacing w:before="120"/>
              <w:ind w:left="735" w:right="-57" w:hanging="735"/>
              <w:rPr>
                <w:u w:val="single"/>
              </w:rPr>
            </w:pPr>
            <w:r>
              <w:rPr>
                <w:rFonts w:hint="eastAsia" w:ascii="宋体" w:hAnsi="宋体" w:cs="Courier New"/>
                <w:szCs w:val="21"/>
              </w:rPr>
              <w:t>地址：</w:t>
            </w:r>
            <w:r>
              <w:rPr>
                <w:rFonts w:hint="eastAsia" w:ascii="宋体" w:hAnsi="宋体" w:cs="Courier New"/>
                <w:szCs w:val="21"/>
                <w:u w:val="single"/>
              </w:rPr>
              <w:t xml:space="preserve">                   </w:t>
            </w:r>
            <w:r>
              <w:rPr>
                <w:rFonts w:hint="eastAsia"/>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邮政编码：</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联系人：</w:t>
            </w:r>
            <w:r>
              <w:rPr>
                <w:rFonts w:ascii="宋体" w:hAnsi="宋体" w:cs="Courier New"/>
                <w:szCs w:val="21"/>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联系电话：</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传真：</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p>
          <w:p>
            <w:pPr>
              <w:spacing w:before="120"/>
              <w:ind w:left="945" w:right="-57" w:hanging="945" w:hangingChars="450"/>
              <w:rPr>
                <w:rFonts w:ascii="宋体" w:hAnsi="宋体" w:cs="Courier New"/>
                <w:szCs w:val="21"/>
              </w:rPr>
            </w:pPr>
            <w:r>
              <w:rPr>
                <w:rFonts w:hint="eastAsia" w:ascii="宋体" w:hAnsi="宋体" w:cs="Courier New"/>
                <w:szCs w:val="21"/>
              </w:rPr>
              <w:t>开户银行：</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银行账号：</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p>
          <w:p>
            <w:pPr>
              <w:spacing w:before="120"/>
              <w:ind w:left="735" w:right="-57" w:hanging="735"/>
              <w:rPr>
                <w:rFonts w:ascii="宋体" w:hAnsi="宋体" w:cs="Courier New"/>
                <w:szCs w:val="21"/>
              </w:rPr>
            </w:pPr>
          </w:p>
        </w:tc>
      </w:tr>
    </w:tbl>
    <w:p>
      <w:pPr>
        <w:spacing w:before="120"/>
        <w:ind w:left="735" w:right="-57" w:hanging="735"/>
        <w:rPr>
          <w:rFonts w:ascii="宋体" w:hAnsi="宋体" w:cs="Courier New"/>
          <w:szCs w:val="21"/>
        </w:rPr>
      </w:pPr>
      <w:r>
        <w:rPr>
          <w:rFonts w:hint="eastAsia" w:ascii="宋体" w:hAnsi="宋体" w:cs="Courier New"/>
          <w:szCs w:val="21"/>
        </w:rPr>
        <w:t xml:space="preserve">联合体成员单位： </w:t>
      </w:r>
    </w:p>
    <w:p>
      <w:pPr>
        <w:spacing w:before="120"/>
        <w:ind w:left="735" w:right="-57" w:hanging="735"/>
        <w:rPr>
          <w:rFonts w:ascii="宋体" w:hAnsi="宋体" w:cs="Courier New"/>
          <w:szCs w:val="21"/>
          <w:u w:val="single"/>
        </w:rPr>
      </w:pPr>
      <w:r>
        <w:rPr>
          <w:rFonts w:hint="eastAsia" w:ascii="宋体" w:hAnsi="宋体" w:cs="Courier New"/>
          <w:szCs w:val="21"/>
        </w:rPr>
        <w:t>法定代表人或授权人：</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p>
    <w:p>
      <w:pPr>
        <w:spacing w:before="120"/>
        <w:ind w:left="735" w:right="-57" w:hanging="735"/>
        <w:rPr>
          <w:u w:val="single"/>
        </w:rPr>
      </w:pPr>
      <w:r>
        <w:rPr>
          <w:rFonts w:hint="eastAsia" w:ascii="宋体" w:hAnsi="宋体" w:cs="Courier New"/>
          <w:szCs w:val="21"/>
        </w:rPr>
        <w:t>地址：</w:t>
      </w:r>
      <w:r>
        <w:rPr>
          <w:rFonts w:hint="eastAsia" w:ascii="宋体" w:hAnsi="宋体" w:cs="Courier New"/>
          <w:szCs w:val="21"/>
          <w:u w:val="single"/>
        </w:rPr>
        <w:t xml:space="preserve">                   </w:t>
      </w:r>
      <w:r>
        <w:rPr>
          <w:rFonts w:hint="eastAsia"/>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邮政编码：</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联系人：</w:t>
      </w:r>
      <w:r>
        <w:rPr>
          <w:rFonts w:ascii="宋体" w:hAnsi="宋体" w:cs="Courier New"/>
          <w:szCs w:val="21"/>
        </w:rPr>
        <w:t xml:space="preserve"> </w:t>
      </w:r>
      <w:r>
        <w:rPr>
          <w:rFonts w:ascii="宋体" w:hAnsi="宋体" w:cs="Courier New"/>
          <w:szCs w:val="21"/>
          <w:u w:val="single"/>
        </w:rPr>
        <w:t xml:space="preserve"> </w:t>
      </w:r>
      <w:r>
        <w:rPr>
          <w:rFonts w:hint="eastAsia" w:ascii="宋体" w:hAnsi="宋体" w:cs="Courier New"/>
          <w:szCs w:val="21"/>
          <w:u w:val="single"/>
        </w:rPr>
        <w:t xml:space="preserve">                 </w:t>
      </w:r>
      <w:r>
        <w:rPr>
          <w:rFonts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联系电话：</w:t>
      </w:r>
      <w:r>
        <w:rPr>
          <w:rFonts w:hint="eastAsia" w:ascii="宋体" w:hAnsi="宋体" w:cs="Courier New"/>
          <w:szCs w:val="21"/>
          <w:u w:val="single"/>
        </w:rPr>
        <w:t xml:space="preserve">                        </w:t>
      </w:r>
    </w:p>
    <w:p>
      <w:pPr>
        <w:spacing w:before="120"/>
        <w:ind w:left="735" w:right="-57" w:hanging="735"/>
        <w:rPr>
          <w:rFonts w:ascii="宋体" w:hAnsi="宋体" w:cs="Courier New"/>
          <w:szCs w:val="21"/>
        </w:rPr>
      </w:pPr>
      <w:r>
        <w:rPr>
          <w:rFonts w:hint="eastAsia" w:ascii="宋体" w:hAnsi="宋体" w:cs="Courier New"/>
          <w:szCs w:val="21"/>
        </w:rPr>
        <w:t>传真：</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p>
    <w:p>
      <w:pPr>
        <w:spacing w:before="120"/>
        <w:ind w:left="945" w:right="-57" w:hanging="945" w:hangingChars="450"/>
        <w:rPr>
          <w:rFonts w:ascii="宋体" w:hAnsi="宋体" w:cs="Courier New"/>
          <w:szCs w:val="21"/>
        </w:rPr>
      </w:pPr>
      <w:r>
        <w:rPr>
          <w:rFonts w:hint="eastAsia" w:ascii="宋体" w:hAnsi="宋体" w:cs="Courier New"/>
          <w:szCs w:val="21"/>
        </w:rPr>
        <w:t>开户银行：</w:t>
      </w:r>
      <w:r>
        <w:rPr>
          <w:rFonts w:hint="eastAsia" w:ascii="宋体" w:hAnsi="宋体" w:cs="Courier New"/>
          <w:szCs w:val="21"/>
          <w:u w:val="single"/>
        </w:rPr>
        <w:t xml:space="preserve">                         </w:t>
      </w:r>
    </w:p>
    <w:p>
      <w:pPr>
        <w:spacing w:before="120"/>
        <w:ind w:left="735" w:right="-57" w:hanging="735"/>
        <w:rPr>
          <w:rFonts w:ascii="宋体" w:hAnsi="宋体" w:cs="Courier New"/>
          <w:szCs w:val="21"/>
          <w:u w:val="single"/>
        </w:rPr>
      </w:pPr>
      <w:r>
        <w:rPr>
          <w:rFonts w:hint="eastAsia" w:ascii="宋体" w:hAnsi="宋体" w:cs="Courier New"/>
          <w:szCs w:val="21"/>
        </w:rPr>
        <w:t>银行账号：</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ascii="宋体" w:hAnsi="宋体" w:cs="Courier New"/>
          <w:szCs w:val="21"/>
          <w:u w:val="single"/>
        </w:rPr>
        <w:t xml:space="preserve"> </w:t>
      </w:r>
    </w:p>
    <w:p>
      <w:pPr>
        <w:spacing w:before="120"/>
        <w:ind w:left="735" w:right="-57" w:hanging="735"/>
        <w:rPr>
          <w:rFonts w:ascii="宋体" w:hAnsi="宋体" w:cs="Courier New"/>
          <w:szCs w:val="21"/>
          <w:u w:val="single"/>
        </w:rPr>
      </w:pPr>
    </w:p>
    <w:p>
      <w:pPr>
        <w:spacing w:before="120"/>
        <w:ind w:left="735" w:right="-57" w:hanging="735"/>
        <w:rPr>
          <w:rFonts w:ascii="宋体" w:hAnsi="宋体" w:cs="Courier New"/>
          <w:szCs w:val="21"/>
        </w:rPr>
      </w:pPr>
    </w:p>
    <w:p>
      <w:pPr>
        <w:spacing w:line="360" w:lineRule="auto"/>
        <w:rPr>
          <w:b/>
          <w:color w:val="000000" w:themeColor="text1"/>
          <w:sz w:val="24"/>
        </w:rPr>
      </w:pPr>
    </w:p>
    <w:p>
      <w:pPr>
        <w:pStyle w:val="2"/>
        <w:rPr>
          <w:rFonts w:ascii="宋体" w:hAnsi="宋体"/>
          <w:b w:val="0"/>
          <w:color w:val="000000" w:themeColor="text1"/>
          <w:sz w:val="2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numPr>
          <w:ilvl w:val="0"/>
          <w:numId w:val="1"/>
        </w:numPr>
        <w:rPr>
          <w:rFonts w:ascii="宋体" w:hAnsi="宋体" w:cs="宋体"/>
          <w:color w:val="000000" w:themeColor="text1"/>
          <w:szCs w:val="28"/>
        </w:rPr>
      </w:pPr>
      <w:bookmarkStart w:id="208" w:name="_Toc24668"/>
      <w:bookmarkStart w:id="209" w:name="_Toc461525321"/>
      <w:bookmarkStart w:id="210" w:name="_Toc16386"/>
      <w:bookmarkStart w:id="211" w:name="_Toc15172"/>
      <w:bookmarkStart w:id="212" w:name="_Toc471482369"/>
      <w:bookmarkStart w:id="213" w:name="_Toc32280"/>
      <w:bookmarkStart w:id="214" w:name="_Toc27378"/>
      <w:bookmarkStart w:id="215" w:name="_Toc29471"/>
      <w:bookmarkStart w:id="216" w:name="_Toc23661"/>
      <w:bookmarkStart w:id="217" w:name="_Toc20710"/>
      <w:bookmarkStart w:id="218" w:name="_Toc1897"/>
      <w:bookmarkStart w:id="219" w:name="_Toc6779"/>
      <w:bookmarkStart w:id="220" w:name="_Toc26692"/>
      <w:r>
        <w:rPr>
          <w:rFonts w:hint="eastAsia" w:ascii="宋体" w:hAnsi="宋体" w:cs="宋体"/>
          <w:color w:val="000000" w:themeColor="text1"/>
          <w:szCs w:val="28"/>
        </w:rPr>
        <w:t>比选</w:t>
      </w:r>
      <w:bookmarkEnd w:id="206"/>
      <w:bookmarkEnd w:id="207"/>
      <w:r>
        <w:rPr>
          <w:rFonts w:hint="eastAsia" w:ascii="宋体" w:hAnsi="宋体" w:cs="宋体"/>
          <w:color w:val="000000" w:themeColor="text1"/>
          <w:szCs w:val="28"/>
        </w:rPr>
        <w:t>申请文件（格式）</w:t>
      </w:r>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Toc114052391"/>
    </w:p>
    <w:p>
      <w:pPr>
        <w:jc w:val="center"/>
        <w:rPr>
          <w:rFonts w:ascii="宋体" w:hAnsi="宋体" w:cs="宋体"/>
          <w:color w:val="000000" w:themeColor="text1"/>
          <w:szCs w:val="28"/>
        </w:rPr>
      </w:pPr>
    </w:p>
    <w:p>
      <w:pPr>
        <w:ind w:right="753"/>
        <w:jc w:val="center"/>
        <w:rPr>
          <w:rFonts w:ascii="宋体" w:hAnsi="宋体" w:cs="宋体"/>
          <w:color w:val="000000" w:themeColor="text1"/>
          <w:sz w:val="28"/>
          <w:szCs w:val="28"/>
        </w:rPr>
      </w:pPr>
      <w:r>
        <w:rPr>
          <w:rFonts w:hint="eastAsia" w:ascii="宋体" w:hAnsi="宋体" w:cs="宋体"/>
          <w:color w:val="000000" w:themeColor="text1"/>
          <w:sz w:val="28"/>
          <w:szCs w:val="28"/>
        </w:rPr>
        <w:t xml:space="preserve">  （封面格式）</w:t>
      </w: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center"/>
        <w:rPr>
          <w:rFonts w:ascii="宋体" w:hAnsi="宋体" w:cs="宋体"/>
          <w:color w:val="000000" w:themeColor="text1"/>
          <w:sz w:val="28"/>
          <w:szCs w:val="28"/>
        </w:rPr>
      </w:pPr>
      <w:r>
        <w:rPr>
          <w:rFonts w:hint="eastAsia" w:ascii="宋体" w:hAnsi="宋体" w:cs="宋体"/>
          <w:color w:val="000000" w:themeColor="text1"/>
          <w:sz w:val="28"/>
          <w:szCs w:val="28"/>
        </w:rPr>
        <w:t xml:space="preserve">  项目比选申请文件</w:t>
      </w:r>
    </w:p>
    <w:p>
      <w:pPr>
        <w:pStyle w:val="24"/>
        <w:jc w:val="center"/>
        <w:rPr>
          <w:b w:val="0"/>
          <w:bCs w:val="0"/>
          <w:color w:val="000000" w:themeColor="text1"/>
          <w:sz w:val="28"/>
          <w:szCs w:val="28"/>
        </w:rPr>
      </w:pPr>
      <w:bookmarkStart w:id="222" w:name="_Toc31417"/>
      <w:bookmarkStart w:id="223" w:name="_Toc22529"/>
      <w:bookmarkStart w:id="224" w:name="_Toc16428"/>
      <w:bookmarkStart w:id="225" w:name="_Toc12677"/>
      <w:bookmarkStart w:id="226" w:name="_Toc6045"/>
      <w:bookmarkStart w:id="227" w:name="_Toc461525322"/>
      <w:bookmarkStart w:id="228" w:name="_Toc10669"/>
      <w:bookmarkStart w:id="229" w:name="_Toc24727"/>
      <w:bookmarkStart w:id="230" w:name="_Toc18503"/>
      <w:r>
        <w:rPr>
          <w:b w:val="0"/>
          <w:bCs w:val="0"/>
          <w:color w:val="000000" w:themeColor="text1"/>
          <w:sz w:val="28"/>
          <w:szCs w:val="28"/>
        </w:rPr>
        <w:t>资格审查部分</w:t>
      </w:r>
      <w:bookmarkEnd w:id="222"/>
      <w:bookmarkEnd w:id="223"/>
      <w:bookmarkEnd w:id="224"/>
      <w:bookmarkEnd w:id="225"/>
      <w:bookmarkEnd w:id="226"/>
      <w:bookmarkEnd w:id="227"/>
      <w:bookmarkEnd w:id="228"/>
      <w:bookmarkEnd w:id="229"/>
      <w:bookmarkEnd w:id="230"/>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比选申</w:t>
      </w:r>
      <w:bookmarkEnd w:id="221"/>
      <w:r>
        <w:rPr>
          <w:rFonts w:hint="eastAsia" w:ascii="宋体" w:hAnsi="宋体" w:cs="宋体"/>
          <w:color w:val="000000" w:themeColor="text1"/>
          <w:sz w:val="28"/>
          <w:szCs w:val="28"/>
        </w:rPr>
        <w:t>请</w:t>
      </w:r>
      <w:bookmarkStart w:id="231" w:name="_Toc114052392"/>
      <w:r>
        <w:rPr>
          <w:rFonts w:hint="eastAsia" w:ascii="宋体" w:hAnsi="宋体" w:cs="宋体"/>
          <w:color w:val="000000" w:themeColor="text1"/>
          <w:sz w:val="28"/>
          <w:szCs w:val="28"/>
        </w:rPr>
        <w:t xml:space="preserve">人：                 </w:t>
      </w:r>
      <w:bookmarkEnd w:id="231"/>
      <w:r>
        <w:rPr>
          <w:rFonts w:hint="eastAsia" w:ascii="宋体" w:hAnsi="宋体" w:cs="宋体"/>
          <w:color w:val="000000" w:themeColor="text1"/>
          <w:sz w:val="28"/>
          <w:szCs w:val="28"/>
        </w:rPr>
        <w:t xml:space="preserve">            （盖章）</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负责人或委托代</w:t>
      </w:r>
      <w:bookmarkStart w:id="232" w:name="_Toc333307122"/>
      <w:r>
        <w:rPr>
          <w:rFonts w:hint="eastAsia" w:ascii="宋体" w:hAnsi="宋体" w:cs="宋体"/>
          <w:color w:val="000000" w:themeColor="text1"/>
          <w:sz w:val="28"/>
          <w:szCs w:val="28"/>
        </w:rPr>
        <w:t>理人</w:t>
      </w:r>
      <w:bookmarkEnd w:id="232"/>
      <w:r>
        <w:rPr>
          <w:rFonts w:hint="eastAsia" w:ascii="宋体" w:hAnsi="宋体" w:cs="宋体"/>
          <w:color w:val="000000" w:themeColor="text1"/>
          <w:sz w:val="28"/>
          <w:szCs w:val="28"/>
        </w:rPr>
        <w:t>：（签字或盖章）</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电话/传真：</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地址：</w:t>
      </w:r>
    </w:p>
    <w:p>
      <w:pPr>
        <w:ind w:right="753" w:firstLine="1260" w:firstLineChars="450"/>
        <w:jc w:val="left"/>
        <w:rPr>
          <w:rFonts w:ascii="宋体" w:hAnsi="宋体" w:cs="宋体"/>
          <w:color w:val="000000" w:themeColor="text1"/>
          <w:sz w:val="28"/>
          <w:szCs w:val="28"/>
        </w:rPr>
      </w:pPr>
      <w:r>
        <w:rPr>
          <w:rFonts w:hint="eastAsia" w:ascii="宋体" w:hAnsi="宋体" w:cs="宋体"/>
          <w:color w:val="000000" w:themeColor="text1"/>
          <w:sz w:val="28"/>
          <w:szCs w:val="28"/>
        </w:rPr>
        <w:t>年    月    日</w:t>
      </w:r>
    </w:p>
    <w:p>
      <w:pPr>
        <w:ind w:right="753" w:firstLine="1260" w:firstLineChars="450"/>
        <w:jc w:val="left"/>
        <w:rPr>
          <w:rFonts w:ascii="宋体" w:hAnsi="宋体" w:cs="宋体"/>
          <w:color w:val="000000" w:themeColor="text1"/>
          <w:sz w:val="28"/>
          <w:szCs w:val="28"/>
        </w:rPr>
      </w:pPr>
    </w:p>
    <w:p>
      <w:pPr>
        <w:ind w:right="753" w:firstLine="1260" w:firstLineChars="450"/>
        <w:jc w:val="left"/>
        <w:rPr>
          <w:rFonts w:ascii="宋体" w:hAnsi="宋体" w:cs="宋体"/>
          <w:color w:val="000000" w:themeColor="text1"/>
          <w:sz w:val="28"/>
          <w:szCs w:val="28"/>
        </w:rPr>
      </w:pPr>
    </w:p>
    <w:p>
      <w:pPr>
        <w:pStyle w:val="13"/>
        <w:rPr>
          <w:color w:val="000000" w:themeColor="text1"/>
        </w:rPr>
      </w:pPr>
      <w:bookmarkStart w:id="233" w:name="_Toc7849"/>
      <w:bookmarkStart w:id="234" w:name="_Toc461525323"/>
    </w:p>
    <w:p>
      <w:pPr>
        <w:pStyle w:val="4"/>
        <w:jc w:val="center"/>
        <w:rPr>
          <w:color w:val="000000" w:themeColor="text1"/>
        </w:rPr>
      </w:pPr>
      <w:bookmarkStart w:id="235" w:name="_Toc29495"/>
      <w:bookmarkStart w:id="236" w:name="_Toc17090"/>
      <w:bookmarkStart w:id="237" w:name="_Toc28967"/>
      <w:bookmarkStart w:id="238" w:name="_Toc471482370"/>
      <w:bookmarkStart w:id="239" w:name="_Toc13042"/>
      <w:bookmarkStart w:id="240" w:name="_Toc7514"/>
      <w:bookmarkStart w:id="241" w:name="_Toc16191"/>
      <w:bookmarkStart w:id="242" w:name="_Toc7031"/>
      <w:bookmarkStart w:id="243" w:name="_Toc24695"/>
      <w:r>
        <w:rPr>
          <w:rFonts w:hint="eastAsia"/>
          <w:color w:val="000000" w:themeColor="text1"/>
        </w:rPr>
        <w:t>一、资格审查文件目录</w:t>
      </w:r>
      <w:bookmarkEnd w:id="233"/>
      <w:bookmarkEnd w:id="234"/>
      <w:bookmarkEnd w:id="235"/>
      <w:bookmarkEnd w:id="236"/>
      <w:bookmarkEnd w:id="237"/>
      <w:bookmarkEnd w:id="238"/>
      <w:bookmarkEnd w:id="239"/>
      <w:bookmarkEnd w:id="240"/>
      <w:bookmarkEnd w:id="241"/>
      <w:bookmarkEnd w:id="242"/>
      <w:bookmarkEnd w:id="243"/>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联合体协议书（原件）</w:t>
      </w:r>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诚信声明（原件）</w:t>
      </w:r>
    </w:p>
    <w:p>
      <w:pPr>
        <w:numPr>
          <w:ilvl w:val="0"/>
          <w:numId w:val="2"/>
        </w:numPr>
        <w:tabs>
          <w:tab w:val="left" w:pos="826"/>
        </w:tabs>
        <w:spacing w:line="560" w:lineRule="exact"/>
        <w:rPr>
          <w:rFonts w:ascii="宋体" w:hAnsi="宋体"/>
          <w:color w:val="000000" w:themeColor="text1"/>
          <w:sz w:val="28"/>
          <w:szCs w:val="28"/>
        </w:rPr>
      </w:pPr>
      <w:r>
        <w:rPr>
          <w:rFonts w:hint="eastAsia" w:ascii="宋体" w:hAnsi="宋体"/>
          <w:color w:val="000000" w:themeColor="text1"/>
          <w:sz w:val="28"/>
          <w:szCs w:val="28"/>
        </w:rPr>
        <w:t>法定代表人资格证明书（原件）</w:t>
      </w:r>
    </w:p>
    <w:p>
      <w:pPr>
        <w:numPr>
          <w:ilvl w:val="0"/>
          <w:numId w:val="2"/>
        </w:numPr>
        <w:tabs>
          <w:tab w:val="left" w:pos="826"/>
        </w:tabs>
        <w:spacing w:line="560" w:lineRule="exact"/>
        <w:rPr>
          <w:rFonts w:ascii="宋体" w:hAnsi="宋体"/>
          <w:color w:val="000000" w:themeColor="text1"/>
          <w:sz w:val="28"/>
          <w:szCs w:val="28"/>
        </w:rPr>
      </w:pPr>
      <w:r>
        <w:rPr>
          <w:rFonts w:hint="eastAsia" w:ascii="宋体" w:hAnsi="宋体"/>
          <w:color w:val="000000" w:themeColor="text1"/>
          <w:sz w:val="28"/>
          <w:szCs w:val="28"/>
        </w:rPr>
        <w:t>法定代表人身份证（提供复印件</w:t>
      </w:r>
      <w:r>
        <w:rPr>
          <w:rFonts w:hint="eastAsia" w:ascii="宋体" w:hAnsi="宋体"/>
          <w:color w:val="000000" w:themeColor="text1"/>
          <w:kern w:val="0"/>
          <w:sz w:val="28"/>
          <w:szCs w:val="28"/>
        </w:rPr>
        <w:t>加盖法人单位公章</w:t>
      </w:r>
      <w:r>
        <w:rPr>
          <w:rFonts w:hint="eastAsia" w:ascii="宋体" w:hAnsi="宋体"/>
          <w:color w:val="000000" w:themeColor="text1"/>
          <w:sz w:val="28"/>
          <w:szCs w:val="28"/>
        </w:rPr>
        <w:t>）</w:t>
      </w:r>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授权委托书（原件）</w:t>
      </w:r>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授权代理人身份证（提供复印件加盖法人单位公章）</w:t>
      </w:r>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营业执照（提供复印件加盖法人单位公章）</w:t>
      </w:r>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税务登记证（加盖单位公章, 如已办理三证合一则不需提供）；</w:t>
      </w:r>
    </w:p>
    <w:p>
      <w:pPr>
        <w:numPr>
          <w:ilvl w:val="0"/>
          <w:numId w:val="2"/>
        </w:numPr>
        <w:tabs>
          <w:tab w:val="left" w:pos="826"/>
        </w:tabs>
        <w:spacing w:line="560" w:lineRule="exact"/>
        <w:rPr>
          <w:rFonts w:ascii="宋体" w:hAnsi="宋体"/>
          <w:color w:val="000000" w:themeColor="text1"/>
          <w:kern w:val="0"/>
          <w:sz w:val="28"/>
          <w:szCs w:val="28"/>
        </w:rPr>
      </w:pPr>
      <w:r>
        <w:rPr>
          <w:rFonts w:hint="eastAsia" w:ascii="宋体" w:hAnsi="宋体"/>
          <w:color w:val="000000" w:themeColor="text1"/>
          <w:kern w:val="0"/>
          <w:sz w:val="28"/>
          <w:szCs w:val="28"/>
        </w:rPr>
        <w:t>组织机构代码证复印件（加盖单位公章, 如已办理三证合一则不需提供）</w:t>
      </w:r>
    </w:p>
    <w:p>
      <w:pPr>
        <w:tabs>
          <w:tab w:val="left" w:pos="826"/>
        </w:tabs>
        <w:spacing w:line="560" w:lineRule="exact"/>
        <w:ind w:firstLine="420" w:firstLineChars="150"/>
        <w:rPr>
          <w:rFonts w:ascii="宋体" w:hAnsi="宋体" w:cs="宋体"/>
          <w:color w:val="000000" w:themeColor="text1"/>
          <w:szCs w:val="28"/>
        </w:rPr>
      </w:pPr>
      <w:r>
        <w:rPr>
          <w:rFonts w:ascii="宋体" w:hAnsi="宋体"/>
          <w:color w:val="000000" w:themeColor="text1"/>
          <w:kern w:val="0"/>
          <w:sz w:val="28"/>
          <w:szCs w:val="28"/>
        </w:rPr>
        <w:t>10.</w:t>
      </w:r>
      <w:r>
        <w:rPr>
          <w:rFonts w:hint="eastAsia" w:ascii="宋体" w:hAnsi="宋体"/>
          <w:color w:val="000000" w:themeColor="text1"/>
          <w:kern w:val="0"/>
          <w:sz w:val="28"/>
          <w:szCs w:val="28"/>
        </w:rPr>
        <w:t>拟投入人员配置表（至少一名注册造价师、注册评估师、注册会计师）</w:t>
      </w:r>
    </w:p>
    <w:p>
      <w:pPr>
        <w:ind w:right="-21" w:firstLine="420" w:firstLineChars="200"/>
        <w:jc w:val="left"/>
        <w:rPr>
          <w:rFonts w:ascii="宋体" w:hAnsi="宋体"/>
          <w:color w:val="000000" w:themeColor="text1"/>
          <w:kern w:val="0"/>
          <w:sz w:val="28"/>
          <w:szCs w:val="28"/>
        </w:rPr>
      </w:pPr>
      <w:r>
        <w:rPr>
          <w:rFonts w:hint="eastAsia" w:ascii="宋体" w:hAnsi="宋体" w:cs="宋体"/>
          <w:color w:val="000000" w:themeColor="text1"/>
          <w:szCs w:val="28"/>
        </w:rPr>
        <w:t xml:space="preserve">      </w:t>
      </w:r>
      <w:r>
        <w:rPr>
          <w:rFonts w:ascii="宋体" w:hAnsi="宋体"/>
          <w:color w:val="000000" w:themeColor="text1"/>
          <w:kern w:val="0"/>
          <w:sz w:val="28"/>
          <w:szCs w:val="28"/>
        </w:rPr>
        <w:t>11.咨询管理机构应出具</w:t>
      </w:r>
      <w:r>
        <w:rPr>
          <w:rFonts w:hint="eastAsia" w:ascii="宋体" w:hAnsi="宋体"/>
          <w:color w:val="000000" w:themeColor="text1"/>
          <w:kern w:val="0"/>
          <w:sz w:val="28"/>
          <w:szCs w:val="28"/>
        </w:rPr>
        <w:t>近三年不少于</w:t>
      </w:r>
      <w:r>
        <w:rPr>
          <w:rFonts w:ascii="宋体" w:hAnsi="宋体"/>
          <w:color w:val="000000" w:themeColor="text1"/>
          <w:kern w:val="0"/>
          <w:sz w:val="28"/>
          <w:szCs w:val="28"/>
        </w:rPr>
        <w:t>2个企业管理咨询服务合同</w:t>
      </w:r>
      <w:r>
        <w:rPr>
          <w:rFonts w:hint="eastAsia" w:ascii="宋体" w:hAnsi="宋体"/>
          <w:color w:val="000000" w:themeColor="text1"/>
          <w:kern w:val="0"/>
          <w:sz w:val="28"/>
          <w:szCs w:val="28"/>
        </w:rPr>
        <w:t>，合同金额不低于</w:t>
      </w:r>
      <w:r>
        <w:rPr>
          <w:rFonts w:ascii="宋体" w:hAnsi="宋体"/>
          <w:color w:val="000000" w:themeColor="text1"/>
          <w:kern w:val="0"/>
          <w:sz w:val="28"/>
          <w:szCs w:val="28"/>
        </w:rPr>
        <w:t>40万元整</w:t>
      </w:r>
    </w:p>
    <w:p>
      <w:pPr>
        <w:ind w:right="-21"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备注：以上材料均需加盖单位公章，并按照目录顺序编排，标注页码</w:t>
      </w:r>
    </w:p>
    <w:p>
      <w:pPr>
        <w:jc w:val="left"/>
        <w:rPr>
          <w:rFonts w:ascii="宋体" w:hAnsi="宋体" w:cs="宋体"/>
          <w:color w:val="000000" w:themeColor="text1"/>
          <w:szCs w:val="28"/>
        </w:rPr>
      </w:pPr>
    </w:p>
    <w:p>
      <w:pPr>
        <w:spacing w:line="560" w:lineRule="exact"/>
        <w:ind w:firstLine="4498" w:firstLineChars="1600"/>
        <w:rPr>
          <w:rFonts w:ascii="宋体" w:hAnsi="宋体"/>
          <w:b/>
          <w:bCs/>
          <w:color w:val="000000" w:themeColor="text1"/>
          <w:sz w:val="28"/>
          <w:szCs w:val="28"/>
        </w:rPr>
      </w:pPr>
      <w:r>
        <w:rPr>
          <w:rFonts w:hint="eastAsia" w:ascii="宋体" w:hAnsi="宋体"/>
          <w:b/>
          <w:bCs/>
          <w:color w:val="000000" w:themeColor="text1"/>
          <w:sz w:val="28"/>
          <w:szCs w:val="28"/>
        </w:rPr>
        <w:t>1、联合体协议书</w:t>
      </w:r>
    </w:p>
    <w:p>
      <w:pPr>
        <w:spacing w:line="394" w:lineRule="exact"/>
        <w:rPr>
          <w:szCs w:val="21"/>
        </w:rPr>
      </w:pPr>
      <w:r>
        <w:rPr>
          <w:szCs w:val="21"/>
        </w:rPr>
        <w:t>牵头人名称：</w:t>
      </w:r>
      <w:r>
        <w:rPr>
          <w:szCs w:val="21"/>
          <w:u w:val="single"/>
        </w:rPr>
        <w:t xml:space="preserve">                                                  </w:t>
      </w:r>
    </w:p>
    <w:p>
      <w:pPr>
        <w:spacing w:line="394" w:lineRule="exact"/>
        <w:rPr>
          <w:szCs w:val="21"/>
        </w:rPr>
      </w:pPr>
      <w:r>
        <w:rPr>
          <w:szCs w:val="21"/>
        </w:rPr>
        <w:t>法定代表人：</w:t>
      </w:r>
      <w:r>
        <w:rPr>
          <w:szCs w:val="21"/>
          <w:u w:val="single"/>
        </w:rPr>
        <w:t xml:space="preserve">                                                  </w:t>
      </w:r>
    </w:p>
    <w:p>
      <w:pPr>
        <w:spacing w:line="394" w:lineRule="exact"/>
        <w:rPr>
          <w:szCs w:val="21"/>
        </w:rPr>
      </w:pPr>
      <w:r>
        <w:rPr>
          <w:szCs w:val="21"/>
        </w:rPr>
        <w:t>法定住所：</w:t>
      </w:r>
      <w:r>
        <w:rPr>
          <w:szCs w:val="21"/>
          <w:u w:val="single"/>
        </w:rPr>
        <w:t xml:space="preserve">                                                    </w:t>
      </w:r>
    </w:p>
    <w:p>
      <w:pPr>
        <w:spacing w:line="394" w:lineRule="exact"/>
        <w:rPr>
          <w:szCs w:val="21"/>
        </w:rPr>
      </w:pPr>
      <w:r>
        <w:rPr>
          <w:szCs w:val="21"/>
        </w:rPr>
        <w:t>成员二名称：</w:t>
      </w:r>
      <w:r>
        <w:rPr>
          <w:szCs w:val="21"/>
          <w:u w:val="single"/>
        </w:rPr>
        <w:t xml:space="preserve">                                                  </w:t>
      </w:r>
    </w:p>
    <w:p>
      <w:pPr>
        <w:spacing w:line="394" w:lineRule="exact"/>
        <w:rPr>
          <w:szCs w:val="21"/>
        </w:rPr>
      </w:pPr>
      <w:r>
        <w:rPr>
          <w:szCs w:val="21"/>
        </w:rPr>
        <w:t>法定代表人：</w:t>
      </w:r>
      <w:r>
        <w:rPr>
          <w:szCs w:val="21"/>
          <w:u w:val="single"/>
        </w:rPr>
        <w:t xml:space="preserve">                                                  </w:t>
      </w:r>
    </w:p>
    <w:p>
      <w:pPr>
        <w:spacing w:line="394" w:lineRule="exact"/>
        <w:rPr>
          <w:szCs w:val="21"/>
          <w:u w:val="single"/>
        </w:rPr>
      </w:pPr>
      <w:r>
        <w:rPr>
          <w:szCs w:val="21"/>
        </w:rPr>
        <w:t>法定住所：</w:t>
      </w:r>
      <w:r>
        <w:rPr>
          <w:szCs w:val="21"/>
          <w:u w:val="single"/>
        </w:rPr>
        <w:t xml:space="preserve">                                                    </w:t>
      </w:r>
    </w:p>
    <w:p>
      <w:pPr>
        <w:spacing w:line="394" w:lineRule="exact"/>
        <w:rPr>
          <w:szCs w:val="21"/>
        </w:rPr>
      </w:pPr>
      <w:r>
        <w:rPr>
          <w:szCs w:val="21"/>
        </w:rPr>
        <w:t>成员</w:t>
      </w:r>
      <w:r>
        <w:rPr>
          <w:rFonts w:hint="eastAsia"/>
          <w:szCs w:val="21"/>
        </w:rPr>
        <w:t>三</w:t>
      </w:r>
      <w:r>
        <w:rPr>
          <w:szCs w:val="21"/>
        </w:rPr>
        <w:t>名称：</w:t>
      </w:r>
      <w:r>
        <w:rPr>
          <w:szCs w:val="21"/>
          <w:u w:val="single"/>
        </w:rPr>
        <w:t xml:space="preserve">                                                  </w:t>
      </w:r>
    </w:p>
    <w:p>
      <w:pPr>
        <w:spacing w:line="394" w:lineRule="exact"/>
        <w:rPr>
          <w:szCs w:val="21"/>
        </w:rPr>
      </w:pPr>
      <w:r>
        <w:rPr>
          <w:szCs w:val="21"/>
        </w:rPr>
        <w:t>法定代表人：</w:t>
      </w:r>
      <w:r>
        <w:rPr>
          <w:szCs w:val="21"/>
          <w:u w:val="single"/>
        </w:rPr>
        <w:t xml:space="preserve">                                                  </w:t>
      </w:r>
    </w:p>
    <w:p>
      <w:pPr>
        <w:spacing w:line="394" w:lineRule="exact"/>
        <w:rPr>
          <w:szCs w:val="21"/>
          <w:u w:val="single"/>
        </w:rPr>
      </w:pPr>
      <w:r>
        <w:rPr>
          <w:szCs w:val="21"/>
        </w:rPr>
        <w:t>法定住所：</w:t>
      </w:r>
      <w:r>
        <w:rPr>
          <w:szCs w:val="21"/>
          <w:u w:val="single"/>
        </w:rPr>
        <w:t xml:space="preserve">                                                    </w:t>
      </w:r>
    </w:p>
    <w:p>
      <w:pPr>
        <w:spacing w:line="400" w:lineRule="exact"/>
        <w:ind w:firstLine="420" w:firstLineChars="200"/>
        <w:rPr>
          <w:szCs w:val="21"/>
        </w:rPr>
      </w:pPr>
      <w:r>
        <w:rPr>
          <w:szCs w:val="21"/>
        </w:rPr>
        <w:t>鉴于上述各成员单位经过友好协商，自愿组成</w:t>
      </w:r>
      <w:r>
        <w:rPr>
          <w:szCs w:val="21"/>
          <w:u w:val="single"/>
        </w:rPr>
        <w:t xml:space="preserve">                          </w:t>
      </w:r>
      <w:r>
        <w:rPr>
          <w:szCs w:val="21"/>
        </w:rPr>
        <w:t>（联合体名称）联合体，共同参加</w:t>
      </w:r>
      <w:r>
        <w:rPr>
          <w:szCs w:val="21"/>
          <w:u w:val="single"/>
        </w:rPr>
        <w:t xml:space="preserve">            </w:t>
      </w:r>
      <w:r>
        <w:rPr>
          <w:rFonts w:hint="eastAsia"/>
          <w:szCs w:val="21"/>
          <w:u w:val="single"/>
        </w:rPr>
        <w:t xml:space="preserve">                   </w:t>
      </w:r>
      <w:r>
        <w:rPr>
          <w:szCs w:val="21"/>
          <w:u w:val="single"/>
        </w:rPr>
        <w:t xml:space="preserve">      </w:t>
      </w:r>
      <w:r>
        <w:rPr>
          <w:szCs w:val="21"/>
        </w:rPr>
        <w:t>（招标人名称）（以下简称招标人）</w:t>
      </w:r>
    </w:p>
    <w:p>
      <w:pPr>
        <w:spacing w:line="400" w:lineRule="exact"/>
        <w:rPr>
          <w:szCs w:val="21"/>
        </w:rPr>
      </w:pPr>
      <w:r>
        <w:rPr>
          <w:szCs w:val="21"/>
          <w:u w:val="single"/>
        </w:rPr>
        <w:t xml:space="preserve">                   </w:t>
      </w:r>
      <w:r>
        <w:rPr>
          <w:rFonts w:hint="eastAsia"/>
          <w:szCs w:val="21"/>
          <w:u w:val="single"/>
        </w:rPr>
        <w:t xml:space="preserve">   </w:t>
      </w:r>
      <w:r>
        <w:rPr>
          <w:szCs w:val="21"/>
          <w:u w:val="single"/>
        </w:rPr>
        <w:t xml:space="preserve">     </w:t>
      </w:r>
      <w:r>
        <w:rPr>
          <w:szCs w:val="21"/>
        </w:rPr>
        <w:t>（项目名称）（以下简称本</w:t>
      </w:r>
      <w:r>
        <w:rPr>
          <w:rFonts w:hint="eastAsia"/>
          <w:szCs w:val="21"/>
        </w:rPr>
        <w:t>项目</w:t>
      </w:r>
      <w:r>
        <w:rPr>
          <w:szCs w:val="21"/>
        </w:rPr>
        <w:t>）的施工投标并争取赢得本</w:t>
      </w:r>
      <w:r>
        <w:rPr>
          <w:rFonts w:hint="eastAsia"/>
          <w:szCs w:val="21"/>
        </w:rPr>
        <w:t>项目</w:t>
      </w:r>
      <w:r>
        <w:rPr>
          <w:szCs w:val="21"/>
        </w:rPr>
        <w:t>合同（以下简称合同）。现就联合体投标事宜订立如下协议：</w:t>
      </w:r>
    </w:p>
    <w:p>
      <w:pPr>
        <w:spacing w:line="400" w:lineRule="exact"/>
        <w:ind w:firstLine="420" w:firstLineChars="200"/>
        <w:rPr>
          <w:szCs w:val="21"/>
        </w:rPr>
      </w:pPr>
      <w:r>
        <w:rPr>
          <w:szCs w:val="21"/>
        </w:rPr>
        <w:t>1．</w:t>
      </w:r>
      <w:r>
        <w:rPr>
          <w:szCs w:val="21"/>
          <w:u w:val="single"/>
        </w:rPr>
        <w:t xml:space="preserve">        </w:t>
      </w:r>
      <w:r>
        <w:rPr>
          <w:szCs w:val="21"/>
        </w:rPr>
        <w:t>（某成员单位名称）为</w:t>
      </w:r>
      <w:r>
        <w:rPr>
          <w:szCs w:val="21"/>
          <w:u w:val="single"/>
        </w:rPr>
        <w:t xml:space="preserve">              </w:t>
      </w:r>
      <w:r>
        <w:rPr>
          <w:szCs w:val="21"/>
        </w:rPr>
        <w:t>（联合体名称）牵头人。</w:t>
      </w:r>
      <w:r>
        <w:rPr>
          <w:rFonts w:hint="eastAsia"/>
          <w:szCs w:val="21"/>
        </w:rPr>
        <w:t>由其全权全面负责本次投标事宜</w:t>
      </w:r>
    </w:p>
    <w:p>
      <w:pPr>
        <w:spacing w:line="400" w:lineRule="exact"/>
        <w:ind w:firstLine="420" w:firstLineChars="200"/>
        <w:rPr>
          <w:szCs w:val="21"/>
        </w:rPr>
      </w:pPr>
      <w:r>
        <w:rPr>
          <w:szCs w:val="21"/>
        </w:rPr>
        <w:t>2．在本</w:t>
      </w:r>
      <w:r>
        <w:rPr>
          <w:rFonts w:hint="eastAsia"/>
          <w:szCs w:val="21"/>
        </w:rPr>
        <w:t>服务</w:t>
      </w:r>
      <w:r>
        <w:rPr>
          <w:szCs w:val="21"/>
        </w:rPr>
        <w:t>投标阶段，联合体牵头人合法代表联合体各成员负责本</w:t>
      </w:r>
      <w:r>
        <w:rPr>
          <w:rFonts w:hint="eastAsia"/>
          <w:szCs w:val="21"/>
        </w:rPr>
        <w:t>服务比选</w:t>
      </w:r>
      <w:r>
        <w:rPr>
          <w:szCs w:val="21"/>
        </w:rPr>
        <w:t>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20" w:firstLineChars="200"/>
        <w:rPr>
          <w:szCs w:val="21"/>
        </w:rPr>
      </w:pPr>
      <w:r>
        <w:rPr>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20" w:firstLineChars="200"/>
        <w:rPr>
          <w:szCs w:val="21"/>
        </w:rPr>
      </w:pPr>
      <w:r>
        <w:rPr>
          <w:szCs w:val="21"/>
        </w:rPr>
        <w:t>4．联合体各成员单位内部的职责分工如下：</w:t>
      </w:r>
      <w:r>
        <w:rPr>
          <w:szCs w:val="21"/>
          <w:u w:val="single"/>
        </w:rPr>
        <w:t xml:space="preserve">                                    </w:t>
      </w:r>
      <w:r>
        <w:rPr>
          <w:szCs w:val="21"/>
        </w:rPr>
        <w:t>。按照本条上述分工，联合体成员单位各自所承担的合同工作量比例如下：</w:t>
      </w:r>
      <w:r>
        <w:rPr>
          <w:szCs w:val="21"/>
          <w:u w:val="single"/>
        </w:rPr>
        <w:t xml:space="preserve">               </w:t>
      </w:r>
      <w:r>
        <w:rPr>
          <w:szCs w:val="21"/>
        </w:rPr>
        <w:t>。</w:t>
      </w:r>
    </w:p>
    <w:p>
      <w:pPr>
        <w:spacing w:line="400" w:lineRule="exact"/>
        <w:ind w:firstLine="420" w:firstLineChars="200"/>
        <w:rPr>
          <w:szCs w:val="21"/>
        </w:rPr>
      </w:pPr>
      <w:r>
        <w:rPr>
          <w:szCs w:val="21"/>
        </w:rPr>
        <w:t>5．投标工作和联合体在中标后工程实施过程中的有关费用按各自承担的工作量分摊。</w:t>
      </w:r>
    </w:p>
    <w:p>
      <w:pPr>
        <w:spacing w:line="400" w:lineRule="exact"/>
        <w:ind w:firstLine="420" w:firstLineChars="200"/>
        <w:rPr>
          <w:szCs w:val="21"/>
        </w:rPr>
      </w:pPr>
      <w:r>
        <w:rPr>
          <w:szCs w:val="21"/>
        </w:rPr>
        <w:t>6．联合体中标后，本联合体协议是合同的附件，对联合体各成员单位有合同约束力。</w:t>
      </w:r>
    </w:p>
    <w:p>
      <w:pPr>
        <w:spacing w:line="400" w:lineRule="exact"/>
        <w:ind w:firstLine="420" w:firstLineChars="200"/>
        <w:rPr>
          <w:szCs w:val="21"/>
        </w:rPr>
      </w:pPr>
      <w:r>
        <w:rPr>
          <w:szCs w:val="21"/>
        </w:rPr>
        <w:t>7．本协议书自签署之日起生效，联合体未中标或者中标时合同履行完毕后自动失效。</w:t>
      </w:r>
    </w:p>
    <w:p>
      <w:pPr>
        <w:spacing w:line="400" w:lineRule="exact"/>
        <w:ind w:firstLine="420" w:firstLineChars="200"/>
        <w:rPr>
          <w:szCs w:val="21"/>
        </w:rPr>
      </w:pPr>
      <w:r>
        <w:rPr>
          <w:szCs w:val="21"/>
        </w:rPr>
        <w:t>8．本协议书一式</w:t>
      </w:r>
      <w:r>
        <w:rPr>
          <w:szCs w:val="21"/>
          <w:u w:val="single"/>
        </w:rPr>
        <w:t xml:space="preserve">            </w:t>
      </w:r>
      <w:r>
        <w:rPr>
          <w:szCs w:val="21"/>
        </w:rPr>
        <w:t>份，联合体成员和招标人各执一份。</w:t>
      </w:r>
    </w:p>
    <w:p>
      <w:pPr>
        <w:spacing w:line="394" w:lineRule="exact"/>
        <w:ind w:firstLine="1785" w:firstLineChars="850"/>
        <w:rPr>
          <w:szCs w:val="21"/>
        </w:rPr>
      </w:pPr>
      <w:r>
        <w:rPr>
          <w:szCs w:val="21"/>
        </w:rPr>
        <w:t>牵头人名称：</w:t>
      </w:r>
      <w:r>
        <w:rPr>
          <w:szCs w:val="21"/>
          <w:u w:val="single"/>
        </w:rPr>
        <w:t xml:space="preserve">                                    </w:t>
      </w:r>
      <w:r>
        <w:rPr>
          <w:szCs w:val="21"/>
        </w:rPr>
        <w:t>（盖单位章）</w:t>
      </w:r>
    </w:p>
    <w:p>
      <w:pPr>
        <w:spacing w:line="394" w:lineRule="exact"/>
        <w:ind w:firstLine="1785" w:firstLineChars="850"/>
        <w:rPr>
          <w:szCs w:val="21"/>
        </w:rPr>
      </w:pPr>
      <w:r>
        <w:rPr>
          <w:szCs w:val="21"/>
        </w:rPr>
        <w:t>法定代表人或其委托代理人：</w:t>
      </w:r>
      <w:r>
        <w:rPr>
          <w:szCs w:val="21"/>
          <w:u w:val="single"/>
        </w:rPr>
        <w:t xml:space="preserve">                          </w:t>
      </w:r>
      <w:r>
        <w:rPr>
          <w:szCs w:val="21"/>
        </w:rPr>
        <w:t>（签字）</w:t>
      </w:r>
    </w:p>
    <w:p>
      <w:pPr>
        <w:spacing w:line="394" w:lineRule="exact"/>
        <w:ind w:firstLine="1785" w:firstLineChars="850"/>
        <w:rPr>
          <w:szCs w:val="21"/>
        </w:rPr>
      </w:pPr>
    </w:p>
    <w:p>
      <w:pPr>
        <w:spacing w:line="394" w:lineRule="exact"/>
        <w:ind w:firstLine="1785" w:firstLineChars="850"/>
        <w:rPr>
          <w:szCs w:val="21"/>
        </w:rPr>
      </w:pPr>
      <w:r>
        <w:rPr>
          <w:szCs w:val="21"/>
        </w:rPr>
        <w:t>成员二名称：</w:t>
      </w:r>
      <w:r>
        <w:rPr>
          <w:szCs w:val="21"/>
          <w:u w:val="single"/>
        </w:rPr>
        <w:t xml:space="preserve">                                    </w:t>
      </w:r>
      <w:r>
        <w:rPr>
          <w:szCs w:val="21"/>
        </w:rPr>
        <w:t>（盖单位章）</w:t>
      </w:r>
    </w:p>
    <w:p>
      <w:pPr>
        <w:spacing w:line="394" w:lineRule="exact"/>
        <w:ind w:firstLine="1785" w:firstLineChars="850"/>
        <w:rPr>
          <w:szCs w:val="21"/>
        </w:rPr>
      </w:pPr>
      <w:r>
        <w:rPr>
          <w:szCs w:val="21"/>
        </w:rPr>
        <w:t>法定代表人或其委托代理人：</w:t>
      </w:r>
      <w:r>
        <w:rPr>
          <w:szCs w:val="21"/>
          <w:u w:val="single"/>
        </w:rPr>
        <w:t xml:space="preserve">                          </w:t>
      </w:r>
      <w:r>
        <w:rPr>
          <w:szCs w:val="21"/>
        </w:rPr>
        <w:t>（签字）</w:t>
      </w:r>
    </w:p>
    <w:p>
      <w:pPr>
        <w:spacing w:line="394" w:lineRule="exact"/>
        <w:ind w:firstLine="1785" w:firstLineChars="850"/>
        <w:rPr>
          <w:szCs w:val="21"/>
        </w:rPr>
      </w:pPr>
    </w:p>
    <w:p>
      <w:pPr>
        <w:spacing w:line="394" w:lineRule="exact"/>
        <w:ind w:firstLine="1785" w:firstLineChars="850"/>
        <w:rPr>
          <w:szCs w:val="21"/>
        </w:rPr>
      </w:pPr>
      <w:r>
        <w:rPr>
          <w:szCs w:val="21"/>
        </w:rPr>
        <w:t>成员</w:t>
      </w:r>
      <w:r>
        <w:rPr>
          <w:rFonts w:hint="eastAsia"/>
          <w:szCs w:val="21"/>
        </w:rPr>
        <w:t>三</w:t>
      </w:r>
      <w:r>
        <w:rPr>
          <w:szCs w:val="21"/>
        </w:rPr>
        <w:t>名称：</w:t>
      </w:r>
      <w:r>
        <w:rPr>
          <w:szCs w:val="21"/>
          <w:u w:val="single"/>
        </w:rPr>
        <w:t xml:space="preserve">                                    </w:t>
      </w:r>
      <w:r>
        <w:rPr>
          <w:szCs w:val="21"/>
        </w:rPr>
        <w:t>（盖单位章）</w:t>
      </w:r>
    </w:p>
    <w:p>
      <w:pPr>
        <w:spacing w:line="394" w:lineRule="exact"/>
        <w:ind w:firstLine="1785" w:firstLineChars="850"/>
        <w:rPr>
          <w:szCs w:val="21"/>
        </w:rPr>
      </w:pPr>
      <w:r>
        <w:rPr>
          <w:szCs w:val="21"/>
        </w:rPr>
        <w:t>法定代表人或其委托代理人：</w:t>
      </w:r>
      <w:r>
        <w:rPr>
          <w:szCs w:val="21"/>
          <w:u w:val="single"/>
        </w:rPr>
        <w:t xml:space="preserve">                          </w:t>
      </w:r>
      <w:r>
        <w:rPr>
          <w:szCs w:val="21"/>
        </w:rPr>
        <w:t>（签字）</w:t>
      </w:r>
    </w:p>
    <w:p>
      <w:pPr>
        <w:spacing w:line="394" w:lineRule="exact"/>
        <w:ind w:firstLine="1785" w:firstLineChars="850"/>
        <w:rPr>
          <w:szCs w:val="21"/>
        </w:rPr>
      </w:pPr>
    </w:p>
    <w:p>
      <w:pPr>
        <w:wordWrap w:val="0"/>
        <w:spacing w:line="394" w:lineRule="exact"/>
        <w:jc w:val="righ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
        <w:rPr>
          <w:rFonts w:eastAsia="楷体_GB2312"/>
          <w:szCs w:val="21"/>
        </w:rPr>
        <w:t>【</w:t>
      </w:r>
      <w:r>
        <w:rPr>
          <w:rFonts w:eastAsia="楷体_GB2312"/>
        </w:rPr>
        <w:t>备注：本协议书由委托代理人签字的，应附法定代表人签字的授权委托书】</w:t>
      </w:r>
    </w:p>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jc w:val="left"/>
        <w:rPr>
          <w:rFonts w:ascii="宋体" w:hAnsi="宋体" w:cs="宋体"/>
          <w:color w:val="000000" w:themeColor="text1"/>
          <w:szCs w:val="28"/>
        </w:rPr>
      </w:pPr>
    </w:p>
    <w:p>
      <w:pPr>
        <w:spacing w:line="560" w:lineRule="exact"/>
        <w:ind w:firstLine="4498" w:firstLineChars="1600"/>
        <w:rPr>
          <w:rFonts w:ascii="宋体" w:hAnsi="宋体"/>
          <w:b/>
          <w:bCs/>
          <w:color w:val="000000" w:themeColor="text1"/>
          <w:sz w:val="28"/>
          <w:szCs w:val="28"/>
        </w:rPr>
      </w:pPr>
      <w:bookmarkStart w:id="244" w:name="_Toc29347"/>
      <w:bookmarkStart w:id="245" w:name="_Toc461525329"/>
      <w:bookmarkStart w:id="246" w:name="_Toc15465"/>
      <w:bookmarkStart w:id="247" w:name="_Toc29655"/>
      <w:bookmarkStart w:id="248" w:name="_Toc26924"/>
      <w:bookmarkStart w:id="249" w:name="_Toc15071"/>
      <w:bookmarkStart w:id="250" w:name="_Toc32325"/>
      <w:bookmarkStart w:id="251" w:name="_Toc14714"/>
      <w:bookmarkStart w:id="252" w:name="_Toc24466"/>
      <w:bookmarkStart w:id="253" w:name="_Toc30157"/>
      <w:bookmarkStart w:id="254" w:name="_Toc17531"/>
      <w:bookmarkStart w:id="255" w:name="_Toc18804"/>
      <w:r>
        <w:rPr>
          <w:rFonts w:hint="eastAsia" w:ascii="宋体" w:hAnsi="宋体"/>
          <w:b/>
          <w:bCs/>
          <w:color w:val="000000" w:themeColor="text1"/>
          <w:sz w:val="28"/>
          <w:szCs w:val="28"/>
        </w:rPr>
        <w:t>2</w:t>
      </w:r>
      <w:r>
        <w:rPr>
          <w:rFonts w:ascii="宋体" w:hAnsi="宋体"/>
          <w:b/>
          <w:bCs/>
          <w:color w:val="000000" w:themeColor="text1"/>
          <w:sz w:val="28"/>
          <w:szCs w:val="28"/>
        </w:rPr>
        <w:t>、</w:t>
      </w:r>
      <w:r>
        <w:rPr>
          <w:rFonts w:hint="eastAsia" w:ascii="宋体" w:hAnsi="宋体"/>
          <w:b/>
          <w:bCs/>
          <w:color w:val="000000" w:themeColor="text1"/>
          <w:sz w:val="28"/>
          <w:szCs w:val="28"/>
        </w:rPr>
        <w:t>诚信声明</w:t>
      </w:r>
    </w:p>
    <w:p>
      <w:pPr>
        <w:spacing w:line="560" w:lineRule="exact"/>
        <w:ind w:firstLine="420" w:firstLineChars="200"/>
        <w:rPr>
          <w:rFonts w:ascii="宋体" w:hAnsi="宋体"/>
          <w:color w:val="000000" w:themeColor="text1"/>
        </w:rPr>
      </w:pP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本人       （法定代表人、身份证号码              ）郑重声明：</w:t>
      </w: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1、</w:t>
      </w:r>
      <w:r>
        <w:rPr>
          <w:rFonts w:hint="eastAsia" w:ascii="宋体" w:hAnsi="宋体"/>
          <w:color w:val="000000" w:themeColor="text1"/>
          <w:sz w:val="24"/>
        </w:rPr>
        <w:tab/>
      </w:r>
      <w:r>
        <w:rPr>
          <w:rFonts w:hint="eastAsia" w:ascii="宋体" w:hAnsi="宋体"/>
          <w:color w:val="000000" w:themeColor="text1"/>
          <w:sz w:val="24"/>
        </w:rPr>
        <w:t>本企业参加</w:t>
      </w:r>
      <w:r>
        <w:rPr>
          <w:rFonts w:hint="eastAsia" w:ascii="宋体" w:hAnsi="宋体"/>
          <w:b/>
          <w:color w:val="000000" w:themeColor="text1"/>
          <w:sz w:val="24"/>
          <w:u w:val="single"/>
        </w:rPr>
        <w:t xml:space="preserve">                项目</w:t>
      </w:r>
      <w:r>
        <w:rPr>
          <w:rFonts w:hint="eastAsia" w:ascii="宋体" w:hAnsi="宋体"/>
          <w:color w:val="000000" w:themeColor="text1"/>
          <w:sz w:val="24"/>
        </w:rPr>
        <w:t>采购项目比选活动所提交的所有资料、填写数据及所包含的附件资料内容是真实的、合法的、有效的；</w:t>
      </w: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2、</w:t>
      </w:r>
      <w:r>
        <w:rPr>
          <w:rFonts w:hint="eastAsia" w:ascii="宋体" w:hAnsi="宋体"/>
          <w:color w:val="000000" w:themeColor="text1"/>
          <w:sz w:val="24"/>
        </w:rPr>
        <w:tab/>
      </w:r>
      <w:r>
        <w:rPr>
          <w:rFonts w:hint="eastAsia" w:ascii="宋体" w:hAnsi="宋体"/>
          <w:color w:val="000000" w:themeColor="text1"/>
          <w:sz w:val="24"/>
        </w:rPr>
        <w:t>本企业未被国家、广西壮族自治区、南宁市相关行政主管部门通报停止投标活动，无犯罪行贿记录；</w:t>
      </w: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3、</w:t>
      </w:r>
      <w:r>
        <w:rPr>
          <w:rFonts w:hint="eastAsia" w:ascii="宋体" w:hAnsi="宋体"/>
          <w:color w:val="000000" w:themeColor="text1"/>
          <w:sz w:val="24"/>
        </w:rPr>
        <w:tab/>
      </w:r>
      <w:r>
        <w:rPr>
          <w:rFonts w:hint="eastAsia" w:ascii="宋体" w:hAnsi="宋体"/>
          <w:color w:val="000000" w:themeColor="text1"/>
          <w:sz w:val="24"/>
        </w:rPr>
        <w:t>同时，我在此所作的声明也是真实有效的，并愿意对在比选过程中有关部门的调查结果承担责任；</w:t>
      </w: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4、</w:t>
      </w:r>
      <w:r>
        <w:rPr>
          <w:rFonts w:hint="eastAsia" w:ascii="宋体" w:hAnsi="宋体"/>
          <w:color w:val="000000" w:themeColor="text1"/>
          <w:sz w:val="24"/>
        </w:rPr>
        <w:tab/>
      </w:r>
      <w:r>
        <w:rPr>
          <w:rFonts w:hint="eastAsia" w:ascii="宋体" w:hAnsi="宋体"/>
          <w:color w:val="000000" w:themeColor="text1"/>
          <w:sz w:val="24"/>
        </w:rPr>
        <w:t>本企业提交的所有比选申请资料如有不实，愿接受相关部门依据有关法律法规给予的处罚。</w:t>
      </w: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5、本企业提供的服务不存在知识产权或专利纠纷，保证甲方能正常使用本企业所提供的服务。</w:t>
      </w:r>
    </w:p>
    <w:p>
      <w:pPr>
        <w:spacing w:line="360" w:lineRule="auto"/>
        <w:ind w:firstLine="470" w:firstLineChars="196"/>
        <w:rPr>
          <w:rFonts w:ascii="宋体" w:hAnsi="宋体"/>
          <w:i/>
          <w:color w:val="000000" w:themeColor="text1"/>
          <w:sz w:val="24"/>
        </w:rPr>
      </w:pPr>
      <w:r>
        <w:rPr>
          <w:rFonts w:ascii="宋体" w:hAnsi="宋体"/>
          <w:i/>
          <w:color w:val="000000" w:themeColor="text1"/>
          <w:sz w:val="24"/>
        </w:rPr>
        <w:t>6、</w:t>
      </w:r>
      <w:r>
        <w:rPr>
          <w:rFonts w:hint="eastAsia" w:ascii="宋体" w:hAnsi="宋体"/>
          <w:i/>
          <w:color w:val="000000" w:themeColor="text1"/>
          <w:sz w:val="24"/>
        </w:rPr>
        <w:t>其他……</w:t>
      </w:r>
    </w:p>
    <w:p>
      <w:pPr>
        <w:spacing w:line="360" w:lineRule="auto"/>
        <w:ind w:firstLine="470" w:firstLineChars="196"/>
        <w:rPr>
          <w:rFonts w:ascii="宋体" w:hAnsi="宋体"/>
          <w:color w:val="000000" w:themeColor="text1"/>
          <w:sz w:val="24"/>
        </w:rPr>
      </w:pPr>
    </w:p>
    <w:p>
      <w:pPr>
        <w:spacing w:line="360" w:lineRule="auto"/>
        <w:ind w:firstLine="470" w:firstLineChars="196"/>
        <w:rPr>
          <w:rFonts w:ascii="宋体" w:hAnsi="宋体"/>
          <w:color w:val="000000" w:themeColor="text1"/>
          <w:sz w:val="24"/>
        </w:rPr>
      </w:pP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（公章）</w:t>
      </w:r>
    </w:p>
    <w:p>
      <w:pPr>
        <w:spacing w:line="360" w:lineRule="auto"/>
        <w:ind w:firstLine="470" w:firstLineChars="196"/>
        <w:rPr>
          <w:rFonts w:ascii="宋体" w:hAnsi="宋体"/>
          <w:color w:val="000000" w:themeColor="text1"/>
          <w:sz w:val="24"/>
        </w:rPr>
      </w:pPr>
    </w:p>
    <w:p>
      <w:pPr>
        <w:spacing w:line="360" w:lineRule="auto"/>
        <w:ind w:firstLine="470" w:firstLineChars="196"/>
        <w:rPr>
          <w:rFonts w:ascii="宋体" w:hAnsi="宋体"/>
          <w:color w:val="000000" w:themeColor="text1"/>
          <w:sz w:val="24"/>
        </w:rPr>
      </w:pPr>
      <w:r>
        <w:rPr>
          <w:rFonts w:hint="eastAsia" w:ascii="宋体" w:hAnsi="宋体"/>
          <w:color w:val="000000" w:themeColor="text1"/>
          <w:sz w:val="24"/>
        </w:rPr>
        <w:t>法定代表人：（签字）</w:t>
      </w:r>
    </w:p>
    <w:p>
      <w:pPr>
        <w:spacing w:line="360" w:lineRule="auto"/>
        <w:ind w:firstLine="470" w:firstLineChars="196"/>
        <w:rPr>
          <w:rFonts w:ascii="宋体" w:hAnsi="宋体"/>
          <w:color w:val="000000" w:themeColor="text1"/>
          <w:sz w:val="24"/>
        </w:rPr>
      </w:pPr>
    </w:p>
    <w:p>
      <w:pPr>
        <w:spacing w:line="360" w:lineRule="auto"/>
        <w:ind w:firstLine="470" w:firstLineChars="196"/>
        <w:rPr>
          <w:color w:val="000000" w:themeColor="text1"/>
          <w:sz w:val="24"/>
        </w:rPr>
      </w:pPr>
      <w:r>
        <w:rPr>
          <w:rFonts w:hint="eastAsia" w:ascii="宋体" w:hAnsi="宋体"/>
          <w:color w:val="000000" w:themeColor="text1"/>
          <w:sz w:val="24"/>
        </w:rPr>
        <w:t>日期：　　年   月    日</w:t>
      </w: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bookmarkEnd w:id="244"/>
    <w:bookmarkEnd w:id="245"/>
    <w:bookmarkEnd w:id="246"/>
    <w:bookmarkEnd w:id="247"/>
    <w:bookmarkEnd w:id="248"/>
    <w:bookmarkEnd w:id="249"/>
    <w:bookmarkEnd w:id="250"/>
    <w:bookmarkEnd w:id="251"/>
    <w:bookmarkEnd w:id="252"/>
    <w:bookmarkEnd w:id="253"/>
    <w:bookmarkEnd w:id="254"/>
    <w:bookmarkEnd w:id="255"/>
    <w:p>
      <w:pPr>
        <w:jc w:val="center"/>
        <w:rPr>
          <w:rFonts w:ascii="宋体" w:hAnsi="宋体"/>
          <w:b/>
          <w:color w:val="000000" w:themeColor="text1"/>
          <w:kern w:val="0"/>
          <w:sz w:val="30"/>
          <w:szCs w:val="30"/>
        </w:rPr>
      </w:pPr>
      <w:bookmarkStart w:id="256" w:name="_Toc3498"/>
      <w:bookmarkStart w:id="257" w:name="_Toc28436"/>
      <w:bookmarkStart w:id="258" w:name="_Toc32075"/>
      <w:bookmarkStart w:id="259" w:name="_Toc19937"/>
      <w:bookmarkStart w:id="260" w:name="_Toc25670"/>
      <w:bookmarkStart w:id="261" w:name="_Toc750"/>
      <w:bookmarkStart w:id="262" w:name="_Toc16756"/>
      <w:bookmarkStart w:id="263" w:name="_Toc7760"/>
      <w:bookmarkStart w:id="264" w:name="_Toc6606"/>
      <w:r>
        <w:rPr>
          <w:rFonts w:hint="eastAsia" w:ascii="宋体" w:hAnsi="宋体"/>
          <w:b/>
          <w:color w:val="000000" w:themeColor="text1"/>
          <w:kern w:val="0"/>
          <w:sz w:val="30"/>
          <w:szCs w:val="30"/>
        </w:rPr>
        <w:t>3、法定代表人资格证明书</w:t>
      </w:r>
    </w:p>
    <w:p>
      <w:pPr>
        <w:rPr>
          <w:rFonts w:ascii="宋体" w:hAnsi="宋体"/>
          <w:b/>
          <w:color w:val="000000" w:themeColor="text1"/>
          <w:sz w:val="36"/>
        </w:rPr>
      </w:pPr>
    </w:p>
    <w:p>
      <w:pPr>
        <w:rPr>
          <w:rFonts w:ascii="宋体" w:hAnsi="宋体"/>
          <w:b/>
          <w:color w:val="000000" w:themeColor="text1"/>
        </w:rPr>
      </w:pPr>
    </w:p>
    <w:p>
      <w:pPr>
        <w:spacing w:line="360" w:lineRule="auto"/>
        <w:ind w:firstLine="612"/>
        <w:rPr>
          <w:rFonts w:ascii="宋体" w:hAnsi="宋体"/>
          <w:color w:val="000000" w:themeColor="text1"/>
          <w:sz w:val="24"/>
        </w:rPr>
      </w:pPr>
      <w:r>
        <w:rPr>
          <w:rFonts w:hint="eastAsia" w:ascii="宋体" w:hAnsi="宋体"/>
          <w:color w:val="000000" w:themeColor="text1"/>
          <w:sz w:val="24"/>
        </w:rPr>
        <w:t>单位名称：</w:t>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p>
    <w:p>
      <w:pPr>
        <w:spacing w:line="360" w:lineRule="auto"/>
        <w:ind w:firstLine="612"/>
        <w:rPr>
          <w:rFonts w:ascii="宋体" w:hAnsi="宋体"/>
          <w:color w:val="000000" w:themeColor="text1"/>
          <w:sz w:val="24"/>
        </w:rPr>
      </w:pPr>
    </w:p>
    <w:p>
      <w:pPr>
        <w:spacing w:line="360" w:lineRule="auto"/>
        <w:ind w:firstLine="61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p>
    <w:p>
      <w:pPr>
        <w:spacing w:line="360" w:lineRule="auto"/>
        <w:ind w:firstLine="610"/>
        <w:rPr>
          <w:rFonts w:ascii="宋体" w:hAnsi="宋体"/>
          <w:color w:val="000000" w:themeColor="text1"/>
          <w:sz w:val="24"/>
        </w:rPr>
      </w:pPr>
    </w:p>
    <w:p>
      <w:pPr>
        <w:spacing w:line="360" w:lineRule="auto"/>
        <w:ind w:firstLine="610"/>
        <w:rPr>
          <w:rFonts w:ascii="宋体" w:hAnsi="宋体"/>
          <w:color w:val="000000" w:themeColor="text1"/>
          <w:sz w:val="24"/>
          <w:u w:val="single"/>
        </w:rPr>
      </w:pPr>
      <w:r>
        <w:rPr>
          <w:rFonts w:hint="eastAsia" w:ascii="宋体" w:hAnsi="宋体"/>
          <w:color w:val="000000" w:themeColor="text1"/>
          <w:sz w:val="24"/>
        </w:rPr>
        <w:t>地    址：</w:t>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p>
    <w:p>
      <w:pPr>
        <w:spacing w:line="360" w:lineRule="auto"/>
        <w:ind w:firstLine="610"/>
        <w:rPr>
          <w:rFonts w:ascii="宋体" w:hAnsi="宋体"/>
          <w:color w:val="000000" w:themeColor="text1"/>
          <w:sz w:val="24"/>
        </w:rPr>
      </w:pPr>
    </w:p>
    <w:p>
      <w:pPr>
        <w:spacing w:line="360" w:lineRule="auto"/>
        <w:ind w:firstLine="610"/>
        <w:rPr>
          <w:rFonts w:ascii="宋体" w:hAnsi="宋体"/>
          <w:color w:val="000000" w:themeColor="text1"/>
          <w:sz w:val="24"/>
        </w:rPr>
      </w:pPr>
      <w:r>
        <w:rPr>
          <w:rFonts w:hint="eastAsia" w:ascii="宋体" w:hAnsi="宋体"/>
          <w:color w:val="000000" w:themeColor="text1"/>
          <w:sz w:val="24"/>
        </w:rPr>
        <w:t>成立时间：年月日</w:t>
      </w:r>
    </w:p>
    <w:p>
      <w:pPr>
        <w:spacing w:line="360" w:lineRule="auto"/>
        <w:ind w:firstLine="610"/>
        <w:rPr>
          <w:rFonts w:ascii="宋体" w:hAnsi="宋体"/>
          <w:color w:val="000000" w:themeColor="text1"/>
          <w:sz w:val="24"/>
        </w:rPr>
      </w:pPr>
    </w:p>
    <w:p>
      <w:pPr>
        <w:spacing w:line="360" w:lineRule="auto"/>
        <w:ind w:firstLine="61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ab/>
      </w:r>
      <w:r>
        <w:rPr>
          <w:rFonts w:hint="eastAsia" w:ascii="宋体" w:hAnsi="宋体"/>
          <w:color w:val="000000" w:themeColor="text1"/>
          <w:sz w:val="24"/>
          <w:u w:val="single"/>
        </w:rPr>
        <w:tab/>
      </w:r>
    </w:p>
    <w:p>
      <w:pPr>
        <w:spacing w:line="360" w:lineRule="auto"/>
        <w:ind w:firstLine="610"/>
        <w:rPr>
          <w:rFonts w:ascii="宋体" w:hAnsi="宋体"/>
          <w:color w:val="000000" w:themeColor="text1"/>
          <w:sz w:val="24"/>
        </w:rPr>
      </w:pPr>
    </w:p>
    <w:p>
      <w:pPr>
        <w:spacing w:line="360" w:lineRule="auto"/>
        <w:ind w:firstLine="610"/>
        <w:rPr>
          <w:rFonts w:ascii="宋体" w:hAnsi="宋体"/>
          <w:color w:val="000000" w:themeColor="text1"/>
          <w:sz w:val="24"/>
          <w:u w:val="single"/>
        </w:rPr>
      </w:pPr>
      <w:r>
        <w:rPr>
          <w:rFonts w:hint="eastAsia" w:ascii="宋体" w:hAnsi="宋体"/>
          <w:color w:val="000000" w:themeColor="text1"/>
          <w:sz w:val="24"/>
        </w:rPr>
        <w:t>姓    名： 性别：年龄： 职务：</w:t>
      </w:r>
      <w:r>
        <w:rPr>
          <w:rFonts w:hint="eastAsia" w:ascii="宋体" w:hAnsi="宋体"/>
          <w:color w:val="000000" w:themeColor="text1"/>
          <w:sz w:val="24"/>
          <w:u w:val="single"/>
        </w:rPr>
        <w:tab/>
      </w:r>
      <w:r>
        <w:rPr>
          <w:rFonts w:hint="eastAsia" w:ascii="宋体" w:hAnsi="宋体"/>
          <w:color w:val="000000" w:themeColor="text1"/>
          <w:sz w:val="24"/>
          <w:u w:val="single"/>
        </w:rPr>
        <w:tab/>
      </w:r>
    </w:p>
    <w:p>
      <w:pPr>
        <w:spacing w:line="360" w:lineRule="auto"/>
        <w:ind w:firstLine="610"/>
        <w:rPr>
          <w:rFonts w:ascii="宋体" w:hAnsi="宋体"/>
          <w:color w:val="000000" w:themeColor="text1"/>
          <w:sz w:val="24"/>
        </w:rPr>
      </w:pPr>
    </w:p>
    <w:p>
      <w:pPr>
        <w:spacing w:line="360" w:lineRule="auto"/>
        <w:ind w:firstLine="61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（比选申请人单位名称）         </w:t>
      </w:r>
      <w:r>
        <w:rPr>
          <w:rFonts w:hint="eastAsia" w:ascii="宋体" w:hAnsi="宋体"/>
          <w:color w:val="000000" w:themeColor="text1"/>
          <w:sz w:val="24"/>
        </w:rPr>
        <w:t>的法定代表人。</w:t>
      </w:r>
    </w:p>
    <w:p>
      <w:pPr>
        <w:spacing w:line="360" w:lineRule="auto"/>
        <w:ind w:firstLine="610"/>
        <w:rPr>
          <w:rFonts w:ascii="宋体" w:hAnsi="宋体"/>
          <w:color w:val="000000" w:themeColor="text1"/>
          <w:sz w:val="24"/>
        </w:rPr>
      </w:pPr>
    </w:p>
    <w:p>
      <w:pPr>
        <w:spacing w:line="360" w:lineRule="auto"/>
        <w:ind w:firstLine="610"/>
        <w:rPr>
          <w:rFonts w:ascii="宋体" w:hAnsi="宋体"/>
          <w:color w:val="000000" w:themeColor="text1"/>
          <w:sz w:val="24"/>
        </w:rPr>
      </w:pPr>
      <w:r>
        <w:rPr>
          <w:rFonts w:hint="eastAsia" w:ascii="宋体" w:hAnsi="宋体"/>
          <w:color w:val="000000" w:themeColor="text1"/>
          <w:sz w:val="24"/>
        </w:rPr>
        <w:t>特此证明。</w:t>
      </w:r>
    </w:p>
    <w:p>
      <w:pPr>
        <w:tabs>
          <w:tab w:val="left" w:pos="720"/>
          <w:tab w:val="left" w:pos="900"/>
        </w:tabs>
        <w:spacing w:line="360" w:lineRule="auto"/>
        <w:rPr>
          <w:rFonts w:ascii="宋体" w:hAnsi="宋体"/>
          <w:color w:val="000000" w:themeColor="text1"/>
          <w:sz w:val="24"/>
        </w:rPr>
      </w:pPr>
    </w:p>
    <w:p>
      <w:pPr>
        <w:tabs>
          <w:tab w:val="left" w:pos="720"/>
          <w:tab w:val="left" w:pos="900"/>
        </w:tabs>
        <w:spacing w:line="360" w:lineRule="auto"/>
        <w:jc w:val="center"/>
        <w:rPr>
          <w:rFonts w:ascii="宋体" w:hAnsi="宋体"/>
          <w:color w:val="000000" w:themeColor="text1"/>
          <w:sz w:val="24"/>
        </w:rPr>
      </w:pPr>
      <w:r>
        <w:rPr>
          <w:rFonts w:hint="eastAsia" w:ascii="宋体" w:hAnsi="宋体"/>
          <w:color w:val="000000" w:themeColor="text1"/>
          <w:sz w:val="24"/>
        </w:rPr>
        <w:t xml:space="preserve">                           比选申请人：</w:t>
      </w:r>
      <w:r>
        <w:rPr>
          <w:rFonts w:hint="eastAsia" w:ascii="宋体" w:hAnsi="宋体"/>
          <w:color w:val="000000" w:themeColor="text1"/>
          <w:sz w:val="24"/>
          <w:u w:val="single"/>
        </w:rPr>
        <w:t xml:space="preserve">     （盖公章）        </w:t>
      </w:r>
    </w:p>
    <w:p>
      <w:pPr>
        <w:spacing w:line="360" w:lineRule="auto"/>
        <w:jc w:val="center"/>
        <w:rPr>
          <w:rFonts w:ascii="宋体" w:hAnsi="宋体"/>
          <w:color w:val="000000" w:themeColor="text1"/>
          <w:sz w:val="24"/>
        </w:rPr>
      </w:pPr>
      <w:r>
        <w:rPr>
          <w:rFonts w:hint="eastAsia" w:ascii="宋体" w:hAnsi="宋体"/>
          <w:color w:val="000000" w:themeColor="text1"/>
          <w:sz w:val="24"/>
        </w:rPr>
        <w:t xml:space="preserve">                                  日  期：年月日</w:t>
      </w:r>
    </w:p>
    <w:p>
      <w:pPr>
        <w:pStyle w:val="5"/>
        <w:rPr>
          <w:color w:val="000000" w:themeColor="text1"/>
        </w:rPr>
      </w:pPr>
      <w:r>
        <w:rPr>
          <w:rFonts w:ascii="楷体_GB2312" w:eastAsia="楷体_GB2312"/>
          <w:b/>
          <w:color w:val="000000" w:themeColor="text1"/>
          <w:sz w:val="24"/>
        </w:rPr>
        <w:br w:type="page"/>
      </w:r>
      <w:bookmarkEnd w:id="256"/>
      <w:bookmarkEnd w:id="257"/>
      <w:bookmarkEnd w:id="258"/>
      <w:bookmarkEnd w:id="259"/>
      <w:bookmarkEnd w:id="260"/>
      <w:bookmarkEnd w:id="261"/>
      <w:bookmarkEnd w:id="262"/>
      <w:bookmarkEnd w:id="263"/>
      <w:bookmarkEnd w:id="264"/>
      <w:r>
        <w:rPr>
          <w:rFonts w:hint="eastAsia" w:ascii="楷体_GB2312" w:eastAsia="楷体_GB2312"/>
          <w:b/>
          <w:color w:val="000000" w:themeColor="text1"/>
          <w:sz w:val="24"/>
        </w:rPr>
        <w:t>4、</w:t>
      </w:r>
      <w:r>
        <w:rPr>
          <w:rFonts w:hint="eastAsia" w:ascii="宋体" w:hAnsi="宋体"/>
          <w:color w:val="000000" w:themeColor="text1"/>
          <w:szCs w:val="28"/>
        </w:rPr>
        <w:t>法定代表人身份证（提供复印件加盖法人单位公章）</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480" w:lineRule="auto"/>
        <w:jc w:val="center"/>
        <w:rPr>
          <w:rFonts w:ascii="楷体_GB2312" w:eastAsia="楷体_GB2312"/>
          <w:color w:val="000000" w:themeColor="text1"/>
          <w:kern w:val="0"/>
          <w:sz w:val="24"/>
        </w:rPr>
      </w:pPr>
      <w:r>
        <w:rPr>
          <w:rFonts w:hint="eastAsia" w:ascii="宋体" w:hAnsi="宋体"/>
          <w:b/>
          <w:color w:val="000000" w:themeColor="text1"/>
          <w:kern w:val="0"/>
          <w:sz w:val="30"/>
          <w:szCs w:val="30"/>
        </w:rPr>
        <w:t>5、授权委托书</w:t>
      </w: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本授权委托书声明：我</w:t>
      </w:r>
      <w:r>
        <w:rPr>
          <w:rFonts w:hint="eastAsia" w:ascii="宋体" w:hAnsi="宋体"/>
          <w:color w:val="000000" w:themeColor="text1"/>
          <w:kern w:val="0"/>
          <w:sz w:val="24"/>
          <w:u w:val="single"/>
        </w:rPr>
        <w:t xml:space="preserve">   （姓名）    </w:t>
      </w:r>
      <w:r>
        <w:rPr>
          <w:rFonts w:hint="eastAsia" w:ascii="宋体" w:hAnsi="宋体"/>
          <w:color w:val="000000" w:themeColor="text1"/>
          <w:kern w:val="0"/>
          <w:sz w:val="24"/>
        </w:rPr>
        <w:t>系</w:t>
      </w:r>
      <w:r>
        <w:rPr>
          <w:rFonts w:hint="eastAsia" w:ascii="宋体" w:hAnsi="宋体"/>
          <w:color w:val="000000" w:themeColor="text1"/>
          <w:kern w:val="0"/>
          <w:sz w:val="24"/>
          <w:u w:val="single"/>
        </w:rPr>
        <w:t>（比选申请人名称）</w:t>
      </w:r>
      <w:r>
        <w:rPr>
          <w:rFonts w:hint="eastAsia" w:ascii="宋体" w:hAnsi="宋体"/>
          <w:color w:val="000000" w:themeColor="text1"/>
          <w:kern w:val="0"/>
          <w:sz w:val="24"/>
        </w:rPr>
        <w:t>的法定代表人，现授权委托</w:t>
      </w:r>
      <w:r>
        <w:rPr>
          <w:rFonts w:ascii="宋体" w:hAnsi="宋体"/>
          <w:color w:val="000000" w:themeColor="text1"/>
          <w:kern w:val="0"/>
          <w:sz w:val="24"/>
          <w:u w:val="single"/>
        </w:rPr>
        <w:t>(</w:t>
      </w:r>
      <w:r>
        <w:rPr>
          <w:rFonts w:hint="eastAsia" w:ascii="宋体" w:hAnsi="宋体"/>
          <w:color w:val="000000" w:themeColor="text1"/>
          <w:kern w:val="0"/>
          <w:sz w:val="24"/>
          <w:u w:val="single"/>
        </w:rPr>
        <w:t xml:space="preserve">比选申请人名称)        </w:t>
      </w:r>
      <w:r>
        <w:rPr>
          <w:rFonts w:hint="eastAsia" w:ascii="宋体" w:hAnsi="宋体"/>
          <w:color w:val="000000" w:themeColor="text1"/>
          <w:kern w:val="0"/>
          <w:sz w:val="24"/>
        </w:rPr>
        <w:t>的</w:t>
      </w:r>
      <w:r>
        <w:rPr>
          <w:rFonts w:hint="eastAsia" w:ascii="宋体" w:hAnsi="宋体"/>
          <w:color w:val="000000" w:themeColor="text1"/>
          <w:kern w:val="0"/>
          <w:sz w:val="24"/>
          <w:u w:val="single"/>
        </w:rPr>
        <w:t xml:space="preserve">   （姓名）  </w:t>
      </w:r>
      <w:r>
        <w:rPr>
          <w:rFonts w:hint="eastAsia" w:ascii="宋体" w:hAnsi="宋体"/>
          <w:color w:val="000000" w:themeColor="text1"/>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000000" w:themeColor="text1"/>
          <w:kern w:val="0"/>
          <w:sz w:val="24"/>
        </w:rPr>
      </w:pP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代理人无转委托权。特此委托。</w:t>
      </w:r>
    </w:p>
    <w:p>
      <w:pPr>
        <w:autoSpaceDE w:val="0"/>
        <w:autoSpaceDN w:val="0"/>
        <w:adjustRightInd w:val="0"/>
        <w:spacing w:line="480" w:lineRule="auto"/>
        <w:ind w:firstLine="614" w:firstLineChars="256"/>
        <w:rPr>
          <w:rFonts w:ascii="宋体" w:hAnsi="宋体"/>
          <w:color w:val="000000" w:themeColor="text1"/>
          <w:kern w:val="0"/>
          <w:sz w:val="24"/>
        </w:rPr>
      </w:pP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代理人：性别：年龄：</w:t>
      </w: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单位： 部门： 职务：</w:t>
      </w:r>
    </w:p>
    <w:p>
      <w:pPr>
        <w:autoSpaceDE w:val="0"/>
        <w:autoSpaceDN w:val="0"/>
        <w:adjustRightInd w:val="0"/>
        <w:spacing w:line="480" w:lineRule="auto"/>
        <w:ind w:firstLine="614" w:firstLineChars="256"/>
        <w:rPr>
          <w:rFonts w:ascii="宋体" w:hAnsi="宋体"/>
          <w:color w:val="000000" w:themeColor="text1"/>
          <w:kern w:val="0"/>
          <w:sz w:val="24"/>
        </w:rPr>
      </w:pP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比选申请人：（ 加盖单位公章）</w:t>
      </w:r>
    </w:p>
    <w:p>
      <w:pPr>
        <w:autoSpaceDE w:val="0"/>
        <w:autoSpaceDN w:val="0"/>
        <w:adjustRightInd w:val="0"/>
        <w:spacing w:line="480" w:lineRule="auto"/>
        <w:ind w:firstLine="614" w:firstLineChars="256"/>
        <w:rPr>
          <w:rFonts w:ascii="宋体" w:hAnsi="宋体"/>
          <w:color w:val="000000" w:themeColor="text1"/>
          <w:kern w:val="0"/>
          <w:sz w:val="24"/>
        </w:rPr>
      </w:pP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法定代表人：（签字、盖章）</w:t>
      </w:r>
    </w:p>
    <w:p>
      <w:pPr>
        <w:autoSpaceDE w:val="0"/>
        <w:autoSpaceDN w:val="0"/>
        <w:adjustRightInd w:val="0"/>
        <w:spacing w:line="480" w:lineRule="auto"/>
        <w:ind w:firstLine="614" w:firstLineChars="256"/>
        <w:rPr>
          <w:rFonts w:ascii="宋体" w:hAnsi="宋体"/>
          <w:color w:val="000000" w:themeColor="text1"/>
          <w:kern w:val="0"/>
          <w:sz w:val="24"/>
        </w:rPr>
      </w:pP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日期：年月日</w:t>
      </w:r>
    </w:p>
    <w:p>
      <w:pPr>
        <w:ind w:right="753"/>
        <w:jc w:val="left"/>
        <w:rPr>
          <w:rFonts w:ascii="宋体" w:hAnsi="宋体"/>
          <w:b/>
          <w:color w:val="000000" w:themeColor="text1"/>
          <w:kern w:val="0"/>
          <w:sz w:val="30"/>
          <w:szCs w:val="30"/>
        </w:rPr>
      </w:pPr>
      <w:r>
        <w:rPr>
          <w:rFonts w:ascii="宋体" w:hAnsi="宋体"/>
          <w:color w:val="000000" w:themeColor="text1"/>
          <w:kern w:val="0"/>
          <w:sz w:val="24"/>
        </w:rPr>
        <w:br w:type="page"/>
      </w:r>
      <w:bookmarkStart w:id="265" w:name="_Toc26749"/>
      <w:bookmarkStart w:id="266" w:name="_Toc30136"/>
      <w:bookmarkStart w:id="267" w:name="_Toc18479"/>
      <w:bookmarkStart w:id="268" w:name="_Toc2475"/>
      <w:bookmarkStart w:id="269" w:name="_Toc1509"/>
      <w:bookmarkStart w:id="270" w:name="_Toc880"/>
      <w:bookmarkStart w:id="271" w:name="_Toc11434"/>
      <w:bookmarkStart w:id="272" w:name="_Toc29504"/>
    </w:p>
    <w:p>
      <w:pPr>
        <w:ind w:right="753"/>
        <w:jc w:val="left"/>
        <w:rPr>
          <w:rFonts w:ascii="宋体" w:hAnsi="宋体" w:cs="宋体"/>
          <w:color w:val="000000" w:themeColor="text1"/>
          <w:sz w:val="28"/>
          <w:szCs w:val="28"/>
        </w:rPr>
      </w:pPr>
      <w:r>
        <w:rPr>
          <w:rFonts w:hint="eastAsia" w:ascii="宋体" w:hAnsi="宋体"/>
          <w:b/>
          <w:color w:val="000000" w:themeColor="text1"/>
          <w:kern w:val="0"/>
          <w:sz w:val="30"/>
          <w:szCs w:val="30"/>
        </w:rPr>
        <w:t>6.</w:t>
      </w:r>
      <w:r>
        <w:rPr>
          <w:rFonts w:hint="eastAsia" w:ascii="宋体" w:hAnsi="宋体"/>
          <w:b/>
          <w:color w:val="000000" w:themeColor="text1"/>
          <w:kern w:val="0"/>
          <w:sz w:val="30"/>
          <w:szCs w:val="30"/>
        </w:rPr>
        <w:tab/>
      </w:r>
      <w:r>
        <w:rPr>
          <w:rFonts w:hint="eastAsia" w:ascii="宋体" w:hAnsi="宋体"/>
          <w:b/>
          <w:color w:val="000000" w:themeColor="text1"/>
          <w:kern w:val="0"/>
          <w:sz w:val="30"/>
          <w:szCs w:val="30"/>
        </w:rPr>
        <w:t>授权代理人身份证（提供复印件加盖法人单位公章）</w:t>
      </w:r>
      <w:bookmarkEnd w:id="265"/>
      <w:bookmarkEnd w:id="266"/>
      <w:bookmarkEnd w:id="267"/>
      <w:bookmarkEnd w:id="268"/>
      <w:bookmarkEnd w:id="269"/>
      <w:bookmarkEnd w:id="270"/>
      <w:bookmarkEnd w:id="271"/>
      <w:bookmarkEnd w:id="272"/>
    </w:p>
    <w:p>
      <w:pPr>
        <w:ind w:right="753"/>
        <w:jc w:val="left"/>
        <w:rPr>
          <w:rFonts w:ascii="宋体" w:hAnsi="宋体"/>
          <w:b/>
          <w:color w:val="000000" w:themeColor="text1"/>
          <w:kern w:val="0"/>
          <w:sz w:val="30"/>
          <w:szCs w:val="30"/>
        </w:rPr>
      </w:pPr>
      <w:r>
        <w:rPr>
          <w:rFonts w:hint="eastAsia" w:ascii="宋体" w:hAnsi="宋体"/>
          <w:b/>
          <w:color w:val="000000" w:themeColor="text1"/>
          <w:kern w:val="0"/>
          <w:sz w:val="30"/>
          <w:szCs w:val="30"/>
        </w:rPr>
        <w:t>7.</w:t>
      </w:r>
      <w:r>
        <w:rPr>
          <w:rFonts w:hint="eastAsia" w:ascii="宋体" w:hAnsi="宋体"/>
          <w:b/>
          <w:color w:val="000000" w:themeColor="text1"/>
          <w:kern w:val="0"/>
          <w:sz w:val="30"/>
          <w:szCs w:val="30"/>
        </w:rPr>
        <w:tab/>
      </w:r>
      <w:r>
        <w:rPr>
          <w:rFonts w:hint="eastAsia" w:ascii="宋体" w:hAnsi="宋体"/>
          <w:b/>
          <w:color w:val="000000" w:themeColor="text1"/>
          <w:kern w:val="0"/>
          <w:sz w:val="30"/>
          <w:szCs w:val="30"/>
        </w:rPr>
        <w:t>营业执照（提供复印件加盖法人单位公章）</w:t>
      </w:r>
    </w:p>
    <w:p>
      <w:pPr>
        <w:ind w:right="753"/>
        <w:jc w:val="left"/>
        <w:rPr>
          <w:rFonts w:ascii="宋体" w:hAnsi="宋体"/>
          <w:b/>
          <w:color w:val="000000" w:themeColor="text1"/>
          <w:kern w:val="0"/>
          <w:sz w:val="30"/>
          <w:szCs w:val="30"/>
        </w:rPr>
      </w:pPr>
      <w:r>
        <w:rPr>
          <w:rFonts w:hint="eastAsia" w:ascii="宋体" w:hAnsi="宋体"/>
          <w:b/>
          <w:color w:val="000000" w:themeColor="text1"/>
          <w:kern w:val="0"/>
          <w:sz w:val="30"/>
          <w:szCs w:val="30"/>
        </w:rPr>
        <w:t>8.</w:t>
      </w:r>
      <w:r>
        <w:rPr>
          <w:rFonts w:hint="eastAsia" w:ascii="宋体" w:hAnsi="宋体"/>
          <w:b/>
          <w:color w:val="000000" w:themeColor="text1"/>
          <w:kern w:val="0"/>
          <w:sz w:val="30"/>
          <w:szCs w:val="30"/>
        </w:rPr>
        <w:tab/>
      </w:r>
      <w:r>
        <w:rPr>
          <w:rFonts w:hint="eastAsia" w:ascii="宋体" w:hAnsi="宋体"/>
          <w:b/>
          <w:color w:val="000000" w:themeColor="text1"/>
          <w:kern w:val="0"/>
          <w:sz w:val="30"/>
          <w:szCs w:val="30"/>
        </w:rPr>
        <w:t>税务登记证（加盖单位公章, 如已办理三证合一则不需提供）；</w:t>
      </w:r>
    </w:p>
    <w:p>
      <w:pPr>
        <w:ind w:right="753"/>
        <w:jc w:val="left"/>
        <w:rPr>
          <w:rFonts w:ascii="宋体" w:hAnsi="宋体"/>
          <w:b/>
          <w:color w:val="000000" w:themeColor="text1"/>
          <w:kern w:val="0"/>
          <w:sz w:val="30"/>
          <w:szCs w:val="30"/>
        </w:rPr>
      </w:pPr>
      <w:r>
        <w:rPr>
          <w:rFonts w:hint="eastAsia" w:ascii="宋体" w:hAnsi="宋体"/>
          <w:b/>
          <w:color w:val="000000" w:themeColor="text1"/>
          <w:kern w:val="0"/>
          <w:sz w:val="30"/>
          <w:szCs w:val="30"/>
        </w:rPr>
        <w:t>9.</w:t>
      </w:r>
      <w:r>
        <w:rPr>
          <w:rFonts w:hint="eastAsia" w:ascii="宋体" w:hAnsi="宋体"/>
          <w:b/>
          <w:color w:val="000000" w:themeColor="text1"/>
          <w:kern w:val="0"/>
          <w:sz w:val="30"/>
          <w:szCs w:val="30"/>
        </w:rPr>
        <w:tab/>
      </w:r>
      <w:r>
        <w:rPr>
          <w:rFonts w:hint="eastAsia" w:ascii="宋体" w:hAnsi="宋体"/>
          <w:b/>
          <w:color w:val="000000" w:themeColor="text1"/>
          <w:kern w:val="0"/>
          <w:sz w:val="30"/>
          <w:szCs w:val="30"/>
        </w:rPr>
        <w:t>组织机构代码证复印件（加盖单位公章, 如已办理三证合一则不需提供）</w:t>
      </w:r>
    </w:p>
    <w:p>
      <w:pPr>
        <w:ind w:right="753"/>
        <w:jc w:val="left"/>
        <w:rPr>
          <w:rFonts w:ascii="宋体" w:hAnsi="宋体"/>
          <w:b/>
          <w:color w:val="000000" w:themeColor="text1"/>
          <w:kern w:val="0"/>
          <w:sz w:val="30"/>
          <w:szCs w:val="30"/>
        </w:rPr>
      </w:pPr>
      <w:r>
        <w:rPr>
          <w:rFonts w:hint="eastAsia" w:ascii="宋体" w:hAnsi="宋体"/>
          <w:b/>
          <w:color w:val="000000" w:themeColor="text1"/>
          <w:kern w:val="0"/>
          <w:sz w:val="30"/>
          <w:szCs w:val="30"/>
        </w:rPr>
        <w:t>10.拟投入人员配置表（至少一名注册造价师、注册评估师、注册会计师）</w:t>
      </w:r>
    </w:p>
    <w:p>
      <w:pPr>
        <w:ind w:right="753"/>
        <w:jc w:val="left"/>
        <w:rPr>
          <w:rFonts w:ascii="宋体" w:hAnsi="宋体"/>
          <w:b/>
          <w:color w:val="000000" w:themeColor="text1"/>
          <w:kern w:val="0"/>
          <w:sz w:val="30"/>
          <w:szCs w:val="30"/>
        </w:rPr>
      </w:pPr>
      <w:r>
        <w:rPr>
          <w:rFonts w:hint="eastAsia" w:ascii="宋体" w:hAnsi="宋体"/>
          <w:b/>
          <w:color w:val="000000" w:themeColor="text1"/>
          <w:kern w:val="0"/>
          <w:sz w:val="30"/>
          <w:szCs w:val="30"/>
        </w:rPr>
        <w:t>11.咨询管理机构应出具近三年不少于2个企业管理咨询服务合同，合同金额不低于40万元整</w:t>
      </w:r>
    </w:p>
    <w:p>
      <w:pPr>
        <w:ind w:right="-21"/>
        <w:jc w:val="left"/>
        <w:rPr>
          <w:rFonts w:ascii="宋体" w:hAnsi="宋体"/>
          <w:b/>
          <w:color w:val="000000" w:themeColor="text1"/>
          <w:kern w:val="0"/>
          <w:sz w:val="30"/>
          <w:szCs w:val="30"/>
        </w:rPr>
      </w:pPr>
      <w:r>
        <w:rPr>
          <w:rFonts w:hint="eastAsia" w:ascii="宋体" w:hAnsi="宋体"/>
          <w:b/>
          <w:color w:val="000000" w:themeColor="text1"/>
          <w:kern w:val="0"/>
          <w:sz w:val="30"/>
          <w:szCs w:val="30"/>
        </w:rPr>
        <w:t>备注：以上材料均需加盖单位公章，并按照目录顺序编排，标注页码</w:t>
      </w:r>
    </w:p>
    <w:p>
      <w:pPr>
        <w:ind w:right="753"/>
        <w:jc w:val="left"/>
        <w:rPr>
          <w:rFonts w:ascii="宋体" w:hAnsi="宋体"/>
          <w:b/>
          <w:color w:val="000000" w:themeColor="text1"/>
          <w:kern w:val="0"/>
          <w:sz w:val="30"/>
          <w:szCs w:val="30"/>
        </w:rPr>
      </w:pPr>
    </w:p>
    <w:p>
      <w:pPr>
        <w:ind w:right="753"/>
        <w:jc w:val="left"/>
        <w:rPr>
          <w:rFonts w:ascii="宋体" w:hAnsi="宋体"/>
          <w:b/>
          <w:color w:val="000000" w:themeColor="text1"/>
          <w:kern w:val="0"/>
          <w:sz w:val="30"/>
          <w:szCs w:val="30"/>
        </w:rPr>
      </w:pPr>
    </w:p>
    <w:p>
      <w:pPr>
        <w:ind w:right="753"/>
        <w:jc w:val="left"/>
        <w:rPr>
          <w:rFonts w:ascii="宋体" w:hAnsi="宋体"/>
          <w:i/>
          <w:color w:val="000000" w:themeColor="text1"/>
          <w:kern w:val="0"/>
          <w:sz w:val="28"/>
          <w:szCs w:val="28"/>
        </w:rPr>
      </w:pPr>
      <w:r>
        <w:rPr>
          <w:rFonts w:ascii="宋体" w:hAnsi="宋体"/>
          <w:b/>
          <w:color w:val="000000" w:themeColor="text1"/>
          <w:kern w:val="0"/>
          <w:sz w:val="30"/>
          <w:szCs w:val="30"/>
        </w:rPr>
        <w:t xml:space="preserve"> </w:t>
      </w:r>
      <w:r>
        <w:rPr>
          <w:rFonts w:ascii="宋体" w:hAnsi="宋体"/>
          <w:b/>
          <w:color w:val="000000" w:themeColor="text1"/>
          <w:kern w:val="0"/>
          <w:sz w:val="30"/>
          <w:szCs w:val="30"/>
        </w:rPr>
        <w:br w:type="page"/>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（封面格式）</w:t>
      </w: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jc w:val="center"/>
        <w:rPr>
          <w:rFonts w:ascii="宋体" w:hAnsi="宋体" w:cs="宋体"/>
          <w:color w:val="000000" w:themeColor="text1"/>
          <w:szCs w:val="28"/>
        </w:rPr>
      </w:pPr>
    </w:p>
    <w:p>
      <w:pPr>
        <w:jc w:val="center"/>
        <w:rPr>
          <w:rFonts w:ascii="宋体" w:hAnsi="宋体" w:cs="宋体"/>
          <w:color w:val="000000" w:themeColor="text1"/>
          <w:szCs w:val="28"/>
        </w:rPr>
      </w:pPr>
      <w:r>
        <w:rPr>
          <w:rFonts w:hint="eastAsia" w:ascii="宋体" w:hAnsi="宋体" w:cs="宋体"/>
          <w:color w:val="000000" w:themeColor="text1"/>
          <w:sz w:val="28"/>
          <w:szCs w:val="28"/>
        </w:rPr>
        <w:t xml:space="preserve"> 项目比选申请文件</w:t>
      </w:r>
    </w:p>
    <w:p>
      <w:pPr>
        <w:pStyle w:val="24"/>
        <w:jc w:val="center"/>
        <w:rPr>
          <w:b w:val="0"/>
          <w:bCs w:val="0"/>
          <w:color w:val="000000" w:themeColor="text1"/>
          <w:sz w:val="28"/>
          <w:szCs w:val="28"/>
        </w:rPr>
      </w:pPr>
      <w:bookmarkStart w:id="273" w:name="_Toc16451"/>
      <w:bookmarkStart w:id="274" w:name="_Toc18631"/>
      <w:bookmarkStart w:id="275" w:name="_Toc461525334"/>
      <w:bookmarkStart w:id="276" w:name="_Toc4828"/>
      <w:bookmarkStart w:id="277" w:name="_Toc31069"/>
      <w:bookmarkStart w:id="278" w:name="_Toc124"/>
      <w:bookmarkStart w:id="279" w:name="_Toc25575"/>
      <w:bookmarkStart w:id="280" w:name="_Toc23149"/>
      <w:bookmarkStart w:id="281" w:name="_Toc10507"/>
      <w:bookmarkStart w:id="282" w:name="_Toc144"/>
      <w:r>
        <w:rPr>
          <w:rFonts w:hint="eastAsia"/>
          <w:b w:val="0"/>
          <w:bCs w:val="0"/>
          <w:color w:val="000000" w:themeColor="text1"/>
          <w:sz w:val="28"/>
          <w:szCs w:val="28"/>
        </w:rPr>
        <w:t>技术部分</w:t>
      </w:r>
      <w:bookmarkEnd w:id="273"/>
      <w:bookmarkEnd w:id="274"/>
      <w:bookmarkEnd w:id="275"/>
      <w:bookmarkEnd w:id="276"/>
      <w:bookmarkEnd w:id="277"/>
      <w:bookmarkEnd w:id="278"/>
      <w:bookmarkEnd w:id="279"/>
      <w:bookmarkEnd w:id="280"/>
      <w:bookmarkEnd w:id="281"/>
      <w:bookmarkEnd w:id="282"/>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比选申请人：                             （盖章）</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负责人或委托代理人：（签字或盖章）</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电话/传真：</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地址：</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年    月    日</w:t>
      </w: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pStyle w:val="4"/>
        <w:jc w:val="center"/>
        <w:rPr>
          <w:b/>
          <w:color w:val="000000" w:themeColor="text1"/>
        </w:rPr>
      </w:pPr>
      <w:bookmarkStart w:id="283" w:name="_Toc21144"/>
      <w:bookmarkStart w:id="284" w:name="_Toc26769"/>
      <w:bookmarkStart w:id="285" w:name="_Toc31521"/>
      <w:bookmarkStart w:id="286" w:name="_Toc1986"/>
      <w:bookmarkStart w:id="287" w:name="_Toc32510"/>
      <w:bookmarkStart w:id="288" w:name="_Toc31582"/>
      <w:bookmarkStart w:id="289" w:name="_Toc9379"/>
      <w:bookmarkStart w:id="290" w:name="_Toc23508"/>
      <w:bookmarkStart w:id="291" w:name="_Toc29536"/>
      <w:bookmarkStart w:id="292" w:name="_Toc471482371"/>
      <w:r>
        <w:rPr>
          <w:rFonts w:hint="eastAsia"/>
          <w:b/>
          <w:color w:val="000000" w:themeColor="text1"/>
        </w:rPr>
        <w:t>二、技术部分材料目录</w:t>
      </w:r>
      <w:bookmarkEnd w:id="283"/>
      <w:bookmarkEnd w:id="284"/>
      <w:bookmarkEnd w:id="285"/>
      <w:bookmarkEnd w:id="286"/>
      <w:bookmarkEnd w:id="287"/>
      <w:bookmarkEnd w:id="288"/>
      <w:bookmarkEnd w:id="289"/>
      <w:bookmarkEnd w:id="290"/>
      <w:bookmarkEnd w:id="291"/>
      <w:bookmarkEnd w:id="292"/>
    </w:p>
    <w:p>
      <w:pPr>
        <w:ind w:right="753" w:firstLine="420" w:firstLineChars="150"/>
        <w:jc w:val="left"/>
        <w:rPr>
          <w:rFonts w:ascii="宋体" w:hAnsi="宋体" w:cs="宋体"/>
          <w:color w:val="000000" w:themeColor="text1"/>
          <w:sz w:val="28"/>
          <w:szCs w:val="28"/>
        </w:rPr>
      </w:pPr>
      <w:r>
        <w:rPr>
          <w:rFonts w:hint="eastAsia" w:ascii="宋体" w:hAnsi="宋体" w:cs="宋体"/>
          <w:color w:val="000000" w:themeColor="text1"/>
          <w:sz w:val="28"/>
          <w:szCs w:val="28"/>
        </w:rPr>
        <w:t>1.业绩表；</w:t>
      </w:r>
    </w:p>
    <w:p>
      <w:pPr>
        <w:ind w:right="753" w:firstLine="420" w:firstLineChars="150"/>
        <w:jc w:val="left"/>
        <w:rPr>
          <w:rFonts w:ascii="宋体" w:hAnsi="宋体" w:cs="宋体"/>
          <w:color w:val="000000" w:themeColor="text1"/>
          <w:sz w:val="28"/>
          <w:szCs w:val="28"/>
        </w:rPr>
      </w:pPr>
      <w:r>
        <w:rPr>
          <w:rFonts w:hint="eastAsia" w:ascii="宋体" w:hAnsi="宋体" w:cs="宋体"/>
          <w:color w:val="000000" w:themeColor="text1"/>
          <w:sz w:val="28"/>
          <w:szCs w:val="28"/>
        </w:rPr>
        <w:t>2.牵头方资质等级证书等其它证明材料；</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2.拟投入人员配置明细表；</w:t>
      </w:r>
    </w:p>
    <w:p>
      <w:pPr>
        <w:ind w:right="-21" w:firstLine="420" w:firstLineChars="150"/>
        <w:jc w:val="left"/>
        <w:rPr>
          <w:rFonts w:ascii="宋体" w:hAnsi="宋体" w:cs="宋体"/>
          <w:color w:val="000000" w:themeColor="text1"/>
          <w:sz w:val="28"/>
          <w:szCs w:val="28"/>
        </w:rPr>
      </w:pPr>
      <w:r>
        <w:rPr>
          <w:rFonts w:hint="eastAsia" w:ascii="宋体" w:hAnsi="宋体" w:cs="宋体"/>
          <w:color w:val="000000" w:themeColor="text1"/>
          <w:sz w:val="28"/>
          <w:szCs w:val="28"/>
        </w:rPr>
        <w:t>3.拟投入人员的相关工作业绩、资历及能力（由比选申请人自行编写）</w:t>
      </w:r>
    </w:p>
    <w:p>
      <w:pPr>
        <w:ind w:right="-21"/>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4.服务方案（由比选申请人自行编写）；</w:t>
      </w:r>
    </w:p>
    <w:p>
      <w:pPr>
        <w:ind w:right="-21"/>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w:t>
      </w:r>
      <w:r>
        <w:rPr>
          <w:rFonts w:ascii="宋体" w:hAnsi="宋体" w:cs="宋体"/>
          <w:color w:val="000000" w:themeColor="text1"/>
          <w:sz w:val="28"/>
          <w:szCs w:val="28"/>
        </w:rPr>
        <w:t>5.其他……</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备注：以上材料均需加盖单位公章，并按照目录顺序编排，标注页码</w:t>
      </w: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21"/>
        <w:jc w:val="left"/>
        <w:rPr>
          <w:rFonts w:ascii="宋体" w:hAnsi="宋体" w:cs="宋体"/>
          <w:color w:val="000000" w:themeColor="text1"/>
          <w:sz w:val="28"/>
          <w:szCs w:val="28"/>
        </w:rPr>
      </w:pPr>
      <w:bookmarkStart w:id="293" w:name="_Toc6862"/>
      <w:bookmarkStart w:id="294" w:name="_Toc30501"/>
      <w:bookmarkStart w:id="295" w:name="_Toc461525332"/>
      <w:bookmarkStart w:id="296" w:name="_Toc31867"/>
      <w:bookmarkStart w:id="297" w:name="_Toc19445"/>
    </w:p>
    <w:p>
      <w:pPr>
        <w:pStyle w:val="5"/>
        <w:rPr>
          <w:color w:val="000000" w:themeColor="text1"/>
        </w:rPr>
      </w:pPr>
      <w:bookmarkStart w:id="298" w:name="_Toc12801"/>
      <w:bookmarkStart w:id="299" w:name="_Toc5471"/>
      <w:bookmarkStart w:id="300" w:name="_Toc28309"/>
      <w:bookmarkStart w:id="301" w:name="_Toc21426"/>
      <w:bookmarkStart w:id="302" w:name="_Toc30796"/>
      <w:bookmarkStart w:id="303" w:name="_Toc24135"/>
      <w:bookmarkStart w:id="304" w:name="_Toc14359"/>
      <w:bookmarkStart w:id="305" w:name="_Toc27864"/>
      <w:r>
        <w:rPr>
          <w:rFonts w:hint="eastAsia"/>
          <w:color w:val="000000" w:themeColor="text1"/>
        </w:rPr>
        <w:t>2.拟投入人员配置明细表</w:t>
      </w:r>
      <w:bookmarkEnd w:id="298"/>
      <w:bookmarkEnd w:id="299"/>
      <w:bookmarkEnd w:id="300"/>
      <w:bookmarkEnd w:id="301"/>
      <w:bookmarkEnd w:id="302"/>
      <w:bookmarkEnd w:id="303"/>
      <w:bookmarkEnd w:id="304"/>
      <w:bookmarkEnd w:id="305"/>
      <w:r>
        <w:rPr>
          <w:rFonts w:hint="eastAsia"/>
          <w:color w:val="000000" w:themeColor="text1"/>
        </w:rPr>
        <w:t>（联合体各成员单位应分别制作）</w:t>
      </w:r>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675"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序号</w:t>
            </w:r>
          </w:p>
        </w:tc>
        <w:tc>
          <w:tcPr>
            <w:tcW w:w="993"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姓名</w:t>
            </w:r>
          </w:p>
        </w:tc>
        <w:tc>
          <w:tcPr>
            <w:tcW w:w="850"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年龄</w:t>
            </w:r>
          </w:p>
        </w:tc>
        <w:tc>
          <w:tcPr>
            <w:tcW w:w="851"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性别</w:t>
            </w:r>
          </w:p>
        </w:tc>
        <w:tc>
          <w:tcPr>
            <w:tcW w:w="992"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学历</w:t>
            </w:r>
          </w:p>
        </w:tc>
        <w:tc>
          <w:tcPr>
            <w:tcW w:w="992"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专业</w:t>
            </w:r>
          </w:p>
        </w:tc>
        <w:tc>
          <w:tcPr>
            <w:tcW w:w="1134"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资格证</w:t>
            </w:r>
          </w:p>
        </w:tc>
        <w:tc>
          <w:tcPr>
            <w:tcW w:w="709"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执业年限</w:t>
            </w:r>
          </w:p>
        </w:tc>
        <w:tc>
          <w:tcPr>
            <w:tcW w:w="2126" w:type="dxa"/>
          </w:tcPr>
          <w:p>
            <w:pPr>
              <w:pStyle w:val="10"/>
              <w:spacing w:line="400" w:lineRule="exact"/>
              <w:ind w:left="0" w:leftChars="0"/>
              <w:jc w:val="center"/>
              <w:rPr>
                <w:rFonts w:ascii="宋体" w:hAnsi="宋体"/>
                <w:color w:val="000000" w:themeColor="text1"/>
                <w:szCs w:val="21"/>
              </w:rPr>
            </w:pPr>
            <w:r>
              <w:rPr>
                <w:rFonts w:hint="eastAsia" w:ascii="宋体" w:hAnsi="宋体"/>
                <w:color w:val="000000" w:themeColor="text1"/>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hAnsi="宋体"/>
                <w:color w:val="000000" w:themeColor="text1"/>
                <w:szCs w:val="21"/>
              </w:rPr>
            </w:pPr>
          </w:p>
        </w:tc>
        <w:tc>
          <w:tcPr>
            <w:tcW w:w="993" w:type="dxa"/>
          </w:tcPr>
          <w:p>
            <w:pPr>
              <w:pStyle w:val="10"/>
              <w:spacing w:line="400" w:lineRule="exact"/>
              <w:ind w:left="0" w:leftChars="0"/>
              <w:rPr>
                <w:rFonts w:ascii="宋体" w:hAnsi="宋体"/>
                <w:color w:val="000000" w:themeColor="text1"/>
                <w:szCs w:val="21"/>
              </w:rPr>
            </w:pPr>
          </w:p>
        </w:tc>
        <w:tc>
          <w:tcPr>
            <w:tcW w:w="850" w:type="dxa"/>
          </w:tcPr>
          <w:p>
            <w:pPr>
              <w:pStyle w:val="10"/>
              <w:spacing w:line="400" w:lineRule="exact"/>
              <w:ind w:left="0" w:leftChars="0"/>
              <w:rPr>
                <w:rFonts w:ascii="宋体" w:hAnsi="宋体"/>
                <w:color w:val="000000" w:themeColor="text1"/>
                <w:szCs w:val="21"/>
              </w:rPr>
            </w:pPr>
          </w:p>
        </w:tc>
        <w:tc>
          <w:tcPr>
            <w:tcW w:w="851"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1134" w:type="dxa"/>
          </w:tcPr>
          <w:p>
            <w:pPr>
              <w:pStyle w:val="10"/>
              <w:spacing w:line="400" w:lineRule="exact"/>
              <w:ind w:left="0" w:leftChars="0"/>
              <w:rPr>
                <w:rFonts w:ascii="宋体" w:hAnsi="宋体"/>
                <w:color w:val="000000" w:themeColor="text1"/>
                <w:szCs w:val="21"/>
              </w:rPr>
            </w:pPr>
          </w:p>
        </w:tc>
        <w:tc>
          <w:tcPr>
            <w:tcW w:w="709" w:type="dxa"/>
          </w:tcPr>
          <w:p>
            <w:pPr>
              <w:pStyle w:val="10"/>
              <w:spacing w:line="400" w:lineRule="exact"/>
              <w:ind w:left="0" w:leftChars="0"/>
              <w:rPr>
                <w:rFonts w:ascii="宋体" w:hAnsi="宋体"/>
                <w:color w:val="000000" w:themeColor="text1"/>
                <w:szCs w:val="21"/>
              </w:rPr>
            </w:pPr>
          </w:p>
        </w:tc>
        <w:tc>
          <w:tcPr>
            <w:tcW w:w="2126" w:type="dxa"/>
          </w:tcPr>
          <w:p>
            <w:pPr>
              <w:pStyle w:val="10"/>
              <w:spacing w:line="400" w:lineRule="exact"/>
              <w:ind w:left="0" w:leftChars="0"/>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hAnsi="宋体"/>
                <w:color w:val="000000" w:themeColor="text1"/>
                <w:szCs w:val="21"/>
              </w:rPr>
            </w:pPr>
          </w:p>
        </w:tc>
        <w:tc>
          <w:tcPr>
            <w:tcW w:w="993" w:type="dxa"/>
          </w:tcPr>
          <w:p>
            <w:pPr>
              <w:pStyle w:val="10"/>
              <w:spacing w:line="400" w:lineRule="exact"/>
              <w:ind w:left="0" w:leftChars="0"/>
              <w:rPr>
                <w:rFonts w:ascii="宋体" w:hAnsi="宋体"/>
                <w:color w:val="000000" w:themeColor="text1"/>
                <w:szCs w:val="21"/>
              </w:rPr>
            </w:pPr>
          </w:p>
        </w:tc>
        <w:tc>
          <w:tcPr>
            <w:tcW w:w="850" w:type="dxa"/>
          </w:tcPr>
          <w:p>
            <w:pPr>
              <w:pStyle w:val="10"/>
              <w:spacing w:line="400" w:lineRule="exact"/>
              <w:ind w:left="0" w:leftChars="0"/>
              <w:rPr>
                <w:rFonts w:ascii="宋体" w:hAnsi="宋体"/>
                <w:color w:val="000000" w:themeColor="text1"/>
                <w:szCs w:val="21"/>
              </w:rPr>
            </w:pPr>
          </w:p>
        </w:tc>
        <w:tc>
          <w:tcPr>
            <w:tcW w:w="851"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1134" w:type="dxa"/>
          </w:tcPr>
          <w:p>
            <w:pPr>
              <w:pStyle w:val="10"/>
              <w:spacing w:line="400" w:lineRule="exact"/>
              <w:ind w:left="0" w:leftChars="0"/>
              <w:rPr>
                <w:rFonts w:ascii="宋体" w:hAnsi="宋体"/>
                <w:color w:val="000000" w:themeColor="text1"/>
                <w:szCs w:val="21"/>
              </w:rPr>
            </w:pPr>
          </w:p>
        </w:tc>
        <w:tc>
          <w:tcPr>
            <w:tcW w:w="709" w:type="dxa"/>
          </w:tcPr>
          <w:p>
            <w:pPr>
              <w:pStyle w:val="10"/>
              <w:spacing w:line="400" w:lineRule="exact"/>
              <w:ind w:left="0" w:leftChars="0"/>
              <w:rPr>
                <w:rFonts w:ascii="宋体" w:hAnsi="宋体"/>
                <w:color w:val="000000" w:themeColor="text1"/>
                <w:szCs w:val="21"/>
              </w:rPr>
            </w:pPr>
          </w:p>
        </w:tc>
        <w:tc>
          <w:tcPr>
            <w:tcW w:w="2126" w:type="dxa"/>
          </w:tcPr>
          <w:p>
            <w:pPr>
              <w:pStyle w:val="10"/>
              <w:spacing w:line="400" w:lineRule="exact"/>
              <w:ind w:left="0" w:leftChars="0"/>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color w:val="000000" w:themeColor="text1"/>
                <w:szCs w:val="21"/>
              </w:rPr>
            </w:pPr>
          </w:p>
        </w:tc>
        <w:tc>
          <w:tcPr>
            <w:tcW w:w="993" w:type="dxa"/>
          </w:tcPr>
          <w:p>
            <w:pPr>
              <w:pStyle w:val="10"/>
              <w:spacing w:line="400" w:lineRule="exact"/>
              <w:ind w:left="0" w:leftChars="0"/>
              <w:rPr>
                <w:rFonts w:ascii="宋体" w:hAnsi="宋体"/>
                <w:color w:val="000000" w:themeColor="text1"/>
                <w:szCs w:val="21"/>
              </w:rPr>
            </w:pPr>
          </w:p>
        </w:tc>
        <w:tc>
          <w:tcPr>
            <w:tcW w:w="850" w:type="dxa"/>
          </w:tcPr>
          <w:p>
            <w:pPr>
              <w:pStyle w:val="10"/>
              <w:spacing w:line="400" w:lineRule="exact"/>
              <w:ind w:left="0" w:leftChars="0"/>
              <w:rPr>
                <w:rFonts w:ascii="宋体" w:hAnsi="宋体"/>
                <w:color w:val="000000" w:themeColor="text1"/>
                <w:szCs w:val="21"/>
              </w:rPr>
            </w:pPr>
          </w:p>
        </w:tc>
        <w:tc>
          <w:tcPr>
            <w:tcW w:w="851"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1134" w:type="dxa"/>
          </w:tcPr>
          <w:p>
            <w:pPr>
              <w:pStyle w:val="10"/>
              <w:spacing w:line="400" w:lineRule="exact"/>
              <w:ind w:left="0" w:leftChars="0"/>
              <w:rPr>
                <w:rFonts w:ascii="宋体" w:hAnsi="宋体"/>
                <w:color w:val="000000" w:themeColor="text1"/>
                <w:szCs w:val="21"/>
              </w:rPr>
            </w:pPr>
          </w:p>
        </w:tc>
        <w:tc>
          <w:tcPr>
            <w:tcW w:w="709" w:type="dxa"/>
          </w:tcPr>
          <w:p>
            <w:pPr>
              <w:pStyle w:val="10"/>
              <w:spacing w:line="400" w:lineRule="exact"/>
              <w:ind w:left="0" w:leftChars="0"/>
              <w:rPr>
                <w:rFonts w:ascii="宋体" w:hAnsi="宋体"/>
                <w:color w:val="000000" w:themeColor="text1"/>
                <w:szCs w:val="21"/>
              </w:rPr>
            </w:pPr>
          </w:p>
        </w:tc>
        <w:tc>
          <w:tcPr>
            <w:tcW w:w="2126" w:type="dxa"/>
          </w:tcPr>
          <w:p>
            <w:pPr>
              <w:pStyle w:val="10"/>
              <w:spacing w:line="400" w:lineRule="exact"/>
              <w:ind w:left="0" w:leftChars="0"/>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color w:val="000000" w:themeColor="text1"/>
                <w:szCs w:val="21"/>
              </w:rPr>
            </w:pPr>
          </w:p>
        </w:tc>
        <w:tc>
          <w:tcPr>
            <w:tcW w:w="993" w:type="dxa"/>
          </w:tcPr>
          <w:p>
            <w:pPr>
              <w:pStyle w:val="10"/>
              <w:spacing w:line="400" w:lineRule="exact"/>
              <w:ind w:left="0" w:leftChars="0"/>
              <w:rPr>
                <w:rFonts w:ascii="宋体" w:hAnsi="宋体"/>
                <w:color w:val="000000" w:themeColor="text1"/>
                <w:szCs w:val="21"/>
              </w:rPr>
            </w:pPr>
          </w:p>
        </w:tc>
        <w:tc>
          <w:tcPr>
            <w:tcW w:w="850" w:type="dxa"/>
          </w:tcPr>
          <w:p>
            <w:pPr>
              <w:pStyle w:val="10"/>
              <w:spacing w:line="400" w:lineRule="exact"/>
              <w:ind w:left="0" w:leftChars="0"/>
              <w:rPr>
                <w:rFonts w:ascii="宋体" w:hAnsi="宋体"/>
                <w:color w:val="000000" w:themeColor="text1"/>
                <w:szCs w:val="21"/>
              </w:rPr>
            </w:pPr>
          </w:p>
        </w:tc>
        <w:tc>
          <w:tcPr>
            <w:tcW w:w="851"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1134" w:type="dxa"/>
          </w:tcPr>
          <w:p>
            <w:pPr>
              <w:pStyle w:val="10"/>
              <w:spacing w:line="400" w:lineRule="exact"/>
              <w:ind w:left="0" w:leftChars="0"/>
              <w:rPr>
                <w:rFonts w:ascii="宋体" w:hAnsi="宋体"/>
                <w:color w:val="000000" w:themeColor="text1"/>
                <w:szCs w:val="21"/>
              </w:rPr>
            </w:pPr>
          </w:p>
        </w:tc>
        <w:tc>
          <w:tcPr>
            <w:tcW w:w="709" w:type="dxa"/>
          </w:tcPr>
          <w:p>
            <w:pPr>
              <w:pStyle w:val="10"/>
              <w:spacing w:line="400" w:lineRule="exact"/>
              <w:ind w:left="0" w:leftChars="0"/>
              <w:rPr>
                <w:rFonts w:ascii="宋体" w:hAnsi="宋体"/>
                <w:color w:val="000000" w:themeColor="text1"/>
                <w:szCs w:val="21"/>
              </w:rPr>
            </w:pPr>
          </w:p>
        </w:tc>
        <w:tc>
          <w:tcPr>
            <w:tcW w:w="2126" w:type="dxa"/>
          </w:tcPr>
          <w:p>
            <w:pPr>
              <w:pStyle w:val="10"/>
              <w:spacing w:line="400" w:lineRule="exact"/>
              <w:ind w:left="0" w:leftChars="0"/>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hAnsi="宋体"/>
                <w:color w:val="000000" w:themeColor="text1"/>
                <w:szCs w:val="21"/>
              </w:rPr>
            </w:pPr>
          </w:p>
        </w:tc>
        <w:tc>
          <w:tcPr>
            <w:tcW w:w="993" w:type="dxa"/>
          </w:tcPr>
          <w:p>
            <w:pPr>
              <w:pStyle w:val="10"/>
              <w:spacing w:line="400" w:lineRule="exact"/>
              <w:ind w:left="0" w:leftChars="0"/>
              <w:rPr>
                <w:rFonts w:ascii="宋体" w:hAnsi="宋体"/>
                <w:color w:val="000000" w:themeColor="text1"/>
                <w:szCs w:val="21"/>
              </w:rPr>
            </w:pPr>
          </w:p>
        </w:tc>
        <w:tc>
          <w:tcPr>
            <w:tcW w:w="850" w:type="dxa"/>
          </w:tcPr>
          <w:p>
            <w:pPr>
              <w:pStyle w:val="10"/>
              <w:spacing w:line="400" w:lineRule="exact"/>
              <w:ind w:left="0" w:leftChars="0"/>
              <w:rPr>
                <w:rFonts w:ascii="宋体" w:hAnsi="宋体"/>
                <w:color w:val="000000" w:themeColor="text1"/>
                <w:szCs w:val="21"/>
              </w:rPr>
            </w:pPr>
          </w:p>
        </w:tc>
        <w:tc>
          <w:tcPr>
            <w:tcW w:w="851"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992" w:type="dxa"/>
          </w:tcPr>
          <w:p>
            <w:pPr>
              <w:pStyle w:val="10"/>
              <w:spacing w:line="400" w:lineRule="exact"/>
              <w:ind w:left="0" w:leftChars="0"/>
              <w:rPr>
                <w:rFonts w:ascii="宋体" w:hAnsi="宋体"/>
                <w:color w:val="000000" w:themeColor="text1"/>
                <w:szCs w:val="21"/>
              </w:rPr>
            </w:pPr>
          </w:p>
        </w:tc>
        <w:tc>
          <w:tcPr>
            <w:tcW w:w="1134" w:type="dxa"/>
          </w:tcPr>
          <w:p>
            <w:pPr>
              <w:pStyle w:val="10"/>
              <w:spacing w:line="400" w:lineRule="exact"/>
              <w:ind w:left="0" w:leftChars="0"/>
              <w:rPr>
                <w:rFonts w:ascii="宋体" w:hAnsi="宋体"/>
                <w:color w:val="000000" w:themeColor="text1"/>
                <w:szCs w:val="21"/>
              </w:rPr>
            </w:pPr>
          </w:p>
        </w:tc>
        <w:tc>
          <w:tcPr>
            <w:tcW w:w="709" w:type="dxa"/>
          </w:tcPr>
          <w:p>
            <w:pPr>
              <w:pStyle w:val="10"/>
              <w:spacing w:line="400" w:lineRule="exact"/>
              <w:ind w:left="0" w:leftChars="0"/>
              <w:rPr>
                <w:rFonts w:ascii="宋体" w:hAnsi="宋体"/>
                <w:color w:val="000000" w:themeColor="text1"/>
                <w:szCs w:val="21"/>
              </w:rPr>
            </w:pPr>
          </w:p>
        </w:tc>
        <w:tc>
          <w:tcPr>
            <w:tcW w:w="2126" w:type="dxa"/>
          </w:tcPr>
          <w:p>
            <w:pPr>
              <w:pStyle w:val="10"/>
              <w:spacing w:line="400" w:lineRule="exact"/>
              <w:ind w:left="0" w:leftChars="0"/>
              <w:rPr>
                <w:rFonts w:ascii="宋体" w:hAnsi="宋体"/>
                <w:color w:val="000000" w:themeColor="text1"/>
                <w:szCs w:val="21"/>
              </w:rPr>
            </w:pPr>
          </w:p>
        </w:tc>
      </w:tr>
    </w:tbl>
    <w:p>
      <w:pPr>
        <w:ind w:firstLine="420"/>
        <w:rPr>
          <w:rFonts w:ascii="宋体" w:hAnsi="宋体"/>
          <w:color w:val="000000" w:themeColor="text1"/>
          <w:sz w:val="24"/>
        </w:rPr>
      </w:pPr>
      <w:r>
        <w:rPr>
          <w:rFonts w:hint="eastAsia" w:ascii="宋体" w:hAnsi="宋体"/>
          <w:color w:val="000000" w:themeColor="text1"/>
          <w:sz w:val="24"/>
        </w:rPr>
        <w:t>此表须附学历复印件等证明材料。</w:t>
      </w:r>
    </w:p>
    <w:bookmarkEnd w:id="293"/>
    <w:bookmarkEnd w:id="294"/>
    <w:bookmarkEnd w:id="295"/>
    <w:p>
      <w:pPr>
        <w:rPr>
          <w:color w:val="000000" w:themeColor="text1"/>
        </w:rPr>
      </w:pPr>
    </w:p>
    <w:p>
      <w:pPr>
        <w:rPr>
          <w:color w:val="000000" w:themeColor="text1"/>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rPr>
          <w:rFonts w:ascii="宋体" w:hAnsi="宋体" w:cs="宋体"/>
          <w:color w:val="000000" w:themeColor="text1"/>
          <w:sz w:val="28"/>
          <w:szCs w:val="28"/>
        </w:rPr>
      </w:pPr>
    </w:p>
    <w:p>
      <w:pPr>
        <w:pStyle w:val="5"/>
        <w:rPr>
          <w:color w:val="000000" w:themeColor="text1"/>
        </w:rPr>
      </w:pPr>
      <w:bookmarkStart w:id="306" w:name="_Toc29269"/>
      <w:bookmarkStart w:id="307" w:name="_Toc21725"/>
      <w:bookmarkStart w:id="308" w:name="_Toc30924"/>
      <w:bookmarkStart w:id="309" w:name="_Toc17896"/>
      <w:bookmarkStart w:id="310" w:name="_Toc597"/>
      <w:bookmarkStart w:id="311" w:name="_Toc28584"/>
      <w:bookmarkStart w:id="312" w:name="_Toc5051"/>
      <w:bookmarkStart w:id="313" w:name="_Toc17903"/>
      <w:r>
        <w:rPr>
          <w:rFonts w:hint="eastAsia"/>
          <w:color w:val="000000" w:themeColor="text1"/>
        </w:rPr>
        <w:t>3.服务方案（由比选申请人自行编写）</w:t>
      </w:r>
      <w:bookmarkEnd w:id="306"/>
      <w:bookmarkEnd w:id="307"/>
      <w:bookmarkEnd w:id="308"/>
      <w:bookmarkEnd w:id="309"/>
      <w:bookmarkEnd w:id="310"/>
      <w:bookmarkEnd w:id="311"/>
      <w:bookmarkEnd w:id="312"/>
      <w:bookmarkEnd w:id="313"/>
    </w:p>
    <w:p>
      <w:pPr>
        <w:ind w:firstLine="420" w:firstLineChars="150"/>
        <w:rPr>
          <w:rFonts w:ascii="宋体" w:hAnsi="宋体" w:cs="宋体"/>
          <w:color w:val="000000" w:themeColor="text1"/>
          <w:sz w:val="28"/>
          <w:szCs w:val="28"/>
        </w:rPr>
      </w:pPr>
      <w:r>
        <w:rPr>
          <w:rFonts w:hint="eastAsia" w:ascii="宋体" w:hAnsi="宋体" w:cs="宋体"/>
          <w:color w:val="000000" w:themeColor="text1"/>
          <w:sz w:val="28"/>
          <w:szCs w:val="28"/>
        </w:rPr>
        <w:t>注：主要从服务态度、服务质量、服务响应时间、工作计划等方面进行阐述。该服务方案将作为合同的附件。</w:t>
      </w: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ind w:firstLine="420" w:firstLineChars="150"/>
        <w:rPr>
          <w:rFonts w:ascii="宋体" w:hAnsi="宋体" w:cs="宋体"/>
          <w:color w:val="000000" w:themeColor="text1"/>
          <w:sz w:val="28"/>
          <w:szCs w:val="28"/>
        </w:rPr>
      </w:pPr>
    </w:p>
    <w:p>
      <w:pPr>
        <w:widowControl/>
        <w:jc w:val="left"/>
        <w:rPr>
          <w:rFonts w:ascii="宋体" w:hAnsi="宋体" w:cs="宋体"/>
          <w:color w:val="000000" w:themeColor="text1"/>
          <w:sz w:val="28"/>
          <w:szCs w:val="28"/>
        </w:rPr>
      </w:pPr>
      <w:r>
        <w:rPr>
          <w:rFonts w:ascii="宋体" w:hAnsi="宋体" w:cs="宋体"/>
          <w:color w:val="000000" w:themeColor="text1"/>
          <w:sz w:val="28"/>
          <w:szCs w:val="28"/>
        </w:rPr>
        <w:br w:type="page"/>
      </w:r>
    </w:p>
    <w:p>
      <w:pPr>
        <w:ind w:firstLine="420" w:firstLineChars="150"/>
        <w:rPr>
          <w:rFonts w:ascii="宋体" w:hAnsi="宋体" w:cs="宋体"/>
          <w:color w:val="000000" w:themeColor="text1"/>
          <w:sz w:val="28"/>
          <w:szCs w:val="28"/>
        </w:rPr>
      </w:pPr>
      <w:r>
        <w:rPr>
          <w:rFonts w:hint="eastAsia" w:ascii="宋体" w:hAnsi="宋体" w:cs="宋体"/>
          <w:color w:val="000000" w:themeColor="text1"/>
          <w:sz w:val="28"/>
          <w:szCs w:val="28"/>
        </w:rPr>
        <w:t>4</w:t>
      </w:r>
      <w:r>
        <w:rPr>
          <w:rFonts w:ascii="宋体" w:hAnsi="宋体" w:cs="宋体"/>
          <w:color w:val="000000" w:themeColor="text1"/>
          <w:sz w:val="28"/>
          <w:szCs w:val="28"/>
        </w:rPr>
        <w:t>.其他……</w:t>
      </w:r>
    </w:p>
    <w:p>
      <w:pPr>
        <w:widowControl/>
        <w:jc w:val="left"/>
        <w:rPr>
          <w:rFonts w:ascii="宋体" w:hAnsi="宋体" w:cs="宋体"/>
          <w:i/>
          <w:color w:val="000000" w:themeColor="text1"/>
          <w:sz w:val="28"/>
          <w:szCs w:val="28"/>
        </w:rPr>
      </w:pPr>
      <w:r>
        <w:rPr>
          <w:rFonts w:ascii="宋体" w:hAnsi="宋体" w:cs="宋体"/>
          <w:i/>
          <w:color w:val="000000" w:themeColor="text1"/>
          <w:sz w:val="28"/>
          <w:szCs w:val="28"/>
        </w:rPr>
        <w:br w:type="page"/>
      </w:r>
    </w:p>
    <w:p>
      <w:pPr>
        <w:ind w:firstLine="420" w:firstLineChars="150"/>
        <w:rPr>
          <w:rFonts w:ascii="宋体" w:hAnsi="宋体" w:cs="宋体"/>
          <w:i/>
          <w:color w:val="000000" w:themeColor="text1"/>
          <w:sz w:val="28"/>
          <w:szCs w:val="28"/>
        </w:rPr>
      </w:pPr>
    </w:p>
    <w:p>
      <w:pPr>
        <w:ind w:firstLine="420" w:firstLineChars="150"/>
        <w:rPr>
          <w:rFonts w:ascii="宋体" w:hAnsi="宋体" w:cs="宋体"/>
          <w:color w:val="000000" w:themeColor="text1"/>
          <w:sz w:val="28"/>
          <w:szCs w:val="28"/>
        </w:rPr>
      </w:pPr>
    </w:p>
    <w:p>
      <w:pPr>
        <w:ind w:right="753"/>
        <w:jc w:val="left"/>
        <w:rPr>
          <w:rFonts w:ascii="宋体" w:hAnsi="宋体" w:cs="宋体"/>
          <w:color w:val="000000" w:themeColor="text1"/>
          <w:sz w:val="28"/>
          <w:szCs w:val="28"/>
        </w:rPr>
      </w:pPr>
      <w:bookmarkStart w:id="314" w:name="_Toc27920"/>
      <w:bookmarkStart w:id="315" w:name="_Toc5462"/>
      <w:bookmarkStart w:id="316" w:name="_Toc9617"/>
      <w:bookmarkStart w:id="317" w:name="_Toc12434"/>
      <w:bookmarkStart w:id="318" w:name="_Toc15155"/>
      <w:bookmarkStart w:id="319" w:name="_Toc25435"/>
      <w:bookmarkStart w:id="320" w:name="_Toc26103"/>
      <w:bookmarkStart w:id="321" w:name="_Toc24947"/>
      <w:r>
        <w:rPr>
          <w:rFonts w:hint="eastAsia" w:ascii="宋体" w:hAnsi="宋体" w:cs="宋体"/>
          <w:color w:val="000000" w:themeColor="text1"/>
          <w:sz w:val="28"/>
          <w:szCs w:val="28"/>
        </w:rPr>
        <w:t>（封面格式）</w:t>
      </w: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center"/>
        <w:rPr>
          <w:rFonts w:ascii="宋体" w:hAnsi="宋体" w:cs="宋体"/>
          <w:color w:val="000000" w:themeColor="text1"/>
          <w:sz w:val="28"/>
          <w:szCs w:val="28"/>
        </w:rPr>
      </w:pPr>
      <w:r>
        <w:rPr>
          <w:rFonts w:hint="eastAsia" w:ascii="宋体" w:hAnsi="宋体" w:cs="宋体"/>
          <w:color w:val="000000" w:themeColor="text1"/>
          <w:sz w:val="28"/>
          <w:szCs w:val="28"/>
        </w:rPr>
        <w:t xml:space="preserve"> 项目比选申请文件</w:t>
      </w:r>
    </w:p>
    <w:p>
      <w:pPr>
        <w:pStyle w:val="24"/>
        <w:jc w:val="center"/>
        <w:rPr>
          <w:color w:val="000000" w:themeColor="text1"/>
        </w:rPr>
      </w:pPr>
      <w:bookmarkStart w:id="322" w:name="_Toc20460"/>
      <w:bookmarkStart w:id="323" w:name="_Toc196"/>
      <w:bookmarkStart w:id="324" w:name="_Toc3278"/>
      <w:bookmarkStart w:id="325" w:name="_Toc15573"/>
      <w:bookmarkStart w:id="326" w:name="_Toc461525327"/>
      <w:bookmarkStart w:id="327" w:name="_Toc21287"/>
      <w:bookmarkStart w:id="328" w:name="_Toc3587"/>
      <w:bookmarkStart w:id="329" w:name="_Toc10925"/>
      <w:bookmarkStart w:id="330" w:name="_Toc27059"/>
      <w:r>
        <w:rPr>
          <w:b w:val="0"/>
          <w:bCs w:val="0"/>
          <w:color w:val="000000" w:themeColor="text1"/>
          <w:sz w:val="28"/>
          <w:szCs w:val="28"/>
        </w:rPr>
        <w:t>商务部分</w:t>
      </w:r>
      <w:bookmarkEnd w:id="322"/>
      <w:bookmarkEnd w:id="323"/>
      <w:bookmarkEnd w:id="324"/>
      <w:bookmarkEnd w:id="325"/>
      <w:bookmarkEnd w:id="326"/>
      <w:bookmarkEnd w:id="327"/>
      <w:bookmarkEnd w:id="328"/>
      <w:bookmarkEnd w:id="329"/>
      <w:bookmarkEnd w:id="330"/>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比选申请人：                             （盖章）</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负责人或委托代理人：（签字或盖章）</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电话/</w:t>
      </w:r>
      <w:bookmarkStart w:id="331" w:name="_Toc333307133"/>
      <w:r>
        <w:rPr>
          <w:rFonts w:hint="eastAsia" w:ascii="宋体" w:hAnsi="宋体" w:cs="宋体"/>
          <w:color w:val="000000" w:themeColor="text1"/>
          <w:sz w:val="28"/>
          <w:szCs w:val="28"/>
        </w:rPr>
        <w:t>传真：</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地址：</w:t>
      </w:r>
    </w:p>
    <w:bookmarkEnd w:id="331"/>
    <w:p>
      <w:pPr>
        <w:ind w:right="753"/>
        <w:jc w:val="left"/>
        <w:rPr>
          <w:rFonts w:ascii="宋体" w:hAnsi="宋体" w:cs="宋体"/>
          <w:color w:val="000000" w:themeColor="text1"/>
          <w:sz w:val="28"/>
          <w:szCs w:val="28"/>
        </w:rPr>
      </w:pPr>
      <w:bookmarkStart w:id="332" w:name="_Toc333307134"/>
      <w:r>
        <w:rPr>
          <w:rFonts w:hint="eastAsia" w:ascii="宋体" w:hAnsi="宋体" w:cs="宋体"/>
          <w:color w:val="000000" w:themeColor="text1"/>
          <w:sz w:val="28"/>
          <w:szCs w:val="28"/>
        </w:rPr>
        <w:t xml:space="preserve">     年    </w:t>
      </w:r>
      <w:bookmarkEnd w:id="332"/>
      <w:r>
        <w:rPr>
          <w:rFonts w:hint="eastAsia" w:ascii="宋体" w:hAnsi="宋体" w:cs="宋体"/>
          <w:color w:val="000000" w:themeColor="text1"/>
          <w:sz w:val="28"/>
          <w:szCs w:val="28"/>
        </w:rPr>
        <w:t>月</w:t>
      </w:r>
      <w:bookmarkStart w:id="333" w:name="_Toc333307135"/>
      <w:r>
        <w:rPr>
          <w:rFonts w:hint="eastAsia" w:ascii="宋体" w:hAnsi="宋体" w:cs="宋体"/>
          <w:color w:val="000000" w:themeColor="text1"/>
          <w:sz w:val="28"/>
          <w:szCs w:val="28"/>
        </w:rPr>
        <w:t xml:space="preserve">    日</w:t>
      </w: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pStyle w:val="4"/>
        <w:jc w:val="center"/>
        <w:rPr>
          <w:b/>
          <w:color w:val="000000" w:themeColor="text1"/>
        </w:rPr>
      </w:pPr>
      <w:bookmarkStart w:id="334" w:name="_Toc461525328"/>
      <w:bookmarkStart w:id="335" w:name="_Toc21835"/>
      <w:bookmarkStart w:id="336" w:name="_Toc2010"/>
      <w:bookmarkStart w:id="337" w:name="_Toc24524"/>
      <w:bookmarkStart w:id="338" w:name="_Toc24408"/>
      <w:bookmarkStart w:id="339" w:name="_Toc5616"/>
      <w:bookmarkStart w:id="340" w:name="_Toc16542"/>
      <w:bookmarkStart w:id="341" w:name="_Toc17346"/>
      <w:bookmarkStart w:id="342" w:name="_Toc30879"/>
      <w:bookmarkStart w:id="343" w:name="_Toc11015"/>
      <w:bookmarkStart w:id="344" w:name="_Toc4901"/>
      <w:bookmarkStart w:id="345" w:name="_Toc7127"/>
      <w:bookmarkStart w:id="346" w:name="_Toc471482372"/>
      <w:r>
        <w:rPr>
          <w:rFonts w:hint="eastAsia"/>
          <w:b/>
          <w:color w:val="000000" w:themeColor="text1"/>
        </w:rPr>
        <w:t>三、商务部分材料目录</w:t>
      </w:r>
      <w:bookmarkEnd w:id="334"/>
      <w:bookmarkEnd w:id="335"/>
      <w:bookmarkEnd w:id="336"/>
      <w:bookmarkEnd w:id="337"/>
      <w:bookmarkEnd w:id="338"/>
      <w:bookmarkEnd w:id="339"/>
      <w:bookmarkEnd w:id="340"/>
      <w:bookmarkEnd w:id="341"/>
      <w:bookmarkEnd w:id="342"/>
      <w:bookmarkEnd w:id="343"/>
      <w:bookmarkEnd w:id="344"/>
      <w:bookmarkEnd w:id="345"/>
      <w:bookmarkEnd w:id="346"/>
    </w:p>
    <w:bookmarkEnd w:id="333"/>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1.报价表；</w:t>
      </w:r>
    </w:p>
    <w:p>
      <w:pPr>
        <w:ind w:right="753"/>
        <w:jc w:val="left"/>
        <w:rPr>
          <w:rFonts w:ascii="宋体" w:hAnsi="宋体" w:cs="宋体"/>
          <w:color w:val="000000" w:themeColor="text1"/>
          <w:sz w:val="28"/>
          <w:szCs w:val="28"/>
        </w:rPr>
      </w:pPr>
      <w:r>
        <w:rPr>
          <w:rFonts w:hint="eastAsia" w:ascii="宋体" w:hAnsi="宋体" w:cs="宋体"/>
          <w:color w:val="000000" w:themeColor="text1"/>
          <w:sz w:val="28"/>
          <w:szCs w:val="28"/>
        </w:rPr>
        <w:t>备注：以上材料均需加盖单位公章，并按照目录顺序编排，标注页码</w:t>
      </w: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ind w:right="753"/>
        <w:jc w:val="left"/>
        <w:rPr>
          <w:rFonts w:ascii="宋体" w:hAnsi="宋体" w:cs="宋体"/>
          <w:color w:val="000000" w:themeColor="text1"/>
          <w:sz w:val="28"/>
          <w:szCs w:val="28"/>
        </w:rPr>
      </w:pPr>
    </w:p>
    <w:p>
      <w:pPr>
        <w:pStyle w:val="5"/>
        <w:rPr>
          <w:color w:val="000000" w:themeColor="text1"/>
        </w:rPr>
      </w:pPr>
      <w:bookmarkStart w:id="347" w:name="_Toc26609"/>
      <w:bookmarkStart w:id="348" w:name="_Toc1148"/>
      <w:bookmarkStart w:id="349" w:name="_Toc461525330"/>
      <w:bookmarkStart w:id="350" w:name="_Toc20415"/>
      <w:bookmarkStart w:id="351" w:name="_Toc17958"/>
      <w:bookmarkStart w:id="352" w:name="_Toc6408"/>
      <w:bookmarkStart w:id="353" w:name="_Toc3569"/>
      <w:bookmarkStart w:id="354" w:name="_Toc25896"/>
      <w:bookmarkStart w:id="355" w:name="_Toc25214"/>
      <w:bookmarkStart w:id="356" w:name="_Toc29844"/>
      <w:bookmarkStart w:id="357" w:name="_Toc9748"/>
      <w:bookmarkStart w:id="358" w:name="_Toc29457"/>
      <w:r>
        <w:rPr>
          <w:rFonts w:hint="eastAsia"/>
          <w:color w:val="000000" w:themeColor="text1"/>
        </w:rPr>
        <w:t>1.报价表</w:t>
      </w:r>
      <w:bookmarkEnd w:id="347"/>
      <w:bookmarkEnd w:id="348"/>
      <w:r>
        <w:rPr>
          <w:rFonts w:hint="eastAsia"/>
          <w:color w:val="000000" w:themeColor="text1"/>
        </w:rPr>
        <w:t>（格式）</w:t>
      </w:r>
      <w:bookmarkEnd w:id="349"/>
      <w:bookmarkEnd w:id="350"/>
      <w:bookmarkEnd w:id="351"/>
      <w:bookmarkEnd w:id="352"/>
      <w:bookmarkEnd w:id="353"/>
      <w:bookmarkEnd w:id="354"/>
      <w:bookmarkEnd w:id="355"/>
      <w:bookmarkEnd w:id="356"/>
      <w:bookmarkEnd w:id="357"/>
      <w:bookmarkEnd w:id="358"/>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611"/>
        <w:gridCol w:w="1557"/>
        <w:gridCol w:w="29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序号</w:t>
            </w:r>
          </w:p>
        </w:tc>
        <w:tc>
          <w:tcPr>
            <w:tcW w:w="1611" w:type="dxa"/>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服务内容</w:t>
            </w:r>
          </w:p>
        </w:tc>
        <w:tc>
          <w:tcPr>
            <w:tcW w:w="1557" w:type="dxa"/>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年限</w:t>
            </w:r>
          </w:p>
        </w:tc>
        <w:tc>
          <w:tcPr>
            <w:tcW w:w="2977" w:type="dxa"/>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总报价</w:t>
            </w:r>
          </w:p>
        </w:tc>
        <w:tc>
          <w:tcPr>
            <w:tcW w:w="2268" w:type="dxa"/>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报价依据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1</w:t>
            </w:r>
          </w:p>
        </w:tc>
        <w:tc>
          <w:tcPr>
            <w:tcW w:w="1611" w:type="dxa"/>
            <w:vAlign w:val="center"/>
          </w:tcPr>
          <w:p>
            <w:pPr>
              <w:jc w:val="center"/>
              <w:rPr>
                <w:rFonts w:ascii="宋体" w:hAnsi="宋体" w:cs="宋体"/>
                <w:color w:val="000000" w:themeColor="text1"/>
                <w:sz w:val="28"/>
                <w:szCs w:val="28"/>
              </w:rPr>
            </w:pPr>
          </w:p>
        </w:tc>
        <w:tc>
          <w:tcPr>
            <w:tcW w:w="1557" w:type="dxa"/>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 xml:space="preserve">  年</w:t>
            </w:r>
          </w:p>
        </w:tc>
        <w:tc>
          <w:tcPr>
            <w:tcW w:w="2977" w:type="dxa"/>
            <w:vAlign w:val="center"/>
          </w:tcPr>
          <w:p>
            <w:pPr>
              <w:rPr>
                <w:rFonts w:ascii="宋体" w:hAnsi="宋体" w:cs="宋体"/>
                <w:color w:val="000000" w:themeColor="text1"/>
                <w:sz w:val="24"/>
              </w:rPr>
            </w:pPr>
            <w:r>
              <w:rPr>
                <w:rFonts w:hint="eastAsia" w:ascii="宋体" w:hAnsi="宋体" w:cs="宋体"/>
                <w:color w:val="000000" w:themeColor="text1"/>
                <w:sz w:val="24"/>
              </w:rPr>
              <w:t>小写：</w:t>
            </w:r>
          </w:p>
          <w:p>
            <w:pPr>
              <w:rPr>
                <w:rFonts w:ascii="宋体" w:hAnsi="宋体" w:cs="宋体"/>
                <w:color w:val="000000" w:themeColor="text1"/>
                <w:sz w:val="24"/>
              </w:rPr>
            </w:pPr>
          </w:p>
          <w:p>
            <w:pPr>
              <w:rPr>
                <w:rFonts w:ascii="宋体" w:hAnsi="宋体" w:cs="宋体"/>
                <w:color w:val="000000" w:themeColor="text1"/>
                <w:sz w:val="24"/>
              </w:rPr>
            </w:pPr>
            <w:r>
              <w:rPr>
                <w:rFonts w:hint="eastAsia" w:ascii="宋体" w:hAnsi="宋体" w:cs="宋体"/>
                <w:color w:val="000000" w:themeColor="text1"/>
                <w:sz w:val="24"/>
              </w:rPr>
              <w:t>大写：</w:t>
            </w:r>
          </w:p>
        </w:tc>
        <w:tc>
          <w:tcPr>
            <w:tcW w:w="2268" w:type="dxa"/>
          </w:tcPr>
          <w:p>
            <w:pPr>
              <w:rPr>
                <w:rFonts w:ascii="宋体" w:hAnsi="宋体" w:cs="宋体"/>
                <w:color w:val="000000" w:themeColor="text1"/>
                <w:sz w:val="24"/>
              </w:rPr>
            </w:pPr>
          </w:p>
        </w:tc>
      </w:tr>
    </w:tbl>
    <w:p>
      <w:pPr>
        <w:jc w:val="left"/>
        <w:rPr>
          <w:rFonts w:ascii="宋体" w:hAnsi="宋体" w:cs="宋体"/>
          <w:color w:val="000000" w:themeColor="text1"/>
          <w:sz w:val="28"/>
          <w:szCs w:val="28"/>
        </w:rPr>
      </w:pPr>
      <w:r>
        <w:rPr>
          <w:rFonts w:hint="eastAsia" w:ascii="宋体" w:hAnsi="宋体" w:cs="宋体"/>
          <w:color w:val="000000" w:themeColor="text1"/>
          <w:sz w:val="28"/>
          <w:szCs w:val="28"/>
        </w:rPr>
        <w:t>注：本表根据需要可扩展。未按照本比选报价表的格式及要求填写比选报价表的，将视为不满足比选文件要求，从而导致该比选申请人竞选无效。</w:t>
      </w:r>
    </w:p>
    <w:p>
      <w:pPr>
        <w:spacing w:line="360" w:lineRule="auto"/>
        <w:ind w:right="565" w:rightChars="269"/>
        <w:jc w:val="left"/>
        <w:rPr>
          <w:rFonts w:ascii="宋体" w:hAnsi="宋体" w:cs="宋体"/>
          <w:color w:val="000000" w:themeColor="text1"/>
          <w:sz w:val="28"/>
          <w:szCs w:val="28"/>
        </w:rPr>
      </w:pPr>
    </w:p>
    <w:p>
      <w:pPr>
        <w:spacing w:line="360" w:lineRule="auto"/>
        <w:ind w:right="565" w:rightChars="269"/>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比选申请人（公章）                                </w:t>
      </w:r>
    </w:p>
    <w:p>
      <w:pPr>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负责人或其委托代理人签名（或盖章）： </w:t>
      </w: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p>
      <w:pPr>
        <w:ind w:right="753"/>
        <w:jc w:val="left"/>
        <w:rPr>
          <w:rFonts w:ascii="宋体" w:hAnsi="宋体" w:cs="宋体"/>
          <w:color w:val="000000" w:themeColor="text1"/>
          <w:szCs w:val="28"/>
        </w:rPr>
      </w:pPr>
    </w:p>
    <w:bookmarkEnd w:id="296"/>
    <w:bookmarkEnd w:id="297"/>
    <w:bookmarkEnd w:id="314"/>
    <w:bookmarkEnd w:id="315"/>
    <w:bookmarkEnd w:id="316"/>
    <w:bookmarkEnd w:id="317"/>
    <w:bookmarkEnd w:id="318"/>
    <w:bookmarkEnd w:id="319"/>
    <w:bookmarkEnd w:id="320"/>
    <w:bookmarkEnd w:id="321"/>
    <w:p>
      <w:pPr>
        <w:pStyle w:val="2"/>
        <w:rPr>
          <w:color w:val="000000" w:themeColor="text1"/>
        </w:rPr>
      </w:pPr>
      <w:bookmarkStart w:id="359" w:name="_Toc471482373"/>
      <w:r>
        <w:rPr>
          <w:rFonts w:hint="eastAsia"/>
          <w:color w:val="000000" w:themeColor="text1"/>
        </w:rPr>
        <w:t>第四章评比办法</w:t>
      </w:r>
      <w:bookmarkEnd w:id="359"/>
    </w:p>
    <w:p>
      <w:pPr>
        <w:pStyle w:val="4"/>
        <w:spacing w:before="0" w:after="0" w:line="660" w:lineRule="exact"/>
        <w:rPr>
          <w:color w:val="000000" w:themeColor="text1"/>
          <w:szCs w:val="28"/>
        </w:rPr>
      </w:pPr>
      <w:bookmarkStart w:id="360" w:name="_Toc28207"/>
      <w:bookmarkStart w:id="361" w:name="_Toc18027"/>
      <w:bookmarkStart w:id="362" w:name="_Toc2392"/>
      <w:bookmarkStart w:id="363" w:name="_Toc10918"/>
      <w:bookmarkStart w:id="364" w:name="_Toc32296"/>
      <w:bookmarkStart w:id="365" w:name="_Toc13406"/>
      <w:bookmarkStart w:id="366" w:name="_Toc31078"/>
      <w:bookmarkStart w:id="367" w:name="_Toc9696"/>
      <w:bookmarkStart w:id="368" w:name="_Toc26842"/>
      <w:bookmarkStart w:id="369" w:name="_Toc471482376"/>
      <w:r>
        <w:rPr>
          <w:rFonts w:hint="eastAsia"/>
          <w:color w:val="000000" w:themeColor="text1"/>
          <w:szCs w:val="28"/>
        </w:rPr>
        <w:t>一、综合评分办法</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1.资格评审：对比选申请人的资格条件、比选申请文件的完整性和有效性、比选申请文件的有效期等方面进行审查。通过资格评审的比选申请文件进入技术、商务评审。</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2.技术评审：由比选评审小组按照比选文件的要求，对照比选申请文件的应答进行比较，并对各比选申请文件的技术内容进行评审，且技术部分部分由比选评审小组讨论定档后进行打分。</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3.商务评审：由比选评审小组按照比选文件的要求，对照比选申请文件的应答进行比较，并对各比选申请文件的商务内容进行评审，且商务部分由比选评审小组计算得分。商务评审时，如有报价不明确的情况发生，按照下列方法进行修正（下述修正属于非实质性修改比选申请文件；比选申请人如拒绝下述修正的，则属重大偏差，按无效报价处理）：</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（1）如果数字表示的金额和用文字表示的金额不一致时，应以文字表示的金额为准；</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（2）当单价与数量的乘积与合价不一致时，以合价为准，并调整单价；</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（3）当合价与报价总价不一致时，以报价总价为准，调整相关合价；</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（4）评审期间，比选评审小组不接受任何比选申请人主动提出的对报价及单价、合价的调整；</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（5）其它未尽事宜，由评审小组审议确定(如意见不一致时，以记名方式投票确定)。</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4.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66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5.</w:t>
      </w:r>
      <w:r>
        <w:rPr>
          <w:rFonts w:ascii="宋体" w:hAnsi="宋体" w:cs="宋体"/>
          <w:color w:val="000000" w:themeColor="text1"/>
          <w:sz w:val="28"/>
          <w:szCs w:val="28"/>
        </w:rPr>
        <w:t>在评审过程中，评审委员会发现比选申请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spacing w:before="0" w:after="0" w:line="660" w:lineRule="exact"/>
        <w:rPr>
          <w:color w:val="000000" w:themeColor="text1"/>
          <w:szCs w:val="28"/>
        </w:rPr>
      </w:pPr>
      <w:r>
        <w:rPr>
          <w:rFonts w:hint="eastAsia"/>
          <w:color w:val="000000" w:themeColor="text1"/>
          <w:szCs w:val="28"/>
        </w:rPr>
        <w:t>二、总分计算公式</w:t>
      </w:r>
    </w:p>
    <w:p>
      <w:pPr>
        <w:spacing w:line="660" w:lineRule="exact"/>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总分即比选申请人评分综合得分，其计算公式：</w:t>
      </w:r>
    </w:p>
    <w:p>
      <w:pPr>
        <w:spacing w:line="660" w:lineRule="exact"/>
        <w:ind w:firstLine="560"/>
        <w:jc w:val="left"/>
        <w:rPr>
          <w:rFonts w:ascii="宋体" w:hAnsi="宋体" w:cs="宋体"/>
          <w:color w:val="000000" w:themeColor="text1"/>
          <w:sz w:val="28"/>
          <w:szCs w:val="28"/>
        </w:rPr>
      </w:pPr>
      <w:r>
        <w:rPr>
          <w:rFonts w:hint="eastAsia" w:ascii="宋体" w:hAnsi="宋体" w:cs="宋体"/>
          <w:color w:val="000000" w:themeColor="text1"/>
          <w:sz w:val="28"/>
          <w:szCs w:val="28"/>
        </w:rPr>
        <w:t>总分＝商务部分得分+技术部分得分</w:t>
      </w:r>
    </w:p>
    <w:p>
      <w:pPr>
        <w:spacing w:line="660" w:lineRule="exact"/>
        <w:ind w:firstLine="560"/>
        <w:jc w:val="left"/>
        <w:rPr>
          <w:rFonts w:ascii="宋体" w:hAnsi="宋体" w:cs="宋体"/>
          <w:color w:val="000000" w:themeColor="text1"/>
          <w:szCs w:val="21"/>
        </w:rPr>
      </w:pPr>
      <w:r>
        <w:rPr>
          <w:rFonts w:hint="eastAsia" w:ascii="宋体" w:hAnsi="宋体" w:cs="宋体"/>
          <w:color w:val="000000" w:themeColor="text1"/>
          <w:sz w:val="28"/>
          <w:szCs w:val="28"/>
        </w:rPr>
        <w:t>注：各项指标的分数计算四舍五入，取小数点后两位。</w:t>
      </w:r>
    </w:p>
    <w:p>
      <w:pPr>
        <w:pStyle w:val="4"/>
        <w:rPr>
          <w:color w:val="000000" w:themeColor="text1"/>
        </w:rPr>
      </w:pPr>
      <w:r>
        <w:rPr>
          <w:rFonts w:hint="eastAsia"/>
          <w:color w:val="000000" w:themeColor="text1"/>
        </w:rPr>
        <w:t>三、评分细则</w:t>
      </w:r>
      <w:bookmarkEnd w:id="360"/>
      <w:bookmarkEnd w:id="361"/>
      <w:bookmarkEnd w:id="362"/>
      <w:bookmarkEnd w:id="363"/>
      <w:bookmarkEnd w:id="364"/>
      <w:bookmarkEnd w:id="365"/>
      <w:bookmarkEnd w:id="366"/>
      <w:bookmarkEnd w:id="367"/>
      <w:bookmarkEnd w:id="368"/>
      <w:bookmarkEnd w:id="369"/>
    </w:p>
    <w:p>
      <w:pPr>
        <w:pStyle w:val="13"/>
        <w:rPr>
          <w:sz w:val="28"/>
          <w:szCs w:val="28"/>
        </w:rPr>
      </w:pPr>
      <w:r>
        <w:rPr>
          <w:rFonts w:hint="eastAsia"/>
          <w:sz w:val="28"/>
          <w:szCs w:val="28"/>
        </w:rPr>
        <w:t>1.商务部分评分细则（满分20分）</w:t>
      </w:r>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cs="宋体"/>
                <w:kern w:val="0"/>
                <w:sz w:val="24"/>
              </w:rPr>
            </w:pPr>
            <w:r>
              <w:rPr>
                <w:rFonts w:hint="eastAsia" w:ascii="宋体" w:hAnsi="宋体" w:cs="宋体"/>
                <w:kern w:val="0"/>
                <w:sz w:val="24"/>
              </w:rPr>
              <w:t>序号</w:t>
            </w:r>
          </w:p>
        </w:tc>
        <w:tc>
          <w:tcPr>
            <w:tcW w:w="3260" w:type="dxa"/>
            <w:vAlign w:val="center"/>
          </w:tcPr>
          <w:p>
            <w:pPr>
              <w:jc w:val="center"/>
              <w:rPr>
                <w:rFonts w:ascii="宋体" w:hAnsi="宋体" w:cs="宋体"/>
                <w:sz w:val="24"/>
              </w:rPr>
            </w:pPr>
            <w:r>
              <w:rPr>
                <w:rFonts w:hint="eastAsia" w:ascii="宋体" w:hAnsi="宋体" w:cs="宋体"/>
                <w:kern w:val="0"/>
                <w:sz w:val="24"/>
              </w:rPr>
              <w:t>评分因素</w:t>
            </w:r>
          </w:p>
        </w:tc>
        <w:tc>
          <w:tcPr>
            <w:tcW w:w="5358" w:type="dxa"/>
            <w:vAlign w:val="center"/>
          </w:tcPr>
          <w:p>
            <w:pPr>
              <w:jc w:val="center"/>
              <w:rPr>
                <w:rFonts w:ascii="宋体" w:hAnsi="宋体" w:cs="宋体"/>
                <w:sz w:val="24"/>
              </w:rPr>
            </w:pPr>
            <w:r>
              <w:rPr>
                <w:rFonts w:hint="eastAsia" w:ascii="宋体" w:hAnsi="宋体" w:cs="宋体"/>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cs="宋体"/>
                <w:sz w:val="24"/>
              </w:rPr>
            </w:pPr>
            <w:r>
              <w:rPr>
                <w:rFonts w:hint="eastAsia" w:ascii="宋体" w:hAnsi="宋体" w:cs="宋体"/>
                <w:kern w:val="0"/>
                <w:sz w:val="24"/>
              </w:rPr>
              <w:t>1</w:t>
            </w:r>
          </w:p>
        </w:tc>
        <w:tc>
          <w:tcPr>
            <w:tcW w:w="3260" w:type="dxa"/>
            <w:vAlign w:val="center"/>
          </w:tcPr>
          <w:p>
            <w:pPr>
              <w:jc w:val="center"/>
              <w:rPr>
                <w:rFonts w:ascii="宋体" w:hAnsi="宋体" w:cs="宋体"/>
                <w:kern w:val="0"/>
                <w:sz w:val="24"/>
              </w:rPr>
            </w:pPr>
            <w:r>
              <w:rPr>
                <w:rFonts w:hint="eastAsia" w:ascii="宋体" w:hAnsi="宋体" w:cs="宋体"/>
                <w:kern w:val="0"/>
                <w:sz w:val="24"/>
              </w:rPr>
              <w:t>本项目报价评分</w:t>
            </w:r>
          </w:p>
          <w:p>
            <w:pPr>
              <w:jc w:val="center"/>
              <w:rPr>
                <w:rFonts w:ascii="宋体" w:hAnsi="宋体" w:cs="宋体"/>
                <w:kern w:val="0"/>
                <w:sz w:val="24"/>
              </w:rPr>
            </w:pPr>
            <w:r>
              <w:rPr>
                <w:rFonts w:hint="eastAsia" w:ascii="宋体" w:hAnsi="宋体" w:cs="宋体"/>
                <w:kern w:val="0"/>
                <w:sz w:val="24"/>
              </w:rPr>
              <w:t>（满分20分）</w:t>
            </w:r>
          </w:p>
        </w:tc>
        <w:tc>
          <w:tcPr>
            <w:tcW w:w="5358" w:type="dxa"/>
            <w:vAlign w:val="center"/>
          </w:tcPr>
          <w:p>
            <w:pPr>
              <w:ind w:firstLine="482" w:firstLineChars="200"/>
              <w:jc w:val="left"/>
              <w:rPr>
                <w:rFonts w:ascii="宋体" w:hAnsi="宋体"/>
                <w:b/>
                <w:kern w:val="0"/>
                <w:sz w:val="24"/>
              </w:rPr>
            </w:pPr>
            <w:r>
              <w:rPr>
                <w:rFonts w:ascii="宋体" w:hAnsi="宋体"/>
                <w:b/>
                <w:kern w:val="0"/>
                <w:sz w:val="24"/>
              </w:rPr>
              <w:t>比选申请人价格大于上控价时比选申请文件作无效处理</w:t>
            </w:r>
            <w:r>
              <w:rPr>
                <w:rFonts w:hint="eastAsia" w:ascii="宋体" w:hAnsi="宋体"/>
                <w:b/>
                <w:kern w:val="0"/>
                <w:sz w:val="24"/>
              </w:rPr>
              <w:t>。</w:t>
            </w:r>
          </w:p>
          <w:p>
            <w:pPr>
              <w:jc w:val="left"/>
              <w:rPr>
                <w:rFonts w:ascii="宋体" w:hAnsi="宋体"/>
                <w:sz w:val="24"/>
              </w:rPr>
            </w:pPr>
            <w:r>
              <w:rPr>
                <w:rFonts w:ascii="宋体" w:hAnsi="宋体"/>
                <w:kern w:val="0"/>
                <w:sz w:val="24"/>
              </w:rPr>
              <w:t>当比选申请人价格小于或者等于上控价时</w:t>
            </w:r>
            <w:r>
              <w:rPr>
                <w:rFonts w:hint="eastAsia" w:ascii="宋体" w:hAnsi="宋体"/>
                <w:kern w:val="0"/>
                <w:sz w:val="24"/>
              </w:rPr>
              <w:t>，</w:t>
            </w:r>
            <w:r>
              <w:rPr>
                <w:rFonts w:hint="eastAsia" w:ascii="宋体" w:hAnsi="宋体"/>
                <w:sz w:val="24"/>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pPr>
              <w:spacing w:line="360" w:lineRule="auto"/>
              <w:ind w:firstLine="480" w:firstLineChars="200"/>
              <w:rPr>
                <w:rFonts w:ascii="宋体" w:hAnsi="宋体"/>
                <w:sz w:val="24"/>
              </w:rPr>
            </w:pPr>
            <w:r>
              <w:rPr>
                <w:rFonts w:hint="eastAsia" w:ascii="宋体" w:hAnsi="宋体"/>
                <w:sz w:val="24"/>
              </w:rPr>
              <w:t>评审时以经评审的基准价为最高分，采用内插法计算，投标人报价每高于基准价1％的扣1分，每低于基准价1％的扣0.5分，扣完即止</w:t>
            </w:r>
          </w:p>
        </w:tc>
      </w:tr>
    </w:tbl>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 xml:space="preserve">  2.技术部分评分细则（满分80分）</w:t>
      </w:r>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sz w:val="24"/>
              </w:rPr>
            </w:pPr>
            <w:r>
              <w:rPr>
                <w:rFonts w:hint="eastAsia" w:ascii="宋体" w:hAnsi="宋体" w:cs="宋体"/>
                <w:sz w:val="24"/>
              </w:rPr>
              <w:t>序号</w:t>
            </w:r>
          </w:p>
        </w:tc>
        <w:tc>
          <w:tcPr>
            <w:tcW w:w="1701" w:type="dxa"/>
            <w:vAlign w:val="center"/>
          </w:tcPr>
          <w:p>
            <w:pPr>
              <w:jc w:val="center"/>
              <w:rPr>
                <w:rFonts w:ascii="宋体" w:hAnsi="宋体" w:cs="宋体"/>
                <w:sz w:val="24"/>
              </w:rPr>
            </w:pPr>
            <w:r>
              <w:rPr>
                <w:rFonts w:hint="eastAsia" w:ascii="宋体" w:hAnsi="宋体" w:cs="宋体"/>
                <w:sz w:val="24"/>
              </w:rPr>
              <w:t>评分因素</w:t>
            </w:r>
          </w:p>
        </w:tc>
        <w:tc>
          <w:tcPr>
            <w:tcW w:w="6775" w:type="dxa"/>
            <w:gridSpan w:val="2"/>
            <w:vAlign w:val="center"/>
          </w:tcPr>
          <w:p>
            <w:pPr>
              <w:jc w:val="center"/>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59" w:type="dxa"/>
            <w:vAlign w:val="center"/>
          </w:tcPr>
          <w:p>
            <w:pPr>
              <w:jc w:val="center"/>
              <w:rPr>
                <w:rFonts w:ascii="宋体" w:hAnsi="宋体" w:cs="宋体"/>
                <w:kern w:val="0"/>
                <w:sz w:val="24"/>
              </w:rPr>
            </w:pPr>
            <w:r>
              <w:rPr>
                <w:rFonts w:hint="eastAsia" w:ascii="宋体" w:hAnsi="宋体" w:cs="宋体"/>
                <w:kern w:val="0"/>
                <w:sz w:val="24"/>
              </w:rPr>
              <w:t>1</w:t>
            </w:r>
          </w:p>
        </w:tc>
        <w:tc>
          <w:tcPr>
            <w:tcW w:w="1701" w:type="dxa"/>
            <w:vAlign w:val="center"/>
          </w:tcPr>
          <w:p>
            <w:pPr>
              <w:jc w:val="center"/>
              <w:rPr>
                <w:rFonts w:ascii="宋体" w:hAnsi="宋体" w:cs="宋体"/>
                <w:kern w:val="0"/>
                <w:sz w:val="24"/>
              </w:rPr>
            </w:pPr>
            <w:r>
              <w:rPr>
                <w:rFonts w:hint="eastAsia" w:ascii="宋体" w:hAnsi="宋体" w:cs="宋体"/>
                <w:kern w:val="0"/>
                <w:sz w:val="24"/>
              </w:rPr>
              <w:t>业绩表（满分 12分）</w:t>
            </w:r>
          </w:p>
        </w:tc>
        <w:tc>
          <w:tcPr>
            <w:tcW w:w="6775" w:type="dxa"/>
            <w:gridSpan w:val="2"/>
            <w:vAlign w:val="center"/>
          </w:tcPr>
          <w:p>
            <w:pPr>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2015年6月1日至今，对与本项目相关或相近的服务经验，以提供合同复印件（体现合同对方名称及签订时间，涉及到商业秘密的内容可以隐去）或委托书证明材料为准。其中，牵头方具有项目国有资产处置每个业绩得2分，满分4分；</w:t>
            </w:r>
          </w:p>
          <w:p>
            <w:pPr>
              <w:jc w:val="lef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配合方会计师事务所出具国资资产会计报告每个业绩得2分，满分4分；</w:t>
            </w:r>
          </w:p>
          <w:p>
            <w:pPr>
              <w:jc w:val="left"/>
              <w:rPr>
                <w:rFonts w:ascii="宋体" w:hAnsi="宋体" w:cs="宋体"/>
                <w:sz w:val="24"/>
              </w:rPr>
            </w:pPr>
            <w:r>
              <w:rPr>
                <w:rFonts w:hint="eastAsia" w:ascii="宋体" w:hAnsi="宋体" w:cs="宋体"/>
                <w:sz w:val="24"/>
                <w:lang w:val="en-US" w:eastAsia="zh-CN"/>
              </w:rPr>
              <w:t>3.</w:t>
            </w:r>
            <w:bookmarkStart w:id="380" w:name="_GoBack"/>
            <w:bookmarkEnd w:id="380"/>
            <w:r>
              <w:rPr>
                <w:rFonts w:hint="eastAsia" w:ascii="宋体" w:hAnsi="宋体" w:cs="宋体"/>
                <w:sz w:val="24"/>
              </w:rPr>
              <w:t>配合方管理咨询机构为企业提供企业管理咨询每个业绩得2分，满分4分。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59" w:type="dxa"/>
            <w:vAlign w:val="center"/>
          </w:tcPr>
          <w:p>
            <w:pPr>
              <w:jc w:val="center"/>
              <w:rPr>
                <w:rFonts w:ascii="宋体" w:hAnsi="宋体" w:cs="宋体"/>
                <w:kern w:val="0"/>
                <w:sz w:val="24"/>
              </w:rPr>
            </w:pPr>
            <w:r>
              <w:rPr>
                <w:rFonts w:hint="eastAsia" w:ascii="宋体" w:hAnsi="宋体" w:cs="宋体"/>
                <w:color w:val="000000" w:themeColor="text1"/>
                <w:kern w:val="0"/>
                <w:sz w:val="24"/>
              </w:rPr>
              <w:t>4</w:t>
            </w:r>
          </w:p>
        </w:tc>
        <w:tc>
          <w:tcPr>
            <w:tcW w:w="1701" w:type="dxa"/>
            <w:vAlign w:val="center"/>
          </w:tcPr>
          <w:p>
            <w:pPr>
              <w:jc w:val="center"/>
              <w:rPr>
                <w:rFonts w:ascii="宋体" w:hAnsi="宋体" w:cs="宋体"/>
                <w:kern w:val="0"/>
                <w:sz w:val="24"/>
              </w:rPr>
            </w:pPr>
            <w:r>
              <w:rPr>
                <w:rFonts w:hint="eastAsia" w:ascii="宋体" w:hAnsi="宋体" w:cs="宋体"/>
                <w:color w:val="000000" w:themeColor="text1"/>
                <w:kern w:val="0"/>
                <w:sz w:val="24"/>
              </w:rPr>
              <w:t>牵头方（满分</w:t>
            </w:r>
            <w:r>
              <w:rPr>
                <w:rFonts w:hint="eastAsia"/>
                <w:color w:val="000000" w:themeColor="text1"/>
                <w:sz w:val="24"/>
              </w:rPr>
              <w:t>16分）</w:t>
            </w:r>
          </w:p>
        </w:tc>
        <w:tc>
          <w:tcPr>
            <w:tcW w:w="6775" w:type="dxa"/>
            <w:gridSpan w:val="2"/>
            <w:vAlign w:val="center"/>
          </w:tcPr>
          <w:p>
            <w:pPr>
              <w:jc w:val="left"/>
              <w:rPr>
                <w:color w:val="000000" w:themeColor="text1"/>
                <w:sz w:val="24"/>
              </w:rPr>
            </w:pPr>
            <w:r>
              <w:rPr>
                <w:rFonts w:hint="eastAsia"/>
                <w:color w:val="000000" w:themeColor="text1"/>
                <w:sz w:val="24"/>
              </w:rPr>
              <w:t>1</w:t>
            </w:r>
            <w:r>
              <w:rPr>
                <w:rFonts w:hint="eastAsia"/>
                <w:color w:val="000000" w:themeColor="text1"/>
                <w:sz w:val="24"/>
                <w:lang w:val="en-US" w:eastAsia="zh-CN"/>
              </w:rPr>
              <w:t>.</w:t>
            </w:r>
            <w:r>
              <w:rPr>
                <w:rFonts w:hint="eastAsia"/>
                <w:color w:val="000000" w:themeColor="text1"/>
                <w:sz w:val="24"/>
              </w:rPr>
              <w:t>房地产估价机构备案等级一级的，获得5分，此项满分5分。</w:t>
            </w:r>
          </w:p>
          <w:p>
            <w:pPr>
              <w:jc w:val="left"/>
              <w:rPr>
                <w:color w:val="000000" w:themeColor="text1"/>
                <w:sz w:val="24"/>
              </w:rPr>
            </w:pPr>
            <w:r>
              <w:rPr>
                <w:rFonts w:hint="eastAsia"/>
                <w:color w:val="000000" w:themeColor="text1"/>
                <w:sz w:val="24"/>
              </w:rPr>
              <w:t>2</w:t>
            </w:r>
            <w:r>
              <w:rPr>
                <w:rFonts w:hint="eastAsia"/>
                <w:color w:val="000000" w:themeColor="text1"/>
                <w:sz w:val="24"/>
                <w:lang w:val="en-US" w:eastAsia="zh-CN"/>
              </w:rPr>
              <w:t>.</w:t>
            </w:r>
            <w:r>
              <w:rPr>
                <w:rFonts w:hint="eastAsia"/>
                <w:color w:val="000000" w:themeColor="text1"/>
                <w:sz w:val="24"/>
              </w:rPr>
              <w:t>土地评估执业范围为全国范围内可从事评估业务，获得3分，此项满分3分。</w:t>
            </w:r>
          </w:p>
          <w:p>
            <w:pPr>
              <w:jc w:val="left"/>
              <w:rPr>
                <w:color w:val="000000" w:themeColor="text1"/>
                <w:sz w:val="24"/>
              </w:rPr>
            </w:pPr>
            <w:r>
              <w:rPr>
                <w:rFonts w:hint="eastAsia"/>
                <w:color w:val="000000" w:themeColor="text1"/>
                <w:sz w:val="24"/>
              </w:rPr>
              <w:t>3</w:t>
            </w:r>
            <w:r>
              <w:rPr>
                <w:rFonts w:hint="eastAsia"/>
                <w:color w:val="000000" w:themeColor="text1"/>
                <w:sz w:val="24"/>
                <w:lang w:val="en-US" w:eastAsia="zh-CN"/>
              </w:rPr>
              <w:t>.</w:t>
            </w:r>
            <w:r>
              <w:rPr>
                <w:rFonts w:hint="eastAsia"/>
                <w:color w:val="000000" w:themeColor="text1"/>
                <w:sz w:val="24"/>
              </w:rPr>
              <w:t>近3年内投标人入围国有资产监督管理委员会（省、市同时入围）及各大金融机构（省级以上），每个加2分，满分6分。</w:t>
            </w:r>
          </w:p>
          <w:p>
            <w:pPr>
              <w:jc w:val="left"/>
              <w:rPr>
                <w:color w:val="000000" w:themeColor="text1"/>
                <w:sz w:val="24"/>
              </w:rPr>
            </w:pPr>
            <w:r>
              <w:rPr>
                <w:rFonts w:hint="eastAsia"/>
                <w:color w:val="000000" w:themeColor="text1"/>
                <w:sz w:val="24"/>
              </w:rPr>
              <w:t>4</w:t>
            </w:r>
            <w:r>
              <w:rPr>
                <w:rFonts w:hint="eastAsia"/>
                <w:color w:val="000000" w:themeColor="text1"/>
                <w:sz w:val="24"/>
                <w:lang w:val="en-US" w:eastAsia="zh-CN"/>
              </w:rPr>
              <w:t>.</w:t>
            </w:r>
            <w:r>
              <w:rPr>
                <w:rFonts w:hint="eastAsia"/>
                <w:color w:val="000000" w:themeColor="text1"/>
                <w:sz w:val="24"/>
              </w:rPr>
              <w:t>服务过最高人民法院、中级人民法院等单位的加2分，满分2分。</w:t>
            </w:r>
          </w:p>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959" w:type="dxa"/>
            <w:vAlign w:val="center"/>
          </w:tcPr>
          <w:p>
            <w:pPr>
              <w:jc w:val="center"/>
              <w:rPr>
                <w:rFonts w:ascii="宋体" w:hAnsi="宋体" w:cs="宋体"/>
                <w:kern w:val="0"/>
                <w:sz w:val="24"/>
              </w:rPr>
            </w:pPr>
            <w:r>
              <w:rPr>
                <w:rFonts w:hint="eastAsia" w:ascii="宋体" w:hAnsi="宋体" w:cs="宋体"/>
                <w:kern w:val="0"/>
                <w:sz w:val="24"/>
              </w:rPr>
              <w:t>2</w:t>
            </w:r>
          </w:p>
        </w:tc>
        <w:tc>
          <w:tcPr>
            <w:tcW w:w="1701" w:type="dxa"/>
            <w:vAlign w:val="center"/>
          </w:tcPr>
          <w:p>
            <w:pPr>
              <w:jc w:val="center"/>
              <w:rPr>
                <w:rFonts w:ascii="宋体" w:hAnsi="宋体" w:cs="宋体"/>
                <w:kern w:val="0"/>
                <w:sz w:val="24"/>
              </w:rPr>
            </w:pPr>
            <w:r>
              <w:rPr>
                <w:rFonts w:hint="eastAsia" w:ascii="宋体" w:hAnsi="宋体" w:cs="宋体"/>
                <w:kern w:val="0"/>
                <w:sz w:val="24"/>
              </w:rPr>
              <w:t>拟投入人员配置明细</w:t>
            </w:r>
          </w:p>
          <w:p>
            <w:pPr>
              <w:jc w:val="center"/>
              <w:rPr>
                <w:rFonts w:ascii="宋体" w:hAnsi="宋体" w:cs="宋体"/>
                <w:kern w:val="0"/>
                <w:sz w:val="24"/>
              </w:rPr>
            </w:pPr>
            <w:r>
              <w:rPr>
                <w:rFonts w:hint="eastAsia" w:ascii="宋体" w:hAnsi="宋体" w:cs="宋体"/>
                <w:kern w:val="0"/>
                <w:sz w:val="24"/>
              </w:rPr>
              <w:t>（满分6分）</w:t>
            </w:r>
          </w:p>
        </w:tc>
        <w:tc>
          <w:tcPr>
            <w:tcW w:w="6775" w:type="dxa"/>
            <w:gridSpan w:val="2"/>
            <w:vAlign w:val="center"/>
          </w:tcPr>
          <w:p>
            <w:pPr>
              <w:jc w:val="left"/>
              <w:rPr>
                <w:rFonts w:ascii="宋体" w:hAnsi="宋体" w:cs="宋体"/>
                <w:kern w:val="0"/>
                <w:sz w:val="24"/>
              </w:rPr>
            </w:pPr>
            <w:r>
              <w:rPr>
                <w:rFonts w:hint="eastAsia" w:ascii="宋体" w:hAnsi="宋体" w:cs="宋体"/>
                <w:sz w:val="24"/>
              </w:rPr>
              <w:t>拟指派团队中在基本人员配置中各增加一名国家注册人员得2分，满分6分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hAnsi="宋体" w:cs="宋体"/>
                <w:kern w:val="0"/>
                <w:sz w:val="24"/>
              </w:rPr>
            </w:pPr>
            <w:r>
              <w:rPr>
                <w:rFonts w:hint="eastAsia" w:ascii="宋体" w:hAnsi="宋体" w:cs="宋体"/>
                <w:kern w:val="0"/>
                <w:sz w:val="24"/>
              </w:rPr>
              <w:t>3</w:t>
            </w:r>
          </w:p>
        </w:tc>
        <w:tc>
          <w:tcPr>
            <w:tcW w:w="1701" w:type="dxa"/>
            <w:vMerge w:val="restart"/>
            <w:vAlign w:val="center"/>
          </w:tcPr>
          <w:p>
            <w:pPr>
              <w:jc w:val="center"/>
              <w:rPr>
                <w:rFonts w:ascii="宋体" w:hAnsi="宋体" w:cs="宋体"/>
                <w:kern w:val="0"/>
                <w:sz w:val="24"/>
              </w:rPr>
            </w:pPr>
            <w:r>
              <w:rPr>
                <w:rFonts w:hint="eastAsia" w:ascii="宋体" w:hAnsi="宋体" w:cs="宋体"/>
                <w:kern w:val="0"/>
                <w:sz w:val="24"/>
              </w:rPr>
              <w:t>拟投入人员的相关工作业绩、资历及能力（满分18分）</w:t>
            </w:r>
          </w:p>
        </w:tc>
        <w:tc>
          <w:tcPr>
            <w:tcW w:w="4819" w:type="dxa"/>
            <w:vAlign w:val="center"/>
          </w:tcPr>
          <w:p>
            <w:pPr>
              <w:jc w:val="left"/>
              <w:rPr>
                <w:color w:val="000000" w:themeColor="text1"/>
                <w:sz w:val="24"/>
              </w:rPr>
            </w:pPr>
            <w:r>
              <w:rPr>
                <w:rFonts w:hint="eastAsia"/>
                <w:color w:val="000000" w:themeColor="text1"/>
                <w:sz w:val="24"/>
              </w:rPr>
              <w:t>1、近五年内主持并参与国有资产监督管理委员会及各大金融机构（省级以上）资产处置两个以上的，得12分。</w:t>
            </w:r>
          </w:p>
          <w:p>
            <w:pPr>
              <w:jc w:val="left"/>
              <w:rPr>
                <w:color w:val="000000" w:themeColor="text1"/>
                <w:sz w:val="24"/>
              </w:rPr>
            </w:pPr>
            <w:r>
              <w:rPr>
                <w:rFonts w:hint="eastAsia"/>
                <w:color w:val="000000" w:themeColor="text1"/>
                <w:sz w:val="24"/>
              </w:rPr>
              <w:t>2、近五年内主持并参与、服务过最高人民法院、中级人民法院等单位两个以上的，得6分。</w:t>
            </w:r>
          </w:p>
          <w:p>
            <w:pPr>
              <w:jc w:val="center"/>
              <w:rPr>
                <w:rFonts w:ascii="宋体" w:hAnsi="宋体" w:cs="宋体"/>
                <w:sz w:val="24"/>
              </w:rPr>
            </w:pPr>
            <w:r>
              <w:rPr>
                <w:rFonts w:hint="eastAsia" w:ascii="宋体" w:hAnsi="宋体" w:cs="宋体"/>
                <w:kern w:val="0"/>
                <w:sz w:val="24"/>
              </w:rPr>
              <w:t xml:space="preserve"> </w:t>
            </w:r>
          </w:p>
        </w:tc>
        <w:tc>
          <w:tcPr>
            <w:tcW w:w="1956" w:type="dxa"/>
            <w:vAlign w:val="center"/>
          </w:tcPr>
          <w:p>
            <w:pPr>
              <w:jc w:val="center"/>
              <w:rPr>
                <w:rFonts w:ascii="宋体" w:hAnsi="宋体" w:cs="宋体"/>
                <w:kern w:val="0"/>
                <w:sz w:val="24"/>
              </w:rPr>
            </w:pPr>
            <w:r>
              <w:rPr>
                <w:rFonts w:hint="eastAsia" w:ascii="宋体" w:hAnsi="宋体" w:cs="宋体"/>
                <w:kern w:val="0"/>
                <w:sz w:val="24"/>
              </w:rPr>
              <w:t>一档：12-18分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hAnsi="宋体" w:cs="宋体"/>
                <w:kern w:val="0"/>
                <w:sz w:val="24"/>
              </w:rPr>
            </w:pPr>
          </w:p>
        </w:tc>
        <w:tc>
          <w:tcPr>
            <w:tcW w:w="1701" w:type="dxa"/>
            <w:vMerge w:val="continue"/>
            <w:vAlign w:val="center"/>
          </w:tcPr>
          <w:p>
            <w:pPr>
              <w:jc w:val="center"/>
              <w:rPr>
                <w:rFonts w:ascii="宋体" w:hAnsi="宋体" w:cs="宋体"/>
                <w:kern w:val="0"/>
                <w:sz w:val="24"/>
              </w:rPr>
            </w:pPr>
          </w:p>
        </w:tc>
        <w:tc>
          <w:tcPr>
            <w:tcW w:w="4819" w:type="dxa"/>
            <w:vAlign w:val="center"/>
          </w:tcPr>
          <w:p>
            <w:pPr>
              <w:jc w:val="left"/>
              <w:rPr>
                <w:color w:val="000000" w:themeColor="text1"/>
                <w:sz w:val="24"/>
              </w:rPr>
            </w:pPr>
            <w:r>
              <w:rPr>
                <w:rFonts w:hint="eastAsia"/>
                <w:color w:val="000000" w:themeColor="text1"/>
                <w:sz w:val="24"/>
              </w:rPr>
              <w:t>1、近五年内主持并参与国有资产监督管理委员会及各大金融机构（省级以上）资产处置一个的，得6分。</w:t>
            </w:r>
          </w:p>
          <w:p>
            <w:pPr>
              <w:jc w:val="left"/>
              <w:rPr>
                <w:color w:val="000000" w:themeColor="text1"/>
                <w:sz w:val="24"/>
              </w:rPr>
            </w:pPr>
            <w:r>
              <w:rPr>
                <w:rFonts w:hint="eastAsia"/>
                <w:color w:val="000000" w:themeColor="text1"/>
                <w:sz w:val="24"/>
              </w:rPr>
              <w:t>2、近五年内主持并参与、服务过最高人民法院、中级人民法院等单位一个的，得3分。</w:t>
            </w:r>
          </w:p>
          <w:p>
            <w:pPr>
              <w:jc w:val="center"/>
              <w:rPr>
                <w:rFonts w:ascii="宋体" w:hAnsi="宋体" w:cs="宋体"/>
                <w:sz w:val="24"/>
              </w:rPr>
            </w:pPr>
          </w:p>
        </w:tc>
        <w:tc>
          <w:tcPr>
            <w:tcW w:w="1956" w:type="dxa"/>
            <w:vAlign w:val="center"/>
          </w:tcPr>
          <w:p>
            <w:pPr>
              <w:jc w:val="center"/>
              <w:rPr>
                <w:rFonts w:ascii="宋体" w:hAnsi="宋体" w:cs="宋体"/>
                <w:kern w:val="0"/>
                <w:sz w:val="24"/>
              </w:rPr>
            </w:pPr>
            <w:r>
              <w:rPr>
                <w:rFonts w:hint="eastAsia" w:ascii="宋体" w:hAnsi="宋体" w:cs="宋体"/>
                <w:kern w:val="0"/>
                <w:sz w:val="24"/>
              </w:rPr>
              <w:t>二档：6-12分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rPr>
            </w:pPr>
          </w:p>
        </w:tc>
        <w:tc>
          <w:tcPr>
            <w:tcW w:w="1701" w:type="dxa"/>
            <w:vMerge w:val="continue"/>
            <w:vAlign w:val="center"/>
          </w:tcPr>
          <w:p>
            <w:pPr>
              <w:jc w:val="center"/>
              <w:rPr>
                <w:rFonts w:ascii="宋体" w:hAnsi="宋体" w:cs="宋体"/>
                <w:kern w:val="0"/>
                <w:sz w:val="24"/>
              </w:rPr>
            </w:pPr>
          </w:p>
        </w:tc>
        <w:tc>
          <w:tcPr>
            <w:tcW w:w="4819" w:type="dxa"/>
            <w:vAlign w:val="center"/>
          </w:tcPr>
          <w:p>
            <w:pPr>
              <w:jc w:val="left"/>
              <w:rPr>
                <w:color w:val="000000" w:themeColor="text1"/>
                <w:sz w:val="24"/>
              </w:rPr>
            </w:pPr>
            <w:r>
              <w:rPr>
                <w:rFonts w:hint="eastAsia"/>
                <w:color w:val="000000" w:themeColor="text1"/>
                <w:sz w:val="24"/>
              </w:rPr>
              <w:t>1、近五年内主持并参与国有资产监督管理委员会及各大金融机构（省级以上）资产处置无相关业绩的，得0分。</w:t>
            </w:r>
          </w:p>
          <w:p>
            <w:pPr>
              <w:jc w:val="left"/>
              <w:rPr>
                <w:color w:val="000000" w:themeColor="text1"/>
                <w:sz w:val="24"/>
              </w:rPr>
            </w:pPr>
            <w:r>
              <w:rPr>
                <w:rFonts w:hint="eastAsia"/>
                <w:color w:val="000000" w:themeColor="text1"/>
                <w:sz w:val="24"/>
              </w:rPr>
              <w:t>2、近五年内主持并参与、服务过最高人民法院、中级人民法院等无相关工作业绩的，得0分。</w:t>
            </w:r>
          </w:p>
          <w:p>
            <w:pPr>
              <w:jc w:val="center"/>
              <w:rPr>
                <w:rFonts w:ascii="宋体" w:hAnsi="宋体" w:cs="宋体"/>
                <w:sz w:val="24"/>
              </w:rPr>
            </w:pPr>
          </w:p>
        </w:tc>
        <w:tc>
          <w:tcPr>
            <w:tcW w:w="1956" w:type="dxa"/>
            <w:vAlign w:val="center"/>
          </w:tcPr>
          <w:p>
            <w:pPr>
              <w:jc w:val="center"/>
              <w:rPr>
                <w:rFonts w:ascii="宋体" w:hAnsi="宋体" w:cs="宋体"/>
                <w:kern w:val="0"/>
                <w:sz w:val="24"/>
              </w:rPr>
            </w:pPr>
            <w:r>
              <w:rPr>
                <w:rFonts w:hint="eastAsia" w:ascii="宋体" w:hAnsi="宋体" w:cs="宋体"/>
                <w:kern w:val="0"/>
                <w:sz w:val="24"/>
              </w:rPr>
              <w:t>三档：0-6分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hAnsi="宋体" w:cs="宋体"/>
                <w:kern w:val="0"/>
                <w:sz w:val="24"/>
              </w:rPr>
            </w:pPr>
            <w:r>
              <w:rPr>
                <w:rFonts w:hint="eastAsia" w:ascii="宋体" w:hAnsi="宋体" w:cs="宋体"/>
                <w:kern w:val="0"/>
                <w:sz w:val="24"/>
              </w:rPr>
              <w:t>4</w:t>
            </w:r>
          </w:p>
        </w:tc>
        <w:tc>
          <w:tcPr>
            <w:tcW w:w="1701" w:type="dxa"/>
            <w:vMerge w:val="restart"/>
            <w:vAlign w:val="center"/>
          </w:tcPr>
          <w:p>
            <w:pPr>
              <w:jc w:val="center"/>
              <w:rPr>
                <w:rFonts w:ascii="宋体" w:hAnsi="宋体" w:cs="宋体"/>
                <w:kern w:val="0"/>
                <w:sz w:val="24"/>
              </w:rPr>
            </w:pPr>
            <w:r>
              <w:rPr>
                <w:rFonts w:hint="eastAsia" w:ascii="宋体" w:hAnsi="宋体" w:cs="宋体"/>
                <w:kern w:val="0"/>
                <w:sz w:val="24"/>
              </w:rPr>
              <w:t>服务方案</w:t>
            </w:r>
          </w:p>
          <w:p>
            <w:pPr>
              <w:jc w:val="center"/>
              <w:rPr>
                <w:rFonts w:ascii="宋体" w:hAnsi="宋体" w:cs="宋体"/>
                <w:kern w:val="0"/>
                <w:sz w:val="24"/>
              </w:rPr>
            </w:pPr>
            <w:r>
              <w:rPr>
                <w:rFonts w:hint="eastAsia" w:ascii="宋体" w:hAnsi="宋体" w:cs="宋体"/>
                <w:kern w:val="0"/>
                <w:sz w:val="24"/>
              </w:rPr>
              <w:t>（满分28分）（主要从服务态度、服务质量、服务响应时间、有效对接、办公场地等方面进行阐述。）</w:t>
            </w:r>
          </w:p>
        </w:tc>
        <w:tc>
          <w:tcPr>
            <w:tcW w:w="4819" w:type="dxa"/>
            <w:vAlign w:val="center"/>
          </w:tcPr>
          <w:p>
            <w:pPr>
              <w:jc w:val="center"/>
              <w:rPr>
                <w:rFonts w:ascii="宋体" w:hAnsi="宋体" w:cs="宋体"/>
                <w:kern w:val="0"/>
                <w:sz w:val="24"/>
              </w:rPr>
            </w:pPr>
            <w:r>
              <w:rPr>
                <w:rFonts w:hint="eastAsia"/>
                <w:sz w:val="24"/>
              </w:rPr>
              <w:t>服务方案详细全面，科学合理，对服务工作重点突出，针对性强，工作内容全面，服务质量好，具有较大特色，可实施性强。</w:t>
            </w:r>
          </w:p>
        </w:tc>
        <w:tc>
          <w:tcPr>
            <w:tcW w:w="1956" w:type="dxa"/>
            <w:vAlign w:val="center"/>
          </w:tcPr>
          <w:p>
            <w:pPr>
              <w:jc w:val="center"/>
              <w:rPr>
                <w:rFonts w:ascii="宋体" w:hAnsi="宋体" w:cs="宋体"/>
                <w:kern w:val="0"/>
                <w:sz w:val="24"/>
              </w:rPr>
            </w:pPr>
            <w:r>
              <w:rPr>
                <w:rFonts w:hint="eastAsia" w:ascii="宋体" w:hAnsi="宋体" w:cs="宋体"/>
                <w:kern w:val="0"/>
                <w:sz w:val="24"/>
              </w:rPr>
              <w:t>一档：20-28分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rPr>
            </w:pPr>
          </w:p>
        </w:tc>
        <w:tc>
          <w:tcPr>
            <w:tcW w:w="1701" w:type="dxa"/>
            <w:vMerge w:val="continue"/>
            <w:vAlign w:val="center"/>
          </w:tcPr>
          <w:p>
            <w:pPr>
              <w:jc w:val="center"/>
              <w:rPr>
                <w:rFonts w:ascii="宋体" w:hAnsi="宋体" w:cs="宋体"/>
                <w:kern w:val="0"/>
                <w:sz w:val="24"/>
              </w:rPr>
            </w:pPr>
          </w:p>
        </w:tc>
        <w:tc>
          <w:tcPr>
            <w:tcW w:w="4819" w:type="dxa"/>
            <w:vAlign w:val="center"/>
          </w:tcPr>
          <w:p>
            <w:pPr>
              <w:jc w:val="center"/>
              <w:rPr>
                <w:rFonts w:ascii="宋体" w:hAnsi="宋体" w:cs="宋体"/>
                <w:kern w:val="0"/>
                <w:sz w:val="24"/>
              </w:rPr>
            </w:pPr>
            <w:r>
              <w:rPr>
                <w:rFonts w:hint="eastAsia"/>
                <w:sz w:val="24"/>
              </w:rPr>
              <w:t>服务方案较全面，科学合理，对服务工作重点较突出，针对性较强，工作内容较全面，服务质量较好，具有一定特色，有较强的可实施性。</w:t>
            </w:r>
          </w:p>
        </w:tc>
        <w:tc>
          <w:tcPr>
            <w:tcW w:w="1956" w:type="dxa"/>
            <w:vAlign w:val="center"/>
          </w:tcPr>
          <w:p>
            <w:pPr>
              <w:jc w:val="center"/>
              <w:rPr>
                <w:rFonts w:ascii="宋体" w:hAnsi="宋体" w:cs="宋体"/>
                <w:kern w:val="0"/>
                <w:sz w:val="24"/>
              </w:rPr>
            </w:pPr>
            <w:r>
              <w:rPr>
                <w:rFonts w:hint="eastAsia" w:ascii="宋体" w:hAnsi="宋体" w:cs="宋体"/>
                <w:kern w:val="0"/>
                <w:sz w:val="24"/>
              </w:rPr>
              <w:t>二档：10-20分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rPr>
            </w:pPr>
          </w:p>
        </w:tc>
        <w:tc>
          <w:tcPr>
            <w:tcW w:w="1701" w:type="dxa"/>
            <w:vMerge w:val="continue"/>
            <w:vAlign w:val="center"/>
          </w:tcPr>
          <w:p>
            <w:pPr>
              <w:jc w:val="center"/>
              <w:rPr>
                <w:rFonts w:ascii="宋体" w:hAnsi="宋体" w:cs="宋体"/>
                <w:kern w:val="0"/>
                <w:sz w:val="24"/>
              </w:rPr>
            </w:pPr>
          </w:p>
        </w:tc>
        <w:tc>
          <w:tcPr>
            <w:tcW w:w="4819" w:type="dxa"/>
            <w:vAlign w:val="center"/>
          </w:tcPr>
          <w:p>
            <w:pPr>
              <w:jc w:val="center"/>
              <w:rPr>
                <w:sz w:val="24"/>
              </w:rPr>
            </w:pPr>
            <w:r>
              <w:rPr>
                <w:rFonts w:hint="eastAsia"/>
                <w:sz w:val="24"/>
              </w:rPr>
              <w:t>服务方案不够全面，对服务工作重点不够突出，针对性不强，工作内</w:t>
            </w:r>
          </w:p>
          <w:p>
            <w:pPr>
              <w:jc w:val="center"/>
              <w:rPr>
                <w:rFonts w:ascii="宋体" w:hAnsi="宋体" w:cs="宋体"/>
                <w:kern w:val="0"/>
                <w:sz w:val="24"/>
              </w:rPr>
            </w:pPr>
            <w:r>
              <w:rPr>
                <w:rFonts w:hint="eastAsia"/>
                <w:sz w:val="24"/>
              </w:rPr>
              <w:t>容不够全面，服务质量一般，无特色，可实施性较差。</w:t>
            </w:r>
          </w:p>
        </w:tc>
        <w:tc>
          <w:tcPr>
            <w:tcW w:w="1956" w:type="dxa"/>
            <w:vAlign w:val="center"/>
          </w:tcPr>
          <w:p>
            <w:pPr>
              <w:jc w:val="center"/>
              <w:rPr>
                <w:rFonts w:ascii="宋体" w:hAnsi="宋体" w:cs="宋体"/>
                <w:kern w:val="0"/>
                <w:sz w:val="24"/>
              </w:rPr>
            </w:pPr>
            <w:r>
              <w:rPr>
                <w:rFonts w:hint="eastAsia" w:ascii="宋体" w:hAnsi="宋体" w:cs="宋体"/>
                <w:kern w:val="0"/>
                <w:sz w:val="24"/>
              </w:rPr>
              <w:t>三档：0-10分</w:t>
            </w:r>
          </w:p>
        </w:tc>
      </w:tr>
    </w:tbl>
    <w:p>
      <w:pPr>
        <w:pStyle w:val="4"/>
        <w:spacing w:line="240" w:lineRule="auto"/>
        <w:rPr>
          <w:color w:val="000000" w:themeColor="text1"/>
          <w:szCs w:val="28"/>
        </w:rPr>
      </w:pPr>
      <w:bookmarkStart w:id="370" w:name="_Toc27525"/>
      <w:bookmarkStart w:id="371" w:name="_Toc10183"/>
      <w:bookmarkStart w:id="372" w:name="_Toc15663"/>
      <w:bookmarkStart w:id="373" w:name="_Toc24296"/>
      <w:bookmarkStart w:id="374" w:name="_Toc22367"/>
      <w:bookmarkStart w:id="375" w:name="_Toc471482377"/>
      <w:bookmarkStart w:id="376" w:name="_Toc19395"/>
      <w:bookmarkStart w:id="377" w:name="_Toc19593"/>
      <w:bookmarkStart w:id="378" w:name="_Toc19365"/>
      <w:bookmarkStart w:id="379" w:name="_Toc21685"/>
      <w:r>
        <w:rPr>
          <w:rFonts w:hint="eastAsia"/>
          <w:color w:val="000000" w:themeColor="text1"/>
          <w:szCs w:val="28"/>
        </w:rPr>
        <w:t>四、中选标准</w:t>
      </w:r>
      <w:bookmarkEnd w:id="370"/>
      <w:bookmarkEnd w:id="371"/>
      <w:bookmarkEnd w:id="372"/>
      <w:bookmarkEnd w:id="373"/>
      <w:bookmarkEnd w:id="374"/>
      <w:bookmarkEnd w:id="375"/>
      <w:bookmarkEnd w:id="376"/>
      <w:bookmarkEnd w:id="377"/>
      <w:bookmarkEnd w:id="378"/>
      <w:bookmarkEnd w:id="379"/>
    </w:p>
    <w:p>
      <w:pPr>
        <w:ind w:right="754" w:firstLine="560" w:firstLineChars="200"/>
        <w:jc w:val="left"/>
        <w:rPr>
          <w:rFonts w:ascii="宋体" w:hAnsi="宋体" w:cs="宋体"/>
          <w:color w:val="000000" w:themeColor="text1"/>
          <w:sz w:val="28"/>
          <w:szCs w:val="28"/>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cs="宋体"/>
          <w:color w:val="000000" w:themeColor="text1"/>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widowControl/>
        <w:jc w:val="left"/>
        <w:rPr>
          <w:rFonts w:ascii="宋体" w:hAnsi="宋体" w:cs="宋体"/>
          <w:color w:val="000000" w:themeColor="text1"/>
          <w:sz w:val="28"/>
          <w:szCs w:val="28"/>
        </w:rPr>
      </w:pPr>
    </w:p>
    <w:sectPr>
      <w:pgSz w:w="16838" w:h="11906" w:orient="landscape"/>
      <w:pgMar w:top="1247" w:right="1440" w:bottom="1440" w:left="1440"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Gulim">
    <w:panose1 w:val="020B0600000101010101"/>
    <w:charset w:val="81"/>
    <w:family w:val="swiss"/>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2049" o:spt="202" type="#_x0000_t202" style="position:absolute;left:0pt;margin-top:0pt;height:144pt;width:144pt;mso-position-horizontal:center;mso-position-horizontal-relative:margin;mso-wrap-style:none;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&#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BEA66"/>
    <w:multiLevelType w:val="singleLevel"/>
    <w:tmpl w:val="52ABEA66"/>
    <w:lvl w:ilvl="0" w:tentative="0">
      <w:start w:val="3"/>
      <w:numFmt w:val="chineseCounting"/>
      <w:suff w:val="space"/>
      <w:lvlText w:val="第%1章"/>
      <w:lvlJc w:val="left"/>
    </w:lvl>
  </w:abstractNum>
  <w:abstractNum w:abstractNumId="1">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B51"/>
    <w:rsid w:val="00003AD7"/>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11FF"/>
    <w:rsid w:val="0002218A"/>
    <w:rsid w:val="0002343C"/>
    <w:rsid w:val="0002500A"/>
    <w:rsid w:val="00025256"/>
    <w:rsid w:val="0002675F"/>
    <w:rsid w:val="00026FFC"/>
    <w:rsid w:val="000318D8"/>
    <w:rsid w:val="00042228"/>
    <w:rsid w:val="00047299"/>
    <w:rsid w:val="000473D4"/>
    <w:rsid w:val="000477B5"/>
    <w:rsid w:val="00050E7F"/>
    <w:rsid w:val="00052B63"/>
    <w:rsid w:val="00054F81"/>
    <w:rsid w:val="0005651D"/>
    <w:rsid w:val="00057BDC"/>
    <w:rsid w:val="00062107"/>
    <w:rsid w:val="0007095D"/>
    <w:rsid w:val="000721B2"/>
    <w:rsid w:val="00072A19"/>
    <w:rsid w:val="0007429E"/>
    <w:rsid w:val="00076DF2"/>
    <w:rsid w:val="000843B4"/>
    <w:rsid w:val="00094668"/>
    <w:rsid w:val="000971C8"/>
    <w:rsid w:val="000A4B9C"/>
    <w:rsid w:val="000A6250"/>
    <w:rsid w:val="000B0BA3"/>
    <w:rsid w:val="000B1107"/>
    <w:rsid w:val="000B2862"/>
    <w:rsid w:val="000B6659"/>
    <w:rsid w:val="000C488A"/>
    <w:rsid w:val="000C4E33"/>
    <w:rsid w:val="000C69DD"/>
    <w:rsid w:val="000D0354"/>
    <w:rsid w:val="000D67D8"/>
    <w:rsid w:val="000D7E70"/>
    <w:rsid w:val="000E018B"/>
    <w:rsid w:val="000E3A4D"/>
    <w:rsid w:val="000E3EF7"/>
    <w:rsid w:val="000E4B8F"/>
    <w:rsid w:val="000E5816"/>
    <w:rsid w:val="000E59C4"/>
    <w:rsid w:val="000E6869"/>
    <w:rsid w:val="000F032E"/>
    <w:rsid w:val="000F0956"/>
    <w:rsid w:val="000F1C10"/>
    <w:rsid w:val="000F2D03"/>
    <w:rsid w:val="000F2EFB"/>
    <w:rsid w:val="000F36DC"/>
    <w:rsid w:val="000F453A"/>
    <w:rsid w:val="000F7D80"/>
    <w:rsid w:val="00100558"/>
    <w:rsid w:val="00100DB4"/>
    <w:rsid w:val="001014A5"/>
    <w:rsid w:val="0010165D"/>
    <w:rsid w:val="00103455"/>
    <w:rsid w:val="00104172"/>
    <w:rsid w:val="00104382"/>
    <w:rsid w:val="00107101"/>
    <w:rsid w:val="00107C43"/>
    <w:rsid w:val="00111B38"/>
    <w:rsid w:val="00111C5D"/>
    <w:rsid w:val="00111EE3"/>
    <w:rsid w:val="001144D2"/>
    <w:rsid w:val="001202B5"/>
    <w:rsid w:val="00124D07"/>
    <w:rsid w:val="001255FC"/>
    <w:rsid w:val="00126543"/>
    <w:rsid w:val="00127D4A"/>
    <w:rsid w:val="00131A7A"/>
    <w:rsid w:val="001330C5"/>
    <w:rsid w:val="0014044A"/>
    <w:rsid w:val="00140FD7"/>
    <w:rsid w:val="0014338D"/>
    <w:rsid w:val="0014456C"/>
    <w:rsid w:val="001449DE"/>
    <w:rsid w:val="00145F06"/>
    <w:rsid w:val="00150488"/>
    <w:rsid w:val="00153375"/>
    <w:rsid w:val="00153BCB"/>
    <w:rsid w:val="00154126"/>
    <w:rsid w:val="00155A9D"/>
    <w:rsid w:val="001662B3"/>
    <w:rsid w:val="001662F2"/>
    <w:rsid w:val="001663DA"/>
    <w:rsid w:val="00170EBD"/>
    <w:rsid w:val="001713FC"/>
    <w:rsid w:val="00172A27"/>
    <w:rsid w:val="001753A2"/>
    <w:rsid w:val="00176048"/>
    <w:rsid w:val="00177BAE"/>
    <w:rsid w:val="00182604"/>
    <w:rsid w:val="00186537"/>
    <w:rsid w:val="00191030"/>
    <w:rsid w:val="001921EC"/>
    <w:rsid w:val="00196765"/>
    <w:rsid w:val="001A01E7"/>
    <w:rsid w:val="001A7092"/>
    <w:rsid w:val="001A7FCC"/>
    <w:rsid w:val="001B1E3E"/>
    <w:rsid w:val="001B7E76"/>
    <w:rsid w:val="001C499E"/>
    <w:rsid w:val="001C4EF7"/>
    <w:rsid w:val="001D3F0A"/>
    <w:rsid w:val="001D43C2"/>
    <w:rsid w:val="001D54D7"/>
    <w:rsid w:val="001D5BDE"/>
    <w:rsid w:val="001D7F3C"/>
    <w:rsid w:val="001E086F"/>
    <w:rsid w:val="001E3135"/>
    <w:rsid w:val="001E3877"/>
    <w:rsid w:val="001E56AB"/>
    <w:rsid w:val="001E6897"/>
    <w:rsid w:val="001E6FA6"/>
    <w:rsid w:val="001F35F6"/>
    <w:rsid w:val="001F3870"/>
    <w:rsid w:val="001F4BDB"/>
    <w:rsid w:val="001F6E47"/>
    <w:rsid w:val="001F701C"/>
    <w:rsid w:val="0020071F"/>
    <w:rsid w:val="00200760"/>
    <w:rsid w:val="00200936"/>
    <w:rsid w:val="00203566"/>
    <w:rsid w:val="0020409B"/>
    <w:rsid w:val="00204380"/>
    <w:rsid w:val="00205A6E"/>
    <w:rsid w:val="002115C2"/>
    <w:rsid w:val="002134A1"/>
    <w:rsid w:val="0021374F"/>
    <w:rsid w:val="00214DAC"/>
    <w:rsid w:val="00217C6B"/>
    <w:rsid w:val="00217DD1"/>
    <w:rsid w:val="00220C52"/>
    <w:rsid w:val="002230F2"/>
    <w:rsid w:val="00225ADC"/>
    <w:rsid w:val="00225B9E"/>
    <w:rsid w:val="002267BB"/>
    <w:rsid w:val="00227BD1"/>
    <w:rsid w:val="0023123F"/>
    <w:rsid w:val="00231F38"/>
    <w:rsid w:val="00234C0D"/>
    <w:rsid w:val="00241BF1"/>
    <w:rsid w:val="002422EC"/>
    <w:rsid w:val="00242EA9"/>
    <w:rsid w:val="002459DE"/>
    <w:rsid w:val="002470C0"/>
    <w:rsid w:val="002472A7"/>
    <w:rsid w:val="00247729"/>
    <w:rsid w:val="00250D88"/>
    <w:rsid w:val="002528A0"/>
    <w:rsid w:val="002536AF"/>
    <w:rsid w:val="00254C9E"/>
    <w:rsid w:val="00263316"/>
    <w:rsid w:val="00263451"/>
    <w:rsid w:val="002658DA"/>
    <w:rsid w:val="0026672D"/>
    <w:rsid w:val="00270C77"/>
    <w:rsid w:val="00271F3E"/>
    <w:rsid w:val="0027279D"/>
    <w:rsid w:val="002742AA"/>
    <w:rsid w:val="00275CC8"/>
    <w:rsid w:val="00276ECA"/>
    <w:rsid w:val="002771F5"/>
    <w:rsid w:val="00282402"/>
    <w:rsid w:val="00282FAF"/>
    <w:rsid w:val="002843C7"/>
    <w:rsid w:val="0029350D"/>
    <w:rsid w:val="00294554"/>
    <w:rsid w:val="0029680C"/>
    <w:rsid w:val="00296D4F"/>
    <w:rsid w:val="002979D7"/>
    <w:rsid w:val="002A05FA"/>
    <w:rsid w:val="002A0884"/>
    <w:rsid w:val="002A26D4"/>
    <w:rsid w:val="002A2901"/>
    <w:rsid w:val="002A5814"/>
    <w:rsid w:val="002A5A1A"/>
    <w:rsid w:val="002A75C4"/>
    <w:rsid w:val="002A7A98"/>
    <w:rsid w:val="002B186F"/>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1973"/>
    <w:rsid w:val="002E3A16"/>
    <w:rsid w:val="002E41B0"/>
    <w:rsid w:val="002E777A"/>
    <w:rsid w:val="002F1397"/>
    <w:rsid w:val="002F1449"/>
    <w:rsid w:val="002F4C76"/>
    <w:rsid w:val="002F4DBA"/>
    <w:rsid w:val="00300C77"/>
    <w:rsid w:val="00301494"/>
    <w:rsid w:val="003020C2"/>
    <w:rsid w:val="00302CCE"/>
    <w:rsid w:val="003031F8"/>
    <w:rsid w:val="003033FE"/>
    <w:rsid w:val="00304405"/>
    <w:rsid w:val="00306511"/>
    <w:rsid w:val="003067AD"/>
    <w:rsid w:val="003110D9"/>
    <w:rsid w:val="003117D9"/>
    <w:rsid w:val="00311BC7"/>
    <w:rsid w:val="0031513B"/>
    <w:rsid w:val="003208C7"/>
    <w:rsid w:val="0032184E"/>
    <w:rsid w:val="00326138"/>
    <w:rsid w:val="00330B76"/>
    <w:rsid w:val="00331802"/>
    <w:rsid w:val="00337398"/>
    <w:rsid w:val="00337566"/>
    <w:rsid w:val="0033784C"/>
    <w:rsid w:val="0034058C"/>
    <w:rsid w:val="00341C6C"/>
    <w:rsid w:val="00343411"/>
    <w:rsid w:val="00343658"/>
    <w:rsid w:val="00344EA4"/>
    <w:rsid w:val="00345496"/>
    <w:rsid w:val="00345585"/>
    <w:rsid w:val="0034733B"/>
    <w:rsid w:val="003507ED"/>
    <w:rsid w:val="00355333"/>
    <w:rsid w:val="00362B06"/>
    <w:rsid w:val="00362EE7"/>
    <w:rsid w:val="003657B7"/>
    <w:rsid w:val="00365A1A"/>
    <w:rsid w:val="003746B0"/>
    <w:rsid w:val="00374814"/>
    <w:rsid w:val="00376F95"/>
    <w:rsid w:val="00381A61"/>
    <w:rsid w:val="0038264F"/>
    <w:rsid w:val="003842F0"/>
    <w:rsid w:val="00387605"/>
    <w:rsid w:val="003878E6"/>
    <w:rsid w:val="00387FBC"/>
    <w:rsid w:val="00392166"/>
    <w:rsid w:val="003923ED"/>
    <w:rsid w:val="00393E7F"/>
    <w:rsid w:val="00393E89"/>
    <w:rsid w:val="00393FC8"/>
    <w:rsid w:val="003954D2"/>
    <w:rsid w:val="00397194"/>
    <w:rsid w:val="003A2049"/>
    <w:rsid w:val="003A3A8A"/>
    <w:rsid w:val="003A4DE9"/>
    <w:rsid w:val="003A5AB7"/>
    <w:rsid w:val="003A6A4D"/>
    <w:rsid w:val="003B2094"/>
    <w:rsid w:val="003B4A82"/>
    <w:rsid w:val="003B6F49"/>
    <w:rsid w:val="003B70EE"/>
    <w:rsid w:val="003C02CA"/>
    <w:rsid w:val="003C1763"/>
    <w:rsid w:val="003C1C0E"/>
    <w:rsid w:val="003C2C79"/>
    <w:rsid w:val="003C4311"/>
    <w:rsid w:val="003C766A"/>
    <w:rsid w:val="003C7F0E"/>
    <w:rsid w:val="003D011C"/>
    <w:rsid w:val="003D27B8"/>
    <w:rsid w:val="003D33D6"/>
    <w:rsid w:val="003D3CD0"/>
    <w:rsid w:val="003D5D3B"/>
    <w:rsid w:val="003D6E24"/>
    <w:rsid w:val="003E309C"/>
    <w:rsid w:val="003E3E70"/>
    <w:rsid w:val="003E3E74"/>
    <w:rsid w:val="003E4EC7"/>
    <w:rsid w:val="003E510F"/>
    <w:rsid w:val="003E52EC"/>
    <w:rsid w:val="003E55BC"/>
    <w:rsid w:val="003E6D8E"/>
    <w:rsid w:val="003F00A7"/>
    <w:rsid w:val="003F2167"/>
    <w:rsid w:val="003F52A4"/>
    <w:rsid w:val="003F5E76"/>
    <w:rsid w:val="003F6C46"/>
    <w:rsid w:val="004017C8"/>
    <w:rsid w:val="0040307D"/>
    <w:rsid w:val="0040386D"/>
    <w:rsid w:val="00410B70"/>
    <w:rsid w:val="00417A21"/>
    <w:rsid w:val="004251A5"/>
    <w:rsid w:val="0042526B"/>
    <w:rsid w:val="00427CEB"/>
    <w:rsid w:val="00435970"/>
    <w:rsid w:val="0043626D"/>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65DF8"/>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A32D9"/>
    <w:rsid w:val="004B331D"/>
    <w:rsid w:val="004B48F1"/>
    <w:rsid w:val="004B494F"/>
    <w:rsid w:val="004B4F24"/>
    <w:rsid w:val="004B5660"/>
    <w:rsid w:val="004B7F0E"/>
    <w:rsid w:val="004C5AC1"/>
    <w:rsid w:val="004C7E92"/>
    <w:rsid w:val="004D1C27"/>
    <w:rsid w:val="004D3130"/>
    <w:rsid w:val="004D42A9"/>
    <w:rsid w:val="004E3306"/>
    <w:rsid w:val="004E3429"/>
    <w:rsid w:val="004E3788"/>
    <w:rsid w:val="004E6C6E"/>
    <w:rsid w:val="004F0CD4"/>
    <w:rsid w:val="004F2D28"/>
    <w:rsid w:val="004F3BC3"/>
    <w:rsid w:val="004F4C1F"/>
    <w:rsid w:val="004F7F42"/>
    <w:rsid w:val="00500FEC"/>
    <w:rsid w:val="00501978"/>
    <w:rsid w:val="00504C65"/>
    <w:rsid w:val="005065E5"/>
    <w:rsid w:val="005126D7"/>
    <w:rsid w:val="005136C3"/>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A5A"/>
    <w:rsid w:val="00536E3A"/>
    <w:rsid w:val="005376ED"/>
    <w:rsid w:val="005468A2"/>
    <w:rsid w:val="005503C0"/>
    <w:rsid w:val="0055217D"/>
    <w:rsid w:val="00552270"/>
    <w:rsid w:val="005527E0"/>
    <w:rsid w:val="00560736"/>
    <w:rsid w:val="005613F7"/>
    <w:rsid w:val="00561FE2"/>
    <w:rsid w:val="005622A4"/>
    <w:rsid w:val="00562ABA"/>
    <w:rsid w:val="00562EFC"/>
    <w:rsid w:val="00563A44"/>
    <w:rsid w:val="00563FB5"/>
    <w:rsid w:val="00565FF0"/>
    <w:rsid w:val="00566670"/>
    <w:rsid w:val="0057008C"/>
    <w:rsid w:val="00572644"/>
    <w:rsid w:val="00573FA2"/>
    <w:rsid w:val="00583943"/>
    <w:rsid w:val="00585C0E"/>
    <w:rsid w:val="005875A2"/>
    <w:rsid w:val="00591B2E"/>
    <w:rsid w:val="00593B49"/>
    <w:rsid w:val="00593BB5"/>
    <w:rsid w:val="00596B87"/>
    <w:rsid w:val="0059783D"/>
    <w:rsid w:val="005A059C"/>
    <w:rsid w:val="005A0E7A"/>
    <w:rsid w:val="005A28C9"/>
    <w:rsid w:val="005A3C4C"/>
    <w:rsid w:val="005A47F9"/>
    <w:rsid w:val="005A619E"/>
    <w:rsid w:val="005A6664"/>
    <w:rsid w:val="005B0AB7"/>
    <w:rsid w:val="005B11E5"/>
    <w:rsid w:val="005B14EB"/>
    <w:rsid w:val="005B14F2"/>
    <w:rsid w:val="005B54F2"/>
    <w:rsid w:val="005B64D9"/>
    <w:rsid w:val="005B6F50"/>
    <w:rsid w:val="005B798C"/>
    <w:rsid w:val="005B7AF7"/>
    <w:rsid w:val="005C1BC8"/>
    <w:rsid w:val="005C4241"/>
    <w:rsid w:val="005C629B"/>
    <w:rsid w:val="005C7DD0"/>
    <w:rsid w:val="005D12B6"/>
    <w:rsid w:val="005D4AA7"/>
    <w:rsid w:val="005D67DE"/>
    <w:rsid w:val="005E0625"/>
    <w:rsid w:val="005E181C"/>
    <w:rsid w:val="005E30F0"/>
    <w:rsid w:val="005E3167"/>
    <w:rsid w:val="005E3228"/>
    <w:rsid w:val="005E4417"/>
    <w:rsid w:val="005E58A7"/>
    <w:rsid w:val="005F0B89"/>
    <w:rsid w:val="005F0C00"/>
    <w:rsid w:val="005F42F7"/>
    <w:rsid w:val="005F5682"/>
    <w:rsid w:val="005F648A"/>
    <w:rsid w:val="005F7945"/>
    <w:rsid w:val="00603775"/>
    <w:rsid w:val="00604BA5"/>
    <w:rsid w:val="006051E7"/>
    <w:rsid w:val="00605AB3"/>
    <w:rsid w:val="00606295"/>
    <w:rsid w:val="006066CA"/>
    <w:rsid w:val="00612B65"/>
    <w:rsid w:val="006144E3"/>
    <w:rsid w:val="006175FC"/>
    <w:rsid w:val="0061784A"/>
    <w:rsid w:val="00617C40"/>
    <w:rsid w:val="00621488"/>
    <w:rsid w:val="006235ED"/>
    <w:rsid w:val="00624490"/>
    <w:rsid w:val="00625614"/>
    <w:rsid w:val="0063331F"/>
    <w:rsid w:val="006335CD"/>
    <w:rsid w:val="00637A2B"/>
    <w:rsid w:val="006400D4"/>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644F6"/>
    <w:rsid w:val="0067020D"/>
    <w:rsid w:val="00671723"/>
    <w:rsid w:val="00671A94"/>
    <w:rsid w:val="006730D5"/>
    <w:rsid w:val="0067346A"/>
    <w:rsid w:val="00674162"/>
    <w:rsid w:val="00675E46"/>
    <w:rsid w:val="00676A54"/>
    <w:rsid w:val="00677603"/>
    <w:rsid w:val="006777EA"/>
    <w:rsid w:val="0068193F"/>
    <w:rsid w:val="00681BB8"/>
    <w:rsid w:val="00681C07"/>
    <w:rsid w:val="00682AF5"/>
    <w:rsid w:val="0068602D"/>
    <w:rsid w:val="0068796D"/>
    <w:rsid w:val="00690253"/>
    <w:rsid w:val="006907B4"/>
    <w:rsid w:val="00692714"/>
    <w:rsid w:val="00694101"/>
    <w:rsid w:val="006942C0"/>
    <w:rsid w:val="00694527"/>
    <w:rsid w:val="00694561"/>
    <w:rsid w:val="006A0FE4"/>
    <w:rsid w:val="006A6C7D"/>
    <w:rsid w:val="006A6D27"/>
    <w:rsid w:val="006B16DE"/>
    <w:rsid w:val="006B3156"/>
    <w:rsid w:val="006B5BE2"/>
    <w:rsid w:val="006B6C08"/>
    <w:rsid w:val="006B7746"/>
    <w:rsid w:val="006C0E34"/>
    <w:rsid w:val="006D36A8"/>
    <w:rsid w:val="006D38FB"/>
    <w:rsid w:val="006D41DD"/>
    <w:rsid w:val="006D4A24"/>
    <w:rsid w:val="006D61E6"/>
    <w:rsid w:val="006D73F0"/>
    <w:rsid w:val="006E052D"/>
    <w:rsid w:val="006E0D8D"/>
    <w:rsid w:val="006E1592"/>
    <w:rsid w:val="006E3B5A"/>
    <w:rsid w:val="006E7696"/>
    <w:rsid w:val="006E7797"/>
    <w:rsid w:val="006E78D1"/>
    <w:rsid w:val="006F0517"/>
    <w:rsid w:val="006F2492"/>
    <w:rsid w:val="006F34D0"/>
    <w:rsid w:val="006F37B1"/>
    <w:rsid w:val="006F4D37"/>
    <w:rsid w:val="006F5482"/>
    <w:rsid w:val="006F6C23"/>
    <w:rsid w:val="006F7940"/>
    <w:rsid w:val="00700F73"/>
    <w:rsid w:val="00701580"/>
    <w:rsid w:val="00701CC3"/>
    <w:rsid w:val="00702856"/>
    <w:rsid w:val="00702E3F"/>
    <w:rsid w:val="00703456"/>
    <w:rsid w:val="00703842"/>
    <w:rsid w:val="00705D42"/>
    <w:rsid w:val="00706C79"/>
    <w:rsid w:val="00710093"/>
    <w:rsid w:val="0071383F"/>
    <w:rsid w:val="00714401"/>
    <w:rsid w:val="00716480"/>
    <w:rsid w:val="00720B8A"/>
    <w:rsid w:val="007257AE"/>
    <w:rsid w:val="00730D40"/>
    <w:rsid w:val="007310C7"/>
    <w:rsid w:val="0073318F"/>
    <w:rsid w:val="007337F6"/>
    <w:rsid w:val="00734764"/>
    <w:rsid w:val="00735747"/>
    <w:rsid w:val="00741229"/>
    <w:rsid w:val="00742890"/>
    <w:rsid w:val="007432C4"/>
    <w:rsid w:val="00743FDD"/>
    <w:rsid w:val="00744A70"/>
    <w:rsid w:val="0074508E"/>
    <w:rsid w:val="007511BB"/>
    <w:rsid w:val="007536A1"/>
    <w:rsid w:val="00753C29"/>
    <w:rsid w:val="00753FFB"/>
    <w:rsid w:val="007545BE"/>
    <w:rsid w:val="007571F2"/>
    <w:rsid w:val="00761C4D"/>
    <w:rsid w:val="00764E73"/>
    <w:rsid w:val="00766EE3"/>
    <w:rsid w:val="00770B78"/>
    <w:rsid w:val="007716C9"/>
    <w:rsid w:val="00772492"/>
    <w:rsid w:val="0077288A"/>
    <w:rsid w:val="0077410B"/>
    <w:rsid w:val="0077550F"/>
    <w:rsid w:val="00777471"/>
    <w:rsid w:val="00780E9E"/>
    <w:rsid w:val="007818D3"/>
    <w:rsid w:val="00783FC9"/>
    <w:rsid w:val="00784805"/>
    <w:rsid w:val="00785936"/>
    <w:rsid w:val="00785FC2"/>
    <w:rsid w:val="00787F88"/>
    <w:rsid w:val="00787FA1"/>
    <w:rsid w:val="007939B8"/>
    <w:rsid w:val="00795C21"/>
    <w:rsid w:val="00796AE4"/>
    <w:rsid w:val="007A5355"/>
    <w:rsid w:val="007A6451"/>
    <w:rsid w:val="007A7416"/>
    <w:rsid w:val="007A7652"/>
    <w:rsid w:val="007B02BE"/>
    <w:rsid w:val="007B182E"/>
    <w:rsid w:val="007B2684"/>
    <w:rsid w:val="007B73A7"/>
    <w:rsid w:val="007B73E1"/>
    <w:rsid w:val="007C2055"/>
    <w:rsid w:val="007C22C0"/>
    <w:rsid w:val="007C516C"/>
    <w:rsid w:val="007C5741"/>
    <w:rsid w:val="007D0306"/>
    <w:rsid w:val="007D1501"/>
    <w:rsid w:val="007D1932"/>
    <w:rsid w:val="007D1FB9"/>
    <w:rsid w:val="007D32B0"/>
    <w:rsid w:val="007D40B3"/>
    <w:rsid w:val="007D4FFE"/>
    <w:rsid w:val="007E0F16"/>
    <w:rsid w:val="007E1344"/>
    <w:rsid w:val="007E1350"/>
    <w:rsid w:val="007E252F"/>
    <w:rsid w:val="007E6518"/>
    <w:rsid w:val="007E7A17"/>
    <w:rsid w:val="007F2463"/>
    <w:rsid w:val="007F26E2"/>
    <w:rsid w:val="007F6096"/>
    <w:rsid w:val="00801C80"/>
    <w:rsid w:val="00806743"/>
    <w:rsid w:val="00811D8C"/>
    <w:rsid w:val="00815E34"/>
    <w:rsid w:val="00817879"/>
    <w:rsid w:val="00820BDC"/>
    <w:rsid w:val="00820C0E"/>
    <w:rsid w:val="00821BA4"/>
    <w:rsid w:val="00825269"/>
    <w:rsid w:val="00827179"/>
    <w:rsid w:val="00827A4B"/>
    <w:rsid w:val="00831C1E"/>
    <w:rsid w:val="008332FB"/>
    <w:rsid w:val="008333BC"/>
    <w:rsid w:val="00834BCC"/>
    <w:rsid w:val="008353D7"/>
    <w:rsid w:val="00836174"/>
    <w:rsid w:val="00836556"/>
    <w:rsid w:val="00836871"/>
    <w:rsid w:val="008410F3"/>
    <w:rsid w:val="00842D9C"/>
    <w:rsid w:val="00846762"/>
    <w:rsid w:val="00850667"/>
    <w:rsid w:val="0085311D"/>
    <w:rsid w:val="00854C44"/>
    <w:rsid w:val="008563C0"/>
    <w:rsid w:val="00857F6A"/>
    <w:rsid w:val="00862772"/>
    <w:rsid w:val="008635F2"/>
    <w:rsid w:val="00863700"/>
    <w:rsid w:val="00864F39"/>
    <w:rsid w:val="00870E5A"/>
    <w:rsid w:val="00872827"/>
    <w:rsid w:val="00877E85"/>
    <w:rsid w:val="008805E8"/>
    <w:rsid w:val="00882F8B"/>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373D"/>
    <w:rsid w:val="008D54C1"/>
    <w:rsid w:val="008D5CFF"/>
    <w:rsid w:val="008D656C"/>
    <w:rsid w:val="008D7BB8"/>
    <w:rsid w:val="008E09CE"/>
    <w:rsid w:val="008E09EA"/>
    <w:rsid w:val="008E1975"/>
    <w:rsid w:val="008E3477"/>
    <w:rsid w:val="008E436C"/>
    <w:rsid w:val="008E7D03"/>
    <w:rsid w:val="008F4978"/>
    <w:rsid w:val="008F4C7F"/>
    <w:rsid w:val="008F5F3D"/>
    <w:rsid w:val="008F6C78"/>
    <w:rsid w:val="008F6DDD"/>
    <w:rsid w:val="008F6FE6"/>
    <w:rsid w:val="008F722D"/>
    <w:rsid w:val="008F7CE8"/>
    <w:rsid w:val="00900D3F"/>
    <w:rsid w:val="00901FB3"/>
    <w:rsid w:val="00903F1E"/>
    <w:rsid w:val="00905D49"/>
    <w:rsid w:val="009064FF"/>
    <w:rsid w:val="0090660E"/>
    <w:rsid w:val="009108C5"/>
    <w:rsid w:val="009110B9"/>
    <w:rsid w:val="0091410D"/>
    <w:rsid w:val="00915BDE"/>
    <w:rsid w:val="009167E9"/>
    <w:rsid w:val="00920A22"/>
    <w:rsid w:val="0092173F"/>
    <w:rsid w:val="00922051"/>
    <w:rsid w:val="0092270B"/>
    <w:rsid w:val="00923522"/>
    <w:rsid w:val="0092381E"/>
    <w:rsid w:val="00923DEA"/>
    <w:rsid w:val="00925008"/>
    <w:rsid w:val="00925374"/>
    <w:rsid w:val="00925B65"/>
    <w:rsid w:val="0092735A"/>
    <w:rsid w:val="0092797E"/>
    <w:rsid w:val="00930650"/>
    <w:rsid w:val="00931680"/>
    <w:rsid w:val="00937581"/>
    <w:rsid w:val="00937917"/>
    <w:rsid w:val="00937DDE"/>
    <w:rsid w:val="00943377"/>
    <w:rsid w:val="00947099"/>
    <w:rsid w:val="009472A5"/>
    <w:rsid w:val="00947974"/>
    <w:rsid w:val="009534F2"/>
    <w:rsid w:val="00954C30"/>
    <w:rsid w:val="00956A89"/>
    <w:rsid w:val="00956CB2"/>
    <w:rsid w:val="00960564"/>
    <w:rsid w:val="0096317C"/>
    <w:rsid w:val="00964A72"/>
    <w:rsid w:val="0096538C"/>
    <w:rsid w:val="00965D26"/>
    <w:rsid w:val="009660FE"/>
    <w:rsid w:val="009665A3"/>
    <w:rsid w:val="00966EC0"/>
    <w:rsid w:val="00967B5B"/>
    <w:rsid w:val="00970B9C"/>
    <w:rsid w:val="00971836"/>
    <w:rsid w:val="00972036"/>
    <w:rsid w:val="00972CCA"/>
    <w:rsid w:val="00973407"/>
    <w:rsid w:val="00973AC7"/>
    <w:rsid w:val="0097492D"/>
    <w:rsid w:val="00975C9C"/>
    <w:rsid w:val="00980F21"/>
    <w:rsid w:val="00981420"/>
    <w:rsid w:val="009822C4"/>
    <w:rsid w:val="00984C52"/>
    <w:rsid w:val="00985417"/>
    <w:rsid w:val="00990889"/>
    <w:rsid w:val="00990997"/>
    <w:rsid w:val="00991B0C"/>
    <w:rsid w:val="00991BCE"/>
    <w:rsid w:val="00993FC8"/>
    <w:rsid w:val="00996294"/>
    <w:rsid w:val="009A0088"/>
    <w:rsid w:val="009A166A"/>
    <w:rsid w:val="009A1BEB"/>
    <w:rsid w:val="009A1E0A"/>
    <w:rsid w:val="009A2019"/>
    <w:rsid w:val="009A287B"/>
    <w:rsid w:val="009A66F0"/>
    <w:rsid w:val="009A7422"/>
    <w:rsid w:val="009B089A"/>
    <w:rsid w:val="009B2C73"/>
    <w:rsid w:val="009B33E9"/>
    <w:rsid w:val="009B528F"/>
    <w:rsid w:val="009B70D7"/>
    <w:rsid w:val="009C0879"/>
    <w:rsid w:val="009C0C63"/>
    <w:rsid w:val="009C186F"/>
    <w:rsid w:val="009C2A59"/>
    <w:rsid w:val="009C2EFC"/>
    <w:rsid w:val="009C6B00"/>
    <w:rsid w:val="009C7B2B"/>
    <w:rsid w:val="009D0FD9"/>
    <w:rsid w:val="009D3277"/>
    <w:rsid w:val="009D3BD0"/>
    <w:rsid w:val="009D513C"/>
    <w:rsid w:val="009D5E7A"/>
    <w:rsid w:val="009E0520"/>
    <w:rsid w:val="009E09E6"/>
    <w:rsid w:val="009E4832"/>
    <w:rsid w:val="009E570F"/>
    <w:rsid w:val="009E62F2"/>
    <w:rsid w:val="009E6FB5"/>
    <w:rsid w:val="009E73E0"/>
    <w:rsid w:val="009F029C"/>
    <w:rsid w:val="009F1510"/>
    <w:rsid w:val="009F1541"/>
    <w:rsid w:val="009F1A57"/>
    <w:rsid w:val="009F34C2"/>
    <w:rsid w:val="009F40CE"/>
    <w:rsid w:val="009F4345"/>
    <w:rsid w:val="009F4E41"/>
    <w:rsid w:val="009F5CA1"/>
    <w:rsid w:val="009F663E"/>
    <w:rsid w:val="00A0020F"/>
    <w:rsid w:val="00A0108B"/>
    <w:rsid w:val="00A0123D"/>
    <w:rsid w:val="00A01CE2"/>
    <w:rsid w:val="00A02ED0"/>
    <w:rsid w:val="00A02F87"/>
    <w:rsid w:val="00A046F3"/>
    <w:rsid w:val="00A119B9"/>
    <w:rsid w:val="00A1249B"/>
    <w:rsid w:val="00A12A60"/>
    <w:rsid w:val="00A16562"/>
    <w:rsid w:val="00A1660A"/>
    <w:rsid w:val="00A16DFE"/>
    <w:rsid w:val="00A21227"/>
    <w:rsid w:val="00A21392"/>
    <w:rsid w:val="00A22C8A"/>
    <w:rsid w:val="00A23221"/>
    <w:rsid w:val="00A252DF"/>
    <w:rsid w:val="00A26E79"/>
    <w:rsid w:val="00A31A45"/>
    <w:rsid w:val="00A31DE0"/>
    <w:rsid w:val="00A32508"/>
    <w:rsid w:val="00A3568F"/>
    <w:rsid w:val="00A377CD"/>
    <w:rsid w:val="00A379BD"/>
    <w:rsid w:val="00A37D27"/>
    <w:rsid w:val="00A46EA5"/>
    <w:rsid w:val="00A479FB"/>
    <w:rsid w:val="00A52877"/>
    <w:rsid w:val="00A561E8"/>
    <w:rsid w:val="00A56842"/>
    <w:rsid w:val="00A616C5"/>
    <w:rsid w:val="00A61CA3"/>
    <w:rsid w:val="00A63017"/>
    <w:rsid w:val="00A64448"/>
    <w:rsid w:val="00A674F2"/>
    <w:rsid w:val="00A71652"/>
    <w:rsid w:val="00A73818"/>
    <w:rsid w:val="00A73AE2"/>
    <w:rsid w:val="00A73CA7"/>
    <w:rsid w:val="00A7427D"/>
    <w:rsid w:val="00A74F6E"/>
    <w:rsid w:val="00A75B4C"/>
    <w:rsid w:val="00A76CED"/>
    <w:rsid w:val="00A80840"/>
    <w:rsid w:val="00A84216"/>
    <w:rsid w:val="00A8562F"/>
    <w:rsid w:val="00A920A8"/>
    <w:rsid w:val="00A92252"/>
    <w:rsid w:val="00A93494"/>
    <w:rsid w:val="00A9405C"/>
    <w:rsid w:val="00A9418A"/>
    <w:rsid w:val="00A941D2"/>
    <w:rsid w:val="00A953B2"/>
    <w:rsid w:val="00A96F71"/>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37CB"/>
    <w:rsid w:val="00AF059E"/>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23644"/>
    <w:rsid w:val="00B25D75"/>
    <w:rsid w:val="00B25DB5"/>
    <w:rsid w:val="00B26CD5"/>
    <w:rsid w:val="00B301AB"/>
    <w:rsid w:val="00B34D7D"/>
    <w:rsid w:val="00B34F16"/>
    <w:rsid w:val="00B3542A"/>
    <w:rsid w:val="00B35D8E"/>
    <w:rsid w:val="00B36DC9"/>
    <w:rsid w:val="00B372DA"/>
    <w:rsid w:val="00B402E5"/>
    <w:rsid w:val="00B41E48"/>
    <w:rsid w:val="00B467CB"/>
    <w:rsid w:val="00B478FE"/>
    <w:rsid w:val="00B540C3"/>
    <w:rsid w:val="00B54FAB"/>
    <w:rsid w:val="00B5621D"/>
    <w:rsid w:val="00B5673C"/>
    <w:rsid w:val="00B614A5"/>
    <w:rsid w:val="00B62EA7"/>
    <w:rsid w:val="00B636B2"/>
    <w:rsid w:val="00B63F4B"/>
    <w:rsid w:val="00B733C2"/>
    <w:rsid w:val="00B738A1"/>
    <w:rsid w:val="00B75211"/>
    <w:rsid w:val="00B75321"/>
    <w:rsid w:val="00B75665"/>
    <w:rsid w:val="00B77327"/>
    <w:rsid w:val="00B809CD"/>
    <w:rsid w:val="00B81B7F"/>
    <w:rsid w:val="00B826DA"/>
    <w:rsid w:val="00B82A3E"/>
    <w:rsid w:val="00B83FE9"/>
    <w:rsid w:val="00B84823"/>
    <w:rsid w:val="00B853E5"/>
    <w:rsid w:val="00B856A9"/>
    <w:rsid w:val="00B865F9"/>
    <w:rsid w:val="00B87317"/>
    <w:rsid w:val="00B878F8"/>
    <w:rsid w:val="00B91279"/>
    <w:rsid w:val="00B91D02"/>
    <w:rsid w:val="00B929C6"/>
    <w:rsid w:val="00B95263"/>
    <w:rsid w:val="00B97878"/>
    <w:rsid w:val="00BA2E15"/>
    <w:rsid w:val="00BA38E7"/>
    <w:rsid w:val="00BA4898"/>
    <w:rsid w:val="00BA5D4B"/>
    <w:rsid w:val="00BA6CC9"/>
    <w:rsid w:val="00BB1AC1"/>
    <w:rsid w:val="00BB2199"/>
    <w:rsid w:val="00BC1D80"/>
    <w:rsid w:val="00BC1EA5"/>
    <w:rsid w:val="00BC1F5B"/>
    <w:rsid w:val="00BC3915"/>
    <w:rsid w:val="00BC39BA"/>
    <w:rsid w:val="00BC560D"/>
    <w:rsid w:val="00BC5C52"/>
    <w:rsid w:val="00BC6E26"/>
    <w:rsid w:val="00BC72DB"/>
    <w:rsid w:val="00BD02E3"/>
    <w:rsid w:val="00BD062F"/>
    <w:rsid w:val="00BD5C71"/>
    <w:rsid w:val="00BE0066"/>
    <w:rsid w:val="00BE144B"/>
    <w:rsid w:val="00BE2F2C"/>
    <w:rsid w:val="00BE316C"/>
    <w:rsid w:val="00BE4617"/>
    <w:rsid w:val="00BE5619"/>
    <w:rsid w:val="00BE56E6"/>
    <w:rsid w:val="00BE7481"/>
    <w:rsid w:val="00BF0B16"/>
    <w:rsid w:val="00BF1068"/>
    <w:rsid w:val="00BF2461"/>
    <w:rsid w:val="00BF25EB"/>
    <w:rsid w:val="00BF27B6"/>
    <w:rsid w:val="00BF5A24"/>
    <w:rsid w:val="00C00BD1"/>
    <w:rsid w:val="00C00C48"/>
    <w:rsid w:val="00C019AA"/>
    <w:rsid w:val="00C067AB"/>
    <w:rsid w:val="00C100E2"/>
    <w:rsid w:val="00C10E75"/>
    <w:rsid w:val="00C11DE8"/>
    <w:rsid w:val="00C12947"/>
    <w:rsid w:val="00C150A0"/>
    <w:rsid w:val="00C1532D"/>
    <w:rsid w:val="00C162A7"/>
    <w:rsid w:val="00C224F7"/>
    <w:rsid w:val="00C22A46"/>
    <w:rsid w:val="00C237AC"/>
    <w:rsid w:val="00C2430B"/>
    <w:rsid w:val="00C3009A"/>
    <w:rsid w:val="00C338BF"/>
    <w:rsid w:val="00C349EA"/>
    <w:rsid w:val="00C358EC"/>
    <w:rsid w:val="00C3691B"/>
    <w:rsid w:val="00C4059A"/>
    <w:rsid w:val="00C410D2"/>
    <w:rsid w:val="00C414F9"/>
    <w:rsid w:val="00C421E1"/>
    <w:rsid w:val="00C42931"/>
    <w:rsid w:val="00C42BA4"/>
    <w:rsid w:val="00C43B58"/>
    <w:rsid w:val="00C506B5"/>
    <w:rsid w:val="00C51FBF"/>
    <w:rsid w:val="00C53358"/>
    <w:rsid w:val="00C56208"/>
    <w:rsid w:val="00C61094"/>
    <w:rsid w:val="00C61725"/>
    <w:rsid w:val="00C62EBC"/>
    <w:rsid w:val="00C6389C"/>
    <w:rsid w:val="00C64FE4"/>
    <w:rsid w:val="00C65BF3"/>
    <w:rsid w:val="00C720E1"/>
    <w:rsid w:val="00C7220B"/>
    <w:rsid w:val="00C73F1F"/>
    <w:rsid w:val="00C75272"/>
    <w:rsid w:val="00C829AF"/>
    <w:rsid w:val="00C82BD0"/>
    <w:rsid w:val="00C8416C"/>
    <w:rsid w:val="00C84694"/>
    <w:rsid w:val="00C8578D"/>
    <w:rsid w:val="00C8784A"/>
    <w:rsid w:val="00C90686"/>
    <w:rsid w:val="00C907FB"/>
    <w:rsid w:val="00C909E6"/>
    <w:rsid w:val="00C93313"/>
    <w:rsid w:val="00C943A5"/>
    <w:rsid w:val="00C96E2B"/>
    <w:rsid w:val="00C978E3"/>
    <w:rsid w:val="00C97915"/>
    <w:rsid w:val="00C97BCD"/>
    <w:rsid w:val="00CA1ED9"/>
    <w:rsid w:val="00CA350B"/>
    <w:rsid w:val="00CA3EBF"/>
    <w:rsid w:val="00CA3F47"/>
    <w:rsid w:val="00CA73C4"/>
    <w:rsid w:val="00CA75AC"/>
    <w:rsid w:val="00CB0E24"/>
    <w:rsid w:val="00CB2297"/>
    <w:rsid w:val="00CB2CA6"/>
    <w:rsid w:val="00CB57CE"/>
    <w:rsid w:val="00CB6194"/>
    <w:rsid w:val="00CB737A"/>
    <w:rsid w:val="00CC1C3A"/>
    <w:rsid w:val="00CC2381"/>
    <w:rsid w:val="00CC3070"/>
    <w:rsid w:val="00CC37D4"/>
    <w:rsid w:val="00CD71E8"/>
    <w:rsid w:val="00CE0A32"/>
    <w:rsid w:val="00CE1627"/>
    <w:rsid w:val="00CE1850"/>
    <w:rsid w:val="00CE262D"/>
    <w:rsid w:val="00CE30B1"/>
    <w:rsid w:val="00CE3528"/>
    <w:rsid w:val="00CE4F73"/>
    <w:rsid w:val="00CE5986"/>
    <w:rsid w:val="00CE5A5A"/>
    <w:rsid w:val="00CE5BDF"/>
    <w:rsid w:val="00CE5D9E"/>
    <w:rsid w:val="00CE7ECA"/>
    <w:rsid w:val="00CF06D9"/>
    <w:rsid w:val="00CF1155"/>
    <w:rsid w:val="00CF12A6"/>
    <w:rsid w:val="00CF197F"/>
    <w:rsid w:val="00CF1EB2"/>
    <w:rsid w:val="00CF3BDE"/>
    <w:rsid w:val="00CF4158"/>
    <w:rsid w:val="00CF5A87"/>
    <w:rsid w:val="00CF7204"/>
    <w:rsid w:val="00CF7C56"/>
    <w:rsid w:val="00D0175D"/>
    <w:rsid w:val="00D02330"/>
    <w:rsid w:val="00D031F1"/>
    <w:rsid w:val="00D032D8"/>
    <w:rsid w:val="00D03BE6"/>
    <w:rsid w:val="00D03C48"/>
    <w:rsid w:val="00D049F1"/>
    <w:rsid w:val="00D04E41"/>
    <w:rsid w:val="00D1000B"/>
    <w:rsid w:val="00D11269"/>
    <w:rsid w:val="00D11E81"/>
    <w:rsid w:val="00D13DCE"/>
    <w:rsid w:val="00D15510"/>
    <w:rsid w:val="00D176A2"/>
    <w:rsid w:val="00D20075"/>
    <w:rsid w:val="00D23AFB"/>
    <w:rsid w:val="00D24C05"/>
    <w:rsid w:val="00D25DE3"/>
    <w:rsid w:val="00D2754A"/>
    <w:rsid w:val="00D315C0"/>
    <w:rsid w:val="00D31D87"/>
    <w:rsid w:val="00D323B4"/>
    <w:rsid w:val="00D34C37"/>
    <w:rsid w:val="00D34E39"/>
    <w:rsid w:val="00D3534C"/>
    <w:rsid w:val="00D354F4"/>
    <w:rsid w:val="00D3552A"/>
    <w:rsid w:val="00D4002E"/>
    <w:rsid w:val="00D40CEC"/>
    <w:rsid w:val="00D41738"/>
    <w:rsid w:val="00D433B3"/>
    <w:rsid w:val="00D443CC"/>
    <w:rsid w:val="00D46894"/>
    <w:rsid w:val="00D46FBE"/>
    <w:rsid w:val="00D507F4"/>
    <w:rsid w:val="00D52BE8"/>
    <w:rsid w:val="00D55C10"/>
    <w:rsid w:val="00D579A2"/>
    <w:rsid w:val="00D600B3"/>
    <w:rsid w:val="00D73B09"/>
    <w:rsid w:val="00D74DAA"/>
    <w:rsid w:val="00D75C7C"/>
    <w:rsid w:val="00D761F0"/>
    <w:rsid w:val="00D76A57"/>
    <w:rsid w:val="00D772DE"/>
    <w:rsid w:val="00D86F5E"/>
    <w:rsid w:val="00D906EB"/>
    <w:rsid w:val="00D914A6"/>
    <w:rsid w:val="00D92C31"/>
    <w:rsid w:val="00D92FC9"/>
    <w:rsid w:val="00D9330F"/>
    <w:rsid w:val="00D944E2"/>
    <w:rsid w:val="00D950F2"/>
    <w:rsid w:val="00DA03D7"/>
    <w:rsid w:val="00DA1387"/>
    <w:rsid w:val="00DA220C"/>
    <w:rsid w:val="00DA37C6"/>
    <w:rsid w:val="00DA4E23"/>
    <w:rsid w:val="00DA5F14"/>
    <w:rsid w:val="00DA63B8"/>
    <w:rsid w:val="00DA6860"/>
    <w:rsid w:val="00DB0858"/>
    <w:rsid w:val="00DB097C"/>
    <w:rsid w:val="00DB14BB"/>
    <w:rsid w:val="00DB26F2"/>
    <w:rsid w:val="00DB5C83"/>
    <w:rsid w:val="00DB5F70"/>
    <w:rsid w:val="00DB60F3"/>
    <w:rsid w:val="00DB7E76"/>
    <w:rsid w:val="00DC1ACB"/>
    <w:rsid w:val="00DC2510"/>
    <w:rsid w:val="00DC59C1"/>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238B"/>
    <w:rsid w:val="00E03597"/>
    <w:rsid w:val="00E06D2A"/>
    <w:rsid w:val="00E1169E"/>
    <w:rsid w:val="00E119A2"/>
    <w:rsid w:val="00E12DE5"/>
    <w:rsid w:val="00E16FDA"/>
    <w:rsid w:val="00E20573"/>
    <w:rsid w:val="00E20A47"/>
    <w:rsid w:val="00E2309E"/>
    <w:rsid w:val="00E23A44"/>
    <w:rsid w:val="00E23B0B"/>
    <w:rsid w:val="00E23C4C"/>
    <w:rsid w:val="00E31994"/>
    <w:rsid w:val="00E3316F"/>
    <w:rsid w:val="00E34558"/>
    <w:rsid w:val="00E35197"/>
    <w:rsid w:val="00E3629C"/>
    <w:rsid w:val="00E37CB1"/>
    <w:rsid w:val="00E37EBB"/>
    <w:rsid w:val="00E41A39"/>
    <w:rsid w:val="00E439DF"/>
    <w:rsid w:val="00E44356"/>
    <w:rsid w:val="00E44DE9"/>
    <w:rsid w:val="00E464F5"/>
    <w:rsid w:val="00E50D5B"/>
    <w:rsid w:val="00E51231"/>
    <w:rsid w:val="00E512B9"/>
    <w:rsid w:val="00E53DE5"/>
    <w:rsid w:val="00E57433"/>
    <w:rsid w:val="00E639CA"/>
    <w:rsid w:val="00E63A45"/>
    <w:rsid w:val="00E63B7F"/>
    <w:rsid w:val="00E63E72"/>
    <w:rsid w:val="00E651B5"/>
    <w:rsid w:val="00E66CEB"/>
    <w:rsid w:val="00E67C7F"/>
    <w:rsid w:val="00E706BC"/>
    <w:rsid w:val="00E7154B"/>
    <w:rsid w:val="00E7336B"/>
    <w:rsid w:val="00E73BA7"/>
    <w:rsid w:val="00E80FB5"/>
    <w:rsid w:val="00E829A1"/>
    <w:rsid w:val="00E835C3"/>
    <w:rsid w:val="00E839B5"/>
    <w:rsid w:val="00E85D20"/>
    <w:rsid w:val="00E86942"/>
    <w:rsid w:val="00E90521"/>
    <w:rsid w:val="00E92BD2"/>
    <w:rsid w:val="00E93428"/>
    <w:rsid w:val="00E93C5B"/>
    <w:rsid w:val="00E94D01"/>
    <w:rsid w:val="00E955BC"/>
    <w:rsid w:val="00EA42EC"/>
    <w:rsid w:val="00EA5D5C"/>
    <w:rsid w:val="00EB2242"/>
    <w:rsid w:val="00EB37C3"/>
    <w:rsid w:val="00EB3F04"/>
    <w:rsid w:val="00EC3092"/>
    <w:rsid w:val="00EC4C1B"/>
    <w:rsid w:val="00EC4EE9"/>
    <w:rsid w:val="00EC5321"/>
    <w:rsid w:val="00EC5715"/>
    <w:rsid w:val="00EC64FA"/>
    <w:rsid w:val="00EC6583"/>
    <w:rsid w:val="00EC6897"/>
    <w:rsid w:val="00EC6B9A"/>
    <w:rsid w:val="00ED1C74"/>
    <w:rsid w:val="00ED2C35"/>
    <w:rsid w:val="00ED4FF9"/>
    <w:rsid w:val="00ED7CAE"/>
    <w:rsid w:val="00EE0DCE"/>
    <w:rsid w:val="00EE35C1"/>
    <w:rsid w:val="00EE3A55"/>
    <w:rsid w:val="00EE5A55"/>
    <w:rsid w:val="00EE6555"/>
    <w:rsid w:val="00EE6B9C"/>
    <w:rsid w:val="00EF0449"/>
    <w:rsid w:val="00EF2D7C"/>
    <w:rsid w:val="00EF3D53"/>
    <w:rsid w:val="00EF5EB2"/>
    <w:rsid w:val="00EF623F"/>
    <w:rsid w:val="00EF6BB0"/>
    <w:rsid w:val="00F0018D"/>
    <w:rsid w:val="00F02070"/>
    <w:rsid w:val="00F02945"/>
    <w:rsid w:val="00F02CC2"/>
    <w:rsid w:val="00F02F82"/>
    <w:rsid w:val="00F02FB9"/>
    <w:rsid w:val="00F04785"/>
    <w:rsid w:val="00F04914"/>
    <w:rsid w:val="00F05490"/>
    <w:rsid w:val="00F054A4"/>
    <w:rsid w:val="00F06CBB"/>
    <w:rsid w:val="00F06E4E"/>
    <w:rsid w:val="00F07049"/>
    <w:rsid w:val="00F10BD6"/>
    <w:rsid w:val="00F11D60"/>
    <w:rsid w:val="00F1651B"/>
    <w:rsid w:val="00F16792"/>
    <w:rsid w:val="00F2284D"/>
    <w:rsid w:val="00F22F32"/>
    <w:rsid w:val="00F23292"/>
    <w:rsid w:val="00F2373C"/>
    <w:rsid w:val="00F2523B"/>
    <w:rsid w:val="00F25C6F"/>
    <w:rsid w:val="00F27D2C"/>
    <w:rsid w:val="00F30AAA"/>
    <w:rsid w:val="00F32BC2"/>
    <w:rsid w:val="00F33E38"/>
    <w:rsid w:val="00F3645E"/>
    <w:rsid w:val="00F36FB3"/>
    <w:rsid w:val="00F37420"/>
    <w:rsid w:val="00F4020C"/>
    <w:rsid w:val="00F43605"/>
    <w:rsid w:val="00F473C7"/>
    <w:rsid w:val="00F47B3B"/>
    <w:rsid w:val="00F50765"/>
    <w:rsid w:val="00F52E1F"/>
    <w:rsid w:val="00F53299"/>
    <w:rsid w:val="00F550E7"/>
    <w:rsid w:val="00F55EF6"/>
    <w:rsid w:val="00F56C1B"/>
    <w:rsid w:val="00F600EB"/>
    <w:rsid w:val="00F603C2"/>
    <w:rsid w:val="00F6186B"/>
    <w:rsid w:val="00F6275D"/>
    <w:rsid w:val="00F64279"/>
    <w:rsid w:val="00F65597"/>
    <w:rsid w:val="00F66111"/>
    <w:rsid w:val="00F66117"/>
    <w:rsid w:val="00F6635A"/>
    <w:rsid w:val="00F720AA"/>
    <w:rsid w:val="00F7348C"/>
    <w:rsid w:val="00F74418"/>
    <w:rsid w:val="00F75963"/>
    <w:rsid w:val="00F76EC6"/>
    <w:rsid w:val="00F804F1"/>
    <w:rsid w:val="00F824D0"/>
    <w:rsid w:val="00F82BBF"/>
    <w:rsid w:val="00F835EF"/>
    <w:rsid w:val="00F8599C"/>
    <w:rsid w:val="00F8691B"/>
    <w:rsid w:val="00F90798"/>
    <w:rsid w:val="00F95259"/>
    <w:rsid w:val="00F96EDF"/>
    <w:rsid w:val="00FA1172"/>
    <w:rsid w:val="00FA2117"/>
    <w:rsid w:val="00FA3994"/>
    <w:rsid w:val="00FA3F96"/>
    <w:rsid w:val="00FA4099"/>
    <w:rsid w:val="00FA66EA"/>
    <w:rsid w:val="00FA6DD7"/>
    <w:rsid w:val="00FA749C"/>
    <w:rsid w:val="00FA7F63"/>
    <w:rsid w:val="00FB47BD"/>
    <w:rsid w:val="00FC395A"/>
    <w:rsid w:val="00FC46E6"/>
    <w:rsid w:val="00FC4DA0"/>
    <w:rsid w:val="00FC5C7D"/>
    <w:rsid w:val="00FC682F"/>
    <w:rsid w:val="00FD0ECB"/>
    <w:rsid w:val="00FD109B"/>
    <w:rsid w:val="00FD1BF5"/>
    <w:rsid w:val="00FD22A0"/>
    <w:rsid w:val="00FD30AF"/>
    <w:rsid w:val="00FD3E98"/>
    <w:rsid w:val="00FD46D3"/>
    <w:rsid w:val="00FD4FBC"/>
    <w:rsid w:val="00FD76EE"/>
    <w:rsid w:val="00FE0059"/>
    <w:rsid w:val="00FE095E"/>
    <w:rsid w:val="00FE2806"/>
    <w:rsid w:val="00FE30B7"/>
    <w:rsid w:val="00FE4DB8"/>
    <w:rsid w:val="00FE76A7"/>
    <w:rsid w:val="00FF00A5"/>
    <w:rsid w:val="00FF1968"/>
    <w:rsid w:val="00FF29F5"/>
    <w:rsid w:val="00FF3383"/>
    <w:rsid w:val="00FF36AD"/>
    <w:rsid w:val="00FF3F45"/>
    <w:rsid w:val="00FF47B4"/>
    <w:rsid w:val="00FF4D05"/>
    <w:rsid w:val="00FF73BF"/>
    <w:rsid w:val="00FF7E0A"/>
    <w:rsid w:val="01281A93"/>
    <w:rsid w:val="0222795D"/>
    <w:rsid w:val="02613142"/>
    <w:rsid w:val="0273086B"/>
    <w:rsid w:val="02B33080"/>
    <w:rsid w:val="03516C2A"/>
    <w:rsid w:val="03985C7D"/>
    <w:rsid w:val="039A405D"/>
    <w:rsid w:val="03D72DE7"/>
    <w:rsid w:val="0659602B"/>
    <w:rsid w:val="068124F2"/>
    <w:rsid w:val="074E7CE2"/>
    <w:rsid w:val="080028EE"/>
    <w:rsid w:val="08FD0388"/>
    <w:rsid w:val="09630D8D"/>
    <w:rsid w:val="09C36AAE"/>
    <w:rsid w:val="09C71513"/>
    <w:rsid w:val="09D300D1"/>
    <w:rsid w:val="0D7B6C02"/>
    <w:rsid w:val="0E0D23EB"/>
    <w:rsid w:val="0ECC3050"/>
    <w:rsid w:val="0F582669"/>
    <w:rsid w:val="0FB466B0"/>
    <w:rsid w:val="10F15F0A"/>
    <w:rsid w:val="1250401C"/>
    <w:rsid w:val="132035A6"/>
    <w:rsid w:val="14B552DF"/>
    <w:rsid w:val="152F2F86"/>
    <w:rsid w:val="15504ADB"/>
    <w:rsid w:val="15C3022F"/>
    <w:rsid w:val="16717AC5"/>
    <w:rsid w:val="16E24139"/>
    <w:rsid w:val="170F0C33"/>
    <w:rsid w:val="17F75C92"/>
    <w:rsid w:val="1A6E1B33"/>
    <w:rsid w:val="1B2B5C4C"/>
    <w:rsid w:val="1B5B21F6"/>
    <w:rsid w:val="1C3B44E8"/>
    <w:rsid w:val="1C491577"/>
    <w:rsid w:val="1D157D7A"/>
    <w:rsid w:val="1D78034B"/>
    <w:rsid w:val="1F2C732E"/>
    <w:rsid w:val="1FAA075C"/>
    <w:rsid w:val="202F42EB"/>
    <w:rsid w:val="205C3196"/>
    <w:rsid w:val="21964DFD"/>
    <w:rsid w:val="229C7444"/>
    <w:rsid w:val="244A4C96"/>
    <w:rsid w:val="247513A1"/>
    <w:rsid w:val="24FC7F7D"/>
    <w:rsid w:val="25344C05"/>
    <w:rsid w:val="27394EB2"/>
    <w:rsid w:val="27B02A42"/>
    <w:rsid w:val="27C945D2"/>
    <w:rsid w:val="281E70EA"/>
    <w:rsid w:val="290F13E3"/>
    <w:rsid w:val="29376496"/>
    <w:rsid w:val="29732D2A"/>
    <w:rsid w:val="2BDC13E8"/>
    <w:rsid w:val="2E3008BC"/>
    <w:rsid w:val="2E9928E0"/>
    <w:rsid w:val="2EB95886"/>
    <w:rsid w:val="2EBE6008"/>
    <w:rsid w:val="2F9E1B21"/>
    <w:rsid w:val="2FD7696A"/>
    <w:rsid w:val="32B72893"/>
    <w:rsid w:val="32D71C99"/>
    <w:rsid w:val="32FC5E04"/>
    <w:rsid w:val="34820AFC"/>
    <w:rsid w:val="34F70A50"/>
    <w:rsid w:val="36540AFD"/>
    <w:rsid w:val="373C7CDF"/>
    <w:rsid w:val="37BE7040"/>
    <w:rsid w:val="39477140"/>
    <w:rsid w:val="39A4566F"/>
    <w:rsid w:val="3B910921"/>
    <w:rsid w:val="3BCD4780"/>
    <w:rsid w:val="3D593E8C"/>
    <w:rsid w:val="3DAF1262"/>
    <w:rsid w:val="3DF2646A"/>
    <w:rsid w:val="3F922DB8"/>
    <w:rsid w:val="4039719F"/>
    <w:rsid w:val="40FE18D7"/>
    <w:rsid w:val="42834427"/>
    <w:rsid w:val="42A61B46"/>
    <w:rsid w:val="43312BF2"/>
    <w:rsid w:val="435F2301"/>
    <w:rsid w:val="45E1184B"/>
    <w:rsid w:val="4628592D"/>
    <w:rsid w:val="474006AF"/>
    <w:rsid w:val="47C35C56"/>
    <w:rsid w:val="480E2214"/>
    <w:rsid w:val="48B81E35"/>
    <w:rsid w:val="4BD25F52"/>
    <w:rsid w:val="4DC2042B"/>
    <w:rsid w:val="4EA10878"/>
    <w:rsid w:val="4F3D7F84"/>
    <w:rsid w:val="4F755271"/>
    <w:rsid w:val="4FBE7BEA"/>
    <w:rsid w:val="50D80FF9"/>
    <w:rsid w:val="52631353"/>
    <w:rsid w:val="532C691E"/>
    <w:rsid w:val="549C276A"/>
    <w:rsid w:val="58192794"/>
    <w:rsid w:val="582A78DF"/>
    <w:rsid w:val="59893102"/>
    <w:rsid w:val="59E648CF"/>
    <w:rsid w:val="5B4F2CD5"/>
    <w:rsid w:val="5B6414CE"/>
    <w:rsid w:val="5B9C247D"/>
    <w:rsid w:val="5C603089"/>
    <w:rsid w:val="5DCB066D"/>
    <w:rsid w:val="5E52066F"/>
    <w:rsid w:val="5F8B10A0"/>
    <w:rsid w:val="5F8F47E3"/>
    <w:rsid w:val="613715C7"/>
    <w:rsid w:val="626A3A22"/>
    <w:rsid w:val="63E00724"/>
    <w:rsid w:val="63E367BB"/>
    <w:rsid w:val="6478698A"/>
    <w:rsid w:val="654710AE"/>
    <w:rsid w:val="65B00BC4"/>
    <w:rsid w:val="65C22B34"/>
    <w:rsid w:val="66427ABE"/>
    <w:rsid w:val="66C343CE"/>
    <w:rsid w:val="67440CAB"/>
    <w:rsid w:val="678A5E57"/>
    <w:rsid w:val="68C61866"/>
    <w:rsid w:val="698473D1"/>
    <w:rsid w:val="6B0D446E"/>
    <w:rsid w:val="6B7016C1"/>
    <w:rsid w:val="6BE712D3"/>
    <w:rsid w:val="6CE526ED"/>
    <w:rsid w:val="6E7A1830"/>
    <w:rsid w:val="6EB54C74"/>
    <w:rsid w:val="6ECE3EA8"/>
    <w:rsid w:val="6F0C3B6A"/>
    <w:rsid w:val="6F8F163C"/>
    <w:rsid w:val="71BD2C85"/>
    <w:rsid w:val="71C02CF2"/>
    <w:rsid w:val="7257796A"/>
    <w:rsid w:val="72F86392"/>
    <w:rsid w:val="73CC7126"/>
    <w:rsid w:val="74F27BCC"/>
    <w:rsid w:val="77B46F9E"/>
    <w:rsid w:val="7A2C6801"/>
    <w:rsid w:val="7A2E4B0E"/>
    <w:rsid w:val="7BD101DF"/>
    <w:rsid w:val="7CC22809"/>
    <w:rsid w:val="7D477A62"/>
    <w:rsid w:val="7F7D5F87"/>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6"/>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38"/>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5"/>
    <w:qFormat/>
    <w:uiPriority w:val="0"/>
    <w:pPr>
      <w:keepNext/>
      <w:keepLines/>
      <w:spacing w:before="260" w:after="260" w:line="413" w:lineRule="auto"/>
      <w:outlineLvl w:val="2"/>
    </w:pPr>
    <w:rPr>
      <w:kern w:val="0"/>
      <w:sz w:val="28"/>
      <w:szCs w:val="20"/>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1"/>
    <w:qFormat/>
    <w:uiPriority w:val="0"/>
    <w:rPr>
      <w:rFonts w:ascii="宋体"/>
      <w:sz w:val="18"/>
      <w:szCs w:val="18"/>
    </w:rPr>
  </w:style>
  <w:style w:type="paragraph" w:styleId="8">
    <w:name w:val="annotation text"/>
    <w:basedOn w:val="1"/>
    <w:link w:val="29"/>
    <w:qFormat/>
    <w:uiPriority w:val="99"/>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0"/>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ind w:left="840" w:leftChars="400"/>
    </w:pPr>
  </w:style>
  <w:style w:type="paragraph" w:styleId="13">
    <w:name w:val="Plain Text"/>
    <w:basedOn w:val="1"/>
    <w:link w:val="47"/>
    <w:qFormat/>
    <w:uiPriority w:val="0"/>
    <w:pPr>
      <w:adjustRightInd w:val="0"/>
      <w:spacing w:line="312" w:lineRule="atLeast"/>
      <w:textAlignment w:val="baseline"/>
    </w:pPr>
    <w:rPr>
      <w:rFonts w:ascii="宋体" w:hAnsi="Courier New"/>
    </w:rPr>
  </w:style>
  <w:style w:type="paragraph" w:styleId="14">
    <w:name w:val="toc 8"/>
    <w:basedOn w:val="1"/>
    <w:next w:val="1"/>
    <w:qFormat/>
    <w:uiPriority w:val="0"/>
    <w:pPr>
      <w:ind w:left="2940" w:leftChars="1400"/>
    </w:pPr>
  </w:style>
  <w:style w:type="paragraph" w:styleId="15">
    <w:name w:val="Balloon Text"/>
    <w:basedOn w:val="1"/>
    <w:link w:val="3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Body Text Indent 3"/>
    <w:basedOn w:val="1"/>
    <w:link w:val="39"/>
    <w:qFormat/>
    <w:uiPriority w:val="0"/>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toc 9"/>
    <w:basedOn w:val="1"/>
    <w:next w:val="1"/>
    <w:qFormat/>
    <w:uiPriority w:val="0"/>
    <w:pPr>
      <w:ind w:left="3360" w:leftChars="1600"/>
    </w:pPr>
  </w:style>
  <w:style w:type="paragraph" w:styleId="24">
    <w:name w:val="annotation subject"/>
    <w:basedOn w:val="8"/>
    <w:next w:val="8"/>
    <w:link w:val="30"/>
    <w:qFormat/>
    <w:uiPriority w:val="0"/>
    <w:rPr>
      <w:rFonts w:ascii="Times New Roman" w:hAnsi="Times New Roman"/>
      <w:b/>
      <w:bCs/>
      <w:szCs w:val="24"/>
    </w:rPr>
  </w:style>
  <w:style w:type="character" w:styleId="27">
    <w:name w:val="Hyperlink"/>
    <w:unhideWhenUsed/>
    <w:qFormat/>
    <w:uiPriority w:val="99"/>
    <w:rPr>
      <w:color w:val="0000FF"/>
      <w:u w:val="single"/>
    </w:rPr>
  </w:style>
  <w:style w:type="character" w:styleId="28">
    <w:name w:val="annotation reference"/>
    <w:qFormat/>
    <w:uiPriority w:val="99"/>
    <w:rPr>
      <w:sz w:val="21"/>
      <w:szCs w:val="21"/>
    </w:rPr>
  </w:style>
  <w:style w:type="character" w:customStyle="1" w:styleId="29">
    <w:name w:val="批注文字 Char"/>
    <w:link w:val="8"/>
    <w:qFormat/>
    <w:uiPriority w:val="99"/>
    <w:rPr>
      <w:rFonts w:ascii="Calibri" w:hAnsi="Calibri"/>
      <w:kern w:val="2"/>
      <w:sz w:val="21"/>
      <w:szCs w:val="22"/>
    </w:rPr>
  </w:style>
  <w:style w:type="character" w:customStyle="1" w:styleId="30">
    <w:name w:val="批注主题 Char"/>
    <w:basedOn w:val="29"/>
    <w:link w:val="24"/>
    <w:qFormat/>
    <w:uiPriority w:val="0"/>
    <w:rPr>
      <w:rFonts w:ascii="Calibri" w:hAnsi="Calibri"/>
      <w:kern w:val="2"/>
      <w:sz w:val="21"/>
      <w:szCs w:val="22"/>
    </w:rPr>
  </w:style>
  <w:style w:type="character" w:customStyle="1" w:styleId="31">
    <w:name w:val="文档结构图 Char"/>
    <w:link w:val="7"/>
    <w:qFormat/>
    <w:uiPriority w:val="0"/>
    <w:rPr>
      <w:rFonts w:ascii="宋体"/>
      <w:kern w:val="2"/>
      <w:sz w:val="18"/>
      <w:szCs w:val="18"/>
    </w:rPr>
  </w:style>
  <w:style w:type="character" w:customStyle="1" w:styleId="32">
    <w:name w:val="批注框文本 Char"/>
    <w:link w:val="15"/>
    <w:qFormat/>
    <w:uiPriority w:val="0"/>
    <w:rPr>
      <w:kern w:val="2"/>
      <w:sz w:val="18"/>
      <w:szCs w:val="18"/>
    </w:rPr>
  </w:style>
  <w:style w:type="character" w:customStyle="1" w:styleId="33">
    <w:name w:val="1101 Char"/>
    <w:link w:val="34"/>
    <w:qFormat/>
    <w:uiPriority w:val="0"/>
    <w:rPr>
      <w:rFonts w:ascii="宋体" w:hAnsi="宋体" w:cs="宋体"/>
      <w:kern w:val="2"/>
      <w:sz w:val="28"/>
      <w:szCs w:val="28"/>
    </w:rPr>
  </w:style>
  <w:style w:type="paragraph" w:customStyle="1" w:styleId="34">
    <w:name w:val="1101"/>
    <w:basedOn w:val="1"/>
    <w:link w:val="33"/>
    <w:qFormat/>
    <w:uiPriority w:val="0"/>
    <w:pPr>
      <w:ind w:firstLine="560" w:firstLineChars="200"/>
      <w:jc w:val="left"/>
    </w:pPr>
    <w:rPr>
      <w:rFonts w:ascii="宋体" w:hAnsi="宋体"/>
      <w:sz w:val="28"/>
      <w:szCs w:val="28"/>
    </w:rPr>
  </w:style>
  <w:style w:type="character" w:customStyle="1" w:styleId="35">
    <w:name w:val="标题 3 Char"/>
    <w:link w:val="5"/>
    <w:qFormat/>
    <w:uiPriority w:val="0"/>
    <w:rPr>
      <w:rFonts w:eastAsia="宋体"/>
      <w:sz w:val="28"/>
    </w:rPr>
  </w:style>
  <w:style w:type="character" w:customStyle="1" w:styleId="36">
    <w:name w:val="标题 1 Char"/>
    <w:link w:val="2"/>
    <w:qFormat/>
    <w:uiPriority w:val="0"/>
    <w:rPr>
      <w:rFonts w:ascii="Times New Roman" w:hAnsi="Times New Roman" w:eastAsia="宋体"/>
      <w:b/>
      <w:kern w:val="44"/>
      <w:sz w:val="28"/>
      <w:szCs w:val="20"/>
    </w:rPr>
  </w:style>
  <w:style w:type="character" w:customStyle="1" w:styleId="37">
    <w:name w:val="正文文本缩进 Char"/>
    <w:basedOn w:val="26"/>
    <w:qFormat/>
    <w:uiPriority w:val="0"/>
    <w:rPr>
      <w:kern w:val="2"/>
      <w:sz w:val="21"/>
      <w:szCs w:val="24"/>
    </w:rPr>
  </w:style>
  <w:style w:type="character" w:customStyle="1" w:styleId="38">
    <w:name w:val="标题 2 Char"/>
    <w:link w:val="4"/>
    <w:qFormat/>
    <w:uiPriority w:val="0"/>
    <w:rPr>
      <w:rFonts w:ascii="Arial" w:hAnsi="Arial" w:eastAsia="宋体"/>
      <w:sz w:val="28"/>
      <w:szCs w:val="20"/>
    </w:rPr>
  </w:style>
  <w:style w:type="character" w:customStyle="1" w:styleId="39">
    <w:name w:val="正文文本缩进 3 Char"/>
    <w:link w:val="21"/>
    <w:qFormat/>
    <w:uiPriority w:val="0"/>
    <w:rPr>
      <w:kern w:val="2"/>
      <w:sz w:val="16"/>
      <w:szCs w:val="16"/>
    </w:rPr>
  </w:style>
  <w:style w:type="character" w:customStyle="1" w:styleId="40">
    <w:name w:val="正文文本缩进 Char1"/>
    <w:basedOn w:val="26"/>
    <w:link w:val="10"/>
    <w:qFormat/>
    <w:uiPriority w:val="0"/>
    <w:rPr>
      <w:kern w:val="2"/>
      <w:sz w:val="21"/>
      <w:szCs w:val="24"/>
    </w:rPr>
  </w:style>
  <w:style w:type="paragraph" w:customStyle="1" w:styleId="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2">
    <w:name w:val="纯文本1"/>
    <w:basedOn w:val="1"/>
    <w:qFormat/>
    <w:uiPriority w:val="0"/>
    <w:rPr>
      <w:rFonts w:ascii="宋体" w:hAnsi="Courier New" w:cs="黑体"/>
      <w:szCs w:val="21"/>
    </w:rPr>
  </w:style>
  <w:style w:type="paragraph" w:customStyle="1" w:styleId="43">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4">
    <w:name w:val="款下正文"/>
    <w:basedOn w:val="1"/>
    <w:qFormat/>
    <w:uiPriority w:val="0"/>
    <w:pPr>
      <w:spacing w:beforeLines="50" w:afterLines="50" w:line="480" w:lineRule="exact"/>
      <w:ind w:firstLine="480" w:firstLineChars="200"/>
    </w:pPr>
    <w:rPr>
      <w:sz w:val="24"/>
      <w:szCs w:val="28"/>
    </w:rPr>
  </w:style>
  <w:style w:type="paragraph" w:customStyle="1" w:styleId="45">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6">
    <w:name w:val="样式1"/>
    <w:basedOn w:val="2"/>
    <w:qFormat/>
    <w:uiPriority w:val="0"/>
  </w:style>
  <w:style w:type="character" w:customStyle="1" w:styleId="47">
    <w:name w:val="纯文本 Char"/>
    <w:link w:val="13"/>
    <w:qFormat/>
    <w:uiPriority w:val="0"/>
    <w:rPr>
      <w:rFonts w:ascii="宋体" w:hAnsi="Courier New"/>
      <w:kern w:val="2"/>
      <w:sz w:val="21"/>
      <w:szCs w:val="24"/>
    </w:rPr>
  </w:style>
  <w:style w:type="paragraph" w:customStyle="1" w:styleId="48">
    <w:name w:val="列出段落1"/>
    <w:basedOn w:val="1"/>
    <w:qFormat/>
    <w:uiPriority w:val="34"/>
    <w:pPr>
      <w:ind w:firstLine="420" w:firstLineChars="200"/>
    </w:pPr>
    <w:rPr>
      <w:rFonts w:ascii="Calibri" w:hAnsi="Calibri"/>
      <w:szCs w:val="22"/>
    </w:rPr>
  </w:style>
  <w:style w:type="paragraph" w:styleId="49">
    <w:name w:val="List Paragraph"/>
    <w:basedOn w:val="1"/>
    <w:qFormat/>
    <w:uiPriority w:val="34"/>
    <w:pPr>
      <w:ind w:firstLine="420" w:firstLineChars="200"/>
    </w:pPr>
  </w:style>
  <w:style w:type="paragraph" w:customStyle="1" w:styleId="50">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08905-92D4-45F1-8848-75D202848D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3031</Words>
  <Characters>17282</Characters>
  <Lines>144</Lines>
  <Paragraphs>40</Paragraphs>
  <TotalTime>1165</TotalTime>
  <ScaleCrop>false</ScaleCrop>
  <LinksUpToDate>false</LinksUpToDate>
  <CharactersWithSpaces>20273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2017-12-06T08:29:00Z</dcterms:created>
  <dc:creator>jkghj</dc:creator>
  <cp:lastModifiedBy>陈先生</cp:lastModifiedBy>
  <cp:lastPrinted>2019-07-22T02:30:00Z</cp:lastPrinted>
  <dcterms:modified xsi:type="dcterms:W3CDTF">2019-07-23T01:59:12Z</dcterms:modified>
  <dc:title>南宁市轨道交通3号线工程可行性研究报告(含选线勘察)编制</dc:title>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