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114052336"/>
      <w:bookmarkStart w:id="1" w:name="_Toc286386830"/>
      <w:bookmarkStart w:id="2" w:name="_Toc114052410"/>
      <w:bookmarkStart w:id="3" w:name="_Toc25920"/>
      <w:bookmarkStart w:id="4" w:name="_Toc13323"/>
      <w:bookmarkStart w:id="5" w:name="_Toc4003"/>
      <w:bookmarkStart w:id="6" w:name="_Toc14991"/>
      <w:bookmarkStart w:id="7" w:name="_Toc28464"/>
      <w:bookmarkStart w:id="8" w:name="_Toc15740"/>
      <w:bookmarkStart w:id="9" w:name="_Toc9991"/>
      <w:bookmarkStart w:id="10" w:name="_Toc11424"/>
      <w:bookmarkStart w:id="11" w:name="_Toc7547"/>
      <w:bookmarkStart w:id="12" w:name="_Toc9725"/>
      <w:bookmarkStart w:id="13" w:name="_Toc23292"/>
      <w:bookmarkStart w:id="14" w:name="_Toc12281"/>
      <w:bookmarkStart w:id="15" w:name="_Toc16340"/>
      <w:bookmarkStart w:id="16" w:name="_Toc1179"/>
      <w:bookmarkStart w:id="17" w:name="_Toc25750632"/>
      <w:bookmarkStart w:id="18" w:name="_Toc17022"/>
      <w:bookmarkStart w:id="19" w:name="_Toc9458"/>
      <w:bookmarkStart w:id="20" w:name="_Toc21919"/>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auto"/>
          <w:sz w:val="44"/>
          <w:szCs w:val="44"/>
        </w:rPr>
        <w:t>南宁轨道交通集团有限责任公司运营分公司</w:t>
      </w:r>
    </w:p>
    <w:p>
      <w:pPr>
        <w:spacing w:before="0" w:afterAutospacing="0" w:line="360" w:lineRule="auto"/>
        <w:ind w:left="-709" w:right="0" w:firstLine="880" w:firstLineChars="200"/>
        <w:jc w:val="center"/>
        <w:rPr>
          <w:rFonts w:ascii="楷体_GB2312" w:eastAsia="楷体_GB2312"/>
          <w:color w:val="auto"/>
          <w:sz w:val="24"/>
        </w:rPr>
      </w:pPr>
      <w:r>
        <w:rPr>
          <w:rFonts w:hint="eastAsia"/>
          <w:color w:val="auto"/>
          <w:sz w:val="44"/>
          <w:szCs w:val="44"/>
        </w:rPr>
        <w:t>2020年照明工具及灯具配件采购项目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NNGD-YY-BJDJ-2020066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hint="eastAsia" w:ascii="宋体" w:hAnsi="宋体"/>
          <w:bCs/>
          <w:color w:val="auto"/>
          <w:sz w:val="28"/>
          <w:szCs w:val="28"/>
          <w:u w:val="single"/>
          <w:lang w:val="en-US" w:eastAsia="zh-CN"/>
        </w:rPr>
        <w:t>1</w:t>
      </w:r>
      <w:bookmarkStart w:id="291" w:name="_GoBack"/>
      <w:bookmarkEnd w:id="291"/>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pgNumType w:fmt="decimal"/>
          <w:cols w:space="425" w:num="1"/>
          <w:docGrid w:linePitch="312" w:charSpace="0"/>
        </w:sectPr>
      </w:pPr>
    </w:p>
    <w:p/>
    <w:p>
      <w:pPr>
        <w:sectPr>
          <w:footerReference r:id="rId6" w:type="default"/>
          <w:pgSz w:w="11906" w:h="16838"/>
          <w:pgMar w:top="1134" w:right="851" w:bottom="1134" w:left="1134" w:header="454" w:footer="454" w:gutter="0"/>
          <w:pgNumType w:fmt="decimal" w:start="1"/>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15840"/>
      <w:bookmarkStart w:id="22" w:name="_Toc1289"/>
      <w:bookmarkStart w:id="23" w:name="_Toc8999"/>
      <w:bookmarkStart w:id="24" w:name="_Toc6190"/>
      <w:bookmarkStart w:id="25" w:name="_Toc4026"/>
      <w:bookmarkStart w:id="26" w:name="_Toc7236"/>
      <w:bookmarkStart w:id="27" w:name="_Toc14463"/>
      <w:bookmarkStart w:id="28" w:name="_Toc20060"/>
      <w:bookmarkStart w:id="29" w:name="_Toc25828"/>
      <w:bookmarkStart w:id="30" w:name="_Toc7587"/>
      <w:bookmarkStart w:id="31" w:name="_Toc3488"/>
      <w:bookmarkStart w:id="32" w:name="_Toc29797"/>
      <w:bookmarkStart w:id="33" w:name="_Toc25750633"/>
      <w:bookmarkStart w:id="34" w:name="_Toc2618"/>
      <w:bookmarkStart w:id="35" w:name="_Toc6950"/>
      <w:bookmarkStart w:id="36" w:name="_Toc31368"/>
      <w:bookmarkStart w:id="37" w:name="_Toc32403"/>
      <w:bookmarkStart w:id="38" w:name="_Toc13761"/>
      <w:bookmarkStart w:id="39" w:name="_Toc12983547"/>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2020年照明工具及灯具配件采购项目</w:t>
      </w:r>
      <w:r>
        <w:rPr>
          <w:rFonts w:hint="eastAsia" w:ascii="宋体" w:hAnsi="宋体"/>
          <w:color w:val="auto"/>
        </w:rPr>
        <w:t>（项目编号：</w:t>
      </w:r>
      <w:r>
        <w:rPr>
          <w:rFonts w:hint="eastAsia" w:ascii="宋体" w:hAnsi="宋体"/>
          <w:color w:val="auto"/>
          <w:u w:val="single"/>
          <w:lang w:eastAsia="zh-CN"/>
        </w:rPr>
        <w:t>NNGD-YY-BJDJ-2020066</w:t>
      </w:r>
      <w:r>
        <w:rPr>
          <w:rFonts w:hint="eastAsia" w:ascii="宋体" w:hAnsi="宋体"/>
          <w:color w:val="auto"/>
        </w:rPr>
        <w:t>）询比价结果，依据《中华人民共和国合同法》的规定，签订协议。具体内容如下：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2020年照明工具及灯具配件采购项目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ind w:right="0"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）本合同协议书（含合同谈判过程中的澄清文件和补充资料）；</w:t>
      </w:r>
    </w:p>
    <w:p>
      <w:pPr>
        <w:spacing w:before="0" w:afterAutospacing="0"/>
        <w:ind w:right="0" w:firstLine="420" w:firstLineChars="200"/>
        <w:rPr>
          <w:rFonts w:ascii="宋体" w:hAnsi="宋体"/>
        </w:rPr>
      </w:pPr>
      <w:r>
        <w:rPr>
          <w:rFonts w:hint="eastAsia" w:ascii="宋体" w:hAnsi="宋体"/>
        </w:rPr>
        <w:t>（2）合同条款；</w:t>
      </w:r>
    </w:p>
    <w:p>
      <w:pPr>
        <w:spacing w:before="0" w:afterAutospacing="0"/>
        <w:ind w:right="0" w:firstLine="420" w:firstLineChars="200"/>
        <w:rPr>
          <w:rFonts w:hint="eastAsia" w:ascii="宋体" w:hAnsi="宋体"/>
        </w:rPr>
      </w:pPr>
      <w:r>
        <w:rPr>
          <w:rFonts w:hint="eastAsia" w:ascii="宋体" w:hAnsi="宋体"/>
        </w:rPr>
        <w:t>（3）价格组成文件；</w:t>
      </w:r>
    </w:p>
    <w:p>
      <w:pPr>
        <w:spacing w:before="0" w:afterAutospacing="0"/>
        <w:ind w:right="0" w:firstLine="420" w:firstLineChars="200"/>
        <w:rPr>
          <w:rFonts w:hint="eastAsia" w:ascii="宋体" w:hAnsi="宋体" w:eastAsia="宋体"/>
          <w:lang w:eastAsia="zh-CN"/>
        </w:rPr>
      </w:pPr>
      <w:r>
        <w:rPr>
          <w:rFonts w:hint="eastAsia" w:ascii="宋体" w:hAnsi="宋体"/>
          <w:lang w:eastAsia="zh-CN"/>
        </w:rPr>
        <w:t>（</w:t>
      </w:r>
      <w:r>
        <w:rPr>
          <w:rFonts w:hint="eastAsia" w:ascii="宋体" w:hAnsi="宋体"/>
          <w:lang w:val="en-US" w:eastAsia="zh-CN"/>
        </w:rPr>
        <w:t>4</w:t>
      </w:r>
      <w:r>
        <w:rPr>
          <w:rFonts w:hint="eastAsia" w:ascii="宋体" w:hAnsi="宋体"/>
          <w:lang w:eastAsia="zh-CN"/>
        </w:rPr>
        <w:t>）</w:t>
      </w:r>
      <w:r>
        <w:rPr>
          <w:rFonts w:hint="eastAsia" w:ascii="宋体" w:hAnsi="宋体"/>
          <w:lang w:val="en-US" w:eastAsia="zh-CN"/>
        </w:rPr>
        <w:t>技术规格书</w:t>
      </w:r>
      <w:r>
        <w:rPr>
          <w:rFonts w:hint="eastAsia" w:ascii="宋体" w:hAnsi="宋体"/>
        </w:rPr>
        <w:t>；</w:t>
      </w:r>
    </w:p>
    <w:p>
      <w:pPr>
        <w:spacing w:before="0" w:afterAutospacing="0"/>
        <w:ind w:right="0" w:firstLine="420" w:firstLineChars="200"/>
        <w:rPr>
          <w:rFonts w:hint="eastAsia" w:ascii="宋体" w:hAnsi="宋体"/>
          <w:lang w:eastAsia="zh-CN"/>
        </w:rPr>
      </w:pPr>
      <w:r>
        <w:rPr>
          <w:rFonts w:hint="eastAsia" w:ascii="宋体" w:hAnsi="宋体"/>
        </w:rPr>
        <w:t>（</w:t>
      </w:r>
      <w:r>
        <w:rPr>
          <w:rFonts w:hint="eastAsia" w:ascii="宋体" w:hAnsi="宋体"/>
          <w:lang w:val="en-US" w:eastAsia="zh-CN"/>
        </w:rPr>
        <w:t>5</w:t>
      </w:r>
      <w:r>
        <w:rPr>
          <w:rFonts w:hint="eastAsia" w:ascii="宋体" w:hAnsi="宋体"/>
        </w:rPr>
        <w:t>）合同附件</w:t>
      </w:r>
      <w:r>
        <w:rPr>
          <w:rFonts w:hint="eastAsia" w:ascii="宋体" w:hAnsi="宋体"/>
          <w:lang w:eastAsia="zh-CN"/>
        </w:rPr>
        <w:t>；</w:t>
      </w:r>
    </w:p>
    <w:p>
      <w:pPr>
        <w:spacing w:before="0" w:afterAutospacing="0"/>
        <w:ind w:right="0" w:firstLine="420" w:firstLineChars="200"/>
        <w:rPr>
          <w:rFonts w:ascii="宋体" w:hAnsi="宋体"/>
        </w:rPr>
      </w:pPr>
      <w:r>
        <w:rPr>
          <w:rFonts w:hint="eastAsia" w:ascii="宋体" w:hAnsi="宋体"/>
        </w:rPr>
        <w:t>（6）询比价文件（含询比价补遗文件）；</w:t>
      </w:r>
    </w:p>
    <w:p>
      <w:pPr>
        <w:spacing w:before="0" w:afterAutospacing="0"/>
        <w:ind w:right="0" w:firstLine="420" w:firstLineChars="200"/>
        <w:rPr>
          <w:rFonts w:hint="eastAsia" w:ascii="宋体" w:hAnsi="宋体"/>
          <w:lang w:eastAsia="zh-CN"/>
        </w:rPr>
      </w:pPr>
      <w:r>
        <w:rPr>
          <w:rFonts w:hint="eastAsia" w:ascii="宋体" w:hAnsi="宋体"/>
        </w:rPr>
        <w:t>（7）询比价申请文件（含询比价申请文件的补充文件）</w:t>
      </w:r>
    </w:p>
    <w:p>
      <w:pPr>
        <w:spacing w:before="0" w:afterAutospacing="0"/>
        <w:ind w:right="0" w:firstLine="420" w:firstLineChars="200"/>
        <w:rPr>
          <w:rFonts w:hint="eastAsia" w:ascii="宋体" w:hAnsi="宋体" w:cs="Arial"/>
        </w:rPr>
      </w:pPr>
      <w:r>
        <w:rPr>
          <w:rFonts w:hint="eastAsia" w:ascii="宋体" w:hAnsi="宋体" w:cs="Arial"/>
        </w:rPr>
        <w:t>4.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Autospacing="0"/>
        <w:ind w:right="0" w:firstLine="420" w:firstLineChars="200"/>
        <w:rPr>
          <w:rFonts w:hint="default" w:ascii="宋体" w:hAnsi="宋体" w:cs="Arial"/>
          <w:lang w:val="en-US" w:eastAsia="zh-CN"/>
        </w:rPr>
      </w:pPr>
      <w:r>
        <w:rPr>
          <w:rFonts w:hint="eastAsia" w:ascii="宋体" w:hAnsi="宋体" w:cs="Arial"/>
          <w:lang w:val="en-US" w:eastAsia="zh-CN"/>
        </w:rPr>
        <w:t>5.</w:t>
      </w:r>
      <w:r>
        <w:rPr>
          <w:rFonts w:hint="eastAsia" w:ascii="宋体" w:hAnsi="宋体" w:cs="Arial"/>
        </w:rPr>
        <w:t>双方依据本次询比价文件中的</w:t>
      </w:r>
      <w:r>
        <w:rPr>
          <w:rFonts w:hint="eastAsia" w:ascii="宋体" w:hAnsi="宋体" w:cs="Arial"/>
          <w:lang w:eastAsia="zh-CN"/>
        </w:rPr>
        <w:t>技术规格书</w:t>
      </w:r>
      <w:r>
        <w:rPr>
          <w:rFonts w:hint="eastAsia" w:ascii="宋体" w:hAnsi="宋体" w:cs="Arial"/>
        </w:rPr>
        <w:t>和询比价申请文件中的报价文件，通过合同澄清最终形成技术规格书，并经双方正式签署后构成本合同的有效组成部分。在本合同执行中的技术指标以技术规格书为准。</w:t>
      </w:r>
    </w:p>
    <w:p>
      <w:pPr>
        <w:spacing w:before="0" w:afterAutospacing="0"/>
        <w:ind w:right="0" w:firstLine="420" w:firstLineChars="200"/>
        <w:rPr>
          <w:rFonts w:ascii="宋体" w:hAnsi="宋体" w:cs="Arial"/>
        </w:rPr>
      </w:pPr>
      <w:r>
        <w:rPr>
          <w:rFonts w:hint="eastAsia" w:ascii="宋体" w:hAnsi="宋体" w:cs="Arial"/>
          <w:lang w:val="en-US" w:eastAsia="zh-CN"/>
        </w:rPr>
        <w:t>6</w:t>
      </w:r>
      <w:r>
        <w:rPr>
          <w:rFonts w:hint="eastAsia" w:ascii="宋体" w:hAnsi="宋体" w:cs="Arial"/>
        </w:rPr>
        <w:t>.考虑到甲方将按照本合同向乙方支付，乙方在此保证全部按照合同的规定向甲方提供货物和服务，并修补缺陷。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rPr>
      </w:pPr>
      <w:r>
        <w:rPr>
          <w:rFonts w:hint="eastAsia" w:ascii="宋体" w:hAnsi="宋体" w:cs="Arial"/>
          <w:lang w:val="en-US" w:eastAsia="zh-CN"/>
        </w:rPr>
        <w:t>7</w:t>
      </w:r>
      <w:r>
        <w:rPr>
          <w:rFonts w:hint="eastAsia" w:ascii="宋体" w:hAnsi="宋体" w:cs="Arial"/>
        </w:rPr>
        <w:t>.考虑到乙方提供的货物和服务并修补缺陷，甲方在此保证按照合同规定的时间和方式向乙方支付合同价款或其他按合同规定应支付的金额。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rPr>
      </w:pPr>
      <w:r>
        <w:rPr>
          <w:rFonts w:hint="eastAsia" w:ascii="宋体" w:hAnsi="宋体"/>
          <w:lang w:val="en-US" w:eastAsia="zh-CN"/>
        </w:rPr>
        <w:t>8</w:t>
      </w:r>
      <w:r>
        <w:rPr>
          <w:rFonts w:hint="eastAsia" w:ascii="宋体" w:hAnsi="宋体"/>
        </w:rPr>
        <w:t>.买卖双方承诺，遵守合同条款关于合同标的、数量质量、合同价格、进度计划等双方各自义务及关于违约责任与索赔、解决争议方式等各项约定。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rPr>
      </w:pPr>
      <w:r>
        <w:rPr>
          <w:rFonts w:hint="eastAsia" w:ascii="宋体" w:hAnsi="宋体" w:cs="Arial"/>
          <w:lang w:val="en-US" w:eastAsia="zh-CN"/>
        </w:rPr>
        <w:t>9</w:t>
      </w:r>
      <w:r>
        <w:rPr>
          <w:rFonts w:hint="eastAsia" w:ascii="宋体" w:hAnsi="宋体" w:cs="Arial"/>
        </w:rPr>
        <w:t>.本合同用中文书写，正本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Autospacing="0"/>
        <w:ind w:right="0" w:firstLine="420" w:firstLineChars="200"/>
        <w:rPr>
          <w:rFonts w:ascii="宋体" w:hAnsi="宋体" w:cs="Arial"/>
        </w:rPr>
      </w:pPr>
      <w:r>
        <w:rPr>
          <w:rFonts w:hint="eastAsia" w:ascii="宋体" w:hAnsi="宋体" w:cs="Arial"/>
          <w:lang w:val="en-US" w:eastAsia="zh-CN"/>
        </w:rPr>
        <w:t>10</w:t>
      </w:r>
      <w:r>
        <w:rPr>
          <w:rFonts w:hint="eastAsia" w:ascii="宋体" w:hAnsi="宋体" w:cs="Arial"/>
        </w:rPr>
        <w:t>.本合同经双方法定代表人或授权代表签字、加盖单位公章后生效。</w:t>
      </w:r>
    </w:p>
    <w:p>
      <w:pPr>
        <w:spacing w:before="0" w:line="360" w:lineRule="auto"/>
        <w:ind w:right="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rPr>
          <w:rFonts w:ascii="宋体" w:hAnsi="宋体"/>
          <w:b/>
          <w:color w:val="auto"/>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jc w:val="both"/>
        <w:outlineLvl w:val="1"/>
        <w:rPr>
          <w:rFonts w:ascii="宋体" w:hAnsi="宋体"/>
          <w:b/>
          <w:color w:val="auto"/>
          <w:sz w:val="24"/>
          <w:szCs w:val="24"/>
        </w:rPr>
      </w:pPr>
      <w:bookmarkStart w:id="40" w:name="_Toc258"/>
      <w:bookmarkStart w:id="41" w:name="_Toc997"/>
      <w:bookmarkStart w:id="42" w:name="_Toc16743"/>
      <w:bookmarkStart w:id="43" w:name="_Toc29876"/>
      <w:bookmarkStart w:id="44" w:name="_Toc7529"/>
      <w:bookmarkStart w:id="45" w:name="_Toc9188"/>
      <w:bookmarkStart w:id="46" w:name="_Toc7689"/>
      <w:bookmarkStart w:id="47" w:name="_Toc25750634"/>
      <w:bookmarkStart w:id="48" w:name="_Toc25942"/>
      <w:bookmarkStart w:id="49" w:name="_Toc12155"/>
      <w:bookmarkStart w:id="50" w:name="_Toc18460"/>
      <w:bookmarkStart w:id="51" w:name="_Toc11253"/>
      <w:bookmarkStart w:id="52" w:name="_Toc4133"/>
      <w:bookmarkStart w:id="53" w:name="_Toc10196"/>
      <w:bookmarkStart w:id="54" w:name="_Toc14469"/>
      <w:bookmarkStart w:id="55" w:name="_Toc24973"/>
      <w:bookmarkStart w:id="56" w:name="_Toc9438"/>
      <w:bookmarkStart w:id="57" w:name="_Toc24098"/>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19920"/>
      <w:bookmarkStart w:id="59" w:name="_Toc4032"/>
      <w:bookmarkStart w:id="60" w:name="_Toc22880"/>
      <w:bookmarkStart w:id="61" w:name="_Toc7961"/>
      <w:bookmarkStart w:id="62" w:name="_Toc12256"/>
      <w:bookmarkStart w:id="63" w:name="_Toc28024"/>
      <w:bookmarkStart w:id="64" w:name="_Toc492478763"/>
      <w:bookmarkStart w:id="65" w:name="_Toc12080"/>
      <w:bookmarkStart w:id="66" w:name="_Toc29932"/>
      <w:bookmarkStart w:id="67" w:name="_Toc18727"/>
      <w:bookmarkStart w:id="68" w:name="_Toc370933855"/>
      <w:bookmarkStart w:id="69" w:name="_Toc31691"/>
      <w:bookmarkStart w:id="70" w:name="_Toc10730"/>
      <w:bookmarkStart w:id="71" w:name="_Toc25750635"/>
      <w:bookmarkStart w:id="72" w:name="_Toc14287"/>
      <w:bookmarkStart w:id="73" w:name="_Toc390098464"/>
      <w:bookmarkStart w:id="74" w:name="_Toc385427838"/>
      <w:bookmarkStart w:id="75" w:name="_Toc20484"/>
      <w:bookmarkStart w:id="76" w:name="_Toc2614"/>
      <w:bookmarkStart w:id="77" w:name="_Toc25643"/>
      <w:bookmarkStart w:id="78" w:name="_Toc15707"/>
      <w:bookmarkStart w:id="79" w:name="_Toc6054"/>
      <w:bookmarkStart w:id="80" w:name="_Toc43"/>
      <w:bookmarkStart w:id="81" w:name="_Toc378514952"/>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系指询比价文件规定询比价申请人须承担的与供货有关的辅助服务，包括但不限于软硬件开发与制造、系统集成、采购、供货、出厂检验、包装、运输、保险、装卸、到货检查、设备安装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w:t>
      </w:r>
      <w:r>
        <w:rPr>
          <w:rFonts w:hint="eastAsia" w:ascii="宋体" w:hAnsi="宋体"/>
          <w:color w:val="auto"/>
          <w:lang w:eastAsia="zh-CN"/>
        </w:rPr>
        <w:t>技术规格书</w:t>
      </w:r>
      <w:r>
        <w:rPr>
          <w:rFonts w:hint="eastAsia" w:ascii="宋体" w:hAnsi="宋体"/>
          <w:color w:val="auto"/>
        </w:rPr>
        <w:t>》中的质保期要求。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4212"/>
      <w:bookmarkStart w:id="83" w:name="_Toc5955"/>
      <w:bookmarkStart w:id="84" w:name="_Toc8477"/>
      <w:bookmarkStart w:id="85" w:name="_Toc4301"/>
      <w:bookmarkStart w:id="86" w:name="_Toc385427839"/>
      <w:bookmarkStart w:id="87" w:name="_Toc370933856"/>
      <w:bookmarkStart w:id="88" w:name="_Toc25826"/>
      <w:bookmarkStart w:id="89" w:name="_Toc4255"/>
      <w:bookmarkStart w:id="90" w:name="_Toc25750636"/>
      <w:bookmarkStart w:id="91" w:name="_Toc15944"/>
      <w:bookmarkStart w:id="92" w:name="_Toc7813"/>
      <w:bookmarkStart w:id="93" w:name="_Toc492478764"/>
      <w:bookmarkStart w:id="94" w:name="_Toc13835"/>
      <w:bookmarkStart w:id="95" w:name="_Toc23112"/>
      <w:bookmarkStart w:id="96" w:name="_Toc18178"/>
      <w:bookmarkStart w:id="97" w:name="_Toc390098465"/>
      <w:bookmarkStart w:id="98" w:name="_Toc23247"/>
      <w:bookmarkStart w:id="99" w:name="_Toc1169"/>
      <w:bookmarkStart w:id="100" w:name="_Toc30815"/>
      <w:bookmarkStart w:id="101" w:name="_Toc7059"/>
      <w:bookmarkStart w:id="102" w:name="_Toc378514953"/>
      <w:bookmarkStart w:id="103" w:name="_Toc19899"/>
      <w:bookmarkStart w:id="104" w:name="_Toc23305"/>
      <w:bookmarkStart w:id="105" w:name="_Toc3180"/>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370933857"/>
      <w:bookmarkStart w:id="107" w:name="_Toc4969"/>
      <w:bookmarkStart w:id="108" w:name="_Toc390098466"/>
      <w:bookmarkStart w:id="109" w:name="_Toc3674"/>
      <w:bookmarkStart w:id="110" w:name="_Toc4738"/>
      <w:bookmarkStart w:id="111" w:name="_Toc12248"/>
      <w:bookmarkStart w:id="112" w:name="_Toc385427840"/>
      <w:bookmarkStart w:id="113" w:name="_Toc4898"/>
      <w:bookmarkStart w:id="114" w:name="_Toc15308"/>
      <w:bookmarkStart w:id="115" w:name="_Toc14437"/>
      <w:bookmarkStart w:id="116" w:name="_Toc378514954"/>
      <w:bookmarkStart w:id="117" w:name="_Toc21603"/>
      <w:bookmarkStart w:id="118" w:name="_Toc3131"/>
      <w:bookmarkStart w:id="119" w:name="_Toc25750637"/>
      <w:bookmarkStart w:id="120" w:name="_Toc3397"/>
      <w:bookmarkStart w:id="121" w:name="_Toc11803"/>
      <w:bookmarkStart w:id="122" w:name="_Toc9864"/>
      <w:bookmarkStart w:id="123" w:name="_Toc492478765"/>
      <w:bookmarkStart w:id="124" w:name="_Toc26983"/>
      <w:bookmarkStart w:id="125" w:name="_Toc21065"/>
      <w:bookmarkStart w:id="126" w:name="_Toc18092"/>
      <w:bookmarkStart w:id="127" w:name="_Toc9306"/>
      <w:bookmarkStart w:id="128" w:name="_Toc13801"/>
      <w:bookmarkStart w:id="129" w:name="_Toc5253"/>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492478766"/>
      <w:bookmarkStart w:id="131" w:name="_Toc16646"/>
      <w:bookmarkStart w:id="132" w:name="_Toc21641"/>
      <w:bookmarkStart w:id="133" w:name="_Toc21356"/>
      <w:bookmarkStart w:id="134" w:name="_Toc14273"/>
      <w:bookmarkStart w:id="135" w:name="_Toc3318"/>
      <w:bookmarkStart w:id="136" w:name="_Toc390098467"/>
      <w:bookmarkStart w:id="137" w:name="_Toc378514955"/>
      <w:bookmarkStart w:id="138" w:name="_Toc2708"/>
      <w:bookmarkStart w:id="139" w:name="_Toc25750638"/>
      <w:bookmarkStart w:id="140" w:name="_Toc11524"/>
      <w:bookmarkStart w:id="141" w:name="_Toc385427841"/>
      <w:bookmarkStart w:id="142" w:name="_Toc10807"/>
      <w:bookmarkStart w:id="143" w:name="_Toc12180"/>
      <w:bookmarkStart w:id="144" w:name="_Toc19514"/>
      <w:bookmarkStart w:id="145" w:name="_Toc11626"/>
      <w:bookmarkStart w:id="146" w:name="_Toc370933858"/>
      <w:bookmarkStart w:id="147" w:name="_Toc23258"/>
      <w:bookmarkStart w:id="148" w:name="_Toc18548"/>
      <w:bookmarkStart w:id="149" w:name="_Toc14713"/>
      <w:bookmarkStart w:id="150" w:name="_Toc23249"/>
      <w:bookmarkStart w:id="151" w:name="_Toc27450"/>
      <w:bookmarkStart w:id="152" w:name="_Toc21289"/>
      <w:bookmarkStart w:id="153" w:name="_Toc25311"/>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385427842"/>
      <w:bookmarkStart w:id="155" w:name="_Toc20372"/>
      <w:bookmarkStart w:id="156" w:name="_Toc4048"/>
      <w:bookmarkStart w:id="157" w:name="_Toc3165"/>
      <w:bookmarkStart w:id="158" w:name="_Toc13516"/>
      <w:bookmarkStart w:id="159" w:name="_Toc17081"/>
      <w:bookmarkStart w:id="160" w:name="_Toc390098468"/>
      <w:bookmarkStart w:id="161" w:name="_Toc14089"/>
      <w:bookmarkStart w:id="162" w:name="_Toc18813"/>
      <w:bookmarkStart w:id="163" w:name="_Toc370933859"/>
      <w:bookmarkStart w:id="164" w:name="_Toc19358"/>
      <w:bookmarkStart w:id="165" w:name="_Toc18617"/>
      <w:bookmarkStart w:id="166" w:name="_Toc27620"/>
      <w:bookmarkStart w:id="167" w:name="_Toc25750639"/>
      <w:bookmarkStart w:id="168" w:name="_Toc492478767"/>
      <w:bookmarkStart w:id="169" w:name="_Toc10995"/>
      <w:bookmarkStart w:id="170" w:name="_Toc23539"/>
      <w:bookmarkStart w:id="171" w:name="_Toc22040"/>
      <w:bookmarkStart w:id="172" w:name="_Toc11487"/>
      <w:bookmarkStart w:id="173" w:name="_Toc378514956"/>
      <w:bookmarkStart w:id="174" w:name="_Toc31912"/>
      <w:bookmarkStart w:id="175" w:name="_Toc2352"/>
      <w:bookmarkStart w:id="176" w:name="_Toc2304"/>
      <w:bookmarkStart w:id="177" w:name="_Toc24783"/>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25104"/>
      <w:bookmarkStart w:id="179" w:name="_Toc16793"/>
      <w:bookmarkStart w:id="180" w:name="_Toc16891"/>
      <w:bookmarkStart w:id="181" w:name="_Toc23542"/>
      <w:bookmarkStart w:id="182" w:name="_Toc15801"/>
      <w:bookmarkStart w:id="183" w:name="_Toc18946"/>
      <w:bookmarkStart w:id="184" w:name="_Toc4739"/>
      <w:bookmarkStart w:id="185" w:name="_Toc370933860"/>
      <w:bookmarkStart w:id="186" w:name="_Toc23274"/>
      <w:bookmarkStart w:id="187" w:name="_Toc25049"/>
      <w:bookmarkStart w:id="188" w:name="_Toc17100"/>
      <w:bookmarkStart w:id="189" w:name="_Toc2096"/>
      <w:bookmarkStart w:id="190" w:name="_Toc378514957"/>
      <w:bookmarkStart w:id="191" w:name="_Toc17908"/>
      <w:bookmarkStart w:id="192" w:name="_Toc17102"/>
      <w:bookmarkStart w:id="193" w:name="_Toc5930"/>
      <w:bookmarkStart w:id="194" w:name="_Toc12048"/>
      <w:bookmarkStart w:id="195" w:name="_Toc25750640"/>
      <w:bookmarkStart w:id="196" w:name="_Toc24189"/>
      <w:bookmarkStart w:id="197" w:name="_Toc8848"/>
      <w:bookmarkStart w:id="198" w:name="_Toc2340"/>
      <w:bookmarkStart w:id="199" w:name="_Toc390098469"/>
      <w:bookmarkStart w:id="200" w:name="_Toc385427843"/>
      <w:bookmarkStart w:id="201" w:name="_Toc492478768"/>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7187"/>
      <w:bookmarkStart w:id="203" w:name="_Toc390098470"/>
      <w:bookmarkStart w:id="204" w:name="_Toc25750641"/>
      <w:bookmarkStart w:id="205" w:name="_Toc385427844"/>
      <w:bookmarkStart w:id="206" w:name="_Toc7907"/>
      <w:bookmarkStart w:id="207" w:name="_Toc25888"/>
      <w:bookmarkStart w:id="208" w:name="_Toc21848"/>
      <w:bookmarkStart w:id="209" w:name="_Toc11516"/>
      <w:bookmarkStart w:id="210" w:name="_Toc21755"/>
      <w:bookmarkStart w:id="211" w:name="_Toc7460"/>
      <w:bookmarkStart w:id="212" w:name="_Toc370933861"/>
      <w:bookmarkStart w:id="213" w:name="_Toc6777"/>
      <w:bookmarkStart w:id="214" w:name="_Toc2076"/>
      <w:bookmarkStart w:id="215" w:name="_Toc29127"/>
      <w:bookmarkStart w:id="216" w:name="_Toc20551"/>
      <w:bookmarkStart w:id="217" w:name="_Toc828"/>
      <w:bookmarkStart w:id="218" w:name="_Toc378514958"/>
      <w:bookmarkStart w:id="219" w:name="_Toc1869"/>
      <w:bookmarkStart w:id="220" w:name="_Toc17489"/>
      <w:bookmarkStart w:id="221" w:name="_Toc492478769"/>
      <w:bookmarkStart w:id="222" w:name="_Toc24887"/>
      <w:bookmarkStart w:id="223" w:name="_Toc17901"/>
      <w:bookmarkStart w:id="224" w:name="_Toc25327"/>
      <w:bookmarkStart w:id="225" w:name="_Toc29337"/>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1990"/>
      <w:bookmarkStart w:id="227" w:name="_Toc15512"/>
      <w:bookmarkStart w:id="228" w:name="_Toc25873"/>
      <w:bookmarkStart w:id="229" w:name="_Toc26034"/>
      <w:bookmarkStart w:id="230" w:name="_Toc32711"/>
      <w:bookmarkStart w:id="231" w:name="_Toc29729"/>
      <w:bookmarkStart w:id="232" w:name="_Toc2613"/>
      <w:bookmarkStart w:id="233" w:name="_Toc5676"/>
      <w:bookmarkStart w:id="234" w:name="_Toc7801"/>
      <w:bookmarkStart w:id="235" w:name="_Toc25750642"/>
      <w:bookmarkStart w:id="236" w:name="_Toc20899"/>
      <w:bookmarkStart w:id="237" w:name="_Toc32382"/>
      <w:bookmarkStart w:id="238" w:name="_Toc12113"/>
      <w:bookmarkStart w:id="239" w:name="_Toc20252"/>
      <w:bookmarkStart w:id="240" w:name="_Toc97"/>
      <w:bookmarkStart w:id="241" w:name="_Toc21872"/>
      <w:bookmarkStart w:id="242" w:name="_Toc31795"/>
      <w:bookmarkStart w:id="243" w:name="_Toc20550"/>
      <w:bookmarkStart w:id="244" w:name="_Toc30234"/>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lang w:eastAsia="zh-CN"/>
        </w:rPr>
        <w:t>技术规格书</w:t>
      </w:r>
      <w:r>
        <w:rPr>
          <w:rFonts w:hint="eastAsia" w:ascii="宋体" w:hAnsi="宋体"/>
          <w:color w:val="auto"/>
        </w:rPr>
        <w:t>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lang w:eastAsia="zh-CN"/>
        </w:rPr>
        <w:t>技术规格书</w:t>
      </w:r>
      <w:r>
        <w:rPr>
          <w:rFonts w:hint="eastAsia" w:ascii="宋体" w:hAnsi="宋体"/>
          <w:color w:val="auto"/>
        </w:rPr>
        <w:t>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6736"/>
      <w:bookmarkStart w:id="246" w:name="_Toc24667"/>
      <w:bookmarkStart w:id="247" w:name="_Toc23750"/>
      <w:bookmarkStart w:id="248" w:name="_Toc22940"/>
      <w:bookmarkStart w:id="249" w:name="_Toc17673"/>
      <w:bookmarkStart w:id="250" w:name="_Toc4466"/>
      <w:bookmarkStart w:id="251" w:name="_Toc492478771"/>
      <w:bookmarkStart w:id="252" w:name="_Toc1637"/>
      <w:bookmarkStart w:id="253" w:name="_Toc28074"/>
      <w:bookmarkStart w:id="254" w:name="_Toc385427846"/>
      <w:bookmarkStart w:id="255" w:name="_Toc370933863"/>
      <w:bookmarkStart w:id="256" w:name="_Toc15424"/>
      <w:bookmarkStart w:id="257" w:name="_Toc390098472"/>
      <w:bookmarkStart w:id="258" w:name="_Toc489"/>
      <w:bookmarkStart w:id="259" w:name="_Toc19218"/>
      <w:bookmarkStart w:id="260" w:name="_Toc15199"/>
      <w:bookmarkStart w:id="261" w:name="_Toc13241"/>
      <w:bookmarkStart w:id="262" w:name="_Toc16105"/>
      <w:bookmarkStart w:id="263" w:name="_Toc8743"/>
      <w:bookmarkStart w:id="264" w:name="_Toc4089"/>
      <w:bookmarkStart w:id="265" w:name="_Toc25750643"/>
      <w:bookmarkStart w:id="266" w:name="_Toc17625"/>
      <w:bookmarkStart w:id="267" w:name="_Toc8820"/>
      <w:bookmarkStart w:id="268" w:name="_Toc378514960"/>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交货期：90天（合同签订后按交货通知书交货，具体按交货通知为准），如遇进口物资，进口物资交货期可适当延长，延长情况以中选人提供的报关单或其他相关证明材料为准，但不得超过6</w:t>
      </w:r>
      <w:r>
        <w:rPr>
          <w:rFonts w:hint="eastAsia" w:ascii="宋体" w:hAnsi="宋体"/>
          <w:color w:val="auto"/>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w:t>
      </w:r>
      <w:r>
        <w:rPr>
          <w:rFonts w:hint="eastAsia" w:ascii="宋体" w:hAnsi="宋体"/>
          <w:color w:val="auto"/>
          <w:lang w:eastAsia="zh-CN"/>
        </w:rPr>
        <w:t>技术规格书</w:t>
      </w:r>
      <w:r>
        <w:rPr>
          <w:rFonts w:hint="eastAsia" w:ascii="宋体" w:hAnsi="宋体"/>
          <w:color w:val="auto"/>
        </w:rPr>
        <w:t>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w:t>
      </w:r>
      <w:r>
        <w:rPr>
          <w:rFonts w:hint="eastAsia" w:ascii="宋体" w:hAnsi="宋体"/>
          <w:b/>
          <w:color w:val="auto"/>
          <w:u w:val="single"/>
          <w:lang w:val="en-US" w:eastAsia="zh-CN"/>
        </w:rPr>
        <w:t>12</w:t>
      </w:r>
      <w:r>
        <w:rPr>
          <w:rFonts w:ascii="宋体" w:hAnsi="宋体"/>
          <w:b/>
          <w:color w:val="auto"/>
          <w:u w:val="single"/>
        </w:rPr>
        <w:t xml:space="preserve">  </w:t>
      </w:r>
      <w:r>
        <w:rPr>
          <w:rFonts w:hint="eastAsia" w:ascii="宋体" w:hAnsi="宋体"/>
          <w:b/>
          <w:color w:val="auto"/>
        </w:rPr>
        <w:t>个月（如中选人询比价申请文件中承诺的质量保证期优于询比价文件要求，按询比价申请人承诺的质量保证期执行）</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w:t>
      </w:r>
      <w:r>
        <w:rPr>
          <w:rFonts w:hint="eastAsia" w:ascii="宋体" w:hAnsi="宋体"/>
          <w:b/>
          <w:bCs/>
          <w:color w:val="auto"/>
          <w:u w:val="single"/>
          <w:lang w:val="en-US" w:eastAsia="zh-CN"/>
        </w:rPr>
        <w:t>12</w:t>
      </w:r>
      <w:r>
        <w:rPr>
          <w:rFonts w:ascii="宋体" w:hAnsi="宋体"/>
          <w:b/>
          <w:bCs/>
          <w:color w:val="auto"/>
          <w:u w:val="single"/>
        </w:rPr>
        <w:t xml:space="preserve"> </w:t>
      </w:r>
      <w:r>
        <w:rPr>
          <w:rFonts w:hint="eastAsia" w:ascii="宋体" w:hAnsi="宋体"/>
          <w:b/>
          <w:bCs/>
          <w:color w:val="auto"/>
        </w:rPr>
        <w:t>个月（如中选人</w:t>
      </w:r>
      <w:r>
        <w:rPr>
          <w:rFonts w:hint="eastAsia" w:ascii="宋体" w:hAnsi="宋体"/>
          <w:b/>
          <w:color w:val="auto"/>
        </w:rPr>
        <w:t>询比价申请文件中承诺的质量保证期优于询比价文件要求，按询比价申请人承诺的质量保证期执行）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南宁轨道交通二号线东延工程建设有限公司、</w:t>
      </w:r>
      <w:r>
        <w:rPr>
          <w:rFonts w:hint="eastAsia" w:ascii="宋体" w:hAnsi="宋体" w:cs="Arial"/>
          <w:color w:val="auto"/>
          <w:u w:val="single"/>
        </w:rPr>
        <w:t>南宁轨道交通三号线建设有限公司、南宁轨道交通四号线建设有限公司、南宁轨道交通五号线建设有限公司</w:t>
      </w:r>
      <w:r>
        <w:rPr>
          <w:rFonts w:ascii="宋体" w:hAnsi="宋体" w:cs="Arial"/>
          <w:color w:val="auto"/>
          <w:u w:val="single"/>
        </w:rPr>
        <w:t xml:space="preserve">  </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南宁轨道交通二号线东延工程建设有限公司、</w:t>
      </w:r>
      <w:r>
        <w:rPr>
          <w:rFonts w:hint="eastAsia" w:ascii="宋体" w:hAnsi="宋体" w:cs="Arial"/>
          <w:color w:val="auto"/>
          <w:u w:val="single"/>
        </w:rPr>
        <w:t>南宁轨道交通三号线建设有限公司、南宁轨道交通四号线建设有限公司、南宁轨道交通五号线建设有限公司</w:t>
      </w:r>
      <w:r>
        <w:rPr>
          <w:rFonts w:ascii="宋体" w:hAnsi="宋体" w:cs="Arial"/>
          <w:color w:val="auto"/>
          <w:u w:val="single"/>
        </w:rPr>
        <w:t xml:space="preserve">  </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w:t>
      </w:r>
      <w:r>
        <w:rPr>
          <w:rFonts w:hint="eastAsia" w:ascii="宋体" w:hAnsi="宋体"/>
          <w:color w:val="auto"/>
        </w:rPr>
        <w:t>东延</w:t>
      </w:r>
      <w:r>
        <w:rPr>
          <w:rFonts w:ascii="宋体" w:hAnsi="宋体"/>
          <w:color w:val="auto"/>
        </w:rPr>
        <w:t>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3号线价格：不含税价：人民币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4号线价格：不含税价：人民币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5号线价格：不含税价：人民币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因乙方询比价申请时填报错误导致清单项不满足甲方需求的，变更的品牌型号需满足甲方需求，技术指标同等或优于原填报品牌、型号，市场价格原则上同等或高于原填报价格；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w:t>
      </w:r>
      <w:r>
        <w:rPr>
          <w:rFonts w:hint="eastAsia" w:ascii="宋体" w:hAnsi="宋体"/>
          <w:color w:val="auto"/>
          <w:lang w:eastAsia="zh-CN"/>
        </w:rPr>
        <w:t>技术规格书</w:t>
      </w:r>
      <w:r>
        <w:rPr>
          <w:rFonts w:hint="eastAsia" w:ascii="宋体" w:hAnsi="宋体"/>
          <w:color w:val="auto"/>
        </w:rPr>
        <w:t>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27258"/>
      <w:bookmarkStart w:id="274" w:name="_Toc12470"/>
      <w:bookmarkStart w:id="275" w:name="_Toc5186"/>
      <w:bookmarkStart w:id="276" w:name="_Toc19448"/>
      <w:bookmarkStart w:id="277" w:name="_Toc2753"/>
      <w:bookmarkStart w:id="278" w:name="_Toc13288"/>
      <w:bookmarkStart w:id="279" w:name="_Toc21372"/>
      <w:bookmarkStart w:id="280" w:name="_Toc21635"/>
      <w:bookmarkStart w:id="281" w:name="_Toc16443"/>
      <w:bookmarkStart w:id="282" w:name="_Toc12983548"/>
      <w:bookmarkStart w:id="283" w:name="_Toc14997"/>
      <w:bookmarkStart w:id="284" w:name="_Toc6194"/>
      <w:bookmarkStart w:id="285" w:name="_Toc5644"/>
      <w:bookmarkStart w:id="286" w:name="_Toc29249"/>
      <w:bookmarkStart w:id="287" w:name="_Toc27316"/>
      <w:bookmarkStart w:id="288" w:name="_Toc21659"/>
      <w:bookmarkStart w:id="289" w:name="_Toc21033"/>
      <w:bookmarkStart w:id="290" w:name="_Toc16716"/>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ind w:left="420" w:leftChars="200" w:right="0"/>
        <w:jc w:val="left"/>
        <w:outlineLvl w:val="1"/>
        <w:rPr>
          <w:rStyle w:val="15"/>
          <w:rFonts w:hint="eastAsia"/>
          <w:szCs w:val="22"/>
          <w:lang w:val="en-US" w:eastAsia="zh-CN"/>
        </w:rPr>
      </w:pPr>
      <w:r>
        <w:rPr>
          <w:rStyle w:val="15"/>
          <w:rFonts w:hint="eastAsia"/>
          <w:szCs w:val="22"/>
        </w:rPr>
        <w:t>价格组成文件</w:t>
      </w:r>
    </w:p>
    <w:p>
      <w:pPr>
        <w:numPr>
          <w:ilvl w:val="0"/>
          <w:numId w:val="0"/>
        </w:numPr>
        <w:spacing w:before="0"/>
        <w:ind w:right="0" w:rightChars="0"/>
        <w:jc w:val="left"/>
        <w:outlineLvl w:val="1"/>
        <w:rPr>
          <w:rStyle w:val="15"/>
          <w:rFonts w:hint="eastAsia"/>
          <w:szCs w:val="22"/>
          <w:lang w:val="en-US" w:eastAsia="zh-CN"/>
        </w:rPr>
      </w:pPr>
    </w:p>
    <w:p>
      <w:pPr>
        <w:numPr>
          <w:ilvl w:val="0"/>
          <w:numId w:val="52"/>
        </w:numPr>
        <w:spacing w:before="0"/>
        <w:ind w:left="420" w:leftChars="200" w:right="0" w:firstLine="0" w:firstLineChars="0"/>
        <w:jc w:val="left"/>
        <w:outlineLvl w:val="1"/>
        <w:rPr>
          <w:rStyle w:val="15"/>
          <w:rFonts w:hint="default"/>
          <w:szCs w:val="22"/>
          <w:lang w:val="en-US" w:eastAsia="zh-CN"/>
        </w:rPr>
      </w:pPr>
      <w:r>
        <w:rPr>
          <w:rStyle w:val="15"/>
          <w:rFonts w:hint="eastAsia"/>
          <w:szCs w:val="22"/>
          <w:lang w:val="en-US" w:eastAsia="zh-CN"/>
        </w:rPr>
        <w:t>技术规格书</w:t>
      </w:r>
    </w:p>
    <w:p>
      <w:pPr>
        <w:numPr>
          <w:ilvl w:val="0"/>
          <w:numId w:val="0"/>
        </w:numPr>
        <w:spacing w:before="0"/>
        <w:ind w:leftChars="200" w:right="0" w:rightChars="0"/>
        <w:jc w:val="left"/>
        <w:outlineLvl w:val="1"/>
        <w:rPr>
          <w:rStyle w:val="15"/>
          <w:rFonts w:hint="default"/>
          <w:szCs w:val="22"/>
          <w:lang w:val="en-US" w:eastAsia="zh-CN"/>
        </w:rPr>
      </w:pPr>
    </w:p>
    <w:p>
      <w:pPr>
        <w:numPr>
          <w:ilvl w:val="0"/>
          <w:numId w:val="52"/>
        </w:numPr>
        <w:spacing w:before="0"/>
        <w:ind w:left="420" w:leftChars="200" w:right="0" w:firstLine="0" w:firstLineChars="0"/>
        <w:jc w:val="left"/>
        <w:outlineLvl w:val="1"/>
        <w:rPr>
          <w:rStyle w:val="15"/>
          <w:rFonts w:hint="default"/>
          <w:szCs w:val="22"/>
          <w:lang w:val="en-US" w:eastAsia="zh-CN"/>
        </w:rPr>
      </w:pPr>
      <w:r>
        <w:rPr>
          <w:rStyle w:val="15"/>
          <w:rFonts w:hint="default"/>
          <w:szCs w:val="22"/>
          <w:lang w:val="en-US" w:eastAsia="zh-CN"/>
        </w:rPr>
        <w:t>合同附件</w:t>
      </w:r>
    </w:p>
    <w:p>
      <w:pPr>
        <w:numPr>
          <w:ilvl w:val="0"/>
          <w:numId w:val="0"/>
        </w:numPr>
        <w:spacing w:before="0"/>
        <w:ind w:leftChars="200" w:right="0" w:rightChars="0"/>
        <w:jc w:val="left"/>
        <w:outlineLvl w:val="1"/>
        <w:rPr>
          <w:rStyle w:val="15"/>
          <w:rFonts w:hint="default"/>
          <w:szCs w:val="22"/>
          <w:lang w:val="en-US" w:eastAsia="zh-CN"/>
        </w:rPr>
      </w:pPr>
    </w:p>
    <w:p>
      <w:pPr>
        <w:numPr>
          <w:ilvl w:val="0"/>
          <w:numId w:val="52"/>
        </w:numPr>
        <w:spacing w:before="0"/>
        <w:ind w:left="420" w:leftChars="200" w:right="0" w:firstLine="0" w:firstLineChars="0"/>
        <w:jc w:val="left"/>
        <w:outlineLvl w:val="1"/>
        <w:rPr>
          <w:rStyle w:val="15"/>
          <w:rFonts w:hint="default"/>
          <w:szCs w:val="22"/>
          <w:lang w:val="en-US" w:eastAsia="zh-CN"/>
        </w:rPr>
      </w:pPr>
      <w:r>
        <w:rPr>
          <w:rStyle w:val="15"/>
          <w:rFonts w:hint="default"/>
          <w:szCs w:val="22"/>
          <w:lang w:val="en-US" w:eastAsia="zh-CN"/>
        </w:rPr>
        <w:t>询比价文件（含询比价补遗文件）</w:t>
      </w:r>
    </w:p>
    <w:p>
      <w:pPr>
        <w:numPr>
          <w:ilvl w:val="0"/>
          <w:numId w:val="0"/>
        </w:numPr>
        <w:spacing w:before="0"/>
        <w:ind w:leftChars="200" w:right="0" w:rightChars="0"/>
        <w:jc w:val="left"/>
        <w:outlineLvl w:val="1"/>
        <w:rPr>
          <w:rStyle w:val="15"/>
          <w:rFonts w:hint="default"/>
          <w:szCs w:val="22"/>
          <w:lang w:val="en-US" w:eastAsia="zh-CN"/>
        </w:rPr>
      </w:pPr>
    </w:p>
    <w:p>
      <w:pPr>
        <w:numPr>
          <w:ilvl w:val="0"/>
          <w:numId w:val="52"/>
        </w:numPr>
        <w:spacing w:before="0"/>
        <w:ind w:left="420" w:leftChars="200" w:right="0" w:firstLine="0" w:firstLineChars="0"/>
        <w:jc w:val="left"/>
        <w:outlineLvl w:val="1"/>
        <w:rPr>
          <w:rStyle w:val="15"/>
          <w:rFonts w:hint="default"/>
          <w:szCs w:val="22"/>
          <w:lang w:val="en-US" w:eastAsia="zh-CN"/>
        </w:rPr>
      </w:pPr>
      <w:r>
        <w:rPr>
          <w:rStyle w:val="15"/>
          <w:rFonts w:hint="default"/>
          <w:szCs w:val="22"/>
          <w:lang w:val="en-US" w:eastAsia="zh-CN"/>
        </w:rPr>
        <w:t>询比价申请文件（含询比价申请文件的补充文件）</w:t>
      </w:r>
    </w:p>
    <w:p>
      <w:pPr>
        <w:spacing w:before="0" w:line="360" w:lineRule="auto"/>
        <w:ind w:right="0"/>
        <w:jc w:val="center"/>
        <w:outlineLvl w:val="1"/>
        <w:rPr>
          <w:rStyle w:val="13"/>
          <w:color w:val="auto"/>
          <w:szCs w:val="22"/>
        </w:rPr>
      </w:pPr>
    </w:p>
    <w:sectPr>
      <w:footerReference r:id="rId7" w:type="default"/>
      <w:pgSz w:w="11906" w:h="16838"/>
      <w:pgMar w:top="1440" w:right="1803" w:bottom="1440" w:left="1803" w:header="851" w:footer="992" w:gutter="0"/>
      <w:pgNumType w:fmt="decimal"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 共 </w:t>
                          </w:r>
                          <w:r>
                            <w:rPr>
                              <w:rFonts w:hint="eastAsia"/>
                              <w:lang w:val="en-US" w:eastAsia="zh-CN"/>
                            </w:rPr>
                            <w:t>27</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 共 </w:t>
                    </w:r>
                    <w:r>
                      <w:rPr>
                        <w:rFonts w:hint="eastAsia"/>
                        <w:lang w:val="en-US" w:eastAsia="zh-CN"/>
                      </w:rPr>
                      <w:t>27</w:t>
                    </w:r>
                    <w:r>
                      <w:rPr>
                        <w:rFonts w:hint="eastAsia"/>
                        <w:lang w:eastAsia="zh-CN"/>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7EA4A319"/>
    <w:multiLevelType w:val="singleLevel"/>
    <w:tmpl w:val="7EA4A319"/>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714A4"/>
    <w:rsid w:val="00894971"/>
    <w:rsid w:val="008D47D1"/>
    <w:rsid w:val="008E04A1"/>
    <w:rsid w:val="008E48D7"/>
    <w:rsid w:val="008F13E9"/>
    <w:rsid w:val="008F5CFA"/>
    <w:rsid w:val="00912346"/>
    <w:rsid w:val="00934E0F"/>
    <w:rsid w:val="00992AD5"/>
    <w:rsid w:val="009B67F6"/>
    <w:rsid w:val="00A15348"/>
    <w:rsid w:val="00A26995"/>
    <w:rsid w:val="00A67792"/>
    <w:rsid w:val="00A85A6C"/>
    <w:rsid w:val="00A95C9D"/>
    <w:rsid w:val="00AD3BA6"/>
    <w:rsid w:val="00AD4B48"/>
    <w:rsid w:val="00B46634"/>
    <w:rsid w:val="00B54FFC"/>
    <w:rsid w:val="00B81AFB"/>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F56BF"/>
    <w:rsid w:val="01CD45AC"/>
    <w:rsid w:val="02396843"/>
    <w:rsid w:val="02450123"/>
    <w:rsid w:val="02827A4B"/>
    <w:rsid w:val="042A4508"/>
    <w:rsid w:val="052D0CFE"/>
    <w:rsid w:val="05547965"/>
    <w:rsid w:val="057B60E1"/>
    <w:rsid w:val="07D13042"/>
    <w:rsid w:val="07FA49AB"/>
    <w:rsid w:val="08F14400"/>
    <w:rsid w:val="0B28302F"/>
    <w:rsid w:val="0D07455D"/>
    <w:rsid w:val="0D51071B"/>
    <w:rsid w:val="121E77F4"/>
    <w:rsid w:val="12ED4399"/>
    <w:rsid w:val="132C3849"/>
    <w:rsid w:val="14792F82"/>
    <w:rsid w:val="15B00394"/>
    <w:rsid w:val="160055A9"/>
    <w:rsid w:val="16855AD3"/>
    <w:rsid w:val="179B04F5"/>
    <w:rsid w:val="17A6670E"/>
    <w:rsid w:val="1A5A63B0"/>
    <w:rsid w:val="1B0A660C"/>
    <w:rsid w:val="1BC21AF9"/>
    <w:rsid w:val="1BDF29F8"/>
    <w:rsid w:val="1C787B29"/>
    <w:rsid w:val="205E2AB7"/>
    <w:rsid w:val="208A1627"/>
    <w:rsid w:val="20AA4C03"/>
    <w:rsid w:val="21681DFF"/>
    <w:rsid w:val="236C4F3D"/>
    <w:rsid w:val="25B65426"/>
    <w:rsid w:val="27D73AAC"/>
    <w:rsid w:val="28DA7D1A"/>
    <w:rsid w:val="2B3A7446"/>
    <w:rsid w:val="2CA05131"/>
    <w:rsid w:val="2D6523F7"/>
    <w:rsid w:val="2E0E3201"/>
    <w:rsid w:val="2E9473C9"/>
    <w:rsid w:val="2FE26601"/>
    <w:rsid w:val="30940782"/>
    <w:rsid w:val="30BC0E80"/>
    <w:rsid w:val="30CA1C2C"/>
    <w:rsid w:val="317C6BA3"/>
    <w:rsid w:val="35112B28"/>
    <w:rsid w:val="35C75F4F"/>
    <w:rsid w:val="36FF6025"/>
    <w:rsid w:val="371E5229"/>
    <w:rsid w:val="379D15E7"/>
    <w:rsid w:val="37E93861"/>
    <w:rsid w:val="37F40213"/>
    <w:rsid w:val="39070333"/>
    <w:rsid w:val="3A355932"/>
    <w:rsid w:val="3C1817DF"/>
    <w:rsid w:val="3CE178DF"/>
    <w:rsid w:val="3E1F7B3F"/>
    <w:rsid w:val="3F584513"/>
    <w:rsid w:val="3F5A7455"/>
    <w:rsid w:val="3F5C7CA7"/>
    <w:rsid w:val="4059055A"/>
    <w:rsid w:val="43B72F8D"/>
    <w:rsid w:val="43FA0FC1"/>
    <w:rsid w:val="4782345F"/>
    <w:rsid w:val="47904FB9"/>
    <w:rsid w:val="4BA42C26"/>
    <w:rsid w:val="4D550455"/>
    <w:rsid w:val="4E700907"/>
    <w:rsid w:val="4EAD69ED"/>
    <w:rsid w:val="4F0B266E"/>
    <w:rsid w:val="504A7C44"/>
    <w:rsid w:val="51291FA8"/>
    <w:rsid w:val="52685B5A"/>
    <w:rsid w:val="52EA2463"/>
    <w:rsid w:val="55DE1203"/>
    <w:rsid w:val="568052C3"/>
    <w:rsid w:val="570F3CBB"/>
    <w:rsid w:val="572E7817"/>
    <w:rsid w:val="574D099F"/>
    <w:rsid w:val="587D26A1"/>
    <w:rsid w:val="58D7463B"/>
    <w:rsid w:val="590F317D"/>
    <w:rsid w:val="59EB3107"/>
    <w:rsid w:val="5A850258"/>
    <w:rsid w:val="5C3C1E1E"/>
    <w:rsid w:val="5C9448CD"/>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8807E4"/>
    <w:rsid w:val="74F51C1E"/>
    <w:rsid w:val="75201CD6"/>
    <w:rsid w:val="75E639E8"/>
    <w:rsid w:val="75F548DD"/>
    <w:rsid w:val="76563F83"/>
    <w:rsid w:val="76AF78B8"/>
    <w:rsid w:val="77527084"/>
    <w:rsid w:val="78AF3B85"/>
    <w:rsid w:val="79B05402"/>
    <w:rsid w:val="79F33210"/>
    <w:rsid w:val="7A0A6478"/>
    <w:rsid w:val="7A726C1A"/>
    <w:rsid w:val="7AE4389D"/>
    <w:rsid w:val="7C0B5867"/>
    <w:rsid w:val="7DA8628F"/>
    <w:rsid w:val="7F73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5"/>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 w:type="character" w:customStyle="1" w:styleId="15">
    <w:name w:val="标题 1 Char"/>
    <w:link w:val="2"/>
    <w:qFormat/>
    <w:uiPriority w:val="0"/>
    <w:rPr>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3269</Words>
  <Characters>18635</Characters>
  <Lines>155</Lines>
  <Paragraphs>43</Paragraphs>
  <TotalTime>2</TotalTime>
  <ScaleCrop>false</ScaleCrop>
  <LinksUpToDate>false</LinksUpToDate>
  <CharactersWithSpaces>21861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PHl/1LcKz4hlLzyaUjrsiFjH8psO0MgK53a323I/LJ5YG2Ky4ZirUq2ZgeiGg+gapHoXNvxm5coIyvRthRUOrA==</cp:lastModifiedBy>
  <dcterms:modified xsi:type="dcterms:W3CDTF">2021-04-01T01:12:56Z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