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000000" w:themeColor="text1"/>
          <w:sz w:val="30"/>
          <w:szCs w:val="30"/>
          <w14:textFill>
            <w14:solidFill>
              <w14:schemeClr w14:val="tx1"/>
            </w14:solidFill>
          </w14:textFill>
        </w:rPr>
      </w:pPr>
      <w:bookmarkStart w:id="0" w:name="_Toc286386830"/>
      <w:bookmarkStart w:id="1" w:name="_Toc114052336"/>
      <w:bookmarkStart w:id="2" w:name="_Toc114052410"/>
      <w:bookmarkStart w:id="3" w:name="_Toc1179"/>
      <w:bookmarkStart w:id="4" w:name="_Toc13323"/>
      <w:bookmarkStart w:id="5" w:name="_Toc9458"/>
      <w:bookmarkStart w:id="6" w:name="_Toc4003"/>
      <w:bookmarkStart w:id="7" w:name="_Toc16340"/>
      <w:bookmarkStart w:id="8" w:name="_Toc17022"/>
      <w:bookmarkStart w:id="9" w:name="_Toc25750632"/>
      <w:bookmarkStart w:id="10" w:name="_Toc12281"/>
      <w:bookmarkStart w:id="11" w:name="_Toc7547"/>
      <w:bookmarkStart w:id="12" w:name="_Toc15740"/>
      <w:bookmarkStart w:id="13" w:name="_Toc21919"/>
      <w:bookmarkStart w:id="14" w:name="_Toc25920"/>
      <w:bookmarkStart w:id="15" w:name="_Toc14991"/>
      <w:bookmarkStart w:id="16" w:name="_Toc9725"/>
      <w:bookmarkStart w:id="17" w:name="_Toc11424"/>
      <w:bookmarkStart w:id="18" w:name="_Toc9991"/>
      <w:bookmarkStart w:id="19" w:name="_Toc23292"/>
      <w:bookmarkStart w:id="20" w:name="_Toc28464"/>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ind w:left="-709" w:right="0" w:firstLine="880" w:firstLineChars="200"/>
        <w:jc w:val="center"/>
        <w:rPr>
          <w:rFonts w:hint="eastAsia"/>
          <w:sz w:val="44"/>
          <w:szCs w:val="44"/>
          <w:lang w:val="en-US" w:eastAsia="zh-CN"/>
        </w:rPr>
      </w:pPr>
      <w:r>
        <w:rPr>
          <w:rFonts w:hint="eastAsia"/>
          <w:sz w:val="44"/>
          <w:szCs w:val="44"/>
        </w:rPr>
        <w:t>南宁轨道交通集团有限责任公司运营分公</w:t>
      </w:r>
      <w:r>
        <w:rPr>
          <w:rFonts w:hint="eastAsia"/>
          <w:sz w:val="44"/>
          <w:szCs w:val="44"/>
          <w:lang w:val="en-US" w:eastAsia="zh-CN"/>
        </w:rPr>
        <w:t>司</w:t>
      </w:r>
    </w:p>
    <w:p>
      <w:pPr>
        <w:spacing w:before="0" w:afterAutospacing="0"/>
        <w:ind w:left="-709" w:right="0" w:firstLine="880" w:firstLineChars="200"/>
        <w:jc w:val="center"/>
        <w:rPr>
          <w:sz w:val="44"/>
          <w:szCs w:val="44"/>
        </w:rPr>
      </w:pPr>
      <w:r>
        <w:rPr>
          <w:rFonts w:hint="eastAsia"/>
          <w:sz w:val="44"/>
          <w:szCs w:val="44"/>
          <w:lang w:eastAsia="zh-CN"/>
        </w:rPr>
        <w:t>2021年斯密特备件</w:t>
      </w:r>
      <w:r>
        <w:rPr>
          <w:rFonts w:hint="eastAsia"/>
          <w:sz w:val="44"/>
          <w:szCs w:val="44"/>
        </w:rPr>
        <w:t>采购</w:t>
      </w:r>
      <w:r>
        <w:rPr>
          <w:rFonts w:hint="eastAsia"/>
          <w:sz w:val="44"/>
          <w:szCs w:val="44"/>
          <w:lang w:val="en-US" w:eastAsia="zh-CN"/>
        </w:rPr>
        <w:t>项</w:t>
      </w:r>
      <w:r>
        <w:rPr>
          <w:rFonts w:hint="eastAsia"/>
          <w:sz w:val="44"/>
          <w:szCs w:val="44"/>
        </w:rPr>
        <w:t>目</w:t>
      </w:r>
    </w:p>
    <w:tbl>
      <w:tblPr>
        <w:tblStyle w:val="27"/>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1" w:hRule="atLeast"/>
          <w:jc w:val="center"/>
        </w:trPr>
        <w:tc>
          <w:tcPr>
            <w:tcW w:w="1869" w:type="dxa"/>
          </w:tcPr>
          <w:p>
            <w:pPr>
              <w:rPr>
                <w:rFonts w:ascii="宋体" w:hAnsi="宋体"/>
                <w:kern w:val="2"/>
                <w:sz w:val="28"/>
                <w:szCs w:val="30"/>
              </w:rPr>
            </w:pPr>
            <w:r>
              <w:rPr>
                <w:rFonts w:hint="eastAsia" w:ascii="宋体" w:hAnsi="宋体"/>
                <w:kern w:val="2"/>
                <w:sz w:val="28"/>
                <w:szCs w:val="30"/>
              </w:rPr>
              <w:t>项目编号：</w:t>
            </w:r>
          </w:p>
        </w:tc>
        <w:tc>
          <w:tcPr>
            <w:tcW w:w="4761" w:type="dxa"/>
          </w:tcPr>
          <w:p>
            <w:pPr>
              <w:jc w:val="left"/>
              <w:rPr>
                <w:rFonts w:hint="eastAsia" w:ascii="宋体" w:hAnsi="宋体" w:eastAsia="宋体"/>
                <w:kern w:val="2"/>
                <w:sz w:val="28"/>
                <w:szCs w:val="30"/>
                <w:lang w:eastAsia="zh-CN"/>
              </w:rPr>
            </w:pPr>
            <w:r>
              <w:rPr>
                <w:rFonts w:hint="eastAsia" w:ascii="宋体" w:hAnsi="宋体"/>
                <w:kern w:val="2"/>
                <w:sz w:val="28"/>
                <w:szCs w:val="30"/>
                <w:lang w:eastAsia="zh-CN"/>
              </w:rPr>
              <w:t>NNGD-YY-BJBJ-2021067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kern w:val="2"/>
                <w:sz w:val="28"/>
                <w:szCs w:val="30"/>
              </w:rPr>
            </w:pPr>
            <w:r>
              <w:rPr>
                <w:rFonts w:hint="eastAsia" w:ascii="宋体" w:hAnsi="宋体"/>
                <w:kern w:val="2"/>
                <w:sz w:val="28"/>
                <w:szCs w:val="30"/>
              </w:rPr>
              <w:t>合同编号：</w:t>
            </w:r>
          </w:p>
        </w:tc>
        <w:tc>
          <w:tcPr>
            <w:tcW w:w="4761" w:type="dxa"/>
          </w:tcPr>
          <w:p>
            <w:pPr>
              <w:ind w:firstLine="560" w:firstLineChars="200"/>
              <w:jc w:val="left"/>
              <w:rPr>
                <w:rFonts w:ascii="宋体" w:hAnsi="宋体"/>
                <w:kern w:val="2"/>
                <w:sz w:val="28"/>
                <w:szCs w:val="30"/>
              </w:rPr>
            </w:pPr>
          </w:p>
        </w:tc>
      </w:tr>
    </w:tbl>
    <w:p>
      <w:pPr>
        <w:spacing w:line="240" w:lineRule="auto"/>
        <w:ind w:firstLine="3614" w:firstLineChars="500"/>
        <w:rPr>
          <w:rFonts w:ascii="楷体_GB2312" w:eastAsia="楷体_GB2312"/>
          <w:b/>
          <w:sz w:val="72"/>
          <w:szCs w:val="52"/>
        </w:rPr>
      </w:pPr>
      <w:r>
        <w:rPr>
          <w:rFonts w:hint="eastAsia"/>
          <w:b/>
          <w:sz w:val="72"/>
          <w:szCs w:val="52"/>
        </w:rPr>
        <w:t>合</w:t>
      </w:r>
    </w:p>
    <w:p>
      <w:pPr>
        <w:spacing w:line="240" w:lineRule="auto"/>
        <w:ind w:left="2371" w:leftChars="1129" w:firstLine="1887" w:firstLineChars="261"/>
        <w:rPr>
          <w:rFonts w:ascii="宋体" w:hAnsi="宋体"/>
          <w:b/>
          <w:sz w:val="72"/>
          <w:szCs w:val="52"/>
        </w:rPr>
      </w:pPr>
      <w:r>
        <w:rPr>
          <w:rFonts w:hint="eastAsia"/>
          <w:b/>
          <w:sz w:val="72"/>
          <w:szCs w:val="52"/>
        </w:rPr>
        <w:t>同</w:t>
      </w:r>
    </w:p>
    <w:p>
      <w:pPr>
        <w:spacing w:after="120" w:afterLines="50" w:line="240" w:lineRule="auto"/>
        <w:ind w:firstLine="3614" w:firstLineChars="500"/>
        <w:rPr>
          <w:b/>
          <w:sz w:val="72"/>
          <w:szCs w:val="52"/>
        </w:rPr>
      </w:pPr>
      <w:r>
        <w:rPr>
          <w:rFonts w:hint="eastAsia"/>
          <w:b/>
          <w:sz w:val="72"/>
          <w:szCs w:val="52"/>
        </w:rPr>
        <w:t>书</w:t>
      </w:r>
    </w:p>
    <w:p>
      <w:pPr>
        <w:ind w:firstLine="1044" w:firstLineChars="200"/>
        <w:jc w:val="center"/>
        <w:rPr>
          <w:rFonts w:ascii="宋体" w:hAnsi="宋体"/>
          <w:b/>
          <w:sz w:val="52"/>
        </w:rPr>
      </w:pPr>
      <w:r>
        <w:rPr>
          <w:rFonts w:ascii="宋体" w:hAnsi="宋体"/>
          <w:b/>
          <w:sz w:val="52"/>
        </w:rPr>
        <w:drawing>
          <wp:anchor distT="0" distB="0" distL="0" distR="0" simplePos="0" relativeHeight="251655168"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sz w:val="52"/>
        </w:rPr>
      </w:pPr>
    </w:p>
    <w:p>
      <w:pPr>
        <w:ind w:firstLine="1044" w:firstLineChars="200"/>
        <w:jc w:val="center"/>
        <w:rPr>
          <w:rFonts w:ascii="宋体" w:hAnsi="宋体"/>
          <w:b/>
          <w:sz w:val="52"/>
        </w:rPr>
      </w:pPr>
    </w:p>
    <w:p>
      <w:pPr>
        <w:spacing w:before="0" w:line="400" w:lineRule="exact"/>
        <w:ind w:firstLine="1124" w:firstLineChars="400"/>
        <w:rPr>
          <w:sz w:val="28"/>
          <w:szCs w:val="28"/>
        </w:rPr>
      </w:pPr>
      <w:r>
        <w:rPr>
          <w:rFonts w:hint="eastAsia" w:ascii="宋体" w:hAnsi="宋体"/>
          <w:b/>
          <w:sz w:val="28"/>
          <w:szCs w:val="28"/>
        </w:rPr>
        <w:t>甲</w:t>
      </w:r>
      <w:r>
        <w:rPr>
          <w:rFonts w:ascii="宋体" w:hAnsi="宋体"/>
          <w:b/>
          <w:sz w:val="28"/>
          <w:szCs w:val="28"/>
        </w:rPr>
        <w:t xml:space="preserve">    </w:t>
      </w:r>
      <w:r>
        <w:rPr>
          <w:rFonts w:hint="eastAsia" w:ascii="宋体" w:hAnsi="宋体"/>
          <w:b/>
          <w:sz w:val="28"/>
          <w:szCs w:val="28"/>
        </w:rPr>
        <w:t>方：</w:t>
      </w:r>
      <w:r>
        <w:rPr>
          <w:rFonts w:hint="eastAsia"/>
          <w:sz w:val="28"/>
          <w:szCs w:val="28"/>
        </w:rPr>
        <w:t>南宁轨道交通集团有限责任公司</w:t>
      </w:r>
    </w:p>
    <w:p>
      <w:pPr>
        <w:spacing w:before="0" w:line="400" w:lineRule="exact"/>
        <w:ind w:firstLine="1124" w:firstLineChars="400"/>
        <w:rPr>
          <w:rFonts w:ascii="宋体" w:hAnsi="宋体"/>
          <w:b/>
          <w:sz w:val="28"/>
          <w:szCs w:val="28"/>
        </w:rPr>
      </w:pPr>
      <w:r>
        <w:rPr>
          <w:rFonts w:hint="eastAsia" w:ascii="宋体" w:hAnsi="宋体"/>
          <w:b/>
          <w:sz w:val="28"/>
          <w:szCs w:val="28"/>
        </w:rPr>
        <w:t>乙</w:t>
      </w:r>
      <w:r>
        <w:rPr>
          <w:rFonts w:ascii="宋体" w:hAnsi="宋体"/>
          <w:b/>
          <w:sz w:val="28"/>
          <w:szCs w:val="28"/>
        </w:rPr>
        <w:t xml:space="preserve">    </w:t>
      </w:r>
      <w:r>
        <w:rPr>
          <w:rFonts w:hint="eastAsia" w:ascii="宋体" w:hAnsi="宋体"/>
          <w:b/>
          <w:sz w:val="28"/>
          <w:szCs w:val="28"/>
        </w:rPr>
        <w:t>方：</w:t>
      </w:r>
    </w:p>
    <w:p>
      <w:pPr>
        <w:spacing w:before="0" w:line="400" w:lineRule="exact"/>
        <w:ind w:firstLine="1124" w:firstLineChars="400"/>
        <w:rPr>
          <w:rFonts w:ascii="宋体" w:hAnsi="宋体"/>
          <w:b/>
          <w:sz w:val="28"/>
          <w:szCs w:val="28"/>
        </w:rPr>
      </w:pPr>
      <w:r>
        <w:rPr>
          <w:rFonts w:hint="eastAsia" w:ascii="宋体" w:hAnsi="宋体"/>
          <w:b/>
          <w:sz w:val="28"/>
          <w:szCs w:val="28"/>
        </w:rPr>
        <w:t>签约日期：</w:t>
      </w:r>
      <w:r>
        <w:rPr>
          <w:rFonts w:hint="eastAsia" w:ascii="宋体" w:hAnsi="宋体"/>
          <w:b/>
          <w:sz w:val="28"/>
          <w:szCs w:val="28"/>
          <w:u w:val="single"/>
          <w:lang w:val="en-US" w:eastAsia="zh-CN"/>
        </w:rPr>
        <w:t xml:space="preserve">      </w:t>
      </w:r>
      <w:r>
        <w:rPr>
          <w:rFonts w:hint="eastAsia" w:ascii="宋体" w:hAnsi="宋体"/>
          <w:sz w:val="28"/>
          <w:szCs w:val="28"/>
        </w:rPr>
        <w:t>年</w:t>
      </w:r>
      <w:r>
        <w:rPr>
          <w:rFonts w:hint="eastAsia" w:ascii="宋体" w:hAnsi="宋体"/>
          <w:b/>
          <w:bCs/>
          <w:sz w:val="28"/>
          <w:szCs w:val="28"/>
          <w:u w:val="single"/>
        </w:rPr>
        <w:t>　</w:t>
      </w:r>
      <w:r>
        <w:rPr>
          <w:rFonts w:ascii="宋体" w:hAnsi="宋体"/>
          <w:b/>
          <w:bCs/>
          <w:sz w:val="28"/>
          <w:szCs w:val="28"/>
          <w:u w:val="single"/>
        </w:rPr>
        <w:t xml:space="preserve">  </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w:t>
      </w:r>
      <w:r>
        <w:rPr>
          <w:rFonts w:ascii="宋体" w:hAnsi="宋体"/>
          <w:sz w:val="28"/>
          <w:szCs w:val="28"/>
          <w:u w:val="single"/>
        </w:rPr>
        <w:t xml:space="preserve">    </w:t>
      </w:r>
      <w:r>
        <w:rPr>
          <w:rFonts w:hint="eastAsia" w:ascii="宋体" w:hAnsi="宋体"/>
          <w:sz w:val="28"/>
          <w:szCs w:val="28"/>
        </w:rPr>
        <w:t>日</w:t>
      </w:r>
    </w:p>
    <w:p>
      <w:pPr>
        <w:spacing w:before="0" w:line="400" w:lineRule="exact"/>
        <w:ind w:right="-86" w:rightChars="-41" w:firstLine="1124" w:firstLineChars="400"/>
        <w:rPr>
          <w:rFonts w:ascii="宋体" w:hAnsi="宋体"/>
          <w:b/>
          <w:sz w:val="24"/>
        </w:rPr>
      </w:pPr>
      <w:r>
        <w:rPr>
          <w:rFonts w:hint="eastAsia" w:ascii="宋体" w:hAnsi="宋体"/>
          <w:b/>
          <w:sz w:val="28"/>
          <w:szCs w:val="28"/>
        </w:rPr>
        <w:t>签约</w:t>
      </w:r>
      <w:r>
        <w:rPr>
          <w:rFonts w:hint="eastAsia" w:ascii="宋体" w:hAnsi="宋体"/>
          <w:b/>
          <w:bCs/>
          <w:sz w:val="28"/>
          <w:szCs w:val="28"/>
        </w:rPr>
        <w:t>地点：</w:t>
      </w:r>
      <w:r>
        <w:rPr>
          <w:rFonts w:hint="eastAsia" w:ascii="宋体" w:hAnsi="宋体"/>
          <w:sz w:val="28"/>
          <w:szCs w:val="28"/>
        </w:rPr>
        <w:t>广西壮族自治区南宁市</w:t>
      </w:r>
    </w:p>
    <w:p>
      <w:pPr>
        <w:pStyle w:val="24"/>
        <w:spacing w:before="100" w:beforeAutospacing="1" w:after="0" w:line="400" w:lineRule="exact"/>
        <w:ind w:firstLine="482" w:firstLineChars="200"/>
        <w:rPr>
          <w:sz w:val="24"/>
        </w:rPr>
        <w:sectPr>
          <w:headerReference r:id="rId3" w:type="default"/>
          <w:footerReference r:id="rId5" w:type="default"/>
          <w:headerReference r:id="rId4" w:type="even"/>
          <w:footerReference r:id="rId6" w:type="even"/>
          <w:pgSz w:w="11906" w:h="16838"/>
          <w:pgMar w:top="1134" w:right="851" w:bottom="1134" w:left="1134" w:header="454" w:footer="454" w:gutter="0"/>
          <w:cols w:space="425" w:num="1"/>
          <w:docGrid w:linePitch="312" w:charSpace="0"/>
        </w:sectPr>
      </w:pPr>
    </w:p>
    <w:p>
      <w:pPr>
        <w:spacing w:before="0"/>
        <w:ind w:left="0" w:right="0" w:firstLine="0"/>
        <w:jc w:val="center"/>
        <w:outlineLvl w:val="1"/>
        <w:rPr>
          <w:rStyle w:val="50"/>
          <w:szCs w:val="22"/>
        </w:rPr>
      </w:pPr>
      <w:r>
        <w:rPr>
          <w:rStyle w:val="50"/>
          <w:rFonts w:hint="eastAsia"/>
          <w:kern w:val="44"/>
          <w:sz w:val="32"/>
          <w:szCs w:val="22"/>
        </w:rPr>
        <w:t>第一部分 合同协议书</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after="0" w:afterAutospacing="0"/>
        <w:ind w:left="0" w:right="0" w:firstLine="420" w:firstLineChars="200"/>
        <w:jc w:val="left"/>
        <w:rPr>
          <w:rFonts w:ascii="宋体" w:hAnsi="宋体"/>
          <w:u w:val="single"/>
        </w:rPr>
      </w:pPr>
      <w:r>
        <w:rPr>
          <w:rFonts w:hint="eastAsia" w:ascii="宋体" w:hAnsi="宋体"/>
        </w:rPr>
        <w:t>甲方：</w:t>
      </w:r>
      <w:r>
        <w:rPr>
          <w:rFonts w:hint="eastAsia" w:hAnsi="宋体" w:cs="Courier New"/>
          <w:u w:val="single"/>
        </w:rPr>
        <w:t xml:space="preserve">南宁轨道交通集团有限责任公司  </w:t>
      </w:r>
    </w:p>
    <w:p>
      <w:pPr>
        <w:spacing w:before="0" w:after="0" w:afterAutospacing="0"/>
        <w:ind w:left="0" w:right="0" w:firstLine="420" w:firstLineChars="200"/>
        <w:jc w:val="left"/>
        <w:rPr>
          <w:rFonts w:ascii="宋体" w:hAnsi="宋体"/>
        </w:rPr>
      </w:pPr>
      <w:r>
        <w:rPr>
          <w:rFonts w:hint="eastAsia" w:ascii="宋体" w:hAnsi="宋体"/>
        </w:rPr>
        <w:t>乙方：</w:t>
      </w:r>
      <w:r>
        <w:rPr>
          <w:rFonts w:ascii="宋体" w:hAnsi="宋体"/>
          <w:u w:val="single"/>
        </w:rPr>
        <w:t xml:space="preserve">                               </w:t>
      </w:r>
    </w:p>
    <w:p>
      <w:pPr>
        <w:spacing w:before="0" w:after="0" w:afterAutospacing="0"/>
        <w:ind w:left="0"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u w:val="single"/>
        </w:rPr>
        <w:t>（项目名称：南宁轨道交通集团运营分公司</w:t>
      </w:r>
      <w:r>
        <w:rPr>
          <w:rFonts w:hint="eastAsia" w:ascii="宋体" w:hAnsi="宋体"/>
          <w:u w:val="single"/>
          <w:lang w:eastAsia="zh-CN"/>
        </w:rPr>
        <w:t>2021年斯密特备件</w:t>
      </w:r>
      <w:r>
        <w:rPr>
          <w:rFonts w:hint="eastAsia" w:ascii="宋体" w:hAnsi="宋体"/>
          <w:u w:val="single"/>
        </w:rPr>
        <w:t>采购项目）</w:t>
      </w:r>
      <w:r>
        <w:rPr>
          <w:rFonts w:hint="eastAsia" w:ascii="宋体" w:hAnsi="宋体"/>
        </w:rPr>
        <w:t>（项目编号：</w:t>
      </w:r>
      <w:r>
        <w:rPr>
          <w:rFonts w:hint="eastAsia" w:ascii="宋体" w:hAnsi="宋体"/>
          <w:lang w:eastAsia="zh-CN"/>
        </w:rPr>
        <w:t>NNGD-YY-BJBJ-2021067</w:t>
      </w:r>
      <w:r>
        <w:rPr>
          <w:rFonts w:hint="eastAsia" w:ascii="宋体" w:hAnsi="宋体"/>
        </w:rPr>
        <w:t>）评审结果，依据《中华人民共和国合同法》的规定，签订协议。具体内容如下：</w:t>
      </w:r>
    </w:p>
    <w:p>
      <w:pPr>
        <w:spacing w:before="0" w:after="0" w:afterAutospacing="0"/>
        <w:ind w:left="0" w:right="0" w:firstLine="420" w:firstLineChars="200"/>
        <w:rPr>
          <w:rFonts w:ascii="宋体" w:hAnsi="宋体"/>
        </w:rPr>
      </w:pPr>
      <w:r>
        <w:rPr>
          <w:rFonts w:ascii="宋体" w:hAnsi="宋体" w:cs="Arial"/>
        </w:rPr>
        <w:t>1.甲方同意接受，乙方同意作为中选方并以下列第2条所述价格提供</w:t>
      </w:r>
      <w:r>
        <w:rPr>
          <w:rFonts w:hint="eastAsia" w:ascii="宋体" w:hAnsi="宋体"/>
          <w:u w:val="single"/>
        </w:rPr>
        <w:t>（南宁轨道交通集团运营分公司</w:t>
      </w:r>
      <w:r>
        <w:rPr>
          <w:rFonts w:hint="eastAsia" w:ascii="宋体" w:hAnsi="宋体"/>
          <w:u w:val="single"/>
          <w:lang w:eastAsia="zh-CN"/>
        </w:rPr>
        <w:t>2021年斯密特备件</w:t>
      </w:r>
      <w:r>
        <w:rPr>
          <w:rFonts w:hint="eastAsia" w:ascii="宋体" w:hAnsi="宋体"/>
          <w:u w:val="single"/>
        </w:rPr>
        <w:t>采购项目）</w:t>
      </w:r>
      <w:r>
        <w:rPr>
          <w:rFonts w:hint="eastAsia" w:ascii="宋体" w:hAnsi="宋体" w:cs="Arial"/>
        </w:rPr>
        <w:t>项下的货物和服务。</w:t>
      </w:r>
    </w:p>
    <w:p>
      <w:pPr>
        <w:tabs>
          <w:tab w:val="left" w:pos="567"/>
        </w:tabs>
        <w:spacing w:before="0" w:after="0" w:afterAutospacing="0"/>
        <w:ind w:left="0" w:right="0" w:firstLine="420" w:firstLineChars="200"/>
        <w:rPr>
          <w:rFonts w:ascii="宋体" w:hAnsi="宋体"/>
          <w:b/>
        </w:rPr>
      </w:pPr>
      <w:r>
        <w:rPr>
          <w:rFonts w:ascii="宋体" w:hAnsi="宋体"/>
        </w:rPr>
        <w:t>2.甲方接受乙方提供上述货物和服务的价格。不含税价：人民币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Autospacing="0"/>
        <w:ind w:left="0" w:right="0" w:firstLine="420" w:firstLineChars="200"/>
        <w:rPr>
          <w:rFonts w:ascii="宋体" w:hAnsi="宋体"/>
        </w:rPr>
      </w:pPr>
      <w:r>
        <w:rPr>
          <w:rFonts w:hint="eastAsia" w:ascii="宋体" w:hAnsi="宋体"/>
        </w:rPr>
        <w:t>其中1号线价格：不含税价人民币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left="0" w:right="0" w:firstLine="420" w:firstLineChars="200"/>
        <w:rPr>
          <w:rFonts w:ascii="宋体" w:hAnsi="宋体"/>
        </w:rPr>
      </w:pPr>
      <w:r>
        <w:rPr>
          <w:rFonts w:hint="eastAsia" w:ascii="宋体" w:hAnsi="宋体"/>
        </w:rPr>
        <w:t>2号线价格：不含税价人民币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0" w:afterAutospacing="0"/>
        <w:ind w:left="0" w:right="0" w:firstLine="420" w:firstLineChars="200"/>
        <w:rPr>
          <w:rFonts w:ascii="宋体" w:hAnsi="宋体"/>
          <w:b/>
        </w:rPr>
      </w:pPr>
      <w:r>
        <w:rPr>
          <w:rFonts w:hint="eastAsia" w:ascii="宋体" w:hAnsi="宋体"/>
        </w:rPr>
        <w:t>3号线价格：不含税价人民币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r>
        <w:rPr>
          <w:rFonts w:ascii="宋体" w:hAnsi="宋体"/>
        </w:rPr>
        <w:t>…………</w:t>
      </w:r>
    </w:p>
    <w:p>
      <w:pPr>
        <w:spacing w:before="0" w:after="0" w:afterAutospacing="0"/>
        <w:ind w:left="0" w:right="0" w:firstLine="420" w:firstLineChars="200"/>
        <w:rPr>
          <w:rFonts w:ascii="宋体" w:hAnsi="宋体"/>
        </w:rPr>
      </w:pPr>
      <w:r>
        <w:rPr>
          <w:rFonts w:ascii="宋体" w:hAnsi="宋体"/>
        </w:rPr>
        <w:t>3.本合同由下列文件构成：</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）本合同协议书（含合同谈判过程中的澄清文件和补充资料）；</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（2）合同条款；</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（3）价格组成文件；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（4）技术规格书；</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（5）合同附件；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（6）询比价文件（含询比价补遗文件）；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（7）询比价申请文件（含询比价申请文件的补充文件）。</w:t>
      </w:r>
    </w:p>
    <w:p>
      <w:pPr>
        <w:spacing w:before="0" w:after="0" w:afterAutospacing="0"/>
        <w:ind w:left="0" w:right="0" w:firstLine="420" w:firstLineChars="200"/>
        <w:rPr>
          <w:rFonts w:ascii="宋体" w:hAnsi="宋体" w:cs="Arial"/>
        </w:rPr>
      </w:pPr>
      <w:r>
        <w:rPr>
          <w:rFonts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w:t>
      </w:r>
    </w:p>
    <w:p>
      <w:pPr>
        <w:spacing w:before="0" w:after="0" w:afterAutospacing="0"/>
        <w:ind w:left="0" w:right="0" w:firstLine="420" w:firstLineChars="200"/>
        <w:rPr>
          <w:rFonts w:ascii="宋体" w:hAnsi="宋体" w:cs="Arial"/>
        </w:rPr>
      </w:pPr>
      <w:r>
        <w:rPr>
          <w:rFonts w:hint="eastAsia" w:ascii="宋体" w:hAnsi="宋体" w:cs="Arial"/>
        </w:rPr>
        <w:t>5.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rPr>
      </w:pPr>
      <w:r>
        <w:rPr>
          <w:rFonts w:hint="eastAsia" w:ascii="宋体" w:hAnsi="宋体" w:cs="Arial"/>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rPr>
      </w:pPr>
      <w:r>
        <w:rPr>
          <w:rFonts w:hint="eastAsia" w:ascii="宋体" w:hAnsi="宋体" w:cs="Arial"/>
        </w:rPr>
        <w:t>9.本合同用中文书写，正本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0" w:afterAutospacing="0"/>
        <w:ind w:left="0" w:right="0" w:firstLine="420" w:firstLineChars="200"/>
        <w:rPr>
          <w:rFonts w:ascii="宋体" w:hAnsi="宋体" w:cs="Arial"/>
        </w:rPr>
      </w:pPr>
      <w:r>
        <w:rPr>
          <w:rFonts w:hint="eastAsia" w:ascii="宋体" w:hAnsi="宋体" w:cs="Arial"/>
        </w:rPr>
        <w:t>10.本合同经双方法定代表人或授权代表签字、加盖单位公章后生效。</w:t>
      </w: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1"/>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11"/>
              <w:spacing w:before="0" w:after="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11"/>
              <w:spacing w:before="0" w:after="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开户银行：</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c>
          <w:tcPr>
            <w:tcW w:w="4261" w:type="dxa"/>
          </w:tcPr>
          <w:p>
            <w:pPr>
              <w:pStyle w:val="11"/>
              <w:spacing w:before="0" w:after="0"/>
              <w:ind w:right="0" w:firstLine="20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11"/>
              <w:spacing w:before="0" w:after="0"/>
              <w:ind w:right="0" w:firstLine="20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11"/>
              <w:spacing w:before="0" w:after="0"/>
              <w:ind w:right="0" w:firstLine="20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11"/>
              <w:spacing w:before="0" w:after="0"/>
              <w:ind w:left="708" w:right="0" w:hanging="707"/>
              <w:rPr>
                <w:rFonts w:hAnsi="宋体" w:cs="Courier New"/>
                <w:sz w:val="21"/>
                <w:szCs w:val="21"/>
              </w:rPr>
            </w:pPr>
            <w:r>
              <w:rPr>
                <w:rFonts w:hint="eastAsia" w:hAnsi="宋体" w:cs="Courier New"/>
                <w:sz w:val="21"/>
                <w:szCs w:val="21"/>
              </w:rPr>
              <w:t xml:space="preserve">    纳税人识别号：</w:t>
            </w:r>
            <w:r>
              <w:rPr>
                <w:rFonts w:hint="eastAsia" w:hAnsi="宋体" w:cs="Courier New"/>
                <w:sz w:val="21"/>
                <w:szCs w:val="21"/>
                <w:u w:val="single"/>
              </w:rPr>
              <w:t xml:space="preserve">                     </w:t>
            </w:r>
          </w:p>
        </w:tc>
      </w:tr>
    </w:tbl>
    <w:p>
      <w:pPr>
        <w:spacing w:before="0" w:after="0"/>
        <w:ind w:right="0" w:firstLine="200"/>
        <w:rPr>
          <w:rFonts w:ascii="宋体" w:hAnsi="宋体"/>
          <w:b/>
        </w:rPr>
      </w:pPr>
    </w:p>
    <w:p>
      <w:pPr>
        <w:spacing w:before="0"/>
        <w:ind w:left="0" w:right="0" w:firstLine="3584" w:firstLineChars="1700"/>
        <w:jc w:val="both"/>
        <w:rPr>
          <w:rFonts w:hint="default" w:ascii="宋体" w:hAnsi="宋体" w:eastAsia="宋体"/>
          <w:b/>
          <w:u w:val="single"/>
          <w:lang w:val="en-US" w:eastAsia="zh-CN"/>
        </w:rPr>
      </w:pPr>
      <w:r>
        <w:rPr>
          <w:rFonts w:hint="eastAsia" w:ascii="宋体" w:hAnsi="宋体"/>
          <w:b/>
        </w:rPr>
        <w:t>签订时间：</w:t>
      </w:r>
      <w:r>
        <w:rPr>
          <w:rFonts w:hint="eastAsia" w:ascii="宋体" w:hAnsi="宋体"/>
          <w:b/>
          <w:u w:val="single"/>
          <w:lang w:val="en-US" w:eastAsia="zh-CN"/>
        </w:rPr>
        <w:t xml:space="preserve">                 </w:t>
      </w:r>
    </w:p>
    <w:p>
      <w:pPr>
        <w:tabs>
          <w:tab w:val="left" w:pos="4089"/>
          <w:tab w:val="center" w:pos="4990"/>
        </w:tabs>
        <w:spacing w:before="0"/>
        <w:ind w:right="0" w:firstLine="200"/>
        <w:jc w:val="center"/>
        <w:outlineLvl w:val="1"/>
        <w:rPr>
          <w:rFonts w:ascii="宋体" w:hAnsi="宋体"/>
          <w:b/>
          <w:sz w:val="24"/>
          <w:szCs w:val="24"/>
        </w:rPr>
      </w:pPr>
      <w:r>
        <w:rPr>
          <w:rFonts w:ascii="宋体" w:hAnsi="宋体"/>
        </w:rPr>
        <w:br w:type="page"/>
      </w:r>
      <w:bookmarkStart w:id="21" w:name="_Toc10196"/>
      <w:bookmarkStart w:id="22" w:name="_Toc4133"/>
      <w:bookmarkStart w:id="23" w:name="_Toc18460"/>
      <w:bookmarkStart w:id="24" w:name="_Toc14469"/>
      <w:bookmarkStart w:id="25" w:name="_Toc7689"/>
      <w:bookmarkStart w:id="26" w:name="_Toc7529"/>
      <w:bookmarkStart w:id="27" w:name="_Toc9188"/>
      <w:bookmarkStart w:id="28" w:name="_Toc16743"/>
      <w:bookmarkStart w:id="29" w:name="_Toc24098"/>
      <w:bookmarkStart w:id="30" w:name="_Toc25942"/>
      <w:bookmarkStart w:id="31" w:name="_Toc258"/>
      <w:bookmarkStart w:id="32" w:name="_Toc9438"/>
      <w:bookmarkStart w:id="33" w:name="_Toc11253"/>
      <w:bookmarkStart w:id="34" w:name="_Toc24973"/>
      <w:bookmarkStart w:id="35" w:name="_Toc29876"/>
      <w:bookmarkStart w:id="36" w:name="_Toc997"/>
      <w:bookmarkStart w:id="37" w:name="_Toc25750634"/>
      <w:bookmarkStart w:id="38" w:name="_Toc12155"/>
      <w:r>
        <w:rPr>
          <w:rStyle w:val="50"/>
          <w:rFonts w:hint="eastAsia"/>
          <w:color w:val="000000" w:themeColor="text1"/>
          <w:kern w:val="44"/>
          <w:sz w:val="32"/>
          <w:szCs w:val="22"/>
          <w14:textFill>
            <w14:solidFill>
              <w14:schemeClr w14:val="tx1"/>
            </w14:solidFill>
          </w14:textFill>
        </w:rPr>
        <w:t>第二部分 合同条款</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tabs>
          <w:tab w:val="left" w:pos="640"/>
          <w:tab w:val="left" w:pos="1843"/>
        </w:tabs>
        <w:spacing w:before="0" w:after="0" w:afterAutospacing="0"/>
        <w:ind w:left="422" w:right="0" w:firstLine="0"/>
        <w:outlineLvl w:val="1"/>
        <w:rPr>
          <w:rFonts w:ascii="宋体" w:hAnsi="宋体"/>
          <w:b/>
        </w:rPr>
      </w:pPr>
      <w:bookmarkStart w:id="39" w:name="_Toc20484"/>
      <w:bookmarkStart w:id="40" w:name="_Toc2614"/>
      <w:bookmarkStart w:id="41" w:name="_Toc7961"/>
      <w:bookmarkStart w:id="42" w:name="_Toc10730"/>
      <w:bookmarkStart w:id="43" w:name="_Toc25643"/>
      <w:bookmarkStart w:id="44" w:name="_Toc18727"/>
      <w:bookmarkStart w:id="45" w:name="_Toc378514952"/>
      <w:bookmarkStart w:id="46" w:name="_Toc29932"/>
      <w:bookmarkStart w:id="47" w:name="_Toc4032"/>
      <w:bookmarkStart w:id="48" w:name="_Toc43"/>
      <w:bookmarkStart w:id="49" w:name="_Toc19920"/>
      <w:bookmarkStart w:id="50" w:name="_Toc390098464"/>
      <w:bookmarkStart w:id="51" w:name="_Toc14287"/>
      <w:bookmarkStart w:id="52" w:name="_Toc28024"/>
      <w:bookmarkStart w:id="53" w:name="_Toc22880"/>
      <w:bookmarkStart w:id="54" w:name="_Toc12080"/>
      <w:bookmarkStart w:id="55" w:name="_Toc492478763"/>
      <w:bookmarkStart w:id="56" w:name="_Toc25750635"/>
      <w:bookmarkStart w:id="57" w:name="_Toc12256"/>
      <w:bookmarkStart w:id="58" w:name="_Toc6054"/>
      <w:bookmarkStart w:id="59" w:name="_Toc31691"/>
      <w:bookmarkStart w:id="60" w:name="_Toc385427838"/>
      <w:bookmarkStart w:id="61" w:name="_Toc15707"/>
      <w:bookmarkStart w:id="62" w:name="_Toc370933855"/>
      <w:r>
        <w:rPr>
          <w:rFonts w:ascii="宋体" w:hAnsi="宋体"/>
          <w:b/>
        </w:rPr>
        <w:t>1.定义及解释</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“备品备件”系指比选申请人须向比选人提供的用于系统维护、更换、修复的零部件、材料。</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“专用工具及仪器仪表”系指比选申请人须向比选人提供的用于系统维护、更换、修复的专用工具及仪器仪表。</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“天”、“日”系指日历天。</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“周”系指7</w:t>
      </w:r>
      <w:r>
        <w:rPr>
          <w:rFonts w:hint="eastAsia" w:ascii="宋体" w:hAnsi="宋体"/>
        </w:rPr>
        <w:t>个日历天。</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“月”系指日历月。</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“不可抗力”指合同条款第19条赋予的含义。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0" w:afterAutospacing="0"/>
        <w:ind w:left="0" w:right="0" w:firstLine="420" w:firstLineChars="200"/>
        <w:rPr>
          <w:rFonts w:ascii="宋体" w:hAnsi="宋体"/>
        </w:rPr>
      </w:pPr>
      <w:r>
        <w:rPr>
          <w:rFonts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0" w:afterAutospacing="0"/>
        <w:ind w:left="0" w:right="0" w:firstLine="420" w:firstLineChars="200"/>
        <w:rPr>
          <w:rFonts w:ascii="宋体" w:hAnsi="宋体"/>
        </w:rPr>
      </w:pPr>
      <w:r>
        <w:rPr>
          <w:rFonts w:ascii="宋体" w:hAnsi="宋体"/>
        </w:rPr>
        <w:t xml:space="preserve"> “质量保证期”按本项目《</w:t>
      </w:r>
      <w:r>
        <w:rPr>
          <w:rFonts w:hint="eastAsia" w:ascii="宋体" w:hAnsi="宋体"/>
        </w:rPr>
        <w:t>技术需求及数量表》中的质保期要求。</w:t>
      </w:r>
    </w:p>
    <w:p>
      <w:pPr>
        <w:numPr>
          <w:ilvl w:val="2"/>
          <w:numId w:val="1"/>
        </w:numPr>
        <w:spacing w:before="0" w:after="0" w:afterAutospacing="0"/>
        <w:ind w:left="0" w:right="0" w:firstLine="420" w:firstLineChars="200"/>
        <w:rPr>
          <w:rFonts w:ascii="宋体" w:hAnsi="宋体" w:cs="Arial"/>
        </w:rPr>
      </w:pPr>
      <w:r>
        <w:rPr>
          <w:rFonts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0" w:afterAutospacing="0"/>
        <w:ind w:left="0" w:right="0" w:firstLine="420" w:firstLineChars="200"/>
        <w:rPr>
          <w:rFonts w:ascii="宋体" w:hAnsi="宋体" w:cs="Arial"/>
        </w:rPr>
      </w:pPr>
      <w:r>
        <w:rPr>
          <w:rFonts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0" w:afterAutospacing="0"/>
        <w:ind w:left="0" w:right="0" w:firstLine="422" w:firstLineChars="200"/>
        <w:rPr>
          <w:rFonts w:ascii="宋体" w:hAnsi="宋体" w:cs="Arial"/>
        </w:rPr>
      </w:pPr>
      <w:r>
        <w:rPr>
          <w:rFonts w:ascii="宋体" w:hAnsi="宋体" w:cs="Arial"/>
          <w:b/>
        </w:rPr>
        <w:t xml:space="preserve"> “计量检定”系指所有计量仪器仪表都需提供国家计量认证资质（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63" w:name="_Toc4212"/>
      <w:bookmarkStart w:id="64" w:name="_Toc370933856"/>
      <w:bookmarkStart w:id="65" w:name="_Toc4255"/>
      <w:bookmarkStart w:id="66" w:name="_Toc25750636"/>
      <w:bookmarkStart w:id="67" w:name="_Toc23112"/>
      <w:bookmarkStart w:id="68" w:name="_Toc378514953"/>
      <w:bookmarkStart w:id="69" w:name="_Toc390098465"/>
      <w:bookmarkStart w:id="70" w:name="_Toc4301"/>
      <w:bookmarkStart w:id="71" w:name="_Toc7813"/>
      <w:bookmarkStart w:id="72" w:name="_Toc23247"/>
      <w:bookmarkStart w:id="73" w:name="_Toc385427839"/>
      <w:bookmarkStart w:id="74" w:name="_Toc13835"/>
      <w:bookmarkStart w:id="75" w:name="_Toc7059"/>
      <w:bookmarkStart w:id="76" w:name="_Toc25826"/>
      <w:bookmarkStart w:id="77" w:name="_Toc23305"/>
      <w:bookmarkStart w:id="78" w:name="_Toc8477"/>
      <w:bookmarkStart w:id="79" w:name="_Toc3180"/>
      <w:bookmarkStart w:id="80" w:name="_Toc30815"/>
      <w:bookmarkStart w:id="81" w:name="_Toc18178"/>
      <w:bookmarkStart w:id="82" w:name="_Toc492478764"/>
      <w:bookmarkStart w:id="83" w:name="_Toc19899"/>
      <w:bookmarkStart w:id="84" w:name="_Toc15944"/>
      <w:bookmarkStart w:id="85" w:name="_Toc5955"/>
      <w:bookmarkStart w:id="86" w:name="_Toc1169"/>
      <w:r>
        <w:rPr>
          <w:rFonts w:ascii="宋体" w:hAnsi="宋体"/>
          <w:b/>
        </w:rPr>
        <w:t>2.适用性</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numPr>
          <w:ilvl w:val="1"/>
          <w:numId w:val="2"/>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87" w:name="_Toc12248"/>
      <w:bookmarkStart w:id="88" w:name="_Toc4969"/>
      <w:bookmarkStart w:id="89" w:name="_Toc3397"/>
      <w:bookmarkStart w:id="90" w:name="_Toc3131"/>
      <w:bookmarkStart w:id="91" w:name="_Toc14437"/>
      <w:bookmarkStart w:id="92" w:name="_Toc9864"/>
      <w:bookmarkStart w:id="93" w:name="_Toc25750637"/>
      <w:bookmarkStart w:id="94" w:name="_Toc13801"/>
      <w:bookmarkStart w:id="95" w:name="_Toc18092"/>
      <w:bookmarkStart w:id="96" w:name="_Toc26983"/>
      <w:bookmarkStart w:id="97" w:name="_Toc5253"/>
      <w:bookmarkStart w:id="98" w:name="_Toc4738"/>
      <w:bookmarkStart w:id="99" w:name="_Toc9306"/>
      <w:bookmarkStart w:id="100" w:name="_Toc385427840"/>
      <w:bookmarkStart w:id="101" w:name="_Toc378514954"/>
      <w:bookmarkStart w:id="102" w:name="_Toc21065"/>
      <w:bookmarkStart w:id="103" w:name="_Toc11803"/>
      <w:bookmarkStart w:id="104" w:name="_Toc4898"/>
      <w:bookmarkStart w:id="105" w:name="_Toc21603"/>
      <w:bookmarkStart w:id="106" w:name="_Toc15308"/>
      <w:bookmarkStart w:id="107" w:name="_Toc3674"/>
      <w:bookmarkStart w:id="108" w:name="_Toc370933857"/>
      <w:bookmarkStart w:id="109" w:name="_Toc492478765"/>
      <w:bookmarkStart w:id="110" w:name="_Toc390098466"/>
      <w:r>
        <w:rPr>
          <w:rFonts w:ascii="宋体" w:hAnsi="宋体"/>
          <w:b/>
        </w:rPr>
        <w:t>3.来源地</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rPr>
      </w:pPr>
      <w:bookmarkStart w:id="111" w:name="_Toc390098467"/>
      <w:bookmarkStart w:id="112" w:name="_Toc12180"/>
      <w:bookmarkStart w:id="113" w:name="_Toc385427841"/>
      <w:bookmarkStart w:id="114" w:name="_Toc10807"/>
      <w:bookmarkStart w:id="115" w:name="_Toc19514"/>
      <w:bookmarkStart w:id="116" w:name="_Toc18548"/>
      <w:bookmarkStart w:id="117" w:name="_Toc11626"/>
      <w:bookmarkStart w:id="118" w:name="_Toc492478766"/>
      <w:bookmarkStart w:id="119" w:name="_Toc370933858"/>
      <w:bookmarkStart w:id="120" w:name="_Toc14713"/>
      <w:bookmarkStart w:id="121" w:name="_Toc23249"/>
      <w:bookmarkStart w:id="122" w:name="_Toc16646"/>
      <w:bookmarkStart w:id="123" w:name="_Toc25311"/>
      <w:bookmarkStart w:id="124" w:name="_Toc27450"/>
      <w:bookmarkStart w:id="125" w:name="_Toc25750638"/>
      <w:bookmarkStart w:id="126" w:name="_Toc21641"/>
      <w:bookmarkStart w:id="127" w:name="_Toc21289"/>
      <w:bookmarkStart w:id="128" w:name="_Toc11524"/>
      <w:bookmarkStart w:id="129" w:name="_Toc3318"/>
      <w:bookmarkStart w:id="130" w:name="_Toc14273"/>
      <w:bookmarkStart w:id="131" w:name="_Toc2708"/>
      <w:bookmarkStart w:id="132" w:name="_Toc378514955"/>
      <w:bookmarkStart w:id="133" w:name="_Toc23258"/>
      <w:bookmarkStart w:id="134" w:name="_Toc21356"/>
      <w:r>
        <w:rPr>
          <w:rFonts w:ascii="宋体" w:hAnsi="宋体"/>
          <w:b/>
        </w:rPr>
        <w:t>4.标准</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rPr>
      </w:pPr>
      <w:bookmarkStart w:id="135" w:name="_Toc390098468"/>
      <w:bookmarkStart w:id="136" w:name="_Toc2352"/>
      <w:bookmarkStart w:id="137" w:name="_Toc370933859"/>
      <w:bookmarkStart w:id="138" w:name="_Toc4048"/>
      <w:bookmarkStart w:id="139" w:name="_Toc22040"/>
      <w:bookmarkStart w:id="140" w:name="_Toc17081"/>
      <w:bookmarkStart w:id="141" w:name="_Toc18813"/>
      <w:bookmarkStart w:id="142" w:name="_Toc24783"/>
      <w:bookmarkStart w:id="143" w:name="_Toc385427842"/>
      <w:bookmarkStart w:id="144" w:name="_Toc2304"/>
      <w:bookmarkStart w:id="145" w:name="_Toc20372"/>
      <w:bookmarkStart w:id="146" w:name="_Toc3165"/>
      <w:bookmarkStart w:id="147" w:name="_Toc31912"/>
      <w:bookmarkStart w:id="148" w:name="_Toc19358"/>
      <w:bookmarkStart w:id="149" w:name="_Toc25750639"/>
      <w:bookmarkStart w:id="150" w:name="_Toc378514956"/>
      <w:bookmarkStart w:id="151" w:name="_Toc23539"/>
      <w:bookmarkStart w:id="152" w:name="_Toc13516"/>
      <w:bookmarkStart w:id="153" w:name="_Toc14089"/>
      <w:bookmarkStart w:id="154" w:name="_Toc11487"/>
      <w:bookmarkStart w:id="155" w:name="_Toc27620"/>
      <w:bookmarkStart w:id="156" w:name="_Toc10995"/>
      <w:bookmarkStart w:id="157" w:name="_Toc492478767"/>
      <w:bookmarkStart w:id="158" w:name="_Toc18617"/>
      <w:r>
        <w:rPr>
          <w:rFonts w:ascii="宋体" w:hAnsi="宋体"/>
          <w:b/>
        </w:rPr>
        <w:t>5.合同文件、资料及使用</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rPr>
      </w:pPr>
      <w:bookmarkStart w:id="159" w:name="_Toc17100"/>
      <w:bookmarkStart w:id="160" w:name="_Toc16793"/>
      <w:bookmarkStart w:id="161" w:name="_Toc24189"/>
      <w:bookmarkStart w:id="162" w:name="_Toc2096"/>
      <w:bookmarkStart w:id="163" w:name="_Toc17102"/>
      <w:bookmarkStart w:id="164" w:name="_Toc23542"/>
      <w:bookmarkStart w:id="165" w:name="_Toc25750640"/>
      <w:bookmarkStart w:id="166" w:name="_Toc16891"/>
      <w:bookmarkStart w:id="167" w:name="_Toc18946"/>
      <w:bookmarkStart w:id="168" w:name="_Toc8848"/>
      <w:bookmarkStart w:id="169" w:name="_Toc23274"/>
      <w:bookmarkStart w:id="170" w:name="_Toc17908"/>
      <w:bookmarkStart w:id="171" w:name="_Toc378514957"/>
      <w:bookmarkStart w:id="172" w:name="_Toc15801"/>
      <w:bookmarkStart w:id="173" w:name="_Toc12048"/>
      <w:bookmarkStart w:id="174" w:name="_Toc370933860"/>
      <w:bookmarkStart w:id="175" w:name="_Toc25104"/>
      <w:bookmarkStart w:id="176" w:name="_Toc492478768"/>
      <w:bookmarkStart w:id="177" w:name="_Toc385427843"/>
      <w:bookmarkStart w:id="178" w:name="_Toc4739"/>
      <w:bookmarkStart w:id="179" w:name="_Toc2340"/>
      <w:bookmarkStart w:id="180" w:name="_Toc25049"/>
      <w:bookmarkStart w:id="181" w:name="_Toc5930"/>
      <w:bookmarkStart w:id="182" w:name="_Toc390098469"/>
      <w:r>
        <w:rPr>
          <w:rFonts w:ascii="宋体" w:hAnsi="宋体"/>
          <w:b/>
        </w:rPr>
        <w:t>6.知识产权</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rPr>
      </w:pPr>
      <w:bookmarkStart w:id="183" w:name="_Toc11516"/>
      <w:bookmarkStart w:id="184" w:name="_Toc24887"/>
      <w:bookmarkStart w:id="185" w:name="_Toc385427844"/>
      <w:bookmarkStart w:id="186" w:name="_Toc21755"/>
      <w:bookmarkStart w:id="187" w:name="_Toc7460"/>
      <w:bookmarkStart w:id="188" w:name="_Toc21848"/>
      <w:bookmarkStart w:id="189" w:name="_Toc378514958"/>
      <w:bookmarkStart w:id="190" w:name="_Toc492478769"/>
      <w:bookmarkStart w:id="191" w:name="_Toc17489"/>
      <w:bookmarkStart w:id="192" w:name="_Toc20551"/>
      <w:bookmarkStart w:id="193" w:name="_Toc29337"/>
      <w:bookmarkStart w:id="194" w:name="_Toc370933861"/>
      <w:bookmarkStart w:id="195" w:name="_Toc6777"/>
      <w:bookmarkStart w:id="196" w:name="_Toc7907"/>
      <w:bookmarkStart w:id="197" w:name="_Toc828"/>
      <w:bookmarkStart w:id="198" w:name="_Toc390098470"/>
      <w:bookmarkStart w:id="199" w:name="_Toc7187"/>
      <w:bookmarkStart w:id="200" w:name="_Toc25750641"/>
      <w:bookmarkStart w:id="201" w:name="_Toc17901"/>
      <w:bookmarkStart w:id="202" w:name="_Toc1869"/>
      <w:bookmarkStart w:id="203" w:name="_Toc2076"/>
      <w:bookmarkStart w:id="204" w:name="_Toc25327"/>
      <w:bookmarkStart w:id="205" w:name="_Toc25888"/>
      <w:bookmarkStart w:id="206" w:name="_Toc29127"/>
      <w:r>
        <w:rPr>
          <w:rFonts w:ascii="宋体" w:hAnsi="宋体"/>
          <w:b/>
        </w:rPr>
        <w:t>7.履约担保</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在合同签订前，乙方应向甲方提供履约担保，履约担保金额为合同价格的</w:t>
      </w:r>
      <w:r>
        <w:rPr>
          <w:rFonts w:ascii="宋体" w:hAnsi="宋体" w:cs="Arial"/>
        </w:rPr>
        <w:t>5%</w:t>
      </w:r>
      <w:r>
        <w:rPr>
          <w:rFonts w:hint="eastAsia" w:ascii="宋体" w:hAnsi="宋体" w:cs="Arial"/>
        </w:rPr>
        <w:t>，履约担保可以采用履约保证金的形式。</w:t>
      </w:r>
    </w:p>
    <w:p>
      <w:pPr>
        <w:spacing w:before="0" w:after="0" w:afterAutospacing="0"/>
        <w:ind w:left="0"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w:t>
      </w:r>
      <w:r>
        <w:rPr>
          <w:rFonts w:hint="eastAsia" w:ascii="宋体" w:hAnsi="宋体" w:cs="Arial"/>
          <w:color w:val="FF0000"/>
        </w:rPr>
        <w:t>千分之三</w:t>
      </w:r>
      <w:r>
        <w:rPr>
          <w:rFonts w:hint="eastAsia" w:ascii="宋体" w:hAnsi="宋体" w:cs="Arial"/>
        </w:rPr>
        <w:t>的违约金。</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0" w:afterAutospacing="0"/>
        <w:ind w:left="422" w:right="0" w:firstLine="0"/>
        <w:outlineLvl w:val="1"/>
        <w:rPr>
          <w:rFonts w:ascii="宋体" w:hAnsi="宋体"/>
          <w:b/>
        </w:rPr>
      </w:pPr>
      <w:bookmarkStart w:id="207" w:name="_Toc97"/>
      <w:bookmarkStart w:id="208" w:name="_Toc25750642"/>
      <w:bookmarkStart w:id="209" w:name="_Toc30234"/>
      <w:bookmarkStart w:id="210" w:name="_Toc12113"/>
      <w:bookmarkStart w:id="211" w:name="_Toc2613"/>
      <w:bookmarkStart w:id="212" w:name="_Toc20899"/>
      <w:bookmarkStart w:id="213" w:name="_Toc32711"/>
      <w:bookmarkStart w:id="214" w:name="_Toc20252"/>
      <w:bookmarkStart w:id="215" w:name="_Toc31795"/>
      <w:bookmarkStart w:id="216" w:name="_Toc20550"/>
      <w:bookmarkStart w:id="217" w:name="_Toc25873"/>
      <w:bookmarkStart w:id="218" w:name="_Toc26034"/>
      <w:bookmarkStart w:id="219" w:name="_Toc5676"/>
      <w:bookmarkStart w:id="220" w:name="_Toc7801"/>
      <w:bookmarkStart w:id="221" w:name="_Toc21872"/>
      <w:bookmarkStart w:id="222" w:name="_Toc32382"/>
      <w:bookmarkStart w:id="223" w:name="_Toc29729"/>
      <w:bookmarkStart w:id="224" w:name="_Toc1990"/>
      <w:bookmarkStart w:id="225" w:name="_Toc15512"/>
      <w:r>
        <w:rPr>
          <w:rFonts w:ascii="宋体" w:hAnsi="宋体"/>
          <w:b/>
        </w:rPr>
        <w:t>8.检验</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技术需求及数量表规定要求计量检定检验的物资，交货时每件货物均须提供检验报告、并粘贴检定</w:t>
      </w:r>
      <w:r>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甲方负责的部分</w:t>
      </w:r>
    </w:p>
    <w:p>
      <w:pPr>
        <w:spacing w:before="0" w:after="0" w:afterAutospacing="0"/>
        <w:ind w:left="0"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为检验提供货物</w:t>
      </w:r>
    </w:p>
    <w:p>
      <w:pPr>
        <w:spacing w:before="0" w:after="0" w:afterAutospacing="0"/>
        <w:ind w:left="0"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检验和验收过程中涉及的赔偿条款在合同条款第32条中规定。</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rPr>
      </w:pPr>
      <w:bookmarkStart w:id="226" w:name="_Toc1637"/>
      <w:bookmarkStart w:id="227" w:name="_Toc492478771"/>
      <w:bookmarkStart w:id="228" w:name="_Toc28074"/>
      <w:bookmarkStart w:id="229" w:name="_Toc24667"/>
      <w:bookmarkStart w:id="230" w:name="_Toc390098472"/>
      <w:bookmarkStart w:id="231" w:name="_Toc8820"/>
      <w:bookmarkStart w:id="232" w:name="_Toc370933863"/>
      <w:bookmarkStart w:id="233" w:name="_Toc19218"/>
      <w:bookmarkStart w:id="234" w:name="_Toc4466"/>
      <w:bookmarkStart w:id="235" w:name="_Toc17625"/>
      <w:bookmarkStart w:id="236" w:name="_Toc13241"/>
      <w:bookmarkStart w:id="237" w:name="_Toc6736"/>
      <w:bookmarkStart w:id="238" w:name="_Toc385427846"/>
      <w:bookmarkStart w:id="239" w:name="_Toc15199"/>
      <w:bookmarkStart w:id="240" w:name="_Toc378514960"/>
      <w:bookmarkStart w:id="241" w:name="_Toc4089"/>
      <w:bookmarkStart w:id="242" w:name="_Toc22940"/>
      <w:bookmarkStart w:id="243" w:name="_Toc17673"/>
      <w:bookmarkStart w:id="244" w:name="_Toc16105"/>
      <w:bookmarkStart w:id="245" w:name="_Toc8743"/>
      <w:bookmarkStart w:id="246" w:name="_Toc489"/>
      <w:bookmarkStart w:id="247" w:name="_Toc25750643"/>
      <w:bookmarkStart w:id="248" w:name="_Toc15424"/>
      <w:bookmarkStart w:id="249" w:name="_Toc23750"/>
      <w:r>
        <w:rPr>
          <w:rFonts w:ascii="宋体" w:hAnsi="宋体"/>
          <w:b/>
        </w:rPr>
        <w:t>9.包装</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rPr>
      </w:pPr>
      <w:bookmarkStart w:id="250" w:name="_Toc29215"/>
      <w:bookmarkStart w:id="251" w:name="_Toc7316"/>
      <w:bookmarkStart w:id="252" w:name="_Toc3212"/>
      <w:bookmarkStart w:id="253" w:name="_Toc390098473"/>
      <w:bookmarkStart w:id="254" w:name="_Toc25134"/>
      <w:bookmarkStart w:id="255" w:name="_Toc492478772"/>
      <w:bookmarkStart w:id="256" w:name="_Toc30933"/>
      <w:bookmarkStart w:id="257" w:name="_Toc1543"/>
      <w:bookmarkStart w:id="258" w:name="_Toc20949"/>
      <w:bookmarkStart w:id="259" w:name="_Toc9928"/>
      <w:bookmarkStart w:id="260" w:name="_Toc31936"/>
      <w:bookmarkStart w:id="261" w:name="_Toc6233"/>
      <w:bookmarkStart w:id="262" w:name="_Toc18168"/>
      <w:bookmarkStart w:id="263" w:name="_Toc370933864"/>
      <w:bookmarkStart w:id="264" w:name="_Toc385427847"/>
      <w:bookmarkStart w:id="265" w:name="_Toc1828"/>
      <w:bookmarkStart w:id="266" w:name="_Toc14727"/>
      <w:bookmarkStart w:id="267" w:name="_Toc378514961"/>
      <w:bookmarkStart w:id="268" w:name="_Toc24077"/>
      <w:bookmarkStart w:id="269" w:name="_Toc25750644"/>
      <w:bookmarkStart w:id="270" w:name="_Toc25234"/>
      <w:bookmarkStart w:id="271" w:name="_Toc14492"/>
      <w:bookmarkStart w:id="272" w:name="_Toc11827"/>
      <w:bookmarkStart w:id="273" w:name="_Toc15856"/>
      <w:r>
        <w:rPr>
          <w:rFonts w:ascii="宋体" w:hAnsi="宋体"/>
          <w:b/>
        </w:rPr>
        <w:t>10交货和单据</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highlight w:val="none"/>
        </w:rPr>
        <w:t xml:space="preserve"> 交货期：</w:t>
      </w:r>
      <w:r>
        <w:rPr>
          <w:rFonts w:hint="eastAsia" w:ascii="宋体" w:hAnsi="宋体"/>
          <w:color w:val="0000FF"/>
          <w:highlight w:val="none"/>
          <w:lang w:val="en-US" w:eastAsia="zh-CN"/>
        </w:rPr>
        <w:t>90</w:t>
      </w:r>
      <w:r>
        <w:rPr>
          <w:rFonts w:hint="eastAsia" w:ascii="宋体" w:hAnsi="宋体"/>
          <w:color w:val="0000FF"/>
          <w:highlight w:val="none"/>
        </w:rPr>
        <w:t>天</w:t>
      </w:r>
      <w:r>
        <w:rPr>
          <w:rFonts w:hint="eastAsia" w:ascii="宋体" w:hAnsi="宋体"/>
          <w:highlight w:val="none"/>
        </w:rPr>
        <w:t>内（合同</w:t>
      </w:r>
      <w:r>
        <w:rPr>
          <w:rFonts w:hint="eastAsia" w:ascii="宋体" w:hAnsi="宋体"/>
        </w:rPr>
        <w:t>签订后按交货通知书交货，具体按交货通知为准），如遇进口物资，进口物资交货期可适当延长，延长情况以中选人提供的报关单或其他相关证明材料为准，但不得超过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乙方应负责将货物交到合同规定的交货地点并负责货物交到交货地点的一切费用，包括运输、装卸、保险、仓储等费用。乙方应提供的装运细节和/</w:t>
      </w:r>
      <w:r>
        <w:rPr>
          <w:rFonts w:hint="eastAsia" w:ascii="宋体" w:hAnsi="宋体"/>
        </w:rPr>
        <w:t>或其他单据执行合同条款的具体规定。</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rPr>
      </w:pPr>
      <w:bookmarkStart w:id="274" w:name="_Toc370933865"/>
      <w:bookmarkStart w:id="275" w:name="_Toc18844"/>
      <w:bookmarkStart w:id="276" w:name="_Toc29174"/>
      <w:bookmarkStart w:id="277" w:name="_Toc22801"/>
      <w:bookmarkStart w:id="278" w:name="_Toc3042"/>
      <w:bookmarkStart w:id="279" w:name="_Toc23304"/>
      <w:bookmarkStart w:id="280" w:name="_Toc20395"/>
      <w:bookmarkStart w:id="281" w:name="_Toc9877"/>
      <w:bookmarkStart w:id="282" w:name="_Toc22446"/>
      <w:bookmarkStart w:id="283" w:name="_Toc3365"/>
      <w:bookmarkStart w:id="284" w:name="_Toc390098474"/>
      <w:bookmarkStart w:id="285" w:name="_Toc378514962"/>
      <w:bookmarkStart w:id="286" w:name="_Toc25434"/>
      <w:bookmarkStart w:id="287" w:name="_Toc385427848"/>
      <w:bookmarkStart w:id="288" w:name="_Toc14212"/>
      <w:bookmarkStart w:id="289" w:name="_Toc10285"/>
      <w:bookmarkStart w:id="290" w:name="_Toc25750645"/>
      <w:bookmarkStart w:id="291" w:name="_Toc23157"/>
      <w:bookmarkStart w:id="292" w:name="_Toc11528"/>
      <w:bookmarkStart w:id="293" w:name="_Toc26573"/>
      <w:bookmarkStart w:id="294" w:name="_Toc2014"/>
      <w:bookmarkStart w:id="295" w:name="_Toc492478773"/>
      <w:bookmarkStart w:id="296" w:name="_Toc23906"/>
      <w:bookmarkStart w:id="297" w:name="_Toc11638"/>
      <w:r>
        <w:rPr>
          <w:rFonts w:ascii="宋体" w:hAnsi="宋体"/>
          <w:b/>
        </w:rPr>
        <w:t>11.所有权与风险转移</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rPr>
      </w:pPr>
      <w:bookmarkStart w:id="298" w:name="_Toc26080"/>
      <w:bookmarkStart w:id="299" w:name="_Toc5445"/>
      <w:bookmarkStart w:id="300" w:name="_Toc5208"/>
      <w:bookmarkStart w:id="301" w:name="_Toc22558"/>
      <w:bookmarkStart w:id="302" w:name="_Toc2366"/>
      <w:bookmarkStart w:id="303" w:name="_Toc390098476"/>
      <w:bookmarkStart w:id="304" w:name="_Toc28209"/>
      <w:bookmarkStart w:id="305" w:name="_Toc22984"/>
      <w:bookmarkStart w:id="306" w:name="_Toc12408"/>
      <w:bookmarkStart w:id="307" w:name="_Toc20300"/>
      <w:bookmarkStart w:id="308" w:name="_Toc385427850"/>
      <w:bookmarkStart w:id="309" w:name="_Toc28122"/>
      <w:bookmarkStart w:id="310" w:name="_Toc25750646"/>
      <w:bookmarkStart w:id="311" w:name="_Toc3640"/>
      <w:bookmarkStart w:id="312" w:name="_Toc5330"/>
      <w:bookmarkStart w:id="313" w:name="_Toc26828"/>
      <w:bookmarkStart w:id="314" w:name="_Toc492478775"/>
      <w:bookmarkStart w:id="315" w:name="_Toc31008"/>
      <w:bookmarkStart w:id="316" w:name="_Toc17205"/>
      <w:bookmarkStart w:id="317" w:name="_Toc13663"/>
      <w:bookmarkStart w:id="318" w:name="_Toc28032"/>
      <w:bookmarkStart w:id="319" w:name="_Toc370933867"/>
      <w:bookmarkStart w:id="320" w:name="_Toc1991"/>
      <w:bookmarkStart w:id="321" w:name="_Toc378514964"/>
      <w:r>
        <w:rPr>
          <w:rFonts w:ascii="宋体" w:hAnsi="宋体"/>
          <w:b/>
        </w:rPr>
        <w:t>12.运输</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numPr>
          <w:ilvl w:val="0"/>
          <w:numId w:val="1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乙方应在任何货物运送至甲方指定现场日期前</w:t>
      </w:r>
      <w:r>
        <w:rPr>
          <w:rFonts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rPr>
      </w:pPr>
      <w:bookmarkStart w:id="322" w:name="_Toc25594"/>
      <w:bookmarkStart w:id="323" w:name="_Toc28351"/>
      <w:bookmarkStart w:id="324" w:name="_Toc25750647"/>
      <w:bookmarkStart w:id="325" w:name="_Toc21300"/>
      <w:bookmarkStart w:id="326" w:name="_Toc390098477"/>
      <w:bookmarkStart w:id="327" w:name="_Toc492478776"/>
      <w:bookmarkStart w:id="328" w:name="_Toc606"/>
      <w:bookmarkStart w:id="329" w:name="_Toc20434"/>
      <w:bookmarkStart w:id="330" w:name="_Toc23976"/>
      <w:bookmarkStart w:id="331" w:name="_Toc18029"/>
      <w:bookmarkStart w:id="332" w:name="_Toc13163"/>
      <w:bookmarkStart w:id="333" w:name="_Toc10693"/>
      <w:bookmarkStart w:id="334" w:name="_Toc2108"/>
      <w:bookmarkStart w:id="335" w:name="_Toc15819"/>
      <w:bookmarkStart w:id="336" w:name="_Toc7764"/>
      <w:bookmarkStart w:id="337" w:name="_Toc23523"/>
      <w:bookmarkStart w:id="338" w:name="_Toc370933868"/>
      <w:bookmarkStart w:id="339" w:name="_Toc385427851"/>
      <w:bookmarkStart w:id="340" w:name="_Toc31553"/>
      <w:bookmarkStart w:id="341" w:name="_Toc28552"/>
      <w:bookmarkStart w:id="342" w:name="_Toc23350"/>
      <w:bookmarkStart w:id="343" w:name="_Toc10639"/>
      <w:bookmarkStart w:id="344" w:name="_Toc25004"/>
      <w:bookmarkStart w:id="345" w:name="_Toc378514965"/>
      <w:r>
        <w:rPr>
          <w:rFonts w:ascii="宋体" w:hAnsi="宋体"/>
          <w:b/>
        </w:rPr>
        <w:t>13.服务</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rPr>
      </w:pPr>
      <w:bookmarkStart w:id="346" w:name="_Toc459730442"/>
      <w:bookmarkEnd w:id="346"/>
      <w:bookmarkStart w:id="347" w:name="_Toc459730459"/>
      <w:bookmarkEnd w:id="347"/>
      <w:bookmarkStart w:id="348" w:name="_Toc459730456"/>
      <w:bookmarkEnd w:id="348"/>
      <w:bookmarkStart w:id="349" w:name="_Toc459730453"/>
      <w:bookmarkEnd w:id="349"/>
      <w:bookmarkStart w:id="350" w:name="_Toc459797512"/>
      <w:bookmarkEnd w:id="350"/>
      <w:bookmarkStart w:id="351" w:name="_Toc459797508"/>
      <w:bookmarkEnd w:id="351"/>
      <w:bookmarkStart w:id="352" w:name="_Toc459797510"/>
      <w:bookmarkEnd w:id="352"/>
      <w:bookmarkStart w:id="353" w:name="_Toc459797504"/>
      <w:bookmarkEnd w:id="353"/>
      <w:bookmarkStart w:id="354" w:name="_Toc459797506"/>
      <w:bookmarkEnd w:id="354"/>
      <w:bookmarkStart w:id="355" w:name="_Toc459797511"/>
      <w:bookmarkEnd w:id="355"/>
      <w:bookmarkStart w:id="356" w:name="_Toc459730448"/>
      <w:bookmarkEnd w:id="356"/>
      <w:bookmarkStart w:id="357" w:name="_Toc459797505"/>
      <w:bookmarkEnd w:id="357"/>
      <w:bookmarkStart w:id="358" w:name="_Toc459797502"/>
      <w:bookmarkEnd w:id="358"/>
      <w:bookmarkStart w:id="359" w:name="_Toc459730455"/>
      <w:bookmarkEnd w:id="359"/>
      <w:bookmarkStart w:id="360" w:name="_Toc459730454"/>
      <w:bookmarkEnd w:id="360"/>
      <w:bookmarkStart w:id="361" w:name="_Toc459797499"/>
      <w:bookmarkEnd w:id="361"/>
      <w:bookmarkStart w:id="362" w:name="_Toc459797509"/>
      <w:bookmarkEnd w:id="362"/>
      <w:bookmarkStart w:id="363" w:name="_Toc459730449"/>
      <w:bookmarkEnd w:id="363"/>
      <w:bookmarkStart w:id="364" w:name="_Toc459797497"/>
      <w:bookmarkEnd w:id="364"/>
      <w:bookmarkStart w:id="365" w:name="_Toc459730447"/>
      <w:bookmarkEnd w:id="365"/>
      <w:bookmarkStart w:id="366" w:name="_Toc459797501"/>
      <w:bookmarkEnd w:id="366"/>
      <w:bookmarkStart w:id="367" w:name="_Toc459797496"/>
      <w:bookmarkEnd w:id="367"/>
      <w:bookmarkStart w:id="368" w:name="_Toc459730443"/>
      <w:bookmarkEnd w:id="368"/>
      <w:bookmarkStart w:id="369" w:name="_Toc459797498"/>
      <w:bookmarkEnd w:id="369"/>
      <w:bookmarkStart w:id="370" w:name="_Toc459730457"/>
      <w:bookmarkEnd w:id="370"/>
      <w:bookmarkStart w:id="371" w:name="_Toc459730444"/>
      <w:bookmarkEnd w:id="371"/>
      <w:bookmarkStart w:id="372" w:name="_Toc459797500"/>
      <w:bookmarkEnd w:id="372"/>
      <w:bookmarkStart w:id="373" w:name="_Toc459730445"/>
      <w:bookmarkEnd w:id="373"/>
      <w:bookmarkStart w:id="374" w:name="_Toc459797495"/>
      <w:bookmarkEnd w:id="374"/>
      <w:bookmarkStart w:id="375" w:name="_Toc459730458"/>
      <w:bookmarkEnd w:id="375"/>
      <w:bookmarkStart w:id="376" w:name="_Toc459730451"/>
      <w:bookmarkEnd w:id="376"/>
      <w:bookmarkStart w:id="377" w:name="_Toc459730446"/>
      <w:bookmarkEnd w:id="377"/>
      <w:bookmarkStart w:id="378" w:name="_Toc459730452"/>
      <w:bookmarkEnd w:id="378"/>
      <w:bookmarkStart w:id="379" w:name="_Toc459797503"/>
      <w:bookmarkEnd w:id="379"/>
      <w:bookmarkStart w:id="380" w:name="_Toc459797507"/>
      <w:bookmarkEnd w:id="380"/>
      <w:bookmarkStart w:id="381" w:name="_Toc459730450"/>
      <w:bookmarkEnd w:id="381"/>
      <w:bookmarkStart w:id="382" w:name="_Toc23897"/>
      <w:bookmarkStart w:id="383" w:name="_Toc378514967"/>
      <w:bookmarkStart w:id="384" w:name="_Toc4379"/>
      <w:bookmarkStart w:id="385" w:name="_Toc25253"/>
      <w:bookmarkStart w:id="386" w:name="_Toc8003"/>
      <w:bookmarkStart w:id="387" w:name="_Toc19245"/>
      <w:bookmarkStart w:id="388" w:name="_Toc18790"/>
      <w:bookmarkStart w:id="389" w:name="_Toc385427853"/>
      <w:bookmarkStart w:id="390" w:name="_Toc14019"/>
      <w:bookmarkStart w:id="391" w:name="_Toc19108"/>
      <w:bookmarkStart w:id="392" w:name="_Toc25750648"/>
      <w:bookmarkStart w:id="393" w:name="_Toc370933870"/>
      <w:bookmarkStart w:id="394" w:name="_Toc28676"/>
      <w:bookmarkStart w:id="395" w:name="_Toc28005"/>
      <w:bookmarkStart w:id="396" w:name="_Toc29198"/>
      <w:bookmarkStart w:id="397" w:name="_Toc26522"/>
      <w:bookmarkStart w:id="398" w:name="_Toc20368"/>
      <w:bookmarkStart w:id="399" w:name="_Toc7041"/>
      <w:bookmarkStart w:id="400" w:name="_Toc10410"/>
      <w:bookmarkStart w:id="401" w:name="_Toc27587"/>
      <w:bookmarkStart w:id="402" w:name="_Toc390098479"/>
      <w:bookmarkStart w:id="403" w:name="_Toc28755"/>
      <w:bookmarkStart w:id="404" w:name="_Toc492478777"/>
      <w:bookmarkStart w:id="405" w:name="_Toc1101"/>
      <w:r>
        <w:rPr>
          <w:rFonts w:ascii="宋体" w:hAnsi="宋体"/>
          <w:b/>
        </w:rPr>
        <w:t>14.保证</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0" w:afterAutospacing="0"/>
        <w:ind w:left="0" w:right="0" w:firstLine="420" w:firstLineChars="200"/>
        <w:rPr>
          <w:rFonts w:ascii="宋体" w:hAnsi="宋体"/>
        </w:rPr>
      </w:pPr>
      <w:r>
        <w:rPr>
          <w:rFonts w:hint="eastAsia" w:ascii="宋体" w:hAnsi="宋体"/>
        </w:rPr>
        <w:t>质量保证期</w:t>
      </w:r>
    </w:p>
    <w:p>
      <w:pPr>
        <w:numPr>
          <w:ilvl w:val="2"/>
          <w:numId w:val="14"/>
        </w:numPr>
        <w:spacing w:before="0" w:after="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0" w:afterAutospacing="0"/>
        <w:ind w:left="0"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ascii="宋体" w:hAnsi="宋体"/>
          <w:b/>
          <w:highlight w:val="none"/>
          <w:u w:val="single"/>
        </w:rPr>
        <w:t xml:space="preserve"> </w:t>
      </w:r>
      <w:r>
        <w:rPr>
          <w:rFonts w:ascii="宋体" w:hAnsi="宋体"/>
          <w:b/>
          <w:highlight w:val="yellow"/>
          <w:u w:val="single"/>
        </w:rPr>
        <w:t xml:space="preserve"> 24 </w:t>
      </w:r>
      <w:r>
        <w:rPr>
          <w:rFonts w:ascii="宋体" w:hAnsi="宋体"/>
          <w:b/>
          <w:highlight w:val="none"/>
          <w:u w:val="single"/>
        </w:rPr>
        <w:t xml:space="preserve"> </w:t>
      </w:r>
      <w:r>
        <w:rPr>
          <w:rFonts w:hint="eastAsia" w:ascii="宋体" w:hAnsi="宋体"/>
          <w:b/>
          <w:highlight w:val="none"/>
        </w:rPr>
        <w:t>个月</w:t>
      </w:r>
      <w:r>
        <w:rPr>
          <w:rFonts w:hint="eastAsia" w:ascii="宋体" w:hAnsi="宋体"/>
          <w:b/>
          <w:color w:val="auto"/>
          <w:highlight w:val="none"/>
        </w:rPr>
        <w:t>（</w:t>
      </w:r>
      <w:r>
        <w:rPr>
          <w:rFonts w:hint="eastAsia" w:ascii="宋体" w:hAnsi="宋体"/>
          <w:b/>
          <w:highlight w:val="none"/>
        </w:rPr>
        <w:t>如中选人</w:t>
      </w:r>
      <w:r>
        <w:rPr>
          <w:rFonts w:hint="eastAsia" w:ascii="宋体" w:hAnsi="宋体"/>
          <w:b/>
        </w:rPr>
        <w:t>询比价申请文件中承诺的质量保证期优于询比价文件要求，按询比价申请人承诺的质量保证期执行）</w:t>
      </w:r>
      <w:r>
        <w:rPr>
          <w:rFonts w:hint="eastAsia" w:ascii="宋体" w:hAnsi="宋体"/>
        </w:rPr>
        <w:t>。</w:t>
      </w:r>
    </w:p>
    <w:p>
      <w:pPr>
        <w:spacing w:before="0" w:after="0" w:afterAutospacing="0"/>
        <w:ind w:left="0" w:right="0" w:firstLine="420" w:firstLineChars="200"/>
        <w:rPr>
          <w:rFonts w:ascii="宋体" w:hAnsi="宋体"/>
        </w:rPr>
      </w:pPr>
      <w:r>
        <w:rPr>
          <w:rFonts w:ascii="宋体" w:hAnsi="宋体"/>
        </w:rPr>
        <w:t xml:space="preserve">14.5.1.2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w:t>
      </w:r>
      <w:bookmarkStart w:id="1017" w:name="_GoBack"/>
      <w:bookmarkEnd w:id="1017"/>
      <w:r>
        <w:rPr>
          <w:rFonts w:hint="eastAsia" w:ascii="宋体" w:hAnsi="宋体"/>
        </w:rPr>
        <w:t>陷或项目任何部分的损害，根据合同条款</w:t>
      </w:r>
      <w:r>
        <w:rPr>
          <w:rFonts w:ascii="宋体" w:hAnsi="宋体"/>
        </w:rPr>
        <w:t>14条和32条的规定向甲方承担责任，并满足甲方的要求。</w:t>
      </w:r>
    </w:p>
    <w:p>
      <w:pPr>
        <w:spacing w:before="0" w:after="0" w:afterAutospacing="0"/>
        <w:ind w:left="0" w:right="0" w:firstLine="420" w:firstLineChars="200"/>
        <w:rPr>
          <w:rFonts w:ascii="宋体" w:hAnsi="宋体"/>
        </w:rPr>
      </w:pPr>
      <w:r>
        <w:rPr>
          <w:rFonts w:ascii="宋体" w:hAnsi="宋体"/>
        </w:rPr>
        <w:t xml:space="preserve">14.5.1.3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FF0000"/>
          <w:u w:val="single"/>
          <w:lang w:val="en-US" w:eastAsia="zh-CN"/>
        </w:rPr>
        <w:t xml:space="preserve"> </w:t>
      </w:r>
      <w:r>
        <w:rPr>
          <w:rFonts w:hint="eastAsia" w:ascii="宋体" w:hAnsi="宋体"/>
          <w:color w:val="FF0000"/>
          <w:highlight w:val="yellow"/>
          <w:u w:val="single"/>
          <w:lang w:val="en-US" w:eastAsia="zh-CN"/>
        </w:rPr>
        <w:t xml:space="preserve"> 24 </w:t>
      </w:r>
      <w:r>
        <w:rPr>
          <w:rFonts w:hint="eastAsia" w:ascii="宋体" w:hAnsi="宋体"/>
          <w:color w:val="FF0000"/>
          <w:u w:val="single"/>
          <w:lang w:val="en-US" w:eastAsia="zh-CN"/>
        </w:rPr>
        <w:t xml:space="preserve"> </w:t>
      </w:r>
      <w:r>
        <w:rPr>
          <w:rFonts w:hint="eastAsia" w:ascii="宋体" w:hAnsi="宋体"/>
        </w:rPr>
        <w:t>个月的质量保证期。</w:t>
      </w:r>
    </w:p>
    <w:p>
      <w:pPr>
        <w:spacing w:before="0" w:after="0" w:afterAutospacing="0"/>
        <w:ind w:left="0" w:right="0" w:firstLine="422" w:firstLineChars="200"/>
        <w:rPr>
          <w:rFonts w:ascii="宋体" w:hAnsi="宋体"/>
        </w:rPr>
      </w:pPr>
      <w:r>
        <w:rPr>
          <w:rFonts w:ascii="宋体" w:hAnsi="宋体"/>
          <w:b/>
          <w:bCs/>
        </w:rPr>
        <w:t xml:space="preserve">14.5.1.4 </w:t>
      </w:r>
      <w:r>
        <w:rPr>
          <w:rFonts w:hint="eastAsia" w:ascii="宋体" w:hAnsi="宋体"/>
          <w:b/>
          <w:bCs/>
        </w:rPr>
        <w:t>本合同项下的货物（包含所有零部件）正常质量保</w:t>
      </w:r>
      <w:r>
        <w:rPr>
          <w:rFonts w:hint="eastAsia" w:ascii="宋体" w:hAnsi="宋体"/>
          <w:b/>
          <w:bCs/>
          <w:highlight w:val="none"/>
        </w:rPr>
        <w:t>证期</w:t>
      </w:r>
      <w:r>
        <w:rPr>
          <w:rFonts w:ascii="宋体" w:hAnsi="宋体"/>
          <w:b/>
          <w:bCs/>
          <w:highlight w:val="none"/>
          <w:u w:val="single"/>
        </w:rPr>
        <w:t xml:space="preserve"> </w:t>
      </w:r>
      <w:r>
        <w:rPr>
          <w:rFonts w:ascii="宋体" w:hAnsi="宋体"/>
          <w:b/>
          <w:bCs/>
          <w:highlight w:val="yellow"/>
          <w:u w:val="single"/>
        </w:rPr>
        <w:t xml:space="preserve"> </w:t>
      </w:r>
      <w:r>
        <w:rPr>
          <w:rFonts w:hint="eastAsia" w:ascii="宋体" w:hAnsi="宋体"/>
          <w:b/>
          <w:bCs/>
          <w:highlight w:val="yellow"/>
          <w:u w:val="single"/>
        </w:rPr>
        <w:t>24</w:t>
      </w:r>
      <w:r>
        <w:rPr>
          <w:rFonts w:ascii="宋体" w:hAnsi="宋体"/>
          <w:b/>
          <w:bCs/>
          <w:highlight w:val="yellow"/>
          <w:u w:val="single"/>
        </w:rPr>
        <w:t xml:space="preserve"> </w:t>
      </w:r>
      <w:r>
        <w:rPr>
          <w:rFonts w:ascii="宋体" w:hAnsi="宋体"/>
          <w:b/>
          <w:bCs/>
          <w:highlight w:val="none"/>
          <w:u w:val="single"/>
        </w:rPr>
        <w:t xml:space="preserve"> </w:t>
      </w:r>
      <w:r>
        <w:rPr>
          <w:rFonts w:hint="eastAsia" w:ascii="宋体" w:hAnsi="宋体"/>
          <w:b/>
          <w:bCs/>
          <w:highlight w:val="none"/>
        </w:rPr>
        <w:t>个月（如</w:t>
      </w:r>
      <w:r>
        <w:rPr>
          <w:rFonts w:hint="eastAsia" w:ascii="宋体" w:hAnsi="宋体"/>
          <w:b/>
          <w:bCs/>
        </w:rPr>
        <w:t>中选人</w:t>
      </w:r>
      <w:r>
        <w:rPr>
          <w:rFonts w:hint="eastAsia" w:ascii="宋体" w:hAnsi="宋体"/>
          <w:b/>
        </w:rPr>
        <w:t>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 xml:space="preserve">14.5.1.6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乙方收到通知后应在合同条款第</w:t>
      </w:r>
      <w:r>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rPr>
      </w:pPr>
      <w:bookmarkStart w:id="406" w:name="_Toc30070"/>
      <w:bookmarkStart w:id="407" w:name="_Toc32188"/>
      <w:bookmarkStart w:id="408" w:name="_Toc385427854"/>
      <w:bookmarkStart w:id="409" w:name="_Toc23773"/>
      <w:bookmarkStart w:id="410" w:name="_Toc13916"/>
      <w:bookmarkStart w:id="411" w:name="_Toc886"/>
      <w:bookmarkStart w:id="412" w:name="_Toc1295"/>
      <w:bookmarkStart w:id="413" w:name="_Toc24420"/>
      <w:bookmarkStart w:id="414" w:name="_Toc28560"/>
      <w:bookmarkStart w:id="415" w:name="_Toc11315"/>
      <w:bookmarkStart w:id="416" w:name="_Toc370933871"/>
      <w:bookmarkStart w:id="417" w:name="_Toc390098480"/>
      <w:bookmarkStart w:id="418" w:name="_Toc16602"/>
      <w:bookmarkStart w:id="419" w:name="_Toc3299"/>
      <w:bookmarkStart w:id="420" w:name="_Toc19053"/>
      <w:bookmarkStart w:id="421" w:name="_Toc23162"/>
      <w:bookmarkStart w:id="422" w:name="_Toc21624"/>
      <w:bookmarkStart w:id="423" w:name="_Toc26721"/>
      <w:bookmarkStart w:id="424" w:name="_Toc13238"/>
      <w:bookmarkStart w:id="425" w:name="_Toc25750649"/>
      <w:bookmarkStart w:id="426" w:name="_Toc378514968"/>
      <w:bookmarkStart w:id="427" w:name="_Toc10179"/>
      <w:bookmarkStart w:id="428" w:name="_Toc32206"/>
      <w:bookmarkStart w:id="429" w:name="_Toc492478778"/>
      <w:r>
        <w:rPr>
          <w:rFonts w:ascii="宋体" w:hAnsi="宋体"/>
          <w:b/>
        </w:rPr>
        <w:t>15.付款</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numPr>
          <w:ilvl w:val="1"/>
          <w:numId w:val="15"/>
        </w:numPr>
        <w:tabs>
          <w:tab w:val="left" w:pos="960"/>
          <w:tab w:val="left" w:pos="8364"/>
        </w:tabs>
        <w:spacing w:before="0" w:after="0" w:afterAutospacing="0"/>
        <w:ind w:left="0" w:right="0" w:firstLine="420" w:firstLineChars="200"/>
        <w:rPr>
          <w:rFonts w:ascii="宋体" w:hAnsi="宋体"/>
        </w:rPr>
      </w:pPr>
      <w:bookmarkStart w:id="430" w:name="_Toc378514969"/>
      <w:bookmarkStart w:id="431" w:name="_Toc370933872"/>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0" w:afterAutospacing="0"/>
        <w:ind w:left="0" w:right="0" w:firstLine="420" w:firstLineChars="200"/>
        <w:rPr>
          <w:rFonts w:ascii="宋体" w:hAnsi="宋体" w:cs="Arial"/>
          <w:b/>
        </w:rPr>
      </w:pPr>
      <w:r>
        <w:rPr>
          <w:rFonts w:hint="eastAsia" w:ascii="宋体" w:hAnsi="宋体" w:cs="Arial"/>
        </w:rPr>
        <w:t>付款方式。</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15.3.1甲方在收到由乙方提供的以下合格材料后4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③全部货物验收合格证明。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②双方确认的质保期满后产品合格证明。</w:t>
      </w:r>
    </w:p>
    <w:p>
      <w:pPr>
        <w:numPr>
          <w:ilvl w:val="1"/>
          <w:numId w:val="15"/>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0" w:afterAutospacing="0"/>
        <w:ind w:left="0" w:right="0" w:firstLine="420" w:firstLineChars="200"/>
        <w:rPr>
          <w:rFonts w:ascii="宋体" w:hAnsi="宋体"/>
        </w:rPr>
      </w:pPr>
      <w:r>
        <w:rPr>
          <w:rFonts w:hint="eastAsia" w:ascii="宋体" w:hAnsi="宋体" w:cs="Arial"/>
        </w:rPr>
        <w:t>本合同项下涉及</w:t>
      </w:r>
      <w:r>
        <w:rPr>
          <w:rFonts w:ascii="宋体" w:hAnsi="宋体" w:cs="Arial"/>
          <w:u w:val="single"/>
        </w:rPr>
        <w:t xml:space="preserve">                 </w:t>
      </w:r>
      <w:r>
        <w:rPr>
          <w:rFonts w:hint="eastAsia" w:ascii="宋体" w:hAnsi="宋体" w:cs="Arial"/>
        </w:rPr>
        <w:t>付款的，由甲方组织签订甲方、乙方、丙方（</w:t>
      </w:r>
      <w:r>
        <w:rPr>
          <w:rFonts w:ascii="宋体" w:hAnsi="宋体" w:cs="Arial"/>
          <w:u w:val="single"/>
        </w:rPr>
        <w:t xml:space="preserve">                </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的三方协议，乙方按本合同规定的程序向丙方开具发票（开票信息另行提供），由丙方向乙方支付经甲方核准的合同应付价款。（如有）</w:t>
      </w:r>
    </w:p>
    <w:p>
      <w:pPr>
        <w:tabs>
          <w:tab w:val="left" w:pos="840"/>
          <w:tab w:val="left" w:pos="1134"/>
        </w:tabs>
        <w:spacing w:before="0" w:after="0" w:afterAutospacing="0"/>
        <w:ind w:left="426" w:right="0" w:firstLine="0"/>
        <w:outlineLvl w:val="1"/>
        <w:rPr>
          <w:rFonts w:ascii="宋体" w:hAnsi="宋体"/>
        </w:rPr>
      </w:pPr>
      <w:bookmarkStart w:id="432" w:name="_Toc25750650"/>
      <w:bookmarkStart w:id="433" w:name="_Toc385427855"/>
      <w:bookmarkStart w:id="434" w:name="_Toc30094"/>
      <w:bookmarkStart w:id="435" w:name="_Toc9852"/>
      <w:bookmarkStart w:id="436" w:name="_Toc2069"/>
      <w:bookmarkStart w:id="437" w:name="_Toc16641"/>
      <w:bookmarkStart w:id="438" w:name="_Toc19387"/>
      <w:bookmarkStart w:id="439" w:name="_Toc24274"/>
      <w:bookmarkStart w:id="440" w:name="_Toc26222"/>
      <w:bookmarkStart w:id="441" w:name="_Toc9642"/>
      <w:bookmarkStart w:id="442" w:name="_Toc492478779"/>
      <w:bookmarkStart w:id="443" w:name="_Toc18890"/>
      <w:bookmarkStart w:id="444" w:name="_Toc390098481"/>
      <w:bookmarkStart w:id="445" w:name="_Toc12979"/>
      <w:bookmarkStart w:id="446" w:name="_Toc28757"/>
      <w:bookmarkStart w:id="447" w:name="_Toc4697"/>
      <w:bookmarkStart w:id="448" w:name="_Toc12729"/>
      <w:bookmarkStart w:id="449" w:name="_Toc2957"/>
      <w:bookmarkStart w:id="450" w:name="_Toc18054"/>
      <w:bookmarkStart w:id="451" w:name="_Toc22179"/>
      <w:bookmarkStart w:id="452" w:name="_Toc13281"/>
      <w:bookmarkStart w:id="453" w:name="_Toc27798"/>
      <w:r>
        <w:rPr>
          <w:rFonts w:ascii="宋体" w:hAnsi="宋体"/>
          <w:b/>
        </w:rPr>
        <w:t>16.价格</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合同价格执行以下条款的规定。</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其中</w:t>
      </w:r>
      <w:r>
        <w:rPr>
          <w:rFonts w:ascii="宋体" w:hAnsi="宋体"/>
        </w:rPr>
        <w:t>1号线价格：不含税价：人民币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；（如有）</w:t>
      </w:r>
    </w:p>
    <w:p>
      <w:pPr>
        <w:tabs>
          <w:tab w:val="left" w:pos="960"/>
          <w:tab w:val="left" w:pos="1134"/>
          <w:tab w:val="left" w:pos="8364"/>
        </w:tabs>
        <w:spacing w:before="0" w:after="0" w:afterAutospacing="0"/>
        <w:ind w:left="420" w:right="0" w:firstLine="0"/>
        <w:rPr>
          <w:rFonts w:ascii="宋体" w:hAnsi="宋体"/>
        </w:rPr>
      </w:pPr>
      <w:r>
        <w:rPr>
          <w:rFonts w:ascii="宋体" w:hAnsi="宋体"/>
        </w:rPr>
        <w:t>2号线价格：不含税价：不含税价：人民币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；（如有）</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3号线价格：不含税价：不含税价：人民币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  %；含税价：人民币</w:t>
      </w:r>
      <w:r>
        <w:rPr>
          <w:rFonts w:ascii="宋体" w:hAnsi="宋体"/>
          <w:u w:val="single"/>
        </w:rPr>
        <w:t xml:space="preserve">       (¥  )</w:t>
      </w:r>
      <w:r>
        <w:rPr>
          <w:rFonts w:hint="eastAsia" w:ascii="宋体" w:hAnsi="宋体"/>
        </w:rPr>
        <w:t>；（如有）</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影响合同价格的全部条件和情况；</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完成合同中所述项目的可能性；</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现场的综合情况；</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现场总的劳务情况；</w:t>
      </w:r>
    </w:p>
    <w:p>
      <w:pPr>
        <w:numPr>
          <w:ilvl w:val="0"/>
          <w:numId w:val="17"/>
        </w:numPr>
        <w:tabs>
          <w:tab w:val="left" w:pos="8364"/>
        </w:tabs>
        <w:spacing w:before="0" w:after="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454" w:name="_Toc30611"/>
      <w:bookmarkStart w:id="455" w:name="_Toc385427856"/>
      <w:bookmarkStart w:id="456" w:name="_Toc10545"/>
      <w:bookmarkStart w:id="457" w:name="_Toc370933873"/>
      <w:bookmarkStart w:id="458" w:name="_Toc2295"/>
      <w:bookmarkStart w:id="459" w:name="_Toc14851"/>
      <w:bookmarkStart w:id="460" w:name="_Toc3558"/>
      <w:bookmarkStart w:id="461" w:name="_Toc25441"/>
      <w:bookmarkStart w:id="462" w:name="_Toc769"/>
      <w:bookmarkStart w:id="463" w:name="_Toc26418"/>
      <w:bookmarkStart w:id="464" w:name="_Toc29593"/>
      <w:bookmarkStart w:id="465" w:name="_Toc25750651"/>
      <w:bookmarkStart w:id="466" w:name="_Toc12825"/>
      <w:bookmarkStart w:id="467" w:name="_Toc6771"/>
      <w:bookmarkStart w:id="468" w:name="_Toc29106"/>
      <w:bookmarkStart w:id="469" w:name="_Toc23070"/>
      <w:bookmarkStart w:id="470" w:name="_Toc25230"/>
      <w:bookmarkStart w:id="471" w:name="_Toc21856"/>
      <w:bookmarkStart w:id="472" w:name="_Toc27489"/>
      <w:bookmarkStart w:id="473" w:name="_Toc378514970"/>
      <w:bookmarkStart w:id="474" w:name="_Toc492478780"/>
      <w:bookmarkStart w:id="475" w:name="_Toc390098482"/>
      <w:bookmarkStart w:id="476" w:name="_Toc24113"/>
      <w:bookmarkStart w:id="477" w:name="_Toc32028"/>
      <w:r>
        <w:rPr>
          <w:rFonts w:ascii="宋体" w:hAnsi="宋体"/>
          <w:b/>
        </w:rPr>
        <w:t>17.合同变更与修改</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19"/>
        </w:numPr>
        <w:spacing w:before="0" w:after="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19"/>
        </w:numPr>
        <w:spacing w:before="0" w:after="0" w:afterAutospacing="0"/>
        <w:ind w:left="0" w:right="0" w:firstLine="420" w:firstLineChars="200"/>
        <w:rPr>
          <w:rFonts w:ascii="宋体" w:hAnsi="宋体"/>
        </w:rPr>
      </w:pPr>
      <w:r>
        <w:rPr>
          <w:rFonts w:hint="eastAsia" w:ascii="宋体" w:hAnsi="宋体"/>
        </w:rPr>
        <w:t>运输或包装的方法；</w:t>
      </w:r>
    </w:p>
    <w:p>
      <w:pPr>
        <w:numPr>
          <w:ilvl w:val="1"/>
          <w:numId w:val="19"/>
        </w:numPr>
        <w:spacing w:before="0" w:after="0" w:afterAutospacing="0"/>
        <w:ind w:left="0" w:right="0" w:firstLine="420" w:firstLineChars="200"/>
        <w:rPr>
          <w:rFonts w:ascii="宋体" w:hAnsi="宋体"/>
        </w:rPr>
      </w:pPr>
      <w:r>
        <w:rPr>
          <w:rFonts w:hint="eastAsia" w:ascii="宋体" w:hAnsi="宋体"/>
        </w:rPr>
        <w:t>交货时间；</w:t>
      </w:r>
    </w:p>
    <w:p>
      <w:pPr>
        <w:numPr>
          <w:ilvl w:val="1"/>
          <w:numId w:val="19"/>
        </w:numPr>
        <w:spacing w:before="0" w:after="0" w:afterAutospacing="0"/>
        <w:ind w:left="0" w:right="0" w:firstLine="420" w:firstLineChars="200"/>
        <w:rPr>
          <w:rFonts w:ascii="宋体" w:hAnsi="宋体"/>
        </w:rPr>
      </w:pPr>
      <w:r>
        <w:rPr>
          <w:rFonts w:hint="eastAsia" w:ascii="宋体" w:hAnsi="宋体"/>
        </w:rPr>
        <w:t>交货地点；</w:t>
      </w:r>
    </w:p>
    <w:p>
      <w:pPr>
        <w:numPr>
          <w:ilvl w:val="1"/>
          <w:numId w:val="19"/>
        </w:numPr>
        <w:spacing w:before="0" w:after="0" w:afterAutospacing="0"/>
        <w:ind w:left="0" w:right="0" w:firstLine="420" w:firstLineChars="200"/>
        <w:rPr>
          <w:rFonts w:ascii="宋体" w:hAnsi="宋体"/>
        </w:rPr>
      </w:pPr>
      <w:r>
        <w:rPr>
          <w:rFonts w:hint="eastAsia" w:ascii="宋体" w:hAnsi="宋体"/>
        </w:rPr>
        <w:t>供货期；</w:t>
      </w:r>
    </w:p>
    <w:p>
      <w:pPr>
        <w:numPr>
          <w:ilvl w:val="1"/>
          <w:numId w:val="19"/>
        </w:numPr>
        <w:spacing w:before="0" w:after="0" w:afterAutospacing="0"/>
        <w:ind w:left="0" w:right="0" w:firstLine="420" w:firstLineChars="200"/>
        <w:rPr>
          <w:rFonts w:ascii="宋体" w:hAnsi="宋体"/>
        </w:rPr>
      </w:pPr>
      <w:r>
        <w:rPr>
          <w:rFonts w:hint="eastAsia" w:ascii="宋体" w:hAnsi="宋体"/>
        </w:rPr>
        <w:t>乙方提供的货物数量及服务；</w:t>
      </w:r>
    </w:p>
    <w:p>
      <w:pPr>
        <w:numPr>
          <w:ilvl w:val="1"/>
          <w:numId w:val="19"/>
        </w:numPr>
        <w:spacing w:before="0" w:after="0" w:afterAutospacing="0"/>
        <w:ind w:left="0" w:right="0" w:firstLine="420" w:firstLineChars="200"/>
        <w:rPr>
          <w:rFonts w:ascii="宋体" w:hAnsi="宋体"/>
        </w:rPr>
      </w:pPr>
      <w:r>
        <w:rPr>
          <w:rFonts w:hint="eastAsia" w:ascii="宋体" w:hAnsi="宋体"/>
        </w:rPr>
        <w:t>以及甲方认为需要变更的项目。</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当出现以下几种情况时，经甲乙双方协商，可进行合同变更：</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hint="eastAsia"/>
          <w:color w:val="000000" w:themeColor="text1"/>
          <w14:textFill>
            <w14:solidFill>
              <w14:schemeClr w14:val="tx1"/>
            </w14:solidFill>
          </w14:textFill>
        </w:rPr>
        <w:t>因乙方比选申请时填报错误导致清单项不满足甲方需求的，变更的品牌型号需满足甲方需求，技术指标同等或优于原填报品牌、型号，市场价格原则上同等或高于原填报价格；</w:t>
      </w:r>
      <w:r>
        <w:rPr>
          <w:rFonts w:hint="eastAsia" w:ascii="宋体" w:hAnsi="宋体"/>
          <w:color w:val="000000" w:themeColor="text1"/>
          <w14:textFill>
            <w14:solidFill>
              <w14:schemeClr w14:val="tx1"/>
            </w14:solidFill>
          </w14:textFill>
        </w:rPr>
        <w:t xml:space="preserve"> </w:t>
      </w:r>
    </w:p>
    <w:p>
      <w:pPr>
        <w:tabs>
          <w:tab w:val="left" w:pos="540"/>
          <w:tab w:val="left" w:pos="980"/>
        </w:tabs>
        <w:spacing w:before="0" w:after="0" w:afterAutospacing="0"/>
        <w:ind w:left="420" w:right="0" w:firstLine="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变更费用的确认：</w:t>
      </w:r>
    </w:p>
    <w:p>
      <w:pPr>
        <w:tabs>
          <w:tab w:val="left" w:pos="820"/>
        </w:tabs>
        <w:spacing w:before="0" w:after="0" w:afterAutospacing="0"/>
        <w:ind w:left="0"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17.7.2变更后的费用经甲乙双方协商确认后，如高于原合同价格，则按照原合同价格来执行。</w:t>
      </w:r>
    </w:p>
    <w:p>
      <w:pPr>
        <w:numPr>
          <w:ilvl w:val="1"/>
          <w:numId w:val="18"/>
        </w:numPr>
        <w:tabs>
          <w:tab w:val="left" w:pos="96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17.8.3.1 根据合同规定的原则计出总价；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17.8.3.2 根据合同中类似货物单价和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或单位费率计算而计出总价；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17.8.3.3 根据合同价格类推和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或按比例计算而计出总价；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17.8.3.4 根据合同规定的相应成本确定；</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17.8.3.5 根据当时的市场价格计算。</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乙方必</w:t>
      </w:r>
      <w:r>
        <w:rPr>
          <w:rFonts w:hint="eastAsia" w:ascii="宋体" w:hAnsi="宋体"/>
          <w:color w:val="000000" w:themeColor="text1"/>
          <w14:textFill>
            <w14:solidFill>
              <w14:schemeClr w14:val="tx1"/>
            </w14:solidFill>
          </w14:textFill>
        </w:rPr>
        <w:t>须在甲方按</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7</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6的预算</w:t>
      </w:r>
      <w:r>
        <w:rPr>
          <w:rFonts w:hint="eastAsia" w:ascii="宋体" w:hAnsi="宋体"/>
        </w:rPr>
        <w:t>为依据提出正式书面修改后才能开始实施这种变更。</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17.11.3乙方对合同价格调整的建议。</w:t>
      </w:r>
    </w:p>
    <w:p>
      <w:pPr>
        <w:tabs>
          <w:tab w:val="left" w:pos="1558"/>
        </w:tabs>
        <w:spacing w:before="0" w:after="0" w:afterAutospacing="0"/>
        <w:ind w:left="0" w:right="0" w:firstLine="420" w:firstLineChars="200"/>
      </w:pPr>
      <w:r>
        <w:rPr>
          <w:rFonts w:hint="eastAsia" w:ascii="宋体" w:hAnsi="宋体"/>
          <w:color w:val="000000" w:themeColor="text1"/>
          <w14:textFill>
            <w14:solidFill>
              <w14:schemeClr w14:val="tx1"/>
            </w14:solidFill>
          </w14:textFill>
        </w:rPr>
        <w:t>收到乙方的</w:t>
      </w:r>
      <w:r>
        <w:rPr>
          <w:rFonts w:hint="eastAsia" w:ascii="宋体" w:hAnsi="宋体"/>
        </w:rPr>
        <w:t>上述递呈，并在与乙方适当协商后，甲方应尽快决定是否进行变更。</w:t>
      </w:r>
      <w:r>
        <w:t xml:space="preserve"> </w:t>
      </w:r>
    </w:p>
    <w:p>
      <w:pPr>
        <w:tabs>
          <w:tab w:val="left" w:pos="840"/>
          <w:tab w:val="left" w:pos="1843"/>
        </w:tabs>
        <w:spacing w:before="0" w:after="0" w:afterAutospacing="0"/>
        <w:ind w:left="422" w:right="0" w:firstLine="0"/>
        <w:outlineLvl w:val="1"/>
        <w:rPr>
          <w:rFonts w:ascii="宋体" w:hAnsi="宋体"/>
          <w:b/>
        </w:rPr>
      </w:pPr>
      <w:bookmarkStart w:id="478" w:name="_Toc15094"/>
      <w:bookmarkStart w:id="479" w:name="_Toc492478781"/>
      <w:bookmarkStart w:id="480" w:name="_Toc370933874"/>
      <w:bookmarkStart w:id="481" w:name="_Toc27980"/>
      <w:bookmarkStart w:id="482" w:name="_Toc390098483"/>
      <w:bookmarkStart w:id="483" w:name="_Toc25965"/>
      <w:bookmarkStart w:id="484" w:name="_Toc18453"/>
      <w:bookmarkStart w:id="485" w:name="_Toc21302"/>
      <w:bookmarkStart w:id="486" w:name="_Toc24029"/>
      <w:bookmarkStart w:id="487" w:name="_Toc17820"/>
      <w:bookmarkStart w:id="488" w:name="_Toc16088"/>
      <w:bookmarkStart w:id="489" w:name="_Toc25750652"/>
      <w:bookmarkStart w:id="490" w:name="_Toc11895"/>
      <w:bookmarkStart w:id="491" w:name="_Toc29664"/>
      <w:bookmarkStart w:id="492" w:name="_Toc18239"/>
      <w:bookmarkStart w:id="493" w:name="_Toc2307"/>
      <w:bookmarkStart w:id="494" w:name="_Toc28641"/>
      <w:bookmarkStart w:id="495" w:name="_Toc3081"/>
      <w:bookmarkStart w:id="496" w:name="_Toc4403"/>
      <w:bookmarkStart w:id="497" w:name="_Toc29029"/>
      <w:bookmarkStart w:id="498" w:name="_Toc378514971"/>
      <w:bookmarkStart w:id="499" w:name="_Toc25195"/>
      <w:bookmarkStart w:id="500" w:name="_Toc385427857"/>
      <w:bookmarkStart w:id="501" w:name="_Toc1259"/>
      <w:r>
        <w:rPr>
          <w:rFonts w:ascii="宋体" w:hAnsi="宋体"/>
          <w:b/>
        </w:rPr>
        <w:t>18.转让和分包</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tabs>
          <w:tab w:val="left" w:pos="1120"/>
        </w:tabs>
        <w:spacing w:before="0" w:after="0" w:afterAutospacing="0"/>
        <w:ind w:left="0" w:right="0" w:firstLine="420" w:firstLineChars="200"/>
        <w:rPr>
          <w:rFonts w:ascii="宋体" w:hAnsi="宋体"/>
        </w:rPr>
      </w:pPr>
      <w:r>
        <w:rPr>
          <w:rFonts w:ascii="宋体" w:hAnsi="宋体"/>
        </w:rPr>
        <w:t xml:space="preserve">18.1 </w:t>
      </w:r>
      <w:r>
        <w:rPr>
          <w:rFonts w:hint="eastAsia" w:ascii="宋体" w:hAnsi="宋体"/>
        </w:rPr>
        <w:t>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ascii="宋体" w:hAnsi="宋体"/>
        </w:rPr>
        <w:t xml:space="preserve">18.2 </w:t>
      </w:r>
      <w:r>
        <w:rPr>
          <w:rFonts w:hint="eastAsia" w:ascii="宋体" w:hAnsi="宋体"/>
        </w:rPr>
        <w:t>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0" w:afterAutospacing="0"/>
        <w:ind w:left="422" w:right="0" w:firstLine="0"/>
        <w:outlineLvl w:val="1"/>
        <w:rPr>
          <w:rFonts w:ascii="宋体" w:hAnsi="宋体"/>
          <w:b/>
        </w:rPr>
      </w:pPr>
      <w:bookmarkStart w:id="502" w:name="_Toc32343"/>
      <w:bookmarkStart w:id="503" w:name="_Toc13416"/>
      <w:bookmarkStart w:id="504" w:name="_Toc390098484"/>
      <w:bookmarkStart w:id="505" w:name="_Toc16315"/>
      <w:bookmarkStart w:id="506" w:name="_Toc21413"/>
      <w:bookmarkStart w:id="507" w:name="_Toc25342"/>
      <w:bookmarkStart w:id="508" w:name="_Toc11530"/>
      <w:bookmarkStart w:id="509" w:name="_Toc19987"/>
      <w:bookmarkStart w:id="510" w:name="_Toc4396"/>
      <w:bookmarkStart w:id="511" w:name="_Toc3130"/>
      <w:bookmarkStart w:id="512" w:name="_Toc24037"/>
      <w:bookmarkStart w:id="513" w:name="_Toc661"/>
      <w:bookmarkStart w:id="514" w:name="_Toc370933875"/>
      <w:bookmarkStart w:id="515" w:name="_Toc6234"/>
      <w:bookmarkStart w:id="516" w:name="_Toc13888"/>
      <w:bookmarkStart w:id="517" w:name="_Toc25750653"/>
      <w:bookmarkStart w:id="518" w:name="_Toc378514972"/>
      <w:bookmarkStart w:id="519" w:name="_Toc8696"/>
      <w:bookmarkStart w:id="520" w:name="_Toc385427858"/>
      <w:bookmarkStart w:id="521" w:name="_Toc492478782"/>
      <w:bookmarkStart w:id="522" w:name="_Toc18508"/>
      <w:bookmarkStart w:id="523" w:name="_Toc17029"/>
      <w:bookmarkStart w:id="524" w:name="_Toc12432"/>
      <w:bookmarkStart w:id="525" w:name="_Toc24065"/>
      <w:r>
        <w:rPr>
          <w:rFonts w:ascii="宋体" w:hAnsi="宋体"/>
          <w:b/>
        </w:rPr>
        <w:t>19.不可抗力</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rPr>
      </w:pPr>
      <w:bookmarkStart w:id="526" w:name="_Toc25750654"/>
      <w:r>
        <w:rPr>
          <w:rFonts w:ascii="宋体" w:hAnsi="宋体"/>
          <w:b/>
        </w:rPr>
        <w:t>20.</w:t>
      </w:r>
      <w:bookmarkStart w:id="527" w:name="_Toc14033"/>
      <w:bookmarkStart w:id="528" w:name="_Toc492478783"/>
      <w:bookmarkStart w:id="529" w:name="_Toc17808"/>
      <w:bookmarkStart w:id="530" w:name="_Toc10334"/>
      <w:bookmarkStart w:id="531" w:name="_Toc25233"/>
      <w:bookmarkStart w:id="532" w:name="_Toc15746"/>
      <w:bookmarkStart w:id="533" w:name="_Toc2649"/>
      <w:bookmarkStart w:id="534" w:name="_Toc370933876"/>
      <w:bookmarkStart w:id="535" w:name="_Toc19935"/>
      <w:bookmarkStart w:id="536" w:name="_Toc4745"/>
      <w:bookmarkStart w:id="537" w:name="_Toc6046"/>
      <w:bookmarkStart w:id="538" w:name="_Toc22045"/>
      <w:bookmarkStart w:id="539" w:name="_Toc29383"/>
      <w:bookmarkStart w:id="540" w:name="_Toc4788"/>
      <w:bookmarkStart w:id="541" w:name="_Toc378514973"/>
      <w:bookmarkStart w:id="542" w:name="_Toc27564"/>
      <w:bookmarkStart w:id="543" w:name="_Toc8769"/>
      <w:bookmarkStart w:id="544" w:name="_Toc13899"/>
      <w:bookmarkStart w:id="545" w:name="_Toc390098485"/>
      <w:bookmarkStart w:id="546" w:name="_Toc28028"/>
      <w:bookmarkStart w:id="547" w:name="_Toc7028"/>
      <w:bookmarkStart w:id="548" w:name="_Toc19672"/>
      <w:bookmarkStart w:id="549" w:name="_Toc385427859"/>
      <w:r>
        <w:rPr>
          <w:rFonts w:hint="eastAsia" w:ascii="宋体" w:hAnsi="宋体"/>
          <w:b/>
        </w:rPr>
        <w:t>乙方履约展期</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numPr>
          <w:ilvl w:val="1"/>
          <w:numId w:val="21"/>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1"/>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乙方在下列情况下可要求延期交货：</w:t>
      </w:r>
    </w:p>
    <w:p>
      <w:pPr>
        <w:numPr>
          <w:ilvl w:val="1"/>
          <w:numId w:val="22"/>
        </w:numPr>
        <w:spacing w:before="0" w:after="0" w:afterAutospacing="0"/>
        <w:ind w:left="0" w:right="0" w:firstLine="420" w:firstLineChars="200"/>
        <w:rPr>
          <w:rFonts w:ascii="宋体" w:hAnsi="宋体"/>
        </w:rPr>
      </w:pPr>
      <w:r>
        <w:rPr>
          <w:rFonts w:hint="eastAsia" w:ascii="宋体" w:hAnsi="宋体"/>
        </w:rPr>
        <w:t>第</w:t>
      </w:r>
      <w:r>
        <w:rPr>
          <w:rFonts w:ascii="宋体" w:hAnsi="宋体"/>
        </w:rPr>
        <w:t>17条中的变更；</w:t>
      </w:r>
    </w:p>
    <w:p>
      <w:pPr>
        <w:numPr>
          <w:ilvl w:val="1"/>
          <w:numId w:val="22"/>
        </w:numPr>
        <w:spacing w:before="0" w:after="0" w:afterAutospacing="0"/>
        <w:ind w:left="0" w:right="0" w:firstLine="420" w:firstLineChars="200"/>
        <w:rPr>
          <w:rFonts w:ascii="宋体" w:hAnsi="宋体"/>
        </w:rPr>
      </w:pPr>
      <w:r>
        <w:rPr>
          <w:rFonts w:hint="eastAsia" w:ascii="宋体" w:hAnsi="宋体"/>
        </w:rPr>
        <w:t>第</w:t>
      </w:r>
      <w:r>
        <w:rPr>
          <w:rFonts w:ascii="宋体" w:hAnsi="宋体"/>
        </w:rPr>
        <w:t>19条所述之不可抗力；</w:t>
      </w:r>
    </w:p>
    <w:p>
      <w:pPr>
        <w:numPr>
          <w:ilvl w:val="1"/>
          <w:numId w:val="22"/>
        </w:numPr>
        <w:spacing w:before="0" w:after="0" w:afterAutospacing="0"/>
        <w:ind w:left="0" w:right="0" w:firstLine="420" w:firstLineChars="200"/>
        <w:rPr>
          <w:rFonts w:ascii="宋体" w:hAnsi="宋体"/>
        </w:rPr>
      </w:pPr>
      <w:r>
        <w:rPr>
          <w:rFonts w:hint="eastAsia" w:ascii="宋体" w:hAnsi="宋体"/>
        </w:rPr>
        <w:t>甲方签发的延期执行合同的指令；</w:t>
      </w:r>
    </w:p>
    <w:p>
      <w:pPr>
        <w:pStyle w:val="20"/>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20.2</w:t>
      </w:r>
      <w:r>
        <w:rPr>
          <w:rFonts w:hint="eastAsia" w:ascii="宋体" w:hAnsi="宋体"/>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rPr>
      </w:pPr>
      <w:bookmarkStart w:id="550" w:name="_Toc16474"/>
      <w:bookmarkStart w:id="551" w:name="_Toc3878"/>
      <w:bookmarkStart w:id="552" w:name="_Toc11763"/>
      <w:bookmarkStart w:id="553" w:name="_Toc26944"/>
      <w:bookmarkStart w:id="554" w:name="_Toc19750"/>
      <w:bookmarkStart w:id="555" w:name="_Toc492478784"/>
      <w:bookmarkStart w:id="556" w:name="_Toc25750655"/>
      <w:bookmarkStart w:id="557" w:name="_Toc1527"/>
      <w:bookmarkStart w:id="558" w:name="_Toc8598"/>
      <w:bookmarkStart w:id="559" w:name="_Toc390098486"/>
      <w:bookmarkStart w:id="560" w:name="_Toc25987"/>
      <w:bookmarkStart w:id="561" w:name="_Toc18253"/>
      <w:bookmarkStart w:id="562" w:name="_Toc3952"/>
      <w:bookmarkStart w:id="563" w:name="_Toc370933877"/>
      <w:bookmarkStart w:id="564" w:name="_Toc24446"/>
      <w:bookmarkStart w:id="565" w:name="_Toc28565"/>
      <w:bookmarkStart w:id="566" w:name="_Toc378514974"/>
      <w:bookmarkStart w:id="567" w:name="_Toc385427860"/>
      <w:bookmarkStart w:id="568" w:name="_Toc26165"/>
      <w:bookmarkStart w:id="569" w:name="_Toc18456"/>
      <w:bookmarkStart w:id="570" w:name="_Toc9775"/>
      <w:bookmarkStart w:id="571" w:name="_Toc3388"/>
      <w:bookmarkStart w:id="572" w:name="_Toc28820"/>
      <w:bookmarkStart w:id="573" w:name="_Toc20929"/>
      <w:r>
        <w:rPr>
          <w:rFonts w:ascii="宋体" w:hAnsi="宋体"/>
          <w:b/>
        </w:rPr>
        <w:t>21.损失补偿</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numPr>
          <w:ilvl w:val="1"/>
          <w:numId w:val="23"/>
        </w:numPr>
        <w:tabs>
          <w:tab w:val="left" w:pos="960"/>
          <w:tab w:val="clear" w:pos="1134"/>
        </w:tabs>
        <w:spacing w:before="0" w:after="0" w:afterAutospacing="0"/>
        <w:ind w:left="0" w:right="0" w:firstLine="420" w:firstLineChars="200"/>
        <w:rPr>
          <w:rFonts w:ascii="宋体" w:hAnsi="宋体"/>
        </w:rPr>
      </w:pPr>
      <w:r>
        <w:rPr>
          <w:rFonts w:hint="eastAsia" w:ascii="宋体" w:hAnsi="宋体"/>
        </w:rPr>
        <w:t>除第</w:t>
      </w:r>
      <w:r>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rPr>
      </w:pPr>
      <w:bookmarkStart w:id="574" w:name="_Toc11613"/>
      <w:bookmarkStart w:id="575" w:name="_Toc28076"/>
      <w:bookmarkStart w:id="576" w:name="_Toc26678"/>
      <w:bookmarkStart w:id="577" w:name="_Toc25945"/>
      <w:bookmarkStart w:id="578" w:name="_Toc8146"/>
      <w:bookmarkStart w:id="579" w:name="_Toc11756"/>
      <w:bookmarkStart w:id="580" w:name="_Toc10649"/>
      <w:bookmarkStart w:id="581" w:name="_Toc385427861"/>
      <w:bookmarkStart w:id="582" w:name="_Toc4252"/>
      <w:bookmarkStart w:id="583" w:name="_Toc25750656"/>
      <w:bookmarkStart w:id="584" w:name="_Toc31151"/>
      <w:bookmarkStart w:id="585" w:name="_Toc20303"/>
      <w:bookmarkStart w:id="586" w:name="_Toc492478785"/>
      <w:bookmarkStart w:id="587" w:name="_Toc378514975"/>
      <w:bookmarkStart w:id="588" w:name="_Toc24190"/>
      <w:bookmarkStart w:id="589" w:name="_Toc10295"/>
      <w:bookmarkStart w:id="590" w:name="_Toc12693"/>
      <w:bookmarkStart w:id="591" w:name="_Toc390098487"/>
      <w:bookmarkStart w:id="592" w:name="_Toc4139"/>
      <w:bookmarkStart w:id="593" w:name="_Toc32687"/>
      <w:bookmarkStart w:id="594" w:name="_Toc370933878"/>
      <w:bookmarkStart w:id="595" w:name="_Toc6938"/>
      <w:bookmarkStart w:id="596" w:name="_Toc8154"/>
      <w:bookmarkStart w:id="597" w:name="_Toc15242"/>
      <w:r>
        <w:rPr>
          <w:rFonts w:ascii="宋体" w:hAnsi="宋体"/>
          <w:b/>
        </w:rPr>
        <w:t>22.</w:t>
      </w:r>
      <w:r>
        <w:rPr>
          <w:rFonts w:hint="eastAsia" w:ascii="宋体" w:hAnsi="宋体"/>
          <w:b/>
        </w:rPr>
        <w:t>拖期终止</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numPr>
          <w:ilvl w:val="1"/>
          <w:numId w:val="24"/>
        </w:numPr>
        <w:tabs>
          <w:tab w:val="left" w:pos="940"/>
          <w:tab w:val="clear" w:pos="1134"/>
        </w:tabs>
        <w:spacing w:before="0" w:after="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5"/>
        </w:numPr>
        <w:spacing w:before="0" w:after="0" w:afterAutospacing="0"/>
        <w:ind w:left="0" w:right="0" w:firstLine="420" w:firstLineChars="200"/>
        <w:rPr>
          <w:rFonts w:ascii="宋体" w:hAnsi="宋体"/>
        </w:rPr>
      </w:pPr>
      <w:r>
        <w:rPr>
          <w:rFonts w:hint="eastAsia" w:ascii="宋体" w:hAnsi="宋体"/>
        </w:rPr>
        <w:t>如果乙方不能在合同规定的交货期内或甲方按第</w:t>
      </w:r>
      <w:r>
        <w:rPr>
          <w:rFonts w:ascii="宋体" w:hAnsi="宋体"/>
        </w:rPr>
        <w:t>20条同意的延期期限内交货；</w:t>
      </w:r>
    </w:p>
    <w:p>
      <w:pPr>
        <w:numPr>
          <w:ilvl w:val="1"/>
          <w:numId w:val="25"/>
        </w:numPr>
        <w:spacing w:before="0" w:after="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5"/>
        </w:numPr>
        <w:spacing w:before="0" w:after="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甲方依第</w:t>
      </w:r>
      <w:r>
        <w:rPr>
          <w:rFonts w:ascii="宋体" w:hAnsi="宋体"/>
        </w:rPr>
        <w:t>22.1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rPr>
      </w:pPr>
      <w:bookmarkStart w:id="598" w:name="_Toc26166"/>
      <w:bookmarkStart w:id="599" w:name="_Toc19811"/>
      <w:bookmarkStart w:id="600" w:name="_Toc9989"/>
      <w:bookmarkStart w:id="601" w:name="_Toc2356"/>
      <w:bookmarkStart w:id="602" w:name="_Toc370933879"/>
      <w:bookmarkStart w:id="603" w:name="_Toc18938"/>
      <w:bookmarkStart w:id="604" w:name="_Toc10559"/>
      <w:bookmarkStart w:id="605" w:name="_Toc27804"/>
      <w:bookmarkStart w:id="606" w:name="_Toc18674"/>
      <w:bookmarkStart w:id="607" w:name="_Toc9699"/>
      <w:bookmarkStart w:id="608" w:name="_Toc378514976"/>
      <w:bookmarkStart w:id="609" w:name="_Toc492478786"/>
      <w:bookmarkStart w:id="610" w:name="_Toc1299"/>
      <w:bookmarkStart w:id="611" w:name="_Toc26288"/>
      <w:bookmarkStart w:id="612" w:name="_Toc25750657"/>
      <w:bookmarkStart w:id="613" w:name="_Toc23635"/>
      <w:bookmarkStart w:id="614" w:name="_Toc390098488"/>
      <w:bookmarkStart w:id="615" w:name="_Toc13372"/>
      <w:bookmarkStart w:id="616" w:name="_Toc17552"/>
      <w:bookmarkStart w:id="617" w:name="_Toc15636"/>
      <w:bookmarkStart w:id="618" w:name="_Toc19130"/>
      <w:bookmarkStart w:id="619" w:name="_Toc29284"/>
      <w:bookmarkStart w:id="620" w:name="_Toc385427862"/>
      <w:bookmarkStart w:id="621" w:name="_Toc27131"/>
      <w:r>
        <w:rPr>
          <w:rFonts w:ascii="宋体" w:hAnsi="宋体"/>
          <w:b/>
        </w:rPr>
        <w:t>23.破产终止</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numPr>
          <w:ilvl w:val="1"/>
          <w:numId w:val="26"/>
        </w:numPr>
        <w:tabs>
          <w:tab w:val="left" w:pos="940"/>
          <w:tab w:val="clear" w:pos="1134"/>
        </w:tabs>
        <w:spacing w:before="0" w:after="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rPr>
      </w:pPr>
      <w:bookmarkStart w:id="622" w:name="_Toc31954"/>
      <w:bookmarkStart w:id="623" w:name="_Toc492478787"/>
      <w:bookmarkStart w:id="624" w:name="_Toc390098489"/>
      <w:bookmarkStart w:id="625" w:name="_Toc378514977"/>
      <w:bookmarkStart w:id="626" w:name="_Toc22731"/>
      <w:bookmarkStart w:id="627" w:name="_Toc28429"/>
      <w:bookmarkStart w:id="628" w:name="_Toc10887"/>
      <w:bookmarkStart w:id="629" w:name="_Toc5847"/>
      <w:bookmarkStart w:id="630" w:name="_Toc8795"/>
      <w:bookmarkStart w:id="631" w:name="_Toc5275"/>
      <w:bookmarkStart w:id="632" w:name="_Toc8002"/>
      <w:bookmarkStart w:id="633" w:name="_Toc12574"/>
      <w:bookmarkStart w:id="634" w:name="_Toc28919"/>
      <w:bookmarkStart w:id="635" w:name="_Toc25750658"/>
      <w:bookmarkStart w:id="636" w:name="_Toc24032"/>
      <w:bookmarkStart w:id="637" w:name="_Toc24054"/>
      <w:bookmarkStart w:id="638" w:name="_Toc14059"/>
      <w:bookmarkStart w:id="639" w:name="_Toc31893"/>
      <w:bookmarkStart w:id="640" w:name="_Toc370933880"/>
      <w:bookmarkStart w:id="641" w:name="_Toc32601"/>
      <w:bookmarkStart w:id="642" w:name="_Toc13603"/>
      <w:bookmarkStart w:id="643" w:name="_Toc11490"/>
      <w:bookmarkStart w:id="644" w:name="_Toc385427863"/>
      <w:bookmarkStart w:id="645" w:name="_Toc14761"/>
      <w:r>
        <w:rPr>
          <w:rFonts w:ascii="宋体" w:hAnsi="宋体"/>
          <w:b/>
        </w:rPr>
        <w:t>24.方便终止</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numPr>
          <w:ilvl w:val="1"/>
          <w:numId w:val="27"/>
        </w:numPr>
        <w:tabs>
          <w:tab w:val="left" w:pos="960"/>
          <w:tab w:val="clear" w:pos="1134"/>
        </w:tabs>
        <w:spacing w:before="0" w:after="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rPr>
      </w:pPr>
      <w:r>
        <w:rPr>
          <w:rFonts w:ascii="宋体" w:hAnsi="宋体"/>
        </w:rPr>
        <w:t xml:space="preserve">24.1.1  </w:t>
      </w:r>
      <w:r>
        <w:rPr>
          <w:rFonts w:hint="eastAsia" w:ascii="宋体" w:hAnsi="宋体"/>
        </w:rPr>
        <w:t>任意比例按原合同条款及价格交货；</w:t>
      </w:r>
    </w:p>
    <w:p>
      <w:pPr>
        <w:tabs>
          <w:tab w:val="left" w:pos="420"/>
          <w:tab w:val="left" w:pos="1100"/>
        </w:tabs>
        <w:spacing w:before="0" w:after="0" w:afterAutospacing="0"/>
        <w:ind w:left="0" w:right="0" w:firstLine="420" w:firstLineChars="200"/>
        <w:rPr>
          <w:rFonts w:ascii="宋体" w:hAnsi="宋体"/>
        </w:rPr>
      </w:pPr>
      <w:r>
        <w:rPr>
          <w:rFonts w:ascii="宋体" w:hAnsi="宋体"/>
        </w:rPr>
        <w:t xml:space="preserve">24.1.2  </w:t>
      </w:r>
      <w:r>
        <w:rPr>
          <w:rFonts w:hint="eastAsia" w:ascii="宋体" w:hAnsi="宋体"/>
        </w:rPr>
        <w:t>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rPr>
      </w:pPr>
      <w:bookmarkStart w:id="646" w:name="_Toc21718"/>
      <w:bookmarkStart w:id="647" w:name="_Toc26667"/>
      <w:bookmarkStart w:id="648" w:name="_Toc20058"/>
      <w:bookmarkStart w:id="649" w:name="_Toc10764"/>
      <w:bookmarkStart w:id="650" w:name="_Toc390098490"/>
      <w:bookmarkStart w:id="651" w:name="_Toc15991"/>
      <w:bookmarkStart w:id="652" w:name="_Toc7691"/>
      <w:bookmarkStart w:id="653" w:name="_Toc29365"/>
      <w:bookmarkStart w:id="654" w:name="_Toc16121"/>
      <w:bookmarkStart w:id="655" w:name="_Toc1972"/>
      <w:bookmarkStart w:id="656" w:name="_Toc25750659"/>
      <w:bookmarkStart w:id="657" w:name="_Toc20850"/>
      <w:bookmarkStart w:id="658" w:name="_Toc19072"/>
      <w:bookmarkStart w:id="659" w:name="_Toc370933881"/>
      <w:bookmarkStart w:id="660" w:name="_Toc17213"/>
      <w:bookmarkStart w:id="661" w:name="_Toc15352"/>
      <w:bookmarkStart w:id="662" w:name="_Toc24354"/>
      <w:bookmarkStart w:id="663" w:name="_Toc385427864"/>
      <w:bookmarkStart w:id="664" w:name="_Toc10805"/>
      <w:bookmarkStart w:id="665" w:name="_Toc378514978"/>
      <w:bookmarkStart w:id="666" w:name="_Toc26831"/>
      <w:bookmarkStart w:id="667" w:name="_Toc1503"/>
      <w:bookmarkStart w:id="668" w:name="_Toc4002"/>
      <w:bookmarkStart w:id="669" w:name="_Toc492478788"/>
      <w:r>
        <w:rPr>
          <w:rFonts w:ascii="宋体" w:hAnsi="宋体"/>
          <w:b/>
        </w:rPr>
        <w:t>25.争端的解决</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诉讼费应由败诉方负担。</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rPr>
      </w:pPr>
      <w:bookmarkStart w:id="670" w:name="_Toc22003"/>
      <w:bookmarkStart w:id="671" w:name="_Toc27659"/>
      <w:bookmarkStart w:id="672" w:name="_Toc12179"/>
      <w:bookmarkStart w:id="673" w:name="_Toc25167"/>
      <w:bookmarkStart w:id="674" w:name="_Toc16935"/>
      <w:bookmarkStart w:id="675" w:name="_Toc28145"/>
      <w:bookmarkStart w:id="676" w:name="_Toc390098491"/>
      <w:bookmarkStart w:id="677" w:name="_Toc16475"/>
      <w:bookmarkStart w:id="678" w:name="_Toc11947"/>
      <w:bookmarkStart w:id="679" w:name="_Toc9395"/>
      <w:bookmarkStart w:id="680" w:name="_Toc492478789"/>
      <w:bookmarkStart w:id="681" w:name="_Toc370933882"/>
      <w:bookmarkStart w:id="682" w:name="_Toc6134"/>
      <w:bookmarkStart w:id="683" w:name="_Toc1271"/>
      <w:bookmarkStart w:id="684" w:name="_Toc378514979"/>
      <w:bookmarkStart w:id="685" w:name="_Toc19227"/>
      <w:bookmarkStart w:id="686" w:name="_Toc28185"/>
      <w:bookmarkStart w:id="687" w:name="_Toc16769"/>
      <w:bookmarkStart w:id="688" w:name="_Toc21064"/>
      <w:bookmarkStart w:id="689" w:name="_Toc25750660"/>
      <w:bookmarkStart w:id="690" w:name="_Toc385427865"/>
      <w:bookmarkStart w:id="691" w:name="_Toc26376"/>
      <w:bookmarkStart w:id="692" w:name="_Toc26624"/>
      <w:bookmarkStart w:id="693" w:name="_Toc23425"/>
      <w:r>
        <w:rPr>
          <w:rFonts w:ascii="宋体" w:hAnsi="宋体"/>
          <w:b/>
        </w:rPr>
        <w:t>26.语言</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本合同语言为中文。</w:t>
      </w:r>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rPr>
      </w:pPr>
      <w:bookmarkStart w:id="694" w:name="_Toc25403"/>
      <w:bookmarkStart w:id="695" w:name="_Toc21361"/>
      <w:bookmarkStart w:id="696" w:name="_Toc12823"/>
      <w:bookmarkStart w:id="697" w:name="_Toc390098492"/>
      <w:bookmarkStart w:id="698" w:name="_Toc2898"/>
      <w:bookmarkStart w:id="699" w:name="_Toc25750661"/>
      <w:bookmarkStart w:id="700" w:name="_Toc14784"/>
      <w:bookmarkStart w:id="701" w:name="_Toc14320"/>
      <w:bookmarkStart w:id="702" w:name="_Toc8756"/>
      <w:bookmarkStart w:id="703" w:name="_Toc10482"/>
      <w:bookmarkStart w:id="704" w:name="_Toc10209"/>
      <w:bookmarkStart w:id="705" w:name="_Toc370933883"/>
      <w:bookmarkStart w:id="706" w:name="_Toc27380"/>
      <w:bookmarkStart w:id="707" w:name="_Toc23513"/>
      <w:bookmarkStart w:id="708" w:name="_Toc10832"/>
      <w:bookmarkStart w:id="709" w:name="_Toc19166"/>
      <w:bookmarkStart w:id="710" w:name="_Toc27111"/>
      <w:bookmarkStart w:id="711" w:name="_Toc492478790"/>
      <w:bookmarkStart w:id="712" w:name="_Toc12520"/>
      <w:bookmarkStart w:id="713" w:name="_Toc2075"/>
      <w:bookmarkStart w:id="714" w:name="_Toc18902"/>
      <w:bookmarkStart w:id="715" w:name="_Toc385427866"/>
      <w:bookmarkStart w:id="716" w:name="_Toc378514980"/>
      <w:bookmarkStart w:id="717" w:name="_Toc6951"/>
      <w:r>
        <w:rPr>
          <w:rFonts w:ascii="宋体" w:hAnsi="宋体"/>
          <w:b/>
        </w:rPr>
        <w:t>27.适用法律</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numPr>
          <w:ilvl w:val="1"/>
          <w:numId w:val="30"/>
        </w:numPr>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0" w:afterAutospacing="0"/>
        <w:ind w:left="422" w:right="0" w:firstLine="0"/>
        <w:outlineLvl w:val="1"/>
        <w:rPr>
          <w:rFonts w:ascii="宋体" w:hAnsi="宋体"/>
          <w:b/>
        </w:rPr>
      </w:pPr>
      <w:bookmarkStart w:id="718" w:name="_Toc28875"/>
      <w:bookmarkStart w:id="719" w:name="_Toc3785"/>
      <w:bookmarkStart w:id="720" w:name="_Toc864"/>
      <w:bookmarkStart w:id="721" w:name="_Toc2458"/>
      <w:bookmarkStart w:id="722" w:name="_Toc25750662"/>
      <w:bookmarkStart w:id="723" w:name="_Toc492478791"/>
      <w:bookmarkStart w:id="724" w:name="_Toc6421"/>
      <w:bookmarkStart w:id="725" w:name="_Toc378514981"/>
      <w:bookmarkStart w:id="726" w:name="_Toc385427867"/>
      <w:bookmarkStart w:id="727" w:name="_Toc13343"/>
      <w:bookmarkStart w:id="728" w:name="_Toc370933884"/>
      <w:bookmarkStart w:id="729" w:name="_Toc32638"/>
      <w:bookmarkStart w:id="730" w:name="_Toc25119"/>
      <w:bookmarkStart w:id="731" w:name="_Toc390098493"/>
      <w:bookmarkStart w:id="732" w:name="_Toc19209"/>
      <w:bookmarkStart w:id="733" w:name="_Toc3019"/>
      <w:bookmarkStart w:id="734" w:name="_Toc32071"/>
      <w:bookmarkStart w:id="735" w:name="_Toc17344"/>
      <w:bookmarkStart w:id="736" w:name="_Toc23442"/>
      <w:bookmarkStart w:id="737" w:name="_Toc10304"/>
      <w:bookmarkStart w:id="738" w:name="_Toc26295"/>
      <w:bookmarkStart w:id="739" w:name="_Toc22330"/>
      <w:bookmarkStart w:id="740" w:name="_Toc15635"/>
      <w:bookmarkStart w:id="741" w:name="_Toc6374"/>
      <w:r>
        <w:rPr>
          <w:rFonts w:ascii="宋体" w:hAnsi="宋体"/>
          <w:b/>
        </w:rPr>
        <w:t>28.通知</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rPr>
      </w:pPr>
      <w:bookmarkStart w:id="742" w:name="_Toc370933885"/>
      <w:bookmarkStart w:id="743" w:name="_Toc378514982"/>
      <w:bookmarkStart w:id="744" w:name="_Toc6110"/>
      <w:bookmarkStart w:id="745" w:name="_Toc27428"/>
      <w:bookmarkStart w:id="746" w:name="_Toc12697"/>
      <w:bookmarkStart w:id="747" w:name="_Toc390098494"/>
      <w:bookmarkStart w:id="748" w:name="_Toc11726"/>
      <w:bookmarkStart w:id="749" w:name="_Toc11314"/>
      <w:bookmarkStart w:id="750" w:name="_Toc12126"/>
      <w:bookmarkStart w:id="751" w:name="_Toc6793"/>
      <w:bookmarkStart w:id="752" w:name="_Toc1881"/>
      <w:bookmarkStart w:id="753" w:name="_Toc21067"/>
      <w:bookmarkStart w:id="754" w:name="_Toc7810"/>
      <w:bookmarkStart w:id="755" w:name="_Toc31709"/>
      <w:bookmarkStart w:id="756" w:name="_Toc25750663"/>
      <w:bookmarkStart w:id="757" w:name="_Toc13922"/>
      <w:bookmarkStart w:id="758" w:name="_Toc492478792"/>
      <w:bookmarkStart w:id="759" w:name="_Toc30549"/>
      <w:bookmarkStart w:id="760" w:name="_Toc29046"/>
      <w:bookmarkStart w:id="761" w:name="_Toc1446"/>
      <w:bookmarkStart w:id="762" w:name="_Toc385427868"/>
      <w:bookmarkStart w:id="763" w:name="_Toc32680"/>
      <w:bookmarkStart w:id="764" w:name="_Toc17127"/>
      <w:bookmarkStart w:id="765" w:name="_Toc8544"/>
      <w:r>
        <w:rPr>
          <w:rFonts w:ascii="宋体" w:hAnsi="宋体"/>
          <w:b/>
        </w:rPr>
        <w:t>29.税</w:t>
      </w:r>
      <w:bookmarkEnd w:id="742"/>
      <w:bookmarkEnd w:id="743"/>
      <w:r>
        <w:rPr>
          <w:rFonts w:hint="eastAsia" w:ascii="宋体" w:hAnsi="宋体"/>
          <w:b/>
        </w:rPr>
        <w:t>费</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rPr>
      </w:pPr>
      <w:bookmarkStart w:id="766" w:name="_Toc11029"/>
      <w:bookmarkStart w:id="767" w:name="_Toc7487"/>
      <w:bookmarkStart w:id="768" w:name="_Toc22849"/>
      <w:bookmarkStart w:id="769" w:name="_Toc16469"/>
      <w:bookmarkStart w:id="770" w:name="_Toc15813"/>
      <w:bookmarkStart w:id="771" w:name="_Toc2240"/>
      <w:bookmarkStart w:id="772" w:name="_Toc30561"/>
      <w:bookmarkStart w:id="773" w:name="_Toc3244"/>
      <w:bookmarkStart w:id="774" w:name="_Toc26494"/>
      <w:bookmarkStart w:id="775" w:name="_Toc25750664"/>
      <w:bookmarkStart w:id="776" w:name="_Toc1879"/>
      <w:bookmarkStart w:id="777" w:name="_Toc24876"/>
      <w:bookmarkStart w:id="778" w:name="_Toc21199"/>
      <w:bookmarkStart w:id="779" w:name="_Toc3630"/>
      <w:bookmarkStart w:id="780" w:name="_Toc32531"/>
      <w:bookmarkStart w:id="781" w:name="_Toc5973"/>
      <w:bookmarkStart w:id="782" w:name="_Toc14950"/>
      <w:bookmarkStart w:id="783" w:name="_Toc25511"/>
      <w:bookmarkStart w:id="784" w:name="_Toc3452"/>
      <w:r>
        <w:rPr>
          <w:rFonts w:ascii="宋体" w:hAnsi="宋体"/>
          <w:b/>
        </w:rPr>
        <w:t>30.合同标的</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3"/>
        </w:numPr>
        <w:spacing w:before="0" w:after="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rPr>
      </w:pPr>
      <w:bookmarkStart w:id="785" w:name="_Toc23078"/>
      <w:bookmarkStart w:id="786" w:name="_Toc16044"/>
      <w:bookmarkStart w:id="787" w:name="_Toc6314"/>
      <w:bookmarkStart w:id="788" w:name="_Toc25750665"/>
      <w:bookmarkStart w:id="789" w:name="_Toc3619"/>
      <w:bookmarkStart w:id="790" w:name="_Toc11108"/>
      <w:bookmarkStart w:id="791" w:name="_Toc7733"/>
      <w:bookmarkStart w:id="792" w:name="_Toc26"/>
      <w:bookmarkStart w:id="793" w:name="_Toc15369"/>
      <w:bookmarkStart w:id="794" w:name="_Toc23455"/>
      <w:bookmarkStart w:id="795" w:name="_Toc23498"/>
      <w:bookmarkStart w:id="796" w:name="_Toc7765"/>
      <w:bookmarkStart w:id="797" w:name="_Toc10309"/>
      <w:bookmarkStart w:id="798" w:name="_Toc1507"/>
      <w:bookmarkStart w:id="799" w:name="_Toc26768"/>
      <w:bookmarkStart w:id="800" w:name="_Toc12112"/>
      <w:bookmarkStart w:id="801" w:name="_Toc26232"/>
      <w:bookmarkStart w:id="802" w:name="_Toc18828"/>
      <w:bookmarkStart w:id="803" w:name="_Toc17632"/>
      <w:r>
        <w:rPr>
          <w:rFonts w:ascii="宋体" w:hAnsi="宋体"/>
          <w:b/>
        </w:rPr>
        <w:t>31.开箱验收及现场保管</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w:t>
      </w:r>
      <w:r>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甲方将在到货后</w:t>
      </w:r>
      <w:r>
        <w:rPr>
          <w:rFonts w:ascii="宋体" w:hAnsi="宋体"/>
        </w:rPr>
        <w:t>10个工作日内组织验收。</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乙方负责实施本合同条款第</w:t>
      </w:r>
      <w:r>
        <w:rPr>
          <w:rFonts w:ascii="宋体" w:hAnsi="宋体"/>
        </w:rPr>
        <w:t>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rPr>
      </w:pPr>
      <w:bookmarkStart w:id="804" w:name="_Toc24951"/>
      <w:bookmarkStart w:id="805" w:name="_Toc21485"/>
      <w:bookmarkStart w:id="806" w:name="_Toc29368"/>
      <w:bookmarkStart w:id="807" w:name="_Toc390098499"/>
      <w:bookmarkStart w:id="808" w:name="_Toc27069"/>
      <w:bookmarkStart w:id="809" w:name="_Toc1489"/>
      <w:bookmarkStart w:id="810" w:name="_Toc6480"/>
      <w:bookmarkStart w:id="811" w:name="_Toc10177"/>
      <w:bookmarkStart w:id="812" w:name="_Toc22055"/>
      <w:bookmarkStart w:id="813" w:name="_Toc1011"/>
      <w:bookmarkStart w:id="814" w:name="_Toc8992"/>
      <w:bookmarkStart w:id="815" w:name="_Toc20830"/>
      <w:bookmarkStart w:id="816" w:name="_Toc2474"/>
      <w:bookmarkStart w:id="817" w:name="_Toc25577"/>
      <w:bookmarkStart w:id="818" w:name="_Toc23740"/>
      <w:bookmarkStart w:id="819" w:name="_Toc24673"/>
      <w:bookmarkStart w:id="820" w:name="_Toc385427873"/>
      <w:bookmarkStart w:id="821" w:name="_Toc18491"/>
      <w:bookmarkStart w:id="822" w:name="_Toc2372"/>
      <w:bookmarkStart w:id="823" w:name="_Toc492478796"/>
      <w:bookmarkStart w:id="824" w:name="_Toc572"/>
      <w:bookmarkStart w:id="825" w:name="_Toc25750666"/>
      <w:bookmarkStart w:id="826" w:name="_Toc378514987"/>
      <w:r>
        <w:rPr>
          <w:rFonts w:ascii="宋体" w:hAnsi="宋体"/>
          <w:b/>
        </w:rPr>
        <w:t>32.</w:t>
      </w:r>
      <w:r>
        <w:rPr>
          <w:rFonts w:hint="eastAsia" w:ascii="宋体" w:hAnsi="宋体"/>
          <w:b/>
        </w:rPr>
        <w:t>索赔与赔偿</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34"/>
        <w:numPr>
          <w:ilvl w:val="0"/>
          <w:numId w:val="35"/>
        </w:numPr>
        <w:tabs>
          <w:tab w:val="left" w:pos="920"/>
          <w:tab w:val="left" w:pos="1440"/>
        </w:tabs>
        <w:spacing w:before="0" w:after="0" w:afterAutospacing="0"/>
        <w:ind w:left="0" w:right="0" w:firstLine="420" w:firstLineChars="200"/>
        <w:rPr>
          <w:rFonts w:ascii="宋体" w:hAnsi="宋体"/>
        </w:rPr>
      </w:pPr>
      <w:r>
        <w:rPr>
          <w:rFonts w:hint="eastAsia" w:ascii="宋体" w:hAnsi="宋体"/>
        </w:rPr>
        <w:t>短装索赔</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一旦收到甲方索赔文件，乙方应无偿地补足短装货物，替换错装或损坏的货物，除非双方另有协议，该补足或替换应在十(10)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32条之32.4</w:t>
      </w:r>
      <w:r>
        <w:rPr>
          <w:rFonts w:hint="eastAsia" w:ascii="宋体" w:hAnsi="宋体"/>
        </w:rPr>
        <w:t>执行。</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若索赔属于保险赔偿范围，则乙方应自行处理保险索赔，且不应影响本合同条款第33条之32.1.2</w:t>
      </w:r>
      <w:r>
        <w:rPr>
          <w:rFonts w:hint="eastAsia" w:ascii="宋体" w:hAnsi="宋体"/>
        </w:rPr>
        <w:t>的执行</w:t>
      </w:r>
      <w:r>
        <w:rPr>
          <w:rFonts w:ascii="宋体" w:hAnsi="宋体"/>
        </w:rPr>
        <w:t>.</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质量索赔</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条所述之检验过程中，发现系统及货物材料的质量不能达到技术需求及数量表中的技术要求，则甲方应事先以书面文件的方式向乙方提出索赔，并附上下列文件之一作为向乙方进行索赔：</w:t>
      </w:r>
    </w:p>
    <w:p>
      <w:pPr>
        <w:pStyle w:val="34"/>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国家确定的认证机构出具的检验证书。</w:t>
      </w:r>
    </w:p>
    <w:p>
      <w:pPr>
        <w:pStyle w:val="34"/>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乙方应在收到甲方的索赔文件后三（3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按本合同条款第32条之32.2.1</w:t>
      </w:r>
      <w:r>
        <w:rPr>
          <w:rFonts w:hint="eastAsia" w:ascii="宋体" w:hAnsi="宋体"/>
        </w:rPr>
        <w:t>规定对货物提出的质量索赔，若乙方根据本合同条款第</w:t>
      </w:r>
      <w:r>
        <w:rPr>
          <w:rFonts w:ascii="宋体" w:hAnsi="宋体"/>
        </w:rPr>
        <w:t>32条之32.2.3.1</w:t>
      </w:r>
      <w:r>
        <w:rPr>
          <w:rFonts w:hint="eastAsia" w:ascii="宋体" w:hAnsi="宋体"/>
        </w:rPr>
        <w:t>和</w:t>
      </w:r>
      <w:r>
        <w:rPr>
          <w:rFonts w:ascii="宋体" w:hAnsi="宋体"/>
        </w:rPr>
        <w:t>32.2.3.2</w:t>
      </w:r>
      <w:r>
        <w:rPr>
          <w:rFonts w:hint="eastAsia" w:ascii="宋体" w:hAnsi="宋体"/>
        </w:rPr>
        <w:t>的方式一次未能修复货物的缺陷后，则按第</w:t>
      </w:r>
      <w:r>
        <w:rPr>
          <w:rFonts w:ascii="宋体" w:hAnsi="宋体"/>
        </w:rPr>
        <w:t>32.2.3.3</w:t>
      </w:r>
      <w:r>
        <w:rPr>
          <w:rFonts w:hint="eastAsia" w:ascii="宋体" w:hAnsi="宋体"/>
        </w:rPr>
        <w:t>和</w:t>
      </w:r>
      <w:r>
        <w:rPr>
          <w:rFonts w:ascii="宋体" w:hAnsi="宋体"/>
        </w:rPr>
        <w:t>32.2.3.4</w:t>
      </w:r>
      <w:r>
        <w:rPr>
          <w:rFonts w:hint="eastAsia" w:ascii="宋体" w:hAnsi="宋体"/>
        </w:rPr>
        <w:t>两者之一的方式处理。</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rPr>
      </w:pPr>
      <w:r>
        <w:rPr>
          <w:rFonts w:hint="eastAsia" w:ascii="宋体" w:hAnsi="宋体"/>
        </w:rPr>
        <w:t>拒收货物的运输和保险费及其它杂费应由乙方支付。</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32.2.3.3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延迟违约金</w:t>
      </w:r>
    </w:p>
    <w:p>
      <w:pPr>
        <w:spacing w:before="0" w:after="0" w:afterAutospacing="0"/>
        <w:ind w:left="0"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34"/>
        <w:numPr>
          <w:ilvl w:val="0"/>
          <w:numId w:val="40"/>
        </w:numPr>
        <w:tabs>
          <w:tab w:val="left" w:pos="1134"/>
          <w:tab w:val="left" w:pos="1440"/>
        </w:tabs>
        <w:spacing w:before="0" w:after="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w:t>
      </w:r>
      <w:r>
        <w:rPr>
          <w:rFonts w:ascii="宋体" w:hAnsi="宋体"/>
        </w:rPr>
        <w:t>20%的违约金，同时甲方重新采购因价格差所造成的损失由乙方承担。</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文件提交延误违约金</w:t>
      </w:r>
    </w:p>
    <w:p>
      <w:pPr>
        <w:pStyle w:val="34"/>
        <w:numPr>
          <w:ilvl w:val="0"/>
          <w:numId w:val="41"/>
        </w:numPr>
        <w:tabs>
          <w:tab w:val="left" w:pos="1134"/>
          <w:tab w:val="left" w:pos="1440"/>
        </w:tabs>
        <w:spacing w:before="0" w:after="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33.4</w:t>
      </w:r>
      <w:r>
        <w:rPr>
          <w:rFonts w:hint="eastAsia" w:ascii="宋体" w:hAnsi="宋体"/>
        </w:rPr>
        <w:t>条执行。</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在质量保证期内提出的索赔应根据合同条款第</w:t>
      </w:r>
      <w:r>
        <w:rPr>
          <w:rFonts w:ascii="宋体" w:hAnsi="宋体"/>
        </w:rPr>
        <w:t>14条和32条的规定进行处理。</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16条规定的合同价格的百分之一百（100%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32条之32.2.2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25条执行。但异议的协商不能影响合同项下的其它工作的继续进行。</w:t>
      </w:r>
    </w:p>
    <w:p>
      <w:pPr>
        <w:pStyle w:val="34"/>
        <w:numPr>
          <w:ilvl w:val="0"/>
          <w:numId w:val="35"/>
        </w:numPr>
        <w:tabs>
          <w:tab w:val="left" w:pos="1134"/>
          <w:tab w:val="left" w:pos="1440"/>
        </w:tabs>
        <w:spacing w:before="0" w:after="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rPr>
      </w:pPr>
      <w:bookmarkStart w:id="827" w:name="_Toc2735"/>
      <w:bookmarkStart w:id="828" w:name="_Toc1872"/>
      <w:bookmarkStart w:id="829" w:name="_Toc492478797"/>
      <w:bookmarkStart w:id="830" w:name="_Toc16726"/>
      <w:bookmarkStart w:id="831" w:name="_Toc4586"/>
      <w:bookmarkStart w:id="832" w:name="_Toc385427874"/>
      <w:bookmarkStart w:id="833" w:name="_Toc390098500"/>
      <w:bookmarkStart w:id="834" w:name="_Toc26296"/>
      <w:bookmarkStart w:id="835" w:name="_Toc12538"/>
      <w:bookmarkStart w:id="836" w:name="_Toc30838"/>
      <w:bookmarkStart w:id="837" w:name="_Toc5528"/>
      <w:bookmarkStart w:id="838" w:name="_Toc25750667"/>
      <w:bookmarkStart w:id="839" w:name="_Toc27531"/>
      <w:bookmarkStart w:id="840" w:name="_Toc28622"/>
      <w:bookmarkStart w:id="841" w:name="_Toc23798"/>
      <w:bookmarkStart w:id="842" w:name="_Toc22724"/>
      <w:bookmarkStart w:id="843" w:name="_Toc378514988"/>
      <w:bookmarkStart w:id="844" w:name="_Toc30987"/>
      <w:bookmarkStart w:id="845" w:name="_Toc19741"/>
      <w:bookmarkStart w:id="846" w:name="_Toc6197"/>
      <w:bookmarkStart w:id="847" w:name="_Toc5367"/>
      <w:bookmarkStart w:id="848" w:name="_Toc6517"/>
      <w:bookmarkStart w:id="849" w:name="_Toc4656"/>
      <w:r>
        <w:rPr>
          <w:rFonts w:ascii="宋体" w:hAnsi="宋体"/>
          <w:b/>
        </w:rPr>
        <w:t>33.合同终止与暂停</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numPr>
          <w:ilvl w:val="1"/>
          <w:numId w:val="42"/>
        </w:numPr>
        <w:tabs>
          <w:tab w:val="left" w:pos="980"/>
          <w:tab w:val="clear" w:pos="1134"/>
        </w:tabs>
        <w:spacing w:before="0" w:after="0" w:afterAutospacing="0"/>
        <w:ind w:left="0" w:right="0" w:firstLine="420" w:firstLineChars="200"/>
        <w:rPr>
          <w:rFonts w:ascii="宋体" w:hAnsi="宋体"/>
        </w:rPr>
      </w:pPr>
      <w:r>
        <w:rPr>
          <w:rFonts w:hint="eastAsia" w:ascii="宋体" w:hAnsi="宋体"/>
        </w:rPr>
        <w:t>合同终止</w:t>
      </w:r>
    </w:p>
    <w:p>
      <w:pPr>
        <w:spacing w:before="0" w:after="0" w:afterAutospacing="0"/>
        <w:ind w:left="0" w:right="0" w:firstLine="420" w:firstLineChars="200"/>
        <w:rPr>
          <w:rFonts w:ascii="宋体" w:hAnsi="宋体"/>
        </w:rPr>
      </w:pPr>
      <w:r>
        <w:rPr>
          <w:rFonts w:hint="eastAsia" w:ascii="宋体" w:hAnsi="宋体"/>
        </w:rPr>
        <w:t>合同终止包括以下几种情形：</w:t>
      </w:r>
    </w:p>
    <w:p>
      <w:pPr>
        <w:numPr>
          <w:ilvl w:val="1"/>
          <w:numId w:val="43"/>
        </w:numPr>
        <w:spacing w:before="0" w:after="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3"/>
        </w:numPr>
        <w:spacing w:before="0" w:after="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3"/>
        </w:numPr>
        <w:spacing w:before="0" w:after="0" w:afterAutospacing="0"/>
        <w:ind w:left="0" w:right="0" w:firstLine="420" w:firstLineChars="200"/>
        <w:rPr>
          <w:rFonts w:ascii="宋体" w:hAnsi="宋体"/>
        </w:rPr>
      </w:pPr>
      <w:r>
        <w:rPr>
          <w:rFonts w:hint="eastAsia" w:ascii="宋体" w:hAnsi="宋体"/>
        </w:rPr>
        <w:t>因甲方的便利而终止合同。</w:t>
      </w:r>
    </w:p>
    <w:p>
      <w:pPr>
        <w:numPr>
          <w:ilvl w:val="1"/>
          <w:numId w:val="42"/>
        </w:numPr>
        <w:tabs>
          <w:tab w:val="left" w:pos="1080"/>
          <w:tab w:val="clear" w:pos="1134"/>
        </w:tabs>
        <w:spacing w:before="0" w:after="0" w:afterAutospacing="0"/>
        <w:ind w:left="0" w:right="0" w:firstLine="420" w:firstLineChars="200"/>
        <w:rPr>
          <w:rFonts w:ascii="宋体" w:hAnsi="宋体"/>
        </w:rPr>
      </w:pPr>
      <w:r>
        <w:rPr>
          <w:rFonts w:hint="eastAsia" w:ascii="宋体" w:hAnsi="宋体"/>
        </w:rPr>
        <w:t>违约通知</w:t>
      </w:r>
    </w:p>
    <w:p>
      <w:pPr>
        <w:spacing w:before="0" w:after="0" w:afterAutospacing="0"/>
        <w:ind w:left="0"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乙方违约时的终止</w:t>
      </w:r>
    </w:p>
    <w:p>
      <w:pPr>
        <w:numPr>
          <w:ilvl w:val="1"/>
          <w:numId w:val="44"/>
        </w:numPr>
        <w:spacing w:before="0" w:after="0" w:afterAutospacing="0"/>
        <w:ind w:left="0" w:right="0" w:firstLine="420" w:firstLineChars="200"/>
        <w:rPr>
          <w:rFonts w:ascii="宋体" w:hAnsi="宋体"/>
        </w:rPr>
      </w:pPr>
      <w:r>
        <w:rPr>
          <w:rFonts w:hint="eastAsia" w:ascii="宋体" w:hAnsi="宋体"/>
        </w:rPr>
        <w:t>如果乙方有以下情形之一：</w:t>
      </w:r>
    </w:p>
    <w:p>
      <w:pPr>
        <w:spacing w:before="0" w:after="0" w:afterAutospacing="0"/>
        <w:ind w:left="0" w:right="0" w:firstLine="420" w:firstLineChars="200"/>
        <w:rPr>
          <w:rFonts w:ascii="宋体" w:hAnsi="宋体"/>
        </w:rPr>
      </w:pPr>
      <w:r>
        <w:rPr>
          <w:rFonts w:ascii="宋体" w:hAnsi="宋体"/>
        </w:rPr>
        <w:t xml:space="preserve">33.3.1.1 </w:t>
      </w:r>
      <w:r>
        <w:rPr>
          <w:rFonts w:hint="eastAsia" w:ascii="宋体" w:hAnsi="宋体"/>
        </w:rPr>
        <w:t>在收到本合同条款</w:t>
      </w:r>
      <w:r>
        <w:rPr>
          <w:rFonts w:ascii="宋体" w:hAnsi="宋体"/>
        </w:rPr>
        <w:t>33条之33.2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ascii="宋体" w:hAnsi="宋体"/>
        </w:rPr>
        <w:t>33.3.1.2没有甲方的书面同意转让合同或将项目的全部或部分分包出去。</w:t>
      </w:r>
    </w:p>
    <w:p>
      <w:pPr>
        <w:spacing w:before="0" w:after="0" w:afterAutospacing="0"/>
        <w:ind w:left="0" w:right="0" w:firstLine="420" w:firstLineChars="200"/>
        <w:rPr>
          <w:rFonts w:ascii="宋体" w:hAnsi="宋体"/>
        </w:rPr>
      </w:pPr>
      <w:r>
        <w:rPr>
          <w:rFonts w:ascii="宋体" w:hAnsi="宋体"/>
        </w:rPr>
        <w:t xml:space="preserve">33.3.1.3 </w:t>
      </w:r>
      <w:r>
        <w:rPr>
          <w:rFonts w:hint="eastAsia" w:ascii="宋体" w:hAnsi="宋体"/>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ascii="宋体" w:hAnsi="宋体"/>
        </w:rPr>
        <w:t xml:space="preserve">33.3.1.4 </w:t>
      </w:r>
      <w:r>
        <w:rPr>
          <w:rFonts w:hint="eastAsia" w:ascii="宋体" w:hAnsi="宋体"/>
        </w:rPr>
        <w:t>乙方在本合同的竞争和实施过程中有腐败行为和欺诈行为。</w:t>
      </w:r>
    </w:p>
    <w:p>
      <w:pPr>
        <w:spacing w:before="0" w:after="0" w:afterAutospacing="0"/>
        <w:ind w:left="0" w:right="0" w:firstLine="420" w:firstLineChars="200"/>
        <w:rPr>
          <w:rFonts w:ascii="宋体" w:hAnsi="宋体"/>
        </w:rPr>
      </w:pPr>
      <w:r>
        <w:rPr>
          <w:rFonts w:hint="eastAsia" w:ascii="宋体" w:hAnsi="宋体"/>
        </w:rPr>
        <w:t>为此目的，定义下述条件：</w:t>
      </w:r>
    </w:p>
    <w:p>
      <w:pPr>
        <w:tabs>
          <w:tab w:val="left" w:pos="1800"/>
        </w:tabs>
        <w:spacing w:before="0" w:after="0" w:afterAutospacing="0"/>
        <w:ind w:left="0" w:right="0" w:firstLine="420" w:firstLineChars="200"/>
        <w:rPr>
          <w:rFonts w:ascii="宋体" w:hAnsi="宋体"/>
        </w:rPr>
      </w:pPr>
      <w:r>
        <w:rPr>
          <w:rFonts w:hint="eastAsia" w:ascii="宋体" w:hAnsi="宋体"/>
        </w:rPr>
        <w:t>（</w:t>
      </w:r>
      <w:r>
        <w:rPr>
          <w:rFonts w:ascii="宋体" w:hAnsi="宋体"/>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rPr>
      </w:pPr>
      <w:r>
        <w:rPr>
          <w:rFonts w:hint="eastAsia" w:ascii="宋体" w:hAnsi="宋体"/>
        </w:rPr>
        <w:t>（</w:t>
      </w:r>
      <w:r>
        <w:rPr>
          <w:rFonts w:ascii="宋体" w:hAnsi="宋体"/>
        </w:rPr>
        <w:t>2）“欺诈行为”是指为了影响采购过程或合同实施过程而谎报事实的行为。</w:t>
      </w:r>
    </w:p>
    <w:p>
      <w:pPr>
        <w:spacing w:before="0" w:after="0" w:afterAutospacing="0"/>
        <w:ind w:left="0" w:right="0" w:firstLine="420" w:firstLineChars="200"/>
        <w:rPr>
          <w:rFonts w:ascii="宋体" w:hAnsi="宋体"/>
        </w:rPr>
      </w:pPr>
      <w:r>
        <w:rPr>
          <w:rFonts w:ascii="宋体" w:hAnsi="宋体"/>
        </w:rPr>
        <w:t xml:space="preserve">33.3.1.5 </w:t>
      </w:r>
      <w:r>
        <w:rPr>
          <w:rFonts w:hint="eastAsia" w:ascii="宋体" w:hAnsi="宋体"/>
        </w:rPr>
        <w:t>由于乙方违约而导致乙方支付违约金达到合同条款</w:t>
      </w:r>
      <w:r>
        <w:rPr>
          <w:rFonts w:ascii="宋体" w:hAnsi="宋体"/>
        </w:rPr>
        <w:t>32条规定的限额。</w:t>
      </w:r>
    </w:p>
    <w:p>
      <w:pPr>
        <w:spacing w:before="0" w:after="0" w:afterAutospacing="0"/>
        <w:ind w:left="0"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0" w:afterAutospacing="0"/>
        <w:ind w:left="0"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rPr>
      </w:pPr>
      <w:r>
        <w:rPr>
          <w:rFonts w:ascii="宋体" w:hAnsi="宋体"/>
        </w:rPr>
        <w:t xml:space="preserve">33.3.1.6 </w:t>
      </w:r>
      <w:r>
        <w:rPr>
          <w:rFonts w:hint="eastAsia" w:ascii="宋体" w:hAnsi="宋体"/>
        </w:rPr>
        <w:t>按本合同条款</w:t>
      </w:r>
      <w:r>
        <w:rPr>
          <w:rFonts w:ascii="宋体" w:hAnsi="宋体"/>
        </w:rPr>
        <w:t>33条之33.3.1.1</w:t>
      </w:r>
      <w:r>
        <w:rPr>
          <w:rFonts w:hint="eastAsia" w:ascii="宋体" w:hAnsi="宋体"/>
        </w:rPr>
        <w:t>、</w:t>
      </w:r>
      <w:r>
        <w:rPr>
          <w:rFonts w:ascii="宋体" w:hAnsi="宋体"/>
        </w:rPr>
        <w:t>33.3.1.2</w:t>
      </w:r>
      <w:r>
        <w:rPr>
          <w:rFonts w:hint="eastAsia" w:ascii="宋体" w:hAnsi="宋体"/>
        </w:rPr>
        <w:t>和</w:t>
      </w:r>
      <w:r>
        <w:rPr>
          <w:rFonts w:ascii="宋体" w:hAnsi="宋体"/>
        </w:rPr>
        <w:t>33.3.1.5</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33条</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如果甲方按合同条款</w:t>
      </w:r>
      <w:r>
        <w:rPr>
          <w:rFonts w:ascii="宋体" w:hAnsi="宋体"/>
        </w:rPr>
        <w:t>33条之33.3.1.3</w:t>
      </w:r>
      <w:r>
        <w:rPr>
          <w:rFonts w:hint="eastAsia" w:ascii="宋体" w:hAnsi="宋体"/>
        </w:rPr>
        <w:t>和</w:t>
      </w:r>
      <w:r>
        <w:rPr>
          <w:rFonts w:ascii="宋体" w:hAnsi="宋体"/>
        </w:rPr>
        <w:t>33.3.1.4</w:t>
      </w:r>
      <w:r>
        <w:rPr>
          <w:rFonts w:hint="eastAsia" w:ascii="宋体" w:hAnsi="宋体"/>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0" w:afterAutospacing="0"/>
        <w:ind w:left="0" w:right="0" w:firstLine="420" w:firstLineChars="200"/>
        <w:rPr>
          <w:rFonts w:ascii="宋体" w:hAnsi="宋体"/>
        </w:rPr>
      </w:pPr>
      <w:r>
        <w:rPr>
          <w:rFonts w:hint="eastAsia" w:ascii="宋体" w:hAnsi="宋体"/>
        </w:rPr>
        <w:t>甲方违约时的终止</w:t>
      </w:r>
    </w:p>
    <w:p>
      <w:pPr>
        <w:numPr>
          <w:ilvl w:val="1"/>
          <w:numId w:val="45"/>
        </w:numPr>
        <w:spacing w:before="0" w:after="0" w:afterAutospacing="0"/>
        <w:ind w:left="0" w:right="0" w:firstLine="420" w:firstLineChars="200"/>
        <w:rPr>
          <w:rFonts w:ascii="宋体" w:hAnsi="宋体"/>
        </w:rPr>
      </w:pPr>
      <w:r>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0" w:afterAutospacing="0"/>
        <w:ind w:left="0" w:right="0" w:firstLine="420" w:firstLineChars="200"/>
        <w:rPr>
          <w:rFonts w:ascii="宋体" w:hAnsi="宋体"/>
        </w:rPr>
      </w:pPr>
      <w:r>
        <w:rPr>
          <w:rFonts w:hint="eastAsia" w:ascii="宋体" w:hAnsi="宋体"/>
        </w:rPr>
        <w:t>任何此类终止均不应损害本合同项下甲方的任何其它权利。</w:t>
      </w:r>
    </w:p>
    <w:p>
      <w:pPr>
        <w:numPr>
          <w:ilvl w:val="1"/>
          <w:numId w:val="45"/>
        </w:numPr>
        <w:spacing w:before="0" w:after="0" w:afterAutospacing="0"/>
        <w:ind w:left="0" w:right="0" w:firstLine="420" w:firstLineChars="200"/>
        <w:rPr>
          <w:rFonts w:ascii="宋体" w:hAnsi="宋体"/>
        </w:rPr>
      </w:pPr>
      <w:r>
        <w:rPr>
          <w:rFonts w:ascii="宋体" w:hAnsi="宋体"/>
        </w:rPr>
        <w:t xml:space="preserve"> 倘若发生本合同条款第33条之33.4.1</w:t>
      </w:r>
      <w:r>
        <w:rPr>
          <w:rFonts w:hint="eastAsia" w:ascii="宋体" w:hAnsi="宋体"/>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rPr>
      </w:pPr>
      <w:bookmarkStart w:id="850" w:name="_Toc459797566"/>
      <w:bookmarkEnd w:id="850"/>
      <w:bookmarkStart w:id="851" w:name="_Toc459730500"/>
      <w:bookmarkEnd w:id="851"/>
      <w:bookmarkStart w:id="852" w:name="_Toc459730511"/>
      <w:bookmarkEnd w:id="852"/>
      <w:bookmarkStart w:id="853" w:name="_Toc459797541"/>
      <w:bookmarkEnd w:id="853"/>
      <w:bookmarkStart w:id="854" w:name="_Toc459797546"/>
      <w:bookmarkEnd w:id="854"/>
      <w:bookmarkStart w:id="855" w:name="_Toc459730496"/>
      <w:bookmarkEnd w:id="855"/>
      <w:bookmarkStart w:id="856" w:name="_Toc459730508"/>
      <w:bookmarkEnd w:id="856"/>
      <w:bookmarkStart w:id="857" w:name="_Toc459730487"/>
      <w:bookmarkEnd w:id="857"/>
      <w:bookmarkStart w:id="858" w:name="_Toc459730507"/>
      <w:bookmarkEnd w:id="858"/>
      <w:bookmarkStart w:id="859" w:name="_Toc459730489"/>
      <w:bookmarkEnd w:id="859"/>
      <w:bookmarkStart w:id="860" w:name="_Toc459730502"/>
      <w:bookmarkEnd w:id="860"/>
      <w:bookmarkStart w:id="861" w:name="_Toc459730493"/>
      <w:bookmarkEnd w:id="861"/>
      <w:bookmarkStart w:id="862" w:name="_Toc459797568"/>
      <w:bookmarkEnd w:id="862"/>
      <w:bookmarkStart w:id="863" w:name="_Toc459797554"/>
      <w:bookmarkEnd w:id="863"/>
      <w:bookmarkStart w:id="864" w:name="_Toc459797561"/>
      <w:bookmarkEnd w:id="864"/>
      <w:bookmarkStart w:id="865" w:name="_Toc459730494"/>
      <w:bookmarkEnd w:id="865"/>
      <w:bookmarkStart w:id="866" w:name="_Toc459797563"/>
      <w:bookmarkEnd w:id="866"/>
      <w:bookmarkStart w:id="867" w:name="_Toc459730515"/>
      <w:bookmarkEnd w:id="867"/>
      <w:bookmarkStart w:id="868" w:name="_Toc459730503"/>
      <w:bookmarkEnd w:id="868"/>
      <w:bookmarkStart w:id="869" w:name="_Toc459730514"/>
      <w:bookmarkEnd w:id="869"/>
      <w:bookmarkStart w:id="870" w:name="_Toc459730499"/>
      <w:bookmarkEnd w:id="870"/>
      <w:bookmarkStart w:id="871" w:name="_Toc459797545"/>
      <w:bookmarkEnd w:id="871"/>
      <w:bookmarkStart w:id="872" w:name="_Toc459797559"/>
      <w:bookmarkEnd w:id="872"/>
      <w:bookmarkStart w:id="873" w:name="_Toc459797562"/>
      <w:bookmarkEnd w:id="873"/>
      <w:bookmarkStart w:id="874" w:name="_Toc459730517"/>
      <w:bookmarkEnd w:id="874"/>
      <w:bookmarkStart w:id="875" w:name="_Toc459797550"/>
      <w:bookmarkEnd w:id="875"/>
      <w:bookmarkStart w:id="876" w:name="_Toc459730485"/>
      <w:bookmarkEnd w:id="876"/>
      <w:bookmarkStart w:id="877" w:name="_Toc459730490"/>
      <w:bookmarkEnd w:id="877"/>
      <w:bookmarkStart w:id="878" w:name="_Toc459797560"/>
      <w:bookmarkEnd w:id="878"/>
      <w:bookmarkStart w:id="879" w:name="_Toc459730513"/>
      <w:bookmarkEnd w:id="879"/>
      <w:bookmarkStart w:id="880" w:name="_Toc459730510"/>
      <w:bookmarkEnd w:id="880"/>
      <w:bookmarkStart w:id="881" w:name="_Toc459730498"/>
      <w:bookmarkEnd w:id="881"/>
      <w:bookmarkStart w:id="882" w:name="_Toc459797564"/>
      <w:bookmarkEnd w:id="882"/>
      <w:bookmarkStart w:id="883" w:name="_Toc459797543"/>
      <w:bookmarkEnd w:id="883"/>
      <w:bookmarkStart w:id="884" w:name="_Toc459797556"/>
      <w:bookmarkEnd w:id="884"/>
      <w:bookmarkStart w:id="885" w:name="_Toc459797547"/>
      <w:bookmarkEnd w:id="885"/>
      <w:bookmarkStart w:id="886" w:name="_Toc459730506"/>
      <w:bookmarkEnd w:id="886"/>
      <w:bookmarkStart w:id="887" w:name="_Toc459797542"/>
      <w:bookmarkEnd w:id="887"/>
      <w:bookmarkStart w:id="888" w:name="_Toc459730516"/>
      <w:bookmarkEnd w:id="888"/>
      <w:bookmarkStart w:id="889" w:name="_Toc459797557"/>
      <w:bookmarkEnd w:id="889"/>
      <w:bookmarkStart w:id="890" w:name="_Toc459730504"/>
      <w:bookmarkEnd w:id="890"/>
      <w:bookmarkStart w:id="891" w:name="_Toc459797569"/>
      <w:bookmarkEnd w:id="891"/>
      <w:bookmarkStart w:id="892" w:name="_Toc459730509"/>
      <w:bookmarkEnd w:id="892"/>
      <w:bookmarkStart w:id="893" w:name="_Toc459797570"/>
      <w:bookmarkEnd w:id="893"/>
      <w:bookmarkStart w:id="894" w:name="_Toc459797558"/>
      <w:bookmarkEnd w:id="894"/>
      <w:bookmarkStart w:id="895" w:name="_Toc459730486"/>
      <w:bookmarkEnd w:id="895"/>
      <w:bookmarkStart w:id="896" w:name="_Toc459797565"/>
      <w:bookmarkEnd w:id="896"/>
      <w:bookmarkStart w:id="897" w:name="_Toc459797539"/>
      <w:bookmarkEnd w:id="897"/>
      <w:bookmarkStart w:id="898" w:name="_Toc459730488"/>
      <w:bookmarkEnd w:id="898"/>
      <w:bookmarkStart w:id="899" w:name="_Toc459797540"/>
      <w:bookmarkEnd w:id="899"/>
      <w:bookmarkStart w:id="900" w:name="_Toc459730497"/>
      <w:bookmarkEnd w:id="900"/>
      <w:bookmarkStart w:id="901" w:name="_Toc459730491"/>
      <w:bookmarkEnd w:id="901"/>
      <w:bookmarkStart w:id="902" w:name="_Toc459797555"/>
      <w:bookmarkEnd w:id="902"/>
      <w:bookmarkStart w:id="903" w:name="_Toc459730512"/>
      <w:bookmarkEnd w:id="903"/>
      <w:bookmarkStart w:id="904" w:name="_Toc459797549"/>
      <w:bookmarkEnd w:id="904"/>
      <w:bookmarkStart w:id="905" w:name="_Toc459730495"/>
      <w:bookmarkEnd w:id="905"/>
      <w:bookmarkStart w:id="906" w:name="_Toc459730505"/>
      <w:bookmarkEnd w:id="906"/>
      <w:bookmarkStart w:id="907" w:name="_Toc459797567"/>
      <w:bookmarkEnd w:id="907"/>
      <w:bookmarkStart w:id="908" w:name="_Toc459730501"/>
      <w:bookmarkEnd w:id="908"/>
      <w:bookmarkStart w:id="909" w:name="_Toc459797544"/>
      <w:bookmarkEnd w:id="909"/>
      <w:bookmarkStart w:id="910" w:name="_Toc459797552"/>
      <w:bookmarkEnd w:id="910"/>
      <w:bookmarkStart w:id="911" w:name="_Toc459797548"/>
      <w:bookmarkEnd w:id="911"/>
      <w:bookmarkStart w:id="912" w:name="_Toc459730492"/>
      <w:bookmarkEnd w:id="912"/>
      <w:bookmarkStart w:id="913" w:name="_Toc459797553"/>
      <w:bookmarkEnd w:id="913"/>
      <w:bookmarkStart w:id="914" w:name="_Toc459797538"/>
      <w:bookmarkEnd w:id="914"/>
      <w:bookmarkStart w:id="915" w:name="_Toc459797551"/>
      <w:bookmarkEnd w:id="915"/>
      <w:bookmarkStart w:id="916" w:name="_Toc17551"/>
      <w:bookmarkStart w:id="917" w:name="_Toc29090"/>
      <w:bookmarkStart w:id="918" w:name="_Toc16556"/>
      <w:bookmarkStart w:id="919" w:name="_Toc3622"/>
      <w:bookmarkStart w:id="920" w:name="_Toc2164"/>
      <w:bookmarkStart w:id="921" w:name="_Toc22885"/>
      <w:bookmarkStart w:id="922" w:name="_Toc10048"/>
      <w:bookmarkStart w:id="923" w:name="_Toc13350"/>
      <w:bookmarkStart w:id="924" w:name="_Toc11735"/>
      <w:bookmarkStart w:id="925" w:name="_Toc16585"/>
      <w:bookmarkStart w:id="926" w:name="_Toc28448"/>
      <w:bookmarkStart w:id="927" w:name="_Toc24047"/>
      <w:bookmarkStart w:id="928" w:name="_Toc2267"/>
      <w:bookmarkStart w:id="929" w:name="_Toc12929"/>
      <w:bookmarkStart w:id="930" w:name="_Toc25750668"/>
      <w:bookmarkStart w:id="931" w:name="_Toc31943"/>
      <w:bookmarkStart w:id="932" w:name="_Toc30952"/>
      <w:bookmarkStart w:id="933" w:name="_Toc28979"/>
      <w:bookmarkStart w:id="934" w:name="_Toc10055"/>
      <w:bookmarkStart w:id="935" w:name="_Toc492478798"/>
      <w:r>
        <w:rPr>
          <w:rFonts w:ascii="宋体" w:hAnsi="宋体"/>
          <w:b/>
        </w:rPr>
        <w:t>34.验收</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numPr>
          <w:ilvl w:val="1"/>
          <w:numId w:val="46"/>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6"/>
        </w:numPr>
        <w:spacing w:before="0" w:after="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6"/>
        </w:numPr>
        <w:tabs>
          <w:tab w:val="left" w:pos="1080"/>
          <w:tab w:val="clear" w:pos="1134"/>
        </w:tabs>
        <w:spacing w:before="0" w:after="0" w:afterAutospacing="0"/>
        <w:ind w:left="0" w:right="0" w:firstLine="420" w:firstLineChars="200"/>
        <w:rPr>
          <w:rFonts w:ascii="宋体" w:hAnsi="宋体"/>
        </w:rPr>
      </w:pPr>
      <w:r>
        <w:rPr>
          <w:rFonts w:hint="eastAsia" w:ascii="宋体" w:hAnsi="宋体"/>
        </w:rPr>
        <w:t>验收标准</w:t>
      </w:r>
    </w:p>
    <w:p>
      <w:pPr>
        <w:numPr>
          <w:ilvl w:val="1"/>
          <w:numId w:val="47"/>
        </w:numPr>
        <w:spacing w:before="0" w:after="0" w:afterAutospacing="0"/>
        <w:ind w:left="0" w:right="0" w:firstLine="420" w:firstLineChars="200"/>
        <w:rPr>
          <w:rFonts w:ascii="宋体" w:hAnsi="宋体"/>
        </w:rPr>
      </w:pPr>
      <w:r>
        <w:rPr>
          <w:rFonts w:ascii="宋体" w:hAnsi="宋体"/>
        </w:rPr>
        <w:t xml:space="preserve"> 甲方对货物制订的检验标准。</w:t>
      </w:r>
    </w:p>
    <w:p>
      <w:pPr>
        <w:numPr>
          <w:ilvl w:val="1"/>
          <w:numId w:val="47"/>
        </w:numPr>
        <w:spacing w:before="0" w:after="0" w:afterAutospacing="0"/>
        <w:ind w:left="0" w:right="0" w:firstLine="420" w:firstLineChars="200"/>
        <w:rPr>
          <w:rFonts w:ascii="宋体" w:hAnsi="宋体"/>
        </w:rPr>
      </w:pPr>
      <w:r>
        <w:rPr>
          <w:rFonts w:ascii="宋体" w:hAnsi="宋体"/>
        </w:rPr>
        <w:t xml:space="preserve"> 以合格证书、技术性能参数、质量参数和国家质量标准作为对货物的检验标准。</w:t>
      </w:r>
    </w:p>
    <w:p>
      <w:pPr>
        <w:numPr>
          <w:ilvl w:val="1"/>
          <w:numId w:val="47"/>
        </w:numPr>
        <w:spacing w:before="0" w:after="0" w:afterAutospacing="0"/>
        <w:ind w:left="0" w:right="0" w:firstLine="420" w:firstLineChars="200"/>
        <w:rPr>
          <w:rFonts w:ascii="宋体" w:hAnsi="宋体"/>
        </w:rPr>
      </w:pPr>
      <w:r>
        <w:rPr>
          <w:rFonts w:ascii="宋体" w:hAnsi="宋体"/>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6"/>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甲方验收不合格的货物，乙方须于接到甲方通知之日起</w:t>
      </w:r>
      <w:r>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rPr>
      </w:pPr>
      <w:bookmarkStart w:id="936" w:name="_Toc14941"/>
      <w:bookmarkStart w:id="937" w:name="_Toc1713"/>
      <w:bookmarkStart w:id="938" w:name="_Toc23559"/>
      <w:bookmarkStart w:id="939" w:name="_Toc30922"/>
      <w:bookmarkStart w:id="940" w:name="_Toc13500"/>
      <w:bookmarkStart w:id="941" w:name="_Toc25750669"/>
      <w:bookmarkStart w:id="942" w:name="_Toc12478"/>
      <w:bookmarkStart w:id="943" w:name="_Toc6005"/>
      <w:bookmarkStart w:id="944" w:name="_Toc9798"/>
      <w:bookmarkStart w:id="945" w:name="_Toc15820"/>
      <w:bookmarkStart w:id="946" w:name="_Toc31498"/>
      <w:bookmarkStart w:id="947" w:name="_Toc492478799"/>
      <w:bookmarkStart w:id="948" w:name="_Toc5694"/>
      <w:bookmarkStart w:id="949" w:name="_Toc21060"/>
      <w:bookmarkStart w:id="950" w:name="_Toc21038"/>
      <w:bookmarkStart w:id="951" w:name="_Toc30584"/>
      <w:bookmarkStart w:id="952" w:name="_Toc12087"/>
      <w:bookmarkStart w:id="953" w:name="_Toc6868"/>
      <w:bookmarkStart w:id="954" w:name="_Toc408"/>
      <w:bookmarkStart w:id="955" w:name="_Toc13751"/>
      <w:r>
        <w:rPr>
          <w:rFonts w:ascii="宋体" w:hAnsi="宋体"/>
          <w:b/>
        </w:rPr>
        <w:t>35.时间保证</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numPr>
          <w:ilvl w:val="2"/>
          <w:numId w:val="48"/>
        </w:numPr>
        <w:tabs>
          <w:tab w:val="left" w:pos="940"/>
          <w:tab w:val="clear" w:pos="1080"/>
        </w:tabs>
        <w:snapToGrid w:val="0"/>
        <w:spacing w:before="0" w:after="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rPr>
      </w:pPr>
      <w:bookmarkStart w:id="956" w:name="_Toc26446"/>
      <w:bookmarkStart w:id="957" w:name="_Toc4370"/>
      <w:bookmarkStart w:id="958" w:name="_Toc370933887"/>
      <w:bookmarkStart w:id="959" w:name="_Toc27400"/>
      <w:bookmarkStart w:id="960" w:name="_Toc11286"/>
      <w:bookmarkStart w:id="961" w:name="_Toc27029"/>
      <w:bookmarkStart w:id="962" w:name="_Toc390098502"/>
      <w:bookmarkStart w:id="963" w:name="_Toc20826"/>
      <w:bookmarkStart w:id="964" w:name="_Toc25859"/>
      <w:bookmarkStart w:id="965" w:name="_Toc14240"/>
      <w:bookmarkStart w:id="966" w:name="_Toc492478800"/>
      <w:bookmarkStart w:id="967" w:name="_Toc20780"/>
      <w:bookmarkStart w:id="968" w:name="_Toc378514990"/>
      <w:bookmarkStart w:id="969" w:name="_Toc25406"/>
      <w:bookmarkStart w:id="970" w:name="_Toc8642"/>
      <w:bookmarkStart w:id="971" w:name="_Toc2427"/>
      <w:bookmarkStart w:id="972" w:name="_Toc16845"/>
      <w:bookmarkStart w:id="973" w:name="_Toc6462"/>
      <w:bookmarkStart w:id="974" w:name="_Toc385427876"/>
      <w:bookmarkStart w:id="975" w:name="_Toc925"/>
      <w:bookmarkStart w:id="976" w:name="_Toc25750670"/>
      <w:bookmarkStart w:id="977" w:name="_Toc309"/>
      <w:bookmarkStart w:id="978" w:name="_Toc24789"/>
      <w:bookmarkStart w:id="979" w:name="_Toc11322"/>
      <w:r>
        <w:rPr>
          <w:rFonts w:ascii="宋体" w:hAnsi="宋体"/>
          <w:b/>
        </w:rPr>
        <w:t>36.其他</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乙方确认并认知：</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rPr>
      </w:pPr>
      <w:bookmarkStart w:id="980" w:name="_Toc24724"/>
      <w:bookmarkStart w:id="981" w:name="_Toc15121"/>
      <w:bookmarkStart w:id="982" w:name="_Toc8007"/>
      <w:bookmarkStart w:id="983" w:name="_Toc24622"/>
      <w:bookmarkStart w:id="984" w:name="_Toc560"/>
      <w:bookmarkStart w:id="985" w:name="_Toc2266"/>
      <w:bookmarkStart w:id="986" w:name="_Toc13166"/>
      <w:bookmarkStart w:id="987" w:name="_Toc16195"/>
      <w:bookmarkStart w:id="988" w:name="_Toc25750671"/>
      <w:bookmarkStart w:id="989" w:name="_Toc7637"/>
      <w:bookmarkStart w:id="990" w:name="_Toc5033"/>
      <w:bookmarkStart w:id="991" w:name="_Toc13499"/>
      <w:bookmarkStart w:id="992" w:name="_Toc4615"/>
      <w:bookmarkStart w:id="993" w:name="_Toc18173"/>
      <w:bookmarkStart w:id="994" w:name="_Toc16684"/>
      <w:bookmarkStart w:id="995" w:name="_Toc2305"/>
      <w:bookmarkStart w:id="996" w:name="_Toc22187"/>
      <w:bookmarkStart w:id="997" w:name="_Toc19698"/>
      <w:bookmarkStart w:id="998" w:name="_Toc7437"/>
      <w:r>
        <w:rPr>
          <w:rFonts w:ascii="宋体" w:hAnsi="宋体"/>
          <w:b/>
        </w:rPr>
        <w:t>37.合同生效和签约地</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0" w:right="0" w:firstLine="0"/>
        <w:outlineLvl w:val="1"/>
        <w:rPr>
          <w:rFonts w:ascii="宋体" w:hAnsi="宋体"/>
          <w:b/>
        </w:rPr>
        <w:sectPr>
          <w:footerReference r:id="rId7" w:type="default"/>
          <w:pgSz w:w="11905" w:h="16838"/>
          <w:pgMar w:top="1417" w:right="1417" w:bottom="1417" w:left="1417" w:header="454" w:footer="567" w:gutter="0"/>
          <w:pgNumType w:start="1"/>
          <w:cols w:space="720" w:num="1"/>
          <w:docGrid w:linePitch="312" w:charSpace="0"/>
        </w:sectPr>
      </w:pPr>
      <w:bookmarkStart w:id="999" w:name="_Toc19448"/>
      <w:bookmarkStart w:id="1000" w:name="_Toc6194"/>
      <w:bookmarkStart w:id="1001" w:name="_Toc2753"/>
      <w:bookmarkStart w:id="1002" w:name="_Toc12470"/>
      <w:bookmarkStart w:id="1003" w:name="_Toc16443"/>
      <w:bookmarkStart w:id="1004" w:name="_Toc21659"/>
      <w:bookmarkStart w:id="1005" w:name="_Toc27316"/>
      <w:bookmarkStart w:id="1006" w:name="_Toc12983548"/>
      <w:bookmarkStart w:id="1007" w:name="_Toc21033"/>
      <w:bookmarkStart w:id="1008" w:name="_Toc14997"/>
      <w:bookmarkStart w:id="1009" w:name="_Toc27258"/>
      <w:bookmarkStart w:id="1010" w:name="_Toc13288"/>
      <w:bookmarkStart w:id="1011" w:name="_Toc21372"/>
      <w:bookmarkStart w:id="1012" w:name="_Toc5644"/>
      <w:bookmarkStart w:id="1013" w:name="_Toc21635"/>
      <w:bookmarkStart w:id="1014" w:name="_Toc29249"/>
      <w:bookmarkStart w:id="1015" w:name="_Toc5186"/>
      <w:bookmarkStart w:id="1016" w:name="_Toc16716"/>
    </w:p>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Pr>
        <w:tabs>
          <w:tab w:val="left" w:pos="1134"/>
          <w:tab w:val="left" w:pos="8364"/>
        </w:tabs>
        <w:spacing w:before="0" w:afterAutospacing="0"/>
        <w:ind w:right="-57"/>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附件1：</w:t>
      </w:r>
    </w:p>
    <w:p>
      <w:pPr>
        <w:spacing w:before="0" w:afterAutospacing="0"/>
        <w:ind w:right="-57"/>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银行</w:t>
      </w:r>
      <w:r>
        <w:rPr>
          <w:rFonts w:ascii="宋体" w:hAnsi="宋体"/>
          <w:b/>
          <w:color w:val="000000" w:themeColor="text1"/>
          <w:sz w:val="24"/>
          <w:szCs w:val="24"/>
          <w14:textFill>
            <w14:solidFill>
              <w14:schemeClr w14:val="tx1"/>
            </w14:solidFill>
          </w14:textFill>
        </w:rPr>
        <w:t>保函</w:t>
      </w:r>
      <w:r>
        <w:rPr>
          <w:rFonts w:hint="eastAsia" w:ascii="宋体" w:hAnsi="宋体"/>
          <w:b/>
          <w:color w:val="000000" w:themeColor="text1"/>
          <w:sz w:val="24"/>
          <w:szCs w:val="24"/>
          <w14:textFill>
            <w14:solidFill>
              <w14:schemeClr w14:val="tx1"/>
            </w14:solidFill>
          </w14:textFill>
        </w:rPr>
        <w:t>（中选后提供）</w:t>
      </w:r>
    </w:p>
    <w:p>
      <w:pPr>
        <w:pStyle w:val="11"/>
        <w:ind w:right="-57"/>
        <w:rPr>
          <w:rFonts w:hAnsi="宋体"/>
          <w:color w:val="000000" w:themeColor="text1"/>
          <w:spacing w:val="20"/>
          <w14:textFill>
            <w14:solidFill>
              <w14:schemeClr w14:val="tx1"/>
            </w14:solidFill>
          </w14:textFill>
        </w:rPr>
      </w:pPr>
      <w:r>
        <w:rPr>
          <w:rFonts w:hint="eastAsia" w:hAnsi="宋体"/>
          <w:color w:val="000000" w:themeColor="text1"/>
          <w:spacing w:val="20"/>
          <w14:textFill>
            <w14:solidFill>
              <w14:schemeClr w14:val="tx1"/>
            </w14:solidFill>
          </w14:textFill>
        </w:rPr>
        <w:t>保函编号：</w:t>
      </w:r>
    </w:p>
    <w:p>
      <w:pPr>
        <w:autoSpaceDE w:val="0"/>
        <w:autoSpaceDN w:val="0"/>
        <w:ind w:right="-57"/>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致：南宁轨道交通集团有限责任公司</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鉴于贵方已于</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日发出中选通知书，本保函作为贵方将与</w:t>
      </w:r>
      <w:r>
        <w:rPr>
          <w:rFonts w:hint="eastAsia" w:ascii="宋体" w:hAnsi="宋体"/>
          <w:color w:val="000000" w:themeColor="text1"/>
          <w:u w:val="single"/>
          <w14:textFill>
            <w14:solidFill>
              <w14:schemeClr w14:val="tx1"/>
            </w14:solidFill>
          </w14:textFill>
        </w:rPr>
        <w:t xml:space="preserve">   （乙方名称） </w:t>
      </w:r>
      <w:r>
        <w:rPr>
          <w:rFonts w:hint="eastAsia" w:ascii="宋体" w:hAnsi="宋体"/>
          <w:color w:val="000000" w:themeColor="text1"/>
          <w14:textFill>
            <w14:solidFill>
              <w14:schemeClr w14:val="tx1"/>
            </w14:solidFill>
          </w14:textFill>
        </w:rPr>
        <w:t>（以下简称“乙方”）签订的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rPr>
        <w:t>2021年XX</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以下简称“本项目”）合同（中选价格￥</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元，大写：</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元）的银行保函。</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w:t>
      </w:r>
      <w:r>
        <w:rPr>
          <w:rFonts w:hint="eastAsia" w:ascii="宋体" w:hAnsi="宋体"/>
          <w:color w:val="000000" w:themeColor="text1"/>
          <w:u w:val="single"/>
          <w14:textFill>
            <w14:solidFill>
              <w14:schemeClr w14:val="tx1"/>
            </w14:solidFill>
          </w14:textFill>
        </w:rPr>
        <w:t>（担保人名称    ）</w:t>
      </w:r>
      <w:r>
        <w:rPr>
          <w:rFonts w:hint="eastAsia" w:ascii="宋体" w:hAnsi="宋体"/>
          <w:color w:val="000000" w:themeColor="text1"/>
          <w14:textFill>
            <w14:solidFill>
              <w14:schemeClr w14:val="tx1"/>
            </w14:solidFill>
          </w14:textFill>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我方在收到贵方提出要求支付保证金的通知时，无须提出任何证明或证据，将于7日内无条件地和不可改变地向贵方支付不超过人民币元（大写：</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）的任何要求金额，我方不要求贵方证实其在索赔要求中指出的违约情况。</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本保函项下所有权利和义务均适用于中华人民共和国法律。</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全部货物验收合格之日后四十五（45）天一直</w:t>
      </w:r>
      <w:r>
        <w:rPr>
          <w:rFonts w:hint="eastAsia" w:ascii="宋体" w:hAnsi="宋体" w:cs="Arial"/>
          <w:color w:val="000000" w:themeColor="text1"/>
          <w14:textFill>
            <w14:solidFill>
              <w14:schemeClr w14:val="tx1"/>
            </w14:solidFill>
          </w14:textFill>
        </w:rPr>
        <w:t>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X年X月X日</w:t>
      </w:r>
      <w:r>
        <w:rPr>
          <w:rFonts w:hint="eastAsia" w:ascii="宋体" w:hAnsi="宋体" w:cs="Arial"/>
          <w:color w:val="000000" w:themeColor="text1"/>
          <w14:textFill>
            <w14:solidFill>
              <w14:schemeClr w14:val="tx1"/>
            </w14:solidFill>
          </w14:textFill>
        </w:rPr>
        <w:t>一直有效，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spacing w:afterAutospacing="0"/>
        <w:ind w:right="-57" w:firstLine="200"/>
        <w:rPr>
          <w:rFonts w:ascii="宋体" w:hAnsi="宋体"/>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（开具保函时，以上二种方式，任选一种。）</w:t>
      </w:r>
    </w:p>
    <w:p>
      <w:pPr>
        <w:spacing w:afterAutospacing="0"/>
        <w:ind w:right="-57"/>
        <w:rPr>
          <w:rFonts w:ascii="宋体" w:hAnsi="宋体" w:cs="Arial"/>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银行地址：</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担保银行：</w:t>
      </w:r>
      <w:r>
        <w:rPr>
          <w:rFonts w:hint="eastAsia" w:ascii="宋体" w:hAnsi="宋体"/>
          <w:color w:val="000000" w:themeColor="text1"/>
          <w:u w:val="single"/>
          <w14:textFill>
            <w14:solidFill>
              <w14:schemeClr w14:val="tx1"/>
            </w14:solidFill>
          </w14:textFill>
        </w:rPr>
        <w:t xml:space="preserve">（全称）    </w:t>
      </w:r>
      <w:r>
        <w:rPr>
          <w:rFonts w:hint="eastAsia" w:ascii="宋体" w:hAnsi="宋体"/>
          <w:color w:val="000000" w:themeColor="text1"/>
          <w14:textFill>
            <w14:solidFill>
              <w14:schemeClr w14:val="tx1"/>
            </w14:solidFill>
          </w14:textFill>
        </w:rPr>
        <w:t>(盖章)</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邮编：</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法定代表人或（授权代理人）：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(签字)</w:t>
      </w:r>
    </w:p>
    <w:p>
      <w:pPr>
        <w:spacing w:afterAutospacing="0"/>
        <w:ind w:right="-57"/>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电话：</w:t>
      </w:r>
      <w:r>
        <w:rPr>
          <w:rFonts w:hint="eastAsia" w:ascii="宋体" w:hAnsi="宋体"/>
          <w:color w:val="000000" w:themeColor="text1"/>
          <w:u w:val="single"/>
          <w14:textFill>
            <w14:solidFill>
              <w14:schemeClr w14:val="tx1"/>
            </w14:solidFill>
          </w14:textFill>
        </w:rPr>
        <w:t>（职务）   （姓名）  （签字）</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传真：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日期：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spacing w:afterAutospacing="0"/>
        <w:ind w:right="-57"/>
        <w:rPr>
          <w:rFonts w:ascii="宋体" w:hAnsi="宋体"/>
          <w:color w:val="000000" w:themeColor="text1"/>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承诺函（中选后提供）</w:t>
      </w:r>
    </w:p>
    <w:p>
      <w:pPr>
        <w:ind w:right="-57"/>
        <w:rPr>
          <w:rFonts w:ascii="宋体" w:hAnsi="宋体"/>
          <w:color w:val="000000" w:themeColor="text1"/>
          <w14:textFill>
            <w14:solidFill>
              <w14:schemeClr w14:val="tx1"/>
            </w14:solidFill>
          </w14:textFill>
        </w:rPr>
      </w:pPr>
    </w:p>
    <w:p>
      <w:pPr>
        <w:spacing w:line="480" w:lineRule="auto"/>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南宁轨道交通集团有限责任公司：</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（以下称“本公司”）现已中选贵司询比价的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rPr>
        <w:t>2021年XX</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，并拟签订正式合同，按合同规定需向贵司提供一份履约担保金额为人民币：</w:t>
      </w:r>
      <w:r>
        <w:rPr>
          <w:rFonts w:hint="eastAsia"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）的银行保函（保函编号：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），有效期至X年X月X日。</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本公司现向贵司郑重承诺，如上述保函到期日仍未到合同约定的时间（</w:t>
      </w:r>
      <w:r>
        <w:rPr>
          <w:rFonts w:hint="eastAsia" w:ascii="宋体" w:hAnsi="宋体"/>
          <w:color w:val="000000" w:themeColor="text1"/>
          <w:u w:val="single"/>
          <w14:textFill>
            <w14:solidFill>
              <w14:schemeClr w14:val="tx1"/>
            </w14:solidFill>
          </w14:textFill>
        </w:rPr>
        <w:t>全部货物验收合格之日后四十五（45）天</w:t>
      </w:r>
      <w:r>
        <w:rPr>
          <w:rFonts w:hint="eastAsia" w:ascii="宋体" w:hAnsi="宋体"/>
          <w:color w:val="000000" w:themeColor="text1"/>
          <w14:textFill>
            <w14:solidFill>
              <w14:schemeClr w14:val="tx1"/>
            </w14:solidFill>
          </w14:textFill>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特此承诺</w:t>
      </w:r>
    </w:p>
    <w:p>
      <w:pPr>
        <w:ind w:right="-57" w:firstLine="420"/>
        <w:rPr>
          <w:rFonts w:ascii="宋体" w:hAnsi="宋体"/>
          <w:color w:val="000000" w:themeColor="text1"/>
          <w14:textFill>
            <w14:solidFill>
              <w14:schemeClr w14:val="tx1"/>
            </w14:solidFill>
          </w14:textFill>
        </w:rPr>
      </w:pPr>
    </w:p>
    <w:p>
      <w:pPr>
        <w:ind w:left="5040" w:right="-57" w:hanging="493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承诺人：</w:t>
      </w:r>
    </w:p>
    <w:p>
      <w:pPr>
        <w:ind w:left="4935" w:right="-57" w:hanging="483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X年X月X日</w:t>
      </w:r>
    </w:p>
    <w:p>
      <w:pPr>
        <w:ind w:right="-57"/>
        <w:rPr>
          <w:rFonts w:ascii="宋体" w:hAnsi="宋体"/>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（当选择银行保函格式第2种方式时开具银行保函的，必须提供本承诺书。）</w:t>
      </w:r>
    </w:p>
    <w:p>
      <w:pPr>
        <w:ind w:right="-57" w:firstLine="200"/>
        <w:rPr>
          <w:rFonts w:ascii="宋体" w:hAnsi="宋体"/>
          <w:b/>
          <w:i/>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附件2：</w:t>
      </w: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供货证明（格式，供货时提供）</w:t>
      </w:r>
    </w:p>
    <w:p>
      <w:pPr>
        <w:ind w:right="-5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南宁轨道交通集团有限责任公司：</w:t>
      </w:r>
    </w:p>
    <w:p>
      <w:pPr>
        <w:tabs>
          <w:tab w:val="left" w:pos="1134"/>
          <w:tab w:val="left" w:pos="8364"/>
        </w:tabs>
        <w:spacing w:before="0"/>
        <w:ind w:right="0"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兹证明（单位）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在</w:t>
      </w:r>
      <w:r>
        <w:rPr>
          <w:rFonts w:hint="eastAsia" w:ascii="宋体" w:hAnsi="宋体"/>
          <w:color w:val="000000" w:themeColor="text1"/>
          <w14:textFill>
            <w14:solidFill>
              <w14:schemeClr w14:val="tx1"/>
            </w14:solidFill>
          </w14:textFill>
        </w:rPr>
        <w:t>贵公司</w:t>
      </w:r>
      <w:r>
        <w:rPr>
          <w:rFonts w:hint="eastAsia" w:ascii="宋体" w:hAnsi="宋体"/>
          <w:color w:val="FF0000"/>
          <w:u w:val="single"/>
        </w:rPr>
        <w:t>　2021年XX</w:t>
      </w:r>
      <w:r>
        <w:rPr>
          <w:rFonts w:hint="eastAsia" w:ascii="宋体" w:hAnsi="宋体"/>
          <w:color w:val="000000" w:themeColor="text1"/>
          <w:u w:val="single"/>
          <w14:textFill>
            <w14:solidFill>
              <w14:schemeClr w14:val="tx1"/>
            </w14:solidFill>
          </w14:textFill>
        </w:rPr>
        <w:t>　</w:t>
      </w:r>
      <w:r>
        <w:rPr>
          <w:rFonts w:hint="eastAsia" w:ascii="宋体" w:hAnsi="宋体"/>
          <w:color w:val="000000" w:themeColor="text1"/>
          <w14:textFill>
            <w14:solidFill>
              <w14:schemeClr w14:val="tx1"/>
            </w14:solidFill>
          </w14:textFill>
        </w:rPr>
        <w:t>采购项目（项目编号：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FF0000"/>
          <w:u w:val="single"/>
        </w:rPr>
        <w:t>NNGD-YY-BJBJ-2021000</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规格型号</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系</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联系电话（手机）：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单位：（公章）                       日期：</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widowControl w:val="0"/>
              <w:spacing w:before="0" w:afterAutospacing="0"/>
              <w:ind w:right="0"/>
              <w:rPr>
                <w:rFonts w:ascii="宋体" w:hAnsi="宋体"/>
                <w:b/>
                <w:color w:val="000000" w:themeColor="text1"/>
                <w:kern w:val="2"/>
                <w:sz w:val="24"/>
                <w:szCs w:val="24"/>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b/>
                <w:color w:val="000000" w:themeColor="text1"/>
                <w:kern w:val="2"/>
                <w:sz w:val="24"/>
                <w:szCs w:val="24"/>
                <w14:textFill>
                  <w14:solidFill>
                    <w14:schemeClr w14:val="tx1"/>
                  </w14:solidFill>
                </w14:textFill>
              </w:rPr>
              <w:t>附件3：</w:t>
            </w:r>
          </w:p>
          <w:p>
            <w:pPr>
              <w:widowControl w:val="0"/>
              <w:spacing w:before="0" w:afterAutospacing="0"/>
              <w:ind w:right="0"/>
              <w:jc w:val="center"/>
              <w:rPr>
                <w:rFonts w:ascii="宋体" w:hAnsi="宋体"/>
                <w:b/>
                <w:color w:val="000000" w:themeColor="text1"/>
                <w:kern w:val="2"/>
                <w:sz w:val="24"/>
                <w:szCs w:val="24"/>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交货通知 （格式）</w:t>
            </w:r>
          </w:p>
          <w:tbl>
            <w:tblPr>
              <w:tblStyle w:val="26"/>
              <w:tblW w:w="4998"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2" w:type="pct"/>
                <w:trHeight w:val="90" w:hRule="atLeast"/>
                <w:jc w:val="center"/>
              </w:trPr>
              <w:tc>
                <w:tcPr>
                  <w:tcW w:w="4997"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ascii="宋体" w:hAnsi="宋体" w:cs="宋体"/>
                      <w:b/>
                      <w:color w:val="000000" w:themeColor="text1"/>
                      <w:kern w:val="2"/>
                      <w:lang w:bidi="ar"/>
                      <w14:textFill>
                        <w14:solidFill>
                          <w14:schemeClr w14:val="tx1"/>
                        </w14:solidFill>
                      </w14:textFill>
                    </w:rPr>
                    <w:t>运营分公司</w:t>
                  </w:r>
                  <w:r>
                    <w:rPr>
                      <w:rFonts w:hint="eastAsia"/>
                      <w:color w:val="000000" w:themeColor="text1"/>
                      <w14:textFill>
                        <w14:solidFill>
                          <w14:schemeClr w14:val="tx1"/>
                        </w14:solidFill>
                      </w14:textFill>
                    </w:rPr>
                    <w:t xml:space="preserve"> </w:t>
                  </w:r>
                  <w:r>
                    <w:rPr>
                      <w:rFonts w:hint="eastAsia" w:ascii="宋体" w:hAnsi="宋体" w:cs="宋体"/>
                      <w:b/>
                      <w:color w:val="FF0000"/>
                      <w:kern w:val="2"/>
                      <w:lang w:bidi="ar"/>
                    </w:rPr>
                    <w:t>2021年XX</w:t>
                  </w:r>
                  <w:r>
                    <w:rPr>
                      <w:rFonts w:ascii="宋体" w:hAnsi="宋体" w:cs="宋体"/>
                      <w:b/>
                      <w:color w:val="000000" w:themeColor="text1"/>
                      <w:kern w:val="2"/>
                      <w:lang w:bidi="ar"/>
                      <w14:textFill>
                        <w14:solidFill>
                          <w14:schemeClr w14:val="tx1"/>
                        </w14:solidFill>
                      </w14:textFill>
                    </w:rPr>
                    <w:t xml:space="preserve">采购项目 </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号线 第</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交货通知 </w:t>
                  </w:r>
                </w:p>
              </w:tc>
            </w:tr>
            <w:tr>
              <w:tblPrEx>
                <w:tblCellMar>
                  <w:top w:w="0" w:type="dxa"/>
                  <w:left w:w="0" w:type="dxa"/>
                  <w:bottom w:w="0" w:type="dxa"/>
                  <w:right w:w="0" w:type="dxa"/>
                </w:tblCellMar>
              </w:tblPrEx>
              <w:trPr>
                <w:gridBefore w:val="1"/>
                <w:wBefore w:w="2" w:type="pct"/>
                <w:trHeight w:val="1125" w:hRule="atLeast"/>
                <w:jc w:val="center"/>
              </w:trPr>
              <w:tc>
                <w:tcPr>
                  <w:tcW w:w="4997"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000000" w:themeColor="text1"/>
                      <w:kern w:val="2"/>
                      <w14:textFill>
                        <w14:solidFill>
                          <w14:schemeClr w14:val="tx1"/>
                        </w14:solidFill>
                      </w14:textFill>
                    </w:rPr>
                  </w:pPr>
                  <w:r>
                    <w:rPr>
                      <w:rFonts w:ascii="宋体" w:hAnsi="宋体" w:cs="宋体"/>
                      <w:color w:val="000000" w:themeColor="text1"/>
                      <w:kern w:val="2"/>
                      <w:lang w:bidi="ar"/>
                      <w14:textFill>
                        <w14:solidFill>
                          <w14:schemeClr w14:val="tx1"/>
                        </w14:solidFill>
                      </w14:textFill>
                    </w:rPr>
                    <w:t>供应商：　　　　　　　　　　　　　　　　　供应商联系人及电话：</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交货通知号：</w:t>
                  </w:r>
                  <w:r>
                    <w:rPr>
                      <w:rFonts w:ascii="宋体" w:hAnsi="宋体" w:cs="Calibri"/>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交货地点：</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收货联系人及电话：</w:t>
                  </w:r>
                </w:p>
              </w:tc>
            </w:tr>
            <w:tr>
              <w:tblPrEx>
                <w:tblCellMar>
                  <w:top w:w="0" w:type="dxa"/>
                  <w:left w:w="0" w:type="dxa"/>
                  <w:bottom w:w="0" w:type="dxa"/>
                  <w:right w:w="0" w:type="dxa"/>
                </w:tblCellMar>
              </w:tblPrEx>
              <w:trPr>
                <w:gridBefore w:val="1"/>
                <w:wBefore w:w="2" w:type="pct"/>
                <w:trHeight w:val="315"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847"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53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57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交货数量</w:t>
                  </w:r>
                </w:p>
              </w:tc>
              <w:tc>
                <w:tcPr>
                  <w:tcW w:w="66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交货时间</w:t>
                  </w: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hint="default" w:ascii="宋体" w:hAnsi="宋体" w:eastAsia="宋体" w:cs="Calibri"/>
                      <w:color w:val="000000" w:themeColor="text1"/>
                      <w:kern w:val="2"/>
                      <w:lang w:val="en-US" w:eastAsia="zh-CN"/>
                      <w14:textFill>
                        <w14:solidFill>
                          <w14:schemeClr w14:val="tx1"/>
                        </w14:solidFill>
                      </w14:textFill>
                    </w:rPr>
                  </w:pPr>
                  <w:r>
                    <w:rPr>
                      <w:rFonts w:hint="eastAsia" w:ascii="宋体" w:hAnsi="宋体" w:cs="Calibri"/>
                      <w:color w:val="000000" w:themeColor="text1"/>
                      <w:lang w:val="en-US" w:eastAsia="zh-CN" w:bidi="ar"/>
                      <w14:textFill>
                        <w14:solidFill>
                          <w14:schemeClr w14:val="tx1"/>
                        </w14:solidFill>
                      </w14:textFill>
                    </w:rPr>
                    <w:t>10</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r>
                    <w:rPr>
                      <w:rFonts w:ascii="宋体" w:hAnsi="宋体" w:cs="Calibri"/>
                      <w:color w:val="000000" w:themeColor="text1"/>
                      <w:lang w:bidi="ar"/>
                      <w14:textFill>
                        <w14:solidFill>
                          <w14:schemeClr w14:val="tx1"/>
                        </w14:solidFill>
                      </w14:textFill>
                    </w:rPr>
                    <w:t>…</w:t>
                  </w:r>
                  <w:r>
                    <w:rPr>
                      <w:rFonts w:hint="eastAsia" w:ascii="宋体" w:hAnsi="宋体" w:cs="Calibri"/>
                      <w:color w:val="000000" w:themeColor="text1"/>
                      <w:lang w:bidi="ar"/>
                      <w14:textFill>
                        <w14:solidFill>
                          <w14:schemeClr w14:val="tx1"/>
                        </w14:solidFill>
                      </w14:textFill>
                    </w:rPr>
                    <w:t>..</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81" w:hRule="atLeast"/>
                <w:jc w:val="center"/>
              </w:trPr>
              <w:tc>
                <w:tcPr>
                  <w:tcW w:w="2633"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Calibri"/>
                      <w:color w:val="000000" w:themeColor="text1"/>
                      <w:lang w:bidi="ar"/>
                      <w14:textFill>
                        <w14:solidFill>
                          <w14:schemeClr w14:val="tx1"/>
                        </w14:solidFill>
                      </w14:textFill>
                    </w:rPr>
                    <w:t>合计</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ascii="宋体" w:hAnsi="宋体" w:cs="宋体"/>
                      <w:color w:val="000000" w:themeColor="text1"/>
                      <w:kern w:val="2"/>
                      <w:lang w:bidi="ar"/>
                      <w14:textFill>
                        <w14:solidFill>
                          <w14:schemeClr w14:val="tx1"/>
                        </w14:solidFill>
                      </w14:textFill>
                    </w:rPr>
                    <w:t>本通知未列明的性能参数等其他要求详见合同。</w:t>
                  </w: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ascii="宋体" w:hAnsi="宋体" w:cs="宋体"/>
                      <w:color w:val="000000" w:themeColor="text1"/>
                      <w:kern w:val="2"/>
                      <w:lang w:bidi="ar"/>
                      <w14:textFill>
                        <w14:solidFill>
                          <w14:schemeClr w14:val="tx1"/>
                        </w14:solidFill>
                      </w14:textFill>
                    </w:rPr>
                    <w:t>本通知加盖运营分公司</w:t>
                  </w:r>
                  <w:r>
                    <w:rPr>
                      <w:rFonts w:hint="eastAsia" w:ascii="宋体" w:hAnsi="宋体" w:cs="宋体"/>
                      <w:color w:val="000000" w:themeColor="text1"/>
                      <w:kern w:val="2"/>
                      <w:lang w:bidi="ar"/>
                      <w14:textFill>
                        <w14:solidFill>
                          <w14:schemeClr w14:val="tx1"/>
                        </w14:solidFill>
                      </w14:textFill>
                    </w:rPr>
                    <w:t>XX</w:t>
                  </w:r>
                  <w:r>
                    <w:rPr>
                      <w:rFonts w:ascii="宋体" w:hAnsi="宋体" w:cs="宋体"/>
                      <w:color w:val="000000" w:themeColor="text1"/>
                      <w:kern w:val="2"/>
                      <w:lang w:bidi="ar"/>
                      <w14:textFill>
                        <w14:solidFill>
                          <w14:schemeClr w14:val="tx1"/>
                        </w14:solidFill>
                      </w14:textFill>
                    </w:rPr>
                    <w:t>部公章后有效，送货时携带纸质版一份。</w:t>
                  </w: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ascii="宋体" w:hAnsi="宋体" w:cs="宋体"/>
                      <w:color w:val="000000" w:themeColor="text1"/>
                      <w:kern w:val="2"/>
                      <w:lang w:bidi="ar"/>
                      <w14:textFill>
                        <w14:solidFill>
                          <w14:schemeClr w14:val="tx1"/>
                        </w14:solidFill>
                      </w14:textFill>
                    </w:rPr>
                    <w:t>本通知如有涂改须经甲方签名认可，否则无效。</w:t>
                  </w:r>
                </w:p>
              </w:tc>
            </w:tr>
            <w:tr>
              <w:tblPrEx>
                <w:tblCellMar>
                  <w:top w:w="0" w:type="dxa"/>
                  <w:left w:w="0" w:type="dxa"/>
                  <w:bottom w:w="0" w:type="dxa"/>
                  <w:right w:w="0" w:type="dxa"/>
                </w:tblCellMar>
              </w:tblPrEx>
              <w:trPr>
                <w:gridAfter w:val="1"/>
                <w:wAfter w:w="2" w:type="pct"/>
                <w:trHeight w:val="390" w:hRule="atLeast"/>
                <w:jc w:val="center"/>
              </w:trPr>
              <w:tc>
                <w:tcPr>
                  <w:tcW w:w="566"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84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3583"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南宁轨道交通集团有限责任公司运营分公司XX部</w:t>
                  </w:r>
                </w:p>
              </w:tc>
            </w:tr>
            <w:tr>
              <w:tblPrEx>
                <w:tblCellMar>
                  <w:top w:w="0" w:type="dxa"/>
                  <w:left w:w="0" w:type="dxa"/>
                  <w:bottom w:w="0" w:type="dxa"/>
                  <w:right w:w="0" w:type="dxa"/>
                </w:tblCellMar>
              </w:tblPrEx>
              <w:trPr>
                <w:gridAfter w:val="1"/>
                <w:wAfter w:w="2" w:type="pct"/>
                <w:trHeight w:val="418" w:hRule="atLeast"/>
                <w:jc w:val="center"/>
              </w:trPr>
              <w:tc>
                <w:tcPr>
                  <w:tcW w:w="566"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84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3583"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通知日期：      年    月    日</w:t>
                  </w:r>
                </w:p>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p>
              </w:tc>
            </w:tr>
          </w:tbl>
          <w:p>
            <w:pPr>
              <w:ind w:left="0" w:leftChars="0" w:firstLine="0" w:firstLine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w:t>
            </w:r>
          </w:p>
          <w:p>
            <w:pPr>
              <w:widowControl w:val="0"/>
              <w:spacing w:before="0" w:afterAutospacing="0" w:line="240" w:lineRule="auto"/>
              <w:ind w:right="0"/>
              <w:rPr>
                <w:rFonts w:ascii="宋体" w:hAnsi="宋体"/>
                <w:b/>
                <w:color w:val="000000" w:themeColor="text1"/>
                <w:kern w:val="2"/>
                <w:sz w:val="24"/>
                <w:szCs w:val="24"/>
                <w14:textFill>
                  <w14:solidFill>
                    <w14:schemeClr w14:val="tx1"/>
                  </w14:solidFill>
                </w14:textFill>
              </w:rPr>
            </w:pPr>
            <w:r>
              <w:rPr>
                <w:rFonts w:hint="eastAsia" w:ascii="宋体" w:hAnsi="宋体"/>
                <w:b/>
                <w:color w:val="000000" w:themeColor="text1"/>
                <w:kern w:val="2"/>
                <w:sz w:val="24"/>
                <w:szCs w:val="24"/>
                <w14:textFill>
                  <w14:solidFill>
                    <w14:schemeClr w14:val="tx1"/>
                  </w14:solidFill>
                </w14:textFill>
              </w:rPr>
              <w:t>附件4：</w:t>
            </w:r>
          </w:p>
          <w:p>
            <w:pPr>
              <w:widowControl w:val="0"/>
              <w:spacing w:before="0" w:afterAutospacing="0" w:line="240" w:lineRule="auto"/>
              <w:ind w:right="0"/>
              <w:jc w:val="center"/>
              <w:rPr>
                <w:rFonts w:ascii="宋体" w:hAnsi="宋体" w:cs="宋体"/>
                <w:b/>
                <w:color w:val="000000" w:themeColor="text1"/>
                <w:kern w:val="2"/>
                <w:sz w:val="24"/>
                <w:szCs w:val="24"/>
                <w:lang w:bidi="ar"/>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送货单（格式）</w:t>
            </w:r>
          </w:p>
          <w:tbl>
            <w:tblPr>
              <w:tblStyle w:val="26"/>
              <w:tblW w:w="8947" w:type="dxa"/>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 xml:space="preserve">运营分公司 </w:t>
                  </w:r>
                  <w:r>
                    <w:rPr>
                      <w:rFonts w:hint="eastAsia" w:ascii="宋体" w:hAnsi="宋体" w:cs="宋体"/>
                      <w:b/>
                      <w:color w:val="000000" w:themeColor="text1"/>
                      <w:u w:val="single"/>
                      <w:lang w:bidi="ar"/>
                      <w14:textFill>
                        <w14:solidFill>
                          <w14:schemeClr w14:val="tx1"/>
                        </w14:solidFill>
                      </w14:textFill>
                    </w:rPr>
                    <w:t xml:space="preserve">  </w:t>
                  </w:r>
                  <w:r>
                    <w:rPr>
                      <w:rFonts w:hint="eastAsia" w:ascii="宋体" w:hAnsi="宋体" w:cs="宋体"/>
                      <w:b/>
                      <w:color w:val="FF0000"/>
                      <w:kern w:val="2"/>
                      <w:u w:val="single"/>
                      <w:lang w:bidi="ar"/>
                    </w:rPr>
                    <w:t>2021年XX</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采购项目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号线 第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供应商</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章</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　　　　　　　　　　　　　　　　　供应商联系人及电话：</w:t>
                  </w:r>
                </w:p>
                <w:p>
                  <w:pPr>
                    <w:spacing w:before="0" w:afterAutospacing="0" w:line="240" w:lineRule="auto"/>
                    <w:ind w:left="648" w:leftChars="72" w:right="-57" w:hanging="497" w:hangingChars="237"/>
                    <w:jc w:val="left"/>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hint="default" w:ascii="宋体" w:hAnsi="宋体" w:eastAsia="宋体" w:cs="Calibri"/>
                      <w:color w:val="000000" w:themeColor="text1"/>
                      <w:kern w:val="2"/>
                      <w:lang w:val="en-US" w:eastAsia="zh-CN"/>
                      <w14:textFill>
                        <w14:solidFill>
                          <w14:schemeClr w14:val="tx1"/>
                        </w14:solidFill>
                      </w14:textFill>
                    </w:rPr>
                  </w:pPr>
                  <w:r>
                    <w:rPr>
                      <w:rFonts w:hint="eastAsia" w:ascii="宋体" w:hAnsi="宋体" w:cs="Calibri"/>
                      <w:color w:val="000000" w:themeColor="text1"/>
                      <w:lang w:val="en-US" w:eastAsia="zh-CN" w:bidi="ar"/>
                      <w14:textFill>
                        <w14:solidFill>
                          <w14:schemeClr w14:val="tx1"/>
                        </w14:solidFill>
                      </w14:textFill>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hint="eastAsia" w:ascii="宋体" w:hAnsi="宋体" w:cs="宋体"/>
                      <w:color w:val="000000" w:themeColor="text1"/>
                      <w:lang w:bidi="ar"/>
                      <w14:textFill>
                        <w14:solidFill>
                          <w14:schemeClr w14:val="tx1"/>
                        </w14:solidFill>
                      </w14:textFill>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hint="eastAsia" w:ascii="宋体" w:hAnsi="宋体" w:cs="宋体"/>
                      <w:color w:val="000000" w:themeColor="text1"/>
                      <w:lang w:bidi="ar"/>
                      <w14:textFill>
                        <w14:solidFill>
                          <w14:schemeClr w14:val="tx1"/>
                        </w14:solidFill>
                      </w14:textFill>
                    </w:rPr>
                    <w:t>实收数量栏不能留空，数量为“</w:t>
                  </w:r>
                  <w:r>
                    <w:rPr>
                      <w:rFonts w:ascii="宋体" w:hAnsi="宋体" w:cs="Calibri"/>
                      <w:color w:val="000000" w:themeColor="text1"/>
                      <w:kern w:val="2"/>
                      <w:lang w:bidi="ar"/>
                      <w14:textFill>
                        <w14:solidFill>
                          <w14:schemeClr w14:val="tx1"/>
                        </w14:solidFill>
                      </w14:textFill>
                    </w:rPr>
                    <w:t>0</w:t>
                  </w:r>
                  <w:r>
                    <w:rPr>
                      <w:rFonts w:hint="eastAsia" w:ascii="宋体" w:hAnsi="宋体" w:cs="宋体"/>
                      <w:color w:val="000000" w:themeColor="text1"/>
                      <w:lang w:bidi="ar"/>
                      <w14:textFill>
                        <w14:solidFill>
                          <w14:schemeClr w14:val="tx1"/>
                        </w14:solidFill>
                      </w14:textFill>
                    </w:rPr>
                    <w:t>”时用“</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”表示；“合计”栏中的</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实收数量</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为必填项。</w:t>
                  </w:r>
                </w:p>
              </w:tc>
            </w:tr>
            <w:tr>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hint="eastAsia" w:ascii="宋体" w:hAnsi="宋体" w:cs="宋体"/>
                      <w:color w:val="000000" w:themeColor="text1"/>
                      <w:lang w:bidi="ar"/>
                      <w14:textFill>
                        <w14:solidFill>
                          <w14:schemeClr w14:val="tx1"/>
                        </w14:solidFill>
                      </w14:textFill>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收货人（签名）：　　　　　　　　　　　　　　　收货时间：</w:t>
                  </w:r>
                </w:p>
              </w:tc>
            </w:tr>
          </w:tbl>
          <w:p>
            <w:pPr>
              <w:rPr>
                <w:rFonts w:ascii="宋体" w:hAnsi="宋体"/>
                <w:color w:val="000000" w:themeColor="text1"/>
                <w14:textFill>
                  <w14:solidFill>
                    <w14:schemeClr w14:val="tx1"/>
                  </w14:solidFill>
                </w14:textFill>
              </w:rPr>
            </w:pPr>
          </w:p>
        </w:tc>
      </w:tr>
    </w:tbl>
    <w:p>
      <w:pPr>
        <w:tabs>
          <w:tab w:val="left" w:pos="840"/>
          <w:tab w:val="left" w:pos="1843"/>
        </w:tabs>
        <w:spacing w:before="0" w:afterAutospacing="0"/>
        <w:ind w:right="0"/>
        <w:outlineLvl w:val="1"/>
        <w:rPr>
          <w:rFonts w:ascii="宋体" w:hAnsi="宋体"/>
          <w:b/>
        </w:rPr>
        <w:sectPr>
          <w:footerReference r:id="rId8" w:type="default"/>
          <w:pgSz w:w="11905" w:h="16838"/>
          <w:pgMar w:top="1417" w:right="1417" w:bottom="1417" w:left="1417" w:header="454" w:footer="567" w:gutter="0"/>
          <w:cols w:space="720" w:num="1"/>
          <w:docGrid w:linePitch="312" w:charSpace="0"/>
        </w:sectPr>
      </w:pPr>
    </w:p>
    <w:p>
      <w:pPr>
        <w:numPr>
          <w:ilvl w:val="0"/>
          <w:numId w:val="52"/>
        </w:numPr>
        <w:spacing w:before="0" w:line="360" w:lineRule="auto"/>
        <w:ind w:left="1129" w:leftChars="200" w:right="0"/>
        <w:jc w:val="center"/>
        <w:outlineLvl w:val="1"/>
        <w:rPr>
          <w:rStyle w:val="50"/>
          <w:szCs w:val="22"/>
        </w:rPr>
      </w:pPr>
      <w:r>
        <w:rPr>
          <w:rStyle w:val="50"/>
          <w:rFonts w:hint="eastAsia"/>
          <w:szCs w:val="22"/>
        </w:rPr>
        <w:t>价格组成文件</w:t>
      </w:r>
    </w:p>
    <w:p>
      <w:pPr>
        <w:spacing w:before="0" w:line="360" w:lineRule="auto"/>
        <w:ind w:right="0"/>
        <w:jc w:val="center"/>
        <w:outlineLvl w:val="1"/>
        <w:rPr>
          <w:rStyle w:val="50"/>
          <w:szCs w:val="22"/>
        </w:rPr>
      </w:pPr>
    </w:p>
    <w:p>
      <w:pPr>
        <w:spacing w:before="0" w:line="360" w:lineRule="auto"/>
        <w:ind w:right="0"/>
        <w:outlineLvl w:val="1"/>
        <w:rPr>
          <w:rStyle w:val="50"/>
          <w:szCs w:val="22"/>
        </w:rPr>
      </w:pPr>
    </w:p>
    <w:p>
      <w:pPr>
        <w:numPr>
          <w:ilvl w:val="0"/>
          <w:numId w:val="52"/>
        </w:numPr>
        <w:spacing w:before="0" w:line="360" w:lineRule="auto"/>
        <w:ind w:left="1129" w:leftChars="200" w:right="0"/>
        <w:jc w:val="center"/>
        <w:outlineLvl w:val="1"/>
        <w:rPr>
          <w:rStyle w:val="50"/>
          <w:szCs w:val="22"/>
        </w:rPr>
        <w:sectPr>
          <w:footerReference r:id="rId9"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1129" w:leftChars="200" w:right="0"/>
        <w:jc w:val="center"/>
        <w:outlineLvl w:val="1"/>
        <w:rPr>
          <w:rStyle w:val="50"/>
          <w:szCs w:val="22"/>
        </w:rPr>
      </w:pPr>
      <w:r>
        <w:rPr>
          <w:rStyle w:val="50"/>
          <w:rFonts w:hint="eastAsia"/>
          <w:szCs w:val="22"/>
        </w:rPr>
        <w:t>技术需求及数量表</w:t>
      </w:r>
    </w:p>
    <w:p>
      <w:pPr>
        <w:spacing w:before="0" w:line="360" w:lineRule="auto"/>
        <w:ind w:left="1129" w:leftChars="200" w:right="0"/>
        <w:outlineLvl w:val="1"/>
        <w:rPr>
          <w:rStyle w:val="50"/>
          <w:szCs w:val="22"/>
        </w:rPr>
      </w:pPr>
      <w:r>
        <w:rPr>
          <w:rStyle w:val="50"/>
          <w:rFonts w:hint="eastAsia"/>
          <w:szCs w:val="22"/>
        </w:rPr>
        <w:t>详见附件3</w:t>
      </w:r>
    </w:p>
    <w:p>
      <w:pPr>
        <w:spacing w:before="0" w:line="360" w:lineRule="auto"/>
        <w:ind w:left="1129" w:leftChars="200" w:right="0"/>
        <w:outlineLvl w:val="1"/>
        <w:rPr>
          <w:rStyle w:val="50"/>
          <w:szCs w:val="22"/>
        </w:rPr>
      </w:pPr>
    </w:p>
    <w:p>
      <w:pPr>
        <w:spacing w:before="0" w:line="360" w:lineRule="auto"/>
        <w:ind w:left="1129" w:leftChars="200" w:right="0"/>
        <w:outlineLvl w:val="1"/>
        <w:rPr>
          <w:rStyle w:val="50"/>
          <w:szCs w:val="22"/>
        </w:rPr>
      </w:pPr>
    </w:p>
    <w:p>
      <w:pPr>
        <w:spacing w:before="0" w:line="360" w:lineRule="auto"/>
        <w:ind w:left="1129" w:leftChars="200" w:right="0"/>
        <w:outlineLvl w:val="1"/>
        <w:rPr>
          <w:rStyle w:val="50"/>
          <w:szCs w:val="22"/>
        </w:rPr>
      </w:pPr>
    </w:p>
    <w:p>
      <w:pPr>
        <w:spacing w:before="0" w:line="360" w:lineRule="auto"/>
        <w:ind w:left="1129" w:leftChars="200" w:right="0"/>
        <w:outlineLvl w:val="1"/>
        <w:rPr>
          <w:rStyle w:val="50"/>
          <w:szCs w:val="22"/>
        </w:rPr>
      </w:pPr>
    </w:p>
    <w:p>
      <w:pPr>
        <w:spacing w:before="0" w:line="360" w:lineRule="auto"/>
        <w:ind w:right="0"/>
        <w:outlineLvl w:val="1"/>
        <w:rPr>
          <w:rStyle w:val="50"/>
          <w:szCs w:val="22"/>
        </w:rPr>
      </w:pPr>
    </w:p>
    <w:p>
      <w:pPr>
        <w:spacing w:before="0" w:line="360" w:lineRule="auto"/>
        <w:ind w:right="0"/>
        <w:outlineLvl w:val="1"/>
        <w:rPr>
          <w:rStyle w:val="50"/>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50"/>
          <w:szCs w:val="22"/>
        </w:rPr>
      </w:pPr>
    </w:p>
    <w:p>
      <w:pPr>
        <w:pStyle w:val="34"/>
        <w:numPr>
          <w:ilvl w:val="0"/>
          <w:numId w:val="52"/>
        </w:numPr>
        <w:jc w:val="center"/>
        <w:rPr>
          <w:rStyle w:val="50"/>
          <w:rFonts w:ascii="Times New Roman" w:hAnsi="Times New Roman"/>
          <w:szCs w:val="22"/>
        </w:rPr>
      </w:pPr>
      <w:r>
        <w:rPr>
          <w:rStyle w:val="50"/>
          <w:rFonts w:hint="eastAsia" w:ascii="Times New Roman" w:hAnsi="Times New Roman"/>
          <w:szCs w:val="22"/>
        </w:rPr>
        <w:t>询比价文件（另册）</w:t>
      </w: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spacing w:after="100"/>
        <w:ind w:left="0" w:leftChars="0" w:firstLine="0" w:firstLineChars="0"/>
        <w:rPr>
          <w:rStyle w:val="50"/>
          <w:rFonts w:ascii="Times New Roman" w:hAnsi="Times New Roman"/>
          <w:szCs w:val="22"/>
        </w:rPr>
      </w:pPr>
    </w:p>
    <w:p>
      <w:pPr>
        <w:pStyle w:val="34"/>
        <w:numPr>
          <w:ilvl w:val="0"/>
          <w:numId w:val="52"/>
        </w:numPr>
        <w:jc w:val="center"/>
        <w:rPr>
          <w:rStyle w:val="50"/>
          <w:rFonts w:ascii="Times New Roman" w:hAnsi="Times New Roman"/>
          <w:szCs w:val="22"/>
        </w:rPr>
      </w:pPr>
      <w:r>
        <w:rPr>
          <w:rStyle w:val="50"/>
          <w:rFonts w:hint="eastAsia" w:ascii="Times New Roman" w:hAnsi="Times New Roman"/>
          <w:szCs w:val="22"/>
        </w:rPr>
        <w:t>询比价申请文件（另册）</w:t>
      </w:r>
    </w:p>
    <w:p>
      <w:pPr>
        <w:pStyle w:val="34"/>
        <w:ind w:left="200" w:firstLine="0"/>
        <w:rPr>
          <w:rStyle w:val="50"/>
          <w:rFonts w:ascii="Times New Roman" w:hAnsi="Times New Roman"/>
          <w:szCs w:val="22"/>
        </w:rPr>
      </w:pPr>
    </w:p>
    <w:p>
      <w:pPr>
        <w:spacing w:before="0" w:line="360" w:lineRule="auto"/>
        <w:ind w:left="1129" w:leftChars="200" w:right="0"/>
        <w:outlineLvl w:val="1"/>
        <w:rPr>
          <w:rStyle w:val="50"/>
          <w:szCs w:val="22"/>
        </w:rPr>
      </w:pPr>
    </w:p>
    <w:p>
      <w:pPr>
        <w:spacing w:before="0" w:line="360" w:lineRule="auto"/>
        <w:ind w:right="0"/>
        <w:jc w:val="center"/>
        <w:outlineLvl w:val="1"/>
        <w:rPr>
          <w:rStyle w:val="50"/>
          <w:szCs w:val="22"/>
        </w:rPr>
      </w:pPr>
    </w:p>
    <w:p>
      <w:pPr>
        <w:tabs>
          <w:tab w:val="left" w:pos="1134"/>
          <w:tab w:val="left" w:pos="8364"/>
        </w:tabs>
        <w:spacing w:before="0"/>
        <w:ind w:left="0" w:right="-57" w:firstLine="0"/>
        <w:rPr>
          <w:rFonts w:ascii="宋体" w:hAnsi="宋体"/>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23466515"/>
                          </w:sdtPr>
                          <w:sdtContent>
                            <w:p>
                              <w:pPr>
                                <w:pStyle w:val="14"/>
                                <w:jc w:val="center"/>
                              </w:pPr>
                              <w:r>
                                <w:fldChar w:fldCharType="begin"/>
                              </w:r>
                              <w:r>
                                <w:instrText xml:space="preserve">PAGE   \* MERGEFORMAT</w:instrText>
                              </w:r>
                              <w:r>
                                <w:fldChar w:fldCharType="separate"/>
                              </w:r>
                              <w:r>
                                <w:rPr>
                                  <w:lang w:val="zh-CN"/>
                                </w:rPr>
                                <w:t>21</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423466515"/>
                    </w:sdtPr>
                    <w:sdtContent>
                      <w:p>
                        <w:pPr>
                          <w:pStyle w:val="14"/>
                          <w:jc w:val="center"/>
                        </w:pPr>
                        <w:r>
                          <w:fldChar w:fldCharType="begin"/>
                        </w:r>
                        <w:r>
                          <w:instrText xml:space="preserve">PAGE   \* MERGEFORMAT</w:instrText>
                        </w:r>
                        <w:r>
                          <w:fldChar w:fldCharType="separate"/>
                        </w:r>
                        <w:r>
                          <w:rPr>
                            <w:lang w:val="zh-CN"/>
                          </w:rPr>
                          <w:t>21</w:t>
                        </w:r>
                        <w:r>
                          <w:fldChar w:fldCharType="end"/>
                        </w:r>
                      </w:p>
                    </w:sdtContent>
                  </w:sdt>
                  <w:p/>
                </w:txbxContent>
              </v:textbox>
            </v:shape>
          </w:pict>
        </mc:Fallback>
      </mc:AlternateContent>
    </w:r>
  </w:p>
  <w:p>
    <w:pPr>
      <w:pStyle w:val="15"/>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14"/>
          <w:jc w:val="center"/>
        </w:pPr>
        <w:r>
          <w:fldChar w:fldCharType="begin"/>
        </w:r>
        <w:r>
          <w:instrText xml:space="preserve">PAGE   \* MERGEFORMAT</w:instrText>
        </w:r>
        <w:r>
          <w:fldChar w:fldCharType="separate"/>
        </w:r>
        <w:r>
          <w:rPr>
            <w:lang w:val="zh-CN"/>
          </w:rPr>
          <w:t>27</w:t>
        </w:r>
        <w:r>
          <w:fldChar w:fldCharType="end"/>
        </w:r>
      </w:p>
    </w:sdtContent>
  </w:sdt>
  <w:p>
    <w:pPr>
      <w:pStyle w:val="15"/>
      <w:pBdr>
        <w:bottom w:val="none" w:color="auto" w:sz="0" w:space="0"/>
      </w:pBdr>
      <w:tabs>
        <w:tab w:val="right" w:pos="8728"/>
        <w:tab w:val="clear" w:pos="4153"/>
        <w:tab w:val="clear" w:pos="8306"/>
      </w:tabs>
      <w:ind w:right="343"/>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1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pPr>
    <w:r>
      <w:drawing>
        <wp:anchor distT="0" distB="0" distL="0" distR="0" simplePos="0" relativeHeight="251656192"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BA3124"/>
    <w:rsid w:val="00000139"/>
    <w:rsid w:val="000045EA"/>
    <w:rsid w:val="000143B4"/>
    <w:rsid w:val="00022F88"/>
    <w:rsid w:val="000437E6"/>
    <w:rsid w:val="00043E88"/>
    <w:rsid w:val="00070470"/>
    <w:rsid w:val="00074337"/>
    <w:rsid w:val="00074A17"/>
    <w:rsid w:val="0008222E"/>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D75CA"/>
    <w:rsid w:val="000E072A"/>
    <w:rsid w:val="000E7DA5"/>
    <w:rsid w:val="000F38AD"/>
    <w:rsid w:val="000F5E28"/>
    <w:rsid w:val="000F6EB3"/>
    <w:rsid w:val="0011106B"/>
    <w:rsid w:val="0011296C"/>
    <w:rsid w:val="001207B4"/>
    <w:rsid w:val="001315CE"/>
    <w:rsid w:val="00135B62"/>
    <w:rsid w:val="00136FF6"/>
    <w:rsid w:val="001520D4"/>
    <w:rsid w:val="00155FD4"/>
    <w:rsid w:val="0017175E"/>
    <w:rsid w:val="00186A28"/>
    <w:rsid w:val="001A37D3"/>
    <w:rsid w:val="001A3FCA"/>
    <w:rsid w:val="001B0893"/>
    <w:rsid w:val="001B20D0"/>
    <w:rsid w:val="001C0C50"/>
    <w:rsid w:val="001E0D82"/>
    <w:rsid w:val="001E0D93"/>
    <w:rsid w:val="001E5985"/>
    <w:rsid w:val="001E5F4A"/>
    <w:rsid w:val="001F1A90"/>
    <w:rsid w:val="002041A6"/>
    <w:rsid w:val="00206D2E"/>
    <w:rsid w:val="00210D44"/>
    <w:rsid w:val="00212AF9"/>
    <w:rsid w:val="00226768"/>
    <w:rsid w:val="00226771"/>
    <w:rsid w:val="00226B2E"/>
    <w:rsid w:val="00226D0E"/>
    <w:rsid w:val="00237A98"/>
    <w:rsid w:val="0024287B"/>
    <w:rsid w:val="0024741B"/>
    <w:rsid w:val="00261C93"/>
    <w:rsid w:val="00272F80"/>
    <w:rsid w:val="0027764C"/>
    <w:rsid w:val="0028366D"/>
    <w:rsid w:val="002A20A0"/>
    <w:rsid w:val="002B1394"/>
    <w:rsid w:val="002C556E"/>
    <w:rsid w:val="002C5B0F"/>
    <w:rsid w:val="002D23D9"/>
    <w:rsid w:val="002D2931"/>
    <w:rsid w:val="002D6D0E"/>
    <w:rsid w:val="002E190D"/>
    <w:rsid w:val="002E6BE3"/>
    <w:rsid w:val="003137A8"/>
    <w:rsid w:val="003207F4"/>
    <w:rsid w:val="00320BB7"/>
    <w:rsid w:val="00330D78"/>
    <w:rsid w:val="003354EE"/>
    <w:rsid w:val="00337C6A"/>
    <w:rsid w:val="003464E7"/>
    <w:rsid w:val="00353318"/>
    <w:rsid w:val="00354E36"/>
    <w:rsid w:val="003568E4"/>
    <w:rsid w:val="00357DEF"/>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43A2"/>
    <w:rsid w:val="004117BD"/>
    <w:rsid w:val="00412A48"/>
    <w:rsid w:val="00414B71"/>
    <w:rsid w:val="00417574"/>
    <w:rsid w:val="004215F1"/>
    <w:rsid w:val="0042215D"/>
    <w:rsid w:val="004233B2"/>
    <w:rsid w:val="0043285C"/>
    <w:rsid w:val="004370E7"/>
    <w:rsid w:val="00440F9A"/>
    <w:rsid w:val="00443ADE"/>
    <w:rsid w:val="0045479E"/>
    <w:rsid w:val="004632AA"/>
    <w:rsid w:val="00476FBE"/>
    <w:rsid w:val="00483264"/>
    <w:rsid w:val="00493F32"/>
    <w:rsid w:val="004A0D30"/>
    <w:rsid w:val="004B1E96"/>
    <w:rsid w:val="004B508D"/>
    <w:rsid w:val="004B62C0"/>
    <w:rsid w:val="004C4698"/>
    <w:rsid w:val="004C7017"/>
    <w:rsid w:val="004D1018"/>
    <w:rsid w:val="004D13B3"/>
    <w:rsid w:val="004D449E"/>
    <w:rsid w:val="004E12DE"/>
    <w:rsid w:val="004F6E95"/>
    <w:rsid w:val="00505261"/>
    <w:rsid w:val="00510E4D"/>
    <w:rsid w:val="00512A45"/>
    <w:rsid w:val="0052634A"/>
    <w:rsid w:val="00541401"/>
    <w:rsid w:val="005418DB"/>
    <w:rsid w:val="0054269C"/>
    <w:rsid w:val="00545844"/>
    <w:rsid w:val="00564C20"/>
    <w:rsid w:val="00574C3B"/>
    <w:rsid w:val="00575AB8"/>
    <w:rsid w:val="0057690D"/>
    <w:rsid w:val="00587B70"/>
    <w:rsid w:val="005A2E67"/>
    <w:rsid w:val="005C5B0E"/>
    <w:rsid w:val="005D0BB2"/>
    <w:rsid w:val="005E5912"/>
    <w:rsid w:val="005F2C46"/>
    <w:rsid w:val="005F5B89"/>
    <w:rsid w:val="00606397"/>
    <w:rsid w:val="006173A4"/>
    <w:rsid w:val="00622520"/>
    <w:rsid w:val="006279E7"/>
    <w:rsid w:val="00634596"/>
    <w:rsid w:val="00642B95"/>
    <w:rsid w:val="00642FE0"/>
    <w:rsid w:val="0065460D"/>
    <w:rsid w:val="0066001D"/>
    <w:rsid w:val="006679DC"/>
    <w:rsid w:val="00670400"/>
    <w:rsid w:val="006724B7"/>
    <w:rsid w:val="00676814"/>
    <w:rsid w:val="00677925"/>
    <w:rsid w:val="00677A8A"/>
    <w:rsid w:val="006922EC"/>
    <w:rsid w:val="006A23E9"/>
    <w:rsid w:val="006A2F07"/>
    <w:rsid w:val="006A4D72"/>
    <w:rsid w:val="006A543A"/>
    <w:rsid w:val="006B6F3C"/>
    <w:rsid w:val="006C2D0C"/>
    <w:rsid w:val="006C7DFA"/>
    <w:rsid w:val="006F48AD"/>
    <w:rsid w:val="006F629E"/>
    <w:rsid w:val="00703F0B"/>
    <w:rsid w:val="007076B1"/>
    <w:rsid w:val="0071330B"/>
    <w:rsid w:val="00722F66"/>
    <w:rsid w:val="00722FCE"/>
    <w:rsid w:val="00725832"/>
    <w:rsid w:val="007258A2"/>
    <w:rsid w:val="007345D7"/>
    <w:rsid w:val="00735BD4"/>
    <w:rsid w:val="00737A61"/>
    <w:rsid w:val="00741B8D"/>
    <w:rsid w:val="00746901"/>
    <w:rsid w:val="00751CDD"/>
    <w:rsid w:val="00753178"/>
    <w:rsid w:val="00762CB8"/>
    <w:rsid w:val="00785F88"/>
    <w:rsid w:val="00792362"/>
    <w:rsid w:val="007A04DC"/>
    <w:rsid w:val="007A2EB0"/>
    <w:rsid w:val="007B04FF"/>
    <w:rsid w:val="007B6DA0"/>
    <w:rsid w:val="007C15ED"/>
    <w:rsid w:val="007C2CCC"/>
    <w:rsid w:val="007D2FAE"/>
    <w:rsid w:val="007D399D"/>
    <w:rsid w:val="007D59AF"/>
    <w:rsid w:val="007F28DB"/>
    <w:rsid w:val="007F4010"/>
    <w:rsid w:val="00803C1E"/>
    <w:rsid w:val="00804954"/>
    <w:rsid w:val="00810B98"/>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B0302"/>
    <w:rsid w:val="008B224C"/>
    <w:rsid w:val="008C77F8"/>
    <w:rsid w:val="008D2976"/>
    <w:rsid w:val="008E0CB6"/>
    <w:rsid w:val="008E500C"/>
    <w:rsid w:val="008F720F"/>
    <w:rsid w:val="00904592"/>
    <w:rsid w:val="00906D34"/>
    <w:rsid w:val="009120C7"/>
    <w:rsid w:val="00916179"/>
    <w:rsid w:val="00917615"/>
    <w:rsid w:val="00925337"/>
    <w:rsid w:val="00931174"/>
    <w:rsid w:val="00937B1F"/>
    <w:rsid w:val="0094110B"/>
    <w:rsid w:val="00944B82"/>
    <w:rsid w:val="00956B31"/>
    <w:rsid w:val="00957AA0"/>
    <w:rsid w:val="009604CB"/>
    <w:rsid w:val="00965538"/>
    <w:rsid w:val="0097464F"/>
    <w:rsid w:val="00984BFB"/>
    <w:rsid w:val="009A7B76"/>
    <w:rsid w:val="009B0988"/>
    <w:rsid w:val="009C5DF4"/>
    <w:rsid w:val="009D3453"/>
    <w:rsid w:val="009E1329"/>
    <w:rsid w:val="009E28E5"/>
    <w:rsid w:val="009E4CE3"/>
    <w:rsid w:val="009F214A"/>
    <w:rsid w:val="009F374F"/>
    <w:rsid w:val="009F588C"/>
    <w:rsid w:val="00A02C14"/>
    <w:rsid w:val="00A11C51"/>
    <w:rsid w:val="00A1337E"/>
    <w:rsid w:val="00A33458"/>
    <w:rsid w:val="00A54F86"/>
    <w:rsid w:val="00A722C5"/>
    <w:rsid w:val="00A74566"/>
    <w:rsid w:val="00A859DC"/>
    <w:rsid w:val="00A91F36"/>
    <w:rsid w:val="00A93A7F"/>
    <w:rsid w:val="00AA4817"/>
    <w:rsid w:val="00AB6B27"/>
    <w:rsid w:val="00AD6B25"/>
    <w:rsid w:val="00AE2C17"/>
    <w:rsid w:val="00AE5333"/>
    <w:rsid w:val="00AE6F3C"/>
    <w:rsid w:val="00AF196A"/>
    <w:rsid w:val="00AF54E1"/>
    <w:rsid w:val="00B04E81"/>
    <w:rsid w:val="00B104E3"/>
    <w:rsid w:val="00B14E6B"/>
    <w:rsid w:val="00B16089"/>
    <w:rsid w:val="00B457D5"/>
    <w:rsid w:val="00B47764"/>
    <w:rsid w:val="00B4784E"/>
    <w:rsid w:val="00B52D63"/>
    <w:rsid w:val="00B646FA"/>
    <w:rsid w:val="00B80D2F"/>
    <w:rsid w:val="00B90EB4"/>
    <w:rsid w:val="00B97802"/>
    <w:rsid w:val="00BA3124"/>
    <w:rsid w:val="00BA37AA"/>
    <w:rsid w:val="00BB2B84"/>
    <w:rsid w:val="00BD389A"/>
    <w:rsid w:val="00BE2F9C"/>
    <w:rsid w:val="00BE3C13"/>
    <w:rsid w:val="00BF3812"/>
    <w:rsid w:val="00BF4099"/>
    <w:rsid w:val="00C07A4F"/>
    <w:rsid w:val="00C22323"/>
    <w:rsid w:val="00C244BA"/>
    <w:rsid w:val="00C254EC"/>
    <w:rsid w:val="00C25AD7"/>
    <w:rsid w:val="00C31620"/>
    <w:rsid w:val="00C3605A"/>
    <w:rsid w:val="00C4070E"/>
    <w:rsid w:val="00C46538"/>
    <w:rsid w:val="00C46568"/>
    <w:rsid w:val="00C524FA"/>
    <w:rsid w:val="00C557E5"/>
    <w:rsid w:val="00C61DF1"/>
    <w:rsid w:val="00C636A8"/>
    <w:rsid w:val="00C64C38"/>
    <w:rsid w:val="00C7432E"/>
    <w:rsid w:val="00C76FE6"/>
    <w:rsid w:val="00C8124B"/>
    <w:rsid w:val="00C91765"/>
    <w:rsid w:val="00CA3F44"/>
    <w:rsid w:val="00CA4DB7"/>
    <w:rsid w:val="00CA6CAC"/>
    <w:rsid w:val="00CB3033"/>
    <w:rsid w:val="00CB3C9F"/>
    <w:rsid w:val="00CB4198"/>
    <w:rsid w:val="00CB5F47"/>
    <w:rsid w:val="00CC18DB"/>
    <w:rsid w:val="00CC1C15"/>
    <w:rsid w:val="00CC46A2"/>
    <w:rsid w:val="00CC6D92"/>
    <w:rsid w:val="00CD7D67"/>
    <w:rsid w:val="00CE01EF"/>
    <w:rsid w:val="00CF001A"/>
    <w:rsid w:val="00CF355D"/>
    <w:rsid w:val="00D0202D"/>
    <w:rsid w:val="00D14E99"/>
    <w:rsid w:val="00D1571D"/>
    <w:rsid w:val="00D21E36"/>
    <w:rsid w:val="00D2321E"/>
    <w:rsid w:val="00D23492"/>
    <w:rsid w:val="00D26520"/>
    <w:rsid w:val="00D277F8"/>
    <w:rsid w:val="00D300DD"/>
    <w:rsid w:val="00D44F13"/>
    <w:rsid w:val="00D479CD"/>
    <w:rsid w:val="00D829D0"/>
    <w:rsid w:val="00D841A1"/>
    <w:rsid w:val="00D84F11"/>
    <w:rsid w:val="00D92C17"/>
    <w:rsid w:val="00D930BB"/>
    <w:rsid w:val="00D932AD"/>
    <w:rsid w:val="00D93779"/>
    <w:rsid w:val="00D95A48"/>
    <w:rsid w:val="00D95A4C"/>
    <w:rsid w:val="00DB181C"/>
    <w:rsid w:val="00DE249D"/>
    <w:rsid w:val="00DE6530"/>
    <w:rsid w:val="00DF03C6"/>
    <w:rsid w:val="00DF2BB7"/>
    <w:rsid w:val="00E02431"/>
    <w:rsid w:val="00E11081"/>
    <w:rsid w:val="00E255AC"/>
    <w:rsid w:val="00E26053"/>
    <w:rsid w:val="00E312D2"/>
    <w:rsid w:val="00E33009"/>
    <w:rsid w:val="00E42EAA"/>
    <w:rsid w:val="00E449D8"/>
    <w:rsid w:val="00E45D74"/>
    <w:rsid w:val="00E51F99"/>
    <w:rsid w:val="00E52414"/>
    <w:rsid w:val="00E55177"/>
    <w:rsid w:val="00E57591"/>
    <w:rsid w:val="00E653F5"/>
    <w:rsid w:val="00E72F1F"/>
    <w:rsid w:val="00E763ED"/>
    <w:rsid w:val="00E8709E"/>
    <w:rsid w:val="00E93BCC"/>
    <w:rsid w:val="00E96E54"/>
    <w:rsid w:val="00EC2D7B"/>
    <w:rsid w:val="00EC7653"/>
    <w:rsid w:val="00ED5241"/>
    <w:rsid w:val="00ED7DBB"/>
    <w:rsid w:val="00EF20F4"/>
    <w:rsid w:val="00EF5BD9"/>
    <w:rsid w:val="00EF6456"/>
    <w:rsid w:val="00F115E5"/>
    <w:rsid w:val="00F1492D"/>
    <w:rsid w:val="00F2140E"/>
    <w:rsid w:val="00F275D0"/>
    <w:rsid w:val="00F331FE"/>
    <w:rsid w:val="00F344D6"/>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1E68"/>
    <w:rsid w:val="00FD5F55"/>
    <w:rsid w:val="00FE3364"/>
    <w:rsid w:val="00FE6711"/>
    <w:rsid w:val="00FF2D5E"/>
    <w:rsid w:val="00FF3FB5"/>
    <w:rsid w:val="04FA07B9"/>
    <w:rsid w:val="07387269"/>
    <w:rsid w:val="09DD3455"/>
    <w:rsid w:val="0BAD65F0"/>
    <w:rsid w:val="0D460BF6"/>
    <w:rsid w:val="117F3000"/>
    <w:rsid w:val="142F43C4"/>
    <w:rsid w:val="15C71548"/>
    <w:rsid w:val="15E56512"/>
    <w:rsid w:val="19B95310"/>
    <w:rsid w:val="1DD53957"/>
    <w:rsid w:val="210E704E"/>
    <w:rsid w:val="21EA32C5"/>
    <w:rsid w:val="25BB3D22"/>
    <w:rsid w:val="26A21A3A"/>
    <w:rsid w:val="2C5D5B51"/>
    <w:rsid w:val="2D2A5B9C"/>
    <w:rsid w:val="308A676E"/>
    <w:rsid w:val="37280204"/>
    <w:rsid w:val="383937D9"/>
    <w:rsid w:val="3AEC50AC"/>
    <w:rsid w:val="3D5F00A4"/>
    <w:rsid w:val="3EEF3286"/>
    <w:rsid w:val="408771F4"/>
    <w:rsid w:val="40D57DED"/>
    <w:rsid w:val="4136519A"/>
    <w:rsid w:val="41473A81"/>
    <w:rsid w:val="421A5FBE"/>
    <w:rsid w:val="430950B3"/>
    <w:rsid w:val="43DB2944"/>
    <w:rsid w:val="447635C7"/>
    <w:rsid w:val="4A175215"/>
    <w:rsid w:val="4D5C04F8"/>
    <w:rsid w:val="529618AE"/>
    <w:rsid w:val="52CC69A2"/>
    <w:rsid w:val="530262E3"/>
    <w:rsid w:val="55E03D30"/>
    <w:rsid w:val="562C46F8"/>
    <w:rsid w:val="5B096777"/>
    <w:rsid w:val="5C706BA2"/>
    <w:rsid w:val="5E323037"/>
    <w:rsid w:val="5F307424"/>
    <w:rsid w:val="5FCF0EEB"/>
    <w:rsid w:val="648609F4"/>
    <w:rsid w:val="65AE64F7"/>
    <w:rsid w:val="69B252B9"/>
    <w:rsid w:val="69DD0458"/>
    <w:rsid w:val="6B8B46EF"/>
    <w:rsid w:val="6D7E58C5"/>
    <w:rsid w:val="71AC0E44"/>
    <w:rsid w:val="73164AF3"/>
    <w:rsid w:val="76625866"/>
    <w:rsid w:val="7A6A56C8"/>
    <w:rsid w:val="7F93283B"/>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link w:val="50"/>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9"/>
    <w:semiHidden/>
    <w:unhideWhenUsed/>
    <w:qFormat/>
    <w:uiPriority w:val="99"/>
    <w:pPr>
      <w:spacing w:after="120"/>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7"/>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Title"/>
    <w:basedOn w:val="1"/>
    <w:next w:val="1"/>
    <w:qFormat/>
    <w:uiPriority w:val="0"/>
    <w:pPr>
      <w:spacing w:before="240" w:after="60"/>
      <w:jc w:val="center"/>
      <w:outlineLvl w:val="0"/>
    </w:pPr>
    <w:rPr>
      <w:rFonts w:ascii="Cambria" w:hAnsi="Cambria"/>
      <w:b/>
      <w:bCs/>
      <w:sz w:val="32"/>
      <w:szCs w:val="32"/>
      <w:lang w:val="zh-CN"/>
    </w:rPr>
  </w:style>
  <w:style w:type="paragraph" w:styleId="25">
    <w:name w:val="annotation subject"/>
    <w:basedOn w:val="7"/>
    <w:next w:val="7"/>
    <w:semiHidden/>
    <w:unhideWhenUsed/>
    <w:qFormat/>
    <w:uiPriority w:val="0"/>
    <w:rPr>
      <w:b/>
    </w:rPr>
  </w:style>
  <w:style w:type="table" w:styleId="27">
    <w:name w:val="Table Grid"/>
    <w:basedOn w:val="26"/>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0"/>
    <w:rPr>
      <w:rFonts w:cs="Times New Roman"/>
      <w:b/>
    </w:rPr>
  </w:style>
  <w:style w:type="character" w:styleId="30">
    <w:name w:val="page number"/>
    <w:basedOn w:val="28"/>
    <w:qFormat/>
    <w:uiPriority w:val="0"/>
  </w:style>
  <w:style w:type="character" w:styleId="31">
    <w:name w:val="Hyperlink"/>
    <w:basedOn w:val="28"/>
    <w:unhideWhenUsed/>
    <w:qFormat/>
    <w:uiPriority w:val="99"/>
    <w:rPr>
      <w:color w:val="0000FF"/>
      <w:u w:val="single"/>
    </w:rPr>
  </w:style>
  <w:style w:type="character" w:styleId="32">
    <w:name w:val="annotation reference"/>
    <w:basedOn w:val="28"/>
    <w:semiHidden/>
    <w:unhideWhenUsed/>
    <w:qFormat/>
    <w:uiPriority w:val="0"/>
    <w:rPr>
      <w:sz w:val="21"/>
      <w:szCs w:val="21"/>
    </w:rPr>
  </w:style>
  <w:style w:type="character" w:styleId="33">
    <w:name w:val="footnote reference"/>
    <w:basedOn w:val="28"/>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8"/>
    <w:qFormat/>
    <w:uiPriority w:val="0"/>
    <w:rPr>
      <w:rFonts w:ascii="Times New Roman" w:hAnsi="Times New Roman" w:eastAsia="宋体" w:cs="Times New Roman"/>
    </w:rPr>
  </w:style>
  <w:style w:type="character" w:customStyle="1" w:styleId="36">
    <w:name w:val="16"/>
    <w:basedOn w:val="28"/>
    <w:qFormat/>
    <w:uiPriority w:val="0"/>
    <w:rPr>
      <w:rFonts w:hint="default" w:ascii="Times New Roman" w:hAnsi="Times New Roman" w:cs="Times New Roman"/>
      <w:color w:val="0000FF"/>
      <w:u w:val="single"/>
    </w:rPr>
  </w:style>
  <w:style w:type="character" w:customStyle="1" w:styleId="37">
    <w:name w:val="15"/>
    <w:basedOn w:val="28"/>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8"/>
    <w:semiHidden/>
    <w:qFormat/>
    <w:uiPriority w:val="0"/>
    <w:rPr>
      <w:sz w:val="18"/>
      <w:szCs w:val="18"/>
    </w:rPr>
  </w:style>
  <w:style w:type="character" w:customStyle="1" w:styleId="41">
    <w:name w:val="批注文字 Char"/>
    <w:basedOn w:val="28"/>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8"/>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8"/>
    <w:semiHidden/>
    <w:qFormat/>
    <w:uiPriority w:val="0"/>
    <w:rPr>
      <w:sz w:val="18"/>
      <w:szCs w:val="18"/>
    </w:rPr>
  </w:style>
  <w:style w:type="paragraph" w:customStyle="1" w:styleId="46">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7">
    <w:name w:val="纯文本 字符"/>
    <w:link w:val="11"/>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字符"/>
    <w:basedOn w:val="28"/>
    <w:link w:val="8"/>
    <w:semiHidden/>
    <w:qFormat/>
    <w:uiPriority w:val="99"/>
    <w:rPr>
      <w:sz w:val="21"/>
      <w:szCs w:val="21"/>
    </w:rPr>
  </w:style>
  <w:style w:type="character" w:customStyle="1" w:styleId="50">
    <w:name w:val="标题 1 字符"/>
    <w:link w:val="2"/>
    <w:qFormat/>
    <w:uiPriority w:val="0"/>
    <w:rPr>
      <w:b/>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7727B-3C79-48FB-A6F5-DFF6FDE807C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24</Pages>
  <Words>2920</Words>
  <Characters>16648</Characters>
  <Lines>138</Lines>
  <Paragraphs>39</Paragraphs>
  <TotalTime>0</TotalTime>
  <ScaleCrop>false</ScaleCrop>
  <LinksUpToDate>false</LinksUpToDate>
  <CharactersWithSpaces>19529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2020-04-08T10:24:00Z</dcterms:created>
  <dc:creator>NTKO</dc:creator>
  <cp:lastModifiedBy>哦</cp:lastModifiedBy>
  <cp:lastPrinted>2020-04-22T08:16:00Z</cp:lastPrinted>
  <dcterms:modified xsi:type="dcterms:W3CDTF">2021-04-29T07:48:07Z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