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00" w:beforeAutospacing="1" w:after="100" w:afterAutospacing="1"/>
        <w:ind w:left="840" w:right="139" w:rightChars="66"/>
        <w:rPr>
          <w:sz w:val="28"/>
          <w:szCs w:val="28"/>
        </w:rPr>
      </w:pPr>
      <w:r>
        <w:rPr>
          <w:rFonts w:hint="eastAsia"/>
          <w:sz w:val="28"/>
          <w:szCs w:val="28"/>
        </w:rPr>
        <w:t>运营分公司2020-2021年其它类型废物等危险废弃物处置项目用户需求书</w:t>
      </w:r>
    </w:p>
    <w:tbl>
      <w:tblPr>
        <w:tblStyle w:val="5"/>
        <w:tblW w:w="9639" w:type="dxa"/>
        <w:tblInd w:w="0" w:type="dxa"/>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trHeight w:val="1485" w:hRule="atLeast"/>
        </w:trPr>
        <w:tc>
          <w:tcPr>
            <w:tcW w:w="9639" w:type="dxa"/>
            <w:tcBorders>
              <w:top w:val="nil"/>
              <w:left w:val="nil"/>
              <w:bottom w:val="nil"/>
              <w:right w:val="nil"/>
            </w:tcBorders>
            <w:noWrap/>
            <w:vAlign w:val="center"/>
          </w:tcPr>
          <w:p>
            <w:pPr>
              <w:numPr>
                <w:ilvl w:val="0"/>
                <w:numId w:val="1"/>
              </w:numPr>
              <w:spacing w:beforeLines="50" w:line="340" w:lineRule="exact"/>
              <w:rPr>
                <w:rFonts w:ascii="宋体" w:hAnsi="宋体" w:cs="宋体"/>
                <w:b/>
                <w:kern w:val="0"/>
                <w:sz w:val="24"/>
                <w:szCs w:val="24"/>
              </w:rPr>
            </w:pPr>
            <w:r>
              <w:rPr>
                <w:rFonts w:hint="eastAsia" w:ascii="宋体" w:hAnsi="宋体"/>
                <w:b/>
                <w:sz w:val="24"/>
                <w:szCs w:val="24"/>
              </w:rPr>
              <w:t>项目</w:t>
            </w:r>
            <w:r>
              <w:rPr>
                <w:rFonts w:hint="eastAsia" w:ascii="宋体" w:hAnsi="宋体" w:cs="宋体"/>
                <w:b/>
                <w:kern w:val="0"/>
                <w:sz w:val="24"/>
                <w:szCs w:val="24"/>
              </w:rPr>
              <w:t>概况</w:t>
            </w:r>
          </w:p>
          <w:p>
            <w:pPr>
              <w:pStyle w:val="7"/>
              <w:numPr>
                <w:ilvl w:val="1"/>
                <w:numId w:val="2"/>
              </w:numPr>
              <w:spacing w:beforeLines="50" w:line="400" w:lineRule="exact"/>
              <w:ind w:firstLineChars="0"/>
              <w:jc w:val="left"/>
              <w:rPr>
                <w:rFonts w:ascii="宋体" w:hAnsi="宋体"/>
                <w:sz w:val="24"/>
                <w:szCs w:val="24"/>
              </w:rPr>
            </w:pPr>
            <w:r>
              <w:rPr>
                <w:rFonts w:hint="eastAsia" w:ascii="宋体" w:hAnsi="宋体" w:cs="宋体"/>
                <w:kern w:val="0"/>
                <w:sz w:val="24"/>
                <w:szCs w:val="24"/>
              </w:rPr>
              <w:t>项目名称：</w:t>
            </w:r>
            <w:r>
              <w:rPr>
                <w:rFonts w:hint="eastAsia"/>
                <w:sz w:val="24"/>
                <w:szCs w:val="24"/>
              </w:rPr>
              <w:t>运营分公司2020-2021年其它类型废物等危险废弃物处置项目</w:t>
            </w:r>
          </w:p>
          <w:p>
            <w:pPr>
              <w:pStyle w:val="7"/>
              <w:numPr>
                <w:ilvl w:val="1"/>
                <w:numId w:val="2"/>
              </w:numPr>
              <w:spacing w:beforeLines="50" w:line="400" w:lineRule="exact"/>
              <w:ind w:firstLineChars="0"/>
              <w:jc w:val="left"/>
              <w:rPr>
                <w:rFonts w:ascii="宋体" w:hAnsi="宋体"/>
                <w:sz w:val="24"/>
                <w:szCs w:val="24"/>
              </w:rPr>
            </w:pPr>
            <w:r>
              <w:rPr>
                <w:rFonts w:hint="eastAsia" w:ascii="宋体" w:hAnsi="宋体"/>
                <w:sz w:val="24"/>
                <w:szCs w:val="24"/>
              </w:rPr>
              <w:t>项目内容：对南宁轨道交通集团运营分公司在生产和经营过程中产生的危险废弃物（包括燃料、涂料废物、其它类型危险废物等）以固定周期的方式严格按国家相关法律规定进行转运、处置。</w:t>
            </w:r>
          </w:p>
          <w:p>
            <w:pPr>
              <w:pStyle w:val="7"/>
              <w:numPr>
                <w:ilvl w:val="1"/>
                <w:numId w:val="2"/>
              </w:numPr>
              <w:spacing w:beforeLines="50" w:line="400" w:lineRule="exact"/>
              <w:ind w:firstLineChars="0"/>
              <w:jc w:val="left"/>
              <w:rPr>
                <w:rFonts w:ascii="宋体" w:hAnsi="宋体" w:cs="宋体"/>
                <w:kern w:val="0"/>
                <w:sz w:val="24"/>
                <w:szCs w:val="24"/>
              </w:rPr>
            </w:pPr>
            <w:r>
              <w:rPr>
                <w:rFonts w:hint="eastAsia" w:ascii="宋体" w:hAnsi="宋体" w:cs="宋体"/>
                <w:kern w:val="0"/>
                <w:sz w:val="24"/>
                <w:szCs w:val="24"/>
              </w:rPr>
              <w:t>项目地点：南宁轨道交通集团运营分公司各车辆段及其它指定的存放地点</w:t>
            </w:r>
          </w:p>
          <w:p>
            <w:pPr>
              <w:pStyle w:val="7"/>
              <w:numPr>
                <w:ilvl w:val="1"/>
                <w:numId w:val="2"/>
              </w:numPr>
              <w:spacing w:beforeLines="50" w:line="400" w:lineRule="exact"/>
              <w:ind w:firstLineChars="0"/>
              <w:jc w:val="left"/>
              <w:rPr>
                <w:rFonts w:ascii="宋体" w:hAnsi="宋体" w:cs="宋体"/>
                <w:kern w:val="0"/>
                <w:sz w:val="24"/>
                <w:szCs w:val="24"/>
              </w:rPr>
            </w:pPr>
            <w:r>
              <w:rPr>
                <w:rFonts w:hint="eastAsia" w:ascii="宋体" w:hAnsi="宋体" w:cs="宋体"/>
                <w:kern w:val="0"/>
                <w:sz w:val="24"/>
                <w:szCs w:val="24"/>
              </w:rPr>
              <w:t>项目期限：自合同签订日期至2021年12月31日</w:t>
            </w:r>
          </w:p>
          <w:p>
            <w:pPr>
              <w:pStyle w:val="7"/>
              <w:numPr>
                <w:ilvl w:val="1"/>
                <w:numId w:val="2"/>
              </w:numPr>
              <w:spacing w:beforeLines="50" w:line="400" w:lineRule="exact"/>
              <w:ind w:firstLineChars="0"/>
              <w:jc w:val="left"/>
              <w:rPr>
                <w:rFonts w:ascii="宋体" w:hAnsi="宋体" w:cs="宋体"/>
                <w:kern w:val="0"/>
                <w:sz w:val="24"/>
                <w:szCs w:val="24"/>
              </w:rPr>
            </w:pPr>
            <w:r>
              <w:rPr>
                <w:rFonts w:hint="eastAsia" w:ascii="宋体" w:hAnsi="宋体" w:cs="宋体"/>
                <w:kern w:val="0"/>
                <w:sz w:val="24"/>
                <w:szCs w:val="24"/>
              </w:rPr>
              <w:t>项目数量：见《其它类型废物处置清单表》</w:t>
            </w:r>
          </w:p>
          <w:p>
            <w:pPr>
              <w:pStyle w:val="7"/>
              <w:spacing w:beforeLines="50" w:line="360" w:lineRule="auto"/>
              <w:ind w:firstLine="0" w:firstLineChars="0"/>
              <w:jc w:val="center"/>
              <w:rPr>
                <w:rFonts w:ascii="宋体" w:hAnsi="宋体" w:cs="宋体"/>
                <w:kern w:val="0"/>
                <w:sz w:val="24"/>
                <w:szCs w:val="24"/>
              </w:rPr>
            </w:pPr>
            <w:r>
              <w:rPr>
                <w:rFonts w:hint="eastAsia" w:ascii="宋体" w:hAnsi="宋体" w:cs="宋体"/>
                <w:kern w:val="0"/>
                <w:sz w:val="24"/>
                <w:szCs w:val="24"/>
              </w:rPr>
              <w:t>其它类型废物处置清单表</w:t>
            </w:r>
          </w:p>
          <w:tbl>
            <w:tblPr>
              <w:tblStyle w:val="5"/>
              <w:tblW w:w="9837" w:type="dxa"/>
              <w:jc w:val="center"/>
              <w:tblLayout w:type="fixed"/>
              <w:tblCellMar>
                <w:top w:w="0" w:type="dxa"/>
                <w:left w:w="108" w:type="dxa"/>
                <w:bottom w:w="0" w:type="dxa"/>
                <w:right w:w="108" w:type="dxa"/>
              </w:tblCellMar>
            </w:tblPr>
            <w:tblGrid>
              <w:gridCol w:w="454"/>
              <w:gridCol w:w="562"/>
              <w:gridCol w:w="825"/>
              <w:gridCol w:w="454"/>
              <w:gridCol w:w="713"/>
              <w:gridCol w:w="713"/>
              <w:gridCol w:w="767"/>
              <w:gridCol w:w="762"/>
              <w:gridCol w:w="768"/>
              <w:gridCol w:w="761"/>
              <w:gridCol w:w="708"/>
              <w:gridCol w:w="821"/>
              <w:gridCol w:w="762"/>
              <w:gridCol w:w="767"/>
            </w:tblGrid>
            <w:tr>
              <w:tblPrEx>
                <w:tblCellMar>
                  <w:top w:w="0" w:type="dxa"/>
                  <w:left w:w="108" w:type="dxa"/>
                  <w:bottom w:w="0" w:type="dxa"/>
                  <w:right w:w="108" w:type="dxa"/>
                </w:tblCellMar>
              </w:tblPrEx>
              <w:trPr>
                <w:trHeight w:val="567" w:hRule="atLeast"/>
                <w:jc w:val="center"/>
              </w:trPr>
              <w:tc>
                <w:tcPr>
                  <w:tcW w:w="45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color w:val="000000"/>
                      <w:kern w:val="0"/>
                      <w:sz w:val="24"/>
                      <w:szCs w:val="24"/>
                    </w:rPr>
                    <w:t>序号</w:t>
                  </w:r>
                </w:p>
              </w:tc>
              <w:tc>
                <w:tcPr>
                  <w:tcW w:w="56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color w:val="000000"/>
                      <w:kern w:val="0"/>
                      <w:sz w:val="24"/>
                      <w:szCs w:val="24"/>
                    </w:rPr>
                    <w:t>危险废物编号</w:t>
                  </w:r>
                </w:p>
              </w:tc>
              <w:tc>
                <w:tcPr>
                  <w:tcW w:w="82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color w:val="000000"/>
                      <w:kern w:val="0"/>
                      <w:sz w:val="24"/>
                      <w:szCs w:val="24"/>
                    </w:rPr>
                    <w:t>危险废物类别</w:t>
                  </w:r>
                </w:p>
              </w:tc>
              <w:tc>
                <w:tcPr>
                  <w:tcW w:w="45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color w:val="000000"/>
                      <w:kern w:val="0"/>
                      <w:sz w:val="24"/>
                      <w:szCs w:val="24"/>
                    </w:rPr>
                    <w:t>单位</w:t>
                  </w:r>
                </w:p>
              </w:tc>
              <w:tc>
                <w:tcPr>
                  <w:tcW w:w="1426"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color w:val="000000"/>
                      <w:kern w:val="0"/>
                      <w:sz w:val="24"/>
                      <w:szCs w:val="24"/>
                    </w:rPr>
                    <w:t>1号线</w:t>
                  </w:r>
                </w:p>
              </w:tc>
              <w:tc>
                <w:tcPr>
                  <w:tcW w:w="1529"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color w:val="000000"/>
                      <w:kern w:val="0"/>
                      <w:sz w:val="24"/>
                      <w:szCs w:val="24"/>
                    </w:rPr>
                    <w:t>2号线</w:t>
                  </w:r>
                </w:p>
              </w:tc>
              <w:tc>
                <w:tcPr>
                  <w:tcW w:w="1529"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textAlignment w:val="center"/>
                    <w:rPr>
                      <w:rFonts w:ascii="宋体" w:hAnsi="宋体" w:cs="宋体"/>
                      <w:b/>
                      <w:bCs/>
                      <w:kern w:val="0"/>
                      <w:sz w:val="24"/>
                      <w:szCs w:val="24"/>
                    </w:rPr>
                  </w:pPr>
                  <w:r>
                    <w:rPr>
                      <w:rFonts w:hint="eastAsia" w:ascii="宋体" w:hAnsi="宋体" w:cs="宋体"/>
                      <w:color w:val="000000"/>
                      <w:kern w:val="0"/>
                      <w:sz w:val="24"/>
                      <w:szCs w:val="24"/>
                    </w:rPr>
                    <w:t>3号线</w:t>
                  </w:r>
                </w:p>
              </w:tc>
              <w:tc>
                <w:tcPr>
                  <w:tcW w:w="1529"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textAlignment w:val="center"/>
                    <w:rPr>
                      <w:rFonts w:ascii="宋体" w:hAnsi="宋体" w:cs="宋体"/>
                      <w:b/>
                      <w:bCs/>
                      <w:kern w:val="0"/>
                      <w:sz w:val="24"/>
                      <w:szCs w:val="24"/>
                    </w:rPr>
                  </w:pPr>
                  <w:r>
                    <w:rPr>
                      <w:rFonts w:hint="eastAsia" w:ascii="宋体" w:hAnsi="宋体" w:cs="宋体"/>
                      <w:color w:val="000000"/>
                      <w:kern w:val="0"/>
                      <w:sz w:val="24"/>
                      <w:szCs w:val="24"/>
                    </w:rPr>
                    <w:t>4号线</w:t>
                  </w:r>
                </w:p>
              </w:tc>
              <w:tc>
                <w:tcPr>
                  <w:tcW w:w="1529"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textAlignment w:val="center"/>
                    <w:rPr>
                      <w:rFonts w:ascii="宋体" w:hAnsi="宋体" w:cs="宋体"/>
                      <w:b/>
                      <w:bCs/>
                      <w:kern w:val="0"/>
                      <w:sz w:val="24"/>
                      <w:szCs w:val="24"/>
                    </w:rPr>
                  </w:pPr>
                  <w:r>
                    <w:rPr>
                      <w:rFonts w:hint="eastAsia" w:ascii="宋体" w:hAnsi="宋体" w:cs="宋体"/>
                      <w:b/>
                      <w:color w:val="000000"/>
                      <w:kern w:val="0"/>
                      <w:sz w:val="24"/>
                      <w:szCs w:val="24"/>
                    </w:rPr>
                    <w:t>合计</w:t>
                  </w:r>
                </w:p>
              </w:tc>
            </w:tr>
            <w:tr>
              <w:tblPrEx>
                <w:tblCellMar>
                  <w:top w:w="0" w:type="dxa"/>
                  <w:left w:w="108" w:type="dxa"/>
                  <w:bottom w:w="0" w:type="dxa"/>
                  <w:right w:w="108" w:type="dxa"/>
                </w:tblCellMar>
              </w:tblPrEx>
              <w:trPr>
                <w:trHeight w:val="2452" w:hRule="atLeast"/>
                <w:jc w:val="center"/>
              </w:trPr>
              <w:tc>
                <w:tcPr>
                  <w:tcW w:w="454"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24"/>
                      <w:szCs w:val="24"/>
                    </w:rPr>
                  </w:pPr>
                </w:p>
              </w:tc>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24"/>
                      <w:szCs w:val="24"/>
                    </w:rPr>
                  </w:pP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kern w:val="0"/>
                      <w:sz w:val="24"/>
                      <w:szCs w:val="24"/>
                    </w:rPr>
                  </w:pPr>
                </w:p>
              </w:tc>
              <w:tc>
                <w:tcPr>
                  <w:tcW w:w="71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rPr>
                    <w:t>截止2020年底已产生废物量</w:t>
                  </w:r>
                </w:p>
              </w:tc>
              <w:tc>
                <w:tcPr>
                  <w:tcW w:w="71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2021（预计）产生废物量</w:t>
                  </w:r>
                </w:p>
              </w:tc>
              <w:tc>
                <w:tcPr>
                  <w:tcW w:w="7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rPr>
                    <w:t>截止2020年底已产生废物量</w:t>
                  </w:r>
                </w:p>
              </w:tc>
              <w:tc>
                <w:tcPr>
                  <w:tcW w:w="76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2021（预计）产生废物量</w:t>
                  </w:r>
                </w:p>
              </w:tc>
              <w:tc>
                <w:tcPr>
                  <w:tcW w:w="7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rPr>
                    <w:t>截止2020年底已产生废物量</w:t>
                  </w:r>
                </w:p>
              </w:tc>
              <w:tc>
                <w:tcPr>
                  <w:tcW w:w="761"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2021（预计）产生废物量</w:t>
                  </w:r>
                </w:p>
              </w:tc>
              <w:tc>
                <w:tcPr>
                  <w:tcW w:w="70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rPr>
                    <w:t>截止2020年底已产生废物量</w:t>
                  </w:r>
                </w:p>
              </w:tc>
              <w:tc>
                <w:tcPr>
                  <w:tcW w:w="821" w:type="dxa"/>
                  <w:tcBorders>
                    <w:top w:val="nil"/>
                    <w:left w:val="nil"/>
                    <w:bottom w:val="single" w:color="auto" w:sz="4" w:space="0"/>
                    <w:right w:val="single" w:color="auto" w:sz="4" w:space="0"/>
                  </w:tcBorders>
                  <w:noWrap/>
                  <w:vAlign w:val="center"/>
                </w:tcPr>
                <w:p>
                  <w:pPr>
                    <w:widowControl/>
                    <w:jc w:val="center"/>
                    <w:textAlignment w:val="center"/>
                    <w:rPr>
                      <w:sz w:val="24"/>
                      <w:szCs w:val="24"/>
                    </w:rPr>
                  </w:pPr>
                  <w:r>
                    <w:rPr>
                      <w:rFonts w:hint="eastAsia" w:ascii="宋体" w:hAnsi="宋体" w:cs="宋体"/>
                      <w:color w:val="000000"/>
                      <w:kern w:val="0"/>
                      <w:sz w:val="24"/>
                      <w:szCs w:val="24"/>
                    </w:rPr>
                    <w:t>2021（预计）产生废物量</w:t>
                  </w:r>
                </w:p>
              </w:tc>
              <w:tc>
                <w:tcPr>
                  <w:tcW w:w="76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2"/>
                    </w:rPr>
                    <w:t>截止2020年底已产生废物量</w:t>
                  </w:r>
                </w:p>
              </w:tc>
              <w:tc>
                <w:tcPr>
                  <w:tcW w:w="767" w:type="dxa"/>
                  <w:tcBorders>
                    <w:top w:val="nil"/>
                    <w:left w:val="nil"/>
                    <w:bottom w:val="single" w:color="auto" w:sz="4" w:space="0"/>
                    <w:right w:val="single" w:color="auto" w:sz="4" w:space="0"/>
                  </w:tcBorders>
                  <w:noWrap/>
                  <w:vAlign w:val="center"/>
                </w:tcPr>
                <w:p>
                  <w:pPr>
                    <w:widowControl/>
                    <w:jc w:val="center"/>
                    <w:textAlignment w:val="center"/>
                    <w:rPr>
                      <w:sz w:val="24"/>
                      <w:szCs w:val="24"/>
                    </w:rPr>
                  </w:pPr>
                  <w:r>
                    <w:rPr>
                      <w:rFonts w:hint="eastAsia" w:ascii="宋体" w:hAnsi="宋体" w:cs="宋体"/>
                      <w:color w:val="000000"/>
                      <w:kern w:val="0"/>
                      <w:sz w:val="24"/>
                      <w:szCs w:val="24"/>
                    </w:rPr>
                    <w:t>2021（预计）产生废物量</w:t>
                  </w:r>
                </w:p>
              </w:tc>
            </w:tr>
            <w:tr>
              <w:tblPrEx>
                <w:tblCellMar>
                  <w:top w:w="0" w:type="dxa"/>
                  <w:left w:w="108" w:type="dxa"/>
                  <w:bottom w:w="0" w:type="dxa"/>
                  <w:right w:w="108" w:type="dxa"/>
                </w:tblCellMar>
              </w:tblPrEx>
              <w:trPr>
                <w:trHeight w:val="1355" w:hRule="atLeast"/>
                <w:jc w:val="center"/>
              </w:trPr>
              <w:tc>
                <w:tcPr>
                  <w:tcW w:w="45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1</w:t>
                  </w:r>
                </w:p>
              </w:tc>
              <w:tc>
                <w:tcPr>
                  <w:tcW w:w="562" w:type="dxa"/>
                  <w:tcBorders>
                    <w:top w:val="nil"/>
                    <w:left w:val="nil"/>
                    <w:bottom w:val="single" w:color="auto" w:sz="4" w:space="0"/>
                    <w:right w:val="single" w:color="auto" w:sz="4" w:space="0"/>
                  </w:tcBorders>
                  <w:noWrap/>
                  <w:vAlign w:val="center"/>
                </w:tcPr>
                <w:p>
                  <w:pPr>
                    <w:widowControl/>
                    <w:textAlignment w:val="center"/>
                    <w:rPr>
                      <w:rFonts w:ascii="宋体" w:hAnsi="宋体" w:cs="宋体"/>
                      <w:kern w:val="0"/>
                      <w:sz w:val="24"/>
                      <w:szCs w:val="24"/>
                    </w:rPr>
                  </w:pPr>
                  <w:r>
                    <w:rPr>
                      <w:rFonts w:hint="eastAsia" w:ascii="宋体" w:hAnsi="宋体" w:cs="宋体"/>
                      <w:kern w:val="0"/>
                      <w:sz w:val="24"/>
                      <w:szCs w:val="24"/>
                    </w:rPr>
                    <w:t>HW12</w:t>
                  </w:r>
                </w:p>
              </w:tc>
              <w:tc>
                <w:tcPr>
                  <w:tcW w:w="82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sz w:val="24"/>
                      <w:szCs w:val="24"/>
                    </w:rPr>
                    <w:t>燃料、涂料废物</w:t>
                  </w:r>
                </w:p>
              </w:tc>
              <w:tc>
                <w:tcPr>
                  <w:tcW w:w="45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公斤</w:t>
                  </w:r>
                </w:p>
              </w:tc>
              <w:tc>
                <w:tcPr>
                  <w:tcW w:w="71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5</w:t>
                  </w:r>
                </w:p>
              </w:tc>
              <w:tc>
                <w:tcPr>
                  <w:tcW w:w="71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10</w:t>
                  </w:r>
                </w:p>
              </w:tc>
              <w:tc>
                <w:tcPr>
                  <w:tcW w:w="7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w:t>
                  </w:r>
                </w:p>
              </w:tc>
              <w:tc>
                <w:tcPr>
                  <w:tcW w:w="76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10</w:t>
                  </w:r>
                </w:p>
              </w:tc>
              <w:tc>
                <w:tcPr>
                  <w:tcW w:w="7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w:t>
                  </w:r>
                </w:p>
              </w:tc>
              <w:tc>
                <w:tcPr>
                  <w:tcW w:w="761"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10</w:t>
                  </w:r>
                </w:p>
              </w:tc>
              <w:tc>
                <w:tcPr>
                  <w:tcW w:w="70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w:t>
                  </w:r>
                </w:p>
              </w:tc>
              <w:tc>
                <w:tcPr>
                  <w:tcW w:w="821"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10</w:t>
                  </w:r>
                </w:p>
              </w:tc>
              <w:tc>
                <w:tcPr>
                  <w:tcW w:w="76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5</w:t>
                  </w:r>
                </w:p>
              </w:tc>
              <w:tc>
                <w:tcPr>
                  <w:tcW w:w="7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40</w:t>
                  </w:r>
                </w:p>
              </w:tc>
            </w:tr>
            <w:tr>
              <w:tblPrEx>
                <w:tblCellMar>
                  <w:top w:w="0" w:type="dxa"/>
                  <w:left w:w="108" w:type="dxa"/>
                  <w:bottom w:w="0" w:type="dxa"/>
                  <w:right w:w="108" w:type="dxa"/>
                </w:tblCellMar>
              </w:tblPrEx>
              <w:trPr>
                <w:trHeight w:val="1320" w:hRule="atLeast"/>
                <w:jc w:val="center"/>
              </w:trPr>
              <w:tc>
                <w:tcPr>
                  <w:tcW w:w="45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kern w:val="0"/>
                      <w:sz w:val="24"/>
                      <w:szCs w:val="24"/>
                    </w:rPr>
                  </w:pPr>
                  <w:r>
                    <w:rPr>
                      <w:rFonts w:hint="eastAsia" w:ascii="宋体" w:hAnsi="宋体" w:cs="宋体"/>
                      <w:kern w:val="0"/>
                      <w:sz w:val="24"/>
                      <w:szCs w:val="24"/>
                    </w:rPr>
                    <w:t>2</w:t>
                  </w:r>
                </w:p>
              </w:tc>
              <w:tc>
                <w:tcPr>
                  <w:tcW w:w="56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sz w:val="24"/>
                      <w:szCs w:val="24"/>
                    </w:rPr>
                  </w:pPr>
                  <w:r>
                    <w:rPr>
                      <w:rFonts w:hint="eastAsia" w:ascii="宋体" w:hAnsi="宋体" w:cs="宋体"/>
                      <w:kern w:val="0"/>
                      <w:sz w:val="24"/>
                      <w:szCs w:val="24"/>
                    </w:rPr>
                    <w:t>HW49</w:t>
                  </w:r>
                </w:p>
              </w:tc>
              <w:tc>
                <w:tcPr>
                  <w:tcW w:w="8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sz w:val="24"/>
                      <w:szCs w:val="24"/>
                    </w:rPr>
                  </w:pPr>
                  <w:r>
                    <w:rPr>
                      <w:rFonts w:hint="eastAsia"/>
                      <w:sz w:val="24"/>
                      <w:szCs w:val="24"/>
                    </w:rPr>
                    <w:t>其它危废</w:t>
                  </w:r>
                </w:p>
              </w:tc>
              <w:tc>
                <w:tcPr>
                  <w:tcW w:w="45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公斤</w:t>
                  </w:r>
                </w:p>
              </w:tc>
              <w:tc>
                <w:tcPr>
                  <w:tcW w:w="71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1255.4</w:t>
                  </w:r>
                </w:p>
              </w:tc>
              <w:tc>
                <w:tcPr>
                  <w:tcW w:w="71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746.8</w:t>
                  </w:r>
                </w:p>
              </w:tc>
              <w:tc>
                <w:tcPr>
                  <w:tcW w:w="7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262.1</w:t>
                  </w:r>
                </w:p>
              </w:tc>
              <w:tc>
                <w:tcPr>
                  <w:tcW w:w="76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425.8</w:t>
                  </w:r>
                </w:p>
              </w:tc>
              <w:tc>
                <w:tcPr>
                  <w:tcW w:w="7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182.5</w:t>
                  </w:r>
                </w:p>
              </w:tc>
              <w:tc>
                <w:tcPr>
                  <w:tcW w:w="761"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184.9</w:t>
                  </w:r>
                </w:p>
              </w:tc>
              <w:tc>
                <w:tcPr>
                  <w:tcW w:w="70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0</w:t>
                  </w:r>
                </w:p>
              </w:tc>
              <w:tc>
                <w:tcPr>
                  <w:tcW w:w="821"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sz w:val="22"/>
                    </w:rPr>
                    <w:t>42.5</w:t>
                  </w:r>
                </w:p>
              </w:tc>
              <w:tc>
                <w:tcPr>
                  <w:tcW w:w="76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1700</w:t>
                  </w:r>
                </w:p>
              </w:tc>
              <w:tc>
                <w:tcPr>
                  <w:tcW w:w="7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1400</w:t>
                  </w:r>
                </w:p>
              </w:tc>
            </w:tr>
            <w:tr>
              <w:tblPrEx>
                <w:tblCellMar>
                  <w:top w:w="0" w:type="dxa"/>
                  <w:left w:w="108" w:type="dxa"/>
                  <w:bottom w:w="0" w:type="dxa"/>
                  <w:right w:w="108" w:type="dxa"/>
                </w:tblCellMar>
              </w:tblPrEx>
              <w:trPr>
                <w:trHeight w:val="429" w:hRule="atLeast"/>
                <w:jc w:val="center"/>
              </w:trPr>
              <w:tc>
                <w:tcPr>
                  <w:tcW w:w="1841"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估算重量</w:t>
                  </w:r>
                </w:p>
              </w:tc>
              <w:tc>
                <w:tcPr>
                  <w:tcW w:w="454"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szCs w:val="24"/>
                    </w:rPr>
                    <w:t>吨</w:t>
                  </w:r>
                </w:p>
              </w:tc>
              <w:tc>
                <w:tcPr>
                  <w:tcW w:w="713"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1.2</w:t>
                  </w:r>
                </w:p>
              </w:tc>
              <w:tc>
                <w:tcPr>
                  <w:tcW w:w="713"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0.7</w:t>
                  </w:r>
                </w:p>
              </w:tc>
              <w:tc>
                <w:tcPr>
                  <w:tcW w:w="767"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0.3</w:t>
                  </w:r>
                </w:p>
              </w:tc>
              <w:tc>
                <w:tcPr>
                  <w:tcW w:w="762"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0.4</w:t>
                  </w:r>
                </w:p>
              </w:tc>
              <w:tc>
                <w:tcPr>
                  <w:tcW w:w="768"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0.2</w:t>
                  </w:r>
                </w:p>
              </w:tc>
              <w:tc>
                <w:tcPr>
                  <w:tcW w:w="761"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0.2</w:t>
                  </w:r>
                </w:p>
              </w:tc>
              <w:tc>
                <w:tcPr>
                  <w:tcW w:w="708"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w:t>
                  </w:r>
                </w:p>
              </w:tc>
              <w:tc>
                <w:tcPr>
                  <w:tcW w:w="821"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0.1</w:t>
                  </w:r>
                </w:p>
              </w:tc>
              <w:tc>
                <w:tcPr>
                  <w:tcW w:w="762"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1.7</w:t>
                  </w:r>
                </w:p>
              </w:tc>
              <w:tc>
                <w:tcPr>
                  <w:tcW w:w="767"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1.4</w:t>
                  </w:r>
                </w:p>
              </w:tc>
            </w:tr>
            <w:tr>
              <w:tblPrEx>
                <w:tblCellMar>
                  <w:top w:w="0" w:type="dxa"/>
                  <w:left w:w="108" w:type="dxa"/>
                  <w:bottom w:w="0" w:type="dxa"/>
                  <w:right w:w="108" w:type="dxa"/>
                </w:tblCellMar>
              </w:tblPrEx>
              <w:trPr>
                <w:trHeight w:val="485" w:hRule="atLeast"/>
                <w:jc w:val="center"/>
              </w:trPr>
              <w:tc>
                <w:tcPr>
                  <w:tcW w:w="2295"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22"/>
                    </w:rPr>
                    <w:t>备注</w:t>
                  </w:r>
                </w:p>
              </w:tc>
              <w:tc>
                <w:tcPr>
                  <w:tcW w:w="7542" w:type="dxa"/>
                  <w:gridSpan w:val="10"/>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22"/>
                    </w:rPr>
                    <w:t>表格中的数量为估算值，最终按实际发生量结算</w:t>
                  </w:r>
                </w:p>
              </w:tc>
            </w:tr>
          </w:tbl>
          <w:p>
            <w:pPr>
              <w:pStyle w:val="7"/>
              <w:spacing w:beforeLines="50" w:line="400" w:lineRule="exact"/>
              <w:ind w:firstLine="0" w:firstLineChars="0"/>
              <w:rPr>
                <w:rFonts w:ascii="宋体" w:hAnsi="宋体" w:cs="宋体"/>
                <w:kern w:val="0"/>
                <w:sz w:val="24"/>
                <w:szCs w:val="24"/>
              </w:rPr>
            </w:pPr>
          </w:p>
          <w:p>
            <w:pPr>
              <w:numPr>
                <w:ilvl w:val="0"/>
                <w:numId w:val="1"/>
              </w:numPr>
              <w:spacing w:beforeLines="50" w:line="360" w:lineRule="auto"/>
              <w:rPr>
                <w:rFonts w:ascii="宋体" w:hAnsi="宋体"/>
                <w:b/>
                <w:sz w:val="24"/>
                <w:szCs w:val="24"/>
              </w:rPr>
            </w:pPr>
            <w:r>
              <w:rPr>
                <w:rFonts w:hint="eastAsia" w:ascii="宋体" w:hAnsi="宋体"/>
                <w:b/>
                <w:sz w:val="24"/>
                <w:szCs w:val="24"/>
              </w:rPr>
              <w:t>质量要求</w:t>
            </w:r>
          </w:p>
          <w:p>
            <w:pPr>
              <w:widowControl/>
              <w:numPr>
                <w:ilvl w:val="1"/>
                <w:numId w:val="1"/>
              </w:numPr>
              <w:spacing w:line="360" w:lineRule="auto"/>
              <w:jc w:val="left"/>
              <w:rPr>
                <w:rFonts w:ascii="宋体" w:hAnsi="宋体"/>
                <w:sz w:val="24"/>
                <w:szCs w:val="24"/>
              </w:rPr>
            </w:pPr>
            <w:r>
              <w:rPr>
                <w:rFonts w:hint="eastAsia" w:ascii="宋体" w:hAnsi="宋体"/>
                <w:sz w:val="24"/>
                <w:szCs w:val="24"/>
              </w:rPr>
              <w:t>投标人</w:t>
            </w:r>
            <w:r>
              <w:rPr>
                <w:rFonts w:hint="eastAsia" w:ascii="宋体" w:hAnsi="宋体"/>
                <w:sz w:val="24"/>
                <w:szCs w:val="24"/>
                <w:lang w:val="en-US" w:eastAsia="zh-CN"/>
              </w:rPr>
              <w:t>应</w:t>
            </w:r>
            <w:r>
              <w:rPr>
                <w:rFonts w:hint="eastAsia" w:ascii="宋体" w:hAnsi="宋体"/>
                <w:sz w:val="24"/>
                <w:szCs w:val="24"/>
              </w:rPr>
              <w:t>具有国内独立法人资格，营业执照经营范围包括燃料、涂料废物（HW12）和其它类型废物(HW49)的回收、处理、处置、利用等</w:t>
            </w:r>
            <w:r>
              <w:rPr>
                <w:rFonts w:ascii="宋体" w:hAnsi="宋体"/>
                <w:sz w:val="24"/>
                <w:szCs w:val="24"/>
              </w:rPr>
              <w:t>类似范围</w:t>
            </w:r>
            <w:r>
              <w:rPr>
                <w:rFonts w:hint="eastAsia" w:ascii="宋体" w:hAnsi="宋体"/>
                <w:sz w:val="24"/>
                <w:szCs w:val="24"/>
              </w:rPr>
              <w:t>；具有有效期内的危险废物经营许可证以及道路危险货物运输许可证。</w:t>
            </w:r>
          </w:p>
          <w:p>
            <w:pPr>
              <w:widowControl/>
              <w:numPr>
                <w:ilvl w:val="1"/>
                <w:numId w:val="1"/>
              </w:numPr>
              <w:spacing w:line="360" w:lineRule="auto"/>
              <w:jc w:val="left"/>
              <w:rPr>
                <w:rFonts w:ascii="宋体" w:hAnsi="宋体"/>
                <w:sz w:val="24"/>
                <w:szCs w:val="24"/>
              </w:rPr>
            </w:pPr>
            <w:r>
              <w:rPr>
                <w:rFonts w:hint="eastAsia" w:ascii="宋体" w:hAnsi="宋体"/>
                <w:sz w:val="24"/>
                <w:szCs w:val="24"/>
              </w:rPr>
              <w:t>保证处理设施、设备符合国家法律、法规对处理危险废物的技术要求，并在运输和处置过程中不产生二次污染，保证产生的废物得到正确处理和处置，该种处理与处置须符合国家、广西及南宁市关于危险废物处理与处置相关的法律与法规。</w:t>
            </w:r>
          </w:p>
          <w:p>
            <w:pPr>
              <w:widowControl/>
              <w:numPr>
                <w:ilvl w:val="1"/>
                <w:numId w:val="1"/>
              </w:numPr>
              <w:spacing w:line="360" w:lineRule="auto"/>
              <w:jc w:val="left"/>
              <w:rPr>
                <w:rFonts w:ascii="宋体" w:hAnsi="宋体"/>
                <w:sz w:val="24"/>
                <w:szCs w:val="24"/>
              </w:rPr>
            </w:pPr>
            <w:r>
              <w:rPr>
                <w:rFonts w:hint="eastAsia" w:ascii="宋体" w:hAnsi="宋体"/>
                <w:sz w:val="24"/>
                <w:szCs w:val="24"/>
              </w:rPr>
              <w:t>危险废物转运、处置工作应满足国家环保法律、法规的要求。</w:t>
            </w:r>
          </w:p>
          <w:p>
            <w:pPr>
              <w:widowControl/>
              <w:numPr>
                <w:ilvl w:val="1"/>
                <w:numId w:val="1"/>
              </w:numPr>
              <w:spacing w:line="360" w:lineRule="auto"/>
              <w:jc w:val="left"/>
              <w:rPr>
                <w:rFonts w:ascii="宋体" w:hAnsi="宋体"/>
                <w:color w:val="auto"/>
                <w:sz w:val="24"/>
                <w:szCs w:val="24"/>
              </w:rPr>
            </w:pPr>
            <w:bookmarkStart w:id="0" w:name="_GoBack"/>
            <w:r>
              <w:rPr>
                <w:rFonts w:hint="eastAsia" w:ascii="宋体" w:hAnsi="宋体"/>
                <w:color w:val="auto"/>
                <w:sz w:val="24"/>
                <w:szCs w:val="24"/>
              </w:rPr>
              <w:t>符合国务院交通主管部门有关危险货物运输安全要求的运输工具。</w:t>
            </w:r>
          </w:p>
          <w:p>
            <w:pPr>
              <w:widowControl/>
              <w:numPr>
                <w:ilvl w:val="1"/>
                <w:numId w:val="1"/>
              </w:numPr>
              <w:spacing w:line="360" w:lineRule="auto"/>
              <w:jc w:val="left"/>
              <w:rPr>
                <w:rFonts w:ascii="宋体" w:hAnsi="宋体"/>
                <w:color w:val="auto"/>
                <w:sz w:val="24"/>
                <w:szCs w:val="24"/>
              </w:rPr>
            </w:pPr>
            <w:r>
              <w:rPr>
                <w:rFonts w:hint="eastAsia" w:ascii="宋体" w:hAnsi="宋体"/>
                <w:color w:val="auto"/>
                <w:sz w:val="24"/>
                <w:szCs w:val="24"/>
              </w:rPr>
              <w:t>危险废弃物转移需及时向环保局备案，并在广西固废企业申报管理系统填写《危险废物转移计划备案表》且地级市环保局审核通过后方可运输转移。</w:t>
            </w:r>
          </w:p>
          <w:bookmarkEnd w:id="0"/>
          <w:p>
            <w:pPr>
              <w:numPr>
                <w:ilvl w:val="0"/>
                <w:numId w:val="1"/>
              </w:numPr>
              <w:spacing w:beforeLines="50" w:line="360" w:lineRule="auto"/>
              <w:rPr>
                <w:rFonts w:ascii="宋体" w:hAnsi="宋体"/>
                <w:b/>
                <w:sz w:val="24"/>
                <w:szCs w:val="24"/>
              </w:rPr>
            </w:pPr>
            <w:r>
              <w:rPr>
                <w:rFonts w:hint="eastAsia" w:ascii="宋体" w:hAnsi="宋体"/>
                <w:b/>
                <w:sz w:val="24"/>
                <w:szCs w:val="24"/>
              </w:rPr>
              <w:t>技术及服务要求</w:t>
            </w:r>
          </w:p>
          <w:p>
            <w:pPr>
              <w:widowControl/>
              <w:numPr>
                <w:ilvl w:val="1"/>
                <w:numId w:val="1"/>
              </w:numPr>
              <w:spacing w:line="360" w:lineRule="auto"/>
              <w:jc w:val="left"/>
              <w:rPr>
                <w:rFonts w:ascii="宋体" w:hAnsi="宋体"/>
                <w:sz w:val="24"/>
                <w:szCs w:val="24"/>
              </w:rPr>
            </w:pPr>
            <w:r>
              <w:rPr>
                <w:rFonts w:hint="eastAsia" w:ascii="宋体" w:hAnsi="宋体" w:cs="宋体"/>
                <w:kern w:val="0"/>
                <w:sz w:val="24"/>
                <w:szCs w:val="24"/>
              </w:rPr>
              <w:t>自备具有回收器具和道路危险货物运输许可证的运输车辆，负责</w:t>
            </w:r>
            <w:r>
              <w:rPr>
                <w:rFonts w:hint="eastAsia" w:ascii="宋体" w:hAnsi="宋体"/>
                <w:sz w:val="24"/>
                <w:szCs w:val="24"/>
              </w:rPr>
              <w:t>燃料、涂料废物和其它类型危险的</w:t>
            </w:r>
            <w:r>
              <w:rPr>
                <w:rFonts w:hint="eastAsia" w:ascii="宋体" w:hAnsi="宋体" w:cs="宋体"/>
                <w:kern w:val="0"/>
                <w:sz w:val="24"/>
                <w:szCs w:val="24"/>
              </w:rPr>
              <w:t>装卸、运输、过磅等一切费用。</w:t>
            </w:r>
          </w:p>
          <w:p>
            <w:pPr>
              <w:widowControl/>
              <w:numPr>
                <w:ilvl w:val="1"/>
                <w:numId w:val="1"/>
              </w:numPr>
              <w:spacing w:line="360" w:lineRule="auto"/>
              <w:jc w:val="left"/>
              <w:rPr>
                <w:rFonts w:ascii="宋体" w:hAnsi="宋体"/>
                <w:sz w:val="24"/>
                <w:szCs w:val="24"/>
              </w:rPr>
            </w:pPr>
            <w:r>
              <w:rPr>
                <w:rFonts w:hint="eastAsia" w:ascii="宋体" w:hAnsi="宋体" w:cs="宋体"/>
                <w:kern w:val="0"/>
                <w:sz w:val="24"/>
                <w:szCs w:val="24"/>
              </w:rPr>
              <w:t>运输车辆的司机和装卸人员应具有交通主管部门核发的营业性道路运输 (危险货物运输)从业资格证，作业过程中做好安全防护遵守安全卫生制度。在运输过程中不得沿途丢弃、遗撒废物。</w:t>
            </w:r>
          </w:p>
          <w:p>
            <w:pPr>
              <w:widowControl/>
              <w:numPr>
                <w:ilvl w:val="1"/>
                <w:numId w:val="1"/>
              </w:numPr>
              <w:spacing w:line="360" w:lineRule="auto"/>
              <w:jc w:val="left"/>
              <w:rPr>
                <w:rFonts w:ascii="宋体" w:hAnsi="宋体"/>
                <w:sz w:val="24"/>
                <w:szCs w:val="24"/>
              </w:rPr>
            </w:pPr>
            <w:r>
              <w:rPr>
                <w:rFonts w:hint="eastAsia" w:ascii="宋体" w:hAnsi="宋体" w:cs="宋体"/>
                <w:kern w:val="0"/>
                <w:sz w:val="24"/>
                <w:szCs w:val="24"/>
              </w:rPr>
              <w:t>承担本项目危险废物转移、转运、处理与处置过程中产生的安全事故、环境污染事故、交通事故等一切责任和后果。</w:t>
            </w:r>
          </w:p>
          <w:p>
            <w:pPr>
              <w:widowControl/>
              <w:numPr>
                <w:ilvl w:val="1"/>
                <w:numId w:val="1"/>
              </w:numPr>
              <w:spacing w:line="360" w:lineRule="auto"/>
              <w:jc w:val="left"/>
              <w:rPr>
                <w:rFonts w:ascii="宋体" w:hAnsi="宋体"/>
                <w:sz w:val="24"/>
                <w:szCs w:val="24"/>
              </w:rPr>
            </w:pPr>
            <w:r>
              <w:rPr>
                <w:rFonts w:ascii="宋体" w:hAnsi="宋体"/>
                <w:sz w:val="24"/>
                <w:szCs w:val="24"/>
              </w:rPr>
              <w:t>在进行危险废物转运、处置工作前，需将所需车辆、器械、指派人员的基本情况进行认真审核、检查，对发现的器材、人员问题要及时做有效处理，保证工作质量</w:t>
            </w:r>
            <w:r>
              <w:rPr>
                <w:rFonts w:hint="eastAsia" w:ascii="宋体" w:hAnsi="宋体"/>
                <w:sz w:val="24"/>
                <w:szCs w:val="24"/>
              </w:rPr>
              <w:t>。</w:t>
            </w:r>
          </w:p>
          <w:p>
            <w:pPr>
              <w:widowControl/>
              <w:numPr>
                <w:ilvl w:val="1"/>
                <w:numId w:val="1"/>
              </w:numPr>
              <w:spacing w:line="360" w:lineRule="auto"/>
              <w:jc w:val="left"/>
              <w:rPr>
                <w:rFonts w:ascii="宋体" w:hAnsi="宋体"/>
                <w:sz w:val="24"/>
                <w:szCs w:val="24"/>
              </w:rPr>
            </w:pPr>
            <w:r>
              <w:rPr>
                <w:rFonts w:ascii="宋体" w:hAnsi="宋体"/>
                <w:sz w:val="24"/>
                <w:szCs w:val="24"/>
              </w:rPr>
              <w:t>做好</w:t>
            </w:r>
            <w:r>
              <w:rPr>
                <w:rFonts w:hint="eastAsia" w:ascii="宋体" w:hAnsi="宋体"/>
                <w:sz w:val="24"/>
                <w:szCs w:val="24"/>
              </w:rPr>
              <w:t>搬运</w:t>
            </w:r>
            <w:r>
              <w:rPr>
                <w:rFonts w:ascii="宋体" w:hAnsi="宋体"/>
                <w:sz w:val="24"/>
                <w:szCs w:val="24"/>
              </w:rPr>
              <w:t>、分解、运输过程中出现的</w:t>
            </w:r>
            <w:r>
              <w:rPr>
                <w:rFonts w:hint="eastAsia" w:ascii="宋体" w:hAnsi="宋体"/>
                <w:sz w:val="24"/>
                <w:szCs w:val="24"/>
              </w:rPr>
              <w:t>应急</w:t>
            </w:r>
            <w:r>
              <w:rPr>
                <w:rFonts w:ascii="宋体" w:hAnsi="宋体"/>
                <w:sz w:val="24"/>
                <w:szCs w:val="24"/>
              </w:rPr>
              <w:t>污染</w:t>
            </w:r>
            <w:r>
              <w:rPr>
                <w:rFonts w:hint="eastAsia" w:ascii="宋体" w:hAnsi="宋体"/>
                <w:sz w:val="24"/>
                <w:szCs w:val="24"/>
              </w:rPr>
              <w:t>防治</w:t>
            </w:r>
            <w:r>
              <w:rPr>
                <w:rFonts w:ascii="宋体" w:hAnsi="宋体"/>
                <w:sz w:val="24"/>
                <w:szCs w:val="24"/>
              </w:rPr>
              <w:t>救援预案</w:t>
            </w:r>
            <w:r>
              <w:rPr>
                <w:rFonts w:hint="eastAsia" w:ascii="宋体" w:hAnsi="宋体"/>
                <w:sz w:val="24"/>
                <w:szCs w:val="24"/>
                <w:lang w:eastAsia="zh-CN"/>
              </w:rPr>
              <w:t>。</w:t>
            </w:r>
          </w:p>
          <w:p>
            <w:pPr>
              <w:widowControl/>
              <w:numPr>
                <w:ilvl w:val="0"/>
                <w:numId w:val="1"/>
              </w:numPr>
              <w:spacing w:line="360" w:lineRule="auto"/>
              <w:rPr>
                <w:rFonts w:ascii="宋体" w:hAnsi="宋体" w:cs="宋体"/>
                <w:b/>
                <w:bCs/>
                <w:kern w:val="0"/>
                <w:sz w:val="24"/>
                <w:szCs w:val="24"/>
              </w:rPr>
            </w:pPr>
            <w:r>
              <w:rPr>
                <w:rFonts w:hint="eastAsia" w:ascii="宋体" w:hAnsi="宋体" w:cs="宋体"/>
                <w:b/>
                <w:bCs/>
                <w:kern w:val="0"/>
                <w:sz w:val="24"/>
                <w:szCs w:val="24"/>
              </w:rPr>
              <w:t>项目实施方案</w:t>
            </w:r>
          </w:p>
          <w:p>
            <w:pPr>
              <w:widowControl/>
              <w:numPr>
                <w:ilvl w:val="1"/>
                <w:numId w:val="1"/>
              </w:numPr>
              <w:spacing w:line="360" w:lineRule="auto"/>
              <w:jc w:val="left"/>
              <w:rPr>
                <w:rFonts w:ascii="宋体" w:hAnsi="宋体" w:cs="宋体"/>
                <w:kern w:val="0"/>
                <w:sz w:val="24"/>
                <w:szCs w:val="24"/>
              </w:rPr>
            </w:pPr>
            <w:r>
              <w:rPr>
                <w:rFonts w:hint="eastAsia" w:ascii="宋体" w:hAnsi="宋体" w:cs="宋体"/>
                <w:kern w:val="0"/>
                <w:sz w:val="24"/>
                <w:szCs w:val="24"/>
              </w:rPr>
              <w:t>本项目废物的处置工作预计各线路需回收1-2次/年。</w:t>
            </w:r>
          </w:p>
          <w:p>
            <w:pPr>
              <w:widowControl/>
              <w:numPr>
                <w:ilvl w:val="1"/>
                <w:numId w:val="1"/>
              </w:numPr>
              <w:spacing w:line="360" w:lineRule="auto"/>
              <w:jc w:val="left"/>
              <w:rPr>
                <w:rFonts w:ascii="宋体" w:hAnsi="宋体" w:cs="宋体"/>
                <w:kern w:val="0"/>
                <w:sz w:val="24"/>
                <w:szCs w:val="24"/>
              </w:rPr>
            </w:pPr>
            <w:r>
              <w:rPr>
                <w:rFonts w:hint="eastAsia" w:ascii="宋体" w:hAnsi="宋体" w:cs="宋体"/>
                <w:kern w:val="0"/>
                <w:sz w:val="24"/>
                <w:szCs w:val="24"/>
              </w:rPr>
              <w:t>招标人提前 5 天通知，中标人在接到处置消息后</w:t>
            </w:r>
            <w:r>
              <w:rPr>
                <w:rFonts w:hint="eastAsia" w:ascii="宋体" w:hAnsi="宋体" w:cs="宋体"/>
                <w:kern w:val="0"/>
                <w:sz w:val="24"/>
                <w:szCs w:val="24"/>
                <w:lang w:val="en-US" w:eastAsia="zh-CN"/>
              </w:rPr>
              <w:t>5</w:t>
            </w:r>
            <w:r>
              <w:rPr>
                <w:rFonts w:hint="eastAsia" w:ascii="宋体" w:hAnsi="宋体" w:cs="宋体"/>
                <w:kern w:val="0"/>
                <w:sz w:val="24"/>
                <w:szCs w:val="24"/>
              </w:rPr>
              <w:t>个工作日内需完成危废的称重及转移处置工作。</w:t>
            </w:r>
          </w:p>
          <w:p>
            <w:pPr>
              <w:widowControl/>
              <w:numPr>
                <w:ilvl w:val="0"/>
                <w:numId w:val="1"/>
              </w:numPr>
              <w:spacing w:line="360" w:lineRule="auto"/>
              <w:rPr>
                <w:rFonts w:ascii="宋体" w:hAnsi="宋体" w:cs="宋体"/>
                <w:b/>
                <w:bCs/>
                <w:kern w:val="0"/>
                <w:sz w:val="24"/>
                <w:szCs w:val="24"/>
              </w:rPr>
            </w:pPr>
            <w:r>
              <w:rPr>
                <w:rFonts w:hint="eastAsia" w:ascii="宋体" w:hAnsi="宋体" w:cs="宋体"/>
                <w:b/>
                <w:bCs/>
                <w:kern w:val="0"/>
                <w:sz w:val="24"/>
                <w:szCs w:val="24"/>
              </w:rPr>
              <w:t>质量保证</w:t>
            </w:r>
          </w:p>
          <w:p>
            <w:pPr>
              <w:widowControl/>
              <w:numPr>
                <w:ilvl w:val="1"/>
                <w:numId w:val="1"/>
              </w:numPr>
              <w:spacing w:line="360" w:lineRule="auto"/>
              <w:jc w:val="left"/>
              <w:rPr>
                <w:rFonts w:ascii="宋体" w:hAnsi="宋体" w:cs="宋体"/>
                <w:kern w:val="0"/>
                <w:sz w:val="24"/>
                <w:szCs w:val="24"/>
              </w:rPr>
            </w:pPr>
            <w:r>
              <w:rPr>
                <w:rFonts w:hint="eastAsia" w:ascii="宋体" w:hAnsi="宋体" w:cs="宋体"/>
                <w:kern w:val="0"/>
                <w:sz w:val="24"/>
                <w:szCs w:val="24"/>
              </w:rPr>
              <w:t>保证每次危险废弃物运输工作的连贯与安全性，将各车辆段所有</w:t>
            </w:r>
            <w:r>
              <w:rPr>
                <w:rFonts w:hint="eastAsia" w:ascii="宋体" w:hAnsi="宋体"/>
                <w:sz w:val="24"/>
                <w:szCs w:val="24"/>
              </w:rPr>
              <w:t>燃料、涂料废物和其它类型危险废物</w:t>
            </w:r>
            <w:r>
              <w:rPr>
                <w:rFonts w:hint="eastAsia" w:ascii="宋体" w:hAnsi="宋体" w:cs="宋体"/>
                <w:kern w:val="0"/>
                <w:sz w:val="24"/>
                <w:szCs w:val="24"/>
              </w:rPr>
              <w:t>一次性安全转移，现场需做好相关的准备工作，保证该次工作完成后不残留任何危险废物及作业工器具。</w:t>
            </w:r>
          </w:p>
          <w:p>
            <w:pPr>
              <w:widowControl/>
              <w:numPr>
                <w:ilvl w:val="0"/>
                <w:numId w:val="1"/>
              </w:numPr>
              <w:spacing w:line="360" w:lineRule="auto"/>
              <w:rPr>
                <w:rFonts w:hint="default" w:ascii="宋体" w:hAnsi="宋体" w:cs="宋体"/>
                <w:b/>
                <w:bCs/>
                <w:kern w:val="0"/>
                <w:sz w:val="24"/>
                <w:szCs w:val="24"/>
                <w:lang w:val="en-US" w:eastAsia="zh-CN"/>
              </w:rPr>
            </w:pPr>
            <w:r>
              <w:rPr>
                <w:rFonts w:hint="eastAsia" w:ascii="宋体" w:hAnsi="宋体" w:cs="宋体"/>
                <w:b/>
                <w:bCs/>
                <w:kern w:val="0"/>
                <w:sz w:val="24"/>
                <w:szCs w:val="24"/>
                <w:lang w:val="en-US" w:eastAsia="zh-CN"/>
              </w:rPr>
              <w:t>违约责任</w:t>
            </w:r>
          </w:p>
          <w:p>
            <w:pPr>
              <w:widowControl/>
              <w:numPr>
                <w:ilvl w:val="1"/>
                <w:numId w:val="1"/>
              </w:numPr>
              <w:spacing w:line="360" w:lineRule="auto"/>
              <w:jc w:val="left"/>
              <w:rPr>
                <w:rFonts w:hint="default" w:ascii="宋体" w:hAnsi="宋体" w:cs="宋体"/>
                <w:kern w:val="0"/>
                <w:sz w:val="24"/>
                <w:szCs w:val="24"/>
                <w:lang w:val="en-US" w:eastAsia="zh-CN"/>
              </w:rPr>
            </w:pPr>
            <w:r>
              <w:rPr>
                <w:rFonts w:hint="default" w:ascii="宋体" w:hAnsi="宋体" w:cs="宋体"/>
                <w:kern w:val="0"/>
                <w:sz w:val="24"/>
                <w:szCs w:val="24"/>
                <w:lang w:val="en-US" w:eastAsia="zh-CN"/>
              </w:rPr>
              <w:t>若</w:t>
            </w:r>
            <w:r>
              <w:rPr>
                <w:rFonts w:hint="eastAsia" w:ascii="宋体" w:hAnsi="宋体" w:cs="宋体"/>
                <w:kern w:val="0"/>
                <w:sz w:val="24"/>
                <w:szCs w:val="24"/>
                <w:lang w:val="en-US" w:eastAsia="zh-CN"/>
              </w:rPr>
              <w:t>招标方</w:t>
            </w:r>
            <w:r>
              <w:rPr>
                <w:rFonts w:hint="default" w:ascii="宋体" w:hAnsi="宋体" w:cs="宋体"/>
                <w:kern w:val="0"/>
                <w:sz w:val="24"/>
                <w:szCs w:val="24"/>
                <w:lang w:val="en-US" w:eastAsia="zh-CN"/>
              </w:rPr>
              <w:t>发现</w:t>
            </w:r>
            <w:r>
              <w:rPr>
                <w:rFonts w:hint="eastAsia" w:ascii="宋体" w:hAnsi="宋体" w:cs="宋体"/>
                <w:kern w:val="0"/>
                <w:sz w:val="24"/>
                <w:szCs w:val="24"/>
                <w:lang w:val="en-US" w:eastAsia="zh-CN"/>
              </w:rPr>
              <w:t>中标方</w:t>
            </w:r>
            <w:r>
              <w:rPr>
                <w:rFonts w:hint="default" w:ascii="宋体" w:hAnsi="宋体" w:cs="宋体"/>
                <w:kern w:val="0"/>
                <w:sz w:val="24"/>
                <w:szCs w:val="24"/>
                <w:lang w:val="en-US" w:eastAsia="zh-CN"/>
              </w:rPr>
              <w:t>危险废物转运、处置资质或检验报告失效，则有权扣除</w:t>
            </w:r>
            <w:r>
              <w:rPr>
                <w:rFonts w:hint="eastAsia" w:ascii="宋体" w:hAnsi="宋体" w:cs="宋体"/>
                <w:kern w:val="0"/>
                <w:sz w:val="24"/>
                <w:szCs w:val="24"/>
                <w:lang w:val="en-US" w:eastAsia="zh-CN"/>
              </w:rPr>
              <w:t>中标人</w:t>
            </w:r>
            <w:r>
              <w:rPr>
                <w:rFonts w:hint="default" w:ascii="宋体" w:hAnsi="宋体" w:cs="宋体"/>
                <w:kern w:val="0"/>
                <w:sz w:val="24"/>
                <w:szCs w:val="24"/>
                <w:lang w:val="en-US" w:eastAsia="zh-CN"/>
              </w:rPr>
              <w:t>资质失效或未通过检验日期起后所有危险废物转运、处置费用，并保留解除合同的权利。</w:t>
            </w:r>
          </w:p>
          <w:p>
            <w:pPr>
              <w:widowControl/>
              <w:numPr>
                <w:ilvl w:val="1"/>
                <w:numId w:val="1"/>
              </w:numPr>
              <w:spacing w:line="360" w:lineRule="auto"/>
              <w:jc w:val="left"/>
              <w:rPr>
                <w:rFonts w:ascii="宋体" w:hAnsi="宋体" w:cs="宋体"/>
                <w:kern w:val="0"/>
                <w:sz w:val="24"/>
                <w:szCs w:val="24"/>
              </w:rPr>
            </w:pPr>
            <w:r>
              <w:rPr>
                <w:rFonts w:hint="default" w:ascii="宋体" w:hAnsi="宋体" w:cs="宋体"/>
                <w:kern w:val="0"/>
                <w:sz w:val="24"/>
                <w:szCs w:val="24"/>
                <w:lang w:val="en-US" w:eastAsia="zh-CN"/>
              </w:rPr>
              <w:t>中标方</w:t>
            </w:r>
            <w:r>
              <w:rPr>
                <w:rFonts w:hint="eastAsia" w:ascii="宋体" w:hAnsi="宋体" w:cs="宋体"/>
                <w:kern w:val="0"/>
                <w:sz w:val="24"/>
                <w:szCs w:val="24"/>
                <w:lang w:val="en-US" w:eastAsia="zh-CN"/>
              </w:rPr>
              <w:t>逾</w:t>
            </w:r>
            <w:r>
              <w:rPr>
                <w:rFonts w:hint="default" w:ascii="宋体" w:hAnsi="宋体" w:cs="宋体"/>
                <w:kern w:val="0"/>
                <w:sz w:val="24"/>
                <w:szCs w:val="24"/>
                <w:lang w:val="en-US" w:eastAsia="zh-CN"/>
              </w:rPr>
              <w:t>期运输废物导致影响招标方的生产经营的，每逾期一日按应运输</w:t>
            </w:r>
            <w:r>
              <w:rPr>
                <w:rFonts w:hint="eastAsia" w:ascii="宋体" w:hAnsi="宋体" w:cs="宋体"/>
                <w:kern w:val="0"/>
                <w:sz w:val="24"/>
                <w:szCs w:val="24"/>
                <w:lang w:val="en-US" w:eastAsia="zh-CN"/>
              </w:rPr>
              <w:t>废物处理费用</w:t>
            </w:r>
            <w:r>
              <w:rPr>
                <w:rFonts w:hint="default" w:ascii="宋体" w:hAnsi="宋体" w:cs="宋体"/>
                <w:kern w:val="0"/>
                <w:sz w:val="24"/>
                <w:szCs w:val="24"/>
                <w:lang w:val="en-US" w:eastAsia="zh-CN"/>
              </w:rPr>
              <w:t>总值</w:t>
            </w:r>
            <w:r>
              <w:rPr>
                <w:rFonts w:hint="eastAsia" w:ascii="宋体" w:hAnsi="宋体" w:cs="宋体"/>
                <w:kern w:val="0"/>
                <w:sz w:val="24"/>
                <w:szCs w:val="24"/>
                <w:lang w:val="en-US" w:eastAsia="zh-CN"/>
              </w:rPr>
              <w:t>的</w:t>
            </w:r>
            <w:r>
              <w:rPr>
                <w:rFonts w:hint="default" w:ascii="宋体" w:hAnsi="宋体" w:cs="宋体"/>
                <w:kern w:val="0"/>
                <w:sz w:val="24"/>
                <w:szCs w:val="24"/>
                <w:lang w:val="en-US" w:eastAsia="zh-CN"/>
              </w:rPr>
              <w:t>5‰支付</w:t>
            </w:r>
            <w:r>
              <w:rPr>
                <w:rFonts w:hint="eastAsia" w:ascii="宋体" w:hAnsi="宋体" w:cs="宋体"/>
                <w:kern w:val="0"/>
                <w:sz w:val="24"/>
                <w:szCs w:val="24"/>
                <w:lang w:val="en-US" w:eastAsia="zh-CN"/>
              </w:rPr>
              <w:t>违约金</w:t>
            </w:r>
            <w:r>
              <w:rPr>
                <w:rFonts w:hint="default" w:ascii="宋体" w:hAnsi="宋体" w:cs="宋体"/>
                <w:kern w:val="0"/>
                <w:sz w:val="24"/>
                <w:szCs w:val="24"/>
                <w:lang w:val="en-US" w:eastAsia="zh-CN"/>
              </w:rPr>
              <w:t>给招标方</w:t>
            </w:r>
            <w:r>
              <w:rPr>
                <w:rFonts w:hint="eastAsia" w:ascii="宋体" w:hAnsi="宋体" w:cs="宋体"/>
                <w:kern w:val="0"/>
                <w:sz w:val="24"/>
                <w:szCs w:val="24"/>
                <w:lang w:val="en-US" w:eastAsia="zh-CN"/>
              </w:rPr>
              <w:t>。</w:t>
            </w:r>
          </w:p>
          <w:p>
            <w:pPr>
              <w:widowControl/>
              <w:rPr>
                <w:rFonts w:ascii="宋体" w:hAnsi="宋体" w:cs="宋体"/>
                <w:b/>
                <w:bCs/>
                <w:kern w:val="0"/>
                <w:sz w:val="24"/>
                <w:szCs w:val="24"/>
              </w:rPr>
            </w:pPr>
          </w:p>
        </w:tc>
      </w:tr>
    </w:tbl>
    <w:p/>
    <w:sectPr>
      <w:pgSz w:w="11905" w:h="16838"/>
      <w:pgMar w:top="1321" w:right="2126" w:bottom="1321" w:left="1191" w:header="893" w:footer="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34B"/>
    <w:multiLevelType w:val="multilevel"/>
    <w:tmpl w:val="0381234B"/>
    <w:lvl w:ilvl="0" w:tentative="0">
      <w:start w:val="1"/>
      <w:numFmt w:val="decimal"/>
      <w:lvlText w:val="%1."/>
      <w:lvlJc w:val="left"/>
      <w:pPr>
        <w:ind w:left="425" w:hanging="425"/>
      </w:pPr>
      <w:rPr>
        <w:rFonts w:hint="eastAsia"/>
        <w:b/>
      </w:rPr>
    </w:lvl>
    <w:lvl w:ilvl="1" w:tentative="0">
      <w:start w:val="1"/>
      <w:numFmt w:val="decimal"/>
      <w:lvlText w:val="%1.%2."/>
      <w:lvlJc w:val="left"/>
      <w:pPr>
        <w:ind w:left="567" w:hanging="567"/>
      </w:pPr>
      <w:rPr>
        <w:rFonts w:hint="eastAsia"/>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67450E5D"/>
    <w:multiLevelType w:val="multilevel"/>
    <w:tmpl w:val="67450E5D"/>
    <w:lvl w:ilvl="0" w:tentative="0">
      <w:start w:val="1"/>
      <w:numFmt w:val="decimal"/>
      <w:lvlText w:val="%1."/>
      <w:lvlJc w:val="left"/>
      <w:pPr>
        <w:ind w:left="425" w:hanging="425"/>
      </w:pPr>
      <w:rPr>
        <w:rFonts w:hint="eastAsia"/>
        <w:b/>
      </w:rPr>
    </w:lvl>
    <w:lvl w:ilvl="1" w:tentative="0">
      <w:start w:val="1"/>
      <w:numFmt w:val="decimal"/>
      <w:lvlText w:val="%1.%2."/>
      <w:lvlJc w:val="left"/>
      <w:pPr>
        <w:ind w:left="567" w:hanging="567"/>
      </w:pPr>
      <w:rPr>
        <w:rFonts w:hint="eastAsia"/>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43ED0"/>
    <w:rsid w:val="00105672"/>
    <w:rsid w:val="0024485A"/>
    <w:rsid w:val="00350C5E"/>
    <w:rsid w:val="00433265"/>
    <w:rsid w:val="004610F4"/>
    <w:rsid w:val="007050E7"/>
    <w:rsid w:val="007541FA"/>
    <w:rsid w:val="00812E47"/>
    <w:rsid w:val="00880BD7"/>
    <w:rsid w:val="00907DB7"/>
    <w:rsid w:val="00C910A3"/>
    <w:rsid w:val="00D11513"/>
    <w:rsid w:val="050B4076"/>
    <w:rsid w:val="087D707C"/>
    <w:rsid w:val="0E5340DD"/>
    <w:rsid w:val="102C75E7"/>
    <w:rsid w:val="128A5959"/>
    <w:rsid w:val="13443CC3"/>
    <w:rsid w:val="1E8153B2"/>
    <w:rsid w:val="265D1E4E"/>
    <w:rsid w:val="29AD62FC"/>
    <w:rsid w:val="2A583F8F"/>
    <w:rsid w:val="3917519A"/>
    <w:rsid w:val="45691A3E"/>
    <w:rsid w:val="45E50EDC"/>
    <w:rsid w:val="5B5B5E1F"/>
    <w:rsid w:val="5F1465F6"/>
    <w:rsid w:val="69D43ED0"/>
    <w:rsid w:val="6B761CFE"/>
    <w:rsid w:val="72654401"/>
    <w:rsid w:val="75B957FE"/>
    <w:rsid w:val="7C334C91"/>
    <w:rsid w:val="7F1C0AF5"/>
    <w:rsid w:val="7F1E20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201</Words>
  <Characters>1148</Characters>
  <Lines>9</Lines>
  <Paragraphs>2</Paragraphs>
  <TotalTime>0</TotalTime>
  <ScaleCrop>false</ScaleCrop>
  <LinksUpToDate>false</LinksUpToDate>
  <CharactersWithSpaces>1347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2021-03-09T01:29:00Z</dcterms:created>
  <dc:creator>忘忧丶</dc:creator>
  <cp:lastModifiedBy>GGazVZ81PS+1gluhSjhM/77BS0Gvt913ZTJLPAWqgDvmDrRNQfwPYj31r+g+vZS3ZbS0mE8c/d9ghPgVVgpaew==</cp:lastModifiedBy>
  <dcterms:modified xsi:type="dcterms:W3CDTF">2021-06-11T02:09:44Z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