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8"/>
        </w:tabs>
        <w:spacing w:after="120" w:afterLines="50"/>
        <w:ind w:right="928" w:firstLine="0" w:firstLineChars="0"/>
        <w:jc w:val="right"/>
        <w:rPr>
          <w:rFonts w:ascii="宋体" w:hAnsi="宋体"/>
          <w:sz w:val="30"/>
          <w:szCs w:val="30"/>
        </w:rPr>
      </w:pPr>
      <w:bookmarkStart w:id="0" w:name="_Toc286386830"/>
      <w:bookmarkStart w:id="1" w:name="_Toc114052410"/>
      <w:bookmarkStart w:id="2" w:name="_Toc114052336"/>
      <w:bookmarkStart w:id="3" w:name="_Ref488050446"/>
      <w:bookmarkStart w:id="4" w:name="_Toc392862509"/>
      <w:bookmarkStart w:id="5" w:name="_Toc488050681"/>
      <w:bookmarkStart w:id="6" w:name="_Toc437544687"/>
      <w:bookmarkStart w:id="7" w:name="_Toc437544532"/>
      <w:r>
        <w:rPr>
          <w:rFonts w:hint="eastAsia" w:ascii="宋体" w:hAnsi="宋体"/>
          <w:sz w:val="30"/>
          <w:szCs w:val="30"/>
        </w:rPr>
        <w:t>【</w:t>
      </w:r>
      <w:r>
        <w:rPr>
          <w:rFonts w:hint="eastAsia" w:ascii="宋体" w:hAnsi="宋体"/>
          <w:sz w:val="30"/>
          <w:szCs w:val="30"/>
          <w:lang w:val="en-US" w:eastAsia="zh-CN"/>
        </w:rPr>
        <w:t>正</w:t>
      </w:r>
      <w:r>
        <w:rPr>
          <w:rFonts w:hint="eastAsia" w:ascii="宋体" w:hAnsi="宋体"/>
          <w:sz w:val="30"/>
          <w:szCs w:val="30"/>
        </w:rPr>
        <w:t>本】</w:t>
      </w:r>
    </w:p>
    <w:bookmarkEnd w:id="0"/>
    <w:bookmarkEnd w:id="1"/>
    <w:bookmarkEnd w:id="2"/>
    <w:p>
      <w:pPr>
        <w:jc w:val="center"/>
        <w:rPr>
          <w:rFonts w:hint="eastAsia" w:ascii="宋体" w:hAnsi="宋体"/>
          <w:b/>
          <w:sz w:val="44"/>
          <w:szCs w:val="44"/>
        </w:rPr>
      </w:pPr>
      <w:r>
        <w:rPr>
          <w:rFonts w:hint="eastAsia"/>
          <w:sz w:val="44"/>
          <w:szCs w:val="44"/>
        </w:rPr>
        <w:t>南宁轨道交</w:t>
      </w:r>
      <w:r>
        <w:rPr>
          <w:rFonts w:hint="eastAsia"/>
          <w:b w:val="0"/>
          <w:bCs w:val="0"/>
          <w:sz w:val="44"/>
          <w:szCs w:val="44"/>
        </w:rPr>
        <w:t>通集团</w:t>
      </w:r>
      <w:r>
        <w:rPr>
          <w:rFonts w:hint="eastAsia" w:ascii="宋体" w:hAnsi="宋体"/>
          <w:b w:val="0"/>
          <w:bCs w:val="0"/>
          <w:sz w:val="44"/>
          <w:szCs w:val="44"/>
        </w:rPr>
        <w:t>运营分公司</w:t>
      </w:r>
    </w:p>
    <w:p>
      <w:pPr>
        <w:jc w:val="center"/>
        <w:rPr>
          <w:rFonts w:hint="eastAsia" w:ascii="楷体_GB2312" w:eastAsia="宋体"/>
          <w:sz w:val="44"/>
          <w:szCs w:val="44"/>
        </w:rPr>
      </w:pPr>
      <w:r>
        <w:rPr>
          <w:rFonts w:hint="eastAsia" w:ascii="宋体" w:hAnsi="宋体"/>
          <w:b/>
          <w:sz w:val="44"/>
          <w:szCs w:val="44"/>
          <w:lang w:eastAsia="zh-CN"/>
        </w:rPr>
        <w:t>2020-2021年其它类型废物等危险废弃物处置项目</w:t>
      </w:r>
    </w:p>
    <w:p>
      <w:pPr>
        <w:spacing w:before="120" w:beforeLines="50" w:after="240" w:afterLines="100"/>
        <w:ind w:firstLine="2861" w:firstLineChars="950"/>
        <w:rPr>
          <w:rFonts w:ascii="宋体" w:hAnsi="宋体"/>
          <w:b/>
          <w:sz w:val="30"/>
          <w:szCs w:val="30"/>
        </w:rPr>
      </w:pPr>
    </w:p>
    <w:p>
      <w:pPr>
        <w:spacing w:before="120" w:beforeLines="50" w:after="240" w:afterLines="100"/>
        <w:ind w:firstLine="2861" w:firstLineChars="950"/>
        <w:rPr>
          <w:rFonts w:ascii="宋体" w:hAnsi="宋体"/>
          <w:b/>
          <w:sz w:val="30"/>
          <w:szCs w:val="30"/>
        </w:rPr>
      </w:pPr>
      <w:r>
        <w:rPr>
          <w:rFonts w:hint="eastAsia" w:ascii="宋体" w:hAnsi="宋体"/>
          <w:b/>
          <w:sz w:val="30"/>
          <w:szCs w:val="30"/>
        </w:rPr>
        <w:t>项目编号:</w:t>
      </w:r>
      <w:r>
        <w:rPr>
          <w:rFonts w:hint="eastAsia" w:ascii="宋体" w:hAnsi="宋体" w:eastAsia="等线"/>
          <w:sz w:val="28"/>
          <w:szCs w:val="28"/>
        </w:rPr>
        <w:t xml:space="preserve"> NNGD-YY-BJLS-202013</w:t>
      </w:r>
      <w:r>
        <w:rPr>
          <w:rFonts w:hint="eastAsia" w:ascii="宋体" w:hAnsi="宋体" w:eastAsia="等线"/>
          <w:sz w:val="28"/>
          <w:szCs w:val="28"/>
          <w:lang w:val="en-US" w:eastAsia="zh-CN"/>
        </w:rPr>
        <w:t>6</w:t>
      </w:r>
    </w:p>
    <w:p>
      <w:pPr>
        <w:spacing w:before="120" w:beforeLines="50" w:after="240" w:afterLines="100"/>
        <w:ind w:firstLine="2849" w:firstLineChars="946"/>
        <w:rPr>
          <w:rFonts w:ascii="宋体" w:hAnsi="宋体"/>
          <w:b/>
          <w:sz w:val="30"/>
          <w:szCs w:val="30"/>
        </w:rPr>
      </w:pPr>
      <w:r>
        <w:rPr>
          <w:rFonts w:hint="eastAsia" w:ascii="宋体" w:hAnsi="宋体"/>
          <w:b/>
          <w:sz w:val="30"/>
          <w:szCs w:val="30"/>
        </w:rPr>
        <w:t>合同编号:</w:t>
      </w:r>
    </w:p>
    <w:p>
      <w:pPr>
        <w:spacing w:before="120" w:beforeLines="50" w:after="240" w:afterLines="100"/>
        <w:jc w:val="center"/>
        <w:rPr>
          <w:rFonts w:ascii="宋体" w:hAnsi="宋体"/>
          <w:b/>
          <w:sz w:val="30"/>
          <w:szCs w:val="30"/>
        </w:rPr>
      </w:pPr>
    </w:p>
    <w:p>
      <w:pPr>
        <w:spacing w:line="1200" w:lineRule="exact"/>
        <w:jc w:val="center"/>
        <w:rPr>
          <w:rFonts w:ascii="楷体_GB2312" w:eastAsia="楷体_GB2312"/>
          <w:b/>
          <w:sz w:val="72"/>
          <w:szCs w:val="52"/>
        </w:rPr>
      </w:pPr>
      <w:r>
        <w:rPr>
          <w:rFonts w:hint="eastAsia"/>
          <w:b/>
          <w:sz w:val="72"/>
          <w:szCs w:val="52"/>
        </w:rPr>
        <w:t>合</w:t>
      </w:r>
    </w:p>
    <w:p>
      <w:pPr>
        <w:spacing w:line="1200" w:lineRule="exact"/>
        <w:jc w:val="center"/>
        <w:rPr>
          <w:rFonts w:ascii="宋体" w:hAnsi="宋体"/>
          <w:b/>
          <w:sz w:val="72"/>
          <w:szCs w:val="52"/>
        </w:rPr>
      </w:pPr>
      <w:r>
        <w:rPr>
          <w:rFonts w:hint="eastAsia"/>
          <w:b/>
          <w:sz w:val="72"/>
          <w:szCs w:val="52"/>
        </w:rPr>
        <w:t>同</w:t>
      </w:r>
    </w:p>
    <w:p>
      <w:pPr>
        <w:spacing w:after="120" w:afterLines="50" w:line="1200" w:lineRule="exact"/>
        <w:jc w:val="center"/>
        <w:rPr>
          <w:b/>
          <w:sz w:val="72"/>
          <w:szCs w:val="52"/>
        </w:rPr>
      </w:pPr>
      <w:r>
        <w:rPr>
          <w:rFonts w:hint="eastAsia"/>
          <w:b/>
          <w:sz w:val="72"/>
          <w:szCs w:val="52"/>
        </w:rPr>
        <w:t>书</w:t>
      </w:r>
    </w:p>
    <w:p>
      <w:pPr>
        <w:jc w:val="center"/>
        <w:rPr>
          <w:rFonts w:ascii="宋体" w:hAnsi="宋体"/>
          <w:b/>
          <w:sz w:val="52"/>
        </w:rPr>
      </w:pPr>
      <w:r>
        <w:rPr>
          <w:rFonts w:ascii="宋体" w:hAnsi="宋体"/>
          <w:b/>
          <w:sz w:val="52"/>
        </w:rPr>
        <w:drawing>
          <wp:inline distT="0" distB="0" distL="0" distR="0">
            <wp:extent cx="1647825" cy="1831340"/>
            <wp:effectExtent l="0" t="0" r="0" b="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pPr>
        <w:jc w:val="center"/>
        <w:rPr>
          <w:rFonts w:ascii="宋体" w:hAnsi="宋体"/>
          <w:b/>
          <w:sz w:val="52"/>
        </w:rPr>
      </w:pPr>
    </w:p>
    <w:p>
      <w:pPr>
        <w:spacing w:before="120" w:beforeLines="50" w:line="360" w:lineRule="auto"/>
        <w:ind w:firstLine="1405" w:firstLineChars="500"/>
        <w:rPr>
          <w:rFonts w:ascii="宋体" w:hAnsi="宋体"/>
          <w:b/>
          <w:sz w:val="28"/>
          <w:szCs w:val="28"/>
        </w:rPr>
      </w:pPr>
      <w:r>
        <w:rPr>
          <w:rFonts w:hint="eastAsia" w:ascii="宋体" w:hAnsi="宋体"/>
          <w:b/>
          <w:sz w:val="28"/>
          <w:szCs w:val="28"/>
        </w:rPr>
        <w:t>甲    方：</w:t>
      </w:r>
      <w:r>
        <w:rPr>
          <w:rFonts w:hint="eastAsia"/>
          <w:sz w:val="28"/>
          <w:szCs w:val="28"/>
        </w:rPr>
        <w:t>南宁轨道交通集团有限责任公司</w:t>
      </w:r>
    </w:p>
    <w:p>
      <w:pPr>
        <w:spacing w:before="120" w:beforeLines="50" w:line="360" w:lineRule="auto"/>
        <w:ind w:firstLine="1405" w:firstLineChars="500"/>
        <w:rPr>
          <w:rFonts w:ascii="宋体" w:hAnsi="宋体"/>
          <w:sz w:val="28"/>
          <w:szCs w:val="28"/>
        </w:rPr>
      </w:pPr>
      <w:r>
        <w:rPr>
          <w:rFonts w:hint="eastAsia" w:ascii="宋体" w:hAnsi="宋体"/>
          <w:b/>
          <w:sz w:val="28"/>
          <w:szCs w:val="28"/>
        </w:rPr>
        <w:t>乙    方：</w:t>
      </w:r>
    </w:p>
    <w:p>
      <w:pPr>
        <w:spacing w:before="120" w:beforeLines="50" w:line="360" w:lineRule="auto"/>
        <w:ind w:firstLine="1405" w:firstLineChars="500"/>
        <w:rPr>
          <w:rFonts w:ascii="宋体" w:hAnsi="宋体"/>
          <w:b/>
          <w:sz w:val="28"/>
          <w:szCs w:val="28"/>
        </w:rPr>
      </w:pPr>
      <w:r>
        <w:rPr>
          <w:rFonts w:hint="eastAsia" w:ascii="宋体" w:hAnsi="宋体"/>
          <w:b/>
          <w:sz w:val="28"/>
          <w:szCs w:val="28"/>
        </w:rPr>
        <w:t xml:space="preserve">签约日期： </w:t>
      </w:r>
      <w:r>
        <w:rPr>
          <w:rFonts w:hint="eastAsia" w:ascii="宋体" w:hAnsi="宋体"/>
          <w:b/>
          <w:bCs/>
          <w:sz w:val="28"/>
          <w:szCs w:val="28"/>
          <w:u w:val="single"/>
        </w:rPr>
        <w:t>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120" w:beforeLines="50" w:line="360" w:lineRule="auto"/>
        <w:ind w:right="-86" w:rightChars="-41" w:firstLine="1358" w:firstLineChars="483"/>
        <w:rPr>
          <w:rFonts w:ascii="宋体" w:hAnsi="宋体"/>
          <w:b/>
          <w:kern w:val="0"/>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widowControl/>
        <w:jc w:val="left"/>
        <w:rPr>
          <w:rFonts w:ascii="Cambria" w:hAnsi="Cambria"/>
          <w:b/>
          <w:bCs/>
          <w:sz w:val="24"/>
          <w:szCs w:val="32"/>
        </w:rPr>
      </w:pPr>
    </w:p>
    <w:p>
      <w:pPr>
        <w:pStyle w:val="32"/>
        <w:spacing w:before="100" w:beforeAutospacing="1" w:after="0"/>
        <w:rPr>
          <w:rFonts w:asciiTheme="minorEastAsia" w:hAnsiTheme="minorEastAsia" w:eastAsiaTheme="minorEastAsia"/>
          <w:sz w:val="28"/>
          <w:szCs w:val="28"/>
          <w:lang w:eastAsia="zh-CN"/>
        </w:rPr>
      </w:pPr>
      <w:r>
        <w:rPr>
          <w:rFonts w:hint="eastAsia" w:asciiTheme="minorEastAsia" w:hAnsiTheme="minorEastAsia" w:eastAsiaTheme="minorEastAsia"/>
          <w:sz w:val="24"/>
          <w:lang w:eastAsia="zh-CN"/>
        </w:rPr>
        <w:t xml:space="preserve"> </w:t>
      </w:r>
      <w:r>
        <w:rPr>
          <w:rFonts w:hint="eastAsia" w:asciiTheme="minorEastAsia" w:hAnsiTheme="minorEastAsia" w:eastAsiaTheme="minorEastAsia"/>
          <w:sz w:val="28"/>
          <w:szCs w:val="28"/>
        </w:rPr>
        <w:t>合</w:t>
      </w:r>
      <w:r>
        <w:rPr>
          <w:rFonts w:hint="eastAsia" w:asciiTheme="minorEastAsia" w:hAnsiTheme="minorEastAsia" w:eastAsiaTheme="minorEastAsia"/>
          <w:sz w:val="28"/>
          <w:szCs w:val="28"/>
          <w:lang w:eastAsia="zh-CN"/>
        </w:rPr>
        <w:t xml:space="preserve"> </w:t>
      </w:r>
      <w:r>
        <w:rPr>
          <w:rFonts w:hint="eastAsia" w:asciiTheme="minorEastAsia" w:hAnsiTheme="minorEastAsia" w:eastAsiaTheme="minorEastAsia"/>
          <w:sz w:val="28"/>
          <w:szCs w:val="28"/>
        </w:rPr>
        <w:t>同</w:t>
      </w:r>
      <w:r>
        <w:rPr>
          <w:rFonts w:hint="eastAsia" w:asciiTheme="minorEastAsia" w:hAnsiTheme="minorEastAsia" w:eastAsiaTheme="minorEastAsia"/>
          <w:sz w:val="28"/>
          <w:szCs w:val="28"/>
          <w:lang w:eastAsia="zh-CN"/>
        </w:rPr>
        <w:t xml:space="preserve"> 正 文</w:t>
      </w:r>
      <w:bookmarkEnd w:id="3"/>
      <w:bookmarkEnd w:id="4"/>
      <w:bookmarkEnd w:id="5"/>
      <w:bookmarkEnd w:id="6"/>
      <w:bookmarkEnd w:id="7"/>
    </w:p>
    <w:p>
      <w:pPr>
        <w:rPr>
          <w:lang w:val="zh-CN"/>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kern w:val="0"/>
                <w:sz w:val="24"/>
              </w:rPr>
            </w:pPr>
            <w:r>
              <w:rPr>
                <w:rFonts w:hint="eastAsia" w:asciiTheme="minorEastAsia" w:hAnsiTheme="minorEastAsia" w:eastAsiaTheme="minorEastAsia"/>
                <w:b/>
                <w:kern w:val="0"/>
                <w:sz w:val="24"/>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kern w:val="0"/>
                <w:sz w:val="24"/>
              </w:rPr>
            </w:pPr>
            <w:r>
              <w:rPr>
                <w:rFonts w:hint="eastAsia" w:asciiTheme="minorEastAsia" w:hAnsiTheme="minorEastAsia" w:eastAsiaTheme="minorEastAsia"/>
                <w:b/>
                <w:kern w:val="0"/>
                <w:sz w:val="24"/>
              </w:rPr>
              <w:t>乙方：</w:t>
            </w:r>
          </w:p>
        </w:tc>
      </w:tr>
    </w:tbl>
    <w:p>
      <w:pPr>
        <w:pStyle w:val="3"/>
        <w:numPr>
          <w:ilvl w:val="0"/>
          <w:numId w:val="2"/>
        </w:numPr>
        <w:spacing w:before="240" w:beforeLines="100" w:after="120" w:afterLines="50" w:line="240" w:lineRule="auto"/>
        <w:ind w:left="0" w:firstLine="0"/>
        <w:rPr>
          <w:sz w:val="24"/>
        </w:rPr>
      </w:pPr>
      <w:bookmarkStart w:id="8" w:name="_Toc369786982"/>
      <w:bookmarkStart w:id="9" w:name="_Toc488050682"/>
      <w:bookmarkStart w:id="10" w:name="_Toc437544533"/>
      <w:bookmarkStart w:id="11" w:name="_Toc369787001"/>
      <w:r>
        <w:rPr>
          <w:rFonts w:hint="eastAsia"/>
          <w:sz w:val="24"/>
        </w:rPr>
        <w:t>定义</w:t>
      </w:r>
      <w:bookmarkEnd w:id="8"/>
      <w:r>
        <w:rPr>
          <w:rFonts w:hint="eastAsia"/>
          <w:sz w:val="24"/>
        </w:rPr>
        <w:t>和法律</w:t>
      </w:r>
      <w:bookmarkEnd w:id="9"/>
      <w:bookmarkEnd w:id="10"/>
    </w:p>
    <w:p>
      <w:pPr>
        <w:pStyle w:val="47"/>
        <w:numPr>
          <w:ilvl w:val="1"/>
          <w:numId w:val="3"/>
        </w:numPr>
        <w:spacing w:before="120" w:beforeLines="50" w:after="120" w:afterLines="50"/>
        <w:ind w:firstLineChars="0"/>
        <w:rPr>
          <w:sz w:val="24"/>
        </w:rPr>
      </w:pPr>
      <w:r>
        <w:rPr>
          <w:rFonts w:hint="eastAsia"/>
          <w:sz w:val="24"/>
        </w:rPr>
        <w:t>“合同”系指甲方和乙方已签署的协议，即由双方签订的合同格式中的文件，包括所有的附件、附录和组成合同部分的所有其它文件。</w:t>
      </w:r>
    </w:p>
    <w:p>
      <w:pPr>
        <w:pStyle w:val="47"/>
        <w:numPr>
          <w:ilvl w:val="1"/>
          <w:numId w:val="3"/>
        </w:numPr>
        <w:spacing w:before="120" w:beforeLines="50" w:after="120" w:afterLines="50"/>
        <w:ind w:left="600" w:hanging="600" w:hangingChars="250"/>
        <w:rPr>
          <w:sz w:val="24"/>
        </w:rPr>
      </w:pPr>
      <w:r>
        <w:rPr>
          <w:rFonts w:hint="eastAsia"/>
          <w:sz w:val="24"/>
        </w:rPr>
        <w:t>本合同适用的是中国的法律、法规，及部门规章、项目所在地的地方法规、地方规章。</w:t>
      </w:r>
    </w:p>
    <w:p>
      <w:pPr>
        <w:pStyle w:val="3"/>
        <w:numPr>
          <w:ilvl w:val="0"/>
          <w:numId w:val="2"/>
        </w:numPr>
        <w:spacing w:before="240" w:beforeLines="100" w:after="120" w:afterLines="50" w:line="240" w:lineRule="auto"/>
        <w:ind w:left="0" w:firstLine="0"/>
        <w:rPr>
          <w:sz w:val="24"/>
        </w:rPr>
      </w:pPr>
      <w:bookmarkStart w:id="12" w:name="_Toc369786983"/>
      <w:bookmarkStart w:id="13" w:name="_Toc488050683"/>
      <w:bookmarkStart w:id="14" w:name="_Toc437544534"/>
      <w:r>
        <w:rPr>
          <w:rFonts w:hint="eastAsia"/>
          <w:sz w:val="24"/>
        </w:rPr>
        <w:t>合同标的</w:t>
      </w:r>
      <w:bookmarkEnd w:id="12"/>
      <w:bookmarkEnd w:id="13"/>
      <w:bookmarkEnd w:id="14"/>
      <w:bookmarkStart w:id="15" w:name="_Toc437544535"/>
      <w:bookmarkStart w:id="16" w:name="_Toc488050684"/>
      <w:bookmarkStart w:id="17" w:name="_Toc369786984"/>
    </w:p>
    <w:p>
      <w:pPr>
        <w:pStyle w:val="47"/>
        <w:numPr>
          <w:ilvl w:val="1"/>
          <w:numId w:val="4"/>
        </w:numPr>
        <w:spacing w:before="120" w:beforeLines="50" w:after="120" w:afterLines="50" w:line="360" w:lineRule="exact"/>
        <w:ind w:firstLineChars="0"/>
        <w:rPr>
          <w:sz w:val="24"/>
        </w:rPr>
      </w:pPr>
      <w:r>
        <w:rPr>
          <w:rFonts w:hint="eastAsia"/>
          <w:sz w:val="24"/>
        </w:rPr>
        <w:t>为贯彻执行《中华人民共和国环境保护法》和《中华人民共和国固体废物污染环境防治法》及相关法律法规，减少工业生产过程中产生的固体废物（液）对环境的污染，甲方将生产过程中产生的的</w:t>
      </w:r>
      <w:r>
        <w:rPr>
          <w:rFonts w:hint="eastAsia" w:ascii="宋体" w:hAnsi="宋体"/>
          <w:sz w:val="24"/>
          <w:szCs w:val="24"/>
        </w:rPr>
        <w:t>的</w:t>
      </w:r>
      <w:r>
        <w:rPr>
          <w:rFonts w:hint="eastAsia" w:ascii="宋体" w:hAnsi="宋体"/>
          <w:sz w:val="24"/>
          <w:szCs w:val="24"/>
          <w:lang w:eastAsia="zh-CN"/>
        </w:rPr>
        <w:t>其它类型废物</w:t>
      </w:r>
      <w:r>
        <w:rPr>
          <w:rFonts w:hint="eastAsia" w:ascii="宋体" w:hAnsi="宋体"/>
          <w:sz w:val="24"/>
          <w:szCs w:val="24"/>
        </w:rPr>
        <w:t>给乙方按照国家相关法律法规进行处理，</w:t>
      </w:r>
      <w:r>
        <w:rPr>
          <w:rFonts w:hint="eastAsia"/>
          <w:sz w:val="24"/>
        </w:rPr>
        <w:t>数量、明细等见附件</w:t>
      </w:r>
      <w:r>
        <w:rPr>
          <w:rFonts w:hint="eastAsia" w:ascii="宋体" w:hAnsi="宋体"/>
          <w:sz w:val="24"/>
        </w:rPr>
        <w:t>(一)</w:t>
      </w:r>
      <w:r>
        <w:rPr>
          <w:rFonts w:hint="eastAsia"/>
          <w:sz w:val="24"/>
        </w:rPr>
        <w:t>：《</w:t>
      </w:r>
      <w:r>
        <w:rPr>
          <w:rFonts w:hint="eastAsia"/>
          <w:sz w:val="24"/>
          <w:lang w:eastAsia="zh-CN"/>
        </w:rPr>
        <w:t>其它类型废物</w:t>
      </w:r>
      <w:r>
        <w:rPr>
          <w:rFonts w:hint="eastAsia"/>
          <w:sz w:val="24"/>
        </w:rPr>
        <w:t>处置估算清单表》。甲、乙双方经协商，在平等自愿的前提下，订立本合同。</w:t>
      </w:r>
    </w:p>
    <w:p>
      <w:pPr>
        <w:pStyle w:val="3"/>
        <w:numPr>
          <w:ilvl w:val="0"/>
          <w:numId w:val="2"/>
        </w:numPr>
        <w:spacing w:before="240" w:beforeLines="100" w:after="120" w:afterLines="50" w:line="240" w:lineRule="auto"/>
        <w:ind w:left="0" w:firstLine="0"/>
        <w:rPr>
          <w:sz w:val="24"/>
        </w:rPr>
      </w:pPr>
      <w:r>
        <w:rPr>
          <w:rFonts w:hint="eastAsia"/>
          <w:sz w:val="24"/>
        </w:rPr>
        <w:t>合同价格</w:t>
      </w:r>
      <w:bookmarkEnd w:id="15"/>
      <w:bookmarkEnd w:id="16"/>
      <w:bookmarkEnd w:id="17"/>
    </w:p>
    <w:p>
      <w:pPr>
        <w:pStyle w:val="47"/>
        <w:numPr>
          <w:ilvl w:val="1"/>
          <w:numId w:val="2"/>
        </w:numPr>
        <w:spacing w:before="120" w:beforeLines="50" w:after="120" w:afterLines="50"/>
        <w:ind w:firstLineChars="0"/>
        <w:rPr>
          <w:sz w:val="24"/>
        </w:rPr>
      </w:pPr>
      <w:bookmarkStart w:id="18" w:name="_Toc437544880"/>
      <w:bookmarkEnd w:id="18"/>
      <w:bookmarkStart w:id="19" w:name="_Toc437544536"/>
      <w:bookmarkEnd w:id="19"/>
      <w:bookmarkStart w:id="20" w:name="_Toc437544169"/>
      <w:bookmarkEnd w:id="20"/>
      <w:bookmarkStart w:id="21" w:name="_Toc437545048"/>
      <w:bookmarkEnd w:id="21"/>
      <w:bookmarkStart w:id="22" w:name="_Toc437545089"/>
      <w:bookmarkEnd w:id="22"/>
      <w:bookmarkStart w:id="23" w:name="_Toc437544763"/>
      <w:bookmarkEnd w:id="23"/>
      <w:r>
        <w:rPr>
          <w:rFonts w:hint="eastAsia"/>
          <w:sz w:val="24"/>
        </w:rPr>
        <w:t>本合同暂定为人民币（大写）：</w:t>
      </w:r>
      <w:r>
        <w:rPr>
          <w:rFonts w:hint="eastAsia"/>
          <w:sz w:val="24"/>
          <w:lang w:val="en-US" w:eastAsia="zh-CN"/>
        </w:rPr>
        <w:t>X</w:t>
      </w:r>
      <w:r>
        <w:rPr>
          <w:rFonts w:hint="eastAsia"/>
          <w:color w:val="auto"/>
          <w:sz w:val="24"/>
          <w:lang w:val="en-US" w:eastAsia="zh-CN"/>
        </w:rPr>
        <w:t>X</w:t>
      </w:r>
      <w:r>
        <w:rPr>
          <w:rFonts w:hint="eastAsia"/>
          <w:color w:val="auto"/>
          <w:sz w:val="24"/>
        </w:rPr>
        <w:t>元整（￥</w:t>
      </w:r>
      <w:r>
        <w:rPr>
          <w:rFonts w:hint="eastAsia" w:ascii="宋体" w:hAnsi="宋体"/>
          <w:color w:val="auto"/>
          <w:sz w:val="24"/>
          <w:lang w:val="en-US" w:eastAsia="zh-CN"/>
        </w:rPr>
        <w:t>XX</w:t>
      </w:r>
      <w:r>
        <w:rPr>
          <w:rFonts w:hint="eastAsia" w:ascii="宋体" w:hAnsi="宋体"/>
          <w:color w:val="auto"/>
          <w:sz w:val="24"/>
        </w:rPr>
        <w:t>）</w:t>
      </w:r>
      <w:r>
        <w:rPr>
          <w:rFonts w:hint="eastAsia"/>
          <w:color w:val="auto"/>
          <w:sz w:val="24"/>
        </w:rPr>
        <w:t>，最</w:t>
      </w:r>
      <w:r>
        <w:rPr>
          <w:rFonts w:hint="eastAsia"/>
          <w:sz w:val="24"/>
        </w:rPr>
        <w:t>终货款以单价乘以实际发生量计算，明细如下</w:t>
      </w:r>
      <w:r>
        <w:rPr>
          <w:rFonts w:hint="eastAsia"/>
          <w:sz w:val="24"/>
          <w:szCs w:val="24"/>
        </w:rPr>
        <w:t>：</w:t>
      </w:r>
    </w:p>
    <w:tbl>
      <w:tblPr>
        <w:tblStyle w:val="34"/>
        <w:tblW w:w="9851" w:type="dxa"/>
        <w:jc w:val="center"/>
        <w:tblLayout w:type="autofit"/>
        <w:tblCellMar>
          <w:top w:w="0" w:type="dxa"/>
          <w:left w:w="108" w:type="dxa"/>
          <w:bottom w:w="0" w:type="dxa"/>
          <w:right w:w="108" w:type="dxa"/>
        </w:tblCellMar>
      </w:tblPr>
      <w:tblGrid>
        <w:gridCol w:w="800"/>
        <w:gridCol w:w="1703"/>
        <w:gridCol w:w="1703"/>
        <w:gridCol w:w="1163"/>
        <w:gridCol w:w="1116"/>
        <w:gridCol w:w="1264"/>
        <w:gridCol w:w="1051"/>
        <w:gridCol w:w="1051"/>
      </w:tblGrid>
      <w:tr>
        <w:tblPrEx>
          <w:tblCellMar>
            <w:top w:w="0" w:type="dxa"/>
            <w:left w:w="108" w:type="dxa"/>
            <w:bottom w:w="0" w:type="dxa"/>
            <w:right w:w="108" w:type="dxa"/>
          </w:tblCellMar>
        </w:tblPrEx>
        <w:trPr>
          <w:trHeight w:val="717"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危险废物编号</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物料名称</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单位</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估算数量</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lang w:val="en-US" w:eastAsia="zh-CN"/>
              </w:rPr>
              <w:t>不含税</w:t>
            </w:r>
            <w:r>
              <w:rPr>
                <w:rFonts w:hint="eastAsia" w:ascii="宋体" w:hAnsi="宋体" w:cs="宋体"/>
                <w:b/>
                <w:bCs/>
                <w:kern w:val="0"/>
                <w:sz w:val="24"/>
                <w:szCs w:val="24"/>
              </w:rPr>
              <w:t>单价（元）</w:t>
            </w: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税率</w:t>
            </w:r>
          </w:p>
        </w:tc>
        <w:tc>
          <w:tcPr>
            <w:tcW w:w="10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合计（元）</w:t>
            </w:r>
          </w:p>
        </w:tc>
      </w:tr>
      <w:tr>
        <w:tblPrEx>
          <w:tblCellMar>
            <w:top w:w="0" w:type="dxa"/>
            <w:left w:w="108" w:type="dxa"/>
            <w:bottom w:w="0" w:type="dxa"/>
            <w:right w:w="108" w:type="dxa"/>
          </w:tblCellMar>
        </w:tblPrEx>
        <w:trPr>
          <w:trHeight w:val="81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kern w:val="0"/>
                <w:sz w:val="24"/>
                <w:szCs w:val="24"/>
                <w:lang w:val="en-US"/>
              </w:rPr>
            </w:pPr>
          </w:p>
        </w:tc>
        <w:tc>
          <w:tcPr>
            <w:tcW w:w="11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吨</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3.1</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81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其中</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HW12、HW39</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其它类型废物</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吨</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3.1</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0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1514"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c>
          <w:tcPr>
            <w:tcW w:w="17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7348"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1、本报价仅确定综合单价，最终数量按实际过磅计算，双方签字确认；</w:t>
            </w:r>
          </w:p>
          <w:p>
            <w:pPr>
              <w:widowControl/>
              <w:jc w:val="left"/>
              <w:rPr>
                <w:rFonts w:hint="eastAsia" w:ascii="宋体" w:hAnsi="宋体" w:cs="宋体"/>
                <w:kern w:val="0"/>
                <w:sz w:val="24"/>
                <w:szCs w:val="24"/>
              </w:rPr>
            </w:pPr>
            <w:r>
              <w:rPr>
                <w:rFonts w:hint="eastAsia" w:ascii="宋体" w:hAnsi="宋体" w:cs="宋体"/>
                <w:kern w:val="0"/>
                <w:sz w:val="24"/>
                <w:szCs w:val="24"/>
              </w:rPr>
              <w:t>2、在合同有效期内综合单价固定不变；</w:t>
            </w:r>
          </w:p>
          <w:p>
            <w:pPr>
              <w:widowControl/>
              <w:jc w:val="left"/>
              <w:rPr>
                <w:rFonts w:hint="eastAsia" w:ascii="宋体" w:hAnsi="宋体" w:cs="宋体"/>
                <w:kern w:val="0"/>
                <w:sz w:val="24"/>
                <w:szCs w:val="24"/>
              </w:rPr>
            </w:pPr>
            <w:r>
              <w:rPr>
                <w:rFonts w:hint="eastAsia" w:ascii="宋体" w:hAnsi="宋体" w:cs="宋体"/>
                <w:kern w:val="0"/>
                <w:sz w:val="24"/>
                <w:szCs w:val="24"/>
              </w:rPr>
              <w:t>3、报价方负责</w:t>
            </w:r>
            <w:r>
              <w:rPr>
                <w:rFonts w:hint="eastAsia" w:ascii="宋体" w:hAnsi="宋体" w:cs="宋体"/>
                <w:kern w:val="0"/>
                <w:sz w:val="24"/>
                <w:szCs w:val="24"/>
                <w:lang w:eastAsia="zh-CN"/>
              </w:rPr>
              <w:t>其它类型废物</w:t>
            </w:r>
            <w:r>
              <w:rPr>
                <w:rFonts w:hint="eastAsia" w:ascii="宋体" w:hAnsi="宋体" w:cs="宋体"/>
                <w:kern w:val="0"/>
                <w:sz w:val="24"/>
                <w:szCs w:val="24"/>
              </w:rPr>
              <w:t>的装卸、运输及过磅等一切费用。</w:t>
            </w:r>
          </w:p>
          <w:p>
            <w:pPr>
              <w:widowControl/>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、以上物料包含</w:t>
            </w:r>
            <w:r>
              <w:rPr>
                <w:rFonts w:hint="eastAsia" w:ascii="宋体" w:hAnsi="宋体"/>
                <w:sz w:val="24"/>
                <w:szCs w:val="24"/>
              </w:rPr>
              <w:t>回收器具</w:t>
            </w:r>
            <w:r>
              <w:rPr>
                <w:rFonts w:hint="eastAsia" w:ascii="宋体" w:hAnsi="宋体" w:cs="宋体"/>
                <w:kern w:val="0"/>
                <w:sz w:val="24"/>
                <w:szCs w:val="24"/>
              </w:rPr>
              <w:t>。</w:t>
            </w:r>
          </w:p>
        </w:tc>
      </w:tr>
    </w:tbl>
    <w:p>
      <w:pPr>
        <w:pStyle w:val="47"/>
        <w:numPr>
          <w:ilvl w:val="1"/>
          <w:numId w:val="2"/>
        </w:numPr>
        <w:spacing w:before="120" w:beforeLines="50" w:after="120" w:afterLines="50"/>
        <w:ind w:left="600" w:hanging="600" w:hangingChars="250"/>
        <w:rPr>
          <w:sz w:val="24"/>
        </w:rPr>
      </w:pPr>
      <w:r>
        <w:rPr>
          <w:rFonts w:hint="eastAsia"/>
          <w:sz w:val="24"/>
        </w:rPr>
        <w:t>本合同约定的单价为固定单价，在合同执行期间不受任何其他因素（汇率浮动、物价指数浮动、甲方调整数量等）影响，报价在合同期限内有效。</w:t>
      </w:r>
    </w:p>
    <w:p>
      <w:pPr>
        <w:pStyle w:val="47"/>
        <w:numPr>
          <w:ilvl w:val="1"/>
          <w:numId w:val="2"/>
        </w:numPr>
        <w:spacing w:before="120" w:beforeLines="50" w:after="120" w:afterLines="50"/>
        <w:ind w:left="602" w:hanging="602" w:hangingChars="250"/>
        <w:rPr>
          <w:b/>
          <w:sz w:val="24"/>
        </w:rPr>
      </w:pPr>
      <w:r>
        <w:rPr>
          <w:rFonts w:hint="eastAsia"/>
          <w:b/>
          <w:sz w:val="24"/>
        </w:rPr>
        <w:t>合同及附件中所列的数量为本次预计数量，</w:t>
      </w:r>
      <w:r>
        <w:rPr>
          <w:rFonts w:hint="eastAsia" w:ascii="宋体" w:hAnsi="宋体" w:cs="宋体"/>
          <w:b/>
          <w:kern w:val="0"/>
          <w:sz w:val="24"/>
          <w:szCs w:val="24"/>
        </w:rPr>
        <w:t>最终数量按实际过磅计算为准，</w:t>
      </w:r>
      <w:r>
        <w:rPr>
          <w:rFonts w:hint="eastAsia" w:ascii="宋体" w:hAnsi="宋体" w:cstheme="minorBidi"/>
          <w:b/>
          <w:sz w:val="24"/>
          <w:szCs w:val="28"/>
        </w:rPr>
        <w:t>不论实际数量大于或低于预计数量，均按照</w:t>
      </w:r>
      <w:r>
        <w:rPr>
          <w:rFonts w:hint="eastAsia"/>
          <w:b/>
          <w:sz w:val="24"/>
        </w:rPr>
        <w:t>本合同约定的单价执行。</w:t>
      </w:r>
    </w:p>
    <w:p>
      <w:pPr>
        <w:pStyle w:val="3"/>
        <w:numPr>
          <w:ilvl w:val="0"/>
          <w:numId w:val="2"/>
        </w:numPr>
        <w:spacing w:before="240" w:beforeLines="100" w:after="120" w:afterLines="50" w:line="240" w:lineRule="auto"/>
        <w:ind w:left="0" w:firstLine="0"/>
        <w:rPr>
          <w:sz w:val="24"/>
        </w:rPr>
      </w:pPr>
      <w:r>
        <w:rPr>
          <w:rFonts w:hint="eastAsia"/>
          <w:sz w:val="24"/>
        </w:rPr>
        <w:t>处置周期、时间要求及地点：</w:t>
      </w:r>
    </w:p>
    <w:p>
      <w:pPr>
        <w:pStyle w:val="47"/>
        <w:numPr>
          <w:ilvl w:val="1"/>
          <w:numId w:val="2"/>
        </w:numPr>
        <w:spacing w:before="120" w:beforeLines="50" w:after="120" w:afterLines="50" w:line="320" w:lineRule="exact"/>
        <w:ind w:firstLineChars="0"/>
        <w:rPr>
          <w:sz w:val="24"/>
        </w:rPr>
      </w:pPr>
      <w:r>
        <w:rPr>
          <w:rFonts w:hint="eastAsia"/>
          <w:sz w:val="24"/>
        </w:rPr>
        <w:t>处置周期及时间要求：</w:t>
      </w:r>
      <w:r>
        <w:rPr>
          <w:rFonts w:hint="eastAsia"/>
          <w:sz w:val="24"/>
          <w:szCs w:val="24"/>
        </w:rPr>
        <w:t>双方协商</w:t>
      </w:r>
      <w:r>
        <w:rPr>
          <w:rFonts w:hint="eastAsia" w:ascii="宋体" w:hAnsi="宋体"/>
          <w:sz w:val="24"/>
          <w:szCs w:val="24"/>
        </w:rPr>
        <w:t>以固定周期的方式或视甲方</w:t>
      </w:r>
      <w:r>
        <w:rPr>
          <w:rFonts w:hint="eastAsia" w:ascii="宋体" w:hAnsi="宋体"/>
          <w:sz w:val="24"/>
          <w:szCs w:val="24"/>
          <w:lang w:eastAsia="zh-CN"/>
        </w:rPr>
        <w:t>其它类型废物</w:t>
      </w:r>
      <w:r>
        <w:rPr>
          <w:rFonts w:hint="eastAsia" w:ascii="宋体" w:hAnsi="宋体"/>
          <w:sz w:val="24"/>
          <w:szCs w:val="24"/>
        </w:rPr>
        <w:t>库存量进行处置</w:t>
      </w:r>
      <w:r>
        <w:rPr>
          <w:rFonts w:hint="eastAsia"/>
          <w:sz w:val="24"/>
          <w:szCs w:val="24"/>
        </w:rPr>
        <w:t>，原则上乙方</w:t>
      </w:r>
      <w:r>
        <w:rPr>
          <w:rFonts w:hint="eastAsia" w:ascii="宋体" w:hAnsi="宋体"/>
          <w:sz w:val="24"/>
          <w:szCs w:val="24"/>
        </w:rPr>
        <w:t>在接到甲方电话通知</w:t>
      </w:r>
      <w:r>
        <w:rPr>
          <w:rFonts w:hint="eastAsia" w:ascii="宋体" w:hAnsi="宋体"/>
          <w:color w:val="FF0000"/>
          <w:sz w:val="24"/>
          <w:szCs w:val="24"/>
          <w:lang w:val="en-US" w:eastAsia="zh-CN"/>
        </w:rPr>
        <w:t>5</w:t>
      </w:r>
      <w:r>
        <w:rPr>
          <w:rFonts w:hint="eastAsia" w:ascii="宋体" w:hAnsi="宋体"/>
          <w:sz w:val="24"/>
          <w:szCs w:val="24"/>
          <w:lang w:val="en-US" w:eastAsia="zh-CN"/>
        </w:rPr>
        <w:t>个工作日</w:t>
      </w:r>
      <w:r>
        <w:rPr>
          <w:rFonts w:hint="eastAsia" w:ascii="宋体" w:hAnsi="宋体"/>
          <w:sz w:val="24"/>
          <w:szCs w:val="24"/>
        </w:rPr>
        <w:t>内处理完成，特殊情况下应配合甲方的要求当天处理与处置。</w:t>
      </w:r>
    </w:p>
    <w:p>
      <w:pPr>
        <w:pStyle w:val="47"/>
        <w:numPr>
          <w:ilvl w:val="1"/>
          <w:numId w:val="2"/>
        </w:numPr>
        <w:spacing w:before="120" w:beforeLines="50" w:after="120" w:afterLines="50" w:line="320" w:lineRule="exact"/>
        <w:ind w:firstLineChars="0"/>
        <w:rPr>
          <w:sz w:val="24"/>
        </w:rPr>
      </w:pPr>
      <w:r>
        <w:rPr>
          <w:rFonts w:hint="eastAsia"/>
          <w:sz w:val="24"/>
        </w:rPr>
        <w:t>地点：</w:t>
      </w:r>
      <w:r>
        <w:rPr>
          <w:rFonts w:hint="eastAsia" w:cs="宋体" w:asciiTheme="minorEastAsia" w:hAnsiTheme="minorEastAsia"/>
          <w:kern w:val="0"/>
          <w:sz w:val="24"/>
          <w:szCs w:val="24"/>
        </w:rPr>
        <w:t>南宁轨道交通集团运营分公司各车辆段及其它指定的</w:t>
      </w:r>
      <w:r>
        <w:rPr>
          <w:rFonts w:hint="eastAsia" w:cs="宋体" w:asciiTheme="minorEastAsia" w:hAnsiTheme="minorEastAsia"/>
          <w:kern w:val="0"/>
          <w:sz w:val="24"/>
          <w:szCs w:val="24"/>
          <w:lang w:eastAsia="zh-CN"/>
        </w:rPr>
        <w:t>其它类型废物</w:t>
      </w:r>
      <w:r>
        <w:rPr>
          <w:rFonts w:hint="eastAsia" w:cs="宋体" w:asciiTheme="minorEastAsia" w:hAnsiTheme="minorEastAsia"/>
          <w:kern w:val="0"/>
          <w:sz w:val="24"/>
          <w:szCs w:val="24"/>
        </w:rPr>
        <w:t>存放地点</w:t>
      </w:r>
    </w:p>
    <w:p>
      <w:pPr>
        <w:pStyle w:val="3"/>
        <w:numPr>
          <w:ilvl w:val="0"/>
          <w:numId w:val="2"/>
        </w:numPr>
        <w:spacing w:before="240" w:beforeLines="100" w:after="120" w:afterLines="50" w:line="240" w:lineRule="auto"/>
        <w:ind w:left="0" w:firstLine="0"/>
        <w:rPr>
          <w:sz w:val="24"/>
        </w:rPr>
      </w:pPr>
      <w:bookmarkStart w:id="24" w:name="_Toc437544547"/>
      <w:bookmarkStart w:id="25" w:name="_Toc369786994"/>
      <w:bookmarkStart w:id="26" w:name="_Toc488050693"/>
      <w:r>
        <w:rPr>
          <w:rFonts w:hint="eastAsia"/>
          <w:sz w:val="24"/>
        </w:rPr>
        <w:t>收款</w:t>
      </w:r>
      <w:bookmarkEnd w:id="24"/>
      <w:bookmarkEnd w:id="25"/>
      <w:bookmarkEnd w:id="26"/>
    </w:p>
    <w:p>
      <w:pPr>
        <w:pStyle w:val="47"/>
        <w:numPr>
          <w:ilvl w:val="1"/>
          <w:numId w:val="2"/>
        </w:numPr>
        <w:spacing w:before="120" w:beforeLines="50" w:after="120" w:afterLines="50" w:line="300" w:lineRule="exact"/>
        <w:ind w:firstLineChars="0"/>
      </w:pPr>
      <w:bookmarkStart w:id="27" w:name="_Toc369786995"/>
      <w:bookmarkStart w:id="28" w:name="_Toc437544548"/>
      <w:bookmarkStart w:id="29" w:name="_Toc488050694"/>
      <w:r>
        <w:rPr>
          <w:rFonts w:hint="eastAsia" w:asciiTheme="minorEastAsia" w:hAnsiTheme="minorEastAsia" w:eastAsiaTheme="minorEastAsia"/>
          <w:sz w:val="24"/>
          <w:szCs w:val="24"/>
        </w:rPr>
        <w:t>采用按次结算的方式。合同生效后，根据双方确认的过磅重量按次结算，乙方按每批次对应结算金额开具发票给甲方，甲方以银行转账方式支付乙方款项</w:t>
      </w:r>
    </w:p>
    <w:p>
      <w:pPr>
        <w:pStyle w:val="47"/>
        <w:numPr>
          <w:ilvl w:val="1"/>
          <w:numId w:val="2"/>
        </w:numPr>
        <w:tabs>
          <w:tab w:val="left" w:pos="709"/>
        </w:tabs>
        <w:spacing w:before="120" w:beforeLines="50" w:line="300" w:lineRule="exact"/>
        <w:ind w:firstLineChars="0"/>
        <w:rPr>
          <w:rFonts w:ascii="宋体" w:hAnsi="宋体" w:cs="宋体"/>
          <w:kern w:val="0"/>
          <w:sz w:val="24"/>
          <w:szCs w:val="24"/>
        </w:rPr>
      </w:pPr>
      <w:r>
        <w:rPr>
          <w:rFonts w:hint="eastAsia" w:ascii="宋体" w:hAnsi="宋体" w:cs="宋体"/>
          <w:kern w:val="0"/>
          <w:sz w:val="24"/>
          <w:szCs w:val="24"/>
        </w:rPr>
        <w:t>发票：</w:t>
      </w:r>
      <w:r>
        <w:rPr>
          <w:rFonts w:hint="eastAsia" w:ascii="宋体" w:hAnsi="宋体" w:cs="宋体"/>
          <w:kern w:val="0"/>
          <w:sz w:val="24"/>
          <w:szCs w:val="24"/>
          <w:lang w:val="en-US" w:eastAsia="zh-CN"/>
        </w:rPr>
        <w:t>乙方</w:t>
      </w:r>
      <w:r>
        <w:rPr>
          <w:rFonts w:hint="eastAsia" w:ascii="宋体" w:hAnsi="宋体" w:cs="宋体"/>
          <w:kern w:val="0"/>
          <w:sz w:val="24"/>
          <w:szCs w:val="24"/>
        </w:rPr>
        <w:t>按每次对应结算金额开具发票给</w:t>
      </w:r>
      <w:r>
        <w:rPr>
          <w:rFonts w:hint="eastAsia" w:ascii="宋体" w:hAnsi="宋体" w:cs="宋体"/>
          <w:kern w:val="0"/>
          <w:sz w:val="24"/>
          <w:szCs w:val="24"/>
          <w:lang w:val="en-US" w:eastAsia="zh-CN"/>
        </w:rPr>
        <w:t>甲</w:t>
      </w:r>
      <w:r>
        <w:rPr>
          <w:rFonts w:hint="eastAsia" w:ascii="宋体" w:hAnsi="宋体" w:cs="宋体"/>
          <w:kern w:val="0"/>
          <w:sz w:val="24"/>
          <w:szCs w:val="24"/>
        </w:rPr>
        <w:t>方。</w:t>
      </w:r>
    </w:p>
    <w:p>
      <w:pPr>
        <w:pStyle w:val="47"/>
        <w:numPr>
          <w:ilvl w:val="1"/>
          <w:numId w:val="2"/>
        </w:numPr>
        <w:tabs>
          <w:tab w:val="left" w:pos="709"/>
        </w:tabs>
        <w:spacing w:before="120" w:beforeLines="50" w:line="300" w:lineRule="exact"/>
        <w:ind w:firstLineChars="0"/>
        <w:rPr>
          <w:rFonts w:ascii="宋体" w:hAnsi="宋体" w:cs="宋体"/>
          <w:kern w:val="0"/>
          <w:sz w:val="24"/>
          <w:szCs w:val="24"/>
        </w:rPr>
      </w:pPr>
      <w:r>
        <w:rPr>
          <w:rFonts w:hint="eastAsia" w:ascii="宋体" w:hAnsi="宋体" w:cs="宋体"/>
          <w:kern w:val="0"/>
          <w:sz w:val="24"/>
          <w:szCs w:val="24"/>
        </w:rPr>
        <w:t>过磅事项：全程委外过磅，</w:t>
      </w:r>
      <w:r>
        <w:rPr>
          <w:rFonts w:hint="eastAsia" w:ascii="宋体" w:hAnsi="宋体" w:cs="宋体"/>
          <w:kern w:val="0"/>
          <w:sz w:val="24"/>
          <w:szCs w:val="24"/>
          <w:lang w:val="en-US" w:eastAsia="zh-CN"/>
        </w:rPr>
        <w:t>委外单位需具备第三方计量检定合格的地磅，并提供相关有效期内的计量检定证书（复印件）</w:t>
      </w:r>
      <w:r>
        <w:rPr>
          <w:rFonts w:hint="eastAsia" w:ascii="宋体" w:hAnsi="宋体" w:cs="宋体"/>
          <w:kern w:val="0"/>
          <w:sz w:val="24"/>
          <w:szCs w:val="24"/>
        </w:rPr>
        <w:t>。</w:t>
      </w:r>
    </w:p>
    <w:p>
      <w:pPr>
        <w:pStyle w:val="47"/>
        <w:numPr>
          <w:ilvl w:val="1"/>
          <w:numId w:val="2"/>
        </w:numPr>
        <w:spacing w:before="120" w:beforeLines="50" w:after="120" w:afterLines="50"/>
        <w:ind w:firstLineChars="0"/>
        <w:rPr>
          <w:rFonts w:asciiTheme="minorEastAsia" w:hAnsiTheme="minorEastAsia" w:eastAsiaTheme="minorEastAsia"/>
          <w:sz w:val="24"/>
        </w:rPr>
      </w:pPr>
      <w:r>
        <w:rPr>
          <w:rFonts w:hint="eastAsia" w:asciiTheme="minorEastAsia" w:hAnsiTheme="minorEastAsia" w:eastAsiaTheme="minorEastAsia"/>
          <w:sz w:val="24"/>
        </w:rPr>
        <w:t>本合同涉及</w:t>
      </w:r>
      <w:r>
        <w:rPr>
          <w:rFonts w:hint="eastAsia" w:asciiTheme="minorEastAsia" w:hAnsiTheme="minorEastAsia" w:eastAsiaTheme="minorEastAsia"/>
          <w:sz w:val="24"/>
          <w:lang w:val="en-US" w:eastAsia="zh-CN"/>
        </w:rPr>
        <w:t>南宁</w:t>
      </w:r>
      <w:r>
        <w:rPr>
          <w:rFonts w:hint="eastAsia" w:asciiTheme="minorEastAsia" w:hAnsiTheme="minorEastAsia" w:eastAsiaTheme="minorEastAsia"/>
          <w:sz w:val="24"/>
        </w:rPr>
        <w:t>轨道交通2号线</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南宁轨道交通3号线、</w:t>
      </w:r>
      <w:r>
        <w:rPr>
          <w:rFonts w:hint="eastAsia" w:asciiTheme="minorEastAsia" w:hAnsiTheme="minorEastAsia" w:eastAsiaTheme="minorEastAsia"/>
          <w:sz w:val="24"/>
        </w:rPr>
        <w:t>南宁轨道交通</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号线开票、收款事宜的，另行签订三方协议。</w:t>
      </w:r>
    </w:p>
    <w:p>
      <w:pPr>
        <w:pStyle w:val="3"/>
        <w:numPr>
          <w:ilvl w:val="0"/>
          <w:numId w:val="2"/>
        </w:numPr>
        <w:spacing w:before="240" w:beforeLines="100" w:after="120" w:afterLines="50" w:line="240" w:lineRule="auto"/>
        <w:ind w:left="0" w:firstLine="0"/>
        <w:rPr>
          <w:rFonts w:asciiTheme="minorEastAsia" w:hAnsiTheme="minorEastAsia" w:eastAsiaTheme="minorEastAsia"/>
          <w:b w:val="0"/>
          <w:sz w:val="24"/>
          <w:szCs w:val="24"/>
        </w:rPr>
      </w:pPr>
      <w:r>
        <w:rPr>
          <w:rFonts w:hint="eastAsia" w:ascii="宋体" w:hAnsi="宋体" w:cs="宋体"/>
          <w:kern w:val="0"/>
          <w:sz w:val="24"/>
          <w:szCs w:val="24"/>
        </w:rPr>
        <w:t>双方责</w:t>
      </w:r>
      <w:bookmarkStart w:id="30" w:name="_Toc530415489"/>
      <w:r>
        <w:rPr>
          <w:rFonts w:hint="eastAsia" w:ascii="宋体" w:hAnsi="宋体" w:cs="宋体"/>
          <w:kern w:val="0"/>
          <w:sz w:val="24"/>
          <w:szCs w:val="24"/>
        </w:rPr>
        <w:t>任</w:t>
      </w:r>
    </w:p>
    <w:p>
      <w:pPr>
        <w:pStyle w:val="47"/>
        <w:numPr>
          <w:ilvl w:val="1"/>
          <w:numId w:val="2"/>
        </w:numPr>
        <w:spacing w:before="120" w:beforeLines="50" w:after="120" w:afterLines="50" w:line="320" w:lineRule="exact"/>
        <w:ind w:firstLineChars="0"/>
        <w:rPr>
          <w:rFonts w:asciiTheme="minorEastAsia" w:hAnsiTheme="minorEastAsia" w:eastAsiaTheme="minorEastAsia"/>
          <w:sz w:val="24"/>
          <w:szCs w:val="24"/>
        </w:rPr>
      </w:pPr>
      <w:r>
        <w:rPr>
          <w:rFonts w:hint="eastAsia" w:ascii="黑体" w:hAnsi="黑体"/>
          <w:sz w:val="24"/>
        </w:rPr>
        <w:t>甲方</w:t>
      </w:r>
      <w:r>
        <w:rPr>
          <w:rFonts w:hint="eastAsia" w:ascii="黑体" w:hAnsi="黑体"/>
          <w:sz w:val="24"/>
          <w:szCs w:val="24"/>
        </w:rPr>
        <w:t>责任</w:t>
      </w:r>
      <w:bookmarkEnd w:id="30"/>
      <w:r>
        <w:rPr>
          <w:rFonts w:hint="eastAsia" w:ascii="黑体" w:hAnsi="黑体"/>
          <w:sz w:val="24"/>
          <w:szCs w:val="24"/>
        </w:rPr>
        <w:t>：</w:t>
      </w:r>
      <w:r>
        <w:rPr>
          <w:rFonts w:hint="eastAsia" w:asciiTheme="minorEastAsia" w:hAnsiTheme="minorEastAsia" w:eastAsiaTheme="minorEastAsia"/>
          <w:sz w:val="24"/>
          <w:szCs w:val="24"/>
        </w:rPr>
        <w:t>甲方将在生产过程中产生</w:t>
      </w:r>
      <w:r>
        <w:rPr>
          <w:rFonts w:hint="eastAsia" w:asciiTheme="minorEastAsia" w:hAnsiTheme="minorEastAsia" w:eastAsiaTheme="minorEastAsia"/>
          <w:sz w:val="24"/>
          <w:szCs w:val="24"/>
          <w:lang w:eastAsia="zh-CN"/>
        </w:rPr>
        <w:t>其它类型废物</w:t>
      </w:r>
      <w:r>
        <w:rPr>
          <w:rFonts w:hint="eastAsia" w:asciiTheme="minorEastAsia" w:hAnsiTheme="minorEastAsia" w:eastAsiaTheme="minorEastAsia"/>
          <w:sz w:val="24"/>
          <w:szCs w:val="24"/>
        </w:rPr>
        <w:t>交由乙方处理，合同期限内不得将本合同规定的废物料交由第三方或自行擅自处理。</w:t>
      </w:r>
      <w:r>
        <w:rPr>
          <w:rFonts w:hint="eastAsia" w:asciiTheme="minorEastAsia" w:hAnsiTheme="minorEastAsia" w:eastAsiaTheme="minorEastAsia"/>
          <w:sz w:val="24"/>
          <w:szCs w:val="24"/>
          <w:lang w:eastAsia="zh-CN"/>
        </w:rPr>
        <w:t>其它类型废物</w:t>
      </w:r>
      <w:r>
        <w:rPr>
          <w:rFonts w:hint="eastAsia" w:asciiTheme="minorEastAsia" w:hAnsiTheme="minorEastAsia" w:eastAsiaTheme="minorEastAsia"/>
          <w:sz w:val="24"/>
          <w:szCs w:val="24"/>
          <w:lang w:val="en-US" w:eastAsia="zh-CN"/>
        </w:rPr>
        <w:t>暂存点责成专人负责监督，不得将与</w:t>
      </w:r>
      <w:r>
        <w:rPr>
          <w:rFonts w:hint="eastAsia" w:asciiTheme="minorEastAsia" w:hAnsiTheme="minorEastAsia" w:eastAsiaTheme="minorEastAsia"/>
          <w:sz w:val="24"/>
          <w:szCs w:val="24"/>
          <w:lang w:eastAsia="zh-CN"/>
        </w:rPr>
        <w:t>其它类型废物</w:t>
      </w:r>
      <w:r>
        <w:rPr>
          <w:rFonts w:hint="eastAsia" w:asciiTheme="minorEastAsia" w:hAnsiTheme="minorEastAsia" w:eastAsiaTheme="minorEastAsia"/>
          <w:sz w:val="24"/>
          <w:szCs w:val="24"/>
          <w:lang w:val="en-US" w:eastAsia="zh-CN"/>
        </w:rPr>
        <w:t>无关的工件装上车，一旦查出追究暂存点负责人责任。</w:t>
      </w:r>
    </w:p>
    <w:p>
      <w:pPr>
        <w:pStyle w:val="47"/>
        <w:numPr>
          <w:ilvl w:val="1"/>
          <w:numId w:val="2"/>
        </w:numPr>
        <w:tabs>
          <w:tab w:val="left" w:pos="709"/>
        </w:tabs>
        <w:spacing w:before="120" w:beforeLines="50" w:line="320" w:lineRule="exact"/>
        <w:ind w:firstLineChars="0"/>
        <w:rPr>
          <w:rFonts w:ascii="宋体" w:hAnsi="宋体" w:cs="宋体"/>
          <w:kern w:val="0"/>
          <w:sz w:val="24"/>
          <w:szCs w:val="24"/>
        </w:rPr>
      </w:pPr>
      <w:bookmarkStart w:id="31" w:name="_Toc530415490"/>
      <w:r>
        <w:rPr>
          <w:rFonts w:hint="eastAsia" w:ascii="宋体" w:hAnsi="宋体" w:cs="宋体"/>
          <w:kern w:val="0"/>
          <w:sz w:val="24"/>
          <w:szCs w:val="24"/>
        </w:rPr>
        <w:t>乙方责任</w:t>
      </w:r>
      <w:bookmarkEnd w:id="31"/>
      <w:r>
        <w:rPr>
          <w:rFonts w:hint="eastAsia" w:ascii="宋体" w:hAnsi="宋体" w:cs="宋体"/>
          <w:kern w:val="0"/>
          <w:sz w:val="24"/>
          <w:szCs w:val="24"/>
        </w:rPr>
        <w:t>：</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在合同的有效期内，乙方必须保证所持的许可证、执照、证书或批准书有效，并提供有关证照的复印件给甲方备案，</w:t>
      </w:r>
      <w:r>
        <w:rPr>
          <w:rFonts w:hint="eastAsia" w:ascii="宋体" w:hAnsi="宋体" w:cstheme="minorBidi"/>
          <w:sz w:val="24"/>
          <w:szCs w:val="28"/>
        </w:rPr>
        <w:t>如在合同期限内，证书过期或无效，甲方可无条件解除合同。</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w:t>
      </w:r>
      <w:r>
        <w:rPr>
          <w:rFonts w:hint="eastAsia" w:ascii="宋体" w:hAnsi="宋体" w:cs="宋体"/>
          <w:kern w:val="0"/>
          <w:sz w:val="24"/>
          <w:szCs w:val="24"/>
        </w:rPr>
        <w:t>方应自备具有道路危险货物运输许可证的运输车辆，负责</w:t>
      </w:r>
      <w:r>
        <w:rPr>
          <w:rFonts w:hint="eastAsia" w:ascii="宋体" w:hAnsi="宋体" w:cs="宋体"/>
          <w:kern w:val="0"/>
          <w:sz w:val="24"/>
          <w:szCs w:val="24"/>
          <w:lang w:val="en-US" w:eastAsia="zh-CN"/>
        </w:rPr>
        <w:t>其它类型废物</w:t>
      </w:r>
      <w:r>
        <w:rPr>
          <w:rFonts w:hint="eastAsia" w:ascii="宋体" w:hAnsi="宋体" w:cs="宋体"/>
          <w:kern w:val="0"/>
          <w:sz w:val="24"/>
          <w:szCs w:val="24"/>
        </w:rPr>
        <w:t>的装卸、运输及过磅等一切费用，按双方商议的计划到指定地点收取</w:t>
      </w:r>
      <w:r>
        <w:rPr>
          <w:rFonts w:hint="eastAsia" w:ascii="宋体" w:hAnsi="宋体" w:cs="宋体"/>
          <w:kern w:val="0"/>
          <w:sz w:val="24"/>
          <w:szCs w:val="24"/>
          <w:lang w:val="en-US" w:eastAsia="zh-CN"/>
        </w:rPr>
        <w:t>其它类型废物</w:t>
      </w:r>
      <w:r>
        <w:rPr>
          <w:rFonts w:hint="eastAsia" w:ascii="宋体" w:hAnsi="宋体" w:cs="宋体"/>
          <w:kern w:val="0"/>
          <w:sz w:val="24"/>
          <w:szCs w:val="24"/>
        </w:rPr>
        <w:t>，及时清理现场（因提货发生的清洁卫生</w:t>
      </w:r>
      <w:r>
        <w:rPr>
          <w:rFonts w:ascii="宋体" w:hAnsi="宋体" w:cs="宋体"/>
          <w:kern w:val="0"/>
          <w:sz w:val="24"/>
          <w:szCs w:val="24"/>
        </w:rPr>
        <w:t>）</w:t>
      </w:r>
      <w:r>
        <w:rPr>
          <w:rFonts w:hint="eastAsia" w:ascii="宋体" w:hAnsi="宋体" w:cs="宋体"/>
          <w:kern w:val="0"/>
          <w:sz w:val="24"/>
          <w:szCs w:val="24"/>
        </w:rPr>
        <w:t>；</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乙方运输车辆的司机与装卸员工，在甲方厂区内应文明作业，遵守甲方的安全卫生制度；</w:t>
      </w:r>
    </w:p>
    <w:p>
      <w:pPr>
        <w:pStyle w:val="47"/>
        <w:numPr>
          <w:ilvl w:val="0"/>
          <w:numId w:val="5"/>
        </w:numPr>
        <w:spacing w:before="120" w:beforeLines="50" w:after="120" w:afterLines="50" w:line="32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乙方在运输过程中不得沿途丢弃、遗撒废物。</w:t>
      </w:r>
    </w:p>
    <w:p>
      <w:pPr>
        <w:pStyle w:val="47"/>
        <w:numPr>
          <w:ilvl w:val="0"/>
          <w:numId w:val="5"/>
        </w:numPr>
        <w:spacing w:before="120" w:beforeLines="50" w:after="120" w:afterLines="50" w:line="320" w:lineRule="exact"/>
        <w:ind w:firstLineChars="0"/>
        <w:rPr>
          <w:rFonts w:ascii="宋体" w:hAnsi="宋体" w:cstheme="minorBidi"/>
          <w:sz w:val="24"/>
          <w:szCs w:val="28"/>
        </w:rPr>
      </w:pPr>
      <w:r>
        <w:rPr>
          <w:rFonts w:hint="eastAsia" w:ascii="宋体" w:hAnsi="宋体" w:cstheme="minorBidi"/>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pPr>
        <w:pStyle w:val="47"/>
        <w:numPr>
          <w:ilvl w:val="0"/>
          <w:numId w:val="5"/>
        </w:numPr>
        <w:spacing w:before="120" w:beforeLines="50" w:after="120" w:afterLines="50" w:line="320" w:lineRule="exact"/>
        <w:ind w:firstLineChars="0"/>
        <w:rPr>
          <w:rFonts w:ascii="宋体" w:hAnsi="宋体" w:cstheme="minorBidi"/>
          <w:sz w:val="24"/>
          <w:szCs w:val="28"/>
        </w:rPr>
      </w:pPr>
      <w:r>
        <w:rPr>
          <w:rFonts w:hint="eastAsia" w:ascii="宋体" w:hAnsi="宋体" w:cstheme="minorBidi"/>
          <w:sz w:val="24"/>
          <w:szCs w:val="28"/>
        </w:rPr>
        <w:t>乙方承担本项目危险废物转移、转运、处理与处置过程中产生的安全事故、环境污染事故、交通事故等一切责任和后果。</w:t>
      </w:r>
    </w:p>
    <w:p>
      <w:pPr>
        <w:pStyle w:val="3"/>
        <w:numPr>
          <w:ilvl w:val="0"/>
          <w:numId w:val="2"/>
        </w:numPr>
        <w:spacing w:before="240" w:beforeLines="100" w:after="120" w:afterLines="50" w:line="240" w:lineRule="auto"/>
        <w:ind w:left="0" w:firstLine="0"/>
        <w:rPr>
          <w:sz w:val="24"/>
        </w:rPr>
      </w:pPr>
      <w:r>
        <w:rPr>
          <w:rFonts w:hint="eastAsia"/>
          <w:sz w:val="24"/>
        </w:rPr>
        <w:t>违约责任</w:t>
      </w:r>
      <w:bookmarkEnd w:id="27"/>
      <w:bookmarkEnd w:id="28"/>
      <w:bookmarkEnd w:id="29"/>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0"/>
          <w:numId w:val="6"/>
        </w:numPr>
        <w:ind w:firstLineChars="0"/>
        <w:rPr>
          <w:rFonts w:ascii="宋体" w:hAnsi="宋体"/>
          <w:vanish/>
          <w:kern w:val="0"/>
          <w:sz w:val="24"/>
        </w:rPr>
      </w:pP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任何一方违反本合同的规定，违约方必须向守约方支付违约金人民币10000元，守约方有权要求违约方修正违约行为，并有权视情况而解除合同。造成守约方其他损失的，还应赔偿损失。</w:t>
      </w: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乙方逾期运输废物导致影响甲方的生产经营的，每逾期一日按应运输的货物总值5‰支付滞纳金给甲方。</w:t>
      </w:r>
    </w:p>
    <w:p>
      <w:pPr>
        <w:pStyle w:val="47"/>
        <w:numPr>
          <w:ilvl w:val="1"/>
          <w:numId w:val="2"/>
        </w:numPr>
        <w:spacing w:before="120" w:beforeLines="50" w:after="120" w:afterLines="50" w:line="3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一方无故撤消合同，违约方应双倍支付违约金给守约方。若造成守约方损失的，还应赔偿实际损失。</w:t>
      </w:r>
    </w:p>
    <w:p>
      <w:pPr>
        <w:pStyle w:val="47"/>
        <w:numPr>
          <w:ilvl w:val="1"/>
          <w:numId w:val="2"/>
        </w:numPr>
        <w:spacing w:before="120" w:beforeLines="50" w:after="120" w:afterLines="50" w:line="300" w:lineRule="exact"/>
        <w:ind w:firstLineChars="0"/>
        <w:rPr>
          <w:rFonts w:asciiTheme="minorEastAsia" w:hAnsiTheme="minorEastAsia" w:eastAsiaTheme="minorEastAsia"/>
          <w:color w:val="auto"/>
          <w:sz w:val="24"/>
          <w:szCs w:val="24"/>
        </w:rPr>
      </w:pPr>
      <w:bookmarkStart w:id="45" w:name="_GoBack"/>
      <w:r>
        <w:rPr>
          <w:rFonts w:hint="eastAsia" w:asciiTheme="minorEastAsia" w:hAnsiTheme="minorEastAsia" w:eastAsiaTheme="minorEastAsia"/>
          <w:color w:val="auto"/>
          <w:sz w:val="24"/>
          <w:szCs w:val="24"/>
        </w:rPr>
        <w:t>若处理的设施、设备不符合国家法律、法规对处理危险废物的技术要求，并在运输和处置过程中产生二次污染，若不能将产生的废物得到正确处理和处置，乙方自行承担</w:t>
      </w:r>
      <w:r>
        <w:rPr>
          <w:rFonts w:hint="eastAsia" w:asciiTheme="minorEastAsia" w:hAnsiTheme="minorEastAsia" w:eastAsiaTheme="minorEastAsia"/>
          <w:color w:val="auto"/>
          <w:sz w:val="24"/>
          <w:szCs w:val="24"/>
          <w:lang w:val="en-US" w:eastAsia="zh-CN"/>
        </w:rPr>
        <w:t>相关法律责任</w:t>
      </w:r>
      <w:r>
        <w:rPr>
          <w:rFonts w:hint="eastAsia" w:asciiTheme="minorEastAsia" w:hAnsiTheme="minorEastAsia" w:eastAsiaTheme="minorEastAsia"/>
          <w:color w:val="auto"/>
          <w:sz w:val="24"/>
          <w:szCs w:val="24"/>
        </w:rPr>
        <w:t>。</w:t>
      </w:r>
    </w:p>
    <w:bookmarkEnd w:id="45"/>
    <w:p>
      <w:pPr>
        <w:pStyle w:val="3"/>
        <w:numPr>
          <w:ilvl w:val="0"/>
          <w:numId w:val="2"/>
        </w:numPr>
        <w:spacing w:before="240" w:beforeLines="100" w:after="120" w:afterLines="50" w:line="240" w:lineRule="auto"/>
        <w:ind w:left="0" w:firstLine="0"/>
        <w:rPr>
          <w:sz w:val="24"/>
        </w:rPr>
      </w:pPr>
      <w:bookmarkStart w:id="32" w:name="_Toc437544549"/>
      <w:bookmarkStart w:id="33" w:name="_Toc369786996"/>
      <w:bookmarkStart w:id="34" w:name="_Toc488050695"/>
      <w:r>
        <w:rPr>
          <w:rFonts w:hint="eastAsia"/>
          <w:sz w:val="24"/>
        </w:rPr>
        <w:t>不可抗力</w:t>
      </w:r>
      <w:bookmarkEnd w:id="32"/>
      <w:bookmarkEnd w:id="33"/>
      <w:bookmarkEnd w:id="34"/>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0"/>
          <w:numId w:val="7"/>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pPr>
        <w:pStyle w:val="47"/>
        <w:numPr>
          <w:ilvl w:val="1"/>
          <w:numId w:val="2"/>
        </w:numPr>
        <w:spacing w:before="120" w:beforeLines="50" w:after="120" w:afterLines="5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2"/>
        </w:numPr>
        <w:spacing w:before="120" w:beforeLines="50" w:after="120" w:afterLines="50"/>
        <w:ind w:firstLineChars="0"/>
        <w:rPr>
          <w:sz w:val="24"/>
        </w:rPr>
      </w:pPr>
      <w:r>
        <w:rPr>
          <w:rFonts w:hint="eastAsia"/>
          <w:sz w:val="24"/>
        </w:rPr>
        <w:t>发生不可抗力事件时，双方应各自承担不可抗力事件对其造成的损失。</w:t>
      </w:r>
    </w:p>
    <w:p>
      <w:pPr>
        <w:pStyle w:val="47"/>
        <w:numPr>
          <w:ilvl w:val="1"/>
          <w:numId w:val="2"/>
        </w:numPr>
        <w:spacing w:before="120" w:beforeLines="50" w:after="120" w:afterLines="50"/>
        <w:ind w:firstLineChars="0"/>
        <w:rPr>
          <w:sz w:val="24"/>
        </w:rPr>
      </w:pPr>
      <w:r>
        <w:rPr>
          <w:rFonts w:hint="eastAsia"/>
          <w:sz w:val="24"/>
        </w:rPr>
        <w:t>若不可抗力发生使合同执行受阻，则合同执行时间根据受影响的时间相应延长，但合同价格不得调整。</w:t>
      </w:r>
    </w:p>
    <w:p>
      <w:pPr>
        <w:pStyle w:val="47"/>
        <w:numPr>
          <w:ilvl w:val="1"/>
          <w:numId w:val="2"/>
        </w:numPr>
        <w:spacing w:before="120" w:beforeLines="50" w:after="120" w:afterLines="50"/>
        <w:ind w:firstLineChars="0"/>
        <w:rPr>
          <w:sz w:val="24"/>
        </w:rPr>
      </w:pPr>
      <w:r>
        <w:rPr>
          <w:rFonts w:hint="eastAsia"/>
          <w:sz w:val="24"/>
        </w:rPr>
        <w:t>一旦不可抗力事件的影响持续60天以上，双方应通过友好协商在合理的时间内达成一致的处理办法。</w:t>
      </w:r>
    </w:p>
    <w:p>
      <w:pPr>
        <w:pStyle w:val="47"/>
        <w:numPr>
          <w:ilvl w:val="1"/>
          <w:numId w:val="2"/>
        </w:numPr>
        <w:spacing w:before="120" w:beforeLines="50" w:after="120" w:afterLines="50"/>
        <w:ind w:firstLineChars="0"/>
        <w:rPr>
          <w:sz w:val="24"/>
        </w:rPr>
      </w:pPr>
      <w:r>
        <w:rPr>
          <w:rFonts w:hint="eastAsia"/>
          <w:sz w:val="24"/>
        </w:rPr>
        <w:t>迟延履行期间发生的不可抗力不具有免责效力。</w:t>
      </w: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47"/>
        <w:numPr>
          <w:ilvl w:val="0"/>
          <w:numId w:val="8"/>
        </w:numPr>
        <w:ind w:firstLineChars="0"/>
        <w:rPr>
          <w:rFonts w:ascii="宋体" w:hAnsi="宋体"/>
          <w:vanish/>
          <w:kern w:val="0"/>
          <w:sz w:val="24"/>
        </w:rPr>
      </w:pPr>
    </w:p>
    <w:p>
      <w:pPr>
        <w:pStyle w:val="3"/>
        <w:numPr>
          <w:ilvl w:val="0"/>
          <w:numId w:val="2"/>
        </w:numPr>
        <w:spacing w:before="240" w:beforeLines="100" w:after="120" w:afterLines="50" w:line="240" w:lineRule="auto"/>
        <w:ind w:left="0" w:firstLine="0"/>
        <w:rPr>
          <w:sz w:val="24"/>
        </w:rPr>
      </w:pPr>
      <w:bookmarkStart w:id="35" w:name="_Toc369786998"/>
      <w:bookmarkStart w:id="36" w:name="_Toc488050697"/>
      <w:bookmarkStart w:id="37" w:name="_Toc437544551"/>
      <w:r>
        <w:rPr>
          <w:rFonts w:hint="eastAsia"/>
          <w:sz w:val="24"/>
        </w:rPr>
        <w:t>变更指示</w:t>
      </w:r>
      <w:bookmarkEnd w:id="35"/>
      <w:bookmarkEnd w:id="36"/>
      <w:bookmarkEnd w:id="37"/>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0"/>
          <w:numId w:val="9"/>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pPr>
        <w:pStyle w:val="47"/>
        <w:numPr>
          <w:ilvl w:val="1"/>
          <w:numId w:val="2"/>
        </w:numPr>
        <w:spacing w:before="120" w:beforeLines="50" w:after="120" w:afterLines="50"/>
        <w:ind w:firstLineChars="0"/>
        <w:rPr>
          <w:sz w:val="24"/>
        </w:rPr>
      </w:pPr>
      <w:r>
        <w:rPr>
          <w:rFonts w:hint="eastAsia"/>
          <w:sz w:val="24"/>
        </w:rPr>
        <w:t>对合同条款做出任何改动或偏离，均须由甲乙双方签署书面协议或合同。</w:t>
      </w:r>
    </w:p>
    <w:p>
      <w:pPr>
        <w:pStyle w:val="3"/>
        <w:numPr>
          <w:ilvl w:val="0"/>
          <w:numId w:val="2"/>
        </w:numPr>
        <w:spacing w:before="240" w:beforeLines="100" w:after="120" w:afterLines="50" w:line="240" w:lineRule="auto"/>
        <w:ind w:left="0" w:firstLine="0"/>
        <w:rPr>
          <w:sz w:val="24"/>
        </w:rPr>
      </w:pPr>
      <w:bookmarkStart w:id="38" w:name="_Toc437544553"/>
      <w:bookmarkStart w:id="39" w:name="_Toc488050699"/>
      <w:bookmarkStart w:id="40" w:name="_Toc369787000"/>
      <w:r>
        <w:rPr>
          <w:rFonts w:hint="eastAsia"/>
          <w:sz w:val="24"/>
        </w:rPr>
        <w:t>争端处理</w:t>
      </w:r>
      <w:bookmarkEnd w:id="38"/>
      <w:bookmarkEnd w:id="39"/>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pStyle w:val="47"/>
        <w:numPr>
          <w:ilvl w:val="0"/>
          <w:numId w:val="10"/>
        </w:numPr>
        <w:ind w:firstLineChars="0"/>
        <w:rPr>
          <w:rFonts w:ascii="宋体" w:hAnsi="宋体"/>
          <w:vanish/>
          <w:kern w:val="0"/>
          <w:sz w:val="24"/>
        </w:rPr>
      </w:pPr>
    </w:p>
    <w:p>
      <w:pPr>
        <w:spacing w:before="120" w:beforeLines="50" w:line="360" w:lineRule="auto"/>
        <w:rPr>
          <w:rFonts w:ascii="宋体" w:hAnsi="宋体"/>
          <w:kern w:val="0"/>
          <w:sz w:val="24"/>
        </w:rPr>
      </w:pPr>
      <w:r>
        <w:rPr>
          <w:rFonts w:hint="eastAsia" w:ascii="宋体" w:hAnsi="宋体"/>
          <w:kern w:val="0"/>
          <w:sz w:val="24"/>
        </w:rPr>
        <w:t>本合同发生争议，由双方友好协商解决，协商不成，依法向甲方所在地人民法院提起诉讼。</w:t>
      </w:r>
    </w:p>
    <w:p>
      <w:pPr>
        <w:pStyle w:val="3"/>
        <w:numPr>
          <w:ilvl w:val="0"/>
          <w:numId w:val="2"/>
        </w:numPr>
        <w:spacing w:before="240" w:beforeLines="100" w:after="120" w:afterLines="50" w:line="240" w:lineRule="auto"/>
        <w:ind w:left="0" w:firstLine="0"/>
        <w:rPr>
          <w:rFonts w:ascii="宋体" w:hAnsi="宋体"/>
          <w:kern w:val="0"/>
          <w:sz w:val="24"/>
        </w:rPr>
      </w:pPr>
      <w:r>
        <w:rPr>
          <w:rFonts w:hint="eastAsia" w:ascii="宋体" w:hAnsi="宋体"/>
          <w:kern w:val="0"/>
          <w:sz w:val="24"/>
        </w:rPr>
        <w:t>合同期限：</w:t>
      </w:r>
      <w:bookmarkStart w:id="41" w:name="_Toc530415493"/>
      <w:r>
        <w:rPr>
          <w:rFonts w:hint="eastAsia" w:asciiTheme="minorEastAsia" w:hAnsiTheme="minorEastAsia" w:eastAsiaTheme="minorEastAsia"/>
          <w:sz w:val="24"/>
          <w:szCs w:val="24"/>
        </w:rPr>
        <w:t>自合同签订日期至2021年12月31日</w:t>
      </w:r>
      <w:bookmarkEnd w:id="41"/>
      <w:r>
        <w:rPr>
          <w:rFonts w:hint="eastAsia" w:asciiTheme="minorEastAsia" w:hAnsiTheme="minorEastAsia" w:eastAsiaTheme="minorEastAsia"/>
          <w:sz w:val="24"/>
          <w:szCs w:val="24"/>
          <w:lang w:eastAsia="zh-CN"/>
        </w:rPr>
        <w:t>。</w:t>
      </w:r>
    </w:p>
    <w:bookmarkEnd w:id="40"/>
    <w:p>
      <w:pPr>
        <w:pStyle w:val="3"/>
        <w:numPr>
          <w:ilvl w:val="0"/>
          <w:numId w:val="2"/>
        </w:numPr>
        <w:spacing w:before="240" w:beforeLines="100" w:after="120" w:afterLines="50" w:line="240" w:lineRule="auto"/>
        <w:ind w:left="0" w:firstLine="0"/>
        <w:rPr>
          <w:sz w:val="24"/>
        </w:rPr>
      </w:pPr>
      <w:bookmarkStart w:id="42" w:name="_Toc437544554"/>
      <w:bookmarkStart w:id="43" w:name="_Toc488050700"/>
      <w:r>
        <w:rPr>
          <w:rFonts w:hint="eastAsia"/>
          <w:sz w:val="24"/>
        </w:rPr>
        <w:t>合同生效及其它</w:t>
      </w:r>
      <w:bookmarkEnd w:id="42"/>
      <w:bookmarkEnd w:id="43"/>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0"/>
          <w:numId w:val="11"/>
        </w:numPr>
        <w:ind w:firstLineChars="0"/>
        <w:rPr>
          <w:rFonts w:ascii="宋体" w:hAnsi="宋体"/>
          <w:vanish/>
          <w:kern w:val="0"/>
          <w:sz w:val="24"/>
        </w:rPr>
      </w:pPr>
    </w:p>
    <w:p>
      <w:pPr>
        <w:pStyle w:val="47"/>
        <w:numPr>
          <w:ilvl w:val="1"/>
          <w:numId w:val="2"/>
        </w:numPr>
        <w:spacing w:before="120" w:beforeLines="50" w:after="120" w:afterLines="50"/>
        <w:ind w:firstLineChars="0"/>
        <w:rPr>
          <w:sz w:val="24"/>
        </w:rPr>
      </w:pPr>
      <w:r>
        <w:rPr>
          <w:rFonts w:hint="eastAsia"/>
          <w:sz w:val="24"/>
        </w:rPr>
        <w:t>本合同在甲、乙双方签字盖章后生效。</w:t>
      </w:r>
    </w:p>
    <w:p>
      <w:pPr>
        <w:pStyle w:val="47"/>
        <w:numPr>
          <w:ilvl w:val="1"/>
          <w:numId w:val="2"/>
        </w:numPr>
        <w:spacing w:before="120" w:beforeLines="50" w:after="120" w:afterLines="50"/>
        <w:ind w:firstLineChars="0"/>
        <w:rPr>
          <w:sz w:val="24"/>
        </w:rPr>
      </w:pPr>
      <w:r>
        <w:rPr>
          <w:rFonts w:hint="eastAsia"/>
          <w:sz w:val="24"/>
        </w:rPr>
        <w:t>下列合同附件为本合同不可分割的部分并与本合同具有同等效力：</w:t>
      </w:r>
    </w:p>
    <w:p>
      <w:pPr>
        <w:pStyle w:val="47"/>
        <w:numPr>
          <w:ilvl w:val="2"/>
          <w:numId w:val="2"/>
        </w:numPr>
        <w:ind w:left="811" w:hanging="811" w:hangingChars="338"/>
        <w:rPr>
          <w:sz w:val="24"/>
        </w:rPr>
      </w:pPr>
      <w:r>
        <w:rPr>
          <w:rFonts w:hint="eastAsia"/>
          <w:sz w:val="24"/>
        </w:rPr>
        <w:t>附件一《</w:t>
      </w:r>
      <w:r>
        <w:rPr>
          <w:rFonts w:hint="eastAsia"/>
          <w:sz w:val="24"/>
          <w:lang w:eastAsia="zh-CN"/>
        </w:rPr>
        <w:t>其它类型废物</w:t>
      </w:r>
      <w:r>
        <w:rPr>
          <w:rFonts w:hint="eastAsia"/>
          <w:sz w:val="24"/>
        </w:rPr>
        <w:t>处置估算清单表》；</w:t>
      </w:r>
    </w:p>
    <w:p>
      <w:pPr>
        <w:pStyle w:val="47"/>
        <w:numPr>
          <w:ilvl w:val="2"/>
          <w:numId w:val="2"/>
        </w:numPr>
        <w:ind w:left="811" w:hanging="811" w:hangingChars="338"/>
        <w:rPr>
          <w:sz w:val="24"/>
        </w:rPr>
      </w:pPr>
      <w:r>
        <w:rPr>
          <w:rFonts w:hint="eastAsia"/>
          <w:sz w:val="24"/>
        </w:rPr>
        <w:t>附件二 《廉政合同》。</w:t>
      </w:r>
    </w:p>
    <w:p>
      <w:pPr>
        <w:pStyle w:val="47"/>
        <w:numPr>
          <w:ilvl w:val="1"/>
          <w:numId w:val="2"/>
        </w:numPr>
        <w:spacing w:before="120" w:beforeLines="50" w:after="120" w:afterLines="5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pPr>
        <w:pStyle w:val="47"/>
        <w:numPr>
          <w:ilvl w:val="2"/>
          <w:numId w:val="2"/>
        </w:numPr>
        <w:ind w:left="811" w:hanging="811" w:hangingChars="338"/>
        <w:rPr>
          <w:sz w:val="24"/>
        </w:rPr>
      </w:pPr>
      <w:r>
        <w:rPr>
          <w:rFonts w:hint="eastAsia"/>
          <w:sz w:val="24"/>
        </w:rPr>
        <w:t>本合同文本及附件；</w:t>
      </w:r>
    </w:p>
    <w:p>
      <w:pPr>
        <w:pStyle w:val="47"/>
        <w:numPr>
          <w:ilvl w:val="2"/>
          <w:numId w:val="2"/>
        </w:numPr>
        <w:ind w:left="811" w:hanging="811" w:hangingChars="338"/>
        <w:rPr>
          <w:sz w:val="24"/>
        </w:rPr>
      </w:pPr>
      <w:r>
        <w:rPr>
          <w:rFonts w:hint="eastAsia"/>
          <w:sz w:val="24"/>
        </w:rPr>
        <w:t>比价过程中的澄清文件；</w:t>
      </w:r>
    </w:p>
    <w:p>
      <w:pPr>
        <w:pStyle w:val="47"/>
        <w:numPr>
          <w:ilvl w:val="2"/>
          <w:numId w:val="2"/>
        </w:numPr>
        <w:ind w:left="811" w:hanging="811" w:hangingChars="338"/>
        <w:rPr>
          <w:sz w:val="24"/>
        </w:rPr>
      </w:pPr>
      <w:r>
        <w:rPr>
          <w:rFonts w:hint="eastAsia"/>
          <w:sz w:val="24"/>
        </w:rPr>
        <w:t>本项目</w:t>
      </w:r>
      <w:r>
        <w:rPr>
          <w:sz w:val="24"/>
        </w:rPr>
        <w:t>比价采购公告</w:t>
      </w:r>
      <w:r>
        <w:rPr>
          <w:rFonts w:hint="eastAsia"/>
          <w:sz w:val="24"/>
        </w:rPr>
        <w:t>及其附件；</w:t>
      </w:r>
    </w:p>
    <w:p>
      <w:pPr>
        <w:pStyle w:val="47"/>
        <w:numPr>
          <w:ilvl w:val="2"/>
          <w:numId w:val="2"/>
        </w:numPr>
        <w:ind w:left="811" w:hanging="811" w:hangingChars="338"/>
        <w:rPr>
          <w:sz w:val="24"/>
        </w:rPr>
      </w:pPr>
      <w:r>
        <w:rPr>
          <w:rFonts w:hint="eastAsia"/>
          <w:sz w:val="24"/>
        </w:rPr>
        <w:t>本项目</w:t>
      </w:r>
      <w:r>
        <w:rPr>
          <w:sz w:val="24"/>
        </w:rPr>
        <w:t>乙方</w:t>
      </w:r>
      <w:r>
        <w:rPr>
          <w:rFonts w:hint="eastAsia"/>
          <w:sz w:val="24"/>
        </w:rPr>
        <w:t>报价申请文件；</w:t>
      </w:r>
    </w:p>
    <w:p>
      <w:pPr>
        <w:pStyle w:val="47"/>
        <w:numPr>
          <w:ilvl w:val="2"/>
          <w:numId w:val="2"/>
        </w:numPr>
        <w:ind w:left="811" w:hanging="811" w:hangingChars="338"/>
        <w:rPr>
          <w:sz w:val="24"/>
        </w:rPr>
      </w:pPr>
      <w:r>
        <w:rPr>
          <w:rFonts w:hint="eastAsia"/>
          <w:sz w:val="24"/>
        </w:rPr>
        <w:t>南宁轨道交通集团有限责任公司制定的相关文件。</w:t>
      </w:r>
    </w:p>
    <w:p>
      <w:pPr>
        <w:pStyle w:val="47"/>
        <w:numPr>
          <w:ilvl w:val="1"/>
          <w:numId w:val="2"/>
        </w:numPr>
        <w:spacing w:before="120" w:beforeLines="50" w:after="120" w:afterLines="50"/>
        <w:ind w:firstLineChars="0"/>
        <w:rPr>
          <w:sz w:val="24"/>
        </w:rPr>
      </w:pPr>
      <w:r>
        <w:rPr>
          <w:rFonts w:hint="eastAsia"/>
          <w:sz w:val="24"/>
        </w:rPr>
        <w:t>本合同正本</w:t>
      </w:r>
      <w:r>
        <w:rPr>
          <w:sz w:val="24"/>
        </w:rPr>
        <w:t>2</w:t>
      </w:r>
      <w:r>
        <w:rPr>
          <w:rFonts w:hint="eastAsia"/>
          <w:sz w:val="24"/>
        </w:rPr>
        <w:t>份，甲、乙双方各执</w:t>
      </w:r>
      <w:r>
        <w:rPr>
          <w:sz w:val="24"/>
        </w:rPr>
        <w:t>1</w:t>
      </w:r>
      <w:r>
        <w:rPr>
          <w:rFonts w:hint="eastAsia"/>
          <w:sz w:val="24"/>
        </w:rPr>
        <w:t>份；副本8份，甲方执7份，乙方执1份；正副本均具有同等法律效力。若正本与副本内容有偏离时，以正本为准。</w:t>
      </w:r>
    </w:p>
    <w:p>
      <w:pPr>
        <w:pStyle w:val="47"/>
        <w:widowControl/>
        <w:numPr>
          <w:ilvl w:val="1"/>
          <w:numId w:val="2"/>
        </w:numPr>
        <w:spacing w:before="120" w:beforeLines="50" w:after="120" w:afterLines="50"/>
        <w:ind w:firstLineChars="0"/>
        <w:jc w:val="left"/>
        <w:rPr>
          <w:rFonts w:ascii="宋体" w:hAnsi="宋体"/>
          <w:kern w:val="0"/>
          <w:sz w:val="24"/>
        </w:rPr>
      </w:pPr>
      <w:r>
        <w:rPr>
          <w:rFonts w:hint="eastAsia"/>
          <w:sz w:val="24"/>
        </w:rPr>
        <w:t>甲乙双方未尽事宜，经协商一致，可签订补充协议，补充协议与本合同具有同等法律效力。</w:t>
      </w:r>
      <w:r>
        <w:rPr>
          <w:rFonts w:ascii="宋体" w:hAnsi="宋体"/>
          <w:kern w:val="0"/>
          <w:sz w:val="24"/>
        </w:rPr>
        <w:br w:type="page"/>
      </w:r>
    </w:p>
    <w:p>
      <w:pPr>
        <w:rPr>
          <w:rFonts w:ascii="宋体" w:hAnsi="宋体"/>
          <w:kern w:val="0"/>
          <w:sz w:val="24"/>
        </w:rPr>
      </w:pPr>
    </w:p>
    <w:p>
      <w:pPr>
        <w:rPr>
          <w:rFonts w:ascii="宋体" w:hAnsi="宋体"/>
          <w:kern w:val="0"/>
          <w:sz w:val="24"/>
        </w:rPr>
      </w:pPr>
    </w:p>
    <w:tbl>
      <w:tblPr>
        <w:tblStyle w:val="35"/>
        <w:tblW w:w="10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电话：0771-2332807</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纳税人识别号：914501006821248433</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开户银行：建行南宁市朝阳支行营业部</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银行账号：</w:t>
            </w:r>
            <w:r>
              <w:rPr>
                <w:rFonts w:ascii="宋体" w:hAnsi="宋体"/>
                <w:kern w:val="0"/>
                <w:sz w:val="24"/>
              </w:rPr>
              <w:t>45001604473059116688</w:t>
            </w:r>
          </w:p>
        </w:tc>
        <w:tc>
          <w:tcPr>
            <w:tcW w:w="5162"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银行账号：</w:t>
            </w:r>
          </w:p>
        </w:tc>
      </w:tr>
    </w:tbl>
    <w:p>
      <w:pPr>
        <w:rPr>
          <w:rFonts w:ascii="宋体" w:hAnsi="宋体"/>
          <w:kern w:val="0"/>
          <w:sz w:val="24"/>
        </w:rPr>
      </w:pPr>
    </w:p>
    <w:p>
      <w:pPr>
        <w:widowControl/>
        <w:jc w:val="left"/>
        <w:rPr>
          <w:rFonts w:ascii="宋体" w:hAnsi="宋体"/>
          <w:kern w:val="0"/>
          <w:sz w:val="24"/>
        </w:rPr>
        <w:sectPr>
          <w:headerReference r:id="rId3" w:type="default"/>
          <w:footerReference r:id="rId4" w:type="default"/>
          <w:footerReference r:id="rId5" w:type="even"/>
          <w:pgSz w:w="11906" w:h="16838"/>
          <w:pgMar w:top="1134" w:right="1134" w:bottom="1134" w:left="1134" w:header="454" w:footer="454" w:gutter="0"/>
          <w:pgNumType w:start="0" w:chapStyle="1"/>
          <w:cols w:space="425" w:num="1"/>
          <w:titlePg/>
          <w:docGrid w:linePitch="312" w:charSpace="0"/>
        </w:sectPr>
      </w:pPr>
    </w:p>
    <w:p>
      <w:pPr>
        <w:widowControl/>
        <w:jc w:val="left"/>
        <w:rPr>
          <w:rFonts w:ascii="宋体" w:hAnsi="宋体"/>
          <w:kern w:val="0"/>
          <w:sz w:val="24"/>
        </w:rPr>
        <w:sectPr>
          <w:footerReference r:id="rId6" w:type="default"/>
          <w:pgSz w:w="11906" w:h="16838"/>
          <w:pgMar w:top="1134" w:right="851" w:bottom="1134" w:left="1134" w:header="454" w:footer="454" w:gutter="0"/>
          <w:pgNumType w:start="1" w:chapStyle="1"/>
          <w:cols w:space="425" w:num="1"/>
          <w:docGrid w:linePitch="312" w:charSpace="0"/>
        </w:sectPr>
      </w:pPr>
    </w:p>
    <w:p>
      <w:pPr>
        <w:widowControl/>
        <w:jc w:val="left"/>
        <w:rPr>
          <w:rFonts w:ascii="宋体" w:hAnsi="宋体"/>
          <w:kern w:val="0"/>
          <w:sz w:val="24"/>
        </w:rPr>
      </w:pPr>
      <w:r>
        <w:rPr>
          <w:rFonts w:hint="eastAsia" w:ascii="宋体" w:hAnsi="宋体"/>
          <w:kern w:val="0"/>
          <w:sz w:val="24"/>
        </w:rPr>
        <w:t>附件(二)</w:t>
      </w:r>
    </w:p>
    <w:p>
      <w:pPr>
        <w:pStyle w:val="3"/>
        <w:spacing w:before="0" w:after="100" w:afterAutospacing="1" w:line="240" w:lineRule="auto"/>
        <w:jc w:val="center"/>
        <w:rPr>
          <w:sz w:val="36"/>
        </w:rPr>
      </w:pPr>
      <w:r>
        <w:rPr>
          <w:rFonts w:hint="eastAsia"/>
          <w:sz w:val="36"/>
        </w:rPr>
        <w:t>廉政合同</w:t>
      </w:r>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甲方 ：南宁轨道交通集团有限责任公司</w:t>
      </w:r>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乙方 ：</w:t>
      </w:r>
    </w:p>
    <w:p>
      <w:pPr>
        <w:spacing w:line="400" w:lineRule="exact"/>
        <w:ind w:firstLine="480" w:firstLineChars="200"/>
        <w:rPr>
          <w:rFonts w:ascii="宋体" w:hAnsi="宋体"/>
          <w:sz w:val="24"/>
          <w:szCs w:val="21"/>
        </w:rPr>
      </w:pPr>
      <w:r>
        <w:rPr>
          <w:rFonts w:ascii="宋体" w:hAnsi="宋体"/>
          <w:sz w:val="24"/>
          <w:szCs w:val="21"/>
        </w:rPr>
        <w:t>为加强</w:t>
      </w:r>
      <w:r>
        <w:rPr>
          <w:rFonts w:hint="eastAsia" w:ascii="宋体" w:hAnsi="宋体"/>
          <w:sz w:val="24"/>
          <w:szCs w:val="21"/>
        </w:rPr>
        <w:t>采购工作</w:t>
      </w:r>
      <w:r>
        <w:rPr>
          <w:rFonts w:ascii="宋体" w:hAnsi="宋体"/>
          <w:sz w:val="24"/>
          <w:szCs w:val="21"/>
        </w:rPr>
        <w:t>中的廉政建设，规范</w:t>
      </w:r>
      <w:r>
        <w:rPr>
          <w:rFonts w:hint="eastAsia" w:ascii="宋体" w:hAnsi="宋体"/>
          <w:sz w:val="24"/>
          <w:szCs w:val="21"/>
        </w:rPr>
        <w:t>采购工作</w:t>
      </w:r>
      <w:r>
        <w:rPr>
          <w:rFonts w:ascii="宋体" w:hAnsi="宋体"/>
          <w:sz w:val="24"/>
          <w:szCs w:val="21"/>
        </w:rPr>
        <w:t>过程中</w:t>
      </w:r>
      <w:r>
        <w:rPr>
          <w:rFonts w:hint="eastAsia" w:ascii="宋体" w:hAnsi="宋体"/>
          <w:sz w:val="24"/>
          <w:szCs w:val="21"/>
        </w:rPr>
        <w:t>甲</w:t>
      </w:r>
      <w:r>
        <w:rPr>
          <w:rFonts w:ascii="宋体" w:hAnsi="宋体"/>
          <w:sz w:val="24"/>
          <w:szCs w:val="21"/>
        </w:rPr>
        <w:t>、</w:t>
      </w:r>
      <w:r>
        <w:rPr>
          <w:rFonts w:hint="eastAsia" w:ascii="宋体" w:hAnsi="宋体"/>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hint="eastAsia" w:ascii="宋体" w:hAnsi="宋体"/>
          <w:sz w:val="24"/>
          <w:szCs w:val="21"/>
        </w:rPr>
        <w:t>采购工作</w:t>
      </w:r>
      <w:r>
        <w:rPr>
          <w:rFonts w:ascii="宋体" w:hAnsi="宋体"/>
          <w:sz w:val="24"/>
          <w:szCs w:val="21"/>
        </w:rPr>
        <w:t>的法律法规和廉政建设责任制规定，特订立本廉政合同。</w:t>
      </w:r>
    </w:p>
    <w:p>
      <w:pPr>
        <w:spacing w:line="400" w:lineRule="exact"/>
        <w:ind w:firstLine="540" w:firstLineChars="225"/>
        <w:rPr>
          <w:rFonts w:ascii="宋体" w:hAnsi="宋体"/>
          <w:sz w:val="24"/>
          <w:szCs w:val="21"/>
        </w:rPr>
      </w:pPr>
      <w:r>
        <w:rPr>
          <w:rFonts w:ascii="宋体" w:hAnsi="宋体"/>
          <w:sz w:val="24"/>
          <w:szCs w:val="21"/>
        </w:rPr>
        <w:t xml:space="preserve">第一条 </w:t>
      </w:r>
      <w:r>
        <w:rPr>
          <w:rFonts w:hint="eastAsia" w:ascii="宋体" w:hAnsi="宋体"/>
          <w:sz w:val="24"/>
          <w:szCs w:val="21"/>
        </w:rPr>
        <w:t>甲乙</w:t>
      </w:r>
      <w:r>
        <w:rPr>
          <w:rFonts w:ascii="宋体" w:hAnsi="宋体"/>
          <w:sz w:val="24"/>
          <w:szCs w:val="21"/>
        </w:rPr>
        <w:t>双方的责任</w:t>
      </w:r>
    </w:p>
    <w:p>
      <w:pPr>
        <w:spacing w:line="400" w:lineRule="exact"/>
        <w:ind w:firstLine="540" w:firstLineChars="225"/>
        <w:rPr>
          <w:rFonts w:ascii="宋体" w:hAnsi="宋体"/>
          <w:sz w:val="24"/>
          <w:szCs w:val="21"/>
        </w:rPr>
      </w:pPr>
      <w:r>
        <w:rPr>
          <w:rFonts w:ascii="宋体" w:hAnsi="宋体"/>
          <w:sz w:val="24"/>
          <w:szCs w:val="21"/>
        </w:rPr>
        <w:t>（一）应严格遵守国家关于市场准入、项目招标投标、</w:t>
      </w:r>
      <w:r>
        <w:rPr>
          <w:rFonts w:hint="eastAsia" w:ascii="宋体" w:hAnsi="宋体"/>
          <w:sz w:val="24"/>
          <w:szCs w:val="21"/>
        </w:rPr>
        <w:t>采购工作</w:t>
      </w:r>
      <w:r>
        <w:rPr>
          <w:rFonts w:ascii="宋体" w:hAnsi="宋体"/>
          <w:sz w:val="24"/>
          <w:szCs w:val="21"/>
        </w:rPr>
        <w:t>、招标代理管理、市场活动的有关法律、法规，相关政策，以及廉政建设的各项规定。</w:t>
      </w:r>
    </w:p>
    <w:p>
      <w:pPr>
        <w:spacing w:line="400" w:lineRule="exact"/>
        <w:ind w:firstLine="540" w:firstLineChars="225"/>
        <w:rPr>
          <w:rFonts w:ascii="宋体" w:hAnsi="宋体"/>
          <w:sz w:val="24"/>
          <w:szCs w:val="21"/>
        </w:rPr>
      </w:pPr>
      <w:r>
        <w:rPr>
          <w:rFonts w:ascii="宋体" w:hAnsi="宋体"/>
          <w:sz w:val="24"/>
          <w:szCs w:val="21"/>
        </w:rPr>
        <w:t>（二）严格执行</w:t>
      </w:r>
      <w:r>
        <w:rPr>
          <w:rFonts w:hint="eastAsia" w:ascii="宋体" w:hAnsi="宋体"/>
          <w:sz w:val="24"/>
          <w:szCs w:val="21"/>
        </w:rPr>
        <w:t>本招标、采购合同</w:t>
      </w:r>
      <w:r>
        <w:rPr>
          <w:rFonts w:ascii="宋体" w:hAnsi="宋体"/>
          <w:sz w:val="24"/>
          <w:szCs w:val="21"/>
        </w:rPr>
        <w:t>文件，自觉按合同办事。</w:t>
      </w:r>
    </w:p>
    <w:p>
      <w:pPr>
        <w:spacing w:line="400" w:lineRule="exact"/>
        <w:ind w:firstLine="540" w:firstLineChars="225"/>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hint="eastAsia" w:ascii="宋体" w:hAnsi="宋体"/>
          <w:sz w:val="24"/>
          <w:szCs w:val="21"/>
        </w:rPr>
        <w:t>采购工作</w:t>
      </w:r>
      <w:r>
        <w:rPr>
          <w:rFonts w:ascii="宋体" w:hAnsi="宋体"/>
          <w:sz w:val="24"/>
          <w:szCs w:val="21"/>
        </w:rPr>
        <w:t>管理的规章制度。</w:t>
      </w:r>
    </w:p>
    <w:p>
      <w:pPr>
        <w:spacing w:line="400" w:lineRule="exact"/>
        <w:ind w:firstLine="540" w:firstLineChars="225"/>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sz w:val="24"/>
          <w:szCs w:val="21"/>
        </w:rPr>
      </w:pPr>
      <w:r>
        <w:rPr>
          <w:rFonts w:ascii="宋体" w:hAnsi="宋体"/>
          <w:sz w:val="24"/>
          <w:szCs w:val="21"/>
        </w:rPr>
        <w:t xml:space="preserve">第二条 </w:t>
      </w:r>
      <w:r>
        <w:rPr>
          <w:rFonts w:hint="eastAsia" w:ascii="宋体" w:hAnsi="宋体"/>
          <w:sz w:val="24"/>
          <w:szCs w:val="21"/>
        </w:rPr>
        <w:t>甲</w:t>
      </w:r>
      <w:r>
        <w:rPr>
          <w:rFonts w:ascii="宋体" w:hAnsi="宋体"/>
          <w:sz w:val="24"/>
          <w:szCs w:val="21"/>
        </w:rPr>
        <w:t>方的责任</w:t>
      </w:r>
    </w:p>
    <w:p>
      <w:pPr>
        <w:spacing w:line="400" w:lineRule="exact"/>
        <w:ind w:firstLine="540" w:firstLineChars="225"/>
        <w:rPr>
          <w:rFonts w:ascii="宋体" w:hAnsi="宋体"/>
          <w:sz w:val="24"/>
          <w:szCs w:val="21"/>
        </w:rPr>
      </w:pPr>
      <w:r>
        <w:rPr>
          <w:rFonts w:hint="eastAsia" w:ascii="宋体" w:hAnsi="宋体"/>
          <w:sz w:val="24"/>
          <w:szCs w:val="21"/>
        </w:rPr>
        <w:t>甲</w:t>
      </w:r>
      <w:r>
        <w:rPr>
          <w:rFonts w:ascii="宋体" w:hAnsi="宋体"/>
          <w:sz w:val="24"/>
          <w:szCs w:val="21"/>
        </w:rPr>
        <w:t>方的领导和从事该</w:t>
      </w:r>
      <w:r>
        <w:rPr>
          <w:rFonts w:hint="eastAsia" w:ascii="宋体" w:hAnsi="宋体"/>
          <w:sz w:val="24"/>
          <w:szCs w:val="21"/>
        </w:rPr>
        <w:t>采购</w:t>
      </w:r>
      <w:r>
        <w:rPr>
          <w:rFonts w:ascii="宋体" w:hAnsi="宋体"/>
          <w:sz w:val="24"/>
          <w:szCs w:val="21"/>
        </w:rPr>
        <w:t>项目的工作人员，在</w:t>
      </w:r>
      <w:r>
        <w:rPr>
          <w:rFonts w:hint="eastAsia" w:ascii="宋体" w:hAnsi="宋体"/>
          <w:sz w:val="24"/>
          <w:szCs w:val="21"/>
        </w:rPr>
        <w:t>采购工作</w:t>
      </w:r>
      <w:r>
        <w:rPr>
          <w:rFonts w:ascii="宋体" w:hAnsi="宋体"/>
          <w:sz w:val="24"/>
          <w:szCs w:val="21"/>
        </w:rPr>
        <w:t>的事前、事中、事后应遵守以下规定：</w:t>
      </w:r>
    </w:p>
    <w:p>
      <w:pPr>
        <w:spacing w:line="400" w:lineRule="exact"/>
        <w:ind w:firstLine="540" w:firstLineChars="225"/>
        <w:rPr>
          <w:rFonts w:ascii="宋体" w:hAnsi="宋体"/>
          <w:sz w:val="24"/>
          <w:szCs w:val="21"/>
        </w:rPr>
      </w:pPr>
      <w:r>
        <w:rPr>
          <w:rFonts w:ascii="宋体" w:hAnsi="宋体"/>
          <w:sz w:val="24"/>
          <w:szCs w:val="21"/>
        </w:rPr>
        <w:t>（一）不准向</w:t>
      </w:r>
      <w:r>
        <w:rPr>
          <w:rFonts w:hint="eastAsia" w:ascii="宋体" w:hAnsi="宋体"/>
          <w:sz w:val="24"/>
          <w:szCs w:val="21"/>
        </w:rPr>
        <w:t>乙</w:t>
      </w:r>
      <w:r>
        <w:rPr>
          <w:rFonts w:ascii="宋体" w:hAnsi="宋体"/>
          <w:sz w:val="24"/>
          <w:szCs w:val="21"/>
        </w:rPr>
        <w:t>方和相关单位索要或接受回扣、礼金、有价证券、贵重物品和好处费、感谢费等。</w:t>
      </w:r>
    </w:p>
    <w:p>
      <w:pPr>
        <w:spacing w:line="400" w:lineRule="exact"/>
        <w:ind w:firstLine="540" w:firstLineChars="225"/>
        <w:rPr>
          <w:rFonts w:ascii="宋体" w:hAnsi="宋体"/>
          <w:sz w:val="24"/>
          <w:szCs w:val="21"/>
        </w:rPr>
      </w:pPr>
      <w:r>
        <w:rPr>
          <w:rFonts w:ascii="宋体" w:hAnsi="宋体"/>
          <w:sz w:val="24"/>
          <w:szCs w:val="21"/>
        </w:rPr>
        <w:t>（二）不准在</w:t>
      </w:r>
      <w:r>
        <w:rPr>
          <w:rFonts w:hint="eastAsia" w:ascii="宋体" w:hAnsi="宋体"/>
          <w:sz w:val="24"/>
          <w:szCs w:val="21"/>
        </w:rPr>
        <w:t>乙方</w:t>
      </w:r>
      <w:r>
        <w:rPr>
          <w:rFonts w:ascii="宋体" w:hAnsi="宋体"/>
          <w:sz w:val="24"/>
          <w:szCs w:val="21"/>
        </w:rPr>
        <w:t>和相关单位报销任何应由</w:t>
      </w:r>
      <w:r>
        <w:rPr>
          <w:rFonts w:hint="eastAsia" w:ascii="宋体" w:hAnsi="宋体"/>
          <w:sz w:val="24"/>
          <w:szCs w:val="21"/>
        </w:rPr>
        <w:t>甲</w:t>
      </w:r>
      <w:r>
        <w:rPr>
          <w:rFonts w:ascii="宋体" w:hAnsi="宋体"/>
          <w:sz w:val="24"/>
          <w:szCs w:val="21"/>
        </w:rPr>
        <w:t>方或个人支付的费用。</w:t>
      </w:r>
    </w:p>
    <w:p>
      <w:pPr>
        <w:spacing w:line="400" w:lineRule="exact"/>
        <w:ind w:firstLine="540" w:firstLineChars="225"/>
        <w:rPr>
          <w:rFonts w:ascii="宋体" w:hAnsi="宋体"/>
          <w:sz w:val="24"/>
          <w:szCs w:val="21"/>
        </w:rPr>
      </w:pPr>
      <w:r>
        <w:rPr>
          <w:rFonts w:ascii="宋体" w:hAnsi="宋体"/>
          <w:sz w:val="24"/>
          <w:szCs w:val="21"/>
        </w:rPr>
        <w:t>（三）不准要求、暗示或接受</w:t>
      </w:r>
      <w:r>
        <w:rPr>
          <w:rFonts w:hint="eastAsia" w:ascii="宋体" w:hAnsi="宋体"/>
          <w:sz w:val="24"/>
          <w:szCs w:val="21"/>
        </w:rPr>
        <w:t>乙</w:t>
      </w:r>
      <w:r>
        <w:rPr>
          <w:rFonts w:ascii="宋体" w:hAnsi="宋体"/>
          <w:sz w:val="24"/>
          <w:szCs w:val="21"/>
        </w:rPr>
        <w:t>方和相关单位为个人装修住房、婚丧嫁娶、配偶子女的工作安排以及出国（境）、旅游等提供方便。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（四）不准参加有可能影响公正执行公务的</w:t>
      </w:r>
      <w:r>
        <w:rPr>
          <w:rFonts w:hint="eastAsia" w:ascii="宋体" w:hAnsi="宋体"/>
          <w:sz w:val="24"/>
          <w:szCs w:val="21"/>
        </w:rPr>
        <w:t>乙</w:t>
      </w:r>
      <w:r>
        <w:rPr>
          <w:rFonts w:ascii="宋体" w:hAnsi="宋体"/>
          <w:sz w:val="24"/>
          <w:szCs w:val="21"/>
        </w:rPr>
        <w:t>方和相关单位的宴请、娱乐等活动。</w:t>
      </w:r>
    </w:p>
    <w:p>
      <w:pPr>
        <w:spacing w:line="400" w:lineRule="exact"/>
        <w:ind w:firstLine="540" w:firstLineChars="225"/>
        <w:rPr>
          <w:rFonts w:ascii="宋体" w:hAnsi="宋体"/>
          <w:sz w:val="24"/>
          <w:szCs w:val="21"/>
        </w:rPr>
      </w:pPr>
      <w:r>
        <w:rPr>
          <w:rFonts w:ascii="宋体" w:hAnsi="宋体"/>
          <w:sz w:val="24"/>
          <w:szCs w:val="21"/>
        </w:rPr>
        <w:t>（五）不准向</w:t>
      </w:r>
      <w:r>
        <w:rPr>
          <w:rFonts w:hint="eastAsia" w:ascii="宋体" w:hAnsi="宋体"/>
          <w:sz w:val="24"/>
          <w:szCs w:val="21"/>
        </w:rPr>
        <w:t>乙</w:t>
      </w:r>
      <w:r>
        <w:rPr>
          <w:rFonts w:ascii="宋体" w:hAnsi="宋体"/>
          <w:sz w:val="24"/>
          <w:szCs w:val="21"/>
        </w:rPr>
        <w:t>方和相关单位介绍或为配偶、子女、亲属参与同</w:t>
      </w:r>
      <w:r>
        <w:rPr>
          <w:rFonts w:hint="eastAsia" w:ascii="宋体" w:hAnsi="宋体"/>
          <w:sz w:val="24"/>
          <w:szCs w:val="21"/>
        </w:rPr>
        <w:t>甲</w:t>
      </w:r>
      <w:r>
        <w:rPr>
          <w:rFonts w:ascii="宋体" w:hAnsi="宋体"/>
          <w:sz w:val="24"/>
          <w:szCs w:val="21"/>
        </w:rPr>
        <w:t>方</w:t>
      </w:r>
      <w:r>
        <w:rPr>
          <w:rFonts w:hint="eastAsia" w:ascii="宋体" w:hAnsi="宋体"/>
          <w:sz w:val="24"/>
          <w:szCs w:val="21"/>
        </w:rPr>
        <w:t>本</w:t>
      </w:r>
      <w:r>
        <w:rPr>
          <w:rFonts w:ascii="宋体" w:hAnsi="宋体"/>
          <w:sz w:val="24"/>
          <w:szCs w:val="21"/>
        </w:rPr>
        <w:t>项目合同有关的业务等活动。不得以任何理由要求</w:t>
      </w:r>
      <w:r>
        <w:rPr>
          <w:rFonts w:hint="eastAsia" w:ascii="宋体" w:hAnsi="宋体"/>
          <w:sz w:val="24"/>
          <w:szCs w:val="21"/>
        </w:rPr>
        <w:t>乙</w:t>
      </w:r>
      <w:r>
        <w:rPr>
          <w:rFonts w:ascii="宋体" w:hAnsi="宋体"/>
          <w:sz w:val="24"/>
          <w:szCs w:val="21"/>
        </w:rPr>
        <w:t>方和相关单位在</w:t>
      </w:r>
      <w:r>
        <w:rPr>
          <w:rFonts w:hint="eastAsia" w:ascii="宋体" w:hAnsi="宋体"/>
          <w:sz w:val="24"/>
          <w:szCs w:val="21"/>
        </w:rPr>
        <w:t>合同执行</w:t>
      </w:r>
      <w:r>
        <w:rPr>
          <w:rFonts w:ascii="宋体" w:hAnsi="宋体"/>
          <w:sz w:val="24"/>
          <w:szCs w:val="21"/>
        </w:rPr>
        <w:t>中使用某种产品、材料和设备。</w:t>
      </w:r>
    </w:p>
    <w:p>
      <w:pPr>
        <w:spacing w:line="400" w:lineRule="exact"/>
        <w:ind w:firstLine="540" w:firstLineChars="225"/>
        <w:rPr>
          <w:rFonts w:ascii="宋体" w:hAnsi="宋体"/>
          <w:sz w:val="24"/>
          <w:szCs w:val="21"/>
        </w:rPr>
      </w:pPr>
      <w:r>
        <w:rPr>
          <w:rFonts w:ascii="宋体" w:hAnsi="宋体"/>
          <w:sz w:val="24"/>
          <w:szCs w:val="21"/>
        </w:rPr>
        <w:t xml:space="preserve">第三条 </w:t>
      </w:r>
      <w:r>
        <w:rPr>
          <w:rFonts w:hint="eastAsia" w:ascii="宋体" w:hAnsi="宋体"/>
          <w:sz w:val="24"/>
          <w:szCs w:val="21"/>
        </w:rPr>
        <w:t>乙</w:t>
      </w:r>
      <w:r>
        <w:rPr>
          <w:rFonts w:ascii="宋体" w:hAnsi="宋体"/>
          <w:sz w:val="24"/>
          <w:szCs w:val="21"/>
        </w:rPr>
        <w:t>方的责任</w:t>
      </w:r>
    </w:p>
    <w:p>
      <w:pPr>
        <w:spacing w:line="400" w:lineRule="exact"/>
        <w:ind w:firstLine="540" w:firstLineChars="225"/>
        <w:rPr>
          <w:rFonts w:ascii="宋体" w:hAnsi="宋体"/>
          <w:sz w:val="24"/>
          <w:szCs w:val="21"/>
        </w:rPr>
      </w:pPr>
      <w:r>
        <w:rPr>
          <w:rFonts w:ascii="宋体" w:hAnsi="宋体"/>
          <w:sz w:val="24"/>
          <w:szCs w:val="21"/>
        </w:rPr>
        <w:t>应与</w:t>
      </w:r>
      <w:r>
        <w:rPr>
          <w:rFonts w:hint="eastAsia" w:ascii="宋体" w:hAnsi="宋体"/>
          <w:sz w:val="24"/>
          <w:szCs w:val="21"/>
        </w:rPr>
        <w:t>甲</w:t>
      </w:r>
      <w:r>
        <w:rPr>
          <w:rFonts w:ascii="宋体" w:hAnsi="宋体"/>
          <w:sz w:val="24"/>
          <w:szCs w:val="21"/>
        </w:rPr>
        <w:t>方保持正常的业务交往，按照有关法律法规和程序开展业务工作，严格执行</w:t>
      </w:r>
      <w:r>
        <w:rPr>
          <w:rFonts w:hint="eastAsia" w:ascii="宋体" w:hAnsi="宋体"/>
          <w:sz w:val="24"/>
          <w:szCs w:val="21"/>
        </w:rPr>
        <w:t>采购工作</w:t>
      </w:r>
      <w:r>
        <w:rPr>
          <w:rFonts w:ascii="宋体" w:hAnsi="宋体"/>
          <w:sz w:val="24"/>
          <w:szCs w:val="21"/>
        </w:rPr>
        <w:t>的有关方针、政策，尤其是有关</w:t>
      </w:r>
      <w:r>
        <w:rPr>
          <w:rFonts w:hint="eastAsia" w:ascii="宋体" w:hAnsi="宋体"/>
          <w:sz w:val="24"/>
          <w:szCs w:val="21"/>
        </w:rPr>
        <w:t>本项目</w:t>
      </w:r>
      <w:r>
        <w:rPr>
          <w:rFonts w:ascii="宋体" w:hAnsi="宋体"/>
          <w:sz w:val="24"/>
          <w:szCs w:val="21"/>
        </w:rPr>
        <w:t>的强制性标准和规范，并遵守以下规定：</w:t>
      </w:r>
    </w:p>
    <w:p>
      <w:pPr>
        <w:spacing w:line="400" w:lineRule="exact"/>
        <w:ind w:firstLine="540" w:firstLineChars="225"/>
        <w:rPr>
          <w:rFonts w:ascii="宋体" w:hAnsi="宋体"/>
          <w:sz w:val="24"/>
          <w:szCs w:val="21"/>
        </w:rPr>
      </w:pPr>
      <w:r>
        <w:rPr>
          <w:rFonts w:ascii="宋体" w:hAnsi="宋体"/>
          <w:sz w:val="24"/>
          <w:szCs w:val="21"/>
        </w:rPr>
        <w:t>（一）不准以任何理由向</w:t>
      </w:r>
      <w:r>
        <w:rPr>
          <w:rFonts w:hint="eastAsia" w:ascii="宋体" w:hAnsi="宋体"/>
          <w:sz w:val="24"/>
          <w:szCs w:val="21"/>
        </w:rPr>
        <w:t>甲</w:t>
      </w:r>
      <w:r>
        <w:rPr>
          <w:rFonts w:ascii="宋体" w:hAnsi="宋体"/>
          <w:sz w:val="24"/>
          <w:szCs w:val="21"/>
        </w:rPr>
        <w:t>方及其工作人员索要、接受或赠送礼金、有价证券、贵重物品及回扣、好处费、感谢费等。</w:t>
      </w:r>
    </w:p>
    <w:p>
      <w:pPr>
        <w:spacing w:line="400" w:lineRule="exact"/>
        <w:ind w:firstLine="540" w:firstLineChars="225"/>
        <w:rPr>
          <w:rFonts w:ascii="宋体" w:hAnsi="宋体"/>
          <w:sz w:val="24"/>
          <w:szCs w:val="21"/>
        </w:rPr>
      </w:pPr>
      <w:r>
        <w:rPr>
          <w:rFonts w:ascii="宋体" w:hAnsi="宋体"/>
          <w:sz w:val="24"/>
          <w:szCs w:val="21"/>
        </w:rPr>
        <w:t>（二）不准以任何理由为</w:t>
      </w:r>
      <w:r>
        <w:rPr>
          <w:rFonts w:hint="eastAsia" w:ascii="宋体" w:hAnsi="宋体"/>
          <w:sz w:val="24"/>
          <w:szCs w:val="21"/>
        </w:rPr>
        <w:t>甲</w:t>
      </w:r>
      <w:r>
        <w:rPr>
          <w:rFonts w:ascii="宋体" w:hAnsi="宋体"/>
          <w:sz w:val="24"/>
          <w:szCs w:val="21"/>
        </w:rPr>
        <w:t>方和相关单位报销应由对方或个人支付的费用。</w:t>
      </w:r>
    </w:p>
    <w:p>
      <w:pPr>
        <w:spacing w:line="400" w:lineRule="exact"/>
        <w:ind w:firstLine="540" w:firstLineChars="225"/>
        <w:rPr>
          <w:rFonts w:ascii="宋体" w:hAnsi="宋体"/>
          <w:sz w:val="24"/>
          <w:szCs w:val="21"/>
        </w:rPr>
      </w:pPr>
      <w:r>
        <w:rPr>
          <w:rFonts w:ascii="宋体" w:hAnsi="宋体"/>
          <w:sz w:val="24"/>
          <w:szCs w:val="21"/>
        </w:rPr>
        <w:t>（三）不准接受或暗示为</w:t>
      </w:r>
      <w:r>
        <w:rPr>
          <w:rFonts w:hint="eastAsia" w:ascii="宋体" w:hAnsi="宋体"/>
          <w:sz w:val="24"/>
          <w:szCs w:val="21"/>
        </w:rPr>
        <w:t>甲</w:t>
      </w:r>
      <w:r>
        <w:rPr>
          <w:rFonts w:ascii="宋体" w:hAnsi="宋体"/>
          <w:sz w:val="24"/>
          <w:szCs w:val="21"/>
        </w:rPr>
        <w:t>方、相关单位或个人装修住房、婚丧嫁娶、配偶子女的工作安排以及出国（境）、旅游等提供方便。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（四）不准以任何理由为</w:t>
      </w:r>
      <w:r>
        <w:rPr>
          <w:rFonts w:hint="eastAsia" w:ascii="宋体" w:hAnsi="宋体"/>
          <w:sz w:val="24"/>
          <w:szCs w:val="21"/>
        </w:rPr>
        <w:t>甲</w:t>
      </w:r>
      <w:r>
        <w:rPr>
          <w:rFonts w:ascii="宋体" w:hAnsi="宋体"/>
          <w:sz w:val="24"/>
          <w:szCs w:val="21"/>
        </w:rPr>
        <w:t>方、相关单位或个人组织有可能影响公正执行公务的宴请、健身、娱乐等活动。</w:t>
      </w:r>
    </w:p>
    <w:p>
      <w:pPr>
        <w:spacing w:line="400" w:lineRule="exact"/>
        <w:ind w:firstLine="540" w:firstLineChars="225"/>
        <w:rPr>
          <w:rFonts w:ascii="宋体" w:hAnsi="宋体"/>
          <w:sz w:val="24"/>
          <w:szCs w:val="21"/>
        </w:rPr>
      </w:pPr>
      <w:r>
        <w:rPr>
          <w:rFonts w:ascii="宋体" w:hAnsi="宋体"/>
          <w:sz w:val="24"/>
          <w:szCs w:val="21"/>
        </w:rPr>
        <w:t>第四条 违约责任</w:t>
      </w:r>
    </w:p>
    <w:p>
      <w:pPr>
        <w:spacing w:line="400" w:lineRule="exact"/>
        <w:ind w:firstLine="540" w:firstLineChars="225"/>
        <w:rPr>
          <w:rFonts w:ascii="宋体" w:hAnsi="宋体"/>
          <w:sz w:val="24"/>
          <w:szCs w:val="21"/>
        </w:rPr>
      </w:pPr>
      <w:r>
        <w:rPr>
          <w:rFonts w:ascii="宋体" w:hAnsi="宋体"/>
          <w:sz w:val="24"/>
          <w:szCs w:val="21"/>
        </w:rPr>
        <w:t>（一）</w:t>
      </w:r>
      <w:r>
        <w:rPr>
          <w:rFonts w:hint="eastAsia" w:ascii="宋体" w:hAnsi="宋体"/>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hint="eastAsia" w:ascii="宋体" w:hAnsi="宋体"/>
          <w:sz w:val="24"/>
          <w:szCs w:val="21"/>
        </w:rPr>
        <w:t>乙</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ascii="宋体" w:hAnsi="宋体"/>
          <w:sz w:val="24"/>
          <w:szCs w:val="21"/>
        </w:rPr>
        <w:t>（二）</w:t>
      </w:r>
      <w:r>
        <w:rPr>
          <w:rFonts w:hint="eastAsia" w:ascii="宋体" w:hAnsi="宋体"/>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hint="eastAsia" w:ascii="宋体" w:hAnsi="宋体"/>
          <w:sz w:val="24"/>
          <w:szCs w:val="21"/>
        </w:rPr>
        <w:t>甲</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hint="eastAsia" w:ascii="宋体" w:hAnsi="宋体"/>
          <w:sz w:val="24"/>
          <w:szCs w:val="21"/>
        </w:rPr>
        <w:t>第五条 本合同与南宁轨道交通集团有限责任公司</w:t>
      </w:r>
      <w:bookmarkStart w:id="44" w:name="_Hlk534879001"/>
      <w:r>
        <w:rPr>
          <w:rFonts w:hint="eastAsia" w:ascii="宋体" w:hAnsi="宋体"/>
          <w:b/>
          <w:sz w:val="24"/>
          <w:szCs w:val="21"/>
        </w:rPr>
        <w:t>运营分公司</w:t>
      </w:r>
      <w:r>
        <w:rPr>
          <w:rFonts w:hint="eastAsia" w:ascii="宋体" w:hAnsi="宋体"/>
          <w:b/>
          <w:sz w:val="24"/>
          <w:szCs w:val="24"/>
          <w:lang w:eastAsia="zh-CN"/>
        </w:rPr>
        <w:t>2020-2021年其它类型废物等危险废弃物处置项目</w:t>
      </w:r>
      <w:bookmarkEnd w:id="44"/>
      <w:r>
        <w:rPr>
          <w:rFonts w:hint="eastAsia" w:ascii="宋体" w:hAnsi="宋体"/>
          <w:sz w:val="24"/>
          <w:szCs w:val="21"/>
        </w:rPr>
        <w:t>合同书具有同等法律效力，经双方签字盖章后立即生效。</w:t>
      </w:r>
    </w:p>
    <w:p>
      <w:pPr>
        <w:spacing w:line="400" w:lineRule="exact"/>
        <w:ind w:firstLine="540" w:firstLineChars="225"/>
        <w:rPr>
          <w:rFonts w:ascii="宋体" w:hAnsi="宋体"/>
          <w:sz w:val="24"/>
          <w:szCs w:val="21"/>
        </w:rPr>
      </w:pPr>
      <w:r>
        <w:rPr>
          <w:rFonts w:hint="eastAsia" w:ascii="宋体" w:hAnsi="宋体"/>
          <w:sz w:val="24"/>
          <w:szCs w:val="21"/>
        </w:rPr>
        <w:t>第六条 本合同的有效期：自双方签字盖章之日起，有效期同南宁轨道交通集团有限责任公司</w:t>
      </w:r>
      <w:r>
        <w:rPr>
          <w:rFonts w:hint="eastAsia" w:ascii="宋体" w:hAnsi="宋体"/>
          <w:b/>
          <w:sz w:val="24"/>
          <w:szCs w:val="21"/>
        </w:rPr>
        <w:t>运营分公司</w:t>
      </w:r>
      <w:r>
        <w:rPr>
          <w:rFonts w:hint="eastAsia" w:ascii="宋体" w:hAnsi="宋体"/>
          <w:b/>
          <w:sz w:val="24"/>
          <w:szCs w:val="24"/>
          <w:lang w:eastAsia="zh-CN"/>
        </w:rPr>
        <w:t>2020-2021年其它类型废物等危险废弃物处置项目</w:t>
      </w:r>
      <w:r>
        <w:rPr>
          <w:rFonts w:hint="eastAsia" w:ascii="宋体" w:hAnsi="宋体"/>
          <w:sz w:val="24"/>
          <w:szCs w:val="21"/>
        </w:rPr>
        <w:t>合同书。</w:t>
      </w:r>
    </w:p>
    <w:p>
      <w:pPr>
        <w:spacing w:line="400" w:lineRule="exact"/>
        <w:rPr>
          <w:rFonts w:ascii="宋体" w:hAnsi="宋体"/>
          <w:kern w:val="0"/>
          <w:sz w:val="24"/>
          <w:szCs w:val="21"/>
        </w:rPr>
      </w:pPr>
    </w:p>
    <w:tbl>
      <w:tblPr>
        <w:tblStyle w:val="35"/>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91"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地址：</w:t>
            </w:r>
          </w:p>
        </w:tc>
      </w:tr>
      <w:bookmarkEnd w:id="11"/>
    </w:tbl>
    <w:p>
      <w:pPr>
        <w:rPr>
          <w:rFonts w:ascii="宋体" w:hAnsi="宋体"/>
          <w:kern w:val="0"/>
          <w:sz w:val="24"/>
        </w:rPr>
      </w:pPr>
    </w:p>
    <w:sectPr>
      <w:type w:val="continuous"/>
      <w:pgSz w:w="11906" w:h="16838"/>
      <w:pgMar w:top="1134" w:right="851" w:bottom="1134" w:left="1134" w:header="454" w:footer="454" w:gutter="0"/>
      <w:pgNumType w:start="1"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146971"/>
      <w:docPartObj>
        <w:docPartGallery w:val="autotext"/>
      </w:docPartObj>
    </w:sdtPr>
    <w:sdtContent>
      <w:sdt>
        <w:sdtPr>
          <w:id w:val="716697669"/>
          <w:docPartObj>
            <w:docPartGallery w:val="autotext"/>
          </w:docPartObj>
        </w:sdtPr>
        <w:sdtContent>
          <w:p>
            <w:pPr>
              <w:pStyle w:val="24"/>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t>4</w:t>
            </w:r>
            <w:r>
              <w:rPr>
                <w:rFonts w:hint="eastAsia"/>
                <w:lang w:eastAsia="zh-CN"/>
              </w:rPr>
              <w:t>页</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lang w:eastAsia="zh-CN"/>
      </w:rPr>
    </w:pPr>
    <w:sdt>
      <w:sdtPr>
        <w:id w:val="-1965721436"/>
        <w:docPartObj>
          <w:docPartGallery w:val="autotext"/>
        </w:docPartObj>
      </w:sdtPr>
      <w:sdtContent>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fldChar w:fldCharType="begin"/>
        </w:r>
        <w:r>
          <w:rPr>
            <w:lang w:eastAsia="zh-CN"/>
          </w:rPr>
          <w:instrText xml:space="preserve"> </w:instrText>
        </w:r>
        <w:r>
          <w:rPr>
            <w:rFonts w:hint="eastAsia"/>
            <w:lang w:eastAsia="zh-CN"/>
          </w:rPr>
          <w:instrText xml:space="preserve">SECTIONPAGES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15056"/>
      <w:docPartObj>
        <w:docPartGallery w:val="autotext"/>
      </w:docPartObj>
    </w:sdtPr>
    <w:sdtContent>
      <w:sdt>
        <w:sdtPr>
          <w:id w:val="-1266305389"/>
          <w:docPartObj>
            <w:docPartGallery w:val="autotext"/>
          </w:docPartObj>
        </w:sdtPr>
        <w:sdtContent>
          <w:p>
            <w:pPr>
              <w:pStyle w:val="24"/>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 xml:space="preserve">PAGE  \* Arabic  \* MERGEFORMAT</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页/共</w:t>
            </w:r>
            <w:r>
              <w:rPr>
                <w:lang w:eastAsia="zh-CN"/>
              </w:rPr>
              <w:t>2</w:t>
            </w:r>
            <w:r>
              <w:rPr>
                <w:rFonts w:hint="eastAsia"/>
                <w:lang w:eastAsia="zh-CN"/>
              </w:rPr>
              <w:t>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rPr>
        <w:lang w:val="en-US" w:eastAsia="zh-CN"/>
      </w:rPr>
      <w:drawing>
        <wp:inline distT="0" distB="0" distL="0" distR="0">
          <wp:extent cx="2017395" cy="22987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78070BE"/>
    <w:multiLevelType w:val="multilevel"/>
    <w:tmpl w:val="378070BE"/>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567" w:hanging="567"/>
      </w:pPr>
      <w:rPr>
        <w:rFonts w:asciiTheme="minorEastAsia" w:hAnsiTheme="minorEastAsia" w:eastAsiaTheme="minorEastAs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16A"/>
    <w:rsid w:val="00016D44"/>
    <w:rsid w:val="000175F0"/>
    <w:rsid w:val="000204E2"/>
    <w:rsid w:val="00020994"/>
    <w:rsid w:val="00020E21"/>
    <w:rsid w:val="000219A4"/>
    <w:rsid w:val="0002357C"/>
    <w:rsid w:val="00023D3A"/>
    <w:rsid w:val="0002412C"/>
    <w:rsid w:val="00024395"/>
    <w:rsid w:val="00024759"/>
    <w:rsid w:val="00024D3B"/>
    <w:rsid w:val="0002633C"/>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9B9"/>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6787E"/>
    <w:rsid w:val="0007070F"/>
    <w:rsid w:val="00072AD6"/>
    <w:rsid w:val="00072DC2"/>
    <w:rsid w:val="00073425"/>
    <w:rsid w:val="000735D1"/>
    <w:rsid w:val="00073704"/>
    <w:rsid w:val="00074029"/>
    <w:rsid w:val="00074943"/>
    <w:rsid w:val="00074AA4"/>
    <w:rsid w:val="00074BD8"/>
    <w:rsid w:val="0007514A"/>
    <w:rsid w:val="000753C0"/>
    <w:rsid w:val="00075728"/>
    <w:rsid w:val="000758A2"/>
    <w:rsid w:val="00075A88"/>
    <w:rsid w:val="00075C02"/>
    <w:rsid w:val="00076B36"/>
    <w:rsid w:val="000775DC"/>
    <w:rsid w:val="00080357"/>
    <w:rsid w:val="000809B3"/>
    <w:rsid w:val="00080E6B"/>
    <w:rsid w:val="00080F60"/>
    <w:rsid w:val="000815F0"/>
    <w:rsid w:val="00081A65"/>
    <w:rsid w:val="00082225"/>
    <w:rsid w:val="00082344"/>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5B5C"/>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2C4"/>
    <w:rsid w:val="000D0375"/>
    <w:rsid w:val="000D0DB8"/>
    <w:rsid w:val="000D114F"/>
    <w:rsid w:val="000D292F"/>
    <w:rsid w:val="000D3FE5"/>
    <w:rsid w:val="000D49AF"/>
    <w:rsid w:val="000D4AEE"/>
    <w:rsid w:val="000D4B8F"/>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E78CA"/>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0F7A97"/>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86"/>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C5D"/>
    <w:rsid w:val="00163FAF"/>
    <w:rsid w:val="00164035"/>
    <w:rsid w:val="00164985"/>
    <w:rsid w:val="00166B0E"/>
    <w:rsid w:val="00166F0E"/>
    <w:rsid w:val="00167298"/>
    <w:rsid w:val="00167855"/>
    <w:rsid w:val="00167F2D"/>
    <w:rsid w:val="00170E3C"/>
    <w:rsid w:val="001717A6"/>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128"/>
    <w:rsid w:val="001832D4"/>
    <w:rsid w:val="0018412E"/>
    <w:rsid w:val="001844EA"/>
    <w:rsid w:val="00185777"/>
    <w:rsid w:val="00186371"/>
    <w:rsid w:val="00186879"/>
    <w:rsid w:val="00186E8B"/>
    <w:rsid w:val="00187993"/>
    <w:rsid w:val="00191A01"/>
    <w:rsid w:val="001937A6"/>
    <w:rsid w:val="0019468B"/>
    <w:rsid w:val="00196152"/>
    <w:rsid w:val="001973E0"/>
    <w:rsid w:val="0019777C"/>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091"/>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1C3"/>
    <w:rsid w:val="001E731D"/>
    <w:rsid w:val="001F071C"/>
    <w:rsid w:val="001F083C"/>
    <w:rsid w:val="001F16A3"/>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102F"/>
    <w:rsid w:val="0023167B"/>
    <w:rsid w:val="00231DC2"/>
    <w:rsid w:val="00232396"/>
    <w:rsid w:val="0023307B"/>
    <w:rsid w:val="0023408B"/>
    <w:rsid w:val="002357C8"/>
    <w:rsid w:val="0023589B"/>
    <w:rsid w:val="00236350"/>
    <w:rsid w:val="002373BA"/>
    <w:rsid w:val="00237EF7"/>
    <w:rsid w:val="00240A71"/>
    <w:rsid w:val="00241656"/>
    <w:rsid w:val="0024215A"/>
    <w:rsid w:val="002424A6"/>
    <w:rsid w:val="002431AA"/>
    <w:rsid w:val="00243863"/>
    <w:rsid w:val="00243D70"/>
    <w:rsid w:val="00243FC6"/>
    <w:rsid w:val="002443A0"/>
    <w:rsid w:val="00244C48"/>
    <w:rsid w:val="002453C7"/>
    <w:rsid w:val="00245B40"/>
    <w:rsid w:val="00245C09"/>
    <w:rsid w:val="00246758"/>
    <w:rsid w:val="002502AB"/>
    <w:rsid w:val="002502CC"/>
    <w:rsid w:val="00250818"/>
    <w:rsid w:val="0025083D"/>
    <w:rsid w:val="00251BEC"/>
    <w:rsid w:val="002525DE"/>
    <w:rsid w:val="00252841"/>
    <w:rsid w:val="002528BC"/>
    <w:rsid w:val="002535BA"/>
    <w:rsid w:val="00254CA1"/>
    <w:rsid w:val="002551E8"/>
    <w:rsid w:val="0025576E"/>
    <w:rsid w:val="00255C73"/>
    <w:rsid w:val="00255E3C"/>
    <w:rsid w:val="002564F4"/>
    <w:rsid w:val="00256ED8"/>
    <w:rsid w:val="002571AE"/>
    <w:rsid w:val="00257B08"/>
    <w:rsid w:val="00260E83"/>
    <w:rsid w:val="002611C3"/>
    <w:rsid w:val="00261255"/>
    <w:rsid w:val="002622D5"/>
    <w:rsid w:val="002625A8"/>
    <w:rsid w:val="00262969"/>
    <w:rsid w:val="00262BC5"/>
    <w:rsid w:val="0026302F"/>
    <w:rsid w:val="0026318F"/>
    <w:rsid w:val="002635BC"/>
    <w:rsid w:val="00263B3E"/>
    <w:rsid w:val="00263EAA"/>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547"/>
    <w:rsid w:val="002A1814"/>
    <w:rsid w:val="002A2C1F"/>
    <w:rsid w:val="002A3341"/>
    <w:rsid w:val="002A4752"/>
    <w:rsid w:val="002A4BD6"/>
    <w:rsid w:val="002A5051"/>
    <w:rsid w:val="002A5BD0"/>
    <w:rsid w:val="002A6CF8"/>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5715"/>
    <w:rsid w:val="002D661E"/>
    <w:rsid w:val="002D664E"/>
    <w:rsid w:val="002D7483"/>
    <w:rsid w:val="002D7F29"/>
    <w:rsid w:val="002E036C"/>
    <w:rsid w:val="002E07BD"/>
    <w:rsid w:val="002E0F07"/>
    <w:rsid w:val="002E0FD5"/>
    <w:rsid w:val="002E15C1"/>
    <w:rsid w:val="002E173F"/>
    <w:rsid w:val="002E17B3"/>
    <w:rsid w:val="002E20A3"/>
    <w:rsid w:val="002E2F52"/>
    <w:rsid w:val="002E312D"/>
    <w:rsid w:val="002E32D1"/>
    <w:rsid w:val="002E3D0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CF4"/>
    <w:rsid w:val="00303FC9"/>
    <w:rsid w:val="00304579"/>
    <w:rsid w:val="003102F8"/>
    <w:rsid w:val="00310D65"/>
    <w:rsid w:val="00310F36"/>
    <w:rsid w:val="0031178F"/>
    <w:rsid w:val="00311945"/>
    <w:rsid w:val="003125BF"/>
    <w:rsid w:val="00312D8C"/>
    <w:rsid w:val="003131A7"/>
    <w:rsid w:val="00314340"/>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0E16"/>
    <w:rsid w:val="003413DC"/>
    <w:rsid w:val="0034149E"/>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93"/>
    <w:rsid w:val="003565B6"/>
    <w:rsid w:val="003566D8"/>
    <w:rsid w:val="00356878"/>
    <w:rsid w:val="003568C8"/>
    <w:rsid w:val="00356B33"/>
    <w:rsid w:val="00356BFD"/>
    <w:rsid w:val="003575B5"/>
    <w:rsid w:val="00357EAB"/>
    <w:rsid w:val="0036004E"/>
    <w:rsid w:val="00361479"/>
    <w:rsid w:val="00361B4E"/>
    <w:rsid w:val="003620B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02F"/>
    <w:rsid w:val="003824B3"/>
    <w:rsid w:val="00382C97"/>
    <w:rsid w:val="00382DBE"/>
    <w:rsid w:val="00382F36"/>
    <w:rsid w:val="00383012"/>
    <w:rsid w:val="00383307"/>
    <w:rsid w:val="0038492C"/>
    <w:rsid w:val="003852DA"/>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CD0"/>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0F"/>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792"/>
    <w:rsid w:val="004078BD"/>
    <w:rsid w:val="00407C4C"/>
    <w:rsid w:val="00410349"/>
    <w:rsid w:val="004104AA"/>
    <w:rsid w:val="004118DF"/>
    <w:rsid w:val="00413041"/>
    <w:rsid w:val="004145E9"/>
    <w:rsid w:val="00414947"/>
    <w:rsid w:val="004151D4"/>
    <w:rsid w:val="00415C47"/>
    <w:rsid w:val="00416D0B"/>
    <w:rsid w:val="00416E0C"/>
    <w:rsid w:val="00417E8E"/>
    <w:rsid w:val="0042201B"/>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5C12"/>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67A6"/>
    <w:rsid w:val="00467558"/>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3FD9"/>
    <w:rsid w:val="00484094"/>
    <w:rsid w:val="004852F8"/>
    <w:rsid w:val="004856F1"/>
    <w:rsid w:val="00485D46"/>
    <w:rsid w:val="004863E6"/>
    <w:rsid w:val="004864EC"/>
    <w:rsid w:val="0048656D"/>
    <w:rsid w:val="004866B1"/>
    <w:rsid w:val="00490729"/>
    <w:rsid w:val="00490A37"/>
    <w:rsid w:val="00491ECA"/>
    <w:rsid w:val="00492097"/>
    <w:rsid w:val="004924D6"/>
    <w:rsid w:val="0049298A"/>
    <w:rsid w:val="0049301C"/>
    <w:rsid w:val="0049426B"/>
    <w:rsid w:val="00494F21"/>
    <w:rsid w:val="004954FF"/>
    <w:rsid w:val="00495A1C"/>
    <w:rsid w:val="0049630E"/>
    <w:rsid w:val="004963C9"/>
    <w:rsid w:val="00496D2D"/>
    <w:rsid w:val="004A16D8"/>
    <w:rsid w:val="004A1E38"/>
    <w:rsid w:val="004A3B52"/>
    <w:rsid w:val="004A3C28"/>
    <w:rsid w:val="004A432A"/>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9F6"/>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4F1"/>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6BBA"/>
    <w:rsid w:val="005072A0"/>
    <w:rsid w:val="00510360"/>
    <w:rsid w:val="00510646"/>
    <w:rsid w:val="005107B3"/>
    <w:rsid w:val="00511BE5"/>
    <w:rsid w:val="00512F5A"/>
    <w:rsid w:val="00513582"/>
    <w:rsid w:val="00514353"/>
    <w:rsid w:val="00514615"/>
    <w:rsid w:val="005151EC"/>
    <w:rsid w:val="005153ED"/>
    <w:rsid w:val="00515A5F"/>
    <w:rsid w:val="00516DA0"/>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B30"/>
    <w:rsid w:val="00527F3F"/>
    <w:rsid w:val="005317A0"/>
    <w:rsid w:val="0053198A"/>
    <w:rsid w:val="0053228C"/>
    <w:rsid w:val="005347CC"/>
    <w:rsid w:val="005350B6"/>
    <w:rsid w:val="005359AB"/>
    <w:rsid w:val="0053663B"/>
    <w:rsid w:val="00536A35"/>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D49"/>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675CE"/>
    <w:rsid w:val="0057013A"/>
    <w:rsid w:val="005713F7"/>
    <w:rsid w:val="00572047"/>
    <w:rsid w:val="00572125"/>
    <w:rsid w:val="005723E3"/>
    <w:rsid w:val="005725CE"/>
    <w:rsid w:val="00572CF2"/>
    <w:rsid w:val="00574019"/>
    <w:rsid w:val="00574876"/>
    <w:rsid w:val="00574BFE"/>
    <w:rsid w:val="00577DBB"/>
    <w:rsid w:val="00577F8E"/>
    <w:rsid w:val="005806B1"/>
    <w:rsid w:val="0058132E"/>
    <w:rsid w:val="00581867"/>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69E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0AC"/>
    <w:rsid w:val="005A7CC3"/>
    <w:rsid w:val="005B0773"/>
    <w:rsid w:val="005B1060"/>
    <w:rsid w:val="005B1FA3"/>
    <w:rsid w:val="005B299A"/>
    <w:rsid w:val="005B32F4"/>
    <w:rsid w:val="005B34E7"/>
    <w:rsid w:val="005B3BDB"/>
    <w:rsid w:val="005B5877"/>
    <w:rsid w:val="005B639F"/>
    <w:rsid w:val="005B6E9A"/>
    <w:rsid w:val="005C085B"/>
    <w:rsid w:val="005C396C"/>
    <w:rsid w:val="005C3AF0"/>
    <w:rsid w:val="005C5DF6"/>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B97"/>
    <w:rsid w:val="005E3BBE"/>
    <w:rsid w:val="005E4366"/>
    <w:rsid w:val="005E57C7"/>
    <w:rsid w:val="005E5B8F"/>
    <w:rsid w:val="005E61CC"/>
    <w:rsid w:val="005E6CEC"/>
    <w:rsid w:val="005E72AF"/>
    <w:rsid w:val="005E7559"/>
    <w:rsid w:val="005F0290"/>
    <w:rsid w:val="005F061E"/>
    <w:rsid w:val="005F0F70"/>
    <w:rsid w:val="005F11A9"/>
    <w:rsid w:val="005F1961"/>
    <w:rsid w:val="005F1BED"/>
    <w:rsid w:val="005F219E"/>
    <w:rsid w:val="005F2701"/>
    <w:rsid w:val="005F27D2"/>
    <w:rsid w:val="005F2950"/>
    <w:rsid w:val="005F3778"/>
    <w:rsid w:val="005F3D0E"/>
    <w:rsid w:val="005F3D7A"/>
    <w:rsid w:val="005F40F4"/>
    <w:rsid w:val="005F5222"/>
    <w:rsid w:val="005F5D83"/>
    <w:rsid w:val="005F5ED5"/>
    <w:rsid w:val="005F6A01"/>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0B53"/>
    <w:rsid w:val="0062188B"/>
    <w:rsid w:val="00621A54"/>
    <w:rsid w:val="00621C63"/>
    <w:rsid w:val="00622DD9"/>
    <w:rsid w:val="00622E53"/>
    <w:rsid w:val="006236D9"/>
    <w:rsid w:val="00627021"/>
    <w:rsid w:val="00627313"/>
    <w:rsid w:val="0063084B"/>
    <w:rsid w:val="00630E12"/>
    <w:rsid w:val="00630FAF"/>
    <w:rsid w:val="00631919"/>
    <w:rsid w:val="00631AF6"/>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72"/>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1F"/>
    <w:rsid w:val="006517DC"/>
    <w:rsid w:val="00651F3C"/>
    <w:rsid w:val="006521A0"/>
    <w:rsid w:val="0065384E"/>
    <w:rsid w:val="00654ADC"/>
    <w:rsid w:val="00654D54"/>
    <w:rsid w:val="00655542"/>
    <w:rsid w:val="00655E32"/>
    <w:rsid w:val="00656518"/>
    <w:rsid w:val="00656BC9"/>
    <w:rsid w:val="00656F83"/>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1547"/>
    <w:rsid w:val="0069243A"/>
    <w:rsid w:val="006925E7"/>
    <w:rsid w:val="0069334A"/>
    <w:rsid w:val="00693A3F"/>
    <w:rsid w:val="00694562"/>
    <w:rsid w:val="0069462C"/>
    <w:rsid w:val="00694950"/>
    <w:rsid w:val="00694CA4"/>
    <w:rsid w:val="0069521E"/>
    <w:rsid w:val="0069586E"/>
    <w:rsid w:val="00695C44"/>
    <w:rsid w:val="006963CC"/>
    <w:rsid w:val="00697ACD"/>
    <w:rsid w:val="006A0144"/>
    <w:rsid w:val="006A02C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890"/>
    <w:rsid w:val="006D49E2"/>
    <w:rsid w:val="006D5475"/>
    <w:rsid w:val="006D553D"/>
    <w:rsid w:val="006D6F33"/>
    <w:rsid w:val="006E0623"/>
    <w:rsid w:val="006E06B3"/>
    <w:rsid w:val="006E2A7F"/>
    <w:rsid w:val="006E3CCB"/>
    <w:rsid w:val="006E48F6"/>
    <w:rsid w:val="006E56B1"/>
    <w:rsid w:val="006E5BC1"/>
    <w:rsid w:val="006E66D7"/>
    <w:rsid w:val="006E6C46"/>
    <w:rsid w:val="006E700B"/>
    <w:rsid w:val="006E742F"/>
    <w:rsid w:val="006E77E0"/>
    <w:rsid w:val="006F0534"/>
    <w:rsid w:val="006F0E68"/>
    <w:rsid w:val="006F1E41"/>
    <w:rsid w:val="006F22FE"/>
    <w:rsid w:val="006F239F"/>
    <w:rsid w:val="006F2B99"/>
    <w:rsid w:val="006F3936"/>
    <w:rsid w:val="006F41AF"/>
    <w:rsid w:val="006F421A"/>
    <w:rsid w:val="006F4BB2"/>
    <w:rsid w:val="006F54FF"/>
    <w:rsid w:val="006F58EA"/>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6F14"/>
    <w:rsid w:val="00707501"/>
    <w:rsid w:val="007076ED"/>
    <w:rsid w:val="00710FF3"/>
    <w:rsid w:val="00711F8B"/>
    <w:rsid w:val="0071272A"/>
    <w:rsid w:val="007127A2"/>
    <w:rsid w:val="007138B1"/>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36AC"/>
    <w:rsid w:val="00724262"/>
    <w:rsid w:val="00724806"/>
    <w:rsid w:val="00724FB5"/>
    <w:rsid w:val="00724FBB"/>
    <w:rsid w:val="00725F91"/>
    <w:rsid w:val="0072652B"/>
    <w:rsid w:val="00726B0E"/>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C01"/>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6C5"/>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5E"/>
    <w:rsid w:val="00786687"/>
    <w:rsid w:val="00787596"/>
    <w:rsid w:val="00787CCA"/>
    <w:rsid w:val="0079001A"/>
    <w:rsid w:val="00790C20"/>
    <w:rsid w:val="00791222"/>
    <w:rsid w:val="0079544F"/>
    <w:rsid w:val="00795636"/>
    <w:rsid w:val="00795AF6"/>
    <w:rsid w:val="00795DD4"/>
    <w:rsid w:val="007968C7"/>
    <w:rsid w:val="00797978"/>
    <w:rsid w:val="007A1715"/>
    <w:rsid w:val="007A28A1"/>
    <w:rsid w:val="007A3339"/>
    <w:rsid w:val="007A3427"/>
    <w:rsid w:val="007A3C52"/>
    <w:rsid w:val="007A4420"/>
    <w:rsid w:val="007A4C07"/>
    <w:rsid w:val="007A5099"/>
    <w:rsid w:val="007A526D"/>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606"/>
    <w:rsid w:val="007D31CE"/>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035"/>
    <w:rsid w:val="007F6316"/>
    <w:rsid w:val="007F6389"/>
    <w:rsid w:val="007F63C7"/>
    <w:rsid w:val="007F6430"/>
    <w:rsid w:val="007F647F"/>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6F2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41F"/>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2B4"/>
    <w:rsid w:val="00876D11"/>
    <w:rsid w:val="00877049"/>
    <w:rsid w:val="00877B85"/>
    <w:rsid w:val="00880FC1"/>
    <w:rsid w:val="008817D1"/>
    <w:rsid w:val="00881844"/>
    <w:rsid w:val="0088212B"/>
    <w:rsid w:val="00882482"/>
    <w:rsid w:val="00882FDB"/>
    <w:rsid w:val="00883437"/>
    <w:rsid w:val="00884C14"/>
    <w:rsid w:val="00884C81"/>
    <w:rsid w:val="00884DF0"/>
    <w:rsid w:val="00885741"/>
    <w:rsid w:val="00885949"/>
    <w:rsid w:val="0088685A"/>
    <w:rsid w:val="00886BD6"/>
    <w:rsid w:val="00886C1E"/>
    <w:rsid w:val="00887209"/>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0D4"/>
    <w:rsid w:val="008B64A1"/>
    <w:rsid w:val="008B6C34"/>
    <w:rsid w:val="008B7617"/>
    <w:rsid w:val="008C0469"/>
    <w:rsid w:val="008C08E2"/>
    <w:rsid w:val="008C097E"/>
    <w:rsid w:val="008C15EF"/>
    <w:rsid w:val="008C17F5"/>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1582"/>
    <w:rsid w:val="008D28D8"/>
    <w:rsid w:val="008D31CC"/>
    <w:rsid w:val="008D362E"/>
    <w:rsid w:val="008D38EE"/>
    <w:rsid w:val="008D3D0E"/>
    <w:rsid w:val="008D41F6"/>
    <w:rsid w:val="008D468C"/>
    <w:rsid w:val="008D4883"/>
    <w:rsid w:val="008D49D8"/>
    <w:rsid w:val="008E04CB"/>
    <w:rsid w:val="008E0AA3"/>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4DF3"/>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13"/>
    <w:rsid w:val="0092175F"/>
    <w:rsid w:val="009221CD"/>
    <w:rsid w:val="0092257D"/>
    <w:rsid w:val="00922626"/>
    <w:rsid w:val="009226F6"/>
    <w:rsid w:val="00924374"/>
    <w:rsid w:val="00924542"/>
    <w:rsid w:val="0092462E"/>
    <w:rsid w:val="009250A7"/>
    <w:rsid w:val="00925949"/>
    <w:rsid w:val="00925D2D"/>
    <w:rsid w:val="009279A5"/>
    <w:rsid w:val="00927E7D"/>
    <w:rsid w:val="0093071C"/>
    <w:rsid w:val="00930E1E"/>
    <w:rsid w:val="00931406"/>
    <w:rsid w:val="00931E7C"/>
    <w:rsid w:val="00933869"/>
    <w:rsid w:val="00933E50"/>
    <w:rsid w:val="00934899"/>
    <w:rsid w:val="00934CDA"/>
    <w:rsid w:val="009352C5"/>
    <w:rsid w:val="009354D6"/>
    <w:rsid w:val="009373D5"/>
    <w:rsid w:val="009379F7"/>
    <w:rsid w:val="009405A6"/>
    <w:rsid w:val="009405E8"/>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D4"/>
    <w:rsid w:val="009512D1"/>
    <w:rsid w:val="00951304"/>
    <w:rsid w:val="00951735"/>
    <w:rsid w:val="00951D0F"/>
    <w:rsid w:val="00952E13"/>
    <w:rsid w:val="00952F66"/>
    <w:rsid w:val="009530EB"/>
    <w:rsid w:val="00953115"/>
    <w:rsid w:val="009549A3"/>
    <w:rsid w:val="00954C12"/>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2F31"/>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082"/>
    <w:rsid w:val="009A3F36"/>
    <w:rsid w:val="009A408C"/>
    <w:rsid w:val="009A5C9D"/>
    <w:rsid w:val="009A5DC8"/>
    <w:rsid w:val="009A61CB"/>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C1"/>
    <w:rsid w:val="009C34B6"/>
    <w:rsid w:val="009C4BA5"/>
    <w:rsid w:val="009C4FB3"/>
    <w:rsid w:val="009C50E7"/>
    <w:rsid w:val="009C51C0"/>
    <w:rsid w:val="009C5B5D"/>
    <w:rsid w:val="009C73B5"/>
    <w:rsid w:val="009C76BA"/>
    <w:rsid w:val="009C7AD6"/>
    <w:rsid w:val="009C7F26"/>
    <w:rsid w:val="009D05E7"/>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44"/>
    <w:rsid w:val="009D62CD"/>
    <w:rsid w:val="009D6DCA"/>
    <w:rsid w:val="009D7455"/>
    <w:rsid w:val="009D77A6"/>
    <w:rsid w:val="009D7B27"/>
    <w:rsid w:val="009E07ED"/>
    <w:rsid w:val="009E0888"/>
    <w:rsid w:val="009E0CB5"/>
    <w:rsid w:val="009E14C9"/>
    <w:rsid w:val="009E196B"/>
    <w:rsid w:val="009E1EEE"/>
    <w:rsid w:val="009E26EA"/>
    <w:rsid w:val="009E29F9"/>
    <w:rsid w:val="009E4490"/>
    <w:rsid w:val="009E4CAA"/>
    <w:rsid w:val="009E51B9"/>
    <w:rsid w:val="009E60D4"/>
    <w:rsid w:val="009E6708"/>
    <w:rsid w:val="009E6E6E"/>
    <w:rsid w:val="009E7C27"/>
    <w:rsid w:val="009F04AD"/>
    <w:rsid w:val="009F321D"/>
    <w:rsid w:val="009F50A6"/>
    <w:rsid w:val="009F5FA5"/>
    <w:rsid w:val="009F6DDF"/>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1FC"/>
    <w:rsid w:val="00A25656"/>
    <w:rsid w:val="00A259A0"/>
    <w:rsid w:val="00A25BF1"/>
    <w:rsid w:val="00A26480"/>
    <w:rsid w:val="00A26B90"/>
    <w:rsid w:val="00A26CB8"/>
    <w:rsid w:val="00A26D1F"/>
    <w:rsid w:val="00A26D82"/>
    <w:rsid w:val="00A305F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2C02"/>
    <w:rsid w:val="00A43830"/>
    <w:rsid w:val="00A438EB"/>
    <w:rsid w:val="00A440BB"/>
    <w:rsid w:val="00A44181"/>
    <w:rsid w:val="00A441EA"/>
    <w:rsid w:val="00A44E2F"/>
    <w:rsid w:val="00A4575C"/>
    <w:rsid w:val="00A462AB"/>
    <w:rsid w:val="00A46411"/>
    <w:rsid w:val="00A46434"/>
    <w:rsid w:val="00A46487"/>
    <w:rsid w:val="00A4735A"/>
    <w:rsid w:val="00A47A2A"/>
    <w:rsid w:val="00A47B92"/>
    <w:rsid w:val="00A5033B"/>
    <w:rsid w:val="00A50BCE"/>
    <w:rsid w:val="00A51345"/>
    <w:rsid w:val="00A5234F"/>
    <w:rsid w:val="00A52B92"/>
    <w:rsid w:val="00A52DBF"/>
    <w:rsid w:val="00A53676"/>
    <w:rsid w:val="00A53EF1"/>
    <w:rsid w:val="00A543BE"/>
    <w:rsid w:val="00A5468B"/>
    <w:rsid w:val="00A553CE"/>
    <w:rsid w:val="00A5542E"/>
    <w:rsid w:val="00A55A90"/>
    <w:rsid w:val="00A55C30"/>
    <w:rsid w:val="00A56449"/>
    <w:rsid w:val="00A57AC0"/>
    <w:rsid w:val="00A6038C"/>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5D7"/>
    <w:rsid w:val="00A94634"/>
    <w:rsid w:val="00A95519"/>
    <w:rsid w:val="00A96CF5"/>
    <w:rsid w:val="00A97754"/>
    <w:rsid w:val="00AA0559"/>
    <w:rsid w:val="00AA05BD"/>
    <w:rsid w:val="00AA05FA"/>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0F65"/>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1CC"/>
    <w:rsid w:val="00AD7602"/>
    <w:rsid w:val="00AD76B2"/>
    <w:rsid w:val="00AE0CDE"/>
    <w:rsid w:val="00AE1199"/>
    <w:rsid w:val="00AE13BE"/>
    <w:rsid w:val="00AE17FE"/>
    <w:rsid w:val="00AE2D69"/>
    <w:rsid w:val="00AE3CB1"/>
    <w:rsid w:val="00AE48BE"/>
    <w:rsid w:val="00AE4E5A"/>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CDE"/>
    <w:rsid w:val="00AF5F1D"/>
    <w:rsid w:val="00AF6274"/>
    <w:rsid w:val="00AF64A3"/>
    <w:rsid w:val="00AF6523"/>
    <w:rsid w:val="00AF6C25"/>
    <w:rsid w:val="00AF7B82"/>
    <w:rsid w:val="00B02342"/>
    <w:rsid w:val="00B03251"/>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1A1E"/>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741"/>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0F3"/>
    <w:rsid w:val="00B7688B"/>
    <w:rsid w:val="00B76F7D"/>
    <w:rsid w:val="00B779D8"/>
    <w:rsid w:val="00B77F59"/>
    <w:rsid w:val="00B800E2"/>
    <w:rsid w:val="00B8026B"/>
    <w:rsid w:val="00B803C1"/>
    <w:rsid w:val="00B809A1"/>
    <w:rsid w:val="00B80CC6"/>
    <w:rsid w:val="00B80D6C"/>
    <w:rsid w:val="00B80F52"/>
    <w:rsid w:val="00B81F1B"/>
    <w:rsid w:val="00B82611"/>
    <w:rsid w:val="00B82841"/>
    <w:rsid w:val="00B8353E"/>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101A"/>
    <w:rsid w:val="00BC211C"/>
    <w:rsid w:val="00BC26A0"/>
    <w:rsid w:val="00BC34E6"/>
    <w:rsid w:val="00BC3B5D"/>
    <w:rsid w:val="00BC3CB4"/>
    <w:rsid w:val="00BC4F21"/>
    <w:rsid w:val="00BC5040"/>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3A0B"/>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13D"/>
    <w:rsid w:val="00BF1689"/>
    <w:rsid w:val="00BF1D3A"/>
    <w:rsid w:val="00BF3479"/>
    <w:rsid w:val="00BF3630"/>
    <w:rsid w:val="00BF3F7B"/>
    <w:rsid w:val="00BF4402"/>
    <w:rsid w:val="00BF4687"/>
    <w:rsid w:val="00BF6178"/>
    <w:rsid w:val="00BF6641"/>
    <w:rsid w:val="00BF6B76"/>
    <w:rsid w:val="00BF6E88"/>
    <w:rsid w:val="00BF79AF"/>
    <w:rsid w:val="00C00924"/>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65"/>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5CDD"/>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674"/>
    <w:rsid w:val="00C847D1"/>
    <w:rsid w:val="00C85411"/>
    <w:rsid w:val="00C855E7"/>
    <w:rsid w:val="00C8621A"/>
    <w:rsid w:val="00C873ED"/>
    <w:rsid w:val="00C8749F"/>
    <w:rsid w:val="00C879E1"/>
    <w:rsid w:val="00C87B4E"/>
    <w:rsid w:val="00C903E3"/>
    <w:rsid w:val="00C907A0"/>
    <w:rsid w:val="00C908BA"/>
    <w:rsid w:val="00C91246"/>
    <w:rsid w:val="00C9132A"/>
    <w:rsid w:val="00C927FB"/>
    <w:rsid w:val="00C92D13"/>
    <w:rsid w:val="00C92E12"/>
    <w:rsid w:val="00C93022"/>
    <w:rsid w:val="00C932A9"/>
    <w:rsid w:val="00C936B3"/>
    <w:rsid w:val="00C95665"/>
    <w:rsid w:val="00C95685"/>
    <w:rsid w:val="00C95A43"/>
    <w:rsid w:val="00C95EE8"/>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4889"/>
    <w:rsid w:val="00CE5621"/>
    <w:rsid w:val="00CE5628"/>
    <w:rsid w:val="00CE5D8F"/>
    <w:rsid w:val="00CE66EF"/>
    <w:rsid w:val="00CE6EBB"/>
    <w:rsid w:val="00CE6EE4"/>
    <w:rsid w:val="00CE72C3"/>
    <w:rsid w:val="00CE7A5B"/>
    <w:rsid w:val="00CE7C40"/>
    <w:rsid w:val="00CF1482"/>
    <w:rsid w:val="00CF18D3"/>
    <w:rsid w:val="00CF466F"/>
    <w:rsid w:val="00CF4E82"/>
    <w:rsid w:val="00CF66F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4B7"/>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09C5"/>
    <w:rsid w:val="00D316F2"/>
    <w:rsid w:val="00D31C1C"/>
    <w:rsid w:val="00D32C58"/>
    <w:rsid w:val="00D33113"/>
    <w:rsid w:val="00D339C0"/>
    <w:rsid w:val="00D34252"/>
    <w:rsid w:val="00D3459A"/>
    <w:rsid w:val="00D34CFC"/>
    <w:rsid w:val="00D34FD7"/>
    <w:rsid w:val="00D3539E"/>
    <w:rsid w:val="00D368B5"/>
    <w:rsid w:val="00D36FB7"/>
    <w:rsid w:val="00D371FF"/>
    <w:rsid w:val="00D37F69"/>
    <w:rsid w:val="00D40721"/>
    <w:rsid w:val="00D40B80"/>
    <w:rsid w:val="00D418D1"/>
    <w:rsid w:val="00D41FFF"/>
    <w:rsid w:val="00D427C2"/>
    <w:rsid w:val="00D42957"/>
    <w:rsid w:val="00D42A50"/>
    <w:rsid w:val="00D42FE1"/>
    <w:rsid w:val="00D43364"/>
    <w:rsid w:val="00D43F96"/>
    <w:rsid w:val="00D44100"/>
    <w:rsid w:val="00D44B88"/>
    <w:rsid w:val="00D44CF1"/>
    <w:rsid w:val="00D45417"/>
    <w:rsid w:val="00D45588"/>
    <w:rsid w:val="00D456BE"/>
    <w:rsid w:val="00D45854"/>
    <w:rsid w:val="00D45DC5"/>
    <w:rsid w:val="00D46217"/>
    <w:rsid w:val="00D46AC2"/>
    <w:rsid w:val="00D474E5"/>
    <w:rsid w:val="00D474FE"/>
    <w:rsid w:val="00D50B36"/>
    <w:rsid w:val="00D51FD2"/>
    <w:rsid w:val="00D520A0"/>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319"/>
    <w:rsid w:val="00D84FE1"/>
    <w:rsid w:val="00D85992"/>
    <w:rsid w:val="00D85C02"/>
    <w:rsid w:val="00D85DB7"/>
    <w:rsid w:val="00D85DB8"/>
    <w:rsid w:val="00D85E26"/>
    <w:rsid w:val="00D86733"/>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38C"/>
    <w:rsid w:val="00DB3771"/>
    <w:rsid w:val="00DB39F2"/>
    <w:rsid w:val="00DB40EA"/>
    <w:rsid w:val="00DB535E"/>
    <w:rsid w:val="00DB6FED"/>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52DA"/>
    <w:rsid w:val="00DD6109"/>
    <w:rsid w:val="00DD6217"/>
    <w:rsid w:val="00DD663D"/>
    <w:rsid w:val="00DD710F"/>
    <w:rsid w:val="00DD7E37"/>
    <w:rsid w:val="00DE042F"/>
    <w:rsid w:val="00DE0F4A"/>
    <w:rsid w:val="00DE1ECE"/>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DF7FAC"/>
    <w:rsid w:val="00E01EFA"/>
    <w:rsid w:val="00E02398"/>
    <w:rsid w:val="00E02959"/>
    <w:rsid w:val="00E029A6"/>
    <w:rsid w:val="00E039C4"/>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4B3"/>
    <w:rsid w:val="00E177AC"/>
    <w:rsid w:val="00E17FDD"/>
    <w:rsid w:val="00E206AE"/>
    <w:rsid w:val="00E212E1"/>
    <w:rsid w:val="00E213DE"/>
    <w:rsid w:val="00E2251E"/>
    <w:rsid w:val="00E2263A"/>
    <w:rsid w:val="00E23736"/>
    <w:rsid w:val="00E237E1"/>
    <w:rsid w:val="00E23B55"/>
    <w:rsid w:val="00E2454D"/>
    <w:rsid w:val="00E24642"/>
    <w:rsid w:val="00E24865"/>
    <w:rsid w:val="00E249B4"/>
    <w:rsid w:val="00E25812"/>
    <w:rsid w:val="00E25A0E"/>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67F"/>
    <w:rsid w:val="00E61A47"/>
    <w:rsid w:val="00E61AE1"/>
    <w:rsid w:val="00E61BDA"/>
    <w:rsid w:val="00E61C8F"/>
    <w:rsid w:val="00E6229D"/>
    <w:rsid w:val="00E63268"/>
    <w:rsid w:val="00E63399"/>
    <w:rsid w:val="00E6454B"/>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2F8F"/>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52C"/>
    <w:rsid w:val="00EB6CFB"/>
    <w:rsid w:val="00EB7037"/>
    <w:rsid w:val="00EB7148"/>
    <w:rsid w:val="00EB7C02"/>
    <w:rsid w:val="00EC07C4"/>
    <w:rsid w:val="00EC0F5D"/>
    <w:rsid w:val="00EC1525"/>
    <w:rsid w:val="00EC2195"/>
    <w:rsid w:val="00EC2911"/>
    <w:rsid w:val="00EC30C6"/>
    <w:rsid w:val="00EC4933"/>
    <w:rsid w:val="00EC4A9A"/>
    <w:rsid w:val="00EC4C53"/>
    <w:rsid w:val="00EC534F"/>
    <w:rsid w:val="00EC5B58"/>
    <w:rsid w:val="00EC6581"/>
    <w:rsid w:val="00EC678E"/>
    <w:rsid w:val="00EC758D"/>
    <w:rsid w:val="00ED0AF6"/>
    <w:rsid w:val="00ED0D97"/>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CC8"/>
    <w:rsid w:val="00EE7F45"/>
    <w:rsid w:val="00EF25AF"/>
    <w:rsid w:val="00EF3543"/>
    <w:rsid w:val="00EF3D74"/>
    <w:rsid w:val="00EF62CC"/>
    <w:rsid w:val="00EF6584"/>
    <w:rsid w:val="00EF6C39"/>
    <w:rsid w:val="00EF7C81"/>
    <w:rsid w:val="00F0024C"/>
    <w:rsid w:val="00F00C00"/>
    <w:rsid w:val="00F00F94"/>
    <w:rsid w:val="00F01262"/>
    <w:rsid w:val="00F01C64"/>
    <w:rsid w:val="00F0259A"/>
    <w:rsid w:val="00F03159"/>
    <w:rsid w:val="00F0343C"/>
    <w:rsid w:val="00F03E48"/>
    <w:rsid w:val="00F04168"/>
    <w:rsid w:val="00F047EC"/>
    <w:rsid w:val="00F04E92"/>
    <w:rsid w:val="00F05279"/>
    <w:rsid w:val="00F057F4"/>
    <w:rsid w:val="00F07156"/>
    <w:rsid w:val="00F102AA"/>
    <w:rsid w:val="00F10AB2"/>
    <w:rsid w:val="00F10DDF"/>
    <w:rsid w:val="00F115AD"/>
    <w:rsid w:val="00F11880"/>
    <w:rsid w:val="00F118D6"/>
    <w:rsid w:val="00F11B26"/>
    <w:rsid w:val="00F137E0"/>
    <w:rsid w:val="00F140A7"/>
    <w:rsid w:val="00F146FC"/>
    <w:rsid w:val="00F154CB"/>
    <w:rsid w:val="00F1631F"/>
    <w:rsid w:val="00F16493"/>
    <w:rsid w:val="00F17749"/>
    <w:rsid w:val="00F2072B"/>
    <w:rsid w:val="00F20E40"/>
    <w:rsid w:val="00F215D8"/>
    <w:rsid w:val="00F22579"/>
    <w:rsid w:val="00F22605"/>
    <w:rsid w:val="00F228A4"/>
    <w:rsid w:val="00F24817"/>
    <w:rsid w:val="00F24898"/>
    <w:rsid w:val="00F25075"/>
    <w:rsid w:val="00F26084"/>
    <w:rsid w:val="00F267D0"/>
    <w:rsid w:val="00F2778C"/>
    <w:rsid w:val="00F27E9F"/>
    <w:rsid w:val="00F31654"/>
    <w:rsid w:val="00F3168F"/>
    <w:rsid w:val="00F31FBE"/>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26F"/>
    <w:rsid w:val="00F5448D"/>
    <w:rsid w:val="00F54743"/>
    <w:rsid w:val="00F547C7"/>
    <w:rsid w:val="00F55D51"/>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8E3"/>
    <w:rsid w:val="00F67DF9"/>
    <w:rsid w:val="00F7153C"/>
    <w:rsid w:val="00F715D8"/>
    <w:rsid w:val="00F71FA6"/>
    <w:rsid w:val="00F7234C"/>
    <w:rsid w:val="00F73A89"/>
    <w:rsid w:val="00F73C70"/>
    <w:rsid w:val="00F73CC1"/>
    <w:rsid w:val="00F75715"/>
    <w:rsid w:val="00F7587A"/>
    <w:rsid w:val="00F75F0E"/>
    <w:rsid w:val="00F76544"/>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3DFD"/>
    <w:rsid w:val="00FA4A5B"/>
    <w:rsid w:val="00FA5523"/>
    <w:rsid w:val="00FA5ABD"/>
    <w:rsid w:val="00FA5C08"/>
    <w:rsid w:val="00FA6994"/>
    <w:rsid w:val="00FA7E3A"/>
    <w:rsid w:val="00FA7F10"/>
    <w:rsid w:val="00FB19F1"/>
    <w:rsid w:val="00FB1EDC"/>
    <w:rsid w:val="00FB22C6"/>
    <w:rsid w:val="00FB282F"/>
    <w:rsid w:val="00FB3000"/>
    <w:rsid w:val="00FB3160"/>
    <w:rsid w:val="00FB3270"/>
    <w:rsid w:val="00FB39E3"/>
    <w:rsid w:val="00FB3EB0"/>
    <w:rsid w:val="00FB4336"/>
    <w:rsid w:val="00FB4865"/>
    <w:rsid w:val="00FB57E9"/>
    <w:rsid w:val="00FB58C1"/>
    <w:rsid w:val="00FB590B"/>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77"/>
    <w:rsid w:val="00FF14AE"/>
    <w:rsid w:val="00FF154F"/>
    <w:rsid w:val="00FF1585"/>
    <w:rsid w:val="00FF16F9"/>
    <w:rsid w:val="00FF2257"/>
    <w:rsid w:val="00FF33F4"/>
    <w:rsid w:val="00FF4469"/>
    <w:rsid w:val="00FF4AE0"/>
    <w:rsid w:val="00FF7761"/>
    <w:rsid w:val="00FF78ED"/>
    <w:rsid w:val="024B7AE1"/>
    <w:rsid w:val="037363CE"/>
    <w:rsid w:val="03D04462"/>
    <w:rsid w:val="087B3B74"/>
    <w:rsid w:val="0ADA49F0"/>
    <w:rsid w:val="0AF50152"/>
    <w:rsid w:val="0B1420E1"/>
    <w:rsid w:val="0B4747ED"/>
    <w:rsid w:val="10440564"/>
    <w:rsid w:val="15113377"/>
    <w:rsid w:val="16F86427"/>
    <w:rsid w:val="18B460CC"/>
    <w:rsid w:val="18CC742F"/>
    <w:rsid w:val="21E4080E"/>
    <w:rsid w:val="225B7BAE"/>
    <w:rsid w:val="2313024A"/>
    <w:rsid w:val="24E51EAC"/>
    <w:rsid w:val="253E22C1"/>
    <w:rsid w:val="27194FC4"/>
    <w:rsid w:val="2ACD65B4"/>
    <w:rsid w:val="2B5A366E"/>
    <w:rsid w:val="2D662F17"/>
    <w:rsid w:val="31276D7A"/>
    <w:rsid w:val="3A292D93"/>
    <w:rsid w:val="3B575BA2"/>
    <w:rsid w:val="3C451835"/>
    <w:rsid w:val="3D476E93"/>
    <w:rsid w:val="41374A42"/>
    <w:rsid w:val="50412305"/>
    <w:rsid w:val="531D4EE5"/>
    <w:rsid w:val="53A06F58"/>
    <w:rsid w:val="595D40E9"/>
    <w:rsid w:val="5B29657E"/>
    <w:rsid w:val="5BE50D45"/>
    <w:rsid w:val="624B1A06"/>
    <w:rsid w:val="66FA0CE9"/>
    <w:rsid w:val="68D46F5C"/>
    <w:rsid w:val="69644C68"/>
    <w:rsid w:val="6A1D0B3C"/>
    <w:rsid w:val="74A01645"/>
    <w:rsid w:val="759721F7"/>
    <w:rsid w:val="78675A53"/>
    <w:rsid w:val="7A2A1039"/>
    <w:rsid w:val="7BE23D8D"/>
    <w:rsid w:val="7E77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eastAsia="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eastAsia="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eastAsia="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eastAsia="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字符"/>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字符"/>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字符"/>
    <w:link w:val="14"/>
    <w:qFormat/>
    <w:uiPriority w:val="0"/>
    <w:rPr>
      <w:rFonts w:ascii="Calibri" w:hAnsi="Calibri"/>
      <w:kern w:val="2"/>
      <w:sz w:val="21"/>
      <w:szCs w:val="22"/>
    </w:rPr>
  </w:style>
  <w:style w:type="character" w:customStyle="1" w:styleId="52">
    <w:name w:val="批注主题 字符"/>
    <w:link w:val="33"/>
    <w:qFormat/>
    <w:uiPriority w:val="0"/>
    <w:rPr>
      <w:rFonts w:ascii="Calibri" w:hAnsi="Calibri"/>
      <w:b/>
      <w:bCs/>
      <w:kern w:val="2"/>
      <w:sz w:val="21"/>
      <w:szCs w:val="22"/>
    </w:rPr>
  </w:style>
  <w:style w:type="character" w:customStyle="1" w:styleId="53">
    <w:name w:val="页脚 字符"/>
    <w:link w:val="24"/>
    <w:qFormat/>
    <w:uiPriority w:val="99"/>
    <w:rPr>
      <w:kern w:val="2"/>
      <w:sz w:val="18"/>
    </w:rPr>
  </w:style>
  <w:style w:type="character" w:customStyle="1" w:styleId="54">
    <w:name w:val="标题 字符"/>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字符"/>
    <w:link w:val="25"/>
    <w:qFormat/>
    <w:uiPriority w:val="99"/>
    <w:rPr>
      <w:kern w:val="2"/>
      <w:sz w:val="18"/>
    </w:rPr>
  </w:style>
  <w:style w:type="paragraph" w:customStyle="1" w:styleId="5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字符"/>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字符"/>
    <w:basedOn w:val="36"/>
    <w:link w:val="6"/>
    <w:semiHidden/>
    <w:qFormat/>
    <w:uiPriority w:val="0"/>
    <w:rPr>
      <w:rFonts w:ascii="Calibri" w:hAnsi="Calibri"/>
      <w:b/>
      <w:bCs/>
      <w:kern w:val="2"/>
      <w:sz w:val="28"/>
      <w:szCs w:val="28"/>
    </w:rPr>
  </w:style>
  <w:style w:type="character" w:customStyle="1" w:styleId="64">
    <w:name w:val="标题 6 字符"/>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字符"/>
    <w:basedOn w:val="36"/>
    <w:link w:val="8"/>
    <w:semiHidden/>
    <w:qFormat/>
    <w:uiPriority w:val="0"/>
    <w:rPr>
      <w:rFonts w:ascii="Calibri" w:hAnsi="Calibri"/>
      <w:b/>
      <w:bCs/>
      <w:kern w:val="2"/>
      <w:sz w:val="24"/>
      <w:szCs w:val="24"/>
    </w:rPr>
  </w:style>
  <w:style w:type="character" w:customStyle="1" w:styleId="66">
    <w:name w:val="标题 8 字符"/>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字符"/>
    <w:basedOn w:val="36"/>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268A4-B92E-4B66-A1A3-6A7F162740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668</Words>
  <Characters>3809</Characters>
  <Lines>31</Lines>
  <Paragraphs>8</Paragraphs>
  <TotalTime>1</TotalTime>
  <ScaleCrop>false</ScaleCrop>
  <LinksUpToDate>false</LinksUpToDate>
  <CharactersWithSpaces>4469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2018-12-28T03:32:00Z</dcterms:created>
  <dc:creator>MC SYSTEM</dc:creator>
  <cp:lastModifiedBy>GGazVZ81PS+1gluhSjhM/77BS0Gvt913ZTJLPAWqgDvmDrRNQfwPYj31r+g+vZS3ZbS0mE8c/d9ghPgVVgpaew==</cp:lastModifiedBy>
  <cp:lastPrinted>2021-05-11T01:32:00Z</cp:lastPrinted>
  <dcterms:modified xsi:type="dcterms:W3CDTF">2021-06-11T02:07:27Z</dcterms:modified>
  <dc:title>附件3</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