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000000" w:themeColor="text1"/>
          <w:sz w:val="30"/>
          <w:szCs w:val="30"/>
          <w14:textFill>
            <w14:solidFill>
              <w14:schemeClr w14:val="tx1"/>
            </w14:solidFill>
          </w14:textFill>
        </w:rPr>
      </w:pPr>
      <w:bookmarkStart w:id="0" w:name="_Toc114052410"/>
      <w:bookmarkStart w:id="1" w:name="_Toc286386830"/>
      <w:bookmarkStart w:id="2" w:name="_Toc114052336"/>
      <w:bookmarkStart w:id="3" w:name="_Toc4003"/>
      <w:bookmarkStart w:id="4" w:name="_Toc17022"/>
      <w:bookmarkStart w:id="5" w:name="_Toc21919"/>
      <w:bookmarkStart w:id="6" w:name="_Toc14991"/>
      <w:bookmarkStart w:id="7" w:name="_Toc25920"/>
      <w:bookmarkStart w:id="8" w:name="_Toc9725"/>
      <w:bookmarkStart w:id="9" w:name="_Toc13323"/>
      <w:bookmarkStart w:id="10" w:name="_Toc11424"/>
      <w:bookmarkStart w:id="11" w:name="_Toc12281"/>
      <w:bookmarkStart w:id="12" w:name="_Toc28464"/>
      <w:bookmarkStart w:id="13" w:name="_Toc23292"/>
      <w:bookmarkStart w:id="14" w:name="_Toc16340"/>
      <w:bookmarkStart w:id="15" w:name="_Toc9458"/>
      <w:bookmarkStart w:id="16" w:name="_Toc1179"/>
      <w:bookmarkStart w:id="17" w:name="_Toc15740"/>
      <w:bookmarkStart w:id="18" w:name="_Toc25750632"/>
      <w:bookmarkStart w:id="19" w:name="_Toc9991"/>
      <w:bookmarkStart w:id="20" w:name="_Toc7547"/>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360" w:lineRule="auto"/>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line="360" w:lineRule="auto"/>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FF0000"/>
          <w:sz w:val="44"/>
          <w:szCs w:val="44"/>
          <w:lang w:eastAsia="zh-CN"/>
        </w:rPr>
        <w:t>2021年广电运通备件</w:t>
      </w:r>
      <w:r>
        <w:rPr>
          <w:rFonts w:hint="eastAsia"/>
          <w:color w:val="000000" w:themeColor="text1"/>
          <w:sz w:val="44"/>
          <w:szCs w:val="44"/>
          <w14:textFill>
            <w14:solidFill>
              <w14:schemeClr w14:val="tx1"/>
            </w14:solidFill>
          </w14:textFill>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spacing w:line="360" w:lineRule="auto"/>
              <w:jc w:val="left"/>
              <w:rPr>
                <w:rFonts w:hint="eastAsia" w:ascii="宋体" w:hAnsi="宋体" w:eastAsia="宋体"/>
                <w:color w:val="FF0000"/>
                <w:kern w:val="2"/>
                <w:sz w:val="28"/>
                <w:szCs w:val="30"/>
                <w:lang w:eastAsia="zh-CN"/>
              </w:rPr>
            </w:pPr>
            <w:r>
              <w:rPr>
                <w:rFonts w:hint="eastAsia" w:ascii="宋体" w:hAnsi="宋体"/>
                <w:color w:val="FF0000"/>
                <w:kern w:val="2"/>
                <w:sz w:val="28"/>
                <w:szCs w:val="30"/>
                <w:lang w:eastAsia="zh-CN"/>
              </w:rPr>
              <w:t>NNGD-YY-BJBJ-2021092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spacing w:line="360" w:lineRule="auto"/>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spacing w:line="360" w:lineRule="auto"/>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before="0"/>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FF0000"/>
          <w:sz w:val="28"/>
          <w:szCs w:val="28"/>
          <w:u w:val="single"/>
        </w:rPr>
        <w:t>202</w:t>
      </w:r>
      <w:r>
        <w:rPr>
          <w:rFonts w:ascii="宋体" w:hAnsi="宋体"/>
          <w:bCs/>
          <w:color w:val="FF0000"/>
          <w:sz w:val="28"/>
          <w:szCs w:val="28"/>
          <w:u w:val="single"/>
        </w:rPr>
        <w:t>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szCs w:val="22"/>
        </w:rPr>
      </w:pPr>
      <w:bookmarkStart w:id="21" w:name="_Toc14463"/>
      <w:bookmarkStart w:id="22" w:name="_Toc25828"/>
      <w:bookmarkStart w:id="23" w:name="_Toc15840"/>
      <w:bookmarkStart w:id="24" w:name="_Toc31368"/>
      <w:bookmarkStart w:id="25" w:name="_Toc6190"/>
      <w:bookmarkStart w:id="26" w:name="_Toc8999"/>
      <w:bookmarkStart w:id="27" w:name="_Toc3488"/>
      <w:bookmarkStart w:id="28" w:name="_Toc1289"/>
      <w:bookmarkStart w:id="29" w:name="_Toc20060"/>
      <w:bookmarkStart w:id="30" w:name="_Toc32403"/>
      <w:bookmarkStart w:id="31" w:name="_Toc6950"/>
      <w:bookmarkStart w:id="32" w:name="_Toc25750633"/>
      <w:bookmarkStart w:id="33" w:name="_Toc7587"/>
      <w:bookmarkStart w:id="34" w:name="_Toc4026"/>
      <w:bookmarkStart w:id="35" w:name="_Toc29797"/>
      <w:bookmarkStart w:id="36" w:name="_Toc12983547"/>
      <w:bookmarkStart w:id="37" w:name="_Toc2618"/>
      <w:bookmarkStart w:id="38" w:name="_Toc7236"/>
      <w:bookmarkStart w:id="39" w:name="_Toc13761"/>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line="360" w:lineRule="auto"/>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line="360" w:lineRule="auto"/>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color w:val="FF0000"/>
          <w:u w:val="single"/>
          <w:lang w:eastAsia="zh-CN"/>
        </w:rPr>
        <w:t>2021年广电运通备件</w:t>
      </w:r>
      <w:r>
        <w:rPr>
          <w:rFonts w:hint="eastAsia" w:ascii="宋体" w:hAnsi="宋体"/>
          <w:u w:val="single"/>
        </w:rPr>
        <w:t>采购项目</w:t>
      </w:r>
      <w:r>
        <w:rPr>
          <w:rFonts w:hint="eastAsia" w:ascii="宋体" w:hAnsi="宋体"/>
        </w:rPr>
        <w:t>（项目编号：</w:t>
      </w:r>
      <w:r>
        <w:rPr>
          <w:rFonts w:hint="eastAsia" w:ascii="宋体" w:hAnsi="宋体"/>
          <w:color w:val="FF0000"/>
          <w:u w:val="single"/>
          <w:lang w:eastAsia="zh-CN"/>
        </w:rPr>
        <w:t>NNGD-YY-BJBJ-2021092</w:t>
      </w:r>
      <w:r>
        <w:rPr>
          <w:rFonts w:hint="eastAsia" w:ascii="宋体" w:hAnsi="宋体"/>
        </w:rPr>
        <w:t>）询比价结果，依据《中华人民共和国</w:t>
      </w:r>
      <w:r>
        <w:rPr>
          <w:rFonts w:hint="eastAsia" w:ascii="宋体" w:hAnsi="宋体"/>
          <w:color w:val="FF0000"/>
          <w:lang w:val="en-US" w:eastAsia="zh-CN"/>
        </w:rPr>
        <w:t>民法典</w:t>
      </w:r>
      <w:r>
        <w:rPr>
          <w:rFonts w:hint="eastAsia" w:ascii="宋体" w:hAnsi="宋体"/>
        </w:rPr>
        <w:t>》的规定，签订协议。具体内容如下：</w:t>
      </w:r>
    </w:p>
    <w:p>
      <w:pPr>
        <w:spacing w:before="0" w:afterAutospacing="0" w:line="360" w:lineRule="auto"/>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olor w:val="FF0000"/>
          <w:u w:val="single"/>
          <w:lang w:eastAsia="zh-CN"/>
        </w:rPr>
        <w:t>2021年广电运通备件</w:t>
      </w:r>
      <w:r>
        <w:rPr>
          <w:rFonts w:hint="eastAsia" w:ascii="宋体" w:hAnsi="宋体"/>
          <w:color w:val="FF0000"/>
          <w:u w:val="single"/>
        </w:rPr>
        <w:t>采购</w:t>
      </w:r>
      <w:r>
        <w:rPr>
          <w:rFonts w:hint="eastAsia" w:ascii="宋体" w:hAnsi="宋体"/>
          <w:u w:val="single"/>
        </w:rPr>
        <w:t>项目</w:t>
      </w:r>
      <w:r>
        <w:rPr>
          <w:rFonts w:hint="eastAsia" w:ascii="宋体" w:hAnsi="宋体" w:cs="Arial"/>
        </w:rPr>
        <w:t>项下的货物和服务。</w:t>
      </w:r>
    </w:p>
    <w:p>
      <w:pPr>
        <w:tabs>
          <w:tab w:val="left" w:pos="567"/>
        </w:tabs>
        <w:spacing w:before="0" w:afterAutospacing="0" w:line="360" w:lineRule="auto"/>
        <w:ind w:right="0"/>
        <w:jc w:val="left"/>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w:t>
      </w:r>
      <w:r>
        <w:rPr>
          <w:rFonts w:hint="eastAsia"/>
          <w:color w:val="000000" w:themeColor="text1"/>
          <w:sz w:val="24"/>
          <w:u w:val="single"/>
          <w14:textFill>
            <w14:solidFill>
              <w14:schemeClr w14:val="tx1"/>
            </w14:solidFill>
          </w14:textFill>
        </w:rPr>
        <w:t>(</w:t>
      </w:r>
      <w:r>
        <w:rPr>
          <w:rFonts w:ascii="宋体" w:hAnsi="宋体"/>
          <w:u w:val="single"/>
        </w:rPr>
        <w:t>¥</w:t>
      </w:r>
      <w:r>
        <w:rPr>
          <w:rFonts w:hint="eastAsia" w:ascii="宋体" w:hAnsi="宋体"/>
          <w:u w:val="single"/>
        </w:rPr>
        <w:t xml:space="preserve">  元）</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w:t>
      </w:r>
      <w:r>
        <w:rPr>
          <w:rFonts w:hint="eastAsia" w:ascii="宋体" w:hAnsi="宋体"/>
          <w:u w:val="single"/>
        </w:rPr>
        <w:t xml:space="preserve">    (</w:t>
      </w:r>
      <w:r>
        <w:rPr>
          <w:rFonts w:ascii="宋体" w:hAnsi="宋体"/>
          <w:u w:val="single"/>
        </w:rPr>
        <w:t>¥</w:t>
      </w:r>
      <w:r>
        <w:rPr>
          <w:rFonts w:hint="eastAsia" w:ascii="宋体" w:hAnsi="宋体"/>
          <w:u w:val="single"/>
        </w:rPr>
        <w:t xml:space="preserve">    元)，</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rPr>
      </w:pPr>
      <w:r>
        <w:rPr>
          <w:rFonts w:hint="eastAsia" w:ascii="宋体" w:hAnsi="宋体"/>
        </w:rPr>
        <w:t>3.本合同由下列文件构成：</w:t>
      </w:r>
    </w:p>
    <w:p>
      <w:pPr>
        <w:spacing w:before="0" w:afterAutospacing="0" w:line="360" w:lineRule="auto"/>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line="360" w:lineRule="auto"/>
        <w:ind w:right="0" w:firstLine="420" w:firstLineChars="200"/>
        <w:rPr>
          <w:rFonts w:ascii="宋体" w:hAnsi="宋体"/>
        </w:rPr>
      </w:pPr>
      <w:r>
        <w:rPr>
          <w:rFonts w:hint="eastAsia" w:ascii="宋体" w:hAnsi="宋体"/>
        </w:rPr>
        <w:t>（2）合同条款；</w:t>
      </w:r>
    </w:p>
    <w:p>
      <w:pPr>
        <w:spacing w:before="0" w:afterAutospacing="0" w:line="360" w:lineRule="auto"/>
        <w:ind w:right="0" w:firstLine="420" w:firstLineChars="200"/>
        <w:rPr>
          <w:rFonts w:ascii="宋体" w:hAnsi="宋体"/>
        </w:rPr>
      </w:pPr>
      <w:r>
        <w:rPr>
          <w:rFonts w:hint="eastAsia" w:ascii="宋体" w:hAnsi="宋体"/>
        </w:rPr>
        <w:t>（3）价格组成文件；</w:t>
      </w:r>
    </w:p>
    <w:p>
      <w:pPr>
        <w:spacing w:before="0" w:afterAutospacing="0" w:line="360" w:lineRule="auto"/>
        <w:ind w:right="0" w:firstLine="420" w:firstLineChars="200"/>
        <w:rPr>
          <w:rFonts w:ascii="宋体" w:hAnsi="宋体"/>
        </w:rPr>
      </w:pPr>
      <w:r>
        <w:rPr>
          <w:rFonts w:hint="eastAsia" w:ascii="宋体" w:hAnsi="宋体"/>
        </w:rPr>
        <w:t>（4）技术需求及数量表；</w:t>
      </w:r>
    </w:p>
    <w:p>
      <w:pPr>
        <w:spacing w:before="0" w:afterAutospacing="0" w:line="360" w:lineRule="auto"/>
        <w:ind w:right="0" w:firstLine="420" w:firstLineChars="200"/>
        <w:rPr>
          <w:rFonts w:ascii="宋体" w:hAnsi="宋体"/>
        </w:rPr>
      </w:pPr>
      <w:r>
        <w:rPr>
          <w:rFonts w:hint="eastAsia" w:ascii="宋体" w:hAnsi="宋体"/>
        </w:rPr>
        <w:t>（5）询比价文件（含询比价补遗文件）；</w:t>
      </w:r>
    </w:p>
    <w:p>
      <w:pPr>
        <w:spacing w:before="0" w:afterAutospacing="0" w:line="360" w:lineRule="auto"/>
        <w:ind w:right="0" w:firstLine="420" w:firstLineChars="200"/>
        <w:rPr>
          <w:rFonts w:ascii="宋体" w:hAnsi="宋体"/>
        </w:rPr>
      </w:pPr>
      <w:r>
        <w:rPr>
          <w:rFonts w:hint="eastAsia" w:ascii="宋体" w:hAnsi="宋体"/>
        </w:rPr>
        <w:t>（6）询比价申请文件（含询比价申请文件的补充文件）。</w:t>
      </w:r>
    </w:p>
    <w:p>
      <w:pPr>
        <w:spacing w:before="0" w:afterAutospacing="0" w:line="360" w:lineRule="auto"/>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line="360" w:lineRule="auto"/>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line="360" w:lineRule="auto"/>
        <w:ind w:right="0" w:firstLine="420" w:firstLineChars="200"/>
        <w:rPr>
          <w:rFonts w:ascii="宋体" w:hAnsi="宋体" w:cs="Arial"/>
        </w:rPr>
      </w:pPr>
    </w:p>
    <w:p>
      <w:pPr>
        <w:spacing w:before="0" w:line="360" w:lineRule="auto"/>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line="360" w:lineRule="auto"/>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0" w:firstLineChars="200"/>
        <w:jc w:val="center"/>
        <w:outlineLvl w:val="1"/>
        <w:rPr>
          <w:rFonts w:ascii="宋体" w:hAnsi="宋体"/>
          <w:b/>
          <w:sz w:val="24"/>
          <w:szCs w:val="24"/>
        </w:rPr>
      </w:pPr>
      <w:r>
        <w:rPr>
          <w:rFonts w:ascii="宋体" w:hAnsi="宋体"/>
        </w:rPr>
        <w:br w:type="page"/>
      </w:r>
      <w:bookmarkStart w:id="40" w:name="_Toc18460"/>
      <w:bookmarkStart w:id="41" w:name="_Toc258"/>
      <w:bookmarkStart w:id="42" w:name="_Toc25942"/>
      <w:bookmarkStart w:id="43" w:name="_Toc16743"/>
      <w:bookmarkStart w:id="44" w:name="_Toc12155"/>
      <w:bookmarkStart w:id="45" w:name="_Toc9438"/>
      <w:bookmarkStart w:id="46" w:name="_Toc7689"/>
      <w:bookmarkStart w:id="47" w:name="_Toc14469"/>
      <w:bookmarkStart w:id="48" w:name="_Toc7529"/>
      <w:bookmarkStart w:id="49" w:name="_Toc9188"/>
      <w:bookmarkStart w:id="50" w:name="_Toc24098"/>
      <w:bookmarkStart w:id="51" w:name="_Toc10196"/>
      <w:bookmarkStart w:id="52" w:name="_Toc24973"/>
      <w:bookmarkStart w:id="53" w:name="_Toc29876"/>
      <w:bookmarkStart w:id="54" w:name="_Toc997"/>
      <w:bookmarkStart w:id="55" w:name="_Toc25750634"/>
      <w:bookmarkStart w:id="56" w:name="_Toc11253"/>
      <w:bookmarkStart w:id="57" w:name="_Toc4133"/>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rPr>
      </w:pPr>
      <w:bookmarkStart w:id="58" w:name="_Toc19920"/>
      <w:bookmarkStart w:id="59" w:name="_Toc4032"/>
      <w:bookmarkStart w:id="60" w:name="_Toc370933855"/>
      <w:bookmarkStart w:id="61" w:name="_Toc390098464"/>
      <w:bookmarkStart w:id="62" w:name="_Toc31691"/>
      <w:bookmarkStart w:id="63" w:name="_Toc12256"/>
      <w:bookmarkStart w:id="64" w:name="_Toc385427838"/>
      <w:bookmarkStart w:id="65" w:name="_Toc20484"/>
      <w:bookmarkStart w:id="66" w:name="_Toc29932"/>
      <w:bookmarkStart w:id="67" w:name="_Toc7961"/>
      <w:bookmarkStart w:id="68" w:name="_Toc492478763"/>
      <w:bookmarkStart w:id="69" w:name="_Toc25643"/>
      <w:bookmarkStart w:id="70" w:name="_Toc25750635"/>
      <w:bookmarkStart w:id="71" w:name="_Toc6054"/>
      <w:bookmarkStart w:id="72" w:name="_Toc28024"/>
      <w:bookmarkStart w:id="73" w:name="_Toc12080"/>
      <w:bookmarkStart w:id="74" w:name="_Toc43"/>
      <w:bookmarkStart w:id="75" w:name="_Toc10730"/>
      <w:bookmarkStart w:id="76" w:name="_Toc18727"/>
      <w:bookmarkStart w:id="77" w:name="_Toc14287"/>
      <w:bookmarkStart w:id="78" w:name="_Toc22880"/>
      <w:bookmarkStart w:id="79" w:name="_Toc2614"/>
      <w:bookmarkStart w:id="80" w:name="_Toc378514952"/>
      <w:bookmarkStart w:id="81" w:name="_Toc15707"/>
      <w:r>
        <w:rPr>
          <w:rFonts w:hint="eastAsia" w:ascii="宋体" w:hAnsi="宋体"/>
          <w:b/>
          <w:color w:val="000000" w:themeColor="text1"/>
          <w14:textFill>
            <w14:solidFill>
              <w14:schemeClr w14:val="tx1"/>
            </w14:solidFill>
          </w14:textFill>
        </w:rPr>
        <w:t>1.</w:t>
      </w:r>
      <w:r>
        <w:rPr>
          <w:rFonts w:hint="eastAsia" w:ascii="宋体" w:hAnsi="宋体"/>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492478764"/>
      <w:bookmarkStart w:id="83" w:name="_Toc4301"/>
      <w:bookmarkStart w:id="84" w:name="_Toc1169"/>
      <w:bookmarkStart w:id="85" w:name="_Toc25826"/>
      <w:bookmarkStart w:id="86" w:name="_Toc7059"/>
      <w:bookmarkStart w:id="87" w:name="_Toc15944"/>
      <w:bookmarkStart w:id="88" w:name="_Toc19899"/>
      <w:bookmarkStart w:id="89" w:name="_Toc5955"/>
      <w:bookmarkStart w:id="90" w:name="_Toc18178"/>
      <w:bookmarkStart w:id="91" w:name="_Toc385427839"/>
      <w:bookmarkStart w:id="92" w:name="_Toc7813"/>
      <w:bookmarkStart w:id="93" w:name="_Toc378514953"/>
      <w:bookmarkStart w:id="94" w:name="_Toc370933856"/>
      <w:bookmarkStart w:id="95" w:name="_Toc23305"/>
      <w:bookmarkStart w:id="96" w:name="_Toc4212"/>
      <w:bookmarkStart w:id="97" w:name="_Toc30815"/>
      <w:bookmarkStart w:id="98" w:name="_Toc13835"/>
      <w:bookmarkStart w:id="99" w:name="_Toc23247"/>
      <w:bookmarkStart w:id="100" w:name="_Toc8477"/>
      <w:bookmarkStart w:id="101" w:name="_Toc3180"/>
      <w:bookmarkStart w:id="102" w:name="_Toc23112"/>
      <w:bookmarkStart w:id="103" w:name="_Toc4255"/>
      <w:bookmarkStart w:id="104" w:name="_Toc390098465"/>
      <w:bookmarkStart w:id="105" w:name="_Toc25750636"/>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18092"/>
      <w:bookmarkStart w:id="108" w:name="_Toc390098466"/>
      <w:bookmarkStart w:id="109" w:name="_Toc492478765"/>
      <w:bookmarkStart w:id="110" w:name="_Toc9306"/>
      <w:bookmarkStart w:id="111" w:name="_Toc9864"/>
      <w:bookmarkStart w:id="112" w:name="_Toc12248"/>
      <w:bookmarkStart w:id="113" w:name="_Toc21065"/>
      <w:bookmarkStart w:id="114" w:name="_Toc21603"/>
      <w:bookmarkStart w:id="115" w:name="_Toc15308"/>
      <w:bookmarkStart w:id="116" w:name="_Toc3674"/>
      <w:bookmarkStart w:id="117" w:name="_Toc4898"/>
      <w:bookmarkStart w:id="118" w:name="_Toc370933857"/>
      <w:bookmarkStart w:id="119" w:name="_Toc25750637"/>
      <w:bookmarkStart w:id="120" w:name="_Toc5253"/>
      <w:bookmarkStart w:id="121" w:name="_Toc3397"/>
      <w:bookmarkStart w:id="122" w:name="_Toc4738"/>
      <w:bookmarkStart w:id="123" w:name="_Toc13801"/>
      <w:bookmarkStart w:id="124" w:name="_Toc378514954"/>
      <w:bookmarkStart w:id="125" w:name="_Toc26983"/>
      <w:bookmarkStart w:id="126" w:name="_Toc14437"/>
      <w:bookmarkStart w:id="127" w:name="_Toc4969"/>
      <w:bookmarkStart w:id="128" w:name="_Toc385427840"/>
      <w:bookmarkStart w:id="129" w:name="_Toc3131"/>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385427841"/>
      <w:bookmarkStart w:id="131" w:name="_Toc390098467"/>
      <w:bookmarkStart w:id="132" w:name="_Toc3318"/>
      <w:bookmarkStart w:id="133" w:name="_Toc12180"/>
      <w:bookmarkStart w:id="134" w:name="_Toc10807"/>
      <w:bookmarkStart w:id="135" w:name="_Toc27450"/>
      <w:bookmarkStart w:id="136" w:name="_Toc370933858"/>
      <w:bookmarkStart w:id="137" w:name="_Toc16646"/>
      <w:bookmarkStart w:id="138" w:name="_Toc11626"/>
      <w:bookmarkStart w:id="139" w:name="_Toc21289"/>
      <w:bookmarkStart w:id="140" w:name="_Toc21641"/>
      <w:bookmarkStart w:id="141" w:name="_Toc378514955"/>
      <w:bookmarkStart w:id="142" w:name="_Toc18548"/>
      <w:bookmarkStart w:id="143" w:name="_Toc492478766"/>
      <w:bookmarkStart w:id="144" w:name="_Toc2708"/>
      <w:bookmarkStart w:id="145" w:name="_Toc23258"/>
      <w:bookmarkStart w:id="146" w:name="_Toc19514"/>
      <w:bookmarkStart w:id="147" w:name="_Toc14713"/>
      <w:bookmarkStart w:id="148" w:name="_Toc23249"/>
      <w:bookmarkStart w:id="149" w:name="_Toc21356"/>
      <w:bookmarkStart w:id="150" w:name="_Toc14273"/>
      <w:bookmarkStart w:id="151" w:name="_Toc25311"/>
      <w:bookmarkStart w:id="152" w:name="_Toc25750638"/>
      <w:bookmarkStart w:id="153" w:name="_Toc11524"/>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13516"/>
      <w:bookmarkStart w:id="155" w:name="_Toc390098468"/>
      <w:bookmarkStart w:id="156" w:name="_Toc10995"/>
      <w:bookmarkStart w:id="157" w:name="_Toc18617"/>
      <w:bookmarkStart w:id="158" w:name="_Toc25750639"/>
      <w:bookmarkStart w:id="159" w:name="_Toc492478767"/>
      <w:bookmarkStart w:id="160" w:name="_Toc11487"/>
      <w:bookmarkStart w:id="161" w:name="_Toc378514956"/>
      <w:bookmarkStart w:id="162" w:name="_Toc18813"/>
      <w:bookmarkStart w:id="163" w:name="_Toc385427842"/>
      <w:bookmarkStart w:id="164" w:name="_Toc23539"/>
      <w:bookmarkStart w:id="165" w:name="_Toc31912"/>
      <w:bookmarkStart w:id="166" w:name="_Toc20372"/>
      <w:bookmarkStart w:id="167" w:name="_Toc3165"/>
      <w:bookmarkStart w:id="168" w:name="_Toc2304"/>
      <w:bookmarkStart w:id="169" w:name="_Toc4048"/>
      <w:bookmarkStart w:id="170" w:name="_Toc370933859"/>
      <w:bookmarkStart w:id="171" w:name="_Toc17081"/>
      <w:bookmarkStart w:id="172" w:name="_Toc14089"/>
      <w:bookmarkStart w:id="173" w:name="_Toc2352"/>
      <w:bookmarkStart w:id="174" w:name="_Toc27620"/>
      <w:bookmarkStart w:id="175" w:name="_Toc24783"/>
      <w:bookmarkStart w:id="176" w:name="_Toc22040"/>
      <w:bookmarkStart w:id="177" w:name="_Toc19358"/>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378514957"/>
      <w:bookmarkStart w:id="179" w:name="_Toc492478768"/>
      <w:bookmarkStart w:id="180" w:name="_Toc12048"/>
      <w:bookmarkStart w:id="181" w:name="_Toc16793"/>
      <w:bookmarkStart w:id="182" w:name="_Toc25750640"/>
      <w:bookmarkStart w:id="183" w:name="_Toc385427843"/>
      <w:bookmarkStart w:id="184" w:name="_Toc18946"/>
      <w:bookmarkStart w:id="185" w:name="_Toc5930"/>
      <w:bookmarkStart w:id="186" w:name="_Toc2340"/>
      <w:bookmarkStart w:id="187" w:name="_Toc16891"/>
      <w:bookmarkStart w:id="188" w:name="_Toc4739"/>
      <w:bookmarkStart w:id="189" w:name="_Toc2096"/>
      <w:bookmarkStart w:id="190" w:name="_Toc25104"/>
      <w:bookmarkStart w:id="191" w:name="_Toc370933860"/>
      <w:bookmarkStart w:id="192" w:name="_Toc17908"/>
      <w:bookmarkStart w:id="193" w:name="_Toc390098469"/>
      <w:bookmarkStart w:id="194" w:name="_Toc8848"/>
      <w:bookmarkStart w:id="195" w:name="_Toc17100"/>
      <w:bookmarkStart w:id="196" w:name="_Toc24189"/>
      <w:bookmarkStart w:id="197" w:name="_Toc15801"/>
      <w:bookmarkStart w:id="198" w:name="_Toc23274"/>
      <w:bookmarkStart w:id="199" w:name="_Toc25049"/>
      <w:bookmarkStart w:id="200" w:name="_Toc23542"/>
      <w:bookmarkStart w:id="201" w:name="_Toc17102"/>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25888"/>
      <w:bookmarkStart w:id="203" w:name="_Toc385427844"/>
      <w:bookmarkStart w:id="204" w:name="_Toc390098470"/>
      <w:bookmarkStart w:id="205" w:name="_Toc25327"/>
      <w:bookmarkStart w:id="206" w:name="_Toc6777"/>
      <w:bookmarkStart w:id="207" w:name="_Toc11516"/>
      <w:bookmarkStart w:id="208" w:name="_Toc828"/>
      <w:bookmarkStart w:id="209" w:name="_Toc2076"/>
      <w:bookmarkStart w:id="210" w:name="_Toc1869"/>
      <w:bookmarkStart w:id="211" w:name="_Toc17489"/>
      <w:bookmarkStart w:id="212" w:name="_Toc378514958"/>
      <w:bookmarkStart w:id="213" w:name="_Toc24887"/>
      <w:bookmarkStart w:id="214" w:name="_Toc29337"/>
      <w:bookmarkStart w:id="215" w:name="_Toc7907"/>
      <w:bookmarkStart w:id="216" w:name="_Toc21848"/>
      <w:bookmarkStart w:id="217" w:name="_Toc20551"/>
      <w:bookmarkStart w:id="218" w:name="_Toc29127"/>
      <w:bookmarkStart w:id="219" w:name="_Toc370933861"/>
      <w:bookmarkStart w:id="220" w:name="_Toc7187"/>
      <w:bookmarkStart w:id="221" w:name="_Toc7460"/>
      <w:bookmarkStart w:id="222" w:name="_Toc17901"/>
      <w:bookmarkStart w:id="223" w:name="_Toc21755"/>
      <w:bookmarkStart w:id="224" w:name="_Toc25750641"/>
      <w:bookmarkStart w:id="225" w:name="_Toc492478769"/>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rPr>
      </w:pPr>
      <w:bookmarkStart w:id="226" w:name="_Toc20899"/>
      <w:bookmarkStart w:id="227" w:name="_Toc32382"/>
      <w:bookmarkStart w:id="228" w:name="_Toc30234"/>
      <w:bookmarkStart w:id="229" w:name="_Toc20550"/>
      <w:bookmarkStart w:id="230" w:name="_Toc15512"/>
      <w:bookmarkStart w:id="231" w:name="_Toc26034"/>
      <w:bookmarkStart w:id="232" w:name="_Toc32711"/>
      <w:bookmarkStart w:id="233" w:name="_Toc25873"/>
      <w:bookmarkStart w:id="234" w:name="_Toc29729"/>
      <w:bookmarkStart w:id="235" w:name="_Toc12113"/>
      <w:bookmarkStart w:id="236" w:name="_Toc7801"/>
      <w:bookmarkStart w:id="237" w:name="_Toc2613"/>
      <w:bookmarkStart w:id="238" w:name="_Toc5676"/>
      <w:bookmarkStart w:id="239" w:name="_Toc21872"/>
      <w:bookmarkStart w:id="240" w:name="_Toc31795"/>
      <w:bookmarkStart w:id="241" w:name="_Toc20252"/>
      <w:bookmarkStart w:id="242" w:name="_Toc97"/>
      <w:bookmarkStart w:id="243" w:name="_Toc1990"/>
      <w:bookmarkStart w:id="244" w:name="_Toc25750642"/>
      <w:r>
        <w:rPr>
          <w:rFonts w:hint="eastAsia" w:ascii="宋体" w:hAnsi="宋体"/>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w:t>
      </w:r>
      <w:bookmarkStart w:id="291" w:name="_GoBack"/>
      <w:bookmarkEnd w:id="291"/>
      <w:r>
        <w:rPr>
          <w:rFonts w:hint="eastAsia" w:ascii="宋体" w:hAnsi="宋体"/>
        </w:rPr>
        <w:t>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6736"/>
      <w:bookmarkStart w:id="246" w:name="_Toc1637"/>
      <w:bookmarkStart w:id="247" w:name="_Toc13241"/>
      <w:bookmarkStart w:id="248" w:name="_Toc22940"/>
      <w:bookmarkStart w:id="249" w:name="_Toc25750643"/>
      <w:bookmarkStart w:id="250" w:name="_Toc15424"/>
      <w:bookmarkStart w:id="251" w:name="_Toc492478771"/>
      <w:bookmarkStart w:id="252" w:name="_Toc23750"/>
      <w:bookmarkStart w:id="253" w:name="_Toc370933863"/>
      <w:bookmarkStart w:id="254" w:name="_Toc4466"/>
      <w:bookmarkStart w:id="255" w:name="_Toc24667"/>
      <w:bookmarkStart w:id="256" w:name="_Toc17625"/>
      <w:bookmarkStart w:id="257" w:name="_Toc8743"/>
      <w:bookmarkStart w:id="258" w:name="_Toc4089"/>
      <w:bookmarkStart w:id="259" w:name="_Toc378514960"/>
      <w:bookmarkStart w:id="260" w:name="_Toc19218"/>
      <w:bookmarkStart w:id="261" w:name="_Toc489"/>
      <w:bookmarkStart w:id="262" w:name="_Toc15199"/>
      <w:bookmarkStart w:id="263" w:name="_Toc390098472"/>
      <w:bookmarkStart w:id="264" w:name="_Toc8820"/>
      <w:bookmarkStart w:id="265" w:name="_Toc28074"/>
      <w:bookmarkStart w:id="266" w:name="_Toc16105"/>
      <w:bookmarkStart w:id="267" w:name="_Toc17673"/>
      <w:bookmarkStart w:id="268" w:name="_Toc385427846"/>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hint="eastAsia" w:ascii="宋体" w:hAnsi="宋体"/>
          <w:color w:val="FF0000"/>
          <w:lang w:val="en-US" w:eastAsia="zh-CN"/>
        </w:rPr>
        <w:t>120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color w:val="FF0000"/>
          <w:u w:val="single"/>
        </w:rPr>
        <w:t xml:space="preserve"> </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ascii="宋体" w:hAnsi="宋体"/>
          <w:b/>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33条之33.3.2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12983548"/>
      <w:bookmarkStart w:id="274" w:name="_Toc5644"/>
      <w:bookmarkStart w:id="275" w:name="_Toc21659"/>
      <w:bookmarkStart w:id="276" w:name="_Toc16443"/>
      <w:bookmarkStart w:id="277" w:name="_Toc21033"/>
      <w:bookmarkStart w:id="278" w:name="_Toc5186"/>
      <w:bookmarkStart w:id="279" w:name="_Toc21372"/>
      <w:bookmarkStart w:id="280" w:name="_Toc16716"/>
      <w:bookmarkStart w:id="281" w:name="_Toc27316"/>
      <w:bookmarkStart w:id="282" w:name="_Toc12470"/>
      <w:bookmarkStart w:id="283" w:name="_Toc13288"/>
      <w:bookmarkStart w:id="284" w:name="_Toc21635"/>
      <w:bookmarkStart w:id="285" w:name="_Toc29249"/>
      <w:bookmarkStart w:id="286" w:name="_Toc14997"/>
      <w:bookmarkStart w:id="287" w:name="_Toc2753"/>
      <w:bookmarkStart w:id="288" w:name="_Toc6194"/>
      <w:bookmarkStart w:id="289" w:name="_Toc27258"/>
      <w:bookmarkStart w:id="290" w:name="_Toc19448"/>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2021年广电运通备件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2021年广电运通备件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w:t>
      </w:r>
      <w:r>
        <w:rPr>
          <w:rFonts w:hint="eastAsia" w:ascii="宋体" w:hAnsi="宋体"/>
          <w:color w:val="FF0000"/>
          <w:u w:val="single"/>
          <w:lang w:eastAsia="zh-CN"/>
        </w:rPr>
        <w:t>2021年广电运通备件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NNGD-YY-BJBJ-2021092</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2021年广电运通备件</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eastAsia="zh-CN" w:bidi="ar"/>
                    </w:rPr>
                    <w:t>2021年广电运通备件</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rPr>
        <w:t>技术需求及数量表</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1E862607"/>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4AD1A78"/>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68</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dcterms:modified xsi:type="dcterms:W3CDTF">2021-08-26T01:50:40Z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