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286386830"/>
      <w:bookmarkStart w:id="2" w:name="_Toc114052336"/>
      <w:bookmarkStart w:id="3" w:name="_Toc17022"/>
      <w:bookmarkStart w:id="4" w:name="_Toc28464"/>
      <w:bookmarkStart w:id="5" w:name="_Toc25750632"/>
      <w:bookmarkStart w:id="6" w:name="_Toc4003"/>
      <w:bookmarkStart w:id="7" w:name="_Toc13323"/>
      <w:bookmarkStart w:id="8" w:name="_Toc23292"/>
      <w:bookmarkStart w:id="9" w:name="_Toc15740"/>
      <w:bookmarkStart w:id="10" w:name="_Toc9458"/>
      <w:bookmarkStart w:id="11" w:name="_Toc12281"/>
      <w:bookmarkStart w:id="12" w:name="_Toc7547"/>
      <w:bookmarkStart w:id="13" w:name="_Toc11424"/>
      <w:bookmarkStart w:id="14" w:name="_Toc14991"/>
      <w:bookmarkStart w:id="15" w:name="_Toc21919"/>
      <w:bookmarkStart w:id="16" w:name="_Toc16340"/>
      <w:bookmarkStart w:id="17" w:name="_Toc25920"/>
      <w:bookmarkStart w:id="18" w:name="_Toc9725"/>
      <w:bookmarkStart w:id="19" w:name="_Toc9991"/>
      <w:bookmarkStart w:id="20" w:name="_Toc1179"/>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2021年钢轨等轨道物资采购项目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sz w:val="24"/>
                <w:szCs w:val="24"/>
              </w:rPr>
              <w:t>NNGD-YY-BJBJ-2021091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29797"/>
      <w:bookmarkStart w:id="22" w:name="_Toc25828"/>
      <w:bookmarkStart w:id="23" w:name="_Toc3488"/>
      <w:bookmarkStart w:id="24" w:name="_Toc32403"/>
      <w:bookmarkStart w:id="25" w:name="_Toc2618"/>
      <w:bookmarkStart w:id="26" w:name="_Toc6950"/>
      <w:bookmarkStart w:id="27" w:name="_Toc6190"/>
      <w:bookmarkStart w:id="28" w:name="_Toc20060"/>
      <w:bookmarkStart w:id="29" w:name="_Toc7236"/>
      <w:bookmarkStart w:id="30" w:name="_Toc31368"/>
      <w:bookmarkStart w:id="31" w:name="_Toc25750633"/>
      <w:bookmarkStart w:id="32" w:name="_Toc15840"/>
      <w:bookmarkStart w:id="33" w:name="_Toc1289"/>
      <w:bookmarkStart w:id="34" w:name="_Toc12983547"/>
      <w:bookmarkStart w:id="35" w:name="_Toc4026"/>
      <w:bookmarkStart w:id="36" w:name="_Toc7587"/>
      <w:bookmarkStart w:id="37" w:name="_Toc14463"/>
      <w:bookmarkStart w:id="38" w:name="_Toc8999"/>
      <w:bookmarkStart w:id="39" w:name="_Toc13761"/>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2021年钢轨等轨道物资采购项目</w:t>
      </w:r>
      <w:r>
        <w:rPr>
          <w:rFonts w:hint="eastAsia" w:ascii="宋体" w:hAnsi="宋体"/>
          <w:color w:val="auto"/>
        </w:rPr>
        <w:t>（项目编号：</w:t>
      </w:r>
      <w:r>
        <w:rPr>
          <w:rFonts w:hint="eastAsia" w:ascii="宋体" w:hAnsi="宋体"/>
          <w:color w:val="auto"/>
          <w:u w:val="single"/>
          <w:lang w:eastAsia="zh-CN"/>
        </w:rPr>
        <w:t>NNGD-YY-BJBJ-2021052</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2021年钢轨等轨道物资采购项目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4133"/>
      <w:bookmarkStart w:id="41" w:name="_Toc16743"/>
      <w:bookmarkStart w:id="42" w:name="_Toc14469"/>
      <w:bookmarkStart w:id="43" w:name="_Toc11253"/>
      <w:bookmarkStart w:id="44" w:name="_Toc12155"/>
      <w:bookmarkStart w:id="45" w:name="_Toc29876"/>
      <w:bookmarkStart w:id="46" w:name="_Toc25750634"/>
      <w:bookmarkStart w:id="47" w:name="_Toc258"/>
      <w:bookmarkStart w:id="48" w:name="_Toc25942"/>
      <w:bookmarkStart w:id="49" w:name="_Toc7529"/>
      <w:bookmarkStart w:id="50" w:name="_Toc997"/>
      <w:bookmarkStart w:id="51" w:name="_Toc9438"/>
      <w:bookmarkStart w:id="52" w:name="_Toc24098"/>
      <w:bookmarkStart w:id="53" w:name="_Toc24973"/>
      <w:bookmarkStart w:id="54" w:name="_Toc7689"/>
      <w:bookmarkStart w:id="55" w:name="_Toc10196"/>
      <w:bookmarkStart w:id="56" w:name="_Toc9188"/>
      <w:bookmarkStart w:id="57" w:name="_Toc18460"/>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378514952"/>
      <w:bookmarkStart w:id="59" w:name="_Toc18727"/>
      <w:bookmarkStart w:id="60" w:name="_Toc15707"/>
      <w:bookmarkStart w:id="61" w:name="_Toc385427838"/>
      <w:bookmarkStart w:id="62" w:name="_Toc22880"/>
      <w:bookmarkStart w:id="63" w:name="_Toc28024"/>
      <w:bookmarkStart w:id="64" w:name="_Toc7961"/>
      <w:bookmarkStart w:id="65" w:name="_Toc4032"/>
      <w:bookmarkStart w:id="66" w:name="_Toc492478763"/>
      <w:bookmarkStart w:id="67" w:name="_Toc10730"/>
      <w:bookmarkStart w:id="68" w:name="_Toc25750635"/>
      <w:bookmarkStart w:id="69" w:name="_Toc20484"/>
      <w:bookmarkStart w:id="70" w:name="_Toc43"/>
      <w:bookmarkStart w:id="71" w:name="_Toc19920"/>
      <w:bookmarkStart w:id="72" w:name="_Toc370933855"/>
      <w:bookmarkStart w:id="73" w:name="_Toc14287"/>
      <w:bookmarkStart w:id="74" w:name="_Toc390098464"/>
      <w:bookmarkStart w:id="75" w:name="_Toc25643"/>
      <w:bookmarkStart w:id="76" w:name="_Toc6054"/>
      <w:bookmarkStart w:id="77" w:name="_Toc31691"/>
      <w:bookmarkStart w:id="78" w:name="_Toc29932"/>
      <w:bookmarkStart w:id="79" w:name="_Toc12080"/>
      <w:bookmarkStart w:id="80" w:name="_Toc2614"/>
      <w:bookmarkStart w:id="81" w:name="_Toc12256"/>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w:t>
      </w:r>
      <w:r>
        <w:rPr>
          <w:rFonts w:hint="eastAsia" w:ascii="宋体" w:hAnsi="宋体"/>
        </w:rPr>
        <w:t>、保险、装卸、到货检查、设备安装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23112"/>
      <w:bookmarkStart w:id="83" w:name="_Toc25826"/>
      <w:bookmarkStart w:id="84" w:name="_Toc492478764"/>
      <w:bookmarkStart w:id="85" w:name="_Toc1169"/>
      <w:bookmarkStart w:id="86" w:name="_Toc4212"/>
      <w:bookmarkStart w:id="87" w:name="_Toc385427839"/>
      <w:bookmarkStart w:id="88" w:name="_Toc4255"/>
      <w:bookmarkStart w:id="89" w:name="_Toc13835"/>
      <w:bookmarkStart w:id="90" w:name="_Toc7813"/>
      <w:bookmarkStart w:id="91" w:name="_Toc25750636"/>
      <w:bookmarkStart w:id="92" w:name="_Toc378514953"/>
      <w:bookmarkStart w:id="93" w:name="_Toc23247"/>
      <w:bookmarkStart w:id="94" w:name="_Toc370933856"/>
      <w:bookmarkStart w:id="95" w:name="_Toc7059"/>
      <w:bookmarkStart w:id="96" w:name="_Toc19899"/>
      <w:bookmarkStart w:id="97" w:name="_Toc8477"/>
      <w:bookmarkStart w:id="98" w:name="_Toc23305"/>
      <w:bookmarkStart w:id="99" w:name="_Toc390098465"/>
      <w:bookmarkStart w:id="100" w:name="_Toc18178"/>
      <w:bookmarkStart w:id="101" w:name="_Toc30815"/>
      <w:bookmarkStart w:id="102" w:name="_Toc3180"/>
      <w:bookmarkStart w:id="103" w:name="_Toc15944"/>
      <w:bookmarkStart w:id="104" w:name="_Toc5955"/>
      <w:bookmarkStart w:id="105" w:name="_Toc4301"/>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9306"/>
      <w:bookmarkStart w:id="107" w:name="_Toc11803"/>
      <w:bookmarkStart w:id="108" w:name="_Toc18092"/>
      <w:bookmarkStart w:id="109" w:name="_Toc390098466"/>
      <w:bookmarkStart w:id="110" w:name="_Toc3131"/>
      <w:bookmarkStart w:id="111" w:name="_Toc12248"/>
      <w:bookmarkStart w:id="112" w:name="_Toc385427840"/>
      <w:bookmarkStart w:id="113" w:name="_Toc26983"/>
      <w:bookmarkStart w:id="114" w:name="_Toc14437"/>
      <w:bookmarkStart w:id="115" w:name="_Toc3674"/>
      <w:bookmarkStart w:id="116" w:name="_Toc9864"/>
      <w:bookmarkStart w:id="117" w:name="_Toc492478765"/>
      <w:bookmarkStart w:id="118" w:name="_Toc378514954"/>
      <w:bookmarkStart w:id="119" w:name="_Toc4738"/>
      <w:bookmarkStart w:id="120" w:name="_Toc25750637"/>
      <w:bookmarkStart w:id="121" w:name="_Toc4969"/>
      <w:bookmarkStart w:id="122" w:name="_Toc13801"/>
      <w:bookmarkStart w:id="123" w:name="_Toc21065"/>
      <w:bookmarkStart w:id="124" w:name="_Toc5253"/>
      <w:bookmarkStart w:id="125" w:name="_Toc21603"/>
      <w:bookmarkStart w:id="126" w:name="_Toc370933857"/>
      <w:bookmarkStart w:id="127" w:name="_Toc4898"/>
      <w:bookmarkStart w:id="128" w:name="_Toc15308"/>
      <w:bookmarkStart w:id="129" w:name="_Toc3397"/>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18548"/>
      <w:bookmarkStart w:id="131" w:name="_Toc370933858"/>
      <w:bookmarkStart w:id="132" w:name="_Toc21289"/>
      <w:bookmarkStart w:id="133" w:name="_Toc3318"/>
      <w:bookmarkStart w:id="134" w:name="_Toc14713"/>
      <w:bookmarkStart w:id="135" w:name="_Toc21641"/>
      <w:bookmarkStart w:id="136" w:name="_Toc25750638"/>
      <w:bookmarkStart w:id="137" w:name="_Toc21356"/>
      <w:bookmarkStart w:id="138" w:name="_Toc16646"/>
      <w:bookmarkStart w:id="139" w:name="_Toc378514955"/>
      <w:bookmarkStart w:id="140" w:name="_Toc23258"/>
      <w:bookmarkStart w:id="141" w:name="_Toc12180"/>
      <w:bookmarkStart w:id="142" w:name="_Toc2708"/>
      <w:bookmarkStart w:id="143" w:name="_Toc10807"/>
      <w:bookmarkStart w:id="144" w:name="_Toc492478766"/>
      <w:bookmarkStart w:id="145" w:name="_Toc11524"/>
      <w:bookmarkStart w:id="146" w:name="_Toc390098467"/>
      <w:bookmarkStart w:id="147" w:name="_Toc11626"/>
      <w:bookmarkStart w:id="148" w:name="_Toc27450"/>
      <w:bookmarkStart w:id="149" w:name="_Toc385427841"/>
      <w:bookmarkStart w:id="150" w:name="_Toc14273"/>
      <w:bookmarkStart w:id="151" w:name="_Toc19514"/>
      <w:bookmarkStart w:id="152" w:name="_Toc25311"/>
      <w:bookmarkStart w:id="153" w:name="_Toc23249"/>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31912"/>
      <w:bookmarkStart w:id="155" w:name="_Toc2352"/>
      <w:bookmarkStart w:id="156" w:name="_Toc385427842"/>
      <w:bookmarkStart w:id="157" w:name="_Toc27620"/>
      <w:bookmarkStart w:id="158" w:name="_Toc492478767"/>
      <w:bookmarkStart w:id="159" w:name="_Toc378514956"/>
      <w:bookmarkStart w:id="160" w:name="_Toc25750639"/>
      <w:bookmarkStart w:id="161" w:name="_Toc19358"/>
      <w:bookmarkStart w:id="162" w:name="_Toc14089"/>
      <w:bookmarkStart w:id="163" w:name="_Toc22040"/>
      <w:bookmarkStart w:id="164" w:name="_Toc3165"/>
      <w:bookmarkStart w:id="165" w:name="_Toc10995"/>
      <w:bookmarkStart w:id="166" w:name="_Toc370933859"/>
      <w:bookmarkStart w:id="167" w:name="_Toc23539"/>
      <w:bookmarkStart w:id="168" w:name="_Toc13516"/>
      <w:bookmarkStart w:id="169" w:name="_Toc2304"/>
      <w:bookmarkStart w:id="170" w:name="_Toc4048"/>
      <w:bookmarkStart w:id="171" w:name="_Toc18617"/>
      <w:bookmarkStart w:id="172" w:name="_Toc11487"/>
      <w:bookmarkStart w:id="173" w:name="_Toc17081"/>
      <w:bookmarkStart w:id="174" w:name="_Toc24783"/>
      <w:bookmarkStart w:id="175" w:name="_Toc18813"/>
      <w:bookmarkStart w:id="176" w:name="_Toc390098468"/>
      <w:bookmarkStart w:id="177" w:name="_Toc20372"/>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bookmarkStart w:id="291" w:name="_GoBack"/>
      <w:bookmarkEnd w:id="291"/>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5930"/>
      <w:bookmarkStart w:id="179" w:name="_Toc16891"/>
      <w:bookmarkStart w:id="180" w:name="_Toc25104"/>
      <w:bookmarkStart w:id="181" w:name="_Toc12048"/>
      <w:bookmarkStart w:id="182" w:name="_Toc4739"/>
      <w:bookmarkStart w:id="183" w:name="_Toc17908"/>
      <w:bookmarkStart w:id="184" w:name="_Toc8848"/>
      <w:bookmarkStart w:id="185" w:name="_Toc25049"/>
      <w:bookmarkStart w:id="186" w:name="_Toc492478768"/>
      <w:bookmarkStart w:id="187" w:name="_Toc370933860"/>
      <w:bookmarkStart w:id="188" w:name="_Toc378514957"/>
      <w:bookmarkStart w:id="189" w:name="_Toc18946"/>
      <w:bookmarkStart w:id="190" w:name="_Toc390098469"/>
      <w:bookmarkStart w:id="191" w:name="_Toc23274"/>
      <w:bookmarkStart w:id="192" w:name="_Toc24189"/>
      <w:bookmarkStart w:id="193" w:name="_Toc2096"/>
      <w:bookmarkStart w:id="194" w:name="_Toc23542"/>
      <w:bookmarkStart w:id="195" w:name="_Toc15801"/>
      <w:bookmarkStart w:id="196" w:name="_Toc385427843"/>
      <w:bookmarkStart w:id="197" w:name="_Toc25750640"/>
      <w:bookmarkStart w:id="198" w:name="_Toc17100"/>
      <w:bookmarkStart w:id="199" w:name="_Toc17102"/>
      <w:bookmarkStart w:id="200" w:name="_Toc16793"/>
      <w:bookmarkStart w:id="201" w:name="_Toc2340"/>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17901"/>
      <w:bookmarkStart w:id="203" w:name="_Toc21755"/>
      <w:bookmarkStart w:id="204" w:name="_Toc1869"/>
      <w:bookmarkStart w:id="205" w:name="_Toc492478769"/>
      <w:bookmarkStart w:id="206" w:name="_Toc20551"/>
      <w:bookmarkStart w:id="207" w:name="_Toc24887"/>
      <w:bookmarkStart w:id="208" w:name="_Toc25888"/>
      <w:bookmarkStart w:id="209" w:name="_Toc390098470"/>
      <w:bookmarkStart w:id="210" w:name="_Toc2076"/>
      <w:bookmarkStart w:id="211" w:name="_Toc378514958"/>
      <w:bookmarkStart w:id="212" w:name="_Toc11516"/>
      <w:bookmarkStart w:id="213" w:name="_Toc29127"/>
      <w:bookmarkStart w:id="214" w:name="_Toc370933861"/>
      <w:bookmarkStart w:id="215" w:name="_Toc7187"/>
      <w:bookmarkStart w:id="216" w:name="_Toc6777"/>
      <w:bookmarkStart w:id="217" w:name="_Toc25750641"/>
      <w:bookmarkStart w:id="218" w:name="_Toc828"/>
      <w:bookmarkStart w:id="219" w:name="_Toc7460"/>
      <w:bookmarkStart w:id="220" w:name="_Toc385427844"/>
      <w:bookmarkStart w:id="221" w:name="_Toc7907"/>
      <w:bookmarkStart w:id="222" w:name="_Toc17489"/>
      <w:bookmarkStart w:id="223" w:name="_Toc25327"/>
      <w:bookmarkStart w:id="224" w:name="_Toc29337"/>
      <w:bookmarkStart w:id="225" w:name="_Toc21848"/>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rPr>
      </w:pPr>
      <w:bookmarkStart w:id="226" w:name="_Toc1990"/>
      <w:bookmarkStart w:id="227" w:name="_Toc20899"/>
      <w:bookmarkStart w:id="228" w:name="_Toc29729"/>
      <w:bookmarkStart w:id="229" w:name="_Toc5676"/>
      <w:bookmarkStart w:id="230" w:name="_Toc26034"/>
      <w:bookmarkStart w:id="231" w:name="_Toc12113"/>
      <w:bookmarkStart w:id="232" w:name="_Toc97"/>
      <w:bookmarkStart w:id="233" w:name="_Toc2613"/>
      <w:bookmarkStart w:id="234" w:name="_Toc21872"/>
      <w:bookmarkStart w:id="235" w:name="_Toc7801"/>
      <w:bookmarkStart w:id="236" w:name="_Toc25750642"/>
      <w:bookmarkStart w:id="237" w:name="_Toc32711"/>
      <w:bookmarkStart w:id="238" w:name="_Toc30234"/>
      <w:bookmarkStart w:id="239" w:name="_Toc31795"/>
      <w:bookmarkStart w:id="240" w:name="_Toc32382"/>
      <w:bookmarkStart w:id="241" w:name="_Toc25873"/>
      <w:bookmarkStart w:id="242" w:name="_Toc20550"/>
      <w:bookmarkStart w:id="243" w:name="_Toc15512"/>
      <w:bookmarkStart w:id="244" w:name="_Toc20252"/>
      <w:r>
        <w:rPr>
          <w:rFonts w:hint="eastAsia" w:ascii="宋体" w:hAnsi="宋体"/>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489"/>
      <w:bookmarkStart w:id="246" w:name="_Toc8743"/>
      <w:bookmarkStart w:id="247" w:name="_Toc16105"/>
      <w:bookmarkStart w:id="248" w:name="_Toc15199"/>
      <w:bookmarkStart w:id="249" w:name="_Toc15424"/>
      <w:bookmarkStart w:id="250" w:name="_Toc22940"/>
      <w:bookmarkStart w:id="251" w:name="_Toc13241"/>
      <w:bookmarkStart w:id="252" w:name="_Toc28074"/>
      <w:bookmarkStart w:id="253" w:name="_Toc23750"/>
      <w:bookmarkStart w:id="254" w:name="_Toc492478771"/>
      <w:bookmarkStart w:id="255" w:name="_Toc24667"/>
      <w:bookmarkStart w:id="256" w:name="_Toc6736"/>
      <w:bookmarkStart w:id="257" w:name="_Toc1637"/>
      <w:bookmarkStart w:id="258" w:name="_Toc378514960"/>
      <w:bookmarkStart w:id="259" w:name="_Toc4089"/>
      <w:bookmarkStart w:id="260" w:name="_Toc4466"/>
      <w:bookmarkStart w:id="261" w:name="_Toc370933863"/>
      <w:bookmarkStart w:id="262" w:name="_Toc8820"/>
      <w:bookmarkStart w:id="263" w:name="_Toc17625"/>
      <w:bookmarkStart w:id="264" w:name="_Toc17673"/>
      <w:bookmarkStart w:id="265" w:name="_Toc390098472"/>
      <w:bookmarkStart w:id="266" w:name="_Toc385427846"/>
      <w:bookmarkStart w:id="267" w:name="_Toc25750643"/>
      <w:bookmarkStart w:id="268" w:name="_Toc19218"/>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ascii="宋体" w:hAnsi="宋体"/>
          <w:color w:val="FF0000"/>
        </w:rPr>
        <w:t>90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rPr>
        <w:t>支付</w:t>
      </w:r>
      <w:r>
        <w:rPr>
          <w:rFonts w:hint="eastAsia" w:ascii="宋体" w:hAnsi="宋体" w:cs="Arial"/>
          <w:color w:val="auto"/>
        </w:rPr>
        <w:t>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color w:val="auto"/>
        </w:rPr>
        <w:t>本合同价格中合同不含税单价为固</w:t>
      </w:r>
      <w:r>
        <w:rPr>
          <w:rFonts w:hint="eastAsia" w:ascii="宋体" w:hAnsi="宋体"/>
        </w:rPr>
        <w:t>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33条之33.3.2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21372"/>
      <w:bookmarkStart w:id="274" w:name="_Toc16716"/>
      <w:bookmarkStart w:id="275" w:name="_Toc2753"/>
      <w:bookmarkStart w:id="276" w:name="_Toc6194"/>
      <w:bookmarkStart w:id="277" w:name="_Toc5644"/>
      <w:bookmarkStart w:id="278" w:name="_Toc16443"/>
      <w:bookmarkStart w:id="279" w:name="_Toc12470"/>
      <w:bookmarkStart w:id="280" w:name="_Toc27316"/>
      <w:bookmarkStart w:id="281" w:name="_Toc5186"/>
      <w:bookmarkStart w:id="282" w:name="_Toc21635"/>
      <w:bookmarkStart w:id="283" w:name="_Toc27258"/>
      <w:bookmarkStart w:id="284" w:name="_Toc14997"/>
      <w:bookmarkStart w:id="285" w:name="_Toc13288"/>
      <w:bookmarkStart w:id="286" w:name="_Toc19448"/>
      <w:bookmarkStart w:id="287" w:name="_Toc21033"/>
      <w:bookmarkStart w:id="288" w:name="_Toc21659"/>
      <w:bookmarkStart w:id="289" w:name="_Toc29249"/>
      <w:bookmarkStart w:id="290" w:name="_Toc12983548"/>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NNGD-YY-BJBJ-2021052</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2021年钢轨等轨道物资采购项目</w:t>
                  </w:r>
                  <w:r>
                    <w:rPr>
                      <w:rFonts w:ascii="宋体" w:hAnsi="宋体" w:cs="宋体"/>
                      <w:b/>
                      <w:color w:val="000000" w:themeColor="text1"/>
                      <w:kern w:val="2"/>
                      <w:lang w:bidi="ar"/>
                      <w14:textFill>
                        <w14:solidFill>
                          <w14:schemeClr w14:val="tx1"/>
                        </w14:solidFill>
                      </w14:textFill>
                    </w:rPr>
                    <w:t xml:space="preserve">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eastAsia="zh-CN" w:bidi="ar"/>
                    </w:rPr>
                    <w:t>2021年高见泽备件</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rPr>
        <w:t>技术需求及数量表</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271C78"/>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DB8744B"/>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757C1D"/>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0</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dcterms:modified xsi:type="dcterms:W3CDTF">2021-07-29T09:24:05Z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