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4"/>
        <w:spacing w:before="0"/>
        <w:ind w:right="0"/>
        <w:jc w:val="center"/>
        <w:rPr>
          <w:rFonts w:hint="eastAsia" w:ascii="宋体" w:hAnsi="宋体"/>
          <w:b/>
          <w:spacing w:val="-4"/>
          <w:sz w:val="44"/>
          <w:szCs w:val="44"/>
          <w:u w:val="single"/>
        </w:rPr>
      </w:pPr>
      <w:r>
        <w:rPr>
          <w:rFonts w:hint="eastAsia" w:ascii="宋体" w:hAnsi="宋体"/>
          <w:b/>
          <w:spacing w:val="-4"/>
          <w:sz w:val="44"/>
          <w:szCs w:val="44"/>
          <w:u w:val="single"/>
        </w:rPr>
        <w:t>南宁轨道交通2021年出入口安全划线标识</w:t>
      </w:r>
    </w:p>
    <w:p>
      <w:pPr>
        <w:pStyle w:val="24"/>
        <w:spacing w:before="0"/>
        <w:ind w:right="0"/>
        <w:jc w:val="center"/>
        <w:rPr>
          <w:rFonts w:ascii="宋体" w:hAnsi="宋体"/>
          <w:b/>
          <w:spacing w:val="-4"/>
          <w:sz w:val="44"/>
          <w:szCs w:val="44"/>
        </w:rPr>
      </w:pPr>
      <w:r>
        <w:rPr>
          <w:rFonts w:hint="eastAsia" w:ascii="宋体" w:hAnsi="宋体"/>
          <w:b/>
          <w:spacing w:val="-4"/>
          <w:sz w:val="44"/>
          <w:szCs w:val="44"/>
          <w:u w:val="none"/>
          <w:lang w:eastAsia="zh-CN"/>
        </w:rPr>
        <w:t>采购</w:t>
      </w:r>
      <w:r>
        <w:rPr>
          <w:rFonts w:hint="eastAsia" w:ascii="宋体" w:hAnsi="宋体"/>
          <w:b/>
          <w:spacing w:val="-4"/>
          <w:sz w:val="44"/>
          <w:szCs w:val="44"/>
        </w:rPr>
        <w:t>项目</w:t>
      </w:r>
    </w:p>
    <w:p>
      <w:pPr>
        <w:pStyle w:val="24"/>
        <w:spacing w:before="0"/>
        <w:ind w:right="-57" w:firstLine="0"/>
        <w:jc w:val="center"/>
        <w:rPr>
          <w:rFonts w:ascii="宋体" w:hAnsi="宋体"/>
          <w:b/>
          <w:spacing w:val="-4"/>
          <w:sz w:val="44"/>
          <w:szCs w:val="44"/>
        </w:rPr>
      </w:pPr>
    </w:p>
    <w:p>
      <w:pPr>
        <w:pStyle w:val="24"/>
        <w:spacing w:before="0"/>
        <w:ind w:right="-57" w:firstLine="0"/>
        <w:jc w:val="center"/>
        <w:rPr>
          <w:rFonts w:ascii="宋体" w:hAnsi="宋体"/>
          <w:b/>
          <w:spacing w:val="-4"/>
          <w:sz w:val="44"/>
          <w:szCs w:val="44"/>
        </w:rPr>
      </w:pPr>
    </w:p>
    <w:p>
      <w:pPr>
        <w:pStyle w:val="24"/>
        <w:spacing w:before="0"/>
        <w:ind w:right="-57" w:firstLine="0"/>
        <w:jc w:val="center"/>
        <w:rPr>
          <w:rFonts w:ascii="宋体" w:hAnsi="宋体"/>
          <w:b/>
          <w:spacing w:val="-4"/>
          <w:sz w:val="44"/>
          <w:szCs w:val="44"/>
        </w:rPr>
      </w:pPr>
      <w:bookmarkStart w:id="1311" w:name="_GoBack"/>
      <w:bookmarkEnd w:id="1311"/>
    </w:p>
    <w:p>
      <w:pPr>
        <w:pStyle w:val="24"/>
        <w:spacing w:before="0"/>
        <w:ind w:right="-57" w:firstLine="0"/>
        <w:jc w:val="center"/>
        <w:rPr>
          <w:rFonts w:ascii="宋体" w:hAnsi="宋体"/>
          <w:b/>
          <w:spacing w:val="-4"/>
          <w:sz w:val="44"/>
          <w:szCs w:val="44"/>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项目编号：202105060010</w:t>
      </w: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南宁轨道交通集团有限责任公司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lang w:val="en-US" w:eastAsia="zh-CN"/>
        </w:rPr>
        <w:t>2021</w:t>
      </w:r>
      <w:r>
        <w:rPr>
          <w:rFonts w:ascii="宋体" w:hAnsi="宋体"/>
          <w:b/>
          <w:sz w:val="36"/>
          <w:szCs w:val="36"/>
        </w:rPr>
        <w:t>年</w:t>
      </w:r>
      <w:r>
        <w:rPr>
          <w:rFonts w:hint="eastAsia" w:ascii="宋体" w:hAnsi="宋体"/>
          <w:b/>
          <w:sz w:val="36"/>
          <w:szCs w:val="36"/>
        </w:rPr>
        <w:t xml:space="preserve">  </w:t>
      </w:r>
      <w:r>
        <w:rPr>
          <w:rFonts w:ascii="宋体" w:hAnsi="宋体"/>
          <w:b/>
          <w:sz w:val="36"/>
          <w:szCs w:val="36"/>
        </w:rPr>
        <w:t>月</w:t>
      </w: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6"/>
            <w:spacing w:before="0" w:line="240" w:lineRule="auto"/>
            <w:jc w:val="center"/>
            <w:rPr>
              <w:rFonts w:ascii="宋体" w:hAnsi="宋体" w:eastAsia="宋体"/>
              <w:sz w:val="15"/>
            </w:rPr>
          </w:pPr>
          <w:r>
            <w:rPr>
              <w:rFonts w:hint="eastAsia" w:ascii="宋体" w:hAnsi="宋体" w:eastAsia="宋体" w:cs="宋体"/>
              <w:sz w:val="15"/>
              <w:lang w:val="zh-CN"/>
            </w:rPr>
            <w:t>目录</w:t>
          </w:r>
        </w:p>
        <w:p>
          <w:pPr>
            <w:pStyle w:val="17"/>
            <w:tabs>
              <w:tab w:val="right" w:leader="dot" w:pos="9069"/>
            </w:tabs>
            <w:rPr>
              <w:sz w:val="15"/>
            </w:rPr>
          </w:pPr>
          <w:r>
            <w:rPr>
              <w:rFonts w:ascii="宋体" w:hAnsi="宋体"/>
              <w:sz w:val="15"/>
            </w:rPr>
            <w:fldChar w:fldCharType="begin"/>
          </w:r>
          <w:r>
            <w:rPr>
              <w:rFonts w:ascii="宋体" w:hAnsi="宋体"/>
              <w:sz w:val="15"/>
            </w:rPr>
            <w:instrText xml:space="preserve"> TOC \o "1-2" \h \z \u </w:instrText>
          </w:r>
          <w:r>
            <w:rPr>
              <w:rFonts w:ascii="宋体" w:hAnsi="宋体"/>
              <w:sz w:val="15"/>
            </w:rPr>
            <w:fldChar w:fldCharType="separate"/>
          </w:r>
          <w:r>
            <w:rPr>
              <w:rFonts w:ascii="宋体" w:hAnsi="宋体"/>
              <w:sz w:val="15"/>
            </w:rPr>
            <w:fldChar w:fldCharType="begin"/>
          </w:r>
          <w:r>
            <w:rPr>
              <w:rFonts w:ascii="宋体" w:hAnsi="宋体"/>
              <w:sz w:val="15"/>
            </w:rPr>
            <w:instrText xml:space="preserve"> HYPERLINK \l _Toc8290 </w:instrText>
          </w:r>
          <w:r>
            <w:rPr>
              <w:rFonts w:ascii="宋体" w:hAnsi="宋体"/>
              <w:sz w:val="15"/>
            </w:rPr>
            <w:fldChar w:fldCharType="separate"/>
          </w:r>
          <w:r>
            <w:rPr>
              <w:rFonts w:hint="eastAsia" w:ascii="宋体" w:hAnsi="宋体" w:eastAsia="宋体"/>
              <w:sz w:val="15"/>
            </w:rPr>
            <w:t>第一章比选公告</w:t>
          </w:r>
          <w:r>
            <w:rPr>
              <w:sz w:val="15"/>
            </w:rPr>
            <w:tab/>
          </w:r>
          <w:r>
            <w:rPr>
              <w:sz w:val="15"/>
            </w:rPr>
            <w:fldChar w:fldCharType="begin"/>
          </w:r>
          <w:r>
            <w:rPr>
              <w:sz w:val="15"/>
            </w:rPr>
            <w:instrText xml:space="preserve"> PAGEREF _Toc8290 \h </w:instrText>
          </w:r>
          <w:r>
            <w:rPr>
              <w:sz w:val="15"/>
            </w:rPr>
            <w:fldChar w:fldCharType="separate"/>
          </w:r>
          <w:r>
            <w:rPr>
              <w:sz w:val="15"/>
            </w:rPr>
            <w:t>4</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_Toc25227 </w:instrText>
          </w:r>
          <w:r>
            <w:rPr>
              <w:rFonts w:ascii="宋体" w:hAnsi="宋体"/>
              <w:sz w:val="15"/>
            </w:rPr>
            <w:fldChar w:fldCharType="separate"/>
          </w:r>
          <w:r>
            <w:rPr>
              <w:rFonts w:hint="eastAsia" w:ascii="宋体" w:hAnsi="宋体" w:eastAsia="宋体"/>
              <w:sz w:val="15"/>
            </w:rPr>
            <w:t>第二章比选申请须知</w:t>
          </w:r>
          <w:r>
            <w:rPr>
              <w:sz w:val="15"/>
            </w:rPr>
            <w:tab/>
          </w:r>
          <w:r>
            <w:rPr>
              <w:sz w:val="15"/>
            </w:rPr>
            <w:fldChar w:fldCharType="begin"/>
          </w:r>
          <w:r>
            <w:rPr>
              <w:sz w:val="15"/>
            </w:rPr>
            <w:instrText xml:space="preserve"> PAGEREF _Toc25227 \h </w:instrText>
          </w:r>
          <w:r>
            <w:rPr>
              <w:sz w:val="15"/>
            </w:rPr>
            <w:fldChar w:fldCharType="separate"/>
          </w:r>
          <w:r>
            <w:rPr>
              <w:sz w:val="15"/>
            </w:rPr>
            <w:t>6</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_Toc26349 </w:instrText>
          </w:r>
          <w:r>
            <w:rPr>
              <w:rFonts w:ascii="宋体" w:hAnsi="宋体"/>
              <w:sz w:val="15"/>
            </w:rPr>
            <w:fldChar w:fldCharType="separate"/>
          </w:r>
          <w:r>
            <w:rPr>
              <w:rFonts w:hint="eastAsia" w:ascii="宋体" w:hAnsi="宋体" w:eastAsia="宋体"/>
              <w:sz w:val="15"/>
              <w:szCs w:val="24"/>
            </w:rPr>
            <w:t>一、</w:t>
          </w:r>
          <w:r>
            <w:rPr>
              <w:rFonts w:ascii="宋体" w:hAnsi="宋体" w:eastAsia="宋体"/>
              <w:sz w:val="15"/>
              <w:szCs w:val="24"/>
            </w:rPr>
            <w:t>比选文件</w:t>
          </w:r>
          <w:r>
            <w:rPr>
              <w:sz w:val="15"/>
            </w:rPr>
            <w:tab/>
          </w:r>
          <w:r>
            <w:rPr>
              <w:sz w:val="15"/>
            </w:rPr>
            <w:fldChar w:fldCharType="begin"/>
          </w:r>
          <w:r>
            <w:rPr>
              <w:sz w:val="15"/>
            </w:rPr>
            <w:instrText xml:space="preserve"> PAGEREF _Toc26349 \h </w:instrText>
          </w:r>
          <w:r>
            <w:rPr>
              <w:sz w:val="15"/>
            </w:rPr>
            <w:fldChar w:fldCharType="separate"/>
          </w:r>
          <w:r>
            <w:rPr>
              <w:sz w:val="15"/>
            </w:rPr>
            <w:t>6</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_Toc30947 </w:instrText>
          </w:r>
          <w:r>
            <w:rPr>
              <w:rFonts w:ascii="宋体" w:hAnsi="宋体"/>
              <w:sz w:val="15"/>
            </w:rPr>
            <w:fldChar w:fldCharType="separate"/>
          </w:r>
          <w:r>
            <w:rPr>
              <w:rFonts w:hint="eastAsia" w:ascii="宋体" w:hAnsi="宋体" w:eastAsia="宋体"/>
              <w:sz w:val="15"/>
              <w:szCs w:val="24"/>
            </w:rPr>
            <w:t>二、</w:t>
          </w:r>
          <w:r>
            <w:rPr>
              <w:rFonts w:ascii="宋体" w:hAnsi="宋体" w:eastAsia="宋体"/>
              <w:sz w:val="15"/>
              <w:szCs w:val="24"/>
            </w:rPr>
            <w:t>比选申请文件的编制</w:t>
          </w:r>
          <w:r>
            <w:rPr>
              <w:sz w:val="15"/>
            </w:rPr>
            <w:tab/>
          </w:r>
          <w:r>
            <w:rPr>
              <w:sz w:val="15"/>
            </w:rPr>
            <w:fldChar w:fldCharType="begin"/>
          </w:r>
          <w:r>
            <w:rPr>
              <w:sz w:val="15"/>
            </w:rPr>
            <w:instrText xml:space="preserve"> PAGEREF _Toc30947 \h </w:instrText>
          </w:r>
          <w:r>
            <w:rPr>
              <w:sz w:val="15"/>
            </w:rPr>
            <w:fldChar w:fldCharType="separate"/>
          </w:r>
          <w:r>
            <w:rPr>
              <w:sz w:val="15"/>
            </w:rPr>
            <w:t>6</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_Toc9886 </w:instrText>
          </w:r>
          <w:r>
            <w:rPr>
              <w:rFonts w:ascii="宋体" w:hAnsi="宋体"/>
              <w:sz w:val="15"/>
            </w:rPr>
            <w:fldChar w:fldCharType="separate"/>
          </w:r>
          <w:r>
            <w:rPr>
              <w:rFonts w:hint="eastAsia" w:ascii="宋体" w:hAnsi="宋体" w:eastAsia="宋体"/>
              <w:sz w:val="15"/>
              <w:szCs w:val="24"/>
            </w:rPr>
            <w:t>三、项目评审及定标</w:t>
          </w:r>
          <w:r>
            <w:rPr>
              <w:sz w:val="15"/>
            </w:rPr>
            <w:tab/>
          </w:r>
          <w:r>
            <w:rPr>
              <w:sz w:val="15"/>
            </w:rPr>
            <w:fldChar w:fldCharType="begin"/>
          </w:r>
          <w:r>
            <w:rPr>
              <w:sz w:val="15"/>
            </w:rPr>
            <w:instrText xml:space="preserve"> PAGEREF _Toc9886 \h </w:instrText>
          </w:r>
          <w:r>
            <w:rPr>
              <w:sz w:val="15"/>
            </w:rPr>
            <w:fldChar w:fldCharType="separate"/>
          </w:r>
          <w:r>
            <w:rPr>
              <w:sz w:val="15"/>
            </w:rPr>
            <w:t>8</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_Toc28614 </w:instrText>
          </w:r>
          <w:r>
            <w:rPr>
              <w:rFonts w:ascii="宋体" w:hAnsi="宋体"/>
              <w:sz w:val="15"/>
            </w:rPr>
            <w:fldChar w:fldCharType="separate"/>
          </w:r>
          <w:r>
            <w:rPr>
              <w:rFonts w:hint="eastAsia" w:ascii="宋体" w:hAnsi="宋体" w:eastAsia="宋体"/>
              <w:sz w:val="15"/>
              <w:szCs w:val="24"/>
            </w:rPr>
            <w:t>四、</w:t>
          </w:r>
          <w:r>
            <w:rPr>
              <w:rFonts w:ascii="宋体" w:hAnsi="宋体" w:eastAsia="宋体"/>
              <w:sz w:val="15"/>
              <w:szCs w:val="24"/>
            </w:rPr>
            <w:t>授予合同</w:t>
          </w:r>
          <w:r>
            <w:rPr>
              <w:sz w:val="15"/>
            </w:rPr>
            <w:tab/>
          </w:r>
          <w:r>
            <w:rPr>
              <w:sz w:val="15"/>
            </w:rPr>
            <w:fldChar w:fldCharType="begin"/>
          </w:r>
          <w:r>
            <w:rPr>
              <w:sz w:val="15"/>
            </w:rPr>
            <w:instrText xml:space="preserve"> PAGEREF _Toc28614 \h </w:instrText>
          </w:r>
          <w:r>
            <w:rPr>
              <w:sz w:val="15"/>
            </w:rPr>
            <w:fldChar w:fldCharType="separate"/>
          </w:r>
          <w:r>
            <w:rPr>
              <w:sz w:val="15"/>
            </w:rPr>
            <w:t>9</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_Toc26041 </w:instrText>
          </w:r>
          <w:r>
            <w:rPr>
              <w:rFonts w:ascii="宋体" w:hAnsi="宋体"/>
              <w:sz w:val="15"/>
            </w:rPr>
            <w:fldChar w:fldCharType="separate"/>
          </w:r>
          <w:r>
            <w:rPr>
              <w:rFonts w:hint="eastAsia" w:ascii="宋体" w:hAnsi="宋体" w:eastAsia="宋体"/>
              <w:sz w:val="15"/>
            </w:rPr>
            <w:t>第三章 评分办法</w:t>
          </w:r>
          <w:r>
            <w:rPr>
              <w:sz w:val="15"/>
            </w:rPr>
            <w:tab/>
          </w:r>
          <w:r>
            <w:rPr>
              <w:sz w:val="15"/>
            </w:rPr>
            <w:fldChar w:fldCharType="begin"/>
          </w:r>
          <w:r>
            <w:rPr>
              <w:sz w:val="15"/>
            </w:rPr>
            <w:instrText xml:space="preserve"> PAGEREF _Toc26041 \h </w:instrText>
          </w:r>
          <w:r>
            <w:rPr>
              <w:sz w:val="15"/>
            </w:rPr>
            <w:fldChar w:fldCharType="separate"/>
          </w:r>
          <w:r>
            <w:rPr>
              <w:sz w:val="15"/>
            </w:rPr>
            <w:t>11</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_Toc30290 </w:instrText>
          </w:r>
          <w:r>
            <w:rPr>
              <w:rFonts w:ascii="宋体" w:hAnsi="宋体"/>
              <w:sz w:val="15"/>
            </w:rPr>
            <w:fldChar w:fldCharType="separate"/>
          </w:r>
          <w:r>
            <w:rPr>
              <w:rFonts w:hint="eastAsia" w:ascii="宋体" w:hAnsi="宋体" w:cs="Arial"/>
              <w:bCs/>
              <w:sz w:val="15"/>
              <w:szCs w:val="28"/>
            </w:rPr>
            <w:t>一、评审原则</w:t>
          </w:r>
          <w:r>
            <w:rPr>
              <w:sz w:val="15"/>
            </w:rPr>
            <w:tab/>
          </w:r>
          <w:r>
            <w:rPr>
              <w:sz w:val="15"/>
            </w:rPr>
            <w:fldChar w:fldCharType="begin"/>
          </w:r>
          <w:r>
            <w:rPr>
              <w:sz w:val="15"/>
            </w:rPr>
            <w:instrText xml:space="preserve"> PAGEREF _Toc30290 \h </w:instrText>
          </w:r>
          <w:r>
            <w:rPr>
              <w:sz w:val="15"/>
            </w:rPr>
            <w:fldChar w:fldCharType="separate"/>
          </w:r>
          <w:r>
            <w:rPr>
              <w:sz w:val="15"/>
            </w:rPr>
            <w:t>11</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_Toc31008 </w:instrText>
          </w:r>
          <w:r>
            <w:rPr>
              <w:rFonts w:ascii="宋体" w:hAnsi="宋体"/>
              <w:sz w:val="15"/>
            </w:rPr>
            <w:fldChar w:fldCharType="separate"/>
          </w:r>
          <w:r>
            <w:rPr>
              <w:rFonts w:hint="eastAsia" w:ascii="宋体" w:hAnsi="宋体" w:cs="Arial"/>
              <w:bCs/>
              <w:sz w:val="15"/>
              <w:szCs w:val="28"/>
            </w:rPr>
            <w:t>二、评定方法</w:t>
          </w:r>
          <w:r>
            <w:rPr>
              <w:sz w:val="15"/>
            </w:rPr>
            <w:tab/>
          </w:r>
          <w:r>
            <w:rPr>
              <w:sz w:val="15"/>
            </w:rPr>
            <w:fldChar w:fldCharType="begin"/>
          </w:r>
          <w:r>
            <w:rPr>
              <w:sz w:val="15"/>
            </w:rPr>
            <w:instrText xml:space="preserve"> PAGEREF _Toc31008 \h </w:instrText>
          </w:r>
          <w:r>
            <w:rPr>
              <w:sz w:val="15"/>
            </w:rPr>
            <w:fldChar w:fldCharType="separate"/>
          </w:r>
          <w:r>
            <w:rPr>
              <w:sz w:val="15"/>
            </w:rPr>
            <w:t>11</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_Toc28440 </w:instrText>
          </w:r>
          <w:r>
            <w:rPr>
              <w:rFonts w:ascii="宋体" w:hAnsi="宋体"/>
              <w:sz w:val="15"/>
            </w:rPr>
            <w:fldChar w:fldCharType="separate"/>
          </w:r>
          <w:r>
            <w:rPr>
              <w:rFonts w:hint="eastAsia" w:ascii="宋体" w:hAnsi="宋体" w:cs="Arial"/>
              <w:bCs/>
              <w:sz w:val="15"/>
              <w:szCs w:val="28"/>
            </w:rPr>
            <w:t>三、评审流程</w:t>
          </w:r>
          <w:r>
            <w:rPr>
              <w:sz w:val="15"/>
            </w:rPr>
            <w:tab/>
          </w:r>
          <w:r>
            <w:rPr>
              <w:sz w:val="15"/>
            </w:rPr>
            <w:fldChar w:fldCharType="begin"/>
          </w:r>
          <w:r>
            <w:rPr>
              <w:sz w:val="15"/>
            </w:rPr>
            <w:instrText xml:space="preserve"> PAGEREF _Toc28440 \h </w:instrText>
          </w:r>
          <w:r>
            <w:rPr>
              <w:sz w:val="15"/>
            </w:rPr>
            <w:fldChar w:fldCharType="separate"/>
          </w:r>
          <w:r>
            <w:rPr>
              <w:sz w:val="15"/>
            </w:rPr>
            <w:t>11</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_Toc32116 </w:instrText>
          </w:r>
          <w:r>
            <w:rPr>
              <w:rFonts w:ascii="宋体" w:hAnsi="宋体"/>
              <w:sz w:val="15"/>
            </w:rPr>
            <w:fldChar w:fldCharType="separate"/>
          </w:r>
          <w:r>
            <w:rPr>
              <w:rFonts w:hint="eastAsia"/>
              <w:sz w:val="15"/>
              <w:szCs w:val="24"/>
            </w:rPr>
            <w:t>附表一 响应性评审表</w:t>
          </w:r>
          <w:r>
            <w:rPr>
              <w:sz w:val="15"/>
            </w:rPr>
            <w:tab/>
          </w:r>
          <w:r>
            <w:rPr>
              <w:sz w:val="15"/>
            </w:rPr>
            <w:fldChar w:fldCharType="begin"/>
          </w:r>
          <w:r>
            <w:rPr>
              <w:sz w:val="15"/>
            </w:rPr>
            <w:instrText xml:space="preserve"> PAGEREF _Toc32116 \h </w:instrText>
          </w:r>
          <w:r>
            <w:rPr>
              <w:sz w:val="15"/>
            </w:rPr>
            <w:fldChar w:fldCharType="separate"/>
          </w:r>
          <w:r>
            <w:rPr>
              <w:sz w:val="15"/>
            </w:rPr>
            <w:t>14</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_Toc32582 </w:instrText>
          </w:r>
          <w:r>
            <w:rPr>
              <w:rFonts w:ascii="宋体" w:hAnsi="宋体"/>
              <w:sz w:val="15"/>
            </w:rPr>
            <w:fldChar w:fldCharType="separate"/>
          </w:r>
          <w:r>
            <w:rPr>
              <w:rFonts w:hint="eastAsia"/>
              <w:sz w:val="15"/>
              <w:szCs w:val="24"/>
            </w:rPr>
            <w:t>附表二</w:t>
          </w:r>
          <w:r>
            <w:rPr>
              <w:sz w:val="15"/>
              <w:szCs w:val="24"/>
            </w:rPr>
            <w:t xml:space="preserve">  </w:t>
          </w:r>
          <w:r>
            <w:rPr>
              <w:rFonts w:hint="eastAsia"/>
              <w:sz w:val="15"/>
              <w:szCs w:val="24"/>
            </w:rPr>
            <w:t>比选申请价格</w:t>
          </w:r>
          <w:r>
            <w:rPr>
              <w:rFonts w:hint="eastAsia" w:ascii="宋体" w:hAnsi="宋体"/>
              <w:sz w:val="15"/>
              <w:szCs w:val="24"/>
            </w:rPr>
            <w:t>评审</w:t>
          </w:r>
          <w:r>
            <w:rPr>
              <w:rFonts w:hint="eastAsia"/>
              <w:sz w:val="15"/>
              <w:szCs w:val="24"/>
            </w:rPr>
            <w:t>表</w:t>
          </w:r>
          <w:r>
            <w:rPr>
              <w:sz w:val="15"/>
            </w:rPr>
            <w:tab/>
          </w:r>
          <w:r>
            <w:rPr>
              <w:sz w:val="15"/>
            </w:rPr>
            <w:fldChar w:fldCharType="begin"/>
          </w:r>
          <w:r>
            <w:rPr>
              <w:sz w:val="15"/>
            </w:rPr>
            <w:instrText xml:space="preserve"> PAGEREF _Toc32582 \h </w:instrText>
          </w:r>
          <w:r>
            <w:rPr>
              <w:sz w:val="15"/>
            </w:rPr>
            <w:fldChar w:fldCharType="separate"/>
          </w:r>
          <w:r>
            <w:rPr>
              <w:sz w:val="15"/>
            </w:rPr>
            <w:t>15</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_Toc14865 </w:instrText>
          </w:r>
          <w:r>
            <w:rPr>
              <w:rFonts w:ascii="宋体" w:hAnsi="宋体"/>
              <w:sz w:val="15"/>
            </w:rPr>
            <w:fldChar w:fldCharType="separate"/>
          </w:r>
          <w:r>
            <w:rPr>
              <w:rFonts w:hint="eastAsia"/>
              <w:sz w:val="15"/>
              <w:szCs w:val="24"/>
            </w:rPr>
            <w:t>附表三：比选申请报价修正表</w:t>
          </w:r>
          <w:r>
            <w:rPr>
              <w:sz w:val="15"/>
            </w:rPr>
            <w:tab/>
          </w:r>
          <w:r>
            <w:rPr>
              <w:sz w:val="15"/>
            </w:rPr>
            <w:fldChar w:fldCharType="begin"/>
          </w:r>
          <w:r>
            <w:rPr>
              <w:sz w:val="15"/>
            </w:rPr>
            <w:instrText xml:space="preserve"> PAGEREF _Toc14865 \h </w:instrText>
          </w:r>
          <w:r>
            <w:rPr>
              <w:sz w:val="15"/>
            </w:rPr>
            <w:fldChar w:fldCharType="separate"/>
          </w:r>
          <w:r>
            <w:rPr>
              <w:sz w:val="15"/>
            </w:rPr>
            <w:t>16</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_Toc13342 </w:instrText>
          </w:r>
          <w:r>
            <w:rPr>
              <w:rFonts w:ascii="宋体" w:hAnsi="宋体"/>
              <w:sz w:val="15"/>
            </w:rPr>
            <w:fldChar w:fldCharType="separate"/>
          </w:r>
          <w:r>
            <w:rPr>
              <w:rFonts w:hint="eastAsia" w:ascii="宋体" w:hAnsi="宋体" w:eastAsia="宋体"/>
              <w:sz w:val="15"/>
            </w:rPr>
            <w:t>第三章合同条款及格式（可根据项目情况自行调整）</w:t>
          </w:r>
          <w:r>
            <w:rPr>
              <w:sz w:val="15"/>
            </w:rPr>
            <w:tab/>
          </w:r>
          <w:r>
            <w:rPr>
              <w:sz w:val="15"/>
            </w:rPr>
            <w:fldChar w:fldCharType="begin"/>
          </w:r>
          <w:r>
            <w:rPr>
              <w:sz w:val="15"/>
            </w:rPr>
            <w:instrText xml:space="preserve"> PAGEREF _Toc13342 \h </w:instrText>
          </w:r>
          <w:r>
            <w:rPr>
              <w:sz w:val="15"/>
            </w:rPr>
            <w:fldChar w:fldCharType="separate"/>
          </w:r>
          <w:r>
            <w:rPr>
              <w:sz w:val="15"/>
            </w:rPr>
            <w:t>17</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_Toc17696 </w:instrText>
          </w:r>
          <w:r>
            <w:rPr>
              <w:rFonts w:ascii="宋体" w:hAnsi="宋体"/>
              <w:sz w:val="15"/>
            </w:rPr>
            <w:fldChar w:fldCharType="separate"/>
          </w:r>
          <w:r>
            <w:rPr>
              <w:rFonts w:hint="eastAsia" w:ascii="宋体" w:hAnsi="宋体"/>
              <w:sz w:val="15"/>
              <w:szCs w:val="24"/>
            </w:rPr>
            <w:t>一、合同协议书</w:t>
          </w:r>
          <w:r>
            <w:rPr>
              <w:sz w:val="15"/>
            </w:rPr>
            <w:tab/>
          </w:r>
          <w:r>
            <w:rPr>
              <w:sz w:val="15"/>
            </w:rPr>
            <w:fldChar w:fldCharType="begin"/>
          </w:r>
          <w:r>
            <w:rPr>
              <w:sz w:val="15"/>
            </w:rPr>
            <w:instrText xml:space="preserve"> PAGEREF _Toc17696 \h </w:instrText>
          </w:r>
          <w:r>
            <w:rPr>
              <w:sz w:val="15"/>
            </w:rPr>
            <w:fldChar w:fldCharType="separate"/>
          </w:r>
          <w:r>
            <w:rPr>
              <w:sz w:val="15"/>
            </w:rPr>
            <w:t>17</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_Toc22861 </w:instrText>
          </w:r>
          <w:r>
            <w:rPr>
              <w:rFonts w:ascii="宋体" w:hAnsi="宋体"/>
              <w:sz w:val="15"/>
            </w:rPr>
            <w:fldChar w:fldCharType="separate"/>
          </w:r>
          <w:r>
            <w:rPr>
              <w:rFonts w:hint="eastAsia" w:ascii="宋体" w:hAnsi="宋体"/>
              <w:sz w:val="15"/>
              <w:szCs w:val="24"/>
            </w:rPr>
            <w:t>二、合同条款</w:t>
          </w:r>
          <w:r>
            <w:rPr>
              <w:sz w:val="15"/>
            </w:rPr>
            <w:tab/>
          </w:r>
          <w:r>
            <w:rPr>
              <w:sz w:val="15"/>
            </w:rPr>
            <w:fldChar w:fldCharType="begin"/>
          </w:r>
          <w:r>
            <w:rPr>
              <w:sz w:val="15"/>
            </w:rPr>
            <w:instrText xml:space="preserve"> PAGEREF _Toc22861 \h </w:instrText>
          </w:r>
          <w:r>
            <w:rPr>
              <w:sz w:val="15"/>
            </w:rPr>
            <w:fldChar w:fldCharType="separate"/>
          </w:r>
          <w:r>
            <w:rPr>
              <w:sz w:val="15"/>
            </w:rPr>
            <w:t>19</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_Toc14620 </w:instrText>
          </w:r>
          <w:r>
            <w:rPr>
              <w:rFonts w:ascii="宋体" w:hAnsi="宋体"/>
              <w:sz w:val="15"/>
            </w:rPr>
            <w:fldChar w:fldCharType="separate"/>
          </w:r>
          <w:r>
            <w:rPr>
              <w:rFonts w:hint="eastAsia" w:ascii="宋体" w:hAnsi="宋体" w:eastAsia="宋体"/>
              <w:sz w:val="15"/>
            </w:rPr>
            <w:t>第四章比选申请文件格式</w:t>
          </w:r>
          <w:r>
            <w:rPr>
              <w:sz w:val="15"/>
            </w:rPr>
            <w:tab/>
          </w:r>
          <w:r>
            <w:rPr>
              <w:sz w:val="15"/>
            </w:rPr>
            <w:fldChar w:fldCharType="begin"/>
          </w:r>
          <w:r>
            <w:rPr>
              <w:sz w:val="15"/>
            </w:rPr>
            <w:instrText xml:space="preserve"> PAGEREF _Toc14620 \h </w:instrText>
          </w:r>
          <w:r>
            <w:rPr>
              <w:sz w:val="15"/>
            </w:rPr>
            <w:fldChar w:fldCharType="separate"/>
          </w:r>
          <w:r>
            <w:rPr>
              <w:sz w:val="15"/>
            </w:rPr>
            <w:t>27</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_Toc12000 </w:instrText>
          </w:r>
          <w:r>
            <w:rPr>
              <w:rFonts w:ascii="宋体" w:hAnsi="宋体"/>
              <w:sz w:val="15"/>
            </w:rPr>
            <w:fldChar w:fldCharType="separate"/>
          </w:r>
          <w:r>
            <w:rPr>
              <w:rFonts w:ascii="宋体" w:hAnsi="宋体"/>
              <w:sz w:val="15"/>
              <w:szCs w:val="30"/>
            </w:rPr>
            <w:t xml:space="preserve">A </w:t>
          </w:r>
          <w:r>
            <w:rPr>
              <w:rFonts w:hint="eastAsia" w:ascii="宋体" w:hAnsi="宋体"/>
              <w:sz w:val="15"/>
              <w:szCs w:val="30"/>
            </w:rPr>
            <w:t>响应文件</w:t>
          </w:r>
          <w:r>
            <w:rPr>
              <w:sz w:val="15"/>
            </w:rPr>
            <w:tab/>
          </w:r>
          <w:r>
            <w:rPr>
              <w:sz w:val="15"/>
            </w:rPr>
            <w:fldChar w:fldCharType="begin"/>
          </w:r>
          <w:r>
            <w:rPr>
              <w:sz w:val="15"/>
            </w:rPr>
            <w:instrText xml:space="preserve"> PAGEREF _Toc12000 \h </w:instrText>
          </w:r>
          <w:r>
            <w:rPr>
              <w:sz w:val="15"/>
            </w:rPr>
            <w:fldChar w:fldCharType="separate"/>
          </w:r>
          <w:r>
            <w:rPr>
              <w:sz w:val="15"/>
            </w:rPr>
            <w:t>27</w:t>
          </w:r>
          <w:r>
            <w:rPr>
              <w:sz w:val="15"/>
            </w:rPr>
            <w:fldChar w:fldCharType="end"/>
          </w:r>
          <w:r>
            <w:rPr>
              <w:rFonts w:ascii="宋体" w:hAnsi="宋体"/>
              <w:sz w:val="15"/>
            </w:rPr>
            <w:fldChar w:fldCharType="end"/>
          </w:r>
        </w:p>
        <w:p>
          <w:pPr>
            <w:pStyle w:val="22"/>
            <w:tabs>
              <w:tab w:val="right" w:leader="dot" w:pos="9069"/>
            </w:tabs>
            <w:rPr>
              <w:sz w:val="15"/>
            </w:rPr>
          </w:pPr>
          <w:r>
            <w:rPr>
              <w:rFonts w:ascii="宋体" w:hAnsi="宋体"/>
              <w:sz w:val="15"/>
            </w:rPr>
            <w:fldChar w:fldCharType="begin"/>
          </w:r>
          <w:r>
            <w:rPr>
              <w:rFonts w:ascii="宋体" w:hAnsi="宋体"/>
              <w:sz w:val="15"/>
            </w:rPr>
            <w:instrText xml:space="preserve"> HYPERLINK \l _Toc3950 </w:instrText>
          </w:r>
          <w:r>
            <w:rPr>
              <w:rFonts w:ascii="宋体" w:hAnsi="宋体"/>
              <w:sz w:val="15"/>
            </w:rPr>
            <w:fldChar w:fldCharType="separate"/>
          </w:r>
          <w:r>
            <w:rPr>
              <w:rFonts w:ascii="宋体" w:hAnsi="宋体"/>
              <w:sz w:val="15"/>
              <w:szCs w:val="30"/>
            </w:rPr>
            <w:t xml:space="preserve">B </w:t>
          </w:r>
          <w:r>
            <w:rPr>
              <w:rFonts w:hint="eastAsia" w:ascii="宋体" w:hAnsi="宋体"/>
              <w:sz w:val="15"/>
              <w:szCs w:val="30"/>
            </w:rPr>
            <w:t>价格文件</w:t>
          </w:r>
          <w:r>
            <w:rPr>
              <w:sz w:val="15"/>
            </w:rPr>
            <w:tab/>
          </w:r>
          <w:r>
            <w:rPr>
              <w:sz w:val="15"/>
            </w:rPr>
            <w:fldChar w:fldCharType="begin"/>
          </w:r>
          <w:r>
            <w:rPr>
              <w:sz w:val="15"/>
            </w:rPr>
            <w:instrText xml:space="preserve"> PAGEREF _Toc3950 \h </w:instrText>
          </w:r>
          <w:r>
            <w:rPr>
              <w:sz w:val="15"/>
            </w:rPr>
            <w:fldChar w:fldCharType="separate"/>
          </w:r>
          <w:r>
            <w:rPr>
              <w:sz w:val="15"/>
            </w:rPr>
            <w:t>34</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_Toc25571 </w:instrText>
          </w:r>
          <w:r>
            <w:rPr>
              <w:rFonts w:ascii="宋体" w:hAnsi="宋体"/>
              <w:sz w:val="15"/>
            </w:rPr>
            <w:fldChar w:fldCharType="separate"/>
          </w:r>
          <w:r>
            <w:rPr>
              <w:rFonts w:hint="eastAsia" w:ascii="宋体" w:hAnsi="宋体" w:eastAsia="宋体"/>
              <w:sz w:val="15"/>
            </w:rPr>
            <w:t>第五章用户需求书</w:t>
          </w:r>
          <w:r>
            <w:rPr>
              <w:sz w:val="15"/>
            </w:rPr>
            <w:tab/>
          </w:r>
          <w:r>
            <w:rPr>
              <w:sz w:val="15"/>
            </w:rPr>
            <w:fldChar w:fldCharType="begin"/>
          </w:r>
          <w:r>
            <w:rPr>
              <w:sz w:val="15"/>
            </w:rPr>
            <w:instrText xml:space="preserve"> PAGEREF _Toc25571 \h </w:instrText>
          </w:r>
          <w:r>
            <w:rPr>
              <w:sz w:val="15"/>
            </w:rPr>
            <w:fldChar w:fldCharType="separate"/>
          </w:r>
          <w:r>
            <w:rPr>
              <w:sz w:val="15"/>
            </w:rPr>
            <w:t>38</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_Toc4375 </w:instrText>
          </w:r>
          <w:r>
            <w:rPr>
              <w:rFonts w:ascii="宋体" w:hAnsi="宋体"/>
              <w:sz w:val="15"/>
            </w:rPr>
            <w:fldChar w:fldCharType="separate"/>
          </w:r>
          <w:r>
            <w:rPr>
              <w:rFonts w:hint="eastAsia" w:ascii="宋体" w:hAnsi="宋体"/>
              <w:sz w:val="15"/>
            </w:rPr>
            <w:t>一、商务要求</w:t>
          </w:r>
          <w:r>
            <w:rPr>
              <w:sz w:val="15"/>
            </w:rPr>
            <w:tab/>
          </w:r>
          <w:r>
            <w:rPr>
              <w:sz w:val="15"/>
            </w:rPr>
            <w:fldChar w:fldCharType="begin"/>
          </w:r>
          <w:r>
            <w:rPr>
              <w:sz w:val="15"/>
            </w:rPr>
            <w:instrText xml:space="preserve"> PAGEREF _Toc4375 \h </w:instrText>
          </w:r>
          <w:r>
            <w:rPr>
              <w:sz w:val="15"/>
            </w:rPr>
            <w:fldChar w:fldCharType="separate"/>
          </w:r>
          <w:r>
            <w:rPr>
              <w:sz w:val="15"/>
            </w:rPr>
            <w:t>38</w:t>
          </w:r>
          <w:r>
            <w:rPr>
              <w:sz w:val="15"/>
            </w:rPr>
            <w:fldChar w:fldCharType="end"/>
          </w:r>
          <w:r>
            <w:rPr>
              <w:rFonts w:ascii="宋体" w:hAnsi="宋体"/>
              <w:sz w:val="15"/>
            </w:rPr>
            <w:fldChar w:fldCharType="end"/>
          </w:r>
        </w:p>
        <w:p>
          <w:pPr>
            <w:pStyle w:val="17"/>
            <w:tabs>
              <w:tab w:val="right" w:leader="dot" w:pos="9069"/>
            </w:tabs>
            <w:rPr>
              <w:sz w:val="15"/>
            </w:rPr>
          </w:pPr>
          <w:r>
            <w:rPr>
              <w:rFonts w:ascii="宋体" w:hAnsi="宋体"/>
              <w:sz w:val="15"/>
            </w:rPr>
            <w:fldChar w:fldCharType="begin"/>
          </w:r>
          <w:r>
            <w:rPr>
              <w:rFonts w:ascii="宋体" w:hAnsi="宋体"/>
              <w:sz w:val="15"/>
            </w:rPr>
            <w:instrText xml:space="preserve"> HYPERLINK \l _Toc8943 </w:instrText>
          </w:r>
          <w:r>
            <w:rPr>
              <w:rFonts w:ascii="宋体" w:hAnsi="宋体"/>
              <w:sz w:val="15"/>
            </w:rPr>
            <w:fldChar w:fldCharType="separate"/>
          </w:r>
          <w:r>
            <w:rPr>
              <w:rFonts w:hint="eastAsia" w:ascii="宋体" w:hAnsi="宋体"/>
              <w:sz w:val="15"/>
            </w:rPr>
            <w:t>二、技术需求及数量表</w:t>
          </w:r>
          <w:r>
            <w:rPr>
              <w:sz w:val="15"/>
            </w:rPr>
            <w:tab/>
          </w:r>
          <w:r>
            <w:rPr>
              <w:sz w:val="15"/>
            </w:rPr>
            <w:fldChar w:fldCharType="begin"/>
          </w:r>
          <w:r>
            <w:rPr>
              <w:sz w:val="15"/>
            </w:rPr>
            <w:instrText xml:space="preserve"> PAGEREF _Toc8943 \h </w:instrText>
          </w:r>
          <w:r>
            <w:rPr>
              <w:sz w:val="15"/>
            </w:rPr>
            <w:fldChar w:fldCharType="separate"/>
          </w:r>
          <w:r>
            <w:rPr>
              <w:sz w:val="15"/>
            </w:rPr>
            <w:t>40</w:t>
          </w:r>
          <w:r>
            <w:rPr>
              <w:sz w:val="15"/>
            </w:rPr>
            <w:fldChar w:fldCharType="end"/>
          </w:r>
          <w:r>
            <w:rPr>
              <w:rFonts w:ascii="宋体" w:hAnsi="宋体"/>
              <w:sz w:val="15"/>
            </w:rPr>
            <w:fldChar w:fldCharType="end"/>
          </w:r>
        </w:p>
        <w:p>
          <w:pPr>
            <w:pStyle w:val="22"/>
            <w:tabs>
              <w:tab w:val="right" w:leader="dot" w:pos="9061"/>
            </w:tabs>
            <w:adjustRightInd w:val="0"/>
            <w:snapToGrid w:val="0"/>
            <w:spacing w:line="240" w:lineRule="auto"/>
            <w:rPr>
              <w:rFonts w:ascii="宋体" w:hAnsi="宋体"/>
            </w:rPr>
          </w:pPr>
          <w:r>
            <w:rPr>
              <w:rFonts w:ascii="宋体" w:hAnsi="宋体"/>
              <w:sz w:val="15"/>
            </w:rPr>
            <w:fldChar w:fldCharType="end"/>
          </w:r>
        </w:p>
      </w:sdtContent>
    </w:sdt>
    <w:p>
      <w:pPr>
        <w:pStyle w:val="17"/>
        <w:tabs>
          <w:tab w:val="right" w:leader="dot" w:pos="9072"/>
        </w:tabs>
        <w:spacing w:before="0" w:after="0" w:afterAutospacing="0" w:line="240" w:lineRule="auto"/>
        <w:ind w:right="-57" w:firstLine="437"/>
        <w:jc w:val="center"/>
        <w:rPr>
          <w:rFonts w:ascii="宋体" w:hAnsi="宋体"/>
        </w:rPr>
      </w:pPr>
    </w:p>
    <w:p>
      <w:pPr>
        <w:pStyle w:val="11"/>
        <w:pageBreakBefore/>
        <w:ind w:right="-57" w:firstLine="0"/>
        <w:jc w:val="center"/>
        <w:outlineLvl w:val="0"/>
        <w:rPr>
          <w:rStyle w:val="39"/>
          <w:rFonts w:ascii="宋体" w:hAnsi="宋体" w:eastAsia="宋体"/>
        </w:rPr>
      </w:pPr>
      <w:bookmarkStart w:id="0" w:name="_Toc1227"/>
      <w:bookmarkStart w:id="1" w:name="_Toc8290"/>
      <w:bookmarkStart w:id="2" w:name="_Toc481"/>
      <w:bookmarkStart w:id="3" w:name="_Toc3658"/>
      <w:bookmarkStart w:id="4" w:name="_Toc5910"/>
      <w:bookmarkStart w:id="5" w:name="_Toc3400"/>
      <w:bookmarkStart w:id="6" w:name="_Toc26939"/>
      <w:bookmarkStart w:id="7" w:name="_Toc30647"/>
      <w:bookmarkStart w:id="8" w:name="_Toc25355"/>
      <w:bookmarkStart w:id="9" w:name="_Toc15211"/>
      <w:bookmarkStart w:id="10" w:name="_Toc375039061"/>
      <w:bookmarkStart w:id="11" w:name="_Toc26192"/>
      <w:bookmarkStart w:id="12" w:name="_Toc23367"/>
      <w:bookmarkStart w:id="13" w:name="_Toc237"/>
      <w:bookmarkStart w:id="14" w:name="_Toc1363"/>
      <w:bookmarkStart w:id="15" w:name="_Toc17906"/>
      <w:bookmarkStart w:id="16" w:name="_Toc26620"/>
      <w:bookmarkStart w:id="17" w:name="_Toc23476"/>
      <w:bookmarkStart w:id="18" w:name="_Toc492478714"/>
      <w:bookmarkStart w:id="19" w:name="_Toc14762"/>
      <w:r>
        <w:rPr>
          <w:rStyle w:val="39"/>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sz w:val="28"/>
          <w:szCs w:val="28"/>
        </w:rPr>
      </w:pPr>
      <w:r>
        <w:rPr>
          <w:rFonts w:hint="eastAsia" w:ascii="宋体" w:hAnsi="宋体"/>
          <w:b/>
          <w:sz w:val="28"/>
          <w:szCs w:val="28"/>
        </w:rPr>
        <w:t>南宁轨道</w:t>
      </w:r>
      <w:r>
        <w:rPr>
          <w:rFonts w:hint="eastAsia" w:ascii="宋体" w:hAnsi="宋体"/>
          <w:b/>
          <w:sz w:val="28"/>
          <w:szCs w:val="28"/>
          <w:lang w:eastAsia="zh-CN"/>
        </w:rPr>
        <w:t>交通</w:t>
      </w:r>
      <w:r>
        <w:rPr>
          <w:rFonts w:hint="eastAsia" w:ascii="宋体" w:hAnsi="宋体"/>
          <w:b/>
          <w:sz w:val="28"/>
          <w:szCs w:val="28"/>
        </w:rPr>
        <w:t>2021年出入口安全划线标识采购项目比选公告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1.项目名称</w:t>
      </w:r>
    </w:p>
    <w:p>
      <w:pPr>
        <w:spacing w:before="0" w:after="0" w:afterAutospacing="0"/>
        <w:ind w:left="0" w:right="0" w:firstLine="420" w:firstLineChars="200"/>
        <w:rPr>
          <w:rFonts w:hint="eastAsia" w:ascii="宋体" w:hAnsi="宋体"/>
        </w:rPr>
      </w:pPr>
      <w:r>
        <w:rPr>
          <w:rFonts w:hint="eastAsia" w:ascii="宋体" w:hAnsi="宋体"/>
        </w:rPr>
        <w:t>南宁轨道</w:t>
      </w:r>
      <w:r>
        <w:rPr>
          <w:rFonts w:hint="eastAsia" w:ascii="宋体" w:hAnsi="宋体"/>
          <w:lang w:eastAsia="zh-CN"/>
        </w:rPr>
        <w:t>交通</w:t>
      </w:r>
      <w:r>
        <w:rPr>
          <w:rFonts w:hint="eastAsia" w:ascii="宋体" w:hAnsi="宋体"/>
        </w:rPr>
        <w:t>2021年出入口安全划线标识采购项目</w:t>
      </w:r>
    </w:p>
    <w:p>
      <w:pPr>
        <w:spacing w:before="0" w:after="0" w:afterAutospacing="0"/>
        <w:ind w:left="0" w:right="0" w:firstLine="422" w:firstLineChars="200"/>
        <w:rPr>
          <w:rFonts w:ascii="宋体" w:hAnsi="宋体"/>
          <w:b/>
        </w:rPr>
      </w:pPr>
      <w:r>
        <w:rPr>
          <w:rFonts w:hint="eastAsia" w:ascii="宋体" w:hAnsi="宋体"/>
          <w:b/>
        </w:rPr>
        <w:t>2.资金来源</w:t>
      </w:r>
    </w:p>
    <w:p>
      <w:pPr>
        <w:spacing w:before="0" w:after="0" w:afterAutospacing="0"/>
        <w:ind w:left="0" w:right="0" w:firstLine="420" w:firstLineChars="200"/>
        <w:rPr>
          <w:rFonts w:ascii="宋体" w:hAnsi="宋体"/>
        </w:rPr>
      </w:pPr>
      <w:r>
        <w:rPr>
          <w:rFonts w:hint="eastAsia" w:ascii="宋体" w:hAnsi="宋体"/>
        </w:rPr>
        <w:t>已落实，企业自有资金。</w:t>
      </w:r>
    </w:p>
    <w:p>
      <w:pPr>
        <w:spacing w:before="0" w:after="0" w:afterAutospacing="0"/>
        <w:ind w:left="0" w:right="0" w:firstLine="422" w:firstLineChars="200"/>
        <w:rPr>
          <w:rFonts w:ascii="宋体" w:hAnsi="宋体"/>
          <w:b/>
        </w:rPr>
      </w:pPr>
      <w:r>
        <w:rPr>
          <w:rFonts w:hint="eastAsia" w:ascii="宋体" w:hAnsi="宋体"/>
          <w:b/>
        </w:rPr>
        <w:t>3.项目概况</w:t>
      </w:r>
    </w:p>
    <w:p>
      <w:pPr>
        <w:spacing w:before="0" w:after="0" w:afterAutospacing="0"/>
        <w:ind w:left="0" w:right="0" w:firstLine="420" w:firstLineChars="200"/>
        <w:rPr>
          <w:rFonts w:ascii="宋体" w:hAnsi="宋体"/>
          <w:u w:val="single"/>
        </w:rPr>
      </w:pPr>
      <w:r>
        <w:rPr>
          <w:rFonts w:hint="eastAsia" w:ascii="宋体" w:hAnsi="宋体"/>
        </w:rPr>
        <w:t>项目编号：202105060010</w:t>
      </w:r>
    </w:p>
    <w:p>
      <w:pPr>
        <w:spacing w:before="0" w:after="0" w:afterAutospacing="0"/>
        <w:ind w:left="0" w:right="0" w:firstLine="420" w:firstLineChars="200"/>
        <w:rPr>
          <w:rFonts w:ascii="宋体" w:hAnsi="宋体"/>
        </w:rPr>
      </w:pPr>
      <w:r>
        <w:rPr>
          <w:rFonts w:hint="eastAsia" w:ascii="宋体" w:hAnsi="宋体"/>
        </w:rPr>
        <w:t>不含税上限控制价：人民币123800元。</w:t>
      </w:r>
    </w:p>
    <w:p>
      <w:pPr>
        <w:spacing w:before="0" w:after="0" w:afterAutospacing="0"/>
        <w:ind w:left="0" w:right="0" w:firstLine="420" w:firstLineChars="200"/>
        <w:rPr>
          <w:rFonts w:hint="eastAsia" w:ascii="宋体" w:hAnsi="宋体"/>
          <w:u w:val="single"/>
        </w:rPr>
      </w:pPr>
      <w:r>
        <w:rPr>
          <w:rFonts w:hint="eastAsia" w:ascii="宋体" w:hAnsi="宋体"/>
          <w:u w:val="single"/>
          <w:lang w:eastAsia="zh-CN"/>
        </w:rPr>
        <w:t>工期</w:t>
      </w:r>
      <w:r>
        <w:rPr>
          <w:rFonts w:hint="eastAsia" w:ascii="宋体" w:hAnsi="宋体"/>
          <w:u w:val="single"/>
        </w:rPr>
        <w:t>：</w:t>
      </w:r>
      <w:r>
        <w:rPr>
          <w:rFonts w:hint="eastAsia" w:ascii="宋体" w:hAnsi="宋体"/>
          <w:u w:val="single"/>
          <w:lang w:eastAsia="zh-CN"/>
        </w:rPr>
        <w:t>合同签订之日起</w:t>
      </w:r>
      <w:r>
        <w:rPr>
          <w:rFonts w:hint="eastAsia" w:ascii="宋体" w:hAnsi="宋体"/>
          <w:u w:val="single"/>
          <w:lang w:val="en-US" w:eastAsia="zh-CN"/>
        </w:rPr>
        <w:t>30天内。</w:t>
      </w:r>
    </w:p>
    <w:p>
      <w:pPr>
        <w:spacing w:before="0" w:after="0" w:afterAutospacing="0"/>
        <w:ind w:left="0" w:right="0" w:firstLine="420" w:firstLineChars="200"/>
        <w:rPr>
          <w:rFonts w:hint="eastAsia" w:ascii="宋体" w:hAnsi="宋体"/>
        </w:rPr>
      </w:pPr>
      <w:r>
        <w:rPr>
          <w:rFonts w:hint="eastAsia" w:ascii="宋体" w:hAnsi="宋体"/>
        </w:rPr>
        <w:t>项目地点：具体详见用户需求书。</w:t>
      </w:r>
    </w:p>
    <w:p>
      <w:pPr>
        <w:spacing w:before="0" w:after="0" w:afterAutospacing="0"/>
        <w:ind w:left="0" w:right="0" w:firstLine="420" w:firstLineChars="200"/>
        <w:rPr>
          <w:rFonts w:hint="eastAsia" w:ascii="宋体" w:hAnsi="宋体"/>
        </w:rPr>
      </w:pPr>
      <w:r>
        <w:rPr>
          <w:rFonts w:hint="eastAsia" w:ascii="宋体" w:hAnsi="宋体"/>
        </w:rPr>
        <w:t>比选范围：具体详见用户需求书。</w:t>
      </w:r>
    </w:p>
    <w:p>
      <w:pPr>
        <w:spacing w:before="0" w:after="0" w:afterAutospacing="0"/>
        <w:ind w:left="0" w:right="0" w:firstLine="422" w:firstLineChars="200"/>
        <w:rPr>
          <w:rFonts w:ascii="宋体" w:hAnsi="宋体"/>
        </w:rPr>
      </w:pPr>
      <w:r>
        <w:rPr>
          <w:rFonts w:hint="eastAsia" w:ascii="宋体" w:hAnsi="宋体"/>
          <w:b/>
        </w:rPr>
        <w:t>4.比选申请人资格要求</w:t>
      </w:r>
    </w:p>
    <w:p>
      <w:pPr>
        <w:spacing w:before="0" w:after="0" w:afterAutospacing="0"/>
        <w:ind w:left="0" w:right="0" w:firstLine="420" w:firstLineChars="200"/>
        <w:rPr>
          <w:rFonts w:hint="eastAsia" w:ascii="宋体" w:hAnsi="宋体"/>
        </w:rPr>
      </w:pPr>
      <w:r>
        <w:rPr>
          <w:rFonts w:hint="eastAsia" w:ascii="宋体" w:hAnsi="宋体"/>
        </w:rPr>
        <w:t>4.1比选申请人为中华人民共和国境内依法设立的法人或其他组织（若以分公司名义参与比选申请，必须出具总公司授权参与的证明）。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default" w:ascii="宋体" w:hAnsi="宋体"/>
          <w:lang w:val="en-US" w:eastAsia="zh-CN"/>
        </w:rPr>
      </w:pPr>
      <w:r>
        <w:rPr>
          <w:rFonts w:hint="eastAsia" w:ascii="宋体" w:hAnsi="宋体"/>
        </w:rPr>
        <w:t>4.2 资质条件：</w:t>
      </w:r>
      <w:r>
        <w:rPr>
          <w:rFonts w:hint="eastAsia" w:ascii="宋体" w:hAnsi="宋体"/>
          <w:lang w:eastAsia="zh-CN"/>
        </w:rPr>
        <w:t>营业执照经营范围至少包括下列范围之一：</w:t>
      </w:r>
      <w:r>
        <w:rPr>
          <w:rFonts w:hint="eastAsia" w:ascii="宋体" w:hAnsi="宋体"/>
          <w:lang w:val="en-US" w:eastAsia="zh-CN"/>
        </w:rPr>
        <w:t>导向标识制作及安装、交通标识制作安装，标牌制作等类似经营范围。</w:t>
      </w:r>
    </w:p>
    <w:p>
      <w:pPr>
        <w:spacing w:before="0" w:after="0" w:afterAutospacing="0"/>
        <w:ind w:left="0" w:right="0" w:firstLine="420" w:firstLineChars="200"/>
        <w:rPr>
          <w:rFonts w:hint="eastAsia" w:ascii="宋体" w:hAnsi="宋体" w:eastAsia="宋体"/>
          <w:lang w:eastAsia="zh-CN"/>
        </w:rPr>
      </w:pPr>
      <w:r>
        <w:rPr>
          <w:rFonts w:hint="eastAsia" w:ascii="宋体" w:hAnsi="宋体"/>
        </w:rPr>
        <w:t>4.3业绩条件：比选申请人自2017年1月1日（备注：近5年）至截标时间前至少具有1项类似业绩，类似业绩是指单项合同金额不少于5万人民币的供货业绩</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rPr>
        <w:t>4.4比选申请人没有处于被广西区行政主管部门或业主取消比选申请资格的处罚期内；且没有处于被责令停业，财产被接管、冻结、破产状态；比选申请截止时间前3年内没有骗取中标、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4.5单位负责人为同一人或者存在控股、管理关系的不同单位，不得参加同一标段比选申请或者未划分标段的同一比选项目比选申请。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4.6本项目不接受联合体比选申请。</w:t>
      </w:r>
    </w:p>
    <w:p>
      <w:pPr>
        <w:spacing w:before="0" w:after="0" w:afterAutospacing="0"/>
        <w:ind w:left="0" w:right="0" w:firstLine="420" w:firstLineChars="200"/>
        <w:rPr>
          <w:rFonts w:hint="eastAsia" w:ascii="宋体" w:hAnsi="宋体"/>
        </w:rPr>
      </w:pPr>
      <w:r>
        <w:rPr>
          <w:rFonts w:hint="eastAsia" w:ascii="宋体" w:hAnsi="宋体"/>
        </w:rPr>
        <w:t>4.7比选申请人未列入比选人不良信用名单的。</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hint="eastAsia" w:ascii="宋体" w:hAnsi="宋体"/>
          <w:b/>
        </w:rPr>
      </w:pPr>
      <w:r>
        <w:rPr>
          <w:rFonts w:hint="eastAsia" w:ascii="宋体" w:hAnsi="宋体"/>
          <w:b/>
        </w:rPr>
        <w:t>5. 发布公告的媒介及比选文件的获取</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w:t>
      </w:r>
      <w:r>
        <w:fldChar w:fldCharType="begin"/>
      </w:r>
      <w:r>
        <w:instrText xml:space="preserve"> HYPERLINK "http://www.ecrrc.com" </w:instrText>
      </w:r>
      <w:r>
        <w:fldChar w:fldCharType="separate"/>
      </w:r>
      <w:r>
        <w:rPr>
          <w:rStyle w:val="31"/>
          <w:rFonts w:hint="eastAsia" w:ascii="宋体" w:hAnsi="宋体"/>
        </w:rPr>
        <w:t>http://www.ecrrc.com</w:t>
      </w:r>
      <w:r>
        <w:rPr>
          <w:rStyle w:val="31"/>
          <w:rFonts w:hint="eastAsia" w:ascii="宋体" w:hAnsi="宋体"/>
        </w:rPr>
        <w:fldChar w:fldCharType="end"/>
      </w:r>
      <w:r>
        <w:rPr>
          <w:rFonts w:hint="eastAsia" w:ascii="宋体" w:hAnsi="宋体"/>
        </w:rPr>
        <w:t>)发布。</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lang w:val="en-US" w:eastAsia="zh-CN"/>
        </w:rPr>
        <w:t>2021</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12</w:t>
      </w:r>
      <w:r>
        <w:rPr>
          <w:rFonts w:hint="eastAsia" w:ascii="宋体" w:hAnsi="宋体"/>
          <w:highlight w:val="none"/>
        </w:rPr>
        <w:t>月XX</w:t>
      </w:r>
      <w:r>
        <w:rPr>
          <w:rFonts w:hint="eastAsia" w:ascii="宋体" w:hAnsi="宋体"/>
          <w:highlight w:val="none"/>
          <w:u w:val="single"/>
        </w:rPr>
        <w:t xml:space="preserve"> </w:t>
      </w:r>
      <w:r>
        <w:rPr>
          <w:rFonts w:hint="eastAsia" w:ascii="宋体" w:hAnsi="宋体"/>
          <w:highlight w:val="none"/>
          <w:u w:val="single"/>
          <w:lang w:val="en-US" w:eastAsia="zh-CN"/>
        </w:rPr>
        <w:t>7</w:t>
      </w:r>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u w:val="single"/>
          <w:lang w:val="en-US" w:eastAsia="zh-CN"/>
        </w:rPr>
        <w:t>09</w:t>
      </w:r>
      <w:r>
        <w:rPr>
          <w:rFonts w:hint="eastAsia" w:ascii="宋体" w:hAnsi="宋体"/>
          <w:highlight w:val="none"/>
          <w:u w:val="single"/>
        </w:rPr>
        <w:t xml:space="preserve">  </w:t>
      </w:r>
      <w:r>
        <w:rPr>
          <w:rFonts w:hint="eastAsia" w:ascii="宋体" w:hAnsi="宋体"/>
          <w:highlight w:val="none"/>
        </w:rPr>
        <w:t>时</w:t>
      </w:r>
      <w:r>
        <w:rPr>
          <w:rFonts w:hint="eastAsia" w:ascii="宋体" w:hAnsi="宋体"/>
          <w:highlight w:val="none"/>
          <w:u w:val="single"/>
          <w:lang w:val="en-US" w:eastAsia="zh-CN"/>
        </w:rPr>
        <w:t>00</w:t>
      </w:r>
      <w:r>
        <w:rPr>
          <w:rFonts w:hint="eastAsia" w:ascii="宋体" w:hAnsi="宋体"/>
          <w:highlight w:val="none"/>
          <w:u w:val="single"/>
        </w:rPr>
        <w:t xml:space="preserve"> </w:t>
      </w:r>
      <w:r>
        <w:rPr>
          <w:rFonts w:hint="eastAsia" w:ascii="宋体" w:hAnsi="宋体"/>
          <w:highlight w:val="none"/>
        </w:rPr>
        <w:t>分（北京时间）前递交，递交地点在广西南宁市青秀区云景路83号屯里车辆段</w:t>
      </w:r>
      <w:r>
        <w:rPr>
          <w:rFonts w:hint="eastAsia" w:ascii="宋体" w:hAnsi="宋体"/>
          <w:highlight w:val="none"/>
          <w:lang w:eastAsia="zh-CN"/>
        </w:rPr>
        <w:t>综合楼</w:t>
      </w:r>
      <w:r>
        <w:rPr>
          <w:rFonts w:hint="eastAsia" w:ascii="宋体" w:hAnsi="宋体"/>
          <w:highlight w:val="none"/>
          <w:lang w:val="en-US" w:eastAsia="zh-CN"/>
        </w:rPr>
        <w:t>205会议室</w:t>
      </w:r>
      <w:r>
        <w:rPr>
          <w:rFonts w:hint="eastAsia" w:ascii="宋体" w:hAnsi="宋体"/>
          <w:highlight w:val="none"/>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7.联系方式</w:t>
      </w:r>
    </w:p>
    <w:p>
      <w:pPr>
        <w:spacing w:before="0" w:after="0" w:afterAutospacing="0"/>
        <w:ind w:left="0" w:right="0" w:firstLine="420" w:firstLineChars="200"/>
        <w:rPr>
          <w:rFonts w:ascii="宋体" w:hAnsi="宋体"/>
          <w:u w:val="single"/>
        </w:rPr>
      </w:pPr>
      <w:r>
        <w:rPr>
          <w:rFonts w:hint="eastAsia" w:ascii="宋体" w:hAnsi="宋体"/>
        </w:rPr>
        <w:t xml:space="preserve">比选 人：南宁轨道交通集团有限责任公司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w:t>
      </w:r>
      <w:r>
        <w:rPr>
          <w:rFonts w:hint="eastAsia" w:ascii="宋体" w:hAnsi="宋体"/>
          <w:color w:val="FF0000"/>
          <w:u w:val="single"/>
        </w:rPr>
        <w:t>殷智</w:t>
      </w:r>
    </w:p>
    <w:p>
      <w:pPr>
        <w:spacing w:before="0" w:after="0" w:afterAutospacing="0"/>
        <w:ind w:left="0" w:right="0" w:firstLine="420" w:firstLineChars="200"/>
        <w:rPr>
          <w:rFonts w:ascii="宋体" w:hAnsi="宋体"/>
          <w:u w:val="single"/>
        </w:rPr>
      </w:pPr>
      <w:r>
        <w:rPr>
          <w:rFonts w:hint="eastAsia" w:ascii="宋体" w:hAnsi="宋体"/>
        </w:rPr>
        <w:t>电    话：0771-2778235</w:t>
      </w:r>
    </w:p>
    <w:p>
      <w:pPr>
        <w:spacing w:before="0" w:after="0" w:afterAutospacing="0"/>
        <w:ind w:left="0" w:right="0" w:firstLine="420" w:firstLineChars="200"/>
        <w:rPr>
          <w:rFonts w:ascii="宋体" w:hAnsi="宋体"/>
          <w:u w:val="single"/>
        </w:rPr>
      </w:pPr>
      <w:r>
        <w:rPr>
          <w:rFonts w:hint="eastAsia" w:ascii="宋体" w:hAnsi="宋体"/>
        </w:rPr>
        <w:t>电子邮件：</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1"/>
        <w:pageBreakBefore/>
        <w:ind w:right="-57" w:firstLine="0"/>
        <w:jc w:val="center"/>
        <w:outlineLvl w:val="0"/>
        <w:rPr>
          <w:rStyle w:val="39"/>
          <w:rFonts w:ascii="宋体" w:hAnsi="宋体" w:eastAsia="宋体"/>
        </w:rPr>
      </w:pPr>
      <w:bookmarkStart w:id="21" w:name="_Toc322528192"/>
      <w:bookmarkEnd w:id="21"/>
      <w:bookmarkStart w:id="22" w:name="_Toc512357502"/>
      <w:bookmarkStart w:id="23" w:name="_Toc15976"/>
      <w:bookmarkStart w:id="24" w:name="_Toc20201"/>
      <w:bookmarkStart w:id="25" w:name="_Toc17240"/>
      <w:bookmarkStart w:id="26" w:name="_Toc1230"/>
      <w:bookmarkStart w:id="27" w:name="_Toc21830"/>
      <w:bookmarkStart w:id="28" w:name="_Toc24390"/>
      <w:bookmarkStart w:id="29" w:name="_Toc24972"/>
      <w:bookmarkStart w:id="30" w:name="_Toc17594"/>
      <w:bookmarkStart w:id="31" w:name="_Toc12635"/>
      <w:bookmarkStart w:id="32" w:name="_Toc29836"/>
      <w:bookmarkStart w:id="33" w:name="_Toc30883"/>
      <w:bookmarkStart w:id="34" w:name="_Toc30725"/>
      <w:bookmarkStart w:id="35" w:name="_Toc3495"/>
      <w:bookmarkStart w:id="36" w:name="_Toc18454"/>
      <w:bookmarkStart w:id="37" w:name="_Toc25227"/>
      <w:bookmarkStart w:id="38" w:name="_Toc17735"/>
      <w:bookmarkStart w:id="39" w:name="_Toc22273"/>
      <w:bookmarkStart w:id="40" w:name="_Toc30950"/>
      <w:r>
        <w:rPr>
          <w:rStyle w:val="39"/>
          <w:rFonts w:hint="eastAsia" w:ascii="宋体" w:hAnsi="宋体" w:eastAsia="宋体"/>
        </w:rPr>
        <w:t>第二章</w:t>
      </w:r>
      <w:bookmarkEnd w:id="22"/>
      <w:r>
        <w:rPr>
          <w:rStyle w:val="39"/>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3"/>
        <w:spacing w:after="0" w:afterAutospacing="0" w:line="360" w:lineRule="auto"/>
        <w:ind w:left="0" w:right="0" w:firstLine="482" w:firstLineChars="200"/>
        <w:rPr>
          <w:rFonts w:ascii="宋体" w:hAnsi="宋体" w:eastAsia="宋体"/>
          <w:sz w:val="24"/>
          <w:szCs w:val="24"/>
        </w:rPr>
      </w:pPr>
      <w:bookmarkStart w:id="41" w:name="_Toc7339"/>
      <w:bookmarkStart w:id="42" w:name="_Toc12983509"/>
      <w:bookmarkStart w:id="43" w:name="_Toc16608"/>
      <w:bookmarkStart w:id="44" w:name="_Toc16530"/>
      <w:bookmarkStart w:id="45" w:name="_Toc2986"/>
      <w:bookmarkStart w:id="46" w:name="_Toc28220"/>
      <w:bookmarkStart w:id="47" w:name="_Toc6528"/>
      <w:bookmarkStart w:id="48" w:name="_Toc19617"/>
      <w:bookmarkStart w:id="49" w:name="_Toc5487"/>
      <w:bookmarkStart w:id="50" w:name="_Toc385427797"/>
      <w:bookmarkStart w:id="51" w:name="_Toc18528"/>
      <w:bookmarkStart w:id="52" w:name="_Toc492478722"/>
      <w:bookmarkStart w:id="53" w:name="_Toc2609"/>
      <w:bookmarkStart w:id="54" w:name="_Toc15763"/>
      <w:bookmarkStart w:id="55" w:name="_Toc8562"/>
      <w:bookmarkStart w:id="56" w:name="_Toc3854"/>
      <w:bookmarkStart w:id="57" w:name="_Toc375039068"/>
      <w:bookmarkStart w:id="58" w:name="_Toc16131"/>
      <w:bookmarkStart w:id="59" w:name="_Toc5160"/>
      <w:bookmarkStart w:id="60" w:name="_Toc383891172"/>
      <w:bookmarkStart w:id="61" w:name="_Toc29160"/>
      <w:bookmarkStart w:id="62" w:name="_Toc9677"/>
      <w:bookmarkStart w:id="63" w:name="_Toc390098423"/>
      <w:bookmarkStart w:id="64" w:name="_Toc26349"/>
      <w:r>
        <w:rPr>
          <w:rFonts w:hint="eastAsia" w:ascii="宋体" w:hAnsi="宋体" w:eastAsia="宋体"/>
          <w:sz w:val="24"/>
          <w:szCs w:val="24"/>
        </w:rPr>
        <w:t>一、</w:t>
      </w:r>
      <w:r>
        <w:rPr>
          <w:rFonts w:ascii="宋体" w:hAnsi="宋体" w:eastAsia="宋体"/>
          <w:sz w:val="24"/>
          <w:szCs w:val="24"/>
        </w:rPr>
        <w:t>比选文件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4"/>
        <w:spacing w:before="0" w:after="0" w:afterAutospacing="0"/>
        <w:ind w:left="0" w:right="0" w:firstLine="422" w:firstLineChars="200"/>
        <w:rPr>
          <w:rFonts w:ascii="宋体" w:hAnsi="宋体"/>
          <w:sz w:val="21"/>
          <w:szCs w:val="21"/>
        </w:rPr>
      </w:pPr>
      <w:bookmarkStart w:id="65" w:name="_Toc375039069"/>
      <w:bookmarkStart w:id="66" w:name="_Toc6637"/>
      <w:bookmarkStart w:id="67" w:name="_Toc6764"/>
      <w:bookmarkStart w:id="68" w:name="_Toc26333"/>
      <w:bookmarkStart w:id="69" w:name="_Toc30401"/>
      <w:bookmarkStart w:id="70" w:name="_Toc390098424"/>
      <w:bookmarkStart w:id="71" w:name="_Toc839"/>
      <w:bookmarkStart w:id="72" w:name="_Toc9756"/>
      <w:bookmarkStart w:id="73" w:name="_Toc492478723"/>
      <w:bookmarkStart w:id="74" w:name="_Toc13114"/>
      <w:bookmarkStart w:id="75" w:name="_Toc29472"/>
      <w:bookmarkStart w:id="76" w:name="_Toc5877"/>
      <w:bookmarkStart w:id="77" w:name="_Toc32710"/>
      <w:bookmarkStart w:id="78" w:name="_Toc25378"/>
      <w:bookmarkStart w:id="79" w:name="_Toc385427798"/>
      <w:bookmarkStart w:id="80" w:name="_Toc18436"/>
      <w:bookmarkStart w:id="81" w:name="_Toc27870"/>
      <w:bookmarkStart w:id="82" w:name="_Toc4157"/>
      <w:bookmarkStart w:id="83" w:name="_Toc383891173"/>
      <w:bookmarkStart w:id="84" w:name="_Toc19561"/>
      <w:bookmarkStart w:id="85" w:name="_Toc21811"/>
      <w:bookmarkStart w:id="86" w:name="_Toc12983510"/>
      <w:bookmarkStart w:id="87" w:name="_Toc25750596"/>
      <w:bookmarkStart w:id="88" w:name="_Toc29225"/>
      <w:r>
        <w:rPr>
          <w:rFonts w:hint="eastAsia" w:ascii="宋体" w:hAnsi="宋体"/>
          <w:sz w:val="21"/>
          <w:szCs w:val="21"/>
        </w:rPr>
        <w:t xml:space="preserve">1. </w:t>
      </w:r>
      <w:r>
        <w:rPr>
          <w:rFonts w:ascii="宋体" w:hAnsi="宋体"/>
          <w:sz w:val="21"/>
          <w:szCs w:val="21"/>
        </w:rPr>
        <w:t>比选文件构成</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before="0" w:after="0" w:afterAutospacing="0"/>
        <w:ind w:left="0" w:right="0" w:firstLine="420" w:firstLineChars="200"/>
        <w:rPr>
          <w:rFonts w:ascii="宋体" w:hAnsi="宋体"/>
        </w:rPr>
      </w:pPr>
      <w:r>
        <w:rPr>
          <w:rFonts w:hint="eastAsia" w:ascii="宋体" w:hAnsi="宋体"/>
        </w:rPr>
        <w:t xml:space="preserve">1.1 </w:t>
      </w:r>
      <w:r>
        <w:rPr>
          <w:rFonts w:ascii="宋体" w:hAnsi="宋体"/>
        </w:rPr>
        <w:t>比选文件包括下列内容：</w:t>
      </w:r>
    </w:p>
    <w:p>
      <w:pPr>
        <w:numPr>
          <w:ilvl w:val="0"/>
          <w:numId w:val="1"/>
        </w:numPr>
        <w:spacing w:before="0"/>
        <w:ind w:right="0" w:hanging="283"/>
        <w:rPr>
          <w:rFonts w:ascii="宋体" w:hAnsi="宋体"/>
        </w:rPr>
      </w:pPr>
      <w:r>
        <w:rPr>
          <w:rFonts w:ascii="宋体" w:hAnsi="宋体"/>
        </w:rPr>
        <w:t>比选公告</w:t>
      </w:r>
    </w:p>
    <w:p>
      <w:pPr>
        <w:numPr>
          <w:ilvl w:val="0"/>
          <w:numId w:val="1"/>
        </w:numPr>
        <w:spacing w:before="0"/>
        <w:ind w:right="0" w:hanging="283"/>
        <w:rPr>
          <w:rFonts w:ascii="宋体" w:hAnsi="宋体"/>
        </w:rPr>
      </w:pPr>
      <w:r>
        <w:rPr>
          <w:rFonts w:ascii="宋体" w:hAnsi="宋体"/>
        </w:rPr>
        <w:t>比选申请人须知</w:t>
      </w:r>
    </w:p>
    <w:p>
      <w:pPr>
        <w:numPr>
          <w:ilvl w:val="0"/>
          <w:numId w:val="1"/>
        </w:numPr>
        <w:spacing w:before="0"/>
        <w:ind w:right="0" w:hanging="283"/>
        <w:rPr>
          <w:rFonts w:ascii="宋体" w:hAnsi="宋体"/>
        </w:rPr>
      </w:pPr>
      <w:r>
        <w:rPr>
          <w:rFonts w:ascii="宋体" w:hAnsi="宋体"/>
        </w:rPr>
        <w:t>合同条款</w:t>
      </w:r>
      <w:r>
        <w:rPr>
          <w:rFonts w:hint="eastAsia" w:ascii="宋体" w:hAnsi="宋体"/>
        </w:rPr>
        <w:t>及格式</w:t>
      </w:r>
    </w:p>
    <w:p>
      <w:pPr>
        <w:numPr>
          <w:ilvl w:val="0"/>
          <w:numId w:val="1"/>
        </w:numPr>
        <w:spacing w:before="0"/>
        <w:ind w:right="0" w:hanging="283"/>
        <w:rPr>
          <w:rFonts w:ascii="宋体" w:hAnsi="宋体"/>
        </w:rPr>
      </w:pPr>
      <w:r>
        <w:rPr>
          <w:rFonts w:ascii="宋体" w:hAnsi="宋体"/>
        </w:rPr>
        <w:t>比选申请文件格式</w:t>
      </w:r>
    </w:p>
    <w:p>
      <w:pPr>
        <w:numPr>
          <w:ilvl w:val="0"/>
          <w:numId w:val="1"/>
        </w:numPr>
        <w:spacing w:before="0"/>
        <w:ind w:right="0" w:hanging="283"/>
        <w:rPr>
          <w:rFonts w:ascii="宋体" w:hAnsi="宋体"/>
        </w:rPr>
      </w:pPr>
      <w:r>
        <w:rPr>
          <w:rFonts w:ascii="宋体" w:hAnsi="宋体"/>
        </w:rPr>
        <w:t>用户需求书</w:t>
      </w:r>
    </w:p>
    <w:p>
      <w:pPr>
        <w:numPr>
          <w:ilvl w:val="0"/>
          <w:numId w:val="1"/>
        </w:numPr>
        <w:spacing w:before="0" w:after="0" w:afterAutospacing="0"/>
        <w:ind w:right="0" w:hanging="283"/>
        <w:rPr>
          <w:rFonts w:ascii="宋体" w:hAnsi="宋体"/>
        </w:rPr>
      </w:pPr>
      <w:r>
        <w:rPr>
          <w:rFonts w:ascii="宋体" w:hAnsi="宋体"/>
        </w:rPr>
        <w:t>评</w:t>
      </w:r>
      <w:r>
        <w:rPr>
          <w:rFonts w:hint="eastAsia" w:ascii="宋体" w:hAnsi="宋体"/>
        </w:rPr>
        <w:t>分</w:t>
      </w:r>
      <w:r>
        <w:rPr>
          <w:rFonts w:ascii="宋体" w:hAnsi="宋体"/>
        </w:rPr>
        <w:t>办法</w:t>
      </w:r>
    </w:p>
    <w:p>
      <w:pPr>
        <w:pStyle w:val="4"/>
        <w:spacing w:before="0" w:after="0" w:afterAutospacing="0"/>
        <w:ind w:left="0" w:right="0" w:firstLine="422" w:firstLineChars="200"/>
        <w:rPr>
          <w:rFonts w:ascii="宋体" w:hAnsi="宋体"/>
          <w:sz w:val="21"/>
          <w:szCs w:val="21"/>
        </w:rPr>
      </w:pPr>
      <w:bookmarkStart w:id="89" w:name="_Toc20903"/>
      <w:bookmarkStart w:id="90" w:name="_Toc28270"/>
      <w:bookmarkStart w:id="91" w:name="_Toc21365"/>
      <w:bookmarkStart w:id="92" w:name="_Toc2789"/>
      <w:bookmarkStart w:id="93" w:name="_Toc11896"/>
      <w:bookmarkStart w:id="94" w:name="_Toc2664"/>
      <w:bookmarkStart w:id="95" w:name="_Toc29001"/>
      <w:bookmarkStart w:id="96" w:name="_Toc385427799"/>
      <w:bookmarkStart w:id="97" w:name="_Toc18631"/>
      <w:bookmarkStart w:id="98" w:name="_Toc383891174"/>
      <w:bookmarkStart w:id="99" w:name="_Toc14426"/>
      <w:bookmarkStart w:id="100" w:name="_Toc2489"/>
      <w:bookmarkStart w:id="101" w:name="_Toc15154"/>
      <w:bookmarkStart w:id="102" w:name="_Toc375039070"/>
      <w:bookmarkStart w:id="103" w:name="_Toc26909"/>
      <w:bookmarkStart w:id="104" w:name="_Toc26811"/>
      <w:bookmarkStart w:id="105" w:name="_Toc31848"/>
      <w:bookmarkStart w:id="106" w:name="_Toc10162"/>
      <w:bookmarkStart w:id="107" w:name="_Toc25750597"/>
      <w:bookmarkStart w:id="108" w:name="_Toc31386"/>
      <w:bookmarkStart w:id="109" w:name="_Toc12983511"/>
      <w:bookmarkStart w:id="110" w:name="_Toc390098425"/>
      <w:bookmarkStart w:id="111" w:name="_Toc492478724"/>
      <w:bookmarkStart w:id="112" w:name="_Toc17279"/>
      <w:r>
        <w:rPr>
          <w:rFonts w:hint="eastAsia" w:ascii="宋体" w:hAnsi="宋体"/>
          <w:sz w:val="21"/>
          <w:szCs w:val="21"/>
        </w:rPr>
        <w:t>2.</w:t>
      </w:r>
      <w:r>
        <w:rPr>
          <w:rFonts w:ascii="宋体" w:hAnsi="宋体"/>
          <w:sz w:val="21"/>
          <w:szCs w:val="21"/>
        </w:rPr>
        <w:t>比选文件的澄清</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宋体" w:hAnsi="宋体"/>
          <w:sz w:val="21"/>
          <w:szCs w:val="21"/>
        </w:rPr>
        <w:t>、补遗或修改</w:t>
      </w:r>
    </w:p>
    <w:p>
      <w:pPr>
        <w:spacing w:before="0" w:after="0" w:afterAutospacing="0"/>
        <w:ind w:left="0" w:right="0" w:firstLine="420" w:firstLineChars="200"/>
        <w:rPr>
          <w:rFonts w:hint="eastAsia" w:ascii="宋体" w:hAnsi="宋体"/>
        </w:rPr>
      </w:pPr>
      <w:r>
        <w:rPr>
          <w:rFonts w:hint="eastAsia" w:ascii="宋体" w:hAnsi="宋体"/>
        </w:rPr>
        <w:t>2.1 任何要求对比选文件进行澄清的比选申请人，应在</w:t>
      </w:r>
      <w:r>
        <w:rPr>
          <w:rFonts w:hint="eastAsia" w:ascii="宋体" w:hAnsi="宋体"/>
          <w:lang w:val="en-US" w:eastAsia="zh-CN"/>
        </w:rPr>
        <w:t>2021</w:t>
      </w:r>
      <w:r>
        <w:rPr>
          <w:rFonts w:hint="eastAsia" w:ascii="宋体" w:hAnsi="宋体"/>
        </w:rPr>
        <w:t xml:space="preserve"> 年</w:t>
      </w:r>
      <w:r>
        <w:rPr>
          <w:rFonts w:hint="eastAsia" w:ascii="宋体" w:hAnsi="宋体"/>
          <w:lang w:val="en-US" w:eastAsia="zh-CN"/>
        </w:rPr>
        <w:t>11</w:t>
      </w:r>
      <w:r>
        <w:rPr>
          <w:rFonts w:hint="eastAsia" w:ascii="宋体" w:hAnsi="宋体"/>
        </w:rPr>
        <w:t xml:space="preserve"> 月 </w:t>
      </w:r>
      <w:r>
        <w:rPr>
          <w:rFonts w:hint="eastAsia" w:ascii="宋体" w:hAnsi="宋体"/>
          <w:lang w:val="en-US" w:eastAsia="zh-CN"/>
        </w:rPr>
        <w:t>30</w:t>
      </w:r>
      <w:r>
        <w:rPr>
          <w:rFonts w:hint="eastAsia" w:ascii="宋体" w:hAnsi="宋体"/>
        </w:rPr>
        <w:t xml:space="preserve"> 日</w:t>
      </w:r>
      <w:r>
        <w:rPr>
          <w:rFonts w:hint="eastAsia" w:ascii="宋体" w:hAnsi="宋体"/>
          <w:lang w:val="en-US" w:eastAsia="zh-CN"/>
        </w:rPr>
        <w:t>18</w:t>
      </w:r>
      <w:r>
        <w:rPr>
          <w:rFonts w:hint="eastAsia" w:ascii="宋体" w:hAnsi="宋体"/>
        </w:rPr>
        <w:t>时前【备注：一般是比选申请截止时间7天前】。比选申请人不在规定期限内提出，比选人有权不予答复，或答复后比选申请截止时间由比选人确定是否顺延。比选人只答复与比选文件内容有关的问题，并有权对任何与比选文件无关的问题不作回答。</w:t>
      </w:r>
    </w:p>
    <w:p>
      <w:pPr>
        <w:spacing w:before="0" w:after="0" w:afterAutospacing="0"/>
        <w:ind w:left="0" w:right="0" w:firstLine="420" w:firstLineChars="200"/>
        <w:rPr>
          <w:rFonts w:ascii="宋体" w:hAnsi="宋体"/>
        </w:rPr>
      </w:pPr>
      <w:r>
        <w:rPr>
          <w:rFonts w:hint="eastAsia" w:ascii="宋体" w:hAnsi="宋体"/>
        </w:rPr>
        <w:t>形式：以书面为准，同时发送盖章版电子扫描件，接收邮箱：</w:t>
      </w:r>
      <w:r>
        <w:rPr>
          <w:rFonts w:hint="eastAsia" w:ascii="宋体" w:hAnsi="宋体"/>
          <w:u w:val="single"/>
        </w:rPr>
        <w:t xml:space="preserve"> </w:t>
      </w:r>
      <w:r>
        <w:rPr>
          <w:rFonts w:hint="eastAsia" w:ascii="宋体" w:hAnsi="宋体"/>
          <w:u w:val="single"/>
          <w:lang w:val="en-US" w:eastAsia="zh-CN"/>
        </w:rPr>
        <w:t>335719807@qq.com</w:t>
      </w:r>
      <w:r>
        <w:rPr>
          <w:rFonts w:hint="eastAsia" w:ascii="宋体" w:hAnsi="宋体"/>
          <w:u w:val="single"/>
        </w:rPr>
        <w:t xml:space="preserve"> </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2.2</w:t>
      </w:r>
      <w:r>
        <w:rPr>
          <w:rFonts w:ascii="宋体" w:hAnsi="宋体"/>
        </w:rPr>
        <w:t>在比选申请截止期前，无论出于何种原因，</w:t>
      </w:r>
      <w:r>
        <w:rPr>
          <w:rFonts w:hint="eastAsia" w:ascii="宋体" w:hAnsi="宋体"/>
        </w:rPr>
        <w:t>比选人</w:t>
      </w:r>
      <w:r>
        <w:rPr>
          <w:rFonts w:ascii="宋体" w:hAnsi="宋体"/>
        </w:rPr>
        <w:t>可以主动或应</w:t>
      </w:r>
      <w:r>
        <w:rPr>
          <w:rFonts w:hint="eastAsia" w:ascii="宋体" w:hAnsi="宋体"/>
        </w:rPr>
        <w:t>比选申请</w:t>
      </w:r>
      <w:r>
        <w:rPr>
          <w:rFonts w:ascii="宋体" w:hAnsi="宋体"/>
        </w:rPr>
        <w:t>人澄清要求对比选文件进行必要的补遗或修改。比选文件的补遗或修改通知是比选文件的组成部分，当后发的补遗或修改通知与原比选文件或此前发出的补遗或修改通知之间存有不一致时，应以后发的补遗或修改通知为准。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2.3 比选文件的澄清答复、补遗或修改通知</w:t>
      </w:r>
      <w:r>
        <w:rPr>
          <w:rFonts w:hint="eastAsia" w:ascii="宋体" w:hAnsi="宋体"/>
          <w:kern w:val="2"/>
        </w:rPr>
        <w:t>在南宁轨道交通集团有限责任公司官网 (</w:t>
      </w:r>
      <w:r>
        <w:fldChar w:fldCharType="begin"/>
      </w:r>
      <w:r>
        <w:instrText xml:space="preserve"> HYPERLINK "http://www.nngdjt.com" </w:instrText>
      </w:r>
      <w:r>
        <w:fldChar w:fldCharType="separate"/>
      </w:r>
      <w:r>
        <w:rPr>
          <w:rStyle w:val="31"/>
          <w:rFonts w:hint="eastAsia" w:ascii="宋体" w:hAnsi="宋体"/>
          <w:kern w:val="2"/>
        </w:rPr>
        <w:t>http://www.nngdjt.com</w:t>
      </w:r>
      <w:r>
        <w:rPr>
          <w:rStyle w:val="31"/>
          <w:rFonts w:hint="eastAsia" w:ascii="宋体" w:hAnsi="宋体"/>
          <w:kern w:val="2"/>
        </w:rPr>
        <w:fldChar w:fldCharType="end"/>
      </w:r>
      <w:r>
        <w:rPr>
          <w:rFonts w:hint="eastAsia" w:ascii="宋体" w:hAnsi="宋体"/>
          <w:kern w:val="2"/>
        </w:rPr>
        <w:t>)、</w:t>
      </w:r>
      <w:r>
        <w:rPr>
          <w:rFonts w:hint="eastAsia" w:ascii="宋体" w:hAnsi="宋体"/>
        </w:rPr>
        <w:t>中国e车网(</w:t>
      </w:r>
      <w:r>
        <w:fldChar w:fldCharType="begin"/>
      </w:r>
      <w:r>
        <w:instrText xml:space="preserve"> HYPERLINK "http://www.ecrrc.com" </w:instrText>
      </w:r>
      <w:r>
        <w:fldChar w:fldCharType="separate"/>
      </w:r>
      <w:r>
        <w:rPr>
          <w:rStyle w:val="31"/>
          <w:rFonts w:hint="eastAsia" w:ascii="宋体" w:hAnsi="宋体"/>
        </w:rPr>
        <w:t>http://www.ecrrc.com</w:t>
      </w:r>
      <w:r>
        <w:rPr>
          <w:rStyle w:val="31"/>
          <w:rFonts w:hint="eastAsia" w:ascii="宋体" w:hAnsi="宋体"/>
        </w:rPr>
        <w:fldChar w:fldCharType="end"/>
      </w:r>
      <w:r>
        <w:rPr>
          <w:rFonts w:hint="eastAsia" w:ascii="宋体" w:hAnsi="宋体"/>
        </w:rPr>
        <w:t>)</w:t>
      </w:r>
      <w:r>
        <w:rPr>
          <w:rFonts w:hint="eastAsia" w:ascii="宋体" w:hAnsi="宋体"/>
          <w:kern w:val="2"/>
        </w:rPr>
        <w:t xml:space="preserve"> 发布</w:t>
      </w:r>
      <w:r>
        <w:rPr>
          <w:rFonts w:hint="eastAsia" w:ascii="宋体" w:hAnsi="宋体"/>
        </w:rPr>
        <w:t>，</w:t>
      </w:r>
      <w:r>
        <w:rPr>
          <w:rFonts w:ascii="宋体" w:hAnsi="宋体"/>
        </w:rPr>
        <w:t xml:space="preserve"> </w:t>
      </w:r>
    </w:p>
    <w:p>
      <w:pPr>
        <w:spacing w:before="0" w:after="0" w:afterAutospacing="0"/>
        <w:ind w:left="0" w:right="0" w:firstLine="420" w:firstLineChars="200"/>
        <w:rPr>
          <w:rFonts w:ascii="宋体" w:hAnsi="宋体"/>
        </w:rPr>
      </w:pPr>
      <w:r>
        <w:rPr>
          <w:rFonts w:hint="eastAsia" w:ascii="宋体" w:hAnsi="宋体"/>
        </w:rPr>
        <w:t>2.4比选申请人对澄清答复、补遗或修改通知不需要确认，在发布之日起，即视为比选申请人已收到该文件。比选申请人未及时关注比选人在网站上发布的澄清文件造成的损失，由比选申请人自行负责。</w:t>
      </w:r>
    </w:p>
    <w:p>
      <w:pPr>
        <w:pStyle w:val="3"/>
        <w:spacing w:after="0" w:afterAutospacing="0" w:line="360" w:lineRule="auto"/>
        <w:ind w:left="0" w:right="0" w:firstLine="482" w:firstLineChars="200"/>
        <w:rPr>
          <w:rFonts w:ascii="宋体" w:hAnsi="宋体" w:eastAsia="宋体"/>
          <w:sz w:val="24"/>
          <w:szCs w:val="24"/>
        </w:rPr>
      </w:pPr>
      <w:bookmarkStart w:id="113" w:name="_Toc95"/>
      <w:bookmarkStart w:id="114" w:name="_Toc17692"/>
      <w:bookmarkStart w:id="115" w:name="_Toc4718"/>
      <w:bookmarkStart w:id="116" w:name="_Toc7604"/>
      <w:bookmarkStart w:id="117" w:name="_Toc18679"/>
      <w:bookmarkStart w:id="118" w:name="_Toc17335"/>
      <w:bookmarkStart w:id="119" w:name="_Toc12983513"/>
      <w:bookmarkStart w:id="120" w:name="_Toc492478726"/>
      <w:bookmarkStart w:id="121" w:name="_Toc2902"/>
      <w:bookmarkStart w:id="122" w:name="_Toc24759"/>
      <w:bookmarkStart w:id="123" w:name="_Toc5805"/>
      <w:bookmarkStart w:id="124" w:name="_Toc30947"/>
      <w:bookmarkStart w:id="125" w:name="_Toc28044"/>
      <w:bookmarkStart w:id="126" w:name="_Toc14185"/>
      <w:bookmarkStart w:id="127" w:name="_Toc10869"/>
      <w:bookmarkStart w:id="128" w:name="_Toc24557"/>
      <w:bookmarkStart w:id="129" w:name="_Toc27913"/>
      <w:bookmarkStart w:id="130" w:name="_Toc385427801"/>
      <w:bookmarkStart w:id="131" w:name="_Toc30363"/>
      <w:bookmarkStart w:id="132" w:name="_Toc383891176"/>
      <w:bookmarkStart w:id="133" w:name="_Toc375039072"/>
      <w:bookmarkStart w:id="134" w:name="_Toc390098427"/>
      <w:bookmarkStart w:id="135" w:name="_Toc25361"/>
      <w:bookmarkStart w:id="136" w:name="_Toc16406"/>
      <w:r>
        <w:rPr>
          <w:rFonts w:hint="eastAsia" w:ascii="宋体" w:hAnsi="宋体" w:eastAsia="宋体"/>
          <w:sz w:val="24"/>
          <w:szCs w:val="24"/>
        </w:rPr>
        <w:t>二、</w:t>
      </w:r>
      <w:r>
        <w:rPr>
          <w:rFonts w:ascii="宋体" w:hAnsi="宋体" w:eastAsia="宋体"/>
          <w:sz w:val="24"/>
          <w:szCs w:val="24"/>
        </w:rPr>
        <w:t>比选申请文件的编制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4"/>
        <w:spacing w:before="0" w:after="0" w:afterAutospacing="0"/>
        <w:ind w:left="0" w:right="0" w:firstLine="422" w:firstLineChars="200"/>
        <w:rPr>
          <w:rFonts w:ascii="宋体" w:hAnsi="宋体"/>
          <w:sz w:val="21"/>
          <w:szCs w:val="21"/>
        </w:rPr>
      </w:pPr>
      <w:bookmarkStart w:id="137" w:name="_Toc24935"/>
      <w:bookmarkStart w:id="138" w:name="_Toc22026"/>
      <w:bookmarkStart w:id="139" w:name="_Toc16237"/>
      <w:bookmarkStart w:id="140" w:name="_Toc3492"/>
      <w:bookmarkStart w:id="141" w:name="_Toc375039074"/>
      <w:bookmarkStart w:id="142" w:name="_Toc6261"/>
      <w:bookmarkStart w:id="143" w:name="_Toc12983515"/>
      <w:bookmarkStart w:id="144" w:name="_Toc19885"/>
      <w:bookmarkStart w:id="145" w:name="_Toc1047"/>
      <w:bookmarkStart w:id="146" w:name="_Toc9887"/>
      <w:bookmarkStart w:id="147" w:name="_Toc26753"/>
      <w:bookmarkStart w:id="148" w:name="_Toc28296"/>
      <w:bookmarkStart w:id="149" w:name="_Toc25770"/>
      <w:bookmarkStart w:id="150" w:name="_Toc390098429"/>
      <w:bookmarkStart w:id="151" w:name="_Toc11161"/>
      <w:bookmarkStart w:id="152" w:name="_Toc28065"/>
      <w:bookmarkStart w:id="153" w:name="_Toc492478728"/>
      <w:bookmarkStart w:id="154" w:name="_Toc15570"/>
      <w:bookmarkStart w:id="155" w:name="_Toc24857"/>
      <w:bookmarkStart w:id="156" w:name="_Toc11040"/>
      <w:bookmarkStart w:id="157" w:name="_Toc385427803"/>
      <w:bookmarkStart w:id="158" w:name="_Toc383891178"/>
      <w:bookmarkStart w:id="159" w:name="_Toc12207"/>
      <w:bookmarkStart w:id="160" w:name="_Toc25750601"/>
      <w:r>
        <w:rPr>
          <w:rFonts w:hint="eastAsia" w:ascii="宋体" w:hAnsi="宋体"/>
          <w:sz w:val="21"/>
          <w:szCs w:val="21"/>
        </w:rPr>
        <w:t>3.</w:t>
      </w:r>
      <w:r>
        <w:rPr>
          <w:rFonts w:ascii="宋体" w:hAnsi="宋体"/>
          <w:sz w:val="21"/>
          <w:szCs w:val="21"/>
        </w:rPr>
        <w:t>比选申请语言及计量单位</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比选申请人提交的比选申请文件以及与比选人就比选申请交换的文件和来往信件应以简体中文书写。</w:t>
      </w:r>
    </w:p>
    <w:p>
      <w:pPr>
        <w:spacing w:before="0" w:after="0" w:afterAutospacing="0"/>
        <w:ind w:left="0" w:right="0" w:firstLine="420" w:firstLineChars="200"/>
        <w:rPr>
          <w:rFonts w:ascii="宋体" w:hAnsi="宋体"/>
        </w:rPr>
      </w:pPr>
      <w:r>
        <w:rPr>
          <w:rFonts w:hint="eastAsia" w:ascii="宋体" w:hAnsi="宋体"/>
        </w:rPr>
        <w:t xml:space="preserve">3.2 </w:t>
      </w:r>
      <w:r>
        <w:rPr>
          <w:rFonts w:ascii="宋体" w:hAnsi="宋体"/>
        </w:rPr>
        <w:t>除在比选文件另有规定外，计量单位应使用中华人民共和国法定计量单位。</w:t>
      </w:r>
    </w:p>
    <w:p>
      <w:pPr>
        <w:spacing w:before="0" w:after="0" w:afterAutospacing="0"/>
        <w:ind w:left="0" w:right="0" w:firstLine="420" w:firstLineChars="200"/>
        <w:rPr>
          <w:rFonts w:ascii="宋体" w:hAnsi="宋体"/>
        </w:rPr>
      </w:pPr>
      <w:r>
        <w:rPr>
          <w:rFonts w:hint="eastAsia" w:ascii="宋体" w:hAnsi="宋体"/>
        </w:rPr>
        <w:t>3.3</w:t>
      </w:r>
      <w:r>
        <w:rPr>
          <w:rFonts w:ascii="宋体" w:hAnsi="宋体"/>
        </w:rPr>
        <w:t>比选申请文件中的报价一律用人民币币种填报。</w:t>
      </w:r>
    </w:p>
    <w:p>
      <w:pPr>
        <w:pStyle w:val="4"/>
        <w:spacing w:before="0" w:after="0" w:afterAutospacing="0"/>
        <w:ind w:left="0" w:right="0" w:firstLine="422" w:firstLineChars="200"/>
        <w:rPr>
          <w:rFonts w:ascii="宋体" w:hAnsi="宋体"/>
          <w:sz w:val="21"/>
          <w:szCs w:val="21"/>
        </w:rPr>
      </w:pPr>
      <w:bookmarkStart w:id="161" w:name="_Toc390098430"/>
      <w:bookmarkStart w:id="162" w:name="_Toc30991"/>
      <w:bookmarkStart w:id="163" w:name="_Toc383891179"/>
      <w:bookmarkStart w:id="164" w:name="_Toc22476"/>
      <w:bookmarkStart w:id="165" w:name="_Toc12983516"/>
      <w:bookmarkStart w:id="166" w:name="_Toc53"/>
      <w:bookmarkStart w:id="167" w:name="_Toc385427804"/>
      <w:bookmarkStart w:id="168" w:name="_Toc23229"/>
      <w:bookmarkStart w:id="169" w:name="_Toc23364"/>
      <w:bookmarkStart w:id="170" w:name="_Toc3464"/>
      <w:bookmarkStart w:id="171" w:name="_Toc30356"/>
      <w:bookmarkStart w:id="172" w:name="_Toc492478729"/>
      <w:bookmarkStart w:id="173" w:name="_Toc28164"/>
      <w:bookmarkStart w:id="174" w:name="_Toc16307"/>
      <w:bookmarkStart w:id="175" w:name="_Toc15809"/>
      <w:bookmarkStart w:id="176" w:name="_Toc25750602"/>
      <w:bookmarkStart w:id="177" w:name="_Toc3411"/>
      <w:bookmarkStart w:id="178" w:name="_Toc14323"/>
      <w:bookmarkStart w:id="179" w:name="_Toc24760"/>
      <w:bookmarkStart w:id="180" w:name="_Toc29881"/>
      <w:bookmarkStart w:id="181" w:name="_Toc19681"/>
      <w:bookmarkStart w:id="182" w:name="_Toc375039075"/>
      <w:bookmarkStart w:id="183" w:name="_Toc18149"/>
      <w:bookmarkStart w:id="184" w:name="_Toc3877"/>
      <w:r>
        <w:rPr>
          <w:rFonts w:hint="eastAsia" w:ascii="宋体" w:hAnsi="宋体"/>
          <w:sz w:val="21"/>
          <w:szCs w:val="21"/>
        </w:rPr>
        <w:t>4.</w:t>
      </w:r>
      <w:r>
        <w:rPr>
          <w:rFonts w:ascii="宋体" w:hAnsi="宋体"/>
          <w:sz w:val="21"/>
          <w:szCs w:val="21"/>
        </w:rPr>
        <w:t>比选申请文件组成</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before="0" w:after="0" w:afterAutospacing="0"/>
        <w:ind w:left="0" w:right="0" w:firstLine="420" w:firstLineChars="200"/>
        <w:rPr>
          <w:rFonts w:ascii="宋体" w:hAnsi="宋体"/>
        </w:rPr>
      </w:pPr>
      <w:bookmarkStart w:id="185" w:name="_Toc20248"/>
      <w:bookmarkStart w:id="186" w:name="_Toc27019"/>
      <w:bookmarkStart w:id="187" w:name="_Toc390098431"/>
      <w:bookmarkStart w:id="188" w:name="_Toc20490"/>
      <w:bookmarkStart w:id="189" w:name="_Toc7608"/>
      <w:bookmarkStart w:id="190" w:name="_Toc21144"/>
      <w:bookmarkStart w:id="191" w:name="_Toc12983517"/>
      <w:bookmarkStart w:id="192" w:name="_Toc16783"/>
      <w:bookmarkStart w:id="193" w:name="_Toc675"/>
      <w:bookmarkStart w:id="194" w:name="_Toc8151"/>
      <w:bookmarkStart w:id="195" w:name="_Toc375039076"/>
      <w:bookmarkStart w:id="196" w:name="_Toc385427805"/>
      <w:bookmarkStart w:id="197" w:name="_Toc23002"/>
      <w:bookmarkStart w:id="198" w:name="_Toc15919"/>
      <w:bookmarkStart w:id="199" w:name="_Toc27194"/>
      <w:bookmarkStart w:id="200" w:name="_Toc25750603"/>
      <w:bookmarkStart w:id="201" w:name="_Toc3670"/>
      <w:bookmarkStart w:id="202" w:name="_Toc14630"/>
      <w:bookmarkStart w:id="203" w:name="_Toc11211"/>
      <w:bookmarkStart w:id="204" w:name="_Toc383891180"/>
      <w:bookmarkStart w:id="205" w:name="_Toc492478730"/>
      <w:bookmarkStart w:id="206" w:name="_Toc14308"/>
      <w:bookmarkStart w:id="207" w:name="_Toc2395"/>
      <w:bookmarkStart w:id="208" w:name="_Toc15448"/>
      <w:r>
        <w:rPr>
          <w:rFonts w:hint="eastAsia" w:ascii="宋体" w:hAnsi="宋体"/>
        </w:rPr>
        <w:t>比选申请文件组成部分：响应文件、价格文件、</w:t>
      </w:r>
    </w:p>
    <w:p>
      <w:pPr>
        <w:spacing w:before="0" w:after="0" w:afterAutospacing="0"/>
        <w:ind w:left="0" w:right="0" w:firstLine="420" w:firstLineChars="200"/>
        <w:rPr>
          <w:rFonts w:ascii="宋体" w:hAnsi="宋体"/>
        </w:rPr>
      </w:pPr>
      <w:r>
        <w:rPr>
          <w:rFonts w:hint="eastAsia" w:ascii="宋体" w:hAnsi="宋体"/>
        </w:rPr>
        <w:t>4.1响应文件</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）法定代表人授权书（格式见A1）及法定代表人资格证明书（如无授权时，只需提供法定代表人资格证明书，格式见A2），法定代表人及被授权人身份证复印件；</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）比选申请人有效的营业执照复印件；</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）承诺书（格式见A3）；</w:t>
      </w:r>
    </w:p>
    <w:p>
      <w:pPr>
        <w:spacing w:before="0" w:after="0" w:afterAutospacing="0"/>
        <w:ind w:left="0" w:right="0" w:firstLine="420" w:firstLineChars="200"/>
        <w:rPr>
          <w:rFonts w:ascii="宋体" w:hAnsi="宋体"/>
        </w:rPr>
      </w:pPr>
      <w:r>
        <w:rPr>
          <w:rFonts w:hint="eastAsia" w:ascii="宋体" w:hAnsi="宋体"/>
        </w:rPr>
        <w:t>（4）技术响应表（格式见A4）；</w:t>
      </w:r>
    </w:p>
    <w:p>
      <w:pPr>
        <w:spacing w:before="0" w:after="0" w:afterAutospacing="0"/>
        <w:ind w:left="0" w:right="0" w:firstLine="420" w:firstLineChars="200"/>
        <w:rPr>
          <w:rFonts w:ascii="宋体" w:hAnsi="宋体"/>
        </w:rPr>
      </w:pPr>
      <w:r>
        <w:rPr>
          <w:rFonts w:hint="eastAsia" w:ascii="宋体" w:hAnsi="宋体"/>
        </w:rPr>
        <w:t>（5）商务响应表（格式见A5）</w:t>
      </w:r>
    </w:p>
    <w:p>
      <w:pPr>
        <w:spacing w:before="0" w:after="0" w:afterAutospacing="0"/>
        <w:ind w:left="0" w:right="0" w:firstLine="420" w:firstLineChars="200"/>
        <w:rPr>
          <w:rFonts w:ascii="宋体" w:hAnsi="宋体"/>
        </w:rPr>
      </w:pPr>
      <w:r>
        <w:rPr>
          <w:rFonts w:hint="eastAsia" w:ascii="宋体" w:hAnsi="宋体"/>
        </w:rPr>
        <w:t>（6）类似项目业绩表（格式见A6）（如有）；</w:t>
      </w:r>
    </w:p>
    <w:p>
      <w:pPr>
        <w:spacing w:before="0" w:after="0" w:afterAutospacing="0"/>
        <w:ind w:left="0" w:right="0" w:firstLine="420" w:firstLineChars="200"/>
        <w:rPr>
          <w:rFonts w:ascii="宋体" w:hAnsi="宋体"/>
        </w:rPr>
      </w:pPr>
      <w:r>
        <w:rPr>
          <w:rFonts w:hint="eastAsia" w:ascii="宋体" w:hAnsi="宋体"/>
        </w:rPr>
        <w:t>（7）比选申请人认为应提交的其他比选申请资料（如有）。</w:t>
      </w:r>
    </w:p>
    <w:p>
      <w:pPr>
        <w:spacing w:before="0" w:after="0" w:afterAutospacing="0"/>
        <w:ind w:left="0" w:right="0" w:firstLine="420" w:firstLineChars="200"/>
        <w:rPr>
          <w:rFonts w:ascii="宋体" w:hAnsi="宋体"/>
        </w:rPr>
      </w:pPr>
      <w:r>
        <w:rPr>
          <w:rFonts w:hint="eastAsia" w:ascii="宋体" w:hAnsi="宋体"/>
        </w:rPr>
        <w:t>4.2价格文件</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）比选申请报价一览表（格式见B1）；</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）比选申请函（格式见B2）；</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）比选申请报价表（格式见B3）；</w:t>
      </w:r>
    </w:p>
    <w:p>
      <w:pPr>
        <w:spacing w:before="0" w:after="0" w:afterAutospacing="0"/>
        <w:ind w:left="0" w:right="0" w:firstLine="420" w:firstLineChars="200"/>
        <w:rPr>
          <w:rFonts w:ascii="宋体" w:hAnsi="宋体"/>
        </w:rPr>
      </w:pPr>
      <w:r>
        <w:rPr>
          <w:rFonts w:hint="eastAsia" w:ascii="宋体" w:hAnsi="宋体"/>
        </w:rPr>
        <w:t>（4）比选申请人认为应提交的其他比选申请资料（如有）。</w:t>
      </w:r>
    </w:p>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pStyle w:val="4"/>
        <w:spacing w:before="0" w:after="0" w:afterAutospacing="0"/>
        <w:ind w:left="0" w:right="0" w:firstLine="422" w:firstLineChars="200"/>
        <w:rPr>
          <w:rFonts w:ascii="宋体" w:hAnsi="宋体"/>
          <w:sz w:val="21"/>
          <w:szCs w:val="21"/>
        </w:rPr>
      </w:pPr>
      <w:bookmarkStart w:id="209" w:name="_Toc390098432"/>
      <w:bookmarkStart w:id="210" w:name="_Toc24264"/>
      <w:bookmarkStart w:id="211" w:name="_Toc16653"/>
      <w:bookmarkStart w:id="212" w:name="_Toc20685"/>
      <w:bookmarkStart w:id="213" w:name="_Toc375039077"/>
      <w:bookmarkStart w:id="214" w:name="_Toc385427806"/>
      <w:bookmarkStart w:id="215" w:name="_Toc3799"/>
      <w:bookmarkStart w:id="216" w:name="_Toc31743"/>
      <w:bookmarkStart w:id="217" w:name="_Toc21084"/>
      <w:bookmarkStart w:id="218" w:name="_Toc14123"/>
      <w:bookmarkStart w:id="219" w:name="_Toc12983518"/>
      <w:bookmarkStart w:id="220" w:name="_Toc17379"/>
      <w:bookmarkStart w:id="221" w:name="_Toc17526"/>
      <w:bookmarkStart w:id="222" w:name="_Toc9416"/>
      <w:bookmarkStart w:id="223" w:name="_Toc383891181"/>
      <w:bookmarkStart w:id="224" w:name="_Toc26482"/>
      <w:bookmarkStart w:id="225" w:name="_Toc22295"/>
      <w:bookmarkStart w:id="226" w:name="_Toc3813"/>
      <w:bookmarkStart w:id="227" w:name="_Toc492478731"/>
      <w:bookmarkStart w:id="228" w:name="_Toc7857"/>
      <w:bookmarkStart w:id="229" w:name="_Toc26974"/>
      <w:bookmarkStart w:id="230" w:name="_Toc6671"/>
      <w:bookmarkStart w:id="231" w:name="_Toc17338"/>
      <w:bookmarkStart w:id="232" w:name="_Toc25750604"/>
      <w:r>
        <w:rPr>
          <w:rFonts w:hint="eastAsia" w:ascii="宋体" w:hAnsi="宋体"/>
          <w:sz w:val="21"/>
          <w:szCs w:val="21"/>
        </w:rPr>
        <w:t xml:space="preserve">5. </w:t>
      </w:r>
      <w:r>
        <w:rPr>
          <w:rFonts w:ascii="宋体" w:hAnsi="宋体"/>
          <w:sz w:val="21"/>
          <w:szCs w:val="21"/>
        </w:rPr>
        <w:t>比选申请报价</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tabs>
          <w:tab w:val="left" w:pos="8364"/>
        </w:tabs>
        <w:spacing w:before="0" w:after="0" w:afterAutospacing="0"/>
        <w:ind w:left="0" w:right="0" w:firstLine="420" w:firstLineChars="200"/>
        <w:rPr>
          <w:rFonts w:ascii="宋体" w:hAnsi="宋体"/>
        </w:rPr>
      </w:pPr>
      <w:r>
        <w:rPr>
          <w:rFonts w:hint="eastAsia" w:ascii="宋体" w:hAnsi="宋体"/>
        </w:rPr>
        <w:t>5</w:t>
      </w:r>
      <w:r>
        <w:rPr>
          <w:rFonts w:ascii="宋体" w:hAnsi="宋体"/>
        </w:rPr>
        <w:t xml:space="preserve">.1 </w:t>
      </w:r>
      <w:r>
        <w:rPr>
          <w:rFonts w:hint="eastAsia" w:ascii="宋体" w:hAnsi="宋体"/>
        </w:rPr>
        <w:t>本项目采用不含税报价。</w:t>
      </w:r>
      <w:r>
        <w:rPr>
          <w:rFonts w:hint="eastAsia" w:ascii="宋体" w:hAnsi="宋体"/>
          <w:b/>
        </w:rPr>
        <w:t>在签订本项目合同时，遵循国家现行税法的相关规定在中标人不含税单价和合价的基础上逐项增加税</w:t>
      </w:r>
      <w:r>
        <w:rPr>
          <w:rFonts w:hint="eastAsia" w:ascii="宋体" w:hAnsi="宋体"/>
          <w:b/>
          <w:highlight w:val="none"/>
        </w:rPr>
        <w:t>费，并明确相应税率和税金，每项保留小数点后两位，含税总价为分项含税合价之和。本合同最终税金在结</w:t>
      </w:r>
      <w:r>
        <w:rPr>
          <w:rFonts w:hint="eastAsia" w:ascii="宋体" w:hAnsi="宋体"/>
          <w:b/>
        </w:rPr>
        <w:t>算阶段，按实际产生的税金进行核算，但合同不含税价格不因国家税率调整而调整</w:t>
      </w:r>
      <w:r>
        <w:rPr>
          <w:rFonts w:hint="eastAsia"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5.2同一规格、型号、标准、内容的项目在各分项报价中应为同一单价。比选申请人对同类项目只允许有一个报价，如有不同报价，则以最低报价为准。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hint="eastAsia" w:ascii="宋体" w:hAnsi="宋体"/>
        </w:rPr>
        <w:t>5.3比选申请人应逐项计算并填写单价、合价和总价，比选申请人没有填写单价和合价的项目将视为缺项。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5.4</w:t>
      </w:r>
      <w:r>
        <w:rPr>
          <w:rFonts w:ascii="宋体" w:hAnsi="宋体"/>
        </w:rPr>
        <w:t xml:space="preserve">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pStyle w:val="4"/>
        <w:spacing w:before="0" w:after="0" w:afterAutospacing="0"/>
        <w:ind w:left="0" w:right="0" w:firstLine="422" w:firstLineChars="200"/>
        <w:rPr>
          <w:rFonts w:ascii="宋体" w:hAnsi="宋体"/>
          <w:sz w:val="21"/>
          <w:szCs w:val="21"/>
        </w:rPr>
      </w:pPr>
      <w:bookmarkStart w:id="233" w:name="_Toc28665"/>
      <w:bookmarkStart w:id="234" w:name="_Toc1530"/>
      <w:bookmarkStart w:id="235" w:name="_Toc22051"/>
      <w:bookmarkStart w:id="236" w:name="_Toc1624"/>
      <w:bookmarkStart w:id="237" w:name="_Toc5974"/>
      <w:bookmarkStart w:id="238" w:name="_Toc385427810"/>
      <w:bookmarkStart w:id="239" w:name="_Toc27508"/>
      <w:bookmarkStart w:id="240" w:name="_Toc14309"/>
      <w:bookmarkStart w:id="241" w:name="_Toc390098436"/>
      <w:bookmarkStart w:id="242" w:name="_Toc9237"/>
      <w:bookmarkStart w:id="243" w:name="_Toc375039081"/>
      <w:bookmarkStart w:id="244" w:name="_Toc11690"/>
      <w:bookmarkStart w:id="245" w:name="_Toc24199"/>
      <w:bookmarkStart w:id="246" w:name="_Toc492478735"/>
      <w:bookmarkStart w:id="247" w:name="_Toc14922"/>
      <w:bookmarkStart w:id="248" w:name="_Toc12983520"/>
      <w:bookmarkStart w:id="249" w:name="_Toc7417"/>
      <w:bookmarkStart w:id="250" w:name="_Toc16314"/>
      <w:bookmarkStart w:id="251" w:name="_Toc30606"/>
      <w:bookmarkStart w:id="252" w:name="_Toc12049"/>
      <w:bookmarkStart w:id="253" w:name="_Toc30040"/>
      <w:bookmarkStart w:id="254" w:name="_Toc383891185"/>
      <w:bookmarkStart w:id="255" w:name="_Toc30848"/>
      <w:bookmarkStart w:id="256" w:name="_Toc25750606"/>
      <w:r>
        <w:rPr>
          <w:rFonts w:hint="eastAsia" w:ascii="宋体" w:hAnsi="宋体"/>
          <w:sz w:val="21"/>
          <w:szCs w:val="21"/>
        </w:rPr>
        <w:t>6.</w:t>
      </w:r>
      <w:r>
        <w:rPr>
          <w:rFonts w:ascii="宋体" w:hAnsi="宋体"/>
          <w:sz w:val="21"/>
          <w:szCs w:val="21"/>
        </w:rPr>
        <w:t>比选保证金</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11"/>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bookmarkStart w:id="257" w:name="_Toc10918"/>
      <w:bookmarkStart w:id="258" w:name="_Toc385427811"/>
      <w:bookmarkStart w:id="259" w:name="_Toc5690"/>
      <w:bookmarkStart w:id="260" w:name="_Toc1604"/>
      <w:bookmarkStart w:id="261" w:name="_Toc20070"/>
      <w:bookmarkStart w:id="262" w:name="_Toc28997"/>
      <w:bookmarkStart w:id="263" w:name="_Toc30499"/>
      <w:bookmarkStart w:id="264" w:name="_Toc4433"/>
      <w:bookmarkStart w:id="265" w:name="_Toc383891186"/>
      <w:bookmarkStart w:id="266" w:name="_Toc375039082"/>
      <w:bookmarkStart w:id="267" w:name="_Toc390098437"/>
      <w:bookmarkStart w:id="268" w:name="_Toc23114"/>
      <w:bookmarkStart w:id="269" w:name="_Toc845"/>
      <w:bookmarkStart w:id="270" w:name="_Toc492478736"/>
      <w:bookmarkStart w:id="271" w:name="_Toc24656"/>
      <w:bookmarkStart w:id="272" w:name="_Toc20643"/>
      <w:bookmarkStart w:id="273" w:name="_Toc691"/>
      <w:bookmarkStart w:id="274" w:name="_Toc12983521"/>
      <w:bookmarkStart w:id="275" w:name="_Toc2268"/>
      <w:bookmarkStart w:id="276" w:name="_Toc9117"/>
      <w:bookmarkStart w:id="277" w:name="_Toc25750607"/>
      <w:bookmarkStart w:id="278" w:name="_Toc7808"/>
      <w:bookmarkStart w:id="279" w:name="_Toc20493"/>
      <w:bookmarkStart w:id="280" w:name="_Toc28555"/>
      <w:r>
        <w:rPr>
          <w:rFonts w:hint="eastAsia" w:ascii="宋体" w:hAnsi="宋体"/>
          <w:sz w:val="21"/>
          <w:szCs w:val="21"/>
        </w:rPr>
        <w:t xml:space="preserve">7. </w:t>
      </w:r>
      <w:r>
        <w:rPr>
          <w:rFonts w:ascii="宋体" w:hAnsi="宋体"/>
          <w:sz w:val="21"/>
          <w:szCs w:val="21"/>
        </w:rPr>
        <w:t>比选申请有效期</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tabs>
          <w:tab w:val="left" w:pos="8364"/>
        </w:tabs>
        <w:spacing w:before="0" w:after="0" w:afterAutospacing="0"/>
        <w:ind w:left="0" w:right="0"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自比选申请截止时间起90天。</w:t>
      </w:r>
    </w:p>
    <w:p>
      <w:pPr>
        <w:pStyle w:val="4"/>
        <w:spacing w:before="0" w:after="0" w:afterAutospacing="0"/>
        <w:ind w:left="422" w:right="0" w:firstLine="0"/>
        <w:rPr>
          <w:rFonts w:ascii="宋体" w:hAnsi="宋体"/>
          <w:sz w:val="21"/>
          <w:szCs w:val="21"/>
        </w:rPr>
      </w:pPr>
      <w:r>
        <w:rPr>
          <w:rFonts w:hint="eastAsia" w:ascii="宋体" w:hAnsi="宋体"/>
          <w:sz w:val="21"/>
          <w:szCs w:val="21"/>
        </w:rPr>
        <w:t xml:space="preserve">8. </w:t>
      </w:r>
      <w:r>
        <w:rPr>
          <w:rFonts w:ascii="宋体" w:hAnsi="宋体"/>
          <w:sz w:val="21"/>
          <w:szCs w:val="21"/>
        </w:rPr>
        <w:t>比选申请文件</w:t>
      </w:r>
      <w:r>
        <w:rPr>
          <w:rFonts w:hint="eastAsia" w:ascii="宋体" w:hAnsi="宋体"/>
          <w:sz w:val="21"/>
          <w:szCs w:val="21"/>
        </w:rPr>
        <w:t>份数、装订及封装</w:t>
      </w:r>
    </w:p>
    <w:p>
      <w:pPr>
        <w:tabs>
          <w:tab w:val="left" w:pos="8364"/>
        </w:tabs>
        <w:spacing w:before="0" w:after="0" w:afterAutospacing="0"/>
        <w:ind w:left="0" w:right="0" w:firstLine="420" w:firstLineChars="200"/>
        <w:rPr>
          <w:rFonts w:ascii="宋体" w:hAnsi="宋体"/>
        </w:rPr>
      </w:pPr>
      <w:r>
        <w:rPr>
          <w:rFonts w:hint="eastAsia" w:ascii="宋体" w:hAnsi="宋体"/>
        </w:rPr>
        <w:t>8.1份数要求</w:t>
      </w:r>
    </w:p>
    <w:p>
      <w:pPr>
        <w:tabs>
          <w:tab w:val="left" w:pos="8364"/>
        </w:tabs>
        <w:spacing w:before="0" w:after="0" w:afterAutospacing="0"/>
        <w:ind w:left="0" w:right="0"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一正四副，同时递交比选申请文件电子版一份（包括office或WPS版本的全套比选申请文件和全套盖章版比选申请文件PDF扫描件）。若正本和副本不符，以正本为准，电子版与纸质文件不符以纸质文件为准。</w:t>
      </w:r>
    </w:p>
    <w:p>
      <w:pPr>
        <w:tabs>
          <w:tab w:val="left" w:pos="8364"/>
        </w:tabs>
        <w:spacing w:before="0" w:after="0" w:afterAutospacing="0"/>
        <w:ind w:left="0" w:right="0" w:firstLine="420" w:firstLineChars="200"/>
        <w:rPr>
          <w:rFonts w:ascii="宋体" w:hAnsi="宋体"/>
        </w:rPr>
      </w:pPr>
      <w:r>
        <w:rPr>
          <w:rFonts w:hint="eastAsia" w:ascii="宋体" w:hAnsi="宋体"/>
        </w:rPr>
        <w:t>8.2打印装订要求</w:t>
      </w:r>
    </w:p>
    <w:p>
      <w:pPr>
        <w:tabs>
          <w:tab w:val="left" w:pos="1134"/>
          <w:tab w:val="left" w:pos="8364"/>
        </w:tabs>
        <w:spacing w:before="0" w:after="0" w:afterAutospacing="0"/>
        <w:ind w:left="0" w:right="0" w:firstLine="420" w:firstLineChars="200"/>
        <w:rPr>
          <w:rFonts w:ascii="宋体" w:hAnsi="宋体"/>
        </w:rPr>
      </w:pPr>
      <w:r>
        <w:rPr>
          <w:rFonts w:ascii="宋体" w:hAnsi="宋体"/>
        </w:rPr>
        <w:t>统一为A4印刷本。</w:t>
      </w:r>
      <w:r>
        <w:rPr>
          <w:rFonts w:hint="eastAsia" w:ascii="宋体" w:hAnsi="宋体"/>
        </w:rPr>
        <w:t>正本与副本应分别装订成册，封面上标明</w:t>
      </w:r>
      <w:r>
        <w:rPr>
          <w:rFonts w:ascii="宋体" w:hAnsi="宋体"/>
        </w:rPr>
        <w:t>正本（或副本）</w:t>
      </w:r>
      <w:r>
        <w:rPr>
          <w:rFonts w:hint="eastAsia" w:ascii="宋体" w:hAnsi="宋体"/>
        </w:rPr>
        <w:t>。比选申请文件正本需</w:t>
      </w:r>
      <w:r>
        <w:rPr>
          <w:rFonts w:ascii="宋体" w:hAnsi="宋体"/>
        </w:rPr>
        <w:t>骑缝加盖比选申请人单位公章</w:t>
      </w:r>
      <w:r>
        <w:rPr>
          <w:rFonts w:hint="eastAsia" w:ascii="宋体" w:hAnsi="宋体"/>
        </w:rPr>
        <w:t>，</w:t>
      </w:r>
      <w:r>
        <w:rPr>
          <w:rFonts w:ascii="宋体" w:hAnsi="宋体"/>
        </w:rPr>
        <w:t>比选申请文件的副本可采用正本的复印件</w:t>
      </w:r>
      <w:r>
        <w:rPr>
          <w:rFonts w:hint="eastAsia" w:ascii="宋体" w:hAnsi="宋体"/>
        </w:rPr>
        <w:t>（需</w:t>
      </w:r>
      <w:r>
        <w:rPr>
          <w:rFonts w:ascii="宋体" w:hAnsi="宋体"/>
        </w:rPr>
        <w:t>骑缝加盖比选申请人单位公章</w:t>
      </w:r>
      <w:r>
        <w:rPr>
          <w:rFonts w:hint="eastAsia" w:ascii="宋体" w:hAnsi="宋体"/>
        </w:rPr>
        <w:t>）</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8.3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（1）响应文件和价格文件封装为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（2）所有密封袋应保证其密封性，并骑缝加盖比选申请人单位公章。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ascii="宋体" w:hAnsi="宋体"/>
        </w:rPr>
        <w:t>所有密封袋</w:t>
      </w:r>
      <w:r>
        <w:rPr>
          <w:rFonts w:hint="eastAsia" w:ascii="宋体" w:hAnsi="宋体"/>
        </w:rPr>
        <w:t>外包封应</w:t>
      </w:r>
      <w:r>
        <w:rPr>
          <w:rFonts w:ascii="宋体" w:hAnsi="宋体"/>
        </w:rPr>
        <w:t>标志</w:t>
      </w:r>
      <w:r>
        <w:rPr>
          <w:rFonts w:hint="eastAsia" w:ascii="宋体" w:hAnsi="宋体"/>
        </w:rPr>
        <w:t>清楚：</w:t>
      </w:r>
      <w:r>
        <w:rPr>
          <w:rFonts w:ascii="宋体" w:hAnsi="宋体"/>
        </w:rPr>
        <w:t>项目名称</w:t>
      </w:r>
      <w:r>
        <w:rPr>
          <w:rFonts w:hint="eastAsia" w:ascii="宋体" w:hAnsi="宋体"/>
        </w:rPr>
        <w:t>、</w:t>
      </w:r>
      <w:r>
        <w:rPr>
          <w:rFonts w:ascii="宋体" w:hAnsi="宋体"/>
        </w:rPr>
        <w:t>项目编号</w:t>
      </w:r>
      <w:r>
        <w:rPr>
          <w:rFonts w:hint="eastAsia" w:ascii="宋体" w:hAnsi="宋体"/>
        </w:rPr>
        <w:t>、比选申请人名称。</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8.4</w:t>
      </w:r>
      <w:r>
        <w:rPr>
          <w:rFonts w:ascii="宋体" w:hAnsi="宋体"/>
        </w:rPr>
        <w:t>如果密封袋上没有按上述规定密封并加写标志，比选人将不承担比选申请文件错放或提前开封的责任，由此造成的提前开封的比选申请文件，比选人将予以拒绝，并退还给比选申请人。</w:t>
      </w:r>
    </w:p>
    <w:p>
      <w:pPr>
        <w:pStyle w:val="4"/>
        <w:spacing w:before="0" w:after="0" w:afterAutospacing="0"/>
        <w:ind w:left="422" w:right="0" w:firstLine="0"/>
        <w:rPr>
          <w:rFonts w:ascii="宋体" w:hAnsi="宋体"/>
          <w:sz w:val="21"/>
          <w:szCs w:val="21"/>
        </w:rPr>
      </w:pPr>
      <w:r>
        <w:rPr>
          <w:rFonts w:hint="eastAsia" w:ascii="宋体" w:hAnsi="宋体"/>
          <w:sz w:val="21"/>
          <w:szCs w:val="21"/>
        </w:rPr>
        <w:t xml:space="preserve">9. </w:t>
      </w:r>
      <w:r>
        <w:rPr>
          <w:rFonts w:ascii="宋体" w:hAnsi="宋体"/>
          <w:sz w:val="21"/>
          <w:szCs w:val="21"/>
        </w:rPr>
        <w:t>比选申请文件</w:t>
      </w:r>
      <w:r>
        <w:rPr>
          <w:rFonts w:hint="eastAsia" w:ascii="宋体" w:hAnsi="宋体"/>
          <w:sz w:val="21"/>
          <w:szCs w:val="21"/>
        </w:rPr>
        <w:t>递交</w:t>
      </w:r>
    </w:p>
    <w:p>
      <w:pPr>
        <w:tabs>
          <w:tab w:val="left" w:pos="945"/>
          <w:tab w:val="left" w:pos="1134"/>
        </w:tabs>
        <w:spacing w:before="0" w:after="0" w:afterAutospacing="0"/>
        <w:ind w:left="0" w:right="0" w:firstLine="420" w:firstLineChars="200"/>
        <w:rPr>
          <w:rFonts w:ascii="宋体" w:hAnsi="宋体"/>
        </w:rPr>
      </w:pPr>
      <w:r>
        <w:rPr>
          <w:rFonts w:hint="eastAsia" w:ascii="宋体" w:hAnsi="宋体"/>
        </w:rPr>
        <w:t>9.1</w:t>
      </w:r>
      <w:r>
        <w:rPr>
          <w:rFonts w:ascii="宋体" w:hAnsi="宋体"/>
        </w:rPr>
        <w:t>所有比选申请文件应派专人送交，并须按规定的比选申请截止时间</w:t>
      </w:r>
      <w:r>
        <w:rPr>
          <w:rFonts w:hint="eastAsia" w:ascii="宋体" w:hAnsi="宋体"/>
        </w:rPr>
        <w:t>前</w:t>
      </w:r>
      <w:r>
        <w:rPr>
          <w:rFonts w:ascii="宋体" w:hAnsi="宋体"/>
        </w:rPr>
        <w:t>送至</w:t>
      </w:r>
      <w:r>
        <w:rPr>
          <w:rFonts w:hint="eastAsia" w:ascii="宋体" w:hAnsi="宋体"/>
        </w:rPr>
        <w:t>规定的</w:t>
      </w:r>
      <w:r>
        <w:rPr>
          <w:rFonts w:ascii="宋体" w:hAnsi="宋体"/>
        </w:rPr>
        <w:t>地点。</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rPr>
      </w:pPr>
      <w:bookmarkStart w:id="281" w:name="_Toc9886"/>
      <w:r>
        <w:rPr>
          <w:rFonts w:hint="eastAsia" w:ascii="宋体" w:hAnsi="宋体" w:eastAsia="宋体"/>
          <w:sz w:val="24"/>
          <w:szCs w:val="24"/>
        </w:rPr>
        <w:t>三、项目评审及定标</w:t>
      </w:r>
      <w:bookmarkEnd w:id="281"/>
    </w:p>
    <w:p>
      <w:pPr>
        <w:pStyle w:val="4"/>
        <w:spacing w:before="0" w:after="0" w:afterAutospacing="0"/>
        <w:ind w:left="422" w:right="0" w:firstLine="0"/>
        <w:rPr>
          <w:rFonts w:ascii="宋体" w:hAnsi="宋体"/>
          <w:sz w:val="21"/>
          <w:szCs w:val="21"/>
        </w:rPr>
      </w:pPr>
      <w:r>
        <w:rPr>
          <w:rFonts w:hint="eastAsia" w:ascii="宋体" w:hAnsi="宋体"/>
          <w:sz w:val="21"/>
          <w:szCs w:val="21"/>
        </w:rPr>
        <w:t>10.比选评审方法</w:t>
      </w:r>
    </w:p>
    <w:p>
      <w:pPr>
        <w:tabs>
          <w:tab w:val="left" w:pos="945"/>
          <w:tab w:val="left" w:pos="1134"/>
        </w:tabs>
        <w:spacing w:before="0" w:after="0" w:afterAutospacing="0"/>
        <w:ind w:left="0" w:right="0" w:firstLine="420" w:firstLineChars="200"/>
        <w:rPr>
          <w:rFonts w:ascii="宋体" w:hAnsi="宋体"/>
        </w:rPr>
      </w:pPr>
      <w:r>
        <w:rPr>
          <w:rFonts w:hint="eastAsia" w:ascii="宋体" w:hAnsi="宋体"/>
        </w:rPr>
        <w:t>最低评审价法（评审价以不含税总报价为基准）。</w:t>
      </w:r>
    </w:p>
    <w:p>
      <w:pPr>
        <w:pStyle w:val="4"/>
        <w:spacing w:before="0" w:after="0" w:afterAutospacing="0"/>
        <w:ind w:left="422" w:right="0" w:firstLine="0"/>
        <w:rPr>
          <w:rFonts w:ascii="宋体" w:hAnsi="宋体"/>
          <w:sz w:val="21"/>
          <w:szCs w:val="21"/>
        </w:rPr>
      </w:pPr>
      <w:r>
        <w:rPr>
          <w:rFonts w:hint="eastAsia" w:ascii="宋体" w:hAnsi="宋体"/>
          <w:sz w:val="21"/>
          <w:szCs w:val="21"/>
        </w:rPr>
        <w:t>11.定标</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w:t>
      </w:r>
      <w:r>
        <w:rPr>
          <w:rFonts w:ascii="宋体" w:hAnsi="宋体" w:cs="Arial"/>
        </w:rPr>
        <w:t>.2</w:t>
      </w:r>
      <w:r>
        <w:rPr>
          <w:rFonts w:hint="eastAsia" w:ascii="宋体" w:hAnsi="宋体" w:cs="Arial"/>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w:t>
      </w:r>
      <w:r>
        <w:rPr>
          <w:rFonts w:ascii="宋体" w:hAnsi="宋体" w:cs="Arial"/>
        </w:rPr>
        <w:t>.3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w:t>
      </w:r>
      <w:r>
        <w:rPr>
          <w:rFonts w:ascii="宋体" w:hAnsi="宋体" w:cs="Arial"/>
        </w:rPr>
        <w:t>.4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w:t>
      </w:r>
      <w:r>
        <w:rPr>
          <w:rFonts w:ascii="宋体" w:hAnsi="宋体" w:cs="Arial"/>
        </w:rPr>
        <w:t>.5</w:t>
      </w:r>
      <w:r>
        <w:rPr>
          <w:rFonts w:hint="eastAsia" w:ascii="宋体" w:hAnsi="宋体" w:cs="Arial"/>
        </w:rPr>
        <w:t>评审委员会评审结束后，比选人经审查发现评审过程中有明显错误，可以组织原评审委员会进行复评。</w:t>
      </w:r>
    </w:p>
    <w:p>
      <w:pPr>
        <w:pStyle w:val="4"/>
        <w:spacing w:before="0" w:after="0" w:afterAutospacing="0"/>
        <w:ind w:left="422" w:right="0" w:firstLine="0"/>
        <w:rPr>
          <w:rFonts w:ascii="宋体" w:hAnsi="宋体"/>
          <w:sz w:val="21"/>
          <w:szCs w:val="21"/>
        </w:rPr>
      </w:pPr>
      <w:bookmarkStart w:id="282" w:name="_Toc22182"/>
      <w:bookmarkStart w:id="283" w:name="_Toc383891203"/>
      <w:bookmarkStart w:id="284" w:name="_Toc15932"/>
      <w:bookmarkStart w:id="285" w:name="_Toc13986"/>
      <w:bookmarkStart w:id="286" w:name="_Toc17823"/>
      <w:bookmarkStart w:id="287" w:name="_Toc385427828"/>
      <w:bookmarkStart w:id="288" w:name="_Toc5172"/>
      <w:bookmarkStart w:id="289" w:name="_Toc26470"/>
      <w:bookmarkStart w:id="290" w:name="_Toc5257"/>
      <w:bookmarkStart w:id="291" w:name="_Toc37"/>
      <w:bookmarkStart w:id="292" w:name="_Toc375039095"/>
      <w:bookmarkStart w:id="293" w:name="_Toc390098454"/>
      <w:bookmarkStart w:id="294" w:name="_Toc16732"/>
      <w:bookmarkStart w:id="295" w:name="_Toc19634"/>
      <w:bookmarkStart w:id="296" w:name="_Toc27664"/>
      <w:bookmarkStart w:id="297" w:name="_Toc21947"/>
      <w:bookmarkStart w:id="298" w:name="_Toc12983538"/>
      <w:bookmarkStart w:id="299" w:name="_Toc21142"/>
      <w:bookmarkStart w:id="300" w:name="_Toc18192"/>
      <w:bookmarkStart w:id="301" w:name="_Toc14042"/>
      <w:bookmarkStart w:id="302" w:name="_Toc3761"/>
      <w:bookmarkStart w:id="303" w:name="_Toc492478753"/>
      <w:bookmarkStart w:id="304" w:name="_Toc1215"/>
      <w:bookmarkStart w:id="305" w:name="_Toc25750623"/>
      <w:r>
        <w:rPr>
          <w:rFonts w:hint="eastAsia" w:ascii="宋体" w:hAnsi="宋体"/>
          <w:sz w:val="21"/>
          <w:szCs w:val="21"/>
        </w:rPr>
        <w:t>12.重新</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ascii="宋体" w:hAnsi="宋体"/>
          <w:sz w:val="21"/>
          <w:szCs w:val="21"/>
        </w:rPr>
        <w:t>比选</w:t>
      </w:r>
      <w:bookmarkEnd w:id="305"/>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12.1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12.2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12</w:t>
      </w:r>
      <w:r>
        <w:rPr>
          <w:rFonts w:ascii="宋体" w:hAnsi="宋体"/>
        </w:rPr>
        <w:t>.</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12.4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12.5所有中选候选人均不同意在比选申请有效期内延长比选申请有效期的。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12.6比选文件中规定的其他情况。</w:t>
      </w:r>
    </w:p>
    <w:p>
      <w:pPr>
        <w:pStyle w:val="4"/>
        <w:spacing w:before="0" w:after="0" w:afterAutospacing="0"/>
        <w:ind w:left="422" w:right="0" w:firstLine="0"/>
        <w:rPr>
          <w:rFonts w:ascii="宋体" w:hAnsi="宋体"/>
          <w:sz w:val="21"/>
          <w:szCs w:val="21"/>
        </w:rPr>
      </w:pPr>
      <w:bookmarkStart w:id="306" w:name="_Toc2422"/>
      <w:bookmarkStart w:id="307" w:name="_Toc390098455"/>
      <w:bookmarkStart w:id="308" w:name="_Toc17042"/>
      <w:bookmarkStart w:id="309" w:name="_Toc375039096"/>
      <w:bookmarkStart w:id="310" w:name="_Toc1945"/>
      <w:bookmarkStart w:id="311" w:name="_Toc11126"/>
      <w:bookmarkStart w:id="312" w:name="_Toc492478754"/>
      <w:bookmarkStart w:id="313" w:name="_Toc26954"/>
      <w:bookmarkStart w:id="314" w:name="_Toc6886"/>
      <w:bookmarkStart w:id="315" w:name="_Toc12983539"/>
      <w:bookmarkStart w:id="316" w:name="_Toc10962"/>
      <w:bookmarkStart w:id="317" w:name="_Toc14235"/>
      <w:bookmarkStart w:id="318" w:name="_Toc14454"/>
      <w:bookmarkStart w:id="319" w:name="_Toc385427829"/>
      <w:bookmarkStart w:id="320" w:name="_Toc1116"/>
      <w:bookmarkStart w:id="321" w:name="_Toc12031"/>
      <w:bookmarkStart w:id="322" w:name="_Toc31757"/>
      <w:bookmarkStart w:id="323" w:name="_Toc5959"/>
      <w:bookmarkStart w:id="324" w:name="_Toc3769"/>
      <w:bookmarkStart w:id="325" w:name="_Toc25257"/>
      <w:bookmarkStart w:id="326" w:name="_Toc26919"/>
      <w:bookmarkStart w:id="327" w:name="_Toc383891204"/>
      <w:bookmarkStart w:id="328" w:name="_Toc20979"/>
      <w:bookmarkStart w:id="329" w:name="_Toc25750624"/>
      <w:r>
        <w:rPr>
          <w:rFonts w:hint="eastAsia" w:ascii="宋体" w:hAnsi="宋体"/>
          <w:sz w:val="21"/>
          <w:szCs w:val="21"/>
        </w:rPr>
        <w:t>13.不再</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ascii="宋体" w:hAnsi="宋体"/>
          <w:sz w:val="21"/>
          <w:szCs w:val="21"/>
        </w:rPr>
        <w:t>比选</w:t>
      </w:r>
      <w:bookmarkEnd w:id="329"/>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330" w:name="_Toc385427830"/>
      <w:bookmarkStart w:id="331" w:name="_Toc4743"/>
      <w:bookmarkStart w:id="332" w:name="_Toc18800"/>
      <w:bookmarkStart w:id="333" w:name="_Toc24681"/>
      <w:bookmarkStart w:id="334" w:name="_Toc375039097"/>
      <w:bookmarkStart w:id="335" w:name="_Toc8834"/>
      <w:bookmarkStart w:id="336" w:name="_Toc30278"/>
      <w:bookmarkStart w:id="337" w:name="_Toc390098456"/>
      <w:bookmarkStart w:id="338" w:name="_Toc2326"/>
      <w:bookmarkStart w:id="339" w:name="_Toc25431"/>
      <w:bookmarkStart w:id="340" w:name="_Toc6000"/>
      <w:bookmarkStart w:id="341" w:name="_Toc12421"/>
      <w:bookmarkStart w:id="342" w:name="_Toc28614"/>
      <w:bookmarkStart w:id="343" w:name="_Toc19952"/>
      <w:bookmarkStart w:id="344" w:name="_Toc12983540"/>
      <w:bookmarkStart w:id="345" w:name="_Toc492478755"/>
      <w:bookmarkStart w:id="346" w:name="_Toc27839"/>
      <w:bookmarkStart w:id="347" w:name="_Toc31958"/>
      <w:bookmarkStart w:id="348" w:name="_Toc22975"/>
      <w:bookmarkStart w:id="349" w:name="_Toc9113"/>
      <w:bookmarkStart w:id="350" w:name="_Toc383891205"/>
      <w:bookmarkStart w:id="351" w:name="_Toc21516"/>
      <w:bookmarkStart w:id="352" w:name="_Toc24580"/>
      <w:bookmarkStart w:id="353" w:name="_Toc26653"/>
      <w:r>
        <w:rPr>
          <w:rFonts w:hint="eastAsia" w:ascii="宋体" w:hAnsi="宋体" w:eastAsia="宋体"/>
          <w:sz w:val="24"/>
          <w:szCs w:val="24"/>
        </w:rPr>
        <w:t>四、</w:t>
      </w:r>
      <w:r>
        <w:rPr>
          <w:rFonts w:ascii="宋体" w:hAnsi="宋体" w:eastAsia="宋体"/>
          <w:sz w:val="24"/>
          <w:szCs w:val="24"/>
        </w:rPr>
        <w:t>授予合同</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4"/>
        <w:spacing w:before="0" w:after="0" w:afterAutospacing="0"/>
        <w:ind w:left="422" w:right="0" w:firstLine="0"/>
        <w:rPr>
          <w:rFonts w:ascii="宋体" w:hAnsi="宋体"/>
          <w:sz w:val="21"/>
          <w:szCs w:val="21"/>
        </w:rPr>
      </w:pPr>
      <w:bookmarkStart w:id="354" w:name="_Toc12983543"/>
      <w:bookmarkStart w:id="355" w:name="_Toc17953"/>
      <w:bookmarkStart w:id="356" w:name="_Toc390098459"/>
      <w:bookmarkStart w:id="357" w:name="_Toc13605"/>
      <w:bookmarkStart w:id="358" w:name="_Toc9636"/>
      <w:bookmarkStart w:id="359" w:name="_Toc385427833"/>
      <w:bookmarkStart w:id="360" w:name="_Toc921"/>
      <w:bookmarkStart w:id="361" w:name="_Toc27683"/>
      <w:bookmarkStart w:id="362" w:name="_Toc21798"/>
      <w:bookmarkStart w:id="363" w:name="_Toc20680"/>
      <w:bookmarkStart w:id="364" w:name="_Toc375039100"/>
      <w:bookmarkStart w:id="365" w:name="_Toc12065"/>
      <w:bookmarkStart w:id="366" w:name="_Toc19556"/>
      <w:bookmarkStart w:id="367" w:name="_Toc492478758"/>
      <w:bookmarkStart w:id="368" w:name="_Toc2061"/>
      <w:bookmarkStart w:id="369" w:name="_Toc673"/>
      <w:bookmarkStart w:id="370" w:name="_Toc10348"/>
      <w:bookmarkStart w:id="371" w:name="_Toc32424"/>
      <w:bookmarkStart w:id="372" w:name="_Toc13596"/>
      <w:bookmarkStart w:id="373" w:name="_Toc22657"/>
      <w:bookmarkStart w:id="374" w:name="_Toc5061"/>
      <w:bookmarkStart w:id="375" w:name="_Toc383891208"/>
      <w:bookmarkStart w:id="376" w:name="_Toc25750628"/>
      <w:bookmarkStart w:id="377" w:name="_Toc19943"/>
      <w:bookmarkStart w:id="378" w:name="_Toc12983541"/>
      <w:bookmarkStart w:id="379" w:name="_Toc22688"/>
      <w:bookmarkStart w:id="380" w:name="_Toc18878"/>
      <w:bookmarkStart w:id="381" w:name="_Toc21975"/>
      <w:bookmarkStart w:id="382" w:name="_Toc28661"/>
      <w:bookmarkStart w:id="383" w:name="_Toc390098457"/>
      <w:bookmarkStart w:id="384" w:name="_Toc11795"/>
      <w:bookmarkStart w:id="385" w:name="_Toc30743"/>
      <w:bookmarkStart w:id="386" w:name="_Toc375039098"/>
      <w:bookmarkStart w:id="387" w:name="_Toc8938"/>
      <w:bookmarkStart w:id="388" w:name="_Toc492478756"/>
      <w:bookmarkStart w:id="389" w:name="_Toc22323"/>
      <w:bookmarkStart w:id="390" w:name="_Toc383891206"/>
      <w:bookmarkStart w:id="391" w:name="_Toc1269"/>
      <w:bookmarkStart w:id="392" w:name="_Toc31011"/>
      <w:bookmarkStart w:id="393" w:name="_Toc26525"/>
      <w:bookmarkStart w:id="394" w:name="_Toc30026"/>
      <w:bookmarkStart w:id="395" w:name="_Toc21728"/>
      <w:bookmarkStart w:id="396" w:name="_Toc13914"/>
      <w:bookmarkStart w:id="397" w:name="_Toc20642"/>
      <w:bookmarkStart w:id="398" w:name="_Toc26143"/>
      <w:bookmarkStart w:id="399" w:name="_Toc385427831"/>
      <w:bookmarkStart w:id="400" w:name="_Toc10522"/>
      <w:bookmarkStart w:id="401" w:name="_Toc25750626"/>
      <w:r>
        <w:rPr>
          <w:rFonts w:hint="eastAsia" w:ascii="宋体" w:hAnsi="宋体"/>
          <w:sz w:val="21"/>
          <w:szCs w:val="21"/>
        </w:rPr>
        <w:t>14.中选通知书</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14.1 </w:t>
      </w:r>
      <w:r>
        <w:rPr>
          <w:rFonts w:ascii="宋体" w:hAnsi="宋体"/>
        </w:rPr>
        <w:t>在比选申请有效期截止前，</w:t>
      </w:r>
      <w:r>
        <w:rPr>
          <w:rFonts w:hint="eastAsia" w:ascii="宋体" w:hAnsi="宋体"/>
        </w:rPr>
        <w:t>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14.3 </w:t>
      </w:r>
      <w:r>
        <w:rPr>
          <w:rFonts w:ascii="宋体" w:hAnsi="宋体"/>
        </w:rPr>
        <w:t>对未中选者，比选人不对未中选原因做出解释，同时亦不退还比选申请文件。</w:t>
      </w:r>
    </w:p>
    <w:p>
      <w:pPr>
        <w:pStyle w:val="4"/>
        <w:spacing w:before="0" w:after="0" w:afterAutospacing="0"/>
        <w:ind w:left="0" w:right="0" w:firstLine="422" w:firstLineChars="200"/>
        <w:rPr>
          <w:rFonts w:ascii="宋体" w:hAnsi="宋体"/>
          <w:sz w:val="21"/>
          <w:szCs w:val="21"/>
        </w:rPr>
      </w:pPr>
      <w:r>
        <w:rPr>
          <w:rFonts w:hint="eastAsia" w:ascii="宋体" w:hAnsi="宋体"/>
          <w:sz w:val="21"/>
          <w:szCs w:val="21"/>
        </w:rPr>
        <w:t>15.</w:t>
      </w:r>
      <w:r>
        <w:rPr>
          <w:rFonts w:hint="eastAsia" w:ascii="宋体" w:hAnsi="宋体"/>
          <w:sz w:val="21"/>
          <w:szCs w:val="21"/>
          <w:lang w:eastAsia="zh-CN"/>
        </w:rPr>
        <w:t>比选</w:t>
      </w:r>
      <w:r>
        <w:rPr>
          <w:rFonts w:hint="eastAsia" w:ascii="宋体" w:hAnsi="宋体"/>
          <w:sz w:val="21"/>
          <w:szCs w:val="21"/>
        </w:rPr>
        <w:t>保证</w:t>
      </w:r>
      <w:r>
        <w:rPr>
          <w:rFonts w:ascii="宋体" w:hAnsi="宋体"/>
          <w:sz w:val="21"/>
          <w:szCs w:val="21"/>
        </w:rPr>
        <w:t>金</w:t>
      </w:r>
    </w:p>
    <w:p>
      <w:pPr>
        <w:pStyle w:val="11"/>
        <w:spacing w:before="0" w:after="0" w:afterAutospacing="0"/>
        <w:ind w:left="0" w:right="0" w:firstLine="420" w:firstLineChars="200"/>
        <w:rPr>
          <w:rFonts w:ascii="宋体" w:hAnsi="宋体"/>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r>
        <w:rPr>
          <w:rFonts w:hint="eastAsia" w:ascii="宋体" w:hAnsi="宋体"/>
          <w:sz w:val="21"/>
          <w:szCs w:val="21"/>
        </w:rPr>
        <w:t>16. 合同授予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16.1</w:t>
      </w:r>
      <w:r>
        <w:rPr>
          <w:rFonts w:ascii="宋体" w:hAnsi="宋体"/>
        </w:rPr>
        <w:t>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sz w:val="21"/>
          <w:szCs w:val="21"/>
        </w:rPr>
      </w:pPr>
      <w:bookmarkStart w:id="402" w:name="_Toc16584"/>
      <w:bookmarkStart w:id="403" w:name="_Toc20351"/>
      <w:bookmarkStart w:id="404" w:name="_Toc30169"/>
      <w:bookmarkStart w:id="405" w:name="_Toc12983546"/>
      <w:bookmarkStart w:id="406" w:name="_Toc13615"/>
      <w:bookmarkStart w:id="407" w:name="_Toc26808"/>
      <w:bookmarkStart w:id="408" w:name="_Toc390098462"/>
      <w:bookmarkStart w:id="409" w:name="_Toc16212"/>
      <w:bookmarkStart w:id="410" w:name="_Toc375039103"/>
      <w:bookmarkStart w:id="411" w:name="_Toc10399"/>
      <w:bookmarkStart w:id="412" w:name="_Toc19122"/>
      <w:bookmarkStart w:id="413" w:name="_Toc8178"/>
      <w:bookmarkStart w:id="414" w:name="_Toc2637"/>
      <w:bookmarkStart w:id="415" w:name="_Toc10480"/>
      <w:bookmarkStart w:id="416" w:name="_Toc23115"/>
      <w:bookmarkStart w:id="417" w:name="_Toc383891211"/>
      <w:bookmarkStart w:id="418" w:name="_Toc492478761"/>
      <w:bookmarkStart w:id="419" w:name="_Toc25990"/>
      <w:bookmarkStart w:id="420" w:name="_Toc21294"/>
      <w:bookmarkStart w:id="421" w:name="_Toc11354"/>
      <w:bookmarkStart w:id="422" w:name="_Toc25988"/>
      <w:bookmarkStart w:id="423" w:name="_Toc385427836"/>
      <w:bookmarkStart w:id="424" w:name="_Toc24400"/>
      <w:bookmarkStart w:id="425" w:name="_Toc25750631"/>
      <w:r>
        <w:rPr>
          <w:rFonts w:hint="eastAsia" w:ascii="宋体" w:hAnsi="宋体"/>
          <w:sz w:val="21"/>
          <w:szCs w:val="21"/>
        </w:rPr>
        <w:t>17.其他</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17.1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17.1.1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17.1.2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17.2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17.3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17.4本比选文件中描述比选申请人的“签字”是指比选申请人的法定代表人或被授权人亲自在比选文件规定签署处亲笔写上个人的名字的行为，私章、签字章、印鉴、影印等其它形式均不能代替亲笔签字。</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17.5签订本项目合同时，中选人须按比选人要求，与资金支付方签订三方支付协议。</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17.6比选申请人在采购阶段如无故或以比选人不认可的理由放弃中选资格的，比选人有权禁止其1年内不得参与属于比选人的任何采购项目。</w:t>
      </w:r>
    </w:p>
    <w:p>
      <w:pPr>
        <w:tabs>
          <w:tab w:val="left" w:pos="425"/>
          <w:tab w:val="left" w:pos="1134"/>
          <w:tab w:val="left" w:pos="8364"/>
        </w:tabs>
        <w:spacing w:before="0" w:after="0" w:afterAutospacing="0"/>
        <w:ind w:left="0" w:right="0" w:firstLine="420" w:firstLineChars="200"/>
        <w:rPr>
          <w:rFonts w:ascii="宋体" w:hAnsi="宋体"/>
        </w:rPr>
      </w:pPr>
    </w:p>
    <w:p>
      <w:pPr>
        <w:pStyle w:val="11"/>
        <w:pageBreakBefore/>
        <w:ind w:left="0" w:right="-57" w:firstLine="0"/>
        <w:jc w:val="center"/>
        <w:outlineLvl w:val="0"/>
        <w:rPr>
          <w:rStyle w:val="39"/>
          <w:rFonts w:ascii="宋体" w:hAnsi="宋体" w:eastAsia="宋体"/>
        </w:rPr>
      </w:pPr>
      <w:bookmarkStart w:id="426" w:name="_Toc26041"/>
      <w:bookmarkStart w:id="427" w:name="_Toc9329"/>
      <w:bookmarkStart w:id="428" w:name="_Toc5008"/>
      <w:bookmarkStart w:id="429" w:name="_Toc1104"/>
      <w:bookmarkStart w:id="430" w:name="_Toc531"/>
      <w:bookmarkStart w:id="431" w:name="_Toc3174"/>
      <w:bookmarkStart w:id="432" w:name="_Toc21231"/>
      <w:bookmarkStart w:id="433" w:name="_Toc6090"/>
      <w:bookmarkStart w:id="434" w:name="_Toc1777"/>
      <w:bookmarkStart w:id="435" w:name="_Toc3551"/>
      <w:bookmarkStart w:id="436" w:name="_Toc14738"/>
      <w:bookmarkStart w:id="437" w:name="_Toc26286"/>
      <w:bookmarkStart w:id="438" w:name="_Toc147"/>
      <w:bookmarkStart w:id="439" w:name="_Toc22547"/>
      <w:bookmarkStart w:id="440" w:name="_Toc17186"/>
      <w:bookmarkStart w:id="441" w:name="_Toc4284"/>
      <w:bookmarkStart w:id="442" w:name="_Toc25908"/>
      <w:bookmarkStart w:id="443" w:name="_Toc14104"/>
      <w:r>
        <w:rPr>
          <w:rStyle w:val="39"/>
          <w:rFonts w:hint="eastAsia" w:ascii="宋体" w:hAnsi="宋体" w:eastAsia="宋体"/>
        </w:rPr>
        <w:t>第三章 评分办法</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spacing w:before="0" w:after="0" w:afterAutospacing="0"/>
        <w:ind w:left="0" w:right="0" w:firstLine="0"/>
        <w:outlineLvl w:val="1"/>
        <w:rPr>
          <w:rFonts w:ascii="宋体" w:hAnsi="宋体" w:cs="Arial"/>
          <w:b/>
          <w:bCs/>
          <w:sz w:val="28"/>
          <w:szCs w:val="28"/>
        </w:rPr>
      </w:pPr>
      <w:bookmarkStart w:id="444" w:name="_Toc30290"/>
      <w:r>
        <w:rPr>
          <w:rFonts w:hint="eastAsia" w:ascii="宋体" w:hAnsi="宋体" w:cs="Arial"/>
          <w:b/>
          <w:bCs/>
          <w:sz w:val="28"/>
          <w:szCs w:val="28"/>
        </w:rPr>
        <w:t>一、评审原则</w:t>
      </w:r>
      <w:bookmarkEnd w:id="444"/>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评审委员会成员构成：由南宁轨道交通集团有限责任公司3人及以上单数组成评审小组。</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0"/>
        <w:outlineLvl w:val="1"/>
        <w:rPr>
          <w:rFonts w:ascii="宋体" w:hAnsi="宋体" w:cs="Arial"/>
          <w:b/>
        </w:rPr>
      </w:pPr>
      <w:bookmarkStart w:id="445" w:name="_Toc31008"/>
      <w:bookmarkStart w:id="446" w:name="_Toc29000"/>
      <w:bookmarkStart w:id="447" w:name="_Toc11240"/>
      <w:bookmarkStart w:id="448" w:name="_Toc15880"/>
      <w:bookmarkStart w:id="449" w:name="_Toc478566177"/>
      <w:bookmarkStart w:id="450" w:name="_Toc5136"/>
      <w:r>
        <w:rPr>
          <w:rFonts w:hint="eastAsia" w:ascii="宋体" w:hAnsi="宋体" w:cs="Arial"/>
          <w:b/>
          <w:bCs/>
          <w:sz w:val="28"/>
          <w:szCs w:val="28"/>
        </w:rPr>
        <w:t>二、评定方法</w:t>
      </w:r>
      <w:bookmarkEnd w:id="445"/>
      <w:bookmarkEnd w:id="446"/>
      <w:bookmarkEnd w:id="447"/>
      <w:bookmarkEnd w:id="448"/>
      <w:bookmarkEnd w:id="449"/>
      <w:bookmarkEnd w:id="450"/>
    </w:p>
    <w:p>
      <w:pPr>
        <w:spacing w:before="0" w:after="0" w:afterAutospacing="0"/>
        <w:ind w:left="0" w:right="0" w:firstLine="420" w:firstLineChars="200"/>
        <w:rPr>
          <w:rFonts w:ascii="宋体" w:hAnsi="宋体" w:cs="Arial"/>
        </w:rPr>
      </w:pPr>
      <w:r>
        <w:rPr>
          <w:rFonts w:hint="eastAsia" w:ascii="宋体" w:hAnsi="宋体" w:cs="Arial"/>
        </w:rPr>
        <w:t>2.1对响应文件检查合格的比选申请文件，采用最低评审价法进行评审。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2.2评审委员会将依照满足实质性响应要求的比选申请报价按照由低到高的顺序提出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0" w:right="0" w:firstLine="0"/>
        <w:outlineLvl w:val="1"/>
        <w:rPr>
          <w:rFonts w:ascii="宋体" w:hAnsi="宋体" w:cs="Arial"/>
          <w:b/>
          <w:bCs/>
          <w:sz w:val="28"/>
          <w:szCs w:val="28"/>
        </w:rPr>
      </w:pPr>
      <w:bookmarkStart w:id="451" w:name="_Toc28440"/>
      <w:r>
        <w:rPr>
          <w:rFonts w:hint="eastAsia" w:ascii="宋体" w:hAnsi="宋体" w:cs="Arial"/>
          <w:b/>
          <w:bCs/>
          <w:sz w:val="28"/>
          <w:szCs w:val="28"/>
        </w:rPr>
        <w:t>三、评审流程</w:t>
      </w:r>
      <w:bookmarkEnd w:id="451"/>
    </w:p>
    <w:p>
      <w:pPr>
        <w:tabs>
          <w:tab w:val="left" w:pos="567"/>
        </w:tabs>
        <w:spacing w:before="0" w:after="0" w:afterAutospacing="0"/>
        <w:ind w:left="420" w:right="0" w:firstLine="0"/>
        <w:outlineLvl w:val="2"/>
        <w:rPr>
          <w:rFonts w:ascii="宋体" w:hAnsi="宋体"/>
          <w:b/>
        </w:rPr>
      </w:pPr>
      <w:r>
        <w:rPr>
          <w:rFonts w:hint="eastAsia" w:ascii="宋体" w:hAnsi="宋体"/>
          <w:b/>
        </w:rPr>
        <w:t>3.1响应性评审</w:t>
      </w:r>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（1）评审委员会将对比选申请文件的实质性响应内容进行初步评审，判定其内容是否真实、完整，是否满足比选文件要求并在实质性内容上予以响应。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567"/>
        </w:tabs>
        <w:spacing w:before="0" w:after="0" w:afterAutospacing="0"/>
        <w:ind w:left="420" w:right="0" w:firstLine="0"/>
        <w:outlineLvl w:val="2"/>
        <w:rPr>
          <w:rFonts w:ascii="宋体" w:hAnsi="宋体"/>
          <w:b/>
        </w:rPr>
      </w:pPr>
      <w:r>
        <w:rPr>
          <w:rFonts w:hint="eastAsia" w:ascii="宋体" w:hAnsi="宋体"/>
          <w:b/>
        </w:rPr>
        <w:t>3.2价格评审</w:t>
      </w:r>
    </w:p>
    <w:p>
      <w:pPr>
        <w:tabs>
          <w:tab w:val="left" w:pos="851"/>
        </w:tabs>
        <w:spacing w:before="0" w:after="0" w:afterAutospacing="0"/>
        <w:ind w:left="0" w:right="0" w:firstLine="525" w:firstLineChars="25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2</w:t>
      </w:r>
      <w:r>
        <w:rPr>
          <w:rFonts w:asciiTheme="minorEastAsia" w:hAnsiTheme="minorEastAsia" w:eastAsiaTheme="minorEastAsia"/>
        </w:rPr>
        <w:t>.1评审委员会</w:t>
      </w:r>
      <w:r>
        <w:rPr>
          <w:rFonts w:hint="eastAsia" w:asciiTheme="minorEastAsia" w:hAnsiTheme="minorEastAsia" w:eastAsiaTheme="minorEastAsia"/>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2</w:t>
      </w:r>
      <w:r>
        <w:rPr>
          <w:rFonts w:asciiTheme="minorEastAsia" w:hAnsiTheme="minorEastAsia" w:eastAsiaTheme="minorEastAsia"/>
        </w:rPr>
        <w:t>.2评审委员会</w:t>
      </w:r>
      <w:r>
        <w:rPr>
          <w:rFonts w:hint="eastAsia" w:asciiTheme="minorEastAsia" w:hAnsiTheme="minorEastAsia" w:eastAsiaTheme="minorEastAsia"/>
        </w:rPr>
        <w:t>对资格审查合格且通过初步评审的比选申请人比选申请报价进行算术修正，计算出评审总价。算</w:t>
      </w:r>
      <w:r>
        <w:rPr>
          <w:rFonts w:hint="eastAsia" w:hAnsi="宋体"/>
        </w:rPr>
        <w:t>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Theme="minorEastAsia" w:hAnsiTheme="minorEastAsia" w:eastAsiaTheme="minorEastAsia"/>
        </w:rPr>
      </w:pPr>
      <w:r>
        <w:rPr>
          <w:rFonts w:hint="eastAsia" w:ascii="宋体" w:hAnsi="宋体"/>
        </w:rPr>
        <w:t>（4）按上述（2）、（3）条规则对比选申请报价进行修</w:t>
      </w:r>
      <w:r>
        <w:rPr>
          <w:rFonts w:hint="eastAsia" w:ascii="宋体" w:hAnsi="宋体" w:eastAsia="宋体" w:cs="Times New Roman"/>
          <w:sz w:val="21"/>
          <w:szCs w:val="21"/>
          <w:lang w:val="en-US" w:eastAsia="zh-CN" w:bidi="ar-SA"/>
        </w:rPr>
        <w:t>正，评审总价以修正后的总价为准。如比选申请人不接受按以上规则确定的评审总价和中选价，则其比选申请</w:t>
      </w:r>
      <w:r>
        <w:rPr>
          <w:rFonts w:hint="eastAsia" w:asciiTheme="minorEastAsia" w:hAnsiTheme="minorEastAsia" w:eastAsiaTheme="minorEastAsia"/>
        </w:rPr>
        <w:t>将被拒绝。</w:t>
      </w:r>
    </w:p>
    <w:p>
      <w:pPr>
        <w:tabs>
          <w:tab w:val="left" w:pos="567"/>
        </w:tabs>
        <w:spacing w:before="0" w:after="0" w:afterAutospacing="0"/>
        <w:ind w:left="0" w:right="0" w:firstLine="420" w:firstLineChars="200"/>
        <w:rPr>
          <w:rFonts w:hAnsi="宋体"/>
        </w:rPr>
      </w:pPr>
      <w:r>
        <w:rPr>
          <w:rFonts w:hint="eastAsia" w:asciiTheme="minorEastAsia" w:hAnsiTheme="minorEastAsia" w:eastAsiaTheme="minorEastAsia"/>
        </w:rPr>
        <w:t>3.2.3价</w:t>
      </w:r>
      <w:r>
        <w:rPr>
          <w:rFonts w:hint="eastAsia" w:hAnsi="宋体"/>
        </w:rPr>
        <w:t>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0" w:right="0" w:firstLine="0"/>
        <w:outlineLvl w:val="2"/>
        <w:rPr>
          <w:rFonts w:ascii="宋体" w:hAnsi="宋体"/>
          <w:b/>
        </w:rPr>
      </w:pPr>
      <w:r>
        <w:rPr>
          <w:rFonts w:hint="eastAsia" w:ascii="宋体" w:hAnsi="宋体"/>
          <w:b/>
        </w:rPr>
        <w:t>3.3</w:t>
      </w:r>
      <w:r>
        <w:rPr>
          <w:rFonts w:ascii="宋体" w:hAnsi="宋体"/>
          <w:b/>
        </w:rPr>
        <w:t>澄清或补正</w:t>
      </w:r>
    </w:p>
    <w:p>
      <w:pPr>
        <w:tabs>
          <w:tab w:val="left" w:pos="851"/>
        </w:tabs>
        <w:spacing w:before="0" w:after="0" w:afterAutospacing="0"/>
        <w:ind w:left="0" w:right="0" w:firstLine="420" w:firstLineChars="200"/>
        <w:rPr>
          <w:rFonts w:ascii="宋体" w:hAnsi="宋体"/>
        </w:rPr>
      </w:pPr>
      <w:r>
        <w:rPr>
          <w:rFonts w:hint="eastAsia" w:ascii="宋体" w:hAnsi="宋体"/>
        </w:rPr>
        <w:t>3.3.1在评审阶段，评审委员会认为必要时，可书面通知比选申请人要求其澄清或补正比选申请文件中的问题，或者要求其补充某些资料。对此，比选申请人不得拒绝。</w:t>
      </w:r>
    </w:p>
    <w:p>
      <w:pPr>
        <w:tabs>
          <w:tab w:val="left" w:pos="851"/>
        </w:tabs>
        <w:spacing w:before="0" w:after="0" w:afterAutospacing="0"/>
        <w:ind w:left="0" w:right="0" w:firstLine="420" w:firstLineChars="200"/>
        <w:rPr>
          <w:rFonts w:ascii="宋体" w:hAnsi="宋体"/>
        </w:rPr>
      </w:pPr>
      <w:r>
        <w:rPr>
          <w:rFonts w:hint="eastAsia" w:ascii="宋体" w:hAnsi="宋体"/>
        </w:rPr>
        <w:t>3.3.2</w:t>
      </w:r>
      <w:r>
        <w:rPr>
          <w:rFonts w:ascii="宋体" w:hAnsi="宋体"/>
        </w:rPr>
        <w:t>比选申请人须以书面形式提供澄清或补正文件，经评审委员会确认方可作为比选申请文件的组成部分。</w:t>
      </w:r>
    </w:p>
    <w:p>
      <w:pPr>
        <w:tabs>
          <w:tab w:val="left" w:pos="851"/>
        </w:tabs>
        <w:spacing w:before="0" w:after="0" w:afterAutospacing="0"/>
        <w:ind w:left="0" w:right="0" w:firstLine="420" w:firstLineChars="200"/>
        <w:rPr>
          <w:rFonts w:ascii="宋体" w:hAnsi="宋体"/>
        </w:rPr>
      </w:pPr>
      <w:r>
        <w:rPr>
          <w:rFonts w:hint="eastAsia" w:ascii="宋体" w:hAnsi="宋体"/>
        </w:rPr>
        <w:t>3.3.3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s>
        <w:spacing w:before="0" w:after="0" w:afterAutospacing="0"/>
        <w:ind w:left="0" w:right="0" w:firstLine="420" w:firstLineChars="200"/>
        <w:rPr>
          <w:rFonts w:ascii="宋体" w:hAnsi="宋体"/>
        </w:rPr>
      </w:pPr>
      <w:r>
        <w:rPr>
          <w:rFonts w:hint="eastAsia" w:ascii="宋体" w:hAnsi="宋体"/>
        </w:rPr>
        <w:t>3.3.4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s>
        <w:spacing w:before="0" w:after="0" w:afterAutospacing="0"/>
        <w:ind w:left="0" w:right="0" w:firstLine="420" w:firstLineChars="200"/>
        <w:rPr>
          <w:rFonts w:ascii="宋体" w:hAnsi="宋体"/>
        </w:rPr>
      </w:pPr>
      <w:r>
        <w:rPr>
          <w:rFonts w:hint="eastAsia" w:ascii="宋体" w:hAnsi="宋体"/>
        </w:rPr>
        <w:t>3.3.5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tabs>
          <w:tab w:val="left" w:pos="567"/>
        </w:tabs>
        <w:spacing w:before="0" w:after="0" w:afterAutospacing="0"/>
        <w:ind w:left="420" w:right="0" w:firstLine="0"/>
        <w:outlineLvl w:val="2"/>
        <w:rPr>
          <w:rFonts w:ascii="宋体" w:hAnsi="宋体"/>
          <w:b/>
        </w:rPr>
      </w:pPr>
      <w:r>
        <w:rPr>
          <w:rFonts w:hint="eastAsia" w:ascii="宋体" w:hAnsi="宋体"/>
          <w:b/>
        </w:rPr>
        <w:t>3.4</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现场形成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tabs>
          <w:tab w:val="left" w:pos="567"/>
        </w:tabs>
        <w:spacing w:before="0" w:after="0" w:afterAutospacing="0"/>
        <w:ind w:left="420" w:right="0" w:firstLine="0"/>
        <w:outlineLvl w:val="2"/>
        <w:rPr>
          <w:rFonts w:ascii="宋体" w:hAnsi="宋体"/>
          <w:b/>
        </w:rPr>
      </w:pPr>
      <w:r>
        <w:rPr>
          <w:rFonts w:hint="eastAsia" w:ascii="宋体" w:hAnsi="宋体"/>
          <w:b/>
        </w:rPr>
        <w:t>3.5</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）比选申请人非中华人民共和国境内依法设立的法人或其他组织；或以分公司名义参与比选申请，未出具总公司授权参与的证明的。</w:t>
      </w:r>
    </w:p>
    <w:p>
      <w:pPr>
        <w:spacing w:before="0" w:after="0" w:afterAutospacing="0"/>
        <w:ind w:left="0" w:right="0" w:firstLine="420" w:firstLineChars="200"/>
        <w:rPr>
          <w:rFonts w:ascii="宋体" w:hAnsi="宋体"/>
        </w:rPr>
      </w:pPr>
      <w:r>
        <w:rPr>
          <w:rFonts w:hint="eastAsia" w:ascii="宋体" w:hAnsi="宋体"/>
        </w:rPr>
        <w:t>（2）比选申请人处于广西区行政主管部门或业主取消比选申请资格的处罚期内，被责令停业，财产被接管、冻结，破产状态；比选申请截止日前</w:t>
      </w:r>
      <w:r>
        <w:rPr>
          <w:rFonts w:ascii="宋体" w:hAnsi="宋体"/>
        </w:rPr>
        <w:t>3</w:t>
      </w:r>
      <w:r>
        <w:rPr>
          <w:rFonts w:hint="eastAsia" w:ascii="宋体" w:hAnsi="宋体"/>
        </w:rPr>
        <w:t>年内骗取中选、严重违约或重大质量安全责任事故的情况。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（3）单位负责人为同一人或者存在控股、管理关系的不同单位，同时参加同一标段比选申请或者未划分标段的同一比选项目比选申请。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（4）比选申请人为联合体申请的。</w:t>
      </w:r>
    </w:p>
    <w:p>
      <w:pPr>
        <w:spacing w:before="0" w:after="0" w:afterAutospacing="0"/>
        <w:ind w:left="0" w:right="0" w:firstLine="420" w:firstLineChars="200"/>
        <w:rPr>
          <w:rFonts w:ascii="宋体" w:hAnsi="宋体"/>
        </w:rPr>
      </w:pPr>
      <w:r>
        <w:rPr>
          <w:rFonts w:hint="eastAsia" w:ascii="宋体" w:hAnsi="宋体"/>
        </w:rPr>
        <w:t>（5）比选申请人列入比选人不良信用名单的。</w:t>
      </w:r>
    </w:p>
    <w:p>
      <w:pPr>
        <w:spacing w:before="0" w:after="0" w:afterAutospacing="0"/>
        <w:ind w:left="0" w:right="0" w:firstLine="420" w:firstLineChars="200"/>
        <w:rPr>
          <w:rFonts w:ascii="宋体" w:hAnsi="宋体"/>
        </w:rPr>
      </w:pPr>
      <w:r>
        <w:rPr>
          <w:rFonts w:hint="eastAsia" w:ascii="宋体" w:hAnsi="宋体"/>
        </w:rPr>
        <w:t>（6）在比选申请文件中提供虚假文件或资料的。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（7）法定代表人未按规定出具授权委托书的(采用委托代理人形式的)。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（8）比选申请文件中附有比选人不能接受的条件；</w:t>
      </w:r>
    </w:p>
    <w:p>
      <w:pPr>
        <w:tabs>
          <w:tab w:val="left" w:pos="1276"/>
        </w:tabs>
        <w:spacing w:before="0" w:after="0" w:afterAutospacing="0"/>
        <w:ind w:left="0" w:right="0" w:firstLine="420" w:firstLineChars="200"/>
        <w:jc w:val="left"/>
        <w:rPr>
          <w:rFonts w:ascii="宋体" w:hAnsi="宋体"/>
        </w:rPr>
      </w:pPr>
      <w:r>
        <w:rPr>
          <w:rFonts w:hint="eastAsia" w:ascii="宋体" w:hAnsi="宋体"/>
        </w:rPr>
        <w:t>（6）比选申请文件实质上不响应比选文件的要求的，或对比选文件存在负偏离响应的；</w:t>
      </w:r>
    </w:p>
    <w:p>
      <w:pPr>
        <w:tabs>
          <w:tab w:val="left" w:pos="1276"/>
        </w:tabs>
        <w:spacing w:before="0" w:after="0" w:afterAutospacing="0"/>
        <w:ind w:left="0" w:right="0" w:firstLine="420" w:firstLineChars="200"/>
        <w:jc w:val="left"/>
        <w:rPr>
          <w:rFonts w:ascii="宋体" w:hAnsi="宋体"/>
        </w:rPr>
      </w:pPr>
      <w:r>
        <w:rPr>
          <w:rFonts w:hint="eastAsia" w:ascii="宋体" w:hAnsi="宋体"/>
        </w:rPr>
        <w:t>（7）比选申请人扰乱会场秩序，经劝阻仍然无理取闹的；</w:t>
      </w:r>
    </w:p>
    <w:p>
      <w:pPr>
        <w:tabs>
          <w:tab w:val="left" w:pos="1276"/>
        </w:tabs>
        <w:spacing w:before="0" w:after="0" w:afterAutospacing="0"/>
        <w:ind w:left="0" w:right="0" w:firstLine="420" w:firstLineChars="200"/>
        <w:jc w:val="left"/>
        <w:rPr>
          <w:rFonts w:ascii="宋体" w:hAnsi="宋体"/>
        </w:rPr>
      </w:pPr>
      <w:r>
        <w:rPr>
          <w:rFonts w:hint="eastAsia" w:ascii="宋体" w:hAnsi="宋体"/>
        </w:rPr>
        <w:t>（8）比选申请人未能按照评审委员会要求，对其比选申请文件进行澄清、说明和补正的；</w:t>
      </w:r>
    </w:p>
    <w:p>
      <w:pPr>
        <w:tabs>
          <w:tab w:val="left" w:pos="1276"/>
        </w:tabs>
        <w:spacing w:before="0" w:after="0" w:afterAutospacing="0"/>
        <w:ind w:left="0" w:right="0" w:firstLine="420" w:firstLineChars="200"/>
        <w:jc w:val="left"/>
        <w:rPr>
          <w:rFonts w:ascii="宋体" w:hAnsi="宋体"/>
        </w:rPr>
      </w:pPr>
      <w:r>
        <w:rPr>
          <w:rFonts w:hint="eastAsia" w:ascii="宋体" w:hAnsi="宋体"/>
        </w:rPr>
        <w:t>（9）比选申请人以他人的名义比选申请、串通比选申请、以行贿手段谋取中选或者以其他弄虚作假方式比选申请的。</w:t>
      </w:r>
    </w:p>
    <w:p>
      <w:pPr>
        <w:tabs>
          <w:tab w:val="left" w:pos="1276"/>
        </w:tabs>
        <w:spacing w:before="0" w:after="0" w:afterAutospacing="0"/>
        <w:ind w:left="0" w:right="0" w:firstLine="420" w:firstLineChars="200"/>
        <w:jc w:val="left"/>
        <w:rPr>
          <w:rFonts w:ascii="宋体" w:hAnsi="宋体"/>
        </w:rPr>
      </w:pPr>
      <w:r>
        <w:rPr>
          <w:rFonts w:hint="eastAsia" w:ascii="宋体" w:hAnsi="宋体"/>
        </w:rPr>
        <w:t>（10）</w:t>
      </w:r>
      <w:r>
        <w:rPr>
          <w:rFonts w:ascii="宋体" w:hAnsi="宋体"/>
        </w:rPr>
        <w:t>比选申请有效期不满足要求的比选申请将被视为非实质性响应比选申请而予以否决。</w:t>
      </w:r>
    </w:p>
    <w:p>
      <w:pPr>
        <w:tabs>
          <w:tab w:val="left" w:pos="1276"/>
        </w:tabs>
        <w:spacing w:before="0" w:after="0" w:afterAutospacing="0"/>
        <w:ind w:left="0" w:right="0" w:firstLine="420" w:firstLineChars="200"/>
        <w:jc w:val="left"/>
        <w:rPr>
          <w:rFonts w:ascii="宋体" w:hAnsi="宋体"/>
        </w:rPr>
      </w:pPr>
      <w:r>
        <w:rPr>
          <w:rFonts w:hint="eastAsia" w:ascii="宋体" w:hAnsi="宋体"/>
        </w:rPr>
        <w:t>（11）比选申请文件</w:t>
      </w:r>
      <w:r>
        <w:rPr>
          <w:rFonts w:ascii="宋体" w:hAnsi="宋体"/>
        </w:rPr>
        <w:t>未按比选文件要求</w:t>
      </w:r>
      <w:r>
        <w:rPr>
          <w:rFonts w:hint="eastAsia" w:ascii="宋体" w:hAnsi="宋体"/>
        </w:rPr>
        <w:t>打印、装订或</w:t>
      </w:r>
      <w:r>
        <w:rPr>
          <w:rFonts w:ascii="宋体" w:hAnsi="宋体"/>
        </w:rPr>
        <w:t>密封的</w:t>
      </w:r>
      <w:r>
        <w:rPr>
          <w:rFonts w:hint="eastAsia" w:ascii="宋体" w:hAnsi="宋体"/>
        </w:rPr>
        <w:t>。</w:t>
      </w:r>
    </w:p>
    <w:p>
      <w:pPr>
        <w:snapToGrid w:val="0"/>
        <w:spacing w:before="0" w:after="0" w:afterAutospacing="0"/>
        <w:ind w:left="0" w:right="0" w:firstLine="420" w:firstLineChars="200"/>
        <w:jc w:val="left"/>
        <w:rPr>
          <w:rFonts w:hint="eastAsia" w:ascii="宋体" w:hAnsi="宋体"/>
        </w:rPr>
      </w:pPr>
      <w:r>
        <w:rPr>
          <w:rFonts w:hint="eastAsia" w:ascii="宋体" w:hAnsi="宋体"/>
        </w:rPr>
        <w:t>（12）比选申请人以经评审委员会评审认定为低于成本的报价竞标。</w:t>
      </w:r>
    </w:p>
    <w:p>
      <w:pPr>
        <w:snapToGrid w:val="0"/>
        <w:spacing w:before="0" w:after="0" w:afterAutospacing="0"/>
        <w:ind w:left="0" w:right="0" w:firstLine="420" w:firstLineChars="200"/>
        <w:jc w:val="left"/>
        <w:rPr>
          <w:rFonts w:ascii="宋体" w:hAnsi="宋体"/>
        </w:rPr>
      </w:pPr>
      <w:r>
        <w:rPr>
          <w:rFonts w:hint="eastAsia" w:ascii="宋体" w:hAnsi="宋体"/>
        </w:rPr>
        <w:t>（13）比选申请人不接受按修正规则确定的评审总价和中选价的。</w:t>
      </w:r>
    </w:p>
    <w:p>
      <w:pPr>
        <w:tabs>
          <w:tab w:val="left" w:pos="1276"/>
        </w:tabs>
        <w:spacing w:before="0" w:after="0" w:afterAutospacing="0"/>
        <w:ind w:left="0" w:right="0" w:firstLine="420" w:firstLineChars="200"/>
        <w:jc w:val="left"/>
        <w:rPr>
          <w:rFonts w:ascii="宋体" w:hAnsi="宋体"/>
        </w:rPr>
      </w:pPr>
      <w:r>
        <w:rPr>
          <w:rFonts w:hint="eastAsia" w:ascii="宋体" w:hAnsi="宋体"/>
        </w:rPr>
        <w:t>（14）递交两份或多份内容不同的比选申请文件，或在一份比选申请文件中，有两个或多个报价且未书面声明哪一个有效（按比选文件规定提供可选择性方案报价的除外）。</w:t>
      </w:r>
    </w:p>
    <w:p>
      <w:pPr>
        <w:tabs>
          <w:tab w:val="left" w:pos="1276"/>
        </w:tabs>
        <w:spacing w:before="0" w:after="0" w:afterAutospacing="0"/>
        <w:ind w:left="0" w:right="0" w:firstLine="420" w:firstLineChars="200"/>
        <w:jc w:val="left"/>
        <w:rPr>
          <w:rFonts w:ascii="宋体" w:hAnsi="宋体"/>
        </w:rPr>
      </w:pPr>
      <w:r>
        <w:rPr>
          <w:rFonts w:hint="eastAsia" w:ascii="宋体" w:hAnsi="宋体"/>
        </w:rPr>
        <w:t>（15）比选申请</w:t>
      </w:r>
      <w:r>
        <w:rPr>
          <w:rFonts w:ascii="宋体" w:hAnsi="宋体"/>
        </w:rPr>
        <w:t>报价</w:t>
      </w:r>
      <w:r>
        <w:rPr>
          <w:rFonts w:hint="eastAsia" w:ascii="宋体" w:hAnsi="宋体"/>
        </w:rPr>
        <w:t>不</w:t>
      </w:r>
      <w:r>
        <w:rPr>
          <w:rFonts w:ascii="宋体" w:hAnsi="宋体"/>
        </w:rPr>
        <w:t>固定</w:t>
      </w:r>
      <w:r>
        <w:rPr>
          <w:rFonts w:hint="eastAsia" w:ascii="宋体" w:hAnsi="宋体"/>
        </w:rPr>
        <w:t>，</w:t>
      </w:r>
      <w:r>
        <w:rPr>
          <w:rFonts w:ascii="宋体" w:hAnsi="宋体"/>
        </w:rPr>
        <w:t>或同一方案</w:t>
      </w:r>
      <w:r>
        <w:rPr>
          <w:rFonts w:hint="eastAsia" w:ascii="宋体" w:hAnsi="宋体"/>
        </w:rPr>
        <w:t>有</w:t>
      </w:r>
      <w:r>
        <w:rPr>
          <w:rFonts w:ascii="宋体" w:hAnsi="宋体"/>
        </w:rPr>
        <w:t>选择性报价</w:t>
      </w:r>
      <w:r>
        <w:rPr>
          <w:rFonts w:hint="eastAsia" w:ascii="宋体" w:hAnsi="宋体"/>
        </w:rPr>
        <w:t>。</w:t>
      </w:r>
    </w:p>
    <w:p>
      <w:pPr>
        <w:tabs>
          <w:tab w:val="left" w:pos="1276"/>
        </w:tabs>
        <w:spacing w:before="0" w:after="0" w:afterAutospacing="0"/>
        <w:ind w:left="0" w:right="0" w:firstLine="420" w:firstLineChars="200"/>
        <w:jc w:val="left"/>
        <w:rPr>
          <w:rFonts w:ascii="宋体" w:hAnsi="宋体"/>
        </w:rPr>
      </w:pPr>
      <w:r>
        <w:rPr>
          <w:rFonts w:hint="eastAsia" w:ascii="宋体" w:hAnsi="宋体"/>
        </w:rPr>
        <w:t>（16）比选申请报价清单有缺、漏项。</w:t>
      </w:r>
    </w:p>
    <w:p>
      <w:pPr>
        <w:tabs>
          <w:tab w:val="left" w:pos="1276"/>
        </w:tabs>
        <w:spacing w:before="0" w:after="0" w:afterAutospacing="0"/>
        <w:ind w:left="0" w:right="0" w:firstLine="422" w:firstLineChars="200"/>
        <w:jc w:val="left"/>
        <w:rPr>
          <w:rFonts w:ascii="宋体" w:hAnsi="宋体"/>
          <w:b/>
        </w:rPr>
      </w:pPr>
    </w:p>
    <w:p>
      <w:pPr>
        <w:pageBreakBefore/>
        <w:tabs>
          <w:tab w:val="left" w:pos="640"/>
          <w:tab w:val="left" w:pos="1843"/>
        </w:tabs>
        <w:spacing w:before="0" w:after="0" w:afterAutospacing="0"/>
        <w:ind w:left="0" w:right="0" w:firstLine="0"/>
        <w:outlineLvl w:val="1"/>
        <w:rPr>
          <w:b/>
          <w:sz w:val="24"/>
          <w:szCs w:val="24"/>
        </w:rPr>
      </w:pPr>
      <w:bookmarkStart w:id="452" w:name="_Toc19557"/>
      <w:bookmarkStart w:id="453" w:name="_Toc9189"/>
      <w:bookmarkStart w:id="454" w:name="_Toc25750694"/>
      <w:bookmarkStart w:id="455" w:name="_Toc29245"/>
      <w:bookmarkStart w:id="456" w:name="_Toc22464"/>
      <w:bookmarkStart w:id="457" w:name="_Toc31611"/>
      <w:bookmarkStart w:id="458" w:name="_Toc15224"/>
      <w:bookmarkStart w:id="459" w:name="_Toc28404"/>
      <w:bookmarkStart w:id="460" w:name="_Toc10968"/>
      <w:bookmarkStart w:id="461" w:name="_Toc18096"/>
      <w:bookmarkStart w:id="462" w:name="_Toc27271"/>
      <w:bookmarkStart w:id="463" w:name="_Toc9730"/>
      <w:bookmarkStart w:id="464" w:name="_Toc29923"/>
      <w:bookmarkStart w:id="465" w:name="_Toc23314"/>
      <w:bookmarkStart w:id="466" w:name="_Toc16364"/>
      <w:bookmarkStart w:id="467" w:name="_Toc492478849"/>
      <w:bookmarkStart w:id="468" w:name="_Toc9588"/>
      <w:bookmarkStart w:id="469" w:name="_Toc15073"/>
      <w:bookmarkStart w:id="470" w:name="_Toc434"/>
      <w:bookmarkStart w:id="471" w:name="_Toc414290583"/>
      <w:bookmarkStart w:id="472" w:name="_Toc32116"/>
      <w:r>
        <w:rPr>
          <w:rFonts w:hint="eastAsia"/>
          <w:b/>
          <w:sz w:val="24"/>
          <w:szCs w:val="24"/>
        </w:rPr>
        <w:t>附表一 响应性评审表</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spacing w:before="0"/>
        <w:ind w:right="0" w:firstLine="0"/>
        <w:jc w:val="center"/>
        <w:rPr>
          <w:b/>
          <w:sz w:val="24"/>
          <w:szCs w:val="24"/>
        </w:rPr>
      </w:pPr>
      <w:bookmarkStart w:id="473" w:name="_Toc7852"/>
      <w:bookmarkStart w:id="474" w:name="_Toc492478850"/>
      <w:bookmarkStart w:id="475" w:name="_Toc31487"/>
      <w:bookmarkStart w:id="476" w:name="_Toc8945"/>
      <w:bookmarkStart w:id="477" w:name="_Toc5737"/>
      <w:bookmarkStart w:id="478" w:name="_Toc25123"/>
      <w:bookmarkStart w:id="479" w:name="_Toc20215"/>
      <w:bookmarkStart w:id="480" w:name="_Toc9343"/>
      <w:bookmarkStart w:id="481" w:name="_Toc5811"/>
      <w:bookmarkStart w:id="482" w:name="_Toc6102"/>
      <w:bookmarkStart w:id="483" w:name="_Toc1459"/>
      <w:bookmarkStart w:id="484" w:name="_Toc19299"/>
      <w:bookmarkStart w:id="485" w:name="_Toc6612"/>
      <w:bookmarkStart w:id="486" w:name="_Toc191"/>
      <w:bookmarkStart w:id="487" w:name="_Toc15103"/>
      <w:bookmarkStart w:id="488" w:name="_Toc3409"/>
      <w:bookmarkStart w:id="489" w:name="_Toc22635"/>
      <w:bookmarkStart w:id="490" w:name="_Toc29670"/>
      <w:bookmarkStart w:id="491" w:name="_Toc12983557"/>
      <w:bookmarkStart w:id="492" w:name="_Toc12984826"/>
      <w:r>
        <w:rPr>
          <w:rFonts w:hint="eastAsia" w:hAnsi="宋体"/>
          <w:b/>
          <w:sz w:val="24"/>
          <w:szCs w:val="24"/>
        </w:rPr>
        <w:t>响应性</w:t>
      </w:r>
      <w:r>
        <w:rPr>
          <w:rFonts w:hAnsi="宋体"/>
          <w:b/>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1</w:t>
            </w:r>
          </w:p>
        </w:tc>
        <w:tc>
          <w:tcPr>
            <w:tcW w:w="6096" w:type="dxa"/>
            <w:tcBorders>
              <w:top w:val="single" w:color="auto" w:sz="12" w:space="0"/>
            </w:tcBorders>
            <w:vAlign w:val="center"/>
          </w:tcPr>
          <w:p>
            <w:pPr>
              <w:spacing w:line="276" w:lineRule="auto"/>
              <w:ind w:left="0" w:firstLine="0"/>
            </w:pPr>
            <w:r>
              <w:rPr>
                <w:rFonts w:hint="eastAsia" w:ascii="宋体" w:hAnsi="宋体"/>
              </w:rPr>
              <w:t>法定代表人资格证明书及授权书（如无授权时，只需提供法定代表人资格证明书）、法定代表人及被授权人身份证复印件。</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2</w:t>
            </w:r>
          </w:p>
        </w:tc>
        <w:tc>
          <w:tcPr>
            <w:tcW w:w="6096" w:type="dxa"/>
            <w:tcBorders>
              <w:top w:val="single" w:color="auto" w:sz="12" w:space="0"/>
            </w:tcBorders>
            <w:vAlign w:val="center"/>
          </w:tcPr>
          <w:p>
            <w:pPr>
              <w:spacing w:line="276" w:lineRule="auto"/>
              <w:ind w:left="0" w:firstLine="0"/>
            </w:pPr>
            <w:r>
              <w:rPr>
                <w:rFonts w:hint="eastAsia" w:ascii="宋体" w:hAnsi="宋体"/>
              </w:rPr>
              <w:t>营业执照副本或事业单位法人证书等证明文件，并加盖公章。</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3</w:t>
            </w:r>
          </w:p>
        </w:tc>
        <w:tc>
          <w:tcPr>
            <w:tcW w:w="6096" w:type="dxa"/>
            <w:tcBorders>
              <w:top w:val="single" w:color="auto" w:sz="12" w:space="0"/>
            </w:tcBorders>
            <w:vAlign w:val="center"/>
          </w:tcPr>
          <w:p>
            <w:pPr>
              <w:spacing w:line="276" w:lineRule="auto"/>
              <w:ind w:left="0" w:firstLine="0"/>
            </w:pPr>
            <w:r>
              <w:rPr>
                <w:rFonts w:hint="eastAsia" w:ascii="宋体" w:hAnsi="宋体"/>
              </w:rPr>
              <w:t>业绩证明材料（如有）</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4</w:t>
            </w:r>
          </w:p>
        </w:tc>
        <w:tc>
          <w:tcPr>
            <w:tcW w:w="6096" w:type="dxa"/>
            <w:tcBorders>
              <w:top w:val="single" w:color="auto" w:sz="12" w:space="0"/>
            </w:tcBorders>
            <w:vAlign w:val="center"/>
          </w:tcPr>
          <w:p>
            <w:pPr>
              <w:spacing w:line="276" w:lineRule="auto"/>
              <w:ind w:left="0" w:firstLine="0"/>
              <w:rPr>
                <w:rFonts w:ascii="宋体" w:hAnsi="宋体"/>
              </w:rPr>
            </w:pPr>
            <w:r>
              <w:rPr>
                <w:rFonts w:hint="eastAsia" w:ascii="宋体" w:hAnsi="宋体"/>
              </w:rPr>
              <w:t>比选申请人没有处于广西区行政主管部门或业主取消比选申请资格的处罚期内，且没有被责令停业，财产被接管、冻结，破产状态；比选申请截止日前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5</w:t>
            </w:r>
          </w:p>
        </w:tc>
        <w:tc>
          <w:tcPr>
            <w:tcW w:w="6096" w:type="dxa"/>
            <w:tcBorders>
              <w:top w:val="single" w:color="auto" w:sz="12" w:space="0"/>
            </w:tcBorders>
            <w:vAlign w:val="center"/>
          </w:tcPr>
          <w:p>
            <w:pPr>
              <w:spacing w:line="276" w:lineRule="auto"/>
              <w:ind w:left="0" w:firstLine="0"/>
            </w:pPr>
            <w:r>
              <w:rPr>
                <w:rFonts w:hint="eastAsia" w:ascii="宋体" w:hAnsi="宋体"/>
              </w:rPr>
              <w:t>比选申请单位的单位负责人为同一人或者存在控股、管理关系的不同单位，未参加同一标段比选申请或者未划分标段的同一比选项目比选申请。</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6</w:t>
            </w:r>
          </w:p>
        </w:tc>
        <w:tc>
          <w:tcPr>
            <w:tcW w:w="6096" w:type="dxa"/>
            <w:tcBorders>
              <w:top w:val="single" w:color="auto" w:sz="12" w:space="0"/>
            </w:tcBorders>
            <w:vAlign w:val="center"/>
          </w:tcPr>
          <w:p>
            <w:pPr>
              <w:spacing w:line="276" w:lineRule="auto"/>
              <w:ind w:left="0" w:firstLine="0"/>
            </w:pPr>
            <w:r>
              <w:rPr>
                <w:rFonts w:hint="eastAsia" w:ascii="宋体" w:hAnsi="宋体"/>
              </w:rPr>
              <w:t>非联合体比选申请。</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7</w:t>
            </w:r>
          </w:p>
        </w:tc>
        <w:tc>
          <w:tcPr>
            <w:tcW w:w="6096" w:type="dxa"/>
            <w:tcBorders>
              <w:top w:val="single" w:color="auto" w:sz="12" w:space="0"/>
            </w:tcBorders>
            <w:vAlign w:val="center"/>
          </w:tcPr>
          <w:p>
            <w:pPr>
              <w:spacing w:line="276" w:lineRule="auto"/>
              <w:ind w:left="0" w:firstLine="0"/>
            </w:pPr>
            <w:r>
              <w:rPr>
                <w:rFonts w:hint="eastAsia" w:ascii="宋体" w:hAnsi="宋体"/>
              </w:rPr>
              <w:t>未列入比选人不良信用名单的。</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8</w:t>
            </w:r>
          </w:p>
        </w:tc>
        <w:tc>
          <w:tcPr>
            <w:tcW w:w="6096" w:type="dxa"/>
            <w:tcBorders>
              <w:top w:val="single" w:color="auto" w:sz="12" w:space="0"/>
            </w:tcBorders>
            <w:vAlign w:val="center"/>
          </w:tcPr>
          <w:p>
            <w:pPr>
              <w:spacing w:line="276" w:lineRule="auto"/>
              <w:ind w:left="0" w:firstLine="0"/>
            </w:pPr>
            <w:r>
              <w:rPr>
                <w:rFonts w:hint="eastAsia"/>
              </w:rPr>
              <w:t>比选申请文件按规定签署和盖章。</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9</w:t>
            </w:r>
          </w:p>
        </w:tc>
        <w:tc>
          <w:tcPr>
            <w:tcW w:w="6096" w:type="dxa"/>
            <w:tcBorders>
              <w:top w:val="single" w:color="auto" w:sz="12" w:space="0"/>
            </w:tcBorders>
            <w:vAlign w:val="center"/>
          </w:tcPr>
          <w:p>
            <w:pPr>
              <w:spacing w:line="276" w:lineRule="auto"/>
              <w:ind w:left="0" w:firstLine="0"/>
            </w:pPr>
            <w:r>
              <w:rPr>
                <w:rFonts w:hint="eastAsia"/>
              </w:rPr>
              <w:t>比选申请文件的实质性内容按规定格式填写、内容齐全的。</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10</w:t>
            </w:r>
          </w:p>
        </w:tc>
        <w:tc>
          <w:tcPr>
            <w:tcW w:w="6096" w:type="dxa"/>
            <w:tcBorders>
              <w:top w:val="single" w:color="auto" w:sz="12" w:space="0"/>
            </w:tcBorders>
            <w:vAlign w:val="center"/>
          </w:tcPr>
          <w:p>
            <w:pPr>
              <w:spacing w:line="276" w:lineRule="auto"/>
              <w:ind w:left="0" w:firstLine="0"/>
            </w:pPr>
            <w:r>
              <w:rPr>
                <w:rFonts w:hint="eastAsia"/>
              </w:rPr>
              <w:t>在响应文件中未透露有关报价的信息。</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11</w:t>
            </w:r>
          </w:p>
        </w:tc>
        <w:tc>
          <w:tcPr>
            <w:tcW w:w="6096" w:type="dxa"/>
            <w:tcBorders>
              <w:top w:val="single" w:color="auto" w:sz="12" w:space="0"/>
            </w:tcBorders>
            <w:vAlign w:val="center"/>
          </w:tcPr>
          <w:p>
            <w:pPr>
              <w:spacing w:line="276" w:lineRule="auto"/>
              <w:ind w:left="0" w:firstLine="0"/>
            </w:pPr>
            <w:r>
              <w:rPr>
                <w:rFonts w:hint="eastAsia"/>
              </w:rPr>
              <w:t>技术部分响应、偏离情况说明无负偏离的。</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rPr>
                <w:rFonts w:hint="eastAsia"/>
              </w:rPr>
              <w:t>12</w:t>
            </w:r>
          </w:p>
        </w:tc>
        <w:tc>
          <w:tcPr>
            <w:tcW w:w="6096" w:type="dxa"/>
            <w:tcBorders>
              <w:top w:val="single" w:color="auto" w:sz="12" w:space="0"/>
            </w:tcBorders>
            <w:vAlign w:val="center"/>
          </w:tcPr>
          <w:p>
            <w:pPr>
              <w:spacing w:line="276" w:lineRule="auto"/>
              <w:ind w:left="0" w:firstLine="0"/>
            </w:pPr>
            <w:r>
              <w:rPr>
                <w:rFonts w:hint="eastAsia"/>
              </w:rPr>
              <w:t>商务响应表无负偏离的。</w:t>
            </w:r>
          </w:p>
        </w:tc>
        <w:tc>
          <w:tcPr>
            <w:tcW w:w="1134" w:type="dxa"/>
            <w:tcBorders>
              <w:top w:val="single" w:color="auto" w:sz="12" w:space="0"/>
            </w:tcBorders>
          </w:tcPr>
          <w:p>
            <w:pPr>
              <w:ind w:left="0" w:firstLine="0"/>
            </w:pPr>
          </w:p>
        </w:tc>
        <w:tc>
          <w:tcPr>
            <w:tcW w:w="1098" w:type="dxa"/>
            <w:tcBorders>
              <w:top w:val="single" w:color="auto" w:sz="12"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r>
              <w:rPr>
                <w:rFonts w:hint="eastAsia"/>
              </w:rPr>
              <w:t>3</w:t>
            </w:r>
          </w:p>
        </w:tc>
        <w:tc>
          <w:tcPr>
            <w:tcW w:w="6096" w:type="dxa"/>
            <w:vAlign w:val="center"/>
          </w:tcPr>
          <w:p>
            <w:pPr>
              <w:spacing w:line="276" w:lineRule="auto"/>
              <w:ind w:left="0" w:firstLine="0"/>
            </w:pPr>
            <w:r>
              <w:rPr>
                <w:rFonts w:hint="eastAsia"/>
              </w:rPr>
              <w:t>在比选申请文件中无虚假文件或资料的。</w:t>
            </w:r>
          </w:p>
        </w:tc>
        <w:tc>
          <w:tcPr>
            <w:tcW w:w="1134" w:type="dxa"/>
          </w:tcPr>
          <w:p>
            <w:pPr>
              <w:ind w:left="0" w:firstLine="0"/>
            </w:pPr>
          </w:p>
        </w:tc>
        <w:tc>
          <w:tcPr>
            <w:tcW w:w="1098" w:type="dxa"/>
            <w:tcBorders>
              <w:bottom w:val="single" w:color="auto" w:sz="4" w:space="0"/>
            </w:tcBorders>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rPr>
                <w:rFonts w:hint="eastAsia"/>
              </w:rPr>
              <w:t>14</w:t>
            </w:r>
          </w:p>
        </w:tc>
        <w:tc>
          <w:tcPr>
            <w:tcW w:w="6096" w:type="dxa"/>
            <w:vAlign w:val="center"/>
          </w:tcPr>
          <w:p>
            <w:pPr>
              <w:spacing w:line="276" w:lineRule="auto"/>
              <w:ind w:left="0" w:firstLine="0"/>
            </w:pPr>
            <w:r>
              <w:rPr>
                <w:rFonts w:hint="eastAsia"/>
              </w:rPr>
              <w:t>无比选文件、法律、法规规定的其他否决比选申请条件。</w:t>
            </w:r>
          </w:p>
        </w:tc>
        <w:tc>
          <w:tcPr>
            <w:tcW w:w="1134" w:type="dxa"/>
          </w:tcPr>
          <w:p>
            <w:pPr>
              <w:ind w:left="0" w:firstLine="0"/>
            </w:pPr>
          </w:p>
        </w:tc>
        <w:tc>
          <w:tcPr>
            <w:tcW w:w="1098" w:type="dxa"/>
            <w:tcBorders>
              <w:top w:val="single" w:color="auto" w:sz="4" w:space="0"/>
            </w:tcBorders>
            <w:vAlign w:val="center"/>
          </w:tcPr>
          <w:p>
            <w:pPr>
              <w:ind w:left="0" w:firstLine="0"/>
            </w:pPr>
          </w:p>
        </w:tc>
      </w:tr>
    </w:tbl>
    <w:p>
      <w:pPr>
        <w:spacing w:before="0" w:after="0" w:afterAutospacing="0"/>
        <w:ind w:left="0" w:right="0" w:firstLine="0"/>
        <w:jc w:val="left"/>
        <w:rPr>
          <w:rFonts w:hAnsi="宋体"/>
        </w:rPr>
      </w:pPr>
    </w:p>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pPr>
    </w:p>
    <w:p>
      <w:pPr>
        <w:spacing w:before="0"/>
        <w:ind w:right="0" w:firstLine="0"/>
        <w:jc w:val="center"/>
        <w:rPr>
          <w:rFonts w:hAnsi="宋体"/>
          <w:b/>
          <w:sz w:val="24"/>
          <w:szCs w:val="24"/>
        </w:rPr>
      </w:pPr>
      <w:r>
        <w:br w:type="page"/>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Pr>
        <w:spacing w:before="0" w:after="0" w:afterAutospacing="0" w:line="240" w:lineRule="auto"/>
        <w:ind w:left="0" w:right="0" w:firstLine="0"/>
        <w:jc w:val="left"/>
        <w:rPr>
          <w:rFonts w:ascii="宋体" w:hAnsi="宋体"/>
          <w:b/>
        </w:rPr>
        <w:sectPr>
          <w:footerReference r:id="rId7" w:type="default"/>
          <w:pgSz w:w="11905" w:h="16838"/>
          <w:pgMar w:top="1418" w:right="1418" w:bottom="1418" w:left="1418" w:header="454" w:footer="567" w:gutter="0"/>
          <w:cols w:space="720" w:num="1"/>
          <w:docGrid w:linePitch="319" w:charSpace="0"/>
        </w:sectPr>
      </w:pPr>
    </w:p>
    <w:p>
      <w:pPr>
        <w:pageBreakBefore/>
        <w:tabs>
          <w:tab w:val="left" w:pos="640"/>
          <w:tab w:val="left" w:pos="1843"/>
        </w:tabs>
        <w:spacing w:before="0" w:after="0" w:afterAutospacing="0"/>
        <w:ind w:left="0" w:right="0" w:firstLine="0"/>
        <w:outlineLvl w:val="1"/>
        <w:rPr>
          <w:b/>
          <w:sz w:val="24"/>
          <w:szCs w:val="24"/>
        </w:rPr>
      </w:pPr>
      <w:bookmarkStart w:id="493" w:name="_Toc10654"/>
      <w:bookmarkStart w:id="494" w:name="_Toc414290588"/>
      <w:bookmarkStart w:id="495" w:name="_Toc24793"/>
      <w:bookmarkStart w:id="496" w:name="_Toc1145"/>
      <w:bookmarkStart w:id="497" w:name="_Toc22896"/>
      <w:bookmarkStart w:id="498" w:name="_Toc10414"/>
      <w:bookmarkStart w:id="499" w:name="_Toc1480"/>
      <w:bookmarkStart w:id="500" w:name="_Toc8803"/>
      <w:bookmarkStart w:id="501" w:name="_Toc492478858"/>
      <w:bookmarkStart w:id="502" w:name="_Toc11048"/>
      <w:bookmarkStart w:id="503" w:name="_Toc32582"/>
      <w:bookmarkStart w:id="504" w:name="_Toc20211"/>
      <w:bookmarkStart w:id="505" w:name="_Toc6960"/>
      <w:bookmarkStart w:id="506" w:name="_Toc27431"/>
      <w:bookmarkStart w:id="507" w:name="_Toc32725"/>
      <w:bookmarkStart w:id="508" w:name="_Toc6932"/>
      <w:bookmarkStart w:id="509" w:name="_Toc21541"/>
      <w:bookmarkStart w:id="510" w:name="_Toc4223"/>
      <w:bookmarkStart w:id="511" w:name="_Toc22594"/>
      <w:bookmarkStart w:id="512" w:name="_Toc9220"/>
      <w:r>
        <w:rPr>
          <w:rFonts w:hint="eastAsia"/>
          <w:b/>
          <w:sz w:val="24"/>
          <w:szCs w:val="24"/>
        </w:rPr>
        <w:t>附表二</w:t>
      </w:r>
      <w:r>
        <w:rPr>
          <w:b/>
          <w:sz w:val="24"/>
          <w:szCs w:val="24"/>
        </w:rPr>
        <w:t xml:space="preserve">  </w:t>
      </w:r>
      <w:r>
        <w:rPr>
          <w:rFonts w:hint="eastAsia"/>
          <w:b/>
          <w:sz w:val="24"/>
          <w:szCs w:val="24"/>
        </w:rPr>
        <w:t>比选申请价格</w:t>
      </w:r>
      <w:r>
        <w:rPr>
          <w:rFonts w:hint="eastAsia" w:ascii="宋体" w:hAnsi="宋体"/>
          <w:b/>
          <w:sz w:val="24"/>
          <w:szCs w:val="24"/>
        </w:rPr>
        <w:t>评审</w:t>
      </w:r>
      <w:r>
        <w:rPr>
          <w:rFonts w:hint="eastAsia"/>
          <w:b/>
          <w:sz w:val="24"/>
          <w:szCs w:val="24"/>
        </w:rPr>
        <w:t>表</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00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275"/>
        <w:gridCol w:w="1560"/>
        <w:gridCol w:w="1541"/>
        <w:gridCol w:w="1417"/>
        <w:gridCol w:w="714"/>
        <w:gridCol w:w="708"/>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568" w:type="dxa"/>
            <w:tcBorders>
              <w:left w:val="single" w:color="auto" w:sz="4" w:space="0"/>
              <w:bottom w:val="single" w:color="auto" w:sz="4" w:space="0"/>
              <w:right w:val="single" w:color="auto" w:sz="4" w:space="0"/>
            </w:tcBorders>
            <w:vAlign w:val="center"/>
          </w:tcPr>
          <w:p>
            <w:pPr>
              <w:spacing w:line="240" w:lineRule="auto"/>
              <w:ind w:left="0" w:firstLine="0"/>
              <w:rPr>
                <w:rFonts w:ascii="宋体" w:hAnsi="宋体"/>
              </w:rPr>
            </w:pPr>
            <w:r>
              <w:rPr>
                <w:rFonts w:hint="eastAsia" w:ascii="宋体" w:hAnsi="宋体"/>
              </w:rPr>
              <w:t>序号</w:t>
            </w:r>
          </w:p>
        </w:tc>
        <w:tc>
          <w:tcPr>
            <w:tcW w:w="1275" w:type="dxa"/>
            <w:tcBorders>
              <w:left w:val="single" w:color="auto" w:sz="4" w:space="0"/>
              <w:bottom w:val="single" w:color="auto" w:sz="4" w:space="0"/>
              <w:right w:val="single" w:color="auto" w:sz="4" w:space="0"/>
            </w:tcBorders>
            <w:vAlign w:val="center"/>
          </w:tcPr>
          <w:p>
            <w:pPr>
              <w:spacing w:line="240" w:lineRule="auto"/>
              <w:ind w:left="0" w:firstLine="0"/>
              <w:rPr>
                <w:rFonts w:ascii="宋体" w:hAnsi="宋体"/>
              </w:rPr>
            </w:pPr>
            <w:r>
              <w:rPr>
                <w:rFonts w:hint="eastAsia" w:ascii="宋体" w:hAnsi="宋体"/>
              </w:rPr>
              <w:t>比选申请人名称</w:t>
            </w:r>
          </w:p>
        </w:tc>
        <w:tc>
          <w:tcPr>
            <w:tcW w:w="1560" w:type="dxa"/>
            <w:tcBorders>
              <w:left w:val="single" w:color="auto" w:sz="4" w:space="0"/>
              <w:bottom w:val="single" w:color="auto" w:sz="4" w:space="0"/>
              <w:right w:val="single" w:color="auto" w:sz="4" w:space="0"/>
            </w:tcBorders>
            <w:vAlign w:val="center"/>
          </w:tcPr>
          <w:p>
            <w:pPr>
              <w:spacing w:line="240" w:lineRule="auto"/>
              <w:ind w:left="0" w:firstLine="0"/>
              <w:rPr>
                <w:rFonts w:ascii="宋体" w:hAnsi="宋体"/>
              </w:rPr>
            </w:pPr>
            <w:r>
              <w:rPr>
                <w:rFonts w:hint="eastAsia" w:ascii="宋体" w:hAnsi="宋体"/>
              </w:rPr>
              <w:t>比选申请报价（元）</w:t>
            </w:r>
          </w:p>
        </w:tc>
        <w:tc>
          <w:tcPr>
            <w:tcW w:w="154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是否有修正</w:t>
            </w:r>
          </w:p>
        </w:tc>
        <w:tc>
          <w:tcPr>
            <w:tcW w:w="14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评审价（元）</w:t>
            </w:r>
          </w:p>
        </w:tc>
        <w:tc>
          <w:tcPr>
            <w:tcW w:w="71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c>
          <w:tcPr>
            <w:tcW w:w="7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税率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left="0" w:firstLine="0"/>
              <w:jc w:val="center"/>
              <w:rPr>
                <w:rFonts w:ascii="宋体" w:hAnsi="宋体"/>
              </w:rPr>
            </w:pPr>
            <w:r>
              <w:rPr>
                <w:rFonts w:hint="eastAsia" w:ascii="宋体" w:hAnsi="宋体"/>
              </w:rPr>
              <w:t>评审情况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left="0" w:firstLine="0"/>
              <w:jc w:val="center"/>
              <w:rPr>
                <w:rFonts w:ascii="宋体" w:hAnsi="宋体"/>
              </w:rPr>
            </w:pPr>
            <w:r>
              <w:rPr>
                <w:rFonts w:hint="eastAsia" w:ascii="宋体" w:hAnsi="宋体"/>
              </w:rPr>
              <w:t>是否有效报价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8" w:type="dxa"/>
            <w:tcBorders>
              <w:left w:val="single" w:color="auto" w:sz="4" w:space="0"/>
              <w:right w:val="single" w:color="auto" w:sz="4" w:space="0"/>
            </w:tcBorders>
            <w:vAlign w:val="center"/>
          </w:tcPr>
          <w:p>
            <w:pPr>
              <w:ind w:left="0" w:firstLine="0"/>
              <w:rPr>
                <w:rFonts w:ascii="宋体" w:hAnsi="宋体"/>
              </w:rPr>
            </w:pPr>
          </w:p>
        </w:tc>
        <w:tc>
          <w:tcPr>
            <w:tcW w:w="1275" w:type="dxa"/>
            <w:tcBorders>
              <w:left w:val="single" w:color="auto" w:sz="4" w:space="0"/>
              <w:right w:val="single" w:color="auto" w:sz="4" w:space="0"/>
            </w:tcBorders>
            <w:vAlign w:val="center"/>
          </w:tcPr>
          <w:p>
            <w:pPr>
              <w:ind w:left="0" w:firstLine="0"/>
              <w:rPr>
                <w:rFonts w:ascii="宋体" w:hAnsi="宋体"/>
              </w:rPr>
            </w:pPr>
          </w:p>
        </w:tc>
        <w:tc>
          <w:tcPr>
            <w:tcW w:w="1560" w:type="dxa"/>
            <w:tcBorders>
              <w:left w:val="single" w:color="auto" w:sz="4" w:space="0"/>
              <w:right w:val="single" w:color="auto" w:sz="4" w:space="0"/>
            </w:tcBorders>
            <w:vAlign w:val="center"/>
          </w:tcPr>
          <w:p>
            <w:pPr>
              <w:ind w:left="0" w:firstLine="0"/>
              <w:rPr>
                <w:rFonts w:ascii="宋体" w:hAnsi="宋体"/>
              </w:rPr>
            </w:pPr>
          </w:p>
        </w:tc>
        <w:tc>
          <w:tcPr>
            <w:tcW w:w="1541"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417"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71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5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1275"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1560"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154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1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8" w:type="dxa"/>
            <w:tcBorders>
              <w:left w:val="single" w:color="auto" w:sz="4" w:space="0"/>
              <w:right w:val="single" w:color="auto" w:sz="4" w:space="0"/>
            </w:tcBorders>
            <w:vAlign w:val="center"/>
          </w:tcPr>
          <w:p>
            <w:pPr>
              <w:ind w:left="0" w:firstLine="0"/>
              <w:rPr>
                <w:rFonts w:ascii="宋体" w:hAnsi="宋体"/>
              </w:rPr>
            </w:pPr>
          </w:p>
        </w:tc>
        <w:tc>
          <w:tcPr>
            <w:tcW w:w="1275" w:type="dxa"/>
            <w:tcBorders>
              <w:left w:val="single" w:color="auto" w:sz="4" w:space="0"/>
              <w:right w:val="single" w:color="auto" w:sz="4" w:space="0"/>
            </w:tcBorders>
            <w:vAlign w:val="center"/>
          </w:tcPr>
          <w:p>
            <w:pPr>
              <w:ind w:left="0" w:firstLine="0"/>
              <w:rPr>
                <w:rFonts w:ascii="宋体" w:hAnsi="宋体"/>
              </w:rPr>
            </w:pPr>
          </w:p>
        </w:tc>
        <w:tc>
          <w:tcPr>
            <w:tcW w:w="1560" w:type="dxa"/>
            <w:tcBorders>
              <w:left w:val="single" w:color="auto" w:sz="4" w:space="0"/>
              <w:right w:val="single" w:color="auto" w:sz="4" w:space="0"/>
            </w:tcBorders>
            <w:vAlign w:val="center"/>
          </w:tcPr>
          <w:p>
            <w:pPr>
              <w:ind w:left="0" w:firstLine="0"/>
              <w:rPr>
                <w:rFonts w:ascii="宋体" w:hAnsi="宋体"/>
              </w:rPr>
            </w:pPr>
          </w:p>
        </w:tc>
        <w:tc>
          <w:tcPr>
            <w:tcW w:w="154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1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8" w:type="dxa"/>
            <w:tcBorders>
              <w:left w:val="single" w:color="auto" w:sz="4" w:space="0"/>
              <w:right w:val="single" w:color="auto" w:sz="4" w:space="0"/>
            </w:tcBorders>
            <w:vAlign w:val="center"/>
          </w:tcPr>
          <w:p>
            <w:pPr>
              <w:ind w:left="0" w:firstLine="0"/>
              <w:rPr>
                <w:rFonts w:ascii="宋体" w:hAnsi="宋体"/>
              </w:rPr>
            </w:pPr>
          </w:p>
        </w:tc>
        <w:tc>
          <w:tcPr>
            <w:tcW w:w="1275" w:type="dxa"/>
            <w:tcBorders>
              <w:left w:val="single" w:color="auto" w:sz="4" w:space="0"/>
              <w:right w:val="single" w:color="auto" w:sz="4" w:space="0"/>
            </w:tcBorders>
            <w:vAlign w:val="center"/>
          </w:tcPr>
          <w:p>
            <w:pPr>
              <w:ind w:left="0" w:firstLine="0"/>
              <w:rPr>
                <w:rFonts w:ascii="宋体" w:hAnsi="宋体"/>
              </w:rPr>
            </w:pPr>
          </w:p>
        </w:tc>
        <w:tc>
          <w:tcPr>
            <w:tcW w:w="1560" w:type="dxa"/>
            <w:tcBorders>
              <w:left w:val="single" w:color="auto" w:sz="4" w:space="0"/>
              <w:right w:val="single" w:color="auto" w:sz="4" w:space="0"/>
            </w:tcBorders>
            <w:vAlign w:val="center"/>
          </w:tcPr>
          <w:p>
            <w:pPr>
              <w:ind w:left="0" w:firstLine="0"/>
              <w:rPr>
                <w:rFonts w:ascii="宋体" w:hAnsi="宋体"/>
              </w:rPr>
            </w:pPr>
          </w:p>
        </w:tc>
        <w:tc>
          <w:tcPr>
            <w:tcW w:w="154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1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jc w:val="center"/>
        </w:trPr>
        <w:tc>
          <w:tcPr>
            <w:tcW w:w="10051" w:type="dxa"/>
            <w:gridSpan w:val="9"/>
            <w:tcBorders>
              <w:left w:val="single" w:color="auto" w:sz="4" w:space="0"/>
              <w:right w:val="single" w:color="auto" w:sz="4" w:space="0"/>
            </w:tcBorders>
          </w:tcPr>
          <w:p>
            <w:pPr>
              <w:spacing w:line="240" w:lineRule="auto"/>
              <w:ind w:left="0" w:firstLine="0"/>
              <w:jc w:val="left"/>
              <w:rPr>
                <w:rFonts w:ascii="宋体" w:hAnsi="宋体"/>
              </w:rPr>
            </w:pPr>
            <w:r>
              <w:rPr>
                <w:rFonts w:hint="eastAsia" w:ascii="宋体" w:hAnsi="宋体"/>
              </w:rPr>
              <w:t>本项目不含税上限控制价为人民币 XX 元。</w:t>
            </w:r>
          </w:p>
          <w:p>
            <w:pPr>
              <w:spacing w:line="240" w:lineRule="auto"/>
              <w:ind w:left="0" w:firstLine="0"/>
              <w:jc w:val="left"/>
              <w:rPr>
                <w:rFonts w:ascii="宋体" w:hAnsi="宋体"/>
              </w:rPr>
            </w:pPr>
            <w:r>
              <w:rPr>
                <w:rFonts w:hint="eastAsia" w:ascii="宋体" w:hAnsi="宋体"/>
              </w:rPr>
              <w:t>【如有分项控制价】（其中：XX项单项控制价为XX元）</w:t>
            </w:r>
          </w:p>
        </w:tc>
      </w:tr>
    </w:tbl>
    <w:p>
      <w:pPr>
        <w:spacing w:before="0" w:after="0" w:afterAutospacing="0"/>
        <w:ind w:left="0" w:right="0" w:firstLine="0"/>
        <w:jc w:val="left"/>
        <w:rPr>
          <w:rFonts w:ascii="宋体" w:hAnsi="宋体"/>
        </w:rPr>
      </w:pPr>
      <w:r>
        <w:rPr>
          <w:rFonts w:hint="eastAsia" w:ascii="宋体" w:hAnsi="宋体"/>
        </w:rPr>
        <w:t>注：</w:t>
      </w:r>
    </w:p>
    <w:p>
      <w:pPr>
        <w:spacing w:before="0" w:after="0" w:afterAutospacing="0"/>
        <w:ind w:left="0" w:right="0" w:firstLine="420" w:firstLineChars="200"/>
        <w:jc w:val="left"/>
        <w:rPr>
          <w:rFonts w:ascii="宋体" w:hAnsi="宋体"/>
        </w:rPr>
      </w:pPr>
      <w:r>
        <w:rPr>
          <w:rFonts w:hint="eastAsia" w:ascii="宋体" w:hAnsi="宋体"/>
        </w:rPr>
        <w:t>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2.评审情况填写比选申请文件报价审查情况（是否有效报价），如有无选择性报价、是否超控制价情况、有无缺漏项清单等。</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0" w:right="0" w:firstLine="0"/>
        <w:jc w:val="left"/>
        <w:rPr>
          <w:rFonts w:ascii="宋体" w:hAnsi="宋体"/>
        </w:rPr>
      </w:pPr>
    </w:p>
    <w:p>
      <w:pPr>
        <w:pageBreakBefore/>
        <w:tabs>
          <w:tab w:val="left" w:pos="640"/>
          <w:tab w:val="left" w:pos="1843"/>
        </w:tabs>
        <w:spacing w:before="0" w:after="0" w:afterAutospacing="0"/>
        <w:ind w:left="0" w:right="0" w:firstLine="0"/>
        <w:outlineLvl w:val="1"/>
        <w:rPr>
          <w:rFonts w:hint="eastAsia"/>
          <w:b/>
          <w:sz w:val="24"/>
          <w:szCs w:val="24"/>
        </w:rPr>
      </w:pPr>
      <w:bookmarkStart w:id="513" w:name="_Toc14865"/>
      <w:r>
        <w:rPr>
          <w:rFonts w:hint="eastAsia"/>
          <w:b/>
          <w:sz w:val="24"/>
          <w:szCs w:val="24"/>
        </w:rPr>
        <w:t>附表三：比选申请报价修正表</w:t>
      </w:r>
      <w:bookmarkEnd w:id="513"/>
    </w:p>
    <w:p>
      <w:pPr>
        <w:spacing w:before="0" w:after="0" w:afterAutospacing="0"/>
        <w:ind w:left="0" w:right="0" w:firstLine="482" w:firstLineChars="200"/>
        <w:jc w:val="left"/>
        <w:rPr>
          <w:rFonts w:hint="eastAsia"/>
          <w:b/>
          <w:sz w:val="24"/>
          <w:szCs w:val="24"/>
        </w:rPr>
      </w:pPr>
    </w:p>
    <w:p>
      <w:pPr>
        <w:spacing w:before="159"/>
        <w:ind w:right="-57" w:firstLine="0"/>
        <w:jc w:val="center"/>
        <w:rPr>
          <w:rFonts w:ascii="宋体" w:hAnsi="宋体"/>
          <w:b/>
          <w:sz w:val="28"/>
          <w:szCs w:val="28"/>
        </w:rPr>
      </w:pPr>
      <w:r>
        <w:rPr>
          <w:rFonts w:hint="eastAsia" w:ascii="宋体" w:hAnsi="宋体"/>
          <w:b/>
          <w:sz w:val="28"/>
          <w:szCs w:val="28"/>
        </w:rPr>
        <w:t>比选申请报价修正表</w:t>
      </w:r>
    </w:p>
    <w:tbl>
      <w:tblPr>
        <w:tblStyle w:val="26"/>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701"/>
        <w:gridCol w:w="2694"/>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left w:val="single" w:color="auto" w:sz="4" w:space="0"/>
              <w:bottom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清单编号</w:t>
            </w:r>
          </w:p>
        </w:tc>
        <w:tc>
          <w:tcPr>
            <w:tcW w:w="1701" w:type="dxa"/>
            <w:tcBorders>
              <w:left w:val="single" w:color="auto" w:sz="4" w:space="0"/>
              <w:bottom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修正项目</w:t>
            </w:r>
          </w:p>
        </w:tc>
        <w:tc>
          <w:tcPr>
            <w:tcW w:w="2694" w:type="dxa"/>
            <w:tcBorders>
              <w:left w:val="single" w:color="auto" w:sz="4" w:space="0"/>
              <w:bottom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修正前比选申请报价</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1701"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2694"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1701"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2694"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1701"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2694"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1701"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2694"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1701"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2694"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2376"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修正前比选申请报价总价：</w:t>
            </w:r>
          </w:p>
        </w:tc>
        <w:tc>
          <w:tcPr>
            <w:tcW w:w="6946"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2376"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修正后比选申请报价总价：</w:t>
            </w:r>
          </w:p>
        </w:tc>
        <w:tc>
          <w:tcPr>
            <w:tcW w:w="6946"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2376"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6946"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2376"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6946"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2376"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比选申请人代表签字</w:t>
            </w:r>
          </w:p>
        </w:tc>
        <w:tc>
          <w:tcPr>
            <w:tcW w:w="6946"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p>
    <w:p>
      <w:pPr>
        <w:spacing w:before="0" w:after="0" w:afterAutospacing="0"/>
        <w:ind w:left="0" w:right="0" w:firstLine="420" w:firstLineChars="200"/>
        <w:jc w:val="left"/>
        <w:rPr>
          <w:rFonts w:ascii="宋体" w:hAnsi="宋体"/>
        </w:rPr>
      </w:pPr>
      <w:r>
        <w:rPr>
          <w:rFonts w:hint="eastAsia" w:ascii="宋体" w:hAnsi="宋体"/>
        </w:rPr>
        <w:t>注：</w:t>
      </w:r>
    </w:p>
    <w:p>
      <w:pPr>
        <w:spacing w:before="0" w:after="0" w:afterAutospacing="0"/>
        <w:ind w:left="0" w:right="0" w:firstLine="420" w:firstLineChars="200"/>
        <w:jc w:val="left"/>
        <w:rPr>
          <w:rFonts w:ascii="宋体" w:hAnsi="宋体"/>
        </w:rPr>
      </w:pPr>
      <w:r>
        <w:rPr>
          <w:rFonts w:hint="eastAsia" w:ascii="宋体" w:hAnsi="宋体"/>
        </w:rPr>
        <w:t>1.评审总价以修正后的总价为准。</w:t>
      </w:r>
    </w:p>
    <w:p>
      <w:pPr>
        <w:spacing w:before="0" w:after="0" w:afterAutospacing="0"/>
        <w:ind w:left="0" w:right="0" w:firstLine="420" w:firstLineChars="200"/>
        <w:jc w:val="left"/>
        <w:rPr>
          <w:rFonts w:ascii="宋体" w:hAnsi="宋体"/>
        </w:rPr>
      </w:pPr>
      <w:r>
        <w:rPr>
          <w:rFonts w:hint="eastAsia" w:ascii="宋体" w:hAnsi="宋体"/>
        </w:rPr>
        <w:t>2.如比选申请人不接受按以上规则确定的评审总价和中选价，则其比选申请将被拒绝。</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ind w:right="-57" w:firstLine="0"/>
        <w:rPr>
          <w:rFonts w:ascii="宋体" w:hAnsi="宋体"/>
        </w:rPr>
      </w:pPr>
    </w:p>
    <w:p>
      <w:pPr>
        <w:ind w:right="-57" w:firstLine="0"/>
        <w:rPr>
          <w:rFonts w:ascii="宋体" w:hAnsi="宋体"/>
        </w:rPr>
      </w:pPr>
    </w:p>
    <w:p>
      <w:pPr>
        <w:pStyle w:val="11"/>
        <w:pageBreakBefore/>
        <w:ind w:right="-57" w:firstLine="0"/>
        <w:jc w:val="center"/>
        <w:outlineLvl w:val="0"/>
        <w:rPr>
          <w:rStyle w:val="39"/>
          <w:rFonts w:ascii="宋体" w:hAnsi="宋体" w:eastAsia="宋体"/>
        </w:rPr>
      </w:pPr>
      <w:bookmarkStart w:id="514" w:name="_Toc15740"/>
      <w:bookmarkStart w:id="515" w:name="_Toc1179"/>
      <w:bookmarkStart w:id="516" w:name="_Toc12281"/>
      <w:bookmarkStart w:id="517" w:name="_Toc13323"/>
      <w:bookmarkStart w:id="518" w:name="_Toc9458"/>
      <w:bookmarkStart w:id="519" w:name="_Toc23292"/>
      <w:bookmarkStart w:id="520" w:name="_Toc21919"/>
      <w:bookmarkStart w:id="521" w:name="_Toc11424"/>
      <w:bookmarkStart w:id="522" w:name="_Toc7547"/>
      <w:bookmarkStart w:id="523" w:name="_Toc17022"/>
      <w:bookmarkStart w:id="524" w:name="_Toc16340"/>
      <w:bookmarkStart w:id="525" w:name="_Toc4003"/>
      <w:bookmarkStart w:id="526" w:name="_Toc9991"/>
      <w:bookmarkStart w:id="527" w:name="_Toc25920"/>
      <w:bookmarkStart w:id="528" w:name="_Toc9725"/>
      <w:bookmarkStart w:id="529" w:name="_Toc14991"/>
      <w:bookmarkStart w:id="530" w:name="_Toc28464"/>
      <w:bookmarkStart w:id="531" w:name="_Toc13342"/>
      <w:r>
        <w:rPr>
          <w:rStyle w:val="39"/>
          <w:rFonts w:hint="eastAsia" w:ascii="宋体" w:hAnsi="宋体" w:eastAsia="宋体"/>
        </w:rPr>
        <w:t>第三章合同条款及格式</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39"/>
          <w:rFonts w:hint="eastAsia" w:ascii="宋体" w:hAnsi="宋体" w:eastAsia="宋体"/>
        </w:rPr>
        <w:t>（可根据项目情况自行调整）</w:t>
      </w:r>
      <w:bookmarkEnd w:id="531"/>
    </w:p>
    <w:p>
      <w:pPr>
        <w:spacing w:before="0"/>
        <w:ind w:right="0" w:firstLine="200"/>
        <w:jc w:val="center"/>
        <w:outlineLvl w:val="1"/>
        <w:rPr>
          <w:rFonts w:ascii="宋体" w:hAnsi="宋体"/>
          <w:b/>
          <w:sz w:val="24"/>
          <w:szCs w:val="24"/>
        </w:rPr>
      </w:pPr>
      <w:bookmarkStart w:id="532" w:name="_Toc32403"/>
      <w:bookmarkStart w:id="533" w:name="_Toc31368"/>
      <w:bookmarkStart w:id="534" w:name="_Toc4026"/>
      <w:bookmarkStart w:id="535" w:name="_Toc6950"/>
      <w:bookmarkStart w:id="536" w:name="_Toc25828"/>
      <w:bookmarkStart w:id="537" w:name="_Toc20060"/>
      <w:bookmarkStart w:id="538" w:name="_Toc14463"/>
      <w:bookmarkStart w:id="539" w:name="_Toc7587"/>
      <w:bookmarkStart w:id="540" w:name="_Toc12983547"/>
      <w:bookmarkStart w:id="541" w:name="_Toc6190"/>
      <w:bookmarkStart w:id="542" w:name="_Toc2618"/>
      <w:bookmarkStart w:id="543" w:name="_Toc3488"/>
      <w:bookmarkStart w:id="544" w:name="_Toc1289"/>
      <w:bookmarkStart w:id="545" w:name="_Toc13761"/>
      <w:bookmarkStart w:id="546" w:name="_Toc7236"/>
      <w:bookmarkStart w:id="547" w:name="_Toc8999"/>
      <w:bookmarkStart w:id="548" w:name="_Toc29797"/>
      <w:bookmarkStart w:id="549" w:name="_Toc15840"/>
      <w:bookmarkStart w:id="550" w:name="_Toc17696"/>
      <w:r>
        <w:rPr>
          <w:rFonts w:hint="eastAsia" w:ascii="宋体" w:hAnsi="宋体"/>
          <w:b/>
          <w:sz w:val="24"/>
          <w:szCs w:val="24"/>
        </w:rPr>
        <w:t>一、合同协议书</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spacing w:before="0" w:after="0" w:afterAutospacing="0"/>
        <w:ind w:left="0" w:right="0" w:firstLine="420" w:firstLineChars="200"/>
        <w:jc w:val="left"/>
        <w:rPr>
          <w:rFonts w:ascii="宋体" w:hAnsi="宋体"/>
          <w:u w:val="single"/>
        </w:rPr>
      </w:pPr>
      <w:r>
        <w:rPr>
          <w:rFonts w:hint="eastAsia" w:ascii="宋体" w:hAnsi="宋体"/>
        </w:rPr>
        <w:t>甲方（全称）：南宁轨道交通集团有限责任公司</w:t>
      </w:r>
    </w:p>
    <w:p>
      <w:pPr>
        <w:spacing w:before="0" w:after="0" w:afterAutospacing="0"/>
        <w:ind w:left="0" w:right="0" w:firstLine="420" w:firstLineChars="200"/>
        <w:jc w:val="left"/>
        <w:rPr>
          <w:rFonts w:ascii="宋体" w:hAnsi="宋体"/>
        </w:rPr>
      </w:pPr>
      <w:r>
        <w:rPr>
          <w:rFonts w:hint="eastAsia" w:ascii="宋体" w:hAnsi="宋体"/>
        </w:rPr>
        <w:t>乙方（全称）：</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南宁轨道交通2021年出入口安全划线标识采购项目</w:t>
      </w:r>
      <w:r>
        <w:rPr>
          <w:rFonts w:hint="eastAsia" w:ascii="宋体" w:hAnsi="宋体"/>
        </w:rPr>
        <w:t>（项目编号：</w:t>
      </w:r>
      <w:r>
        <w:rPr>
          <w:rFonts w:hint="eastAsia" w:ascii="宋体" w:hAnsi="宋体"/>
          <w:u w:val="single"/>
        </w:rPr>
        <w:t>202105060010</w:t>
      </w:r>
      <w:r>
        <w:rPr>
          <w:rFonts w:hint="eastAsia" w:ascii="宋体" w:hAnsi="宋体"/>
        </w:rPr>
        <w:t>）比选结果，依据《中华人民共和国合同法》的规定，签订协议。具体内容如下：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项目名称：南宁轨道交通2021年出入口安全划线标识采购项目</w:t>
      </w:r>
    </w:p>
    <w:p>
      <w:pPr>
        <w:tabs>
          <w:tab w:val="left" w:pos="1134"/>
          <w:tab w:val="left" w:pos="1680"/>
        </w:tabs>
        <w:spacing w:before="0" w:after="0" w:afterAutospacing="0"/>
        <w:ind w:left="0" w:right="0" w:firstLine="420"/>
        <w:rPr>
          <w:rFonts w:ascii="宋体" w:hAnsi="宋体" w:cs="Arial"/>
          <w:highlight w:val="none"/>
        </w:rPr>
      </w:pPr>
      <w:r>
        <w:rPr>
          <w:rFonts w:hint="eastAsia" w:ascii="宋体" w:hAnsi="宋体" w:cs="Arial"/>
          <w:highlight w:val="none"/>
        </w:rPr>
        <w:t>1.2项目实施地点：</w:t>
      </w:r>
      <w:r>
        <w:rPr>
          <w:rFonts w:hint="eastAsia" w:ascii="宋体" w:hAnsi="宋体"/>
          <w:highlight w:val="none"/>
        </w:rPr>
        <w:t>广西壮族自治区南宁市内比选人指定地点</w:t>
      </w:r>
    </w:p>
    <w:p>
      <w:pPr>
        <w:tabs>
          <w:tab w:val="left" w:pos="1134"/>
          <w:tab w:val="left" w:pos="1680"/>
        </w:tabs>
        <w:spacing w:before="0" w:after="0" w:afterAutospacing="0"/>
        <w:ind w:left="0" w:right="0" w:firstLine="420"/>
        <w:rPr>
          <w:rFonts w:hint="eastAsia" w:ascii="宋体" w:hAnsi="宋体" w:eastAsia="宋体" w:cs="Arial"/>
          <w:highlight w:val="none"/>
          <w:lang w:eastAsia="zh-CN"/>
        </w:rPr>
      </w:pPr>
      <w:r>
        <w:rPr>
          <w:rFonts w:hint="eastAsia" w:ascii="宋体" w:hAnsi="宋体" w:cs="Arial"/>
          <w:highlight w:val="none"/>
        </w:rPr>
        <w:t>1.3项目范围：</w:t>
      </w:r>
      <w:r>
        <w:rPr>
          <w:rFonts w:hint="eastAsia" w:ascii="宋体" w:hAnsi="宋体" w:cs="Arial"/>
          <w:highlight w:val="none"/>
          <w:lang w:eastAsia="zh-CN"/>
        </w:rPr>
        <w:t>南宁市内</w:t>
      </w:r>
    </w:p>
    <w:p>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hint="eastAsia" w:ascii="宋体" w:hAnsi="宋体" w:cs="Arial"/>
          <w:b/>
        </w:rPr>
        <w:t>合同标的</w:t>
      </w:r>
    </w:p>
    <w:p>
      <w:pPr>
        <w:tabs>
          <w:tab w:val="left" w:pos="1134"/>
          <w:tab w:val="left" w:pos="1680"/>
        </w:tabs>
        <w:spacing w:before="0" w:after="0" w:afterAutospacing="0"/>
        <w:ind w:left="0" w:right="0" w:firstLine="420"/>
      </w:pPr>
      <w:r>
        <w:rPr>
          <w:rFonts w:hint="eastAsia"/>
        </w:rPr>
        <w:t>甲方同意接受，乙方同意作为中选方并以下列第</w:t>
      </w:r>
      <w:r>
        <w:rPr>
          <w:rFonts w:hint="eastAsia"/>
          <w:lang w:val="en-US" w:eastAsia="zh-CN"/>
        </w:rPr>
        <w:t>3</w:t>
      </w:r>
      <w:r>
        <w:rPr>
          <w:rFonts w:hint="eastAsia"/>
        </w:rPr>
        <w:t>条所述价格提供（南宁轨道交通2021年出入口安全划线标识采购项目）项下的货物和服务。。</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rPr>
      </w:pPr>
      <w:r>
        <w:rPr>
          <w:rFonts w:hint="eastAsia" w:ascii="宋体" w:hAnsi="宋体"/>
        </w:rPr>
        <w:t>本项目合同价格为：不含税价：人民币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w:t>
      </w:r>
      <w:r>
        <w:rPr>
          <w:rFonts w:hint="eastAsia" w:ascii="宋体" w:hAnsi="宋体"/>
          <w:lang w:eastAsia="zh-CN"/>
        </w:rPr>
        <w:t>总价包干</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rPr>
      </w:pPr>
      <w:r>
        <w:rPr>
          <w:rFonts w:ascii="宋体" w:hAnsi="宋体"/>
          <w:b/>
        </w:rPr>
        <w:t>4.本合同由下列文件构成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5.</w:t>
      </w:r>
      <w:r>
        <w:rPr>
          <w:rFonts w:hint="eastAsia"/>
        </w:rPr>
        <w:t xml:space="preserve"> 乙方向甲方承诺严格履行合同条款义务，按合同约定承担本合同责任</w:t>
      </w:r>
      <w:r>
        <w:rPr>
          <w:rFonts w:hint="eastAsia" w:ascii="宋体" w:hAnsi="宋体" w:cs="Arial"/>
        </w:rPr>
        <w:t>。</w:t>
      </w:r>
    </w:p>
    <w:p>
      <w:pPr>
        <w:spacing w:before="0" w:after="0" w:afterAutospacing="0"/>
        <w:ind w:left="0" w:right="0" w:firstLine="420" w:firstLineChars="200"/>
      </w:pPr>
      <w:r>
        <w:rPr>
          <w:rFonts w:hint="eastAsia" w:ascii="宋体" w:hAnsi="宋体" w:cs="Arial"/>
        </w:rPr>
        <w:t>6.</w:t>
      </w:r>
      <w:r>
        <w:rPr>
          <w:rFonts w:hint="eastAsia"/>
        </w:rPr>
        <w:t xml:space="preserve"> 双方依据本次比选文件中的用户需求书，通过合同澄清最终形成技术规格书，并经双方正式签署后构成本合同的有效组成部分。在本合同执行中以技术规格书为准。</w:t>
      </w:r>
    </w:p>
    <w:p>
      <w:pPr>
        <w:spacing w:before="0" w:after="0" w:afterAutospacing="0"/>
        <w:ind w:left="0" w:right="0" w:firstLine="420" w:firstLineChars="200"/>
        <w:rPr>
          <w:rFonts w:ascii="宋体" w:hAnsi="宋体"/>
        </w:rPr>
      </w:pPr>
      <w:r>
        <w:rPr>
          <w:rFonts w:hint="eastAsia" w:ascii="宋体" w:hAnsi="宋体"/>
        </w:rPr>
        <w:t>7.</w:t>
      </w:r>
      <w:r>
        <w:rPr>
          <w:rFonts w:hint="eastAsia" w:ascii="宋体" w:hAnsi="宋体" w:cs="Arial"/>
        </w:rPr>
        <w:t xml:space="preserve"> </w:t>
      </w:r>
      <w:r>
        <w:rPr>
          <w:rFonts w:hint="eastAsia"/>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10.本合同用中文书写，正本2份，甲、乙方各1份；副本10份，甲方持8份，乙方持2份。。</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w:t>
      </w:r>
      <w:r>
        <w:rPr>
          <w:rFonts w:hint="eastAsia"/>
        </w:rPr>
        <w:t>在合同协议书上</w:t>
      </w:r>
      <w:r>
        <w:rPr>
          <w:rFonts w:hint="eastAsia" w:ascii="宋体" w:hAnsi="宋体" w:cs="Arial"/>
        </w:rPr>
        <w:t>签字并加盖单位公章后生效。</w:t>
      </w:r>
    </w:p>
    <w:p>
      <w:pPr>
        <w:spacing w:before="0" w:after="0" w:afterAutospacing="0"/>
        <w:ind w:left="0" w:right="0" w:firstLine="420" w:firstLineChars="200"/>
        <w:rPr>
          <w:rFonts w:ascii="宋体" w:hAnsi="宋体" w:cs="Arial"/>
        </w:rPr>
      </w:pPr>
      <w:r>
        <w:rPr>
          <w:rFonts w:hint="eastAsia" w:ascii="宋体" w:hAnsi="宋体" w:cs="Arial"/>
        </w:rPr>
        <w:t>12.</w:t>
      </w:r>
      <w:r>
        <w:rPr>
          <w:rFonts w:hint="eastAsia"/>
        </w:rPr>
        <w:t xml:space="preserve"> 合同未尽事宜，双方另行签订补充协议。</w:t>
      </w: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法定代表人或授权人：谭文举</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邮政编码：530022</w:t>
            </w:r>
          </w:p>
          <w:p>
            <w:pPr>
              <w:pStyle w:val="11"/>
              <w:spacing w:before="0" w:after="0"/>
              <w:ind w:right="0"/>
              <w:rPr>
                <w:rFonts w:hint="eastAsia" w:hAnsi="宋体" w:eastAsia="宋体" w:cs="Courier New"/>
                <w:sz w:val="21"/>
                <w:szCs w:val="21"/>
                <w:lang w:eastAsia="zh-CN"/>
              </w:rPr>
            </w:pPr>
            <w:r>
              <w:rPr>
                <w:rFonts w:hint="eastAsia" w:hAnsi="宋体" w:cs="Courier New"/>
                <w:sz w:val="21"/>
                <w:szCs w:val="21"/>
              </w:rPr>
              <w:t>联系人：</w:t>
            </w:r>
            <w:r>
              <w:rPr>
                <w:rFonts w:hint="eastAsia" w:hAnsi="宋体" w:cs="Courier New"/>
                <w:sz w:val="21"/>
                <w:szCs w:val="21"/>
                <w:lang w:eastAsia="zh-CN"/>
              </w:rPr>
              <w:t>殷智</w:t>
            </w:r>
          </w:p>
          <w:p>
            <w:pPr>
              <w:pStyle w:val="11"/>
              <w:spacing w:before="0" w:after="0"/>
              <w:ind w:right="0"/>
              <w:rPr>
                <w:rFonts w:hAnsi="宋体" w:cs="Courier New"/>
                <w:sz w:val="21"/>
                <w:szCs w:val="21"/>
                <w:u w:val="single"/>
              </w:rPr>
            </w:pPr>
            <w:r>
              <w:rPr>
                <w:rFonts w:hint="eastAsia" w:hAnsi="宋体" w:cs="Courier New"/>
                <w:sz w:val="21"/>
                <w:szCs w:val="21"/>
              </w:rPr>
              <w:t>联系电话： 18978960568</w:t>
            </w:r>
          </w:p>
          <w:p>
            <w:pPr>
              <w:pStyle w:val="11"/>
              <w:spacing w:before="0" w:after="0"/>
              <w:ind w:right="0"/>
              <w:rPr>
                <w:rFonts w:hint="eastAsia" w:hAnsi="宋体" w:eastAsia="宋体" w:cs="Courier New"/>
                <w:sz w:val="21"/>
                <w:szCs w:val="21"/>
                <w:u w:val="single"/>
                <w:lang w:val="en-US" w:eastAsia="zh-CN"/>
              </w:rPr>
            </w:pPr>
            <w:r>
              <w:rPr>
                <w:rFonts w:hint="eastAsia" w:hAnsi="宋体" w:cs="Courier New"/>
                <w:sz w:val="21"/>
                <w:szCs w:val="21"/>
              </w:rPr>
              <w:t>传真：</w:t>
            </w:r>
            <w:r>
              <w:rPr>
                <w:rFonts w:hint="eastAsia" w:hAnsi="宋体" w:cs="Courier New"/>
                <w:sz w:val="21"/>
                <w:szCs w:val="21"/>
                <w:lang w:val="en-US" w:eastAsia="zh-CN"/>
              </w:rPr>
              <w:t>/</w:t>
            </w:r>
          </w:p>
          <w:p>
            <w:pPr>
              <w:pStyle w:val="11"/>
              <w:spacing w:before="0" w:after="0"/>
              <w:ind w:right="0"/>
              <w:rPr>
                <w:rFonts w:hAnsi="宋体" w:cs="Courier New"/>
                <w:sz w:val="21"/>
                <w:szCs w:val="21"/>
              </w:rPr>
            </w:pPr>
            <w:r>
              <w:rPr>
                <w:rFonts w:hint="eastAsia" w:hAnsi="宋体" w:cs="Courier New"/>
                <w:sz w:val="21"/>
                <w:szCs w:val="21"/>
              </w:rPr>
              <w:t>开户银行：建行南宁市朝阳支行营业部</w:t>
            </w:r>
          </w:p>
          <w:p>
            <w:pPr>
              <w:pStyle w:val="11"/>
              <w:spacing w:before="0" w:after="0"/>
              <w:ind w:right="0"/>
              <w:rPr>
                <w:rFonts w:hAnsi="宋体" w:cs="Courier New"/>
                <w:sz w:val="21"/>
                <w:szCs w:val="21"/>
              </w:rPr>
            </w:pPr>
            <w:r>
              <w:rPr>
                <w:rFonts w:hint="eastAsia" w:hAnsi="宋体" w:cs="Courier New"/>
                <w:sz w:val="21"/>
                <w:szCs w:val="21"/>
              </w:rPr>
              <w:t>纳税人识别号：914501006821248433</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1"/>
              <w:spacing w:before="0" w:after="0"/>
              <w:ind w:right="0" w:firstLine="200"/>
              <w:rPr>
                <w:rFonts w:hAnsi="宋体" w:cs="Courier New"/>
                <w:sz w:val="21"/>
                <w:szCs w:val="21"/>
                <w:u w:val="single"/>
              </w:rPr>
            </w:pPr>
            <w:r>
              <w:rPr>
                <w:rFonts w:hint="eastAsia" w:hAnsi="宋体" w:cs="Courier New"/>
                <w:sz w:val="21"/>
                <w:szCs w:val="21"/>
              </w:rPr>
              <w:t>地址：</w:t>
            </w:r>
          </w:p>
          <w:p>
            <w:pPr>
              <w:pStyle w:val="11"/>
              <w:spacing w:before="0" w:after="0"/>
              <w:ind w:right="0" w:firstLine="200"/>
              <w:rPr>
                <w:rFonts w:hAnsi="宋体" w:cs="Courier New"/>
                <w:sz w:val="21"/>
                <w:szCs w:val="21"/>
              </w:rPr>
            </w:pPr>
            <w:r>
              <w:rPr>
                <w:rFonts w:hint="eastAsia" w:hAnsi="宋体" w:cs="Courier New"/>
                <w:sz w:val="21"/>
                <w:szCs w:val="21"/>
              </w:rPr>
              <w:t>邮政编码：</w:t>
            </w:r>
          </w:p>
          <w:p>
            <w:pPr>
              <w:pStyle w:val="11"/>
              <w:spacing w:before="0" w:after="0"/>
              <w:ind w:right="0" w:firstLine="200"/>
              <w:rPr>
                <w:rFonts w:hAnsi="宋体" w:cs="Courier New"/>
                <w:sz w:val="21"/>
                <w:szCs w:val="21"/>
              </w:rPr>
            </w:pPr>
            <w:r>
              <w:rPr>
                <w:rFonts w:hint="eastAsia" w:hAnsi="宋体" w:cs="Courier New"/>
                <w:sz w:val="21"/>
                <w:szCs w:val="21"/>
              </w:rPr>
              <w:t>联系人：</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p>
          <w:p>
            <w:pPr>
              <w:pStyle w:val="11"/>
              <w:spacing w:before="0" w:after="0"/>
              <w:ind w:right="0" w:firstLine="200"/>
              <w:rPr>
                <w:rFonts w:hAnsi="宋体" w:cs="Courier New"/>
                <w:sz w:val="21"/>
                <w:szCs w:val="21"/>
                <w:u w:val="single"/>
              </w:rPr>
            </w:pPr>
            <w:r>
              <w:rPr>
                <w:rFonts w:hint="eastAsia" w:hAnsi="宋体" w:cs="Courier New"/>
                <w:sz w:val="21"/>
                <w:szCs w:val="21"/>
              </w:rPr>
              <w:t>传真：</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left="699" w:leftChars="333" w:right="0" w:firstLine="930" w:firstLineChars="441"/>
        <w:rPr>
          <w:rFonts w:ascii="宋体" w:hAnsi="宋体"/>
          <w:b/>
          <w:u w:val="single"/>
        </w:rPr>
      </w:pPr>
      <w:r>
        <w:rPr>
          <w:rFonts w:hint="eastAsia" w:ascii="宋体" w:hAnsi="宋体"/>
          <w:b/>
        </w:rPr>
        <w:t>签订时间：     年   月   日</w:t>
      </w:r>
    </w:p>
    <w:p>
      <w:pPr>
        <w:spacing w:before="0"/>
        <w:ind w:right="0" w:firstLine="200"/>
        <w:jc w:val="center"/>
        <w:outlineLvl w:val="1"/>
        <w:rPr>
          <w:rFonts w:hint="eastAsia" w:ascii="宋体" w:hAnsi="宋体"/>
          <w:b/>
          <w:sz w:val="24"/>
          <w:szCs w:val="24"/>
        </w:rPr>
      </w:pPr>
      <w:bookmarkStart w:id="551" w:name="_Toc7689"/>
      <w:bookmarkStart w:id="552" w:name="_Toc24098"/>
      <w:bookmarkStart w:id="553" w:name="_Toc11253"/>
      <w:bookmarkStart w:id="554" w:name="_Toc12155"/>
      <w:bookmarkStart w:id="555" w:name="_Toc7529"/>
      <w:bookmarkStart w:id="556" w:name="_Toc29876"/>
      <w:bookmarkStart w:id="557" w:name="_Toc16743"/>
      <w:bookmarkStart w:id="558" w:name="_Toc18460"/>
      <w:bookmarkStart w:id="559" w:name="_Toc25942"/>
      <w:bookmarkStart w:id="560" w:name="_Toc24973"/>
      <w:bookmarkStart w:id="561" w:name="_Toc4133"/>
      <w:bookmarkStart w:id="562" w:name="_Toc14469"/>
      <w:bookmarkStart w:id="563" w:name="_Toc997"/>
      <w:bookmarkStart w:id="564" w:name="_Toc9188"/>
      <w:bookmarkStart w:id="565" w:name="_Toc258"/>
      <w:bookmarkStart w:id="566" w:name="_Toc9438"/>
      <w:bookmarkStart w:id="567" w:name="_Toc10196"/>
    </w:p>
    <w:p>
      <w:pPr>
        <w:spacing w:before="0"/>
        <w:ind w:right="0" w:firstLine="200"/>
        <w:jc w:val="center"/>
        <w:outlineLvl w:val="1"/>
        <w:rPr>
          <w:rFonts w:hint="eastAsia" w:ascii="宋体" w:hAnsi="宋体"/>
          <w:b/>
          <w:sz w:val="24"/>
          <w:szCs w:val="24"/>
        </w:rPr>
      </w:pPr>
    </w:p>
    <w:p>
      <w:pPr>
        <w:spacing w:before="0"/>
        <w:ind w:right="0" w:firstLine="200"/>
        <w:jc w:val="center"/>
        <w:outlineLvl w:val="1"/>
        <w:rPr>
          <w:rFonts w:ascii="宋体" w:hAnsi="宋体"/>
          <w:b/>
          <w:sz w:val="24"/>
          <w:szCs w:val="24"/>
        </w:rPr>
      </w:pPr>
      <w:bookmarkStart w:id="568" w:name="_Toc22861"/>
      <w:r>
        <w:rPr>
          <w:rFonts w:hint="eastAsia" w:ascii="宋体" w:hAnsi="宋体"/>
          <w:b/>
          <w:sz w:val="24"/>
          <w:szCs w:val="24"/>
        </w:rPr>
        <w:t>二、合同条款</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tabs>
          <w:tab w:val="left" w:pos="640"/>
          <w:tab w:val="left" w:pos="1843"/>
        </w:tabs>
        <w:spacing w:before="0" w:after="0" w:afterAutospacing="0"/>
        <w:ind w:left="420" w:right="0" w:firstLine="0"/>
        <w:outlineLvl w:val="2"/>
        <w:rPr>
          <w:rFonts w:ascii="宋体" w:hAnsi="宋体"/>
          <w:b/>
        </w:rPr>
      </w:pPr>
      <w:bookmarkStart w:id="569" w:name="_Toc15707"/>
      <w:bookmarkStart w:id="570" w:name="_Toc4032"/>
      <w:bookmarkStart w:id="571" w:name="_Toc390098464"/>
      <w:bookmarkStart w:id="572" w:name="_Toc20484"/>
      <w:bookmarkStart w:id="573" w:name="_Toc10730"/>
      <w:bookmarkStart w:id="574" w:name="_Toc12080"/>
      <w:bookmarkStart w:id="575" w:name="_Toc18727"/>
      <w:bookmarkStart w:id="576" w:name="_Toc378514952"/>
      <w:bookmarkStart w:id="577" w:name="_Toc14287"/>
      <w:bookmarkStart w:id="578" w:name="_Toc25643"/>
      <w:bookmarkStart w:id="579" w:name="_Toc7961"/>
      <w:bookmarkStart w:id="580" w:name="_Toc2614"/>
      <w:bookmarkStart w:id="581" w:name="_Toc370933855"/>
      <w:bookmarkStart w:id="582" w:name="_Toc29932"/>
      <w:bookmarkStart w:id="583" w:name="_Toc43"/>
      <w:bookmarkStart w:id="584" w:name="_Toc19920"/>
      <w:bookmarkStart w:id="585" w:name="_Toc492478763"/>
      <w:bookmarkStart w:id="586" w:name="_Toc6054"/>
      <w:bookmarkStart w:id="587" w:name="_Toc12256"/>
      <w:bookmarkStart w:id="588" w:name="_Toc31691"/>
      <w:bookmarkStart w:id="589" w:name="_Toc385427838"/>
      <w:bookmarkStart w:id="590" w:name="_Toc22880"/>
      <w:bookmarkStart w:id="591" w:name="_Toc28024"/>
      <w:bookmarkStart w:id="592" w:name="_Toc25750635"/>
      <w:r>
        <w:rPr>
          <w:rFonts w:hint="eastAsia" w:ascii="宋体" w:hAnsi="宋体"/>
          <w:b/>
        </w:rPr>
        <w:t>1.定义及解释</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3"/>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合同文件（或称合同）：指合同协议书、中标通知书、合同条款、合同附件、用户需求书/技术规格书、招标投标文件和澄清文件及甲</w:t>
      </w:r>
      <w:r>
        <w:rPr>
          <w:rFonts w:hint="eastAsia"/>
          <w:highlight w:val="none"/>
        </w:rPr>
        <w:t>方对项目管理的</w:t>
      </w:r>
      <w:r>
        <w:rPr>
          <w:rFonts w:hint="eastAsia"/>
        </w:rPr>
        <w:t>有关规定等。</w:t>
      </w:r>
    </w:p>
    <w:p>
      <w:pPr>
        <w:numPr>
          <w:ilvl w:val="2"/>
          <w:numId w:val="3"/>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“乙方”系指受甲方委托，负责提供合同项下货物和服务的法人和</w:t>
      </w:r>
      <w:r>
        <w:rPr>
          <w:rFonts w:ascii="宋体" w:hAnsi="宋体"/>
        </w:rPr>
        <w:t>/</w:t>
      </w:r>
      <w:r>
        <w:rPr>
          <w:rFonts w:hint="eastAsia" w:ascii="宋体" w:hAnsi="宋体"/>
        </w:rPr>
        <w:t>或其他组织。</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2"/>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rPr>
      </w:pPr>
      <w:bookmarkStart w:id="593" w:name="_Toc18178"/>
      <w:bookmarkStart w:id="594" w:name="_Toc19899"/>
      <w:bookmarkStart w:id="595" w:name="_Toc1169"/>
      <w:bookmarkStart w:id="596" w:name="_Toc13835"/>
      <w:bookmarkStart w:id="597" w:name="_Toc378514953"/>
      <w:bookmarkStart w:id="598" w:name="_Toc4301"/>
      <w:bookmarkStart w:id="599" w:name="_Toc4255"/>
      <w:bookmarkStart w:id="600" w:name="_Toc7059"/>
      <w:bookmarkStart w:id="601" w:name="_Toc23247"/>
      <w:bookmarkStart w:id="602" w:name="_Toc390098465"/>
      <w:bookmarkStart w:id="603" w:name="_Toc492478764"/>
      <w:bookmarkStart w:id="604" w:name="_Toc25826"/>
      <w:bookmarkStart w:id="605" w:name="_Toc5955"/>
      <w:bookmarkStart w:id="606" w:name="_Toc3180"/>
      <w:bookmarkStart w:id="607" w:name="_Toc4212"/>
      <w:bookmarkStart w:id="608" w:name="_Toc23305"/>
      <w:bookmarkStart w:id="609" w:name="_Toc30815"/>
      <w:bookmarkStart w:id="610" w:name="_Toc7813"/>
      <w:bookmarkStart w:id="611" w:name="_Toc385427839"/>
      <w:bookmarkStart w:id="612" w:name="_Toc8477"/>
      <w:bookmarkStart w:id="613" w:name="_Toc23112"/>
      <w:bookmarkStart w:id="614" w:name="_Toc370933856"/>
      <w:bookmarkStart w:id="615" w:name="_Toc15944"/>
      <w:bookmarkStart w:id="616" w:name="_Toc25750636"/>
      <w:r>
        <w:rPr>
          <w:rFonts w:hint="eastAsia" w:ascii="宋体" w:hAnsi="宋体"/>
          <w:b/>
        </w:rPr>
        <w:t>2.适用性</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rPr>
      </w:pPr>
      <w:bookmarkStart w:id="617" w:name="_Toc378514954"/>
      <w:bookmarkStart w:id="618" w:name="_Toc4969"/>
      <w:bookmarkStart w:id="619" w:name="_Toc25750637"/>
      <w:bookmarkStart w:id="620" w:name="_Toc5253"/>
      <w:bookmarkStart w:id="621" w:name="_Toc370933857"/>
      <w:bookmarkStart w:id="622" w:name="_Toc21603"/>
      <w:bookmarkStart w:id="623" w:name="_Toc9864"/>
      <w:bookmarkStart w:id="624" w:name="_Toc3674"/>
      <w:bookmarkStart w:id="625" w:name="_Toc4898"/>
      <w:bookmarkStart w:id="626" w:name="_Toc15308"/>
      <w:bookmarkStart w:id="627" w:name="_Toc26983"/>
      <w:bookmarkStart w:id="628" w:name="_Toc3397"/>
      <w:bookmarkStart w:id="629" w:name="_Toc3131"/>
      <w:bookmarkStart w:id="630" w:name="_Toc12248"/>
      <w:bookmarkStart w:id="631" w:name="_Toc9306"/>
      <w:bookmarkStart w:id="632" w:name="_Toc4738"/>
      <w:bookmarkStart w:id="633" w:name="_Toc390098466"/>
      <w:bookmarkStart w:id="634" w:name="_Toc18092"/>
      <w:bookmarkStart w:id="635" w:name="_Toc21065"/>
      <w:bookmarkStart w:id="636" w:name="_Toc492478765"/>
      <w:bookmarkStart w:id="637" w:name="_Toc385427840"/>
      <w:bookmarkStart w:id="638" w:name="_Toc13801"/>
      <w:bookmarkStart w:id="639" w:name="_Toc14437"/>
      <w:bookmarkStart w:id="640" w:name="_Toc11803"/>
      <w:r>
        <w:rPr>
          <w:rFonts w:hint="eastAsia" w:ascii="宋体" w:hAnsi="宋体"/>
          <w:b/>
        </w:rPr>
        <w:t>3.</w:t>
      </w:r>
      <w:r>
        <w:rPr>
          <w:rFonts w:hint="eastAsia" w:cs="宋体"/>
          <w:b/>
          <w:bCs/>
        </w:rPr>
        <w:t xml:space="preserve"> </w:t>
      </w:r>
      <w:r>
        <w:rPr>
          <w:rFonts w:hint="eastAsia" w:ascii="宋体" w:hAnsi="宋体"/>
          <w:b/>
        </w:rPr>
        <w:t>语言</w:t>
      </w:r>
      <w:r>
        <w:rPr>
          <w:rFonts w:hint="eastAsia" w:cs="宋体"/>
          <w:b/>
          <w:bCs/>
        </w:rPr>
        <w:t>文字</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tabs>
          <w:tab w:val="left" w:pos="540"/>
          <w:tab w:val="left" w:pos="840"/>
        </w:tabs>
        <w:spacing w:before="0" w:after="0" w:afterAutospacing="0"/>
        <w:ind w:left="420" w:right="0" w:firstLine="0"/>
        <w:rPr>
          <w:rFonts w:ascii="宋体" w:hAnsi="宋体"/>
        </w:rPr>
      </w:pPr>
      <w:r>
        <w:rPr>
          <w:rFonts w:hint="eastAsia" w:ascii="宋体" w:hAnsi="宋体"/>
        </w:rPr>
        <w:t>除专用术语外，合同使用的语言文字为中文。专用术语在使用其他语种文字应附有中文注释。</w:t>
      </w:r>
    </w:p>
    <w:p>
      <w:pPr>
        <w:tabs>
          <w:tab w:val="left" w:pos="640"/>
          <w:tab w:val="left" w:pos="1843"/>
        </w:tabs>
        <w:spacing w:before="0" w:after="0" w:afterAutospacing="0"/>
        <w:ind w:left="420" w:right="0" w:firstLine="0"/>
        <w:outlineLvl w:val="2"/>
        <w:rPr>
          <w:rFonts w:ascii="宋体" w:hAnsi="宋体"/>
          <w:b/>
        </w:rPr>
      </w:pPr>
      <w:bookmarkStart w:id="641" w:name="_Toc23258"/>
      <w:bookmarkStart w:id="642" w:name="_Toc385427841"/>
      <w:bookmarkStart w:id="643" w:name="_Toc23249"/>
      <w:bookmarkStart w:id="644" w:name="_Toc10807"/>
      <w:bookmarkStart w:id="645" w:name="_Toc21641"/>
      <w:bookmarkStart w:id="646" w:name="_Toc18548"/>
      <w:bookmarkStart w:id="647" w:name="_Toc14273"/>
      <w:bookmarkStart w:id="648" w:name="_Toc370933858"/>
      <w:bookmarkStart w:id="649" w:name="_Toc378514955"/>
      <w:bookmarkStart w:id="650" w:name="_Toc11524"/>
      <w:bookmarkStart w:id="651" w:name="_Toc11626"/>
      <w:bookmarkStart w:id="652" w:name="_Toc2708"/>
      <w:bookmarkStart w:id="653" w:name="_Toc27450"/>
      <w:bookmarkStart w:id="654" w:name="_Toc12180"/>
      <w:bookmarkStart w:id="655" w:name="_Toc14713"/>
      <w:bookmarkStart w:id="656" w:name="_Toc19514"/>
      <w:bookmarkStart w:id="657" w:name="_Toc25311"/>
      <w:bookmarkStart w:id="658" w:name="_Toc21289"/>
      <w:bookmarkStart w:id="659" w:name="_Toc16646"/>
      <w:bookmarkStart w:id="660" w:name="_Toc492478766"/>
      <w:bookmarkStart w:id="661" w:name="_Toc21356"/>
      <w:bookmarkStart w:id="662" w:name="_Toc390098467"/>
      <w:bookmarkStart w:id="663" w:name="_Toc3318"/>
      <w:bookmarkStart w:id="664" w:name="_Toc25750638"/>
      <w:r>
        <w:rPr>
          <w:rFonts w:hint="eastAsia" w:ascii="宋体" w:hAnsi="宋体"/>
          <w:b/>
        </w:rPr>
        <w:t>4. 适用法律、标准和规范</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4"/>
        </w:numPr>
        <w:tabs>
          <w:tab w:val="left" w:pos="840"/>
        </w:tabs>
        <w:spacing w:before="0" w:after="0" w:afterAutospacing="0"/>
        <w:ind w:left="0" w:righ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4"/>
        </w:numPr>
        <w:tabs>
          <w:tab w:val="left" w:pos="840"/>
        </w:tabs>
        <w:spacing w:before="0" w:after="0" w:afterAutospacing="0"/>
        <w:ind w:left="0" w:right="0" w:firstLine="420" w:firstLineChars="200"/>
        <w:rPr>
          <w:rFonts w:ascii="宋体" w:hAnsi="宋体"/>
        </w:rPr>
      </w:pPr>
      <w:r>
        <w:rPr>
          <w:rFonts w:hint="eastAsia"/>
        </w:rPr>
        <w:t>适用标准、规范。</w:t>
      </w:r>
    </w:p>
    <w:p>
      <w:pPr>
        <w:numPr>
          <w:ilvl w:val="1"/>
          <w:numId w:val="4"/>
        </w:numPr>
        <w:tabs>
          <w:tab w:val="left" w:pos="840"/>
        </w:tabs>
        <w:spacing w:before="0" w:after="0" w:afterAutospacing="0"/>
        <w:ind w:left="0" w:righ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0" w:right="0" w:firstLine="0"/>
        <w:outlineLvl w:val="2"/>
        <w:rPr>
          <w:rFonts w:ascii="宋体" w:hAnsi="宋体"/>
          <w:b/>
        </w:rPr>
      </w:pPr>
      <w:bookmarkStart w:id="665" w:name="_Toc10995"/>
      <w:bookmarkStart w:id="666" w:name="_Toc18617"/>
      <w:bookmarkStart w:id="667" w:name="_Toc18813"/>
      <w:bookmarkStart w:id="668" w:name="_Toc17081"/>
      <w:bookmarkStart w:id="669" w:name="_Toc11487"/>
      <w:bookmarkStart w:id="670" w:name="_Toc13516"/>
      <w:bookmarkStart w:id="671" w:name="_Toc2352"/>
      <w:bookmarkStart w:id="672" w:name="_Toc23539"/>
      <w:bookmarkStart w:id="673" w:name="_Toc492478767"/>
      <w:bookmarkStart w:id="674" w:name="_Toc24783"/>
      <w:bookmarkStart w:id="675" w:name="_Toc385427842"/>
      <w:bookmarkStart w:id="676" w:name="_Toc390098468"/>
      <w:bookmarkStart w:id="677" w:name="_Toc3165"/>
      <w:bookmarkStart w:id="678" w:name="_Toc31912"/>
      <w:bookmarkStart w:id="679" w:name="_Toc19358"/>
      <w:bookmarkStart w:id="680" w:name="_Toc22040"/>
      <w:bookmarkStart w:id="681" w:name="_Toc20372"/>
      <w:bookmarkStart w:id="682" w:name="_Toc378514956"/>
      <w:bookmarkStart w:id="683" w:name="_Toc27620"/>
      <w:bookmarkStart w:id="684" w:name="_Toc14089"/>
      <w:bookmarkStart w:id="685" w:name="_Toc370933859"/>
      <w:bookmarkStart w:id="686" w:name="_Toc2304"/>
      <w:bookmarkStart w:id="687" w:name="_Toc4048"/>
      <w:bookmarkStart w:id="688" w:name="_Toc25750639"/>
      <w:r>
        <w:rPr>
          <w:rFonts w:hint="eastAsia" w:ascii="宋体" w:hAnsi="宋体"/>
          <w:b/>
        </w:rPr>
        <w:t>5.合同文件、资料及使用</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w:t>
      </w:r>
      <w:r>
        <w:rPr>
          <w:rFonts w:hint="eastAsia" w:ascii="宋体" w:hAnsi="宋体"/>
          <w:highlight w:val="none"/>
        </w:rPr>
        <w:t>及档案材料的，未经甲方书面同意，乙方不能向第三方提供；否则引起的知识产权纠纷及保密责任，以及造成甲方损失的，由</w:t>
      </w:r>
      <w:r>
        <w:rPr>
          <w:rFonts w:hint="eastAsia" w:ascii="宋体" w:hAnsi="宋体"/>
        </w:rPr>
        <w:t>乙方负责。</w:t>
      </w:r>
    </w:p>
    <w:p>
      <w:pPr>
        <w:tabs>
          <w:tab w:val="left" w:pos="640"/>
          <w:tab w:val="left" w:pos="1843"/>
        </w:tabs>
        <w:spacing w:before="0" w:after="0" w:afterAutospacing="0"/>
        <w:ind w:left="420" w:right="0" w:firstLine="0"/>
        <w:outlineLvl w:val="2"/>
        <w:rPr>
          <w:rFonts w:ascii="宋体" w:hAnsi="宋体"/>
          <w:b/>
        </w:rPr>
      </w:pPr>
      <w:bookmarkStart w:id="689" w:name="_Toc23542"/>
      <w:bookmarkStart w:id="690" w:name="_Toc16891"/>
      <w:bookmarkStart w:id="691" w:name="_Toc18946"/>
      <w:bookmarkStart w:id="692" w:name="_Toc12048"/>
      <w:bookmarkStart w:id="693" w:name="_Toc378514957"/>
      <w:bookmarkStart w:id="694" w:name="_Toc370933860"/>
      <w:bookmarkStart w:id="695" w:name="_Toc16793"/>
      <w:bookmarkStart w:id="696" w:name="_Toc2096"/>
      <w:bookmarkStart w:id="697" w:name="_Toc25104"/>
      <w:bookmarkStart w:id="698" w:name="_Toc15801"/>
      <w:bookmarkStart w:id="699" w:name="_Toc25049"/>
      <w:bookmarkStart w:id="700" w:name="_Toc17100"/>
      <w:bookmarkStart w:id="701" w:name="_Toc8848"/>
      <w:bookmarkStart w:id="702" w:name="_Toc492478768"/>
      <w:bookmarkStart w:id="703" w:name="_Toc2340"/>
      <w:bookmarkStart w:id="704" w:name="_Toc17908"/>
      <w:bookmarkStart w:id="705" w:name="_Toc385427843"/>
      <w:bookmarkStart w:id="706" w:name="_Toc4739"/>
      <w:bookmarkStart w:id="707" w:name="_Toc390098469"/>
      <w:bookmarkStart w:id="708" w:name="_Toc5930"/>
      <w:bookmarkStart w:id="709" w:name="_Toc24189"/>
      <w:bookmarkStart w:id="710" w:name="_Toc23274"/>
      <w:bookmarkStart w:id="711" w:name="_Toc17102"/>
      <w:bookmarkStart w:id="712" w:name="_Toc25750640"/>
      <w:r>
        <w:rPr>
          <w:rFonts w:hint="eastAsia" w:ascii="宋体" w:hAnsi="宋体"/>
          <w:b/>
        </w:rPr>
        <w:t>6.知识产权</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0" w:right="0" w:firstLine="0"/>
        <w:outlineLvl w:val="2"/>
        <w:rPr>
          <w:rFonts w:hint="eastAsia" w:ascii="宋体" w:hAnsi="宋体" w:eastAsia="宋体"/>
          <w:b/>
          <w:lang w:eastAsia="zh-CN"/>
        </w:rPr>
      </w:pPr>
      <w:bookmarkStart w:id="713" w:name="_Toc11516"/>
      <w:bookmarkStart w:id="714" w:name="_Toc17901"/>
      <w:bookmarkStart w:id="715" w:name="_Toc29337"/>
      <w:bookmarkStart w:id="716" w:name="_Toc370933861"/>
      <w:bookmarkStart w:id="717" w:name="_Toc7187"/>
      <w:bookmarkStart w:id="718" w:name="_Toc25327"/>
      <w:bookmarkStart w:id="719" w:name="_Toc7907"/>
      <w:bookmarkStart w:id="720" w:name="_Toc390098470"/>
      <w:bookmarkStart w:id="721" w:name="_Toc492478769"/>
      <w:bookmarkStart w:id="722" w:name="_Toc20551"/>
      <w:bookmarkStart w:id="723" w:name="_Toc828"/>
      <w:bookmarkStart w:id="724" w:name="_Toc2076"/>
      <w:bookmarkStart w:id="725" w:name="_Toc21848"/>
      <w:bookmarkStart w:id="726" w:name="_Toc385427844"/>
      <w:bookmarkStart w:id="727" w:name="_Toc29127"/>
      <w:bookmarkStart w:id="728" w:name="_Toc17489"/>
      <w:bookmarkStart w:id="729" w:name="_Toc25888"/>
      <w:bookmarkStart w:id="730" w:name="_Toc24887"/>
      <w:bookmarkStart w:id="731" w:name="_Toc1869"/>
      <w:bookmarkStart w:id="732" w:name="_Toc21755"/>
      <w:bookmarkStart w:id="733" w:name="_Toc25750641"/>
      <w:bookmarkStart w:id="734" w:name="_Toc378514958"/>
      <w:bookmarkStart w:id="735" w:name="_Toc6777"/>
      <w:bookmarkStart w:id="736" w:name="_Toc7460"/>
      <w:r>
        <w:rPr>
          <w:rFonts w:hint="eastAsia" w:ascii="宋体" w:hAnsi="宋体"/>
          <w:b/>
        </w:rPr>
        <w:t>7.履约担保</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Fonts w:hint="eastAsia" w:ascii="宋体" w:hAnsi="宋体"/>
          <w:b/>
          <w:lang w:eastAsia="zh-CN"/>
        </w:rPr>
        <w:t>和质量保证期</w:t>
      </w:r>
    </w:p>
    <w:p>
      <w:pPr>
        <w:tabs>
          <w:tab w:val="left" w:pos="640"/>
          <w:tab w:val="left" w:pos="1843"/>
        </w:tabs>
        <w:spacing w:before="0" w:after="0" w:afterAutospacing="0"/>
        <w:ind w:left="420" w:right="0" w:firstLine="0"/>
        <w:outlineLvl w:val="2"/>
        <w:rPr>
          <w:rFonts w:hint="eastAsia" w:ascii="宋体" w:hAnsi="宋体" w:cs="Arial"/>
          <w:lang w:eastAsia="zh-CN"/>
        </w:rPr>
      </w:pPr>
      <w:bookmarkStart w:id="737" w:name="_Toc32711"/>
      <w:bookmarkStart w:id="738" w:name="_Toc5676"/>
      <w:bookmarkStart w:id="739" w:name="_Toc7801"/>
      <w:bookmarkStart w:id="740" w:name="_Toc12113"/>
      <w:bookmarkStart w:id="741" w:name="_Toc30234"/>
      <w:bookmarkStart w:id="742" w:name="_Toc29729"/>
      <w:bookmarkStart w:id="743" w:name="_Toc97"/>
      <w:bookmarkStart w:id="744" w:name="_Toc21872"/>
      <w:bookmarkStart w:id="745" w:name="_Toc1990"/>
      <w:bookmarkStart w:id="746" w:name="_Toc20550"/>
      <w:bookmarkStart w:id="747" w:name="_Toc25873"/>
      <w:bookmarkStart w:id="748" w:name="_Toc15512"/>
      <w:bookmarkStart w:id="749" w:name="_Toc32382"/>
      <w:bookmarkStart w:id="750" w:name="_Toc26034"/>
      <w:bookmarkStart w:id="751" w:name="_Toc20899"/>
      <w:bookmarkStart w:id="752" w:name="_Toc2613"/>
      <w:bookmarkStart w:id="753" w:name="_Toc31795"/>
      <w:bookmarkStart w:id="754" w:name="_Toc20252"/>
      <w:bookmarkStart w:id="755" w:name="_Toc25750642"/>
      <w:r>
        <w:rPr>
          <w:rFonts w:hint="eastAsia" w:ascii="宋体" w:hAnsi="宋体" w:cs="Arial"/>
          <w:lang w:val="en-US" w:eastAsia="zh-CN"/>
        </w:rPr>
        <w:t>7.1对履约担保</w:t>
      </w:r>
      <w:r>
        <w:rPr>
          <w:rFonts w:hint="eastAsia" w:ascii="宋体" w:hAnsi="宋体" w:cs="Arial"/>
          <w:lang w:eastAsia="zh-CN"/>
        </w:rPr>
        <w:t>无要求。</w:t>
      </w:r>
    </w:p>
    <w:p>
      <w:pPr>
        <w:tabs>
          <w:tab w:val="left" w:pos="640"/>
          <w:tab w:val="left" w:pos="1843"/>
        </w:tabs>
        <w:spacing w:before="0" w:after="0" w:afterAutospacing="0"/>
        <w:ind w:left="420" w:right="0" w:firstLine="0"/>
        <w:outlineLvl w:val="2"/>
        <w:rPr>
          <w:rFonts w:hint="default" w:ascii="宋体" w:hAnsi="宋体" w:cs="Arial"/>
          <w:lang w:val="en-US" w:eastAsia="zh-CN"/>
        </w:rPr>
      </w:pPr>
      <w:r>
        <w:rPr>
          <w:rFonts w:hint="eastAsia" w:ascii="宋体" w:hAnsi="宋体" w:cs="Arial"/>
          <w:lang w:val="en-US" w:eastAsia="zh-CN"/>
        </w:rPr>
        <w:t>7.2项目验收合格之日起12个月。</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8.</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Start w:id="756" w:name="_Toc459730446"/>
      <w:bookmarkEnd w:id="756"/>
      <w:bookmarkStart w:id="757" w:name="_Toc459730447"/>
      <w:bookmarkEnd w:id="757"/>
      <w:bookmarkStart w:id="758" w:name="_Toc459730455"/>
      <w:bookmarkEnd w:id="758"/>
      <w:bookmarkStart w:id="759" w:name="_Toc459730456"/>
      <w:bookmarkEnd w:id="759"/>
      <w:bookmarkStart w:id="760" w:name="_Toc459797509"/>
      <w:bookmarkEnd w:id="760"/>
      <w:bookmarkStart w:id="761" w:name="_Toc459797497"/>
      <w:bookmarkEnd w:id="761"/>
      <w:bookmarkStart w:id="762" w:name="_Toc459730459"/>
      <w:bookmarkEnd w:id="762"/>
      <w:bookmarkStart w:id="763" w:name="_Toc459730450"/>
      <w:bookmarkEnd w:id="763"/>
      <w:bookmarkStart w:id="764" w:name="_Toc459730445"/>
      <w:bookmarkEnd w:id="764"/>
      <w:bookmarkStart w:id="765" w:name="_Toc459797504"/>
      <w:bookmarkEnd w:id="765"/>
      <w:bookmarkStart w:id="766" w:name="_Toc459797501"/>
      <w:bookmarkEnd w:id="766"/>
      <w:bookmarkStart w:id="767" w:name="_Toc459730442"/>
      <w:bookmarkEnd w:id="767"/>
      <w:bookmarkStart w:id="768" w:name="_Toc459730443"/>
      <w:bookmarkEnd w:id="768"/>
      <w:bookmarkStart w:id="769" w:name="_Toc459730457"/>
      <w:bookmarkEnd w:id="769"/>
      <w:bookmarkStart w:id="770" w:name="_Toc459730449"/>
      <w:bookmarkEnd w:id="770"/>
      <w:bookmarkStart w:id="771" w:name="_Toc459797500"/>
      <w:bookmarkEnd w:id="771"/>
      <w:bookmarkStart w:id="772" w:name="_Toc459797503"/>
      <w:bookmarkEnd w:id="772"/>
      <w:bookmarkStart w:id="773" w:name="_Toc459797507"/>
      <w:bookmarkEnd w:id="773"/>
      <w:bookmarkStart w:id="774" w:name="_Toc459797510"/>
      <w:bookmarkEnd w:id="774"/>
      <w:bookmarkStart w:id="775" w:name="_Toc459730452"/>
      <w:bookmarkEnd w:id="775"/>
      <w:bookmarkStart w:id="776" w:name="_Toc459797499"/>
      <w:bookmarkEnd w:id="776"/>
      <w:bookmarkStart w:id="777" w:name="_Toc459730448"/>
      <w:bookmarkEnd w:id="777"/>
      <w:bookmarkStart w:id="778" w:name="_Toc459730454"/>
      <w:bookmarkEnd w:id="778"/>
      <w:bookmarkStart w:id="779" w:name="_Toc459797498"/>
      <w:bookmarkEnd w:id="779"/>
      <w:bookmarkStart w:id="780" w:name="_Toc459730453"/>
      <w:bookmarkEnd w:id="780"/>
      <w:bookmarkStart w:id="781" w:name="_Toc459797508"/>
      <w:bookmarkEnd w:id="781"/>
      <w:bookmarkStart w:id="782" w:name="_Toc459797496"/>
      <w:bookmarkEnd w:id="782"/>
      <w:bookmarkStart w:id="783" w:name="_Toc459797502"/>
      <w:bookmarkEnd w:id="783"/>
      <w:bookmarkStart w:id="784" w:name="_Toc459730458"/>
      <w:bookmarkEnd w:id="784"/>
      <w:bookmarkStart w:id="785" w:name="_Toc459797506"/>
      <w:bookmarkEnd w:id="785"/>
      <w:bookmarkStart w:id="786" w:name="_Toc459797512"/>
      <w:bookmarkEnd w:id="786"/>
      <w:bookmarkStart w:id="787" w:name="_Toc459797505"/>
      <w:bookmarkEnd w:id="787"/>
      <w:bookmarkStart w:id="788" w:name="_Toc459797511"/>
      <w:bookmarkEnd w:id="788"/>
      <w:bookmarkStart w:id="789" w:name="_Toc459797495"/>
      <w:bookmarkEnd w:id="789"/>
      <w:bookmarkStart w:id="790" w:name="_Toc459730451"/>
      <w:bookmarkEnd w:id="790"/>
      <w:bookmarkStart w:id="791" w:name="_Toc459730444"/>
      <w:bookmarkEnd w:id="791"/>
      <w:r>
        <w:rPr>
          <w:rFonts w:hint="eastAsia" w:ascii="宋体" w:hAnsi="宋体"/>
          <w:b/>
        </w:rPr>
        <w:t>支付方式</w:t>
      </w:r>
    </w:p>
    <w:p>
      <w:pPr>
        <w:tabs>
          <w:tab w:val="left" w:pos="840"/>
          <w:tab w:val="left" w:pos="8364"/>
        </w:tabs>
        <w:spacing w:before="0" w:after="0" w:afterAutospacing="0"/>
        <w:ind w:left="0" w:right="0" w:firstLine="424" w:firstLineChars="202"/>
        <w:rPr>
          <w:rFonts w:ascii="宋体" w:hAnsi="宋体" w:cs="Arial"/>
        </w:rPr>
      </w:pPr>
      <w:bookmarkStart w:id="792" w:name="_Toc378514969"/>
      <w:bookmarkStart w:id="793" w:name="_Toc370933872"/>
      <w:r>
        <w:rPr>
          <w:rFonts w:hint="eastAsia" w:ascii="宋体" w:hAnsi="宋体" w:cs="Arial"/>
        </w:rPr>
        <w:t>8.1在合同履约过程中，本合同税率将遵照国家现行税法执行，随国家税率调整而调整。本合同最终税金在结算阶段，按实际产生的税金进行核算。</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8.2付款方式。</w:t>
      </w:r>
    </w:p>
    <w:p>
      <w:pPr>
        <w:tabs>
          <w:tab w:val="left" w:pos="840"/>
          <w:tab w:val="left" w:pos="8364"/>
        </w:tabs>
        <w:spacing w:before="0" w:after="0" w:afterAutospacing="0"/>
        <w:ind w:left="0" w:right="0" w:firstLine="424" w:firstLineChars="202"/>
        <w:rPr>
          <w:rFonts w:ascii="宋体" w:hAnsi="宋体" w:cs="Arial"/>
        </w:rPr>
      </w:pPr>
      <w:r>
        <w:rPr>
          <w:rFonts w:hint="eastAsia" w:ascii="宋体" w:hAnsi="宋体" w:cs="Arial"/>
        </w:rPr>
        <w:t>8.2.</w:t>
      </w:r>
      <w:r>
        <w:rPr>
          <w:rFonts w:hint="eastAsia" w:ascii="宋体" w:hAnsi="宋体" w:cs="Arial"/>
          <w:lang w:val="en-US" w:eastAsia="zh-CN"/>
        </w:rPr>
        <w:t>1</w:t>
      </w:r>
      <w:r>
        <w:rPr>
          <w:rFonts w:hint="eastAsia" w:ascii="宋体" w:hAnsi="宋体" w:cs="Arial"/>
        </w:rPr>
        <w:t>全部项目完成并验收合格后，乙方根据甲方要求完成档案归档及合同结算经甲方审定后，甲方在收到乙方提供的以下材料后4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③全部项目成果验收合格证明。</w:t>
      </w:r>
    </w:p>
    <w:p>
      <w:pPr>
        <w:tabs>
          <w:tab w:val="left" w:pos="840"/>
          <w:tab w:val="left" w:pos="8364"/>
        </w:tabs>
        <w:spacing w:before="0" w:after="0" w:afterAutospacing="0"/>
        <w:ind w:left="0" w:right="0" w:firstLine="424" w:firstLineChars="202"/>
        <w:rPr>
          <w:rFonts w:ascii="宋体" w:hAnsi="宋体" w:cs="Arial"/>
        </w:rPr>
      </w:pPr>
      <w:r>
        <w:rPr>
          <w:rFonts w:hint="eastAsia" w:ascii="宋体" w:hAnsi="宋体" w:cs="Arial"/>
        </w:rPr>
        <w:t>8.2.</w:t>
      </w:r>
      <w:r>
        <w:rPr>
          <w:rFonts w:hint="eastAsia" w:ascii="宋体" w:hAnsi="宋体" w:cs="Arial"/>
          <w:lang w:val="en-US" w:eastAsia="zh-CN"/>
        </w:rPr>
        <w:t>2</w:t>
      </w:r>
      <w:r>
        <w:rPr>
          <w:rFonts w:hint="eastAsia" w:ascii="宋体" w:hAnsi="宋体" w:cs="Arial"/>
        </w:rPr>
        <w:t>全部项目成果质保期满，经甲方确认所有批次成果均无质量问题或乙方已更换有质量问题产品经甲方确认合格后，甲方在收到由乙方提供的以下材料后4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②双方确认的质保期满后质量合格证明。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8.3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tabs>
          <w:tab w:val="left" w:pos="960"/>
          <w:tab w:val="left" w:pos="8364"/>
        </w:tabs>
        <w:spacing w:before="0" w:after="0" w:afterAutospacing="0"/>
        <w:ind w:left="420" w:right="0" w:firstLine="0"/>
        <w:rPr>
          <w:rFonts w:ascii="宋体" w:hAnsi="宋体" w:cs="Arial"/>
        </w:rPr>
      </w:pPr>
      <w:r>
        <w:rPr>
          <w:rFonts w:hint="eastAsia" w:ascii="宋体" w:hAnsi="宋体" w:cs="Arial"/>
        </w:rPr>
        <w:t>8.4支付的货币应以人民币支付。</w:t>
      </w:r>
    </w:p>
    <w:p>
      <w:pPr>
        <w:tabs>
          <w:tab w:val="left" w:pos="8364"/>
        </w:tabs>
        <w:spacing w:before="0" w:after="0" w:afterAutospacing="0"/>
        <w:ind w:left="0" w:right="0" w:firstLine="420" w:firstLineChars="200"/>
        <w:rPr>
          <w:rFonts w:ascii="宋体" w:hAnsi="宋体" w:cs="Arial"/>
        </w:rPr>
      </w:pPr>
      <w:r>
        <w:rPr>
          <w:rFonts w:hint="eastAsia" w:ascii="宋体" w:hAnsi="宋体" w:cs="Arial"/>
        </w:rPr>
        <w:t>本合同项下涉及</w:t>
      </w:r>
      <w:r>
        <w:rPr>
          <w:rFonts w:hint="eastAsia" w:ascii="宋体" w:hAnsi="宋体" w:cs="Arial"/>
          <w:u w:val="single"/>
        </w:rPr>
        <w:t>第三方</w:t>
      </w:r>
      <w:r>
        <w:rPr>
          <w:rFonts w:hint="eastAsia" w:ascii="宋体" w:hAnsi="宋体" w:cs="Arial"/>
        </w:rPr>
        <w:t>付款的，由甲方组织签订甲方、乙方、丙方的三方协议，乙方按本合同规定的程序向丙方开具发票（开票信息另行提供），由丙方向乙方支付经甲方核准的合同应付价款。</w:t>
      </w:r>
    </w:p>
    <w:p>
      <w:pPr>
        <w:tabs>
          <w:tab w:val="left" w:pos="640"/>
          <w:tab w:val="left" w:pos="1843"/>
        </w:tabs>
        <w:spacing w:before="0" w:after="0" w:afterAutospacing="0"/>
        <w:ind w:left="420" w:right="0" w:firstLine="0"/>
        <w:outlineLvl w:val="2"/>
        <w:rPr>
          <w:rFonts w:ascii="宋体" w:hAnsi="宋体"/>
        </w:rPr>
      </w:pPr>
      <w:bookmarkStart w:id="794" w:name="_Toc27798"/>
      <w:bookmarkStart w:id="795" w:name="_Toc385427855"/>
      <w:bookmarkStart w:id="796" w:name="_Toc492478779"/>
      <w:bookmarkStart w:id="797" w:name="_Toc9642"/>
      <w:bookmarkStart w:id="798" w:name="_Toc4697"/>
      <w:bookmarkStart w:id="799" w:name="_Toc18054"/>
      <w:bookmarkStart w:id="800" w:name="_Toc18890"/>
      <w:bookmarkStart w:id="801" w:name="_Toc12729"/>
      <w:bookmarkStart w:id="802" w:name="_Toc12979"/>
      <w:bookmarkStart w:id="803" w:name="_Toc2957"/>
      <w:bookmarkStart w:id="804" w:name="_Toc390098481"/>
      <w:bookmarkStart w:id="805" w:name="_Toc30094"/>
      <w:bookmarkStart w:id="806" w:name="_Toc24274"/>
      <w:bookmarkStart w:id="807" w:name="_Toc28757"/>
      <w:bookmarkStart w:id="808" w:name="_Toc26222"/>
      <w:bookmarkStart w:id="809" w:name="_Toc2069"/>
      <w:bookmarkStart w:id="810" w:name="_Toc16641"/>
      <w:bookmarkStart w:id="811" w:name="_Toc13281"/>
      <w:bookmarkStart w:id="812" w:name="_Toc19387"/>
      <w:bookmarkStart w:id="813" w:name="_Toc22179"/>
      <w:bookmarkStart w:id="814" w:name="_Toc9852"/>
      <w:bookmarkStart w:id="815" w:name="_Toc25750650"/>
      <w:r>
        <w:rPr>
          <w:rFonts w:hint="eastAsia" w:ascii="宋体" w:hAnsi="宋体"/>
          <w:b/>
        </w:rPr>
        <w:t>9.合同价格</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9.1合同价格执行以下条款的规定。</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9.2本合同价格</w:t>
      </w:r>
      <w:r>
        <w:rPr>
          <w:rFonts w:hint="eastAsia" w:ascii="宋体" w:hAnsi="宋体"/>
          <w:lang w:eastAsia="zh-CN"/>
        </w:rPr>
        <w:t>为总价包干</w:t>
      </w:r>
      <w:r>
        <w:rPr>
          <w:rFonts w:hint="eastAsia" w:ascii="宋体" w:hAnsi="宋体"/>
        </w:rPr>
        <w:t>，不得以任何理由予以合同价格上浮、上调、上涨，但如属经双方协商同意变更的情况除外</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9.3合同价格完全包括本合同中要求的全部工作内容、货物、</w:t>
      </w:r>
      <w:r>
        <w:rPr>
          <w:rFonts w:hint="eastAsia" w:ascii="宋体" w:hAnsi="宋体"/>
          <w:lang w:eastAsia="zh-CN"/>
        </w:rPr>
        <w:t>安装、</w:t>
      </w:r>
      <w:r>
        <w:rPr>
          <w:rFonts w:hint="eastAsia" w:ascii="宋体" w:hAnsi="宋体"/>
        </w:rPr>
        <w:t>服务及所涉及的施工及辅材。</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9.4合同价格：不含税价：人民币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本合同价格为</w:t>
      </w:r>
      <w:r>
        <w:rPr>
          <w:rFonts w:hint="eastAsia" w:ascii="宋体" w:hAnsi="宋体"/>
          <w:lang w:eastAsia="zh-CN"/>
        </w:rPr>
        <w:t>总价包干</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hint="eastAsia" w:ascii="宋体" w:hAnsi="宋体"/>
          <w:lang w:val="en-US" w:eastAsia="zh-CN"/>
        </w:rPr>
        <w:t>2</w:t>
      </w:r>
      <w:r>
        <w:rPr>
          <w:rFonts w:hint="eastAsia" w:ascii="宋体" w:hAnsi="宋体"/>
        </w:rPr>
        <w:t>号线</w:t>
      </w:r>
      <w:r>
        <w:rPr>
          <w:rFonts w:hint="eastAsia" w:ascii="宋体" w:hAnsi="宋体"/>
          <w:lang w:eastAsia="zh-CN"/>
        </w:rPr>
        <w:t>东延线</w:t>
      </w:r>
      <w:r>
        <w:rPr>
          <w:rFonts w:hint="eastAsia" w:ascii="宋体" w:hAnsi="宋体"/>
        </w:rPr>
        <w:t>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lang w:val="en-US" w:eastAsia="zh-CN"/>
        </w:rPr>
        <w:t>4</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9.6价格的充分性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0" w:afterAutospacing="0"/>
        <w:ind w:left="420" w:right="0" w:firstLine="0"/>
        <w:rPr>
          <w:rFonts w:ascii="宋体" w:hAnsi="宋体"/>
        </w:rPr>
      </w:pPr>
      <w:r>
        <w:rPr>
          <w:rFonts w:hint="eastAsia" w:ascii="宋体" w:hAnsi="宋体"/>
        </w:rPr>
        <w:t>9.6.1影响合同价格的全部条件和情况；</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9.6.2完成合同中所述项目的可能性；</w:t>
      </w:r>
    </w:p>
    <w:p>
      <w:pPr>
        <w:tabs>
          <w:tab w:val="left" w:pos="1134"/>
          <w:tab w:val="left" w:pos="8364"/>
        </w:tabs>
        <w:spacing w:before="0" w:after="0" w:afterAutospacing="0"/>
        <w:ind w:left="420" w:right="0" w:firstLine="0"/>
        <w:rPr>
          <w:rFonts w:ascii="宋体" w:hAnsi="宋体"/>
        </w:rPr>
      </w:pPr>
      <w:r>
        <w:rPr>
          <w:rFonts w:hint="eastAsia" w:ascii="宋体" w:hAnsi="宋体"/>
        </w:rPr>
        <w:t>9.6.3现场的综合情况；</w:t>
      </w:r>
    </w:p>
    <w:p>
      <w:pPr>
        <w:tabs>
          <w:tab w:val="left" w:pos="1134"/>
          <w:tab w:val="left" w:pos="8364"/>
        </w:tabs>
        <w:spacing w:before="0" w:after="0" w:afterAutospacing="0"/>
        <w:ind w:left="420" w:right="0" w:firstLine="0"/>
        <w:rPr>
          <w:rFonts w:ascii="宋体" w:hAnsi="宋体"/>
        </w:rPr>
      </w:pPr>
      <w:r>
        <w:rPr>
          <w:rFonts w:hint="eastAsia" w:ascii="宋体" w:hAnsi="宋体"/>
        </w:rPr>
        <w:t>9.6.4现场总的劳务情况；</w:t>
      </w:r>
    </w:p>
    <w:p>
      <w:pPr>
        <w:tabs>
          <w:tab w:val="left" w:pos="1134"/>
          <w:tab w:val="left" w:pos="8364"/>
        </w:tabs>
        <w:spacing w:before="0" w:after="0" w:afterAutospacing="0"/>
        <w:ind w:left="420" w:right="0" w:firstLine="0"/>
        <w:rPr>
          <w:rFonts w:ascii="宋体" w:hAnsi="宋体"/>
        </w:rPr>
      </w:pPr>
      <w:r>
        <w:rPr>
          <w:rFonts w:hint="eastAsia" w:ascii="宋体" w:hAnsi="宋体"/>
        </w:rPr>
        <w:t>9.6.5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640"/>
          <w:tab w:val="left" w:pos="1843"/>
        </w:tabs>
        <w:spacing w:before="0" w:after="0" w:afterAutospacing="0"/>
        <w:ind w:left="420" w:right="0" w:firstLine="0"/>
        <w:outlineLvl w:val="2"/>
        <w:rPr>
          <w:rFonts w:ascii="宋体" w:hAnsi="宋体"/>
          <w:b/>
        </w:rPr>
      </w:pPr>
      <w:bookmarkStart w:id="816" w:name="_Toc27489"/>
      <w:bookmarkStart w:id="817" w:name="_Toc3558"/>
      <w:bookmarkStart w:id="818" w:name="_Toc14851"/>
      <w:bookmarkStart w:id="819" w:name="_Toc378514970"/>
      <w:bookmarkStart w:id="820" w:name="_Toc492478780"/>
      <w:bookmarkStart w:id="821" w:name="_Toc10545"/>
      <w:bookmarkStart w:id="822" w:name="_Toc30611"/>
      <w:bookmarkStart w:id="823" w:name="_Toc21856"/>
      <w:bookmarkStart w:id="824" w:name="_Toc390098482"/>
      <w:bookmarkStart w:id="825" w:name="_Toc29106"/>
      <w:bookmarkStart w:id="826" w:name="_Toc2295"/>
      <w:bookmarkStart w:id="827" w:name="_Toc769"/>
      <w:bookmarkStart w:id="828" w:name="_Toc12825"/>
      <w:bookmarkStart w:id="829" w:name="_Toc29593"/>
      <w:bookmarkStart w:id="830" w:name="_Toc32028"/>
      <w:bookmarkStart w:id="831" w:name="_Toc25441"/>
      <w:bookmarkStart w:id="832" w:name="_Toc6771"/>
      <w:bookmarkStart w:id="833" w:name="_Toc23070"/>
      <w:bookmarkStart w:id="834" w:name="_Toc370933873"/>
      <w:bookmarkStart w:id="835" w:name="_Toc385427856"/>
      <w:bookmarkStart w:id="836" w:name="_Toc26418"/>
      <w:bookmarkStart w:id="837" w:name="_Toc25230"/>
      <w:bookmarkStart w:id="838" w:name="_Toc24113"/>
      <w:bookmarkStart w:id="839" w:name="_Toc25750651"/>
      <w:r>
        <w:rPr>
          <w:rFonts w:hint="eastAsia" w:ascii="宋体" w:hAnsi="宋体"/>
          <w:b/>
        </w:rPr>
        <w:t>10.合同变更与修改</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10.1</w:t>
      </w:r>
      <w:r>
        <w:rPr>
          <w:rFonts w:hint="eastAsia" w:ascii="宋体" w:hAnsi="宋体" w:eastAsia="宋体" w:cs="Times New Roman"/>
          <w:i w:val="0"/>
          <w:iCs w:val="0"/>
          <w:caps w:val="0"/>
          <w:spacing w:val="0"/>
          <w:kern w:val="0"/>
          <w:sz w:val="21"/>
          <w:szCs w:val="21"/>
          <w:lang w:val="en-US" w:eastAsia="zh-CN" w:bidi="ar"/>
        </w:rPr>
        <w:t>除非甲方与乙方双方签署书面修改书，否则不能对合同条款进行任何变更。如果合同另有约定，从其约定。</w:t>
      </w:r>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10.2</w:t>
      </w:r>
      <w:r>
        <w:rPr>
          <w:rFonts w:hint="eastAsia" w:ascii="宋体" w:hAnsi="宋体" w:eastAsia="宋体" w:cs="Times New Roman"/>
          <w:i w:val="0"/>
          <w:iCs w:val="0"/>
          <w:caps w:val="0"/>
          <w:spacing w:val="0"/>
          <w:kern w:val="0"/>
          <w:sz w:val="21"/>
          <w:szCs w:val="21"/>
          <w:lang w:val="en-US" w:eastAsia="zh-CN" w:bidi="ar"/>
        </w:rPr>
        <w:t>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10.3</w:t>
      </w:r>
      <w:r>
        <w:rPr>
          <w:rFonts w:hint="eastAsia" w:ascii="宋体" w:hAnsi="宋体" w:eastAsia="宋体" w:cs="Times New Roman"/>
          <w:i w:val="0"/>
          <w:iCs w:val="0"/>
          <w:caps w:val="0"/>
          <w:spacing w:val="0"/>
          <w:kern w:val="0"/>
          <w:sz w:val="21"/>
          <w:szCs w:val="21"/>
          <w:lang w:val="en-US" w:eastAsia="zh-CN" w:bidi="ar"/>
        </w:rPr>
        <w:t> 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10.4</w:t>
      </w:r>
      <w:r>
        <w:rPr>
          <w:rFonts w:hint="eastAsia" w:ascii="宋体" w:hAnsi="宋体" w:eastAsia="宋体" w:cs="Times New Roman"/>
          <w:i w:val="0"/>
          <w:iCs w:val="0"/>
          <w:caps w:val="0"/>
          <w:spacing w:val="0"/>
          <w:kern w:val="0"/>
          <w:sz w:val="21"/>
          <w:szCs w:val="21"/>
          <w:lang w:val="en-US" w:eastAsia="zh-CN" w:bidi="ar"/>
        </w:rPr>
        <w:t> 乙方收到甲方通知后应在十天内向甲方提供变更所带来的费用变化，乙方所提的费用应是最优惠的。</w:t>
      </w:r>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10.5</w:t>
      </w:r>
      <w:r>
        <w:rPr>
          <w:rFonts w:hint="eastAsia" w:ascii="宋体" w:hAnsi="宋体" w:eastAsia="宋体" w:cs="Times New Roman"/>
          <w:i w:val="0"/>
          <w:iCs w:val="0"/>
          <w:caps w:val="0"/>
          <w:spacing w:val="0"/>
          <w:kern w:val="0"/>
          <w:sz w:val="21"/>
          <w:szCs w:val="21"/>
          <w:lang w:val="en-US" w:eastAsia="zh-CN" w:bidi="ar"/>
        </w:rPr>
        <w:t> 除非甲方书面提出，乙方不得对本项目进行任何变更。</w:t>
      </w:r>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10.6</w:t>
      </w:r>
      <w:r>
        <w:rPr>
          <w:rFonts w:hint="eastAsia" w:ascii="宋体" w:hAnsi="宋体" w:eastAsia="宋体" w:cs="Times New Roman"/>
          <w:i w:val="0"/>
          <w:iCs w:val="0"/>
          <w:caps w:val="0"/>
          <w:spacing w:val="0"/>
          <w:kern w:val="0"/>
          <w:sz w:val="21"/>
          <w:szCs w:val="21"/>
          <w:lang w:val="en-US" w:eastAsia="zh-CN" w:bidi="ar"/>
        </w:rPr>
        <w:t>如甲方根据本条款要做出合同服务数量调整，甲方应将此类调整的性质和内容通知乙方。双方协商后签订补充协议。</w:t>
      </w:r>
    </w:p>
    <w:p>
      <w:pPr>
        <w:keepNext w:val="0"/>
        <w:keepLines w:val="0"/>
        <w:widowControl/>
        <w:suppressLineNumbers w:val="0"/>
        <w:tabs>
          <w:tab w:val="left" w:pos="1134"/>
          <w:tab w:val="left" w:pos="8364"/>
        </w:tabs>
        <w:spacing w:before="0" w:beforeAutospacing="0" w:after="0" w:afterAutospacing="0" w:line="360" w:lineRule="auto"/>
        <w:ind w:left="0" w:right="0" w:firstLine="420" w:firstLineChars="200"/>
        <w:jc w:val="left"/>
        <w:rPr>
          <w:rFonts w:hint="eastAsia" w:ascii="宋体" w:hAnsi="宋体" w:cs="Times New Roman"/>
          <w:sz w:val="21"/>
          <w:szCs w:val="21"/>
        </w:rPr>
      </w:pPr>
      <w:r>
        <w:rPr>
          <w:rFonts w:hint="eastAsia" w:ascii="宋体" w:hAnsi="宋体" w:cs="Times New Roman"/>
          <w:i w:val="0"/>
          <w:iCs w:val="0"/>
          <w:caps w:val="0"/>
          <w:spacing w:val="0"/>
          <w:kern w:val="0"/>
          <w:sz w:val="21"/>
          <w:szCs w:val="21"/>
          <w:lang w:val="en-US" w:eastAsia="zh-CN" w:bidi="ar"/>
        </w:rPr>
        <w:t>10.7</w:t>
      </w:r>
      <w:r>
        <w:rPr>
          <w:rFonts w:hint="eastAsia" w:ascii="宋体" w:hAnsi="宋体" w:eastAsia="宋体" w:cs="Times New Roman"/>
          <w:i w:val="0"/>
          <w:iCs w:val="0"/>
          <w:caps w:val="0"/>
          <w:spacing w:val="0"/>
          <w:kern w:val="0"/>
          <w:sz w:val="21"/>
          <w:szCs w:val="21"/>
          <w:lang w:val="en-US" w:eastAsia="zh-CN" w:bidi="ar"/>
        </w:rPr>
        <w:t>对合同条款做出任何改动或偏离，均须由甲乙双方签署书面协议或合同。</w:t>
      </w:r>
    </w:p>
    <w:p>
      <w:pPr>
        <w:tabs>
          <w:tab w:val="left" w:pos="640"/>
          <w:tab w:val="left" w:pos="1843"/>
        </w:tabs>
        <w:spacing w:before="0" w:after="0" w:afterAutospacing="0"/>
        <w:ind w:left="420" w:right="0" w:firstLine="0"/>
        <w:outlineLvl w:val="2"/>
        <w:rPr>
          <w:rFonts w:ascii="宋体" w:hAnsi="宋体"/>
          <w:b/>
        </w:rPr>
      </w:pPr>
      <w:bookmarkStart w:id="840" w:name="_Toc370933874"/>
      <w:bookmarkStart w:id="841" w:name="_Toc29029"/>
      <w:bookmarkStart w:id="842" w:name="_Toc378514971"/>
      <w:bookmarkStart w:id="843" w:name="_Toc16088"/>
      <w:bookmarkStart w:id="844" w:name="_Toc1259"/>
      <w:bookmarkStart w:id="845" w:name="_Toc25965"/>
      <w:bookmarkStart w:id="846" w:name="_Toc492478781"/>
      <w:bookmarkStart w:id="847" w:name="_Toc385427857"/>
      <w:bookmarkStart w:id="848" w:name="_Toc28641"/>
      <w:bookmarkStart w:id="849" w:name="_Toc21302"/>
      <w:bookmarkStart w:id="850" w:name="_Toc25195"/>
      <w:bookmarkStart w:id="851" w:name="_Toc29664"/>
      <w:bookmarkStart w:id="852" w:name="_Toc18239"/>
      <w:bookmarkStart w:id="853" w:name="_Toc2307"/>
      <w:bookmarkStart w:id="854" w:name="_Toc15094"/>
      <w:bookmarkStart w:id="855" w:name="_Toc17820"/>
      <w:bookmarkStart w:id="856" w:name="_Toc24029"/>
      <w:bookmarkStart w:id="857" w:name="_Toc27980"/>
      <w:bookmarkStart w:id="858" w:name="_Toc11895"/>
      <w:bookmarkStart w:id="859" w:name="_Toc4403"/>
      <w:bookmarkStart w:id="860" w:name="_Toc3081"/>
      <w:bookmarkStart w:id="861" w:name="_Toc18453"/>
      <w:bookmarkStart w:id="862" w:name="_Toc390098483"/>
      <w:bookmarkStart w:id="863" w:name="_Toc25750652"/>
      <w:r>
        <w:rPr>
          <w:rFonts w:hint="eastAsia" w:ascii="宋体" w:hAnsi="宋体"/>
          <w:b/>
        </w:rPr>
        <w:t>11.</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Fonts w:hint="eastAsia" w:ascii="宋体" w:hAnsi="宋体"/>
          <w:b/>
        </w:rPr>
        <w:t>违约责任</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rPr>
        <w:t>11.1 甲方违约责任</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rPr>
        <w:t>11.1.1 甲方未按时支付合同款项，应按延期应付款项的同期银行存款利息向乙方支付违约金。</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rPr>
        <w:t>11.2 乙方违约责任</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rPr>
        <w:t>11.2.1合同签订后，乙方不能完成服务，甲方收取乙方合同价款的20％的违约金，同时甲方重新采购因价格差所造成的损失由乙方承担。</w:t>
      </w:r>
    </w:p>
    <w:p>
      <w:pPr>
        <w:tabs>
          <w:tab w:val="left" w:pos="820"/>
        </w:tabs>
        <w:adjustRightInd w:val="0"/>
        <w:spacing w:before="0" w:after="0" w:afterAutospacing="0"/>
        <w:ind w:left="0" w:right="0" w:firstLine="420" w:firstLineChars="200"/>
        <w:rPr>
          <w:rFonts w:hint="eastAsia" w:ascii="宋体" w:hAnsi="宋体"/>
          <w:lang w:val="en-US" w:eastAsia="zh-CN"/>
        </w:rPr>
      </w:pPr>
      <w:r>
        <w:rPr>
          <w:rFonts w:hint="eastAsia" w:ascii="宋体" w:hAnsi="宋体"/>
          <w:lang w:val="en-US" w:eastAsia="zh-CN"/>
        </w:rPr>
        <w:t>11.2.2乙方根据甲方要求对设计方案无条件修改，最终定稿方案须经甲方审核通过后方可进行制作，如未按要求则视为违约，并按照11.2.1条收取违约金。</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lang w:val="en-US" w:eastAsia="zh-CN"/>
        </w:rPr>
        <w:t>11.2.3乙方逾期完成服务，每逾期一天，甲方应按人民币伍佰元500元收取乙方违约金，但该违约金累计不超过10000元；逾期超过20天仍不能完成服务的，甲方有权单方解除合同。</w:t>
      </w:r>
      <w:r>
        <w:rPr>
          <w:rFonts w:hint="eastAsia" w:ascii="宋体" w:hAnsi="宋体"/>
        </w:rPr>
        <w:t xml:space="preserve"> </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lang w:val="en-US" w:eastAsia="zh-CN"/>
        </w:rPr>
        <w:t>11.2.4</w:t>
      </w:r>
      <w:r>
        <w:rPr>
          <w:rFonts w:hint="eastAsia" w:ascii="宋体" w:hAnsi="宋体"/>
        </w:rPr>
        <w:t>乙方提供服务不符合合同规定标准的，甲方有权拒收该服务，如乙方拒绝完成服务，按条款</w:t>
      </w:r>
      <w:r>
        <w:rPr>
          <w:rFonts w:hint="eastAsia" w:ascii="宋体" w:hAnsi="宋体"/>
          <w:lang w:val="en-US" w:eastAsia="zh-CN"/>
        </w:rPr>
        <w:t>11</w:t>
      </w:r>
      <w:r>
        <w:rPr>
          <w:rFonts w:hint="eastAsia" w:ascii="宋体" w:hAnsi="宋体"/>
        </w:rPr>
        <w:t>.2</w:t>
      </w:r>
      <w:r>
        <w:rPr>
          <w:rFonts w:hint="eastAsia" w:ascii="宋体" w:hAnsi="宋体"/>
          <w:lang w:val="en-US" w:eastAsia="zh-CN"/>
        </w:rPr>
        <w:t>.3</w:t>
      </w:r>
      <w:r>
        <w:rPr>
          <w:rFonts w:hint="eastAsia" w:ascii="宋体" w:hAnsi="宋体"/>
        </w:rPr>
        <w:t>处理；如乙方重新提供符合要求的服务但逾期完成服务的，按条款</w:t>
      </w:r>
      <w:r>
        <w:rPr>
          <w:rFonts w:hint="eastAsia" w:ascii="宋体" w:hAnsi="宋体"/>
          <w:lang w:val="en-US" w:eastAsia="zh-CN"/>
        </w:rPr>
        <w:t>11.2.3</w:t>
      </w:r>
      <w:r>
        <w:rPr>
          <w:rFonts w:hint="eastAsia" w:ascii="宋体" w:hAnsi="宋体"/>
        </w:rPr>
        <w:t xml:space="preserve">处理。如因甲方原因导致乙方无法提供服务或服务不符合合同规定标准的，经甲乙双方协商后，可另行签订补充协议，乙方承诺如完成服务的质量不低于原合同的，按原合同价格结算。  </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lang w:val="en-US" w:eastAsia="zh-CN"/>
        </w:rPr>
        <w:t>11.2.5</w:t>
      </w:r>
      <w:r>
        <w:rPr>
          <w:rFonts w:hint="eastAsia" w:ascii="宋体" w:hAnsi="宋体"/>
        </w:rPr>
        <w:t xml:space="preserve"> 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  </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lang w:val="en-US" w:eastAsia="zh-CN"/>
        </w:rPr>
        <w:t>11.2.6由于乙方所提供的服务质量不合格给甲方或第三方造成人身财产损失的，乙方应承担全部责任。</w:t>
      </w:r>
      <w:r>
        <w:rPr>
          <w:rFonts w:hint="eastAsia" w:ascii="宋体" w:hAnsi="宋体"/>
        </w:rPr>
        <w:t xml:space="preserve">        </w:t>
      </w:r>
    </w:p>
    <w:p>
      <w:pPr>
        <w:tabs>
          <w:tab w:val="left" w:pos="820"/>
        </w:tabs>
        <w:adjustRightInd w:val="0"/>
        <w:spacing w:before="0" w:after="0" w:afterAutospacing="0"/>
        <w:ind w:left="0" w:right="0" w:firstLine="420" w:firstLineChars="200"/>
        <w:rPr>
          <w:rFonts w:hint="eastAsia" w:ascii="宋体" w:hAnsi="宋体"/>
          <w:lang w:val="en-US" w:eastAsia="zh-CN"/>
        </w:rPr>
      </w:pPr>
      <w:r>
        <w:rPr>
          <w:rFonts w:hint="eastAsia" w:ascii="宋体" w:hAnsi="宋体"/>
          <w:lang w:val="en-US" w:eastAsia="zh-CN"/>
        </w:rPr>
        <w:t>11.2.7乙方违反其他合同条款的，甲方需收取乙方扣除合同价格20%的违约金。</w:t>
      </w:r>
    </w:p>
    <w:p>
      <w:pPr>
        <w:tabs>
          <w:tab w:val="left" w:pos="820"/>
        </w:tabs>
        <w:adjustRightInd w:val="0"/>
        <w:spacing w:before="0" w:after="0" w:afterAutospacing="0"/>
        <w:ind w:left="0" w:right="0" w:firstLine="420" w:firstLineChars="200"/>
        <w:rPr>
          <w:rFonts w:hint="eastAsia" w:ascii="宋体" w:hAnsi="宋体"/>
        </w:rPr>
      </w:pPr>
      <w:r>
        <w:rPr>
          <w:rFonts w:hint="eastAsia" w:ascii="宋体" w:hAnsi="宋体"/>
          <w:lang w:val="en-US" w:eastAsia="zh-CN"/>
        </w:rPr>
        <w:t>11.2.8</w:t>
      </w:r>
      <w:r>
        <w:rPr>
          <w:rFonts w:hint="eastAsia" w:ascii="宋体" w:hAnsi="宋体"/>
        </w:rPr>
        <w:t xml:space="preserve"> 因乙方其他原因导致合同解除的，甲方需收取乙方合同价格20%的违约金，如造成甲方损失的，乙方应承担赔偿责任。</w:t>
      </w:r>
    </w:p>
    <w:p>
      <w:pPr>
        <w:tabs>
          <w:tab w:val="left" w:pos="820"/>
        </w:tabs>
        <w:adjustRightInd w:val="0"/>
        <w:spacing w:before="0" w:after="0" w:afterAutospacing="0"/>
        <w:ind w:left="0" w:right="0" w:firstLine="420" w:firstLineChars="200"/>
        <w:rPr>
          <w:rFonts w:ascii="宋体" w:hAnsi="宋体" w:cs="Arial"/>
        </w:rPr>
      </w:pPr>
      <w:r>
        <w:rPr>
          <w:rFonts w:hint="eastAsia" w:ascii="宋体" w:hAnsi="宋体"/>
          <w:lang w:val="en-US" w:eastAsia="zh-CN"/>
        </w:rPr>
        <w:t>11.2.9本合同中所列的违约金和赔偿款，甲方有权从合同款中扣除。所有违约金和赔偿款的扣除，不免除乙方继续履行合同义务，也不减轻乙方合同项下的其他责任和义务。</w:t>
      </w:r>
    </w:p>
    <w:p>
      <w:pPr>
        <w:numPr>
          <w:ilvl w:val="0"/>
          <w:numId w:val="7"/>
        </w:numPr>
        <w:tabs>
          <w:tab w:val="left" w:pos="640"/>
          <w:tab w:val="left" w:pos="1843"/>
        </w:tabs>
        <w:spacing w:before="0" w:after="0" w:afterAutospacing="0"/>
        <w:ind w:left="420" w:right="0" w:firstLine="0"/>
        <w:outlineLvl w:val="2"/>
        <w:rPr>
          <w:rFonts w:hint="eastAsia" w:cs="宋体"/>
          <w:b/>
          <w:bCs/>
        </w:rPr>
      </w:pPr>
      <w:r>
        <w:rPr>
          <w:rFonts w:hint="eastAsia" w:cs="宋体"/>
          <w:b/>
          <w:bCs/>
          <w:lang w:eastAsia="zh-CN"/>
        </w:rPr>
        <w:t>验收</w:t>
      </w:r>
    </w:p>
    <w:p>
      <w:pPr>
        <w:tabs>
          <w:tab w:val="left" w:pos="720"/>
          <w:tab w:val="left" w:pos="1060"/>
        </w:tabs>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.1乙方应于</w:t>
      </w:r>
      <w:r>
        <w:rPr>
          <w:rFonts w:hint="eastAsia" w:ascii="宋体" w:hAnsi="宋体"/>
          <w:lang w:eastAsia="zh-CN"/>
        </w:rPr>
        <w:t>项目验收前向甲方提交项目竣工验收申请报告，甲方在接到乙方提供的项目竣工验收申请报告之日起</w:t>
      </w:r>
      <w:r>
        <w:rPr>
          <w:rFonts w:hint="eastAsia" w:ascii="宋体" w:hAnsi="宋体"/>
          <w:lang w:val="en-US" w:eastAsia="zh-CN"/>
        </w:rPr>
        <w:t>10天内组织验收。</w:t>
      </w:r>
      <w:r>
        <w:rPr>
          <w:rFonts w:hint="eastAsia" w:ascii="宋体" w:hAnsi="宋体"/>
        </w:rPr>
        <w:t>验收合格之日起计算质量保证期。</w:t>
      </w:r>
    </w:p>
    <w:p>
      <w:pPr>
        <w:tabs>
          <w:tab w:val="left" w:pos="720"/>
          <w:tab w:val="left" w:pos="1080"/>
        </w:tabs>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w:t>
      </w:r>
      <w:r>
        <w:rPr>
          <w:rFonts w:hint="eastAsia" w:ascii="宋体" w:hAnsi="宋体"/>
          <w:lang w:val="en-US" w:eastAsia="zh-CN"/>
        </w:rPr>
        <w:t>2</w:t>
      </w:r>
      <w:r>
        <w:rPr>
          <w:rFonts w:hint="eastAsia" w:ascii="宋体" w:hAnsi="宋体"/>
        </w:rPr>
        <w:t>验收标准</w:t>
      </w:r>
    </w:p>
    <w:p>
      <w:pPr>
        <w:tabs>
          <w:tab w:val="left" w:pos="720"/>
          <w:tab w:val="left" w:pos="1134"/>
        </w:tabs>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w:t>
      </w:r>
      <w:r>
        <w:rPr>
          <w:rFonts w:hint="eastAsia" w:ascii="宋体" w:hAnsi="宋体"/>
          <w:lang w:val="en-US" w:eastAsia="zh-CN"/>
        </w:rPr>
        <w:t>2</w:t>
      </w:r>
      <w:r>
        <w:rPr>
          <w:rFonts w:hint="eastAsia" w:ascii="宋体" w:hAnsi="宋体"/>
        </w:rPr>
        <w:t xml:space="preserve">.1 </w:t>
      </w:r>
      <w:r>
        <w:rPr>
          <w:rFonts w:hint="eastAsia" w:ascii="宋体" w:hAnsi="宋体"/>
          <w:lang w:eastAsia="zh-CN"/>
        </w:rPr>
        <w:t>满足</w:t>
      </w:r>
      <w:r>
        <w:rPr>
          <w:rFonts w:hint="eastAsia" w:ascii="宋体" w:hAnsi="宋体"/>
        </w:rPr>
        <w:t>技术规格书</w:t>
      </w:r>
      <w:r>
        <w:rPr>
          <w:rFonts w:hint="eastAsia" w:ascii="宋体" w:hAnsi="宋体"/>
          <w:lang w:eastAsia="zh-CN"/>
        </w:rPr>
        <w:t>中</w:t>
      </w:r>
      <w:r>
        <w:rPr>
          <w:rFonts w:hint="eastAsia" w:ascii="宋体" w:hAnsi="宋体"/>
        </w:rPr>
        <w:t>对货物的检验标准。</w:t>
      </w:r>
    </w:p>
    <w:p>
      <w:pPr>
        <w:tabs>
          <w:tab w:val="left" w:pos="720"/>
          <w:tab w:val="left" w:pos="1134"/>
        </w:tabs>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w:t>
      </w:r>
      <w:r>
        <w:rPr>
          <w:rFonts w:hint="eastAsia" w:ascii="宋体" w:hAnsi="宋体"/>
          <w:lang w:val="en-US" w:eastAsia="zh-CN"/>
        </w:rPr>
        <w:t>2</w:t>
      </w:r>
      <w:r>
        <w:rPr>
          <w:rFonts w:hint="eastAsia" w:ascii="宋体" w:hAnsi="宋体"/>
        </w:rPr>
        <w:t>.2 以合格证书、技术性能参数、质量参数和国家质量标准作为对热熔漆的检验标准。</w:t>
      </w:r>
    </w:p>
    <w:p>
      <w:pPr>
        <w:snapToGrid w:val="0"/>
        <w:spacing w:before="0" w:after="0" w:afterAutospacing="0"/>
        <w:ind w:left="0" w:right="0" w:firstLine="420" w:firstLineChars="200"/>
        <w:rPr>
          <w:rFonts w:hint="eastAsia" w:ascii="宋体" w:hAnsi="宋体"/>
          <w:lang w:val="en-US" w:eastAsia="zh-CN"/>
        </w:rPr>
      </w:pPr>
      <w:r>
        <w:rPr>
          <w:rFonts w:hint="eastAsia" w:ascii="宋体" w:hAnsi="宋体"/>
          <w:lang w:val="en-US" w:eastAsia="zh-CN"/>
        </w:rPr>
        <w:t>12</w:t>
      </w:r>
      <w:r>
        <w:rPr>
          <w:rFonts w:hint="eastAsia" w:ascii="宋体" w:hAnsi="宋体"/>
        </w:rPr>
        <w:t>.</w:t>
      </w:r>
      <w:r>
        <w:rPr>
          <w:rFonts w:hint="eastAsia" w:ascii="宋体" w:hAnsi="宋体"/>
          <w:lang w:val="en-US" w:eastAsia="zh-CN"/>
        </w:rPr>
        <w:t>2</w:t>
      </w:r>
      <w:r>
        <w:rPr>
          <w:rFonts w:hint="eastAsia" w:ascii="宋体" w:hAnsi="宋体"/>
        </w:rPr>
        <w:t>.</w:t>
      </w:r>
      <w:r>
        <w:rPr>
          <w:rFonts w:hint="eastAsia" w:ascii="宋体" w:hAnsi="宋体"/>
          <w:lang w:val="en-US" w:eastAsia="zh-CN"/>
        </w:rPr>
        <w:t>3</w:t>
      </w:r>
      <w:r>
        <w:rPr>
          <w:rFonts w:hint="eastAsia" w:ascii="宋体" w:hAnsi="宋体"/>
        </w:rPr>
        <w:t xml:space="preserve"> </w:t>
      </w:r>
      <w:r>
        <w:rPr>
          <w:rFonts w:hint="eastAsia" w:ascii="宋体" w:hAnsi="宋体"/>
          <w:lang w:eastAsia="zh-CN"/>
        </w:rPr>
        <w:t>施工验收的相关标准。</w:t>
      </w:r>
    </w:p>
    <w:p>
      <w:pPr>
        <w:tabs>
          <w:tab w:val="left" w:pos="720"/>
          <w:tab w:val="left" w:pos="1134"/>
        </w:tabs>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w:t>
      </w:r>
      <w:r>
        <w:rPr>
          <w:rFonts w:hint="eastAsia" w:ascii="宋体" w:hAnsi="宋体"/>
          <w:lang w:val="en-US" w:eastAsia="zh-CN"/>
        </w:rPr>
        <w:t>3</w:t>
      </w:r>
      <w:r>
        <w:rPr>
          <w:rFonts w:hint="eastAsia" w:ascii="宋体" w:hAnsi="宋体"/>
        </w:rPr>
        <w:t>验收时须同时满足以下要求方为合格：</w:t>
      </w:r>
    </w:p>
    <w:p>
      <w:pPr>
        <w:snapToGrid w:val="0"/>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.3.</w:t>
      </w:r>
      <w:r>
        <w:rPr>
          <w:rFonts w:hint="eastAsia" w:ascii="宋体" w:hAnsi="宋体"/>
          <w:lang w:val="en-US" w:eastAsia="zh-CN"/>
        </w:rPr>
        <w:t>1</w:t>
      </w:r>
      <w:r>
        <w:rPr>
          <w:rFonts w:hint="eastAsia" w:ascii="宋体" w:hAnsi="宋体"/>
        </w:rPr>
        <w:t xml:space="preserve"> </w:t>
      </w:r>
      <w:r>
        <w:rPr>
          <w:rFonts w:hint="eastAsia" w:ascii="宋体" w:hAnsi="宋体"/>
          <w:lang w:eastAsia="zh-CN"/>
        </w:rPr>
        <w:t>使用物资的</w:t>
      </w:r>
      <w:r>
        <w:rPr>
          <w:rFonts w:ascii="宋体" w:hAnsi="宋体"/>
        </w:rPr>
        <w:t>供货清单</w:t>
      </w:r>
      <w:r>
        <w:rPr>
          <w:rFonts w:hint="eastAsia" w:ascii="宋体" w:hAnsi="宋体"/>
        </w:rPr>
        <w:t>、质量合格证书（如有）、保修证书（如有）、产品使用说明书（如有）、甲方要求格式的原厂供货证明（如有）及其他应随产品一同的技术资料；</w:t>
      </w:r>
    </w:p>
    <w:p>
      <w:pPr>
        <w:snapToGrid w:val="0"/>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.3.</w:t>
      </w:r>
      <w:r>
        <w:rPr>
          <w:rFonts w:hint="eastAsia" w:ascii="宋体" w:hAnsi="宋体"/>
          <w:lang w:val="en-US" w:eastAsia="zh-CN"/>
        </w:rPr>
        <w:t>2</w:t>
      </w:r>
      <w:r>
        <w:rPr>
          <w:rFonts w:hint="eastAsia" w:ascii="宋体" w:hAnsi="宋体"/>
        </w:rPr>
        <w:t xml:space="preserve"> </w:t>
      </w:r>
      <w:r>
        <w:rPr>
          <w:rFonts w:hint="eastAsia" w:ascii="宋体" w:hAnsi="宋体"/>
          <w:lang w:eastAsia="zh-CN"/>
        </w:rPr>
        <w:t>符合</w:t>
      </w:r>
      <w:r>
        <w:rPr>
          <w:rFonts w:ascii="宋体" w:hAnsi="宋体"/>
        </w:rPr>
        <w:t>本合同附件所涉及的质量、技术、服务及验收的相关内容。</w:t>
      </w:r>
    </w:p>
    <w:p>
      <w:pPr>
        <w:tabs>
          <w:tab w:val="left" w:pos="720"/>
          <w:tab w:val="left" w:pos="1134"/>
        </w:tabs>
        <w:spacing w:before="0" w:after="0" w:afterAutospacing="0"/>
        <w:ind w:left="0" w:right="0" w:firstLine="420" w:firstLineChars="200"/>
        <w:rPr>
          <w:rFonts w:ascii="宋体" w:hAnsi="宋体"/>
        </w:rPr>
      </w:pPr>
      <w:r>
        <w:rPr>
          <w:rFonts w:hint="eastAsia" w:ascii="宋体" w:hAnsi="宋体"/>
          <w:lang w:val="en-US" w:eastAsia="zh-CN"/>
        </w:rPr>
        <w:t>12</w:t>
      </w:r>
      <w:r>
        <w:rPr>
          <w:rFonts w:hint="eastAsia" w:ascii="宋体" w:hAnsi="宋体"/>
        </w:rPr>
        <w:t>.3.3 验收时，乙方需保证施划的热熔漆满足技术需求和验收标准，否则甲方可以拒收，并要求乙方重新施划符合要求的热熔漆。</w:t>
      </w:r>
    </w:p>
    <w:p>
      <w:pPr>
        <w:snapToGrid w:val="0"/>
        <w:spacing w:before="0" w:after="0" w:afterAutospacing="0"/>
        <w:ind w:left="0" w:right="0" w:firstLine="420" w:firstLineChars="200"/>
        <w:rPr>
          <w:rFonts w:ascii="宋体" w:hAnsi="宋体"/>
        </w:rPr>
      </w:pPr>
      <w:r>
        <w:rPr>
          <w:rFonts w:hint="eastAsia" w:ascii="宋体" w:hAnsi="宋体"/>
        </w:rPr>
        <w:t>若因乙方交付的热熔漆不满足技术需求，并拒绝更换符合甲方技术需求的热熔漆，甲方有权根据合同条款</w:t>
      </w:r>
      <w:r>
        <w:rPr>
          <w:rFonts w:hint="eastAsia" w:ascii="宋体" w:hAnsi="宋体"/>
          <w:lang w:val="en-US" w:eastAsia="zh-CN"/>
        </w:rPr>
        <w:t>11.2</w:t>
      </w:r>
      <w:r>
        <w:rPr>
          <w:rFonts w:hint="eastAsia" w:ascii="宋体" w:hAnsi="宋体"/>
        </w:rPr>
        <w:t>追究乙方违约责任</w:t>
      </w:r>
      <w:r>
        <w:rPr>
          <w:rFonts w:ascii="宋体" w:hAnsi="宋体"/>
        </w:rPr>
        <w:t>。</w:t>
      </w:r>
    </w:p>
    <w:p>
      <w:pPr>
        <w:numPr>
          <w:ilvl w:val="0"/>
          <w:numId w:val="0"/>
        </w:numPr>
        <w:tabs>
          <w:tab w:val="left" w:pos="640"/>
          <w:tab w:val="left" w:pos="1843"/>
        </w:tabs>
        <w:spacing w:before="0" w:after="0" w:afterAutospacing="0"/>
        <w:ind w:left="0" w:leftChars="0" w:right="0" w:rightChars="0" w:firstLine="420" w:firstLineChars="200"/>
        <w:outlineLvl w:val="2"/>
        <w:rPr>
          <w:rFonts w:hint="eastAsia" w:cs="宋体"/>
          <w:b/>
          <w:bCs/>
        </w:rPr>
      </w:pPr>
      <w:r>
        <w:rPr>
          <w:rFonts w:hint="eastAsia" w:ascii="宋体" w:hAnsi="宋体"/>
          <w:lang w:val="en-US" w:eastAsia="zh-CN"/>
        </w:rPr>
        <w:t>12</w:t>
      </w:r>
      <w:r>
        <w:rPr>
          <w:rFonts w:hint="eastAsia" w:ascii="宋体" w:hAnsi="宋体"/>
        </w:rPr>
        <w:t>.4甲方验收不合格的热熔漆，乙方须于接到甲方通知之日起15个工作日内铲除不合格的热熔漆并重新施划；逾期不铲除热熔漆并重新施划的，每逾期一天，乙方按不合格热熔漆总价格的0.5%向甲方支付违约金；逾期超过20工作日仍不铲除并重新施划的，视为乙方同意放弃铲除并重新施划热熔漆的所有权利，并委托甲方全权处置，处置费用由乙方承担。</w:t>
      </w:r>
    </w:p>
    <w:p>
      <w:pPr>
        <w:numPr>
          <w:ilvl w:val="0"/>
          <w:numId w:val="7"/>
        </w:numPr>
        <w:tabs>
          <w:tab w:val="left" w:pos="640"/>
          <w:tab w:val="left" w:pos="1843"/>
        </w:tabs>
        <w:spacing w:before="0" w:after="0" w:afterAutospacing="0"/>
        <w:ind w:left="420" w:right="0" w:firstLine="0"/>
        <w:outlineLvl w:val="2"/>
        <w:rPr>
          <w:rFonts w:hint="eastAsia" w:cs="宋体"/>
          <w:b/>
          <w:bCs/>
        </w:rPr>
      </w:pPr>
      <w:r>
        <w:rPr>
          <w:rFonts w:hint="eastAsia" w:cs="宋体"/>
          <w:b/>
          <w:bCs/>
        </w:rPr>
        <w:t>合同解除和终</w:t>
      </w:r>
      <w:r>
        <w:rPr>
          <w:rFonts w:hint="eastAsia" w:cs="宋体"/>
          <w:b/>
          <w:bCs/>
          <w:lang w:eastAsia="zh-CN"/>
        </w:rPr>
        <w:t>止</w:t>
      </w:r>
    </w:p>
    <w:p>
      <w:pPr>
        <w:tabs>
          <w:tab w:val="left" w:pos="1120"/>
        </w:tabs>
        <w:spacing w:before="0" w:after="0" w:afterAutospacing="0"/>
        <w:ind w:left="0" w:right="0" w:firstLine="420" w:firstLineChars="200"/>
        <w:rPr>
          <w:rFonts w:cs="宋体"/>
        </w:rPr>
      </w:pPr>
      <w:r>
        <w:rPr>
          <w:rFonts w:hint="eastAsia" w:ascii="宋体" w:hAnsi="宋体"/>
        </w:rPr>
        <w:t>1</w:t>
      </w:r>
      <w:r>
        <w:rPr>
          <w:rFonts w:hint="eastAsia" w:ascii="宋体" w:hAnsi="宋体"/>
          <w:lang w:val="en-US" w:eastAsia="zh-CN"/>
        </w:rPr>
        <w:t>3</w:t>
      </w:r>
      <w:r>
        <w:rPr>
          <w:rFonts w:hint="eastAsia" w:ascii="宋体" w:hAnsi="宋体"/>
        </w:rPr>
        <w:t>.1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1</w:t>
      </w:r>
      <w:r>
        <w:rPr>
          <w:rFonts w:hint="eastAsia" w:ascii="宋体" w:hAnsi="宋体"/>
          <w:lang w:val="en-US" w:eastAsia="zh-CN"/>
        </w:rPr>
        <w:t>3</w:t>
      </w:r>
      <w:r>
        <w:rPr>
          <w:rFonts w:hint="eastAsia" w:ascii="宋体" w:hAnsi="宋体"/>
        </w:rPr>
        <w:t xml:space="preserve">.2 </w:t>
      </w:r>
      <w:r>
        <w:rPr>
          <w:rFonts w:hint="eastAsia" w:cs="宋体"/>
        </w:rPr>
        <w:t>违约违规终止合同</w:t>
      </w:r>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3</w:t>
      </w:r>
      <w:r>
        <w:rPr>
          <w:rFonts w:ascii="宋体" w:hAnsi="宋体"/>
        </w:rPr>
        <w:t>.2.1</w:t>
      </w:r>
      <w:r>
        <w:rPr>
          <w:rFonts w:hint="eastAsia" w:ascii="宋体" w:hAnsi="宋体"/>
        </w:rPr>
        <w:t>在合同有效期内，如发现乙方违法分包、转包或挂靠，或前期存在围标串标或提供虚假资料情形的，甲方将单方终止合同，履约保证金不予退还，乙方须承担违约责任、赔偿甲方的一切经济损失</w:t>
      </w:r>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3</w:t>
      </w:r>
      <w:r>
        <w:rPr>
          <w:rFonts w:ascii="宋体" w:hAnsi="宋体"/>
        </w:rPr>
        <w:t>.2.2</w:t>
      </w:r>
      <w:r>
        <w:rPr>
          <w:rFonts w:hint="eastAsia" w:ascii="宋体" w:hAnsi="宋体"/>
        </w:rPr>
        <w:t>合同成立后，若乙方不按合同履行职责导致对甲方安全运营、名誉、形象等造成影响，甲方有权终止合同。</w:t>
      </w:r>
    </w:p>
    <w:p>
      <w:pPr>
        <w:tabs>
          <w:tab w:val="left" w:pos="640"/>
          <w:tab w:val="left" w:pos="1843"/>
        </w:tabs>
        <w:spacing w:before="0" w:after="0" w:afterAutospacing="0"/>
        <w:ind w:left="420" w:right="0" w:firstLine="0"/>
        <w:outlineLvl w:val="2"/>
        <w:rPr>
          <w:rFonts w:ascii="宋体" w:hAnsi="宋体"/>
          <w:b/>
        </w:rPr>
      </w:pPr>
      <w:bookmarkStart w:id="864" w:name="_Toc17029"/>
      <w:bookmarkStart w:id="865" w:name="_Toc8696"/>
      <w:bookmarkStart w:id="866" w:name="_Toc24065"/>
      <w:bookmarkStart w:id="867" w:name="_Toc492478782"/>
      <w:bookmarkStart w:id="868" w:name="_Toc4396"/>
      <w:bookmarkStart w:id="869" w:name="_Toc16315"/>
      <w:bookmarkStart w:id="870" w:name="_Toc378514972"/>
      <w:bookmarkStart w:id="871" w:name="_Toc661"/>
      <w:bookmarkStart w:id="872" w:name="_Toc21413"/>
      <w:bookmarkStart w:id="873" w:name="_Toc3130"/>
      <w:bookmarkStart w:id="874" w:name="_Toc25342"/>
      <w:bookmarkStart w:id="875" w:name="_Toc385427858"/>
      <w:bookmarkStart w:id="876" w:name="_Toc390098484"/>
      <w:bookmarkStart w:id="877" w:name="_Toc13416"/>
      <w:bookmarkStart w:id="878" w:name="_Toc370933875"/>
      <w:bookmarkStart w:id="879" w:name="_Toc18508"/>
      <w:bookmarkStart w:id="880" w:name="_Toc6234"/>
      <w:bookmarkStart w:id="881" w:name="_Toc13888"/>
      <w:bookmarkStart w:id="882" w:name="_Toc24037"/>
      <w:bookmarkStart w:id="883" w:name="_Toc11530"/>
      <w:bookmarkStart w:id="884" w:name="_Toc12432"/>
      <w:bookmarkStart w:id="885" w:name="_Toc19987"/>
      <w:bookmarkStart w:id="886" w:name="_Toc32343"/>
      <w:bookmarkStart w:id="887" w:name="_Toc25750653"/>
      <w:r>
        <w:rPr>
          <w:rFonts w:ascii="宋体" w:hAnsi="宋体"/>
          <w:b/>
        </w:rPr>
        <w:t>1</w:t>
      </w:r>
      <w:r>
        <w:rPr>
          <w:rFonts w:hint="eastAsia" w:ascii="宋体" w:hAnsi="宋体"/>
          <w:b/>
          <w:lang w:val="en-US" w:eastAsia="zh-CN"/>
        </w:rPr>
        <w:t>4</w:t>
      </w:r>
      <w:r>
        <w:rPr>
          <w:rFonts w:ascii="宋体" w:hAnsi="宋体"/>
          <w:b/>
        </w:rPr>
        <w:t>.不可抗力</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4</w:t>
      </w:r>
      <w:r>
        <w:rPr>
          <w:rFonts w:ascii="宋体" w:hAnsi="宋体"/>
        </w:rPr>
        <w:t>.1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.2若不可抗力发生使合同执行受阻，则合同执行时间根据受影响的时间相应延长，但合同价格不得调整。</w:t>
      </w:r>
    </w:p>
    <w:p>
      <w:pPr>
        <w:tabs>
          <w:tab w:val="left" w:pos="540"/>
          <w:tab w:val="left" w:pos="960"/>
        </w:tabs>
        <w:spacing w:before="0" w:after="0" w:afterAutospacing="0"/>
        <w:ind w:left="0" w:right="0" w:firstLine="315" w:firstLineChars="150"/>
      </w:pPr>
      <w:r>
        <w:rPr>
          <w:rFonts w:hint="eastAsia" w:ascii="宋体" w:hAnsi="宋体"/>
        </w:rPr>
        <w:t>1</w:t>
      </w:r>
      <w:r>
        <w:rPr>
          <w:rFonts w:hint="eastAsia" w:ascii="宋体" w:hAnsi="宋体"/>
          <w:lang w:val="en-US" w:eastAsia="zh-CN"/>
        </w:rPr>
        <w:t>4</w:t>
      </w:r>
      <w:r>
        <w:rPr>
          <w:rFonts w:hint="eastAsia" w:ascii="宋体" w:hAnsi="宋体"/>
        </w:rPr>
        <w:t>.3</w:t>
      </w:r>
      <w:r>
        <w:rPr>
          <w:rFonts w:hint="eastAsia"/>
        </w:rPr>
        <w:t>不可抗力的确认</w:t>
      </w:r>
    </w:p>
    <w:p>
      <w:pPr>
        <w:tabs>
          <w:tab w:val="left" w:pos="540"/>
          <w:tab w:val="left" w:pos="960"/>
        </w:tabs>
        <w:spacing w:before="0" w:after="0" w:afterAutospacing="0"/>
        <w:ind w:left="0" w:right="0"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w:t>
      </w:r>
      <w:r>
        <w:rPr>
          <w:rFonts w:hint="eastAsia" w:ascii="宋体" w:hAnsi="宋体"/>
          <w:lang w:val="en-US" w:eastAsia="zh-CN"/>
        </w:rPr>
        <w:t>4</w:t>
      </w:r>
      <w:r>
        <w:rPr>
          <w:rFonts w:hint="eastAsia" w:ascii="宋体" w:hAnsi="宋体"/>
        </w:rPr>
        <w:t>.4不可抗力的通知</w:t>
      </w:r>
    </w:p>
    <w:p>
      <w:pPr>
        <w:tabs>
          <w:tab w:val="left" w:pos="540"/>
          <w:tab w:val="left" w:pos="960"/>
        </w:tabs>
        <w:spacing w:before="0" w:after="0" w:afterAutospacing="0"/>
        <w:ind w:left="0" w:right="0"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315" w:firstLineChars="150"/>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.5不可抗力后果的承担</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任何因不可抗力所导致延误履行合同或不能履行合同，受阻方将不因此而构成违约。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）天，则尽管由于此原因可能已允许乙方延长合同期限，双方中任何一方均有权在通知对方三十（</w:t>
      </w:r>
      <w:r>
        <w:rPr>
          <w:rFonts w:ascii="宋体" w:hAnsi="宋体"/>
        </w:rPr>
        <w:t>30</w:t>
      </w:r>
      <w:r>
        <w:rPr>
          <w:rFonts w:hint="eastAsia" w:ascii="宋体" w:hAnsi="宋体"/>
        </w:rPr>
        <w:t>）天后终止合同。</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540"/>
          <w:tab w:val="left" w:pos="960"/>
        </w:tabs>
        <w:spacing w:before="0" w:after="0" w:afterAutospacing="0"/>
        <w:ind w:left="0" w:right="0" w:firstLine="315" w:firstLineChars="150"/>
        <w:rPr>
          <w:rFonts w:ascii="宋体" w:hAnsi="宋体"/>
        </w:rPr>
      </w:pPr>
      <w:r>
        <w:rPr>
          <w:rFonts w:hint="eastAsia"/>
        </w:rPr>
        <w:t>因合同一方迟延履行合同义务，在迟延履行期间遭遇不可抗力的，不免除其违约责任。</w:t>
      </w:r>
    </w:p>
    <w:p>
      <w:pPr>
        <w:tabs>
          <w:tab w:val="left" w:pos="640"/>
          <w:tab w:val="left" w:pos="1843"/>
        </w:tabs>
        <w:spacing w:before="0" w:after="0" w:afterAutospacing="0"/>
        <w:ind w:left="420" w:right="0" w:firstLine="0"/>
        <w:outlineLvl w:val="2"/>
        <w:rPr>
          <w:rFonts w:ascii="宋体" w:hAnsi="宋体"/>
          <w:b/>
        </w:rPr>
      </w:pPr>
      <w:bookmarkStart w:id="888" w:name="_Toc1972"/>
      <w:bookmarkStart w:id="889" w:name="_Toc390098490"/>
      <w:bookmarkStart w:id="890" w:name="_Toc16121"/>
      <w:bookmarkStart w:id="891" w:name="_Toc24354"/>
      <w:bookmarkStart w:id="892" w:name="_Toc21718"/>
      <w:bookmarkStart w:id="893" w:name="_Toc20058"/>
      <w:bookmarkStart w:id="894" w:name="_Toc29365"/>
      <w:bookmarkStart w:id="895" w:name="_Toc15991"/>
      <w:bookmarkStart w:id="896" w:name="_Toc15352"/>
      <w:bookmarkStart w:id="897" w:name="_Toc385427864"/>
      <w:bookmarkStart w:id="898" w:name="_Toc1503"/>
      <w:bookmarkStart w:id="899" w:name="_Toc4002"/>
      <w:bookmarkStart w:id="900" w:name="_Toc17213"/>
      <w:bookmarkStart w:id="901" w:name="_Toc26667"/>
      <w:bookmarkStart w:id="902" w:name="_Toc10764"/>
      <w:bookmarkStart w:id="903" w:name="_Toc7691"/>
      <w:bookmarkStart w:id="904" w:name="_Toc26831"/>
      <w:bookmarkStart w:id="905" w:name="_Toc19072"/>
      <w:bookmarkStart w:id="906" w:name="_Toc378514978"/>
      <w:bookmarkStart w:id="907" w:name="_Toc492478788"/>
      <w:bookmarkStart w:id="908" w:name="_Toc10805"/>
      <w:bookmarkStart w:id="909" w:name="_Toc370933881"/>
      <w:bookmarkStart w:id="910" w:name="_Toc20850"/>
      <w:bookmarkStart w:id="911" w:name="_Toc25750659"/>
      <w:r>
        <w:rPr>
          <w:rFonts w:hint="eastAsia" w:ascii="宋体" w:hAnsi="宋体"/>
          <w:b/>
        </w:rPr>
        <w:t>1</w:t>
      </w:r>
      <w:r>
        <w:rPr>
          <w:rFonts w:hint="eastAsia" w:ascii="宋体" w:hAnsi="宋体"/>
          <w:b/>
          <w:lang w:val="en-US" w:eastAsia="zh-CN"/>
        </w:rPr>
        <w:t>5</w:t>
      </w:r>
      <w:r>
        <w:rPr>
          <w:rFonts w:hint="eastAsia" w:ascii="宋体" w:hAnsi="宋体"/>
          <w:b/>
        </w:rPr>
        <w:t>. 转让和分包</w:t>
      </w:r>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Pr>
        <w:tabs>
          <w:tab w:val="left" w:pos="640"/>
          <w:tab w:val="left" w:pos="1843"/>
        </w:tabs>
        <w:spacing w:before="0" w:after="0" w:afterAutospacing="0"/>
        <w:ind w:left="420" w:right="0" w:firstLine="0"/>
        <w:outlineLvl w:val="2"/>
        <w:rPr>
          <w:rFonts w:ascii="宋体" w:hAnsi="宋体"/>
          <w:b/>
        </w:rPr>
      </w:pPr>
      <w:bookmarkStart w:id="912" w:name="_Toc25750662"/>
      <w:bookmarkStart w:id="913" w:name="_Toc864"/>
      <w:bookmarkStart w:id="914" w:name="_Toc32071"/>
      <w:bookmarkStart w:id="915" w:name="_Toc492478791"/>
      <w:bookmarkStart w:id="916" w:name="_Toc3785"/>
      <w:bookmarkStart w:id="917" w:name="_Toc378514981"/>
      <w:bookmarkStart w:id="918" w:name="_Toc6421"/>
      <w:bookmarkStart w:id="919" w:name="_Toc17344"/>
      <w:bookmarkStart w:id="920" w:name="_Toc22330"/>
      <w:bookmarkStart w:id="921" w:name="_Toc23442"/>
      <w:bookmarkStart w:id="922" w:name="_Toc26295"/>
      <w:bookmarkStart w:id="923" w:name="_Toc3019"/>
      <w:bookmarkStart w:id="924" w:name="_Toc19209"/>
      <w:bookmarkStart w:id="925" w:name="_Toc32638"/>
      <w:bookmarkStart w:id="926" w:name="_Toc15635"/>
      <w:bookmarkStart w:id="927" w:name="_Toc25119"/>
      <w:bookmarkStart w:id="928" w:name="_Toc13343"/>
      <w:bookmarkStart w:id="929" w:name="_Toc385427867"/>
      <w:bookmarkStart w:id="930" w:name="_Toc6374"/>
      <w:bookmarkStart w:id="931" w:name="_Toc2458"/>
      <w:bookmarkStart w:id="932" w:name="_Toc28875"/>
      <w:bookmarkStart w:id="933" w:name="_Toc10304"/>
      <w:bookmarkStart w:id="934" w:name="_Toc370933884"/>
      <w:bookmarkStart w:id="935" w:name="_Toc390098493"/>
      <w:r>
        <w:rPr>
          <w:rFonts w:hint="eastAsia" w:ascii="宋体" w:hAnsi="宋体"/>
          <w:b/>
        </w:rPr>
        <w:t>1</w:t>
      </w:r>
      <w:r>
        <w:rPr>
          <w:rFonts w:hint="eastAsia" w:ascii="宋体" w:hAnsi="宋体"/>
          <w:b/>
          <w:lang w:val="en-US" w:eastAsia="zh-CN"/>
        </w:rPr>
        <w:t>6</w:t>
      </w:r>
      <w:r>
        <w:rPr>
          <w:rFonts w:hint="eastAsia" w:ascii="宋体" w:hAnsi="宋体"/>
          <w:b/>
        </w:rPr>
        <w:t>.通知</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.2通知的内容包括合同项下的批复、意见、指令、说明和证据。</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rPr>
      </w:pPr>
      <w:bookmarkStart w:id="936" w:name="_Toc459797551"/>
      <w:bookmarkEnd w:id="936"/>
      <w:bookmarkStart w:id="937" w:name="_Toc459797539"/>
      <w:bookmarkEnd w:id="937"/>
      <w:bookmarkStart w:id="938" w:name="_Toc459797543"/>
      <w:bookmarkEnd w:id="938"/>
      <w:bookmarkStart w:id="939" w:name="_Toc459730508"/>
      <w:bookmarkEnd w:id="939"/>
      <w:bookmarkStart w:id="940" w:name="_Toc459730515"/>
      <w:bookmarkEnd w:id="940"/>
      <w:bookmarkStart w:id="941" w:name="_Toc459797541"/>
      <w:bookmarkEnd w:id="941"/>
      <w:bookmarkStart w:id="942" w:name="_Toc459797569"/>
      <w:bookmarkEnd w:id="942"/>
      <w:bookmarkStart w:id="943" w:name="_Toc459797542"/>
      <w:bookmarkEnd w:id="943"/>
      <w:bookmarkStart w:id="944" w:name="_Toc459730509"/>
      <w:bookmarkEnd w:id="944"/>
      <w:bookmarkStart w:id="945" w:name="_Toc459730497"/>
      <w:bookmarkEnd w:id="945"/>
      <w:bookmarkStart w:id="946" w:name="_Toc459730499"/>
      <w:bookmarkEnd w:id="946"/>
      <w:bookmarkStart w:id="947" w:name="_Toc459797567"/>
      <w:bookmarkEnd w:id="947"/>
      <w:bookmarkStart w:id="948" w:name="_Toc459730495"/>
      <w:bookmarkEnd w:id="948"/>
      <w:bookmarkStart w:id="949" w:name="_Toc459730510"/>
      <w:bookmarkEnd w:id="949"/>
      <w:bookmarkStart w:id="950" w:name="_Toc459797566"/>
      <w:bookmarkEnd w:id="950"/>
      <w:bookmarkStart w:id="951" w:name="_Toc459797558"/>
      <w:bookmarkEnd w:id="951"/>
      <w:bookmarkStart w:id="952" w:name="_Toc459797562"/>
      <w:bookmarkEnd w:id="952"/>
      <w:bookmarkStart w:id="953" w:name="_Toc459797545"/>
      <w:bookmarkEnd w:id="953"/>
      <w:bookmarkStart w:id="954" w:name="_Toc459730485"/>
      <w:bookmarkEnd w:id="954"/>
      <w:bookmarkStart w:id="955" w:name="_Toc459797553"/>
      <w:bookmarkEnd w:id="955"/>
      <w:bookmarkStart w:id="956" w:name="_Toc459730488"/>
      <w:bookmarkEnd w:id="956"/>
      <w:bookmarkStart w:id="957" w:name="_Toc459730492"/>
      <w:bookmarkEnd w:id="957"/>
      <w:bookmarkStart w:id="958" w:name="_Toc459797549"/>
      <w:bookmarkEnd w:id="958"/>
      <w:bookmarkStart w:id="959" w:name="_Toc459797547"/>
      <w:bookmarkEnd w:id="959"/>
      <w:bookmarkStart w:id="960" w:name="_Toc459797552"/>
      <w:bookmarkEnd w:id="960"/>
      <w:bookmarkStart w:id="961" w:name="_Toc459730507"/>
      <w:bookmarkEnd w:id="961"/>
      <w:bookmarkStart w:id="962" w:name="_Toc459797559"/>
      <w:bookmarkEnd w:id="962"/>
      <w:bookmarkStart w:id="963" w:name="_Toc459730516"/>
      <w:bookmarkEnd w:id="963"/>
      <w:bookmarkStart w:id="964" w:name="_Toc459730493"/>
      <w:bookmarkEnd w:id="964"/>
      <w:bookmarkStart w:id="965" w:name="_Toc459797555"/>
      <w:bookmarkEnd w:id="965"/>
      <w:bookmarkStart w:id="966" w:name="_Toc459730501"/>
      <w:bookmarkEnd w:id="966"/>
      <w:bookmarkStart w:id="967" w:name="_Toc459797544"/>
      <w:bookmarkEnd w:id="967"/>
      <w:bookmarkStart w:id="968" w:name="_Toc459730503"/>
      <w:bookmarkEnd w:id="968"/>
      <w:bookmarkStart w:id="969" w:name="_Toc459797560"/>
      <w:bookmarkEnd w:id="969"/>
      <w:bookmarkStart w:id="970" w:name="_Toc459730512"/>
      <w:bookmarkEnd w:id="970"/>
      <w:bookmarkStart w:id="971" w:name="_Toc459730506"/>
      <w:bookmarkEnd w:id="971"/>
      <w:bookmarkStart w:id="972" w:name="_Toc459730514"/>
      <w:bookmarkEnd w:id="972"/>
      <w:bookmarkStart w:id="973" w:name="_Toc459730504"/>
      <w:bookmarkEnd w:id="973"/>
      <w:bookmarkStart w:id="974" w:name="_Toc459797557"/>
      <w:bookmarkEnd w:id="974"/>
      <w:bookmarkStart w:id="975" w:name="_Toc459797556"/>
      <w:bookmarkEnd w:id="975"/>
      <w:bookmarkStart w:id="976" w:name="_Toc459730489"/>
      <w:bookmarkEnd w:id="976"/>
      <w:bookmarkStart w:id="977" w:name="_Toc459730486"/>
      <w:bookmarkEnd w:id="977"/>
      <w:bookmarkStart w:id="978" w:name="_Toc459797564"/>
      <w:bookmarkEnd w:id="978"/>
      <w:bookmarkStart w:id="979" w:name="_Toc459797538"/>
      <w:bookmarkEnd w:id="979"/>
      <w:bookmarkStart w:id="980" w:name="_Toc459797568"/>
      <w:bookmarkEnd w:id="980"/>
      <w:bookmarkStart w:id="981" w:name="_Toc459730494"/>
      <w:bookmarkEnd w:id="981"/>
      <w:bookmarkStart w:id="982" w:name="_Toc459797540"/>
      <w:bookmarkEnd w:id="982"/>
      <w:bookmarkStart w:id="983" w:name="_Toc459730490"/>
      <w:bookmarkEnd w:id="983"/>
      <w:bookmarkStart w:id="984" w:name="_Toc459730487"/>
      <w:bookmarkEnd w:id="984"/>
      <w:bookmarkStart w:id="985" w:name="_Toc459730505"/>
      <w:bookmarkEnd w:id="985"/>
      <w:bookmarkStart w:id="986" w:name="_Toc459797548"/>
      <w:bookmarkEnd w:id="986"/>
      <w:bookmarkStart w:id="987" w:name="_Toc459730496"/>
      <w:bookmarkEnd w:id="987"/>
      <w:bookmarkStart w:id="988" w:name="_Toc459730500"/>
      <w:bookmarkEnd w:id="988"/>
      <w:bookmarkStart w:id="989" w:name="_Toc459797546"/>
      <w:bookmarkEnd w:id="989"/>
      <w:bookmarkStart w:id="990" w:name="_Toc459797565"/>
      <w:bookmarkEnd w:id="990"/>
      <w:bookmarkStart w:id="991" w:name="_Toc459797554"/>
      <w:bookmarkEnd w:id="991"/>
      <w:bookmarkStart w:id="992" w:name="_Toc459797561"/>
      <w:bookmarkEnd w:id="992"/>
      <w:bookmarkStart w:id="993" w:name="_Toc459730498"/>
      <w:bookmarkEnd w:id="993"/>
      <w:bookmarkStart w:id="994" w:name="_Toc459797550"/>
      <w:bookmarkEnd w:id="994"/>
      <w:bookmarkStart w:id="995" w:name="_Toc459730502"/>
      <w:bookmarkEnd w:id="995"/>
      <w:bookmarkStart w:id="996" w:name="_Toc459797563"/>
      <w:bookmarkEnd w:id="996"/>
      <w:bookmarkStart w:id="997" w:name="_Toc459730511"/>
      <w:bookmarkEnd w:id="997"/>
      <w:bookmarkStart w:id="998" w:name="_Toc459730513"/>
      <w:bookmarkEnd w:id="998"/>
      <w:bookmarkStart w:id="999" w:name="_Toc459797570"/>
      <w:bookmarkEnd w:id="999"/>
      <w:bookmarkStart w:id="1000" w:name="_Toc459730517"/>
      <w:bookmarkEnd w:id="1000"/>
      <w:bookmarkStart w:id="1001" w:name="_Toc459730491"/>
      <w:bookmarkEnd w:id="1001"/>
      <w:bookmarkStart w:id="1002" w:name="_Toc2427"/>
      <w:bookmarkStart w:id="1003" w:name="_Toc6462"/>
      <w:bookmarkStart w:id="1004" w:name="_Toc25406"/>
      <w:bookmarkStart w:id="1005" w:name="_Toc11286"/>
      <w:bookmarkStart w:id="1006" w:name="_Toc14240"/>
      <w:bookmarkStart w:id="1007" w:name="_Toc26446"/>
      <w:bookmarkStart w:id="1008" w:name="_Toc24789"/>
      <w:bookmarkStart w:id="1009" w:name="_Toc4370"/>
      <w:bookmarkStart w:id="1010" w:name="_Toc27400"/>
      <w:bookmarkStart w:id="1011" w:name="_Toc25859"/>
      <w:bookmarkStart w:id="1012" w:name="_Toc11322"/>
      <w:bookmarkStart w:id="1013" w:name="_Toc20780"/>
      <w:bookmarkStart w:id="1014" w:name="_Toc27029"/>
      <w:bookmarkStart w:id="1015" w:name="_Toc20826"/>
      <w:bookmarkStart w:id="1016" w:name="_Toc925"/>
      <w:bookmarkStart w:id="1017" w:name="_Toc16845"/>
      <w:bookmarkStart w:id="1018" w:name="_Toc378514990"/>
      <w:bookmarkStart w:id="1019" w:name="_Toc309"/>
      <w:bookmarkStart w:id="1020" w:name="_Toc385427876"/>
      <w:bookmarkStart w:id="1021" w:name="_Toc390098502"/>
      <w:bookmarkStart w:id="1022" w:name="_Toc370933887"/>
      <w:bookmarkStart w:id="1023" w:name="_Toc492478800"/>
      <w:bookmarkStart w:id="1024" w:name="_Toc8642"/>
      <w:bookmarkStart w:id="1025" w:name="_Toc25750670"/>
      <w:r>
        <w:rPr>
          <w:rFonts w:hint="eastAsia" w:ascii="宋体" w:hAnsi="宋体"/>
          <w:b/>
        </w:rPr>
        <w:t>1</w:t>
      </w:r>
      <w:r>
        <w:rPr>
          <w:rFonts w:hint="eastAsia" w:ascii="宋体" w:hAnsi="宋体"/>
          <w:b/>
          <w:lang w:val="en-US" w:eastAsia="zh-CN"/>
        </w:rPr>
        <w:t>7</w:t>
      </w:r>
      <w:r>
        <w:rPr>
          <w:rFonts w:hint="eastAsia" w:ascii="宋体" w:hAnsi="宋体"/>
          <w:b/>
        </w:rPr>
        <w:t>. 争端的解决</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因本合同引起的或与本合同有关的合同争议，由双方协商解决，协商不成的，依法向甲方住所地有管辖权的人民法院提起诉讼。</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8</w:t>
      </w:r>
      <w:r>
        <w:rPr>
          <w:rFonts w:hint="eastAsia" w:ascii="宋体" w:hAnsi="宋体"/>
          <w:b/>
        </w:rPr>
        <w:t>.合同生效和签约地</w:t>
      </w:r>
    </w:p>
    <w:p>
      <w:pPr>
        <w:tabs>
          <w:tab w:val="left" w:pos="960"/>
          <w:tab w:val="left" w:pos="8364"/>
        </w:tabs>
        <w:spacing w:before="0" w:after="0" w:afterAutospacing="0"/>
        <w:ind w:left="420" w:right="0" w:firstLine="0"/>
        <w:rPr>
          <w:rFonts w:ascii="宋体" w:hAnsi="宋体"/>
        </w:rPr>
      </w:pPr>
      <w:r>
        <w:rPr>
          <w:rFonts w:hint="eastAsia" w:ascii="宋体" w:hAnsi="宋体"/>
        </w:rPr>
        <w:t>本合同生效的时间以双方签署的协议书上的最后日期为准。</w:t>
      </w:r>
    </w:p>
    <w:p>
      <w:pPr>
        <w:tabs>
          <w:tab w:val="left" w:pos="960"/>
          <w:tab w:val="left" w:pos="8364"/>
        </w:tabs>
        <w:spacing w:before="0" w:after="0" w:afterAutospacing="0"/>
        <w:ind w:left="420" w:right="0" w:firstLine="0"/>
        <w:rPr>
          <w:rFonts w:ascii="宋体" w:hAnsi="宋体"/>
        </w:rPr>
      </w:pPr>
      <w:r>
        <w:rPr>
          <w:rFonts w:hint="eastAsia" w:ascii="宋体" w:hAnsi="宋体"/>
        </w:rPr>
        <w:t>本合同签约地为中华人民共和国广西壮族自治区南宁市青秀区。</w:t>
      </w:r>
    </w:p>
    <w:p>
      <w:pPr>
        <w:tabs>
          <w:tab w:val="left" w:pos="960"/>
          <w:tab w:val="left" w:pos="8364"/>
        </w:tabs>
        <w:spacing w:before="0" w:after="0" w:afterAutospacing="0"/>
        <w:ind w:left="420" w:right="0" w:firstLine="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9</w:t>
      </w:r>
      <w:r>
        <w:rPr>
          <w:rFonts w:hint="eastAsia" w:ascii="宋体" w:hAnsi="宋体"/>
          <w:b/>
        </w:rPr>
        <w:t>.其他</w:t>
      </w:r>
    </w:p>
    <w:p>
      <w:pPr>
        <w:tabs>
          <w:tab w:val="left" w:pos="960"/>
          <w:tab w:val="left" w:pos="8364"/>
        </w:tabs>
        <w:spacing w:before="0" w:after="0" w:afterAutospacing="0"/>
        <w:ind w:left="420" w:right="0" w:firstLine="0"/>
        <w:rPr>
          <w:rFonts w:ascii="宋体" w:hAnsi="宋体"/>
        </w:rPr>
      </w:pPr>
      <w:r>
        <w:rPr>
          <w:rFonts w:hint="eastAsia" w:ascii="宋体" w:hAnsi="宋体"/>
        </w:rPr>
        <w:t>本合同未尽事宜，由双方协商解决，必要时可签订补充合同。</w:t>
      </w:r>
    </w:p>
    <w:p>
      <w:pPr>
        <w:tabs>
          <w:tab w:val="left" w:pos="960"/>
          <w:tab w:val="left" w:pos="8364"/>
        </w:tabs>
        <w:spacing w:before="0" w:after="0" w:afterAutospacing="0"/>
        <w:ind w:left="420" w:right="0" w:firstLine="0"/>
        <w:rPr>
          <w:rFonts w:ascii="宋体" w:hAnsi="宋体"/>
        </w:rPr>
        <w:sectPr>
          <w:footerReference r:id="rId8" w:type="default"/>
          <w:pgSz w:w="11905" w:h="16838"/>
          <w:pgMar w:top="1417" w:right="1417" w:bottom="1417" w:left="1417" w:header="454" w:footer="567" w:gutter="0"/>
          <w:cols w:space="720" w:num="1"/>
          <w:docGrid w:linePitch="312" w:charSpace="0"/>
        </w:sectPr>
      </w:pPr>
      <w:bookmarkStart w:id="1026" w:name="_Toc12470"/>
      <w:bookmarkStart w:id="1027" w:name="_Toc16443"/>
      <w:bookmarkStart w:id="1028" w:name="_Toc21033"/>
      <w:bookmarkStart w:id="1029" w:name="_Toc21635"/>
      <w:bookmarkStart w:id="1030" w:name="_Toc6194"/>
      <w:bookmarkStart w:id="1031" w:name="_Toc27258"/>
      <w:bookmarkStart w:id="1032" w:name="_Toc16716"/>
      <w:bookmarkStart w:id="1033" w:name="_Toc12983548"/>
      <w:bookmarkStart w:id="1034" w:name="_Toc21372"/>
      <w:bookmarkStart w:id="1035" w:name="_Toc21659"/>
      <w:bookmarkStart w:id="1036" w:name="_Toc13288"/>
      <w:bookmarkStart w:id="1037" w:name="_Toc29249"/>
      <w:bookmarkStart w:id="1038" w:name="_Toc14997"/>
      <w:bookmarkStart w:id="1039" w:name="_Toc2753"/>
      <w:bookmarkStart w:id="1040" w:name="_Toc5644"/>
      <w:bookmarkStart w:id="1041" w:name="_Toc27316"/>
      <w:bookmarkStart w:id="1042" w:name="_Toc19448"/>
      <w:bookmarkStart w:id="1043" w:name="_Toc5186"/>
    </w:p>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Pr>
        <w:pStyle w:val="11"/>
        <w:pageBreakBefore/>
        <w:ind w:right="-57"/>
        <w:jc w:val="both"/>
        <w:outlineLvl w:val="0"/>
        <w:rPr>
          <w:rStyle w:val="39"/>
          <w:rFonts w:ascii="宋体" w:hAnsi="宋体" w:eastAsia="宋体"/>
        </w:rPr>
      </w:pPr>
      <w:bookmarkStart w:id="1044" w:name="_Toc11320"/>
      <w:bookmarkStart w:id="1045" w:name="_Toc4374"/>
      <w:bookmarkStart w:id="1046" w:name="_Toc32011"/>
      <w:bookmarkStart w:id="1047" w:name="_Toc17396"/>
      <w:bookmarkStart w:id="1048" w:name="_Toc28285"/>
      <w:bookmarkStart w:id="1049" w:name="_Toc29546"/>
      <w:bookmarkStart w:id="1050" w:name="_Toc17261"/>
      <w:bookmarkStart w:id="1051" w:name="_Toc14620"/>
      <w:bookmarkStart w:id="1052" w:name="_Toc14790"/>
      <w:bookmarkStart w:id="1053" w:name="_Toc30920"/>
      <w:bookmarkStart w:id="1054" w:name="_Toc6151"/>
      <w:bookmarkStart w:id="1055" w:name="_Toc25306"/>
      <w:bookmarkStart w:id="1056" w:name="_Toc13167"/>
      <w:bookmarkStart w:id="1057" w:name="_Toc31873"/>
      <w:bookmarkStart w:id="1058" w:name="_Toc28677"/>
      <w:bookmarkStart w:id="1059" w:name="_Toc21689"/>
      <w:bookmarkStart w:id="1060" w:name="_Toc27263"/>
      <w:bookmarkStart w:id="1061" w:name="_Toc31574"/>
      <w:r>
        <w:rPr>
          <w:rStyle w:val="39"/>
          <w:rFonts w:hint="eastAsia" w:ascii="宋体" w:hAnsi="宋体" w:eastAsia="宋体"/>
        </w:rPr>
        <w:t>第四章比选申请文件格式</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spacing w:before="0" w:after="0" w:afterAutospacing="0"/>
        <w:ind w:left="0" w:right="0" w:firstLine="422" w:firstLineChars="200"/>
        <w:jc w:val="left"/>
        <w:rPr>
          <w:rFonts w:hint="eastAsia" w:ascii="宋体" w:hAnsi="宋体"/>
          <w:b/>
        </w:rPr>
      </w:pPr>
      <w:bookmarkStart w:id="1062" w:name="_Toc22709"/>
      <w:bookmarkStart w:id="1063" w:name="_Toc25325"/>
      <w:bookmarkStart w:id="1064" w:name="_Toc4873"/>
      <w:bookmarkStart w:id="1065" w:name="_Toc24453"/>
      <w:bookmarkStart w:id="1066" w:name="_Toc31624"/>
      <w:bookmarkStart w:id="1067" w:name="_Toc24824"/>
      <w:bookmarkStart w:id="1068" w:name="_Toc31535"/>
      <w:bookmarkStart w:id="1069" w:name="_Toc12984805"/>
      <w:bookmarkStart w:id="1070" w:name="_Toc12983549"/>
      <w:bookmarkStart w:id="1071" w:name="_Toc414290520"/>
      <w:bookmarkStart w:id="1072" w:name="_Toc4027"/>
      <w:bookmarkStart w:id="1073" w:name="_Toc16671"/>
      <w:bookmarkStart w:id="1074" w:name="_Toc30705"/>
      <w:bookmarkStart w:id="1075" w:name="_Toc21274"/>
      <w:bookmarkStart w:id="1076" w:name="_Toc19412"/>
      <w:bookmarkStart w:id="1077" w:name="_Toc492478802"/>
      <w:bookmarkStart w:id="1078" w:name="_Toc6941"/>
      <w:bookmarkStart w:id="1079" w:name="_Toc3396"/>
      <w:bookmarkStart w:id="1080" w:name="_Toc361"/>
      <w:bookmarkStart w:id="1081" w:name="_Toc32185"/>
      <w:bookmarkStart w:id="1082" w:name="_Toc23261"/>
    </w:p>
    <w:p>
      <w:pPr>
        <w:spacing w:before="0" w:after="0" w:afterAutospacing="0"/>
        <w:ind w:left="0" w:right="0" w:firstLine="0"/>
        <w:jc w:val="center"/>
        <w:outlineLvl w:val="1"/>
        <w:rPr>
          <w:rFonts w:ascii="宋体" w:hAnsi="宋体"/>
          <w:b/>
          <w:sz w:val="30"/>
          <w:szCs w:val="30"/>
        </w:rPr>
      </w:pPr>
      <w:bookmarkStart w:id="1083" w:name="_Toc12000"/>
      <w:r>
        <w:rPr>
          <w:rFonts w:ascii="宋体" w:hAnsi="宋体"/>
          <w:b/>
          <w:sz w:val="30"/>
          <w:szCs w:val="30"/>
        </w:rPr>
        <w:t xml:space="preserve">A </w:t>
      </w:r>
      <w:r>
        <w:rPr>
          <w:rFonts w:hint="eastAsia" w:ascii="宋体" w:hAnsi="宋体"/>
          <w:b/>
          <w:sz w:val="30"/>
          <w:szCs w:val="30"/>
        </w:rPr>
        <w:t>响应文件</w:t>
      </w:r>
      <w:bookmarkEnd w:id="1083"/>
    </w:p>
    <w:p>
      <w:pPr>
        <w:spacing w:before="0" w:after="0" w:afterAutospacing="0"/>
        <w:ind w:left="0" w:right="0" w:firstLine="422" w:firstLineChars="200"/>
        <w:jc w:val="left"/>
        <w:rPr>
          <w:rFonts w:ascii="宋体" w:hAnsi="宋体"/>
          <w:b/>
        </w:rPr>
      </w:pP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Pr>
        <w:spacing w:before="0" w:after="0" w:afterAutospacing="0"/>
        <w:ind w:left="0" w:right="0" w:firstLine="420" w:firstLineChars="200"/>
        <w:rPr>
          <w:rFonts w:hint="eastAsia" w:hAnsi="宋体"/>
        </w:rPr>
      </w:pPr>
      <w:r>
        <w:rPr>
          <w:rFonts w:hint="eastAsia" w:hAnsi="宋体"/>
        </w:rPr>
        <w:t>（4）技术响应表（格式见A4）；</w:t>
      </w:r>
    </w:p>
    <w:p>
      <w:pPr>
        <w:spacing w:before="0" w:after="0" w:afterAutospacing="0"/>
        <w:ind w:left="0" w:right="0" w:firstLine="420" w:firstLineChars="200"/>
        <w:rPr>
          <w:rFonts w:hint="eastAsia" w:hAnsi="宋体"/>
        </w:rPr>
      </w:pPr>
      <w:r>
        <w:rPr>
          <w:rFonts w:hint="eastAsia" w:hAnsi="宋体"/>
        </w:rPr>
        <w:t>（5）商务响应表（格式见A5）</w:t>
      </w:r>
    </w:p>
    <w:p>
      <w:pPr>
        <w:spacing w:before="0" w:after="0" w:afterAutospacing="0"/>
        <w:ind w:left="0" w:right="0" w:firstLine="420" w:firstLineChars="200"/>
        <w:rPr>
          <w:rFonts w:hint="eastAsia" w:hAnsi="宋体"/>
        </w:rPr>
      </w:pPr>
      <w:r>
        <w:rPr>
          <w:rFonts w:hint="eastAsia" w:hAnsi="宋体"/>
        </w:rPr>
        <w:t>（6）类似项目业绩表（格式见A6）</w:t>
      </w:r>
      <w:r>
        <w:rPr>
          <w:rFonts w:hint="eastAsia" w:hAnsi="宋体"/>
          <w:color w:val="FF0000"/>
        </w:rPr>
        <w:t>（如有）</w:t>
      </w:r>
      <w:r>
        <w:rPr>
          <w:rFonts w:hint="eastAsia" w:hAnsi="宋体"/>
        </w:rPr>
        <w:t>；</w:t>
      </w:r>
    </w:p>
    <w:p>
      <w:pPr>
        <w:spacing w:before="0" w:after="0" w:afterAutospacing="0"/>
        <w:ind w:left="0" w:right="0" w:firstLine="420" w:firstLineChars="200"/>
        <w:rPr>
          <w:rFonts w:hint="eastAsia" w:hAnsi="宋体"/>
        </w:rPr>
      </w:pPr>
      <w:r>
        <w:rPr>
          <w:rFonts w:hint="eastAsia" w:hAnsi="宋体"/>
        </w:rPr>
        <w:t>（7）比选申请人认为应提交的其他比选申请资料</w:t>
      </w:r>
      <w:r>
        <w:rPr>
          <w:rFonts w:hint="eastAsia" w:hAnsi="宋体"/>
          <w:color w:val="FF0000"/>
        </w:rPr>
        <w:t>（如有）</w:t>
      </w:r>
      <w:r>
        <w:rPr>
          <w:rFonts w:hint="eastAsia" w:hAnsi="宋体"/>
        </w:rPr>
        <w:t>。</w:t>
      </w:r>
    </w:p>
    <w:p>
      <w:pPr>
        <w:spacing w:before="0" w:after="0" w:afterAutospacing="0"/>
        <w:ind w:left="0" w:right="0" w:firstLine="420" w:firstLineChars="200"/>
        <w:rPr>
          <w:rFonts w:hAnsi="宋体"/>
        </w:rPr>
        <w:sectPr>
          <w:pgSz w:w="11905" w:h="16838"/>
          <w:pgMar w:top="1417" w:right="1417" w:bottom="1417" w:left="1417" w:header="454" w:footer="567" w:gutter="0"/>
          <w:cols w:space="720" w:num="1"/>
          <w:docGrid w:linePitch="312" w:charSpace="0"/>
        </w:sectPr>
      </w:pPr>
    </w:p>
    <w:p>
      <w:pPr>
        <w:pageBreakBefore/>
        <w:snapToGrid w:val="0"/>
        <w:ind w:left="713" w:right="0" w:hanging="713" w:hangingChars="338"/>
        <w:jc w:val="left"/>
        <w:outlineLvl w:val="2"/>
        <w:rPr>
          <w:rFonts w:ascii="宋体" w:hAnsi="宋体"/>
          <w:b/>
        </w:rPr>
      </w:pPr>
      <w:bookmarkStart w:id="1084" w:name="_Toc13389"/>
      <w:bookmarkStart w:id="1085" w:name="_Toc10789"/>
      <w:bookmarkStart w:id="1086" w:name="_Toc4125"/>
      <w:bookmarkStart w:id="1087" w:name="_Toc22533"/>
      <w:bookmarkStart w:id="1088" w:name="_Toc3499"/>
      <w:bookmarkStart w:id="1089" w:name="_Toc25750675"/>
      <w:bookmarkStart w:id="1090" w:name="_Toc16089"/>
      <w:bookmarkStart w:id="1091" w:name="_Toc956"/>
      <w:bookmarkStart w:id="1092" w:name="_Toc10433"/>
      <w:bookmarkStart w:id="1093" w:name="_Toc7057"/>
      <w:bookmarkStart w:id="1094" w:name="_Toc8868"/>
      <w:bookmarkStart w:id="1095" w:name="_Toc15696"/>
      <w:bookmarkStart w:id="1096" w:name="_Toc32455"/>
      <w:bookmarkStart w:id="1097" w:name="_Toc492478804"/>
      <w:bookmarkStart w:id="1098" w:name="_Toc9658"/>
      <w:bookmarkStart w:id="1099" w:name="_Toc20283"/>
      <w:bookmarkStart w:id="1100" w:name="_Toc375564351"/>
      <w:bookmarkStart w:id="1101" w:name="_Toc12984807"/>
      <w:bookmarkStart w:id="1102" w:name="_Toc20029"/>
      <w:bookmarkStart w:id="1103" w:name="_Toc24436"/>
      <w:bookmarkStart w:id="1104" w:name="_Toc10238"/>
      <w:bookmarkStart w:id="1105" w:name="_Toc414290522"/>
      <w:bookmarkStart w:id="1106" w:name="_Toc20671"/>
      <w:r>
        <w:rPr>
          <w:rFonts w:hint="eastAsia" w:ascii="宋体" w:hAnsi="宋体"/>
          <w:b/>
        </w:rPr>
        <w:t>A1</w:t>
      </w:r>
      <w:r>
        <w:rPr>
          <w:rFonts w:ascii="宋体" w:hAnsi="宋体"/>
          <w:b/>
        </w:rPr>
        <w:t>法定代表人授权书格式</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致：南宁轨道交通集团有限责任公司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ascii="宋体" w:hAnsi="宋体"/>
          <w:color w:val="FF0000"/>
          <w:u w:val="single"/>
        </w:rPr>
        <w:t>XXX</w:t>
      </w:r>
      <w:r>
        <w:rPr>
          <w:rFonts w:ascii="宋体" w:hAnsi="宋体"/>
        </w:rPr>
        <w:t>的</w:t>
      </w:r>
      <w:r>
        <w:rPr>
          <w:rFonts w:ascii="宋体" w:hAnsi="宋体"/>
          <w:color w:val="FF0000"/>
          <w:u w:val="single"/>
        </w:rPr>
        <w:t>XXXX</w:t>
      </w:r>
      <w:r>
        <w:rPr>
          <w:rFonts w:ascii="宋体" w:hAnsi="宋体"/>
          <w:u w:val="single"/>
        </w:rPr>
        <w:t>项目</w:t>
      </w:r>
      <w:r>
        <w:rPr>
          <w:rFonts w:ascii="宋体" w:hAnsi="宋体"/>
        </w:rPr>
        <w:t>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hint="eastAsia" w:ascii="宋体" w:hAnsi="宋体"/>
          <w:u w:val="single"/>
        </w:rPr>
        <w:t xml:space="preserve"> XXXX   </w:t>
      </w:r>
      <w:r>
        <w:rPr>
          <w:rFonts w:ascii="宋体" w:hAnsi="宋体"/>
        </w:rPr>
        <w:t>年</w:t>
      </w:r>
      <w:r>
        <w:rPr>
          <w:rFonts w:hint="eastAsia" w:ascii="宋体" w:hAnsi="宋体"/>
          <w:u w:val="single"/>
        </w:rPr>
        <w:t xml:space="preserve"> XX  </w:t>
      </w:r>
      <w:r>
        <w:rPr>
          <w:rFonts w:ascii="宋体" w:hAnsi="宋体"/>
        </w:rPr>
        <w:t>月</w:t>
      </w:r>
      <w:r>
        <w:rPr>
          <w:rFonts w:hint="eastAsia" w:ascii="宋体" w:hAnsi="宋体"/>
          <w:u w:val="single"/>
        </w:rPr>
        <w:t xml:space="preserve"> XX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spacing w:line="240" w:lineRule="auto"/>
        <w:ind w:right="0" w:firstLine="198"/>
        <w:rPr>
          <w:rFonts w:ascii="宋体" w:hAnsi="宋体"/>
          <w:u w:val="single"/>
        </w:rPr>
      </w:pPr>
      <w:r>
        <w:rPr>
          <w:rFonts w:ascii="宋体" w:hAnsi="宋体"/>
        </w:rPr>
        <w:t>法定代表人签字或盖章：</w:t>
      </w:r>
    </w:p>
    <w:p>
      <w:pPr>
        <w:tabs>
          <w:tab w:val="left" w:pos="8364"/>
        </w:tabs>
        <w:snapToGrid w:val="0"/>
        <w:spacing w:line="240" w:lineRule="auto"/>
        <w:ind w:right="0" w:firstLine="198"/>
        <w:rPr>
          <w:rFonts w:ascii="宋体" w:hAnsi="宋体"/>
          <w:u w:val="single"/>
        </w:rPr>
      </w:pPr>
      <w:r>
        <w:rPr>
          <w:rFonts w:ascii="宋体" w:hAnsi="宋体"/>
        </w:rPr>
        <w:t>职务：</w:t>
      </w:r>
    </w:p>
    <w:p>
      <w:pPr>
        <w:tabs>
          <w:tab w:val="left" w:pos="8364"/>
        </w:tabs>
        <w:snapToGrid w:val="0"/>
        <w:spacing w:line="240" w:lineRule="auto"/>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240" w:lineRule="auto"/>
        <w:ind w:right="0" w:firstLine="198"/>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spacing w:line="240" w:lineRule="auto"/>
        <w:ind w:right="0" w:firstLine="198"/>
        <w:rPr>
          <w:rFonts w:ascii="宋体" w:hAnsi="宋体"/>
          <w:u w:val="single"/>
        </w:rPr>
      </w:pPr>
      <w:r>
        <w:rPr>
          <w:rFonts w:ascii="宋体" w:hAnsi="宋体"/>
        </w:rPr>
        <w:t>比选申请人代表（被授权人）签字或盖章：</w:t>
      </w:r>
    </w:p>
    <w:p>
      <w:pPr>
        <w:tabs>
          <w:tab w:val="left" w:pos="8364"/>
        </w:tabs>
        <w:snapToGrid w:val="0"/>
        <w:spacing w:line="240" w:lineRule="auto"/>
        <w:ind w:right="0" w:firstLine="198"/>
        <w:rPr>
          <w:rFonts w:ascii="宋体" w:hAnsi="宋体"/>
          <w:u w:val="single"/>
        </w:rPr>
      </w:pPr>
      <w:r>
        <w:rPr>
          <w:rFonts w:ascii="宋体" w:hAnsi="宋体"/>
        </w:rPr>
        <w:t>职务：</w:t>
      </w:r>
    </w:p>
    <w:p>
      <w:pPr>
        <w:tabs>
          <w:tab w:val="left" w:pos="8364"/>
        </w:tabs>
        <w:snapToGrid w:val="0"/>
        <w:spacing w:line="240" w:lineRule="auto"/>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240" w:lineRule="auto"/>
        <w:ind w:right="0" w:firstLine="198"/>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pageBreakBefore/>
        <w:snapToGrid w:val="0"/>
        <w:ind w:left="713" w:right="0" w:hanging="713" w:hangingChars="338"/>
        <w:jc w:val="left"/>
        <w:outlineLvl w:val="2"/>
        <w:rPr>
          <w:rFonts w:ascii="宋体" w:hAnsi="宋体"/>
          <w:b/>
        </w:rPr>
      </w:pPr>
      <w:bookmarkStart w:id="1107" w:name="_Toc15980"/>
      <w:bookmarkStart w:id="1108" w:name="_Toc31808"/>
      <w:bookmarkStart w:id="1109" w:name="_Toc19744"/>
      <w:bookmarkStart w:id="1110" w:name="_Toc13606"/>
      <w:bookmarkStart w:id="1111" w:name="_Toc414290523"/>
      <w:bookmarkStart w:id="1112" w:name="_Toc7273"/>
      <w:bookmarkStart w:id="1113" w:name="_Toc13634"/>
      <w:bookmarkStart w:id="1114" w:name="_Toc17964"/>
      <w:bookmarkStart w:id="1115" w:name="_Toc375564352"/>
      <w:bookmarkStart w:id="1116" w:name="_Toc15572"/>
      <w:bookmarkStart w:id="1117" w:name="_Toc13798"/>
      <w:bookmarkStart w:id="1118" w:name="_Toc492478805"/>
      <w:bookmarkStart w:id="1119" w:name="_Toc27657"/>
      <w:bookmarkStart w:id="1120" w:name="_Toc7753"/>
      <w:bookmarkStart w:id="1121" w:name="_Toc24322"/>
      <w:bookmarkStart w:id="1122" w:name="_Toc9757"/>
      <w:bookmarkStart w:id="1123" w:name="_Toc26713"/>
      <w:bookmarkStart w:id="1124" w:name="_Toc20436"/>
      <w:bookmarkStart w:id="1125" w:name="_Toc8654"/>
      <w:bookmarkStart w:id="1126" w:name="_Toc27722"/>
      <w:bookmarkStart w:id="1127" w:name="_Toc9583"/>
      <w:bookmarkStart w:id="1128" w:name="_Toc12984808"/>
      <w:bookmarkStart w:id="1129" w:name="_Toc25750676"/>
      <w:r>
        <w:rPr>
          <w:rFonts w:hint="eastAsia" w:ascii="宋体" w:hAnsi="宋体"/>
          <w:b/>
        </w:rPr>
        <w:t xml:space="preserve">A2 </w:t>
      </w:r>
      <w:r>
        <w:rPr>
          <w:rFonts w:ascii="宋体" w:hAnsi="宋体"/>
          <w:b/>
        </w:rPr>
        <w:t>法定代表人资格证明书格式</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bookmarkStart w:id="1130"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left="713" w:right="0" w:hanging="713" w:hangingChars="338"/>
        <w:jc w:val="left"/>
        <w:outlineLvl w:val="2"/>
        <w:rPr>
          <w:rFonts w:ascii="宋体" w:hAnsi="宋体"/>
          <w:b/>
        </w:rPr>
      </w:pPr>
      <w:bookmarkStart w:id="1131" w:name="_Toc1932"/>
      <w:bookmarkStart w:id="1132" w:name="_Toc31448"/>
      <w:bookmarkStart w:id="1133" w:name="_Toc21307"/>
      <w:bookmarkStart w:id="1134" w:name="_Toc25750677"/>
      <w:bookmarkStart w:id="1135" w:name="_Toc375564353"/>
      <w:bookmarkStart w:id="1136" w:name="_Toc32062"/>
      <w:bookmarkStart w:id="1137" w:name="_Toc26907"/>
      <w:bookmarkStart w:id="1138" w:name="_Toc16467"/>
      <w:bookmarkStart w:id="1139" w:name="_Toc29246"/>
      <w:bookmarkStart w:id="1140" w:name="_Toc11425"/>
      <w:bookmarkStart w:id="1141" w:name="_Toc17745"/>
      <w:bookmarkStart w:id="1142" w:name="_Toc19721"/>
      <w:bookmarkStart w:id="1143" w:name="_Toc3426"/>
      <w:bookmarkStart w:id="1144" w:name="_Toc24848"/>
      <w:bookmarkStart w:id="1145" w:name="_Toc7712"/>
      <w:bookmarkStart w:id="1146" w:name="_Toc492478806"/>
      <w:bookmarkStart w:id="1147" w:name="_Toc414290524"/>
      <w:bookmarkStart w:id="1148" w:name="_Toc26097"/>
      <w:bookmarkStart w:id="1149" w:name="_Toc6033"/>
      <w:bookmarkStart w:id="1150" w:name="_Toc15394"/>
      <w:bookmarkStart w:id="1151" w:name="_Toc15609"/>
      <w:bookmarkStart w:id="1152" w:name="_Toc4894"/>
      <w:r>
        <w:rPr>
          <w:rFonts w:hint="eastAsia" w:ascii="宋体" w:hAnsi="宋体"/>
          <w:b/>
        </w:rPr>
        <w:t xml:space="preserve">A3 </w:t>
      </w:r>
      <w:r>
        <w:rPr>
          <w:rFonts w:ascii="宋体" w:hAnsi="宋体"/>
          <w:b/>
        </w:rPr>
        <w:t>承诺书格式</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color w:val="000000"/>
        </w:rPr>
      </w:pPr>
      <w:r>
        <w:rPr>
          <w:rFonts w:ascii="宋体" w:hAnsi="宋体"/>
          <w:color w:val="000000"/>
        </w:rPr>
        <w:t>致：</w:t>
      </w:r>
      <w:r>
        <w:rPr>
          <w:rFonts w:ascii="宋体" w:hAnsi="宋体"/>
          <w:color w:val="000000"/>
          <w:u w:val="single"/>
        </w:rPr>
        <w:t>南宁轨道交通</w:t>
      </w:r>
      <w:r>
        <w:rPr>
          <w:rFonts w:hint="eastAsia" w:ascii="宋体" w:hAnsi="宋体"/>
          <w:color w:val="000000"/>
          <w:u w:val="single"/>
        </w:rPr>
        <w:t>集团</w:t>
      </w:r>
      <w:r>
        <w:rPr>
          <w:rFonts w:ascii="宋体" w:hAnsi="宋体"/>
          <w:color w:val="000000"/>
          <w:u w:val="single"/>
        </w:rPr>
        <w:t>有限责任公司</w:t>
      </w:r>
    </w:p>
    <w:p>
      <w:pPr>
        <w:spacing w:before="0" w:after="0" w:afterAutospacing="0"/>
        <w:ind w:left="0" w:right="0" w:firstLine="420" w:firstLineChars="200"/>
        <w:jc w:val="left"/>
        <w:rPr>
          <w:rFonts w:ascii="宋体" w:hAnsi="宋体"/>
          <w:color w:val="000000"/>
        </w:rPr>
      </w:pPr>
      <w:r>
        <w:rPr>
          <w:rFonts w:ascii="宋体" w:hAnsi="宋体"/>
          <w:color w:val="000000"/>
        </w:rPr>
        <w:t>1、在认真研读南宁轨道交通</w:t>
      </w:r>
      <w:r>
        <w:rPr>
          <w:rFonts w:hint="eastAsia" w:ascii="宋体" w:hAnsi="宋体"/>
          <w:color w:val="000000"/>
        </w:rPr>
        <w:t>集团</w:t>
      </w:r>
      <w:r>
        <w:rPr>
          <w:rFonts w:ascii="宋体" w:hAnsi="宋体"/>
          <w:color w:val="000000"/>
        </w:rPr>
        <w:t>有限责任公司</w:t>
      </w:r>
      <w:r>
        <w:rPr>
          <w:rFonts w:hint="eastAsia" w:ascii="宋体" w:hAnsi="宋体"/>
          <w:color w:val="000000"/>
        </w:rPr>
        <w:t>的</w:t>
      </w:r>
      <w:r>
        <w:rPr>
          <w:rFonts w:hint="eastAsia" w:ascii="宋体" w:hAnsi="宋体"/>
          <w:color w:val="000000"/>
          <w:u w:val="single"/>
        </w:rPr>
        <w:t xml:space="preserve"> XXXX    </w:t>
      </w:r>
      <w:r>
        <w:rPr>
          <w:rFonts w:hint="eastAsia" w:ascii="宋体" w:hAnsi="宋体"/>
          <w:color w:val="000000"/>
        </w:rPr>
        <w:t>比选文件</w:t>
      </w:r>
      <w:r>
        <w:rPr>
          <w:rFonts w:ascii="宋体" w:hAnsi="宋体"/>
          <w:color w:val="000000"/>
        </w:rPr>
        <w:t>后，我方经慎重考虑，郑重承诺参加</w:t>
      </w:r>
      <w:r>
        <w:rPr>
          <w:rFonts w:hint="eastAsia" w:ascii="宋体" w:hAnsi="宋体"/>
          <w:color w:val="000000"/>
          <w:u w:val="single"/>
        </w:rPr>
        <w:t xml:space="preserve">  XXXX       </w:t>
      </w:r>
      <w:r>
        <w:rPr>
          <w:rFonts w:hint="eastAsia" w:ascii="宋体" w:hAnsi="宋体"/>
          <w:color w:val="000000"/>
        </w:rPr>
        <w:t>项目的招比选申请</w:t>
      </w:r>
      <w:r>
        <w:rPr>
          <w:rFonts w:ascii="宋体" w:hAnsi="宋体"/>
          <w:color w:val="000000"/>
        </w:rPr>
        <w:t>活动。</w:t>
      </w:r>
    </w:p>
    <w:p>
      <w:pPr>
        <w:spacing w:before="0" w:after="0" w:afterAutospacing="0"/>
        <w:ind w:left="0" w:right="0" w:firstLine="420" w:firstLineChars="200"/>
        <w:jc w:val="left"/>
        <w:rPr>
          <w:rFonts w:ascii="宋体" w:hAnsi="宋体"/>
          <w:color w:val="000000"/>
        </w:rPr>
      </w:pPr>
      <w:r>
        <w:rPr>
          <w:rFonts w:ascii="宋体" w:hAnsi="宋体"/>
          <w:color w:val="000000"/>
        </w:rPr>
        <w:t>2、我方按照贵方</w:t>
      </w:r>
      <w:r>
        <w:rPr>
          <w:rFonts w:hint="eastAsia" w:ascii="宋体" w:hAnsi="宋体"/>
          <w:color w:val="000000"/>
        </w:rPr>
        <w:t>比选文件</w:t>
      </w:r>
      <w:r>
        <w:rPr>
          <w:rFonts w:ascii="宋体" w:hAnsi="宋体"/>
          <w:color w:val="000000"/>
        </w:rPr>
        <w:t>要求的内容与格式，已编制完成</w:t>
      </w:r>
      <w:r>
        <w:rPr>
          <w:rFonts w:hint="eastAsia" w:ascii="宋体" w:hAnsi="宋体"/>
          <w:color w:val="000000"/>
        </w:rPr>
        <w:t>比选申请文件</w:t>
      </w:r>
      <w:r>
        <w:rPr>
          <w:rFonts w:ascii="宋体" w:hAnsi="宋体"/>
          <w:color w:val="000000"/>
        </w:rPr>
        <w:t>，现报上。</w:t>
      </w:r>
    </w:p>
    <w:p>
      <w:pPr>
        <w:spacing w:before="0" w:after="0" w:afterAutospacing="0"/>
        <w:ind w:left="0" w:right="0" w:firstLine="420" w:firstLineChars="200"/>
        <w:jc w:val="left"/>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我方</w:t>
      </w:r>
      <w:r>
        <w:rPr>
          <w:rFonts w:ascii="宋体" w:hAnsi="宋体"/>
          <w:color w:val="000000"/>
        </w:rPr>
        <w:t>承诺：在</w:t>
      </w:r>
      <w:r>
        <w:rPr>
          <w:rFonts w:hint="eastAsia" w:ascii="宋体" w:hAnsi="宋体"/>
          <w:color w:val="000000"/>
        </w:rPr>
        <w:t>评审</w:t>
      </w:r>
      <w:r>
        <w:rPr>
          <w:rFonts w:ascii="宋体" w:hAnsi="宋体"/>
          <w:color w:val="000000"/>
        </w:rPr>
        <w:t>过程中，贵方可调查、审核我方提交的与本</w:t>
      </w:r>
      <w:r>
        <w:rPr>
          <w:rFonts w:hint="eastAsia" w:ascii="宋体" w:hAnsi="宋体"/>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000000"/>
        </w:rPr>
      </w:pPr>
      <w:r>
        <w:rPr>
          <w:rFonts w:hint="eastAsia" w:ascii="宋体" w:hAnsi="宋体"/>
          <w:color w:val="000000"/>
        </w:rPr>
        <w:t>4</w:t>
      </w:r>
      <w:r>
        <w:rPr>
          <w:rFonts w:ascii="宋体" w:hAnsi="宋体"/>
          <w:color w:val="000000"/>
        </w:rPr>
        <w:t>、</w:t>
      </w:r>
      <w:r>
        <w:rPr>
          <w:rFonts w:hint="eastAsia" w:ascii="宋体" w:hAnsi="宋体"/>
          <w:color w:val="000000"/>
        </w:rPr>
        <w:t>我方</w:t>
      </w:r>
      <w:r>
        <w:rPr>
          <w:rFonts w:ascii="宋体" w:hAnsi="宋体"/>
          <w:color w:val="000000"/>
        </w:rPr>
        <w:t>郑重承诺：</w:t>
      </w:r>
      <w:r>
        <w:rPr>
          <w:rFonts w:ascii="宋体" w:hAnsi="宋体"/>
          <w:b/>
          <w:color w:val="000000"/>
        </w:rPr>
        <w:t>我方保证</w:t>
      </w:r>
      <w:r>
        <w:rPr>
          <w:rFonts w:hint="eastAsia" w:ascii="宋体" w:hAnsi="宋体"/>
          <w:b/>
          <w:color w:val="000000"/>
        </w:rPr>
        <w:t>没有处于被责令停业，或比选申请资格被住建部、国家安监总局、广西区或南宁市建设行政主管部门取消，或财产被接管、冻结、破产状态</w:t>
      </w:r>
      <w:r>
        <w:rPr>
          <w:rFonts w:ascii="宋体" w:hAnsi="宋体"/>
          <w:b/>
          <w:color w:val="000000"/>
        </w:rPr>
        <w:t>；在</w:t>
      </w:r>
      <w:r>
        <w:rPr>
          <w:rFonts w:hint="eastAsia" w:ascii="宋体" w:hAnsi="宋体"/>
          <w:b/>
          <w:color w:val="000000"/>
        </w:rPr>
        <w:t>比选申请截止时间前</w:t>
      </w:r>
      <w:r>
        <w:rPr>
          <w:rFonts w:ascii="宋体" w:hAnsi="宋体"/>
          <w:b/>
          <w:color w:val="000000"/>
        </w:rPr>
        <w:t>3年内没有骗取中选</w:t>
      </w:r>
      <w:r>
        <w:rPr>
          <w:rFonts w:hint="eastAsia" w:ascii="宋体" w:hAnsi="宋体"/>
          <w:b/>
          <w:color w:val="000000"/>
        </w:rPr>
        <w:t>、严重违约或重大质量安全责任事故。</w:t>
      </w:r>
    </w:p>
    <w:p>
      <w:pPr>
        <w:spacing w:before="0" w:after="0" w:afterAutospacing="0"/>
        <w:ind w:left="0" w:right="0" w:firstLine="422" w:firstLineChars="200"/>
        <w:jc w:val="left"/>
        <w:rPr>
          <w:rFonts w:ascii="宋体" w:hAnsi="宋体"/>
          <w:color w:val="000000"/>
        </w:rPr>
      </w:pPr>
      <w:r>
        <w:rPr>
          <w:rFonts w:hint="eastAsia" w:ascii="宋体" w:hAnsi="宋体"/>
          <w:b/>
          <w:color w:val="000000"/>
        </w:rPr>
        <w:t>5、</w:t>
      </w:r>
      <w:r>
        <w:rPr>
          <w:rFonts w:ascii="宋体" w:hAnsi="宋体"/>
          <w:color w:val="000000"/>
        </w:rPr>
        <w:t>如果</w:t>
      </w:r>
      <w:r>
        <w:rPr>
          <w:rFonts w:hint="eastAsia" w:ascii="宋体" w:hAnsi="宋体"/>
          <w:color w:val="000000"/>
        </w:rPr>
        <w:t>我公司</w:t>
      </w:r>
      <w:r>
        <w:rPr>
          <w:rFonts w:ascii="宋体" w:hAnsi="宋体"/>
          <w:color w:val="000000"/>
        </w:rPr>
        <w:t>在该项目</w:t>
      </w:r>
      <w:r>
        <w:rPr>
          <w:rFonts w:hint="eastAsia" w:ascii="宋体" w:hAnsi="宋体"/>
          <w:color w:val="000000"/>
        </w:rPr>
        <w:t>报名、</w:t>
      </w:r>
      <w:r>
        <w:rPr>
          <w:rFonts w:ascii="宋体" w:hAnsi="宋体"/>
          <w:color w:val="000000"/>
        </w:rPr>
        <w:t>比选申请过程中或者在中选后，比选人或者有管辖权的行政监管机构发现并查实我公司在所填报的该项目</w:t>
      </w:r>
      <w:r>
        <w:rPr>
          <w:rFonts w:hint="eastAsia" w:ascii="宋体" w:hAnsi="宋体"/>
          <w:color w:val="000000"/>
        </w:rPr>
        <w:t>比选申请文件</w:t>
      </w:r>
      <w:r>
        <w:rPr>
          <w:rFonts w:ascii="宋体" w:hAnsi="宋体"/>
          <w:color w:val="000000"/>
        </w:rPr>
        <w:t>中存在提供虚假或不真实的信息或者伪造数据、资料或证书等情况，</w:t>
      </w:r>
      <w:r>
        <w:rPr>
          <w:rFonts w:hint="eastAsia" w:ascii="宋体" w:hAnsi="宋体"/>
          <w:color w:val="000000"/>
        </w:rPr>
        <w:t>视为我公司违约，我公司愿意接受</w:t>
      </w:r>
      <w:r>
        <w:rPr>
          <w:rFonts w:ascii="宋体" w:hAnsi="宋体"/>
          <w:color w:val="000000"/>
        </w:rPr>
        <w:t>比选人或有管辖权的监管机构的处罚；如果我公司已</w:t>
      </w:r>
      <w:r>
        <w:rPr>
          <w:rFonts w:hint="eastAsia" w:ascii="宋体" w:hAnsi="宋体"/>
          <w:color w:val="000000"/>
        </w:rPr>
        <w:t>与比选人签订合同，则视为我公司违约，履约保证金由比选人没收</w:t>
      </w:r>
      <w:r>
        <w:rPr>
          <w:rFonts w:ascii="宋体" w:hAnsi="宋体"/>
          <w:color w:val="000000"/>
        </w:rPr>
        <w:t>；由此造成的任何后果和损失均由我公司承担。本段承诺既是我公司</w:t>
      </w:r>
      <w:r>
        <w:rPr>
          <w:rFonts w:hint="eastAsia" w:ascii="宋体" w:hAnsi="宋体"/>
          <w:color w:val="000000"/>
        </w:rPr>
        <w:t>比选申请文件</w:t>
      </w:r>
      <w:r>
        <w:rPr>
          <w:rFonts w:ascii="宋体" w:hAnsi="宋体"/>
          <w:color w:val="000000"/>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000000"/>
        </w:rPr>
      </w:pPr>
      <w:r>
        <w:rPr>
          <w:rFonts w:hint="eastAsia" w:ascii="宋体" w:hAnsi="宋体"/>
          <w:color w:val="000000"/>
        </w:rPr>
        <w:t>6</w:t>
      </w:r>
      <w:r>
        <w:rPr>
          <w:rFonts w:ascii="宋体" w:hAnsi="宋体"/>
          <w:color w:val="000000"/>
        </w:rPr>
        <w:t>、我方了解：无论</w:t>
      </w:r>
      <w:r>
        <w:rPr>
          <w:rFonts w:hint="eastAsia" w:ascii="宋体" w:hAnsi="宋体"/>
          <w:color w:val="000000"/>
        </w:rPr>
        <w:t>是否中选</w:t>
      </w:r>
      <w:r>
        <w:rPr>
          <w:rFonts w:ascii="宋体" w:hAnsi="宋体"/>
          <w:color w:val="000000"/>
        </w:rPr>
        <w:t>，我方将自行承担与</w:t>
      </w:r>
      <w:r>
        <w:rPr>
          <w:rFonts w:hint="eastAsia" w:ascii="宋体" w:hAnsi="宋体"/>
          <w:color w:val="000000"/>
        </w:rPr>
        <w:t>比选申请</w:t>
      </w:r>
      <w:r>
        <w:rPr>
          <w:rFonts w:ascii="宋体" w:hAnsi="宋体"/>
          <w:color w:val="000000"/>
        </w:rPr>
        <w:t>活动所需的一切费用。</w:t>
      </w:r>
    </w:p>
    <w:p>
      <w:pPr>
        <w:spacing w:before="0" w:after="0" w:afterAutospacing="0"/>
        <w:ind w:left="0" w:right="0" w:firstLine="420" w:firstLineChars="200"/>
        <w:rPr>
          <w:rFonts w:ascii="宋体" w:hAnsi="宋体"/>
          <w:color w:val="000000"/>
        </w:rPr>
      </w:pPr>
      <w:r>
        <w:rPr>
          <w:rFonts w:hint="eastAsia" w:ascii="宋体" w:hAnsi="宋体"/>
          <w:color w:val="000000"/>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000000"/>
        </w:rPr>
      </w:pPr>
      <w:r>
        <w:rPr>
          <w:rFonts w:ascii="宋体" w:hAnsi="宋体"/>
          <w:color w:val="000000"/>
        </w:rPr>
        <w:t>我</w:t>
      </w:r>
      <w:r>
        <w:rPr>
          <w:rFonts w:hint="eastAsia" w:ascii="宋体" w:hAnsi="宋体"/>
          <w:color w:val="000000"/>
        </w:rPr>
        <w:t>方</w:t>
      </w:r>
      <w:r>
        <w:rPr>
          <w:rFonts w:ascii="宋体" w:hAnsi="宋体"/>
          <w:color w:val="000000"/>
        </w:rPr>
        <w:t>声明，我们所填报的资料是完全真实和准确的，并愿为此承担任何相关的法律责任。</w:t>
      </w:r>
    </w:p>
    <w:p>
      <w:pPr>
        <w:snapToGrid w:val="0"/>
        <w:spacing w:before="0" w:after="0" w:afterAutospacing="0"/>
        <w:ind w:left="0" w:right="0" w:firstLine="198"/>
        <w:rPr>
          <w:rFonts w:ascii="宋体" w:hAnsi="宋体"/>
          <w:color w:val="000000"/>
        </w:rPr>
      </w:pPr>
    </w:p>
    <w:p>
      <w:pPr>
        <w:snapToGrid w:val="0"/>
        <w:spacing w:before="0" w:after="0" w:afterAutospacing="0"/>
        <w:ind w:left="0" w:right="0" w:firstLine="198"/>
        <w:rPr>
          <w:rFonts w:ascii="宋体" w:hAnsi="宋体"/>
          <w:color w:val="000000"/>
          <w:u w:val="single"/>
        </w:rPr>
      </w:pPr>
      <w:r>
        <w:rPr>
          <w:rFonts w:hint="eastAsia" w:ascii="宋体" w:hAnsi="宋体"/>
          <w:color w:val="000000"/>
        </w:rPr>
        <w:t>比选申请人</w:t>
      </w:r>
      <w:r>
        <w:rPr>
          <w:rFonts w:ascii="宋体" w:hAnsi="宋体"/>
          <w:color w:val="000000"/>
        </w:rPr>
        <w:t>地址：</w:t>
      </w:r>
    </w:p>
    <w:p>
      <w:pPr>
        <w:snapToGrid w:val="0"/>
        <w:spacing w:before="0" w:after="0" w:afterAutospacing="0"/>
        <w:ind w:left="0" w:right="0" w:firstLine="198"/>
        <w:rPr>
          <w:rFonts w:ascii="宋体" w:hAnsi="宋体"/>
          <w:color w:val="000000"/>
        </w:rPr>
      </w:pPr>
      <w:r>
        <w:rPr>
          <w:rFonts w:hint="eastAsia" w:ascii="宋体" w:hAnsi="宋体"/>
          <w:color w:val="000000"/>
        </w:rPr>
        <w:t>比选申请人</w:t>
      </w:r>
      <w:r>
        <w:rPr>
          <w:rFonts w:ascii="宋体" w:hAnsi="宋体"/>
          <w:color w:val="000000"/>
          <w:u w:val="single"/>
        </w:rPr>
        <w:t xml:space="preserve">    (</w:t>
      </w:r>
      <w:r>
        <w:rPr>
          <w:rFonts w:hint="eastAsia" w:ascii="宋体" w:hAnsi="宋体"/>
          <w:color w:val="000000"/>
          <w:u w:val="single"/>
        </w:rPr>
        <w:t>盖单位公章</w:t>
      </w:r>
      <w:r>
        <w:rPr>
          <w:rFonts w:ascii="宋体" w:hAnsi="宋体"/>
          <w:color w:val="000000"/>
          <w:u w:val="single"/>
        </w:rPr>
        <w:t>)</w:t>
      </w:r>
    </w:p>
    <w:p>
      <w:pPr>
        <w:snapToGrid w:val="0"/>
        <w:spacing w:before="0" w:after="0" w:afterAutospacing="0"/>
        <w:ind w:left="0" w:right="0" w:firstLine="198"/>
        <w:rPr>
          <w:rFonts w:ascii="宋体" w:hAnsi="宋体"/>
          <w:color w:val="000000"/>
          <w:u w:val="single"/>
        </w:rPr>
      </w:pPr>
      <w:r>
        <w:rPr>
          <w:rFonts w:ascii="宋体" w:hAnsi="宋体"/>
          <w:color w:val="000000"/>
        </w:rPr>
        <w:t>邮政编码：</w:t>
      </w:r>
    </w:p>
    <w:p>
      <w:pPr>
        <w:snapToGrid w:val="0"/>
        <w:spacing w:before="0" w:after="0" w:afterAutospacing="0"/>
        <w:ind w:left="0" w:right="0" w:firstLine="198"/>
        <w:rPr>
          <w:rFonts w:ascii="宋体" w:hAnsi="宋体"/>
          <w:color w:val="000000"/>
          <w:u w:val="single"/>
        </w:rPr>
      </w:pPr>
      <w:r>
        <w:rPr>
          <w:rFonts w:hint="eastAsia" w:ascii="宋体" w:hAnsi="宋体"/>
          <w:color w:val="000000"/>
        </w:rPr>
        <w:t>法定代表人（或委托代理人）：</w:t>
      </w:r>
      <w:r>
        <w:rPr>
          <w:rFonts w:ascii="宋体" w:hAnsi="宋体"/>
          <w:color w:val="000000"/>
          <w:u w:val="single"/>
        </w:rPr>
        <w:t>(签字</w:t>
      </w:r>
      <w:r>
        <w:rPr>
          <w:rFonts w:hint="eastAsia" w:ascii="宋体" w:hAnsi="宋体"/>
          <w:color w:val="000000"/>
          <w:u w:val="single"/>
        </w:rPr>
        <w:t>或盖章</w:t>
      </w:r>
      <w:r>
        <w:rPr>
          <w:rFonts w:ascii="宋体" w:hAnsi="宋体"/>
          <w:color w:val="000000"/>
          <w:u w:val="single"/>
        </w:rPr>
        <w:t>)</w:t>
      </w:r>
    </w:p>
    <w:p>
      <w:pPr>
        <w:snapToGrid w:val="0"/>
        <w:spacing w:before="0" w:after="0" w:afterAutospacing="0"/>
        <w:ind w:left="0" w:right="0" w:firstLine="198"/>
        <w:rPr>
          <w:rFonts w:ascii="宋体" w:hAnsi="宋体"/>
          <w:color w:val="000000"/>
          <w:u w:val="single"/>
        </w:rPr>
      </w:pPr>
      <w:r>
        <w:rPr>
          <w:rFonts w:ascii="宋体" w:hAnsi="宋体"/>
          <w:color w:val="000000"/>
        </w:rPr>
        <w:t>电话：</w:t>
      </w:r>
      <w:r>
        <w:rPr>
          <w:rFonts w:ascii="宋体" w:hAnsi="宋体"/>
          <w:color w:val="000000"/>
          <w:u w:val="single"/>
        </w:rPr>
        <w:t>　　</w:t>
      </w:r>
    </w:p>
    <w:p>
      <w:pPr>
        <w:snapToGrid w:val="0"/>
        <w:spacing w:before="0" w:after="0" w:afterAutospacing="0"/>
        <w:ind w:left="0" w:right="0" w:firstLine="198"/>
        <w:rPr>
          <w:rFonts w:ascii="宋体" w:hAnsi="宋体"/>
          <w:color w:val="000000"/>
          <w:u w:val="single"/>
        </w:rPr>
      </w:pPr>
      <w:r>
        <w:rPr>
          <w:rFonts w:ascii="宋体" w:hAnsi="宋体"/>
          <w:color w:val="000000"/>
        </w:rPr>
        <w:t>传真：</w:t>
      </w:r>
    </w:p>
    <w:p>
      <w:pPr>
        <w:snapToGrid w:val="0"/>
        <w:spacing w:before="0" w:after="0" w:afterAutospacing="0"/>
        <w:ind w:left="0" w:right="0" w:firstLine="198"/>
        <w:rPr>
          <w:rFonts w:ascii="宋体" w:hAnsi="宋体"/>
          <w:color w:val="000000"/>
        </w:rPr>
      </w:pPr>
      <w:r>
        <w:rPr>
          <w:rFonts w:ascii="宋体" w:hAnsi="宋体"/>
          <w:color w:val="000000"/>
        </w:rPr>
        <w:t>日期：</w:t>
      </w:r>
      <w:r>
        <w:rPr>
          <w:rFonts w:hint="eastAsia" w:ascii="宋体" w:hAnsi="宋体"/>
          <w:color w:val="000000"/>
          <w:u w:val="single"/>
        </w:rPr>
        <w:t xml:space="preserve"> XXXX     </w:t>
      </w:r>
      <w:r>
        <w:rPr>
          <w:rFonts w:ascii="宋体" w:hAnsi="宋体"/>
          <w:color w:val="000000"/>
        </w:rPr>
        <w:t>年</w:t>
      </w:r>
      <w:r>
        <w:rPr>
          <w:rFonts w:hint="eastAsia" w:ascii="宋体" w:hAnsi="宋体"/>
          <w:color w:val="000000"/>
          <w:u w:val="single"/>
        </w:rPr>
        <w:t xml:space="preserve"> XX   </w:t>
      </w:r>
      <w:r>
        <w:rPr>
          <w:rFonts w:ascii="宋体" w:hAnsi="宋体"/>
          <w:color w:val="000000"/>
        </w:rPr>
        <w:t>月</w:t>
      </w:r>
      <w:r>
        <w:rPr>
          <w:rFonts w:hint="eastAsia" w:ascii="宋体" w:hAnsi="宋体"/>
          <w:color w:val="000000"/>
          <w:u w:val="single"/>
        </w:rPr>
        <w:t xml:space="preserve"> XX  </w:t>
      </w:r>
      <w:r>
        <w:rPr>
          <w:rFonts w:ascii="宋体" w:hAnsi="宋体"/>
          <w:color w:val="000000"/>
        </w:rPr>
        <w:t>日</w:t>
      </w:r>
    </w:p>
    <w:p>
      <w:pPr>
        <w:pageBreakBefore/>
        <w:snapToGrid w:val="0"/>
        <w:ind w:left="713" w:right="0" w:hanging="713" w:hangingChars="338"/>
        <w:jc w:val="left"/>
        <w:outlineLvl w:val="2"/>
        <w:rPr>
          <w:rFonts w:ascii="宋体" w:hAnsi="宋体"/>
          <w:b/>
        </w:rPr>
      </w:pPr>
      <w:r>
        <w:rPr>
          <w:rFonts w:hint="eastAsia" w:ascii="宋体" w:hAnsi="宋体"/>
          <w:b/>
        </w:rPr>
        <w:t xml:space="preserve">A4 </w:t>
      </w:r>
      <w:r>
        <w:rPr>
          <w:rFonts w:ascii="宋体" w:hAnsi="宋体"/>
          <w:b/>
        </w:rPr>
        <w:t>技术响应表</w:t>
      </w:r>
      <w:r>
        <w:rPr>
          <w:rFonts w:hint="eastAsia" w:ascii="宋体" w:hAnsi="宋体"/>
          <w:b/>
        </w:rPr>
        <w:t>格式</w:t>
      </w:r>
      <w:r>
        <w:rPr>
          <w:rFonts w:hint="eastAsia" w:ascii="宋体" w:hAnsi="宋体"/>
          <w:b/>
          <w:color w:val="FF0000"/>
        </w:rPr>
        <w:t>（内容根据项目情况自行拟定）</w:t>
      </w:r>
    </w:p>
    <w:p>
      <w:pPr>
        <w:snapToGrid w:val="0"/>
        <w:spacing w:before="0" w:after="0" w:afterAutospacing="0" w:line="240" w:lineRule="auto"/>
        <w:ind w:left="0" w:right="-57" w:firstLine="0"/>
        <w:jc w:val="center"/>
        <w:rPr>
          <w:rFonts w:ascii="宋体" w:hAnsi="宋体"/>
          <w:b/>
        </w:rPr>
      </w:pPr>
      <w:r>
        <w:rPr>
          <w:rFonts w:hint="eastAsia" w:ascii="宋体" w:hAnsi="宋体"/>
          <w:b/>
        </w:rPr>
        <w:t>技术响应表</w:t>
      </w:r>
    </w:p>
    <w:p>
      <w:pPr>
        <w:spacing w:before="0" w:after="0" w:afterAutospacing="0"/>
        <w:ind w:right="0"/>
        <w:rPr>
          <w:rFonts w:ascii="宋体" w:hAnsi="宋体"/>
          <w:u w:val="single"/>
        </w:rPr>
      </w:pPr>
      <w:r>
        <w:rPr>
          <w:rFonts w:ascii="宋体" w:hAnsi="宋体"/>
        </w:rPr>
        <w:t>比选申请人名称：</w:t>
      </w:r>
    </w:p>
    <w:tbl>
      <w:tblPr>
        <w:tblStyle w:val="26"/>
        <w:tblW w:w="9415" w:type="dxa"/>
        <w:jc w:val="center"/>
        <w:tblLayout w:type="fixed"/>
        <w:tblCellMar>
          <w:top w:w="0" w:type="dxa"/>
          <w:left w:w="108" w:type="dxa"/>
          <w:bottom w:w="0" w:type="dxa"/>
          <w:right w:w="108" w:type="dxa"/>
        </w:tblCellMar>
      </w:tblPr>
      <w:tblGrid>
        <w:gridCol w:w="703"/>
        <w:gridCol w:w="1188"/>
        <w:gridCol w:w="1436"/>
        <w:gridCol w:w="1382"/>
        <w:gridCol w:w="1297"/>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rPr>
                <w:rFonts w:ascii="宋体" w:hAnsi="宋体"/>
              </w:rPr>
            </w:pPr>
            <w:r>
              <w:rPr>
                <w:rFonts w:hint="eastAsia" w:ascii="宋体" w:hAnsi="宋体"/>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rPr>
            </w:pPr>
            <w:r>
              <w:rPr>
                <w:rFonts w:hint="eastAsia" w:ascii="宋体" w:hAnsi="宋体"/>
              </w:rPr>
              <w:t>物资名称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rPr>
            </w:pPr>
            <w:r>
              <w:rPr>
                <w:rFonts w:hint="eastAsia" w:ascii="宋体" w:hAnsi="宋体"/>
              </w:rPr>
              <w:t>性能参数</w:t>
            </w:r>
          </w:p>
        </w:tc>
        <w:tc>
          <w:tcPr>
            <w:tcW w:w="1382"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rPr>
            </w:pPr>
            <w:r>
              <w:rPr>
                <w:rFonts w:hint="eastAsia" w:ascii="宋体" w:hAnsi="宋体"/>
              </w:rPr>
              <w:t>参考品牌及型号</w:t>
            </w:r>
          </w:p>
        </w:tc>
        <w:tc>
          <w:tcPr>
            <w:tcW w:w="1297"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rPr>
            </w:pPr>
            <w:r>
              <w:rPr>
                <w:rFonts w:hint="eastAsia" w:ascii="宋体" w:hAnsi="宋体"/>
              </w:rPr>
              <w:t>供货品牌及型号</w:t>
            </w:r>
          </w:p>
        </w:tc>
        <w:tc>
          <w:tcPr>
            <w:tcW w:w="1077"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rPr>
            </w:pPr>
            <w:r>
              <w:rPr>
                <w:rFonts w:hint="eastAsia" w:ascii="宋体" w:hAnsi="宋体"/>
              </w:rPr>
              <w:t>偏离情况</w:t>
            </w:r>
          </w:p>
        </w:tc>
        <w:tc>
          <w:tcPr>
            <w:tcW w:w="1187"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rPr>
            </w:pPr>
            <w:r>
              <w:rPr>
                <w:rFonts w:hint="eastAsia" w:ascii="宋体" w:hAnsi="宋体"/>
              </w:rPr>
              <w:t>说明</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382" w:type="dxa"/>
            <w:tcBorders>
              <w:top w:val="nil"/>
              <w:left w:val="nil"/>
              <w:bottom w:val="single" w:color="auto" w:sz="4" w:space="0"/>
              <w:right w:val="single" w:color="auto" w:sz="4" w:space="0"/>
            </w:tcBorders>
            <w:vAlign w:val="center"/>
          </w:tcPr>
          <w:p>
            <w:pPr>
              <w:ind w:left="0" w:firstLine="0"/>
              <w:rPr>
                <w:rFonts w:ascii="宋体" w:hAnsi="宋体"/>
              </w:rPr>
            </w:pPr>
          </w:p>
        </w:tc>
        <w:tc>
          <w:tcPr>
            <w:tcW w:w="1297"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382" w:type="dxa"/>
            <w:tcBorders>
              <w:top w:val="nil"/>
              <w:left w:val="nil"/>
              <w:bottom w:val="single" w:color="auto" w:sz="4" w:space="0"/>
              <w:right w:val="single" w:color="auto" w:sz="4" w:space="0"/>
            </w:tcBorders>
            <w:vAlign w:val="center"/>
          </w:tcPr>
          <w:p>
            <w:pPr>
              <w:ind w:left="0" w:firstLine="0"/>
              <w:rPr>
                <w:rFonts w:ascii="宋体" w:hAnsi="宋体"/>
              </w:rPr>
            </w:pPr>
          </w:p>
        </w:tc>
        <w:tc>
          <w:tcPr>
            <w:tcW w:w="1297"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9415" w:type="dxa"/>
            <w:gridSpan w:val="8"/>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我方确认：我公司完全满足用户需求书的要求。</w:t>
            </w:r>
          </w:p>
        </w:tc>
      </w:tr>
    </w:tbl>
    <w:p>
      <w:pPr>
        <w:spacing w:before="0" w:after="0" w:afterAutospacing="0"/>
        <w:ind w:left="0" w:right="0" w:firstLine="420" w:firstLineChars="200"/>
        <w:rPr>
          <w:rFonts w:hint="eastAsia" w:ascii="宋体" w:hAnsi="宋体"/>
          <w:color w:val="000000"/>
        </w:rPr>
      </w:pPr>
    </w:p>
    <w:p>
      <w:pPr>
        <w:spacing w:before="0" w:after="0" w:afterAutospacing="0"/>
        <w:ind w:left="0" w:right="0" w:firstLine="4536" w:firstLineChars="2160"/>
        <w:rPr>
          <w:rFonts w:ascii="宋体" w:hAnsi="宋体"/>
          <w:color w:val="000000"/>
        </w:rPr>
      </w:pPr>
      <w:r>
        <w:rPr>
          <w:rFonts w:hint="eastAsia" w:ascii="宋体" w:hAnsi="宋体"/>
          <w:color w:val="000000"/>
        </w:rPr>
        <w:t>比选申请人名称（盖章）：</w:t>
      </w:r>
    </w:p>
    <w:p>
      <w:pPr>
        <w:spacing w:before="0" w:after="0" w:afterAutospacing="0"/>
        <w:ind w:left="0" w:right="0" w:firstLine="4536" w:firstLineChars="2160"/>
        <w:rPr>
          <w:rFonts w:ascii="宋体" w:hAnsi="宋体"/>
          <w:color w:val="000000"/>
        </w:rPr>
      </w:pPr>
      <w:r>
        <w:rPr>
          <w:rFonts w:hint="eastAsia" w:ascii="宋体" w:hAnsi="宋体"/>
          <w:color w:val="000000"/>
        </w:rPr>
        <w:t>法定代表人或被授权人（签字）：</w:t>
      </w:r>
    </w:p>
    <w:p>
      <w:pPr>
        <w:spacing w:before="0" w:after="0" w:afterAutospacing="0"/>
        <w:ind w:left="0" w:right="0" w:firstLine="4536" w:firstLineChars="2160"/>
        <w:rPr>
          <w:rFonts w:ascii="宋体" w:hAnsi="宋体"/>
          <w:color w:val="000000"/>
        </w:rPr>
      </w:pPr>
      <w:r>
        <w:rPr>
          <w:rFonts w:hint="eastAsia" w:ascii="宋体" w:hAnsi="宋体"/>
          <w:color w:val="000000"/>
        </w:rPr>
        <w:t>日  期：  年  月  日</w:t>
      </w:r>
    </w:p>
    <w:p>
      <w:pPr>
        <w:spacing w:before="0" w:after="0" w:afterAutospacing="0"/>
        <w:ind w:left="708" w:right="0" w:hanging="708" w:hangingChars="336"/>
        <w:rPr>
          <w:rFonts w:hint="eastAsia" w:ascii="宋体" w:hAnsi="宋体"/>
          <w:b/>
        </w:rPr>
      </w:pP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比选申请人必须对应根据比选文件的第五章用户需求书条款逐条应答并按要求填写下表。</w:t>
      </w:r>
    </w:p>
    <w:p>
      <w:pPr>
        <w:pStyle w:val="34"/>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highlight w:val="none"/>
        </w:rPr>
        <w:t xml:space="preserve">。     </w:t>
      </w:r>
    </w:p>
    <w:p>
      <w:pPr>
        <w:spacing w:before="0"/>
        <w:ind w:left="105" w:leftChars="50" w:right="-57" w:firstLine="316" w:firstLineChars="150"/>
        <w:rPr>
          <w:rFonts w:ascii="宋体" w:hAnsi="宋体"/>
          <w:b/>
          <w:highlight w:val="none"/>
        </w:rPr>
      </w:pPr>
      <w:r>
        <w:rPr>
          <w:rFonts w:hint="eastAsia" w:ascii="宋体" w:hAnsi="宋体"/>
          <w:b/>
          <w:highlight w:val="none"/>
        </w:rPr>
        <w:t>6.如有任意一项负偏离，比选申请人将不能通过响应性评审。</w:t>
      </w:r>
    </w:p>
    <w:p>
      <w:pPr>
        <w:snapToGrid w:val="0"/>
        <w:spacing w:before="0" w:after="0" w:afterAutospacing="0"/>
        <w:ind w:left="0" w:right="0" w:firstLine="198"/>
        <w:rPr>
          <w:rFonts w:hint="eastAsia" w:ascii="宋体" w:hAnsi="宋体"/>
          <w:color w:val="000000"/>
        </w:rPr>
      </w:pPr>
    </w:p>
    <w:p>
      <w:pPr>
        <w:pageBreakBefore/>
        <w:snapToGrid w:val="0"/>
        <w:ind w:left="713" w:right="0" w:hanging="713" w:hangingChars="338"/>
        <w:jc w:val="left"/>
        <w:outlineLvl w:val="2"/>
        <w:rPr>
          <w:rFonts w:ascii="宋体" w:hAnsi="宋体"/>
          <w:b/>
        </w:rPr>
      </w:pPr>
      <w:r>
        <w:rPr>
          <w:rFonts w:hint="eastAsia" w:ascii="宋体" w:hAnsi="宋体"/>
          <w:b/>
        </w:rPr>
        <w:t>A5 商务</w:t>
      </w:r>
      <w:r>
        <w:rPr>
          <w:rFonts w:ascii="宋体" w:hAnsi="宋体"/>
          <w:b/>
        </w:rPr>
        <w:t>响应表</w:t>
      </w:r>
      <w:r>
        <w:rPr>
          <w:rFonts w:hint="eastAsia" w:ascii="宋体" w:hAnsi="宋体"/>
          <w:b/>
        </w:rPr>
        <w:t>格式</w:t>
      </w:r>
    </w:p>
    <w:p>
      <w:pPr>
        <w:ind w:right="-57" w:firstLine="0"/>
        <w:jc w:val="center"/>
        <w:rPr>
          <w:rFonts w:ascii="宋体" w:hAnsi="宋体"/>
          <w:b/>
        </w:rPr>
      </w:pPr>
      <w:r>
        <w:rPr>
          <w:rFonts w:hint="eastAsia" w:ascii="宋体" w:hAnsi="宋体"/>
          <w:b/>
        </w:rPr>
        <w:t>商务响应表</w:t>
      </w:r>
    </w:p>
    <w:p>
      <w:pPr>
        <w:snapToGrid w:val="0"/>
        <w:spacing w:before="0" w:after="0" w:afterAutospacing="0"/>
        <w:ind w:left="0" w:right="0" w:firstLine="198"/>
        <w:rPr>
          <w:rFonts w:hint="eastAsia" w:ascii="宋体" w:hAnsi="宋体"/>
          <w:color w:val="000000"/>
        </w:rPr>
      </w:pP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color w:val="000000" w:themeColor="text1"/>
          <w:spacing w:val="20"/>
          <w:sz w:val="24"/>
          <w:szCs w:val="24"/>
          <w14:textFill>
            <w14:solidFill>
              <w14:schemeClr w14:val="tx1"/>
            </w14:solidFill>
          </w14:textFill>
        </w:rPr>
      </w:pPr>
      <w:r>
        <w:rPr>
          <w:rFonts w:hint="eastAsia" w:ascii="宋体" w:hAnsi="宋体"/>
          <w:b/>
        </w:rPr>
        <w:t>注：上述响应要求必须全部为“完全响应”，否则，比选申请人将不能通过响应性评审。</w:t>
      </w:r>
    </w:p>
    <w:p>
      <w:pPr>
        <w:snapToGrid w:val="0"/>
        <w:spacing w:after="50"/>
        <w:ind w:right="-57" w:firstLine="0"/>
        <w:rPr>
          <w:rFonts w:ascii="宋体" w:hAnsi="宋体"/>
          <w:color w:val="000000" w:themeColor="text1"/>
          <w:spacing w:val="20"/>
          <w:sz w:val="24"/>
          <w:szCs w:val="24"/>
          <w14:textFill>
            <w14:solidFill>
              <w14:schemeClr w14:val="tx1"/>
            </w14:solidFill>
          </w14:textFill>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日期：年月日</w:t>
      </w:r>
    </w:p>
    <w:p>
      <w:pPr>
        <w:snapToGrid w:val="0"/>
        <w:spacing w:before="0" w:after="0" w:afterAutospacing="0"/>
        <w:ind w:left="0" w:right="0" w:firstLine="198"/>
        <w:rPr>
          <w:rFonts w:ascii="宋体" w:hAnsi="宋体"/>
          <w:color w:val="000000"/>
        </w:rPr>
      </w:pPr>
    </w:p>
    <w:p>
      <w:pPr>
        <w:pageBreakBefore/>
        <w:snapToGrid w:val="0"/>
        <w:ind w:left="713" w:right="0" w:hanging="713" w:hangingChars="338"/>
        <w:jc w:val="left"/>
        <w:outlineLvl w:val="2"/>
        <w:rPr>
          <w:rFonts w:ascii="宋体" w:hAnsi="宋体"/>
          <w:b/>
        </w:rPr>
      </w:pPr>
      <w:bookmarkStart w:id="1153" w:name="_Toc25750678"/>
      <w:r>
        <w:rPr>
          <w:rFonts w:ascii="宋体" w:hAnsi="宋体"/>
          <w:b/>
        </w:rPr>
        <w:t>A</w:t>
      </w:r>
      <w:r>
        <w:rPr>
          <w:rFonts w:hint="eastAsia" w:ascii="宋体" w:hAnsi="宋体"/>
          <w:b/>
        </w:rPr>
        <w:t>6  类似项目</w:t>
      </w:r>
      <w:r>
        <w:rPr>
          <w:rFonts w:ascii="宋体" w:hAnsi="宋体"/>
          <w:b/>
        </w:rPr>
        <w:t>业绩表格式</w:t>
      </w:r>
      <w:bookmarkEnd w:id="1153"/>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r>
        <w:rPr>
          <w:rFonts w:hint="eastAsia" w:ascii="宋体" w:hAnsi="宋体"/>
          <w:b/>
          <w:color w:val="FF0000"/>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合同内容（简述）</w:t>
            </w:r>
          </w:p>
        </w:tc>
        <w:tc>
          <w:tcPr>
            <w:tcW w:w="992"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color w:val="FF0000"/>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before="0" w:after="0" w:afterAutospacing="0"/>
        <w:ind w:left="0" w:right="0" w:firstLine="422" w:firstLineChars="200"/>
        <w:jc w:val="left"/>
        <w:rPr>
          <w:rFonts w:ascii="宋体" w:hAnsi="宋体"/>
          <w:b/>
        </w:rPr>
      </w:pPr>
    </w:p>
    <w:p>
      <w:pPr>
        <w:pageBreakBefore/>
        <w:spacing w:before="0" w:after="0" w:afterAutospacing="0"/>
        <w:ind w:left="0" w:right="0" w:firstLine="0"/>
        <w:jc w:val="center"/>
        <w:outlineLvl w:val="1"/>
        <w:rPr>
          <w:rFonts w:ascii="宋体" w:hAnsi="宋体"/>
          <w:b/>
          <w:sz w:val="30"/>
          <w:szCs w:val="30"/>
        </w:rPr>
      </w:pPr>
      <w:bookmarkStart w:id="1154" w:name="_Toc28662"/>
      <w:bookmarkStart w:id="1155" w:name="_Toc492478807"/>
      <w:bookmarkStart w:id="1156" w:name="_Toc27820"/>
      <w:bookmarkStart w:id="1157" w:name="_Toc23770"/>
      <w:bookmarkStart w:id="1158" w:name="_Toc14988"/>
      <w:bookmarkStart w:id="1159" w:name="_Toc12984811"/>
      <w:bookmarkStart w:id="1160" w:name="_Toc12983551"/>
      <w:bookmarkStart w:id="1161" w:name="_Toc17687"/>
      <w:bookmarkStart w:id="1162" w:name="_Toc8874"/>
      <w:bookmarkStart w:id="1163" w:name="_Toc14586"/>
      <w:bookmarkStart w:id="1164" w:name="_Toc8914"/>
      <w:bookmarkStart w:id="1165" w:name="_Toc8451"/>
      <w:bookmarkStart w:id="1166" w:name="_Toc18876"/>
      <w:bookmarkStart w:id="1167" w:name="_Toc29358"/>
      <w:bookmarkStart w:id="1168" w:name="_Toc10812"/>
      <w:bookmarkStart w:id="1169" w:name="_Toc11582"/>
      <w:bookmarkStart w:id="1170" w:name="_Toc16676"/>
      <w:bookmarkStart w:id="1171" w:name="_Toc12677"/>
      <w:bookmarkStart w:id="1172" w:name="_Toc24971"/>
      <w:bookmarkStart w:id="1173" w:name="_Toc13328"/>
      <w:bookmarkStart w:id="1174" w:name="_Toc414290525"/>
      <w:bookmarkStart w:id="1175" w:name="_Toc3950"/>
      <w:r>
        <w:rPr>
          <w:rFonts w:ascii="宋体" w:hAnsi="宋体"/>
          <w:b/>
          <w:sz w:val="30"/>
          <w:szCs w:val="30"/>
        </w:rPr>
        <w:t xml:space="preserve">B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Fonts w:hint="eastAsia" w:ascii="宋体" w:hAnsi="宋体"/>
          <w:b/>
          <w:sz w:val="30"/>
          <w:szCs w:val="30"/>
        </w:rPr>
        <w:t>价格文件</w:t>
      </w:r>
      <w:bookmarkEnd w:id="1175"/>
    </w:p>
    <w:p>
      <w:pPr>
        <w:spacing w:before="0" w:after="0" w:afterAutospacing="0"/>
        <w:ind w:left="0" w:right="0" w:firstLine="422" w:firstLineChars="200"/>
        <w:jc w:val="left"/>
        <w:rPr>
          <w:rFonts w:ascii="宋体" w:hAnsi="宋体"/>
          <w:b/>
        </w:rPr>
      </w:pP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w:t>
      </w:r>
      <w:r>
        <w:rPr>
          <w:rFonts w:hint="eastAsia"/>
          <w:color w:val="FF0000"/>
        </w:rPr>
        <w:t>（如有）</w:t>
      </w:r>
      <w:r>
        <w:rPr>
          <w:rFonts w:hint="eastAsia"/>
        </w:rPr>
        <w:t>。</w:t>
      </w:r>
    </w:p>
    <w:p>
      <w:pPr>
        <w:pageBreakBefore/>
        <w:snapToGrid w:val="0"/>
        <w:ind w:left="0" w:right="0" w:firstLine="0"/>
        <w:jc w:val="left"/>
        <w:outlineLvl w:val="2"/>
        <w:rPr>
          <w:rFonts w:ascii="宋体" w:hAnsi="宋体"/>
          <w:b/>
        </w:rPr>
      </w:pPr>
      <w:bookmarkStart w:id="1176" w:name="_Toc414290526"/>
      <w:bookmarkStart w:id="1177" w:name="_Toc375564355"/>
      <w:bookmarkStart w:id="1178" w:name="_Toc12951"/>
      <w:bookmarkStart w:id="1179" w:name="_Toc9560"/>
      <w:bookmarkStart w:id="1180" w:name="_Toc16489"/>
      <w:bookmarkStart w:id="1181" w:name="_Toc7004"/>
      <w:bookmarkStart w:id="1182" w:name="_Toc492478808"/>
      <w:bookmarkStart w:id="1183" w:name="_Toc24487"/>
      <w:bookmarkStart w:id="1184" w:name="_Toc29231"/>
      <w:bookmarkStart w:id="1185" w:name="_Toc6992"/>
      <w:bookmarkStart w:id="1186" w:name="_Toc1158"/>
      <w:bookmarkStart w:id="1187" w:name="_Toc18340"/>
      <w:bookmarkStart w:id="1188" w:name="_Toc9861"/>
      <w:bookmarkStart w:id="1189" w:name="_Toc29688"/>
      <w:bookmarkStart w:id="1190" w:name="_Toc25419"/>
      <w:bookmarkStart w:id="1191" w:name="_Toc10991"/>
      <w:bookmarkStart w:id="1192" w:name="_Toc24326"/>
      <w:bookmarkStart w:id="1193" w:name="_Toc18516"/>
      <w:bookmarkStart w:id="1194" w:name="_Toc27610"/>
      <w:bookmarkStart w:id="1195" w:name="_Toc23615"/>
      <w:bookmarkStart w:id="1196" w:name="_Toc13980"/>
      <w:bookmarkStart w:id="1197" w:name="_Toc12983552"/>
      <w:bookmarkStart w:id="1198" w:name="_Toc12984812"/>
      <w:bookmarkStart w:id="1199" w:name="_Toc25750680"/>
      <w:r>
        <w:rPr>
          <w:rFonts w:ascii="宋体" w:hAnsi="宋体"/>
          <w:b/>
        </w:rPr>
        <w:t>B1比选申请报价一览表</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r>
        <w:rPr>
          <w:rFonts w:hint="eastAsia" w:ascii="宋体" w:hAnsi="宋体"/>
          <w:color w:val="FF0000"/>
          <w:u w:val="single"/>
        </w:rPr>
        <w:t>南宁轨道交通2021年出入口安全划线标识采购项目</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r>
        <w:rPr>
          <w:rFonts w:hint="eastAsia" w:ascii="宋体" w:hAnsi="宋体"/>
          <w:kern w:val="2"/>
          <w:u w:val="single"/>
        </w:rPr>
        <w:t>202105060010</w:t>
      </w:r>
    </w:p>
    <w:p>
      <w:pPr>
        <w:widowControl w:val="0"/>
        <w:snapToGrid w:val="0"/>
        <w:spacing w:before="0" w:after="0" w:afterAutospacing="0"/>
        <w:ind w:right="-57" w:rightChars="-27"/>
        <w:rPr>
          <w:rFonts w:ascii="宋体" w:hAnsi="宋体"/>
          <w:kern w:val="2"/>
        </w:rPr>
      </w:pPr>
      <w:r>
        <w:rPr>
          <w:rFonts w:hint="eastAsia" w:ascii="宋体" w:hAnsi="宋体"/>
          <w:kern w:val="2"/>
        </w:rPr>
        <w:t xml:space="preserve">比选申请人名称：                   </w:t>
      </w:r>
      <w:r>
        <w:rPr>
          <w:rFonts w:hint="eastAsia" w:ascii="宋体" w:hAnsi="宋体"/>
          <w:kern w:val="2"/>
          <w:lang w:val="en-US" w:eastAsia="zh-CN"/>
        </w:rPr>
        <w:t xml:space="preserve">                                    </w:t>
      </w:r>
      <w:r>
        <w:rPr>
          <w:rFonts w:hint="eastAsia" w:ascii="宋体" w:hAnsi="宋体"/>
          <w:kern w:val="2"/>
        </w:rPr>
        <w:t>单位：元</w:t>
      </w:r>
    </w:p>
    <w:tbl>
      <w:tblPr>
        <w:tblStyle w:val="26"/>
        <w:tblW w:w="92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1"/>
        <w:gridCol w:w="1007"/>
        <w:gridCol w:w="1007"/>
        <w:gridCol w:w="1532"/>
        <w:gridCol w:w="1532"/>
        <w:gridCol w:w="2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541"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不含税</w:t>
            </w:r>
          </w:p>
          <w:p>
            <w:pPr>
              <w:snapToGrid w:val="0"/>
              <w:spacing w:after="50" w:line="300" w:lineRule="exact"/>
              <w:ind w:right="-57"/>
              <w:jc w:val="center"/>
              <w:rPr>
                <w:rFonts w:ascii="宋体" w:hAnsi="宋体"/>
                <w:b/>
                <w:sz w:val="24"/>
              </w:rPr>
            </w:pPr>
            <w:r>
              <w:rPr>
                <w:rFonts w:hint="eastAsia" w:ascii="宋体" w:hAnsi="宋体"/>
                <w:b/>
                <w:sz w:val="24"/>
              </w:rPr>
              <w:t>总报价</w:t>
            </w:r>
          </w:p>
        </w:tc>
        <w:tc>
          <w:tcPr>
            <w:tcW w:w="1007" w:type="dxa"/>
            <w:vMerge w:val="restart"/>
            <w:vAlign w:val="center"/>
          </w:tcPr>
          <w:p>
            <w:pPr>
              <w:snapToGrid w:val="0"/>
              <w:spacing w:after="50" w:line="300" w:lineRule="exact"/>
              <w:ind w:right="-57"/>
              <w:jc w:val="both"/>
              <w:rPr>
                <w:rFonts w:hint="eastAsia" w:ascii="宋体" w:hAnsi="宋体" w:eastAsia="宋体"/>
                <w:b/>
                <w:sz w:val="24"/>
                <w:lang w:val="en-US" w:eastAsia="zh-CN"/>
              </w:rPr>
            </w:pPr>
            <w:r>
              <w:rPr>
                <w:rFonts w:hint="eastAsia" w:ascii="宋体" w:hAnsi="宋体"/>
                <w:b/>
                <w:sz w:val="24"/>
              </w:rPr>
              <w:t xml:space="preserve"> </w:t>
            </w:r>
            <w:r>
              <w:rPr>
                <w:rFonts w:hint="eastAsia" w:ascii="宋体" w:hAnsi="宋体"/>
                <w:b/>
                <w:sz w:val="24"/>
                <w:lang w:eastAsia="zh-CN"/>
              </w:rPr>
              <w:t>小写：</w:t>
            </w:r>
          </w:p>
        </w:tc>
        <w:tc>
          <w:tcPr>
            <w:tcW w:w="1007" w:type="dxa"/>
            <w:vMerge w:val="restart"/>
            <w:vAlign w:val="center"/>
          </w:tcPr>
          <w:p>
            <w:pPr>
              <w:snapToGrid w:val="0"/>
              <w:spacing w:after="50" w:line="300" w:lineRule="exact"/>
              <w:ind w:right="-57"/>
              <w:jc w:val="both"/>
              <w:rPr>
                <w:rFonts w:hint="eastAsia" w:ascii="宋体" w:hAnsi="宋体"/>
                <w:b/>
                <w:sz w:val="24"/>
              </w:rPr>
            </w:pPr>
          </w:p>
        </w:tc>
        <w:tc>
          <w:tcPr>
            <w:tcW w:w="1532"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二号线东延线</w:t>
            </w:r>
          </w:p>
        </w:tc>
        <w:tc>
          <w:tcPr>
            <w:tcW w:w="1532" w:type="dxa"/>
            <w:vAlign w:val="center"/>
          </w:tcPr>
          <w:p>
            <w:pPr>
              <w:snapToGrid w:val="0"/>
              <w:spacing w:after="50" w:line="300" w:lineRule="exact"/>
              <w:ind w:right="-57"/>
              <w:jc w:val="center"/>
              <w:rPr>
                <w:rFonts w:ascii="宋体" w:hAnsi="宋体"/>
                <w:b/>
                <w:sz w:val="24"/>
              </w:rPr>
            </w:pPr>
            <w:r>
              <w:rPr>
                <w:rFonts w:hint="eastAsia" w:ascii="宋体" w:hAnsi="宋体"/>
                <w:b/>
                <w:sz w:val="24"/>
              </w:rPr>
              <w:t xml:space="preserve">小写：              </w:t>
            </w:r>
          </w:p>
        </w:tc>
        <w:tc>
          <w:tcPr>
            <w:tcW w:w="2644"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541" w:type="dxa"/>
            <w:vMerge w:val="continue"/>
          </w:tcPr>
          <w:p>
            <w:pPr>
              <w:snapToGrid w:val="0"/>
              <w:spacing w:after="50" w:line="300" w:lineRule="exact"/>
              <w:ind w:right="-57"/>
              <w:jc w:val="center"/>
              <w:rPr>
                <w:rFonts w:ascii="宋体" w:hAnsi="宋体"/>
                <w:b/>
                <w:sz w:val="24"/>
              </w:rPr>
            </w:pPr>
          </w:p>
        </w:tc>
        <w:tc>
          <w:tcPr>
            <w:tcW w:w="1007" w:type="dxa"/>
            <w:vMerge w:val="continue"/>
          </w:tcPr>
          <w:p>
            <w:pPr>
              <w:snapToGrid w:val="0"/>
              <w:spacing w:after="50" w:line="300" w:lineRule="exact"/>
              <w:ind w:right="-57"/>
              <w:jc w:val="center"/>
              <w:rPr>
                <w:rFonts w:ascii="宋体" w:hAnsi="宋体"/>
                <w:b/>
                <w:sz w:val="24"/>
              </w:rPr>
            </w:pPr>
          </w:p>
        </w:tc>
        <w:tc>
          <w:tcPr>
            <w:tcW w:w="1007" w:type="dxa"/>
            <w:vMerge w:val="continue"/>
          </w:tcPr>
          <w:p>
            <w:pPr>
              <w:snapToGrid w:val="0"/>
              <w:spacing w:after="50" w:line="300" w:lineRule="exact"/>
              <w:ind w:right="-57"/>
              <w:jc w:val="center"/>
              <w:rPr>
                <w:rFonts w:ascii="宋体" w:hAnsi="宋体"/>
                <w:b/>
                <w:sz w:val="24"/>
              </w:rPr>
            </w:pPr>
          </w:p>
        </w:tc>
        <w:tc>
          <w:tcPr>
            <w:tcW w:w="1532" w:type="dxa"/>
            <w:vMerge w:val="continue"/>
            <w:vAlign w:val="center"/>
          </w:tcPr>
          <w:p>
            <w:pPr>
              <w:snapToGrid w:val="0"/>
              <w:spacing w:after="50" w:line="300" w:lineRule="exact"/>
              <w:ind w:right="-57"/>
              <w:jc w:val="center"/>
              <w:rPr>
                <w:rFonts w:ascii="宋体" w:hAnsi="宋体"/>
                <w:b/>
                <w:sz w:val="24"/>
              </w:rPr>
            </w:pPr>
          </w:p>
        </w:tc>
        <w:tc>
          <w:tcPr>
            <w:tcW w:w="1532" w:type="dxa"/>
            <w:vAlign w:val="center"/>
          </w:tcPr>
          <w:p>
            <w:pPr>
              <w:snapToGrid w:val="0"/>
              <w:spacing w:after="50" w:line="300" w:lineRule="exact"/>
              <w:ind w:right="-57"/>
              <w:jc w:val="center"/>
              <w:rPr>
                <w:rFonts w:ascii="宋体" w:hAnsi="宋体"/>
                <w:b/>
                <w:sz w:val="24"/>
              </w:rPr>
            </w:pPr>
            <w:r>
              <w:rPr>
                <w:rFonts w:hint="eastAsia" w:ascii="宋体" w:hAnsi="宋体"/>
                <w:b/>
                <w:sz w:val="24"/>
              </w:rPr>
              <w:t xml:space="preserve">大写：              </w:t>
            </w:r>
          </w:p>
        </w:tc>
        <w:tc>
          <w:tcPr>
            <w:tcW w:w="2644"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541" w:type="dxa"/>
            <w:vMerge w:val="continue"/>
          </w:tcPr>
          <w:p>
            <w:pPr>
              <w:snapToGrid w:val="0"/>
              <w:spacing w:after="50" w:line="300" w:lineRule="exact"/>
              <w:ind w:right="-57"/>
              <w:jc w:val="center"/>
              <w:rPr>
                <w:rFonts w:ascii="宋体" w:hAnsi="宋体"/>
                <w:b/>
                <w:sz w:val="24"/>
              </w:rPr>
            </w:pPr>
          </w:p>
        </w:tc>
        <w:tc>
          <w:tcPr>
            <w:tcW w:w="1007" w:type="dxa"/>
            <w:vMerge w:val="restart"/>
          </w:tcPr>
          <w:p>
            <w:pPr>
              <w:snapToGrid w:val="0"/>
              <w:spacing w:after="50" w:line="300" w:lineRule="exact"/>
              <w:ind w:right="-57"/>
              <w:jc w:val="center"/>
              <w:rPr>
                <w:rFonts w:hint="eastAsia" w:ascii="宋体" w:hAnsi="宋体" w:eastAsia="宋体"/>
                <w:b/>
                <w:sz w:val="24"/>
                <w:lang w:eastAsia="zh-CN"/>
              </w:rPr>
            </w:pPr>
            <w:r>
              <w:rPr>
                <w:rFonts w:hint="eastAsia" w:ascii="宋体" w:hAnsi="宋体"/>
                <w:b/>
                <w:sz w:val="24"/>
                <w:lang w:eastAsia="zh-CN"/>
              </w:rPr>
              <w:t>大写：</w:t>
            </w:r>
          </w:p>
        </w:tc>
        <w:tc>
          <w:tcPr>
            <w:tcW w:w="1007" w:type="dxa"/>
            <w:vMerge w:val="restart"/>
          </w:tcPr>
          <w:p>
            <w:pPr>
              <w:snapToGrid w:val="0"/>
              <w:spacing w:after="50" w:line="300" w:lineRule="exact"/>
              <w:ind w:right="-57"/>
              <w:jc w:val="center"/>
              <w:rPr>
                <w:rFonts w:ascii="宋体" w:hAnsi="宋体"/>
                <w:b/>
                <w:sz w:val="24"/>
              </w:rPr>
            </w:pPr>
          </w:p>
        </w:tc>
        <w:tc>
          <w:tcPr>
            <w:tcW w:w="1532"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四号线</w:t>
            </w:r>
          </w:p>
        </w:tc>
        <w:tc>
          <w:tcPr>
            <w:tcW w:w="1532" w:type="dxa"/>
            <w:vAlign w:val="center"/>
          </w:tcPr>
          <w:p>
            <w:pPr>
              <w:snapToGrid w:val="0"/>
              <w:spacing w:after="50" w:line="300" w:lineRule="exact"/>
              <w:ind w:right="-57"/>
              <w:jc w:val="center"/>
              <w:rPr>
                <w:rFonts w:ascii="宋体" w:hAnsi="宋体"/>
                <w:b/>
                <w:sz w:val="24"/>
              </w:rPr>
            </w:pPr>
            <w:r>
              <w:rPr>
                <w:rFonts w:hint="eastAsia" w:ascii="宋体" w:hAnsi="宋体"/>
                <w:b/>
                <w:sz w:val="24"/>
              </w:rPr>
              <w:t xml:space="preserve">小写：              </w:t>
            </w:r>
          </w:p>
        </w:tc>
        <w:tc>
          <w:tcPr>
            <w:tcW w:w="2644"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541" w:type="dxa"/>
            <w:vMerge w:val="continue"/>
          </w:tcPr>
          <w:p>
            <w:pPr>
              <w:snapToGrid w:val="0"/>
              <w:spacing w:after="50" w:line="300" w:lineRule="exact"/>
              <w:ind w:right="-57"/>
              <w:jc w:val="center"/>
              <w:rPr>
                <w:rFonts w:ascii="宋体" w:hAnsi="宋体"/>
                <w:b/>
                <w:sz w:val="24"/>
              </w:rPr>
            </w:pPr>
          </w:p>
        </w:tc>
        <w:tc>
          <w:tcPr>
            <w:tcW w:w="1007" w:type="dxa"/>
            <w:vMerge w:val="continue"/>
          </w:tcPr>
          <w:p>
            <w:pPr>
              <w:snapToGrid w:val="0"/>
              <w:spacing w:after="50" w:line="300" w:lineRule="exact"/>
              <w:ind w:right="-57"/>
              <w:jc w:val="center"/>
              <w:rPr>
                <w:rFonts w:ascii="宋体" w:hAnsi="宋体"/>
                <w:b/>
                <w:sz w:val="24"/>
              </w:rPr>
            </w:pPr>
          </w:p>
        </w:tc>
        <w:tc>
          <w:tcPr>
            <w:tcW w:w="1007" w:type="dxa"/>
            <w:vMerge w:val="continue"/>
          </w:tcPr>
          <w:p>
            <w:pPr>
              <w:snapToGrid w:val="0"/>
              <w:spacing w:after="50" w:line="300" w:lineRule="exact"/>
              <w:ind w:right="-57"/>
              <w:jc w:val="center"/>
              <w:rPr>
                <w:rFonts w:ascii="宋体" w:hAnsi="宋体"/>
                <w:b/>
                <w:sz w:val="24"/>
              </w:rPr>
            </w:pPr>
          </w:p>
        </w:tc>
        <w:tc>
          <w:tcPr>
            <w:tcW w:w="1532" w:type="dxa"/>
            <w:vMerge w:val="continue"/>
            <w:vAlign w:val="center"/>
          </w:tcPr>
          <w:p>
            <w:pPr>
              <w:snapToGrid w:val="0"/>
              <w:spacing w:after="50" w:line="300" w:lineRule="exact"/>
              <w:ind w:right="-57"/>
              <w:jc w:val="center"/>
              <w:rPr>
                <w:rFonts w:ascii="宋体" w:hAnsi="宋体"/>
                <w:b/>
                <w:sz w:val="24"/>
              </w:rPr>
            </w:pPr>
          </w:p>
        </w:tc>
        <w:tc>
          <w:tcPr>
            <w:tcW w:w="1532" w:type="dxa"/>
            <w:vAlign w:val="center"/>
          </w:tcPr>
          <w:p>
            <w:pPr>
              <w:snapToGrid w:val="0"/>
              <w:spacing w:after="50" w:line="300" w:lineRule="exact"/>
              <w:ind w:right="-57"/>
              <w:jc w:val="center"/>
              <w:rPr>
                <w:rFonts w:ascii="宋体" w:hAnsi="宋体"/>
                <w:b/>
                <w:sz w:val="24"/>
              </w:rPr>
            </w:pPr>
            <w:r>
              <w:rPr>
                <w:rFonts w:hint="eastAsia" w:ascii="宋体" w:hAnsi="宋体"/>
                <w:b/>
                <w:sz w:val="24"/>
              </w:rPr>
              <w:t xml:space="preserve">大写：              </w:t>
            </w:r>
          </w:p>
        </w:tc>
        <w:tc>
          <w:tcPr>
            <w:tcW w:w="2644"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1" w:type="dxa"/>
          </w:tcPr>
          <w:p>
            <w:pPr>
              <w:snapToGrid w:val="0"/>
              <w:spacing w:after="50" w:line="300" w:lineRule="exact"/>
              <w:ind w:right="-57"/>
              <w:rPr>
                <w:rFonts w:ascii="宋体" w:hAnsi="宋体"/>
                <w:b/>
                <w:sz w:val="24"/>
              </w:rPr>
            </w:pPr>
            <w:r>
              <w:rPr>
                <w:rFonts w:hint="eastAsia" w:ascii="宋体" w:hAnsi="宋体"/>
                <w:b/>
                <w:sz w:val="24"/>
              </w:rPr>
              <w:t>增值税率</w:t>
            </w:r>
          </w:p>
        </w:tc>
        <w:tc>
          <w:tcPr>
            <w:tcW w:w="7722" w:type="dxa"/>
            <w:gridSpan w:val="5"/>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1" w:type="dxa"/>
          </w:tcPr>
          <w:p>
            <w:pPr>
              <w:snapToGrid w:val="0"/>
              <w:spacing w:after="50" w:line="300" w:lineRule="exact"/>
              <w:ind w:left="0" w:right="-57" w:firstLine="0"/>
              <w:rPr>
                <w:rFonts w:ascii="宋体" w:hAnsi="宋体"/>
                <w:b/>
                <w:sz w:val="24"/>
              </w:rPr>
            </w:pPr>
            <w:r>
              <w:rPr>
                <w:rFonts w:hint="eastAsia" w:ascii="宋体" w:hAnsi="宋体"/>
                <w:b/>
                <w:sz w:val="24"/>
                <w:lang w:eastAsia="zh-CN"/>
              </w:rPr>
              <w:t>工</w:t>
            </w:r>
            <w:r>
              <w:rPr>
                <w:rFonts w:hint="eastAsia" w:ascii="宋体" w:hAnsi="宋体"/>
                <w:b/>
                <w:sz w:val="24"/>
              </w:rPr>
              <w:t>期</w:t>
            </w:r>
          </w:p>
        </w:tc>
        <w:tc>
          <w:tcPr>
            <w:tcW w:w="7722" w:type="dxa"/>
            <w:gridSpan w:val="5"/>
          </w:tcPr>
          <w:p>
            <w:pPr>
              <w:snapToGrid w:val="0"/>
              <w:spacing w:after="50" w:line="300" w:lineRule="exact"/>
              <w:ind w:right="-57"/>
              <w:rPr>
                <w:rFonts w:ascii="宋体" w:hAnsi="宋体"/>
                <w:b/>
                <w:sz w:val="24"/>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w:t>
      </w:r>
      <w:r>
        <w:rPr>
          <w:rFonts w:hint="eastAsia" w:ascii="宋体" w:hAnsi="宋体"/>
          <w:lang w:eastAsia="zh-CN"/>
        </w:rPr>
        <w:t>安装、</w:t>
      </w:r>
      <w:r>
        <w:rPr>
          <w:rFonts w:hint="eastAsia" w:ascii="宋体" w:hAnsi="宋体"/>
        </w:rPr>
        <w:t>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校准报告检测费、质量保证期服务、培训、人工工资、管理费、利润、保险等一切履行合同标的全过程产生的除增值税外的所有费用。</w:t>
      </w:r>
    </w:p>
    <w:p>
      <w:pPr>
        <w:adjustRightInd w:val="0"/>
        <w:snapToGrid w:val="0"/>
        <w:spacing w:beforeLines="50" w:after="120" w:afterLines="50" w:afterAutospacing="0" w:line="240" w:lineRule="auto"/>
        <w:ind w:right="-816" w:firstLine="2835" w:firstLineChars="1350"/>
        <w:rPr>
          <w:rFonts w:ascii="宋体" w:hAnsi="宋体"/>
        </w:rPr>
      </w:pPr>
      <w:r>
        <w:rPr>
          <w:rFonts w:hint="eastAsia" w:ascii="宋体" w:hAnsi="宋体"/>
        </w:rPr>
        <w:t>比选申请人名称（盖章）：</w:t>
      </w:r>
    </w:p>
    <w:p>
      <w:pPr>
        <w:adjustRightInd w:val="0"/>
        <w:snapToGrid w:val="0"/>
        <w:spacing w:beforeLines="50" w:after="120" w:afterLines="50" w:afterAutospacing="0" w:line="240" w:lineRule="auto"/>
        <w:ind w:right="-816" w:firstLine="2835" w:firstLineChars="1350"/>
        <w:rPr>
          <w:rFonts w:ascii="宋体" w:hAnsi="宋体"/>
          <w:u w:val="single"/>
        </w:rPr>
      </w:pPr>
      <w:r>
        <w:rPr>
          <w:rFonts w:hint="eastAsia" w:ascii="宋体" w:hAnsi="宋体"/>
        </w:rPr>
        <w:t>法定代表人或被授权人（签字）：</w:t>
      </w:r>
    </w:p>
    <w:p>
      <w:pPr>
        <w:adjustRightInd w:val="0"/>
        <w:snapToGrid w:val="0"/>
        <w:spacing w:beforeLines="50" w:after="120" w:afterLines="50" w:afterAutospacing="0" w:line="240" w:lineRule="auto"/>
        <w:ind w:right="-816" w:firstLine="2835" w:firstLineChars="1350"/>
        <w:rPr>
          <w:rFonts w:ascii="宋体" w:hAnsi="宋体"/>
        </w:rPr>
      </w:pPr>
      <w:r>
        <w:rPr>
          <w:rFonts w:hint="eastAsia" w:ascii="宋体" w:hAnsi="宋体"/>
        </w:rPr>
        <w:t>日  期：     年  月  日</w:t>
      </w:r>
    </w:p>
    <w:p>
      <w:pPr>
        <w:pageBreakBefore/>
        <w:snapToGrid w:val="0"/>
        <w:ind w:left="0" w:right="0" w:firstLine="0"/>
        <w:jc w:val="left"/>
        <w:outlineLvl w:val="2"/>
        <w:rPr>
          <w:rFonts w:ascii="宋体" w:hAnsi="宋体"/>
          <w:b/>
        </w:rPr>
      </w:pPr>
      <w:bookmarkStart w:id="1200" w:name="_Toc58124833"/>
      <w:bookmarkStart w:id="1201" w:name="_Toc68859063"/>
      <w:bookmarkStart w:id="1202" w:name="_Toc110413986"/>
      <w:bookmarkStart w:id="1203" w:name="_Toc61680485"/>
      <w:bookmarkStart w:id="1204" w:name="_Toc25869"/>
      <w:bookmarkStart w:id="1205" w:name="_Toc6833"/>
      <w:bookmarkStart w:id="1206" w:name="_Toc20737"/>
      <w:bookmarkStart w:id="1207" w:name="_Toc32224"/>
      <w:bookmarkStart w:id="1208" w:name="_Toc14859"/>
      <w:bookmarkStart w:id="1209" w:name="_Toc2585"/>
      <w:bookmarkStart w:id="1210" w:name="_Toc14503"/>
      <w:bookmarkStart w:id="1211" w:name="_Toc6270"/>
      <w:bookmarkStart w:id="1212" w:name="_Toc29702"/>
      <w:bookmarkStart w:id="1213" w:name="_Toc375564356"/>
      <w:bookmarkStart w:id="1214" w:name="_Toc8713"/>
      <w:bookmarkStart w:id="1215" w:name="_Toc414290527"/>
      <w:bookmarkStart w:id="1216" w:name="_Toc20864"/>
      <w:bookmarkStart w:id="1217" w:name="_Toc21109"/>
      <w:bookmarkStart w:id="1218" w:name="_Toc17112"/>
      <w:bookmarkStart w:id="1219" w:name="_Toc4976"/>
      <w:bookmarkStart w:id="1220" w:name="_Toc2257"/>
      <w:bookmarkStart w:id="1221" w:name="_Toc10260"/>
      <w:bookmarkStart w:id="1222" w:name="_Toc15419"/>
      <w:bookmarkStart w:id="1223" w:name="_Toc241920153"/>
      <w:bookmarkStart w:id="1224" w:name="_Toc492478809"/>
      <w:bookmarkStart w:id="1225" w:name="_Toc11065"/>
      <w:bookmarkStart w:id="1226" w:name="_Toc12983553"/>
      <w:bookmarkStart w:id="1227" w:name="_Toc12984813"/>
      <w:bookmarkStart w:id="1228" w:name="_Toc25750681"/>
      <w:r>
        <w:rPr>
          <w:rFonts w:ascii="宋体" w:hAnsi="宋体"/>
          <w:b/>
        </w:rPr>
        <w:t>B2比选申请</w:t>
      </w:r>
      <w:bookmarkEnd w:id="1200"/>
      <w:bookmarkEnd w:id="1201"/>
      <w:bookmarkEnd w:id="1202"/>
      <w:bookmarkEnd w:id="1203"/>
      <w:r>
        <w:rPr>
          <w:rFonts w:ascii="宋体" w:hAnsi="宋体"/>
          <w:b/>
        </w:rPr>
        <w:t>函格式</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spacing w:before="0" w:after="0" w:afterAutospacing="0"/>
        <w:ind w:left="1"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致：南宁轨道交通集团有限责任公司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w:t>
      </w:r>
      <w:r>
        <w:rPr>
          <w:rFonts w:ascii="宋体" w:hAnsi="宋体"/>
          <w:u w:val="single"/>
        </w:rPr>
        <w:t xml:space="preserve">XXXX </w:t>
      </w:r>
      <w:r>
        <w:rPr>
          <w:rFonts w:hint="eastAsia" w:ascii="宋体" w:hAnsi="宋体"/>
          <w:u w:val="single"/>
        </w:rPr>
        <w:t xml:space="preserve">   </w:t>
      </w:r>
      <w:r>
        <w:rPr>
          <w:rFonts w:ascii="宋体" w:hAnsi="宋体"/>
        </w:rPr>
        <w:t>比选申请邀请(项目编号：</w:t>
      </w:r>
      <w:r>
        <w:rPr>
          <w:rFonts w:hint="eastAsia" w:ascii="宋体" w:hAnsi="宋体"/>
          <w:u w:val="single"/>
        </w:rPr>
        <w:t>XXXX</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29"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29"/>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ascii="宋体" w:hAnsi="宋体"/>
          <w:u w:val="single"/>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w:t>
      </w:r>
      <w:r>
        <w:rPr>
          <w:rFonts w:hint="eastAsia" w:ascii="宋体" w:hAnsi="宋体"/>
          <w:b/>
          <w:highlight w:val="none"/>
        </w:rPr>
        <w:t>相应税率和税金，每项保留小数点后两位，含税总价为分项含税合价之和。本合同最终税金在结算阶段</w:t>
      </w:r>
      <w:r>
        <w:rPr>
          <w:rFonts w:hint="eastAsia" w:ascii="宋体" w:hAnsi="宋体"/>
          <w:b/>
        </w:rPr>
        <w:t>，按实际产生的税金进行核算，但合同不含税价格不因国家税率调整而调整。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sectPr>
          <w:headerReference r:id="rId10" w:type="first"/>
          <w:headerReference r:id="rId9" w:type="default"/>
          <w:pgSz w:w="11905" w:h="16838"/>
          <w:pgMar w:top="1418" w:right="1418" w:bottom="1304" w:left="1418" w:header="454" w:footer="567" w:gutter="0"/>
          <w:cols w:space="720" w:num="1"/>
          <w:docGrid w:linePitch="312" w:charSpace="0"/>
        </w:sectPr>
      </w:pPr>
    </w:p>
    <w:p>
      <w:pPr>
        <w:pageBreakBefore/>
        <w:snapToGrid w:val="0"/>
        <w:ind w:left="713" w:right="0" w:hanging="713" w:hangingChars="338"/>
        <w:jc w:val="left"/>
        <w:outlineLvl w:val="2"/>
        <w:rPr>
          <w:rFonts w:ascii="宋体" w:hAnsi="宋体"/>
          <w:b/>
        </w:rPr>
      </w:pPr>
      <w:bookmarkStart w:id="1230" w:name="_Toc17092"/>
      <w:bookmarkStart w:id="1231" w:name="_Toc492478810"/>
      <w:bookmarkStart w:id="1232" w:name="_Toc28944"/>
      <w:bookmarkStart w:id="1233" w:name="_Toc15276"/>
      <w:bookmarkStart w:id="1234" w:name="_Toc15469"/>
      <w:bookmarkStart w:id="1235" w:name="_Toc13611"/>
      <w:bookmarkStart w:id="1236" w:name="_Toc27284"/>
      <w:bookmarkStart w:id="1237" w:name="_Toc12984814"/>
      <w:bookmarkStart w:id="1238" w:name="_Toc14488"/>
      <w:bookmarkStart w:id="1239" w:name="_Toc14478"/>
      <w:bookmarkStart w:id="1240" w:name="_Toc414290528"/>
      <w:bookmarkStart w:id="1241" w:name="_Toc12983554"/>
      <w:bookmarkStart w:id="1242" w:name="_Toc23071"/>
      <w:bookmarkStart w:id="1243" w:name="_Toc20116"/>
      <w:bookmarkStart w:id="1244" w:name="_Toc27821"/>
      <w:bookmarkStart w:id="1245" w:name="_Toc6910"/>
      <w:bookmarkStart w:id="1246" w:name="_Toc30121"/>
      <w:bookmarkStart w:id="1247" w:name="_Toc25750682"/>
      <w:bookmarkStart w:id="1248" w:name="_Toc24000"/>
      <w:bookmarkStart w:id="1249" w:name="_Toc3968"/>
      <w:bookmarkStart w:id="1250" w:name="_Toc26731"/>
      <w:bookmarkStart w:id="1251" w:name="_Toc4583"/>
      <w:bookmarkStart w:id="1252" w:name="_Toc8101"/>
      <w:r>
        <w:rPr>
          <w:rFonts w:ascii="宋体" w:hAnsi="宋体"/>
          <w:b/>
        </w:rPr>
        <w:t>B3比选申请报价表格式</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snapToGrid w:val="0"/>
        <w:spacing w:before="0" w:after="0" w:afterAutospacing="0"/>
        <w:ind w:right="-57" w:firstLine="0"/>
        <w:jc w:val="center"/>
        <w:rPr>
          <w:rFonts w:ascii="宋体" w:hAnsi="宋体"/>
          <w:b/>
        </w:rPr>
      </w:pPr>
      <w:r>
        <w:rPr>
          <w:rFonts w:hint="eastAsia" w:ascii="宋体" w:hAnsi="宋体"/>
          <w:b/>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6"/>
        <w:tblW w:w="8354" w:type="dxa"/>
        <w:jc w:val="center"/>
        <w:tblLayout w:type="fixed"/>
        <w:tblCellMar>
          <w:top w:w="0" w:type="dxa"/>
          <w:left w:w="108" w:type="dxa"/>
          <w:bottom w:w="0" w:type="dxa"/>
          <w:right w:w="108" w:type="dxa"/>
        </w:tblCellMar>
      </w:tblPr>
      <w:tblGrid>
        <w:gridCol w:w="524"/>
        <w:gridCol w:w="1140"/>
        <w:gridCol w:w="743"/>
        <w:gridCol w:w="709"/>
        <w:gridCol w:w="850"/>
        <w:gridCol w:w="992"/>
        <w:gridCol w:w="1037"/>
        <w:gridCol w:w="1187"/>
        <w:gridCol w:w="1172"/>
      </w:tblGrid>
      <w:tr>
        <w:tblPrEx>
          <w:tblCellMar>
            <w:top w:w="0" w:type="dxa"/>
            <w:left w:w="108" w:type="dxa"/>
            <w:bottom w:w="0" w:type="dxa"/>
            <w:right w:w="108" w:type="dxa"/>
          </w:tblCellMar>
        </w:tblPrEx>
        <w:trPr>
          <w:trHeight w:val="438" w:hRule="atLeast"/>
          <w:jc w:val="center"/>
        </w:trPr>
        <w:tc>
          <w:tcPr>
            <w:tcW w:w="52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r>
              <w:rPr>
                <w:rFonts w:hint="eastAsia" w:ascii="宋体" w:hAnsi="宋体"/>
              </w:rPr>
              <w:t>序号</w:t>
            </w:r>
          </w:p>
        </w:tc>
        <w:tc>
          <w:tcPr>
            <w:tcW w:w="1140"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r>
              <w:rPr>
                <w:rFonts w:hint="eastAsia" w:ascii="宋体" w:hAnsi="宋体"/>
              </w:rPr>
              <w:t>项目名称</w:t>
            </w:r>
          </w:p>
        </w:tc>
        <w:tc>
          <w:tcPr>
            <w:tcW w:w="743" w:type="dxa"/>
            <w:vMerge w:val="restart"/>
            <w:tcBorders>
              <w:top w:val="single" w:color="auto" w:sz="4" w:space="0"/>
              <w:left w:val="single" w:color="auto" w:sz="4" w:space="0"/>
              <w:right w:val="single" w:color="auto" w:sz="4" w:space="0"/>
            </w:tcBorders>
            <w:shd w:val="clear" w:color="000000" w:fill="F2F2F2"/>
            <w:vAlign w:val="center"/>
          </w:tcPr>
          <w:p>
            <w:pPr>
              <w:ind w:left="0" w:firstLine="0"/>
              <w:rPr>
                <w:rFonts w:ascii="宋体" w:hAnsi="宋体"/>
                <w:highlight w:val="yellow"/>
              </w:rPr>
            </w:pPr>
            <w:r>
              <w:rPr>
                <w:rFonts w:hint="eastAsia" w:ascii="宋体" w:hAnsi="宋体"/>
                <w:highlight w:val="none"/>
              </w:rPr>
              <w:t>项目内容</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r>
              <w:rPr>
                <w:rFonts w:hint="eastAsia" w:ascii="宋体" w:hAnsi="宋体"/>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rPr>
                <w:rFonts w:hint="eastAsia" w:ascii="宋体" w:hAnsi="宋体" w:eastAsia="宋体"/>
                <w:lang w:eastAsia="zh-CN"/>
              </w:rPr>
            </w:pPr>
            <w:r>
              <w:rPr>
                <w:rFonts w:hint="eastAsia" w:ascii="宋体" w:hAnsi="宋体"/>
                <w:lang w:val="en-US" w:eastAsia="zh-CN"/>
              </w:rPr>
              <w:t>2号线东延线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rPr>
                <w:rFonts w:hint="eastAsia" w:ascii="宋体" w:hAnsi="宋体" w:eastAsia="宋体"/>
                <w:lang w:eastAsia="zh-CN"/>
              </w:rPr>
            </w:pPr>
            <w:r>
              <w:rPr>
                <w:rFonts w:hint="eastAsia" w:ascii="宋体" w:hAnsi="宋体"/>
                <w:lang w:val="en-US" w:eastAsia="zh-CN"/>
              </w:rPr>
              <w:t>4号线</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hint="default" w:ascii="宋体" w:hAnsi="宋体" w:eastAsia="宋体"/>
                <w:lang w:val="en-US" w:eastAsia="zh-CN"/>
              </w:rPr>
            </w:pPr>
            <w:r>
              <w:rPr>
                <w:rFonts w:hint="eastAsia" w:ascii="宋体" w:hAnsi="宋体"/>
                <w:lang w:val="en-US" w:eastAsia="zh-CN"/>
              </w:rPr>
              <w:t>总数量③=①+②</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r>
              <w:rPr>
                <w:rFonts w:hint="eastAsia" w:ascii="宋体" w:hAnsi="宋体"/>
              </w:rPr>
              <w:t>不含税单价(元)④</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r>
              <w:rPr>
                <w:rFonts w:hint="eastAsia" w:ascii="宋体" w:hAnsi="宋体"/>
              </w:rPr>
              <w:t>不含税合价(元)⑤=④×③</w:t>
            </w:r>
          </w:p>
        </w:tc>
      </w:tr>
      <w:tr>
        <w:tblPrEx>
          <w:tblCellMar>
            <w:top w:w="0" w:type="dxa"/>
            <w:left w:w="108" w:type="dxa"/>
            <w:bottom w:w="0" w:type="dxa"/>
            <w:right w:w="108" w:type="dxa"/>
          </w:tblCellMar>
        </w:tblPrEx>
        <w:trPr>
          <w:trHeight w:val="322" w:hRule="atLeast"/>
          <w:jc w:val="center"/>
        </w:trPr>
        <w:tc>
          <w:tcPr>
            <w:tcW w:w="52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40"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743"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eastAsia" w:ascii="宋体" w:hAnsi="宋体" w:eastAsia="宋体"/>
                <w:lang w:val="en-US" w:eastAsia="zh-CN"/>
              </w:rPr>
            </w:pPr>
            <w:r>
              <w:rPr>
                <w:rFonts w:hint="eastAsia" w:ascii="宋体" w:hAnsi="宋体"/>
                <w:lang w:val="en-US" w:eastAsia="zh-CN"/>
              </w:rPr>
              <w:t>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②</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524"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lang w:val="en-US" w:eastAsia="zh-CN"/>
              </w:rPr>
              <w:t>1</w:t>
            </w:r>
          </w:p>
        </w:tc>
        <w:tc>
          <w:tcPr>
            <w:tcW w:w="1140" w:type="dxa"/>
            <w:tcBorders>
              <w:top w:val="nil"/>
              <w:left w:val="nil"/>
              <w:bottom w:val="single" w:color="auto" w:sz="4" w:space="0"/>
              <w:right w:val="single" w:color="auto" w:sz="4" w:space="0"/>
            </w:tcBorders>
            <w:vAlign w:val="center"/>
          </w:tcPr>
          <w:p>
            <w:pPr>
              <w:ind w:left="0" w:firstLine="0"/>
              <w:rPr>
                <w:rFonts w:ascii="宋体" w:hAnsi="宋体"/>
              </w:rPr>
            </w:pPr>
            <w:r>
              <w:rPr>
                <w:rFonts w:hint="eastAsia" w:ascii="宋体" w:hAnsi="宋体"/>
              </w:rPr>
              <w:t>南宁轨道交通2021年出入口安全划线标识采购项目</w:t>
            </w:r>
          </w:p>
        </w:tc>
        <w:tc>
          <w:tcPr>
            <w:tcW w:w="743" w:type="dxa"/>
            <w:tcBorders>
              <w:top w:val="single" w:color="auto" w:sz="4" w:space="0"/>
              <w:left w:val="nil"/>
              <w:bottom w:val="single" w:color="auto" w:sz="4" w:space="0"/>
              <w:right w:val="single" w:color="auto" w:sz="4" w:space="0"/>
            </w:tcBorders>
          </w:tcPr>
          <w:p>
            <w:pPr>
              <w:ind w:left="0" w:firstLine="0"/>
              <w:rPr>
                <w:rFonts w:hint="eastAsia" w:ascii="宋体" w:hAnsi="宋体" w:eastAsia="宋体"/>
                <w:lang w:eastAsia="zh-CN"/>
              </w:rPr>
            </w:pPr>
            <w:r>
              <w:rPr>
                <w:rFonts w:hint="eastAsia" w:ascii="宋体" w:hAnsi="宋体"/>
                <w:lang w:eastAsia="zh-CN"/>
              </w:rPr>
              <w:t>施划热熔器</w:t>
            </w:r>
          </w:p>
        </w:tc>
        <w:tc>
          <w:tcPr>
            <w:tcW w:w="709" w:type="dxa"/>
            <w:tcBorders>
              <w:top w:val="nil"/>
              <w:left w:val="single" w:color="auto" w:sz="4" w:space="0"/>
              <w:bottom w:val="single" w:color="auto" w:sz="4" w:space="0"/>
              <w:right w:val="single" w:color="auto" w:sz="4" w:space="0"/>
            </w:tcBorders>
            <w:vAlign w:val="center"/>
          </w:tcPr>
          <w:p>
            <w:pPr>
              <w:ind w:left="0" w:firstLine="0"/>
              <w:rPr>
                <w:rFonts w:hint="eastAsia" w:ascii="宋体" w:hAnsi="宋体" w:eastAsia="宋体"/>
                <w:lang w:val="en-US" w:eastAsia="zh-CN"/>
              </w:rPr>
            </w:pPr>
            <w:r>
              <w:rPr>
                <w:rFonts w:hint="eastAsia" w:ascii="宋体" w:hAnsi="宋体"/>
                <w:lang w:val="en-US" w:eastAsia="zh-CN"/>
              </w:rPr>
              <w:t>项</w:t>
            </w:r>
          </w:p>
        </w:tc>
        <w:tc>
          <w:tcPr>
            <w:tcW w:w="850" w:type="dxa"/>
            <w:tcBorders>
              <w:top w:val="nil"/>
              <w:left w:val="nil"/>
              <w:bottom w:val="single" w:color="auto" w:sz="4" w:space="0"/>
              <w:right w:val="single" w:color="auto" w:sz="4" w:space="0"/>
            </w:tcBorders>
            <w:vAlign w:val="center"/>
          </w:tcPr>
          <w:p>
            <w:pPr>
              <w:ind w:left="0" w:firstLine="0"/>
              <w:rPr>
                <w:rFonts w:hint="default" w:ascii="宋体" w:hAnsi="宋体" w:eastAsia="宋体"/>
                <w:lang w:val="en-US" w:eastAsia="zh-CN"/>
              </w:rPr>
            </w:pPr>
            <w:r>
              <w:rPr>
                <w:rFonts w:hint="eastAsia" w:ascii="宋体" w:hAnsi="宋体"/>
                <w:lang w:val="en-US" w:eastAsia="zh-CN"/>
              </w:rPr>
              <w:t>0.24</w:t>
            </w:r>
          </w:p>
        </w:tc>
        <w:tc>
          <w:tcPr>
            <w:tcW w:w="992" w:type="dxa"/>
            <w:tcBorders>
              <w:top w:val="nil"/>
              <w:left w:val="nil"/>
              <w:bottom w:val="single" w:color="auto" w:sz="4" w:space="0"/>
              <w:right w:val="single" w:color="auto" w:sz="4" w:space="0"/>
            </w:tcBorders>
            <w:vAlign w:val="center"/>
          </w:tcPr>
          <w:p>
            <w:pPr>
              <w:ind w:left="0" w:firstLine="0"/>
              <w:rPr>
                <w:rFonts w:hint="default" w:ascii="宋体" w:hAnsi="宋体" w:eastAsia="宋体"/>
                <w:lang w:val="en-US" w:eastAsia="zh-CN"/>
              </w:rPr>
            </w:pPr>
            <w:r>
              <w:rPr>
                <w:rFonts w:hint="eastAsia" w:ascii="宋体" w:hAnsi="宋体"/>
                <w:lang w:val="en-US" w:eastAsia="zh-CN"/>
              </w:rPr>
              <w:t>0.76</w:t>
            </w: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hint="default" w:ascii="宋体" w:hAnsi="宋体" w:eastAsia="宋体"/>
                <w:lang w:val="en-US" w:eastAsia="zh-CN"/>
              </w:rPr>
            </w:pPr>
            <w:r>
              <w:rPr>
                <w:rFonts w:hint="eastAsia" w:ascii="宋体" w:hAnsi="宋体"/>
                <w:lang w:val="en-US" w:eastAsia="zh-CN"/>
              </w:rPr>
              <w:t>1</w:t>
            </w: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eastAsia="宋体" w:cs="Times New Roman"/>
                <w:sz w:val="21"/>
                <w:szCs w:val="21"/>
                <w:lang w:val="en-US" w:eastAsia="zh-CN" w:bidi="ar-SA"/>
              </w:rPr>
            </w:pPr>
            <w:r>
              <w:rPr>
                <w:rFonts w:hint="eastAsia" w:ascii="宋体" w:hAnsi="宋体"/>
              </w:rPr>
              <w:t>2号线东延线小计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4号线小计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8"/>
        </w:numPr>
        <w:spacing w:before="0" w:after="0" w:afterAutospacing="0"/>
        <w:ind w:left="0" w:right="0" w:firstLine="0"/>
        <w:rPr>
          <w:rFonts w:ascii="宋体" w:hAnsi="宋体"/>
        </w:rPr>
      </w:pPr>
      <w:r>
        <w:rPr>
          <w:rFonts w:hint="eastAsia" w:ascii="宋体" w:hAnsi="宋体"/>
        </w:rPr>
        <w:t>同一项目在各分项报价中应为同一单价。比选申请人对每个项目</w:t>
      </w:r>
      <w:r>
        <w:rPr>
          <w:rFonts w:ascii="宋体" w:hAnsi="宋体"/>
        </w:rPr>
        <w:t>(</w:t>
      </w:r>
      <w:r>
        <w:rPr>
          <w:rFonts w:hint="eastAsia" w:ascii="宋体" w:hAnsi="宋体"/>
        </w:rPr>
        <w:t>指完全相同的同一项目</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日期：    年  月  日</w:t>
      </w:r>
    </w:p>
    <w:p>
      <w:pPr>
        <w:pStyle w:val="11"/>
        <w:pageBreakBefore/>
        <w:ind w:right="-57" w:firstLine="0"/>
        <w:jc w:val="center"/>
        <w:outlineLvl w:val="0"/>
        <w:rPr>
          <w:rStyle w:val="39"/>
          <w:rFonts w:ascii="宋体" w:hAnsi="宋体" w:eastAsia="宋体"/>
        </w:rPr>
      </w:pPr>
      <w:bookmarkStart w:id="1253" w:name="_Toc9597"/>
      <w:bookmarkStart w:id="1254" w:name="_Toc13941"/>
      <w:bookmarkStart w:id="1255" w:name="_Toc12695"/>
      <w:bookmarkStart w:id="1256" w:name="_Toc5010"/>
      <w:bookmarkStart w:id="1257" w:name="_Toc28135"/>
      <w:bookmarkStart w:id="1258" w:name="_Toc25061"/>
      <w:bookmarkStart w:id="1259" w:name="_Toc20298"/>
      <w:bookmarkStart w:id="1260" w:name="_Toc28535"/>
      <w:bookmarkStart w:id="1261" w:name="_Toc30897"/>
      <w:bookmarkStart w:id="1262" w:name="_Toc6454"/>
      <w:bookmarkStart w:id="1263" w:name="_Toc14566"/>
      <w:bookmarkStart w:id="1264" w:name="_Toc25750688"/>
      <w:bookmarkStart w:id="1265" w:name="_Toc6337"/>
      <w:bookmarkStart w:id="1266" w:name="_Toc492478835"/>
      <w:bookmarkStart w:id="1267" w:name="_Toc31681"/>
      <w:bookmarkStart w:id="1268" w:name="_Toc21321"/>
      <w:bookmarkStart w:id="1269" w:name="_Toc16754"/>
      <w:bookmarkStart w:id="1270" w:name="_Toc328"/>
      <w:bookmarkStart w:id="1271" w:name="_Toc26409"/>
      <w:bookmarkStart w:id="1272" w:name="_Toc25571"/>
      <w:r>
        <w:rPr>
          <w:rStyle w:val="39"/>
          <w:rFonts w:hint="eastAsia" w:ascii="宋体" w:hAnsi="宋体" w:eastAsia="宋体"/>
        </w:rPr>
        <w:t>第五章用户需求书</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snapToGrid w:val="0"/>
        <w:spacing w:before="0" w:after="0" w:afterAutospacing="0"/>
        <w:ind w:right="0" w:firstLine="0"/>
        <w:jc w:val="left"/>
        <w:outlineLvl w:val="0"/>
        <w:rPr>
          <w:rFonts w:ascii="宋体" w:hAnsi="宋体"/>
          <w:b/>
        </w:rPr>
      </w:pPr>
      <w:bookmarkStart w:id="1273" w:name="_Toc28718"/>
      <w:bookmarkStart w:id="1274" w:name="_Toc22641"/>
      <w:bookmarkStart w:id="1275" w:name="_Toc16627"/>
      <w:bookmarkStart w:id="1276" w:name="_Toc19284"/>
      <w:bookmarkStart w:id="1277" w:name="_Toc26181"/>
      <w:bookmarkStart w:id="1278" w:name="_Toc4772"/>
      <w:bookmarkStart w:id="1279" w:name="_Toc23109"/>
      <w:bookmarkStart w:id="1280" w:name="_Toc12577"/>
      <w:bookmarkStart w:id="1281" w:name="_Toc15538"/>
      <w:bookmarkStart w:id="1282" w:name="_Toc25750689"/>
      <w:bookmarkStart w:id="1283" w:name="_Toc11250"/>
      <w:bookmarkStart w:id="1284" w:name="_Toc29467"/>
      <w:bookmarkStart w:id="1285" w:name="_Toc15859"/>
      <w:bookmarkStart w:id="1286" w:name="_Toc11391"/>
      <w:bookmarkStart w:id="1287" w:name="_Toc20951"/>
      <w:bookmarkStart w:id="1288" w:name="_Toc19127"/>
      <w:bookmarkStart w:id="1289" w:name="_Toc9525"/>
      <w:bookmarkStart w:id="1290" w:name="_Toc14304"/>
      <w:bookmarkStart w:id="1291" w:name="_Toc4375"/>
      <w:r>
        <w:rPr>
          <w:rFonts w:hint="eastAsia" w:ascii="宋体" w:hAnsi="宋体"/>
          <w:b/>
        </w:rPr>
        <w:t>一、商务要求</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2.交货期限：合同签订后,货物交货通知书发出后</w:t>
      </w:r>
      <w:r>
        <w:rPr>
          <w:rFonts w:hint="eastAsia" w:ascii="宋体" w:hAnsi="宋体"/>
          <w:u w:val="single"/>
        </w:rPr>
        <w:t>30</w:t>
      </w:r>
      <w:r>
        <w:rPr>
          <w:rFonts w:hint="eastAsia" w:ascii="宋体" w:hAnsi="宋体"/>
        </w:rPr>
        <w:t>天内交货，如遇进口物资，进口物资交货期可适当延长，延长情况以中选人提供的报关单或其他相关证明材料为准，但不得超过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u w:val="single"/>
        </w:rPr>
        <w:t>12</w:t>
      </w:r>
      <w:r>
        <w:rPr>
          <w:rFonts w:hint="eastAsia" w:ascii="宋体" w:hAnsi="宋体"/>
        </w:rPr>
        <w:t>月（易耗品：分项有要求的按分项要求，无要求的按厂家承诺实行“三包”）。</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rPr>
      </w:pPr>
      <w:r>
        <w:rPr>
          <w:rFonts w:hint="eastAsia" w:ascii="宋体" w:hAnsi="宋体"/>
        </w:rPr>
        <w:t>13.货物为组套类型的，须配套原装品牌专用工具箱/包；比选申请人所投报产品须与要求完全响应或在不低于原组套要求的内容数量、功能及其他要求的前提下，提供最为接近的组套；若提供的组套内容数量和功能少于原要求的，须组套外另行补齐，并须提供工具箱，在箱外以醒目文字标明货物名称、规格型号、品牌及数量；同时比选申请人须在“技术需求偏离表”进行详细描述。不接受完全散装的报价。（如有）</w:t>
      </w:r>
    </w:p>
    <w:p>
      <w:pPr>
        <w:spacing w:before="0" w:after="0" w:afterAutospacing="0"/>
        <w:ind w:right="0" w:firstLine="200"/>
        <w:rPr>
          <w:rFonts w:ascii="宋体" w:hAnsi="宋体"/>
        </w:rPr>
      </w:pPr>
      <w:r>
        <w:rPr>
          <w:rFonts w:hint="eastAsia" w:ascii="宋体" w:hAnsi="宋体"/>
        </w:rPr>
        <w:t>14.《技术需求及数量表》备注栏标有“△”的是本项目的重点物资，交货时须提供原厂供货证明。（如有）</w:t>
      </w:r>
    </w:p>
    <w:p>
      <w:pPr>
        <w:spacing w:before="0" w:after="0" w:afterAutospacing="0"/>
        <w:ind w:right="0" w:firstLine="200"/>
        <w:rPr>
          <w:rFonts w:ascii="宋体" w:hAnsi="宋体"/>
        </w:rPr>
      </w:pPr>
      <w:r>
        <w:rPr>
          <w:rFonts w:hint="eastAsia" w:ascii="宋体" w:hAnsi="宋体"/>
        </w:rPr>
        <w:t>15.《技术需求及数量表》中备注栏标有“全检”或配件中有计量仪器仪表的货物，交货时每件货物均须提供具备国家计量认证资质（CMA）的第三方检测机构出具的计量检定/校准证书（报告），并粘贴检定/校准合格标签；相关检测报告作为该产品验收依据；检验委托单位为“南宁轨道交通集团有限责任公司”，产生的所有费用须包含在项目报价中。（如有）</w:t>
      </w:r>
    </w:p>
    <w:p>
      <w:pPr>
        <w:spacing w:before="0" w:after="0"/>
        <w:ind w:right="0" w:firstLine="0"/>
        <w:rPr>
          <w:rFonts w:ascii="宋体" w:hAnsi="宋体"/>
          <w:b/>
        </w:rPr>
      </w:pPr>
      <w:r>
        <w:rPr>
          <w:rFonts w:ascii="宋体" w:hAnsi="宋体"/>
          <w:b/>
        </w:rPr>
        <w:t>16.</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pacing w:before="0" w:after="0"/>
        <w:ind w:right="0" w:firstLine="0"/>
        <w:rPr>
          <w:rFonts w:ascii="宋体" w:hAnsi="宋体"/>
          <w:b/>
        </w:rPr>
      </w:pPr>
    </w:p>
    <w:p>
      <w:pPr>
        <w:snapToGrid w:val="0"/>
        <w:ind w:left="0" w:right="0" w:firstLine="0"/>
        <w:jc w:val="left"/>
        <w:outlineLvl w:val="0"/>
        <w:rPr>
          <w:rFonts w:ascii="宋体" w:hAnsi="宋体"/>
          <w:b/>
        </w:rPr>
      </w:pPr>
      <w:bookmarkStart w:id="1292" w:name="_Toc8943"/>
      <w:r>
        <w:rPr>
          <w:rFonts w:hint="eastAsia" w:ascii="宋体" w:hAnsi="宋体"/>
          <w:b/>
        </w:rPr>
        <w:t>二、技术需求及数量表</w:t>
      </w:r>
      <w:bookmarkEnd w:id="1292"/>
    </w:p>
    <w:p>
      <w:pPr>
        <w:spacing w:before="0" w:after="0" w:afterAutospacing="0"/>
        <w:ind w:right="0" w:firstLine="200"/>
        <w:rPr>
          <w:rFonts w:hint="eastAsia" w:ascii="宋体" w:hAnsi="宋体"/>
        </w:rPr>
      </w:pPr>
      <w:r>
        <w:rPr>
          <w:rFonts w:hint="eastAsia" w:ascii="宋体" w:hAnsi="宋体"/>
        </w:rPr>
        <w:t>南宁轨道交通2021年出入口安全划线标识采购项目技术需求及数量表</w:t>
      </w:r>
    </w:p>
    <w:tbl>
      <w:tblPr>
        <w:tblStyle w:val="26"/>
        <w:tblW w:w="10295" w:type="dxa"/>
        <w:jc w:val="center"/>
        <w:tblLayout w:type="fixed"/>
        <w:tblCellMar>
          <w:top w:w="0" w:type="dxa"/>
          <w:left w:w="0" w:type="dxa"/>
          <w:bottom w:w="0" w:type="dxa"/>
          <w:right w:w="0" w:type="dxa"/>
        </w:tblCellMar>
      </w:tblPr>
      <w:tblGrid>
        <w:gridCol w:w="613"/>
        <w:gridCol w:w="567"/>
        <w:gridCol w:w="567"/>
        <w:gridCol w:w="567"/>
        <w:gridCol w:w="426"/>
        <w:gridCol w:w="567"/>
        <w:gridCol w:w="567"/>
        <w:gridCol w:w="6421"/>
      </w:tblGrid>
      <w:tr>
        <w:tblPrEx>
          <w:tblCellMar>
            <w:top w:w="0" w:type="dxa"/>
            <w:left w:w="0" w:type="dxa"/>
            <w:bottom w:w="0" w:type="dxa"/>
            <w:right w:w="0" w:type="dxa"/>
          </w:tblCellMar>
        </w:tblPrEx>
        <w:trPr>
          <w:trHeight w:val="1054"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bookmarkStart w:id="1293" w:name="_Toc5286"/>
            <w:bookmarkStart w:id="1294" w:name="_Toc13356"/>
            <w:bookmarkStart w:id="1295" w:name="_Toc19839"/>
            <w:bookmarkStart w:id="1296" w:name="_Toc11653"/>
            <w:bookmarkStart w:id="1297" w:name="_Toc7874"/>
            <w:bookmarkStart w:id="1298" w:name="_Toc18230"/>
            <w:bookmarkStart w:id="1299" w:name="_Toc7867"/>
            <w:bookmarkStart w:id="1300" w:name="_Toc27951"/>
            <w:bookmarkStart w:id="1301" w:name="_Toc1833"/>
            <w:bookmarkStart w:id="1302" w:name="_Toc19873"/>
            <w:bookmarkStart w:id="1303" w:name="_Toc22932"/>
            <w:bookmarkStart w:id="1304" w:name="_Toc26120"/>
            <w:bookmarkStart w:id="1305" w:name="_Toc25749"/>
            <w:bookmarkStart w:id="1306" w:name="_Toc25750690"/>
            <w:bookmarkStart w:id="1307" w:name="_Toc28578"/>
            <w:bookmarkStart w:id="1308" w:name="_Toc28928"/>
            <w:bookmarkStart w:id="1309" w:name="_Toc8850"/>
            <w:bookmarkStart w:id="1310" w:name="_Toc23069"/>
            <w:r>
              <w:rPr>
                <w:rFonts w:hint="eastAsia" w:ascii="宋体" w:hAnsi="宋体" w:cs="宋体"/>
                <w:b/>
                <w:color w:val="000000"/>
                <w:sz w:val="18"/>
                <w:szCs w:val="18"/>
              </w:rPr>
              <w:t>序号</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2"/>
                <w:rFonts w:hint="default"/>
              </w:rPr>
              <w:t>物料编码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3"/>
                <w:rFonts w:hint="default"/>
              </w:rPr>
              <w:t>物料名称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3"/>
                <w:rFonts w:hint="default"/>
              </w:rPr>
              <w:t>数量</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3"/>
                <w:rFonts w:hint="default"/>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Fonts w:hint="eastAsia" w:ascii="宋体" w:hAnsi="宋体" w:cs="宋体"/>
                <w:b/>
                <w:color w:val="000000"/>
                <w:sz w:val="18"/>
                <w:szCs w:val="18"/>
              </w:rPr>
              <w:t>品牌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Fonts w:hint="eastAsia" w:ascii="宋体" w:hAnsi="宋体" w:cs="宋体"/>
                <w:b/>
                <w:color w:val="000000"/>
                <w:sz w:val="18"/>
                <w:szCs w:val="18"/>
              </w:rPr>
              <w:t>型号</w:t>
            </w:r>
          </w:p>
        </w:tc>
        <w:tc>
          <w:tcPr>
            <w:tcW w:w="6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技术需求</w:t>
            </w:r>
          </w:p>
        </w:tc>
      </w:tr>
      <w:tr>
        <w:tblPrEx>
          <w:tblCellMar>
            <w:top w:w="0" w:type="dxa"/>
            <w:left w:w="0" w:type="dxa"/>
            <w:bottom w:w="0" w:type="dxa"/>
            <w:right w:w="0" w:type="dxa"/>
          </w:tblCellMar>
        </w:tblPrEx>
        <w:trPr>
          <w:trHeight w:val="138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热熔漆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宽度：10cm，厚度2.5mm</w:t>
            </w:r>
          </w:p>
        </w:tc>
        <w:tc>
          <w:tcPr>
            <w:tcW w:w="6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（1）划线漆材料性能要求，包括但不限于软化点，色度性能，耐磨性，耐候性，玻璃珠含量等，并应符合《路面标线涂料》（JT/T280-2004）的 规 定，并按照项目要求选用热熔标线涂料，能满足在采购人提供的划线地点上耐久使用的要求，且均应由合适的施工机械与之配套，并严格按照《道路交通标志和标线》（GB 5768.3-2009）、《道路交通标线质量要求和检测方法》（GB/T 16311-2009）和国家有关规范、标准施工验收。</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（2）热熔标线涂料应为黄色</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（3）热熔标线涂料密度为2.0g/cm3</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（4）热熔标线涂料软化点为140℃</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（5） 热熔标线涂料干燥时间应小于或等于3分钟</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（6） 热熔标线涂料抗压强度（23℃）为15mpa</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（7）热熔标线涂膜后的颜色与外观应无皱纹、斑点、起泡、裂纹、脱落、粘胎现象，涂抹颜色和外观应与标准版差别不大。</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（8）热熔标线涂膜后耐水性应在水中浸泡24小时无异常现象</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（9）热熔标线涂膜后耐碱性应在氢氧化钙饱和溶液中浸泡24小时无异常现象</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（10）热熔标线涂料玻璃珠含量应为18%-25%</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（11） 热熔标线涂料长度：6700米，正负不超过10%。</w:t>
            </w:r>
          </w:p>
        </w:tc>
      </w:t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tbl>
    <w:p>
      <w:pPr>
        <w:snapToGrid w:val="0"/>
        <w:ind w:right="0" w:firstLine="0"/>
        <w:jc w:val="left"/>
        <w:rPr>
          <w:rFonts w:ascii="宋体" w:hAnsi="宋体"/>
          <w:b/>
        </w:rPr>
      </w:pPr>
    </w:p>
    <w:sectPr>
      <w:headerReference r:id="rId11" w:type="default"/>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12065" b="508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 MERGEFORMAT</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2Nfnr0gAAAAMBAAAPAAAAAAAAAAEAIAAAACIAAABkcnMvZG93bnJldi54&#10;bWxQSwECFAAUAAAACACHTuJA/BW59jkCAABgBAAADgAAAAAAAAABACAAAAAhAQAAZHJzL2Uyb0Rv&#10;Yy54bWxQSwUGAAAAAAYABgBZAQAAzAU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5"/>
          <w:jc w:val="center"/>
        </w:pPr>
        <w:r>
          <w:fldChar w:fldCharType="begin"/>
        </w:r>
        <w:r>
          <w:instrText xml:space="preserve">PAGE   \* MERGEFORMAT</w:instrText>
        </w:r>
        <w:r>
          <w:fldChar w:fldCharType="separate"/>
        </w:r>
        <w:r>
          <w:rPr>
            <w:lang w:val="zh-CN"/>
          </w:rPr>
          <w:t>41</w:t>
        </w:r>
        <w:r>
          <w:rPr>
            <w:lang w:val="zh-CN"/>
          </w:rPr>
          <w:fldChar w:fldCharType="end"/>
        </w:r>
      </w:p>
    </w:sdtContent>
  </w:sdt>
  <w:p>
    <w:pPr>
      <w:pStyle w:val="16"/>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5BDBC"/>
    <w:multiLevelType w:val="singleLevel"/>
    <w:tmpl w:val="DFF5BDBC"/>
    <w:lvl w:ilvl="0" w:tentative="0">
      <w:start w:val="12"/>
      <w:numFmt w:val="decimal"/>
      <w:suff w:val="space"/>
      <w:lvlText w:val="%1."/>
      <w:lvlJc w:val="left"/>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4"/>
    <w:rsid w:val="000000F2"/>
    <w:rsid w:val="00000139"/>
    <w:rsid w:val="000045EA"/>
    <w:rsid w:val="00007C3F"/>
    <w:rsid w:val="000143B4"/>
    <w:rsid w:val="00015B06"/>
    <w:rsid w:val="00022F88"/>
    <w:rsid w:val="00030F30"/>
    <w:rsid w:val="000437E6"/>
    <w:rsid w:val="00043E88"/>
    <w:rsid w:val="00050898"/>
    <w:rsid w:val="0005200D"/>
    <w:rsid w:val="00070470"/>
    <w:rsid w:val="00074337"/>
    <w:rsid w:val="0008222E"/>
    <w:rsid w:val="00092270"/>
    <w:rsid w:val="0009493E"/>
    <w:rsid w:val="00095B78"/>
    <w:rsid w:val="000A0870"/>
    <w:rsid w:val="000A1767"/>
    <w:rsid w:val="000A49C9"/>
    <w:rsid w:val="000B34C7"/>
    <w:rsid w:val="000B5BA2"/>
    <w:rsid w:val="000C1668"/>
    <w:rsid w:val="000C1D2F"/>
    <w:rsid w:val="000C20C1"/>
    <w:rsid w:val="000C32A2"/>
    <w:rsid w:val="000C53FF"/>
    <w:rsid w:val="000C56A1"/>
    <w:rsid w:val="000C68D6"/>
    <w:rsid w:val="000C7733"/>
    <w:rsid w:val="000D2B9F"/>
    <w:rsid w:val="000D3045"/>
    <w:rsid w:val="000E072A"/>
    <w:rsid w:val="000E7DA5"/>
    <w:rsid w:val="000F56F5"/>
    <w:rsid w:val="000F5E28"/>
    <w:rsid w:val="000F6EB3"/>
    <w:rsid w:val="000F72F5"/>
    <w:rsid w:val="00100517"/>
    <w:rsid w:val="0011106B"/>
    <w:rsid w:val="0011296C"/>
    <w:rsid w:val="001207B4"/>
    <w:rsid w:val="00126FBA"/>
    <w:rsid w:val="001315CE"/>
    <w:rsid w:val="00133A8C"/>
    <w:rsid w:val="00135B62"/>
    <w:rsid w:val="00135C49"/>
    <w:rsid w:val="00136FF6"/>
    <w:rsid w:val="00141670"/>
    <w:rsid w:val="001445DC"/>
    <w:rsid w:val="00146276"/>
    <w:rsid w:val="001520D4"/>
    <w:rsid w:val="0015296D"/>
    <w:rsid w:val="00155FD4"/>
    <w:rsid w:val="0017175E"/>
    <w:rsid w:val="00180594"/>
    <w:rsid w:val="00183519"/>
    <w:rsid w:val="00186A28"/>
    <w:rsid w:val="00194A91"/>
    <w:rsid w:val="001A37D3"/>
    <w:rsid w:val="001A3FCA"/>
    <w:rsid w:val="001B0893"/>
    <w:rsid w:val="001C0C50"/>
    <w:rsid w:val="001E0D82"/>
    <w:rsid w:val="001E0D93"/>
    <w:rsid w:val="001E5985"/>
    <w:rsid w:val="001E5F4A"/>
    <w:rsid w:val="002041A6"/>
    <w:rsid w:val="00204570"/>
    <w:rsid w:val="002059D1"/>
    <w:rsid w:val="00206D2E"/>
    <w:rsid w:val="00210D44"/>
    <w:rsid w:val="00212AF9"/>
    <w:rsid w:val="00226768"/>
    <w:rsid w:val="00226771"/>
    <w:rsid w:val="00226B2E"/>
    <w:rsid w:val="00226D0E"/>
    <w:rsid w:val="00237A98"/>
    <w:rsid w:val="0024287B"/>
    <w:rsid w:val="002441F7"/>
    <w:rsid w:val="0024741B"/>
    <w:rsid w:val="00261C93"/>
    <w:rsid w:val="00265564"/>
    <w:rsid w:val="00272F80"/>
    <w:rsid w:val="00275BF9"/>
    <w:rsid w:val="0027764C"/>
    <w:rsid w:val="0028366D"/>
    <w:rsid w:val="002A20A0"/>
    <w:rsid w:val="002B1394"/>
    <w:rsid w:val="002C556E"/>
    <w:rsid w:val="002C5B0F"/>
    <w:rsid w:val="002D23D9"/>
    <w:rsid w:val="002D2720"/>
    <w:rsid w:val="002D2931"/>
    <w:rsid w:val="002D6D0E"/>
    <w:rsid w:val="002E190D"/>
    <w:rsid w:val="002E6BE3"/>
    <w:rsid w:val="002F314E"/>
    <w:rsid w:val="002F5455"/>
    <w:rsid w:val="003166B6"/>
    <w:rsid w:val="00316E03"/>
    <w:rsid w:val="003207F4"/>
    <w:rsid w:val="00320BB7"/>
    <w:rsid w:val="00330D78"/>
    <w:rsid w:val="003353F9"/>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3C17"/>
    <w:rsid w:val="003D5EEA"/>
    <w:rsid w:val="003D6118"/>
    <w:rsid w:val="003E454F"/>
    <w:rsid w:val="003E6DFB"/>
    <w:rsid w:val="003F2270"/>
    <w:rsid w:val="003F746F"/>
    <w:rsid w:val="004043A2"/>
    <w:rsid w:val="004117BD"/>
    <w:rsid w:val="00412A48"/>
    <w:rsid w:val="00414B71"/>
    <w:rsid w:val="00417574"/>
    <w:rsid w:val="004215F1"/>
    <w:rsid w:val="0042215D"/>
    <w:rsid w:val="004300D9"/>
    <w:rsid w:val="0043285C"/>
    <w:rsid w:val="00436E82"/>
    <w:rsid w:val="00440F9A"/>
    <w:rsid w:val="00443ADE"/>
    <w:rsid w:val="0044418D"/>
    <w:rsid w:val="004518D2"/>
    <w:rsid w:val="0045479E"/>
    <w:rsid w:val="004632AA"/>
    <w:rsid w:val="00475589"/>
    <w:rsid w:val="00476FBE"/>
    <w:rsid w:val="00483264"/>
    <w:rsid w:val="004A0C16"/>
    <w:rsid w:val="004A0D30"/>
    <w:rsid w:val="004B1E96"/>
    <w:rsid w:val="004B508D"/>
    <w:rsid w:val="004B5BE7"/>
    <w:rsid w:val="004B62C0"/>
    <w:rsid w:val="004B6350"/>
    <w:rsid w:val="004C09AF"/>
    <w:rsid w:val="004C56A6"/>
    <w:rsid w:val="004C7017"/>
    <w:rsid w:val="004D03B0"/>
    <w:rsid w:val="004D1018"/>
    <w:rsid w:val="004D449E"/>
    <w:rsid w:val="004D4C3A"/>
    <w:rsid w:val="004E12DE"/>
    <w:rsid w:val="004F6E95"/>
    <w:rsid w:val="004F784D"/>
    <w:rsid w:val="00500C4A"/>
    <w:rsid w:val="00505261"/>
    <w:rsid w:val="00510E4D"/>
    <w:rsid w:val="00512701"/>
    <w:rsid w:val="00512A45"/>
    <w:rsid w:val="00514001"/>
    <w:rsid w:val="0052634A"/>
    <w:rsid w:val="00532363"/>
    <w:rsid w:val="00541401"/>
    <w:rsid w:val="005418DB"/>
    <w:rsid w:val="0054269C"/>
    <w:rsid w:val="00544852"/>
    <w:rsid w:val="005448AD"/>
    <w:rsid w:val="00545844"/>
    <w:rsid w:val="00554D7F"/>
    <w:rsid w:val="00562190"/>
    <w:rsid w:val="00564C20"/>
    <w:rsid w:val="00571D43"/>
    <w:rsid w:val="00574C3B"/>
    <w:rsid w:val="00575AB8"/>
    <w:rsid w:val="0057690D"/>
    <w:rsid w:val="00587B70"/>
    <w:rsid w:val="005A1A6A"/>
    <w:rsid w:val="005A2E67"/>
    <w:rsid w:val="005A5B47"/>
    <w:rsid w:val="005A74B1"/>
    <w:rsid w:val="005B01E0"/>
    <w:rsid w:val="005B2E43"/>
    <w:rsid w:val="005B439E"/>
    <w:rsid w:val="005C0AA6"/>
    <w:rsid w:val="005C5B0E"/>
    <w:rsid w:val="005D0BB2"/>
    <w:rsid w:val="005D30DE"/>
    <w:rsid w:val="005E5912"/>
    <w:rsid w:val="005F2A05"/>
    <w:rsid w:val="005F2C46"/>
    <w:rsid w:val="005F5B89"/>
    <w:rsid w:val="00606397"/>
    <w:rsid w:val="006173A4"/>
    <w:rsid w:val="00622520"/>
    <w:rsid w:val="006279E7"/>
    <w:rsid w:val="00634596"/>
    <w:rsid w:val="00640761"/>
    <w:rsid w:val="006425FA"/>
    <w:rsid w:val="00642B95"/>
    <w:rsid w:val="00647559"/>
    <w:rsid w:val="006523EB"/>
    <w:rsid w:val="00653C14"/>
    <w:rsid w:val="0065460D"/>
    <w:rsid w:val="0066001D"/>
    <w:rsid w:val="006679DC"/>
    <w:rsid w:val="00670400"/>
    <w:rsid w:val="006724B7"/>
    <w:rsid w:val="00672F69"/>
    <w:rsid w:val="00677925"/>
    <w:rsid w:val="00677A8A"/>
    <w:rsid w:val="006859BF"/>
    <w:rsid w:val="006922EC"/>
    <w:rsid w:val="00695EDE"/>
    <w:rsid w:val="006972EC"/>
    <w:rsid w:val="006A23E9"/>
    <w:rsid w:val="006A2F07"/>
    <w:rsid w:val="006A350C"/>
    <w:rsid w:val="006A4D72"/>
    <w:rsid w:val="006A543A"/>
    <w:rsid w:val="006B6F3C"/>
    <w:rsid w:val="006C2D0C"/>
    <w:rsid w:val="006C4DC3"/>
    <w:rsid w:val="006C77CD"/>
    <w:rsid w:val="006D6100"/>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600C"/>
    <w:rsid w:val="00737A61"/>
    <w:rsid w:val="00741B8D"/>
    <w:rsid w:val="00746901"/>
    <w:rsid w:val="00750C92"/>
    <w:rsid w:val="00751CDD"/>
    <w:rsid w:val="00753178"/>
    <w:rsid w:val="00754FB0"/>
    <w:rsid w:val="00756CAA"/>
    <w:rsid w:val="00762872"/>
    <w:rsid w:val="00762CB8"/>
    <w:rsid w:val="00766F68"/>
    <w:rsid w:val="0077088A"/>
    <w:rsid w:val="00775222"/>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3BAA"/>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A6FE8"/>
    <w:rsid w:val="008B0302"/>
    <w:rsid w:val="008B224C"/>
    <w:rsid w:val="008C2226"/>
    <w:rsid w:val="008C77F8"/>
    <w:rsid w:val="008D2976"/>
    <w:rsid w:val="008D2E05"/>
    <w:rsid w:val="008E500C"/>
    <w:rsid w:val="008F17FB"/>
    <w:rsid w:val="008F2A48"/>
    <w:rsid w:val="008F720F"/>
    <w:rsid w:val="009021F6"/>
    <w:rsid w:val="00902910"/>
    <w:rsid w:val="00904592"/>
    <w:rsid w:val="00906D34"/>
    <w:rsid w:val="009074DE"/>
    <w:rsid w:val="009120C7"/>
    <w:rsid w:val="009123C5"/>
    <w:rsid w:val="00916179"/>
    <w:rsid w:val="00917615"/>
    <w:rsid w:val="00920CFA"/>
    <w:rsid w:val="00921A28"/>
    <w:rsid w:val="00925337"/>
    <w:rsid w:val="00925A3A"/>
    <w:rsid w:val="00931174"/>
    <w:rsid w:val="00937B1F"/>
    <w:rsid w:val="0094110B"/>
    <w:rsid w:val="00944B82"/>
    <w:rsid w:val="00945006"/>
    <w:rsid w:val="00956636"/>
    <w:rsid w:val="00956B31"/>
    <w:rsid w:val="00956FA8"/>
    <w:rsid w:val="00957AA0"/>
    <w:rsid w:val="009604CB"/>
    <w:rsid w:val="00961F4A"/>
    <w:rsid w:val="009633F1"/>
    <w:rsid w:val="00965538"/>
    <w:rsid w:val="0097464F"/>
    <w:rsid w:val="00981AE0"/>
    <w:rsid w:val="009830B8"/>
    <w:rsid w:val="00984BFB"/>
    <w:rsid w:val="00991B49"/>
    <w:rsid w:val="00995A55"/>
    <w:rsid w:val="009A7B76"/>
    <w:rsid w:val="009B0988"/>
    <w:rsid w:val="009C5DF4"/>
    <w:rsid w:val="009D3453"/>
    <w:rsid w:val="009E1329"/>
    <w:rsid w:val="009E28E5"/>
    <w:rsid w:val="009E4CE3"/>
    <w:rsid w:val="009E586C"/>
    <w:rsid w:val="009F214A"/>
    <w:rsid w:val="009F374F"/>
    <w:rsid w:val="009F588C"/>
    <w:rsid w:val="00A02C14"/>
    <w:rsid w:val="00A03373"/>
    <w:rsid w:val="00A05ECF"/>
    <w:rsid w:val="00A11C51"/>
    <w:rsid w:val="00A1337E"/>
    <w:rsid w:val="00A249A4"/>
    <w:rsid w:val="00A24D88"/>
    <w:rsid w:val="00A2528E"/>
    <w:rsid w:val="00A34C49"/>
    <w:rsid w:val="00A42082"/>
    <w:rsid w:val="00A461C1"/>
    <w:rsid w:val="00A54F86"/>
    <w:rsid w:val="00A63392"/>
    <w:rsid w:val="00A722C5"/>
    <w:rsid w:val="00A859DC"/>
    <w:rsid w:val="00A872DA"/>
    <w:rsid w:val="00A9122E"/>
    <w:rsid w:val="00A91F36"/>
    <w:rsid w:val="00A93A7F"/>
    <w:rsid w:val="00AA0FB3"/>
    <w:rsid w:val="00AB190B"/>
    <w:rsid w:val="00AB6B27"/>
    <w:rsid w:val="00AD6B25"/>
    <w:rsid w:val="00AD6ED0"/>
    <w:rsid w:val="00AE2C17"/>
    <w:rsid w:val="00AE5333"/>
    <w:rsid w:val="00AE6F3C"/>
    <w:rsid w:val="00AF196A"/>
    <w:rsid w:val="00AF54E1"/>
    <w:rsid w:val="00B04E81"/>
    <w:rsid w:val="00B14E6B"/>
    <w:rsid w:val="00B16089"/>
    <w:rsid w:val="00B17D1B"/>
    <w:rsid w:val="00B266B6"/>
    <w:rsid w:val="00B40113"/>
    <w:rsid w:val="00B457D5"/>
    <w:rsid w:val="00B47764"/>
    <w:rsid w:val="00B4784E"/>
    <w:rsid w:val="00B52D63"/>
    <w:rsid w:val="00B618D0"/>
    <w:rsid w:val="00B62476"/>
    <w:rsid w:val="00B80D2F"/>
    <w:rsid w:val="00B82E58"/>
    <w:rsid w:val="00B863CD"/>
    <w:rsid w:val="00B90EB4"/>
    <w:rsid w:val="00B97802"/>
    <w:rsid w:val="00BA0E5D"/>
    <w:rsid w:val="00BA3124"/>
    <w:rsid w:val="00BA37AA"/>
    <w:rsid w:val="00BA55B3"/>
    <w:rsid w:val="00BB2B84"/>
    <w:rsid w:val="00BB5590"/>
    <w:rsid w:val="00BD389A"/>
    <w:rsid w:val="00BE2F9C"/>
    <w:rsid w:val="00BE3C13"/>
    <w:rsid w:val="00BF3812"/>
    <w:rsid w:val="00BF4099"/>
    <w:rsid w:val="00BF7EFB"/>
    <w:rsid w:val="00C07A4F"/>
    <w:rsid w:val="00C10E72"/>
    <w:rsid w:val="00C13489"/>
    <w:rsid w:val="00C1487A"/>
    <w:rsid w:val="00C244BA"/>
    <w:rsid w:val="00C254EC"/>
    <w:rsid w:val="00C25AD7"/>
    <w:rsid w:val="00C31620"/>
    <w:rsid w:val="00C3605A"/>
    <w:rsid w:val="00C4070E"/>
    <w:rsid w:val="00C46538"/>
    <w:rsid w:val="00C46568"/>
    <w:rsid w:val="00C519A3"/>
    <w:rsid w:val="00C524FA"/>
    <w:rsid w:val="00C557E5"/>
    <w:rsid w:val="00C61DF1"/>
    <w:rsid w:val="00C636A8"/>
    <w:rsid w:val="00C64708"/>
    <w:rsid w:val="00C649A3"/>
    <w:rsid w:val="00C64C38"/>
    <w:rsid w:val="00C64D53"/>
    <w:rsid w:val="00C716E6"/>
    <w:rsid w:val="00C7432E"/>
    <w:rsid w:val="00C76FE6"/>
    <w:rsid w:val="00C8124B"/>
    <w:rsid w:val="00C85D99"/>
    <w:rsid w:val="00C91765"/>
    <w:rsid w:val="00CA3F44"/>
    <w:rsid w:val="00CA4DB7"/>
    <w:rsid w:val="00CA4EDA"/>
    <w:rsid w:val="00CA6CAC"/>
    <w:rsid w:val="00CB3033"/>
    <w:rsid w:val="00CB3C9F"/>
    <w:rsid w:val="00CB3E6B"/>
    <w:rsid w:val="00CB5F47"/>
    <w:rsid w:val="00CC0FA9"/>
    <w:rsid w:val="00CC18DB"/>
    <w:rsid w:val="00CC1C15"/>
    <w:rsid w:val="00CC46A2"/>
    <w:rsid w:val="00CC5B47"/>
    <w:rsid w:val="00CC6D92"/>
    <w:rsid w:val="00CD04A5"/>
    <w:rsid w:val="00CD0CA9"/>
    <w:rsid w:val="00CD6379"/>
    <w:rsid w:val="00CD7D67"/>
    <w:rsid w:val="00CE01EF"/>
    <w:rsid w:val="00CF001A"/>
    <w:rsid w:val="00CF355D"/>
    <w:rsid w:val="00D0134F"/>
    <w:rsid w:val="00D0202D"/>
    <w:rsid w:val="00D14665"/>
    <w:rsid w:val="00D14E99"/>
    <w:rsid w:val="00D1571D"/>
    <w:rsid w:val="00D15F50"/>
    <w:rsid w:val="00D21E36"/>
    <w:rsid w:val="00D2321E"/>
    <w:rsid w:val="00D23492"/>
    <w:rsid w:val="00D26520"/>
    <w:rsid w:val="00D277F8"/>
    <w:rsid w:val="00D300DD"/>
    <w:rsid w:val="00D42E07"/>
    <w:rsid w:val="00D44F13"/>
    <w:rsid w:val="00D45AC5"/>
    <w:rsid w:val="00D479CD"/>
    <w:rsid w:val="00D51CC0"/>
    <w:rsid w:val="00D74E9C"/>
    <w:rsid w:val="00D82743"/>
    <w:rsid w:val="00D829D0"/>
    <w:rsid w:val="00D841A1"/>
    <w:rsid w:val="00D84F11"/>
    <w:rsid w:val="00D92C17"/>
    <w:rsid w:val="00D930BB"/>
    <w:rsid w:val="00D932AD"/>
    <w:rsid w:val="00D93779"/>
    <w:rsid w:val="00D95A48"/>
    <w:rsid w:val="00D95A4C"/>
    <w:rsid w:val="00DB181C"/>
    <w:rsid w:val="00DE180B"/>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57BDE"/>
    <w:rsid w:val="00E653F5"/>
    <w:rsid w:val="00E72F1F"/>
    <w:rsid w:val="00E763ED"/>
    <w:rsid w:val="00E81347"/>
    <w:rsid w:val="00E86025"/>
    <w:rsid w:val="00E8709E"/>
    <w:rsid w:val="00E93BCC"/>
    <w:rsid w:val="00E9439E"/>
    <w:rsid w:val="00E96E54"/>
    <w:rsid w:val="00EA11E5"/>
    <w:rsid w:val="00EA1B00"/>
    <w:rsid w:val="00EA1ED7"/>
    <w:rsid w:val="00EA5C66"/>
    <w:rsid w:val="00EB0C24"/>
    <w:rsid w:val="00EB315F"/>
    <w:rsid w:val="00EC2D7B"/>
    <w:rsid w:val="00EC7653"/>
    <w:rsid w:val="00ED5241"/>
    <w:rsid w:val="00ED64CD"/>
    <w:rsid w:val="00ED7DBB"/>
    <w:rsid w:val="00EE164C"/>
    <w:rsid w:val="00EE5896"/>
    <w:rsid w:val="00EE6E83"/>
    <w:rsid w:val="00EF0005"/>
    <w:rsid w:val="00EF20F4"/>
    <w:rsid w:val="00EF2D43"/>
    <w:rsid w:val="00EF2D68"/>
    <w:rsid w:val="00EF5BD9"/>
    <w:rsid w:val="00EF6456"/>
    <w:rsid w:val="00F06631"/>
    <w:rsid w:val="00F115E5"/>
    <w:rsid w:val="00F121C0"/>
    <w:rsid w:val="00F1492D"/>
    <w:rsid w:val="00F2140E"/>
    <w:rsid w:val="00F21F31"/>
    <w:rsid w:val="00F239B4"/>
    <w:rsid w:val="00F275D0"/>
    <w:rsid w:val="00F331FE"/>
    <w:rsid w:val="00F344D6"/>
    <w:rsid w:val="00F35244"/>
    <w:rsid w:val="00F37250"/>
    <w:rsid w:val="00F3752A"/>
    <w:rsid w:val="00F40FBF"/>
    <w:rsid w:val="00F41ABA"/>
    <w:rsid w:val="00F43D41"/>
    <w:rsid w:val="00F502E0"/>
    <w:rsid w:val="00F52F5A"/>
    <w:rsid w:val="00F56501"/>
    <w:rsid w:val="00F603CC"/>
    <w:rsid w:val="00F74EBD"/>
    <w:rsid w:val="00F82ADB"/>
    <w:rsid w:val="00F831B3"/>
    <w:rsid w:val="00F86B8B"/>
    <w:rsid w:val="00F8733F"/>
    <w:rsid w:val="00F94057"/>
    <w:rsid w:val="00FB3AAB"/>
    <w:rsid w:val="00FB7401"/>
    <w:rsid w:val="00FC02B4"/>
    <w:rsid w:val="00FC51F2"/>
    <w:rsid w:val="00FD1370"/>
    <w:rsid w:val="00FD5F55"/>
    <w:rsid w:val="00FE3364"/>
    <w:rsid w:val="00FE6711"/>
    <w:rsid w:val="00FF2D5E"/>
    <w:rsid w:val="00FF3FB5"/>
    <w:rsid w:val="00FF5A2F"/>
    <w:rsid w:val="01D16A33"/>
    <w:rsid w:val="04E70F37"/>
    <w:rsid w:val="0D460BF6"/>
    <w:rsid w:val="142F43C4"/>
    <w:rsid w:val="198136B7"/>
    <w:rsid w:val="25991763"/>
    <w:rsid w:val="28A22792"/>
    <w:rsid w:val="2A213A30"/>
    <w:rsid w:val="2FC8595E"/>
    <w:rsid w:val="317C0555"/>
    <w:rsid w:val="3590338D"/>
    <w:rsid w:val="3AEC50AC"/>
    <w:rsid w:val="40D57DED"/>
    <w:rsid w:val="41582BFF"/>
    <w:rsid w:val="43EA06F9"/>
    <w:rsid w:val="4D342A5F"/>
    <w:rsid w:val="4EC71622"/>
    <w:rsid w:val="50C41543"/>
    <w:rsid w:val="56235FA0"/>
    <w:rsid w:val="58CA7BAD"/>
    <w:rsid w:val="5B096777"/>
    <w:rsid w:val="5EEA5F5E"/>
    <w:rsid w:val="63291D47"/>
    <w:rsid w:val="64EF6679"/>
    <w:rsid w:val="67BB3744"/>
    <w:rsid w:val="6EDD5EC6"/>
    <w:rsid w:val="70214343"/>
    <w:rsid w:val="74EB67CC"/>
    <w:rsid w:val="7CFD43B9"/>
    <w:rsid w:val="7F005BE8"/>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Date"/>
    <w:basedOn w:val="1"/>
    <w:next w:val="1"/>
    <w:link w:val="51"/>
    <w:semiHidden/>
    <w:unhideWhenUsed/>
    <w:qFormat/>
    <w:uiPriority w:val="99"/>
    <w:pPr>
      <w:ind w:left="100" w:leftChars="2500"/>
    </w:p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7"/>
    <w:next w:val="7"/>
    <w:semiHidden/>
    <w:unhideWhenUsed/>
    <w:qFormat/>
    <w:uiPriority w:val="0"/>
    <w:rPr>
      <w:b/>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Char"/>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8"/>
    <w:link w:val="8"/>
    <w:semiHidden/>
    <w:qFormat/>
    <w:uiPriority w:val="99"/>
    <w:rPr>
      <w:sz w:val="21"/>
      <w:szCs w:val="21"/>
    </w:rPr>
  </w:style>
  <w:style w:type="paragraph" w:customStyle="1" w:styleId="50">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1">
    <w:name w:val="日期 Char"/>
    <w:basedOn w:val="28"/>
    <w:link w:val="13"/>
    <w:semiHidden/>
    <w:qFormat/>
    <w:uiPriority w:val="99"/>
    <w:rPr>
      <w:sz w:val="21"/>
      <w:szCs w:val="21"/>
    </w:rPr>
  </w:style>
  <w:style w:type="character" w:customStyle="1" w:styleId="52">
    <w:name w:val="font41"/>
    <w:basedOn w:val="28"/>
    <w:qFormat/>
    <w:uiPriority w:val="0"/>
    <w:rPr>
      <w:rFonts w:hint="eastAsia" w:ascii="宋体" w:hAnsi="宋体" w:eastAsia="宋体" w:cs="宋体"/>
      <w:b/>
      <w:color w:val="000000"/>
      <w:sz w:val="18"/>
      <w:szCs w:val="18"/>
      <w:u w:val="none"/>
    </w:rPr>
  </w:style>
  <w:style w:type="character" w:customStyle="1" w:styleId="53">
    <w:name w:val="font31"/>
    <w:basedOn w:val="2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684AA-BE48-4819-9CB5-5E580426CFF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41</Pages>
  <Words>12483</Words>
  <Characters>13109</Characters>
  <Lines>819</Lines>
  <Paragraphs>752</Paragraphs>
  <TotalTime>8</TotalTime>
  <ScaleCrop>false</ScaleCrop>
  <LinksUpToDate>false</LinksUpToDate>
  <CharactersWithSpaces>24840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2021-07-02T09:46:00Z</dcterms:created>
  <dc:creator>NTKO</dc:creator>
  <cp:lastModifiedBy>殷智</cp:lastModifiedBy>
  <dcterms:modified xsi:type="dcterms:W3CDTF">2021-11-22T02:49:26Z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C2A9E85C44C2407B919737C60F1A1D3E</vt:lpwstr>
  </property>
</Properties>
</file>