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afterLines="50" w:line="360" w:lineRule="auto"/>
        <w:ind w:right="0" w:firstLine="600" w:firstLineChars="200"/>
        <w:jc w:val="right"/>
        <w:rPr>
          <w:rFonts w:ascii="宋体" w:hAnsi="宋体"/>
          <w:color w:val="auto"/>
          <w:sz w:val="30"/>
          <w:szCs w:val="30"/>
        </w:rPr>
      </w:pPr>
      <w:bookmarkStart w:id="0" w:name="_Toc114052336"/>
      <w:bookmarkStart w:id="1" w:name="_Toc286386830"/>
      <w:bookmarkStart w:id="2" w:name="_Toc114052410"/>
      <w:bookmarkStart w:id="3" w:name="_Toc12281"/>
      <w:bookmarkStart w:id="4" w:name="_Toc7547"/>
      <w:bookmarkStart w:id="5" w:name="_Toc9725"/>
      <w:bookmarkStart w:id="6" w:name="_Toc25750632"/>
      <w:bookmarkStart w:id="7" w:name="_Toc1179"/>
      <w:bookmarkStart w:id="8" w:name="_Toc25920"/>
      <w:bookmarkStart w:id="9" w:name="_Toc11424"/>
      <w:bookmarkStart w:id="10" w:name="_Toc13323"/>
      <w:bookmarkStart w:id="11" w:name="_Toc23292"/>
      <w:bookmarkStart w:id="12" w:name="_Toc14991"/>
      <w:bookmarkStart w:id="13" w:name="_Toc16340"/>
      <w:bookmarkStart w:id="14" w:name="_Toc9991"/>
      <w:bookmarkStart w:id="15" w:name="_Toc17022"/>
      <w:bookmarkStart w:id="16" w:name="_Toc9458"/>
      <w:bookmarkStart w:id="17" w:name="_Toc21919"/>
      <w:bookmarkStart w:id="18" w:name="_Toc28464"/>
      <w:bookmarkStart w:id="19" w:name="_Toc15740"/>
      <w:bookmarkStart w:id="20" w:name="_Toc4003"/>
      <w:r>
        <w:rPr>
          <w:rFonts w:hint="eastAsia" w:ascii="宋体" w:hAnsi="宋体"/>
          <w:color w:val="auto"/>
          <w:sz w:val="30"/>
          <w:szCs w:val="30"/>
        </w:rPr>
        <w:t>【正本】</w:t>
      </w:r>
    </w:p>
    <w:bookmarkEnd w:id="0"/>
    <w:bookmarkEnd w:id="1"/>
    <w:bookmarkEnd w:id="2"/>
    <w:p>
      <w:pPr>
        <w:spacing w:before="0" w:afterAutospacing="0" w:line="360" w:lineRule="auto"/>
        <w:ind w:left="-709" w:right="0" w:firstLine="880" w:firstLineChars="200"/>
        <w:jc w:val="center"/>
        <w:rPr>
          <w:color w:val="auto"/>
          <w:sz w:val="44"/>
          <w:szCs w:val="44"/>
        </w:rPr>
      </w:pPr>
      <w:r>
        <w:rPr>
          <w:rFonts w:hint="eastAsia"/>
          <w:color w:val="auto"/>
          <w:sz w:val="44"/>
          <w:szCs w:val="44"/>
        </w:rPr>
        <w:t>南宁轨道交通集团有限责任公司运营分公司</w:t>
      </w:r>
    </w:p>
    <w:p>
      <w:pPr>
        <w:spacing w:before="0" w:afterAutospacing="0" w:line="360" w:lineRule="auto"/>
        <w:ind w:left="-709" w:right="0" w:firstLine="880" w:firstLineChars="200"/>
        <w:jc w:val="center"/>
        <w:rPr>
          <w:rFonts w:hint="eastAsia" w:ascii="楷体_GB2312" w:eastAsia="宋体"/>
          <w:color w:val="auto"/>
          <w:sz w:val="24"/>
          <w:lang w:eastAsia="zh-CN"/>
        </w:rPr>
      </w:pPr>
      <w:r>
        <w:rPr>
          <w:rFonts w:hint="eastAsia"/>
          <w:color w:val="auto"/>
          <w:sz w:val="44"/>
          <w:szCs w:val="44"/>
          <w:lang w:eastAsia="zh-CN"/>
        </w:rPr>
        <w:t>2021年易事特备件采购项目</w:t>
      </w:r>
    </w:p>
    <w:tbl>
      <w:tblPr>
        <w:tblStyle w:val="9"/>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11"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项目编号：</w:t>
            </w:r>
          </w:p>
        </w:tc>
        <w:tc>
          <w:tcPr>
            <w:tcW w:w="4761" w:type="dxa"/>
          </w:tcPr>
          <w:p>
            <w:pPr>
              <w:spacing w:line="360" w:lineRule="auto"/>
              <w:jc w:val="left"/>
              <w:rPr>
                <w:rFonts w:hint="eastAsia" w:ascii="宋体" w:hAnsi="宋体" w:eastAsia="宋体"/>
                <w:color w:val="auto"/>
                <w:kern w:val="2"/>
                <w:sz w:val="28"/>
                <w:szCs w:val="30"/>
                <w:lang w:eastAsia="zh-CN"/>
              </w:rPr>
            </w:pPr>
            <w:r>
              <w:rPr>
                <w:rFonts w:hint="eastAsia" w:ascii="宋体" w:hAnsi="宋体"/>
                <w:color w:val="auto"/>
                <w:kern w:val="2"/>
                <w:sz w:val="28"/>
                <w:szCs w:val="30"/>
                <w:lang w:eastAsia="zh-CN"/>
              </w:rPr>
              <w:t>NNGD-YY-BJBJ-2021073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60" w:lineRule="auto"/>
              <w:rPr>
                <w:rFonts w:ascii="宋体" w:hAnsi="宋体"/>
                <w:color w:val="auto"/>
                <w:kern w:val="2"/>
                <w:sz w:val="28"/>
                <w:szCs w:val="30"/>
              </w:rPr>
            </w:pPr>
            <w:r>
              <w:rPr>
                <w:rFonts w:hint="eastAsia" w:ascii="宋体" w:hAnsi="宋体"/>
                <w:color w:val="auto"/>
                <w:kern w:val="2"/>
                <w:sz w:val="28"/>
                <w:szCs w:val="30"/>
              </w:rPr>
              <w:t>合同编号：</w:t>
            </w:r>
          </w:p>
        </w:tc>
        <w:tc>
          <w:tcPr>
            <w:tcW w:w="4761" w:type="dxa"/>
          </w:tcPr>
          <w:p>
            <w:pPr>
              <w:spacing w:line="360" w:lineRule="auto"/>
              <w:ind w:firstLine="560" w:firstLineChars="200"/>
              <w:jc w:val="left"/>
              <w:rPr>
                <w:rFonts w:ascii="宋体" w:hAnsi="宋体"/>
                <w:color w:val="auto"/>
                <w:kern w:val="2"/>
                <w:sz w:val="28"/>
                <w:szCs w:val="30"/>
              </w:rPr>
            </w:pPr>
          </w:p>
        </w:tc>
      </w:tr>
    </w:tbl>
    <w:p>
      <w:pPr>
        <w:spacing w:line="240" w:lineRule="auto"/>
        <w:ind w:left="709" w:firstLine="3614" w:firstLineChars="500"/>
        <w:rPr>
          <w:rFonts w:ascii="楷体_GB2312" w:eastAsia="楷体_GB2312"/>
          <w:b/>
          <w:color w:val="auto"/>
          <w:sz w:val="72"/>
          <w:szCs w:val="52"/>
        </w:rPr>
      </w:pPr>
      <w:r>
        <w:rPr>
          <w:rFonts w:hint="eastAsia"/>
          <w:b/>
          <w:color w:val="auto"/>
          <w:sz w:val="72"/>
          <w:szCs w:val="52"/>
        </w:rPr>
        <w:t>合</w:t>
      </w:r>
    </w:p>
    <w:p>
      <w:pPr>
        <w:spacing w:line="240" w:lineRule="auto"/>
        <w:ind w:left="2371" w:leftChars="1129" w:firstLine="1887" w:firstLineChars="261"/>
        <w:rPr>
          <w:rFonts w:ascii="宋体" w:hAnsi="宋体"/>
          <w:b/>
          <w:color w:val="auto"/>
          <w:sz w:val="72"/>
          <w:szCs w:val="52"/>
        </w:rPr>
      </w:pPr>
      <w:r>
        <w:rPr>
          <w:rFonts w:hint="eastAsia"/>
          <w:b/>
          <w:color w:val="auto"/>
          <w:sz w:val="72"/>
          <w:szCs w:val="52"/>
        </w:rPr>
        <w:t>同</w:t>
      </w:r>
    </w:p>
    <w:p>
      <w:pPr>
        <w:spacing w:after="120" w:afterLines="50" w:line="240" w:lineRule="auto"/>
        <w:ind w:left="709" w:firstLine="3614" w:firstLineChars="500"/>
        <w:rPr>
          <w:b/>
          <w:color w:val="auto"/>
          <w:sz w:val="72"/>
          <w:szCs w:val="52"/>
        </w:rPr>
      </w:pPr>
      <w:r>
        <w:rPr>
          <w:rFonts w:hint="eastAsia"/>
          <w:b/>
          <w:color w:val="auto"/>
          <w:sz w:val="72"/>
          <w:szCs w:val="52"/>
        </w:rPr>
        <w:t>书</w:t>
      </w:r>
    </w:p>
    <w:p>
      <w:pPr>
        <w:spacing w:line="360" w:lineRule="auto"/>
        <w:ind w:firstLine="1044" w:firstLineChars="200"/>
        <w:jc w:val="center"/>
        <w:rPr>
          <w:rFonts w:ascii="宋体" w:hAnsi="宋体"/>
          <w:b/>
          <w:color w:val="auto"/>
          <w:sz w:val="52"/>
        </w:rPr>
      </w:pPr>
      <w:r>
        <w:rPr>
          <w:rFonts w:hint="eastAsia" w:ascii="宋体" w:hAnsi="宋体"/>
          <w:b/>
          <w:color w:val="auto"/>
          <w:sz w:val="52"/>
        </w:rPr>
        <w:drawing>
          <wp:anchor distT="0" distB="0" distL="0" distR="0" simplePos="0" relativeHeight="251658240" behindDoc="0" locked="0" layoutInCell="1" allowOverlap="1">
            <wp:simplePos x="0" y="0"/>
            <wp:positionH relativeFrom="column">
              <wp:posOffset>2141855</wp:posOffset>
            </wp:positionH>
            <wp:positionV relativeFrom="paragraph">
              <wp:posOffset>162560</wp:posOffset>
            </wp:positionV>
            <wp:extent cx="1704975" cy="1895475"/>
            <wp:effectExtent l="0" t="0" r="9525" b="9525"/>
            <wp:wrapNone/>
            <wp:docPr id="10" name="图片 10"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20111018914246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704975" cy="1895475"/>
                    </a:xfrm>
                    <a:prstGeom prst="rect">
                      <a:avLst/>
                    </a:prstGeom>
                    <a:noFill/>
                    <a:ln>
                      <a:noFill/>
                    </a:ln>
                  </pic:spPr>
                </pic:pic>
              </a:graphicData>
            </a:graphic>
          </wp:anchor>
        </w:drawing>
      </w:r>
    </w:p>
    <w:p>
      <w:pPr>
        <w:spacing w:line="360" w:lineRule="auto"/>
        <w:ind w:firstLine="1044" w:firstLineChars="200"/>
        <w:jc w:val="center"/>
        <w:rPr>
          <w:rFonts w:ascii="宋体" w:hAnsi="宋体"/>
          <w:b/>
          <w:color w:val="auto"/>
          <w:sz w:val="52"/>
        </w:rPr>
      </w:pPr>
    </w:p>
    <w:p>
      <w:pPr>
        <w:spacing w:line="360" w:lineRule="auto"/>
        <w:ind w:firstLine="1044" w:firstLineChars="200"/>
        <w:jc w:val="center"/>
        <w:rPr>
          <w:rFonts w:ascii="宋体" w:hAnsi="宋体"/>
          <w:b/>
          <w:color w:val="auto"/>
          <w:sz w:val="52"/>
        </w:rPr>
      </w:pPr>
    </w:p>
    <w:p>
      <w:pPr>
        <w:spacing w:before="0"/>
        <w:ind w:left="709" w:firstLine="1124" w:firstLineChars="400"/>
        <w:rPr>
          <w:color w:val="auto"/>
          <w:sz w:val="28"/>
          <w:szCs w:val="28"/>
        </w:rPr>
      </w:pPr>
      <w:r>
        <w:rPr>
          <w:rFonts w:hint="eastAsia" w:ascii="宋体" w:hAnsi="宋体"/>
          <w:b/>
          <w:color w:val="auto"/>
          <w:sz w:val="28"/>
          <w:szCs w:val="28"/>
        </w:rPr>
        <w:t>甲    方：</w:t>
      </w:r>
      <w:r>
        <w:rPr>
          <w:rFonts w:hint="eastAsia"/>
          <w:color w:val="auto"/>
          <w:sz w:val="28"/>
          <w:szCs w:val="28"/>
        </w:rPr>
        <w:t>南宁轨道交通集团有限责任公司</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乙    方：</w:t>
      </w:r>
    </w:p>
    <w:p>
      <w:pPr>
        <w:spacing w:before="0"/>
        <w:ind w:left="709" w:firstLine="1124" w:firstLineChars="400"/>
        <w:rPr>
          <w:rFonts w:ascii="宋体" w:hAnsi="宋体"/>
          <w:b/>
          <w:color w:val="auto"/>
          <w:sz w:val="28"/>
          <w:szCs w:val="28"/>
        </w:rPr>
      </w:pPr>
      <w:r>
        <w:rPr>
          <w:rFonts w:hint="eastAsia" w:ascii="宋体" w:hAnsi="宋体"/>
          <w:b/>
          <w:color w:val="auto"/>
          <w:sz w:val="28"/>
          <w:szCs w:val="28"/>
        </w:rPr>
        <w:t>签约日期：</w:t>
      </w:r>
      <w:r>
        <w:rPr>
          <w:rFonts w:hint="eastAsia" w:ascii="宋体" w:hAnsi="宋体"/>
          <w:b/>
          <w:color w:val="auto"/>
          <w:sz w:val="28"/>
          <w:szCs w:val="28"/>
          <w:u w:val="single"/>
        </w:rPr>
        <w:t xml:space="preserve">  </w:t>
      </w:r>
      <w:r>
        <w:rPr>
          <w:rFonts w:hint="eastAsia" w:ascii="宋体" w:hAnsi="宋体"/>
          <w:bCs/>
          <w:color w:val="auto"/>
          <w:sz w:val="28"/>
          <w:szCs w:val="28"/>
          <w:u w:val="single"/>
        </w:rPr>
        <w:t>202</w:t>
      </w:r>
      <w:r>
        <w:rPr>
          <w:rFonts w:hint="eastAsia" w:ascii="宋体" w:hAnsi="宋体"/>
          <w:bCs/>
          <w:color w:val="auto"/>
          <w:sz w:val="28"/>
          <w:szCs w:val="28"/>
          <w:u w:val="single"/>
          <w:lang w:val="en-US" w:eastAsia="zh-CN"/>
        </w:rPr>
        <w:t>2</w:t>
      </w:r>
      <w:bookmarkStart w:id="291" w:name="_GoBack"/>
      <w:bookmarkEnd w:id="291"/>
      <w:r>
        <w:rPr>
          <w:rFonts w:hint="eastAsia" w:ascii="宋体" w:hAnsi="宋体"/>
          <w:b/>
          <w:color w:val="auto"/>
          <w:sz w:val="28"/>
          <w:szCs w:val="28"/>
          <w:u w:val="single"/>
        </w:rPr>
        <w:t xml:space="preserve">  </w:t>
      </w:r>
      <w:r>
        <w:rPr>
          <w:rFonts w:hint="eastAsia" w:ascii="宋体" w:hAnsi="宋体"/>
          <w:color w:val="auto"/>
          <w:sz w:val="28"/>
          <w:szCs w:val="28"/>
        </w:rPr>
        <w:t>年</w:t>
      </w:r>
      <w:r>
        <w:rPr>
          <w:rFonts w:hint="eastAsia" w:ascii="宋体" w:hAnsi="宋体"/>
          <w:b/>
          <w:bCs/>
          <w:color w:val="auto"/>
          <w:sz w:val="28"/>
          <w:szCs w:val="28"/>
          <w:u w:val="single"/>
        </w:rPr>
        <w:t xml:space="preserve">　  </w:t>
      </w:r>
      <w:r>
        <w:rPr>
          <w:rFonts w:hint="eastAsia" w:ascii="宋体" w:hAnsi="宋体"/>
          <w:color w:val="auto"/>
          <w:sz w:val="28"/>
          <w:szCs w:val="28"/>
          <w:u w:val="single"/>
        </w:rPr>
        <w:t>　</w:t>
      </w:r>
      <w:r>
        <w:rPr>
          <w:rFonts w:hint="eastAsia" w:ascii="宋体" w:hAnsi="宋体"/>
          <w:color w:val="auto"/>
          <w:sz w:val="28"/>
          <w:szCs w:val="28"/>
        </w:rPr>
        <w:t>月</w:t>
      </w:r>
      <w:r>
        <w:rPr>
          <w:rFonts w:hint="eastAsia" w:ascii="宋体" w:hAnsi="宋体"/>
          <w:color w:val="auto"/>
          <w:sz w:val="28"/>
          <w:szCs w:val="28"/>
          <w:u w:val="single"/>
        </w:rPr>
        <w:t xml:space="preserve">　    </w:t>
      </w:r>
      <w:r>
        <w:rPr>
          <w:rFonts w:hint="eastAsia" w:ascii="宋体" w:hAnsi="宋体"/>
          <w:color w:val="auto"/>
          <w:sz w:val="28"/>
          <w:szCs w:val="28"/>
        </w:rPr>
        <w:t>日</w:t>
      </w:r>
    </w:p>
    <w:p>
      <w:pPr>
        <w:spacing w:before="0"/>
        <w:ind w:left="709" w:right="-86" w:rightChars="-41" w:firstLine="1124" w:firstLineChars="400"/>
        <w:rPr>
          <w:rFonts w:ascii="宋体" w:hAnsi="宋体"/>
          <w:b/>
          <w:color w:val="auto"/>
          <w:sz w:val="24"/>
        </w:rPr>
      </w:pPr>
      <w:r>
        <w:rPr>
          <w:rFonts w:hint="eastAsia" w:ascii="宋体" w:hAnsi="宋体"/>
          <w:b/>
          <w:color w:val="auto"/>
          <w:sz w:val="28"/>
          <w:szCs w:val="28"/>
        </w:rPr>
        <w:t>签约</w:t>
      </w:r>
      <w:r>
        <w:rPr>
          <w:rFonts w:hint="eastAsia" w:ascii="宋体" w:hAnsi="宋体"/>
          <w:b/>
          <w:bCs/>
          <w:color w:val="auto"/>
          <w:sz w:val="28"/>
          <w:szCs w:val="28"/>
        </w:rPr>
        <w:t>地点：</w:t>
      </w:r>
      <w:r>
        <w:rPr>
          <w:rFonts w:ascii="宋体" w:hAnsi="宋体"/>
          <w:b/>
          <w:color w:val="auto"/>
          <w:sz w:val="28"/>
          <w:szCs w:val="28"/>
        </w:rPr>
        <w:t xml:space="preserve"> </w:t>
      </w:r>
      <w:r>
        <w:rPr>
          <w:rFonts w:hint="eastAsia" w:ascii="宋体" w:hAnsi="宋体"/>
          <w:color w:val="auto"/>
          <w:sz w:val="28"/>
          <w:szCs w:val="28"/>
        </w:rPr>
        <w:t>广西壮族自治区南宁市</w:t>
      </w:r>
    </w:p>
    <w:p>
      <w:pPr>
        <w:pStyle w:val="7"/>
        <w:spacing w:before="100" w:beforeAutospacing="1" w:after="0"/>
        <w:ind w:left="709" w:firstLine="482" w:firstLineChars="200"/>
        <w:rPr>
          <w:color w:val="auto"/>
          <w:sz w:val="24"/>
        </w:rPr>
        <w:sectPr>
          <w:headerReference r:id="rId3" w:type="default"/>
          <w:headerReference r:id="rId4" w:type="even"/>
          <w:footerReference r:id="rId5" w:type="even"/>
          <w:pgSz w:w="11906" w:h="16838"/>
          <w:pgMar w:top="1134" w:right="851" w:bottom="1134" w:left="1134" w:header="454" w:footer="454" w:gutter="0"/>
          <w:cols w:space="425" w:num="1"/>
          <w:docGrid w:linePitch="312" w:charSpace="0"/>
        </w:sect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Pr>
        <w:spacing w:before="0" w:line="360" w:lineRule="auto"/>
        <w:ind w:right="0" w:firstLine="643" w:firstLineChars="200"/>
        <w:jc w:val="center"/>
        <w:outlineLvl w:val="1"/>
        <w:rPr>
          <w:rStyle w:val="13"/>
          <w:color w:val="auto"/>
          <w:szCs w:val="22"/>
        </w:rPr>
      </w:pPr>
      <w:bookmarkStart w:id="21" w:name="_Toc14463"/>
      <w:bookmarkStart w:id="22" w:name="_Toc4026"/>
      <w:bookmarkStart w:id="23" w:name="_Toc12983547"/>
      <w:bookmarkStart w:id="24" w:name="_Toc31368"/>
      <w:bookmarkStart w:id="25" w:name="_Toc7587"/>
      <w:bookmarkStart w:id="26" w:name="_Toc25828"/>
      <w:bookmarkStart w:id="27" w:name="_Toc1289"/>
      <w:bookmarkStart w:id="28" w:name="_Toc32403"/>
      <w:bookmarkStart w:id="29" w:name="_Toc3488"/>
      <w:bookmarkStart w:id="30" w:name="_Toc7236"/>
      <w:bookmarkStart w:id="31" w:name="_Toc15840"/>
      <w:bookmarkStart w:id="32" w:name="_Toc2618"/>
      <w:bookmarkStart w:id="33" w:name="_Toc6190"/>
      <w:bookmarkStart w:id="34" w:name="_Toc8999"/>
      <w:bookmarkStart w:id="35" w:name="_Toc6950"/>
      <w:bookmarkStart w:id="36" w:name="_Toc20060"/>
      <w:bookmarkStart w:id="37" w:name="_Toc25750633"/>
      <w:bookmarkStart w:id="38" w:name="_Toc29797"/>
      <w:bookmarkStart w:id="39" w:name="_Toc13761"/>
      <w:r>
        <w:rPr>
          <w:rStyle w:val="13"/>
          <w:rFonts w:hint="eastAsia"/>
          <w:color w:val="auto"/>
        </w:rPr>
        <w:t xml:space="preserve">第一部分 </w:t>
      </w:r>
      <w:r>
        <w:rPr>
          <w:rStyle w:val="13"/>
          <w:rFonts w:hint="eastAsia"/>
          <w:color w:val="auto"/>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甲方：</w:t>
      </w:r>
      <w:r>
        <w:rPr>
          <w:rFonts w:hint="eastAsia" w:ascii="宋体" w:hAnsi="宋体"/>
          <w:color w:val="auto"/>
          <w:u w:val="single"/>
        </w:rPr>
        <w:t xml:space="preserve"> 南宁轨道交通集团有限责任公司</w:t>
      </w:r>
    </w:p>
    <w:p>
      <w:pPr>
        <w:spacing w:before="0" w:afterAutospacing="0" w:line="360" w:lineRule="auto"/>
        <w:ind w:right="0" w:firstLine="420" w:firstLineChars="200"/>
        <w:jc w:val="left"/>
        <w:rPr>
          <w:rFonts w:ascii="宋体" w:hAnsi="宋体"/>
          <w:color w:val="auto"/>
          <w:u w:val="single"/>
        </w:rPr>
      </w:pPr>
      <w:r>
        <w:rPr>
          <w:rFonts w:hint="eastAsia" w:ascii="宋体" w:hAnsi="宋体"/>
          <w:color w:val="auto"/>
        </w:rPr>
        <w:t>乙方：</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p>
    <w:p>
      <w:pPr>
        <w:spacing w:before="0" w:afterAutospacing="0" w:line="360" w:lineRule="auto"/>
        <w:ind w:right="0" w:firstLine="420" w:firstLineChars="200"/>
        <w:jc w:val="left"/>
        <w:rPr>
          <w:rFonts w:ascii="宋体" w:hAnsi="宋体"/>
          <w:color w:val="auto"/>
        </w:rPr>
      </w:pPr>
      <w:r>
        <w:rPr>
          <w:rFonts w:hint="eastAsia" w:ascii="宋体" w:hAnsi="宋体"/>
          <w:color w:val="auto"/>
        </w:rPr>
        <w:t>本协议由南宁轨道交通集团有限责任公司（下称“甲方”或业主）与（下称“乙方”），双方根据</w:t>
      </w:r>
      <w:r>
        <w:rPr>
          <w:rFonts w:hint="eastAsia" w:ascii="宋体" w:hAnsi="宋体"/>
          <w:color w:val="auto"/>
          <w:u w:val="single"/>
          <w:lang w:eastAsia="zh-CN"/>
        </w:rPr>
        <w:t>2021年易事特备件采购项目</w:t>
      </w:r>
      <w:r>
        <w:rPr>
          <w:rFonts w:hint="eastAsia" w:ascii="宋体" w:hAnsi="宋体"/>
          <w:color w:val="auto"/>
        </w:rPr>
        <w:t>（项目编号：</w:t>
      </w:r>
      <w:r>
        <w:rPr>
          <w:rFonts w:hint="eastAsia" w:ascii="宋体" w:hAnsi="宋体"/>
          <w:color w:val="auto"/>
          <w:u w:val="single"/>
          <w:lang w:eastAsia="zh-CN"/>
        </w:rPr>
        <w:t>NNGD-YY-BJBJ-2021073</w:t>
      </w:r>
      <w:r>
        <w:rPr>
          <w:rFonts w:hint="eastAsia" w:ascii="宋体" w:hAnsi="宋体"/>
          <w:color w:val="auto"/>
        </w:rPr>
        <w:t>）询比价结果，依据《中华人民共和国</w:t>
      </w:r>
      <w:r>
        <w:rPr>
          <w:rFonts w:hint="eastAsia" w:ascii="宋体" w:hAnsi="宋体"/>
          <w:color w:val="auto"/>
          <w:lang w:eastAsia="zh-CN"/>
        </w:rPr>
        <w:t>民法典</w:t>
      </w:r>
      <w:r>
        <w:rPr>
          <w:rFonts w:hint="eastAsia" w:ascii="宋体" w:hAnsi="宋体"/>
          <w:color w:val="auto"/>
        </w:rPr>
        <w:t>》的规定，签订协议。具体内容如下：</w:t>
      </w:r>
    </w:p>
    <w:p>
      <w:pPr>
        <w:spacing w:before="0" w:afterAutospacing="0" w:line="360" w:lineRule="auto"/>
        <w:ind w:right="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lang w:eastAsia="zh-CN"/>
        </w:rPr>
        <w:t>2021年易事特备件采购项目</w:t>
      </w:r>
      <w:r>
        <w:rPr>
          <w:rFonts w:hint="eastAsia" w:ascii="宋体" w:hAnsi="宋体" w:cs="Arial"/>
          <w:color w:val="auto"/>
        </w:rPr>
        <w:t>项下的货物和服务。</w:t>
      </w:r>
    </w:p>
    <w:p>
      <w:pPr>
        <w:tabs>
          <w:tab w:val="left" w:pos="567"/>
        </w:tabs>
        <w:spacing w:before="0" w:afterAutospacing="0" w:line="360" w:lineRule="auto"/>
        <w:ind w:right="0"/>
        <w:jc w:val="left"/>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w:t>
      </w:r>
      <w:r>
        <w:rPr>
          <w:rFonts w:hint="eastAsia"/>
          <w:color w:val="auto"/>
          <w:sz w:val="24"/>
          <w:u w:val="single"/>
        </w:rPr>
        <w:t>(</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w:t>
      </w:r>
      <w:r>
        <w:rPr>
          <w:rFonts w:hint="eastAsia" w:ascii="宋体" w:hAnsi="宋体"/>
          <w:color w:val="auto"/>
          <w:u w:val="single"/>
        </w:rPr>
        <w:t xml:space="preserve">    (</w:t>
      </w:r>
      <w:r>
        <w:rPr>
          <w:rFonts w:ascii="宋体" w:hAnsi="宋体"/>
          <w:color w:val="auto"/>
          <w:u w:val="single"/>
        </w:rPr>
        <w:t>¥</w:t>
      </w:r>
      <w:r>
        <w:rPr>
          <w:rFonts w:hint="eastAsia" w:ascii="宋体" w:hAnsi="宋体"/>
          <w:color w:val="auto"/>
          <w:u w:val="single"/>
        </w:rPr>
        <w:t xml:space="preserve">    元)，</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Autospacing="0" w:line="360" w:lineRule="auto"/>
        <w:ind w:right="0" w:firstLine="420" w:firstLineChars="200"/>
        <w:rPr>
          <w:rFonts w:ascii="宋体" w:hAnsi="宋体"/>
          <w:color w:val="auto"/>
        </w:rPr>
      </w:pPr>
      <w:r>
        <w:rPr>
          <w:rFonts w:hint="eastAsia" w:ascii="宋体" w:hAnsi="宋体"/>
          <w:color w:val="auto"/>
        </w:rPr>
        <w:t>3.本合同由下列文件构成：</w:t>
      </w:r>
    </w:p>
    <w:p>
      <w:pPr>
        <w:spacing w:before="0" w:afterAutospacing="0" w:line="360" w:lineRule="auto"/>
        <w:ind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Autospacing="0" w:line="360" w:lineRule="auto"/>
        <w:ind w:right="0" w:firstLine="420" w:firstLineChars="200"/>
        <w:rPr>
          <w:rFonts w:ascii="宋体" w:hAnsi="宋体"/>
          <w:color w:val="auto"/>
        </w:rPr>
      </w:pPr>
      <w:r>
        <w:rPr>
          <w:rFonts w:hint="eastAsia" w:ascii="宋体" w:hAnsi="宋体"/>
          <w:color w:val="auto"/>
        </w:rPr>
        <w:t>（2）合同条款；</w:t>
      </w:r>
    </w:p>
    <w:p>
      <w:pPr>
        <w:spacing w:before="0" w:afterAutospacing="0" w:line="360" w:lineRule="auto"/>
        <w:ind w:right="0" w:firstLine="420" w:firstLineChars="200"/>
        <w:rPr>
          <w:rFonts w:ascii="宋体" w:hAnsi="宋体"/>
          <w:color w:val="auto"/>
        </w:rPr>
      </w:pPr>
      <w:r>
        <w:rPr>
          <w:rFonts w:hint="eastAsia" w:ascii="宋体" w:hAnsi="宋体"/>
          <w:color w:val="auto"/>
        </w:rPr>
        <w:t>（3）价格组成文件；</w:t>
      </w:r>
    </w:p>
    <w:p>
      <w:pPr>
        <w:spacing w:before="0" w:afterAutospacing="0" w:line="360" w:lineRule="auto"/>
        <w:ind w:right="0" w:firstLine="420" w:firstLineChars="200"/>
        <w:rPr>
          <w:rFonts w:ascii="宋体" w:hAnsi="宋体"/>
          <w:color w:val="auto"/>
        </w:rPr>
      </w:pPr>
      <w:r>
        <w:rPr>
          <w:rFonts w:hint="eastAsia" w:ascii="宋体" w:hAnsi="宋体"/>
          <w:color w:val="auto"/>
        </w:rPr>
        <w:t>（4）技术需求及数量表；</w:t>
      </w:r>
    </w:p>
    <w:p>
      <w:pPr>
        <w:spacing w:before="0" w:afterAutospacing="0" w:line="360" w:lineRule="auto"/>
        <w:ind w:right="0" w:firstLine="420" w:firstLineChars="200"/>
        <w:rPr>
          <w:rFonts w:ascii="宋体" w:hAnsi="宋体"/>
          <w:color w:val="auto"/>
        </w:rPr>
      </w:pPr>
      <w:r>
        <w:rPr>
          <w:rFonts w:hint="eastAsia" w:ascii="宋体" w:hAnsi="宋体"/>
          <w:color w:val="auto"/>
        </w:rPr>
        <w:t>（5）询比价文件（含询比价补遗文件）；</w:t>
      </w:r>
    </w:p>
    <w:p>
      <w:pPr>
        <w:spacing w:before="0" w:afterAutospacing="0" w:line="360" w:lineRule="auto"/>
        <w:ind w:right="0" w:firstLine="420" w:firstLineChars="200"/>
        <w:rPr>
          <w:rFonts w:hint="eastAsia" w:ascii="宋体" w:hAnsi="宋体"/>
          <w:color w:val="auto"/>
        </w:rPr>
      </w:pPr>
      <w:r>
        <w:rPr>
          <w:rFonts w:hint="eastAsia" w:ascii="宋体" w:hAnsi="宋体"/>
          <w:color w:val="auto"/>
        </w:rPr>
        <w:t>（6）询比价申请文件（含询比价申请文件的补充文件）；</w:t>
      </w:r>
    </w:p>
    <w:p>
      <w:pPr>
        <w:spacing w:before="0" w:afterAutospacing="0" w:line="360" w:lineRule="auto"/>
        <w:ind w:right="0" w:firstLine="420" w:firstLineChars="200"/>
        <w:rPr>
          <w:rFonts w:ascii="宋体" w:hAnsi="宋体"/>
          <w:color w:val="auto"/>
        </w:rPr>
      </w:pPr>
      <w:r>
        <w:rPr>
          <w:rFonts w:hint="eastAsia" w:ascii="宋体" w:hAnsi="宋体"/>
          <w:color w:val="auto"/>
          <w:lang w:eastAsia="zh-CN"/>
        </w:rPr>
        <w:t>（</w:t>
      </w:r>
      <w:r>
        <w:rPr>
          <w:rFonts w:hint="eastAsia" w:ascii="宋体" w:hAnsi="宋体"/>
          <w:color w:val="auto"/>
          <w:lang w:val="en-US" w:eastAsia="zh-CN"/>
        </w:rPr>
        <w:t>7</w:t>
      </w:r>
      <w:r>
        <w:rPr>
          <w:rFonts w:hint="eastAsia" w:ascii="宋体" w:hAnsi="宋体"/>
          <w:color w:val="auto"/>
          <w:lang w:eastAsia="zh-CN"/>
        </w:rPr>
        <w:t>）</w:t>
      </w:r>
      <w:r>
        <w:rPr>
          <w:rFonts w:hint="eastAsia" w:ascii="宋体" w:hAnsi="宋体"/>
          <w:color w:val="auto"/>
          <w:lang w:val="en-US" w:eastAsia="zh-CN"/>
        </w:rPr>
        <w:t>合同附件</w:t>
      </w:r>
      <w:r>
        <w:rPr>
          <w:rFonts w:hint="eastAsia" w:ascii="宋体" w:hAnsi="宋体"/>
          <w:color w:val="auto"/>
        </w:rPr>
        <w:t>。</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5.考虑到甲方将按照本合同向乙方支付，乙方在此保证全部按照合同的规定向甲方提供货物和服务，并修补缺陷。</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6.考虑到乙方提供的货物和服务并修补缺陷，甲方在此保证按照合同规定的时间和方式向乙方支付合同价款或其他按合同规定应支付的金额。</w:t>
      </w:r>
    </w:p>
    <w:p>
      <w:pPr>
        <w:spacing w:before="0" w:afterAutospacing="0" w:line="360" w:lineRule="auto"/>
        <w:ind w:right="0" w:firstLine="420" w:firstLineChars="200"/>
        <w:rPr>
          <w:rFonts w:ascii="宋体" w:hAnsi="宋体" w:cs="Arial"/>
          <w:color w:val="auto"/>
        </w:rPr>
      </w:pPr>
      <w:r>
        <w:rPr>
          <w:rFonts w:hint="eastAsia" w:ascii="宋体" w:hAnsi="宋体"/>
          <w:color w:val="auto"/>
        </w:rPr>
        <w:t>7.买卖双方承诺，遵守合同条款关于合同标的、数量质量、合同价格、进度计划等双方各自义务及关于违约责任与索赔、解决争议方式等各项约定。</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8.本合同用中文书写，正本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w:t>
      </w:r>
      <w:r>
        <w:rPr>
          <w:rFonts w:hint="eastAsia" w:ascii="宋体" w:hAnsi="宋体" w:cs="Arial"/>
          <w:color w:val="auto"/>
          <w:u w:val="single"/>
        </w:rPr>
        <w:t xml:space="preserve"> 8 </w:t>
      </w:r>
      <w:r>
        <w:rPr>
          <w:rFonts w:hint="eastAsia" w:ascii="宋体" w:hAnsi="宋体" w:cs="Arial"/>
          <w:color w:val="auto"/>
        </w:rPr>
        <w:t>份，甲方持</w:t>
      </w:r>
      <w:r>
        <w:rPr>
          <w:rFonts w:hint="eastAsia" w:ascii="宋体" w:hAnsi="宋体" w:cs="Arial"/>
          <w:color w:val="auto"/>
          <w:u w:val="single"/>
        </w:rPr>
        <w:t xml:space="preserve"> 7 </w:t>
      </w:r>
      <w:r>
        <w:rPr>
          <w:rFonts w:hint="eastAsia" w:ascii="宋体" w:hAnsi="宋体" w:cs="Arial"/>
          <w:color w:val="auto"/>
        </w:rPr>
        <w:t>份，乙方持</w:t>
      </w:r>
      <w:r>
        <w:rPr>
          <w:rFonts w:hint="eastAsia" w:ascii="宋体" w:hAnsi="宋体" w:cs="Arial"/>
          <w:color w:val="auto"/>
          <w:u w:val="single"/>
        </w:rPr>
        <w:t xml:space="preserve"> 1 </w:t>
      </w:r>
      <w:r>
        <w:rPr>
          <w:rFonts w:hint="eastAsia" w:ascii="宋体" w:hAnsi="宋体" w:cs="Arial"/>
          <w:color w:val="auto"/>
        </w:rPr>
        <w:t>份</w:t>
      </w:r>
    </w:p>
    <w:p>
      <w:pPr>
        <w:spacing w:before="0" w:afterAutospacing="0" w:line="360" w:lineRule="auto"/>
        <w:ind w:right="0" w:firstLine="420" w:firstLineChars="200"/>
        <w:rPr>
          <w:rFonts w:ascii="宋体" w:hAnsi="宋体" w:cs="Arial"/>
          <w:color w:val="auto"/>
        </w:rPr>
      </w:pPr>
      <w:r>
        <w:rPr>
          <w:rFonts w:hint="eastAsia" w:ascii="宋体" w:hAnsi="宋体" w:cs="Arial"/>
          <w:color w:val="auto"/>
        </w:rPr>
        <w:t>9.本合同经双方法定代表人或授权代表签字、加盖单位公章后生效。</w:t>
      </w:r>
    </w:p>
    <w:p>
      <w:pPr>
        <w:spacing w:before="0" w:line="360" w:lineRule="auto"/>
        <w:ind w:right="0" w:firstLine="420" w:firstLineChars="200"/>
        <w:rPr>
          <w:rFonts w:ascii="宋体" w:hAnsi="宋体" w:cs="Arial"/>
          <w:color w:val="auto"/>
        </w:rPr>
      </w:pPr>
    </w:p>
    <w:p>
      <w:pPr>
        <w:spacing w:before="0" w:line="360" w:lineRule="auto"/>
        <w:ind w:right="0" w:firstLine="420" w:firstLineChars="200"/>
        <w:rPr>
          <w:rFonts w:ascii="宋体" w:hAnsi="宋体" w:cs="Arial"/>
          <w:color w:val="auto"/>
        </w:rPr>
      </w:pPr>
    </w:p>
    <w:tbl>
      <w:tblPr>
        <w:tblStyle w:val="8"/>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3"/>
              <w:spacing w:before="0" w:line="360" w:lineRule="auto"/>
              <w:ind w:right="0"/>
              <w:rPr>
                <w:rFonts w:hAnsi="宋体" w:cs="Courier New"/>
                <w:color w:val="auto"/>
                <w:sz w:val="21"/>
                <w:szCs w:val="21"/>
              </w:rPr>
            </w:pPr>
            <w:r>
              <w:rPr>
                <w:rFonts w:hint="eastAsia" w:hAnsi="宋体" w:cs="Courier New"/>
                <w:color w:val="auto"/>
                <w:sz w:val="21"/>
                <w:szCs w:val="21"/>
              </w:rPr>
              <w:t>甲方：</w:t>
            </w:r>
            <w:r>
              <w:rPr>
                <w:rFonts w:hint="eastAsia" w:hAnsi="宋体" w:cs="Courier New"/>
                <w:color w:val="auto"/>
                <w:sz w:val="21"/>
                <w:szCs w:val="21"/>
                <w:u w:val="single"/>
              </w:rPr>
              <w:t>南宁轨道交通集团有限责任公司</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广西南宁市青秀区云景路69号</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r>
              <w:rPr>
                <w:rFonts w:hint="eastAsia" w:hAnsi="宋体"/>
                <w:color w:val="auto"/>
                <w:sz w:val="24"/>
                <w:u w:val="single"/>
              </w:rPr>
              <w:t>0771-2332807</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开户银行：</w:t>
            </w:r>
            <w:r>
              <w:rPr>
                <w:rFonts w:hint="eastAsia" w:hAnsi="宋体"/>
                <w:color w:val="auto"/>
                <w:sz w:val="24"/>
                <w:u w:val="single"/>
              </w:rPr>
              <w:t>建行南宁市朝阳支行营业部</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9145 0100 6821 2484 33 </w:t>
            </w:r>
          </w:p>
        </w:tc>
        <w:tc>
          <w:tcPr>
            <w:tcW w:w="4261" w:type="dxa"/>
          </w:tcPr>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乙方：</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法定代表人或授权人：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地址：</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邮政编码：</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联系人：</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联系电话：</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传真：</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u w:val="single"/>
              </w:rPr>
            </w:pPr>
            <w:r>
              <w:rPr>
                <w:rFonts w:hint="eastAsia" w:hAnsi="宋体" w:cs="Courier New"/>
                <w:color w:val="auto"/>
                <w:sz w:val="21"/>
                <w:szCs w:val="21"/>
              </w:rPr>
              <w:t>开户银行：</w:t>
            </w:r>
            <w:r>
              <w:rPr>
                <w:rFonts w:hint="eastAsia" w:hAnsi="宋体" w:cs="Courier New"/>
                <w:color w:val="auto"/>
                <w:sz w:val="21"/>
                <w:szCs w:val="21"/>
                <w:u w:val="single"/>
              </w:rPr>
              <w:t xml:space="preserve">                        </w:t>
            </w:r>
          </w:p>
          <w:p>
            <w:pPr>
              <w:pStyle w:val="3"/>
              <w:spacing w:before="0" w:line="360" w:lineRule="auto"/>
              <w:ind w:right="0"/>
              <w:rPr>
                <w:rFonts w:hAnsi="宋体" w:cs="Courier New"/>
                <w:color w:val="auto"/>
                <w:sz w:val="21"/>
                <w:szCs w:val="21"/>
              </w:rPr>
            </w:pPr>
            <w:r>
              <w:rPr>
                <w:rFonts w:hint="eastAsia" w:hAnsi="宋体" w:cs="Courier New"/>
                <w:color w:val="auto"/>
                <w:sz w:val="21"/>
                <w:szCs w:val="21"/>
              </w:rPr>
              <w:t>纳税人识别号：</w:t>
            </w:r>
            <w:r>
              <w:rPr>
                <w:rFonts w:hint="eastAsia" w:hAnsi="宋体" w:cs="Courier New"/>
                <w:color w:val="auto"/>
                <w:sz w:val="21"/>
                <w:szCs w:val="21"/>
                <w:u w:val="single"/>
              </w:rPr>
              <w:t xml:space="preserve">                    </w:t>
            </w:r>
          </w:p>
        </w:tc>
      </w:tr>
    </w:tbl>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u w:val="single"/>
        </w:rPr>
      </w:pPr>
      <w:r>
        <w:rPr>
          <w:rFonts w:hint="eastAsia" w:ascii="宋体" w:hAnsi="宋体"/>
          <w:b/>
          <w:color w:val="auto"/>
        </w:rPr>
        <w:t>签订时间：</w:t>
      </w:r>
      <w:r>
        <w:rPr>
          <w:rFonts w:hint="eastAsia" w:ascii="宋体" w:hAnsi="宋体"/>
          <w:b/>
          <w:color w:val="auto"/>
          <w:u w:val="single"/>
        </w:rPr>
        <w:t xml:space="preserve">                       </w:t>
      </w: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2" w:firstLineChars="200"/>
        <w:rPr>
          <w:rFonts w:ascii="宋体" w:hAnsi="宋体"/>
          <w:b/>
          <w:color w:val="auto"/>
        </w:rPr>
      </w:pPr>
    </w:p>
    <w:p>
      <w:pPr>
        <w:spacing w:before="0" w:line="360" w:lineRule="auto"/>
        <w:ind w:right="0" w:firstLine="420" w:firstLineChars="200"/>
        <w:jc w:val="center"/>
        <w:outlineLvl w:val="1"/>
        <w:rPr>
          <w:rFonts w:ascii="宋体" w:hAnsi="宋体"/>
          <w:b/>
          <w:color w:val="auto"/>
          <w:sz w:val="24"/>
          <w:szCs w:val="24"/>
        </w:rPr>
      </w:pPr>
      <w:r>
        <w:rPr>
          <w:rFonts w:ascii="宋体" w:hAnsi="宋体"/>
          <w:color w:val="auto"/>
        </w:rPr>
        <w:br w:type="page"/>
      </w:r>
      <w:bookmarkStart w:id="40" w:name="_Toc18460"/>
      <w:bookmarkStart w:id="41" w:name="_Toc14469"/>
      <w:bookmarkStart w:id="42" w:name="_Toc25942"/>
      <w:bookmarkStart w:id="43" w:name="_Toc258"/>
      <w:bookmarkStart w:id="44" w:name="_Toc7689"/>
      <w:bookmarkStart w:id="45" w:name="_Toc24973"/>
      <w:bookmarkStart w:id="46" w:name="_Toc997"/>
      <w:bookmarkStart w:id="47" w:name="_Toc24098"/>
      <w:bookmarkStart w:id="48" w:name="_Toc4133"/>
      <w:bookmarkStart w:id="49" w:name="_Toc10196"/>
      <w:bookmarkStart w:id="50" w:name="_Toc25750634"/>
      <w:bookmarkStart w:id="51" w:name="_Toc11253"/>
      <w:bookmarkStart w:id="52" w:name="_Toc29876"/>
      <w:bookmarkStart w:id="53" w:name="_Toc12155"/>
      <w:bookmarkStart w:id="54" w:name="_Toc9438"/>
      <w:bookmarkStart w:id="55" w:name="_Toc9188"/>
      <w:bookmarkStart w:id="56" w:name="_Toc16743"/>
      <w:bookmarkStart w:id="57" w:name="_Toc7529"/>
      <w:r>
        <w:rPr>
          <w:rStyle w:val="13"/>
          <w:rFonts w:hint="eastAsia"/>
          <w:color w:val="auto"/>
        </w:rPr>
        <w:t xml:space="preserve">第二部分 </w:t>
      </w:r>
      <w:r>
        <w:rPr>
          <w:rStyle w:val="13"/>
          <w:rFonts w:hint="eastAsia"/>
          <w:color w:val="auto"/>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tabs>
          <w:tab w:val="left" w:pos="540"/>
          <w:tab w:val="left" w:pos="640"/>
          <w:tab w:val="left" w:pos="1843"/>
        </w:tabs>
        <w:spacing w:before="0" w:afterAutospacing="0"/>
        <w:ind w:left="425" w:right="0"/>
        <w:outlineLvl w:val="1"/>
        <w:rPr>
          <w:rFonts w:ascii="宋体" w:hAnsi="宋体"/>
          <w:b/>
          <w:color w:val="auto"/>
        </w:rPr>
      </w:pPr>
      <w:bookmarkStart w:id="58" w:name="_Toc19920"/>
      <w:bookmarkStart w:id="59" w:name="_Toc370933855"/>
      <w:bookmarkStart w:id="60" w:name="_Toc4032"/>
      <w:bookmarkStart w:id="61" w:name="_Toc390098464"/>
      <w:bookmarkStart w:id="62" w:name="_Toc385427838"/>
      <w:bookmarkStart w:id="63" w:name="_Toc25750635"/>
      <w:bookmarkStart w:id="64" w:name="_Toc25643"/>
      <w:bookmarkStart w:id="65" w:name="_Toc20484"/>
      <w:bookmarkStart w:id="66" w:name="_Toc28024"/>
      <w:bookmarkStart w:id="67" w:name="_Toc22880"/>
      <w:bookmarkStart w:id="68" w:name="_Toc12256"/>
      <w:bookmarkStart w:id="69" w:name="_Toc6054"/>
      <w:bookmarkStart w:id="70" w:name="_Toc7961"/>
      <w:bookmarkStart w:id="71" w:name="_Toc29932"/>
      <w:bookmarkStart w:id="72" w:name="_Toc18727"/>
      <w:bookmarkStart w:id="73" w:name="_Toc31691"/>
      <w:bookmarkStart w:id="74" w:name="_Toc492478763"/>
      <w:bookmarkStart w:id="75" w:name="_Toc2614"/>
      <w:bookmarkStart w:id="76" w:name="_Toc378514952"/>
      <w:bookmarkStart w:id="77" w:name="_Toc43"/>
      <w:bookmarkStart w:id="78" w:name="_Toc10730"/>
      <w:bookmarkStart w:id="79" w:name="_Toc12080"/>
      <w:bookmarkStart w:id="80" w:name="_Toc14287"/>
      <w:bookmarkStart w:id="81" w:name="_Toc15707"/>
      <w:r>
        <w:rPr>
          <w:rFonts w:hint="eastAsia" w:ascii="宋体" w:hAnsi="宋体"/>
          <w:b/>
          <w:color w:val="auto"/>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定义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系指南宁轨道交通集团有限责任公司。</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“备品备件”系指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提供的用于系统维护、更换、修复的零部件、材料。</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“专用工具及仪器仪表”系指</w:t>
      </w:r>
      <w:r>
        <w:rPr>
          <w:rFonts w:hint="eastAsia" w:ascii="宋体" w:hAnsi="宋体"/>
          <w:color w:val="auto"/>
          <w:lang w:eastAsia="zh-CN"/>
        </w:rPr>
        <w:t>乙方</w:t>
      </w:r>
      <w:r>
        <w:rPr>
          <w:rFonts w:hint="eastAsia" w:ascii="宋体" w:hAnsi="宋体"/>
          <w:color w:val="auto"/>
        </w:rPr>
        <w:t>须向</w:t>
      </w:r>
      <w:r>
        <w:rPr>
          <w:rFonts w:hint="eastAsia" w:ascii="宋体" w:hAnsi="宋体"/>
          <w:color w:val="auto"/>
          <w:lang w:eastAsia="zh-CN"/>
        </w:rPr>
        <w:t>甲方</w:t>
      </w:r>
      <w:r>
        <w:rPr>
          <w:rFonts w:hint="eastAsia" w:ascii="宋体" w:hAnsi="宋体"/>
          <w:color w:val="auto"/>
        </w:rPr>
        <w:t>提供的用于系统维护、更换、修复的专用工具及仪器仪表。</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系指询比价文件规定</w:t>
      </w:r>
      <w:r>
        <w:rPr>
          <w:rFonts w:hint="eastAsia" w:ascii="宋体" w:hAnsi="宋体"/>
          <w:color w:val="auto"/>
          <w:lang w:eastAsia="zh-CN"/>
        </w:rPr>
        <w:t>乙方</w:t>
      </w:r>
      <w:r>
        <w:rPr>
          <w:rFonts w:hint="eastAsia" w:ascii="宋体" w:hAnsi="宋体"/>
          <w:color w:val="auto"/>
        </w:rPr>
        <w:t>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Pr>
          <w:rFonts w:hint="eastAsia" w:ascii="宋体" w:hAnsi="宋体"/>
          <w:color w:val="auto"/>
          <w:lang w:eastAsia="zh-CN"/>
        </w:rPr>
        <w:t>乙方</w:t>
      </w:r>
      <w:r>
        <w:rPr>
          <w:rFonts w:hint="eastAsia" w:ascii="宋体" w:hAnsi="宋体"/>
          <w:color w:val="auto"/>
        </w:rPr>
        <w:t>应承担的其它义务。 “天”、“日”系指日历天。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1"/>
        </w:numPr>
        <w:spacing w:before="0" w:afterAutospacing="0"/>
        <w:ind w:left="0" w:right="0" w:firstLine="420" w:firstLineChars="200"/>
        <w:rPr>
          <w:rFonts w:ascii="宋体" w:hAnsi="宋体"/>
          <w:color w:val="auto"/>
        </w:rPr>
      </w:pPr>
      <w:r>
        <w:rPr>
          <w:rFonts w:hint="eastAsia" w:ascii="宋体" w:hAnsi="宋体"/>
          <w:color w:val="auto"/>
        </w:rPr>
        <w:t xml:space="preserve"> “质量保证期”按本项目《技术需求及数量表》中的质保期要求。</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1"/>
        </w:numPr>
        <w:spacing w:before="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1"/>
        </w:numPr>
        <w:spacing w:before="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p>
    <w:p>
      <w:pPr>
        <w:numPr>
          <w:ilvl w:val="2"/>
          <w:numId w:val="1"/>
        </w:numPr>
        <w:spacing w:before="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1"/>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1"/>
        </w:numPr>
        <w:tabs>
          <w:tab w:val="left" w:pos="1060"/>
          <w:tab w:val="clear" w:pos="1134"/>
        </w:tabs>
        <w:spacing w:before="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540"/>
          <w:tab w:val="left" w:pos="640"/>
          <w:tab w:val="left" w:pos="1843"/>
        </w:tabs>
        <w:spacing w:before="0" w:afterAutospacing="0"/>
        <w:ind w:left="425" w:right="0"/>
        <w:outlineLvl w:val="1"/>
        <w:rPr>
          <w:rFonts w:ascii="宋体" w:hAnsi="宋体"/>
          <w:b/>
          <w:color w:val="auto"/>
        </w:rPr>
      </w:pPr>
      <w:bookmarkStart w:id="82" w:name="_Toc13835"/>
      <w:bookmarkStart w:id="83" w:name="_Toc378514953"/>
      <w:bookmarkStart w:id="84" w:name="_Toc1169"/>
      <w:bookmarkStart w:id="85" w:name="_Toc7059"/>
      <w:bookmarkStart w:id="86" w:name="_Toc18178"/>
      <w:bookmarkStart w:id="87" w:name="_Toc7813"/>
      <w:bookmarkStart w:id="88" w:name="_Toc30815"/>
      <w:bookmarkStart w:id="89" w:name="_Toc25750636"/>
      <w:bookmarkStart w:id="90" w:name="_Toc8477"/>
      <w:bookmarkStart w:id="91" w:name="_Toc3180"/>
      <w:bookmarkStart w:id="92" w:name="_Toc19899"/>
      <w:bookmarkStart w:id="93" w:name="_Toc5955"/>
      <w:bookmarkStart w:id="94" w:name="_Toc4212"/>
      <w:bookmarkStart w:id="95" w:name="_Toc23247"/>
      <w:bookmarkStart w:id="96" w:name="_Toc492478764"/>
      <w:bookmarkStart w:id="97" w:name="_Toc370933856"/>
      <w:bookmarkStart w:id="98" w:name="_Toc4301"/>
      <w:bookmarkStart w:id="99" w:name="_Toc25826"/>
      <w:bookmarkStart w:id="100" w:name="_Toc23112"/>
      <w:bookmarkStart w:id="101" w:name="_Toc390098465"/>
      <w:bookmarkStart w:id="102" w:name="_Toc23305"/>
      <w:bookmarkStart w:id="103" w:name="_Toc4255"/>
      <w:bookmarkStart w:id="104" w:name="_Toc15944"/>
      <w:bookmarkStart w:id="105" w:name="_Toc385427839"/>
      <w:r>
        <w:rPr>
          <w:rFonts w:hint="eastAsia" w:ascii="宋体" w:hAnsi="宋体"/>
          <w:b/>
          <w:color w:val="auto"/>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numPr>
          <w:ilvl w:val="1"/>
          <w:numId w:val="2"/>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540"/>
          <w:tab w:val="left" w:pos="640"/>
          <w:tab w:val="left" w:pos="1843"/>
        </w:tabs>
        <w:spacing w:before="0" w:afterAutospacing="0"/>
        <w:ind w:left="425" w:right="0"/>
        <w:outlineLvl w:val="1"/>
        <w:rPr>
          <w:rFonts w:ascii="宋体" w:hAnsi="宋体"/>
          <w:b/>
          <w:color w:val="auto"/>
        </w:rPr>
      </w:pPr>
      <w:bookmarkStart w:id="106" w:name="_Toc11803"/>
      <w:bookmarkStart w:id="107" w:name="_Toc21065"/>
      <w:bookmarkStart w:id="108" w:name="_Toc9306"/>
      <w:bookmarkStart w:id="109" w:name="_Toc21603"/>
      <w:bookmarkStart w:id="110" w:name="_Toc3674"/>
      <w:bookmarkStart w:id="111" w:name="_Toc378514954"/>
      <w:bookmarkStart w:id="112" w:name="_Toc5253"/>
      <w:bookmarkStart w:id="113" w:name="_Toc385427840"/>
      <w:bookmarkStart w:id="114" w:name="_Toc18092"/>
      <w:bookmarkStart w:id="115" w:name="_Toc370933857"/>
      <w:bookmarkStart w:id="116" w:name="_Toc3131"/>
      <w:bookmarkStart w:id="117" w:name="_Toc9864"/>
      <w:bookmarkStart w:id="118" w:name="_Toc13801"/>
      <w:bookmarkStart w:id="119" w:name="_Toc4969"/>
      <w:bookmarkStart w:id="120" w:name="_Toc12248"/>
      <w:bookmarkStart w:id="121" w:name="_Toc15308"/>
      <w:bookmarkStart w:id="122" w:name="_Toc4898"/>
      <w:bookmarkStart w:id="123" w:name="_Toc390098466"/>
      <w:bookmarkStart w:id="124" w:name="_Toc492478765"/>
      <w:bookmarkStart w:id="125" w:name="_Toc4738"/>
      <w:bookmarkStart w:id="126" w:name="_Toc3397"/>
      <w:bookmarkStart w:id="127" w:name="_Toc26983"/>
      <w:bookmarkStart w:id="128" w:name="_Toc14437"/>
      <w:bookmarkStart w:id="129" w:name="_Toc25750637"/>
      <w:r>
        <w:rPr>
          <w:rFonts w:hint="eastAsia" w:ascii="宋体" w:hAnsi="宋体"/>
          <w:b/>
          <w:color w:val="auto"/>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3"/>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540"/>
          <w:tab w:val="left" w:pos="640"/>
          <w:tab w:val="left" w:pos="1843"/>
        </w:tabs>
        <w:spacing w:before="0" w:afterAutospacing="0"/>
        <w:ind w:left="425" w:right="0"/>
        <w:outlineLvl w:val="1"/>
        <w:rPr>
          <w:rFonts w:ascii="宋体" w:hAnsi="宋体"/>
          <w:b/>
          <w:color w:val="auto"/>
        </w:rPr>
      </w:pPr>
      <w:bookmarkStart w:id="130" w:name="_Toc18548"/>
      <w:bookmarkStart w:id="131" w:name="_Toc27450"/>
      <w:bookmarkStart w:id="132" w:name="_Toc25311"/>
      <w:bookmarkStart w:id="133" w:name="_Toc390098467"/>
      <w:bookmarkStart w:id="134" w:name="_Toc10807"/>
      <w:bookmarkStart w:id="135" w:name="_Toc11626"/>
      <w:bookmarkStart w:id="136" w:name="_Toc14273"/>
      <w:bookmarkStart w:id="137" w:name="_Toc385427841"/>
      <w:bookmarkStart w:id="138" w:name="_Toc370933858"/>
      <w:bookmarkStart w:id="139" w:name="_Toc19514"/>
      <w:bookmarkStart w:id="140" w:name="_Toc21289"/>
      <w:bookmarkStart w:id="141" w:name="_Toc378514955"/>
      <w:bookmarkStart w:id="142" w:name="_Toc11524"/>
      <w:bookmarkStart w:id="143" w:name="_Toc3318"/>
      <w:bookmarkStart w:id="144" w:name="_Toc2708"/>
      <w:bookmarkStart w:id="145" w:name="_Toc23249"/>
      <w:bookmarkStart w:id="146" w:name="_Toc16646"/>
      <w:bookmarkStart w:id="147" w:name="_Toc23258"/>
      <w:bookmarkStart w:id="148" w:name="_Toc12180"/>
      <w:bookmarkStart w:id="149" w:name="_Toc492478766"/>
      <w:bookmarkStart w:id="150" w:name="_Toc21641"/>
      <w:bookmarkStart w:id="151" w:name="_Toc14713"/>
      <w:bookmarkStart w:id="152" w:name="_Toc25750638"/>
      <w:bookmarkStart w:id="153" w:name="_Toc21356"/>
      <w:r>
        <w:rPr>
          <w:rFonts w:hint="eastAsia" w:ascii="宋体" w:hAnsi="宋体"/>
          <w:b/>
          <w:color w:val="auto"/>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4"/>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540"/>
          <w:tab w:val="left" w:pos="640"/>
          <w:tab w:val="left" w:pos="1843"/>
        </w:tabs>
        <w:spacing w:before="0" w:afterAutospacing="0"/>
        <w:ind w:left="425" w:right="0"/>
        <w:outlineLvl w:val="1"/>
        <w:rPr>
          <w:rFonts w:ascii="宋体" w:hAnsi="宋体"/>
          <w:b/>
          <w:color w:val="auto"/>
        </w:rPr>
      </w:pPr>
      <w:bookmarkStart w:id="154" w:name="_Toc385427842"/>
      <w:bookmarkStart w:id="155" w:name="_Toc19358"/>
      <w:bookmarkStart w:id="156" w:name="_Toc22040"/>
      <w:bookmarkStart w:id="157" w:name="_Toc20372"/>
      <w:bookmarkStart w:id="158" w:name="_Toc18813"/>
      <w:bookmarkStart w:id="159" w:name="_Toc10995"/>
      <w:bookmarkStart w:id="160" w:name="_Toc2304"/>
      <w:bookmarkStart w:id="161" w:name="_Toc3165"/>
      <w:bookmarkStart w:id="162" w:name="_Toc370933859"/>
      <w:bookmarkStart w:id="163" w:name="_Toc378514956"/>
      <w:bookmarkStart w:id="164" w:name="_Toc14089"/>
      <w:bookmarkStart w:id="165" w:name="_Toc2352"/>
      <w:bookmarkStart w:id="166" w:name="_Toc11487"/>
      <w:bookmarkStart w:id="167" w:name="_Toc24783"/>
      <w:bookmarkStart w:id="168" w:name="_Toc27620"/>
      <w:bookmarkStart w:id="169" w:name="_Toc23539"/>
      <w:bookmarkStart w:id="170" w:name="_Toc18617"/>
      <w:bookmarkStart w:id="171" w:name="_Toc17081"/>
      <w:bookmarkStart w:id="172" w:name="_Toc13516"/>
      <w:bookmarkStart w:id="173" w:name="_Toc492478767"/>
      <w:bookmarkStart w:id="174" w:name="_Toc31912"/>
      <w:bookmarkStart w:id="175" w:name="_Toc25750639"/>
      <w:bookmarkStart w:id="176" w:name="_Toc4048"/>
      <w:bookmarkStart w:id="177" w:name="_Toc390098468"/>
      <w:r>
        <w:rPr>
          <w:rFonts w:hint="eastAsia" w:ascii="宋体" w:hAnsi="宋体"/>
          <w:b/>
          <w:color w:val="auto"/>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5"/>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甲方项目档案管理的规定（各类项目文件资料档案的移交份数，详见南宁轨道交通集团有限责任公司有关部门立卷的规定文件）。</w:t>
      </w:r>
    </w:p>
    <w:p>
      <w:pPr>
        <w:spacing w:before="0" w:afterAutospacing="0"/>
        <w:ind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Autospacing="0"/>
        <w:ind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以及造成甲方损失的，由乙方负责。</w:t>
      </w:r>
    </w:p>
    <w:p>
      <w:pPr>
        <w:tabs>
          <w:tab w:val="left" w:pos="540"/>
          <w:tab w:val="left" w:pos="640"/>
          <w:tab w:val="left" w:pos="1843"/>
        </w:tabs>
        <w:spacing w:before="0" w:afterAutospacing="0"/>
        <w:ind w:left="425" w:right="0"/>
        <w:outlineLvl w:val="1"/>
        <w:rPr>
          <w:rFonts w:ascii="宋体" w:hAnsi="宋体"/>
          <w:b/>
          <w:color w:val="auto"/>
        </w:rPr>
      </w:pPr>
      <w:bookmarkStart w:id="178" w:name="_Toc12048"/>
      <w:bookmarkStart w:id="179" w:name="_Toc370933860"/>
      <w:bookmarkStart w:id="180" w:name="_Toc17100"/>
      <w:bookmarkStart w:id="181" w:name="_Toc16793"/>
      <w:bookmarkStart w:id="182" w:name="_Toc18946"/>
      <w:bookmarkStart w:id="183" w:name="_Toc5930"/>
      <w:bookmarkStart w:id="184" w:name="_Toc25104"/>
      <w:bookmarkStart w:id="185" w:name="_Toc385427843"/>
      <w:bookmarkStart w:id="186" w:name="_Toc24189"/>
      <w:bookmarkStart w:id="187" w:name="_Toc390098469"/>
      <w:bookmarkStart w:id="188" w:name="_Toc16891"/>
      <w:bookmarkStart w:id="189" w:name="_Toc23542"/>
      <w:bookmarkStart w:id="190" w:name="_Toc2340"/>
      <w:bookmarkStart w:id="191" w:name="_Toc17908"/>
      <w:bookmarkStart w:id="192" w:name="_Toc378514957"/>
      <w:bookmarkStart w:id="193" w:name="_Toc4739"/>
      <w:bookmarkStart w:id="194" w:name="_Toc8848"/>
      <w:bookmarkStart w:id="195" w:name="_Toc23274"/>
      <w:bookmarkStart w:id="196" w:name="_Toc17102"/>
      <w:bookmarkStart w:id="197" w:name="_Toc25750640"/>
      <w:bookmarkStart w:id="198" w:name="_Toc2096"/>
      <w:bookmarkStart w:id="199" w:name="_Toc25049"/>
      <w:bookmarkStart w:id="200" w:name="_Toc15801"/>
      <w:bookmarkStart w:id="201" w:name="_Toc492478768"/>
      <w:r>
        <w:rPr>
          <w:rFonts w:hint="eastAsia" w:ascii="宋体" w:hAnsi="宋体"/>
          <w:b/>
          <w:color w:val="auto"/>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6"/>
        </w:numPr>
        <w:tabs>
          <w:tab w:val="left" w:pos="840"/>
          <w:tab w:val="clear" w:pos="1134"/>
        </w:tabs>
        <w:spacing w:before="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Autospacing="0"/>
        <w:ind w:left="425" w:right="0"/>
        <w:outlineLvl w:val="1"/>
        <w:rPr>
          <w:rFonts w:ascii="宋体" w:hAnsi="宋体"/>
          <w:b/>
          <w:color w:val="auto"/>
        </w:rPr>
      </w:pPr>
      <w:bookmarkStart w:id="202" w:name="_Toc7907"/>
      <w:bookmarkStart w:id="203" w:name="_Toc21755"/>
      <w:bookmarkStart w:id="204" w:name="_Toc17901"/>
      <w:bookmarkStart w:id="205" w:name="_Toc7187"/>
      <w:bookmarkStart w:id="206" w:name="_Toc492478769"/>
      <w:bookmarkStart w:id="207" w:name="_Toc378514958"/>
      <w:bookmarkStart w:id="208" w:name="_Toc24887"/>
      <w:bookmarkStart w:id="209" w:name="_Toc29337"/>
      <w:bookmarkStart w:id="210" w:name="_Toc29127"/>
      <w:bookmarkStart w:id="211" w:name="_Toc1869"/>
      <w:bookmarkStart w:id="212" w:name="_Toc11516"/>
      <w:bookmarkStart w:id="213" w:name="_Toc25750641"/>
      <w:bookmarkStart w:id="214" w:name="_Toc20551"/>
      <w:bookmarkStart w:id="215" w:name="_Toc17489"/>
      <w:bookmarkStart w:id="216" w:name="_Toc25888"/>
      <w:bookmarkStart w:id="217" w:name="_Toc25327"/>
      <w:bookmarkStart w:id="218" w:name="_Toc21848"/>
      <w:bookmarkStart w:id="219" w:name="_Toc385427844"/>
      <w:bookmarkStart w:id="220" w:name="_Toc2076"/>
      <w:bookmarkStart w:id="221" w:name="_Toc370933861"/>
      <w:bookmarkStart w:id="222" w:name="_Toc6777"/>
      <w:bookmarkStart w:id="223" w:name="_Toc7460"/>
      <w:bookmarkStart w:id="224" w:name="_Toc390098470"/>
      <w:bookmarkStart w:id="225" w:name="_Toc828"/>
      <w:r>
        <w:rPr>
          <w:rFonts w:hint="eastAsia" w:ascii="宋体" w:hAnsi="宋体"/>
          <w:b/>
          <w:color w:val="auto"/>
        </w:rPr>
        <w:t>7.</w:t>
      </w:r>
      <w:r>
        <w:rPr>
          <w:rFonts w:ascii="宋体" w:hAnsi="宋体"/>
          <w:b/>
          <w:color w:val="auto"/>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在合同签订前，乙方应向甲方提供履约担保，履约担保金额为合同价格的</w:t>
      </w:r>
      <w:r>
        <w:rPr>
          <w:rFonts w:ascii="宋体" w:hAnsi="宋体" w:cs="Arial"/>
          <w:color w:val="auto"/>
        </w:rPr>
        <w:t>5%</w:t>
      </w:r>
      <w:r>
        <w:rPr>
          <w:rFonts w:hint="eastAsia" w:ascii="宋体" w:hAnsi="宋体" w:cs="Arial"/>
          <w:color w:val="auto"/>
        </w:rPr>
        <w:t>，履约担保可以采用履约保证金的形式。</w:t>
      </w:r>
    </w:p>
    <w:p>
      <w:pPr>
        <w:spacing w:before="0" w:afterAutospacing="0"/>
        <w:ind w:right="0" w:firstLine="420" w:firstLineChars="200"/>
        <w:rPr>
          <w:rFonts w:ascii="宋体" w:hAnsi="宋体" w:cs="Arial"/>
          <w:color w:val="auto"/>
        </w:rPr>
      </w:pPr>
      <w:r>
        <w:rPr>
          <w:rFonts w:hint="eastAsia" w:ascii="宋体" w:hAnsi="宋体" w:cs="Arial"/>
          <w:color w:val="auto"/>
        </w:rPr>
        <w:t>以履约保证金形式提交履约担保，乙方应通过银行电汇或转账的形式，从基本账户中递交至甲方指定账户。</w:t>
      </w:r>
      <w:r>
        <w:rPr>
          <w:rFonts w:hint="eastAsia" w:ascii="宋体" w:hAnsi="宋体"/>
          <w:color w:val="auto"/>
        </w:rPr>
        <w:t>履约保函应采用合同规定格式，其开具银行应为中国境内商业银行地市级以上支行（含地市级支行），并须是以甲方为受益人，见索即付无条件付款的、不可撤销的银行保函。</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履约担保应从生效之日起至全部货物验收合格之日后四十五（</w:t>
      </w:r>
      <w:r>
        <w:rPr>
          <w:rFonts w:ascii="宋体" w:hAnsi="宋体" w:cs="Arial"/>
          <w:color w:val="auto"/>
        </w:rPr>
        <w:t>45</w:t>
      </w:r>
      <w:r>
        <w:rPr>
          <w:rFonts w:hint="eastAsia" w:ascii="宋体" w:hAnsi="宋体" w:cs="Arial"/>
          <w:color w:val="auto"/>
        </w:rPr>
        <w:t>）天一直有效。如本项目实际全部货物验收合格日期超出该履约担保写明的日期，则乙方应相应延长履约担保的日期，当出现逾期验收而未及时办理保函续费手续时，甲方有权暂停剩余费用的支付，并收取合同总价千分之三的违约金。</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履约担保币种应为人民币。</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乙方提交履约担保所产生的费用由乙方承担。</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color w:val="auto"/>
        </w:rPr>
        <w:t>5%，乙方应及时补足担保金额，每逾期一天，按照应补未补部分的千分之三向甲方支付违约金，甲方有权在货款中扣留。</w:t>
      </w:r>
    </w:p>
    <w:p>
      <w:pPr>
        <w:numPr>
          <w:ilvl w:val="0"/>
          <w:numId w:val="7"/>
        </w:numPr>
        <w:tabs>
          <w:tab w:val="left" w:pos="84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履约担保在本合同结束后，根据履约期间甲方的索赔情况，将剩余履约担保款项无息退还乙方。</w:t>
      </w:r>
    </w:p>
    <w:p>
      <w:pPr>
        <w:tabs>
          <w:tab w:val="left" w:pos="640"/>
          <w:tab w:val="left" w:pos="1843"/>
        </w:tabs>
        <w:spacing w:before="0" w:afterAutospacing="0"/>
        <w:ind w:left="425" w:right="0"/>
        <w:outlineLvl w:val="1"/>
        <w:rPr>
          <w:rFonts w:ascii="宋体" w:hAnsi="宋体"/>
          <w:b/>
          <w:color w:val="auto"/>
        </w:rPr>
      </w:pPr>
      <w:bookmarkStart w:id="226" w:name="_Toc20550"/>
      <w:bookmarkStart w:id="227" w:name="_Toc20252"/>
      <w:bookmarkStart w:id="228" w:name="_Toc7801"/>
      <w:bookmarkStart w:id="229" w:name="_Toc21872"/>
      <w:bookmarkStart w:id="230" w:name="_Toc30234"/>
      <w:bookmarkStart w:id="231" w:name="_Toc97"/>
      <w:bookmarkStart w:id="232" w:name="_Toc25750642"/>
      <w:bookmarkStart w:id="233" w:name="_Toc1990"/>
      <w:bookmarkStart w:id="234" w:name="_Toc12113"/>
      <w:bookmarkStart w:id="235" w:name="_Toc26034"/>
      <w:bookmarkStart w:id="236" w:name="_Toc29729"/>
      <w:bookmarkStart w:id="237" w:name="_Toc32711"/>
      <w:bookmarkStart w:id="238" w:name="_Toc5676"/>
      <w:bookmarkStart w:id="239" w:name="_Toc15512"/>
      <w:bookmarkStart w:id="240" w:name="_Toc32382"/>
      <w:bookmarkStart w:id="241" w:name="_Toc25873"/>
      <w:bookmarkStart w:id="242" w:name="_Toc31795"/>
      <w:bookmarkStart w:id="243" w:name="_Toc20899"/>
      <w:bookmarkStart w:id="244" w:name="_Toc2613"/>
      <w:r>
        <w:rPr>
          <w:rFonts w:hint="eastAsia" w:ascii="宋体" w:hAnsi="宋体"/>
          <w:b/>
          <w:color w:val="auto"/>
        </w:rPr>
        <w:t>8.</w:t>
      </w:r>
      <w:r>
        <w:rPr>
          <w:rFonts w:ascii="宋体" w:hAnsi="宋体"/>
          <w:b/>
          <w:color w:val="auto"/>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技术需求及数量表规定要求计量检定检验的物资，交货时每件货物均须提供检验报告、并粘贴检定</w:t>
      </w:r>
      <w:r>
        <w:rPr>
          <w:rFonts w:ascii="宋体" w:hAnsi="宋体"/>
          <w:color w:val="auto"/>
        </w:rPr>
        <w:t>/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技术需求及数量表规定要求绝缘耐压检验的物资，交货时每件货物均须提供具有国家认定检验资质的第三方检验机构出具的绝缘耐压检验报告原件，检验委托方为“南宁轨道交通集团有限责任公司”，检验产生的所有费用包含在项目报价中。（如有）</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Autospacing="0"/>
        <w:ind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甲方负责的部分</w:t>
      </w:r>
    </w:p>
    <w:p>
      <w:pPr>
        <w:spacing w:before="0" w:afterAutospacing="0"/>
        <w:ind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为检验提供货物</w:t>
      </w:r>
    </w:p>
    <w:p>
      <w:pPr>
        <w:spacing w:before="0" w:afterAutospacing="0"/>
        <w:ind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检验和验收过程中涉及的赔偿条款在合同条款第32条中规定。</w:t>
      </w:r>
    </w:p>
    <w:p>
      <w:pPr>
        <w:numPr>
          <w:ilvl w:val="1"/>
          <w:numId w:val="8"/>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在任何情况下，任何检验和验收的结果均不免除乙方的合同责任。</w:t>
      </w:r>
    </w:p>
    <w:p>
      <w:pPr>
        <w:tabs>
          <w:tab w:val="left" w:pos="640"/>
          <w:tab w:val="left" w:pos="1843"/>
        </w:tabs>
        <w:spacing w:before="0" w:afterAutospacing="0"/>
        <w:ind w:left="425" w:right="0"/>
        <w:outlineLvl w:val="1"/>
        <w:rPr>
          <w:rFonts w:ascii="宋体" w:hAnsi="宋体"/>
          <w:b/>
          <w:color w:val="auto"/>
        </w:rPr>
      </w:pPr>
      <w:bookmarkStart w:id="245" w:name="_Toc17673"/>
      <w:bookmarkStart w:id="246" w:name="_Toc4089"/>
      <w:bookmarkStart w:id="247" w:name="_Toc6736"/>
      <w:bookmarkStart w:id="248" w:name="_Toc15199"/>
      <w:bookmarkStart w:id="249" w:name="_Toc24667"/>
      <w:bookmarkStart w:id="250" w:name="_Toc22940"/>
      <w:bookmarkStart w:id="251" w:name="_Toc25750643"/>
      <w:bookmarkStart w:id="252" w:name="_Toc378514960"/>
      <w:bookmarkStart w:id="253" w:name="_Toc15424"/>
      <w:bookmarkStart w:id="254" w:name="_Toc489"/>
      <w:bookmarkStart w:id="255" w:name="_Toc4466"/>
      <w:bookmarkStart w:id="256" w:name="_Toc370933863"/>
      <w:bookmarkStart w:id="257" w:name="_Toc16105"/>
      <w:bookmarkStart w:id="258" w:name="_Toc13241"/>
      <w:bookmarkStart w:id="259" w:name="_Toc1637"/>
      <w:bookmarkStart w:id="260" w:name="_Toc23750"/>
      <w:bookmarkStart w:id="261" w:name="_Toc492478771"/>
      <w:bookmarkStart w:id="262" w:name="_Toc385427846"/>
      <w:bookmarkStart w:id="263" w:name="_Toc19218"/>
      <w:bookmarkStart w:id="264" w:name="_Toc17625"/>
      <w:bookmarkStart w:id="265" w:name="_Toc390098472"/>
      <w:bookmarkStart w:id="266" w:name="_Toc28074"/>
      <w:bookmarkStart w:id="267" w:name="_Toc8743"/>
      <w:bookmarkStart w:id="268" w:name="_Toc8820"/>
      <w:r>
        <w:rPr>
          <w:rFonts w:hint="eastAsia" w:ascii="宋体" w:hAnsi="宋体"/>
          <w:b/>
          <w:color w:val="auto"/>
        </w:rPr>
        <w:t>9.</w:t>
      </w:r>
      <w:r>
        <w:rPr>
          <w:rFonts w:ascii="宋体" w:hAnsi="宋体"/>
          <w:b/>
          <w:color w:val="auto"/>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9"/>
        </w:numPr>
        <w:tabs>
          <w:tab w:val="left" w:pos="840"/>
          <w:tab w:val="left" w:leader="dot" w:pos="14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Autospacing="0"/>
        <w:ind w:right="0" w:firstLine="422" w:firstLineChars="200"/>
        <w:outlineLvl w:val="1"/>
        <w:rPr>
          <w:rFonts w:ascii="宋体" w:hAnsi="宋体"/>
          <w:b/>
          <w:color w:val="auto"/>
        </w:rPr>
      </w:pPr>
      <w:r>
        <w:rPr>
          <w:rFonts w:ascii="宋体" w:hAnsi="宋体"/>
          <w:b/>
          <w:color w:val="auto"/>
        </w:rPr>
        <w:t>10.交货和单据</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交货期：</w:t>
      </w:r>
      <w:r>
        <w:rPr>
          <w:rFonts w:hint="eastAsia" w:ascii="宋体" w:hAnsi="宋体"/>
          <w:color w:val="auto"/>
          <w:lang w:val="en-US" w:eastAsia="zh-CN"/>
        </w:rPr>
        <w:t>90</w:t>
      </w:r>
      <w:r>
        <w:rPr>
          <w:rFonts w:ascii="宋体" w:hAnsi="宋体"/>
          <w:color w:val="auto"/>
        </w:rPr>
        <w:t>天（合同签订后按交货通知书交货，具体按交货通知为准），如遇进口物资，进口物资交货期可适当延长，延长情况以中选人提供的报关单或其他相关证明材料为准，但不得超过6</w:t>
      </w:r>
      <w:r>
        <w:rPr>
          <w:rFonts w:hint="eastAsia" w:ascii="宋体" w:hAnsi="宋体"/>
          <w:color w:val="auto"/>
        </w:rPr>
        <w:t>个月。</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乙方应负责将货物交到合同规定的交货地点并负责货物交到交货地点的一切费用，包括运输、装卸、保险、仓储等费用。乙方应提供的装运细节和/</w:t>
      </w:r>
      <w:r>
        <w:rPr>
          <w:rFonts w:hint="eastAsia" w:ascii="宋体" w:hAnsi="宋体"/>
          <w:color w:val="auto"/>
        </w:rPr>
        <w:t>或其他单据执行合同条款的具体规定。</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numPr>
          <w:ilvl w:val="1"/>
          <w:numId w:val="10"/>
        </w:numPr>
        <w:tabs>
          <w:tab w:val="left" w:pos="840"/>
          <w:tab w:val="clear" w:pos="1134"/>
        </w:tabs>
        <w:spacing w:before="0" w:afterAutospacing="0" w:line="360" w:lineRule="auto"/>
        <w:ind w:left="0" w:right="0" w:firstLine="420" w:firstLineChars="200"/>
        <w:rPr>
          <w:rFonts w:ascii="宋体" w:hAnsi="宋体"/>
          <w:color w:val="auto"/>
        </w:rPr>
      </w:pPr>
      <w:r>
        <w:rPr>
          <w:rFonts w:ascii="宋体" w:hAnsi="宋体"/>
          <w:color w:val="auto"/>
        </w:rPr>
        <w:t xml:space="preserve"> 乙方应提交的单据执行合同条款的具体规定。</w:t>
      </w:r>
    </w:p>
    <w:p>
      <w:pPr>
        <w:tabs>
          <w:tab w:val="left" w:pos="840"/>
          <w:tab w:val="left" w:pos="1843"/>
        </w:tabs>
        <w:spacing w:before="0" w:afterAutospacing="0"/>
        <w:ind w:left="422" w:right="0"/>
        <w:outlineLvl w:val="1"/>
        <w:rPr>
          <w:rFonts w:ascii="宋体" w:hAnsi="宋体"/>
          <w:b/>
          <w:color w:val="auto"/>
        </w:rPr>
      </w:pPr>
      <w:bookmarkStart w:id="269" w:name="_Toc25750645"/>
      <w:r>
        <w:rPr>
          <w:rFonts w:ascii="宋体" w:hAnsi="宋体"/>
          <w:b/>
          <w:color w:val="auto"/>
        </w:rPr>
        <w:t>11.所有权与风险转移</w:t>
      </w:r>
      <w:bookmarkEnd w:id="269"/>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1"/>
        </w:numPr>
        <w:tabs>
          <w:tab w:val="left" w:pos="9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Autospacing="0"/>
        <w:ind w:right="0" w:firstLine="422" w:firstLineChars="200"/>
        <w:outlineLvl w:val="1"/>
        <w:rPr>
          <w:rFonts w:ascii="宋体" w:hAnsi="宋体"/>
          <w:b/>
          <w:color w:val="auto"/>
        </w:rPr>
      </w:pPr>
      <w:bookmarkStart w:id="270" w:name="_Toc25750646"/>
      <w:r>
        <w:rPr>
          <w:rFonts w:ascii="宋体" w:hAnsi="宋体"/>
          <w:b/>
          <w:color w:val="auto"/>
        </w:rPr>
        <w:t>12.运输</w:t>
      </w:r>
      <w:bookmarkEnd w:id="270"/>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ascii="宋体" w:hAnsi="宋体"/>
          <w:color w:val="auto"/>
          <w:u w:val="single"/>
        </w:rPr>
        <w:t>7天</w:t>
      </w:r>
      <w:r>
        <w:rPr>
          <w:rFonts w:hint="eastAsia" w:ascii="宋体" w:hAnsi="宋体"/>
          <w:color w:val="auto"/>
        </w:rPr>
        <w:t>通知甲方。</w:t>
      </w:r>
    </w:p>
    <w:p>
      <w:pPr>
        <w:numPr>
          <w:ilvl w:val="0"/>
          <w:numId w:val="12"/>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Autospacing="0"/>
        <w:ind w:left="422" w:right="0"/>
        <w:outlineLvl w:val="1"/>
        <w:rPr>
          <w:rFonts w:ascii="宋体" w:hAnsi="宋体"/>
          <w:b/>
          <w:color w:val="auto"/>
        </w:rPr>
      </w:pPr>
      <w:bookmarkStart w:id="271" w:name="_Toc25750647"/>
      <w:r>
        <w:rPr>
          <w:rFonts w:ascii="宋体" w:hAnsi="宋体"/>
          <w:b/>
          <w:color w:val="auto"/>
        </w:rPr>
        <w:t>13.服务</w:t>
      </w:r>
      <w:bookmarkEnd w:id="271"/>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3"/>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3"/>
        </w:numPr>
        <w:tabs>
          <w:tab w:val="clear" w:pos="720"/>
        </w:tabs>
        <w:spacing w:before="0" w:afterAutospacing="0" w:line="360" w:lineRule="auto"/>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Autospacing="0"/>
        <w:ind w:left="422" w:right="0"/>
        <w:outlineLvl w:val="1"/>
        <w:rPr>
          <w:rFonts w:ascii="宋体" w:hAnsi="宋体"/>
          <w:b/>
          <w:color w:val="auto"/>
        </w:rPr>
      </w:pPr>
      <w:bookmarkStart w:id="272" w:name="_Toc25750648"/>
      <w:r>
        <w:rPr>
          <w:rFonts w:ascii="宋体" w:hAnsi="宋体"/>
          <w:b/>
          <w:color w:val="auto"/>
        </w:rPr>
        <w:t>14.保证</w:t>
      </w:r>
      <w:bookmarkEnd w:id="272"/>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w:t>
      </w:r>
    </w:p>
    <w:p>
      <w:pPr>
        <w:numPr>
          <w:ilvl w:val="2"/>
          <w:numId w:val="14"/>
        </w:numPr>
        <w:spacing w:before="0" w:afterAutospacing="0" w:line="360" w:lineRule="auto"/>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Autospacing="0"/>
        <w:ind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正常质量保证期为：自验收合格之日起</w:t>
      </w:r>
      <w:r>
        <w:rPr>
          <w:rFonts w:ascii="宋体" w:hAnsi="宋体"/>
          <w:b/>
          <w:color w:val="auto"/>
          <w:u w:val="single"/>
        </w:rPr>
        <w:t xml:space="preserve">  24  </w:t>
      </w:r>
      <w:r>
        <w:rPr>
          <w:rFonts w:hint="eastAsia" w:ascii="宋体" w:hAnsi="宋体"/>
          <w:b/>
          <w:color w:val="auto"/>
        </w:rPr>
        <w:t>个月</w:t>
      </w:r>
      <w:r>
        <w:rPr>
          <w:rFonts w:hint="eastAsia" w:ascii="宋体" w:hAnsi="宋体"/>
          <w:color w:val="auto"/>
        </w:rPr>
        <w:t>。</w:t>
      </w:r>
    </w:p>
    <w:p>
      <w:pPr>
        <w:spacing w:before="0" w:afterAutospacing="0"/>
        <w:ind w:right="0" w:firstLine="420" w:firstLineChars="200"/>
        <w:rPr>
          <w:rFonts w:ascii="宋体" w:hAnsi="宋体"/>
          <w:color w:val="auto"/>
        </w:rPr>
      </w:pPr>
      <w:r>
        <w:rPr>
          <w:rFonts w:ascii="宋体" w:hAnsi="宋体"/>
          <w:color w:val="auto"/>
        </w:rPr>
        <w:t xml:space="preserve">14.5.1.2 </w:t>
      </w:r>
      <w:r>
        <w:rPr>
          <w:rFonts w:hint="eastAsia" w:ascii="宋体" w:hAnsi="宋体"/>
          <w:color w:val="auto"/>
        </w:rPr>
        <w:t>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Autospacing="0"/>
        <w:ind w:right="0" w:firstLine="420" w:firstLineChars="200"/>
        <w:rPr>
          <w:rFonts w:ascii="宋体" w:hAnsi="宋体"/>
          <w:color w:val="auto"/>
        </w:rPr>
      </w:pPr>
      <w:r>
        <w:rPr>
          <w:rFonts w:ascii="宋体" w:hAnsi="宋体"/>
          <w:color w:val="auto"/>
        </w:rPr>
        <w:t xml:space="preserve">14.5.1.3 </w:t>
      </w:r>
      <w:r>
        <w:rPr>
          <w:rFonts w:hint="eastAsia" w:ascii="宋体" w:hAnsi="宋体"/>
          <w:color w:val="auto"/>
        </w:rPr>
        <w:t>若同一货物在质量保证期内返修次数达到或超过三次的，甲方有权要求乙方更换、重新设计、修改或更新，这部分货物的质量保证期自双方确认的修复完成日起重新计算个月的质量保证期。</w:t>
      </w:r>
    </w:p>
    <w:p>
      <w:pPr>
        <w:spacing w:before="0" w:afterAutospacing="0"/>
        <w:ind w:right="0" w:firstLine="422" w:firstLineChars="200"/>
        <w:rPr>
          <w:rFonts w:ascii="宋体" w:hAnsi="宋体"/>
          <w:color w:val="auto"/>
        </w:rPr>
      </w:pPr>
      <w:r>
        <w:rPr>
          <w:rFonts w:ascii="宋体" w:hAnsi="宋体"/>
          <w:b/>
          <w:bCs/>
          <w:color w:val="auto"/>
        </w:rPr>
        <w:t xml:space="preserve">14.5.1.4 </w:t>
      </w:r>
      <w:r>
        <w:rPr>
          <w:rFonts w:hint="eastAsia" w:ascii="宋体" w:hAnsi="宋体"/>
          <w:b/>
          <w:bCs/>
          <w:color w:val="auto"/>
        </w:rPr>
        <w:t>本合同项下的货物（包含所有零部件）正常质量保证期</w:t>
      </w:r>
      <w:r>
        <w:rPr>
          <w:rFonts w:ascii="宋体" w:hAnsi="宋体"/>
          <w:b/>
          <w:bCs/>
          <w:color w:val="auto"/>
          <w:u w:val="single"/>
        </w:rPr>
        <w:t xml:space="preserve">  24 </w:t>
      </w:r>
      <w:r>
        <w:rPr>
          <w:rFonts w:hint="eastAsia" w:ascii="宋体" w:hAnsi="宋体"/>
          <w:b/>
          <w:bCs/>
          <w:color w:val="auto"/>
        </w:rPr>
        <w:t>个月</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Autospacing="0"/>
        <w:ind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2/3以上；无保质期的产品，乙方所供货物须为交货时2年以内生产的货物。如涉及到特殊物品，由双方协商决定。</w:t>
      </w:r>
    </w:p>
    <w:p>
      <w:pPr>
        <w:spacing w:before="0" w:afterAutospacing="0"/>
        <w:ind w:right="0" w:firstLine="420" w:firstLineChars="200"/>
        <w:rPr>
          <w:rFonts w:ascii="宋体" w:hAnsi="宋体"/>
          <w:color w:val="auto"/>
        </w:rPr>
      </w:pPr>
      <w:r>
        <w:rPr>
          <w:rFonts w:ascii="宋体" w:hAnsi="宋体"/>
          <w:color w:val="auto"/>
        </w:rPr>
        <w:t xml:space="preserve">14.5.1.6 </w:t>
      </w:r>
      <w:r>
        <w:rPr>
          <w:rFonts w:hint="eastAsia" w:ascii="宋体" w:hAnsi="宋体"/>
          <w:color w:val="auto"/>
        </w:rPr>
        <w:t>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乙方收到通知后应在合同条款第</w:t>
      </w:r>
      <w:r>
        <w:rPr>
          <w:rFonts w:ascii="宋体" w:hAnsi="宋体"/>
          <w:color w:val="auto"/>
        </w:rPr>
        <w:t>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32条规定的时间内没有以合理的速度弥补缺陷，甲方可采取必要的补救措施，但其风险和费用将由乙方承担，甲方根据合同规定对乙方行使的其他权力不受影响。</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4"/>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15.付款</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15"/>
        </w:numPr>
        <w:tabs>
          <w:tab w:val="left" w:pos="960"/>
          <w:tab w:val="left" w:pos="8364"/>
        </w:tabs>
        <w:spacing w:before="0" w:afterAutospacing="0" w:line="360" w:lineRule="auto"/>
        <w:ind w:left="0" w:right="0" w:firstLine="420" w:firstLineChars="200"/>
        <w:rPr>
          <w:rFonts w:ascii="宋体" w:hAnsi="宋体" w:cs="Arial"/>
          <w:b/>
          <w:color w:val="auto"/>
        </w:rPr>
      </w:pPr>
      <w:r>
        <w:rPr>
          <w:rFonts w:hint="eastAsia" w:ascii="宋体" w:hAnsi="宋体" w:cs="Arial"/>
          <w:color w:val="auto"/>
        </w:rPr>
        <w:t>付款方式。</w:t>
      </w:r>
    </w:p>
    <w:p>
      <w:pPr>
        <w:tabs>
          <w:tab w:val="left" w:pos="960"/>
          <w:tab w:val="left" w:pos="8364"/>
        </w:tabs>
        <w:spacing w:before="0" w:afterAutospacing="0" w:line="360" w:lineRule="auto"/>
        <w:ind w:right="0" w:firstLine="420" w:firstLineChars="200"/>
        <w:rPr>
          <w:rFonts w:ascii="宋体" w:hAnsi="宋体" w:cs="Arial"/>
          <w:color w:val="auto"/>
        </w:rPr>
      </w:pPr>
      <w:r>
        <w:rPr>
          <w:rFonts w:hint="eastAsia" w:ascii="宋体" w:hAnsi="宋体" w:cs="Arial"/>
          <w:color w:val="auto"/>
        </w:rPr>
        <w:t>15.3.1甲方在收到由乙方提供的以下合格材料后45个工作日内按该批次验收合格货物金额的90%支付。</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①乙方开具相应金额的增值税专用发票。</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15.3.2全部货物到货并验收合格后，乙方根据甲方要求完成档案归档及合同结算经甲方审定后，甲方在收到乙方提供的以下材料后45个工作日内支付至合同最终结算审定金额的95%。</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②乙方出具的支付申请书。</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③全部货物验收合格证明。</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①乙方出具的支付申请。</w:t>
      </w:r>
    </w:p>
    <w:p>
      <w:pPr>
        <w:tabs>
          <w:tab w:val="left" w:pos="375"/>
          <w:tab w:val="left" w:pos="960"/>
          <w:tab w:val="left" w:pos="8364"/>
        </w:tabs>
        <w:spacing w:before="0" w:afterAutospacing="0" w:line="360" w:lineRule="auto"/>
        <w:ind w:left="567" w:right="0"/>
        <w:rPr>
          <w:rFonts w:ascii="宋体" w:hAnsi="宋体" w:cs="Arial"/>
          <w:color w:val="auto"/>
        </w:rPr>
      </w:pPr>
      <w:r>
        <w:rPr>
          <w:rFonts w:hint="eastAsia" w:ascii="宋体" w:hAnsi="宋体" w:cs="Arial"/>
          <w:color w:val="auto"/>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15"/>
        </w:numPr>
        <w:tabs>
          <w:tab w:val="left" w:pos="960"/>
          <w:tab w:val="left" w:pos="8364"/>
        </w:tabs>
        <w:spacing w:before="0" w:afterAutospacing="0" w:line="360" w:lineRule="auto"/>
        <w:ind w:left="0" w:right="0" w:firstLine="420" w:firstLineChars="200"/>
        <w:rPr>
          <w:rFonts w:ascii="宋体" w:hAnsi="宋体" w:cs="Arial"/>
          <w:color w:val="auto"/>
        </w:rPr>
      </w:pPr>
      <w:r>
        <w:rPr>
          <w:rFonts w:hint="eastAsia" w:ascii="宋体" w:hAnsi="宋体" w:cs="Arial"/>
          <w:color w:val="auto"/>
        </w:rPr>
        <w:t>支付的货币应以人民币支付。</w:t>
      </w:r>
    </w:p>
    <w:p>
      <w:pPr>
        <w:tabs>
          <w:tab w:val="left" w:pos="8364"/>
        </w:tabs>
        <w:spacing w:before="0" w:afterAutospacing="0"/>
        <w:ind w:right="0" w:firstLine="420" w:firstLineChars="200"/>
        <w:rPr>
          <w:rFonts w:ascii="宋体" w:hAnsi="宋体"/>
          <w:color w:val="auto"/>
        </w:rPr>
      </w:pPr>
      <w:r>
        <w:rPr>
          <w:rFonts w:hint="eastAsia" w:ascii="宋体" w:hAnsi="宋体" w:cs="Arial"/>
          <w:color w:val="auto"/>
        </w:rPr>
        <w:t>本合同项下涉及</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w:t>
      </w:r>
      <w:r>
        <w:rPr>
          <w:rFonts w:hint="eastAsia" w:ascii="宋体" w:hAnsi="宋体" w:cs="Arial"/>
          <w:color w:val="auto"/>
        </w:rPr>
        <w:t>付款的，由甲方组织签订甲方、乙方、丙方（</w:t>
      </w:r>
      <w:r>
        <w:rPr>
          <w:rFonts w:ascii="宋体" w:hAnsi="宋体" w:cs="Arial"/>
          <w:color w:val="auto"/>
          <w:u w:val="single"/>
        </w:rPr>
        <w:t xml:space="preserve">  </w:t>
      </w:r>
      <w:r>
        <w:rPr>
          <w:rFonts w:hint="eastAsia" w:ascii="宋体" w:hAnsi="宋体" w:cs="Arial"/>
          <w:color w:val="auto"/>
          <w:u w:val="single"/>
        </w:rPr>
        <w:t>南宁轨道交通二号线建设有限公司</w:t>
      </w:r>
      <w:r>
        <w:rPr>
          <w:rFonts w:hint="eastAsia" w:ascii="宋体" w:hAnsi="宋体"/>
          <w:color w:val="auto"/>
          <w:sz w:val="24"/>
          <w:szCs w:val="24"/>
          <w:u w:val="single"/>
        </w:rPr>
        <w:t>、</w:t>
      </w:r>
      <w:r>
        <w:rPr>
          <w:rFonts w:hint="eastAsia" w:ascii="宋体" w:hAnsi="宋体" w:cs="Arial"/>
          <w:color w:val="auto"/>
          <w:u w:val="single"/>
        </w:rPr>
        <w:t>南宁轨道交通三号线建设有限公司</w:t>
      </w:r>
      <w:r>
        <w:rPr>
          <w:rFonts w:ascii="宋体" w:hAnsi="宋体" w:cs="Arial"/>
          <w:color w:val="auto"/>
        </w:rPr>
        <w:t>）</w:t>
      </w:r>
      <w:r>
        <w:rPr>
          <w:rFonts w:hint="eastAsia" w:ascii="宋体" w:hAnsi="宋体" w:cs="Arial"/>
          <w:color w:val="auto"/>
        </w:rPr>
        <w:t>的三方协议，乙方按本合同规定的程序向丙方开具发票（开票信息另行提供），由丙方向乙方支付经甲方核准的合同应付价款。</w:t>
      </w:r>
    </w:p>
    <w:p>
      <w:pPr>
        <w:tabs>
          <w:tab w:val="left" w:pos="840"/>
          <w:tab w:val="left" w:pos="1134"/>
        </w:tabs>
        <w:spacing w:before="0" w:afterAutospacing="0"/>
        <w:ind w:left="426" w:right="0"/>
        <w:outlineLvl w:val="1"/>
        <w:rPr>
          <w:rFonts w:ascii="宋体" w:hAnsi="宋体"/>
          <w:color w:val="auto"/>
        </w:rPr>
      </w:pPr>
      <w:r>
        <w:rPr>
          <w:rFonts w:ascii="宋体" w:hAnsi="宋体"/>
          <w:b/>
          <w:color w:val="auto"/>
        </w:rPr>
        <w:t>16.价格</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；含税总价：人民币</w:t>
      </w:r>
      <w:r>
        <w:rPr>
          <w:rFonts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Autospacing="0"/>
        <w:ind w:left="420" w:right="0"/>
        <w:rPr>
          <w:rFonts w:ascii="宋体" w:hAnsi="宋体"/>
          <w:color w:val="auto"/>
        </w:rPr>
      </w:pPr>
      <w:r>
        <w:rPr>
          <w:rFonts w:hint="eastAsia" w:ascii="宋体" w:hAnsi="宋体"/>
          <w:color w:val="auto"/>
        </w:rPr>
        <w:t>其中</w:t>
      </w:r>
      <w:r>
        <w:rPr>
          <w:rFonts w:ascii="宋体" w:hAnsi="宋体"/>
          <w:color w:val="auto"/>
        </w:rPr>
        <w:t>1号线价格：不含税价：人民币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2号线价格：不含税价：人民币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lang w:eastAsia="zh-CN"/>
        </w:rPr>
        <w:t>。</w:t>
      </w:r>
      <w:r>
        <w:rPr>
          <w:rFonts w:hint="eastAsia" w:ascii="宋体" w:hAnsi="宋体"/>
          <w:color w:val="auto"/>
        </w:rPr>
        <w:t>；</w:t>
      </w:r>
    </w:p>
    <w:p>
      <w:pPr>
        <w:tabs>
          <w:tab w:val="left" w:pos="960"/>
          <w:tab w:val="left" w:pos="1134"/>
          <w:tab w:val="left" w:pos="8364"/>
        </w:tabs>
        <w:spacing w:before="0" w:afterAutospacing="0"/>
        <w:ind w:left="420" w:right="0"/>
        <w:rPr>
          <w:rFonts w:ascii="宋体" w:hAnsi="宋体"/>
          <w:color w:val="auto"/>
        </w:rPr>
      </w:pPr>
      <w:r>
        <w:rPr>
          <w:rFonts w:ascii="宋体" w:hAnsi="宋体"/>
          <w:color w:val="auto"/>
        </w:rPr>
        <w:t>3号线价格：不含税价：人民币</w:t>
      </w:r>
      <w:r>
        <w:rPr>
          <w:rFonts w:ascii="宋体" w:hAnsi="宋体"/>
          <w:color w:val="auto"/>
          <w:u w:val="single"/>
        </w:rPr>
        <w:t xml:space="preserve">       (¥  )</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rPr>
        <w:t>；税率：</w:t>
      </w:r>
      <w:r>
        <w:rPr>
          <w:rFonts w:ascii="宋体" w:hAnsi="宋体"/>
          <w:color w:val="auto"/>
          <w:u w:val="single"/>
        </w:rPr>
        <w:t xml:space="preserve">  %</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rPr>
        <w:t>；</w:t>
      </w:r>
      <w:r>
        <w:rPr>
          <w:rFonts w:ascii="宋体" w:hAnsi="宋体"/>
          <w:color w:val="auto"/>
        </w:rPr>
        <w:t xml:space="preserve"> </w:t>
      </w:r>
    </w:p>
    <w:p>
      <w:pPr>
        <w:tabs>
          <w:tab w:val="left" w:pos="960"/>
          <w:tab w:val="left" w:pos="1134"/>
          <w:tab w:val="left" w:pos="8364"/>
        </w:tabs>
        <w:spacing w:before="0" w:afterAutospacing="0"/>
        <w:ind w:left="420" w:right="0"/>
        <w:rPr>
          <w:rFonts w:ascii="宋体" w:hAnsi="宋体"/>
          <w:color w:val="auto"/>
        </w:rPr>
      </w:pP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现场知晓</w:t>
      </w:r>
    </w:p>
    <w:p>
      <w:pPr>
        <w:spacing w:before="0" w:afterAutospacing="0"/>
        <w:ind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16"/>
        </w:numPr>
        <w:tabs>
          <w:tab w:val="left" w:pos="960"/>
          <w:tab w:val="left" w:pos="8364"/>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价格的充分性</w:t>
      </w:r>
    </w:p>
    <w:p>
      <w:pPr>
        <w:spacing w:before="0" w:afterAutospacing="0"/>
        <w:ind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现场的综合情况；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现场总的劳务情况；</w:t>
      </w:r>
    </w:p>
    <w:p>
      <w:pPr>
        <w:numPr>
          <w:ilvl w:val="0"/>
          <w:numId w:val="17"/>
        </w:numPr>
        <w:tabs>
          <w:tab w:val="left" w:pos="8364"/>
        </w:tabs>
        <w:spacing w:before="0" w:afterAutospacing="0" w:line="360" w:lineRule="auto"/>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17.合同变更与修改</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运输或包装的方法；</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交货时间；</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交货地点；</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供货期；</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19"/>
        </w:numPr>
        <w:spacing w:before="0" w:afterAutospacing="0" w:line="360" w:lineRule="auto"/>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Autospacing="0"/>
        <w:ind w:right="0" w:firstLine="420" w:firstLineChars="200"/>
        <w:rPr>
          <w:rFonts w:ascii="宋体" w:hAnsi="宋体"/>
          <w:color w:val="auto"/>
        </w:rPr>
      </w:pPr>
      <w:r>
        <w:rPr>
          <w:rFonts w:ascii="宋体" w:hAnsi="宋体"/>
          <w:color w:val="auto"/>
        </w:rPr>
        <w:t>1）</w:t>
      </w:r>
      <w:r>
        <w:rPr>
          <w:rFonts w:hint="eastAsia"/>
          <w:color w:val="auto"/>
        </w:rPr>
        <w:t>因乙方询比价申请时填报错误导致清单项不满足甲方需求的，变更的品牌型号需满足甲方需求，技术指标同等或优于原填报品牌、型号，市场价格原则上同等或高于原填报价格；</w:t>
      </w:r>
      <w:r>
        <w:rPr>
          <w:rFonts w:ascii="宋体" w:hAnsi="宋体"/>
          <w:color w:val="auto"/>
        </w:rPr>
        <w:t xml:space="preserve"> </w:t>
      </w:r>
    </w:p>
    <w:p>
      <w:pPr>
        <w:tabs>
          <w:tab w:val="left" w:pos="540"/>
          <w:tab w:val="left" w:pos="980"/>
        </w:tabs>
        <w:spacing w:before="0" w:afterAutospacing="0"/>
        <w:ind w:left="420" w:right="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Autospacing="0"/>
        <w:ind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Autospacing="0"/>
        <w:ind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1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Autospacing="0"/>
        <w:ind w:left="420" w:right="0"/>
        <w:rPr>
          <w:rFonts w:ascii="宋体" w:hAnsi="宋体"/>
          <w:color w:val="auto"/>
        </w:rPr>
      </w:pPr>
      <w:r>
        <w:rPr>
          <w:rFonts w:ascii="宋体" w:hAnsi="宋体"/>
          <w:color w:val="auto"/>
        </w:rPr>
        <w:t>17.8.1对合同中已有项目的增加或删除，按合同已列明的货物单价计算调整合同价格；</w:t>
      </w:r>
    </w:p>
    <w:p>
      <w:pPr>
        <w:tabs>
          <w:tab w:val="left" w:pos="540"/>
          <w:tab w:val="left" w:pos="1134"/>
        </w:tabs>
        <w:spacing w:before="0" w:afterAutospacing="0"/>
        <w:ind w:left="420" w:right="0"/>
        <w:rPr>
          <w:rFonts w:ascii="宋体" w:hAnsi="宋体"/>
          <w:color w:val="auto"/>
        </w:rPr>
      </w:pPr>
      <w:r>
        <w:rPr>
          <w:rFonts w:ascii="宋体" w:hAnsi="宋体"/>
          <w:color w:val="auto"/>
        </w:rPr>
        <w:t>17.8.2对合同中已明确并有定价的选项及替代方案，按合同列明的相应的货物单价金额计算；</w:t>
      </w:r>
    </w:p>
    <w:p>
      <w:pPr>
        <w:tabs>
          <w:tab w:val="left" w:pos="540"/>
          <w:tab w:val="left" w:pos="1134"/>
        </w:tabs>
        <w:spacing w:before="0" w:afterAutospacing="0"/>
        <w:ind w:left="420" w:right="0"/>
        <w:rPr>
          <w:rFonts w:ascii="宋体" w:hAnsi="宋体"/>
          <w:color w:val="auto"/>
        </w:rPr>
      </w:pPr>
      <w:r>
        <w:rPr>
          <w:rFonts w:ascii="宋体" w:hAnsi="宋体"/>
          <w:color w:val="auto"/>
        </w:rPr>
        <w:t>17.8.3对合同中尚未明确和定价的选项及替代方案，其金额须由合同双方按以下一种或多种方法协商确定：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17.8.3.1 </w:t>
      </w:r>
      <w:r>
        <w:rPr>
          <w:rFonts w:hint="eastAsia" w:ascii="宋体" w:hAnsi="宋体"/>
          <w:color w:val="auto"/>
        </w:rPr>
        <w:t>根据合同规定的原则计出总价；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17.8.3.2 </w:t>
      </w:r>
      <w:r>
        <w:rPr>
          <w:rFonts w:hint="eastAsia" w:ascii="宋体" w:hAnsi="宋体"/>
          <w:color w:val="auto"/>
        </w:rPr>
        <w:t>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17.8.3.3 </w:t>
      </w:r>
      <w:r>
        <w:rPr>
          <w:rFonts w:hint="eastAsia" w:ascii="宋体" w:hAnsi="宋体"/>
          <w:color w:val="auto"/>
        </w:rPr>
        <w:t>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17.8.3.4 </w:t>
      </w:r>
      <w:r>
        <w:rPr>
          <w:rFonts w:hint="eastAsia" w:ascii="宋体" w:hAnsi="宋体"/>
          <w:color w:val="auto"/>
        </w:rPr>
        <w:t>根据合同规定的相应成本确定；</w:t>
      </w:r>
    </w:p>
    <w:p>
      <w:pPr>
        <w:tabs>
          <w:tab w:val="left" w:pos="820"/>
        </w:tabs>
        <w:spacing w:before="0" w:afterAutospacing="0"/>
        <w:ind w:right="0" w:firstLine="420" w:firstLineChars="200"/>
        <w:rPr>
          <w:rFonts w:ascii="宋体" w:hAnsi="宋体"/>
          <w:color w:val="auto"/>
        </w:rPr>
      </w:pPr>
      <w:r>
        <w:rPr>
          <w:rFonts w:ascii="宋体" w:hAnsi="宋体"/>
          <w:color w:val="auto"/>
        </w:rPr>
        <w:t xml:space="preserve">17.8.3.5 </w:t>
      </w:r>
      <w:r>
        <w:rPr>
          <w:rFonts w:hint="eastAsia" w:ascii="宋体" w:hAnsi="宋体"/>
          <w:color w:val="auto"/>
        </w:rPr>
        <w:t>根据当时的市场价格计算。</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17.6的预算</w:t>
      </w:r>
      <w:r>
        <w:rPr>
          <w:rFonts w:hint="eastAsia" w:ascii="宋体" w:hAnsi="宋体"/>
          <w:color w:val="auto"/>
        </w:rPr>
        <w:t>为依据提出正式书面修改后才能开始实施这种变更。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18"/>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Autospacing="0"/>
        <w:ind w:left="420" w:right="0"/>
        <w:rPr>
          <w:rFonts w:ascii="宋体" w:hAnsi="宋体"/>
          <w:color w:val="auto"/>
        </w:rPr>
      </w:pPr>
      <w:r>
        <w:rPr>
          <w:rFonts w:ascii="宋体" w:hAnsi="宋体"/>
          <w:color w:val="auto"/>
        </w:rPr>
        <w:t>17.11.1将要实施的工作的说明（如有时）以及工作的实施进度计划；</w:t>
      </w:r>
    </w:p>
    <w:p>
      <w:pPr>
        <w:tabs>
          <w:tab w:val="left" w:pos="540"/>
          <w:tab w:val="left" w:pos="1134"/>
        </w:tabs>
        <w:spacing w:before="0" w:afterAutospacing="0"/>
        <w:ind w:left="420" w:right="0"/>
        <w:rPr>
          <w:rFonts w:ascii="宋体" w:hAnsi="宋体"/>
          <w:color w:val="auto"/>
        </w:rPr>
      </w:pPr>
      <w:r>
        <w:rPr>
          <w:rFonts w:ascii="宋体" w:hAnsi="宋体"/>
          <w:color w:val="auto"/>
        </w:rPr>
        <w:t>17.11.2对进度计划或对本合同项下的乙方义务进行任何必要的修改建议；</w:t>
      </w:r>
    </w:p>
    <w:p>
      <w:pPr>
        <w:tabs>
          <w:tab w:val="left" w:pos="540"/>
          <w:tab w:val="left" w:pos="1134"/>
        </w:tabs>
        <w:spacing w:before="0" w:afterAutospacing="0"/>
        <w:ind w:left="420" w:right="0"/>
        <w:rPr>
          <w:rFonts w:ascii="宋体" w:hAnsi="宋体"/>
          <w:color w:val="auto"/>
        </w:rPr>
      </w:pPr>
      <w:r>
        <w:rPr>
          <w:rFonts w:ascii="宋体" w:hAnsi="宋体"/>
          <w:color w:val="auto"/>
        </w:rPr>
        <w:t>17.11.3乙方对合同价格调整的建议。</w:t>
      </w:r>
    </w:p>
    <w:p>
      <w:pPr>
        <w:tabs>
          <w:tab w:val="left" w:pos="1558"/>
        </w:tabs>
        <w:spacing w:before="0" w:afterAutospacing="0"/>
        <w:ind w:right="0" w:firstLine="420" w:firstLineChars="200"/>
        <w:rPr>
          <w:color w:val="auto"/>
        </w:rPr>
      </w:pPr>
      <w:r>
        <w:rPr>
          <w:rFonts w:hint="eastAsia" w:ascii="宋体" w:hAnsi="宋体"/>
          <w:color w:val="auto"/>
        </w:rPr>
        <w:t>收到乙方的上述递呈，并在与乙方适当协商后，甲方应尽快决定是否进行变更。</w:t>
      </w:r>
      <w:r>
        <w:rPr>
          <w:color w:val="auto"/>
        </w:rPr>
        <w:t xml:space="preserve"> </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18.转让和分包</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18.1 </w:t>
      </w:r>
      <w:r>
        <w:rPr>
          <w:rFonts w:hint="eastAsia" w:ascii="宋体" w:hAnsi="宋体"/>
          <w:color w:val="auto"/>
        </w:rPr>
        <w:t>除甲方事先书面同意外，乙方不得将其合同权利、责任和义务部分转让或全部转让或转移给第三方。</w:t>
      </w:r>
    </w:p>
    <w:p>
      <w:pPr>
        <w:tabs>
          <w:tab w:val="left" w:pos="1120"/>
        </w:tabs>
        <w:spacing w:before="0" w:afterAutospacing="0"/>
        <w:ind w:right="0" w:firstLine="420" w:firstLineChars="200"/>
        <w:rPr>
          <w:rFonts w:ascii="宋体" w:hAnsi="宋体"/>
          <w:color w:val="auto"/>
        </w:rPr>
      </w:pPr>
      <w:r>
        <w:rPr>
          <w:rFonts w:ascii="宋体" w:hAnsi="宋体"/>
          <w:color w:val="auto"/>
        </w:rPr>
        <w:t xml:space="preserve">18.2 </w:t>
      </w:r>
      <w:r>
        <w:rPr>
          <w:rFonts w:hint="eastAsia" w:ascii="宋体" w:hAnsi="宋体"/>
          <w:color w:val="auto"/>
        </w:rPr>
        <w:t>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19.不可抗力</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0"/>
        </w:numPr>
        <w:tabs>
          <w:tab w:val="left" w:pos="960"/>
          <w:tab w:val="clear" w:pos="1143"/>
        </w:tabs>
        <w:spacing w:before="0" w:afterAutospacing="0" w:line="360" w:lineRule="auto"/>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Autospacing="0"/>
        <w:ind w:left="422" w:right="0"/>
        <w:outlineLvl w:val="1"/>
        <w:rPr>
          <w:rFonts w:ascii="宋体" w:hAnsi="宋体"/>
          <w:b/>
          <w:color w:val="auto"/>
        </w:rPr>
      </w:pPr>
      <w:r>
        <w:rPr>
          <w:rFonts w:ascii="宋体" w:hAnsi="宋体"/>
          <w:b/>
          <w:color w:val="auto"/>
        </w:rPr>
        <w:t>20.</w:t>
      </w:r>
      <w:r>
        <w:rPr>
          <w:rFonts w:hint="eastAsia" w:ascii="宋体" w:hAnsi="宋体"/>
          <w:b/>
          <w:color w:val="auto"/>
        </w:rPr>
        <w:t>乙方履约展期</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1"/>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17条中的变更；</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第</w:t>
      </w:r>
      <w:r>
        <w:rPr>
          <w:rFonts w:ascii="宋体" w:hAnsi="宋体"/>
          <w:color w:val="auto"/>
        </w:rPr>
        <w:t>19条所述之不可抗力；</w:t>
      </w:r>
    </w:p>
    <w:p>
      <w:pPr>
        <w:numPr>
          <w:ilvl w:val="1"/>
          <w:numId w:val="22"/>
        </w:numPr>
        <w:spacing w:before="0" w:afterAutospacing="0" w:line="360" w:lineRule="auto"/>
        <w:ind w:left="0" w:right="0" w:firstLine="420" w:firstLineChars="200"/>
        <w:rPr>
          <w:rFonts w:ascii="宋体" w:hAnsi="宋体"/>
          <w:color w:val="auto"/>
        </w:rPr>
      </w:pPr>
      <w:r>
        <w:rPr>
          <w:rFonts w:hint="eastAsia" w:ascii="宋体" w:hAnsi="宋体"/>
          <w:color w:val="auto"/>
        </w:rPr>
        <w:t>甲方签发的延期执行合同的指令；</w:t>
      </w:r>
    </w:p>
    <w:p>
      <w:pPr>
        <w:pStyle w:val="6"/>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20.2</w:t>
      </w:r>
      <w:r>
        <w:rPr>
          <w:rFonts w:hint="eastAsia" w:ascii="宋体" w:hAnsi="宋体"/>
          <w:color w:val="auto"/>
        </w:rPr>
        <w:t>条的情况可能造成延期，乙方无权延期；乙方要证实延迟非乙方造成。</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21.损失补偿</w:t>
      </w:r>
    </w:p>
    <w:p>
      <w:pPr>
        <w:numPr>
          <w:ilvl w:val="1"/>
          <w:numId w:val="23"/>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除第</w:t>
      </w:r>
      <w:r>
        <w:rPr>
          <w:rFonts w:ascii="宋体" w:hAnsi="宋体"/>
          <w:color w:val="auto"/>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hint="eastAsia" w:ascii="宋体" w:hAnsi="宋体"/>
          <w:color w:val="auto"/>
        </w:rPr>
        <w:t>条拖期终止条款终止合同。</w:t>
      </w:r>
    </w:p>
    <w:p>
      <w:pPr>
        <w:tabs>
          <w:tab w:val="left" w:pos="860"/>
          <w:tab w:val="left" w:pos="1134"/>
        </w:tabs>
        <w:spacing w:before="0" w:afterAutospacing="0"/>
        <w:ind w:left="105" w:leftChars="50" w:right="0" w:firstLine="422" w:firstLineChars="200"/>
        <w:outlineLvl w:val="1"/>
        <w:rPr>
          <w:rFonts w:ascii="宋体" w:hAnsi="宋体"/>
          <w:b/>
          <w:color w:val="auto"/>
        </w:rPr>
      </w:pPr>
      <w:r>
        <w:rPr>
          <w:rFonts w:ascii="宋体" w:hAnsi="宋体"/>
          <w:b/>
          <w:color w:val="auto"/>
        </w:rPr>
        <w:t>22.</w:t>
      </w:r>
      <w:r>
        <w:rPr>
          <w:rFonts w:hint="eastAsia" w:ascii="宋体" w:hAnsi="宋体"/>
          <w:b/>
          <w:color w:val="auto"/>
        </w:rPr>
        <w:t>拖期终止</w:t>
      </w:r>
    </w:p>
    <w:p>
      <w:pPr>
        <w:numPr>
          <w:ilvl w:val="1"/>
          <w:numId w:val="24"/>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如果乙方不能在合同规定的交货期内或甲方按第</w:t>
      </w:r>
      <w:r>
        <w:rPr>
          <w:rFonts w:ascii="宋体" w:hAnsi="宋体"/>
          <w:color w:val="auto"/>
        </w:rPr>
        <w:t>20条同意的延期期限内交货；</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25"/>
        </w:numPr>
        <w:spacing w:before="0" w:afterAutospacing="0" w:line="360" w:lineRule="auto"/>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4"/>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22.1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23.破产终止</w:t>
      </w:r>
    </w:p>
    <w:p>
      <w:pPr>
        <w:numPr>
          <w:ilvl w:val="1"/>
          <w:numId w:val="26"/>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24.方便终止</w:t>
      </w:r>
    </w:p>
    <w:p>
      <w:pPr>
        <w:numPr>
          <w:ilvl w:val="1"/>
          <w:numId w:val="27"/>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Autospacing="0"/>
        <w:ind w:right="0" w:firstLine="420" w:firstLineChars="200"/>
        <w:rPr>
          <w:rFonts w:ascii="宋体" w:hAnsi="宋体"/>
          <w:color w:val="auto"/>
        </w:rPr>
      </w:pPr>
      <w:r>
        <w:rPr>
          <w:rFonts w:ascii="宋体" w:hAnsi="宋体"/>
          <w:color w:val="auto"/>
        </w:rPr>
        <w:t xml:space="preserve">24.1.1  </w:t>
      </w:r>
      <w:r>
        <w:rPr>
          <w:rFonts w:hint="eastAsia" w:ascii="宋体" w:hAnsi="宋体"/>
          <w:color w:val="auto"/>
        </w:rPr>
        <w:t>任意比例按原合同条款及价格交货；</w:t>
      </w:r>
    </w:p>
    <w:p>
      <w:pPr>
        <w:tabs>
          <w:tab w:val="left" w:pos="420"/>
          <w:tab w:val="left" w:pos="1100"/>
        </w:tabs>
        <w:spacing w:before="0" w:afterAutospacing="0"/>
        <w:ind w:right="0" w:firstLine="420" w:firstLineChars="200"/>
        <w:rPr>
          <w:rFonts w:ascii="宋体" w:hAnsi="宋体"/>
          <w:color w:val="auto"/>
        </w:rPr>
      </w:pPr>
      <w:r>
        <w:rPr>
          <w:rFonts w:ascii="宋体" w:hAnsi="宋体"/>
          <w:color w:val="auto"/>
        </w:rPr>
        <w:t xml:space="preserve">24.1.2  </w:t>
      </w:r>
      <w:r>
        <w:rPr>
          <w:rFonts w:hint="eastAsia" w:ascii="宋体" w:hAnsi="宋体"/>
          <w:color w:val="auto"/>
        </w:rPr>
        <w:t>取消合同并按合理价格利润支付已交货部分货物及材料价格。</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25.争端的解决</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诉讼费应由败诉方负担。</w:t>
      </w:r>
    </w:p>
    <w:p>
      <w:pPr>
        <w:numPr>
          <w:ilvl w:val="1"/>
          <w:numId w:val="28"/>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Autospacing="0"/>
        <w:ind w:left="422" w:right="0"/>
        <w:outlineLvl w:val="1"/>
        <w:rPr>
          <w:rFonts w:ascii="宋体" w:hAnsi="宋体"/>
          <w:b/>
          <w:color w:val="auto"/>
        </w:rPr>
      </w:pPr>
      <w:r>
        <w:rPr>
          <w:rFonts w:ascii="宋体" w:hAnsi="宋体"/>
          <w:b/>
          <w:color w:val="auto"/>
        </w:rPr>
        <w:t>26.语言</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本合同语言为中文。</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29"/>
        </w:numPr>
        <w:tabs>
          <w:tab w:val="left" w:pos="9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Autospacing="0"/>
        <w:ind w:left="422" w:right="0"/>
        <w:outlineLvl w:val="1"/>
        <w:rPr>
          <w:rFonts w:ascii="宋体" w:hAnsi="宋体"/>
          <w:color w:val="auto"/>
        </w:rPr>
      </w:pPr>
      <w:r>
        <w:rPr>
          <w:rFonts w:ascii="宋体" w:hAnsi="宋体"/>
          <w:b/>
          <w:color w:val="auto"/>
        </w:rPr>
        <w:t>27.适用法律</w:t>
      </w:r>
    </w:p>
    <w:p>
      <w:pPr>
        <w:numPr>
          <w:ilvl w:val="1"/>
          <w:numId w:val="30"/>
        </w:numPr>
        <w:spacing w:before="0" w:afterAutospacing="0" w:line="360" w:lineRule="auto"/>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28.通知</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1"/>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Autospacing="0"/>
        <w:ind w:left="422" w:right="0"/>
        <w:outlineLvl w:val="1"/>
        <w:rPr>
          <w:rFonts w:ascii="宋体" w:hAnsi="宋体"/>
          <w:color w:val="auto"/>
        </w:rPr>
      </w:pPr>
      <w:r>
        <w:rPr>
          <w:rFonts w:ascii="宋体" w:hAnsi="宋体"/>
          <w:b/>
          <w:color w:val="auto"/>
        </w:rPr>
        <w:t>29.税</w:t>
      </w:r>
      <w:r>
        <w:rPr>
          <w:rFonts w:hint="eastAsia" w:ascii="宋体" w:hAnsi="宋体"/>
          <w:b/>
          <w:color w:val="auto"/>
        </w:rPr>
        <w:t>费</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2"/>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30.合同标的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3"/>
        </w:numPr>
        <w:tabs>
          <w:tab w:val="left" w:pos="104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3"/>
        </w:numPr>
        <w:spacing w:before="0" w:afterAutospacing="0" w:line="360" w:lineRule="auto"/>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31.开箱验收及现场保管</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w:t>
      </w:r>
      <w:r>
        <w:rPr>
          <w:rFonts w:ascii="宋体" w:hAnsi="宋体"/>
          <w:color w:val="auto"/>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甲方将在到货后</w:t>
      </w:r>
      <w:r>
        <w:rPr>
          <w:rFonts w:ascii="宋体" w:hAnsi="宋体"/>
          <w:color w:val="auto"/>
        </w:rPr>
        <w:t>10个工作日内组织验收。</w:t>
      </w:r>
    </w:p>
    <w:p>
      <w:pPr>
        <w:numPr>
          <w:ilvl w:val="1"/>
          <w:numId w:val="34"/>
        </w:numPr>
        <w:tabs>
          <w:tab w:val="left" w:pos="9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乙方负责实施本合同条款第</w:t>
      </w:r>
      <w:r>
        <w:rPr>
          <w:rFonts w:ascii="宋体" w:hAnsi="宋体"/>
          <w:color w:val="auto"/>
        </w:rPr>
        <w:t>32条所述事项并负担其产生的全部费用。</w:t>
      </w:r>
    </w:p>
    <w:p>
      <w:pPr>
        <w:tabs>
          <w:tab w:val="left" w:pos="860"/>
          <w:tab w:val="left" w:pos="1843"/>
        </w:tabs>
        <w:spacing w:before="0" w:afterAutospacing="0"/>
        <w:ind w:left="105" w:leftChars="50" w:right="0" w:firstLine="422" w:firstLineChars="200"/>
        <w:outlineLvl w:val="1"/>
        <w:rPr>
          <w:rFonts w:ascii="宋体" w:hAnsi="宋体"/>
          <w:b/>
          <w:color w:val="auto"/>
        </w:rPr>
      </w:pPr>
      <w:r>
        <w:rPr>
          <w:rFonts w:ascii="宋体" w:hAnsi="宋体"/>
          <w:b/>
          <w:color w:val="auto"/>
        </w:rPr>
        <w:t>32.</w:t>
      </w:r>
      <w:r>
        <w:rPr>
          <w:rFonts w:hint="eastAsia" w:ascii="宋体" w:hAnsi="宋体"/>
          <w:b/>
          <w:color w:val="auto"/>
        </w:rPr>
        <w:t>索赔与赔偿</w:t>
      </w:r>
    </w:p>
    <w:p>
      <w:pPr>
        <w:pStyle w:val="12"/>
        <w:numPr>
          <w:ilvl w:val="0"/>
          <w:numId w:val="35"/>
        </w:numPr>
        <w:tabs>
          <w:tab w:val="left" w:pos="92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短装索赔</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一旦收到甲方索赔文件，乙方应无偿地补足短装货物，替换错装或损坏的货物，除非双方另有协议，该补足或替换应在十(10)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32条之32.4</w:t>
      </w:r>
      <w:r>
        <w:rPr>
          <w:rFonts w:hint="eastAsia" w:ascii="宋体" w:hAnsi="宋体"/>
          <w:color w:val="auto"/>
        </w:rPr>
        <w:t>执行。</w:t>
      </w:r>
    </w:p>
    <w:p>
      <w:pPr>
        <w:pStyle w:val="12"/>
        <w:numPr>
          <w:ilvl w:val="0"/>
          <w:numId w:val="36"/>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若索赔属于保险赔偿范围，则乙方应自行处理保险索赔，且不应影响本合同条款第33条之32.1.2</w:t>
      </w:r>
      <w:r>
        <w:rPr>
          <w:rFonts w:hint="eastAsia" w:ascii="宋体" w:hAnsi="宋体"/>
          <w:color w:val="auto"/>
        </w:rPr>
        <w:t>的执行</w:t>
      </w:r>
      <w:r>
        <w:rPr>
          <w:rFonts w:ascii="宋体" w:hAnsi="宋体"/>
          <w:color w:val="auto"/>
        </w:rPr>
        <w:t>.</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质量索赔</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条所述之检验过程中，发现系统及货物材料的质量不能达到技术需求及数量表中的技术要求，则甲方应事先以书面文件的方式向乙方提出索赔，并附上下列文件之一作为向乙方进行索赔：</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国家确定的认证机构出具的检验证书。</w:t>
      </w:r>
    </w:p>
    <w:p>
      <w:pPr>
        <w:pStyle w:val="12"/>
        <w:numPr>
          <w:ilvl w:val="0"/>
          <w:numId w:val="38"/>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乙方应在收到甲方的索赔文件后三（3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12"/>
        <w:numPr>
          <w:ilvl w:val="0"/>
          <w:numId w:val="37"/>
        </w:numPr>
        <w:tabs>
          <w:tab w:val="left" w:pos="1134"/>
          <w:tab w:val="left" w:pos="1440"/>
        </w:tabs>
        <w:spacing w:before="0" w:afterAutospacing="0" w:line="360" w:lineRule="auto"/>
        <w:ind w:left="0" w:right="0" w:firstLine="420" w:firstLineChars="200"/>
        <w:rPr>
          <w:rFonts w:ascii="宋体" w:hAnsi="宋体"/>
          <w:color w:val="auto"/>
        </w:rPr>
      </w:pPr>
      <w:r>
        <w:rPr>
          <w:rFonts w:ascii="宋体" w:hAnsi="宋体"/>
          <w:color w:val="auto"/>
        </w:rPr>
        <w:t xml:space="preserve"> 按本合同条款第32条之32.2.1</w:t>
      </w:r>
      <w:r>
        <w:rPr>
          <w:rFonts w:hint="eastAsia" w:ascii="宋体" w:hAnsi="宋体"/>
          <w:color w:val="auto"/>
        </w:rPr>
        <w:t>规定对货物提出的质量索赔，若乙方根据本合同条款第</w:t>
      </w:r>
      <w:r>
        <w:rPr>
          <w:rFonts w:ascii="宋体" w:hAnsi="宋体"/>
          <w:color w:val="auto"/>
        </w:rPr>
        <w:t>32条之32.2.3.1</w:t>
      </w:r>
      <w:r>
        <w:rPr>
          <w:rFonts w:hint="eastAsia" w:ascii="宋体" w:hAnsi="宋体"/>
          <w:color w:val="auto"/>
        </w:rPr>
        <w:t>和</w:t>
      </w:r>
      <w:r>
        <w:rPr>
          <w:rFonts w:ascii="宋体" w:hAnsi="宋体"/>
          <w:color w:val="auto"/>
        </w:rPr>
        <w:t>32.2.3.2</w:t>
      </w:r>
      <w:r>
        <w:rPr>
          <w:rFonts w:hint="eastAsia" w:ascii="宋体" w:hAnsi="宋体"/>
          <w:color w:val="auto"/>
        </w:rPr>
        <w:t>的方式一次未能修复货物的缺陷后，则按第</w:t>
      </w:r>
      <w:r>
        <w:rPr>
          <w:rFonts w:ascii="宋体" w:hAnsi="宋体"/>
          <w:color w:val="auto"/>
        </w:rPr>
        <w:t>32.2.3.3</w:t>
      </w:r>
      <w:r>
        <w:rPr>
          <w:rFonts w:hint="eastAsia" w:ascii="宋体" w:hAnsi="宋体"/>
          <w:color w:val="auto"/>
        </w:rPr>
        <w:t>和</w:t>
      </w:r>
      <w:r>
        <w:rPr>
          <w:rFonts w:ascii="宋体" w:hAnsi="宋体"/>
          <w:color w:val="auto"/>
        </w:rPr>
        <w:t>32.2.3.4</w:t>
      </w:r>
      <w:r>
        <w:rPr>
          <w:rFonts w:hint="eastAsia" w:ascii="宋体" w:hAnsi="宋体"/>
          <w:color w:val="auto"/>
        </w:rPr>
        <w:t>两者之一的方式处理。</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修理</w:t>
      </w:r>
    </w:p>
    <w:p>
      <w:pPr>
        <w:spacing w:before="0" w:afterAutospacing="0"/>
        <w:ind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替换</w:t>
      </w:r>
    </w:p>
    <w:p>
      <w:pPr>
        <w:spacing w:before="0" w:afterAutospacing="0"/>
        <w:ind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退货</w:t>
      </w:r>
    </w:p>
    <w:p>
      <w:pPr>
        <w:spacing w:before="0" w:afterAutospacing="0"/>
        <w:ind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Autospacing="0"/>
        <w:ind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12"/>
        <w:numPr>
          <w:ilvl w:val="0"/>
          <w:numId w:val="39"/>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32.2.3.3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延迟违约金</w:t>
      </w:r>
    </w:p>
    <w:p>
      <w:pPr>
        <w:spacing w:before="0" w:afterAutospacing="0"/>
        <w:ind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12"/>
        <w:numPr>
          <w:ilvl w:val="0"/>
          <w:numId w:val="40"/>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w:t>
      </w:r>
      <w:r>
        <w:rPr>
          <w:rFonts w:ascii="宋体" w:hAnsi="宋体"/>
          <w:color w:val="auto"/>
        </w:rPr>
        <w:t>20%的违约金，同时甲方重新采购因价格差所造成的损失由乙方承担。</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文件提交延误违约金</w:t>
      </w:r>
    </w:p>
    <w:p>
      <w:pPr>
        <w:pStyle w:val="12"/>
        <w:numPr>
          <w:ilvl w:val="0"/>
          <w:numId w:val="41"/>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33.4</w:t>
      </w:r>
      <w:r>
        <w:rPr>
          <w:rFonts w:hint="eastAsia" w:ascii="宋体" w:hAnsi="宋体"/>
          <w:color w:val="auto"/>
        </w:rPr>
        <w:t>条执行。</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质量保证期赔偿</w:t>
      </w:r>
    </w:p>
    <w:p>
      <w:pPr>
        <w:spacing w:before="0" w:afterAutospacing="0"/>
        <w:ind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14条和32条的规定进行处理。</w:t>
      </w:r>
    </w:p>
    <w:p>
      <w:pPr>
        <w:pStyle w:val="12"/>
        <w:numPr>
          <w:ilvl w:val="0"/>
          <w:numId w:val="35"/>
        </w:numPr>
        <w:tabs>
          <w:tab w:val="left" w:pos="98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违约金与赔偿金额计算</w:t>
      </w:r>
    </w:p>
    <w:p>
      <w:pPr>
        <w:spacing w:before="0" w:afterAutospacing="0"/>
        <w:ind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违约金与赔偿金的支付</w:t>
      </w:r>
    </w:p>
    <w:p>
      <w:pPr>
        <w:spacing w:before="0" w:afterAutospacing="0"/>
        <w:ind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16条规定的合同价格的百分之一百（100%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12"/>
        <w:numPr>
          <w:ilvl w:val="0"/>
          <w:numId w:val="35"/>
        </w:numPr>
        <w:tabs>
          <w:tab w:val="left" w:pos="1000"/>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32条之32.2.2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25条执行。但异议的协商不能影响合同项下的其它工作的继续进行。</w:t>
      </w:r>
    </w:p>
    <w:p>
      <w:pPr>
        <w:pStyle w:val="12"/>
        <w:numPr>
          <w:ilvl w:val="0"/>
          <w:numId w:val="35"/>
        </w:numPr>
        <w:tabs>
          <w:tab w:val="left" w:pos="1134"/>
          <w:tab w:val="left" w:pos="1440"/>
        </w:tabs>
        <w:spacing w:before="0" w:afterAutospacing="0" w:line="360" w:lineRule="auto"/>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33.合同终止与暂停</w:t>
      </w:r>
    </w:p>
    <w:p>
      <w:pPr>
        <w:numPr>
          <w:ilvl w:val="1"/>
          <w:numId w:val="42"/>
        </w:numPr>
        <w:tabs>
          <w:tab w:val="left" w:pos="9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合同终止</w:t>
      </w:r>
    </w:p>
    <w:p>
      <w:pPr>
        <w:spacing w:before="0" w:afterAutospacing="0"/>
        <w:ind w:right="0" w:firstLine="420" w:firstLineChars="200"/>
        <w:rPr>
          <w:rFonts w:ascii="宋体" w:hAnsi="宋体"/>
          <w:color w:val="auto"/>
        </w:rPr>
      </w:pPr>
      <w:r>
        <w:rPr>
          <w:rFonts w:hint="eastAsia" w:ascii="宋体" w:hAnsi="宋体"/>
          <w:color w:val="auto"/>
        </w:rPr>
        <w:t>合同终止包括以下几种情形：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3"/>
        </w:numPr>
        <w:spacing w:before="0" w:afterAutospacing="0" w:line="360" w:lineRule="auto"/>
        <w:ind w:left="0" w:right="0" w:firstLine="420" w:firstLineChars="200"/>
        <w:rPr>
          <w:rFonts w:ascii="宋体" w:hAnsi="宋体"/>
          <w:color w:val="auto"/>
        </w:rPr>
      </w:pPr>
      <w:r>
        <w:rPr>
          <w:rFonts w:hint="eastAsia" w:ascii="宋体" w:hAnsi="宋体"/>
          <w:color w:val="auto"/>
        </w:rPr>
        <w:t>因甲方的便利而终止合同。</w:t>
      </w:r>
    </w:p>
    <w:p>
      <w:pPr>
        <w:numPr>
          <w:ilvl w:val="1"/>
          <w:numId w:val="42"/>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违约通知</w:t>
      </w:r>
    </w:p>
    <w:p>
      <w:pPr>
        <w:spacing w:before="0" w:afterAutospacing="0"/>
        <w:ind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乙方违约时的终止</w:t>
      </w:r>
    </w:p>
    <w:p>
      <w:pPr>
        <w:numPr>
          <w:ilvl w:val="1"/>
          <w:numId w:val="44"/>
        </w:numPr>
        <w:spacing w:before="0" w:afterAutospacing="0" w:line="360" w:lineRule="auto"/>
        <w:ind w:left="0" w:right="0" w:firstLine="420" w:firstLineChars="200"/>
        <w:rPr>
          <w:rFonts w:ascii="宋体" w:hAnsi="宋体"/>
          <w:color w:val="auto"/>
        </w:rPr>
      </w:pPr>
      <w:r>
        <w:rPr>
          <w:rFonts w:hint="eastAsia" w:ascii="宋体" w:hAnsi="宋体"/>
          <w:color w:val="auto"/>
        </w:rPr>
        <w:t>如果乙方有以下情形之一：</w:t>
      </w:r>
    </w:p>
    <w:p>
      <w:pPr>
        <w:spacing w:before="0" w:afterAutospacing="0"/>
        <w:ind w:right="0" w:firstLine="420" w:firstLineChars="200"/>
        <w:rPr>
          <w:rFonts w:ascii="宋体" w:hAnsi="宋体"/>
          <w:color w:val="auto"/>
        </w:rPr>
      </w:pPr>
      <w:r>
        <w:rPr>
          <w:rFonts w:ascii="宋体" w:hAnsi="宋体"/>
          <w:color w:val="auto"/>
        </w:rPr>
        <w:t xml:space="preserve">33.3.1.1 </w:t>
      </w:r>
      <w:r>
        <w:rPr>
          <w:rFonts w:hint="eastAsia" w:ascii="宋体" w:hAnsi="宋体"/>
          <w:color w:val="auto"/>
        </w:rPr>
        <w:t>在收到本合同条款</w:t>
      </w:r>
      <w:r>
        <w:rPr>
          <w:rFonts w:ascii="宋体" w:hAnsi="宋体"/>
          <w:color w:val="auto"/>
        </w:rPr>
        <w:t>33条之33.2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Autospacing="0"/>
        <w:ind w:right="0" w:firstLine="420" w:firstLineChars="200"/>
        <w:rPr>
          <w:rFonts w:ascii="宋体" w:hAnsi="宋体"/>
          <w:color w:val="auto"/>
        </w:rPr>
      </w:pPr>
      <w:r>
        <w:rPr>
          <w:rFonts w:ascii="宋体" w:hAnsi="宋体"/>
          <w:color w:val="auto"/>
        </w:rPr>
        <w:t>33.3.1.2没有甲方的书面同意转让合同或将项目的全部或部分分包出去。</w:t>
      </w:r>
    </w:p>
    <w:p>
      <w:pPr>
        <w:spacing w:before="0" w:afterAutospacing="0"/>
        <w:ind w:right="0" w:firstLine="420" w:firstLineChars="200"/>
        <w:rPr>
          <w:rFonts w:ascii="宋体" w:hAnsi="宋体"/>
          <w:color w:val="auto"/>
        </w:rPr>
      </w:pPr>
      <w:r>
        <w:rPr>
          <w:rFonts w:ascii="宋体" w:hAnsi="宋体"/>
          <w:color w:val="auto"/>
        </w:rPr>
        <w:t xml:space="preserve">33.3.1.3 </w:t>
      </w:r>
      <w:r>
        <w:rPr>
          <w:rFonts w:hint="eastAsia" w:ascii="宋体" w:hAnsi="宋体"/>
          <w:color w:val="auto"/>
        </w:rPr>
        <w:t>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ascii="宋体" w:hAnsi="宋体"/>
          <w:color w:val="auto"/>
        </w:rPr>
        <w:t xml:space="preserve">33.3.1.4 </w:t>
      </w:r>
      <w:r>
        <w:rPr>
          <w:rFonts w:hint="eastAsia" w:ascii="宋体" w:hAnsi="宋体"/>
          <w:color w:val="auto"/>
        </w:rPr>
        <w:t>乙方在本合同的竞争和实施过程中有腐败行为和欺诈行为。</w:t>
      </w:r>
    </w:p>
    <w:p>
      <w:pPr>
        <w:spacing w:before="0" w:afterAutospacing="0"/>
        <w:ind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1）“腐败行为”是指提供、给予、接受或索取任何有价值的物品来影响公共官员在采购过程或合同实施过程中的行为；</w:t>
      </w:r>
    </w:p>
    <w:p>
      <w:pPr>
        <w:tabs>
          <w:tab w:val="left" w:pos="1800"/>
        </w:tabs>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2）“欺诈行为”是指为了影响采购过程或合同实施过程而谎报事实的行为。</w:t>
      </w:r>
    </w:p>
    <w:p>
      <w:pPr>
        <w:spacing w:before="0" w:afterAutospacing="0"/>
        <w:ind w:right="0" w:firstLine="420" w:firstLineChars="200"/>
        <w:rPr>
          <w:rFonts w:ascii="宋体" w:hAnsi="宋体"/>
          <w:color w:val="auto"/>
        </w:rPr>
      </w:pPr>
      <w:r>
        <w:rPr>
          <w:rFonts w:ascii="宋体" w:hAnsi="宋体"/>
          <w:color w:val="auto"/>
        </w:rPr>
        <w:t xml:space="preserve">33.3.1.5 </w:t>
      </w:r>
      <w:r>
        <w:rPr>
          <w:rFonts w:hint="eastAsia" w:ascii="宋体" w:hAnsi="宋体"/>
          <w:color w:val="auto"/>
        </w:rPr>
        <w:t>由于乙方违约而导致乙方支付违约金达到合同条款</w:t>
      </w:r>
      <w:r>
        <w:rPr>
          <w:rFonts w:ascii="宋体" w:hAnsi="宋体"/>
          <w:color w:val="auto"/>
        </w:rPr>
        <w:t>32条规定的限额。</w:t>
      </w:r>
    </w:p>
    <w:p>
      <w:pPr>
        <w:spacing w:before="0" w:afterAutospacing="0"/>
        <w:ind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Autospacing="0"/>
        <w:ind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Autospacing="0"/>
        <w:ind w:right="0" w:firstLine="420" w:firstLineChars="200"/>
        <w:rPr>
          <w:rFonts w:ascii="宋体" w:hAnsi="宋体"/>
          <w:color w:val="auto"/>
        </w:rPr>
      </w:pPr>
      <w:r>
        <w:rPr>
          <w:rFonts w:ascii="宋体" w:hAnsi="宋体"/>
          <w:color w:val="auto"/>
        </w:rPr>
        <w:t xml:space="preserve">33.3.1.6 </w:t>
      </w:r>
      <w:r>
        <w:rPr>
          <w:rFonts w:hint="eastAsia" w:ascii="宋体" w:hAnsi="宋体"/>
          <w:color w:val="auto"/>
        </w:rPr>
        <w:t>按本合同条款</w:t>
      </w:r>
      <w:r>
        <w:rPr>
          <w:rFonts w:ascii="宋体" w:hAnsi="宋体"/>
          <w:color w:val="auto"/>
        </w:rPr>
        <w:t>33条之33.3.1.1</w:t>
      </w:r>
      <w:r>
        <w:rPr>
          <w:rFonts w:hint="eastAsia" w:ascii="宋体" w:hAnsi="宋体"/>
          <w:color w:val="auto"/>
        </w:rPr>
        <w:t>、</w:t>
      </w:r>
      <w:r>
        <w:rPr>
          <w:rFonts w:ascii="宋体" w:hAnsi="宋体"/>
          <w:color w:val="auto"/>
        </w:rPr>
        <w:t>33.3.1.2</w:t>
      </w:r>
      <w:r>
        <w:rPr>
          <w:rFonts w:hint="eastAsia" w:ascii="宋体" w:hAnsi="宋体"/>
          <w:color w:val="auto"/>
        </w:rPr>
        <w:t>和</w:t>
      </w:r>
      <w:r>
        <w:rPr>
          <w:rFonts w:ascii="宋体" w:hAnsi="宋体"/>
          <w:color w:val="auto"/>
        </w:rPr>
        <w:t>33.3.1.5</w:t>
      </w:r>
      <w:r>
        <w:rPr>
          <w:rFonts w:hint="eastAsia" w:ascii="宋体" w:hAnsi="宋体"/>
          <w:color w:val="auto"/>
        </w:rPr>
        <w:t>终止合同之后，甲方应将乙方在终止合同日期前应得的所有金额向乙方支付。</w:t>
      </w:r>
    </w:p>
    <w:p>
      <w:pPr>
        <w:spacing w:before="0" w:afterAutospacing="0"/>
        <w:ind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33条之33.3.2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Autospacing="0"/>
        <w:ind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33条之33.3.1.3</w:t>
      </w:r>
      <w:r>
        <w:rPr>
          <w:rFonts w:hint="eastAsia" w:ascii="宋体" w:hAnsi="宋体"/>
          <w:color w:val="auto"/>
        </w:rPr>
        <w:t>和</w:t>
      </w:r>
      <w:r>
        <w:rPr>
          <w:rFonts w:ascii="宋体" w:hAnsi="宋体"/>
          <w:color w:val="auto"/>
        </w:rPr>
        <w:t>33.3.1.4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2"/>
        </w:numPr>
        <w:tabs>
          <w:tab w:val="left" w:pos="102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甲方违约时的终止</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Autospacing="0"/>
        <w:ind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Autospacing="0"/>
        <w:ind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45"/>
        </w:numPr>
        <w:spacing w:before="0" w:afterAutospacing="0" w:line="360" w:lineRule="auto"/>
        <w:ind w:left="0" w:right="0" w:firstLine="420" w:firstLineChars="200"/>
        <w:rPr>
          <w:rFonts w:ascii="宋体" w:hAnsi="宋体"/>
          <w:color w:val="auto"/>
        </w:rPr>
      </w:pPr>
      <w:r>
        <w:rPr>
          <w:rFonts w:ascii="宋体" w:hAnsi="宋体"/>
          <w:color w:val="auto"/>
        </w:rPr>
        <w:t xml:space="preserve"> 倘若发生本合同条款第33条之33.4.1</w:t>
      </w:r>
      <w:r>
        <w:rPr>
          <w:rFonts w:hint="eastAsia" w:ascii="宋体" w:hAnsi="宋体"/>
          <w:color w:val="auto"/>
        </w:rPr>
        <w:t>终止时，甲方应将在终止合同日期就乙方应得的所有金额向乙方支付。</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34.验收</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46"/>
        </w:numPr>
        <w:spacing w:before="0" w:afterAutospacing="0" w:line="360" w:lineRule="auto"/>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Autospacing="0"/>
        <w:ind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46"/>
        </w:numPr>
        <w:tabs>
          <w:tab w:val="left" w:pos="108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验收标准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甲方对货物制订的检验标准。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以合格证书、技术性能参数、质量参数和国家质量标准作为对货物的检验标准。</w:t>
      </w:r>
    </w:p>
    <w:p>
      <w:pPr>
        <w:numPr>
          <w:ilvl w:val="1"/>
          <w:numId w:val="47"/>
        </w:numPr>
        <w:spacing w:before="0" w:afterAutospacing="0" w:line="360" w:lineRule="auto"/>
        <w:ind w:left="0" w:right="0" w:firstLine="420" w:firstLineChars="200"/>
        <w:rPr>
          <w:rFonts w:ascii="宋体" w:hAnsi="宋体"/>
          <w:color w:val="auto"/>
        </w:rPr>
      </w:pPr>
      <w:r>
        <w:rPr>
          <w:rFonts w:ascii="宋体" w:hAnsi="宋体"/>
          <w:color w:val="auto"/>
        </w:rPr>
        <w:t xml:space="preserve"> 验收时，乙方需保证交付货物满足技术需求和验收标准，否则甲方可以拒收，并要求乙方提供符合要求的货物。</w:t>
      </w:r>
    </w:p>
    <w:p>
      <w:pPr>
        <w:snapToGrid w:val="0"/>
        <w:spacing w:before="0" w:afterAutospacing="0"/>
        <w:ind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46"/>
        </w:numPr>
        <w:tabs>
          <w:tab w:val="left" w:pos="1060"/>
          <w:tab w:val="clear" w:pos="1134"/>
        </w:tabs>
        <w:spacing w:before="0" w:afterAutospacing="0" w:line="360" w:lineRule="auto"/>
        <w:ind w:left="0" w:right="0" w:firstLine="420" w:firstLineChars="200"/>
        <w:rPr>
          <w:rFonts w:ascii="宋体" w:hAnsi="宋体"/>
          <w:color w:val="auto"/>
        </w:rPr>
      </w:pPr>
      <w:r>
        <w:rPr>
          <w:rFonts w:hint="eastAsia" w:ascii="宋体" w:hAnsi="宋体"/>
          <w:color w:val="auto"/>
        </w:rPr>
        <w:t>甲方验收不合格的货物，乙方须于接到甲方通知之日起</w:t>
      </w:r>
      <w:r>
        <w:rPr>
          <w:rFonts w:ascii="宋体" w:hAnsi="宋体"/>
          <w:color w:val="auto"/>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35.时间保证</w:t>
      </w:r>
    </w:p>
    <w:p>
      <w:pPr>
        <w:numPr>
          <w:ilvl w:val="2"/>
          <w:numId w:val="48"/>
        </w:numPr>
        <w:tabs>
          <w:tab w:val="left" w:pos="940"/>
          <w:tab w:val="clear" w:pos="1080"/>
        </w:tabs>
        <w:snapToGrid w:val="0"/>
        <w:spacing w:before="0" w:afterAutospacing="0" w:line="360" w:lineRule="auto"/>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36.其他</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乙方确认并认知：</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12"/>
        <w:numPr>
          <w:ilvl w:val="0"/>
          <w:numId w:val="50"/>
        </w:numPr>
        <w:tabs>
          <w:tab w:val="left" w:pos="1134"/>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12"/>
        <w:numPr>
          <w:ilvl w:val="0"/>
          <w:numId w:val="49"/>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Autospacing="0"/>
        <w:ind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Autospacing="0"/>
        <w:ind w:left="422" w:right="0"/>
        <w:outlineLvl w:val="1"/>
        <w:rPr>
          <w:rFonts w:ascii="宋体" w:hAnsi="宋体"/>
          <w:b/>
          <w:color w:val="auto"/>
        </w:rPr>
      </w:pPr>
      <w:r>
        <w:rPr>
          <w:rFonts w:ascii="宋体" w:hAnsi="宋体"/>
          <w:b/>
          <w:color w:val="auto"/>
        </w:rPr>
        <w:t>37.合同生效和签约地</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12"/>
        <w:numPr>
          <w:ilvl w:val="0"/>
          <w:numId w:val="51"/>
        </w:numPr>
        <w:tabs>
          <w:tab w:val="left" w:pos="960"/>
          <w:tab w:val="left" w:pos="8364"/>
        </w:tabs>
        <w:spacing w:before="0" w:afterAutospacing="0" w:line="360" w:lineRule="auto"/>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Autospacing="0"/>
        <w:ind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Autospacing="0"/>
        <w:ind w:right="0"/>
        <w:outlineLvl w:val="1"/>
        <w:rPr>
          <w:rFonts w:ascii="宋体" w:hAnsi="宋体"/>
          <w:b/>
          <w:color w:val="auto"/>
        </w:rPr>
      </w:pPr>
      <w:bookmarkStart w:id="273" w:name="_Toc16716"/>
      <w:bookmarkStart w:id="274" w:name="_Toc21372"/>
      <w:bookmarkStart w:id="275" w:name="_Toc12983548"/>
      <w:bookmarkStart w:id="276" w:name="_Toc27258"/>
      <w:bookmarkStart w:id="277" w:name="_Toc19448"/>
      <w:bookmarkStart w:id="278" w:name="_Toc27316"/>
      <w:bookmarkStart w:id="279" w:name="_Toc2753"/>
      <w:bookmarkStart w:id="280" w:name="_Toc21635"/>
      <w:bookmarkStart w:id="281" w:name="_Toc29249"/>
      <w:bookmarkStart w:id="282" w:name="_Toc13288"/>
      <w:bookmarkStart w:id="283" w:name="_Toc16443"/>
      <w:bookmarkStart w:id="284" w:name="_Toc12470"/>
      <w:bookmarkStart w:id="285" w:name="_Toc21033"/>
      <w:bookmarkStart w:id="286" w:name="_Toc6194"/>
      <w:bookmarkStart w:id="287" w:name="_Toc5186"/>
      <w:bookmarkStart w:id="288" w:name="_Toc14997"/>
      <w:bookmarkStart w:id="289" w:name="_Toc5644"/>
      <w:bookmarkStart w:id="290" w:name="_Toc21659"/>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840"/>
          <w:tab w:val="left" w:pos="1843"/>
        </w:tabs>
        <w:spacing w:before="0" w:afterAutospacing="0"/>
        <w:ind w:right="0"/>
        <w:outlineLvl w:val="1"/>
        <w:rPr>
          <w:rFonts w:hint="eastAsia" w:ascii="宋体" w:hAnsi="宋体"/>
          <w:b/>
          <w:color w:val="auto"/>
        </w:rPr>
      </w:pPr>
    </w:p>
    <w:p>
      <w:pPr>
        <w:tabs>
          <w:tab w:val="left" w:pos="1134"/>
          <w:tab w:val="left" w:pos="8364"/>
        </w:tabs>
        <w:spacing w:before="0" w:afterAutospacing="0"/>
        <w:ind w:right="-57"/>
        <w:rPr>
          <w:rFonts w:ascii="宋体" w:hAnsi="宋体"/>
          <w:color w:val="auto"/>
          <w:sz w:val="24"/>
          <w:szCs w:val="24"/>
        </w:rPr>
      </w:pPr>
      <w:r>
        <w:rPr>
          <w:rFonts w:hint="eastAsia" w:ascii="宋体" w:hAnsi="宋体"/>
          <w:b/>
          <w:color w:val="auto"/>
          <w:sz w:val="24"/>
          <w:szCs w:val="24"/>
        </w:rPr>
        <w:t>附件1：</w:t>
      </w:r>
    </w:p>
    <w:p>
      <w:pPr>
        <w:spacing w:before="0" w:afterAutospacing="0"/>
        <w:ind w:right="-57"/>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3"/>
        <w:ind w:right="-57"/>
        <w:rPr>
          <w:rFonts w:hAnsi="宋体"/>
          <w:color w:val="auto"/>
          <w:spacing w:val="20"/>
        </w:rPr>
      </w:pPr>
      <w:r>
        <w:rPr>
          <w:rFonts w:hint="eastAsia" w:hAnsi="宋体"/>
          <w:color w:val="auto"/>
          <w:spacing w:val="20"/>
        </w:rPr>
        <w:t>保函编号：</w:t>
      </w:r>
    </w:p>
    <w:p>
      <w:pPr>
        <w:autoSpaceDE w:val="0"/>
        <w:autoSpaceDN w:val="0"/>
        <w:ind w:right="-57"/>
        <w:jc w:val="left"/>
        <w:rPr>
          <w:rFonts w:ascii="宋体" w:hAnsi="宋体"/>
          <w:color w:val="auto"/>
        </w:rPr>
      </w:pPr>
      <w:r>
        <w:rPr>
          <w:rFonts w:hint="eastAsia" w:ascii="宋体" w:hAnsi="宋体"/>
          <w:color w:val="auto"/>
        </w:rPr>
        <w:t>致：南宁轨道交通集团有限责任公司</w:t>
      </w:r>
    </w:p>
    <w:p>
      <w:pPr>
        <w:autoSpaceDE w:val="0"/>
        <w:autoSpaceDN w:val="0"/>
        <w:spacing w:before="0"/>
        <w:ind w:right="0" w:firstLine="200"/>
        <w:jc w:val="left"/>
        <w:rPr>
          <w:rFonts w:ascii="宋体" w:hAnsi="宋体"/>
          <w:color w:val="auto"/>
        </w:rPr>
      </w:pPr>
      <w:r>
        <w:rPr>
          <w:rFonts w:hint="eastAsia" w:ascii="宋体" w:hAnsi="宋体"/>
          <w:color w:val="auto"/>
        </w:rPr>
        <w:t>鉴于贵方已于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w:t>
      </w:r>
      <w:r>
        <w:rPr>
          <w:rFonts w:hint="eastAsia" w:ascii="宋体" w:hAnsi="宋体"/>
          <w:color w:val="auto"/>
          <w:u w:val="single"/>
          <w:lang w:val="en-US" w:eastAsia="zh-CN"/>
        </w:rPr>
        <w:t>2021年易事特备件采购</w:t>
      </w:r>
      <w:r>
        <w:rPr>
          <w:rFonts w:hint="eastAsia" w:ascii="宋体" w:hAnsi="宋体"/>
          <w:color w:val="auto"/>
          <w:u w:val="single"/>
        </w:rPr>
        <w:t xml:space="preserve">项目  </w:t>
      </w:r>
      <w:r>
        <w:rPr>
          <w:rFonts w:hint="eastAsia" w:ascii="宋体" w:hAnsi="宋体"/>
          <w:color w:val="auto"/>
        </w:rPr>
        <w:t>以下简称“本项目”）合同（中选价格￥</w:t>
      </w:r>
      <w:r>
        <w:rPr>
          <w:rFonts w:hint="eastAsia" w:ascii="宋体" w:hAnsi="宋体"/>
          <w:color w:val="auto"/>
          <w:u w:val="single"/>
        </w:rPr>
        <w:t xml:space="preserve">   </w:t>
      </w:r>
      <w:r>
        <w:rPr>
          <w:rFonts w:hint="eastAsia" w:ascii="宋体" w:hAnsi="宋体"/>
          <w:color w:val="auto"/>
        </w:rPr>
        <w:t>元，大写：</w:t>
      </w:r>
      <w:r>
        <w:rPr>
          <w:rFonts w:hint="eastAsia" w:ascii="宋体" w:hAnsi="宋体"/>
          <w:color w:val="auto"/>
          <w:u w:val="single"/>
        </w:rPr>
        <w:t xml:space="preserve">      </w:t>
      </w:r>
      <w:r>
        <w:rPr>
          <w:rFonts w:hint="eastAsia" w:ascii="宋体" w:hAnsi="宋体"/>
          <w:color w:val="auto"/>
        </w:rPr>
        <w:t>元）的银行保函。</w:t>
      </w:r>
    </w:p>
    <w:p>
      <w:pPr>
        <w:autoSpaceDE w:val="0"/>
        <w:autoSpaceDN w:val="0"/>
        <w:spacing w:before="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w:t>
      </w:r>
      <w:r>
        <w:rPr>
          <w:rFonts w:ascii="宋体" w:hAnsi="宋体"/>
          <w:color w:val="auto"/>
          <w:u w:val="single"/>
        </w:rPr>
        <w:t xml:space="preserve">   </w:t>
      </w:r>
      <w:r>
        <w:rPr>
          <w:rFonts w:hint="eastAsia" w:ascii="宋体" w:hAnsi="宋体"/>
          <w:color w:val="auto"/>
        </w:rPr>
        <w:t>）的任何要求金额，我方不要求贵方证实其在索赔要求中指出的违约情况。</w:t>
      </w:r>
    </w:p>
    <w:p>
      <w:pPr>
        <w:autoSpaceDE w:val="0"/>
        <w:autoSpaceDN w:val="0"/>
        <w:spacing w:before="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Autospacing="0"/>
        <w:ind w:right="-57" w:firstLine="200"/>
        <w:rPr>
          <w:rFonts w:ascii="宋体" w:hAnsi="宋体"/>
          <w:color w:val="auto"/>
        </w:rPr>
      </w:pPr>
      <w:r>
        <w:rPr>
          <w:rFonts w:hint="eastAsia" w:ascii="宋体" w:hAnsi="宋体"/>
          <w:b/>
          <w:i/>
          <w:color w:val="auto"/>
        </w:rPr>
        <w:t>（开具保函时，以上二种方式，任选一种。）</w:t>
      </w:r>
    </w:p>
    <w:p>
      <w:pPr>
        <w:spacing w:afterAutospacing="0"/>
        <w:ind w:right="-57"/>
        <w:rPr>
          <w:rFonts w:ascii="宋体" w:hAnsi="宋体" w:cs="Arial"/>
          <w:color w:val="auto"/>
        </w:rPr>
      </w:pPr>
      <w:r>
        <w:rPr>
          <w:rFonts w:hint="eastAsia" w:ascii="宋体" w:hAnsi="宋体"/>
          <w:color w:val="auto"/>
        </w:rPr>
        <w:t>银行地址：</w:t>
      </w:r>
      <w:r>
        <w:rPr>
          <w:rFonts w:hint="eastAsia" w:ascii="宋体" w:hAnsi="宋体"/>
          <w:color w:val="auto"/>
          <w:u w:val="single"/>
        </w:rPr>
        <w:t xml:space="preserve">          </w:t>
      </w:r>
      <w:r>
        <w:rPr>
          <w:rFonts w:hint="eastAsia" w:ascii="宋体" w:hAnsi="宋体"/>
          <w:color w:val="auto"/>
        </w:rPr>
        <w:t xml:space="preserve">    担保银行：</w:t>
      </w:r>
      <w:r>
        <w:rPr>
          <w:rFonts w:hint="eastAsia" w:ascii="宋体" w:hAnsi="宋体"/>
          <w:color w:val="auto"/>
          <w:u w:val="single"/>
        </w:rPr>
        <w:t xml:space="preserve">（全称）    </w:t>
      </w:r>
      <w:r>
        <w:rPr>
          <w:rFonts w:hint="eastAsia" w:ascii="宋体" w:hAnsi="宋体"/>
          <w:color w:val="auto"/>
        </w:rPr>
        <w:t>(盖章)</w:t>
      </w:r>
    </w:p>
    <w:p>
      <w:pPr>
        <w:spacing w:afterAutospacing="0"/>
        <w:ind w:right="-57"/>
        <w:rPr>
          <w:rFonts w:ascii="宋体" w:hAnsi="宋体"/>
          <w:color w:val="auto"/>
        </w:rPr>
      </w:pPr>
      <w:r>
        <w:rPr>
          <w:rFonts w:hint="eastAsia" w:ascii="宋体" w:hAnsi="宋体"/>
          <w:color w:val="auto"/>
        </w:rPr>
        <w:t>邮编：</w:t>
      </w:r>
      <w:r>
        <w:rPr>
          <w:rFonts w:hint="eastAsia" w:ascii="宋体" w:hAnsi="宋体"/>
          <w:color w:val="auto"/>
          <w:u w:val="single"/>
        </w:rPr>
        <w:t xml:space="preserve">                 </w:t>
      </w:r>
      <w:r>
        <w:rPr>
          <w:rFonts w:hint="eastAsia" w:ascii="宋体" w:hAnsi="宋体"/>
          <w:color w:val="auto"/>
        </w:rPr>
        <w:t xml:space="preserve">   法定代表人或（授权代理人）：</w:t>
      </w:r>
      <w:r>
        <w:rPr>
          <w:rFonts w:hint="eastAsia" w:ascii="宋体" w:hAnsi="宋体"/>
          <w:color w:val="auto"/>
          <w:u w:val="single"/>
        </w:rPr>
        <w:t xml:space="preserve">               </w:t>
      </w:r>
      <w:r>
        <w:rPr>
          <w:rFonts w:hint="eastAsia" w:ascii="宋体" w:hAnsi="宋体"/>
          <w:color w:val="auto"/>
        </w:rPr>
        <w:t>(签字)</w:t>
      </w:r>
    </w:p>
    <w:p>
      <w:pPr>
        <w:spacing w:afterAutospacing="0"/>
        <w:ind w:right="-57"/>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Autospacing="0"/>
        <w:ind w:right="-57"/>
        <w:rPr>
          <w:rFonts w:ascii="宋体" w:hAnsi="宋体"/>
          <w:color w:val="auto"/>
        </w:rPr>
      </w:pPr>
      <w:r>
        <w:rPr>
          <w:rFonts w:hint="eastAsia" w:ascii="宋体" w:hAnsi="宋体"/>
          <w:color w:val="auto"/>
        </w:rPr>
        <w:t>传真：</w:t>
      </w:r>
      <w:r>
        <w:rPr>
          <w:rFonts w:hint="eastAsia" w:ascii="宋体" w:hAnsi="宋体"/>
          <w:color w:val="auto"/>
          <w:u w:val="single"/>
        </w:rPr>
        <w:t xml:space="preserve">                </w:t>
      </w:r>
      <w:r>
        <w:rPr>
          <w:rFonts w:hint="eastAsia" w:ascii="宋体" w:hAnsi="宋体"/>
          <w:color w:val="auto"/>
        </w:rPr>
        <w:t xml:space="preserve">           日期：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afterAutospacing="0"/>
        <w:ind w:right="-57"/>
        <w:rPr>
          <w:rFonts w:ascii="宋体" w:hAnsi="宋体"/>
          <w:color w:val="auto"/>
        </w:rPr>
      </w:pPr>
    </w:p>
    <w:p>
      <w:pPr>
        <w:ind w:right="-57"/>
        <w:jc w:val="center"/>
        <w:rPr>
          <w:rFonts w:ascii="宋体" w:hAnsi="宋体"/>
          <w:b/>
          <w:color w:val="auto"/>
          <w:sz w:val="24"/>
          <w:szCs w:val="24"/>
        </w:rPr>
      </w:pPr>
    </w:p>
    <w:p>
      <w:pPr>
        <w:ind w:right="-57"/>
        <w:jc w:val="center"/>
        <w:rPr>
          <w:rFonts w:ascii="宋体" w:hAnsi="宋体"/>
          <w:b/>
          <w:color w:val="auto"/>
          <w:sz w:val="24"/>
          <w:szCs w:val="24"/>
        </w:rPr>
      </w:pPr>
      <w:r>
        <w:rPr>
          <w:rFonts w:hint="eastAsia" w:ascii="宋体" w:hAnsi="宋体"/>
          <w:b/>
          <w:color w:val="auto"/>
          <w:sz w:val="24"/>
          <w:szCs w:val="24"/>
        </w:rPr>
        <w:t>承诺函（中选后提供）</w:t>
      </w:r>
    </w:p>
    <w:p>
      <w:pPr>
        <w:ind w:right="-57"/>
        <w:rPr>
          <w:rFonts w:ascii="宋体" w:hAnsi="宋体"/>
          <w:color w:val="auto"/>
        </w:rPr>
      </w:pPr>
    </w:p>
    <w:p>
      <w:pPr>
        <w:spacing w:line="480" w:lineRule="auto"/>
        <w:ind w:right="-57"/>
        <w:rPr>
          <w:rFonts w:ascii="宋体" w:hAnsi="宋体"/>
          <w:color w:val="auto"/>
        </w:rPr>
      </w:pPr>
      <w:r>
        <w:rPr>
          <w:rFonts w:hint="eastAsia" w:ascii="宋体" w:hAnsi="宋体"/>
          <w:color w:val="auto"/>
        </w:rPr>
        <w:t>南宁轨道交通集团有限责任公司：</w:t>
      </w:r>
    </w:p>
    <w:p>
      <w:pPr>
        <w:spacing w:line="480" w:lineRule="auto"/>
        <w:ind w:right="-57" w:firstLine="200"/>
        <w:rPr>
          <w:rFonts w:ascii="宋体" w:hAnsi="宋体"/>
          <w:color w:val="auto"/>
        </w:rPr>
      </w:pPr>
      <w:r>
        <w:rPr>
          <w:rFonts w:hint="eastAsia" w:ascii="宋体" w:hAnsi="宋体"/>
          <w:color w:val="auto"/>
        </w:rPr>
        <w:t>（以下称“本公司”）现已中选贵司询比价的</w:t>
      </w:r>
      <w:r>
        <w:rPr>
          <w:rFonts w:hint="eastAsia" w:ascii="宋体" w:hAnsi="宋体"/>
          <w:color w:val="auto"/>
          <w:u w:val="single"/>
        </w:rPr>
        <w:t xml:space="preserve">  </w:t>
      </w:r>
      <w:r>
        <w:rPr>
          <w:rFonts w:hint="eastAsia" w:ascii="宋体" w:hAnsi="宋体"/>
          <w:color w:val="auto"/>
          <w:u w:val="single"/>
          <w:lang w:val="en-US" w:eastAsia="zh-CN"/>
        </w:rPr>
        <w:t>2021年易事特备件采购</w:t>
      </w:r>
      <w:r>
        <w:rPr>
          <w:rFonts w:hint="eastAsia" w:ascii="宋体" w:hAnsi="宋体"/>
          <w:color w:val="auto"/>
          <w:u w:val="single"/>
        </w:rPr>
        <w:t xml:space="preserve">项目 </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w:t>
      </w:r>
      <w:r>
        <w:rPr>
          <w:rFonts w:ascii="宋体" w:hAnsi="宋体"/>
          <w:color w:val="auto"/>
          <w:u w:val="single"/>
        </w:rPr>
        <w:t xml:space="preserve">        </w:t>
      </w:r>
      <w:r>
        <w:rPr>
          <w:rFonts w:hint="eastAsia" w:ascii="宋体" w:hAnsi="宋体"/>
          <w:color w:val="auto"/>
        </w:rPr>
        <w:t>），有效期至X年X月X日。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ind w:right="-57" w:firstLine="200"/>
        <w:rPr>
          <w:rFonts w:ascii="宋体" w:hAnsi="宋体"/>
          <w:b/>
          <w:i/>
          <w:color w:val="auto"/>
        </w:rPr>
      </w:pPr>
    </w:p>
    <w:p>
      <w:pPr>
        <w:tabs>
          <w:tab w:val="left" w:pos="1134"/>
          <w:tab w:val="left" w:pos="8364"/>
        </w:tabs>
        <w:spacing w:before="0"/>
        <w:ind w:right="-57"/>
        <w:rPr>
          <w:rFonts w:ascii="宋体" w:hAnsi="宋体"/>
          <w:color w:val="auto"/>
        </w:rPr>
      </w:pPr>
    </w:p>
    <w:p>
      <w:pPr>
        <w:tabs>
          <w:tab w:val="left" w:pos="1134"/>
          <w:tab w:val="left" w:pos="8364"/>
        </w:tabs>
        <w:spacing w:before="0"/>
        <w:ind w:right="-57"/>
        <w:rPr>
          <w:rFonts w:ascii="宋体" w:hAnsi="宋体"/>
          <w:color w:val="auto"/>
        </w:rPr>
      </w:pPr>
      <w:r>
        <w:rPr>
          <w:rFonts w:hint="eastAsia" w:ascii="宋体" w:hAnsi="宋体"/>
          <w:b/>
          <w:color w:val="auto"/>
          <w:sz w:val="24"/>
          <w:szCs w:val="24"/>
        </w:rPr>
        <w:t>附件2：</w:t>
      </w:r>
    </w:p>
    <w:p>
      <w:pPr>
        <w:ind w:right="-57"/>
        <w:jc w:val="center"/>
        <w:rPr>
          <w:rFonts w:ascii="宋体" w:hAnsi="宋体"/>
          <w:b/>
          <w:color w:val="auto"/>
          <w:sz w:val="24"/>
          <w:szCs w:val="24"/>
        </w:rPr>
      </w:pPr>
      <w:r>
        <w:rPr>
          <w:rFonts w:hint="eastAsia" w:ascii="宋体" w:hAnsi="宋体"/>
          <w:b/>
          <w:color w:val="auto"/>
          <w:sz w:val="24"/>
          <w:szCs w:val="24"/>
        </w:rPr>
        <w:t>供货证明（格式，供货时提供）</w:t>
      </w:r>
    </w:p>
    <w:p>
      <w:pPr>
        <w:ind w:right="-57"/>
        <w:rPr>
          <w:rFonts w:ascii="宋体" w:hAnsi="宋体"/>
          <w:color w:val="auto"/>
          <w:sz w:val="24"/>
          <w:szCs w:val="24"/>
        </w:rPr>
      </w:pPr>
      <w:r>
        <w:rPr>
          <w:rFonts w:hint="eastAsia" w:ascii="宋体" w:hAnsi="宋体"/>
          <w:color w:val="auto"/>
          <w:sz w:val="24"/>
          <w:szCs w:val="24"/>
        </w:rPr>
        <w:t>南宁轨道交通集团有限责任公司：</w:t>
      </w:r>
    </w:p>
    <w:p>
      <w:pPr>
        <w:tabs>
          <w:tab w:val="left" w:pos="1134"/>
          <w:tab w:val="left" w:pos="8364"/>
        </w:tabs>
        <w:spacing w:before="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2021年XX　</w:t>
      </w:r>
      <w:r>
        <w:rPr>
          <w:rFonts w:hint="eastAsia" w:ascii="宋体" w:hAnsi="宋体"/>
          <w:color w:val="auto"/>
        </w:rPr>
        <w:t>采购项目（项目编号：</w:t>
      </w:r>
      <w:r>
        <w:rPr>
          <w:rFonts w:ascii="宋体" w:hAnsi="宋体"/>
          <w:color w:val="auto"/>
          <w:u w:val="single"/>
        </w:rPr>
        <w:t xml:space="preserve"> </w:t>
      </w:r>
      <w:r>
        <w:rPr>
          <w:rFonts w:hint="eastAsia" w:ascii="宋体" w:hAnsi="宋体"/>
          <w:color w:val="auto"/>
          <w:u w:val="single"/>
        </w:rPr>
        <w:t xml:space="preserve"> </w:t>
      </w:r>
      <w:r>
        <w:rPr>
          <w:rFonts w:hint="eastAsia" w:ascii="宋体" w:hAnsi="宋体"/>
          <w:color w:val="auto"/>
          <w:u w:val="single"/>
          <w:lang w:eastAsia="zh-CN"/>
        </w:rPr>
        <w:t>NNGD-YY-BJBJ-2021073</w:t>
      </w:r>
      <w:r>
        <w:rPr>
          <w:rFonts w:hint="eastAsia" w:ascii="宋体" w:hAnsi="宋体"/>
          <w:color w:val="auto"/>
          <w:u w:val="single"/>
        </w:rPr>
        <w:t xml:space="preserve"> </w:t>
      </w:r>
      <w:r>
        <w:rPr>
          <w:rFonts w:hint="eastAsia" w:ascii="宋体" w:hAnsi="宋体"/>
          <w:color w:val="auto"/>
        </w:rPr>
        <w:t>）中，向贵方交付的以下货物为我公司生产（提供）：</w:t>
      </w:r>
    </w:p>
    <w:tbl>
      <w:tblPr>
        <w:tblStyle w:val="8"/>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648"/>
        <w:gridCol w:w="1414"/>
        <w:gridCol w:w="1391"/>
        <w:gridCol w:w="1432"/>
        <w:gridCol w:w="991"/>
        <w:gridCol w:w="775"/>
        <w:gridCol w:w="1721"/>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序号</w:t>
            </w:r>
          </w:p>
        </w:tc>
        <w:tc>
          <w:tcPr>
            <w:tcW w:w="648"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计划</w:t>
            </w:r>
          </w:p>
        </w:tc>
        <w:tc>
          <w:tcPr>
            <w:tcW w:w="1414"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1432"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99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单位</w:t>
            </w:r>
          </w:p>
        </w:tc>
        <w:tc>
          <w:tcPr>
            <w:tcW w:w="775"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数量</w:t>
            </w:r>
          </w:p>
        </w:tc>
        <w:tc>
          <w:tcPr>
            <w:tcW w:w="1721" w:type="dxa"/>
            <w:tcBorders>
              <w:top w:val="single" w:color="auto" w:sz="4" w:space="0"/>
              <w:left w:val="nil"/>
              <w:bottom w:val="single" w:color="auto" w:sz="4" w:space="0"/>
              <w:right w:val="single" w:color="auto" w:sz="4" w:space="0"/>
            </w:tcBorders>
            <w:shd w:val="clear" w:color="000000" w:fill="auto"/>
            <w:vAlign w:val="center"/>
          </w:tcPr>
          <w:p>
            <w:pP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1</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2</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3</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4</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rPr>
                <w:rFonts w:ascii="宋体" w:hAnsi="宋体"/>
                <w:color w:val="auto"/>
              </w:rPr>
            </w:pPr>
            <w:r>
              <w:rPr>
                <w:rFonts w:ascii="宋体" w:hAnsi="宋体"/>
                <w:color w:val="auto"/>
              </w:rPr>
              <w:t>5</w:t>
            </w:r>
          </w:p>
        </w:tc>
        <w:tc>
          <w:tcPr>
            <w:tcW w:w="648"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14"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432"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99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775"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c>
          <w:tcPr>
            <w:tcW w:w="1721" w:type="dxa"/>
            <w:tcBorders>
              <w:top w:val="nil"/>
              <w:left w:val="nil"/>
              <w:bottom w:val="single" w:color="auto" w:sz="4" w:space="0"/>
              <w:right w:val="single" w:color="auto" w:sz="4" w:space="0"/>
            </w:tcBorders>
            <w:shd w:val="clear" w:color="000000" w:fill="auto"/>
            <w:vAlign w:val="center"/>
          </w:tcPr>
          <w:p>
            <w:pPr>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w:t>
            </w:r>
            <w:r>
              <w:rPr>
                <w:rFonts w:ascii="宋体" w:hAnsi="宋体"/>
                <w:color w:val="auto"/>
              </w:rPr>
              <w:t xml:space="preserve"> </w:t>
            </w:r>
            <w:r>
              <w:rPr>
                <w:rFonts w:hint="eastAsia" w:ascii="宋体" w:hAnsi="宋体"/>
                <w:color w:val="auto"/>
              </w:rPr>
              <w:t>系</w:t>
            </w:r>
            <w:r>
              <w:rPr>
                <w:rFonts w:ascii="宋体" w:hAnsi="宋体"/>
                <w:color w:val="auto"/>
              </w:rPr>
              <w:t xml:space="preserve"> </w:t>
            </w:r>
            <w:r>
              <w:rPr>
                <w:rFonts w:hint="eastAsia" w:ascii="宋体" w:hAnsi="宋体"/>
                <w:color w:val="auto"/>
              </w:rPr>
              <w:t>人：</w:t>
            </w:r>
            <w:r>
              <w:rPr>
                <w:rFonts w:ascii="宋体" w:hAnsi="宋体"/>
                <w:color w:val="auto"/>
              </w:rPr>
              <w:t xml:space="preserve">                      </w:t>
            </w:r>
            <w:r>
              <w:rPr>
                <w:rFonts w:hint="eastAsia" w:ascii="宋体" w:hAnsi="宋体"/>
                <w:color w:val="auto"/>
              </w:rPr>
              <w:t>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rPr>
                <w:rFonts w:ascii="宋体" w:hAnsi="宋体"/>
                <w:color w:val="auto"/>
              </w:rPr>
            </w:pPr>
            <w:r>
              <w:rPr>
                <w:rFonts w:hint="eastAsia" w:ascii="宋体" w:hAnsi="宋体"/>
                <w:color w:val="auto"/>
              </w:rPr>
              <w:t>联系电话（手机）：</w:t>
            </w:r>
            <w:r>
              <w:rPr>
                <w:rFonts w:ascii="宋体" w:hAnsi="宋体"/>
                <w:color w:val="auto"/>
              </w:rPr>
              <w:t xml:space="preserve">               </w:t>
            </w:r>
            <w:r>
              <w:rPr>
                <w:rFonts w:hint="eastAsia" w:ascii="宋体" w:hAnsi="宋体"/>
                <w:color w:val="auto"/>
              </w:rPr>
              <w:t>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rPr>
                <w:rFonts w:ascii="宋体" w:hAnsi="宋体"/>
                <w:color w:val="auto"/>
              </w:rPr>
            </w:pPr>
            <w:r>
              <w:rPr>
                <w:rFonts w:hint="eastAsia" w:ascii="宋体" w:hAnsi="宋体"/>
                <w:color w:val="auto"/>
              </w:rPr>
              <w:t>单位：（公章）                       日期：</w:t>
            </w: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widowControl w:val="0"/>
              <w:spacing w:before="0" w:afterAutospacing="0"/>
              <w:ind w:right="0"/>
              <w:rPr>
                <w:rFonts w:ascii="宋体" w:hAnsi="宋体"/>
                <w:b/>
                <w:color w:val="auto"/>
                <w:kern w:val="2"/>
                <w:sz w:val="24"/>
                <w:szCs w:val="24"/>
              </w:rPr>
            </w:pPr>
            <w:r>
              <w:rPr>
                <w:rFonts w:ascii="宋体" w:hAnsi="宋体"/>
                <w:color w:val="auto"/>
              </w:rPr>
              <w:t xml:space="preserve">     </w:t>
            </w:r>
            <w:r>
              <w:rPr>
                <w:rFonts w:hint="eastAsia" w:ascii="宋体" w:hAnsi="宋体"/>
                <w:b/>
                <w:color w:val="auto"/>
                <w:kern w:val="2"/>
                <w:sz w:val="24"/>
                <w:szCs w:val="24"/>
              </w:rPr>
              <w:t>附件3：</w:t>
            </w:r>
          </w:p>
          <w:p>
            <w:pPr>
              <w:widowControl w:val="0"/>
              <w:spacing w:before="0" w:afterAutospacing="0"/>
              <w:ind w:right="0"/>
              <w:jc w:val="center"/>
              <w:rPr>
                <w:rFonts w:ascii="宋体" w:hAnsi="宋体"/>
                <w:b/>
                <w:color w:val="auto"/>
                <w:kern w:val="2"/>
                <w:sz w:val="24"/>
                <w:szCs w:val="24"/>
              </w:rPr>
            </w:pPr>
            <w:r>
              <w:rPr>
                <w:rFonts w:ascii="宋体" w:hAnsi="宋体" w:cs="宋体"/>
                <w:b/>
                <w:color w:val="auto"/>
                <w:kern w:val="2"/>
                <w:sz w:val="24"/>
                <w:szCs w:val="24"/>
                <w:lang w:bidi="ar"/>
              </w:rPr>
              <w:t>交货通知 （格式）</w:t>
            </w:r>
          </w:p>
          <w:tbl>
            <w:tblPr>
              <w:tblStyle w:val="8"/>
              <w:tblW w:w="5000" w:type="pct"/>
              <w:jc w:val="center"/>
              <w:tblLayout w:type="fixed"/>
              <w:tblCellMar>
                <w:top w:w="0" w:type="dxa"/>
                <w:left w:w="0" w:type="dxa"/>
                <w:bottom w:w="0" w:type="dxa"/>
                <w:right w:w="0" w:type="dxa"/>
              </w:tblCellMar>
            </w:tblPr>
            <w:tblGrid>
              <w:gridCol w:w="5"/>
              <w:gridCol w:w="1005"/>
              <w:gridCol w:w="5"/>
              <w:gridCol w:w="1505"/>
              <w:gridCol w:w="5"/>
              <w:gridCol w:w="1510"/>
              <w:gridCol w:w="663"/>
              <w:gridCol w:w="960"/>
              <w:gridCol w:w="1022"/>
              <w:gridCol w:w="1190"/>
              <w:gridCol w:w="1035"/>
              <w:gridCol w:w="5"/>
            </w:tblGrid>
            <w:tr>
              <w:tblPrEx>
                <w:tblCellMar>
                  <w:top w:w="0" w:type="dxa"/>
                  <w:left w:w="0" w:type="dxa"/>
                  <w:bottom w:w="0" w:type="dxa"/>
                  <w:right w:w="0" w:type="dxa"/>
                </w:tblCellMar>
              </w:tblPrEx>
              <w:trPr>
                <w:gridAfter w:val="1"/>
                <w:wAfter w:w="5" w:type="dxa"/>
                <w:trHeight w:val="90" w:hRule="atLeast"/>
                <w:jc w:val="center"/>
              </w:trPr>
              <w:tc>
                <w:tcPr>
                  <w:tcW w:w="5000" w:type="pct"/>
                  <w:gridSpan w:val="11"/>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lang w:bidi="ar"/>
                    </w:rPr>
                    <w:t>运营分公司</w:t>
                  </w:r>
                  <w:r>
                    <w:rPr>
                      <w:rFonts w:hint="eastAsia"/>
                      <w:color w:val="auto"/>
                    </w:rPr>
                    <w:t xml:space="preserve"> </w:t>
                  </w:r>
                  <w:r>
                    <w:rPr>
                      <w:rFonts w:hint="eastAsia" w:ascii="宋体" w:hAnsi="宋体" w:cs="宋体"/>
                      <w:b/>
                      <w:color w:val="auto"/>
                      <w:kern w:val="2"/>
                      <w:lang w:eastAsia="zh-CN" w:bidi="ar"/>
                    </w:rPr>
                    <w:t>2021年易事特备件采购项目</w:t>
                  </w:r>
                  <w:r>
                    <w:rPr>
                      <w:rFonts w:ascii="宋体" w:hAnsi="宋体" w:cs="宋体"/>
                      <w:b/>
                      <w:color w:val="auto"/>
                      <w:kern w:val="2"/>
                      <w:lang w:bidi="ar"/>
                    </w:rPr>
                    <w:t xml:space="preserve"> </w:t>
                  </w:r>
                  <w:r>
                    <w:rPr>
                      <w:rFonts w:ascii="宋体" w:hAnsi="宋体" w:cs="宋体"/>
                      <w:b/>
                      <w:color w:val="auto"/>
                      <w:kern w:val="2"/>
                      <w:u w:val="single"/>
                      <w:lang w:bidi="ar"/>
                    </w:rPr>
                    <w:t xml:space="preserve">    </w:t>
                  </w:r>
                  <w:r>
                    <w:rPr>
                      <w:rFonts w:ascii="宋体" w:hAnsi="宋体" w:cs="宋体"/>
                      <w:b/>
                      <w:color w:val="auto"/>
                      <w:kern w:val="2"/>
                      <w:lang w:bidi="ar"/>
                    </w:rPr>
                    <w:t>号线 第</w:t>
                  </w:r>
                  <w:r>
                    <w:rPr>
                      <w:rFonts w:ascii="宋体" w:hAnsi="宋体" w:cs="宋体"/>
                      <w:b/>
                      <w:color w:val="auto"/>
                      <w:kern w:val="2"/>
                      <w:u w:val="single"/>
                      <w:lang w:bidi="ar"/>
                    </w:rPr>
                    <w:t xml:space="preserve">   </w:t>
                  </w:r>
                  <w:r>
                    <w:rPr>
                      <w:rFonts w:ascii="宋体" w:hAnsi="宋体" w:cs="宋体"/>
                      <w:b/>
                      <w:color w:val="auto"/>
                      <w:kern w:val="2"/>
                      <w:lang w:bidi="ar"/>
                    </w:rPr>
                    <w:t xml:space="preserve"> 批 交货通知 </w:t>
                  </w:r>
                </w:p>
              </w:tc>
            </w:tr>
            <w:tr>
              <w:tblPrEx>
                <w:tblCellMar>
                  <w:top w:w="0" w:type="dxa"/>
                  <w:left w:w="0" w:type="dxa"/>
                  <w:bottom w:w="0" w:type="dxa"/>
                  <w:right w:w="0" w:type="dxa"/>
                </w:tblCellMar>
              </w:tblPrEx>
              <w:trPr>
                <w:gridBefore w:val="1"/>
                <w:wBefore w:w="5" w:type="dxa"/>
                <w:trHeight w:val="1125" w:hRule="atLeast"/>
                <w:jc w:val="center"/>
              </w:trPr>
              <w:tc>
                <w:tcPr>
                  <w:tcW w:w="5000" w:type="pct"/>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right="-57" w:rightChars="-27"/>
                    <w:jc w:val="left"/>
                    <w:textAlignment w:val="center"/>
                    <w:rPr>
                      <w:rFonts w:ascii="宋体" w:hAnsi="宋体" w:cs="宋体"/>
                      <w:color w:val="auto"/>
                      <w:kern w:val="2"/>
                    </w:rPr>
                  </w:pPr>
                  <w:r>
                    <w:rPr>
                      <w:rFonts w:ascii="宋体" w:hAnsi="宋体" w:cs="宋体"/>
                      <w:color w:val="auto"/>
                      <w:kern w:val="2"/>
                      <w:lang w:bidi="ar"/>
                    </w:rPr>
                    <w:t>供应商：　　　　　　　　　　　　　　　　　供应商联系人及电话：</w:t>
                  </w:r>
                  <w:r>
                    <w:rPr>
                      <w:rFonts w:ascii="宋体" w:hAnsi="宋体" w:cs="宋体"/>
                      <w:color w:val="auto"/>
                      <w:kern w:val="2"/>
                      <w:lang w:bidi="ar"/>
                    </w:rPr>
                    <w:br w:type="textWrapping"/>
                  </w:r>
                  <w:r>
                    <w:rPr>
                      <w:rFonts w:ascii="宋体" w:hAnsi="宋体" w:cs="宋体"/>
                      <w:color w:val="auto"/>
                      <w:kern w:val="2"/>
                      <w:lang w:bidi="ar"/>
                    </w:rPr>
                    <w:t>交货通知号：</w:t>
                  </w:r>
                  <w:r>
                    <w:rPr>
                      <w:rFonts w:ascii="宋体" w:hAnsi="宋体" w:cs="Calibri"/>
                      <w:color w:val="auto"/>
                      <w:kern w:val="2"/>
                      <w:lang w:bidi="ar"/>
                    </w:rPr>
                    <w:br w:type="textWrapping"/>
                  </w:r>
                  <w:r>
                    <w:rPr>
                      <w:rFonts w:ascii="宋体" w:hAnsi="宋体" w:cs="宋体"/>
                      <w:color w:val="auto"/>
                      <w:kern w:val="2"/>
                      <w:lang w:bidi="ar"/>
                    </w:rPr>
                    <w:t>交货地点：</w:t>
                  </w:r>
                  <w:r>
                    <w:rPr>
                      <w:rFonts w:ascii="宋体" w:hAnsi="宋体" w:cs="宋体"/>
                      <w:color w:val="auto"/>
                      <w:kern w:val="2"/>
                      <w:lang w:bidi="ar"/>
                    </w:rPr>
                    <w:br w:type="textWrapping"/>
                  </w:r>
                  <w:r>
                    <w:rPr>
                      <w:rFonts w:ascii="宋体" w:hAnsi="宋体" w:cs="宋体"/>
                      <w:color w:val="auto"/>
                      <w:kern w:val="2"/>
                      <w:lang w:bidi="ar"/>
                    </w:rPr>
                    <w:t>收货联系人及电话：</w:t>
                  </w:r>
                </w:p>
              </w:tc>
            </w:tr>
            <w:tr>
              <w:tblPrEx>
                <w:tblCellMar>
                  <w:top w:w="0" w:type="dxa"/>
                  <w:left w:w="0" w:type="dxa"/>
                  <w:bottom w:w="0" w:type="dxa"/>
                  <w:right w:w="0" w:type="dxa"/>
                </w:tblCellMar>
              </w:tblPrEx>
              <w:trPr>
                <w:gridBefore w:val="1"/>
                <w:wBefore w:w="5" w:type="dxa"/>
                <w:trHeight w:val="315"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合同序号</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848"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货物名称</w:t>
                  </w:r>
                </w:p>
              </w:tc>
              <w:tc>
                <w:tcPr>
                  <w:tcW w:w="372"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单位</w:t>
                  </w:r>
                </w:p>
              </w:tc>
              <w:tc>
                <w:tcPr>
                  <w:tcW w:w="539"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合同数量</w:t>
                  </w:r>
                </w:p>
              </w:tc>
              <w:tc>
                <w:tcPr>
                  <w:tcW w:w="574" w:type="pct"/>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交货数量</w:t>
                  </w:r>
                </w:p>
              </w:tc>
              <w:tc>
                <w:tcPr>
                  <w:tcW w:w="668"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交货时间</w:t>
                  </w: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Autospacing="0" w:line="240" w:lineRule="auto"/>
                    <w:ind w:right="0"/>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4</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5</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6</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7</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8</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9</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10</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11</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12</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kern w:val="2"/>
                    </w:rPr>
                  </w:pPr>
                  <w:r>
                    <w:rPr>
                      <w:rFonts w:ascii="宋体" w:hAnsi="宋体" w:cs="Calibri"/>
                      <w:color w:val="auto"/>
                      <w:lang w:bidi="ar"/>
                    </w:rPr>
                    <w:t>13</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jc w:val="center"/>
              </w:trPr>
              <w:tc>
                <w:tcPr>
                  <w:tcW w:w="567"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r>
                    <w:rPr>
                      <w:rFonts w:ascii="宋体" w:hAnsi="宋体" w:cs="Calibri"/>
                      <w:color w:val="auto"/>
                      <w:lang w:bidi="ar"/>
                    </w:rPr>
                    <w:t>…</w:t>
                  </w:r>
                  <w:r>
                    <w:rPr>
                      <w:rFonts w:hint="eastAsia" w:ascii="宋体" w:hAnsi="宋体" w:cs="Calibri"/>
                      <w:color w:val="auto"/>
                      <w:lang w:bidi="ar"/>
                    </w:rPr>
                    <w:t>..</w:t>
                  </w:r>
                </w:p>
              </w:tc>
              <w:tc>
                <w:tcPr>
                  <w:tcW w:w="848"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37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jc w:val="center"/>
              </w:trPr>
              <w:tc>
                <w:tcPr>
                  <w:tcW w:w="2635" w:type="pct"/>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宋体"/>
                      <w:b/>
                      <w:color w:val="auto"/>
                      <w:kern w:val="2"/>
                    </w:rPr>
                  </w:pPr>
                  <w:r>
                    <w:rPr>
                      <w:rFonts w:hint="eastAsia" w:ascii="宋体" w:hAnsi="宋体" w:cs="Calibri"/>
                      <w:color w:val="auto"/>
                      <w:lang w:bidi="ar"/>
                    </w:rPr>
                    <w:t>合计</w:t>
                  </w:r>
                </w:p>
              </w:tc>
              <w:tc>
                <w:tcPr>
                  <w:tcW w:w="53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ind w:right="0"/>
                    <w:jc w:val="center"/>
                    <w:textAlignment w:val="center"/>
                    <w:rPr>
                      <w:rFonts w:ascii="宋体" w:hAnsi="宋体" w:cs="Calibri"/>
                      <w:color w:val="auto"/>
                      <w:lang w:bidi="ar"/>
                    </w:rPr>
                  </w:pPr>
                </w:p>
              </w:tc>
              <w:tc>
                <w:tcPr>
                  <w:tcW w:w="66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c>
                <w:tcPr>
                  <w:tcW w:w="584"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ind w:right="0"/>
                    <w:jc w:val="center"/>
                    <w:rPr>
                      <w:rFonts w:ascii="宋体" w:hAnsi="宋体" w:cs="Calibri"/>
                      <w:color w:val="auto"/>
                      <w:lang w:bidi="ar"/>
                    </w:rPr>
                  </w:pP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1.</w:t>
                  </w:r>
                  <w:r>
                    <w:rPr>
                      <w:rFonts w:ascii="宋体" w:hAnsi="宋体" w:cs="宋体"/>
                      <w:color w:val="auto"/>
                      <w:kern w:val="2"/>
                      <w:lang w:bidi="ar"/>
                    </w:rPr>
                    <w:t>本通知未列明的性能参数等其他要求详见合同。</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2.</w:t>
                  </w:r>
                  <w:r>
                    <w:rPr>
                      <w:rFonts w:ascii="宋体" w:hAnsi="宋体" w:cs="宋体"/>
                      <w:color w:val="auto"/>
                      <w:kern w:val="2"/>
                      <w:lang w:bidi="ar"/>
                    </w:rPr>
                    <w:t>本通知加盖运营分公司</w:t>
                  </w:r>
                  <w:r>
                    <w:rPr>
                      <w:rFonts w:hint="eastAsia" w:ascii="宋体" w:hAnsi="宋体" w:cs="宋体"/>
                      <w:color w:val="auto"/>
                      <w:kern w:val="2"/>
                      <w:lang w:bidi="ar"/>
                    </w:rPr>
                    <w:t>XX</w:t>
                  </w:r>
                  <w:r>
                    <w:rPr>
                      <w:rFonts w:ascii="宋体" w:hAnsi="宋体" w:cs="宋体"/>
                      <w:color w:val="auto"/>
                      <w:kern w:val="2"/>
                      <w:lang w:bidi="ar"/>
                    </w:rPr>
                    <w:t>部公章后有效，送货时携带纸质版一份。</w:t>
                  </w:r>
                </w:p>
              </w:tc>
            </w:tr>
            <w:tr>
              <w:tblPrEx>
                <w:tblCellMar>
                  <w:top w:w="0" w:type="dxa"/>
                  <w:left w:w="0" w:type="dxa"/>
                  <w:bottom w:w="0" w:type="dxa"/>
                  <w:right w:w="0" w:type="dxa"/>
                </w:tblCellMar>
              </w:tblPrEx>
              <w:trPr>
                <w:gridBefore w:val="1"/>
                <w:wBefore w:w="5" w:type="dxa"/>
                <w:trHeight w:val="270" w:hRule="atLeast"/>
                <w:jc w:val="center"/>
              </w:trPr>
              <w:tc>
                <w:tcPr>
                  <w:tcW w:w="567"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443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lang w:bidi="ar"/>
                    </w:rPr>
                    <w:t>3.</w:t>
                  </w:r>
                  <w:r>
                    <w:rPr>
                      <w:rFonts w:ascii="宋体" w:hAnsi="宋体" w:cs="宋体"/>
                      <w:color w:val="auto"/>
                      <w:kern w:val="2"/>
                      <w:lang w:bidi="ar"/>
                    </w:rPr>
                    <w:t>本通知如有涂改须经甲方签名认可，否则无效。</w:t>
                  </w:r>
                </w:p>
              </w:tc>
            </w:tr>
            <w:tr>
              <w:tblPrEx>
                <w:tblCellMar>
                  <w:top w:w="0" w:type="dxa"/>
                  <w:left w:w="0" w:type="dxa"/>
                  <w:bottom w:w="0" w:type="dxa"/>
                  <w:right w:w="0" w:type="dxa"/>
                </w:tblCellMar>
              </w:tblPrEx>
              <w:trPr>
                <w:gridAfter w:val="1"/>
                <w:wAfter w:w="5" w:type="dxa"/>
                <w:trHeight w:val="390"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 xml:space="preserve">     南宁轨道交通集团有限责任公司运营分公司XX部</w:t>
                  </w:r>
                </w:p>
              </w:tc>
            </w:tr>
            <w:tr>
              <w:tblPrEx>
                <w:tblCellMar>
                  <w:top w:w="0" w:type="dxa"/>
                  <w:left w:w="0" w:type="dxa"/>
                  <w:bottom w:w="0" w:type="dxa"/>
                  <w:right w:w="0" w:type="dxa"/>
                </w:tblCellMar>
              </w:tblPrEx>
              <w:trPr>
                <w:gridAfter w:val="1"/>
                <w:wAfter w:w="5" w:type="dxa"/>
                <w:trHeight w:val="418" w:hRule="atLeast"/>
                <w:jc w:val="center"/>
              </w:trPr>
              <w:tc>
                <w:tcPr>
                  <w:tcW w:w="567"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p>
                  <w:pPr>
                    <w:widowControl w:val="0"/>
                    <w:spacing w:before="0" w:afterAutospacing="0" w:line="240" w:lineRule="auto"/>
                    <w:ind w:right="-57" w:rightChars="-27"/>
                    <w:rPr>
                      <w:rFonts w:ascii="宋体" w:hAnsi="宋体" w:cs="宋体"/>
                      <w:color w:val="auto"/>
                      <w:kern w:val="2"/>
                    </w:rPr>
                  </w:pPr>
                </w:p>
              </w:tc>
              <w:tc>
                <w:tcPr>
                  <w:tcW w:w="848" w:type="pct"/>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Autospacing="0" w:line="240" w:lineRule="auto"/>
                    <w:ind w:right="-57" w:rightChars="-27"/>
                    <w:rPr>
                      <w:rFonts w:ascii="宋体" w:hAnsi="宋体" w:cs="宋体"/>
                      <w:color w:val="auto"/>
                      <w:kern w:val="2"/>
                    </w:rPr>
                  </w:pPr>
                </w:p>
              </w:tc>
              <w:tc>
                <w:tcPr>
                  <w:tcW w:w="3585" w:type="pct"/>
                  <w:gridSpan w:val="7"/>
                  <w:tcBorders>
                    <w:top w:val="nil"/>
                    <w:left w:val="nil"/>
                    <w:bottom w:val="nil"/>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lang w:bidi="ar"/>
                    </w:rPr>
                  </w:pPr>
                  <w:r>
                    <w:rPr>
                      <w:rFonts w:hint="eastAsia" w:ascii="宋体" w:hAnsi="宋体" w:cs="宋体"/>
                      <w:color w:val="auto"/>
                      <w:lang w:bidi="ar"/>
                    </w:rPr>
                    <w:t xml:space="preserve">     通知日期：      年    月    日</w:t>
                  </w:r>
                </w:p>
                <w:p>
                  <w:pPr>
                    <w:spacing w:before="0" w:afterAutospacing="0" w:line="240" w:lineRule="auto"/>
                    <w:ind w:right="-57" w:rightChars="-27"/>
                    <w:textAlignment w:val="center"/>
                    <w:rPr>
                      <w:rFonts w:ascii="宋体" w:hAnsi="宋体" w:cs="宋体"/>
                      <w:color w:val="auto"/>
                      <w:kern w:val="2"/>
                    </w:rPr>
                  </w:pPr>
                </w:p>
              </w:tc>
            </w:tr>
          </w:tbl>
          <w:p>
            <w:pPr>
              <w:rPr>
                <w:rFonts w:ascii="宋体" w:hAnsi="宋体"/>
                <w:color w:val="auto"/>
              </w:rPr>
            </w:pPr>
            <w:r>
              <w:rPr>
                <w:rFonts w:ascii="宋体" w:hAnsi="宋体"/>
                <w:color w:val="auto"/>
              </w:rPr>
              <w:t xml:space="preserve">                             </w:t>
            </w:r>
            <w:r>
              <w:rPr>
                <w:rFonts w:hint="eastAsia" w:ascii="宋体" w:hAnsi="宋体"/>
                <w:color w:val="auto"/>
              </w:rPr>
              <w:t>　　</w:t>
            </w:r>
          </w:p>
          <w:p>
            <w:pPr>
              <w:widowControl w:val="0"/>
              <w:spacing w:before="0" w:afterAutospacing="0" w:line="240" w:lineRule="auto"/>
              <w:ind w:right="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Autospacing="0" w:line="240" w:lineRule="auto"/>
              <w:ind w:right="0"/>
              <w:jc w:val="center"/>
              <w:rPr>
                <w:rFonts w:ascii="宋体" w:hAnsi="宋体" w:cs="宋体"/>
                <w:b/>
                <w:color w:val="auto"/>
                <w:kern w:val="2"/>
                <w:sz w:val="24"/>
                <w:szCs w:val="24"/>
                <w:lang w:bidi="ar"/>
              </w:rPr>
            </w:pPr>
            <w:r>
              <w:rPr>
                <w:rFonts w:ascii="宋体" w:hAnsi="宋体" w:cs="宋体"/>
                <w:b/>
                <w:color w:val="auto"/>
                <w:kern w:val="2"/>
                <w:sz w:val="24"/>
                <w:szCs w:val="24"/>
                <w:lang w:bidi="ar"/>
              </w:rPr>
              <w:t>送货单（格式）</w:t>
            </w:r>
          </w:p>
          <w:tbl>
            <w:tblPr>
              <w:tblStyle w:val="8"/>
              <w:tblW w:w="0" w:type="auto"/>
              <w:jc w:val="center"/>
              <w:tblLayout w:type="fixed"/>
              <w:tblCellMar>
                <w:top w:w="0" w:type="dxa"/>
                <w:left w:w="0" w:type="dxa"/>
                <w:bottom w:w="0" w:type="dxa"/>
                <w:right w:w="0" w:type="dxa"/>
              </w:tblCellMar>
            </w:tblPr>
            <w:tblGrid>
              <w:gridCol w:w="5"/>
              <w:gridCol w:w="610"/>
              <w:gridCol w:w="2028"/>
              <w:gridCol w:w="1148"/>
              <w:gridCol w:w="563"/>
              <w:gridCol w:w="1148"/>
              <w:gridCol w:w="1734"/>
              <w:gridCol w:w="1148"/>
              <w:gridCol w:w="558"/>
              <w:gridCol w:w="5"/>
            </w:tblGrid>
            <w:tr>
              <w:tblPrEx>
                <w:tblCellMar>
                  <w:top w:w="0" w:type="dxa"/>
                  <w:left w:w="0" w:type="dxa"/>
                  <w:bottom w:w="0" w:type="dxa"/>
                  <w:right w:w="0" w:type="dxa"/>
                </w:tblCellMar>
              </w:tblPrEx>
              <w:trPr>
                <w:gridAfter w:val="1"/>
                <w:wAfter w:w="5" w:type="dxa"/>
                <w:trHeight w:val="525" w:hRule="atLeast"/>
                <w:jc w:val="center"/>
              </w:trPr>
              <w:tc>
                <w:tcPr>
                  <w:tcW w:w="894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 xml:space="preserve">运营分公司 </w:t>
                  </w:r>
                  <w:r>
                    <w:rPr>
                      <w:rFonts w:hint="eastAsia" w:ascii="宋体" w:hAnsi="宋体" w:cs="宋体"/>
                      <w:b/>
                      <w:color w:val="auto"/>
                      <w:u w:val="single"/>
                      <w:lang w:bidi="ar"/>
                    </w:rPr>
                    <w:t xml:space="preserve"> </w:t>
                  </w:r>
                  <w:r>
                    <w:rPr>
                      <w:rFonts w:hint="eastAsia" w:ascii="宋体" w:hAnsi="宋体" w:cs="宋体"/>
                      <w:b/>
                      <w:color w:val="auto"/>
                      <w:kern w:val="2"/>
                      <w:lang w:eastAsia="zh-CN" w:bidi="ar"/>
                    </w:rPr>
                    <w:t>2021年易事特备件</w:t>
                  </w:r>
                  <w:r>
                    <w:rPr>
                      <w:rFonts w:hint="eastAsia" w:ascii="宋体" w:hAnsi="宋体" w:cs="宋体"/>
                      <w:b/>
                      <w:color w:val="auto"/>
                      <w:u w:val="single"/>
                      <w:lang w:bidi="ar"/>
                    </w:rPr>
                    <w:t xml:space="preserve">  </w:t>
                  </w:r>
                  <w:r>
                    <w:rPr>
                      <w:rFonts w:ascii="宋体" w:hAnsi="宋体" w:cs="宋体"/>
                      <w:b/>
                      <w:color w:val="auto"/>
                      <w:kern w:val="2"/>
                      <w:lang w:bidi="ar"/>
                    </w:rPr>
                    <w:t xml:space="preserve"> 采购项目 </w:t>
                  </w:r>
                  <w:r>
                    <w:rPr>
                      <w:rFonts w:hint="eastAsia" w:ascii="宋体" w:hAnsi="宋体" w:cs="宋体"/>
                      <w:b/>
                      <w:color w:val="auto"/>
                      <w:u w:val="single"/>
                      <w:lang w:bidi="ar"/>
                    </w:rPr>
                    <w:t xml:space="preserve">   </w:t>
                  </w:r>
                  <w:r>
                    <w:rPr>
                      <w:rFonts w:ascii="宋体" w:hAnsi="宋体" w:cs="宋体"/>
                      <w:b/>
                      <w:color w:val="auto"/>
                      <w:kern w:val="2"/>
                      <w:lang w:bidi="ar"/>
                    </w:rPr>
                    <w:t xml:space="preserve">号线 第 </w:t>
                  </w:r>
                  <w:r>
                    <w:rPr>
                      <w:rFonts w:hint="eastAsia" w:ascii="宋体" w:hAnsi="宋体" w:cs="宋体"/>
                      <w:b/>
                      <w:color w:val="auto"/>
                      <w:u w:val="single"/>
                      <w:lang w:bidi="ar"/>
                    </w:rPr>
                    <w:t xml:space="preserve">     </w:t>
                  </w:r>
                  <w:r>
                    <w:rPr>
                      <w:rFonts w:ascii="宋体" w:hAnsi="宋体" w:cs="宋体"/>
                      <w:b/>
                      <w:color w:val="auto"/>
                      <w:kern w:val="2"/>
                      <w:lang w:bidi="ar"/>
                    </w:rPr>
                    <w:t xml:space="preserve"> 批 送货单</w:t>
                  </w:r>
                </w:p>
              </w:tc>
            </w:tr>
            <w:tr>
              <w:tblPrEx>
                <w:tblCellMar>
                  <w:top w:w="0" w:type="dxa"/>
                  <w:left w:w="0" w:type="dxa"/>
                  <w:bottom w:w="0" w:type="dxa"/>
                  <w:right w:w="0" w:type="dxa"/>
                </w:tblCellMar>
              </w:tblPrEx>
              <w:trPr>
                <w:gridBefore w:val="1"/>
                <w:wBefore w:w="5" w:type="dxa"/>
                <w:trHeight w:val="727" w:hRule="atLeast"/>
                <w:jc w:val="center"/>
              </w:trPr>
              <w:tc>
                <w:tcPr>
                  <w:tcW w:w="894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Autospacing="0" w:line="240" w:lineRule="auto"/>
                    <w:ind w:left="648" w:leftChars="72" w:right="-57" w:hanging="497" w:hangingChars="237"/>
                    <w:jc w:val="left"/>
                    <w:textAlignment w:val="center"/>
                    <w:rPr>
                      <w:rFonts w:ascii="宋体" w:hAnsi="宋体" w:cs="宋体"/>
                      <w:color w:val="auto"/>
                      <w:lang w:bidi="ar"/>
                    </w:rPr>
                  </w:pPr>
                  <w:r>
                    <w:rPr>
                      <w:rFonts w:hint="eastAsia" w:ascii="宋体" w:hAnsi="宋体" w:cs="宋体"/>
                      <w:color w:val="auto"/>
                      <w:lang w:bidi="ar"/>
                    </w:rPr>
                    <w:t>供应商</w:t>
                  </w:r>
                  <w:r>
                    <w:rPr>
                      <w:rFonts w:ascii="宋体" w:hAnsi="宋体" w:cs="Calibri"/>
                      <w:color w:val="auto"/>
                      <w:lang w:bidi="ar"/>
                    </w:rPr>
                    <w:t>(</w:t>
                  </w:r>
                  <w:r>
                    <w:rPr>
                      <w:rFonts w:hint="eastAsia" w:ascii="宋体" w:hAnsi="宋体" w:cs="宋体"/>
                      <w:color w:val="auto"/>
                      <w:lang w:bidi="ar"/>
                    </w:rPr>
                    <w:t>章</w:t>
                  </w:r>
                  <w:r>
                    <w:rPr>
                      <w:rFonts w:ascii="宋体" w:hAnsi="宋体" w:cs="Calibri"/>
                      <w:color w:val="auto"/>
                      <w:lang w:bidi="ar"/>
                    </w:rPr>
                    <w:t>)</w:t>
                  </w:r>
                  <w:r>
                    <w:rPr>
                      <w:rFonts w:hint="eastAsia" w:ascii="宋体" w:hAnsi="宋体" w:cs="宋体"/>
                      <w:color w:val="auto"/>
                      <w:lang w:bidi="ar"/>
                    </w:rPr>
                    <w:t>：　　　　　　　　　　　　　　　　　供应商联系人及电话：</w:t>
                  </w:r>
                </w:p>
                <w:p>
                  <w:pPr>
                    <w:spacing w:before="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lang w:bidi="ar"/>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合同序号</w:t>
                  </w:r>
                </w:p>
              </w:tc>
              <w:tc>
                <w:tcPr>
                  <w:tcW w:w="20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系统需求计划号</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单位</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合同数量</w:t>
                  </w: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通知交货数量</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宋体"/>
                      <w:color w:val="auto"/>
                      <w:kern w:val="2"/>
                    </w:rPr>
                  </w:pPr>
                  <w:r>
                    <w:rPr>
                      <w:rFonts w:hint="eastAsia" w:ascii="宋体" w:hAnsi="宋体" w:cs="宋体"/>
                      <w:color w:val="auto"/>
                      <w:lang w:bidi="ar"/>
                    </w:rPr>
                    <w:t>备注</w:t>
                  </w: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6</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7</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8</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9</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10</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11</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12</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13</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14</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15</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6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jc w:val="center"/>
                    <w:textAlignment w:val="center"/>
                    <w:rPr>
                      <w:rFonts w:ascii="宋体" w:hAnsi="宋体" w:cs="Calibri"/>
                      <w:color w:val="auto"/>
                      <w:kern w:val="2"/>
                    </w:rPr>
                  </w:pPr>
                  <w:r>
                    <w:rPr>
                      <w:rFonts w:ascii="宋体" w:hAnsi="宋体" w:cs="Calibri"/>
                      <w:color w:val="auto"/>
                      <w:lang w:bidi="ar"/>
                    </w:rPr>
                    <w:t>……</w:t>
                  </w:r>
                </w:p>
              </w:tc>
              <w:tc>
                <w:tcPr>
                  <w:tcW w:w="20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4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lang w:bidi="ar"/>
                    </w:rPr>
                    <w:t>合计</w:t>
                  </w: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7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Calibri"/>
                      <w:b/>
                      <w:color w:val="auto"/>
                      <w:kern w:val="2"/>
                    </w:rPr>
                  </w:pPr>
                </w:p>
              </w:tc>
              <w:tc>
                <w:tcPr>
                  <w:tcW w:w="11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61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lang w:bidi="ar"/>
                    </w:rPr>
                    <w:t>说明：</w:t>
                  </w: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1.</w:t>
                  </w:r>
                  <w:r>
                    <w:rPr>
                      <w:rFonts w:hint="eastAsia" w:ascii="宋体" w:hAnsi="宋体" w:cs="宋体"/>
                      <w:color w:val="auto"/>
                      <w:lang w:bidi="ar"/>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61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2.</w:t>
                  </w:r>
                  <w:r>
                    <w:rPr>
                      <w:rFonts w:hint="eastAsia" w:ascii="宋体" w:hAnsi="宋体" w:cs="宋体"/>
                      <w:color w:val="auto"/>
                      <w:lang w:bidi="ar"/>
                    </w:rPr>
                    <w:t>实收数量栏不能留空，数量为“</w:t>
                  </w:r>
                  <w:r>
                    <w:rPr>
                      <w:rFonts w:ascii="宋体" w:hAnsi="宋体" w:cs="Calibri"/>
                      <w:color w:val="auto"/>
                      <w:kern w:val="2"/>
                      <w:lang w:bidi="ar"/>
                    </w:rPr>
                    <w:t>0</w:t>
                  </w:r>
                  <w:r>
                    <w:rPr>
                      <w:rFonts w:hint="eastAsia" w:ascii="宋体" w:hAnsi="宋体" w:cs="宋体"/>
                      <w:color w:val="auto"/>
                      <w:lang w:bidi="ar"/>
                    </w:rPr>
                    <w:t>”时用“</w:t>
                  </w:r>
                  <w:r>
                    <w:rPr>
                      <w:rFonts w:ascii="宋体" w:hAnsi="宋体" w:cs="Calibri"/>
                      <w:color w:val="auto"/>
                      <w:kern w:val="2"/>
                      <w:lang w:bidi="ar"/>
                    </w:rPr>
                    <w:t>/</w:t>
                  </w:r>
                  <w:r>
                    <w:rPr>
                      <w:rFonts w:hint="eastAsia" w:ascii="宋体" w:hAnsi="宋体" w:cs="宋体"/>
                      <w:color w:val="auto"/>
                      <w:lang w:bidi="ar"/>
                    </w:rPr>
                    <w:t>”表示；“合计”栏中的</w:t>
                  </w:r>
                  <w:r>
                    <w:rPr>
                      <w:rFonts w:ascii="宋体" w:hAnsi="宋体" w:cs="Calibri"/>
                      <w:color w:val="auto"/>
                      <w:kern w:val="2"/>
                      <w:lang w:bidi="ar"/>
                    </w:rPr>
                    <w:t>"</w:t>
                  </w:r>
                  <w:r>
                    <w:rPr>
                      <w:rFonts w:hint="eastAsia" w:ascii="宋体" w:hAnsi="宋体" w:cs="宋体"/>
                      <w:color w:val="auto"/>
                      <w:lang w:bidi="ar"/>
                    </w:rPr>
                    <w:t>实收数量</w:t>
                  </w:r>
                  <w:r>
                    <w:rPr>
                      <w:rFonts w:ascii="宋体" w:hAnsi="宋体" w:cs="Calibri"/>
                      <w:color w:val="auto"/>
                      <w:kern w:val="2"/>
                      <w:lang w:bidi="ar"/>
                    </w:rPr>
                    <w:t>"</w:t>
                  </w:r>
                  <w:r>
                    <w:rPr>
                      <w:rFonts w:hint="eastAsia" w:ascii="宋体" w:hAnsi="宋体" w:cs="宋体"/>
                      <w:color w:val="auto"/>
                      <w:lang w:bidi="ar"/>
                    </w:rPr>
                    <w:t>为必填项。</w:t>
                  </w:r>
                </w:p>
              </w:tc>
            </w:tr>
            <w:tr>
              <w:tblPrEx>
                <w:tblCellMar>
                  <w:top w:w="0" w:type="dxa"/>
                  <w:left w:w="0" w:type="dxa"/>
                  <w:bottom w:w="0" w:type="dxa"/>
                  <w:right w:w="0" w:type="dxa"/>
                </w:tblCellMar>
              </w:tblPrEx>
              <w:trPr>
                <w:gridBefore w:val="1"/>
                <w:wBefore w:w="5" w:type="dxa"/>
                <w:trHeight w:val="561" w:hRule="atLeast"/>
                <w:jc w:val="center"/>
              </w:trPr>
              <w:tc>
                <w:tcPr>
                  <w:tcW w:w="610"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Autospacing="0" w:line="240" w:lineRule="auto"/>
                    <w:ind w:right="-57" w:rightChars="-27"/>
                    <w:jc w:val="center"/>
                    <w:rPr>
                      <w:rFonts w:ascii="宋体" w:hAnsi="宋体" w:cs="宋体"/>
                      <w:color w:val="auto"/>
                      <w:kern w:val="2"/>
                    </w:rPr>
                  </w:pPr>
                </w:p>
              </w:tc>
              <w:tc>
                <w:tcPr>
                  <w:tcW w:w="8332"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Autospacing="0" w:line="240" w:lineRule="auto"/>
                    <w:ind w:right="-57"/>
                    <w:textAlignment w:val="center"/>
                    <w:rPr>
                      <w:rFonts w:ascii="宋体" w:hAnsi="宋体" w:cs="Calibri"/>
                      <w:color w:val="auto"/>
                      <w:kern w:val="2"/>
                    </w:rPr>
                  </w:pPr>
                  <w:r>
                    <w:rPr>
                      <w:rFonts w:ascii="宋体" w:hAnsi="宋体" w:cs="Calibri"/>
                      <w:color w:val="auto"/>
                      <w:kern w:val="2"/>
                      <w:lang w:bidi="ar"/>
                    </w:rPr>
                    <w:t>3.</w:t>
                  </w:r>
                  <w:r>
                    <w:rPr>
                      <w:rFonts w:hint="eastAsia" w:ascii="宋体" w:hAnsi="宋体" w:cs="宋体"/>
                      <w:color w:val="auto"/>
                      <w:lang w:bidi="ar"/>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4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Autospacing="0" w:line="240" w:lineRule="auto"/>
                    <w:ind w:right="-57" w:rightChars="-27"/>
                    <w:textAlignment w:val="center"/>
                    <w:rPr>
                      <w:rFonts w:ascii="宋体" w:hAnsi="宋体" w:cs="宋体"/>
                      <w:color w:val="auto"/>
                      <w:kern w:val="2"/>
                    </w:rPr>
                  </w:pPr>
                  <w:r>
                    <w:rPr>
                      <w:rFonts w:hint="eastAsia" w:ascii="宋体" w:hAnsi="宋体" w:cs="宋体"/>
                      <w:color w:val="auto"/>
                      <w:lang w:bidi="ar"/>
                    </w:rPr>
                    <w:t>收货人（签名）：　　　　　　　　　　　　　　　收货时间：</w:t>
                  </w:r>
                </w:p>
              </w:tc>
            </w:tr>
          </w:tbl>
          <w:p>
            <w:pPr>
              <w:rPr>
                <w:rFonts w:ascii="宋体" w:hAnsi="宋体"/>
                <w:color w:val="auto"/>
              </w:rPr>
            </w:pPr>
          </w:p>
        </w:tc>
      </w:tr>
    </w:tbl>
    <w:p>
      <w:pPr>
        <w:tabs>
          <w:tab w:val="left" w:pos="840"/>
          <w:tab w:val="left" w:pos="1843"/>
        </w:tabs>
        <w:spacing w:before="0" w:afterAutospacing="0"/>
        <w:ind w:right="0"/>
        <w:outlineLvl w:val="1"/>
        <w:rPr>
          <w:rFonts w:ascii="宋体" w:hAnsi="宋体"/>
          <w:b/>
          <w:color w:val="auto"/>
        </w:rPr>
        <w:sectPr>
          <w:footerReference r:id="rId6" w:type="default"/>
          <w:pgSz w:w="11905" w:h="16838"/>
          <w:pgMar w:top="1417" w:right="1417" w:bottom="1417" w:left="1417" w:header="454" w:footer="567" w:gutter="0"/>
          <w:cols w:space="720" w:num="1"/>
          <w:docGrid w:linePitch="312" w:charSpace="0"/>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价格组成文件</w:t>
      </w:r>
    </w:p>
    <w:p>
      <w:pPr>
        <w:spacing w:before="0" w:line="360" w:lineRule="auto"/>
        <w:ind w:right="0"/>
        <w:jc w:val="center"/>
        <w:outlineLvl w:val="1"/>
        <w:rPr>
          <w:rStyle w:val="13"/>
          <w:color w:val="auto"/>
          <w:szCs w:val="22"/>
        </w:rPr>
      </w:pPr>
    </w:p>
    <w:p>
      <w:pPr>
        <w:spacing w:before="0" w:line="360" w:lineRule="auto"/>
        <w:ind w:right="0"/>
        <w:outlineLvl w:val="1"/>
        <w:rPr>
          <w:rStyle w:val="13"/>
          <w:color w:val="auto"/>
          <w:szCs w:val="22"/>
        </w:rPr>
      </w:pPr>
    </w:p>
    <w:p>
      <w:pPr>
        <w:numPr>
          <w:ilvl w:val="0"/>
          <w:numId w:val="52"/>
        </w:numPr>
        <w:spacing w:before="0" w:line="360" w:lineRule="auto"/>
        <w:ind w:left="420" w:leftChars="200" w:right="0"/>
        <w:jc w:val="center"/>
        <w:outlineLvl w:val="1"/>
        <w:rPr>
          <w:rStyle w:val="13"/>
          <w:color w:val="auto"/>
          <w:szCs w:val="22"/>
        </w:rPr>
        <w:sectPr>
          <w:footerReference r:id="rId7" w:type="default"/>
          <w:pgSz w:w="11906" w:h="16838"/>
          <w:pgMar w:top="1440" w:right="1803" w:bottom="1440" w:left="1803" w:header="851" w:footer="992" w:gutter="0"/>
          <w:cols w:space="0" w:num="1"/>
          <w:docGrid w:type="lines" w:linePitch="319" w:charSpace="0"/>
        </w:sectPr>
      </w:pPr>
    </w:p>
    <w:p>
      <w:pPr>
        <w:numPr>
          <w:ilvl w:val="0"/>
          <w:numId w:val="52"/>
        </w:numPr>
        <w:spacing w:before="0" w:line="360" w:lineRule="auto"/>
        <w:ind w:left="420" w:leftChars="200" w:right="0"/>
        <w:jc w:val="center"/>
        <w:outlineLvl w:val="1"/>
        <w:rPr>
          <w:rStyle w:val="13"/>
          <w:color w:val="auto"/>
          <w:szCs w:val="22"/>
        </w:rPr>
      </w:pPr>
      <w:r>
        <w:rPr>
          <w:rStyle w:val="13"/>
          <w:rFonts w:hint="eastAsia"/>
          <w:color w:val="auto"/>
          <w:szCs w:val="22"/>
        </w:rPr>
        <w:t>技术需求及数量表</w:t>
      </w:r>
    </w:p>
    <w:p>
      <w:pPr>
        <w:spacing w:before="0" w:line="360" w:lineRule="auto"/>
        <w:ind w:left="420" w:leftChars="200" w:right="0"/>
        <w:outlineLvl w:val="1"/>
        <w:rPr>
          <w:rStyle w:val="13"/>
          <w:color w:val="auto"/>
          <w:szCs w:val="22"/>
        </w:rPr>
      </w:pPr>
      <w:r>
        <w:rPr>
          <w:rStyle w:val="13"/>
          <w:rFonts w:hint="eastAsia"/>
          <w:color w:val="auto"/>
          <w:szCs w:val="22"/>
        </w:rPr>
        <w:t>详见附件3</w:t>
      </w: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left="420" w:leftChars="200" w:right="0"/>
        <w:outlineLvl w:val="1"/>
        <w:rPr>
          <w:rStyle w:val="13"/>
          <w:color w:val="auto"/>
          <w:szCs w:val="22"/>
        </w:rPr>
      </w:pPr>
    </w:p>
    <w:p>
      <w:pPr>
        <w:spacing w:before="0" w:line="360" w:lineRule="auto"/>
        <w:ind w:right="0"/>
        <w:outlineLvl w:val="1"/>
        <w:rPr>
          <w:rStyle w:val="13"/>
          <w:color w:val="auto"/>
          <w:szCs w:val="22"/>
        </w:rPr>
      </w:pPr>
    </w:p>
    <w:p>
      <w:pPr>
        <w:spacing w:before="0" w:line="360" w:lineRule="auto"/>
        <w:ind w:right="0"/>
        <w:outlineLvl w:val="1"/>
        <w:rPr>
          <w:rStyle w:val="13"/>
          <w:color w:val="auto"/>
          <w:szCs w:val="22"/>
        </w:rPr>
        <w:sectPr>
          <w:pgSz w:w="16838" w:h="11906" w:orient="landscape"/>
          <w:pgMar w:top="1803" w:right="1440" w:bottom="1803" w:left="1440" w:header="851" w:footer="992" w:gutter="0"/>
          <w:cols w:space="0" w:num="1"/>
          <w:docGrid w:type="lines" w:linePitch="319" w:charSpace="0"/>
        </w:sectPr>
      </w:pPr>
    </w:p>
    <w:p>
      <w:pPr>
        <w:spacing w:before="0" w:line="360" w:lineRule="auto"/>
        <w:ind w:right="0"/>
        <w:outlineLvl w:val="1"/>
        <w:rPr>
          <w:rStyle w:val="13"/>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spacing w:after="100"/>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rPr>
        <w:t>询比价申请文件（另册）</w:t>
      </w: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ind w:left="200" w:firstLine="0"/>
        <w:rPr>
          <w:rStyle w:val="13"/>
          <w:rFonts w:ascii="Times New Roman" w:hAnsi="Times New Roman"/>
          <w:color w:val="auto"/>
          <w:szCs w:val="22"/>
        </w:rPr>
      </w:pPr>
    </w:p>
    <w:p>
      <w:pPr>
        <w:pStyle w:val="12"/>
        <w:numPr>
          <w:ilvl w:val="0"/>
          <w:numId w:val="52"/>
        </w:numPr>
        <w:jc w:val="center"/>
        <w:rPr>
          <w:rStyle w:val="13"/>
          <w:rFonts w:ascii="Times New Roman" w:hAnsi="Times New Roman"/>
          <w:color w:val="auto"/>
          <w:szCs w:val="22"/>
        </w:rPr>
      </w:pPr>
      <w:r>
        <w:rPr>
          <w:rStyle w:val="13"/>
          <w:rFonts w:hint="eastAsia" w:ascii="Times New Roman" w:hAnsi="Times New Roman"/>
          <w:color w:val="auto"/>
          <w:szCs w:val="22"/>
          <w:lang w:val="en-US" w:eastAsia="zh-CN"/>
        </w:rPr>
        <w:t>合同附件</w:t>
      </w:r>
    </w:p>
    <w:p>
      <w:pPr>
        <w:pStyle w:val="12"/>
        <w:ind w:left="200" w:firstLine="0"/>
        <w:rPr>
          <w:rStyle w:val="13"/>
          <w:rFonts w:ascii="Times New Roman" w:hAnsi="Times New Roman"/>
          <w:color w:val="auto"/>
          <w:szCs w:val="22"/>
        </w:rPr>
      </w:pPr>
    </w:p>
    <w:p>
      <w:pPr>
        <w:spacing w:before="0" w:line="360" w:lineRule="auto"/>
        <w:ind w:left="420" w:leftChars="200" w:right="0"/>
        <w:outlineLvl w:val="1"/>
        <w:rPr>
          <w:rStyle w:val="13"/>
          <w:color w:val="auto"/>
          <w:szCs w:val="22"/>
        </w:rPr>
      </w:pPr>
    </w:p>
    <w:p>
      <w:pPr>
        <w:spacing w:before="0" w:line="360" w:lineRule="auto"/>
        <w:ind w:right="0"/>
        <w:jc w:val="center"/>
        <w:outlineLvl w:val="1"/>
        <w:rPr>
          <w:rStyle w:val="13"/>
          <w:color w:val="auto"/>
          <w:szCs w:val="22"/>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Bx08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EpBx08PAgAACQ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66515"/>
    </w:sdtPr>
    <w:sdtContent>
      <w:p>
        <w:pPr>
          <w:pStyle w:val="4"/>
          <w:jc w:val="center"/>
        </w:pPr>
        <w:r>
          <w:fldChar w:fldCharType="begin"/>
        </w:r>
        <w:r>
          <w:instrText xml:space="preserve">PAGE   \* MERGEFORMAT</w:instrText>
        </w:r>
        <w:r>
          <w:fldChar w:fldCharType="separate"/>
        </w:r>
        <w:r>
          <w:rPr>
            <w:lang w:val="zh-CN"/>
          </w:rPr>
          <w:t>27</w:t>
        </w:r>
        <w:r>
          <w:fldChar w:fldCharType="end"/>
        </w:r>
      </w:p>
    </w:sdtContent>
  </w:sdt>
  <w:p>
    <w:pPr>
      <w:pStyle w:val="5"/>
      <w:pBdr>
        <w:bottom w:val="none" w:color="auto" w:sz="0" w:space="0"/>
      </w:pBdr>
      <w:tabs>
        <w:tab w:val="right" w:pos="8728"/>
        <w:tab w:val="clear" w:pos="4153"/>
        <w:tab w:val="clear" w:pos="8306"/>
      </w:tabs>
      <w:ind w:right="343"/>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w:t>
                          </w:r>
                          <w:r>
                            <w:rPr>
                              <w:rFonts w:hint="eastAsia"/>
                              <w:lang w:val="en-US" w:eastAsia="zh-CN"/>
                            </w:rPr>
                            <w:t>2</w:t>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30</w:t>
                    </w:r>
                    <w:r>
                      <w:rPr>
                        <w:rFonts w:hint="eastAsia"/>
                      </w:rPr>
                      <w:fldChar w:fldCharType="end"/>
                    </w:r>
                    <w:r>
                      <w:rPr>
                        <w:rFonts w:hint="eastAsia"/>
                      </w:rPr>
                      <w:t xml:space="preserve"> 页 共 </w:t>
                    </w:r>
                    <w:r>
                      <w:t>3</w:t>
                    </w:r>
                    <w:r>
                      <w:rPr>
                        <w:rFonts w:hint="eastAsia"/>
                        <w:lang w:val="en-US" w:eastAsia="zh-CN"/>
                      </w:rPr>
                      <w:t>2</w:t>
                    </w:r>
                    <w:r>
                      <w:rPr>
                        <w:rFonts w:hint="eastAsia"/>
                      </w:rPr>
                      <w:t xml:space="preserve"> 页</w:t>
                    </w:r>
                  </w:p>
                </w:txbxContent>
              </v:textbox>
            </v:shape>
          </w:pict>
        </mc:Fallback>
      </mc:AlternateContent>
    </w:r>
  </w:p>
  <w:p>
    <w:pPr>
      <w:pStyle w:val="5"/>
      <w:pBdr>
        <w:bottom w:val="none" w:color="auto" w:sz="0" w:space="0"/>
      </w:pBdr>
      <w:tabs>
        <w:tab w:val="right" w:pos="8728"/>
        <w:tab w:val="clear" w:pos="4153"/>
        <w:tab w:val="clear" w:pos="8306"/>
      </w:tabs>
      <w:ind w:right="343"/>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right"/>
    </w:pPr>
    <w:r>
      <w:drawing>
        <wp:anchor distT="0" distB="0" distL="0" distR="0" simplePos="0" relativeHeight="251657216" behindDoc="1" locked="0" layoutInCell="1" allowOverlap="1">
          <wp:simplePos x="0" y="0"/>
          <wp:positionH relativeFrom="column">
            <wp:posOffset>26035</wp:posOffset>
          </wp:positionH>
          <wp:positionV relativeFrom="paragraph">
            <wp:posOffset>-8255</wp:posOffset>
          </wp:positionV>
          <wp:extent cx="2017395" cy="229870"/>
          <wp:effectExtent l="0" t="0" r="1905" b="1778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
    <w:nsid w:val="2F000004"/>
    <w:multiLevelType w:val="multilevel"/>
    <w:tmpl w:val="2F000004"/>
    <w:lvl w:ilvl="0" w:tentative="0">
      <w:start w:val="1"/>
      <w:numFmt w:val="decimal"/>
      <w:lvlText w:val="7.%1"/>
      <w:lvlJc w:val="left"/>
      <w:pPr>
        <w:tabs>
          <w:tab w:val="left" w:pos="1134"/>
        </w:tabs>
        <w:ind w:left="1134" w:hanging="1134"/>
      </w:pPr>
      <w:rPr>
        <w:rFonts w:hint="eastAsia" w:cs="Times New Roman"/>
        <w:b w:val="0"/>
        <w:i w:val="0"/>
        <w:sz w:val="21"/>
        <w:szCs w:val="21"/>
      </w:rPr>
    </w:lvl>
    <w:lvl w:ilvl="1" w:tentative="0">
      <w:start w:val="1"/>
      <w:numFmt w:val="decimal"/>
      <w:lvlText w:val="7.1.%2"/>
      <w:lvlJc w:val="left"/>
      <w:pPr>
        <w:tabs>
          <w:tab w:val="left" w:pos="1134"/>
        </w:tabs>
        <w:ind w:left="1134" w:hanging="1134"/>
      </w:pPr>
      <w:rPr>
        <w:rFonts w:hint="eastAsia" w:cs="Times New Roman"/>
        <w:b w:val="0"/>
        <w:i w:val="0"/>
        <w:sz w:val="21"/>
        <w:szCs w:val="21"/>
      </w:rPr>
    </w:lvl>
    <w:lvl w:ilvl="2" w:tentative="0">
      <w:start w:val="1"/>
      <w:numFmt w:val="lowerRoman"/>
      <w:lvlText w:val="%3."/>
      <w:lvlJc w:val="right"/>
      <w:pPr>
        <w:tabs>
          <w:tab w:val="left" w:pos="840"/>
        </w:tabs>
        <w:ind w:left="840" w:hanging="420"/>
      </w:pPr>
      <w:rPr>
        <w:rFonts w:cs="Times New Roman"/>
      </w:rPr>
    </w:lvl>
    <w:lvl w:ilvl="3" w:tentative="0">
      <w:start w:val="1"/>
      <w:numFmt w:val="decimal"/>
      <w:lvlText w:val="%4."/>
      <w:lvlJc w:val="left"/>
      <w:pPr>
        <w:tabs>
          <w:tab w:val="left" w:pos="1260"/>
        </w:tabs>
        <w:ind w:left="1260" w:hanging="420"/>
      </w:pPr>
      <w:rPr>
        <w:rFonts w:cs="Times New Roman"/>
      </w:rPr>
    </w:lvl>
    <w:lvl w:ilvl="4" w:tentative="0">
      <w:start w:val="1"/>
      <w:numFmt w:val="lowerLetter"/>
      <w:lvlText w:val="%5)"/>
      <w:lvlJc w:val="left"/>
      <w:pPr>
        <w:tabs>
          <w:tab w:val="left" w:pos="1680"/>
        </w:tabs>
        <w:ind w:left="1680" w:hanging="420"/>
      </w:pPr>
      <w:rPr>
        <w:rFonts w:cs="Times New Roman"/>
      </w:rPr>
    </w:lvl>
    <w:lvl w:ilvl="5" w:tentative="0">
      <w:start w:val="1"/>
      <w:numFmt w:val="lowerRoman"/>
      <w:lvlText w:val="%6."/>
      <w:lvlJc w:val="right"/>
      <w:pPr>
        <w:tabs>
          <w:tab w:val="left" w:pos="2100"/>
        </w:tabs>
        <w:ind w:left="2100" w:hanging="420"/>
      </w:pPr>
      <w:rPr>
        <w:rFonts w:cs="Times New Roman"/>
      </w:rPr>
    </w:lvl>
    <w:lvl w:ilvl="6" w:tentative="0">
      <w:start w:val="1"/>
      <w:numFmt w:val="decimal"/>
      <w:lvlText w:val="%7."/>
      <w:lvlJc w:val="left"/>
      <w:pPr>
        <w:tabs>
          <w:tab w:val="left" w:pos="2520"/>
        </w:tabs>
        <w:ind w:left="2520" w:hanging="420"/>
      </w:pPr>
      <w:rPr>
        <w:rFonts w:cs="Times New Roman"/>
      </w:rPr>
    </w:lvl>
    <w:lvl w:ilvl="7" w:tentative="0">
      <w:start w:val="1"/>
      <w:numFmt w:val="lowerLetter"/>
      <w:lvlText w:val="%8)"/>
      <w:lvlJc w:val="left"/>
      <w:pPr>
        <w:tabs>
          <w:tab w:val="left" w:pos="2940"/>
        </w:tabs>
        <w:ind w:left="2940" w:hanging="420"/>
      </w:pPr>
      <w:rPr>
        <w:rFonts w:cs="Times New Roman"/>
      </w:rPr>
    </w:lvl>
    <w:lvl w:ilvl="8" w:tentative="0">
      <w:start w:val="1"/>
      <w:numFmt w:val="lowerRoman"/>
      <w:lvlText w:val="%9."/>
      <w:lvlJc w:val="right"/>
      <w:pPr>
        <w:tabs>
          <w:tab w:val="left" w:pos="3360"/>
        </w:tabs>
        <w:ind w:left="3360" w:hanging="420"/>
      </w:pPr>
      <w:rPr>
        <w:rFonts w:cs="Times New Roman"/>
      </w:rPr>
    </w:lvl>
  </w:abstractNum>
  <w:abstractNum w:abstractNumId="2">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3">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8">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9">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0">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1">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2">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3">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4">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5">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6">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7">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8">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9">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1">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2">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4">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25">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6">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8">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9">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0">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1">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2">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3">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4">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36">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7">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8">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39">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1">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2">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3">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4">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45">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46">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47">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48">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0">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1">
    <w:nsid w:val="44256D71"/>
    <w:multiLevelType w:val="singleLevel"/>
    <w:tmpl w:val="44256D71"/>
    <w:lvl w:ilvl="0" w:tentative="0">
      <w:start w:val="3"/>
      <w:numFmt w:val="chineseCounting"/>
      <w:suff w:val="space"/>
      <w:lvlText w:val="第%1部分"/>
      <w:lvlJc w:val="left"/>
      <w:rPr>
        <w:rFonts w:hint="eastAsia"/>
      </w:rPr>
    </w:lvl>
  </w:abstractNum>
  <w:num w:numId="1">
    <w:abstractNumId w:val="6"/>
  </w:num>
  <w:num w:numId="2">
    <w:abstractNumId w:val="20"/>
  </w:num>
  <w:num w:numId="3">
    <w:abstractNumId w:val="10"/>
  </w:num>
  <w:num w:numId="4">
    <w:abstractNumId w:val="17"/>
  </w:num>
  <w:num w:numId="5">
    <w:abstractNumId w:val="2"/>
  </w:num>
  <w:num w:numId="6">
    <w:abstractNumId w:val="19"/>
  </w:num>
  <w:num w:numId="7">
    <w:abstractNumId w:val="1"/>
  </w:num>
  <w:num w:numId="8">
    <w:abstractNumId w:val="18"/>
  </w:num>
  <w:num w:numId="9">
    <w:abstractNumId w:val="8"/>
  </w:num>
  <w:num w:numId="10">
    <w:abstractNumId w:val="21"/>
  </w:num>
  <w:num w:numId="11">
    <w:abstractNumId w:val="5"/>
  </w:num>
  <w:num w:numId="12">
    <w:abstractNumId w:val="14"/>
  </w:num>
  <w:num w:numId="13">
    <w:abstractNumId w:val="15"/>
  </w:num>
  <w:num w:numId="14">
    <w:abstractNumId w:val="11"/>
  </w:num>
  <w:num w:numId="15">
    <w:abstractNumId w:val="23"/>
  </w:num>
  <w:num w:numId="16">
    <w:abstractNumId w:val="4"/>
  </w:num>
  <w:num w:numId="17">
    <w:abstractNumId w:val="27"/>
  </w:num>
  <w:num w:numId="18">
    <w:abstractNumId w:val="0"/>
  </w:num>
  <w:num w:numId="19">
    <w:abstractNumId w:val="36"/>
  </w:num>
  <w:num w:numId="20">
    <w:abstractNumId w:val="47"/>
  </w:num>
  <w:num w:numId="21">
    <w:abstractNumId w:val="3"/>
  </w:num>
  <w:num w:numId="22">
    <w:abstractNumId w:val="26"/>
  </w:num>
  <w:num w:numId="23">
    <w:abstractNumId w:val="9"/>
  </w:num>
  <w:num w:numId="24">
    <w:abstractNumId w:val="12"/>
  </w:num>
  <w:num w:numId="25">
    <w:abstractNumId w:val="37"/>
  </w:num>
  <w:num w:numId="26">
    <w:abstractNumId w:val="24"/>
  </w:num>
  <w:num w:numId="27">
    <w:abstractNumId w:val="40"/>
  </w:num>
  <w:num w:numId="28">
    <w:abstractNumId w:val="22"/>
  </w:num>
  <w:num w:numId="29">
    <w:abstractNumId w:val="16"/>
  </w:num>
  <w:num w:numId="30">
    <w:abstractNumId w:val="46"/>
  </w:num>
  <w:num w:numId="31">
    <w:abstractNumId w:val="7"/>
  </w:num>
  <w:num w:numId="32">
    <w:abstractNumId w:val="49"/>
  </w:num>
  <w:num w:numId="33">
    <w:abstractNumId w:val="43"/>
  </w:num>
  <w:num w:numId="34">
    <w:abstractNumId w:val="45"/>
  </w:num>
  <w:num w:numId="35">
    <w:abstractNumId w:val="29"/>
  </w:num>
  <w:num w:numId="36">
    <w:abstractNumId w:val="41"/>
  </w:num>
  <w:num w:numId="37">
    <w:abstractNumId w:val="28"/>
  </w:num>
  <w:num w:numId="38">
    <w:abstractNumId w:val="34"/>
  </w:num>
  <w:num w:numId="39">
    <w:abstractNumId w:val="25"/>
  </w:num>
  <w:num w:numId="40">
    <w:abstractNumId w:val="33"/>
  </w:num>
  <w:num w:numId="41">
    <w:abstractNumId w:val="42"/>
  </w:num>
  <w:num w:numId="42">
    <w:abstractNumId w:val="30"/>
  </w:num>
  <w:num w:numId="43">
    <w:abstractNumId w:val="31"/>
  </w:num>
  <w:num w:numId="44">
    <w:abstractNumId w:val="32"/>
  </w:num>
  <w:num w:numId="45">
    <w:abstractNumId w:val="44"/>
  </w:num>
  <w:num w:numId="46">
    <w:abstractNumId w:val="13"/>
  </w:num>
  <w:num w:numId="47">
    <w:abstractNumId w:val="38"/>
  </w:num>
  <w:num w:numId="48">
    <w:abstractNumId w:val="35"/>
  </w:num>
  <w:num w:numId="49">
    <w:abstractNumId w:val="39"/>
  </w:num>
  <w:num w:numId="50">
    <w:abstractNumId w:val="50"/>
  </w:num>
  <w:num w:numId="51">
    <w:abstractNumId w:val="48"/>
  </w:num>
  <w:num w:numId="5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475A9A"/>
    <w:rsid w:val="00022769"/>
    <w:rsid w:val="00033A27"/>
    <w:rsid w:val="00103618"/>
    <w:rsid w:val="00131CA0"/>
    <w:rsid w:val="0014431B"/>
    <w:rsid w:val="001759F8"/>
    <w:rsid w:val="001E28E6"/>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A2BD3"/>
    <w:rsid w:val="005B7DFD"/>
    <w:rsid w:val="005C3C48"/>
    <w:rsid w:val="005D16C4"/>
    <w:rsid w:val="006010E1"/>
    <w:rsid w:val="00623269"/>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C3315D"/>
    <w:rsid w:val="00CA464B"/>
    <w:rsid w:val="00CD6F2D"/>
    <w:rsid w:val="00CE618F"/>
    <w:rsid w:val="00CF0016"/>
    <w:rsid w:val="00D024D1"/>
    <w:rsid w:val="00D27CC3"/>
    <w:rsid w:val="00D36944"/>
    <w:rsid w:val="00DC63C4"/>
    <w:rsid w:val="00DD215E"/>
    <w:rsid w:val="00DD7382"/>
    <w:rsid w:val="00DF1A5B"/>
    <w:rsid w:val="00DF2B2A"/>
    <w:rsid w:val="00E14016"/>
    <w:rsid w:val="00E33A7C"/>
    <w:rsid w:val="00E34902"/>
    <w:rsid w:val="00E44E84"/>
    <w:rsid w:val="00E82D57"/>
    <w:rsid w:val="00EE50DE"/>
    <w:rsid w:val="00F03970"/>
    <w:rsid w:val="00F1116F"/>
    <w:rsid w:val="00F21163"/>
    <w:rsid w:val="00F25D7F"/>
    <w:rsid w:val="00F54B9C"/>
    <w:rsid w:val="00F84FC5"/>
    <w:rsid w:val="00F86C48"/>
    <w:rsid w:val="00FE5826"/>
    <w:rsid w:val="00FE6A54"/>
    <w:rsid w:val="00FF56BF"/>
    <w:rsid w:val="01CD45AC"/>
    <w:rsid w:val="02396843"/>
    <w:rsid w:val="02450123"/>
    <w:rsid w:val="02827A4B"/>
    <w:rsid w:val="042A4508"/>
    <w:rsid w:val="052D0CFE"/>
    <w:rsid w:val="057B60E1"/>
    <w:rsid w:val="07FA49AB"/>
    <w:rsid w:val="08F14400"/>
    <w:rsid w:val="0B197A7E"/>
    <w:rsid w:val="0D07455D"/>
    <w:rsid w:val="0D51071B"/>
    <w:rsid w:val="121E77F4"/>
    <w:rsid w:val="12ED4399"/>
    <w:rsid w:val="132C3849"/>
    <w:rsid w:val="1478212B"/>
    <w:rsid w:val="14792F82"/>
    <w:rsid w:val="147D2931"/>
    <w:rsid w:val="15B00394"/>
    <w:rsid w:val="160055A9"/>
    <w:rsid w:val="16855AD3"/>
    <w:rsid w:val="179B04F5"/>
    <w:rsid w:val="17A6670E"/>
    <w:rsid w:val="19C07C1E"/>
    <w:rsid w:val="1A5A63B0"/>
    <w:rsid w:val="1B0A660C"/>
    <w:rsid w:val="1BC21AF9"/>
    <w:rsid w:val="1C787B29"/>
    <w:rsid w:val="205E2AB7"/>
    <w:rsid w:val="208A1627"/>
    <w:rsid w:val="20AA4C03"/>
    <w:rsid w:val="21681DFF"/>
    <w:rsid w:val="25B65426"/>
    <w:rsid w:val="27D73AAC"/>
    <w:rsid w:val="28DA7D1A"/>
    <w:rsid w:val="29D9523C"/>
    <w:rsid w:val="2B3A7446"/>
    <w:rsid w:val="2CA05131"/>
    <w:rsid w:val="2D6523F7"/>
    <w:rsid w:val="2E0E3201"/>
    <w:rsid w:val="2E9473C9"/>
    <w:rsid w:val="2E956B1A"/>
    <w:rsid w:val="30940782"/>
    <w:rsid w:val="30BC0E80"/>
    <w:rsid w:val="30CA1C2C"/>
    <w:rsid w:val="317C6BA3"/>
    <w:rsid w:val="35112B28"/>
    <w:rsid w:val="36FF6025"/>
    <w:rsid w:val="371E5229"/>
    <w:rsid w:val="379D15E7"/>
    <w:rsid w:val="37F40213"/>
    <w:rsid w:val="39070333"/>
    <w:rsid w:val="3A355932"/>
    <w:rsid w:val="3B302265"/>
    <w:rsid w:val="3C1817DF"/>
    <w:rsid w:val="3CE178DF"/>
    <w:rsid w:val="3E1F7B3F"/>
    <w:rsid w:val="3F584513"/>
    <w:rsid w:val="3F5A7455"/>
    <w:rsid w:val="3F5C7CA7"/>
    <w:rsid w:val="43B72F8D"/>
    <w:rsid w:val="43FA0FC1"/>
    <w:rsid w:val="4782345F"/>
    <w:rsid w:val="47904FB9"/>
    <w:rsid w:val="47A65BDB"/>
    <w:rsid w:val="499E2C72"/>
    <w:rsid w:val="4BA42C26"/>
    <w:rsid w:val="4D550455"/>
    <w:rsid w:val="4E536310"/>
    <w:rsid w:val="4E700907"/>
    <w:rsid w:val="4EAD69ED"/>
    <w:rsid w:val="4F0B266E"/>
    <w:rsid w:val="504A7C44"/>
    <w:rsid w:val="52EA2463"/>
    <w:rsid w:val="55DE1203"/>
    <w:rsid w:val="568052C3"/>
    <w:rsid w:val="570F3CBB"/>
    <w:rsid w:val="572E7817"/>
    <w:rsid w:val="574D099F"/>
    <w:rsid w:val="587D26A1"/>
    <w:rsid w:val="58D7463B"/>
    <w:rsid w:val="590F317D"/>
    <w:rsid w:val="59EB3107"/>
    <w:rsid w:val="5A850258"/>
    <w:rsid w:val="5C3C1E1E"/>
    <w:rsid w:val="5CBE336B"/>
    <w:rsid w:val="5F314DBF"/>
    <w:rsid w:val="60C272CD"/>
    <w:rsid w:val="61886EF4"/>
    <w:rsid w:val="621B2422"/>
    <w:rsid w:val="62B4510A"/>
    <w:rsid w:val="63E42CB7"/>
    <w:rsid w:val="651D232D"/>
    <w:rsid w:val="66F4687E"/>
    <w:rsid w:val="67B60C43"/>
    <w:rsid w:val="686B4770"/>
    <w:rsid w:val="68A35D71"/>
    <w:rsid w:val="6999259D"/>
    <w:rsid w:val="6A475A9A"/>
    <w:rsid w:val="6B2C74C2"/>
    <w:rsid w:val="6D9E6D68"/>
    <w:rsid w:val="706604B2"/>
    <w:rsid w:val="7159302D"/>
    <w:rsid w:val="720A5933"/>
    <w:rsid w:val="7215669A"/>
    <w:rsid w:val="742D0851"/>
    <w:rsid w:val="74F51C1E"/>
    <w:rsid w:val="75201CD6"/>
    <w:rsid w:val="75E639E8"/>
    <w:rsid w:val="75F548DD"/>
    <w:rsid w:val="76563F83"/>
    <w:rsid w:val="76AF78B8"/>
    <w:rsid w:val="77251906"/>
    <w:rsid w:val="77527084"/>
    <w:rsid w:val="79B05402"/>
    <w:rsid w:val="79F33210"/>
    <w:rsid w:val="7A0A6478"/>
    <w:rsid w:val="7A726C1A"/>
    <w:rsid w:val="7AE4389D"/>
    <w:rsid w:val="7C0B5867"/>
    <w:rsid w:val="7DA86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before="120" w:afterAutospacing="1" w:line="400" w:lineRule="exact"/>
      <w:ind w:right="-28"/>
      <w:jc w:val="both"/>
    </w:pPr>
    <w:rPr>
      <w:rFonts w:ascii="Times New Roman" w:hAnsi="Times New Roman" w:eastAsia="宋体" w:cs="Times New Roman"/>
      <w:sz w:val="21"/>
      <w:szCs w:val="21"/>
      <w:lang w:val="en-US" w:eastAsia="zh-CN" w:bidi="ar-SA"/>
    </w:rPr>
  </w:style>
  <w:style w:type="paragraph" w:styleId="2">
    <w:name w:val="heading 1"/>
    <w:basedOn w:val="1"/>
    <w:next w:val="1"/>
    <w:link w:val="13"/>
    <w:qFormat/>
    <w:uiPriority w:val="0"/>
    <w:pPr>
      <w:keepNext/>
      <w:keepLines/>
      <w:spacing w:before="100" w:after="40" w:afterAutospacing="0" w:line="576" w:lineRule="auto"/>
      <w:ind w:right="-34"/>
      <w:jc w:val="center"/>
      <w:outlineLvl w:val="0"/>
    </w:pPr>
    <w:rPr>
      <w:b/>
      <w:kern w:val="44"/>
      <w:sz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Plain Text"/>
    <w:basedOn w:val="1"/>
    <w:link w:val="14"/>
    <w:unhideWhenUsed/>
    <w:qFormat/>
    <w:uiPriority w:val="0"/>
    <w:rPr>
      <w:rFonts w:ascii="宋体" w:hAnsi="Courier New" w:cs="宋体"/>
      <w:sz w:val="20"/>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pPr>
    <w:rPr>
      <w:sz w:val="16"/>
      <w:szCs w:val="16"/>
    </w:rPr>
  </w:style>
  <w:style w:type="paragraph" w:styleId="7">
    <w:name w:val="Title"/>
    <w:basedOn w:val="1"/>
    <w:next w:val="1"/>
    <w:qFormat/>
    <w:uiPriority w:val="0"/>
    <w:pPr>
      <w:spacing w:before="240" w:after="60"/>
      <w:jc w:val="center"/>
      <w:outlineLvl w:val="0"/>
    </w:pPr>
    <w:rPr>
      <w:rFonts w:ascii="Cambria" w:hAnsi="Cambria"/>
      <w:b/>
      <w:bCs/>
      <w:sz w:val="32"/>
      <w:szCs w:val="32"/>
      <w:lang w:val="zh-CN"/>
    </w:rPr>
  </w:style>
  <w:style w:type="table" w:styleId="9">
    <w:name w:val="Table Grid"/>
    <w:basedOn w:val="8"/>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标题 2 Char"/>
    <w:qFormat/>
    <w:uiPriority w:val="0"/>
    <w:rPr>
      <w:rFonts w:ascii="Arial" w:hAnsi="Arial" w:eastAsia="黑体"/>
      <w:b/>
      <w:sz w:val="32"/>
      <w:szCs w:val="32"/>
    </w:rPr>
  </w:style>
  <w:style w:type="paragraph" w:styleId="12">
    <w:name w:val="List Paragraph"/>
    <w:basedOn w:val="1"/>
    <w:qFormat/>
    <w:uiPriority w:val="34"/>
    <w:pPr>
      <w:ind w:firstLine="200"/>
    </w:pPr>
    <w:rPr>
      <w:rFonts w:ascii="Calibri" w:hAnsi="Calibri"/>
    </w:rPr>
  </w:style>
  <w:style w:type="character" w:customStyle="1" w:styleId="13">
    <w:name w:val="标题 1 字符"/>
    <w:link w:val="2"/>
    <w:qFormat/>
    <w:uiPriority w:val="0"/>
    <w:rPr>
      <w:b/>
      <w:kern w:val="44"/>
      <w:sz w:val="32"/>
    </w:rPr>
  </w:style>
  <w:style w:type="character" w:customStyle="1" w:styleId="14">
    <w:name w:val="纯文本 字符"/>
    <w:link w:val="3"/>
    <w:qFormat/>
    <w:locked/>
    <w:uiPriority w:val="0"/>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3253</Words>
  <Characters>18544</Characters>
  <Lines>154</Lines>
  <Paragraphs>43</Paragraphs>
  <TotalTime>1</TotalTime>
  <ScaleCrop>false</ScaleCrop>
  <LinksUpToDate>false</LinksUpToDate>
  <CharactersWithSpaces>21754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2020-01-21T09:16:00Z</dcterms:created>
  <dc:creator>董杨凝</dc:creator>
  <cp:lastModifiedBy>CRWRA0BdMnHhQcPbYe04ItwXAt2ZODDtMVpceRKHqg7FZ60s9V544di9z784Ev1jzaTNWC4owD2n9G3F5IQWPg==</cp:lastModifiedBy>
  <dcterms:modified xsi:type="dcterms:W3CDTF">2022-01-11T02:19:57Z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