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096" w:firstLineChars="1700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bCs/>
          <w:sz w:val="24"/>
          <w:szCs w:val="24"/>
        </w:rPr>
        <w:t>南宁轨道交通集团轨道2号东延线融资租赁（回租）项目报价表</w:t>
      </w:r>
    </w:p>
    <w:p>
      <w:pPr>
        <w:spacing w:line="560" w:lineRule="exact"/>
        <w:ind w:firstLine="241" w:firstLineChars="1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单位：（公章）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329"/>
        <w:gridCol w:w="1680"/>
        <w:gridCol w:w="2030"/>
        <w:gridCol w:w="2031"/>
        <w:gridCol w:w="190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5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3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项目名称</w:t>
            </w:r>
          </w:p>
        </w:tc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融资额度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亿元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期限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03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利率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综合成本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4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首期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放款日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val="en-US" w:eastAsia="zh-CN"/>
              </w:rPr>
              <w:t>年/月/日</w:t>
            </w: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158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329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68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03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031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905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340" w:type="dxa"/>
            <w:noWrap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1E18"/>
    <w:rsid w:val="6E5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2022-01-12T12:16:00Z</dcterms:created>
  <dc:creator>石头</dc:creator>
  <cp:lastModifiedBy>石头</cp:lastModifiedBy>
  <dcterms:modified xsi:type="dcterms:W3CDTF">2022-01-12T12:17:48Z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