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南宁轨道交通</w:t>
      </w:r>
      <w:r>
        <w:rPr>
          <w:rFonts w:hint="eastAsia" w:ascii="仿宋" w:hAnsi="仿宋" w:eastAsia="仿宋" w:cs="仿宋"/>
          <w:b/>
          <w:bCs/>
          <w:sz w:val="36"/>
          <w:szCs w:val="36"/>
          <w:lang w:eastAsia="zh-CN"/>
        </w:rPr>
        <w:t>运营</w:t>
      </w:r>
      <w:r>
        <w:rPr>
          <w:rFonts w:hint="eastAsia" w:ascii="仿宋" w:hAnsi="仿宋" w:eastAsia="仿宋" w:cs="仿宋"/>
          <w:b/>
          <w:bCs/>
          <w:sz w:val="36"/>
          <w:szCs w:val="36"/>
        </w:rPr>
        <w:t>有限公司工会委员会2022年工会会员</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lang w:eastAsia="zh-CN"/>
        </w:rPr>
        <w:t>端午</w:t>
      </w:r>
      <w:r>
        <w:rPr>
          <w:rFonts w:hint="eastAsia" w:ascii="仿宋" w:hAnsi="仿宋" w:eastAsia="仿宋" w:cs="仿宋"/>
          <w:b/>
          <w:bCs/>
          <w:sz w:val="36"/>
          <w:szCs w:val="36"/>
        </w:rPr>
        <w:t>慰问品</w:t>
      </w:r>
      <w:r>
        <w:rPr>
          <w:rFonts w:hint="eastAsia" w:ascii="仿宋" w:hAnsi="仿宋" w:eastAsia="仿宋" w:cs="仿宋"/>
          <w:b/>
          <w:bCs/>
          <w:color w:val="000000" w:themeColor="text1"/>
          <w:sz w:val="36"/>
          <w:szCs w:val="36"/>
          <w14:textFill>
            <w14:solidFill>
              <w14:schemeClr w14:val="tx1"/>
            </w14:solidFill>
          </w14:textFill>
        </w:rPr>
        <w:t>采购</w:t>
      </w:r>
      <w:r>
        <w:rPr>
          <w:rFonts w:hint="eastAsia" w:ascii="仿宋" w:hAnsi="仿宋" w:eastAsia="仿宋" w:cs="仿宋"/>
          <w:b/>
          <w:bCs/>
          <w:sz w:val="36"/>
          <w:szCs w:val="36"/>
        </w:rPr>
        <w:t>合同</w:t>
      </w:r>
    </w:p>
    <w:p>
      <w:pPr>
        <w:spacing w:line="380" w:lineRule="exact"/>
        <w:rPr>
          <w:rFonts w:hint="eastAsia" w:ascii="仿宋" w:hAnsi="仿宋" w:eastAsia="仿宋" w:cs="仿宋"/>
          <w:b/>
          <w:bCs/>
          <w:sz w:val="30"/>
          <w:szCs w:val="30"/>
        </w:rPr>
      </w:pPr>
    </w:p>
    <w:p>
      <w:pPr>
        <w:spacing w:line="380" w:lineRule="exact"/>
        <w:rPr>
          <w:rFonts w:hint="eastAsia" w:ascii="仿宋" w:hAnsi="仿宋" w:eastAsia="仿宋" w:cs="仿宋"/>
          <w:b/>
          <w:bCs/>
          <w:sz w:val="30"/>
          <w:szCs w:val="30"/>
        </w:rPr>
      </w:pPr>
      <w:r>
        <w:rPr>
          <w:rFonts w:hint="eastAsia" w:ascii="仿宋" w:hAnsi="仿宋" w:eastAsia="仿宋" w:cs="仿宋"/>
          <w:b/>
          <w:bCs/>
          <w:sz w:val="30"/>
          <w:szCs w:val="30"/>
        </w:rPr>
        <w:t>甲方（需方）：南宁轨道交通</w:t>
      </w:r>
      <w:r>
        <w:rPr>
          <w:rFonts w:hint="eastAsia" w:ascii="仿宋" w:hAnsi="仿宋" w:eastAsia="仿宋" w:cs="仿宋"/>
          <w:b/>
          <w:bCs/>
          <w:sz w:val="30"/>
          <w:szCs w:val="30"/>
          <w:lang w:eastAsia="zh-CN"/>
        </w:rPr>
        <w:t>运营</w:t>
      </w:r>
      <w:r>
        <w:rPr>
          <w:rFonts w:hint="eastAsia" w:ascii="仿宋" w:hAnsi="仿宋" w:eastAsia="仿宋" w:cs="仿宋"/>
          <w:b/>
          <w:bCs/>
          <w:sz w:val="30"/>
          <w:szCs w:val="30"/>
        </w:rPr>
        <w:t>有限公司工会委员会</w:t>
      </w:r>
    </w:p>
    <w:p>
      <w:pPr>
        <w:spacing w:line="380" w:lineRule="exact"/>
        <w:rPr>
          <w:rFonts w:hint="eastAsia" w:ascii="仿宋" w:hAnsi="仿宋" w:eastAsia="仿宋" w:cs="仿宋"/>
          <w:b/>
          <w:sz w:val="30"/>
          <w:szCs w:val="30"/>
        </w:rPr>
      </w:pPr>
      <w:r>
        <w:rPr>
          <w:rFonts w:hint="eastAsia" w:ascii="仿宋" w:hAnsi="仿宋" w:eastAsia="仿宋" w:cs="仿宋"/>
          <w:b/>
          <w:bCs/>
          <w:sz w:val="30"/>
          <w:szCs w:val="30"/>
        </w:rPr>
        <w:t>乙方（供方）：</w:t>
      </w:r>
    </w:p>
    <w:p>
      <w:pPr>
        <w:spacing w:line="380" w:lineRule="exact"/>
        <w:rPr>
          <w:rFonts w:hint="eastAsia" w:ascii="仿宋" w:hAnsi="仿宋" w:eastAsia="仿宋" w:cs="仿宋"/>
          <w:b/>
          <w:sz w:val="30"/>
          <w:szCs w:val="30"/>
        </w:rPr>
      </w:pPr>
    </w:p>
    <w:p>
      <w:pPr>
        <w:pStyle w:val="2"/>
        <w:spacing w:line="3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经过公开询比价，确定</w:t>
      </w:r>
      <w:r>
        <w:rPr>
          <w:rFonts w:hint="eastAsia" w:ascii="仿宋" w:hAnsi="仿宋" w:eastAsia="仿宋" w:cs="仿宋"/>
          <w:sz w:val="30"/>
          <w:szCs w:val="30"/>
          <w:u w:val="single"/>
        </w:rPr>
        <w:t xml:space="preserve">                    </w:t>
      </w:r>
      <w:r>
        <w:rPr>
          <w:rFonts w:hint="eastAsia" w:ascii="仿宋" w:hAnsi="仿宋" w:eastAsia="仿宋" w:cs="仿宋"/>
          <w:sz w:val="30"/>
          <w:szCs w:val="30"/>
        </w:rPr>
        <w:t>为本次采购供货单位，为了便于甲、乙双方的合作，特订立本合同。</w:t>
      </w:r>
    </w:p>
    <w:p>
      <w:pPr>
        <w:adjustRightInd w:val="0"/>
        <w:snapToGrid w:val="0"/>
        <w:spacing w:line="380" w:lineRule="exact"/>
        <w:rPr>
          <w:rFonts w:hint="eastAsia" w:ascii="仿宋" w:hAnsi="仿宋" w:eastAsia="仿宋" w:cs="仿宋"/>
          <w:b/>
          <w:bCs/>
          <w:sz w:val="30"/>
          <w:szCs w:val="30"/>
        </w:rPr>
      </w:pPr>
      <w:r>
        <w:rPr>
          <w:rFonts w:hint="eastAsia" w:ascii="仿宋" w:hAnsi="仿宋" w:eastAsia="仿宋" w:cs="仿宋"/>
          <w:b/>
          <w:bCs/>
          <w:sz w:val="30"/>
          <w:szCs w:val="30"/>
        </w:rPr>
        <w:t>一、订货</w:t>
      </w:r>
    </w:p>
    <w:p>
      <w:pPr>
        <w:adjustRightInd w:val="0"/>
        <w:snapToGrid w:val="0"/>
        <w:spacing w:line="38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甲方根据需求向乙方订购商品，如下：</w:t>
      </w:r>
    </w:p>
    <w:tbl>
      <w:tblPr>
        <w:tblStyle w:val="6"/>
        <w:tblW w:w="9931" w:type="dxa"/>
        <w:tblInd w:w="93" w:type="dxa"/>
        <w:tblLayout w:type="fixed"/>
        <w:tblCellMar>
          <w:top w:w="0" w:type="dxa"/>
          <w:left w:w="108" w:type="dxa"/>
          <w:bottom w:w="0" w:type="dxa"/>
          <w:right w:w="108" w:type="dxa"/>
        </w:tblCellMar>
      </w:tblPr>
      <w:tblGrid>
        <w:gridCol w:w="651"/>
        <w:gridCol w:w="1811"/>
        <w:gridCol w:w="1919"/>
        <w:gridCol w:w="765"/>
        <w:gridCol w:w="1005"/>
        <w:gridCol w:w="1244"/>
        <w:gridCol w:w="1126"/>
        <w:gridCol w:w="1410"/>
      </w:tblGrid>
      <w:tr>
        <w:tblPrEx>
          <w:tblCellMar>
            <w:top w:w="0" w:type="dxa"/>
            <w:left w:w="108" w:type="dxa"/>
            <w:bottom w:w="0" w:type="dxa"/>
            <w:right w:w="108" w:type="dxa"/>
          </w:tblCellMar>
        </w:tblPrEx>
        <w:trPr>
          <w:trHeight w:val="678" w:hRule="atLeast"/>
        </w:trPr>
        <w:tc>
          <w:tcPr>
            <w:tcW w:w="6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lang w:val="en-US" w:eastAsia="zh-CN"/>
              </w:rPr>
              <w:t>序号</w:t>
            </w:r>
          </w:p>
        </w:tc>
        <w:tc>
          <w:tcPr>
            <w:tcW w:w="18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商品名称</w:t>
            </w: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规格参数</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单位</w:t>
            </w: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数量</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品牌</w:t>
            </w: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lang w:eastAsia="zh-CN"/>
              </w:rPr>
            </w:pPr>
            <w:r>
              <w:rPr>
                <w:rFonts w:hint="eastAsia" w:ascii="仿宋" w:hAnsi="仿宋" w:eastAsia="仿宋" w:cs="仿宋"/>
                <w:b/>
                <w:bCs/>
                <w:kern w:val="0"/>
                <w:sz w:val="30"/>
                <w:szCs w:val="30"/>
              </w:rPr>
              <w:t>含税单价</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lang w:val="en-US" w:eastAsia="zh-CN"/>
              </w:rPr>
              <w:t>元</w:t>
            </w:r>
            <w:r>
              <w:rPr>
                <w:rFonts w:hint="eastAsia" w:ascii="仿宋" w:hAnsi="仿宋" w:eastAsia="仿宋" w:cs="仿宋"/>
                <w:b/>
                <w:bCs/>
                <w:kern w:val="0"/>
                <w:sz w:val="30"/>
                <w:szCs w:val="30"/>
                <w:lang w:eastAsia="zh-CN"/>
              </w:rPr>
              <w:t>）</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b/>
                <w:bCs/>
                <w:kern w:val="0"/>
                <w:sz w:val="30"/>
                <w:szCs w:val="30"/>
              </w:rPr>
            </w:pPr>
            <w:r>
              <w:rPr>
                <w:rFonts w:hint="eastAsia" w:ascii="仿宋" w:hAnsi="仿宋" w:eastAsia="仿宋" w:cs="仿宋"/>
                <w:b/>
                <w:bCs/>
                <w:kern w:val="0"/>
                <w:sz w:val="30"/>
                <w:szCs w:val="30"/>
              </w:rPr>
              <w:t>含税合价（元）</w:t>
            </w: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2</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3</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4</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357" w:hRule="atLeast"/>
        </w:trPr>
        <w:tc>
          <w:tcPr>
            <w:tcW w:w="65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5</w:t>
            </w:r>
          </w:p>
        </w:tc>
        <w:tc>
          <w:tcPr>
            <w:tcW w:w="18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9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00" w:lineRule="exact"/>
              <w:ind w:left="0" w:leftChars="0" w:right="0" w:rightChars="0"/>
              <w:jc w:val="center"/>
              <w:textAlignment w:val="center"/>
              <w:rPr>
                <w:rFonts w:hint="eastAsia" w:ascii="仿宋" w:hAnsi="仿宋" w:eastAsia="仿宋" w:cs="仿宋"/>
                <w:color w:val="000000"/>
                <w:kern w:val="0"/>
                <w:sz w:val="30"/>
                <w:szCs w:val="30"/>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default" w:ascii="仿宋" w:hAnsi="仿宋" w:eastAsia="仿宋" w:cs="仿宋"/>
                <w:color w:val="000000"/>
                <w:kern w:val="0"/>
                <w:sz w:val="30"/>
                <w:szCs w:val="30"/>
                <w:lang w:val="en-US" w:eastAsia="zh-CN" w:bidi="ar"/>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center"/>
              <w:textAlignment w:val="center"/>
              <w:rPr>
                <w:rFonts w:hint="eastAsia" w:ascii="仿宋" w:hAnsi="仿宋" w:eastAsia="仿宋" w:cs="仿宋"/>
                <w:color w:val="000000"/>
                <w:kern w:val="0"/>
                <w:sz w:val="30"/>
                <w:szCs w:val="30"/>
                <w:lang w:bidi="ar"/>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00" w:lineRule="exact"/>
              <w:jc w:val="right"/>
              <w:textAlignment w:val="center"/>
              <w:rPr>
                <w:rFonts w:hint="eastAsia" w:ascii="仿宋" w:hAnsi="仿宋" w:eastAsia="仿宋" w:cs="仿宋"/>
                <w:color w:val="000000"/>
                <w:kern w:val="0"/>
                <w:sz w:val="30"/>
                <w:szCs w:val="30"/>
                <w:lang w:bidi="ar"/>
              </w:rPr>
            </w:pPr>
          </w:p>
        </w:tc>
      </w:tr>
      <w:tr>
        <w:tblPrEx>
          <w:tblCellMar>
            <w:top w:w="0" w:type="dxa"/>
            <w:left w:w="108" w:type="dxa"/>
            <w:bottom w:w="0" w:type="dxa"/>
            <w:right w:w="108" w:type="dxa"/>
          </w:tblCellMar>
        </w:tblPrEx>
        <w:trPr>
          <w:trHeight w:val="246" w:hRule="atLeast"/>
        </w:trPr>
        <w:tc>
          <w:tcPr>
            <w:tcW w:w="8521" w:type="dxa"/>
            <w:gridSpan w:val="7"/>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line="500" w:lineRule="exact"/>
              <w:jc w:val="center"/>
              <w:rPr>
                <w:rFonts w:hint="eastAsia" w:ascii="仿宋" w:hAnsi="仿宋" w:eastAsia="仿宋" w:cs="仿宋"/>
                <w:kern w:val="0"/>
                <w:sz w:val="30"/>
                <w:szCs w:val="30"/>
              </w:rPr>
            </w:pPr>
            <w:r>
              <w:rPr>
                <w:rFonts w:hint="eastAsia" w:ascii="仿宋" w:hAnsi="仿宋" w:eastAsia="仿宋" w:cs="仿宋"/>
                <w:kern w:val="0"/>
                <w:sz w:val="30"/>
                <w:szCs w:val="30"/>
              </w:rPr>
              <w:t>合计：</w:t>
            </w:r>
          </w:p>
        </w:tc>
        <w:tc>
          <w:tcPr>
            <w:tcW w:w="1410" w:type="dxa"/>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500" w:lineRule="exact"/>
              <w:jc w:val="right"/>
              <w:rPr>
                <w:rFonts w:hint="eastAsia" w:ascii="仿宋" w:hAnsi="仿宋" w:eastAsia="仿宋" w:cs="仿宋"/>
                <w:kern w:val="0"/>
                <w:sz w:val="30"/>
                <w:szCs w:val="30"/>
              </w:rPr>
            </w:pPr>
          </w:p>
        </w:tc>
      </w:tr>
    </w:tbl>
    <w:p>
      <w:pPr>
        <w:adjustRightInd w:val="0"/>
        <w:snapToGrid w:val="0"/>
        <w:spacing w:line="300" w:lineRule="auto"/>
        <w:ind w:firstLine="600" w:firstLineChars="200"/>
        <w:rPr>
          <w:rFonts w:hint="eastAsia" w:ascii="仿宋" w:hAnsi="仿宋" w:eastAsia="仿宋" w:cs="仿宋"/>
          <w:sz w:val="30"/>
          <w:szCs w:val="30"/>
        </w:rPr>
      </w:pP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sz w:val="30"/>
          <w:szCs w:val="30"/>
        </w:rPr>
        <w:t>以上报价包含：税金（乙方向甲方开据有效的增值税普通发票）、包装、运输、装卸、保险等所有费用。</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甲、乙双方对商品的价格应负有保密的义务。</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乙方严格按照甲方订购商品的名称、规格、品牌、价格供货。</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如甲方需临时增加订购数量，乙方也按照本合同单价向甲方供货至本合同约定的收货验收地点，</w:t>
      </w:r>
      <w:r>
        <w:rPr>
          <w:rFonts w:hint="eastAsia" w:ascii="仿宋" w:hAnsi="仿宋" w:eastAsia="仿宋" w:cs="仿宋"/>
          <w:sz w:val="30"/>
          <w:szCs w:val="30"/>
          <w:u w:val="single"/>
        </w:rPr>
        <w:t>具体验收地点</w:t>
      </w:r>
      <w:r>
        <w:rPr>
          <w:rFonts w:hint="eastAsia" w:ascii="仿宋" w:hAnsi="仿宋" w:eastAsia="仿宋" w:cs="仿宋"/>
          <w:sz w:val="30"/>
          <w:szCs w:val="30"/>
        </w:rPr>
        <w:t>如下：</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268"/>
        <w:gridCol w:w="67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序号</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收货验收地点</w:t>
            </w:r>
          </w:p>
        </w:tc>
        <w:tc>
          <w:tcPr>
            <w:tcW w:w="6770"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详细地址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1</w:t>
            </w:r>
          </w:p>
        </w:tc>
        <w:tc>
          <w:tcPr>
            <w:tcW w:w="2268"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rPr>
              <w:t>南宁轨道交通大厦</w:t>
            </w:r>
            <w:r>
              <w:rPr>
                <w:rFonts w:hint="eastAsia" w:ascii="仿宋" w:hAnsi="仿宋" w:eastAsia="仿宋" w:cs="仿宋"/>
                <w:sz w:val="30"/>
                <w:szCs w:val="30"/>
                <w:lang w:val="en-US" w:eastAsia="zh-CN"/>
              </w:rPr>
              <w:t>A1座</w:t>
            </w:r>
          </w:p>
        </w:tc>
        <w:tc>
          <w:tcPr>
            <w:tcW w:w="6770" w:type="dxa"/>
            <w:vAlign w:val="center"/>
          </w:tcPr>
          <w:p>
            <w:pPr>
              <w:pBdr>
                <w:bottom w:val="none" w:color="auto" w:sz="0" w:space="0"/>
              </w:pBd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rPr>
              <w:t>南宁市青秀区云景路69号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2</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屯里车辆段</w:t>
            </w:r>
          </w:p>
        </w:tc>
        <w:tc>
          <w:tcPr>
            <w:tcW w:w="6770"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rPr>
              <w:t>南宁市青秀区云景路83号</w:t>
            </w:r>
            <w:r>
              <w:rPr>
                <w:rFonts w:hint="eastAsia" w:ascii="仿宋" w:hAnsi="仿宋" w:eastAsia="仿宋" w:cs="仿宋"/>
                <w:kern w:val="0"/>
                <w:sz w:val="28"/>
                <w:szCs w:val="28"/>
              </w:rPr>
              <w:t>南宁轨道交通</w:t>
            </w:r>
            <w:r>
              <w:rPr>
                <w:rFonts w:hint="eastAsia" w:ascii="仿宋" w:hAnsi="仿宋" w:eastAsia="仿宋" w:cs="仿宋"/>
                <w:kern w:val="0"/>
                <w:sz w:val="28"/>
                <w:szCs w:val="28"/>
                <w:lang w:eastAsia="zh-CN"/>
              </w:rPr>
              <w:t>运营</w:t>
            </w:r>
            <w:r>
              <w:rPr>
                <w:rFonts w:hint="eastAsia" w:ascii="仿宋" w:hAnsi="仿宋" w:eastAsia="仿宋" w:cs="仿宋"/>
                <w:kern w:val="0"/>
                <w:sz w:val="28"/>
                <w:szCs w:val="28"/>
              </w:rPr>
              <w:t>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3</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安吉车辆段</w:t>
            </w:r>
          </w:p>
        </w:tc>
        <w:tc>
          <w:tcPr>
            <w:tcW w:w="6770"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南宁市西乡塘区G7201(安吉大桥)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4</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心圩车辆段</w:t>
            </w:r>
          </w:p>
        </w:tc>
        <w:tc>
          <w:tcPr>
            <w:tcW w:w="6770" w:type="dxa"/>
            <w:vAlign w:val="center"/>
          </w:tcPr>
          <w:p>
            <w:pPr>
              <w:pBdr>
                <w:bottom w:val="none" w:color="auto" w:sz="0" w:space="0"/>
              </w:pBd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u w:val="none"/>
              </w:rPr>
              <w:t>南宁市西乡塘区新际路与振华路交叉口北140米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5</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五象车辆段</w:t>
            </w:r>
          </w:p>
        </w:tc>
        <w:tc>
          <w:tcPr>
            <w:tcW w:w="6770"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南宁市良庆区梁村大道辅路-南宁轨道交通4号线五象车辆段（具体位置可参考导航定位）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959"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6</w:t>
            </w:r>
          </w:p>
        </w:tc>
        <w:tc>
          <w:tcPr>
            <w:tcW w:w="2268"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那洪车辆段</w:t>
            </w:r>
          </w:p>
        </w:tc>
        <w:tc>
          <w:tcPr>
            <w:tcW w:w="6770" w:type="dxa"/>
            <w:vAlign w:val="center"/>
          </w:tcPr>
          <w:p>
            <w:pPr>
              <w:adjustRightInd w:val="0"/>
              <w:snapToGrid w:val="0"/>
              <w:spacing w:line="360" w:lineRule="exact"/>
              <w:jc w:val="center"/>
              <w:rPr>
                <w:rFonts w:hint="eastAsia" w:ascii="仿宋" w:hAnsi="仿宋" w:eastAsia="仿宋" w:cs="仿宋"/>
                <w:sz w:val="30"/>
                <w:szCs w:val="30"/>
              </w:rPr>
            </w:pPr>
            <w:r>
              <w:rPr>
                <w:rFonts w:hint="eastAsia" w:ascii="仿宋" w:hAnsi="仿宋" w:eastAsia="仿宋" w:cs="仿宋"/>
                <w:sz w:val="30"/>
                <w:szCs w:val="30"/>
              </w:rPr>
              <w:t>南宁市江南区G7201（那洪大桥）具体位置可参考导航定位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959"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p>
        </w:tc>
        <w:tc>
          <w:tcPr>
            <w:tcW w:w="2268"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西乡塘停车场</w:t>
            </w:r>
          </w:p>
        </w:tc>
        <w:tc>
          <w:tcPr>
            <w:tcW w:w="6770" w:type="dxa"/>
            <w:vAlign w:val="center"/>
          </w:tcPr>
          <w:p>
            <w:pP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南宁市西乡塘区石埠南互通东</w:t>
            </w:r>
            <w:r>
              <w:rPr>
                <w:rFonts w:hint="eastAsia" w:ascii="仿宋" w:hAnsi="仿宋" w:eastAsia="仿宋" w:cs="仿宋"/>
                <w:sz w:val="30"/>
                <w:szCs w:val="30"/>
                <w:lang w:val="en-US" w:eastAsia="zh-CN"/>
              </w:rPr>
              <w:t>150米</w:t>
            </w:r>
            <w:r>
              <w:rPr>
                <w:rFonts w:hint="eastAsia" w:ascii="仿宋" w:hAnsi="仿宋" w:eastAsia="仿宋" w:cs="仿宋"/>
                <w:sz w:val="30"/>
                <w:szCs w:val="30"/>
              </w:rPr>
              <w:t>（具体位置可参考导航定位）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trPr>
        <w:tc>
          <w:tcPr>
            <w:tcW w:w="959" w:type="dxa"/>
            <w:vAlign w:val="center"/>
          </w:tcPr>
          <w:p>
            <w:pPr>
              <w:adjustRightInd w:val="0"/>
              <w:snapToGrid w:val="0"/>
              <w:spacing w:line="360" w:lineRule="exac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w:t>
            </w:r>
          </w:p>
        </w:tc>
        <w:tc>
          <w:tcPr>
            <w:tcW w:w="2268" w:type="dxa"/>
            <w:vAlign w:val="center"/>
          </w:tcPr>
          <w:p>
            <w:pPr>
              <w:adjustRightInd w:val="0"/>
              <w:snapToGrid w:val="0"/>
              <w:spacing w:line="360" w:lineRule="exact"/>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t>新村停车场</w:t>
            </w:r>
          </w:p>
        </w:tc>
        <w:tc>
          <w:tcPr>
            <w:tcW w:w="6770" w:type="dxa"/>
            <w:vAlign w:val="center"/>
          </w:tcPr>
          <w:p>
            <w:pPr>
              <w:adjustRightInd w:val="0"/>
              <w:snapToGrid w:val="0"/>
              <w:spacing w:line="360" w:lineRule="exact"/>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南宁市良庆区良玉大道合景天汇广场西南侧约</w:t>
            </w:r>
            <w:r>
              <w:rPr>
                <w:rFonts w:hint="eastAsia" w:ascii="仿宋" w:hAnsi="仿宋" w:eastAsia="仿宋" w:cs="仿宋"/>
                <w:sz w:val="30"/>
                <w:szCs w:val="30"/>
                <w:lang w:val="en-US" w:eastAsia="zh-CN"/>
              </w:rPr>
              <w:t>60米</w:t>
            </w:r>
            <w:r>
              <w:rPr>
                <w:rFonts w:hint="eastAsia" w:ascii="仿宋" w:hAnsi="仿宋" w:eastAsia="仿宋" w:cs="仿宋"/>
                <w:sz w:val="30"/>
                <w:szCs w:val="30"/>
              </w:rPr>
              <w:t>（具体位置可参考导航定位）</w:t>
            </w:r>
          </w:p>
        </w:tc>
      </w:tr>
    </w:tbl>
    <w:p>
      <w:pPr>
        <w:adjustRightInd w:val="0"/>
        <w:snapToGrid w:val="0"/>
        <w:spacing w:line="360" w:lineRule="exact"/>
        <w:ind w:firstLine="600" w:firstLineChars="200"/>
        <w:rPr>
          <w:rFonts w:hint="eastAsia" w:ascii="仿宋" w:hAnsi="仿宋" w:eastAsia="仿宋" w:cs="仿宋"/>
          <w:sz w:val="30"/>
          <w:szCs w:val="30"/>
        </w:rPr>
      </w:pP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二、交货期</w:t>
      </w:r>
    </w:p>
    <w:p>
      <w:pPr>
        <w:adjustRightInd w:val="0"/>
        <w:snapToGrid w:val="0"/>
        <w:spacing w:line="360" w:lineRule="exact"/>
        <w:ind w:firstLine="600" w:firstLineChars="2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合同签订后5</w:t>
      </w:r>
      <w:r>
        <w:rPr>
          <w:rFonts w:hint="eastAsia" w:ascii="仿宋" w:hAnsi="仿宋" w:eastAsia="仿宋" w:cs="仿宋"/>
          <w:sz w:val="30"/>
          <w:szCs w:val="30"/>
          <w:highlight w:val="none"/>
        </w:rPr>
        <w:t>天</w:t>
      </w:r>
      <w:r>
        <w:rPr>
          <w:rFonts w:hint="eastAsia" w:ascii="仿宋" w:hAnsi="仿宋" w:eastAsia="仿宋" w:cs="仿宋"/>
          <w:sz w:val="30"/>
          <w:szCs w:val="30"/>
          <w:highlight w:val="none"/>
          <w:lang w:eastAsia="zh-CN"/>
        </w:rPr>
        <w:t>内交货</w:t>
      </w:r>
      <w:r>
        <w:rPr>
          <w:rFonts w:hint="eastAsia" w:ascii="仿宋" w:hAnsi="仿宋" w:eastAsia="仿宋" w:cs="仿宋"/>
          <w:sz w:val="30"/>
          <w:szCs w:val="30"/>
          <w:highlight w:val="none"/>
        </w:rPr>
        <w:t>（具体按交货通知为准）。</w:t>
      </w:r>
    </w:p>
    <w:p>
      <w:pPr>
        <w:adjustRightInd w:val="0"/>
        <w:snapToGrid w:val="0"/>
        <w:spacing w:line="360" w:lineRule="exact"/>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三、送货</w:t>
      </w:r>
    </w:p>
    <w:p>
      <w:pPr>
        <w:autoSpaceDE w:val="0"/>
        <w:autoSpaceDN w:val="0"/>
        <w:adjustRightInd w:val="0"/>
        <w:spacing w:line="36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实行乙方配送制，乙方收到甲方订货计划后，需及时备货，并确保货品质量，并按照甲方的送货要求，把甲方所订货品配送到甲方指定收货验收地点。在约定交卸货点内，配备1-3名人员协助我方工作人员分发货物。乙方随货提供一份注明货物名称、单位、数量、批发售价及总金额的商品送货清单，作为甲方入库验收之凭证。甲方自提的需凭提货人授权委托书提货。如由于乙方的原因造成甲方在上述期限未能收到货物，每逾期一日，乙方须按本合同产品货款总额的万分之五向甲方支付违约金。由于乙方原因导致逾期交货超过15天的，甲方有权解除本合同，甲方有权将乙方列入采购黑名单，一年内不得参与甲方组织的采购。</w:t>
      </w: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四、验收</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应向乙方提供甲方提货人和验收人授权书，包括提货人/验收人姓名和签名样本，如有变更应及时以书面形式通知乙方。提货和验收时，乙方将核实提货/验收人身份后，由提货验收人签字确认收到货物。若提货/验货人与甲方出具的授权委托书上人员不一致，乙方有权拒绝交货。因甲方提货/验收人变更未及时通知乙方，而引起的货物损失由甲方自行承担，相应货物款项仍应由甲方支付。乙方交货名称、单位、数量、规格等与本合同规定不符的，甲方有权选择拒绝收货，或要求乙方在</w:t>
      </w:r>
      <w:r>
        <w:rPr>
          <w:rFonts w:hint="eastAsia" w:ascii="仿宋" w:hAnsi="仿宋" w:eastAsia="仿宋" w:cs="仿宋"/>
          <w:sz w:val="30"/>
          <w:szCs w:val="30"/>
          <w:u w:val="single"/>
        </w:rPr>
        <w:t>_7_</w:t>
      </w:r>
      <w:r>
        <w:rPr>
          <w:rFonts w:hint="eastAsia" w:ascii="仿宋" w:hAnsi="仿宋" w:eastAsia="仿宋" w:cs="仿宋"/>
          <w:sz w:val="30"/>
          <w:szCs w:val="30"/>
        </w:rPr>
        <w:t>日内退换或补足。</w:t>
      </w:r>
    </w:p>
    <w:p>
      <w:pPr>
        <w:adjustRightInd w:val="0"/>
        <w:snapToGrid w:val="0"/>
        <w:spacing w:line="360" w:lineRule="exact"/>
        <w:rPr>
          <w:rFonts w:hint="eastAsia" w:ascii="仿宋" w:hAnsi="仿宋" w:eastAsia="仿宋" w:cs="仿宋"/>
          <w:b/>
          <w:sz w:val="30"/>
          <w:szCs w:val="30"/>
        </w:rPr>
      </w:pPr>
      <w:r>
        <w:rPr>
          <w:rFonts w:hint="eastAsia" w:ascii="仿宋" w:hAnsi="仿宋" w:eastAsia="仿宋" w:cs="仿宋"/>
          <w:b/>
          <w:bCs/>
          <w:sz w:val="30"/>
          <w:szCs w:val="30"/>
        </w:rPr>
        <w:t>五、</w:t>
      </w:r>
      <w:r>
        <w:rPr>
          <w:rFonts w:hint="eastAsia" w:ascii="仿宋" w:hAnsi="仿宋" w:eastAsia="仿宋" w:cs="仿宋"/>
          <w:b/>
          <w:sz w:val="30"/>
          <w:szCs w:val="30"/>
        </w:rPr>
        <w:t>合同总价款</w:t>
      </w:r>
    </w:p>
    <w:p>
      <w:pPr>
        <w:adjustRightInd w:val="0"/>
        <w:snapToGrid w:val="0"/>
        <w:spacing w:line="360" w:lineRule="exact"/>
        <w:ind w:firstLine="361"/>
        <w:rPr>
          <w:rFonts w:hint="eastAsia" w:ascii="仿宋" w:hAnsi="仿宋" w:eastAsia="仿宋" w:cs="仿宋"/>
          <w:sz w:val="30"/>
          <w:szCs w:val="30"/>
        </w:rPr>
      </w:pPr>
      <w:r>
        <w:rPr>
          <w:rFonts w:hint="eastAsia" w:ascii="仿宋" w:hAnsi="仿宋" w:eastAsia="仿宋" w:cs="仿宋"/>
          <w:sz w:val="30"/>
          <w:szCs w:val="30"/>
        </w:rPr>
        <w:t>合同总价暂定为¥</w:t>
      </w:r>
      <w:r>
        <w:rPr>
          <w:rFonts w:hint="eastAsia" w:ascii="仿宋" w:hAnsi="仿宋" w:eastAsia="仿宋" w:cs="仿宋"/>
          <w:sz w:val="30"/>
          <w:szCs w:val="30"/>
          <w:u w:val="single"/>
        </w:rPr>
        <w:t xml:space="preserve">              </w:t>
      </w:r>
      <w:bookmarkStart w:id="0" w:name="_GoBack"/>
      <w:bookmarkEnd w:id="0"/>
      <w:r>
        <w:rPr>
          <w:rFonts w:hint="eastAsia" w:ascii="仿宋" w:hAnsi="仿宋" w:eastAsia="仿宋" w:cs="仿宋"/>
          <w:sz w:val="30"/>
          <w:szCs w:val="30"/>
          <w:u w:val="single"/>
        </w:rPr>
        <w:t xml:space="preserve">  元</w:t>
      </w:r>
      <w:r>
        <w:rPr>
          <w:rFonts w:hint="eastAsia" w:ascii="仿宋" w:hAnsi="仿宋" w:eastAsia="仿宋" w:cs="仿宋"/>
          <w:sz w:val="30"/>
          <w:szCs w:val="30"/>
        </w:rPr>
        <w:t>，</w:t>
      </w:r>
      <w:r>
        <w:rPr>
          <w:rFonts w:hint="eastAsia" w:ascii="仿宋" w:hAnsi="仿宋" w:eastAsia="仿宋" w:cs="仿宋"/>
          <w:sz w:val="30"/>
          <w:szCs w:val="30"/>
          <w:highlight w:val="none"/>
        </w:rPr>
        <w:t>单价包干，</w:t>
      </w:r>
      <w:r>
        <w:rPr>
          <w:rFonts w:hint="eastAsia" w:ascii="仿宋" w:hAnsi="仿宋" w:eastAsia="仿宋" w:cs="仿宋"/>
          <w:sz w:val="30"/>
          <w:szCs w:val="30"/>
        </w:rPr>
        <w:t>具体合同总价按最终甲方要求的及通过甲方验收的供货数量以及本合同约定单价计算，增减数量在合同数量的±10%范围内。</w:t>
      </w:r>
    </w:p>
    <w:p>
      <w:pPr>
        <w:spacing w:line="360" w:lineRule="exact"/>
        <w:rPr>
          <w:rFonts w:hint="eastAsia" w:ascii="仿宋" w:hAnsi="仿宋" w:eastAsia="仿宋" w:cs="仿宋"/>
          <w:b/>
          <w:sz w:val="30"/>
          <w:szCs w:val="30"/>
        </w:rPr>
      </w:pPr>
      <w:r>
        <w:rPr>
          <w:rFonts w:hint="eastAsia" w:ascii="仿宋" w:hAnsi="仿宋" w:eastAsia="仿宋" w:cs="仿宋"/>
          <w:b/>
          <w:sz w:val="30"/>
          <w:szCs w:val="30"/>
        </w:rPr>
        <w:t>六、付款方式</w:t>
      </w:r>
    </w:p>
    <w:p>
      <w:pPr>
        <w:spacing w:line="36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乙方在本合同约定的交货期内，将甲方所采购的商品送到本合同约定的收货验收地点，经验收合格后，乙方向甲方提交合同计量申请相关材料，经甲方审批同意后甲方通知乙方开具增值税普通发票，甲方收到有效发票后</w:t>
      </w:r>
      <w:r>
        <w:rPr>
          <w:rFonts w:hint="eastAsia" w:ascii="仿宋" w:hAnsi="仿宋" w:eastAsia="仿宋" w:cs="仿宋"/>
          <w:sz w:val="30"/>
          <w:szCs w:val="30"/>
          <w:highlight w:val="none"/>
          <w:lang w:val="en-US" w:eastAsia="zh-CN"/>
        </w:rPr>
        <w:t>30</w:t>
      </w:r>
      <w:r>
        <w:rPr>
          <w:rFonts w:hint="eastAsia" w:ascii="仿宋" w:hAnsi="仿宋" w:eastAsia="仿宋" w:cs="仿宋"/>
          <w:sz w:val="30"/>
          <w:szCs w:val="30"/>
          <w:highlight w:val="none"/>
        </w:rPr>
        <w:t>个工作日内，</w:t>
      </w:r>
      <w:r>
        <w:rPr>
          <w:rFonts w:hint="eastAsia" w:ascii="仿宋" w:hAnsi="仿宋" w:eastAsia="仿宋" w:cs="仿宋"/>
          <w:sz w:val="30"/>
          <w:szCs w:val="30"/>
          <w:highlight w:val="none"/>
        </w:rPr>
        <w:t>支付当期开票金额95%的货款。剩余5%的货款作为质保金，在完成交货后，</w:t>
      </w:r>
      <w:r>
        <w:rPr>
          <w:rFonts w:hint="eastAsia" w:ascii="仿宋" w:hAnsi="仿宋" w:eastAsia="仿宋" w:cs="仿宋"/>
          <w:sz w:val="30"/>
          <w:szCs w:val="30"/>
          <w:highlight w:val="none"/>
          <w:lang w:val="en-US" w:eastAsia="zh-CN"/>
        </w:rPr>
        <w:t>两</w:t>
      </w:r>
      <w:r>
        <w:rPr>
          <w:rFonts w:hint="eastAsia" w:ascii="仿宋" w:hAnsi="仿宋" w:eastAsia="仿宋" w:cs="仿宋"/>
          <w:sz w:val="30"/>
          <w:szCs w:val="30"/>
          <w:highlight w:val="none"/>
        </w:rPr>
        <w:t>个月内无质量问题的，合同计量结算经甲方审定后，甲方在15个工作日内一次性付清剩余质保金</w:t>
      </w:r>
      <w:r>
        <w:rPr>
          <w:rFonts w:hint="eastAsia" w:ascii="仿宋" w:hAnsi="仿宋" w:eastAsia="仿宋" w:cs="仿宋"/>
          <w:sz w:val="30"/>
          <w:szCs w:val="30"/>
        </w:rPr>
        <w:t>，具体金额以结算为准，支付方式为</w:t>
      </w:r>
      <w:r>
        <w:rPr>
          <w:rFonts w:hint="eastAsia" w:ascii="仿宋" w:hAnsi="仿宋" w:eastAsia="仿宋" w:cs="仿宋"/>
          <w:sz w:val="30"/>
          <w:szCs w:val="30"/>
          <w:u w:val="single"/>
        </w:rPr>
        <w:t xml:space="preserve">  银行转账  </w:t>
      </w:r>
      <w:r>
        <w:rPr>
          <w:rFonts w:hint="eastAsia" w:ascii="仿宋" w:hAnsi="仿宋" w:eastAsia="仿宋" w:cs="仿宋"/>
          <w:sz w:val="30"/>
          <w:szCs w:val="30"/>
        </w:rPr>
        <w:t>。如乙方在上述期限内未能收到甲方货款，每逾期一日，甲方须按未付货款总额的万分之五向乙方支付违约金。</w:t>
      </w:r>
    </w:p>
    <w:p>
      <w:pPr>
        <w:spacing w:line="360" w:lineRule="exact"/>
        <w:rPr>
          <w:rFonts w:hint="eastAsia" w:ascii="仿宋" w:hAnsi="仿宋" w:eastAsia="仿宋" w:cs="仿宋"/>
          <w:b/>
          <w:sz w:val="30"/>
          <w:szCs w:val="30"/>
        </w:rPr>
      </w:pPr>
      <w:r>
        <w:rPr>
          <w:rFonts w:hint="eastAsia" w:ascii="仿宋" w:hAnsi="仿宋" w:eastAsia="仿宋" w:cs="仿宋"/>
          <w:b/>
          <w:sz w:val="30"/>
          <w:szCs w:val="30"/>
        </w:rPr>
        <w:t>乙方帐户资料：</w:t>
      </w:r>
    </w:p>
    <w:p>
      <w:pPr>
        <w:spacing w:line="36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公司名称：</w:t>
      </w:r>
    </w:p>
    <w:p>
      <w:pPr>
        <w:spacing w:line="360" w:lineRule="exact"/>
        <w:ind w:firstLine="480"/>
        <w:jc w:val="left"/>
        <w:rPr>
          <w:rFonts w:hint="eastAsia" w:ascii="仿宋" w:hAnsi="仿宋" w:eastAsia="仿宋" w:cs="仿宋"/>
          <w:b/>
          <w:sz w:val="30"/>
          <w:szCs w:val="30"/>
        </w:rPr>
      </w:pPr>
      <w:r>
        <w:rPr>
          <w:rFonts w:hint="eastAsia" w:ascii="仿宋" w:hAnsi="仿宋" w:eastAsia="仿宋" w:cs="仿宋"/>
          <w:b/>
          <w:sz w:val="30"/>
          <w:szCs w:val="30"/>
        </w:rPr>
        <w:t>公司帐号：</w:t>
      </w:r>
    </w:p>
    <w:p>
      <w:pPr>
        <w:spacing w:line="360" w:lineRule="exact"/>
        <w:ind w:firstLine="480"/>
        <w:rPr>
          <w:rFonts w:hint="eastAsia" w:ascii="仿宋" w:hAnsi="仿宋" w:eastAsia="仿宋" w:cs="仿宋"/>
          <w:b/>
          <w:sz w:val="30"/>
          <w:szCs w:val="30"/>
        </w:rPr>
      </w:pPr>
      <w:r>
        <w:rPr>
          <w:rFonts w:hint="eastAsia" w:ascii="仿宋" w:hAnsi="仿宋" w:eastAsia="仿宋" w:cs="仿宋"/>
          <w:b/>
          <w:sz w:val="30"/>
          <w:szCs w:val="30"/>
        </w:rPr>
        <w:t>开户银行：</w:t>
      </w: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b/>
          <w:bCs/>
          <w:sz w:val="30"/>
          <w:szCs w:val="30"/>
        </w:rPr>
        <w:t>七、质量保证</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乙方保证所供商品符合国家法律和地方政府规定的质量及卫生标准。甲方如发现商品存在质量问题，应自收货之日起十个工作日内向乙方提出，乙方确认后负责退换；如商品遭到人为损坏或超出退换期限，乙方有权拒绝办理退换货。若因乙方商品质量问题造成甲方人员人身、财产损害的，乙方应承担赔偿责任。</w:t>
      </w:r>
    </w:p>
    <w:p>
      <w:pPr>
        <w:adjustRightInd w:val="0"/>
        <w:snapToGrid w:val="0"/>
        <w:spacing w:line="360" w:lineRule="exact"/>
        <w:rPr>
          <w:rFonts w:hint="eastAsia" w:ascii="仿宋" w:hAnsi="仿宋" w:eastAsia="仿宋" w:cs="仿宋"/>
          <w:b/>
          <w:bCs/>
          <w:sz w:val="30"/>
          <w:szCs w:val="30"/>
        </w:rPr>
      </w:pPr>
      <w:r>
        <w:rPr>
          <w:rFonts w:hint="eastAsia" w:ascii="仿宋" w:hAnsi="仿宋" w:eastAsia="仿宋" w:cs="仿宋"/>
          <w:b/>
          <w:bCs/>
          <w:sz w:val="30"/>
          <w:szCs w:val="30"/>
        </w:rPr>
        <w:t>八、其它</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本合同一式捌份，甲执陆份、乙执贰份，具有同等法律效力，自双方签字、盖章（有效公章或合同专用章）之日起生效。</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若甲乙双方因本合同发生争议，应友好协商解决，协商无法解决的，双方同意向甲方所在地人民法院提起诉讼。</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本合同甲方不接受乙方在合同履约、结算等过程中，另行授权。</w:t>
      </w:r>
    </w:p>
    <w:p>
      <w:pPr>
        <w:adjustRightInd w:val="0"/>
        <w:snapToGrid w:val="0"/>
        <w:spacing w:line="3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合同附件：中选通知书、报价表、承诺书。</w:t>
      </w:r>
    </w:p>
    <w:p>
      <w:pPr>
        <w:adjustRightInd w:val="0"/>
        <w:snapToGrid w:val="0"/>
        <w:spacing w:line="360" w:lineRule="exact"/>
        <w:rPr>
          <w:rFonts w:hint="eastAsia" w:ascii="仿宋" w:hAnsi="仿宋" w:eastAsia="仿宋" w:cs="仿宋"/>
          <w:sz w:val="30"/>
          <w:szCs w:val="30"/>
        </w:rPr>
      </w:pPr>
      <w:r>
        <w:rPr>
          <w:rFonts w:hint="eastAsia" w:ascii="仿宋" w:hAnsi="仿宋" w:eastAsia="仿宋" w:cs="仿宋"/>
          <w:b/>
          <w:bCs/>
          <w:sz w:val="30"/>
          <w:szCs w:val="30"/>
        </w:rPr>
        <w:t>九、附件内容经甲乙双方代表签字盖章确认后作为本合同的有效组成部分。</w:t>
      </w:r>
    </w:p>
    <w:p>
      <w:pPr>
        <w:spacing w:line="360" w:lineRule="exact"/>
        <w:rPr>
          <w:rFonts w:hint="eastAsia" w:ascii="仿宋" w:hAnsi="仿宋" w:eastAsia="仿宋" w:cs="仿宋"/>
          <w:sz w:val="30"/>
          <w:szCs w:val="30"/>
        </w:rPr>
      </w:pPr>
    </w:p>
    <w:p>
      <w:pPr>
        <w:spacing w:line="360" w:lineRule="exact"/>
        <w:ind w:left="8160" w:hanging="10200" w:hangingChars="3400"/>
        <w:rPr>
          <w:rFonts w:hint="eastAsia" w:ascii="仿宋" w:hAnsi="仿宋" w:eastAsia="仿宋" w:cs="仿宋"/>
          <w:sz w:val="30"/>
          <w:szCs w:val="30"/>
        </w:rPr>
      </w:pPr>
    </w:p>
    <w:p>
      <w:pPr>
        <w:spacing w:line="360" w:lineRule="exact"/>
        <w:ind w:left="8160" w:hanging="10200" w:hangingChars="3400"/>
        <w:rPr>
          <w:rFonts w:hint="eastAsia" w:ascii="仿宋" w:hAnsi="仿宋" w:eastAsia="仿宋" w:cs="仿宋"/>
          <w:sz w:val="30"/>
          <w:szCs w:val="30"/>
        </w:rPr>
      </w:pPr>
      <w:r>
        <w:rPr>
          <w:rFonts w:hint="eastAsia" w:ascii="仿宋" w:hAnsi="仿宋" w:eastAsia="仿宋" w:cs="仿宋"/>
          <w:sz w:val="30"/>
          <w:szCs w:val="30"/>
        </w:rPr>
        <w:t>甲方（盖章）：南宁轨道交通</w:t>
      </w:r>
      <w:r>
        <w:rPr>
          <w:rFonts w:hint="eastAsia" w:ascii="仿宋" w:hAnsi="仿宋" w:eastAsia="仿宋" w:cs="仿宋"/>
          <w:sz w:val="30"/>
          <w:szCs w:val="30"/>
          <w:lang w:eastAsia="zh-CN"/>
        </w:rPr>
        <w:t>运营</w:t>
      </w:r>
      <w:r>
        <w:rPr>
          <w:rFonts w:hint="eastAsia" w:ascii="仿宋" w:hAnsi="仿宋" w:eastAsia="仿宋" w:cs="仿宋"/>
          <w:sz w:val="30"/>
          <w:szCs w:val="30"/>
        </w:rPr>
        <w:t>有限公司工会委员会</w:t>
      </w:r>
    </w:p>
    <w:p>
      <w:pPr>
        <w:spacing w:line="360" w:lineRule="exact"/>
        <w:rPr>
          <w:rFonts w:hint="eastAsia" w:ascii="仿宋" w:hAnsi="仿宋" w:eastAsia="仿宋" w:cs="仿宋"/>
          <w:sz w:val="30"/>
          <w:szCs w:val="30"/>
        </w:rPr>
      </w:pPr>
      <w:r>
        <w:rPr>
          <w:rFonts w:hint="eastAsia" w:ascii="仿宋" w:hAnsi="仿宋" w:eastAsia="仿宋" w:cs="仿宋"/>
          <w:sz w:val="30"/>
          <w:szCs w:val="30"/>
        </w:rPr>
        <w:t xml:space="preserve">授权代表（签字）：                     </w:t>
      </w:r>
    </w:p>
    <w:p>
      <w:pPr>
        <w:spacing w:line="360" w:lineRule="exact"/>
        <w:rPr>
          <w:rFonts w:hint="eastAsia" w:ascii="仿宋" w:hAnsi="仿宋" w:eastAsia="仿宋" w:cs="仿宋"/>
          <w:sz w:val="30"/>
          <w:szCs w:val="30"/>
        </w:rPr>
      </w:pPr>
      <w:r>
        <w:rPr>
          <w:rFonts w:hint="eastAsia" w:ascii="仿宋" w:hAnsi="仿宋" w:eastAsia="仿宋" w:cs="仿宋"/>
          <w:sz w:val="30"/>
          <w:szCs w:val="30"/>
        </w:rPr>
        <w:t xml:space="preserve">日期：                                </w:t>
      </w: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p>
    <w:p>
      <w:pPr>
        <w:spacing w:line="360" w:lineRule="exact"/>
        <w:rPr>
          <w:rFonts w:hint="eastAsia" w:ascii="仿宋" w:hAnsi="仿宋" w:eastAsia="仿宋" w:cs="仿宋"/>
          <w:sz w:val="30"/>
          <w:szCs w:val="30"/>
        </w:rPr>
      </w:pPr>
      <w:r>
        <w:rPr>
          <w:rFonts w:hint="eastAsia" w:ascii="仿宋" w:hAnsi="仿宋" w:eastAsia="仿宋" w:cs="仿宋"/>
          <w:sz w:val="30"/>
          <w:szCs w:val="30"/>
        </w:rPr>
        <w:t>乙方（盖章）：</w:t>
      </w:r>
    </w:p>
    <w:p>
      <w:pPr>
        <w:spacing w:line="360" w:lineRule="exact"/>
        <w:rPr>
          <w:rFonts w:hint="eastAsia" w:ascii="仿宋" w:hAnsi="仿宋" w:eastAsia="仿宋" w:cs="仿宋"/>
          <w:sz w:val="30"/>
          <w:szCs w:val="30"/>
        </w:rPr>
      </w:pPr>
      <w:r>
        <w:rPr>
          <w:rFonts w:hint="eastAsia" w:ascii="仿宋" w:hAnsi="仿宋" w:eastAsia="仿宋" w:cs="仿宋"/>
          <w:sz w:val="30"/>
          <w:szCs w:val="30"/>
        </w:rPr>
        <w:t>授权代表（签字）：</w:t>
      </w:r>
    </w:p>
    <w:p>
      <w:pPr>
        <w:spacing w:line="360" w:lineRule="exact"/>
        <w:rPr>
          <w:rFonts w:hint="eastAsia" w:ascii="宋体" w:hAnsi="宋体" w:eastAsia="宋体" w:cs="宋体"/>
          <w:sz w:val="28"/>
          <w:szCs w:val="28"/>
        </w:rPr>
      </w:pPr>
      <w:r>
        <w:rPr>
          <w:rFonts w:hint="eastAsia" w:ascii="仿宋" w:hAnsi="仿宋" w:eastAsia="仿宋" w:cs="仿宋"/>
          <w:sz w:val="30"/>
          <w:szCs w:val="30"/>
        </w:rPr>
        <w:t>日期：</w:t>
      </w:r>
    </w:p>
    <w:p>
      <w:pPr>
        <w:spacing w:line="300" w:lineRule="auto"/>
        <w:jc w:val="center"/>
        <w:rPr>
          <w:rFonts w:hint="eastAsia" w:ascii="宋体" w:hAnsi="宋体" w:eastAsia="宋体" w:cs="宋体"/>
          <w:b/>
          <w:sz w:val="28"/>
          <w:szCs w:val="28"/>
        </w:rPr>
      </w:pPr>
    </w:p>
    <w:p>
      <w:pPr>
        <w:spacing w:line="300" w:lineRule="auto"/>
        <w:rPr>
          <w:rFonts w:hint="eastAsia" w:ascii="宋体" w:hAnsi="宋体" w:eastAsia="宋体" w:cs="宋体"/>
          <w:sz w:val="28"/>
          <w:szCs w:val="28"/>
        </w:rPr>
      </w:pPr>
    </w:p>
    <w:sectPr>
      <w:pgSz w:w="11906" w:h="16838"/>
      <w:pgMar w:top="851" w:right="991"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74"/>
    <w:rsid w:val="00021EEA"/>
    <w:rsid w:val="00026027"/>
    <w:rsid w:val="00027828"/>
    <w:rsid w:val="00040953"/>
    <w:rsid w:val="000645C9"/>
    <w:rsid w:val="0006704E"/>
    <w:rsid w:val="00082025"/>
    <w:rsid w:val="00084995"/>
    <w:rsid w:val="00085B7C"/>
    <w:rsid w:val="0009493E"/>
    <w:rsid w:val="000C5360"/>
    <w:rsid w:val="000D1EE1"/>
    <w:rsid w:val="000D1FEA"/>
    <w:rsid w:val="000F00B4"/>
    <w:rsid w:val="000F19CD"/>
    <w:rsid w:val="00112A40"/>
    <w:rsid w:val="00112AA1"/>
    <w:rsid w:val="00115647"/>
    <w:rsid w:val="001620EE"/>
    <w:rsid w:val="0016498D"/>
    <w:rsid w:val="00174FFB"/>
    <w:rsid w:val="00177F30"/>
    <w:rsid w:val="0018673A"/>
    <w:rsid w:val="00191697"/>
    <w:rsid w:val="001C0AEC"/>
    <w:rsid w:val="001C4033"/>
    <w:rsid w:val="001C4E77"/>
    <w:rsid w:val="001F5BC3"/>
    <w:rsid w:val="001F7507"/>
    <w:rsid w:val="002100EB"/>
    <w:rsid w:val="0021394D"/>
    <w:rsid w:val="00216AF7"/>
    <w:rsid w:val="00226E33"/>
    <w:rsid w:val="00257887"/>
    <w:rsid w:val="002639EC"/>
    <w:rsid w:val="002731EF"/>
    <w:rsid w:val="0028556A"/>
    <w:rsid w:val="002938A1"/>
    <w:rsid w:val="002B231C"/>
    <w:rsid w:val="002D4019"/>
    <w:rsid w:val="002E1BDA"/>
    <w:rsid w:val="003017E9"/>
    <w:rsid w:val="00302575"/>
    <w:rsid w:val="00305B8A"/>
    <w:rsid w:val="003106D0"/>
    <w:rsid w:val="00316F7C"/>
    <w:rsid w:val="00321AD4"/>
    <w:rsid w:val="003240A3"/>
    <w:rsid w:val="0032516D"/>
    <w:rsid w:val="00333568"/>
    <w:rsid w:val="00335C4E"/>
    <w:rsid w:val="003520CC"/>
    <w:rsid w:val="00362755"/>
    <w:rsid w:val="0039047F"/>
    <w:rsid w:val="003A0AAC"/>
    <w:rsid w:val="003A2890"/>
    <w:rsid w:val="003A4263"/>
    <w:rsid w:val="003B2652"/>
    <w:rsid w:val="003E52B0"/>
    <w:rsid w:val="003F0D92"/>
    <w:rsid w:val="004008CA"/>
    <w:rsid w:val="004058BF"/>
    <w:rsid w:val="00447048"/>
    <w:rsid w:val="00453911"/>
    <w:rsid w:val="0047272D"/>
    <w:rsid w:val="00476817"/>
    <w:rsid w:val="00492712"/>
    <w:rsid w:val="004A1356"/>
    <w:rsid w:val="004A539A"/>
    <w:rsid w:val="004B6033"/>
    <w:rsid w:val="004D3C92"/>
    <w:rsid w:val="004D4418"/>
    <w:rsid w:val="004E4E3A"/>
    <w:rsid w:val="004E7762"/>
    <w:rsid w:val="004F4DCE"/>
    <w:rsid w:val="00500170"/>
    <w:rsid w:val="00506908"/>
    <w:rsid w:val="00510634"/>
    <w:rsid w:val="005173E2"/>
    <w:rsid w:val="0052040D"/>
    <w:rsid w:val="00520A1F"/>
    <w:rsid w:val="0052345C"/>
    <w:rsid w:val="00530F30"/>
    <w:rsid w:val="00541916"/>
    <w:rsid w:val="00542DFA"/>
    <w:rsid w:val="0056380B"/>
    <w:rsid w:val="005670D9"/>
    <w:rsid w:val="00572178"/>
    <w:rsid w:val="005735D0"/>
    <w:rsid w:val="00577E19"/>
    <w:rsid w:val="00597B27"/>
    <w:rsid w:val="005A5C55"/>
    <w:rsid w:val="005A65BC"/>
    <w:rsid w:val="005B715B"/>
    <w:rsid w:val="005B741C"/>
    <w:rsid w:val="005C3500"/>
    <w:rsid w:val="005D00E7"/>
    <w:rsid w:val="005D6971"/>
    <w:rsid w:val="006033E1"/>
    <w:rsid w:val="00610A21"/>
    <w:rsid w:val="006258A1"/>
    <w:rsid w:val="0066004A"/>
    <w:rsid w:val="0068022D"/>
    <w:rsid w:val="006877E2"/>
    <w:rsid w:val="00687FF1"/>
    <w:rsid w:val="006A1EDA"/>
    <w:rsid w:val="006A4AD7"/>
    <w:rsid w:val="006C037C"/>
    <w:rsid w:val="006D0DF5"/>
    <w:rsid w:val="006D3B48"/>
    <w:rsid w:val="006D508B"/>
    <w:rsid w:val="006E0804"/>
    <w:rsid w:val="006F2A04"/>
    <w:rsid w:val="006F3142"/>
    <w:rsid w:val="006F4009"/>
    <w:rsid w:val="007440B1"/>
    <w:rsid w:val="00747A71"/>
    <w:rsid w:val="00755DDF"/>
    <w:rsid w:val="0077457E"/>
    <w:rsid w:val="007C1389"/>
    <w:rsid w:val="007C3B5C"/>
    <w:rsid w:val="007C5970"/>
    <w:rsid w:val="007D181B"/>
    <w:rsid w:val="007D1C0F"/>
    <w:rsid w:val="007D3534"/>
    <w:rsid w:val="007D40A4"/>
    <w:rsid w:val="007D4AF8"/>
    <w:rsid w:val="007D50E4"/>
    <w:rsid w:val="007D53A9"/>
    <w:rsid w:val="007D5F3C"/>
    <w:rsid w:val="007E73BF"/>
    <w:rsid w:val="00831A11"/>
    <w:rsid w:val="00855040"/>
    <w:rsid w:val="0086297A"/>
    <w:rsid w:val="0087359E"/>
    <w:rsid w:val="00873F6A"/>
    <w:rsid w:val="008917B1"/>
    <w:rsid w:val="008A3CC1"/>
    <w:rsid w:val="008C5B74"/>
    <w:rsid w:val="008E4032"/>
    <w:rsid w:val="00902018"/>
    <w:rsid w:val="009055A7"/>
    <w:rsid w:val="00906567"/>
    <w:rsid w:val="00911B81"/>
    <w:rsid w:val="00912776"/>
    <w:rsid w:val="00925A58"/>
    <w:rsid w:val="00956E5D"/>
    <w:rsid w:val="00957EA8"/>
    <w:rsid w:val="00963A6F"/>
    <w:rsid w:val="00974433"/>
    <w:rsid w:val="009A7CED"/>
    <w:rsid w:val="009B01CE"/>
    <w:rsid w:val="009B65F5"/>
    <w:rsid w:val="009C6DD3"/>
    <w:rsid w:val="009E7DF1"/>
    <w:rsid w:val="009F5C06"/>
    <w:rsid w:val="009F66AE"/>
    <w:rsid w:val="00A039F4"/>
    <w:rsid w:val="00A0474F"/>
    <w:rsid w:val="00A31196"/>
    <w:rsid w:val="00A421DF"/>
    <w:rsid w:val="00A44FF7"/>
    <w:rsid w:val="00A55EF1"/>
    <w:rsid w:val="00A714B0"/>
    <w:rsid w:val="00A862E8"/>
    <w:rsid w:val="00A96F65"/>
    <w:rsid w:val="00AB3147"/>
    <w:rsid w:val="00AB58BA"/>
    <w:rsid w:val="00AC1624"/>
    <w:rsid w:val="00AD60B5"/>
    <w:rsid w:val="00AF101B"/>
    <w:rsid w:val="00AF13CC"/>
    <w:rsid w:val="00AF1A62"/>
    <w:rsid w:val="00B12D08"/>
    <w:rsid w:val="00B2308D"/>
    <w:rsid w:val="00B37B72"/>
    <w:rsid w:val="00B37CF6"/>
    <w:rsid w:val="00B507F9"/>
    <w:rsid w:val="00B60727"/>
    <w:rsid w:val="00B662A0"/>
    <w:rsid w:val="00B71302"/>
    <w:rsid w:val="00B7588D"/>
    <w:rsid w:val="00B76152"/>
    <w:rsid w:val="00B86A51"/>
    <w:rsid w:val="00B965AB"/>
    <w:rsid w:val="00BA1B3A"/>
    <w:rsid w:val="00BA474D"/>
    <w:rsid w:val="00BA5415"/>
    <w:rsid w:val="00BB7110"/>
    <w:rsid w:val="00BE5947"/>
    <w:rsid w:val="00BE64E6"/>
    <w:rsid w:val="00BF151A"/>
    <w:rsid w:val="00BF6BFD"/>
    <w:rsid w:val="00C0671F"/>
    <w:rsid w:val="00C14A11"/>
    <w:rsid w:val="00C2625A"/>
    <w:rsid w:val="00C47DBA"/>
    <w:rsid w:val="00D01DDA"/>
    <w:rsid w:val="00D0767B"/>
    <w:rsid w:val="00D14117"/>
    <w:rsid w:val="00D2657E"/>
    <w:rsid w:val="00D477F7"/>
    <w:rsid w:val="00D50192"/>
    <w:rsid w:val="00D54429"/>
    <w:rsid w:val="00D638F4"/>
    <w:rsid w:val="00D92880"/>
    <w:rsid w:val="00D93AB4"/>
    <w:rsid w:val="00DA0F12"/>
    <w:rsid w:val="00DC67FB"/>
    <w:rsid w:val="00DD4D19"/>
    <w:rsid w:val="00DE33B2"/>
    <w:rsid w:val="00DE44E5"/>
    <w:rsid w:val="00E05623"/>
    <w:rsid w:val="00E160DA"/>
    <w:rsid w:val="00E33766"/>
    <w:rsid w:val="00E659D5"/>
    <w:rsid w:val="00E66E0D"/>
    <w:rsid w:val="00E76E76"/>
    <w:rsid w:val="00E84C3D"/>
    <w:rsid w:val="00E85B57"/>
    <w:rsid w:val="00E911D0"/>
    <w:rsid w:val="00E91666"/>
    <w:rsid w:val="00E949B7"/>
    <w:rsid w:val="00EA14AF"/>
    <w:rsid w:val="00EB4953"/>
    <w:rsid w:val="00EC79A5"/>
    <w:rsid w:val="00EC7D38"/>
    <w:rsid w:val="00ED1AFE"/>
    <w:rsid w:val="00ED312A"/>
    <w:rsid w:val="00EF0802"/>
    <w:rsid w:val="00F222BF"/>
    <w:rsid w:val="00F33816"/>
    <w:rsid w:val="00F340DE"/>
    <w:rsid w:val="00F81F56"/>
    <w:rsid w:val="00F87764"/>
    <w:rsid w:val="00F9778B"/>
    <w:rsid w:val="00FC63C6"/>
    <w:rsid w:val="00FD1168"/>
    <w:rsid w:val="00FD4D24"/>
    <w:rsid w:val="00FF6830"/>
    <w:rsid w:val="03B54B0A"/>
    <w:rsid w:val="05866BAA"/>
    <w:rsid w:val="081D19B2"/>
    <w:rsid w:val="0A752FA9"/>
    <w:rsid w:val="0A8F26F8"/>
    <w:rsid w:val="0B96678E"/>
    <w:rsid w:val="0ED32ABC"/>
    <w:rsid w:val="12377801"/>
    <w:rsid w:val="12BA0710"/>
    <w:rsid w:val="13127305"/>
    <w:rsid w:val="17241397"/>
    <w:rsid w:val="193D7198"/>
    <w:rsid w:val="1A07719D"/>
    <w:rsid w:val="20EB5413"/>
    <w:rsid w:val="22606C3E"/>
    <w:rsid w:val="25D71E0E"/>
    <w:rsid w:val="27AF27B3"/>
    <w:rsid w:val="2B086C3E"/>
    <w:rsid w:val="2B550122"/>
    <w:rsid w:val="2CF974E0"/>
    <w:rsid w:val="30EF62D0"/>
    <w:rsid w:val="326A6BA3"/>
    <w:rsid w:val="34EB08A0"/>
    <w:rsid w:val="360301EE"/>
    <w:rsid w:val="3DEE7C87"/>
    <w:rsid w:val="43FF448B"/>
    <w:rsid w:val="485B0233"/>
    <w:rsid w:val="4943739B"/>
    <w:rsid w:val="4968096B"/>
    <w:rsid w:val="4D361B68"/>
    <w:rsid w:val="52087148"/>
    <w:rsid w:val="521673EB"/>
    <w:rsid w:val="52AF6C97"/>
    <w:rsid w:val="55D6721F"/>
    <w:rsid w:val="5CB364F6"/>
    <w:rsid w:val="613279E9"/>
    <w:rsid w:val="62A723CB"/>
    <w:rsid w:val="634118D2"/>
    <w:rsid w:val="68BE09F0"/>
    <w:rsid w:val="69E23F3C"/>
    <w:rsid w:val="6A5D2893"/>
    <w:rsid w:val="6B1F121A"/>
    <w:rsid w:val="6CD64427"/>
    <w:rsid w:val="6D714F44"/>
    <w:rsid w:val="6D9F5795"/>
    <w:rsid w:val="6FF07F07"/>
    <w:rsid w:val="702850CF"/>
    <w:rsid w:val="71D92AD9"/>
    <w:rsid w:val="723418C0"/>
    <w:rsid w:val="724A627C"/>
    <w:rsid w:val="7CD030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0"/>
    <w:pPr>
      <w:adjustRightInd w:val="0"/>
      <w:snapToGrid w:val="0"/>
      <w:spacing w:line="440" w:lineRule="exact"/>
      <w:ind w:firstLine="600"/>
    </w:pPr>
    <w:rPr>
      <w:sz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缩进 Char"/>
    <w:basedOn w:val="8"/>
    <w:link w:val="2"/>
    <w:qFormat/>
    <w:uiPriority w:val="0"/>
    <w:rPr>
      <w:rFonts w:ascii="Times New Roman" w:hAnsi="Times New Roman" w:eastAsia="宋体" w:cs="Times New Roman"/>
      <w:sz w:val="24"/>
      <w:szCs w:val="24"/>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339</Words>
  <Characters>1936</Characters>
  <Lines>16</Lines>
  <Paragraphs>4</Paragraphs>
  <TotalTime>4</TotalTime>
  <ScaleCrop>false</ScaleCrop>
  <LinksUpToDate>false</LinksUpToDate>
  <CharactersWithSpaces>2271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2021-08-17T08:02:00Z</dcterms:created>
  <dc:creator>许亚威</dc:creator>
  <cp:lastModifiedBy>庞浩榕</cp:lastModifiedBy>
  <cp:lastPrinted>2022-05-10T07:21:38Z</cp:lastPrinted>
  <dcterms:modified xsi:type="dcterms:W3CDTF">2022-05-10T07:21:41Z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38EB4618E9704F059F3762B4499B1AE7</vt:lpwstr>
  </property>
</Properties>
</file>