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hAnsi="宋体" w:eastAsia="宋体" w:cs="宋体"/>
          <w:b/>
          <w:w w:val="90"/>
          <w:sz w:val="52"/>
          <w:szCs w:val="52"/>
        </w:rPr>
      </w:pPr>
    </w:p>
    <w:p>
      <w:pPr>
        <w:spacing w:line="360" w:lineRule="auto"/>
        <w:jc w:val="center"/>
        <w:rPr>
          <w:rFonts w:hAnsi="宋体" w:eastAsia="宋体" w:cs="宋体"/>
          <w:sz w:val="52"/>
          <w:szCs w:val="52"/>
        </w:rPr>
      </w:pPr>
      <w:r>
        <w:rPr>
          <w:rFonts w:hint="eastAsia" w:hAnsi="宋体" w:eastAsia="宋体" w:cs="宋体"/>
          <w:b/>
          <w:w w:val="90"/>
          <w:sz w:val="52"/>
          <w:szCs w:val="52"/>
        </w:rPr>
        <w:t>南宁轨道交通集团2022-2024年度安全生产责任保险项目</w:t>
      </w:r>
    </w:p>
    <w:p>
      <w:pPr>
        <w:spacing w:line="360" w:lineRule="auto"/>
        <w:jc w:val="center"/>
        <w:rPr>
          <w:rFonts w:eastAsia="宋体"/>
          <w:b/>
          <w:sz w:val="72"/>
          <w:szCs w:val="72"/>
        </w:rPr>
      </w:pPr>
    </w:p>
    <w:p>
      <w:pPr>
        <w:spacing w:line="360" w:lineRule="auto"/>
        <w:jc w:val="center"/>
        <w:rPr>
          <w:rFonts w:hAnsi="宋体" w:eastAsia="宋体"/>
          <w:b/>
          <w:sz w:val="72"/>
          <w:szCs w:val="72"/>
        </w:rPr>
      </w:pPr>
    </w:p>
    <w:p>
      <w:pPr>
        <w:spacing w:line="360" w:lineRule="auto"/>
        <w:jc w:val="center"/>
        <w:rPr>
          <w:rFonts w:eastAsia="宋体"/>
          <w:b/>
          <w:sz w:val="72"/>
          <w:szCs w:val="72"/>
        </w:rPr>
      </w:pPr>
      <w:r>
        <w:rPr>
          <w:rFonts w:hAnsi="宋体" w:eastAsia="宋体"/>
          <w:b/>
          <w:sz w:val="72"/>
          <w:szCs w:val="72"/>
        </w:rPr>
        <w:t>招标文件</w:t>
      </w:r>
    </w:p>
    <w:p>
      <w:pPr>
        <w:spacing w:line="360" w:lineRule="auto"/>
        <w:jc w:val="center"/>
        <w:rPr>
          <w:rFonts w:eastAsia="宋体"/>
          <w:b/>
          <w:sz w:val="36"/>
          <w:szCs w:val="36"/>
        </w:rPr>
      </w:pPr>
    </w:p>
    <w:p>
      <w:pPr>
        <w:spacing w:line="360" w:lineRule="auto"/>
        <w:jc w:val="center"/>
        <w:rPr>
          <w:rFonts w:eastAsia="宋体"/>
          <w:b/>
          <w:sz w:val="28"/>
        </w:rPr>
      </w:pPr>
    </w:p>
    <w:p>
      <w:pPr>
        <w:spacing w:line="360" w:lineRule="auto"/>
        <w:jc w:val="center"/>
        <w:rPr>
          <w:rFonts w:eastAsia="宋体"/>
          <w:b/>
          <w:sz w:val="28"/>
        </w:rPr>
      </w:pPr>
    </w:p>
    <w:p>
      <w:pPr>
        <w:spacing w:line="360" w:lineRule="auto"/>
        <w:jc w:val="center"/>
        <w:rPr>
          <w:rFonts w:eastAsia="宋体"/>
          <w:b/>
          <w:sz w:val="28"/>
        </w:rPr>
      </w:pPr>
    </w:p>
    <w:p>
      <w:pPr>
        <w:spacing w:line="360" w:lineRule="auto"/>
        <w:jc w:val="center"/>
        <w:rPr>
          <w:rFonts w:eastAsia="宋体"/>
          <w:b/>
          <w:sz w:val="28"/>
        </w:rPr>
      </w:pPr>
    </w:p>
    <w:p>
      <w:pPr>
        <w:tabs>
          <w:tab w:val="left" w:pos="1080"/>
        </w:tabs>
        <w:spacing w:line="360" w:lineRule="auto"/>
        <w:rPr>
          <w:rFonts w:eastAsia="宋体"/>
          <w:b/>
          <w:sz w:val="32"/>
          <w:szCs w:val="32"/>
        </w:rPr>
      </w:pPr>
    </w:p>
    <w:p>
      <w:pPr>
        <w:spacing w:line="480" w:lineRule="auto"/>
        <w:ind w:left="1801" w:leftChars="772" w:hanging="180" w:hangingChars="56"/>
        <w:rPr>
          <w:rFonts w:hAnsi="宋体" w:eastAsia="宋体"/>
          <w:b/>
          <w:sz w:val="32"/>
          <w:szCs w:val="32"/>
        </w:rPr>
      </w:pPr>
      <w:r>
        <w:rPr>
          <w:rFonts w:hAnsi="宋体" w:eastAsia="宋体"/>
          <w:b/>
          <w:sz w:val="32"/>
          <w:szCs w:val="32"/>
        </w:rPr>
        <w:t>招标</w:t>
      </w:r>
      <w:r>
        <w:rPr>
          <w:rFonts w:hint="eastAsia" w:hAnsi="宋体" w:eastAsia="宋体"/>
          <w:b/>
          <w:sz w:val="32"/>
          <w:szCs w:val="32"/>
        </w:rPr>
        <w:t>编号：</w:t>
      </w:r>
      <w:r>
        <w:rPr>
          <w:rFonts w:hAnsi="宋体" w:eastAsia="宋体"/>
          <w:b/>
          <w:sz w:val="32"/>
          <w:szCs w:val="32"/>
        </w:rPr>
        <w:t>YZLNN2022-G3-111-NNQT</w:t>
      </w:r>
    </w:p>
    <w:p>
      <w:pPr>
        <w:spacing w:line="480" w:lineRule="auto"/>
        <w:ind w:left="1801" w:leftChars="772" w:hanging="180" w:hangingChars="56"/>
        <w:rPr>
          <w:rFonts w:eastAsia="宋体"/>
          <w:b/>
          <w:sz w:val="32"/>
          <w:szCs w:val="32"/>
        </w:rPr>
      </w:pPr>
      <w:r>
        <w:rPr>
          <w:rFonts w:hAnsi="宋体" w:eastAsia="宋体"/>
          <w:b/>
          <w:sz w:val="32"/>
          <w:szCs w:val="32"/>
        </w:rPr>
        <w:t>招标人：南宁轨道交通集团有限责任公司</w:t>
      </w:r>
    </w:p>
    <w:p>
      <w:pPr>
        <w:spacing w:line="480" w:lineRule="auto"/>
        <w:ind w:left="1801" w:leftChars="772" w:hanging="180" w:hangingChars="56"/>
        <w:rPr>
          <w:rFonts w:eastAsia="宋体"/>
          <w:b/>
          <w:sz w:val="32"/>
          <w:szCs w:val="32"/>
        </w:rPr>
      </w:pPr>
      <w:r>
        <w:rPr>
          <w:rFonts w:hAnsi="宋体" w:eastAsia="宋体"/>
          <w:b/>
          <w:sz w:val="32"/>
          <w:szCs w:val="32"/>
        </w:rPr>
        <w:t>招标代理机构：</w:t>
      </w:r>
      <w:r>
        <w:rPr>
          <w:rFonts w:hint="eastAsia" w:hAnsi="宋体" w:eastAsia="宋体"/>
          <w:b/>
          <w:sz w:val="32"/>
          <w:szCs w:val="32"/>
        </w:rPr>
        <w:t>云之龙</w:t>
      </w:r>
      <w:r>
        <w:rPr>
          <w:rFonts w:hAnsi="宋体" w:eastAsia="宋体"/>
          <w:b/>
          <w:sz w:val="32"/>
          <w:szCs w:val="32"/>
        </w:rPr>
        <w:t>咨询集团有限公司</w:t>
      </w:r>
    </w:p>
    <w:p>
      <w:pPr>
        <w:spacing w:line="360" w:lineRule="auto"/>
        <w:rPr>
          <w:rFonts w:eastAsia="宋体"/>
          <w:b/>
          <w:bCs/>
          <w:sz w:val="44"/>
          <w:szCs w:val="44"/>
        </w:rPr>
      </w:pPr>
    </w:p>
    <w:p>
      <w:pPr>
        <w:spacing w:line="360" w:lineRule="auto"/>
        <w:jc w:val="center"/>
        <w:rPr>
          <w:rFonts w:hAnsi="宋体" w:eastAsia="宋体"/>
          <w:b/>
          <w:bCs/>
          <w:sz w:val="36"/>
          <w:szCs w:val="36"/>
        </w:rPr>
      </w:pPr>
      <w:r>
        <w:rPr>
          <w:rFonts w:hint="eastAsia" w:hAnsi="宋体" w:eastAsia="宋体"/>
          <w:b/>
          <w:bCs/>
          <w:sz w:val="36"/>
          <w:szCs w:val="36"/>
        </w:rPr>
        <w:t>2</w:t>
      </w:r>
      <w:r>
        <w:rPr>
          <w:rFonts w:hAnsi="宋体" w:eastAsia="宋体"/>
          <w:b/>
          <w:bCs/>
          <w:sz w:val="36"/>
          <w:szCs w:val="36"/>
        </w:rPr>
        <w:t>022年6月</w:t>
      </w:r>
    </w:p>
    <w:p>
      <w:pPr>
        <w:spacing w:line="360" w:lineRule="auto"/>
        <w:jc w:val="center"/>
        <w:rPr>
          <w:rFonts w:hAnsi="宋体" w:eastAsia="宋体"/>
          <w:b/>
          <w:bCs/>
          <w:sz w:val="36"/>
          <w:szCs w:val="36"/>
        </w:rPr>
        <w:sectPr>
          <w:headerReference r:id="rId5" w:type="first"/>
          <w:footerReference r:id="rId8" w:type="first"/>
          <w:headerReference r:id="rId3" w:type="default"/>
          <w:footerReference r:id="rId6" w:type="default"/>
          <w:headerReference r:id="rId4" w:type="even"/>
          <w:footerReference r:id="rId7" w:type="even"/>
          <w:type w:val="nextColumn"/>
          <w:pgSz w:w="11907" w:h="16840"/>
          <w:pgMar w:top="1247" w:right="1247" w:bottom="1247" w:left="1588" w:header="737" w:footer="737" w:gutter="0"/>
          <w:cols w:space="720" w:num="1"/>
          <w:titlePg/>
          <w:docGrid w:linePitch="312" w:charSpace="0"/>
        </w:sectPr>
      </w:pPr>
      <w:r>
        <w:rPr>
          <w:rFonts w:hAnsi="宋体" w:eastAsia="宋体"/>
          <w:b/>
          <w:bCs/>
          <w:sz w:val="36"/>
          <w:szCs w:val="36"/>
        </w:rPr>
        <w:br w:type="page"/>
      </w:r>
    </w:p>
    <w:p>
      <w:pPr>
        <w:spacing w:line="360" w:lineRule="auto"/>
        <w:jc w:val="center"/>
        <w:rPr>
          <w:rFonts w:eastAsia="宋体"/>
          <w:b/>
          <w:sz w:val="30"/>
          <w:szCs w:val="30"/>
        </w:rPr>
      </w:pPr>
    </w:p>
    <w:p>
      <w:pPr>
        <w:spacing w:line="360" w:lineRule="auto"/>
        <w:jc w:val="center"/>
        <w:outlineLvl w:val="1"/>
        <w:rPr>
          <w:rFonts w:eastAsia="宋体"/>
          <w:b/>
          <w:sz w:val="32"/>
          <w:szCs w:val="32"/>
        </w:rPr>
      </w:pPr>
      <w:bookmarkStart w:id="0" w:name="_Toc5810"/>
      <w:bookmarkStart w:id="1" w:name="_Toc27390"/>
      <w:r>
        <w:rPr>
          <w:rFonts w:hAnsi="宋体" w:eastAsia="宋体"/>
          <w:b/>
          <w:sz w:val="32"/>
          <w:szCs w:val="32"/>
        </w:rPr>
        <w:t>目录</w:t>
      </w:r>
      <w:bookmarkEnd w:id="0"/>
      <w:bookmarkEnd w:id="1"/>
    </w:p>
    <w:p>
      <w:pPr>
        <w:pStyle w:val="41"/>
        <w:tabs>
          <w:tab w:val="right" w:leader="dot" w:pos="9072"/>
          <w:tab w:val="clear" w:pos="1050"/>
          <w:tab w:val="clear" w:pos="9057"/>
        </w:tabs>
      </w:pPr>
      <w:r>
        <w:rPr>
          <w:rFonts w:eastAsia="宋体"/>
          <w:smallCaps w:val="0"/>
        </w:rPr>
        <w:fldChar w:fldCharType="begin"/>
      </w:r>
      <w:r>
        <w:rPr>
          <w:rFonts w:eastAsia="宋体"/>
          <w:smallCaps w:val="0"/>
        </w:rPr>
        <w:instrText xml:space="preserve"> TOC \o "1-3" \h \z \u </w:instrText>
      </w:r>
      <w:r>
        <w:rPr>
          <w:rFonts w:eastAsia="宋体"/>
          <w:smallCaps w:val="0"/>
        </w:rPr>
        <w:fldChar w:fldCharType="separate"/>
      </w:r>
    </w:p>
    <w:p>
      <w:pPr>
        <w:pStyle w:val="34"/>
        <w:tabs>
          <w:tab w:val="right" w:leader="dot" w:pos="9072"/>
          <w:tab w:val="clear" w:pos="9057"/>
        </w:tabs>
        <w:spacing w:line="480" w:lineRule="auto"/>
        <w:rPr>
          <w:sz w:val="28"/>
          <w:szCs w:val="28"/>
        </w:rPr>
      </w:pPr>
      <w:r>
        <w:fldChar w:fldCharType="begin"/>
      </w:r>
      <w:r>
        <w:instrText xml:space="preserve"> HYPERLINK \l "_Toc13827" </w:instrText>
      </w:r>
      <w:r>
        <w:fldChar w:fldCharType="separate"/>
      </w:r>
      <w:r>
        <w:rPr>
          <w:rFonts w:hAnsi="宋体" w:eastAsia="宋体"/>
          <w:sz w:val="28"/>
          <w:szCs w:val="28"/>
        </w:rPr>
        <w:t>第一章招标公告</w:t>
      </w:r>
      <w:r>
        <w:rPr>
          <w:sz w:val="28"/>
          <w:szCs w:val="28"/>
        </w:rPr>
        <w:tab/>
      </w:r>
      <w:r>
        <w:rPr>
          <w:sz w:val="28"/>
          <w:szCs w:val="28"/>
        </w:rPr>
        <w:fldChar w:fldCharType="begin"/>
      </w:r>
      <w:r>
        <w:rPr>
          <w:sz w:val="28"/>
          <w:szCs w:val="28"/>
        </w:rPr>
        <w:instrText xml:space="preserve"> PAGEREF _Toc13827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34"/>
        <w:tabs>
          <w:tab w:val="right" w:leader="dot" w:pos="9072"/>
          <w:tab w:val="clear" w:pos="9057"/>
        </w:tabs>
        <w:spacing w:line="480" w:lineRule="auto"/>
        <w:rPr>
          <w:sz w:val="28"/>
          <w:szCs w:val="28"/>
        </w:rPr>
      </w:pPr>
      <w:r>
        <w:fldChar w:fldCharType="begin"/>
      </w:r>
      <w:r>
        <w:instrText xml:space="preserve"> HYPERLINK \l "_Toc1936" </w:instrText>
      </w:r>
      <w:r>
        <w:fldChar w:fldCharType="separate"/>
      </w:r>
      <w:r>
        <w:rPr>
          <w:rFonts w:hAnsi="宋体" w:eastAsia="宋体"/>
          <w:sz w:val="28"/>
          <w:szCs w:val="28"/>
        </w:rPr>
        <w:t>第二章投标须知</w:t>
      </w:r>
      <w:r>
        <w:rPr>
          <w:sz w:val="28"/>
          <w:szCs w:val="28"/>
        </w:rPr>
        <w:tab/>
      </w:r>
      <w:r>
        <w:rPr>
          <w:sz w:val="28"/>
          <w:szCs w:val="28"/>
        </w:rPr>
        <w:fldChar w:fldCharType="begin"/>
      </w:r>
      <w:r>
        <w:rPr>
          <w:sz w:val="28"/>
          <w:szCs w:val="28"/>
        </w:rPr>
        <w:instrText xml:space="preserve"> PAGEREF _Toc1936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34"/>
        <w:tabs>
          <w:tab w:val="right" w:leader="dot" w:pos="9072"/>
          <w:tab w:val="clear" w:pos="9057"/>
        </w:tabs>
        <w:spacing w:line="480" w:lineRule="auto"/>
        <w:rPr>
          <w:sz w:val="28"/>
          <w:szCs w:val="28"/>
        </w:rPr>
      </w:pPr>
      <w:r>
        <w:fldChar w:fldCharType="begin"/>
      </w:r>
      <w:r>
        <w:instrText xml:space="preserve"> HYPERLINK \l "_Toc30980" </w:instrText>
      </w:r>
      <w:r>
        <w:fldChar w:fldCharType="separate"/>
      </w:r>
      <w:r>
        <w:rPr>
          <w:rFonts w:hAnsi="宋体" w:eastAsia="宋体"/>
          <w:sz w:val="28"/>
          <w:szCs w:val="28"/>
        </w:rPr>
        <w:t>第三章</w:t>
      </w:r>
      <w:r>
        <w:rPr>
          <w:rFonts w:hint="eastAsia" w:hAnsi="宋体" w:eastAsia="宋体"/>
          <w:sz w:val="28"/>
          <w:szCs w:val="28"/>
        </w:rPr>
        <w:t>评标办法</w:t>
      </w:r>
      <w:r>
        <w:rPr>
          <w:sz w:val="28"/>
          <w:szCs w:val="28"/>
        </w:rPr>
        <w:tab/>
      </w:r>
      <w:r>
        <w:rPr>
          <w:sz w:val="28"/>
          <w:szCs w:val="28"/>
        </w:rPr>
        <w:fldChar w:fldCharType="begin"/>
      </w:r>
      <w:r>
        <w:rPr>
          <w:sz w:val="28"/>
          <w:szCs w:val="28"/>
        </w:rPr>
        <w:instrText xml:space="preserve"> PAGEREF _Toc30980 </w:instrText>
      </w:r>
      <w:r>
        <w:rPr>
          <w:sz w:val="28"/>
          <w:szCs w:val="28"/>
        </w:rPr>
        <w:fldChar w:fldCharType="separate"/>
      </w:r>
      <w:r>
        <w:rPr>
          <w:sz w:val="28"/>
          <w:szCs w:val="28"/>
        </w:rPr>
        <w:t>19</w:t>
      </w:r>
      <w:r>
        <w:rPr>
          <w:sz w:val="28"/>
          <w:szCs w:val="28"/>
        </w:rPr>
        <w:fldChar w:fldCharType="end"/>
      </w:r>
      <w:r>
        <w:rPr>
          <w:sz w:val="28"/>
          <w:szCs w:val="28"/>
        </w:rPr>
        <w:fldChar w:fldCharType="end"/>
      </w:r>
    </w:p>
    <w:p>
      <w:pPr>
        <w:pStyle w:val="34"/>
        <w:tabs>
          <w:tab w:val="right" w:leader="dot" w:pos="9072"/>
          <w:tab w:val="clear" w:pos="9057"/>
        </w:tabs>
        <w:spacing w:line="480" w:lineRule="auto"/>
        <w:rPr>
          <w:sz w:val="28"/>
          <w:szCs w:val="28"/>
        </w:rPr>
      </w:pPr>
      <w:r>
        <w:fldChar w:fldCharType="begin"/>
      </w:r>
      <w:r>
        <w:instrText xml:space="preserve"> HYPERLINK \l "_Toc19024" </w:instrText>
      </w:r>
      <w:r>
        <w:fldChar w:fldCharType="separate"/>
      </w:r>
      <w:r>
        <w:rPr>
          <w:rFonts w:hint="eastAsia" w:hAnsi="宋体" w:eastAsia="宋体" w:cs="宋体"/>
          <w:bCs w:val="0"/>
          <w:sz w:val="28"/>
          <w:szCs w:val="28"/>
        </w:rPr>
        <w:t>第四章保险协议及特别约定</w:t>
      </w:r>
      <w:r>
        <w:rPr>
          <w:sz w:val="28"/>
          <w:szCs w:val="28"/>
        </w:rPr>
        <w:tab/>
      </w:r>
      <w:r>
        <w:rPr>
          <w:sz w:val="28"/>
          <w:szCs w:val="28"/>
        </w:rPr>
        <w:fldChar w:fldCharType="begin"/>
      </w:r>
      <w:r>
        <w:rPr>
          <w:sz w:val="28"/>
          <w:szCs w:val="28"/>
        </w:rPr>
        <w:instrText xml:space="preserve"> PAGEREF _Toc19024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34"/>
        <w:tabs>
          <w:tab w:val="right" w:leader="dot" w:pos="9072"/>
          <w:tab w:val="clear" w:pos="9057"/>
        </w:tabs>
        <w:spacing w:line="480" w:lineRule="auto"/>
        <w:rPr>
          <w:sz w:val="28"/>
          <w:szCs w:val="28"/>
        </w:rPr>
      </w:pPr>
      <w:r>
        <w:fldChar w:fldCharType="begin"/>
      </w:r>
      <w:r>
        <w:instrText xml:space="preserve"> HYPERLINK \l "_Toc6453" </w:instrText>
      </w:r>
      <w:r>
        <w:fldChar w:fldCharType="separate"/>
      </w:r>
      <w:r>
        <w:rPr>
          <w:rFonts w:hint="eastAsia" w:hAnsi="宋体" w:eastAsia="宋体" w:cs="宋体"/>
          <w:bCs w:val="0"/>
          <w:sz w:val="28"/>
          <w:szCs w:val="28"/>
        </w:rPr>
        <w:t>第五章保险方案</w:t>
      </w:r>
      <w:r>
        <w:rPr>
          <w:sz w:val="28"/>
          <w:szCs w:val="28"/>
        </w:rPr>
        <w:tab/>
      </w:r>
      <w:r>
        <w:rPr>
          <w:sz w:val="28"/>
          <w:szCs w:val="28"/>
        </w:rPr>
        <w:fldChar w:fldCharType="begin"/>
      </w:r>
      <w:r>
        <w:rPr>
          <w:sz w:val="28"/>
          <w:szCs w:val="28"/>
        </w:rPr>
        <w:instrText xml:space="preserve"> PAGEREF _Toc6453 </w:instrText>
      </w:r>
      <w:r>
        <w:rPr>
          <w:sz w:val="28"/>
          <w:szCs w:val="28"/>
        </w:rPr>
        <w:fldChar w:fldCharType="separate"/>
      </w:r>
      <w:r>
        <w:rPr>
          <w:sz w:val="28"/>
          <w:szCs w:val="28"/>
        </w:rPr>
        <w:t>42</w:t>
      </w:r>
      <w:r>
        <w:rPr>
          <w:sz w:val="28"/>
          <w:szCs w:val="28"/>
        </w:rPr>
        <w:fldChar w:fldCharType="end"/>
      </w:r>
      <w:r>
        <w:rPr>
          <w:sz w:val="28"/>
          <w:szCs w:val="28"/>
        </w:rPr>
        <w:fldChar w:fldCharType="end"/>
      </w:r>
    </w:p>
    <w:p>
      <w:pPr>
        <w:pStyle w:val="34"/>
        <w:tabs>
          <w:tab w:val="right" w:leader="dot" w:pos="9072"/>
          <w:tab w:val="clear" w:pos="9057"/>
        </w:tabs>
        <w:spacing w:line="480" w:lineRule="auto"/>
      </w:pPr>
      <w:r>
        <w:fldChar w:fldCharType="begin"/>
      </w:r>
      <w:r>
        <w:instrText xml:space="preserve"> HYPERLINK \l "_Toc4752" </w:instrText>
      </w:r>
      <w:r>
        <w:fldChar w:fldCharType="separate"/>
      </w:r>
      <w:r>
        <w:rPr>
          <w:rFonts w:hint="eastAsia" w:hAnsi="宋体" w:eastAsia="宋体" w:cs="宋体"/>
          <w:bCs w:val="0"/>
          <w:sz w:val="28"/>
          <w:szCs w:val="28"/>
        </w:rPr>
        <w:t>第六章投标文件格式</w:t>
      </w:r>
      <w:r>
        <w:rPr>
          <w:sz w:val="28"/>
          <w:szCs w:val="28"/>
        </w:rPr>
        <w:tab/>
      </w:r>
      <w:r>
        <w:rPr>
          <w:sz w:val="28"/>
          <w:szCs w:val="28"/>
        </w:rPr>
        <w:fldChar w:fldCharType="begin"/>
      </w:r>
      <w:r>
        <w:rPr>
          <w:sz w:val="28"/>
          <w:szCs w:val="28"/>
        </w:rPr>
        <w:instrText xml:space="preserve"> PAGEREF _Toc4752 </w:instrText>
      </w:r>
      <w:r>
        <w:rPr>
          <w:sz w:val="28"/>
          <w:szCs w:val="28"/>
        </w:rPr>
        <w:fldChar w:fldCharType="separate"/>
      </w:r>
      <w:r>
        <w:rPr>
          <w:sz w:val="28"/>
          <w:szCs w:val="28"/>
        </w:rPr>
        <w:t>60</w:t>
      </w:r>
      <w:r>
        <w:rPr>
          <w:sz w:val="28"/>
          <w:szCs w:val="28"/>
        </w:rPr>
        <w:fldChar w:fldCharType="end"/>
      </w:r>
      <w:r>
        <w:rPr>
          <w:sz w:val="28"/>
          <w:szCs w:val="28"/>
        </w:rPr>
        <w:fldChar w:fldCharType="end"/>
      </w:r>
    </w:p>
    <w:p>
      <w:pPr>
        <w:pStyle w:val="34"/>
        <w:rPr>
          <w:rFonts w:eastAsia="宋体"/>
          <w:caps w:val="0"/>
        </w:rPr>
      </w:pPr>
      <w:r>
        <w:rPr>
          <w:rFonts w:eastAsia="宋体"/>
          <w:caps w:val="0"/>
        </w:rPr>
        <w:fldChar w:fldCharType="end"/>
      </w:r>
    </w:p>
    <w:p>
      <w:pPr>
        <w:spacing w:line="360" w:lineRule="auto"/>
        <w:rPr>
          <w:rFonts w:eastAsia="宋体"/>
          <w:b/>
          <w:szCs w:val="21"/>
        </w:rPr>
      </w:pPr>
      <w:r>
        <w:rPr>
          <w:rFonts w:eastAsia="宋体"/>
        </w:rPr>
        <w:tab/>
      </w:r>
    </w:p>
    <w:p>
      <w:pPr>
        <w:spacing w:line="360" w:lineRule="auto"/>
        <w:rPr>
          <w:rFonts w:eastAsia="宋体"/>
          <w:b/>
          <w:szCs w:val="21"/>
        </w:rPr>
        <w:sectPr>
          <w:headerReference r:id="rId10" w:type="first"/>
          <w:footerReference r:id="rId12" w:type="first"/>
          <w:headerReference r:id="rId9" w:type="default"/>
          <w:footerReference r:id="rId11" w:type="default"/>
          <w:type w:val="nextColumn"/>
          <w:pgSz w:w="11907" w:h="16840"/>
          <w:pgMar w:top="1247" w:right="1247" w:bottom="1247" w:left="1588" w:header="737" w:footer="737" w:gutter="0"/>
          <w:pgNumType w:start="1"/>
          <w:cols w:space="720" w:num="1"/>
          <w:titlePg/>
          <w:docGrid w:linePitch="312" w:charSpace="0"/>
        </w:sectPr>
      </w:pPr>
      <w:bookmarkStart w:id="1093" w:name="_GoBack"/>
      <w:bookmarkEnd w:id="1093"/>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pStyle w:val="4"/>
        <w:spacing w:line="360" w:lineRule="auto"/>
        <w:jc w:val="center"/>
        <w:rPr>
          <w:rFonts w:eastAsia="宋体"/>
        </w:rPr>
      </w:pPr>
      <w:bookmarkStart w:id="2" w:name="_Toc119786460"/>
      <w:bookmarkStart w:id="3" w:name="_Toc65641106"/>
      <w:bookmarkStart w:id="4" w:name="_Toc70094667"/>
      <w:bookmarkStart w:id="5" w:name="_Toc121308022"/>
      <w:bookmarkStart w:id="6" w:name="_Toc72583474"/>
      <w:bookmarkStart w:id="7" w:name="_Toc65846682"/>
      <w:bookmarkStart w:id="8" w:name="_Toc65420080"/>
      <w:bookmarkStart w:id="9" w:name="_Toc223786489"/>
      <w:bookmarkStart w:id="10" w:name="_Toc118890500"/>
      <w:bookmarkStart w:id="11" w:name="_Toc68417323"/>
      <w:bookmarkStart w:id="12" w:name="_Toc65498352"/>
      <w:bookmarkStart w:id="13" w:name="_Toc213048989"/>
      <w:bookmarkStart w:id="14" w:name="_Toc121830565"/>
      <w:bookmarkStart w:id="15" w:name="_Toc55500013"/>
      <w:bookmarkStart w:id="16" w:name="_Toc65597731"/>
      <w:bookmarkStart w:id="17" w:name="_Toc118061505"/>
      <w:bookmarkStart w:id="18" w:name="_Toc68407730"/>
      <w:bookmarkStart w:id="19" w:name="_Toc121182292"/>
    </w:p>
    <w:p>
      <w:pPr>
        <w:pStyle w:val="4"/>
        <w:spacing w:line="360" w:lineRule="auto"/>
        <w:jc w:val="center"/>
        <w:rPr>
          <w:rFonts w:eastAsia="宋体"/>
        </w:rPr>
        <w:sectPr>
          <w:headerReference r:id="rId14" w:type="first"/>
          <w:footerReference r:id="rId16" w:type="first"/>
          <w:headerReference r:id="rId13" w:type="default"/>
          <w:footerReference r:id="rId15" w:type="default"/>
          <w:type w:val="nextColumn"/>
          <w:pgSz w:w="11907" w:h="16840"/>
          <w:pgMar w:top="1247" w:right="1247" w:bottom="1247" w:left="1588" w:header="737" w:footer="737" w:gutter="0"/>
          <w:pgNumType w:start="1"/>
          <w:cols w:space="720" w:num="1"/>
          <w:titlePg/>
          <w:docGrid w:linePitch="312" w:charSpace="0"/>
        </w:sectPr>
      </w:pPr>
      <w:bookmarkStart w:id="20" w:name="_Toc17576"/>
      <w:bookmarkStart w:id="21" w:name="_Toc375564250"/>
      <w:bookmarkStart w:id="22" w:name="_Toc13827"/>
      <w:r>
        <w:rPr>
          <w:rFonts w:hAnsi="宋体" w:eastAsia="宋体"/>
        </w:rPr>
        <w:t>第一章</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Fonts w:hAnsi="宋体" w:eastAsia="宋体"/>
        </w:rPr>
        <w:t>招标公告</w:t>
      </w:r>
      <w:bookmarkEnd w:id="20"/>
      <w:bookmarkEnd w:id="21"/>
      <w:bookmarkEnd w:id="22"/>
    </w:p>
    <w:p>
      <w:pPr>
        <w:spacing w:line="360" w:lineRule="auto"/>
        <w:jc w:val="center"/>
        <w:rPr>
          <w:rFonts w:hAnsi="宋体" w:eastAsia="宋体"/>
          <w:b/>
          <w:sz w:val="32"/>
          <w:szCs w:val="32"/>
        </w:rPr>
      </w:pPr>
      <w:r>
        <w:rPr>
          <w:rFonts w:hint="eastAsia" w:hAnsi="宋体" w:eastAsia="宋体"/>
          <w:b/>
          <w:sz w:val="32"/>
          <w:szCs w:val="32"/>
        </w:rPr>
        <w:t>南宁轨道交通集团2022-2024年度安全生产责任保险项目</w:t>
      </w:r>
    </w:p>
    <w:p>
      <w:pPr>
        <w:spacing w:line="360" w:lineRule="auto"/>
        <w:jc w:val="center"/>
        <w:rPr>
          <w:rFonts w:eastAsia="宋体"/>
          <w:b/>
          <w:sz w:val="32"/>
          <w:szCs w:val="32"/>
        </w:rPr>
      </w:pPr>
      <w:r>
        <w:rPr>
          <w:rFonts w:hint="eastAsia" w:hAnsi="宋体" w:eastAsia="宋体"/>
          <w:b/>
          <w:sz w:val="32"/>
          <w:szCs w:val="32"/>
        </w:rPr>
        <w:t>招标公告</w:t>
      </w:r>
    </w:p>
    <w:p>
      <w:pPr>
        <w:spacing w:before="120" w:beforeLines="50" w:line="348" w:lineRule="auto"/>
        <w:ind w:firstLine="420" w:firstLineChars="200"/>
        <w:rPr>
          <w:rFonts w:eastAsia="宋体"/>
          <w:szCs w:val="21"/>
        </w:rPr>
      </w:pPr>
    </w:p>
    <w:p>
      <w:pPr>
        <w:spacing w:before="120" w:beforeLines="50" w:line="348" w:lineRule="auto"/>
        <w:ind w:firstLine="420" w:firstLineChars="200"/>
        <w:rPr>
          <w:rFonts w:eastAsia="宋体"/>
          <w:szCs w:val="21"/>
        </w:rPr>
      </w:pPr>
      <w:r>
        <w:rPr>
          <w:rFonts w:hint="eastAsia" w:eastAsia="宋体"/>
          <w:szCs w:val="21"/>
        </w:rPr>
        <w:t>云之龙咨询集团有限公司（以下简称“招标代理机构”）受南宁轨道交通集团有限责任公司（以下简称“招标人”）的委托，就“南宁轨道交通集团2022-2024年度安全生产责任保险项目”进行国内公开招标，欢迎有意向的、符合国家规定的合格投标人参加投标。</w:t>
      </w:r>
    </w:p>
    <w:p>
      <w:pPr>
        <w:spacing w:line="348" w:lineRule="auto"/>
        <w:outlineLvl w:val="1"/>
        <w:rPr>
          <w:rFonts w:eastAsia="宋体"/>
          <w:b/>
          <w:bCs/>
          <w:sz w:val="24"/>
        </w:rPr>
      </w:pPr>
      <w:r>
        <w:rPr>
          <w:rFonts w:hint="eastAsia" w:eastAsia="宋体"/>
          <w:b/>
          <w:bCs/>
          <w:sz w:val="24"/>
        </w:rPr>
        <w:t>　　</w:t>
      </w:r>
      <w:bookmarkStart w:id="23" w:name="_Toc17354"/>
      <w:bookmarkStart w:id="24" w:name="_Toc558"/>
      <w:r>
        <w:rPr>
          <w:rFonts w:hint="eastAsia" w:eastAsia="宋体"/>
          <w:b/>
          <w:bCs/>
          <w:sz w:val="24"/>
        </w:rPr>
        <w:t>一、项目概况</w:t>
      </w:r>
      <w:bookmarkEnd w:id="23"/>
      <w:bookmarkEnd w:id="24"/>
    </w:p>
    <w:p>
      <w:pPr>
        <w:spacing w:line="348" w:lineRule="auto"/>
        <w:rPr>
          <w:rFonts w:eastAsia="宋体"/>
          <w:szCs w:val="21"/>
        </w:rPr>
      </w:pPr>
      <w:r>
        <w:rPr>
          <w:rFonts w:hint="eastAsia" w:eastAsia="宋体"/>
          <w:szCs w:val="21"/>
        </w:rPr>
        <w:t>　　1.1项目名称：南宁轨道交通集团2022-2024年度安全生产责任保险项目</w:t>
      </w:r>
    </w:p>
    <w:p>
      <w:pPr>
        <w:spacing w:line="348" w:lineRule="auto"/>
        <w:ind w:firstLine="420" w:firstLineChars="200"/>
        <w:rPr>
          <w:rFonts w:eastAsia="宋体"/>
          <w:szCs w:val="21"/>
        </w:rPr>
      </w:pPr>
      <w:r>
        <w:rPr>
          <w:rFonts w:hint="eastAsia" w:eastAsia="宋体"/>
          <w:szCs w:val="21"/>
        </w:rPr>
        <w:t>1.2招标编号：</w:t>
      </w:r>
      <w:r>
        <w:rPr>
          <w:rFonts w:eastAsia="宋体"/>
          <w:szCs w:val="21"/>
        </w:rPr>
        <w:t>YZLNN2022-G3-111-NNQT</w:t>
      </w:r>
    </w:p>
    <w:p>
      <w:pPr>
        <w:spacing w:line="360" w:lineRule="auto"/>
        <w:ind w:firstLine="420" w:firstLineChars="200"/>
        <w:rPr>
          <w:rFonts w:eastAsia="宋体"/>
          <w:szCs w:val="21"/>
        </w:rPr>
      </w:pPr>
      <w:r>
        <w:rPr>
          <w:rFonts w:hint="eastAsia" w:eastAsia="宋体"/>
          <w:szCs w:val="21"/>
        </w:rPr>
        <w:t>1.3项目</w:t>
      </w:r>
      <w:r>
        <w:rPr>
          <w:rFonts w:hint="eastAsia" w:ascii="宋体" w:hAnsi="宋体" w:eastAsia="宋体" w:cs="宋体"/>
          <w:szCs w:val="21"/>
        </w:rPr>
        <w:t>概况：</w:t>
      </w:r>
      <w:r>
        <w:rPr>
          <w:rFonts w:eastAsia="宋体"/>
          <w:szCs w:val="21"/>
        </w:rPr>
        <w:t>南宁轨道交通集团有限责任公司（简称南宁轨道交通集团）,其前身为南宁轨道交通有限责任公司，成立于2008年12月，2014年1月20日正式更名为南宁轨道交通集团有限责任公司，隶属于南宁市人民政府领导，南宁市人民政府授权南宁市人民政府国有资产监督管理委员会履行出资人职责，是具有独立法人资格、自主经营、独立核算的国有独资集团有限责任公司。集团公司根据市政府授权，负责对集团公司涉及的国有资产进行经营管理，并负有保值、增值的责任，具体职能包括：负责轨道交通项目的投融资、建设、营运管理；负责轨道交通沿线及周边一二级土地开发经营；对轨道交通沿线及周边的广告、通信、资讯、物业、车站进出通道连接收费权等资源进行综合开发与经营管理；从事与轨道交通建设运营关联的物资、设备等相关产业的投融资、建设、经营和管理；从事房地产开发经营；承担与轨道交通相关联的市政工程项目建设；从事轨道交通技术的研发，提供与轨道交通项目建设、运营等相关联的业务设计、咨询、科研及教育培训服务；负责政府赋予的其他经营活动</w:t>
      </w:r>
      <w:r>
        <w:rPr>
          <w:rFonts w:hint="eastAsia" w:eastAsia="宋体"/>
          <w:szCs w:val="21"/>
        </w:rPr>
        <w:t>。本集团有在职员工约7592余人，根据法律、法规及企业风险管理需要，在职员工依法参加工伤保险等法定政策性保险险种外，针对从业人员、第三者投保了雇主责任险与公众责任险，现拟按《中华人民共和国安全生产法》的要求投保安全生产责任险。</w:t>
      </w:r>
    </w:p>
    <w:p>
      <w:pPr>
        <w:spacing w:line="348" w:lineRule="auto"/>
        <w:rPr>
          <w:rFonts w:eastAsia="宋体"/>
          <w:szCs w:val="21"/>
        </w:rPr>
      </w:pPr>
      <w:r>
        <w:rPr>
          <w:rFonts w:hint="eastAsia" w:eastAsia="宋体"/>
          <w:szCs w:val="21"/>
        </w:rPr>
        <w:t>　　1.4资金来源：企业自筹</w:t>
      </w:r>
    </w:p>
    <w:p>
      <w:pPr>
        <w:spacing w:line="348" w:lineRule="auto"/>
        <w:outlineLvl w:val="1"/>
        <w:rPr>
          <w:rFonts w:eastAsia="宋体"/>
          <w:b/>
          <w:bCs/>
          <w:sz w:val="24"/>
        </w:rPr>
      </w:pPr>
      <w:r>
        <w:rPr>
          <w:rFonts w:hint="eastAsia" w:eastAsia="宋体"/>
          <w:b/>
          <w:bCs/>
          <w:sz w:val="24"/>
        </w:rPr>
        <w:t>　　</w:t>
      </w:r>
      <w:bookmarkStart w:id="25" w:name="_Toc12311"/>
      <w:bookmarkStart w:id="26" w:name="_Toc2342"/>
      <w:r>
        <w:rPr>
          <w:rFonts w:hint="eastAsia" w:eastAsia="宋体"/>
          <w:b/>
          <w:bCs/>
          <w:sz w:val="24"/>
        </w:rPr>
        <w:t>二、招标范围</w:t>
      </w:r>
      <w:bookmarkEnd w:id="25"/>
      <w:r>
        <w:rPr>
          <w:rFonts w:hint="eastAsia" w:eastAsia="宋体"/>
          <w:b/>
          <w:bCs/>
          <w:sz w:val="24"/>
        </w:rPr>
        <w:t>、保险期限、质量要求</w:t>
      </w:r>
      <w:bookmarkEnd w:id="26"/>
    </w:p>
    <w:p>
      <w:pPr>
        <w:spacing w:line="348" w:lineRule="auto"/>
        <w:ind w:firstLine="420"/>
        <w:rPr>
          <w:rFonts w:eastAsia="宋体"/>
          <w:szCs w:val="21"/>
        </w:rPr>
      </w:pPr>
      <w:r>
        <w:rPr>
          <w:rFonts w:hint="eastAsia" w:eastAsia="宋体"/>
          <w:szCs w:val="21"/>
        </w:rPr>
        <w:t>2.1招标范围：南宁轨道交通集团</w:t>
      </w:r>
      <w:r>
        <w:rPr>
          <w:rFonts w:eastAsia="宋体"/>
          <w:szCs w:val="21"/>
        </w:rPr>
        <w:t>2022-2024</w:t>
      </w:r>
      <w:r>
        <w:rPr>
          <w:rFonts w:hint="eastAsia" w:eastAsia="宋体"/>
          <w:szCs w:val="21"/>
        </w:rPr>
        <w:t>年度安全生产责任保险。</w:t>
      </w:r>
    </w:p>
    <w:p>
      <w:pPr>
        <w:spacing w:line="348" w:lineRule="auto"/>
        <w:ind w:firstLine="420"/>
        <w:rPr>
          <w:rFonts w:eastAsia="宋体"/>
          <w:szCs w:val="21"/>
        </w:rPr>
      </w:pPr>
      <w:r>
        <w:rPr>
          <w:rFonts w:hint="eastAsia" w:eastAsia="宋体"/>
          <w:szCs w:val="21"/>
        </w:rPr>
        <w:t>2.2保险期限：南宁轨道交通集团</w:t>
      </w:r>
      <w:r>
        <w:rPr>
          <w:rFonts w:eastAsia="宋体"/>
          <w:szCs w:val="21"/>
        </w:rPr>
        <w:t>2022-2024</w:t>
      </w:r>
      <w:r>
        <w:rPr>
          <w:rFonts w:hint="eastAsia" w:eastAsia="宋体"/>
          <w:szCs w:val="21"/>
        </w:rPr>
        <w:t>年度安全生产责任保险项目，共730个日历天，自中标通知书发放之日起至第730个日历天的二十四时止。</w:t>
      </w:r>
    </w:p>
    <w:p>
      <w:pPr>
        <w:spacing w:line="348" w:lineRule="auto"/>
        <w:ind w:firstLine="420"/>
        <w:rPr>
          <w:rFonts w:eastAsia="宋体"/>
          <w:szCs w:val="21"/>
        </w:rPr>
      </w:pPr>
      <w:r>
        <w:rPr>
          <w:rFonts w:hint="eastAsia" w:eastAsia="宋体"/>
          <w:szCs w:val="21"/>
        </w:rPr>
        <w:t>2.3质量要求：符合现行国家规范、规程和地方法规、招标文件要求及项目实际需要。</w:t>
      </w:r>
    </w:p>
    <w:p>
      <w:pPr>
        <w:spacing w:line="348" w:lineRule="auto"/>
        <w:outlineLvl w:val="1"/>
        <w:rPr>
          <w:rFonts w:eastAsia="宋体"/>
          <w:b/>
          <w:bCs/>
          <w:sz w:val="24"/>
        </w:rPr>
      </w:pPr>
      <w:r>
        <w:rPr>
          <w:rFonts w:hint="eastAsia" w:eastAsia="宋体"/>
          <w:b/>
          <w:bCs/>
          <w:sz w:val="24"/>
        </w:rPr>
        <w:t>　　</w:t>
      </w:r>
      <w:bookmarkStart w:id="27" w:name="_Toc31966"/>
      <w:bookmarkStart w:id="28" w:name="_Toc31598"/>
      <w:r>
        <w:rPr>
          <w:rFonts w:hint="eastAsia" w:eastAsia="宋体"/>
          <w:b/>
          <w:bCs/>
          <w:sz w:val="24"/>
        </w:rPr>
        <w:t>三、投标人资格要求</w:t>
      </w:r>
      <w:bookmarkEnd w:id="27"/>
      <w:bookmarkEnd w:id="28"/>
    </w:p>
    <w:p>
      <w:pPr>
        <w:spacing w:line="348" w:lineRule="auto"/>
        <w:ind w:firstLine="420" w:firstLineChars="200"/>
        <w:rPr>
          <w:rFonts w:eastAsia="宋体"/>
          <w:szCs w:val="21"/>
        </w:rPr>
      </w:pPr>
      <w:r>
        <w:rPr>
          <w:rFonts w:hint="eastAsia" w:hAnsi="宋体" w:eastAsia="宋体" w:cs="宋体"/>
          <w:szCs w:val="21"/>
        </w:rPr>
        <w:t>3.1投标人必须是按照中国有关规定注册成立且持有合法有效的营业执照</w:t>
      </w:r>
      <w:r>
        <w:rPr>
          <w:rFonts w:hint="eastAsia" w:eastAsia="宋体"/>
          <w:szCs w:val="21"/>
        </w:rPr>
        <w:t>。</w:t>
      </w:r>
    </w:p>
    <w:p>
      <w:pPr>
        <w:spacing w:line="348" w:lineRule="auto"/>
        <w:ind w:firstLine="420" w:firstLineChars="200"/>
        <w:rPr>
          <w:rFonts w:eastAsia="宋体"/>
          <w:szCs w:val="21"/>
        </w:rPr>
      </w:pPr>
      <w:r>
        <w:rPr>
          <w:rFonts w:hint="eastAsia" w:eastAsia="宋体"/>
          <w:szCs w:val="21"/>
        </w:rPr>
        <w:t>3.2投标人须具备中国银保监会及其派出机构颁发的保险许可资格，且业务范围至少包含安全生产责任保险条款且资格合格、有效。</w:t>
      </w:r>
    </w:p>
    <w:p>
      <w:pPr>
        <w:spacing w:line="348" w:lineRule="auto"/>
        <w:ind w:firstLine="420" w:firstLineChars="200"/>
        <w:rPr>
          <w:rFonts w:eastAsia="宋体"/>
          <w:szCs w:val="21"/>
        </w:rPr>
      </w:pPr>
      <w:r>
        <w:rPr>
          <w:rFonts w:hint="eastAsia" w:eastAsia="宋体"/>
          <w:szCs w:val="21"/>
        </w:rPr>
        <w:t>3.3投标人近5年内（2017年1月1日至今，以合同签订时间为准）须具有至少一项安全生产责任险承保业绩（法人单位下设分支机构的业绩视为投标人的业绩）。</w:t>
      </w:r>
    </w:p>
    <w:p>
      <w:pPr>
        <w:spacing w:line="348" w:lineRule="auto"/>
        <w:ind w:firstLine="420" w:firstLineChars="200"/>
        <w:rPr>
          <w:rFonts w:eastAsia="宋体"/>
          <w:szCs w:val="21"/>
        </w:rPr>
      </w:pPr>
      <w:r>
        <w:rPr>
          <w:rFonts w:hint="eastAsia" w:eastAsia="宋体"/>
          <w:szCs w:val="21"/>
        </w:rPr>
        <w:t>3.4投标人拟投入的项目负责人须获得投标人法人单位就本保单授予不低于每次事故RMB500万元乘以所报承保份额的独立理赔决策权，且具有5年以上保险工作经历。</w:t>
      </w:r>
    </w:p>
    <w:p>
      <w:pPr>
        <w:spacing w:line="348" w:lineRule="auto"/>
        <w:ind w:firstLine="420" w:firstLineChars="200"/>
        <w:rPr>
          <w:rFonts w:eastAsia="宋体"/>
          <w:szCs w:val="21"/>
        </w:rPr>
      </w:pPr>
      <w:r>
        <w:rPr>
          <w:rFonts w:hint="eastAsia" w:eastAsia="宋体"/>
          <w:szCs w:val="21"/>
        </w:rPr>
        <w:t>3.5没有处于被责令停业，投标资格被取消，财产被接管、冻结，破产状态。</w:t>
      </w:r>
    </w:p>
    <w:p>
      <w:pPr>
        <w:spacing w:line="348" w:lineRule="auto"/>
        <w:ind w:firstLine="420" w:firstLineChars="200"/>
        <w:rPr>
          <w:rFonts w:eastAsia="宋体"/>
          <w:szCs w:val="21"/>
        </w:rPr>
      </w:pPr>
      <w:r>
        <w:rPr>
          <w:rFonts w:hint="eastAsia" w:eastAsia="宋体"/>
          <w:szCs w:val="21"/>
        </w:rPr>
        <w:t>3.6投标人没有被认定在最近三年内（2019年1月1日至今）骗取中标和严重违约及较大责任事故的情况。</w:t>
      </w:r>
    </w:p>
    <w:p>
      <w:pPr>
        <w:spacing w:line="348" w:lineRule="auto"/>
        <w:ind w:firstLine="420" w:firstLineChars="200"/>
        <w:rPr>
          <w:rFonts w:eastAsia="宋体"/>
          <w:szCs w:val="21"/>
        </w:rPr>
      </w:pPr>
      <w:r>
        <w:rPr>
          <w:rFonts w:hint="eastAsia" w:eastAsia="宋体"/>
          <w:szCs w:val="21"/>
        </w:rPr>
        <w:t>3.7单位负责人为同一人或者存在控股、管理关系的不同单位，不得参加同一标段投标或者未划分标段的同一招标项目投标。</w:t>
      </w:r>
    </w:p>
    <w:p>
      <w:pPr>
        <w:spacing w:line="348" w:lineRule="auto"/>
        <w:ind w:firstLine="420" w:firstLineChars="200"/>
        <w:rPr>
          <w:rFonts w:eastAsia="宋体"/>
          <w:szCs w:val="21"/>
        </w:rPr>
      </w:pPr>
      <w:r>
        <w:rPr>
          <w:rFonts w:hint="eastAsia" w:eastAsia="宋体"/>
          <w:szCs w:val="21"/>
        </w:rPr>
        <w:t>3.8本项目对投标申请人的资格审查采用资格后审方式，只有资格审查合格的投标申请人才有可能被授予合同。</w:t>
      </w:r>
    </w:p>
    <w:p>
      <w:pPr>
        <w:spacing w:line="348" w:lineRule="auto"/>
        <w:ind w:firstLine="420" w:firstLineChars="200"/>
        <w:rPr>
          <w:rFonts w:eastAsia="宋体"/>
          <w:szCs w:val="21"/>
        </w:rPr>
      </w:pPr>
      <w:r>
        <w:rPr>
          <w:rFonts w:hint="eastAsia" w:eastAsia="宋体"/>
          <w:szCs w:val="21"/>
        </w:rPr>
        <w:t>3.9本项目不接受联合体投标。</w:t>
      </w:r>
    </w:p>
    <w:p>
      <w:pPr>
        <w:spacing w:line="348" w:lineRule="auto"/>
        <w:outlineLvl w:val="1"/>
        <w:rPr>
          <w:rFonts w:eastAsia="宋体"/>
          <w:b/>
          <w:bCs/>
          <w:sz w:val="24"/>
        </w:rPr>
      </w:pPr>
      <w:r>
        <w:rPr>
          <w:rFonts w:hint="eastAsia" w:eastAsia="宋体"/>
          <w:b/>
          <w:bCs/>
          <w:sz w:val="24"/>
        </w:rPr>
        <w:t>　　</w:t>
      </w:r>
      <w:bookmarkStart w:id="29" w:name="_Toc13617"/>
      <w:bookmarkStart w:id="30" w:name="_Toc29228"/>
      <w:r>
        <w:rPr>
          <w:rFonts w:hint="eastAsia" w:eastAsia="宋体"/>
          <w:b/>
          <w:bCs/>
          <w:sz w:val="24"/>
        </w:rPr>
        <w:t>四、投标报名、招标文件的获取</w:t>
      </w:r>
      <w:bookmarkEnd w:id="29"/>
      <w:bookmarkEnd w:id="30"/>
    </w:p>
    <w:p>
      <w:pPr>
        <w:spacing w:line="360" w:lineRule="auto"/>
        <w:ind w:firstLine="420" w:firstLineChars="200"/>
        <w:rPr>
          <w:rFonts w:eastAsia="宋体"/>
          <w:szCs w:val="21"/>
        </w:rPr>
      </w:pPr>
      <w:r>
        <w:rPr>
          <w:rFonts w:hint="eastAsia" w:eastAsia="宋体"/>
          <w:szCs w:val="21"/>
        </w:rPr>
        <w:t>4.1 投标报名</w:t>
      </w:r>
    </w:p>
    <w:p>
      <w:pPr>
        <w:spacing w:line="360" w:lineRule="auto"/>
        <w:ind w:firstLine="420" w:firstLineChars="200"/>
        <w:rPr>
          <w:rFonts w:eastAsia="宋体"/>
          <w:szCs w:val="21"/>
        </w:rPr>
      </w:pPr>
      <w:r>
        <w:rPr>
          <w:rFonts w:hint="eastAsia" w:ascii="宋体" w:hAnsi="宋体" w:eastAsia="宋体" w:cs="宋体"/>
          <w:kern w:val="0"/>
          <w:szCs w:val="21"/>
        </w:rPr>
        <w:t>本项目不需报名。</w:t>
      </w:r>
    </w:p>
    <w:p>
      <w:pPr>
        <w:spacing w:line="360" w:lineRule="auto"/>
        <w:ind w:firstLine="420" w:firstLineChars="200"/>
        <w:rPr>
          <w:rFonts w:eastAsia="宋体"/>
          <w:szCs w:val="21"/>
        </w:rPr>
      </w:pPr>
      <w:r>
        <w:rPr>
          <w:rFonts w:hint="eastAsia" w:eastAsia="宋体"/>
          <w:szCs w:val="21"/>
        </w:rPr>
        <w:t>4.2 招标文件的获取</w:t>
      </w:r>
    </w:p>
    <w:p>
      <w:pPr>
        <w:spacing w:line="360" w:lineRule="auto"/>
        <w:ind w:firstLine="420" w:firstLineChars="200"/>
        <w:rPr>
          <w:rFonts w:eastAsia="宋体"/>
          <w:szCs w:val="21"/>
        </w:rPr>
      </w:pPr>
      <w:r>
        <w:rPr>
          <w:rFonts w:hint="eastAsia" w:eastAsia="宋体"/>
          <w:szCs w:val="21"/>
        </w:rPr>
        <w:t>潜在投标人可登陆南宁市公共资源交易中心网站，在南宁市公共资源交易中心“交易公告”栏内查找相关项目的招标公告，并点击该公告的附件，即可免费浏览或下载项目的招标文件（招标文件以附件形式附于招标公告下，请自行下载）。</w:t>
      </w:r>
    </w:p>
    <w:p>
      <w:pPr>
        <w:spacing w:line="348" w:lineRule="auto"/>
        <w:ind w:firstLine="420" w:firstLineChars="200"/>
        <w:rPr>
          <w:rFonts w:eastAsia="宋体"/>
          <w:szCs w:val="21"/>
        </w:rPr>
      </w:pPr>
      <w:r>
        <w:rPr>
          <w:rFonts w:hint="eastAsia" w:eastAsia="宋体"/>
          <w:szCs w:val="21"/>
        </w:rPr>
        <w:t>注：投标人如未按要求或未完整下载相关文件，或由于未及时关注招标文件补充通知（补遗）、答疑等相关项目信息而影响投标的，其责任由投标人自行承担。</w:t>
      </w:r>
    </w:p>
    <w:p>
      <w:pPr>
        <w:spacing w:line="348" w:lineRule="auto"/>
        <w:outlineLvl w:val="1"/>
        <w:rPr>
          <w:rFonts w:eastAsia="宋体"/>
          <w:b/>
          <w:bCs/>
          <w:sz w:val="24"/>
        </w:rPr>
      </w:pPr>
      <w:r>
        <w:rPr>
          <w:rFonts w:hint="eastAsia" w:eastAsia="宋体"/>
          <w:b/>
          <w:bCs/>
          <w:sz w:val="24"/>
        </w:rPr>
        <w:t>　　</w:t>
      </w:r>
      <w:bookmarkStart w:id="31" w:name="_Toc2482"/>
      <w:bookmarkStart w:id="32" w:name="_Toc10012"/>
      <w:r>
        <w:rPr>
          <w:rFonts w:hint="eastAsia" w:eastAsia="宋体"/>
          <w:b/>
          <w:bCs/>
          <w:sz w:val="24"/>
        </w:rPr>
        <w:t>五、投标文件的递交</w:t>
      </w:r>
      <w:bookmarkEnd w:id="31"/>
      <w:bookmarkEnd w:id="32"/>
    </w:p>
    <w:p>
      <w:pPr>
        <w:spacing w:line="360" w:lineRule="auto"/>
        <w:ind w:firstLine="420"/>
        <w:rPr>
          <w:rFonts w:eastAsia="宋体"/>
          <w:szCs w:val="21"/>
        </w:rPr>
      </w:pPr>
      <w:r>
        <w:rPr>
          <w:rFonts w:hint="eastAsia" w:eastAsia="宋体"/>
          <w:szCs w:val="21"/>
        </w:rPr>
        <w:t>5.1递交投标文件截止时间为202</w:t>
      </w:r>
      <w:r>
        <w:rPr>
          <w:rFonts w:eastAsia="宋体"/>
          <w:szCs w:val="21"/>
        </w:rPr>
        <w:t>2</w:t>
      </w:r>
      <w:r>
        <w:rPr>
          <w:rFonts w:hint="eastAsia" w:eastAsia="宋体"/>
          <w:szCs w:val="21"/>
        </w:rPr>
        <w:t>年</w:t>
      </w:r>
      <w:r>
        <w:rPr>
          <w:rFonts w:hint="eastAsia" w:eastAsia="宋体"/>
          <w:szCs w:val="21"/>
          <w:lang w:eastAsia="zh-CN"/>
        </w:rPr>
        <w:t>6月28日</w:t>
      </w:r>
      <w:r>
        <w:rPr>
          <w:rFonts w:hint="eastAsia" w:eastAsia="宋体"/>
          <w:szCs w:val="21"/>
        </w:rPr>
        <w:t>09时30分。</w:t>
      </w:r>
    </w:p>
    <w:p>
      <w:pPr>
        <w:spacing w:line="360" w:lineRule="auto"/>
        <w:ind w:firstLine="420"/>
        <w:rPr>
          <w:rFonts w:eastAsia="宋体"/>
          <w:szCs w:val="21"/>
        </w:rPr>
      </w:pPr>
      <w:r>
        <w:rPr>
          <w:rFonts w:hint="eastAsia" w:eastAsia="宋体"/>
          <w:szCs w:val="21"/>
        </w:rPr>
        <w:t>5.2根据《南宁市机关事务管理局关于恢复非全流程电子招标采购项目现场递交投标（响应）文件模式的通知》（南机事函[2021]71号），投标文件可由投标人自行选择采用现场递交或邮寄快递等方式寄送：</w:t>
      </w:r>
    </w:p>
    <w:p>
      <w:pPr>
        <w:spacing w:line="360" w:lineRule="auto"/>
        <w:ind w:firstLine="420"/>
        <w:rPr>
          <w:rFonts w:eastAsia="宋体"/>
          <w:szCs w:val="21"/>
        </w:rPr>
      </w:pPr>
      <w:r>
        <w:rPr>
          <w:rFonts w:hint="eastAsia" w:eastAsia="宋体"/>
          <w:szCs w:val="21"/>
        </w:rPr>
        <w:t>5.2.1现场递交方式：投标文件递交至南宁市良庆区玉洞大道33号南宁市民中心南宁市公共资源交易中心开标厅（具体详见9楼电子显示屏安排）。请投标人法定代表人（负责人）或其授权代表携法人委托书原件准时参加（限1人）。投标文件必须由投标人法定代表人（负责人）或其授权代表递交。进入交易现场的所有人员须按南宁市公共资源交易中心网上关于</w:t>
      </w:r>
      <w:r>
        <w:rPr>
          <w:rFonts w:eastAsia="宋体"/>
          <w:szCs w:val="21"/>
        </w:rPr>
        <w:t>疫情防控</w:t>
      </w:r>
      <w:r>
        <w:rPr>
          <w:rFonts w:hint="eastAsia" w:eastAsia="宋体"/>
          <w:szCs w:val="21"/>
        </w:rPr>
        <w:t>工作</w:t>
      </w:r>
      <w:r>
        <w:rPr>
          <w:rFonts w:eastAsia="宋体"/>
          <w:szCs w:val="21"/>
        </w:rPr>
        <w:t>的</w:t>
      </w:r>
      <w:r>
        <w:rPr>
          <w:rFonts w:hint="eastAsia" w:eastAsia="宋体"/>
          <w:szCs w:val="21"/>
        </w:rPr>
        <w:t>相关</w:t>
      </w:r>
      <w:r>
        <w:rPr>
          <w:rFonts w:eastAsia="宋体"/>
          <w:szCs w:val="21"/>
        </w:rPr>
        <w:t>要求</w:t>
      </w:r>
      <w:r>
        <w:rPr>
          <w:rFonts w:hint="eastAsia" w:eastAsia="宋体"/>
          <w:szCs w:val="21"/>
        </w:rPr>
        <w:t>执行</w:t>
      </w:r>
      <w:r>
        <w:rPr>
          <w:rFonts w:eastAsia="宋体"/>
          <w:szCs w:val="21"/>
        </w:rPr>
        <w:t>，并</w:t>
      </w:r>
      <w:r>
        <w:rPr>
          <w:rFonts w:hint="eastAsia" w:eastAsia="宋体"/>
          <w:szCs w:val="21"/>
        </w:rPr>
        <w:t>做好个人防护，全程佩戴口罩，配合进行体温检测，身份登记等。符合疫情防控要求的人员方可参加现场交易活动。</w:t>
      </w:r>
    </w:p>
    <w:p>
      <w:pPr>
        <w:spacing w:line="360" w:lineRule="auto"/>
        <w:ind w:firstLine="420"/>
        <w:rPr>
          <w:rFonts w:eastAsia="宋体"/>
          <w:szCs w:val="21"/>
        </w:rPr>
      </w:pPr>
      <w:r>
        <w:rPr>
          <w:rFonts w:hint="eastAsia" w:eastAsia="宋体"/>
          <w:szCs w:val="21"/>
        </w:rPr>
        <w:t>5.2.2邮寄快递方式：接收邮寄快递包裹的时间为工作日</w:t>
      </w:r>
      <w:r>
        <w:rPr>
          <w:rFonts w:eastAsia="宋体"/>
          <w:szCs w:val="21"/>
        </w:rPr>
        <w:t>8</w:t>
      </w:r>
      <w:r>
        <w:rPr>
          <w:rFonts w:hint="eastAsia" w:eastAsia="宋体"/>
          <w:szCs w:val="21"/>
        </w:rPr>
        <w:t>：</w:t>
      </w:r>
      <w:r>
        <w:rPr>
          <w:rFonts w:eastAsia="宋体"/>
          <w:szCs w:val="21"/>
        </w:rPr>
        <w:t>3</w:t>
      </w:r>
      <w:r>
        <w:rPr>
          <w:rFonts w:hint="eastAsia" w:eastAsia="宋体"/>
          <w:szCs w:val="21"/>
        </w:rPr>
        <w:t>0～1</w:t>
      </w:r>
      <w:r>
        <w:rPr>
          <w:rFonts w:eastAsia="宋体"/>
          <w:szCs w:val="21"/>
        </w:rPr>
        <w:t>8</w:t>
      </w:r>
      <w:r>
        <w:rPr>
          <w:rFonts w:hint="eastAsia" w:eastAsia="宋体"/>
          <w:szCs w:val="21"/>
        </w:rPr>
        <w:t>：</w:t>
      </w:r>
      <w:r>
        <w:rPr>
          <w:rFonts w:eastAsia="宋体"/>
          <w:szCs w:val="21"/>
        </w:rPr>
        <w:t>0</w:t>
      </w:r>
      <w:r>
        <w:rPr>
          <w:rFonts w:hint="eastAsia" w:eastAsia="宋体"/>
          <w:szCs w:val="21"/>
        </w:rPr>
        <w:t>0。</w:t>
      </w:r>
      <w:r>
        <w:rPr>
          <w:rFonts w:hint="eastAsia" w:ascii="宋体" w:hAnsi="宋体" w:eastAsia="宋体" w:cs="宋体"/>
          <w:szCs w:val="21"/>
        </w:rPr>
        <w:t>招标代理机构将在投标截止时间前一小时（即</w:t>
      </w:r>
      <w:r>
        <w:rPr>
          <w:rFonts w:eastAsia="宋体"/>
          <w:szCs w:val="21"/>
        </w:rPr>
        <w:t>8</w:t>
      </w:r>
      <w:r>
        <w:rPr>
          <w:rFonts w:hint="eastAsia" w:ascii="宋体" w:hAnsi="宋体" w:eastAsia="宋体" w:cs="宋体"/>
          <w:szCs w:val="21"/>
        </w:rPr>
        <w:t>时</w:t>
      </w:r>
      <w:r>
        <w:rPr>
          <w:rFonts w:eastAsia="宋体"/>
          <w:szCs w:val="21"/>
        </w:rPr>
        <w:t>30</w:t>
      </w:r>
      <w:r>
        <w:rPr>
          <w:rFonts w:hint="eastAsia" w:ascii="宋体" w:hAnsi="宋体" w:eastAsia="宋体" w:cs="宋体"/>
          <w:szCs w:val="21"/>
        </w:rPr>
        <w:t>分）统一将收到的投标文件运送至南宁市公共资源交易中心，以确保本项目能在投标截止（开标）时间准时开标，</w:t>
      </w:r>
      <w:r>
        <w:rPr>
          <w:rFonts w:hint="eastAsia" w:eastAsia="宋体"/>
          <w:szCs w:val="21"/>
        </w:rPr>
        <w:t>投标人应充分预留投标文件邮寄、送达所需要的时间。为确保疫情防控期间邮寄包裹能及时送达，应选择邮寄运送时间有保障的快递公司寄送投标文件，并尽量在投标截止日期1日前送达。招标代理机构签收邮寄包裹的时间即为投标人投标文件的送达时间，逾期送达的投标文件，不予接收，后果由投标人自行承担。邮寄投标文件接收地址：广西南宁市良庆区云英路15号3号楼云之龙咨询集团大厦</w:t>
      </w:r>
      <w:r>
        <w:rPr>
          <w:rFonts w:eastAsia="宋体"/>
          <w:szCs w:val="21"/>
        </w:rPr>
        <w:t>6</w:t>
      </w:r>
      <w:r>
        <w:rPr>
          <w:rFonts w:hint="eastAsia" w:eastAsia="宋体"/>
          <w:szCs w:val="21"/>
        </w:rPr>
        <w:t>楼（云之龙咨询集团有限公司）；收件人：黎怡瑾/王程龙，联系电话：18076615611。</w:t>
      </w:r>
    </w:p>
    <w:p>
      <w:pPr>
        <w:spacing w:line="360" w:lineRule="auto"/>
        <w:ind w:firstLine="422" w:firstLineChars="200"/>
        <w:rPr>
          <w:rFonts w:ascii="宋体" w:hAnsi="宋体" w:eastAsia="宋体"/>
          <w:b/>
          <w:bCs/>
          <w:kern w:val="0"/>
          <w:szCs w:val="21"/>
        </w:rPr>
      </w:pPr>
      <w:r>
        <w:rPr>
          <w:rFonts w:hint="eastAsia" w:ascii="宋体" w:hAnsi="宋体" w:eastAsia="宋体"/>
          <w:b/>
          <w:bCs/>
          <w:kern w:val="0"/>
          <w:szCs w:val="21"/>
        </w:rPr>
        <w:t>邮件外包粘贴表格（格式）</w:t>
      </w:r>
    </w:p>
    <w:tbl>
      <w:tblPr>
        <w:tblStyle w:val="4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8931" w:type="dxa"/>
          </w:tcPr>
          <w:p>
            <w:pPr>
              <w:spacing w:line="360" w:lineRule="auto"/>
              <w:ind w:firstLine="420" w:firstLineChars="200"/>
              <w:rPr>
                <w:rFonts w:ascii="宋体" w:hAnsi="宋体" w:eastAsia="宋体"/>
                <w:kern w:val="0"/>
                <w:szCs w:val="21"/>
              </w:rPr>
            </w:pPr>
            <w:r>
              <w:rPr>
                <w:rFonts w:hint="eastAsia" w:ascii="宋体" w:hAnsi="宋体" w:eastAsia="宋体"/>
                <w:kern w:val="0"/>
                <w:szCs w:val="21"/>
              </w:rPr>
              <w:t>项目名称：</w:t>
            </w:r>
          </w:p>
          <w:p>
            <w:pPr>
              <w:spacing w:line="360" w:lineRule="auto"/>
              <w:ind w:firstLine="420" w:firstLineChars="200"/>
              <w:rPr>
                <w:rFonts w:ascii="宋体" w:hAnsi="宋体" w:eastAsia="宋体"/>
                <w:kern w:val="0"/>
                <w:szCs w:val="21"/>
              </w:rPr>
            </w:pPr>
            <w:r>
              <w:rPr>
                <w:rFonts w:hint="eastAsia" w:ascii="宋体" w:hAnsi="宋体" w:eastAsia="宋体"/>
                <w:kern w:val="0"/>
                <w:szCs w:val="21"/>
              </w:rPr>
              <w:t>联系电子邮箱：</w:t>
            </w:r>
          </w:p>
          <w:p>
            <w:pPr>
              <w:tabs>
                <w:tab w:val="left" w:pos="3213"/>
              </w:tabs>
              <w:spacing w:line="360" w:lineRule="auto"/>
              <w:ind w:firstLine="420" w:firstLineChars="200"/>
              <w:rPr>
                <w:rFonts w:ascii="宋体" w:hAnsi="宋体" w:eastAsia="宋体"/>
                <w:kern w:val="0"/>
                <w:szCs w:val="21"/>
              </w:rPr>
            </w:pPr>
            <w:r>
              <w:rPr>
                <w:rFonts w:hint="eastAsia" w:ascii="宋体" w:hAnsi="宋体" w:eastAsia="宋体"/>
                <w:kern w:val="0"/>
                <w:szCs w:val="21"/>
              </w:rPr>
              <w:t>联系人电话：</w:t>
            </w:r>
            <w:r>
              <w:rPr>
                <w:rFonts w:ascii="宋体" w:hAnsi="宋体" w:eastAsia="宋体"/>
                <w:kern w:val="0"/>
                <w:szCs w:val="21"/>
              </w:rPr>
              <w:tab/>
            </w:r>
          </w:p>
        </w:tc>
      </w:tr>
    </w:tbl>
    <w:p>
      <w:pPr>
        <w:spacing w:line="348" w:lineRule="auto"/>
        <w:rPr>
          <w:rFonts w:eastAsia="宋体"/>
          <w:szCs w:val="21"/>
        </w:rPr>
      </w:pPr>
      <w:r>
        <w:rPr>
          <w:rFonts w:hint="eastAsia" w:eastAsia="宋体"/>
          <w:szCs w:val="21"/>
        </w:rPr>
        <w:t>　　5.3逾期送达或者未送达指定地点的或不符合规定的投标文件，招标人不予受理。</w:t>
      </w:r>
    </w:p>
    <w:p>
      <w:pPr>
        <w:spacing w:line="348" w:lineRule="auto"/>
        <w:outlineLvl w:val="1"/>
        <w:rPr>
          <w:rFonts w:eastAsia="宋体"/>
          <w:b/>
          <w:bCs/>
          <w:sz w:val="24"/>
        </w:rPr>
      </w:pPr>
      <w:r>
        <w:rPr>
          <w:rFonts w:hint="eastAsia" w:eastAsia="宋体"/>
          <w:b/>
          <w:bCs/>
          <w:sz w:val="24"/>
        </w:rPr>
        <w:t>　　</w:t>
      </w:r>
      <w:bookmarkStart w:id="33" w:name="_Toc30467"/>
      <w:bookmarkStart w:id="34" w:name="_Toc18292"/>
      <w:r>
        <w:rPr>
          <w:rFonts w:hint="eastAsia" w:eastAsia="宋体"/>
          <w:b/>
          <w:bCs/>
          <w:sz w:val="24"/>
        </w:rPr>
        <w:t>六、发布公告的媒体</w:t>
      </w:r>
      <w:bookmarkEnd w:id="33"/>
      <w:bookmarkEnd w:id="34"/>
    </w:p>
    <w:p>
      <w:pPr>
        <w:spacing w:line="348" w:lineRule="auto"/>
        <w:ind w:firstLine="446"/>
        <w:rPr>
          <w:rFonts w:eastAsia="宋体"/>
          <w:szCs w:val="21"/>
        </w:rPr>
      </w:pPr>
      <w:r>
        <w:rPr>
          <w:rFonts w:hint="eastAsia" w:eastAsia="宋体"/>
          <w:szCs w:val="21"/>
        </w:rPr>
        <w:t>本次招标公告同时在中国招标投标公共服务平台</w:t>
      </w:r>
      <w:r>
        <w:rPr>
          <w:rFonts w:eastAsia="宋体"/>
          <w:szCs w:val="21"/>
        </w:rPr>
        <w:t>www.cebpubservice.com</w:t>
      </w:r>
      <w:r>
        <w:rPr>
          <w:rFonts w:hint="eastAsia" w:eastAsia="宋体"/>
          <w:szCs w:val="21"/>
        </w:rPr>
        <w:t>、广西壮族自治区招标投标公共服务平台</w:t>
      </w:r>
      <w:r>
        <w:rPr>
          <w:rFonts w:eastAsia="宋体"/>
          <w:szCs w:val="21"/>
        </w:rPr>
        <w:t>ztb.gxi.gov.cn</w:t>
      </w:r>
      <w:r>
        <w:rPr>
          <w:rFonts w:hint="eastAsia" w:eastAsia="宋体"/>
          <w:szCs w:val="21"/>
        </w:rPr>
        <w:t>、南宁市公共资源交易中心网</w:t>
      </w:r>
      <w:r>
        <w:rPr>
          <w:rFonts w:eastAsia="宋体"/>
          <w:szCs w:val="21"/>
        </w:rPr>
        <w:t>http://www.nnggzy.org.cn</w:t>
      </w:r>
      <w:r>
        <w:rPr>
          <w:rFonts w:hint="eastAsia" w:eastAsia="宋体"/>
          <w:szCs w:val="21"/>
        </w:rPr>
        <w:t>（公告发布媒体包含但不限于上述媒体）发布。</w:t>
      </w:r>
    </w:p>
    <w:p>
      <w:pPr>
        <w:spacing w:line="348" w:lineRule="auto"/>
        <w:outlineLvl w:val="1"/>
        <w:rPr>
          <w:rFonts w:eastAsia="宋体"/>
          <w:b/>
          <w:bCs/>
          <w:sz w:val="24"/>
        </w:rPr>
      </w:pPr>
      <w:bookmarkStart w:id="35" w:name="_Toc19613"/>
      <w:r>
        <w:rPr>
          <w:rFonts w:hint="eastAsia" w:eastAsia="宋体"/>
          <w:b/>
          <w:bCs/>
          <w:sz w:val="24"/>
        </w:rPr>
        <w:t>七、</w:t>
      </w:r>
      <w:bookmarkStart w:id="36" w:name="_Toc335"/>
      <w:r>
        <w:rPr>
          <w:rFonts w:hint="eastAsia" w:eastAsia="宋体"/>
          <w:b/>
          <w:bCs/>
          <w:sz w:val="24"/>
        </w:rPr>
        <w:t>联系方式</w:t>
      </w:r>
      <w:bookmarkEnd w:id="35"/>
      <w:bookmarkEnd w:id="36"/>
    </w:p>
    <w:p>
      <w:pPr>
        <w:spacing w:line="348" w:lineRule="auto"/>
        <w:rPr>
          <w:rFonts w:eastAsia="宋体"/>
          <w:szCs w:val="21"/>
        </w:rPr>
      </w:pPr>
      <w:r>
        <w:rPr>
          <w:rFonts w:hint="eastAsia" w:eastAsia="宋体"/>
          <w:szCs w:val="21"/>
        </w:rPr>
        <w:t>　　招标人：南宁轨道交通集团有限责任公司</w:t>
      </w:r>
    </w:p>
    <w:p>
      <w:pPr>
        <w:spacing w:line="348" w:lineRule="auto"/>
        <w:ind w:firstLine="420"/>
        <w:rPr>
          <w:rFonts w:eastAsia="宋体"/>
          <w:szCs w:val="21"/>
        </w:rPr>
      </w:pPr>
      <w:r>
        <w:rPr>
          <w:rFonts w:hint="eastAsia" w:eastAsia="宋体"/>
          <w:szCs w:val="21"/>
        </w:rPr>
        <w:t>地址：广西南宁市云景路69号</w:t>
      </w:r>
    </w:p>
    <w:p>
      <w:pPr>
        <w:spacing w:line="348" w:lineRule="auto"/>
        <w:ind w:firstLine="420"/>
        <w:rPr>
          <w:rFonts w:eastAsia="宋体"/>
          <w:szCs w:val="21"/>
        </w:rPr>
      </w:pPr>
      <w:r>
        <w:rPr>
          <w:rFonts w:hint="eastAsia" w:eastAsia="宋体"/>
          <w:szCs w:val="21"/>
        </w:rPr>
        <w:t>联系人：陈工、何</w:t>
      </w:r>
      <w:r>
        <w:rPr>
          <w:rFonts w:eastAsia="宋体"/>
          <w:szCs w:val="21"/>
        </w:rPr>
        <w:t>工</w:t>
      </w:r>
    </w:p>
    <w:p>
      <w:pPr>
        <w:spacing w:line="348" w:lineRule="auto"/>
        <w:ind w:firstLine="420"/>
        <w:rPr>
          <w:rFonts w:eastAsia="宋体"/>
          <w:szCs w:val="21"/>
        </w:rPr>
      </w:pPr>
      <w:r>
        <w:rPr>
          <w:rFonts w:hint="eastAsia" w:eastAsia="宋体"/>
          <w:szCs w:val="21"/>
        </w:rPr>
        <w:t>电话：0771-2338656、2332855</w:t>
      </w:r>
    </w:p>
    <w:p>
      <w:pPr>
        <w:spacing w:line="348" w:lineRule="auto"/>
        <w:ind w:firstLine="420"/>
        <w:rPr>
          <w:rFonts w:eastAsia="宋体"/>
          <w:szCs w:val="21"/>
        </w:rPr>
      </w:pPr>
      <w:r>
        <w:rPr>
          <w:rFonts w:hint="eastAsia" w:eastAsia="宋体"/>
          <w:szCs w:val="21"/>
        </w:rPr>
        <w:t>开户行：建行南宁市朝阳支行营业部</w:t>
      </w:r>
    </w:p>
    <w:p>
      <w:pPr>
        <w:spacing w:line="348" w:lineRule="auto"/>
        <w:ind w:firstLine="420"/>
        <w:rPr>
          <w:rFonts w:eastAsia="宋体"/>
          <w:szCs w:val="21"/>
        </w:rPr>
      </w:pPr>
      <w:r>
        <w:rPr>
          <w:rFonts w:hint="eastAsia" w:eastAsia="宋体"/>
          <w:szCs w:val="21"/>
        </w:rPr>
        <w:t>账号：45001604473059116688</w:t>
      </w:r>
    </w:p>
    <w:p>
      <w:pPr>
        <w:spacing w:line="348" w:lineRule="auto"/>
        <w:ind w:firstLine="420"/>
        <w:rPr>
          <w:rFonts w:eastAsia="宋体"/>
          <w:szCs w:val="21"/>
        </w:rPr>
      </w:pPr>
      <w:r>
        <w:rPr>
          <w:rFonts w:hint="eastAsia" w:eastAsia="宋体"/>
          <w:szCs w:val="21"/>
        </w:rPr>
        <w:t>　</w:t>
      </w:r>
    </w:p>
    <w:p>
      <w:pPr>
        <w:spacing w:line="348" w:lineRule="auto"/>
        <w:ind w:firstLine="420"/>
        <w:rPr>
          <w:rFonts w:eastAsia="宋体"/>
          <w:szCs w:val="21"/>
        </w:rPr>
      </w:pPr>
    </w:p>
    <w:p>
      <w:pPr>
        <w:spacing w:line="348" w:lineRule="auto"/>
        <w:ind w:firstLine="420"/>
        <w:rPr>
          <w:rFonts w:eastAsia="宋体"/>
          <w:szCs w:val="21"/>
        </w:rPr>
      </w:pPr>
      <w:r>
        <w:rPr>
          <w:rFonts w:hint="eastAsia" w:eastAsia="宋体"/>
          <w:szCs w:val="21"/>
        </w:rPr>
        <w:t>招标代理机构：云之龙咨询集团有限公司</w:t>
      </w:r>
    </w:p>
    <w:p>
      <w:pPr>
        <w:spacing w:line="360" w:lineRule="auto"/>
        <w:rPr>
          <w:rFonts w:eastAsia="宋体"/>
          <w:szCs w:val="21"/>
        </w:rPr>
      </w:pPr>
      <w:r>
        <w:rPr>
          <w:rFonts w:hint="eastAsia" w:eastAsia="宋体"/>
          <w:szCs w:val="21"/>
        </w:rPr>
        <w:t>　　地址：南宁市良庆区云英路15号3号楼云之龙咨询集团大厦6楼</w:t>
      </w:r>
    </w:p>
    <w:p>
      <w:pPr>
        <w:spacing w:line="360" w:lineRule="auto"/>
        <w:rPr>
          <w:rFonts w:eastAsia="宋体"/>
          <w:szCs w:val="21"/>
        </w:rPr>
      </w:pPr>
      <w:r>
        <w:rPr>
          <w:rFonts w:hint="eastAsia" w:eastAsia="宋体"/>
          <w:szCs w:val="21"/>
        </w:rPr>
        <w:t>　　联系人：郭春燕、</w:t>
      </w:r>
      <w:r>
        <w:rPr>
          <w:rFonts w:eastAsia="宋体"/>
          <w:szCs w:val="21"/>
        </w:rPr>
        <w:t>刘诗施</w:t>
      </w:r>
    </w:p>
    <w:p>
      <w:pPr>
        <w:spacing w:line="360" w:lineRule="auto"/>
        <w:rPr>
          <w:rFonts w:eastAsia="宋体"/>
          <w:szCs w:val="21"/>
        </w:rPr>
      </w:pPr>
      <w:r>
        <w:rPr>
          <w:rFonts w:hint="eastAsia" w:eastAsia="宋体"/>
          <w:szCs w:val="21"/>
        </w:rPr>
        <w:t>　　电话：</w:t>
      </w:r>
      <w:r>
        <w:rPr>
          <w:rFonts w:eastAsia="宋体"/>
          <w:szCs w:val="21"/>
        </w:rPr>
        <w:t>0771-2618199</w:t>
      </w:r>
    </w:p>
    <w:p>
      <w:pPr>
        <w:spacing w:line="360" w:lineRule="auto"/>
        <w:ind w:firstLine="420" w:firstLineChars="200"/>
        <w:rPr>
          <w:rFonts w:eastAsia="宋体"/>
          <w:szCs w:val="21"/>
        </w:rPr>
      </w:pPr>
      <w:r>
        <w:rPr>
          <w:rFonts w:hint="eastAsia" w:eastAsia="宋体"/>
          <w:szCs w:val="21"/>
        </w:rPr>
        <w:t>传真：</w:t>
      </w:r>
      <w:r>
        <w:rPr>
          <w:rFonts w:eastAsia="宋体"/>
          <w:szCs w:val="21"/>
        </w:rPr>
        <w:t>0771-2626828</w:t>
      </w:r>
    </w:p>
    <w:p>
      <w:pPr>
        <w:spacing w:line="348" w:lineRule="auto"/>
        <w:ind w:firstLine="420" w:firstLineChars="200"/>
        <w:rPr>
          <w:rFonts w:eastAsia="宋体"/>
          <w:szCs w:val="21"/>
        </w:rPr>
      </w:pPr>
      <w:r>
        <w:rPr>
          <w:rFonts w:hint="eastAsia" w:eastAsia="宋体"/>
          <w:szCs w:val="21"/>
        </w:rPr>
        <w:t>邮箱：</w:t>
      </w:r>
      <w:r>
        <w:rPr>
          <w:rFonts w:eastAsia="宋体"/>
          <w:szCs w:val="21"/>
        </w:rPr>
        <w:t>gxyunlong@vip.163.com</w:t>
      </w:r>
    </w:p>
    <w:p>
      <w:pPr>
        <w:spacing w:line="348" w:lineRule="auto"/>
        <w:ind w:firstLine="420" w:firstLineChars="200"/>
        <w:rPr>
          <w:rFonts w:eastAsia="宋体"/>
          <w:szCs w:val="21"/>
        </w:rPr>
      </w:pPr>
      <w:r>
        <w:rPr>
          <w:rFonts w:hint="eastAsia" w:eastAsia="宋体"/>
          <w:szCs w:val="21"/>
        </w:rPr>
        <w:t>开户行：中国银行南宁市民主支行</w:t>
      </w:r>
    </w:p>
    <w:p>
      <w:pPr>
        <w:spacing w:line="348" w:lineRule="auto"/>
        <w:ind w:firstLine="420" w:firstLineChars="200"/>
        <w:rPr>
          <w:rFonts w:eastAsia="宋体"/>
          <w:szCs w:val="21"/>
        </w:rPr>
      </w:pPr>
      <w:r>
        <w:rPr>
          <w:rFonts w:hint="eastAsia" w:eastAsia="宋体"/>
          <w:szCs w:val="21"/>
        </w:rPr>
        <w:t>账号：</w:t>
      </w:r>
      <w:r>
        <w:rPr>
          <w:rFonts w:eastAsia="宋体"/>
          <w:szCs w:val="21"/>
        </w:rPr>
        <w:t>623661021638</w:t>
      </w:r>
    </w:p>
    <w:p>
      <w:pPr>
        <w:wordWrap w:val="0"/>
        <w:spacing w:line="348" w:lineRule="auto"/>
        <w:jc w:val="right"/>
        <w:rPr>
          <w:rFonts w:cs="Calibri" w:asciiTheme="minorEastAsia" w:hAnsiTheme="minorEastAsia" w:eastAsiaTheme="minorEastAsia"/>
          <w:szCs w:val="21"/>
        </w:rPr>
      </w:pPr>
      <w:r>
        <w:rPr>
          <w:rFonts w:hint="eastAsia" w:eastAsia="宋体"/>
          <w:szCs w:val="21"/>
        </w:rPr>
        <w:t>　</w:t>
      </w:r>
      <w:r>
        <w:rPr>
          <w:rFonts w:hint="eastAsia" w:asciiTheme="minorEastAsia" w:hAnsiTheme="minorEastAsia" w:eastAsiaTheme="minorEastAsia"/>
          <w:szCs w:val="21"/>
        </w:rPr>
        <w:t>　</w:t>
      </w:r>
      <w:r>
        <w:rPr>
          <w:rFonts w:hint="eastAsia" w:cs="Calibri" w:asciiTheme="minorEastAsia" w:hAnsiTheme="minorEastAsia" w:eastAsiaTheme="minorEastAsia"/>
          <w:szCs w:val="21"/>
        </w:rPr>
        <w:t>202</w:t>
      </w:r>
      <w:r>
        <w:rPr>
          <w:rFonts w:cs="Calibri" w:asciiTheme="minorEastAsia" w:hAnsiTheme="minorEastAsia" w:eastAsiaTheme="minorEastAsia"/>
          <w:szCs w:val="21"/>
        </w:rPr>
        <w:t>2</w:t>
      </w:r>
      <w:r>
        <w:rPr>
          <w:rFonts w:hint="eastAsia" w:cs="Calibri" w:asciiTheme="minorEastAsia" w:hAnsiTheme="minorEastAsia" w:eastAsiaTheme="minorEastAsia"/>
          <w:szCs w:val="21"/>
        </w:rPr>
        <w:t>年</w:t>
      </w:r>
      <w:r>
        <w:rPr>
          <w:rFonts w:cs="Calibri" w:asciiTheme="minorEastAsia" w:hAnsiTheme="minorEastAsia" w:eastAsiaTheme="minorEastAsia"/>
          <w:szCs w:val="21"/>
        </w:rPr>
        <w:t>6</w:t>
      </w:r>
      <w:r>
        <w:rPr>
          <w:rFonts w:hint="eastAsia" w:cs="Calibri" w:asciiTheme="minorEastAsia" w:hAnsiTheme="minorEastAsia" w:eastAsiaTheme="minorEastAsia"/>
          <w:szCs w:val="21"/>
        </w:rPr>
        <w:t>月</w:t>
      </w:r>
      <w:r>
        <w:rPr>
          <w:rFonts w:cs="Calibri" w:asciiTheme="minorEastAsia" w:hAnsiTheme="minorEastAsia" w:eastAsiaTheme="minorEastAsia"/>
          <w:szCs w:val="21"/>
        </w:rPr>
        <w:t>1</w:t>
      </w:r>
      <w:r>
        <w:rPr>
          <w:rFonts w:hint="eastAsia" w:cs="Calibri" w:asciiTheme="minorEastAsia" w:hAnsiTheme="minorEastAsia" w:eastAsiaTheme="minorEastAsia"/>
          <w:szCs w:val="21"/>
        </w:rPr>
        <w:t>日</w:t>
      </w:r>
    </w:p>
    <w:p>
      <w:pPr>
        <w:pStyle w:val="2"/>
        <w:rPr>
          <w:rFonts w:eastAsia="宋体"/>
        </w:rPr>
        <w:sectPr>
          <w:footerReference r:id="rId18" w:type="first"/>
          <w:footerReference r:id="rId17" w:type="default"/>
          <w:type w:val="nextColumn"/>
          <w:pgSz w:w="11907" w:h="16840"/>
          <w:pgMar w:top="1247" w:right="1247" w:bottom="1247" w:left="1588" w:header="737" w:footer="737" w:gutter="0"/>
          <w:cols w:space="720" w:num="1"/>
          <w:titlePg/>
          <w:docGrid w:linePitch="312" w:charSpace="0"/>
        </w:sectPr>
      </w:pPr>
    </w:p>
    <w:p>
      <w:pPr>
        <w:keepNext/>
        <w:keepLines/>
        <w:spacing w:line="360" w:lineRule="auto"/>
        <w:jc w:val="center"/>
        <w:rPr>
          <w:rFonts w:hAnsi="宋体" w:eastAsia="宋体"/>
        </w:rPr>
      </w:pPr>
      <w:bookmarkStart w:id="37" w:name="_Toc121830566"/>
      <w:bookmarkStart w:id="38" w:name="_Toc65846683"/>
      <w:bookmarkStart w:id="39" w:name="_Toc65597732"/>
      <w:bookmarkStart w:id="40" w:name="_Toc55500014"/>
      <w:bookmarkStart w:id="41" w:name="_Toc223786499"/>
      <w:bookmarkStart w:id="42" w:name="_Toc65420081"/>
      <w:bookmarkStart w:id="43" w:name="_Toc121182293"/>
      <w:bookmarkStart w:id="44" w:name="_Toc375564259"/>
      <w:bookmarkStart w:id="45" w:name="_Toc65498353"/>
      <w:bookmarkStart w:id="46" w:name="_Toc68417324"/>
      <w:bookmarkStart w:id="47" w:name="_Toc121308023"/>
      <w:bookmarkStart w:id="48" w:name="_Toc118061506"/>
      <w:bookmarkStart w:id="49" w:name="_Toc213048999"/>
      <w:bookmarkStart w:id="50" w:name="_Toc72583475"/>
      <w:bookmarkStart w:id="51" w:name="_Toc119786461"/>
      <w:bookmarkStart w:id="52" w:name="_Toc118890501"/>
      <w:bookmarkStart w:id="53" w:name="_Toc70094668"/>
      <w:bookmarkStart w:id="54" w:name="_Toc65641107"/>
      <w:bookmarkStart w:id="55" w:name="_Toc68407731"/>
    </w:p>
    <w:p>
      <w:pPr>
        <w:keepNext/>
        <w:keepLines/>
        <w:spacing w:line="360" w:lineRule="auto"/>
        <w:jc w:val="center"/>
        <w:rPr>
          <w:rFonts w:hAnsi="宋体" w:eastAsia="宋体"/>
        </w:rPr>
      </w:pPr>
    </w:p>
    <w:p>
      <w:pPr>
        <w:keepNext/>
        <w:keepLines/>
        <w:spacing w:line="360" w:lineRule="auto"/>
        <w:jc w:val="center"/>
        <w:rPr>
          <w:rFonts w:hAnsi="宋体" w:eastAsia="宋体"/>
        </w:rPr>
      </w:pPr>
    </w:p>
    <w:p>
      <w:pPr>
        <w:keepNext/>
        <w:keepLines/>
        <w:spacing w:line="360" w:lineRule="auto"/>
        <w:jc w:val="center"/>
        <w:rPr>
          <w:rFonts w:hAnsi="宋体" w:eastAsia="宋体"/>
        </w:rPr>
      </w:pPr>
    </w:p>
    <w:p>
      <w:pPr>
        <w:keepNext/>
        <w:keepLines/>
        <w:spacing w:line="360" w:lineRule="auto"/>
        <w:jc w:val="center"/>
        <w:rPr>
          <w:rFonts w:hAnsi="宋体" w:eastAsia="宋体"/>
        </w:rPr>
      </w:pPr>
    </w:p>
    <w:p>
      <w:pPr>
        <w:keepNext/>
        <w:keepLines/>
        <w:spacing w:line="360" w:lineRule="auto"/>
        <w:jc w:val="center"/>
        <w:rPr>
          <w:rFonts w:hAnsi="宋体" w:eastAsia="宋体"/>
        </w:rPr>
      </w:pPr>
    </w:p>
    <w:p>
      <w:pPr>
        <w:keepNext/>
        <w:keepLines/>
        <w:spacing w:line="360" w:lineRule="auto"/>
        <w:jc w:val="center"/>
        <w:rPr>
          <w:rFonts w:hAnsi="宋体" w:eastAsia="宋体"/>
        </w:rPr>
      </w:pPr>
    </w:p>
    <w:p>
      <w:pPr>
        <w:keepNext/>
        <w:keepLines/>
        <w:spacing w:line="360" w:lineRule="auto"/>
        <w:jc w:val="center"/>
        <w:rPr>
          <w:rFonts w:hAnsi="宋体" w:eastAsia="宋体"/>
        </w:rPr>
      </w:pPr>
    </w:p>
    <w:p>
      <w:pPr>
        <w:keepNext/>
        <w:keepLines/>
        <w:spacing w:line="360" w:lineRule="auto"/>
        <w:jc w:val="center"/>
        <w:rPr>
          <w:rFonts w:hAnsi="宋体" w:eastAsia="宋体"/>
        </w:rPr>
      </w:pPr>
    </w:p>
    <w:p>
      <w:pPr>
        <w:keepNext/>
        <w:keepLines/>
        <w:spacing w:line="360" w:lineRule="auto"/>
        <w:jc w:val="center"/>
        <w:rPr>
          <w:rFonts w:hAnsi="宋体" w:eastAsia="宋体"/>
        </w:rPr>
      </w:pPr>
    </w:p>
    <w:p>
      <w:pPr>
        <w:keepNext/>
        <w:keepLines/>
        <w:spacing w:line="360" w:lineRule="auto"/>
        <w:jc w:val="center"/>
        <w:rPr>
          <w:rFonts w:hAnsi="宋体" w:eastAsia="宋体"/>
        </w:rPr>
      </w:pPr>
    </w:p>
    <w:p>
      <w:pPr>
        <w:keepNext/>
        <w:keepLines/>
        <w:spacing w:line="360" w:lineRule="auto"/>
        <w:jc w:val="center"/>
        <w:rPr>
          <w:rFonts w:hAnsi="宋体" w:eastAsia="宋体"/>
        </w:rPr>
      </w:pPr>
    </w:p>
    <w:p>
      <w:pPr>
        <w:keepNext/>
        <w:keepLines/>
        <w:spacing w:line="360" w:lineRule="auto"/>
        <w:jc w:val="center"/>
        <w:rPr>
          <w:rFonts w:hAnsi="宋体" w:eastAsia="宋体"/>
        </w:rPr>
      </w:pPr>
    </w:p>
    <w:p>
      <w:pPr>
        <w:keepNext/>
        <w:keepLines/>
        <w:spacing w:line="360" w:lineRule="auto"/>
        <w:jc w:val="center"/>
        <w:rPr>
          <w:rFonts w:hAnsi="宋体" w:eastAsia="宋体"/>
        </w:rPr>
      </w:pPr>
    </w:p>
    <w:p>
      <w:pPr>
        <w:keepNext/>
        <w:keepLines/>
        <w:spacing w:line="360" w:lineRule="auto"/>
        <w:jc w:val="center"/>
        <w:rPr>
          <w:rFonts w:hAnsi="宋体" w:eastAsia="宋体"/>
        </w:rPr>
      </w:pPr>
    </w:p>
    <w:p>
      <w:pPr>
        <w:keepNext/>
        <w:keepLines/>
        <w:spacing w:line="360" w:lineRule="auto"/>
        <w:jc w:val="center"/>
        <w:rPr>
          <w:rFonts w:hAnsi="宋体" w:eastAsia="宋体"/>
        </w:rPr>
      </w:pPr>
    </w:p>
    <w:p>
      <w:pPr>
        <w:keepNext/>
        <w:keepLines/>
        <w:spacing w:line="360" w:lineRule="auto"/>
        <w:jc w:val="center"/>
        <w:rPr>
          <w:rFonts w:hAnsi="宋体" w:eastAsia="宋体"/>
        </w:rPr>
      </w:pPr>
    </w:p>
    <w:p>
      <w:pPr>
        <w:pStyle w:val="4"/>
        <w:spacing w:line="360" w:lineRule="auto"/>
        <w:jc w:val="center"/>
        <w:rPr>
          <w:rFonts w:eastAsia="宋体"/>
        </w:rPr>
        <w:sectPr>
          <w:headerReference r:id="rId19" w:type="first"/>
          <w:footerReference r:id="rId20" w:type="first"/>
          <w:type w:val="nextColumn"/>
          <w:pgSz w:w="11907" w:h="16840"/>
          <w:pgMar w:top="1247" w:right="1247" w:bottom="1247" w:left="1588" w:header="737" w:footer="737" w:gutter="0"/>
          <w:cols w:space="720" w:num="1"/>
          <w:titlePg/>
          <w:docGrid w:linePitch="312" w:charSpace="0"/>
        </w:sectPr>
      </w:pPr>
      <w:bookmarkStart w:id="56" w:name="_Toc1936"/>
      <w:bookmarkStart w:id="57" w:name="_Toc19334"/>
      <w:r>
        <w:rPr>
          <w:rFonts w:hAnsi="宋体" w:eastAsia="宋体"/>
        </w:rPr>
        <w:t>第二章投标须知</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spacing w:line="360" w:lineRule="auto"/>
        <w:jc w:val="center"/>
        <w:outlineLvl w:val="1"/>
        <w:rPr>
          <w:rFonts w:eastAsia="宋体"/>
          <w:b/>
          <w:sz w:val="32"/>
          <w:szCs w:val="32"/>
        </w:rPr>
      </w:pPr>
      <w:bookmarkStart w:id="58" w:name="_Toc20985"/>
      <w:bookmarkStart w:id="59" w:name="_Toc16481"/>
      <w:r>
        <w:rPr>
          <w:rFonts w:hAnsi="宋体" w:eastAsia="宋体"/>
          <w:b/>
          <w:sz w:val="32"/>
          <w:szCs w:val="32"/>
        </w:rPr>
        <w:t>投标须知前附表</w:t>
      </w:r>
      <w:bookmarkEnd w:id="58"/>
      <w:bookmarkEnd w:id="59"/>
    </w:p>
    <w:p>
      <w:pPr>
        <w:spacing w:before="120" w:beforeLines="50" w:after="120" w:afterLines="50" w:line="360" w:lineRule="auto"/>
        <w:rPr>
          <w:rFonts w:eastAsia="宋体"/>
          <w:szCs w:val="21"/>
        </w:rPr>
      </w:pPr>
      <w:r>
        <w:rPr>
          <w:rFonts w:hAnsi="宋体" w:eastAsia="宋体"/>
          <w:szCs w:val="21"/>
        </w:rPr>
        <w:t>本表关于招标</w:t>
      </w:r>
      <w:r>
        <w:rPr>
          <w:rFonts w:hint="eastAsia" w:hAnsi="宋体" w:eastAsia="宋体"/>
          <w:szCs w:val="21"/>
        </w:rPr>
        <w:t>项目</w:t>
      </w:r>
      <w:r>
        <w:rPr>
          <w:rFonts w:hAnsi="宋体" w:eastAsia="宋体"/>
          <w:szCs w:val="21"/>
        </w:rPr>
        <w:t>的具体要求是对投标须知</w:t>
      </w:r>
      <w:r>
        <w:rPr>
          <w:rFonts w:hint="eastAsia" w:hAnsi="宋体" w:eastAsia="宋体"/>
          <w:szCs w:val="21"/>
        </w:rPr>
        <w:t>相应条款</w:t>
      </w:r>
      <w:r>
        <w:rPr>
          <w:rFonts w:hAnsi="宋体" w:eastAsia="宋体"/>
          <w:szCs w:val="21"/>
        </w:rPr>
        <w:t>的具体补充和修改，如有矛盾，应以本表为准。</w:t>
      </w:r>
    </w:p>
    <w:tbl>
      <w:tblPr>
        <w:tblStyle w:val="47"/>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896"/>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b/>
                <w:szCs w:val="21"/>
              </w:rPr>
            </w:pPr>
            <w:r>
              <w:rPr>
                <w:rFonts w:ascii="Calibri" w:hAnsi="宋体" w:eastAsia="宋体" w:cs="Calibri"/>
                <w:b/>
                <w:szCs w:val="21"/>
              </w:rPr>
              <w:t>序号</w:t>
            </w:r>
          </w:p>
        </w:tc>
        <w:tc>
          <w:tcPr>
            <w:tcW w:w="896" w:type="dxa"/>
            <w:vAlign w:val="center"/>
          </w:tcPr>
          <w:p>
            <w:pPr>
              <w:spacing w:line="400" w:lineRule="exact"/>
              <w:ind w:left="6" w:leftChars="1" w:right="-38" w:rightChars="-18" w:hanging="4" w:hangingChars="2"/>
              <w:jc w:val="center"/>
              <w:rPr>
                <w:rFonts w:ascii="Calibri" w:hAnsi="Calibri" w:eastAsia="宋体" w:cs="Calibri"/>
                <w:b/>
                <w:szCs w:val="21"/>
              </w:rPr>
            </w:pPr>
            <w:r>
              <w:rPr>
                <w:rFonts w:ascii="Calibri" w:hAnsi="宋体" w:eastAsia="宋体" w:cs="Calibri"/>
                <w:b/>
                <w:szCs w:val="21"/>
              </w:rPr>
              <w:t>条款号</w:t>
            </w:r>
          </w:p>
        </w:tc>
        <w:tc>
          <w:tcPr>
            <w:tcW w:w="7433" w:type="dxa"/>
            <w:vAlign w:val="center"/>
          </w:tcPr>
          <w:p>
            <w:pPr>
              <w:spacing w:line="400" w:lineRule="exact"/>
              <w:ind w:left="6" w:leftChars="1" w:right="-38" w:rightChars="-18" w:hanging="4" w:hangingChars="2"/>
              <w:jc w:val="center"/>
              <w:rPr>
                <w:rFonts w:ascii="Calibri" w:hAnsi="Calibri" w:eastAsia="宋体" w:cs="Calibri"/>
                <w:b/>
                <w:szCs w:val="21"/>
              </w:rPr>
            </w:pPr>
            <w:r>
              <w:rPr>
                <w:rFonts w:ascii="Calibri" w:hAnsi="宋体" w:eastAsia="宋体" w:cs="Calibri"/>
                <w:b/>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1</w:t>
            </w:r>
          </w:p>
        </w:tc>
        <w:tc>
          <w:tcPr>
            <w:tcW w:w="896"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1.1</w:t>
            </w:r>
          </w:p>
        </w:tc>
        <w:tc>
          <w:tcPr>
            <w:tcW w:w="7433" w:type="dxa"/>
            <w:vAlign w:val="center"/>
          </w:tcPr>
          <w:p>
            <w:pPr>
              <w:spacing w:line="400" w:lineRule="exact"/>
              <w:ind w:left="6" w:leftChars="1" w:right="-38" w:rightChars="-18" w:hanging="4" w:hangingChars="2"/>
              <w:rPr>
                <w:rFonts w:ascii="Calibri" w:hAnsi="Calibri" w:eastAsia="宋体" w:cs="Calibri"/>
                <w:szCs w:val="21"/>
              </w:rPr>
            </w:pPr>
            <w:r>
              <w:rPr>
                <w:rFonts w:ascii="Calibri" w:hAnsi="宋体" w:eastAsia="宋体" w:cs="Calibri"/>
                <w:szCs w:val="21"/>
              </w:rPr>
              <w:t>项目名称：</w:t>
            </w:r>
            <w:r>
              <w:rPr>
                <w:rFonts w:hint="eastAsia" w:eastAsia="宋体"/>
                <w:szCs w:val="21"/>
              </w:rPr>
              <w:t>南宁轨道交通集团</w:t>
            </w:r>
            <w:r>
              <w:rPr>
                <w:rFonts w:eastAsia="宋体"/>
                <w:szCs w:val="21"/>
              </w:rPr>
              <w:t>2022-2024</w:t>
            </w:r>
            <w:r>
              <w:rPr>
                <w:rFonts w:hint="eastAsia" w:eastAsia="宋体"/>
                <w:szCs w:val="21"/>
              </w:rPr>
              <w:t>年度安全生产责任保险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2</w:t>
            </w:r>
          </w:p>
        </w:tc>
        <w:tc>
          <w:tcPr>
            <w:tcW w:w="896"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1.2</w:t>
            </w:r>
          </w:p>
        </w:tc>
        <w:tc>
          <w:tcPr>
            <w:tcW w:w="7433" w:type="dxa"/>
            <w:vAlign w:val="center"/>
          </w:tcPr>
          <w:p>
            <w:pPr>
              <w:spacing w:line="400" w:lineRule="exact"/>
              <w:ind w:left="6" w:leftChars="1" w:right="-38" w:rightChars="-18" w:hanging="4" w:hangingChars="2"/>
              <w:rPr>
                <w:rFonts w:ascii="Calibri" w:hAnsi="Calibri" w:eastAsia="宋体" w:cs="Calibri"/>
                <w:szCs w:val="21"/>
              </w:rPr>
            </w:pPr>
            <w:r>
              <w:rPr>
                <w:rFonts w:ascii="Calibri" w:hAnsi="宋体" w:eastAsia="宋体" w:cs="Calibri"/>
                <w:szCs w:val="21"/>
              </w:rPr>
              <w:t>建设地点：</w:t>
            </w:r>
            <w:r>
              <w:rPr>
                <w:rFonts w:hint="eastAsia" w:ascii="Calibri" w:hAnsi="Calibri" w:eastAsia="宋体" w:cs="Calibri"/>
                <w:szCs w:val="21"/>
              </w:rPr>
              <w:t>广西壮族自治区</w:t>
            </w:r>
            <w:r>
              <w:rPr>
                <w:rFonts w:ascii="Calibri" w:hAnsi="宋体" w:eastAsia="宋体" w:cs="Calibri"/>
                <w:szCs w:val="21"/>
              </w:rPr>
              <w:t>南宁市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3</w:t>
            </w:r>
          </w:p>
        </w:tc>
        <w:tc>
          <w:tcPr>
            <w:tcW w:w="896"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1.3</w:t>
            </w:r>
          </w:p>
        </w:tc>
        <w:tc>
          <w:tcPr>
            <w:tcW w:w="7433" w:type="dxa"/>
            <w:vAlign w:val="center"/>
          </w:tcPr>
          <w:p>
            <w:pPr>
              <w:spacing w:line="400" w:lineRule="exact"/>
              <w:ind w:left="6" w:leftChars="1" w:right="-38" w:rightChars="-18" w:hanging="4" w:hangingChars="2"/>
              <w:rPr>
                <w:rFonts w:ascii="Calibri" w:hAnsi="宋体" w:eastAsia="宋体" w:cs="Calibri"/>
                <w:szCs w:val="21"/>
              </w:rPr>
            </w:pPr>
            <w:bookmarkStart w:id="60" w:name="夏5"/>
            <w:r>
              <w:rPr>
                <w:rFonts w:hint="eastAsia" w:ascii="Calibri" w:hAnsi="宋体" w:eastAsia="宋体" w:cs="Calibri"/>
                <w:szCs w:val="21"/>
              </w:rPr>
              <w:t>招标</w:t>
            </w:r>
            <w:bookmarkEnd w:id="60"/>
            <w:r>
              <w:rPr>
                <w:rFonts w:hint="eastAsia" w:ascii="Calibri" w:hAnsi="宋体" w:eastAsia="宋体" w:cs="Calibri"/>
                <w:szCs w:val="21"/>
              </w:rPr>
              <w:t>范围：</w:t>
            </w:r>
            <w:r>
              <w:rPr>
                <w:rFonts w:hint="eastAsia" w:ascii="Calibri" w:hAnsi="Calibri" w:eastAsia="宋体" w:cs="Calibri"/>
                <w:szCs w:val="21"/>
              </w:rPr>
              <w:t>详见本项目招标公告。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szCs w:val="21"/>
              </w:rPr>
            </w:pPr>
            <w:r>
              <w:rPr>
                <w:rFonts w:hint="eastAsia" w:ascii="Calibri" w:hAnsi="Calibri" w:eastAsia="宋体" w:cs="Calibri"/>
                <w:szCs w:val="21"/>
              </w:rPr>
              <w:t>4</w:t>
            </w:r>
          </w:p>
        </w:tc>
        <w:tc>
          <w:tcPr>
            <w:tcW w:w="896" w:type="dxa"/>
            <w:vAlign w:val="center"/>
          </w:tcPr>
          <w:p>
            <w:pPr>
              <w:spacing w:line="400" w:lineRule="exact"/>
              <w:ind w:left="6" w:leftChars="1" w:right="-38" w:rightChars="-18" w:hanging="4" w:hangingChars="2"/>
              <w:jc w:val="center"/>
              <w:rPr>
                <w:rFonts w:ascii="Calibri" w:hAnsi="Calibri" w:eastAsia="宋体" w:cs="Calibri"/>
                <w:szCs w:val="21"/>
              </w:rPr>
            </w:pPr>
            <w:r>
              <w:rPr>
                <w:rFonts w:hint="eastAsia" w:ascii="Calibri" w:hAnsi="Calibri" w:eastAsia="宋体" w:cs="Calibri"/>
                <w:szCs w:val="21"/>
              </w:rPr>
              <w:t>1.4</w:t>
            </w:r>
          </w:p>
        </w:tc>
        <w:tc>
          <w:tcPr>
            <w:tcW w:w="7433" w:type="dxa"/>
            <w:vAlign w:val="center"/>
          </w:tcPr>
          <w:p>
            <w:pPr>
              <w:spacing w:line="400" w:lineRule="exact"/>
              <w:ind w:left="6" w:leftChars="1" w:right="-38" w:rightChars="-18" w:hanging="4" w:hangingChars="2"/>
              <w:rPr>
                <w:rFonts w:ascii="Calibri" w:hAnsi="宋体" w:eastAsia="宋体" w:cs="Calibri"/>
                <w:szCs w:val="21"/>
              </w:rPr>
            </w:pPr>
            <w:r>
              <w:rPr>
                <w:rFonts w:hint="eastAsia" w:ascii="Calibri" w:hAnsi="Calibri" w:eastAsia="宋体" w:cs="Calibri"/>
                <w:kern w:val="0"/>
              </w:rPr>
              <w:t>项目概况：</w:t>
            </w:r>
            <w:r>
              <w:rPr>
                <w:rFonts w:hint="eastAsia" w:ascii="Calibri" w:hAnsi="Calibri" w:eastAsia="宋体" w:cs="Calibri"/>
                <w:szCs w:val="21"/>
              </w:rPr>
              <w:t>详见本项目招标公告。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szCs w:val="21"/>
              </w:rPr>
            </w:pPr>
            <w:r>
              <w:rPr>
                <w:rFonts w:hint="eastAsia" w:ascii="Calibri" w:hAnsi="Calibri" w:eastAsia="宋体" w:cs="Calibri"/>
                <w:szCs w:val="21"/>
              </w:rPr>
              <w:t>5</w:t>
            </w:r>
          </w:p>
        </w:tc>
        <w:tc>
          <w:tcPr>
            <w:tcW w:w="896"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1.</w:t>
            </w:r>
            <w:r>
              <w:rPr>
                <w:rFonts w:hint="eastAsia" w:ascii="Calibri" w:hAnsi="Calibri" w:eastAsia="宋体" w:cs="Calibri"/>
                <w:szCs w:val="21"/>
              </w:rPr>
              <w:t>5</w:t>
            </w:r>
          </w:p>
        </w:tc>
        <w:tc>
          <w:tcPr>
            <w:tcW w:w="7433" w:type="dxa"/>
            <w:vAlign w:val="center"/>
          </w:tcPr>
          <w:p>
            <w:pPr>
              <w:numPr>
                <w:ilvl w:val="255"/>
                <w:numId w:val="0"/>
              </w:numPr>
              <w:spacing w:line="400" w:lineRule="exact"/>
              <w:ind w:left="-2" w:leftChars="-1" w:right="-38" w:rightChars="-18"/>
              <w:rPr>
                <w:rFonts w:ascii="Calibri" w:hAnsi="Calibri" w:eastAsia="宋体" w:cs="Calibri"/>
                <w:szCs w:val="21"/>
              </w:rPr>
            </w:pPr>
            <w:r>
              <w:rPr>
                <w:rFonts w:hint="eastAsia" w:ascii="Calibri" w:hAnsi="宋体" w:eastAsia="宋体" w:cs="Calibri"/>
                <w:szCs w:val="21"/>
              </w:rPr>
              <w:t>保险期限：</w:t>
            </w:r>
            <w:r>
              <w:rPr>
                <w:rFonts w:hint="eastAsia" w:ascii="Calibri" w:hAnsi="Calibri" w:eastAsia="宋体" w:cs="Calibri"/>
                <w:szCs w:val="21"/>
              </w:rPr>
              <w:t>详见本项目招标公告。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szCs w:val="21"/>
              </w:rPr>
            </w:pPr>
            <w:r>
              <w:rPr>
                <w:rFonts w:hint="eastAsia" w:ascii="Calibri" w:hAnsi="Calibri" w:eastAsia="宋体" w:cs="Calibri"/>
                <w:szCs w:val="21"/>
              </w:rPr>
              <w:t>6</w:t>
            </w:r>
          </w:p>
        </w:tc>
        <w:tc>
          <w:tcPr>
            <w:tcW w:w="896"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1.</w:t>
            </w:r>
            <w:r>
              <w:rPr>
                <w:rFonts w:hint="eastAsia" w:ascii="Calibri" w:hAnsi="Calibri" w:eastAsia="宋体" w:cs="Calibri"/>
                <w:szCs w:val="21"/>
              </w:rPr>
              <w:t>6</w:t>
            </w:r>
          </w:p>
        </w:tc>
        <w:tc>
          <w:tcPr>
            <w:tcW w:w="7433" w:type="dxa"/>
            <w:vAlign w:val="center"/>
          </w:tcPr>
          <w:p>
            <w:pPr>
              <w:widowControl/>
              <w:spacing w:line="400" w:lineRule="exact"/>
              <w:ind w:left="6" w:leftChars="1" w:right="-38" w:rightChars="-18" w:hanging="4" w:hangingChars="2"/>
              <w:rPr>
                <w:rFonts w:ascii="Calibri" w:hAnsi="宋体" w:eastAsia="宋体" w:cs="Calibri"/>
                <w:bCs/>
                <w:szCs w:val="21"/>
              </w:rPr>
            </w:pPr>
            <w:r>
              <w:rPr>
                <w:rFonts w:ascii="Calibri" w:hAnsi="宋体" w:eastAsia="宋体" w:cs="Calibri"/>
                <w:szCs w:val="21"/>
              </w:rPr>
              <w:t>资金来源：</w:t>
            </w:r>
            <w:r>
              <w:rPr>
                <w:rFonts w:hint="eastAsia" w:ascii="Calibri" w:hAnsi="Calibri" w:eastAsia="宋体" w:cs="Calibri"/>
                <w:szCs w:val="21"/>
              </w:rPr>
              <w:t>详见本项目招标公告。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szCs w:val="21"/>
              </w:rPr>
            </w:pPr>
            <w:r>
              <w:rPr>
                <w:rFonts w:hint="eastAsia" w:ascii="Calibri" w:hAnsi="Calibri" w:eastAsia="宋体" w:cs="Calibri"/>
                <w:szCs w:val="21"/>
              </w:rPr>
              <w:t>7</w:t>
            </w:r>
          </w:p>
        </w:tc>
        <w:tc>
          <w:tcPr>
            <w:tcW w:w="896"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3</w:t>
            </w:r>
          </w:p>
        </w:tc>
        <w:tc>
          <w:tcPr>
            <w:tcW w:w="7433" w:type="dxa"/>
            <w:vAlign w:val="center"/>
          </w:tcPr>
          <w:p>
            <w:pPr>
              <w:spacing w:line="400" w:lineRule="exact"/>
              <w:ind w:left="223" w:right="-38" w:rightChars="-18" w:hanging="222" w:hangingChars="106"/>
              <w:rPr>
                <w:rFonts w:ascii="Calibri" w:hAnsi="宋体" w:eastAsia="宋体" w:cs="Calibri"/>
                <w:sz w:val="24"/>
                <w:szCs w:val="21"/>
              </w:rPr>
            </w:pPr>
            <w:r>
              <w:rPr>
                <w:rFonts w:hint="eastAsia" w:ascii="Calibri" w:hAnsi="宋体" w:eastAsia="宋体" w:cs="Calibri"/>
                <w:szCs w:val="21"/>
              </w:rPr>
              <w:t>投标人资格要求：详见本项目招标公告。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szCs w:val="21"/>
              </w:rPr>
            </w:pPr>
            <w:r>
              <w:rPr>
                <w:rFonts w:hint="eastAsia" w:ascii="Calibri" w:hAnsi="Calibri" w:eastAsia="宋体" w:cs="Calibri"/>
                <w:szCs w:val="21"/>
              </w:rPr>
              <w:t>8</w:t>
            </w:r>
          </w:p>
        </w:tc>
        <w:tc>
          <w:tcPr>
            <w:tcW w:w="896"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6.1</w:t>
            </w:r>
          </w:p>
        </w:tc>
        <w:tc>
          <w:tcPr>
            <w:tcW w:w="7433" w:type="dxa"/>
            <w:vAlign w:val="center"/>
          </w:tcPr>
          <w:p>
            <w:pPr>
              <w:spacing w:line="400" w:lineRule="exact"/>
              <w:ind w:left="40" w:leftChars="17" w:right="-38" w:rightChars="-18" w:hanging="4" w:hangingChars="2"/>
              <w:rPr>
                <w:rFonts w:ascii="Calibri" w:hAnsi="Calibri" w:eastAsia="宋体" w:cs="Calibri"/>
                <w:szCs w:val="21"/>
              </w:rPr>
            </w:pPr>
            <w:r>
              <w:rPr>
                <w:rFonts w:ascii="Calibri" w:hAnsi="宋体" w:eastAsia="宋体" w:cs="Calibri"/>
                <w:szCs w:val="21"/>
              </w:rPr>
              <w:t>招标文件的澄清：</w:t>
            </w:r>
          </w:p>
          <w:p>
            <w:pPr>
              <w:spacing w:line="400" w:lineRule="exact"/>
              <w:ind w:left="6" w:leftChars="1" w:right="-38" w:rightChars="-18" w:hanging="4" w:hangingChars="2"/>
              <w:rPr>
                <w:rFonts w:ascii="Calibri" w:hAnsi="Calibri" w:eastAsia="宋体" w:cs="Calibri"/>
                <w:szCs w:val="21"/>
              </w:rPr>
            </w:pPr>
            <w:r>
              <w:rPr>
                <w:rFonts w:ascii="Calibri" w:hAnsi="宋体" w:eastAsia="宋体" w:cs="Calibri"/>
                <w:szCs w:val="21"/>
              </w:rPr>
              <w:t>任何要求对招标文件进行澄清的投标人，</w:t>
            </w:r>
            <w:r>
              <w:rPr>
                <w:rFonts w:hint="eastAsia" w:ascii="Calibri" w:hAnsi="宋体" w:eastAsia="宋体" w:cs="Calibri"/>
                <w:szCs w:val="21"/>
              </w:rPr>
              <w:t>应在202</w:t>
            </w:r>
            <w:r>
              <w:rPr>
                <w:rFonts w:ascii="Calibri" w:hAnsi="宋体" w:eastAsia="宋体" w:cs="Calibri"/>
                <w:szCs w:val="21"/>
              </w:rPr>
              <w:t>2</w:t>
            </w:r>
            <w:r>
              <w:rPr>
                <w:rFonts w:hint="eastAsia" w:ascii="Calibri" w:hAnsi="宋体" w:eastAsia="宋体" w:cs="Calibri"/>
                <w:szCs w:val="21"/>
              </w:rPr>
              <w:t>年6月16日1</w:t>
            </w:r>
            <w:r>
              <w:rPr>
                <w:rFonts w:ascii="Calibri" w:hAnsi="宋体" w:eastAsia="宋体" w:cs="Calibri"/>
                <w:szCs w:val="21"/>
              </w:rPr>
              <w:t>8</w:t>
            </w:r>
            <w:r>
              <w:rPr>
                <w:rFonts w:hint="eastAsia" w:ascii="Calibri" w:hAnsi="宋体" w:eastAsia="宋体" w:cs="Calibri"/>
                <w:szCs w:val="21"/>
              </w:rPr>
              <w:t>时</w:t>
            </w:r>
            <w:r>
              <w:rPr>
                <w:rFonts w:ascii="Calibri" w:hAnsi="宋体" w:eastAsia="宋体" w:cs="Calibri"/>
                <w:szCs w:val="21"/>
              </w:rPr>
              <w:t>0</w:t>
            </w:r>
            <w:r>
              <w:rPr>
                <w:rFonts w:hint="eastAsia" w:ascii="Calibri" w:hAnsi="宋体" w:eastAsia="宋体" w:cs="Calibri"/>
                <w:szCs w:val="21"/>
              </w:rPr>
              <w:t>0分之前将澄清内容加盖公章的PDF扫描件及其可编辑电子文档发至招标代理机构邮箱（</w:t>
            </w:r>
            <w:r>
              <w:rPr>
                <w:rFonts w:eastAsia="宋体"/>
                <w:szCs w:val="21"/>
              </w:rPr>
              <w:t>gxyunlong@vip.163.com</w:t>
            </w:r>
            <w:r>
              <w:rPr>
                <w:rFonts w:hint="eastAsia" w:ascii="Calibri" w:hAnsi="宋体" w:eastAsia="宋体" w:cs="Calibri"/>
                <w:szCs w:val="21"/>
              </w:rPr>
              <w:t>）</w:t>
            </w:r>
            <w:r>
              <w:rPr>
                <w:rFonts w:hint="eastAsia" w:hAnsi="宋体" w:eastAsia="宋体"/>
                <w:szCs w:val="21"/>
              </w:rPr>
              <w:t>，并将澄清内容原件在开标会现场提交至招标代理机构</w:t>
            </w:r>
            <w:r>
              <w:rPr>
                <w:rFonts w:hint="eastAsia" w:ascii="Calibri" w:hAnsi="宋体" w:eastAsia="宋体" w:cs="Calibri"/>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szCs w:val="21"/>
              </w:rPr>
            </w:pPr>
            <w:r>
              <w:rPr>
                <w:rFonts w:hint="eastAsia" w:ascii="Calibri" w:hAnsi="Calibri" w:eastAsia="宋体" w:cs="Calibri"/>
                <w:szCs w:val="21"/>
              </w:rPr>
              <w:t>9</w:t>
            </w:r>
          </w:p>
        </w:tc>
        <w:tc>
          <w:tcPr>
            <w:tcW w:w="896" w:type="dxa"/>
            <w:vAlign w:val="center"/>
          </w:tcPr>
          <w:p>
            <w:pPr>
              <w:spacing w:line="400" w:lineRule="exact"/>
              <w:ind w:left="6" w:leftChars="1" w:right="-38" w:rightChars="-18" w:hanging="4" w:hangingChars="2"/>
              <w:jc w:val="center"/>
              <w:rPr>
                <w:rFonts w:ascii="Calibri" w:hAnsi="Calibri" w:eastAsia="宋体" w:cs="Calibri"/>
                <w:szCs w:val="21"/>
              </w:rPr>
            </w:pPr>
            <w:r>
              <w:rPr>
                <w:rFonts w:hint="eastAsia" w:ascii="Calibri" w:hAnsi="Calibri" w:eastAsia="宋体" w:cs="Calibri"/>
                <w:szCs w:val="21"/>
              </w:rPr>
              <w:t>12.4</w:t>
            </w:r>
          </w:p>
        </w:tc>
        <w:tc>
          <w:tcPr>
            <w:tcW w:w="7433" w:type="dxa"/>
            <w:vAlign w:val="center"/>
          </w:tcPr>
          <w:p>
            <w:pPr>
              <w:spacing w:line="400" w:lineRule="exact"/>
              <w:ind w:left="6" w:leftChars="1" w:right="-38" w:rightChars="-18" w:hanging="4" w:hangingChars="2"/>
              <w:rPr>
                <w:rFonts w:ascii="Calibri" w:hAnsi="宋体" w:eastAsia="宋体" w:cs="Calibri"/>
                <w:szCs w:val="21"/>
              </w:rPr>
            </w:pPr>
            <w:r>
              <w:rPr>
                <w:rFonts w:hint="eastAsia" w:ascii="Calibri" w:hAnsi="宋体" w:eastAsia="宋体" w:cs="Calibri"/>
                <w:szCs w:val="21"/>
              </w:rPr>
              <w:t>招标控制价：</w:t>
            </w:r>
          </w:p>
          <w:p>
            <w:pPr>
              <w:spacing w:line="400" w:lineRule="exact"/>
              <w:ind w:left="6" w:leftChars="1" w:right="-38" w:rightChars="-18" w:hanging="4" w:hangingChars="2"/>
              <w:rPr>
                <w:rFonts w:ascii="Calibri" w:hAnsi="宋体" w:eastAsia="宋体" w:cs="Calibri"/>
                <w:szCs w:val="21"/>
              </w:rPr>
            </w:pPr>
            <w:r>
              <w:rPr>
                <w:rFonts w:hint="eastAsia" w:ascii="Calibri" w:hAnsi="宋体" w:eastAsia="宋体" w:cs="Calibri"/>
                <w:szCs w:val="21"/>
              </w:rPr>
              <w:t>本项目保险费控制价为壹佰柒拾贰万壹仟捌佰陆拾伍元陆角（小写：¥</w:t>
            </w:r>
            <w:r>
              <w:rPr>
                <w:rFonts w:ascii="Calibri" w:hAnsi="宋体" w:eastAsia="宋体" w:cs="Calibri"/>
                <w:szCs w:val="21"/>
              </w:rPr>
              <w:t>1721865.6</w:t>
            </w:r>
            <w:r>
              <w:rPr>
                <w:rFonts w:hint="eastAsia" w:ascii="Calibri" w:hAnsi="宋体" w:eastAsia="宋体" w:cs="Calibri"/>
                <w:szCs w:val="21"/>
              </w:rPr>
              <w:t>0），保险期间</w:t>
            </w:r>
            <w:r>
              <w:rPr>
                <w:rFonts w:ascii="Calibri" w:hAnsi="宋体" w:eastAsia="宋体" w:cs="Calibri"/>
                <w:szCs w:val="21"/>
              </w:rPr>
              <w:t>为</w:t>
            </w:r>
            <w:r>
              <w:rPr>
                <w:rFonts w:hint="eastAsia" w:ascii="Calibri" w:hAnsi="宋体" w:eastAsia="宋体" w:cs="Calibri"/>
                <w:szCs w:val="21"/>
              </w:rPr>
              <w:t>730个日历天，年保险费计算过程为：</w:t>
            </w:r>
            <w:r>
              <w:rPr>
                <w:rFonts w:hint="eastAsia" w:asciiTheme="minorEastAsia" w:hAnsiTheme="minorEastAsia" w:eastAsiaTheme="minorEastAsia"/>
                <w:bCs/>
                <w:szCs w:val="21"/>
              </w:rPr>
              <w:t>基准保费×投保从业人员人数×费率浮动调整系数[</w:t>
            </w:r>
            <w:r>
              <w:rPr>
                <w:rFonts w:hint="eastAsia" w:asciiTheme="minorEastAsia" w:hAnsiTheme="minorEastAsia" w:eastAsiaTheme="minorEastAsia"/>
                <w:szCs w:val="21"/>
              </w:rPr>
              <w:t>每次事故限额/累计事故限额调整系数、每人人身伤亡责任限额调整系数、从业人员投保人数调整系数、企业安全管理水平调整系数（通过一级安全质量标准化）、重大危险源调整系数（无重大危险源）</w:t>
            </w:r>
            <w:r>
              <w:rPr>
                <w:rFonts w:hint="eastAsia" w:asciiTheme="minorEastAsia" w:hAnsiTheme="minorEastAsia" w:eastAsiaTheme="minorEastAsia"/>
                <w:bCs/>
                <w:szCs w:val="21"/>
              </w:rPr>
              <w:t>]，年保费</w:t>
            </w:r>
            <w:r>
              <w:rPr>
                <w:rFonts w:asciiTheme="minorEastAsia" w:hAnsiTheme="minorEastAsia" w:eastAsiaTheme="minorEastAsia"/>
                <w:bCs/>
                <w:szCs w:val="21"/>
              </w:rPr>
              <w:t>计算过程：</w:t>
            </w:r>
            <w:r>
              <w:rPr>
                <w:rFonts w:hint="eastAsia" w:ascii="Calibri" w:hAnsi="宋体" w:eastAsia="宋体" w:cs="Calibri"/>
                <w:szCs w:val="21"/>
              </w:rPr>
              <w:t>1</w:t>
            </w:r>
            <w:r>
              <w:rPr>
                <w:rFonts w:ascii="Calibri" w:hAnsi="宋体" w:eastAsia="宋体" w:cs="Calibri"/>
                <w:szCs w:val="21"/>
              </w:rPr>
              <w:t>80</w:t>
            </w:r>
            <w:r>
              <w:rPr>
                <w:rFonts w:hint="eastAsia" w:ascii="Calibri" w:hAnsi="宋体" w:eastAsia="宋体" w:cs="Calibri"/>
                <w:szCs w:val="21"/>
              </w:rPr>
              <w:t>元/人</w:t>
            </w:r>
            <w:r>
              <w:rPr>
                <w:rFonts w:hint="eastAsia" w:asciiTheme="minorEastAsia" w:hAnsiTheme="minorEastAsia" w:eastAsiaTheme="minorEastAsia"/>
                <w:bCs/>
                <w:szCs w:val="21"/>
              </w:rPr>
              <w:t>×</w:t>
            </w:r>
            <w:r>
              <w:rPr>
                <w:rFonts w:ascii="Calibri" w:hAnsi="宋体" w:eastAsia="宋体" w:cs="Calibri"/>
                <w:szCs w:val="21"/>
              </w:rPr>
              <w:t>7592</w:t>
            </w:r>
            <w:r>
              <w:rPr>
                <w:rFonts w:hint="eastAsia" w:ascii="Calibri" w:hAnsi="宋体" w:eastAsia="宋体" w:cs="Calibri"/>
                <w:szCs w:val="21"/>
              </w:rPr>
              <w:t>人</w:t>
            </w:r>
            <w:r>
              <w:rPr>
                <w:rFonts w:hint="eastAsia" w:asciiTheme="minorEastAsia" w:hAnsiTheme="minorEastAsia" w:eastAsiaTheme="minorEastAsia"/>
                <w:bCs/>
                <w:szCs w:val="21"/>
              </w:rPr>
              <w:t>×</w:t>
            </w:r>
            <w:r>
              <w:rPr>
                <w:rFonts w:ascii="Calibri" w:hAnsi="宋体" w:eastAsia="宋体" w:cs="Calibri"/>
                <w:szCs w:val="21"/>
              </w:rPr>
              <w:t>1</w:t>
            </w:r>
            <w:r>
              <w:rPr>
                <w:rFonts w:hint="eastAsia" w:asciiTheme="minorEastAsia" w:hAnsiTheme="minorEastAsia" w:eastAsiaTheme="minorEastAsia"/>
                <w:bCs/>
                <w:szCs w:val="21"/>
              </w:rPr>
              <w:t>×</w:t>
            </w:r>
            <w:r>
              <w:rPr>
                <w:rFonts w:ascii="Calibri" w:hAnsi="宋体" w:eastAsia="宋体" w:cs="Calibri"/>
                <w:szCs w:val="21"/>
              </w:rPr>
              <w:t>1</w:t>
            </w:r>
            <w:r>
              <w:rPr>
                <w:rFonts w:hint="eastAsia" w:asciiTheme="minorEastAsia" w:hAnsiTheme="minorEastAsia" w:eastAsiaTheme="minorEastAsia"/>
                <w:bCs/>
                <w:szCs w:val="21"/>
              </w:rPr>
              <w:t>×</w:t>
            </w:r>
            <w:r>
              <w:rPr>
                <w:rFonts w:ascii="Calibri" w:hAnsi="宋体" w:eastAsia="宋体" w:cs="Calibri"/>
                <w:szCs w:val="21"/>
              </w:rPr>
              <w:t>0.7</w:t>
            </w:r>
            <w:r>
              <w:rPr>
                <w:rFonts w:hint="eastAsia" w:asciiTheme="minorEastAsia" w:hAnsiTheme="minorEastAsia" w:eastAsiaTheme="minorEastAsia"/>
                <w:bCs/>
                <w:szCs w:val="21"/>
              </w:rPr>
              <w:t>×</w:t>
            </w:r>
            <w:r>
              <w:rPr>
                <w:rFonts w:ascii="Calibri" w:hAnsi="宋体" w:eastAsia="宋体" w:cs="Calibri"/>
                <w:szCs w:val="21"/>
              </w:rPr>
              <w:t>0.9</w:t>
            </w:r>
            <w:r>
              <w:rPr>
                <w:rFonts w:hint="eastAsia" w:asciiTheme="minorEastAsia" w:hAnsiTheme="minorEastAsia" w:eastAsiaTheme="minorEastAsia"/>
                <w:bCs/>
                <w:szCs w:val="21"/>
              </w:rPr>
              <w:t>×</w:t>
            </w:r>
            <w:r>
              <w:rPr>
                <w:rFonts w:ascii="Calibri" w:hAnsi="宋体" w:eastAsia="宋体" w:cs="Calibri"/>
                <w:szCs w:val="21"/>
              </w:rPr>
              <w:t>1</w:t>
            </w:r>
            <w:r>
              <w:rPr>
                <w:rFonts w:hint="eastAsia" w:ascii="Calibri" w:hAnsi="宋体" w:eastAsia="宋体" w:cs="Calibri"/>
                <w:szCs w:val="21"/>
              </w:rPr>
              <w:t>=86</w:t>
            </w:r>
            <w:r>
              <w:rPr>
                <w:rFonts w:ascii="Calibri" w:hAnsi="宋体" w:eastAsia="宋体" w:cs="Calibri"/>
                <w:szCs w:val="21"/>
              </w:rPr>
              <w:t>0932.80</w:t>
            </w:r>
            <w:r>
              <w:rPr>
                <w:rFonts w:hint="eastAsia" w:ascii="Calibri" w:hAnsi="宋体" w:eastAsia="宋体" w:cs="Calibri"/>
                <w:szCs w:val="21"/>
              </w:rPr>
              <w:t>元。</w:t>
            </w:r>
            <w:r>
              <w:rPr>
                <w:rFonts w:hint="eastAsia" w:hAnsi="宋体" w:eastAsia="宋体"/>
                <w:b/>
                <w:szCs w:val="21"/>
              </w:rPr>
              <w:t>高于招标控制价的投标报价将按否决投标处理。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szCs w:val="21"/>
              </w:rPr>
            </w:pPr>
            <w:r>
              <w:rPr>
                <w:rFonts w:hint="eastAsia" w:ascii="Calibri" w:hAnsi="Calibri" w:eastAsia="宋体" w:cs="Calibri"/>
                <w:szCs w:val="21"/>
              </w:rPr>
              <w:t>10</w:t>
            </w:r>
          </w:p>
        </w:tc>
        <w:tc>
          <w:tcPr>
            <w:tcW w:w="896" w:type="dxa"/>
            <w:vAlign w:val="center"/>
          </w:tcPr>
          <w:p>
            <w:pPr>
              <w:spacing w:line="400" w:lineRule="exact"/>
              <w:ind w:left="6" w:leftChars="1" w:right="-38" w:rightChars="-18" w:hanging="4" w:hangingChars="2"/>
              <w:jc w:val="center"/>
              <w:rPr>
                <w:rFonts w:ascii="Calibri" w:hAnsi="Calibri" w:eastAsia="宋体" w:cs="Calibri"/>
                <w:szCs w:val="21"/>
              </w:rPr>
            </w:pPr>
            <w:r>
              <w:rPr>
                <w:rFonts w:hint="eastAsia" w:ascii="Calibri" w:hAnsi="Calibri" w:eastAsia="宋体" w:cs="Calibri"/>
                <w:szCs w:val="21"/>
              </w:rPr>
              <w:t>14</w:t>
            </w:r>
          </w:p>
        </w:tc>
        <w:tc>
          <w:tcPr>
            <w:tcW w:w="7433" w:type="dxa"/>
            <w:vAlign w:val="center"/>
          </w:tcPr>
          <w:p>
            <w:pPr>
              <w:spacing w:line="400" w:lineRule="exact"/>
              <w:ind w:right="-38" w:rightChars="-18"/>
              <w:rPr>
                <w:rFonts w:ascii="Calibri" w:hAnsi="Calibri" w:eastAsia="宋体" w:cs="Calibri"/>
                <w:szCs w:val="21"/>
              </w:rPr>
            </w:pPr>
            <w:r>
              <w:rPr>
                <w:rFonts w:ascii="Calibri" w:hAnsi="宋体" w:eastAsia="宋体" w:cs="Calibri"/>
                <w:szCs w:val="21"/>
              </w:rPr>
              <w:t>投标保证金：</w:t>
            </w:r>
            <w:r>
              <w:rPr>
                <w:rFonts w:hint="eastAsia" w:ascii="Calibri" w:hAnsi="宋体" w:eastAsia="宋体" w:cs="Calibri"/>
                <w:szCs w:val="21"/>
              </w:rPr>
              <w:t>不要求递交投标保证金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szCs w:val="21"/>
              </w:rPr>
            </w:pPr>
            <w:r>
              <w:rPr>
                <w:rFonts w:hint="eastAsia" w:ascii="Calibri" w:hAnsi="Calibri" w:eastAsia="宋体" w:cs="Calibri"/>
                <w:szCs w:val="21"/>
              </w:rPr>
              <w:t>11</w:t>
            </w:r>
          </w:p>
        </w:tc>
        <w:tc>
          <w:tcPr>
            <w:tcW w:w="896"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1</w:t>
            </w:r>
            <w:r>
              <w:rPr>
                <w:rFonts w:hint="eastAsia" w:ascii="Calibri" w:hAnsi="Calibri" w:eastAsia="宋体" w:cs="Calibri"/>
                <w:szCs w:val="21"/>
              </w:rPr>
              <w:t>5</w:t>
            </w:r>
            <w:r>
              <w:rPr>
                <w:rFonts w:ascii="Calibri" w:hAnsi="Calibri" w:eastAsia="宋体" w:cs="Calibri"/>
                <w:szCs w:val="21"/>
              </w:rPr>
              <w:t>.1</w:t>
            </w:r>
          </w:p>
        </w:tc>
        <w:tc>
          <w:tcPr>
            <w:tcW w:w="7433" w:type="dxa"/>
            <w:vAlign w:val="center"/>
          </w:tcPr>
          <w:p>
            <w:pPr>
              <w:spacing w:line="400" w:lineRule="exact"/>
              <w:ind w:left="6" w:leftChars="1" w:right="-38" w:rightChars="-18" w:hanging="4" w:hangingChars="2"/>
              <w:rPr>
                <w:rFonts w:ascii="Calibri" w:hAnsi="Calibri" w:eastAsia="宋体" w:cs="Calibri"/>
                <w:szCs w:val="21"/>
              </w:rPr>
            </w:pPr>
            <w:r>
              <w:rPr>
                <w:rFonts w:ascii="Calibri" w:hAnsi="宋体" w:eastAsia="宋体" w:cs="Calibri"/>
                <w:szCs w:val="21"/>
              </w:rPr>
              <w:t>投标有效期：投标截止日起</w:t>
            </w:r>
            <w:r>
              <w:rPr>
                <w:rFonts w:hint="eastAsia" w:ascii="Calibri" w:hAnsi="Calibri" w:eastAsia="宋体" w:cs="Calibri"/>
                <w:szCs w:val="21"/>
              </w:rPr>
              <w:t>90</w:t>
            </w:r>
            <w:r>
              <w:rPr>
                <w:rFonts w:ascii="Calibri" w:hAnsi="宋体" w:eastAsia="宋体" w:cs="Calibri"/>
                <w:szCs w:val="21"/>
              </w:rPr>
              <w:t>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1</w:t>
            </w:r>
            <w:r>
              <w:rPr>
                <w:rFonts w:hint="eastAsia" w:ascii="Calibri" w:hAnsi="Calibri" w:eastAsia="宋体" w:cs="Calibri"/>
                <w:szCs w:val="21"/>
              </w:rPr>
              <w:t>2</w:t>
            </w:r>
          </w:p>
        </w:tc>
        <w:tc>
          <w:tcPr>
            <w:tcW w:w="896"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1</w:t>
            </w:r>
            <w:r>
              <w:rPr>
                <w:rFonts w:hint="eastAsia" w:ascii="Calibri" w:hAnsi="Calibri" w:eastAsia="宋体" w:cs="Calibri"/>
                <w:szCs w:val="21"/>
              </w:rPr>
              <w:t>6</w:t>
            </w:r>
            <w:r>
              <w:rPr>
                <w:rFonts w:ascii="Calibri" w:hAnsi="Calibri" w:eastAsia="宋体" w:cs="Calibri"/>
                <w:szCs w:val="21"/>
              </w:rPr>
              <w:t>.1</w:t>
            </w:r>
          </w:p>
        </w:tc>
        <w:tc>
          <w:tcPr>
            <w:tcW w:w="7433" w:type="dxa"/>
          </w:tcPr>
          <w:p>
            <w:pPr>
              <w:spacing w:line="400" w:lineRule="exact"/>
              <w:ind w:left="6" w:leftChars="1" w:right="-38" w:rightChars="-18" w:hanging="4" w:hangingChars="2"/>
              <w:rPr>
                <w:rFonts w:ascii="Calibri" w:hAnsi="Calibri" w:eastAsia="宋体" w:cs="Calibri"/>
                <w:szCs w:val="21"/>
              </w:rPr>
            </w:pPr>
            <w:bookmarkStart w:id="61" w:name="_Toc176662325"/>
            <w:r>
              <w:rPr>
                <w:rFonts w:ascii="Calibri" w:hAnsi="宋体" w:eastAsia="宋体" w:cs="Calibri"/>
                <w:szCs w:val="21"/>
              </w:rPr>
              <w:t>投标文件套数：</w:t>
            </w:r>
          </w:p>
          <w:p>
            <w:pPr>
              <w:spacing w:line="400" w:lineRule="exact"/>
              <w:ind w:left="6" w:leftChars="1" w:right="-38" w:rightChars="-18" w:hanging="4" w:hangingChars="2"/>
              <w:rPr>
                <w:rFonts w:ascii="Calibri" w:hAnsi="Calibri" w:eastAsia="宋体" w:cs="Calibri"/>
                <w:szCs w:val="21"/>
              </w:rPr>
            </w:pPr>
            <w:r>
              <w:rPr>
                <w:rFonts w:hint="eastAsia" w:ascii="Calibri" w:hAnsi="Calibri" w:eastAsia="宋体" w:cs="Calibri"/>
              </w:rPr>
              <w:t>正本一套，副本四套，并应随投标文件提交包含投标文件全部内容的电子文件二套（U盘、光盘各一套，不设置密码，不压缩，应包括全套完整投标文件的MICROSOFT（2003或2007版）的WORD、EXCEL、PROJECT等可编辑版本和PDF扫描版本）</w:t>
            </w:r>
            <w:bookmarkEnd w:id="6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1</w:t>
            </w:r>
            <w:r>
              <w:rPr>
                <w:rFonts w:hint="eastAsia" w:ascii="Calibri" w:hAnsi="Calibri" w:eastAsia="宋体" w:cs="Calibri"/>
                <w:szCs w:val="21"/>
              </w:rPr>
              <w:t>3</w:t>
            </w:r>
          </w:p>
        </w:tc>
        <w:tc>
          <w:tcPr>
            <w:tcW w:w="896" w:type="dxa"/>
            <w:vAlign w:val="center"/>
          </w:tcPr>
          <w:p>
            <w:pPr>
              <w:spacing w:line="400" w:lineRule="exact"/>
              <w:ind w:left="6" w:leftChars="1" w:right="-38" w:rightChars="-18" w:hanging="4" w:hangingChars="2"/>
              <w:jc w:val="center"/>
              <w:rPr>
                <w:rFonts w:ascii="Calibri" w:hAnsi="Calibri" w:eastAsia="宋体" w:cs="Calibri"/>
                <w:szCs w:val="21"/>
              </w:rPr>
            </w:pPr>
            <w:r>
              <w:rPr>
                <w:rFonts w:hint="eastAsia" w:ascii="Calibri" w:hAnsi="Calibri" w:eastAsia="宋体" w:cs="Calibri"/>
                <w:szCs w:val="21"/>
              </w:rPr>
              <w:t>18</w:t>
            </w:r>
            <w:r>
              <w:rPr>
                <w:rFonts w:ascii="Calibri" w:hAnsi="Calibri" w:eastAsia="宋体" w:cs="Calibri"/>
                <w:szCs w:val="21"/>
              </w:rPr>
              <w:t>.1</w:t>
            </w:r>
          </w:p>
        </w:tc>
        <w:tc>
          <w:tcPr>
            <w:tcW w:w="7433" w:type="dxa"/>
            <w:vAlign w:val="center"/>
          </w:tcPr>
          <w:p>
            <w:pPr>
              <w:spacing w:line="360" w:lineRule="auto"/>
              <w:ind w:left="6" w:leftChars="1" w:right="-38" w:rightChars="-18" w:hanging="4" w:hangingChars="2"/>
              <w:jc w:val="left"/>
              <w:rPr>
                <w:rFonts w:ascii="宋体" w:hAnsi="宋体" w:eastAsia="宋体" w:cs="宋体"/>
              </w:rPr>
            </w:pPr>
            <w:r>
              <w:rPr>
                <w:rFonts w:hint="eastAsia" w:ascii="宋体" w:hAnsi="宋体" w:eastAsia="宋体" w:cs="宋体"/>
              </w:rPr>
              <w:t>投标截止时间：202</w:t>
            </w:r>
            <w:r>
              <w:rPr>
                <w:rFonts w:ascii="宋体" w:hAnsi="宋体" w:eastAsia="宋体" w:cs="宋体"/>
              </w:rPr>
              <w:t>2</w:t>
            </w:r>
            <w:r>
              <w:rPr>
                <w:rFonts w:hint="eastAsia" w:ascii="宋体" w:hAnsi="宋体" w:eastAsia="宋体" w:cs="宋体"/>
              </w:rPr>
              <w:t>年</w:t>
            </w:r>
            <w:r>
              <w:rPr>
                <w:rFonts w:hint="eastAsia" w:ascii="宋体" w:hAnsi="宋体" w:eastAsia="宋体" w:cs="宋体"/>
                <w:lang w:eastAsia="zh-CN"/>
              </w:rPr>
              <w:t>6月28日</w:t>
            </w:r>
            <w:r>
              <w:rPr>
                <w:rFonts w:hint="eastAsia" w:ascii="宋体" w:hAnsi="宋体" w:eastAsia="宋体" w:cs="宋体"/>
              </w:rPr>
              <w:t>上午09:30时（北京时间）</w:t>
            </w:r>
          </w:p>
          <w:p>
            <w:pPr>
              <w:spacing w:line="360" w:lineRule="auto"/>
              <w:ind w:left="6" w:leftChars="1" w:right="-38" w:rightChars="-18" w:hanging="4" w:hangingChars="2"/>
              <w:jc w:val="left"/>
              <w:rPr>
                <w:rFonts w:ascii="宋体" w:hAnsi="宋体" w:eastAsia="宋体" w:cs="宋体"/>
              </w:rPr>
            </w:pPr>
            <w:r>
              <w:rPr>
                <w:rFonts w:hint="eastAsia" w:ascii="宋体" w:hAnsi="宋体" w:eastAsia="宋体" w:cs="宋体"/>
              </w:rPr>
              <w:t>投标文件递交地点：</w:t>
            </w:r>
          </w:p>
          <w:p>
            <w:pPr>
              <w:spacing w:line="360" w:lineRule="auto"/>
              <w:ind w:left="6" w:leftChars="1" w:right="-38" w:rightChars="-18" w:hanging="4" w:hangingChars="2"/>
              <w:jc w:val="left"/>
              <w:rPr>
                <w:rFonts w:ascii="宋体" w:hAnsi="宋体" w:eastAsia="宋体" w:cs="宋体"/>
              </w:rPr>
            </w:pPr>
            <w:r>
              <w:rPr>
                <w:rFonts w:hint="eastAsia" w:ascii="宋体" w:hAnsi="宋体" w:eastAsia="宋体" w:cs="宋体"/>
              </w:rPr>
              <w:t>1、投标文件现场递交地址：</w:t>
            </w:r>
            <w:r>
              <w:rPr>
                <w:rFonts w:ascii="宋体" w:hAnsi="宋体" w:eastAsia="宋体" w:cs="宋体"/>
              </w:rPr>
              <w:t>南宁市良庆区玉洞大道33号南宁市民中心南宁市公共资源交易中心开标厅（具体详见9楼电子显示屏安排）</w:t>
            </w:r>
            <w:r>
              <w:rPr>
                <w:rFonts w:hint="eastAsia" w:ascii="宋体" w:hAnsi="宋体" w:eastAsia="宋体" w:cs="宋体"/>
              </w:rPr>
              <w:t>；</w:t>
            </w:r>
          </w:p>
          <w:p>
            <w:pPr>
              <w:spacing w:line="360" w:lineRule="auto"/>
              <w:ind w:left="2" w:right="-38" w:rightChars="-18"/>
              <w:jc w:val="left"/>
              <w:rPr>
                <w:rFonts w:eastAsia="宋体" w:cs="Calibri"/>
                <w:szCs w:val="21"/>
              </w:rPr>
            </w:pPr>
            <w:r>
              <w:rPr>
                <w:rFonts w:ascii="宋体" w:hAnsi="宋体" w:eastAsia="宋体" w:cs="宋体"/>
              </w:rPr>
              <w:t>2</w:t>
            </w:r>
            <w:r>
              <w:rPr>
                <w:rFonts w:hint="eastAsia" w:ascii="宋体" w:hAnsi="宋体" w:eastAsia="宋体" w:cs="宋体"/>
              </w:rPr>
              <w:t>、</w:t>
            </w:r>
            <w:r>
              <w:rPr>
                <w:rFonts w:ascii="宋体" w:hAnsi="宋体" w:eastAsia="宋体" w:cs="宋体"/>
              </w:rPr>
              <w:t>投标文件采用邮寄快递等方式送达</w:t>
            </w:r>
            <w:r>
              <w:rPr>
                <w:rFonts w:hint="eastAsia" w:ascii="宋体" w:hAnsi="宋体" w:eastAsia="宋体" w:cs="宋体"/>
              </w:rPr>
              <w:t>的</w:t>
            </w:r>
            <w:r>
              <w:rPr>
                <w:rFonts w:ascii="宋体" w:hAnsi="宋体" w:eastAsia="宋体" w:cs="宋体"/>
              </w:rPr>
              <w:t>，接收地址为</w:t>
            </w:r>
            <w:r>
              <w:rPr>
                <w:rFonts w:hint="eastAsia" w:ascii="宋体" w:hAnsi="宋体" w:eastAsia="宋体" w:cs="宋体"/>
              </w:rPr>
              <w:t>广西南宁市良庆区云英路15号3号楼云之龙咨询集团大厦</w:t>
            </w:r>
            <w:r>
              <w:rPr>
                <w:rFonts w:ascii="宋体" w:hAnsi="宋体" w:eastAsia="宋体" w:cs="宋体"/>
              </w:rPr>
              <w:t>6</w:t>
            </w:r>
            <w:r>
              <w:rPr>
                <w:rFonts w:hint="eastAsia" w:ascii="宋体" w:hAnsi="宋体" w:eastAsia="宋体" w:cs="宋体"/>
              </w:rPr>
              <w:t>楼（云之龙咨询集团有限公司）。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1</w:t>
            </w:r>
            <w:r>
              <w:rPr>
                <w:rFonts w:hint="eastAsia" w:ascii="Calibri" w:hAnsi="Calibri" w:eastAsia="宋体" w:cs="Calibri"/>
                <w:szCs w:val="21"/>
              </w:rPr>
              <w:t>4</w:t>
            </w:r>
          </w:p>
        </w:tc>
        <w:tc>
          <w:tcPr>
            <w:tcW w:w="896" w:type="dxa"/>
            <w:vAlign w:val="center"/>
          </w:tcPr>
          <w:p>
            <w:pPr>
              <w:spacing w:line="400" w:lineRule="exact"/>
              <w:ind w:left="6" w:leftChars="1" w:right="-38" w:rightChars="-18" w:hanging="4" w:hangingChars="2"/>
              <w:jc w:val="center"/>
              <w:rPr>
                <w:rFonts w:ascii="Calibri" w:hAnsi="Calibri" w:eastAsia="宋体" w:cs="Calibri"/>
                <w:szCs w:val="21"/>
              </w:rPr>
            </w:pPr>
            <w:r>
              <w:rPr>
                <w:rFonts w:hint="eastAsia" w:ascii="Calibri" w:hAnsi="Calibri" w:eastAsia="宋体" w:cs="Calibri"/>
                <w:szCs w:val="21"/>
              </w:rPr>
              <w:t>21</w:t>
            </w:r>
          </w:p>
        </w:tc>
        <w:tc>
          <w:tcPr>
            <w:tcW w:w="7433" w:type="dxa"/>
            <w:vAlign w:val="center"/>
          </w:tcPr>
          <w:p>
            <w:pPr>
              <w:spacing w:line="344" w:lineRule="exact"/>
              <w:ind w:left="6" w:leftChars="1" w:right="-38" w:rightChars="-18" w:hanging="4" w:hangingChars="2"/>
              <w:jc w:val="left"/>
              <w:rPr>
                <w:rFonts w:ascii="Calibri" w:hAnsi="Calibri" w:eastAsia="宋体" w:cs="Calibri"/>
                <w:szCs w:val="21"/>
              </w:rPr>
            </w:pPr>
            <w:r>
              <w:rPr>
                <w:rFonts w:ascii="Calibri" w:hAnsi="宋体" w:eastAsia="宋体" w:cs="Calibri"/>
                <w:szCs w:val="21"/>
              </w:rPr>
              <w:t>开标：</w:t>
            </w:r>
          </w:p>
          <w:p>
            <w:pPr>
              <w:spacing w:line="344" w:lineRule="exact"/>
              <w:ind w:left="6" w:leftChars="1" w:right="-38" w:rightChars="-18" w:hanging="4" w:hangingChars="2"/>
              <w:jc w:val="left"/>
              <w:rPr>
                <w:rFonts w:ascii="Calibri" w:hAnsi="Calibri" w:eastAsia="宋体" w:cs="Calibri"/>
                <w:szCs w:val="21"/>
              </w:rPr>
            </w:pPr>
            <w:r>
              <w:rPr>
                <w:rFonts w:ascii="Calibri" w:hAnsi="Calibri" w:eastAsia="宋体" w:cs="Calibri"/>
                <w:szCs w:val="21"/>
              </w:rPr>
              <w:t>1</w:t>
            </w:r>
            <w:r>
              <w:rPr>
                <w:rFonts w:ascii="Calibri" w:hAnsi="宋体" w:eastAsia="宋体" w:cs="Calibri"/>
                <w:szCs w:val="21"/>
              </w:rPr>
              <w:t>、开标时间：同投标截止时间</w:t>
            </w:r>
            <w:r>
              <w:rPr>
                <w:rFonts w:hint="eastAsia" w:ascii="Calibri" w:hAnsi="宋体" w:eastAsia="宋体" w:cs="Calibri"/>
                <w:szCs w:val="21"/>
              </w:rPr>
              <w:t>。</w:t>
            </w:r>
          </w:p>
          <w:p>
            <w:pPr>
              <w:spacing w:line="344" w:lineRule="exact"/>
              <w:ind w:left="6" w:leftChars="1" w:right="-38" w:rightChars="-18" w:hanging="4" w:hangingChars="2"/>
              <w:jc w:val="left"/>
              <w:rPr>
                <w:rFonts w:ascii="Calibri" w:hAnsi="Calibri" w:eastAsia="宋体" w:cs="Calibri"/>
                <w:szCs w:val="21"/>
              </w:rPr>
            </w:pPr>
            <w:r>
              <w:rPr>
                <w:rFonts w:ascii="Calibri" w:hAnsi="Calibri" w:eastAsia="宋体" w:cs="Calibri"/>
                <w:szCs w:val="21"/>
              </w:rPr>
              <w:t>2</w:t>
            </w:r>
            <w:r>
              <w:rPr>
                <w:rFonts w:ascii="Calibri" w:hAnsi="宋体" w:eastAsia="宋体" w:cs="Calibri"/>
                <w:szCs w:val="21"/>
              </w:rPr>
              <w:t>、开标地点：南宁市良庆区玉洞大道33号南宁市民中心南宁市公共资源交易中心开标厅（具体详见9楼电子显示屏安排）</w:t>
            </w:r>
            <w:r>
              <w:rPr>
                <w:rFonts w:hint="eastAsia" w:ascii="Calibri" w:hAnsi="宋体" w:eastAsia="宋体" w:cs="Calibri"/>
                <w:szCs w:val="21"/>
              </w:rPr>
              <w:t>。</w:t>
            </w:r>
          </w:p>
          <w:p>
            <w:pPr>
              <w:spacing w:line="344" w:lineRule="exact"/>
              <w:ind w:left="6" w:leftChars="1" w:right="-38" w:rightChars="-18" w:hanging="4" w:hangingChars="2"/>
              <w:jc w:val="left"/>
              <w:rPr>
                <w:rFonts w:ascii="Calibri" w:hAnsi="宋体" w:eastAsia="宋体" w:cs="Calibri"/>
                <w:szCs w:val="21"/>
              </w:rPr>
            </w:pPr>
            <w:r>
              <w:rPr>
                <w:rFonts w:ascii="Calibri" w:hAnsi="Calibri" w:eastAsia="宋体" w:cs="Calibri"/>
                <w:szCs w:val="21"/>
              </w:rPr>
              <w:t>3</w:t>
            </w:r>
            <w:r>
              <w:rPr>
                <w:rFonts w:ascii="Calibri" w:hAnsi="宋体" w:eastAsia="宋体" w:cs="Calibri"/>
                <w:szCs w:val="21"/>
              </w:rPr>
              <w:t>、</w:t>
            </w:r>
            <w:r>
              <w:rPr>
                <w:rFonts w:hint="eastAsia" w:ascii="Calibri" w:hAnsi="宋体" w:eastAsia="宋体" w:cs="Calibri"/>
                <w:b/>
                <w:bCs/>
                <w:szCs w:val="21"/>
              </w:rPr>
              <w:t>注意事项：</w:t>
            </w:r>
          </w:p>
          <w:p>
            <w:pPr>
              <w:spacing w:line="344" w:lineRule="exact"/>
              <w:ind w:left="6" w:leftChars="1" w:right="-38" w:rightChars="-18" w:hanging="4" w:hangingChars="2"/>
              <w:jc w:val="left"/>
              <w:rPr>
                <w:rFonts w:ascii="Calibri" w:hAnsi="Calibri" w:eastAsia="宋体" w:cs="Calibri"/>
                <w:b/>
                <w:bCs/>
              </w:rPr>
            </w:pPr>
            <w:r>
              <w:rPr>
                <w:rFonts w:hint="eastAsia" w:ascii="Calibri" w:hAnsi="宋体" w:eastAsia="宋体" w:cs="Calibri"/>
                <w:b/>
                <w:bCs/>
                <w:szCs w:val="21"/>
              </w:rPr>
              <w:t>（1）</w:t>
            </w:r>
            <w:r>
              <w:rPr>
                <w:rFonts w:hint="eastAsia" w:ascii="Calibri" w:hAnsi="Calibri" w:eastAsia="宋体" w:cs="Calibri"/>
                <w:b/>
                <w:bCs/>
              </w:rPr>
              <w:t>现场递交方式：</w:t>
            </w:r>
          </w:p>
          <w:p>
            <w:pPr>
              <w:spacing w:line="344" w:lineRule="exact"/>
              <w:ind w:left="6" w:leftChars="1" w:right="-38" w:rightChars="-18" w:hanging="4" w:hangingChars="2"/>
              <w:jc w:val="left"/>
              <w:rPr>
                <w:rFonts w:ascii="Calibri" w:hAnsi="Calibri" w:eastAsia="宋体" w:cs="Calibri"/>
                <w:b/>
                <w:bCs/>
              </w:rPr>
            </w:pPr>
            <w:r>
              <w:rPr>
                <w:rFonts w:hint="eastAsia" w:ascii="Calibri" w:hAnsi="Calibri" w:eastAsia="宋体" w:cs="Calibri"/>
                <w:b/>
                <w:bCs/>
              </w:rPr>
              <w:t>①投标人的法定代表人（负责人）或其委托代理人（限1人）必须在投标截止前到开标地点签到确认参加开标会，否则招标人不予受理。开标前须出示本人有效身份证（限中国公民居民身份证、外籍有效护照，下同）的原件，投标人委托代理人还必须同时出示授权委托书原件，以证明委托代理人的身份和被授权范围，并由招标人或其委托的公证机构代表验证确认。否则作无效标书处理。</w:t>
            </w:r>
          </w:p>
          <w:p>
            <w:pPr>
              <w:spacing w:line="344" w:lineRule="exact"/>
              <w:ind w:left="6" w:leftChars="1" w:right="-38" w:rightChars="-18" w:hanging="4" w:hangingChars="2"/>
              <w:jc w:val="left"/>
              <w:rPr>
                <w:rFonts w:ascii="Calibri" w:hAnsi="Calibri" w:eastAsia="宋体" w:cs="Calibri"/>
                <w:b/>
                <w:bCs/>
              </w:rPr>
            </w:pPr>
            <w:r>
              <w:rPr>
                <w:rFonts w:hint="eastAsia" w:ascii="Calibri" w:hAnsi="Calibri" w:eastAsia="宋体" w:cs="Calibri"/>
                <w:b/>
                <w:bCs/>
              </w:rPr>
              <w:t>②参加开标会和签署投标文件的委托代理人必须为同一人，否则作无效投标处理。</w:t>
            </w:r>
          </w:p>
          <w:p>
            <w:pPr>
              <w:spacing w:line="344" w:lineRule="exact"/>
              <w:ind w:left="6" w:leftChars="1" w:right="-38" w:rightChars="-18" w:hanging="4" w:hangingChars="2"/>
              <w:jc w:val="left"/>
              <w:rPr>
                <w:rFonts w:ascii="Calibri" w:hAnsi="Calibri" w:eastAsia="宋体" w:cs="Calibri"/>
                <w:b/>
                <w:bCs/>
              </w:rPr>
            </w:pPr>
            <w:r>
              <w:rPr>
                <w:rFonts w:hint="eastAsia" w:ascii="Calibri" w:hAnsi="Calibri" w:eastAsia="宋体" w:cs="Calibri"/>
                <w:b/>
                <w:bCs/>
              </w:rPr>
              <w:t>（2）邮寄快递方式：</w:t>
            </w:r>
          </w:p>
          <w:p>
            <w:pPr>
              <w:spacing w:line="400" w:lineRule="exact"/>
              <w:ind w:left="6" w:leftChars="1" w:right="-38" w:rightChars="-18" w:hanging="4" w:hangingChars="2"/>
              <w:rPr>
                <w:rFonts w:ascii="Calibri" w:hAnsi="Calibri" w:eastAsia="宋体" w:cs="Calibri"/>
                <w:szCs w:val="21"/>
                <w:u w:val="single"/>
              </w:rPr>
            </w:pPr>
            <w:r>
              <w:rPr>
                <w:rFonts w:hint="eastAsia" w:ascii="Calibri" w:hAnsi="Calibri" w:eastAsia="宋体" w:cs="Calibri"/>
                <w:b/>
                <w:bCs/>
              </w:rPr>
              <w:t>投标人的法定代表人（负责人）或其委托代理人无需参加开标会，投标人应对自己的投标文件的快递包封和密封负责。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1</w:t>
            </w:r>
            <w:r>
              <w:rPr>
                <w:rFonts w:hint="eastAsia" w:ascii="Calibri" w:hAnsi="Calibri" w:eastAsia="宋体" w:cs="Calibri"/>
                <w:szCs w:val="21"/>
              </w:rPr>
              <w:t>5</w:t>
            </w:r>
          </w:p>
        </w:tc>
        <w:tc>
          <w:tcPr>
            <w:tcW w:w="896" w:type="dxa"/>
            <w:vAlign w:val="center"/>
          </w:tcPr>
          <w:p>
            <w:pPr>
              <w:spacing w:line="400" w:lineRule="exact"/>
              <w:ind w:left="6" w:leftChars="1" w:right="-38" w:rightChars="-18" w:hanging="4" w:hangingChars="2"/>
              <w:jc w:val="center"/>
              <w:rPr>
                <w:rFonts w:ascii="Calibri" w:hAnsi="Calibri" w:eastAsia="宋体" w:cs="Calibri"/>
                <w:szCs w:val="21"/>
              </w:rPr>
            </w:pPr>
            <w:r>
              <w:rPr>
                <w:rFonts w:hint="eastAsia" w:ascii="Calibri" w:hAnsi="Calibri" w:eastAsia="宋体" w:cs="Calibri"/>
                <w:szCs w:val="21"/>
              </w:rPr>
              <w:t>22</w:t>
            </w:r>
          </w:p>
        </w:tc>
        <w:tc>
          <w:tcPr>
            <w:tcW w:w="7433" w:type="dxa"/>
            <w:vAlign w:val="center"/>
          </w:tcPr>
          <w:p>
            <w:pPr>
              <w:spacing w:line="400" w:lineRule="exact"/>
              <w:ind w:left="6" w:leftChars="1" w:right="-38" w:rightChars="-18" w:hanging="4" w:hangingChars="2"/>
              <w:rPr>
                <w:rFonts w:ascii="Calibri" w:hAnsi="Calibri" w:eastAsia="宋体" w:cs="Calibri"/>
                <w:szCs w:val="21"/>
              </w:rPr>
            </w:pPr>
            <w:r>
              <w:rPr>
                <w:rFonts w:ascii="Calibri" w:hAnsi="宋体" w:eastAsia="宋体" w:cs="Calibri"/>
                <w:szCs w:val="21"/>
              </w:rPr>
              <w:t>评标：</w:t>
            </w:r>
            <w:r>
              <w:rPr>
                <w:rFonts w:hint="eastAsia" w:ascii="Calibri" w:hAnsi="宋体" w:eastAsia="宋体" w:cs="Calibri"/>
                <w:szCs w:val="21"/>
              </w:rPr>
              <w:t>本次评标采用综合评分法，</w:t>
            </w:r>
            <w:r>
              <w:rPr>
                <w:rFonts w:ascii="Calibri" w:hAnsi="宋体" w:eastAsia="宋体" w:cs="Calibri"/>
                <w:szCs w:val="21"/>
              </w:rPr>
              <w:t>详见</w:t>
            </w:r>
            <w:r>
              <w:rPr>
                <w:rFonts w:hint="eastAsia" w:ascii="Calibri" w:hAnsi="宋体" w:eastAsia="宋体" w:cs="Calibri"/>
                <w:szCs w:val="21"/>
              </w:rPr>
              <w:t>第三章</w:t>
            </w:r>
            <w:r>
              <w:rPr>
                <w:rFonts w:ascii="Calibri" w:hAnsi="宋体" w:eastAsia="宋体" w:cs="Calibri"/>
                <w:szCs w:val="21"/>
              </w:rPr>
              <w:t>《评标办法》。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15"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1</w:t>
            </w:r>
            <w:r>
              <w:rPr>
                <w:rFonts w:hint="eastAsia" w:ascii="Calibri" w:hAnsi="Calibri" w:eastAsia="宋体" w:cs="Calibri"/>
                <w:szCs w:val="21"/>
              </w:rPr>
              <w:t>6</w:t>
            </w:r>
          </w:p>
        </w:tc>
        <w:tc>
          <w:tcPr>
            <w:tcW w:w="896" w:type="dxa"/>
            <w:vAlign w:val="center"/>
          </w:tcPr>
          <w:p>
            <w:pPr>
              <w:spacing w:line="400" w:lineRule="exact"/>
              <w:ind w:left="6" w:leftChars="1" w:right="-38" w:rightChars="-18" w:hanging="4" w:hangingChars="2"/>
              <w:jc w:val="center"/>
              <w:rPr>
                <w:rFonts w:ascii="Calibri" w:hAnsi="Calibri" w:eastAsia="宋体" w:cs="Calibri"/>
                <w:szCs w:val="21"/>
              </w:rPr>
            </w:pPr>
            <w:r>
              <w:rPr>
                <w:rFonts w:ascii="Calibri" w:hAnsi="Calibri" w:eastAsia="宋体" w:cs="Calibri"/>
                <w:szCs w:val="21"/>
              </w:rPr>
              <w:t>3</w:t>
            </w:r>
            <w:r>
              <w:rPr>
                <w:rFonts w:hint="eastAsia" w:ascii="Calibri" w:hAnsi="Calibri" w:eastAsia="宋体" w:cs="Calibri"/>
                <w:szCs w:val="21"/>
              </w:rPr>
              <w:t>7</w:t>
            </w:r>
            <w:r>
              <w:rPr>
                <w:rFonts w:ascii="Calibri" w:hAnsi="Calibri" w:eastAsia="宋体" w:cs="Calibri"/>
                <w:szCs w:val="21"/>
              </w:rPr>
              <w:t>.1</w:t>
            </w:r>
          </w:p>
        </w:tc>
        <w:tc>
          <w:tcPr>
            <w:tcW w:w="7433" w:type="dxa"/>
            <w:vAlign w:val="center"/>
          </w:tcPr>
          <w:p>
            <w:pPr>
              <w:spacing w:line="400" w:lineRule="exact"/>
              <w:ind w:left="6" w:leftChars="1" w:right="-38" w:rightChars="-18" w:hanging="4" w:hangingChars="2"/>
              <w:rPr>
                <w:rFonts w:ascii="Calibri" w:hAnsi="宋体" w:eastAsia="宋体" w:cs="Calibri"/>
                <w:szCs w:val="21"/>
              </w:rPr>
            </w:pPr>
            <w:r>
              <w:rPr>
                <w:rFonts w:hint="eastAsia" w:ascii="Calibri" w:hAnsi="宋体" w:eastAsia="宋体" w:cs="Calibri"/>
                <w:szCs w:val="21"/>
              </w:rPr>
              <w:t>履约担保：</w:t>
            </w:r>
          </w:p>
          <w:p>
            <w:pPr>
              <w:spacing w:line="400" w:lineRule="exact"/>
              <w:ind w:left="6" w:leftChars="1" w:right="-38" w:rightChars="-18" w:hanging="4" w:hangingChars="2"/>
              <w:rPr>
                <w:rFonts w:ascii="Calibri" w:hAnsi="宋体" w:eastAsia="宋体" w:cs="Calibri"/>
                <w:szCs w:val="21"/>
              </w:rPr>
            </w:pPr>
            <w:r>
              <w:rPr>
                <w:rFonts w:hint="eastAsia" w:ascii="Calibri" w:hAnsi="宋体" w:eastAsia="宋体" w:cs="Calibri"/>
                <w:szCs w:val="21"/>
              </w:rPr>
              <w:t>履约担保的形式：银行保函或转账汇款</w:t>
            </w:r>
          </w:p>
          <w:p>
            <w:pPr>
              <w:spacing w:line="400" w:lineRule="exact"/>
              <w:ind w:left="6" w:leftChars="1" w:right="-38" w:rightChars="-18" w:hanging="4" w:hangingChars="2"/>
              <w:rPr>
                <w:rFonts w:ascii="Calibri" w:hAnsi="Calibri" w:eastAsia="宋体" w:cs="Calibri"/>
                <w:szCs w:val="21"/>
              </w:rPr>
            </w:pPr>
            <w:r>
              <w:rPr>
                <w:rFonts w:hint="eastAsia" w:ascii="Calibri" w:hAnsi="宋体" w:eastAsia="宋体" w:cs="Calibri"/>
                <w:szCs w:val="21"/>
              </w:rPr>
              <w:t>履约担保的金额及交纳时间：总保险费的5％，</w:t>
            </w:r>
            <w:r>
              <w:rPr>
                <w:rFonts w:hint="eastAsia" w:asciiTheme="minorEastAsia" w:hAnsiTheme="minorEastAsia" w:eastAsiaTheme="minorEastAsia"/>
              </w:rPr>
              <w:t>在保险合同签订前由乙方将履约保证金划付至甲方指定账户或提供银行保函。</w:t>
            </w:r>
          </w:p>
        </w:tc>
      </w:tr>
    </w:tbl>
    <w:p>
      <w:pPr>
        <w:spacing w:line="360" w:lineRule="exact"/>
        <w:rPr>
          <w:rFonts w:eastAsia="宋体"/>
          <w:b/>
          <w:sz w:val="32"/>
          <w:szCs w:val="32"/>
        </w:rPr>
        <w:sectPr>
          <w:footerReference r:id="rId23" w:type="first"/>
          <w:headerReference r:id="rId21" w:type="default"/>
          <w:footerReference r:id="rId22" w:type="default"/>
          <w:type w:val="nextColumn"/>
          <w:pgSz w:w="11907" w:h="16840"/>
          <w:pgMar w:top="1247" w:right="1247" w:bottom="1247" w:left="1588" w:header="737" w:footer="737" w:gutter="0"/>
          <w:cols w:space="720" w:num="1"/>
          <w:titlePg/>
          <w:docGrid w:linePitch="312" w:charSpace="0"/>
        </w:sectPr>
      </w:pPr>
      <w:bookmarkStart w:id="62" w:name="_Toc55500015"/>
      <w:bookmarkStart w:id="63" w:name="_Toc118890502"/>
      <w:bookmarkStart w:id="64" w:name="_Toc65846684"/>
      <w:bookmarkStart w:id="65" w:name="_Toc121308024"/>
      <w:bookmarkStart w:id="66" w:name="_Toc213049000"/>
      <w:bookmarkStart w:id="67" w:name="_Toc68417325"/>
      <w:bookmarkStart w:id="68" w:name="_Toc121182294"/>
      <w:bookmarkStart w:id="69" w:name="_Toc65597733"/>
      <w:bookmarkStart w:id="70" w:name="_Toc121830567"/>
      <w:bookmarkStart w:id="71" w:name="_Toc72583476"/>
      <w:bookmarkStart w:id="72" w:name="_Toc70094669"/>
      <w:bookmarkStart w:id="73" w:name="_Toc119786462"/>
      <w:bookmarkStart w:id="74" w:name="_Toc223786500"/>
      <w:bookmarkStart w:id="75" w:name="_Toc118061507"/>
      <w:bookmarkStart w:id="76" w:name="_Toc65641108"/>
      <w:bookmarkStart w:id="77" w:name="_Toc68407732"/>
      <w:bookmarkStart w:id="78" w:name="_Toc65498354"/>
      <w:bookmarkStart w:id="79" w:name="_Toc65420082"/>
    </w:p>
    <w:p>
      <w:pPr>
        <w:spacing w:line="360" w:lineRule="auto"/>
        <w:jc w:val="center"/>
        <w:rPr>
          <w:rFonts w:eastAsia="宋体"/>
          <w:b/>
          <w:sz w:val="32"/>
          <w:szCs w:val="32"/>
        </w:rPr>
      </w:pPr>
      <w:r>
        <w:rPr>
          <w:rFonts w:hAnsi="宋体" w:eastAsia="宋体"/>
          <w:b/>
          <w:sz w:val="32"/>
          <w:szCs w:val="32"/>
        </w:rPr>
        <w:t>投标须知</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Pr>
        <w:pStyle w:val="5"/>
        <w:numPr>
          <w:ilvl w:val="0"/>
          <w:numId w:val="4"/>
        </w:numPr>
        <w:spacing w:before="100" w:line="293" w:lineRule="auto"/>
        <w:rPr>
          <w:rFonts w:ascii="宋体" w:hAnsi="宋体" w:eastAsia="宋体" w:cs="宋体"/>
          <w:sz w:val="24"/>
          <w:szCs w:val="24"/>
        </w:rPr>
      </w:pPr>
      <w:bookmarkStart w:id="80" w:name="_Toc27147"/>
      <w:bookmarkStart w:id="81" w:name="_Toc16931"/>
      <w:bookmarkStart w:id="82" w:name="_Toc375564260"/>
      <w:bookmarkStart w:id="83" w:name="_Toc68407734"/>
      <w:bookmarkStart w:id="84" w:name="_Toc70094671"/>
      <w:bookmarkStart w:id="85" w:name="_Toc65420084"/>
      <w:bookmarkStart w:id="86" w:name="_Toc65498356"/>
      <w:bookmarkStart w:id="87" w:name="_Toc68417327"/>
      <w:bookmarkStart w:id="88" w:name="_Toc65641110"/>
      <w:bookmarkStart w:id="89" w:name="_Toc72583478"/>
      <w:bookmarkStart w:id="90" w:name="_Toc65597735"/>
      <w:bookmarkStart w:id="91" w:name="_Toc65846686"/>
      <w:bookmarkStart w:id="92" w:name="_Toc121182296"/>
      <w:bookmarkStart w:id="93" w:name="_Toc118061509"/>
      <w:bookmarkStart w:id="94" w:name="_Toc213049002"/>
      <w:bookmarkStart w:id="95" w:name="_Toc119786464"/>
      <w:bookmarkStart w:id="96" w:name="_Toc223786502"/>
      <w:bookmarkStart w:id="97" w:name="_Toc121308026"/>
      <w:bookmarkStart w:id="98" w:name="_Toc118890504"/>
      <w:bookmarkStart w:id="99" w:name="_Toc121830569"/>
      <w:r>
        <w:rPr>
          <w:rFonts w:hint="eastAsia" w:ascii="宋体" w:hAnsi="宋体" w:eastAsia="宋体" w:cs="宋体"/>
          <w:sz w:val="24"/>
          <w:szCs w:val="24"/>
        </w:rPr>
        <w:t>说明</w:t>
      </w:r>
      <w:bookmarkEnd w:id="80"/>
      <w:bookmarkEnd w:id="81"/>
      <w:bookmarkEnd w:id="82"/>
    </w:p>
    <w:p>
      <w:pPr>
        <w:pStyle w:val="5"/>
        <w:numPr>
          <w:ilvl w:val="0"/>
          <w:numId w:val="5"/>
        </w:numPr>
        <w:spacing w:before="100" w:line="293" w:lineRule="auto"/>
        <w:rPr>
          <w:rFonts w:ascii="宋体" w:hAnsi="宋体" w:eastAsia="宋体" w:cs="宋体"/>
          <w:sz w:val="21"/>
          <w:szCs w:val="21"/>
        </w:rPr>
      </w:pPr>
      <w:bookmarkStart w:id="100" w:name="_Toc15530"/>
      <w:bookmarkStart w:id="101" w:name="_Toc29111"/>
      <w:bookmarkStart w:id="102" w:name="_Toc375564261"/>
      <w:bookmarkStart w:id="103" w:name="_Toc20355"/>
      <w:r>
        <w:rPr>
          <w:rFonts w:hint="eastAsia" w:ascii="宋体" w:hAnsi="宋体" w:eastAsia="宋体" w:cs="宋体"/>
          <w:sz w:val="21"/>
          <w:szCs w:val="21"/>
        </w:rPr>
        <w:t>项目</w:t>
      </w:r>
      <w:bookmarkEnd w:id="83"/>
      <w:bookmarkEnd w:id="84"/>
      <w:bookmarkEnd w:id="85"/>
      <w:bookmarkEnd w:id="86"/>
      <w:bookmarkEnd w:id="87"/>
      <w:bookmarkEnd w:id="88"/>
      <w:bookmarkEnd w:id="89"/>
      <w:bookmarkEnd w:id="90"/>
      <w:bookmarkEnd w:id="91"/>
      <w:r>
        <w:rPr>
          <w:rFonts w:hint="eastAsia" w:ascii="宋体" w:hAnsi="宋体" w:eastAsia="宋体" w:cs="宋体"/>
          <w:sz w:val="21"/>
          <w:szCs w:val="21"/>
        </w:rPr>
        <w:t>说明</w:t>
      </w:r>
      <w:bookmarkEnd w:id="92"/>
      <w:bookmarkEnd w:id="93"/>
      <w:bookmarkEnd w:id="94"/>
      <w:bookmarkEnd w:id="95"/>
      <w:bookmarkEnd w:id="96"/>
      <w:bookmarkEnd w:id="97"/>
      <w:bookmarkEnd w:id="98"/>
      <w:bookmarkEnd w:id="99"/>
      <w:bookmarkEnd w:id="100"/>
      <w:bookmarkEnd w:id="101"/>
      <w:bookmarkEnd w:id="102"/>
      <w:bookmarkEnd w:id="103"/>
    </w:p>
    <w:p>
      <w:pPr>
        <w:numPr>
          <w:ilvl w:val="0"/>
          <w:numId w:val="6"/>
        </w:numPr>
        <w:spacing w:before="100" w:line="293" w:lineRule="auto"/>
        <w:rPr>
          <w:rFonts w:ascii="宋体" w:hAnsi="宋体" w:eastAsia="宋体" w:cs="宋体"/>
          <w:szCs w:val="21"/>
        </w:rPr>
      </w:pPr>
      <w:r>
        <w:rPr>
          <w:rFonts w:hint="eastAsia" w:ascii="宋体" w:hAnsi="宋体" w:eastAsia="宋体" w:cs="宋体"/>
          <w:szCs w:val="21"/>
        </w:rPr>
        <w:t>项目名称：详见投标须知前附表。</w:t>
      </w:r>
    </w:p>
    <w:p>
      <w:pPr>
        <w:numPr>
          <w:ilvl w:val="0"/>
          <w:numId w:val="6"/>
        </w:numPr>
        <w:spacing w:before="100" w:line="293" w:lineRule="auto"/>
        <w:rPr>
          <w:rFonts w:ascii="宋体" w:hAnsi="宋体" w:eastAsia="宋体" w:cs="宋体"/>
          <w:szCs w:val="21"/>
        </w:rPr>
      </w:pPr>
      <w:r>
        <w:rPr>
          <w:rFonts w:hint="eastAsia" w:ascii="宋体" w:hAnsi="宋体" w:eastAsia="宋体" w:cs="宋体"/>
          <w:szCs w:val="21"/>
        </w:rPr>
        <w:t>建设地点：详见投标须知前附表。</w:t>
      </w:r>
    </w:p>
    <w:p>
      <w:pPr>
        <w:numPr>
          <w:ilvl w:val="0"/>
          <w:numId w:val="6"/>
        </w:numPr>
        <w:spacing w:before="100" w:line="293" w:lineRule="auto"/>
        <w:rPr>
          <w:rFonts w:ascii="宋体" w:hAnsi="宋体" w:eastAsia="宋体" w:cs="宋体"/>
          <w:szCs w:val="21"/>
        </w:rPr>
      </w:pPr>
      <w:r>
        <w:rPr>
          <w:rFonts w:hint="eastAsia" w:ascii="宋体" w:hAnsi="宋体" w:eastAsia="宋体" w:cs="宋体"/>
          <w:bCs/>
          <w:szCs w:val="21"/>
        </w:rPr>
        <w:t>招标范围：</w:t>
      </w:r>
      <w:r>
        <w:rPr>
          <w:rFonts w:hint="eastAsia" w:ascii="宋体" w:hAnsi="宋体" w:eastAsia="宋体" w:cs="宋体"/>
          <w:szCs w:val="21"/>
        </w:rPr>
        <w:t>详见投标须知前附表。</w:t>
      </w:r>
    </w:p>
    <w:p>
      <w:pPr>
        <w:numPr>
          <w:ilvl w:val="0"/>
          <w:numId w:val="6"/>
        </w:numPr>
        <w:spacing w:before="100" w:line="293" w:lineRule="auto"/>
        <w:rPr>
          <w:rFonts w:ascii="宋体" w:hAnsi="宋体" w:eastAsia="宋体" w:cs="宋体"/>
          <w:szCs w:val="21"/>
        </w:rPr>
      </w:pPr>
      <w:r>
        <w:rPr>
          <w:rFonts w:hint="eastAsia" w:ascii="宋体" w:hAnsi="宋体" w:eastAsia="宋体" w:cs="宋体"/>
          <w:bCs/>
          <w:szCs w:val="21"/>
        </w:rPr>
        <w:t>项目概况：</w:t>
      </w:r>
      <w:r>
        <w:rPr>
          <w:rFonts w:hint="eastAsia" w:ascii="宋体" w:hAnsi="宋体" w:eastAsia="宋体" w:cs="宋体"/>
          <w:szCs w:val="21"/>
        </w:rPr>
        <w:t>详见投标须知前附表。</w:t>
      </w:r>
    </w:p>
    <w:p>
      <w:pPr>
        <w:numPr>
          <w:ilvl w:val="0"/>
          <w:numId w:val="6"/>
        </w:numPr>
        <w:spacing w:before="100" w:line="293" w:lineRule="auto"/>
        <w:rPr>
          <w:rFonts w:ascii="宋体" w:hAnsi="宋体" w:eastAsia="宋体" w:cs="宋体"/>
          <w:szCs w:val="21"/>
        </w:rPr>
      </w:pPr>
      <w:r>
        <w:rPr>
          <w:rFonts w:hint="eastAsia" w:ascii="宋体" w:hAnsi="宋体" w:eastAsia="宋体" w:cs="宋体"/>
          <w:szCs w:val="21"/>
        </w:rPr>
        <w:t>保险期限：详见投标须知前附表。</w:t>
      </w:r>
    </w:p>
    <w:p>
      <w:pPr>
        <w:numPr>
          <w:ilvl w:val="0"/>
          <w:numId w:val="6"/>
        </w:numPr>
        <w:spacing w:before="100" w:line="293" w:lineRule="auto"/>
        <w:rPr>
          <w:rFonts w:ascii="宋体" w:hAnsi="宋体" w:eastAsia="宋体" w:cs="宋体"/>
          <w:szCs w:val="21"/>
        </w:rPr>
      </w:pPr>
      <w:r>
        <w:rPr>
          <w:rFonts w:hint="eastAsia" w:ascii="宋体" w:hAnsi="宋体" w:eastAsia="宋体" w:cs="宋体"/>
          <w:szCs w:val="21"/>
        </w:rPr>
        <w:t>资金来源：详见投标须知前附表。</w:t>
      </w:r>
    </w:p>
    <w:p>
      <w:pPr>
        <w:pStyle w:val="5"/>
        <w:numPr>
          <w:ilvl w:val="0"/>
          <w:numId w:val="5"/>
        </w:numPr>
        <w:spacing w:before="100" w:line="293" w:lineRule="auto"/>
        <w:rPr>
          <w:rFonts w:ascii="宋体" w:hAnsi="宋体" w:eastAsia="宋体" w:cs="宋体"/>
          <w:sz w:val="21"/>
          <w:szCs w:val="21"/>
        </w:rPr>
      </w:pPr>
      <w:bookmarkStart w:id="104" w:name="_Toc223786503"/>
      <w:bookmarkStart w:id="105" w:name="_Toc375564262"/>
      <w:bookmarkStart w:id="106" w:name="_Toc93"/>
      <w:bookmarkStart w:id="107" w:name="_Toc28970"/>
      <w:bookmarkStart w:id="108" w:name="_Toc17984"/>
      <w:bookmarkStart w:id="109" w:name="_Toc213049003"/>
      <w:bookmarkStart w:id="110" w:name="_Toc119786465"/>
      <w:bookmarkStart w:id="111" w:name="_Toc118890505"/>
      <w:bookmarkStart w:id="112" w:name="_Toc65597736"/>
      <w:bookmarkStart w:id="113" w:name="_Toc65846687"/>
      <w:bookmarkStart w:id="114" w:name="_Toc72583479"/>
      <w:bookmarkStart w:id="115" w:name="_Toc68407735"/>
      <w:bookmarkStart w:id="116" w:name="_Toc65641111"/>
      <w:bookmarkStart w:id="117" w:name="_Toc121182297"/>
      <w:bookmarkStart w:id="118" w:name="_Toc121830570"/>
      <w:bookmarkStart w:id="119" w:name="_Toc121308027"/>
      <w:bookmarkStart w:id="120" w:name="_Toc70094672"/>
      <w:bookmarkStart w:id="121" w:name="_Toc65420085"/>
      <w:bookmarkStart w:id="122" w:name="_Toc68417328"/>
      <w:bookmarkStart w:id="123" w:name="_Toc118061510"/>
      <w:bookmarkStart w:id="124" w:name="_Toc65498357"/>
      <w:r>
        <w:rPr>
          <w:rFonts w:hint="eastAsia" w:ascii="宋体" w:hAnsi="宋体" w:eastAsia="宋体" w:cs="宋体"/>
          <w:sz w:val="21"/>
          <w:szCs w:val="21"/>
        </w:rPr>
        <w:t>定义</w:t>
      </w:r>
      <w:bookmarkEnd w:id="104"/>
      <w:bookmarkEnd w:id="105"/>
      <w:bookmarkEnd w:id="106"/>
      <w:bookmarkEnd w:id="107"/>
      <w:bookmarkEnd w:id="108"/>
      <w:bookmarkEnd w:id="109"/>
    </w:p>
    <w:p>
      <w:pPr>
        <w:spacing w:before="100" w:line="293" w:lineRule="auto"/>
        <w:ind w:left="720" w:leftChars="343" w:firstLine="420" w:firstLineChars="200"/>
        <w:rPr>
          <w:rFonts w:eastAsia="宋体"/>
          <w:szCs w:val="21"/>
        </w:rPr>
      </w:pPr>
      <w:r>
        <w:rPr>
          <w:rFonts w:hAnsi="宋体" w:eastAsia="宋体"/>
          <w:szCs w:val="21"/>
        </w:rPr>
        <w:t>本招标文件使用的下列词汇具有如下规定的意义。</w:t>
      </w:r>
    </w:p>
    <w:p>
      <w:pPr>
        <w:numPr>
          <w:ilvl w:val="1"/>
          <w:numId w:val="7"/>
        </w:numPr>
        <w:tabs>
          <w:tab w:val="left" w:pos="8364"/>
        </w:tabs>
        <w:spacing w:before="100" w:line="293" w:lineRule="auto"/>
        <w:ind w:right="-57"/>
        <w:rPr>
          <w:rFonts w:eastAsia="宋体"/>
          <w:szCs w:val="21"/>
        </w:rPr>
      </w:pPr>
      <w:r>
        <w:rPr>
          <w:rFonts w:eastAsia="宋体"/>
          <w:szCs w:val="21"/>
        </w:rPr>
        <w:t>“招标人”系指提出招标采购货物的国家机关、企业、事业单位或其它组织。本招标文件</w:t>
      </w:r>
      <w:r>
        <w:rPr>
          <w:rFonts w:hAnsi="宋体" w:eastAsia="宋体"/>
          <w:szCs w:val="21"/>
        </w:rPr>
        <w:t>中招标人是指南宁轨道交通集团有限责任公司。</w:t>
      </w:r>
    </w:p>
    <w:p>
      <w:pPr>
        <w:numPr>
          <w:ilvl w:val="1"/>
          <w:numId w:val="7"/>
        </w:numPr>
        <w:tabs>
          <w:tab w:val="left" w:pos="8364"/>
        </w:tabs>
        <w:spacing w:before="100" w:line="293" w:lineRule="auto"/>
        <w:ind w:right="-57"/>
        <w:rPr>
          <w:rFonts w:eastAsia="宋体"/>
          <w:szCs w:val="21"/>
        </w:rPr>
      </w:pPr>
      <w:r>
        <w:rPr>
          <w:rFonts w:eastAsia="宋体"/>
          <w:szCs w:val="21"/>
        </w:rPr>
        <w:t>“</w:t>
      </w:r>
      <w:r>
        <w:rPr>
          <w:rFonts w:hAnsi="宋体" w:eastAsia="宋体"/>
          <w:szCs w:val="21"/>
        </w:rPr>
        <w:t>招标代理机构</w:t>
      </w:r>
      <w:r>
        <w:rPr>
          <w:rFonts w:eastAsia="宋体"/>
          <w:szCs w:val="21"/>
        </w:rPr>
        <w:t>”</w:t>
      </w:r>
      <w:r>
        <w:rPr>
          <w:rFonts w:hAnsi="宋体" w:eastAsia="宋体"/>
          <w:szCs w:val="21"/>
        </w:rPr>
        <w:t>系指依照国家有关部门的管理规定，依法设立并取得招标资格证书、从事招标代理业务的中介组织。本招标文件中招标代理机构是指受招标人委托组织招标的</w:t>
      </w:r>
      <w:r>
        <w:rPr>
          <w:rFonts w:hint="eastAsia" w:hAnsi="宋体" w:eastAsia="宋体"/>
          <w:szCs w:val="21"/>
        </w:rPr>
        <w:t>云之龙咨询集团有限公司</w:t>
      </w:r>
      <w:r>
        <w:rPr>
          <w:rFonts w:hAnsi="宋体" w:eastAsia="宋体"/>
          <w:szCs w:val="21"/>
        </w:rPr>
        <w:t>。</w:t>
      </w:r>
    </w:p>
    <w:p>
      <w:pPr>
        <w:numPr>
          <w:ilvl w:val="1"/>
          <w:numId w:val="7"/>
        </w:numPr>
        <w:tabs>
          <w:tab w:val="left" w:pos="8364"/>
        </w:tabs>
        <w:spacing w:before="100" w:line="293" w:lineRule="auto"/>
        <w:ind w:right="-57"/>
        <w:rPr>
          <w:rFonts w:eastAsia="宋体"/>
          <w:szCs w:val="21"/>
        </w:rPr>
      </w:pPr>
      <w:r>
        <w:rPr>
          <w:rFonts w:eastAsia="宋体"/>
          <w:szCs w:val="21"/>
        </w:rPr>
        <w:t>“</w:t>
      </w:r>
      <w:r>
        <w:rPr>
          <w:rFonts w:hAnsi="宋体" w:eastAsia="宋体"/>
          <w:szCs w:val="21"/>
        </w:rPr>
        <w:t>投标人</w:t>
      </w:r>
      <w:r>
        <w:rPr>
          <w:rFonts w:eastAsia="宋体"/>
          <w:szCs w:val="21"/>
        </w:rPr>
        <w:t>”</w:t>
      </w:r>
      <w:r>
        <w:rPr>
          <w:rFonts w:hAnsi="宋体" w:eastAsia="宋体"/>
          <w:szCs w:val="21"/>
        </w:rPr>
        <w:t>系指购买了本招标文件并且与本</w:t>
      </w:r>
      <w:r>
        <w:rPr>
          <w:rFonts w:eastAsia="宋体"/>
          <w:szCs w:val="21"/>
        </w:rPr>
        <w:t>“</w:t>
      </w:r>
      <w:r>
        <w:rPr>
          <w:rFonts w:hAnsi="宋体" w:eastAsia="宋体"/>
          <w:szCs w:val="21"/>
        </w:rPr>
        <w:t>投标须知</w:t>
      </w:r>
      <w:r>
        <w:rPr>
          <w:rFonts w:eastAsia="宋体"/>
          <w:szCs w:val="21"/>
        </w:rPr>
        <w:t>”</w:t>
      </w:r>
      <w:r>
        <w:rPr>
          <w:rFonts w:hAnsi="宋体" w:eastAsia="宋体"/>
          <w:szCs w:val="21"/>
        </w:rPr>
        <w:t>第</w:t>
      </w:r>
      <w:r>
        <w:rPr>
          <w:rFonts w:eastAsia="宋体"/>
          <w:szCs w:val="21"/>
        </w:rPr>
        <w:t>3</w:t>
      </w:r>
      <w:r>
        <w:rPr>
          <w:rFonts w:hAnsi="宋体" w:eastAsia="宋体"/>
          <w:szCs w:val="21"/>
        </w:rPr>
        <w:t>条规定的要求一致的、响应招标、参加投标竞争的法人或其他组织。</w:t>
      </w:r>
    </w:p>
    <w:p>
      <w:pPr>
        <w:numPr>
          <w:ilvl w:val="1"/>
          <w:numId w:val="7"/>
        </w:numPr>
        <w:tabs>
          <w:tab w:val="left" w:pos="8364"/>
        </w:tabs>
        <w:spacing w:before="100" w:line="293" w:lineRule="auto"/>
        <w:ind w:right="-57"/>
        <w:rPr>
          <w:rFonts w:eastAsia="宋体"/>
          <w:szCs w:val="21"/>
        </w:rPr>
      </w:pPr>
      <w:bookmarkStart w:id="125" w:name="_Toc176662333"/>
      <w:r>
        <w:rPr>
          <w:rFonts w:eastAsia="宋体"/>
          <w:szCs w:val="21"/>
        </w:rPr>
        <w:t>“</w:t>
      </w:r>
      <w:r>
        <w:rPr>
          <w:rFonts w:hAnsi="宋体" w:eastAsia="宋体"/>
          <w:szCs w:val="21"/>
        </w:rPr>
        <w:t>电子文件</w:t>
      </w:r>
      <w:r>
        <w:rPr>
          <w:rFonts w:eastAsia="宋体"/>
          <w:szCs w:val="21"/>
        </w:rPr>
        <w:t>”</w:t>
      </w:r>
      <w:r>
        <w:rPr>
          <w:rFonts w:hAnsi="宋体" w:eastAsia="宋体"/>
          <w:szCs w:val="21"/>
        </w:rPr>
        <w:t>系指将投标文件全部内容以</w:t>
      </w:r>
      <w:r>
        <w:rPr>
          <w:rFonts w:eastAsia="宋体"/>
          <w:szCs w:val="21"/>
        </w:rPr>
        <w:t>MICROSOFT</w:t>
      </w:r>
      <w:r>
        <w:rPr>
          <w:rFonts w:hAnsi="宋体" w:eastAsia="宋体"/>
          <w:szCs w:val="21"/>
        </w:rPr>
        <w:t>的</w:t>
      </w:r>
      <w:r>
        <w:rPr>
          <w:rFonts w:eastAsia="宋体"/>
          <w:szCs w:val="21"/>
        </w:rPr>
        <w:t>WORD</w:t>
      </w:r>
      <w:r>
        <w:rPr>
          <w:rFonts w:hAnsi="宋体" w:eastAsia="宋体"/>
          <w:szCs w:val="21"/>
        </w:rPr>
        <w:t>、</w:t>
      </w:r>
      <w:r>
        <w:rPr>
          <w:rFonts w:eastAsia="宋体"/>
          <w:szCs w:val="21"/>
        </w:rPr>
        <w:t>PROJECT</w:t>
      </w:r>
      <w:r>
        <w:rPr>
          <w:rFonts w:hAnsi="宋体" w:eastAsia="宋体"/>
          <w:szCs w:val="21"/>
        </w:rPr>
        <w:t>、</w:t>
      </w:r>
      <w:r>
        <w:rPr>
          <w:rFonts w:eastAsia="宋体"/>
          <w:szCs w:val="21"/>
        </w:rPr>
        <w:t>EXCEL</w:t>
      </w:r>
      <w:r>
        <w:rPr>
          <w:rFonts w:hAnsi="宋体" w:eastAsia="宋体"/>
          <w:szCs w:val="21"/>
        </w:rPr>
        <w:t>等格式书写的可读电子介质及</w:t>
      </w:r>
      <w:r>
        <w:rPr>
          <w:rFonts w:eastAsia="宋体"/>
          <w:szCs w:val="21"/>
        </w:rPr>
        <w:t>PDF</w:t>
      </w:r>
      <w:r>
        <w:rPr>
          <w:rFonts w:hAnsi="宋体" w:eastAsia="宋体"/>
          <w:szCs w:val="21"/>
        </w:rPr>
        <w:t>扫描版本。</w:t>
      </w:r>
      <w:bookmarkEnd w:id="125"/>
    </w:p>
    <w:p>
      <w:pPr>
        <w:numPr>
          <w:ilvl w:val="1"/>
          <w:numId w:val="7"/>
        </w:numPr>
        <w:tabs>
          <w:tab w:val="left" w:pos="8364"/>
        </w:tabs>
        <w:spacing w:before="100" w:line="293" w:lineRule="auto"/>
        <w:ind w:right="-57"/>
        <w:rPr>
          <w:rFonts w:eastAsia="宋体"/>
          <w:szCs w:val="21"/>
        </w:rPr>
      </w:pPr>
      <w:bookmarkStart w:id="126" w:name="_Toc179790143"/>
      <w:r>
        <w:rPr>
          <w:rFonts w:eastAsia="宋体"/>
          <w:szCs w:val="21"/>
        </w:rPr>
        <w:t>“</w:t>
      </w:r>
      <w:r>
        <w:rPr>
          <w:rFonts w:hAnsi="宋体" w:eastAsia="宋体"/>
          <w:szCs w:val="21"/>
        </w:rPr>
        <w:t>书面形式</w:t>
      </w:r>
      <w:r>
        <w:rPr>
          <w:rFonts w:eastAsia="宋体"/>
          <w:szCs w:val="21"/>
        </w:rPr>
        <w:t>”</w:t>
      </w:r>
      <w:r>
        <w:rPr>
          <w:rFonts w:hAnsi="宋体" w:eastAsia="宋体"/>
          <w:szCs w:val="21"/>
        </w:rPr>
        <w:t>系指打字或印刷的函件，包括传真、电报等。</w:t>
      </w:r>
    </w:p>
    <w:p>
      <w:pPr>
        <w:numPr>
          <w:ilvl w:val="1"/>
          <w:numId w:val="7"/>
        </w:numPr>
        <w:tabs>
          <w:tab w:val="left" w:pos="8364"/>
        </w:tabs>
        <w:spacing w:before="100" w:line="293" w:lineRule="auto"/>
        <w:ind w:right="-57"/>
        <w:rPr>
          <w:rFonts w:eastAsia="宋体"/>
          <w:szCs w:val="21"/>
        </w:rPr>
      </w:pPr>
      <w:r>
        <w:rPr>
          <w:rFonts w:eastAsia="宋体"/>
          <w:szCs w:val="21"/>
        </w:rPr>
        <w:t>“</w:t>
      </w:r>
      <w:r>
        <w:rPr>
          <w:rFonts w:hAnsi="宋体" w:eastAsia="宋体"/>
          <w:szCs w:val="21"/>
        </w:rPr>
        <w:t>日</w:t>
      </w:r>
      <w:r>
        <w:rPr>
          <w:rFonts w:eastAsia="宋体"/>
          <w:szCs w:val="21"/>
        </w:rPr>
        <w:t>”</w:t>
      </w:r>
      <w:r>
        <w:rPr>
          <w:rFonts w:hAnsi="宋体" w:eastAsia="宋体"/>
          <w:szCs w:val="21"/>
        </w:rPr>
        <w:t>、</w:t>
      </w:r>
      <w:r>
        <w:rPr>
          <w:rFonts w:eastAsia="宋体"/>
          <w:szCs w:val="21"/>
        </w:rPr>
        <w:t>“</w:t>
      </w:r>
      <w:r>
        <w:rPr>
          <w:rFonts w:hAnsi="宋体" w:eastAsia="宋体"/>
          <w:szCs w:val="21"/>
        </w:rPr>
        <w:t>天</w:t>
      </w:r>
      <w:r>
        <w:rPr>
          <w:rFonts w:eastAsia="宋体"/>
          <w:szCs w:val="21"/>
        </w:rPr>
        <w:t>”</w:t>
      </w:r>
      <w:r>
        <w:rPr>
          <w:rFonts w:hAnsi="宋体" w:eastAsia="宋体"/>
          <w:szCs w:val="21"/>
        </w:rPr>
        <w:t>系指日历日。</w:t>
      </w:r>
      <w:bookmarkEnd w:id="126"/>
    </w:p>
    <w:p>
      <w:pPr>
        <w:pStyle w:val="5"/>
        <w:numPr>
          <w:ilvl w:val="0"/>
          <w:numId w:val="5"/>
        </w:numPr>
        <w:spacing w:before="100" w:line="293" w:lineRule="auto"/>
        <w:rPr>
          <w:rFonts w:ascii="Times New Roman" w:hAnsi="Times New Roman" w:eastAsia="宋体"/>
          <w:sz w:val="21"/>
          <w:szCs w:val="21"/>
        </w:rPr>
      </w:pPr>
      <w:bookmarkStart w:id="127" w:name="_Toc375564263"/>
      <w:bookmarkStart w:id="128" w:name="_Toc213049004"/>
      <w:bookmarkStart w:id="129" w:name="_Toc223786504"/>
      <w:bookmarkStart w:id="130" w:name="_Toc17241"/>
      <w:bookmarkStart w:id="131" w:name="_Toc305"/>
      <w:bookmarkStart w:id="132" w:name="_Toc7177"/>
      <w:r>
        <w:rPr>
          <w:rFonts w:ascii="Times New Roman" w:hAnsi="宋体" w:eastAsia="宋体"/>
          <w:sz w:val="21"/>
          <w:szCs w:val="21"/>
        </w:rPr>
        <w:t>投标人</w:t>
      </w:r>
      <w:bookmarkEnd w:id="127"/>
      <w:bookmarkEnd w:id="128"/>
      <w:bookmarkEnd w:id="129"/>
      <w:r>
        <w:rPr>
          <w:rFonts w:hint="eastAsia" w:ascii="Times New Roman" w:hAnsi="宋体" w:eastAsia="宋体"/>
          <w:sz w:val="21"/>
          <w:szCs w:val="21"/>
        </w:rPr>
        <w:t>资格要求</w:t>
      </w:r>
      <w:bookmarkEnd w:id="130"/>
      <w:bookmarkEnd w:id="131"/>
      <w:bookmarkEnd w:id="132"/>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Pr>
        <w:spacing w:before="100" w:line="293" w:lineRule="auto"/>
        <w:ind w:left="1134"/>
        <w:rPr>
          <w:rFonts w:eastAsia="宋体"/>
          <w:szCs w:val="21"/>
        </w:rPr>
      </w:pPr>
      <w:r>
        <w:rPr>
          <w:rFonts w:hAnsi="宋体" w:eastAsia="宋体"/>
          <w:szCs w:val="21"/>
        </w:rPr>
        <w:t>详见投标须知前附表。</w:t>
      </w:r>
    </w:p>
    <w:p>
      <w:pPr>
        <w:pStyle w:val="5"/>
        <w:numPr>
          <w:ilvl w:val="0"/>
          <w:numId w:val="5"/>
        </w:numPr>
        <w:spacing w:before="100" w:line="293" w:lineRule="auto"/>
        <w:rPr>
          <w:rFonts w:ascii="Times New Roman" w:hAnsi="Times New Roman" w:eastAsia="宋体"/>
          <w:sz w:val="21"/>
          <w:szCs w:val="21"/>
        </w:rPr>
      </w:pPr>
      <w:bookmarkStart w:id="133" w:name="_Toc68417330"/>
      <w:bookmarkStart w:id="134" w:name="_Toc213049006"/>
      <w:bookmarkStart w:id="135" w:name="_Toc223786506"/>
      <w:bookmarkStart w:id="136" w:name="_Toc118890507"/>
      <w:bookmarkStart w:id="137" w:name="_Toc119786467"/>
      <w:bookmarkStart w:id="138" w:name="_Toc65498359"/>
      <w:bookmarkStart w:id="139" w:name="_Toc65846689"/>
      <w:bookmarkStart w:id="140" w:name="_Toc65641113"/>
      <w:bookmarkStart w:id="141" w:name="_Toc65597738"/>
      <w:bookmarkStart w:id="142" w:name="_Toc11752"/>
      <w:bookmarkStart w:id="143" w:name="_Toc70094674"/>
      <w:bookmarkStart w:id="144" w:name="_Toc72583481"/>
      <w:bookmarkStart w:id="145" w:name="_Toc68407737"/>
      <w:bookmarkStart w:id="146" w:name="_Toc121182299"/>
      <w:bookmarkStart w:id="147" w:name="_Toc375564264"/>
      <w:bookmarkStart w:id="148" w:name="_Toc6234"/>
      <w:bookmarkStart w:id="149" w:name="_Toc118061512"/>
      <w:bookmarkStart w:id="150" w:name="_Toc121308029"/>
      <w:bookmarkStart w:id="151" w:name="_Toc7773"/>
      <w:bookmarkStart w:id="152" w:name="_Toc65420087"/>
      <w:bookmarkStart w:id="153" w:name="_Toc121830572"/>
      <w:r>
        <w:rPr>
          <w:rFonts w:ascii="Times New Roman" w:hAnsi="宋体" w:eastAsia="宋体"/>
          <w:sz w:val="21"/>
          <w:szCs w:val="21"/>
        </w:rPr>
        <w:t>投标费用</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tabs>
          <w:tab w:val="left" w:pos="8364"/>
        </w:tabs>
        <w:spacing w:before="100" w:line="293" w:lineRule="auto"/>
        <w:ind w:left="1134"/>
        <w:rPr>
          <w:rFonts w:eastAsia="宋体"/>
          <w:bCs/>
          <w:szCs w:val="21"/>
        </w:rPr>
      </w:pPr>
      <w:r>
        <w:rPr>
          <w:rFonts w:hAnsi="宋体" w:eastAsia="宋体"/>
          <w:bCs/>
          <w:szCs w:val="21"/>
        </w:rPr>
        <w:t>投标人应承担所有与准备和参加投标有关的费用。不论招标结果如何，</w:t>
      </w:r>
      <w:r>
        <w:rPr>
          <w:rFonts w:eastAsia="宋体"/>
          <w:bCs/>
          <w:szCs w:val="21"/>
        </w:rPr>
        <w:t>“</w:t>
      </w:r>
      <w:r>
        <w:rPr>
          <w:rFonts w:hAnsi="宋体" w:eastAsia="宋体"/>
          <w:bCs/>
          <w:szCs w:val="21"/>
        </w:rPr>
        <w:t>投标须知</w:t>
      </w:r>
      <w:r>
        <w:rPr>
          <w:rFonts w:eastAsia="宋体"/>
          <w:bCs/>
          <w:szCs w:val="21"/>
        </w:rPr>
        <w:t>”</w:t>
      </w:r>
      <w:r>
        <w:rPr>
          <w:rFonts w:hAnsi="宋体" w:eastAsia="宋体"/>
          <w:bCs/>
          <w:szCs w:val="21"/>
        </w:rPr>
        <w:t>中所述的招标代理机构和招标人均无义务和责任承担这些费用。</w:t>
      </w:r>
    </w:p>
    <w:p>
      <w:pPr>
        <w:pStyle w:val="5"/>
        <w:numPr>
          <w:ilvl w:val="0"/>
          <w:numId w:val="4"/>
        </w:numPr>
        <w:spacing w:before="100" w:line="293" w:lineRule="auto"/>
        <w:rPr>
          <w:rFonts w:ascii="Times New Roman" w:hAnsi="Times New Roman" w:eastAsia="宋体"/>
          <w:sz w:val="24"/>
          <w:szCs w:val="24"/>
        </w:rPr>
      </w:pPr>
      <w:bookmarkStart w:id="154" w:name="_Toc121182300"/>
      <w:bookmarkStart w:id="155" w:name="_Toc65498360"/>
      <w:bookmarkStart w:id="156" w:name="_Toc118890508"/>
      <w:bookmarkStart w:id="157" w:name="_Toc223786507"/>
      <w:bookmarkStart w:id="158" w:name="_Toc121308030"/>
      <w:bookmarkStart w:id="159" w:name="_Toc9965"/>
      <w:bookmarkStart w:id="160" w:name="_Toc65846690"/>
      <w:bookmarkStart w:id="161" w:name="_Toc68417331"/>
      <w:bookmarkStart w:id="162" w:name="_Toc119786468"/>
      <w:bookmarkStart w:id="163" w:name="_Toc213049007"/>
      <w:bookmarkStart w:id="164" w:name="_Toc72583482"/>
      <w:bookmarkStart w:id="165" w:name="_Toc121830573"/>
      <w:bookmarkStart w:id="166" w:name="_Toc375564265"/>
      <w:bookmarkStart w:id="167" w:name="_Toc65641114"/>
      <w:bookmarkStart w:id="168" w:name="_Toc55500017"/>
      <w:bookmarkStart w:id="169" w:name="_Toc70094675"/>
      <w:bookmarkStart w:id="170" w:name="_Toc118061513"/>
      <w:bookmarkStart w:id="171" w:name="_Toc65597739"/>
      <w:bookmarkStart w:id="172" w:name="_Toc68407738"/>
      <w:bookmarkStart w:id="173" w:name="_Toc65420088"/>
      <w:bookmarkStart w:id="174" w:name="_Toc14152"/>
      <w:r>
        <w:rPr>
          <w:rFonts w:ascii="Times New Roman" w:hAnsi="宋体" w:eastAsia="宋体"/>
          <w:sz w:val="24"/>
          <w:szCs w:val="24"/>
        </w:rPr>
        <w:t>招标文件</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5"/>
        <w:numPr>
          <w:ilvl w:val="0"/>
          <w:numId w:val="5"/>
        </w:numPr>
        <w:spacing w:before="100" w:line="293" w:lineRule="auto"/>
        <w:rPr>
          <w:rFonts w:ascii="Times New Roman" w:hAnsi="Times New Roman" w:eastAsia="宋体"/>
          <w:sz w:val="21"/>
          <w:szCs w:val="21"/>
        </w:rPr>
      </w:pPr>
      <w:bookmarkStart w:id="175" w:name="_Toc223786508"/>
      <w:bookmarkStart w:id="176" w:name="_Toc68407739"/>
      <w:bookmarkStart w:id="177" w:name="_Toc118890509"/>
      <w:bookmarkStart w:id="178" w:name="_Toc68417332"/>
      <w:bookmarkStart w:id="179" w:name="_Toc23584"/>
      <w:bookmarkStart w:id="180" w:name="_Toc65846691"/>
      <w:bookmarkStart w:id="181" w:name="_Toc121308031"/>
      <w:bookmarkStart w:id="182" w:name="_Toc65498361"/>
      <w:bookmarkStart w:id="183" w:name="_Toc65641115"/>
      <w:bookmarkStart w:id="184" w:name="_Toc375564266"/>
      <w:bookmarkStart w:id="185" w:name="_Toc65420089"/>
      <w:bookmarkStart w:id="186" w:name="_Toc70094676"/>
      <w:bookmarkStart w:id="187" w:name="_Toc121830574"/>
      <w:bookmarkStart w:id="188" w:name="_Toc19461"/>
      <w:bookmarkStart w:id="189" w:name="_Toc118061514"/>
      <w:bookmarkStart w:id="190" w:name="_Toc213049008"/>
      <w:bookmarkStart w:id="191" w:name="_Toc72583483"/>
      <w:bookmarkStart w:id="192" w:name="_Toc10406"/>
      <w:bookmarkStart w:id="193" w:name="_Toc65597740"/>
      <w:bookmarkStart w:id="194" w:name="_Toc121182301"/>
      <w:bookmarkStart w:id="195" w:name="_Toc119786469"/>
      <w:r>
        <w:rPr>
          <w:rFonts w:ascii="Times New Roman" w:hAnsi="宋体" w:eastAsia="宋体"/>
          <w:sz w:val="21"/>
          <w:szCs w:val="21"/>
        </w:rPr>
        <w:t>招标文件构成</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numPr>
          <w:ilvl w:val="1"/>
          <w:numId w:val="8"/>
        </w:numPr>
        <w:spacing w:before="100" w:line="293" w:lineRule="auto"/>
        <w:rPr>
          <w:rFonts w:eastAsia="宋体"/>
          <w:szCs w:val="21"/>
        </w:rPr>
      </w:pPr>
      <w:r>
        <w:rPr>
          <w:rFonts w:hAnsi="宋体" w:eastAsia="宋体"/>
          <w:szCs w:val="21"/>
        </w:rPr>
        <w:t>招标文件包括下列内容：</w:t>
      </w:r>
    </w:p>
    <w:p>
      <w:pPr>
        <w:numPr>
          <w:ilvl w:val="0"/>
          <w:numId w:val="9"/>
        </w:numPr>
        <w:spacing w:before="100" w:line="293" w:lineRule="auto"/>
        <w:ind w:left="1134" w:leftChars="540"/>
        <w:rPr>
          <w:rFonts w:eastAsia="宋体"/>
          <w:szCs w:val="21"/>
        </w:rPr>
      </w:pPr>
      <w:r>
        <w:rPr>
          <w:rFonts w:hint="eastAsia" w:hAnsi="宋体" w:eastAsia="宋体"/>
          <w:szCs w:val="21"/>
        </w:rPr>
        <w:t>招标公告</w:t>
      </w:r>
    </w:p>
    <w:p>
      <w:pPr>
        <w:numPr>
          <w:ilvl w:val="0"/>
          <w:numId w:val="9"/>
        </w:numPr>
        <w:spacing w:before="100" w:line="293" w:lineRule="auto"/>
        <w:ind w:left="1134" w:leftChars="540"/>
        <w:rPr>
          <w:rFonts w:eastAsia="宋体"/>
          <w:szCs w:val="21"/>
        </w:rPr>
      </w:pPr>
      <w:r>
        <w:rPr>
          <w:rFonts w:hAnsi="宋体" w:eastAsia="宋体"/>
          <w:szCs w:val="21"/>
        </w:rPr>
        <w:t>投标须知</w:t>
      </w:r>
    </w:p>
    <w:p>
      <w:pPr>
        <w:numPr>
          <w:ilvl w:val="0"/>
          <w:numId w:val="9"/>
        </w:numPr>
        <w:spacing w:before="100" w:line="293" w:lineRule="auto"/>
        <w:ind w:left="1134" w:leftChars="540"/>
        <w:rPr>
          <w:rFonts w:eastAsia="宋体"/>
          <w:szCs w:val="21"/>
        </w:rPr>
      </w:pPr>
      <w:r>
        <w:rPr>
          <w:rFonts w:hint="eastAsia" w:hAnsi="宋体" w:eastAsia="宋体"/>
          <w:szCs w:val="21"/>
        </w:rPr>
        <w:t>评标办法</w:t>
      </w:r>
    </w:p>
    <w:p>
      <w:pPr>
        <w:numPr>
          <w:ilvl w:val="0"/>
          <w:numId w:val="9"/>
        </w:numPr>
        <w:spacing w:before="100" w:line="293" w:lineRule="auto"/>
        <w:ind w:left="1134" w:leftChars="540"/>
        <w:rPr>
          <w:rFonts w:eastAsia="宋体"/>
          <w:szCs w:val="21"/>
        </w:rPr>
      </w:pPr>
      <w:r>
        <w:rPr>
          <w:rFonts w:hint="eastAsia" w:hAnsi="宋体" w:eastAsia="宋体"/>
          <w:szCs w:val="21"/>
        </w:rPr>
        <w:t>保险协议、共保协议及特别约定</w:t>
      </w:r>
    </w:p>
    <w:p>
      <w:pPr>
        <w:numPr>
          <w:ilvl w:val="0"/>
          <w:numId w:val="9"/>
        </w:numPr>
        <w:spacing w:before="100" w:line="293" w:lineRule="auto"/>
        <w:ind w:left="1134" w:leftChars="540"/>
        <w:rPr>
          <w:rFonts w:eastAsia="宋体"/>
          <w:szCs w:val="21"/>
        </w:rPr>
      </w:pPr>
      <w:r>
        <w:rPr>
          <w:rFonts w:hint="eastAsia" w:hAnsi="宋体" w:eastAsia="宋体"/>
          <w:szCs w:val="21"/>
        </w:rPr>
        <w:t>保险方案</w:t>
      </w:r>
    </w:p>
    <w:p>
      <w:pPr>
        <w:numPr>
          <w:ilvl w:val="0"/>
          <w:numId w:val="9"/>
        </w:numPr>
        <w:spacing w:before="100" w:line="293" w:lineRule="auto"/>
        <w:ind w:left="1134" w:leftChars="540"/>
        <w:rPr>
          <w:rFonts w:eastAsia="宋体"/>
          <w:szCs w:val="21"/>
        </w:rPr>
      </w:pPr>
      <w:r>
        <w:rPr>
          <w:rFonts w:hint="eastAsia" w:hAnsi="宋体" w:eastAsia="宋体"/>
          <w:szCs w:val="21"/>
        </w:rPr>
        <w:t>投标文件格式</w:t>
      </w:r>
    </w:p>
    <w:p>
      <w:pPr>
        <w:numPr>
          <w:ilvl w:val="1"/>
          <w:numId w:val="8"/>
        </w:numPr>
        <w:spacing w:before="100" w:line="293" w:lineRule="auto"/>
        <w:rPr>
          <w:rFonts w:eastAsia="宋体"/>
          <w:szCs w:val="21"/>
        </w:rPr>
      </w:pPr>
      <w:r>
        <w:rPr>
          <w:rFonts w:hAnsi="宋体" w:eastAsia="宋体"/>
          <w:szCs w:val="21"/>
        </w:rPr>
        <w:t>投标人应认真检阅招标文件中所有的章节、条款、格式、图纸、附表和附件等。如果在收到招标文件后发现有缺页、印刷不清楚或对其中内容不理解而未向招标方提出，由此导致的投标失误，其责任由投标人自负。</w:t>
      </w:r>
    </w:p>
    <w:p>
      <w:pPr>
        <w:numPr>
          <w:ilvl w:val="1"/>
          <w:numId w:val="8"/>
        </w:numPr>
        <w:spacing w:before="100" w:line="293" w:lineRule="auto"/>
        <w:rPr>
          <w:rFonts w:eastAsia="宋体"/>
          <w:szCs w:val="21"/>
        </w:rPr>
      </w:pPr>
      <w:r>
        <w:rPr>
          <w:rFonts w:hAnsi="宋体" w:eastAsia="宋体"/>
          <w:szCs w:val="21"/>
        </w:rPr>
        <w:t>投标人没有按照招标文件要求提交全部资料，或者投标没有对招标文件在各方面都作出实质性响应是投标人的风险，并可能导致其投标被否决。投标人在投标文件中提出的对招标文件的要求带有限制性的理解或注释将被视为没有全面响应招标文件的要求。</w:t>
      </w:r>
    </w:p>
    <w:p>
      <w:pPr>
        <w:pStyle w:val="5"/>
        <w:numPr>
          <w:ilvl w:val="0"/>
          <w:numId w:val="5"/>
        </w:numPr>
        <w:spacing w:before="100" w:line="293" w:lineRule="auto"/>
        <w:rPr>
          <w:rFonts w:ascii="Times New Roman" w:hAnsi="Times New Roman" w:eastAsia="宋体"/>
          <w:sz w:val="21"/>
          <w:szCs w:val="21"/>
        </w:rPr>
      </w:pPr>
      <w:bookmarkStart w:id="196" w:name="_Toc179087228"/>
      <w:bookmarkStart w:id="197" w:name="_Toc463840076"/>
      <w:bookmarkStart w:id="198" w:name="_Toc375564267"/>
      <w:bookmarkStart w:id="199" w:name="_Toc118208089"/>
      <w:bookmarkStart w:id="200" w:name="_Toc465683854"/>
      <w:bookmarkStart w:id="201" w:name="_Toc224010177"/>
      <w:bookmarkStart w:id="202" w:name="_Toc468781064"/>
      <w:bookmarkStart w:id="203" w:name="_Toc463840332"/>
      <w:bookmarkStart w:id="204" w:name="_Toc468512126"/>
      <w:bookmarkStart w:id="205" w:name="_Toc463842012"/>
      <w:bookmarkStart w:id="206" w:name="_Toc15539"/>
      <w:bookmarkStart w:id="207" w:name="_Toc468518920"/>
      <w:bookmarkStart w:id="208" w:name="_Toc3814"/>
      <w:bookmarkStart w:id="209" w:name="_Toc29122"/>
      <w:bookmarkStart w:id="210" w:name="_Toc466081561"/>
      <w:bookmarkStart w:id="211" w:name="_Toc167767439"/>
      <w:bookmarkStart w:id="212" w:name="_Toc179089583"/>
      <w:bookmarkStart w:id="213" w:name="_Toc192127007"/>
      <w:bookmarkStart w:id="214" w:name="_Toc468512313"/>
      <w:bookmarkStart w:id="215" w:name="_Toc15810998"/>
      <w:bookmarkStart w:id="216" w:name="_Toc468509328"/>
      <w:bookmarkStart w:id="217" w:name="_Toc167685202"/>
      <w:bookmarkStart w:id="218" w:name="_Toc176663477"/>
      <w:bookmarkStart w:id="219" w:name="_Toc463840857"/>
      <w:bookmarkStart w:id="220" w:name="_Toc118890510"/>
      <w:bookmarkStart w:id="221" w:name="_Toc65846692"/>
      <w:bookmarkStart w:id="222" w:name="_Toc223786509"/>
      <w:bookmarkStart w:id="223" w:name="_Toc65597741"/>
      <w:bookmarkStart w:id="224" w:name="_Toc65498362"/>
      <w:bookmarkStart w:id="225" w:name="_Toc118061515"/>
      <w:bookmarkStart w:id="226" w:name="_Toc70094677"/>
      <w:bookmarkStart w:id="227" w:name="_Toc68407740"/>
      <w:bookmarkStart w:id="228" w:name="_Toc121830575"/>
      <w:bookmarkStart w:id="229" w:name="_Toc213049009"/>
      <w:bookmarkStart w:id="230" w:name="_Toc65420090"/>
      <w:bookmarkStart w:id="231" w:name="_Toc121182302"/>
      <w:bookmarkStart w:id="232" w:name="_Toc68417333"/>
      <w:bookmarkStart w:id="233" w:name="_Toc119786470"/>
      <w:bookmarkStart w:id="234" w:name="_Toc121308032"/>
      <w:bookmarkStart w:id="235" w:name="_Toc72583484"/>
      <w:bookmarkStart w:id="236" w:name="_Toc65641116"/>
      <w:r>
        <w:rPr>
          <w:rFonts w:ascii="Times New Roman" w:hAnsi="宋体" w:eastAsia="宋体"/>
          <w:sz w:val="21"/>
          <w:szCs w:val="21"/>
        </w:rPr>
        <w:t>招标文件的澄清</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numPr>
          <w:ilvl w:val="1"/>
          <w:numId w:val="10"/>
        </w:numPr>
        <w:spacing w:before="100" w:line="293" w:lineRule="auto"/>
        <w:rPr>
          <w:rFonts w:hAnsi="宋体" w:eastAsia="宋体"/>
          <w:szCs w:val="21"/>
        </w:rPr>
      </w:pPr>
      <w:r>
        <w:rPr>
          <w:rFonts w:hAnsi="宋体" w:eastAsia="宋体"/>
          <w:szCs w:val="21"/>
        </w:rPr>
        <w:t>任何要求对招标文件进行澄清的投标人，应在投标须知前附表所规定的时间之前，以书面形式通知招标代理机构，同时以发电子邮件的形式提供电子版本文件。</w:t>
      </w:r>
    </w:p>
    <w:p>
      <w:pPr>
        <w:numPr>
          <w:ilvl w:val="1"/>
          <w:numId w:val="10"/>
        </w:numPr>
        <w:spacing w:before="100" w:line="293" w:lineRule="auto"/>
        <w:rPr>
          <w:rFonts w:eastAsia="宋体"/>
          <w:szCs w:val="21"/>
        </w:rPr>
      </w:pPr>
      <w:r>
        <w:rPr>
          <w:rFonts w:hAnsi="宋体" w:eastAsia="宋体"/>
          <w:szCs w:val="21"/>
        </w:rPr>
        <w:t>招标方将根据投标人的</w:t>
      </w:r>
      <w:r>
        <w:rPr>
          <w:rFonts w:hint="eastAsia" w:hAnsi="宋体" w:eastAsia="宋体"/>
          <w:szCs w:val="21"/>
        </w:rPr>
        <w:t>书面</w:t>
      </w:r>
      <w:r>
        <w:rPr>
          <w:rFonts w:hAnsi="宋体" w:eastAsia="宋体"/>
          <w:szCs w:val="21"/>
        </w:rPr>
        <w:t>澄清要求</w:t>
      </w:r>
      <w:r>
        <w:rPr>
          <w:rFonts w:hint="eastAsia" w:hAnsi="宋体" w:eastAsia="宋体"/>
          <w:szCs w:val="21"/>
        </w:rPr>
        <w:t>进行澄清答复</w:t>
      </w:r>
      <w:r>
        <w:rPr>
          <w:rFonts w:hAnsi="宋体" w:eastAsia="宋体"/>
          <w:szCs w:val="21"/>
        </w:rPr>
        <w:t>，招标方只答复与招标文件内容有关的问题，并有权对任何与招标文件无关的问题不作回答。</w:t>
      </w:r>
    </w:p>
    <w:p>
      <w:pPr>
        <w:numPr>
          <w:ilvl w:val="1"/>
          <w:numId w:val="10"/>
        </w:numPr>
        <w:spacing w:before="100" w:line="293" w:lineRule="auto"/>
        <w:rPr>
          <w:rFonts w:eastAsia="宋体"/>
          <w:szCs w:val="21"/>
        </w:rPr>
      </w:pPr>
      <w:r>
        <w:rPr>
          <w:rFonts w:hAnsi="宋体" w:eastAsia="宋体"/>
          <w:szCs w:val="21"/>
        </w:rPr>
        <w:t>招标方将澄清的答复内容进行整理，并以书面形式</w:t>
      </w:r>
      <w:r>
        <w:rPr>
          <w:rFonts w:hint="eastAsia" w:hAnsi="宋体" w:eastAsia="宋体"/>
          <w:szCs w:val="21"/>
        </w:rPr>
        <w:t>在发布招标公告的网址上发布</w:t>
      </w:r>
      <w:r>
        <w:rPr>
          <w:rFonts w:hAnsi="宋体" w:eastAsia="宋体"/>
          <w:szCs w:val="21"/>
        </w:rPr>
        <w:t>（答复中包括问题但不包括问题的来源）。该答复的内容为招标文件的组成部分。</w:t>
      </w:r>
    </w:p>
    <w:p>
      <w:pPr>
        <w:pStyle w:val="5"/>
        <w:numPr>
          <w:ilvl w:val="0"/>
          <w:numId w:val="5"/>
        </w:numPr>
        <w:spacing w:before="100" w:line="293" w:lineRule="auto"/>
        <w:rPr>
          <w:rFonts w:ascii="Times New Roman" w:hAnsi="Times New Roman" w:eastAsia="宋体"/>
          <w:sz w:val="21"/>
          <w:szCs w:val="21"/>
        </w:rPr>
      </w:pPr>
      <w:bookmarkStart w:id="237" w:name="_招标文件的修改"/>
      <w:bookmarkEnd w:id="237"/>
      <w:bookmarkStart w:id="238" w:name="_Toc3416"/>
      <w:bookmarkStart w:id="239" w:name="_Toc17547"/>
      <w:bookmarkStart w:id="240" w:name="_Toc375564268"/>
      <w:bookmarkStart w:id="241" w:name="_Toc29095"/>
      <w:bookmarkStart w:id="242" w:name="_Toc167767440"/>
      <w:bookmarkStart w:id="243" w:name="_Toc15810999"/>
      <w:bookmarkStart w:id="244" w:name="_Toc468512127"/>
      <w:bookmarkStart w:id="245" w:name="_Toc468781065"/>
      <w:bookmarkStart w:id="246" w:name="_Toc466081562"/>
      <w:bookmarkStart w:id="247" w:name="夏9"/>
      <w:bookmarkStart w:id="248" w:name="_Toc468518921"/>
      <w:bookmarkStart w:id="249" w:name="_Toc468509329"/>
      <w:bookmarkStart w:id="250" w:name="_Toc465683855"/>
      <w:bookmarkStart w:id="251" w:name="_Toc176663478"/>
      <w:bookmarkStart w:id="252" w:name="_Toc192127008"/>
      <w:bookmarkStart w:id="253" w:name="_Toc468512314"/>
      <w:bookmarkStart w:id="254" w:name="_Toc118208090"/>
      <w:bookmarkStart w:id="255" w:name="_Toc463840333"/>
      <w:bookmarkStart w:id="256" w:name="_Toc463840077"/>
      <w:bookmarkStart w:id="257" w:name="_Toc179087229"/>
      <w:bookmarkStart w:id="258" w:name="_Toc167685203"/>
      <w:bookmarkStart w:id="259" w:name="_Toc463842013"/>
      <w:bookmarkStart w:id="260" w:name="_Toc179089584"/>
      <w:bookmarkStart w:id="261" w:name="_Toc224010178"/>
      <w:bookmarkStart w:id="262" w:name="_Toc463840858"/>
      <w:r>
        <w:rPr>
          <w:rFonts w:ascii="Times New Roman" w:hAnsi="宋体" w:eastAsia="宋体"/>
          <w:sz w:val="21"/>
          <w:szCs w:val="21"/>
        </w:rPr>
        <w:t>招标文件的补遗或修改</w:t>
      </w:r>
      <w:bookmarkEnd w:id="238"/>
      <w:bookmarkEnd w:id="239"/>
      <w:bookmarkEnd w:id="240"/>
      <w:bookmarkEnd w:id="241"/>
    </w:p>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Pr>
        <w:numPr>
          <w:ilvl w:val="0"/>
          <w:numId w:val="11"/>
        </w:numPr>
        <w:spacing w:before="100" w:line="293" w:lineRule="auto"/>
        <w:rPr>
          <w:rFonts w:eastAsia="宋体"/>
        </w:rPr>
      </w:pPr>
      <w:r>
        <w:rPr>
          <w:rFonts w:hAnsi="宋体" w:eastAsia="宋体"/>
        </w:rPr>
        <w:t>在投标截止期前，无论出于何种原因，招标方可以主动或应投标人澄清要求对招标文件进行必要的补遗或修改。</w:t>
      </w:r>
    </w:p>
    <w:p>
      <w:pPr>
        <w:numPr>
          <w:ilvl w:val="0"/>
          <w:numId w:val="11"/>
        </w:numPr>
        <w:spacing w:before="100" w:line="293" w:lineRule="auto"/>
        <w:rPr>
          <w:rFonts w:eastAsia="宋体"/>
        </w:rPr>
      </w:pPr>
      <w:r>
        <w:rPr>
          <w:rFonts w:hAnsi="宋体" w:eastAsia="宋体"/>
        </w:rPr>
        <w:t>招标文件的补遗或修改通知是招标文件的组成部分，将以书面形式</w:t>
      </w:r>
      <w:r>
        <w:rPr>
          <w:rFonts w:hint="eastAsia" w:hAnsi="宋体" w:eastAsia="宋体"/>
        </w:rPr>
        <w:t>在发布招标公告的网址上发布</w:t>
      </w:r>
      <w:r>
        <w:rPr>
          <w:rFonts w:hAnsi="宋体" w:eastAsia="宋体"/>
        </w:rPr>
        <w:t>，并对投标人具有约束力。</w:t>
      </w:r>
    </w:p>
    <w:p>
      <w:pPr>
        <w:numPr>
          <w:ilvl w:val="0"/>
          <w:numId w:val="11"/>
        </w:numPr>
        <w:spacing w:before="100" w:line="293" w:lineRule="auto"/>
        <w:rPr>
          <w:rFonts w:eastAsia="宋体"/>
        </w:rPr>
      </w:pPr>
      <w:r>
        <w:rPr>
          <w:rFonts w:hAnsi="宋体" w:eastAsia="宋体"/>
        </w:rPr>
        <w:t>当后发的补遗或修改通知与原招标文件或此前发出的补遗或修改通知之间存有不一致时，应以后发的补遗或修改通知为准。</w:t>
      </w:r>
    </w:p>
    <w:p>
      <w:pPr>
        <w:numPr>
          <w:ilvl w:val="0"/>
          <w:numId w:val="11"/>
        </w:numPr>
        <w:spacing w:before="100" w:line="293" w:lineRule="auto"/>
        <w:rPr>
          <w:rFonts w:eastAsia="宋体"/>
        </w:rPr>
      </w:pPr>
      <w:r>
        <w:rPr>
          <w:rFonts w:hAnsi="宋体" w:eastAsia="宋体"/>
        </w:rPr>
        <w:t>为使投标人准备投标时有充分时间对招标文件的补遗或修改部分进行研究，招标方可适当推迟投标截止期。</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Fonts w:hAnsi="宋体" w:eastAsia="宋体"/>
        </w:rPr>
        <w:t>投标截止期距最后发出</w:t>
      </w:r>
      <w:r>
        <w:rPr>
          <w:rFonts w:hAnsi="宋体" w:eastAsia="宋体"/>
          <w:szCs w:val="21"/>
        </w:rPr>
        <w:t>招标文件的答疑文件、补充文件、修改文件</w:t>
      </w:r>
      <w:r>
        <w:rPr>
          <w:rFonts w:hAnsi="宋体" w:eastAsia="宋体"/>
        </w:rPr>
        <w:t>的日期不少于</w:t>
      </w:r>
      <w:r>
        <w:rPr>
          <w:rFonts w:eastAsia="宋体"/>
        </w:rPr>
        <w:t>15</w:t>
      </w:r>
      <w:r>
        <w:rPr>
          <w:rFonts w:hAnsi="宋体" w:eastAsia="宋体"/>
        </w:rPr>
        <w:t>天。</w:t>
      </w:r>
      <w:r>
        <w:rPr>
          <w:rFonts w:hint="eastAsia" w:hAnsi="宋体" w:eastAsia="宋体"/>
        </w:rPr>
        <w:t>答疑文件、补充文件、修改文件将在招标公告的发布网站发布。</w:t>
      </w:r>
    </w:p>
    <w:p>
      <w:pPr>
        <w:pStyle w:val="5"/>
        <w:numPr>
          <w:ilvl w:val="0"/>
          <w:numId w:val="4"/>
        </w:numPr>
        <w:spacing w:before="100" w:line="293" w:lineRule="auto"/>
        <w:rPr>
          <w:rFonts w:ascii="Times New Roman" w:hAnsi="Times New Roman" w:eastAsia="宋体"/>
          <w:sz w:val="24"/>
          <w:szCs w:val="24"/>
        </w:rPr>
      </w:pPr>
      <w:bookmarkStart w:id="263" w:name="_Toc65498364"/>
      <w:bookmarkStart w:id="264" w:name="_Toc10784"/>
      <w:bookmarkStart w:id="265" w:name="_Toc65846694"/>
      <w:bookmarkStart w:id="266" w:name="_Toc213049011"/>
      <w:bookmarkStart w:id="267" w:name="_Toc68407742"/>
      <w:bookmarkStart w:id="268" w:name="_Toc68417335"/>
      <w:bookmarkStart w:id="269" w:name="_Toc121182304"/>
      <w:bookmarkStart w:id="270" w:name="_Toc121308034"/>
      <w:bookmarkStart w:id="271" w:name="_Toc65420092"/>
      <w:bookmarkStart w:id="272" w:name="_Toc121830577"/>
      <w:bookmarkStart w:id="273" w:name="_Toc55500018"/>
      <w:bookmarkStart w:id="274" w:name="_Toc118061517"/>
      <w:bookmarkStart w:id="275" w:name="_Toc70094679"/>
      <w:bookmarkStart w:id="276" w:name="_Toc223786511"/>
      <w:bookmarkStart w:id="277" w:name="_Toc119786472"/>
      <w:bookmarkStart w:id="278" w:name="_Toc65641118"/>
      <w:bookmarkStart w:id="279" w:name="_Toc118890512"/>
      <w:bookmarkStart w:id="280" w:name="_Toc375564269"/>
      <w:bookmarkStart w:id="281" w:name="_Toc65597743"/>
      <w:bookmarkStart w:id="282" w:name="_Toc72583486"/>
      <w:bookmarkStart w:id="283" w:name="_Toc2359"/>
      <w:r>
        <w:rPr>
          <w:rFonts w:ascii="Times New Roman" w:hAnsi="宋体" w:eastAsia="宋体"/>
          <w:sz w:val="24"/>
          <w:szCs w:val="24"/>
        </w:rPr>
        <w:t>投标文件的编制</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5"/>
        <w:numPr>
          <w:ilvl w:val="0"/>
          <w:numId w:val="5"/>
        </w:numPr>
        <w:spacing w:before="100" w:line="293" w:lineRule="auto"/>
        <w:rPr>
          <w:rFonts w:ascii="Times New Roman" w:hAnsi="Times New Roman" w:eastAsia="宋体"/>
          <w:sz w:val="21"/>
          <w:szCs w:val="21"/>
        </w:rPr>
      </w:pPr>
      <w:bookmarkStart w:id="284" w:name="_Toc10947"/>
      <w:bookmarkStart w:id="285" w:name="_Toc68407743"/>
      <w:bookmarkStart w:id="286" w:name="_Toc121182305"/>
      <w:bookmarkStart w:id="287" w:name="_Toc121308035"/>
      <w:bookmarkStart w:id="288" w:name="_Toc223786512"/>
      <w:bookmarkStart w:id="289" w:name="_Toc65498365"/>
      <w:bookmarkStart w:id="290" w:name="_Toc118890513"/>
      <w:bookmarkStart w:id="291" w:name="_Toc72583487"/>
      <w:bookmarkStart w:id="292" w:name="_Toc65597744"/>
      <w:bookmarkStart w:id="293" w:name="_Toc859"/>
      <w:bookmarkStart w:id="294" w:name="_Toc68417336"/>
      <w:bookmarkStart w:id="295" w:name="_Toc375564270"/>
      <w:bookmarkStart w:id="296" w:name="_Toc65641119"/>
      <w:bookmarkStart w:id="297" w:name="_Toc70094680"/>
      <w:bookmarkStart w:id="298" w:name="_Toc119786473"/>
      <w:bookmarkStart w:id="299" w:name="_Toc65846695"/>
      <w:bookmarkStart w:id="300" w:name="_Toc118061518"/>
      <w:bookmarkStart w:id="301" w:name="_Toc65420093"/>
      <w:bookmarkStart w:id="302" w:name="_Toc121830578"/>
      <w:bookmarkStart w:id="303" w:name="_Toc213049012"/>
      <w:bookmarkStart w:id="304" w:name="_Toc12272"/>
      <w:r>
        <w:rPr>
          <w:rFonts w:ascii="Times New Roman" w:hAnsi="宋体" w:eastAsia="宋体"/>
          <w:sz w:val="21"/>
          <w:szCs w:val="21"/>
        </w:rPr>
        <w:t>编制要求</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spacing w:before="100" w:line="293" w:lineRule="auto"/>
        <w:ind w:left="1134"/>
        <w:rPr>
          <w:rFonts w:eastAsia="宋体"/>
          <w:szCs w:val="21"/>
        </w:rPr>
      </w:pPr>
      <w:r>
        <w:rPr>
          <w:rFonts w:hAnsi="宋体" w:eastAsia="宋体"/>
          <w:szCs w:val="21"/>
        </w:rPr>
        <w:t>投标人应认真阅读招标文件的所有内容，按招标文件的要求提供投标文件，并保证提供的全部资料的真实性，以使其投标对招标文件作出实质性响应，否则，其投标将被否决。</w:t>
      </w:r>
    </w:p>
    <w:p>
      <w:pPr>
        <w:pStyle w:val="5"/>
        <w:numPr>
          <w:ilvl w:val="0"/>
          <w:numId w:val="5"/>
        </w:numPr>
        <w:spacing w:before="100" w:line="293" w:lineRule="auto"/>
        <w:rPr>
          <w:rFonts w:ascii="Times New Roman" w:hAnsi="Times New Roman" w:eastAsia="宋体"/>
          <w:sz w:val="21"/>
          <w:szCs w:val="21"/>
        </w:rPr>
      </w:pPr>
      <w:bookmarkStart w:id="305" w:name="_Toc11876"/>
      <w:bookmarkStart w:id="306" w:name="_Toc118208094"/>
      <w:bookmarkStart w:id="307" w:name="_Toc7903"/>
      <w:bookmarkStart w:id="308" w:name="_Toc192127012"/>
      <w:bookmarkStart w:id="309" w:name="_Toc468781068"/>
      <w:bookmarkStart w:id="310" w:name="_Toc176663482"/>
      <w:bookmarkStart w:id="311" w:name="_Toc463840080"/>
      <w:bookmarkStart w:id="312" w:name="_Toc179087232"/>
      <w:bookmarkStart w:id="313" w:name="_Toc468518924"/>
      <w:bookmarkStart w:id="314" w:name="_Toc167685206"/>
      <w:bookmarkStart w:id="315" w:name="_Toc15811003"/>
      <w:bookmarkStart w:id="316" w:name="_Toc167767444"/>
      <w:bookmarkStart w:id="317" w:name="_Toc463842016"/>
      <w:bookmarkStart w:id="318" w:name="_Toc463840861"/>
      <w:bookmarkStart w:id="319" w:name="_Toc466081565"/>
      <w:bookmarkStart w:id="320" w:name="_Toc463840336"/>
      <w:bookmarkStart w:id="321" w:name="_Toc224010181"/>
      <w:bookmarkStart w:id="322" w:name="_Toc468512130"/>
      <w:bookmarkStart w:id="323" w:name="_Toc373"/>
      <w:bookmarkStart w:id="324" w:name="_Toc468512317"/>
      <w:bookmarkStart w:id="325" w:name="_Toc375564271"/>
      <w:bookmarkStart w:id="326" w:name="_Toc468509332"/>
      <w:bookmarkStart w:id="327" w:name="_Toc179089587"/>
      <w:bookmarkStart w:id="328" w:name="_Toc465683858"/>
      <w:r>
        <w:rPr>
          <w:rFonts w:ascii="Times New Roman" w:hAnsi="宋体" w:eastAsia="宋体"/>
          <w:sz w:val="21"/>
          <w:szCs w:val="21"/>
        </w:rPr>
        <w:t>投标语言及计量单位</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numPr>
          <w:ilvl w:val="1"/>
          <w:numId w:val="12"/>
        </w:numPr>
        <w:spacing w:before="100" w:line="293" w:lineRule="auto"/>
        <w:rPr>
          <w:rFonts w:eastAsia="宋体"/>
          <w:szCs w:val="21"/>
        </w:rPr>
      </w:pPr>
      <w:r>
        <w:rPr>
          <w:rFonts w:hAnsi="宋体" w:eastAsia="宋体"/>
          <w:szCs w:val="21"/>
        </w:rPr>
        <w:t>投标人提交的投标文件以及投标人与招标人、招标代理机构就投标交换的文件和来往信件应以简体中文书写，同时允许投标文件附有英文版作为参考。如中文版本与英文版本有不同的解释时，以中文版本的解释为准。投标人提交的支持文件和印制的文献可以使用英文，但相应内容应附有中文翻译。</w:t>
      </w:r>
    </w:p>
    <w:p>
      <w:pPr>
        <w:numPr>
          <w:ilvl w:val="1"/>
          <w:numId w:val="12"/>
        </w:numPr>
        <w:spacing w:before="100" w:line="293" w:lineRule="auto"/>
        <w:rPr>
          <w:rFonts w:eastAsia="宋体"/>
          <w:szCs w:val="21"/>
        </w:rPr>
      </w:pPr>
      <w:r>
        <w:rPr>
          <w:rFonts w:hAnsi="宋体" w:eastAsia="宋体"/>
          <w:szCs w:val="21"/>
        </w:rPr>
        <w:t>除在招标文件另有规定外，计量单位应使用中华人民共和国法定计量单位。</w:t>
      </w:r>
    </w:p>
    <w:p>
      <w:pPr>
        <w:pStyle w:val="5"/>
        <w:numPr>
          <w:ilvl w:val="0"/>
          <w:numId w:val="5"/>
        </w:numPr>
        <w:spacing w:before="100" w:line="293" w:lineRule="auto"/>
        <w:rPr>
          <w:rFonts w:ascii="Times New Roman" w:hAnsi="Times New Roman" w:eastAsia="宋体"/>
          <w:sz w:val="21"/>
          <w:szCs w:val="21"/>
        </w:rPr>
      </w:pPr>
      <w:bookmarkStart w:id="329" w:name="_Toc498"/>
      <w:bookmarkStart w:id="330" w:name="_Toc375564272"/>
      <w:bookmarkStart w:id="331" w:name="_Toc30926"/>
      <w:bookmarkStart w:id="332" w:name="_Toc68417337"/>
      <w:bookmarkStart w:id="333" w:name="_Toc65420094"/>
      <w:bookmarkStart w:id="334" w:name="_Toc213049013"/>
      <w:bookmarkStart w:id="335" w:name="_Toc65498366"/>
      <w:bookmarkStart w:id="336" w:name="_Toc121308036"/>
      <w:bookmarkStart w:id="337" w:name="_Toc121830579"/>
      <w:bookmarkStart w:id="338" w:name="_Toc65597745"/>
      <w:bookmarkStart w:id="339" w:name="_Toc65641120"/>
      <w:bookmarkStart w:id="340" w:name="_Toc70094681"/>
      <w:bookmarkStart w:id="341" w:name="_Toc21001"/>
      <w:bookmarkStart w:id="342" w:name="_Toc68407744"/>
      <w:bookmarkStart w:id="343" w:name="_Toc65846696"/>
      <w:bookmarkStart w:id="344" w:name="_Toc121182306"/>
      <w:bookmarkStart w:id="345" w:name="_Toc72583488"/>
      <w:bookmarkStart w:id="346" w:name="_Toc118890514"/>
      <w:bookmarkStart w:id="347" w:name="_Toc118061519"/>
      <w:bookmarkStart w:id="348" w:name="_Toc119786474"/>
      <w:bookmarkStart w:id="349" w:name="_Toc223786513"/>
      <w:r>
        <w:rPr>
          <w:rFonts w:ascii="Times New Roman" w:hAnsi="宋体" w:eastAsia="宋体"/>
          <w:sz w:val="21"/>
          <w:szCs w:val="21"/>
        </w:rPr>
        <w:t>投标文件组成</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spacing w:before="100" w:line="293" w:lineRule="auto"/>
        <w:ind w:left="1134" w:leftChars="540"/>
        <w:rPr>
          <w:rFonts w:eastAsia="宋体"/>
          <w:szCs w:val="21"/>
        </w:rPr>
      </w:pPr>
      <w:r>
        <w:rPr>
          <w:rFonts w:hAnsi="宋体" w:eastAsia="宋体"/>
          <w:szCs w:val="21"/>
        </w:rPr>
        <w:t>投标文件应提供足够、准确和真实的信息，以供评标委员会判断投标人是否具备承担本项目的能力。投标人递交的投标文件应包括（但不限于）下列部分（格式见第</w:t>
      </w:r>
      <w:r>
        <w:rPr>
          <w:rFonts w:hint="eastAsia" w:hAnsi="宋体" w:eastAsia="宋体"/>
          <w:szCs w:val="21"/>
        </w:rPr>
        <w:t>六</w:t>
      </w:r>
      <w:r>
        <w:rPr>
          <w:rFonts w:hAnsi="宋体" w:eastAsia="宋体"/>
          <w:szCs w:val="21"/>
        </w:rPr>
        <w:t>章投标文件格式）：</w:t>
      </w:r>
    </w:p>
    <w:p>
      <w:pPr>
        <w:numPr>
          <w:ilvl w:val="1"/>
          <w:numId w:val="13"/>
        </w:numPr>
        <w:tabs>
          <w:tab w:val="left" w:pos="8364"/>
        </w:tabs>
        <w:spacing w:before="100" w:line="293" w:lineRule="auto"/>
        <w:rPr>
          <w:rFonts w:eastAsia="宋体"/>
          <w:szCs w:val="21"/>
        </w:rPr>
      </w:pPr>
      <w:r>
        <w:rPr>
          <w:rFonts w:hAnsi="宋体" w:eastAsia="宋体"/>
          <w:szCs w:val="21"/>
        </w:rPr>
        <w:t>资格审查部分</w:t>
      </w:r>
    </w:p>
    <w:p>
      <w:pPr>
        <w:numPr>
          <w:ilvl w:val="1"/>
          <w:numId w:val="13"/>
        </w:numPr>
        <w:tabs>
          <w:tab w:val="left" w:pos="8364"/>
        </w:tabs>
        <w:spacing w:before="100" w:line="293" w:lineRule="auto"/>
        <w:rPr>
          <w:rFonts w:eastAsia="宋体"/>
          <w:szCs w:val="21"/>
        </w:rPr>
      </w:pPr>
      <w:r>
        <w:rPr>
          <w:rFonts w:hAnsi="宋体" w:eastAsia="宋体"/>
          <w:szCs w:val="21"/>
        </w:rPr>
        <w:t>资信部分</w:t>
      </w:r>
    </w:p>
    <w:p>
      <w:pPr>
        <w:numPr>
          <w:ilvl w:val="1"/>
          <w:numId w:val="13"/>
        </w:numPr>
        <w:tabs>
          <w:tab w:val="left" w:pos="8364"/>
        </w:tabs>
        <w:spacing w:before="100" w:line="293" w:lineRule="auto"/>
        <w:rPr>
          <w:rFonts w:eastAsia="宋体"/>
          <w:szCs w:val="21"/>
        </w:rPr>
      </w:pPr>
      <w:r>
        <w:rPr>
          <w:rFonts w:hAnsi="宋体" w:eastAsia="宋体"/>
          <w:szCs w:val="21"/>
        </w:rPr>
        <w:t>技术部分</w:t>
      </w:r>
    </w:p>
    <w:p>
      <w:pPr>
        <w:numPr>
          <w:ilvl w:val="1"/>
          <w:numId w:val="13"/>
        </w:numPr>
        <w:tabs>
          <w:tab w:val="left" w:pos="8364"/>
        </w:tabs>
        <w:spacing w:before="100" w:line="293" w:lineRule="auto"/>
        <w:rPr>
          <w:rFonts w:hAnsi="宋体" w:eastAsia="宋体"/>
          <w:szCs w:val="21"/>
        </w:rPr>
      </w:pPr>
      <w:r>
        <w:rPr>
          <w:rFonts w:hint="eastAsia" w:hAnsi="宋体" w:eastAsia="宋体"/>
          <w:szCs w:val="21"/>
        </w:rPr>
        <w:t>报价</w:t>
      </w:r>
      <w:r>
        <w:rPr>
          <w:rFonts w:hAnsi="宋体" w:eastAsia="宋体"/>
          <w:szCs w:val="21"/>
        </w:rPr>
        <w:t>部分</w:t>
      </w:r>
    </w:p>
    <w:p>
      <w:pPr>
        <w:numPr>
          <w:ilvl w:val="1"/>
          <w:numId w:val="13"/>
        </w:numPr>
        <w:tabs>
          <w:tab w:val="left" w:pos="8364"/>
        </w:tabs>
        <w:spacing w:before="100" w:line="293" w:lineRule="auto"/>
        <w:rPr>
          <w:rFonts w:eastAsia="宋体"/>
          <w:szCs w:val="21"/>
        </w:rPr>
      </w:pPr>
      <w:r>
        <w:rPr>
          <w:rFonts w:hAnsi="宋体" w:eastAsia="宋体"/>
          <w:szCs w:val="21"/>
        </w:rPr>
        <w:t>电子文件</w:t>
      </w:r>
    </w:p>
    <w:p>
      <w:pPr>
        <w:numPr>
          <w:ilvl w:val="0"/>
          <w:numId w:val="14"/>
        </w:numPr>
        <w:tabs>
          <w:tab w:val="left" w:pos="8364"/>
        </w:tabs>
        <w:spacing w:before="100" w:line="293" w:lineRule="auto"/>
        <w:ind w:right="-57" w:rightChars="-27"/>
        <w:rPr>
          <w:rFonts w:eastAsia="宋体"/>
          <w:szCs w:val="21"/>
        </w:rPr>
      </w:pPr>
      <w:r>
        <w:rPr>
          <w:rFonts w:hAnsi="宋体" w:eastAsia="宋体"/>
          <w:szCs w:val="21"/>
        </w:rPr>
        <w:t>包含全部投标文件内容的电子文件</w:t>
      </w:r>
      <w:r>
        <w:rPr>
          <w:rFonts w:hint="eastAsia" w:hAnsi="宋体" w:eastAsia="宋体"/>
          <w:szCs w:val="21"/>
        </w:rPr>
        <w:t>两</w:t>
      </w:r>
      <w:r>
        <w:rPr>
          <w:rFonts w:hAnsi="宋体" w:eastAsia="宋体"/>
          <w:szCs w:val="21"/>
        </w:rPr>
        <w:t>套（</w:t>
      </w:r>
      <w:r>
        <w:rPr>
          <w:rFonts w:eastAsia="宋体"/>
          <w:szCs w:val="21"/>
        </w:rPr>
        <w:t>U</w:t>
      </w:r>
      <w:r>
        <w:rPr>
          <w:rFonts w:hAnsi="宋体" w:eastAsia="宋体"/>
          <w:szCs w:val="21"/>
        </w:rPr>
        <w:t>盘、光盘各一套）。</w:t>
      </w:r>
    </w:p>
    <w:p>
      <w:pPr>
        <w:numPr>
          <w:ilvl w:val="0"/>
          <w:numId w:val="14"/>
        </w:numPr>
        <w:tabs>
          <w:tab w:val="left" w:pos="8364"/>
        </w:tabs>
        <w:spacing w:before="100" w:line="293" w:lineRule="auto"/>
        <w:ind w:right="-57" w:rightChars="-27"/>
        <w:rPr>
          <w:rFonts w:eastAsia="宋体"/>
          <w:szCs w:val="21"/>
        </w:rPr>
      </w:pPr>
      <w:r>
        <w:rPr>
          <w:rFonts w:hAnsi="宋体" w:eastAsia="宋体"/>
          <w:szCs w:val="21"/>
        </w:rPr>
        <w:t>电子文件与文本文件应完全一致。所有电子文档不允许压缩、设置密码</w:t>
      </w:r>
      <w:r>
        <w:rPr>
          <w:rFonts w:hint="eastAsia" w:hAnsi="宋体" w:eastAsia="宋体"/>
          <w:szCs w:val="21"/>
        </w:rPr>
        <w:t>，</w:t>
      </w:r>
      <w:r>
        <w:rPr>
          <w:rFonts w:hAnsi="宋体" w:eastAsia="宋体"/>
          <w:szCs w:val="21"/>
        </w:rPr>
        <w:t>并以可编写格式制作</w:t>
      </w:r>
      <w:r>
        <w:rPr>
          <w:rFonts w:hint="eastAsia" w:hAnsi="宋体" w:eastAsia="宋体"/>
          <w:szCs w:val="21"/>
        </w:rPr>
        <w:t>（</w:t>
      </w:r>
      <w:r>
        <w:rPr>
          <w:rFonts w:hint="eastAsia" w:eastAsia="宋体"/>
        </w:rPr>
        <w:t>PDF扫描版本除外</w:t>
      </w:r>
      <w:r>
        <w:rPr>
          <w:rFonts w:hint="eastAsia" w:hAnsi="宋体" w:eastAsia="宋体"/>
          <w:szCs w:val="21"/>
        </w:rPr>
        <w:t>）</w:t>
      </w:r>
      <w:r>
        <w:rPr>
          <w:rFonts w:hAnsi="宋体" w:eastAsia="宋体"/>
          <w:szCs w:val="21"/>
        </w:rPr>
        <w:t>，所有有关价格信息用</w:t>
      </w:r>
      <w:r>
        <w:rPr>
          <w:rFonts w:eastAsia="宋体"/>
          <w:szCs w:val="21"/>
        </w:rPr>
        <w:t>EXCEL</w:t>
      </w:r>
      <w:r>
        <w:rPr>
          <w:rFonts w:hAnsi="宋体" w:eastAsia="宋体"/>
          <w:szCs w:val="21"/>
        </w:rPr>
        <w:t>格式提供。</w:t>
      </w:r>
    </w:p>
    <w:p>
      <w:pPr>
        <w:numPr>
          <w:ilvl w:val="1"/>
          <w:numId w:val="13"/>
        </w:numPr>
        <w:tabs>
          <w:tab w:val="left" w:pos="8364"/>
        </w:tabs>
        <w:spacing w:before="100" w:line="293" w:lineRule="auto"/>
        <w:rPr>
          <w:rFonts w:eastAsia="宋体"/>
          <w:b/>
          <w:szCs w:val="21"/>
        </w:rPr>
      </w:pPr>
      <w:r>
        <w:rPr>
          <w:rFonts w:hAnsi="宋体" w:eastAsia="宋体"/>
          <w:b/>
          <w:szCs w:val="21"/>
        </w:rPr>
        <w:t>资格审查部分、资信部分和技术部分中不得透露有关报价的任何信息，否则导致其投标被否决。</w:t>
      </w:r>
    </w:p>
    <w:p>
      <w:pPr>
        <w:pStyle w:val="5"/>
        <w:numPr>
          <w:ilvl w:val="0"/>
          <w:numId w:val="5"/>
        </w:numPr>
        <w:spacing w:before="100" w:line="293" w:lineRule="auto"/>
        <w:rPr>
          <w:rFonts w:ascii="Times New Roman" w:hAnsi="Times New Roman" w:eastAsia="宋体"/>
          <w:sz w:val="21"/>
          <w:szCs w:val="21"/>
        </w:rPr>
      </w:pPr>
      <w:bookmarkStart w:id="350" w:name="_Toc463840338"/>
      <w:bookmarkStart w:id="351" w:name="_Toc463840863"/>
      <w:bookmarkStart w:id="352" w:name="_Toc468512132"/>
      <w:bookmarkStart w:id="353" w:name="_Toc167685208"/>
      <w:bookmarkStart w:id="354" w:name="_Toc375564273"/>
      <w:bookmarkStart w:id="355" w:name="_Toc463840082"/>
      <w:bookmarkStart w:id="356" w:name="_Toc15811005"/>
      <w:bookmarkStart w:id="357" w:name="_Toc463842018"/>
      <w:bookmarkStart w:id="358" w:name="_Toc179087234"/>
      <w:bookmarkStart w:id="359" w:name="_Toc192127014"/>
      <w:bookmarkStart w:id="360" w:name="_Toc176663484"/>
      <w:bookmarkStart w:id="361" w:name="_Toc10218"/>
      <w:bookmarkStart w:id="362" w:name="_Toc468518926"/>
      <w:bookmarkStart w:id="363" w:name="_Toc179089589"/>
      <w:bookmarkStart w:id="364" w:name="_Toc4274"/>
      <w:bookmarkStart w:id="365" w:name="_Toc167767446"/>
      <w:bookmarkStart w:id="366" w:name="_Toc468781070"/>
      <w:bookmarkStart w:id="367" w:name="_Toc3675"/>
      <w:bookmarkStart w:id="368" w:name="_Toc465683860"/>
      <w:bookmarkStart w:id="369" w:name="_Toc118208096"/>
      <w:bookmarkStart w:id="370" w:name="_Toc468512319"/>
      <w:bookmarkStart w:id="371" w:name="_Toc468509334"/>
      <w:bookmarkStart w:id="372" w:name="_Toc224010183"/>
      <w:bookmarkStart w:id="373" w:name="_Toc466081567"/>
      <w:bookmarkStart w:id="374" w:name="_Toc72583489"/>
      <w:bookmarkStart w:id="375" w:name="_Toc119786475"/>
      <w:bookmarkStart w:id="376" w:name="_Toc223786514"/>
      <w:bookmarkStart w:id="377" w:name="_Toc118061520"/>
      <w:bookmarkStart w:id="378" w:name="_Toc121830580"/>
      <w:bookmarkStart w:id="379" w:name="_Toc118890515"/>
      <w:bookmarkStart w:id="380" w:name="_Toc68407745"/>
      <w:bookmarkStart w:id="381" w:name="_Toc65498367"/>
      <w:bookmarkStart w:id="382" w:name="_Toc65846697"/>
      <w:bookmarkStart w:id="383" w:name="_Toc121308037"/>
      <w:bookmarkStart w:id="384" w:name="_Toc65641121"/>
      <w:bookmarkStart w:id="385" w:name="_Toc70094682"/>
      <w:bookmarkStart w:id="386" w:name="_Toc121182307"/>
      <w:bookmarkStart w:id="387" w:name="_Toc65597746"/>
      <w:bookmarkStart w:id="388" w:name="_Toc213049014"/>
      <w:bookmarkStart w:id="389" w:name="_Toc68417338"/>
      <w:bookmarkStart w:id="390" w:name="_Toc65420095"/>
      <w:r>
        <w:rPr>
          <w:rFonts w:ascii="Times New Roman" w:hAnsi="宋体" w:eastAsia="宋体"/>
          <w:sz w:val="21"/>
          <w:szCs w:val="21"/>
        </w:rPr>
        <w:t>投标文件格式</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numPr>
          <w:ilvl w:val="1"/>
          <w:numId w:val="15"/>
        </w:numPr>
        <w:tabs>
          <w:tab w:val="left" w:pos="8364"/>
        </w:tabs>
        <w:spacing w:before="100" w:line="293" w:lineRule="auto"/>
        <w:rPr>
          <w:rFonts w:eastAsia="宋体"/>
          <w:szCs w:val="21"/>
        </w:rPr>
      </w:pPr>
      <w:r>
        <w:rPr>
          <w:rFonts w:hAnsi="宋体" w:eastAsia="宋体"/>
          <w:szCs w:val="21"/>
        </w:rPr>
        <w:t>投标人应按本投标须知第</w:t>
      </w:r>
      <w:r>
        <w:rPr>
          <w:rFonts w:eastAsia="宋体"/>
          <w:szCs w:val="21"/>
        </w:rPr>
        <w:t>10</w:t>
      </w:r>
      <w:r>
        <w:rPr>
          <w:rFonts w:hAnsi="宋体" w:eastAsia="宋体"/>
          <w:szCs w:val="21"/>
        </w:rPr>
        <w:t>条的内容与要求和提供的格式编写其投标文件，投标人不得缺少或留空任何招标文件要求填写的表格或提交的资料。</w:t>
      </w:r>
    </w:p>
    <w:p>
      <w:pPr>
        <w:numPr>
          <w:ilvl w:val="1"/>
          <w:numId w:val="15"/>
        </w:numPr>
        <w:tabs>
          <w:tab w:val="left" w:pos="8364"/>
        </w:tabs>
        <w:spacing w:before="100" w:line="293" w:lineRule="auto"/>
        <w:rPr>
          <w:rFonts w:eastAsia="宋体"/>
          <w:szCs w:val="21"/>
        </w:rPr>
      </w:pPr>
      <w:r>
        <w:rPr>
          <w:rFonts w:hAnsi="宋体" w:eastAsia="宋体"/>
          <w:szCs w:val="21"/>
        </w:rPr>
        <w:t>投标人应将投标文件按本投标须知第</w:t>
      </w:r>
      <w:r>
        <w:rPr>
          <w:rFonts w:eastAsia="宋体"/>
          <w:szCs w:val="21"/>
        </w:rPr>
        <w:t>10</w:t>
      </w:r>
      <w:r>
        <w:rPr>
          <w:rFonts w:hAnsi="宋体" w:eastAsia="宋体"/>
          <w:szCs w:val="21"/>
        </w:rPr>
        <w:t>条规定的顺序编排、编制目录、逐页标注连续页码、并装订成册，各分册前须有分册目录。</w:t>
      </w:r>
    </w:p>
    <w:p>
      <w:pPr>
        <w:numPr>
          <w:ilvl w:val="1"/>
          <w:numId w:val="15"/>
        </w:numPr>
        <w:tabs>
          <w:tab w:val="left" w:pos="8364"/>
        </w:tabs>
        <w:spacing w:before="100" w:line="293" w:lineRule="auto"/>
        <w:rPr>
          <w:rFonts w:eastAsia="宋体"/>
          <w:szCs w:val="21"/>
        </w:rPr>
      </w:pPr>
      <w:r>
        <w:rPr>
          <w:rFonts w:hAnsi="宋体" w:eastAsia="宋体"/>
          <w:szCs w:val="21"/>
        </w:rPr>
        <w:t>投标文件的规格：统一为</w:t>
      </w:r>
      <w:r>
        <w:rPr>
          <w:rFonts w:eastAsia="宋体"/>
          <w:szCs w:val="21"/>
        </w:rPr>
        <w:t>A4</w:t>
      </w:r>
      <w:r>
        <w:rPr>
          <w:rFonts w:hAnsi="宋体" w:eastAsia="宋体"/>
          <w:szCs w:val="21"/>
        </w:rPr>
        <w:t>印刷本，纸质封面，印刷本厚度要求控制在</w:t>
      </w:r>
      <w:r>
        <w:rPr>
          <w:rFonts w:eastAsia="宋体"/>
          <w:szCs w:val="21"/>
        </w:rPr>
        <w:t>7</w:t>
      </w:r>
      <w:r>
        <w:rPr>
          <w:rFonts w:hAnsi="宋体" w:eastAsia="宋体"/>
          <w:szCs w:val="21"/>
        </w:rPr>
        <w:t>公分以内，超过厚度则分册装订。封面标明</w:t>
      </w:r>
      <w:r>
        <w:rPr>
          <w:rFonts w:hint="eastAsia" w:hAnsi="宋体" w:eastAsia="宋体"/>
          <w:szCs w:val="21"/>
        </w:rPr>
        <w:t>项目名称</w:t>
      </w:r>
      <w:r>
        <w:rPr>
          <w:rFonts w:hAnsi="宋体" w:eastAsia="宋体"/>
          <w:szCs w:val="21"/>
        </w:rPr>
        <w:t>、</w:t>
      </w:r>
      <w:r>
        <w:rPr>
          <w:rFonts w:hint="eastAsia" w:hAnsi="宋体" w:eastAsia="宋体"/>
          <w:szCs w:val="21"/>
        </w:rPr>
        <w:t>招标</w:t>
      </w:r>
      <w:r>
        <w:rPr>
          <w:rFonts w:hAnsi="宋体" w:eastAsia="宋体"/>
          <w:szCs w:val="21"/>
        </w:rPr>
        <w:t>编号、投标人名称、投标</w:t>
      </w:r>
      <w:r>
        <w:rPr>
          <w:rFonts w:hint="eastAsia" w:hAnsi="宋体" w:eastAsia="宋体"/>
          <w:szCs w:val="21"/>
        </w:rPr>
        <w:t>日期</w:t>
      </w:r>
      <w:r>
        <w:rPr>
          <w:rFonts w:hAnsi="宋体" w:eastAsia="宋体"/>
          <w:szCs w:val="21"/>
        </w:rPr>
        <w:t>，</w:t>
      </w:r>
      <w:r>
        <w:rPr>
          <w:rFonts w:hAnsi="宋体" w:eastAsia="宋体"/>
        </w:rPr>
        <w:t>同时加盖公章并由法定代表人（负责人）或其</w:t>
      </w:r>
      <w:r>
        <w:rPr>
          <w:rFonts w:hint="eastAsia" w:hAnsi="宋体" w:eastAsia="宋体"/>
        </w:rPr>
        <w:t>授权代理人</w:t>
      </w:r>
      <w:r>
        <w:rPr>
          <w:rFonts w:hAnsi="宋体" w:eastAsia="宋体"/>
        </w:rPr>
        <w:t>签字或盖章</w:t>
      </w:r>
      <w:r>
        <w:rPr>
          <w:rFonts w:hAnsi="宋体" w:eastAsia="宋体"/>
          <w:szCs w:val="21"/>
        </w:rPr>
        <w:t>，且须清楚地标明</w:t>
      </w:r>
      <w:r>
        <w:rPr>
          <w:rFonts w:eastAsia="宋体"/>
          <w:szCs w:val="21"/>
        </w:rPr>
        <w:t>“</w:t>
      </w:r>
      <w:r>
        <w:rPr>
          <w:rFonts w:hAnsi="宋体" w:eastAsia="宋体"/>
          <w:szCs w:val="21"/>
        </w:rPr>
        <w:t>正本</w:t>
      </w:r>
      <w:r>
        <w:rPr>
          <w:rFonts w:eastAsia="宋体"/>
          <w:szCs w:val="21"/>
        </w:rPr>
        <w:t>”</w:t>
      </w:r>
      <w:r>
        <w:rPr>
          <w:rFonts w:hAnsi="宋体" w:eastAsia="宋体"/>
          <w:szCs w:val="21"/>
        </w:rPr>
        <w:t>、</w:t>
      </w:r>
      <w:r>
        <w:rPr>
          <w:rFonts w:eastAsia="宋体"/>
          <w:szCs w:val="21"/>
        </w:rPr>
        <w:t>“</w:t>
      </w:r>
      <w:r>
        <w:rPr>
          <w:rFonts w:hAnsi="宋体" w:eastAsia="宋体"/>
          <w:szCs w:val="21"/>
        </w:rPr>
        <w:t>副本</w:t>
      </w:r>
      <w:r>
        <w:rPr>
          <w:rFonts w:eastAsia="宋体"/>
          <w:szCs w:val="21"/>
        </w:rPr>
        <w:t>”</w:t>
      </w:r>
      <w:r>
        <w:rPr>
          <w:rFonts w:hAnsi="宋体" w:eastAsia="宋体"/>
          <w:szCs w:val="21"/>
        </w:rPr>
        <w:t>或</w:t>
      </w:r>
      <w:r>
        <w:rPr>
          <w:rFonts w:eastAsia="宋体"/>
          <w:szCs w:val="21"/>
        </w:rPr>
        <w:t>“</w:t>
      </w:r>
      <w:r>
        <w:rPr>
          <w:rFonts w:hAnsi="宋体" w:eastAsia="宋体"/>
          <w:szCs w:val="21"/>
        </w:rPr>
        <w:t>电子文件</w:t>
      </w:r>
      <w:r>
        <w:rPr>
          <w:rFonts w:eastAsia="宋体"/>
          <w:szCs w:val="21"/>
        </w:rPr>
        <w:t>”</w:t>
      </w:r>
      <w:r>
        <w:rPr>
          <w:rFonts w:hAnsi="宋体" w:eastAsia="宋体"/>
          <w:szCs w:val="21"/>
        </w:rPr>
        <w:t>。使用无线胶装；不能使用塑料面或塑料胶条装订。</w:t>
      </w:r>
    </w:p>
    <w:p>
      <w:pPr>
        <w:numPr>
          <w:ilvl w:val="1"/>
          <w:numId w:val="15"/>
        </w:numPr>
        <w:tabs>
          <w:tab w:val="left" w:pos="8364"/>
        </w:tabs>
        <w:spacing w:before="100" w:line="293" w:lineRule="auto"/>
        <w:rPr>
          <w:rFonts w:eastAsia="宋体"/>
          <w:szCs w:val="21"/>
        </w:rPr>
      </w:pPr>
      <w:r>
        <w:rPr>
          <w:rFonts w:hAnsi="宋体" w:eastAsia="宋体"/>
          <w:szCs w:val="21"/>
        </w:rPr>
        <w:t>投标文件的页码：必须按每本</w:t>
      </w:r>
      <w:r>
        <w:rPr>
          <w:rFonts w:hint="eastAsia" w:hAnsi="宋体" w:eastAsia="宋体"/>
          <w:szCs w:val="21"/>
        </w:rPr>
        <w:t>从正文（不含目录）</w:t>
      </w:r>
      <w:r>
        <w:rPr>
          <w:rFonts w:hAnsi="宋体" w:eastAsia="宋体"/>
          <w:szCs w:val="21"/>
        </w:rPr>
        <w:t>逐页从</w:t>
      </w:r>
      <w:r>
        <w:rPr>
          <w:rFonts w:eastAsia="宋体"/>
          <w:szCs w:val="21"/>
        </w:rPr>
        <w:t>1</w:t>
      </w:r>
      <w:r>
        <w:rPr>
          <w:rFonts w:hAnsi="宋体" w:eastAsia="宋体"/>
          <w:szCs w:val="21"/>
        </w:rPr>
        <w:t>开始，按照流水号编号（包括附图、证件、图片），页号正面在右下角，反面在左下角（空白页面不编号）。</w:t>
      </w:r>
    </w:p>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Pr>
        <w:pStyle w:val="5"/>
        <w:numPr>
          <w:ilvl w:val="0"/>
          <w:numId w:val="5"/>
        </w:numPr>
        <w:spacing w:before="100" w:line="293" w:lineRule="auto"/>
        <w:rPr>
          <w:rFonts w:ascii="Times New Roman" w:hAnsi="Times New Roman" w:eastAsia="宋体"/>
          <w:sz w:val="21"/>
          <w:szCs w:val="21"/>
        </w:rPr>
      </w:pPr>
      <w:bookmarkStart w:id="391" w:name="_Toc119786476"/>
      <w:bookmarkStart w:id="392" w:name="_Toc23737"/>
      <w:bookmarkStart w:id="393" w:name="_Toc375564274"/>
      <w:bookmarkStart w:id="394" w:name="_Toc68417339"/>
      <w:bookmarkStart w:id="395" w:name="_Toc121308038"/>
      <w:bookmarkStart w:id="396" w:name="_Toc68407746"/>
      <w:bookmarkStart w:id="397" w:name="_Toc121830581"/>
      <w:bookmarkStart w:id="398" w:name="_Toc121182308"/>
      <w:bookmarkStart w:id="399" w:name="_Toc118890516"/>
      <w:bookmarkStart w:id="400" w:name="_Toc5865"/>
      <w:bookmarkStart w:id="401" w:name="_Toc223786515"/>
      <w:bookmarkStart w:id="402" w:name="_Toc65498368"/>
      <w:bookmarkStart w:id="403" w:name="_Toc6649"/>
      <w:bookmarkStart w:id="404" w:name="_Toc72583490"/>
      <w:bookmarkStart w:id="405" w:name="_Toc70094683"/>
      <w:bookmarkStart w:id="406" w:name="_Toc213049015"/>
      <w:bookmarkStart w:id="407" w:name="_Toc118061521"/>
      <w:bookmarkStart w:id="408" w:name="_Toc65597747"/>
      <w:bookmarkStart w:id="409" w:name="_Toc65846698"/>
      <w:bookmarkStart w:id="410" w:name="_Toc65420096"/>
      <w:bookmarkStart w:id="411" w:name="_Toc65641122"/>
      <w:r>
        <w:rPr>
          <w:rFonts w:ascii="Times New Roman" w:hAnsi="宋体" w:eastAsia="宋体"/>
          <w:sz w:val="21"/>
          <w:szCs w:val="21"/>
        </w:rPr>
        <w:t>投标报价</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numPr>
          <w:ilvl w:val="0"/>
          <w:numId w:val="16"/>
        </w:numPr>
        <w:tabs>
          <w:tab w:val="left" w:pos="8364"/>
        </w:tabs>
        <w:spacing w:before="100" w:line="293" w:lineRule="auto"/>
        <w:rPr>
          <w:rFonts w:eastAsia="宋体"/>
          <w:szCs w:val="21"/>
        </w:rPr>
      </w:pPr>
      <w:r>
        <w:rPr>
          <w:rFonts w:hAnsi="宋体" w:eastAsia="宋体"/>
          <w:szCs w:val="21"/>
        </w:rPr>
        <w:t>投标人应完整地填写招标文件中提供的</w:t>
      </w:r>
      <w:r>
        <w:rPr>
          <w:rFonts w:eastAsia="宋体"/>
          <w:szCs w:val="21"/>
        </w:rPr>
        <w:t>“</w:t>
      </w:r>
      <w:r>
        <w:rPr>
          <w:rFonts w:hint="eastAsia" w:hAnsi="宋体" w:eastAsia="宋体"/>
          <w:szCs w:val="21"/>
        </w:rPr>
        <w:t>投标函</w:t>
      </w:r>
      <w:r>
        <w:rPr>
          <w:rFonts w:eastAsia="宋体"/>
          <w:szCs w:val="21"/>
        </w:rPr>
        <w:t>”</w:t>
      </w:r>
      <w:r>
        <w:rPr>
          <w:rFonts w:hAnsi="宋体" w:eastAsia="宋体"/>
          <w:szCs w:val="21"/>
        </w:rPr>
        <w:t>及</w:t>
      </w:r>
      <w:r>
        <w:rPr>
          <w:rFonts w:eastAsia="宋体"/>
          <w:szCs w:val="21"/>
        </w:rPr>
        <w:t>“</w:t>
      </w:r>
      <w:r>
        <w:rPr>
          <w:rFonts w:hint="eastAsia" w:hAnsi="宋体" w:eastAsia="宋体"/>
          <w:szCs w:val="21"/>
        </w:rPr>
        <w:t>投标报价</w:t>
      </w:r>
      <w:r>
        <w:rPr>
          <w:rFonts w:eastAsia="宋体"/>
          <w:szCs w:val="21"/>
        </w:rPr>
        <w:t>”</w:t>
      </w:r>
      <w:r>
        <w:rPr>
          <w:rFonts w:hAnsi="宋体" w:eastAsia="宋体"/>
          <w:szCs w:val="21"/>
        </w:rPr>
        <w:t>。按</w:t>
      </w:r>
      <w:r>
        <w:rPr>
          <w:rFonts w:hint="eastAsia" w:hAnsi="宋体" w:eastAsia="宋体"/>
          <w:szCs w:val="21"/>
        </w:rPr>
        <w:t>“投标函”和</w:t>
      </w:r>
      <w:r>
        <w:rPr>
          <w:rFonts w:eastAsia="宋体"/>
          <w:szCs w:val="21"/>
        </w:rPr>
        <w:t>“</w:t>
      </w:r>
      <w:r>
        <w:rPr>
          <w:rFonts w:hint="eastAsia" w:hAnsi="宋体" w:eastAsia="宋体"/>
          <w:szCs w:val="21"/>
        </w:rPr>
        <w:t>投标报价</w:t>
      </w:r>
      <w:r>
        <w:rPr>
          <w:rFonts w:eastAsia="宋体"/>
          <w:szCs w:val="21"/>
        </w:rPr>
        <w:t>”</w:t>
      </w:r>
      <w:r>
        <w:rPr>
          <w:rFonts w:hAnsi="宋体" w:eastAsia="宋体"/>
          <w:szCs w:val="21"/>
        </w:rPr>
        <w:t>的要求报价。投标人在</w:t>
      </w:r>
      <w:r>
        <w:rPr>
          <w:rFonts w:eastAsia="宋体"/>
          <w:szCs w:val="21"/>
        </w:rPr>
        <w:t>“</w:t>
      </w:r>
      <w:r>
        <w:rPr>
          <w:rFonts w:hint="eastAsia" w:eastAsia="宋体"/>
          <w:szCs w:val="21"/>
        </w:rPr>
        <w:t>投标函</w:t>
      </w:r>
      <w:r>
        <w:rPr>
          <w:rFonts w:eastAsia="宋体"/>
          <w:szCs w:val="21"/>
        </w:rPr>
        <w:t>”</w:t>
      </w:r>
      <w:r>
        <w:rPr>
          <w:rFonts w:hAnsi="宋体" w:eastAsia="宋体"/>
          <w:szCs w:val="21"/>
        </w:rPr>
        <w:t>及</w:t>
      </w:r>
      <w:r>
        <w:rPr>
          <w:rFonts w:eastAsia="宋体"/>
          <w:szCs w:val="21"/>
        </w:rPr>
        <w:t>“</w:t>
      </w:r>
      <w:r>
        <w:rPr>
          <w:rFonts w:hint="eastAsia" w:eastAsia="宋体"/>
          <w:szCs w:val="21"/>
        </w:rPr>
        <w:t>投标报价</w:t>
      </w:r>
      <w:r>
        <w:rPr>
          <w:rFonts w:eastAsia="宋体"/>
          <w:szCs w:val="21"/>
        </w:rPr>
        <w:t>”</w:t>
      </w:r>
      <w:r>
        <w:rPr>
          <w:rFonts w:hAnsi="宋体" w:eastAsia="宋体"/>
          <w:szCs w:val="21"/>
        </w:rPr>
        <w:t>内所填报的</w:t>
      </w:r>
      <w:r>
        <w:rPr>
          <w:rFonts w:hint="eastAsia" w:hAnsi="宋体" w:eastAsia="宋体"/>
          <w:szCs w:val="21"/>
        </w:rPr>
        <w:t>年保险费率和保险费</w:t>
      </w:r>
      <w:r>
        <w:rPr>
          <w:rFonts w:hAnsi="宋体" w:eastAsia="宋体"/>
          <w:szCs w:val="21"/>
        </w:rPr>
        <w:t>应相一致。如</w:t>
      </w:r>
      <w:r>
        <w:rPr>
          <w:rFonts w:eastAsia="宋体"/>
          <w:szCs w:val="21"/>
        </w:rPr>
        <w:t>“</w:t>
      </w:r>
      <w:r>
        <w:rPr>
          <w:rFonts w:hint="eastAsia" w:eastAsia="宋体"/>
          <w:szCs w:val="21"/>
        </w:rPr>
        <w:t>投标函</w:t>
      </w:r>
      <w:r>
        <w:rPr>
          <w:rFonts w:eastAsia="宋体"/>
          <w:szCs w:val="21"/>
        </w:rPr>
        <w:t>”</w:t>
      </w:r>
      <w:r>
        <w:rPr>
          <w:rFonts w:hAnsi="宋体" w:eastAsia="宋体"/>
          <w:szCs w:val="21"/>
        </w:rPr>
        <w:t>与</w:t>
      </w:r>
      <w:r>
        <w:rPr>
          <w:rFonts w:eastAsia="宋体"/>
          <w:szCs w:val="21"/>
        </w:rPr>
        <w:t>“</w:t>
      </w:r>
      <w:r>
        <w:rPr>
          <w:rFonts w:hint="eastAsia" w:eastAsia="宋体"/>
          <w:szCs w:val="21"/>
        </w:rPr>
        <w:t>投标报价</w:t>
      </w:r>
      <w:r>
        <w:rPr>
          <w:rFonts w:eastAsia="宋体"/>
          <w:szCs w:val="21"/>
        </w:rPr>
        <w:t>”</w:t>
      </w:r>
      <w:r>
        <w:rPr>
          <w:rFonts w:hAnsi="宋体" w:eastAsia="宋体"/>
          <w:szCs w:val="21"/>
        </w:rPr>
        <w:t>所填报的</w:t>
      </w:r>
      <w:r>
        <w:rPr>
          <w:rFonts w:hint="eastAsia" w:hAnsi="宋体" w:eastAsia="宋体"/>
          <w:szCs w:val="21"/>
        </w:rPr>
        <w:t>年保险费率和保险费</w:t>
      </w:r>
      <w:r>
        <w:rPr>
          <w:rFonts w:hAnsi="宋体" w:eastAsia="宋体"/>
          <w:szCs w:val="21"/>
        </w:rPr>
        <w:t>不一致，则以</w:t>
      </w:r>
      <w:r>
        <w:rPr>
          <w:rFonts w:eastAsia="宋体"/>
          <w:szCs w:val="21"/>
        </w:rPr>
        <w:t>“</w:t>
      </w:r>
      <w:r>
        <w:rPr>
          <w:rFonts w:hint="eastAsia" w:eastAsia="宋体"/>
          <w:szCs w:val="21"/>
        </w:rPr>
        <w:t>投标报价</w:t>
      </w:r>
      <w:r>
        <w:rPr>
          <w:rFonts w:eastAsia="宋体"/>
          <w:szCs w:val="21"/>
        </w:rPr>
        <w:t>”</w:t>
      </w:r>
      <w:r>
        <w:rPr>
          <w:rFonts w:hAnsi="宋体" w:eastAsia="宋体"/>
          <w:szCs w:val="21"/>
        </w:rPr>
        <w:t>中的</w:t>
      </w:r>
      <w:r>
        <w:rPr>
          <w:rFonts w:hint="eastAsia" w:hAnsi="宋体" w:eastAsia="宋体"/>
          <w:szCs w:val="21"/>
        </w:rPr>
        <w:t>年保险费率和保险费</w:t>
      </w:r>
      <w:r>
        <w:rPr>
          <w:rFonts w:hAnsi="宋体" w:eastAsia="宋体"/>
          <w:szCs w:val="21"/>
        </w:rPr>
        <w:t>为准，如</w:t>
      </w:r>
      <w:r>
        <w:rPr>
          <w:rFonts w:eastAsia="宋体"/>
          <w:szCs w:val="21"/>
        </w:rPr>
        <w:t>“</w:t>
      </w:r>
      <w:r>
        <w:rPr>
          <w:rFonts w:hint="eastAsia" w:hAnsi="宋体" w:eastAsia="宋体"/>
          <w:szCs w:val="21"/>
        </w:rPr>
        <w:t>投标报价</w:t>
      </w:r>
      <w:r>
        <w:rPr>
          <w:rFonts w:eastAsia="宋体"/>
          <w:szCs w:val="21"/>
        </w:rPr>
        <w:t>”</w:t>
      </w:r>
      <w:r>
        <w:rPr>
          <w:rFonts w:hAnsi="宋体" w:eastAsia="宋体"/>
          <w:szCs w:val="21"/>
        </w:rPr>
        <w:t>中大写金额与小写金额不一致，以大写金额为准。</w:t>
      </w:r>
    </w:p>
    <w:p>
      <w:pPr>
        <w:numPr>
          <w:ilvl w:val="0"/>
          <w:numId w:val="16"/>
        </w:numPr>
        <w:tabs>
          <w:tab w:val="left" w:pos="8364"/>
        </w:tabs>
        <w:spacing w:before="100" w:line="293" w:lineRule="auto"/>
        <w:rPr>
          <w:rFonts w:eastAsia="宋体"/>
          <w:szCs w:val="21"/>
        </w:rPr>
      </w:pPr>
      <w:r>
        <w:rPr>
          <w:rFonts w:hint="eastAsia" w:hAnsi="宋体" w:eastAsia="宋体"/>
          <w:szCs w:val="21"/>
        </w:rPr>
        <w:t>投标人的报价应包含投标人在合同规定的服务期限内履行服务职责应获得的全部酬金和所付出的全部费用。</w:t>
      </w:r>
    </w:p>
    <w:p>
      <w:pPr>
        <w:numPr>
          <w:ilvl w:val="0"/>
          <w:numId w:val="16"/>
        </w:numPr>
        <w:tabs>
          <w:tab w:val="left" w:pos="8364"/>
        </w:tabs>
        <w:spacing w:before="100" w:line="293" w:lineRule="auto"/>
        <w:rPr>
          <w:rFonts w:eastAsia="宋体"/>
          <w:szCs w:val="21"/>
        </w:rPr>
      </w:pPr>
      <w:r>
        <w:rPr>
          <w:rFonts w:hint="eastAsia" w:eastAsia="宋体"/>
          <w:b/>
          <w:bCs/>
          <w:szCs w:val="21"/>
        </w:rPr>
        <w:t>本项目保险费包干使用。</w:t>
      </w:r>
    </w:p>
    <w:p>
      <w:pPr>
        <w:numPr>
          <w:ilvl w:val="0"/>
          <w:numId w:val="16"/>
        </w:numPr>
        <w:spacing w:before="100" w:line="293" w:lineRule="auto"/>
        <w:rPr>
          <w:rFonts w:eastAsia="宋体"/>
          <w:szCs w:val="21"/>
        </w:rPr>
      </w:pPr>
      <w:r>
        <w:rPr>
          <w:rFonts w:hint="eastAsia" w:hAnsi="宋体" w:eastAsia="宋体"/>
          <w:b/>
          <w:szCs w:val="21"/>
        </w:rPr>
        <w:t>本项目保险费及保险费率设招标控制价，详见投标须知前附表。</w:t>
      </w:r>
      <w:r>
        <w:rPr>
          <w:rFonts w:hAnsi="宋体" w:eastAsia="宋体"/>
          <w:b/>
          <w:szCs w:val="21"/>
        </w:rPr>
        <w:t>高于</w:t>
      </w:r>
      <w:r>
        <w:rPr>
          <w:rFonts w:hint="eastAsia" w:hAnsi="宋体" w:eastAsia="宋体"/>
          <w:b/>
          <w:szCs w:val="21"/>
        </w:rPr>
        <w:t>招标控制价</w:t>
      </w:r>
      <w:r>
        <w:rPr>
          <w:rFonts w:hAnsi="宋体" w:eastAsia="宋体"/>
          <w:b/>
          <w:szCs w:val="21"/>
        </w:rPr>
        <w:t>的投标报价将按否决投标处理</w:t>
      </w:r>
      <w:r>
        <w:rPr>
          <w:rFonts w:hint="eastAsia" w:hAnsi="宋体" w:eastAsia="宋体"/>
          <w:b/>
          <w:szCs w:val="21"/>
        </w:rPr>
        <w:t>。</w:t>
      </w:r>
    </w:p>
    <w:p>
      <w:pPr>
        <w:numPr>
          <w:ilvl w:val="0"/>
          <w:numId w:val="16"/>
        </w:numPr>
        <w:spacing w:before="100" w:line="293" w:lineRule="auto"/>
        <w:rPr>
          <w:rFonts w:eastAsia="宋体"/>
          <w:b/>
          <w:szCs w:val="21"/>
        </w:rPr>
      </w:pPr>
      <w:r>
        <w:rPr>
          <w:rFonts w:hAnsi="宋体" w:eastAsia="宋体"/>
          <w:b/>
          <w:szCs w:val="21"/>
        </w:rPr>
        <w:t>投标人不得以低于成本的报价竞标，否则，经评标委员会评审认定为低于成本的否决投标处理。</w:t>
      </w:r>
    </w:p>
    <w:p>
      <w:pPr>
        <w:pStyle w:val="5"/>
        <w:numPr>
          <w:ilvl w:val="0"/>
          <w:numId w:val="5"/>
        </w:numPr>
        <w:spacing w:before="100" w:line="293" w:lineRule="auto"/>
        <w:rPr>
          <w:rFonts w:ascii="Times New Roman" w:hAnsi="Times New Roman" w:eastAsia="宋体"/>
          <w:sz w:val="21"/>
          <w:szCs w:val="21"/>
        </w:rPr>
      </w:pPr>
      <w:bookmarkStart w:id="412" w:name="_Toc65597748"/>
      <w:bookmarkStart w:id="413" w:name="_Toc121308039"/>
      <w:bookmarkStart w:id="414" w:name="_Toc28754"/>
      <w:bookmarkStart w:id="415" w:name="_Toc119786477"/>
      <w:bookmarkStart w:id="416" w:name="_Toc65498369"/>
      <w:bookmarkStart w:id="417" w:name="_Toc72583491"/>
      <w:bookmarkStart w:id="418" w:name="_Toc121830582"/>
      <w:bookmarkStart w:id="419" w:name="_Toc121182309"/>
      <w:bookmarkStart w:id="420" w:name="_Toc65420097"/>
      <w:bookmarkStart w:id="421" w:name="_Toc118890517"/>
      <w:bookmarkStart w:id="422" w:name="_Toc65846699"/>
      <w:bookmarkStart w:id="423" w:name="_Toc70094684"/>
      <w:bookmarkStart w:id="424" w:name="_Toc223786516"/>
      <w:bookmarkStart w:id="425" w:name="_Toc1344"/>
      <w:bookmarkStart w:id="426" w:name="_Toc68407747"/>
      <w:bookmarkStart w:id="427" w:name="_Toc118061522"/>
      <w:bookmarkStart w:id="428" w:name="_Toc65641123"/>
      <w:bookmarkStart w:id="429" w:name="_Toc213049016"/>
      <w:bookmarkStart w:id="430" w:name="_Toc375564275"/>
      <w:bookmarkStart w:id="431" w:name="_Toc68417340"/>
      <w:bookmarkStart w:id="432" w:name="_Toc11677"/>
      <w:r>
        <w:rPr>
          <w:rFonts w:ascii="Times New Roman" w:hAnsi="宋体" w:eastAsia="宋体"/>
          <w:sz w:val="21"/>
          <w:szCs w:val="21"/>
        </w:rPr>
        <w:t>投标货币</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numPr>
          <w:ilvl w:val="1"/>
          <w:numId w:val="17"/>
        </w:numPr>
        <w:spacing w:before="100" w:line="293" w:lineRule="auto"/>
        <w:rPr>
          <w:rFonts w:eastAsia="宋体"/>
          <w:szCs w:val="21"/>
        </w:rPr>
      </w:pPr>
      <w:r>
        <w:rPr>
          <w:rFonts w:hAnsi="宋体" w:eastAsia="宋体"/>
          <w:szCs w:val="21"/>
        </w:rPr>
        <w:t>投标人提供的服务用人民币报价。在投标文件中的报价一律用人民币币种填报，招标人不接受任何非人民币币种的投标报价。</w:t>
      </w:r>
    </w:p>
    <w:p>
      <w:pPr>
        <w:pStyle w:val="5"/>
        <w:numPr>
          <w:ilvl w:val="0"/>
          <w:numId w:val="5"/>
        </w:numPr>
        <w:spacing w:before="100" w:line="293" w:lineRule="auto"/>
        <w:rPr>
          <w:rFonts w:ascii="Times New Roman" w:hAnsi="Times New Roman" w:eastAsia="宋体"/>
          <w:sz w:val="21"/>
          <w:szCs w:val="21"/>
        </w:rPr>
      </w:pPr>
      <w:bookmarkStart w:id="433" w:name="_Toc65641126"/>
      <w:bookmarkStart w:id="434" w:name="_Toc65498372"/>
      <w:bookmarkStart w:id="435" w:name="_Toc118890520"/>
      <w:bookmarkStart w:id="436" w:name="_Toc68407750"/>
      <w:bookmarkStart w:id="437" w:name="_Toc375564278"/>
      <w:bookmarkStart w:id="438" w:name="_Toc118061525"/>
      <w:bookmarkStart w:id="439" w:name="_Toc15879"/>
      <w:bookmarkStart w:id="440" w:name="_Toc23955"/>
      <w:bookmarkStart w:id="441" w:name="_Toc121830585"/>
      <w:bookmarkStart w:id="442" w:name="_Toc121308042"/>
      <w:bookmarkStart w:id="443" w:name="_Toc68417343"/>
      <w:bookmarkStart w:id="444" w:name="_Toc70094687"/>
      <w:bookmarkStart w:id="445" w:name="_Toc119786480"/>
      <w:bookmarkStart w:id="446" w:name="_Toc65597751"/>
      <w:bookmarkStart w:id="447" w:name="_Toc223786519"/>
      <w:bookmarkStart w:id="448" w:name="_Toc213049019"/>
      <w:bookmarkStart w:id="449" w:name="_Toc65420100"/>
      <w:bookmarkStart w:id="450" w:name="_Toc65846702"/>
      <w:bookmarkStart w:id="451" w:name="_Toc30246"/>
      <w:bookmarkStart w:id="452" w:name="_Toc121182312"/>
      <w:bookmarkStart w:id="453" w:name="_Toc72583494"/>
      <w:r>
        <w:rPr>
          <w:rFonts w:ascii="Times New Roman" w:hAnsi="宋体" w:eastAsia="宋体"/>
          <w:sz w:val="21"/>
          <w:szCs w:val="21"/>
        </w:rPr>
        <w:t>投标保证金</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numPr>
          <w:ilvl w:val="1"/>
          <w:numId w:val="18"/>
        </w:numPr>
        <w:spacing w:before="100" w:line="293" w:lineRule="auto"/>
        <w:rPr>
          <w:rFonts w:eastAsia="宋体"/>
          <w:szCs w:val="21"/>
        </w:rPr>
      </w:pPr>
      <w:r>
        <w:rPr>
          <w:rFonts w:hint="eastAsia" w:eastAsia="宋体"/>
          <w:szCs w:val="21"/>
        </w:rPr>
        <w:t>投标人必须在投标截止时间，按“投标须知前附表”的规定是否递交投标保证金。如需递交，投标人必须在投标截止时间前，按“投标人须知前附表”规定的金额、形式、方式递交投标保证金。递交投标保证金的证明文件作为其投标文件的组成部分。联合体投标的，其投标保证金由牵头人递交，并应符合“投标人须知前附表”的规定。</w:t>
      </w:r>
    </w:p>
    <w:p>
      <w:pPr>
        <w:numPr>
          <w:ilvl w:val="1"/>
          <w:numId w:val="18"/>
        </w:numPr>
        <w:spacing w:before="100" w:line="293" w:lineRule="auto"/>
        <w:rPr>
          <w:rFonts w:eastAsia="宋体"/>
          <w:szCs w:val="21"/>
        </w:rPr>
      </w:pPr>
      <w:r>
        <w:rPr>
          <w:rFonts w:hAnsi="宋体" w:eastAsia="宋体"/>
          <w:szCs w:val="21"/>
        </w:rPr>
        <w:t>如需递交投标保证金，对于未能按要求提交投标保证金的投标文件，招标人可以视为不响应投标而予以拒绝。</w:t>
      </w:r>
      <w:r>
        <w:rPr>
          <w:rFonts w:hint="eastAsia" w:ascii="宋体" w:hAnsi="宋体" w:eastAsia="宋体" w:cs="宋体"/>
          <w:szCs w:val="21"/>
        </w:rPr>
        <w:t>评标时，评标委员会根据南宁市公共资源交易中心出具的《项目投标保证金到账信息表》查验投标保证金缴纳情况。</w:t>
      </w:r>
    </w:p>
    <w:p>
      <w:pPr>
        <w:numPr>
          <w:ilvl w:val="1"/>
          <w:numId w:val="18"/>
        </w:numPr>
        <w:spacing w:before="100" w:line="293" w:lineRule="auto"/>
        <w:rPr>
          <w:rFonts w:hAnsi="宋体" w:eastAsia="宋体"/>
          <w:szCs w:val="21"/>
        </w:rPr>
      </w:pPr>
      <w:r>
        <w:rPr>
          <w:rFonts w:hint="eastAsia" w:hAnsi="宋体" w:eastAsia="宋体"/>
          <w:szCs w:val="21"/>
        </w:rPr>
        <w:t>投标保证金退还本金，以转账方式一次性划至投标保证金的原提交账户。</w:t>
      </w:r>
    </w:p>
    <w:p>
      <w:pPr>
        <w:numPr>
          <w:ilvl w:val="1"/>
          <w:numId w:val="18"/>
        </w:numPr>
        <w:spacing w:before="100" w:line="293" w:lineRule="auto"/>
        <w:rPr>
          <w:rFonts w:hAnsi="宋体" w:eastAsia="宋体"/>
          <w:szCs w:val="21"/>
        </w:rPr>
      </w:pPr>
      <w:r>
        <w:rPr>
          <w:rFonts w:hint="eastAsia" w:hAnsi="宋体" w:eastAsia="宋体"/>
          <w:szCs w:val="21"/>
        </w:rPr>
        <w:t>未中标人的投标保证金退还：《中标通知书》发出后，招标人或招标代理机构应在3个工作日内向交易中心提供《非中标人投标保证金退还通知书》，交易中心应在收到通知书之后的2个工作日内办理未中标人的投标保证金退还手续。</w:t>
      </w:r>
    </w:p>
    <w:p>
      <w:pPr>
        <w:numPr>
          <w:ilvl w:val="1"/>
          <w:numId w:val="18"/>
        </w:numPr>
        <w:spacing w:before="100" w:line="293" w:lineRule="auto"/>
        <w:rPr>
          <w:rFonts w:hAnsi="宋体" w:eastAsia="宋体"/>
          <w:szCs w:val="21"/>
        </w:rPr>
      </w:pPr>
      <w:r>
        <w:rPr>
          <w:rFonts w:hint="eastAsia" w:hAnsi="宋体" w:eastAsia="宋体"/>
          <w:szCs w:val="21"/>
        </w:rPr>
        <w:t>中标人的投标保证金退还：招标人与中标人签订项目合同后，应在3个工作日内向交易中心提供《中标人投标保证金退还通知书》，交易中心在收到通知书之后的2个工作日内办理中标人的投标保证金退还手续。</w:t>
      </w:r>
    </w:p>
    <w:p>
      <w:pPr>
        <w:numPr>
          <w:ilvl w:val="1"/>
          <w:numId w:val="18"/>
        </w:numPr>
        <w:spacing w:before="100" w:line="293" w:lineRule="auto"/>
        <w:ind w:left="0" w:firstLine="0"/>
        <w:rPr>
          <w:rFonts w:hAnsi="宋体" w:eastAsia="宋体"/>
          <w:szCs w:val="21"/>
        </w:rPr>
      </w:pPr>
      <w:r>
        <w:rPr>
          <w:rFonts w:hint="eastAsia" w:hAnsi="宋体" w:eastAsia="宋体"/>
          <w:szCs w:val="21"/>
        </w:rPr>
        <w:t>投标保函的约定</w:t>
      </w:r>
    </w:p>
    <w:p>
      <w:pPr>
        <w:spacing w:before="120" w:line="276" w:lineRule="auto"/>
        <w:ind w:left="1058" w:leftChars="503" w:hanging="2"/>
        <w:rPr>
          <w:rFonts w:ascii="宋体" w:hAnsi="宋体" w:eastAsia="宋体" w:cs="宋体"/>
          <w:szCs w:val="21"/>
        </w:rPr>
      </w:pPr>
      <w:r>
        <w:rPr>
          <w:rFonts w:hint="eastAsia" w:ascii="宋体" w:hAnsi="宋体" w:eastAsia="宋体" w:cs="宋体"/>
          <w:szCs w:val="21"/>
        </w:rPr>
        <w:t>（1）投标人以保函形式提交的投标保证金应当从其基本账户开户银行开具，如保函不是从其基本账户开户银行开具的，则须由开具保函的银行提供从其基本账户转账划付资金的收款凭证或收费凭证（凭证须注明对应的保函编号，并在编号处加盖银行印章予以确认）。</w:t>
      </w:r>
    </w:p>
    <w:p>
      <w:pPr>
        <w:spacing w:before="120" w:line="276" w:lineRule="auto"/>
        <w:ind w:left="1058" w:leftChars="503" w:hanging="2"/>
        <w:rPr>
          <w:rFonts w:ascii="宋体" w:hAnsi="宋体" w:eastAsia="宋体" w:cs="宋体"/>
          <w:szCs w:val="21"/>
        </w:rPr>
      </w:pPr>
      <w:r>
        <w:rPr>
          <w:rFonts w:hint="eastAsia" w:ascii="宋体" w:hAnsi="宋体" w:eastAsia="宋体" w:cs="宋体"/>
          <w:szCs w:val="21"/>
        </w:rPr>
        <w:t>（2）投标保证金采取保函形式的，提交流程和核验方式的具体要求如下：</w:t>
      </w:r>
    </w:p>
    <w:p>
      <w:pPr>
        <w:spacing w:before="120" w:line="276" w:lineRule="auto"/>
        <w:ind w:left="1058" w:leftChars="503" w:hanging="2"/>
        <w:rPr>
          <w:rFonts w:ascii="宋体" w:hAnsi="宋体" w:eastAsia="宋体" w:cs="宋体"/>
          <w:szCs w:val="21"/>
        </w:rPr>
      </w:pPr>
      <w:r>
        <w:rPr>
          <w:rFonts w:hint="eastAsia" w:ascii="宋体" w:hAnsi="宋体" w:eastAsia="宋体" w:cs="宋体"/>
          <w:szCs w:val="21"/>
        </w:rPr>
        <w:t>1）非电子流程项目：在相关项目（标段）投标时间截止时，投标人在递交投标文件时一并递交单独密封的保函原件，由招标人核验保函信息，确认保函是否有效后交由交易中心管理。投标人提交的保函原件未单独密封的，投标无效。</w:t>
      </w:r>
    </w:p>
    <w:p>
      <w:pPr>
        <w:spacing w:before="120" w:line="276" w:lineRule="auto"/>
        <w:ind w:left="1058" w:leftChars="503" w:hanging="2"/>
        <w:rPr>
          <w:rFonts w:ascii="宋体" w:hAnsi="宋体" w:eastAsia="宋体" w:cs="宋体"/>
          <w:szCs w:val="21"/>
        </w:rPr>
      </w:pPr>
      <w:r>
        <w:rPr>
          <w:rFonts w:hint="eastAsia" w:ascii="宋体" w:hAnsi="宋体" w:eastAsia="宋体" w:cs="宋体"/>
          <w:szCs w:val="21"/>
        </w:rPr>
        <w:t>（3）投标人所提交的保函其有效期不能少于招标文件规定的投标有效期，且仅限于当次投标项目（标段）有效，不得重复替代使用。一个招标项目有多个标段并允许投标人分别报名的，投标人应按项目、标段分别提交保函。</w:t>
      </w:r>
    </w:p>
    <w:p>
      <w:pPr>
        <w:spacing w:before="120" w:line="276" w:lineRule="auto"/>
        <w:ind w:left="1058" w:leftChars="503" w:hanging="2"/>
        <w:rPr>
          <w:rFonts w:ascii="宋体" w:hAnsi="宋体" w:eastAsia="宋体" w:cs="宋体"/>
          <w:szCs w:val="21"/>
        </w:rPr>
      </w:pPr>
      <w:r>
        <w:rPr>
          <w:rFonts w:hint="eastAsia" w:ascii="宋体" w:hAnsi="宋体" w:eastAsia="宋体" w:cs="宋体"/>
          <w:szCs w:val="21"/>
        </w:rPr>
        <w:t>（4）保函的退还方式。</w:t>
      </w:r>
    </w:p>
    <w:p>
      <w:pPr>
        <w:spacing w:before="120" w:line="276" w:lineRule="auto"/>
        <w:ind w:left="1058" w:leftChars="503" w:hanging="2"/>
        <w:rPr>
          <w:rFonts w:ascii="宋体" w:hAnsi="宋体" w:eastAsia="宋体" w:cs="宋体"/>
          <w:szCs w:val="21"/>
        </w:rPr>
      </w:pPr>
      <w:r>
        <w:rPr>
          <w:rFonts w:hint="eastAsia" w:ascii="宋体" w:hAnsi="宋体" w:eastAsia="宋体" w:cs="宋体"/>
          <w:szCs w:val="21"/>
        </w:rPr>
        <w:t>1）非中标人的保函退还。在项目《中标通知书》发出后，招标人或招标代理机构应在3个工作日内向交易中心提供《非中标人投标保证金退还通知书》，交易中心应在收到通知书之后的2个工作日内通知非中标人，非中标人持相关授权证明材料至交易中心办理保函原件退还手续。</w:t>
      </w:r>
    </w:p>
    <w:p>
      <w:pPr>
        <w:spacing w:before="120" w:line="276" w:lineRule="auto"/>
        <w:ind w:left="1058" w:leftChars="503" w:hanging="2"/>
        <w:rPr>
          <w:rFonts w:ascii="宋体" w:hAnsi="宋体" w:eastAsia="宋体" w:cs="宋体"/>
          <w:szCs w:val="21"/>
        </w:rPr>
      </w:pPr>
      <w:r>
        <w:rPr>
          <w:rFonts w:hint="eastAsia" w:ascii="宋体" w:hAnsi="宋体" w:eastAsia="宋体" w:cs="宋体"/>
          <w:szCs w:val="21"/>
        </w:rPr>
        <w:t>2）中标人的保函退还。招标人与中标人签订项目合同后，应在3个工作日内向交易中心提供《中标人投标保证金退还通知书》，交易中心在收到通知书之后的2个工作日内通知中标人，中标人持相关授权证明材料至交易中心办理保函原件退还手续。</w:t>
      </w:r>
    </w:p>
    <w:p>
      <w:pPr>
        <w:spacing w:before="120" w:line="276" w:lineRule="auto"/>
        <w:ind w:left="1058" w:leftChars="503" w:hanging="2"/>
        <w:rPr>
          <w:rFonts w:ascii="宋体" w:hAnsi="宋体" w:eastAsia="宋体" w:cs="宋体"/>
          <w:szCs w:val="21"/>
        </w:rPr>
      </w:pPr>
      <w:r>
        <w:rPr>
          <w:rFonts w:hint="eastAsia" w:ascii="宋体" w:hAnsi="宋体" w:eastAsia="宋体" w:cs="宋体"/>
          <w:szCs w:val="21"/>
        </w:rPr>
        <w:t>（5）投标人如违反法律法规或招标文件相关规定的，保函原件不予退还，并按相关规定由出具保函的银行承担投标人违约赔付责任；投标人已中标的，中标无效。</w:t>
      </w:r>
    </w:p>
    <w:p>
      <w:pPr>
        <w:numPr>
          <w:ilvl w:val="255"/>
          <w:numId w:val="0"/>
        </w:numPr>
        <w:spacing w:before="120" w:line="276" w:lineRule="auto"/>
        <w:ind w:left="1058" w:leftChars="503" w:hanging="2"/>
        <w:rPr>
          <w:rFonts w:ascii="宋体" w:hAnsi="宋体" w:eastAsia="宋体" w:cs="宋体"/>
          <w:szCs w:val="21"/>
        </w:rPr>
      </w:pPr>
      <w:r>
        <w:rPr>
          <w:rFonts w:hint="eastAsia" w:ascii="宋体" w:hAnsi="宋体" w:eastAsia="宋体" w:cs="宋体"/>
          <w:szCs w:val="21"/>
        </w:rPr>
        <w:t>（6）采用保函之外的支付方式（电汇、转账、网银支付等）缴纳投标保证金的，仍按南宁市公共资源交易监督办《关于印发南宁市公共资源交易项目投标保证金集中管理办法的通知》（南公管办发〔2015〕4号）的规定执行，即在相关项目（标段）投标截止时，在开标现场公示南宁市公共资源交易中心出具的《项目保证金到账信息表》，由招标人（或招标代理机构）查验投标保证金的缴纳情况。未按规定缴纳投标保证金的，投标无效。</w:t>
      </w:r>
    </w:p>
    <w:p>
      <w:pPr>
        <w:numPr>
          <w:ilvl w:val="1"/>
          <w:numId w:val="18"/>
        </w:numPr>
        <w:spacing w:before="100" w:line="293" w:lineRule="auto"/>
        <w:rPr>
          <w:rFonts w:eastAsia="宋体"/>
          <w:szCs w:val="21"/>
        </w:rPr>
      </w:pPr>
      <w:r>
        <w:rPr>
          <w:rFonts w:hAnsi="宋体" w:eastAsia="宋体"/>
          <w:szCs w:val="21"/>
        </w:rPr>
        <w:t>如有下列情况，将没收投标保证金：</w:t>
      </w:r>
    </w:p>
    <w:p>
      <w:pPr>
        <w:pStyle w:val="27"/>
        <w:spacing w:before="100" w:line="293" w:lineRule="auto"/>
        <w:ind w:left="1202" w:hanging="47"/>
        <w:rPr>
          <w:rFonts w:ascii="Times New Roman" w:hAnsi="Times New Roman" w:eastAsia="宋体" w:cs="Times New Roman"/>
        </w:rPr>
      </w:pPr>
      <w:r>
        <w:rPr>
          <w:rFonts w:ascii="Times New Roman" w:hAnsi="Times New Roman" w:eastAsia="宋体" w:cs="Times New Roman"/>
        </w:rPr>
        <w:t xml:space="preserve">a) </w:t>
      </w:r>
      <w:r>
        <w:rPr>
          <w:rFonts w:ascii="Times New Roman" w:hAnsi="宋体" w:eastAsia="宋体" w:cs="Times New Roman"/>
        </w:rPr>
        <w:t>投标人在投标有效期内撤销或修改其投标文件；</w:t>
      </w:r>
    </w:p>
    <w:p>
      <w:pPr>
        <w:pStyle w:val="27"/>
        <w:spacing w:before="100" w:line="293" w:lineRule="auto"/>
        <w:ind w:left="1202" w:hanging="47"/>
        <w:rPr>
          <w:rFonts w:ascii="Times New Roman" w:hAnsi="Times New Roman" w:eastAsia="宋体" w:cs="Times New Roman"/>
        </w:rPr>
      </w:pPr>
      <w:r>
        <w:rPr>
          <w:rFonts w:ascii="Times New Roman" w:hAnsi="Times New Roman" w:eastAsia="宋体" w:cs="Times New Roman"/>
        </w:rPr>
        <w:t xml:space="preserve">b) </w:t>
      </w:r>
      <w:r>
        <w:rPr>
          <w:rFonts w:ascii="Times New Roman" w:hAnsi="宋体" w:eastAsia="宋体" w:cs="Times New Roman"/>
        </w:rPr>
        <w:t>投标文件中的资料有弄虚作假的情况；</w:t>
      </w:r>
    </w:p>
    <w:p>
      <w:pPr>
        <w:pStyle w:val="27"/>
        <w:spacing w:before="100" w:line="293" w:lineRule="auto"/>
        <w:ind w:left="1202" w:hanging="47"/>
        <w:rPr>
          <w:rFonts w:ascii="Times New Roman" w:hAnsi="Times New Roman" w:eastAsia="宋体" w:cs="Times New Roman"/>
        </w:rPr>
      </w:pPr>
      <w:r>
        <w:rPr>
          <w:rFonts w:ascii="Times New Roman" w:hAnsi="Times New Roman" w:eastAsia="宋体" w:cs="Times New Roman"/>
        </w:rPr>
        <w:t xml:space="preserve">c) </w:t>
      </w:r>
      <w:r>
        <w:rPr>
          <w:rFonts w:ascii="Times New Roman" w:hAnsi="宋体" w:eastAsia="宋体" w:cs="Times New Roman"/>
        </w:rPr>
        <w:t>中标的投标人未能在规定期限内签署合同或提供要求的履约</w:t>
      </w:r>
      <w:r>
        <w:rPr>
          <w:rFonts w:hint="eastAsia" w:ascii="Times New Roman" w:hAnsi="宋体" w:eastAsia="宋体" w:cs="Times New Roman"/>
        </w:rPr>
        <w:t>担保</w:t>
      </w:r>
      <w:r>
        <w:rPr>
          <w:rFonts w:ascii="Times New Roman" w:hAnsi="宋体" w:eastAsia="宋体" w:cs="Times New Roman"/>
        </w:rPr>
        <w:t>；</w:t>
      </w:r>
    </w:p>
    <w:p>
      <w:pPr>
        <w:pStyle w:val="27"/>
        <w:spacing w:before="100" w:line="293" w:lineRule="auto"/>
        <w:ind w:left="1202" w:hanging="47"/>
        <w:rPr>
          <w:rFonts w:ascii="Times New Roman" w:hAnsi="Times New Roman" w:eastAsia="宋体" w:cs="Times New Roman"/>
        </w:rPr>
      </w:pPr>
      <w:r>
        <w:rPr>
          <w:rFonts w:ascii="Times New Roman" w:hAnsi="Times New Roman" w:eastAsia="宋体" w:cs="Times New Roman"/>
        </w:rPr>
        <w:t xml:space="preserve">d) </w:t>
      </w:r>
      <w:r>
        <w:rPr>
          <w:rFonts w:ascii="Times New Roman" w:hAnsi="宋体" w:eastAsia="宋体" w:cs="Times New Roman"/>
        </w:rPr>
        <w:t>相关法律、法规规定的其他情况。</w:t>
      </w:r>
    </w:p>
    <w:p>
      <w:pPr>
        <w:pStyle w:val="5"/>
        <w:numPr>
          <w:ilvl w:val="0"/>
          <w:numId w:val="5"/>
        </w:numPr>
        <w:spacing w:before="100" w:line="293" w:lineRule="auto"/>
        <w:rPr>
          <w:rFonts w:ascii="Times New Roman" w:hAnsi="Times New Roman" w:eastAsia="宋体"/>
          <w:sz w:val="21"/>
          <w:szCs w:val="21"/>
        </w:rPr>
      </w:pPr>
      <w:bookmarkStart w:id="454" w:name="_Toc65846703"/>
      <w:bookmarkStart w:id="455" w:name="_Toc65597752"/>
      <w:bookmarkStart w:id="456" w:name="_Toc65498373"/>
      <w:bookmarkStart w:id="457" w:name="_Toc121308043"/>
      <w:bookmarkStart w:id="458" w:name="_Toc70094688"/>
      <w:bookmarkStart w:id="459" w:name="_Toc121830586"/>
      <w:bookmarkStart w:id="460" w:name="_Toc375564279"/>
      <w:bookmarkStart w:id="461" w:name="_Toc17248"/>
      <w:bookmarkStart w:id="462" w:name="_Toc121182313"/>
      <w:bookmarkStart w:id="463" w:name="_Toc68417344"/>
      <w:bookmarkStart w:id="464" w:name="_Toc65420101"/>
      <w:bookmarkStart w:id="465" w:name="_Toc118061526"/>
      <w:bookmarkStart w:id="466" w:name="_Toc68407751"/>
      <w:bookmarkStart w:id="467" w:name="_Toc213049020"/>
      <w:bookmarkStart w:id="468" w:name="_Toc118890521"/>
      <w:bookmarkStart w:id="469" w:name="_Toc223786520"/>
      <w:bookmarkStart w:id="470" w:name="_Toc8685"/>
      <w:bookmarkStart w:id="471" w:name="_Toc72583495"/>
      <w:bookmarkStart w:id="472" w:name="_Toc119786481"/>
      <w:bookmarkStart w:id="473" w:name="_Toc65641127"/>
      <w:bookmarkStart w:id="474" w:name="_Toc24255"/>
      <w:r>
        <w:rPr>
          <w:rFonts w:ascii="Times New Roman" w:hAnsi="宋体" w:eastAsia="宋体"/>
          <w:sz w:val="21"/>
          <w:szCs w:val="21"/>
        </w:rPr>
        <w:t>投标有效期</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numPr>
          <w:ilvl w:val="0"/>
          <w:numId w:val="19"/>
        </w:numPr>
        <w:spacing w:before="100" w:line="293" w:lineRule="auto"/>
        <w:rPr>
          <w:rFonts w:eastAsia="宋体"/>
          <w:szCs w:val="21"/>
        </w:rPr>
      </w:pPr>
      <w:r>
        <w:rPr>
          <w:rFonts w:hAnsi="宋体" w:eastAsia="宋体"/>
          <w:szCs w:val="20"/>
        </w:rPr>
        <w:t>根据本须知前附表规定，投标应在投标须知前附表中规定的时间内保持有效。投标有效期不满足要求的投标将被视为非实质性响应投标而予以否决</w:t>
      </w:r>
      <w:r>
        <w:rPr>
          <w:rFonts w:hAnsi="宋体" w:eastAsia="宋体"/>
          <w:szCs w:val="21"/>
        </w:rPr>
        <w:t>。</w:t>
      </w:r>
    </w:p>
    <w:p>
      <w:pPr>
        <w:numPr>
          <w:ilvl w:val="0"/>
          <w:numId w:val="19"/>
        </w:numPr>
        <w:spacing w:before="100" w:line="293" w:lineRule="auto"/>
        <w:rPr>
          <w:rFonts w:eastAsia="宋体"/>
          <w:szCs w:val="21"/>
        </w:rPr>
      </w:pPr>
      <w:r>
        <w:rPr>
          <w:rFonts w:hAnsi="宋体" w:eastAsia="宋体"/>
          <w:szCs w:val="21"/>
        </w:rPr>
        <w:t>特殊情况下，招标代理机构可于投标有效期满之前要求投标人同意延长有效期，要求与答复均应为书面形式。投标人可以拒绝上述要求而其投标保证金不被没收，但其投标将被否决。对于同意该要求的投标人，既不要求也不允许其修改投标文件，但将要求其相应延长投标保证金的有效期，有关退还和没收投标保证金的规定在投标有效期的延长期内继续有效。</w:t>
      </w:r>
    </w:p>
    <w:p>
      <w:pPr>
        <w:pStyle w:val="5"/>
        <w:numPr>
          <w:ilvl w:val="0"/>
          <w:numId w:val="5"/>
        </w:numPr>
        <w:spacing w:before="100" w:line="293" w:lineRule="auto"/>
        <w:rPr>
          <w:rFonts w:ascii="Times New Roman" w:hAnsi="Times New Roman" w:eastAsia="宋体"/>
          <w:sz w:val="21"/>
          <w:szCs w:val="21"/>
        </w:rPr>
      </w:pPr>
      <w:bookmarkStart w:id="475" w:name="_Toc68417345"/>
      <w:bookmarkStart w:id="476" w:name="_Toc70094689"/>
      <w:bookmarkStart w:id="477" w:name="_Toc1757"/>
      <w:bookmarkStart w:id="478" w:name="_Toc119786482"/>
      <w:bookmarkStart w:id="479" w:name="_Toc65420102"/>
      <w:bookmarkStart w:id="480" w:name="_Toc65597753"/>
      <w:bookmarkStart w:id="481" w:name="_Toc375564280"/>
      <w:bookmarkStart w:id="482" w:name="_Toc65846704"/>
      <w:bookmarkStart w:id="483" w:name="_Toc223786521"/>
      <w:bookmarkStart w:id="484" w:name="_Toc68407752"/>
      <w:bookmarkStart w:id="485" w:name="_Toc121830587"/>
      <w:bookmarkStart w:id="486" w:name="_Toc118061527"/>
      <w:bookmarkStart w:id="487" w:name="_Toc17124"/>
      <w:bookmarkStart w:id="488" w:name="_Toc65641128"/>
      <w:bookmarkStart w:id="489" w:name="_Toc121182314"/>
      <w:bookmarkStart w:id="490" w:name="_Toc118890522"/>
      <w:bookmarkStart w:id="491" w:name="_Toc22023"/>
      <w:bookmarkStart w:id="492" w:name="_Toc121308044"/>
      <w:bookmarkStart w:id="493" w:name="_Toc213049021"/>
      <w:bookmarkStart w:id="494" w:name="_Toc72583496"/>
      <w:bookmarkStart w:id="495" w:name="_Toc65498374"/>
      <w:r>
        <w:rPr>
          <w:rFonts w:ascii="Times New Roman" w:hAnsi="宋体" w:eastAsia="宋体"/>
          <w:sz w:val="21"/>
          <w:szCs w:val="21"/>
        </w:rPr>
        <w:t>投标文件的制作和签署</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numPr>
          <w:ilvl w:val="1"/>
          <w:numId w:val="20"/>
        </w:numPr>
        <w:spacing w:before="100" w:line="293" w:lineRule="auto"/>
        <w:rPr>
          <w:rFonts w:eastAsia="宋体"/>
          <w:szCs w:val="21"/>
        </w:rPr>
      </w:pPr>
      <w:r>
        <w:rPr>
          <w:rFonts w:hAnsi="宋体" w:eastAsia="宋体"/>
        </w:rPr>
        <w:t>投标人应按投标须知前附表所示套数准备投标文件。</w:t>
      </w:r>
      <w:r>
        <w:rPr>
          <w:rFonts w:hAnsi="宋体" w:eastAsia="宋体"/>
          <w:szCs w:val="21"/>
        </w:rPr>
        <w:t>每套投标文件封面上应清楚地注明项目名称、招标编号</w:t>
      </w:r>
      <w:r>
        <w:rPr>
          <w:rFonts w:hint="eastAsia" w:hAnsi="宋体" w:eastAsia="宋体"/>
          <w:szCs w:val="21"/>
        </w:rPr>
        <w:t>、</w:t>
      </w:r>
      <w:r>
        <w:rPr>
          <w:rFonts w:hAnsi="宋体" w:eastAsia="宋体"/>
          <w:szCs w:val="21"/>
        </w:rPr>
        <w:t>投标人名称</w:t>
      </w:r>
      <w:r>
        <w:rPr>
          <w:rFonts w:hint="eastAsia" w:hAnsi="宋体" w:eastAsia="宋体"/>
          <w:szCs w:val="21"/>
        </w:rPr>
        <w:t>、投标日期</w:t>
      </w:r>
      <w:r>
        <w:rPr>
          <w:rFonts w:hAnsi="宋体" w:eastAsia="宋体"/>
          <w:szCs w:val="21"/>
        </w:rPr>
        <w:t>，</w:t>
      </w:r>
      <w:r>
        <w:rPr>
          <w:rFonts w:hAnsi="宋体" w:eastAsia="宋体"/>
        </w:rPr>
        <w:t>同时加盖公章并由法定代表人（负责人）或其</w:t>
      </w:r>
      <w:r>
        <w:rPr>
          <w:rFonts w:hint="eastAsia" w:hAnsi="宋体" w:eastAsia="宋体"/>
        </w:rPr>
        <w:t>授权代理人</w:t>
      </w:r>
      <w:r>
        <w:rPr>
          <w:rFonts w:hAnsi="宋体" w:eastAsia="宋体"/>
        </w:rPr>
        <w:t>签字或盖章</w:t>
      </w:r>
      <w:r>
        <w:rPr>
          <w:rFonts w:hAnsi="宋体" w:eastAsia="宋体"/>
          <w:szCs w:val="21"/>
        </w:rPr>
        <w:t>，且须清楚地标明</w:t>
      </w:r>
      <w:r>
        <w:rPr>
          <w:rFonts w:eastAsia="宋体"/>
          <w:szCs w:val="21"/>
        </w:rPr>
        <w:t>“</w:t>
      </w:r>
      <w:r>
        <w:rPr>
          <w:rFonts w:hAnsi="宋体" w:eastAsia="宋体"/>
          <w:szCs w:val="21"/>
        </w:rPr>
        <w:t>正本</w:t>
      </w:r>
      <w:r>
        <w:rPr>
          <w:rFonts w:eastAsia="宋体"/>
          <w:szCs w:val="21"/>
        </w:rPr>
        <w:t>”</w:t>
      </w:r>
      <w:r>
        <w:rPr>
          <w:rFonts w:hAnsi="宋体" w:eastAsia="宋体"/>
          <w:szCs w:val="21"/>
        </w:rPr>
        <w:t>、</w:t>
      </w:r>
      <w:r>
        <w:rPr>
          <w:rFonts w:eastAsia="宋体"/>
          <w:szCs w:val="21"/>
        </w:rPr>
        <w:t>“</w:t>
      </w:r>
      <w:r>
        <w:rPr>
          <w:rFonts w:hAnsi="宋体" w:eastAsia="宋体"/>
          <w:szCs w:val="21"/>
        </w:rPr>
        <w:t>副本</w:t>
      </w:r>
      <w:r>
        <w:rPr>
          <w:rFonts w:eastAsia="宋体"/>
          <w:szCs w:val="21"/>
        </w:rPr>
        <w:t>”</w:t>
      </w:r>
      <w:r>
        <w:rPr>
          <w:rFonts w:hAnsi="宋体" w:eastAsia="宋体"/>
          <w:szCs w:val="21"/>
        </w:rPr>
        <w:t>或</w:t>
      </w:r>
      <w:r>
        <w:rPr>
          <w:rFonts w:eastAsia="宋体"/>
          <w:szCs w:val="21"/>
        </w:rPr>
        <w:t>“</w:t>
      </w:r>
      <w:r>
        <w:rPr>
          <w:rFonts w:hAnsi="宋体" w:eastAsia="宋体"/>
          <w:szCs w:val="21"/>
        </w:rPr>
        <w:t>电子文件</w:t>
      </w:r>
      <w:r>
        <w:rPr>
          <w:rFonts w:eastAsia="宋体"/>
          <w:szCs w:val="21"/>
        </w:rPr>
        <w:t>”</w:t>
      </w:r>
      <w:r>
        <w:rPr>
          <w:rFonts w:hAnsi="宋体" w:eastAsia="宋体"/>
          <w:szCs w:val="21"/>
        </w:rPr>
        <w:t>。若正本和副本不符，以正本为准，电子版与纸制文件不符以纸制文件为准。投标文件要按照资格审查、资信、技术</w:t>
      </w:r>
      <w:r>
        <w:rPr>
          <w:rFonts w:hint="eastAsia" w:hAnsi="宋体" w:eastAsia="宋体"/>
          <w:szCs w:val="21"/>
        </w:rPr>
        <w:t>、</w:t>
      </w:r>
      <w:r>
        <w:rPr>
          <w:rFonts w:hAnsi="宋体" w:eastAsia="宋体"/>
          <w:szCs w:val="21"/>
        </w:rPr>
        <w:t>报价四部分单独装订成册。并按照投标须知规定的式样、密封和标记、时间和地点递交。</w:t>
      </w:r>
    </w:p>
    <w:p>
      <w:pPr>
        <w:numPr>
          <w:ilvl w:val="1"/>
          <w:numId w:val="20"/>
        </w:numPr>
        <w:spacing w:before="100" w:line="293" w:lineRule="auto"/>
        <w:rPr>
          <w:rFonts w:eastAsia="宋体"/>
          <w:szCs w:val="21"/>
        </w:rPr>
      </w:pPr>
      <w:r>
        <w:rPr>
          <w:rFonts w:hAnsi="宋体" w:eastAsia="宋体"/>
          <w:szCs w:val="21"/>
        </w:rPr>
        <w:t>投标文件</w:t>
      </w:r>
      <w:r>
        <w:rPr>
          <w:rFonts w:hint="eastAsia" w:hAnsi="宋体" w:eastAsia="宋体"/>
          <w:szCs w:val="21"/>
        </w:rPr>
        <w:t>应</w:t>
      </w:r>
      <w:r>
        <w:rPr>
          <w:rFonts w:hAnsi="宋体" w:eastAsia="宋体"/>
          <w:szCs w:val="21"/>
        </w:rPr>
        <w:t>由投标人法定代表人（负责人）或其授权委托人</w:t>
      </w:r>
      <w:r>
        <w:rPr>
          <w:rFonts w:hint="eastAsia" w:hAnsi="宋体" w:eastAsia="宋体"/>
          <w:szCs w:val="21"/>
        </w:rPr>
        <w:t>在招标文件规定的位置</w:t>
      </w:r>
      <w:r>
        <w:rPr>
          <w:rFonts w:hAnsi="宋体" w:eastAsia="宋体"/>
          <w:szCs w:val="21"/>
        </w:rPr>
        <w:t>签字</w:t>
      </w:r>
      <w:r>
        <w:rPr>
          <w:rFonts w:hint="eastAsia" w:hAnsi="宋体" w:eastAsia="宋体"/>
          <w:szCs w:val="21"/>
        </w:rPr>
        <w:t>或盖章</w:t>
      </w:r>
      <w:r>
        <w:rPr>
          <w:rFonts w:hAnsi="宋体" w:eastAsia="宋体"/>
          <w:szCs w:val="21"/>
        </w:rPr>
        <w:t>并加盖公章。授权委托人应将以书面形式出具的</w:t>
      </w:r>
      <w:r>
        <w:rPr>
          <w:rFonts w:eastAsia="宋体"/>
          <w:szCs w:val="21"/>
        </w:rPr>
        <w:t>“</w:t>
      </w:r>
      <w:r>
        <w:rPr>
          <w:rFonts w:hAnsi="宋体" w:eastAsia="宋体"/>
          <w:szCs w:val="21"/>
        </w:rPr>
        <w:t>法定代表人（负责人）授权书</w:t>
      </w:r>
      <w:r>
        <w:rPr>
          <w:rFonts w:eastAsia="宋体"/>
          <w:szCs w:val="21"/>
        </w:rPr>
        <w:t>”</w:t>
      </w:r>
      <w:r>
        <w:rPr>
          <w:rFonts w:hAnsi="宋体" w:eastAsia="宋体"/>
          <w:szCs w:val="21"/>
        </w:rPr>
        <w:t>附在投标文件中。</w:t>
      </w:r>
      <w:r>
        <w:rPr>
          <w:rFonts w:hint="eastAsia" w:hAnsi="宋体" w:eastAsia="宋体"/>
          <w:szCs w:val="21"/>
        </w:rPr>
        <w:t>投标文件需</w:t>
      </w:r>
      <w:r>
        <w:rPr>
          <w:rFonts w:hAnsi="宋体" w:eastAsia="宋体"/>
          <w:szCs w:val="21"/>
        </w:rPr>
        <w:t>骑缝加盖投标人单位公章。</w:t>
      </w:r>
    </w:p>
    <w:p>
      <w:pPr>
        <w:numPr>
          <w:ilvl w:val="1"/>
          <w:numId w:val="20"/>
        </w:numPr>
        <w:spacing w:before="100" w:line="293" w:lineRule="auto"/>
        <w:rPr>
          <w:rFonts w:eastAsia="宋体"/>
          <w:szCs w:val="21"/>
        </w:rPr>
      </w:pPr>
      <w:r>
        <w:rPr>
          <w:rFonts w:hAnsi="宋体" w:eastAsia="宋体"/>
          <w:szCs w:val="21"/>
        </w:rPr>
        <w:t>投标文件应无涂改和行间插字，除非是投标人造成的必须修改的错误，任何行间插字、涂改和增删，必须由投标人法定代表人（负责人）或其</w:t>
      </w:r>
      <w:r>
        <w:rPr>
          <w:rFonts w:hint="eastAsia" w:hAnsi="宋体" w:eastAsia="宋体"/>
          <w:szCs w:val="21"/>
        </w:rPr>
        <w:t>授权代理人</w:t>
      </w:r>
      <w:r>
        <w:rPr>
          <w:rFonts w:hAnsi="宋体" w:eastAsia="宋体"/>
          <w:szCs w:val="21"/>
        </w:rPr>
        <w:t>在旁边签字或盖章确认才有效</w:t>
      </w:r>
      <w:r>
        <w:rPr>
          <w:rFonts w:hAnsi="宋体" w:eastAsia="宋体"/>
        </w:rPr>
        <w:t>。</w:t>
      </w:r>
    </w:p>
    <w:p>
      <w:pPr>
        <w:numPr>
          <w:ilvl w:val="1"/>
          <w:numId w:val="20"/>
        </w:numPr>
        <w:spacing w:before="100" w:line="293" w:lineRule="auto"/>
        <w:rPr>
          <w:rFonts w:eastAsia="宋体"/>
          <w:szCs w:val="21"/>
        </w:rPr>
      </w:pPr>
      <w:r>
        <w:rPr>
          <w:rFonts w:hAnsi="宋体" w:eastAsia="宋体"/>
          <w:szCs w:val="21"/>
        </w:rPr>
        <w:t>招标人及招标代理机构拒绝接受以电报、电话、传真、电子邮件形式的投标。</w:t>
      </w:r>
    </w:p>
    <w:p>
      <w:pPr>
        <w:pStyle w:val="5"/>
        <w:numPr>
          <w:ilvl w:val="0"/>
          <w:numId w:val="4"/>
        </w:numPr>
        <w:spacing w:before="100" w:line="293" w:lineRule="auto"/>
        <w:rPr>
          <w:rFonts w:ascii="Times New Roman" w:hAnsi="Times New Roman" w:eastAsia="宋体"/>
          <w:sz w:val="24"/>
          <w:szCs w:val="24"/>
        </w:rPr>
      </w:pPr>
      <w:bookmarkStart w:id="496" w:name="_Toc55500019"/>
      <w:bookmarkStart w:id="497" w:name="_Toc30216"/>
      <w:bookmarkStart w:id="498" w:name="_Toc68417346"/>
      <w:bookmarkStart w:id="499" w:name="_Toc65597754"/>
      <w:bookmarkStart w:id="500" w:name="_Toc121830588"/>
      <w:bookmarkStart w:id="501" w:name="_Toc48995836"/>
      <w:bookmarkStart w:id="502" w:name="_Toc47418923"/>
      <w:bookmarkStart w:id="503" w:name="_Toc118061528"/>
      <w:bookmarkStart w:id="504" w:name="_Toc48791220"/>
      <w:bookmarkStart w:id="505" w:name="_Toc22550"/>
      <w:bookmarkStart w:id="506" w:name="_Toc47261870"/>
      <w:bookmarkStart w:id="507" w:name="_Toc47261055"/>
      <w:bookmarkStart w:id="508" w:name="_Toc213049022"/>
      <w:bookmarkStart w:id="509" w:name="_Toc47262054"/>
      <w:bookmarkStart w:id="510" w:name="_Toc121182315"/>
      <w:bookmarkStart w:id="511" w:name="_Toc65420103"/>
      <w:bookmarkStart w:id="512" w:name="_Toc72583497"/>
      <w:bookmarkStart w:id="513" w:name="_Toc65846705"/>
      <w:bookmarkStart w:id="514" w:name="_Toc49019482"/>
      <w:bookmarkStart w:id="515" w:name="_Toc223786522"/>
      <w:bookmarkStart w:id="516" w:name="_Toc47418716"/>
      <w:bookmarkStart w:id="517" w:name="_Toc121308045"/>
      <w:bookmarkStart w:id="518" w:name="_Toc375564281"/>
      <w:bookmarkStart w:id="519" w:name="_Toc118890523"/>
      <w:bookmarkStart w:id="520" w:name="_Toc47261675"/>
      <w:bookmarkStart w:id="521" w:name="_Toc70094690"/>
      <w:bookmarkStart w:id="522" w:name="_Toc65641129"/>
      <w:bookmarkStart w:id="523" w:name="_Toc68407753"/>
      <w:bookmarkStart w:id="524" w:name="_Toc119786483"/>
      <w:bookmarkStart w:id="525" w:name="_Toc47418240"/>
      <w:bookmarkStart w:id="526" w:name="_Toc65498375"/>
      <w:bookmarkStart w:id="527" w:name="_Toc49019221"/>
      <w:r>
        <w:rPr>
          <w:rFonts w:ascii="Times New Roman" w:hAnsi="宋体" w:eastAsia="宋体"/>
          <w:sz w:val="24"/>
          <w:szCs w:val="24"/>
        </w:rPr>
        <w:t>投标文件的密封和递交</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5"/>
        <w:numPr>
          <w:ilvl w:val="0"/>
          <w:numId w:val="5"/>
        </w:numPr>
        <w:spacing w:before="100" w:line="293" w:lineRule="auto"/>
        <w:rPr>
          <w:rFonts w:ascii="Times New Roman" w:hAnsi="Times New Roman" w:eastAsia="宋体"/>
          <w:sz w:val="21"/>
          <w:szCs w:val="21"/>
        </w:rPr>
      </w:pPr>
      <w:bookmarkStart w:id="528" w:name="_Toc68417347"/>
      <w:bookmarkStart w:id="529" w:name="_Toc121182316"/>
      <w:bookmarkStart w:id="530" w:name="_Toc70094691"/>
      <w:bookmarkStart w:id="531" w:name="_Toc65641130"/>
      <w:bookmarkStart w:id="532" w:name="_Toc65846706"/>
      <w:bookmarkStart w:id="533" w:name="_Toc118061529"/>
      <w:bookmarkStart w:id="534" w:name="_Toc121830589"/>
      <w:bookmarkStart w:id="535" w:name="_Toc72583498"/>
      <w:bookmarkStart w:id="536" w:name="_Toc29379"/>
      <w:bookmarkStart w:id="537" w:name="_Toc65597755"/>
      <w:bookmarkStart w:id="538" w:name="_Toc223786523"/>
      <w:bookmarkStart w:id="539" w:name="_Toc68407754"/>
      <w:bookmarkStart w:id="540" w:name="_Toc375564282"/>
      <w:bookmarkStart w:id="541" w:name="_Toc65420104"/>
      <w:bookmarkStart w:id="542" w:name="_Toc119786484"/>
      <w:bookmarkStart w:id="543" w:name="_Toc27887"/>
      <w:bookmarkStart w:id="544" w:name="_Toc65498376"/>
      <w:bookmarkStart w:id="545" w:name="_Toc121308046"/>
      <w:bookmarkStart w:id="546" w:name="_Toc118890524"/>
      <w:bookmarkStart w:id="547" w:name="_Toc213049023"/>
      <w:bookmarkStart w:id="548" w:name="_Toc16722"/>
      <w:r>
        <w:rPr>
          <w:rFonts w:ascii="Times New Roman" w:hAnsi="宋体" w:eastAsia="宋体"/>
          <w:sz w:val="21"/>
          <w:szCs w:val="21"/>
        </w:rPr>
        <w:t>投标文件的密封和标记</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numPr>
          <w:ilvl w:val="1"/>
          <w:numId w:val="21"/>
        </w:numPr>
        <w:spacing w:before="100" w:line="293" w:lineRule="auto"/>
        <w:rPr>
          <w:rFonts w:eastAsia="宋体"/>
          <w:szCs w:val="21"/>
        </w:rPr>
      </w:pPr>
      <w:r>
        <w:rPr>
          <w:rFonts w:hAnsi="宋体" w:eastAsia="宋体"/>
          <w:szCs w:val="21"/>
        </w:rPr>
        <w:t>封装方式</w:t>
      </w:r>
    </w:p>
    <w:p>
      <w:pPr>
        <w:numPr>
          <w:ilvl w:val="1"/>
          <w:numId w:val="22"/>
        </w:numPr>
        <w:tabs>
          <w:tab w:val="left" w:pos="420"/>
          <w:tab w:val="left" w:pos="720"/>
          <w:tab w:val="left" w:pos="1134"/>
        </w:tabs>
        <w:spacing w:before="100" w:line="293" w:lineRule="auto"/>
        <w:ind w:left="1060" w:hanging="2"/>
        <w:rPr>
          <w:rFonts w:eastAsia="宋体"/>
          <w:szCs w:val="21"/>
        </w:rPr>
      </w:pPr>
      <w:r>
        <w:rPr>
          <w:rFonts w:hAnsi="宋体" w:eastAsia="宋体"/>
          <w:szCs w:val="21"/>
        </w:rPr>
        <w:t>投标文件正本与副本应分别装订成册，采用无线胶装，不得采用活页方式，封面上应分别标明</w:t>
      </w:r>
      <w:r>
        <w:rPr>
          <w:rFonts w:eastAsia="宋体"/>
          <w:szCs w:val="21"/>
        </w:rPr>
        <w:t>“</w:t>
      </w:r>
      <w:r>
        <w:rPr>
          <w:rFonts w:hAnsi="宋体" w:eastAsia="宋体"/>
          <w:szCs w:val="21"/>
        </w:rPr>
        <w:t>正本</w:t>
      </w:r>
      <w:r>
        <w:rPr>
          <w:rFonts w:eastAsia="宋体"/>
          <w:szCs w:val="21"/>
        </w:rPr>
        <w:t>”</w:t>
      </w:r>
      <w:r>
        <w:rPr>
          <w:rFonts w:hAnsi="宋体" w:eastAsia="宋体"/>
          <w:szCs w:val="21"/>
        </w:rPr>
        <w:t>和</w:t>
      </w:r>
      <w:r>
        <w:rPr>
          <w:rFonts w:eastAsia="宋体"/>
          <w:szCs w:val="21"/>
        </w:rPr>
        <w:t>“</w:t>
      </w:r>
      <w:r>
        <w:rPr>
          <w:rFonts w:hAnsi="宋体" w:eastAsia="宋体"/>
          <w:szCs w:val="21"/>
        </w:rPr>
        <w:t>副本</w:t>
      </w:r>
      <w:r>
        <w:rPr>
          <w:rFonts w:eastAsia="宋体"/>
          <w:szCs w:val="21"/>
        </w:rPr>
        <w:t>”</w:t>
      </w:r>
      <w:r>
        <w:rPr>
          <w:rFonts w:hAnsi="宋体" w:eastAsia="宋体"/>
          <w:szCs w:val="21"/>
        </w:rPr>
        <w:t>字样。</w:t>
      </w:r>
    </w:p>
    <w:p>
      <w:pPr>
        <w:numPr>
          <w:ilvl w:val="1"/>
          <w:numId w:val="22"/>
        </w:numPr>
        <w:tabs>
          <w:tab w:val="left" w:pos="420"/>
          <w:tab w:val="left" w:pos="720"/>
          <w:tab w:val="left" w:pos="1134"/>
        </w:tabs>
        <w:spacing w:before="100" w:line="293" w:lineRule="auto"/>
        <w:ind w:left="1060" w:hanging="2"/>
        <w:rPr>
          <w:rFonts w:eastAsia="宋体"/>
          <w:szCs w:val="21"/>
        </w:rPr>
      </w:pPr>
      <w:r>
        <w:rPr>
          <w:rFonts w:hAnsi="宋体" w:eastAsia="宋体"/>
          <w:szCs w:val="21"/>
        </w:rPr>
        <w:t>投标人应将投标文件封装为四个包，分别密封在投标文件密封箱</w:t>
      </w:r>
      <w:r>
        <w:rPr>
          <w:rFonts w:eastAsia="宋体"/>
          <w:szCs w:val="21"/>
        </w:rPr>
        <w:t>/</w:t>
      </w:r>
      <w:r>
        <w:rPr>
          <w:rFonts w:hAnsi="宋体" w:eastAsia="宋体"/>
          <w:szCs w:val="21"/>
        </w:rPr>
        <w:t>袋里，四个包装中分别是：资格审查部分正本和副本、资信部分正本和副本、技术部分正本和副本、报价部分正本和副本（</w:t>
      </w:r>
      <w:r>
        <w:rPr>
          <w:rFonts w:hint="eastAsia" w:hAnsi="宋体" w:eastAsia="宋体"/>
          <w:szCs w:val="21"/>
        </w:rPr>
        <w:t>所有</w:t>
      </w:r>
      <w:r>
        <w:rPr>
          <w:rFonts w:hAnsi="宋体" w:eastAsia="宋体"/>
          <w:szCs w:val="21"/>
        </w:rPr>
        <w:t>电子版文件封入</w:t>
      </w:r>
      <w:r>
        <w:rPr>
          <w:rFonts w:hint="eastAsia" w:hAnsi="宋体" w:eastAsia="宋体"/>
          <w:szCs w:val="21"/>
        </w:rPr>
        <w:t>报价部分</w:t>
      </w:r>
      <w:r>
        <w:rPr>
          <w:rFonts w:hAnsi="宋体" w:eastAsia="宋体"/>
          <w:szCs w:val="21"/>
        </w:rPr>
        <w:t>包装内）。密封箱</w:t>
      </w:r>
      <w:r>
        <w:rPr>
          <w:rFonts w:eastAsia="宋体"/>
          <w:szCs w:val="21"/>
        </w:rPr>
        <w:t>/</w:t>
      </w:r>
      <w:r>
        <w:rPr>
          <w:rFonts w:hAnsi="宋体" w:eastAsia="宋体"/>
          <w:szCs w:val="21"/>
        </w:rPr>
        <w:t>袋上应清楚的标明</w:t>
      </w:r>
      <w:r>
        <w:rPr>
          <w:rFonts w:eastAsia="宋体"/>
          <w:szCs w:val="21"/>
        </w:rPr>
        <w:t>“</w:t>
      </w:r>
      <w:r>
        <w:rPr>
          <w:rFonts w:hAnsi="宋体" w:eastAsia="宋体"/>
          <w:szCs w:val="21"/>
        </w:rPr>
        <w:t>资格审查部分</w:t>
      </w:r>
      <w:r>
        <w:rPr>
          <w:rFonts w:eastAsia="宋体"/>
          <w:szCs w:val="21"/>
        </w:rPr>
        <w:t>”</w:t>
      </w:r>
      <w:r>
        <w:rPr>
          <w:rFonts w:hAnsi="宋体" w:eastAsia="宋体"/>
          <w:szCs w:val="21"/>
        </w:rPr>
        <w:t>、</w:t>
      </w:r>
      <w:r>
        <w:rPr>
          <w:rFonts w:eastAsia="宋体"/>
          <w:szCs w:val="21"/>
        </w:rPr>
        <w:t>“</w:t>
      </w:r>
      <w:r>
        <w:rPr>
          <w:rFonts w:hAnsi="宋体" w:eastAsia="宋体"/>
          <w:szCs w:val="21"/>
        </w:rPr>
        <w:t>资信部分</w:t>
      </w:r>
      <w:r>
        <w:rPr>
          <w:rFonts w:eastAsia="宋体"/>
          <w:szCs w:val="21"/>
        </w:rPr>
        <w:t>”</w:t>
      </w:r>
      <w:r>
        <w:rPr>
          <w:rFonts w:hAnsi="宋体" w:eastAsia="宋体"/>
          <w:szCs w:val="21"/>
        </w:rPr>
        <w:t>、</w:t>
      </w:r>
      <w:r>
        <w:rPr>
          <w:rFonts w:eastAsia="宋体"/>
          <w:szCs w:val="21"/>
        </w:rPr>
        <w:t>“</w:t>
      </w:r>
      <w:r>
        <w:rPr>
          <w:rFonts w:hAnsi="宋体" w:eastAsia="宋体"/>
          <w:szCs w:val="21"/>
        </w:rPr>
        <w:t>技术部分</w:t>
      </w:r>
      <w:r>
        <w:rPr>
          <w:rFonts w:eastAsia="宋体"/>
          <w:szCs w:val="21"/>
        </w:rPr>
        <w:t>”</w:t>
      </w:r>
      <w:r>
        <w:rPr>
          <w:rFonts w:hAnsi="宋体" w:eastAsia="宋体"/>
          <w:szCs w:val="21"/>
        </w:rPr>
        <w:t>、</w:t>
      </w:r>
      <w:r>
        <w:rPr>
          <w:rFonts w:eastAsia="宋体"/>
          <w:szCs w:val="21"/>
        </w:rPr>
        <w:t>“</w:t>
      </w:r>
      <w:r>
        <w:rPr>
          <w:rFonts w:hAnsi="宋体" w:eastAsia="宋体"/>
          <w:szCs w:val="21"/>
        </w:rPr>
        <w:t>报价部分</w:t>
      </w:r>
      <w:r>
        <w:rPr>
          <w:rFonts w:eastAsia="宋体"/>
          <w:szCs w:val="21"/>
        </w:rPr>
        <w:t>”</w:t>
      </w:r>
      <w:r>
        <w:rPr>
          <w:rFonts w:hAnsi="宋体" w:eastAsia="宋体"/>
          <w:szCs w:val="21"/>
        </w:rPr>
        <w:t>。最后，投标人</w:t>
      </w:r>
      <w:r>
        <w:rPr>
          <w:rFonts w:hint="eastAsia" w:hAnsi="宋体" w:eastAsia="宋体"/>
          <w:szCs w:val="21"/>
        </w:rPr>
        <w:t>可</w:t>
      </w:r>
      <w:r>
        <w:rPr>
          <w:rFonts w:hAnsi="宋体" w:eastAsia="宋体"/>
          <w:szCs w:val="21"/>
        </w:rPr>
        <w:t>将上述四个密封箱</w:t>
      </w:r>
      <w:r>
        <w:rPr>
          <w:rFonts w:eastAsia="宋体"/>
          <w:szCs w:val="21"/>
        </w:rPr>
        <w:t>/</w:t>
      </w:r>
      <w:r>
        <w:rPr>
          <w:rFonts w:hAnsi="宋体" w:eastAsia="宋体"/>
          <w:szCs w:val="21"/>
        </w:rPr>
        <w:t>袋统一封装在一个大的密封箱</w:t>
      </w:r>
      <w:r>
        <w:rPr>
          <w:rFonts w:eastAsia="宋体"/>
          <w:szCs w:val="21"/>
        </w:rPr>
        <w:t>/</w:t>
      </w:r>
      <w:r>
        <w:rPr>
          <w:rFonts w:hAnsi="宋体" w:eastAsia="宋体"/>
          <w:szCs w:val="21"/>
        </w:rPr>
        <w:t>袋内。</w:t>
      </w:r>
    </w:p>
    <w:p>
      <w:pPr>
        <w:numPr>
          <w:ilvl w:val="1"/>
          <w:numId w:val="22"/>
        </w:numPr>
        <w:tabs>
          <w:tab w:val="left" w:pos="420"/>
          <w:tab w:val="left" w:pos="720"/>
          <w:tab w:val="left" w:pos="1134"/>
        </w:tabs>
        <w:spacing w:before="100" w:line="293" w:lineRule="auto"/>
        <w:ind w:left="1060" w:hanging="2"/>
        <w:rPr>
          <w:rFonts w:eastAsia="宋体"/>
          <w:szCs w:val="21"/>
        </w:rPr>
      </w:pPr>
      <w:r>
        <w:rPr>
          <w:rFonts w:hAnsi="宋体" w:eastAsia="宋体"/>
          <w:szCs w:val="21"/>
        </w:rPr>
        <w:t>所有密封箱</w:t>
      </w:r>
      <w:r>
        <w:rPr>
          <w:rFonts w:eastAsia="宋体"/>
          <w:szCs w:val="21"/>
        </w:rPr>
        <w:t>/</w:t>
      </w:r>
      <w:r>
        <w:rPr>
          <w:rFonts w:hAnsi="宋体" w:eastAsia="宋体"/>
          <w:szCs w:val="21"/>
        </w:rPr>
        <w:t>袋应保证其密封性，并骑缝加盖投标人单位公章。</w:t>
      </w:r>
    </w:p>
    <w:p>
      <w:pPr>
        <w:numPr>
          <w:ilvl w:val="1"/>
          <w:numId w:val="21"/>
        </w:numPr>
        <w:spacing w:before="100" w:line="293" w:lineRule="auto"/>
        <w:rPr>
          <w:rFonts w:eastAsia="宋体"/>
          <w:szCs w:val="21"/>
        </w:rPr>
      </w:pPr>
      <w:r>
        <w:rPr>
          <w:rFonts w:hAnsi="宋体" w:eastAsia="宋体"/>
          <w:szCs w:val="21"/>
        </w:rPr>
        <w:t>所有密封箱</w:t>
      </w:r>
      <w:r>
        <w:rPr>
          <w:rFonts w:eastAsia="宋体"/>
          <w:szCs w:val="21"/>
        </w:rPr>
        <w:t>/</w:t>
      </w:r>
      <w:r>
        <w:rPr>
          <w:rFonts w:hAnsi="宋体" w:eastAsia="宋体"/>
          <w:szCs w:val="21"/>
        </w:rPr>
        <w:t>袋都应具有下列识别标志：</w:t>
      </w:r>
      <w:r>
        <w:rPr>
          <w:rFonts w:hint="eastAsia" w:hAnsi="宋体" w:eastAsia="宋体"/>
          <w:szCs w:val="21"/>
        </w:rPr>
        <w:t>项目名称、招标编号、投标人名称与地址、法定代表人（负责人）或授权代理人（签字或盖章）、“开标时间前不得开封”字样等。</w:t>
      </w:r>
    </w:p>
    <w:p>
      <w:pPr>
        <w:numPr>
          <w:ilvl w:val="1"/>
          <w:numId w:val="21"/>
        </w:numPr>
        <w:spacing w:before="100" w:line="293" w:lineRule="auto"/>
        <w:rPr>
          <w:rFonts w:eastAsia="宋体"/>
          <w:szCs w:val="21"/>
        </w:rPr>
      </w:pPr>
      <w:r>
        <w:rPr>
          <w:rFonts w:hAnsi="宋体" w:eastAsia="宋体"/>
          <w:szCs w:val="21"/>
        </w:rPr>
        <w:t>所有密封箱和密封袋上均应写明投标人的名称与地址，以便投标被宣布迟到时，能原封退回。</w:t>
      </w:r>
    </w:p>
    <w:p>
      <w:pPr>
        <w:numPr>
          <w:ilvl w:val="1"/>
          <w:numId w:val="21"/>
        </w:numPr>
        <w:spacing w:before="100" w:line="293" w:lineRule="auto"/>
        <w:rPr>
          <w:rFonts w:eastAsia="宋体"/>
          <w:szCs w:val="21"/>
        </w:rPr>
      </w:pPr>
      <w:r>
        <w:rPr>
          <w:rFonts w:hAnsi="宋体" w:eastAsia="宋体"/>
          <w:szCs w:val="21"/>
        </w:rPr>
        <w:t>如果密封箱和密封袋上没有按上述规定密封并加写标志，招标人将不承担投标文件错放或提前开封的责任，由此造成的提前开封的投标文件，招标人将予以拒绝，并退还给投标人。</w:t>
      </w:r>
    </w:p>
    <w:p>
      <w:pPr>
        <w:pStyle w:val="5"/>
        <w:numPr>
          <w:ilvl w:val="0"/>
          <w:numId w:val="5"/>
        </w:numPr>
        <w:spacing w:before="100" w:line="293" w:lineRule="auto"/>
        <w:rPr>
          <w:rFonts w:ascii="Times New Roman" w:hAnsi="Times New Roman" w:eastAsia="宋体"/>
          <w:sz w:val="21"/>
          <w:szCs w:val="21"/>
        </w:rPr>
      </w:pPr>
      <w:bookmarkStart w:id="549" w:name="_Toc216784702"/>
      <w:bookmarkEnd w:id="549"/>
      <w:bookmarkStart w:id="550" w:name="_Toc216783509"/>
      <w:bookmarkEnd w:id="550"/>
      <w:bookmarkStart w:id="551" w:name="_Toc68417348"/>
      <w:bookmarkStart w:id="552" w:name="_Toc65498377"/>
      <w:bookmarkStart w:id="553" w:name="_Toc29001"/>
      <w:bookmarkStart w:id="554" w:name="_Toc119786485"/>
      <w:bookmarkStart w:id="555" w:name="_Toc72583499"/>
      <w:bookmarkStart w:id="556" w:name="_Toc118890525"/>
      <w:bookmarkStart w:id="557" w:name="_Toc65420105"/>
      <w:bookmarkStart w:id="558" w:name="_Toc65641131"/>
      <w:bookmarkStart w:id="559" w:name="_Toc121308047"/>
      <w:bookmarkStart w:id="560" w:name="_Toc118061530"/>
      <w:bookmarkStart w:id="561" w:name="_Toc375564283"/>
      <w:bookmarkStart w:id="562" w:name="_Toc213049024"/>
      <w:bookmarkStart w:id="563" w:name="_Toc121182317"/>
      <w:bookmarkStart w:id="564" w:name="_Toc223786524"/>
      <w:bookmarkStart w:id="565" w:name="_Toc70094692"/>
      <w:bookmarkStart w:id="566" w:name="_Toc539"/>
      <w:bookmarkStart w:id="567" w:name="_Toc65846707"/>
      <w:bookmarkStart w:id="568" w:name="_Toc23750"/>
      <w:bookmarkStart w:id="569" w:name="_Toc68407755"/>
      <w:bookmarkStart w:id="570" w:name="_Toc121830590"/>
      <w:bookmarkStart w:id="571" w:name="_Toc65597756"/>
      <w:r>
        <w:rPr>
          <w:rFonts w:ascii="Times New Roman" w:hAnsi="宋体" w:eastAsia="宋体"/>
          <w:sz w:val="21"/>
          <w:szCs w:val="21"/>
        </w:rPr>
        <w:t>投标截止期</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numPr>
          <w:ilvl w:val="0"/>
          <w:numId w:val="23"/>
        </w:numPr>
        <w:spacing w:before="100" w:line="293" w:lineRule="auto"/>
        <w:rPr>
          <w:rFonts w:eastAsia="宋体"/>
          <w:szCs w:val="21"/>
        </w:rPr>
      </w:pPr>
      <w:r>
        <w:rPr>
          <w:rFonts w:hAnsi="宋体" w:eastAsia="宋体"/>
          <w:szCs w:val="21"/>
        </w:rPr>
        <w:t>所有投标文件应派专人送交，并须按</w:t>
      </w:r>
      <w:r>
        <w:rPr>
          <w:rFonts w:eastAsia="宋体"/>
          <w:szCs w:val="21"/>
        </w:rPr>
        <w:t>“</w:t>
      </w:r>
      <w:r>
        <w:rPr>
          <w:rFonts w:hAnsi="宋体" w:eastAsia="宋体"/>
          <w:szCs w:val="21"/>
        </w:rPr>
        <w:t>投标须知前附表</w:t>
      </w:r>
      <w:r>
        <w:rPr>
          <w:rFonts w:eastAsia="宋体"/>
          <w:szCs w:val="21"/>
        </w:rPr>
        <w:t>”</w:t>
      </w:r>
      <w:r>
        <w:rPr>
          <w:rFonts w:hAnsi="宋体" w:eastAsia="宋体"/>
          <w:szCs w:val="21"/>
        </w:rPr>
        <w:t>中规定的投标截止时间当日送至开标地点。如有必要，投标人可事先自行到该场地进行察看。</w:t>
      </w:r>
    </w:p>
    <w:p>
      <w:pPr>
        <w:numPr>
          <w:ilvl w:val="0"/>
          <w:numId w:val="23"/>
        </w:numPr>
        <w:spacing w:before="100" w:line="293" w:lineRule="auto"/>
        <w:rPr>
          <w:rFonts w:eastAsia="宋体"/>
          <w:b/>
          <w:szCs w:val="21"/>
        </w:rPr>
      </w:pPr>
      <w:r>
        <w:rPr>
          <w:rFonts w:hAnsi="宋体" w:eastAsia="宋体"/>
          <w:b/>
          <w:szCs w:val="21"/>
        </w:rPr>
        <w:t>投标人在递交投标文件时必须签到，否则投标无效。递交投标文件的时间晚于投标截止时间时，投标文件将不被接受。递交投标文件、参加开标会议和签署投标文件的</w:t>
      </w:r>
      <w:r>
        <w:rPr>
          <w:rFonts w:hint="eastAsia" w:hAnsi="宋体" w:eastAsia="宋体"/>
          <w:b/>
          <w:szCs w:val="21"/>
        </w:rPr>
        <w:t>授权代理人</w:t>
      </w:r>
      <w:r>
        <w:rPr>
          <w:rFonts w:hAnsi="宋体" w:eastAsia="宋体"/>
          <w:b/>
          <w:szCs w:val="21"/>
        </w:rPr>
        <w:t>均应为同一</w:t>
      </w:r>
      <w:r>
        <w:rPr>
          <w:rFonts w:hint="eastAsia" w:hAnsi="宋体" w:eastAsia="宋体"/>
          <w:b/>
          <w:szCs w:val="21"/>
        </w:rPr>
        <w:t>人</w:t>
      </w:r>
      <w:r>
        <w:rPr>
          <w:rFonts w:hAnsi="宋体" w:eastAsia="宋体"/>
          <w:b/>
          <w:szCs w:val="21"/>
        </w:rPr>
        <w:t>，否则作无效投标处理。</w:t>
      </w:r>
    </w:p>
    <w:p>
      <w:pPr>
        <w:numPr>
          <w:ilvl w:val="0"/>
          <w:numId w:val="23"/>
        </w:numPr>
        <w:spacing w:before="100" w:line="293" w:lineRule="auto"/>
        <w:rPr>
          <w:rFonts w:eastAsia="宋体"/>
          <w:szCs w:val="21"/>
        </w:rPr>
      </w:pPr>
      <w:r>
        <w:rPr>
          <w:rFonts w:hAnsi="宋体" w:eastAsia="宋体"/>
          <w:szCs w:val="21"/>
        </w:rPr>
        <w:t>出现投标须知第</w:t>
      </w:r>
      <w:r>
        <w:rPr>
          <w:rFonts w:eastAsia="宋体"/>
          <w:szCs w:val="21"/>
        </w:rPr>
        <w:t>7</w:t>
      </w:r>
      <w:r>
        <w:rPr>
          <w:rFonts w:hAnsi="宋体" w:eastAsia="宋体"/>
          <w:szCs w:val="21"/>
        </w:rPr>
        <w:t>条因招标文件的修改推迟投标截止时间时，则按招标代理机构和招标人修改通知规定的时间递交。在此情况下，招标人和投标人受投标截止时间制约的所有权利和义务均应延长至新的投标截止时间。</w:t>
      </w:r>
    </w:p>
    <w:p>
      <w:pPr>
        <w:pStyle w:val="5"/>
        <w:numPr>
          <w:ilvl w:val="0"/>
          <w:numId w:val="5"/>
        </w:numPr>
        <w:spacing w:before="100" w:line="293" w:lineRule="auto"/>
        <w:rPr>
          <w:rFonts w:ascii="Times New Roman" w:hAnsi="Times New Roman" w:eastAsia="宋体"/>
          <w:sz w:val="21"/>
          <w:szCs w:val="21"/>
        </w:rPr>
      </w:pPr>
      <w:bookmarkStart w:id="572" w:name="_Toc118061531"/>
      <w:bookmarkStart w:id="573" w:name="_Toc17341"/>
      <w:bookmarkStart w:id="574" w:name="_Toc72583500"/>
      <w:bookmarkStart w:id="575" w:name="_Toc121830591"/>
      <w:bookmarkStart w:id="576" w:name="_Toc121182318"/>
      <w:bookmarkStart w:id="577" w:name="_Toc65498378"/>
      <w:bookmarkStart w:id="578" w:name="_Toc65597757"/>
      <w:bookmarkStart w:id="579" w:name="_Toc68417349"/>
      <w:bookmarkStart w:id="580" w:name="_Toc223786525"/>
      <w:bookmarkStart w:id="581" w:name="_Toc118890526"/>
      <w:bookmarkStart w:id="582" w:name="_Toc121308048"/>
      <w:bookmarkStart w:id="583" w:name="_Toc65846708"/>
      <w:bookmarkStart w:id="584" w:name="_Toc65641132"/>
      <w:bookmarkStart w:id="585" w:name="_Toc65420106"/>
      <w:bookmarkStart w:id="586" w:name="_Toc68407756"/>
      <w:bookmarkStart w:id="587" w:name="_Toc9593"/>
      <w:bookmarkStart w:id="588" w:name="_Toc375564284"/>
      <w:bookmarkStart w:id="589" w:name="_Toc119786486"/>
      <w:bookmarkStart w:id="590" w:name="_Toc213049025"/>
      <w:bookmarkStart w:id="591" w:name="_Toc23877"/>
      <w:bookmarkStart w:id="592" w:name="_Toc70094693"/>
      <w:r>
        <w:rPr>
          <w:rFonts w:ascii="Times New Roman" w:hAnsi="宋体" w:eastAsia="宋体"/>
          <w:sz w:val="21"/>
          <w:szCs w:val="21"/>
        </w:rPr>
        <w:t>迟交的投标文件</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numPr>
          <w:ilvl w:val="0"/>
          <w:numId w:val="24"/>
        </w:numPr>
        <w:spacing w:before="100" w:line="293" w:lineRule="auto"/>
        <w:rPr>
          <w:rFonts w:eastAsia="宋体"/>
          <w:szCs w:val="21"/>
        </w:rPr>
      </w:pPr>
      <w:r>
        <w:rPr>
          <w:rFonts w:hAnsi="宋体" w:eastAsia="宋体"/>
          <w:szCs w:val="21"/>
        </w:rPr>
        <w:t>招标</w:t>
      </w:r>
      <w:r>
        <w:rPr>
          <w:rFonts w:hint="eastAsia" w:hAnsi="宋体" w:eastAsia="宋体"/>
          <w:szCs w:val="21"/>
        </w:rPr>
        <w:t>人</w:t>
      </w:r>
      <w:r>
        <w:rPr>
          <w:rFonts w:hAnsi="宋体" w:eastAsia="宋体"/>
          <w:szCs w:val="21"/>
        </w:rPr>
        <w:t>将拒绝并原封退回在</w:t>
      </w:r>
      <w:r>
        <w:rPr>
          <w:rFonts w:eastAsia="宋体"/>
          <w:szCs w:val="21"/>
        </w:rPr>
        <w:t>“</w:t>
      </w:r>
      <w:r>
        <w:rPr>
          <w:rFonts w:hAnsi="宋体" w:eastAsia="宋体"/>
          <w:szCs w:val="21"/>
        </w:rPr>
        <w:t>投标须知</w:t>
      </w:r>
      <w:r>
        <w:rPr>
          <w:rFonts w:eastAsia="宋体"/>
          <w:szCs w:val="21"/>
        </w:rPr>
        <w:t>”</w:t>
      </w:r>
      <w:r>
        <w:rPr>
          <w:rFonts w:hAnsi="宋体" w:eastAsia="宋体"/>
          <w:szCs w:val="21"/>
        </w:rPr>
        <w:t>第</w:t>
      </w:r>
      <w:r>
        <w:rPr>
          <w:rFonts w:hint="eastAsia" w:eastAsia="宋体"/>
          <w:szCs w:val="21"/>
        </w:rPr>
        <w:t>18</w:t>
      </w:r>
      <w:r>
        <w:rPr>
          <w:rFonts w:hAnsi="宋体" w:eastAsia="宋体"/>
          <w:szCs w:val="21"/>
        </w:rPr>
        <w:t>条规定的投标截止时间后收到的任何投标文件。</w:t>
      </w:r>
    </w:p>
    <w:p>
      <w:pPr>
        <w:pStyle w:val="5"/>
        <w:numPr>
          <w:ilvl w:val="0"/>
          <w:numId w:val="5"/>
        </w:numPr>
        <w:spacing w:before="100" w:line="293" w:lineRule="auto"/>
        <w:rPr>
          <w:rFonts w:ascii="Times New Roman" w:hAnsi="Times New Roman" w:eastAsia="宋体"/>
          <w:sz w:val="21"/>
          <w:szCs w:val="21"/>
        </w:rPr>
      </w:pPr>
      <w:bookmarkStart w:id="593" w:name="_Toc224010195"/>
      <w:bookmarkStart w:id="594" w:name="_Toc179089605"/>
      <w:bookmarkStart w:id="595" w:name="_Toc16021"/>
      <w:bookmarkStart w:id="596" w:name="_Toc468518939"/>
      <w:bookmarkStart w:id="597" w:name="_Toc167767463"/>
      <w:bookmarkStart w:id="598" w:name="_Toc167685224"/>
      <w:bookmarkStart w:id="599" w:name="_Toc463842030"/>
      <w:bookmarkStart w:id="600" w:name="_Toc14500"/>
      <w:bookmarkStart w:id="601" w:name="_Toc466081579"/>
      <w:bookmarkStart w:id="602" w:name="_Toc463840875"/>
      <w:bookmarkStart w:id="603" w:name="_Toc463840350"/>
      <w:bookmarkStart w:id="604" w:name="_Toc468781083"/>
      <w:bookmarkStart w:id="605" w:name="_Toc468512332"/>
      <w:bookmarkStart w:id="606" w:name="_Toc192127032"/>
      <w:bookmarkStart w:id="607" w:name="_Toc465683872"/>
      <w:bookmarkStart w:id="608" w:name="_Toc375564285"/>
      <w:bookmarkStart w:id="609" w:name="_Toc468509347"/>
      <w:bookmarkStart w:id="610" w:name="_Toc15811022"/>
      <w:bookmarkStart w:id="611" w:name="_Toc20884"/>
      <w:bookmarkStart w:id="612" w:name="_Toc463840094"/>
      <w:bookmarkStart w:id="613" w:name="_Toc179087250"/>
      <w:bookmarkStart w:id="614" w:name="_Toc118208113"/>
      <w:bookmarkStart w:id="615" w:name="_Toc176663501"/>
      <w:bookmarkStart w:id="616" w:name="_Toc468512145"/>
      <w:bookmarkStart w:id="617" w:name="_Toc72583501"/>
      <w:bookmarkStart w:id="618" w:name="_Toc65846709"/>
      <w:bookmarkStart w:id="619" w:name="_Toc213049026"/>
      <w:bookmarkStart w:id="620" w:name="_Toc121830592"/>
      <w:bookmarkStart w:id="621" w:name="_Toc68407757"/>
      <w:bookmarkStart w:id="622" w:name="_Toc118890527"/>
      <w:bookmarkStart w:id="623" w:name="_Toc118061532"/>
      <w:bookmarkStart w:id="624" w:name="_Toc65597758"/>
      <w:bookmarkStart w:id="625" w:name="_Toc121308049"/>
      <w:bookmarkStart w:id="626" w:name="_Toc70094694"/>
      <w:bookmarkStart w:id="627" w:name="_Toc68417350"/>
      <w:bookmarkStart w:id="628" w:name="_Toc119786487"/>
      <w:bookmarkStart w:id="629" w:name="_Toc65498379"/>
      <w:bookmarkStart w:id="630" w:name="_Toc121182319"/>
      <w:bookmarkStart w:id="631" w:name="_Toc65420107"/>
      <w:bookmarkStart w:id="632" w:name="_Toc223786526"/>
      <w:bookmarkStart w:id="633" w:name="_Toc65641133"/>
      <w:r>
        <w:rPr>
          <w:rFonts w:ascii="Times New Roman" w:hAnsi="宋体" w:eastAsia="宋体"/>
          <w:sz w:val="21"/>
          <w:szCs w:val="21"/>
        </w:rPr>
        <w:t>投标文件的修改和撤回</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numPr>
          <w:ilvl w:val="0"/>
          <w:numId w:val="25"/>
        </w:numPr>
        <w:spacing w:before="100" w:line="293" w:lineRule="auto"/>
        <w:rPr>
          <w:rFonts w:eastAsia="宋体"/>
          <w:szCs w:val="21"/>
        </w:rPr>
      </w:pPr>
      <w:r>
        <w:rPr>
          <w:rFonts w:hAnsi="宋体" w:eastAsia="宋体"/>
          <w:szCs w:val="21"/>
        </w:rPr>
        <w:t>投标人在提交投标文件后可对其投标文件进行修改或撤回，但该修改或撤回的书面通知须在投标截止时间之前送达招标代理机构；且该通知需经正式授权的投标人代表签字方为有效。</w:t>
      </w:r>
    </w:p>
    <w:p>
      <w:pPr>
        <w:numPr>
          <w:ilvl w:val="0"/>
          <w:numId w:val="25"/>
        </w:numPr>
        <w:tabs>
          <w:tab w:val="left" w:pos="1060"/>
        </w:tabs>
        <w:spacing w:before="100" w:line="293" w:lineRule="auto"/>
        <w:rPr>
          <w:rFonts w:eastAsia="宋体"/>
          <w:szCs w:val="21"/>
        </w:rPr>
      </w:pPr>
      <w:r>
        <w:rPr>
          <w:rFonts w:hAnsi="宋体" w:eastAsia="宋体"/>
          <w:szCs w:val="21"/>
        </w:rPr>
        <w:t>投标人对投标文件修改的书面材料或撤回的通知应按本投标须知</w:t>
      </w:r>
      <w:r>
        <w:rPr>
          <w:rFonts w:eastAsia="宋体"/>
          <w:szCs w:val="21"/>
        </w:rPr>
        <w:t>1</w:t>
      </w:r>
      <w:r>
        <w:rPr>
          <w:rFonts w:hint="eastAsia" w:eastAsia="宋体"/>
          <w:szCs w:val="21"/>
        </w:rPr>
        <w:t>6</w:t>
      </w:r>
      <w:r>
        <w:rPr>
          <w:rFonts w:hAnsi="宋体" w:eastAsia="宋体"/>
          <w:szCs w:val="21"/>
        </w:rPr>
        <w:t>和</w:t>
      </w:r>
      <w:r>
        <w:fldChar w:fldCharType="begin"/>
      </w:r>
      <w:r>
        <w:instrText xml:space="preserve"> HYPERLINK \l "_投标文件的密封和标记" </w:instrText>
      </w:r>
      <w:r>
        <w:fldChar w:fldCharType="separate"/>
      </w:r>
      <w:r>
        <w:rPr>
          <w:rFonts w:eastAsia="宋体"/>
          <w:szCs w:val="21"/>
        </w:rPr>
        <w:t>1</w:t>
      </w:r>
      <w:r>
        <w:rPr>
          <w:rFonts w:hint="eastAsia" w:eastAsia="宋体"/>
          <w:szCs w:val="21"/>
        </w:rPr>
        <w:t>7</w:t>
      </w:r>
      <w:r>
        <w:rPr>
          <w:rFonts w:hAnsi="宋体" w:eastAsia="宋体"/>
          <w:szCs w:val="21"/>
        </w:rPr>
        <w:t>条</w:t>
      </w:r>
      <w:r>
        <w:rPr>
          <w:rFonts w:hAnsi="宋体" w:eastAsia="宋体"/>
          <w:szCs w:val="21"/>
        </w:rPr>
        <w:fldChar w:fldCharType="end"/>
      </w:r>
      <w:r>
        <w:rPr>
          <w:rFonts w:hAnsi="宋体" w:eastAsia="宋体"/>
          <w:szCs w:val="21"/>
        </w:rPr>
        <w:t>规定进行编写、密封、标注和递送，并注明</w:t>
      </w:r>
      <w:r>
        <w:rPr>
          <w:rFonts w:eastAsia="宋体"/>
          <w:szCs w:val="21"/>
        </w:rPr>
        <w:t>“</w:t>
      </w:r>
      <w:r>
        <w:rPr>
          <w:rFonts w:hAnsi="宋体" w:eastAsia="宋体"/>
          <w:szCs w:val="21"/>
        </w:rPr>
        <w:t>修改投标文件</w:t>
      </w:r>
      <w:r>
        <w:rPr>
          <w:rFonts w:eastAsia="宋体"/>
          <w:szCs w:val="21"/>
        </w:rPr>
        <w:t>”</w:t>
      </w:r>
      <w:r>
        <w:rPr>
          <w:rFonts w:hAnsi="宋体" w:eastAsia="宋体"/>
          <w:szCs w:val="21"/>
        </w:rPr>
        <w:t>或</w:t>
      </w:r>
      <w:r>
        <w:rPr>
          <w:rFonts w:eastAsia="宋体"/>
          <w:szCs w:val="21"/>
        </w:rPr>
        <w:t>“</w:t>
      </w:r>
      <w:r>
        <w:rPr>
          <w:rFonts w:hAnsi="宋体" w:eastAsia="宋体"/>
          <w:szCs w:val="21"/>
        </w:rPr>
        <w:t>撤回投标书面通知</w:t>
      </w:r>
      <w:r>
        <w:rPr>
          <w:rFonts w:eastAsia="宋体"/>
          <w:szCs w:val="21"/>
        </w:rPr>
        <w:t>”</w:t>
      </w:r>
      <w:r>
        <w:rPr>
          <w:rFonts w:hAnsi="宋体" w:eastAsia="宋体"/>
          <w:szCs w:val="21"/>
        </w:rPr>
        <w:t>字样。</w:t>
      </w:r>
    </w:p>
    <w:p>
      <w:pPr>
        <w:numPr>
          <w:ilvl w:val="0"/>
          <w:numId w:val="25"/>
        </w:numPr>
        <w:spacing w:before="100" w:line="293" w:lineRule="auto"/>
        <w:rPr>
          <w:rFonts w:eastAsia="宋体"/>
          <w:szCs w:val="21"/>
        </w:rPr>
      </w:pPr>
      <w:r>
        <w:rPr>
          <w:rFonts w:hAnsi="宋体" w:eastAsia="宋体"/>
          <w:szCs w:val="21"/>
        </w:rPr>
        <w:t>投标截止时间以后投标人不得修改投标文件。</w:t>
      </w:r>
    </w:p>
    <w:p>
      <w:pPr>
        <w:numPr>
          <w:ilvl w:val="0"/>
          <w:numId w:val="25"/>
        </w:numPr>
        <w:spacing w:before="100" w:line="293" w:lineRule="auto"/>
        <w:rPr>
          <w:rFonts w:eastAsia="宋体"/>
          <w:szCs w:val="21"/>
        </w:rPr>
      </w:pPr>
      <w:r>
        <w:rPr>
          <w:rFonts w:hAnsi="宋体" w:eastAsia="宋体"/>
          <w:szCs w:val="21"/>
        </w:rPr>
        <w:t>投标人不得在投标截止时间至投标有效期期满前撤销投标文件。否则招标方将按本投标须知</w:t>
      </w:r>
      <w:r>
        <w:rPr>
          <w:rFonts w:eastAsia="宋体"/>
          <w:szCs w:val="21"/>
        </w:rPr>
        <w:t>1</w:t>
      </w:r>
      <w:r>
        <w:rPr>
          <w:rFonts w:hint="eastAsia" w:eastAsia="宋体"/>
          <w:szCs w:val="21"/>
        </w:rPr>
        <w:t>4</w:t>
      </w:r>
      <w:r>
        <w:rPr>
          <w:rFonts w:eastAsia="宋体"/>
          <w:szCs w:val="21"/>
        </w:rPr>
        <w:t>.</w:t>
      </w:r>
      <w:r>
        <w:rPr>
          <w:rFonts w:hint="eastAsia" w:eastAsia="宋体"/>
          <w:szCs w:val="21"/>
        </w:rPr>
        <w:t>7</w:t>
      </w:r>
      <w:r>
        <w:rPr>
          <w:rFonts w:hAnsi="宋体" w:eastAsia="宋体"/>
          <w:szCs w:val="21"/>
        </w:rPr>
        <w:t>条的规定没收其投标保证金，并要求对超出保证金数额部分的损失给予赔偿。</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5"/>
        <w:numPr>
          <w:ilvl w:val="0"/>
          <w:numId w:val="4"/>
        </w:numPr>
        <w:spacing w:before="100" w:line="293" w:lineRule="auto"/>
        <w:rPr>
          <w:rFonts w:ascii="Times New Roman" w:hAnsi="Times New Roman" w:eastAsia="宋体"/>
          <w:sz w:val="24"/>
          <w:szCs w:val="24"/>
        </w:rPr>
      </w:pPr>
      <w:bookmarkStart w:id="634" w:name="_Toc65498380"/>
      <w:bookmarkStart w:id="635" w:name="_Toc47418241"/>
      <w:bookmarkStart w:id="636" w:name="_Toc65420108"/>
      <w:bookmarkStart w:id="637" w:name="_Toc48791221"/>
      <w:bookmarkStart w:id="638" w:name="_Toc47418924"/>
      <w:bookmarkStart w:id="639" w:name="_Toc375564286"/>
      <w:bookmarkStart w:id="640" w:name="_Toc118061533"/>
      <w:bookmarkStart w:id="641" w:name="_Toc118890528"/>
      <w:bookmarkStart w:id="642" w:name="_Toc15361"/>
      <w:bookmarkStart w:id="643" w:name="_Toc119786488"/>
      <w:bookmarkStart w:id="644" w:name="_Toc121830593"/>
      <w:bookmarkStart w:id="645" w:name="_Toc49019222"/>
      <w:bookmarkStart w:id="646" w:name="_Toc65597759"/>
      <w:bookmarkStart w:id="647" w:name="_Toc72583502"/>
      <w:bookmarkStart w:id="648" w:name="_Toc65641134"/>
      <w:bookmarkStart w:id="649" w:name="_Toc68407758"/>
      <w:bookmarkStart w:id="650" w:name="_Toc121308050"/>
      <w:bookmarkStart w:id="651" w:name="_Toc47261056"/>
      <w:bookmarkStart w:id="652" w:name="_Toc48995837"/>
      <w:bookmarkStart w:id="653" w:name="_Toc49019483"/>
      <w:bookmarkStart w:id="654" w:name="_Toc55500020"/>
      <w:bookmarkStart w:id="655" w:name="_Toc47261871"/>
      <w:bookmarkStart w:id="656" w:name="_Toc213049027"/>
      <w:bookmarkStart w:id="657" w:name="_Toc121182320"/>
      <w:bookmarkStart w:id="658" w:name="_Toc223786527"/>
      <w:bookmarkStart w:id="659" w:name="_Toc70094695"/>
      <w:bookmarkStart w:id="660" w:name="_Toc16144"/>
      <w:bookmarkStart w:id="661" w:name="_Toc65846710"/>
      <w:bookmarkStart w:id="662" w:name="_Toc47261676"/>
      <w:bookmarkStart w:id="663" w:name="_Toc68417351"/>
      <w:bookmarkStart w:id="664" w:name="_Toc47262055"/>
      <w:bookmarkStart w:id="665" w:name="_Toc47418717"/>
      <w:r>
        <w:rPr>
          <w:rFonts w:ascii="Times New Roman" w:hAnsi="宋体" w:eastAsia="宋体"/>
          <w:sz w:val="24"/>
          <w:szCs w:val="24"/>
        </w:rPr>
        <w:t>开标与评标</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5"/>
        <w:numPr>
          <w:ilvl w:val="0"/>
          <w:numId w:val="5"/>
        </w:numPr>
        <w:spacing w:before="100" w:line="293" w:lineRule="auto"/>
        <w:rPr>
          <w:rFonts w:ascii="Times New Roman" w:hAnsi="Times New Roman" w:eastAsia="宋体"/>
          <w:sz w:val="21"/>
          <w:szCs w:val="21"/>
        </w:rPr>
      </w:pPr>
      <w:bookmarkStart w:id="666" w:name="_Toc65498381"/>
      <w:bookmarkStart w:id="667" w:name="_Toc7485"/>
      <w:bookmarkStart w:id="668" w:name="_Toc30801"/>
      <w:bookmarkStart w:id="669" w:name="_Toc375564287"/>
      <w:bookmarkStart w:id="670" w:name="_Toc65420109"/>
      <w:bookmarkStart w:id="671" w:name="_Toc223786528"/>
      <w:bookmarkStart w:id="672" w:name="_Toc65641135"/>
      <w:bookmarkStart w:id="673" w:name="_Toc121308051"/>
      <w:bookmarkStart w:id="674" w:name="_Toc118061534"/>
      <w:bookmarkStart w:id="675" w:name="_Toc65846711"/>
      <w:bookmarkStart w:id="676" w:name="_Toc72583503"/>
      <w:bookmarkStart w:id="677" w:name="_Toc70094696"/>
      <w:bookmarkStart w:id="678" w:name="_Toc68407759"/>
      <w:bookmarkStart w:id="679" w:name="_Toc121830594"/>
      <w:bookmarkStart w:id="680" w:name="_Toc119786489"/>
      <w:bookmarkStart w:id="681" w:name="_Toc121182321"/>
      <w:bookmarkStart w:id="682" w:name="_Toc32215"/>
      <w:bookmarkStart w:id="683" w:name="_Toc118890529"/>
      <w:bookmarkStart w:id="684" w:name="_Toc68417352"/>
      <w:bookmarkStart w:id="685" w:name="_Toc65597760"/>
      <w:bookmarkStart w:id="686" w:name="_Toc213049028"/>
      <w:r>
        <w:rPr>
          <w:rFonts w:ascii="Times New Roman" w:hAnsi="宋体" w:eastAsia="宋体"/>
          <w:sz w:val="21"/>
          <w:szCs w:val="21"/>
        </w:rPr>
        <w:t>开标</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numPr>
          <w:ilvl w:val="1"/>
          <w:numId w:val="26"/>
        </w:numPr>
        <w:spacing w:before="100" w:line="293" w:lineRule="auto"/>
        <w:rPr>
          <w:rFonts w:eastAsia="宋体"/>
          <w:b/>
          <w:bCs/>
          <w:szCs w:val="21"/>
        </w:rPr>
      </w:pPr>
      <w:r>
        <w:rPr>
          <w:rFonts w:hint="eastAsia" w:eastAsia="宋体"/>
          <w:szCs w:val="21"/>
        </w:rPr>
        <w:t>本项目招标人将于投标截止时间的同一时间即按照本须知前附表规定的时间和地点公开举行开标会议，投标人的法定代表人（负责人）或其授权代理人应到现场参加开标会议。其中：</w:t>
      </w:r>
      <w:r>
        <w:rPr>
          <w:rFonts w:hint="eastAsia" w:eastAsia="宋体"/>
          <w:b/>
          <w:bCs/>
          <w:szCs w:val="21"/>
        </w:rPr>
        <w:t>法定代表人（负责人）参会的，应携带法定代表人（负责人）资格证明书原件、身份证原件，按要求签到；授权代理人参会的，应携带法定代表人（负责人）资格证明书、授权委托书原件及本人的身份证原件，按要求签到；否则视其投标无效。</w:t>
      </w:r>
    </w:p>
    <w:p>
      <w:pPr>
        <w:numPr>
          <w:ilvl w:val="1"/>
          <w:numId w:val="26"/>
        </w:numPr>
        <w:spacing w:before="100" w:line="293" w:lineRule="auto"/>
        <w:rPr>
          <w:rFonts w:eastAsia="宋体"/>
          <w:szCs w:val="21"/>
        </w:rPr>
      </w:pPr>
      <w:r>
        <w:rPr>
          <w:rFonts w:hAnsi="宋体" w:eastAsia="宋体"/>
          <w:szCs w:val="21"/>
        </w:rPr>
        <w:t>开标会议由招标代理机构组织并主持。</w:t>
      </w:r>
    </w:p>
    <w:p>
      <w:pPr>
        <w:numPr>
          <w:ilvl w:val="1"/>
          <w:numId w:val="26"/>
        </w:numPr>
        <w:spacing w:before="100" w:line="293" w:lineRule="auto"/>
        <w:rPr>
          <w:rFonts w:eastAsia="宋体"/>
          <w:szCs w:val="21"/>
        </w:rPr>
      </w:pPr>
      <w:r>
        <w:rPr>
          <w:rFonts w:hAnsi="宋体" w:eastAsia="宋体"/>
          <w:szCs w:val="21"/>
        </w:rPr>
        <w:t>开标会议程序</w:t>
      </w:r>
    </w:p>
    <w:p>
      <w:pPr>
        <w:numPr>
          <w:ilvl w:val="1"/>
          <w:numId w:val="27"/>
        </w:numPr>
        <w:tabs>
          <w:tab w:val="left" w:pos="420"/>
          <w:tab w:val="left" w:pos="720"/>
          <w:tab w:val="left" w:pos="1134"/>
        </w:tabs>
        <w:spacing w:before="100" w:line="293" w:lineRule="auto"/>
        <w:ind w:left="1058" w:leftChars="503" w:hanging="2"/>
        <w:rPr>
          <w:rFonts w:eastAsia="宋体"/>
          <w:szCs w:val="21"/>
        </w:rPr>
      </w:pPr>
      <w:r>
        <w:rPr>
          <w:rFonts w:hAnsi="宋体" w:eastAsia="宋体"/>
          <w:szCs w:val="21"/>
        </w:rPr>
        <w:t>主持人宣布开标会议开始。</w:t>
      </w:r>
    </w:p>
    <w:p>
      <w:pPr>
        <w:numPr>
          <w:ilvl w:val="1"/>
          <w:numId w:val="27"/>
        </w:numPr>
        <w:tabs>
          <w:tab w:val="left" w:pos="420"/>
          <w:tab w:val="left" w:pos="720"/>
          <w:tab w:val="left" w:pos="1134"/>
        </w:tabs>
        <w:spacing w:before="100" w:line="293" w:lineRule="auto"/>
        <w:ind w:left="1058" w:leftChars="503" w:hanging="2"/>
        <w:rPr>
          <w:rFonts w:eastAsia="宋体"/>
          <w:szCs w:val="21"/>
        </w:rPr>
      </w:pPr>
      <w:r>
        <w:rPr>
          <w:rFonts w:hAnsi="宋体" w:eastAsia="宋体"/>
          <w:szCs w:val="21"/>
        </w:rPr>
        <w:t>介绍参加开标会议的人员名单（包括</w:t>
      </w:r>
      <w:r>
        <w:rPr>
          <w:rFonts w:hint="eastAsia" w:hAnsi="宋体" w:eastAsia="宋体"/>
          <w:szCs w:val="21"/>
        </w:rPr>
        <w:t>开标人、</w:t>
      </w:r>
      <w:r>
        <w:rPr>
          <w:rFonts w:hAnsi="宋体" w:eastAsia="宋体"/>
          <w:szCs w:val="21"/>
        </w:rPr>
        <w:t>唱标</w:t>
      </w:r>
      <w:r>
        <w:rPr>
          <w:rFonts w:hint="eastAsia" w:hAnsi="宋体" w:eastAsia="宋体"/>
          <w:szCs w:val="21"/>
        </w:rPr>
        <w:t>人</w:t>
      </w:r>
      <w:r>
        <w:rPr>
          <w:rFonts w:hAnsi="宋体" w:eastAsia="宋体"/>
          <w:szCs w:val="21"/>
        </w:rPr>
        <w:t>、记录人员）。</w:t>
      </w:r>
    </w:p>
    <w:p>
      <w:pPr>
        <w:numPr>
          <w:ilvl w:val="1"/>
          <w:numId w:val="27"/>
        </w:numPr>
        <w:tabs>
          <w:tab w:val="left" w:pos="420"/>
          <w:tab w:val="left" w:pos="720"/>
          <w:tab w:val="left" w:pos="1134"/>
        </w:tabs>
        <w:spacing w:before="100" w:line="293" w:lineRule="auto"/>
        <w:ind w:left="1058" w:leftChars="503" w:hanging="2"/>
        <w:rPr>
          <w:rFonts w:hAnsi="宋体" w:eastAsia="宋体"/>
          <w:b/>
          <w:bCs/>
          <w:szCs w:val="21"/>
        </w:rPr>
      </w:pPr>
      <w:r>
        <w:rPr>
          <w:rFonts w:hAnsi="宋体" w:eastAsia="宋体"/>
          <w:szCs w:val="21"/>
        </w:rPr>
        <w:t>招标人代表检验参加开标会议的各投标人的法定代表人（负责人）或其</w:t>
      </w:r>
      <w:r>
        <w:rPr>
          <w:rFonts w:hint="eastAsia" w:hAnsi="宋体" w:eastAsia="宋体"/>
          <w:szCs w:val="21"/>
        </w:rPr>
        <w:t>授权代理人</w:t>
      </w:r>
      <w:r>
        <w:rPr>
          <w:rFonts w:hAnsi="宋体" w:eastAsia="宋体"/>
          <w:szCs w:val="21"/>
        </w:rPr>
        <w:t>的身份证明材料，</w:t>
      </w:r>
      <w:r>
        <w:rPr>
          <w:rFonts w:hAnsi="宋体" w:eastAsia="宋体"/>
          <w:b/>
          <w:bCs/>
          <w:szCs w:val="21"/>
        </w:rPr>
        <w:t>否则</w:t>
      </w:r>
      <w:r>
        <w:rPr>
          <w:rFonts w:hint="eastAsia" w:hAnsi="宋体" w:eastAsia="宋体"/>
          <w:b/>
          <w:bCs/>
          <w:szCs w:val="21"/>
        </w:rPr>
        <w:t>视其投标无效。</w:t>
      </w:r>
    </w:p>
    <w:p>
      <w:pPr>
        <w:numPr>
          <w:ilvl w:val="1"/>
          <w:numId w:val="27"/>
        </w:numPr>
        <w:tabs>
          <w:tab w:val="left" w:pos="420"/>
          <w:tab w:val="left" w:pos="720"/>
          <w:tab w:val="left" w:pos="1134"/>
        </w:tabs>
        <w:spacing w:before="100" w:line="293" w:lineRule="auto"/>
        <w:ind w:left="1058" w:leftChars="503" w:hanging="2"/>
        <w:rPr>
          <w:rFonts w:eastAsia="宋体"/>
          <w:szCs w:val="21"/>
        </w:rPr>
      </w:pPr>
      <w:r>
        <w:rPr>
          <w:rFonts w:hAnsi="宋体" w:eastAsia="宋体"/>
          <w:szCs w:val="21"/>
        </w:rPr>
        <w:t>各投标人代表检验各投标文件</w:t>
      </w:r>
      <w:r>
        <w:rPr>
          <w:rFonts w:hint="eastAsia" w:hAnsi="宋体" w:eastAsia="宋体"/>
          <w:szCs w:val="21"/>
        </w:rPr>
        <w:t>外包</w:t>
      </w:r>
      <w:r>
        <w:rPr>
          <w:rFonts w:hAnsi="宋体" w:eastAsia="宋体"/>
          <w:szCs w:val="21"/>
        </w:rPr>
        <w:t>密封的完整性。</w:t>
      </w:r>
    </w:p>
    <w:p>
      <w:pPr>
        <w:numPr>
          <w:ilvl w:val="1"/>
          <w:numId w:val="27"/>
        </w:numPr>
        <w:tabs>
          <w:tab w:val="left" w:pos="420"/>
          <w:tab w:val="left" w:pos="720"/>
          <w:tab w:val="left" w:pos="1134"/>
        </w:tabs>
        <w:spacing w:before="100" w:line="293" w:lineRule="auto"/>
        <w:ind w:left="1058" w:leftChars="503" w:hanging="2"/>
        <w:rPr>
          <w:rFonts w:eastAsia="宋体"/>
          <w:szCs w:val="21"/>
        </w:rPr>
      </w:pPr>
      <w:r>
        <w:rPr>
          <w:rFonts w:hAnsi="宋体" w:eastAsia="宋体"/>
          <w:szCs w:val="21"/>
        </w:rPr>
        <w:t>招标代理机构工作人员启封投标文件，对未按要求密封和逾期送达的投标文件不予启封。</w:t>
      </w:r>
    </w:p>
    <w:p>
      <w:pPr>
        <w:numPr>
          <w:ilvl w:val="1"/>
          <w:numId w:val="27"/>
        </w:numPr>
        <w:tabs>
          <w:tab w:val="left" w:pos="420"/>
          <w:tab w:val="left" w:pos="720"/>
          <w:tab w:val="left" w:pos="1134"/>
        </w:tabs>
        <w:spacing w:before="100" w:line="293" w:lineRule="auto"/>
        <w:ind w:left="1058" w:leftChars="503" w:hanging="2"/>
        <w:rPr>
          <w:rFonts w:eastAsia="宋体"/>
          <w:szCs w:val="21"/>
        </w:rPr>
      </w:pPr>
      <w:r>
        <w:rPr>
          <w:rFonts w:hAnsi="宋体" w:eastAsia="宋体"/>
          <w:szCs w:val="21"/>
        </w:rPr>
        <w:t>招标人代表检验已开封的投标文件是否符合招标文件的有关规定。</w:t>
      </w:r>
    </w:p>
    <w:p>
      <w:pPr>
        <w:numPr>
          <w:ilvl w:val="1"/>
          <w:numId w:val="27"/>
        </w:numPr>
        <w:tabs>
          <w:tab w:val="left" w:pos="420"/>
          <w:tab w:val="left" w:pos="720"/>
          <w:tab w:val="left" w:pos="1134"/>
        </w:tabs>
        <w:spacing w:before="100" w:line="293" w:lineRule="auto"/>
        <w:ind w:left="1058" w:leftChars="503" w:hanging="2"/>
        <w:rPr>
          <w:rFonts w:eastAsia="宋体"/>
          <w:szCs w:val="21"/>
        </w:rPr>
      </w:pPr>
      <w:r>
        <w:rPr>
          <w:rFonts w:hAnsi="宋体" w:eastAsia="宋体"/>
          <w:szCs w:val="21"/>
        </w:rPr>
        <w:t>唱标</w:t>
      </w:r>
      <w:r>
        <w:rPr>
          <w:rFonts w:hint="eastAsia" w:hAnsi="宋体" w:eastAsia="宋体"/>
          <w:szCs w:val="21"/>
        </w:rPr>
        <w:t>。</w:t>
      </w:r>
      <w:r>
        <w:rPr>
          <w:rFonts w:hAnsi="宋体" w:eastAsia="宋体"/>
          <w:szCs w:val="21"/>
        </w:rPr>
        <w:t>主持人宣读投标人名称、投标报价和投标文件的其他主要内容。唱标顺序按投标文件递交顺序进行，招标代理机构应做好开标记录，存档备查。投标人代表、招标人代表、记录人等有关人员在开标记录上签字确认。</w:t>
      </w:r>
    </w:p>
    <w:p>
      <w:pPr>
        <w:numPr>
          <w:ilvl w:val="1"/>
          <w:numId w:val="27"/>
        </w:numPr>
        <w:tabs>
          <w:tab w:val="left" w:pos="420"/>
          <w:tab w:val="left" w:pos="720"/>
          <w:tab w:val="left" w:pos="1134"/>
        </w:tabs>
        <w:spacing w:before="100" w:line="293" w:lineRule="auto"/>
        <w:ind w:left="1058" w:leftChars="503" w:hanging="2"/>
        <w:rPr>
          <w:rFonts w:eastAsia="宋体"/>
          <w:szCs w:val="21"/>
        </w:rPr>
      </w:pPr>
      <w:r>
        <w:rPr>
          <w:rFonts w:hAnsi="宋体" w:eastAsia="宋体"/>
          <w:szCs w:val="21"/>
        </w:rPr>
        <w:t>主持人宣布评标期间的有关事项。</w:t>
      </w:r>
    </w:p>
    <w:p>
      <w:pPr>
        <w:numPr>
          <w:ilvl w:val="1"/>
          <w:numId w:val="27"/>
        </w:numPr>
        <w:tabs>
          <w:tab w:val="left" w:pos="420"/>
          <w:tab w:val="left" w:pos="720"/>
          <w:tab w:val="left" w:pos="1134"/>
        </w:tabs>
        <w:spacing w:before="100" w:line="293" w:lineRule="auto"/>
        <w:ind w:left="1058" w:leftChars="503" w:hanging="2"/>
        <w:rPr>
          <w:rFonts w:eastAsia="宋体"/>
          <w:szCs w:val="21"/>
        </w:rPr>
      </w:pPr>
      <w:r>
        <w:rPr>
          <w:rFonts w:hAnsi="宋体" w:eastAsia="宋体"/>
          <w:szCs w:val="21"/>
        </w:rPr>
        <w:t>主持人宣布开标会议结束。</w:t>
      </w:r>
    </w:p>
    <w:p>
      <w:pPr>
        <w:numPr>
          <w:ilvl w:val="1"/>
          <w:numId w:val="27"/>
        </w:numPr>
        <w:tabs>
          <w:tab w:val="left" w:pos="420"/>
          <w:tab w:val="left" w:pos="720"/>
          <w:tab w:val="left" w:pos="1134"/>
          <w:tab w:val="left" w:pos="1470"/>
          <w:tab w:val="left" w:pos="1680"/>
          <w:tab w:val="left" w:pos="1890"/>
          <w:tab w:val="left" w:pos="2100"/>
        </w:tabs>
        <w:spacing w:before="100" w:line="293" w:lineRule="auto"/>
        <w:ind w:left="1058" w:leftChars="503" w:hanging="2"/>
        <w:rPr>
          <w:rFonts w:eastAsia="宋体"/>
          <w:szCs w:val="21"/>
        </w:rPr>
      </w:pPr>
      <w:r>
        <w:rPr>
          <w:rFonts w:hAnsi="宋体" w:eastAsia="宋体"/>
          <w:szCs w:val="21"/>
        </w:rPr>
        <w:t>工作人员将有效的投标文件送评标委员会评审。</w:t>
      </w:r>
    </w:p>
    <w:p>
      <w:pPr>
        <w:numPr>
          <w:ilvl w:val="1"/>
          <w:numId w:val="27"/>
        </w:numPr>
        <w:tabs>
          <w:tab w:val="left" w:pos="420"/>
          <w:tab w:val="left" w:pos="720"/>
          <w:tab w:val="left" w:pos="1134"/>
          <w:tab w:val="left" w:pos="1680"/>
          <w:tab w:val="left" w:pos="1890"/>
        </w:tabs>
        <w:spacing w:before="100" w:line="293" w:lineRule="auto"/>
        <w:ind w:left="1058" w:leftChars="503" w:hanging="2"/>
        <w:rPr>
          <w:rFonts w:eastAsia="宋体"/>
          <w:szCs w:val="21"/>
        </w:rPr>
      </w:pPr>
      <w:r>
        <w:rPr>
          <w:rFonts w:hint="eastAsia" w:hAnsi="宋体" w:eastAsia="宋体"/>
          <w:szCs w:val="21"/>
        </w:rPr>
        <w:t>只有通过资格审查</w:t>
      </w:r>
      <w:r>
        <w:rPr>
          <w:rFonts w:hAnsi="宋体" w:eastAsia="宋体"/>
          <w:bCs/>
          <w:szCs w:val="21"/>
        </w:rPr>
        <w:t>的投标人</w:t>
      </w:r>
      <w:r>
        <w:rPr>
          <w:rFonts w:hint="eastAsia" w:hAnsi="宋体" w:eastAsia="宋体"/>
          <w:bCs/>
          <w:szCs w:val="21"/>
        </w:rPr>
        <w:t>才能进入详细</w:t>
      </w:r>
      <w:r>
        <w:rPr>
          <w:rFonts w:hAnsi="宋体" w:eastAsia="宋体"/>
          <w:bCs/>
          <w:szCs w:val="21"/>
        </w:rPr>
        <w:t>评审</w:t>
      </w:r>
      <w:r>
        <w:rPr>
          <w:rFonts w:hint="eastAsia" w:eastAsia="宋体"/>
        </w:rPr>
        <w:t>。</w:t>
      </w:r>
    </w:p>
    <w:p>
      <w:pPr>
        <w:numPr>
          <w:ilvl w:val="1"/>
          <w:numId w:val="26"/>
        </w:numPr>
        <w:spacing w:before="100" w:line="293" w:lineRule="auto"/>
        <w:rPr>
          <w:rFonts w:eastAsia="宋体"/>
          <w:szCs w:val="21"/>
        </w:rPr>
      </w:pPr>
      <w:r>
        <w:rPr>
          <w:rFonts w:hAnsi="宋体" w:eastAsia="宋体"/>
          <w:szCs w:val="21"/>
        </w:rPr>
        <w:t>投标文件有下列情形之一的，招标人将当场予以拒绝，不再对其进行开标和后续评标，并原封退还投标人：</w:t>
      </w:r>
    </w:p>
    <w:p>
      <w:pPr>
        <w:numPr>
          <w:ilvl w:val="1"/>
          <w:numId w:val="28"/>
        </w:numPr>
        <w:tabs>
          <w:tab w:val="left" w:pos="420"/>
          <w:tab w:val="left" w:pos="720"/>
          <w:tab w:val="left" w:pos="1134"/>
        </w:tabs>
        <w:spacing w:before="100" w:line="293" w:lineRule="auto"/>
        <w:ind w:left="420" w:firstLine="641" w:firstLineChars="304"/>
        <w:rPr>
          <w:rFonts w:eastAsia="宋体"/>
          <w:b/>
          <w:szCs w:val="21"/>
        </w:rPr>
      </w:pPr>
      <w:r>
        <w:rPr>
          <w:rFonts w:hAnsi="宋体" w:eastAsia="宋体"/>
          <w:b/>
          <w:szCs w:val="21"/>
        </w:rPr>
        <w:t>投标文件逾期送达的或者未送达指定地点的；</w:t>
      </w:r>
    </w:p>
    <w:p>
      <w:pPr>
        <w:numPr>
          <w:ilvl w:val="1"/>
          <w:numId w:val="28"/>
        </w:numPr>
        <w:tabs>
          <w:tab w:val="left" w:pos="420"/>
          <w:tab w:val="left" w:pos="720"/>
          <w:tab w:val="left" w:pos="1134"/>
        </w:tabs>
        <w:spacing w:before="100" w:line="293" w:lineRule="auto"/>
        <w:ind w:left="420" w:firstLine="641" w:firstLineChars="304"/>
        <w:rPr>
          <w:rFonts w:eastAsia="宋体"/>
          <w:b/>
          <w:szCs w:val="21"/>
        </w:rPr>
      </w:pPr>
      <w:r>
        <w:rPr>
          <w:rFonts w:hAnsi="宋体" w:eastAsia="宋体"/>
          <w:b/>
          <w:szCs w:val="21"/>
        </w:rPr>
        <w:t>投标文件未按招标文件要求密封的。</w:t>
      </w:r>
    </w:p>
    <w:p>
      <w:pPr>
        <w:numPr>
          <w:ilvl w:val="1"/>
          <w:numId w:val="26"/>
        </w:numPr>
        <w:spacing w:before="100" w:line="293" w:lineRule="auto"/>
        <w:rPr>
          <w:rFonts w:eastAsia="宋体"/>
          <w:szCs w:val="28"/>
        </w:rPr>
      </w:pPr>
      <w:r>
        <w:rPr>
          <w:rFonts w:hAnsi="宋体" w:eastAsia="宋体"/>
          <w:szCs w:val="28"/>
        </w:rPr>
        <w:t>在开标时因不符合规定而没有启封和读出的投标文件</w:t>
      </w:r>
      <w:r>
        <w:rPr>
          <w:rFonts w:eastAsia="宋体"/>
          <w:szCs w:val="28"/>
        </w:rPr>
        <w:t>(</w:t>
      </w:r>
      <w:r>
        <w:rPr>
          <w:rFonts w:hAnsi="宋体" w:eastAsia="宋体"/>
          <w:szCs w:val="28"/>
        </w:rPr>
        <w:t>包括按照本须知第</w:t>
      </w:r>
      <w:r>
        <w:rPr>
          <w:rFonts w:eastAsia="宋体"/>
          <w:szCs w:val="28"/>
        </w:rPr>
        <w:t>2</w:t>
      </w:r>
      <w:r>
        <w:rPr>
          <w:rFonts w:hint="eastAsia" w:eastAsia="宋体"/>
          <w:szCs w:val="28"/>
        </w:rPr>
        <w:t>0</w:t>
      </w:r>
      <w:r>
        <w:rPr>
          <w:rFonts w:hAnsi="宋体" w:eastAsia="宋体"/>
          <w:szCs w:val="28"/>
        </w:rPr>
        <w:t>条递交的修改书</w:t>
      </w:r>
      <w:r>
        <w:rPr>
          <w:rFonts w:eastAsia="宋体"/>
          <w:szCs w:val="28"/>
        </w:rPr>
        <w:t>)</w:t>
      </w:r>
      <w:r>
        <w:rPr>
          <w:rFonts w:hAnsi="宋体" w:eastAsia="宋体"/>
          <w:szCs w:val="28"/>
        </w:rPr>
        <w:t>，在评标时将不予考虑。撤回的投标文件将原封退回给投标人。</w:t>
      </w:r>
    </w:p>
    <w:p>
      <w:pPr>
        <w:pStyle w:val="5"/>
        <w:numPr>
          <w:ilvl w:val="0"/>
          <w:numId w:val="5"/>
        </w:numPr>
        <w:spacing w:before="100" w:line="293" w:lineRule="auto"/>
        <w:rPr>
          <w:rFonts w:ascii="Times New Roman" w:hAnsi="Times New Roman" w:eastAsia="宋体"/>
          <w:sz w:val="21"/>
          <w:szCs w:val="21"/>
        </w:rPr>
      </w:pPr>
      <w:bookmarkStart w:id="687" w:name="_Toc4549"/>
      <w:bookmarkStart w:id="688" w:name="_Toc375564288"/>
      <w:bookmarkStart w:id="689" w:name="_Toc17363"/>
      <w:bookmarkStart w:id="690" w:name="_Toc14462"/>
      <w:bookmarkStart w:id="691" w:name="_Toc15811025"/>
      <w:bookmarkStart w:id="692" w:name="_Toc121308052"/>
      <w:bookmarkStart w:id="693" w:name="_Toc118890530"/>
      <w:bookmarkStart w:id="694" w:name="_Toc167767466"/>
      <w:bookmarkStart w:id="695" w:name="_Toc118208116"/>
      <w:bookmarkStart w:id="696" w:name="_Toc213049029"/>
      <w:bookmarkStart w:id="697" w:name="_Toc179087252"/>
      <w:bookmarkStart w:id="698" w:name="_Toc121182322"/>
      <w:bookmarkStart w:id="699" w:name="_Toc176663504"/>
      <w:bookmarkStart w:id="700" w:name="_Toc68417353"/>
      <w:bookmarkStart w:id="701" w:name="_Toc65420110"/>
      <w:bookmarkStart w:id="702" w:name="_Toc65498382"/>
      <w:bookmarkStart w:id="703" w:name="_Toc65597761"/>
      <w:bookmarkStart w:id="704" w:name="_Toc224010198"/>
      <w:bookmarkStart w:id="705" w:name="_Toc68407760"/>
      <w:bookmarkStart w:id="706" w:name="_Toc192127035"/>
      <w:bookmarkStart w:id="707" w:name="_Toc179089607"/>
      <w:bookmarkStart w:id="708" w:name="_Toc119786490"/>
      <w:bookmarkStart w:id="709" w:name="_Toc118061535"/>
      <w:bookmarkStart w:id="710" w:name="_Toc121830595"/>
      <w:bookmarkStart w:id="711" w:name="_Toc167685226"/>
      <w:bookmarkStart w:id="712" w:name="_Toc65641136"/>
      <w:bookmarkStart w:id="713" w:name="_Toc72583504"/>
      <w:bookmarkStart w:id="714" w:name="_Toc65846712"/>
      <w:bookmarkStart w:id="715" w:name="_Toc70094697"/>
      <w:bookmarkStart w:id="716" w:name="_Toc223786529"/>
      <w:r>
        <w:rPr>
          <w:rFonts w:ascii="Times New Roman" w:hAnsi="宋体" w:eastAsia="宋体"/>
          <w:sz w:val="21"/>
          <w:szCs w:val="21"/>
        </w:rPr>
        <w:t>评标</w:t>
      </w:r>
      <w:bookmarkEnd w:id="687"/>
      <w:bookmarkEnd w:id="688"/>
      <w:bookmarkEnd w:id="689"/>
      <w:bookmarkEnd w:id="690"/>
    </w:p>
    <w:p>
      <w:pPr>
        <w:spacing w:before="100" w:line="293" w:lineRule="auto"/>
        <w:ind w:firstLine="1058" w:firstLineChars="504"/>
        <w:rPr>
          <w:rFonts w:eastAsia="宋体"/>
        </w:rPr>
      </w:pPr>
      <w:bookmarkStart w:id="717" w:name="_Toc375564289"/>
      <w:r>
        <w:rPr>
          <w:rFonts w:hAnsi="宋体" w:eastAsia="宋体"/>
          <w:szCs w:val="28"/>
        </w:rPr>
        <w:t>详见投标须知前附表。</w:t>
      </w:r>
      <w:bookmarkEnd w:id="717"/>
    </w:p>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Pr>
        <w:pStyle w:val="5"/>
        <w:numPr>
          <w:ilvl w:val="0"/>
          <w:numId w:val="5"/>
        </w:numPr>
        <w:spacing w:before="100" w:line="293" w:lineRule="auto"/>
        <w:rPr>
          <w:rFonts w:ascii="Times New Roman" w:hAnsi="Times New Roman" w:eastAsia="宋体"/>
          <w:sz w:val="21"/>
          <w:szCs w:val="21"/>
        </w:rPr>
      </w:pPr>
      <w:bookmarkStart w:id="718" w:name="_Toc121308053"/>
      <w:bookmarkStart w:id="719" w:name="_Toc65641137"/>
      <w:bookmarkStart w:id="720" w:name="_Toc118061536"/>
      <w:bookmarkStart w:id="721" w:name="_Toc119786491"/>
      <w:bookmarkStart w:id="722" w:name="_Toc72583505"/>
      <w:bookmarkStart w:id="723" w:name="_Toc7395"/>
      <w:bookmarkStart w:id="724" w:name="_Toc68407761"/>
      <w:bookmarkStart w:id="725" w:name="_Toc70094698"/>
      <w:bookmarkStart w:id="726" w:name="_Toc65498383"/>
      <w:bookmarkStart w:id="727" w:name="_Toc15746"/>
      <w:bookmarkStart w:id="728" w:name="_Toc17776"/>
      <w:bookmarkStart w:id="729" w:name="_Toc65420111"/>
      <w:bookmarkStart w:id="730" w:name="_Toc121182323"/>
      <w:bookmarkStart w:id="731" w:name="_Toc118890531"/>
      <w:bookmarkStart w:id="732" w:name="_Toc213049030"/>
      <w:bookmarkStart w:id="733" w:name="_Toc65597762"/>
      <w:bookmarkStart w:id="734" w:name="_Toc68417354"/>
      <w:bookmarkStart w:id="735" w:name="_Toc65846713"/>
      <w:bookmarkStart w:id="736" w:name="_Toc375564290"/>
      <w:bookmarkStart w:id="737" w:name="_Toc223786530"/>
      <w:bookmarkStart w:id="738" w:name="_Toc121830596"/>
      <w:r>
        <w:rPr>
          <w:rFonts w:ascii="Times New Roman" w:hAnsi="宋体" w:eastAsia="宋体"/>
          <w:sz w:val="21"/>
          <w:szCs w:val="21"/>
        </w:rPr>
        <w:t>与招标代理机构、招标人和评标委员会的接触</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numPr>
          <w:ilvl w:val="1"/>
          <w:numId w:val="29"/>
        </w:numPr>
        <w:spacing w:before="100" w:line="293" w:lineRule="auto"/>
        <w:rPr>
          <w:rFonts w:eastAsia="宋体"/>
          <w:szCs w:val="21"/>
        </w:rPr>
      </w:pPr>
      <w:r>
        <w:rPr>
          <w:rFonts w:hAnsi="宋体" w:eastAsia="宋体"/>
          <w:szCs w:val="21"/>
        </w:rPr>
        <w:t>从投标截止日起至授予合同期间，未经书面要求，投标人不得就与其投标文件有关的事项与评标委员会、招标人、招标代理机构接触（包括直接接触和间接接触）。</w:t>
      </w:r>
    </w:p>
    <w:p>
      <w:pPr>
        <w:numPr>
          <w:ilvl w:val="1"/>
          <w:numId w:val="29"/>
        </w:numPr>
        <w:spacing w:before="100" w:line="293" w:lineRule="auto"/>
        <w:rPr>
          <w:rFonts w:eastAsia="宋体"/>
          <w:szCs w:val="21"/>
        </w:rPr>
      </w:pPr>
      <w:r>
        <w:rPr>
          <w:rFonts w:hAnsi="宋体" w:eastAsia="宋体"/>
          <w:szCs w:val="21"/>
        </w:rPr>
        <w:t>投标人试图对评标委员会的评标、比较或授予合同的决定进行影响，都可能导致其投标文件被否决。</w:t>
      </w:r>
    </w:p>
    <w:p>
      <w:pPr>
        <w:numPr>
          <w:ilvl w:val="1"/>
          <w:numId w:val="29"/>
        </w:numPr>
        <w:spacing w:before="100" w:line="293" w:lineRule="auto"/>
        <w:rPr>
          <w:rFonts w:eastAsia="宋体"/>
          <w:szCs w:val="21"/>
        </w:rPr>
      </w:pPr>
      <w:r>
        <w:rPr>
          <w:rFonts w:hAnsi="宋体" w:eastAsia="宋体"/>
          <w:szCs w:val="21"/>
        </w:rPr>
        <w:t>投标人不得以任何方式干扰招标</w:t>
      </w:r>
      <w:r>
        <w:rPr>
          <w:rFonts w:hint="eastAsia" w:hAnsi="宋体" w:eastAsia="宋体"/>
          <w:szCs w:val="21"/>
        </w:rPr>
        <w:t>人</w:t>
      </w:r>
      <w:r>
        <w:rPr>
          <w:rFonts w:hAnsi="宋体" w:eastAsia="宋体"/>
          <w:szCs w:val="21"/>
        </w:rPr>
        <w:t>的招标和评标活动，否则其投标无效并追究其法律责任。</w:t>
      </w:r>
    </w:p>
    <w:p>
      <w:pPr>
        <w:numPr>
          <w:ilvl w:val="1"/>
          <w:numId w:val="29"/>
        </w:numPr>
        <w:spacing w:before="100" w:line="293" w:lineRule="auto"/>
        <w:rPr>
          <w:rFonts w:eastAsia="宋体"/>
          <w:szCs w:val="21"/>
        </w:rPr>
      </w:pPr>
      <w:r>
        <w:rPr>
          <w:rFonts w:hAnsi="宋体" w:eastAsia="宋体"/>
          <w:szCs w:val="21"/>
        </w:rPr>
        <w:t>有关投标文件的审查、澄清、评估和比较以及有关授予合同的意向的一切情况都不得透露给任一投标人。</w:t>
      </w:r>
    </w:p>
    <w:p>
      <w:pPr>
        <w:keepNext/>
        <w:keepLines/>
        <w:numPr>
          <w:ilvl w:val="0"/>
          <w:numId w:val="30"/>
        </w:numPr>
        <w:spacing w:before="100" w:line="293" w:lineRule="auto"/>
        <w:outlineLvl w:val="1"/>
        <w:rPr>
          <w:rFonts w:ascii="宋体" w:hAnsi="宋体" w:eastAsia="宋体"/>
          <w:b/>
          <w:bCs/>
          <w:szCs w:val="21"/>
        </w:rPr>
      </w:pPr>
      <w:bookmarkStart w:id="739" w:name="_Toc23965"/>
      <w:bookmarkStart w:id="740" w:name="_Toc450"/>
      <w:bookmarkStart w:id="741" w:name="_Toc27925"/>
      <w:r>
        <w:rPr>
          <w:rFonts w:hint="eastAsia" w:ascii="宋体" w:hAnsi="宋体" w:eastAsia="宋体"/>
          <w:b/>
          <w:bCs/>
          <w:szCs w:val="21"/>
        </w:rPr>
        <w:t>评标过程保密</w:t>
      </w:r>
      <w:bookmarkEnd w:id="739"/>
      <w:bookmarkEnd w:id="740"/>
      <w:bookmarkEnd w:id="741"/>
    </w:p>
    <w:p>
      <w:pPr>
        <w:numPr>
          <w:ilvl w:val="1"/>
          <w:numId w:val="31"/>
        </w:numPr>
        <w:spacing w:before="100" w:line="293" w:lineRule="auto"/>
        <w:rPr>
          <w:rFonts w:ascii="宋体" w:eastAsia="宋体" w:cs="Arial"/>
          <w:szCs w:val="21"/>
        </w:rPr>
      </w:pPr>
      <w:r>
        <w:rPr>
          <w:rFonts w:hint="eastAsia" w:ascii="宋体" w:hAnsi="宋体" w:eastAsia="宋体" w:cs="Arial"/>
          <w:szCs w:val="21"/>
        </w:rPr>
        <w:t>开标后，直到宣布授予中标人且签订合同为止，凡属于审查、澄清、评价和比较投标的有关资料且与授予合同有关的信息，都不应向投标人或与该过程无关的其他人泄露。</w:t>
      </w:r>
    </w:p>
    <w:p>
      <w:pPr>
        <w:numPr>
          <w:ilvl w:val="1"/>
          <w:numId w:val="31"/>
        </w:numPr>
        <w:spacing w:before="100" w:line="293" w:lineRule="auto"/>
        <w:rPr>
          <w:rFonts w:ascii="宋体" w:eastAsia="宋体" w:cs="Arial"/>
          <w:szCs w:val="21"/>
        </w:rPr>
      </w:pPr>
      <w:r>
        <w:rPr>
          <w:rFonts w:hint="eastAsia" w:ascii="宋体" w:hAnsi="宋体" w:eastAsia="宋体" w:cs="Arial"/>
          <w:szCs w:val="21"/>
        </w:rPr>
        <w:t>投标人在投标文件的审查、澄清、评价和比较以及授予合同的过程中，对招标人和评标专家施加影响的任何行为，都将导致取消投标资格。</w:t>
      </w:r>
    </w:p>
    <w:p>
      <w:pPr>
        <w:keepNext/>
        <w:keepLines/>
        <w:numPr>
          <w:ilvl w:val="0"/>
          <w:numId w:val="30"/>
        </w:numPr>
        <w:spacing w:before="100" w:line="293" w:lineRule="auto"/>
        <w:outlineLvl w:val="1"/>
        <w:rPr>
          <w:rFonts w:ascii="宋体" w:hAnsi="宋体" w:eastAsia="宋体"/>
          <w:b/>
          <w:bCs/>
          <w:szCs w:val="21"/>
        </w:rPr>
      </w:pPr>
      <w:bookmarkStart w:id="742" w:name="_Toc9358"/>
      <w:bookmarkStart w:id="743" w:name="_Toc8630"/>
      <w:bookmarkStart w:id="744" w:name="_Toc25808"/>
      <w:r>
        <w:rPr>
          <w:rFonts w:hint="eastAsia" w:ascii="宋体" w:hAnsi="宋体" w:eastAsia="宋体"/>
          <w:b/>
          <w:bCs/>
          <w:szCs w:val="21"/>
        </w:rPr>
        <w:t>投标文件的澄清</w:t>
      </w:r>
      <w:bookmarkEnd w:id="742"/>
      <w:bookmarkEnd w:id="743"/>
      <w:bookmarkEnd w:id="744"/>
    </w:p>
    <w:p>
      <w:pPr>
        <w:tabs>
          <w:tab w:val="left" w:pos="8364"/>
        </w:tabs>
        <w:spacing w:before="100" w:line="293" w:lineRule="auto"/>
        <w:ind w:left="1134"/>
        <w:rPr>
          <w:rFonts w:ascii="宋体" w:eastAsia="宋体" w:cs="Arial"/>
          <w:bCs/>
          <w:szCs w:val="21"/>
        </w:rPr>
      </w:pPr>
      <w:r>
        <w:rPr>
          <w:rFonts w:hint="eastAsia" w:ascii="宋体" w:hAnsi="宋体" w:eastAsia="宋体" w:cs="Arial"/>
          <w:bCs/>
          <w:szCs w:val="21"/>
        </w:rPr>
        <w:t>为了有助于投标文件的审查、评价和比较，评标委员会可以用书面形式要求投标人对投标文件含义不明确的内容作必要的澄清或者说明。有关澄清说明与答复、投标人应以书面形式进行，但对投标报价和实质性的内容不得更改。</w:t>
      </w:r>
    </w:p>
    <w:p>
      <w:pPr>
        <w:keepNext/>
        <w:keepLines/>
        <w:numPr>
          <w:ilvl w:val="0"/>
          <w:numId w:val="30"/>
        </w:numPr>
        <w:spacing w:before="100" w:line="293" w:lineRule="auto"/>
        <w:outlineLvl w:val="1"/>
        <w:rPr>
          <w:rFonts w:ascii="宋体" w:hAnsi="宋体" w:eastAsia="宋体"/>
          <w:b/>
          <w:bCs/>
          <w:szCs w:val="21"/>
        </w:rPr>
      </w:pPr>
      <w:bookmarkStart w:id="745" w:name="_Toc28978"/>
      <w:bookmarkStart w:id="746" w:name="_Toc19933"/>
      <w:bookmarkStart w:id="747" w:name="_Toc17531"/>
      <w:r>
        <w:rPr>
          <w:rFonts w:hint="eastAsia" w:ascii="宋体" w:hAnsi="宋体" w:eastAsia="宋体"/>
          <w:b/>
          <w:bCs/>
          <w:szCs w:val="21"/>
        </w:rPr>
        <w:t>投标文件响应性的确定</w:t>
      </w:r>
      <w:bookmarkEnd w:id="745"/>
      <w:bookmarkEnd w:id="746"/>
      <w:bookmarkEnd w:id="747"/>
    </w:p>
    <w:p>
      <w:pPr>
        <w:numPr>
          <w:ilvl w:val="1"/>
          <w:numId w:val="32"/>
        </w:numPr>
        <w:spacing w:before="100" w:line="293" w:lineRule="auto"/>
        <w:rPr>
          <w:rFonts w:ascii="宋体" w:eastAsia="宋体" w:cs="Arial"/>
          <w:szCs w:val="21"/>
        </w:rPr>
      </w:pPr>
      <w:r>
        <w:rPr>
          <w:rFonts w:hint="eastAsia" w:ascii="宋体" w:hAnsi="宋体" w:eastAsia="宋体" w:cs="Arial"/>
          <w:szCs w:val="21"/>
        </w:rPr>
        <w:t>在详细评标之前，评标委员会将首先审定每份投标文件是否在实质上响应了招标文件的要求和规定。</w:t>
      </w:r>
    </w:p>
    <w:p>
      <w:pPr>
        <w:numPr>
          <w:ilvl w:val="1"/>
          <w:numId w:val="32"/>
        </w:numPr>
        <w:spacing w:before="100" w:line="293" w:lineRule="auto"/>
        <w:rPr>
          <w:rFonts w:ascii="宋体" w:eastAsia="宋体" w:cs="Arial"/>
          <w:szCs w:val="21"/>
        </w:rPr>
      </w:pPr>
      <w:r>
        <w:rPr>
          <w:rFonts w:hint="eastAsia" w:ascii="宋体" w:hAnsi="宋体" w:eastAsia="宋体" w:cs="Arial"/>
          <w:szCs w:val="21"/>
        </w:rPr>
        <w:t>就本条款而言，实质上响应要求的投标文件，应该是与招标文件要求的全部条款，合同条件和规范相符，无重大差异和保留。所谓重大差异或保留是指对服务的范围、质量及要求产生实质性影响；或者对合同中规定的招标人的权利及投标人的责任造成实质性限制；而且纠正这种差异或保留，将会对其他实质上响应要求的投标人的竞争地位产生不公正的影响。决定投标文件的响应性只根据投标文件本身的内容，而不寻求外部的证据。</w:t>
      </w:r>
    </w:p>
    <w:p>
      <w:pPr>
        <w:numPr>
          <w:ilvl w:val="1"/>
          <w:numId w:val="32"/>
        </w:numPr>
        <w:spacing w:before="100" w:line="293" w:lineRule="auto"/>
        <w:rPr>
          <w:rFonts w:ascii="宋体" w:eastAsia="宋体" w:cs="Arial"/>
          <w:szCs w:val="21"/>
        </w:rPr>
      </w:pPr>
      <w:r>
        <w:rPr>
          <w:rFonts w:hint="eastAsia" w:ascii="宋体" w:hAnsi="宋体" w:eastAsia="宋体" w:cs="Arial"/>
          <w:szCs w:val="21"/>
        </w:rPr>
        <w:t>如果投标文件实质上不响应招标文件的要求，招标人将予以拒绝，并且不允许投标人通过修正或撤消其不符要求的差异或保留使之成为具有响应性的投标。</w:t>
      </w:r>
    </w:p>
    <w:p>
      <w:pPr>
        <w:keepNext/>
        <w:keepLines/>
        <w:numPr>
          <w:ilvl w:val="0"/>
          <w:numId w:val="30"/>
        </w:numPr>
        <w:spacing w:before="100" w:line="293" w:lineRule="auto"/>
        <w:outlineLvl w:val="1"/>
        <w:rPr>
          <w:rFonts w:ascii="宋体" w:hAnsi="宋体" w:eastAsia="宋体"/>
          <w:b/>
          <w:bCs/>
          <w:szCs w:val="21"/>
        </w:rPr>
      </w:pPr>
      <w:bookmarkStart w:id="748" w:name="_Toc8478"/>
      <w:bookmarkStart w:id="749" w:name="_Toc18025"/>
      <w:bookmarkStart w:id="750" w:name="_Toc4144"/>
      <w:r>
        <w:rPr>
          <w:rFonts w:hint="eastAsia" w:ascii="宋体" w:hAnsi="宋体" w:eastAsia="宋体"/>
          <w:b/>
          <w:bCs/>
          <w:szCs w:val="21"/>
        </w:rPr>
        <w:t>投标文件计算错误的修正</w:t>
      </w:r>
      <w:bookmarkEnd w:id="748"/>
      <w:bookmarkEnd w:id="749"/>
      <w:bookmarkEnd w:id="750"/>
    </w:p>
    <w:p>
      <w:pPr>
        <w:numPr>
          <w:ilvl w:val="1"/>
          <w:numId w:val="33"/>
        </w:numPr>
        <w:spacing w:before="100" w:line="293" w:lineRule="auto"/>
        <w:rPr>
          <w:rFonts w:ascii="宋体" w:eastAsia="宋体" w:cs="Arial"/>
          <w:szCs w:val="21"/>
        </w:rPr>
      </w:pPr>
      <w:r>
        <w:rPr>
          <w:rFonts w:hint="eastAsia" w:ascii="宋体" w:hAnsi="宋体" w:eastAsia="宋体" w:cs="Arial"/>
          <w:szCs w:val="21"/>
        </w:rPr>
        <w:t>投标报价大写金额与小写金额不一致的，以大写金额为准。</w:t>
      </w:r>
    </w:p>
    <w:p>
      <w:pPr>
        <w:numPr>
          <w:ilvl w:val="1"/>
          <w:numId w:val="33"/>
        </w:numPr>
        <w:spacing w:before="100" w:line="293" w:lineRule="auto"/>
        <w:rPr>
          <w:rFonts w:ascii="宋体" w:eastAsia="宋体" w:cs="Arial"/>
          <w:szCs w:val="21"/>
        </w:rPr>
      </w:pPr>
      <w:r>
        <w:rPr>
          <w:rFonts w:hint="eastAsia" w:ascii="宋体" w:eastAsia="宋体" w:cs="Arial"/>
          <w:szCs w:val="21"/>
        </w:rPr>
        <w:t>按上述修正错误的原则及方法调整或修正投标文件的投标报价，修正的价格经投标人书面确认后具有约束力。如果投标人不接受修正后的价格，则其投标将被拒绝，并不影响评审工作。</w:t>
      </w:r>
    </w:p>
    <w:p>
      <w:pPr>
        <w:keepNext/>
        <w:keepLines/>
        <w:numPr>
          <w:ilvl w:val="0"/>
          <w:numId w:val="30"/>
        </w:numPr>
        <w:spacing w:before="100" w:line="293" w:lineRule="auto"/>
        <w:outlineLvl w:val="1"/>
        <w:rPr>
          <w:rFonts w:ascii="宋体" w:hAnsi="宋体" w:eastAsia="宋体"/>
          <w:b/>
          <w:bCs/>
          <w:szCs w:val="21"/>
        </w:rPr>
      </w:pPr>
      <w:bookmarkStart w:id="751" w:name="_Toc28934"/>
      <w:bookmarkStart w:id="752" w:name="_Toc5207"/>
      <w:bookmarkStart w:id="753" w:name="_Toc19828"/>
      <w:r>
        <w:rPr>
          <w:rFonts w:hint="eastAsia" w:ascii="宋体" w:hAnsi="宋体" w:eastAsia="宋体"/>
          <w:b/>
          <w:bCs/>
          <w:szCs w:val="21"/>
        </w:rPr>
        <w:t>投标文件的评价与比较</w:t>
      </w:r>
      <w:bookmarkEnd w:id="751"/>
      <w:bookmarkEnd w:id="752"/>
      <w:bookmarkEnd w:id="753"/>
    </w:p>
    <w:p>
      <w:pPr>
        <w:numPr>
          <w:ilvl w:val="1"/>
          <w:numId w:val="34"/>
        </w:numPr>
        <w:spacing w:before="100" w:line="293" w:lineRule="auto"/>
        <w:rPr>
          <w:rFonts w:ascii="宋体" w:eastAsia="宋体" w:cs="Arial"/>
          <w:szCs w:val="21"/>
        </w:rPr>
      </w:pPr>
      <w:r>
        <w:rPr>
          <w:rFonts w:hint="eastAsia" w:ascii="宋体" w:hAnsi="宋体" w:eastAsia="宋体" w:cs="Arial"/>
          <w:szCs w:val="21"/>
        </w:rPr>
        <w:t>《评标办法》详见招标文件第三章，招标人将按照《评标办法》对确定为实质上响应招标文件要求的投标文件进行评价与比较。</w:t>
      </w:r>
    </w:p>
    <w:p>
      <w:pPr>
        <w:numPr>
          <w:ilvl w:val="1"/>
          <w:numId w:val="34"/>
        </w:numPr>
        <w:spacing w:before="100" w:line="293" w:lineRule="auto"/>
        <w:rPr>
          <w:rFonts w:ascii="宋体" w:eastAsia="宋体" w:cs="Arial"/>
          <w:szCs w:val="21"/>
        </w:rPr>
      </w:pPr>
      <w:r>
        <w:rPr>
          <w:rFonts w:hint="eastAsia" w:ascii="宋体" w:hAnsi="宋体" w:eastAsia="宋体" w:cs="Arial"/>
          <w:szCs w:val="21"/>
        </w:rPr>
        <w:t>评标将按《评标办法》规定执行。</w:t>
      </w:r>
    </w:p>
    <w:p>
      <w:pPr>
        <w:pStyle w:val="5"/>
        <w:numPr>
          <w:ilvl w:val="0"/>
          <w:numId w:val="35"/>
        </w:numPr>
        <w:tabs>
          <w:tab w:val="left" w:pos="1060"/>
        </w:tabs>
        <w:spacing w:before="100" w:line="293" w:lineRule="auto"/>
        <w:rPr>
          <w:rFonts w:ascii="Times New Roman" w:hAnsi="Times New Roman" w:eastAsia="宋体"/>
          <w:sz w:val="21"/>
          <w:szCs w:val="21"/>
        </w:rPr>
      </w:pPr>
      <w:bookmarkStart w:id="754" w:name="_Toc16055"/>
      <w:bookmarkStart w:id="755" w:name="_Toc16176"/>
      <w:bookmarkStart w:id="756" w:name="_Toc19402"/>
      <w:r>
        <w:rPr>
          <w:rFonts w:hint="eastAsia" w:ascii="Times New Roman" w:hAnsi="宋体" w:eastAsia="宋体"/>
          <w:sz w:val="21"/>
          <w:szCs w:val="21"/>
        </w:rPr>
        <w:t>定标</w:t>
      </w:r>
      <w:bookmarkEnd w:id="754"/>
      <w:bookmarkEnd w:id="755"/>
      <w:bookmarkEnd w:id="756"/>
    </w:p>
    <w:p>
      <w:pPr>
        <w:numPr>
          <w:ilvl w:val="1"/>
          <w:numId w:val="36"/>
        </w:numPr>
        <w:spacing w:before="100" w:line="293" w:lineRule="auto"/>
        <w:rPr>
          <w:rFonts w:eastAsia="宋体"/>
          <w:szCs w:val="21"/>
        </w:rPr>
      </w:pPr>
      <w:r>
        <w:rPr>
          <w:rFonts w:hint="eastAsia" w:hAnsi="宋体" w:eastAsia="宋体"/>
          <w:b/>
          <w:bCs/>
          <w:szCs w:val="21"/>
        </w:rPr>
        <w:t>招标人授权评标委员会确定中标人。</w:t>
      </w:r>
      <w:r>
        <w:rPr>
          <w:rFonts w:hint="eastAsia" w:hAnsi="宋体" w:eastAsia="宋体" w:cs="宋体"/>
          <w:kern w:val="0"/>
          <w:szCs w:val="21"/>
        </w:rPr>
        <w:t>评标委员会按照综合评分由高到低的顺序，确定中标候选人排序。</w:t>
      </w:r>
      <w:r>
        <w:rPr>
          <w:rFonts w:hint="eastAsia" w:hAnsi="宋体" w:eastAsia="宋体" w:cs="宋体"/>
          <w:kern w:val="0"/>
          <w:szCs w:val="21"/>
          <w:lang w:val="zh-CN"/>
        </w:rPr>
        <w:t>若有两个及以上投标人综合评分相同，则投标报价低者排列在前；若投标报价也相同，则以资信部分得分高者排列在前；若投标报价和资信部分得分均相同，则承保能力高者排列在前。</w:t>
      </w:r>
    </w:p>
    <w:p>
      <w:pPr>
        <w:numPr>
          <w:ilvl w:val="1"/>
          <w:numId w:val="36"/>
        </w:numPr>
        <w:spacing w:before="100" w:line="293" w:lineRule="auto"/>
        <w:rPr>
          <w:rFonts w:eastAsia="宋体"/>
          <w:szCs w:val="21"/>
        </w:rPr>
      </w:pPr>
      <w:r>
        <w:rPr>
          <w:rFonts w:hint="eastAsia" w:eastAsia="宋体"/>
          <w:szCs w:val="21"/>
        </w:rPr>
        <w:t>若中标人放弃中标、因不可抗力不能履行合同、不按照招标文件要求提交履约担保，或者被查实存在影响中标结果的违法行为等情形，不符合中标条件的，则其排名将按评分排序依次递补。按上述原则排序。招标人也可以重新招标。</w:t>
      </w:r>
    </w:p>
    <w:p>
      <w:pPr>
        <w:numPr>
          <w:ilvl w:val="1"/>
          <w:numId w:val="36"/>
        </w:numPr>
        <w:spacing w:before="100" w:line="293" w:lineRule="auto"/>
        <w:rPr>
          <w:rFonts w:eastAsia="宋体"/>
          <w:szCs w:val="21"/>
        </w:rPr>
      </w:pPr>
      <w:r>
        <w:rPr>
          <w:rFonts w:hAnsi="宋体" w:eastAsia="宋体"/>
          <w:szCs w:val="21"/>
        </w:rPr>
        <w:t>投标人应确保提供的资料真实无误，如有弄虚作假的情况，一经查实，取消投标资格，已经中标的取消中标资格。</w:t>
      </w:r>
    </w:p>
    <w:p>
      <w:pPr>
        <w:numPr>
          <w:ilvl w:val="1"/>
          <w:numId w:val="36"/>
        </w:numPr>
        <w:spacing w:before="100" w:line="293" w:lineRule="auto"/>
        <w:rPr>
          <w:rFonts w:eastAsia="宋体"/>
          <w:szCs w:val="21"/>
        </w:rPr>
      </w:pPr>
      <w:r>
        <w:rPr>
          <w:rFonts w:hAnsi="宋体" w:eastAsia="宋体"/>
          <w:szCs w:val="21"/>
        </w:rPr>
        <w:t>招标人确定的中标人必须按有关规定进行公示。</w:t>
      </w:r>
    </w:p>
    <w:p>
      <w:pPr>
        <w:pStyle w:val="5"/>
        <w:numPr>
          <w:ilvl w:val="0"/>
          <w:numId w:val="37"/>
        </w:numPr>
        <w:spacing w:before="100" w:line="293" w:lineRule="auto"/>
        <w:rPr>
          <w:rFonts w:ascii="Times New Roman" w:hAnsi="宋体" w:eastAsia="宋体"/>
          <w:sz w:val="21"/>
          <w:szCs w:val="21"/>
        </w:rPr>
      </w:pPr>
      <w:bookmarkStart w:id="757" w:name="_Toc294723157"/>
      <w:bookmarkStart w:id="758" w:name="_Toc375564297"/>
      <w:bookmarkStart w:id="759" w:name="_Toc10731"/>
      <w:bookmarkStart w:id="760" w:name="_Toc18452"/>
      <w:r>
        <w:rPr>
          <w:rFonts w:hint="eastAsia" w:ascii="Times New Roman" w:hAnsi="宋体" w:eastAsia="宋体"/>
          <w:sz w:val="21"/>
          <w:szCs w:val="21"/>
        </w:rPr>
        <w:t>重新招标</w:t>
      </w:r>
      <w:bookmarkEnd w:id="757"/>
      <w:bookmarkEnd w:id="758"/>
      <w:bookmarkEnd w:id="759"/>
      <w:bookmarkEnd w:id="760"/>
    </w:p>
    <w:p>
      <w:pPr>
        <w:numPr>
          <w:ilvl w:val="1"/>
          <w:numId w:val="38"/>
        </w:numPr>
        <w:spacing w:before="100" w:line="293" w:lineRule="auto"/>
        <w:rPr>
          <w:rFonts w:hAnsi="宋体" w:eastAsia="宋体"/>
          <w:szCs w:val="21"/>
        </w:rPr>
      </w:pPr>
      <w:r>
        <w:rPr>
          <w:rFonts w:hint="eastAsia" w:hAnsi="宋体" w:eastAsia="宋体"/>
          <w:szCs w:val="21"/>
        </w:rPr>
        <w:t>投标截止时间到达时递交投标文件不足3家的。</w:t>
      </w:r>
    </w:p>
    <w:p>
      <w:pPr>
        <w:numPr>
          <w:ilvl w:val="1"/>
          <w:numId w:val="38"/>
        </w:numPr>
        <w:spacing w:before="100" w:line="293" w:lineRule="auto"/>
        <w:rPr>
          <w:rFonts w:hAnsi="宋体" w:eastAsia="宋体"/>
          <w:szCs w:val="21"/>
        </w:rPr>
      </w:pPr>
      <w:r>
        <w:rPr>
          <w:rFonts w:hint="eastAsia" w:hAnsi="宋体" w:eastAsia="宋体"/>
          <w:szCs w:val="21"/>
        </w:rPr>
        <w:t>经资格审查后有效的投标人不足3家的。</w:t>
      </w:r>
    </w:p>
    <w:p>
      <w:pPr>
        <w:numPr>
          <w:ilvl w:val="1"/>
          <w:numId w:val="38"/>
        </w:numPr>
        <w:spacing w:before="100" w:line="293" w:lineRule="auto"/>
        <w:rPr>
          <w:rFonts w:eastAsia="宋体"/>
          <w:szCs w:val="21"/>
        </w:rPr>
      </w:pPr>
      <w:r>
        <w:rPr>
          <w:rFonts w:hint="eastAsia" w:hAnsi="宋体" w:eastAsia="宋体"/>
          <w:szCs w:val="21"/>
        </w:rPr>
        <w:t>如所有投标都被评标委员会否决，</w:t>
      </w:r>
      <w:r>
        <w:rPr>
          <w:rFonts w:hAnsi="宋体" w:eastAsia="宋体"/>
          <w:szCs w:val="21"/>
        </w:rPr>
        <w:t>须重新组织招标。</w:t>
      </w:r>
    </w:p>
    <w:p>
      <w:pPr>
        <w:pStyle w:val="5"/>
        <w:numPr>
          <w:ilvl w:val="0"/>
          <w:numId w:val="37"/>
        </w:numPr>
        <w:spacing w:before="100" w:line="293" w:lineRule="auto"/>
        <w:rPr>
          <w:rFonts w:ascii="Times New Roman" w:hAnsi="Times New Roman" w:eastAsia="宋体"/>
          <w:sz w:val="21"/>
          <w:szCs w:val="21"/>
        </w:rPr>
      </w:pPr>
      <w:bookmarkStart w:id="761" w:name="_Toc5281"/>
      <w:bookmarkStart w:id="762" w:name="_Toc375564298"/>
      <w:bookmarkStart w:id="763" w:name="_Toc2438"/>
      <w:bookmarkStart w:id="764" w:name="_Toc3415"/>
      <w:r>
        <w:rPr>
          <w:rFonts w:ascii="Times New Roman" w:hAnsi="宋体" w:eastAsia="宋体"/>
          <w:sz w:val="21"/>
          <w:szCs w:val="21"/>
        </w:rPr>
        <w:t>不再招标</w:t>
      </w:r>
      <w:bookmarkEnd w:id="761"/>
      <w:bookmarkEnd w:id="762"/>
      <w:bookmarkEnd w:id="763"/>
      <w:bookmarkEnd w:id="764"/>
    </w:p>
    <w:p>
      <w:pPr>
        <w:tabs>
          <w:tab w:val="left" w:pos="8364"/>
        </w:tabs>
        <w:spacing w:before="100" w:line="293" w:lineRule="auto"/>
        <w:ind w:left="1134"/>
        <w:rPr>
          <w:rFonts w:hAnsi="宋体" w:eastAsia="宋体"/>
          <w:bCs/>
          <w:szCs w:val="21"/>
        </w:rPr>
      </w:pPr>
      <w:r>
        <w:rPr>
          <w:rFonts w:hint="eastAsia" w:hAnsi="宋体" w:eastAsia="宋体" w:cs="宋体"/>
          <w:bCs/>
          <w:iCs/>
          <w:szCs w:val="21"/>
        </w:rPr>
        <w:t>项目招标经两次发布信息或重新招标后投标人仍不能满足以上中标条件的</w:t>
      </w:r>
      <w:r>
        <w:rPr>
          <w:rFonts w:hint="eastAsia" w:hAnsi="宋体" w:eastAsia="宋体"/>
          <w:bCs/>
          <w:szCs w:val="21"/>
        </w:rPr>
        <w:t>，属于必须审批或核准的工程建设项目，经原审批或核准部门批准后不再进行招标。</w:t>
      </w:r>
    </w:p>
    <w:p>
      <w:pPr>
        <w:pStyle w:val="5"/>
        <w:numPr>
          <w:ilvl w:val="0"/>
          <w:numId w:val="37"/>
        </w:numPr>
        <w:spacing w:before="100" w:line="293" w:lineRule="auto"/>
        <w:rPr>
          <w:rFonts w:ascii="Times New Roman" w:hAnsi="Times New Roman" w:eastAsia="宋体"/>
          <w:sz w:val="21"/>
          <w:szCs w:val="21"/>
        </w:rPr>
      </w:pPr>
      <w:bookmarkStart w:id="765" w:name="_Toc30018"/>
      <w:r>
        <w:rPr>
          <w:rFonts w:hint="eastAsia" w:ascii="Times New Roman" w:hAnsi="Times New Roman" w:eastAsia="宋体"/>
          <w:sz w:val="21"/>
          <w:szCs w:val="21"/>
        </w:rPr>
        <w:t>投标无效情形</w:t>
      </w:r>
      <w:bookmarkEnd w:id="765"/>
    </w:p>
    <w:p>
      <w:pPr>
        <w:spacing w:before="100" w:line="293" w:lineRule="auto"/>
        <w:ind w:firstLine="1058" w:firstLineChars="504"/>
        <w:rPr>
          <w:rFonts w:eastAsia="宋体"/>
          <w:szCs w:val="21"/>
        </w:rPr>
      </w:pPr>
      <w:r>
        <w:rPr>
          <w:rFonts w:hint="eastAsia" w:eastAsia="宋体"/>
          <w:szCs w:val="21"/>
        </w:rPr>
        <w:t>在招标文件中明确投标人在投标过程中存在下列情形之一，如经发现，投标无效：</w:t>
      </w:r>
    </w:p>
    <w:p>
      <w:pPr>
        <w:spacing w:before="100" w:line="293" w:lineRule="auto"/>
        <w:ind w:left="1056" w:leftChars="503" w:firstLine="2"/>
        <w:rPr>
          <w:rFonts w:eastAsia="宋体"/>
          <w:szCs w:val="21"/>
        </w:rPr>
      </w:pPr>
      <w:r>
        <w:rPr>
          <w:rFonts w:hint="eastAsia" w:eastAsia="宋体"/>
          <w:szCs w:val="21"/>
        </w:rPr>
        <w:t>（1）为招标人不具有独立法人资格的附属机构（单位）；</w:t>
      </w:r>
    </w:p>
    <w:p>
      <w:pPr>
        <w:spacing w:before="100" w:line="293" w:lineRule="auto"/>
        <w:ind w:firstLine="1058" w:firstLineChars="504"/>
        <w:rPr>
          <w:rFonts w:eastAsia="宋体"/>
          <w:szCs w:val="21"/>
        </w:rPr>
      </w:pPr>
      <w:r>
        <w:rPr>
          <w:rFonts w:hint="eastAsia" w:eastAsia="宋体"/>
          <w:szCs w:val="21"/>
        </w:rPr>
        <w:t>（2）为本标段代建人的；</w:t>
      </w:r>
    </w:p>
    <w:p>
      <w:pPr>
        <w:spacing w:before="100" w:line="293" w:lineRule="auto"/>
        <w:ind w:firstLine="1058" w:firstLineChars="504"/>
        <w:rPr>
          <w:rFonts w:eastAsia="宋体"/>
          <w:szCs w:val="21"/>
        </w:rPr>
      </w:pPr>
      <w:r>
        <w:rPr>
          <w:rFonts w:hint="eastAsia" w:eastAsia="宋体"/>
          <w:szCs w:val="21"/>
        </w:rPr>
        <w:t>（3）为本标段提供招标代理服务的；</w:t>
      </w:r>
    </w:p>
    <w:p>
      <w:pPr>
        <w:spacing w:before="100" w:line="293" w:lineRule="auto"/>
        <w:ind w:firstLine="1058" w:firstLineChars="504"/>
        <w:rPr>
          <w:rFonts w:eastAsia="宋体"/>
          <w:szCs w:val="21"/>
        </w:rPr>
      </w:pPr>
      <w:r>
        <w:rPr>
          <w:rFonts w:hint="eastAsia" w:eastAsia="宋体"/>
          <w:szCs w:val="21"/>
        </w:rPr>
        <w:t>（4）与本标段的代建人或招标代理机构同为一个法定代表人（负责人）的；</w:t>
      </w:r>
    </w:p>
    <w:p>
      <w:pPr>
        <w:spacing w:before="100" w:line="293" w:lineRule="auto"/>
        <w:ind w:firstLine="1058" w:firstLineChars="504"/>
        <w:rPr>
          <w:rFonts w:eastAsia="宋体"/>
          <w:szCs w:val="21"/>
        </w:rPr>
      </w:pPr>
      <w:r>
        <w:rPr>
          <w:rFonts w:hint="eastAsia" w:eastAsia="宋体"/>
          <w:szCs w:val="21"/>
        </w:rPr>
        <w:t>（5）与本标段的代建人或招标代理机构相互控股或参股的；</w:t>
      </w:r>
    </w:p>
    <w:p>
      <w:pPr>
        <w:spacing w:before="100" w:line="293" w:lineRule="auto"/>
        <w:ind w:firstLine="1058" w:firstLineChars="504"/>
        <w:rPr>
          <w:rFonts w:eastAsia="宋体"/>
          <w:szCs w:val="21"/>
        </w:rPr>
      </w:pPr>
      <w:r>
        <w:rPr>
          <w:rFonts w:hint="eastAsia" w:eastAsia="宋体"/>
          <w:szCs w:val="21"/>
        </w:rPr>
        <w:t>（6）与本标段的代建人或招标代理机构相互任职或工作的；</w:t>
      </w:r>
    </w:p>
    <w:p>
      <w:pPr>
        <w:spacing w:before="100" w:line="293" w:lineRule="auto"/>
        <w:ind w:left="1244" w:leftChars="503" w:hanging="188"/>
        <w:rPr>
          <w:rFonts w:eastAsia="宋体"/>
          <w:szCs w:val="21"/>
        </w:rPr>
      </w:pPr>
      <w:r>
        <w:rPr>
          <w:rFonts w:hint="eastAsia" w:eastAsia="宋体"/>
          <w:szCs w:val="21"/>
        </w:rPr>
        <w:t>（7）处于被责令停业，或投标资格被住建部、国家安监总局、广西区或南宁市建设行政主管部门取消，或财产被接管、冻结、破产状态；</w:t>
      </w:r>
    </w:p>
    <w:p>
      <w:pPr>
        <w:spacing w:before="100" w:line="293" w:lineRule="auto"/>
        <w:ind w:firstLine="1058" w:firstLineChars="504"/>
        <w:rPr>
          <w:rFonts w:eastAsia="宋体"/>
          <w:szCs w:val="21"/>
        </w:rPr>
      </w:pPr>
      <w:r>
        <w:rPr>
          <w:rFonts w:hint="eastAsia" w:eastAsia="宋体"/>
          <w:szCs w:val="21"/>
        </w:rPr>
        <w:t>（8）有骗取中标、严重违约或重大质量安全责任事故；</w:t>
      </w:r>
    </w:p>
    <w:p>
      <w:pPr>
        <w:spacing w:before="100" w:line="293" w:lineRule="auto"/>
        <w:ind w:left="1256" w:leftChars="502" w:hanging="202"/>
        <w:rPr>
          <w:rFonts w:eastAsia="宋体"/>
          <w:szCs w:val="21"/>
        </w:rPr>
      </w:pPr>
      <w:r>
        <w:rPr>
          <w:rFonts w:hint="eastAsia" w:eastAsia="宋体"/>
          <w:szCs w:val="21"/>
        </w:rPr>
        <w:t>（9）单位负责人为同一人或者存在控股、管理关系的不同单位，不得同时参加同一标段投标或者未划分标段的同一招标项目投标；</w:t>
      </w:r>
    </w:p>
    <w:p>
      <w:pPr>
        <w:spacing w:before="100" w:line="293" w:lineRule="auto"/>
        <w:ind w:firstLine="1058" w:firstLineChars="504"/>
        <w:rPr>
          <w:rFonts w:eastAsia="宋体"/>
          <w:szCs w:val="21"/>
        </w:rPr>
      </w:pPr>
      <w:r>
        <w:rPr>
          <w:rFonts w:hint="eastAsia" w:eastAsia="宋体"/>
          <w:szCs w:val="21"/>
        </w:rPr>
        <w:t>（10）投标人向招标人或评标委员会成员以行贿的手段谋取中标的；</w:t>
      </w:r>
    </w:p>
    <w:p>
      <w:pPr>
        <w:spacing w:before="100" w:line="293" w:lineRule="auto"/>
        <w:ind w:firstLine="1058" w:firstLineChars="504"/>
        <w:rPr>
          <w:rFonts w:eastAsia="宋体"/>
          <w:szCs w:val="21"/>
        </w:rPr>
      </w:pPr>
      <w:r>
        <w:rPr>
          <w:rFonts w:hint="eastAsia" w:eastAsia="宋体"/>
          <w:szCs w:val="21"/>
        </w:rPr>
        <w:t>（11）串通投标或弄虚作假或有其他违法行为的；</w:t>
      </w:r>
    </w:p>
    <w:p>
      <w:pPr>
        <w:spacing w:before="100" w:line="293" w:lineRule="auto"/>
        <w:ind w:firstLine="1058" w:firstLineChars="504"/>
        <w:rPr>
          <w:rFonts w:eastAsia="宋体"/>
          <w:szCs w:val="21"/>
        </w:rPr>
      </w:pPr>
      <w:r>
        <w:rPr>
          <w:rFonts w:hint="eastAsia" w:eastAsia="宋体"/>
          <w:szCs w:val="21"/>
        </w:rPr>
        <w:t>（12）在投标文件中提供虚假文件和/或资料的</w:t>
      </w:r>
      <w:bookmarkStart w:id="766" w:name="_Toc10532"/>
      <w:r>
        <w:rPr>
          <w:rFonts w:hint="eastAsia" w:eastAsia="宋体"/>
          <w:szCs w:val="21"/>
        </w:rPr>
        <w:t>。</w:t>
      </w:r>
    </w:p>
    <w:bookmarkEnd w:id="766"/>
    <w:p>
      <w:pPr>
        <w:pStyle w:val="5"/>
        <w:numPr>
          <w:ilvl w:val="0"/>
          <w:numId w:val="4"/>
        </w:numPr>
        <w:spacing w:before="100" w:line="293" w:lineRule="auto"/>
        <w:rPr>
          <w:rFonts w:ascii="Times New Roman" w:hAnsi="Times New Roman" w:eastAsia="宋体"/>
          <w:sz w:val="24"/>
          <w:szCs w:val="24"/>
        </w:rPr>
      </w:pPr>
      <w:bookmarkStart w:id="767" w:name="_Toc65597763"/>
      <w:bookmarkStart w:id="768" w:name="_Toc118061537"/>
      <w:bookmarkStart w:id="769" w:name="_Toc47415930"/>
      <w:bookmarkStart w:id="770" w:name="_Toc121182324"/>
      <w:bookmarkStart w:id="771" w:name="_Toc55500021"/>
      <w:bookmarkStart w:id="772" w:name="_Toc72583506"/>
      <w:bookmarkStart w:id="773" w:name="_Toc375564299"/>
      <w:bookmarkStart w:id="774" w:name="_Toc47416184"/>
      <w:bookmarkStart w:id="775" w:name="_Toc223786531"/>
      <w:bookmarkStart w:id="776" w:name="_Toc9833"/>
      <w:bookmarkStart w:id="777" w:name="_Toc65846714"/>
      <w:bookmarkStart w:id="778" w:name="_Toc49019484"/>
      <w:bookmarkStart w:id="779" w:name="_Toc49019223"/>
      <w:bookmarkStart w:id="780" w:name="_Toc118890532"/>
      <w:bookmarkStart w:id="781" w:name="_Toc119786492"/>
      <w:bookmarkStart w:id="782" w:name="_Toc70094699"/>
      <w:bookmarkStart w:id="783" w:name="_Toc121830597"/>
      <w:bookmarkStart w:id="784" w:name="_Toc68407762"/>
      <w:bookmarkStart w:id="785" w:name="_Toc65420112"/>
      <w:bookmarkStart w:id="786" w:name="_Toc121308054"/>
      <w:bookmarkStart w:id="787" w:name="_Toc68417355"/>
      <w:bookmarkStart w:id="788" w:name="_Toc65498384"/>
      <w:bookmarkStart w:id="789" w:name="_Toc213049031"/>
      <w:bookmarkStart w:id="790" w:name="_Toc16372"/>
      <w:bookmarkStart w:id="791" w:name="_Toc65641138"/>
      <w:r>
        <w:rPr>
          <w:rFonts w:ascii="Times New Roman" w:hAnsi="宋体" w:eastAsia="宋体"/>
          <w:sz w:val="24"/>
          <w:szCs w:val="24"/>
        </w:rPr>
        <w:t>授予合同</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5"/>
        <w:numPr>
          <w:ilvl w:val="0"/>
          <w:numId w:val="37"/>
        </w:numPr>
        <w:spacing w:before="100" w:line="293" w:lineRule="auto"/>
        <w:rPr>
          <w:rFonts w:ascii="Times New Roman" w:hAnsi="Times New Roman" w:eastAsia="宋体"/>
          <w:sz w:val="21"/>
          <w:szCs w:val="21"/>
        </w:rPr>
      </w:pPr>
      <w:bookmarkStart w:id="792" w:name="_Toc333266826"/>
      <w:bookmarkEnd w:id="792"/>
      <w:bookmarkStart w:id="793" w:name="_Toc121830599"/>
      <w:bookmarkStart w:id="794" w:name="_Toc68407764"/>
      <w:bookmarkStart w:id="795" w:name="_Toc72583508"/>
      <w:bookmarkStart w:id="796" w:name="_Toc213049033"/>
      <w:bookmarkStart w:id="797" w:name="_Toc121182326"/>
      <w:bookmarkStart w:id="798" w:name="_Toc223786533"/>
      <w:bookmarkStart w:id="799" w:name="_Toc121308056"/>
      <w:bookmarkStart w:id="800" w:name="_Toc68417357"/>
      <w:bookmarkStart w:id="801" w:name="_Toc65641140"/>
      <w:bookmarkStart w:id="802" w:name="_Toc65597765"/>
      <w:bookmarkStart w:id="803" w:name="_Toc65498386"/>
      <w:bookmarkStart w:id="804" w:name="_Toc65420114"/>
      <w:bookmarkStart w:id="805" w:name="_Toc13070"/>
      <w:bookmarkStart w:id="806" w:name="_Toc65846716"/>
      <w:bookmarkStart w:id="807" w:name="_Toc118061539"/>
      <w:bookmarkStart w:id="808" w:name="_Toc70094701"/>
      <w:bookmarkStart w:id="809" w:name="_Toc24469"/>
      <w:bookmarkStart w:id="810" w:name="_Toc7120"/>
      <w:bookmarkStart w:id="811" w:name="_Toc375564300"/>
      <w:bookmarkStart w:id="812" w:name="_Toc119786494"/>
      <w:bookmarkStart w:id="813" w:name="_Toc118890534"/>
      <w:r>
        <w:rPr>
          <w:rFonts w:ascii="Times New Roman" w:hAnsi="宋体" w:eastAsia="宋体"/>
          <w:sz w:val="21"/>
          <w:szCs w:val="21"/>
        </w:rPr>
        <w:t>合同授予标准</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numPr>
          <w:ilvl w:val="1"/>
          <w:numId w:val="39"/>
        </w:numPr>
        <w:spacing w:before="100" w:line="293" w:lineRule="auto"/>
        <w:rPr>
          <w:rFonts w:eastAsia="宋体"/>
          <w:szCs w:val="21"/>
        </w:rPr>
      </w:pPr>
      <w:r>
        <w:rPr>
          <w:rFonts w:hAnsi="宋体" w:eastAsia="宋体"/>
          <w:szCs w:val="21"/>
        </w:rPr>
        <w:t>根据本须知规定，招标人将把合同授予收到中标通知书，并提供了履约</w:t>
      </w:r>
      <w:r>
        <w:rPr>
          <w:rFonts w:hint="eastAsia" w:hAnsi="宋体" w:eastAsia="宋体"/>
          <w:szCs w:val="21"/>
        </w:rPr>
        <w:t>担保</w:t>
      </w:r>
      <w:r>
        <w:rPr>
          <w:rFonts w:hAnsi="宋体" w:eastAsia="宋体"/>
          <w:szCs w:val="21"/>
        </w:rPr>
        <w:t>的投标人，该投标人必须具有有效实施本合同的能力和资源。</w:t>
      </w:r>
    </w:p>
    <w:p>
      <w:pPr>
        <w:pStyle w:val="5"/>
        <w:numPr>
          <w:ilvl w:val="0"/>
          <w:numId w:val="37"/>
        </w:numPr>
        <w:spacing w:before="100" w:line="293" w:lineRule="auto"/>
        <w:rPr>
          <w:rFonts w:ascii="Times New Roman" w:hAnsi="Times New Roman" w:eastAsia="宋体"/>
          <w:sz w:val="21"/>
          <w:szCs w:val="21"/>
        </w:rPr>
      </w:pPr>
      <w:bookmarkStart w:id="814" w:name="_Toc3926"/>
      <w:bookmarkStart w:id="815" w:name="_Toc65846718"/>
      <w:bookmarkStart w:id="816" w:name="_Toc3954"/>
      <w:bookmarkStart w:id="817" w:name="_Toc223786535"/>
      <w:bookmarkStart w:id="818" w:name="_Toc31687"/>
      <w:bookmarkStart w:id="819" w:name="_Toc213049035"/>
      <w:bookmarkStart w:id="820" w:name="_Toc121308058"/>
      <w:bookmarkStart w:id="821" w:name="_Toc121830601"/>
      <w:bookmarkStart w:id="822" w:name="_Toc65641142"/>
      <w:bookmarkStart w:id="823" w:name="_Toc65597767"/>
      <w:bookmarkStart w:id="824" w:name="_Toc72583510"/>
      <w:bookmarkStart w:id="825" w:name="_Toc118061541"/>
      <w:bookmarkStart w:id="826" w:name="_Toc375564301"/>
      <w:bookmarkStart w:id="827" w:name="_Toc65420116"/>
      <w:bookmarkStart w:id="828" w:name="_Toc118890536"/>
      <w:bookmarkStart w:id="829" w:name="_Toc65498388"/>
      <w:bookmarkStart w:id="830" w:name="_Toc121182328"/>
      <w:bookmarkStart w:id="831" w:name="_Toc68417359"/>
      <w:bookmarkStart w:id="832" w:name="_Toc119786496"/>
      <w:bookmarkStart w:id="833" w:name="_Toc68407766"/>
      <w:bookmarkStart w:id="834" w:name="_Toc70094703"/>
      <w:r>
        <w:rPr>
          <w:rFonts w:ascii="Times New Roman" w:hAnsi="宋体" w:eastAsia="宋体"/>
          <w:sz w:val="21"/>
          <w:szCs w:val="21"/>
        </w:rPr>
        <w:t>接受和否决任何或所有投标的权力</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numPr>
          <w:ilvl w:val="1"/>
          <w:numId w:val="40"/>
        </w:numPr>
        <w:spacing w:before="100" w:line="293" w:lineRule="auto"/>
        <w:rPr>
          <w:rFonts w:eastAsia="宋体"/>
          <w:szCs w:val="21"/>
        </w:rPr>
      </w:pPr>
      <w:r>
        <w:rPr>
          <w:rFonts w:hAnsi="宋体" w:eastAsia="宋体"/>
          <w:szCs w:val="21"/>
        </w:rPr>
        <w:t>招标代理机构和招标人保留在授标之前任何时候依法决定否决所有或任何投标，以及宣布所有或任何投标文件无效的权力，对受影响的投标人不承担任何责任，也无义务向受影响的投标人解释采取这一行动的理由。</w:t>
      </w:r>
    </w:p>
    <w:p>
      <w:pPr>
        <w:pStyle w:val="5"/>
        <w:numPr>
          <w:ilvl w:val="0"/>
          <w:numId w:val="37"/>
        </w:numPr>
        <w:spacing w:before="100" w:line="293" w:lineRule="auto"/>
        <w:rPr>
          <w:rFonts w:ascii="Times New Roman" w:hAnsi="宋体" w:eastAsia="宋体"/>
          <w:sz w:val="21"/>
          <w:szCs w:val="21"/>
        </w:rPr>
      </w:pPr>
      <w:bookmarkStart w:id="835" w:name="_Toc68407767"/>
      <w:bookmarkStart w:id="836" w:name="_Toc65846719"/>
      <w:bookmarkStart w:id="837" w:name="_Toc119786497"/>
      <w:bookmarkStart w:id="838" w:name="_Toc213049036"/>
      <w:bookmarkStart w:id="839" w:name="_Toc5529"/>
      <w:bookmarkStart w:id="840" w:name="_Toc65498389"/>
      <w:bookmarkStart w:id="841" w:name="_Toc121182329"/>
      <w:bookmarkStart w:id="842" w:name="_Toc375564302"/>
      <w:bookmarkStart w:id="843" w:name="_Toc65420117"/>
      <w:bookmarkStart w:id="844" w:name="_Toc70094704"/>
      <w:bookmarkStart w:id="845" w:name="_Toc121308059"/>
      <w:bookmarkStart w:id="846" w:name="_Toc118061542"/>
      <w:bookmarkStart w:id="847" w:name="_Toc223786536"/>
      <w:bookmarkStart w:id="848" w:name="_Toc11942"/>
      <w:bookmarkStart w:id="849" w:name="_Toc121830602"/>
      <w:bookmarkStart w:id="850" w:name="_Toc68417360"/>
      <w:bookmarkStart w:id="851" w:name="_Toc118890537"/>
      <w:bookmarkStart w:id="852" w:name="_Toc65597768"/>
      <w:bookmarkStart w:id="853" w:name="_Toc72583511"/>
      <w:bookmarkStart w:id="854" w:name="_Toc65641143"/>
      <w:bookmarkStart w:id="855" w:name="_Toc10885"/>
      <w:r>
        <w:rPr>
          <w:rFonts w:ascii="Times New Roman" w:hAnsi="宋体" w:eastAsia="宋体"/>
          <w:sz w:val="21"/>
          <w:szCs w:val="21"/>
        </w:rPr>
        <w:t>中标通知书</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numPr>
          <w:ilvl w:val="1"/>
          <w:numId w:val="41"/>
        </w:numPr>
        <w:tabs>
          <w:tab w:val="left" w:pos="1060"/>
        </w:tabs>
        <w:spacing w:before="100" w:line="293" w:lineRule="auto"/>
        <w:rPr>
          <w:rFonts w:eastAsia="宋体"/>
          <w:szCs w:val="21"/>
        </w:rPr>
      </w:pPr>
      <w:r>
        <w:rPr>
          <w:rFonts w:hAnsi="宋体" w:eastAsia="宋体"/>
          <w:szCs w:val="21"/>
        </w:rPr>
        <w:t>在投标有效期截止前，按有关规定进行公示无异议后，中标人必须交纳有形市场交易服务费和</w:t>
      </w:r>
      <w:r>
        <w:rPr>
          <w:rFonts w:eastAsia="宋体"/>
          <w:szCs w:val="21"/>
        </w:rPr>
        <w:t>/</w:t>
      </w:r>
      <w:r>
        <w:rPr>
          <w:rFonts w:hAnsi="宋体" w:eastAsia="宋体"/>
          <w:szCs w:val="21"/>
        </w:rPr>
        <w:t>或在有形市场以外开评标的场地</w:t>
      </w:r>
      <w:r>
        <w:rPr>
          <w:rFonts w:hint="eastAsia" w:hAnsi="宋体" w:eastAsia="宋体"/>
          <w:szCs w:val="21"/>
        </w:rPr>
        <w:t>食宿费等</w:t>
      </w:r>
      <w:r>
        <w:rPr>
          <w:rFonts w:hAnsi="宋体" w:eastAsia="宋体"/>
          <w:szCs w:val="21"/>
        </w:rPr>
        <w:t>。各项手续办理完毕后，招标人向中标人发出中标通知书。</w:t>
      </w:r>
    </w:p>
    <w:p>
      <w:pPr>
        <w:numPr>
          <w:ilvl w:val="1"/>
          <w:numId w:val="41"/>
        </w:numPr>
        <w:spacing w:before="100" w:line="293" w:lineRule="auto"/>
        <w:rPr>
          <w:rFonts w:eastAsia="宋体"/>
          <w:szCs w:val="21"/>
        </w:rPr>
      </w:pPr>
      <w:r>
        <w:rPr>
          <w:rFonts w:hAnsi="宋体" w:eastAsia="宋体"/>
          <w:szCs w:val="21"/>
        </w:rPr>
        <w:t>中标通知书将作为签订合同的依据，并是合同的一个组成部分。</w:t>
      </w:r>
    </w:p>
    <w:p>
      <w:pPr>
        <w:numPr>
          <w:ilvl w:val="1"/>
          <w:numId w:val="41"/>
        </w:numPr>
        <w:spacing w:before="100" w:line="293" w:lineRule="auto"/>
        <w:rPr>
          <w:rFonts w:eastAsia="宋体"/>
          <w:szCs w:val="21"/>
        </w:rPr>
      </w:pPr>
      <w:r>
        <w:rPr>
          <w:rFonts w:hAnsi="宋体" w:eastAsia="宋体"/>
          <w:szCs w:val="21"/>
        </w:rPr>
        <w:t>对未中标者，招标人及招标代理机构不对未中标原因做出解释，同时亦不退还投标文件。</w:t>
      </w:r>
    </w:p>
    <w:p>
      <w:pPr>
        <w:pStyle w:val="5"/>
        <w:numPr>
          <w:ilvl w:val="0"/>
          <w:numId w:val="37"/>
        </w:numPr>
        <w:spacing w:before="100" w:line="293" w:lineRule="auto"/>
        <w:rPr>
          <w:rFonts w:ascii="Times New Roman" w:hAnsi="Times New Roman" w:eastAsia="宋体"/>
          <w:sz w:val="21"/>
          <w:szCs w:val="21"/>
        </w:rPr>
      </w:pPr>
      <w:bookmarkStart w:id="856" w:name="_Toc118061543"/>
      <w:bookmarkStart w:id="857" w:name="_Toc72583512"/>
      <w:bookmarkStart w:id="858" w:name="_Toc119786498"/>
      <w:bookmarkStart w:id="859" w:name="_Toc65641144"/>
      <w:bookmarkStart w:id="860" w:name="_Toc68407768"/>
      <w:bookmarkStart w:id="861" w:name="_Toc68417361"/>
      <w:bookmarkStart w:id="862" w:name="_Toc223786537"/>
      <w:bookmarkStart w:id="863" w:name="_Toc8286"/>
      <w:bookmarkStart w:id="864" w:name="_Toc213049037"/>
      <w:bookmarkStart w:id="865" w:name="_Toc65498390"/>
      <w:bookmarkStart w:id="866" w:name="_Toc121308060"/>
      <w:bookmarkStart w:id="867" w:name="_Toc65597769"/>
      <w:bookmarkStart w:id="868" w:name="_Toc65420118"/>
      <w:bookmarkStart w:id="869" w:name="_Toc65846720"/>
      <w:bookmarkStart w:id="870" w:name="_Toc17661"/>
      <w:bookmarkStart w:id="871" w:name="_Toc70094705"/>
      <w:bookmarkStart w:id="872" w:name="_Toc121182330"/>
      <w:bookmarkStart w:id="873" w:name="_Toc30080"/>
      <w:bookmarkStart w:id="874" w:name="_Toc121830603"/>
      <w:bookmarkStart w:id="875" w:name="_Toc375564303"/>
      <w:bookmarkStart w:id="876" w:name="_Toc118890538"/>
      <w:r>
        <w:rPr>
          <w:rFonts w:ascii="Times New Roman" w:hAnsi="宋体" w:eastAsia="宋体"/>
          <w:sz w:val="21"/>
          <w:szCs w:val="21"/>
        </w:rPr>
        <w:t>签订合同</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numPr>
          <w:ilvl w:val="1"/>
          <w:numId w:val="42"/>
        </w:numPr>
        <w:spacing w:before="100" w:line="293" w:lineRule="auto"/>
        <w:rPr>
          <w:rFonts w:eastAsia="宋体"/>
          <w:szCs w:val="21"/>
        </w:rPr>
      </w:pPr>
      <w:r>
        <w:rPr>
          <w:rFonts w:hint="eastAsia" w:hAnsi="宋体" w:eastAsia="宋体"/>
          <w:szCs w:val="21"/>
        </w:rPr>
        <w:t>招标人与中标人应自中标通知书发出之日起三十天内签订合同。</w:t>
      </w:r>
    </w:p>
    <w:p>
      <w:pPr>
        <w:numPr>
          <w:ilvl w:val="1"/>
          <w:numId w:val="42"/>
        </w:numPr>
        <w:spacing w:before="100" w:line="293" w:lineRule="auto"/>
        <w:rPr>
          <w:rFonts w:eastAsia="宋体"/>
          <w:szCs w:val="21"/>
        </w:rPr>
      </w:pPr>
      <w:r>
        <w:rPr>
          <w:rFonts w:hAnsi="宋体" w:eastAsia="宋体"/>
          <w:szCs w:val="21"/>
        </w:rPr>
        <w:t>招标文件、中标通知书、中标人的投标文件及双方确认的澄清文件等，均为有法律约束力的合同的组成部分。</w:t>
      </w:r>
    </w:p>
    <w:p>
      <w:pPr>
        <w:numPr>
          <w:ilvl w:val="1"/>
          <w:numId w:val="42"/>
        </w:numPr>
        <w:tabs>
          <w:tab w:val="left" w:pos="1060"/>
        </w:tabs>
        <w:spacing w:before="100" w:line="293" w:lineRule="auto"/>
        <w:rPr>
          <w:rFonts w:hAnsi="宋体" w:eastAsia="宋体"/>
          <w:szCs w:val="21"/>
        </w:rPr>
      </w:pPr>
      <w:r>
        <w:rPr>
          <w:rFonts w:hAnsi="宋体" w:eastAsia="宋体"/>
          <w:szCs w:val="21"/>
        </w:rPr>
        <w:t>如果中标人没有按照上述第</w:t>
      </w:r>
      <w:r>
        <w:rPr>
          <w:rFonts w:hint="eastAsia" w:eastAsia="宋体"/>
          <w:szCs w:val="21"/>
        </w:rPr>
        <w:t>36</w:t>
      </w:r>
      <w:r>
        <w:rPr>
          <w:rFonts w:eastAsia="宋体"/>
          <w:szCs w:val="21"/>
        </w:rPr>
        <w:t>.1</w:t>
      </w:r>
      <w:r>
        <w:rPr>
          <w:rFonts w:hAnsi="宋体" w:eastAsia="宋体"/>
          <w:szCs w:val="21"/>
        </w:rPr>
        <w:t>条规定执行，招标人将有充分理由取消该中标决定，并没收其投标保证金。</w:t>
      </w:r>
    </w:p>
    <w:p>
      <w:pPr>
        <w:numPr>
          <w:ilvl w:val="1"/>
          <w:numId w:val="42"/>
        </w:numPr>
        <w:spacing w:before="100" w:line="293" w:lineRule="auto"/>
        <w:rPr>
          <w:rFonts w:hAnsi="宋体" w:eastAsia="宋体"/>
          <w:szCs w:val="21"/>
        </w:rPr>
      </w:pPr>
      <w:r>
        <w:rPr>
          <w:rFonts w:hAnsi="宋体" w:eastAsia="宋体"/>
          <w:b/>
          <w:szCs w:val="21"/>
        </w:rPr>
        <w:t>乙方作为本项目中标人，可独家承保本项目全部份额或作为本项目的首席承保人（承保份额不低于60%），与甲方签订保险合同</w:t>
      </w:r>
      <w:r>
        <w:rPr>
          <w:rFonts w:hAnsi="宋体" w:eastAsia="宋体"/>
          <w:szCs w:val="21"/>
        </w:rPr>
        <w:t>。在乙方作为本项目首席承保人的情况下，其他共保人由乙方在通过资格审查的投标人中自行选定及分配承保比例（共保人的入围资格需符合银保监监管规定），由乙方另行组织共保人签署共保协议明确本项目保险期限内的各项承保要求。</w:t>
      </w:r>
    </w:p>
    <w:p>
      <w:pPr>
        <w:pStyle w:val="2"/>
        <w:rPr>
          <w:rFonts w:eastAsia="宋体"/>
        </w:rPr>
      </w:pPr>
    </w:p>
    <w:p>
      <w:pPr>
        <w:pStyle w:val="5"/>
        <w:numPr>
          <w:ilvl w:val="0"/>
          <w:numId w:val="37"/>
        </w:numPr>
        <w:spacing w:before="100" w:line="293" w:lineRule="auto"/>
        <w:rPr>
          <w:rFonts w:ascii="Times New Roman" w:hAnsi="Times New Roman" w:eastAsia="宋体"/>
          <w:sz w:val="21"/>
          <w:szCs w:val="21"/>
        </w:rPr>
      </w:pPr>
      <w:bookmarkStart w:id="877" w:name="_Toc6865"/>
      <w:bookmarkStart w:id="878" w:name="_Toc375564304"/>
      <w:bookmarkStart w:id="879" w:name="_Toc12141"/>
      <w:bookmarkStart w:id="880" w:name="_Toc15169"/>
      <w:r>
        <w:rPr>
          <w:rFonts w:ascii="Times New Roman" w:hAnsi="宋体" w:eastAsia="宋体"/>
          <w:sz w:val="21"/>
          <w:szCs w:val="21"/>
        </w:rPr>
        <w:t>履约</w:t>
      </w:r>
      <w:bookmarkEnd w:id="877"/>
      <w:bookmarkEnd w:id="878"/>
      <w:bookmarkEnd w:id="879"/>
      <w:r>
        <w:rPr>
          <w:rFonts w:hint="eastAsia" w:ascii="Times New Roman" w:hAnsi="宋体" w:eastAsia="宋体"/>
          <w:sz w:val="21"/>
          <w:szCs w:val="21"/>
        </w:rPr>
        <w:t>担保</w:t>
      </w:r>
      <w:bookmarkEnd w:id="880"/>
    </w:p>
    <w:p>
      <w:pPr>
        <w:numPr>
          <w:ilvl w:val="0"/>
          <w:numId w:val="43"/>
        </w:numPr>
        <w:spacing w:before="100" w:line="293" w:lineRule="auto"/>
        <w:rPr>
          <w:rFonts w:hAnsi="宋体" w:eastAsia="宋体"/>
          <w:szCs w:val="28"/>
        </w:rPr>
      </w:pPr>
      <w:bookmarkStart w:id="881" w:name="_Toc389620207"/>
      <w:bookmarkStart w:id="882" w:name="_Toc385992368"/>
      <w:r>
        <w:rPr>
          <w:rFonts w:hint="eastAsia" w:ascii="Calibri" w:hAnsi="Calibri" w:eastAsia="宋体" w:cs="Calibri"/>
          <w:szCs w:val="21"/>
        </w:rPr>
        <w:t>在合同签订前，按投标须知前附表规定的金额、担保形式、提交履约担保的时间和/或招标文件规定的银行保函格式由乙方向招标人提交履约担保。以转账汇款方式交纳时</w:t>
      </w:r>
      <w:r>
        <w:rPr>
          <w:rFonts w:hint="eastAsia" w:hAnsi="宋体" w:eastAsia="宋体"/>
          <w:szCs w:val="28"/>
        </w:rPr>
        <w:t>应汇入招标人指定账户。</w:t>
      </w:r>
    </w:p>
    <w:p>
      <w:pPr>
        <w:numPr>
          <w:ilvl w:val="0"/>
          <w:numId w:val="43"/>
        </w:numPr>
        <w:spacing w:before="100" w:line="293" w:lineRule="auto"/>
        <w:rPr>
          <w:rFonts w:eastAsia="宋体"/>
          <w:szCs w:val="28"/>
        </w:rPr>
      </w:pPr>
      <w:r>
        <w:rPr>
          <w:rFonts w:hint="eastAsia" w:hAnsi="宋体" w:eastAsia="宋体"/>
          <w:szCs w:val="28"/>
        </w:rPr>
        <w:t>中标人不能按本章第37.1项要求提交履约担保的，视为放弃中标，其投标保证金不予退还，给招标人造成的损失超过投标保证金数额的，中标人还应当对超过部分予以赔偿。</w:t>
      </w:r>
    </w:p>
    <w:p>
      <w:pPr>
        <w:numPr>
          <w:ilvl w:val="0"/>
          <w:numId w:val="43"/>
        </w:numPr>
        <w:spacing w:before="100" w:line="293" w:lineRule="auto"/>
        <w:rPr>
          <w:rFonts w:eastAsia="宋体"/>
          <w:szCs w:val="28"/>
        </w:rPr>
      </w:pPr>
      <w:r>
        <w:rPr>
          <w:rFonts w:hint="eastAsia" w:eastAsia="宋体"/>
          <w:szCs w:val="28"/>
        </w:rPr>
        <w:t>履约担保在本项目保险期限结束或赔案结案赔款支付到账后30天内招标人将剩余部分一次性无息退还给乙方。</w:t>
      </w:r>
    </w:p>
    <w:bookmarkEnd w:id="881"/>
    <w:bookmarkEnd w:id="882"/>
    <w:p>
      <w:pPr>
        <w:pStyle w:val="5"/>
        <w:numPr>
          <w:ilvl w:val="0"/>
          <w:numId w:val="37"/>
        </w:numPr>
        <w:spacing w:before="100" w:line="293" w:lineRule="auto"/>
        <w:rPr>
          <w:rFonts w:ascii="Times New Roman" w:hAnsi="Times New Roman" w:eastAsia="宋体"/>
          <w:sz w:val="21"/>
          <w:szCs w:val="21"/>
        </w:rPr>
      </w:pPr>
      <w:bookmarkStart w:id="883" w:name="_Toc17377"/>
      <w:bookmarkStart w:id="884" w:name="_Toc30919"/>
      <w:bookmarkStart w:id="885" w:name="_Toc223786540"/>
      <w:bookmarkStart w:id="886" w:name="_Toc16636"/>
      <w:bookmarkStart w:id="887" w:name="_Toc375564305"/>
      <w:bookmarkStart w:id="888" w:name="_Toc213039844"/>
      <w:r>
        <w:rPr>
          <w:rFonts w:ascii="Times New Roman" w:hAnsi="宋体" w:eastAsia="宋体"/>
          <w:sz w:val="21"/>
          <w:szCs w:val="21"/>
        </w:rPr>
        <w:t>其他</w:t>
      </w:r>
      <w:bookmarkEnd w:id="883"/>
      <w:bookmarkEnd w:id="884"/>
      <w:bookmarkEnd w:id="885"/>
      <w:bookmarkEnd w:id="886"/>
      <w:bookmarkEnd w:id="887"/>
      <w:bookmarkEnd w:id="888"/>
    </w:p>
    <w:p>
      <w:pPr>
        <w:numPr>
          <w:ilvl w:val="0"/>
          <w:numId w:val="44"/>
        </w:numPr>
        <w:spacing w:before="100" w:line="293" w:lineRule="auto"/>
        <w:rPr>
          <w:rFonts w:hAnsi="宋体" w:eastAsia="宋体"/>
          <w:szCs w:val="28"/>
        </w:rPr>
      </w:pPr>
      <w:r>
        <w:rPr>
          <w:rFonts w:hint="eastAsia" w:hAnsi="宋体" w:eastAsia="宋体"/>
          <w:szCs w:val="28"/>
        </w:rPr>
        <w:t>招标人对招标文件具有最终解释权。</w:t>
      </w:r>
    </w:p>
    <w:p>
      <w:pPr>
        <w:numPr>
          <w:ilvl w:val="0"/>
          <w:numId w:val="44"/>
        </w:numPr>
        <w:spacing w:before="100" w:line="293" w:lineRule="auto"/>
        <w:rPr>
          <w:rFonts w:hAnsi="宋体" w:eastAsia="宋体"/>
          <w:szCs w:val="28"/>
        </w:rPr>
      </w:pPr>
      <w:r>
        <w:rPr>
          <w:rFonts w:hint="eastAsia" w:hAnsi="宋体" w:eastAsia="宋体"/>
          <w:szCs w:val="21"/>
        </w:rPr>
        <w:t>招标人提供的项目概况免责条款</w:t>
      </w:r>
    </w:p>
    <w:p>
      <w:pPr>
        <w:numPr>
          <w:ilvl w:val="255"/>
          <w:numId w:val="0"/>
        </w:numPr>
        <w:spacing w:before="100" w:line="293" w:lineRule="auto"/>
        <w:ind w:left="1058" w:leftChars="503" w:hanging="2"/>
        <w:rPr>
          <w:rFonts w:hAnsi="宋体" w:eastAsia="宋体"/>
          <w:szCs w:val="28"/>
        </w:rPr>
      </w:pPr>
      <w:r>
        <w:rPr>
          <w:rFonts w:hint="eastAsia" w:eastAsia="宋体"/>
        </w:rPr>
        <w:t>招标人提供的本项目概况仅供投标人参考。招标人对于投标人应用参考资料时产生的推断的准确性不负任何责任。</w:t>
      </w:r>
    </w:p>
    <w:p>
      <w:pPr>
        <w:numPr>
          <w:ilvl w:val="0"/>
          <w:numId w:val="44"/>
        </w:numPr>
        <w:spacing w:before="100" w:line="293" w:lineRule="auto"/>
        <w:rPr>
          <w:rFonts w:hAnsi="宋体" w:eastAsia="宋体"/>
          <w:szCs w:val="28"/>
        </w:rPr>
      </w:pPr>
      <w:r>
        <w:rPr>
          <w:rFonts w:hint="eastAsia" w:hAnsi="宋体" w:eastAsia="宋体" w:cs="宋体"/>
          <w:bCs/>
          <w:szCs w:val="21"/>
        </w:rPr>
        <w:t>本项目不组织现场风险踏勘。</w:t>
      </w:r>
    </w:p>
    <w:p>
      <w:pPr>
        <w:numPr>
          <w:ilvl w:val="0"/>
          <w:numId w:val="44"/>
        </w:numPr>
        <w:spacing w:before="100" w:line="293" w:lineRule="auto"/>
        <w:rPr>
          <w:rFonts w:hAnsi="宋体" w:eastAsia="宋体"/>
          <w:szCs w:val="28"/>
        </w:rPr>
      </w:pPr>
      <w:r>
        <w:rPr>
          <w:rFonts w:hint="eastAsia" w:hAnsi="宋体" w:eastAsia="宋体"/>
          <w:szCs w:val="28"/>
        </w:rPr>
        <w:t>投标人将被视为已合理地充分了解了对所有影响本项目的事项。</w:t>
      </w:r>
    </w:p>
    <w:p>
      <w:pPr>
        <w:numPr>
          <w:ilvl w:val="0"/>
          <w:numId w:val="44"/>
        </w:numPr>
        <w:spacing w:before="100" w:line="293" w:lineRule="auto"/>
        <w:rPr>
          <w:rFonts w:hAnsi="宋体" w:eastAsia="宋体"/>
          <w:szCs w:val="28"/>
        </w:rPr>
      </w:pPr>
      <w:r>
        <w:rPr>
          <w:rFonts w:hint="eastAsia" w:hAnsi="宋体" w:eastAsia="宋体"/>
          <w:szCs w:val="28"/>
        </w:rPr>
        <w:t>如果投标人在投标过程中有欺诈或腐败行为，则招标人有权否决投标人的投标。</w:t>
      </w:r>
    </w:p>
    <w:p>
      <w:pPr>
        <w:numPr>
          <w:ilvl w:val="0"/>
          <w:numId w:val="44"/>
        </w:numPr>
        <w:spacing w:before="100" w:line="293" w:lineRule="auto"/>
        <w:rPr>
          <w:rFonts w:hAnsi="宋体" w:eastAsia="宋体"/>
          <w:szCs w:val="28"/>
        </w:rPr>
      </w:pPr>
      <w:r>
        <w:rPr>
          <w:rFonts w:hint="eastAsia" w:hAnsi="宋体" w:eastAsia="宋体" w:cs="宋体"/>
          <w:bCs/>
          <w:szCs w:val="21"/>
        </w:rPr>
        <w:t>对中标人的其他约定</w:t>
      </w:r>
    </w:p>
    <w:p>
      <w:pPr>
        <w:numPr>
          <w:ilvl w:val="255"/>
          <w:numId w:val="0"/>
        </w:numPr>
        <w:spacing w:before="100" w:line="293" w:lineRule="auto"/>
        <w:ind w:left="1058" w:leftChars="503" w:hanging="2"/>
        <w:rPr>
          <w:rFonts w:eastAsia="宋体"/>
        </w:rPr>
      </w:pPr>
      <w:r>
        <w:rPr>
          <w:rFonts w:hint="eastAsia" w:eastAsia="宋体"/>
        </w:rPr>
        <w:t>中标人须对保险服务的全过程予以保密。</w:t>
      </w:r>
    </w:p>
    <w:p>
      <w:pPr>
        <w:numPr>
          <w:ilvl w:val="255"/>
          <w:numId w:val="0"/>
        </w:numPr>
        <w:spacing w:before="100" w:line="293" w:lineRule="auto"/>
        <w:ind w:left="1058" w:leftChars="503" w:hanging="2"/>
        <w:rPr>
          <w:rFonts w:eastAsia="宋体"/>
        </w:rPr>
      </w:pPr>
      <w:r>
        <w:rPr>
          <w:rFonts w:hint="eastAsia" w:eastAsia="宋体"/>
        </w:rPr>
        <w:t>中标人在保险服务工作中应讲究原则，独立工作，不受外在因素影响。</w:t>
      </w:r>
    </w:p>
    <w:p>
      <w:pPr>
        <w:numPr>
          <w:ilvl w:val="0"/>
          <w:numId w:val="44"/>
        </w:numPr>
        <w:spacing w:before="100" w:line="293" w:lineRule="auto"/>
        <w:rPr>
          <w:rFonts w:ascii="宋体" w:hAnsi="宋体" w:eastAsia="宋体"/>
          <w:b/>
          <w:szCs w:val="21"/>
        </w:rPr>
      </w:pPr>
      <w:r>
        <w:rPr>
          <w:rFonts w:hint="eastAsia" w:ascii="宋体" w:hAnsi="宋体" w:eastAsia="宋体"/>
          <w:b/>
          <w:szCs w:val="21"/>
        </w:rPr>
        <w:t>本项目招标代理服务费按如下收费标准</w:t>
      </w:r>
      <w:r>
        <w:rPr>
          <w:rFonts w:ascii="宋体" w:hAnsi="宋体" w:eastAsia="宋体"/>
          <w:b/>
          <w:szCs w:val="21"/>
        </w:rPr>
        <w:t>计算并下浮20%，</w:t>
      </w:r>
      <w:r>
        <w:rPr>
          <w:rFonts w:hint="eastAsia" w:ascii="宋体" w:hAnsi="宋体" w:eastAsia="宋体"/>
          <w:b/>
          <w:szCs w:val="21"/>
        </w:rPr>
        <w:t>由中标人在领取中标通知书前，一次性向招标代理机构支付。</w:t>
      </w:r>
    </w:p>
    <w:p>
      <w:pPr>
        <w:spacing w:before="100" w:line="293" w:lineRule="auto"/>
        <w:ind w:left="1134"/>
        <w:rPr>
          <w:rFonts w:ascii="宋体" w:hAnsi="宋体" w:eastAsia="宋体" w:cs="宋体"/>
          <w:szCs w:val="21"/>
        </w:rPr>
      </w:pPr>
      <w:r>
        <w:rPr>
          <w:rFonts w:hint="eastAsia" w:ascii="宋体" w:hAnsi="宋体" w:eastAsia="宋体"/>
          <w:szCs w:val="21"/>
        </w:rPr>
        <w:t>招标</w:t>
      </w:r>
      <w:r>
        <w:rPr>
          <w:rFonts w:ascii="宋体" w:hAnsi="宋体" w:eastAsia="宋体"/>
          <w:szCs w:val="21"/>
        </w:rPr>
        <w:t>代理服务费收费标准如下：</w:t>
      </w:r>
    </w:p>
    <w:tbl>
      <w:tblPr>
        <w:tblStyle w:val="47"/>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3"/>
        <w:gridCol w:w="1659"/>
        <w:gridCol w:w="1532"/>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Borders>
              <w:top w:val="single" w:color="auto" w:sz="4" w:space="0"/>
              <w:left w:val="single" w:color="auto" w:sz="4" w:space="0"/>
              <w:bottom w:val="single" w:color="auto" w:sz="4" w:space="0"/>
              <w:right w:val="single" w:color="auto" w:sz="4" w:space="0"/>
              <w:tl2br w:val="single" w:color="auto" w:sz="4" w:space="0"/>
            </w:tcBorders>
          </w:tcPr>
          <w:p>
            <w:pPr>
              <w:spacing w:line="360" w:lineRule="auto"/>
              <w:rPr>
                <w:rFonts w:ascii="宋体" w:hAnsi="宋体" w:eastAsia="宋体" w:cs="宋体"/>
                <w:szCs w:val="21"/>
              </w:rPr>
            </w:pPr>
            <w:r>
              <w:rPr>
                <w:rFonts w:hint="eastAsia" w:ascii="宋体" w:hAnsi="宋体" w:eastAsia="宋体" w:cs="宋体"/>
                <w:szCs w:val="21"/>
              </w:rPr>
              <w:t xml:space="preserve">               费率</w:t>
            </w:r>
          </w:p>
          <w:p>
            <w:pPr>
              <w:spacing w:line="360" w:lineRule="auto"/>
              <w:rPr>
                <w:rFonts w:ascii="宋体" w:hAnsi="宋体" w:eastAsia="宋体" w:cs="宋体"/>
                <w:szCs w:val="21"/>
              </w:rPr>
            </w:pPr>
            <w:r>
              <w:rPr>
                <w:rFonts w:hint="eastAsia" w:ascii="宋体" w:hAnsi="宋体" w:eastAsia="宋体" w:cs="宋体"/>
                <w:szCs w:val="21"/>
              </w:rPr>
              <w:t>金额</w:t>
            </w:r>
          </w:p>
        </w:tc>
        <w:tc>
          <w:tcPr>
            <w:tcW w:w="1659" w:type="dxa"/>
            <w:tcBorders>
              <w:top w:val="single" w:color="auto" w:sz="4" w:space="0"/>
              <w:left w:val="single" w:color="auto" w:sz="4" w:space="0"/>
              <w:bottom w:val="single" w:color="auto" w:sz="4" w:space="0"/>
              <w:right w:val="single" w:color="auto" w:sz="4" w:space="0"/>
            </w:tcBorders>
            <w:vAlign w:val="center"/>
          </w:tcPr>
          <w:p>
            <w:pPr>
              <w:spacing w:line="360" w:lineRule="auto"/>
              <w:ind w:firstLine="105" w:firstLineChars="50"/>
              <w:jc w:val="center"/>
              <w:rPr>
                <w:rFonts w:ascii="宋体" w:hAnsi="宋体" w:eastAsia="宋体" w:cs="宋体"/>
                <w:szCs w:val="21"/>
              </w:rPr>
            </w:pPr>
            <w:r>
              <w:rPr>
                <w:rFonts w:hint="eastAsia" w:ascii="宋体" w:hAnsi="宋体" w:eastAsia="宋体" w:cs="宋体"/>
                <w:szCs w:val="21"/>
              </w:rPr>
              <w:t>货物类</w:t>
            </w:r>
          </w:p>
        </w:tc>
        <w:tc>
          <w:tcPr>
            <w:tcW w:w="15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服务类</w:t>
            </w:r>
          </w:p>
        </w:tc>
        <w:tc>
          <w:tcPr>
            <w:tcW w:w="154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Cs w:val="21"/>
              </w:rPr>
            </w:pPr>
            <w:r>
              <w:rPr>
                <w:rFonts w:hint="eastAsia" w:ascii="宋体" w:hAnsi="宋体" w:eastAsia="宋体" w:cs="宋体"/>
                <w:szCs w:val="21"/>
              </w:rPr>
              <w:t>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szCs w:val="21"/>
              </w:rPr>
              <w:t>100万元以下</w:t>
            </w:r>
          </w:p>
        </w:tc>
        <w:tc>
          <w:tcPr>
            <w:tcW w:w="16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kern w:val="0"/>
                <w:szCs w:val="21"/>
              </w:rPr>
              <w:t xml:space="preserve">  1.5%                </w:t>
            </w:r>
          </w:p>
        </w:tc>
        <w:tc>
          <w:tcPr>
            <w:tcW w:w="1532"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kern w:val="0"/>
                <w:szCs w:val="21"/>
              </w:rPr>
              <w:t>1.5%</w:t>
            </w:r>
          </w:p>
        </w:tc>
        <w:tc>
          <w:tcPr>
            <w:tcW w:w="1546"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kern w:val="0"/>
                <w:szCs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szCs w:val="21"/>
              </w:rPr>
              <w:t>100～500万元</w:t>
            </w:r>
          </w:p>
        </w:tc>
        <w:tc>
          <w:tcPr>
            <w:tcW w:w="1659"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kern w:val="0"/>
                <w:szCs w:val="21"/>
              </w:rPr>
              <w:t xml:space="preserve">1.1%                 </w:t>
            </w:r>
          </w:p>
        </w:tc>
        <w:tc>
          <w:tcPr>
            <w:tcW w:w="1532"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kern w:val="0"/>
                <w:szCs w:val="21"/>
              </w:rPr>
              <w:t>0.8%</w:t>
            </w:r>
          </w:p>
        </w:tc>
        <w:tc>
          <w:tcPr>
            <w:tcW w:w="1546"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kern w:val="0"/>
                <w:szCs w:val="21"/>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szCs w:val="21"/>
              </w:rPr>
              <w:t>500～1000万元</w:t>
            </w:r>
          </w:p>
        </w:tc>
        <w:tc>
          <w:tcPr>
            <w:tcW w:w="16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kern w:val="0"/>
                <w:szCs w:val="21"/>
              </w:rPr>
              <w:t xml:space="preserve">  0.8%                </w:t>
            </w:r>
          </w:p>
        </w:tc>
        <w:tc>
          <w:tcPr>
            <w:tcW w:w="1532"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kern w:val="0"/>
                <w:szCs w:val="21"/>
              </w:rPr>
              <w:t>0.45%</w:t>
            </w:r>
          </w:p>
        </w:tc>
        <w:tc>
          <w:tcPr>
            <w:tcW w:w="1546"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kern w:val="0"/>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szCs w:val="21"/>
              </w:rPr>
              <w:t>1000～5000万元</w:t>
            </w:r>
          </w:p>
        </w:tc>
        <w:tc>
          <w:tcPr>
            <w:tcW w:w="1659"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kern w:val="0"/>
                <w:szCs w:val="21"/>
              </w:rPr>
              <w:t xml:space="preserve">0.5%                </w:t>
            </w:r>
          </w:p>
        </w:tc>
        <w:tc>
          <w:tcPr>
            <w:tcW w:w="1532"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kern w:val="0"/>
                <w:szCs w:val="21"/>
              </w:rPr>
              <w:t>0.25%</w:t>
            </w:r>
          </w:p>
        </w:tc>
        <w:tc>
          <w:tcPr>
            <w:tcW w:w="1546"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kern w:val="0"/>
                <w:szCs w:val="21"/>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szCs w:val="21"/>
              </w:rPr>
              <w:t>5000万元～1亿元</w:t>
            </w:r>
          </w:p>
        </w:tc>
        <w:tc>
          <w:tcPr>
            <w:tcW w:w="1659"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kern w:val="0"/>
                <w:szCs w:val="21"/>
              </w:rPr>
              <w:t xml:space="preserve">0.25%                 </w:t>
            </w:r>
          </w:p>
        </w:tc>
        <w:tc>
          <w:tcPr>
            <w:tcW w:w="1532"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kern w:val="0"/>
                <w:szCs w:val="21"/>
              </w:rPr>
              <w:t>0.1%</w:t>
            </w:r>
          </w:p>
        </w:tc>
        <w:tc>
          <w:tcPr>
            <w:tcW w:w="1546"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kern w:val="0"/>
                <w:szCs w:val="21"/>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szCs w:val="21"/>
              </w:rPr>
              <w:t>1～5亿元</w:t>
            </w:r>
          </w:p>
        </w:tc>
        <w:tc>
          <w:tcPr>
            <w:tcW w:w="1659"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szCs w:val="21"/>
              </w:rPr>
              <w:t>0.05%</w:t>
            </w:r>
          </w:p>
        </w:tc>
        <w:tc>
          <w:tcPr>
            <w:tcW w:w="153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szCs w:val="21"/>
              </w:rPr>
              <w:t xml:space="preserve">  0.05%</w:t>
            </w:r>
          </w:p>
        </w:tc>
        <w:tc>
          <w:tcPr>
            <w:tcW w:w="1546"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szCs w:val="21"/>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szCs w:val="21"/>
              </w:rPr>
              <w:t>5～10亿元</w:t>
            </w:r>
          </w:p>
        </w:tc>
        <w:tc>
          <w:tcPr>
            <w:tcW w:w="1659" w:type="dxa"/>
            <w:tcBorders>
              <w:top w:val="single" w:color="auto" w:sz="4" w:space="0"/>
              <w:left w:val="single" w:color="auto" w:sz="4" w:space="0"/>
              <w:bottom w:val="single" w:color="auto" w:sz="4" w:space="0"/>
              <w:right w:val="single" w:color="auto" w:sz="4" w:space="0"/>
            </w:tcBorders>
          </w:tcPr>
          <w:p>
            <w:pPr>
              <w:spacing w:line="360" w:lineRule="auto"/>
              <w:ind w:firstLine="105" w:firstLineChars="50"/>
              <w:rPr>
                <w:rFonts w:ascii="宋体" w:hAnsi="宋体" w:eastAsia="宋体" w:cs="宋体"/>
                <w:szCs w:val="21"/>
              </w:rPr>
            </w:pPr>
            <w:r>
              <w:rPr>
                <w:rFonts w:hint="eastAsia" w:ascii="宋体" w:hAnsi="宋体" w:eastAsia="宋体" w:cs="宋体"/>
                <w:szCs w:val="21"/>
              </w:rPr>
              <w:t>0.035%</w:t>
            </w:r>
          </w:p>
        </w:tc>
        <w:tc>
          <w:tcPr>
            <w:tcW w:w="1532"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szCs w:val="21"/>
              </w:rPr>
              <w:t xml:space="preserve">  0.035%</w:t>
            </w:r>
          </w:p>
        </w:tc>
        <w:tc>
          <w:tcPr>
            <w:tcW w:w="1546" w:type="dxa"/>
            <w:tcBorders>
              <w:top w:val="single" w:color="auto" w:sz="4" w:space="0"/>
              <w:left w:val="single" w:color="auto" w:sz="4" w:space="0"/>
              <w:bottom w:val="single" w:color="auto" w:sz="4" w:space="0"/>
              <w:right w:val="single" w:color="auto" w:sz="4" w:space="0"/>
            </w:tcBorders>
          </w:tcPr>
          <w:p>
            <w:pPr>
              <w:spacing w:line="360" w:lineRule="auto"/>
              <w:ind w:firstLine="105" w:firstLineChars="50"/>
              <w:rPr>
                <w:rFonts w:ascii="宋体" w:hAnsi="宋体" w:eastAsia="宋体" w:cs="宋体"/>
                <w:szCs w:val="21"/>
              </w:rPr>
            </w:pPr>
            <w:r>
              <w:rPr>
                <w:rFonts w:hint="eastAsia" w:ascii="宋体" w:hAnsi="宋体" w:eastAsia="宋体" w:cs="宋体"/>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szCs w:val="21"/>
              </w:rPr>
              <w:t>10～50亿元</w:t>
            </w:r>
          </w:p>
        </w:tc>
        <w:tc>
          <w:tcPr>
            <w:tcW w:w="1659" w:type="dxa"/>
            <w:tcBorders>
              <w:top w:val="single" w:color="auto" w:sz="4" w:space="0"/>
              <w:left w:val="single" w:color="auto" w:sz="4" w:space="0"/>
              <w:bottom w:val="single" w:color="auto" w:sz="4" w:space="0"/>
              <w:right w:val="single" w:color="auto" w:sz="4" w:space="0"/>
            </w:tcBorders>
          </w:tcPr>
          <w:p>
            <w:pPr>
              <w:spacing w:line="360" w:lineRule="auto"/>
              <w:ind w:firstLine="105" w:firstLineChars="50"/>
              <w:rPr>
                <w:rFonts w:ascii="宋体" w:hAnsi="宋体" w:eastAsia="宋体" w:cs="宋体"/>
                <w:szCs w:val="21"/>
              </w:rPr>
            </w:pPr>
            <w:r>
              <w:rPr>
                <w:rFonts w:hint="eastAsia" w:ascii="宋体" w:hAnsi="宋体" w:eastAsia="宋体" w:cs="宋体"/>
                <w:szCs w:val="21"/>
              </w:rPr>
              <w:t>0.008%</w:t>
            </w:r>
          </w:p>
        </w:tc>
        <w:tc>
          <w:tcPr>
            <w:tcW w:w="1532"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szCs w:val="21"/>
              </w:rPr>
              <w:t>0.008%</w:t>
            </w:r>
          </w:p>
        </w:tc>
        <w:tc>
          <w:tcPr>
            <w:tcW w:w="1546" w:type="dxa"/>
            <w:tcBorders>
              <w:top w:val="single" w:color="auto" w:sz="4" w:space="0"/>
              <w:left w:val="single" w:color="auto" w:sz="4" w:space="0"/>
              <w:bottom w:val="single" w:color="auto" w:sz="4" w:space="0"/>
              <w:right w:val="single" w:color="auto" w:sz="4" w:space="0"/>
            </w:tcBorders>
          </w:tcPr>
          <w:p>
            <w:pPr>
              <w:spacing w:line="360" w:lineRule="auto"/>
              <w:ind w:firstLine="105" w:firstLineChars="50"/>
              <w:rPr>
                <w:rFonts w:ascii="宋体" w:hAnsi="宋体" w:eastAsia="宋体" w:cs="宋体"/>
                <w:szCs w:val="21"/>
              </w:rPr>
            </w:pPr>
            <w:r>
              <w:rPr>
                <w:rFonts w:hint="eastAsia" w:ascii="宋体" w:hAnsi="宋体" w:eastAsia="宋体" w:cs="宋体"/>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szCs w:val="21"/>
              </w:rPr>
              <w:t>50～100亿元</w:t>
            </w:r>
          </w:p>
        </w:tc>
        <w:tc>
          <w:tcPr>
            <w:tcW w:w="16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szCs w:val="21"/>
              </w:rPr>
              <w:t xml:space="preserve"> 0.006%</w:t>
            </w:r>
          </w:p>
        </w:tc>
        <w:tc>
          <w:tcPr>
            <w:tcW w:w="1532"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szCs w:val="21"/>
              </w:rPr>
              <w:t>0.006%</w:t>
            </w:r>
          </w:p>
        </w:tc>
        <w:tc>
          <w:tcPr>
            <w:tcW w:w="1546" w:type="dxa"/>
            <w:tcBorders>
              <w:top w:val="single" w:color="auto" w:sz="4" w:space="0"/>
              <w:left w:val="single" w:color="auto" w:sz="4" w:space="0"/>
              <w:bottom w:val="single" w:color="auto" w:sz="4" w:space="0"/>
              <w:right w:val="single" w:color="auto" w:sz="4" w:space="0"/>
            </w:tcBorders>
          </w:tcPr>
          <w:p>
            <w:pPr>
              <w:spacing w:line="360" w:lineRule="auto"/>
              <w:ind w:firstLine="105" w:firstLineChars="50"/>
              <w:rPr>
                <w:rFonts w:ascii="宋体" w:hAnsi="宋体" w:eastAsia="宋体" w:cs="宋体"/>
                <w:szCs w:val="21"/>
              </w:rPr>
            </w:pPr>
            <w:r>
              <w:rPr>
                <w:rFonts w:hint="eastAsia" w:ascii="宋体" w:hAnsi="宋体" w:eastAsia="宋体" w:cs="宋体"/>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3"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szCs w:val="21"/>
              </w:rPr>
              <w:t>100亿以上</w:t>
            </w:r>
          </w:p>
        </w:tc>
        <w:tc>
          <w:tcPr>
            <w:tcW w:w="1659"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eastAsia="宋体" w:cs="宋体"/>
                <w:szCs w:val="21"/>
              </w:rPr>
            </w:pPr>
            <w:r>
              <w:rPr>
                <w:rFonts w:hint="eastAsia" w:ascii="宋体" w:hAnsi="宋体" w:eastAsia="宋体" w:cs="宋体"/>
                <w:szCs w:val="21"/>
              </w:rPr>
              <w:t xml:space="preserve"> 0.004%</w:t>
            </w:r>
          </w:p>
        </w:tc>
        <w:tc>
          <w:tcPr>
            <w:tcW w:w="1532" w:type="dxa"/>
            <w:tcBorders>
              <w:top w:val="single" w:color="auto" w:sz="4" w:space="0"/>
              <w:left w:val="single" w:color="auto" w:sz="4" w:space="0"/>
              <w:bottom w:val="single" w:color="auto" w:sz="4" w:space="0"/>
              <w:right w:val="single" w:color="auto" w:sz="4" w:space="0"/>
            </w:tcBorders>
          </w:tcPr>
          <w:p>
            <w:pPr>
              <w:spacing w:line="360" w:lineRule="auto"/>
              <w:ind w:firstLine="210" w:firstLineChars="100"/>
              <w:rPr>
                <w:rFonts w:ascii="宋体" w:hAnsi="宋体" w:eastAsia="宋体" w:cs="宋体"/>
                <w:szCs w:val="21"/>
              </w:rPr>
            </w:pPr>
            <w:r>
              <w:rPr>
                <w:rFonts w:hint="eastAsia" w:ascii="宋体" w:hAnsi="宋体" w:eastAsia="宋体" w:cs="宋体"/>
                <w:szCs w:val="21"/>
              </w:rPr>
              <w:t>0.004%</w:t>
            </w:r>
          </w:p>
        </w:tc>
        <w:tc>
          <w:tcPr>
            <w:tcW w:w="1546" w:type="dxa"/>
            <w:tcBorders>
              <w:top w:val="single" w:color="auto" w:sz="4" w:space="0"/>
              <w:left w:val="single" w:color="auto" w:sz="4" w:space="0"/>
              <w:bottom w:val="single" w:color="auto" w:sz="4" w:space="0"/>
              <w:right w:val="single" w:color="auto" w:sz="4" w:space="0"/>
            </w:tcBorders>
          </w:tcPr>
          <w:p>
            <w:pPr>
              <w:spacing w:line="360" w:lineRule="auto"/>
              <w:ind w:firstLine="105" w:firstLineChars="50"/>
              <w:rPr>
                <w:rFonts w:ascii="宋体" w:hAnsi="宋体" w:eastAsia="宋体" w:cs="宋体"/>
                <w:szCs w:val="21"/>
              </w:rPr>
            </w:pPr>
            <w:r>
              <w:rPr>
                <w:rFonts w:hint="eastAsia" w:ascii="宋体" w:hAnsi="宋体" w:eastAsia="宋体" w:cs="宋体"/>
                <w:szCs w:val="21"/>
              </w:rPr>
              <w:t>0.004%</w:t>
            </w:r>
          </w:p>
        </w:tc>
      </w:tr>
    </w:tbl>
    <w:p>
      <w:pPr>
        <w:spacing w:line="360" w:lineRule="auto"/>
        <w:ind w:firstLine="420" w:firstLineChars="200"/>
        <w:rPr>
          <w:rFonts w:ascii="宋体" w:hAnsi="宋体" w:eastAsia="宋体" w:cs="宋体"/>
          <w:szCs w:val="21"/>
        </w:rPr>
      </w:pPr>
      <w:r>
        <w:rPr>
          <w:rFonts w:hint="eastAsia" w:ascii="宋体" w:hAnsi="宋体" w:eastAsia="宋体" w:cs="宋体"/>
          <w:szCs w:val="21"/>
        </w:rPr>
        <w:t xml:space="preserve">注： </w:t>
      </w:r>
    </w:p>
    <w:p>
      <w:pPr>
        <w:spacing w:line="360" w:lineRule="auto"/>
        <w:ind w:firstLine="420" w:firstLineChars="200"/>
        <w:rPr>
          <w:rFonts w:ascii="宋体" w:hAnsi="宋体" w:eastAsia="宋体" w:cs="宋体"/>
          <w:szCs w:val="21"/>
        </w:rPr>
      </w:pPr>
      <w:r>
        <w:rPr>
          <w:rFonts w:hint="eastAsia" w:ascii="宋体" w:hAnsi="宋体" w:eastAsia="宋体" w:cs="宋体"/>
          <w:szCs w:val="21"/>
        </w:rPr>
        <w:t>（1）按本表费率计算的收费为招标代理的收费基准价格；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（2）招标代理收费按差额定率累进法计算。</w:t>
      </w:r>
    </w:p>
    <w:p>
      <w:pPr>
        <w:spacing w:line="360" w:lineRule="auto"/>
        <w:ind w:firstLine="420" w:firstLineChars="200"/>
        <w:rPr>
          <w:rFonts w:ascii="宋体" w:hAnsi="宋体" w:eastAsia="宋体" w:cs="宋体"/>
          <w:szCs w:val="21"/>
        </w:rPr>
      </w:pPr>
      <w:r>
        <w:rPr>
          <w:rFonts w:hint="eastAsia" w:ascii="宋体" w:hAnsi="宋体" w:eastAsia="宋体" w:cs="宋体"/>
          <w:szCs w:val="21"/>
        </w:rPr>
        <w:t>例如：某服务采购代理业务中标金额或者暂定价为1</w:t>
      </w:r>
      <w:r>
        <w:rPr>
          <w:rFonts w:ascii="宋体" w:hAnsi="宋体" w:eastAsia="宋体" w:cs="宋体"/>
          <w:szCs w:val="21"/>
        </w:rPr>
        <w:t>8</w:t>
      </w:r>
      <w:r>
        <w:rPr>
          <w:rFonts w:hint="eastAsia" w:ascii="宋体" w:hAnsi="宋体" w:eastAsia="宋体" w:cs="宋体"/>
          <w:szCs w:val="21"/>
        </w:rPr>
        <w:t>0万元，计算招标代理收费额如下：</w:t>
      </w:r>
    </w:p>
    <w:p>
      <w:pPr>
        <w:spacing w:line="360" w:lineRule="auto"/>
        <w:ind w:firstLine="840" w:firstLineChars="400"/>
        <w:rPr>
          <w:rFonts w:ascii="宋体" w:hAnsi="宋体" w:eastAsia="宋体" w:cs="宋体"/>
          <w:szCs w:val="21"/>
        </w:rPr>
      </w:pPr>
      <w:r>
        <w:rPr>
          <w:rFonts w:hint="eastAsia" w:ascii="宋体" w:hAnsi="宋体" w:eastAsia="宋体" w:cs="宋体"/>
          <w:szCs w:val="21"/>
        </w:rPr>
        <w:t>100 万元 ×l.5 %＝ 1.5 万元</w:t>
      </w:r>
    </w:p>
    <w:p>
      <w:pPr>
        <w:spacing w:line="360" w:lineRule="auto"/>
        <w:ind w:firstLine="840" w:firstLineChars="400"/>
        <w:rPr>
          <w:rFonts w:ascii="宋体" w:hAnsi="宋体" w:eastAsia="宋体" w:cs="宋体"/>
          <w:szCs w:val="21"/>
        </w:rPr>
      </w:pPr>
      <w:r>
        <w:rPr>
          <w:rFonts w:hint="eastAsia" w:ascii="宋体" w:hAnsi="宋体" w:eastAsia="宋体" w:cs="宋体"/>
          <w:szCs w:val="21"/>
        </w:rPr>
        <w:t>（ 1</w:t>
      </w:r>
      <w:r>
        <w:rPr>
          <w:rFonts w:ascii="宋体" w:hAnsi="宋体" w:eastAsia="宋体" w:cs="宋体"/>
          <w:szCs w:val="21"/>
        </w:rPr>
        <w:t>8</w:t>
      </w:r>
      <w:r>
        <w:rPr>
          <w:rFonts w:hint="eastAsia" w:ascii="宋体" w:hAnsi="宋体" w:eastAsia="宋体" w:cs="宋体"/>
          <w:szCs w:val="21"/>
        </w:rPr>
        <w:t>0 － 100 ）万元 ×</w:t>
      </w:r>
      <w:r>
        <w:rPr>
          <w:rFonts w:ascii="宋体" w:hAnsi="宋体" w:eastAsia="宋体" w:cs="宋体"/>
          <w:szCs w:val="21"/>
        </w:rPr>
        <w:t>0.8</w:t>
      </w:r>
      <w:r>
        <w:rPr>
          <w:rFonts w:hint="eastAsia" w:ascii="宋体" w:hAnsi="宋体" w:eastAsia="宋体" w:cs="宋体"/>
          <w:szCs w:val="21"/>
        </w:rPr>
        <w:t>%＝ 0.</w:t>
      </w:r>
      <w:r>
        <w:rPr>
          <w:rFonts w:ascii="宋体" w:hAnsi="宋体" w:eastAsia="宋体" w:cs="宋体"/>
          <w:szCs w:val="21"/>
        </w:rPr>
        <w:t>64</w:t>
      </w:r>
      <w:r>
        <w:rPr>
          <w:rFonts w:hint="eastAsia" w:ascii="宋体" w:hAnsi="宋体" w:eastAsia="宋体" w:cs="宋体"/>
          <w:szCs w:val="21"/>
        </w:rPr>
        <w:t>万元</w:t>
      </w:r>
    </w:p>
    <w:p>
      <w:pPr>
        <w:pStyle w:val="2"/>
        <w:rPr>
          <w:rFonts w:ascii="宋体" w:hAnsi="宋体" w:eastAsia="宋体" w:cs="宋体"/>
          <w:sz w:val="21"/>
          <w:szCs w:val="21"/>
        </w:rPr>
      </w:pPr>
      <w:r>
        <w:rPr>
          <w:rFonts w:hint="eastAsia" w:ascii="宋体" w:hAnsi="宋体" w:eastAsia="宋体" w:cs="宋体"/>
          <w:sz w:val="21"/>
          <w:szCs w:val="21"/>
        </w:rPr>
        <w:t>合计收费＝ 1.5 ＋ 0.</w:t>
      </w:r>
      <w:r>
        <w:rPr>
          <w:rFonts w:ascii="宋体" w:hAnsi="宋体" w:eastAsia="宋体" w:cs="宋体"/>
          <w:sz w:val="21"/>
          <w:szCs w:val="21"/>
        </w:rPr>
        <w:t>64</w:t>
      </w:r>
      <w:r>
        <w:rPr>
          <w:rFonts w:hint="eastAsia" w:ascii="宋体" w:hAnsi="宋体" w:eastAsia="宋体" w:cs="宋体"/>
          <w:sz w:val="21"/>
          <w:szCs w:val="21"/>
        </w:rPr>
        <w:t>＝ 2.</w:t>
      </w:r>
      <w:r>
        <w:rPr>
          <w:rFonts w:ascii="宋体" w:hAnsi="宋体" w:eastAsia="宋体" w:cs="宋体"/>
          <w:sz w:val="21"/>
          <w:szCs w:val="21"/>
        </w:rPr>
        <w:t>14</w:t>
      </w:r>
      <w:r>
        <w:rPr>
          <w:rFonts w:hint="eastAsia" w:ascii="宋体" w:hAnsi="宋体" w:eastAsia="宋体" w:cs="宋体"/>
          <w:sz w:val="21"/>
          <w:szCs w:val="21"/>
        </w:rPr>
        <w:t>万元</w:t>
      </w:r>
    </w:p>
    <w:p>
      <w:pPr>
        <w:pStyle w:val="2"/>
        <w:rPr>
          <w:rFonts w:ascii="宋体" w:hAnsi="宋体" w:eastAsia="宋体"/>
          <w:sz w:val="21"/>
          <w:szCs w:val="21"/>
        </w:rPr>
      </w:pPr>
      <w:r>
        <w:rPr>
          <w:rFonts w:ascii="宋体" w:hAnsi="宋体" w:eastAsia="宋体"/>
          <w:sz w:val="21"/>
          <w:szCs w:val="21"/>
        </w:rPr>
        <w:t>下浮</w:t>
      </w:r>
      <w:r>
        <w:rPr>
          <w:rFonts w:hint="eastAsia" w:ascii="宋体" w:hAnsi="宋体" w:eastAsia="宋体"/>
          <w:sz w:val="21"/>
          <w:szCs w:val="21"/>
        </w:rPr>
        <w:t>20</w:t>
      </w:r>
      <w:r>
        <w:rPr>
          <w:rFonts w:ascii="宋体" w:hAnsi="宋体" w:eastAsia="宋体"/>
          <w:sz w:val="21"/>
          <w:szCs w:val="21"/>
        </w:rPr>
        <w:t>%</w:t>
      </w:r>
      <w:r>
        <w:rPr>
          <w:rFonts w:hint="eastAsia" w:ascii="宋体" w:hAnsi="宋体" w:eastAsia="宋体"/>
          <w:sz w:val="21"/>
          <w:szCs w:val="21"/>
        </w:rPr>
        <w:t>收费</w:t>
      </w:r>
      <w:r>
        <w:rPr>
          <w:rFonts w:hint="eastAsia" w:ascii="宋体" w:hAnsi="宋体" w:eastAsia="宋体" w:cs="宋体"/>
          <w:sz w:val="21"/>
          <w:szCs w:val="21"/>
        </w:rPr>
        <w:t>＝2.</w:t>
      </w:r>
      <w:r>
        <w:rPr>
          <w:rFonts w:ascii="宋体" w:hAnsi="宋体" w:eastAsia="宋体" w:cs="宋体"/>
          <w:sz w:val="21"/>
          <w:szCs w:val="21"/>
        </w:rPr>
        <w:t>14</w:t>
      </w:r>
      <w:r>
        <w:rPr>
          <w:rFonts w:hint="eastAsia" w:ascii="宋体" w:hAnsi="宋体" w:eastAsia="宋体" w:cs="宋体"/>
          <w:sz w:val="21"/>
          <w:szCs w:val="21"/>
        </w:rPr>
        <w:t>×（1-20</w:t>
      </w:r>
      <w:r>
        <w:rPr>
          <w:rFonts w:ascii="宋体" w:hAnsi="宋体" w:eastAsia="宋体" w:cs="宋体"/>
          <w:sz w:val="21"/>
          <w:szCs w:val="21"/>
        </w:rPr>
        <w:t>%</w:t>
      </w:r>
      <w:r>
        <w:rPr>
          <w:rFonts w:hint="eastAsia" w:ascii="宋体" w:hAnsi="宋体" w:eastAsia="宋体" w:cs="宋体"/>
          <w:sz w:val="21"/>
          <w:szCs w:val="21"/>
        </w:rPr>
        <w:t>）＝</w:t>
      </w:r>
      <w:r>
        <w:rPr>
          <w:rFonts w:ascii="宋体" w:hAnsi="宋体" w:eastAsia="宋体" w:cs="宋体"/>
          <w:sz w:val="21"/>
          <w:szCs w:val="21"/>
        </w:rPr>
        <w:t>1.712</w:t>
      </w:r>
      <w:r>
        <w:rPr>
          <w:rFonts w:hint="eastAsia" w:ascii="宋体" w:hAnsi="宋体" w:eastAsia="宋体" w:cs="宋体"/>
          <w:sz w:val="21"/>
          <w:szCs w:val="21"/>
        </w:rPr>
        <w:t>万元</w:t>
      </w:r>
    </w:p>
    <w:p>
      <w:pPr>
        <w:numPr>
          <w:ilvl w:val="0"/>
          <w:numId w:val="44"/>
        </w:numPr>
        <w:spacing w:before="100" w:line="293" w:lineRule="auto"/>
        <w:rPr>
          <w:rFonts w:ascii="宋体" w:hAnsi="宋体" w:eastAsia="宋体" w:cs="Arial"/>
          <w:bCs/>
          <w:szCs w:val="21"/>
        </w:rPr>
      </w:pPr>
      <w:r>
        <w:rPr>
          <w:rFonts w:hint="eastAsia" w:ascii="宋体" w:hAnsi="宋体" w:eastAsia="宋体"/>
          <w:szCs w:val="21"/>
        </w:rPr>
        <w:t>异议</w:t>
      </w:r>
    </w:p>
    <w:p>
      <w:pPr>
        <w:numPr>
          <w:ilvl w:val="255"/>
          <w:numId w:val="0"/>
        </w:numPr>
        <w:spacing w:before="100" w:line="293" w:lineRule="auto"/>
        <w:ind w:left="1054" w:leftChars="502"/>
        <w:jc w:val="left"/>
        <w:rPr>
          <w:rFonts w:ascii="宋体" w:hAnsi="宋体" w:eastAsia="宋体" w:cs="Arial"/>
          <w:bCs/>
          <w:szCs w:val="21"/>
        </w:rPr>
      </w:pPr>
      <w:r>
        <w:rPr>
          <w:rFonts w:hint="eastAsia" w:ascii="宋体" w:hAnsi="宋体" w:eastAsia="宋体" w:cs="Arial"/>
          <w:bCs/>
          <w:szCs w:val="21"/>
        </w:rPr>
        <w:t>在招标投标过程中，投标人有权提出异议。对招标文件有异议的，应当在投标截止时间10日前提出；对开标有异议的，应当在开标现场提出；对评标结果有异议的，应当在中标候选人公示期内提出。超过以上期限提出的异议，招标人或招标代理机构不予受理。</w:t>
      </w:r>
    </w:p>
    <w:p>
      <w:pPr>
        <w:numPr>
          <w:ilvl w:val="255"/>
          <w:numId w:val="0"/>
        </w:numPr>
        <w:spacing w:before="100" w:line="293" w:lineRule="auto"/>
        <w:ind w:left="1058" w:leftChars="503" w:hanging="2"/>
        <w:rPr>
          <w:rFonts w:eastAsia="宋体"/>
          <w:b/>
          <w:szCs w:val="21"/>
        </w:rPr>
      </w:pPr>
      <w:r>
        <w:rPr>
          <w:rFonts w:hint="eastAsia" w:ascii="宋体" w:hAnsi="宋体" w:eastAsia="宋体" w:cs="Arial"/>
          <w:bCs/>
          <w:szCs w:val="21"/>
        </w:rPr>
        <w:t>提出异议的投标人或者其他利害关系人须保证其提出的异议内容及相应证明材料的真实性及来源的合法性，并承担相应的法律责任。</w:t>
      </w:r>
      <w:bookmarkStart w:id="889" w:name="_Toc68417410"/>
      <w:bookmarkStart w:id="890" w:name="_Toc72583561"/>
      <w:bookmarkStart w:id="891" w:name="_Toc213049042"/>
      <w:bookmarkStart w:id="892" w:name="_Toc68407817"/>
      <w:bookmarkStart w:id="893" w:name="_Toc118890587"/>
      <w:bookmarkStart w:id="894" w:name="_Toc121182379"/>
      <w:bookmarkStart w:id="895" w:name="_Toc223786595"/>
      <w:bookmarkStart w:id="896" w:name="_Toc118061592"/>
      <w:bookmarkStart w:id="897" w:name="_Toc121308109"/>
      <w:bookmarkStart w:id="898" w:name="_Toc119786547"/>
      <w:bookmarkStart w:id="899" w:name="_Toc70094754"/>
      <w:bookmarkStart w:id="900" w:name="_Toc121830652"/>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pStyle w:val="4"/>
        <w:spacing w:line="360" w:lineRule="auto"/>
        <w:jc w:val="center"/>
        <w:rPr>
          <w:rFonts w:eastAsia="宋体"/>
        </w:rPr>
        <w:sectPr>
          <w:footerReference r:id="rId24" w:type="default"/>
          <w:type w:val="nextColumn"/>
          <w:pgSz w:w="11907" w:h="16840"/>
          <w:pgMar w:top="1247" w:right="1247" w:bottom="1247" w:left="1588" w:header="737" w:footer="737" w:gutter="0"/>
          <w:cols w:space="720" w:num="1"/>
          <w:titlePg/>
          <w:docGrid w:linePitch="312" w:charSpace="0"/>
        </w:sectPr>
      </w:pPr>
      <w:bookmarkStart w:id="901" w:name="_Toc375564306"/>
      <w:bookmarkStart w:id="902" w:name="_Toc30980"/>
      <w:bookmarkStart w:id="903" w:name="_Toc8238"/>
      <w:r>
        <w:rPr>
          <w:rFonts w:hAnsi="宋体" w:eastAsia="宋体"/>
        </w:rPr>
        <w:t>第三章</w:t>
      </w:r>
      <w:bookmarkEnd w:id="889"/>
      <w:bookmarkEnd w:id="890"/>
      <w:bookmarkEnd w:id="891"/>
      <w:bookmarkEnd w:id="892"/>
      <w:bookmarkEnd w:id="893"/>
      <w:bookmarkEnd w:id="894"/>
      <w:bookmarkEnd w:id="895"/>
      <w:bookmarkEnd w:id="896"/>
      <w:bookmarkEnd w:id="897"/>
      <w:bookmarkEnd w:id="898"/>
      <w:bookmarkEnd w:id="899"/>
      <w:bookmarkEnd w:id="900"/>
      <w:bookmarkEnd w:id="901"/>
      <w:r>
        <w:rPr>
          <w:rFonts w:hint="eastAsia" w:hAnsi="宋体" w:eastAsia="宋体"/>
        </w:rPr>
        <w:t>评标办法</w:t>
      </w:r>
      <w:bookmarkEnd w:id="902"/>
      <w:bookmarkEnd w:id="903"/>
    </w:p>
    <w:p>
      <w:pPr>
        <w:spacing w:before="100" w:line="296" w:lineRule="auto"/>
        <w:ind w:firstLine="420"/>
        <w:rPr>
          <w:rFonts w:hAnsi="宋体" w:eastAsia="宋体"/>
          <w:szCs w:val="21"/>
        </w:rPr>
      </w:pPr>
      <w:r>
        <w:rPr>
          <w:rFonts w:hAnsi="宋体" w:eastAsia="宋体"/>
          <w:szCs w:val="21"/>
        </w:rPr>
        <w:t>为加强对南宁市轨道交通项目评标工作的管理，根据《中华人民共和国招标投标法》、《中华人民共和国招标投标法实施条例》、《评标委员会和评标方法暂行规定》（原国家发展计划委员会等七部委令第</w:t>
      </w:r>
      <w:r>
        <w:rPr>
          <w:rFonts w:eastAsia="宋体"/>
          <w:szCs w:val="21"/>
        </w:rPr>
        <w:t>12</w:t>
      </w:r>
      <w:r>
        <w:rPr>
          <w:rFonts w:hAnsi="宋体" w:eastAsia="宋体"/>
          <w:szCs w:val="21"/>
        </w:rPr>
        <w:t>号）及政府主管部门制定的相应法律、法规、规章、制度等制订本评标细则。</w:t>
      </w:r>
    </w:p>
    <w:p>
      <w:pPr>
        <w:spacing w:before="100" w:line="296" w:lineRule="auto"/>
        <w:ind w:firstLine="420"/>
        <w:rPr>
          <w:rFonts w:eastAsia="宋体"/>
          <w:szCs w:val="21"/>
        </w:rPr>
      </w:pPr>
      <w:r>
        <w:rPr>
          <w:rFonts w:hint="eastAsia" w:hAnsi="宋体" w:eastAsia="宋体" w:cs="宋体"/>
          <w:kern w:val="0"/>
          <w:szCs w:val="21"/>
        </w:rPr>
        <w:t>本次评标采用综合评分法，满分100分，资信部分30分，技术部分40分，报价部分30分。</w:t>
      </w:r>
    </w:p>
    <w:p>
      <w:pPr>
        <w:numPr>
          <w:ilvl w:val="0"/>
          <w:numId w:val="45"/>
        </w:numPr>
        <w:spacing w:before="100" w:line="296" w:lineRule="auto"/>
        <w:outlineLvl w:val="1"/>
        <w:rPr>
          <w:rFonts w:eastAsia="宋体"/>
          <w:b/>
          <w:bCs/>
          <w:szCs w:val="21"/>
        </w:rPr>
      </w:pPr>
      <w:bookmarkStart w:id="904" w:name="_Toc1861"/>
      <w:bookmarkStart w:id="905" w:name="_Toc19128"/>
      <w:bookmarkStart w:id="906" w:name="_Toc27206"/>
      <w:bookmarkStart w:id="907" w:name="_Toc14559"/>
      <w:r>
        <w:rPr>
          <w:rFonts w:hAnsi="宋体" w:eastAsia="宋体"/>
          <w:b/>
          <w:bCs/>
          <w:szCs w:val="21"/>
        </w:rPr>
        <w:t>评标原则</w:t>
      </w:r>
      <w:bookmarkEnd w:id="904"/>
      <w:bookmarkEnd w:id="905"/>
      <w:bookmarkEnd w:id="906"/>
      <w:bookmarkEnd w:id="907"/>
    </w:p>
    <w:p>
      <w:pPr>
        <w:spacing w:before="100" w:line="296" w:lineRule="auto"/>
        <w:ind w:firstLine="420"/>
        <w:rPr>
          <w:rFonts w:eastAsia="宋体"/>
          <w:bCs/>
          <w:szCs w:val="21"/>
        </w:rPr>
      </w:pPr>
      <w:r>
        <w:rPr>
          <w:rFonts w:hint="eastAsia" w:hAnsi="宋体" w:eastAsia="宋体"/>
          <w:szCs w:val="21"/>
        </w:rPr>
        <w:t>本项目保险采购</w:t>
      </w:r>
      <w:r>
        <w:rPr>
          <w:rFonts w:hAnsi="宋体" w:eastAsia="宋体"/>
          <w:szCs w:val="21"/>
        </w:rPr>
        <w:t>引入竞争机制，采取公开招标选择</w:t>
      </w:r>
      <w:r>
        <w:rPr>
          <w:rFonts w:hint="eastAsia" w:hAnsi="宋体" w:eastAsia="宋体"/>
          <w:szCs w:val="21"/>
        </w:rPr>
        <w:t>中标人</w:t>
      </w:r>
      <w:r>
        <w:rPr>
          <w:rFonts w:hAnsi="宋体" w:eastAsia="宋体"/>
          <w:szCs w:val="21"/>
        </w:rPr>
        <w:t>，为保证招标</w:t>
      </w:r>
      <w:r>
        <w:rPr>
          <w:rFonts w:eastAsia="宋体"/>
          <w:szCs w:val="21"/>
        </w:rPr>
        <w:t>“</w:t>
      </w:r>
      <w:r>
        <w:rPr>
          <w:rFonts w:hAnsi="宋体" w:eastAsia="宋体"/>
          <w:szCs w:val="21"/>
        </w:rPr>
        <w:t>公开、公平、公正</w:t>
      </w:r>
      <w:r>
        <w:rPr>
          <w:rFonts w:eastAsia="宋体"/>
          <w:szCs w:val="21"/>
        </w:rPr>
        <w:t>”</w:t>
      </w:r>
      <w:r>
        <w:rPr>
          <w:rFonts w:hAnsi="宋体" w:eastAsia="宋体"/>
          <w:szCs w:val="21"/>
        </w:rPr>
        <w:t>，根据国家</w:t>
      </w:r>
      <w:r>
        <w:rPr>
          <w:rFonts w:hint="eastAsia" w:hAnsi="宋体" w:eastAsia="宋体"/>
          <w:szCs w:val="21"/>
        </w:rPr>
        <w:t>招标投标相关现行</w:t>
      </w:r>
      <w:r>
        <w:rPr>
          <w:rFonts w:hAnsi="宋体" w:eastAsia="宋体"/>
          <w:szCs w:val="21"/>
        </w:rPr>
        <w:t>法律、法规和方针、政策，结合城市轨道交通</w:t>
      </w:r>
      <w:r>
        <w:rPr>
          <w:rFonts w:hint="eastAsia" w:hAnsi="宋体" w:eastAsia="宋体"/>
          <w:szCs w:val="21"/>
        </w:rPr>
        <w:t>经营</w:t>
      </w:r>
      <w:r>
        <w:rPr>
          <w:rFonts w:hAnsi="宋体" w:eastAsia="宋体"/>
          <w:szCs w:val="21"/>
        </w:rPr>
        <w:t>特点，制定本评标办法，实行评标的规范化、标准化、科学化。</w:t>
      </w:r>
    </w:p>
    <w:p>
      <w:pPr>
        <w:numPr>
          <w:ilvl w:val="0"/>
          <w:numId w:val="45"/>
        </w:numPr>
        <w:tabs>
          <w:tab w:val="left" w:pos="907"/>
        </w:tabs>
        <w:spacing w:before="100" w:line="296" w:lineRule="auto"/>
        <w:outlineLvl w:val="1"/>
        <w:rPr>
          <w:rFonts w:hAnsi="宋体" w:eastAsia="宋体"/>
          <w:b/>
          <w:bCs/>
          <w:szCs w:val="21"/>
        </w:rPr>
      </w:pPr>
      <w:bookmarkStart w:id="908" w:name="_Toc27584"/>
      <w:bookmarkStart w:id="909" w:name="_Toc17161"/>
      <w:bookmarkStart w:id="910" w:name="_Toc10213"/>
      <w:bookmarkStart w:id="911" w:name="_Toc15884"/>
      <w:r>
        <w:rPr>
          <w:rFonts w:hAnsi="宋体" w:eastAsia="宋体"/>
          <w:b/>
          <w:bCs/>
          <w:szCs w:val="21"/>
        </w:rPr>
        <w:t>评标依据</w:t>
      </w:r>
      <w:bookmarkEnd w:id="908"/>
      <w:bookmarkEnd w:id="909"/>
      <w:bookmarkEnd w:id="910"/>
      <w:bookmarkEnd w:id="911"/>
    </w:p>
    <w:p>
      <w:pPr>
        <w:tabs>
          <w:tab w:val="left" w:pos="510"/>
        </w:tabs>
        <w:spacing w:before="100" w:line="296" w:lineRule="auto"/>
        <w:rPr>
          <w:rFonts w:hAnsi="宋体" w:eastAsia="宋体"/>
          <w:szCs w:val="21"/>
        </w:rPr>
      </w:pPr>
      <w:r>
        <w:rPr>
          <w:rFonts w:hint="eastAsia" w:hAnsi="宋体" w:eastAsia="宋体"/>
          <w:szCs w:val="21"/>
        </w:rPr>
        <w:t xml:space="preserve">2.1   </w:t>
      </w:r>
      <w:r>
        <w:rPr>
          <w:rFonts w:hAnsi="宋体" w:eastAsia="宋体"/>
          <w:szCs w:val="21"/>
        </w:rPr>
        <w:t>本项目《招标文件》及补充文件；</w:t>
      </w:r>
    </w:p>
    <w:p>
      <w:pPr>
        <w:tabs>
          <w:tab w:val="left" w:pos="510"/>
        </w:tabs>
        <w:spacing w:before="100" w:line="296" w:lineRule="auto"/>
        <w:rPr>
          <w:rFonts w:hAnsi="宋体" w:eastAsia="宋体"/>
          <w:szCs w:val="21"/>
        </w:rPr>
      </w:pPr>
      <w:r>
        <w:rPr>
          <w:rFonts w:hint="eastAsia" w:hAnsi="宋体" w:eastAsia="宋体"/>
          <w:szCs w:val="21"/>
        </w:rPr>
        <w:t xml:space="preserve">2.2   </w:t>
      </w:r>
      <w:r>
        <w:rPr>
          <w:rFonts w:hAnsi="宋体" w:eastAsia="宋体"/>
          <w:szCs w:val="21"/>
        </w:rPr>
        <w:t>招投标法及相关法规；</w:t>
      </w:r>
    </w:p>
    <w:p>
      <w:pPr>
        <w:tabs>
          <w:tab w:val="left" w:pos="510"/>
        </w:tabs>
        <w:spacing w:before="100" w:line="296" w:lineRule="auto"/>
        <w:rPr>
          <w:rFonts w:hAnsi="宋体" w:eastAsia="宋体"/>
          <w:szCs w:val="21"/>
        </w:rPr>
      </w:pPr>
      <w:r>
        <w:rPr>
          <w:rFonts w:hint="eastAsia" w:hAnsi="宋体" w:eastAsia="宋体"/>
          <w:szCs w:val="21"/>
        </w:rPr>
        <w:t xml:space="preserve">2.3   </w:t>
      </w:r>
      <w:r>
        <w:rPr>
          <w:rFonts w:hAnsi="宋体" w:eastAsia="宋体"/>
          <w:szCs w:val="21"/>
        </w:rPr>
        <w:t>有效的《投标文件》及澄清文件。</w:t>
      </w:r>
    </w:p>
    <w:p>
      <w:pPr>
        <w:numPr>
          <w:ilvl w:val="0"/>
          <w:numId w:val="45"/>
        </w:numPr>
        <w:tabs>
          <w:tab w:val="left" w:pos="510"/>
        </w:tabs>
        <w:spacing w:before="100" w:line="296" w:lineRule="auto"/>
        <w:outlineLvl w:val="1"/>
        <w:rPr>
          <w:rFonts w:eastAsia="宋体"/>
          <w:b/>
          <w:bCs/>
          <w:szCs w:val="21"/>
        </w:rPr>
      </w:pPr>
      <w:bookmarkStart w:id="912" w:name="_Toc6764"/>
      <w:bookmarkStart w:id="913" w:name="_Toc2816"/>
      <w:bookmarkStart w:id="914" w:name="_Toc25047"/>
      <w:bookmarkStart w:id="915" w:name="_Toc29420"/>
      <w:r>
        <w:rPr>
          <w:rFonts w:hAnsi="宋体" w:eastAsia="宋体"/>
          <w:b/>
          <w:bCs/>
          <w:szCs w:val="21"/>
        </w:rPr>
        <w:t>评标纪律</w:t>
      </w:r>
      <w:bookmarkEnd w:id="912"/>
      <w:bookmarkEnd w:id="913"/>
      <w:bookmarkEnd w:id="914"/>
      <w:bookmarkEnd w:id="915"/>
    </w:p>
    <w:p>
      <w:pPr>
        <w:tabs>
          <w:tab w:val="left" w:pos="510"/>
        </w:tabs>
        <w:spacing w:before="100" w:line="296" w:lineRule="auto"/>
        <w:rPr>
          <w:rFonts w:hAnsi="宋体" w:eastAsia="宋体"/>
          <w:szCs w:val="21"/>
        </w:rPr>
      </w:pPr>
      <w:r>
        <w:rPr>
          <w:rFonts w:hint="eastAsia" w:eastAsia="宋体"/>
          <w:sz w:val="20"/>
          <w:szCs w:val="20"/>
        </w:rPr>
        <w:t xml:space="preserve">3.1   </w:t>
      </w:r>
      <w:r>
        <w:rPr>
          <w:rFonts w:hAnsi="宋体" w:eastAsia="宋体"/>
          <w:szCs w:val="21"/>
        </w:rPr>
        <w:t>参与评标的所有工作人员，应当按照《中华人民共和国招标投标法》等有关法律法规的要求履行职责，严格按照制定的评标细则工作，互相监督，保证评标过程的公正和公平。</w:t>
      </w:r>
    </w:p>
    <w:p>
      <w:pPr>
        <w:tabs>
          <w:tab w:val="left" w:pos="510"/>
          <w:tab w:val="left" w:pos="851"/>
          <w:tab w:val="left" w:pos="1260"/>
          <w:tab w:val="left" w:pos="1620"/>
        </w:tabs>
        <w:spacing w:before="100" w:line="296" w:lineRule="auto"/>
        <w:jc w:val="left"/>
        <w:textAlignment w:val="baseline"/>
        <w:rPr>
          <w:rFonts w:eastAsia="宋体"/>
          <w:szCs w:val="21"/>
        </w:rPr>
      </w:pPr>
      <w:r>
        <w:rPr>
          <w:rFonts w:hint="eastAsia" w:hAnsi="宋体" w:eastAsia="宋体"/>
          <w:szCs w:val="21"/>
        </w:rPr>
        <w:t xml:space="preserve">3.2   </w:t>
      </w:r>
      <w:r>
        <w:rPr>
          <w:rFonts w:hAnsi="宋体" w:eastAsia="宋体"/>
          <w:szCs w:val="21"/>
        </w:rPr>
        <w:t>参与评标的评委应严守职业道德，依法评标，业务精通，本着公正、科学、客观、严谨的工作态度，向招标人负责，为项目负责。</w:t>
      </w:r>
    </w:p>
    <w:p>
      <w:pPr>
        <w:tabs>
          <w:tab w:val="left" w:pos="510"/>
          <w:tab w:val="left" w:pos="851"/>
          <w:tab w:val="left" w:pos="1260"/>
          <w:tab w:val="left" w:pos="1620"/>
        </w:tabs>
        <w:spacing w:before="100" w:line="296" w:lineRule="auto"/>
        <w:jc w:val="left"/>
        <w:textAlignment w:val="baseline"/>
        <w:rPr>
          <w:rFonts w:eastAsia="宋体"/>
          <w:szCs w:val="21"/>
        </w:rPr>
      </w:pPr>
      <w:r>
        <w:rPr>
          <w:rFonts w:hint="eastAsia" w:hAnsi="宋体" w:eastAsia="宋体"/>
          <w:szCs w:val="21"/>
        </w:rPr>
        <w:t xml:space="preserve">3.3   </w:t>
      </w:r>
      <w:r>
        <w:rPr>
          <w:rFonts w:hAnsi="宋体" w:eastAsia="宋体"/>
          <w:szCs w:val="21"/>
        </w:rPr>
        <w:t>在评标期间评委应遵守保密纪律，自觉接受封闭性管理，不得私自接触投标单位人员，自觉缴纳通讯工具，不得将评标有关的文件、材料带出评标场所，不得将评标有关的内容和信息透露给与评标无关的人员。</w:t>
      </w:r>
    </w:p>
    <w:p>
      <w:pPr>
        <w:tabs>
          <w:tab w:val="left" w:pos="510"/>
          <w:tab w:val="left" w:pos="851"/>
          <w:tab w:val="left" w:pos="1260"/>
          <w:tab w:val="left" w:pos="1620"/>
        </w:tabs>
        <w:spacing w:before="100" w:line="296" w:lineRule="auto"/>
        <w:jc w:val="left"/>
        <w:textAlignment w:val="baseline"/>
        <w:rPr>
          <w:rFonts w:eastAsia="宋体"/>
          <w:szCs w:val="21"/>
        </w:rPr>
      </w:pPr>
      <w:r>
        <w:rPr>
          <w:rFonts w:hint="eastAsia" w:hAnsi="宋体" w:eastAsia="宋体"/>
          <w:szCs w:val="21"/>
        </w:rPr>
        <w:t xml:space="preserve">3.4   </w:t>
      </w:r>
      <w:r>
        <w:rPr>
          <w:rFonts w:hAnsi="宋体" w:eastAsia="宋体"/>
          <w:szCs w:val="21"/>
        </w:rPr>
        <w:t>投标人在评标过程中，不得采取任何方式或通过任何途径对评委或工作人员施加影响或探听消息，非请不得涉足与评标有关的工作场所。</w:t>
      </w:r>
    </w:p>
    <w:p>
      <w:pPr>
        <w:tabs>
          <w:tab w:val="left" w:pos="510"/>
          <w:tab w:val="left" w:pos="851"/>
          <w:tab w:val="left" w:pos="1260"/>
          <w:tab w:val="left" w:pos="1620"/>
        </w:tabs>
        <w:spacing w:before="100" w:line="296" w:lineRule="auto"/>
        <w:ind w:left="19" w:hanging="18" w:hangingChars="9"/>
        <w:jc w:val="left"/>
        <w:textAlignment w:val="baseline"/>
        <w:rPr>
          <w:rFonts w:eastAsia="宋体"/>
          <w:szCs w:val="21"/>
        </w:rPr>
      </w:pPr>
      <w:r>
        <w:rPr>
          <w:rFonts w:hint="eastAsia" w:hAnsi="宋体" w:eastAsia="宋体"/>
          <w:szCs w:val="21"/>
        </w:rPr>
        <w:t xml:space="preserve">3.5  </w:t>
      </w:r>
      <w:r>
        <w:rPr>
          <w:rFonts w:hAnsi="宋体" w:eastAsia="宋体"/>
          <w:szCs w:val="21"/>
        </w:rPr>
        <w:t>对于违纪的评委将取消评委资格并进行通报，对于违纪的工作人员将对其行政处分，对于违纪的投标人将取消本项目今后所有投标资格并进行通报。</w:t>
      </w:r>
    </w:p>
    <w:p>
      <w:pPr>
        <w:tabs>
          <w:tab w:val="left" w:pos="510"/>
          <w:tab w:val="left" w:pos="851"/>
          <w:tab w:val="left" w:pos="1260"/>
          <w:tab w:val="left" w:pos="1620"/>
        </w:tabs>
        <w:spacing w:before="100" w:line="296" w:lineRule="auto"/>
        <w:jc w:val="left"/>
        <w:textAlignment w:val="baseline"/>
        <w:rPr>
          <w:rFonts w:eastAsia="宋体"/>
          <w:szCs w:val="21"/>
        </w:rPr>
      </w:pPr>
      <w:r>
        <w:rPr>
          <w:rFonts w:hint="eastAsia" w:hAnsi="宋体" w:eastAsia="宋体"/>
          <w:szCs w:val="21"/>
        </w:rPr>
        <w:t xml:space="preserve">3.6  </w:t>
      </w:r>
      <w:r>
        <w:rPr>
          <w:rFonts w:hAnsi="宋体" w:eastAsia="宋体"/>
          <w:szCs w:val="21"/>
        </w:rPr>
        <w:t>投标人在投标文件的审查、澄清、评价和比较以及授予合同的过程中，对招标人施加影响的任何行为，都将导致取消投标资格。</w:t>
      </w:r>
    </w:p>
    <w:p>
      <w:pPr>
        <w:tabs>
          <w:tab w:val="left" w:pos="510"/>
          <w:tab w:val="left" w:pos="851"/>
          <w:tab w:val="left" w:pos="1260"/>
          <w:tab w:val="left" w:pos="1620"/>
        </w:tabs>
        <w:spacing w:before="100" w:line="296" w:lineRule="auto"/>
        <w:jc w:val="left"/>
        <w:textAlignment w:val="baseline"/>
        <w:rPr>
          <w:rFonts w:eastAsia="宋体"/>
          <w:szCs w:val="21"/>
        </w:rPr>
      </w:pPr>
      <w:r>
        <w:rPr>
          <w:rFonts w:hint="eastAsia" w:hAnsi="宋体" w:eastAsia="宋体"/>
          <w:szCs w:val="21"/>
        </w:rPr>
        <w:t xml:space="preserve">3.7  </w:t>
      </w:r>
      <w:r>
        <w:rPr>
          <w:rFonts w:hAnsi="宋体" w:eastAsia="宋体"/>
          <w:szCs w:val="21"/>
        </w:rPr>
        <w:t>对于违反《中华人民共和国招标投标法》及有关法律法规的单位或个人，将依法追究其法律责任。</w:t>
      </w:r>
    </w:p>
    <w:p>
      <w:pPr>
        <w:numPr>
          <w:ilvl w:val="0"/>
          <w:numId w:val="45"/>
        </w:numPr>
        <w:tabs>
          <w:tab w:val="left" w:pos="907"/>
        </w:tabs>
        <w:spacing w:before="100" w:line="296" w:lineRule="auto"/>
        <w:outlineLvl w:val="1"/>
        <w:rPr>
          <w:rFonts w:hAnsi="宋体" w:eastAsia="宋体"/>
          <w:b/>
          <w:bCs/>
          <w:szCs w:val="21"/>
        </w:rPr>
      </w:pPr>
      <w:bookmarkStart w:id="916" w:name="_Toc25057"/>
      <w:bookmarkStart w:id="917" w:name="_Toc7014"/>
      <w:bookmarkStart w:id="918" w:name="_Toc26247"/>
      <w:bookmarkStart w:id="919" w:name="_Toc24464"/>
      <w:r>
        <w:rPr>
          <w:rFonts w:hAnsi="宋体" w:eastAsia="宋体"/>
          <w:b/>
          <w:bCs/>
          <w:szCs w:val="21"/>
        </w:rPr>
        <w:t>评标过程保密与封闭性</w:t>
      </w:r>
      <w:bookmarkEnd w:id="916"/>
      <w:bookmarkEnd w:id="917"/>
      <w:bookmarkEnd w:id="918"/>
      <w:bookmarkEnd w:id="919"/>
    </w:p>
    <w:p>
      <w:pPr>
        <w:tabs>
          <w:tab w:val="left" w:pos="420"/>
          <w:tab w:val="left" w:pos="851"/>
          <w:tab w:val="left" w:pos="1260"/>
          <w:tab w:val="left" w:pos="1620"/>
        </w:tabs>
        <w:spacing w:before="100" w:line="296" w:lineRule="auto"/>
        <w:jc w:val="left"/>
        <w:textAlignment w:val="baseline"/>
        <w:rPr>
          <w:rFonts w:eastAsia="宋体"/>
          <w:szCs w:val="21"/>
        </w:rPr>
      </w:pPr>
      <w:r>
        <w:rPr>
          <w:rFonts w:hint="eastAsia" w:hAnsi="宋体" w:eastAsia="宋体"/>
          <w:szCs w:val="21"/>
        </w:rPr>
        <w:t xml:space="preserve">4.1   </w:t>
      </w:r>
      <w:r>
        <w:rPr>
          <w:rFonts w:hAnsi="宋体" w:eastAsia="宋体"/>
          <w:szCs w:val="21"/>
        </w:rPr>
        <w:t>开标后，直到发出中标通知书为止，凡属于审查、澄清、评价和比较各投标文件的有关资料和授予合同有关的信息，都不得向投标人或与该过程无关的其他人泄露；</w:t>
      </w:r>
    </w:p>
    <w:p>
      <w:pPr>
        <w:tabs>
          <w:tab w:val="left" w:pos="420"/>
          <w:tab w:val="left" w:pos="851"/>
          <w:tab w:val="left" w:pos="1260"/>
          <w:tab w:val="left" w:pos="1620"/>
        </w:tabs>
        <w:spacing w:before="100" w:line="296" w:lineRule="auto"/>
        <w:ind w:left="420" w:hanging="420" w:hangingChars="200"/>
        <w:jc w:val="left"/>
        <w:textAlignment w:val="baseline"/>
        <w:rPr>
          <w:rFonts w:eastAsia="宋体"/>
          <w:szCs w:val="21"/>
        </w:rPr>
      </w:pPr>
      <w:r>
        <w:rPr>
          <w:rFonts w:hint="eastAsia" w:hAnsi="宋体" w:eastAsia="宋体"/>
          <w:szCs w:val="21"/>
        </w:rPr>
        <w:t xml:space="preserve">4.2   </w:t>
      </w:r>
      <w:r>
        <w:rPr>
          <w:rFonts w:hAnsi="宋体" w:eastAsia="宋体"/>
          <w:szCs w:val="21"/>
        </w:rPr>
        <w:t>专家名单应对投标人保密；</w:t>
      </w:r>
    </w:p>
    <w:p>
      <w:pPr>
        <w:tabs>
          <w:tab w:val="left" w:pos="420"/>
          <w:tab w:val="left" w:pos="851"/>
          <w:tab w:val="left" w:pos="1260"/>
          <w:tab w:val="left" w:pos="1620"/>
        </w:tabs>
        <w:spacing w:before="100" w:line="296" w:lineRule="auto"/>
        <w:ind w:left="420" w:hanging="420" w:hangingChars="200"/>
        <w:jc w:val="left"/>
        <w:textAlignment w:val="baseline"/>
        <w:rPr>
          <w:rFonts w:eastAsia="宋体"/>
          <w:szCs w:val="21"/>
        </w:rPr>
      </w:pPr>
      <w:r>
        <w:rPr>
          <w:rFonts w:hint="eastAsia" w:hAnsi="宋体" w:eastAsia="宋体"/>
          <w:szCs w:val="21"/>
        </w:rPr>
        <w:t xml:space="preserve">4.3   </w:t>
      </w:r>
      <w:r>
        <w:rPr>
          <w:rFonts w:hAnsi="宋体" w:eastAsia="宋体"/>
          <w:szCs w:val="21"/>
        </w:rPr>
        <w:t>应由专人同投标人进行联络，其他人员不得擅自联络投标人；</w:t>
      </w:r>
    </w:p>
    <w:p>
      <w:pPr>
        <w:tabs>
          <w:tab w:val="left" w:pos="420"/>
          <w:tab w:val="left" w:pos="851"/>
          <w:tab w:val="left" w:pos="1260"/>
          <w:tab w:val="left" w:pos="1620"/>
        </w:tabs>
        <w:spacing w:before="100" w:line="296" w:lineRule="auto"/>
        <w:ind w:left="420" w:hanging="420" w:hangingChars="200"/>
        <w:jc w:val="left"/>
        <w:textAlignment w:val="baseline"/>
        <w:rPr>
          <w:rFonts w:eastAsia="宋体"/>
          <w:szCs w:val="21"/>
        </w:rPr>
      </w:pPr>
      <w:r>
        <w:rPr>
          <w:rFonts w:hint="eastAsia" w:hAnsi="宋体" w:eastAsia="宋体"/>
          <w:szCs w:val="21"/>
        </w:rPr>
        <w:t xml:space="preserve">4.4   </w:t>
      </w:r>
      <w:r>
        <w:rPr>
          <w:rFonts w:hAnsi="宋体" w:eastAsia="宋体"/>
          <w:szCs w:val="21"/>
        </w:rPr>
        <w:t>评标住宿的房间应保证严禁投标人进</w:t>
      </w:r>
      <w:r>
        <w:rPr>
          <w:rFonts w:hint="eastAsia" w:hAnsi="宋体" w:eastAsia="宋体"/>
          <w:szCs w:val="21"/>
        </w:rPr>
        <w:t>入</w:t>
      </w:r>
      <w:r>
        <w:rPr>
          <w:rFonts w:hAnsi="宋体" w:eastAsia="宋体"/>
          <w:szCs w:val="21"/>
        </w:rPr>
        <w:t>，评委外出应有专人陪同；</w:t>
      </w:r>
    </w:p>
    <w:p>
      <w:pPr>
        <w:tabs>
          <w:tab w:val="left" w:pos="420"/>
          <w:tab w:val="left" w:pos="851"/>
          <w:tab w:val="left" w:pos="1260"/>
          <w:tab w:val="left" w:pos="1620"/>
        </w:tabs>
        <w:spacing w:before="100" w:line="296" w:lineRule="auto"/>
        <w:ind w:left="420" w:hanging="420" w:hangingChars="200"/>
        <w:jc w:val="left"/>
        <w:textAlignment w:val="baseline"/>
        <w:rPr>
          <w:rFonts w:eastAsia="宋体"/>
          <w:szCs w:val="21"/>
        </w:rPr>
      </w:pPr>
      <w:r>
        <w:rPr>
          <w:rFonts w:hint="eastAsia" w:hAnsi="宋体" w:eastAsia="宋体"/>
          <w:szCs w:val="21"/>
        </w:rPr>
        <w:t xml:space="preserve">4.5   </w:t>
      </w:r>
      <w:r>
        <w:rPr>
          <w:rFonts w:hAnsi="宋体" w:eastAsia="宋体"/>
          <w:szCs w:val="21"/>
        </w:rPr>
        <w:t>评标时，评委手机应上缴保管，评委对外联络应通过专门通讯设备；</w:t>
      </w:r>
    </w:p>
    <w:p>
      <w:pPr>
        <w:tabs>
          <w:tab w:val="left" w:pos="420"/>
          <w:tab w:val="left" w:pos="851"/>
          <w:tab w:val="left" w:pos="1260"/>
          <w:tab w:val="left" w:pos="1620"/>
        </w:tabs>
        <w:spacing w:before="100" w:line="296" w:lineRule="auto"/>
        <w:ind w:left="619" w:hanging="619" w:hangingChars="295"/>
        <w:jc w:val="left"/>
        <w:textAlignment w:val="baseline"/>
        <w:rPr>
          <w:rFonts w:eastAsia="宋体"/>
          <w:szCs w:val="21"/>
        </w:rPr>
      </w:pPr>
      <w:r>
        <w:rPr>
          <w:rFonts w:hint="eastAsia" w:hAnsi="宋体" w:eastAsia="宋体"/>
          <w:szCs w:val="21"/>
        </w:rPr>
        <w:t xml:space="preserve">4.6   </w:t>
      </w:r>
      <w:r>
        <w:rPr>
          <w:rFonts w:hAnsi="宋体" w:eastAsia="宋体"/>
          <w:szCs w:val="21"/>
        </w:rPr>
        <w:t>评标进行时和结束后，评委不得将评标资料带出评标现场。</w:t>
      </w:r>
    </w:p>
    <w:p>
      <w:pPr>
        <w:numPr>
          <w:ilvl w:val="0"/>
          <w:numId w:val="45"/>
        </w:numPr>
        <w:tabs>
          <w:tab w:val="left" w:pos="907"/>
        </w:tabs>
        <w:spacing w:before="100" w:line="296" w:lineRule="auto"/>
        <w:outlineLvl w:val="1"/>
        <w:rPr>
          <w:rFonts w:hAnsi="宋体" w:eastAsia="宋体"/>
          <w:b/>
          <w:bCs/>
          <w:szCs w:val="21"/>
        </w:rPr>
      </w:pPr>
      <w:bookmarkStart w:id="920" w:name="_Toc17746"/>
      <w:bookmarkStart w:id="921" w:name="_Toc1434"/>
      <w:bookmarkStart w:id="922" w:name="_Toc9898"/>
      <w:bookmarkStart w:id="923" w:name="_Toc14043"/>
      <w:r>
        <w:rPr>
          <w:rFonts w:hAnsi="宋体" w:eastAsia="宋体"/>
          <w:b/>
          <w:bCs/>
          <w:szCs w:val="21"/>
        </w:rPr>
        <w:t>评标组织</w:t>
      </w:r>
      <w:bookmarkEnd w:id="920"/>
      <w:bookmarkEnd w:id="921"/>
      <w:bookmarkEnd w:id="922"/>
      <w:bookmarkEnd w:id="923"/>
    </w:p>
    <w:p>
      <w:pPr>
        <w:tabs>
          <w:tab w:val="left" w:pos="420"/>
          <w:tab w:val="left" w:pos="851"/>
        </w:tabs>
        <w:spacing w:before="100" w:line="296" w:lineRule="auto"/>
        <w:rPr>
          <w:rFonts w:eastAsia="宋体"/>
          <w:bCs/>
          <w:szCs w:val="21"/>
        </w:rPr>
      </w:pPr>
      <w:r>
        <w:rPr>
          <w:rFonts w:hint="eastAsia" w:hAnsi="宋体" w:eastAsia="宋体"/>
          <w:bCs/>
          <w:szCs w:val="21"/>
        </w:rPr>
        <w:t xml:space="preserve">5.1    </w:t>
      </w:r>
      <w:r>
        <w:rPr>
          <w:rFonts w:hAnsi="宋体" w:eastAsia="宋体"/>
          <w:bCs/>
          <w:szCs w:val="21"/>
        </w:rPr>
        <w:t>评标工作由招标人依法组建的评标委员会负责，由招标人代表和有关经济、技术等方面的专家</w:t>
      </w:r>
      <w:r>
        <w:rPr>
          <w:rFonts w:hint="eastAsia" w:hAnsi="宋体" w:eastAsia="宋体"/>
          <w:bCs/>
          <w:szCs w:val="21"/>
        </w:rPr>
        <w:t>5人或以上单数</w:t>
      </w:r>
      <w:r>
        <w:rPr>
          <w:rFonts w:hAnsi="宋体" w:eastAsia="宋体"/>
          <w:bCs/>
          <w:szCs w:val="21"/>
        </w:rPr>
        <w:t>组成</w:t>
      </w:r>
      <w:r>
        <w:rPr>
          <w:rFonts w:hint="eastAsia" w:hAnsi="宋体" w:eastAsia="宋体"/>
          <w:bCs/>
          <w:szCs w:val="21"/>
        </w:rPr>
        <w:t>，其中招标人代表参加技术评审</w:t>
      </w:r>
      <w:r>
        <w:rPr>
          <w:rFonts w:hAnsi="宋体" w:eastAsia="宋体"/>
          <w:bCs/>
          <w:szCs w:val="21"/>
        </w:rPr>
        <w:t>。评标委员会在资格审查结束后，按专家专业类别分为经济评审组和技术评审组，分别进行评审。</w:t>
      </w:r>
    </w:p>
    <w:p>
      <w:pPr>
        <w:tabs>
          <w:tab w:val="left" w:pos="420"/>
          <w:tab w:val="left" w:pos="851"/>
        </w:tabs>
        <w:spacing w:before="100" w:line="296" w:lineRule="auto"/>
        <w:rPr>
          <w:rFonts w:eastAsia="宋体"/>
          <w:szCs w:val="21"/>
        </w:rPr>
      </w:pPr>
      <w:r>
        <w:rPr>
          <w:rFonts w:hint="eastAsia" w:hAnsi="宋体" w:eastAsia="宋体"/>
          <w:bCs/>
          <w:szCs w:val="21"/>
        </w:rPr>
        <w:t xml:space="preserve">5.2    </w:t>
      </w:r>
      <w:r>
        <w:rPr>
          <w:rFonts w:hAnsi="宋体" w:eastAsia="宋体"/>
          <w:bCs/>
          <w:szCs w:val="21"/>
        </w:rPr>
        <w:t>评标程序和内容</w:t>
      </w:r>
    </w:p>
    <w:p>
      <w:pPr>
        <w:spacing w:before="100" w:line="296" w:lineRule="auto"/>
        <w:ind w:firstLine="420"/>
        <w:rPr>
          <w:rFonts w:eastAsia="宋体"/>
          <w:bCs/>
          <w:szCs w:val="21"/>
        </w:rPr>
      </w:pPr>
      <w:r>
        <w:rPr>
          <w:rFonts w:hAnsi="宋体" w:eastAsia="宋体"/>
          <w:bCs/>
          <w:szCs w:val="21"/>
        </w:rPr>
        <w:t>（</w:t>
      </w:r>
      <w:r>
        <w:rPr>
          <w:rFonts w:eastAsia="宋体"/>
          <w:bCs/>
          <w:szCs w:val="21"/>
        </w:rPr>
        <w:t>1</w:t>
      </w:r>
      <w:r>
        <w:rPr>
          <w:rFonts w:hAnsi="宋体" w:eastAsia="宋体"/>
          <w:bCs/>
          <w:szCs w:val="21"/>
        </w:rPr>
        <w:t>）评标委员会成员熟悉招标文件和评标办法；</w:t>
      </w:r>
    </w:p>
    <w:p>
      <w:pPr>
        <w:spacing w:before="100" w:line="296" w:lineRule="auto"/>
        <w:ind w:firstLine="420"/>
        <w:rPr>
          <w:rFonts w:eastAsia="宋体"/>
          <w:bCs/>
          <w:szCs w:val="21"/>
        </w:rPr>
      </w:pPr>
      <w:r>
        <w:rPr>
          <w:rFonts w:hAnsi="宋体" w:eastAsia="宋体"/>
          <w:bCs/>
          <w:szCs w:val="21"/>
        </w:rPr>
        <w:t>（</w:t>
      </w:r>
      <w:r>
        <w:rPr>
          <w:rFonts w:eastAsia="宋体"/>
          <w:bCs/>
          <w:szCs w:val="21"/>
        </w:rPr>
        <w:t>2</w:t>
      </w:r>
      <w:r>
        <w:rPr>
          <w:rFonts w:hAnsi="宋体" w:eastAsia="宋体"/>
          <w:bCs/>
          <w:szCs w:val="21"/>
        </w:rPr>
        <w:t>）全体评标委员会成员对投标文件进行资格审查；</w:t>
      </w:r>
    </w:p>
    <w:p>
      <w:pPr>
        <w:spacing w:before="100" w:line="296" w:lineRule="auto"/>
        <w:ind w:firstLine="420"/>
        <w:rPr>
          <w:rFonts w:eastAsia="宋体"/>
          <w:bCs/>
          <w:szCs w:val="21"/>
        </w:rPr>
      </w:pPr>
      <w:r>
        <w:rPr>
          <w:rFonts w:hAnsi="宋体" w:eastAsia="宋体"/>
          <w:bCs/>
          <w:szCs w:val="21"/>
        </w:rPr>
        <w:t>（</w:t>
      </w:r>
      <w:r>
        <w:rPr>
          <w:rFonts w:eastAsia="宋体"/>
          <w:bCs/>
          <w:szCs w:val="21"/>
        </w:rPr>
        <w:t>3</w:t>
      </w:r>
      <w:r>
        <w:rPr>
          <w:rFonts w:hAnsi="宋体" w:eastAsia="宋体"/>
          <w:bCs/>
          <w:szCs w:val="21"/>
        </w:rPr>
        <w:t>）按专家专业类别分为经济评审组和技术评审组；</w:t>
      </w:r>
    </w:p>
    <w:p>
      <w:pPr>
        <w:spacing w:before="100" w:line="296" w:lineRule="auto"/>
        <w:ind w:firstLine="420"/>
        <w:rPr>
          <w:rFonts w:eastAsia="宋体"/>
          <w:bCs/>
          <w:szCs w:val="21"/>
        </w:rPr>
      </w:pPr>
      <w:r>
        <w:rPr>
          <w:rFonts w:hAnsi="宋体" w:eastAsia="宋体"/>
          <w:bCs/>
          <w:szCs w:val="21"/>
        </w:rPr>
        <w:t>（</w:t>
      </w:r>
      <w:r>
        <w:rPr>
          <w:rFonts w:eastAsia="宋体"/>
          <w:bCs/>
          <w:szCs w:val="21"/>
        </w:rPr>
        <w:t>4</w:t>
      </w:r>
      <w:r>
        <w:rPr>
          <w:rFonts w:hAnsi="宋体" w:eastAsia="宋体"/>
          <w:bCs/>
          <w:szCs w:val="21"/>
        </w:rPr>
        <w:t>）评标委员会成员对投标文件进行初步评审；</w:t>
      </w:r>
    </w:p>
    <w:p>
      <w:pPr>
        <w:spacing w:before="100" w:line="296" w:lineRule="auto"/>
        <w:ind w:firstLine="420"/>
        <w:rPr>
          <w:rFonts w:eastAsia="宋体"/>
          <w:szCs w:val="21"/>
        </w:rPr>
      </w:pPr>
      <w:r>
        <w:rPr>
          <w:rFonts w:hAnsi="宋体" w:eastAsia="宋体"/>
          <w:bCs/>
          <w:szCs w:val="21"/>
        </w:rPr>
        <w:t>（</w:t>
      </w:r>
      <w:r>
        <w:rPr>
          <w:rFonts w:eastAsia="宋体"/>
          <w:bCs/>
          <w:szCs w:val="21"/>
        </w:rPr>
        <w:t>5</w:t>
      </w:r>
      <w:r>
        <w:rPr>
          <w:rFonts w:hAnsi="宋体" w:eastAsia="宋体"/>
          <w:bCs/>
          <w:szCs w:val="21"/>
        </w:rPr>
        <w:t>）</w:t>
      </w:r>
      <w:r>
        <w:rPr>
          <w:rFonts w:hAnsi="宋体" w:eastAsia="宋体"/>
          <w:szCs w:val="21"/>
        </w:rPr>
        <w:t>技术评审组对</w:t>
      </w:r>
      <w:r>
        <w:rPr>
          <w:rFonts w:hAnsi="宋体" w:eastAsia="宋体"/>
          <w:bCs/>
          <w:szCs w:val="21"/>
        </w:rPr>
        <w:t>投标文件的资信部分和技术部分进行评审并打分，</w:t>
      </w:r>
      <w:r>
        <w:rPr>
          <w:rFonts w:hAnsi="宋体" w:eastAsia="宋体"/>
          <w:szCs w:val="21"/>
        </w:rPr>
        <w:t>经济评审组对</w:t>
      </w:r>
      <w:r>
        <w:rPr>
          <w:rFonts w:hAnsi="宋体" w:eastAsia="宋体"/>
          <w:bCs/>
          <w:szCs w:val="21"/>
        </w:rPr>
        <w:t>投标文件的报价部分进行评审并打分；</w:t>
      </w:r>
    </w:p>
    <w:p>
      <w:pPr>
        <w:spacing w:before="100" w:line="296" w:lineRule="auto"/>
        <w:ind w:firstLine="420"/>
        <w:rPr>
          <w:rFonts w:eastAsia="宋体"/>
          <w:bCs/>
          <w:szCs w:val="21"/>
        </w:rPr>
      </w:pPr>
      <w:r>
        <w:rPr>
          <w:rFonts w:hAnsi="宋体" w:eastAsia="宋体"/>
          <w:bCs/>
          <w:szCs w:val="21"/>
        </w:rPr>
        <w:t>（</w:t>
      </w:r>
      <w:r>
        <w:rPr>
          <w:rFonts w:eastAsia="宋体"/>
          <w:bCs/>
          <w:szCs w:val="21"/>
        </w:rPr>
        <w:t>6</w:t>
      </w:r>
      <w:r>
        <w:rPr>
          <w:rFonts w:hAnsi="宋体" w:eastAsia="宋体"/>
          <w:bCs/>
          <w:szCs w:val="21"/>
        </w:rPr>
        <w:t>）全体评标委员会完成评标</w:t>
      </w:r>
      <w:r>
        <w:rPr>
          <w:rFonts w:hint="eastAsia" w:hAnsi="宋体" w:eastAsia="宋体"/>
          <w:szCs w:val="21"/>
        </w:rPr>
        <w:t>情况记录</w:t>
      </w:r>
      <w:r>
        <w:rPr>
          <w:rFonts w:hAnsi="宋体" w:eastAsia="宋体"/>
          <w:bCs/>
          <w:szCs w:val="21"/>
        </w:rPr>
        <w:t>。</w:t>
      </w:r>
    </w:p>
    <w:p>
      <w:pPr>
        <w:numPr>
          <w:ilvl w:val="0"/>
          <w:numId w:val="45"/>
        </w:numPr>
        <w:tabs>
          <w:tab w:val="left" w:pos="907"/>
        </w:tabs>
        <w:spacing w:before="100" w:line="296" w:lineRule="auto"/>
        <w:outlineLvl w:val="1"/>
        <w:rPr>
          <w:rFonts w:hAnsi="宋体" w:eastAsia="宋体"/>
          <w:b/>
          <w:bCs/>
          <w:szCs w:val="21"/>
        </w:rPr>
      </w:pPr>
      <w:bookmarkStart w:id="924" w:name="_Toc25725"/>
      <w:bookmarkStart w:id="925" w:name="_Toc23695"/>
      <w:bookmarkStart w:id="926" w:name="_Toc15682"/>
      <w:bookmarkStart w:id="927" w:name="_Toc12612"/>
      <w:r>
        <w:rPr>
          <w:rFonts w:hAnsi="宋体" w:eastAsia="宋体"/>
          <w:b/>
          <w:bCs/>
          <w:szCs w:val="21"/>
        </w:rPr>
        <w:t>资格审查</w:t>
      </w:r>
      <w:bookmarkEnd w:id="924"/>
      <w:bookmarkEnd w:id="925"/>
      <w:bookmarkEnd w:id="926"/>
      <w:bookmarkEnd w:id="927"/>
    </w:p>
    <w:p>
      <w:pPr>
        <w:spacing w:before="100" w:line="296" w:lineRule="auto"/>
        <w:ind w:firstLine="420"/>
        <w:rPr>
          <w:rFonts w:eastAsia="宋体"/>
          <w:bCs/>
          <w:szCs w:val="21"/>
        </w:rPr>
      </w:pPr>
      <w:r>
        <w:rPr>
          <w:rFonts w:hAnsi="宋体" w:eastAsia="宋体"/>
          <w:bCs/>
          <w:szCs w:val="21"/>
        </w:rPr>
        <w:t>资格审查采用定性评审法，审查投标人是否符合法律、法规、规章及招标文件对企业资质、业绩和其他强制性标准，是否处于正常的经营状况等情况。</w:t>
      </w:r>
    </w:p>
    <w:p>
      <w:pPr>
        <w:spacing w:before="100" w:line="296" w:lineRule="auto"/>
        <w:ind w:firstLine="420"/>
        <w:rPr>
          <w:rFonts w:eastAsia="宋体"/>
          <w:bCs/>
          <w:szCs w:val="21"/>
        </w:rPr>
      </w:pPr>
      <w:r>
        <w:rPr>
          <w:rFonts w:hAnsi="宋体" w:eastAsia="宋体"/>
          <w:bCs/>
          <w:szCs w:val="21"/>
        </w:rPr>
        <w:t>在本阶段不符合任何一项资格评审标准的投标人将被招标人拒绝，不得进入下一阶段的评审。评审标准详见附表一《资格审查表》。</w:t>
      </w:r>
    </w:p>
    <w:p>
      <w:pPr>
        <w:numPr>
          <w:ilvl w:val="0"/>
          <w:numId w:val="45"/>
        </w:numPr>
        <w:tabs>
          <w:tab w:val="left" w:pos="907"/>
        </w:tabs>
        <w:spacing w:before="100" w:line="296" w:lineRule="auto"/>
        <w:outlineLvl w:val="1"/>
        <w:rPr>
          <w:rFonts w:hAnsi="宋体" w:eastAsia="宋体"/>
          <w:b/>
          <w:bCs/>
          <w:szCs w:val="21"/>
        </w:rPr>
      </w:pPr>
      <w:bookmarkStart w:id="928" w:name="_Toc7979"/>
      <w:bookmarkStart w:id="929" w:name="_Toc18811"/>
      <w:bookmarkStart w:id="930" w:name="_Toc28645"/>
      <w:bookmarkStart w:id="931" w:name="_Toc13772"/>
      <w:r>
        <w:rPr>
          <w:rFonts w:hint="eastAsia" w:hAnsi="宋体" w:eastAsia="宋体"/>
          <w:b/>
          <w:bCs/>
          <w:szCs w:val="21"/>
        </w:rPr>
        <w:t>初步评审</w:t>
      </w:r>
      <w:bookmarkEnd w:id="928"/>
      <w:bookmarkEnd w:id="929"/>
      <w:bookmarkEnd w:id="930"/>
      <w:bookmarkEnd w:id="931"/>
    </w:p>
    <w:p>
      <w:pPr>
        <w:tabs>
          <w:tab w:val="left" w:pos="360"/>
          <w:tab w:val="left" w:pos="851"/>
        </w:tabs>
        <w:spacing w:before="100" w:line="296" w:lineRule="auto"/>
        <w:rPr>
          <w:rFonts w:eastAsia="宋体"/>
          <w:bCs/>
          <w:szCs w:val="21"/>
        </w:rPr>
      </w:pPr>
      <w:r>
        <w:rPr>
          <w:rFonts w:hint="eastAsia" w:hAnsi="宋体" w:eastAsia="宋体"/>
          <w:bCs/>
          <w:szCs w:val="21"/>
        </w:rPr>
        <w:t xml:space="preserve">7.1  </w:t>
      </w:r>
      <w:r>
        <w:rPr>
          <w:rFonts w:hAnsi="宋体" w:eastAsia="宋体"/>
          <w:bCs/>
          <w:szCs w:val="21"/>
        </w:rPr>
        <w:t>评标委员会将对投标文件的实质性内容进行初步评审，判定其内容是否真实、完整，是否满足招标文件要求并在实质性内容上予以响应</w:t>
      </w:r>
      <w:r>
        <w:rPr>
          <w:rFonts w:hint="eastAsia" w:hAnsi="宋体" w:eastAsia="宋体"/>
          <w:bCs/>
          <w:szCs w:val="21"/>
        </w:rPr>
        <w:t>，</w:t>
      </w:r>
      <w:r>
        <w:rPr>
          <w:rFonts w:hAnsi="宋体" w:eastAsia="宋体"/>
          <w:bCs/>
          <w:szCs w:val="21"/>
        </w:rPr>
        <w:t>并对通过初步评审且报价中如有算术性错误的文件进行算术性修正。修正原则为：投标报价大写金额与小写金额不一致的，以大写金额为准；总价与单价</w:t>
      </w:r>
      <w:r>
        <w:rPr>
          <w:rFonts w:hint="eastAsia" w:hAnsi="宋体" w:eastAsia="宋体"/>
          <w:bCs/>
          <w:szCs w:val="21"/>
        </w:rPr>
        <w:t>合计</w:t>
      </w:r>
      <w:r>
        <w:rPr>
          <w:rFonts w:hAnsi="宋体" w:eastAsia="宋体"/>
          <w:bCs/>
          <w:szCs w:val="21"/>
        </w:rPr>
        <w:t>不一致的，以单价</w:t>
      </w:r>
      <w:r>
        <w:rPr>
          <w:rFonts w:hint="eastAsia" w:hAnsi="宋体" w:eastAsia="宋体"/>
          <w:bCs/>
          <w:szCs w:val="21"/>
        </w:rPr>
        <w:t>合计</w:t>
      </w:r>
      <w:r>
        <w:rPr>
          <w:rFonts w:hAnsi="宋体" w:eastAsia="宋体"/>
          <w:bCs/>
          <w:szCs w:val="21"/>
        </w:rPr>
        <w:t>为准修正总价，单价有明显小数点错误的除外。</w:t>
      </w:r>
      <w:r>
        <w:rPr>
          <w:rFonts w:hAnsi="宋体" w:eastAsia="宋体"/>
          <w:szCs w:val="21"/>
        </w:rPr>
        <w:t>按上述修正错误的原则及方法修正后的总价经投标人书面确认后作为评标价，投标人不接受修正价格的，其投标作否决投标处理</w:t>
      </w:r>
      <w:r>
        <w:rPr>
          <w:rFonts w:hint="eastAsia" w:hAnsi="宋体" w:eastAsia="宋体"/>
          <w:szCs w:val="21"/>
        </w:rPr>
        <w:t>，并没收其投标保证金</w:t>
      </w:r>
      <w:r>
        <w:rPr>
          <w:rFonts w:hAnsi="宋体" w:eastAsia="宋体"/>
          <w:szCs w:val="21"/>
        </w:rPr>
        <w:t>。如果修正后的总价小于投标</w:t>
      </w:r>
      <w:r>
        <w:rPr>
          <w:rFonts w:hint="eastAsia" w:hAnsi="宋体" w:eastAsia="宋体"/>
          <w:szCs w:val="21"/>
        </w:rPr>
        <w:t>报价</w:t>
      </w:r>
      <w:r>
        <w:rPr>
          <w:rFonts w:hAnsi="宋体" w:eastAsia="宋体"/>
          <w:szCs w:val="21"/>
        </w:rPr>
        <w:t>中的报价，如中标则为中标价；如果修正后的总价大于投标</w:t>
      </w:r>
      <w:r>
        <w:rPr>
          <w:rFonts w:hint="eastAsia" w:hAnsi="宋体" w:eastAsia="宋体"/>
          <w:szCs w:val="21"/>
        </w:rPr>
        <w:t>报价</w:t>
      </w:r>
      <w:r>
        <w:rPr>
          <w:rFonts w:hAnsi="宋体" w:eastAsia="宋体"/>
          <w:szCs w:val="21"/>
        </w:rPr>
        <w:t>中的报价，如中标则以投标</w:t>
      </w:r>
      <w:r>
        <w:rPr>
          <w:rFonts w:hint="eastAsia" w:hAnsi="宋体" w:eastAsia="宋体"/>
          <w:szCs w:val="21"/>
        </w:rPr>
        <w:t>报价</w:t>
      </w:r>
      <w:r>
        <w:rPr>
          <w:rFonts w:hAnsi="宋体" w:eastAsia="宋体"/>
          <w:szCs w:val="21"/>
        </w:rPr>
        <w:t>中的报价为中标价，但并不减免中标人应承担的工作。</w:t>
      </w:r>
    </w:p>
    <w:p>
      <w:pPr>
        <w:tabs>
          <w:tab w:val="left" w:pos="360"/>
          <w:tab w:val="left" w:pos="851"/>
        </w:tabs>
        <w:spacing w:before="100" w:line="296" w:lineRule="auto"/>
        <w:rPr>
          <w:rFonts w:eastAsia="宋体"/>
          <w:bCs/>
          <w:szCs w:val="21"/>
        </w:rPr>
      </w:pPr>
      <w:r>
        <w:rPr>
          <w:rFonts w:hint="eastAsia" w:hAnsi="宋体" w:eastAsia="宋体"/>
          <w:szCs w:val="21"/>
        </w:rPr>
        <w:t xml:space="preserve">7.2  </w:t>
      </w:r>
      <w:r>
        <w:rPr>
          <w:rFonts w:hAnsi="宋体" w:eastAsia="宋体"/>
          <w:szCs w:val="21"/>
        </w:rPr>
        <w:t>就本条款而言，实质上响应要求的投标文件，应该是与招标文件要求的全部条款，</w:t>
      </w:r>
      <w:r>
        <w:rPr>
          <w:rFonts w:hint="eastAsia" w:hAnsi="宋体" w:eastAsia="宋体"/>
          <w:szCs w:val="21"/>
        </w:rPr>
        <w:t>包括但不限于本</w:t>
      </w:r>
      <w:r>
        <w:rPr>
          <w:rFonts w:hint="eastAsia" w:hAnsi="宋体" w:eastAsia="宋体" w:cs="宋体"/>
          <w:kern w:val="0"/>
          <w:szCs w:val="21"/>
        </w:rPr>
        <w:t>招标文件</w:t>
      </w:r>
      <w:r>
        <w:rPr>
          <w:rFonts w:hAnsi="宋体" w:eastAsia="宋体"/>
          <w:szCs w:val="21"/>
        </w:rPr>
        <w:t>合同条件和规范相符，无重大差异和保留。所谓重大差异或保留是指对服务的范围、质量及要求产生实质性影响；或者对合同中规定的招标人的权利及投标人的责任造成实质性限制；而且纠正这种差异或保留，将会对其他实质上响应要求的投标人的竞争地位产生不公正的影响。决定投标文件的响应性只根据投标文件本身的内容，而不寻求外部的证据。</w:t>
      </w:r>
    </w:p>
    <w:p>
      <w:pPr>
        <w:tabs>
          <w:tab w:val="left" w:pos="360"/>
          <w:tab w:val="left" w:pos="851"/>
        </w:tabs>
        <w:spacing w:before="100" w:line="296" w:lineRule="auto"/>
        <w:rPr>
          <w:rFonts w:eastAsia="宋体"/>
          <w:bCs/>
          <w:szCs w:val="21"/>
        </w:rPr>
      </w:pPr>
      <w:r>
        <w:rPr>
          <w:rFonts w:hint="eastAsia" w:hAnsi="宋体" w:eastAsia="宋体"/>
          <w:bCs/>
          <w:szCs w:val="21"/>
        </w:rPr>
        <w:t xml:space="preserve">7.3  </w:t>
      </w:r>
      <w:r>
        <w:rPr>
          <w:rFonts w:hAnsi="宋体" w:eastAsia="宋体"/>
          <w:bCs/>
          <w:szCs w:val="21"/>
        </w:rPr>
        <w:t>如果投标文件实质性不响应招标文件的要求和条件的，评标委员会将判定为重大偏差并作否决投标处理，并且不允许投标人通过修正或撤</w:t>
      </w:r>
      <w:r>
        <w:rPr>
          <w:rFonts w:hint="eastAsia" w:hAnsi="宋体" w:eastAsia="宋体"/>
          <w:bCs/>
          <w:szCs w:val="21"/>
        </w:rPr>
        <w:t>销</w:t>
      </w:r>
      <w:r>
        <w:rPr>
          <w:rFonts w:hAnsi="宋体" w:eastAsia="宋体"/>
          <w:bCs/>
          <w:szCs w:val="21"/>
        </w:rPr>
        <w:t>其不符要求的差异或保留，使之成为具有响应性的投标文件。</w:t>
      </w:r>
    </w:p>
    <w:p>
      <w:pPr>
        <w:tabs>
          <w:tab w:val="left" w:pos="360"/>
          <w:tab w:val="left" w:pos="851"/>
        </w:tabs>
        <w:spacing w:before="100" w:line="296" w:lineRule="auto"/>
        <w:rPr>
          <w:rFonts w:eastAsia="宋体"/>
          <w:bCs/>
          <w:szCs w:val="21"/>
        </w:rPr>
      </w:pPr>
      <w:r>
        <w:rPr>
          <w:rFonts w:hint="eastAsia" w:hAnsi="宋体" w:eastAsia="宋体"/>
          <w:bCs/>
          <w:szCs w:val="21"/>
        </w:rPr>
        <w:t xml:space="preserve">7.4  </w:t>
      </w:r>
      <w:r>
        <w:rPr>
          <w:rFonts w:hAnsi="宋体" w:eastAsia="宋体"/>
          <w:bCs/>
          <w:szCs w:val="21"/>
        </w:rPr>
        <w:t>评标委员会根据招标文件的要求对投标人进行初步评审，未通过初步评审的投标人不得进入下一阶段的评审。评审项目见附表二《初步评审表》。</w:t>
      </w:r>
    </w:p>
    <w:p>
      <w:pPr>
        <w:numPr>
          <w:ilvl w:val="0"/>
          <w:numId w:val="46"/>
        </w:numPr>
        <w:tabs>
          <w:tab w:val="left" w:pos="907"/>
        </w:tabs>
        <w:spacing w:before="100" w:line="296" w:lineRule="auto"/>
        <w:outlineLvl w:val="1"/>
        <w:rPr>
          <w:rFonts w:eastAsia="宋体"/>
          <w:b/>
          <w:bCs/>
          <w:szCs w:val="21"/>
        </w:rPr>
      </w:pPr>
      <w:bookmarkStart w:id="932" w:name="_Toc18481"/>
      <w:bookmarkStart w:id="933" w:name="_Toc11730"/>
      <w:bookmarkStart w:id="934" w:name="_Toc5373"/>
      <w:bookmarkStart w:id="935" w:name="_Toc17612"/>
      <w:r>
        <w:rPr>
          <w:rFonts w:hint="eastAsia" w:hAnsi="宋体" w:eastAsia="宋体"/>
          <w:b/>
          <w:bCs/>
          <w:szCs w:val="21"/>
        </w:rPr>
        <w:t>详细评审</w:t>
      </w:r>
      <w:bookmarkEnd w:id="932"/>
      <w:bookmarkEnd w:id="933"/>
      <w:bookmarkEnd w:id="934"/>
      <w:bookmarkEnd w:id="935"/>
    </w:p>
    <w:p>
      <w:pPr>
        <w:tabs>
          <w:tab w:val="left" w:pos="420"/>
          <w:tab w:val="left" w:pos="851"/>
        </w:tabs>
        <w:spacing w:before="100" w:line="296" w:lineRule="auto"/>
        <w:rPr>
          <w:rFonts w:eastAsia="宋体"/>
          <w:bCs/>
          <w:szCs w:val="21"/>
        </w:rPr>
      </w:pPr>
      <w:r>
        <w:rPr>
          <w:rFonts w:hint="eastAsia" w:hAnsi="宋体" w:eastAsia="宋体"/>
          <w:bCs/>
          <w:szCs w:val="21"/>
        </w:rPr>
        <w:t xml:space="preserve">8.1  </w:t>
      </w:r>
      <w:r>
        <w:rPr>
          <w:rFonts w:hAnsi="宋体" w:eastAsia="宋体"/>
          <w:bCs/>
          <w:szCs w:val="21"/>
        </w:rPr>
        <w:t>评标委员会将对通过初步评审的投标人进行详细评审。</w:t>
      </w:r>
    </w:p>
    <w:p>
      <w:pPr>
        <w:tabs>
          <w:tab w:val="left" w:pos="420"/>
          <w:tab w:val="left" w:pos="851"/>
        </w:tabs>
        <w:spacing w:before="100" w:line="296" w:lineRule="auto"/>
        <w:rPr>
          <w:rFonts w:hAnsi="宋体" w:eastAsia="宋体"/>
          <w:bCs/>
          <w:szCs w:val="21"/>
        </w:rPr>
      </w:pPr>
      <w:r>
        <w:rPr>
          <w:rFonts w:hint="eastAsia" w:hAnsi="宋体" w:eastAsia="宋体"/>
          <w:bCs/>
          <w:szCs w:val="21"/>
        </w:rPr>
        <w:t xml:space="preserve">8.2  </w:t>
      </w:r>
      <w:r>
        <w:rPr>
          <w:rFonts w:hAnsi="宋体" w:eastAsia="宋体"/>
          <w:bCs/>
          <w:szCs w:val="21"/>
        </w:rPr>
        <w:t>详细评审采用综合评</w:t>
      </w:r>
      <w:r>
        <w:rPr>
          <w:rFonts w:hint="eastAsia" w:hAnsi="宋体" w:eastAsia="宋体"/>
          <w:bCs/>
          <w:szCs w:val="21"/>
        </w:rPr>
        <w:t>分</w:t>
      </w:r>
      <w:r>
        <w:rPr>
          <w:rFonts w:hAnsi="宋体" w:eastAsia="宋体"/>
          <w:bCs/>
          <w:szCs w:val="21"/>
        </w:rPr>
        <w:t>法，即按照规定的评分标准，对投标文件进行综合评分。评标委员会中的技术评审组评审资信部分和技术部分（评分标准：详见附表三《资信部分评分表》、附表四《技术部分评分表》）；评标委员会中的经济评审组评审报价部分（评分标准：详见附表五《报价部分评分表》）</w:t>
      </w:r>
    </w:p>
    <w:p>
      <w:pPr>
        <w:numPr>
          <w:ilvl w:val="0"/>
          <w:numId w:val="46"/>
        </w:numPr>
        <w:spacing w:before="100" w:line="296" w:lineRule="auto"/>
        <w:outlineLvl w:val="1"/>
        <w:rPr>
          <w:rFonts w:hAnsi="宋体" w:eastAsia="宋体"/>
          <w:b/>
          <w:bCs/>
          <w:szCs w:val="21"/>
        </w:rPr>
      </w:pPr>
      <w:bookmarkStart w:id="936" w:name="_Toc25537"/>
      <w:bookmarkStart w:id="937" w:name="_Toc14350"/>
      <w:bookmarkStart w:id="938" w:name="_Toc7437"/>
      <w:bookmarkStart w:id="939" w:name="_Toc2701"/>
      <w:r>
        <w:rPr>
          <w:rFonts w:hAnsi="宋体" w:eastAsia="宋体"/>
          <w:b/>
          <w:bCs/>
          <w:szCs w:val="21"/>
        </w:rPr>
        <w:t>澄清或补正</w:t>
      </w:r>
      <w:bookmarkEnd w:id="936"/>
      <w:bookmarkEnd w:id="937"/>
      <w:bookmarkEnd w:id="938"/>
      <w:bookmarkEnd w:id="939"/>
    </w:p>
    <w:p>
      <w:pPr>
        <w:tabs>
          <w:tab w:val="left" w:pos="630"/>
          <w:tab w:val="left" w:pos="851"/>
        </w:tabs>
        <w:spacing w:before="100" w:line="296" w:lineRule="auto"/>
        <w:rPr>
          <w:rFonts w:eastAsia="宋体"/>
          <w:bCs/>
          <w:szCs w:val="21"/>
        </w:rPr>
      </w:pPr>
      <w:r>
        <w:rPr>
          <w:rFonts w:hint="eastAsia" w:hAnsi="宋体" w:eastAsia="宋体"/>
          <w:bCs/>
          <w:szCs w:val="21"/>
        </w:rPr>
        <w:t xml:space="preserve">9.1  </w:t>
      </w:r>
      <w:r>
        <w:rPr>
          <w:rFonts w:hAnsi="宋体" w:eastAsia="宋体"/>
          <w:bCs/>
          <w:szCs w:val="21"/>
        </w:rPr>
        <w:t>在评标阶段，评标委员会认为必要时，可书面通知投标人要求其澄清或补正投标文件中的问题，或者要求其补充某些资料。对此，投标人不得拒绝。</w:t>
      </w:r>
    </w:p>
    <w:p>
      <w:pPr>
        <w:tabs>
          <w:tab w:val="left" w:pos="630"/>
          <w:tab w:val="left" w:pos="851"/>
        </w:tabs>
        <w:spacing w:before="100" w:line="296" w:lineRule="auto"/>
        <w:rPr>
          <w:rFonts w:eastAsia="宋体"/>
          <w:bCs/>
          <w:szCs w:val="21"/>
        </w:rPr>
      </w:pPr>
      <w:r>
        <w:rPr>
          <w:rFonts w:hint="eastAsia" w:hAnsi="宋体" w:eastAsia="宋体"/>
          <w:bCs/>
          <w:szCs w:val="21"/>
        </w:rPr>
        <w:t xml:space="preserve">9.2  </w:t>
      </w:r>
      <w:r>
        <w:rPr>
          <w:rFonts w:hAnsi="宋体" w:eastAsia="宋体"/>
          <w:bCs/>
          <w:szCs w:val="21"/>
        </w:rPr>
        <w:t>投标人须以书面形式提供澄清或补正文件，经评标委员会确认方可作为投标文件的组成部分。</w:t>
      </w:r>
    </w:p>
    <w:p>
      <w:pPr>
        <w:tabs>
          <w:tab w:val="left" w:pos="630"/>
          <w:tab w:val="left" w:pos="851"/>
        </w:tabs>
        <w:spacing w:before="100" w:line="296" w:lineRule="auto"/>
        <w:rPr>
          <w:rFonts w:eastAsia="宋体"/>
          <w:bCs/>
          <w:szCs w:val="21"/>
        </w:rPr>
      </w:pPr>
      <w:r>
        <w:rPr>
          <w:rFonts w:hint="eastAsia" w:hAnsi="宋体" w:eastAsia="宋体"/>
          <w:bCs/>
          <w:szCs w:val="21"/>
        </w:rPr>
        <w:t xml:space="preserve">9.3  </w:t>
      </w:r>
      <w:r>
        <w:rPr>
          <w:rFonts w:hAnsi="宋体" w:eastAsia="宋体"/>
          <w:bCs/>
          <w:szCs w:val="21"/>
        </w:rPr>
        <w:t>投标人能够合理说明或提供有效证明资料的，评标委员会将予以采信，取消该疑问事项及对应的投标报价偏差；不能合理说明或者不能提供有效证明材料的，评标委员会将不予采信，该疑问事项及对应的投标报价偏差将确认成立，但其投标总价保持不变。</w:t>
      </w:r>
    </w:p>
    <w:p>
      <w:pPr>
        <w:tabs>
          <w:tab w:val="left" w:pos="630"/>
          <w:tab w:val="left" w:pos="851"/>
        </w:tabs>
        <w:spacing w:before="100" w:line="296" w:lineRule="auto"/>
        <w:rPr>
          <w:rFonts w:eastAsia="宋体"/>
          <w:bCs/>
          <w:szCs w:val="21"/>
        </w:rPr>
      </w:pPr>
      <w:r>
        <w:rPr>
          <w:rFonts w:hint="eastAsia" w:hAnsi="宋体" w:eastAsia="宋体"/>
          <w:bCs/>
          <w:szCs w:val="21"/>
        </w:rPr>
        <w:t xml:space="preserve">9.4  </w:t>
      </w:r>
      <w:r>
        <w:rPr>
          <w:rFonts w:hAnsi="宋体" w:eastAsia="宋体"/>
          <w:bCs/>
          <w:szCs w:val="21"/>
        </w:rPr>
        <w:t>如果评标委员会对投标人提交的澄清、说明或补正依然存有疑问，可以对投标人进一步质疑。投标人应当相应地进一步澄清、说明或补正，直至评标委员会认为全部质疑得到解答。</w:t>
      </w:r>
    </w:p>
    <w:p>
      <w:pPr>
        <w:tabs>
          <w:tab w:val="left" w:pos="630"/>
          <w:tab w:val="left" w:pos="851"/>
        </w:tabs>
        <w:spacing w:before="100" w:line="296" w:lineRule="auto"/>
        <w:rPr>
          <w:rFonts w:eastAsia="宋体"/>
          <w:bCs/>
          <w:szCs w:val="21"/>
        </w:rPr>
      </w:pPr>
      <w:r>
        <w:rPr>
          <w:rFonts w:hint="eastAsia" w:hAnsi="宋体" w:eastAsia="宋体"/>
          <w:bCs/>
          <w:szCs w:val="21"/>
        </w:rPr>
        <w:t xml:space="preserve">9.5  </w:t>
      </w:r>
      <w:r>
        <w:rPr>
          <w:rFonts w:hAnsi="宋体" w:eastAsia="宋体"/>
          <w:bCs/>
          <w:szCs w:val="21"/>
        </w:rPr>
        <w:t>投标人不得借澄清或补正问题的机会，与招标人及评标委员会私下接触或对原投标价和内容提出修改，但在评标中进行的初步修正，则不在此列。</w:t>
      </w:r>
    </w:p>
    <w:p>
      <w:pPr>
        <w:tabs>
          <w:tab w:val="left" w:pos="630"/>
          <w:tab w:val="left" w:pos="851"/>
        </w:tabs>
        <w:spacing w:before="100" w:line="296" w:lineRule="auto"/>
        <w:rPr>
          <w:rFonts w:eastAsia="宋体"/>
          <w:bCs/>
          <w:szCs w:val="21"/>
        </w:rPr>
      </w:pPr>
      <w:r>
        <w:rPr>
          <w:rFonts w:hint="eastAsia" w:hAnsi="宋体" w:eastAsia="宋体"/>
          <w:bCs/>
          <w:szCs w:val="21"/>
        </w:rPr>
        <w:t xml:space="preserve">9.6  </w:t>
      </w:r>
      <w:r>
        <w:rPr>
          <w:rFonts w:hAnsi="宋体" w:eastAsia="宋体"/>
          <w:bCs/>
          <w:szCs w:val="21"/>
        </w:rPr>
        <w:t>招标人不接受投标人主动提出的对投标文件的澄清或补正。</w:t>
      </w:r>
    </w:p>
    <w:p>
      <w:pPr>
        <w:numPr>
          <w:ilvl w:val="0"/>
          <w:numId w:val="46"/>
        </w:numPr>
        <w:tabs>
          <w:tab w:val="left" w:pos="1134"/>
        </w:tabs>
        <w:spacing w:before="100" w:line="296" w:lineRule="auto"/>
        <w:outlineLvl w:val="1"/>
        <w:rPr>
          <w:rFonts w:eastAsia="宋体"/>
          <w:b/>
          <w:bCs/>
          <w:szCs w:val="21"/>
        </w:rPr>
      </w:pPr>
      <w:bookmarkStart w:id="940" w:name="_Toc27740"/>
      <w:bookmarkStart w:id="941" w:name="_Toc14885"/>
      <w:bookmarkStart w:id="942" w:name="_Toc25870"/>
      <w:bookmarkStart w:id="943" w:name="_Toc16735"/>
      <w:r>
        <w:rPr>
          <w:rFonts w:hint="eastAsia" w:hAnsi="宋体" w:eastAsia="宋体"/>
          <w:b/>
          <w:bCs/>
          <w:szCs w:val="21"/>
        </w:rPr>
        <w:t>打分与汇总</w:t>
      </w:r>
      <w:bookmarkEnd w:id="940"/>
      <w:bookmarkEnd w:id="941"/>
      <w:bookmarkEnd w:id="942"/>
      <w:bookmarkEnd w:id="943"/>
    </w:p>
    <w:p>
      <w:pPr>
        <w:tabs>
          <w:tab w:val="left" w:pos="851"/>
          <w:tab w:val="left" w:pos="1134"/>
        </w:tabs>
        <w:spacing w:before="100" w:line="296" w:lineRule="auto"/>
        <w:rPr>
          <w:rFonts w:eastAsia="宋体"/>
          <w:b/>
          <w:bCs/>
          <w:szCs w:val="21"/>
        </w:rPr>
      </w:pPr>
      <w:r>
        <w:rPr>
          <w:rFonts w:hint="eastAsia" w:hAnsi="宋体" w:eastAsia="宋体"/>
          <w:b/>
          <w:bCs/>
          <w:szCs w:val="21"/>
        </w:rPr>
        <w:t xml:space="preserve">10.1 </w:t>
      </w:r>
      <w:r>
        <w:rPr>
          <w:rFonts w:hAnsi="宋体" w:eastAsia="宋体"/>
          <w:b/>
          <w:bCs/>
          <w:szCs w:val="21"/>
        </w:rPr>
        <w:t>评委打分应遵照以下规定打分：</w:t>
      </w:r>
    </w:p>
    <w:p>
      <w:pPr>
        <w:spacing w:before="100" w:line="296" w:lineRule="auto"/>
        <w:rPr>
          <w:rFonts w:eastAsia="宋体"/>
          <w:szCs w:val="21"/>
        </w:rPr>
      </w:pPr>
      <w:r>
        <w:rPr>
          <w:rFonts w:eastAsia="宋体"/>
          <w:szCs w:val="21"/>
        </w:rPr>
        <w:t>(1)</w:t>
      </w:r>
      <w:r>
        <w:rPr>
          <w:rFonts w:hAnsi="宋体" w:eastAsia="宋体"/>
          <w:szCs w:val="21"/>
        </w:rPr>
        <w:t>评委必须严格按照评分细则规定项目及其分值范围打分，所有分数保留</w:t>
      </w:r>
      <w:r>
        <w:rPr>
          <w:rFonts w:eastAsia="宋体"/>
          <w:szCs w:val="21"/>
        </w:rPr>
        <w:t>2</w:t>
      </w:r>
      <w:r>
        <w:rPr>
          <w:rFonts w:hAnsi="宋体" w:eastAsia="宋体"/>
          <w:szCs w:val="21"/>
        </w:rPr>
        <w:t>位小数；</w:t>
      </w:r>
    </w:p>
    <w:p>
      <w:pPr>
        <w:spacing w:before="100" w:line="296" w:lineRule="auto"/>
        <w:rPr>
          <w:rFonts w:eastAsia="宋体"/>
          <w:szCs w:val="21"/>
        </w:rPr>
      </w:pPr>
      <w:r>
        <w:rPr>
          <w:rFonts w:eastAsia="宋体"/>
          <w:szCs w:val="21"/>
        </w:rPr>
        <w:t>(2)</w:t>
      </w:r>
      <w:r>
        <w:rPr>
          <w:rFonts w:hAnsi="宋体" w:eastAsia="宋体"/>
          <w:szCs w:val="21"/>
        </w:rPr>
        <w:t>评委打分采用记名方式，评委打分如有修改或更正，应在修改或更正处小签。</w:t>
      </w:r>
    </w:p>
    <w:p>
      <w:pPr>
        <w:tabs>
          <w:tab w:val="left" w:pos="851"/>
          <w:tab w:val="left" w:pos="1134"/>
        </w:tabs>
        <w:spacing w:before="100" w:line="296" w:lineRule="auto"/>
        <w:rPr>
          <w:rFonts w:hAnsi="宋体" w:eastAsia="宋体"/>
          <w:b/>
          <w:bCs/>
          <w:szCs w:val="21"/>
        </w:rPr>
      </w:pPr>
      <w:r>
        <w:rPr>
          <w:rFonts w:hint="eastAsia" w:hAnsi="宋体" w:eastAsia="宋体"/>
          <w:b/>
          <w:bCs/>
          <w:szCs w:val="21"/>
        </w:rPr>
        <w:t xml:space="preserve">10.2 </w:t>
      </w:r>
      <w:r>
        <w:rPr>
          <w:rFonts w:hAnsi="宋体" w:eastAsia="宋体"/>
          <w:b/>
          <w:bCs/>
          <w:szCs w:val="21"/>
        </w:rPr>
        <w:t>得分汇总</w:t>
      </w:r>
    </w:p>
    <w:p>
      <w:pPr>
        <w:spacing w:before="100" w:line="296" w:lineRule="auto"/>
        <w:rPr>
          <w:rFonts w:eastAsia="宋体"/>
          <w:szCs w:val="21"/>
        </w:rPr>
      </w:pPr>
      <w:r>
        <w:rPr>
          <w:rFonts w:eastAsia="宋体"/>
          <w:szCs w:val="21"/>
        </w:rPr>
        <w:t>(1)</w:t>
      </w:r>
      <w:r>
        <w:rPr>
          <w:rFonts w:hAnsi="宋体" w:eastAsia="宋体"/>
          <w:szCs w:val="21"/>
        </w:rPr>
        <w:t>所有计算过程中，报价都按照</w:t>
      </w:r>
      <w:r>
        <w:rPr>
          <w:rFonts w:eastAsia="宋体"/>
          <w:szCs w:val="21"/>
        </w:rPr>
        <w:t>“</w:t>
      </w:r>
      <w:r>
        <w:rPr>
          <w:rFonts w:hAnsi="宋体" w:eastAsia="宋体"/>
          <w:szCs w:val="21"/>
        </w:rPr>
        <w:t>四舍五入</w:t>
      </w:r>
      <w:r>
        <w:rPr>
          <w:rFonts w:eastAsia="宋体"/>
          <w:szCs w:val="21"/>
        </w:rPr>
        <w:t>”</w:t>
      </w:r>
      <w:r>
        <w:rPr>
          <w:rFonts w:hAnsi="宋体" w:eastAsia="宋体"/>
          <w:szCs w:val="21"/>
        </w:rPr>
        <w:t>保留到分；</w:t>
      </w:r>
    </w:p>
    <w:p>
      <w:pPr>
        <w:spacing w:before="100" w:line="296" w:lineRule="auto"/>
        <w:rPr>
          <w:rFonts w:eastAsia="宋体"/>
          <w:szCs w:val="21"/>
        </w:rPr>
      </w:pPr>
      <w:r>
        <w:rPr>
          <w:rFonts w:eastAsia="宋体"/>
          <w:szCs w:val="21"/>
        </w:rPr>
        <w:t>(2)</w:t>
      </w:r>
      <w:r>
        <w:rPr>
          <w:rFonts w:hAnsi="宋体" w:eastAsia="宋体"/>
          <w:szCs w:val="21"/>
        </w:rPr>
        <w:t>报价部分由经济评审组</w:t>
      </w:r>
      <w:r>
        <w:rPr>
          <w:rFonts w:hint="eastAsia" w:hAnsi="宋体" w:eastAsia="宋体"/>
          <w:szCs w:val="21"/>
        </w:rPr>
        <w:t>成员</w:t>
      </w:r>
      <w:r>
        <w:rPr>
          <w:rFonts w:hAnsi="宋体" w:eastAsia="宋体"/>
          <w:szCs w:val="21"/>
        </w:rPr>
        <w:t>统一打分；</w:t>
      </w:r>
    </w:p>
    <w:p>
      <w:pPr>
        <w:spacing w:before="100" w:line="296" w:lineRule="auto"/>
        <w:rPr>
          <w:rFonts w:eastAsia="宋体"/>
          <w:szCs w:val="21"/>
        </w:rPr>
      </w:pPr>
      <w:r>
        <w:rPr>
          <w:rFonts w:eastAsia="宋体"/>
          <w:szCs w:val="21"/>
        </w:rPr>
        <w:t>(3)</w:t>
      </w:r>
      <w:r>
        <w:rPr>
          <w:rFonts w:hAnsi="宋体" w:eastAsia="宋体"/>
          <w:szCs w:val="21"/>
        </w:rPr>
        <w:t>资信部分由技术评审组成员</w:t>
      </w:r>
      <w:r>
        <w:rPr>
          <w:rFonts w:hint="eastAsia" w:hAnsi="宋体" w:eastAsia="宋体"/>
          <w:szCs w:val="21"/>
        </w:rPr>
        <w:t>统一</w:t>
      </w:r>
      <w:r>
        <w:rPr>
          <w:rFonts w:hAnsi="宋体" w:eastAsia="宋体"/>
          <w:szCs w:val="21"/>
        </w:rPr>
        <w:t>打分</w:t>
      </w:r>
      <w:r>
        <w:rPr>
          <w:rFonts w:hint="eastAsia" w:hAnsi="宋体" w:eastAsia="宋体"/>
          <w:szCs w:val="21"/>
        </w:rPr>
        <w:t>，</w:t>
      </w:r>
      <w:r>
        <w:rPr>
          <w:rFonts w:hAnsi="宋体" w:eastAsia="宋体"/>
          <w:szCs w:val="21"/>
        </w:rPr>
        <w:t>保留小数点后两位</w:t>
      </w:r>
      <w:r>
        <w:rPr>
          <w:rFonts w:hint="eastAsia" w:hAnsi="宋体" w:eastAsia="宋体"/>
          <w:szCs w:val="21"/>
        </w:rPr>
        <w:t>；</w:t>
      </w:r>
      <w:r>
        <w:rPr>
          <w:rFonts w:hAnsi="宋体" w:eastAsia="宋体"/>
          <w:szCs w:val="21"/>
        </w:rPr>
        <w:t>技术部分由技术评审组成员独立打分，每一投标人的技术部分得分为技术评审组成员对其评分的算术平均值，保留小数点后两位；</w:t>
      </w:r>
    </w:p>
    <w:p>
      <w:pPr>
        <w:spacing w:before="100" w:line="296" w:lineRule="auto"/>
        <w:rPr>
          <w:rFonts w:eastAsia="宋体"/>
          <w:szCs w:val="21"/>
        </w:rPr>
      </w:pPr>
      <w:r>
        <w:rPr>
          <w:rFonts w:eastAsia="宋体"/>
          <w:szCs w:val="21"/>
        </w:rPr>
        <w:t>(4)</w:t>
      </w:r>
      <w:r>
        <w:rPr>
          <w:rFonts w:hAnsi="宋体" w:eastAsia="宋体"/>
          <w:szCs w:val="21"/>
        </w:rPr>
        <w:t>综合</w:t>
      </w:r>
      <w:r>
        <w:rPr>
          <w:rFonts w:hint="eastAsia" w:hAnsi="宋体" w:eastAsia="宋体"/>
          <w:szCs w:val="21"/>
        </w:rPr>
        <w:t>评</w:t>
      </w:r>
      <w:r>
        <w:rPr>
          <w:rFonts w:hAnsi="宋体" w:eastAsia="宋体"/>
          <w:szCs w:val="21"/>
        </w:rPr>
        <w:t>分：综合评分</w:t>
      </w:r>
      <w:r>
        <w:rPr>
          <w:rFonts w:hint="eastAsia" w:hAnsi="宋体" w:eastAsia="宋体"/>
          <w:szCs w:val="21"/>
        </w:rPr>
        <w:t>(满分100分)</w:t>
      </w:r>
      <w:r>
        <w:rPr>
          <w:rFonts w:eastAsia="宋体"/>
          <w:szCs w:val="21"/>
        </w:rPr>
        <w:t>=</w:t>
      </w:r>
      <w:r>
        <w:rPr>
          <w:rFonts w:hAnsi="宋体" w:eastAsia="宋体"/>
          <w:szCs w:val="21"/>
        </w:rPr>
        <w:t>资信得分(3</w:t>
      </w:r>
      <w:r>
        <w:rPr>
          <w:rFonts w:hint="eastAsia" w:hAnsi="宋体" w:eastAsia="宋体"/>
          <w:szCs w:val="21"/>
        </w:rPr>
        <w:t>0分</w:t>
      </w:r>
      <w:r>
        <w:rPr>
          <w:rFonts w:hAnsi="宋体" w:eastAsia="宋体"/>
          <w:szCs w:val="21"/>
        </w:rPr>
        <w:t>)</w:t>
      </w:r>
      <w:r>
        <w:rPr>
          <w:rFonts w:eastAsia="宋体"/>
          <w:szCs w:val="21"/>
        </w:rPr>
        <w:t>+</w:t>
      </w:r>
      <w:r>
        <w:rPr>
          <w:rFonts w:hAnsi="宋体" w:eastAsia="宋体"/>
          <w:szCs w:val="21"/>
        </w:rPr>
        <w:t>技术得分(</w:t>
      </w:r>
      <w:r>
        <w:rPr>
          <w:rFonts w:hint="eastAsia" w:hAnsi="宋体" w:eastAsia="宋体"/>
          <w:szCs w:val="21"/>
        </w:rPr>
        <w:t>40分</w:t>
      </w:r>
      <w:r>
        <w:rPr>
          <w:rFonts w:hAnsi="宋体" w:eastAsia="宋体"/>
          <w:szCs w:val="21"/>
        </w:rPr>
        <w:t>)</w:t>
      </w:r>
      <w:r>
        <w:rPr>
          <w:rFonts w:eastAsia="宋体"/>
          <w:szCs w:val="21"/>
        </w:rPr>
        <w:t>+</w:t>
      </w:r>
      <w:r>
        <w:rPr>
          <w:rFonts w:hint="eastAsia" w:hAnsi="宋体" w:eastAsia="宋体"/>
          <w:szCs w:val="21"/>
        </w:rPr>
        <w:t>报价</w:t>
      </w:r>
      <w:r>
        <w:rPr>
          <w:rFonts w:hAnsi="宋体" w:eastAsia="宋体"/>
          <w:szCs w:val="21"/>
        </w:rPr>
        <w:t>得分(30</w:t>
      </w:r>
      <w:r>
        <w:rPr>
          <w:rFonts w:hint="eastAsia" w:hAnsi="宋体" w:eastAsia="宋体"/>
          <w:szCs w:val="21"/>
        </w:rPr>
        <w:t>分</w:t>
      </w:r>
      <w:r>
        <w:rPr>
          <w:rFonts w:eastAsia="宋体"/>
          <w:szCs w:val="21"/>
        </w:rPr>
        <w:t>)</w:t>
      </w:r>
      <w:r>
        <w:rPr>
          <w:rFonts w:hAnsi="宋体" w:eastAsia="宋体"/>
          <w:szCs w:val="21"/>
        </w:rPr>
        <w:t>；</w:t>
      </w:r>
    </w:p>
    <w:p>
      <w:pPr>
        <w:spacing w:before="100" w:line="296" w:lineRule="auto"/>
        <w:rPr>
          <w:rFonts w:eastAsia="宋体"/>
          <w:szCs w:val="21"/>
        </w:rPr>
      </w:pPr>
      <w:r>
        <w:rPr>
          <w:rFonts w:eastAsia="宋体"/>
          <w:szCs w:val="21"/>
        </w:rPr>
        <w:t>(5)</w:t>
      </w:r>
      <w:r>
        <w:rPr>
          <w:rFonts w:hAnsi="宋体" w:eastAsia="宋体"/>
          <w:szCs w:val="21"/>
        </w:rPr>
        <w:t>排序：评标委员会根据综合评分按由高到低的顺序进行排序。</w:t>
      </w:r>
    </w:p>
    <w:p>
      <w:pPr>
        <w:numPr>
          <w:ilvl w:val="0"/>
          <w:numId w:val="46"/>
        </w:numPr>
        <w:tabs>
          <w:tab w:val="left" w:pos="1814"/>
        </w:tabs>
        <w:spacing w:before="100" w:line="296" w:lineRule="auto"/>
        <w:outlineLvl w:val="1"/>
        <w:rPr>
          <w:rFonts w:eastAsia="宋体"/>
          <w:b/>
          <w:bCs/>
          <w:szCs w:val="21"/>
        </w:rPr>
      </w:pPr>
      <w:bookmarkStart w:id="944" w:name="_Toc24053"/>
      <w:bookmarkStart w:id="945" w:name="_Toc11657"/>
      <w:bookmarkStart w:id="946" w:name="_Toc9956"/>
      <w:bookmarkStart w:id="947" w:name="_Toc11298"/>
      <w:r>
        <w:rPr>
          <w:rFonts w:hint="eastAsia" w:hAnsi="宋体" w:eastAsia="宋体"/>
          <w:b/>
          <w:bCs/>
          <w:szCs w:val="21"/>
        </w:rPr>
        <w:t>评标</w:t>
      </w:r>
      <w:bookmarkEnd w:id="944"/>
      <w:bookmarkEnd w:id="945"/>
      <w:bookmarkEnd w:id="946"/>
      <w:r>
        <w:rPr>
          <w:rFonts w:hint="eastAsia" w:hAnsi="宋体" w:eastAsia="宋体"/>
          <w:b/>
          <w:bCs/>
          <w:szCs w:val="21"/>
        </w:rPr>
        <w:t>情况记录</w:t>
      </w:r>
      <w:bookmarkEnd w:id="947"/>
    </w:p>
    <w:p>
      <w:pPr>
        <w:tabs>
          <w:tab w:val="left" w:pos="851"/>
          <w:tab w:val="left" w:pos="1814"/>
        </w:tabs>
        <w:spacing w:before="100" w:line="296" w:lineRule="auto"/>
        <w:ind w:firstLine="438" w:firstLineChars="209"/>
        <w:rPr>
          <w:rFonts w:eastAsia="宋体"/>
          <w:sz w:val="20"/>
          <w:szCs w:val="20"/>
        </w:rPr>
      </w:pPr>
      <w:r>
        <w:rPr>
          <w:rFonts w:hAnsi="宋体" w:eastAsia="宋体"/>
          <w:szCs w:val="21"/>
        </w:rPr>
        <w:t>评标委员会应根据评标情况和结果，向招标人提交评标</w:t>
      </w:r>
      <w:r>
        <w:rPr>
          <w:rFonts w:hint="eastAsia" w:hAnsi="宋体" w:eastAsia="宋体"/>
          <w:szCs w:val="21"/>
        </w:rPr>
        <w:t>情况记录</w:t>
      </w:r>
      <w:r>
        <w:rPr>
          <w:rFonts w:hAnsi="宋体" w:eastAsia="宋体"/>
          <w:szCs w:val="21"/>
        </w:rPr>
        <w:t>。评标</w:t>
      </w:r>
      <w:r>
        <w:rPr>
          <w:rFonts w:hint="eastAsia" w:hAnsi="宋体" w:eastAsia="宋体"/>
          <w:szCs w:val="21"/>
        </w:rPr>
        <w:t>情况记录</w:t>
      </w:r>
      <w:r>
        <w:rPr>
          <w:rFonts w:hAnsi="宋体" w:eastAsia="宋体"/>
          <w:szCs w:val="21"/>
        </w:rPr>
        <w:t>由评标委员会成员起草，按少数服从多数的原则通过。评标委员会全体成员应在评标</w:t>
      </w:r>
      <w:r>
        <w:rPr>
          <w:rFonts w:hint="eastAsia" w:hAnsi="宋体" w:eastAsia="宋体"/>
          <w:szCs w:val="21"/>
        </w:rPr>
        <w:t>情况记录</w:t>
      </w:r>
      <w:r>
        <w:rPr>
          <w:rFonts w:hAnsi="宋体" w:eastAsia="宋体"/>
          <w:szCs w:val="21"/>
        </w:rPr>
        <w:t>上签字确认，评标专家如有保留意见可以在评标</w:t>
      </w:r>
      <w:r>
        <w:rPr>
          <w:rFonts w:hint="eastAsia" w:hAnsi="宋体" w:eastAsia="宋体"/>
          <w:szCs w:val="21"/>
        </w:rPr>
        <w:t>情况记录</w:t>
      </w:r>
      <w:r>
        <w:rPr>
          <w:rFonts w:hAnsi="宋体" w:eastAsia="宋体"/>
          <w:szCs w:val="21"/>
        </w:rPr>
        <w:t>中阐明。</w:t>
      </w:r>
    </w:p>
    <w:p>
      <w:pPr>
        <w:numPr>
          <w:ilvl w:val="0"/>
          <w:numId w:val="46"/>
        </w:numPr>
        <w:tabs>
          <w:tab w:val="left" w:pos="907"/>
        </w:tabs>
        <w:spacing w:before="100" w:line="296" w:lineRule="auto"/>
        <w:outlineLvl w:val="1"/>
        <w:rPr>
          <w:rFonts w:hAnsi="宋体" w:eastAsia="宋体"/>
          <w:b/>
          <w:bCs/>
          <w:szCs w:val="21"/>
        </w:rPr>
      </w:pPr>
      <w:bookmarkStart w:id="948" w:name="_Toc23111"/>
      <w:bookmarkStart w:id="949" w:name="_Toc17157"/>
      <w:bookmarkStart w:id="950" w:name="_Toc494"/>
      <w:bookmarkStart w:id="951" w:name="_Toc28245"/>
      <w:r>
        <w:rPr>
          <w:rFonts w:hint="eastAsia" w:hAnsi="宋体" w:eastAsia="宋体"/>
          <w:b/>
          <w:bCs/>
          <w:szCs w:val="21"/>
        </w:rPr>
        <w:t>定标</w:t>
      </w:r>
      <w:bookmarkEnd w:id="948"/>
      <w:bookmarkEnd w:id="949"/>
      <w:bookmarkEnd w:id="950"/>
      <w:bookmarkEnd w:id="951"/>
    </w:p>
    <w:p>
      <w:pPr>
        <w:spacing w:before="100" w:line="296" w:lineRule="auto"/>
        <w:rPr>
          <w:rFonts w:hAnsi="宋体" w:eastAsia="宋体" w:cs="宋体"/>
          <w:kern w:val="0"/>
          <w:szCs w:val="21"/>
          <w:lang w:val="zh-CN"/>
        </w:rPr>
      </w:pPr>
      <w:r>
        <w:rPr>
          <w:rFonts w:hint="eastAsia" w:hAnsi="宋体" w:eastAsia="宋体" w:cs="宋体"/>
          <w:kern w:val="0"/>
          <w:szCs w:val="21"/>
        </w:rPr>
        <w:t>12.1</w:t>
      </w:r>
      <w:r>
        <w:rPr>
          <w:rFonts w:hint="eastAsia" w:hAnsi="宋体" w:eastAsia="宋体" w:cs="宋体"/>
          <w:b/>
          <w:bCs/>
          <w:kern w:val="0"/>
          <w:szCs w:val="21"/>
        </w:rPr>
        <w:t>招标人授权评标委员会确定中标人。</w:t>
      </w:r>
      <w:r>
        <w:rPr>
          <w:rFonts w:hint="eastAsia" w:hAnsi="宋体" w:eastAsia="宋体" w:cs="宋体"/>
          <w:kern w:val="0"/>
          <w:szCs w:val="21"/>
        </w:rPr>
        <w:t>评标委员会按照综合评分由高到低的顺序，确定中标候选人排序。</w:t>
      </w:r>
      <w:r>
        <w:rPr>
          <w:rFonts w:hint="eastAsia" w:hAnsi="宋体" w:eastAsia="宋体" w:cs="宋体"/>
          <w:kern w:val="0"/>
          <w:szCs w:val="21"/>
          <w:lang w:val="zh-CN"/>
        </w:rPr>
        <w:t>若有两个及以上投标人综合评分相同，则投标报价低者排列在前；若投标报价也相同，则以资信部分得分高者排列在前；若投标报价和资信部分得分均相同，则承保能力高者排列在前。</w:t>
      </w:r>
    </w:p>
    <w:p>
      <w:pPr>
        <w:spacing w:before="100" w:line="296" w:lineRule="auto"/>
        <w:rPr>
          <w:rFonts w:eastAsia="宋体"/>
          <w:lang w:val="zh-CN"/>
        </w:rPr>
      </w:pPr>
      <w:r>
        <w:rPr>
          <w:rFonts w:hint="eastAsia" w:hAnsi="宋体" w:eastAsia="宋体" w:cs="宋体"/>
          <w:kern w:val="0"/>
          <w:szCs w:val="21"/>
          <w:lang w:val="zh-CN"/>
        </w:rPr>
        <w:t>12.</w:t>
      </w:r>
      <w:r>
        <w:rPr>
          <w:rFonts w:hint="eastAsia" w:hAnsi="宋体" w:eastAsia="宋体" w:cs="宋体"/>
          <w:kern w:val="0"/>
          <w:szCs w:val="21"/>
        </w:rPr>
        <w:t>2</w:t>
      </w:r>
      <w:r>
        <w:rPr>
          <w:rFonts w:hint="eastAsia" w:hAnsi="宋体" w:eastAsia="宋体" w:cs="宋体"/>
          <w:b/>
          <w:bCs/>
          <w:kern w:val="0"/>
          <w:szCs w:val="21"/>
        </w:rPr>
        <w:t>招标人</w:t>
      </w:r>
      <w:r>
        <w:rPr>
          <w:rFonts w:hint="eastAsia" w:eastAsia="宋体"/>
          <w:b/>
          <w:bCs/>
          <w:szCs w:val="21"/>
        </w:rPr>
        <w:t>授权评标委员会直接确定</w:t>
      </w:r>
      <w:r>
        <w:rPr>
          <w:rFonts w:hint="eastAsia" w:hAnsi="宋体" w:eastAsia="宋体" w:cs="宋体"/>
          <w:b/>
          <w:bCs/>
          <w:kern w:val="0"/>
          <w:szCs w:val="21"/>
          <w:lang w:val="zh-CN"/>
        </w:rPr>
        <w:t>中标人候选人排序</w:t>
      </w:r>
      <w:r>
        <w:rPr>
          <w:rFonts w:hint="eastAsia" w:eastAsia="宋体"/>
          <w:b/>
          <w:bCs/>
          <w:szCs w:val="21"/>
        </w:rPr>
        <w:t>。</w:t>
      </w:r>
      <w:r>
        <w:rPr>
          <w:rFonts w:hint="eastAsia" w:hAnsi="宋体" w:eastAsia="宋体" w:cs="宋体"/>
          <w:kern w:val="0"/>
          <w:szCs w:val="21"/>
          <w:lang w:val="zh-CN"/>
        </w:rPr>
        <w:t>评标委员会按照综合评分由高到低的顺序，确定中标候选人排序。</w:t>
      </w:r>
    </w:p>
    <w:p>
      <w:pPr>
        <w:spacing w:before="100" w:line="296" w:lineRule="auto"/>
        <w:rPr>
          <w:rFonts w:hAnsi="宋体" w:eastAsia="宋体" w:cs="宋体"/>
          <w:kern w:val="0"/>
          <w:szCs w:val="21"/>
          <w:lang w:val="zh-CN"/>
        </w:rPr>
      </w:pPr>
      <w:r>
        <w:rPr>
          <w:rFonts w:hAnsi="宋体" w:eastAsia="宋体" w:cs="宋体"/>
          <w:kern w:val="0"/>
          <w:szCs w:val="21"/>
        </w:rPr>
        <w:t xml:space="preserve">12.3 </w:t>
      </w:r>
      <w:r>
        <w:rPr>
          <w:rFonts w:hint="eastAsia" w:hAnsi="宋体" w:eastAsia="宋体" w:cs="宋体"/>
          <w:kern w:val="0"/>
          <w:szCs w:val="21"/>
          <w:lang w:val="zh-CN"/>
        </w:rPr>
        <w:t>若中标人放弃中标、</w:t>
      </w:r>
      <w:r>
        <w:rPr>
          <w:rFonts w:hint="eastAsia" w:eastAsia="宋体"/>
          <w:szCs w:val="21"/>
        </w:rPr>
        <w:t>因不可抗力不能履行合同、不按照招标文件要求提交履约担保，或者被查实存在影响中标结果的违法行为等情形，不符合中标条件的</w:t>
      </w:r>
      <w:r>
        <w:rPr>
          <w:rFonts w:hint="eastAsia" w:hAnsi="宋体" w:eastAsia="宋体" w:cs="宋体"/>
          <w:kern w:val="0"/>
          <w:szCs w:val="21"/>
          <w:lang w:val="zh-CN"/>
        </w:rPr>
        <w:t>，则其排名</w:t>
      </w:r>
      <w:r>
        <w:rPr>
          <w:rFonts w:hint="eastAsia" w:eastAsia="宋体"/>
        </w:rPr>
        <w:t>将按评分排序依次递补</w:t>
      </w:r>
      <w:r>
        <w:rPr>
          <w:rFonts w:hint="eastAsia" w:hAnsi="宋体" w:eastAsia="宋体" w:cs="宋体"/>
          <w:kern w:val="0"/>
          <w:szCs w:val="21"/>
          <w:lang w:val="zh-CN"/>
        </w:rPr>
        <w:t>。按上述原则排序。</w:t>
      </w:r>
      <w:r>
        <w:rPr>
          <w:rFonts w:hint="eastAsia" w:hAnsi="宋体" w:eastAsia="宋体" w:cs="宋体"/>
          <w:kern w:val="0"/>
          <w:szCs w:val="21"/>
        </w:rPr>
        <w:t>招标人也可以重新招标。</w:t>
      </w:r>
    </w:p>
    <w:p>
      <w:pPr>
        <w:numPr>
          <w:ilvl w:val="0"/>
          <w:numId w:val="46"/>
        </w:numPr>
        <w:tabs>
          <w:tab w:val="left" w:pos="907"/>
        </w:tabs>
        <w:spacing w:before="100" w:line="296" w:lineRule="auto"/>
        <w:outlineLvl w:val="1"/>
        <w:rPr>
          <w:rFonts w:hAnsi="宋体" w:eastAsia="宋体"/>
          <w:b/>
          <w:bCs/>
          <w:szCs w:val="21"/>
        </w:rPr>
      </w:pPr>
      <w:bookmarkStart w:id="952" w:name="_Toc2215"/>
      <w:bookmarkStart w:id="953" w:name="_Toc19074"/>
      <w:bookmarkStart w:id="954" w:name="_Toc32675"/>
      <w:bookmarkStart w:id="955" w:name="_Toc14203"/>
      <w:r>
        <w:rPr>
          <w:rFonts w:hAnsi="宋体" w:eastAsia="宋体"/>
          <w:b/>
          <w:bCs/>
          <w:szCs w:val="21"/>
        </w:rPr>
        <w:t>否决投标条件</w:t>
      </w:r>
      <w:bookmarkEnd w:id="952"/>
      <w:bookmarkEnd w:id="953"/>
      <w:bookmarkEnd w:id="954"/>
      <w:bookmarkEnd w:id="955"/>
    </w:p>
    <w:p>
      <w:pPr>
        <w:spacing w:before="100" w:line="296" w:lineRule="auto"/>
        <w:rPr>
          <w:rFonts w:eastAsia="宋体"/>
          <w:bCs/>
          <w:szCs w:val="21"/>
        </w:rPr>
      </w:pPr>
      <w:r>
        <w:rPr>
          <w:rFonts w:hAnsi="宋体" w:eastAsia="宋体"/>
          <w:bCs/>
          <w:szCs w:val="21"/>
        </w:rPr>
        <w:t>投标文件有下列情形之一的，评标委员会应按否决投标处理：</w:t>
      </w:r>
    </w:p>
    <w:p>
      <w:pPr>
        <w:tabs>
          <w:tab w:val="left" w:pos="630"/>
          <w:tab w:val="left" w:pos="851"/>
        </w:tabs>
        <w:spacing w:before="100" w:line="296" w:lineRule="auto"/>
        <w:rPr>
          <w:rFonts w:hAnsi="宋体" w:eastAsia="宋体"/>
          <w:bCs/>
          <w:szCs w:val="21"/>
        </w:rPr>
      </w:pPr>
      <w:bookmarkStart w:id="956" w:name="_Toc370933955"/>
      <w:bookmarkStart w:id="957" w:name="_Toc377919122"/>
      <w:bookmarkStart w:id="958" w:name="_Toc378511363"/>
      <w:bookmarkStart w:id="959" w:name="_Toc378511506"/>
      <w:r>
        <w:rPr>
          <w:rFonts w:hint="eastAsia" w:hAnsi="宋体" w:eastAsia="宋体"/>
          <w:bCs/>
          <w:szCs w:val="21"/>
        </w:rPr>
        <w:t>（1）不符合附表一《资格审查表》规定的；</w:t>
      </w:r>
    </w:p>
    <w:p>
      <w:pPr>
        <w:tabs>
          <w:tab w:val="left" w:pos="630"/>
          <w:tab w:val="left" w:pos="851"/>
        </w:tabs>
        <w:spacing w:before="100" w:line="296" w:lineRule="auto"/>
        <w:rPr>
          <w:rFonts w:hAnsi="宋体" w:eastAsia="宋体"/>
          <w:bCs/>
          <w:szCs w:val="21"/>
        </w:rPr>
      </w:pPr>
      <w:r>
        <w:rPr>
          <w:rFonts w:hint="eastAsia" w:hAnsi="宋体" w:eastAsia="宋体"/>
          <w:bCs/>
          <w:szCs w:val="21"/>
        </w:rPr>
        <w:t>（2）不符合附表二《初步评审表》规定的；</w:t>
      </w:r>
    </w:p>
    <w:p>
      <w:pPr>
        <w:tabs>
          <w:tab w:val="left" w:pos="630"/>
          <w:tab w:val="left" w:pos="851"/>
        </w:tabs>
        <w:spacing w:before="100" w:line="296" w:lineRule="auto"/>
        <w:rPr>
          <w:rFonts w:hAnsi="宋体" w:eastAsia="宋体"/>
          <w:bCs/>
          <w:szCs w:val="21"/>
        </w:rPr>
      </w:pPr>
      <w:r>
        <w:rPr>
          <w:rFonts w:hint="eastAsia" w:hAnsi="宋体" w:eastAsia="宋体"/>
          <w:bCs/>
          <w:szCs w:val="21"/>
        </w:rPr>
        <w:t>（3）法定代表人（负责人）未按规定出具授权委托书的(采用授权代理人形式的)；</w:t>
      </w:r>
    </w:p>
    <w:p>
      <w:pPr>
        <w:tabs>
          <w:tab w:val="left" w:pos="630"/>
          <w:tab w:val="left" w:pos="851"/>
        </w:tabs>
        <w:spacing w:before="100" w:line="296" w:lineRule="auto"/>
        <w:rPr>
          <w:rFonts w:hAnsi="宋体" w:eastAsia="宋体"/>
          <w:bCs/>
          <w:szCs w:val="21"/>
        </w:rPr>
      </w:pPr>
      <w:r>
        <w:rPr>
          <w:rFonts w:hint="eastAsia" w:hAnsi="宋体" w:eastAsia="宋体"/>
          <w:bCs/>
          <w:szCs w:val="21"/>
        </w:rPr>
        <w:t>（4）在投标文件中有虚假文件和/或资料的；</w:t>
      </w:r>
    </w:p>
    <w:p>
      <w:pPr>
        <w:tabs>
          <w:tab w:val="left" w:pos="630"/>
          <w:tab w:val="left" w:pos="851"/>
        </w:tabs>
        <w:spacing w:before="100" w:line="296" w:lineRule="auto"/>
        <w:rPr>
          <w:rFonts w:hAnsi="宋体" w:eastAsia="宋体"/>
          <w:bCs/>
          <w:szCs w:val="21"/>
        </w:rPr>
      </w:pPr>
      <w:r>
        <w:rPr>
          <w:rFonts w:hint="eastAsia" w:hAnsi="宋体" w:eastAsia="宋体"/>
          <w:bCs/>
          <w:szCs w:val="21"/>
        </w:rPr>
        <w:t>（5）投标文件中附有招标方不能接受的条件；</w:t>
      </w:r>
    </w:p>
    <w:p>
      <w:pPr>
        <w:tabs>
          <w:tab w:val="left" w:pos="630"/>
          <w:tab w:val="left" w:pos="851"/>
        </w:tabs>
        <w:spacing w:before="100" w:line="296" w:lineRule="auto"/>
        <w:rPr>
          <w:rFonts w:hAnsi="宋体" w:eastAsia="宋体"/>
          <w:bCs/>
          <w:szCs w:val="21"/>
        </w:rPr>
      </w:pPr>
      <w:r>
        <w:rPr>
          <w:rFonts w:hint="eastAsia" w:hAnsi="宋体" w:eastAsia="宋体"/>
          <w:bCs/>
          <w:szCs w:val="21"/>
        </w:rPr>
        <w:t>（6）投标人以经评标委员会评审认定为低于成本的报价竞标；</w:t>
      </w:r>
    </w:p>
    <w:p>
      <w:pPr>
        <w:tabs>
          <w:tab w:val="left" w:pos="420"/>
          <w:tab w:val="left" w:pos="630"/>
          <w:tab w:val="left" w:pos="851"/>
        </w:tabs>
        <w:spacing w:before="100" w:line="296" w:lineRule="auto"/>
        <w:ind w:left="420" w:hanging="420" w:hangingChars="200"/>
        <w:rPr>
          <w:rFonts w:hAnsi="宋体" w:eastAsia="宋体"/>
          <w:bCs/>
          <w:szCs w:val="21"/>
        </w:rPr>
      </w:pPr>
      <w:r>
        <w:rPr>
          <w:rFonts w:hint="eastAsia" w:hAnsi="宋体" w:eastAsia="宋体"/>
          <w:bCs/>
          <w:szCs w:val="21"/>
        </w:rPr>
        <w:t>（7）开标结束拒绝在开标记录上签字确认的；</w:t>
      </w:r>
    </w:p>
    <w:p>
      <w:pPr>
        <w:tabs>
          <w:tab w:val="left" w:pos="630"/>
          <w:tab w:val="left" w:pos="851"/>
        </w:tabs>
        <w:spacing w:before="100" w:line="296" w:lineRule="auto"/>
        <w:rPr>
          <w:rFonts w:hAnsi="宋体" w:eastAsia="宋体"/>
          <w:bCs/>
          <w:szCs w:val="21"/>
        </w:rPr>
      </w:pPr>
      <w:r>
        <w:rPr>
          <w:rFonts w:hint="eastAsia" w:hAnsi="宋体" w:eastAsia="宋体"/>
          <w:bCs/>
          <w:szCs w:val="21"/>
        </w:rPr>
        <w:t>（8）投标人扰乱会场秩序，经劝阻仍然无理取闹的；</w:t>
      </w:r>
    </w:p>
    <w:p>
      <w:pPr>
        <w:tabs>
          <w:tab w:val="left" w:pos="630"/>
          <w:tab w:val="left" w:pos="851"/>
        </w:tabs>
        <w:spacing w:before="100" w:line="296" w:lineRule="auto"/>
        <w:rPr>
          <w:rFonts w:hAnsi="宋体" w:eastAsia="宋体"/>
          <w:bCs/>
          <w:szCs w:val="21"/>
        </w:rPr>
      </w:pPr>
      <w:r>
        <w:rPr>
          <w:rFonts w:hint="eastAsia" w:hAnsi="宋体" w:eastAsia="宋体"/>
          <w:bCs/>
          <w:szCs w:val="21"/>
        </w:rPr>
        <w:t>（9）投标人未能按照评标委员会要求，对其投标文件进行澄清、说明和补正的；</w:t>
      </w:r>
    </w:p>
    <w:p>
      <w:pPr>
        <w:tabs>
          <w:tab w:val="left" w:pos="630"/>
          <w:tab w:val="left" w:pos="851"/>
        </w:tabs>
        <w:spacing w:before="100" w:line="296" w:lineRule="auto"/>
        <w:ind w:left="420" w:hanging="420" w:hangingChars="200"/>
        <w:rPr>
          <w:rFonts w:hAnsi="宋体" w:eastAsia="宋体"/>
          <w:bCs/>
          <w:szCs w:val="21"/>
        </w:rPr>
      </w:pPr>
      <w:r>
        <w:rPr>
          <w:rFonts w:hint="eastAsia" w:hAnsi="宋体" w:eastAsia="宋体"/>
          <w:bCs/>
          <w:szCs w:val="21"/>
        </w:rPr>
        <w:t>（10）投标人以他人的名义投标、串通投标、以行贿手段谋取中标或者以其他弄虚作假方式投标的</w:t>
      </w:r>
      <w:bookmarkEnd w:id="956"/>
      <w:bookmarkEnd w:id="957"/>
      <w:bookmarkEnd w:id="958"/>
      <w:bookmarkEnd w:id="959"/>
      <w:r>
        <w:rPr>
          <w:rFonts w:hint="eastAsia" w:hAnsi="宋体" w:eastAsia="宋体"/>
          <w:bCs/>
          <w:szCs w:val="21"/>
        </w:rPr>
        <w:t>；</w:t>
      </w:r>
    </w:p>
    <w:p>
      <w:pPr>
        <w:tabs>
          <w:tab w:val="left" w:pos="630"/>
          <w:tab w:val="left" w:pos="851"/>
        </w:tabs>
        <w:spacing w:before="100" w:line="296" w:lineRule="auto"/>
        <w:rPr>
          <w:rFonts w:hAnsi="宋体" w:eastAsia="宋体"/>
          <w:bCs/>
          <w:szCs w:val="21"/>
        </w:rPr>
      </w:pPr>
      <w:r>
        <w:rPr>
          <w:rFonts w:hint="eastAsia" w:hAnsi="宋体" w:eastAsia="宋体"/>
          <w:bCs/>
          <w:szCs w:val="21"/>
        </w:rPr>
        <w:t>（11）符合法律法规或地方主管部门规范性文件规定的其他否决投标情形的。</w:t>
      </w:r>
    </w:p>
    <w:p>
      <w:pPr>
        <w:tabs>
          <w:tab w:val="left" w:pos="630"/>
          <w:tab w:val="left" w:pos="851"/>
        </w:tabs>
        <w:spacing w:before="120" w:line="312" w:lineRule="auto"/>
        <w:rPr>
          <w:rFonts w:hAnsi="宋体" w:eastAsia="宋体"/>
          <w:bCs/>
          <w:szCs w:val="21"/>
        </w:rPr>
      </w:pPr>
    </w:p>
    <w:p>
      <w:pPr>
        <w:spacing w:before="120" w:line="360" w:lineRule="auto"/>
        <w:ind w:firstLine="420"/>
        <w:rPr>
          <w:rFonts w:hAnsi="宋体" w:eastAsia="宋体" w:cs="宋体"/>
          <w:szCs w:val="21"/>
        </w:rPr>
      </w:pPr>
    </w:p>
    <w:p>
      <w:pPr>
        <w:tabs>
          <w:tab w:val="left" w:pos="1260"/>
        </w:tabs>
        <w:spacing w:before="120" w:line="360" w:lineRule="auto"/>
        <w:ind w:firstLine="420"/>
        <w:rPr>
          <w:rFonts w:hAnsi="宋体" w:eastAsia="宋体" w:cs="宋体"/>
          <w:kern w:val="0"/>
          <w:szCs w:val="21"/>
          <w:lang w:val="zh-CN"/>
        </w:rPr>
        <w:sectPr>
          <w:type w:val="nextColumn"/>
          <w:pgSz w:w="11900" w:h="16840"/>
          <w:pgMar w:top="1080" w:right="1280" w:bottom="920" w:left="1480" w:header="893" w:footer="1605" w:gutter="0"/>
          <w:cols w:space="720" w:num="1"/>
          <w:titlePg/>
          <w:docGrid w:linePitch="312" w:charSpace="0"/>
        </w:sectPr>
      </w:pPr>
    </w:p>
    <w:p>
      <w:pPr>
        <w:pStyle w:val="5"/>
        <w:rPr>
          <w:rFonts w:ascii="宋体" w:hAnsi="宋体" w:eastAsia="宋体" w:cs="宋体"/>
          <w:sz w:val="24"/>
          <w:szCs w:val="24"/>
        </w:rPr>
      </w:pPr>
      <w:bookmarkStart w:id="960" w:name="_Toc3560"/>
      <w:bookmarkStart w:id="961" w:name="_Toc27869"/>
      <w:bookmarkStart w:id="962" w:name="_Toc375230852"/>
      <w:bookmarkStart w:id="963" w:name="_Toc10024"/>
      <w:bookmarkStart w:id="964" w:name="_Toc375212287"/>
      <w:r>
        <w:rPr>
          <w:rFonts w:hint="eastAsia" w:ascii="宋体" w:hAnsi="宋体" w:eastAsia="宋体" w:cs="宋体"/>
          <w:sz w:val="24"/>
          <w:szCs w:val="24"/>
        </w:rPr>
        <w:t>附表一 资格审查表</w:t>
      </w:r>
      <w:bookmarkEnd w:id="960"/>
      <w:bookmarkEnd w:id="961"/>
      <w:bookmarkEnd w:id="962"/>
      <w:bookmarkEnd w:id="963"/>
      <w:bookmarkEnd w:id="964"/>
    </w:p>
    <w:p>
      <w:pPr>
        <w:jc w:val="center"/>
        <w:rPr>
          <w:rFonts w:hAnsi="宋体" w:eastAsia="宋体" w:cs="宋体"/>
          <w:b/>
          <w:bCs/>
          <w:sz w:val="28"/>
          <w:szCs w:val="28"/>
        </w:rPr>
      </w:pPr>
      <w:r>
        <w:rPr>
          <w:rFonts w:hint="eastAsia" w:hAnsi="宋体" w:eastAsia="宋体" w:cs="宋体"/>
          <w:b/>
          <w:bCs/>
          <w:sz w:val="28"/>
          <w:szCs w:val="28"/>
        </w:rPr>
        <w:t>资格审查表</w:t>
      </w:r>
    </w:p>
    <w:tbl>
      <w:tblPr>
        <w:tblStyle w:val="47"/>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540"/>
        <w:gridCol w:w="1984"/>
        <w:gridCol w:w="1512"/>
        <w:gridCol w:w="1413"/>
        <w:gridCol w:w="2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blHeader/>
          <w:jc w:val="center"/>
        </w:trPr>
        <w:tc>
          <w:tcPr>
            <w:tcW w:w="773" w:type="dxa"/>
            <w:vAlign w:val="center"/>
          </w:tcPr>
          <w:p>
            <w:pPr>
              <w:widowControl/>
              <w:spacing w:line="320" w:lineRule="exact"/>
              <w:ind w:left="6" w:leftChars="1" w:right="-37" w:rightChars="-18" w:hanging="4" w:hangingChars="2"/>
              <w:jc w:val="center"/>
              <w:rPr>
                <w:rFonts w:ascii="Calibri" w:hAnsi="宋体" w:eastAsia="宋体" w:cs="宋体"/>
                <w:b/>
                <w:bCs/>
                <w:sz w:val="24"/>
                <w:szCs w:val="21"/>
              </w:rPr>
            </w:pPr>
            <w:r>
              <w:rPr>
                <w:rFonts w:hint="eastAsia" w:ascii="Calibri" w:hAnsi="宋体" w:eastAsia="宋体" w:cs="宋体"/>
                <w:b/>
                <w:bCs/>
                <w:szCs w:val="21"/>
              </w:rPr>
              <w:t>序号</w:t>
            </w:r>
          </w:p>
        </w:tc>
        <w:tc>
          <w:tcPr>
            <w:tcW w:w="1540" w:type="dxa"/>
            <w:vAlign w:val="center"/>
          </w:tcPr>
          <w:p>
            <w:pPr>
              <w:widowControl/>
              <w:spacing w:line="320" w:lineRule="exact"/>
              <w:ind w:left="6" w:leftChars="1" w:right="-37" w:rightChars="-18" w:hanging="4" w:hangingChars="2"/>
              <w:jc w:val="center"/>
              <w:rPr>
                <w:rFonts w:ascii="Calibri" w:hAnsi="宋体" w:eastAsia="宋体" w:cs="宋体"/>
                <w:b/>
                <w:bCs/>
                <w:szCs w:val="21"/>
              </w:rPr>
            </w:pPr>
            <w:r>
              <w:rPr>
                <w:rFonts w:hint="eastAsia" w:ascii="Calibri" w:hAnsi="宋体" w:eastAsia="宋体" w:cs="宋体"/>
                <w:b/>
                <w:bCs/>
                <w:szCs w:val="21"/>
              </w:rPr>
              <w:t>项目内容</w:t>
            </w:r>
          </w:p>
        </w:tc>
        <w:tc>
          <w:tcPr>
            <w:tcW w:w="1984" w:type="dxa"/>
            <w:vAlign w:val="center"/>
          </w:tcPr>
          <w:p>
            <w:pPr>
              <w:widowControl/>
              <w:spacing w:line="320" w:lineRule="exact"/>
              <w:ind w:left="6" w:leftChars="1" w:right="-37" w:rightChars="-18" w:hanging="4" w:hangingChars="2"/>
              <w:jc w:val="center"/>
              <w:rPr>
                <w:rFonts w:ascii="Calibri" w:hAnsi="宋体" w:eastAsia="宋体" w:cs="宋体"/>
                <w:b/>
                <w:bCs/>
                <w:szCs w:val="21"/>
              </w:rPr>
            </w:pPr>
            <w:r>
              <w:rPr>
                <w:rFonts w:hint="eastAsia" w:ascii="Calibri" w:hAnsi="宋体" w:eastAsia="宋体" w:cs="宋体"/>
                <w:b/>
                <w:bCs/>
                <w:szCs w:val="21"/>
              </w:rPr>
              <w:t>合格条件标准</w:t>
            </w:r>
          </w:p>
        </w:tc>
        <w:tc>
          <w:tcPr>
            <w:tcW w:w="1512" w:type="dxa"/>
            <w:vAlign w:val="center"/>
          </w:tcPr>
          <w:p>
            <w:pPr>
              <w:widowControl/>
              <w:spacing w:line="320" w:lineRule="exact"/>
              <w:ind w:left="6" w:leftChars="1" w:right="-37" w:rightChars="-18" w:hanging="4" w:hangingChars="2"/>
              <w:jc w:val="center"/>
              <w:rPr>
                <w:rFonts w:ascii="Calibri" w:hAnsi="宋体" w:eastAsia="宋体" w:cs="宋体"/>
                <w:b/>
                <w:bCs/>
                <w:szCs w:val="21"/>
              </w:rPr>
            </w:pPr>
            <w:r>
              <w:rPr>
                <w:rFonts w:hint="eastAsia" w:ascii="Calibri" w:hAnsi="宋体" w:eastAsia="宋体" w:cs="宋体"/>
                <w:b/>
                <w:bCs/>
                <w:szCs w:val="21"/>
              </w:rPr>
              <w:t>评审依据</w:t>
            </w:r>
          </w:p>
        </w:tc>
        <w:tc>
          <w:tcPr>
            <w:tcW w:w="1413" w:type="dxa"/>
            <w:vAlign w:val="center"/>
          </w:tcPr>
          <w:p>
            <w:pPr>
              <w:widowControl/>
              <w:spacing w:line="320" w:lineRule="exact"/>
              <w:ind w:left="2" w:leftChars="1" w:right="-37" w:rightChars="-18" w:firstLine="50" w:firstLineChars="24"/>
              <w:jc w:val="center"/>
              <w:rPr>
                <w:rFonts w:ascii="Calibri" w:hAnsi="宋体" w:eastAsia="宋体" w:cs="宋体"/>
                <w:b/>
                <w:bCs/>
                <w:szCs w:val="21"/>
              </w:rPr>
            </w:pPr>
            <w:r>
              <w:rPr>
                <w:rFonts w:hint="eastAsia" w:ascii="Calibri" w:hAnsi="宋体" w:eastAsia="宋体" w:cs="宋体"/>
                <w:b/>
                <w:bCs/>
                <w:szCs w:val="21"/>
              </w:rPr>
              <w:t>评审结果（合格/不合格）</w:t>
            </w:r>
          </w:p>
        </w:tc>
        <w:tc>
          <w:tcPr>
            <w:tcW w:w="2235" w:type="dxa"/>
            <w:vAlign w:val="center"/>
          </w:tcPr>
          <w:p>
            <w:pPr>
              <w:widowControl/>
              <w:spacing w:line="320" w:lineRule="exact"/>
              <w:ind w:left="6" w:leftChars="1" w:right="-37" w:rightChars="-18" w:hanging="4" w:hangingChars="2"/>
              <w:jc w:val="center"/>
              <w:rPr>
                <w:rFonts w:ascii="Calibri" w:hAnsi="宋体" w:eastAsia="宋体" w:cs="宋体"/>
                <w:b/>
                <w:bCs/>
                <w:szCs w:val="21"/>
              </w:rPr>
            </w:pPr>
            <w:r>
              <w:rPr>
                <w:rFonts w:hint="eastAsia" w:ascii="Calibri" w:hAnsi="宋体" w:eastAsia="宋体" w:cs="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7" w:hRule="atLeast"/>
          <w:jc w:val="center"/>
        </w:trPr>
        <w:tc>
          <w:tcPr>
            <w:tcW w:w="773" w:type="dxa"/>
            <w:vAlign w:val="center"/>
          </w:tcPr>
          <w:p>
            <w:pPr>
              <w:spacing w:line="320" w:lineRule="exact"/>
              <w:ind w:left="6" w:leftChars="1" w:right="-37" w:rightChars="-18" w:hanging="4" w:hangingChars="2"/>
              <w:jc w:val="center"/>
              <w:rPr>
                <w:rFonts w:ascii="Calibri" w:hAnsi="宋体" w:eastAsia="宋体" w:cs="宋体"/>
                <w:szCs w:val="21"/>
              </w:rPr>
            </w:pPr>
            <w:r>
              <w:rPr>
                <w:rFonts w:hint="eastAsia" w:ascii="Calibri" w:hAnsi="宋体" w:eastAsia="宋体" w:cs="宋体"/>
                <w:szCs w:val="21"/>
              </w:rPr>
              <w:t>1</w:t>
            </w:r>
          </w:p>
        </w:tc>
        <w:tc>
          <w:tcPr>
            <w:tcW w:w="1540" w:type="dxa"/>
            <w:vAlign w:val="center"/>
          </w:tcPr>
          <w:p>
            <w:pPr>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kern w:val="0"/>
                <w:sz w:val="24"/>
                <w:szCs w:val="21"/>
                <w:lang w:val="zh-CN"/>
              </w:rPr>
            </w:pPr>
            <w:r>
              <w:rPr>
                <w:rFonts w:hint="eastAsia" w:ascii="Calibri" w:hAnsi="宋体" w:eastAsia="宋体" w:cs="宋体"/>
                <w:kern w:val="0"/>
                <w:szCs w:val="21"/>
                <w:lang w:val="zh-CN"/>
              </w:rPr>
              <w:t>法定代表人（负责人）</w:t>
            </w:r>
            <w:r>
              <w:rPr>
                <w:rFonts w:hint="eastAsia" w:ascii="Calibri" w:hAnsi="宋体" w:eastAsia="宋体" w:cs="宋体"/>
                <w:kern w:val="0"/>
                <w:szCs w:val="21"/>
              </w:rPr>
              <w:t>或</w:t>
            </w:r>
            <w:r>
              <w:rPr>
                <w:rFonts w:hint="eastAsia" w:ascii="Calibri" w:hAnsi="宋体" w:eastAsia="宋体" w:cs="宋体"/>
                <w:kern w:val="0"/>
                <w:szCs w:val="21"/>
                <w:lang w:val="zh-CN"/>
              </w:rPr>
              <w:t>其授权代理人的身份证明材料</w:t>
            </w:r>
          </w:p>
        </w:tc>
        <w:tc>
          <w:tcPr>
            <w:tcW w:w="1984" w:type="dxa"/>
            <w:vAlign w:val="center"/>
          </w:tcPr>
          <w:p>
            <w:pPr>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法定代表人（负责人）身份有效【如法定代表人（负责人）无授权，亲自参加本项目投标的】;</w:t>
            </w:r>
          </w:p>
          <w:p>
            <w:pPr>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kern w:val="0"/>
                <w:sz w:val="24"/>
                <w:szCs w:val="21"/>
                <w:lang w:val="zh-CN"/>
              </w:rPr>
            </w:pPr>
            <w:r>
              <w:rPr>
                <w:rFonts w:hint="eastAsia" w:ascii="Calibri" w:hAnsi="宋体" w:eastAsia="宋体" w:cs="宋体"/>
                <w:szCs w:val="21"/>
              </w:rPr>
              <w:t>授权代理人身份有效。</w:t>
            </w:r>
          </w:p>
        </w:tc>
        <w:tc>
          <w:tcPr>
            <w:tcW w:w="1512" w:type="dxa"/>
            <w:vAlign w:val="center"/>
          </w:tcPr>
          <w:p>
            <w:pPr>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kern w:val="0"/>
                <w:sz w:val="24"/>
                <w:szCs w:val="21"/>
                <w:lang w:val="zh-CN"/>
              </w:rPr>
            </w:pPr>
            <w:r>
              <w:rPr>
                <w:rFonts w:hint="eastAsia" w:ascii="Calibri" w:hAnsi="宋体" w:eastAsia="宋体" w:cs="宋体"/>
                <w:kern w:val="0"/>
                <w:szCs w:val="21"/>
                <w:lang w:val="zh-CN"/>
              </w:rPr>
              <w:t>法定代表人（负责人）身份证复印件</w:t>
            </w:r>
            <w:r>
              <w:rPr>
                <w:rFonts w:hint="eastAsia" w:ascii="Calibri" w:hAnsi="宋体" w:eastAsia="宋体" w:cs="宋体"/>
                <w:kern w:val="0"/>
                <w:szCs w:val="21"/>
              </w:rPr>
              <w:t>(加盖公章)，或</w:t>
            </w:r>
            <w:r>
              <w:rPr>
                <w:rFonts w:hint="eastAsia" w:ascii="Calibri" w:hAnsi="宋体" w:eastAsia="宋体" w:cs="宋体"/>
                <w:kern w:val="0"/>
                <w:szCs w:val="21"/>
                <w:lang w:val="zh-CN"/>
              </w:rPr>
              <w:t>法定代表人（负责人）授权书</w:t>
            </w:r>
            <w:r>
              <w:rPr>
                <w:rFonts w:hint="eastAsia" w:ascii="Calibri" w:hAnsi="宋体" w:eastAsia="宋体" w:cs="宋体"/>
                <w:kern w:val="0"/>
                <w:szCs w:val="21"/>
              </w:rPr>
              <w:t>、法</w:t>
            </w:r>
            <w:r>
              <w:rPr>
                <w:rFonts w:hint="eastAsia" w:ascii="Calibri" w:hAnsi="宋体" w:eastAsia="宋体" w:cs="宋体"/>
                <w:kern w:val="0"/>
                <w:szCs w:val="21"/>
                <w:lang w:val="zh-CN"/>
              </w:rPr>
              <w:t>定代表人（负责人）</w:t>
            </w:r>
            <w:r>
              <w:rPr>
                <w:rFonts w:hint="eastAsia" w:ascii="Calibri" w:hAnsi="宋体" w:eastAsia="宋体" w:cs="宋体"/>
                <w:kern w:val="0"/>
                <w:szCs w:val="21"/>
              </w:rPr>
              <w:t>及被授权人</w:t>
            </w:r>
            <w:r>
              <w:rPr>
                <w:rFonts w:hint="eastAsia" w:ascii="Calibri" w:hAnsi="宋体" w:eastAsia="宋体" w:cs="宋体"/>
                <w:kern w:val="0"/>
                <w:szCs w:val="21"/>
                <w:lang w:val="zh-CN"/>
              </w:rPr>
              <w:t>身份证复印件</w:t>
            </w:r>
            <w:r>
              <w:rPr>
                <w:rFonts w:hint="eastAsia" w:ascii="Calibri" w:hAnsi="宋体" w:eastAsia="宋体" w:cs="宋体"/>
                <w:kern w:val="0"/>
                <w:szCs w:val="21"/>
              </w:rPr>
              <w:t>(加盖公章)。</w:t>
            </w:r>
          </w:p>
        </w:tc>
        <w:tc>
          <w:tcPr>
            <w:tcW w:w="1413" w:type="dxa"/>
            <w:vAlign w:val="center"/>
          </w:tcPr>
          <w:p>
            <w:pPr>
              <w:spacing w:line="320" w:lineRule="exact"/>
              <w:ind w:left="6" w:leftChars="1" w:right="-37" w:rightChars="-18" w:hanging="4" w:hangingChars="2"/>
              <w:rPr>
                <w:rFonts w:ascii="Calibri" w:hAnsi="宋体" w:eastAsia="宋体" w:cs="宋体"/>
                <w:kern w:val="0"/>
                <w:szCs w:val="21"/>
                <w:lang w:val="zh-CN"/>
              </w:rPr>
            </w:pPr>
          </w:p>
        </w:tc>
        <w:tc>
          <w:tcPr>
            <w:tcW w:w="2235" w:type="dxa"/>
            <w:vAlign w:val="center"/>
          </w:tcPr>
          <w:p>
            <w:pPr>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kern w:val="0"/>
                <w:sz w:val="24"/>
                <w:szCs w:val="21"/>
                <w:lang w:val="zh-CN"/>
              </w:rPr>
            </w:pPr>
            <w:r>
              <w:rPr>
                <w:rFonts w:hint="eastAsia" w:ascii="Calibri" w:hAnsi="宋体" w:eastAsia="宋体" w:cs="宋体"/>
                <w:szCs w:val="21"/>
              </w:rPr>
              <w:t>如法定代表人（负责人）亲自参加本项目投标的，提供</w:t>
            </w:r>
            <w:r>
              <w:rPr>
                <w:rFonts w:hint="eastAsia" w:ascii="Calibri" w:hAnsi="宋体" w:eastAsia="宋体" w:cs="宋体"/>
                <w:kern w:val="0"/>
                <w:szCs w:val="21"/>
                <w:lang w:val="zh-CN"/>
              </w:rPr>
              <w:t>法定代表人（负责人）身份证复印件</w:t>
            </w:r>
            <w:r>
              <w:rPr>
                <w:rFonts w:hint="eastAsia" w:ascii="Calibri" w:hAnsi="宋体" w:eastAsia="宋体" w:cs="宋体"/>
                <w:kern w:val="0"/>
                <w:szCs w:val="21"/>
              </w:rPr>
              <w:t>(加盖公章)</w:t>
            </w:r>
            <w:r>
              <w:rPr>
                <w:rFonts w:hint="eastAsia" w:ascii="Calibri" w:hAnsi="宋体" w:eastAsia="宋体" w:cs="宋体"/>
                <w:kern w:val="0"/>
                <w:szCs w:val="21"/>
                <w:lang w:val="zh-CN"/>
              </w:rPr>
              <w:t>；</w:t>
            </w:r>
          </w:p>
          <w:p>
            <w:pPr>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kern w:val="0"/>
                <w:sz w:val="24"/>
                <w:szCs w:val="21"/>
                <w:lang w:val="zh-CN"/>
              </w:rPr>
            </w:pPr>
            <w:r>
              <w:rPr>
                <w:rFonts w:hint="eastAsia" w:ascii="Calibri" w:hAnsi="宋体" w:eastAsia="宋体" w:cs="宋体"/>
                <w:kern w:val="0"/>
                <w:szCs w:val="21"/>
              </w:rPr>
              <w:t>如授权投标时，提供</w:t>
            </w:r>
            <w:r>
              <w:rPr>
                <w:rFonts w:hint="eastAsia" w:ascii="Calibri" w:hAnsi="宋体" w:eastAsia="宋体" w:cs="宋体"/>
                <w:kern w:val="0"/>
                <w:szCs w:val="21"/>
                <w:lang w:val="zh-CN"/>
              </w:rPr>
              <w:t>法定代表人（负责人）授权书、法定代表人（负责人）</w:t>
            </w:r>
            <w:r>
              <w:rPr>
                <w:rFonts w:hint="eastAsia" w:ascii="Calibri" w:hAnsi="宋体" w:eastAsia="宋体" w:cs="宋体"/>
                <w:kern w:val="0"/>
                <w:szCs w:val="21"/>
              </w:rPr>
              <w:t>及被授权人</w:t>
            </w:r>
            <w:r>
              <w:rPr>
                <w:rFonts w:hint="eastAsia" w:ascii="Calibri" w:hAnsi="宋体" w:eastAsia="宋体" w:cs="宋体"/>
                <w:kern w:val="0"/>
                <w:szCs w:val="21"/>
                <w:lang w:val="zh-CN"/>
              </w:rPr>
              <w:t>身份证复印件</w:t>
            </w:r>
            <w:r>
              <w:rPr>
                <w:rFonts w:hint="eastAsia" w:ascii="Calibri" w:hAnsi="宋体" w:eastAsia="宋体" w:cs="宋体"/>
                <w:kern w:val="0"/>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773" w:type="dxa"/>
            <w:vAlign w:val="center"/>
          </w:tcPr>
          <w:p>
            <w:pPr>
              <w:widowControl/>
              <w:spacing w:line="320" w:lineRule="exact"/>
              <w:ind w:left="6" w:leftChars="1" w:right="-37" w:rightChars="-18" w:hanging="4" w:hangingChars="2"/>
              <w:jc w:val="center"/>
              <w:rPr>
                <w:rFonts w:ascii="Calibri" w:hAnsi="宋体" w:eastAsia="宋体" w:cs="宋体"/>
                <w:sz w:val="24"/>
                <w:szCs w:val="21"/>
              </w:rPr>
            </w:pPr>
            <w:r>
              <w:rPr>
                <w:rFonts w:hint="eastAsia" w:ascii="Calibri" w:hAnsi="宋体" w:eastAsia="宋体" w:cs="宋体"/>
                <w:szCs w:val="21"/>
              </w:rPr>
              <w:t>2</w:t>
            </w:r>
          </w:p>
        </w:tc>
        <w:tc>
          <w:tcPr>
            <w:tcW w:w="1540" w:type="dxa"/>
            <w:vAlign w:val="center"/>
          </w:tcPr>
          <w:p>
            <w:pPr>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营业执照</w:t>
            </w:r>
          </w:p>
        </w:tc>
        <w:tc>
          <w:tcPr>
            <w:tcW w:w="1984" w:type="dxa"/>
            <w:vAlign w:val="center"/>
          </w:tcPr>
          <w:p>
            <w:pPr>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hAnsi="宋体" w:eastAsia="宋体" w:cs="宋体"/>
                <w:szCs w:val="21"/>
              </w:rPr>
              <w:t>须是按照中国有关规定注册成立且持有合法有效的营业执照</w:t>
            </w:r>
            <w:r>
              <w:rPr>
                <w:rFonts w:hint="eastAsia" w:eastAsia="宋体"/>
                <w:szCs w:val="21"/>
              </w:rPr>
              <w:t>。</w:t>
            </w:r>
          </w:p>
        </w:tc>
        <w:tc>
          <w:tcPr>
            <w:tcW w:w="1512" w:type="dxa"/>
            <w:vAlign w:val="center"/>
          </w:tcPr>
          <w:p>
            <w:pPr>
              <w:tabs>
                <w:tab w:val="left" w:pos="420"/>
              </w:tabs>
              <w:overflowPunct w:val="0"/>
              <w:autoSpaceDE w:val="0"/>
              <w:autoSpaceDN w:val="0"/>
              <w:adjustRightInd w:val="0"/>
              <w:snapToGrid w:val="0"/>
              <w:spacing w:line="320" w:lineRule="exact"/>
              <w:ind w:left="6" w:leftChars="1" w:right="-37" w:rightChars="-18" w:hanging="4" w:hangingChars="2"/>
              <w:jc w:val="center"/>
              <w:textAlignment w:val="baseline"/>
              <w:rPr>
                <w:rFonts w:ascii="Calibri" w:hAnsi="宋体" w:eastAsia="宋体" w:cs="宋体"/>
                <w:sz w:val="24"/>
                <w:szCs w:val="21"/>
              </w:rPr>
            </w:pPr>
            <w:r>
              <w:rPr>
                <w:rFonts w:hint="eastAsia" w:ascii="Calibri" w:hAnsi="宋体" w:eastAsia="宋体" w:cs="宋体"/>
                <w:szCs w:val="21"/>
              </w:rPr>
              <w:t>证书</w:t>
            </w:r>
          </w:p>
        </w:tc>
        <w:tc>
          <w:tcPr>
            <w:tcW w:w="1413" w:type="dxa"/>
            <w:vAlign w:val="center"/>
          </w:tcPr>
          <w:p>
            <w:pPr>
              <w:spacing w:line="320" w:lineRule="exact"/>
              <w:ind w:left="6" w:leftChars="1" w:right="-37" w:rightChars="-18" w:hanging="4" w:hangingChars="2"/>
              <w:jc w:val="center"/>
              <w:rPr>
                <w:rFonts w:ascii="Calibri" w:hAnsi="宋体" w:eastAsia="宋体" w:cs="宋体"/>
                <w:szCs w:val="21"/>
              </w:rPr>
            </w:pPr>
          </w:p>
        </w:tc>
        <w:tc>
          <w:tcPr>
            <w:tcW w:w="2235" w:type="dxa"/>
            <w:vAlign w:val="center"/>
          </w:tcPr>
          <w:p>
            <w:pPr>
              <w:tabs>
                <w:tab w:val="left" w:pos="420"/>
              </w:tabs>
              <w:overflowPunct w:val="0"/>
              <w:autoSpaceDE w:val="0"/>
              <w:autoSpaceDN w:val="0"/>
              <w:adjustRightInd w:val="0"/>
              <w:snapToGrid w:val="0"/>
              <w:spacing w:line="320" w:lineRule="exact"/>
              <w:ind w:left="-65" w:leftChars="-33"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提供合法有效的营业执照复印件加盖公章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jc w:val="center"/>
        </w:trPr>
        <w:tc>
          <w:tcPr>
            <w:tcW w:w="773" w:type="dxa"/>
            <w:shd w:val="clear" w:color="auto" w:fill="auto"/>
            <w:vAlign w:val="center"/>
          </w:tcPr>
          <w:p>
            <w:pPr>
              <w:widowControl/>
              <w:spacing w:line="320" w:lineRule="exact"/>
              <w:ind w:left="6" w:leftChars="1" w:right="-37" w:rightChars="-18" w:hanging="4" w:hangingChars="2"/>
              <w:jc w:val="center"/>
              <w:rPr>
                <w:rFonts w:ascii="Calibri" w:hAnsi="宋体" w:eastAsia="宋体" w:cs="宋体"/>
                <w:sz w:val="24"/>
                <w:szCs w:val="21"/>
              </w:rPr>
            </w:pPr>
            <w:r>
              <w:rPr>
                <w:rFonts w:hint="eastAsia" w:ascii="Calibri" w:hAnsi="宋体" w:eastAsia="宋体" w:cs="宋体"/>
                <w:szCs w:val="21"/>
              </w:rPr>
              <w:t>3</w:t>
            </w:r>
          </w:p>
        </w:tc>
        <w:tc>
          <w:tcPr>
            <w:tcW w:w="1540" w:type="dxa"/>
            <w:shd w:val="clear" w:color="auto" w:fill="auto"/>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eastAsia="宋体"/>
                <w:szCs w:val="21"/>
              </w:rPr>
              <w:t>保险经营许可资格</w:t>
            </w:r>
          </w:p>
        </w:tc>
        <w:tc>
          <w:tcPr>
            <w:tcW w:w="1984" w:type="dxa"/>
            <w:shd w:val="clear" w:color="auto" w:fill="FFFFFF"/>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eastAsia="宋体"/>
                <w:szCs w:val="21"/>
              </w:rPr>
              <w:t>投标人须具备中国银保监会及其派出机构颁发的保险许可资格，且业务范围至少包含安全生产责任保险条款且资格合格、有效。</w:t>
            </w:r>
          </w:p>
        </w:tc>
        <w:tc>
          <w:tcPr>
            <w:tcW w:w="1512" w:type="dxa"/>
            <w:shd w:val="clear" w:color="auto" w:fill="FFFFFF"/>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jc w:val="center"/>
              <w:textAlignment w:val="baseline"/>
              <w:rPr>
                <w:rFonts w:ascii="Calibri" w:hAnsi="宋体" w:eastAsia="宋体" w:cs="宋体"/>
                <w:sz w:val="24"/>
                <w:szCs w:val="21"/>
              </w:rPr>
            </w:pPr>
            <w:r>
              <w:rPr>
                <w:rFonts w:hint="eastAsia" w:ascii="Calibri" w:hAnsi="宋体" w:eastAsia="宋体" w:cs="宋体"/>
                <w:szCs w:val="21"/>
              </w:rPr>
              <w:t>证书</w:t>
            </w:r>
          </w:p>
        </w:tc>
        <w:tc>
          <w:tcPr>
            <w:tcW w:w="1413" w:type="dxa"/>
            <w:shd w:val="clear" w:color="auto" w:fill="FFFFFF"/>
            <w:vAlign w:val="center"/>
          </w:tcPr>
          <w:p>
            <w:pPr>
              <w:widowControl/>
              <w:spacing w:line="320" w:lineRule="exact"/>
              <w:ind w:left="6" w:leftChars="1" w:right="-37" w:rightChars="-18" w:hanging="4" w:hangingChars="2"/>
              <w:jc w:val="center"/>
              <w:rPr>
                <w:rFonts w:ascii="Calibri" w:hAnsi="宋体" w:eastAsia="宋体" w:cs="宋体"/>
                <w:szCs w:val="21"/>
              </w:rPr>
            </w:pPr>
          </w:p>
        </w:tc>
        <w:tc>
          <w:tcPr>
            <w:tcW w:w="2235" w:type="dxa"/>
            <w:shd w:val="clear" w:color="auto" w:fill="FFFFFF"/>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Cs w:val="21"/>
              </w:rPr>
            </w:pPr>
          </w:p>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eastAsia="宋体"/>
                <w:szCs w:val="21"/>
              </w:rPr>
              <w:t>提供合法</w:t>
            </w:r>
            <w:r>
              <w:rPr>
                <w:rFonts w:eastAsia="宋体"/>
                <w:szCs w:val="21"/>
              </w:rPr>
              <w:t>有效的</w:t>
            </w:r>
            <w:r>
              <w:rPr>
                <w:rFonts w:hint="eastAsia" w:eastAsia="宋体"/>
                <w:szCs w:val="21"/>
              </w:rPr>
              <w:t>保险许可证复印件，且业务范围至少包含安全生产责任保险条款且资格合格、有效，</w:t>
            </w:r>
            <w:r>
              <w:rPr>
                <w:rFonts w:hint="eastAsia" w:ascii="Calibri" w:hAnsi="宋体" w:eastAsia="宋体" w:cs="宋体"/>
                <w:szCs w:val="21"/>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3" w:hRule="atLeast"/>
          <w:jc w:val="center"/>
        </w:trPr>
        <w:tc>
          <w:tcPr>
            <w:tcW w:w="773" w:type="dxa"/>
            <w:shd w:val="clear" w:color="auto" w:fill="auto"/>
            <w:vAlign w:val="center"/>
          </w:tcPr>
          <w:p>
            <w:pPr>
              <w:widowControl/>
              <w:spacing w:line="320" w:lineRule="exact"/>
              <w:ind w:left="6" w:leftChars="1" w:right="-37" w:rightChars="-18" w:hanging="4" w:hangingChars="2"/>
              <w:jc w:val="center"/>
              <w:rPr>
                <w:rFonts w:ascii="Calibri" w:hAnsi="宋体" w:eastAsia="宋体" w:cs="宋体"/>
                <w:sz w:val="24"/>
                <w:szCs w:val="21"/>
              </w:rPr>
            </w:pPr>
            <w:r>
              <w:rPr>
                <w:rFonts w:hint="eastAsia" w:ascii="Calibri" w:hAnsi="宋体" w:eastAsia="宋体" w:cs="宋体"/>
                <w:szCs w:val="21"/>
              </w:rPr>
              <w:t>4</w:t>
            </w:r>
          </w:p>
        </w:tc>
        <w:tc>
          <w:tcPr>
            <w:tcW w:w="1540" w:type="dxa"/>
            <w:shd w:val="clear" w:color="auto" w:fill="auto"/>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承保业绩</w:t>
            </w:r>
          </w:p>
        </w:tc>
        <w:tc>
          <w:tcPr>
            <w:tcW w:w="1984" w:type="dxa"/>
            <w:shd w:val="clear" w:color="auto" w:fill="FFFFFF"/>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投标人近5年内（201</w:t>
            </w:r>
            <w:r>
              <w:rPr>
                <w:rFonts w:ascii="Calibri" w:hAnsi="宋体" w:eastAsia="宋体" w:cs="宋体"/>
                <w:szCs w:val="21"/>
              </w:rPr>
              <w:t>7</w:t>
            </w:r>
            <w:r>
              <w:rPr>
                <w:rFonts w:hint="eastAsia" w:ascii="Calibri" w:hAnsi="宋体" w:eastAsia="宋体" w:cs="宋体"/>
                <w:szCs w:val="21"/>
              </w:rPr>
              <w:t>年1月1日至今，</w:t>
            </w:r>
            <w:r>
              <w:rPr>
                <w:rFonts w:hint="eastAsia" w:ascii="宋体" w:hAnsi="宋体" w:eastAsia="宋体" w:cs="宋体"/>
                <w:szCs w:val="21"/>
              </w:rPr>
              <w:t>以合同签订时间为准</w:t>
            </w:r>
            <w:r>
              <w:rPr>
                <w:rFonts w:hint="eastAsia" w:ascii="Calibri" w:hAnsi="宋体" w:eastAsia="宋体" w:cs="宋体"/>
                <w:szCs w:val="21"/>
              </w:rPr>
              <w:t>）须具有至少一项安全生产责任险承保业绩（法人单位下设分支机构的业绩视为投标人的业绩）。</w:t>
            </w:r>
          </w:p>
        </w:tc>
        <w:tc>
          <w:tcPr>
            <w:tcW w:w="1512" w:type="dxa"/>
            <w:shd w:val="clear" w:color="auto" w:fill="FFFFFF"/>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jc w:val="center"/>
              <w:textAlignment w:val="baseline"/>
              <w:rPr>
                <w:rFonts w:ascii="Calibri" w:hAnsi="宋体" w:eastAsia="宋体" w:cs="宋体"/>
                <w:sz w:val="24"/>
                <w:szCs w:val="21"/>
              </w:rPr>
            </w:pPr>
            <w:r>
              <w:rPr>
                <w:rFonts w:hint="eastAsia" w:ascii="Calibri" w:hAnsi="宋体" w:eastAsia="宋体" w:cs="宋体"/>
                <w:szCs w:val="21"/>
              </w:rPr>
              <w:t>合同、协议或保险单（正本复印件）</w:t>
            </w:r>
          </w:p>
        </w:tc>
        <w:tc>
          <w:tcPr>
            <w:tcW w:w="1413" w:type="dxa"/>
            <w:shd w:val="clear" w:color="auto" w:fill="FFFFFF"/>
            <w:vAlign w:val="center"/>
          </w:tcPr>
          <w:p>
            <w:pPr>
              <w:widowControl/>
              <w:spacing w:line="320" w:lineRule="exact"/>
              <w:ind w:left="6" w:leftChars="1" w:right="-37" w:rightChars="-18" w:hanging="4" w:hangingChars="2"/>
              <w:jc w:val="center"/>
              <w:rPr>
                <w:rFonts w:ascii="Calibri" w:hAnsi="宋体" w:eastAsia="宋体" w:cs="宋体"/>
                <w:szCs w:val="21"/>
              </w:rPr>
            </w:pPr>
          </w:p>
        </w:tc>
        <w:tc>
          <w:tcPr>
            <w:tcW w:w="2235" w:type="dxa"/>
            <w:shd w:val="clear" w:color="auto" w:fill="FFFFFF"/>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提供一项业绩合同、协议或保险单复印件（能够</w:t>
            </w:r>
            <w:r>
              <w:rPr>
                <w:rFonts w:hint="eastAsia" w:ascii="宋体" w:hAnsi="宋体" w:eastAsia="宋体" w:cs="宋体"/>
                <w:szCs w:val="21"/>
              </w:rPr>
              <w:t>体现项目名称、承保公司、承保身份、总保险金额和保险期限）</w:t>
            </w:r>
            <w:r>
              <w:rPr>
                <w:rFonts w:hint="eastAsia" w:ascii="Calibri" w:hAnsi="宋体" w:eastAsia="宋体" w:cs="宋体"/>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5" w:hRule="atLeast"/>
          <w:jc w:val="center"/>
        </w:trPr>
        <w:tc>
          <w:tcPr>
            <w:tcW w:w="773" w:type="dxa"/>
            <w:shd w:val="clear" w:color="auto" w:fill="auto"/>
            <w:vAlign w:val="center"/>
          </w:tcPr>
          <w:p>
            <w:pPr>
              <w:widowControl/>
              <w:spacing w:line="320" w:lineRule="exact"/>
              <w:ind w:left="6" w:leftChars="1" w:right="-37" w:rightChars="-18" w:hanging="4" w:hangingChars="2"/>
              <w:jc w:val="center"/>
              <w:rPr>
                <w:rFonts w:ascii="Calibri" w:hAnsi="宋体" w:eastAsia="宋体" w:cs="宋体"/>
                <w:sz w:val="24"/>
                <w:szCs w:val="21"/>
              </w:rPr>
            </w:pPr>
            <w:r>
              <w:rPr>
                <w:rFonts w:hint="eastAsia" w:ascii="Calibri" w:hAnsi="宋体" w:eastAsia="宋体" w:cs="宋体"/>
                <w:szCs w:val="21"/>
              </w:rPr>
              <w:t>5</w:t>
            </w:r>
          </w:p>
        </w:tc>
        <w:tc>
          <w:tcPr>
            <w:tcW w:w="1540" w:type="dxa"/>
            <w:shd w:val="clear" w:color="auto" w:fill="auto"/>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项目负责人资格</w:t>
            </w:r>
          </w:p>
        </w:tc>
        <w:tc>
          <w:tcPr>
            <w:tcW w:w="1984" w:type="dxa"/>
            <w:shd w:val="clear" w:color="auto" w:fill="FFFFFF"/>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eastAsia="宋体"/>
                <w:szCs w:val="21"/>
              </w:rPr>
              <w:t>须获得投标人就本保单授予不低于每次事故RMB500万元乘以所报承保份额的独立理赔决策权，且具有5年以上保险工作经历。</w:t>
            </w:r>
          </w:p>
        </w:tc>
        <w:tc>
          <w:tcPr>
            <w:tcW w:w="1512" w:type="dxa"/>
            <w:shd w:val="clear" w:color="auto" w:fill="FFFFFF"/>
            <w:vAlign w:val="center"/>
          </w:tcPr>
          <w:p>
            <w:pPr>
              <w:widowControl/>
              <w:tabs>
                <w:tab w:val="left" w:pos="420"/>
              </w:tabs>
              <w:wordWrap w:val="0"/>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投标人</w:t>
            </w:r>
            <w:r>
              <w:rPr>
                <w:rFonts w:hint="eastAsia" w:eastAsia="宋体"/>
                <w:szCs w:val="21"/>
              </w:rPr>
              <w:t>就本保单</w:t>
            </w:r>
            <w:r>
              <w:rPr>
                <w:rFonts w:hint="eastAsia" w:ascii="Calibri" w:hAnsi="宋体" w:eastAsia="宋体" w:cs="宋体"/>
                <w:szCs w:val="21"/>
              </w:rPr>
              <w:t>出具授予不低于每次事故RMB500万元乘以所报承保份额的独立理赔决策权授权书，工作年限证明。</w:t>
            </w:r>
          </w:p>
        </w:tc>
        <w:tc>
          <w:tcPr>
            <w:tcW w:w="1413" w:type="dxa"/>
            <w:shd w:val="clear" w:color="auto" w:fill="FFFFFF"/>
            <w:vAlign w:val="center"/>
          </w:tcPr>
          <w:p>
            <w:pPr>
              <w:widowControl/>
              <w:spacing w:line="320" w:lineRule="exact"/>
              <w:ind w:left="6" w:leftChars="1" w:right="-37" w:rightChars="-18" w:hanging="4" w:hangingChars="2"/>
              <w:jc w:val="center"/>
              <w:rPr>
                <w:rFonts w:ascii="Calibri" w:hAnsi="宋体" w:eastAsia="宋体" w:cs="宋体"/>
                <w:szCs w:val="21"/>
              </w:rPr>
            </w:pPr>
          </w:p>
        </w:tc>
        <w:tc>
          <w:tcPr>
            <w:tcW w:w="2235" w:type="dxa"/>
            <w:shd w:val="clear" w:color="auto" w:fill="FFFFFF"/>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提供加盖公章的授权书及工作年限证明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Align w:val="center"/>
          </w:tcPr>
          <w:p>
            <w:pPr>
              <w:widowControl/>
              <w:spacing w:line="320" w:lineRule="exact"/>
              <w:ind w:left="6" w:leftChars="1" w:right="-37" w:rightChars="-18" w:hanging="4" w:hangingChars="2"/>
              <w:jc w:val="center"/>
              <w:rPr>
                <w:rFonts w:ascii="Calibri" w:hAnsi="宋体" w:eastAsia="宋体" w:cs="宋体"/>
                <w:sz w:val="24"/>
                <w:szCs w:val="21"/>
              </w:rPr>
            </w:pPr>
            <w:r>
              <w:rPr>
                <w:rFonts w:hint="eastAsia" w:ascii="Calibri" w:hAnsi="宋体" w:eastAsia="宋体" w:cs="宋体"/>
                <w:szCs w:val="21"/>
              </w:rPr>
              <w:t>6</w:t>
            </w:r>
          </w:p>
        </w:tc>
        <w:tc>
          <w:tcPr>
            <w:tcW w:w="1540" w:type="dxa"/>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企业经营状况及履约情况承诺书</w:t>
            </w:r>
          </w:p>
        </w:tc>
        <w:tc>
          <w:tcPr>
            <w:tcW w:w="1984" w:type="dxa"/>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没有处于被责令停业，投标资格被取消，财产被接管、冻结，破产状态。没有认定在最近三年内（201</w:t>
            </w:r>
            <w:r>
              <w:rPr>
                <w:rFonts w:ascii="Calibri" w:hAnsi="宋体" w:eastAsia="宋体" w:cs="宋体"/>
                <w:szCs w:val="21"/>
              </w:rPr>
              <w:t>9</w:t>
            </w:r>
            <w:r>
              <w:rPr>
                <w:rFonts w:hint="eastAsia" w:ascii="Calibri" w:hAnsi="宋体" w:eastAsia="宋体" w:cs="宋体"/>
                <w:szCs w:val="21"/>
              </w:rPr>
              <w:t>年1月1日至今）没有骗取中标和严重违约及较大责任事故的情况。</w:t>
            </w:r>
          </w:p>
        </w:tc>
        <w:tc>
          <w:tcPr>
            <w:tcW w:w="1512" w:type="dxa"/>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jc w:val="center"/>
              <w:textAlignment w:val="baseline"/>
              <w:rPr>
                <w:rFonts w:ascii="Calibri" w:hAnsi="宋体" w:eastAsia="宋体" w:cs="宋体"/>
                <w:sz w:val="24"/>
                <w:szCs w:val="21"/>
              </w:rPr>
            </w:pPr>
            <w:r>
              <w:rPr>
                <w:rFonts w:hint="eastAsia" w:ascii="Calibri" w:hAnsi="宋体" w:eastAsia="宋体" w:cs="宋体"/>
                <w:szCs w:val="21"/>
              </w:rPr>
              <w:t>承诺书原件</w:t>
            </w:r>
          </w:p>
        </w:tc>
        <w:tc>
          <w:tcPr>
            <w:tcW w:w="1413" w:type="dxa"/>
            <w:vAlign w:val="center"/>
          </w:tcPr>
          <w:p>
            <w:pPr>
              <w:widowControl/>
              <w:spacing w:line="320" w:lineRule="exact"/>
              <w:ind w:left="6" w:leftChars="1" w:right="-37" w:rightChars="-18" w:hanging="4" w:hangingChars="2"/>
              <w:jc w:val="center"/>
              <w:rPr>
                <w:rFonts w:ascii="Calibri" w:hAnsi="宋体" w:eastAsia="宋体" w:cs="宋体"/>
                <w:szCs w:val="21"/>
              </w:rPr>
            </w:pPr>
          </w:p>
        </w:tc>
        <w:tc>
          <w:tcPr>
            <w:tcW w:w="2235" w:type="dxa"/>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提供加盖公章和</w:t>
            </w:r>
            <w:r>
              <w:rPr>
                <w:rFonts w:hint="eastAsia" w:hAnsi="宋体" w:eastAsia="宋体" w:cs="宋体"/>
                <w:szCs w:val="21"/>
                <w:lang w:val="zh-CN"/>
              </w:rPr>
              <w:t>法定代表人（负责人）</w:t>
            </w:r>
            <w:r>
              <w:rPr>
                <w:rFonts w:hint="eastAsia" w:ascii="Calibri" w:hAnsi="宋体" w:eastAsia="宋体" w:cs="宋体"/>
                <w:szCs w:val="21"/>
              </w:rPr>
              <w:t>或授权代理人签字或盖章的承诺书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3" w:type="dxa"/>
            <w:vAlign w:val="center"/>
          </w:tcPr>
          <w:p>
            <w:pPr>
              <w:widowControl/>
              <w:spacing w:line="320" w:lineRule="exact"/>
              <w:ind w:left="6" w:leftChars="1" w:right="-37" w:rightChars="-18" w:hanging="4" w:hangingChars="2"/>
              <w:jc w:val="center"/>
              <w:rPr>
                <w:rFonts w:ascii="Calibri" w:hAnsi="宋体" w:eastAsia="宋体" w:cs="宋体"/>
                <w:sz w:val="24"/>
                <w:szCs w:val="21"/>
              </w:rPr>
            </w:pPr>
            <w:r>
              <w:rPr>
                <w:rFonts w:hint="eastAsia" w:ascii="Calibri" w:hAnsi="宋体" w:eastAsia="宋体" w:cs="宋体"/>
                <w:szCs w:val="21"/>
              </w:rPr>
              <w:t>7</w:t>
            </w:r>
          </w:p>
        </w:tc>
        <w:tc>
          <w:tcPr>
            <w:tcW w:w="1540" w:type="dxa"/>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投标人之间关系</w:t>
            </w:r>
          </w:p>
        </w:tc>
        <w:tc>
          <w:tcPr>
            <w:tcW w:w="1984" w:type="dxa"/>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eastAsia="宋体"/>
                <w:szCs w:val="21"/>
              </w:rPr>
              <w:t>单位负责人为同一人或者存在控股、管理关系的不同单位，不得参加同一标段投标或者未划分标段的同一招标项目投标。</w:t>
            </w:r>
          </w:p>
        </w:tc>
        <w:tc>
          <w:tcPr>
            <w:tcW w:w="1512" w:type="dxa"/>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jc w:val="center"/>
              <w:textAlignment w:val="baseline"/>
              <w:rPr>
                <w:rFonts w:ascii="Calibri" w:hAnsi="宋体" w:eastAsia="宋体" w:cs="宋体"/>
                <w:sz w:val="24"/>
                <w:szCs w:val="21"/>
              </w:rPr>
            </w:pPr>
            <w:r>
              <w:rPr>
                <w:rFonts w:hint="eastAsia" w:ascii="Calibri" w:hAnsi="宋体" w:eastAsia="宋体" w:cs="宋体"/>
                <w:szCs w:val="21"/>
              </w:rPr>
              <w:t>承诺书原件</w:t>
            </w:r>
          </w:p>
        </w:tc>
        <w:tc>
          <w:tcPr>
            <w:tcW w:w="1413" w:type="dxa"/>
            <w:vAlign w:val="center"/>
          </w:tcPr>
          <w:p>
            <w:pPr>
              <w:widowControl/>
              <w:spacing w:line="320" w:lineRule="exact"/>
              <w:ind w:left="6" w:leftChars="1" w:right="-37" w:rightChars="-18" w:hanging="4" w:hangingChars="2"/>
              <w:jc w:val="center"/>
              <w:rPr>
                <w:rFonts w:ascii="Calibri" w:hAnsi="宋体" w:eastAsia="宋体" w:cs="宋体"/>
                <w:szCs w:val="21"/>
              </w:rPr>
            </w:pPr>
          </w:p>
        </w:tc>
        <w:tc>
          <w:tcPr>
            <w:tcW w:w="2235" w:type="dxa"/>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提供加盖公章和法定代表人（负责人）或授权代理人签字或盖章的承诺书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773" w:type="dxa"/>
            <w:vAlign w:val="center"/>
          </w:tcPr>
          <w:p>
            <w:pPr>
              <w:widowControl/>
              <w:spacing w:line="320" w:lineRule="exact"/>
              <w:ind w:left="6" w:leftChars="1" w:right="-37" w:rightChars="-18" w:hanging="4" w:hangingChars="2"/>
              <w:jc w:val="center"/>
              <w:rPr>
                <w:rFonts w:ascii="Calibri" w:hAnsi="宋体" w:eastAsia="宋体" w:cs="宋体"/>
                <w:sz w:val="24"/>
                <w:szCs w:val="21"/>
              </w:rPr>
            </w:pPr>
            <w:r>
              <w:rPr>
                <w:rFonts w:hint="eastAsia" w:ascii="Calibri" w:hAnsi="宋体" w:eastAsia="宋体" w:cs="宋体"/>
                <w:szCs w:val="21"/>
              </w:rPr>
              <w:t>8</w:t>
            </w:r>
          </w:p>
        </w:tc>
        <w:tc>
          <w:tcPr>
            <w:tcW w:w="1540" w:type="dxa"/>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联合体投标</w:t>
            </w:r>
          </w:p>
        </w:tc>
        <w:tc>
          <w:tcPr>
            <w:tcW w:w="1984" w:type="dxa"/>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本项目不接受联合体投标。</w:t>
            </w:r>
          </w:p>
        </w:tc>
        <w:tc>
          <w:tcPr>
            <w:tcW w:w="1512" w:type="dxa"/>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投标人为非联合体投标</w:t>
            </w:r>
          </w:p>
        </w:tc>
        <w:tc>
          <w:tcPr>
            <w:tcW w:w="1413" w:type="dxa"/>
            <w:vAlign w:val="center"/>
          </w:tcPr>
          <w:p>
            <w:pPr>
              <w:widowControl/>
              <w:spacing w:line="320" w:lineRule="exact"/>
              <w:ind w:left="6" w:leftChars="1" w:right="-37" w:rightChars="-18" w:hanging="4" w:hangingChars="2"/>
              <w:jc w:val="center"/>
              <w:rPr>
                <w:rFonts w:ascii="Calibri" w:hAnsi="宋体" w:eastAsia="宋体" w:cs="宋体"/>
                <w:szCs w:val="21"/>
              </w:rPr>
            </w:pPr>
          </w:p>
        </w:tc>
        <w:tc>
          <w:tcPr>
            <w:tcW w:w="2235" w:type="dxa"/>
            <w:vAlign w:val="center"/>
          </w:tcPr>
          <w:p>
            <w:pPr>
              <w:widowControl/>
              <w:tabs>
                <w:tab w:val="left" w:pos="420"/>
              </w:tabs>
              <w:overflowPunct w:val="0"/>
              <w:autoSpaceDE w:val="0"/>
              <w:autoSpaceDN w:val="0"/>
              <w:adjustRightInd w:val="0"/>
              <w:snapToGrid w:val="0"/>
              <w:spacing w:line="320" w:lineRule="exact"/>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投标人为非联合体投标</w:t>
            </w:r>
          </w:p>
        </w:tc>
      </w:tr>
    </w:tbl>
    <w:p>
      <w:pPr>
        <w:ind w:right="-144" w:rightChars="-69"/>
        <w:outlineLvl w:val="1"/>
        <w:rPr>
          <w:rFonts w:ascii="宋体" w:hAnsi="宋体" w:eastAsia="宋体" w:cs="宋体"/>
          <w:b/>
          <w:bCs/>
          <w:sz w:val="24"/>
        </w:rPr>
      </w:pPr>
      <w:r>
        <w:rPr>
          <w:rFonts w:hint="eastAsia" w:hAnsi="宋体" w:eastAsia="宋体" w:cs="宋体"/>
          <w:szCs w:val="21"/>
        </w:rPr>
        <w:br w:type="page"/>
      </w:r>
      <w:bookmarkStart w:id="965" w:name="_Toc32476"/>
      <w:bookmarkStart w:id="966" w:name="_Toc375230853"/>
      <w:bookmarkStart w:id="967" w:name="_Toc375212288"/>
      <w:bookmarkStart w:id="968" w:name="_Toc2291"/>
      <w:bookmarkStart w:id="969" w:name="_Toc22361"/>
      <w:r>
        <w:rPr>
          <w:rFonts w:hint="eastAsia" w:ascii="宋体" w:hAnsi="宋体" w:eastAsia="宋体" w:cs="宋体"/>
          <w:b/>
          <w:bCs/>
          <w:sz w:val="24"/>
        </w:rPr>
        <w:t>附表二 初步评审表</w:t>
      </w:r>
      <w:bookmarkEnd w:id="965"/>
      <w:bookmarkEnd w:id="966"/>
      <w:bookmarkEnd w:id="967"/>
      <w:bookmarkEnd w:id="968"/>
      <w:bookmarkEnd w:id="969"/>
    </w:p>
    <w:p>
      <w:pPr>
        <w:jc w:val="center"/>
        <w:rPr>
          <w:rFonts w:hAnsi="宋体" w:eastAsia="宋体" w:cs="宋体"/>
          <w:b/>
          <w:bCs/>
          <w:sz w:val="28"/>
          <w:szCs w:val="28"/>
        </w:rPr>
      </w:pPr>
      <w:r>
        <w:rPr>
          <w:rFonts w:hint="eastAsia" w:hAnsi="宋体" w:eastAsia="宋体" w:cs="宋体"/>
          <w:b/>
          <w:bCs/>
          <w:sz w:val="28"/>
          <w:szCs w:val="28"/>
        </w:rPr>
        <w:t>经济评审表</w:t>
      </w:r>
    </w:p>
    <w:tbl>
      <w:tblPr>
        <w:tblStyle w:val="4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6195"/>
        <w:gridCol w:w="1694"/>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blHeader/>
          <w:jc w:val="center"/>
        </w:trPr>
        <w:tc>
          <w:tcPr>
            <w:tcW w:w="439" w:type="dxa"/>
            <w:vAlign w:val="center"/>
          </w:tcPr>
          <w:p>
            <w:pPr>
              <w:pStyle w:val="63"/>
              <w:widowControl w:val="0"/>
              <w:adjustRightInd w:val="0"/>
              <w:snapToGrid w:val="0"/>
              <w:spacing w:line="300" w:lineRule="exact"/>
              <w:ind w:left="2" w:right="-37" w:rightChars="-18" w:hanging="2" w:hangingChars="1"/>
              <w:rPr>
                <w:rFonts w:eastAsia="宋体"/>
                <w:b/>
              </w:rPr>
            </w:pPr>
            <w:r>
              <w:rPr>
                <w:rFonts w:hint="eastAsia" w:eastAsia="宋体"/>
                <w:b/>
              </w:rPr>
              <w:t>序号</w:t>
            </w:r>
          </w:p>
        </w:tc>
        <w:tc>
          <w:tcPr>
            <w:tcW w:w="6195" w:type="dxa"/>
            <w:vAlign w:val="center"/>
          </w:tcPr>
          <w:p>
            <w:pPr>
              <w:pStyle w:val="63"/>
              <w:adjustRightInd w:val="0"/>
              <w:snapToGrid w:val="0"/>
              <w:spacing w:line="300" w:lineRule="exact"/>
              <w:ind w:left="2" w:right="-37" w:rightChars="-18" w:hanging="2" w:hangingChars="1"/>
              <w:rPr>
                <w:rFonts w:eastAsia="宋体"/>
                <w:b/>
              </w:rPr>
            </w:pPr>
            <w:r>
              <w:rPr>
                <w:rFonts w:hint="eastAsia" w:eastAsia="宋体"/>
                <w:b/>
              </w:rPr>
              <w:t>评审项目</w:t>
            </w:r>
          </w:p>
        </w:tc>
        <w:tc>
          <w:tcPr>
            <w:tcW w:w="1694" w:type="dxa"/>
            <w:vAlign w:val="center"/>
          </w:tcPr>
          <w:p>
            <w:pPr>
              <w:pStyle w:val="63"/>
              <w:adjustRightInd w:val="0"/>
              <w:snapToGrid w:val="0"/>
              <w:spacing w:line="300" w:lineRule="exact"/>
              <w:ind w:left="2" w:right="-37" w:rightChars="-18" w:hanging="2" w:hangingChars="1"/>
              <w:rPr>
                <w:rFonts w:eastAsia="宋体"/>
                <w:b/>
              </w:rPr>
            </w:pPr>
            <w:r>
              <w:rPr>
                <w:rFonts w:hint="eastAsia" w:eastAsia="宋体"/>
                <w:b/>
              </w:rPr>
              <w:t>评审标准</w:t>
            </w:r>
          </w:p>
        </w:tc>
        <w:tc>
          <w:tcPr>
            <w:tcW w:w="732" w:type="dxa"/>
            <w:vAlign w:val="center"/>
          </w:tcPr>
          <w:p>
            <w:pPr>
              <w:pStyle w:val="63"/>
              <w:adjustRightInd w:val="0"/>
              <w:snapToGrid w:val="0"/>
              <w:spacing w:line="300" w:lineRule="exact"/>
              <w:ind w:left="2" w:right="-37" w:rightChars="-18" w:hanging="2" w:hangingChars="1"/>
              <w:rPr>
                <w:rFonts w:eastAsia="宋体"/>
                <w:b/>
              </w:rPr>
            </w:pPr>
            <w:r>
              <w:rPr>
                <w:rFonts w:hint="eastAsia" w:eastAsia="宋体"/>
                <w:b/>
              </w:rPr>
              <w:t>评审结论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439" w:type="dxa"/>
            <w:vAlign w:val="center"/>
          </w:tcPr>
          <w:p>
            <w:pPr>
              <w:pStyle w:val="63"/>
              <w:adjustRightInd w:val="0"/>
              <w:snapToGrid w:val="0"/>
              <w:spacing w:line="300" w:lineRule="exact"/>
              <w:ind w:left="2" w:right="-37" w:rightChars="-18" w:hanging="2" w:hangingChars="1"/>
              <w:rPr>
                <w:rFonts w:eastAsia="宋体"/>
              </w:rPr>
            </w:pPr>
            <w:r>
              <w:rPr>
                <w:rFonts w:hint="eastAsia" w:eastAsia="宋体"/>
              </w:rPr>
              <w:t>1</w:t>
            </w:r>
          </w:p>
        </w:tc>
        <w:tc>
          <w:tcPr>
            <w:tcW w:w="6195" w:type="dxa"/>
            <w:vAlign w:val="center"/>
          </w:tcPr>
          <w:p>
            <w:pPr>
              <w:pStyle w:val="63"/>
              <w:tabs>
                <w:tab w:val="left" w:pos="420"/>
              </w:tabs>
              <w:overflowPunct w:val="0"/>
              <w:autoSpaceDE w:val="0"/>
              <w:autoSpaceDN w:val="0"/>
              <w:adjustRightInd w:val="0"/>
              <w:snapToGrid w:val="0"/>
              <w:spacing w:line="300" w:lineRule="exact"/>
              <w:ind w:left="2" w:right="-37" w:rightChars="-18" w:hanging="2" w:hangingChars="1"/>
              <w:jc w:val="left"/>
              <w:textAlignment w:val="baseline"/>
              <w:rPr>
                <w:rFonts w:eastAsia="宋体"/>
              </w:rPr>
            </w:pPr>
            <w:r>
              <w:rPr>
                <w:rFonts w:hint="eastAsia" w:eastAsia="宋体"/>
              </w:rPr>
              <w:t>按照招标文件的规定加盖投标人公章并由法定代表人（负责人）（或授权代理人）签字（或盖章）。</w:t>
            </w:r>
          </w:p>
        </w:tc>
        <w:tc>
          <w:tcPr>
            <w:tcW w:w="1694" w:type="dxa"/>
            <w:vAlign w:val="center"/>
          </w:tcPr>
          <w:p>
            <w:pPr>
              <w:pStyle w:val="63"/>
              <w:widowControl w:val="0"/>
              <w:adjustRightInd w:val="0"/>
              <w:snapToGrid w:val="0"/>
              <w:spacing w:line="300" w:lineRule="exact"/>
              <w:ind w:left="2" w:right="-37" w:rightChars="-18" w:hanging="2" w:hangingChars="1"/>
              <w:rPr>
                <w:rFonts w:eastAsia="宋体"/>
              </w:rPr>
            </w:pPr>
          </w:p>
        </w:tc>
        <w:tc>
          <w:tcPr>
            <w:tcW w:w="732" w:type="dxa"/>
            <w:vMerge w:val="restart"/>
            <w:vAlign w:val="center"/>
          </w:tcPr>
          <w:p>
            <w:pPr>
              <w:pStyle w:val="63"/>
              <w:tabs>
                <w:tab w:val="left" w:pos="420"/>
              </w:tabs>
              <w:overflowPunct w:val="0"/>
              <w:autoSpaceDE w:val="0"/>
              <w:autoSpaceDN w:val="0"/>
              <w:adjustRightInd w:val="0"/>
              <w:snapToGrid w:val="0"/>
              <w:spacing w:line="300" w:lineRule="exact"/>
              <w:ind w:left="2" w:right="-37" w:rightChars="-18" w:hanging="2" w:hangingChars="1"/>
              <w:textAlignment w:val="baseline"/>
              <w:rPr>
                <w:rFonts w:eastAsia="宋体"/>
              </w:rPr>
            </w:pPr>
            <w:r>
              <w:rPr>
                <w:rFonts w:hint="eastAsia" w:eastAsia="宋体"/>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439" w:type="dxa"/>
            <w:vAlign w:val="center"/>
          </w:tcPr>
          <w:p>
            <w:pPr>
              <w:pStyle w:val="63"/>
              <w:adjustRightInd w:val="0"/>
              <w:snapToGrid w:val="0"/>
              <w:spacing w:line="300" w:lineRule="exact"/>
              <w:ind w:left="2" w:right="-37" w:rightChars="-18" w:hanging="2" w:hangingChars="1"/>
              <w:rPr>
                <w:rFonts w:eastAsia="宋体"/>
              </w:rPr>
            </w:pPr>
            <w:r>
              <w:rPr>
                <w:rFonts w:hint="eastAsia" w:eastAsia="宋体"/>
              </w:rPr>
              <w:t>2</w:t>
            </w:r>
          </w:p>
        </w:tc>
        <w:tc>
          <w:tcPr>
            <w:tcW w:w="6195" w:type="dxa"/>
            <w:vAlign w:val="center"/>
          </w:tcPr>
          <w:p>
            <w:pPr>
              <w:pStyle w:val="63"/>
              <w:tabs>
                <w:tab w:val="left" w:pos="420"/>
              </w:tabs>
              <w:overflowPunct w:val="0"/>
              <w:autoSpaceDE w:val="0"/>
              <w:autoSpaceDN w:val="0"/>
              <w:adjustRightInd w:val="0"/>
              <w:snapToGrid w:val="0"/>
              <w:spacing w:line="300" w:lineRule="exact"/>
              <w:ind w:left="2" w:right="-37" w:rightChars="-18" w:hanging="2" w:hangingChars="1"/>
              <w:jc w:val="left"/>
              <w:textAlignment w:val="baseline"/>
              <w:rPr>
                <w:rFonts w:eastAsia="宋体"/>
              </w:rPr>
            </w:pPr>
            <w:r>
              <w:rPr>
                <w:rFonts w:hint="eastAsia" w:eastAsia="宋体"/>
                <w:snapToGrid w:val="0"/>
              </w:rPr>
              <w:t>投标人没有递交两份或多份内容不同的投标文件，或在一份投标文件中，有两个或多个报价且未书面声明哪一个有效（按招标文件规定提供可选择性方案报价的除外）。</w:t>
            </w:r>
          </w:p>
        </w:tc>
        <w:tc>
          <w:tcPr>
            <w:tcW w:w="1694" w:type="dxa"/>
            <w:vAlign w:val="center"/>
          </w:tcPr>
          <w:p>
            <w:pPr>
              <w:pStyle w:val="63"/>
              <w:widowControl w:val="0"/>
              <w:adjustRightInd w:val="0"/>
              <w:snapToGrid w:val="0"/>
              <w:spacing w:line="300" w:lineRule="exact"/>
              <w:ind w:left="2" w:right="-37" w:rightChars="-18" w:hanging="2" w:hangingChars="1"/>
              <w:rPr>
                <w:rFonts w:eastAsia="宋体"/>
              </w:rPr>
            </w:pPr>
          </w:p>
        </w:tc>
        <w:tc>
          <w:tcPr>
            <w:tcW w:w="732" w:type="dxa"/>
            <w:vMerge w:val="continue"/>
            <w:vAlign w:val="center"/>
          </w:tcPr>
          <w:p>
            <w:pPr>
              <w:pStyle w:val="63"/>
              <w:widowControl w:val="0"/>
              <w:adjustRightInd w:val="0"/>
              <w:snapToGrid w:val="0"/>
              <w:spacing w:line="300" w:lineRule="exact"/>
              <w:ind w:left="2" w:right="-37" w:rightChars="-18" w:hanging="2" w:hangingChars="1"/>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439" w:type="dxa"/>
            <w:vAlign w:val="center"/>
          </w:tcPr>
          <w:p>
            <w:pPr>
              <w:pStyle w:val="63"/>
              <w:adjustRightInd w:val="0"/>
              <w:snapToGrid w:val="0"/>
              <w:spacing w:line="300" w:lineRule="exact"/>
              <w:ind w:left="2" w:right="-37" w:rightChars="-18" w:hanging="2" w:hangingChars="1"/>
              <w:rPr>
                <w:rFonts w:eastAsia="宋体"/>
              </w:rPr>
            </w:pPr>
            <w:r>
              <w:rPr>
                <w:rFonts w:hint="eastAsia" w:eastAsia="宋体"/>
              </w:rPr>
              <w:t>3</w:t>
            </w:r>
          </w:p>
        </w:tc>
        <w:tc>
          <w:tcPr>
            <w:tcW w:w="6195" w:type="dxa"/>
            <w:vAlign w:val="center"/>
          </w:tcPr>
          <w:p>
            <w:pPr>
              <w:pStyle w:val="63"/>
              <w:tabs>
                <w:tab w:val="left" w:pos="420"/>
              </w:tabs>
              <w:overflowPunct w:val="0"/>
              <w:autoSpaceDE w:val="0"/>
              <w:autoSpaceDN w:val="0"/>
              <w:adjustRightInd w:val="0"/>
              <w:snapToGrid w:val="0"/>
              <w:spacing w:line="300" w:lineRule="exact"/>
              <w:ind w:left="2" w:right="-37" w:rightChars="-18" w:hanging="2" w:hangingChars="1"/>
              <w:jc w:val="left"/>
              <w:textAlignment w:val="baseline"/>
              <w:rPr>
                <w:rFonts w:eastAsia="宋体"/>
              </w:rPr>
            </w:pPr>
            <w:r>
              <w:rPr>
                <w:rFonts w:hint="eastAsia" w:eastAsia="宋体"/>
                <w:snapToGrid w:val="0"/>
              </w:rPr>
              <w:t>投标文件的实质性内容按照规定的格式填写、内容齐全；投标函中没有关键字迹模糊、无法辨认或含义不明确的（应按照招标文件规定第六章节格式填写）。</w:t>
            </w:r>
          </w:p>
        </w:tc>
        <w:tc>
          <w:tcPr>
            <w:tcW w:w="1694" w:type="dxa"/>
            <w:vAlign w:val="center"/>
          </w:tcPr>
          <w:p>
            <w:pPr>
              <w:pStyle w:val="63"/>
              <w:widowControl w:val="0"/>
              <w:adjustRightInd w:val="0"/>
              <w:snapToGrid w:val="0"/>
              <w:spacing w:line="300" w:lineRule="exact"/>
              <w:ind w:left="2" w:right="-37" w:rightChars="-18" w:hanging="2" w:hangingChars="1"/>
              <w:rPr>
                <w:rFonts w:eastAsia="宋体"/>
              </w:rPr>
            </w:pPr>
          </w:p>
        </w:tc>
        <w:tc>
          <w:tcPr>
            <w:tcW w:w="732" w:type="dxa"/>
            <w:vMerge w:val="continue"/>
            <w:vAlign w:val="center"/>
          </w:tcPr>
          <w:p>
            <w:pPr>
              <w:pStyle w:val="63"/>
              <w:widowControl w:val="0"/>
              <w:adjustRightInd w:val="0"/>
              <w:snapToGrid w:val="0"/>
              <w:spacing w:line="300" w:lineRule="exact"/>
              <w:ind w:left="2" w:right="-37" w:rightChars="-18" w:hanging="2" w:hangingChars="1"/>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439" w:type="dxa"/>
            <w:vAlign w:val="center"/>
          </w:tcPr>
          <w:p>
            <w:pPr>
              <w:pStyle w:val="63"/>
              <w:adjustRightInd w:val="0"/>
              <w:snapToGrid w:val="0"/>
              <w:spacing w:line="300" w:lineRule="exact"/>
              <w:ind w:left="2" w:right="-37" w:rightChars="-18" w:hanging="2" w:hangingChars="1"/>
              <w:rPr>
                <w:rFonts w:eastAsia="宋体"/>
              </w:rPr>
            </w:pPr>
            <w:r>
              <w:rPr>
                <w:rFonts w:hint="eastAsia" w:eastAsia="宋体"/>
              </w:rPr>
              <w:t>4</w:t>
            </w:r>
          </w:p>
        </w:tc>
        <w:tc>
          <w:tcPr>
            <w:tcW w:w="6195" w:type="dxa"/>
            <w:vAlign w:val="center"/>
          </w:tcPr>
          <w:p>
            <w:pPr>
              <w:pStyle w:val="63"/>
              <w:tabs>
                <w:tab w:val="left" w:pos="420"/>
              </w:tabs>
              <w:overflowPunct w:val="0"/>
              <w:autoSpaceDE w:val="0"/>
              <w:autoSpaceDN w:val="0"/>
              <w:adjustRightInd w:val="0"/>
              <w:snapToGrid w:val="0"/>
              <w:spacing w:line="300" w:lineRule="exact"/>
              <w:ind w:left="2" w:right="-37" w:rightChars="-18" w:hanging="2" w:hangingChars="1"/>
              <w:jc w:val="left"/>
              <w:textAlignment w:val="baseline"/>
              <w:rPr>
                <w:rFonts w:eastAsia="宋体"/>
              </w:rPr>
            </w:pPr>
            <w:r>
              <w:rPr>
                <w:rFonts w:hint="eastAsia" w:eastAsia="宋体"/>
                <w:bCs/>
              </w:rPr>
              <w:t>保险费及年保险费率</w:t>
            </w:r>
            <w:r>
              <w:rPr>
                <w:rFonts w:hint="eastAsia" w:eastAsia="宋体"/>
              </w:rPr>
              <w:t>投标报价未超过招标控制价</w:t>
            </w:r>
          </w:p>
        </w:tc>
        <w:tc>
          <w:tcPr>
            <w:tcW w:w="1694" w:type="dxa"/>
            <w:vAlign w:val="center"/>
          </w:tcPr>
          <w:p>
            <w:pPr>
              <w:pStyle w:val="63"/>
              <w:widowControl w:val="0"/>
              <w:adjustRightInd w:val="0"/>
              <w:snapToGrid w:val="0"/>
              <w:spacing w:line="300" w:lineRule="exact"/>
              <w:ind w:left="2" w:right="-37" w:rightChars="-18" w:hanging="2" w:hangingChars="1"/>
              <w:rPr>
                <w:rFonts w:eastAsia="宋体"/>
              </w:rPr>
            </w:pPr>
          </w:p>
        </w:tc>
        <w:tc>
          <w:tcPr>
            <w:tcW w:w="732" w:type="dxa"/>
            <w:vMerge w:val="continue"/>
            <w:vAlign w:val="center"/>
          </w:tcPr>
          <w:p>
            <w:pPr>
              <w:pStyle w:val="63"/>
              <w:widowControl w:val="0"/>
              <w:adjustRightInd w:val="0"/>
              <w:snapToGrid w:val="0"/>
              <w:spacing w:line="300" w:lineRule="exact"/>
              <w:ind w:left="2" w:right="-37" w:rightChars="-18" w:hanging="2" w:hangingChars="1"/>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439" w:type="dxa"/>
            <w:vAlign w:val="center"/>
          </w:tcPr>
          <w:p>
            <w:pPr>
              <w:pStyle w:val="63"/>
              <w:adjustRightInd w:val="0"/>
              <w:snapToGrid w:val="0"/>
              <w:spacing w:line="300" w:lineRule="exact"/>
              <w:ind w:left="2" w:right="-37" w:rightChars="-18" w:hanging="2" w:hangingChars="1"/>
              <w:rPr>
                <w:rFonts w:eastAsia="宋体"/>
              </w:rPr>
            </w:pPr>
            <w:r>
              <w:rPr>
                <w:rFonts w:hint="eastAsia" w:eastAsia="宋体"/>
              </w:rPr>
              <w:t>5</w:t>
            </w:r>
          </w:p>
        </w:tc>
        <w:tc>
          <w:tcPr>
            <w:tcW w:w="6195" w:type="dxa"/>
            <w:vAlign w:val="center"/>
          </w:tcPr>
          <w:p>
            <w:pPr>
              <w:pStyle w:val="63"/>
              <w:tabs>
                <w:tab w:val="left" w:pos="420"/>
              </w:tabs>
              <w:overflowPunct w:val="0"/>
              <w:autoSpaceDE w:val="0"/>
              <w:autoSpaceDN w:val="0"/>
              <w:adjustRightInd w:val="0"/>
              <w:snapToGrid w:val="0"/>
              <w:spacing w:line="300" w:lineRule="exact"/>
              <w:ind w:left="2" w:right="-37" w:rightChars="-18" w:hanging="2" w:hangingChars="1"/>
              <w:jc w:val="left"/>
              <w:textAlignment w:val="baseline"/>
              <w:rPr>
                <w:rFonts w:eastAsia="宋体"/>
              </w:rPr>
            </w:pPr>
            <w:r>
              <w:rPr>
                <w:rFonts w:hint="eastAsia" w:eastAsia="宋体"/>
                <w:snapToGrid w:val="0"/>
                <w:kern w:val="0"/>
              </w:rPr>
              <w:t>投标有效期满足招标文件要求</w:t>
            </w:r>
          </w:p>
        </w:tc>
        <w:tc>
          <w:tcPr>
            <w:tcW w:w="1694" w:type="dxa"/>
            <w:vAlign w:val="center"/>
          </w:tcPr>
          <w:p>
            <w:pPr>
              <w:pStyle w:val="63"/>
              <w:widowControl w:val="0"/>
              <w:adjustRightInd w:val="0"/>
              <w:snapToGrid w:val="0"/>
              <w:spacing w:line="300" w:lineRule="exact"/>
              <w:ind w:left="2" w:right="-37" w:rightChars="-18" w:hanging="2" w:hangingChars="1"/>
              <w:rPr>
                <w:rFonts w:eastAsia="宋体"/>
              </w:rPr>
            </w:pPr>
          </w:p>
        </w:tc>
        <w:tc>
          <w:tcPr>
            <w:tcW w:w="732" w:type="dxa"/>
            <w:vMerge w:val="continue"/>
            <w:vAlign w:val="center"/>
          </w:tcPr>
          <w:p>
            <w:pPr>
              <w:pStyle w:val="63"/>
              <w:widowControl w:val="0"/>
              <w:adjustRightInd w:val="0"/>
              <w:snapToGrid w:val="0"/>
              <w:spacing w:line="300" w:lineRule="exact"/>
              <w:ind w:left="2" w:right="-37" w:rightChars="-18" w:hanging="2" w:hangingChars="1"/>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439" w:type="dxa"/>
            <w:vAlign w:val="center"/>
          </w:tcPr>
          <w:p>
            <w:pPr>
              <w:pStyle w:val="63"/>
              <w:adjustRightInd w:val="0"/>
              <w:snapToGrid w:val="0"/>
              <w:spacing w:line="300" w:lineRule="exact"/>
              <w:ind w:left="2" w:right="-37" w:rightChars="-18" w:hanging="2" w:hangingChars="1"/>
              <w:rPr>
                <w:rFonts w:eastAsia="宋体"/>
              </w:rPr>
            </w:pPr>
            <w:r>
              <w:rPr>
                <w:rFonts w:hint="eastAsia" w:eastAsia="宋体"/>
              </w:rPr>
              <w:t>6</w:t>
            </w:r>
          </w:p>
        </w:tc>
        <w:tc>
          <w:tcPr>
            <w:tcW w:w="6195" w:type="dxa"/>
            <w:vAlign w:val="center"/>
          </w:tcPr>
          <w:p>
            <w:pPr>
              <w:pStyle w:val="63"/>
              <w:tabs>
                <w:tab w:val="left" w:pos="420"/>
              </w:tabs>
              <w:overflowPunct w:val="0"/>
              <w:autoSpaceDE w:val="0"/>
              <w:autoSpaceDN w:val="0"/>
              <w:adjustRightInd w:val="0"/>
              <w:snapToGrid w:val="0"/>
              <w:spacing w:line="300" w:lineRule="exact"/>
              <w:ind w:left="2" w:right="-37" w:rightChars="-18" w:hanging="2" w:hangingChars="1"/>
              <w:jc w:val="left"/>
              <w:textAlignment w:val="baseline"/>
              <w:rPr>
                <w:rFonts w:eastAsia="宋体"/>
              </w:rPr>
            </w:pPr>
            <w:r>
              <w:rPr>
                <w:rFonts w:hint="eastAsia" w:eastAsia="宋体"/>
                <w:snapToGrid w:val="0"/>
              </w:rPr>
              <w:t>保险期限满足招标文件要求</w:t>
            </w:r>
          </w:p>
        </w:tc>
        <w:tc>
          <w:tcPr>
            <w:tcW w:w="1694" w:type="dxa"/>
            <w:vAlign w:val="center"/>
          </w:tcPr>
          <w:p>
            <w:pPr>
              <w:pStyle w:val="63"/>
              <w:widowControl w:val="0"/>
              <w:adjustRightInd w:val="0"/>
              <w:snapToGrid w:val="0"/>
              <w:spacing w:line="300" w:lineRule="exact"/>
              <w:ind w:left="2" w:right="-37" w:rightChars="-18" w:hanging="2" w:hangingChars="1"/>
              <w:rPr>
                <w:rFonts w:eastAsia="宋体"/>
              </w:rPr>
            </w:pPr>
          </w:p>
        </w:tc>
        <w:tc>
          <w:tcPr>
            <w:tcW w:w="732" w:type="dxa"/>
            <w:vMerge w:val="continue"/>
            <w:vAlign w:val="center"/>
          </w:tcPr>
          <w:p>
            <w:pPr>
              <w:pStyle w:val="63"/>
              <w:widowControl w:val="0"/>
              <w:adjustRightInd w:val="0"/>
              <w:snapToGrid w:val="0"/>
              <w:spacing w:line="300" w:lineRule="exact"/>
              <w:ind w:left="2" w:right="-37" w:rightChars="-18" w:hanging="2" w:hangingChars="1"/>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439" w:type="dxa"/>
            <w:vAlign w:val="center"/>
          </w:tcPr>
          <w:p>
            <w:pPr>
              <w:pStyle w:val="63"/>
              <w:adjustRightInd w:val="0"/>
              <w:snapToGrid w:val="0"/>
              <w:spacing w:line="300" w:lineRule="exact"/>
              <w:ind w:left="2" w:right="-37" w:rightChars="-18" w:hanging="2" w:hangingChars="1"/>
              <w:rPr>
                <w:rFonts w:eastAsia="宋体"/>
              </w:rPr>
            </w:pPr>
            <w:r>
              <w:rPr>
                <w:rFonts w:hint="eastAsia" w:eastAsia="宋体"/>
              </w:rPr>
              <w:t>7</w:t>
            </w:r>
          </w:p>
        </w:tc>
        <w:tc>
          <w:tcPr>
            <w:tcW w:w="6195" w:type="dxa"/>
            <w:vAlign w:val="center"/>
          </w:tcPr>
          <w:p>
            <w:pPr>
              <w:pStyle w:val="63"/>
              <w:tabs>
                <w:tab w:val="left" w:pos="420"/>
              </w:tabs>
              <w:overflowPunct w:val="0"/>
              <w:autoSpaceDE w:val="0"/>
              <w:autoSpaceDN w:val="0"/>
              <w:adjustRightInd w:val="0"/>
              <w:snapToGrid w:val="0"/>
              <w:spacing w:line="300" w:lineRule="exact"/>
              <w:ind w:left="2" w:right="-37" w:rightChars="-18" w:hanging="2" w:hangingChars="1"/>
              <w:jc w:val="left"/>
              <w:textAlignment w:val="baseline"/>
              <w:rPr>
                <w:rFonts w:eastAsia="宋体"/>
                <w:snapToGrid w:val="0"/>
              </w:rPr>
            </w:pPr>
            <w:r>
              <w:rPr>
                <w:rFonts w:hint="eastAsia" w:eastAsia="宋体"/>
                <w:snapToGrid w:val="0"/>
              </w:rPr>
              <w:t>无相关法律法规或招标文件规定的其他投标无效或否决投标情形</w:t>
            </w:r>
          </w:p>
        </w:tc>
        <w:tc>
          <w:tcPr>
            <w:tcW w:w="1694" w:type="dxa"/>
            <w:vAlign w:val="center"/>
          </w:tcPr>
          <w:p>
            <w:pPr>
              <w:pStyle w:val="63"/>
              <w:widowControl w:val="0"/>
              <w:adjustRightInd w:val="0"/>
              <w:snapToGrid w:val="0"/>
              <w:spacing w:line="300" w:lineRule="exact"/>
              <w:ind w:left="2" w:right="-37" w:rightChars="-18" w:hanging="2" w:hangingChars="1"/>
              <w:rPr>
                <w:rFonts w:eastAsia="宋体"/>
              </w:rPr>
            </w:pPr>
          </w:p>
        </w:tc>
        <w:tc>
          <w:tcPr>
            <w:tcW w:w="732" w:type="dxa"/>
            <w:vMerge w:val="continue"/>
            <w:vAlign w:val="center"/>
          </w:tcPr>
          <w:p>
            <w:pPr>
              <w:pStyle w:val="63"/>
              <w:widowControl w:val="0"/>
              <w:adjustRightInd w:val="0"/>
              <w:snapToGrid w:val="0"/>
              <w:spacing w:line="300" w:lineRule="exact"/>
              <w:ind w:left="2" w:right="-37" w:rightChars="-18" w:hanging="2" w:hangingChars="1"/>
              <w:rPr>
                <w:rFonts w:eastAsia="宋体"/>
              </w:rPr>
            </w:pPr>
          </w:p>
        </w:tc>
      </w:tr>
    </w:tbl>
    <w:p>
      <w:pPr>
        <w:spacing w:after="156" w:afterLines="50"/>
        <w:rPr>
          <w:rFonts w:hAnsi="宋体" w:eastAsia="宋体" w:cs="宋体"/>
          <w:szCs w:val="21"/>
        </w:rPr>
      </w:pPr>
      <w:r>
        <w:rPr>
          <w:rFonts w:hint="eastAsia" w:hAnsi="宋体" w:eastAsia="宋体" w:cs="宋体"/>
          <w:szCs w:val="21"/>
        </w:rPr>
        <w:t>注：本表内容由经济评审组评审使用。评审结果合格的打√，不合格的打×，凡评审结果有一项不合格者，评审结论为不通过。</w:t>
      </w:r>
    </w:p>
    <w:p>
      <w:pPr>
        <w:ind w:firstLine="422"/>
        <w:rPr>
          <w:rFonts w:hAnsi="宋体" w:eastAsia="宋体" w:cs="宋体"/>
          <w:b/>
          <w:bCs/>
          <w:szCs w:val="21"/>
        </w:rPr>
      </w:pPr>
    </w:p>
    <w:p>
      <w:pPr>
        <w:ind w:firstLine="422"/>
        <w:rPr>
          <w:rFonts w:hAnsi="宋体" w:eastAsia="宋体" w:cs="宋体"/>
          <w:b/>
          <w:bCs/>
          <w:szCs w:val="21"/>
        </w:rPr>
      </w:pPr>
    </w:p>
    <w:p>
      <w:pPr>
        <w:jc w:val="center"/>
        <w:rPr>
          <w:rFonts w:hAnsi="宋体" w:eastAsia="宋体" w:cs="宋体"/>
          <w:b/>
          <w:bCs/>
          <w:sz w:val="28"/>
          <w:szCs w:val="28"/>
        </w:rPr>
      </w:pPr>
      <w:r>
        <w:rPr>
          <w:rFonts w:hint="eastAsia" w:hAnsi="宋体" w:eastAsia="宋体" w:cs="宋体"/>
          <w:b/>
          <w:bCs/>
          <w:sz w:val="28"/>
          <w:szCs w:val="28"/>
        </w:rPr>
        <w:t>技术评审表</w:t>
      </w:r>
    </w:p>
    <w:tbl>
      <w:tblPr>
        <w:tblStyle w:val="47"/>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6095"/>
        <w:gridCol w:w="1709"/>
        <w:gridCol w:w="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blHeader/>
          <w:jc w:val="center"/>
        </w:trPr>
        <w:tc>
          <w:tcPr>
            <w:tcW w:w="466" w:type="dxa"/>
            <w:vAlign w:val="center"/>
          </w:tcPr>
          <w:p>
            <w:pPr>
              <w:pStyle w:val="63"/>
              <w:widowControl w:val="0"/>
              <w:adjustRightInd w:val="0"/>
              <w:snapToGrid w:val="0"/>
              <w:spacing w:line="300" w:lineRule="exact"/>
              <w:ind w:left="6" w:leftChars="1" w:right="-37" w:rightChars="-18" w:hanging="4" w:hangingChars="2"/>
              <w:rPr>
                <w:rFonts w:eastAsia="宋体"/>
                <w:b/>
              </w:rPr>
            </w:pPr>
            <w:r>
              <w:rPr>
                <w:rFonts w:hint="eastAsia" w:eastAsia="宋体"/>
                <w:b/>
              </w:rPr>
              <w:t>序号</w:t>
            </w:r>
          </w:p>
        </w:tc>
        <w:tc>
          <w:tcPr>
            <w:tcW w:w="6095" w:type="dxa"/>
            <w:vAlign w:val="center"/>
          </w:tcPr>
          <w:p>
            <w:pPr>
              <w:pStyle w:val="63"/>
              <w:adjustRightInd w:val="0"/>
              <w:snapToGrid w:val="0"/>
              <w:spacing w:line="300" w:lineRule="exact"/>
              <w:ind w:left="6" w:leftChars="1" w:right="-37" w:rightChars="-18" w:hanging="4" w:hangingChars="2"/>
              <w:rPr>
                <w:rFonts w:eastAsia="宋体"/>
                <w:b/>
              </w:rPr>
            </w:pPr>
            <w:r>
              <w:rPr>
                <w:rFonts w:hint="eastAsia" w:eastAsia="宋体"/>
                <w:b/>
              </w:rPr>
              <w:t>评审项目</w:t>
            </w:r>
          </w:p>
        </w:tc>
        <w:tc>
          <w:tcPr>
            <w:tcW w:w="1709" w:type="dxa"/>
            <w:vAlign w:val="center"/>
          </w:tcPr>
          <w:p>
            <w:pPr>
              <w:pStyle w:val="63"/>
              <w:adjustRightInd w:val="0"/>
              <w:snapToGrid w:val="0"/>
              <w:spacing w:line="300" w:lineRule="exact"/>
              <w:ind w:left="6" w:leftChars="1" w:right="-37" w:rightChars="-18" w:hanging="4" w:hangingChars="2"/>
              <w:rPr>
                <w:rFonts w:eastAsia="宋体"/>
                <w:b/>
              </w:rPr>
            </w:pPr>
            <w:r>
              <w:rPr>
                <w:rFonts w:hint="eastAsia" w:eastAsia="宋体"/>
                <w:b/>
              </w:rPr>
              <w:t>评审标准</w:t>
            </w:r>
          </w:p>
        </w:tc>
        <w:tc>
          <w:tcPr>
            <w:tcW w:w="790" w:type="dxa"/>
            <w:vAlign w:val="center"/>
          </w:tcPr>
          <w:p>
            <w:pPr>
              <w:pStyle w:val="63"/>
              <w:adjustRightInd w:val="0"/>
              <w:snapToGrid w:val="0"/>
              <w:spacing w:line="300" w:lineRule="exact"/>
              <w:ind w:left="6" w:leftChars="1" w:right="-37" w:rightChars="-18" w:hanging="4" w:hangingChars="2"/>
              <w:rPr>
                <w:rFonts w:eastAsia="宋体"/>
                <w:b/>
              </w:rPr>
            </w:pPr>
            <w:r>
              <w:rPr>
                <w:rFonts w:hint="eastAsia" w:eastAsia="宋体"/>
                <w:b/>
              </w:rPr>
              <w:t>评审结论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466" w:type="dxa"/>
            <w:vAlign w:val="center"/>
          </w:tcPr>
          <w:p>
            <w:pPr>
              <w:pStyle w:val="63"/>
              <w:adjustRightInd w:val="0"/>
              <w:snapToGrid w:val="0"/>
              <w:spacing w:line="300" w:lineRule="exact"/>
              <w:ind w:left="6" w:leftChars="1" w:right="-37" w:rightChars="-18" w:hanging="4" w:hangingChars="2"/>
              <w:rPr>
                <w:rFonts w:eastAsia="宋体"/>
              </w:rPr>
            </w:pPr>
            <w:r>
              <w:rPr>
                <w:rFonts w:hint="eastAsia" w:eastAsia="宋体"/>
              </w:rPr>
              <w:t>1</w:t>
            </w:r>
          </w:p>
        </w:tc>
        <w:tc>
          <w:tcPr>
            <w:tcW w:w="6095" w:type="dxa"/>
            <w:vAlign w:val="center"/>
          </w:tcPr>
          <w:p>
            <w:pPr>
              <w:pStyle w:val="63"/>
              <w:tabs>
                <w:tab w:val="left" w:pos="420"/>
              </w:tabs>
              <w:overflowPunct w:val="0"/>
              <w:autoSpaceDE w:val="0"/>
              <w:autoSpaceDN w:val="0"/>
              <w:adjustRightInd w:val="0"/>
              <w:snapToGrid w:val="0"/>
              <w:spacing w:line="300" w:lineRule="exact"/>
              <w:ind w:left="6" w:leftChars="1" w:right="-37" w:rightChars="-18" w:hanging="4" w:hangingChars="2"/>
              <w:jc w:val="left"/>
              <w:textAlignment w:val="baseline"/>
              <w:rPr>
                <w:rFonts w:eastAsia="宋体"/>
              </w:rPr>
            </w:pPr>
            <w:r>
              <w:rPr>
                <w:rFonts w:hint="eastAsia" w:eastAsia="宋体"/>
              </w:rPr>
              <w:t>按照招标文件的规定加盖投标人公章并由法定代表人（负责人）（或授权代理人）签字（或盖章）</w:t>
            </w:r>
          </w:p>
        </w:tc>
        <w:tc>
          <w:tcPr>
            <w:tcW w:w="1709" w:type="dxa"/>
            <w:vAlign w:val="center"/>
          </w:tcPr>
          <w:p>
            <w:pPr>
              <w:pStyle w:val="63"/>
              <w:widowControl w:val="0"/>
              <w:adjustRightInd w:val="0"/>
              <w:snapToGrid w:val="0"/>
              <w:spacing w:line="300" w:lineRule="exact"/>
              <w:ind w:left="6" w:leftChars="1" w:right="-37" w:rightChars="-18" w:hanging="4" w:hangingChars="2"/>
              <w:rPr>
                <w:rFonts w:eastAsia="宋体"/>
              </w:rPr>
            </w:pPr>
          </w:p>
        </w:tc>
        <w:tc>
          <w:tcPr>
            <w:tcW w:w="790" w:type="dxa"/>
            <w:vMerge w:val="restart"/>
            <w:vAlign w:val="center"/>
          </w:tcPr>
          <w:p>
            <w:pPr>
              <w:pStyle w:val="63"/>
              <w:tabs>
                <w:tab w:val="left" w:pos="420"/>
              </w:tabs>
              <w:overflowPunct w:val="0"/>
              <w:autoSpaceDE w:val="0"/>
              <w:autoSpaceDN w:val="0"/>
              <w:adjustRightInd w:val="0"/>
              <w:snapToGrid w:val="0"/>
              <w:spacing w:line="300" w:lineRule="exact"/>
              <w:ind w:left="6" w:leftChars="1" w:right="-37" w:rightChars="-18" w:hanging="4" w:hangingChars="2"/>
              <w:textAlignment w:val="baseline"/>
              <w:rPr>
                <w:rFonts w:eastAsia="宋体"/>
              </w:rPr>
            </w:pPr>
            <w:r>
              <w:rPr>
                <w:rFonts w:hint="eastAsia" w:eastAsia="宋体"/>
              </w:rPr>
              <w:t>通过/不通过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466" w:type="dxa"/>
            <w:vAlign w:val="center"/>
          </w:tcPr>
          <w:p>
            <w:pPr>
              <w:pStyle w:val="63"/>
              <w:adjustRightInd w:val="0"/>
              <w:snapToGrid w:val="0"/>
              <w:spacing w:line="300" w:lineRule="exact"/>
              <w:ind w:left="6" w:leftChars="1" w:right="-37" w:rightChars="-18" w:hanging="4" w:hangingChars="2"/>
              <w:rPr>
                <w:rFonts w:eastAsia="宋体"/>
              </w:rPr>
            </w:pPr>
            <w:r>
              <w:rPr>
                <w:rFonts w:hint="eastAsia" w:eastAsia="宋体"/>
              </w:rPr>
              <w:t>2</w:t>
            </w:r>
          </w:p>
        </w:tc>
        <w:tc>
          <w:tcPr>
            <w:tcW w:w="6095" w:type="dxa"/>
            <w:vAlign w:val="center"/>
          </w:tcPr>
          <w:p>
            <w:pPr>
              <w:pStyle w:val="63"/>
              <w:tabs>
                <w:tab w:val="left" w:pos="420"/>
              </w:tabs>
              <w:overflowPunct w:val="0"/>
              <w:autoSpaceDE w:val="0"/>
              <w:autoSpaceDN w:val="0"/>
              <w:adjustRightInd w:val="0"/>
              <w:snapToGrid w:val="0"/>
              <w:spacing w:line="300" w:lineRule="exact"/>
              <w:ind w:left="6" w:leftChars="1" w:right="-37" w:rightChars="-18" w:hanging="4" w:hangingChars="2"/>
              <w:jc w:val="left"/>
              <w:textAlignment w:val="baseline"/>
              <w:rPr>
                <w:rFonts w:eastAsia="宋体"/>
              </w:rPr>
            </w:pPr>
            <w:r>
              <w:rPr>
                <w:rFonts w:hint="eastAsia" w:eastAsia="宋体"/>
              </w:rPr>
              <w:t>投标文件的实质性内容按照规定的格式填写、内容齐全；（应按照招标文件规定第六章节格式填写）。</w:t>
            </w:r>
          </w:p>
        </w:tc>
        <w:tc>
          <w:tcPr>
            <w:tcW w:w="1709" w:type="dxa"/>
            <w:vAlign w:val="center"/>
          </w:tcPr>
          <w:p>
            <w:pPr>
              <w:pStyle w:val="63"/>
              <w:widowControl w:val="0"/>
              <w:adjustRightInd w:val="0"/>
              <w:snapToGrid w:val="0"/>
              <w:spacing w:line="300" w:lineRule="exact"/>
              <w:ind w:left="6" w:leftChars="1" w:right="-37" w:rightChars="-18" w:hanging="4" w:hangingChars="2"/>
              <w:rPr>
                <w:rFonts w:eastAsia="宋体"/>
              </w:rPr>
            </w:pPr>
          </w:p>
        </w:tc>
        <w:tc>
          <w:tcPr>
            <w:tcW w:w="790" w:type="dxa"/>
            <w:vMerge w:val="continue"/>
            <w:vAlign w:val="center"/>
          </w:tcPr>
          <w:p>
            <w:pPr>
              <w:pStyle w:val="63"/>
              <w:widowControl w:val="0"/>
              <w:adjustRightInd w:val="0"/>
              <w:snapToGrid w:val="0"/>
              <w:spacing w:line="300" w:lineRule="exact"/>
              <w:ind w:left="6" w:leftChars="1" w:right="-37" w:rightChars="-18" w:hanging="4" w:hangingChars="2"/>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466" w:type="dxa"/>
            <w:vAlign w:val="center"/>
          </w:tcPr>
          <w:p>
            <w:pPr>
              <w:pStyle w:val="63"/>
              <w:adjustRightInd w:val="0"/>
              <w:snapToGrid w:val="0"/>
              <w:spacing w:line="300" w:lineRule="exact"/>
              <w:ind w:left="6" w:leftChars="1" w:right="-37" w:rightChars="-18" w:hanging="4" w:hangingChars="2"/>
              <w:rPr>
                <w:rFonts w:eastAsia="宋体"/>
              </w:rPr>
            </w:pPr>
            <w:r>
              <w:rPr>
                <w:rFonts w:hint="eastAsia" w:eastAsia="宋体"/>
              </w:rPr>
              <w:t>3</w:t>
            </w:r>
          </w:p>
        </w:tc>
        <w:tc>
          <w:tcPr>
            <w:tcW w:w="6095" w:type="dxa"/>
            <w:vAlign w:val="center"/>
          </w:tcPr>
          <w:p>
            <w:pPr>
              <w:pStyle w:val="63"/>
              <w:tabs>
                <w:tab w:val="left" w:pos="420"/>
              </w:tabs>
              <w:overflowPunct w:val="0"/>
              <w:autoSpaceDE w:val="0"/>
              <w:autoSpaceDN w:val="0"/>
              <w:adjustRightInd w:val="0"/>
              <w:snapToGrid w:val="0"/>
              <w:spacing w:line="300" w:lineRule="exact"/>
              <w:ind w:left="6" w:leftChars="1" w:right="-37" w:rightChars="-18" w:hanging="4" w:hangingChars="2"/>
              <w:jc w:val="left"/>
              <w:textAlignment w:val="baseline"/>
              <w:rPr>
                <w:rFonts w:eastAsia="宋体"/>
              </w:rPr>
            </w:pPr>
            <w:r>
              <w:rPr>
                <w:rFonts w:hint="eastAsia" w:eastAsia="宋体"/>
              </w:rPr>
              <w:t>法定代表人（负责人）按照招标文件规定出具授权委托书（采用授权代理人形式的）</w:t>
            </w:r>
          </w:p>
        </w:tc>
        <w:tc>
          <w:tcPr>
            <w:tcW w:w="1709" w:type="dxa"/>
            <w:vAlign w:val="center"/>
          </w:tcPr>
          <w:p>
            <w:pPr>
              <w:pStyle w:val="63"/>
              <w:widowControl w:val="0"/>
              <w:adjustRightInd w:val="0"/>
              <w:snapToGrid w:val="0"/>
              <w:spacing w:line="300" w:lineRule="exact"/>
              <w:ind w:left="6" w:leftChars="1" w:right="-37" w:rightChars="-18" w:hanging="4" w:hangingChars="2"/>
              <w:rPr>
                <w:rFonts w:eastAsia="宋体"/>
              </w:rPr>
            </w:pPr>
          </w:p>
        </w:tc>
        <w:tc>
          <w:tcPr>
            <w:tcW w:w="790" w:type="dxa"/>
            <w:vMerge w:val="continue"/>
            <w:vAlign w:val="center"/>
          </w:tcPr>
          <w:p>
            <w:pPr>
              <w:pStyle w:val="63"/>
              <w:widowControl w:val="0"/>
              <w:adjustRightInd w:val="0"/>
              <w:snapToGrid w:val="0"/>
              <w:spacing w:line="300" w:lineRule="exact"/>
              <w:ind w:left="6" w:leftChars="1" w:right="-37" w:rightChars="-18" w:hanging="4" w:hangingChars="2"/>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466" w:type="dxa"/>
            <w:vAlign w:val="center"/>
          </w:tcPr>
          <w:p>
            <w:pPr>
              <w:pStyle w:val="63"/>
              <w:adjustRightInd w:val="0"/>
              <w:snapToGrid w:val="0"/>
              <w:spacing w:line="300" w:lineRule="exact"/>
              <w:ind w:left="6" w:leftChars="1" w:right="-37" w:rightChars="-18" w:hanging="4" w:hangingChars="2"/>
              <w:rPr>
                <w:rFonts w:eastAsia="宋体"/>
              </w:rPr>
            </w:pPr>
            <w:r>
              <w:rPr>
                <w:rFonts w:hint="eastAsia" w:eastAsia="宋体"/>
              </w:rPr>
              <w:t>4</w:t>
            </w:r>
          </w:p>
        </w:tc>
        <w:tc>
          <w:tcPr>
            <w:tcW w:w="6095" w:type="dxa"/>
            <w:vAlign w:val="center"/>
          </w:tcPr>
          <w:p>
            <w:pPr>
              <w:pStyle w:val="63"/>
              <w:tabs>
                <w:tab w:val="left" w:pos="420"/>
              </w:tabs>
              <w:overflowPunct w:val="0"/>
              <w:autoSpaceDE w:val="0"/>
              <w:autoSpaceDN w:val="0"/>
              <w:adjustRightInd w:val="0"/>
              <w:snapToGrid w:val="0"/>
              <w:spacing w:line="300" w:lineRule="exact"/>
              <w:ind w:left="6" w:leftChars="1" w:right="-37" w:rightChars="-18" w:hanging="4" w:hangingChars="2"/>
              <w:jc w:val="left"/>
              <w:textAlignment w:val="baseline"/>
              <w:rPr>
                <w:rFonts w:eastAsia="宋体"/>
              </w:rPr>
            </w:pPr>
            <w:r>
              <w:rPr>
                <w:rFonts w:hint="eastAsia" w:eastAsia="宋体"/>
              </w:rPr>
              <w:t>投标人在资格审查部分、资信部分或技术部分中未透露有关报价的信息</w:t>
            </w:r>
          </w:p>
        </w:tc>
        <w:tc>
          <w:tcPr>
            <w:tcW w:w="1709" w:type="dxa"/>
            <w:vAlign w:val="center"/>
          </w:tcPr>
          <w:p>
            <w:pPr>
              <w:pStyle w:val="63"/>
              <w:widowControl w:val="0"/>
              <w:adjustRightInd w:val="0"/>
              <w:snapToGrid w:val="0"/>
              <w:spacing w:line="300" w:lineRule="exact"/>
              <w:ind w:left="6" w:leftChars="1" w:right="-37" w:rightChars="-18" w:hanging="4" w:hangingChars="2"/>
              <w:rPr>
                <w:rFonts w:eastAsia="宋体"/>
              </w:rPr>
            </w:pPr>
          </w:p>
        </w:tc>
        <w:tc>
          <w:tcPr>
            <w:tcW w:w="790" w:type="dxa"/>
            <w:vMerge w:val="continue"/>
            <w:vAlign w:val="center"/>
          </w:tcPr>
          <w:p>
            <w:pPr>
              <w:pStyle w:val="63"/>
              <w:widowControl w:val="0"/>
              <w:adjustRightInd w:val="0"/>
              <w:snapToGrid w:val="0"/>
              <w:spacing w:line="300" w:lineRule="exact"/>
              <w:ind w:left="6" w:leftChars="1" w:right="-37" w:rightChars="-18" w:hanging="4" w:hangingChars="2"/>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466" w:type="dxa"/>
            <w:vAlign w:val="center"/>
          </w:tcPr>
          <w:p>
            <w:pPr>
              <w:pStyle w:val="63"/>
              <w:adjustRightInd w:val="0"/>
              <w:snapToGrid w:val="0"/>
              <w:spacing w:line="300" w:lineRule="exact"/>
              <w:ind w:left="6" w:leftChars="1" w:right="-37" w:rightChars="-18" w:hanging="4" w:hangingChars="2"/>
              <w:rPr>
                <w:rFonts w:eastAsia="宋体"/>
              </w:rPr>
            </w:pPr>
            <w:r>
              <w:rPr>
                <w:rFonts w:hint="eastAsia" w:eastAsia="宋体"/>
              </w:rPr>
              <w:t>5</w:t>
            </w:r>
          </w:p>
        </w:tc>
        <w:tc>
          <w:tcPr>
            <w:tcW w:w="6095" w:type="dxa"/>
            <w:vAlign w:val="center"/>
          </w:tcPr>
          <w:p>
            <w:pPr>
              <w:pStyle w:val="63"/>
              <w:tabs>
                <w:tab w:val="left" w:pos="420"/>
              </w:tabs>
              <w:overflowPunct w:val="0"/>
              <w:autoSpaceDE w:val="0"/>
              <w:autoSpaceDN w:val="0"/>
              <w:adjustRightInd w:val="0"/>
              <w:snapToGrid w:val="0"/>
              <w:spacing w:line="300" w:lineRule="exact"/>
              <w:ind w:left="6" w:leftChars="1" w:right="-37" w:rightChars="-18" w:hanging="4" w:hangingChars="2"/>
              <w:jc w:val="left"/>
              <w:textAlignment w:val="baseline"/>
              <w:rPr>
                <w:rFonts w:eastAsia="宋体"/>
              </w:rPr>
            </w:pPr>
            <w:r>
              <w:rPr>
                <w:rFonts w:hint="eastAsia" w:eastAsia="宋体"/>
              </w:rPr>
              <w:t>无相关法律法规或招标文件规定的其他投标无效或否决投标情形</w:t>
            </w:r>
          </w:p>
        </w:tc>
        <w:tc>
          <w:tcPr>
            <w:tcW w:w="1709" w:type="dxa"/>
            <w:vAlign w:val="center"/>
          </w:tcPr>
          <w:p>
            <w:pPr>
              <w:pStyle w:val="63"/>
              <w:widowControl w:val="0"/>
              <w:adjustRightInd w:val="0"/>
              <w:snapToGrid w:val="0"/>
              <w:spacing w:line="300" w:lineRule="exact"/>
              <w:ind w:left="6" w:leftChars="1" w:right="-37" w:rightChars="-18" w:hanging="4" w:hangingChars="2"/>
              <w:rPr>
                <w:rFonts w:eastAsia="宋体"/>
              </w:rPr>
            </w:pPr>
          </w:p>
        </w:tc>
        <w:tc>
          <w:tcPr>
            <w:tcW w:w="790" w:type="dxa"/>
            <w:vMerge w:val="continue"/>
            <w:vAlign w:val="center"/>
          </w:tcPr>
          <w:p>
            <w:pPr>
              <w:pStyle w:val="63"/>
              <w:widowControl w:val="0"/>
              <w:adjustRightInd w:val="0"/>
              <w:snapToGrid w:val="0"/>
              <w:spacing w:line="300" w:lineRule="exact"/>
              <w:ind w:left="6" w:leftChars="1" w:right="-37" w:rightChars="-18" w:hanging="4" w:hangingChars="2"/>
              <w:rPr>
                <w:rFonts w:eastAsia="宋体"/>
              </w:rPr>
            </w:pPr>
          </w:p>
        </w:tc>
      </w:tr>
    </w:tbl>
    <w:p>
      <w:pPr>
        <w:pStyle w:val="14"/>
        <w:spacing w:line="240" w:lineRule="auto"/>
        <w:ind w:firstLine="0"/>
        <w:rPr>
          <w:rFonts w:ascii="宋体" w:hAnsi="宋体" w:eastAsia="宋体" w:cs="宋体"/>
          <w:szCs w:val="21"/>
        </w:rPr>
      </w:pPr>
      <w:r>
        <w:rPr>
          <w:rFonts w:hint="eastAsia" w:hAnsi="宋体" w:eastAsia="宋体" w:cs="宋体"/>
          <w:kern w:val="2"/>
          <w:sz w:val="21"/>
          <w:szCs w:val="21"/>
        </w:rPr>
        <w:t>注：本表内容由技术评审组评审使用。评审结果合格的打√，不合格的打×，凡评审结果有一项不合格者，评审结论为不通过。</w:t>
      </w:r>
    </w:p>
    <w:p>
      <w:pPr>
        <w:rPr>
          <w:rFonts w:eastAsia="宋体"/>
        </w:rPr>
      </w:pPr>
      <w:bookmarkStart w:id="970" w:name="_Toc23176"/>
      <w:bookmarkStart w:id="971" w:name="_Toc28471"/>
    </w:p>
    <w:p>
      <w:pPr>
        <w:keepNext/>
        <w:keepLines/>
        <w:spacing w:line="360" w:lineRule="auto"/>
        <w:rPr>
          <w:rFonts w:ascii="宋体" w:hAnsi="宋体" w:eastAsia="宋体" w:cs="宋体"/>
          <w:sz w:val="24"/>
        </w:rPr>
      </w:pPr>
      <w:r>
        <w:rPr>
          <w:rFonts w:hint="eastAsia" w:ascii="宋体" w:hAnsi="宋体" w:eastAsia="宋体" w:cs="宋体"/>
          <w:sz w:val="24"/>
        </w:rPr>
        <w:br w:type="page"/>
      </w:r>
    </w:p>
    <w:p>
      <w:pPr>
        <w:pStyle w:val="5"/>
        <w:spacing w:line="360" w:lineRule="auto"/>
        <w:rPr>
          <w:rFonts w:ascii="宋体" w:hAnsi="宋体" w:eastAsia="宋体" w:cs="宋体"/>
          <w:sz w:val="24"/>
          <w:szCs w:val="24"/>
        </w:rPr>
      </w:pPr>
      <w:bookmarkStart w:id="972" w:name="_Toc739"/>
      <w:r>
        <w:rPr>
          <w:rFonts w:hint="eastAsia" w:ascii="宋体" w:hAnsi="宋体" w:eastAsia="宋体" w:cs="宋体"/>
          <w:sz w:val="24"/>
          <w:szCs w:val="24"/>
        </w:rPr>
        <w:t>附表三 资信部分评分表</w:t>
      </w:r>
      <w:bookmarkEnd w:id="970"/>
      <w:bookmarkEnd w:id="971"/>
      <w:bookmarkEnd w:id="972"/>
    </w:p>
    <w:p>
      <w:pPr>
        <w:spacing w:line="360" w:lineRule="auto"/>
        <w:ind w:firstLine="562"/>
        <w:jc w:val="center"/>
        <w:rPr>
          <w:rFonts w:hAnsi="宋体" w:eastAsia="宋体" w:cs="宋体"/>
          <w:b/>
          <w:sz w:val="28"/>
          <w:szCs w:val="28"/>
        </w:rPr>
      </w:pPr>
      <w:r>
        <w:rPr>
          <w:rFonts w:hint="eastAsia" w:hAnsi="宋体" w:eastAsia="宋体" w:cs="宋体"/>
          <w:b/>
          <w:sz w:val="28"/>
          <w:szCs w:val="28"/>
        </w:rPr>
        <w:t>资信部分评分表</w:t>
      </w:r>
    </w:p>
    <w:tbl>
      <w:tblPr>
        <w:tblStyle w:val="47"/>
        <w:tblW w:w="9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270"/>
        <w:gridCol w:w="6"/>
        <w:gridCol w:w="994"/>
        <w:gridCol w:w="4647"/>
        <w:gridCol w:w="892"/>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blHeader/>
          <w:jc w:val="center"/>
        </w:trPr>
        <w:tc>
          <w:tcPr>
            <w:tcW w:w="734" w:type="dxa"/>
            <w:vAlign w:val="center"/>
          </w:tcPr>
          <w:p>
            <w:pPr>
              <w:spacing w:line="312" w:lineRule="auto"/>
              <w:ind w:left="6" w:leftChars="1" w:right="-37" w:rightChars="-18" w:hanging="4" w:hangingChars="2"/>
              <w:rPr>
                <w:rFonts w:ascii="Calibri" w:hAnsi="宋体" w:eastAsia="宋体" w:cs="宋体"/>
                <w:b/>
                <w:bCs/>
                <w:sz w:val="24"/>
                <w:szCs w:val="21"/>
              </w:rPr>
            </w:pPr>
            <w:r>
              <w:rPr>
                <w:rFonts w:hint="eastAsia" w:ascii="Calibri" w:hAnsi="宋体" w:eastAsia="宋体" w:cs="宋体"/>
                <w:b/>
                <w:bCs/>
                <w:szCs w:val="21"/>
              </w:rPr>
              <w:t>序号</w:t>
            </w:r>
          </w:p>
        </w:tc>
        <w:tc>
          <w:tcPr>
            <w:tcW w:w="2270" w:type="dxa"/>
            <w:gridSpan w:val="3"/>
            <w:vAlign w:val="center"/>
          </w:tcPr>
          <w:p>
            <w:pPr>
              <w:spacing w:line="312" w:lineRule="auto"/>
              <w:ind w:left="6" w:leftChars="1" w:right="-37" w:rightChars="-18" w:hanging="4" w:hangingChars="2"/>
              <w:jc w:val="center"/>
              <w:rPr>
                <w:rFonts w:ascii="Calibri" w:hAnsi="宋体" w:eastAsia="宋体" w:cs="宋体"/>
                <w:b/>
                <w:bCs/>
                <w:szCs w:val="21"/>
              </w:rPr>
            </w:pPr>
            <w:r>
              <w:rPr>
                <w:rFonts w:hint="eastAsia" w:ascii="Calibri" w:hAnsi="宋体" w:eastAsia="宋体" w:cs="宋体"/>
                <w:b/>
                <w:bCs/>
                <w:szCs w:val="21"/>
              </w:rPr>
              <w:t>评审内容</w:t>
            </w:r>
          </w:p>
        </w:tc>
        <w:tc>
          <w:tcPr>
            <w:tcW w:w="4647" w:type="dxa"/>
            <w:vAlign w:val="center"/>
          </w:tcPr>
          <w:p>
            <w:pPr>
              <w:spacing w:line="312" w:lineRule="auto"/>
              <w:ind w:left="6" w:leftChars="1" w:right="-37" w:rightChars="-18" w:hanging="4" w:hangingChars="2"/>
              <w:jc w:val="center"/>
              <w:rPr>
                <w:rFonts w:ascii="Calibri" w:hAnsi="宋体" w:eastAsia="宋体" w:cs="宋体"/>
                <w:b/>
                <w:bCs/>
                <w:szCs w:val="21"/>
              </w:rPr>
            </w:pPr>
            <w:r>
              <w:rPr>
                <w:rFonts w:hint="eastAsia" w:ascii="Calibri" w:hAnsi="宋体" w:eastAsia="宋体" w:cs="宋体"/>
                <w:b/>
                <w:bCs/>
                <w:szCs w:val="21"/>
              </w:rPr>
              <w:t>评分标准</w:t>
            </w:r>
          </w:p>
        </w:tc>
        <w:tc>
          <w:tcPr>
            <w:tcW w:w="892" w:type="dxa"/>
            <w:vAlign w:val="center"/>
          </w:tcPr>
          <w:p>
            <w:pPr>
              <w:spacing w:line="312" w:lineRule="auto"/>
              <w:ind w:left="2" w:leftChars="1" w:right="-37" w:rightChars="-18" w:firstLine="25" w:firstLineChars="12"/>
              <w:jc w:val="center"/>
              <w:rPr>
                <w:rFonts w:ascii="Calibri" w:hAnsi="宋体" w:eastAsia="宋体" w:cs="宋体"/>
                <w:b/>
                <w:bCs/>
                <w:szCs w:val="21"/>
              </w:rPr>
            </w:pPr>
            <w:r>
              <w:rPr>
                <w:rFonts w:hint="eastAsia" w:ascii="Calibri" w:hAnsi="宋体" w:eastAsia="宋体" w:cs="宋体"/>
                <w:b/>
                <w:bCs/>
                <w:szCs w:val="21"/>
              </w:rPr>
              <w:t>标准分</w:t>
            </w:r>
          </w:p>
        </w:tc>
        <w:tc>
          <w:tcPr>
            <w:tcW w:w="758" w:type="dxa"/>
            <w:vAlign w:val="center"/>
          </w:tcPr>
          <w:p>
            <w:pPr>
              <w:spacing w:line="312" w:lineRule="auto"/>
              <w:ind w:left="2" w:leftChars="1" w:right="-37" w:rightChars="-18" w:firstLine="31" w:firstLineChars="15"/>
              <w:jc w:val="center"/>
              <w:rPr>
                <w:rFonts w:ascii="Calibri" w:hAnsi="宋体" w:eastAsia="宋体" w:cs="宋体"/>
                <w:b/>
                <w:bCs/>
                <w:szCs w:val="21"/>
              </w:rPr>
            </w:pPr>
            <w:r>
              <w:rPr>
                <w:rFonts w:hint="eastAsia" w:ascii="Calibri" w:hAnsi="宋体" w:eastAsia="宋体" w:cs="宋体"/>
                <w:b/>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3" w:hRule="atLeast"/>
          <w:jc w:val="center"/>
        </w:trPr>
        <w:tc>
          <w:tcPr>
            <w:tcW w:w="734" w:type="dxa"/>
            <w:vMerge w:val="restart"/>
            <w:vAlign w:val="center"/>
          </w:tcPr>
          <w:p>
            <w:pPr>
              <w:spacing w:line="312" w:lineRule="auto"/>
              <w:ind w:left="2" w:leftChars="1" w:right="-37" w:rightChars="-18" w:firstLine="4" w:firstLineChars="2"/>
              <w:jc w:val="center"/>
              <w:rPr>
                <w:rFonts w:ascii="Calibri" w:hAnsi="宋体" w:eastAsia="宋体" w:cs="宋体"/>
                <w:szCs w:val="21"/>
              </w:rPr>
            </w:pPr>
            <w:r>
              <w:rPr>
                <w:rFonts w:hint="eastAsia" w:ascii="Calibri" w:hAnsi="宋体" w:eastAsia="宋体" w:cs="宋体"/>
                <w:szCs w:val="21"/>
              </w:rPr>
              <w:t>1</w:t>
            </w:r>
          </w:p>
        </w:tc>
        <w:tc>
          <w:tcPr>
            <w:tcW w:w="1276" w:type="dxa"/>
            <w:gridSpan w:val="2"/>
            <w:vMerge w:val="restart"/>
            <w:vAlign w:val="center"/>
          </w:tcPr>
          <w:p>
            <w:pPr>
              <w:tabs>
                <w:tab w:val="left" w:pos="420"/>
              </w:tabs>
              <w:overflowPunct w:val="0"/>
              <w:autoSpaceDE w:val="0"/>
              <w:autoSpaceDN w:val="0"/>
              <w:adjustRightInd w:val="0"/>
              <w:snapToGrid w:val="0"/>
              <w:spacing w:line="312" w:lineRule="auto"/>
              <w:ind w:left="2" w:leftChars="1" w:right="-37" w:rightChars="-18" w:firstLine="6" w:firstLineChars="3"/>
              <w:jc w:val="center"/>
              <w:textAlignment w:val="baseline"/>
              <w:rPr>
                <w:rFonts w:ascii="Calibri" w:hAnsi="宋体" w:eastAsia="宋体" w:cs="宋体"/>
                <w:b/>
                <w:bCs/>
                <w:sz w:val="24"/>
                <w:szCs w:val="21"/>
              </w:rPr>
            </w:pPr>
            <w:r>
              <w:rPr>
                <w:rFonts w:hint="eastAsia" w:ascii="Calibri" w:hAnsi="宋体" w:eastAsia="宋体" w:cs="宋体"/>
                <w:b/>
                <w:bCs/>
                <w:szCs w:val="21"/>
              </w:rPr>
              <w:t>企业情况</w:t>
            </w:r>
          </w:p>
          <w:p>
            <w:pPr>
              <w:tabs>
                <w:tab w:val="left" w:pos="420"/>
              </w:tabs>
              <w:overflowPunct w:val="0"/>
              <w:autoSpaceDE w:val="0"/>
              <w:autoSpaceDN w:val="0"/>
              <w:adjustRightInd w:val="0"/>
              <w:snapToGrid w:val="0"/>
              <w:spacing w:line="312" w:lineRule="auto"/>
              <w:ind w:left="2" w:leftChars="1" w:right="-37" w:rightChars="-18" w:firstLine="6" w:firstLineChars="3"/>
              <w:jc w:val="center"/>
              <w:textAlignment w:val="baseline"/>
              <w:rPr>
                <w:rFonts w:ascii="Calibri" w:hAnsi="宋体" w:eastAsia="宋体" w:cs="宋体"/>
                <w:sz w:val="24"/>
                <w:szCs w:val="21"/>
              </w:rPr>
            </w:pPr>
            <w:r>
              <w:rPr>
                <w:rFonts w:hint="eastAsia" w:ascii="Calibri" w:hAnsi="宋体" w:eastAsia="宋体" w:cs="宋体"/>
                <w:b/>
                <w:bCs/>
                <w:szCs w:val="21"/>
              </w:rPr>
              <w:t>（15分）</w:t>
            </w:r>
          </w:p>
        </w:tc>
        <w:tc>
          <w:tcPr>
            <w:tcW w:w="994" w:type="dxa"/>
            <w:vAlign w:val="center"/>
          </w:tcPr>
          <w:p>
            <w:pPr>
              <w:tabs>
                <w:tab w:val="left" w:pos="420"/>
              </w:tabs>
              <w:overflowPunct w:val="0"/>
              <w:autoSpaceDE w:val="0"/>
              <w:autoSpaceDN w:val="0"/>
              <w:adjustRightInd w:val="0"/>
              <w:snapToGrid w:val="0"/>
              <w:spacing w:line="312" w:lineRule="auto"/>
              <w:ind w:left="3" w:leftChars="-19" w:right="-37" w:rightChars="-18" w:hanging="42" w:hangingChars="20"/>
              <w:textAlignment w:val="baseline"/>
              <w:rPr>
                <w:rFonts w:ascii="Calibri" w:hAnsi="宋体" w:eastAsia="宋体" w:cs="宋体"/>
                <w:sz w:val="24"/>
                <w:szCs w:val="21"/>
              </w:rPr>
            </w:pPr>
            <w:r>
              <w:rPr>
                <w:rFonts w:hint="eastAsia" w:ascii="Calibri" w:hAnsi="宋体" w:eastAsia="宋体" w:cs="宋体"/>
                <w:szCs w:val="21"/>
              </w:rPr>
              <w:t>202</w:t>
            </w:r>
            <w:r>
              <w:rPr>
                <w:rFonts w:ascii="Calibri" w:hAnsi="宋体" w:eastAsia="宋体" w:cs="宋体"/>
                <w:szCs w:val="21"/>
              </w:rPr>
              <w:t>1</w:t>
            </w:r>
            <w:r>
              <w:rPr>
                <w:rFonts w:hint="eastAsia" w:ascii="Calibri" w:hAnsi="宋体" w:eastAsia="宋体" w:cs="宋体"/>
                <w:szCs w:val="21"/>
              </w:rPr>
              <w:t>年末法人单位注册资本金</w:t>
            </w:r>
          </w:p>
        </w:tc>
        <w:tc>
          <w:tcPr>
            <w:tcW w:w="4647" w:type="dxa"/>
            <w:vAlign w:val="center"/>
          </w:tcPr>
          <w:p>
            <w:pPr>
              <w:tabs>
                <w:tab w:val="left" w:pos="420"/>
              </w:tabs>
              <w:overflowPunct w:val="0"/>
              <w:autoSpaceDE w:val="0"/>
              <w:autoSpaceDN w:val="0"/>
              <w:adjustRightInd w:val="0"/>
              <w:snapToGrid w:val="0"/>
              <w:spacing w:line="312" w:lineRule="auto"/>
              <w:ind w:left="6" w:right="-37" w:rightChars="-18" w:firstLine="413" w:firstLineChars="197"/>
              <w:textAlignment w:val="baseline"/>
              <w:rPr>
                <w:rFonts w:ascii="Calibri" w:hAnsi="宋体" w:eastAsia="宋体" w:cs="宋体"/>
                <w:sz w:val="24"/>
                <w:szCs w:val="21"/>
              </w:rPr>
            </w:pPr>
            <w:r>
              <w:rPr>
                <w:rFonts w:hint="eastAsia" w:ascii="Calibri" w:hAnsi="宋体" w:eastAsia="宋体" w:cs="宋体"/>
                <w:szCs w:val="21"/>
              </w:rPr>
              <w:t>注册资本金不足10亿元人民币的，得1分；</w:t>
            </w:r>
          </w:p>
          <w:p>
            <w:pPr>
              <w:tabs>
                <w:tab w:val="left" w:pos="420"/>
              </w:tabs>
              <w:overflowPunct w:val="0"/>
              <w:autoSpaceDE w:val="0"/>
              <w:autoSpaceDN w:val="0"/>
              <w:adjustRightInd w:val="0"/>
              <w:snapToGrid w:val="0"/>
              <w:spacing w:line="312" w:lineRule="auto"/>
              <w:ind w:left="6" w:right="-37" w:rightChars="-18" w:firstLine="413" w:firstLineChars="197"/>
              <w:textAlignment w:val="baseline"/>
              <w:rPr>
                <w:rFonts w:ascii="Calibri" w:hAnsi="宋体" w:eastAsia="宋体" w:cs="宋体"/>
                <w:sz w:val="24"/>
                <w:szCs w:val="21"/>
              </w:rPr>
            </w:pPr>
            <w:r>
              <w:rPr>
                <w:rFonts w:hint="eastAsia" w:ascii="Calibri" w:hAnsi="宋体" w:eastAsia="宋体" w:cs="宋体"/>
                <w:szCs w:val="21"/>
              </w:rPr>
              <w:t>注册资本金达到10亿元人民币的，得5分；</w:t>
            </w:r>
          </w:p>
          <w:p>
            <w:pPr>
              <w:tabs>
                <w:tab w:val="left" w:pos="420"/>
              </w:tabs>
              <w:overflowPunct w:val="0"/>
              <w:autoSpaceDE w:val="0"/>
              <w:autoSpaceDN w:val="0"/>
              <w:adjustRightInd w:val="0"/>
              <w:snapToGrid w:val="0"/>
              <w:spacing w:line="312" w:lineRule="auto"/>
              <w:ind w:left="6" w:right="-37" w:rightChars="-18" w:firstLine="413" w:firstLineChars="197"/>
              <w:textAlignment w:val="baseline"/>
              <w:rPr>
                <w:rFonts w:ascii="Calibri" w:hAnsi="宋体" w:eastAsia="宋体" w:cs="宋体"/>
                <w:sz w:val="24"/>
                <w:szCs w:val="21"/>
              </w:rPr>
            </w:pPr>
            <w:r>
              <w:rPr>
                <w:rFonts w:hint="eastAsia" w:ascii="Calibri" w:hAnsi="宋体" w:eastAsia="宋体" w:cs="宋体"/>
                <w:szCs w:val="21"/>
              </w:rPr>
              <w:t>每增加20亿元人民币加1分，不足20亿元的不予计分，最高加5分。</w:t>
            </w:r>
          </w:p>
          <w:p>
            <w:pPr>
              <w:tabs>
                <w:tab w:val="left" w:pos="420"/>
              </w:tabs>
              <w:overflowPunct w:val="0"/>
              <w:autoSpaceDE w:val="0"/>
              <w:autoSpaceDN w:val="0"/>
              <w:adjustRightInd w:val="0"/>
              <w:snapToGrid w:val="0"/>
              <w:spacing w:line="312" w:lineRule="auto"/>
              <w:ind w:left="6" w:right="-37" w:rightChars="-18" w:firstLine="413" w:firstLineChars="197"/>
              <w:textAlignment w:val="baseline"/>
              <w:rPr>
                <w:rFonts w:ascii="Calibri" w:hAnsi="宋体" w:eastAsia="宋体" w:cs="宋体"/>
                <w:sz w:val="24"/>
                <w:szCs w:val="21"/>
              </w:rPr>
            </w:pPr>
            <w:r>
              <w:rPr>
                <w:rFonts w:hint="eastAsia" w:ascii="Calibri" w:hAnsi="宋体" w:eastAsia="宋体" w:cs="宋体"/>
                <w:szCs w:val="21"/>
              </w:rPr>
              <w:t>注：投标人资本金额度以营业执照载明的注册资本金信息或提供国家企业信用信息公示系统中体现注册资本金的页面截图为准。</w:t>
            </w:r>
          </w:p>
        </w:tc>
        <w:tc>
          <w:tcPr>
            <w:tcW w:w="892" w:type="dxa"/>
            <w:vAlign w:val="center"/>
          </w:tcPr>
          <w:p>
            <w:pPr>
              <w:tabs>
                <w:tab w:val="left" w:pos="420"/>
              </w:tabs>
              <w:overflowPunct w:val="0"/>
              <w:autoSpaceDE w:val="0"/>
              <w:autoSpaceDN w:val="0"/>
              <w:adjustRightInd w:val="0"/>
              <w:snapToGrid w:val="0"/>
              <w:spacing w:line="312" w:lineRule="auto"/>
              <w:ind w:left="2" w:leftChars="1" w:right="-37" w:rightChars="-18" w:firstLine="25" w:firstLineChars="12"/>
              <w:jc w:val="center"/>
              <w:textAlignment w:val="baseline"/>
              <w:rPr>
                <w:rFonts w:ascii="Calibri" w:hAnsi="宋体" w:eastAsia="宋体" w:cs="宋体"/>
                <w:sz w:val="24"/>
                <w:szCs w:val="21"/>
              </w:rPr>
            </w:pPr>
            <w:r>
              <w:rPr>
                <w:rFonts w:hint="eastAsia" w:ascii="Calibri" w:hAnsi="宋体" w:eastAsia="宋体" w:cs="宋体"/>
                <w:szCs w:val="21"/>
              </w:rPr>
              <w:t>10</w:t>
            </w:r>
          </w:p>
        </w:tc>
        <w:tc>
          <w:tcPr>
            <w:tcW w:w="758" w:type="dxa"/>
            <w:vAlign w:val="center"/>
          </w:tcPr>
          <w:p>
            <w:pPr>
              <w:spacing w:line="312" w:lineRule="auto"/>
              <w:ind w:left="6" w:leftChars="1" w:right="-37"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6" w:hRule="atLeast"/>
          <w:jc w:val="center"/>
        </w:trPr>
        <w:tc>
          <w:tcPr>
            <w:tcW w:w="734" w:type="dxa"/>
            <w:vMerge w:val="continue"/>
            <w:vAlign w:val="center"/>
          </w:tcPr>
          <w:p>
            <w:pPr>
              <w:spacing w:line="312" w:lineRule="auto"/>
              <w:ind w:left="6" w:leftChars="1" w:right="-37" w:rightChars="-18" w:hanging="4" w:hangingChars="2"/>
              <w:jc w:val="center"/>
              <w:rPr>
                <w:rFonts w:ascii="Calibri" w:hAnsi="宋体" w:eastAsia="宋体" w:cs="宋体"/>
                <w:szCs w:val="21"/>
              </w:rPr>
            </w:pPr>
          </w:p>
        </w:tc>
        <w:tc>
          <w:tcPr>
            <w:tcW w:w="1276" w:type="dxa"/>
            <w:gridSpan w:val="2"/>
            <w:vMerge w:val="continue"/>
            <w:vAlign w:val="center"/>
          </w:tcPr>
          <w:p>
            <w:pPr>
              <w:spacing w:line="312" w:lineRule="auto"/>
              <w:ind w:left="6" w:leftChars="1" w:right="-37" w:rightChars="-18" w:hanging="4" w:hangingChars="2"/>
              <w:jc w:val="center"/>
              <w:rPr>
                <w:rFonts w:ascii="Calibri" w:hAnsi="宋体" w:eastAsia="宋体" w:cs="宋体"/>
                <w:szCs w:val="21"/>
              </w:rPr>
            </w:pPr>
          </w:p>
        </w:tc>
        <w:tc>
          <w:tcPr>
            <w:tcW w:w="994" w:type="dxa"/>
            <w:vAlign w:val="center"/>
          </w:tcPr>
          <w:p>
            <w:pPr>
              <w:tabs>
                <w:tab w:val="left" w:pos="420"/>
              </w:tabs>
              <w:overflowPunct w:val="0"/>
              <w:autoSpaceDE w:val="0"/>
              <w:autoSpaceDN w:val="0"/>
              <w:adjustRightInd w:val="0"/>
              <w:snapToGrid w:val="0"/>
              <w:spacing w:line="312" w:lineRule="auto"/>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202</w:t>
            </w:r>
            <w:r>
              <w:rPr>
                <w:rFonts w:ascii="Calibri" w:hAnsi="宋体" w:eastAsia="宋体" w:cs="宋体"/>
                <w:szCs w:val="21"/>
              </w:rPr>
              <w:t>0</w:t>
            </w:r>
            <w:r>
              <w:rPr>
                <w:rFonts w:hint="eastAsia" w:ascii="Calibri" w:hAnsi="宋体" w:eastAsia="宋体" w:cs="宋体"/>
                <w:szCs w:val="21"/>
              </w:rPr>
              <w:t>年末综合偿付能力充足率</w:t>
            </w:r>
          </w:p>
        </w:tc>
        <w:tc>
          <w:tcPr>
            <w:tcW w:w="4647" w:type="dxa"/>
            <w:vAlign w:val="center"/>
          </w:tcPr>
          <w:p>
            <w:pPr>
              <w:tabs>
                <w:tab w:val="left" w:pos="420"/>
              </w:tabs>
              <w:overflowPunct w:val="0"/>
              <w:autoSpaceDE w:val="0"/>
              <w:autoSpaceDN w:val="0"/>
              <w:adjustRightInd w:val="0"/>
              <w:snapToGrid w:val="0"/>
              <w:spacing w:line="312" w:lineRule="auto"/>
              <w:ind w:left="6" w:right="-37" w:rightChars="-18" w:firstLine="413" w:firstLineChars="197"/>
              <w:textAlignment w:val="baseline"/>
              <w:rPr>
                <w:rFonts w:ascii="Calibri" w:hAnsi="宋体" w:eastAsia="宋体" w:cs="宋体"/>
                <w:sz w:val="24"/>
                <w:szCs w:val="21"/>
              </w:rPr>
            </w:pPr>
            <w:r>
              <w:rPr>
                <w:rFonts w:hint="eastAsia" w:ascii="Calibri" w:hAnsi="宋体" w:eastAsia="宋体" w:cs="宋体"/>
                <w:szCs w:val="21"/>
              </w:rPr>
              <w:t>综合偿付能力充足率高于200％，得5分；</w:t>
            </w:r>
          </w:p>
          <w:p>
            <w:pPr>
              <w:tabs>
                <w:tab w:val="left" w:pos="420"/>
              </w:tabs>
              <w:overflowPunct w:val="0"/>
              <w:autoSpaceDE w:val="0"/>
              <w:autoSpaceDN w:val="0"/>
              <w:adjustRightInd w:val="0"/>
              <w:snapToGrid w:val="0"/>
              <w:spacing w:line="312" w:lineRule="auto"/>
              <w:ind w:left="6" w:right="-37" w:rightChars="-18" w:firstLine="413" w:firstLineChars="197"/>
              <w:textAlignment w:val="baseline"/>
              <w:rPr>
                <w:rFonts w:ascii="Calibri" w:hAnsi="宋体" w:eastAsia="宋体" w:cs="宋体"/>
                <w:sz w:val="24"/>
                <w:szCs w:val="21"/>
              </w:rPr>
            </w:pPr>
            <w:r>
              <w:rPr>
                <w:rFonts w:hint="eastAsia" w:ascii="Calibri" w:hAnsi="宋体" w:eastAsia="宋体" w:cs="宋体"/>
                <w:szCs w:val="21"/>
              </w:rPr>
              <w:t>150％≤综合偿付能力充足率≤200％，得2分；</w:t>
            </w:r>
          </w:p>
          <w:p>
            <w:pPr>
              <w:tabs>
                <w:tab w:val="left" w:pos="420"/>
              </w:tabs>
              <w:overflowPunct w:val="0"/>
              <w:autoSpaceDE w:val="0"/>
              <w:autoSpaceDN w:val="0"/>
              <w:adjustRightInd w:val="0"/>
              <w:snapToGrid w:val="0"/>
              <w:spacing w:line="312" w:lineRule="auto"/>
              <w:ind w:left="6" w:right="-37" w:rightChars="-18" w:firstLine="413" w:firstLineChars="197"/>
              <w:textAlignment w:val="baseline"/>
              <w:rPr>
                <w:rFonts w:ascii="Calibri" w:hAnsi="宋体" w:eastAsia="宋体" w:cs="宋体"/>
                <w:sz w:val="24"/>
                <w:szCs w:val="21"/>
              </w:rPr>
            </w:pPr>
            <w:r>
              <w:rPr>
                <w:rFonts w:hint="eastAsia" w:ascii="Calibri" w:hAnsi="宋体" w:eastAsia="宋体" w:cs="宋体"/>
                <w:szCs w:val="21"/>
              </w:rPr>
              <w:t>综合偿付能力充足率低于150％，不得分。</w:t>
            </w:r>
          </w:p>
          <w:p>
            <w:pPr>
              <w:tabs>
                <w:tab w:val="left" w:pos="420"/>
              </w:tabs>
              <w:overflowPunct w:val="0"/>
              <w:autoSpaceDE w:val="0"/>
              <w:autoSpaceDN w:val="0"/>
              <w:adjustRightInd w:val="0"/>
              <w:snapToGrid w:val="0"/>
              <w:spacing w:line="312" w:lineRule="auto"/>
              <w:ind w:left="6" w:right="-37" w:rightChars="-18" w:firstLine="413" w:firstLineChars="197"/>
              <w:textAlignment w:val="baseline"/>
              <w:rPr>
                <w:rFonts w:ascii="Calibri" w:hAnsi="宋体" w:eastAsia="宋体" w:cs="宋体"/>
                <w:sz w:val="24"/>
                <w:szCs w:val="21"/>
              </w:rPr>
            </w:pPr>
            <w:r>
              <w:rPr>
                <w:rFonts w:hint="eastAsia" w:ascii="Calibri" w:hAnsi="宋体" w:eastAsia="宋体" w:cs="宋体"/>
                <w:szCs w:val="21"/>
              </w:rPr>
              <w:t>注：综合偿付能力以</w:t>
            </w:r>
            <w:r>
              <w:rPr>
                <w:rFonts w:hint="eastAsia" w:ascii="宋体" w:hAnsi="宋体" w:eastAsia="宋体" w:cs="宋体"/>
                <w:szCs w:val="21"/>
              </w:rPr>
              <w:t>会计师事务所审计的</w:t>
            </w:r>
            <w:r>
              <w:rPr>
                <w:rFonts w:hint="eastAsia" w:ascii="Calibri" w:hAnsi="宋体" w:eastAsia="宋体" w:cs="宋体"/>
                <w:szCs w:val="21"/>
              </w:rPr>
              <w:t>202</w:t>
            </w:r>
            <w:r>
              <w:rPr>
                <w:rFonts w:ascii="Calibri" w:hAnsi="宋体" w:eastAsia="宋体" w:cs="宋体"/>
                <w:szCs w:val="21"/>
              </w:rPr>
              <w:t>0</w:t>
            </w:r>
            <w:r>
              <w:rPr>
                <w:rFonts w:hint="eastAsia" w:ascii="Calibri" w:hAnsi="宋体" w:eastAsia="宋体" w:cs="宋体"/>
                <w:szCs w:val="21"/>
              </w:rPr>
              <w:t>年度综合偿付能力充足率为准。</w:t>
            </w:r>
          </w:p>
        </w:tc>
        <w:tc>
          <w:tcPr>
            <w:tcW w:w="892" w:type="dxa"/>
            <w:vAlign w:val="center"/>
          </w:tcPr>
          <w:p>
            <w:pPr>
              <w:tabs>
                <w:tab w:val="left" w:pos="420"/>
              </w:tabs>
              <w:overflowPunct w:val="0"/>
              <w:autoSpaceDE w:val="0"/>
              <w:autoSpaceDN w:val="0"/>
              <w:adjustRightInd w:val="0"/>
              <w:snapToGrid w:val="0"/>
              <w:spacing w:line="312" w:lineRule="auto"/>
              <w:ind w:left="2" w:leftChars="1" w:right="-37" w:rightChars="-18" w:firstLine="25" w:firstLineChars="12"/>
              <w:jc w:val="center"/>
              <w:textAlignment w:val="baseline"/>
              <w:rPr>
                <w:rFonts w:ascii="Calibri" w:hAnsi="宋体" w:eastAsia="宋体" w:cs="宋体"/>
                <w:sz w:val="24"/>
                <w:szCs w:val="21"/>
              </w:rPr>
            </w:pPr>
            <w:r>
              <w:rPr>
                <w:rFonts w:hint="eastAsia" w:ascii="Calibri" w:hAnsi="宋体" w:eastAsia="宋体" w:cs="宋体"/>
                <w:szCs w:val="21"/>
              </w:rPr>
              <w:t>5</w:t>
            </w:r>
          </w:p>
        </w:tc>
        <w:tc>
          <w:tcPr>
            <w:tcW w:w="758" w:type="dxa"/>
            <w:vAlign w:val="center"/>
          </w:tcPr>
          <w:p>
            <w:pPr>
              <w:spacing w:line="312" w:lineRule="auto"/>
              <w:ind w:left="6" w:leftChars="1" w:right="-37"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7" w:hRule="atLeast"/>
          <w:jc w:val="center"/>
        </w:trPr>
        <w:tc>
          <w:tcPr>
            <w:tcW w:w="734" w:type="dxa"/>
            <w:vMerge w:val="restart"/>
            <w:vAlign w:val="center"/>
          </w:tcPr>
          <w:p>
            <w:pPr>
              <w:spacing w:line="312" w:lineRule="auto"/>
              <w:ind w:left="2" w:leftChars="1" w:right="-37" w:rightChars="-18" w:firstLine="4" w:firstLineChars="2"/>
              <w:jc w:val="center"/>
              <w:rPr>
                <w:rFonts w:ascii="Calibri" w:hAnsi="宋体" w:eastAsia="宋体" w:cs="宋体"/>
                <w:sz w:val="24"/>
                <w:szCs w:val="21"/>
              </w:rPr>
            </w:pPr>
            <w:r>
              <w:rPr>
                <w:rFonts w:hint="eastAsia" w:ascii="Calibri" w:hAnsi="宋体" w:eastAsia="宋体" w:cs="宋体"/>
                <w:szCs w:val="21"/>
              </w:rPr>
              <w:t>2</w:t>
            </w:r>
          </w:p>
        </w:tc>
        <w:tc>
          <w:tcPr>
            <w:tcW w:w="1276" w:type="dxa"/>
            <w:gridSpan w:val="2"/>
            <w:vMerge w:val="restart"/>
            <w:vAlign w:val="center"/>
          </w:tcPr>
          <w:p>
            <w:pPr>
              <w:tabs>
                <w:tab w:val="left" w:pos="420"/>
              </w:tabs>
              <w:overflowPunct w:val="0"/>
              <w:autoSpaceDE w:val="0"/>
              <w:autoSpaceDN w:val="0"/>
              <w:adjustRightInd w:val="0"/>
              <w:snapToGrid w:val="0"/>
              <w:spacing w:line="312" w:lineRule="auto"/>
              <w:ind w:left="2" w:leftChars="1" w:right="-37" w:rightChars="-18" w:firstLine="2" w:firstLineChars="1"/>
              <w:jc w:val="center"/>
              <w:textAlignment w:val="baseline"/>
              <w:rPr>
                <w:rFonts w:ascii="Calibri" w:hAnsi="宋体" w:eastAsia="宋体" w:cs="宋体"/>
                <w:sz w:val="24"/>
                <w:szCs w:val="21"/>
              </w:rPr>
            </w:pPr>
            <w:r>
              <w:rPr>
                <w:rFonts w:hint="eastAsia" w:ascii="Calibri" w:hAnsi="宋体" w:eastAsia="宋体" w:cs="宋体"/>
                <w:b/>
                <w:bCs/>
                <w:szCs w:val="21"/>
              </w:rPr>
              <w:t>项目承保经验（6分）</w:t>
            </w:r>
          </w:p>
        </w:tc>
        <w:tc>
          <w:tcPr>
            <w:tcW w:w="994" w:type="dxa"/>
            <w:vAlign w:val="center"/>
          </w:tcPr>
          <w:p>
            <w:pPr>
              <w:tabs>
                <w:tab w:val="left" w:pos="420"/>
              </w:tabs>
              <w:overflowPunct w:val="0"/>
              <w:autoSpaceDE w:val="0"/>
              <w:autoSpaceDN w:val="0"/>
              <w:adjustRightInd w:val="0"/>
              <w:snapToGrid w:val="0"/>
              <w:spacing w:line="312" w:lineRule="auto"/>
              <w:ind w:left="6" w:leftChars="1" w:right="-37" w:rightChars="-18" w:hanging="4" w:hangingChars="2"/>
              <w:jc w:val="center"/>
              <w:textAlignment w:val="baseline"/>
              <w:rPr>
                <w:rFonts w:ascii="Calibri" w:hAnsi="宋体" w:eastAsia="宋体" w:cs="宋体"/>
                <w:sz w:val="24"/>
                <w:szCs w:val="21"/>
              </w:rPr>
            </w:pPr>
            <w:r>
              <w:rPr>
                <w:rFonts w:hint="eastAsia" w:eastAsia="宋体"/>
                <w:szCs w:val="21"/>
              </w:rPr>
              <w:t>企业安全生产责任保险首席承保业绩</w:t>
            </w:r>
            <w:r>
              <w:rPr>
                <w:rFonts w:hint="eastAsia" w:ascii="Calibri" w:hAnsi="宋体" w:eastAsia="宋体" w:cs="宋体"/>
                <w:szCs w:val="21"/>
              </w:rPr>
              <w:t>经验</w:t>
            </w:r>
          </w:p>
        </w:tc>
        <w:tc>
          <w:tcPr>
            <w:tcW w:w="4647" w:type="dxa"/>
            <w:vAlign w:val="center"/>
          </w:tcPr>
          <w:p>
            <w:pPr>
              <w:tabs>
                <w:tab w:val="left" w:pos="420"/>
              </w:tabs>
              <w:overflowPunct w:val="0"/>
              <w:autoSpaceDE w:val="0"/>
              <w:autoSpaceDN w:val="0"/>
              <w:adjustRightInd w:val="0"/>
              <w:snapToGrid w:val="0"/>
              <w:spacing w:line="312" w:lineRule="auto"/>
              <w:ind w:left="6" w:leftChars="1" w:right="-37" w:rightChars="-18" w:hanging="4" w:hangingChars="2"/>
              <w:textAlignment w:val="baseline"/>
              <w:rPr>
                <w:rFonts w:ascii="Calibri" w:hAnsi="宋体" w:eastAsia="宋体" w:cs="宋体"/>
                <w:sz w:val="24"/>
                <w:szCs w:val="21"/>
              </w:rPr>
            </w:pPr>
            <w:r>
              <w:rPr>
                <w:rFonts w:hint="eastAsia" w:ascii="Calibri" w:hAnsi="Calibri" w:eastAsia="宋体" w:cs="Calibri"/>
                <w:szCs w:val="21"/>
              </w:rPr>
              <w:t>2018年1月1日至今（以合同签订时间为准）做为首席承保承担的中国境内（港澳台地区除外）总投保人数50人及以上的企业安全生产责任保险首席承保业绩，每项得2分，满分4分。</w:t>
            </w:r>
          </w:p>
        </w:tc>
        <w:tc>
          <w:tcPr>
            <w:tcW w:w="892" w:type="dxa"/>
            <w:vAlign w:val="center"/>
          </w:tcPr>
          <w:p>
            <w:pPr>
              <w:tabs>
                <w:tab w:val="left" w:pos="420"/>
              </w:tabs>
              <w:overflowPunct w:val="0"/>
              <w:autoSpaceDE w:val="0"/>
              <w:autoSpaceDN w:val="0"/>
              <w:adjustRightInd w:val="0"/>
              <w:snapToGrid w:val="0"/>
              <w:spacing w:line="312" w:lineRule="auto"/>
              <w:ind w:left="2" w:leftChars="1" w:right="-37" w:rightChars="-18" w:firstLine="25" w:firstLineChars="12"/>
              <w:jc w:val="center"/>
              <w:textAlignment w:val="baseline"/>
              <w:rPr>
                <w:rFonts w:ascii="Calibri" w:hAnsi="宋体" w:eastAsia="宋体" w:cs="宋体"/>
                <w:sz w:val="24"/>
                <w:szCs w:val="21"/>
              </w:rPr>
            </w:pPr>
            <w:r>
              <w:rPr>
                <w:rFonts w:ascii="Calibri" w:hAnsi="宋体" w:eastAsia="宋体" w:cs="宋体"/>
                <w:szCs w:val="21"/>
              </w:rPr>
              <w:t>4</w:t>
            </w:r>
          </w:p>
        </w:tc>
        <w:tc>
          <w:tcPr>
            <w:tcW w:w="758" w:type="dxa"/>
            <w:vAlign w:val="center"/>
          </w:tcPr>
          <w:p>
            <w:pPr>
              <w:spacing w:line="312" w:lineRule="auto"/>
              <w:ind w:left="6" w:leftChars="1" w:right="-37"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7" w:hRule="atLeast"/>
          <w:jc w:val="center"/>
        </w:trPr>
        <w:tc>
          <w:tcPr>
            <w:tcW w:w="734" w:type="dxa"/>
            <w:vMerge w:val="continue"/>
            <w:vAlign w:val="center"/>
          </w:tcPr>
          <w:p>
            <w:pPr>
              <w:spacing w:line="312" w:lineRule="auto"/>
              <w:ind w:left="2" w:leftChars="1" w:right="-37" w:rightChars="-18" w:firstLine="4" w:firstLineChars="2"/>
              <w:jc w:val="center"/>
              <w:rPr>
                <w:rFonts w:ascii="Calibri" w:hAnsi="宋体" w:eastAsia="宋体" w:cs="宋体"/>
                <w:szCs w:val="21"/>
              </w:rPr>
            </w:pPr>
          </w:p>
        </w:tc>
        <w:tc>
          <w:tcPr>
            <w:tcW w:w="1276" w:type="dxa"/>
            <w:gridSpan w:val="2"/>
            <w:vMerge w:val="continue"/>
            <w:vAlign w:val="center"/>
          </w:tcPr>
          <w:p>
            <w:pPr>
              <w:tabs>
                <w:tab w:val="left" w:pos="420"/>
              </w:tabs>
              <w:overflowPunct w:val="0"/>
              <w:autoSpaceDE w:val="0"/>
              <w:autoSpaceDN w:val="0"/>
              <w:adjustRightInd w:val="0"/>
              <w:snapToGrid w:val="0"/>
              <w:spacing w:line="312" w:lineRule="auto"/>
              <w:ind w:left="2" w:leftChars="1" w:right="-37" w:rightChars="-18" w:firstLine="2" w:firstLineChars="1"/>
              <w:jc w:val="center"/>
              <w:textAlignment w:val="baseline"/>
              <w:rPr>
                <w:rFonts w:ascii="Calibri" w:hAnsi="宋体" w:eastAsia="宋体" w:cs="宋体"/>
                <w:b/>
                <w:bCs/>
                <w:szCs w:val="21"/>
              </w:rPr>
            </w:pPr>
          </w:p>
        </w:tc>
        <w:tc>
          <w:tcPr>
            <w:tcW w:w="994" w:type="dxa"/>
            <w:vAlign w:val="center"/>
          </w:tcPr>
          <w:p>
            <w:pPr>
              <w:tabs>
                <w:tab w:val="left" w:pos="420"/>
              </w:tabs>
              <w:overflowPunct w:val="0"/>
              <w:autoSpaceDE w:val="0"/>
              <w:autoSpaceDN w:val="0"/>
              <w:adjustRightInd w:val="0"/>
              <w:snapToGrid w:val="0"/>
              <w:spacing w:line="312" w:lineRule="auto"/>
              <w:ind w:left="6" w:leftChars="1" w:right="-37" w:rightChars="-18" w:hanging="4" w:hangingChars="2"/>
              <w:jc w:val="center"/>
              <w:textAlignment w:val="baseline"/>
              <w:rPr>
                <w:rFonts w:eastAsia="宋体"/>
                <w:szCs w:val="21"/>
              </w:rPr>
            </w:pPr>
            <w:r>
              <w:rPr>
                <w:rFonts w:hint="eastAsia" w:eastAsia="宋体"/>
                <w:szCs w:val="21"/>
              </w:rPr>
              <w:t>企业安全生产责任保险共保承保业绩</w:t>
            </w:r>
            <w:r>
              <w:rPr>
                <w:rFonts w:hint="eastAsia" w:ascii="Calibri" w:hAnsi="宋体" w:eastAsia="宋体" w:cs="宋体"/>
                <w:szCs w:val="21"/>
              </w:rPr>
              <w:t>经验</w:t>
            </w:r>
          </w:p>
        </w:tc>
        <w:tc>
          <w:tcPr>
            <w:tcW w:w="4647" w:type="dxa"/>
            <w:vAlign w:val="center"/>
          </w:tcPr>
          <w:p>
            <w:pPr>
              <w:tabs>
                <w:tab w:val="left" w:pos="420"/>
              </w:tabs>
              <w:overflowPunct w:val="0"/>
              <w:autoSpaceDE w:val="0"/>
              <w:autoSpaceDN w:val="0"/>
              <w:adjustRightInd w:val="0"/>
              <w:snapToGrid w:val="0"/>
              <w:spacing w:line="312" w:lineRule="auto"/>
              <w:ind w:left="6" w:leftChars="1" w:right="-37" w:rightChars="-18" w:hanging="4" w:hangingChars="2"/>
              <w:textAlignment w:val="baseline"/>
              <w:rPr>
                <w:rFonts w:ascii="Calibri" w:hAnsi="Calibri" w:eastAsia="宋体" w:cs="Calibri"/>
                <w:szCs w:val="21"/>
              </w:rPr>
            </w:pPr>
            <w:r>
              <w:rPr>
                <w:rFonts w:hint="eastAsia" w:ascii="Calibri" w:hAnsi="Calibri" w:eastAsia="宋体" w:cs="Calibri"/>
                <w:szCs w:val="21"/>
              </w:rPr>
              <w:t>2018年1月1日</w:t>
            </w:r>
            <w:r>
              <w:rPr>
                <w:rFonts w:hint="eastAsia" w:ascii="宋体" w:hAnsi="宋体" w:eastAsia="宋体" w:cs="宋体"/>
                <w:szCs w:val="21"/>
              </w:rPr>
              <w:t>至今（以合同签订时间为准）做为共保承保承担的中国境内（港澳台地区除外）</w:t>
            </w:r>
            <w:r>
              <w:rPr>
                <w:rFonts w:hint="eastAsia" w:eastAsia="宋体"/>
                <w:szCs w:val="21"/>
              </w:rPr>
              <w:t>总投保人数50人及以上的企业安全生产责任保险共保承保业绩，每项</w:t>
            </w:r>
            <w:r>
              <w:rPr>
                <w:rFonts w:hint="eastAsia" w:ascii="Calibri" w:hAnsi="宋体" w:eastAsia="宋体" w:cs="宋体"/>
                <w:szCs w:val="21"/>
              </w:rPr>
              <w:t>得1分，满分2分。</w:t>
            </w:r>
          </w:p>
        </w:tc>
        <w:tc>
          <w:tcPr>
            <w:tcW w:w="892" w:type="dxa"/>
            <w:vAlign w:val="center"/>
          </w:tcPr>
          <w:p>
            <w:pPr>
              <w:tabs>
                <w:tab w:val="left" w:pos="420"/>
              </w:tabs>
              <w:overflowPunct w:val="0"/>
              <w:autoSpaceDE w:val="0"/>
              <w:autoSpaceDN w:val="0"/>
              <w:adjustRightInd w:val="0"/>
              <w:snapToGrid w:val="0"/>
              <w:spacing w:line="312" w:lineRule="auto"/>
              <w:ind w:left="2" w:leftChars="1" w:right="-37" w:rightChars="-18" w:firstLine="25" w:firstLineChars="12"/>
              <w:jc w:val="center"/>
              <w:textAlignment w:val="baseline"/>
              <w:rPr>
                <w:rFonts w:ascii="Calibri" w:hAnsi="宋体" w:eastAsia="宋体" w:cs="宋体"/>
                <w:szCs w:val="21"/>
              </w:rPr>
            </w:pPr>
            <w:r>
              <w:rPr>
                <w:rFonts w:hint="eastAsia" w:ascii="Calibri" w:hAnsi="宋体" w:eastAsia="宋体" w:cs="宋体"/>
                <w:szCs w:val="21"/>
              </w:rPr>
              <w:t>2</w:t>
            </w:r>
          </w:p>
        </w:tc>
        <w:tc>
          <w:tcPr>
            <w:tcW w:w="758" w:type="dxa"/>
            <w:vAlign w:val="center"/>
          </w:tcPr>
          <w:p>
            <w:pPr>
              <w:spacing w:line="312" w:lineRule="auto"/>
              <w:ind w:left="6" w:leftChars="1" w:right="-37"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5" w:hRule="atLeast"/>
          <w:jc w:val="center"/>
        </w:trPr>
        <w:tc>
          <w:tcPr>
            <w:tcW w:w="734" w:type="dxa"/>
            <w:vAlign w:val="center"/>
          </w:tcPr>
          <w:p>
            <w:pPr>
              <w:spacing w:line="312" w:lineRule="auto"/>
              <w:ind w:left="2" w:leftChars="1" w:right="-37" w:rightChars="-18" w:firstLine="4" w:firstLineChars="2"/>
              <w:jc w:val="center"/>
              <w:rPr>
                <w:rFonts w:ascii="Calibri" w:hAnsi="宋体" w:eastAsia="宋体" w:cs="宋体"/>
                <w:sz w:val="24"/>
                <w:szCs w:val="21"/>
              </w:rPr>
            </w:pPr>
            <w:r>
              <w:rPr>
                <w:rFonts w:hint="eastAsia" w:ascii="Calibri" w:hAnsi="宋体" w:eastAsia="宋体" w:cs="宋体"/>
                <w:szCs w:val="21"/>
              </w:rPr>
              <w:t>3</w:t>
            </w:r>
          </w:p>
        </w:tc>
        <w:tc>
          <w:tcPr>
            <w:tcW w:w="1276" w:type="dxa"/>
            <w:gridSpan w:val="2"/>
            <w:vAlign w:val="center"/>
          </w:tcPr>
          <w:p>
            <w:pPr>
              <w:tabs>
                <w:tab w:val="left" w:pos="420"/>
              </w:tabs>
              <w:overflowPunct w:val="0"/>
              <w:autoSpaceDE w:val="0"/>
              <w:autoSpaceDN w:val="0"/>
              <w:adjustRightInd w:val="0"/>
              <w:snapToGrid w:val="0"/>
              <w:spacing w:line="312" w:lineRule="auto"/>
              <w:ind w:left="2" w:leftChars="1" w:right="-37" w:rightChars="-18" w:firstLine="6" w:firstLineChars="3"/>
              <w:jc w:val="center"/>
              <w:textAlignment w:val="baseline"/>
              <w:rPr>
                <w:rFonts w:ascii="Calibri" w:hAnsi="宋体" w:eastAsia="宋体" w:cs="宋体"/>
                <w:sz w:val="24"/>
                <w:szCs w:val="21"/>
              </w:rPr>
            </w:pPr>
            <w:r>
              <w:rPr>
                <w:rFonts w:hint="eastAsia" w:ascii="Calibri" w:hAnsi="宋体" w:eastAsia="宋体" w:cs="宋体"/>
                <w:b/>
                <w:bCs/>
                <w:szCs w:val="21"/>
              </w:rPr>
              <w:t>项目理赔经验（6分）</w:t>
            </w:r>
          </w:p>
        </w:tc>
        <w:tc>
          <w:tcPr>
            <w:tcW w:w="994" w:type="dxa"/>
            <w:vAlign w:val="center"/>
          </w:tcPr>
          <w:p>
            <w:pPr>
              <w:tabs>
                <w:tab w:val="left" w:pos="420"/>
              </w:tabs>
              <w:overflowPunct w:val="0"/>
              <w:autoSpaceDE w:val="0"/>
              <w:autoSpaceDN w:val="0"/>
              <w:adjustRightInd w:val="0"/>
              <w:snapToGrid w:val="0"/>
              <w:spacing w:line="312" w:lineRule="auto"/>
              <w:ind w:left="2" w:leftChars="1" w:right="-37" w:rightChars="-18" w:firstLine="96" w:firstLineChars="46"/>
              <w:jc w:val="center"/>
              <w:textAlignment w:val="baseline"/>
              <w:rPr>
                <w:rFonts w:ascii="Calibri" w:hAnsi="宋体" w:eastAsia="宋体" w:cs="宋体"/>
                <w:sz w:val="24"/>
                <w:szCs w:val="21"/>
              </w:rPr>
            </w:pPr>
            <w:r>
              <w:rPr>
                <w:rFonts w:hint="eastAsia" w:ascii="Calibri" w:hAnsi="宋体" w:eastAsia="宋体" w:cs="宋体"/>
                <w:szCs w:val="21"/>
              </w:rPr>
              <w:t>项目理赔经验</w:t>
            </w:r>
          </w:p>
        </w:tc>
        <w:tc>
          <w:tcPr>
            <w:tcW w:w="4647" w:type="dxa"/>
            <w:vAlign w:val="center"/>
          </w:tcPr>
          <w:p>
            <w:pPr>
              <w:tabs>
                <w:tab w:val="left" w:pos="420"/>
              </w:tabs>
              <w:overflowPunct w:val="0"/>
              <w:autoSpaceDE w:val="0"/>
              <w:autoSpaceDN w:val="0"/>
              <w:adjustRightInd w:val="0"/>
              <w:snapToGrid w:val="0"/>
              <w:spacing w:line="312" w:lineRule="auto"/>
              <w:ind w:left="6" w:leftChars="1" w:right="-37" w:rightChars="-18" w:hanging="4" w:hangingChars="2"/>
              <w:textAlignment w:val="baseline"/>
              <w:rPr>
                <w:rFonts w:ascii="Calibri" w:hAnsi="宋体" w:eastAsia="宋体" w:cs="宋体"/>
                <w:sz w:val="24"/>
                <w:szCs w:val="21"/>
              </w:rPr>
            </w:pPr>
            <w:r>
              <w:rPr>
                <w:rFonts w:hint="eastAsia" w:ascii="Calibri" w:hAnsi="宋体" w:eastAsia="宋体" w:cs="宋体"/>
                <w:szCs w:val="21"/>
              </w:rPr>
              <w:t>201</w:t>
            </w:r>
            <w:r>
              <w:rPr>
                <w:rFonts w:ascii="Calibri" w:hAnsi="宋体" w:eastAsia="宋体" w:cs="宋体"/>
                <w:szCs w:val="21"/>
              </w:rPr>
              <w:t>8</w:t>
            </w:r>
            <w:r>
              <w:rPr>
                <w:rFonts w:hint="eastAsia" w:ascii="Calibri" w:hAnsi="宋体" w:eastAsia="宋体" w:cs="宋体"/>
                <w:szCs w:val="21"/>
              </w:rPr>
              <w:t>年1月1日至今（</w:t>
            </w:r>
            <w:r>
              <w:rPr>
                <w:rFonts w:hint="eastAsia" w:ascii="宋体" w:hAnsi="宋体" w:eastAsia="宋体" w:cs="宋体"/>
                <w:szCs w:val="21"/>
              </w:rPr>
              <w:t>以出险日期为准）</w:t>
            </w:r>
            <w:r>
              <w:rPr>
                <w:rFonts w:hint="eastAsia" w:ascii="Calibri" w:hAnsi="宋体" w:eastAsia="宋体" w:cs="宋体"/>
                <w:szCs w:val="21"/>
              </w:rPr>
              <w:t>，有</w:t>
            </w:r>
            <w:r>
              <w:rPr>
                <w:rFonts w:hint="eastAsia" w:ascii="宋体" w:hAnsi="宋体" w:eastAsia="宋体" w:cs="宋体"/>
                <w:szCs w:val="21"/>
              </w:rPr>
              <w:t>中国境内（港澳台地区除外）承保</w:t>
            </w:r>
            <w:r>
              <w:rPr>
                <w:rFonts w:hint="eastAsia" w:eastAsia="宋体"/>
                <w:szCs w:val="21"/>
              </w:rPr>
              <w:t>总投保人数50人及以上的企业安全生产责任保险并</w:t>
            </w:r>
            <w:r>
              <w:rPr>
                <w:rFonts w:hint="eastAsia" w:ascii="Calibri" w:hAnsi="宋体" w:eastAsia="宋体" w:cs="宋体"/>
                <w:szCs w:val="21"/>
              </w:rPr>
              <w:t>有赔案处理的业绩，且单笔已结案件保单赔偿金额在人民币10万元及以上的，每项得2分，满分6分。</w:t>
            </w:r>
          </w:p>
        </w:tc>
        <w:tc>
          <w:tcPr>
            <w:tcW w:w="892" w:type="dxa"/>
            <w:vAlign w:val="center"/>
          </w:tcPr>
          <w:p>
            <w:pPr>
              <w:tabs>
                <w:tab w:val="left" w:pos="420"/>
              </w:tabs>
              <w:overflowPunct w:val="0"/>
              <w:autoSpaceDE w:val="0"/>
              <w:autoSpaceDN w:val="0"/>
              <w:adjustRightInd w:val="0"/>
              <w:snapToGrid w:val="0"/>
              <w:spacing w:line="312" w:lineRule="auto"/>
              <w:ind w:left="2" w:leftChars="1" w:right="-37" w:rightChars="-18" w:firstLine="25" w:firstLineChars="12"/>
              <w:jc w:val="center"/>
              <w:textAlignment w:val="baseline"/>
              <w:rPr>
                <w:rFonts w:ascii="Calibri" w:hAnsi="宋体" w:eastAsia="宋体" w:cs="宋体"/>
                <w:sz w:val="24"/>
                <w:szCs w:val="21"/>
              </w:rPr>
            </w:pPr>
            <w:r>
              <w:rPr>
                <w:rFonts w:hint="eastAsia" w:ascii="Calibri" w:hAnsi="宋体" w:eastAsia="宋体" w:cs="宋体"/>
                <w:szCs w:val="21"/>
              </w:rPr>
              <w:t>6</w:t>
            </w:r>
          </w:p>
        </w:tc>
        <w:tc>
          <w:tcPr>
            <w:tcW w:w="758" w:type="dxa"/>
            <w:vAlign w:val="center"/>
          </w:tcPr>
          <w:p>
            <w:pPr>
              <w:spacing w:line="312" w:lineRule="auto"/>
              <w:ind w:left="2" w:leftChars="1" w:right="-37" w:rightChars="-18" w:firstLine="25" w:firstLineChars="1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0" w:hRule="atLeast"/>
          <w:jc w:val="center"/>
        </w:trPr>
        <w:tc>
          <w:tcPr>
            <w:tcW w:w="734" w:type="dxa"/>
            <w:vAlign w:val="center"/>
          </w:tcPr>
          <w:p>
            <w:pPr>
              <w:tabs>
                <w:tab w:val="left" w:pos="847"/>
              </w:tabs>
              <w:spacing w:line="312" w:lineRule="auto"/>
              <w:ind w:left="2" w:leftChars="1" w:right="-37" w:rightChars="-18" w:firstLine="4" w:firstLineChars="2"/>
              <w:jc w:val="center"/>
              <w:rPr>
                <w:rFonts w:ascii="Calibri" w:hAnsi="宋体" w:eastAsia="宋体" w:cs="宋体"/>
                <w:sz w:val="24"/>
                <w:szCs w:val="21"/>
              </w:rPr>
            </w:pPr>
            <w:r>
              <w:rPr>
                <w:rFonts w:hint="eastAsia" w:ascii="Calibri" w:hAnsi="宋体" w:eastAsia="宋体" w:cs="宋体"/>
                <w:szCs w:val="21"/>
              </w:rPr>
              <w:t>4</w:t>
            </w:r>
          </w:p>
        </w:tc>
        <w:tc>
          <w:tcPr>
            <w:tcW w:w="1270" w:type="dxa"/>
            <w:vAlign w:val="center"/>
          </w:tcPr>
          <w:p>
            <w:pPr>
              <w:tabs>
                <w:tab w:val="left" w:pos="420"/>
              </w:tabs>
              <w:overflowPunct w:val="0"/>
              <w:autoSpaceDE w:val="0"/>
              <w:autoSpaceDN w:val="0"/>
              <w:adjustRightInd w:val="0"/>
              <w:snapToGrid w:val="0"/>
              <w:spacing w:line="312" w:lineRule="auto"/>
              <w:ind w:left="6" w:leftChars="1" w:right="-37" w:rightChars="-18" w:hanging="4" w:hangingChars="2"/>
              <w:jc w:val="center"/>
              <w:textAlignment w:val="baseline"/>
              <w:rPr>
                <w:rFonts w:ascii="Calibri" w:hAnsi="宋体" w:eastAsia="宋体" w:cs="宋体"/>
                <w:b/>
                <w:bCs/>
                <w:sz w:val="24"/>
                <w:szCs w:val="21"/>
              </w:rPr>
            </w:pPr>
            <w:r>
              <w:rPr>
                <w:rFonts w:hint="eastAsia" w:ascii="Calibri" w:hAnsi="宋体" w:eastAsia="宋体" w:cs="宋体"/>
                <w:b/>
                <w:bCs/>
                <w:szCs w:val="21"/>
              </w:rPr>
              <w:t>客户认可函</w:t>
            </w:r>
          </w:p>
          <w:p>
            <w:pPr>
              <w:tabs>
                <w:tab w:val="left" w:pos="420"/>
              </w:tabs>
              <w:overflowPunct w:val="0"/>
              <w:autoSpaceDE w:val="0"/>
              <w:autoSpaceDN w:val="0"/>
              <w:adjustRightInd w:val="0"/>
              <w:snapToGrid w:val="0"/>
              <w:spacing w:line="312" w:lineRule="auto"/>
              <w:ind w:left="6" w:leftChars="1" w:right="-37" w:rightChars="-18" w:hanging="4" w:hangingChars="2"/>
              <w:jc w:val="center"/>
              <w:textAlignment w:val="baseline"/>
              <w:rPr>
                <w:rFonts w:ascii="Calibri" w:hAnsi="宋体" w:eastAsia="宋体" w:cs="宋体"/>
                <w:sz w:val="24"/>
                <w:szCs w:val="21"/>
              </w:rPr>
            </w:pPr>
            <w:r>
              <w:rPr>
                <w:rFonts w:hint="eastAsia" w:ascii="Calibri" w:hAnsi="宋体" w:eastAsia="宋体" w:cs="宋体"/>
                <w:b/>
                <w:bCs/>
                <w:szCs w:val="21"/>
              </w:rPr>
              <w:t>（3分）</w:t>
            </w:r>
          </w:p>
        </w:tc>
        <w:tc>
          <w:tcPr>
            <w:tcW w:w="5647" w:type="dxa"/>
            <w:gridSpan w:val="3"/>
            <w:vAlign w:val="center"/>
          </w:tcPr>
          <w:p>
            <w:pPr>
              <w:tabs>
                <w:tab w:val="left" w:pos="420"/>
              </w:tabs>
              <w:overflowPunct w:val="0"/>
              <w:autoSpaceDE w:val="0"/>
              <w:autoSpaceDN w:val="0"/>
              <w:adjustRightInd w:val="0"/>
              <w:snapToGrid w:val="0"/>
              <w:spacing w:line="312" w:lineRule="auto"/>
              <w:ind w:left="6" w:right="-37" w:rightChars="-18" w:firstLine="413" w:firstLineChars="197"/>
              <w:jc w:val="left"/>
              <w:textAlignment w:val="baseline"/>
              <w:rPr>
                <w:rFonts w:ascii="Calibri" w:hAnsi="宋体" w:eastAsia="宋体" w:cs="宋体"/>
                <w:sz w:val="24"/>
                <w:szCs w:val="21"/>
              </w:rPr>
            </w:pPr>
            <w:r>
              <w:rPr>
                <w:rFonts w:hint="eastAsia" w:ascii="Calibri" w:hAnsi="宋体" w:eastAsia="宋体" w:cs="宋体"/>
                <w:szCs w:val="21"/>
              </w:rPr>
              <w:t>提供1份</w:t>
            </w:r>
            <w:r>
              <w:rPr>
                <w:rFonts w:hint="eastAsia" w:ascii="Calibri" w:hAnsi="Calibri" w:eastAsia="宋体" w:cs="Calibri"/>
                <w:szCs w:val="21"/>
              </w:rPr>
              <w:t>201</w:t>
            </w:r>
            <w:r>
              <w:rPr>
                <w:rFonts w:ascii="Calibri" w:hAnsi="Calibri" w:eastAsia="宋体" w:cs="Calibri"/>
                <w:szCs w:val="21"/>
              </w:rPr>
              <w:t>8</w:t>
            </w:r>
            <w:r>
              <w:rPr>
                <w:rFonts w:hint="eastAsia" w:ascii="Calibri" w:hAnsi="Calibri" w:eastAsia="宋体" w:cs="Calibri"/>
                <w:szCs w:val="21"/>
              </w:rPr>
              <w:t>年1月1日至今</w:t>
            </w:r>
            <w:r>
              <w:rPr>
                <w:rFonts w:hint="eastAsia" w:ascii="Calibri" w:hAnsi="宋体" w:eastAsia="宋体" w:cs="宋体"/>
                <w:szCs w:val="21"/>
              </w:rPr>
              <w:t>中国境内（港澳台地区除外）</w:t>
            </w:r>
            <w:r>
              <w:rPr>
                <w:rFonts w:hint="eastAsia" w:eastAsia="宋体"/>
                <w:szCs w:val="21"/>
              </w:rPr>
              <w:t>总投保人数50人及以上的企业安全生产责任保险项目</w:t>
            </w:r>
            <w:r>
              <w:rPr>
                <w:rFonts w:hint="eastAsia" w:ascii="Calibri" w:hAnsi="宋体" w:eastAsia="宋体" w:cs="宋体"/>
                <w:szCs w:val="21"/>
              </w:rPr>
              <w:t>客户对服务工作表示认可的书面文件的得2分；在此基础上，每增加1份201</w:t>
            </w:r>
            <w:r>
              <w:rPr>
                <w:rFonts w:ascii="Calibri" w:hAnsi="宋体" w:eastAsia="宋体" w:cs="宋体"/>
                <w:szCs w:val="21"/>
              </w:rPr>
              <w:t>8</w:t>
            </w:r>
            <w:r>
              <w:rPr>
                <w:rFonts w:hint="eastAsia" w:ascii="Calibri" w:hAnsi="宋体" w:eastAsia="宋体" w:cs="宋体"/>
                <w:szCs w:val="21"/>
              </w:rPr>
              <w:t>年1月1日至今中国境内（港澳台地区除外）</w:t>
            </w:r>
            <w:r>
              <w:rPr>
                <w:rFonts w:hint="eastAsia" w:eastAsia="宋体"/>
                <w:szCs w:val="21"/>
              </w:rPr>
              <w:t>总投保人数50人及以上的企业安全生产责任保险</w:t>
            </w:r>
            <w:r>
              <w:rPr>
                <w:rFonts w:hint="eastAsia" w:ascii="Calibri" w:hAnsi="宋体" w:eastAsia="宋体" w:cs="宋体"/>
                <w:szCs w:val="21"/>
              </w:rPr>
              <w:t>项目客户对服务工作表示认可的书面文件加0.5分，最多加1分；否则不得分。</w:t>
            </w:r>
          </w:p>
          <w:p>
            <w:pPr>
              <w:tabs>
                <w:tab w:val="left" w:pos="420"/>
              </w:tabs>
              <w:overflowPunct w:val="0"/>
              <w:autoSpaceDE w:val="0"/>
              <w:autoSpaceDN w:val="0"/>
              <w:adjustRightInd w:val="0"/>
              <w:snapToGrid w:val="0"/>
              <w:spacing w:line="312" w:lineRule="auto"/>
              <w:ind w:left="6" w:right="-37" w:rightChars="-18" w:firstLine="413" w:firstLineChars="197"/>
              <w:jc w:val="left"/>
              <w:textAlignment w:val="baseline"/>
              <w:rPr>
                <w:rFonts w:ascii="Calibri" w:hAnsi="宋体" w:eastAsia="宋体" w:cs="宋体"/>
                <w:sz w:val="24"/>
                <w:szCs w:val="21"/>
              </w:rPr>
            </w:pPr>
            <w:r>
              <w:rPr>
                <w:rFonts w:hint="eastAsia" w:ascii="Calibri" w:hAnsi="宋体" w:eastAsia="宋体" w:cs="宋体"/>
                <w:szCs w:val="21"/>
              </w:rPr>
              <w:t>注：对投标人法人单位下设分支机构的认可视为有效。</w:t>
            </w:r>
          </w:p>
        </w:tc>
        <w:tc>
          <w:tcPr>
            <w:tcW w:w="892" w:type="dxa"/>
            <w:vAlign w:val="center"/>
          </w:tcPr>
          <w:p>
            <w:pPr>
              <w:tabs>
                <w:tab w:val="left" w:pos="420"/>
              </w:tabs>
              <w:overflowPunct w:val="0"/>
              <w:autoSpaceDE w:val="0"/>
              <w:autoSpaceDN w:val="0"/>
              <w:adjustRightInd w:val="0"/>
              <w:snapToGrid w:val="0"/>
              <w:spacing w:line="312" w:lineRule="auto"/>
              <w:ind w:left="2" w:leftChars="1" w:right="-37" w:rightChars="-18" w:firstLine="25" w:firstLineChars="12"/>
              <w:jc w:val="center"/>
              <w:textAlignment w:val="baseline"/>
              <w:rPr>
                <w:rFonts w:ascii="Calibri" w:hAnsi="宋体" w:eastAsia="宋体" w:cs="宋体"/>
                <w:sz w:val="24"/>
                <w:szCs w:val="21"/>
              </w:rPr>
            </w:pPr>
            <w:r>
              <w:rPr>
                <w:rFonts w:hint="eastAsia" w:ascii="Calibri" w:hAnsi="宋体" w:eastAsia="宋体" w:cs="宋体"/>
                <w:szCs w:val="21"/>
              </w:rPr>
              <w:t>3</w:t>
            </w:r>
          </w:p>
        </w:tc>
        <w:tc>
          <w:tcPr>
            <w:tcW w:w="758" w:type="dxa"/>
            <w:vAlign w:val="center"/>
          </w:tcPr>
          <w:p>
            <w:pPr>
              <w:spacing w:line="312" w:lineRule="auto"/>
              <w:ind w:left="2" w:leftChars="1" w:right="-37" w:rightChars="-18" w:firstLine="25" w:firstLineChars="1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7651" w:type="dxa"/>
            <w:gridSpan w:val="5"/>
            <w:vAlign w:val="center"/>
          </w:tcPr>
          <w:p>
            <w:pPr>
              <w:spacing w:line="312" w:lineRule="auto"/>
              <w:ind w:left="6" w:leftChars="1" w:right="-37" w:rightChars="-18" w:hanging="4" w:hangingChars="2"/>
              <w:jc w:val="center"/>
              <w:rPr>
                <w:rFonts w:ascii="Calibri" w:hAnsi="宋体" w:eastAsia="宋体" w:cs="宋体"/>
                <w:b/>
                <w:bCs/>
                <w:sz w:val="24"/>
                <w:szCs w:val="21"/>
              </w:rPr>
            </w:pPr>
            <w:r>
              <w:rPr>
                <w:rFonts w:hint="eastAsia" w:ascii="Calibri" w:hAnsi="宋体" w:eastAsia="宋体" w:cs="宋体"/>
                <w:b/>
                <w:bCs/>
                <w:szCs w:val="21"/>
              </w:rPr>
              <w:t>资信得分满分</w:t>
            </w:r>
          </w:p>
        </w:tc>
        <w:tc>
          <w:tcPr>
            <w:tcW w:w="892" w:type="dxa"/>
            <w:vAlign w:val="center"/>
          </w:tcPr>
          <w:p>
            <w:pPr>
              <w:tabs>
                <w:tab w:val="left" w:pos="420"/>
              </w:tabs>
              <w:overflowPunct w:val="0"/>
              <w:autoSpaceDE w:val="0"/>
              <w:autoSpaceDN w:val="0"/>
              <w:adjustRightInd w:val="0"/>
              <w:snapToGrid w:val="0"/>
              <w:spacing w:line="312" w:lineRule="auto"/>
              <w:ind w:left="6" w:leftChars="1" w:right="-37" w:rightChars="-18" w:hanging="4" w:hangingChars="2"/>
              <w:jc w:val="center"/>
              <w:textAlignment w:val="baseline"/>
              <w:rPr>
                <w:rFonts w:ascii="Calibri" w:hAnsi="宋体" w:eastAsia="宋体" w:cs="宋体"/>
                <w:b/>
                <w:bCs/>
                <w:sz w:val="24"/>
                <w:szCs w:val="21"/>
              </w:rPr>
            </w:pPr>
            <w:r>
              <w:rPr>
                <w:rFonts w:hint="eastAsia" w:ascii="Calibri" w:hAnsi="宋体" w:eastAsia="宋体" w:cs="宋体"/>
                <w:b/>
                <w:bCs/>
                <w:szCs w:val="21"/>
              </w:rPr>
              <w:t>30</w:t>
            </w:r>
          </w:p>
        </w:tc>
        <w:tc>
          <w:tcPr>
            <w:tcW w:w="758" w:type="dxa"/>
            <w:vAlign w:val="center"/>
          </w:tcPr>
          <w:p>
            <w:pPr>
              <w:spacing w:line="312" w:lineRule="auto"/>
              <w:ind w:left="6" w:leftChars="1" w:right="-37" w:rightChars="-18" w:hanging="4" w:hangingChars="2"/>
              <w:jc w:val="center"/>
              <w:rPr>
                <w:rFonts w:ascii="Calibri" w:hAnsi="宋体" w:eastAsia="宋体" w:cs="宋体"/>
                <w:b/>
                <w:bCs/>
                <w:szCs w:val="21"/>
              </w:rPr>
            </w:pPr>
          </w:p>
        </w:tc>
      </w:tr>
    </w:tbl>
    <w:p>
      <w:pPr>
        <w:widowControl/>
        <w:ind w:firstLine="420"/>
        <w:rPr>
          <w:rFonts w:hAnsi="宋体" w:eastAsia="宋体" w:cs="宋体"/>
          <w:szCs w:val="21"/>
        </w:rPr>
      </w:pPr>
    </w:p>
    <w:p>
      <w:pPr>
        <w:rPr>
          <w:rFonts w:hAnsi="宋体" w:eastAsia="宋体" w:cs="宋体"/>
          <w:szCs w:val="21"/>
        </w:rPr>
      </w:pPr>
      <w:r>
        <w:rPr>
          <w:rFonts w:hint="eastAsia" w:hAnsi="宋体" w:eastAsia="宋体" w:cs="宋体"/>
          <w:szCs w:val="21"/>
        </w:rPr>
        <w:t>注：承保业绩以提供保</w:t>
      </w:r>
      <w:r>
        <w:rPr>
          <w:rFonts w:hint="eastAsia" w:ascii="Calibri" w:hAnsi="宋体" w:eastAsia="宋体" w:cs="宋体"/>
          <w:szCs w:val="21"/>
        </w:rPr>
        <w:t>合同、协议或保险单</w:t>
      </w:r>
      <w:r>
        <w:rPr>
          <w:rFonts w:hint="eastAsia" w:hAnsi="宋体" w:eastAsia="宋体" w:cs="宋体"/>
          <w:szCs w:val="21"/>
        </w:rPr>
        <w:t>复印件为准，且证明材料需能够体现项目名称、承保公司、承保身份（首席/共保）、总保险金额和保险期限；理赔业绩以提供赔款支付或分摊凭证复印件为准，且证明材料需能够体现项目名称、承保身份（首席/共保）和保单赔偿金额。投标人再保险分入业绩和法人单位下设分支机构的业绩不视为投标人的业绩。</w:t>
      </w:r>
    </w:p>
    <w:p>
      <w:pPr>
        <w:outlineLvl w:val="1"/>
        <w:rPr>
          <w:rFonts w:hAnsi="宋体" w:eastAsia="宋体" w:cs="宋体"/>
          <w:b/>
          <w:sz w:val="24"/>
        </w:rPr>
      </w:pPr>
      <w:r>
        <w:rPr>
          <w:rFonts w:hint="eastAsia" w:hAnsi="宋体" w:eastAsia="宋体" w:cs="宋体"/>
          <w:szCs w:val="21"/>
        </w:rPr>
        <w:br w:type="page"/>
      </w:r>
      <w:bookmarkStart w:id="973" w:name="_Toc13210"/>
      <w:bookmarkStart w:id="974" w:name="_Toc9372"/>
      <w:bookmarkStart w:id="975" w:name="_Toc2967"/>
      <w:r>
        <w:rPr>
          <w:rFonts w:hint="eastAsia" w:hAnsi="宋体" w:eastAsia="宋体" w:cs="宋体"/>
          <w:b/>
          <w:sz w:val="24"/>
        </w:rPr>
        <w:t>附表四技术部分评分表</w:t>
      </w:r>
      <w:bookmarkEnd w:id="973"/>
      <w:bookmarkEnd w:id="974"/>
      <w:bookmarkEnd w:id="975"/>
    </w:p>
    <w:p>
      <w:pPr>
        <w:rPr>
          <w:rFonts w:hAnsi="宋体" w:eastAsia="宋体" w:cs="宋体"/>
          <w:bCs/>
        </w:rPr>
      </w:pPr>
    </w:p>
    <w:p>
      <w:pPr>
        <w:ind w:firstLine="562"/>
        <w:jc w:val="center"/>
      </w:pPr>
      <w:r>
        <w:rPr>
          <w:rFonts w:hint="eastAsia" w:hAnsi="宋体" w:eastAsia="宋体" w:cs="宋体"/>
          <w:b/>
          <w:bCs/>
          <w:sz w:val="28"/>
          <w:szCs w:val="28"/>
        </w:rPr>
        <w:t>技术部分评分表</w:t>
      </w:r>
    </w:p>
    <w:p>
      <w:pPr>
        <w:ind w:firstLine="562"/>
        <w:jc w:val="center"/>
      </w:pPr>
    </w:p>
    <w:tbl>
      <w:tblPr>
        <w:tblStyle w:val="47"/>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730"/>
        <w:gridCol w:w="1022"/>
        <w:gridCol w:w="708"/>
        <w:gridCol w:w="4073"/>
        <w:gridCol w:w="170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blHeader/>
        </w:trPr>
        <w:tc>
          <w:tcPr>
            <w:tcW w:w="483" w:type="dxa"/>
            <w:vAlign w:val="center"/>
          </w:tcPr>
          <w:p>
            <w:pPr>
              <w:spacing w:line="276" w:lineRule="auto"/>
              <w:ind w:left="6" w:leftChars="1" w:right="-37" w:rightChars="-18" w:hanging="4" w:hangingChars="2"/>
              <w:jc w:val="center"/>
              <w:rPr>
                <w:rFonts w:ascii="宋体" w:hAnsi="宋体" w:eastAsia="宋体" w:cs="宋体"/>
                <w:b/>
                <w:bCs/>
                <w:sz w:val="24"/>
                <w:szCs w:val="21"/>
              </w:rPr>
            </w:pPr>
            <w:r>
              <w:rPr>
                <w:rFonts w:hint="eastAsia" w:ascii="宋体" w:hAnsi="宋体" w:eastAsia="宋体" w:cs="宋体"/>
                <w:b/>
                <w:bCs/>
                <w:szCs w:val="21"/>
              </w:rPr>
              <w:t>序号</w:t>
            </w:r>
          </w:p>
        </w:tc>
        <w:tc>
          <w:tcPr>
            <w:tcW w:w="1752" w:type="dxa"/>
            <w:gridSpan w:val="2"/>
            <w:vAlign w:val="center"/>
          </w:tcPr>
          <w:p>
            <w:pPr>
              <w:spacing w:line="276" w:lineRule="auto"/>
              <w:ind w:left="6" w:leftChars="1" w:right="-37" w:rightChars="-18" w:hanging="4" w:hangingChars="2"/>
              <w:jc w:val="center"/>
              <w:rPr>
                <w:rFonts w:ascii="宋体" w:hAnsi="宋体" w:eastAsia="宋体" w:cs="宋体"/>
                <w:b/>
                <w:bCs/>
                <w:szCs w:val="21"/>
              </w:rPr>
            </w:pPr>
            <w:r>
              <w:rPr>
                <w:rFonts w:hint="eastAsia" w:ascii="宋体" w:hAnsi="宋体" w:eastAsia="宋体" w:cs="宋体"/>
                <w:b/>
                <w:bCs/>
                <w:szCs w:val="21"/>
              </w:rPr>
              <w:t>评审内容</w:t>
            </w:r>
          </w:p>
        </w:tc>
        <w:tc>
          <w:tcPr>
            <w:tcW w:w="708" w:type="dxa"/>
            <w:vAlign w:val="center"/>
          </w:tcPr>
          <w:p>
            <w:pPr>
              <w:spacing w:line="276" w:lineRule="auto"/>
              <w:ind w:left="2" w:leftChars="1" w:right="-37" w:rightChars="-18" w:firstLine="25" w:firstLineChars="12"/>
              <w:jc w:val="center"/>
              <w:rPr>
                <w:rFonts w:ascii="宋体" w:hAnsi="宋体" w:eastAsia="宋体" w:cs="宋体"/>
                <w:b/>
                <w:bCs/>
                <w:szCs w:val="21"/>
              </w:rPr>
            </w:pPr>
            <w:r>
              <w:rPr>
                <w:rFonts w:hint="eastAsia" w:ascii="宋体" w:hAnsi="宋体" w:eastAsia="宋体" w:cs="宋体"/>
                <w:b/>
                <w:bCs/>
                <w:szCs w:val="21"/>
              </w:rPr>
              <w:t>标准分</w:t>
            </w:r>
          </w:p>
        </w:tc>
        <w:tc>
          <w:tcPr>
            <w:tcW w:w="5778" w:type="dxa"/>
            <w:gridSpan w:val="2"/>
            <w:vAlign w:val="center"/>
          </w:tcPr>
          <w:p>
            <w:pPr>
              <w:spacing w:line="276" w:lineRule="auto"/>
              <w:ind w:left="2" w:leftChars="1" w:right="-37" w:rightChars="-18" w:firstLine="25" w:firstLineChars="12"/>
              <w:jc w:val="center"/>
              <w:rPr>
                <w:rFonts w:ascii="宋体" w:hAnsi="宋体" w:eastAsia="宋体" w:cs="宋体"/>
                <w:b/>
                <w:bCs/>
                <w:szCs w:val="21"/>
              </w:rPr>
            </w:pPr>
            <w:r>
              <w:rPr>
                <w:rFonts w:hint="eastAsia" w:ascii="宋体" w:hAnsi="宋体" w:eastAsia="宋体" w:cs="宋体"/>
                <w:b/>
                <w:bCs/>
                <w:szCs w:val="21"/>
              </w:rPr>
              <w:t>评分标准</w:t>
            </w:r>
          </w:p>
        </w:tc>
        <w:tc>
          <w:tcPr>
            <w:tcW w:w="795" w:type="dxa"/>
            <w:vAlign w:val="center"/>
          </w:tcPr>
          <w:p>
            <w:pPr>
              <w:spacing w:line="276" w:lineRule="auto"/>
              <w:ind w:left="2" w:leftChars="1" w:right="-37" w:rightChars="-18" w:firstLine="31" w:firstLineChars="15"/>
              <w:jc w:val="center"/>
              <w:rPr>
                <w:rFonts w:ascii="宋体" w:hAnsi="宋体" w:eastAsia="宋体" w:cs="宋体"/>
                <w:b/>
                <w:bCs/>
                <w:szCs w:val="21"/>
              </w:rPr>
            </w:pPr>
            <w:r>
              <w:rPr>
                <w:rFonts w:hint="eastAsia" w:ascii="宋体" w:hAnsi="宋体" w:eastAsia="宋体" w:cs="宋体"/>
                <w:b/>
                <w:bCs/>
                <w:szCs w:val="21"/>
              </w:rPr>
              <w:t>得分（n）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9" w:hRule="atLeast"/>
        </w:trPr>
        <w:tc>
          <w:tcPr>
            <w:tcW w:w="483" w:type="dxa"/>
            <w:vAlign w:val="center"/>
          </w:tcPr>
          <w:p>
            <w:pPr>
              <w:spacing w:line="276" w:lineRule="auto"/>
              <w:ind w:left="6" w:leftChars="1" w:right="-37" w:rightChars="-18" w:hanging="4" w:hangingChars="2"/>
              <w:jc w:val="center"/>
              <w:rPr>
                <w:rFonts w:ascii="宋体" w:hAnsi="宋体" w:eastAsia="宋体" w:cs="宋体"/>
                <w:szCs w:val="21"/>
              </w:rPr>
            </w:pPr>
            <w:r>
              <w:rPr>
                <w:rFonts w:hint="eastAsia" w:ascii="宋体" w:hAnsi="宋体" w:eastAsia="宋体" w:cs="宋体"/>
                <w:szCs w:val="21"/>
              </w:rPr>
              <w:t>1</w:t>
            </w:r>
          </w:p>
        </w:tc>
        <w:tc>
          <w:tcPr>
            <w:tcW w:w="730" w:type="dxa"/>
            <w:vAlign w:val="center"/>
          </w:tcPr>
          <w:p>
            <w:pPr>
              <w:tabs>
                <w:tab w:val="left" w:pos="420"/>
              </w:tabs>
              <w:overflowPunct w:val="0"/>
              <w:autoSpaceDE w:val="0"/>
              <w:autoSpaceDN w:val="0"/>
              <w:adjustRightInd w:val="0"/>
              <w:snapToGrid w:val="0"/>
              <w:spacing w:line="276" w:lineRule="auto"/>
              <w:ind w:leftChars="-1" w:right="-37" w:rightChars="-18" w:hanging="2" w:hangingChars="1"/>
              <w:jc w:val="left"/>
              <w:textAlignment w:val="baseline"/>
              <w:rPr>
                <w:rFonts w:ascii="宋体" w:hAnsi="宋体" w:eastAsia="宋体" w:cs="宋体"/>
                <w:b/>
                <w:bCs/>
                <w:sz w:val="24"/>
                <w:szCs w:val="21"/>
              </w:rPr>
            </w:pPr>
            <w:r>
              <w:rPr>
                <w:rFonts w:hint="eastAsia" w:ascii="宋体" w:hAnsi="宋体" w:eastAsia="宋体" w:cs="宋体"/>
                <w:b/>
                <w:bCs/>
                <w:szCs w:val="21"/>
              </w:rPr>
              <w:t>投标响应</w:t>
            </w:r>
          </w:p>
          <w:p>
            <w:pPr>
              <w:tabs>
                <w:tab w:val="left" w:pos="420"/>
              </w:tabs>
              <w:overflowPunct w:val="0"/>
              <w:autoSpaceDE w:val="0"/>
              <w:autoSpaceDN w:val="0"/>
              <w:adjustRightInd w:val="0"/>
              <w:snapToGrid w:val="0"/>
              <w:spacing w:line="276" w:lineRule="auto"/>
              <w:ind w:leftChars="-1" w:right="-37" w:rightChars="-18" w:hanging="2" w:hangingChars="1"/>
              <w:jc w:val="left"/>
              <w:textAlignment w:val="baseline"/>
              <w:rPr>
                <w:rFonts w:ascii="宋体" w:hAnsi="宋体" w:eastAsia="宋体" w:cs="宋体"/>
                <w:b/>
                <w:bCs/>
                <w:sz w:val="24"/>
                <w:szCs w:val="21"/>
              </w:rPr>
            </w:pPr>
            <w:r>
              <w:rPr>
                <w:rFonts w:hint="eastAsia" w:ascii="宋体" w:hAnsi="宋体" w:eastAsia="宋体" w:cs="宋体"/>
                <w:b/>
                <w:bCs/>
                <w:szCs w:val="21"/>
              </w:rPr>
              <w:t>（3分）</w:t>
            </w:r>
          </w:p>
        </w:tc>
        <w:tc>
          <w:tcPr>
            <w:tcW w:w="1022" w:type="dxa"/>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投标响应招标方案特别约定项目条款</w:t>
            </w:r>
          </w:p>
        </w:tc>
        <w:tc>
          <w:tcPr>
            <w:tcW w:w="708"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 w:val="24"/>
                <w:szCs w:val="21"/>
              </w:rPr>
            </w:pPr>
            <w:r>
              <w:rPr>
                <w:rFonts w:hint="eastAsia" w:ascii="宋体" w:hAnsi="宋体" w:eastAsia="宋体" w:cs="宋体"/>
                <w:szCs w:val="21"/>
              </w:rPr>
              <w:t>3</w:t>
            </w:r>
          </w:p>
        </w:tc>
        <w:tc>
          <w:tcPr>
            <w:tcW w:w="4073" w:type="dxa"/>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全部响应招标方案特别约定条件得3分，存在不响应项本项不得分。</w:t>
            </w: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Cs w:val="21"/>
              </w:rPr>
            </w:pPr>
            <w:r>
              <w:rPr>
                <w:rFonts w:hint="eastAsia" w:ascii="宋体" w:hAnsi="宋体" w:eastAsia="宋体" w:cs="宋体"/>
                <w:szCs w:val="21"/>
              </w:rPr>
              <w:t>n＝3</w:t>
            </w:r>
          </w:p>
        </w:tc>
        <w:tc>
          <w:tcPr>
            <w:tcW w:w="795" w:type="dxa"/>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483" w:type="dxa"/>
            <w:vMerge w:val="restart"/>
            <w:vAlign w:val="center"/>
          </w:tcPr>
          <w:p>
            <w:pPr>
              <w:spacing w:line="276" w:lineRule="auto"/>
              <w:ind w:left="6" w:leftChars="1" w:right="-37" w:rightChars="-18" w:hanging="4" w:hangingChars="2"/>
              <w:jc w:val="center"/>
              <w:rPr>
                <w:rFonts w:ascii="宋体" w:hAnsi="宋体" w:eastAsia="宋体" w:cs="宋体"/>
                <w:sz w:val="24"/>
                <w:szCs w:val="21"/>
              </w:rPr>
            </w:pPr>
            <w:r>
              <w:rPr>
                <w:rFonts w:hint="eastAsia" w:ascii="宋体" w:hAnsi="宋体" w:eastAsia="宋体" w:cs="宋体"/>
                <w:szCs w:val="21"/>
              </w:rPr>
              <w:t>2</w:t>
            </w:r>
          </w:p>
        </w:tc>
        <w:tc>
          <w:tcPr>
            <w:tcW w:w="730" w:type="dxa"/>
            <w:vMerge w:val="restart"/>
            <w:vAlign w:val="center"/>
          </w:tcPr>
          <w:p>
            <w:pPr>
              <w:tabs>
                <w:tab w:val="left" w:pos="420"/>
              </w:tabs>
              <w:overflowPunct w:val="0"/>
              <w:autoSpaceDE w:val="0"/>
              <w:autoSpaceDN w:val="0"/>
              <w:adjustRightInd w:val="0"/>
              <w:snapToGrid w:val="0"/>
              <w:spacing w:line="276" w:lineRule="auto"/>
              <w:ind w:leftChars="-1" w:right="-37" w:rightChars="-18" w:hanging="2" w:hangingChars="1"/>
              <w:jc w:val="left"/>
              <w:textAlignment w:val="baseline"/>
              <w:rPr>
                <w:rFonts w:ascii="宋体" w:hAnsi="宋体" w:eastAsia="宋体" w:cs="宋体"/>
                <w:b/>
                <w:bCs/>
                <w:sz w:val="24"/>
                <w:szCs w:val="21"/>
              </w:rPr>
            </w:pPr>
            <w:r>
              <w:rPr>
                <w:rFonts w:hint="eastAsia" w:ascii="宋体" w:hAnsi="宋体" w:eastAsia="宋体" w:cs="宋体"/>
                <w:b/>
                <w:bCs/>
                <w:szCs w:val="21"/>
              </w:rPr>
              <w:t>理赔及风险管控服务</w:t>
            </w:r>
          </w:p>
          <w:p>
            <w:pPr>
              <w:tabs>
                <w:tab w:val="left" w:pos="420"/>
              </w:tabs>
              <w:overflowPunct w:val="0"/>
              <w:autoSpaceDE w:val="0"/>
              <w:autoSpaceDN w:val="0"/>
              <w:adjustRightInd w:val="0"/>
              <w:snapToGrid w:val="0"/>
              <w:spacing w:line="276" w:lineRule="auto"/>
              <w:ind w:leftChars="-1" w:right="-37" w:rightChars="-18" w:hanging="2" w:hangingChars="1"/>
              <w:jc w:val="left"/>
              <w:textAlignment w:val="baseline"/>
              <w:rPr>
                <w:rFonts w:ascii="宋体" w:hAnsi="宋体" w:eastAsia="宋体" w:cs="宋体"/>
                <w:b/>
                <w:bCs/>
                <w:sz w:val="24"/>
                <w:szCs w:val="21"/>
              </w:rPr>
            </w:pPr>
            <w:r>
              <w:rPr>
                <w:rFonts w:hint="eastAsia" w:ascii="宋体" w:hAnsi="宋体" w:eastAsia="宋体" w:cs="宋体"/>
                <w:b/>
                <w:bCs/>
                <w:szCs w:val="21"/>
              </w:rPr>
              <w:t>（20分）</w:t>
            </w:r>
          </w:p>
        </w:tc>
        <w:tc>
          <w:tcPr>
            <w:tcW w:w="1022" w:type="dxa"/>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接报案及查勘</w:t>
            </w:r>
          </w:p>
        </w:tc>
        <w:tc>
          <w:tcPr>
            <w:tcW w:w="708" w:type="dxa"/>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jc w:val="center"/>
              <w:textAlignment w:val="baseline"/>
              <w:rPr>
                <w:rFonts w:ascii="宋体" w:hAnsi="宋体" w:eastAsia="宋体" w:cs="宋体"/>
                <w:sz w:val="24"/>
                <w:szCs w:val="21"/>
              </w:rPr>
            </w:pPr>
            <w:r>
              <w:rPr>
                <w:rFonts w:ascii="宋体" w:hAnsi="宋体" w:eastAsia="宋体" w:cs="宋体"/>
                <w:szCs w:val="21"/>
              </w:rPr>
              <w:t>3</w:t>
            </w:r>
          </w:p>
        </w:tc>
        <w:tc>
          <w:tcPr>
            <w:tcW w:w="4073" w:type="dxa"/>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由评委横向评估接报案的服务方案的合理、切实可行程度以及现场查勘的程序便捷程度</w:t>
            </w:r>
          </w:p>
        </w:tc>
        <w:tc>
          <w:tcPr>
            <w:tcW w:w="1705" w:type="dxa"/>
            <w:vAlign w:val="center"/>
          </w:tcPr>
          <w:p>
            <w:pPr>
              <w:tabs>
                <w:tab w:val="left" w:pos="420"/>
              </w:tabs>
              <w:overflowPunct w:val="0"/>
              <w:autoSpaceDE w:val="0"/>
              <w:autoSpaceDN w:val="0"/>
              <w:adjustRightInd w:val="0"/>
              <w:snapToGrid w:val="0"/>
              <w:spacing w:line="276" w:lineRule="auto"/>
              <w:ind w:left="6" w:leftChars="1" w:right="-37" w:rightChars="-18" w:hanging="4" w:hangingChars="2"/>
              <w:jc w:val="center"/>
              <w:textAlignment w:val="baseline"/>
              <w:rPr>
                <w:rFonts w:ascii="宋体" w:hAnsi="宋体" w:eastAsia="宋体" w:cs="宋体"/>
                <w:szCs w:val="21"/>
              </w:rPr>
            </w:pPr>
            <w:r>
              <w:rPr>
                <w:rFonts w:hint="eastAsia" w:ascii="宋体" w:hAnsi="宋体" w:eastAsia="宋体" w:cs="宋体"/>
                <w:szCs w:val="21"/>
              </w:rPr>
              <w:t>优良，1＜n≤3</w:t>
            </w:r>
          </w:p>
        </w:tc>
        <w:tc>
          <w:tcPr>
            <w:tcW w:w="795" w:type="dxa"/>
            <w:vMerge w:val="restart"/>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Chars="-1" w:right="-37" w:rightChars="-18" w:hanging="2" w:hangingChars="1"/>
              <w:rPr>
                <w:rFonts w:ascii="宋体" w:hAnsi="宋体" w:eastAsia="宋体" w:cs="宋体"/>
                <w:b/>
                <w:bCs/>
                <w:szCs w:val="21"/>
              </w:rPr>
            </w:pPr>
          </w:p>
        </w:tc>
        <w:tc>
          <w:tcPr>
            <w:tcW w:w="1022"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708"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4073"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1705" w:type="dxa"/>
            <w:vAlign w:val="center"/>
          </w:tcPr>
          <w:p>
            <w:pPr>
              <w:tabs>
                <w:tab w:val="left" w:pos="420"/>
              </w:tabs>
              <w:overflowPunct w:val="0"/>
              <w:autoSpaceDE w:val="0"/>
              <w:autoSpaceDN w:val="0"/>
              <w:adjustRightInd w:val="0"/>
              <w:snapToGrid w:val="0"/>
              <w:spacing w:line="276" w:lineRule="auto"/>
              <w:ind w:left="6" w:leftChars="1" w:right="-37" w:rightChars="-18" w:hanging="4" w:hangingChars="2"/>
              <w:jc w:val="center"/>
              <w:textAlignment w:val="baseline"/>
              <w:rPr>
                <w:rFonts w:ascii="宋体" w:hAnsi="宋体" w:eastAsia="宋体" w:cs="宋体"/>
                <w:szCs w:val="21"/>
              </w:rPr>
            </w:pPr>
            <w:r>
              <w:rPr>
                <w:rFonts w:hint="eastAsia" w:ascii="宋体" w:hAnsi="宋体" w:eastAsia="宋体" w:cs="宋体"/>
                <w:szCs w:val="21"/>
              </w:rPr>
              <w:t>一般，0＜n≤1</w:t>
            </w:r>
          </w:p>
        </w:tc>
        <w:tc>
          <w:tcPr>
            <w:tcW w:w="795"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Chars="-1" w:right="-37" w:rightChars="-18" w:hanging="2" w:hangingChars="1"/>
              <w:rPr>
                <w:rFonts w:ascii="宋体" w:hAnsi="宋体" w:eastAsia="宋体" w:cs="宋体"/>
                <w:b/>
                <w:bCs/>
                <w:szCs w:val="21"/>
              </w:rPr>
            </w:pPr>
          </w:p>
        </w:tc>
        <w:tc>
          <w:tcPr>
            <w:tcW w:w="1022"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708"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4073"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1705" w:type="dxa"/>
            <w:vAlign w:val="center"/>
          </w:tcPr>
          <w:p>
            <w:pPr>
              <w:tabs>
                <w:tab w:val="left" w:pos="420"/>
              </w:tabs>
              <w:overflowPunct w:val="0"/>
              <w:autoSpaceDE w:val="0"/>
              <w:autoSpaceDN w:val="0"/>
              <w:adjustRightInd w:val="0"/>
              <w:snapToGrid w:val="0"/>
              <w:spacing w:line="276" w:lineRule="auto"/>
              <w:ind w:left="6" w:leftChars="1" w:right="-37" w:rightChars="-18" w:hanging="4" w:hangingChars="2"/>
              <w:jc w:val="center"/>
              <w:textAlignment w:val="baseline"/>
              <w:rPr>
                <w:rFonts w:ascii="宋体" w:hAnsi="宋体" w:eastAsia="宋体" w:cs="宋体"/>
                <w:szCs w:val="21"/>
              </w:rPr>
            </w:pPr>
            <w:r>
              <w:rPr>
                <w:rFonts w:hint="eastAsia" w:ascii="宋体" w:hAnsi="宋体" w:eastAsia="宋体" w:cs="宋体"/>
                <w:szCs w:val="21"/>
              </w:rPr>
              <w:t>差，n＝0</w:t>
            </w:r>
          </w:p>
        </w:tc>
        <w:tc>
          <w:tcPr>
            <w:tcW w:w="795"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Chars="-1" w:right="-37" w:rightChars="-18" w:hanging="2" w:hangingChars="1"/>
              <w:rPr>
                <w:rFonts w:ascii="宋体" w:hAnsi="宋体" w:eastAsia="宋体" w:cs="宋体"/>
                <w:b/>
                <w:bCs/>
                <w:szCs w:val="21"/>
              </w:rPr>
            </w:pPr>
          </w:p>
        </w:tc>
        <w:tc>
          <w:tcPr>
            <w:tcW w:w="1022" w:type="dxa"/>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审核及赔付</w:t>
            </w:r>
          </w:p>
        </w:tc>
        <w:tc>
          <w:tcPr>
            <w:tcW w:w="708" w:type="dxa"/>
            <w:vMerge w:val="restart"/>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 w:val="24"/>
                <w:szCs w:val="21"/>
              </w:rPr>
            </w:pPr>
            <w:r>
              <w:rPr>
                <w:rFonts w:ascii="宋体" w:hAnsi="宋体" w:eastAsia="宋体" w:cs="宋体"/>
                <w:szCs w:val="21"/>
              </w:rPr>
              <w:t>5</w:t>
            </w:r>
          </w:p>
        </w:tc>
        <w:tc>
          <w:tcPr>
            <w:tcW w:w="4073" w:type="dxa"/>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由评委横向评估单证审核方案快速、简化、合理、可行程度和预付赔款方案具体、可行程度及理赔时限方案快速、切实可行程度</w:t>
            </w:r>
          </w:p>
        </w:tc>
        <w:tc>
          <w:tcPr>
            <w:tcW w:w="1705" w:type="dxa"/>
            <w:vAlign w:val="center"/>
          </w:tcPr>
          <w:p>
            <w:pPr>
              <w:tabs>
                <w:tab w:val="left" w:pos="420"/>
              </w:tabs>
              <w:overflowPunct w:val="0"/>
              <w:autoSpaceDE w:val="0"/>
              <w:autoSpaceDN w:val="0"/>
              <w:adjustRightInd w:val="0"/>
              <w:snapToGrid w:val="0"/>
              <w:spacing w:line="276" w:lineRule="auto"/>
              <w:ind w:left="6" w:leftChars="1" w:right="-37" w:rightChars="-18" w:hanging="4" w:hangingChars="2"/>
              <w:jc w:val="center"/>
              <w:textAlignment w:val="baseline"/>
              <w:rPr>
                <w:rFonts w:ascii="宋体" w:hAnsi="宋体" w:eastAsia="宋体" w:cs="宋体"/>
                <w:szCs w:val="21"/>
              </w:rPr>
            </w:pPr>
            <w:r>
              <w:rPr>
                <w:rFonts w:hint="eastAsia" w:ascii="宋体" w:hAnsi="宋体" w:eastAsia="宋体" w:cs="宋体"/>
                <w:szCs w:val="21"/>
              </w:rPr>
              <w:t>优良，2＜n≤5</w:t>
            </w:r>
          </w:p>
        </w:tc>
        <w:tc>
          <w:tcPr>
            <w:tcW w:w="795" w:type="dxa"/>
            <w:vMerge w:val="restart"/>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Chars="-1" w:right="-37" w:rightChars="-18" w:hanging="2" w:hangingChars="1"/>
              <w:rPr>
                <w:rFonts w:ascii="宋体" w:hAnsi="宋体" w:eastAsia="宋体" w:cs="宋体"/>
                <w:b/>
                <w:bCs/>
                <w:szCs w:val="21"/>
              </w:rPr>
            </w:pPr>
          </w:p>
        </w:tc>
        <w:tc>
          <w:tcPr>
            <w:tcW w:w="1022"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708"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4073"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1705" w:type="dxa"/>
            <w:vAlign w:val="center"/>
          </w:tcPr>
          <w:p>
            <w:pPr>
              <w:tabs>
                <w:tab w:val="left" w:pos="420"/>
              </w:tabs>
              <w:overflowPunct w:val="0"/>
              <w:autoSpaceDE w:val="0"/>
              <w:autoSpaceDN w:val="0"/>
              <w:adjustRightInd w:val="0"/>
              <w:snapToGrid w:val="0"/>
              <w:spacing w:line="276" w:lineRule="auto"/>
              <w:ind w:left="6" w:leftChars="1" w:right="-37" w:rightChars="-18" w:hanging="4" w:hangingChars="2"/>
              <w:jc w:val="center"/>
              <w:textAlignment w:val="baseline"/>
              <w:rPr>
                <w:rFonts w:ascii="宋体" w:hAnsi="宋体" w:eastAsia="宋体" w:cs="宋体"/>
                <w:szCs w:val="21"/>
              </w:rPr>
            </w:pPr>
            <w:r>
              <w:rPr>
                <w:rFonts w:hint="eastAsia" w:ascii="宋体" w:hAnsi="宋体" w:eastAsia="宋体" w:cs="宋体"/>
                <w:szCs w:val="21"/>
              </w:rPr>
              <w:t>一般，0＜n≤2</w:t>
            </w:r>
          </w:p>
        </w:tc>
        <w:tc>
          <w:tcPr>
            <w:tcW w:w="795"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6" w:leftChars="1" w:right="-37" w:rightChars="-18" w:hanging="4" w:hangingChars="2"/>
              <w:rPr>
                <w:rFonts w:ascii="宋体" w:hAnsi="宋体" w:eastAsia="宋体" w:cs="宋体"/>
                <w:b/>
                <w:bCs/>
                <w:szCs w:val="21"/>
              </w:rPr>
            </w:pPr>
          </w:p>
        </w:tc>
        <w:tc>
          <w:tcPr>
            <w:tcW w:w="1022"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708"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c>
          <w:tcPr>
            <w:tcW w:w="4073"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Cs w:val="21"/>
              </w:rPr>
            </w:pPr>
            <w:r>
              <w:rPr>
                <w:rFonts w:hint="eastAsia" w:ascii="宋体" w:hAnsi="宋体" w:eastAsia="宋体" w:cs="宋体"/>
                <w:szCs w:val="21"/>
              </w:rPr>
              <w:t>差，n＝0</w:t>
            </w:r>
          </w:p>
        </w:tc>
        <w:tc>
          <w:tcPr>
            <w:tcW w:w="795"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6" w:leftChars="1" w:right="-37" w:rightChars="-18" w:hanging="4" w:hangingChars="2"/>
              <w:rPr>
                <w:rFonts w:ascii="宋体" w:hAnsi="宋体" w:eastAsia="宋体" w:cs="宋体"/>
                <w:b/>
                <w:bCs/>
                <w:szCs w:val="21"/>
              </w:rPr>
            </w:pPr>
          </w:p>
        </w:tc>
        <w:tc>
          <w:tcPr>
            <w:tcW w:w="1022" w:type="dxa"/>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风险认知与防损建议</w:t>
            </w:r>
          </w:p>
        </w:tc>
        <w:tc>
          <w:tcPr>
            <w:tcW w:w="708" w:type="dxa"/>
            <w:vMerge w:val="restart"/>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 w:val="24"/>
                <w:szCs w:val="21"/>
              </w:rPr>
            </w:pPr>
            <w:r>
              <w:rPr>
                <w:rFonts w:hint="eastAsia" w:ascii="宋体" w:hAnsi="宋体" w:eastAsia="宋体" w:cs="宋体"/>
                <w:szCs w:val="21"/>
              </w:rPr>
              <w:t>3</w:t>
            </w:r>
          </w:p>
        </w:tc>
        <w:tc>
          <w:tcPr>
            <w:tcW w:w="4073" w:type="dxa"/>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由评委横向评估对本项目经营风险认知水平和防损建议合理、切实可行程度</w:t>
            </w: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Cs w:val="21"/>
              </w:rPr>
            </w:pPr>
            <w:r>
              <w:rPr>
                <w:rFonts w:hint="eastAsia" w:ascii="宋体" w:hAnsi="宋体" w:eastAsia="宋体" w:cs="宋体"/>
                <w:szCs w:val="21"/>
              </w:rPr>
              <w:t>优良，1＜n≤3</w:t>
            </w:r>
          </w:p>
        </w:tc>
        <w:tc>
          <w:tcPr>
            <w:tcW w:w="795" w:type="dxa"/>
            <w:vMerge w:val="restart"/>
            <w:vAlign w:val="center"/>
          </w:tcPr>
          <w:p>
            <w:pPr>
              <w:spacing w:line="276" w:lineRule="auto"/>
              <w:ind w:left="6" w:leftChars="1" w:right="-37" w:rightChars="-18" w:hanging="4" w:hanging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6" w:leftChars="1" w:right="-37" w:rightChars="-18" w:hanging="4" w:hangingChars="2"/>
              <w:rPr>
                <w:rFonts w:ascii="宋体" w:hAnsi="宋体" w:eastAsia="宋体" w:cs="宋体"/>
                <w:b/>
                <w:bCs/>
                <w:szCs w:val="21"/>
              </w:rPr>
            </w:pPr>
          </w:p>
        </w:tc>
        <w:tc>
          <w:tcPr>
            <w:tcW w:w="1022"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708"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c>
          <w:tcPr>
            <w:tcW w:w="4073"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Cs w:val="21"/>
              </w:rPr>
            </w:pPr>
            <w:r>
              <w:rPr>
                <w:rFonts w:hint="eastAsia" w:ascii="宋体" w:hAnsi="宋体" w:eastAsia="宋体" w:cs="宋体"/>
                <w:szCs w:val="21"/>
              </w:rPr>
              <w:t>一般，0＜n≤1</w:t>
            </w:r>
          </w:p>
        </w:tc>
        <w:tc>
          <w:tcPr>
            <w:tcW w:w="795"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4"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6" w:leftChars="1" w:right="-37" w:rightChars="-18" w:hanging="4" w:hangingChars="2"/>
              <w:rPr>
                <w:rFonts w:ascii="宋体" w:hAnsi="宋体" w:eastAsia="宋体" w:cs="宋体"/>
                <w:b/>
                <w:bCs/>
                <w:szCs w:val="21"/>
              </w:rPr>
            </w:pPr>
          </w:p>
        </w:tc>
        <w:tc>
          <w:tcPr>
            <w:tcW w:w="1022"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708"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c>
          <w:tcPr>
            <w:tcW w:w="4073"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Cs w:val="21"/>
              </w:rPr>
            </w:pPr>
            <w:r>
              <w:rPr>
                <w:rFonts w:hint="eastAsia" w:ascii="宋体" w:hAnsi="宋体" w:eastAsia="宋体" w:cs="宋体"/>
                <w:szCs w:val="21"/>
              </w:rPr>
              <w:t>差，n＝0</w:t>
            </w:r>
          </w:p>
        </w:tc>
        <w:tc>
          <w:tcPr>
            <w:tcW w:w="795"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6" w:leftChars="1" w:right="-37" w:rightChars="-18" w:hanging="4" w:hangingChars="2"/>
              <w:rPr>
                <w:rFonts w:ascii="宋体" w:hAnsi="宋体" w:eastAsia="宋体" w:cs="宋体"/>
                <w:b/>
                <w:bCs/>
                <w:szCs w:val="21"/>
              </w:rPr>
            </w:pPr>
          </w:p>
        </w:tc>
        <w:tc>
          <w:tcPr>
            <w:tcW w:w="1022" w:type="dxa"/>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管控方案及综合投入</w:t>
            </w:r>
          </w:p>
        </w:tc>
        <w:tc>
          <w:tcPr>
            <w:tcW w:w="708" w:type="dxa"/>
            <w:vMerge w:val="restart"/>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 w:val="24"/>
                <w:szCs w:val="21"/>
              </w:rPr>
            </w:pPr>
            <w:r>
              <w:rPr>
                <w:rFonts w:ascii="宋体" w:hAnsi="宋体" w:eastAsia="宋体" w:cs="宋体"/>
                <w:szCs w:val="21"/>
              </w:rPr>
              <w:t>4</w:t>
            </w:r>
          </w:p>
        </w:tc>
        <w:tc>
          <w:tcPr>
            <w:tcW w:w="4073" w:type="dxa"/>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由评委横向评估管控方案具体、可行程度和综合投入人员、时间等内容全面及方案具体、可行程度</w:t>
            </w: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Cs w:val="21"/>
              </w:rPr>
            </w:pPr>
            <w:r>
              <w:rPr>
                <w:rFonts w:hint="eastAsia" w:ascii="宋体" w:hAnsi="宋体" w:eastAsia="宋体" w:cs="宋体"/>
                <w:szCs w:val="21"/>
              </w:rPr>
              <w:t>优良，1＜n≤4</w:t>
            </w:r>
          </w:p>
        </w:tc>
        <w:tc>
          <w:tcPr>
            <w:tcW w:w="795" w:type="dxa"/>
            <w:vMerge w:val="restart"/>
            <w:vAlign w:val="center"/>
          </w:tcPr>
          <w:p>
            <w:pPr>
              <w:pStyle w:val="2"/>
              <w:rPr>
                <w:rFonts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6" w:leftChars="1" w:right="-37" w:rightChars="-18" w:hanging="4" w:hangingChars="2"/>
              <w:rPr>
                <w:rFonts w:ascii="宋体" w:hAnsi="宋体" w:eastAsia="宋体" w:cs="宋体"/>
                <w:b/>
                <w:bCs/>
                <w:szCs w:val="21"/>
              </w:rPr>
            </w:pPr>
          </w:p>
        </w:tc>
        <w:tc>
          <w:tcPr>
            <w:tcW w:w="1022"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708"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c>
          <w:tcPr>
            <w:tcW w:w="4073"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Cs w:val="21"/>
              </w:rPr>
            </w:pPr>
            <w:r>
              <w:rPr>
                <w:rFonts w:hint="eastAsia" w:ascii="宋体" w:hAnsi="宋体" w:eastAsia="宋体" w:cs="宋体"/>
                <w:szCs w:val="21"/>
              </w:rPr>
              <w:t>一般，0＜n≤1</w:t>
            </w:r>
          </w:p>
        </w:tc>
        <w:tc>
          <w:tcPr>
            <w:tcW w:w="795"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6" w:leftChars="1" w:right="-37" w:rightChars="-18" w:hanging="4" w:hangingChars="2"/>
              <w:rPr>
                <w:rFonts w:ascii="宋体" w:hAnsi="宋体" w:eastAsia="宋体" w:cs="宋体"/>
                <w:b/>
                <w:bCs/>
                <w:szCs w:val="21"/>
              </w:rPr>
            </w:pPr>
          </w:p>
        </w:tc>
        <w:tc>
          <w:tcPr>
            <w:tcW w:w="1022"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708"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c>
          <w:tcPr>
            <w:tcW w:w="4073"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Cs w:val="21"/>
              </w:rPr>
            </w:pPr>
            <w:r>
              <w:rPr>
                <w:rFonts w:hint="eastAsia" w:ascii="宋体" w:hAnsi="宋体" w:eastAsia="宋体" w:cs="宋体"/>
                <w:szCs w:val="21"/>
              </w:rPr>
              <w:t>差，n＝0</w:t>
            </w:r>
          </w:p>
        </w:tc>
        <w:tc>
          <w:tcPr>
            <w:tcW w:w="795"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6" w:leftChars="1" w:right="-37" w:rightChars="-18" w:hanging="4" w:hangingChars="2"/>
              <w:rPr>
                <w:rFonts w:ascii="宋体" w:hAnsi="宋体" w:eastAsia="宋体" w:cs="宋体"/>
                <w:b/>
                <w:bCs/>
                <w:szCs w:val="21"/>
              </w:rPr>
            </w:pPr>
          </w:p>
        </w:tc>
        <w:tc>
          <w:tcPr>
            <w:tcW w:w="1022" w:type="dxa"/>
            <w:vMerge w:val="restart"/>
            <w:vAlign w:val="center"/>
          </w:tcPr>
          <w:p>
            <w:pPr>
              <w:spacing w:line="276" w:lineRule="auto"/>
              <w:ind w:left="6" w:leftChars="1" w:right="-37" w:rightChars="-18" w:hanging="4" w:hangingChars="2"/>
              <w:rPr>
                <w:rFonts w:ascii="宋体" w:hAnsi="宋体" w:eastAsia="宋体" w:cs="宋体"/>
                <w:szCs w:val="21"/>
              </w:rPr>
            </w:pPr>
            <w:r>
              <w:rPr>
                <w:rFonts w:hint="eastAsia" w:ascii="宋体" w:hAnsi="宋体" w:eastAsia="宋体" w:cs="宋体"/>
                <w:szCs w:val="21"/>
              </w:rPr>
              <w:t>风控资金投入</w:t>
            </w:r>
          </w:p>
        </w:tc>
        <w:tc>
          <w:tcPr>
            <w:tcW w:w="708" w:type="dxa"/>
            <w:vMerge w:val="restart"/>
            <w:vAlign w:val="center"/>
          </w:tcPr>
          <w:p>
            <w:pPr>
              <w:spacing w:line="276" w:lineRule="auto"/>
              <w:ind w:left="2" w:leftChars="1" w:right="-37" w:rightChars="-18" w:firstLine="4" w:firstLineChars="2"/>
              <w:jc w:val="center"/>
              <w:rPr>
                <w:rFonts w:ascii="宋体" w:hAnsi="宋体" w:eastAsia="宋体" w:cs="宋体"/>
                <w:szCs w:val="21"/>
              </w:rPr>
            </w:pPr>
            <w:r>
              <w:rPr>
                <w:rFonts w:hint="eastAsia" w:ascii="宋体" w:hAnsi="宋体" w:eastAsia="宋体" w:cs="宋体"/>
                <w:szCs w:val="21"/>
              </w:rPr>
              <w:t>2</w:t>
            </w:r>
          </w:p>
        </w:tc>
        <w:tc>
          <w:tcPr>
            <w:tcW w:w="4073" w:type="dxa"/>
            <w:vMerge w:val="restart"/>
            <w:vAlign w:val="center"/>
          </w:tcPr>
          <w:p>
            <w:pPr>
              <w:spacing w:line="276" w:lineRule="auto"/>
              <w:ind w:left="6" w:leftChars="1" w:right="-37" w:rightChars="-18" w:hanging="4" w:hangingChars="2"/>
              <w:rPr>
                <w:rFonts w:ascii="宋体" w:hAnsi="宋体" w:eastAsia="宋体" w:cs="宋体"/>
                <w:szCs w:val="21"/>
              </w:rPr>
            </w:pPr>
            <w:r>
              <w:rPr>
                <w:rFonts w:hint="eastAsia" w:ascii="宋体" w:hAnsi="宋体" w:eastAsia="宋体" w:cs="宋体"/>
                <w:szCs w:val="21"/>
              </w:rPr>
              <w:t>设立本项目专项风控资金M，用于本项目安全风险管控投入</w:t>
            </w: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szCs w:val="21"/>
              </w:rPr>
            </w:pPr>
            <w:r>
              <w:rPr>
                <w:rFonts w:hint="eastAsia" w:ascii="宋体" w:hAnsi="宋体" w:eastAsia="宋体" w:cs="宋体"/>
                <w:szCs w:val="21"/>
              </w:rPr>
              <w:t>6%=M，n＝2</w:t>
            </w:r>
          </w:p>
        </w:tc>
        <w:tc>
          <w:tcPr>
            <w:tcW w:w="795" w:type="dxa"/>
            <w:vMerge w:val="restart"/>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6" w:leftChars="1" w:right="-37" w:rightChars="-18" w:hanging="4" w:hangingChars="2"/>
              <w:rPr>
                <w:rFonts w:ascii="宋体" w:hAnsi="宋体" w:eastAsia="宋体" w:cs="宋体"/>
                <w:b/>
                <w:bCs/>
                <w:szCs w:val="21"/>
              </w:rPr>
            </w:pPr>
          </w:p>
        </w:tc>
        <w:tc>
          <w:tcPr>
            <w:tcW w:w="1022"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708"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c>
          <w:tcPr>
            <w:tcW w:w="4073"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1705" w:type="dxa"/>
            <w:vAlign w:val="center"/>
          </w:tcPr>
          <w:p>
            <w:pPr>
              <w:pStyle w:val="2"/>
              <w:ind w:left="0" w:leftChars="0" w:firstLine="0"/>
              <w:jc w:val="center"/>
              <w:rPr>
                <w:rFonts w:ascii="宋体" w:hAnsi="宋体" w:eastAsia="宋体" w:cs="宋体"/>
                <w:sz w:val="21"/>
                <w:szCs w:val="21"/>
              </w:rPr>
            </w:pPr>
            <w:r>
              <w:rPr>
                <w:rFonts w:hint="eastAsia" w:ascii="宋体" w:hAnsi="宋体" w:eastAsia="宋体" w:cs="宋体"/>
                <w:sz w:val="21"/>
                <w:szCs w:val="21"/>
              </w:rPr>
              <w:t>3%=M，n＝1</w:t>
            </w:r>
          </w:p>
        </w:tc>
        <w:tc>
          <w:tcPr>
            <w:tcW w:w="795"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6" w:leftChars="1" w:right="-37" w:rightChars="-18" w:hanging="4" w:hangingChars="2"/>
              <w:rPr>
                <w:rFonts w:ascii="宋体" w:hAnsi="宋体" w:eastAsia="宋体" w:cs="宋体"/>
                <w:b/>
                <w:bCs/>
                <w:szCs w:val="21"/>
              </w:rPr>
            </w:pPr>
          </w:p>
        </w:tc>
        <w:tc>
          <w:tcPr>
            <w:tcW w:w="1022"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708"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c>
          <w:tcPr>
            <w:tcW w:w="4073"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Cs w:val="21"/>
              </w:rPr>
            </w:pPr>
            <w:r>
              <w:rPr>
                <w:rFonts w:hint="eastAsia" w:ascii="宋体" w:hAnsi="宋体" w:eastAsia="宋体" w:cs="宋体"/>
                <w:szCs w:val="21"/>
              </w:rPr>
              <w:t>M=0，n＝0</w:t>
            </w:r>
          </w:p>
        </w:tc>
        <w:tc>
          <w:tcPr>
            <w:tcW w:w="795"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6" w:leftChars="1" w:right="-37" w:rightChars="-18" w:hanging="4" w:hangingChars="2"/>
              <w:rPr>
                <w:rFonts w:ascii="宋体" w:hAnsi="宋体" w:eastAsia="宋体" w:cs="宋体"/>
                <w:b/>
                <w:bCs/>
                <w:szCs w:val="21"/>
              </w:rPr>
            </w:pPr>
          </w:p>
        </w:tc>
        <w:tc>
          <w:tcPr>
            <w:tcW w:w="1022" w:type="dxa"/>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保险培训方案</w:t>
            </w:r>
          </w:p>
        </w:tc>
        <w:tc>
          <w:tcPr>
            <w:tcW w:w="708" w:type="dxa"/>
            <w:vMerge w:val="restart"/>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 w:val="24"/>
                <w:szCs w:val="21"/>
              </w:rPr>
            </w:pPr>
            <w:r>
              <w:rPr>
                <w:rFonts w:hint="eastAsia" w:ascii="宋体" w:hAnsi="宋体" w:eastAsia="宋体" w:cs="宋体"/>
                <w:szCs w:val="21"/>
              </w:rPr>
              <w:t>3</w:t>
            </w:r>
          </w:p>
        </w:tc>
        <w:tc>
          <w:tcPr>
            <w:tcW w:w="4073" w:type="dxa"/>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由评委横向评估保险培训计划、内容全面程度及形式多样化程度</w:t>
            </w: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Cs w:val="21"/>
              </w:rPr>
            </w:pPr>
            <w:r>
              <w:rPr>
                <w:rFonts w:hint="eastAsia" w:ascii="宋体" w:hAnsi="宋体" w:eastAsia="宋体" w:cs="宋体"/>
                <w:szCs w:val="21"/>
              </w:rPr>
              <w:t>优良，1＜n≤3</w:t>
            </w:r>
          </w:p>
        </w:tc>
        <w:tc>
          <w:tcPr>
            <w:tcW w:w="795" w:type="dxa"/>
            <w:vMerge w:val="restart"/>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6" w:leftChars="1" w:right="-37" w:rightChars="-18" w:hanging="4" w:hangingChars="2"/>
              <w:rPr>
                <w:rFonts w:ascii="宋体" w:hAnsi="宋体" w:eastAsia="宋体" w:cs="宋体"/>
                <w:b/>
                <w:bCs/>
                <w:szCs w:val="21"/>
              </w:rPr>
            </w:pPr>
          </w:p>
        </w:tc>
        <w:tc>
          <w:tcPr>
            <w:tcW w:w="1022"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708"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c>
          <w:tcPr>
            <w:tcW w:w="4073"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Cs w:val="21"/>
              </w:rPr>
            </w:pPr>
            <w:r>
              <w:rPr>
                <w:rFonts w:hint="eastAsia" w:ascii="宋体" w:hAnsi="宋体" w:eastAsia="宋体" w:cs="宋体"/>
                <w:szCs w:val="21"/>
              </w:rPr>
              <w:t>一般，0＜n≤1</w:t>
            </w:r>
          </w:p>
        </w:tc>
        <w:tc>
          <w:tcPr>
            <w:tcW w:w="795"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6" w:leftChars="1" w:right="-37" w:rightChars="-18" w:hanging="4" w:hangingChars="2"/>
              <w:rPr>
                <w:rFonts w:ascii="宋体" w:hAnsi="宋体" w:eastAsia="宋体" w:cs="宋体"/>
                <w:b/>
                <w:bCs/>
                <w:szCs w:val="21"/>
              </w:rPr>
            </w:pPr>
          </w:p>
        </w:tc>
        <w:tc>
          <w:tcPr>
            <w:tcW w:w="1022"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708"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c>
          <w:tcPr>
            <w:tcW w:w="4073"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 w:val="24"/>
                <w:szCs w:val="21"/>
              </w:rPr>
            </w:pPr>
            <w:r>
              <w:rPr>
                <w:rFonts w:hint="eastAsia" w:ascii="宋体" w:hAnsi="宋体" w:eastAsia="宋体" w:cs="宋体"/>
                <w:szCs w:val="21"/>
              </w:rPr>
              <w:t>差，n＝0</w:t>
            </w:r>
          </w:p>
        </w:tc>
        <w:tc>
          <w:tcPr>
            <w:tcW w:w="795"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483" w:type="dxa"/>
            <w:vMerge w:val="restart"/>
            <w:vAlign w:val="center"/>
          </w:tcPr>
          <w:p>
            <w:pPr>
              <w:spacing w:line="276" w:lineRule="auto"/>
              <w:ind w:left="6" w:leftChars="1" w:right="-37" w:rightChars="-18" w:hanging="4" w:hangingChars="2"/>
              <w:jc w:val="center"/>
              <w:rPr>
                <w:rFonts w:ascii="宋体" w:hAnsi="宋体" w:eastAsia="宋体" w:cs="宋体"/>
                <w:sz w:val="24"/>
                <w:szCs w:val="21"/>
              </w:rPr>
            </w:pPr>
            <w:r>
              <w:rPr>
                <w:rFonts w:hint="eastAsia" w:ascii="宋体" w:hAnsi="宋体" w:eastAsia="宋体" w:cs="宋体"/>
                <w:szCs w:val="21"/>
              </w:rPr>
              <w:t>3</w:t>
            </w:r>
          </w:p>
        </w:tc>
        <w:tc>
          <w:tcPr>
            <w:tcW w:w="730" w:type="dxa"/>
            <w:vMerge w:val="restart"/>
            <w:vAlign w:val="center"/>
          </w:tcPr>
          <w:p>
            <w:pPr>
              <w:tabs>
                <w:tab w:val="left" w:pos="420"/>
              </w:tabs>
              <w:overflowPunct w:val="0"/>
              <w:autoSpaceDE w:val="0"/>
              <w:autoSpaceDN w:val="0"/>
              <w:adjustRightInd w:val="0"/>
              <w:snapToGrid w:val="0"/>
              <w:spacing w:line="276" w:lineRule="auto"/>
              <w:ind w:leftChars="-1" w:right="-37" w:rightChars="-18" w:hanging="2" w:hangingChars="1"/>
              <w:jc w:val="left"/>
              <w:textAlignment w:val="baseline"/>
              <w:rPr>
                <w:rFonts w:ascii="宋体" w:hAnsi="宋体" w:eastAsia="宋体" w:cs="宋体"/>
                <w:b/>
                <w:bCs/>
                <w:sz w:val="24"/>
                <w:szCs w:val="21"/>
              </w:rPr>
            </w:pPr>
            <w:r>
              <w:rPr>
                <w:rFonts w:hint="eastAsia" w:ascii="宋体" w:hAnsi="宋体" w:eastAsia="宋体" w:cs="宋体"/>
                <w:b/>
                <w:bCs/>
                <w:szCs w:val="21"/>
              </w:rPr>
              <w:t>服务团队</w:t>
            </w:r>
          </w:p>
          <w:p>
            <w:pPr>
              <w:tabs>
                <w:tab w:val="left" w:pos="420"/>
              </w:tabs>
              <w:overflowPunct w:val="0"/>
              <w:autoSpaceDE w:val="0"/>
              <w:autoSpaceDN w:val="0"/>
              <w:adjustRightInd w:val="0"/>
              <w:snapToGrid w:val="0"/>
              <w:spacing w:line="276" w:lineRule="auto"/>
              <w:ind w:leftChars="-1" w:right="-37" w:rightChars="-18" w:hanging="2" w:hangingChars="1"/>
              <w:jc w:val="left"/>
              <w:textAlignment w:val="baseline"/>
              <w:rPr>
                <w:rFonts w:ascii="宋体" w:hAnsi="宋体" w:eastAsia="宋体" w:cs="宋体"/>
                <w:b/>
                <w:bCs/>
                <w:sz w:val="24"/>
                <w:szCs w:val="21"/>
              </w:rPr>
            </w:pPr>
            <w:r>
              <w:rPr>
                <w:rFonts w:hint="eastAsia" w:ascii="宋体" w:hAnsi="宋体" w:eastAsia="宋体" w:cs="宋体"/>
                <w:b/>
                <w:bCs/>
                <w:szCs w:val="21"/>
              </w:rPr>
              <w:t>（14分）</w:t>
            </w:r>
          </w:p>
        </w:tc>
        <w:tc>
          <w:tcPr>
            <w:tcW w:w="1022" w:type="dxa"/>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属地服务机构</w:t>
            </w:r>
          </w:p>
        </w:tc>
        <w:tc>
          <w:tcPr>
            <w:tcW w:w="708" w:type="dxa"/>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jc w:val="center"/>
              <w:textAlignment w:val="baseline"/>
              <w:rPr>
                <w:rFonts w:ascii="宋体" w:hAnsi="宋体" w:eastAsia="宋体" w:cs="宋体"/>
                <w:sz w:val="24"/>
                <w:szCs w:val="21"/>
              </w:rPr>
            </w:pPr>
            <w:r>
              <w:rPr>
                <w:rFonts w:hint="eastAsia" w:ascii="宋体" w:hAnsi="宋体" w:eastAsia="宋体" w:cs="宋体"/>
                <w:szCs w:val="21"/>
              </w:rPr>
              <w:t>8</w:t>
            </w:r>
          </w:p>
        </w:tc>
        <w:tc>
          <w:tcPr>
            <w:tcW w:w="4073" w:type="dxa"/>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对为本项目提供属地服务的机构予以评价：</w:t>
            </w:r>
          </w:p>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投标人的总部或总公司位于项目所在地、保险决策力及服务能力最高</w:t>
            </w:r>
          </w:p>
        </w:tc>
        <w:tc>
          <w:tcPr>
            <w:tcW w:w="1705" w:type="dxa"/>
            <w:vAlign w:val="center"/>
          </w:tcPr>
          <w:p>
            <w:pPr>
              <w:tabs>
                <w:tab w:val="left" w:pos="420"/>
              </w:tabs>
              <w:overflowPunct w:val="0"/>
              <w:autoSpaceDE w:val="0"/>
              <w:autoSpaceDN w:val="0"/>
              <w:adjustRightInd w:val="0"/>
              <w:snapToGrid w:val="0"/>
              <w:spacing w:line="276" w:lineRule="auto"/>
              <w:ind w:left="6" w:leftChars="1" w:right="-37" w:rightChars="-18" w:hanging="4" w:hangingChars="2"/>
              <w:jc w:val="center"/>
              <w:textAlignment w:val="baseline"/>
              <w:rPr>
                <w:rFonts w:ascii="宋体" w:hAnsi="宋体" w:eastAsia="宋体" w:cs="宋体"/>
                <w:sz w:val="24"/>
                <w:szCs w:val="21"/>
              </w:rPr>
            </w:pPr>
            <w:r>
              <w:rPr>
                <w:rFonts w:hint="eastAsia" w:ascii="宋体" w:hAnsi="宋体" w:eastAsia="宋体" w:cs="宋体"/>
                <w:szCs w:val="21"/>
              </w:rPr>
              <w:t>n＝8</w:t>
            </w:r>
          </w:p>
        </w:tc>
        <w:tc>
          <w:tcPr>
            <w:tcW w:w="795" w:type="dxa"/>
            <w:vMerge w:val="restart"/>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Chars="-1" w:right="-37" w:rightChars="-18" w:hanging="2" w:hangingChars="1"/>
              <w:rPr>
                <w:rFonts w:ascii="宋体" w:hAnsi="宋体" w:eastAsia="宋体" w:cs="宋体"/>
                <w:b/>
                <w:bCs/>
                <w:szCs w:val="21"/>
              </w:rPr>
            </w:pPr>
          </w:p>
        </w:tc>
        <w:tc>
          <w:tcPr>
            <w:tcW w:w="1022"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708"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4073" w:type="dxa"/>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项目所在地拥有总部以下或省级分支机构、保险决策力及服务能力较高</w:t>
            </w:r>
          </w:p>
        </w:tc>
        <w:tc>
          <w:tcPr>
            <w:tcW w:w="1705" w:type="dxa"/>
            <w:vAlign w:val="center"/>
          </w:tcPr>
          <w:p>
            <w:pPr>
              <w:tabs>
                <w:tab w:val="left" w:pos="420"/>
              </w:tabs>
              <w:overflowPunct w:val="0"/>
              <w:autoSpaceDE w:val="0"/>
              <w:autoSpaceDN w:val="0"/>
              <w:adjustRightInd w:val="0"/>
              <w:snapToGrid w:val="0"/>
              <w:spacing w:line="276" w:lineRule="auto"/>
              <w:ind w:left="6" w:leftChars="1" w:right="-37" w:rightChars="-18" w:hanging="4" w:hangingChars="2"/>
              <w:jc w:val="center"/>
              <w:textAlignment w:val="baseline"/>
              <w:rPr>
                <w:rFonts w:ascii="宋体" w:hAnsi="宋体" w:eastAsia="宋体" w:cs="宋体"/>
                <w:sz w:val="24"/>
                <w:szCs w:val="21"/>
              </w:rPr>
            </w:pPr>
            <w:r>
              <w:rPr>
                <w:rFonts w:hint="eastAsia" w:ascii="宋体" w:hAnsi="宋体" w:eastAsia="宋体" w:cs="宋体"/>
                <w:szCs w:val="21"/>
              </w:rPr>
              <w:t>n＝4</w:t>
            </w:r>
          </w:p>
        </w:tc>
        <w:tc>
          <w:tcPr>
            <w:tcW w:w="795"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Chars="-1" w:right="-37" w:rightChars="-18" w:hanging="2" w:hangingChars="1"/>
              <w:rPr>
                <w:rFonts w:ascii="宋体" w:hAnsi="宋体" w:eastAsia="宋体" w:cs="宋体"/>
                <w:b/>
                <w:bCs/>
                <w:szCs w:val="21"/>
              </w:rPr>
            </w:pPr>
          </w:p>
        </w:tc>
        <w:tc>
          <w:tcPr>
            <w:tcW w:w="1022"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708"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4073" w:type="dxa"/>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项目所在地拥有公司基层或市级分支机构级别、保险决策力及服务能力一般</w:t>
            </w:r>
          </w:p>
        </w:tc>
        <w:tc>
          <w:tcPr>
            <w:tcW w:w="1705" w:type="dxa"/>
            <w:vAlign w:val="center"/>
          </w:tcPr>
          <w:p>
            <w:pPr>
              <w:tabs>
                <w:tab w:val="left" w:pos="420"/>
              </w:tabs>
              <w:overflowPunct w:val="0"/>
              <w:autoSpaceDE w:val="0"/>
              <w:autoSpaceDN w:val="0"/>
              <w:adjustRightInd w:val="0"/>
              <w:snapToGrid w:val="0"/>
              <w:spacing w:line="276" w:lineRule="auto"/>
              <w:ind w:left="6" w:leftChars="1" w:right="-37" w:rightChars="-18" w:hanging="4" w:hangingChars="2"/>
              <w:jc w:val="center"/>
              <w:textAlignment w:val="baseline"/>
              <w:rPr>
                <w:rFonts w:ascii="宋体" w:hAnsi="宋体" w:eastAsia="宋体" w:cs="宋体"/>
                <w:sz w:val="24"/>
                <w:szCs w:val="21"/>
              </w:rPr>
            </w:pPr>
            <w:r>
              <w:rPr>
                <w:rFonts w:hint="eastAsia" w:ascii="宋体" w:hAnsi="宋体" w:eastAsia="宋体" w:cs="宋体"/>
                <w:szCs w:val="21"/>
              </w:rPr>
              <w:t>n＝1</w:t>
            </w:r>
          </w:p>
        </w:tc>
        <w:tc>
          <w:tcPr>
            <w:tcW w:w="795"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Chars="-1" w:right="-37" w:rightChars="-18" w:hanging="2" w:hangingChars="1"/>
              <w:rPr>
                <w:rFonts w:ascii="宋体" w:hAnsi="宋体" w:eastAsia="宋体" w:cs="宋体"/>
                <w:b/>
                <w:bCs/>
                <w:szCs w:val="21"/>
              </w:rPr>
            </w:pPr>
          </w:p>
        </w:tc>
        <w:tc>
          <w:tcPr>
            <w:tcW w:w="1022" w:type="dxa"/>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服务人员配置</w:t>
            </w:r>
          </w:p>
        </w:tc>
        <w:tc>
          <w:tcPr>
            <w:tcW w:w="708" w:type="dxa"/>
            <w:vMerge w:val="restart"/>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 w:val="24"/>
                <w:szCs w:val="21"/>
              </w:rPr>
            </w:pPr>
            <w:r>
              <w:rPr>
                <w:rFonts w:hint="eastAsia" w:ascii="宋体" w:hAnsi="宋体" w:eastAsia="宋体" w:cs="宋体"/>
                <w:szCs w:val="21"/>
              </w:rPr>
              <w:t>6</w:t>
            </w:r>
          </w:p>
        </w:tc>
        <w:tc>
          <w:tcPr>
            <w:tcW w:w="4073" w:type="dxa"/>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由评委横向综合评估项目负责人的专业经验和服务能力以及服务团队配置人员的整体专业经验和服务能力，根据团队整体对城市轨道交通运营项目服务的专业经验和能力优劣程度，以及考虑现场配置优劣程度</w:t>
            </w:r>
          </w:p>
        </w:tc>
        <w:tc>
          <w:tcPr>
            <w:tcW w:w="1705" w:type="dxa"/>
            <w:vAlign w:val="center"/>
          </w:tcPr>
          <w:p>
            <w:pPr>
              <w:tabs>
                <w:tab w:val="left" w:pos="420"/>
              </w:tabs>
              <w:overflowPunct w:val="0"/>
              <w:autoSpaceDE w:val="0"/>
              <w:autoSpaceDN w:val="0"/>
              <w:adjustRightInd w:val="0"/>
              <w:snapToGrid w:val="0"/>
              <w:spacing w:line="276" w:lineRule="auto"/>
              <w:ind w:left="6" w:leftChars="1" w:right="-37" w:rightChars="-18" w:hanging="4" w:hangingChars="2"/>
              <w:jc w:val="center"/>
              <w:textAlignment w:val="baseline"/>
              <w:rPr>
                <w:rFonts w:ascii="宋体" w:hAnsi="宋体" w:eastAsia="宋体" w:cs="宋体"/>
                <w:sz w:val="24"/>
                <w:szCs w:val="21"/>
              </w:rPr>
            </w:pPr>
            <w:r>
              <w:rPr>
                <w:rFonts w:hint="eastAsia" w:ascii="宋体" w:hAnsi="宋体" w:eastAsia="宋体" w:cs="宋体"/>
                <w:szCs w:val="21"/>
              </w:rPr>
              <w:t>优良，3＜n≤6</w:t>
            </w:r>
          </w:p>
        </w:tc>
        <w:tc>
          <w:tcPr>
            <w:tcW w:w="795" w:type="dxa"/>
            <w:vMerge w:val="restart"/>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Chars="-1" w:right="-37" w:rightChars="-18" w:hanging="2" w:hangingChars="1"/>
              <w:rPr>
                <w:rFonts w:ascii="宋体" w:hAnsi="宋体" w:eastAsia="宋体" w:cs="宋体"/>
                <w:b/>
                <w:bCs/>
                <w:szCs w:val="21"/>
              </w:rPr>
            </w:pPr>
          </w:p>
        </w:tc>
        <w:tc>
          <w:tcPr>
            <w:tcW w:w="1022"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708"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4073"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1705" w:type="dxa"/>
            <w:vAlign w:val="center"/>
          </w:tcPr>
          <w:p>
            <w:pPr>
              <w:tabs>
                <w:tab w:val="left" w:pos="420"/>
              </w:tabs>
              <w:overflowPunct w:val="0"/>
              <w:autoSpaceDE w:val="0"/>
              <w:autoSpaceDN w:val="0"/>
              <w:adjustRightInd w:val="0"/>
              <w:snapToGrid w:val="0"/>
              <w:spacing w:line="276" w:lineRule="auto"/>
              <w:ind w:left="6" w:leftChars="1" w:right="-37" w:rightChars="-18" w:hanging="4" w:hangingChars="2"/>
              <w:jc w:val="center"/>
              <w:textAlignment w:val="baseline"/>
              <w:rPr>
                <w:rFonts w:ascii="宋体" w:hAnsi="宋体" w:eastAsia="宋体" w:cs="宋体"/>
                <w:sz w:val="24"/>
                <w:szCs w:val="21"/>
              </w:rPr>
            </w:pPr>
            <w:r>
              <w:rPr>
                <w:rFonts w:hint="eastAsia" w:ascii="宋体" w:hAnsi="宋体" w:eastAsia="宋体" w:cs="宋体"/>
                <w:szCs w:val="21"/>
              </w:rPr>
              <w:t>一般，1＜n≤3</w:t>
            </w:r>
          </w:p>
        </w:tc>
        <w:tc>
          <w:tcPr>
            <w:tcW w:w="795"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730" w:type="dxa"/>
            <w:vMerge w:val="continue"/>
            <w:vAlign w:val="center"/>
          </w:tcPr>
          <w:p>
            <w:pPr>
              <w:spacing w:line="276" w:lineRule="auto"/>
              <w:ind w:left="6" w:leftChars="1" w:right="-37" w:rightChars="-18" w:hanging="4" w:hangingChars="2"/>
              <w:rPr>
                <w:rFonts w:ascii="宋体" w:hAnsi="宋体" w:eastAsia="宋体" w:cs="宋体"/>
                <w:b/>
                <w:bCs/>
                <w:szCs w:val="21"/>
              </w:rPr>
            </w:pPr>
          </w:p>
        </w:tc>
        <w:tc>
          <w:tcPr>
            <w:tcW w:w="1022"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708"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c>
          <w:tcPr>
            <w:tcW w:w="4073"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 w:val="24"/>
                <w:szCs w:val="21"/>
              </w:rPr>
            </w:pPr>
            <w:r>
              <w:rPr>
                <w:rFonts w:hint="eastAsia" w:ascii="宋体" w:hAnsi="宋体" w:eastAsia="宋体" w:cs="宋体"/>
                <w:szCs w:val="21"/>
              </w:rPr>
              <w:t>差，0≤n≤1</w:t>
            </w:r>
          </w:p>
        </w:tc>
        <w:tc>
          <w:tcPr>
            <w:tcW w:w="795"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483" w:type="dxa"/>
            <w:vMerge w:val="restart"/>
            <w:vAlign w:val="center"/>
          </w:tcPr>
          <w:p>
            <w:pPr>
              <w:spacing w:line="276" w:lineRule="auto"/>
              <w:ind w:left="6" w:leftChars="1" w:right="-37" w:rightChars="-18" w:hanging="4" w:hangingChars="2"/>
              <w:jc w:val="center"/>
              <w:rPr>
                <w:rFonts w:ascii="宋体" w:hAnsi="宋体" w:eastAsia="宋体" w:cs="宋体"/>
                <w:sz w:val="24"/>
                <w:szCs w:val="21"/>
              </w:rPr>
            </w:pPr>
            <w:r>
              <w:rPr>
                <w:rFonts w:hint="eastAsia" w:ascii="宋体" w:hAnsi="宋体" w:eastAsia="宋体" w:cs="宋体"/>
                <w:szCs w:val="21"/>
              </w:rPr>
              <w:t>4</w:t>
            </w:r>
          </w:p>
        </w:tc>
        <w:tc>
          <w:tcPr>
            <w:tcW w:w="1752" w:type="dxa"/>
            <w:gridSpan w:val="2"/>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jc w:val="center"/>
              <w:textAlignment w:val="baseline"/>
              <w:rPr>
                <w:rFonts w:ascii="宋体" w:hAnsi="宋体" w:eastAsia="宋体" w:cs="宋体"/>
                <w:sz w:val="24"/>
                <w:szCs w:val="21"/>
              </w:rPr>
            </w:pPr>
            <w:r>
              <w:rPr>
                <w:rFonts w:hint="eastAsia" w:ascii="宋体" w:hAnsi="宋体" w:eastAsia="宋体" w:cs="宋体"/>
                <w:b/>
                <w:bCs/>
                <w:szCs w:val="21"/>
              </w:rPr>
              <w:t>履约考核办法（3分）</w:t>
            </w:r>
          </w:p>
        </w:tc>
        <w:tc>
          <w:tcPr>
            <w:tcW w:w="708" w:type="dxa"/>
            <w:vMerge w:val="restart"/>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 w:val="24"/>
                <w:szCs w:val="21"/>
              </w:rPr>
            </w:pPr>
            <w:r>
              <w:rPr>
                <w:rFonts w:hint="eastAsia" w:ascii="宋体" w:hAnsi="宋体" w:eastAsia="宋体" w:cs="宋体"/>
                <w:szCs w:val="21"/>
              </w:rPr>
              <w:t>3</w:t>
            </w:r>
          </w:p>
        </w:tc>
        <w:tc>
          <w:tcPr>
            <w:tcW w:w="4073" w:type="dxa"/>
            <w:vMerge w:val="restart"/>
            <w:vAlign w:val="center"/>
          </w:tcPr>
          <w:p>
            <w:pPr>
              <w:tabs>
                <w:tab w:val="left" w:pos="420"/>
              </w:tabs>
              <w:overflowPunct w:val="0"/>
              <w:autoSpaceDE w:val="0"/>
              <w:autoSpaceDN w:val="0"/>
              <w:adjustRightInd w:val="0"/>
              <w:snapToGrid w:val="0"/>
              <w:spacing w:line="276" w:lineRule="auto"/>
              <w:ind w:left="6" w:leftChars="1" w:right="-37" w:rightChars="-18" w:hanging="4" w:hangingChars="2"/>
              <w:textAlignment w:val="baseline"/>
              <w:rPr>
                <w:rFonts w:ascii="宋体" w:hAnsi="宋体" w:eastAsia="宋体" w:cs="宋体"/>
                <w:sz w:val="24"/>
                <w:szCs w:val="21"/>
              </w:rPr>
            </w:pPr>
            <w:r>
              <w:rPr>
                <w:rFonts w:hint="eastAsia" w:ascii="宋体" w:hAnsi="宋体" w:eastAsia="宋体" w:cs="宋体"/>
                <w:szCs w:val="21"/>
              </w:rPr>
              <w:t>由评委横向评估履约考核管理办法的创新、详细、切实、合理、可行程度</w:t>
            </w: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 w:val="24"/>
                <w:szCs w:val="21"/>
              </w:rPr>
            </w:pPr>
            <w:r>
              <w:rPr>
                <w:rFonts w:hint="eastAsia" w:ascii="宋体" w:hAnsi="宋体" w:eastAsia="宋体" w:cs="宋体"/>
                <w:szCs w:val="21"/>
              </w:rPr>
              <w:t>优良，1.5＜n≤3</w:t>
            </w:r>
          </w:p>
        </w:tc>
        <w:tc>
          <w:tcPr>
            <w:tcW w:w="795" w:type="dxa"/>
            <w:vMerge w:val="restart"/>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1752" w:type="dxa"/>
            <w:gridSpan w:val="2"/>
            <w:vMerge w:val="continue"/>
            <w:vAlign w:val="center"/>
          </w:tcPr>
          <w:p>
            <w:pPr>
              <w:spacing w:line="276" w:lineRule="auto"/>
              <w:ind w:left="6" w:leftChars="1" w:right="-37" w:rightChars="-18" w:hanging="4" w:hangingChars="2"/>
              <w:jc w:val="center"/>
              <w:rPr>
                <w:rFonts w:ascii="宋体" w:hAnsi="宋体" w:eastAsia="宋体" w:cs="宋体"/>
                <w:b/>
                <w:bCs/>
                <w:szCs w:val="21"/>
              </w:rPr>
            </w:pPr>
          </w:p>
        </w:tc>
        <w:tc>
          <w:tcPr>
            <w:tcW w:w="708"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c>
          <w:tcPr>
            <w:tcW w:w="4073"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 w:val="24"/>
                <w:szCs w:val="21"/>
              </w:rPr>
            </w:pPr>
            <w:r>
              <w:rPr>
                <w:rFonts w:hint="eastAsia" w:ascii="宋体" w:hAnsi="宋体" w:eastAsia="宋体" w:cs="宋体"/>
                <w:szCs w:val="21"/>
              </w:rPr>
              <w:t>一般，0＜n≤1.5</w:t>
            </w:r>
          </w:p>
        </w:tc>
        <w:tc>
          <w:tcPr>
            <w:tcW w:w="795"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483" w:type="dxa"/>
            <w:vMerge w:val="continue"/>
            <w:vAlign w:val="center"/>
          </w:tcPr>
          <w:p>
            <w:pPr>
              <w:spacing w:line="276" w:lineRule="auto"/>
              <w:ind w:left="6" w:leftChars="1" w:right="-37" w:rightChars="-18" w:hanging="4" w:hangingChars="2"/>
              <w:jc w:val="center"/>
              <w:rPr>
                <w:rFonts w:ascii="宋体" w:hAnsi="宋体" w:eastAsia="宋体" w:cs="宋体"/>
                <w:szCs w:val="21"/>
              </w:rPr>
            </w:pPr>
          </w:p>
        </w:tc>
        <w:tc>
          <w:tcPr>
            <w:tcW w:w="1752" w:type="dxa"/>
            <w:gridSpan w:val="2"/>
            <w:vMerge w:val="continue"/>
            <w:vAlign w:val="center"/>
          </w:tcPr>
          <w:p>
            <w:pPr>
              <w:spacing w:line="276" w:lineRule="auto"/>
              <w:ind w:left="6" w:leftChars="1" w:right="-37" w:rightChars="-18" w:hanging="4" w:hangingChars="2"/>
              <w:jc w:val="center"/>
              <w:rPr>
                <w:rFonts w:ascii="宋体" w:hAnsi="宋体" w:eastAsia="宋体" w:cs="宋体"/>
                <w:b/>
                <w:bCs/>
                <w:szCs w:val="21"/>
              </w:rPr>
            </w:pPr>
          </w:p>
        </w:tc>
        <w:tc>
          <w:tcPr>
            <w:tcW w:w="708"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c>
          <w:tcPr>
            <w:tcW w:w="4073" w:type="dxa"/>
            <w:vMerge w:val="continue"/>
            <w:vAlign w:val="center"/>
          </w:tcPr>
          <w:p>
            <w:pPr>
              <w:spacing w:line="276" w:lineRule="auto"/>
              <w:ind w:left="6" w:leftChars="1" w:right="-37" w:rightChars="-18" w:hanging="4" w:hangingChars="2"/>
              <w:rPr>
                <w:rFonts w:ascii="宋体" w:hAnsi="宋体" w:eastAsia="宋体" w:cs="宋体"/>
                <w:szCs w:val="21"/>
              </w:rPr>
            </w:pPr>
          </w:p>
        </w:tc>
        <w:tc>
          <w:tcPr>
            <w:tcW w:w="1705"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rFonts w:ascii="宋体" w:hAnsi="宋体" w:eastAsia="宋体" w:cs="宋体"/>
                <w:sz w:val="24"/>
                <w:szCs w:val="21"/>
              </w:rPr>
            </w:pPr>
            <w:r>
              <w:rPr>
                <w:rFonts w:hint="eastAsia" w:ascii="宋体" w:hAnsi="宋体" w:eastAsia="宋体" w:cs="宋体"/>
                <w:szCs w:val="21"/>
              </w:rPr>
              <w:t>差，n＝0</w:t>
            </w:r>
          </w:p>
        </w:tc>
        <w:tc>
          <w:tcPr>
            <w:tcW w:w="795" w:type="dxa"/>
            <w:vMerge w:val="continue"/>
            <w:vAlign w:val="center"/>
          </w:tcPr>
          <w:p>
            <w:pPr>
              <w:spacing w:line="276" w:lineRule="auto"/>
              <w:ind w:left="2" w:leftChars="1" w:right="-37" w:rightChars="-18" w:firstLine="4" w:firstLineChars="2"/>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2235" w:type="dxa"/>
            <w:gridSpan w:val="3"/>
            <w:vAlign w:val="center"/>
          </w:tcPr>
          <w:p>
            <w:pPr>
              <w:spacing w:line="276" w:lineRule="auto"/>
              <w:ind w:left="6" w:leftChars="1" w:right="-37" w:rightChars="-18" w:hanging="4" w:hangingChars="2"/>
              <w:jc w:val="center"/>
              <w:rPr>
                <w:rFonts w:ascii="宋体" w:hAnsi="宋体" w:eastAsia="宋体" w:cs="宋体"/>
                <w:b/>
                <w:bCs/>
                <w:sz w:val="24"/>
                <w:szCs w:val="21"/>
              </w:rPr>
            </w:pPr>
            <w:r>
              <w:rPr>
                <w:rFonts w:hint="eastAsia" w:ascii="宋体" w:hAnsi="宋体" w:eastAsia="宋体" w:cs="宋体"/>
                <w:b/>
                <w:bCs/>
                <w:szCs w:val="21"/>
              </w:rPr>
              <w:t>技术得分满分</w:t>
            </w:r>
          </w:p>
        </w:tc>
        <w:tc>
          <w:tcPr>
            <w:tcW w:w="708" w:type="dxa"/>
            <w:vAlign w:val="center"/>
          </w:tcPr>
          <w:p>
            <w:pPr>
              <w:tabs>
                <w:tab w:val="left" w:pos="420"/>
              </w:tabs>
              <w:overflowPunct w:val="0"/>
              <w:autoSpaceDE w:val="0"/>
              <w:autoSpaceDN w:val="0"/>
              <w:adjustRightInd w:val="0"/>
              <w:snapToGrid w:val="0"/>
              <w:spacing w:line="276" w:lineRule="auto"/>
              <w:ind w:left="2" w:leftChars="1" w:right="-37" w:rightChars="-18" w:firstLine="4" w:firstLineChars="2"/>
              <w:jc w:val="center"/>
              <w:textAlignment w:val="baseline"/>
              <w:rPr>
                <w:sz w:val="24"/>
              </w:rPr>
            </w:pPr>
            <w:r>
              <w:rPr>
                <w:rFonts w:hint="eastAsia" w:ascii="宋体" w:hAnsi="宋体" w:eastAsia="宋体" w:cs="宋体"/>
                <w:b/>
                <w:bCs/>
                <w:szCs w:val="21"/>
              </w:rPr>
              <w:t>40</w:t>
            </w:r>
          </w:p>
        </w:tc>
        <w:tc>
          <w:tcPr>
            <w:tcW w:w="6573" w:type="dxa"/>
            <w:gridSpan w:val="3"/>
            <w:vAlign w:val="center"/>
          </w:tcPr>
          <w:p>
            <w:pPr>
              <w:spacing w:line="276" w:lineRule="auto"/>
              <w:ind w:left="2" w:leftChars="1" w:right="-37" w:rightChars="-18" w:firstLine="4" w:firstLineChars="2"/>
              <w:jc w:val="center"/>
              <w:rPr>
                <w:rFonts w:ascii="宋体" w:hAnsi="宋体" w:eastAsia="宋体" w:cs="宋体"/>
                <w:b/>
                <w:bCs/>
                <w:szCs w:val="21"/>
              </w:rPr>
            </w:pPr>
          </w:p>
        </w:tc>
      </w:tr>
    </w:tbl>
    <w:p>
      <w:pPr>
        <w:ind w:firstLine="562"/>
        <w:jc w:val="center"/>
      </w:pPr>
    </w:p>
    <w:p>
      <w:pPr>
        <w:ind w:firstLine="562"/>
        <w:jc w:val="center"/>
      </w:pPr>
    </w:p>
    <w:p>
      <w:pPr>
        <w:outlineLvl w:val="1"/>
      </w:pPr>
      <w:bookmarkStart w:id="976" w:name="_Toc24286"/>
      <w:bookmarkStart w:id="977" w:name="_Toc3255"/>
      <w:r>
        <w:rPr>
          <w:rFonts w:hint="eastAsia"/>
        </w:rPr>
        <w:br w:type="page"/>
      </w:r>
      <w:bookmarkStart w:id="978" w:name="_Toc26306"/>
      <w:r>
        <w:rPr>
          <w:rFonts w:hint="eastAsia" w:hAnsi="宋体" w:eastAsia="宋体" w:cs="宋体"/>
          <w:b/>
          <w:sz w:val="24"/>
        </w:rPr>
        <w:t>附表五报价部分评分表</w:t>
      </w:r>
      <w:bookmarkEnd w:id="976"/>
      <w:bookmarkEnd w:id="977"/>
      <w:bookmarkEnd w:id="978"/>
    </w:p>
    <w:p>
      <w:pPr>
        <w:jc w:val="center"/>
        <w:rPr>
          <w:rFonts w:hAnsi="宋体" w:eastAsia="宋体" w:cs="宋体"/>
          <w:b/>
          <w:sz w:val="28"/>
          <w:szCs w:val="28"/>
        </w:rPr>
      </w:pPr>
      <w:r>
        <w:rPr>
          <w:rFonts w:hint="eastAsia" w:hAnsi="宋体" w:eastAsia="宋体" w:cs="宋体"/>
          <w:b/>
          <w:sz w:val="28"/>
          <w:szCs w:val="28"/>
        </w:rPr>
        <w:t>报价部分评分表</w:t>
      </w:r>
    </w:p>
    <w:tbl>
      <w:tblPr>
        <w:tblStyle w:val="47"/>
        <w:tblW w:w="9049" w:type="dxa"/>
        <w:tblInd w:w="95" w:type="dxa"/>
        <w:tblLayout w:type="fixed"/>
        <w:tblCellMar>
          <w:top w:w="0" w:type="dxa"/>
          <w:left w:w="108" w:type="dxa"/>
          <w:bottom w:w="0" w:type="dxa"/>
          <w:right w:w="108" w:type="dxa"/>
        </w:tblCellMar>
      </w:tblPr>
      <w:tblGrid>
        <w:gridCol w:w="675"/>
        <w:gridCol w:w="1217"/>
        <w:gridCol w:w="956"/>
        <w:gridCol w:w="5104"/>
        <w:gridCol w:w="1097"/>
      </w:tblGrid>
      <w:tr>
        <w:tblPrEx>
          <w:tblCellMar>
            <w:top w:w="0" w:type="dxa"/>
            <w:left w:w="108" w:type="dxa"/>
            <w:bottom w:w="0" w:type="dxa"/>
            <w:right w:w="108" w:type="dxa"/>
          </w:tblCellMar>
        </w:tblPrEx>
        <w:trPr>
          <w:trHeight w:val="362"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 w:leftChars="1" w:right="-37" w:rightChars="-18" w:hanging="4" w:hangingChars="2"/>
              <w:jc w:val="center"/>
              <w:rPr>
                <w:rFonts w:ascii="Calibri" w:hAnsi="宋体" w:eastAsia="宋体" w:cs="宋体"/>
                <w:b/>
                <w:bCs/>
                <w:sz w:val="24"/>
                <w:szCs w:val="21"/>
              </w:rPr>
            </w:pPr>
            <w:r>
              <w:rPr>
                <w:rFonts w:hint="eastAsia" w:ascii="Calibri" w:hAnsi="宋体" w:eastAsia="宋体" w:cs="宋体"/>
                <w:b/>
                <w:bCs/>
                <w:szCs w:val="21"/>
              </w:rPr>
              <w:t>序号</w:t>
            </w:r>
          </w:p>
        </w:tc>
        <w:tc>
          <w:tcPr>
            <w:tcW w:w="1217" w:type="dxa"/>
            <w:tcBorders>
              <w:top w:val="single" w:color="auto" w:sz="4" w:space="0"/>
              <w:left w:val="nil"/>
              <w:bottom w:val="single" w:color="auto" w:sz="4" w:space="0"/>
              <w:right w:val="single" w:color="auto" w:sz="4" w:space="0"/>
            </w:tcBorders>
            <w:vAlign w:val="center"/>
          </w:tcPr>
          <w:p>
            <w:pPr>
              <w:widowControl/>
              <w:spacing w:line="360" w:lineRule="auto"/>
              <w:ind w:left="6" w:leftChars="1" w:right="-37" w:rightChars="-18" w:hanging="4" w:hangingChars="2"/>
              <w:jc w:val="center"/>
              <w:rPr>
                <w:rFonts w:ascii="Calibri" w:hAnsi="宋体" w:eastAsia="宋体" w:cs="宋体"/>
                <w:b/>
                <w:bCs/>
                <w:szCs w:val="21"/>
              </w:rPr>
            </w:pPr>
            <w:r>
              <w:rPr>
                <w:rFonts w:hint="eastAsia" w:ascii="Calibri" w:hAnsi="宋体" w:eastAsia="宋体" w:cs="宋体"/>
                <w:b/>
                <w:bCs/>
                <w:szCs w:val="21"/>
              </w:rPr>
              <w:t>评审内容</w:t>
            </w:r>
          </w:p>
        </w:tc>
        <w:tc>
          <w:tcPr>
            <w:tcW w:w="956" w:type="dxa"/>
            <w:tcBorders>
              <w:top w:val="single" w:color="auto" w:sz="4" w:space="0"/>
              <w:left w:val="nil"/>
              <w:bottom w:val="single" w:color="auto" w:sz="4" w:space="0"/>
              <w:right w:val="single" w:color="auto" w:sz="4" w:space="0"/>
            </w:tcBorders>
            <w:vAlign w:val="center"/>
          </w:tcPr>
          <w:p>
            <w:pPr>
              <w:widowControl/>
              <w:spacing w:line="360" w:lineRule="auto"/>
              <w:ind w:leftChars="-3" w:right="-37" w:rightChars="-18" w:hanging="6" w:hangingChars="3"/>
              <w:jc w:val="center"/>
              <w:rPr>
                <w:rFonts w:ascii="Calibri" w:hAnsi="宋体" w:eastAsia="宋体" w:cs="宋体"/>
                <w:b/>
                <w:bCs/>
                <w:szCs w:val="21"/>
              </w:rPr>
            </w:pPr>
            <w:r>
              <w:rPr>
                <w:rFonts w:hint="eastAsia" w:ascii="Calibri" w:hAnsi="宋体" w:eastAsia="宋体" w:cs="宋体"/>
                <w:b/>
                <w:bCs/>
                <w:szCs w:val="21"/>
              </w:rPr>
              <w:t>标准分</w:t>
            </w:r>
          </w:p>
        </w:tc>
        <w:tc>
          <w:tcPr>
            <w:tcW w:w="5104" w:type="dxa"/>
            <w:tcBorders>
              <w:top w:val="single" w:color="auto" w:sz="4" w:space="0"/>
              <w:left w:val="nil"/>
              <w:bottom w:val="single" w:color="auto" w:sz="4" w:space="0"/>
              <w:right w:val="single" w:color="auto" w:sz="4" w:space="0"/>
            </w:tcBorders>
            <w:vAlign w:val="center"/>
          </w:tcPr>
          <w:p>
            <w:pPr>
              <w:widowControl/>
              <w:spacing w:line="360" w:lineRule="auto"/>
              <w:ind w:left="6" w:leftChars="1" w:right="-37" w:rightChars="-18" w:hanging="4" w:hangingChars="2"/>
              <w:jc w:val="center"/>
              <w:rPr>
                <w:rFonts w:ascii="Calibri" w:hAnsi="宋体" w:eastAsia="宋体" w:cs="宋体"/>
                <w:b/>
                <w:bCs/>
                <w:szCs w:val="21"/>
              </w:rPr>
            </w:pPr>
            <w:r>
              <w:rPr>
                <w:rFonts w:hint="eastAsia" w:ascii="Calibri" w:hAnsi="宋体" w:eastAsia="宋体" w:cs="宋体"/>
                <w:b/>
                <w:bCs/>
                <w:szCs w:val="21"/>
              </w:rPr>
              <w:t>评审标准</w:t>
            </w:r>
          </w:p>
        </w:tc>
        <w:tc>
          <w:tcPr>
            <w:tcW w:w="1097" w:type="dxa"/>
            <w:tcBorders>
              <w:top w:val="single" w:color="auto" w:sz="4" w:space="0"/>
              <w:left w:val="nil"/>
              <w:bottom w:val="single" w:color="auto" w:sz="4" w:space="0"/>
              <w:right w:val="single" w:color="auto" w:sz="4" w:space="0"/>
            </w:tcBorders>
            <w:vAlign w:val="center"/>
          </w:tcPr>
          <w:p>
            <w:pPr>
              <w:widowControl/>
              <w:spacing w:line="360" w:lineRule="auto"/>
              <w:ind w:left="6" w:leftChars="1" w:right="-37" w:rightChars="-18" w:hanging="4" w:hangingChars="2"/>
              <w:jc w:val="center"/>
              <w:rPr>
                <w:rFonts w:ascii="Calibri" w:hAnsi="宋体" w:eastAsia="宋体" w:cs="宋体"/>
                <w:b/>
                <w:bCs/>
                <w:szCs w:val="21"/>
              </w:rPr>
            </w:pPr>
            <w:r>
              <w:rPr>
                <w:rFonts w:hint="eastAsia" w:ascii="Calibri" w:hAnsi="宋体" w:eastAsia="宋体" w:cs="宋体"/>
                <w:b/>
                <w:bCs/>
                <w:szCs w:val="21"/>
              </w:rPr>
              <w:t>得分</w:t>
            </w:r>
          </w:p>
        </w:tc>
      </w:tr>
      <w:tr>
        <w:tblPrEx>
          <w:tblCellMar>
            <w:top w:w="0" w:type="dxa"/>
            <w:left w:w="108" w:type="dxa"/>
            <w:bottom w:w="0" w:type="dxa"/>
            <w:right w:w="108" w:type="dxa"/>
          </w:tblCellMar>
        </w:tblPrEx>
        <w:trPr>
          <w:trHeight w:val="841" w:hRule="atLeast"/>
        </w:trPr>
        <w:tc>
          <w:tcPr>
            <w:tcW w:w="675" w:type="dxa"/>
            <w:tcBorders>
              <w:top w:val="single" w:color="auto" w:sz="4" w:space="0"/>
              <w:left w:val="single" w:color="auto" w:sz="4" w:space="0"/>
              <w:right w:val="single" w:color="auto" w:sz="4" w:space="0"/>
            </w:tcBorders>
            <w:vAlign w:val="center"/>
          </w:tcPr>
          <w:p>
            <w:pPr>
              <w:spacing w:line="360" w:lineRule="auto"/>
              <w:ind w:left="6" w:leftChars="1" w:right="-37" w:rightChars="-18" w:hanging="4" w:hangingChars="2"/>
              <w:jc w:val="center"/>
              <w:rPr>
                <w:rFonts w:ascii="Calibri" w:hAnsi="宋体" w:eastAsia="宋体" w:cs="宋体"/>
                <w:szCs w:val="21"/>
              </w:rPr>
            </w:pPr>
            <w:r>
              <w:rPr>
                <w:rFonts w:hint="eastAsia" w:ascii="Calibri" w:hAnsi="宋体" w:eastAsia="宋体" w:cs="宋体"/>
                <w:szCs w:val="21"/>
              </w:rPr>
              <w:t>1</w:t>
            </w:r>
          </w:p>
        </w:tc>
        <w:tc>
          <w:tcPr>
            <w:tcW w:w="1217" w:type="dxa"/>
            <w:tcBorders>
              <w:top w:val="single" w:color="auto" w:sz="4" w:space="0"/>
              <w:left w:val="nil"/>
              <w:bottom w:val="single" w:color="auto" w:sz="4" w:space="0"/>
              <w:right w:val="single" w:color="auto" w:sz="4" w:space="0"/>
            </w:tcBorders>
            <w:vAlign w:val="center"/>
          </w:tcPr>
          <w:p>
            <w:pPr>
              <w:spacing w:line="360" w:lineRule="auto"/>
              <w:ind w:left="2" w:leftChars="1" w:right="-37" w:rightChars="-18" w:firstLine="12" w:firstLineChars="6"/>
              <w:jc w:val="center"/>
              <w:rPr>
                <w:rFonts w:ascii="Calibri" w:hAnsi="宋体" w:eastAsia="宋体" w:cs="宋体"/>
                <w:szCs w:val="21"/>
              </w:rPr>
            </w:pPr>
            <w:r>
              <w:rPr>
                <w:rFonts w:hint="eastAsia" w:ascii="Calibri" w:hAnsi="宋体" w:eastAsia="宋体" w:cs="宋体"/>
                <w:szCs w:val="21"/>
              </w:rPr>
              <w:t>投标报价</w:t>
            </w:r>
          </w:p>
        </w:tc>
        <w:tc>
          <w:tcPr>
            <w:tcW w:w="956" w:type="dxa"/>
            <w:tcBorders>
              <w:top w:val="single" w:color="auto" w:sz="4" w:space="0"/>
              <w:left w:val="nil"/>
              <w:bottom w:val="single" w:color="auto" w:sz="4" w:space="0"/>
              <w:right w:val="single" w:color="auto" w:sz="4" w:space="0"/>
            </w:tcBorders>
            <w:vAlign w:val="center"/>
          </w:tcPr>
          <w:p>
            <w:pPr>
              <w:spacing w:line="360" w:lineRule="auto"/>
              <w:ind w:left="2" w:leftChars="1" w:right="-37" w:rightChars="-18" w:firstLine="218" w:firstLineChars="104"/>
              <w:rPr>
                <w:rFonts w:ascii="Calibri" w:hAnsi="宋体" w:eastAsia="宋体" w:cs="宋体"/>
                <w:szCs w:val="21"/>
              </w:rPr>
            </w:pPr>
            <w:r>
              <w:rPr>
                <w:rFonts w:hint="eastAsia" w:ascii="Calibri" w:hAnsi="宋体" w:eastAsia="宋体" w:cs="宋体"/>
                <w:szCs w:val="21"/>
              </w:rPr>
              <w:t>30</w:t>
            </w:r>
          </w:p>
        </w:tc>
        <w:tc>
          <w:tcPr>
            <w:tcW w:w="5104" w:type="dxa"/>
            <w:tcBorders>
              <w:top w:val="nil"/>
              <w:left w:val="nil"/>
              <w:bottom w:val="single" w:color="auto" w:sz="4" w:space="0"/>
              <w:right w:val="single" w:color="auto" w:sz="4" w:space="0"/>
            </w:tcBorders>
            <w:vAlign w:val="center"/>
          </w:tcPr>
          <w:p>
            <w:pPr>
              <w:adjustRightInd w:val="0"/>
              <w:snapToGrid w:val="0"/>
              <w:spacing w:before="93" w:beforeLines="30" w:line="360" w:lineRule="auto"/>
              <w:rPr>
                <w:rFonts w:hAnsi="宋体" w:eastAsia="宋体"/>
                <w:szCs w:val="21"/>
              </w:rPr>
            </w:pPr>
            <w:r>
              <w:rPr>
                <w:rFonts w:hint="eastAsia" w:hAnsi="宋体" w:eastAsia="宋体"/>
                <w:szCs w:val="21"/>
              </w:rPr>
              <w:t>（1）以进入综合评分环节的最低的投标报价为基准价，基准价报价得分为3</w:t>
            </w:r>
            <w:r>
              <w:rPr>
                <w:rFonts w:hAnsi="宋体" w:eastAsia="宋体"/>
                <w:szCs w:val="21"/>
              </w:rPr>
              <w:t>0</w:t>
            </w:r>
            <w:r>
              <w:rPr>
                <w:rFonts w:hint="eastAsia" w:hAnsi="宋体" w:eastAsia="宋体"/>
                <w:szCs w:val="21"/>
              </w:rPr>
              <w:t>分。</w:t>
            </w:r>
          </w:p>
          <w:p>
            <w:pPr>
              <w:adjustRightInd w:val="0"/>
              <w:snapToGrid w:val="0"/>
              <w:spacing w:before="93" w:beforeLines="30" w:line="360" w:lineRule="auto"/>
              <w:rPr>
                <w:rFonts w:hAnsi="宋体" w:eastAsia="宋体"/>
                <w:szCs w:val="21"/>
              </w:rPr>
            </w:pPr>
            <w:r>
              <w:rPr>
                <w:rFonts w:hint="eastAsia" w:hAnsi="宋体" w:eastAsia="宋体"/>
                <w:szCs w:val="21"/>
              </w:rPr>
              <w:t>（2）价格分计算公式：</w:t>
            </w:r>
          </w:p>
          <w:p>
            <w:pPr>
              <w:adjustRightInd w:val="0"/>
              <w:snapToGrid w:val="0"/>
              <w:spacing w:before="93" w:beforeLines="30" w:line="360" w:lineRule="auto"/>
              <w:rPr>
                <w:rFonts w:hAnsi="宋体" w:eastAsia="宋体"/>
                <w:szCs w:val="21"/>
              </w:rPr>
            </w:pPr>
            <w:r>
              <w:rPr>
                <w:rFonts w:hint="eastAsia" w:hAnsi="宋体" w:eastAsia="宋体"/>
                <w:szCs w:val="21"/>
              </w:rPr>
              <w:t>某投标人</w:t>
            </w:r>
            <w:r>
              <w:rPr>
                <w:rFonts w:hAnsi="宋体" w:eastAsia="宋体"/>
                <w:szCs w:val="21"/>
              </w:rPr>
              <w:t>的</w:t>
            </w:r>
            <w:r>
              <w:rPr>
                <w:rFonts w:hint="eastAsia" w:hAnsi="宋体" w:eastAsia="宋体"/>
                <w:szCs w:val="21"/>
              </w:rPr>
              <w:t>价格分=基准价/某投标人投标报价×</w:t>
            </w:r>
            <w:r>
              <w:rPr>
                <w:rFonts w:hAnsi="宋体" w:eastAsia="宋体"/>
                <w:szCs w:val="21"/>
              </w:rPr>
              <w:t>30</w:t>
            </w:r>
            <w:r>
              <w:rPr>
                <w:rFonts w:hint="eastAsia" w:hAnsi="宋体" w:eastAsia="宋体"/>
                <w:szCs w:val="21"/>
              </w:rPr>
              <w:t>分</w:t>
            </w:r>
          </w:p>
          <w:p>
            <w:pPr>
              <w:adjustRightInd w:val="0"/>
              <w:snapToGrid w:val="0"/>
              <w:spacing w:before="93" w:beforeLines="30" w:line="360" w:lineRule="auto"/>
              <w:rPr>
                <w:rFonts w:hAnsi="宋体" w:eastAsia="宋体"/>
                <w:szCs w:val="21"/>
              </w:rPr>
            </w:pPr>
            <w:r>
              <w:rPr>
                <w:rFonts w:hint="eastAsia" w:hAnsi="宋体" w:eastAsia="宋体"/>
                <w:szCs w:val="21"/>
              </w:rPr>
              <w:t>（3）计算结果保留小数点后2位。</w:t>
            </w:r>
          </w:p>
          <w:p>
            <w:pPr>
              <w:adjustRightInd w:val="0"/>
              <w:snapToGrid w:val="0"/>
              <w:spacing w:before="93" w:beforeLines="30" w:line="360" w:lineRule="auto"/>
            </w:pPr>
            <w:r>
              <w:rPr>
                <w:rFonts w:hint="eastAsia" w:hAnsi="宋体" w:eastAsia="宋体"/>
                <w:szCs w:val="21"/>
              </w:rPr>
              <w:t>（</w:t>
            </w:r>
            <w:r>
              <w:rPr>
                <w:rFonts w:hAnsi="宋体" w:eastAsia="宋体"/>
                <w:szCs w:val="21"/>
              </w:rPr>
              <w:t>4</w:t>
            </w:r>
            <w:r>
              <w:rPr>
                <w:rFonts w:hint="eastAsia" w:hAnsi="宋体" w:eastAsia="宋体"/>
                <w:szCs w:val="21"/>
              </w:rPr>
              <w:t>）本项最低分0分。</w:t>
            </w:r>
          </w:p>
        </w:tc>
        <w:tc>
          <w:tcPr>
            <w:tcW w:w="1097" w:type="dxa"/>
            <w:tcBorders>
              <w:top w:val="nil"/>
              <w:left w:val="nil"/>
              <w:bottom w:val="single" w:color="auto" w:sz="4" w:space="0"/>
              <w:right w:val="single" w:color="auto" w:sz="4" w:space="0"/>
            </w:tcBorders>
            <w:vAlign w:val="center"/>
          </w:tcPr>
          <w:p>
            <w:pPr>
              <w:widowControl/>
              <w:spacing w:line="360" w:lineRule="auto"/>
              <w:ind w:left="6" w:leftChars="1" w:right="-37" w:rightChars="-18" w:hanging="4" w:hangingChars="2"/>
              <w:jc w:val="center"/>
              <w:rPr>
                <w:rFonts w:ascii="Calibri" w:hAnsi="宋体" w:eastAsia="宋体" w:cs="宋体"/>
                <w:szCs w:val="21"/>
              </w:rPr>
            </w:pPr>
          </w:p>
        </w:tc>
      </w:tr>
      <w:tr>
        <w:tblPrEx>
          <w:tblCellMar>
            <w:top w:w="0" w:type="dxa"/>
            <w:left w:w="108" w:type="dxa"/>
            <w:bottom w:w="0" w:type="dxa"/>
            <w:right w:w="108" w:type="dxa"/>
          </w:tblCellMar>
        </w:tblPrEx>
        <w:trPr>
          <w:trHeight w:val="614" w:hRule="atLeast"/>
        </w:trPr>
        <w:tc>
          <w:tcPr>
            <w:tcW w:w="1892"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left="6" w:leftChars="1" w:right="-37" w:rightChars="-18" w:hanging="4" w:hangingChars="2"/>
              <w:jc w:val="center"/>
              <w:rPr>
                <w:rFonts w:ascii="Calibri" w:hAnsi="宋体" w:eastAsia="宋体" w:cs="宋体"/>
                <w:b/>
                <w:bCs/>
                <w:sz w:val="24"/>
                <w:szCs w:val="21"/>
              </w:rPr>
            </w:pPr>
            <w:r>
              <w:rPr>
                <w:rFonts w:hint="eastAsia" w:ascii="Calibri" w:hAnsi="宋体" w:eastAsia="宋体" w:cs="宋体"/>
                <w:b/>
                <w:bCs/>
                <w:szCs w:val="21"/>
              </w:rPr>
              <w:t>报价得分满分</w:t>
            </w:r>
          </w:p>
        </w:tc>
        <w:tc>
          <w:tcPr>
            <w:tcW w:w="956" w:type="dxa"/>
            <w:tcBorders>
              <w:top w:val="nil"/>
              <w:left w:val="nil"/>
              <w:bottom w:val="single" w:color="auto" w:sz="4" w:space="0"/>
              <w:right w:val="single" w:color="auto" w:sz="4" w:space="0"/>
            </w:tcBorders>
            <w:vAlign w:val="center"/>
          </w:tcPr>
          <w:p>
            <w:pPr>
              <w:widowControl/>
              <w:spacing w:line="360" w:lineRule="auto"/>
              <w:ind w:right="-37" w:rightChars="-18"/>
              <w:jc w:val="center"/>
              <w:rPr>
                <w:rFonts w:ascii="Calibri" w:hAnsi="宋体" w:eastAsia="宋体" w:cs="宋体"/>
                <w:b/>
                <w:bCs/>
                <w:sz w:val="24"/>
                <w:szCs w:val="21"/>
              </w:rPr>
            </w:pPr>
            <w:r>
              <w:rPr>
                <w:rFonts w:hint="eastAsia" w:ascii="Calibri" w:hAnsi="宋体" w:eastAsia="宋体" w:cs="宋体"/>
                <w:b/>
                <w:bCs/>
                <w:szCs w:val="21"/>
              </w:rPr>
              <w:t>30</w:t>
            </w:r>
          </w:p>
        </w:tc>
        <w:tc>
          <w:tcPr>
            <w:tcW w:w="6201" w:type="dxa"/>
            <w:gridSpan w:val="2"/>
            <w:tcBorders>
              <w:top w:val="nil"/>
              <w:left w:val="nil"/>
              <w:bottom w:val="single" w:color="auto" w:sz="4" w:space="0"/>
              <w:right w:val="single" w:color="auto" w:sz="4" w:space="0"/>
            </w:tcBorders>
            <w:vAlign w:val="center"/>
          </w:tcPr>
          <w:p>
            <w:pPr>
              <w:spacing w:line="360" w:lineRule="auto"/>
              <w:ind w:right="-37" w:rightChars="-18"/>
              <w:jc w:val="center"/>
              <w:rPr>
                <w:rFonts w:ascii="Calibri" w:hAnsi="宋体" w:eastAsia="宋体" w:cs="宋体"/>
                <w:b/>
                <w:bCs/>
                <w:sz w:val="24"/>
                <w:szCs w:val="21"/>
              </w:rPr>
            </w:pPr>
          </w:p>
        </w:tc>
      </w:tr>
    </w:tbl>
    <w:p>
      <w:pPr>
        <w:spacing w:before="100" w:beforeAutospacing="1" w:after="100" w:afterAutospacing="1" w:line="360" w:lineRule="auto"/>
        <w:ind w:left="993" w:hanging="709"/>
        <w:rPr>
          <w:rFonts w:eastAsia="宋体"/>
          <w:szCs w:val="21"/>
        </w:rPr>
      </w:pPr>
      <w:r>
        <w:rPr>
          <w:rFonts w:hint="eastAsia" w:ascii="宋体" w:hAnsi="宋体" w:eastAsia="宋体" w:cs="宋体"/>
          <w:szCs w:val="21"/>
        </w:rPr>
        <w:t>注：本评分表中投标报价指“投标报价”表中的保险费含税合计金额。</w:t>
      </w:r>
    </w:p>
    <w:p>
      <w:pPr>
        <w:ind w:firstLine="420"/>
        <w:rPr>
          <w:rFonts w:hAnsi="宋体" w:eastAsia="宋体" w:cs="宋体"/>
          <w:szCs w:val="21"/>
        </w:rPr>
      </w:pPr>
    </w:p>
    <w:p>
      <w:pPr>
        <w:spacing w:line="240" w:lineRule="exact"/>
        <w:ind w:firstLine="420"/>
        <w:rPr>
          <w:rFonts w:hAnsi="宋体" w:eastAsia="宋体" w:cs="宋体"/>
          <w:szCs w:val="21"/>
        </w:rPr>
        <w:sectPr>
          <w:type w:val="nextColumn"/>
          <w:pgSz w:w="11906" w:h="16838"/>
          <w:pgMar w:top="1418" w:right="1418" w:bottom="1418" w:left="1418" w:header="851" w:footer="992" w:gutter="0"/>
          <w:cols w:space="720" w:num="1"/>
          <w:titlePg/>
          <w:docGrid w:type="linesAndChars" w:linePitch="312" w:charSpace="0"/>
        </w:sect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spacing w:line="360" w:lineRule="auto"/>
        <w:rPr>
          <w:rFonts w:eastAsia="宋体"/>
          <w:b/>
          <w:szCs w:val="21"/>
        </w:rPr>
      </w:pPr>
    </w:p>
    <w:p>
      <w:pPr>
        <w:keepNext/>
        <w:keepLines/>
        <w:spacing w:line="579" w:lineRule="auto"/>
        <w:jc w:val="center"/>
        <w:rPr>
          <w:rFonts w:hAnsi="宋体" w:eastAsia="宋体" w:cs="宋体"/>
        </w:rPr>
      </w:pPr>
      <w:bookmarkStart w:id="979" w:name="_Toc16393"/>
      <w:bookmarkStart w:id="980" w:name="_Toc10187"/>
      <w:bookmarkStart w:id="981" w:name="_Toc375564307"/>
    </w:p>
    <w:p>
      <w:pPr>
        <w:keepNext/>
        <w:keepLines/>
        <w:spacing w:line="579" w:lineRule="auto"/>
        <w:jc w:val="center"/>
        <w:rPr>
          <w:rFonts w:hAnsi="宋体" w:eastAsia="宋体" w:cs="宋体"/>
        </w:rPr>
      </w:pPr>
    </w:p>
    <w:p>
      <w:pPr>
        <w:keepNext/>
        <w:keepLines/>
        <w:spacing w:line="579" w:lineRule="auto"/>
        <w:jc w:val="center"/>
        <w:rPr>
          <w:rFonts w:hAnsi="宋体" w:eastAsia="宋体" w:cs="宋体"/>
        </w:rPr>
      </w:pPr>
    </w:p>
    <w:p>
      <w:pPr>
        <w:keepNext/>
        <w:keepLines/>
        <w:spacing w:line="579" w:lineRule="auto"/>
        <w:jc w:val="center"/>
        <w:rPr>
          <w:rFonts w:hAnsi="宋体" w:eastAsia="宋体" w:cs="宋体"/>
        </w:rPr>
      </w:pPr>
    </w:p>
    <w:p>
      <w:pPr>
        <w:keepNext/>
        <w:keepLines/>
        <w:spacing w:line="579" w:lineRule="auto"/>
        <w:jc w:val="center"/>
        <w:rPr>
          <w:rFonts w:hAnsi="宋体" w:eastAsia="宋体" w:cs="宋体"/>
        </w:rPr>
      </w:pPr>
    </w:p>
    <w:p>
      <w:pPr>
        <w:keepNext/>
        <w:keepLines/>
        <w:spacing w:line="579" w:lineRule="auto"/>
        <w:jc w:val="center"/>
        <w:rPr>
          <w:rFonts w:hAnsi="宋体" w:eastAsia="宋体" w:cs="宋体"/>
        </w:rPr>
      </w:pPr>
    </w:p>
    <w:p>
      <w:pPr>
        <w:keepNext/>
        <w:keepLines/>
        <w:spacing w:line="579" w:lineRule="auto"/>
        <w:jc w:val="center"/>
        <w:rPr>
          <w:rFonts w:hAnsi="宋体" w:eastAsia="宋体" w:cs="宋体"/>
        </w:rPr>
      </w:pPr>
    </w:p>
    <w:p>
      <w:pPr>
        <w:pStyle w:val="4"/>
        <w:spacing w:before="120"/>
        <w:jc w:val="center"/>
        <w:rPr>
          <w:rFonts w:hAnsi="宋体" w:eastAsia="宋体" w:cs="宋体"/>
          <w:bCs w:val="0"/>
          <w:sz w:val="21"/>
          <w:szCs w:val="21"/>
        </w:rPr>
      </w:pPr>
      <w:bookmarkStart w:id="982" w:name="_Toc19024"/>
      <w:r>
        <w:rPr>
          <w:rFonts w:hint="eastAsia" w:hAnsi="宋体" w:eastAsia="宋体" w:cs="宋体"/>
          <w:bCs w:val="0"/>
        </w:rPr>
        <w:t>第四章保险协议</w:t>
      </w:r>
      <w:bookmarkEnd w:id="979"/>
      <w:bookmarkEnd w:id="980"/>
      <w:r>
        <w:rPr>
          <w:rFonts w:hint="eastAsia" w:hAnsi="宋体" w:eastAsia="宋体" w:cs="宋体"/>
          <w:bCs w:val="0"/>
        </w:rPr>
        <w:t>及特别约定</w:t>
      </w:r>
      <w:bookmarkEnd w:id="982"/>
    </w:p>
    <w:p>
      <w:pPr>
        <w:ind w:firstLine="420"/>
        <w:rPr>
          <w:rFonts w:hAnsi="宋体" w:eastAsia="宋体" w:cs="宋体"/>
          <w:szCs w:val="21"/>
        </w:rPr>
      </w:pPr>
    </w:p>
    <w:p>
      <w:pPr>
        <w:ind w:firstLine="420"/>
        <w:rPr>
          <w:rFonts w:hAnsi="宋体" w:eastAsia="宋体" w:cs="宋体"/>
          <w:szCs w:val="21"/>
        </w:rPr>
      </w:pPr>
    </w:p>
    <w:p>
      <w:pPr>
        <w:ind w:firstLine="420"/>
        <w:rPr>
          <w:rFonts w:hAnsi="宋体" w:eastAsia="宋体" w:cs="宋体"/>
          <w:szCs w:val="21"/>
        </w:rPr>
      </w:pPr>
    </w:p>
    <w:p>
      <w:pPr>
        <w:spacing w:line="348" w:lineRule="auto"/>
        <w:ind w:firstLine="472" w:firstLineChars="225"/>
        <w:rPr>
          <w:rFonts w:hAnsi="宋体" w:eastAsia="宋体"/>
          <w:szCs w:val="21"/>
        </w:rPr>
      </w:pPr>
      <w:r>
        <w:rPr>
          <w:rFonts w:hint="eastAsia" w:hAnsi="宋体" w:eastAsia="宋体" w:cs="宋体"/>
          <w:szCs w:val="21"/>
        </w:rPr>
        <w:br w:type="page"/>
      </w:r>
    </w:p>
    <w:p>
      <w:pPr>
        <w:jc w:val="center"/>
        <w:rPr>
          <w:rFonts w:cs="宋体" w:asciiTheme="minorEastAsia" w:hAnsiTheme="minorEastAsia" w:eastAsiaTheme="minorEastAsia"/>
          <w:b/>
          <w:kern w:val="44"/>
          <w:sz w:val="40"/>
          <w:szCs w:val="40"/>
        </w:rPr>
      </w:pPr>
      <w:bookmarkStart w:id="983" w:name="_Toc22965"/>
      <w:r>
        <w:rPr>
          <w:rFonts w:hint="eastAsia" w:cs="宋体" w:asciiTheme="minorEastAsia" w:hAnsiTheme="minorEastAsia" w:eastAsiaTheme="minorEastAsia"/>
          <w:b/>
          <w:spacing w:val="-17"/>
          <w:kern w:val="44"/>
          <w:sz w:val="40"/>
          <w:szCs w:val="40"/>
        </w:rPr>
        <w:t>南宁轨道交通集团2022-2024年度安全生产责任保险</w:t>
      </w:r>
      <w:r>
        <w:rPr>
          <w:rFonts w:hint="eastAsia" w:cs="宋体" w:asciiTheme="minorEastAsia" w:hAnsiTheme="minorEastAsia" w:eastAsiaTheme="minorEastAsia"/>
          <w:b/>
          <w:kern w:val="44"/>
          <w:sz w:val="40"/>
          <w:szCs w:val="40"/>
        </w:rPr>
        <w:t>协议</w:t>
      </w:r>
    </w:p>
    <w:p>
      <w:pPr>
        <w:spacing w:line="360" w:lineRule="auto"/>
        <w:ind w:firstLine="420"/>
        <w:rPr>
          <w:rFonts w:cs="宋体" w:asciiTheme="minorEastAsia" w:hAnsiTheme="minorEastAsia" w:eastAsiaTheme="minorEastAsia"/>
          <w:szCs w:val="21"/>
        </w:rPr>
      </w:pPr>
    </w:p>
    <w:p>
      <w:pPr>
        <w:spacing w:line="360" w:lineRule="auto"/>
        <w:ind w:firstLine="420"/>
        <w:rPr>
          <w:rFonts w:cs="宋体" w:asciiTheme="minorEastAsia" w:hAnsiTheme="minorEastAsia" w:eastAsiaTheme="minorEastAsia"/>
          <w:szCs w:val="21"/>
        </w:rPr>
      </w:pPr>
    </w:p>
    <w:p>
      <w:pPr>
        <w:spacing w:line="360" w:lineRule="auto"/>
        <w:ind w:firstLine="420"/>
        <w:rPr>
          <w:rFonts w:cs="宋体" w:asciiTheme="minorEastAsia" w:hAnsiTheme="minorEastAsia" w:eastAsiaTheme="minorEastAsia"/>
          <w:szCs w:val="21"/>
        </w:rPr>
      </w:pPr>
    </w:p>
    <w:p>
      <w:pPr>
        <w:spacing w:line="360" w:lineRule="auto"/>
        <w:ind w:firstLine="420"/>
        <w:rPr>
          <w:rFonts w:cs="宋体" w:asciiTheme="minorEastAsia" w:hAnsiTheme="minorEastAsia" w:eastAsiaTheme="minorEastAsia"/>
          <w:szCs w:val="21"/>
        </w:rPr>
      </w:pPr>
    </w:p>
    <w:p>
      <w:pPr>
        <w:spacing w:line="360" w:lineRule="auto"/>
        <w:ind w:firstLine="420"/>
        <w:rPr>
          <w:rFonts w:cs="宋体" w:asciiTheme="minorEastAsia" w:hAnsiTheme="minorEastAsia" w:eastAsiaTheme="minorEastAsia"/>
          <w:szCs w:val="21"/>
        </w:rPr>
      </w:pPr>
    </w:p>
    <w:p>
      <w:pPr>
        <w:spacing w:line="360" w:lineRule="auto"/>
        <w:ind w:firstLine="420"/>
        <w:rPr>
          <w:rFonts w:cs="宋体" w:asciiTheme="minorEastAsia" w:hAnsiTheme="minorEastAsia" w:eastAsiaTheme="minorEastAsia"/>
          <w:szCs w:val="21"/>
        </w:rPr>
      </w:pPr>
    </w:p>
    <w:p>
      <w:pPr>
        <w:spacing w:line="360" w:lineRule="auto"/>
        <w:ind w:firstLine="602" w:firstLineChars="200"/>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合同编号：</w:t>
      </w:r>
    </w:p>
    <w:p>
      <w:pPr>
        <w:spacing w:line="360" w:lineRule="auto"/>
        <w:ind w:firstLine="602" w:firstLineChars="200"/>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甲方：</w:t>
      </w:r>
      <w:r>
        <w:rPr>
          <w:rFonts w:asciiTheme="minorEastAsia" w:hAnsiTheme="minorEastAsia" w:eastAsiaTheme="minorEastAsia"/>
          <w:b/>
          <w:sz w:val="30"/>
          <w:szCs w:val="30"/>
        </w:rPr>
        <w:t>南宁轨道交通集团有限责任公司</w:t>
      </w:r>
    </w:p>
    <w:p>
      <w:pPr>
        <w:pStyle w:val="14"/>
        <w:spacing w:line="360" w:lineRule="auto"/>
        <w:ind w:firstLine="602" w:firstLineChars="200"/>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乙方：</w:t>
      </w:r>
    </w:p>
    <w:p>
      <w:pPr>
        <w:spacing w:line="360" w:lineRule="auto"/>
        <w:ind w:firstLine="602" w:firstLineChars="200"/>
        <w:rPr>
          <w:rFonts w:cs="宋体" w:asciiTheme="minorEastAsia" w:hAnsiTheme="minorEastAsia" w:eastAsiaTheme="minorEastAsia"/>
          <w:b/>
          <w:sz w:val="30"/>
          <w:szCs w:val="30"/>
        </w:rPr>
      </w:pPr>
    </w:p>
    <w:p>
      <w:pPr>
        <w:spacing w:line="360" w:lineRule="auto"/>
        <w:ind w:firstLine="420"/>
        <w:rPr>
          <w:rFonts w:cs="宋体" w:asciiTheme="minorEastAsia" w:hAnsiTheme="minorEastAsia" w:eastAsiaTheme="minorEastAsia"/>
          <w:szCs w:val="21"/>
        </w:rPr>
      </w:pPr>
    </w:p>
    <w:p>
      <w:pPr>
        <w:spacing w:line="360" w:lineRule="auto"/>
        <w:ind w:firstLine="420"/>
        <w:rPr>
          <w:rFonts w:cs="宋体" w:asciiTheme="minorEastAsia" w:hAnsiTheme="minorEastAsia" w:eastAsiaTheme="minorEastAsia"/>
          <w:szCs w:val="21"/>
        </w:rPr>
      </w:pPr>
    </w:p>
    <w:p>
      <w:pPr>
        <w:spacing w:line="360" w:lineRule="auto"/>
        <w:ind w:firstLine="420"/>
        <w:rPr>
          <w:rFonts w:cs="宋体" w:asciiTheme="minorEastAsia" w:hAnsiTheme="minorEastAsia" w:eastAsiaTheme="minorEastAsia"/>
          <w:szCs w:val="21"/>
        </w:rPr>
      </w:pPr>
    </w:p>
    <w:p>
      <w:pPr>
        <w:spacing w:line="360" w:lineRule="auto"/>
        <w:rPr>
          <w:rFonts w:cs="宋体" w:asciiTheme="minorEastAsia" w:hAnsiTheme="minorEastAsia" w:eastAsiaTheme="minorEastAsia"/>
          <w:szCs w:val="21"/>
        </w:rPr>
      </w:pPr>
    </w:p>
    <w:p>
      <w:pPr>
        <w:spacing w:line="360" w:lineRule="auto"/>
        <w:ind w:firstLine="420"/>
        <w:rPr>
          <w:rFonts w:cs="宋体" w:asciiTheme="minorEastAsia" w:hAnsiTheme="minorEastAsia" w:eastAsiaTheme="minorEastAsia"/>
          <w:szCs w:val="21"/>
        </w:rPr>
      </w:pPr>
    </w:p>
    <w:p>
      <w:pPr>
        <w:spacing w:line="360" w:lineRule="auto"/>
        <w:ind w:firstLine="420"/>
        <w:jc w:val="center"/>
        <w:rPr>
          <w:rFonts w:asciiTheme="minorEastAsia" w:hAnsiTheme="minorEastAsia" w:eastAsiaTheme="minorEastAsia"/>
          <w:b/>
          <w:bCs/>
          <w:sz w:val="30"/>
          <w:szCs w:val="30"/>
        </w:rPr>
        <w:sectPr>
          <w:footerReference r:id="rId25" w:type="default"/>
          <w:type w:val="continuous"/>
          <w:pgSz w:w="11906" w:h="16838"/>
          <w:pgMar w:top="1440" w:right="1800" w:bottom="1440" w:left="1800" w:header="851" w:footer="992" w:gutter="0"/>
          <w:cols w:space="425" w:num="1"/>
          <w:titlePg/>
          <w:docGrid w:type="lines" w:linePitch="312" w:charSpace="0"/>
        </w:sectPr>
      </w:pPr>
      <w:r>
        <w:rPr>
          <w:rFonts w:hint="eastAsia" w:asciiTheme="minorEastAsia" w:hAnsiTheme="minorEastAsia" w:eastAsiaTheme="minorEastAsia"/>
          <w:b/>
          <w:bCs/>
          <w:sz w:val="30"/>
          <w:szCs w:val="30"/>
        </w:rPr>
        <w:t>二零二二年  月</w:t>
      </w:r>
    </w:p>
    <w:p>
      <w:pPr>
        <w:widowControl/>
        <w:jc w:val="left"/>
        <w:rPr>
          <w:rFonts w:asciiTheme="minorEastAsia" w:hAnsiTheme="minorEastAsia" w:eastAsiaTheme="minorEastAsia"/>
          <w:b/>
          <w:sz w:val="32"/>
          <w:szCs w:val="32"/>
        </w:rPr>
      </w:pPr>
      <w:bookmarkStart w:id="984" w:name="_Toc5552"/>
      <w:bookmarkStart w:id="985" w:name="_Toc385521968"/>
      <w:bookmarkStart w:id="986" w:name="_Toc25174"/>
    </w:p>
    <w:p>
      <w:pPr>
        <w:jc w:val="center"/>
        <w:rPr>
          <w:rFonts w:asciiTheme="minorEastAsia" w:hAnsiTheme="minorEastAsia" w:eastAsiaTheme="minorEastAsia"/>
          <w:b/>
          <w:bCs/>
          <w:sz w:val="32"/>
          <w:szCs w:val="32"/>
        </w:rPr>
      </w:pPr>
      <w:r>
        <w:rPr>
          <w:rFonts w:hint="eastAsia" w:asciiTheme="minorEastAsia" w:hAnsiTheme="minorEastAsia" w:eastAsiaTheme="minorEastAsia"/>
          <w:b/>
          <w:sz w:val="32"/>
          <w:szCs w:val="32"/>
        </w:rPr>
        <w:t>一、保险协议</w:t>
      </w:r>
      <w:bookmarkEnd w:id="984"/>
      <w:bookmarkEnd w:id="985"/>
      <w:bookmarkEnd w:id="986"/>
    </w:p>
    <w:p>
      <w:pPr>
        <w:pStyle w:val="14"/>
        <w:spacing w:line="341" w:lineRule="auto"/>
        <w:ind w:left="1200" w:hanging="1200"/>
        <w:rPr>
          <w:rFonts w:cs="宋体" w:asciiTheme="minorEastAsia" w:hAnsiTheme="minorEastAsia" w:eastAsiaTheme="minorEastAsia"/>
          <w:b/>
          <w:bCs/>
          <w:szCs w:val="21"/>
        </w:rPr>
      </w:pPr>
    </w:p>
    <w:p>
      <w:pPr>
        <w:pStyle w:val="14"/>
        <w:spacing w:line="296" w:lineRule="auto"/>
        <w:ind w:firstLine="0"/>
        <w:rPr>
          <w:rFonts w:ascii="宋体" w:hAnsi="宋体" w:eastAsia="宋体" w:cs="宋体"/>
          <w:kern w:val="2"/>
          <w:sz w:val="21"/>
          <w:szCs w:val="21"/>
        </w:rPr>
      </w:pPr>
      <w:r>
        <w:rPr>
          <w:rFonts w:hint="eastAsia" w:ascii="宋体" w:hAnsi="宋体" w:eastAsia="宋体" w:cs="宋体"/>
          <w:kern w:val="2"/>
          <w:sz w:val="21"/>
          <w:szCs w:val="21"/>
        </w:rPr>
        <w:t>甲方（投保人）：南宁轨道交通集团有限责任公司</w:t>
      </w:r>
    </w:p>
    <w:p>
      <w:pPr>
        <w:pStyle w:val="14"/>
        <w:spacing w:line="296" w:lineRule="auto"/>
        <w:ind w:firstLine="0"/>
        <w:rPr>
          <w:rFonts w:ascii="宋体" w:hAnsi="宋体" w:eastAsia="宋体" w:cs="宋体"/>
          <w:kern w:val="2"/>
          <w:sz w:val="21"/>
          <w:szCs w:val="21"/>
        </w:rPr>
      </w:pPr>
      <w:r>
        <w:rPr>
          <w:rFonts w:hint="eastAsia" w:ascii="宋体" w:hAnsi="宋体" w:eastAsia="宋体" w:cs="宋体"/>
          <w:kern w:val="2"/>
          <w:sz w:val="21"/>
          <w:szCs w:val="21"/>
        </w:rPr>
        <w:t>注册地址：广西南宁市云景路69号</w:t>
      </w:r>
    </w:p>
    <w:p>
      <w:pPr>
        <w:pStyle w:val="14"/>
        <w:spacing w:line="296" w:lineRule="auto"/>
        <w:ind w:firstLine="0"/>
        <w:rPr>
          <w:rFonts w:ascii="宋体" w:hAnsi="宋体" w:eastAsia="宋体" w:cs="宋体"/>
          <w:kern w:val="2"/>
          <w:sz w:val="21"/>
          <w:szCs w:val="21"/>
        </w:rPr>
      </w:pPr>
    </w:p>
    <w:p>
      <w:pPr>
        <w:pStyle w:val="14"/>
        <w:spacing w:line="296" w:lineRule="auto"/>
        <w:ind w:firstLine="0"/>
        <w:rPr>
          <w:rFonts w:ascii="宋体" w:hAnsi="宋体" w:eastAsia="宋体" w:cs="宋体"/>
          <w:kern w:val="2"/>
          <w:sz w:val="21"/>
          <w:szCs w:val="21"/>
        </w:rPr>
      </w:pPr>
      <w:r>
        <w:rPr>
          <w:rFonts w:hint="eastAsia" w:ascii="宋体" w:hAnsi="宋体" w:eastAsia="宋体" w:cs="宋体"/>
          <w:kern w:val="2"/>
          <w:sz w:val="21"/>
          <w:szCs w:val="21"/>
        </w:rPr>
        <w:t>乙方（保险人）：</w:t>
      </w:r>
    </w:p>
    <w:p>
      <w:pPr>
        <w:pStyle w:val="14"/>
        <w:spacing w:line="296" w:lineRule="auto"/>
        <w:ind w:firstLine="525" w:firstLineChars="250"/>
        <w:rPr>
          <w:rFonts w:ascii="宋体" w:hAnsi="宋体" w:eastAsia="宋体" w:cs="宋体"/>
          <w:kern w:val="2"/>
          <w:sz w:val="21"/>
          <w:szCs w:val="21"/>
        </w:rPr>
      </w:pPr>
      <w:r>
        <w:rPr>
          <w:rFonts w:hint="eastAsia" w:ascii="宋体" w:hAnsi="宋体" w:eastAsia="宋体" w:cs="宋体"/>
          <w:kern w:val="2"/>
          <w:sz w:val="21"/>
          <w:szCs w:val="21"/>
        </w:rPr>
        <w:t xml:space="preserve">注册地址：                            </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甲乙双</w:t>
      </w:r>
      <w:r>
        <w:rPr>
          <w:rFonts w:ascii="宋体" w:hAnsi="宋体" w:eastAsia="宋体" w:cs="宋体"/>
          <w:kern w:val="2"/>
          <w:sz w:val="21"/>
          <w:szCs w:val="21"/>
        </w:rPr>
        <w:t>方</w:t>
      </w:r>
      <w:r>
        <w:rPr>
          <w:rFonts w:hint="eastAsia" w:ascii="宋体" w:hAnsi="宋体" w:eastAsia="宋体" w:cs="宋体"/>
          <w:kern w:val="2"/>
          <w:sz w:val="21"/>
          <w:szCs w:val="21"/>
        </w:rPr>
        <w:t>就南宁轨道交通集团2022-2024年度安全生产责任保险项目，经友好协商一致，达成如下协议，以兹共同遵守。</w:t>
      </w:r>
    </w:p>
    <w:p>
      <w:pPr>
        <w:pStyle w:val="14"/>
        <w:snapToGrid w:val="0"/>
        <w:spacing w:line="296" w:lineRule="auto"/>
        <w:ind w:firstLine="422" w:firstLineChars="200"/>
        <w:outlineLvl w:val="1"/>
        <w:rPr>
          <w:rFonts w:ascii="宋体" w:hAnsi="宋体" w:eastAsia="宋体" w:cs="宋体"/>
          <w:b/>
          <w:bCs/>
          <w:kern w:val="2"/>
          <w:sz w:val="21"/>
          <w:szCs w:val="21"/>
        </w:rPr>
      </w:pPr>
      <w:bookmarkStart w:id="987" w:name="_Toc26984"/>
      <w:r>
        <w:rPr>
          <w:rFonts w:hint="eastAsia" w:ascii="宋体" w:hAnsi="宋体" w:eastAsia="宋体" w:cs="宋体"/>
          <w:b/>
          <w:bCs/>
          <w:kern w:val="2"/>
          <w:sz w:val="21"/>
          <w:szCs w:val="21"/>
        </w:rPr>
        <w:t>一、合同文件的优先次序</w:t>
      </w:r>
      <w:bookmarkEnd w:id="987"/>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1、下列文件一起构成合同文件：</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（1）批单（如有）；</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（2）本保险协议书的补充协议书（合同谈判过程中的澄清文件和补充资料，如有）；</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（3）本保险协议书；</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（4）保险单；</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（5）共保协议；</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（6）中标通知书；</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（7）招标文件及补遗（答疑）文件；</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（8）投标文件及投标文件澄清；</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（9）其他合同文件。</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2、上述文件互为补充和解释，如有不明确或不一致之处，以上述次序在先者为准；同一次序的文件以时间在后的为准。</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3、合同各方签署的与本项目有关的洽商、变更、协议、纪要、信函、备忘录等，其优先解释顺序应视内容及与其他合同文件的相互关系而定。</w:t>
      </w:r>
    </w:p>
    <w:p>
      <w:pPr>
        <w:pStyle w:val="14"/>
        <w:snapToGrid w:val="0"/>
        <w:spacing w:line="296" w:lineRule="auto"/>
        <w:ind w:firstLine="422" w:firstLineChars="200"/>
        <w:outlineLvl w:val="1"/>
        <w:rPr>
          <w:rFonts w:ascii="宋体" w:hAnsi="宋体" w:eastAsia="宋体" w:cs="宋体"/>
          <w:b/>
          <w:bCs/>
          <w:kern w:val="2"/>
          <w:sz w:val="21"/>
          <w:szCs w:val="21"/>
        </w:rPr>
      </w:pPr>
      <w:bookmarkStart w:id="988" w:name="_Toc11037"/>
      <w:r>
        <w:rPr>
          <w:rFonts w:hint="eastAsia" w:ascii="宋体" w:hAnsi="宋体" w:eastAsia="宋体" w:cs="宋体"/>
          <w:b/>
          <w:bCs/>
          <w:kern w:val="2"/>
          <w:sz w:val="21"/>
          <w:szCs w:val="21"/>
        </w:rPr>
        <w:t>二、保险项目</w:t>
      </w:r>
      <w:bookmarkEnd w:id="988"/>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南宁轨道交通集团2022-2024年度安全生产责任保险项目（以下简称“本项目”）。本项目投保险种为安全生产责任保险。</w:t>
      </w:r>
    </w:p>
    <w:p>
      <w:pPr>
        <w:pStyle w:val="14"/>
        <w:snapToGrid w:val="0"/>
        <w:spacing w:line="296" w:lineRule="auto"/>
        <w:ind w:firstLine="422" w:firstLineChars="200"/>
        <w:outlineLvl w:val="1"/>
        <w:rPr>
          <w:rFonts w:ascii="宋体" w:hAnsi="宋体" w:eastAsia="宋体" w:cs="宋体"/>
          <w:b/>
          <w:bCs/>
          <w:kern w:val="2"/>
          <w:sz w:val="21"/>
          <w:szCs w:val="21"/>
        </w:rPr>
      </w:pPr>
      <w:bookmarkStart w:id="989" w:name="_Toc21552"/>
      <w:r>
        <w:rPr>
          <w:rFonts w:hint="eastAsia" w:ascii="宋体" w:hAnsi="宋体" w:eastAsia="宋体" w:cs="宋体"/>
          <w:b/>
          <w:bCs/>
          <w:kern w:val="2"/>
          <w:sz w:val="21"/>
          <w:szCs w:val="21"/>
        </w:rPr>
        <w:t>三、从共保事项</w:t>
      </w:r>
      <w:bookmarkEnd w:id="989"/>
    </w:p>
    <w:p>
      <w:pPr>
        <w:pStyle w:val="14"/>
        <w:snapToGrid w:val="0"/>
        <w:spacing w:line="296" w:lineRule="auto"/>
        <w:ind w:firstLine="420" w:firstLineChars="200"/>
        <w:rPr>
          <w:rFonts w:ascii="宋体" w:hAnsi="宋体" w:eastAsia="宋体" w:cs="宋体"/>
          <w:kern w:val="2"/>
          <w:sz w:val="21"/>
          <w:szCs w:val="21"/>
        </w:rPr>
      </w:pPr>
      <w:r>
        <w:rPr>
          <w:rFonts w:ascii="宋体" w:hAnsi="宋体" w:eastAsia="宋体" w:cs="宋体"/>
          <w:kern w:val="2"/>
          <w:sz w:val="21"/>
          <w:szCs w:val="21"/>
        </w:rPr>
        <w:t>乙方作为本项目中标人，可独家承保本项目全部份额或作为本项目的首席承保人（承保份额不低于60%），与甲方签订保险合同。在乙方作为本项目首席承保人的情况下，其他共保人由乙方在通过资格审查的投标人中自行选定及分配承保比例（共保人的入围资格需符合银保监监管规定），由乙方另行组织共保人签署共保协议明确本项目保险期限内的各项承保要求。</w:t>
      </w:r>
    </w:p>
    <w:p>
      <w:pPr>
        <w:pStyle w:val="14"/>
        <w:snapToGrid w:val="0"/>
        <w:spacing w:line="296" w:lineRule="auto"/>
        <w:ind w:firstLine="422" w:firstLineChars="200"/>
        <w:outlineLvl w:val="1"/>
        <w:rPr>
          <w:rFonts w:ascii="宋体" w:hAnsi="宋体" w:eastAsia="宋体" w:cs="宋体"/>
          <w:b/>
          <w:bCs/>
          <w:kern w:val="2"/>
          <w:sz w:val="21"/>
          <w:szCs w:val="21"/>
        </w:rPr>
      </w:pPr>
      <w:bookmarkStart w:id="990" w:name="_Toc18069"/>
      <w:r>
        <w:rPr>
          <w:rFonts w:hint="eastAsia" w:ascii="宋体" w:hAnsi="宋体" w:eastAsia="宋体" w:cs="宋体"/>
          <w:b/>
          <w:bCs/>
          <w:kern w:val="2"/>
          <w:sz w:val="21"/>
          <w:szCs w:val="21"/>
        </w:rPr>
        <w:t>四、承保出单</w:t>
      </w:r>
      <w:bookmarkEnd w:id="990"/>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承保出单：乙方在接到中标通知书后，应于2个工作日内根据经甲方确认的承保条件出具保单。</w:t>
      </w:r>
    </w:p>
    <w:p>
      <w:pPr>
        <w:pStyle w:val="14"/>
        <w:snapToGrid w:val="0"/>
        <w:spacing w:line="296" w:lineRule="auto"/>
        <w:ind w:firstLine="422" w:firstLineChars="200"/>
        <w:outlineLvl w:val="1"/>
        <w:rPr>
          <w:rFonts w:ascii="宋体" w:hAnsi="宋体" w:eastAsia="宋体" w:cs="宋体"/>
          <w:b/>
          <w:bCs/>
          <w:kern w:val="2"/>
          <w:sz w:val="21"/>
          <w:szCs w:val="21"/>
        </w:rPr>
      </w:pPr>
      <w:r>
        <w:rPr>
          <w:rFonts w:hint="eastAsia" w:ascii="宋体" w:hAnsi="宋体" w:eastAsia="宋体" w:cs="宋体"/>
          <w:b/>
          <w:bCs/>
          <w:kern w:val="2"/>
          <w:sz w:val="21"/>
          <w:szCs w:val="21"/>
        </w:rPr>
        <w:t>五、保险费及支付方式</w:t>
      </w:r>
    </w:p>
    <w:p>
      <w:pPr>
        <w:pStyle w:val="14"/>
        <w:snapToGrid w:val="0"/>
        <w:spacing w:line="296" w:lineRule="auto"/>
        <w:ind w:firstLine="420" w:firstLineChars="200"/>
        <w:rPr>
          <w:rFonts w:ascii="宋体" w:hAnsi="宋体" w:eastAsia="宋体" w:cs="宋体"/>
          <w:kern w:val="2"/>
          <w:sz w:val="21"/>
          <w:szCs w:val="21"/>
        </w:rPr>
      </w:pPr>
      <w:r>
        <w:rPr>
          <w:rFonts w:ascii="宋体" w:hAnsi="宋体" w:eastAsia="宋体" w:cs="宋体"/>
          <w:kern w:val="2"/>
          <w:sz w:val="21"/>
          <w:szCs w:val="21"/>
        </w:rPr>
        <w:t>1、总保险费</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不含税总保险费</w:t>
      </w:r>
      <w:r>
        <w:rPr>
          <w:rFonts w:ascii="宋体" w:hAnsi="宋体" w:eastAsia="宋体" w:cs="宋体"/>
          <w:kern w:val="2"/>
          <w:sz w:val="21"/>
          <w:szCs w:val="21"/>
        </w:rPr>
        <w:t>RMB____元</w:t>
      </w:r>
      <w:r>
        <w:rPr>
          <w:rFonts w:hint="eastAsia" w:ascii="宋体" w:hAnsi="宋体" w:eastAsia="宋体" w:cs="宋体"/>
          <w:kern w:val="2"/>
          <w:sz w:val="21"/>
          <w:szCs w:val="21"/>
        </w:rPr>
        <w:t>，增值税税率为6%，增值税税额</w:t>
      </w:r>
      <w:r>
        <w:rPr>
          <w:rFonts w:ascii="宋体" w:hAnsi="宋体" w:eastAsia="宋体" w:cs="宋体"/>
          <w:kern w:val="2"/>
          <w:sz w:val="21"/>
          <w:szCs w:val="21"/>
        </w:rPr>
        <w:t>RMB____元</w:t>
      </w:r>
      <w:r>
        <w:rPr>
          <w:rFonts w:hint="eastAsia" w:ascii="宋体" w:hAnsi="宋体" w:eastAsia="宋体" w:cs="宋体"/>
          <w:kern w:val="2"/>
          <w:sz w:val="21"/>
          <w:szCs w:val="21"/>
        </w:rPr>
        <w:t>，价税合计：</w:t>
      </w:r>
      <w:r>
        <w:rPr>
          <w:rFonts w:ascii="宋体" w:hAnsi="宋体" w:eastAsia="宋体" w:cs="宋体"/>
          <w:kern w:val="2"/>
          <w:sz w:val="21"/>
          <w:szCs w:val="21"/>
        </w:rPr>
        <w:t>RMB____元。</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2、</w:t>
      </w:r>
      <w:r>
        <w:rPr>
          <w:rFonts w:ascii="宋体" w:hAnsi="宋体" w:eastAsia="宋体" w:cs="宋体"/>
          <w:kern w:val="2"/>
          <w:sz w:val="21"/>
          <w:szCs w:val="21"/>
        </w:rPr>
        <w:t>保险费</w:t>
      </w:r>
      <w:r>
        <w:rPr>
          <w:rFonts w:hint="eastAsia" w:ascii="宋体" w:hAnsi="宋体" w:eastAsia="宋体" w:cs="宋体"/>
          <w:kern w:val="2"/>
          <w:sz w:val="21"/>
          <w:szCs w:val="21"/>
        </w:rPr>
        <w:t>由各分子公司根据</w:t>
      </w:r>
      <w:r>
        <w:rPr>
          <w:rFonts w:ascii="宋体" w:hAnsi="宋体" w:eastAsia="宋体" w:cs="宋体"/>
          <w:kern w:val="2"/>
          <w:sz w:val="21"/>
          <w:szCs w:val="21"/>
        </w:rPr>
        <w:t>人数</w:t>
      </w:r>
      <w:r>
        <w:rPr>
          <w:rFonts w:hint="eastAsia" w:ascii="宋体" w:hAnsi="宋体" w:eastAsia="宋体" w:cs="宋体"/>
          <w:kern w:val="2"/>
          <w:sz w:val="21"/>
          <w:szCs w:val="21"/>
        </w:rPr>
        <w:t>分摊并签订协议明确，即分摊的保险费＝中标</w:t>
      </w:r>
      <w:r>
        <w:rPr>
          <w:rFonts w:ascii="宋体" w:hAnsi="宋体" w:eastAsia="宋体" w:cs="宋体"/>
          <w:kern w:val="2"/>
          <w:sz w:val="21"/>
          <w:szCs w:val="21"/>
        </w:rPr>
        <w:t>价</w:t>
      </w:r>
      <w:r>
        <w:rPr>
          <w:rFonts w:hint="eastAsia" w:ascii="宋体" w:hAnsi="宋体" w:eastAsia="宋体" w:cs="宋体"/>
          <w:kern w:val="2"/>
          <w:sz w:val="21"/>
          <w:szCs w:val="21"/>
        </w:rPr>
        <w:t>÷7592×单位</w:t>
      </w:r>
      <w:r>
        <w:rPr>
          <w:rFonts w:ascii="宋体" w:hAnsi="宋体" w:eastAsia="宋体" w:cs="宋体"/>
          <w:kern w:val="2"/>
          <w:sz w:val="21"/>
          <w:szCs w:val="21"/>
        </w:rPr>
        <w:t>参保人数</w:t>
      </w:r>
      <w:r>
        <w:rPr>
          <w:rFonts w:hint="eastAsia" w:ascii="宋体" w:hAnsi="宋体" w:eastAsia="宋体" w:cs="宋体"/>
          <w:kern w:val="2"/>
          <w:sz w:val="21"/>
          <w:szCs w:val="21"/>
        </w:rPr>
        <w:t>确定，</w:t>
      </w:r>
      <w:r>
        <w:rPr>
          <w:rFonts w:ascii="宋体" w:hAnsi="宋体" w:eastAsia="宋体" w:cs="宋体"/>
          <w:kern w:val="2"/>
          <w:sz w:val="21"/>
          <w:szCs w:val="21"/>
        </w:rPr>
        <w:t>具体人数及费用如下：</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（1）南宁轨道交通集团有限责任公司（本部）：187人</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不含税总保险费</w:t>
      </w:r>
      <w:r>
        <w:rPr>
          <w:rFonts w:ascii="宋体" w:hAnsi="宋体" w:eastAsia="宋体" w:cs="宋体"/>
          <w:kern w:val="2"/>
          <w:sz w:val="21"/>
          <w:szCs w:val="21"/>
        </w:rPr>
        <w:t>RMB____元</w:t>
      </w:r>
      <w:r>
        <w:rPr>
          <w:rFonts w:hint="eastAsia" w:ascii="宋体" w:hAnsi="宋体" w:eastAsia="宋体" w:cs="宋体"/>
          <w:kern w:val="2"/>
          <w:sz w:val="21"/>
          <w:szCs w:val="21"/>
        </w:rPr>
        <w:t>，增值税税率为6%，增值税税额</w:t>
      </w:r>
      <w:r>
        <w:rPr>
          <w:rFonts w:ascii="宋体" w:hAnsi="宋体" w:eastAsia="宋体" w:cs="宋体"/>
          <w:kern w:val="2"/>
          <w:sz w:val="21"/>
          <w:szCs w:val="21"/>
        </w:rPr>
        <w:t>RMB____元</w:t>
      </w:r>
      <w:r>
        <w:rPr>
          <w:rFonts w:hint="eastAsia" w:ascii="宋体" w:hAnsi="宋体" w:eastAsia="宋体" w:cs="宋体"/>
          <w:kern w:val="2"/>
          <w:sz w:val="21"/>
          <w:szCs w:val="21"/>
        </w:rPr>
        <w:t>，价税合计：</w:t>
      </w:r>
      <w:r>
        <w:rPr>
          <w:rFonts w:ascii="宋体" w:hAnsi="宋体" w:eastAsia="宋体" w:cs="宋体"/>
          <w:kern w:val="2"/>
          <w:sz w:val="21"/>
          <w:szCs w:val="21"/>
        </w:rPr>
        <w:t>RMB____元。</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（2）南宁轨道交通建设有限公司：201人</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不含税总保险费</w:t>
      </w:r>
      <w:r>
        <w:rPr>
          <w:rFonts w:ascii="宋体" w:hAnsi="宋体" w:eastAsia="宋体" w:cs="宋体"/>
          <w:kern w:val="2"/>
          <w:sz w:val="21"/>
          <w:szCs w:val="21"/>
        </w:rPr>
        <w:t>RMB____元</w:t>
      </w:r>
      <w:r>
        <w:rPr>
          <w:rFonts w:hint="eastAsia" w:ascii="宋体" w:hAnsi="宋体" w:eastAsia="宋体" w:cs="宋体"/>
          <w:kern w:val="2"/>
          <w:sz w:val="21"/>
          <w:szCs w:val="21"/>
        </w:rPr>
        <w:t>，增值税税率为6%，增值税税额</w:t>
      </w:r>
      <w:r>
        <w:rPr>
          <w:rFonts w:ascii="宋体" w:hAnsi="宋体" w:eastAsia="宋体" w:cs="宋体"/>
          <w:kern w:val="2"/>
          <w:sz w:val="21"/>
          <w:szCs w:val="21"/>
        </w:rPr>
        <w:t>RMB____元</w:t>
      </w:r>
      <w:r>
        <w:rPr>
          <w:rFonts w:hint="eastAsia" w:ascii="宋体" w:hAnsi="宋体" w:eastAsia="宋体" w:cs="宋体"/>
          <w:kern w:val="2"/>
          <w:sz w:val="21"/>
          <w:szCs w:val="21"/>
        </w:rPr>
        <w:t>，价税合计：</w:t>
      </w:r>
      <w:r>
        <w:rPr>
          <w:rFonts w:ascii="宋体" w:hAnsi="宋体" w:eastAsia="宋体" w:cs="宋体"/>
          <w:kern w:val="2"/>
          <w:sz w:val="21"/>
          <w:szCs w:val="21"/>
        </w:rPr>
        <w:t>RMB____元。</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（3）南宁轨道交通运营有限公司：7156人</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不含税总保险费</w:t>
      </w:r>
      <w:r>
        <w:rPr>
          <w:rFonts w:ascii="宋体" w:hAnsi="宋体" w:eastAsia="宋体" w:cs="宋体"/>
          <w:kern w:val="2"/>
          <w:sz w:val="21"/>
          <w:szCs w:val="21"/>
        </w:rPr>
        <w:t>RMB____元</w:t>
      </w:r>
      <w:r>
        <w:rPr>
          <w:rFonts w:hint="eastAsia" w:ascii="宋体" w:hAnsi="宋体" w:eastAsia="宋体" w:cs="宋体"/>
          <w:kern w:val="2"/>
          <w:sz w:val="21"/>
          <w:szCs w:val="21"/>
        </w:rPr>
        <w:t>，增值税税率为6%，增值税税额</w:t>
      </w:r>
      <w:r>
        <w:rPr>
          <w:rFonts w:ascii="宋体" w:hAnsi="宋体" w:eastAsia="宋体" w:cs="宋体"/>
          <w:kern w:val="2"/>
          <w:sz w:val="21"/>
          <w:szCs w:val="21"/>
        </w:rPr>
        <w:t>RMB____元</w:t>
      </w:r>
      <w:r>
        <w:rPr>
          <w:rFonts w:hint="eastAsia" w:ascii="宋体" w:hAnsi="宋体" w:eastAsia="宋体" w:cs="宋体"/>
          <w:kern w:val="2"/>
          <w:sz w:val="21"/>
          <w:szCs w:val="21"/>
        </w:rPr>
        <w:t>，价税合计：</w:t>
      </w:r>
      <w:r>
        <w:rPr>
          <w:rFonts w:ascii="宋体" w:hAnsi="宋体" w:eastAsia="宋体" w:cs="宋体"/>
          <w:kern w:val="2"/>
          <w:sz w:val="21"/>
          <w:szCs w:val="21"/>
        </w:rPr>
        <w:t>RMB____元。</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（4）南宁轨道交通集团有限责任公司资源开发分公司：27 人</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不含税总保险费</w:t>
      </w:r>
      <w:r>
        <w:rPr>
          <w:rFonts w:ascii="宋体" w:hAnsi="宋体" w:eastAsia="宋体" w:cs="宋体"/>
          <w:kern w:val="2"/>
          <w:sz w:val="21"/>
          <w:szCs w:val="21"/>
        </w:rPr>
        <w:t>RMB____元</w:t>
      </w:r>
      <w:r>
        <w:rPr>
          <w:rFonts w:hint="eastAsia" w:ascii="宋体" w:hAnsi="宋体" w:eastAsia="宋体" w:cs="宋体"/>
          <w:kern w:val="2"/>
          <w:sz w:val="21"/>
          <w:szCs w:val="21"/>
        </w:rPr>
        <w:t>，增值税税率为6%，增值税税额</w:t>
      </w:r>
      <w:r>
        <w:rPr>
          <w:rFonts w:ascii="宋体" w:hAnsi="宋体" w:eastAsia="宋体" w:cs="宋体"/>
          <w:kern w:val="2"/>
          <w:sz w:val="21"/>
          <w:szCs w:val="21"/>
        </w:rPr>
        <w:t>RMB____元</w:t>
      </w:r>
      <w:r>
        <w:rPr>
          <w:rFonts w:hint="eastAsia" w:ascii="宋体" w:hAnsi="宋体" w:eastAsia="宋体" w:cs="宋体"/>
          <w:kern w:val="2"/>
          <w:sz w:val="21"/>
          <w:szCs w:val="21"/>
        </w:rPr>
        <w:t>，价税合计：</w:t>
      </w:r>
      <w:r>
        <w:rPr>
          <w:rFonts w:ascii="宋体" w:hAnsi="宋体" w:eastAsia="宋体" w:cs="宋体"/>
          <w:kern w:val="2"/>
          <w:sz w:val="21"/>
          <w:szCs w:val="21"/>
        </w:rPr>
        <w:t>RMB____元。</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（5）南宁铁路枢纽投资有限公司：8 人</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不含税总保险费</w:t>
      </w:r>
      <w:r>
        <w:rPr>
          <w:rFonts w:ascii="宋体" w:hAnsi="宋体" w:eastAsia="宋体" w:cs="宋体"/>
          <w:kern w:val="2"/>
          <w:sz w:val="21"/>
          <w:szCs w:val="21"/>
        </w:rPr>
        <w:t>RMB____元</w:t>
      </w:r>
      <w:r>
        <w:rPr>
          <w:rFonts w:hint="eastAsia" w:ascii="宋体" w:hAnsi="宋体" w:eastAsia="宋体" w:cs="宋体"/>
          <w:kern w:val="2"/>
          <w:sz w:val="21"/>
          <w:szCs w:val="21"/>
        </w:rPr>
        <w:t>，增值税税率为6%，增值税税额</w:t>
      </w:r>
      <w:r>
        <w:rPr>
          <w:rFonts w:ascii="宋体" w:hAnsi="宋体" w:eastAsia="宋体" w:cs="宋体"/>
          <w:kern w:val="2"/>
          <w:sz w:val="21"/>
          <w:szCs w:val="21"/>
        </w:rPr>
        <w:t>RMB____元</w:t>
      </w:r>
      <w:r>
        <w:rPr>
          <w:rFonts w:hint="eastAsia" w:ascii="宋体" w:hAnsi="宋体" w:eastAsia="宋体" w:cs="宋体"/>
          <w:kern w:val="2"/>
          <w:sz w:val="21"/>
          <w:szCs w:val="21"/>
        </w:rPr>
        <w:t>，价税合计：</w:t>
      </w:r>
      <w:r>
        <w:rPr>
          <w:rFonts w:ascii="宋体" w:hAnsi="宋体" w:eastAsia="宋体" w:cs="宋体"/>
          <w:kern w:val="2"/>
          <w:sz w:val="21"/>
          <w:szCs w:val="21"/>
        </w:rPr>
        <w:t>RMB____元。</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（6）南宁轨道城市发展有限责任公司：13 人</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不含税总保险费</w:t>
      </w:r>
      <w:r>
        <w:rPr>
          <w:rFonts w:ascii="宋体" w:hAnsi="宋体" w:eastAsia="宋体" w:cs="宋体"/>
          <w:kern w:val="2"/>
          <w:sz w:val="21"/>
          <w:szCs w:val="21"/>
        </w:rPr>
        <w:t>RMB____元</w:t>
      </w:r>
      <w:r>
        <w:rPr>
          <w:rFonts w:hint="eastAsia" w:ascii="宋体" w:hAnsi="宋体" w:eastAsia="宋体" w:cs="宋体"/>
          <w:kern w:val="2"/>
          <w:sz w:val="21"/>
          <w:szCs w:val="21"/>
        </w:rPr>
        <w:t>，增值税税率为6%，增值税税额</w:t>
      </w:r>
      <w:r>
        <w:rPr>
          <w:rFonts w:ascii="宋体" w:hAnsi="宋体" w:eastAsia="宋体" w:cs="宋体"/>
          <w:kern w:val="2"/>
          <w:sz w:val="21"/>
          <w:szCs w:val="21"/>
        </w:rPr>
        <w:t>RMB____元</w:t>
      </w:r>
      <w:r>
        <w:rPr>
          <w:rFonts w:hint="eastAsia" w:ascii="宋体" w:hAnsi="宋体" w:eastAsia="宋体" w:cs="宋体"/>
          <w:kern w:val="2"/>
          <w:sz w:val="21"/>
          <w:szCs w:val="21"/>
        </w:rPr>
        <w:t>，价税合计：</w:t>
      </w:r>
      <w:r>
        <w:rPr>
          <w:rFonts w:ascii="宋体" w:hAnsi="宋体" w:eastAsia="宋体" w:cs="宋体"/>
          <w:kern w:val="2"/>
          <w:sz w:val="21"/>
          <w:szCs w:val="21"/>
        </w:rPr>
        <w:t>RMB____元。</w:t>
      </w:r>
    </w:p>
    <w:p>
      <w:pPr>
        <w:pStyle w:val="14"/>
        <w:snapToGrid w:val="0"/>
        <w:spacing w:line="296" w:lineRule="auto"/>
        <w:ind w:firstLine="422" w:firstLineChars="200"/>
        <w:rPr>
          <w:rFonts w:ascii="宋体" w:hAnsi="宋体" w:eastAsia="宋体" w:cs="宋体"/>
          <w:kern w:val="2"/>
          <w:sz w:val="21"/>
          <w:szCs w:val="21"/>
        </w:rPr>
      </w:pPr>
      <w:r>
        <w:rPr>
          <w:rFonts w:hint="eastAsia" w:ascii="宋体" w:hAnsi="宋体" w:eastAsia="宋体" w:cs="宋体"/>
          <w:b/>
          <w:bCs/>
          <w:kern w:val="2"/>
          <w:sz w:val="21"/>
          <w:szCs w:val="21"/>
        </w:rPr>
        <w:t xml:space="preserve">本项目保险费包干使用。 </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2、保险费支付方式</w:t>
      </w:r>
    </w:p>
    <w:p>
      <w:pPr>
        <w:pStyle w:val="14"/>
        <w:wordWrap w:val="0"/>
        <w:snapToGrid w:val="0"/>
        <w:spacing w:line="296" w:lineRule="auto"/>
        <w:ind w:left="-8" w:firstLine="420" w:firstLineChars="200"/>
        <w:rPr>
          <w:rFonts w:ascii="宋体" w:hAnsi="宋体" w:eastAsia="宋体" w:cs="宋体"/>
          <w:kern w:val="2"/>
          <w:sz w:val="21"/>
          <w:szCs w:val="21"/>
        </w:rPr>
      </w:pPr>
      <w:r>
        <w:rPr>
          <w:rFonts w:hint="eastAsia" w:ascii="宋体" w:hAnsi="宋体" w:eastAsia="宋体" w:cs="宋体"/>
          <w:kern w:val="2"/>
          <w:sz w:val="21"/>
          <w:szCs w:val="21"/>
        </w:rPr>
        <w:t>（1）保费分二期支付，甲方应在签订合同后，在收到乙方提交的书面支付申请60日内支付第一期保险费，额度为总保险费的50%；在2023年7月1日后，收到乙方提出的书面支付申请之日起30日内支付第二期保险费，额度为总保险费的50%。</w:t>
      </w:r>
    </w:p>
    <w:p>
      <w:pPr>
        <w:pStyle w:val="14"/>
        <w:snapToGrid w:val="0"/>
        <w:spacing w:line="296" w:lineRule="auto"/>
        <w:ind w:left="-8" w:firstLine="420" w:firstLineChars="200"/>
        <w:rPr>
          <w:rFonts w:ascii="宋体" w:hAnsi="宋体" w:eastAsia="宋体" w:cs="宋体"/>
          <w:kern w:val="2"/>
          <w:sz w:val="21"/>
          <w:szCs w:val="21"/>
        </w:rPr>
      </w:pPr>
      <w:r>
        <w:rPr>
          <w:rFonts w:hint="eastAsia" w:ascii="宋体" w:hAnsi="宋体" w:eastAsia="宋体" w:cs="宋体"/>
          <w:kern w:val="2"/>
          <w:sz w:val="21"/>
          <w:szCs w:val="21"/>
        </w:rPr>
        <w:t>（2）乙方按照甲方相关流程申请支付保费，同时应提供符合国家税法规定的增值税专用发票。保费</w:t>
      </w:r>
      <w:r>
        <w:rPr>
          <w:rFonts w:hint="eastAsia" w:ascii="宋体" w:hAnsi="宋体" w:eastAsia="宋体" w:cs="宋体"/>
          <w:sz w:val="21"/>
          <w:szCs w:val="21"/>
        </w:rPr>
        <w:t>发票由乙方向甲方提供当期全额保费发票</w:t>
      </w:r>
      <w:r>
        <w:rPr>
          <w:rFonts w:hint="eastAsia" w:ascii="宋体" w:hAnsi="宋体" w:eastAsia="宋体" w:cs="宋体"/>
          <w:kern w:val="2"/>
          <w:sz w:val="21"/>
          <w:szCs w:val="21"/>
        </w:rPr>
        <w:t>。保险服务为应税服务，适用 6% 的增值税税率，故乙方向甲方开具的所有保费发票均应于“税率”一栏注明“6%”。</w:t>
      </w:r>
    </w:p>
    <w:p>
      <w:pPr>
        <w:pStyle w:val="14"/>
        <w:snapToGrid w:val="0"/>
        <w:spacing w:line="296" w:lineRule="auto"/>
        <w:ind w:firstLine="422" w:firstLineChars="200"/>
        <w:outlineLvl w:val="1"/>
        <w:rPr>
          <w:rFonts w:ascii="宋体" w:hAnsi="宋体" w:eastAsia="宋体" w:cs="宋体"/>
          <w:b/>
          <w:bCs/>
          <w:kern w:val="2"/>
          <w:sz w:val="21"/>
          <w:szCs w:val="21"/>
        </w:rPr>
      </w:pPr>
      <w:bookmarkStart w:id="991" w:name="_Toc5985"/>
      <w:r>
        <w:rPr>
          <w:rFonts w:hint="eastAsia" w:ascii="宋体" w:hAnsi="宋体" w:eastAsia="宋体" w:cs="宋体"/>
          <w:b/>
          <w:bCs/>
          <w:kern w:val="2"/>
          <w:sz w:val="21"/>
          <w:szCs w:val="21"/>
        </w:rPr>
        <w:t>六、期内服务</w:t>
      </w:r>
      <w:bookmarkEnd w:id="991"/>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（一）履约担保</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乙方需向甲方提交履约担保，履约担保为总保险费的5%，在</w:t>
      </w:r>
      <w:r>
        <w:rPr>
          <w:rFonts w:hint="eastAsia" w:ascii="宋体" w:hAnsi="宋体" w:eastAsia="宋体" w:cs="宋体"/>
          <w:sz w:val="21"/>
          <w:szCs w:val="21"/>
        </w:rPr>
        <w:t>保险合同签订前由乙方</w:t>
      </w:r>
      <w:r>
        <w:rPr>
          <w:rFonts w:hint="eastAsia" w:ascii="宋体" w:hAnsi="宋体" w:eastAsia="宋体" w:cs="宋体"/>
          <w:kern w:val="2"/>
          <w:sz w:val="21"/>
          <w:szCs w:val="21"/>
        </w:rPr>
        <w:t>将履约保证金划付给甲方指定账户或提供银行保函，履约担保在</w:t>
      </w:r>
      <w:r>
        <w:rPr>
          <w:rFonts w:hint="eastAsia" w:ascii="宋体" w:hAnsi="宋体" w:eastAsia="宋体" w:cs="宋体"/>
          <w:sz w:val="21"/>
          <w:szCs w:val="21"/>
        </w:rPr>
        <w:t>本项目保险期限结束或本项目所有赔案结案且赔款支付到账后30天内</w:t>
      </w:r>
      <w:r>
        <w:rPr>
          <w:rFonts w:hint="eastAsia" w:ascii="宋体" w:hAnsi="宋体" w:eastAsia="宋体" w:cs="宋体"/>
          <w:kern w:val="2"/>
          <w:sz w:val="21"/>
          <w:szCs w:val="21"/>
        </w:rPr>
        <w:t>甲方将剩余部分一次性无息退还给已方。</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（二）项目保险服务小组</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为保证本合同中各项保险服务条款的切实履行，并保证各项保险服务的质量，乙方和甲方相关</w:t>
      </w:r>
      <w:r>
        <w:rPr>
          <w:rFonts w:ascii="宋体" w:hAnsi="宋体" w:eastAsia="宋体" w:cs="宋体"/>
          <w:kern w:val="2"/>
          <w:sz w:val="21"/>
          <w:szCs w:val="21"/>
        </w:rPr>
        <w:t>负责人</w:t>
      </w:r>
      <w:r>
        <w:rPr>
          <w:rFonts w:hint="eastAsia" w:ascii="宋体" w:hAnsi="宋体" w:eastAsia="宋体" w:cs="宋体"/>
          <w:kern w:val="2"/>
          <w:sz w:val="21"/>
          <w:szCs w:val="21"/>
        </w:rPr>
        <w:t>分别成立相应的项目保险服务小组，在本合同生效后开展工作，负责处理保险期内相关服务事宜。</w:t>
      </w:r>
    </w:p>
    <w:p>
      <w:pPr>
        <w:pStyle w:val="14"/>
        <w:snapToGrid w:val="0"/>
        <w:spacing w:line="296" w:lineRule="auto"/>
        <w:ind w:firstLine="420" w:firstLineChars="200"/>
        <w:rPr>
          <w:rFonts w:ascii="宋体" w:hAnsi="宋体" w:eastAsia="宋体" w:cs="宋体"/>
          <w:b/>
          <w:sz w:val="21"/>
          <w:szCs w:val="21"/>
        </w:rPr>
      </w:pPr>
      <w:r>
        <w:rPr>
          <w:rFonts w:hint="eastAsia" w:ascii="宋体" w:hAnsi="宋体" w:eastAsia="宋体" w:cs="宋体"/>
          <w:kern w:val="2"/>
          <w:sz w:val="21"/>
          <w:szCs w:val="21"/>
        </w:rPr>
        <w:t>1、乙方服务小组负责日常与被保险人的联系沟通、出险现场的查勘定损、一般理赔案件的处理、赔款的预付及赔付、业务咨询、保险知识培训及日常的防灾防损服务等工作。</w:t>
      </w:r>
    </w:p>
    <w:p>
      <w:pPr>
        <w:spacing w:after="120" w:afterLines="50" w:line="296" w:lineRule="auto"/>
        <w:jc w:val="center"/>
        <w:textAlignment w:val="baseline"/>
        <w:rPr>
          <w:rFonts w:ascii="宋体" w:hAnsi="宋体" w:eastAsia="宋体" w:cs="宋体"/>
          <w:b/>
          <w:szCs w:val="21"/>
          <w:lang w:val="zh-CN"/>
        </w:rPr>
      </w:pPr>
      <w:r>
        <w:rPr>
          <w:rFonts w:hint="eastAsia" w:ascii="宋体" w:hAnsi="宋体" w:eastAsia="宋体" w:cs="宋体"/>
          <w:b/>
          <w:szCs w:val="21"/>
          <w:lang w:val="zh-CN"/>
        </w:rPr>
        <w:t>乙方服务小组名单及联系方式</w:t>
      </w:r>
    </w:p>
    <w:tbl>
      <w:tblPr>
        <w:tblStyle w:val="47"/>
        <w:tblW w:w="803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26"/>
        <w:gridCol w:w="1275"/>
        <w:gridCol w:w="3836"/>
        <w:gridCol w:w="15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66" w:hRule="atLeast"/>
          <w:tblHeader/>
          <w:jc w:val="center"/>
        </w:trPr>
        <w:tc>
          <w:tcPr>
            <w:tcW w:w="1426" w:type="dxa"/>
            <w:shd w:val="clear" w:color="auto" w:fill="auto"/>
            <w:vAlign w:val="center"/>
          </w:tcPr>
          <w:p>
            <w:pPr>
              <w:tabs>
                <w:tab w:val="left" w:pos="8640"/>
              </w:tabs>
              <w:spacing w:line="296" w:lineRule="auto"/>
              <w:jc w:val="center"/>
              <w:rPr>
                <w:rFonts w:ascii="宋体" w:hAnsi="宋体" w:eastAsia="宋体" w:cs="宋体"/>
                <w:b/>
                <w:szCs w:val="21"/>
              </w:rPr>
            </w:pPr>
            <w:r>
              <w:rPr>
                <w:rFonts w:hint="eastAsia" w:ascii="宋体" w:hAnsi="宋体" w:eastAsia="宋体" w:cs="宋体"/>
                <w:b/>
                <w:szCs w:val="21"/>
              </w:rPr>
              <w:t>在服务小组中职务</w:t>
            </w:r>
          </w:p>
        </w:tc>
        <w:tc>
          <w:tcPr>
            <w:tcW w:w="1275" w:type="dxa"/>
            <w:shd w:val="clear" w:color="auto" w:fill="auto"/>
            <w:vAlign w:val="center"/>
          </w:tcPr>
          <w:p>
            <w:pPr>
              <w:tabs>
                <w:tab w:val="left" w:pos="8640"/>
              </w:tabs>
              <w:spacing w:line="296" w:lineRule="auto"/>
              <w:jc w:val="center"/>
              <w:rPr>
                <w:rFonts w:ascii="宋体" w:hAnsi="宋体" w:eastAsia="宋体" w:cs="宋体"/>
                <w:b/>
                <w:szCs w:val="21"/>
              </w:rPr>
            </w:pPr>
            <w:r>
              <w:rPr>
                <w:rFonts w:hint="eastAsia" w:ascii="宋体" w:hAnsi="宋体" w:eastAsia="宋体" w:cs="宋体"/>
                <w:b/>
                <w:szCs w:val="21"/>
              </w:rPr>
              <w:t>姓名</w:t>
            </w:r>
          </w:p>
        </w:tc>
        <w:tc>
          <w:tcPr>
            <w:tcW w:w="3836" w:type="dxa"/>
            <w:shd w:val="clear" w:color="auto" w:fill="auto"/>
            <w:vAlign w:val="center"/>
          </w:tcPr>
          <w:p>
            <w:pPr>
              <w:tabs>
                <w:tab w:val="left" w:pos="8640"/>
              </w:tabs>
              <w:spacing w:line="296" w:lineRule="auto"/>
              <w:jc w:val="center"/>
              <w:rPr>
                <w:rFonts w:ascii="宋体" w:hAnsi="宋体" w:eastAsia="宋体" w:cs="宋体"/>
                <w:b/>
                <w:szCs w:val="21"/>
              </w:rPr>
            </w:pPr>
            <w:r>
              <w:rPr>
                <w:rFonts w:hint="eastAsia" w:ascii="宋体" w:hAnsi="宋体" w:eastAsia="宋体" w:cs="宋体"/>
                <w:b/>
                <w:szCs w:val="21"/>
              </w:rPr>
              <w:t>单位及职务</w:t>
            </w:r>
          </w:p>
        </w:tc>
        <w:tc>
          <w:tcPr>
            <w:tcW w:w="1501" w:type="dxa"/>
            <w:shd w:val="clear" w:color="auto" w:fill="auto"/>
            <w:vAlign w:val="center"/>
          </w:tcPr>
          <w:p>
            <w:pPr>
              <w:tabs>
                <w:tab w:val="left" w:pos="8640"/>
              </w:tabs>
              <w:spacing w:line="296" w:lineRule="auto"/>
              <w:jc w:val="center"/>
              <w:rPr>
                <w:rFonts w:ascii="宋体" w:hAnsi="宋体" w:eastAsia="宋体" w:cs="宋体"/>
                <w:b/>
                <w:szCs w:val="21"/>
              </w:rPr>
            </w:pPr>
            <w:r>
              <w:rPr>
                <w:rFonts w:hint="eastAsia" w:ascii="宋体" w:hAnsi="宋体" w:eastAsia="宋体" w:cs="宋体"/>
                <w:b/>
                <w:szCs w:val="21"/>
              </w:rPr>
              <w:t>联系方式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1426" w:type="dxa"/>
            <w:vAlign w:val="center"/>
          </w:tcPr>
          <w:p>
            <w:pPr>
              <w:tabs>
                <w:tab w:val="left" w:pos="8640"/>
              </w:tabs>
              <w:spacing w:line="296" w:lineRule="auto"/>
              <w:jc w:val="center"/>
              <w:rPr>
                <w:rFonts w:ascii="宋体" w:hAnsi="宋体" w:eastAsia="宋体" w:cs="宋体"/>
                <w:szCs w:val="21"/>
              </w:rPr>
            </w:pPr>
            <w:r>
              <w:rPr>
                <w:rFonts w:hint="eastAsia" w:ascii="宋体" w:hAnsi="宋体" w:eastAsia="宋体" w:cs="宋体"/>
                <w:szCs w:val="21"/>
              </w:rPr>
              <w:t>项目负责人</w:t>
            </w:r>
          </w:p>
        </w:tc>
        <w:tc>
          <w:tcPr>
            <w:tcW w:w="1275" w:type="dxa"/>
            <w:vAlign w:val="center"/>
          </w:tcPr>
          <w:p>
            <w:pPr>
              <w:tabs>
                <w:tab w:val="left" w:pos="8640"/>
              </w:tabs>
              <w:spacing w:line="296" w:lineRule="auto"/>
              <w:jc w:val="center"/>
              <w:rPr>
                <w:rFonts w:ascii="宋体" w:hAnsi="宋体" w:eastAsia="宋体" w:cs="宋体"/>
                <w:bCs/>
                <w:szCs w:val="21"/>
              </w:rPr>
            </w:pPr>
          </w:p>
        </w:tc>
        <w:tc>
          <w:tcPr>
            <w:tcW w:w="3836" w:type="dxa"/>
            <w:vAlign w:val="center"/>
          </w:tcPr>
          <w:p>
            <w:pPr>
              <w:spacing w:line="296" w:lineRule="auto"/>
              <w:jc w:val="left"/>
              <w:rPr>
                <w:rFonts w:ascii="宋体" w:hAnsi="宋体" w:eastAsia="宋体" w:cs="宋体"/>
                <w:bCs/>
                <w:szCs w:val="21"/>
              </w:rPr>
            </w:pPr>
          </w:p>
        </w:tc>
        <w:tc>
          <w:tcPr>
            <w:tcW w:w="1501" w:type="dxa"/>
            <w:vAlign w:val="center"/>
          </w:tcPr>
          <w:p>
            <w:pPr>
              <w:spacing w:line="296" w:lineRule="auto"/>
              <w:jc w:val="center"/>
              <w:rPr>
                <w:rFonts w:ascii="宋体" w:hAnsi="宋体" w:eastAsia="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1426" w:type="dxa"/>
            <w:vAlign w:val="center"/>
          </w:tcPr>
          <w:p>
            <w:pPr>
              <w:tabs>
                <w:tab w:val="left" w:pos="8640"/>
              </w:tabs>
              <w:spacing w:line="296" w:lineRule="auto"/>
              <w:jc w:val="center"/>
              <w:rPr>
                <w:rFonts w:ascii="宋体" w:hAnsi="宋体" w:eastAsia="宋体" w:cs="宋体"/>
                <w:szCs w:val="21"/>
              </w:rPr>
            </w:pPr>
            <w:r>
              <w:rPr>
                <w:rFonts w:hint="eastAsia" w:ascii="宋体" w:hAnsi="宋体" w:eastAsia="宋体" w:cs="宋体"/>
                <w:szCs w:val="21"/>
              </w:rPr>
              <w:t>组长</w:t>
            </w:r>
          </w:p>
        </w:tc>
        <w:tc>
          <w:tcPr>
            <w:tcW w:w="1275" w:type="dxa"/>
            <w:vAlign w:val="center"/>
          </w:tcPr>
          <w:p>
            <w:pPr>
              <w:spacing w:line="296" w:lineRule="auto"/>
              <w:jc w:val="center"/>
              <w:rPr>
                <w:rFonts w:ascii="宋体" w:hAnsi="宋体" w:eastAsia="宋体" w:cs="宋体"/>
                <w:bCs/>
                <w:szCs w:val="21"/>
              </w:rPr>
            </w:pPr>
          </w:p>
        </w:tc>
        <w:tc>
          <w:tcPr>
            <w:tcW w:w="3836" w:type="dxa"/>
            <w:vAlign w:val="center"/>
          </w:tcPr>
          <w:p>
            <w:pPr>
              <w:spacing w:line="296" w:lineRule="auto"/>
              <w:jc w:val="left"/>
              <w:rPr>
                <w:rFonts w:ascii="宋体" w:hAnsi="宋体" w:eastAsia="宋体" w:cs="宋体"/>
                <w:bCs/>
                <w:szCs w:val="21"/>
              </w:rPr>
            </w:pPr>
          </w:p>
        </w:tc>
        <w:tc>
          <w:tcPr>
            <w:tcW w:w="1501" w:type="dxa"/>
            <w:vAlign w:val="center"/>
          </w:tcPr>
          <w:p>
            <w:pPr>
              <w:spacing w:line="296" w:lineRule="auto"/>
              <w:jc w:val="center"/>
              <w:rPr>
                <w:rFonts w:ascii="宋体" w:hAnsi="宋体" w:eastAsia="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1426" w:type="dxa"/>
            <w:vAlign w:val="center"/>
          </w:tcPr>
          <w:p>
            <w:pPr>
              <w:tabs>
                <w:tab w:val="left" w:pos="8640"/>
              </w:tabs>
              <w:spacing w:line="296" w:lineRule="auto"/>
              <w:jc w:val="center"/>
              <w:rPr>
                <w:rFonts w:ascii="宋体" w:hAnsi="宋体" w:eastAsia="宋体" w:cs="宋体"/>
                <w:szCs w:val="21"/>
              </w:rPr>
            </w:pPr>
            <w:r>
              <w:rPr>
                <w:rFonts w:hint="eastAsia" w:ascii="宋体" w:hAnsi="宋体" w:eastAsia="宋体" w:cs="宋体"/>
                <w:szCs w:val="21"/>
              </w:rPr>
              <w:t>副组长</w:t>
            </w:r>
          </w:p>
        </w:tc>
        <w:tc>
          <w:tcPr>
            <w:tcW w:w="1275" w:type="dxa"/>
            <w:vAlign w:val="center"/>
          </w:tcPr>
          <w:p>
            <w:pPr>
              <w:spacing w:line="296" w:lineRule="auto"/>
              <w:jc w:val="center"/>
              <w:rPr>
                <w:rFonts w:ascii="宋体" w:hAnsi="宋体" w:eastAsia="宋体" w:cs="宋体"/>
                <w:bCs/>
                <w:szCs w:val="21"/>
              </w:rPr>
            </w:pPr>
          </w:p>
        </w:tc>
        <w:tc>
          <w:tcPr>
            <w:tcW w:w="3836" w:type="dxa"/>
            <w:vAlign w:val="center"/>
          </w:tcPr>
          <w:p>
            <w:pPr>
              <w:spacing w:line="296" w:lineRule="auto"/>
              <w:jc w:val="left"/>
              <w:rPr>
                <w:rFonts w:ascii="宋体" w:hAnsi="宋体" w:eastAsia="宋体" w:cs="宋体"/>
                <w:bCs/>
                <w:szCs w:val="21"/>
              </w:rPr>
            </w:pPr>
          </w:p>
        </w:tc>
        <w:tc>
          <w:tcPr>
            <w:tcW w:w="1501" w:type="dxa"/>
            <w:vAlign w:val="center"/>
          </w:tcPr>
          <w:p>
            <w:pPr>
              <w:spacing w:line="296" w:lineRule="auto"/>
              <w:jc w:val="center"/>
              <w:rPr>
                <w:rFonts w:ascii="宋体" w:hAnsi="宋体" w:eastAsia="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1426" w:type="dxa"/>
            <w:vMerge w:val="restart"/>
            <w:vAlign w:val="center"/>
          </w:tcPr>
          <w:p>
            <w:pPr>
              <w:tabs>
                <w:tab w:val="left" w:pos="8640"/>
              </w:tabs>
              <w:spacing w:line="296" w:lineRule="auto"/>
              <w:jc w:val="center"/>
              <w:rPr>
                <w:rFonts w:ascii="宋体" w:hAnsi="宋体" w:eastAsia="宋体" w:cs="宋体"/>
                <w:szCs w:val="21"/>
              </w:rPr>
            </w:pPr>
            <w:r>
              <w:rPr>
                <w:rFonts w:hint="eastAsia" w:ascii="宋体" w:hAnsi="宋体" w:eastAsia="宋体" w:cs="宋体"/>
                <w:szCs w:val="21"/>
              </w:rPr>
              <w:t>成员</w:t>
            </w:r>
          </w:p>
        </w:tc>
        <w:tc>
          <w:tcPr>
            <w:tcW w:w="1275" w:type="dxa"/>
            <w:vAlign w:val="center"/>
          </w:tcPr>
          <w:p>
            <w:pPr>
              <w:spacing w:line="296" w:lineRule="auto"/>
              <w:jc w:val="center"/>
              <w:rPr>
                <w:rFonts w:ascii="宋体" w:hAnsi="宋体" w:eastAsia="宋体" w:cs="宋体"/>
                <w:bCs/>
                <w:szCs w:val="21"/>
              </w:rPr>
            </w:pPr>
          </w:p>
        </w:tc>
        <w:tc>
          <w:tcPr>
            <w:tcW w:w="3836" w:type="dxa"/>
            <w:vAlign w:val="center"/>
          </w:tcPr>
          <w:p>
            <w:pPr>
              <w:spacing w:line="296" w:lineRule="auto"/>
              <w:jc w:val="left"/>
              <w:rPr>
                <w:rFonts w:ascii="宋体" w:hAnsi="宋体" w:eastAsia="宋体" w:cs="宋体"/>
                <w:bCs/>
                <w:szCs w:val="21"/>
              </w:rPr>
            </w:pPr>
          </w:p>
        </w:tc>
        <w:tc>
          <w:tcPr>
            <w:tcW w:w="1501" w:type="dxa"/>
            <w:vAlign w:val="center"/>
          </w:tcPr>
          <w:p>
            <w:pPr>
              <w:spacing w:line="296" w:lineRule="auto"/>
              <w:jc w:val="center"/>
              <w:rPr>
                <w:rFonts w:ascii="宋体" w:hAnsi="宋体" w:eastAsia="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1426" w:type="dxa"/>
            <w:vMerge w:val="continue"/>
            <w:vAlign w:val="center"/>
          </w:tcPr>
          <w:p>
            <w:pPr>
              <w:tabs>
                <w:tab w:val="left" w:pos="8640"/>
              </w:tabs>
              <w:spacing w:line="296" w:lineRule="auto"/>
              <w:jc w:val="center"/>
              <w:rPr>
                <w:rFonts w:ascii="宋体" w:hAnsi="宋体" w:eastAsia="宋体" w:cs="宋体"/>
                <w:bCs/>
                <w:szCs w:val="21"/>
              </w:rPr>
            </w:pPr>
          </w:p>
        </w:tc>
        <w:tc>
          <w:tcPr>
            <w:tcW w:w="1275" w:type="dxa"/>
            <w:vAlign w:val="center"/>
          </w:tcPr>
          <w:p>
            <w:pPr>
              <w:spacing w:line="296" w:lineRule="auto"/>
              <w:jc w:val="center"/>
              <w:rPr>
                <w:rFonts w:ascii="宋体" w:hAnsi="宋体" w:eastAsia="宋体" w:cs="宋体"/>
                <w:bCs/>
                <w:szCs w:val="21"/>
              </w:rPr>
            </w:pPr>
          </w:p>
        </w:tc>
        <w:tc>
          <w:tcPr>
            <w:tcW w:w="3836" w:type="dxa"/>
            <w:vAlign w:val="center"/>
          </w:tcPr>
          <w:p>
            <w:pPr>
              <w:spacing w:line="296" w:lineRule="auto"/>
              <w:jc w:val="left"/>
              <w:rPr>
                <w:rFonts w:ascii="宋体" w:hAnsi="宋体" w:eastAsia="宋体" w:cs="宋体"/>
                <w:bCs/>
                <w:szCs w:val="21"/>
              </w:rPr>
            </w:pPr>
          </w:p>
        </w:tc>
        <w:tc>
          <w:tcPr>
            <w:tcW w:w="1501" w:type="dxa"/>
            <w:vAlign w:val="center"/>
          </w:tcPr>
          <w:p>
            <w:pPr>
              <w:spacing w:line="296" w:lineRule="auto"/>
              <w:jc w:val="center"/>
              <w:rPr>
                <w:rFonts w:ascii="宋体" w:hAnsi="宋体" w:eastAsia="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1426" w:type="dxa"/>
            <w:vMerge w:val="continue"/>
            <w:vAlign w:val="center"/>
          </w:tcPr>
          <w:p>
            <w:pPr>
              <w:tabs>
                <w:tab w:val="left" w:pos="8640"/>
              </w:tabs>
              <w:spacing w:line="296" w:lineRule="auto"/>
              <w:jc w:val="center"/>
              <w:rPr>
                <w:rFonts w:ascii="宋体" w:hAnsi="宋体" w:eastAsia="宋体" w:cs="宋体"/>
                <w:bCs/>
                <w:szCs w:val="21"/>
              </w:rPr>
            </w:pPr>
          </w:p>
        </w:tc>
        <w:tc>
          <w:tcPr>
            <w:tcW w:w="1275" w:type="dxa"/>
            <w:vAlign w:val="center"/>
          </w:tcPr>
          <w:p>
            <w:pPr>
              <w:spacing w:line="296" w:lineRule="auto"/>
              <w:jc w:val="center"/>
              <w:rPr>
                <w:rFonts w:ascii="宋体" w:hAnsi="宋体" w:eastAsia="宋体" w:cs="宋体"/>
                <w:bCs/>
                <w:szCs w:val="21"/>
              </w:rPr>
            </w:pPr>
          </w:p>
        </w:tc>
        <w:tc>
          <w:tcPr>
            <w:tcW w:w="3836" w:type="dxa"/>
            <w:vAlign w:val="center"/>
          </w:tcPr>
          <w:p>
            <w:pPr>
              <w:spacing w:line="296" w:lineRule="auto"/>
              <w:jc w:val="left"/>
              <w:rPr>
                <w:rFonts w:ascii="宋体" w:hAnsi="宋体" w:eastAsia="宋体" w:cs="宋体"/>
                <w:bCs/>
                <w:szCs w:val="21"/>
              </w:rPr>
            </w:pPr>
          </w:p>
        </w:tc>
        <w:tc>
          <w:tcPr>
            <w:tcW w:w="1501" w:type="dxa"/>
            <w:vAlign w:val="center"/>
          </w:tcPr>
          <w:p>
            <w:pPr>
              <w:spacing w:line="296" w:lineRule="auto"/>
              <w:jc w:val="center"/>
              <w:rPr>
                <w:rFonts w:ascii="宋体" w:hAnsi="宋体" w:eastAsia="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1426" w:type="dxa"/>
            <w:vMerge w:val="continue"/>
            <w:vAlign w:val="center"/>
          </w:tcPr>
          <w:p>
            <w:pPr>
              <w:tabs>
                <w:tab w:val="left" w:pos="8640"/>
              </w:tabs>
              <w:spacing w:line="296" w:lineRule="auto"/>
              <w:jc w:val="center"/>
              <w:rPr>
                <w:rFonts w:ascii="宋体" w:hAnsi="宋体" w:eastAsia="宋体" w:cs="宋体"/>
                <w:bCs/>
                <w:szCs w:val="21"/>
              </w:rPr>
            </w:pPr>
          </w:p>
        </w:tc>
        <w:tc>
          <w:tcPr>
            <w:tcW w:w="1275" w:type="dxa"/>
            <w:vAlign w:val="center"/>
          </w:tcPr>
          <w:p>
            <w:pPr>
              <w:spacing w:line="296" w:lineRule="auto"/>
              <w:jc w:val="center"/>
              <w:rPr>
                <w:rFonts w:ascii="宋体" w:hAnsi="宋体" w:eastAsia="宋体" w:cs="宋体"/>
                <w:bCs/>
                <w:szCs w:val="21"/>
              </w:rPr>
            </w:pPr>
          </w:p>
        </w:tc>
        <w:tc>
          <w:tcPr>
            <w:tcW w:w="3836" w:type="dxa"/>
            <w:vAlign w:val="center"/>
          </w:tcPr>
          <w:p>
            <w:pPr>
              <w:spacing w:line="296" w:lineRule="auto"/>
              <w:jc w:val="left"/>
              <w:rPr>
                <w:rFonts w:ascii="宋体" w:hAnsi="宋体" w:eastAsia="宋体" w:cs="宋体"/>
                <w:bCs/>
                <w:szCs w:val="21"/>
              </w:rPr>
            </w:pPr>
          </w:p>
        </w:tc>
        <w:tc>
          <w:tcPr>
            <w:tcW w:w="1501" w:type="dxa"/>
            <w:vAlign w:val="center"/>
          </w:tcPr>
          <w:p>
            <w:pPr>
              <w:spacing w:line="296" w:lineRule="auto"/>
              <w:jc w:val="center"/>
              <w:rPr>
                <w:rFonts w:ascii="宋体" w:hAnsi="宋体" w:eastAsia="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1426" w:type="dxa"/>
            <w:vMerge w:val="continue"/>
            <w:vAlign w:val="center"/>
          </w:tcPr>
          <w:p>
            <w:pPr>
              <w:tabs>
                <w:tab w:val="left" w:pos="8640"/>
              </w:tabs>
              <w:spacing w:line="296" w:lineRule="auto"/>
              <w:jc w:val="center"/>
              <w:rPr>
                <w:rFonts w:ascii="宋体" w:hAnsi="宋体" w:eastAsia="宋体" w:cs="宋体"/>
                <w:bCs/>
                <w:szCs w:val="21"/>
              </w:rPr>
            </w:pPr>
          </w:p>
        </w:tc>
        <w:tc>
          <w:tcPr>
            <w:tcW w:w="1275" w:type="dxa"/>
            <w:vAlign w:val="center"/>
          </w:tcPr>
          <w:p>
            <w:pPr>
              <w:spacing w:line="296" w:lineRule="auto"/>
              <w:jc w:val="center"/>
              <w:rPr>
                <w:rFonts w:ascii="宋体" w:hAnsi="宋体" w:eastAsia="宋体" w:cs="宋体"/>
                <w:bCs/>
                <w:szCs w:val="21"/>
              </w:rPr>
            </w:pPr>
          </w:p>
        </w:tc>
        <w:tc>
          <w:tcPr>
            <w:tcW w:w="3836" w:type="dxa"/>
            <w:vAlign w:val="center"/>
          </w:tcPr>
          <w:p>
            <w:pPr>
              <w:spacing w:line="296" w:lineRule="auto"/>
              <w:jc w:val="left"/>
              <w:rPr>
                <w:rFonts w:ascii="宋体" w:hAnsi="宋体" w:eastAsia="宋体" w:cs="宋体"/>
                <w:bCs/>
                <w:szCs w:val="21"/>
              </w:rPr>
            </w:pPr>
          </w:p>
        </w:tc>
        <w:tc>
          <w:tcPr>
            <w:tcW w:w="1501" w:type="dxa"/>
            <w:vAlign w:val="center"/>
          </w:tcPr>
          <w:p>
            <w:pPr>
              <w:spacing w:line="296" w:lineRule="auto"/>
              <w:jc w:val="center"/>
              <w:rPr>
                <w:rFonts w:ascii="宋体" w:hAnsi="宋体" w:eastAsia="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1426" w:type="dxa"/>
            <w:vMerge w:val="continue"/>
            <w:vAlign w:val="center"/>
          </w:tcPr>
          <w:p>
            <w:pPr>
              <w:tabs>
                <w:tab w:val="left" w:pos="8640"/>
              </w:tabs>
              <w:spacing w:line="296" w:lineRule="auto"/>
              <w:jc w:val="center"/>
              <w:rPr>
                <w:rFonts w:ascii="宋体" w:hAnsi="宋体" w:eastAsia="宋体" w:cs="宋体"/>
                <w:bCs/>
                <w:szCs w:val="21"/>
              </w:rPr>
            </w:pPr>
          </w:p>
        </w:tc>
        <w:tc>
          <w:tcPr>
            <w:tcW w:w="1275" w:type="dxa"/>
            <w:vAlign w:val="center"/>
          </w:tcPr>
          <w:p>
            <w:pPr>
              <w:spacing w:line="296" w:lineRule="auto"/>
              <w:jc w:val="center"/>
              <w:rPr>
                <w:rFonts w:ascii="宋体" w:hAnsi="宋体" w:eastAsia="宋体" w:cs="宋体"/>
                <w:bCs/>
                <w:szCs w:val="21"/>
              </w:rPr>
            </w:pPr>
          </w:p>
        </w:tc>
        <w:tc>
          <w:tcPr>
            <w:tcW w:w="3836" w:type="dxa"/>
            <w:vAlign w:val="center"/>
          </w:tcPr>
          <w:p>
            <w:pPr>
              <w:spacing w:line="296" w:lineRule="auto"/>
              <w:jc w:val="left"/>
              <w:rPr>
                <w:rFonts w:ascii="宋体" w:hAnsi="宋体" w:eastAsia="宋体" w:cs="宋体"/>
                <w:bCs/>
                <w:szCs w:val="21"/>
              </w:rPr>
            </w:pPr>
          </w:p>
        </w:tc>
        <w:tc>
          <w:tcPr>
            <w:tcW w:w="1501" w:type="dxa"/>
            <w:vAlign w:val="center"/>
          </w:tcPr>
          <w:p>
            <w:pPr>
              <w:spacing w:line="296" w:lineRule="auto"/>
              <w:jc w:val="center"/>
              <w:rPr>
                <w:rFonts w:ascii="宋体" w:hAnsi="宋体" w:eastAsia="宋体" w:cs="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1426" w:type="dxa"/>
            <w:vMerge w:val="continue"/>
            <w:vAlign w:val="center"/>
          </w:tcPr>
          <w:p>
            <w:pPr>
              <w:tabs>
                <w:tab w:val="left" w:pos="8640"/>
              </w:tabs>
              <w:spacing w:line="296" w:lineRule="auto"/>
              <w:jc w:val="center"/>
              <w:rPr>
                <w:rFonts w:ascii="宋体" w:hAnsi="宋体" w:eastAsia="宋体" w:cs="宋体"/>
                <w:bCs/>
                <w:szCs w:val="21"/>
              </w:rPr>
            </w:pPr>
          </w:p>
        </w:tc>
        <w:tc>
          <w:tcPr>
            <w:tcW w:w="1275" w:type="dxa"/>
            <w:vAlign w:val="center"/>
          </w:tcPr>
          <w:p>
            <w:pPr>
              <w:spacing w:line="296" w:lineRule="auto"/>
              <w:jc w:val="center"/>
              <w:rPr>
                <w:rFonts w:ascii="宋体" w:hAnsi="宋体" w:eastAsia="宋体" w:cs="宋体"/>
                <w:szCs w:val="21"/>
              </w:rPr>
            </w:pPr>
          </w:p>
        </w:tc>
        <w:tc>
          <w:tcPr>
            <w:tcW w:w="3836" w:type="dxa"/>
            <w:vAlign w:val="center"/>
          </w:tcPr>
          <w:p>
            <w:pPr>
              <w:spacing w:line="296" w:lineRule="auto"/>
              <w:jc w:val="left"/>
              <w:rPr>
                <w:rFonts w:ascii="宋体" w:hAnsi="宋体" w:eastAsia="宋体" w:cs="宋体"/>
                <w:szCs w:val="21"/>
              </w:rPr>
            </w:pPr>
          </w:p>
        </w:tc>
        <w:tc>
          <w:tcPr>
            <w:tcW w:w="1501" w:type="dxa"/>
            <w:vAlign w:val="center"/>
          </w:tcPr>
          <w:p>
            <w:pPr>
              <w:spacing w:line="296" w:lineRule="auto"/>
              <w:jc w:val="center"/>
              <w:rPr>
                <w:rFonts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203" w:hRule="atLeast"/>
          <w:jc w:val="center"/>
        </w:trPr>
        <w:tc>
          <w:tcPr>
            <w:tcW w:w="8038" w:type="dxa"/>
            <w:gridSpan w:val="4"/>
            <w:shd w:val="clear" w:color="auto" w:fill="auto"/>
            <w:vAlign w:val="center"/>
          </w:tcPr>
          <w:p>
            <w:pPr>
              <w:tabs>
                <w:tab w:val="left" w:pos="8640"/>
              </w:tabs>
              <w:spacing w:line="296" w:lineRule="auto"/>
              <w:jc w:val="left"/>
              <w:rPr>
                <w:rFonts w:ascii="宋体" w:hAnsi="宋体" w:eastAsia="宋体" w:cs="宋体"/>
                <w:b/>
                <w:szCs w:val="21"/>
              </w:rPr>
            </w:pPr>
            <w:r>
              <w:rPr>
                <w:rFonts w:hint="eastAsia" w:ascii="宋体" w:hAnsi="宋体" w:eastAsia="宋体" w:cs="宋体"/>
                <w:b/>
                <w:szCs w:val="21"/>
              </w:rPr>
              <w:t>24小时报案电话：</w:t>
            </w:r>
          </w:p>
          <w:p>
            <w:pPr>
              <w:tabs>
                <w:tab w:val="left" w:pos="8640"/>
              </w:tabs>
              <w:spacing w:line="296" w:lineRule="auto"/>
              <w:jc w:val="left"/>
              <w:rPr>
                <w:rFonts w:ascii="宋体" w:hAnsi="宋体" w:eastAsia="宋体" w:cs="宋体"/>
                <w:b/>
                <w:szCs w:val="21"/>
              </w:rPr>
            </w:pPr>
            <w:r>
              <w:rPr>
                <w:rFonts w:hint="eastAsia" w:ascii="宋体" w:hAnsi="宋体" w:eastAsia="宋体" w:cs="宋体"/>
                <w:b/>
                <w:szCs w:val="21"/>
              </w:rPr>
              <w:t>服务小组第一联系人：</w:t>
            </w:r>
          </w:p>
          <w:p>
            <w:pPr>
              <w:tabs>
                <w:tab w:val="left" w:pos="8640"/>
              </w:tabs>
              <w:spacing w:line="296" w:lineRule="auto"/>
              <w:jc w:val="left"/>
              <w:rPr>
                <w:rFonts w:ascii="宋体" w:hAnsi="宋体" w:eastAsia="宋体" w:cs="宋体"/>
                <w:szCs w:val="21"/>
              </w:rPr>
            </w:pPr>
            <w:r>
              <w:rPr>
                <w:rFonts w:hint="eastAsia" w:ascii="宋体" w:hAnsi="宋体" w:eastAsia="宋体" w:cs="宋体"/>
                <w:b/>
                <w:szCs w:val="21"/>
              </w:rPr>
              <w:t>理赔服务专员：</w:t>
            </w:r>
          </w:p>
        </w:tc>
      </w:tr>
    </w:tbl>
    <w:p>
      <w:pPr>
        <w:pStyle w:val="14"/>
        <w:snapToGrid w:val="0"/>
        <w:spacing w:before="120" w:beforeLines="50"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乙方项目负责人、组长及副组长变动需与甲方协商确定，并需经甲方书面同意；其他服务服务人员变动，需书面通知甲方。更换的人员在履历、业绩和资力等综合履约能力方面不低于原服务小组人员的专业水平。如擅自更换项目负责人、组长或副组长处罚款6万元/次，擅自更换其他服务人员处罚款3万元/次（含新增补充）。罚金直接从履约担保中进行扣除。</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若甲方提出更换乙方项目服务人员，则乙方应在接到通知后一个月内选派资格和经验为甲方所接受的人员进行更换。</w:t>
      </w:r>
    </w:p>
    <w:p>
      <w:pPr>
        <w:pStyle w:val="14"/>
        <w:snapToGrid w:val="0"/>
        <w:spacing w:before="120" w:beforeLines="50"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（三）培训服务</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在保险期内，乙方负责每年至少举办两次保险知识和风险管理培训，以提高甲方相关人员的安全意识和防灾防损技能。培训费用由乙方承担，具体举办时间和地点由协议双方共同协商确定。</w:t>
      </w:r>
    </w:p>
    <w:p>
      <w:pPr>
        <w:pStyle w:val="14"/>
        <w:snapToGrid w:val="0"/>
        <w:spacing w:line="296" w:lineRule="auto"/>
        <w:ind w:firstLine="420" w:firstLineChars="200"/>
        <w:rPr>
          <w:rFonts w:ascii="宋体" w:hAnsi="宋体" w:eastAsia="宋体" w:cs="宋体"/>
          <w:kern w:val="2"/>
          <w:sz w:val="21"/>
          <w:szCs w:val="21"/>
        </w:rPr>
      </w:pPr>
      <w:r>
        <w:rPr>
          <w:rFonts w:hint="eastAsia" w:ascii="宋体" w:hAnsi="宋体" w:eastAsia="宋体" w:cs="宋体"/>
          <w:kern w:val="2"/>
          <w:sz w:val="21"/>
          <w:szCs w:val="21"/>
        </w:rPr>
        <w:t>（五）理赔服务</w:t>
      </w:r>
    </w:p>
    <w:p>
      <w:pPr>
        <w:widowControl/>
        <w:snapToGrid w:val="0"/>
        <w:spacing w:line="296" w:lineRule="auto"/>
        <w:ind w:firstLine="480"/>
        <w:rPr>
          <w:rFonts w:ascii="宋体" w:hAnsi="宋体" w:eastAsia="宋体" w:cs="宋体"/>
          <w:bCs/>
          <w:szCs w:val="21"/>
        </w:rPr>
      </w:pPr>
      <w:r>
        <w:rPr>
          <w:rFonts w:hint="eastAsia" w:ascii="宋体" w:hAnsi="宋体" w:eastAsia="宋体" w:cs="宋体"/>
          <w:bCs/>
          <w:szCs w:val="21"/>
        </w:rPr>
        <w:t>甲方指定南宁轨道交通运营有限公司负责处理本项目理赔相关事务；乙方处理理赔相关事务并作出理赔决定，乙方项目负责人需做到出席所有与定责、定损有关的会议，并迅速作出理赔决策，保证理赔质量和效率。</w:t>
      </w:r>
    </w:p>
    <w:p>
      <w:pPr>
        <w:widowControl/>
        <w:snapToGrid w:val="0"/>
        <w:spacing w:line="296" w:lineRule="auto"/>
        <w:ind w:firstLine="480"/>
        <w:rPr>
          <w:rFonts w:ascii="宋体" w:hAnsi="宋体" w:eastAsia="宋体" w:cs="宋体"/>
          <w:szCs w:val="21"/>
        </w:rPr>
      </w:pPr>
      <w:r>
        <w:rPr>
          <w:rFonts w:hint="eastAsia" w:ascii="宋体" w:hAnsi="宋体" w:eastAsia="宋体" w:cs="宋体"/>
          <w:szCs w:val="21"/>
        </w:rPr>
        <w:t>1、出险通知</w:t>
      </w:r>
    </w:p>
    <w:p>
      <w:pPr>
        <w:widowControl/>
        <w:snapToGrid w:val="0"/>
        <w:spacing w:line="296" w:lineRule="auto"/>
        <w:ind w:firstLine="480"/>
        <w:rPr>
          <w:rFonts w:ascii="宋体" w:hAnsi="宋体" w:eastAsia="宋体" w:cs="宋体"/>
          <w:bCs/>
          <w:szCs w:val="21"/>
        </w:rPr>
      </w:pPr>
      <w:r>
        <w:rPr>
          <w:rFonts w:hint="eastAsia" w:ascii="宋体" w:hAnsi="宋体" w:eastAsia="宋体" w:cs="宋体"/>
          <w:szCs w:val="21"/>
        </w:rPr>
        <w:t>甲方在获悉发生损失后，应尽快通知乙方</w:t>
      </w:r>
      <w:r>
        <w:rPr>
          <w:rFonts w:hint="eastAsia" w:ascii="宋体" w:hAnsi="宋体" w:eastAsia="宋体" w:cs="宋体"/>
          <w:bCs/>
          <w:szCs w:val="21"/>
        </w:rPr>
        <w:t>。</w:t>
      </w:r>
    </w:p>
    <w:p>
      <w:pPr>
        <w:widowControl/>
        <w:snapToGrid w:val="0"/>
        <w:spacing w:line="296" w:lineRule="auto"/>
        <w:ind w:firstLine="480"/>
        <w:rPr>
          <w:rFonts w:ascii="宋体" w:hAnsi="宋体" w:eastAsia="宋体" w:cs="宋体"/>
          <w:bCs/>
          <w:szCs w:val="21"/>
        </w:rPr>
      </w:pPr>
      <w:r>
        <w:rPr>
          <w:rFonts w:hint="eastAsia" w:ascii="宋体" w:hAnsi="宋体" w:eastAsia="宋体" w:cs="宋体"/>
          <w:bCs/>
          <w:szCs w:val="21"/>
        </w:rPr>
        <w:t>被保险人如因不可抗力因素无法及时报案，乙方将认可被保险人事后出具的书面说明，并视同为及时报案。</w:t>
      </w:r>
    </w:p>
    <w:p>
      <w:pPr>
        <w:widowControl/>
        <w:snapToGrid w:val="0"/>
        <w:spacing w:line="296" w:lineRule="auto"/>
        <w:ind w:firstLine="480"/>
        <w:rPr>
          <w:rFonts w:ascii="宋体" w:hAnsi="宋体" w:eastAsia="宋体" w:cs="宋体"/>
          <w:szCs w:val="21"/>
        </w:rPr>
      </w:pPr>
      <w:r>
        <w:rPr>
          <w:rFonts w:hint="eastAsia" w:ascii="宋体" w:hAnsi="宋体" w:eastAsia="宋体" w:cs="宋体"/>
          <w:szCs w:val="21"/>
        </w:rPr>
        <w:t>2、现场查勘时限</w:t>
      </w:r>
    </w:p>
    <w:p>
      <w:pPr>
        <w:widowControl/>
        <w:snapToGrid w:val="0"/>
        <w:spacing w:line="296" w:lineRule="auto"/>
        <w:ind w:firstLine="480"/>
        <w:rPr>
          <w:rFonts w:ascii="宋体" w:hAnsi="宋体" w:eastAsia="宋体" w:cs="宋体"/>
          <w:bCs/>
          <w:szCs w:val="21"/>
        </w:rPr>
      </w:pPr>
      <w:r>
        <w:rPr>
          <w:rFonts w:hint="eastAsia" w:ascii="宋体" w:hAnsi="宋体" w:eastAsia="宋体" w:cs="宋体"/>
          <w:szCs w:val="21"/>
        </w:rPr>
        <w:t>乙方应严格执行365天、24小时的全天候接报案制度。接到甲方的电话或书面报案通知后，乙方必须立即答复是否需要保留现场。</w:t>
      </w:r>
      <w:r>
        <w:rPr>
          <w:rFonts w:hint="eastAsia" w:ascii="宋体" w:hAnsi="宋体" w:eastAsia="宋体" w:cs="宋体"/>
          <w:bCs/>
          <w:szCs w:val="21"/>
        </w:rPr>
        <w:t>如需要保留现场，</w:t>
      </w:r>
      <w:r>
        <w:rPr>
          <w:rFonts w:hint="eastAsia" w:ascii="宋体" w:hAnsi="宋体" w:eastAsia="宋体" w:cs="宋体"/>
          <w:szCs w:val="21"/>
        </w:rPr>
        <w:t>乙方</w:t>
      </w:r>
      <w:r>
        <w:rPr>
          <w:rFonts w:hint="eastAsia" w:ascii="宋体" w:hAnsi="宋体" w:eastAsia="宋体" w:cs="宋体"/>
          <w:bCs/>
          <w:szCs w:val="21"/>
        </w:rPr>
        <w:t>专职理赔人员须在接到报案通知后2小时内到达现场进行保险事故损失查勘，或在24小时内委托由合同约定或投保人指定的公估公司进行现场查勘。</w:t>
      </w:r>
    </w:p>
    <w:p>
      <w:pPr>
        <w:widowControl/>
        <w:snapToGrid w:val="0"/>
        <w:spacing w:line="296" w:lineRule="auto"/>
        <w:ind w:firstLine="480"/>
        <w:rPr>
          <w:rFonts w:ascii="宋体" w:hAnsi="宋体" w:eastAsia="宋体" w:cs="宋体"/>
          <w:szCs w:val="21"/>
        </w:rPr>
      </w:pPr>
      <w:r>
        <w:rPr>
          <w:rFonts w:hint="eastAsia" w:ascii="宋体" w:hAnsi="宋体" w:eastAsia="宋体" w:cs="宋体"/>
          <w:szCs w:val="21"/>
        </w:rPr>
        <w:t>若因该线路运营或抢险需要，或查勘人员未按上述规定时间及时到达出险现场，乙方允许并认可甲方自行处理事故现场，甲方需注意对事故现场从不同角度进行拍照或录像，保留事故损失的证明材料。乙方将根据甲方拍摄的事故现场的有关照片、录像及受损财产实物等处理保险理赔事宜。</w:t>
      </w:r>
    </w:p>
    <w:p>
      <w:pPr>
        <w:widowControl/>
        <w:snapToGrid w:val="0"/>
        <w:spacing w:line="296" w:lineRule="auto"/>
        <w:ind w:firstLine="480"/>
        <w:rPr>
          <w:rFonts w:ascii="宋体" w:hAnsi="宋体" w:eastAsia="宋体" w:cs="宋体"/>
          <w:szCs w:val="21"/>
        </w:rPr>
      </w:pPr>
      <w:r>
        <w:rPr>
          <w:rFonts w:hint="eastAsia" w:ascii="宋体" w:hAnsi="宋体" w:eastAsia="宋体" w:cs="宋体"/>
          <w:szCs w:val="21"/>
        </w:rPr>
        <w:t>3、单证审核</w:t>
      </w:r>
    </w:p>
    <w:p>
      <w:pPr>
        <w:widowControl/>
        <w:snapToGrid w:val="0"/>
        <w:spacing w:line="296" w:lineRule="auto"/>
        <w:ind w:firstLine="480"/>
        <w:rPr>
          <w:rFonts w:ascii="宋体" w:hAnsi="宋体" w:eastAsia="宋体" w:cs="宋体"/>
          <w:szCs w:val="21"/>
        </w:rPr>
      </w:pPr>
      <w:r>
        <w:rPr>
          <w:rFonts w:hint="eastAsia" w:ascii="宋体" w:hAnsi="宋体" w:eastAsia="宋体" w:cs="宋体"/>
          <w:szCs w:val="21"/>
        </w:rPr>
        <w:t>被保险人以EMS、邮寄或其他方式向乙方项目服务小组提交必须的、有效的、真实的有关单证和资料。乙方在收到上述材料后应立即审查核实，若认为有关证明和材料不完整，应立即以书面方式一次性通知被保险人应补充提供的有关证明或资料，若在接到索赔资料后2个工作日内未提出有关审核意见，则视为乙方认可索赔资料完整。</w:t>
      </w:r>
    </w:p>
    <w:p>
      <w:pPr>
        <w:widowControl/>
        <w:snapToGrid w:val="0"/>
        <w:spacing w:line="296" w:lineRule="auto"/>
        <w:ind w:firstLine="480"/>
        <w:rPr>
          <w:rFonts w:ascii="宋体" w:hAnsi="宋体" w:eastAsia="宋体" w:cs="宋体"/>
          <w:szCs w:val="21"/>
        </w:rPr>
      </w:pPr>
      <w:r>
        <w:rPr>
          <w:rFonts w:hint="eastAsia" w:ascii="宋体" w:hAnsi="宋体" w:eastAsia="宋体" w:cs="宋体"/>
          <w:szCs w:val="21"/>
        </w:rPr>
        <w:t>4、有关政府部门对事故责任的认定与乙方对保险责任认定的依据和目的不同，乙方同意，不以政府相关部门“责任事故”的认定等同于保险条款中的被保险人及其代表的“重大过失”，本协议及与本协议相关保单所指的被保险人及其代表的“重大过失”系指被保险人及其代表违反普通人的注意义务的过失；被保险人及其代表违反作为具有地铁线路运营知识、能力和技能的专业人员的注意义务的过失属于一般过失，不属于重大过失。</w:t>
      </w:r>
    </w:p>
    <w:p>
      <w:pPr>
        <w:widowControl/>
        <w:snapToGrid w:val="0"/>
        <w:spacing w:line="296" w:lineRule="auto"/>
        <w:ind w:firstLine="480"/>
        <w:rPr>
          <w:rFonts w:ascii="宋体" w:hAnsi="宋体" w:eastAsia="宋体" w:cs="宋体"/>
          <w:szCs w:val="21"/>
        </w:rPr>
      </w:pPr>
      <w:r>
        <w:rPr>
          <w:rFonts w:hint="eastAsia" w:ascii="宋体" w:hAnsi="宋体" w:eastAsia="宋体" w:cs="宋体"/>
          <w:szCs w:val="21"/>
        </w:rPr>
        <w:t>5、聘请公估公司及其费用</w:t>
      </w:r>
    </w:p>
    <w:p>
      <w:pPr>
        <w:widowControl/>
        <w:snapToGrid w:val="0"/>
        <w:spacing w:line="296" w:lineRule="auto"/>
        <w:ind w:firstLine="480"/>
        <w:rPr>
          <w:rFonts w:ascii="宋体" w:hAnsi="宋体" w:eastAsia="宋体" w:cs="宋体"/>
          <w:szCs w:val="21"/>
        </w:rPr>
      </w:pPr>
      <w:r>
        <w:rPr>
          <w:rFonts w:hint="eastAsia" w:ascii="宋体" w:hAnsi="宋体" w:eastAsia="宋体" w:cs="宋体"/>
          <w:szCs w:val="21"/>
        </w:rPr>
        <w:t>如需要委托公估公司的，由甲方根据“指定理算人条款”之约定选派，通知选定的公估公司，公估公司需在2个小时内赶到现场进行查勘。</w:t>
      </w:r>
    </w:p>
    <w:p>
      <w:pPr>
        <w:widowControl/>
        <w:snapToGrid w:val="0"/>
        <w:spacing w:line="296" w:lineRule="auto"/>
        <w:ind w:firstLine="480"/>
        <w:rPr>
          <w:rFonts w:ascii="宋体" w:hAnsi="宋体" w:eastAsia="宋体" w:cs="宋体"/>
          <w:szCs w:val="21"/>
        </w:rPr>
      </w:pPr>
      <w:r>
        <w:rPr>
          <w:rFonts w:hint="eastAsia" w:ascii="宋体" w:hAnsi="宋体" w:eastAsia="宋体" w:cs="宋体"/>
          <w:szCs w:val="21"/>
        </w:rPr>
        <w:t>由甲方、出险单位和乙方根据公估公司每次赔案处理情况，从赔案处理态度、处理技能、赔偿额度和处理速度四个方面进行综合评价，评价得分决定公估公司能否连续/继续/停止服务本项目。</w:t>
      </w:r>
    </w:p>
    <w:p>
      <w:pPr>
        <w:widowControl/>
        <w:snapToGrid w:val="0"/>
        <w:spacing w:line="296" w:lineRule="auto"/>
        <w:ind w:firstLine="480"/>
        <w:rPr>
          <w:rFonts w:ascii="宋体" w:hAnsi="宋体" w:eastAsia="宋体" w:cs="宋体"/>
          <w:szCs w:val="21"/>
        </w:rPr>
      </w:pPr>
      <w:r>
        <w:rPr>
          <w:rFonts w:hint="eastAsia" w:ascii="宋体" w:hAnsi="宋体" w:eastAsia="宋体" w:cs="宋体"/>
          <w:szCs w:val="21"/>
        </w:rPr>
        <w:t>其他遵从“指定理算人条款”之约定。</w:t>
      </w:r>
    </w:p>
    <w:p>
      <w:pPr>
        <w:widowControl/>
        <w:snapToGrid w:val="0"/>
        <w:spacing w:line="296" w:lineRule="auto"/>
        <w:ind w:firstLine="480"/>
        <w:rPr>
          <w:rFonts w:ascii="宋体" w:hAnsi="宋体" w:eastAsia="宋体" w:cs="宋体"/>
          <w:szCs w:val="21"/>
        </w:rPr>
      </w:pPr>
      <w:r>
        <w:rPr>
          <w:rFonts w:hint="eastAsia" w:ascii="宋体" w:hAnsi="宋体" w:eastAsia="宋体" w:cs="宋体"/>
          <w:szCs w:val="21"/>
        </w:rPr>
        <w:t>6、理赔时限</w:t>
      </w:r>
    </w:p>
    <w:p>
      <w:pPr>
        <w:widowControl/>
        <w:snapToGrid w:val="0"/>
        <w:spacing w:line="296" w:lineRule="auto"/>
        <w:ind w:firstLine="480"/>
        <w:rPr>
          <w:rFonts w:ascii="宋体" w:hAnsi="宋体" w:eastAsia="宋体" w:cs="宋体"/>
          <w:bCs/>
          <w:szCs w:val="21"/>
        </w:rPr>
      </w:pPr>
      <w:r>
        <w:rPr>
          <w:rFonts w:hint="eastAsia" w:ascii="宋体" w:hAnsi="宋体" w:eastAsia="宋体" w:cs="宋体"/>
          <w:szCs w:val="21"/>
        </w:rPr>
        <w:t>对于甲方的报案及索赔申请，乙方须迅速处理，尽快缮制赔案，</w:t>
      </w:r>
      <w:r>
        <w:rPr>
          <w:rFonts w:hint="eastAsia" w:ascii="宋体" w:hAnsi="宋体" w:eastAsia="宋体" w:cs="宋体"/>
          <w:bCs/>
          <w:szCs w:val="21"/>
        </w:rPr>
        <w:t>并按照下述理赔时效限制，在赔款金额确定并签署赔付协议书后支付赔款：</w:t>
      </w:r>
    </w:p>
    <w:tbl>
      <w:tblPr>
        <w:tblStyle w:val="47"/>
        <w:tblW w:w="8276"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4153"/>
        <w:gridCol w:w="412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00" w:hRule="atLeast"/>
          <w:jc w:val="center"/>
        </w:trPr>
        <w:tc>
          <w:tcPr>
            <w:tcW w:w="4153" w:type="dxa"/>
            <w:tcMar>
              <w:top w:w="0" w:type="dxa"/>
              <w:left w:w="108" w:type="dxa"/>
              <w:bottom w:w="0" w:type="dxa"/>
              <w:right w:w="108" w:type="dxa"/>
            </w:tcMar>
            <w:vAlign w:val="center"/>
          </w:tcPr>
          <w:p>
            <w:pPr>
              <w:widowControl/>
              <w:spacing w:line="296" w:lineRule="auto"/>
              <w:jc w:val="center"/>
              <w:rPr>
                <w:rFonts w:ascii="宋体" w:hAnsi="宋体" w:eastAsia="宋体" w:cs="宋体"/>
                <w:szCs w:val="21"/>
              </w:rPr>
            </w:pPr>
            <w:r>
              <w:rPr>
                <w:rFonts w:hint="eastAsia" w:ascii="宋体" w:hAnsi="宋体" w:eastAsia="宋体" w:cs="宋体"/>
                <w:szCs w:val="21"/>
              </w:rPr>
              <w:t>小于RMB15万元（含15万元）赔案</w:t>
            </w:r>
          </w:p>
        </w:tc>
        <w:tc>
          <w:tcPr>
            <w:tcW w:w="4123" w:type="dxa"/>
            <w:tcMar>
              <w:top w:w="0" w:type="dxa"/>
              <w:left w:w="108" w:type="dxa"/>
              <w:bottom w:w="0" w:type="dxa"/>
              <w:right w:w="108" w:type="dxa"/>
            </w:tcMar>
            <w:vAlign w:val="center"/>
          </w:tcPr>
          <w:p>
            <w:pPr>
              <w:widowControl/>
              <w:spacing w:line="296" w:lineRule="auto"/>
              <w:jc w:val="center"/>
              <w:rPr>
                <w:rFonts w:ascii="宋体" w:hAnsi="宋体" w:eastAsia="宋体" w:cs="宋体"/>
                <w:szCs w:val="21"/>
              </w:rPr>
            </w:pPr>
            <w:r>
              <w:rPr>
                <w:rFonts w:hint="eastAsia" w:ascii="宋体" w:hAnsi="宋体" w:eastAsia="宋体" w:cs="宋体"/>
                <w:szCs w:val="21"/>
              </w:rPr>
              <w:t>3个工作日内支付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624" w:hRule="atLeast"/>
          <w:jc w:val="center"/>
        </w:trPr>
        <w:tc>
          <w:tcPr>
            <w:tcW w:w="4153" w:type="dxa"/>
            <w:tcMar>
              <w:top w:w="0" w:type="dxa"/>
              <w:left w:w="108" w:type="dxa"/>
              <w:bottom w:w="0" w:type="dxa"/>
              <w:right w:w="108" w:type="dxa"/>
            </w:tcMar>
            <w:vAlign w:val="center"/>
          </w:tcPr>
          <w:p>
            <w:pPr>
              <w:widowControl/>
              <w:spacing w:line="296" w:lineRule="auto"/>
              <w:jc w:val="center"/>
              <w:rPr>
                <w:rFonts w:ascii="宋体" w:hAnsi="宋体" w:eastAsia="宋体" w:cs="宋体"/>
                <w:szCs w:val="21"/>
              </w:rPr>
            </w:pPr>
            <w:r>
              <w:rPr>
                <w:rFonts w:hint="eastAsia" w:ascii="宋体" w:hAnsi="宋体" w:eastAsia="宋体" w:cs="宋体"/>
                <w:szCs w:val="21"/>
              </w:rPr>
              <w:t>大于RMB15万元小于RMB50万元（含50万元）赔案</w:t>
            </w:r>
          </w:p>
        </w:tc>
        <w:tc>
          <w:tcPr>
            <w:tcW w:w="4123" w:type="dxa"/>
            <w:tcMar>
              <w:top w:w="0" w:type="dxa"/>
              <w:left w:w="108" w:type="dxa"/>
              <w:bottom w:w="0" w:type="dxa"/>
              <w:right w:w="108" w:type="dxa"/>
            </w:tcMar>
            <w:vAlign w:val="center"/>
          </w:tcPr>
          <w:p>
            <w:pPr>
              <w:widowControl/>
              <w:spacing w:line="296" w:lineRule="auto"/>
              <w:jc w:val="center"/>
              <w:rPr>
                <w:rFonts w:ascii="宋体" w:hAnsi="宋体" w:eastAsia="宋体" w:cs="宋体"/>
                <w:szCs w:val="21"/>
              </w:rPr>
            </w:pPr>
            <w:r>
              <w:rPr>
                <w:rFonts w:hint="eastAsia" w:ascii="宋体" w:hAnsi="宋体" w:eastAsia="宋体" w:cs="宋体"/>
                <w:szCs w:val="21"/>
              </w:rPr>
              <w:t>5个工作日内支付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528" w:hRule="atLeast"/>
          <w:jc w:val="center"/>
        </w:trPr>
        <w:tc>
          <w:tcPr>
            <w:tcW w:w="4153" w:type="dxa"/>
            <w:tcMar>
              <w:top w:w="0" w:type="dxa"/>
              <w:left w:w="108" w:type="dxa"/>
              <w:bottom w:w="0" w:type="dxa"/>
              <w:right w:w="108" w:type="dxa"/>
            </w:tcMar>
            <w:vAlign w:val="center"/>
          </w:tcPr>
          <w:p>
            <w:pPr>
              <w:widowControl/>
              <w:spacing w:line="296" w:lineRule="auto"/>
              <w:jc w:val="center"/>
              <w:rPr>
                <w:rFonts w:ascii="宋体" w:hAnsi="宋体" w:eastAsia="宋体" w:cs="宋体"/>
                <w:szCs w:val="21"/>
              </w:rPr>
            </w:pPr>
            <w:r>
              <w:rPr>
                <w:rFonts w:hint="eastAsia" w:ascii="宋体" w:hAnsi="宋体" w:eastAsia="宋体" w:cs="宋体"/>
                <w:szCs w:val="21"/>
              </w:rPr>
              <w:t>大于RMB50万元赔案</w:t>
            </w:r>
          </w:p>
        </w:tc>
        <w:tc>
          <w:tcPr>
            <w:tcW w:w="4123" w:type="dxa"/>
            <w:tcMar>
              <w:top w:w="0" w:type="dxa"/>
              <w:left w:w="108" w:type="dxa"/>
              <w:bottom w:w="0" w:type="dxa"/>
              <w:right w:w="108" w:type="dxa"/>
            </w:tcMar>
            <w:vAlign w:val="center"/>
          </w:tcPr>
          <w:p>
            <w:pPr>
              <w:widowControl/>
              <w:spacing w:line="296" w:lineRule="auto"/>
              <w:jc w:val="center"/>
              <w:rPr>
                <w:rFonts w:ascii="宋体" w:hAnsi="宋体" w:eastAsia="宋体" w:cs="宋体"/>
                <w:szCs w:val="21"/>
              </w:rPr>
            </w:pPr>
            <w:r>
              <w:rPr>
                <w:rFonts w:hint="eastAsia" w:ascii="宋体" w:hAnsi="宋体" w:eastAsia="宋体" w:cs="宋体"/>
                <w:szCs w:val="21"/>
              </w:rPr>
              <w:t>7个工作日内支付</w:t>
            </w:r>
          </w:p>
        </w:tc>
      </w:tr>
    </w:tbl>
    <w:p>
      <w:pPr>
        <w:widowControl/>
        <w:snapToGrid w:val="0"/>
        <w:spacing w:before="120" w:beforeLines="50" w:line="296" w:lineRule="auto"/>
        <w:ind w:firstLine="482"/>
        <w:rPr>
          <w:rFonts w:ascii="宋体" w:hAnsi="宋体" w:eastAsia="宋体" w:cs="宋体"/>
          <w:szCs w:val="21"/>
        </w:rPr>
      </w:pPr>
      <w:r>
        <w:rPr>
          <w:rFonts w:hint="eastAsia" w:ascii="宋体" w:hAnsi="宋体" w:eastAsia="宋体" w:cs="宋体"/>
          <w:szCs w:val="21"/>
        </w:rPr>
        <w:t>如乙方未能在上述约定的期限内履行赔付义务，则甲方按照赔款金额的一定比例收取违约金，具体比例为每延迟一天收取赔款金额的3‰。</w:t>
      </w:r>
    </w:p>
    <w:p>
      <w:pPr>
        <w:widowControl/>
        <w:snapToGrid w:val="0"/>
        <w:spacing w:line="296" w:lineRule="auto"/>
        <w:ind w:firstLine="480"/>
        <w:rPr>
          <w:rFonts w:ascii="宋体" w:hAnsi="宋体" w:eastAsia="宋体" w:cs="宋体"/>
          <w:szCs w:val="21"/>
        </w:rPr>
      </w:pPr>
      <w:r>
        <w:rPr>
          <w:rFonts w:hint="eastAsia" w:ascii="宋体" w:hAnsi="宋体" w:eastAsia="宋体" w:cs="宋体"/>
          <w:szCs w:val="21"/>
        </w:rPr>
        <w:t>7、预付赔款支付</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如保险标的发生保险责任范围内的损失，在无法迅速确定损失金额的情况下，保险人在收到被保险人的预付赔款要求后10日内，先行支付估损金额的50%给被保险人，但该先行预付的金额，应于最终理算完成后，由应予赔付的金额中扣除。</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根据预付赔款金额的不同，乙方在下列时效内支付预付赔款给甲方：</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（1）预付赔款金额在15万元以内（含15万元）的赔案，3个工作日内支付；</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（2）预付赔款金额在15万元至50万元（含50万元）的赔案，5个工作日内支付；</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（3）预付赔款金额在50万元以上的赔案，7个工作日内支付。</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乙方逾期不予支付预赔款的，每拖延一日，违约金按应预付金额的千分之三补偿损失。</w:t>
      </w:r>
    </w:p>
    <w:p>
      <w:pPr>
        <w:widowControl/>
        <w:snapToGrid w:val="0"/>
        <w:spacing w:line="296" w:lineRule="auto"/>
        <w:ind w:firstLine="420" w:firstLineChars="200"/>
        <w:rPr>
          <w:rFonts w:ascii="宋体" w:hAnsi="宋体" w:eastAsia="宋体" w:cs="宋体"/>
          <w:szCs w:val="21"/>
        </w:rPr>
      </w:pPr>
      <w:r>
        <w:rPr>
          <w:rFonts w:hint="eastAsia" w:ascii="宋体" w:hAnsi="宋体" w:eastAsia="宋体" w:cs="宋体"/>
          <w:szCs w:val="21"/>
        </w:rPr>
        <w:t>8、追偿</w:t>
      </w:r>
    </w:p>
    <w:p>
      <w:pPr>
        <w:widowControl/>
        <w:snapToGrid w:val="0"/>
        <w:spacing w:line="296" w:lineRule="auto"/>
        <w:ind w:firstLine="480"/>
        <w:rPr>
          <w:rFonts w:ascii="宋体" w:hAnsi="宋体" w:eastAsia="宋体" w:cs="宋体"/>
          <w:szCs w:val="21"/>
        </w:rPr>
      </w:pPr>
      <w:r>
        <w:rPr>
          <w:rFonts w:hint="eastAsia" w:ascii="宋体" w:hAnsi="宋体" w:eastAsia="宋体" w:cs="宋体"/>
          <w:szCs w:val="21"/>
        </w:rPr>
        <w:t>向第三方进行追偿的保险赔案，由乙方负责一切追偿事务，追偿费（包括但不限于诉讼费、财产保全费、律师费、交通费、通信费等与追偿有关的一切费用）。</w:t>
      </w:r>
    </w:p>
    <w:p>
      <w:pPr>
        <w:widowControl/>
        <w:snapToGrid w:val="0"/>
        <w:spacing w:line="296" w:lineRule="auto"/>
        <w:ind w:firstLine="480"/>
        <w:rPr>
          <w:rFonts w:ascii="宋体" w:hAnsi="宋体" w:eastAsia="宋体" w:cs="宋体"/>
          <w:szCs w:val="21"/>
        </w:rPr>
      </w:pPr>
      <w:r>
        <w:rPr>
          <w:rFonts w:hint="eastAsia" w:ascii="宋体" w:hAnsi="宋体" w:eastAsia="宋体" w:cs="宋体"/>
          <w:szCs w:val="21"/>
        </w:rPr>
        <w:t>9、理赔服务考核具体项目和处罚措施</w:t>
      </w:r>
    </w:p>
    <w:tbl>
      <w:tblPr>
        <w:tblStyle w:val="47"/>
        <w:tblW w:w="8342"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464"/>
        <w:gridCol w:w="4618"/>
        <w:gridCol w:w="226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17" w:hRule="atLeast"/>
          <w:jc w:val="center"/>
        </w:trPr>
        <w:tc>
          <w:tcPr>
            <w:tcW w:w="1464" w:type="dxa"/>
            <w:vAlign w:val="center"/>
          </w:tcPr>
          <w:p>
            <w:pPr>
              <w:widowControl/>
              <w:snapToGrid w:val="0"/>
              <w:spacing w:line="296" w:lineRule="auto"/>
              <w:jc w:val="center"/>
              <w:rPr>
                <w:rFonts w:ascii="宋体" w:hAnsi="宋体" w:eastAsia="宋体" w:cs="宋体"/>
                <w:b/>
                <w:szCs w:val="21"/>
              </w:rPr>
            </w:pPr>
            <w:r>
              <w:rPr>
                <w:rFonts w:hint="eastAsia" w:ascii="宋体" w:hAnsi="宋体" w:eastAsia="宋体" w:cs="宋体"/>
                <w:b/>
                <w:szCs w:val="21"/>
              </w:rPr>
              <w:t>考核项目</w:t>
            </w:r>
          </w:p>
        </w:tc>
        <w:tc>
          <w:tcPr>
            <w:tcW w:w="4618" w:type="dxa"/>
            <w:vAlign w:val="center"/>
          </w:tcPr>
          <w:p>
            <w:pPr>
              <w:widowControl/>
              <w:snapToGrid w:val="0"/>
              <w:spacing w:line="296" w:lineRule="auto"/>
              <w:jc w:val="center"/>
              <w:rPr>
                <w:rFonts w:ascii="宋体" w:hAnsi="宋体" w:eastAsia="宋体" w:cs="宋体"/>
                <w:b/>
                <w:szCs w:val="21"/>
              </w:rPr>
            </w:pPr>
            <w:r>
              <w:rPr>
                <w:rFonts w:hint="eastAsia" w:ascii="宋体" w:hAnsi="宋体" w:eastAsia="宋体" w:cs="宋体"/>
                <w:b/>
                <w:szCs w:val="21"/>
              </w:rPr>
              <w:t>违约情形</w:t>
            </w:r>
          </w:p>
        </w:tc>
        <w:tc>
          <w:tcPr>
            <w:tcW w:w="2260" w:type="dxa"/>
            <w:vAlign w:val="center"/>
          </w:tcPr>
          <w:p>
            <w:pPr>
              <w:widowControl/>
              <w:snapToGrid w:val="0"/>
              <w:spacing w:line="296" w:lineRule="auto"/>
              <w:jc w:val="center"/>
              <w:rPr>
                <w:rFonts w:ascii="宋体" w:hAnsi="宋体" w:eastAsia="宋体" w:cs="宋体"/>
                <w:b/>
                <w:szCs w:val="21"/>
              </w:rPr>
            </w:pPr>
            <w:r>
              <w:rPr>
                <w:rFonts w:hint="eastAsia" w:ascii="宋体" w:hAnsi="宋体" w:eastAsia="宋体" w:cs="宋体"/>
                <w:b/>
                <w:szCs w:val="21"/>
              </w:rPr>
              <w:t>处罚措施</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81" w:hRule="atLeast"/>
          <w:jc w:val="center"/>
        </w:trPr>
        <w:tc>
          <w:tcPr>
            <w:tcW w:w="1464" w:type="dxa"/>
            <w:vAlign w:val="center"/>
          </w:tcPr>
          <w:p>
            <w:pPr>
              <w:widowControl/>
              <w:snapToGrid w:val="0"/>
              <w:spacing w:line="296" w:lineRule="auto"/>
              <w:jc w:val="center"/>
              <w:rPr>
                <w:rFonts w:ascii="宋体" w:hAnsi="宋体" w:eastAsia="宋体" w:cs="宋体"/>
                <w:kern w:val="0"/>
                <w:szCs w:val="21"/>
              </w:rPr>
            </w:pPr>
            <w:r>
              <w:rPr>
                <w:rFonts w:hint="eastAsia" w:ascii="宋体" w:hAnsi="宋体" w:eastAsia="宋体" w:cs="宋体"/>
                <w:kern w:val="0"/>
                <w:szCs w:val="21"/>
              </w:rPr>
              <w:t>项目负责人</w:t>
            </w:r>
          </w:p>
        </w:tc>
        <w:tc>
          <w:tcPr>
            <w:tcW w:w="4618" w:type="dxa"/>
            <w:vAlign w:val="center"/>
          </w:tcPr>
          <w:p>
            <w:pPr>
              <w:widowControl/>
              <w:snapToGrid w:val="0"/>
              <w:spacing w:line="296" w:lineRule="auto"/>
              <w:rPr>
                <w:rFonts w:ascii="宋体" w:hAnsi="宋体" w:eastAsia="宋体" w:cs="宋体"/>
                <w:kern w:val="0"/>
                <w:szCs w:val="21"/>
              </w:rPr>
            </w:pPr>
            <w:r>
              <w:rPr>
                <w:rFonts w:hint="eastAsia" w:ascii="宋体" w:hAnsi="宋体" w:eastAsia="宋体" w:cs="宋体"/>
                <w:kern w:val="0"/>
                <w:szCs w:val="21"/>
              </w:rPr>
              <w:t>本项目出险后，乙方项目负责人未能做到出席所有与定责、定损有关的会议，并迅速作出理赔决策，保证理赔质量和效率的</w:t>
            </w:r>
          </w:p>
        </w:tc>
        <w:tc>
          <w:tcPr>
            <w:tcW w:w="2260" w:type="dxa"/>
            <w:vAlign w:val="center"/>
          </w:tcPr>
          <w:p>
            <w:pPr>
              <w:widowControl/>
              <w:snapToGrid w:val="0"/>
              <w:spacing w:line="296" w:lineRule="auto"/>
              <w:rPr>
                <w:rFonts w:ascii="宋体" w:hAnsi="宋体" w:eastAsia="宋体" w:cs="宋体"/>
                <w:kern w:val="0"/>
                <w:szCs w:val="21"/>
              </w:rPr>
            </w:pPr>
            <w:r>
              <w:rPr>
                <w:rFonts w:hint="eastAsia" w:ascii="宋体" w:hAnsi="宋体" w:eastAsia="宋体" w:cs="宋体"/>
                <w:kern w:val="0"/>
                <w:szCs w:val="21"/>
              </w:rPr>
              <w:t>从履约担保中扣罚8000元/次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1464" w:type="dxa"/>
            <w:vAlign w:val="center"/>
          </w:tcPr>
          <w:p>
            <w:pPr>
              <w:widowControl/>
              <w:snapToGrid w:val="0"/>
              <w:spacing w:line="296" w:lineRule="auto"/>
              <w:jc w:val="center"/>
              <w:rPr>
                <w:rFonts w:ascii="宋体" w:hAnsi="宋体" w:eastAsia="宋体" w:cs="宋体"/>
                <w:szCs w:val="21"/>
              </w:rPr>
            </w:pPr>
            <w:r>
              <w:rPr>
                <w:rFonts w:hint="eastAsia" w:ascii="宋体" w:hAnsi="宋体" w:eastAsia="宋体" w:cs="宋体"/>
                <w:szCs w:val="21"/>
              </w:rPr>
              <w:t>接报案</w:t>
            </w:r>
          </w:p>
        </w:tc>
        <w:tc>
          <w:tcPr>
            <w:tcW w:w="4618" w:type="dxa"/>
            <w:vAlign w:val="center"/>
          </w:tcPr>
          <w:p>
            <w:pPr>
              <w:widowControl/>
              <w:snapToGrid w:val="0"/>
              <w:spacing w:line="296" w:lineRule="auto"/>
              <w:rPr>
                <w:rFonts w:ascii="宋体" w:hAnsi="宋体" w:eastAsia="宋体" w:cs="宋体"/>
                <w:szCs w:val="21"/>
              </w:rPr>
            </w:pPr>
            <w:r>
              <w:rPr>
                <w:rFonts w:hint="eastAsia" w:ascii="宋体" w:hAnsi="宋体" w:eastAsia="宋体" w:cs="宋体"/>
                <w:szCs w:val="21"/>
              </w:rPr>
              <w:t>乙方应严格执行365天、24小时的全天候接报案制度，出现报案电话无人接听情况的</w:t>
            </w:r>
          </w:p>
        </w:tc>
        <w:tc>
          <w:tcPr>
            <w:tcW w:w="2260" w:type="dxa"/>
            <w:vAlign w:val="center"/>
          </w:tcPr>
          <w:p>
            <w:pPr>
              <w:widowControl/>
              <w:snapToGrid w:val="0"/>
              <w:spacing w:line="296" w:lineRule="auto"/>
              <w:rPr>
                <w:rFonts w:ascii="宋体" w:hAnsi="宋体" w:eastAsia="宋体" w:cs="宋体"/>
                <w:szCs w:val="21"/>
              </w:rPr>
            </w:pPr>
            <w:r>
              <w:rPr>
                <w:rFonts w:hint="eastAsia" w:ascii="宋体" w:hAnsi="宋体" w:eastAsia="宋体" w:cs="宋体"/>
                <w:szCs w:val="21"/>
              </w:rPr>
              <w:t>从履约担保中扣罚1000元/次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1464" w:type="dxa"/>
            <w:vAlign w:val="center"/>
          </w:tcPr>
          <w:p>
            <w:pPr>
              <w:widowControl/>
              <w:snapToGrid w:val="0"/>
              <w:spacing w:line="296" w:lineRule="auto"/>
              <w:jc w:val="center"/>
              <w:rPr>
                <w:rFonts w:ascii="宋体" w:hAnsi="宋体" w:eastAsia="宋体" w:cs="宋体"/>
                <w:szCs w:val="21"/>
              </w:rPr>
            </w:pPr>
            <w:r>
              <w:rPr>
                <w:rFonts w:hint="eastAsia" w:ascii="宋体" w:hAnsi="宋体" w:eastAsia="宋体" w:cs="宋体"/>
                <w:szCs w:val="21"/>
              </w:rPr>
              <w:t>现场查勘</w:t>
            </w:r>
          </w:p>
        </w:tc>
        <w:tc>
          <w:tcPr>
            <w:tcW w:w="4618" w:type="dxa"/>
            <w:vAlign w:val="center"/>
          </w:tcPr>
          <w:p>
            <w:pPr>
              <w:widowControl/>
              <w:snapToGrid w:val="0"/>
              <w:spacing w:line="296" w:lineRule="auto"/>
              <w:rPr>
                <w:rFonts w:ascii="宋体" w:hAnsi="宋体" w:eastAsia="宋体" w:cs="宋体"/>
                <w:szCs w:val="21"/>
              </w:rPr>
            </w:pPr>
            <w:r>
              <w:rPr>
                <w:rFonts w:hint="eastAsia" w:ascii="宋体" w:hAnsi="宋体" w:eastAsia="宋体" w:cs="宋体"/>
                <w:szCs w:val="21"/>
              </w:rPr>
              <w:t>乙方工作没有达到协议中“现场查勘时限”相关要求的</w:t>
            </w:r>
          </w:p>
        </w:tc>
        <w:tc>
          <w:tcPr>
            <w:tcW w:w="2260" w:type="dxa"/>
            <w:vAlign w:val="center"/>
          </w:tcPr>
          <w:p>
            <w:pPr>
              <w:widowControl/>
              <w:snapToGrid w:val="0"/>
              <w:spacing w:line="296" w:lineRule="auto"/>
              <w:rPr>
                <w:rFonts w:ascii="宋体" w:hAnsi="宋体" w:eastAsia="宋体" w:cs="宋体"/>
                <w:szCs w:val="21"/>
              </w:rPr>
            </w:pPr>
            <w:r>
              <w:rPr>
                <w:rFonts w:hint="eastAsia" w:ascii="宋体" w:hAnsi="宋体" w:eastAsia="宋体" w:cs="宋体"/>
                <w:szCs w:val="21"/>
              </w:rPr>
              <w:t>从履约担保中扣罚2000元/次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1464" w:type="dxa"/>
            <w:vAlign w:val="center"/>
          </w:tcPr>
          <w:p>
            <w:pPr>
              <w:widowControl/>
              <w:snapToGrid w:val="0"/>
              <w:spacing w:line="296" w:lineRule="auto"/>
              <w:jc w:val="center"/>
              <w:rPr>
                <w:rFonts w:ascii="宋体" w:hAnsi="宋体" w:eastAsia="宋体" w:cs="宋体"/>
                <w:szCs w:val="21"/>
              </w:rPr>
            </w:pPr>
            <w:r>
              <w:rPr>
                <w:rFonts w:hint="eastAsia" w:ascii="宋体" w:hAnsi="宋体" w:eastAsia="宋体" w:cs="宋体"/>
                <w:szCs w:val="21"/>
              </w:rPr>
              <w:t>单证审核</w:t>
            </w:r>
          </w:p>
        </w:tc>
        <w:tc>
          <w:tcPr>
            <w:tcW w:w="4618" w:type="dxa"/>
            <w:vAlign w:val="center"/>
          </w:tcPr>
          <w:p>
            <w:pPr>
              <w:widowControl/>
              <w:snapToGrid w:val="0"/>
              <w:spacing w:line="296" w:lineRule="auto"/>
              <w:rPr>
                <w:rFonts w:ascii="宋体" w:hAnsi="宋体" w:eastAsia="宋体" w:cs="宋体"/>
                <w:szCs w:val="21"/>
              </w:rPr>
            </w:pPr>
            <w:r>
              <w:rPr>
                <w:rFonts w:hint="eastAsia" w:ascii="宋体" w:hAnsi="宋体" w:eastAsia="宋体" w:cs="宋体"/>
                <w:szCs w:val="21"/>
              </w:rPr>
              <w:t>乙方在接到索赔资料后2个工作日后才通知补充提供有关证明或资料的</w:t>
            </w:r>
          </w:p>
        </w:tc>
        <w:tc>
          <w:tcPr>
            <w:tcW w:w="2260" w:type="dxa"/>
            <w:vAlign w:val="center"/>
          </w:tcPr>
          <w:p>
            <w:pPr>
              <w:widowControl/>
              <w:snapToGrid w:val="0"/>
              <w:spacing w:line="296" w:lineRule="auto"/>
              <w:rPr>
                <w:rFonts w:ascii="宋体" w:hAnsi="宋体" w:eastAsia="宋体" w:cs="宋体"/>
                <w:szCs w:val="21"/>
              </w:rPr>
            </w:pPr>
            <w:r>
              <w:rPr>
                <w:rFonts w:hint="eastAsia" w:ascii="宋体" w:hAnsi="宋体" w:eastAsia="宋体" w:cs="宋体"/>
                <w:szCs w:val="21"/>
              </w:rPr>
              <w:t>从履约担保中扣罚2000元/次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1464" w:type="dxa"/>
            <w:vAlign w:val="center"/>
          </w:tcPr>
          <w:p>
            <w:pPr>
              <w:widowControl/>
              <w:snapToGrid w:val="0"/>
              <w:spacing w:line="296" w:lineRule="auto"/>
              <w:jc w:val="center"/>
              <w:rPr>
                <w:rFonts w:ascii="宋体" w:hAnsi="宋体" w:eastAsia="宋体" w:cs="宋体"/>
                <w:szCs w:val="21"/>
              </w:rPr>
            </w:pPr>
            <w:r>
              <w:rPr>
                <w:rFonts w:hint="eastAsia" w:ascii="宋体" w:hAnsi="宋体" w:eastAsia="宋体" w:cs="宋体"/>
                <w:szCs w:val="21"/>
              </w:rPr>
              <w:t>聘请公估</w:t>
            </w:r>
          </w:p>
        </w:tc>
        <w:tc>
          <w:tcPr>
            <w:tcW w:w="4618" w:type="dxa"/>
            <w:vAlign w:val="center"/>
          </w:tcPr>
          <w:p>
            <w:pPr>
              <w:widowControl/>
              <w:snapToGrid w:val="0"/>
              <w:spacing w:line="296" w:lineRule="auto"/>
              <w:rPr>
                <w:rFonts w:ascii="宋体" w:hAnsi="宋体" w:eastAsia="宋体" w:cs="宋体"/>
                <w:szCs w:val="21"/>
              </w:rPr>
            </w:pPr>
            <w:r>
              <w:rPr>
                <w:rFonts w:hint="eastAsia" w:ascii="宋体" w:hAnsi="宋体" w:eastAsia="宋体" w:cs="宋体"/>
                <w:szCs w:val="21"/>
              </w:rPr>
              <w:t>乙方收被保险人通知后，未能按要求完成理赔所需的对公估公司的书面委托的</w:t>
            </w:r>
          </w:p>
        </w:tc>
        <w:tc>
          <w:tcPr>
            <w:tcW w:w="2260" w:type="dxa"/>
            <w:vAlign w:val="center"/>
          </w:tcPr>
          <w:p>
            <w:pPr>
              <w:widowControl/>
              <w:snapToGrid w:val="0"/>
              <w:spacing w:line="296" w:lineRule="auto"/>
              <w:rPr>
                <w:rFonts w:ascii="宋体" w:hAnsi="宋体" w:eastAsia="宋体" w:cs="宋体"/>
                <w:szCs w:val="21"/>
              </w:rPr>
            </w:pPr>
            <w:r>
              <w:rPr>
                <w:rFonts w:hint="eastAsia" w:ascii="宋体" w:hAnsi="宋体" w:eastAsia="宋体" w:cs="宋体"/>
                <w:szCs w:val="21"/>
              </w:rPr>
              <w:t>从履约担保中扣罚2000元/次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1464" w:type="dxa"/>
            <w:vAlign w:val="center"/>
          </w:tcPr>
          <w:p>
            <w:pPr>
              <w:widowControl/>
              <w:snapToGrid w:val="0"/>
              <w:spacing w:line="296" w:lineRule="auto"/>
              <w:jc w:val="center"/>
              <w:rPr>
                <w:rFonts w:ascii="宋体" w:hAnsi="宋体" w:eastAsia="宋体" w:cs="宋体"/>
                <w:szCs w:val="21"/>
              </w:rPr>
            </w:pPr>
            <w:r>
              <w:rPr>
                <w:rFonts w:hint="eastAsia" w:ascii="宋体" w:hAnsi="宋体" w:eastAsia="宋体" w:cs="宋体"/>
                <w:szCs w:val="21"/>
              </w:rPr>
              <w:t>理赔时限</w:t>
            </w:r>
          </w:p>
        </w:tc>
        <w:tc>
          <w:tcPr>
            <w:tcW w:w="4618" w:type="dxa"/>
            <w:vAlign w:val="center"/>
          </w:tcPr>
          <w:p>
            <w:pPr>
              <w:widowControl/>
              <w:snapToGrid w:val="0"/>
              <w:spacing w:line="296" w:lineRule="auto"/>
              <w:rPr>
                <w:rFonts w:ascii="宋体" w:hAnsi="宋体" w:eastAsia="宋体" w:cs="宋体"/>
                <w:szCs w:val="21"/>
              </w:rPr>
            </w:pPr>
            <w:r>
              <w:rPr>
                <w:rFonts w:hint="eastAsia" w:ascii="宋体" w:hAnsi="宋体" w:eastAsia="宋体" w:cs="宋体"/>
                <w:szCs w:val="21"/>
              </w:rPr>
              <w:t>在赔款金额确定后，乙方不能在协议规定时间内支付赔款的</w:t>
            </w:r>
          </w:p>
        </w:tc>
        <w:tc>
          <w:tcPr>
            <w:tcW w:w="2260" w:type="dxa"/>
            <w:vAlign w:val="center"/>
          </w:tcPr>
          <w:p>
            <w:pPr>
              <w:widowControl/>
              <w:snapToGrid w:val="0"/>
              <w:spacing w:line="296" w:lineRule="auto"/>
              <w:rPr>
                <w:rFonts w:ascii="宋体" w:hAnsi="宋体" w:eastAsia="宋体" w:cs="宋体"/>
                <w:szCs w:val="21"/>
              </w:rPr>
            </w:pPr>
            <w:r>
              <w:rPr>
                <w:rFonts w:hint="eastAsia" w:ascii="宋体" w:hAnsi="宋体" w:eastAsia="宋体" w:cs="宋体"/>
                <w:szCs w:val="21"/>
              </w:rPr>
              <w:t>甲方不仅按照协议规定收取违约金，而且从履约担保中扣罚乙方承保人1000元/次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1464" w:type="dxa"/>
            <w:vAlign w:val="center"/>
          </w:tcPr>
          <w:p>
            <w:pPr>
              <w:widowControl/>
              <w:snapToGrid w:val="0"/>
              <w:spacing w:line="296" w:lineRule="auto"/>
              <w:jc w:val="center"/>
              <w:rPr>
                <w:rFonts w:ascii="宋体" w:hAnsi="宋体" w:eastAsia="宋体" w:cs="宋体"/>
                <w:szCs w:val="21"/>
              </w:rPr>
            </w:pPr>
            <w:r>
              <w:rPr>
                <w:rFonts w:hint="eastAsia" w:ascii="宋体" w:hAnsi="宋体" w:eastAsia="宋体" w:cs="宋体"/>
                <w:szCs w:val="21"/>
              </w:rPr>
              <w:t>预付赔款</w:t>
            </w:r>
          </w:p>
        </w:tc>
        <w:tc>
          <w:tcPr>
            <w:tcW w:w="4618" w:type="dxa"/>
            <w:vAlign w:val="center"/>
          </w:tcPr>
          <w:p>
            <w:pPr>
              <w:widowControl/>
              <w:snapToGrid w:val="0"/>
              <w:spacing w:line="296" w:lineRule="auto"/>
              <w:rPr>
                <w:rFonts w:ascii="宋体" w:hAnsi="宋体" w:eastAsia="宋体" w:cs="宋体"/>
                <w:szCs w:val="21"/>
              </w:rPr>
            </w:pPr>
            <w:r>
              <w:rPr>
                <w:rFonts w:hint="eastAsia" w:ascii="宋体" w:hAnsi="宋体" w:eastAsia="宋体" w:cs="宋体"/>
                <w:szCs w:val="21"/>
              </w:rPr>
              <w:t>满足预付条件时，在投保人提出书面要求后，乙方不能履行预付，或不能在协议规定时间内履行预付的</w:t>
            </w:r>
          </w:p>
        </w:tc>
        <w:tc>
          <w:tcPr>
            <w:tcW w:w="2260" w:type="dxa"/>
            <w:vAlign w:val="center"/>
          </w:tcPr>
          <w:p>
            <w:pPr>
              <w:widowControl/>
              <w:snapToGrid w:val="0"/>
              <w:spacing w:line="296" w:lineRule="auto"/>
              <w:rPr>
                <w:rFonts w:ascii="宋体" w:hAnsi="宋体" w:eastAsia="宋体" w:cs="宋体"/>
                <w:szCs w:val="21"/>
              </w:rPr>
            </w:pPr>
            <w:r>
              <w:rPr>
                <w:rFonts w:hint="eastAsia" w:ascii="宋体" w:hAnsi="宋体" w:eastAsia="宋体" w:cs="宋体"/>
                <w:szCs w:val="21"/>
              </w:rPr>
              <w:t>从履约担保中扣罚15000元/次</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1464" w:type="dxa"/>
            <w:vAlign w:val="center"/>
          </w:tcPr>
          <w:p>
            <w:pPr>
              <w:widowControl/>
              <w:snapToGrid w:val="0"/>
              <w:spacing w:line="296" w:lineRule="auto"/>
              <w:jc w:val="center"/>
              <w:rPr>
                <w:rFonts w:ascii="宋体" w:hAnsi="宋体" w:eastAsia="宋体" w:cs="宋体"/>
                <w:kern w:val="0"/>
                <w:szCs w:val="21"/>
              </w:rPr>
            </w:pPr>
            <w:r>
              <w:rPr>
                <w:rFonts w:hint="eastAsia" w:ascii="宋体" w:hAnsi="宋体" w:eastAsia="宋体" w:cs="宋体"/>
                <w:kern w:val="0"/>
                <w:szCs w:val="21"/>
              </w:rPr>
              <w:t>项目服务人员变动</w:t>
            </w:r>
          </w:p>
        </w:tc>
        <w:tc>
          <w:tcPr>
            <w:tcW w:w="4618" w:type="dxa"/>
            <w:vAlign w:val="center"/>
          </w:tcPr>
          <w:p>
            <w:pPr>
              <w:widowControl/>
              <w:snapToGrid w:val="0"/>
              <w:spacing w:line="296" w:lineRule="auto"/>
              <w:rPr>
                <w:rFonts w:ascii="宋体" w:hAnsi="宋体" w:eastAsia="宋体" w:cs="宋体"/>
                <w:kern w:val="0"/>
                <w:szCs w:val="21"/>
              </w:rPr>
            </w:pPr>
            <w:r>
              <w:rPr>
                <w:rFonts w:hint="eastAsia" w:ascii="宋体" w:hAnsi="宋体" w:eastAsia="宋体" w:cs="宋体"/>
                <w:kern w:val="0"/>
                <w:szCs w:val="21"/>
              </w:rPr>
              <w:t>乙方擅自变动项目服务人员</w:t>
            </w:r>
          </w:p>
        </w:tc>
        <w:tc>
          <w:tcPr>
            <w:tcW w:w="2260" w:type="dxa"/>
            <w:vAlign w:val="center"/>
          </w:tcPr>
          <w:p>
            <w:pPr>
              <w:widowControl/>
              <w:snapToGrid w:val="0"/>
              <w:spacing w:line="296" w:lineRule="auto"/>
              <w:rPr>
                <w:rFonts w:ascii="宋体" w:hAnsi="宋体" w:eastAsia="宋体" w:cs="宋体"/>
                <w:kern w:val="0"/>
                <w:szCs w:val="21"/>
              </w:rPr>
            </w:pPr>
            <w:r>
              <w:rPr>
                <w:rFonts w:hint="eastAsia" w:ascii="宋体" w:hAnsi="宋体" w:eastAsia="宋体" w:cs="宋体"/>
                <w:kern w:val="0"/>
                <w:szCs w:val="21"/>
              </w:rPr>
              <w:t>从履约担保中扣罚60000元/次/人（项目负责人、组长、副组长），30000元/次/人(其他服务人员)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 w:hRule="atLeast"/>
          <w:jc w:val="center"/>
        </w:trPr>
        <w:tc>
          <w:tcPr>
            <w:tcW w:w="1464" w:type="dxa"/>
            <w:vAlign w:val="center"/>
          </w:tcPr>
          <w:p>
            <w:pPr>
              <w:widowControl/>
              <w:snapToGrid w:val="0"/>
              <w:spacing w:line="296" w:lineRule="auto"/>
              <w:jc w:val="center"/>
              <w:rPr>
                <w:rFonts w:ascii="宋体" w:hAnsi="宋体" w:eastAsia="宋体" w:cs="宋体"/>
                <w:kern w:val="0"/>
                <w:szCs w:val="21"/>
              </w:rPr>
            </w:pPr>
            <w:r>
              <w:rPr>
                <w:rFonts w:hint="eastAsia" w:ascii="宋体" w:hAnsi="宋体" w:eastAsia="宋体" w:cs="宋体"/>
                <w:kern w:val="0"/>
                <w:szCs w:val="21"/>
              </w:rPr>
              <w:t>其他理赔服务</w:t>
            </w:r>
          </w:p>
        </w:tc>
        <w:tc>
          <w:tcPr>
            <w:tcW w:w="4618" w:type="dxa"/>
            <w:vAlign w:val="center"/>
          </w:tcPr>
          <w:p>
            <w:pPr>
              <w:widowControl/>
              <w:snapToGrid w:val="0"/>
              <w:spacing w:line="296" w:lineRule="auto"/>
              <w:rPr>
                <w:rFonts w:ascii="宋体" w:hAnsi="宋体" w:eastAsia="宋体" w:cs="宋体"/>
                <w:kern w:val="0"/>
                <w:szCs w:val="21"/>
              </w:rPr>
            </w:pPr>
            <w:r>
              <w:rPr>
                <w:rFonts w:hint="eastAsia" w:ascii="宋体" w:hAnsi="宋体" w:eastAsia="宋体" w:cs="宋体"/>
                <w:szCs w:val="21"/>
              </w:rPr>
              <w:t>乙方</w:t>
            </w:r>
            <w:r>
              <w:rPr>
                <w:rFonts w:hint="eastAsia" w:ascii="宋体" w:hAnsi="宋体" w:eastAsia="宋体" w:cs="宋体"/>
                <w:kern w:val="0"/>
                <w:szCs w:val="21"/>
              </w:rPr>
              <w:t>未能履行保险协议约定的其他理赔服务事项的</w:t>
            </w:r>
          </w:p>
        </w:tc>
        <w:tc>
          <w:tcPr>
            <w:tcW w:w="2260" w:type="dxa"/>
            <w:vAlign w:val="center"/>
          </w:tcPr>
          <w:p>
            <w:pPr>
              <w:widowControl/>
              <w:snapToGrid w:val="0"/>
              <w:spacing w:line="296" w:lineRule="auto"/>
              <w:rPr>
                <w:rFonts w:ascii="宋体" w:hAnsi="宋体" w:eastAsia="宋体" w:cs="宋体"/>
                <w:kern w:val="0"/>
                <w:szCs w:val="21"/>
              </w:rPr>
            </w:pPr>
            <w:r>
              <w:rPr>
                <w:rFonts w:hint="eastAsia" w:ascii="宋体" w:hAnsi="宋体" w:eastAsia="宋体" w:cs="宋体"/>
                <w:kern w:val="0"/>
                <w:szCs w:val="21"/>
              </w:rPr>
              <w:t>从履约担保中扣罚2000元/次</w:t>
            </w:r>
          </w:p>
        </w:tc>
      </w:tr>
    </w:tbl>
    <w:p>
      <w:pPr>
        <w:snapToGrid w:val="0"/>
        <w:spacing w:line="296" w:lineRule="auto"/>
        <w:ind w:firstLine="422" w:firstLineChars="200"/>
        <w:outlineLvl w:val="1"/>
        <w:rPr>
          <w:rFonts w:ascii="宋体" w:hAnsi="宋体" w:eastAsia="宋体" w:cs="宋体"/>
          <w:b/>
          <w:szCs w:val="21"/>
        </w:rPr>
      </w:pPr>
      <w:bookmarkStart w:id="992" w:name="_Toc20141"/>
      <w:r>
        <w:rPr>
          <w:rFonts w:hint="eastAsia" w:ascii="宋体" w:hAnsi="宋体" w:eastAsia="宋体" w:cs="宋体"/>
          <w:b/>
          <w:szCs w:val="21"/>
        </w:rPr>
        <w:t>八、考核</w:t>
      </w:r>
      <w:bookmarkEnd w:id="992"/>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协议中规定的培训和风险管控二项服务内容，由甲方每年年末对乙方上述服务内容进行综合评分。</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二项服务总分为100分，其中培训服务占</w:t>
      </w:r>
      <w:r>
        <w:rPr>
          <w:rFonts w:ascii="宋体" w:hAnsi="宋体" w:eastAsia="宋体" w:cs="宋体"/>
          <w:szCs w:val="21"/>
        </w:rPr>
        <w:t>4</w:t>
      </w:r>
      <w:r>
        <w:rPr>
          <w:rFonts w:hint="eastAsia" w:ascii="宋体" w:hAnsi="宋体" w:eastAsia="宋体" w:cs="宋体"/>
          <w:szCs w:val="21"/>
        </w:rPr>
        <w:t>0分，风险管控占</w:t>
      </w:r>
      <w:r>
        <w:rPr>
          <w:rFonts w:ascii="宋体" w:hAnsi="宋体" w:eastAsia="宋体" w:cs="宋体"/>
          <w:szCs w:val="21"/>
        </w:rPr>
        <w:t>6</w:t>
      </w:r>
      <w:r>
        <w:rPr>
          <w:rFonts w:hint="eastAsia" w:ascii="宋体" w:hAnsi="宋体" w:eastAsia="宋体" w:cs="宋体"/>
          <w:szCs w:val="21"/>
        </w:rPr>
        <w:t>0分。</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评分标准：优秀为分项满分；一般为分项一半分；差或未提供为分项0分。</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综合评分低于80分，从履约担保中扣罚15000元；综合评分低于60分，从履约担保中扣罚60000元。</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各签约方同意基于以上框架另行对考核的具体事项进行书面约定，作为本协议的补充。</w:t>
      </w:r>
    </w:p>
    <w:p>
      <w:pPr>
        <w:pStyle w:val="14"/>
        <w:snapToGrid w:val="0"/>
        <w:spacing w:line="296" w:lineRule="auto"/>
        <w:ind w:firstLine="422" w:firstLineChars="200"/>
        <w:outlineLvl w:val="1"/>
        <w:rPr>
          <w:rFonts w:ascii="宋体" w:hAnsi="宋体" w:eastAsia="宋体" w:cs="宋体"/>
          <w:b/>
          <w:szCs w:val="21"/>
        </w:rPr>
      </w:pPr>
      <w:bookmarkStart w:id="993" w:name="_Toc12016"/>
      <w:r>
        <w:rPr>
          <w:rFonts w:hint="eastAsia" w:ascii="宋体" w:hAnsi="宋体" w:eastAsia="宋体" w:cs="宋体"/>
          <w:b/>
          <w:kern w:val="2"/>
          <w:sz w:val="21"/>
          <w:szCs w:val="21"/>
        </w:rPr>
        <w:t>九</w:t>
      </w:r>
      <w:r>
        <w:rPr>
          <w:rFonts w:hint="eastAsia" w:ascii="宋体" w:hAnsi="宋体" w:eastAsia="宋体" w:cs="宋体"/>
          <w:b/>
          <w:bCs/>
          <w:kern w:val="2"/>
          <w:sz w:val="21"/>
          <w:szCs w:val="21"/>
        </w:rPr>
        <w:t>、</w:t>
      </w:r>
      <w:bookmarkEnd w:id="993"/>
      <w:bookmarkStart w:id="994" w:name="_Toc31840"/>
      <w:r>
        <w:rPr>
          <w:rFonts w:hint="eastAsia" w:ascii="宋体" w:hAnsi="宋体" w:eastAsia="宋体" w:cs="宋体"/>
          <w:b/>
          <w:szCs w:val="21"/>
        </w:rPr>
        <w:t>其他</w:t>
      </w:r>
      <w:bookmarkEnd w:id="994"/>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（一）争议处理</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因本合同引起的或与本合同有关的合同争议，由甲方与乙方协商解决，协商不成的，可向甲方所在地的人民法院提起诉讼。除非双方另有约定，诉讼语言应为汉语。</w:t>
      </w:r>
    </w:p>
    <w:p>
      <w:pPr>
        <w:adjustRightInd w:val="0"/>
        <w:spacing w:line="296" w:lineRule="auto"/>
        <w:ind w:firstLine="420" w:firstLineChars="200"/>
        <w:textAlignment w:val="baseline"/>
        <w:rPr>
          <w:rFonts w:ascii="宋体" w:hAnsi="宋体" w:eastAsia="宋体" w:cs="宋体"/>
          <w:szCs w:val="21"/>
        </w:rPr>
      </w:pPr>
      <w:r>
        <w:rPr>
          <w:rFonts w:hint="eastAsia" w:ascii="宋体" w:hAnsi="宋体" w:eastAsia="宋体" w:cs="宋体"/>
          <w:szCs w:val="21"/>
        </w:rPr>
        <w:t>1、法院判决应为最终裁决，对双方均具有约束力。</w:t>
      </w:r>
    </w:p>
    <w:p>
      <w:pPr>
        <w:adjustRightInd w:val="0"/>
        <w:spacing w:line="296" w:lineRule="auto"/>
        <w:ind w:firstLine="420" w:firstLineChars="200"/>
        <w:textAlignment w:val="baseline"/>
        <w:rPr>
          <w:rFonts w:ascii="宋体" w:hAnsi="宋体" w:eastAsia="宋体" w:cs="宋体"/>
          <w:szCs w:val="21"/>
        </w:rPr>
      </w:pPr>
      <w:r>
        <w:rPr>
          <w:rFonts w:hint="eastAsia" w:ascii="宋体" w:hAnsi="宋体" w:eastAsia="宋体" w:cs="宋体"/>
          <w:szCs w:val="21"/>
        </w:rPr>
        <w:t>2、诉讼费应由败诉方负担。</w:t>
      </w:r>
    </w:p>
    <w:p>
      <w:pPr>
        <w:adjustRightInd w:val="0"/>
        <w:spacing w:line="296" w:lineRule="auto"/>
        <w:ind w:firstLine="420" w:firstLineChars="200"/>
        <w:textAlignment w:val="baseline"/>
        <w:rPr>
          <w:rFonts w:ascii="宋体" w:hAnsi="宋体" w:eastAsia="宋体" w:cs="宋体"/>
          <w:szCs w:val="21"/>
        </w:rPr>
      </w:pPr>
      <w:r>
        <w:rPr>
          <w:rFonts w:hint="eastAsia" w:ascii="宋体" w:hAnsi="宋体" w:eastAsia="宋体" w:cs="宋体"/>
          <w:szCs w:val="21"/>
        </w:rPr>
        <w:t>3、协商、调解和诉讼期间，合同应继续执行，合同各方不得以争议为由拒绝执行。</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（二）协议的调整和取消</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在本协议正常执行期间，协议内容的任何修改、变更、取消，经由甲乙双方一致同意即可进行。</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（三）协议期限</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本协议在各方法定代表人（负责人）或其授权代理人签字并加盖单位公章后生效，适用于乙方向甲方出具的本项目保单的整个保险期限。如果保险期限结束后存在未决问题（如保险索赔与赔付处理尚未完毕），则本协议将继续有效至各项未决事宜最终处理完毕时为止。</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（四）保密条款</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除非下列情况，自本协议生效之日起，乙方不得将本协议涉及的所有有形、无形的信息及资料（包括但不限于往来书面文字文件、电子邮件及信息、电子资料等）泄露给其他团体或个人：</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1、提供给与执行本协议服务内容有关的雇员；</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2、应法律或司法管辖要求而提供；</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3、经甲方书面同意。</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本协议任何一方因过错造成泄密而给其他方造成损失的，过错一方承担经济赔偿责任。</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本协议终止时本保密条款继续有效一年。</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（五）支付协议</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乙方须与南宁轨道交通集团有限责任公司及其下属子（分）公司签订三（多）方支付协议。</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（六）协议份数</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本协议正本</w:t>
      </w:r>
      <w:r>
        <w:rPr>
          <w:rFonts w:ascii="宋体" w:hAnsi="宋体" w:eastAsia="宋体" w:cs="宋体"/>
          <w:szCs w:val="21"/>
        </w:rPr>
        <w:t>2份、副本</w:t>
      </w:r>
      <w:r>
        <w:rPr>
          <w:rFonts w:hint="eastAsia" w:ascii="宋体" w:hAnsi="宋体" w:eastAsia="宋体" w:cs="宋体"/>
          <w:szCs w:val="21"/>
        </w:rPr>
        <w:t>12</w:t>
      </w:r>
      <w:r>
        <w:rPr>
          <w:rFonts w:ascii="宋体" w:hAnsi="宋体" w:eastAsia="宋体" w:cs="宋体"/>
          <w:szCs w:val="21"/>
        </w:rPr>
        <w:t>份，甲方执正本1份、副本</w:t>
      </w:r>
      <w:r>
        <w:rPr>
          <w:rFonts w:hint="eastAsia" w:ascii="宋体" w:hAnsi="宋体" w:eastAsia="宋体" w:cs="宋体"/>
          <w:szCs w:val="21"/>
        </w:rPr>
        <w:t>10</w:t>
      </w:r>
      <w:r>
        <w:rPr>
          <w:rFonts w:ascii="宋体" w:hAnsi="宋体" w:eastAsia="宋体" w:cs="宋体"/>
          <w:szCs w:val="21"/>
        </w:rPr>
        <w:t>份，乙方执正本1份、副本</w:t>
      </w:r>
      <w:r>
        <w:rPr>
          <w:rFonts w:hint="eastAsia" w:ascii="宋体" w:hAnsi="宋体" w:eastAsia="宋体" w:cs="宋体"/>
          <w:szCs w:val="21"/>
        </w:rPr>
        <w:t>2</w:t>
      </w:r>
      <w:r>
        <w:rPr>
          <w:rFonts w:ascii="宋体" w:hAnsi="宋体" w:eastAsia="宋体" w:cs="宋体"/>
          <w:szCs w:val="21"/>
        </w:rPr>
        <w:t>份。</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（七）法律责任</w:t>
      </w:r>
    </w:p>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由于本协议任何一方当事人的过错，造成本协议不能履行或者不能完全履行的，由有过错的一方依法承担违约责任；如属各方当事人的过错，则根据各方当事人过错的实际情况，由各方当事人分别承担各自应负的违约责任；若发生违约情形，违约方依法依约承担其相应法律责任后，除非守约方同意终止本协议的，本协议仍须继续履行。</w:t>
      </w:r>
    </w:p>
    <w:p>
      <w:pPr>
        <w:pStyle w:val="2"/>
        <w:rPr>
          <w:rFonts w:eastAsia="宋体"/>
        </w:rPr>
      </w:pPr>
    </w:p>
    <w:p>
      <w:pPr>
        <w:pStyle w:val="2"/>
        <w:rPr>
          <w:rFonts w:eastAsia="宋体"/>
        </w:rPr>
      </w:pPr>
    </w:p>
    <w:p>
      <w:pPr>
        <w:pStyle w:val="14"/>
        <w:spacing w:line="296" w:lineRule="auto"/>
        <w:ind w:firstLine="0"/>
        <w:rPr>
          <w:rFonts w:ascii="宋体" w:hAnsi="宋体" w:eastAsia="宋体" w:cs="宋体"/>
          <w:kern w:val="2"/>
          <w:sz w:val="21"/>
          <w:szCs w:val="21"/>
        </w:rPr>
      </w:pPr>
      <w:r>
        <w:rPr>
          <w:rFonts w:hint="eastAsia" w:ascii="宋体" w:hAnsi="宋体" w:eastAsia="宋体" w:cs="宋体"/>
          <w:kern w:val="2"/>
          <w:sz w:val="21"/>
          <w:szCs w:val="21"/>
        </w:rPr>
        <w:t>甲方：（盖章）</w:t>
      </w:r>
      <w:r>
        <w:rPr>
          <w:rFonts w:hint="eastAsia" w:ascii="宋体" w:hAnsi="宋体" w:eastAsia="宋体" w:cs="宋体"/>
          <w:kern w:val="2"/>
          <w:sz w:val="21"/>
          <w:szCs w:val="21"/>
        </w:rPr>
        <w:tab/>
      </w:r>
    </w:p>
    <w:p>
      <w:pPr>
        <w:spacing w:line="296" w:lineRule="auto"/>
        <w:ind w:right="-71" w:rightChars="-34"/>
        <w:rPr>
          <w:rFonts w:ascii="宋体" w:hAnsi="宋体" w:eastAsia="宋体" w:cs="宋体"/>
          <w:szCs w:val="21"/>
        </w:rPr>
      </w:pPr>
      <w:r>
        <w:rPr>
          <w:rFonts w:hint="eastAsia" w:ascii="宋体" w:hAnsi="宋体" w:eastAsia="宋体" w:cs="宋体"/>
          <w:szCs w:val="21"/>
        </w:rPr>
        <w:t>法定代表人（负责人）或授权代理人：（签字）</w:t>
      </w:r>
    </w:p>
    <w:p>
      <w:pPr>
        <w:spacing w:line="296" w:lineRule="auto"/>
        <w:rPr>
          <w:rFonts w:ascii="宋体" w:hAnsi="宋体" w:eastAsia="宋体" w:cs="宋体"/>
          <w:szCs w:val="21"/>
        </w:rPr>
      </w:pPr>
    </w:p>
    <w:p>
      <w:pPr>
        <w:spacing w:line="296" w:lineRule="auto"/>
        <w:rPr>
          <w:rFonts w:ascii="宋体" w:hAnsi="宋体" w:eastAsia="宋体" w:cs="宋体"/>
          <w:szCs w:val="21"/>
        </w:rPr>
      </w:pPr>
    </w:p>
    <w:p>
      <w:pPr>
        <w:spacing w:line="296" w:lineRule="auto"/>
        <w:rPr>
          <w:rFonts w:ascii="宋体" w:hAnsi="宋体" w:eastAsia="宋体" w:cs="宋体"/>
          <w:szCs w:val="21"/>
        </w:rPr>
      </w:pPr>
      <w:r>
        <w:rPr>
          <w:rFonts w:hint="eastAsia" w:ascii="宋体" w:hAnsi="宋体" w:eastAsia="宋体" w:cs="宋体"/>
          <w:szCs w:val="21"/>
        </w:rPr>
        <w:t>乙方：（盖章）</w:t>
      </w:r>
    </w:p>
    <w:p>
      <w:pPr>
        <w:spacing w:line="296" w:lineRule="auto"/>
        <w:rPr>
          <w:rFonts w:ascii="宋体" w:hAnsi="宋体" w:eastAsia="宋体" w:cs="宋体"/>
          <w:szCs w:val="21"/>
        </w:rPr>
      </w:pPr>
      <w:r>
        <w:rPr>
          <w:rFonts w:hint="eastAsia" w:ascii="宋体" w:hAnsi="宋体" w:eastAsia="宋体" w:cs="宋体"/>
          <w:szCs w:val="21"/>
        </w:rPr>
        <w:t>法定代表人（负责人）或授权代理人：（签字）</w:t>
      </w:r>
    </w:p>
    <w:p>
      <w:pPr>
        <w:spacing w:line="296" w:lineRule="auto"/>
        <w:rPr>
          <w:rFonts w:ascii="宋体" w:hAnsi="宋体" w:eastAsia="宋体" w:cs="宋体"/>
          <w:szCs w:val="21"/>
        </w:rPr>
      </w:pPr>
    </w:p>
    <w:p>
      <w:pPr>
        <w:pStyle w:val="2"/>
        <w:rPr>
          <w:rFonts w:eastAsia="宋体"/>
        </w:rPr>
      </w:pPr>
    </w:p>
    <w:p>
      <w:pPr>
        <w:spacing w:line="296" w:lineRule="auto"/>
        <w:ind w:right="-73" w:rightChars="-35"/>
        <w:rPr>
          <w:rFonts w:ascii="宋体" w:hAnsi="宋体" w:eastAsia="宋体" w:cs="宋体"/>
          <w:szCs w:val="21"/>
        </w:rPr>
      </w:pPr>
      <w:r>
        <w:rPr>
          <w:rFonts w:hint="eastAsia" w:ascii="宋体" w:hAnsi="宋体" w:eastAsia="宋体" w:cs="宋体"/>
          <w:szCs w:val="21"/>
        </w:rPr>
        <w:t xml:space="preserve">本协议签订时间：         年      月      日 </w:t>
      </w:r>
    </w:p>
    <w:p>
      <w:pPr>
        <w:spacing w:line="296" w:lineRule="auto"/>
        <w:rPr>
          <w:rFonts w:ascii="宋体" w:hAnsi="宋体" w:eastAsia="宋体" w:cs="宋体"/>
          <w:szCs w:val="21"/>
        </w:rPr>
      </w:pPr>
      <w:r>
        <w:rPr>
          <w:rFonts w:hint="eastAsia" w:ascii="宋体" w:hAnsi="宋体" w:eastAsia="宋体" w:cs="宋体"/>
          <w:szCs w:val="21"/>
        </w:rPr>
        <w:t>本协议签订地点：中国广西壮族自治区 南宁市</w:t>
      </w:r>
    </w:p>
    <w:p>
      <w:pPr>
        <w:spacing w:line="341" w:lineRule="auto"/>
        <w:jc w:val="center"/>
        <w:outlineLvl w:val="1"/>
        <w:rPr>
          <w:rFonts w:ascii="宋体" w:hAnsi="宋体" w:eastAsia="宋体" w:cs="宋体"/>
          <w:b/>
          <w:szCs w:val="21"/>
        </w:rPr>
      </w:pPr>
      <w:r>
        <w:rPr>
          <w:rFonts w:hint="eastAsia" w:ascii="宋体" w:hAnsi="宋体" w:eastAsia="宋体" w:cs="宋体"/>
          <w:szCs w:val="21"/>
        </w:rPr>
        <w:br w:type="page"/>
      </w:r>
    </w:p>
    <w:p>
      <w:pPr>
        <w:spacing w:after="120" w:afterLines="50" w:line="296" w:lineRule="auto"/>
        <w:jc w:val="left"/>
        <w:rPr>
          <w:rFonts w:eastAsia="宋体"/>
          <w:szCs w:val="21"/>
        </w:rPr>
      </w:pPr>
      <w:r>
        <w:rPr>
          <w:rFonts w:hint="eastAsia" w:ascii="宋体" w:hAnsi="宋体" w:eastAsia="宋体" w:cs="宋体"/>
          <w:b/>
          <w:szCs w:val="21"/>
        </w:rPr>
        <w:t>附件：</w:t>
      </w:r>
    </w:p>
    <w:p>
      <w:pPr>
        <w:pStyle w:val="4"/>
        <w:spacing w:before="120" w:beforeLines="50" w:line="296" w:lineRule="auto"/>
        <w:ind w:firstLine="422" w:firstLineChars="200"/>
        <w:jc w:val="center"/>
        <w:rPr>
          <w:rFonts w:cs="宋体" w:asciiTheme="minorEastAsia" w:hAnsiTheme="minorEastAsia" w:eastAsiaTheme="minorEastAsia"/>
          <w:b w:val="0"/>
          <w:bCs w:val="0"/>
          <w:sz w:val="21"/>
          <w:szCs w:val="21"/>
        </w:rPr>
      </w:pPr>
      <w:bookmarkStart w:id="995" w:name="_Toc4788"/>
      <w:r>
        <w:rPr>
          <w:rFonts w:hint="eastAsia" w:cs="宋体" w:asciiTheme="minorEastAsia" w:hAnsiTheme="minorEastAsia" w:eastAsiaTheme="minorEastAsia"/>
          <w:bCs w:val="0"/>
          <w:sz w:val="21"/>
          <w:szCs w:val="21"/>
        </w:rPr>
        <w:t>特别约定</w:t>
      </w:r>
      <w:bookmarkEnd w:id="995"/>
    </w:p>
    <w:p>
      <w:pPr>
        <w:spacing w:line="296" w:lineRule="auto"/>
        <w:ind w:firstLine="420"/>
        <w:rPr>
          <w:rFonts w:hAnsi="宋体" w:cs="宋体"/>
          <w:bCs/>
          <w:szCs w:val="21"/>
        </w:rPr>
      </w:pPr>
    </w:p>
    <w:p>
      <w:pPr>
        <w:pStyle w:val="14"/>
        <w:snapToGrid w:val="0"/>
        <w:spacing w:before="120" w:beforeLines="50" w:line="296" w:lineRule="auto"/>
        <w:ind w:firstLine="420" w:firstLineChars="20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投标人应遵从以下特别约定：</w:t>
      </w:r>
    </w:p>
    <w:p>
      <w:pPr>
        <w:pStyle w:val="14"/>
        <w:snapToGrid w:val="0"/>
        <w:spacing w:before="120" w:beforeLines="50" w:line="296" w:lineRule="auto"/>
        <w:ind w:firstLine="420" w:firstLineChars="200"/>
        <w:rPr>
          <w:rFonts w:asciiTheme="minorEastAsia" w:hAnsiTheme="minorEastAsia" w:eastAsiaTheme="minorEastAsia"/>
          <w:kern w:val="2"/>
          <w:sz w:val="21"/>
          <w:szCs w:val="21"/>
        </w:rPr>
      </w:pPr>
      <w:r>
        <w:rPr>
          <w:rFonts w:asciiTheme="minorEastAsia" w:hAnsiTheme="minorEastAsia" w:eastAsiaTheme="minorEastAsia"/>
          <w:kern w:val="2"/>
          <w:sz w:val="21"/>
          <w:szCs w:val="21"/>
        </w:rPr>
        <w:t>1、投标人同意按照承保费率、条件和</w:t>
      </w:r>
      <w:r>
        <w:rPr>
          <w:rFonts w:hint="eastAsia" w:asciiTheme="minorEastAsia" w:hAnsiTheme="minorEastAsia" w:eastAsiaTheme="minorEastAsia"/>
          <w:kern w:val="2"/>
          <w:sz w:val="21"/>
          <w:szCs w:val="21"/>
        </w:rPr>
        <w:t>安全生产责任保险</w:t>
      </w:r>
      <w:r>
        <w:rPr>
          <w:rFonts w:asciiTheme="minorEastAsia" w:hAnsiTheme="minorEastAsia" w:eastAsiaTheme="minorEastAsia"/>
          <w:kern w:val="2"/>
          <w:sz w:val="21"/>
          <w:szCs w:val="21"/>
        </w:rPr>
        <w:t>签署保险协议，为南宁轨道交通集团有限责任公司提供保险服务。</w:t>
      </w:r>
    </w:p>
    <w:p>
      <w:pPr>
        <w:pStyle w:val="14"/>
        <w:snapToGrid w:val="0"/>
        <w:spacing w:before="120" w:beforeLines="50" w:line="296" w:lineRule="auto"/>
        <w:ind w:firstLine="420" w:firstLineChars="200"/>
        <w:rPr>
          <w:rFonts w:asciiTheme="minorEastAsia" w:hAnsiTheme="minorEastAsia" w:eastAsiaTheme="minorEastAsia"/>
          <w:kern w:val="2"/>
          <w:sz w:val="21"/>
          <w:szCs w:val="21"/>
        </w:rPr>
      </w:pPr>
      <w:r>
        <w:rPr>
          <w:rFonts w:hint="eastAsia" w:ascii="宋体" w:hAnsi="宋体" w:eastAsia="宋体" w:cs="宋体"/>
          <w:kern w:val="2"/>
          <w:sz w:val="21"/>
          <w:szCs w:val="21"/>
        </w:rPr>
        <w:t>乙方</w:t>
      </w:r>
      <w:r>
        <w:rPr>
          <w:rFonts w:hint="eastAsia" w:asciiTheme="minorEastAsia" w:hAnsiTheme="minorEastAsia" w:eastAsiaTheme="minorEastAsia"/>
          <w:kern w:val="2"/>
          <w:sz w:val="21"/>
          <w:szCs w:val="21"/>
        </w:rPr>
        <w:t>全面负责一切对招标人之服务（包括承保、出单、收取</w:t>
      </w:r>
      <w:r>
        <w:rPr>
          <w:rFonts w:asciiTheme="minorEastAsia" w:hAnsiTheme="minorEastAsia" w:eastAsiaTheme="minorEastAsia"/>
          <w:kern w:val="2"/>
          <w:sz w:val="21"/>
          <w:szCs w:val="21"/>
        </w:rPr>
        <w:t>/划拨保险费、风险管控和理赔），</w:t>
      </w:r>
      <w:r>
        <w:rPr>
          <w:rFonts w:hint="eastAsia" w:asciiTheme="minorEastAsia" w:hAnsiTheme="minorEastAsia" w:eastAsiaTheme="minorEastAsia"/>
          <w:kern w:val="2"/>
          <w:sz w:val="21"/>
          <w:szCs w:val="21"/>
        </w:rPr>
        <w:t>具体</w:t>
      </w:r>
      <w:r>
        <w:rPr>
          <w:rFonts w:asciiTheme="minorEastAsia" w:hAnsiTheme="minorEastAsia" w:eastAsiaTheme="minorEastAsia"/>
          <w:kern w:val="2"/>
          <w:sz w:val="21"/>
          <w:szCs w:val="21"/>
        </w:rPr>
        <w:t>出单管理</w:t>
      </w:r>
      <w:r>
        <w:rPr>
          <w:rFonts w:hint="eastAsia" w:asciiTheme="minorEastAsia" w:hAnsiTheme="minorEastAsia" w:eastAsiaTheme="minorEastAsia"/>
          <w:kern w:val="2"/>
          <w:sz w:val="21"/>
          <w:szCs w:val="21"/>
        </w:rPr>
        <w:t>由乙方按行业相关监管要求执行</w:t>
      </w:r>
      <w:r>
        <w:rPr>
          <w:rFonts w:asciiTheme="minorEastAsia" w:hAnsiTheme="minorEastAsia" w:eastAsiaTheme="minorEastAsia"/>
          <w:kern w:val="2"/>
          <w:sz w:val="21"/>
          <w:szCs w:val="21"/>
        </w:rPr>
        <w:t>。</w:t>
      </w:r>
    </w:p>
    <w:p>
      <w:pPr>
        <w:pStyle w:val="14"/>
        <w:snapToGrid w:val="0"/>
        <w:spacing w:before="120" w:beforeLines="50" w:line="296" w:lineRule="auto"/>
        <w:ind w:firstLine="420" w:firstLineChars="200"/>
        <w:rPr>
          <w:rFonts w:asciiTheme="minorEastAsia" w:hAnsiTheme="minorEastAsia" w:eastAsiaTheme="minorEastAsia"/>
          <w:kern w:val="2"/>
          <w:sz w:val="21"/>
          <w:szCs w:val="21"/>
        </w:rPr>
      </w:pPr>
      <w:r>
        <w:rPr>
          <w:rFonts w:asciiTheme="minorEastAsia" w:hAnsiTheme="minorEastAsia" w:eastAsiaTheme="minorEastAsia"/>
          <w:kern w:val="2"/>
          <w:sz w:val="21"/>
          <w:szCs w:val="21"/>
        </w:rPr>
        <w:t>2、投标人同意中标后，自保险合同签署时起60日内，在现有保险协议和保险单基础上对理赔服务流程作有利于保证甲方保险索赔利益、有利于提高理赔服务质量和效率的改进，形成完整的保险理赔服务办法，并在提交甲方审议确定后，由各方共同遵守。</w:t>
      </w:r>
    </w:p>
    <w:p>
      <w:pPr>
        <w:pStyle w:val="14"/>
        <w:snapToGrid w:val="0"/>
        <w:spacing w:before="120" w:beforeLines="50" w:line="296" w:lineRule="auto"/>
        <w:ind w:firstLine="420" w:firstLineChars="200"/>
        <w:rPr>
          <w:rFonts w:asciiTheme="minorEastAsia" w:hAnsiTheme="minorEastAsia" w:eastAsiaTheme="minorEastAsia"/>
          <w:kern w:val="2"/>
          <w:sz w:val="21"/>
          <w:szCs w:val="21"/>
        </w:rPr>
      </w:pPr>
      <w:r>
        <w:rPr>
          <w:rFonts w:asciiTheme="minorEastAsia" w:hAnsiTheme="minorEastAsia" w:eastAsiaTheme="minorEastAsia"/>
          <w:kern w:val="2"/>
          <w:sz w:val="21"/>
          <w:szCs w:val="21"/>
        </w:rPr>
        <w:t>3、</w:t>
      </w:r>
      <w:r>
        <w:rPr>
          <w:rFonts w:hint="eastAsia" w:asciiTheme="minorEastAsia" w:hAnsiTheme="minorEastAsia" w:eastAsiaTheme="minorEastAsia"/>
          <w:kern w:val="2"/>
          <w:sz w:val="21"/>
          <w:szCs w:val="21"/>
        </w:rPr>
        <w:t>本项目由投标人根据投标承诺开展风险管控相关工作，相关工作开展前应征得甲方同意。</w:t>
      </w:r>
    </w:p>
    <w:p>
      <w:pPr>
        <w:pStyle w:val="14"/>
        <w:snapToGrid w:val="0"/>
        <w:spacing w:line="296" w:lineRule="auto"/>
        <w:ind w:firstLine="420" w:firstLineChars="20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4、本项目安全生产责任保险与甲方已投保的雇主责任险、公众责任险互为补充，赔偿次序相同，人伤案件甲方有权指定从相关险种中开展索赔，保险人</w:t>
      </w:r>
      <w:r>
        <w:rPr>
          <w:rFonts w:asciiTheme="minorEastAsia" w:hAnsiTheme="minorEastAsia" w:eastAsiaTheme="minorEastAsia"/>
          <w:kern w:val="2"/>
          <w:sz w:val="21"/>
          <w:szCs w:val="21"/>
        </w:rPr>
        <w:t>同意</w:t>
      </w:r>
      <w:r>
        <w:rPr>
          <w:rFonts w:hint="eastAsia" w:asciiTheme="minorEastAsia" w:hAnsiTheme="minorEastAsia" w:eastAsiaTheme="minorEastAsia"/>
          <w:kern w:val="2"/>
          <w:sz w:val="21"/>
          <w:szCs w:val="21"/>
        </w:rPr>
        <w:t>不作分摊及比例赔付。</w:t>
      </w:r>
    </w:p>
    <w:p>
      <w:pPr>
        <w:pStyle w:val="14"/>
        <w:snapToGrid w:val="0"/>
        <w:spacing w:before="120" w:beforeLines="50" w:line="296" w:lineRule="auto"/>
        <w:ind w:firstLine="420" w:firstLineChars="200"/>
        <w:rPr>
          <w:rFonts w:asciiTheme="minorEastAsia" w:hAnsiTheme="minorEastAsia" w:eastAsiaTheme="minorEastAsia"/>
          <w:kern w:val="2"/>
          <w:sz w:val="21"/>
          <w:szCs w:val="21"/>
        </w:rPr>
      </w:pPr>
      <w:r>
        <w:rPr>
          <w:rFonts w:asciiTheme="minorEastAsia" w:hAnsiTheme="minorEastAsia" w:eastAsiaTheme="minorEastAsia"/>
          <w:kern w:val="2"/>
          <w:sz w:val="21"/>
          <w:szCs w:val="21"/>
        </w:rPr>
        <w:t>5、</w:t>
      </w:r>
      <w:r>
        <w:rPr>
          <w:rFonts w:hint="eastAsia" w:asciiTheme="minorEastAsia" w:hAnsiTheme="minorEastAsia" w:eastAsiaTheme="minorEastAsia"/>
          <w:kern w:val="2"/>
          <w:sz w:val="21"/>
          <w:szCs w:val="21"/>
        </w:rPr>
        <w:t>保险期间，保险人同意按投保人在投保时的在职人员人数计算保险周期保险费，在出险时如投保人在职人员发生变化均视为足额投保。</w:t>
      </w:r>
    </w:p>
    <w:p>
      <w:pPr>
        <w:pStyle w:val="14"/>
        <w:snapToGrid w:val="0"/>
        <w:spacing w:before="120" w:beforeLines="50" w:line="296" w:lineRule="auto"/>
        <w:ind w:firstLine="420" w:firstLineChars="200"/>
        <w:rPr>
          <w:rFonts w:asciiTheme="minorEastAsia" w:hAnsiTheme="minorEastAsia" w:eastAsiaTheme="minorEastAsia"/>
          <w:kern w:val="2"/>
          <w:sz w:val="21"/>
          <w:szCs w:val="21"/>
        </w:rPr>
      </w:pPr>
      <w:r>
        <w:rPr>
          <w:rFonts w:hint="eastAsia" w:asciiTheme="minorEastAsia" w:hAnsiTheme="minorEastAsia" w:eastAsiaTheme="minorEastAsia"/>
          <w:kern w:val="2"/>
          <w:sz w:val="21"/>
          <w:szCs w:val="21"/>
        </w:rPr>
        <w:t>6、保险人同意被保险人在投保时对员工投保人数的确定，不另列明人员清单，除应被保险人书面要求以外，保险期间投保人数不做调整。被保险人在其雇员出险时应提供与被保险人单位存在雇佣关系的相关证明（临时员工以出险时的工资册为赔偿依据）。保险人同意不会因被保险人实际雇员人数超过已投保雇员人数或被保险人与雇员签订劳动合同时间在投保合同签订之后而对保险事故拒赔或比例赔付。</w:t>
      </w:r>
    </w:p>
    <w:p>
      <w:pPr>
        <w:rPr>
          <w:rFonts w:hAnsi="宋体" w:eastAsia="宋体" w:cs="宋体"/>
          <w:szCs w:val="21"/>
        </w:rPr>
      </w:pPr>
    </w:p>
    <w:p>
      <w:pPr>
        <w:rPr>
          <w:rFonts w:hAnsi="宋体" w:eastAsia="宋体" w:cs="宋体"/>
          <w:szCs w:val="21"/>
        </w:rPr>
      </w:pPr>
    </w:p>
    <w:p>
      <w:pPr>
        <w:spacing w:line="360" w:lineRule="auto"/>
        <w:rPr>
          <w:rFonts w:hAnsi="宋体" w:eastAsia="宋体" w:cs="宋体"/>
          <w:szCs w:val="21"/>
        </w:rPr>
      </w:pPr>
    </w:p>
    <w:p>
      <w:pPr>
        <w:spacing w:before="120"/>
        <w:jc w:val="center"/>
        <w:rPr>
          <w:rFonts w:hAnsi="宋体" w:eastAsia="宋体" w:cs="宋体"/>
        </w:rPr>
      </w:pPr>
      <w:bookmarkStart w:id="996" w:name="_Toc3654"/>
      <w:bookmarkStart w:id="997" w:name="_Toc11367"/>
    </w:p>
    <w:p>
      <w:pPr>
        <w:spacing w:before="120"/>
        <w:jc w:val="center"/>
        <w:rPr>
          <w:rFonts w:hAnsi="宋体" w:eastAsia="宋体" w:cs="宋体"/>
        </w:rPr>
      </w:pPr>
    </w:p>
    <w:p>
      <w:pPr>
        <w:spacing w:before="120"/>
        <w:jc w:val="center"/>
        <w:rPr>
          <w:rFonts w:hAnsi="宋体" w:eastAsia="宋体" w:cs="宋体"/>
        </w:rPr>
      </w:pPr>
    </w:p>
    <w:p>
      <w:pPr>
        <w:spacing w:before="120"/>
        <w:jc w:val="center"/>
        <w:rPr>
          <w:rFonts w:hAnsi="宋体" w:eastAsia="宋体" w:cs="宋体"/>
        </w:rPr>
      </w:pPr>
    </w:p>
    <w:p>
      <w:pPr>
        <w:spacing w:before="120"/>
        <w:jc w:val="center"/>
        <w:rPr>
          <w:rFonts w:hAnsi="宋体" w:eastAsia="宋体" w:cs="宋体"/>
        </w:rPr>
      </w:pPr>
    </w:p>
    <w:p>
      <w:pPr>
        <w:spacing w:before="120"/>
        <w:jc w:val="center"/>
        <w:rPr>
          <w:rFonts w:hAnsi="宋体" w:eastAsia="宋体" w:cs="宋体"/>
        </w:rPr>
      </w:pPr>
    </w:p>
    <w:p>
      <w:pPr>
        <w:spacing w:before="120"/>
        <w:jc w:val="center"/>
        <w:rPr>
          <w:rFonts w:hAnsi="宋体" w:eastAsia="宋体" w:cs="宋体"/>
        </w:rPr>
      </w:pPr>
    </w:p>
    <w:p>
      <w:pPr>
        <w:spacing w:before="120"/>
        <w:jc w:val="center"/>
        <w:rPr>
          <w:rFonts w:hAnsi="宋体" w:eastAsia="宋体" w:cs="宋体"/>
        </w:rPr>
      </w:pPr>
    </w:p>
    <w:p>
      <w:pPr>
        <w:spacing w:before="120"/>
        <w:rPr>
          <w:rFonts w:hAnsi="宋体" w:eastAsia="宋体" w:cs="宋体"/>
        </w:rPr>
      </w:pPr>
    </w:p>
    <w:p>
      <w:pPr>
        <w:spacing w:before="120"/>
        <w:jc w:val="center"/>
        <w:rPr>
          <w:rFonts w:hAnsi="宋体" w:eastAsia="宋体" w:cs="宋体"/>
        </w:rPr>
      </w:pPr>
    </w:p>
    <w:p>
      <w:pPr>
        <w:spacing w:before="120"/>
        <w:jc w:val="center"/>
        <w:rPr>
          <w:rFonts w:hAnsi="宋体" w:eastAsia="宋体" w:cs="宋体"/>
        </w:rPr>
      </w:pPr>
    </w:p>
    <w:p>
      <w:pPr>
        <w:spacing w:before="120"/>
        <w:jc w:val="center"/>
        <w:rPr>
          <w:rFonts w:hAnsi="宋体" w:eastAsia="宋体" w:cs="宋体"/>
        </w:rPr>
      </w:pPr>
    </w:p>
    <w:p>
      <w:pPr>
        <w:spacing w:before="120"/>
        <w:jc w:val="center"/>
        <w:rPr>
          <w:rFonts w:hAnsi="宋体" w:eastAsia="宋体" w:cs="宋体"/>
        </w:rPr>
      </w:pPr>
    </w:p>
    <w:p>
      <w:pPr>
        <w:spacing w:before="120"/>
        <w:jc w:val="center"/>
        <w:rPr>
          <w:rFonts w:hAnsi="宋体" w:eastAsia="宋体" w:cs="宋体"/>
        </w:rPr>
      </w:pPr>
    </w:p>
    <w:p>
      <w:pPr>
        <w:pStyle w:val="4"/>
        <w:spacing w:before="120"/>
        <w:jc w:val="center"/>
        <w:rPr>
          <w:rFonts w:hAnsi="宋体" w:eastAsia="宋体" w:cs="宋体"/>
          <w:bCs w:val="0"/>
        </w:rPr>
      </w:pPr>
      <w:bookmarkStart w:id="998" w:name="_Toc6453"/>
      <w:r>
        <w:rPr>
          <w:rFonts w:hint="eastAsia" w:hAnsi="宋体" w:eastAsia="宋体" w:cs="宋体"/>
          <w:bCs w:val="0"/>
        </w:rPr>
        <w:t>第五章保险方案</w:t>
      </w:r>
      <w:bookmarkEnd w:id="996"/>
      <w:bookmarkEnd w:id="997"/>
      <w:bookmarkEnd w:id="998"/>
    </w:p>
    <w:p>
      <w:pPr>
        <w:pStyle w:val="4"/>
        <w:jc w:val="center"/>
        <w:rPr>
          <w:rFonts w:ascii="宋体" w:hAnsi="宋体" w:eastAsia="宋体" w:cs="宋体"/>
          <w:b w:val="0"/>
          <w:bCs w:val="0"/>
          <w:szCs w:val="21"/>
        </w:rPr>
      </w:pPr>
      <w:bookmarkStart w:id="999" w:name="_Toc6553"/>
      <w:bookmarkStart w:id="1000" w:name="_Toc447634915"/>
      <w:r>
        <w:rPr>
          <w:rFonts w:hint="eastAsia" w:ascii="宋体" w:hAnsi="宋体" w:eastAsia="宋体" w:cs="宋体"/>
          <w:szCs w:val="21"/>
        </w:rPr>
        <w:t>安全生产责任险明细表</w:t>
      </w:r>
      <w:bookmarkEnd w:id="999"/>
    </w:p>
    <w:p>
      <w:pPr>
        <w:pStyle w:val="280"/>
        <w:spacing w:before="60" w:after="120" w:line="296" w:lineRule="auto"/>
        <w:jc w:val="center"/>
        <w:rPr>
          <w:rFonts w:ascii="宋体" w:hAnsi="宋体" w:cs="宋体"/>
          <w:b/>
          <w:color w:val="auto"/>
          <w:sz w:val="21"/>
          <w:szCs w:val="21"/>
        </w:rPr>
      </w:pPr>
      <w:bookmarkStart w:id="1001" w:name="_Toc447634922"/>
      <w:r>
        <w:rPr>
          <w:rFonts w:hint="eastAsia" w:ascii="宋体" w:hAnsi="宋体" w:cs="宋体"/>
          <w:b/>
          <w:color w:val="auto"/>
          <w:sz w:val="21"/>
          <w:szCs w:val="21"/>
        </w:rPr>
        <w:t>明细表</w:t>
      </w:r>
      <w:bookmarkEnd w:id="1001"/>
    </w:p>
    <w:tbl>
      <w:tblPr>
        <w:tblStyle w:val="47"/>
        <w:tblW w:w="905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9"/>
        <w:gridCol w:w="79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pStyle w:val="285"/>
              <w:spacing w:before="78" w:line="296" w:lineRule="auto"/>
              <w:rPr>
                <w:rFonts w:ascii="宋体" w:hAnsi="宋体" w:eastAsia="宋体" w:cs="宋体"/>
                <w:szCs w:val="21"/>
              </w:rPr>
            </w:pPr>
            <w:r>
              <w:rPr>
                <w:rFonts w:hint="eastAsia" w:ascii="宋体" w:hAnsi="宋体" w:eastAsia="宋体" w:cs="宋体"/>
                <w:szCs w:val="21"/>
              </w:rPr>
              <w:t>投保人</w:t>
            </w:r>
          </w:p>
        </w:tc>
        <w:tc>
          <w:tcPr>
            <w:tcW w:w="7933" w:type="dxa"/>
          </w:tcPr>
          <w:p>
            <w:pPr>
              <w:pStyle w:val="285"/>
              <w:spacing w:before="78" w:line="296" w:lineRule="auto"/>
              <w:rPr>
                <w:rFonts w:ascii="宋体" w:hAnsi="宋体" w:eastAsia="宋体" w:cs="宋体"/>
                <w:szCs w:val="21"/>
              </w:rPr>
            </w:pPr>
            <w:r>
              <w:rPr>
                <w:rFonts w:hint="eastAsia" w:ascii="宋体" w:hAnsi="宋体" w:eastAsia="宋体" w:cs="宋体"/>
                <w:szCs w:val="21"/>
              </w:rPr>
              <w:t>南宁轨道交通集团有限责任公司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pStyle w:val="285"/>
              <w:spacing w:before="78" w:line="296" w:lineRule="auto"/>
              <w:rPr>
                <w:rFonts w:ascii="宋体" w:hAnsi="宋体" w:eastAsia="宋体" w:cs="宋体"/>
                <w:szCs w:val="21"/>
              </w:rPr>
            </w:pPr>
            <w:r>
              <w:rPr>
                <w:rFonts w:hint="eastAsia" w:ascii="宋体" w:hAnsi="宋体" w:eastAsia="宋体" w:cs="宋体"/>
                <w:kern w:val="0"/>
                <w:szCs w:val="21"/>
              </w:rPr>
              <w:t>地址</w:t>
            </w:r>
          </w:p>
        </w:tc>
        <w:tc>
          <w:tcPr>
            <w:tcW w:w="7933" w:type="dxa"/>
          </w:tcPr>
          <w:p>
            <w:pPr>
              <w:pStyle w:val="280"/>
              <w:overflowPunct w:val="0"/>
              <w:autoSpaceDE w:val="0"/>
              <w:autoSpaceDN w:val="0"/>
              <w:adjustRightInd w:val="0"/>
              <w:spacing w:before="60" w:line="296" w:lineRule="auto"/>
              <w:ind w:left="420" w:hanging="420"/>
              <w:textAlignment w:val="baseline"/>
              <w:rPr>
                <w:rFonts w:ascii="宋体" w:hAnsi="宋体" w:cs="宋体"/>
                <w:color w:val="auto"/>
                <w:kern w:val="2"/>
                <w:sz w:val="21"/>
                <w:szCs w:val="21"/>
              </w:rPr>
            </w:pPr>
            <w:r>
              <w:rPr>
                <w:rFonts w:hint="eastAsia" w:ascii="宋体" w:hAnsi="宋体" w:cs="宋体"/>
                <w:color w:val="auto"/>
                <w:kern w:val="2"/>
                <w:sz w:val="21"/>
                <w:szCs w:val="21"/>
              </w:rPr>
              <w:t>广西南宁市云景路69号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pStyle w:val="285"/>
              <w:spacing w:before="78" w:line="296" w:lineRule="auto"/>
              <w:rPr>
                <w:rFonts w:ascii="宋体" w:hAnsi="宋体" w:eastAsia="宋体" w:cs="宋体"/>
                <w:kern w:val="0"/>
                <w:szCs w:val="21"/>
              </w:rPr>
            </w:pPr>
            <w:r>
              <w:rPr>
                <w:rFonts w:hint="eastAsia" w:ascii="宋体" w:hAnsi="宋体" w:eastAsia="宋体" w:cs="宋体"/>
                <w:kern w:val="0"/>
                <w:szCs w:val="21"/>
              </w:rPr>
              <w:t>被保险人</w:t>
            </w:r>
          </w:p>
        </w:tc>
        <w:tc>
          <w:tcPr>
            <w:tcW w:w="7933" w:type="dxa"/>
          </w:tcPr>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napToGrid w:val="0"/>
                <w:kern w:val="0"/>
                <w:szCs w:val="21"/>
              </w:rPr>
            </w:pPr>
            <w:r>
              <w:rPr>
                <w:rFonts w:hint="eastAsia" w:ascii="宋体" w:hAnsi="宋体" w:eastAsia="宋体" w:cs="宋体"/>
                <w:snapToGrid w:val="0"/>
                <w:szCs w:val="21"/>
              </w:rPr>
              <w:t>南宁轨道交通集团有限责任公司及其分公司、子公司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pStyle w:val="285"/>
              <w:spacing w:before="78" w:line="296" w:lineRule="auto"/>
              <w:rPr>
                <w:rFonts w:ascii="宋体" w:hAnsi="宋体" w:eastAsia="宋体" w:cs="宋体"/>
                <w:szCs w:val="21"/>
              </w:rPr>
            </w:pPr>
            <w:r>
              <w:rPr>
                <w:rFonts w:hint="eastAsia" w:ascii="宋体" w:hAnsi="宋体" w:eastAsia="宋体" w:cs="宋体"/>
                <w:kern w:val="0"/>
                <w:szCs w:val="21"/>
              </w:rPr>
              <w:t>投保人数</w:t>
            </w:r>
          </w:p>
        </w:tc>
        <w:tc>
          <w:tcPr>
            <w:tcW w:w="7933" w:type="dxa"/>
          </w:tcPr>
          <w:p>
            <w:pPr>
              <w:pStyle w:val="280"/>
              <w:overflowPunct w:val="0"/>
              <w:autoSpaceDE w:val="0"/>
              <w:autoSpaceDN w:val="0"/>
              <w:adjustRightInd w:val="0"/>
              <w:snapToGrid w:val="0"/>
              <w:spacing w:before="60" w:line="296" w:lineRule="auto"/>
              <w:ind w:left="420" w:hanging="420"/>
              <w:textAlignment w:val="baseline"/>
              <w:rPr>
                <w:rFonts w:ascii="宋体" w:hAnsi="宋体" w:cs="宋体"/>
                <w:snapToGrid w:val="0"/>
                <w:color w:val="auto"/>
                <w:sz w:val="21"/>
                <w:szCs w:val="21"/>
              </w:rPr>
            </w:pPr>
            <w:r>
              <w:rPr>
                <w:rFonts w:hint="eastAsia" w:ascii="宋体" w:hAnsi="宋体" w:cs="宋体"/>
                <w:snapToGrid w:val="0"/>
                <w:color w:val="auto"/>
                <w:sz w:val="21"/>
                <w:szCs w:val="21"/>
              </w:rPr>
              <w:t>总人数</w:t>
            </w:r>
            <w:r>
              <w:rPr>
                <w:rFonts w:hint="eastAsia" w:ascii="宋体" w:hAnsi="宋体" w:cs="宋体"/>
                <w:snapToGrid w:val="0"/>
                <w:color w:val="auto"/>
                <w:sz w:val="21"/>
                <w:szCs w:val="21"/>
                <w:u w:val="single"/>
              </w:rPr>
              <w:t>7</w:t>
            </w:r>
            <w:r>
              <w:rPr>
                <w:rFonts w:ascii="宋体" w:hAnsi="宋体" w:cs="宋体"/>
                <w:snapToGrid w:val="0"/>
                <w:color w:val="auto"/>
                <w:sz w:val="21"/>
                <w:szCs w:val="21"/>
                <w:u w:val="single"/>
              </w:rPr>
              <w:t>592</w:t>
            </w:r>
            <w:r>
              <w:rPr>
                <w:rFonts w:hint="eastAsia" w:ascii="宋体" w:hAnsi="宋体" w:cs="宋体"/>
                <w:snapToGrid w:val="0"/>
                <w:color w:val="auto"/>
                <w:sz w:val="21"/>
                <w:szCs w:val="21"/>
              </w:rPr>
              <w:t>人，各成员</w:t>
            </w:r>
            <w:r>
              <w:rPr>
                <w:rFonts w:ascii="宋体" w:hAnsi="宋体" w:cs="宋体"/>
                <w:snapToGrid w:val="0"/>
                <w:color w:val="auto"/>
                <w:sz w:val="21"/>
                <w:szCs w:val="21"/>
              </w:rPr>
              <w:t>公司具体人数如下</w:t>
            </w:r>
            <w:r>
              <w:rPr>
                <w:rFonts w:hint="eastAsia" w:ascii="宋体" w:hAnsi="宋体" w:cs="宋体"/>
                <w:snapToGrid w:val="0"/>
                <w:color w:val="auto"/>
                <w:sz w:val="21"/>
                <w:szCs w:val="21"/>
              </w:rPr>
              <w:t>：</w:t>
            </w:r>
          </w:p>
          <w:p>
            <w:pPr>
              <w:pStyle w:val="280"/>
              <w:overflowPunct w:val="0"/>
              <w:autoSpaceDE w:val="0"/>
              <w:autoSpaceDN w:val="0"/>
              <w:adjustRightInd w:val="0"/>
              <w:snapToGrid w:val="0"/>
              <w:spacing w:before="60" w:line="296" w:lineRule="auto"/>
              <w:ind w:left="420" w:hanging="420"/>
              <w:textAlignment w:val="baseline"/>
              <w:rPr>
                <w:rFonts w:ascii="宋体" w:hAnsi="宋体" w:cs="宋体"/>
                <w:snapToGrid w:val="0"/>
                <w:color w:val="auto"/>
                <w:sz w:val="21"/>
                <w:szCs w:val="21"/>
              </w:rPr>
            </w:pPr>
            <w:r>
              <w:rPr>
                <w:rFonts w:hint="eastAsia" w:ascii="宋体" w:hAnsi="宋体" w:cs="宋体"/>
                <w:snapToGrid w:val="0"/>
                <w:color w:val="auto"/>
                <w:sz w:val="21"/>
                <w:szCs w:val="21"/>
              </w:rPr>
              <w:t>（1）南宁轨道交通集团有限责任公司（本部）：</w:t>
            </w:r>
            <w:r>
              <w:rPr>
                <w:rFonts w:hint="eastAsia" w:ascii="宋体" w:hAnsi="宋体" w:cs="宋体"/>
                <w:snapToGrid w:val="0"/>
                <w:color w:val="auto"/>
                <w:sz w:val="21"/>
                <w:szCs w:val="21"/>
                <w:u w:val="single"/>
              </w:rPr>
              <w:t xml:space="preserve">187 </w:t>
            </w:r>
            <w:r>
              <w:rPr>
                <w:rFonts w:hint="eastAsia" w:ascii="宋体" w:hAnsi="宋体" w:cs="宋体"/>
                <w:snapToGrid w:val="0"/>
                <w:color w:val="auto"/>
                <w:sz w:val="21"/>
                <w:szCs w:val="21"/>
              </w:rPr>
              <w:t>人</w:t>
            </w:r>
          </w:p>
          <w:p>
            <w:pPr>
              <w:pStyle w:val="280"/>
              <w:overflowPunct w:val="0"/>
              <w:autoSpaceDE w:val="0"/>
              <w:autoSpaceDN w:val="0"/>
              <w:adjustRightInd w:val="0"/>
              <w:snapToGrid w:val="0"/>
              <w:spacing w:before="60" w:line="296" w:lineRule="auto"/>
              <w:ind w:left="420" w:hanging="420"/>
              <w:textAlignment w:val="baseline"/>
              <w:rPr>
                <w:rFonts w:ascii="宋体" w:hAnsi="宋体" w:cs="宋体"/>
                <w:snapToGrid w:val="0"/>
                <w:color w:val="auto"/>
                <w:sz w:val="21"/>
                <w:szCs w:val="21"/>
              </w:rPr>
            </w:pPr>
            <w:r>
              <w:rPr>
                <w:rFonts w:hint="eastAsia" w:ascii="宋体" w:hAnsi="宋体" w:cs="宋体"/>
                <w:snapToGrid w:val="0"/>
                <w:color w:val="auto"/>
                <w:sz w:val="21"/>
                <w:szCs w:val="21"/>
              </w:rPr>
              <w:t>（2）南宁轨道交通建设有限公司：</w:t>
            </w:r>
            <w:r>
              <w:rPr>
                <w:rFonts w:hint="eastAsia" w:ascii="宋体" w:hAnsi="宋体" w:cs="宋体"/>
                <w:snapToGrid w:val="0"/>
                <w:color w:val="auto"/>
                <w:sz w:val="21"/>
                <w:szCs w:val="21"/>
                <w:u w:val="single"/>
              </w:rPr>
              <w:t xml:space="preserve"> 201 </w:t>
            </w:r>
            <w:r>
              <w:rPr>
                <w:rFonts w:hint="eastAsia" w:ascii="宋体" w:hAnsi="宋体" w:cs="宋体"/>
                <w:snapToGrid w:val="0"/>
                <w:color w:val="auto"/>
                <w:sz w:val="21"/>
                <w:szCs w:val="21"/>
              </w:rPr>
              <w:t>人</w:t>
            </w:r>
          </w:p>
          <w:p>
            <w:pPr>
              <w:pStyle w:val="280"/>
              <w:overflowPunct w:val="0"/>
              <w:autoSpaceDE w:val="0"/>
              <w:autoSpaceDN w:val="0"/>
              <w:adjustRightInd w:val="0"/>
              <w:snapToGrid w:val="0"/>
              <w:spacing w:before="60" w:line="296" w:lineRule="auto"/>
              <w:ind w:left="420" w:hanging="420"/>
              <w:textAlignment w:val="baseline"/>
              <w:rPr>
                <w:rFonts w:ascii="宋体" w:hAnsi="宋体" w:cs="宋体"/>
                <w:snapToGrid w:val="0"/>
                <w:color w:val="auto"/>
                <w:sz w:val="21"/>
                <w:szCs w:val="21"/>
              </w:rPr>
            </w:pPr>
            <w:r>
              <w:rPr>
                <w:rFonts w:hint="eastAsia" w:ascii="宋体" w:hAnsi="宋体" w:cs="宋体"/>
                <w:snapToGrid w:val="0"/>
                <w:color w:val="auto"/>
                <w:sz w:val="21"/>
                <w:szCs w:val="21"/>
              </w:rPr>
              <w:t>（3）南宁轨道交通运营有限公司：</w:t>
            </w:r>
            <w:r>
              <w:rPr>
                <w:rFonts w:hint="eastAsia" w:ascii="宋体" w:hAnsi="宋体" w:cs="宋体"/>
                <w:snapToGrid w:val="0"/>
                <w:color w:val="auto"/>
                <w:sz w:val="21"/>
                <w:szCs w:val="21"/>
                <w:u w:val="single"/>
              </w:rPr>
              <w:t xml:space="preserve"> 7156 </w:t>
            </w:r>
            <w:r>
              <w:rPr>
                <w:rFonts w:hint="eastAsia" w:ascii="宋体" w:hAnsi="宋体" w:cs="宋体"/>
                <w:snapToGrid w:val="0"/>
                <w:color w:val="auto"/>
                <w:sz w:val="21"/>
                <w:szCs w:val="21"/>
              </w:rPr>
              <w:t>人</w:t>
            </w:r>
          </w:p>
          <w:p>
            <w:pPr>
              <w:pStyle w:val="280"/>
              <w:overflowPunct w:val="0"/>
              <w:autoSpaceDE w:val="0"/>
              <w:autoSpaceDN w:val="0"/>
              <w:adjustRightInd w:val="0"/>
              <w:snapToGrid w:val="0"/>
              <w:spacing w:before="60" w:line="296" w:lineRule="auto"/>
              <w:ind w:left="420" w:hanging="420"/>
              <w:textAlignment w:val="baseline"/>
              <w:rPr>
                <w:rFonts w:ascii="宋体" w:hAnsi="宋体" w:cs="宋体"/>
                <w:snapToGrid w:val="0"/>
                <w:color w:val="auto"/>
                <w:sz w:val="21"/>
                <w:szCs w:val="21"/>
              </w:rPr>
            </w:pPr>
            <w:r>
              <w:rPr>
                <w:rFonts w:hint="eastAsia" w:ascii="宋体" w:hAnsi="宋体" w:cs="宋体"/>
                <w:snapToGrid w:val="0"/>
                <w:color w:val="auto"/>
                <w:sz w:val="21"/>
                <w:szCs w:val="21"/>
              </w:rPr>
              <w:t>（4）南宁轨道交通集团有限责任公司资源开发分公司：</w:t>
            </w:r>
            <w:r>
              <w:rPr>
                <w:rFonts w:hint="eastAsia" w:ascii="宋体" w:hAnsi="宋体" w:cs="宋体"/>
                <w:snapToGrid w:val="0"/>
                <w:color w:val="auto"/>
                <w:sz w:val="21"/>
                <w:szCs w:val="21"/>
                <w:u w:val="single"/>
              </w:rPr>
              <w:t xml:space="preserve"> 27 </w:t>
            </w:r>
            <w:r>
              <w:rPr>
                <w:rFonts w:hint="eastAsia" w:ascii="宋体" w:hAnsi="宋体" w:cs="宋体"/>
                <w:snapToGrid w:val="0"/>
                <w:color w:val="auto"/>
                <w:sz w:val="21"/>
                <w:szCs w:val="21"/>
              </w:rPr>
              <w:t>人</w:t>
            </w:r>
          </w:p>
          <w:p>
            <w:pPr>
              <w:pStyle w:val="280"/>
              <w:overflowPunct w:val="0"/>
              <w:autoSpaceDE w:val="0"/>
              <w:autoSpaceDN w:val="0"/>
              <w:adjustRightInd w:val="0"/>
              <w:snapToGrid w:val="0"/>
              <w:spacing w:before="60" w:line="296" w:lineRule="auto"/>
              <w:ind w:left="420" w:hanging="420"/>
              <w:textAlignment w:val="baseline"/>
              <w:rPr>
                <w:rFonts w:ascii="宋体" w:hAnsi="宋体" w:cs="宋体"/>
                <w:snapToGrid w:val="0"/>
                <w:color w:val="auto"/>
                <w:sz w:val="21"/>
                <w:szCs w:val="21"/>
              </w:rPr>
            </w:pPr>
            <w:r>
              <w:rPr>
                <w:rFonts w:hint="eastAsia" w:ascii="宋体" w:hAnsi="宋体" w:cs="宋体"/>
                <w:snapToGrid w:val="0"/>
                <w:color w:val="auto"/>
                <w:sz w:val="21"/>
                <w:szCs w:val="21"/>
              </w:rPr>
              <w:t>（5）南宁铁路枢纽投资有限公司：</w:t>
            </w:r>
            <w:r>
              <w:rPr>
                <w:rFonts w:hint="eastAsia" w:ascii="宋体" w:hAnsi="宋体" w:cs="宋体"/>
                <w:snapToGrid w:val="0"/>
                <w:color w:val="auto"/>
                <w:sz w:val="21"/>
                <w:szCs w:val="21"/>
                <w:u w:val="single"/>
              </w:rPr>
              <w:t xml:space="preserve"> 8 </w:t>
            </w:r>
            <w:r>
              <w:rPr>
                <w:rFonts w:hint="eastAsia" w:ascii="宋体" w:hAnsi="宋体" w:cs="宋体"/>
                <w:snapToGrid w:val="0"/>
                <w:color w:val="auto"/>
                <w:sz w:val="21"/>
                <w:szCs w:val="21"/>
              </w:rPr>
              <w:t>人</w:t>
            </w:r>
          </w:p>
          <w:p>
            <w:pPr>
              <w:pStyle w:val="280"/>
              <w:overflowPunct w:val="0"/>
              <w:autoSpaceDE w:val="0"/>
              <w:autoSpaceDN w:val="0"/>
              <w:adjustRightInd w:val="0"/>
              <w:snapToGrid w:val="0"/>
              <w:spacing w:before="60" w:line="296" w:lineRule="auto"/>
              <w:ind w:left="420" w:hanging="420"/>
              <w:textAlignment w:val="baseline"/>
              <w:rPr>
                <w:rFonts w:hAnsi="宋体" w:cs="宋体"/>
                <w:color w:val="auto"/>
                <w:sz w:val="21"/>
                <w:szCs w:val="21"/>
              </w:rPr>
            </w:pPr>
            <w:r>
              <w:rPr>
                <w:rFonts w:hint="eastAsia" w:ascii="宋体" w:hAnsi="宋体" w:cs="宋体"/>
                <w:snapToGrid w:val="0"/>
                <w:color w:val="auto"/>
                <w:sz w:val="21"/>
                <w:szCs w:val="21"/>
              </w:rPr>
              <w:t>（6）南宁轨道城市发展有限责任公司：</w:t>
            </w:r>
            <w:r>
              <w:rPr>
                <w:rFonts w:hint="eastAsia" w:ascii="宋体" w:hAnsi="宋体" w:cs="宋体"/>
                <w:snapToGrid w:val="0"/>
                <w:color w:val="auto"/>
                <w:sz w:val="21"/>
                <w:szCs w:val="21"/>
                <w:u w:val="single"/>
              </w:rPr>
              <w:t xml:space="preserve"> 13 </w:t>
            </w:r>
            <w:r>
              <w:rPr>
                <w:rFonts w:hint="eastAsia" w:ascii="宋体" w:hAnsi="宋体" w:cs="宋体"/>
                <w:snapToGrid w:val="0"/>
                <w:color w:val="auto"/>
                <w:sz w:val="21"/>
                <w:szCs w:val="21"/>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pStyle w:val="285"/>
              <w:spacing w:before="78" w:line="296" w:lineRule="auto"/>
              <w:rPr>
                <w:rFonts w:ascii="宋体" w:hAnsi="宋体" w:eastAsia="宋体" w:cs="宋体"/>
                <w:szCs w:val="21"/>
              </w:rPr>
            </w:pPr>
            <w:r>
              <w:rPr>
                <w:rFonts w:hint="eastAsia" w:ascii="宋体" w:hAnsi="宋体" w:eastAsia="宋体" w:cs="宋体"/>
                <w:kern w:val="0"/>
                <w:szCs w:val="21"/>
              </w:rPr>
              <w:t>保险期限</w:t>
            </w:r>
          </w:p>
        </w:tc>
        <w:tc>
          <w:tcPr>
            <w:tcW w:w="7933" w:type="dxa"/>
          </w:tcPr>
          <w:p>
            <w:pPr>
              <w:pStyle w:val="280"/>
              <w:overflowPunct w:val="0"/>
              <w:autoSpaceDE w:val="0"/>
              <w:autoSpaceDN w:val="0"/>
              <w:adjustRightInd w:val="0"/>
              <w:snapToGrid w:val="0"/>
              <w:spacing w:before="60" w:line="296" w:lineRule="auto"/>
              <w:textAlignment w:val="baseline"/>
              <w:rPr>
                <w:rFonts w:hAnsi="宋体" w:cs="宋体"/>
                <w:color w:val="auto"/>
                <w:sz w:val="21"/>
                <w:szCs w:val="21"/>
              </w:rPr>
            </w:pPr>
            <w:r>
              <w:rPr>
                <w:rFonts w:hint="eastAsia" w:ascii="宋体" w:hAnsi="宋体" w:cs="宋体"/>
                <w:color w:val="auto"/>
                <w:sz w:val="21"/>
                <w:szCs w:val="21"/>
              </w:rPr>
              <w:t>南宁轨道交通集团2022-2024年度安全生产责任保险项目，共730个日历天，自中标通知书发放之日次日零时起至第730个日历天的二十四时止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pStyle w:val="285"/>
              <w:spacing w:before="78" w:line="296" w:lineRule="auto"/>
              <w:rPr>
                <w:rFonts w:ascii="宋体" w:hAnsi="宋体" w:eastAsia="宋体" w:cs="宋体"/>
                <w:szCs w:val="21"/>
              </w:rPr>
            </w:pPr>
            <w:r>
              <w:rPr>
                <w:rFonts w:hint="eastAsia" w:ascii="宋体" w:hAnsi="宋体" w:eastAsia="宋体" w:cs="宋体"/>
                <w:szCs w:val="21"/>
              </w:rPr>
              <w:t>营业性质</w:t>
            </w:r>
          </w:p>
        </w:tc>
        <w:tc>
          <w:tcPr>
            <w:tcW w:w="7933" w:type="dxa"/>
          </w:tcPr>
          <w:p>
            <w:pPr>
              <w:pStyle w:val="280"/>
              <w:widowControl w:val="0"/>
              <w:overflowPunct w:val="0"/>
              <w:autoSpaceDE w:val="0"/>
              <w:autoSpaceDN w:val="0"/>
              <w:adjustRightInd w:val="0"/>
              <w:snapToGrid w:val="0"/>
              <w:spacing w:before="60" w:line="296" w:lineRule="auto"/>
              <w:ind w:left="420" w:hanging="420"/>
              <w:textAlignment w:val="baseline"/>
              <w:rPr>
                <w:rFonts w:ascii="宋体" w:hAnsi="宋体" w:cs="宋体"/>
                <w:color w:val="auto"/>
                <w:kern w:val="2"/>
                <w:sz w:val="21"/>
                <w:szCs w:val="21"/>
              </w:rPr>
            </w:pPr>
            <w:r>
              <w:rPr>
                <w:rFonts w:hint="eastAsia" w:ascii="宋体" w:hAnsi="宋体" w:cs="宋体"/>
                <w:color w:val="auto"/>
                <w:kern w:val="2"/>
                <w:sz w:val="21"/>
                <w:szCs w:val="21"/>
              </w:rPr>
              <w:t>道路旅客运输企业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pStyle w:val="285"/>
              <w:spacing w:before="78" w:line="296" w:lineRule="auto"/>
              <w:rPr>
                <w:rFonts w:ascii="宋体" w:hAnsi="宋体" w:eastAsia="宋体" w:cs="宋体"/>
                <w:szCs w:val="21"/>
              </w:rPr>
            </w:pPr>
            <w:r>
              <w:rPr>
                <w:rFonts w:hint="eastAsia" w:ascii="宋体" w:hAnsi="宋体" w:eastAsia="宋体" w:cs="宋体"/>
                <w:szCs w:val="21"/>
              </w:rPr>
              <w:t>保险责任</w:t>
            </w:r>
          </w:p>
        </w:tc>
        <w:tc>
          <w:tcPr>
            <w:tcW w:w="7933" w:type="dxa"/>
          </w:tcPr>
          <w:p>
            <w:pPr>
              <w:pStyle w:val="285"/>
              <w:overflowPunct w:val="0"/>
              <w:autoSpaceDE w:val="0"/>
              <w:autoSpaceDN w:val="0"/>
              <w:adjustRightInd w:val="0"/>
              <w:snapToGrid w:val="0"/>
              <w:spacing w:before="78" w:line="296" w:lineRule="auto"/>
              <w:textAlignment w:val="baseline"/>
              <w:rPr>
                <w:rFonts w:ascii="宋体" w:hAnsi="宋体" w:eastAsia="宋体" w:cs="宋体"/>
                <w:kern w:val="0"/>
                <w:szCs w:val="21"/>
                <w:lang w:val="en-CA"/>
              </w:rPr>
            </w:pPr>
            <w:r>
              <w:rPr>
                <w:rFonts w:hint="eastAsia" w:ascii="宋体" w:hAnsi="宋体" w:eastAsia="宋体" w:cs="仿宋"/>
                <w:kern w:val="0"/>
                <w:szCs w:val="21"/>
              </w:rPr>
              <w:t>在保险期间内，被保险人在保险单载明场所范围内依法从事生产、经营等活动过程中发生生产安全事故或以下列明情形，导致被保险人的从业人员遭受人身损害的，依照中华人民共和国法律（不包括港澳台地区法律）应由被保险人承担的经济赔偿责任，保险人按照本保险合同的约定负责赔偿</w:t>
            </w:r>
            <w:r>
              <w:rPr>
                <w:rFonts w:hint="eastAsia" w:ascii="宋体" w:hAnsi="宋体" w:eastAsia="宋体" w:cs="宋体"/>
                <w:kern w:val="0"/>
                <w:szCs w:val="21"/>
                <w:lang w:val="en-CA"/>
              </w:rPr>
              <w:t>；</w:t>
            </w:r>
          </w:p>
          <w:p>
            <w:pPr>
              <w:pStyle w:val="285"/>
              <w:overflowPunct w:val="0"/>
              <w:autoSpaceDE w:val="0"/>
              <w:autoSpaceDN w:val="0"/>
              <w:adjustRightInd w:val="0"/>
              <w:snapToGrid w:val="0"/>
              <w:spacing w:before="78" w:line="296" w:lineRule="auto"/>
              <w:textAlignment w:val="baseline"/>
              <w:rPr>
                <w:rFonts w:ascii="宋体" w:hAnsi="宋体" w:eastAsia="宋体" w:cs="宋体"/>
                <w:kern w:val="0"/>
                <w:szCs w:val="21"/>
                <w:lang w:val="en-CA"/>
              </w:rPr>
            </w:pPr>
            <w:r>
              <w:rPr>
                <w:rFonts w:hint="eastAsia" w:ascii="宋体" w:hAnsi="宋体" w:eastAsia="宋体" w:cs="仿宋"/>
                <w:kern w:val="0"/>
                <w:szCs w:val="21"/>
              </w:rPr>
              <w:t>在保险期间内，被保险人在保险单载明场所范围内依法从事生产、经营等活动过程中，因发生生产安全事故导致第三者人身损害或财产损失，依照中华人民共和国法律（不包括港澳台地区法律）应由被保险人承担的经济赔偿责任，保险人按照本保险合同的约定负责赔偿。</w:t>
            </w:r>
          </w:p>
          <w:p>
            <w:pPr>
              <w:pStyle w:val="285"/>
              <w:overflowPunct w:val="0"/>
              <w:autoSpaceDE w:val="0"/>
              <w:autoSpaceDN w:val="0"/>
              <w:adjustRightInd w:val="0"/>
              <w:snapToGrid w:val="0"/>
              <w:spacing w:before="78" w:line="296" w:lineRule="auto"/>
              <w:textAlignment w:val="baseline"/>
              <w:rPr>
                <w:rFonts w:ascii="宋体" w:hAnsi="宋体" w:eastAsia="宋体" w:cs="宋体"/>
                <w:kern w:val="0"/>
                <w:szCs w:val="21"/>
                <w:lang w:val="en-CA"/>
              </w:rPr>
            </w:pPr>
            <w:r>
              <w:rPr>
                <w:rFonts w:hint="eastAsia" w:ascii="宋体" w:hAnsi="宋体" w:eastAsia="宋体" w:cs="宋体"/>
                <w:kern w:val="0"/>
                <w:szCs w:val="21"/>
                <w:lang w:val="en-CA"/>
              </w:rPr>
              <w:t>其他保险责任见下文“安全生产责任保险条款”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pStyle w:val="285"/>
              <w:spacing w:before="78" w:line="296" w:lineRule="auto"/>
              <w:rPr>
                <w:rFonts w:ascii="宋体" w:hAnsi="宋体" w:eastAsia="宋体" w:cs="宋体"/>
                <w:szCs w:val="21"/>
              </w:rPr>
            </w:pPr>
            <w:r>
              <w:rPr>
                <w:rFonts w:hint="eastAsia" w:ascii="宋体" w:hAnsi="宋体" w:eastAsia="宋体" w:cs="宋体"/>
                <w:szCs w:val="21"/>
              </w:rPr>
              <w:t>赔偿限额</w:t>
            </w:r>
          </w:p>
        </w:tc>
        <w:tc>
          <w:tcPr>
            <w:tcW w:w="7933" w:type="dxa"/>
          </w:tcPr>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zCs w:val="21"/>
              </w:rPr>
            </w:pPr>
            <w:r>
              <w:rPr>
                <w:rFonts w:hint="eastAsia" w:ascii="宋体" w:hAnsi="宋体" w:eastAsia="宋体" w:cs="宋体"/>
                <w:szCs w:val="21"/>
              </w:rPr>
              <w:t>每次事故每人责任限额为50万元、每次事故责任限额为500万元、累计责任限额为500万元。</w:t>
            </w:r>
          </w:p>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zCs w:val="21"/>
              </w:rPr>
            </w:pPr>
            <w:r>
              <w:rPr>
                <w:rFonts w:hint="eastAsia" w:ascii="宋体" w:hAnsi="宋体" w:eastAsia="宋体" w:cs="宋体"/>
                <w:szCs w:val="21"/>
              </w:rPr>
              <w:t>伤残死亡赔偿限额：RMB500,000.00元/人</w:t>
            </w:r>
          </w:p>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zCs w:val="21"/>
              </w:rPr>
            </w:pPr>
            <w:r>
              <w:rPr>
                <w:rFonts w:hint="eastAsia" w:ascii="宋体" w:hAnsi="宋体" w:eastAsia="宋体" w:cs="宋体"/>
                <w:szCs w:val="21"/>
              </w:rPr>
              <w:t>每次事故救援费用与医疗救护费用合计责任限额＝累计救援费用责任限额＝累计责任限额×20%；</w:t>
            </w:r>
          </w:p>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zCs w:val="21"/>
              </w:rPr>
            </w:pPr>
            <w:r>
              <w:rPr>
                <w:rFonts w:hint="eastAsia" w:ascii="宋体" w:hAnsi="宋体" w:eastAsia="宋体" w:cs="宋体"/>
                <w:szCs w:val="21"/>
              </w:rPr>
              <w:t>每次事故调查勘验费用与伤残鉴定费用合计责任限额=累计调查调查勘验费用责任限额＝累计责任限额×20%；</w:t>
            </w:r>
          </w:p>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zCs w:val="21"/>
              </w:rPr>
            </w:pPr>
            <w:r>
              <w:rPr>
                <w:rFonts w:hint="eastAsia" w:ascii="宋体" w:hAnsi="宋体" w:eastAsia="宋体" w:cs="宋体"/>
                <w:szCs w:val="21"/>
              </w:rPr>
              <w:t>每次事故法律费用责任限额＝累计法律费用责任限额＝累计责任限额×20%；</w:t>
            </w:r>
          </w:p>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zCs w:val="21"/>
              </w:rPr>
            </w:pPr>
            <w:r>
              <w:rPr>
                <w:rFonts w:hint="eastAsia" w:ascii="宋体" w:hAnsi="宋体" w:eastAsia="宋体" w:cs="宋体"/>
                <w:szCs w:val="21"/>
              </w:rPr>
              <w:t>每次事故财产损失责任限额＝累计责任限额×30%；</w:t>
            </w:r>
          </w:p>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zCs w:val="21"/>
              </w:rPr>
            </w:pPr>
            <w:r>
              <w:rPr>
                <w:rFonts w:hint="eastAsia" w:ascii="宋体" w:hAnsi="宋体" w:eastAsia="宋体" w:cs="宋体"/>
                <w:szCs w:val="21"/>
              </w:rPr>
              <w:t>每次事故每人医疗费用责任限额＝每次事故每人责任限额×30%；</w:t>
            </w:r>
          </w:p>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zCs w:val="21"/>
              </w:rPr>
            </w:pPr>
            <w:r>
              <w:rPr>
                <w:rFonts w:hint="eastAsia" w:ascii="宋体" w:hAnsi="宋体" w:eastAsia="宋体" w:cs="宋体"/>
                <w:szCs w:val="21"/>
              </w:rPr>
              <w:t>基准保费对应的每次事故每人责任限额为50万元、每次事故责任限额为 500万元、累计责任限额为500万元。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pStyle w:val="285"/>
              <w:spacing w:before="78" w:line="296" w:lineRule="auto"/>
              <w:rPr>
                <w:rFonts w:ascii="宋体" w:hAnsi="宋体" w:eastAsia="宋体" w:cs="宋体"/>
                <w:szCs w:val="21"/>
              </w:rPr>
            </w:pPr>
            <w:r>
              <w:rPr>
                <w:rFonts w:hint="eastAsia" w:ascii="宋体" w:hAnsi="宋体" w:eastAsia="宋体" w:cs="宋体"/>
                <w:szCs w:val="21"/>
                <w:lang w:val="en-GB"/>
              </w:rPr>
              <w:t>免赔额</w:t>
            </w:r>
          </w:p>
        </w:tc>
        <w:tc>
          <w:tcPr>
            <w:tcW w:w="7933" w:type="dxa"/>
          </w:tcPr>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zCs w:val="21"/>
              </w:rPr>
            </w:pPr>
            <w:r>
              <w:rPr>
                <w:rFonts w:hint="eastAsia" w:ascii="宋体" w:hAnsi="宋体" w:eastAsia="宋体" w:cs="宋体"/>
                <w:szCs w:val="21"/>
              </w:rPr>
              <w:t>每次事故财产损失责任绝对免赔额：5000元；</w:t>
            </w:r>
          </w:p>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zCs w:val="21"/>
              </w:rPr>
            </w:pPr>
            <w:r>
              <w:rPr>
                <w:rFonts w:hint="eastAsia" w:ascii="宋体" w:hAnsi="宋体" w:eastAsia="宋体" w:cs="宋体"/>
                <w:szCs w:val="21"/>
              </w:rPr>
              <w:t xml:space="preserve">从业人员伤亡责任无免赔;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pStyle w:val="285"/>
              <w:spacing w:before="78" w:line="296" w:lineRule="auto"/>
              <w:rPr>
                <w:rFonts w:ascii="宋体" w:hAnsi="宋体" w:eastAsia="宋体" w:cs="宋体"/>
                <w:szCs w:val="21"/>
              </w:rPr>
            </w:pPr>
            <w:r>
              <w:rPr>
                <w:rFonts w:hint="eastAsia" w:ascii="宋体" w:hAnsi="宋体" w:eastAsia="宋体" w:cs="宋体"/>
                <w:szCs w:val="21"/>
              </w:rPr>
              <w:t>保费计算公式</w:t>
            </w:r>
          </w:p>
        </w:tc>
        <w:tc>
          <w:tcPr>
            <w:tcW w:w="7933" w:type="dxa"/>
          </w:tcPr>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zCs w:val="21"/>
                <w:u w:val="single"/>
              </w:rPr>
            </w:pPr>
            <w:r>
              <w:rPr>
                <w:rFonts w:hint="eastAsia" w:ascii="宋体" w:hAnsi="宋体" w:eastAsia="宋体" w:cs="宋体"/>
                <w:bCs/>
                <w:szCs w:val="21"/>
              </w:rPr>
              <w:t>保费计算方式：保险费=基准保费×投保从业人员人数×费率浮动调整系数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pStyle w:val="285"/>
              <w:spacing w:before="78" w:line="296" w:lineRule="auto"/>
              <w:rPr>
                <w:rFonts w:ascii="宋体" w:hAnsi="宋体" w:eastAsia="宋体" w:cs="宋体"/>
                <w:szCs w:val="21"/>
              </w:rPr>
            </w:pPr>
            <w:r>
              <w:rPr>
                <w:rFonts w:hint="eastAsia" w:ascii="宋体" w:hAnsi="宋体" w:eastAsia="宋体" w:cs="宋体"/>
                <w:szCs w:val="21"/>
              </w:rPr>
              <w:t>保险费</w:t>
            </w:r>
          </w:p>
        </w:tc>
        <w:tc>
          <w:tcPr>
            <w:tcW w:w="7933" w:type="dxa"/>
          </w:tcPr>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napToGrid w:val="0"/>
                <w:kern w:val="0"/>
                <w:szCs w:val="21"/>
              </w:rPr>
            </w:pPr>
            <w:r>
              <w:rPr>
                <w:rFonts w:hint="eastAsia" w:ascii="宋体" w:hAnsi="宋体" w:eastAsia="宋体" w:cs="宋体"/>
                <w:snapToGrid w:val="0"/>
                <w:kern w:val="0"/>
                <w:szCs w:val="21"/>
              </w:rPr>
              <w:t>投标人投标报价金额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pStyle w:val="285"/>
              <w:keepNext/>
              <w:keepLines/>
              <w:spacing w:before="78" w:line="296" w:lineRule="auto"/>
              <w:outlineLvl w:val="2"/>
              <w:rPr>
                <w:rFonts w:asciiTheme="minorEastAsia" w:hAnsiTheme="minorEastAsia" w:eastAsiaTheme="minorEastAsia"/>
                <w:b/>
                <w:bCs/>
                <w:snapToGrid w:val="0"/>
                <w:sz w:val="32"/>
              </w:rPr>
            </w:pPr>
            <w:bookmarkStart w:id="1002" w:name="_Toc28692"/>
            <w:r>
              <w:rPr>
                <w:rFonts w:hint="eastAsia" w:cs="宋体" w:asciiTheme="minorEastAsia" w:hAnsiTheme="minorEastAsia" w:eastAsiaTheme="minorEastAsia"/>
                <w:kern w:val="0"/>
                <w:szCs w:val="21"/>
              </w:rPr>
              <w:t>保费支付</w:t>
            </w:r>
            <w:bookmarkEnd w:id="1002"/>
          </w:p>
        </w:tc>
        <w:tc>
          <w:tcPr>
            <w:tcW w:w="7933" w:type="dxa"/>
          </w:tcPr>
          <w:p>
            <w:pPr>
              <w:pStyle w:val="280"/>
              <w:spacing w:before="60" w:line="296" w:lineRule="auto"/>
              <w:rPr>
                <w:rFonts w:cs="宋体" w:asciiTheme="minorEastAsia" w:hAnsiTheme="minorEastAsia" w:eastAsiaTheme="minorEastAsia"/>
                <w:color w:val="auto"/>
                <w:szCs w:val="21"/>
              </w:rPr>
            </w:pPr>
            <w:r>
              <w:rPr>
                <w:rFonts w:hint="eastAsia" w:ascii="宋体" w:hAnsi="宋体" w:cs="宋体"/>
                <w:color w:val="auto"/>
                <w:sz w:val="21"/>
                <w:szCs w:val="21"/>
              </w:rPr>
              <w:t>保费分二期支付，招标人应在签订合同后，在收到中标人提交的书面支付申请60日内支付第一期保险费，额度为总保险费的50%；在2023年7月1日后，收到中标人提出的书面支付申请之日起30日内支付第二期保险费，额度为总保险费的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pStyle w:val="285"/>
              <w:spacing w:before="78" w:line="296" w:lineRule="auto"/>
              <w:rPr>
                <w:rFonts w:ascii="宋体" w:hAnsi="宋体" w:eastAsia="宋体" w:cs="宋体"/>
                <w:szCs w:val="21"/>
              </w:rPr>
            </w:pPr>
            <w:r>
              <w:rPr>
                <w:rFonts w:hint="eastAsia" w:ascii="宋体" w:hAnsi="宋体" w:eastAsia="宋体" w:cs="宋体"/>
                <w:szCs w:val="21"/>
              </w:rPr>
              <w:t>司法管辖</w:t>
            </w:r>
          </w:p>
        </w:tc>
        <w:tc>
          <w:tcPr>
            <w:tcW w:w="7933" w:type="dxa"/>
          </w:tcPr>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zCs w:val="21"/>
              </w:rPr>
            </w:pPr>
            <w:r>
              <w:rPr>
                <w:rFonts w:hint="eastAsia" w:ascii="宋体" w:hAnsi="宋体" w:eastAsia="宋体" w:cs="宋体"/>
                <w:szCs w:val="21"/>
              </w:rPr>
              <w:t>本保险单受中华人民共和国的司法管辖</w:t>
            </w:r>
            <w:r>
              <w:rPr>
                <w:rFonts w:hint="eastAsia" w:ascii="宋体" w:hAnsi="宋体" w:eastAsia="宋体" w:cs="宋体"/>
                <w:kern w:val="0"/>
                <w:szCs w:val="21"/>
              </w:rPr>
              <w:t>（港澳台</w:t>
            </w:r>
            <w:r>
              <w:rPr>
                <w:rFonts w:ascii="宋体" w:hAnsi="宋体" w:eastAsia="宋体" w:cs="宋体"/>
                <w:kern w:val="0"/>
                <w:szCs w:val="21"/>
              </w:rPr>
              <w:t>除外</w:t>
            </w:r>
            <w:r>
              <w:rPr>
                <w:rFonts w:hint="eastAsia" w:ascii="宋体" w:hAnsi="宋体" w:eastAsia="宋体" w:cs="宋体"/>
                <w:kern w:val="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pStyle w:val="285"/>
              <w:spacing w:before="78" w:line="296" w:lineRule="auto"/>
              <w:rPr>
                <w:rFonts w:ascii="宋体" w:hAnsi="宋体" w:eastAsia="宋体" w:cs="宋体"/>
                <w:snapToGrid w:val="0"/>
                <w:kern w:val="0"/>
                <w:szCs w:val="21"/>
              </w:rPr>
            </w:pPr>
            <w:r>
              <w:rPr>
                <w:rFonts w:hint="eastAsia" w:ascii="宋体" w:hAnsi="宋体" w:eastAsia="宋体" w:cs="宋体"/>
                <w:kern w:val="0"/>
                <w:szCs w:val="21"/>
              </w:rPr>
              <w:t>争议处理</w:t>
            </w:r>
          </w:p>
        </w:tc>
        <w:tc>
          <w:tcPr>
            <w:tcW w:w="7933" w:type="dxa"/>
          </w:tcPr>
          <w:p>
            <w:pPr>
              <w:widowControl/>
              <w:snapToGrid w:val="0"/>
              <w:spacing w:line="296" w:lineRule="auto"/>
              <w:ind w:firstLine="420"/>
              <w:rPr>
                <w:rFonts w:ascii="宋体" w:hAnsi="宋体" w:eastAsia="宋体" w:cs="宋体"/>
                <w:szCs w:val="21"/>
              </w:rPr>
            </w:pPr>
            <w:r>
              <w:rPr>
                <w:rFonts w:hint="eastAsia" w:ascii="宋体" w:hAnsi="宋体" w:eastAsia="宋体" w:cs="宋体"/>
                <w:szCs w:val="21"/>
              </w:rPr>
              <w:t>因本合同引起的或与本合同有关的合同争议，由甲乙双方协商解决，协商不成的，可向甲方所在地的人民法院提起诉讼。除非各方另有约定，诉讼语言应为汉语。</w:t>
            </w:r>
          </w:p>
          <w:p>
            <w:pPr>
              <w:adjustRightInd w:val="0"/>
              <w:spacing w:line="296" w:lineRule="auto"/>
              <w:ind w:firstLine="420" w:firstLineChars="200"/>
              <w:textAlignment w:val="baseline"/>
              <w:rPr>
                <w:rFonts w:ascii="宋体" w:hAnsi="宋体" w:eastAsia="宋体" w:cs="宋体"/>
                <w:szCs w:val="21"/>
              </w:rPr>
            </w:pPr>
            <w:r>
              <w:rPr>
                <w:rFonts w:hint="eastAsia" w:ascii="宋体" w:hAnsi="宋体" w:eastAsia="宋体" w:cs="宋体"/>
                <w:szCs w:val="21"/>
              </w:rPr>
              <w:t>1、法院判决应为最终裁决，对各方均具有约束力。</w:t>
            </w:r>
          </w:p>
          <w:p>
            <w:pPr>
              <w:adjustRightInd w:val="0"/>
              <w:spacing w:line="296" w:lineRule="auto"/>
              <w:ind w:firstLine="420" w:firstLineChars="200"/>
              <w:textAlignment w:val="baseline"/>
              <w:rPr>
                <w:rFonts w:ascii="宋体" w:hAnsi="宋体" w:eastAsia="宋体" w:cs="宋体"/>
                <w:szCs w:val="21"/>
              </w:rPr>
            </w:pPr>
            <w:r>
              <w:rPr>
                <w:rFonts w:hint="eastAsia" w:ascii="宋体" w:hAnsi="宋体" w:eastAsia="宋体" w:cs="宋体"/>
                <w:szCs w:val="21"/>
              </w:rPr>
              <w:t>2、诉讼费应由败诉方负担。</w:t>
            </w:r>
          </w:p>
          <w:p>
            <w:pPr>
              <w:adjustRightInd w:val="0"/>
              <w:spacing w:line="296" w:lineRule="auto"/>
              <w:ind w:firstLine="420" w:firstLineChars="200"/>
              <w:textAlignment w:val="baseline"/>
              <w:rPr>
                <w:rFonts w:ascii="宋体" w:hAnsi="宋体" w:eastAsia="宋体" w:cs="宋体"/>
                <w:kern w:val="0"/>
                <w:szCs w:val="21"/>
              </w:rPr>
            </w:pPr>
            <w:r>
              <w:rPr>
                <w:rFonts w:hint="eastAsia" w:ascii="宋体" w:hAnsi="宋体" w:eastAsia="宋体" w:cs="宋体"/>
                <w:szCs w:val="21"/>
              </w:rPr>
              <w:t>3、协商、调解和诉讼期间，合同应继续执行，合同各方不得以争议为由拒绝执行。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pStyle w:val="285"/>
              <w:spacing w:before="78" w:line="296" w:lineRule="auto"/>
              <w:rPr>
                <w:rFonts w:ascii="宋体" w:hAnsi="宋体" w:eastAsia="宋体" w:cs="宋体"/>
                <w:szCs w:val="21"/>
              </w:rPr>
            </w:pPr>
            <w:r>
              <w:rPr>
                <w:rFonts w:hint="eastAsia" w:ascii="宋体" w:hAnsi="宋体" w:eastAsia="宋体" w:cs="宋体"/>
                <w:szCs w:val="21"/>
              </w:rPr>
              <w:t>适用条款</w:t>
            </w:r>
          </w:p>
        </w:tc>
        <w:tc>
          <w:tcPr>
            <w:tcW w:w="7933" w:type="dxa"/>
          </w:tcPr>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zCs w:val="21"/>
              </w:rPr>
            </w:pPr>
            <w:r>
              <w:rPr>
                <w:rFonts w:hint="eastAsia" w:eastAsia="宋体"/>
                <w:szCs w:val="21"/>
              </w:rPr>
              <w:t>安全生产责任保险条款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spacing w:line="296" w:lineRule="auto"/>
              <w:rPr>
                <w:rFonts w:ascii="宋体" w:hAnsi="宋体" w:eastAsia="宋体" w:cs="宋体"/>
                <w:szCs w:val="21"/>
              </w:rPr>
            </w:pPr>
            <w:r>
              <w:rPr>
                <w:rFonts w:hint="eastAsia" w:ascii="宋体" w:hAnsi="宋体" w:eastAsia="宋体" w:cs="宋体"/>
                <w:szCs w:val="21"/>
              </w:rPr>
              <w:t>扩展条款</w:t>
            </w:r>
          </w:p>
        </w:tc>
        <w:tc>
          <w:tcPr>
            <w:tcW w:w="7933" w:type="dxa"/>
          </w:tcPr>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zCs w:val="21"/>
              </w:rPr>
            </w:pPr>
            <w:r>
              <w:rPr>
                <w:rFonts w:hint="eastAsia" w:ascii="宋体" w:hAnsi="宋体" w:eastAsia="宋体" w:cs="宋体"/>
                <w:szCs w:val="21"/>
              </w:rPr>
              <w:t>1、员工人数调整条款</w:t>
            </w:r>
          </w:p>
          <w:p>
            <w:pPr>
              <w:pStyle w:val="285"/>
              <w:spacing w:before="78" w:line="296" w:lineRule="auto"/>
              <w:rPr>
                <w:rFonts w:ascii="宋体" w:hAnsi="宋体" w:eastAsia="宋体" w:cs="宋体"/>
                <w:szCs w:val="21"/>
              </w:rPr>
            </w:pPr>
            <w:r>
              <w:rPr>
                <w:rFonts w:hint="eastAsia" w:ascii="宋体" w:hAnsi="宋体" w:eastAsia="宋体" w:cs="宋体"/>
                <w:szCs w:val="21"/>
              </w:rPr>
              <w:t>2、指定理算人条款</w:t>
            </w:r>
          </w:p>
          <w:p>
            <w:pPr>
              <w:pStyle w:val="285"/>
              <w:spacing w:before="78" w:line="296" w:lineRule="auto"/>
              <w:rPr>
                <w:rFonts w:ascii="宋体" w:hAnsi="宋体" w:eastAsia="宋体" w:cs="宋体"/>
                <w:szCs w:val="21"/>
              </w:rPr>
            </w:pPr>
            <w:r>
              <w:rPr>
                <w:rFonts w:hint="eastAsia" w:ascii="宋体" w:hAnsi="宋体" w:eastAsia="宋体" w:cs="宋体"/>
                <w:szCs w:val="21"/>
              </w:rPr>
              <w:t>3、弃权与禁止反言条款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1119" w:type="dxa"/>
            <w:vAlign w:val="center"/>
          </w:tcPr>
          <w:p>
            <w:pPr>
              <w:pStyle w:val="285"/>
              <w:spacing w:before="78" w:line="296" w:lineRule="auto"/>
              <w:rPr>
                <w:rFonts w:ascii="宋体" w:hAnsi="宋体" w:eastAsia="宋体" w:cs="宋体"/>
                <w:szCs w:val="21"/>
              </w:rPr>
            </w:pPr>
            <w:r>
              <w:rPr>
                <w:rFonts w:hint="eastAsia" w:ascii="宋体" w:hAnsi="宋体" w:eastAsia="宋体" w:cs="宋体"/>
                <w:b/>
                <w:szCs w:val="21"/>
              </w:rPr>
              <w:t>特别约定</w:t>
            </w:r>
          </w:p>
        </w:tc>
        <w:tc>
          <w:tcPr>
            <w:tcW w:w="7933" w:type="dxa"/>
          </w:tcPr>
          <w:p>
            <w:pPr>
              <w:pStyle w:val="285"/>
              <w:overflowPunct w:val="0"/>
              <w:autoSpaceDE w:val="0"/>
              <w:autoSpaceDN w:val="0"/>
              <w:adjustRightInd w:val="0"/>
              <w:snapToGrid w:val="0"/>
              <w:spacing w:before="78" w:line="296" w:lineRule="auto"/>
              <w:ind w:left="420" w:hanging="420"/>
              <w:textAlignment w:val="baseline"/>
              <w:rPr>
                <w:rFonts w:ascii="宋体" w:hAnsi="宋体" w:eastAsia="宋体" w:cs="宋体"/>
                <w:szCs w:val="21"/>
              </w:rPr>
            </w:pPr>
            <w:r>
              <w:rPr>
                <w:rFonts w:hint="eastAsia" w:ascii="宋体" w:hAnsi="宋体" w:eastAsia="宋体" w:cs="宋体"/>
                <w:szCs w:val="21"/>
              </w:rPr>
              <w:t>1、投保人应按约定交付保险费，如果在发生保险事故时，被保险人尚未支付全部保险费，在此情况下，保险人仍然承担全部保险责任，必须及时进入理赔程序，不得以投保人未及时支付保险费为由减轻承担赔偿责任。</w:t>
            </w:r>
          </w:p>
          <w:p>
            <w:pPr>
              <w:pStyle w:val="280"/>
              <w:spacing w:before="60" w:line="296" w:lineRule="auto"/>
              <w:ind w:left="418" w:hanging="417" w:hangingChars="199"/>
              <w:rPr>
                <w:rFonts w:ascii="宋体" w:hAnsi="宋体" w:cs="宋体"/>
                <w:color w:val="auto"/>
                <w:sz w:val="21"/>
                <w:szCs w:val="21"/>
              </w:rPr>
            </w:pPr>
            <w:r>
              <w:rPr>
                <w:rFonts w:hint="eastAsia" w:ascii="宋体" w:hAnsi="宋体" w:cs="宋体"/>
                <w:color w:val="auto"/>
                <w:sz w:val="21"/>
                <w:szCs w:val="21"/>
              </w:rPr>
              <w:t>2、保险人同意被保险人在投保时对员工投保人数的确定，不另列明人员清单，除应被保险人书面要求以外，保险期间投保人数不做调整。被保险人在其雇员出险时应提供与被保险人单位存在雇佣关系的相关证明（临时员工以出险时的工资册为赔偿依据）。保险人同意不会因被保险人实际雇员人数超过已投保雇员人数或被保险人雇员签订合同时间在投保合同签订后而对保险事故拒赔或比例赔付。</w:t>
            </w:r>
          </w:p>
          <w:p>
            <w:pPr>
              <w:pStyle w:val="280"/>
              <w:spacing w:before="60" w:line="296" w:lineRule="auto"/>
              <w:ind w:left="420" w:hanging="420" w:hangingChars="200"/>
              <w:rPr>
                <w:rFonts w:ascii="宋体" w:hAnsi="宋体" w:cs="宋体"/>
                <w:color w:val="auto"/>
                <w:sz w:val="21"/>
                <w:szCs w:val="21"/>
              </w:rPr>
            </w:pPr>
            <w:r>
              <w:rPr>
                <w:rFonts w:hint="eastAsia" w:ascii="宋体" w:hAnsi="宋体" w:cs="宋体"/>
                <w:color w:val="auto"/>
                <w:sz w:val="21"/>
                <w:szCs w:val="21"/>
              </w:rPr>
              <w:t>3、兹经双方同意，在本保险合同保险期间内，保险人依照约定应承担意外残疾保险金给付责任的，对应残疾程度鉴定标准以《劳动能力鉴定职工工伤与职业病致残等级》（GB/T 16180-2014）为准，保险人按照《残疾程度与保险金给付比例表》对应的给付比例给付残疾保险金。</w:t>
            </w:r>
          </w:p>
          <w:p>
            <w:pPr>
              <w:pStyle w:val="280"/>
              <w:spacing w:before="60" w:line="296" w:lineRule="auto"/>
              <w:jc w:val="center"/>
              <w:rPr>
                <w:rFonts w:ascii="宋体" w:hAnsi="宋体" w:cs="宋体"/>
                <w:color w:val="auto"/>
                <w:sz w:val="21"/>
                <w:szCs w:val="21"/>
              </w:rPr>
            </w:pPr>
          </w:p>
          <w:p>
            <w:pPr>
              <w:pStyle w:val="280"/>
              <w:spacing w:before="60" w:line="296" w:lineRule="auto"/>
              <w:jc w:val="center"/>
              <w:rPr>
                <w:rFonts w:ascii="宋体" w:hAnsi="宋体" w:cs="宋体"/>
                <w:color w:val="auto"/>
                <w:sz w:val="21"/>
                <w:szCs w:val="21"/>
              </w:rPr>
            </w:pPr>
            <w:r>
              <w:rPr>
                <w:rFonts w:hint="eastAsia" w:ascii="宋体" w:hAnsi="宋体" w:cs="宋体"/>
                <w:color w:val="auto"/>
                <w:sz w:val="21"/>
                <w:szCs w:val="21"/>
              </w:rPr>
              <w:t>残疾程度与保险金给付比例表</w:t>
            </w:r>
          </w:p>
          <w:tbl>
            <w:tblPr>
              <w:tblStyle w:val="47"/>
              <w:tblpPr w:leftFromText="180" w:rightFromText="180" w:vertAnchor="text" w:horzAnchor="margin" w:tblpXSpec="center" w:tblpY="194"/>
              <w:tblOverlap w:val="never"/>
              <w:tblW w:w="680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30" w:type="dxa"/>
                <w:bottom w:w="0" w:type="dxa"/>
                <w:right w:w="30" w:type="dxa"/>
              </w:tblCellMar>
            </w:tblPr>
            <w:tblGrid>
              <w:gridCol w:w="618"/>
              <w:gridCol w:w="618"/>
              <w:gridCol w:w="618"/>
              <w:gridCol w:w="618"/>
              <w:gridCol w:w="618"/>
              <w:gridCol w:w="619"/>
              <w:gridCol w:w="619"/>
              <w:gridCol w:w="619"/>
              <w:gridCol w:w="619"/>
              <w:gridCol w:w="619"/>
              <w:gridCol w:w="61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527" w:hRule="atLeast"/>
              </w:trPr>
              <w:tc>
                <w:tcPr>
                  <w:tcW w:w="618"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残疾程度</w:t>
                  </w:r>
                </w:p>
              </w:tc>
              <w:tc>
                <w:tcPr>
                  <w:tcW w:w="618"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一级</w:t>
                  </w:r>
                </w:p>
              </w:tc>
              <w:tc>
                <w:tcPr>
                  <w:tcW w:w="618"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二级</w:t>
                  </w:r>
                </w:p>
              </w:tc>
              <w:tc>
                <w:tcPr>
                  <w:tcW w:w="618"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三级</w:t>
                  </w:r>
                </w:p>
              </w:tc>
              <w:tc>
                <w:tcPr>
                  <w:tcW w:w="618"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四级</w:t>
                  </w:r>
                </w:p>
              </w:tc>
              <w:tc>
                <w:tcPr>
                  <w:tcW w:w="619"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五级</w:t>
                  </w:r>
                </w:p>
              </w:tc>
              <w:tc>
                <w:tcPr>
                  <w:tcW w:w="619"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六级</w:t>
                  </w:r>
                </w:p>
              </w:tc>
              <w:tc>
                <w:tcPr>
                  <w:tcW w:w="619"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七级</w:t>
                  </w:r>
                </w:p>
              </w:tc>
              <w:tc>
                <w:tcPr>
                  <w:tcW w:w="619"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八级</w:t>
                  </w:r>
                </w:p>
              </w:tc>
              <w:tc>
                <w:tcPr>
                  <w:tcW w:w="619"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九级</w:t>
                  </w:r>
                </w:p>
              </w:tc>
              <w:tc>
                <w:tcPr>
                  <w:tcW w:w="619"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十级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30" w:type="dxa"/>
                  <w:bottom w:w="0" w:type="dxa"/>
                  <w:right w:w="30" w:type="dxa"/>
                </w:tblCellMar>
              </w:tblPrEx>
              <w:trPr>
                <w:trHeight w:val="549" w:hRule="atLeast"/>
              </w:trPr>
              <w:tc>
                <w:tcPr>
                  <w:tcW w:w="618"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给付</w:t>
                  </w:r>
                </w:p>
                <w:p>
                  <w:pPr>
                    <w:pStyle w:val="280"/>
                    <w:spacing w:before="60" w:line="296" w:lineRule="auto"/>
                    <w:rPr>
                      <w:rFonts w:ascii="宋体" w:hAnsi="宋体" w:cs="宋体"/>
                      <w:color w:val="auto"/>
                      <w:sz w:val="21"/>
                      <w:szCs w:val="21"/>
                    </w:rPr>
                  </w:pPr>
                  <w:r>
                    <w:rPr>
                      <w:rFonts w:hint="eastAsia" w:ascii="宋体" w:hAnsi="宋体" w:cs="宋体"/>
                      <w:color w:val="auto"/>
                      <w:sz w:val="21"/>
                      <w:szCs w:val="21"/>
                    </w:rPr>
                    <w:t>比例</w:t>
                  </w:r>
                </w:p>
              </w:tc>
              <w:tc>
                <w:tcPr>
                  <w:tcW w:w="618"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100%</w:t>
                  </w:r>
                </w:p>
              </w:tc>
              <w:tc>
                <w:tcPr>
                  <w:tcW w:w="618"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90%</w:t>
                  </w:r>
                </w:p>
              </w:tc>
              <w:tc>
                <w:tcPr>
                  <w:tcW w:w="618"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80%</w:t>
                  </w:r>
                </w:p>
              </w:tc>
              <w:tc>
                <w:tcPr>
                  <w:tcW w:w="618"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70%</w:t>
                  </w:r>
                </w:p>
              </w:tc>
              <w:tc>
                <w:tcPr>
                  <w:tcW w:w="619"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60%</w:t>
                  </w:r>
                </w:p>
              </w:tc>
              <w:tc>
                <w:tcPr>
                  <w:tcW w:w="619"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50%</w:t>
                  </w:r>
                </w:p>
              </w:tc>
              <w:tc>
                <w:tcPr>
                  <w:tcW w:w="619"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40%</w:t>
                  </w:r>
                </w:p>
              </w:tc>
              <w:tc>
                <w:tcPr>
                  <w:tcW w:w="619"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30%</w:t>
                  </w:r>
                </w:p>
              </w:tc>
              <w:tc>
                <w:tcPr>
                  <w:tcW w:w="619"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20%</w:t>
                  </w:r>
                </w:p>
              </w:tc>
              <w:tc>
                <w:tcPr>
                  <w:tcW w:w="619" w:type="dxa"/>
                  <w:vAlign w:val="center"/>
                </w:tcPr>
                <w:p>
                  <w:pPr>
                    <w:pStyle w:val="280"/>
                    <w:spacing w:before="60" w:line="296" w:lineRule="auto"/>
                    <w:rPr>
                      <w:rFonts w:ascii="宋体" w:hAnsi="宋体" w:cs="宋体"/>
                      <w:color w:val="auto"/>
                      <w:sz w:val="21"/>
                      <w:szCs w:val="21"/>
                    </w:rPr>
                  </w:pPr>
                  <w:r>
                    <w:rPr>
                      <w:rFonts w:hint="eastAsia" w:ascii="宋体" w:hAnsi="宋体" w:cs="宋体"/>
                      <w:color w:val="auto"/>
                      <w:sz w:val="21"/>
                      <w:szCs w:val="21"/>
                    </w:rPr>
                    <w:t>10%</w:t>
                  </w:r>
                </w:p>
              </w:tc>
            </w:tr>
          </w:tbl>
          <w:p>
            <w:pPr>
              <w:pStyle w:val="280"/>
              <w:spacing w:before="120" w:beforeLines="50" w:line="296" w:lineRule="auto"/>
              <w:ind w:left="420" w:hanging="420" w:hangingChars="200"/>
              <w:rPr>
                <w:rFonts w:ascii="宋体" w:hAnsi="宋体" w:cs="宋体"/>
                <w:color w:val="auto"/>
                <w:sz w:val="21"/>
                <w:szCs w:val="21"/>
              </w:rPr>
            </w:pPr>
            <w:r>
              <w:rPr>
                <w:rFonts w:hint="eastAsia" w:ascii="宋体" w:hAnsi="宋体" w:cs="宋体"/>
                <w:color w:val="auto"/>
                <w:sz w:val="21"/>
                <w:szCs w:val="21"/>
              </w:rPr>
              <w:t>4、保险人同意，涉及伤残等级鉴定的意外事故，被保险人可任意选择具有伤残鉴定资质的鉴定机构进行伤残等级的评定，保险人不得以任何理由指定伤残评定机构并认可被保险人选定的鉴定机构出具的鉴定结果。进行伤残鉴定所产生的费用由保险人予以承担。</w:t>
            </w:r>
          </w:p>
          <w:p>
            <w:pPr>
              <w:pStyle w:val="285"/>
              <w:widowControl w:val="0"/>
              <w:overflowPunct w:val="0"/>
              <w:autoSpaceDE w:val="0"/>
              <w:autoSpaceDN w:val="0"/>
              <w:adjustRightInd w:val="0"/>
              <w:snapToGrid w:val="0"/>
              <w:spacing w:before="120" w:beforeLines="50" w:line="296" w:lineRule="auto"/>
              <w:ind w:left="420" w:hanging="420"/>
              <w:textAlignment w:val="baseline"/>
              <w:rPr>
                <w:rFonts w:ascii="宋体" w:hAnsi="宋体" w:eastAsia="宋体" w:cs="宋体"/>
                <w:szCs w:val="21"/>
              </w:rPr>
            </w:pPr>
            <w:r>
              <w:rPr>
                <w:rFonts w:hint="eastAsia" w:ascii="宋体" w:hAnsi="宋体" w:eastAsia="宋体" w:cs="宋体"/>
                <w:szCs w:val="21"/>
              </w:rPr>
              <w:t>5、兹经双方同意，被保险人如果有工伤保险或其他类似保障，本保险单的伤残和死亡赔偿责任不因此而受影响，本保险单的医疗费用赔偿责任与被保险人的工伤保险或医疗保险互为补充。</w:t>
            </w:r>
          </w:p>
        </w:tc>
      </w:tr>
    </w:tbl>
    <w:p>
      <w:pPr>
        <w:spacing w:line="296" w:lineRule="auto"/>
        <w:rPr>
          <w:rFonts w:ascii="宋体" w:hAnsi="宋体" w:eastAsia="宋体" w:cs="宋体"/>
          <w:szCs w:val="21"/>
        </w:rPr>
      </w:pPr>
    </w:p>
    <w:p>
      <w:pPr>
        <w:keepNext/>
        <w:widowControl/>
        <w:spacing w:before="120" w:after="120" w:line="296" w:lineRule="auto"/>
        <w:jc w:val="left"/>
        <w:outlineLvl w:val="1"/>
        <w:rPr>
          <w:rFonts w:ascii="宋体" w:hAnsi="宋体" w:eastAsia="宋体" w:cs="宋体"/>
          <w:b/>
          <w:bCs/>
          <w:szCs w:val="21"/>
        </w:rPr>
      </w:pPr>
      <w:r>
        <w:rPr>
          <w:rFonts w:hint="eastAsia" w:ascii="宋体" w:hAnsi="宋体" w:eastAsia="宋体" w:cs="宋体"/>
          <w:b/>
          <w:bCs/>
          <w:szCs w:val="21"/>
        </w:rPr>
        <w:br w:type="page"/>
      </w:r>
    </w:p>
    <w:bookmarkEnd w:id="1000"/>
    <w:p>
      <w:pPr>
        <w:widowControl/>
        <w:spacing w:after="120" w:afterLines="50"/>
        <w:jc w:val="center"/>
        <w:rPr>
          <w:rFonts w:ascii="宋体" w:hAnsi="宋体" w:eastAsia="宋体"/>
          <w:b/>
          <w:kern w:val="0"/>
          <w:sz w:val="28"/>
          <w:szCs w:val="28"/>
        </w:rPr>
      </w:pPr>
      <w:bookmarkStart w:id="1003" w:name="_Toc19658"/>
      <w:bookmarkStart w:id="1004" w:name="_Toc447634924"/>
      <w:r>
        <w:rPr>
          <w:rFonts w:hint="eastAsia" w:ascii="宋体" w:hAnsi="宋体" w:eastAsia="宋体"/>
          <w:b/>
          <w:kern w:val="0"/>
          <w:sz w:val="28"/>
          <w:szCs w:val="28"/>
        </w:rPr>
        <w:t>安全生产责任保险</w:t>
      </w:r>
      <w:r>
        <w:rPr>
          <w:rFonts w:ascii="宋体" w:hAnsi="宋体" w:eastAsia="宋体"/>
          <w:b/>
          <w:kern w:val="0"/>
          <w:sz w:val="28"/>
          <w:szCs w:val="28"/>
        </w:rPr>
        <w:t>条款</w:t>
      </w:r>
    </w:p>
    <w:p>
      <w:pPr>
        <w:widowControl/>
        <w:spacing w:after="120" w:afterLines="50"/>
        <w:jc w:val="center"/>
        <w:outlineLvl w:val="1"/>
        <w:rPr>
          <w:rFonts w:ascii="宋体" w:hAnsi="宋体" w:eastAsia="宋体"/>
          <w:b/>
          <w:kern w:val="0"/>
          <w:szCs w:val="21"/>
        </w:rPr>
      </w:pPr>
      <w:r>
        <w:rPr>
          <w:rFonts w:hint="eastAsia" w:ascii="宋体" w:hAnsi="宋体" w:eastAsia="宋体"/>
          <w:b/>
          <w:kern w:val="0"/>
          <w:szCs w:val="21"/>
        </w:rPr>
        <w:t>总则</w:t>
      </w:r>
    </w:p>
    <w:p>
      <w:pPr>
        <w:pStyle w:val="2"/>
        <w:rPr>
          <w:rFonts w:eastAsia="宋体"/>
        </w:rPr>
      </w:pPr>
    </w:p>
    <w:p>
      <w:pPr>
        <w:widowControl/>
        <w:numPr>
          <w:ilvl w:val="0"/>
          <w:numId w:val="47"/>
        </w:numPr>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本保险合同由保险条款、投保单、保险单以及批单组成。凡涉及本保险合同的约定，均应采用书面形式。</w:t>
      </w:r>
    </w:p>
    <w:p>
      <w:pPr>
        <w:widowControl/>
        <w:numPr>
          <w:ilvl w:val="0"/>
          <w:numId w:val="47"/>
        </w:numPr>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凡在中华人民共和国境内（不包括港、澳、台地区）依法成立并登记注册的国内道路运输、国内水路运输、城市轨道交通运输、城市公共交通运输、巡游出租汽车和网约出租汽车和</w:t>
      </w:r>
      <w:r>
        <w:rPr>
          <w:rFonts w:ascii="宋体" w:hAnsi="宋体" w:eastAsia="宋体" w:cs="仿宋"/>
          <w:kern w:val="0"/>
          <w:szCs w:val="21"/>
        </w:rPr>
        <w:t>机</w:t>
      </w:r>
      <w:r>
        <w:rPr>
          <w:rFonts w:hint="eastAsia" w:ascii="宋体" w:hAnsi="宋体" w:eastAsia="宋体" w:cs="仿宋"/>
          <w:kern w:val="0"/>
          <w:szCs w:val="21"/>
        </w:rPr>
        <w:t>场运</w:t>
      </w:r>
      <w:r>
        <w:rPr>
          <w:rFonts w:ascii="宋体" w:hAnsi="宋体" w:eastAsia="宋体" w:cs="仿宋"/>
          <w:kern w:val="0"/>
          <w:szCs w:val="21"/>
        </w:rPr>
        <w:t>营、铁路运营、公路</w:t>
      </w:r>
      <w:r>
        <w:rPr>
          <w:rFonts w:hint="eastAsia" w:ascii="宋体" w:hAnsi="宋体" w:eastAsia="宋体" w:cs="仿宋"/>
          <w:kern w:val="0"/>
          <w:szCs w:val="21"/>
        </w:rPr>
        <w:t>运营中从事生产、经营等</w:t>
      </w:r>
      <w:r>
        <w:rPr>
          <w:rFonts w:ascii="宋体" w:hAnsi="宋体" w:eastAsia="宋体" w:cs="仿宋"/>
          <w:kern w:val="0"/>
          <w:szCs w:val="21"/>
        </w:rPr>
        <w:t>运输相关业务</w:t>
      </w:r>
      <w:r>
        <w:rPr>
          <w:rFonts w:hint="eastAsia" w:ascii="宋体" w:hAnsi="宋体" w:eastAsia="宋体" w:cs="仿宋"/>
          <w:kern w:val="0"/>
          <w:szCs w:val="21"/>
        </w:rPr>
        <w:t>活动的企事业单位、个体工商户，均可作为本保险合同的投保人、被保险人。被保险人有关的其他方，也可作为本保险合同的投保人。</w:t>
      </w:r>
    </w:p>
    <w:p>
      <w:pPr>
        <w:widowControl/>
        <w:numPr>
          <w:ilvl w:val="0"/>
          <w:numId w:val="47"/>
        </w:numPr>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本保险合同由总则、从业人员责任保险、第三者责任保险、救援费用保险、调查勘验费用保险、伤残鉴定费用保险、医疗救护费用保险、法律费用保险、通用条款九个部分组成。</w:t>
      </w:r>
    </w:p>
    <w:p>
      <w:pPr>
        <w:widowControl/>
        <w:numPr>
          <w:ilvl w:val="0"/>
          <w:numId w:val="47"/>
        </w:numPr>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从业人员责任保险、第三者责任保险、救援费用保险、调查勘验费用保险、伤残鉴定费用保险、医疗救护费用保险、法律费用保险的约定适用于该部分，总则和通用条款的约定适用于整个保险合同。</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第一部分 从业人员责任保险</w:t>
      </w: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保险责任</w:t>
      </w:r>
    </w:p>
    <w:p>
      <w:pPr>
        <w:widowControl/>
        <w:numPr>
          <w:ilvl w:val="0"/>
          <w:numId w:val="47"/>
        </w:numPr>
        <w:adjustRightInd w:val="0"/>
        <w:spacing w:line="360" w:lineRule="exact"/>
        <w:ind w:firstLineChars="200"/>
        <w:jc w:val="left"/>
        <w:rPr>
          <w:rFonts w:ascii="宋体" w:hAnsi="宋体" w:eastAsia="宋体" w:cs="仿宋"/>
          <w:b/>
          <w:bCs/>
          <w:kern w:val="0"/>
          <w:szCs w:val="21"/>
        </w:rPr>
      </w:pPr>
      <w:r>
        <w:rPr>
          <w:rFonts w:hint="eastAsia" w:ascii="宋体" w:hAnsi="宋体" w:eastAsia="宋体" w:cs="仿宋"/>
          <w:kern w:val="0"/>
          <w:szCs w:val="21"/>
        </w:rPr>
        <w:t>在保险期间内，被保险人在保险单载明场所范围内依法从事生产、经营等活动过程中发生生产安全事故或以下列明情形，导致被保险人的从业人员遭受人身损害的，依照中华人民共和国法律（不包括港澳台地区法律）应由被保险人承担的经济赔偿责任，保险人按照本保险合同的约定负责赔偿:</w:t>
      </w:r>
    </w:p>
    <w:p>
      <w:pPr>
        <w:widowControl/>
        <w:tabs>
          <w:tab w:val="left" w:pos="1134"/>
        </w:tabs>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（一）在工作时间和工作场所内，因工作原因受到事故伤害的；</w:t>
      </w:r>
    </w:p>
    <w:p>
      <w:pPr>
        <w:widowControl/>
        <w:tabs>
          <w:tab w:val="left" w:pos="1134"/>
        </w:tabs>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（二）工作时间前后在工作场所内，从事与工作有关的预备性或者收尾性工作受到事故伤害的；</w:t>
      </w:r>
    </w:p>
    <w:p>
      <w:pPr>
        <w:widowControl/>
        <w:tabs>
          <w:tab w:val="left" w:pos="1134"/>
        </w:tabs>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（三）在工作时间和工作场所内，因履行工作职责受到暴力等意外伤害的；</w:t>
      </w:r>
    </w:p>
    <w:p>
      <w:pPr>
        <w:widowControl/>
        <w:tabs>
          <w:tab w:val="left" w:pos="1134"/>
        </w:tabs>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（四）在工作时间和工作岗位，突发疾病死亡或者在48小时之内经抢救无效死亡的；</w:t>
      </w:r>
    </w:p>
    <w:p>
      <w:pPr>
        <w:widowControl/>
        <w:tabs>
          <w:tab w:val="left" w:pos="1134"/>
        </w:tabs>
        <w:adjustRightInd w:val="0"/>
        <w:spacing w:line="360" w:lineRule="exact"/>
        <w:ind w:firstLine="420" w:firstLineChars="200"/>
        <w:jc w:val="left"/>
        <w:rPr>
          <w:rFonts w:ascii="宋体" w:hAnsi="宋体" w:eastAsia="宋体" w:cs="仿宋"/>
          <w:strike/>
          <w:kern w:val="0"/>
          <w:szCs w:val="21"/>
        </w:rPr>
      </w:pPr>
      <w:r>
        <w:rPr>
          <w:rFonts w:hint="eastAsia" w:ascii="宋体" w:hAnsi="宋体" w:eastAsia="宋体" w:cs="仿宋"/>
          <w:kern w:val="0"/>
          <w:szCs w:val="21"/>
        </w:rPr>
        <w:t>（五）因工外出期间，由于工作原因受到伤害或者发生事故下落不明的；</w:t>
      </w:r>
    </w:p>
    <w:p>
      <w:pPr>
        <w:widowControl/>
        <w:tabs>
          <w:tab w:val="left" w:pos="1134"/>
        </w:tabs>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（六）在上下班途中，受到非本人主要责任的交通事故或者城市轨道交通、客运轮渡、火车事故伤害的；</w:t>
      </w:r>
    </w:p>
    <w:p>
      <w:pPr>
        <w:widowControl/>
        <w:tabs>
          <w:tab w:val="left" w:pos="1134"/>
        </w:tabs>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（七）在抢险救灾等维护国家利益、公共利益活动中受到伤害的；</w:t>
      </w:r>
    </w:p>
    <w:p>
      <w:pPr>
        <w:widowControl/>
        <w:tabs>
          <w:tab w:val="left" w:pos="1134"/>
        </w:tabs>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（八）职工原在军队服役，因战、因公负伤致残，已取得革命伤残军人证，到用人单位后旧伤复发的；</w:t>
      </w:r>
    </w:p>
    <w:p>
      <w:pPr>
        <w:widowControl/>
        <w:tabs>
          <w:tab w:val="left" w:pos="1134"/>
        </w:tabs>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（九）法律、行政法规规定应当认定为工伤的其他情形。</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责任免除</w:t>
      </w:r>
    </w:p>
    <w:p>
      <w:pPr>
        <w:widowControl/>
        <w:numPr>
          <w:ilvl w:val="0"/>
          <w:numId w:val="47"/>
        </w:numPr>
        <w:adjustRightInd w:val="0"/>
        <w:spacing w:line="360" w:lineRule="exact"/>
        <w:ind w:firstLine="422" w:firstLineChars="200"/>
        <w:rPr>
          <w:rFonts w:ascii="宋体" w:hAnsi="宋体" w:eastAsia="宋体" w:cs="仿宋"/>
          <w:b/>
          <w:bCs/>
          <w:kern w:val="0"/>
          <w:szCs w:val="21"/>
        </w:rPr>
      </w:pPr>
      <w:r>
        <w:rPr>
          <w:rFonts w:hint="eastAsia" w:ascii="宋体" w:hAnsi="宋体" w:eastAsia="宋体"/>
          <w:b/>
          <w:kern w:val="0"/>
          <w:szCs w:val="21"/>
        </w:rPr>
        <w:t>下列原因造成的损失、费用和责任，保险人不负责赔偿：</w:t>
      </w:r>
    </w:p>
    <w:p>
      <w:pPr>
        <w:widowControl/>
        <w:spacing w:line="360" w:lineRule="exact"/>
        <w:ind w:firstLine="422" w:firstLineChars="200"/>
        <w:jc w:val="left"/>
        <w:rPr>
          <w:rFonts w:ascii="宋体" w:hAnsi="宋体" w:eastAsia="宋体"/>
          <w:b/>
          <w:kern w:val="0"/>
          <w:szCs w:val="21"/>
        </w:rPr>
      </w:pPr>
      <w:r>
        <w:rPr>
          <w:rFonts w:hint="eastAsia" w:ascii="宋体" w:hAnsi="宋体" w:eastAsia="宋体"/>
          <w:b/>
          <w:kern w:val="0"/>
          <w:szCs w:val="21"/>
        </w:rPr>
        <w:t>（一）</w:t>
      </w:r>
      <w:r>
        <w:rPr>
          <w:rFonts w:hint="eastAsia" w:ascii="宋体" w:hAnsi="宋体" w:eastAsia="宋体" w:cs="仿宋"/>
          <w:b/>
          <w:bCs/>
          <w:kern w:val="0"/>
          <w:szCs w:val="21"/>
        </w:rPr>
        <w:t>被保险人的</w:t>
      </w:r>
      <w:r>
        <w:rPr>
          <w:rFonts w:hint="eastAsia" w:ascii="宋体" w:hAnsi="宋体" w:eastAsia="宋体"/>
          <w:b/>
          <w:kern w:val="0"/>
          <w:szCs w:val="21"/>
        </w:rPr>
        <w:t>从业人员的故意行为、犯罪行为，或自杀、自伤、醉酒、吸毒或受精神药品影响，造成自身人身损害；</w:t>
      </w:r>
    </w:p>
    <w:p>
      <w:pPr>
        <w:widowControl/>
        <w:spacing w:line="360" w:lineRule="exact"/>
        <w:ind w:firstLine="422" w:firstLineChars="200"/>
        <w:jc w:val="left"/>
        <w:rPr>
          <w:rFonts w:ascii="宋体" w:hAnsi="宋体" w:eastAsia="宋体"/>
          <w:b/>
          <w:kern w:val="0"/>
          <w:szCs w:val="21"/>
        </w:rPr>
      </w:pPr>
      <w:r>
        <w:rPr>
          <w:rFonts w:hint="eastAsia" w:ascii="宋体" w:hAnsi="宋体" w:eastAsia="宋体"/>
          <w:b/>
          <w:kern w:val="0"/>
          <w:szCs w:val="21"/>
        </w:rPr>
        <w:t>（二）</w:t>
      </w:r>
      <w:r>
        <w:rPr>
          <w:rFonts w:hint="eastAsia" w:ascii="宋体" w:hAnsi="宋体" w:eastAsia="宋体" w:cs="仿宋"/>
          <w:b/>
          <w:bCs/>
          <w:kern w:val="0"/>
          <w:szCs w:val="21"/>
        </w:rPr>
        <w:t>被保险人的从业人员由于分娩、流产所致的人身损害；</w:t>
      </w:r>
    </w:p>
    <w:p>
      <w:pPr>
        <w:widowControl/>
        <w:spacing w:line="360" w:lineRule="exact"/>
        <w:ind w:firstLine="422" w:firstLineChars="200"/>
        <w:jc w:val="left"/>
        <w:rPr>
          <w:rFonts w:ascii="宋体" w:hAnsi="宋体" w:eastAsia="宋体"/>
          <w:b/>
          <w:kern w:val="0"/>
          <w:szCs w:val="21"/>
        </w:rPr>
      </w:pPr>
      <w:r>
        <w:rPr>
          <w:rFonts w:hint="eastAsia" w:ascii="宋体" w:hAnsi="宋体" w:eastAsia="宋体" w:cs="仿宋"/>
          <w:b/>
          <w:bCs/>
          <w:kern w:val="0"/>
          <w:szCs w:val="21"/>
        </w:rPr>
        <w:t>（三</w:t>
      </w:r>
      <w:r>
        <w:rPr>
          <w:rFonts w:ascii="宋体" w:hAnsi="宋体" w:eastAsia="宋体" w:cs="仿宋"/>
          <w:b/>
          <w:bCs/>
          <w:kern w:val="0"/>
          <w:szCs w:val="21"/>
        </w:rPr>
        <w:t>）</w:t>
      </w:r>
      <w:r>
        <w:rPr>
          <w:rFonts w:hint="eastAsia" w:ascii="宋体" w:hAnsi="宋体" w:eastAsia="宋体" w:cs="仿宋"/>
          <w:b/>
          <w:bCs/>
          <w:kern w:val="0"/>
          <w:szCs w:val="21"/>
        </w:rPr>
        <w:t>被保险人的</w:t>
      </w:r>
      <w:r>
        <w:rPr>
          <w:rFonts w:hint="eastAsia" w:ascii="宋体" w:hAnsi="宋体" w:eastAsia="宋体"/>
          <w:b/>
          <w:kern w:val="0"/>
          <w:szCs w:val="21"/>
        </w:rPr>
        <w:t>从</w:t>
      </w:r>
      <w:r>
        <w:rPr>
          <w:rFonts w:ascii="宋体" w:hAnsi="宋体" w:eastAsia="宋体"/>
          <w:b/>
          <w:kern w:val="0"/>
          <w:szCs w:val="21"/>
        </w:rPr>
        <w:t>业人员</w:t>
      </w:r>
      <w:r>
        <w:rPr>
          <w:rFonts w:hint="eastAsia" w:ascii="宋体" w:hAnsi="宋体" w:eastAsia="宋体"/>
          <w:b/>
          <w:kern w:val="0"/>
          <w:szCs w:val="21"/>
        </w:rPr>
        <w:t>由于职业病所致的人身损害；</w:t>
      </w:r>
    </w:p>
    <w:p>
      <w:pPr>
        <w:widowControl/>
        <w:spacing w:line="360" w:lineRule="exact"/>
        <w:ind w:firstLine="422" w:firstLineChars="200"/>
        <w:jc w:val="left"/>
        <w:rPr>
          <w:rFonts w:ascii="宋体" w:hAnsi="宋体" w:eastAsia="宋体"/>
          <w:b/>
          <w:kern w:val="0"/>
          <w:szCs w:val="21"/>
        </w:rPr>
      </w:pPr>
      <w:r>
        <w:rPr>
          <w:rFonts w:hint="eastAsia" w:ascii="宋体" w:hAnsi="宋体" w:eastAsia="宋体"/>
          <w:b/>
          <w:kern w:val="0"/>
          <w:szCs w:val="21"/>
        </w:rPr>
        <w:t>（四）机动车交通事故损害赔偿。</w:t>
      </w:r>
    </w:p>
    <w:p>
      <w:pPr>
        <w:widowControl/>
        <w:numPr>
          <w:ilvl w:val="0"/>
          <w:numId w:val="47"/>
        </w:numPr>
        <w:adjustRightInd w:val="0"/>
        <w:spacing w:line="360" w:lineRule="exact"/>
        <w:ind w:firstLine="422" w:firstLineChars="200"/>
        <w:jc w:val="left"/>
        <w:rPr>
          <w:rFonts w:ascii="宋体" w:hAnsi="宋体" w:eastAsia="宋体"/>
          <w:b/>
          <w:kern w:val="0"/>
          <w:szCs w:val="21"/>
        </w:rPr>
      </w:pPr>
      <w:r>
        <w:rPr>
          <w:rFonts w:hint="eastAsia" w:ascii="宋体" w:hAnsi="宋体" w:eastAsia="宋体" w:cs="仿宋"/>
          <w:b/>
          <w:bCs/>
          <w:kern w:val="0"/>
          <w:szCs w:val="21"/>
        </w:rPr>
        <w:t>被保险人的</w:t>
      </w:r>
      <w:r>
        <w:rPr>
          <w:rFonts w:hint="eastAsia" w:ascii="宋体" w:hAnsi="宋体" w:eastAsia="宋体"/>
          <w:b/>
          <w:kern w:val="0"/>
          <w:szCs w:val="21"/>
        </w:rPr>
        <w:t>从业人员的财产损失，保险人不负责赔偿。</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责任限额</w:t>
      </w:r>
    </w:p>
    <w:p>
      <w:pPr>
        <w:widowControl/>
        <w:numPr>
          <w:ilvl w:val="0"/>
          <w:numId w:val="47"/>
        </w:numPr>
        <w:adjustRightInd w:val="0"/>
        <w:spacing w:line="360" w:lineRule="exact"/>
        <w:ind w:firstLine="422" w:firstLineChars="200"/>
        <w:jc w:val="left"/>
        <w:rPr>
          <w:rFonts w:ascii="宋体" w:hAnsi="宋体" w:eastAsia="宋体" w:cs="仿宋"/>
          <w:b/>
          <w:kern w:val="0"/>
          <w:szCs w:val="21"/>
        </w:rPr>
      </w:pPr>
      <w:r>
        <w:rPr>
          <w:rFonts w:hint="eastAsia" w:ascii="宋体" w:hAnsi="宋体" w:eastAsia="宋体" w:cs="仿宋"/>
          <w:b/>
          <w:kern w:val="0"/>
          <w:szCs w:val="21"/>
        </w:rPr>
        <w:t>除另有约定外，从业人员责任保险部分的责任限额包括从业人员每次事故每人伤亡责任限额、从业人员每次事故每人医疗费用责任限额。</w:t>
      </w:r>
    </w:p>
    <w:p>
      <w:pPr>
        <w:widowControl/>
        <w:tabs>
          <w:tab w:val="left" w:pos="1134"/>
        </w:tabs>
        <w:adjustRightInd w:val="0"/>
        <w:spacing w:line="360" w:lineRule="exact"/>
        <w:ind w:firstLine="420" w:firstLineChars="200"/>
        <w:jc w:val="left"/>
        <w:rPr>
          <w:rFonts w:ascii="宋体" w:hAnsi="宋体" w:eastAsia="宋体" w:cs="仿宋"/>
          <w:bCs/>
          <w:kern w:val="0"/>
          <w:szCs w:val="21"/>
        </w:rPr>
      </w:pPr>
      <w:r>
        <w:rPr>
          <w:rFonts w:hint="eastAsia" w:ascii="宋体" w:hAnsi="宋体" w:eastAsia="宋体" w:cs="仿宋"/>
          <w:bCs/>
          <w:kern w:val="0"/>
          <w:szCs w:val="21"/>
        </w:rPr>
        <w:t>各项责任限额由投保人和保险人协商确定，并在保险单中载明。</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第二部分 第三者责任保险</w:t>
      </w: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保险责任</w:t>
      </w:r>
    </w:p>
    <w:p>
      <w:pPr>
        <w:widowControl/>
        <w:numPr>
          <w:ilvl w:val="0"/>
          <w:numId w:val="47"/>
        </w:numPr>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在保险期间内，被保险人在保险单载明场所范围内依法从事生产、经营等活动过程中，因发生生产安全事故导致第三者人身损害或财产损失，依照中华人民共和国法律（不包括港澳台地区法律）应由被保险人承担的经济赔偿责任，保险人按照本保险合同的约定负责赔偿。</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责任免除</w:t>
      </w:r>
    </w:p>
    <w:p>
      <w:pPr>
        <w:widowControl/>
        <w:numPr>
          <w:ilvl w:val="0"/>
          <w:numId w:val="47"/>
        </w:numPr>
        <w:spacing w:line="360" w:lineRule="exact"/>
        <w:ind w:firstLine="422" w:firstLineChars="200"/>
        <w:rPr>
          <w:rFonts w:ascii="宋体" w:hAnsi="宋体" w:eastAsia="宋体"/>
          <w:b/>
          <w:kern w:val="0"/>
          <w:szCs w:val="21"/>
        </w:rPr>
      </w:pPr>
      <w:r>
        <w:rPr>
          <w:rFonts w:hint="eastAsia" w:ascii="宋体" w:hAnsi="宋体" w:eastAsia="宋体"/>
          <w:b/>
          <w:kern w:val="0"/>
          <w:szCs w:val="21"/>
        </w:rPr>
        <w:t>下列原因造成的损失、费用和责任，保险人不负责赔偿：</w:t>
      </w:r>
    </w:p>
    <w:p>
      <w:pPr>
        <w:widowControl/>
        <w:spacing w:line="360" w:lineRule="exact"/>
        <w:ind w:firstLine="422" w:firstLineChars="200"/>
        <w:jc w:val="left"/>
        <w:rPr>
          <w:rFonts w:ascii="宋体" w:hAnsi="宋体" w:eastAsia="宋体"/>
          <w:b/>
          <w:kern w:val="0"/>
          <w:szCs w:val="21"/>
        </w:rPr>
      </w:pPr>
      <w:r>
        <w:rPr>
          <w:rFonts w:hint="eastAsia" w:ascii="宋体" w:hAnsi="宋体" w:eastAsia="宋体"/>
          <w:b/>
          <w:kern w:val="0"/>
          <w:szCs w:val="21"/>
        </w:rPr>
        <w:t>（一）被保险人及其代表的故意行为；</w:t>
      </w:r>
    </w:p>
    <w:p>
      <w:pPr>
        <w:widowControl/>
        <w:spacing w:line="360" w:lineRule="exact"/>
        <w:ind w:firstLine="422" w:firstLineChars="200"/>
        <w:jc w:val="left"/>
        <w:rPr>
          <w:rFonts w:ascii="宋体" w:hAnsi="宋体" w:eastAsia="宋体"/>
          <w:b/>
          <w:kern w:val="0"/>
          <w:szCs w:val="21"/>
        </w:rPr>
      </w:pPr>
      <w:r>
        <w:rPr>
          <w:rFonts w:hint="eastAsia" w:ascii="宋体" w:hAnsi="宋体" w:eastAsia="宋体"/>
          <w:b/>
          <w:kern w:val="0"/>
          <w:szCs w:val="21"/>
        </w:rPr>
        <w:t>（二）盗窃、抢劫；</w:t>
      </w:r>
    </w:p>
    <w:p>
      <w:pPr>
        <w:widowControl/>
        <w:spacing w:line="360" w:lineRule="exact"/>
        <w:ind w:firstLine="422" w:firstLineChars="200"/>
        <w:jc w:val="left"/>
        <w:rPr>
          <w:rFonts w:ascii="宋体" w:hAnsi="宋体" w:eastAsia="宋体"/>
          <w:b/>
          <w:kern w:val="0"/>
          <w:szCs w:val="21"/>
        </w:rPr>
      </w:pPr>
      <w:r>
        <w:rPr>
          <w:rFonts w:hint="eastAsia" w:ascii="宋体" w:hAnsi="宋体" w:eastAsia="宋体"/>
          <w:b/>
          <w:kern w:val="0"/>
          <w:szCs w:val="21"/>
        </w:rPr>
        <w:t>（三）地</w:t>
      </w:r>
      <w:r>
        <w:rPr>
          <w:rFonts w:ascii="宋体" w:hAnsi="宋体" w:eastAsia="宋体"/>
          <w:b/>
          <w:kern w:val="0"/>
          <w:szCs w:val="21"/>
        </w:rPr>
        <w:t>震、</w:t>
      </w:r>
      <w:r>
        <w:rPr>
          <w:rFonts w:hint="eastAsia" w:ascii="宋体" w:hAnsi="宋体" w:eastAsia="宋体"/>
          <w:b/>
          <w:kern w:val="0"/>
          <w:szCs w:val="21"/>
        </w:rPr>
        <w:t>海啸、火山爆发、地下火；</w:t>
      </w:r>
    </w:p>
    <w:p>
      <w:pPr>
        <w:widowControl/>
        <w:spacing w:line="360" w:lineRule="exact"/>
        <w:ind w:firstLine="422" w:firstLineChars="200"/>
        <w:jc w:val="left"/>
        <w:rPr>
          <w:rFonts w:ascii="宋体" w:hAnsi="宋体" w:eastAsia="宋体"/>
          <w:b/>
          <w:kern w:val="0"/>
          <w:szCs w:val="21"/>
        </w:rPr>
      </w:pPr>
      <w:r>
        <w:rPr>
          <w:rFonts w:hint="eastAsia" w:ascii="宋体" w:hAnsi="宋体" w:eastAsia="宋体"/>
          <w:b/>
          <w:kern w:val="0"/>
          <w:szCs w:val="21"/>
        </w:rPr>
        <w:t>（四）烟熏、大气、土地、水污染及其他污染；</w:t>
      </w:r>
    </w:p>
    <w:p>
      <w:pPr>
        <w:widowControl/>
        <w:spacing w:line="360" w:lineRule="exact"/>
        <w:ind w:firstLine="422" w:firstLineChars="200"/>
        <w:jc w:val="left"/>
        <w:rPr>
          <w:rFonts w:ascii="宋体" w:hAnsi="宋体" w:eastAsia="宋体"/>
          <w:b/>
          <w:kern w:val="0"/>
          <w:szCs w:val="21"/>
        </w:rPr>
      </w:pPr>
      <w:r>
        <w:rPr>
          <w:rFonts w:hint="eastAsia" w:ascii="宋体" w:hAnsi="宋体" w:eastAsia="宋体"/>
          <w:b/>
          <w:kern w:val="0"/>
          <w:szCs w:val="21"/>
        </w:rPr>
        <w:t>（五）核反应、核子辐射和放射性污染。</w:t>
      </w:r>
    </w:p>
    <w:p>
      <w:pPr>
        <w:widowControl/>
        <w:numPr>
          <w:ilvl w:val="0"/>
          <w:numId w:val="47"/>
        </w:numPr>
        <w:spacing w:line="360" w:lineRule="exact"/>
        <w:ind w:firstLine="422" w:firstLineChars="200"/>
        <w:rPr>
          <w:rFonts w:ascii="宋体" w:hAnsi="宋体" w:eastAsia="宋体"/>
          <w:b/>
          <w:kern w:val="0"/>
          <w:szCs w:val="21"/>
        </w:rPr>
      </w:pPr>
      <w:r>
        <w:rPr>
          <w:rFonts w:hint="eastAsia" w:ascii="宋体" w:hAnsi="宋体" w:eastAsia="宋体"/>
          <w:b/>
          <w:kern w:val="0"/>
          <w:szCs w:val="21"/>
        </w:rPr>
        <w:t>下列损失、费用和责任，保险人不负责赔偿：</w:t>
      </w:r>
    </w:p>
    <w:p>
      <w:pPr>
        <w:widowControl/>
        <w:spacing w:line="360" w:lineRule="exact"/>
        <w:ind w:firstLine="422" w:firstLineChars="200"/>
        <w:jc w:val="left"/>
        <w:rPr>
          <w:rFonts w:ascii="宋体" w:hAnsi="宋体" w:eastAsia="宋体"/>
          <w:b/>
          <w:kern w:val="0"/>
          <w:szCs w:val="21"/>
        </w:rPr>
      </w:pPr>
      <w:r>
        <w:rPr>
          <w:rFonts w:hint="eastAsia" w:ascii="宋体" w:hAnsi="宋体" w:eastAsia="宋体"/>
          <w:b/>
          <w:kern w:val="0"/>
          <w:szCs w:val="21"/>
        </w:rPr>
        <w:t>（一）被保险人或其从业人员所有的或由其保管或控制的财产的损失、费用和责任；</w:t>
      </w:r>
    </w:p>
    <w:p>
      <w:pPr>
        <w:widowControl/>
        <w:spacing w:line="360" w:lineRule="exact"/>
        <w:ind w:firstLine="422" w:firstLineChars="200"/>
        <w:jc w:val="left"/>
        <w:rPr>
          <w:rFonts w:ascii="宋体" w:hAnsi="宋体" w:eastAsia="宋体"/>
          <w:b/>
          <w:kern w:val="0"/>
          <w:szCs w:val="21"/>
        </w:rPr>
      </w:pPr>
      <w:r>
        <w:rPr>
          <w:rFonts w:hint="eastAsia" w:ascii="宋体" w:hAnsi="宋体" w:eastAsia="宋体"/>
          <w:b/>
          <w:kern w:val="0"/>
          <w:szCs w:val="21"/>
        </w:rPr>
        <w:t>（二）被保险人根据与他人签订的协议应承担的责任，但即使没有这种协议，被保险人依法仍应承担的责任不在此限；</w:t>
      </w:r>
    </w:p>
    <w:p>
      <w:pPr>
        <w:widowControl/>
        <w:spacing w:line="360" w:lineRule="exact"/>
        <w:ind w:firstLine="422" w:firstLineChars="200"/>
        <w:jc w:val="left"/>
        <w:rPr>
          <w:rFonts w:ascii="宋体" w:hAnsi="宋体" w:eastAsia="宋体"/>
          <w:b/>
          <w:kern w:val="0"/>
          <w:szCs w:val="21"/>
        </w:rPr>
      </w:pPr>
      <w:r>
        <w:rPr>
          <w:rFonts w:hint="eastAsia" w:ascii="宋体" w:hAnsi="宋体" w:eastAsia="宋体"/>
          <w:b/>
          <w:kern w:val="0"/>
          <w:szCs w:val="21"/>
        </w:rPr>
        <w:t>（三）机动车辆、</w:t>
      </w:r>
      <w:r>
        <w:rPr>
          <w:rFonts w:ascii="宋体" w:hAnsi="宋体" w:eastAsia="宋体"/>
          <w:b/>
          <w:kern w:val="0"/>
          <w:szCs w:val="21"/>
        </w:rPr>
        <w:t>船舶、</w:t>
      </w:r>
      <w:r>
        <w:rPr>
          <w:rFonts w:hint="eastAsia" w:ascii="宋体" w:hAnsi="宋体" w:eastAsia="宋体"/>
          <w:b/>
          <w:kern w:val="0"/>
          <w:szCs w:val="21"/>
        </w:rPr>
        <w:t>飞</w:t>
      </w:r>
      <w:r>
        <w:rPr>
          <w:rFonts w:ascii="宋体" w:hAnsi="宋体" w:eastAsia="宋体"/>
          <w:b/>
          <w:kern w:val="0"/>
          <w:szCs w:val="21"/>
        </w:rPr>
        <w:t>机</w:t>
      </w:r>
      <w:r>
        <w:rPr>
          <w:rFonts w:hint="eastAsia" w:ascii="宋体" w:hAnsi="宋体" w:eastAsia="宋体"/>
          <w:b/>
          <w:kern w:val="0"/>
          <w:szCs w:val="21"/>
        </w:rPr>
        <w:t>造成的任何损失、费用和责任；</w:t>
      </w:r>
    </w:p>
    <w:p>
      <w:pPr>
        <w:widowControl/>
        <w:spacing w:line="360" w:lineRule="exact"/>
        <w:ind w:firstLine="422" w:firstLineChars="200"/>
        <w:jc w:val="left"/>
        <w:rPr>
          <w:rFonts w:ascii="宋体" w:hAnsi="宋体" w:eastAsia="宋体"/>
          <w:b/>
          <w:kern w:val="0"/>
          <w:szCs w:val="21"/>
        </w:rPr>
      </w:pPr>
      <w:r>
        <w:rPr>
          <w:rFonts w:hint="eastAsia" w:ascii="宋体" w:hAnsi="宋体" w:eastAsia="宋体"/>
          <w:b/>
          <w:kern w:val="0"/>
          <w:szCs w:val="21"/>
        </w:rPr>
        <w:t>（四</w:t>
      </w:r>
      <w:r>
        <w:rPr>
          <w:rFonts w:ascii="宋体" w:hAnsi="宋体" w:eastAsia="宋体"/>
          <w:b/>
          <w:kern w:val="0"/>
          <w:szCs w:val="21"/>
        </w:rPr>
        <w:t>）</w:t>
      </w:r>
      <w:r>
        <w:rPr>
          <w:rFonts w:hint="eastAsia" w:ascii="宋体" w:hAnsi="宋体" w:eastAsia="宋体"/>
          <w:b/>
          <w:kern w:val="0"/>
          <w:szCs w:val="21"/>
        </w:rPr>
        <w:t>属于被保险人所有、占有或以其名义使用的任何牲畜、车辆、火车头、船舶、飞机、升降机、起重机、吊车或其他升降装置（不</w:t>
      </w:r>
      <w:r>
        <w:rPr>
          <w:rFonts w:ascii="宋体" w:hAnsi="宋体" w:eastAsia="宋体"/>
          <w:b/>
          <w:kern w:val="0"/>
          <w:szCs w:val="21"/>
        </w:rPr>
        <w:t>含</w:t>
      </w:r>
      <w:r>
        <w:rPr>
          <w:rFonts w:hint="eastAsia" w:ascii="宋体" w:hAnsi="宋体" w:eastAsia="宋体"/>
          <w:b/>
          <w:kern w:val="0"/>
          <w:szCs w:val="21"/>
        </w:rPr>
        <w:t>载</w:t>
      </w:r>
      <w:r>
        <w:rPr>
          <w:rFonts w:ascii="宋体" w:hAnsi="宋体" w:eastAsia="宋体"/>
          <w:b/>
          <w:kern w:val="0"/>
          <w:szCs w:val="21"/>
        </w:rPr>
        <w:t>人</w:t>
      </w:r>
      <w:r>
        <w:rPr>
          <w:rFonts w:hint="eastAsia" w:ascii="宋体" w:hAnsi="宋体" w:eastAsia="宋体"/>
          <w:b/>
          <w:kern w:val="0"/>
          <w:szCs w:val="21"/>
        </w:rPr>
        <w:t>电梯、自动扶梯</w:t>
      </w:r>
      <w:r>
        <w:rPr>
          <w:rFonts w:ascii="宋体" w:hAnsi="宋体" w:eastAsia="宋体"/>
          <w:b/>
          <w:kern w:val="0"/>
          <w:szCs w:val="21"/>
        </w:rPr>
        <w:t>）</w:t>
      </w:r>
      <w:r>
        <w:rPr>
          <w:rFonts w:hint="eastAsia" w:ascii="宋体" w:hAnsi="宋体" w:eastAsia="宋体"/>
          <w:b/>
          <w:kern w:val="0"/>
          <w:szCs w:val="21"/>
        </w:rPr>
        <w:t>造成的损失、费用和责任；</w:t>
      </w:r>
    </w:p>
    <w:p>
      <w:pPr>
        <w:widowControl/>
        <w:spacing w:line="360" w:lineRule="exact"/>
        <w:ind w:firstLine="422" w:firstLineChars="200"/>
        <w:jc w:val="left"/>
        <w:rPr>
          <w:rFonts w:ascii="宋体" w:hAnsi="宋体" w:eastAsia="宋体"/>
          <w:b/>
          <w:kern w:val="0"/>
          <w:szCs w:val="21"/>
        </w:rPr>
      </w:pPr>
      <w:r>
        <w:rPr>
          <w:rFonts w:hint="eastAsia" w:ascii="宋体" w:hAnsi="宋体" w:eastAsia="宋体"/>
          <w:b/>
          <w:kern w:val="0"/>
          <w:szCs w:val="21"/>
        </w:rPr>
        <w:t>（五）被保险人或其从业人员因从事医师、律师、会计师、设计师、建筑师、美容师或其他专门职业所发生的赔偿责任；</w:t>
      </w:r>
    </w:p>
    <w:p>
      <w:pPr>
        <w:widowControl/>
        <w:spacing w:line="360" w:lineRule="exact"/>
        <w:ind w:firstLine="422" w:firstLineChars="200"/>
        <w:jc w:val="left"/>
        <w:rPr>
          <w:rFonts w:ascii="宋体" w:hAnsi="宋体" w:eastAsia="宋体"/>
          <w:b/>
          <w:kern w:val="0"/>
          <w:szCs w:val="21"/>
        </w:rPr>
      </w:pPr>
      <w:r>
        <w:rPr>
          <w:rFonts w:hint="eastAsia" w:ascii="宋体" w:hAnsi="宋体" w:eastAsia="宋体"/>
          <w:b/>
          <w:kern w:val="0"/>
          <w:szCs w:val="21"/>
        </w:rPr>
        <w:t>（六）被保险人售出的商品存在缺陷造成他人的任何损害；但食物、饮料不在此限；</w:t>
      </w:r>
    </w:p>
    <w:p>
      <w:pPr>
        <w:widowControl/>
        <w:spacing w:line="360" w:lineRule="exact"/>
        <w:ind w:firstLine="422" w:firstLineChars="200"/>
        <w:jc w:val="left"/>
        <w:rPr>
          <w:rFonts w:ascii="宋体" w:hAnsi="宋体" w:eastAsia="宋体"/>
          <w:b/>
          <w:kern w:val="0"/>
          <w:szCs w:val="21"/>
        </w:rPr>
      </w:pPr>
      <w:r>
        <w:rPr>
          <w:rFonts w:hint="eastAsia" w:ascii="宋体" w:hAnsi="宋体" w:eastAsia="宋体"/>
          <w:b/>
          <w:kern w:val="0"/>
          <w:szCs w:val="21"/>
        </w:rPr>
        <w:t>（七</w:t>
      </w:r>
      <w:r>
        <w:rPr>
          <w:rFonts w:ascii="宋体" w:hAnsi="宋体" w:eastAsia="宋体"/>
          <w:b/>
          <w:kern w:val="0"/>
          <w:szCs w:val="21"/>
        </w:rPr>
        <w:t>）</w:t>
      </w:r>
      <w:r>
        <w:rPr>
          <w:rFonts w:hint="eastAsia" w:ascii="宋体" w:hAnsi="宋体" w:eastAsia="宋体"/>
          <w:b/>
          <w:kern w:val="0"/>
          <w:szCs w:val="21"/>
        </w:rPr>
        <w:t>按国家有关规定应当进行消防验收的工程、场所或设备，但未经有关监管部门验收或验收不合格，其发生火灾、爆炸事故造成的</w:t>
      </w:r>
      <w:r>
        <w:rPr>
          <w:rFonts w:ascii="宋体" w:hAnsi="宋体" w:eastAsia="宋体"/>
          <w:b/>
          <w:kern w:val="0"/>
          <w:szCs w:val="21"/>
        </w:rPr>
        <w:t>损失</w:t>
      </w:r>
      <w:r>
        <w:rPr>
          <w:rFonts w:hint="eastAsia" w:ascii="宋体" w:hAnsi="宋体" w:eastAsia="宋体"/>
          <w:b/>
          <w:kern w:val="0"/>
          <w:szCs w:val="21"/>
        </w:rPr>
        <w:t>、费用和责任。</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责任限额与</w:t>
      </w:r>
      <w:r>
        <w:rPr>
          <w:rFonts w:ascii="宋体" w:hAnsi="宋体" w:eastAsia="宋体"/>
          <w:b/>
          <w:kern w:val="0"/>
          <w:szCs w:val="21"/>
        </w:rPr>
        <w:t>免赔额（</w:t>
      </w:r>
      <w:r>
        <w:rPr>
          <w:rFonts w:hint="eastAsia" w:ascii="宋体" w:hAnsi="宋体" w:eastAsia="宋体"/>
          <w:b/>
          <w:kern w:val="0"/>
          <w:szCs w:val="21"/>
        </w:rPr>
        <w:t>率</w:t>
      </w:r>
      <w:r>
        <w:rPr>
          <w:rFonts w:ascii="宋体" w:hAnsi="宋体" w:eastAsia="宋体"/>
          <w:b/>
          <w:kern w:val="0"/>
          <w:szCs w:val="21"/>
        </w:rPr>
        <w:t>）</w:t>
      </w:r>
    </w:p>
    <w:p>
      <w:pPr>
        <w:widowControl/>
        <w:numPr>
          <w:ilvl w:val="0"/>
          <w:numId w:val="47"/>
        </w:numPr>
        <w:adjustRightInd w:val="0"/>
        <w:spacing w:line="360" w:lineRule="exact"/>
        <w:ind w:firstLine="422" w:firstLineChars="200"/>
        <w:jc w:val="left"/>
        <w:rPr>
          <w:rFonts w:ascii="宋体" w:hAnsi="宋体" w:eastAsia="宋体" w:cs="仿宋"/>
          <w:b/>
          <w:kern w:val="0"/>
          <w:szCs w:val="21"/>
        </w:rPr>
      </w:pPr>
      <w:r>
        <w:rPr>
          <w:rFonts w:hint="eastAsia" w:ascii="宋体" w:hAnsi="宋体" w:eastAsia="宋体" w:cs="仿宋"/>
          <w:b/>
          <w:kern w:val="0"/>
          <w:szCs w:val="21"/>
        </w:rPr>
        <w:t>除另有约定外，第三者责任保险的责任限额包括第三者每次事故每人伤亡责任限额、第三者每次事故每人医疗费用责任限额、第三者</w:t>
      </w:r>
      <w:r>
        <w:rPr>
          <w:rFonts w:ascii="宋体" w:hAnsi="宋体" w:eastAsia="宋体" w:cs="仿宋"/>
          <w:b/>
          <w:kern w:val="0"/>
          <w:szCs w:val="21"/>
        </w:rPr>
        <w:t>每次事故财产损失责任限额</w:t>
      </w:r>
      <w:r>
        <w:rPr>
          <w:rFonts w:hint="eastAsia" w:ascii="宋体" w:hAnsi="宋体" w:eastAsia="宋体" w:cs="仿宋"/>
          <w:b/>
          <w:kern w:val="0"/>
          <w:szCs w:val="21"/>
        </w:rPr>
        <w:t>。</w:t>
      </w:r>
    </w:p>
    <w:p>
      <w:pPr>
        <w:widowControl/>
        <w:tabs>
          <w:tab w:val="left" w:pos="1134"/>
        </w:tabs>
        <w:adjustRightInd w:val="0"/>
        <w:spacing w:line="360" w:lineRule="exact"/>
        <w:ind w:firstLine="420" w:firstLineChars="200"/>
        <w:jc w:val="left"/>
        <w:rPr>
          <w:rFonts w:ascii="宋体" w:hAnsi="宋体" w:eastAsia="宋体" w:cs="仿宋"/>
          <w:bCs/>
          <w:kern w:val="0"/>
          <w:szCs w:val="21"/>
        </w:rPr>
      </w:pPr>
      <w:r>
        <w:rPr>
          <w:rFonts w:hint="eastAsia" w:ascii="宋体" w:hAnsi="宋体" w:eastAsia="宋体" w:cs="仿宋"/>
          <w:bCs/>
          <w:kern w:val="0"/>
          <w:szCs w:val="21"/>
        </w:rPr>
        <w:t>各项责任限额由投保人和保险人协商确定，并在保险单中载明。</w:t>
      </w:r>
    </w:p>
    <w:p>
      <w:pPr>
        <w:widowControl/>
        <w:numPr>
          <w:ilvl w:val="0"/>
          <w:numId w:val="47"/>
        </w:numPr>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每次事故第</w:t>
      </w:r>
      <w:r>
        <w:rPr>
          <w:rFonts w:ascii="宋体" w:hAnsi="宋体" w:eastAsia="宋体" w:cs="仿宋"/>
          <w:b/>
          <w:bCs/>
          <w:kern w:val="0"/>
          <w:szCs w:val="21"/>
        </w:rPr>
        <w:t>三者责任</w:t>
      </w:r>
      <w:r>
        <w:rPr>
          <w:rFonts w:hint="eastAsia" w:ascii="宋体" w:hAnsi="宋体" w:eastAsia="宋体" w:cs="仿宋"/>
          <w:b/>
          <w:bCs/>
          <w:kern w:val="0"/>
          <w:szCs w:val="21"/>
        </w:rPr>
        <w:t>保险</w:t>
      </w:r>
      <w:r>
        <w:rPr>
          <w:rFonts w:ascii="宋体" w:hAnsi="宋体" w:eastAsia="宋体" w:cs="仿宋"/>
          <w:b/>
          <w:bCs/>
          <w:kern w:val="0"/>
          <w:szCs w:val="21"/>
        </w:rPr>
        <w:t>的</w:t>
      </w:r>
      <w:r>
        <w:rPr>
          <w:rFonts w:hint="eastAsia" w:ascii="宋体" w:hAnsi="宋体" w:eastAsia="宋体" w:cs="仿宋"/>
          <w:b/>
          <w:bCs/>
          <w:kern w:val="0"/>
          <w:szCs w:val="21"/>
        </w:rPr>
        <w:t>免赔额（率）由投保人与保险人在签订保险合同时协商确定，并在保险单中载明。</w:t>
      </w:r>
    </w:p>
    <w:p>
      <w:pPr>
        <w:widowControl/>
        <w:tabs>
          <w:tab w:val="left" w:pos="1134"/>
        </w:tabs>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同时约定了免赔额和免赔率的，免赔金额以免赔额和按照免赔率计算的金额二者高者为准。</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第三部分 救援费用保险</w:t>
      </w: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保险责任</w:t>
      </w:r>
    </w:p>
    <w:p>
      <w:pPr>
        <w:widowControl/>
        <w:numPr>
          <w:ilvl w:val="0"/>
          <w:numId w:val="47"/>
        </w:numPr>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在保险期间内，被保险人在保险单载明的地点范围内依法从事生产、经营等活动过程中，因发生生产安全事故，导致从业人员、第三者发生人身损害，对于依照中华人民共和国法律（不包括港澳台地区法律）应由被保险人负担的因采取紧急抢险救援措施而支出的下列必要、合理的救援费用，保险人按照本保险合同约定负责赔偿：</w:t>
      </w:r>
    </w:p>
    <w:p>
      <w:pPr>
        <w:widowControl/>
        <w:spacing w:line="360" w:lineRule="exact"/>
        <w:ind w:firstLine="420" w:firstLineChars="200"/>
        <w:jc w:val="left"/>
        <w:rPr>
          <w:rFonts w:ascii="宋体" w:hAnsi="宋体" w:eastAsia="宋体"/>
          <w:kern w:val="0"/>
          <w:szCs w:val="21"/>
        </w:rPr>
      </w:pPr>
      <w:r>
        <w:rPr>
          <w:rFonts w:hint="eastAsia" w:ascii="宋体" w:hAnsi="宋体" w:eastAsia="宋体"/>
          <w:kern w:val="0"/>
          <w:szCs w:val="21"/>
        </w:rPr>
        <w:t>（一）抢险救援人员的劳务费用；</w:t>
      </w:r>
    </w:p>
    <w:p>
      <w:pPr>
        <w:widowControl/>
        <w:spacing w:line="360" w:lineRule="exact"/>
        <w:ind w:firstLine="420" w:firstLineChars="200"/>
        <w:jc w:val="left"/>
        <w:rPr>
          <w:rFonts w:ascii="宋体" w:hAnsi="宋体" w:eastAsia="宋体"/>
          <w:kern w:val="0"/>
          <w:szCs w:val="21"/>
        </w:rPr>
      </w:pPr>
      <w:r>
        <w:rPr>
          <w:rFonts w:hint="eastAsia" w:ascii="宋体" w:hAnsi="宋体" w:eastAsia="宋体"/>
          <w:kern w:val="0"/>
          <w:szCs w:val="21"/>
        </w:rPr>
        <w:t>（二）救援器材、设备的租赁、使用费用；</w:t>
      </w:r>
    </w:p>
    <w:p>
      <w:pPr>
        <w:widowControl/>
        <w:spacing w:line="360" w:lineRule="exact"/>
        <w:ind w:firstLine="420" w:firstLineChars="200"/>
        <w:jc w:val="left"/>
        <w:rPr>
          <w:rFonts w:ascii="宋体" w:hAnsi="宋体" w:eastAsia="宋体"/>
          <w:kern w:val="0"/>
          <w:szCs w:val="21"/>
        </w:rPr>
      </w:pPr>
      <w:r>
        <w:rPr>
          <w:rFonts w:hint="eastAsia" w:ascii="宋体" w:hAnsi="宋体" w:eastAsia="宋体"/>
          <w:kern w:val="0"/>
          <w:szCs w:val="21"/>
        </w:rPr>
        <w:t>（三）单价低于5000元人民币的救援工具购置费用；</w:t>
      </w:r>
    </w:p>
    <w:p>
      <w:pPr>
        <w:widowControl/>
        <w:spacing w:line="360" w:lineRule="exact"/>
        <w:ind w:firstLine="420" w:firstLineChars="200"/>
        <w:jc w:val="left"/>
        <w:rPr>
          <w:rFonts w:ascii="宋体" w:hAnsi="宋体" w:eastAsia="宋体"/>
          <w:kern w:val="0"/>
          <w:szCs w:val="21"/>
        </w:rPr>
      </w:pPr>
      <w:r>
        <w:rPr>
          <w:rFonts w:hint="eastAsia" w:ascii="宋体" w:hAnsi="宋体" w:eastAsia="宋体"/>
          <w:kern w:val="0"/>
          <w:szCs w:val="21"/>
        </w:rPr>
        <w:t>（四）生产安全事故现场发生的医疗抢救费用事故发生后，被保险人为防止或者减少人员人身损害或财产损失所支付的必要的、合理的救援费用，包括政府部门或有关社会团体等第三方参与救援而产生的应当由被保险人承担的直接费用。</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责任免除</w:t>
      </w:r>
    </w:p>
    <w:p>
      <w:pPr>
        <w:widowControl/>
        <w:numPr>
          <w:ilvl w:val="0"/>
          <w:numId w:val="47"/>
        </w:numPr>
        <w:adjustRightInd w:val="0"/>
        <w:spacing w:line="360" w:lineRule="exact"/>
        <w:ind w:firstLine="422" w:firstLineChars="200"/>
        <w:rPr>
          <w:rFonts w:ascii="宋体" w:hAnsi="宋体" w:eastAsia="宋体" w:cs="仿宋"/>
          <w:b/>
          <w:bCs/>
          <w:kern w:val="0"/>
          <w:szCs w:val="21"/>
        </w:rPr>
      </w:pPr>
      <w:r>
        <w:rPr>
          <w:rFonts w:hint="eastAsia" w:ascii="宋体" w:hAnsi="宋体" w:eastAsia="宋体" w:cs="仿宋"/>
          <w:b/>
          <w:bCs/>
          <w:kern w:val="0"/>
          <w:szCs w:val="21"/>
        </w:rPr>
        <w:t>清污费用，保险人不负责赔偿。</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责任限额与免赔额（率）</w:t>
      </w:r>
    </w:p>
    <w:p>
      <w:pPr>
        <w:widowControl/>
        <w:numPr>
          <w:ilvl w:val="0"/>
          <w:numId w:val="47"/>
        </w:numPr>
        <w:adjustRightInd w:val="0"/>
        <w:spacing w:line="360" w:lineRule="exact"/>
        <w:ind w:firstLine="422" w:firstLineChars="200"/>
        <w:jc w:val="left"/>
        <w:rPr>
          <w:rFonts w:ascii="宋体" w:hAnsi="宋体" w:eastAsia="宋体" w:cs="仿宋"/>
          <w:b/>
          <w:kern w:val="0"/>
          <w:szCs w:val="21"/>
        </w:rPr>
      </w:pPr>
      <w:r>
        <w:rPr>
          <w:rFonts w:hint="eastAsia" w:ascii="宋体" w:hAnsi="宋体" w:eastAsia="宋体" w:cs="仿宋"/>
          <w:b/>
          <w:kern w:val="0"/>
          <w:szCs w:val="21"/>
        </w:rPr>
        <w:t>除另有约定外，救援费用保险部分的责任限额包括每次事故救援费用限额。</w:t>
      </w:r>
    </w:p>
    <w:p>
      <w:pPr>
        <w:widowControl/>
        <w:spacing w:line="360" w:lineRule="exact"/>
        <w:ind w:firstLine="420" w:firstLineChars="200"/>
        <w:jc w:val="left"/>
        <w:rPr>
          <w:rFonts w:ascii="宋体" w:hAnsi="宋体" w:eastAsia="宋体"/>
          <w:kern w:val="0"/>
          <w:szCs w:val="21"/>
        </w:rPr>
      </w:pPr>
      <w:r>
        <w:rPr>
          <w:rFonts w:hint="eastAsia" w:ascii="宋体" w:hAnsi="宋体" w:eastAsia="宋体"/>
          <w:kern w:val="0"/>
          <w:szCs w:val="21"/>
        </w:rPr>
        <w:t>各项责任限额，由投保人和保险人协商确定，并在保险单中载明。</w:t>
      </w:r>
    </w:p>
    <w:p>
      <w:pPr>
        <w:widowControl/>
        <w:numPr>
          <w:ilvl w:val="0"/>
          <w:numId w:val="47"/>
        </w:numPr>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每次事故救援费用免赔额（率）由投保人与保险人在签订保险合同时协商确定，并在保险单中载明。</w:t>
      </w:r>
    </w:p>
    <w:p>
      <w:pPr>
        <w:widowControl/>
        <w:tabs>
          <w:tab w:val="left" w:pos="1134"/>
        </w:tabs>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同时约定了免赔额和免赔率的，免赔金额以免赔额和按照免赔率计算的金额二者高者为准。</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第</w:t>
      </w:r>
      <w:r>
        <w:rPr>
          <w:rFonts w:ascii="宋体" w:hAnsi="宋体" w:eastAsia="宋体"/>
          <w:b/>
          <w:kern w:val="0"/>
          <w:szCs w:val="21"/>
        </w:rPr>
        <w:t>四部分</w:t>
      </w:r>
      <w:r>
        <w:rPr>
          <w:rFonts w:hint="eastAsia" w:ascii="宋体" w:hAnsi="宋体" w:eastAsia="宋体"/>
          <w:b/>
          <w:kern w:val="0"/>
          <w:szCs w:val="21"/>
        </w:rPr>
        <w:t xml:space="preserve"> 调查勘验费用保险</w:t>
      </w: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保险</w:t>
      </w:r>
      <w:r>
        <w:rPr>
          <w:rFonts w:ascii="宋体" w:hAnsi="宋体" w:eastAsia="宋体"/>
          <w:b/>
          <w:kern w:val="0"/>
          <w:szCs w:val="21"/>
        </w:rPr>
        <w:t>责任</w:t>
      </w:r>
    </w:p>
    <w:p>
      <w:pPr>
        <w:widowControl/>
        <w:numPr>
          <w:ilvl w:val="0"/>
          <w:numId w:val="47"/>
        </w:numPr>
        <w:adjustRightInd w:val="0"/>
        <w:spacing w:line="360" w:lineRule="exact"/>
        <w:ind w:firstLineChars="200"/>
        <w:jc w:val="left"/>
        <w:rPr>
          <w:rFonts w:ascii="宋体" w:hAnsi="宋体" w:eastAsia="宋体" w:cs="仿宋"/>
          <w:b/>
          <w:bCs/>
          <w:kern w:val="0"/>
          <w:szCs w:val="21"/>
        </w:rPr>
      </w:pPr>
      <w:r>
        <w:rPr>
          <w:rFonts w:hint="eastAsia" w:ascii="宋体" w:hAnsi="宋体" w:eastAsia="宋体" w:cs="仿宋"/>
          <w:kern w:val="0"/>
          <w:szCs w:val="21"/>
        </w:rPr>
        <w:t>保险事故发生后，被保险人为查明和确定保险事故的性质、原因和保险标的的损失程度所支付的必要的、合理的费用（以下简称“调查勘验费用”），包括政府为查明事故原因及相关责任而聘请具备相应资质的专业机构（部门）进行检验（检测）、勘查（勘探）、评估（评价），并出具具备相应效力的报告所发生并由被保险人承担的费用，保险人按照本保险合同约定负责赔偿。</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第</w:t>
      </w:r>
      <w:r>
        <w:rPr>
          <w:rFonts w:ascii="宋体" w:hAnsi="宋体" w:eastAsia="宋体"/>
          <w:b/>
          <w:kern w:val="0"/>
          <w:szCs w:val="21"/>
        </w:rPr>
        <w:t>五部</w:t>
      </w:r>
      <w:r>
        <w:rPr>
          <w:rFonts w:hint="eastAsia" w:ascii="宋体" w:hAnsi="宋体" w:eastAsia="宋体"/>
          <w:b/>
          <w:kern w:val="0"/>
          <w:szCs w:val="21"/>
        </w:rPr>
        <w:t>分 伤残鉴定费用保险</w:t>
      </w: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保险责任</w:t>
      </w:r>
    </w:p>
    <w:p>
      <w:pPr>
        <w:widowControl/>
        <w:numPr>
          <w:ilvl w:val="0"/>
          <w:numId w:val="47"/>
        </w:numPr>
        <w:adjustRightInd w:val="0"/>
        <w:spacing w:line="360" w:lineRule="exact"/>
        <w:ind w:firstLineChars="200"/>
        <w:jc w:val="left"/>
        <w:rPr>
          <w:rFonts w:ascii="宋体" w:hAnsi="宋体" w:eastAsia="宋体" w:cs="仿宋"/>
          <w:bCs/>
          <w:kern w:val="0"/>
          <w:szCs w:val="21"/>
        </w:rPr>
      </w:pPr>
      <w:r>
        <w:rPr>
          <w:rFonts w:hint="eastAsia" w:ascii="宋体" w:hAnsi="宋体" w:eastAsia="宋体" w:cs="仿宋"/>
          <w:bCs/>
          <w:kern w:val="0"/>
          <w:szCs w:val="21"/>
        </w:rPr>
        <w:t>保险事故发生后，被保险人对于受害人员进行伤残等级鉴定所支付的必要的、合理的费用（简称“伤残鉴定费用”），保险人按照本保险合同的约定负责赔偿。</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第</w:t>
      </w:r>
      <w:r>
        <w:rPr>
          <w:rFonts w:ascii="宋体" w:hAnsi="宋体" w:eastAsia="宋体"/>
          <w:b/>
          <w:kern w:val="0"/>
          <w:szCs w:val="21"/>
        </w:rPr>
        <w:t>六部分</w:t>
      </w:r>
      <w:r>
        <w:rPr>
          <w:rFonts w:hint="eastAsia" w:ascii="宋体" w:hAnsi="宋体" w:eastAsia="宋体"/>
          <w:b/>
          <w:kern w:val="0"/>
          <w:szCs w:val="21"/>
        </w:rPr>
        <w:t xml:space="preserve"> 医疗救护费用保险</w:t>
      </w: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保险责任</w:t>
      </w:r>
    </w:p>
    <w:p>
      <w:pPr>
        <w:widowControl/>
        <w:numPr>
          <w:ilvl w:val="0"/>
          <w:numId w:val="47"/>
        </w:numPr>
        <w:adjustRightInd w:val="0"/>
        <w:spacing w:line="360" w:lineRule="exact"/>
        <w:ind w:firstLineChars="200"/>
        <w:jc w:val="left"/>
        <w:rPr>
          <w:rFonts w:ascii="宋体" w:hAnsi="宋体" w:eastAsia="宋体" w:cs="仿宋"/>
          <w:bCs/>
          <w:kern w:val="0"/>
          <w:szCs w:val="21"/>
        </w:rPr>
      </w:pPr>
      <w:r>
        <w:rPr>
          <w:rFonts w:hint="eastAsia" w:ascii="宋体" w:hAnsi="宋体" w:eastAsia="宋体" w:cs="仿宋"/>
          <w:bCs/>
          <w:kern w:val="0"/>
          <w:szCs w:val="21"/>
        </w:rPr>
        <w:t>保险事故发生后，被保险人对于受害人员所进行的紧急医疗救护所支付的必要的、合理的费用（简称“医疗救护费用”），保险公司按照本保险合同的约定负责赔偿。</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责任</w:t>
      </w:r>
      <w:r>
        <w:rPr>
          <w:rFonts w:ascii="宋体" w:hAnsi="宋体" w:eastAsia="宋体"/>
          <w:b/>
          <w:kern w:val="0"/>
          <w:szCs w:val="21"/>
        </w:rPr>
        <w:t>免除</w:t>
      </w:r>
    </w:p>
    <w:p>
      <w:pPr>
        <w:widowControl/>
        <w:numPr>
          <w:ilvl w:val="0"/>
          <w:numId w:val="47"/>
        </w:numPr>
        <w:tabs>
          <w:tab w:val="left" w:pos="426"/>
        </w:tabs>
        <w:adjustRightInd w:val="0"/>
        <w:spacing w:line="360" w:lineRule="exact"/>
        <w:ind w:firstLine="422" w:firstLineChars="200"/>
        <w:jc w:val="left"/>
        <w:rPr>
          <w:rFonts w:ascii="宋体" w:hAnsi="宋体" w:eastAsia="宋体" w:cs="仿宋"/>
          <w:bCs/>
          <w:kern w:val="0"/>
          <w:szCs w:val="21"/>
        </w:rPr>
      </w:pPr>
      <w:r>
        <w:rPr>
          <w:rFonts w:hint="eastAsia" w:ascii="宋体" w:hAnsi="宋体" w:eastAsia="宋体" w:cs="仿宋"/>
          <w:b/>
          <w:kern w:val="0"/>
          <w:szCs w:val="21"/>
        </w:rPr>
        <w:t>被保险人从业人员已经从工伤保险或者其他途径获得医疗费用的全额赔偿或部分赔偿。</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责任限额与免赔额（率）</w:t>
      </w:r>
    </w:p>
    <w:p>
      <w:pPr>
        <w:widowControl/>
        <w:numPr>
          <w:ilvl w:val="0"/>
          <w:numId w:val="47"/>
        </w:numPr>
        <w:adjustRightInd w:val="0"/>
        <w:spacing w:line="360" w:lineRule="exact"/>
        <w:ind w:firstLine="422" w:firstLineChars="200"/>
        <w:jc w:val="left"/>
        <w:rPr>
          <w:rFonts w:ascii="宋体" w:hAnsi="宋体" w:eastAsia="宋体" w:cs="仿宋"/>
          <w:b/>
          <w:kern w:val="0"/>
          <w:szCs w:val="21"/>
        </w:rPr>
      </w:pPr>
      <w:r>
        <w:rPr>
          <w:rFonts w:hint="eastAsia" w:ascii="宋体" w:hAnsi="宋体" w:eastAsia="宋体" w:cs="仿宋"/>
          <w:b/>
          <w:kern w:val="0"/>
          <w:szCs w:val="21"/>
        </w:rPr>
        <w:t>除另有约定外，医疗救护费用保险部分的责任限额包括每次事故医疗救护费用限额。</w:t>
      </w:r>
    </w:p>
    <w:p>
      <w:pPr>
        <w:widowControl/>
        <w:tabs>
          <w:tab w:val="left" w:pos="1134"/>
        </w:tabs>
        <w:adjustRightInd w:val="0"/>
        <w:spacing w:line="360" w:lineRule="exact"/>
        <w:ind w:firstLine="420" w:firstLineChars="200"/>
        <w:jc w:val="left"/>
        <w:rPr>
          <w:rFonts w:ascii="宋体" w:hAnsi="宋体" w:eastAsia="宋体" w:cs="仿宋"/>
          <w:b/>
          <w:bCs/>
          <w:kern w:val="0"/>
          <w:szCs w:val="21"/>
        </w:rPr>
      </w:pPr>
      <w:r>
        <w:rPr>
          <w:rFonts w:hint="eastAsia" w:ascii="宋体" w:hAnsi="宋体" w:eastAsia="宋体" w:cs="仿宋"/>
          <w:bCs/>
          <w:kern w:val="0"/>
          <w:szCs w:val="21"/>
        </w:rPr>
        <w:t>各项责任限额，由投保人和保险人协商确定，并在保险单中载明。</w:t>
      </w:r>
    </w:p>
    <w:p>
      <w:pPr>
        <w:widowControl/>
        <w:numPr>
          <w:ilvl w:val="0"/>
          <w:numId w:val="47"/>
        </w:numPr>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每次事故医疗救护费用免赔额（率）由投保人与保险人在签订保险合同时协商确定，并在保险单中载明。</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同时约定了免赔额和免赔率的，免赔金额以免赔额和按照免赔率计算的金额二者高者为准。</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第七部分 法律费用保险</w:t>
      </w: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保险责任</w:t>
      </w:r>
    </w:p>
    <w:p>
      <w:pPr>
        <w:widowControl/>
        <w:numPr>
          <w:ilvl w:val="0"/>
          <w:numId w:val="47"/>
        </w:numPr>
        <w:adjustRightInd w:val="0"/>
        <w:spacing w:line="360" w:lineRule="exact"/>
        <w:ind w:firstLineChars="200"/>
        <w:jc w:val="left"/>
        <w:rPr>
          <w:rFonts w:ascii="宋体" w:hAnsi="宋体" w:eastAsia="宋体" w:cs="仿宋"/>
          <w:b/>
          <w:bCs/>
          <w:kern w:val="0"/>
          <w:szCs w:val="21"/>
        </w:rPr>
      </w:pPr>
      <w:r>
        <w:rPr>
          <w:rFonts w:hint="eastAsia" w:ascii="宋体" w:hAnsi="宋体" w:eastAsia="宋体"/>
          <w:kern w:val="0"/>
          <w:szCs w:val="21"/>
        </w:rPr>
        <w:t>保险事故发生后，被保险人被提起诉讼或仲裁，事先经保险人书面同意支付的必要的、合理的诉讼费、鉴定费、取证费、案件受理费、评估费、公证费、律师费、仲裁费及其他相关费用（以下统称“法律费用”），保险人按照本保险合同的约定负责赔偿。</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责任限额</w:t>
      </w:r>
    </w:p>
    <w:p>
      <w:pPr>
        <w:widowControl/>
        <w:numPr>
          <w:ilvl w:val="0"/>
          <w:numId w:val="47"/>
        </w:numPr>
        <w:adjustRightInd w:val="0"/>
        <w:spacing w:line="360" w:lineRule="exact"/>
        <w:ind w:firstLine="422" w:firstLineChars="200"/>
        <w:jc w:val="left"/>
        <w:rPr>
          <w:rFonts w:ascii="宋体" w:hAnsi="宋体" w:eastAsia="宋体" w:cs="仿宋"/>
          <w:b/>
          <w:kern w:val="0"/>
          <w:szCs w:val="21"/>
        </w:rPr>
      </w:pPr>
      <w:r>
        <w:rPr>
          <w:rFonts w:hint="eastAsia" w:ascii="宋体" w:hAnsi="宋体" w:eastAsia="宋体" w:cs="仿宋"/>
          <w:b/>
          <w:kern w:val="0"/>
          <w:szCs w:val="21"/>
        </w:rPr>
        <w:t>除另有约定外，法律费用的责任限额包括每次事故法律费用责任限额。</w:t>
      </w:r>
    </w:p>
    <w:p>
      <w:pPr>
        <w:widowControl/>
        <w:tabs>
          <w:tab w:val="left" w:pos="1134"/>
        </w:tabs>
        <w:adjustRightInd w:val="0"/>
        <w:spacing w:line="360" w:lineRule="exact"/>
        <w:ind w:firstLine="420" w:firstLineChars="200"/>
        <w:jc w:val="left"/>
        <w:rPr>
          <w:rFonts w:ascii="宋体" w:hAnsi="宋体" w:eastAsia="宋体" w:cs="仿宋"/>
          <w:bCs/>
          <w:kern w:val="0"/>
          <w:szCs w:val="21"/>
        </w:rPr>
      </w:pPr>
      <w:r>
        <w:rPr>
          <w:rFonts w:hint="eastAsia" w:ascii="宋体" w:hAnsi="宋体" w:eastAsia="宋体" w:cs="仿宋"/>
          <w:bCs/>
          <w:kern w:val="0"/>
          <w:szCs w:val="21"/>
        </w:rPr>
        <w:t>各项责任限额，由投保人和保险人协商确定，并在保险单中载明。</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第八部分 通用条款</w:t>
      </w: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责任免除</w:t>
      </w:r>
    </w:p>
    <w:p>
      <w:pPr>
        <w:widowControl/>
        <w:numPr>
          <w:ilvl w:val="0"/>
          <w:numId w:val="47"/>
        </w:numPr>
        <w:adjustRightInd w:val="0"/>
        <w:spacing w:line="360" w:lineRule="exact"/>
        <w:ind w:firstLine="422" w:firstLineChars="200"/>
        <w:jc w:val="left"/>
        <w:rPr>
          <w:rFonts w:ascii="宋体" w:hAnsi="宋体" w:eastAsia="宋体" w:cs="仿宋"/>
          <w:b/>
          <w:kern w:val="0"/>
          <w:szCs w:val="21"/>
        </w:rPr>
      </w:pPr>
      <w:r>
        <w:rPr>
          <w:rFonts w:hint="eastAsia" w:ascii="宋体" w:hAnsi="宋体" w:eastAsia="宋体" w:cs="仿宋"/>
          <w:b/>
          <w:kern w:val="0"/>
          <w:szCs w:val="21"/>
        </w:rPr>
        <w:t>出现下列任一情形时，保险人不负责赔偿：</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（一）被保险人未取得合法生产经营资格或从事不符合许可证规定的经营范围活动的；</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二）被保险人被政府有关部门责令停产停业整顿期间擅自生产经营的或被政府有关部门责令关闭后擅自生产经营的，但不包括责令停产停业整顿期间或责令关闭后被保险人进行的政府有关部门允许的设施设备维护、技术改造等工作；</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（三</w:t>
      </w:r>
      <w:r>
        <w:rPr>
          <w:rFonts w:ascii="宋体" w:hAnsi="宋体" w:eastAsia="宋体" w:cs="仿宋"/>
          <w:b/>
          <w:bCs/>
          <w:kern w:val="0"/>
          <w:szCs w:val="21"/>
        </w:rPr>
        <w:t>）</w:t>
      </w:r>
      <w:r>
        <w:rPr>
          <w:rFonts w:hint="eastAsia" w:ascii="宋体" w:hAnsi="宋体" w:eastAsia="宋体" w:cs="仿宋"/>
          <w:b/>
          <w:bCs/>
          <w:kern w:val="0"/>
          <w:szCs w:val="21"/>
        </w:rPr>
        <w:t>被保险人许可证（照）不在有效期内，但因许可证（照）在办理延续许可手续期间等有正当理由的不在此列。</w:t>
      </w:r>
    </w:p>
    <w:p>
      <w:pPr>
        <w:widowControl/>
        <w:numPr>
          <w:ilvl w:val="0"/>
          <w:numId w:val="47"/>
        </w:numPr>
        <w:adjustRightInd w:val="0"/>
        <w:spacing w:line="360" w:lineRule="exact"/>
        <w:ind w:left="-2" w:leftChars="-1" w:firstLine="422" w:firstLineChars="200"/>
        <w:jc w:val="left"/>
        <w:rPr>
          <w:rFonts w:ascii="宋体" w:hAnsi="宋体" w:eastAsia="宋体" w:cs="仿宋"/>
          <w:b/>
          <w:kern w:val="0"/>
          <w:szCs w:val="21"/>
        </w:rPr>
      </w:pPr>
      <w:r>
        <w:rPr>
          <w:rFonts w:hint="eastAsia" w:ascii="宋体" w:hAnsi="宋体" w:eastAsia="宋体" w:cs="仿宋"/>
          <w:b/>
          <w:kern w:val="0"/>
          <w:szCs w:val="21"/>
        </w:rPr>
        <w:t>因下列任一原因造成的损失、费用或责任，保险人不负责赔偿：</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（一）投保人、被保险人的故意行为；</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（二）战争、敌对行动、军事行为、武装冲突；</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（三）行政行为或司法行为；</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（四）</w:t>
      </w:r>
      <w:r>
        <w:rPr>
          <w:rFonts w:hint="eastAsia" w:ascii="宋体" w:hAnsi="宋体" w:eastAsia="宋体" w:cs="仿宋"/>
          <w:b/>
          <w:kern w:val="0"/>
          <w:szCs w:val="21"/>
        </w:rPr>
        <w:t>各种污染</w:t>
      </w:r>
      <w:r>
        <w:rPr>
          <w:rFonts w:hint="eastAsia" w:ascii="宋体" w:hAnsi="宋体" w:eastAsia="宋体" w:cs="仿宋"/>
          <w:b/>
          <w:bCs/>
          <w:kern w:val="0"/>
          <w:szCs w:val="21"/>
        </w:rPr>
        <w:t>；</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b/>
          <w:kern w:val="0"/>
          <w:szCs w:val="21"/>
        </w:rPr>
        <w:t>（五）由于震动、移动或减弱支撑而造成的任何财产、土地、建筑物的损失及由此造成的人身伤亡和财产损失；</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b/>
          <w:kern w:val="0"/>
          <w:szCs w:val="21"/>
        </w:rPr>
        <w:t>（六</w:t>
      </w:r>
      <w:r>
        <w:rPr>
          <w:rFonts w:ascii="宋体" w:hAnsi="宋体" w:eastAsia="宋体"/>
          <w:b/>
          <w:kern w:val="0"/>
          <w:szCs w:val="21"/>
        </w:rPr>
        <w:t>）</w:t>
      </w:r>
      <w:r>
        <w:rPr>
          <w:rFonts w:hint="eastAsia" w:ascii="宋体" w:hAnsi="宋体" w:eastAsia="宋体"/>
          <w:b/>
          <w:kern w:val="0"/>
          <w:szCs w:val="21"/>
        </w:rPr>
        <w:t>任何疾病，包括但不限于高原反应、药物过敏等</w:t>
      </w:r>
      <w:r>
        <w:rPr>
          <w:rFonts w:hint="eastAsia" w:ascii="宋体" w:hAnsi="宋体" w:eastAsia="宋体" w:cs="仿宋"/>
          <w:b/>
          <w:bCs/>
          <w:kern w:val="0"/>
          <w:szCs w:val="21"/>
        </w:rPr>
        <w:t>；</w:t>
      </w:r>
    </w:p>
    <w:p>
      <w:pPr>
        <w:widowControl/>
        <w:adjustRightInd w:val="0"/>
        <w:spacing w:line="360" w:lineRule="exact"/>
        <w:ind w:firstLine="422" w:firstLineChars="200"/>
        <w:jc w:val="left"/>
        <w:rPr>
          <w:rFonts w:ascii="宋体" w:hAnsi="宋体" w:eastAsia="宋体" w:cs="仿宋"/>
          <w:b/>
          <w:kern w:val="0"/>
          <w:szCs w:val="21"/>
        </w:rPr>
      </w:pPr>
      <w:r>
        <w:rPr>
          <w:rFonts w:hint="eastAsia" w:ascii="宋体" w:hAnsi="宋体" w:eastAsia="宋体" w:cs="仿宋"/>
          <w:b/>
          <w:kern w:val="0"/>
          <w:szCs w:val="21"/>
        </w:rPr>
        <w:t>（七）属于被保险人的或其所占有的或以其名义使用的任何车辆、火车头、列车、各类船舶、飞机在行驶、航行、飞行过程中造成第三者的人身伤亡或财产损失；</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（八）被保险人的从业人员由于职业病、分娩、流产所致的人身损害；</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（九）被保险人的从业人员或第三者因故意行为、违法犯罪行为、醉酒、吸毒、自残、自杀导致自身的人身损害；</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b/>
          <w:kern w:val="0"/>
          <w:szCs w:val="21"/>
        </w:rPr>
        <w:t>（十）被保险人发生事故致使第三者停业、停驶（运）、停电、停水、停气、停产、通讯或网络中断、数据丢失、电压变化造成的任何损失或费用</w:t>
      </w:r>
      <w:r>
        <w:rPr>
          <w:rFonts w:hint="eastAsia" w:ascii="宋体" w:hAnsi="宋体" w:eastAsia="宋体" w:cs="仿宋"/>
          <w:b/>
          <w:bCs/>
          <w:kern w:val="0"/>
          <w:szCs w:val="21"/>
        </w:rPr>
        <w:t>。</w:t>
      </w:r>
    </w:p>
    <w:p>
      <w:pPr>
        <w:widowControl/>
        <w:numPr>
          <w:ilvl w:val="0"/>
          <w:numId w:val="47"/>
        </w:numPr>
        <w:tabs>
          <w:tab w:val="left" w:pos="1418"/>
        </w:tabs>
        <w:adjustRightInd w:val="0"/>
        <w:spacing w:line="360" w:lineRule="exact"/>
        <w:ind w:firstLine="422" w:firstLineChars="200"/>
        <w:jc w:val="left"/>
        <w:rPr>
          <w:rFonts w:ascii="宋体" w:hAnsi="宋体" w:eastAsia="宋体" w:cs="仿宋"/>
          <w:b/>
          <w:kern w:val="0"/>
          <w:szCs w:val="21"/>
        </w:rPr>
      </w:pPr>
      <w:r>
        <w:rPr>
          <w:rFonts w:hint="eastAsia" w:ascii="宋体" w:hAnsi="宋体" w:eastAsia="宋体" w:cs="仿宋"/>
          <w:b/>
          <w:kern w:val="0"/>
          <w:szCs w:val="21"/>
        </w:rPr>
        <w:t>下列损失、费用、责任，保险人也不负责赔偿：</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（一）罚款、罚金及惩罚性赔偿；</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（二）被保险人或其代表、从业人员所有的或由其保管或控制的财产的损失；</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（三）被保险人或其代表、从业人员因经营或职责需要一直使用或占用的任何物品、土地、房屋或其他建筑的损失；</w:t>
      </w:r>
    </w:p>
    <w:p>
      <w:pPr>
        <w:widowControl/>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（四）文物、软件、数据、现金、信用卡、票据、单证、有价证券、文件、账册、技术资料或其他不易鉴定价值的财产损失；</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（五）营业收入损失、利润损失等间接损失；</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（六）被保险人从业人员的精神损害赔偿；</w:t>
      </w:r>
    </w:p>
    <w:p>
      <w:pPr>
        <w:widowControl/>
        <w:adjustRightInd w:val="0"/>
        <w:spacing w:line="360" w:lineRule="exact"/>
        <w:ind w:firstLine="422" w:firstLineChars="200"/>
        <w:jc w:val="left"/>
        <w:rPr>
          <w:rFonts w:ascii="宋体" w:hAnsi="宋体" w:eastAsia="宋体" w:cs="仿宋"/>
          <w:b/>
          <w:kern w:val="0"/>
          <w:szCs w:val="21"/>
        </w:rPr>
      </w:pPr>
      <w:r>
        <w:rPr>
          <w:rFonts w:hint="eastAsia" w:ascii="宋体" w:hAnsi="宋体" w:eastAsia="宋体" w:cs="仿宋"/>
          <w:b/>
          <w:kern w:val="0"/>
          <w:szCs w:val="21"/>
        </w:rPr>
        <w:t>（七）被保险人从业人员已经从工伤保险或者其他途径获得医疗费用、误工费的全额赔偿或部分赔偿；</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kern w:val="0"/>
          <w:szCs w:val="21"/>
        </w:rPr>
        <w:t>（八）</w:t>
      </w:r>
      <w:r>
        <w:rPr>
          <w:rFonts w:hint="eastAsia" w:ascii="宋体" w:hAnsi="宋体" w:eastAsia="宋体" w:cs="仿宋"/>
          <w:b/>
          <w:bCs/>
          <w:kern w:val="0"/>
          <w:szCs w:val="21"/>
        </w:rPr>
        <w:t>本保险合同规定的应由被保险人自行负担的免赔额或按照免赔率计算的免赔额。</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责任限额与免赔额（率）</w:t>
      </w:r>
    </w:p>
    <w:p>
      <w:pPr>
        <w:widowControl/>
        <w:numPr>
          <w:ilvl w:val="0"/>
          <w:numId w:val="47"/>
        </w:numPr>
        <w:tabs>
          <w:tab w:val="left" w:pos="1418"/>
        </w:tabs>
        <w:adjustRightInd w:val="0"/>
        <w:spacing w:line="360" w:lineRule="exact"/>
        <w:ind w:left="-2" w:leftChars="-1" w:firstLine="422" w:firstLineChars="200"/>
        <w:jc w:val="left"/>
        <w:rPr>
          <w:rFonts w:ascii="宋体" w:hAnsi="宋体" w:eastAsia="宋体" w:cs="仿宋"/>
          <w:b/>
          <w:bCs/>
          <w:kern w:val="0"/>
          <w:szCs w:val="21"/>
        </w:rPr>
      </w:pPr>
      <w:r>
        <w:rPr>
          <w:rFonts w:hint="eastAsia" w:ascii="宋体" w:hAnsi="宋体" w:eastAsia="宋体" w:cs="仿宋"/>
          <w:b/>
          <w:bCs/>
          <w:kern w:val="0"/>
          <w:szCs w:val="21"/>
        </w:rPr>
        <w:t>除另有约定外，责任限额还包括累计责任限额、每次事故责任限额、累计救援费用责任限额、累计</w:t>
      </w:r>
      <w:r>
        <w:rPr>
          <w:rFonts w:ascii="宋体" w:hAnsi="宋体" w:eastAsia="宋体" w:cs="仿宋"/>
          <w:b/>
          <w:bCs/>
          <w:kern w:val="0"/>
          <w:szCs w:val="21"/>
        </w:rPr>
        <w:t>调查</w:t>
      </w:r>
      <w:r>
        <w:rPr>
          <w:rFonts w:hint="eastAsia" w:ascii="宋体" w:hAnsi="宋体" w:eastAsia="宋体" w:cs="仿宋"/>
          <w:b/>
          <w:bCs/>
          <w:kern w:val="0"/>
          <w:szCs w:val="21"/>
        </w:rPr>
        <w:t>勘</w:t>
      </w:r>
      <w:r>
        <w:rPr>
          <w:rFonts w:ascii="宋体" w:hAnsi="宋体" w:eastAsia="宋体" w:cs="仿宋"/>
          <w:b/>
          <w:bCs/>
          <w:kern w:val="0"/>
          <w:szCs w:val="21"/>
        </w:rPr>
        <w:t>验费用责任限额、累计伤残鉴定费用责任限额、</w:t>
      </w:r>
      <w:r>
        <w:rPr>
          <w:rFonts w:hint="eastAsia" w:ascii="宋体" w:hAnsi="宋体" w:eastAsia="宋体" w:cs="仿宋"/>
          <w:b/>
          <w:bCs/>
          <w:kern w:val="0"/>
          <w:szCs w:val="21"/>
        </w:rPr>
        <w:t>累计医疗救护费用责任限额、累计法律费用责任限额。</w:t>
      </w:r>
    </w:p>
    <w:p>
      <w:pPr>
        <w:widowControl/>
        <w:tabs>
          <w:tab w:val="left" w:pos="1134"/>
          <w:tab w:val="left" w:pos="1418"/>
        </w:tabs>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各项责任限额由投保人和保险人协商确定，并在保险单中载明。</w:t>
      </w:r>
    </w:p>
    <w:p>
      <w:pPr>
        <w:widowControl/>
        <w:numPr>
          <w:ilvl w:val="0"/>
          <w:numId w:val="47"/>
        </w:numPr>
        <w:tabs>
          <w:tab w:val="left" w:pos="1418"/>
        </w:tabs>
        <w:adjustRightInd w:val="0"/>
        <w:spacing w:line="360" w:lineRule="exact"/>
        <w:ind w:firstLine="422" w:firstLineChars="200"/>
        <w:jc w:val="left"/>
        <w:rPr>
          <w:rFonts w:ascii="宋体" w:hAnsi="宋体" w:eastAsia="宋体" w:cs="仿宋"/>
          <w:b/>
          <w:kern w:val="0"/>
          <w:szCs w:val="21"/>
        </w:rPr>
      </w:pPr>
      <w:r>
        <w:rPr>
          <w:rFonts w:hint="eastAsia" w:ascii="宋体" w:hAnsi="宋体" w:eastAsia="宋体" w:cs="仿宋"/>
          <w:b/>
          <w:kern w:val="0"/>
          <w:szCs w:val="21"/>
        </w:rPr>
        <w:t>每次事故免赔额（率）由投保人与保险人在签订保险合同时协商确定，并在保险单中载明。</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保险期间</w:t>
      </w:r>
    </w:p>
    <w:p>
      <w:pPr>
        <w:widowControl/>
        <w:numPr>
          <w:ilvl w:val="0"/>
          <w:numId w:val="47"/>
        </w:numPr>
        <w:tabs>
          <w:tab w:val="left" w:pos="1418"/>
        </w:tabs>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除另有约定外，保险期间均为一年，以保险单载明的起讫时间为准。</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保险人义务</w:t>
      </w:r>
    </w:p>
    <w:p>
      <w:pPr>
        <w:widowControl/>
        <w:numPr>
          <w:ilvl w:val="0"/>
          <w:numId w:val="47"/>
        </w:numPr>
        <w:tabs>
          <w:tab w:val="left" w:pos="1418"/>
        </w:tabs>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第三</w:t>
      </w:r>
      <w:r>
        <w:rPr>
          <w:rFonts w:ascii="宋体" w:hAnsi="宋体" w:eastAsia="宋体" w:cs="仿宋"/>
          <w:kern w:val="0"/>
          <w:szCs w:val="21"/>
        </w:rPr>
        <w:t>十九</w:t>
      </w:r>
      <w:r>
        <w:rPr>
          <w:rFonts w:hint="eastAsia" w:ascii="宋体" w:hAnsi="宋体" w:eastAsia="宋体" w:cs="仿宋"/>
          <w:kern w:val="0"/>
          <w:szCs w:val="21"/>
        </w:rPr>
        <w:t>条规定的合同解除权，自保险人知道有解除事由之日起，超过三十日不行使而消灭；发生保险事故的，保险人应当承担赔偿责任。</w:t>
      </w:r>
    </w:p>
    <w:p>
      <w:pPr>
        <w:widowControl/>
        <w:tabs>
          <w:tab w:val="left" w:pos="1134"/>
        </w:tabs>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保险人在合同订立时已经知道投保人未如实告知的情况的，保险人不得解除合同；发生保险事故的，保险人应当承担赔偿责任。</w:t>
      </w:r>
    </w:p>
    <w:p>
      <w:pPr>
        <w:widowControl/>
        <w:numPr>
          <w:ilvl w:val="0"/>
          <w:numId w:val="47"/>
        </w:numPr>
        <w:tabs>
          <w:tab w:val="left" w:pos="1418"/>
        </w:tabs>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本保险合同成立后，保险人应当及时向投保人签发保险单或其他保险凭证。</w:t>
      </w:r>
    </w:p>
    <w:p>
      <w:pPr>
        <w:widowControl/>
        <w:numPr>
          <w:ilvl w:val="0"/>
          <w:numId w:val="47"/>
        </w:numPr>
        <w:tabs>
          <w:tab w:val="left" w:pos="1418"/>
        </w:tabs>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保险事故发生后，投保人、被保险人提供的有关索赔的证明和资料不完整的，保险人应当及时一次性通知投保人、被保险人补充提供。</w:t>
      </w:r>
    </w:p>
    <w:p>
      <w:pPr>
        <w:widowControl/>
        <w:numPr>
          <w:ilvl w:val="0"/>
          <w:numId w:val="47"/>
        </w:numPr>
        <w:tabs>
          <w:tab w:val="left" w:pos="1418"/>
        </w:tabs>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保险人收到被保险人的赔偿请求后，应当及时就是否属于保险责任作出核定，并将核定结果通知被保险人；情形复杂的，应当在三十日内做出核定并将核定结果通知被保险人，对属于保险责任的，在与被保险人达成有关赔偿的协议后十日内，履行赔偿义务。</w:t>
      </w:r>
    </w:p>
    <w:p>
      <w:pPr>
        <w:widowControl/>
        <w:numPr>
          <w:ilvl w:val="0"/>
          <w:numId w:val="47"/>
        </w:numPr>
        <w:tabs>
          <w:tab w:val="left" w:pos="1418"/>
        </w:tabs>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保险人依照前款的规定作出核定后，对不属于保险责任的，应当自作出核定之日起三日内向被保险人发出拒绝赔偿保险金通知书，并说明理由。</w:t>
      </w:r>
    </w:p>
    <w:p>
      <w:pPr>
        <w:widowControl/>
        <w:numPr>
          <w:ilvl w:val="0"/>
          <w:numId w:val="47"/>
        </w:numPr>
        <w:tabs>
          <w:tab w:val="left" w:pos="1418"/>
        </w:tabs>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保险人自收到赔偿保险金的请求和有关证明、资料之日起六十日内，对其赔偿保险金的数额不能确定的，应当根据已有证明和资料可以确定的数额先予支付；保险人最终确定赔偿的数额后，应当支付相应的差额。</w:t>
      </w:r>
    </w:p>
    <w:p>
      <w:pPr>
        <w:widowControl/>
        <w:numPr>
          <w:ilvl w:val="0"/>
          <w:numId w:val="47"/>
        </w:numPr>
        <w:tabs>
          <w:tab w:val="left" w:pos="1418"/>
        </w:tabs>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被保险人给从业人员或第三者造成损害，保险责任确定的，根据被保险人的请求，保险人应当直接向提出损害赔偿请求的从业人员或第三者支付赔款。被保险人怠于提出索赔的，从业人员或第三者有权根据本保险合同就其应获赔偿部分直接向保险人请求赔偿保险金。</w:t>
      </w:r>
    </w:p>
    <w:p>
      <w:pPr>
        <w:widowControl/>
        <w:tabs>
          <w:tab w:val="left" w:pos="1134"/>
          <w:tab w:val="left" w:pos="1418"/>
        </w:tabs>
        <w:adjustRightInd w:val="0"/>
        <w:spacing w:line="360" w:lineRule="exact"/>
        <w:ind w:firstLine="422" w:firstLineChars="200"/>
        <w:jc w:val="left"/>
        <w:rPr>
          <w:rFonts w:ascii="宋体" w:hAnsi="宋体" w:eastAsia="宋体" w:cs="仿宋"/>
          <w:b/>
          <w:kern w:val="0"/>
          <w:szCs w:val="21"/>
        </w:rPr>
      </w:pPr>
      <w:r>
        <w:rPr>
          <w:rFonts w:hint="eastAsia" w:ascii="宋体" w:hAnsi="宋体" w:eastAsia="宋体" w:cs="仿宋"/>
          <w:b/>
          <w:bCs/>
          <w:kern w:val="0"/>
          <w:szCs w:val="21"/>
        </w:rPr>
        <w:t>被保险人给从业人员或第三者造成损害，被保险人未向该从业人员或第三者赔偿的，保险人不得向被保险人赔偿保险金。</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投保人、被保险人义务</w:t>
      </w:r>
    </w:p>
    <w:p>
      <w:pPr>
        <w:widowControl/>
        <w:numPr>
          <w:ilvl w:val="0"/>
          <w:numId w:val="47"/>
        </w:numPr>
        <w:tabs>
          <w:tab w:val="left" w:pos="1418"/>
        </w:tabs>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订立保险合同，保险人就保险标的或者被保险人的有关情况提出询问的，投保人应当如实告知。</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投保人故意或者因重大过失未履行前款规定的如实告知义务，足以影响保险人决定是否同意承保或者提高保险费率的，保险人有权解除合同。</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投保人故意不履行如实告知义务的，保险人对于合同解除前发生的保险事故，不承担赔偿或者给付保险金的责任，并不退还保险费。</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投保人因重大过失未履行如实告知义务，对保险事故的发生有严重影响的，保险人对于合同解除前发生的保险事故，不承担赔偿或者给付保险金的责任，但应当退还保险费。</w:t>
      </w:r>
    </w:p>
    <w:p>
      <w:pPr>
        <w:widowControl/>
        <w:numPr>
          <w:ilvl w:val="0"/>
          <w:numId w:val="47"/>
        </w:numPr>
        <w:tabs>
          <w:tab w:val="left" w:pos="851"/>
        </w:tabs>
        <w:adjustRightInd w:val="0"/>
        <w:spacing w:line="360" w:lineRule="exact"/>
        <w:ind w:firstLineChars="200"/>
        <w:jc w:val="left"/>
        <w:outlineLvl w:val="1"/>
        <w:rPr>
          <w:rFonts w:ascii="宋体" w:hAnsi="宋体" w:eastAsia="宋体" w:cs="仿宋"/>
          <w:kern w:val="0"/>
          <w:szCs w:val="21"/>
        </w:rPr>
      </w:pPr>
      <w:r>
        <w:rPr>
          <w:rFonts w:hint="eastAsia" w:ascii="宋体" w:hAnsi="宋体" w:eastAsia="宋体" w:cs="仿宋"/>
          <w:kern w:val="0"/>
          <w:szCs w:val="21"/>
        </w:rPr>
        <w:t>投保人应按照合同约定交付保险费。</w:t>
      </w:r>
    </w:p>
    <w:p>
      <w:pPr>
        <w:widowControl/>
        <w:numPr>
          <w:ilvl w:val="0"/>
          <w:numId w:val="47"/>
        </w:numPr>
        <w:tabs>
          <w:tab w:val="left" w:pos="1418"/>
        </w:tabs>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被保险人应严格遵守有关安全生产的法律法规以及国家及政府有关部门制定的其他相关法律、法规及规定，加强管理，采取合理的预防措施，尽力避免或减少责任事故的发生。</w:t>
      </w:r>
    </w:p>
    <w:p>
      <w:pPr>
        <w:widowControl/>
        <w:numPr>
          <w:ilvl w:val="0"/>
          <w:numId w:val="47"/>
        </w:numPr>
        <w:tabs>
          <w:tab w:val="left" w:pos="1418"/>
        </w:tabs>
        <w:adjustRightInd w:val="0"/>
        <w:spacing w:line="360" w:lineRule="exact"/>
        <w:ind w:firstLine="422" w:firstLineChars="200"/>
        <w:jc w:val="left"/>
        <w:rPr>
          <w:rFonts w:ascii="宋体" w:hAnsi="宋体" w:eastAsia="宋体" w:cs="仿宋"/>
          <w:b/>
          <w:kern w:val="0"/>
          <w:szCs w:val="21"/>
        </w:rPr>
      </w:pPr>
      <w:r>
        <w:rPr>
          <w:rFonts w:hint="eastAsia" w:ascii="宋体" w:hAnsi="宋体" w:eastAsia="宋体" w:cs="仿宋"/>
          <w:b/>
          <w:kern w:val="0"/>
          <w:szCs w:val="21"/>
        </w:rPr>
        <w:t>在保险合同有效期内，本合同列明的重要事项如企业行业细分、从业人员人数发生变更导致保险标的危险程度显著增加的，被保险人应当及时书面通知保险人，保险人应及时办理批改手续，调整保险费或解除合同。</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被保险人未履行前款约定的通知义务的，因保险标的的危险程度显著增加而发生的保险事故，保险人不承担赔偿保险金的责任。</w:t>
      </w:r>
    </w:p>
    <w:p>
      <w:pPr>
        <w:widowControl/>
        <w:numPr>
          <w:ilvl w:val="0"/>
          <w:numId w:val="47"/>
        </w:numPr>
        <w:tabs>
          <w:tab w:val="left" w:pos="1418"/>
        </w:tabs>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保险事故发生时，被保险人应当：</w:t>
      </w:r>
    </w:p>
    <w:p>
      <w:pPr>
        <w:widowControl/>
        <w:adjustRightInd w:val="0"/>
        <w:spacing w:line="360" w:lineRule="exact"/>
        <w:ind w:firstLine="420" w:firstLineChars="200"/>
        <w:jc w:val="left"/>
        <w:rPr>
          <w:rFonts w:ascii="宋体" w:hAnsi="宋体" w:eastAsia="宋体" w:cs="仿宋"/>
          <w:b/>
          <w:bCs/>
          <w:kern w:val="0"/>
          <w:szCs w:val="21"/>
        </w:rPr>
      </w:pPr>
      <w:r>
        <w:rPr>
          <w:rFonts w:hint="eastAsia" w:ascii="宋体" w:hAnsi="宋体" w:eastAsia="宋体" w:cs="仿宋"/>
          <w:kern w:val="0"/>
          <w:szCs w:val="21"/>
        </w:rPr>
        <w:t>（一）尽力采取必要的措施，防止或减少损失；</w:t>
      </w:r>
    </w:p>
    <w:p>
      <w:pPr>
        <w:widowControl/>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（二）及时通知保险人，并书面说明事故发生的原因、经过和损失情况；</w:t>
      </w:r>
      <w:r>
        <w:rPr>
          <w:rFonts w:hint="eastAsia" w:ascii="宋体" w:hAnsi="宋体" w:eastAsia="宋体" w:cs="仿宋"/>
          <w:b/>
          <w:bCs/>
          <w:kern w:val="0"/>
          <w:szCs w:val="21"/>
        </w:rPr>
        <w:t>故意或因重大过失未及时通知，致使保险事故的性质、原因、损失程度等难以确定的，保险人对无法确定的部分，不承担赔偿责任</w:t>
      </w:r>
      <w:r>
        <w:rPr>
          <w:rFonts w:hint="eastAsia" w:ascii="宋体" w:hAnsi="宋体" w:eastAsia="宋体" w:cs="仿宋"/>
          <w:bCs/>
          <w:kern w:val="0"/>
          <w:szCs w:val="21"/>
        </w:rPr>
        <w:t>，</w:t>
      </w:r>
      <w:r>
        <w:rPr>
          <w:rFonts w:hint="eastAsia" w:ascii="宋体" w:hAnsi="宋体" w:eastAsia="宋体" w:cs="仿宋"/>
          <w:kern w:val="0"/>
          <w:szCs w:val="21"/>
        </w:rPr>
        <w:t>但保险人通过其他途径已经及时知道或应当及时知道保险事故发生的除外；</w:t>
      </w:r>
    </w:p>
    <w:p>
      <w:pPr>
        <w:widowControl/>
        <w:adjustRightInd w:val="0"/>
        <w:spacing w:line="360" w:lineRule="exact"/>
        <w:ind w:firstLine="420" w:firstLineChars="200"/>
        <w:jc w:val="left"/>
        <w:rPr>
          <w:rFonts w:ascii="宋体" w:hAnsi="宋体" w:eastAsia="宋体" w:cs="仿宋"/>
          <w:bCs/>
          <w:kern w:val="0"/>
          <w:szCs w:val="21"/>
        </w:rPr>
      </w:pPr>
      <w:r>
        <w:rPr>
          <w:rFonts w:hint="eastAsia" w:ascii="宋体" w:hAnsi="宋体" w:eastAsia="宋体" w:cs="仿宋"/>
          <w:kern w:val="0"/>
          <w:szCs w:val="21"/>
        </w:rPr>
        <w:t>（三）保护事故现场，允许并且协助保险人进行事故调查；</w:t>
      </w:r>
      <w:r>
        <w:rPr>
          <w:rFonts w:hint="eastAsia" w:ascii="宋体" w:hAnsi="宋体" w:eastAsia="宋体" w:cs="仿宋"/>
          <w:b/>
          <w:bCs/>
          <w:kern w:val="0"/>
          <w:szCs w:val="21"/>
        </w:rPr>
        <w:t>对于拒绝或者妨碍保险人进行事故调查导致无法确定事故原因或核实损失情况的，保险人对无法确定或核实的部分，不承担赔偿责任</w:t>
      </w:r>
      <w:r>
        <w:rPr>
          <w:rFonts w:hint="eastAsia" w:ascii="宋体" w:hAnsi="宋体" w:eastAsia="宋体" w:cs="仿宋"/>
          <w:bCs/>
          <w:kern w:val="0"/>
          <w:szCs w:val="21"/>
        </w:rPr>
        <w:t>。</w:t>
      </w:r>
    </w:p>
    <w:p>
      <w:pPr>
        <w:widowControl/>
        <w:numPr>
          <w:ilvl w:val="0"/>
          <w:numId w:val="47"/>
        </w:numPr>
        <w:tabs>
          <w:tab w:val="left" w:pos="1418"/>
        </w:tabs>
        <w:adjustRightInd w:val="0"/>
        <w:spacing w:line="360" w:lineRule="exact"/>
        <w:ind w:left="-2" w:leftChars="-1" w:firstLineChars="200"/>
        <w:jc w:val="left"/>
        <w:rPr>
          <w:rFonts w:ascii="宋体" w:hAnsi="宋体" w:eastAsia="宋体" w:cs="仿宋"/>
          <w:b/>
          <w:kern w:val="0"/>
          <w:szCs w:val="21"/>
        </w:rPr>
      </w:pPr>
      <w:r>
        <w:rPr>
          <w:rFonts w:hint="eastAsia" w:ascii="宋体" w:hAnsi="宋体" w:eastAsia="宋体" w:cs="仿宋"/>
          <w:kern w:val="0"/>
          <w:szCs w:val="21"/>
        </w:rPr>
        <w:t>被保险人收到</w:t>
      </w:r>
      <w:r>
        <w:rPr>
          <w:rFonts w:hint="eastAsia" w:ascii="宋体" w:hAnsi="宋体" w:eastAsia="宋体"/>
          <w:kern w:val="0"/>
          <w:szCs w:val="21"/>
        </w:rPr>
        <w:t>被保险人的从业人员或第三者的损害赔偿请求或得知可能产生</w:t>
      </w:r>
      <w:r>
        <w:rPr>
          <w:rFonts w:hint="eastAsia" w:ascii="宋体" w:hAnsi="宋体" w:eastAsia="宋体" w:cs="仿宋"/>
          <w:kern w:val="0"/>
          <w:szCs w:val="21"/>
        </w:rPr>
        <w:t>损害赔偿时，应及时通知保险人。</w:t>
      </w:r>
      <w:r>
        <w:rPr>
          <w:rFonts w:hint="eastAsia" w:ascii="宋体" w:hAnsi="宋体" w:eastAsia="宋体" w:cs="仿宋"/>
          <w:b/>
          <w:kern w:val="0"/>
          <w:szCs w:val="21"/>
        </w:rPr>
        <w:t>未经保险人书面同意，被保险人对从业人员或第三者做出的任何承诺、拒绝、出价、约定、付款或赔偿，保险人不受其约束。对于被保险人自行承诺或支付的赔偿金额，保险人有权重新核定，不属于本保险合同责任范围或超出赔偿限额的，保险人不承担赔偿责任。</w:t>
      </w:r>
    </w:p>
    <w:p>
      <w:pPr>
        <w:widowControl/>
        <w:numPr>
          <w:ilvl w:val="0"/>
          <w:numId w:val="47"/>
        </w:numPr>
        <w:tabs>
          <w:tab w:val="left" w:pos="1418"/>
        </w:tabs>
        <w:adjustRightInd w:val="0"/>
        <w:spacing w:line="360" w:lineRule="exact"/>
        <w:ind w:left="-2" w:leftChars="-1" w:firstLineChars="200"/>
        <w:jc w:val="left"/>
        <w:rPr>
          <w:rFonts w:ascii="宋体" w:hAnsi="宋体" w:eastAsia="宋体" w:cs="仿宋"/>
          <w:kern w:val="0"/>
          <w:szCs w:val="21"/>
        </w:rPr>
      </w:pPr>
      <w:r>
        <w:rPr>
          <w:rFonts w:hint="eastAsia" w:ascii="宋体" w:hAnsi="宋体" w:eastAsia="宋体" w:cs="仿宋"/>
          <w:kern w:val="0"/>
          <w:szCs w:val="21"/>
        </w:rPr>
        <w:t>保险事故发生后，按照保险合同请求保险人赔偿保险金时，被保险人应当向保险人提供其所能提供的与确认保险事故的性质、原因、损失程度等有关的证明和资料。</w:t>
      </w:r>
    </w:p>
    <w:p>
      <w:pPr>
        <w:widowControl/>
        <w:tabs>
          <w:tab w:val="left" w:pos="1134"/>
          <w:tab w:val="left" w:pos="1418"/>
        </w:tabs>
        <w:adjustRightInd w:val="0"/>
        <w:spacing w:line="360" w:lineRule="exact"/>
        <w:ind w:firstLine="422" w:firstLineChars="200"/>
        <w:jc w:val="left"/>
        <w:rPr>
          <w:rFonts w:ascii="宋体" w:hAnsi="宋体" w:eastAsia="宋体" w:cs="仿宋"/>
          <w:b/>
          <w:kern w:val="0"/>
          <w:szCs w:val="21"/>
        </w:rPr>
      </w:pPr>
      <w:r>
        <w:rPr>
          <w:rFonts w:hint="eastAsia" w:ascii="宋体" w:hAnsi="宋体" w:eastAsia="宋体" w:cs="仿宋"/>
          <w:b/>
          <w:bCs/>
          <w:kern w:val="0"/>
          <w:szCs w:val="21"/>
        </w:rPr>
        <w:t>被保险人未履行前款约定的索赔材料提供义务，导致保险人无法核实损失情况的，保险人对无法核实部分不承担赔偿责任。</w:t>
      </w:r>
    </w:p>
    <w:p>
      <w:pPr>
        <w:widowControl/>
        <w:numPr>
          <w:ilvl w:val="0"/>
          <w:numId w:val="47"/>
        </w:numPr>
        <w:tabs>
          <w:tab w:val="left" w:pos="1418"/>
        </w:tabs>
        <w:adjustRightInd w:val="0"/>
        <w:spacing w:line="360" w:lineRule="exact"/>
        <w:ind w:left="-2" w:leftChars="-1" w:firstLineChars="200"/>
        <w:jc w:val="left"/>
        <w:rPr>
          <w:rFonts w:ascii="宋体" w:hAnsi="宋体" w:eastAsia="宋体" w:cs="仿宋"/>
          <w:kern w:val="0"/>
          <w:szCs w:val="21"/>
        </w:rPr>
      </w:pPr>
      <w:r>
        <w:rPr>
          <w:rFonts w:hint="eastAsia" w:ascii="宋体" w:hAnsi="宋体" w:eastAsia="宋体" w:cs="仿宋"/>
          <w:kern w:val="0"/>
          <w:szCs w:val="21"/>
        </w:rPr>
        <w:t>发生保险责任范围内的损失，应由有关责任方负责赔偿的，被保险人应行使或保留向该责任方请求赔偿的权利。</w:t>
      </w:r>
      <w:r>
        <w:rPr>
          <w:rFonts w:hint="eastAsia" w:ascii="宋体" w:hAnsi="宋体" w:eastAsia="宋体" w:cs="仿宋"/>
          <w:b/>
          <w:bCs/>
          <w:kern w:val="0"/>
          <w:szCs w:val="21"/>
        </w:rPr>
        <w:t>保险事故发生后，保险人未赔偿保险金之前，被保险人放弃对有关责任方请求赔偿的权利的，保险人不承担赔偿责任。</w:t>
      </w:r>
    </w:p>
    <w:p>
      <w:pPr>
        <w:widowControl/>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保险人向被保险人赔偿保险金后，被保险人未经保险人同意放弃对有关责任方请求赔偿的权利的，该行为无效。</w:t>
      </w:r>
    </w:p>
    <w:p>
      <w:pPr>
        <w:widowControl/>
        <w:spacing w:line="360" w:lineRule="exact"/>
        <w:ind w:firstLine="420" w:firstLineChars="200"/>
        <w:jc w:val="left"/>
        <w:rPr>
          <w:rFonts w:ascii="宋体" w:hAnsi="宋体" w:eastAsia="宋体" w:cs="仿宋"/>
          <w:bCs/>
          <w:kern w:val="0"/>
          <w:szCs w:val="21"/>
        </w:rPr>
      </w:pPr>
      <w:r>
        <w:rPr>
          <w:rFonts w:hint="eastAsia" w:ascii="宋体" w:hAnsi="宋体" w:eastAsia="宋体" w:cs="仿宋"/>
          <w:bCs/>
          <w:kern w:val="0"/>
          <w:szCs w:val="21"/>
        </w:rPr>
        <w:t>在保险人向有关责任方行使代位请求赔偿权利时，被保险人应当向保险人提供必要的文件和其所知道的有关情况。</w:t>
      </w:r>
    </w:p>
    <w:p>
      <w:pPr>
        <w:widowControl/>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由于被保险人的故意或者重大过失致使保险人不能行使代位请求赔偿的权利的，保险人可以扣减或者要求返还相应的保险金。</w:t>
      </w:r>
    </w:p>
    <w:p>
      <w:pPr>
        <w:widowControl/>
        <w:numPr>
          <w:ilvl w:val="0"/>
          <w:numId w:val="47"/>
        </w:numPr>
        <w:tabs>
          <w:tab w:val="left" w:pos="1418"/>
        </w:tabs>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被保险人获悉可能发生诉讼、仲裁时，应及时以书面形式通知保险人；接到法院传票或其他法律文书后，应将其副本及时送交保险人。</w:t>
      </w:r>
      <w:r>
        <w:rPr>
          <w:rFonts w:hint="eastAsia" w:ascii="宋体" w:hAnsi="宋体" w:eastAsia="宋体" w:cs="仿宋"/>
          <w:b/>
          <w:kern w:val="0"/>
          <w:szCs w:val="21"/>
        </w:rPr>
        <w:t>必要时，经被保险人同意，保险人可以以被保险人的名义处理有关诉讼或仲裁事宜，被保险人应提供有关文件并给予必要协助。</w:t>
      </w:r>
    </w:p>
    <w:p>
      <w:pPr>
        <w:widowControl/>
        <w:adjustRightInd w:val="0"/>
        <w:spacing w:line="360" w:lineRule="exact"/>
        <w:ind w:firstLine="422" w:firstLineChars="200"/>
        <w:jc w:val="left"/>
        <w:rPr>
          <w:rFonts w:ascii="宋体" w:hAnsi="宋体" w:eastAsia="宋体" w:cs="仿宋"/>
          <w:b/>
          <w:bCs/>
          <w:kern w:val="0"/>
          <w:szCs w:val="21"/>
        </w:rPr>
      </w:pPr>
      <w:r>
        <w:rPr>
          <w:rFonts w:hint="eastAsia" w:ascii="宋体" w:hAnsi="宋体" w:eastAsia="宋体" w:cs="仿宋"/>
          <w:b/>
          <w:bCs/>
          <w:kern w:val="0"/>
          <w:szCs w:val="21"/>
        </w:rPr>
        <w:t>对因未及时提供上述通知或必要协助导致扩大的损失，保险人不承担赔偿责任。</w:t>
      </w:r>
    </w:p>
    <w:p>
      <w:pPr>
        <w:widowControl/>
        <w:numPr>
          <w:ilvl w:val="0"/>
          <w:numId w:val="47"/>
        </w:numPr>
        <w:tabs>
          <w:tab w:val="left" w:pos="1418"/>
        </w:tabs>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被保险人向保险人请求赔偿时，应提交下列证明材料：</w:t>
      </w:r>
    </w:p>
    <w:p>
      <w:pPr>
        <w:widowControl/>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（一）索赔通知书（含事故情况说明）；</w:t>
      </w:r>
    </w:p>
    <w:p>
      <w:pPr>
        <w:widowControl/>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（二）伤亡人员名单、身份证明及被保险人与从业人员的人事关系证明；</w:t>
      </w:r>
    </w:p>
    <w:p>
      <w:pPr>
        <w:widowControl/>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（三）发生人员死亡的，提供医疗机构或公安机关出具的死亡证明，宣告死亡的，提供人民法院宣告死亡的证明；发生人员受伤致残的，提供伤残鉴定机构或有伤残鉴定资质的医疗机构出具的残疾程度证明；</w:t>
      </w:r>
      <w:r>
        <w:rPr>
          <w:rFonts w:ascii="宋体" w:hAnsi="宋体" w:eastAsia="宋体" w:cs="仿宋"/>
          <w:kern w:val="0"/>
          <w:szCs w:val="21"/>
        </w:rPr>
        <w:t>发生医疗救护的，提供</w:t>
      </w:r>
      <w:r>
        <w:rPr>
          <w:rFonts w:hint="eastAsia" w:ascii="宋体" w:hAnsi="宋体" w:eastAsia="宋体"/>
          <w:kern w:val="0"/>
          <w:szCs w:val="21"/>
        </w:rPr>
        <w:t>病历、诊断证明、医疗费等医疗单据</w:t>
      </w:r>
      <w:r>
        <w:rPr>
          <w:rFonts w:hint="eastAsia" w:ascii="宋体" w:hAnsi="宋体" w:eastAsia="宋体" w:cs="仿宋"/>
          <w:kern w:val="0"/>
          <w:szCs w:val="21"/>
        </w:rPr>
        <w:t>；</w:t>
      </w:r>
    </w:p>
    <w:p>
      <w:pPr>
        <w:widowControl/>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（四）依照本保险合同应当由被保险人承担的费用的证明材料；如发生救援费用，被保险人支付的救援费用凭据；如发生调查勘验费用，被保险人支付的调查勘验费用凭据；如发生伤残</w:t>
      </w:r>
      <w:r>
        <w:rPr>
          <w:rFonts w:ascii="宋体" w:hAnsi="宋体" w:eastAsia="宋体" w:cs="仿宋"/>
          <w:kern w:val="0"/>
          <w:szCs w:val="21"/>
        </w:rPr>
        <w:t>鉴定</w:t>
      </w:r>
      <w:r>
        <w:rPr>
          <w:rFonts w:hint="eastAsia" w:ascii="宋体" w:hAnsi="宋体" w:eastAsia="宋体" w:cs="仿宋"/>
          <w:kern w:val="0"/>
          <w:szCs w:val="21"/>
        </w:rPr>
        <w:t>费用，被保险人支付的伤残</w:t>
      </w:r>
      <w:r>
        <w:rPr>
          <w:rFonts w:ascii="宋体" w:hAnsi="宋体" w:eastAsia="宋体" w:cs="仿宋"/>
          <w:kern w:val="0"/>
          <w:szCs w:val="21"/>
        </w:rPr>
        <w:t>鉴定</w:t>
      </w:r>
      <w:r>
        <w:rPr>
          <w:rFonts w:hint="eastAsia" w:ascii="宋体" w:hAnsi="宋体" w:eastAsia="宋体" w:cs="仿宋"/>
          <w:kern w:val="0"/>
          <w:szCs w:val="21"/>
        </w:rPr>
        <w:t>费用凭据；如发生医疗费用，被保险人支付的医疗费用凭据；如发生法律费用，被保险人支付的法律费用凭据；</w:t>
      </w:r>
    </w:p>
    <w:p>
      <w:pPr>
        <w:widowControl/>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（五）有关的法律文书（裁定书、裁决书、判决书、调解书等）或和解协议以及其他投保人、被保险人所能提供的与确认保险事故的性质、原因、损失程度等有关的证明和资料；</w:t>
      </w:r>
    </w:p>
    <w:p>
      <w:pPr>
        <w:widowControl/>
        <w:adjustRightInd w:val="0"/>
        <w:spacing w:line="360" w:lineRule="exact"/>
        <w:ind w:firstLine="420" w:firstLineChars="200"/>
        <w:jc w:val="left"/>
        <w:rPr>
          <w:rFonts w:ascii="宋体" w:hAnsi="宋体" w:eastAsia="宋体" w:cs="仿宋"/>
          <w:b/>
          <w:bCs/>
          <w:kern w:val="0"/>
          <w:szCs w:val="21"/>
        </w:rPr>
      </w:pPr>
      <w:r>
        <w:rPr>
          <w:rFonts w:hint="eastAsia" w:ascii="宋体" w:hAnsi="宋体" w:eastAsia="宋体" w:cs="仿宋"/>
          <w:kern w:val="0"/>
          <w:szCs w:val="21"/>
        </w:rPr>
        <w:t>（六</w:t>
      </w:r>
      <w:r>
        <w:rPr>
          <w:rFonts w:ascii="宋体" w:hAnsi="宋体" w:eastAsia="宋体" w:cs="仿宋"/>
          <w:kern w:val="0"/>
          <w:szCs w:val="21"/>
        </w:rPr>
        <w:t>）</w:t>
      </w:r>
      <w:r>
        <w:rPr>
          <w:rFonts w:hint="eastAsia" w:ascii="宋体" w:hAnsi="宋体" w:eastAsia="宋体"/>
          <w:kern w:val="0"/>
          <w:szCs w:val="21"/>
        </w:rPr>
        <w:t>经保险人同意，被保险人与受害人达成的赔偿协议或赔偿金支付凭据</w:t>
      </w:r>
      <w:r>
        <w:rPr>
          <w:rFonts w:hint="eastAsia" w:ascii="宋体" w:hAnsi="宋体" w:eastAsia="宋体" w:cs="仿宋"/>
          <w:kern w:val="0"/>
          <w:szCs w:val="21"/>
        </w:rPr>
        <w:t>。</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赔偿处理</w:t>
      </w:r>
    </w:p>
    <w:p>
      <w:pPr>
        <w:widowControl/>
        <w:numPr>
          <w:ilvl w:val="0"/>
          <w:numId w:val="47"/>
        </w:numPr>
        <w:tabs>
          <w:tab w:val="left" w:pos="1418"/>
        </w:tabs>
        <w:adjustRightInd w:val="0"/>
        <w:spacing w:line="360" w:lineRule="exact"/>
        <w:ind w:left="-2" w:leftChars="-1" w:firstLine="422" w:firstLineChars="200"/>
        <w:jc w:val="left"/>
        <w:rPr>
          <w:rFonts w:ascii="宋体" w:hAnsi="宋体" w:eastAsia="宋体" w:cs="仿宋"/>
          <w:b/>
          <w:kern w:val="0"/>
          <w:szCs w:val="21"/>
        </w:rPr>
      </w:pPr>
      <w:r>
        <w:rPr>
          <w:rFonts w:hint="eastAsia" w:ascii="宋体" w:hAnsi="宋体" w:eastAsia="宋体" w:cs="仿宋"/>
          <w:b/>
          <w:kern w:val="0"/>
          <w:szCs w:val="21"/>
        </w:rPr>
        <w:t>保险人的赔偿以下列方式之一确定的被保险人的赔偿责任为基础，并依照本保险合同约定负责赔偿：</w:t>
      </w:r>
    </w:p>
    <w:p>
      <w:pPr>
        <w:widowControl/>
        <w:adjustRightInd w:val="0"/>
        <w:spacing w:line="360" w:lineRule="exact"/>
        <w:ind w:left="-2" w:leftChars="-1" w:firstLine="420" w:firstLineChars="200"/>
        <w:jc w:val="left"/>
        <w:rPr>
          <w:rFonts w:ascii="宋体" w:hAnsi="宋体" w:eastAsia="宋体" w:cs="仿宋"/>
          <w:kern w:val="0"/>
          <w:szCs w:val="21"/>
        </w:rPr>
      </w:pPr>
      <w:r>
        <w:rPr>
          <w:rFonts w:hint="eastAsia" w:ascii="宋体" w:hAnsi="宋体" w:eastAsia="宋体" w:cs="仿宋"/>
          <w:kern w:val="0"/>
          <w:szCs w:val="21"/>
        </w:rPr>
        <w:t>（一）保险人及被保险人认可的第三方机构依据法律、法规及本保险合同的约定做出的赔偿决定；</w:t>
      </w:r>
    </w:p>
    <w:p>
      <w:pPr>
        <w:widowControl/>
        <w:adjustRightInd w:val="0"/>
        <w:spacing w:line="360" w:lineRule="exact"/>
        <w:ind w:left="-2" w:leftChars="-1" w:firstLine="420" w:firstLineChars="200"/>
        <w:jc w:val="left"/>
        <w:rPr>
          <w:rFonts w:ascii="宋体" w:hAnsi="宋体" w:eastAsia="宋体" w:cs="仿宋"/>
          <w:kern w:val="0"/>
          <w:szCs w:val="21"/>
        </w:rPr>
      </w:pPr>
      <w:r>
        <w:rPr>
          <w:rFonts w:hint="eastAsia" w:ascii="宋体" w:hAnsi="宋体" w:eastAsia="宋体" w:cs="仿宋"/>
          <w:kern w:val="0"/>
          <w:szCs w:val="21"/>
        </w:rPr>
        <w:t>（二</w:t>
      </w:r>
      <w:r>
        <w:rPr>
          <w:rFonts w:ascii="宋体" w:hAnsi="宋体" w:eastAsia="宋体" w:cs="仿宋"/>
          <w:kern w:val="0"/>
          <w:szCs w:val="21"/>
        </w:rPr>
        <w:t>）</w:t>
      </w:r>
      <w:r>
        <w:rPr>
          <w:rFonts w:hint="eastAsia" w:ascii="宋体" w:hAnsi="宋体" w:eastAsia="宋体" w:cs="仿宋"/>
          <w:kern w:val="0"/>
          <w:szCs w:val="21"/>
        </w:rPr>
        <w:t>被保险人和向其提出损害赔偿请求的受害人协商并经保险人确认；</w:t>
      </w:r>
    </w:p>
    <w:p>
      <w:pPr>
        <w:widowControl/>
        <w:adjustRightInd w:val="0"/>
        <w:spacing w:line="360" w:lineRule="exact"/>
        <w:ind w:left="-2" w:leftChars="-1" w:firstLine="420" w:firstLineChars="200"/>
        <w:jc w:val="left"/>
        <w:rPr>
          <w:rFonts w:ascii="宋体" w:hAnsi="宋体" w:eastAsia="宋体" w:cs="仿宋"/>
          <w:kern w:val="0"/>
          <w:szCs w:val="21"/>
        </w:rPr>
      </w:pPr>
      <w:r>
        <w:rPr>
          <w:rFonts w:hint="eastAsia" w:ascii="宋体" w:hAnsi="宋体" w:eastAsia="宋体" w:cs="仿宋"/>
          <w:kern w:val="0"/>
          <w:szCs w:val="21"/>
        </w:rPr>
        <w:t>（三）人民法院判决、调解；</w:t>
      </w:r>
    </w:p>
    <w:p>
      <w:pPr>
        <w:widowControl/>
        <w:adjustRightInd w:val="0"/>
        <w:spacing w:line="360" w:lineRule="exact"/>
        <w:ind w:left="-2" w:leftChars="-1" w:firstLine="420" w:firstLineChars="200"/>
        <w:jc w:val="left"/>
        <w:rPr>
          <w:rFonts w:ascii="宋体" w:hAnsi="宋体" w:eastAsia="宋体" w:cs="仿宋"/>
          <w:kern w:val="0"/>
          <w:szCs w:val="21"/>
        </w:rPr>
      </w:pPr>
      <w:r>
        <w:rPr>
          <w:rFonts w:hint="eastAsia" w:ascii="宋体" w:hAnsi="宋体" w:eastAsia="宋体" w:cs="仿宋"/>
          <w:kern w:val="0"/>
          <w:szCs w:val="21"/>
        </w:rPr>
        <w:t>（四）仲裁机构裁决、调解；</w:t>
      </w:r>
    </w:p>
    <w:p>
      <w:pPr>
        <w:widowControl/>
        <w:tabs>
          <w:tab w:val="left" w:pos="1134"/>
          <w:tab w:val="left" w:pos="1418"/>
        </w:tabs>
        <w:adjustRightInd w:val="0"/>
        <w:spacing w:line="360" w:lineRule="exact"/>
        <w:ind w:left="-2" w:leftChars="-1" w:firstLine="420" w:firstLineChars="200"/>
        <w:jc w:val="left"/>
        <w:rPr>
          <w:rFonts w:ascii="宋体" w:hAnsi="宋体" w:eastAsia="宋体" w:cs="仿宋"/>
          <w:kern w:val="0"/>
          <w:szCs w:val="21"/>
        </w:rPr>
      </w:pPr>
      <w:r>
        <w:rPr>
          <w:rFonts w:hint="eastAsia" w:ascii="宋体" w:hAnsi="宋体" w:eastAsia="宋体" w:cs="仿宋"/>
          <w:kern w:val="0"/>
          <w:szCs w:val="21"/>
        </w:rPr>
        <w:t>（五）保险人认可的其它方式。</w:t>
      </w:r>
    </w:p>
    <w:p>
      <w:pPr>
        <w:widowControl/>
        <w:numPr>
          <w:ilvl w:val="0"/>
          <w:numId w:val="47"/>
        </w:numPr>
        <w:tabs>
          <w:tab w:val="left" w:pos="1418"/>
        </w:tabs>
        <w:adjustRightInd w:val="0"/>
        <w:spacing w:line="360" w:lineRule="exact"/>
        <w:ind w:left="-2" w:leftChars="-1" w:firstLine="422" w:firstLineChars="200"/>
        <w:jc w:val="left"/>
        <w:rPr>
          <w:rFonts w:ascii="宋体" w:hAnsi="宋体" w:eastAsia="宋体" w:cs="仿宋"/>
          <w:b/>
          <w:kern w:val="0"/>
          <w:szCs w:val="21"/>
        </w:rPr>
      </w:pPr>
      <w:r>
        <w:rPr>
          <w:rFonts w:hint="eastAsia" w:ascii="宋体" w:hAnsi="宋体" w:eastAsia="宋体" w:cs="仿宋"/>
          <w:b/>
          <w:kern w:val="0"/>
          <w:szCs w:val="21"/>
        </w:rPr>
        <w:t>发生保险事故后，被保险人对从业人员应当承担的经济赔偿责任，保险人依照以下约定进行赔偿：</w:t>
      </w:r>
    </w:p>
    <w:p>
      <w:pPr>
        <w:widowControl/>
        <w:spacing w:line="360" w:lineRule="exact"/>
        <w:ind w:left="-2" w:leftChars="-1" w:firstLine="420" w:firstLineChars="200"/>
        <w:jc w:val="left"/>
        <w:rPr>
          <w:rFonts w:ascii="宋体" w:hAnsi="宋体" w:eastAsia="宋体" w:cs="仿宋"/>
          <w:b/>
          <w:bCs/>
          <w:kern w:val="0"/>
          <w:szCs w:val="21"/>
        </w:rPr>
      </w:pPr>
      <w:r>
        <w:rPr>
          <w:rFonts w:hint="eastAsia" w:ascii="宋体" w:hAnsi="宋体" w:eastAsia="宋体" w:cs="仿宋"/>
          <w:kern w:val="0"/>
          <w:szCs w:val="21"/>
        </w:rPr>
        <w:t>（一）本保险与工伤保险是并行关系，因保险事故导致被保险人从业人员死亡或残疾的，被保险人可以选择向保险人或者工伤保险进行索赔。无论被保险人是否向工伤保险索赔，</w:t>
      </w:r>
      <w:r>
        <w:rPr>
          <w:rFonts w:hint="eastAsia" w:ascii="宋体" w:hAnsi="宋体" w:eastAsia="宋体" w:cs="仿宋"/>
          <w:b/>
          <w:kern w:val="0"/>
          <w:szCs w:val="21"/>
        </w:rPr>
        <w:t>保险人负责对死亡赔偿金、残疾赔偿金在本保险合同约定的限额内进行赔偿</w:t>
      </w:r>
      <w:r>
        <w:rPr>
          <w:rFonts w:hint="eastAsia" w:ascii="宋体" w:hAnsi="宋体" w:eastAsia="宋体" w:cs="仿宋"/>
          <w:kern w:val="0"/>
          <w:szCs w:val="21"/>
        </w:rPr>
        <w:t>。</w:t>
      </w:r>
    </w:p>
    <w:p>
      <w:pPr>
        <w:widowControl/>
        <w:spacing w:line="360" w:lineRule="exact"/>
        <w:ind w:left="-2" w:leftChars="-1" w:firstLine="420" w:firstLineChars="200"/>
        <w:jc w:val="left"/>
        <w:rPr>
          <w:rFonts w:ascii="宋体" w:hAnsi="宋体" w:eastAsia="宋体" w:cs="仿宋"/>
          <w:kern w:val="0"/>
          <w:szCs w:val="21"/>
        </w:rPr>
      </w:pPr>
      <w:r>
        <w:rPr>
          <w:rFonts w:hint="eastAsia" w:ascii="宋体" w:hAnsi="宋体" w:eastAsia="宋体" w:cs="仿宋"/>
          <w:kern w:val="0"/>
          <w:szCs w:val="21"/>
        </w:rPr>
        <w:t>（二）被保险人从业人员死亡的，</w:t>
      </w:r>
      <w:r>
        <w:rPr>
          <w:rFonts w:hint="eastAsia" w:ascii="宋体" w:hAnsi="宋体" w:eastAsia="宋体" w:cs="仿宋"/>
          <w:b/>
          <w:kern w:val="0"/>
          <w:szCs w:val="21"/>
        </w:rPr>
        <w:t>保险人对死亡赔偿金按照从业人员每次事故每人伤亡责任限额赔偿</w:t>
      </w:r>
      <w:r>
        <w:rPr>
          <w:rFonts w:hint="eastAsia" w:ascii="宋体" w:hAnsi="宋体" w:eastAsia="宋体" w:cs="仿宋"/>
          <w:kern w:val="0"/>
          <w:szCs w:val="21"/>
        </w:rPr>
        <w:t>。</w:t>
      </w:r>
    </w:p>
    <w:p>
      <w:pPr>
        <w:widowControl/>
        <w:spacing w:line="360" w:lineRule="exact"/>
        <w:ind w:left="-2" w:leftChars="-1" w:firstLine="420" w:firstLineChars="200"/>
        <w:jc w:val="left"/>
        <w:rPr>
          <w:rFonts w:ascii="宋体" w:hAnsi="宋体" w:eastAsia="宋体" w:cs="仿宋"/>
          <w:kern w:val="0"/>
          <w:szCs w:val="21"/>
        </w:rPr>
      </w:pPr>
      <w:r>
        <w:rPr>
          <w:rFonts w:hint="eastAsia" w:ascii="宋体" w:hAnsi="宋体" w:eastAsia="宋体" w:cs="仿宋"/>
          <w:kern w:val="0"/>
          <w:szCs w:val="21"/>
        </w:rPr>
        <w:t>（三）被保险人从业人员残疾的，伤残级别依照《劳动能力鉴定</w:t>
      </w:r>
      <w:r>
        <w:rPr>
          <w:rFonts w:ascii="宋体" w:hAnsi="宋体" w:eastAsia="宋体" w:cs="仿宋"/>
          <w:kern w:val="0"/>
          <w:szCs w:val="21"/>
        </w:rPr>
        <w:t xml:space="preserve"> 职工工伤与职业病致残等级》（国家质量监督检验检疫总局、国家标准化管理委员会2014年发布，标准编号为GB/T 16180-2014）</w:t>
      </w:r>
      <w:r>
        <w:rPr>
          <w:rFonts w:hint="eastAsia" w:ascii="宋体" w:hAnsi="宋体" w:eastAsia="宋体" w:cs="仿宋"/>
          <w:kern w:val="0"/>
          <w:szCs w:val="21"/>
        </w:rPr>
        <w:t>确定；</w:t>
      </w:r>
      <w:r>
        <w:rPr>
          <w:rFonts w:hint="eastAsia" w:ascii="宋体" w:hAnsi="宋体" w:eastAsia="宋体" w:cs="仿宋"/>
          <w:b/>
          <w:kern w:val="0"/>
          <w:szCs w:val="21"/>
        </w:rPr>
        <w:t>保险人对残疾赔偿金按照附表</w:t>
      </w:r>
      <w:r>
        <w:rPr>
          <w:rFonts w:ascii="宋体" w:hAnsi="宋体" w:eastAsia="宋体" w:cs="仿宋"/>
          <w:b/>
          <w:kern w:val="0"/>
          <w:szCs w:val="21"/>
        </w:rPr>
        <w:t>1对应的伤残赔偿比例乘以</w:t>
      </w:r>
      <w:r>
        <w:rPr>
          <w:rFonts w:hint="eastAsia" w:ascii="宋体" w:hAnsi="宋体" w:eastAsia="宋体" w:cs="仿宋"/>
          <w:b/>
          <w:kern w:val="0"/>
          <w:szCs w:val="21"/>
        </w:rPr>
        <w:t>从业人员每次事故每人伤亡责任限额赔偿</w:t>
      </w:r>
      <w:r>
        <w:rPr>
          <w:rFonts w:hint="eastAsia" w:ascii="宋体" w:hAnsi="宋体" w:eastAsia="宋体" w:cs="仿宋"/>
          <w:kern w:val="0"/>
          <w:szCs w:val="21"/>
        </w:rPr>
        <w:t>。</w:t>
      </w:r>
    </w:p>
    <w:p>
      <w:pPr>
        <w:widowControl/>
        <w:spacing w:line="360" w:lineRule="exact"/>
        <w:ind w:left="-2" w:leftChars="-1" w:firstLine="420" w:firstLineChars="200"/>
        <w:jc w:val="left"/>
        <w:rPr>
          <w:rFonts w:ascii="宋体" w:hAnsi="宋体" w:eastAsia="宋体" w:cs="仿宋"/>
          <w:kern w:val="0"/>
          <w:szCs w:val="21"/>
        </w:rPr>
      </w:pPr>
      <w:r>
        <w:rPr>
          <w:rFonts w:hint="eastAsia" w:ascii="宋体" w:hAnsi="宋体" w:eastAsia="宋体" w:cs="仿宋"/>
          <w:kern w:val="0"/>
          <w:szCs w:val="21"/>
        </w:rPr>
        <w:t>（四）对于被保险人从业人员的医疗费用，保险人依照《工伤保险条例》的赔偿标准，</w:t>
      </w:r>
      <w:r>
        <w:rPr>
          <w:rFonts w:hint="eastAsia" w:ascii="宋体" w:hAnsi="宋体" w:eastAsia="宋体" w:cs="仿宋"/>
          <w:b/>
          <w:kern w:val="0"/>
          <w:szCs w:val="21"/>
        </w:rPr>
        <w:t>在从业人员每次事故每人医疗费用责任限额内进行赔偿</w:t>
      </w:r>
      <w:r>
        <w:rPr>
          <w:rFonts w:hint="eastAsia" w:ascii="宋体" w:hAnsi="宋体" w:eastAsia="宋体" w:cs="仿宋"/>
          <w:kern w:val="0"/>
          <w:szCs w:val="21"/>
        </w:rPr>
        <w:t>。</w:t>
      </w:r>
    </w:p>
    <w:p>
      <w:pPr>
        <w:widowControl/>
        <w:adjustRightInd w:val="0"/>
        <w:spacing w:line="360" w:lineRule="exact"/>
        <w:ind w:left="-2" w:leftChars="-1" w:firstLine="420" w:firstLineChars="200"/>
        <w:jc w:val="left"/>
        <w:rPr>
          <w:rFonts w:ascii="宋体" w:hAnsi="宋体" w:eastAsia="宋体" w:cs="仿宋"/>
          <w:kern w:val="0"/>
          <w:szCs w:val="21"/>
        </w:rPr>
      </w:pPr>
      <w:r>
        <w:rPr>
          <w:rFonts w:hint="eastAsia" w:ascii="宋体" w:hAnsi="宋体" w:eastAsia="宋体" w:cs="仿宋"/>
          <w:kern w:val="0"/>
          <w:szCs w:val="21"/>
        </w:rPr>
        <w:t>医疗费用包括挂号费、治疗费、手术费、检查费、医药费；住院期间的床位费、陪护费、伙食费、取暖费、空调费；就（转）诊交通费、急救车费；安装假肢、假牙、假眼和残疾用具费用。其中，</w:t>
      </w:r>
      <w:r>
        <w:rPr>
          <w:rFonts w:hint="eastAsia" w:ascii="宋体" w:hAnsi="宋体" w:eastAsia="宋体" w:cs="仿宋"/>
          <w:b/>
          <w:kern w:val="0"/>
          <w:szCs w:val="21"/>
        </w:rPr>
        <w:t>停工留薪期内护理费每日赔偿标准以广西上年度在岗职工月平均工资</w:t>
      </w:r>
      <w:r>
        <w:rPr>
          <w:rFonts w:ascii="宋体" w:hAnsi="宋体" w:eastAsia="宋体" w:cs="仿宋"/>
          <w:b/>
          <w:kern w:val="0"/>
          <w:szCs w:val="21"/>
        </w:rPr>
        <w:t>1人的标准/30为限</w:t>
      </w:r>
      <w:r>
        <w:rPr>
          <w:rFonts w:hint="eastAsia" w:ascii="宋体" w:hAnsi="宋体" w:eastAsia="宋体" w:cs="仿宋"/>
          <w:kern w:val="0"/>
          <w:szCs w:val="21"/>
        </w:rPr>
        <w:t>。</w:t>
      </w:r>
    </w:p>
    <w:p>
      <w:pPr>
        <w:widowControl/>
        <w:adjustRightInd w:val="0"/>
        <w:spacing w:line="360" w:lineRule="exact"/>
        <w:ind w:left="-2" w:leftChars="-1" w:firstLine="420" w:firstLineChars="200"/>
        <w:jc w:val="left"/>
        <w:rPr>
          <w:rFonts w:ascii="宋体" w:hAnsi="宋体" w:eastAsia="宋体" w:cs="仿宋"/>
          <w:kern w:val="0"/>
          <w:szCs w:val="21"/>
        </w:rPr>
      </w:pPr>
      <w:r>
        <w:rPr>
          <w:rFonts w:hint="eastAsia" w:ascii="宋体" w:hAnsi="宋体" w:eastAsia="宋体" w:cs="仿宋"/>
          <w:kern w:val="0"/>
          <w:szCs w:val="21"/>
        </w:rPr>
        <w:t>对于实际发生的广西当地适用的工伤保险诊疗项目目录、工伤保险药品目录和工伤保险住院服务标准</w:t>
      </w:r>
      <w:r>
        <w:rPr>
          <w:rFonts w:hint="eastAsia" w:ascii="宋体" w:hAnsi="宋体" w:eastAsia="宋体" w:cs="仿宋"/>
          <w:b/>
          <w:kern w:val="0"/>
          <w:szCs w:val="21"/>
        </w:rPr>
        <w:t>以外</w:t>
      </w:r>
      <w:r>
        <w:rPr>
          <w:rFonts w:hint="eastAsia" w:ascii="宋体" w:hAnsi="宋体" w:eastAsia="宋体" w:cs="仿宋"/>
          <w:kern w:val="0"/>
          <w:szCs w:val="21"/>
        </w:rPr>
        <w:t>必要合理的医疗费、康复费的</w:t>
      </w:r>
      <w:r>
        <w:rPr>
          <w:rFonts w:ascii="宋体" w:hAnsi="宋体" w:eastAsia="宋体" w:cs="仿宋"/>
          <w:b/>
          <w:kern w:val="0"/>
          <w:szCs w:val="21"/>
        </w:rPr>
        <w:t>80%</w:t>
      </w:r>
      <w:r>
        <w:rPr>
          <w:rFonts w:hint="eastAsia" w:ascii="宋体" w:hAnsi="宋体" w:eastAsia="宋体" w:cs="仿宋"/>
          <w:kern w:val="0"/>
          <w:szCs w:val="21"/>
        </w:rPr>
        <w:t>，保险人按照保险合同约定</w:t>
      </w:r>
      <w:r>
        <w:rPr>
          <w:rFonts w:hint="eastAsia" w:ascii="宋体" w:hAnsi="宋体" w:eastAsia="宋体" w:cs="仿宋"/>
          <w:b/>
          <w:kern w:val="0"/>
          <w:szCs w:val="21"/>
        </w:rPr>
        <w:t>在从业人员每次事故每人医疗费用责任限额内进行赔偿</w:t>
      </w:r>
      <w:r>
        <w:rPr>
          <w:rFonts w:hint="eastAsia" w:ascii="宋体" w:hAnsi="宋体" w:eastAsia="宋体" w:cs="仿宋"/>
          <w:kern w:val="0"/>
          <w:szCs w:val="21"/>
        </w:rPr>
        <w:t>。</w:t>
      </w:r>
    </w:p>
    <w:p>
      <w:pPr>
        <w:widowControl/>
        <w:adjustRightInd w:val="0"/>
        <w:spacing w:line="360" w:lineRule="exact"/>
        <w:ind w:left="-2" w:leftChars="-1" w:firstLine="420" w:firstLineChars="200"/>
        <w:jc w:val="left"/>
        <w:rPr>
          <w:rFonts w:ascii="宋体" w:hAnsi="宋体" w:eastAsia="宋体" w:cs="仿宋"/>
          <w:b/>
          <w:kern w:val="0"/>
          <w:szCs w:val="21"/>
        </w:rPr>
      </w:pPr>
      <w:r>
        <w:rPr>
          <w:rFonts w:hint="eastAsia" w:ascii="宋体" w:hAnsi="宋体" w:eastAsia="宋体" w:cs="仿宋"/>
          <w:kern w:val="0"/>
          <w:szCs w:val="21"/>
        </w:rPr>
        <w:t>（五）对于被保险人的从业人员暂时丧失工作能力而遭受的误工损失（以下简称“误工费”），保险人的赔偿标准为：</w:t>
      </w:r>
      <w:r>
        <w:rPr>
          <w:rFonts w:hint="eastAsia" w:ascii="宋体" w:hAnsi="宋体" w:eastAsia="宋体" w:cs="仿宋"/>
          <w:b/>
          <w:kern w:val="0"/>
          <w:szCs w:val="21"/>
        </w:rPr>
        <w:t>被保险人的从业人员月工资标准</w:t>
      </w:r>
      <w:r>
        <w:rPr>
          <w:rFonts w:ascii="宋体" w:hAnsi="宋体" w:eastAsia="宋体" w:cs="仿宋"/>
          <w:b/>
          <w:kern w:val="0"/>
          <w:szCs w:val="21"/>
        </w:rPr>
        <w:t>/30×实际丧失工作能力天数</w:t>
      </w:r>
      <w:r>
        <w:rPr>
          <w:rFonts w:hint="eastAsia" w:ascii="宋体" w:hAnsi="宋体" w:eastAsia="宋体" w:cs="仿宋"/>
          <w:kern w:val="0"/>
          <w:szCs w:val="21"/>
        </w:rPr>
        <w:t>。月工资标准依照被保险人的从业人员在事故发生日前十二个月的平均工资计算，不足十二个月按实际月数平均，实际丧失工作能力天数包括节假日。</w:t>
      </w:r>
      <w:r>
        <w:rPr>
          <w:rFonts w:hint="eastAsia" w:ascii="宋体" w:hAnsi="宋体" w:eastAsia="宋体" w:cs="仿宋"/>
          <w:b/>
          <w:kern w:val="0"/>
          <w:szCs w:val="21"/>
        </w:rPr>
        <w:t>误工费在伤残程度确定后停发，最长赔付天数</w:t>
      </w:r>
      <w:r>
        <w:rPr>
          <w:rFonts w:ascii="宋体" w:hAnsi="宋体" w:eastAsia="宋体" w:cs="仿宋"/>
          <w:b/>
          <w:kern w:val="0"/>
          <w:szCs w:val="21"/>
        </w:rPr>
        <w:t>365天。</w:t>
      </w:r>
    </w:p>
    <w:p>
      <w:pPr>
        <w:widowControl/>
        <w:tabs>
          <w:tab w:val="left" w:pos="1134"/>
          <w:tab w:val="left" w:pos="1418"/>
        </w:tabs>
        <w:adjustRightInd w:val="0"/>
        <w:spacing w:line="360" w:lineRule="exact"/>
        <w:ind w:firstLine="420" w:firstLineChars="200"/>
        <w:jc w:val="left"/>
        <w:rPr>
          <w:rFonts w:ascii="宋体" w:hAnsi="宋体" w:eastAsia="宋体" w:cs="仿宋"/>
          <w:b/>
          <w:kern w:val="0"/>
          <w:szCs w:val="21"/>
        </w:rPr>
      </w:pPr>
      <w:r>
        <w:rPr>
          <w:rFonts w:hint="eastAsia" w:ascii="宋体" w:hAnsi="宋体" w:eastAsia="宋体" w:cs="仿宋"/>
          <w:kern w:val="0"/>
          <w:szCs w:val="21"/>
        </w:rPr>
        <w:t>（六</w:t>
      </w:r>
      <w:r>
        <w:rPr>
          <w:rFonts w:ascii="宋体" w:hAnsi="宋体" w:eastAsia="宋体" w:cs="仿宋"/>
          <w:kern w:val="0"/>
          <w:szCs w:val="21"/>
        </w:rPr>
        <w:t>）</w:t>
      </w:r>
      <w:r>
        <w:rPr>
          <w:rFonts w:hint="eastAsia" w:ascii="宋体" w:hAnsi="宋体" w:eastAsia="宋体" w:cs="仿宋"/>
          <w:kern w:val="0"/>
          <w:szCs w:val="21"/>
        </w:rPr>
        <w:t>保险人按照被保险人提供的从</w:t>
      </w:r>
      <w:r>
        <w:rPr>
          <w:rFonts w:ascii="宋体" w:hAnsi="宋体" w:eastAsia="宋体" w:cs="仿宋"/>
          <w:kern w:val="0"/>
          <w:szCs w:val="21"/>
        </w:rPr>
        <w:t>业人员</w:t>
      </w:r>
      <w:r>
        <w:rPr>
          <w:rFonts w:hint="eastAsia" w:ascii="宋体" w:hAnsi="宋体" w:eastAsia="宋体" w:cs="仿宋"/>
          <w:kern w:val="0"/>
          <w:szCs w:val="21"/>
        </w:rPr>
        <w:t>名单承担赔偿责任。除</w:t>
      </w:r>
      <w:r>
        <w:rPr>
          <w:rFonts w:ascii="宋体" w:hAnsi="宋体" w:eastAsia="宋体" w:cs="仿宋"/>
          <w:kern w:val="0"/>
          <w:szCs w:val="21"/>
        </w:rPr>
        <w:t>另</w:t>
      </w:r>
      <w:r>
        <w:rPr>
          <w:rFonts w:hint="eastAsia" w:ascii="宋体" w:hAnsi="宋体" w:eastAsia="宋体" w:cs="仿宋"/>
          <w:kern w:val="0"/>
          <w:szCs w:val="21"/>
        </w:rPr>
        <w:t>有</w:t>
      </w:r>
      <w:r>
        <w:rPr>
          <w:rFonts w:ascii="宋体" w:hAnsi="宋体" w:eastAsia="宋体" w:cs="仿宋"/>
          <w:kern w:val="0"/>
          <w:szCs w:val="21"/>
        </w:rPr>
        <w:t>约定外</w:t>
      </w:r>
      <w:r>
        <w:rPr>
          <w:rFonts w:hint="eastAsia" w:ascii="宋体" w:hAnsi="宋体" w:eastAsia="宋体" w:cs="仿宋"/>
          <w:kern w:val="0"/>
          <w:szCs w:val="21"/>
        </w:rPr>
        <w:t>,</w:t>
      </w:r>
      <w:r>
        <w:rPr>
          <w:rFonts w:hint="eastAsia" w:ascii="宋体" w:hAnsi="宋体" w:eastAsia="宋体" w:cs="仿宋"/>
          <w:b/>
          <w:kern w:val="0"/>
          <w:szCs w:val="21"/>
        </w:rPr>
        <w:t>被保险人对名单以外的从</w:t>
      </w:r>
      <w:r>
        <w:rPr>
          <w:rFonts w:ascii="宋体" w:hAnsi="宋体" w:eastAsia="宋体" w:cs="仿宋"/>
          <w:b/>
          <w:kern w:val="0"/>
          <w:szCs w:val="21"/>
        </w:rPr>
        <w:t>业人</w:t>
      </w:r>
      <w:r>
        <w:rPr>
          <w:rFonts w:hint="eastAsia" w:ascii="宋体" w:hAnsi="宋体" w:eastAsia="宋体" w:cs="仿宋"/>
          <w:b/>
          <w:kern w:val="0"/>
          <w:szCs w:val="21"/>
        </w:rPr>
        <w:t>员承担的赔偿责任，保险人不负责赔偿。</w:t>
      </w:r>
    </w:p>
    <w:p>
      <w:pPr>
        <w:widowControl/>
        <w:numPr>
          <w:ilvl w:val="0"/>
          <w:numId w:val="47"/>
        </w:numPr>
        <w:tabs>
          <w:tab w:val="left" w:pos="1418"/>
        </w:tabs>
        <w:adjustRightInd w:val="0"/>
        <w:spacing w:line="360" w:lineRule="exact"/>
        <w:ind w:left="-2" w:leftChars="-1" w:firstLineChars="200"/>
        <w:jc w:val="left"/>
        <w:rPr>
          <w:rFonts w:ascii="宋体" w:hAnsi="宋体" w:eastAsia="宋体" w:cs="仿宋"/>
          <w:kern w:val="0"/>
          <w:szCs w:val="21"/>
        </w:rPr>
      </w:pPr>
      <w:r>
        <w:rPr>
          <w:rFonts w:hint="eastAsia" w:ascii="宋体" w:hAnsi="宋体" w:eastAsia="宋体" w:cs="仿宋"/>
          <w:kern w:val="0"/>
          <w:szCs w:val="21"/>
        </w:rPr>
        <w:t>发生保险事故，被保险人对第三者人身损害应承担的经济赔偿责任，</w:t>
      </w:r>
      <w:r>
        <w:rPr>
          <w:rFonts w:hint="eastAsia" w:ascii="宋体" w:hAnsi="宋体" w:eastAsia="宋体" w:cs="仿宋"/>
          <w:b/>
          <w:kern w:val="0"/>
          <w:szCs w:val="21"/>
        </w:rPr>
        <w:t>保险人根据《最高人民法院关于审理人身损害赔偿案件适用法律若干问题的解释》（以下简称《司法解释》）计算的赔偿金额乘以被保险人在事故中承担的责任比例在本保险合同列明的责任限额内进行赔偿</w:t>
      </w:r>
      <w:r>
        <w:rPr>
          <w:rFonts w:hint="eastAsia" w:ascii="宋体" w:hAnsi="宋体" w:eastAsia="宋体" w:cs="仿宋"/>
          <w:kern w:val="0"/>
          <w:szCs w:val="21"/>
        </w:rPr>
        <w:t>。赔偿项目及标准如下：</w:t>
      </w:r>
    </w:p>
    <w:p>
      <w:pPr>
        <w:widowControl/>
        <w:adjustRightInd w:val="0"/>
        <w:spacing w:line="360" w:lineRule="exact"/>
        <w:ind w:left="-2" w:leftChars="-1" w:firstLine="420" w:firstLineChars="200"/>
        <w:jc w:val="left"/>
        <w:rPr>
          <w:rFonts w:ascii="宋体" w:hAnsi="宋体" w:eastAsia="宋体" w:cs="仿宋"/>
          <w:kern w:val="0"/>
          <w:szCs w:val="21"/>
        </w:rPr>
      </w:pPr>
      <w:r>
        <w:rPr>
          <w:rFonts w:hint="eastAsia" w:ascii="宋体" w:hAnsi="宋体" w:eastAsia="宋体" w:cs="仿宋"/>
          <w:kern w:val="0"/>
          <w:szCs w:val="21"/>
        </w:rPr>
        <w:t>（一）</w:t>
      </w:r>
      <w:r>
        <w:rPr>
          <w:rFonts w:hint="eastAsia" w:ascii="宋体" w:hAnsi="宋体" w:eastAsia="宋体" w:cs="仿宋"/>
          <w:b/>
          <w:kern w:val="0"/>
          <w:szCs w:val="21"/>
        </w:rPr>
        <w:t>对于死亡赔偿金，保险人对死亡赔偿金按照第三者每次事故每人伤亡责任限额赔偿</w:t>
      </w:r>
      <w:r>
        <w:rPr>
          <w:rFonts w:hint="eastAsia" w:ascii="宋体" w:hAnsi="宋体" w:eastAsia="宋体" w:cs="仿宋"/>
          <w:kern w:val="0"/>
          <w:szCs w:val="21"/>
        </w:rPr>
        <w:t>；</w:t>
      </w:r>
      <w:r>
        <w:rPr>
          <w:rFonts w:hint="eastAsia" w:ascii="宋体" w:hAnsi="宋体" w:eastAsia="宋体" w:cs="仿宋"/>
          <w:b/>
          <w:kern w:val="0"/>
          <w:szCs w:val="21"/>
        </w:rPr>
        <w:t>对于残疾赔偿金，保险人依照附表</w:t>
      </w:r>
      <w:r>
        <w:rPr>
          <w:rFonts w:ascii="宋体" w:hAnsi="宋体" w:eastAsia="宋体" w:cs="仿宋"/>
          <w:b/>
          <w:kern w:val="0"/>
          <w:szCs w:val="21"/>
        </w:rPr>
        <w:t>2确定的赔偿比例乘以根据《司法解释》计算的对受害人的死亡赔偿金在</w:t>
      </w:r>
      <w:r>
        <w:rPr>
          <w:rFonts w:hint="eastAsia" w:ascii="宋体" w:hAnsi="宋体" w:eastAsia="宋体" w:cs="仿宋"/>
          <w:b/>
          <w:kern w:val="0"/>
          <w:szCs w:val="21"/>
        </w:rPr>
        <w:t>第三者每次事故每人伤亡责任限额内赔偿。</w:t>
      </w:r>
      <w:r>
        <w:rPr>
          <w:rFonts w:hint="eastAsia" w:ascii="宋体" w:hAnsi="宋体" w:eastAsia="宋体" w:cs="仿宋"/>
          <w:kern w:val="0"/>
          <w:szCs w:val="21"/>
        </w:rPr>
        <w:t>伤残级别依照《人体损伤致残程度分级》（最高人民法院、最高人民检察院、公安部、国家安全部、司法部</w:t>
      </w:r>
      <w:r>
        <w:rPr>
          <w:rFonts w:ascii="宋体" w:hAnsi="宋体" w:eastAsia="宋体" w:cs="仿宋"/>
          <w:kern w:val="0"/>
          <w:szCs w:val="21"/>
        </w:rPr>
        <w:t>2016年4月18日发布，司法部实施通知文号为司发通〔2016〕48号）</w:t>
      </w:r>
      <w:r>
        <w:rPr>
          <w:rFonts w:hint="eastAsia" w:ascii="宋体" w:hAnsi="宋体" w:eastAsia="宋体" w:cs="仿宋"/>
          <w:kern w:val="0"/>
          <w:szCs w:val="21"/>
        </w:rPr>
        <w:t>确定。</w:t>
      </w:r>
    </w:p>
    <w:p>
      <w:pPr>
        <w:widowControl/>
        <w:adjustRightInd w:val="0"/>
        <w:spacing w:line="360" w:lineRule="exact"/>
        <w:ind w:left="-2" w:leftChars="-1" w:firstLine="420" w:firstLineChars="200"/>
        <w:jc w:val="left"/>
        <w:rPr>
          <w:rFonts w:ascii="宋体" w:hAnsi="宋体" w:eastAsia="宋体" w:cs="仿宋"/>
          <w:kern w:val="0"/>
          <w:szCs w:val="21"/>
        </w:rPr>
      </w:pPr>
      <w:r>
        <w:rPr>
          <w:rFonts w:hint="eastAsia" w:ascii="宋体" w:hAnsi="宋体" w:eastAsia="宋体" w:cs="仿宋"/>
          <w:kern w:val="0"/>
          <w:szCs w:val="21"/>
        </w:rPr>
        <w:t>（二）对于医疗费用，保险人按照《司法解释》的赔偿标准</w:t>
      </w:r>
      <w:r>
        <w:rPr>
          <w:rFonts w:hint="eastAsia" w:ascii="宋体" w:hAnsi="宋体" w:eastAsia="宋体" w:cs="仿宋"/>
          <w:b/>
          <w:kern w:val="0"/>
          <w:szCs w:val="21"/>
        </w:rPr>
        <w:t>在第三者每次事故每人医疗费用责任限额内进行赔偿</w:t>
      </w:r>
      <w:r>
        <w:rPr>
          <w:rFonts w:hint="eastAsia" w:ascii="宋体" w:hAnsi="宋体" w:eastAsia="宋体" w:cs="仿宋"/>
          <w:kern w:val="0"/>
          <w:szCs w:val="21"/>
        </w:rPr>
        <w:t>。</w:t>
      </w:r>
      <w:r>
        <w:rPr>
          <w:rFonts w:hint="eastAsia" w:ascii="宋体" w:hAnsi="宋体" w:eastAsia="宋体"/>
          <w:kern w:val="0"/>
          <w:szCs w:val="21"/>
        </w:rPr>
        <w:t>医疗费用包括挂号费、治疗费、手术费、检查费、医药费；住院期间的床位费、陪护费、伙食费、取暖费、空调费；就（转）诊交通费、急救车费；安装假肢、假牙、假眼和残疾用具费用。</w:t>
      </w:r>
    </w:p>
    <w:p>
      <w:pPr>
        <w:widowControl/>
        <w:adjustRightInd w:val="0"/>
        <w:spacing w:line="360" w:lineRule="exact"/>
        <w:ind w:left="-2" w:leftChars="-1" w:firstLine="420" w:firstLineChars="200"/>
        <w:jc w:val="left"/>
        <w:rPr>
          <w:rFonts w:ascii="宋体" w:hAnsi="宋体" w:eastAsia="宋体" w:cs="仿宋"/>
          <w:kern w:val="0"/>
          <w:szCs w:val="21"/>
        </w:rPr>
      </w:pPr>
      <w:r>
        <w:rPr>
          <w:rFonts w:hint="eastAsia" w:ascii="宋体" w:hAnsi="宋体" w:eastAsia="宋体" w:cs="仿宋"/>
          <w:kern w:val="0"/>
          <w:szCs w:val="21"/>
        </w:rPr>
        <w:t>（三）对于误工费、残疾辅助器具费、被扶养人生活费、丧葬费以及第三者亲属办理丧葬事宜支出的交通费、住宿费和误工损失，保险人按照《司法解释》的赔偿标准</w:t>
      </w:r>
      <w:r>
        <w:rPr>
          <w:rFonts w:hint="eastAsia" w:ascii="宋体" w:hAnsi="宋体" w:eastAsia="宋体" w:cs="仿宋"/>
          <w:b/>
          <w:kern w:val="0"/>
          <w:szCs w:val="21"/>
        </w:rPr>
        <w:t>在第三者每次事故每人伤亡责任限额内赔偿</w:t>
      </w:r>
      <w:r>
        <w:rPr>
          <w:rFonts w:hint="eastAsia" w:ascii="宋体" w:hAnsi="宋体" w:eastAsia="宋体" w:cs="仿宋"/>
          <w:kern w:val="0"/>
          <w:szCs w:val="21"/>
        </w:rPr>
        <w:t>。</w:t>
      </w:r>
    </w:p>
    <w:p>
      <w:pPr>
        <w:widowControl/>
        <w:spacing w:line="360" w:lineRule="exact"/>
        <w:ind w:left="-2" w:leftChars="-1" w:firstLine="420" w:firstLineChars="200"/>
        <w:jc w:val="left"/>
        <w:rPr>
          <w:rFonts w:ascii="宋体" w:hAnsi="宋体" w:eastAsia="宋体" w:cs="仿宋"/>
          <w:kern w:val="0"/>
          <w:szCs w:val="21"/>
        </w:rPr>
      </w:pPr>
      <w:r>
        <w:rPr>
          <w:rFonts w:hint="eastAsia" w:ascii="宋体" w:hAnsi="宋体" w:eastAsia="宋体" w:cs="仿宋"/>
          <w:kern w:val="0"/>
          <w:szCs w:val="21"/>
        </w:rPr>
        <w:t>（四）造成第三者人身损害，经法院判决、法院调解所需支付的精神损害抚慰金，保险人按相关判决、调解结果</w:t>
      </w:r>
      <w:r>
        <w:rPr>
          <w:rFonts w:hint="eastAsia" w:ascii="宋体" w:hAnsi="宋体" w:eastAsia="宋体" w:cs="仿宋"/>
          <w:b/>
          <w:kern w:val="0"/>
          <w:szCs w:val="21"/>
        </w:rPr>
        <w:t>在第三者每次事故每人伤亡责任限额内赔偿</w:t>
      </w:r>
      <w:r>
        <w:rPr>
          <w:rFonts w:hint="eastAsia" w:ascii="宋体" w:hAnsi="宋体" w:eastAsia="宋体" w:cs="仿宋"/>
          <w:kern w:val="0"/>
          <w:szCs w:val="21"/>
        </w:rPr>
        <w:t>。</w:t>
      </w:r>
    </w:p>
    <w:p>
      <w:pPr>
        <w:widowControl/>
        <w:numPr>
          <w:ilvl w:val="0"/>
          <w:numId w:val="47"/>
        </w:numPr>
        <w:tabs>
          <w:tab w:val="left" w:pos="710"/>
          <w:tab w:val="left" w:pos="1418"/>
        </w:tabs>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发生保险事故造成第三者财产损失，</w:t>
      </w:r>
      <w:r>
        <w:rPr>
          <w:rFonts w:hint="eastAsia" w:ascii="宋体" w:hAnsi="宋体" w:eastAsia="宋体" w:cs="仿宋"/>
          <w:b/>
          <w:kern w:val="0"/>
          <w:szCs w:val="21"/>
        </w:rPr>
        <w:t>保险人可选择下列方式，在第三者每次事故财产损失责任限额内赔偿</w:t>
      </w:r>
      <w:r>
        <w:rPr>
          <w:rFonts w:hint="eastAsia" w:ascii="宋体" w:hAnsi="宋体" w:eastAsia="宋体" w:cs="仿宋"/>
          <w:kern w:val="0"/>
          <w:szCs w:val="21"/>
        </w:rPr>
        <w:t>：</w:t>
      </w:r>
    </w:p>
    <w:p>
      <w:pPr>
        <w:widowControl/>
        <w:tabs>
          <w:tab w:val="left" w:pos="1134"/>
          <w:tab w:val="left" w:pos="1418"/>
        </w:tabs>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w:t>
      </w:r>
      <w:r>
        <w:rPr>
          <w:rFonts w:ascii="宋体" w:hAnsi="宋体" w:eastAsia="宋体" w:cs="仿宋"/>
          <w:kern w:val="0"/>
          <w:szCs w:val="21"/>
        </w:rPr>
        <w:t>一）</w:t>
      </w:r>
      <w:r>
        <w:rPr>
          <w:rFonts w:hint="eastAsia" w:ascii="宋体" w:hAnsi="宋体" w:eastAsia="宋体" w:cs="仿宋"/>
          <w:kern w:val="0"/>
          <w:szCs w:val="21"/>
        </w:rPr>
        <w:t>按受损财产的价值赔偿；</w:t>
      </w:r>
    </w:p>
    <w:p>
      <w:pPr>
        <w:widowControl/>
        <w:tabs>
          <w:tab w:val="left" w:pos="1134"/>
          <w:tab w:val="left" w:pos="1418"/>
        </w:tabs>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（二</w:t>
      </w:r>
      <w:r>
        <w:rPr>
          <w:rFonts w:ascii="宋体" w:hAnsi="宋体" w:eastAsia="宋体" w:cs="仿宋"/>
          <w:kern w:val="0"/>
          <w:szCs w:val="21"/>
        </w:rPr>
        <w:t>）</w:t>
      </w:r>
      <w:r>
        <w:rPr>
          <w:rFonts w:hint="eastAsia" w:ascii="宋体" w:hAnsi="宋体" w:eastAsia="宋体" w:cs="仿宋"/>
          <w:kern w:val="0"/>
          <w:szCs w:val="21"/>
        </w:rPr>
        <w:t>赔付受损财产基本恢复至原状的修理、修复费用；</w:t>
      </w:r>
    </w:p>
    <w:p>
      <w:pPr>
        <w:widowControl/>
        <w:tabs>
          <w:tab w:val="left" w:pos="1134"/>
          <w:tab w:val="left" w:pos="1418"/>
        </w:tabs>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（三</w:t>
      </w:r>
      <w:r>
        <w:rPr>
          <w:rFonts w:ascii="宋体" w:hAnsi="宋体" w:eastAsia="宋体" w:cs="仿宋"/>
          <w:kern w:val="0"/>
          <w:szCs w:val="21"/>
        </w:rPr>
        <w:t>）</w:t>
      </w:r>
      <w:r>
        <w:rPr>
          <w:rFonts w:hint="eastAsia" w:ascii="宋体" w:hAnsi="宋体" w:eastAsia="宋体" w:cs="仿宋"/>
          <w:kern w:val="0"/>
          <w:szCs w:val="21"/>
        </w:rPr>
        <w:t>修理、恢复受损财产，使之达到与同类财产基本一致的状况。</w:t>
      </w:r>
    </w:p>
    <w:p>
      <w:pPr>
        <w:widowControl/>
        <w:numPr>
          <w:ilvl w:val="0"/>
          <w:numId w:val="47"/>
        </w:numPr>
        <w:tabs>
          <w:tab w:val="left" w:pos="1418"/>
        </w:tabs>
        <w:adjustRightInd w:val="0"/>
        <w:spacing w:line="360" w:lineRule="exact"/>
        <w:ind w:firstLine="422" w:firstLineChars="200"/>
        <w:rPr>
          <w:rFonts w:ascii="宋体" w:hAnsi="宋体" w:eastAsia="宋体" w:cs="仿宋"/>
          <w:b/>
          <w:kern w:val="0"/>
          <w:szCs w:val="21"/>
        </w:rPr>
      </w:pPr>
      <w:r>
        <w:rPr>
          <w:rFonts w:hint="eastAsia" w:ascii="宋体" w:hAnsi="宋体" w:eastAsia="宋体" w:cs="仿宋"/>
          <w:b/>
          <w:kern w:val="0"/>
          <w:szCs w:val="21"/>
        </w:rPr>
        <w:t>保险人对从业人员每次事故每人医疗费用的赔偿金额不超过从业人员每次事故每人医疗费用责任限额，且在每次事故责任限额以内计算赔偿。保险人对第三者每次事故每人医疗费用的赔偿金额不超过第三者每次事故每人医疗费用责任限额</w:t>
      </w:r>
      <w:r>
        <w:rPr>
          <w:rFonts w:ascii="宋体" w:hAnsi="宋体" w:eastAsia="宋体" w:cs="仿宋"/>
          <w:b/>
          <w:kern w:val="0"/>
          <w:szCs w:val="21"/>
        </w:rPr>
        <w:t>，且在每次事故责任限额以内计算赔偿。</w:t>
      </w:r>
      <w:r>
        <w:rPr>
          <w:rFonts w:hint="eastAsia" w:ascii="宋体" w:hAnsi="宋体" w:eastAsia="宋体" w:cs="仿宋"/>
          <w:b/>
          <w:kern w:val="0"/>
          <w:szCs w:val="21"/>
        </w:rPr>
        <w:t>保险人对被</w:t>
      </w:r>
      <w:r>
        <w:rPr>
          <w:rFonts w:ascii="宋体" w:hAnsi="宋体" w:eastAsia="宋体" w:cs="仿宋"/>
          <w:b/>
          <w:kern w:val="0"/>
          <w:szCs w:val="21"/>
        </w:rPr>
        <w:t>保险人从业人员的每人</w:t>
      </w:r>
      <w:r>
        <w:rPr>
          <w:rFonts w:hint="eastAsia" w:ascii="宋体" w:hAnsi="宋体" w:eastAsia="宋体" w:cs="仿宋"/>
          <w:b/>
          <w:kern w:val="0"/>
          <w:szCs w:val="21"/>
        </w:rPr>
        <w:t>每</w:t>
      </w:r>
      <w:r>
        <w:rPr>
          <w:rFonts w:ascii="宋体" w:hAnsi="宋体" w:eastAsia="宋体" w:cs="仿宋"/>
          <w:b/>
          <w:kern w:val="0"/>
          <w:szCs w:val="21"/>
        </w:rPr>
        <w:t>次</w:t>
      </w:r>
      <w:r>
        <w:rPr>
          <w:rFonts w:hint="eastAsia" w:ascii="宋体" w:hAnsi="宋体" w:eastAsia="宋体" w:cs="仿宋"/>
          <w:b/>
          <w:kern w:val="0"/>
          <w:szCs w:val="21"/>
        </w:rPr>
        <w:t>误工</w:t>
      </w:r>
      <w:r>
        <w:rPr>
          <w:rFonts w:ascii="宋体" w:hAnsi="宋体" w:eastAsia="宋体" w:cs="仿宋"/>
          <w:b/>
          <w:kern w:val="0"/>
          <w:szCs w:val="21"/>
        </w:rPr>
        <w:t>费用赔偿</w:t>
      </w:r>
      <w:r>
        <w:rPr>
          <w:rFonts w:hint="eastAsia" w:ascii="宋体" w:hAnsi="宋体" w:eastAsia="宋体" w:cs="仿宋"/>
          <w:b/>
          <w:kern w:val="0"/>
          <w:szCs w:val="21"/>
        </w:rPr>
        <w:t>金额与</w:t>
      </w:r>
      <w:r>
        <w:rPr>
          <w:rFonts w:ascii="宋体" w:hAnsi="宋体" w:eastAsia="宋体" w:cs="仿宋"/>
          <w:b/>
          <w:kern w:val="0"/>
          <w:szCs w:val="21"/>
        </w:rPr>
        <w:t>每人伤亡赔偿</w:t>
      </w:r>
      <w:r>
        <w:rPr>
          <w:rFonts w:hint="eastAsia" w:ascii="宋体" w:hAnsi="宋体" w:eastAsia="宋体" w:cs="仿宋"/>
          <w:b/>
          <w:kern w:val="0"/>
          <w:szCs w:val="21"/>
        </w:rPr>
        <w:t>金额</w:t>
      </w:r>
      <w:r>
        <w:rPr>
          <w:rFonts w:ascii="宋体" w:hAnsi="宋体" w:eastAsia="宋体" w:cs="仿宋"/>
          <w:b/>
          <w:kern w:val="0"/>
          <w:szCs w:val="21"/>
        </w:rPr>
        <w:t>之和不超</w:t>
      </w:r>
      <w:r>
        <w:rPr>
          <w:rFonts w:hint="eastAsia" w:ascii="宋体" w:hAnsi="宋体" w:eastAsia="宋体" w:cs="仿宋"/>
          <w:b/>
          <w:kern w:val="0"/>
          <w:szCs w:val="21"/>
        </w:rPr>
        <w:t>过从业人员每次事故每人伤亡责任限额</w:t>
      </w:r>
      <w:r>
        <w:rPr>
          <w:rFonts w:ascii="宋体" w:hAnsi="宋体" w:eastAsia="宋体" w:cs="仿宋"/>
          <w:b/>
          <w:kern w:val="0"/>
          <w:szCs w:val="21"/>
        </w:rPr>
        <w:t>。</w:t>
      </w:r>
      <w:r>
        <w:rPr>
          <w:rFonts w:hint="eastAsia" w:ascii="宋体" w:hAnsi="宋体" w:eastAsia="宋体" w:cs="仿宋"/>
          <w:b/>
          <w:kern w:val="0"/>
          <w:szCs w:val="21"/>
        </w:rPr>
        <w:t>保险人对每次事故每位从业人员人身损害的赔偿金额不超过从业人员每次事故每人伤亡责任限额，且在每次事故责任限额以内计算赔偿。保险人对每次事故每位第三者人身损害的赔偿金额总和不超过第三者每次事故每人伤亡责任限额，且在每次事故责任限额以内计算赔偿。</w:t>
      </w:r>
    </w:p>
    <w:p>
      <w:pPr>
        <w:widowControl/>
        <w:adjustRightInd w:val="0"/>
        <w:spacing w:line="360" w:lineRule="exact"/>
        <w:ind w:left="-2" w:leftChars="-1" w:firstLine="422" w:firstLineChars="200"/>
        <w:jc w:val="left"/>
        <w:rPr>
          <w:rFonts w:ascii="宋体" w:hAnsi="宋体" w:eastAsia="宋体" w:cs="仿宋"/>
          <w:b/>
          <w:kern w:val="0"/>
          <w:szCs w:val="21"/>
        </w:rPr>
      </w:pPr>
      <w:r>
        <w:rPr>
          <w:rFonts w:hint="eastAsia" w:ascii="宋体" w:hAnsi="宋体" w:eastAsia="宋体" w:cs="仿宋"/>
          <w:b/>
          <w:kern w:val="0"/>
          <w:szCs w:val="21"/>
        </w:rPr>
        <w:t>保险人对每次事故第三者财产损失的赔偿金额总和不超过第三者每次事故财产损失责任限额，且在每次事故责任限额以内计算赔偿。</w:t>
      </w:r>
    </w:p>
    <w:p>
      <w:pPr>
        <w:widowControl/>
        <w:numPr>
          <w:ilvl w:val="0"/>
          <w:numId w:val="47"/>
        </w:numPr>
        <w:tabs>
          <w:tab w:val="left" w:pos="1418"/>
        </w:tabs>
        <w:adjustRightInd w:val="0"/>
        <w:spacing w:line="360" w:lineRule="exact"/>
        <w:ind w:left="-2" w:leftChars="-1" w:firstLine="422" w:firstLineChars="200"/>
        <w:jc w:val="left"/>
        <w:rPr>
          <w:rFonts w:ascii="宋体" w:hAnsi="宋体" w:eastAsia="宋体" w:cs="仿宋"/>
          <w:b/>
          <w:kern w:val="0"/>
          <w:szCs w:val="21"/>
        </w:rPr>
      </w:pPr>
      <w:r>
        <w:rPr>
          <w:rFonts w:hint="eastAsia" w:ascii="宋体" w:hAnsi="宋体" w:eastAsia="宋体" w:cs="仿宋"/>
          <w:b/>
          <w:kern w:val="0"/>
          <w:szCs w:val="21"/>
        </w:rPr>
        <w:t>保险人对每次事故法律费用的赔偿金额不超过每次事故法律费用责任限额，且在累计责任限额以外另行计算赔偿。保险人对多次事故法律费用的赔偿金额之和不超过累计法律费用责任限额，且在累计责任限额以外另行计算赔偿。</w:t>
      </w:r>
    </w:p>
    <w:p>
      <w:pPr>
        <w:widowControl/>
        <w:numPr>
          <w:ilvl w:val="0"/>
          <w:numId w:val="47"/>
        </w:numPr>
        <w:tabs>
          <w:tab w:val="left" w:pos="1418"/>
        </w:tabs>
        <w:adjustRightInd w:val="0"/>
        <w:spacing w:line="360" w:lineRule="exact"/>
        <w:ind w:left="-2" w:leftChars="-1" w:firstLine="422" w:firstLineChars="200"/>
        <w:jc w:val="left"/>
        <w:rPr>
          <w:rFonts w:ascii="宋体" w:hAnsi="宋体" w:eastAsia="宋体" w:cs="仿宋"/>
          <w:b/>
          <w:kern w:val="0"/>
          <w:szCs w:val="21"/>
        </w:rPr>
      </w:pPr>
      <w:r>
        <w:rPr>
          <w:rFonts w:hint="eastAsia" w:ascii="宋体" w:hAnsi="宋体" w:eastAsia="宋体" w:cs="仿宋"/>
          <w:b/>
          <w:kern w:val="0"/>
          <w:szCs w:val="21"/>
        </w:rPr>
        <w:t>保险人对每次事故救援费用的赔偿金额不超过每次事故救援费用责任限额，且在累计责任限额以外另行计算赔偿。保险人对多次事故救援费用的赔偿金额之和不超过累计救援费用责任限额，且在累计责任限额以外另行计算赔偿。</w:t>
      </w:r>
    </w:p>
    <w:p>
      <w:pPr>
        <w:widowControl/>
        <w:numPr>
          <w:ilvl w:val="0"/>
          <w:numId w:val="47"/>
        </w:numPr>
        <w:tabs>
          <w:tab w:val="left" w:pos="1418"/>
        </w:tabs>
        <w:adjustRightInd w:val="0"/>
        <w:spacing w:line="360" w:lineRule="exact"/>
        <w:ind w:left="-2" w:leftChars="-1" w:firstLine="422" w:firstLineChars="200"/>
        <w:jc w:val="left"/>
        <w:rPr>
          <w:rFonts w:ascii="宋体" w:hAnsi="宋体" w:eastAsia="宋体" w:cs="仿宋"/>
          <w:b/>
          <w:kern w:val="0"/>
          <w:szCs w:val="21"/>
        </w:rPr>
      </w:pPr>
      <w:r>
        <w:rPr>
          <w:rFonts w:hint="eastAsia" w:ascii="宋体" w:hAnsi="宋体" w:eastAsia="宋体" w:cs="仿宋"/>
          <w:b/>
          <w:kern w:val="0"/>
          <w:szCs w:val="21"/>
        </w:rPr>
        <w:t>保险人对调查勘验费用的赔偿金额在累计责任限额之外另行计算赔偿，且不超过累计调查勘验费用责任限额。</w:t>
      </w:r>
    </w:p>
    <w:p>
      <w:pPr>
        <w:widowControl/>
        <w:numPr>
          <w:ilvl w:val="0"/>
          <w:numId w:val="47"/>
        </w:numPr>
        <w:tabs>
          <w:tab w:val="left" w:pos="1418"/>
        </w:tabs>
        <w:adjustRightInd w:val="0"/>
        <w:spacing w:line="360" w:lineRule="exact"/>
        <w:ind w:left="-2" w:leftChars="-1" w:firstLine="422" w:firstLineChars="200"/>
        <w:jc w:val="left"/>
        <w:rPr>
          <w:rFonts w:ascii="宋体" w:hAnsi="宋体" w:eastAsia="宋体" w:cs="仿宋"/>
          <w:b/>
          <w:kern w:val="0"/>
          <w:szCs w:val="21"/>
        </w:rPr>
      </w:pPr>
      <w:r>
        <w:rPr>
          <w:rFonts w:hint="eastAsia" w:ascii="宋体" w:hAnsi="宋体" w:eastAsia="宋体" w:cs="仿宋"/>
          <w:b/>
          <w:kern w:val="0"/>
          <w:szCs w:val="21"/>
        </w:rPr>
        <w:t>保险人对伤残鉴定费用的赔偿金额在累计责任限额之外另行计算赔偿，且不超过累计伤残鉴定费用责任限额。</w:t>
      </w:r>
    </w:p>
    <w:p>
      <w:pPr>
        <w:widowControl/>
        <w:numPr>
          <w:ilvl w:val="0"/>
          <w:numId w:val="47"/>
        </w:numPr>
        <w:tabs>
          <w:tab w:val="left" w:pos="1418"/>
        </w:tabs>
        <w:adjustRightInd w:val="0"/>
        <w:spacing w:line="360" w:lineRule="exact"/>
        <w:ind w:firstLine="422" w:firstLineChars="200"/>
        <w:rPr>
          <w:rFonts w:ascii="宋体" w:hAnsi="宋体" w:eastAsia="宋体" w:cs="仿宋"/>
          <w:b/>
          <w:kern w:val="0"/>
          <w:szCs w:val="21"/>
        </w:rPr>
      </w:pPr>
      <w:r>
        <w:rPr>
          <w:rFonts w:hint="eastAsia" w:ascii="宋体" w:hAnsi="宋体" w:eastAsia="宋体" w:cs="仿宋"/>
          <w:b/>
          <w:kern w:val="0"/>
          <w:szCs w:val="21"/>
        </w:rPr>
        <w:t>保险人对每次事故医疗救护费用的赔偿金额不超过每次事故医疗救护费用限额，对医疗救护费用的赔偿金额在累计责任限额之内计算赔偿，且不超过累计医疗救护费用责任限额。</w:t>
      </w:r>
    </w:p>
    <w:p>
      <w:pPr>
        <w:widowControl/>
        <w:numPr>
          <w:ilvl w:val="0"/>
          <w:numId w:val="47"/>
        </w:numPr>
        <w:tabs>
          <w:tab w:val="left" w:pos="1418"/>
        </w:tabs>
        <w:adjustRightInd w:val="0"/>
        <w:spacing w:line="360" w:lineRule="exact"/>
        <w:ind w:left="-2" w:leftChars="-1" w:firstLine="422" w:firstLineChars="200"/>
        <w:jc w:val="left"/>
        <w:rPr>
          <w:rFonts w:ascii="宋体" w:hAnsi="宋体" w:eastAsia="宋体" w:cs="仿宋"/>
          <w:b/>
          <w:kern w:val="0"/>
          <w:szCs w:val="21"/>
        </w:rPr>
      </w:pPr>
      <w:r>
        <w:rPr>
          <w:rFonts w:hint="eastAsia" w:ascii="宋体" w:hAnsi="宋体" w:eastAsia="宋体" w:cs="仿宋"/>
          <w:b/>
          <w:kern w:val="0"/>
          <w:szCs w:val="21"/>
        </w:rPr>
        <w:t>在</w:t>
      </w:r>
      <w:r>
        <w:rPr>
          <w:rFonts w:ascii="宋体" w:hAnsi="宋体" w:eastAsia="宋体" w:cs="仿宋"/>
          <w:b/>
          <w:kern w:val="0"/>
          <w:szCs w:val="21"/>
        </w:rPr>
        <w:t>保险期间内，</w:t>
      </w:r>
      <w:r>
        <w:rPr>
          <w:rFonts w:hint="eastAsia" w:ascii="宋体" w:hAnsi="宋体" w:eastAsia="宋体" w:cs="仿宋"/>
          <w:b/>
          <w:kern w:val="0"/>
          <w:szCs w:val="21"/>
        </w:rPr>
        <w:t>保险人对每次事故各项损失的赔偿金额之和不超过每次事故责任限额，保险人对多次事故的赔偿金额之和不超过累计责任限额。</w:t>
      </w:r>
    </w:p>
    <w:p>
      <w:pPr>
        <w:widowControl/>
        <w:numPr>
          <w:ilvl w:val="0"/>
          <w:numId w:val="47"/>
        </w:numPr>
        <w:tabs>
          <w:tab w:val="left" w:pos="1418"/>
        </w:tabs>
        <w:adjustRightInd w:val="0"/>
        <w:spacing w:line="360" w:lineRule="exact"/>
        <w:ind w:left="-2" w:leftChars="-1" w:firstLineChars="200"/>
        <w:jc w:val="left"/>
        <w:rPr>
          <w:rFonts w:ascii="宋体" w:hAnsi="宋体" w:eastAsia="宋体" w:cs="仿宋"/>
          <w:kern w:val="0"/>
          <w:szCs w:val="21"/>
        </w:rPr>
      </w:pPr>
      <w:r>
        <w:rPr>
          <w:rFonts w:hint="eastAsia" w:ascii="宋体" w:hAnsi="宋体" w:eastAsia="宋体" w:cs="仿宋"/>
          <w:kern w:val="0"/>
          <w:szCs w:val="21"/>
        </w:rPr>
        <w:t>发生保险责任范围内的损失，应由其他责任方负责赔偿的，保险人自向被保险人赔偿保险金之日起，在赔偿金额范围内代位行使被保险人对以上有关责任方请求赔偿的权利。</w:t>
      </w:r>
    </w:p>
    <w:p>
      <w:pPr>
        <w:widowControl/>
        <w:tabs>
          <w:tab w:val="left" w:pos="1134"/>
          <w:tab w:val="left" w:pos="1418"/>
        </w:tabs>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被保险人已经从有关责任方取得赔偿的，保险人赔偿保险金时，可以相应</w:t>
      </w:r>
      <w:r>
        <w:rPr>
          <w:rFonts w:hint="eastAsia" w:ascii="宋体" w:hAnsi="宋体" w:eastAsia="宋体" w:cs="仿宋"/>
          <w:b/>
          <w:kern w:val="0"/>
          <w:szCs w:val="21"/>
        </w:rPr>
        <w:t>扣减被保险人已从有关责任方取得的赔偿金额。</w:t>
      </w:r>
    </w:p>
    <w:p>
      <w:pPr>
        <w:widowControl/>
        <w:numPr>
          <w:ilvl w:val="0"/>
          <w:numId w:val="47"/>
        </w:numPr>
        <w:tabs>
          <w:tab w:val="left" w:pos="1418"/>
        </w:tabs>
        <w:adjustRightInd w:val="0"/>
        <w:spacing w:line="360" w:lineRule="exact"/>
        <w:ind w:left="-2" w:leftChars="-1" w:firstLineChars="200"/>
        <w:jc w:val="left"/>
        <w:rPr>
          <w:rFonts w:ascii="宋体" w:hAnsi="宋体" w:eastAsia="宋体" w:cs="仿宋"/>
          <w:kern w:val="0"/>
          <w:szCs w:val="21"/>
        </w:rPr>
      </w:pPr>
      <w:r>
        <w:rPr>
          <w:rFonts w:hint="eastAsia" w:ascii="宋体" w:hAnsi="宋体" w:eastAsia="宋体" w:cs="仿宋"/>
          <w:kern w:val="0"/>
          <w:szCs w:val="21"/>
        </w:rPr>
        <w:t>发生保险责任范围内的损失，存在其他责任方的，经被保险人申请，保险人按照本保险合同的约定先行赔偿，保险人自向被保险人赔偿保险金之日起，在赔偿金额范围内代位行使被保险人对其他责任方请求赔偿的权利。</w:t>
      </w:r>
    </w:p>
    <w:p>
      <w:pPr>
        <w:widowControl/>
        <w:numPr>
          <w:ilvl w:val="0"/>
          <w:numId w:val="47"/>
        </w:numPr>
        <w:tabs>
          <w:tab w:val="left" w:pos="1418"/>
        </w:tabs>
        <w:adjustRightInd w:val="0"/>
        <w:spacing w:line="360" w:lineRule="exact"/>
        <w:ind w:left="-2" w:leftChars="-1" w:firstLineChars="200"/>
        <w:jc w:val="left"/>
        <w:rPr>
          <w:rFonts w:ascii="宋体" w:hAnsi="宋体" w:eastAsia="宋体" w:cs="仿宋"/>
          <w:kern w:val="0"/>
          <w:szCs w:val="21"/>
        </w:rPr>
      </w:pPr>
      <w:r>
        <w:rPr>
          <w:rFonts w:hint="eastAsia" w:ascii="宋体" w:hAnsi="宋体" w:eastAsia="宋体" w:cs="仿宋"/>
          <w:kern w:val="0"/>
          <w:szCs w:val="21"/>
        </w:rPr>
        <w:t>如存在商业重复保险，保险人在本保险合同约定的责任限额内作为第一顺位进行赔偿。</w:t>
      </w:r>
    </w:p>
    <w:p>
      <w:pPr>
        <w:widowControl/>
        <w:numPr>
          <w:ilvl w:val="0"/>
          <w:numId w:val="47"/>
        </w:numPr>
        <w:tabs>
          <w:tab w:val="left" w:pos="1418"/>
        </w:tabs>
        <w:adjustRightInd w:val="0"/>
        <w:spacing w:line="360" w:lineRule="exact"/>
        <w:ind w:firstLineChars="200"/>
        <w:jc w:val="left"/>
        <w:rPr>
          <w:rFonts w:ascii="宋体" w:hAnsi="宋体" w:eastAsia="宋体" w:cs="仿宋"/>
          <w:kern w:val="0"/>
          <w:szCs w:val="21"/>
        </w:rPr>
      </w:pPr>
      <w:r>
        <w:rPr>
          <w:rFonts w:hint="eastAsia" w:ascii="宋体" w:hAnsi="宋体" w:eastAsia="宋体"/>
          <w:kern w:val="0"/>
          <w:szCs w:val="21"/>
        </w:rPr>
        <w:t>被保险人向保险人请求赔偿的诉讼时效期间依照有关法律法规计算。</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争议处理和法律适用</w:t>
      </w:r>
    </w:p>
    <w:p>
      <w:pPr>
        <w:widowControl/>
        <w:numPr>
          <w:ilvl w:val="0"/>
          <w:numId w:val="47"/>
        </w:numPr>
        <w:tabs>
          <w:tab w:val="left" w:pos="1418"/>
        </w:tabs>
        <w:adjustRightInd w:val="0"/>
        <w:spacing w:line="360" w:lineRule="exact"/>
        <w:ind w:left="-2" w:leftChars="-1" w:firstLineChars="200"/>
        <w:jc w:val="left"/>
        <w:rPr>
          <w:rFonts w:ascii="宋体" w:hAnsi="宋体" w:eastAsia="宋体"/>
          <w:kern w:val="0"/>
          <w:szCs w:val="21"/>
        </w:rPr>
      </w:pPr>
      <w:r>
        <w:rPr>
          <w:rFonts w:hint="eastAsia" w:ascii="宋体" w:hAnsi="宋体" w:eastAsia="宋体"/>
          <w:kern w:val="0"/>
          <w:szCs w:val="21"/>
        </w:rPr>
        <w:t>因履行本合同发生的争议，由当事人协商解决。协商不成的，提交保险单载明的仲裁委员会仲裁；保险单未载明仲裁委员会且争议发生后未达成仲裁协议的，依法向中华人民共和国境内（不包括港澳台地区）人民法院起诉。</w:t>
      </w:r>
    </w:p>
    <w:p>
      <w:pPr>
        <w:widowControl/>
        <w:numPr>
          <w:ilvl w:val="0"/>
          <w:numId w:val="47"/>
        </w:numPr>
        <w:tabs>
          <w:tab w:val="left" w:pos="1418"/>
        </w:tabs>
        <w:adjustRightInd w:val="0"/>
        <w:spacing w:line="360" w:lineRule="exact"/>
        <w:ind w:left="-2" w:leftChars="-1" w:firstLineChars="200"/>
        <w:jc w:val="left"/>
        <w:rPr>
          <w:rFonts w:ascii="宋体" w:hAnsi="宋体" w:eastAsia="宋体" w:cs="仿宋"/>
          <w:kern w:val="0"/>
          <w:szCs w:val="21"/>
        </w:rPr>
      </w:pPr>
      <w:r>
        <w:rPr>
          <w:rFonts w:hint="eastAsia" w:ascii="宋体" w:hAnsi="宋体" w:eastAsia="宋体" w:cs="仿宋"/>
          <w:kern w:val="0"/>
          <w:szCs w:val="21"/>
        </w:rPr>
        <w:t>与本保险合同有关的以及履行本保险合同产生的一切争议处理适用中华人民共和国法律（不包括港澳台地区法律）。</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其他事项</w:t>
      </w:r>
    </w:p>
    <w:p>
      <w:pPr>
        <w:widowControl/>
        <w:numPr>
          <w:ilvl w:val="0"/>
          <w:numId w:val="47"/>
        </w:numPr>
        <w:tabs>
          <w:tab w:val="left" w:pos="1418"/>
        </w:tabs>
        <w:adjustRightInd w:val="0"/>
        <w:spacing w:line="360" w:lineRule="exact"/>
        <w:ind w:left="-2" w:leftChars="-1" w:firstLineChars="200"/>
        <w:jc w:val="left"/>
        <w:rPr>
          <w:rFonts w:ascii="宋体" w:hAnsi="宋体" w:eastAsia="宋体" w:cs="仿宋"/>
          <w:kern w:val="0"/>
          <w:szCs w:val="21"/>
        </w:rPr>
      </w:pPr>
      <w:r>
        <w:rPr>
          <w:rFonts w:hint="eastAsia" w:ascii="宋体" w:hAnsi="宋体" w:eastAsia="宋体" w:cs="仿宋"/>
          <w:kern w:val="0"/>
          <w:szCs w:val="21"/>
        </w:rPr>
        <w:t>除本保险合同约定及法律规定外，本保险合同成立后，保险人不得解除本保险合同。</w:t>
      </w:r>
    </w:p>
    <w:p>
      <w:pPr>
        <w:widowControl/>
        <w:numPr>
          <w:ilvl w:val="0"/>
          <w:numId w:val="47"/>
        </w:numPr>
        <w:tabs>
          <w:tab w:val="left" w:pos="1418"/>
        </w:tabs>
        <w:adjustRightInd w:val="0"/>
        <w:spacing w:line="360" w:lineRule="exact"/>
        <w:ind w:left="-2" w:leftChars="-1" w:firstLine="422" w:firstLineChars="200"/>
        <w:jc w:val="left"/>
        <w:rPr>
          <w:rFonts w:ascii="宋体" w:hAnsi="宋体" w:eastAsia="宋体" w:cs="仿宋"/>
          <w:b/>
          <w:kern w:val="0"/>
          <w:szCs w:val="21"/>
        </w:rPr>
      </w:pPr>
      <w:r>
        <w:rPr>
          <w:rFonts w:hint="eastAsia" w:ascii="宋体" w:hAnsi="宋体" w:eastAsia="宋体" w:cs="仿宋"/>
          <w:b/>
          <w:kern w:val="0"/>
          <w:szCs w:val="21"/>
        </w:rPr>
        <w:t>投保人</w:t>
      </w:r>
      <w:r>
        <w:rPr>
          <w:rFonts w:hint="eastAsia" w:ascii="宋体" w:hAnsi="宋体" w:eastAsia="宋体"/>
          <w:b/>
          <w:kern w:val="0"/>
          <w:szCs w:val="21"/>
        </w:rPr>
        <w:t>应根据持有营业执照或生产（经营）许可证所载明的生产经营范围进行投保。如果投保人同时具有多项生产（经营）许可证，应按主营业务投保；无法区分主营业务的，应分别投保本保险</w:t>
      </w:r>
      <w:r>
        <w:rPr>
          <w:rFonts w:hint="eastAsia" w:ascii="宋体" w:hAnsi="宋体" w:eastAsia="宋体" w:cs="仿宋"/>
          <w:b/>
          <w:kern w:val="0"/>
          <w:szCs w:val="21"/>
        </w:rPr>
        <w:t>。</w:t>
      </w:r>
    </w:p>
    <w:p>
      <w:pPr>
        <w:widowControl/>
        <w:numPr>
          <w:ilvl w:val="0"/>
          <w:numId w:val="47"/>
        </w:numPr>
        <w:tabs>
          <w:tab w:val="left" w:pos="1418"/>
        </w:tabs>
        <w:adjustRightInd w:val="0"/>
        <w:spacing w:line="360" w:lineRule="exact"/>
        <w:ind w:firstLineChars="200"/>
        <w:jc w:val="left"/>
        <w:rPr>
          <w:rFonts w:ascii="宋体" w:hAnsi="宋体" w:eastAsia="宋体" w:cs="仿宋"/>
          <w:kern w:val="0"/>
          <w:szCs w:val="21"/>
        </w:rPr>
      </w:pPr>
      <w:r>
        <w:rPr>
          <w:rFonts w:hint="eastAsia" w:ascii="宋体" w:hAnsi="宋体" w:eastAsia="宋体" w:cs="仿宋"/>
          <w:kern w:val="0"/>
          <w:szCs w:val="21"/>
        </w:rPr>
        <w:t>保险责任开始前，投保人要求解除保险合同的，应当向保险人支付相当于</w:t>
      </w:r>
      <w:r>
        <w:rPr>
          <w:rFonts w:hint="eastAsia" w:ascii="宋体" w:hAnsi="宋体" w:eastAsia="宋体" w:cs="仿宋"/>
          <w:b/>
          <w:kern w:val="0"/>
          <w:szCs w:val="21"/>
        </w:rPr>
        <w:t>保险费</w:t>
      </w:r>
      <w:r>
        <w:rPr>
          <w:rFonts w:ascii="宋体" w:hAnsi="宋体" w:eastAsia="宋体" w:cs="仿宋"/>
          <w:b/>
          <w:kern w:val="0"/>
          <w:szCs w:val="21"/>
        </w:rPr>
        <w:t>5%的退保手续费</w:t>
      </w:r>
      <w:r>
        <w:rPr>
          <w:rFonts w:hint="eastAsia" w:ascii="宋体" w:hAnsi="宋体" w:eastAsia="宋体" w:cs="仿宋"/>
          <w:kern w:val="0"/>
          <w:szCs w:val="21"/>
        </w:rPr>
        <w:t>，保险人应当退还剩余部分保险费。</w:t>
      </w:r>
    </w:p>
    <w:p>
      <w:pPr>
        <w:widowControl/>
        <w:tabs>
          <w:tab w:val="left" w:pos="1134"/>
          <w:tab w:val="left" w:pos="1418"/>
        </w:tabs>
        <w:adjustRightInd w:val="0"/>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保险责任开始后，投保人要求解除保险合同的，自通知保险人</w:t>
      </w:r>
      <w:r>
        <w:rPr>
          <w:rFonts w:hint="eastAsia" w:ascii="宋体" w:hAnsi="宋体" w:eastAsia="宋体"/>
          <w:kern w:val="0"/>
          <w:szCs w:val="21"/>
        </w:rPr>
        <w:t>书面函件送达</w:t>
      </w:r>
      <w:r>
        <w:rPr>
          <w:rFonts w:hint="eastAsia" w:ascii="宋体" w:hAnsi="宋体" w:eastAsia="宋体" w:cs="仿宋"/>
          <w:kern w:val="0"/>
          <w:szCs w:val="21"/>
        </w:rPr>
        <w:t>之日起，保险合同解除，保险人应向投保人退还</w:t>
      </w:r>
      <w:r>
        <w:rPr>
          <w:rFonts w:hint="eastAsia" w:ascii="宋体" w:hAnsi="宋体" w:eastAsia="宋体" w:cs="仿宋"/>
          <w:b/>
          <w:kern w:val="0"/>
          <w:szCs w:val="21"/>
        </w:rPr>
        <w:t>未满期保险费</w:t>
      </w:r>
      <w:r>
        <w:rPr>
          <w:rFonts w:hint="eastAsia" w:ascii="宋体" w:hAnsi="宋体" w:eastAsia="宋体" w:cs="仿宋"/>
          <w:kern w:val="0"/>
          <w:szCs w:val="21"/>
        </w:rPr>
        <w:t>。</w:t>
      </w:r>
    </w:p>
    <w:p>
      <w:pPr>
        <w:widowControl/>
        <w:numPr>
          <w:ilvl w:val="0"/>
          <w:numId w:val="47"/>
        </w:numPr>
        <w:tabs>
          <w:tab w:val="left" w:pos="1418"/>
        </w:tabs>
        <w:adjustRightInd w:val="0"/>
        <w:spacing w:line="360" w:lineRule="exact"/>
        <w:ind w:left="-2" w:leftChars="-1" w:firstLineChars="200"/>
        <w:jc w:val="left"/>
        <w:rPr>
          <w:rFonts w:ascii="宋体" w:hAnsi="宋体" w:eastAsia="宋体" w:cs="仿宋"/>
          <w:kern w:val="0"/>
          <w:szCs w:val="21"/>
        </w:rPr>
      </w:pPr>
      <w:r>
        <w:rPr>
          <w:rFonts w:hint="eastAsia" w:ascii="宋体" w:hAnsi="宋体" w:eastAsia="宋体" w:cs="仿宋"/>
          <w:kern w:val="0"/>
          <w:szCs w:val="21"/>
        </w:rPr>
        <w:t>本保险合同约定与《中华人民共和国保险法》等法律规定相悖之处，以法律规定为准。本保险合同未尽事宜，以法律规定为准。</w:t>
      </w:r>
    </w:p>
    <w:p>
      <w:pPr>
        <w:widowControl/>
        <w:spacing w:line="360" w:lineRule="exact"/>
        <w:jc w:val="center"/>
        <w:outlineLvl w:val="1"/>
        <w:rPr>
          <w:rFonts w:ascii="宋体" w:hAnsi="宋体" w:eastAsia="宋体"/>
          <w:b/>
          <w:kern w:val="0"/>
          <w:szCs w:val="21"/>
        </w:rPr>
      </w:pPr>
    </w:p>
    <w:p>
      <w:pPr>
        <w:widowControl/>
        <w:spacing w:line="360" w:lineRule="exact"/>
        <w:jc w:val="center"/>
        <w:outlineLvl w:val="1"/>
        <w:rPr>
          <w:rFonts w:ascii="宋体" w:hAnsi="宋体" w:eastAsia="宋体"/>
          <w:b/>
          <w:kern w:val="0"/>
          <w:szCs w:val="21"/>
        </w:rPr>
      </w:pPr>
      <w:r>
        <w:rPr>
          <w:rFonts w:hint="eastAsia" w:ascii="宋体" w:hAnsi="宋体" w:eastAsia="宋体"/>
          <w:b/>
          <w:kern w:val="0"/>
          <w:szCs w:val="21"/>
        </w:rPr>
        <w:t>释义</w:t>
      </w:r>
    </w:p>
    <w:p>
      <w:pPr>
        <w:widowControl/>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【保险合同】是指投保人与保险人约定的保险权利、义务关系的协议。</w:t>
      </w:r>
    </w:p>
    <w:p>
      <w:pPr>
        <w:widowControl/>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【中华人民共和国法律】指法律、行政法规、地方性法规、自治条例和单行条例、司法解释等，不包括香港、澳门、台湾地区法律。</w:t>
      </w:r>
    </w:p>
    <w:p>
      <w:pPr>
        <w:widowControl/>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【保险人】是指与投保人订立保险合同，并按照合同约定承担赔偿责任的保险公司。</w:t>
      </w:r>
    </w:p>
    <w:p>
      <w:pPr>
        <w:widowControl/>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【投保人】是指与保险人订立保险合同，负有支付保险费义务的企事业单位、自然人。</w:t>
      </w:r>
    </w:p>
    <w:p>
      <w:pPr>
        <w:widowControl/>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【被保险人】是指受保险合同保障，享有保险金请求权的企事业单位、自然人等。</w:t>
      </w:r>
    </w:p>
    <w:p>
      <w:pPr>
        <w:widowControl/>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从业人员】是指与被保险人签订劳动合同或存在劳动关系（包括事实劳动关系）的各种用工形式、各种用工期限，接受被保险人给付的劳动报酬，且符合国家劳动法规定的合法劳动者，也包括退休返聘的人员、劳务派遣人员、兼职人员、短期工、临时工、季节工、徒工、实习生以及与被保险人签订劳动合同或存在劳动关系（包括事实劳动关系）的董事、监事及高级管理人员。其中高级管理人员是指被保险人的法人代表、总经理、副总经理、总会计师、总工程师，以及名称不同但为同级别的从业人员。</w:t>
      </w:r>
    </w:p>
    <w:p>
      <w:pPr>
        <w:widowControl/>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【第三者】是指除保险人、被保险人及其从业人员以外的其他组织或个人。</w:t>
      </w:r>
    </w:p>
    <w:p>
      <w:pPr>
        <w:widowControl/>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【生产安全事故】是指符合《生产安全事故报告和调查处理条例》（国务院令第493号）规定的、在生产经营活动中发生的造成人身伤亡或者直接经济损失的生产安全事故。</w:t>
      </w:r>
    </w:p>
    <w:p>
      <w:pPr>
        <w:widowControl/>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【每次事故】是指一次事故或同一事件引起的一系列事故。因同一起事故造成多人伤亡，导致多人同时或先后向被保险人索赔的，也视为一次保险事故。</w:t>
      </w:r>
    </w:p>
    <w:p>
      <w:pPr>
        <w:widowControl/>
        <w:spacing w:line="360" w:lineRule="exact"/>
        <w:ind w:firstLine="420" w:firstLineChars="200"/>
        <w:jc w:val="left"/>
        <w:textAlignment w:val="center"/>
        <w:rPr>
          <w:rFonts w:ascii="宋体" w:hAnsi="宋体" w:eastAsia="宋体"/>
          <w:bCs/>
          <w:kern w:val="0"/>
          <w:szCs w:val="21"/>
        </w:rPr>
      </w:pPr>
      <w:r>
        <w:rPr>
          <w:rFonts w:hint="eastAsia" w:ascii="宋体" w:hAnsi="宋体" w:eastAsia="宋体"/>
          <w:bCs/>
          <w:kern w:val="0"/>
          <w:szCs w:val="21"/>
        </w:rPr>
        <w:t>【故意】是</w:t>
      </w:r>
      <w:r>
        <w:rPr>
          <w:rFonts w:ascii="宋体" w:hAnsi="宋体" w:eastAsia="宋体"/>
          <w:bCs/>
          <w:kern w:val="0"/>
          <w:szCs w:val="21"/>
        </w:rPr>
        <w:t>指</w:t>
      </w:r>
      <w:r>
        <w:rPr>
          <w:rFonts w:hint="eastAsia" w:ascii="宋体" w:hAnsi="宋体" w:eastAsia="宋体"/>
          <w:bCs/>
          <w:kern w:val="0"/>
          <w:szCs w:val="21"/>
        </w:rPr>
        <w:t>行</w:t>
      </w:r>
      <w:r>
        <w:rPr>
          <w:rFonts w:ascii="宋体" w:hAnsi="宋体" w:eastAsia="宋体"/>
          <w:bCs/>
          <w:kern w:val="0"/>
          <w:szCs w:val="21"/>
        </w:rPr>
        <w:t>为人明知其作为或不作为</w:t>
      </w:r>
      <w:r>
        <w:rPr>
          <w:rFonts w:hint="eastAsia" w:ascii="宋体" w:hAnsi="宋体" w:eastAsia="宋体"/>
          <w:bCs/>
          <w:kern w:val="0"/>
          <w:szCs w:val="21"/>
        </w:rPr>
        <w:t>，</w:t>
      </w:r>
      <w:r>
        <w:rPr>
          <w:rFonts w:ascii="宋体" w:hAnsi="宋体" w:eastAsia="宋体"/>
          <w:bCs/>
          <w:kern w:val="0"/>
          <w:szCs w:val="21"/>
        </w:rPr>
        <w:t>将会造成民事侵权或</w:t>
      </w:r>
      <w:r>
        <w:rPr>
          <w:rFonts w:hint="eastAsia" w:ascii="宋体" w:hAnsi="宋体" w:eastAsia="宋体"/>
          <w:bCs/>
          <w:kern w:val="0"/>
          <w:szCs w:val="21"/>
        </w:rPr>
        <w:t>者</w:t>
      </w:r>
      <w:r>
        <w:rPr>
          <w:rFonts w:ascii="宋体" w:hAnsi="宋体" w:eastAsia="宋体"/>
          <w:bCs/>
          <w:kern w:val="0"/>
          <w:szCs w:val="21"/>
        </w:rPr>
        <w:t>违约，</w:t>
      </w:r>
      <w:r>
        <w:rPr>
          <w:rFonts w:hint="eastAsia" w:ascii="宋体" w:hAnsi="宋体" w:eastAsia="宋体"/>
          <w:bCs/>
          <w:kern w:val="0"/>
          <w:szCs w:val="21"/>
        </w:rPr>
        <w:t>仍希望或放任发生，行为人希望发生的损害、损失或</w:t>
      </w:r>
      <w:r>
        <w:rPr>
          <w:rFonts w:ascii="宋体" w:hAnsi="宋体" w:eastAsia="宋体"/>
          <w:bCs/>
          <w:kern w:val="0"/>
          <w:szCs w:val="21"/>
        </w:rPr>
        <w:t>者其他情形</w:t>
      </w:r>
      <w:r>
        <w:rPr>
          <w:rFonts w:hint="eastAsia" w:ascii="宋体" w:hAnsi="宋体" w:eastAsia="宋体"/>
          <w:bCs/>
          <w:kern w:val="0"/>
          <w:szCs w:val="21"/>
        </w:rPr>
        <w:t>。</w:t>
      </w:r>
    </w:p>
    <w:p>
      <w:pPr>
        <w:widowControl/>
        <w:spacing w:line="360" w:lineRule="exact"/>
        <w:ind w:firstLine="420" w:firstLineChars="200"/>
        <w:jc w:val="left"/>
        <w:textAlignment w:val="center"/>
        <w:rPr>
          <w:rFonts w:ascii="宋体" w:hAnsi="宋体" w:eastAsia="宋体"/>
          <w:bCs/>
          <w:kern w:val="0"/>
          <w:szCs w:val="21"/>
        </w:rPr>
      </w:pPr>
      <w:r>
        <w:rPr>
          <w:rFonts w:hint="eastAsia" w:ascii="宋体" w:hAnsi="宋体" w:eastAsia="宋体"/>
          <w:bCs/>
          <w:kern w:val="0"/>
          <w:szCs w:val="21"/>
        </w:rPr>
        <w:t>【重大</w:t>
      </w:r>
      <w:r>
        <w:rPr>
          <w:rFonts w:ascii="宋体" w:hAnsi="宋体" w:eastAsia="宋体"/>
          <w:bCs/>
          <w:kern w:val="0"/>
          <w:szCs w:val="21"/>
        </w:rPr>
        <w:t>过失</w:t>
      </w:r>
      <w:r>
        <w:rPr>
          <w:rFonts w:hint="eastAsia" w:ascii="宋体" w:hAnsi="宋体" w:eastAsia="宋体"/>
          <w:bCs/>
          <w:kern w:val="0"/>
          <w:szCs w:val="21"/>
        </w:rPr>
        <w:t>】指在正常情况下责任人在法律行为能力范围内能够预见而没有预见或已经预见但轻信事故不会发生而未采取措施所造成的事故及损失为过失,重大过失是一般人都能预见,作为有相应工作能力的人员却没有预见或疏忽轻信不会发生而造成的事故就是重大过失。</w:t>
      </w:r>
      <w:r>
        <w:rPr>
          <w:rFonts w:ascii="宋体" w:hAnsi="宋体" w:eastAsia="宋体"/>
          <w:bCs/>
          <w:vanish/>
          <w:kern w:val="0"/>
          <w:szCs w:val="21"/>
        </w:rPr>
        <w:cr/>
      </w:r>
      <w:r>
        <w:rPr>
          <w:rFonts w:ascii="宋体" w:hAnsi="宋体" w:eastAsia="宋体"/>
          <w:bCs/>
          <w:vanish/>
          <w:kern w:val="0"/>
          <w:szCs w:val="21"/>
        </w:rPr>
        <w:t>希望或放任其发生发生的民事侵权或者合同</w:t>
      </w:r>
    </w:p>
    <w:p>
      <w:pPr>
        <w:widowControl/>
        <w:spacing w:line="360" w:lineRule="exact"/>
        <w:ind w:firstLine="420" w:firstLineChars="200"/>
        <w:jc w:val="left"/>
        <w:rPr>
          <w:rFonts w:ascii="宋体" w:hAnsi="宋体" w:eastAsia="宋体" w:cs="仿宋"/>
          <w:b/>
          <w:bCs/>
          <w:kern w:val="0"/>
          <w:szCs w:val="21"/>
        </w:rPr>
      </w:pPr>
      <w:r>
        <w:rPr>
          <w:rFonts w:hint="eastAsia" w:ascii="宋体" w:hAnsi="宋体" w:eastAsia="宋体" w:cs="仿宋"/>
          <w:kern w:val="0"/>
          <w:szCs w:val="21"/>
        </w:rPr>
        <w:t>【免赔额】是指保险单中约定的由被保险人自行承担的损失金额。</w:t>
      </w:r>
    </w:p>
    <w:p>
      <w:pPr>
        <w:widowControl/>
        <w:spacing w:line="360" w:lineRule="exact"/>
        <w:ind w:firstLine="420" w:firstLineChars="200"/>
        <w:jc w:val="left"/>
        <w:rPr>
          <w:rFonts w:ascii="宋体" w:hAnsi="宋体" w:eastAsia="宋体" w:cs="仿宋"/>
          <w:kern w:val="0"/>
          <w:szCs w:val="21"/>
        </w:rPr>
      </w:pPr>
      <w:r>
        <w:rPr>
          <w:rFonts w:hint="eastAsia" w:ascii="宋体" w:hAnsi="宋体" w:eastAsia="宋体" w:cs="仿宋"/>
          <w:kern w:val="0"/>
          <w:szCs w:val="21"/>
        </w:rPr>
        <w:t>【未满期保险费】是指保险人应退还的剩余保险期间的保险费，未满期保险费按照以下公式计算：</w:t>
      </w:r>
    </w:p>
    <w:p>
      <w:pPr>
        <w:widowControl/>
        <w:spacing w:line="360" w:lineRule="exact"/>
        <w:ind w:firstLine="422" w:firstLineChars="200"/>
        <w:jc w:val="left"/>
        <w:rPr>
          <w:rFonts w:ascii="宋体" w:hAnsi="宋体" w:eastAsia="宋体" w:cs="仿宋"/>
          <w:b/>
          <w:kern w:val="0"/>
          <w:szCs w:val="21"/>
        </w:rPr>
      </w:pPr>
      <w:r>
        <w:rPr>
          <w:rFonts w:hint="eastAsia" w:ascii="宋体" w:hAnsi="宋体" w:eastAsia="宋体" w:cs="仿宋"/>
          <w:b/>
          <w:kern w:val="0"/>
          <w:szCs w:val="21"/>
        </w:rPr>
        <w:t>未满期保险费</w:t>
      </w:r>
      <w:r>
        <w:rPr>
          <w:rFonts w:ascii="宋体" w:hAnsi="宋体" w:eastAsia="宋体" w:cs="仿宋"/>
          <w:b/>
          <w:kern w:val="0"/>
          <w:szCs w:val="21"/>
        </w:rPr>
        <w:t>=保险费×（合同解除之日与保险期间截止日期间/保险期间天数）×（累计责任限额－累计赔偿金额）/累计责任限额</w:t>
      </w:r>
    </w:p>
    <w:p>
      <w:pPr>
        <w:widowControl/>
        <w:spacing w:line="360" w:lineRule="exact"/>
        <w:ind w:firstLine="422" w:firstLineChars="200"/>
        <w:jc w:val="left"/>
        <w:rPr>
          <w:rFonts w:ascii="宋体" w:hAnsi="宋体" w:eastAsia="宋体" w:cs="仿宋"/>
          <w:b/>
          <w:kern w:val="0"/>
          <w:szCs w:val="21"/>
        </w:rPr>
      </w:pPr>
      <w:r>
        <w:rPr>
          <w:rFonts w:hint="eastAsia" w:ascii="宋体" w:hAnsi="宋体" w:eastAsia="宋体" w:cs="仿宋"/>
          <w:b/>
          <w:kern w:val="0"/>
          <w:szCs w:val="21"/>
        </w:rPr>
        <w:t>累计赔偿金额</w:t>
      </w:r>
      <w:r>
        <w:rPr>
          <w:rFonts w:ascii="宋体" w:hAnsi="宋体" w:eastAsia="宋体" w:cs="仿宋"/>
          <w:b/>
          <w:kern w:val="0"/>
          <w:szCs w:val="21"/>
        </w:rPr>
        <w:t>=已决赔款金额+未决赔款金额</w:t>
      </w:r>
    </w:p>
    <w:p>
      <w:pPr>
        <w:widowControl/>
        <w:spacing w:line="360" w:lineRule="exact"/>
        <w:jc w:val="left"/>
        <w:outlineLvl w:val="1"/>
        <w:rPr>
          <w:rFonts w:ascii="宋体" w:hAnsi="宋体" w:eastAsia="宋体" w:cs="仿宋"/>
          <w:b/>
          <w:bCs/>
          <w:kern w:val="0"/>
          <w:szCs w:val="21"/>
        </w:rPr>
      </w:pPr>
    </w:p>
    <w:p>
      <w:pPr>
        <w:widowControl/>
        <w:spacing w:line="360" w:lineRule="exact"/>
        <w:jc w:val="left"/>
        <w:outlineLvl w:val="1"/>
        <w:rPr>
          <w:rFonts w:ascii="宋体" w:hAnsi="宋体" w:eastAsia="宋体" w:cs="仿宋"/>
          <w:b/>
          <w:bCs/>
          <w:kern w:val="0"/>
          <w:szCs w:val="21"/>
        </w:rPr>
      </w:pPr>
    </w:p>
    <w:p>
      <w:pPr>
        <w:widowControl/>
        <w:spacing w:line="360" w:lineRule="exact"/>
        <w:jc w:val="left"/>
        <w:outlineLvl w:val="1"/>
        <w:rPr>
          <w:rFonts w:ascii="宋体" w:hAnsi="宋体" w:eastAsia="宋体" w:cs="仿宋"/>
          <w:b/>
          <w:bCs/>
          <w:kern w:val="0"/>
          <w:szCs w:val="21"/>
        </w:rPr>
      </w:pPr>
      <w:r>
        <w:rPr>
          <w:rFonts w:hint="eastAsia" w:ascii="宋体" w:hAnsi="宋体" w:eastAsia="宋体" w:cs="仿宋"/>
          <w:b/>
          <w:bCs/>
          <w:kern w:val="0"/>
          <w:szCs w:val="21"/>
        </w:rPr>
        <w:t>附表1：从业人员残疾赔偿比例表</w:t>
      </w:r>
    </w:p>
    <w:tbl>
      <w:tblPr>
        <w:tblStyle w:val="47"/>
        <w:tblW w:w="0" w:type="auto"/>
        <w:jc w:val="center"/>
        <w:tblLayout w:type="autofit"/>
        <w:tblCellMar>
          <w:top w:w="0" w:type="dxa"/>
          <w:left w:w="108" w:type="dxa"/>
          <w:bottom w:w="0" w:type="dxa"/>
          <w:right w:w="108" w:type="dxa"/>
        </w:tblCellMar>
      </w:tblPr>
      <w:tblGrid>
        <w:gridCol w:w="988"/>
        <w:gridCol w:w="1417"/>
        <w:gridCol w:w="1843"/>
      </w:tblGrid>
      <w:tr>
        <w:tblPrEx>
          <w:tblCellMar>
            <w:top w:w="0" w:type="dxa"/>
            <w:left w:w="108" w:type="dxa"/>
            <w:bottom w:w="0" w:type="dxa"/>
            <w:right w:w="108" w:type="dxa"/>
          </w:tblCellMar>
        </w:tblPrEx>
        <w:trPr>
          <w:trHeight w:val="57" w:hRule="atLeast"/>
          <w:jc w:val="center"/>
        </w:trPr>
        <w:tc>
          <w:tcPr>
            <w:tcW w:w="988" w:type="dxa"/>
            <w:tcBorders>
              <w:top w:val="single" w:color="000000" w:sz="4" w:space="0"/>
              <w:left w:val="single" w:color="000000" w:sz="4" w:space="0"/>
              <w:bottom w:val="single" w:color="000000" w:sz="4" w:space="0"/>
              <w:right w:val="single" w:color="000000" w:sz="4" w:space="0"/>
            </w:tcBorders>
            <w:shd w:val="clear" w:color="auto" w:fill="F3F3F3"/>
            <w:vAlign w:val="center"/>
          </w:tcPr>
          <w:p>
            <w:pPr>
              <w:widowControl/>
              <w:spacing w:line="360" w:lineRule="exact"/>
              <w:jc w:val="center"/>
              <w:rPr>
                <w:rFonts w:ascii="宋体" w:hAnsi="宋体" w:eastAsia="宋体" w:cs="仿宋"/>
                <w:b/>
                <w:bCs/>
                <w:kern w:val="0"/>
                <w:szCs w:val="21"/>
              </w:rPr>
            </w:pPr>
            <w:r>
              <w:rPr>
                <w:rFonts w:hint="eastAsia" w:ascii="宋体" w:hAnsi="宋体" w:eastAsia="宋体" w:cs="仿宋"/>
                <w:b/>
                <w:bCs/>
                <w:kern w:val="0"/>
                <w:szCs w:val="21"/>
              </w:rPr>
              <w:t>项 目</w:t>
            </w:r>
          </w:p>
        </w:tc>
        <w:tc>
          <w:tcPr>
            <w:tcW w:w="1417" w:type="dxa"/>
            <w:tcBorders>
              <w:top w:val="single" w:color="000000" w:sz="4" w:space="0"/>
              <w:left w:val="nil"/>
              <w:bottom w:val="single" w:color="000000" w:sz="4" w:space="0"/>
              <w:right w:val="single" w:color="000000" w:sz="4" w:space="0"/>
            </w:tcBorders>
            <w:shd w:val="clear" w:color="auto" w:fill="F3F3F3"/>
            <w:vAlign w:val="center"/>
          </w:tcPr>
          <w:p>
            <w:pPr>
              <w:widowControl/>
              <w:spacing w:line="360" w:lineRule="exact"/>
              <w:jc w:val="center"/>
              <w:rPr>
                <w:rFonts w:ascii="宋体" w:hAnsi="宋体" w:eastAsia="宋体" w:cs="仿宋"/>
                <w:b/>
                <w:bCs/>
                <w:kern w:val="0"/>
                <w:szCs w:val="21"/>
              </w:rPr>
            </w:pPr>
            <w:r>
              <w:rPr>
                <w:rFonts w:hint="eastAsia" w:ascii="宋体" w:hAnsi="宋体" w:eastAsia="宋体" w:cs="仿宋"/>
                <w:b/>
                <w:bCs/>
                <w:kern w:val="0"/>
                <w:szCs w:val="21"/>
              </w:rPr>
              <w:t>伤残级别</w:t>
            </w:r>
          </w:p>
        </w:tc>
        <w:tc>
          <w:tcPr>
            <w:tcW w:w="1843" w:type="dxa"/>
            <w:tcBorders>
              <w:top w:val="single" w:color="000000" w:sz="4" w:space="0"/>
              <w:left w:val="nil"/>
              <w:bottom w:val="single" w:color="000000" w:sz="4" w:space="0"/>
              <w:right w:val="single" w:color="000000" w:sz="4" w:space="0"/>
            </w:tcBorders>
            <w:shd w:val="clear" w:color="auto" w:fill="F3F3F3"/>
            <w:vAlign w:val="center"/>
          </w:tcPr>
          <w:p>
            <w:pPr>
              <w:widowControl/>
              <w:spacing w:line="360" w:lineRule="exact"/>
              <w:jc w:val="center"/>
              <w:rPr>
                <w:rFonts w:ascii="宋体" w:hAnsi="宋体" w:eastAsia="宋体" w:cs="仿宋"/>
                <w:b/>
                <w:bCs/>
                <w:kern w:val="0"/>
                <w:szCs w:val="21"/>
              </w:rPr>
            </w:pPr>
            <w:r>
              <w:rPr>
                <w:rFonts w:hint="eastAsia" w:ascii="宋体" w:hAnsi="宋体" w:eastAsia="宋体" w:cs="仿宋"/>
                <w:b/>
                <w:bCs/>
                <w:kern w:val="0"/>
                <w:szCs w:val="21"/>
              </w:rPr>
              <w:t>伤残赔偿比例</w:t>
            </w:r>
          </w:p>
        </w:tc>
      </w:tr>
      <w:tr>
        <w:tblPrEx>
          <w:tblCellMar>
            <w:top w:w="0" w:type="dxa"/>
            <w:left w:w="108" w:type="dxa"/>
            <w:bottom w:w="0" w:type="dxa"/>
            <w:right w:w="108" w:type="dxa"/>
          </w:tblCellMar>
        </w:tblPrEx>
        <w:trPr>
          <w:trHeight w:val="5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1</w:t>
            </w:r>
          </w:p>
        </w:tc>
        <w:tc>
          <w:tcPr>
            <w:tcW w:w="141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一级伤残</w:t>
            </w:r>
          </w:p>
        </w:tc>
        <w:tc>
          <w:tcPr>
            <w:tcW w:w="1843"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100％</w:t>
            </w:r>
          </w:p>
        </w:tc>
      </w:tr>
      <w:tr>
        <w:tblPrEx>
          <w:tblCellMar>
            <w:top w:w="0" w:type="dxa"/>
            <w:left w:w="108" w:type="dxa"/>
            <w:bottom w:w="0" w:type="dxa"/>
            <w:right w:w="108" w:type="dxa"/>
          </w:tblCellMar>
        </w:tblPrEx>
        <w:trPr>
          <w:trHeight w:val="5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2</w:t>
            </w:r>
          </w:p>
        </w:tc>
        <w:tc>
          <w:tcPr>
            <w:tcW w:w="141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二级伤残</w:t>
            </w:r>
          </w:p>
        </w:tc>
        <w:tc>
          <w:tcPr>
            <w:tcW w:w="1843"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90％</w:t>
            </w:r>
          </w:p>
        </w:tc>
      </w:tr>
      <w:tr>
        <w:tblPrEx>
          <w:tblCellMar>
            <w:top w:w="0" w:type="dxa"/>
            <w:left w:w="108" w:type="dxa"/>
            <w:bottom w:w="0" w:type="dxa"/>
            <w:right w:w="108" w:type="dxa"/>
          </w:tblCellMar>
        </w:tblPrEx>
        <w:trPr>
          <w:trHeight w:val="5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3</w:t>
            </w:r>
          </w:p>
        </w:tc>
        <w:tc>
          <w:tcPr>
            <w:tcW w:w="141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三级伤残</w:t>
            </w:r>
          </w:p>
        </w:tc>
        <w:tc>
          <w:tcPr>
            <w:tcW w:w="1843"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80％</w:t>
            </w:r>
          </w:p>
        </w:tc>
      </w:tr>
      <w:tr>
        <w:tblPrEx>
          <w:tblCellMar>
            <w:top w:w="0" w:type="dxa"/>
            <w:left w:w="108" w:type="dxa"/>
            <w:bottom w:w="0" w:type="dxa"/>
            <w:right w:w="108" w:type="dxa"/>
          </w:tblCellMar>
        </w:tblPrEx>
        <w:trPr>
          <w:trHeight w:val="5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4</w:t>
            </w:r>
          </w:p>
        </w:tc>
        <w:tc>
          <w:tcPr>
            <w:tcW w:w="141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四级伤残</w:t>
            </w:r>
          </w:p>
        </w:tc>
        <w:tc>
          <w:tcPr>
            <w:tcW w:w="1843"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70％</w:t>
            </w:r>
          </w:p>
        </w:tc>
      </w:tr>
      <w:tr>
        <w:tblPrEx>
          <w:tblCellMar>
            <w:top w:w="0" w:type="dxa"/>
            <w:left w:w="108" w:type="dxa"/>
            <w:bottom w:w="0" w:type="dxa"/>
            <w:right w:w="108" w:type="dxa"/>
          </w:tblCellMar>
        </w:tblPrEx>
        <w:trPr>
          <w:trHeight w:val="5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5</w:t>
            </w:r>
          </w:p>
        </w:tc>
        <w:tc>
          <w:tcPr>
            <w:tcW w:w="141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五级伤残</w:t>
            </w:r>
          </w:p>
        </w:tc>
        <w:tc>
          <w:tcPr>
            <w:tcW w:w="1843"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60％</w:t>
            </w:r>
          </w:p>
        </w:tc>
      </w:tr>
      <w:tr>
        <w:tblPrEx>
          <w:tblCellMar>
            <w:top w:w="0" w:type="dxa"/>
            <w:left w:w="108" w:type="dxa"/>
            <w:bottom w:w="0" w:type="dxa"/>
            <w:right w:w="108" w:type="dxa"/>
          </w:tblCellMar>
        </w:tblPrEx>
        <w:trPr>
          <w:trHeight w:val="5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6</w:t>
            </w:r>
          </w:p>
        </w:tc>
        <w:tc>
          <w:tcPr>
            <w:tcW w:w="141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六级伤残</w:t>
            </w:r>
          </w:p>
        </w:tc>
        <w:tc>
          <w:tcPr>
            <w:tcW w:w="1843"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50％</w:t>
            </w:r>
          </w:p>
        </w:tc>
      </w:tr>
      <w:tr>
        <w:tblPrEx>
          <w:tblCellMar>
            <w:top w:w="0" w:type="dxa"/>
            <w:left w:w="108" w:type="dxa"/>
            <w:bottom w:w="0" w:type="dxa"/>
            <w:right w:w="108" w:type="dxa"/>
          </w:tblCellMar>
        </w:tblPrEx>
        <w:trPr>
          <w:trHeight w:val="5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7</w:t>
            </w:r>
          </w:p>
        </w:tc>
        <w:tc>
          <w:tcPr>
            <w:tcW w:w="141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七级伤残</w:t>
            </w:r>
          </w:p>
        </w:tc>
        <w:tc>
          <w:tcPr>
            <w:tcW w:w="1843"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40％</w:t>
            </w:r>
          </w:p>
        </w:tc>
      </w:tr>
      <w:tr>
        <w:tblPrEx>
          <w:tblCellMar>
            <w:top w:w="0" w:type="dxa"/>
            <w:left w:w="108" w:type="dxa"/>
            <w:bottom w:w="0" w:type="dxa"/>
            <w:right w:w="108" w:type="dxa"/>
          </w:tblCellMar>
        </w:tblPrEx>
        <w:trPr>
          <w:trHeight w:val="5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8</w:t>
            </w:r>
          </w:p>
        </w:tc>
        <w:tc>
          <w:tcPr>
            <w:tcW w:w="141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八级伤残</w:t>
            </w:r>
          </w:p>
        </w:tc>
        <w:tc>
          <w:tcPr>
            <w:tcW w:w="1843"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30％</w:t>
            </w:r>
          </w:p>
        </w:tc>
      </w:tr>
      <w:tr>
        <w:tblPrEx>
          <w:tblCellMar>
            <w:top w:w="0" w:type="dxa"/>
            <w:left w:w="108" w:type="dxa"/>
            <w:bottom w:w="0" w:type="dxa"/>
            <w:right w:w="108" w:type="dxa"/>
          </w:tblCellMar>
        </w:tblPrEx>
        <w:trPr>
          <w:trHeight w:val="90"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9</w:t>
            </w:r>
          </w:p>
        </w:tc>
        <w:tc>
          <w:tcPr>
            <w:tcW w:w="141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九级伤残</w:t>
            </w:r>
          </w:p>
        </w:tc>
        <w:tc>
          <w:tcPr>
            <w:tcW w:w="1843"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20％</w:t>
            </w:r>
          </w:p>
        </w:tc>
      </w:tr>
      <w:tr>
        <w:tblPrEx>
          <w:tblCellMar>
            <w:top w:w="0" w:type="dxa"/>
            <w:left w:w="108" w:type="dxa"/>
            <w:bottom w:w="0" w:type="dxa"/>
            <w:right w:w="108" w:type="dxa"/>
          </w:tblCellMar>
        </w:tblPrEx>
        <w:trPr>
          <w:trHeight w:val="57" w:hRule="atLeast"/>
          <w:jc w:val="center"/>
        </w:trPr>
        <w:tc>
          <w:tcPr>
            <w:tcW w:w="988"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10</w:t>
            </w:r>
          </w:p>
        </w:tc>
        <w:tc>
          <w:tcPr>
            <w:tcW w:w="1417"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十级伤残</w:t>
            </w:r>
          </w:p>
        </w:tc>
        <w:tc>
          <w:tcPr>
            <w:tcW w:w="1843"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仿宋"/>
                <w:kern w:val="0"/>
                <w:szCs w:val="21"/>
              </w:rPr>
            </w:pPr>
            <w:r>
              <w:rPr>
                <w:rFonts w:hint="eastAsia" w:ascii="宋体" w:hAnsi="宋体" w:eastAsia="宋体" w:cs="仿宋"/>
                <w:kern w:val="0"/>
                <w:szCs w:val="21"/>
              </w:rPr>
              <w:t>10％</w:t>
            </w:r>
          </w:p>
        </w:tc>
      </w:tr>
    </w:tbl>
    <w:p>
      <w:pPr>
        <w:widowControl/>
        <w:spacing w:line="360" w:lineRule="exact"/>
        <w:jc w:val="left"/>
        <w:rPr>
          <w:rFonts w:ascii="宋体" w:hAnsi="宋体" w:eastAsia="宋体" w:cs="仿宋"/>
          <w:b/>
          <w:bCs/>
          <w:kern w:val="0"/>
          <w:szCs w:val="21"/>
        </w:rPr>
      </w:pPr>
      <w:r>
        <w:rPr>
          <w:rFonts w:hint="eastAsia" w:ascii="宋体" w:hAnsi="宋体" w:eastAsia="宋体" w:cs="仿宋"/>
          <w:b/>
          <w:bCs/>
          <w:kern w:val="0"/>
          <w:szCs w:val="21"/>
        </w:rPr>
        <w:t>注：：伤残级别按《劳动能力</w:t>
      </w:r>
      <w:r>
        <w:rPr>
          <w:rFonts w:ascii="宋体" w:hAnsi="宋体" w:eastAsia="宋体" w:cs="仿宋"/>
          <w:b/>
          <w:bCs/>
          <w:kern w:val="0"/>
          <w:szCs w:val="21"/>
        </w:rPr>
        <w:t xml:space="preserve"> 鉴定职工工伤与职业病致残等级》（GB/T 16180-2014）鉴定。</w:t>
      </w:r>
    </w:p>
    <w:p>
      <w:pPr>
        <w:widowControl/>
        <w:spacing w:line="360" w:lineRule="exact"/>
        <w:jc w:val="left"/>
        <w:outlineLvl w:val="1"/>
        <w:rPr>
          <w:rFonts w:ascii="宋体" w:hAnsi="宋体" w:eastAsia="宋体" w:cs="仿宋"/>
          <w:b/>
          <w:bCs/>
          <w:kern w:val="0"/>
          <w:szCs w:val="21"/>
        </w:rPr>
      </w:pPr>
    </w:p>
    <w:p>
      <w:pPr>
        <w:widowControl/>
        <w:spacing w:line="360" w:lineRule="exact"/>
        <w:jc w:val="left"/>
        <w:outlineLvl w:val="1"/>
        <w:rPr>
          <w:rFonts w:ascii="宋体" w:hAnsi="宋体" w:eastAsia="宋体" w:cs="仿宋"/>
          <w:b/>
          <w:bCs/>
          <w:kern w:val="0"/>
          <w:szCs w:val="21"/>
        </w:rPr>
      </w:pPr>
      <w:r>
        <w:rPr>
          <w:rFonts w:hint="eastAsia" w:ascii="宋体" w:hAnsi="宋体" w:eastAsia="宋体" w:cs="仿宋"/>
          <w:b/>
          <w:bCs/>
          <w:kern w:val="0"/>
          <w:szCs w:val="21"/>
        </w:rPr>
        <w:t>附表2：第三者残疾赔偿比例表</w:t>
      </w:r>
    </w:p>
    <w:tbl>
      <w:tblPr>
        <w:tblStyle w:val="47"/>
        <w:tblW w:w="0" w:type="auto"/>
        <w:jc w:val="center"/>
        <w:tblLayout w:type="autofit"/>
        <w:tblCellMar>
          <w:top w:w="0" w:type="dxa"/>
          <w:left w:w="10" w:type="dxa"/>
          <w:bottom w:w="0" w:type="dxa"/>
          <w:right w:w="10" w:type="dxa"/>
        </w:tblCellMar>
      </w:tblPr>
      <w:tblGrid>
        <w:gridCol w:w="1693"/>
        <w:gridCol w:w="2127"/>
      </w:tblGrid>
      <w:tr>
        <w:tblPrEx>
          <w:tblCellMar>
            <w:top w:w="0" w:type="dxa"/>
            <w:left w:w="10" w:type="dxa"/>
            <w:bottom w:w="0" w:type="dxa"/>
            <w:right w:w="10" w:type="dxa"/>
          </w:tblCellMar>
        </w:tblPrEx>
        <w:trPr>
          <w:jc w:val="center"/>
        </w:trPr>
        <w:tc>
          <w:tcPr>
            <w:tcW w:w="1693" w:type="dxa"/>
            <w:tcBorders>
              <w:top w:val="single" w:color="000000" w:sz="6" w:space="0"/>
              <w:left w:val="single" w:color="000000" w:sz="6" w:space="0"/>
              <w:bottom w:val="single" w:color="000000" w:sz="6" w:space="0"/>
              <w:right w:val="single" w:color="000000" w:sz="6" w:space="0"/>
            </w:tcBorders>
            <w:shd w:val="clear" w:color="auto" w:fill="FFFFFF"/>
            <w:vAlign w:val="center"/>
          </w:tcPr>
          <w:p>
            <w:pPr>
              <w:widowControl/>
              <w:snapToGrid w:val="0"/>
              <w:spacing w:line="360" w:lineRule="exact"/>
              <w:jc w:val="center"/>
              <w:rPr>
                <w:rFonts w:ascii="宋体" w:hAnsi="宋体" w:eastAsia="宋体" w:cs="仿宋"/>
                <w:b/>
                <w:bCs/>
                <w:kern w:val="0"/>
                <w:szCs w:val="21"/>
              </w:rPr>
            </w:pPr>
            <w:r>
              <w:rPr>
                <w:rFonts w:hint="eastAsia" w:ascii="宋体" w:hAnsi="宋体" w:eastAsia="宋体" w:cs="仿宋"/>
                <w:b/>
                <w:bCs/>
                <w:kern w:val="0"/>
                <w:szCs w:val="21"/>
              </w:rPr>
              <w:t>伤残级别</w:t>
            </w:r>
          </w:p>
        </w:tc>
        <w:tc>
          <w:tcPr>
            <w:tcW w:w="2127" w:type="dxa"/>
            <w:tcBorders>
              <w:top w:val="single" w:color="000000" w:sz="6" w:space="0"/>
              <w:left w:val="nil"/>
              <w:bottom w:val="single" w:color="000000" w:sz="6" w:space="0"/>
              <w:right w:val="single" w:color="000000" w:sz="6" w:space="0"/>
            </w:tcBorders>
            <w:shd w:val="clear" w:color="auto" w:fill="FFFFFF"/>
            <w:vAlign w:val="center"/>
          </w:tcPr>
          <w:p>
            <w:pPr>
              <w:widowControl/>
              <w:snapToGrid w:val="0"/>
              <w:spacing w:line="360" w:lineRule="exact"/>
              <w:jc w:val="center"/>
              <w:rPr>
                <w:rFonts w:ascii="宋体" w:hAnsi="宋体" w:eastAsia="宋体" w:cs="仿宋"/>
                <w:b/>
                <w:bCs/>
                <w:kern w:val="0"/>
                <w:szCs w:val="21"/>
              </w:rPr>
            </w:pPr>
            <w:r>
              <w:rPr>
                <w:rFonts w:hint="eastAsia" w:ascii="宋体" w:hAnsi="宋体" w:eastAsia="宋体" w:cs="仿宋"/>
                <w:b/>
                <w:bCs/>
                <w:kern w:val="0"/>
                <w:szCs w:val="21"/>
              </w:rPr>
              <w:t>残疾赔偿比例表</w:t>
            </w:r>
          </w:p>
        </w:tc>
      </w:tr>
      <w:tr>
        <w:tblPrEx>
          <w:tblCellMar>
            <w:top w:w="0" w:type="dxa"/>
            <w:left w:w="10" w:type="dxa"/>
            <w:bottom w:w="0" w:type="dxa"/>
            <w:right w:w="10" w:type="dxa"/>
          </w:tblCellMar>
        </w:tblPrEx>
        <w:trPr>
          <w:jc w:val="center"/>
        </w:trPr>
        <w:tc>
          <w:tcPr>
            <w:tcW w:w="169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Ⅰ级伤残</w:t>
            </w:r>
          </w:p>
        </w:tc>
        <w:tc>
          <w:tcPr>
            <w:tcW w:w="2127" w:type="dxa"/>
            <w:tcBorders>
              <w:top w:val="single" w:color="000000" w:sz="6" w:space="0"/>
              <w:left w:val="nil"/>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100％</w:t>
            </w:r>
          </w:p>
        </w:tc>
      </w:tr>
      <w:tr>
        <w:tblPrEx>
          <w:tblCellMar>
            <w:top w:w="0" w:type="dxa"/>
            <w:left w:w="10" w:type="dxa"/>
            <w:bottom w:w="0" w:type="dxa"/>
            <w:right w:w="10" w:type="dxa"/>
          </w:tblCellMar>
        </w:tblPrEx>
        <w:trPr>
          <w:jc w:val="center"/>
        </w:trPr>
        <w:tc>
          <w:tcPr>
            <w:tcW w:w="169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Ⅱ级伤残</w:t>
            </w:r>
          </w:p>
        </w:tc>
        <w:tc>
          <w:tcPr>
            <w:tcW w:w="2127" w:type="dxa"/>
            <w:tcBorders>
              <w:top w:val="single" w:color="000000" w:sz="6" w:space="0"/>
              <w:left w:val="nil"/>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90％</w:t>
            </w:r>
          </w:p>
        </w:tc>
      </w:tr>
      <w:tr>
        <w:tblPrEx>
          <w:tblCellMar>
            <w:top w:w="0" w:type="dxa"/>
            <w:left w:w="10" w:type="dxa"/>
            <w:bottom w:w="0" w:type="dxa"/>
            <w:right w:w="10" w:type="dxa"/>
          </w:tblCellMar>
        </w:tblPrEx>
        <w:trPr>
          <w:jc w:val="center"/>
        </w:trPr>
        <w:tc>
          <w:tcPr>
            <w:tcW w:w="169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Ⅲ级伤残</w:t>
            </w:r>
          </w:p>
        </w:tc>
        <w:tc>
          <w:tcPr>
            <w:tcW w:w="2127" w:type="dxa"/>
            <w:tcBorders>
              <w:top w:val="single" w:color="000000" w:sz="6" w:space="0"/>
              <w:left w:val="nil"/>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80％</w:t>
            </w:r>
          </w:p>
        </w:tc>
      </w:tr>
      <w:tr>
        <w:tblPrEx>
          <w:tblCellMar>
            <w:top w:w="0" w:type="dxa"/>
            <w:left w:w="10" w:type="dxa"/>
            <w:bottom w:w="0" w:type="dxa"/>
            <w:right w:w="10" w:type="dxa"/>
          </w:tblCellMar>
        </w:tblPrEx>
        <w:trPr>
          <w:jc w:val="center"/>
        </w:trPr>
        <w:tc>
          <w:tcPr>
            <w:tcW w:w="169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Ⅳ级伤残</w:t>
            </w:r>
          </w:p>
        </w:tc>
        <w:tc>
          <w:tcPr>
            <w:tcW w:w="2127" w:type="dxa"/>
            <w:tcBorders>
              <w:top w:val="single" w:color="000000" w:sz="6" w:space="0"/>
              <w:left w:val="nil"/>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70％</w:t>
            </w:r>
          </w:p>
        </w:tc>
      </w:tr>
      <w:tr>
        <w:tblPrEx>
          <w:tblCellMar>
            <w:top w:w="0" w:type="dxa"/>
            <w:left w:w="10" w:type="dxa"/>
            <w:bottom w:w="0" w:type="dxa"/>
            <w:right w:w="10" w:type="dxa"/>
          </w:tblCellMar>
        </w:tblPrEx>
        <w:trPr>
          <w:jc w:val="center"/>
        </w:trPr>
        <w:tc>
          <w:tcPr>
            <w:tcW w:w="169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Ⅴ级伤残</w:t>
            </w:r>
          </w:p>
        </w:tc>
        <w:tc>
          <w:tcPr>
            <w:tcW w:w="2127" w:type="dxa"/>
            <w:tcBorders>
              <w:top w:val="single" w:color="000000" w:sz="6" w:space="0"/>
              <w:left w:val="nil"/>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60％</w:t>
            </w:r>
          </w:p>
        </w:tc>
      </w:tr>
      <w:tr>
        <w:tblPrEx>
          <w:tblCellMar>
            <w:top w:w="0" w:type="dxa"/>
            <w:left w:w="10" w:type="dxa"/>
            <w:bottom w:w="0" w:type="dxa"/>
            <w:right w:w="10" w:type="dxa"/>
          </w:tblCellMar>
        </w:tblPrEx>
        <w:trPr>
          <w:jc w:val="center"/>
        </w:trPr>
        <w:tc>
          <w:tcPr>
            <w:tcW w:w="169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Ⅵ级伤残</w:t>
            </w:r>
          </w:p>
        </w:tc>
        <w:tc>
          <w:tcPr>
            <w:tcW w:w="2127" w:type="dxa"/>
            <w:tcBorders>
              <w:top w:val="single" w:color="000000" w:sz="6" w:space="0"/>
              <w:left w:val="nil"/>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50％</w:t>
            </w:r>
          </w:p>
        </w:tc>
      </w:tr>
      <w:tr>
        <w:tblPrEx>
          <w:tblCellMar>
            <w:top w:w="0" w:type="dxa"/>
            <w:left w:w="10" w:type="dxa"/>
            <w:bottom w:w="0" w:type="dxa"/>
            <w:right w:w="10" w:type="dxa"/>
          </w:tblCellMar>
        </w:tblPrEx>
        <w:trPr>
          <w:jc w:val="center"/>
        </w:trPr>
        <w:tc>
          <w:tcPr>
            <w:tcW w:w="169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Ⅶ级伤残</w:t>
            </w:r>
          </w:p>
        </w:tc>
        <w:tc>
          <w:tcPr>
            <w:tcW w:w="2127" w:type="dxa"/>
            <w:tcBorders>
              <w:top w:val="single" w:color="000000" w:sz="6" w:space="0"/>
              <w:left w:val="nil"/>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40％</w:t>
            </w:r>
          </w:p>
        </w:tc>
      </w:tr>
      <w:tr>
        <w:tblPrEx>
          <w:tblCellMar>
            <w:top w:w="0" w:type="dxa"/>
            <w:left w:w="10" w:type="dxa"/>
            <w:bottom w:w="0" w:type="dxa"/>
            <w:right w:w="10" w:type="dxa"/>
          </w:tblCellMar>
        </w:tblPrEx>
        <w:trPr>
          <w:jc w:val="center"/>
        </w:trPr>
        <w:tc>
          <w:tcPr>
            <w:tcW w:w="169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Ⅷ级伤残</w:t>
            </w:r>
          </w:p>
        </w:tc>
        <w:tc>
          <w:tcPr>
            <w:tcW w:w="2127" w:type="dxa"/>
            <w:tcBorders>
              <w:top w:val="single" w:color="000000" w:sz="6" w:space="0"/>
              <w:left w:val="nil"/>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30％</w:t>
            </w:r>
          </w:p>
        </w:tc>
      </w:tr>
      <w:tr>
        <w:tblPrEx>
          <w:tblCellMar>
            <w:top w:w="0" w:type="dxa"/>
            <w:left w:w="10" w:type="dxa"/>
            <w:bottom w:w="0" w:type="dxa"/>
            <w:right w:w="10" w:type="dxa"/>
          </w:tblCellMar>
        </w:tblPrEx>
        <w:trPr>
          <w:jc w:val="center"/>
        </w:trPr>
        <w:tc>
          <w:tcPr>
            <w:tcW w:w="169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Ⅸ级伤残</w:t>
            </w:r>
          </w:p>
        </w:tc>
        <w:tc>
          <w:tcPr>
            <w:tcW w:w="2127" w:type="dxa"/>
            <w:tcBorders>
              <w:top w:val="single" w:color="000000" w:sz="6" w:space="0"/>
              <w:left w:val="nil"/>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20％</w:t>
            </w:r>
          </w:p>
        </w:tc>
      </w:tr>
      <w:tr>
        <w:tblPrEx>
          <w:tblCellMar>
            <w:top w:w="0" w:type="dxa"/>
            <w:left w:w="10" w:type="dxa"/>
            <w:bottom w:w="0" w:type="dxa"/>
            <w:right w:w="10" w:type="dxa"/>
          </w:tblCellMar>
        </w:tblPrEx>
        <w:trPr>
          <w:trHeight w:val="147" w:hRule="atLeast"/>
          <w:jc w:val="center"/>
        </w:trPr>
        <w:tc>
          <w:tcPr>
            <w:tcW w:w="1693"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Ⅹ级伤残</w:t>
            </w:r>
          </w:p>
        </w:tc>
        <w:tc>
          <w:tcPr>
            <w:tcW w:w="2127" w:type="dxa"/>
            <w:tcBorders>
              <w:top w:val="single" w:color="000000" w:sz="6" w:space="0"/>
              <w:left w:val="nil"/>
              <w:bottom w:val="single" w:color="000000" w:sz="6" w:space="0"/>
              <w:right w:val="single" w:color="000000" w:sz="6" w:space="0"/>
            </w:tcBorders>
            <w:vAlign w:val="center"/>
          </w:tcPr>
          <w:p>
            <w:pPr>
              <w:widowControl/>
              <w:snapToGrid w:val="0"/>
              <w:spacing w:line="360" w:lineRule="exact"/>
              <w:jc w:val="center"/>
              <w:rPr>
                <w:rFonts w:ascii="宋体" w:hAnsi="宋体" w:eastAsia="宋体" w:cs="仿宋"/>
                <w:kern w:val="0"/>
                <w:szCs w:val="21"/>
              </w:rPr>
            </w:pPr>
            <w:r>
              <w:rPr>
                <w:rFonts w:hint="eastAsia" w:ascii="宋体" w:hAnsi="宋体" w:eastAsia="宋体" w:cs="仿宋"/>
                <w:kern w:val="0"/>
                <w:szCs w:val="21"/>
              </w:rPr>
              <w:t>10％</w:t>
            </w:r>
          </w:p>
        </w:tc>
      </w:tr>
    </w:tbl>
    <w:p>
      <w:pPr>
        <w:widowControl/>
        <w:spacing w:line="360" w:lineRule="exact"/>
        <w:jc w:val="left"/>
        <w:rPr>
          <w:rFonts w:ascii="宋体" w:hAnsi="宋体" w:eastAsia="宋体"/>
          <w:b/>
          <w:kern w:val="0"/>
          <w:szCs w:val="21"/>
        </w:rPr>
      </w:pPr>
      <w:r>
        <w:rPr>
          <w:rFonts w:hint="eastAsia" w:ascii="宋体" w:hAnsi="宋体" w:eastAsia="宋体"/>
          <w:b/>
          <w:kern w:val="0"/>
          <w:szCs w:val="21"/>
        </w:rPr>
        <w:t>注：残疾程度依照《人体损伤致残程度分级》鉴定</w:t>
      </w:r>
    </w:p>
    <w:p>
      <w:pPr>
        <w:pStyle w:val="2"/>
        <w:rPr>
          <w:rFonts w:eastAsia="宋体"/>
        </w:rPr>
      </w:pPr>
      <w:r>
        <w:rPr>
          <w:rFonts w:eastAsia="宋体"/>
        </w:rPr>
        <w:br w:type="page"/>
      </w:r>
    </w:p>
    <w:p>
      <w:pPr>
        <w:pStyle w:val="2"/>
        <w:rPr>
          <w:rFonts w:eastAsia="宋体"/>
        </w:rPr>
      </w:pPr>
    </w:p>
    <w:p>
      <w:pPr>
        <w:pStyle w:val="6"/>
        <w:spacing w:before="100" w:after="120" w:line="296" w:lineRule="auto"/>
        <w:jc w:val="center"/>
        <w:rPr>
          <w:rStyle w:val="267"/>
          <w:rFonts w:ascii="宋体" w:hAnsi="宋体" w:cs="宋体"/>
          <w:b/>
          <w:bCs w:val="0"/>
          <w:sz w:val="21"/>
          <w:szCs w:val="21"/>
        </w:rPr>
      </w:pPr>
      <w:r>
        <w:rPr>
          <w:rStyle w:val="267"/>
          <w:rFonts w:hint="eastAsia" w:ascii="宋体" w:hAnsi="宋体" w:cs="宋体"/>
          <w:b/>
          <w:bCs w:val="0"/>
          <w:sz w:val="21"/>
          <w:szCs w:val="21"/>
        </w:rPr>
        <w:t>扩展条款</w:t>
      </w:r>
      <w:bookmarkEnd w:id="1003"/>
      <w:bookmarkEnd w:id="1004"/>
    </w:p>
    <w:p>
      <w:pPr>
        <w:numPr>
          <w:ilvl w:val="5"/>
          <w:numId w:val="48"/>
        </w:numPr>
        <w:spacing w:line="296" w:lineRule="auto"/>
        <w:outlineLvl w:val="5"/>
        <w:rPr>
          <w:rFonts w:ascii="宋体" w:hAnsi="宋体" w:eastAsia="宋体" w:cs="宋体"/>
          <w:b/>
          <w:szCs w:val="21"/>
        </w:rPr>
      </w:pPr>
      <w:r>
        <w:rPr>
          <w:rFonts w:hint="eastAsia" w:ascii="宋体" w:hAnsi="宋体" w:eastAsia="宋体" w:cs="宋体"/>
          <w:b/>
          <w:szCs w:val="21"/>
        </w:rPr>
        <w:t>员工人数调整条款</w:t>
      </w:r>
    </w:p>
    <w:p>
      <w:pPr>
        <w:pStyle w:val="280"/>
        <w:spacing w:beforeLines="0" w:line="296" w:lineRule="auto"/>
        <w:ind w:firstLine="420" w:firstLineChars="200"/>
        <w:rPr>
          <w:rFonts w:ascii="宋体" w:hAnsi="宋体" w:cs="宋体"/>
          <w:color w:val="auto"/>
          <w:sz w:val="21"/>
          <w:szCs w:val="21"/>
        </w:rPr>
      </w:pPr>
      <w:r>
        <w:rPr>
          <w:rFonts w:hint="eastAsia" w:ascii="宋体" w:hAnsi="宋体" w:cs="宋体"/>
          <w:color w:val="auto"/>
          <w:sz w:val="21"/>
          <w:szCs w:val="21"/>
        </w:rPr>
        <w:t>兹经双方同意，保险人同意被保险人按招标文件列明的在职员工确定投保人数，不另列明人员清单，除应被保险人书面要求以外，保险期间投保人数不做调整。</w:t>
      </w:r>
    </w:p>
    <w:p>
      <w:pPr>
        <w:pStyle w:val="280"/>
        <w:spacing w:beforeLines="0" w:line="296" w:lineRule="auto"/>
        <w:ind w:firstLine="420" w:firstLineChars="200"/>
        <w:rPr>
          <w:rFonts w:ascii="宋体" w:hAnsi="宋体" w:cs="宋体"/>
          <w:color w:val="auto"/>
          <w:sz w:val="21"/>
          <w:szCs w:val="21"/>
        </w:rPr>
      </w:pPr>
      <w:r>
        <w:rPr>
          <w:rFonts w:hint="eastAsia" w:ascii="宋体" w:hAnsi="宋体" w:cs="宋体"/>
          <w:color w:val="auto"/>
          <w:sz w:val="21"/>
          <w:szCs w:val="21"/>
        </w:rPr>
        <w:t>本保单所载其他条件不变。</w:t>
      </w:r>
    </w:p>
    <w:p>
      <w:pPr>
        <w:numPr>
          <w:ilvl w:val="5"/>
          <w:numId w:val="48"/>
        </w:numPr>
        <w:spacing w:line="296" w:lineRule="auto"/>
        <w:ind w:firstLine="422" w:firstLineChars="200"/>
        <w:outlineLvl w:val="5"/>
        <w:rPr>
          <w:rFonts w:ascii="宋体" w:hAnsi="宋体" w:eastAsia="宋体" w:cs="宋体"/>
          <w:b/>
          <w:szCs w:val="21"/>
        </w:rPr>
      </w:pPr>
      <w:r>
        <w:rPr>
          <w:rFonts w:hint="eastAsia" w:ascii="宋体" w:hAnsi="宋体" w:eastAsia="宋体" w:cs="宋体"/>
          <w:b/>
          <w:szCs w:val="21"/>
        </w:rPr>
        <w:t>指定理算人条款</w:t>
      </w:r>
    </w:p>
    <w:p>
      <w:pPr>
        <w:pStyle w:val="280"/>
        <w:spacing w:beforeLines="0" w:line="296" w:lineRule="auto"/>
        <w:ind w:firstLine="420" w:firstLineChars="200"/>
        <w:rPr>
          <w:rFonts w:ascii="宋体" w:hAnsi="宋体" w:cs="宋体"/>
          <w:color w:val="auto"/>
          <w:sz w:val="21"/>
          <w:szCs w:val="21"/>
        </w:rPr>
      </w:pPr>
      <w:r>
        <w:rPr>
          <w:rFonts w:hint="eastAsia" w:ascii="宋体" w:hAnsi="宋体" w:cs="宋体"/>
          <w:color w:val="auto"/>
          <w:kern w:val="2"/>
          <w:sz w:val="21"/>
          <w:szCs w:val="21"/>
        </w:rPr>
        <w:t>兹经双方同意，当损失发生时，且在被保险人看来可能引起本保单项下的索赔，被保险人可以选派：广西诚信达保险公估有限公司或其他经被保险人同意的公估公司协助认定责任和金额，聘请公估人的费用由保险人支付。</w:t>
      </w:r>
    </w:p>
    <w:p>
      <w:pPr>
        <w:pStyle w:val="280"/>
        <w:spacing w:beforeLines="0" w:line="296" w:lineRule="auto"/>
        <w:ind w:firstLine="420" w:firstLineChars="200"/>
        <w:rPr>
          <w:rFonts w:ascii="宋体" w:hAnsi="宋体" w:cs="宋体"/>
          <w:color w:val="auto"/>
          <w:sz w:val="21"/>
          <w:szCs w:val="21"/>
        </w:rPr>
      </w:pPr>
      <w:r>
        <w:rPr>
          <w:rFonts w:hint="eastAsia" w:ascii="宋体" w:hAnsi="宋体" w:cs="宋体"/>
          <w:color w:val="auto"/>
          <w:sz w:val="21"/>
          <w:szCs w:val="21"/>
        </w:rPr>
        <w:t>本保单所载其他条件不变。</w:t>
      </w:r>
    </w:p>
    <w:p>
      <w:pPr>
        <w:numPr>
          <w:ilvl w:val="5"/>
          <w:numId w:val="48"/>
        </w:numPr>
        <w:spacing w:line="296" w:lineRule="auto"/>
        <w:ind w:firstLine="422" w:firstLineChars="200"/>
        <w:outlineLvl w:val="5"/>
        <w:rPr>
          <w:rFonts w:ascii="宋体" w:hAnsi="宋体" w:eastAsia="宋体" w:cs="宋体"/>
          <w:b/>
          <w:szCs w:val="21"/>
        </w:rPr>
      </w:pPr>
      <w:r>
        <w:rPr>
          <w:rFonts w:hint="eastAsia" w:ascii="宋体" w:hAnsi="宋体" w:eastAsia="宋体" w:cs="宋体"/>
          <w:b/>
          <w:szCs w:val="21"/>
        </w:rPr>
        <w:t>弃权与禁止反言条款</w:t>
      </w:r>
    </w:p>
    <w:p>
      <w:pPr>
        <w:pStyle w:val="280"/>
        <w:spacing w:beforeLines="0" w:line="296" w:lineRule="auto"/>
        <w:ind w:firstLine="420" w:firstLineChars="200"/>
        <w:rPr>
          <w:rFonts w:ascii="宋体" w:hAnsi="宋体" w:cs="宋体"/>
          <w:color w:val="auto"/>
          <w:kern w:val="2"/>
          <w:sz w:val="21"/>
          <w:szCs w:val="21"/>
        </w:rPr>
      </w:pPr>
      <w:r>
        <w:rPr>
          <w:rFonts w:hint="eastAsia" w:ascii="宋体" w:hAnsi="宋体" w:cs="宋体"/>
          <w:color w:val="auto"/>
          <w:kern w:val="2"/>
          <w:sz w:val="21"/>
          <w:szCs w:val="21"/>
        </w:rPr>
        <w:t>双方一致同意，被保险人或投保人告知义务的履行仅限于保险人在承保前的书面询问，保险人签发保险单，表明保险人对保险标的的风险已有完全了解，因此，在发生事故损失时，不得以被保险人或投保人没有履行告知义务而有所主张。</w:t>
      </w:r>
    </w:p>
    <w:p>
      <w:pPr>
        <w:pStyle w:val="280"/>
        <w:spacing w:beforeLines="0" w:line="296" w:lineRule="auto"/>
        <w:ind w:firstLine="420" w:firstLineChars="200"/>
        <w:rPr>
          <w:rFonts w:ascii="宋体" w:hAnsi="宋体" w:cs="宋体"/>
          <w:color w:val="auto"/>
          <w:sz w:val="21"/>
          <w:szCs w:val="21"/>
        </w:rPr>
      </w:pPr>
      <w:r>
        <w:rPr>
          <w:rFonts w:hint="eastAsia" w:ascii="宋体" w:hAnsi="宋体" w:cs="宋体"/>
          <w:color w:val="auto"/>
          <w:sz w:val="21"/>
          <w:szCs w:val="21"/>
        </w:rPr>
        <w:t>本保单所载其他条件不变。</w:t>
      </w:r>
    </w:p>
    <w:p>
      <w:pPr>
        <w:pStyle w:val="2"/>
        <w:rPr>
          <w:rFonts w:eastAsia="宋体"/>
        </w:rPr>
      </w:pPr>
    </w:p>
    <w:p>
      <w:pPr>
        <w:spacing w:line="360" w:lineRule="auto"/>
        <w:outlineLvl w:val="1"/>
        <w:rPr>
          <w:rFonts w:hAnsi="宋体" w:eastAsia="宋体" w:cs="宋体"/>
          <w:szCs w:val="21"/>
        </w:rPr>
      </w:pPr>
    </w:p>
    <w:p>
      <w:pPr>
        <w:widowControl/>
        <w:jc w:val="left"/>
        <w:rPr>
          <w:rFonts w:hAnsi="宋体" w:eastAsia="宋体" w:cs="宋体"/>
          <w:szCs w:val="21"/>
        </w:rPr>
      </w:pPr>
      <w:r>
        <w:rPr>
          <w:rFonts w:hAnsi="宋体" w:eastAsia="宋体" w:cs="宋体"/>
          <w:szCs w:val="21"/>
        </w:rPr>
        <w:br w:type="page"/>
      </w:r>
    </w:p>
    <w:bookmarkEnd w:id="983"/>
    <w:p>
      <w:pPr>
        <w:adjustRightInd w:val="0"/>
        <w:spacing w:line="276" w:lineRule="auto"/>
        <w:jc w:val="left"/>
        <w:textAlignment w:val="baseline"/>
        <w:outlineLvl w:val="1"/>
        <w:rPr>
          <w:rFonts w:ascii="宋体" w:hAnsi="宋体" w:eastAsia="宋体" w:cs="宋体"/>
        </w:rPr>
      </w:pPr>
      <w:bookmarkStart w:id="1005" w:name="_Toc26432"/>
      <w:r>
        <w:rPr>
          <w:rFonts w:hint="eastAsia" w:ascii="宋体" w:hAnsi="宋体" w:eastAsia="宋体" w:cs="宋体"/>
        </w:rPr>
        <w:t>廉政合同格式</w:t>
      </w:r>
      <w:bookmarkEnd w:id="1005"/>
    </w:p>
    <w:p>
      <w:pPr>
        <w:adjustRightInd w:val="0"/>
        <w:spacing w:line="276" w:lineRule="auto"/>
        <w:jc w:val="center"/>
        <w:textAlignment w:val="baseline"/>
        <w:rPr>
          <w:rFonts w:ascii="宋体" w:hAnsi="宋体" w:eastAsia="宋体" w:cs="宋体"/>
          <w:b/>
          <w:bCs/>
          <w:szCs w:val="21"/>
        </w:rPr>
      </w:pPr>
      <w:r>
        <w:rPr>
          <w:rFonts w:hint="eastAsia" w:ascii="宋体" w:hAnsi="宋体" w:eastAsia="宋体" w:cs="宋体"/>
          <w:b/>
          <w:bCs/>
          <w:sz w:val="32"/>
          <w:szCs w:val="32"/>
        </w:rPr>
        <w:t>廉政合同（中标后提供）</w:t>
      </w:r>
    </w:p>
    <w:p>
      <w:pPr>
        <w:spacing w:before="240" w:beforeLines="100" w:line="360" w:lineRule="exact"/>
        <w:ind w:firstLine="420" w:firstLineChars="200"/>
        <w:rPr>
          <w:rFonts w:ascii="宋体" w:hAnsi="宋体" w:eastAsia="宋体" w:cs="宋体"/>
          <w:szCs w:val="21"/>
        </w:rPr>
      </w:pPr>
      <w:r>
        <w:rPr>
          <w:rFonts w:hint="eastAsia" w:ascii="宋体" w:hAnsi="宋体" w:eastAsia="宋体" w:cs="宋体"/>
          <w:szCs w:val="21"/>
        </w:rPr>
        <w:t>根据国家法律、法规以及有关工程建设、廉政建设的规定，为做好工程建设中的党风廉政建设，保证工程建设高效优质，保证建设资金的安全和有效使用以及投资效益，</w:t>
      </w:r>
      <w:r>
        <w:rPr>
          <w:rFonts w:hint="eastAsia" w:eastAsia="宋体"/>
          <w:szCs w:val="21"/>
        </w:rPr>
        <w:t>南宁轨道交通集团</w:t>
      </w:r>
      <w:r>
        <w:rPr>
          <w:rFonts w:eastAsia="宋体"/>
          <w:szCs w:val="21"/>
        </w:rPr>
        <w:t>2022-2024</w:t>
      </w:r>
      <w:r>
        <w:rPr>
          <w:rFonts w:hint="eastAsia" w:eastAsia="宋体"/>
          <w:szCs w:val="21"/>
        </w:rPr>
        <w:t>年度安全生产责任保险项目</w:t>
      </w:r>
      <w:r>
        <w:rPr>
          <w:rFonts w:hint="eastAsia" w:ascii="宋体" w:hAnsi="宋体" w:eastAsia="宋体" w:cs="宋体"/>
          <w:szCs w:val="21"/>
        </w:rPr>
        <w:t>法人南宁轨道交通集团有限责任公司（以下称甲方）与乙方订立如下合同。</w:t>
      </w:r>
    </w:p>
    <w:p>
      <w:pPr>
        <w:spacing w:line="360" w:lineRule="exact"/>
        <w:rPr>
          <w:rFonts w:ascii="宋体" w:hAnsi="宋体" w:eastAsia="宋体" w:cs="宋体"/>
          <w:szCs w:val="21"/>
        </w:rPr>
      </w:pPr>
      <w:r>
        <w:rPr>
          <w:rFonts w:hint="eastAsia" w:ascii="宋体" w:hAnsi="宋体" w:eastAsia="宋体" w:cs="宋体"/>
          <w:szCs w:val="21"/>
        </w:rPr>
        <w:t xml:space="preserve">    第一条 甲方和</w:t>
      </w:r>
      <w:r>
        <w:rPr>
          <w:rFonts w:ascii="宋体" w:hAnsi="宋体" w:eastAsia="宋体" w:cs="宋体"/>
          <w:szCs w:val="21"/>
        </w:rPr>
        <w:t>乙方</w:t>
      </w:r>
      <w:r>
        <w:rPr>
          <w:rFonts w:hint="eastAsia" w:ascii="宋体" w:hAnsi="宋体" w:eastAsia="宋体" w:cs="宋体"/>
          <w:szCs w:val="21"/>
        </w:rPr>
        <w:t>的权利和义务</w:t>
      </w:r>
    </w:p>
    <w:p>
      <w:pPr>
        <w:spacing w:line="360" w:lineRule="exact"/>
        <w:rPr>
          <w:rFonts w:ascii="宋体" w:hAnsi="宋体" w:eastAsia="宋体" w:cs="宋体"/>
          <w:szCs w:val="21"/>
        </w:rPr>
      </w:pPr>
      <w:r>
        <w:rPr>
          <w:rFonts w:hint="eastAsia" w:ascii="宋体" w:hAnsi="宋体" w:eastAsia="宋体" w:cs="宋体"/>
          <w:szCs w:val="21"/>
        </w:rPr>
        <w:t xml:space="preserve">    (一)严格遵守党和国家有关法律法规及广西壮族自治区、南宁市的有关规定。</w:t>
      </w:r>
    </w:p>
    <w:p>
      <w:pPr>
        <w:spacing w:line="360" w:lineRule="exact"/>
        <w:rPr>
          <w:rFonts w:ascii="宋体" w:hAnsi="宋体" w:eastAsia="宋体" w:cs="宋体"/>
          <w:szCs w:val="21"/>
        </w:rPr>
      </w:pPr>
      <w:r>
        <w:rPr>
          <w:rFonts w:hint="eastAsia" w:ascii="宋体" w:hAnsi="宋体" w:eastAsia="宋体" w:cs="宋体"/>
          <w:szCs w:val="21"/>
        </w:rPr>
        <w:t xml:space="preserve">    (二)严格执行</w:t>
      </w:r>
      <w:r>
        <w:rPr>
          <w:rFonts w:hint="eastAsia" w:eastAsia="宋体"/>
          <w:szCs w:val="21"/>
        </w:rPr>
        <w:t>南宁轨道交通集团</w:t>
      </w:r>
      <w:r>
        <w:rPr>
          <w:rFonts w:eastAsia="宋体"/>
          <w:szCs w:val="21"/>
        </w:rPr>
        <w:t>2022-2024</w:t>
      </w:r>
      <w:r>
        <w:rPr>
          <w:rFonts w:hint="eastAsia" w:eastAsia="宋体"/>
          <w:szCs w:val="21"/>
        </w:rPr>
        <w:t>年度安全生产责任保险项目</w:t>
      </w:r>
      <w:r>
        <w:rPr>
          <w:rFonts w:hint="eastAsia" w:ascii="宋体" w:hAnsi="宋体" w:eastAsia="宋体" w:cs="宋体"/>
          <w:szCs w:val="21"/>
        </w:rPr>
        <w:t>合同文件，自觉按合同办事。</w:t>
      </w:r>
    </w:p>
    <w:p>
      <w:pPr>
        <w:spacing w:line="360" w:lineRule="exact"/>
        <w:rPr>
          <w:rFonts w:ascii="宋体" w:hAnsi="宋体" w:eastAsia="宋体" w:cs="宋体"/>
          <w:szCs w:val="21"/>
        </w:rPr>
      </w:pPr>
      <w:r>
        <w:rPr>
          <w:rFonts w:hint="eastAsia" w:ascii="宋体" w:hAnsi="宋体" w:eastAsia="宋体" w:cs="宋体"/>
          <w:szCs w:val="21"/>
        </w:rPr>
        <w:t xml:space="preserve">    (三)甲方和乙方的业务活动坚持公开、公正、诚信、透明的原则(除法律认定的商业秘密和合同文件另有规定之外)，不得损害国家和集体利益，违反工程建设规章制度。</w:t>
      </w:r>
    </w:p>
    <w:p>
      <w:pPr>
        <w:spacing w:line="360" w:lineRule="exact"/>
        <w:rPr>
          <w:rFonts w:ascii="宋体" w:hAnsi="宋体" w:eastAsia="宋体" w:cs="宋体"/>
          <w:szCs w:val="21"/>
        </w:rPr>
      </w:pPr>
      <w:r>
        <w:rPr>
          <w:rFonts w:hint="eastAsia" w:ascii="宋体" w:hAnsi="宋体" w:eastAsia="宋体" w:cs="宋体"/>
          <w:szCs w:val="21"/>
        </w:rPr>
        <w:t xml:space="preserve">    (四)建立健全廉政制度，开展廉政教育，设立廉政告示牌，公布举报电话，监督并认真查处违法违纪行为。</w:t>
      </w:r>
    </w:p>
    <w:p>
      <w:pPr>
        <w:spacing w:line="360" w:lineRule="exact"/>
        <w:rPr>
          <w:rFonts w:ascii="宋体" w:hAnsi="宋体" w:eastAsia="宋体" w:cs="宋体"/>
          <w:szCs w:val="21"/>
        </w:rPr>
      </w:pPr>
      <w:r>
        <w:rPr>
          <w:rFonts w:hint="eastAsia" w:ascii="宋体" w:hAnsi="宋体" w:eastAsia="宋体" w:cs="宋体"/>
          <w:szCs w:val="21"/>
        </w:rPr>
        <w:t xml:space="preserve">    (五)发现对方在业务活动中有违反廉政规定的行为，有及时提醒对方纠正的权利和义务。</w:t>
      </w:r>
    </w:p>
    <w:p>
      <w:pPr>
        <w:spacing w:line="360" w:lineRule="exact"/>
        <w:rPr>
          <w:rFonts w:ascii="宋体" w:hAnsi="宋体" w:eastAsia="宋体" w:cs="宋体"/>
          <w:szCs w:val="21"/>
        </w:rPr>
      </w:pPr>
      <w:r>
        <w:rPr>
          <w:rFonts w:hint="eastAsia" w:ascii="宋体" w:hAnsi="宋体" w:eastAsia="宋体" w:cs="宋体"/>
          <w:szCs w:val="21"/>
        </w:rPr>
        <w:t xml:space="preserve">    (六)发现对方严重违反本合同义务条款的行为，有向其上级有关部门举报、建议给予处理并要求告知处理结果的权利。</w:t>
      </w:r>
    </w:p>
    <w:p>
      <w:pPr>
        <w:spacing w:line="360" w:lineRule="exact"/>
        <w:rPr>
          <w:rFonts w:ascii="宋体" w:hAnsi="宋体" w:eastAsia="宋体" w:cs="宋体"/>
          <w:szCs w:val="21"/>
        </w:rPr>
      </w:pPr>
      <w:r>
        <w:rPr>
          <w:rFonts w:hint="eastAsia" w:ascii="宋体" w:hAnsi="宋体" w:eastAsia="宋体" w:cs="宋体"/>
          <w:szCs w:val="21"/>
        </w:rPr>
        <w:t xml:space="preserve">    第二条 甲方的义务</w:t>
      </w:r>
    </w:p>
    <w:p>
      <w:pPr>
        <w:spacing w:line="360" w:lineRule="exact"/>
        <w:rPr>
          <w:rFonts w:ascii="宋体" w:hAnsi="宋体" w:eastAsia="宋体" w:cs="宋体"/>
          <w:szCs w:val="21"/>
        </w:rPr>
      </w:pPr>
      <w:r>
        <w:rPr>
          <w:rFonts w:hint="eastAsia" w:ascii="宋体" w:hAnsi="宋体" w:eastAsia="宋体" w:cs="宋体"/>
          <w:szCs w:val="21"/>
        </w:rPr>
        <w:t xml:space="preserve">    (一)甲方及其工作人员不得索要或接受乙方的礼金、有价证券和贵重物品；不得在乙方报销任何应由甲方或个人支付的费用等。</w:t>
      </w:r>
    </w:p>
    <w:p>
      <w:pPr>
        <w:spacing w:line="360" w:lineRule="exact"/>
        <w:rPr>
          <w:rFonts w:ascii="宋体" w:hAnsi="宋体" w:eastAsia="宋体" w:cs="宋体"/>
          <w:szCs w:val="21"/>
        </w:rPr>
      </w:pPr>
      <w:r>
        <w:rPr>
          <w:rFonts w:hint="eastAsia" w:ascii="宋体" w:hAnsi="宋体" w:eastAsia="宋体" w:cs="宋体"/>
          <w:szCs w:val="21"/>
        </w:rPr>
        <w:t xml:space="preserve">    (二)甲方及其工作人员不得参加乙方安排的超标准宴请和娱乐活动；不得接受乙方提供的通讯工具、交通工具和高档办公用品等。</w:t>
      </w:r>
    </w:p>
    <w:p>
      <w:pPr>
        <w:spacing w:line="360" w:lineRule="exact"/>
        <w:rPr>
          <w:rFonts w:ascii="宋体" w:hAnsi="宋体" w:eastAsia="宋体" w:cs="宋体"/>
          <w:szCs w:val="21"/>
        </w:rPr>
      </w:pPr>
      <w:r>
        <w:rPr>
          <w:rFonts w:hint="eastAsia" w:ascii="宋体" w:hAnsi="宋体" w:eastAsia="宋体" w:cs="宋体"/>
          <w:szCs w:val="21"/>
        </w:rPr>
        <w:t xml:space="preserve">    (三)甲方及其工作人员不得要求或者接受乙方为其住房装修、婚丧嫁娶活动、配偶子女的工作安排以及出国出境，旅游等提供方便等。</w:t>
      </w:r>
    </w:p>
    <w:p>
      <w:pPr>
        <w:spacing w:line="360" w:lineRule="exact"/>
        <w:rPr>
          <w:rFonts w:ascii="宋体" w:hAnsi="宋体" w:eastAsia="宋体" w:cs="宋体"/>
          <w:szCs w:val="21"/>
        </w:rPr>
      </w:pPr>
      <w:r>
        <w:rPr>
          <w:rFonts w:hint="eastAsia" w:ascii="宋体" w:hAnsi="宋体" w:eastAsia="宋体" w:cs="宋体"/>
          <w:szCs w:val="21"/>
        </w:rPr>
        <w:t xml:space="preserve">    第三条乙方的义务</w:t>
      </w:r>
    </w:p>
    <w:p>
      <w:pPr>
        <w:spacing w:line="360" w:lineRule="exact"/>
        <w:rPr>
          <w:rFonts w:ascii="宋体" w:hAnsi="宋体" w:eastAsia="宋体" w:cs="宋体"/>
          <w:szCs w:val="21"/>
        </w:rPr>
      </w:pPr>
      <w:r>
        <w:rPr>
          <w:rFonts w:hint="eastAsia" w:ascii="宋体" w:hAnsi="宋体" w:eastAsia="宋体" w:cs="宋体"/>
          <w:szCs w:val="21"/>
        </w:rPr>
        <w:t xml:space="preserve">    (一)乙方不得以任何理由向甲方及其工作人员行贿或馈赠礼金、有价证券和贵重礼品；不得以任何名义为甲方及其工作人员报销应由甲方或个人支付的任何费用。</w:t>
      </w:r>
    </w:p>
    <w:p>
      <w:pPr>
        <w:spacing w:line="360" w:lineRule="exact"/>
        <w:ind w:firstLine="480"/>
        <w:rPr>
          <w:rFonts w:ascii="宋体" w:hAnsi="宋体" w:eastAsia="宋体" w:cs="宋体"/>
          <w:szCs w:val="21"/>
        </w:rPr>
      </w:pPr>
      <w:r>
        <w:rPr>
          <w:rFonts w:hint="eastAsia" w:ascii="宋体" w:hAnsi="宋体" w:eastAsia="宋体" w:cs="宋体"/>
          <w:szCs w:val="21"/>
        </w:rPr>
        <w:t>(二)乙方不得以任何理由安排甲方及其工作人员参加超标准宴请及娱乐活动；不得为甲方和个人购置或提供通讯工具、交通工具和高档办公用品等。</w:t>
      </w:r>
    </w:p>
    <w:p>
      <w:pPr>
        <w:spacing w:line="360" w:lineRule="exact"/>
        <w:rPr>
          <w:rFonts w:ascii="宋体" w:hAnsi="宋体" w:eastAsia="宋体" w:cs="宋体"/>
          <w:szCs w:val="21"/>
        </w:rPr>
      </w:pPr>
      <w:r>
        <w:rPr>
          <w:rFonts w:hint="eastAsia" w:ascii="宋体" w:hAnsi="宋体" w:eastAsia="宋体" w:cs="宋体"/>
          <w:szCs w:val="21"/>
        </w:rPr>
        <w:t xml:space="preserve">    (三)乙方不得以任何理由向甲方及其工作人员提供住房装修、婚丧嫁娶活动、配偶子女的工作安排以及出国出境，旅游等方便等。</w:t>
      </w:r>
    </w:p>
    <w:p>
      <w:pPr>
        <w:spacing w:line="360" w:lineRule="exact"/>
        <w:ind w:firstLine="420" w:firstLineChars="200"/>
        <w:rPr>
          <w:rFonts w:ascii="宋体" w:hAnsi="宋体" w:eastAsia="宋体" w:cs="宋体"/>
          <w:szCs w:val="21"/>
        </w:rPr>
      </w:pPr>
      <w:r>
        <w:rPr>
          <w:rFonts w:hint="eastAsia" w:ascii="宋体" w:hAnsi="宋体" w:eastAsia="宋体" w:cs="宋体"/>
          <w:szCs w:val="21"/>
        </w:rPr>
        <w:t>(四)乙方及其工作人员不得索要或接受设备提供方或施工方的礼金、有价证券和贵重物品，不得在设备提供方或施工方报销任何应由乙方或个人支付的费用等。</w:t>
      </w:r>
    </w:p>
    <w:p>
      <w:pPr>
        <w:spacing w:line="360" w:lineRule="exact"/>
        <w:rPr>
          <w:rFonts w:ascii="宋体" w:hAnsi="宋体" w:eastAsia="宋体" w:cs="宋体"/>
          <w:szCs w:val="21"/>
        </w:rPr>
      </w:pPr>
      <w:r>
        <w:rPr>
          <w:rFonts w:hint="eastAsia" w:ascii="宋体" w:hAnsi="宋体" w:eastAsia="宋体" w:cs="宋体"/>
          <w:szCs w:val="21"/>
        </w:rPr>
        <w:t xml:space="preserve">    (五)乙方及其工作人员不得参加设备提供方或施工方安排的超标准宴请和娱乐活动；不得接受设备提供方或施工方提供的通讯工具、交通工具和高档办公用品等。</w:t>
      </w:r>
    </w:p>
    <w:p>
      <w:pPr>
        <w:spacing w:line="360" w:lineRule="exact"/>
        <w:rPr>
          <w:rFonts w:ascii="宋体" w:hAnsi="宋体" w:eastAsia="宋体" w:cs="宋体"/>
          <w:szCs w:val="21"/>
        </w:rPr>
      </w:pPr>
      <w:r>
        <w:rPr>
          <w:rFonts w:hint="eastAsia" w:ascii="宋体" w:hAnsi="宋体" w:eastAsia="宋体" w:cs="宋体"/>
          <w:szCs w:val="21"/>
        </w:rPr>
        <w:t xml:space="preserve">    (六)乙方及其工作人员不得要求或者接受设备提供方或施工方为其住房装修、婚丧嫁娶活动、配偶子女的工作安排以及出国出境，旅游等提供方便等。</w:t>
      </w:r>
    </w:p>
    <w:p>
      <w:pPr>
        <w:spacing w:line="360" w:lineRule="exact"/>
        <w:rPr>
          <w:rFonts w:ascii="宋体" w:hAnsi="宋体" w:eastAsia="宋体" w:cs="宋体"/>
          <w:szCs w:val="21"/>
        </w:rPr>
      </w:pPr>
      <w:r>
        <w:rPr>
          <w:rFonts w:hint="eastAsia" w:ascii="宋体" w:hAnsi="宋体" w:eastAsia="宋体" w:cs="宋体"/>
          <w:szCs w:val="21"/>
        </w:rPr>
        <w:t xml:space="preserve">    第四条 违约责任</w:t>
      </w:r>
    </w:p>
    <w:p>
      <w:pPr>
        <w:spacing w:line="360" w:lineRule="exact"/>
        <w:rPr>
          <w:rFonts w:ascii="宋体" w:hAnsi="宋体" w:eastAsia="宋体" w:cs="宋体"/>
          <w:szCs w:val="21"/>
        </w:rPr>
      </w:pPr>
      <w:r>
        <w:rPr>
          <w:rFonts w:hint="eastAsia" w:ascii="宋体" w:hAnsi="宋体" w:eastAsia="宋体" w:cs="宋体"/>
          <w:szCs w:val="21"/>
        </w:rPr>
        <w:t xml:space="preserve">    (一)甲方及其工作人员违反本合同第一、二条，按管理权限，依据有关规定给予党纪，政纪或组织处理，调离其工作岗位；涉嫌犯罪的，移交司法机关追究刑事责任；给乙方单位造成经济损失的，应予以赔偿。</w:t>
      </w:r>
    </w:p>
    <w:p>
      <w:pPr>
        <w:spacing w:line="360" w:lineRule="exact"/>
        <w:rPr>
          <w:rFonts w:ascii="宋体" w:hAnsi="宋体" w:eastAsia="宋体" w:cs="宋体"/>
          <w:szCs w:val="21"/>
        </w:rPr>
      </w:pPr>
      <w:r>
        <w:rPr>
          <w:rFonts w:hint="eastAsia" w:ascii="宋体" w:hAnsi="宋体" w:eastAsia="宋体" w:cs="宋体"/>
          <w:szCs w:val="21"/>
        </w:rPr>
        <w:t xml:space="preserve">    (二)乙方及其工作人员违反本合同第一、三条，按管理权限，依据有关规定，给予党纪、政纪或组织处理；给甲方单位造成经济损失的，应予以赔偿；情节严重的，甲方可以单方终止与乙方的合同，并给予乙方三年内不得对甲方组织建设的工程项目进行服务投标的处罚。</w:t>
      </w:r>
    </w:p>
    <w:p>
      <w:pPr>
        <w:spacing w:line="360" w:lineRule="exact"/>
        <w:ind w:firstLine="480"/>
        <w:rPr>
          <w:rFonts w:ascii="宋体" w:hAnsi="宋体" w:eastAsia="宋体" w:cs="宋体"/>
          <w:szCs w:val="21"/>
        </w:rPr>
      </w:pPr>
      <w:r>
        <w:rPr>
          <w:rFonts w:hint="eastAsia" w:ascii="宋体" w:hAnsi="宋体" w:eastAsia="宋体" w:cs="宋体"/>
          <w:szCs w:val="21"/>
        </w:rPr>
        <w:t>第五条 甲方和乙方约定</w:t>
      </w:r>
    </w:p>
    <w:p>
      <w:pPr>
        <w:spacing w:line="360" w:lineRule="exact"/>
        <w:ind w:firstLine="480"/>
        <w:rPr>
          <w:rFonts w:ascii="宋体" w:hAnsi="宋体" w:eastAsia="宋体" w:cs="宋体"/>
          <w:szCs w:val="21"/>
        </w:rPr>
      </w:pPr>
      <w:r>
        <w:rPr>
          <w:rFonts w:hint="eastAsia" w:ascii="宋体" w:hAnsi="宋体" w:eastAsia="宋体" w:cs="宋体"/>
          <w:szCs w:val="21"/>
        </w:rPr>
        <w:t>本合同由甲方和乙方或甲方和乙方上级单位的纪检监察机关负责监督执行。由甲方或甲方上级单位的纪检监察机关约请乙方或乙方上级单位纪检监察机关对本合同执行情况进行检查，提出在本合同规定范围内的裁定意见。</w:t>
      </w:r>
    </w:p>
    <w:p>
      <w:pPr>
        <w:spacing w:line="360" w:lineRule="exact"/>
        <w:rPr>
          <w:rFonts w:ascii="宋体" w:hAnsi="宋体" w:eastAsia="宋体" w:cs="宋体"/>
          <w:szCs w:val="21"/>
        </w:rPr>
      </w:pPr>
      <w:r>
        <w:rPr>
          <w:rFonts w:hint="eastAsia" w:ascii="宋体" w:hAnsi="宋体" w:eastAsia="宋体" w:cs="宋体"/>
          <w:szCs w:val="21"/>
        </w:rPr>
        <w:t xml:space="preserve">    第六条 本合同有效期为甲方和乙方签署之日起至该工程项目最终验收并结算审计完成止。</w:t>
      </w:r>
    </w:p>
    <w:p>
      <w:pPr>
        <w:spacing w:line="360" w:lineRule="exact"/>
        <w:rPr>
          <w:rFonts w:ascii="宋体" w:hAnsi="宋体" w:eastAsia="宋体" w:cs="宋体"/>
          <w:szCs w:val="21"/>
        </w:rPr>
      </w:pPr>
      <w:r>
        <w:rPr>
          <w:rFonts w:hint="eastAsia" w:ascii="宋体" w:hAnsi="宋体" w:eastAsia="宋体" w:cs="宋体"/>
          <w:szCs w:val="21"/>
        </w:rPr>
        <w:t xml:space="preserve">    第七条 本合同作为</w:t>
      </w:r>
      <w:r>
        <w:rPr>
          <w:rFonts w:hint="eastAsia" w:eastAsia="宋体"/>
          <w:szCs w:val="21"/>
        </w:rPr>
        <w:t>南宁轨道交通集团</w:t>
      </w:r>
      <w:r>
        <w:rPr>
          <w:rFonts w:eastAsia="宋体"/>
          <w:szCs w:val="21"/>
        </w:rPr>
        <w:t>2022-2024</w:t>
      </w:r>
      <w:r>
        <w:rPr>
          <w:rFonts w:hint="eastAsia" w:eastAsia="宋体"/>
          <w:szCs w:val="21"/>
        </w:rPr>
        <w:t>年度安全生产责任保险项目</w:t>
      </w:r>
      <w:r>
        <w:rPr>
          <w:rFonts w:hint="eastAsia" w:ascii="宋体" w:hAnsi="宋体" w:eastAsia="宋体" w:cs="宋体"/>
          <w:szCs w:val="21"/>
        </w:rPr>
        <w:t>合同的附件，与项目合同具有同等的法律效力，经合同甲方和乙方签署立即生效。</w:t>
      </w:r>
    </w:p>
    <w:p>
      <w:pPr>
        <w:spacing w:line="360" w:lineRule="exact"/>
        <w:rPr>
          <w:rFonts w:ascii="宋体" w:hAnsi="宋体" w:eastAsia="宋体" w:cs="宋体"/>
          <w:szCs w:val="21"/>
        </w:rPr>
      </w:pPr>
    </w:p>
    <w:p>
      <w:pPr>
        <w:spacing w:line="360" w:lineRule="exact"/>
        <w:rPr>
          <w:rFonts w:ascii="宋体" w:hAnsi="宋体" w:eastAsia="宋体" w:cs="宋体"/>
          <w:szCs w:val="21"/>
        </w:rPr>
      </w:pPr>
    </w:p>
    <w:p>
      <w:pPr>
        <w:spacing w:line="360" w:lineRule="exact"/>
        <w:rPr>
          <w:rFonts w:ascii="宋体" w:hAnsi="宋体" w:eastAsia="宋体" w:cs="宋体"/>
          <w:szCs w:val="21"/>
          <w:u w:val="single"/>
        </w:rPr>
      </w:pPr>
      <w:r>
        <w:rPr>
          <w:rFonts w:hint="eastAsia" w:ascii="宋体" w:hAnsi="宋体" w:eastAsia="宋体" w:cs="宋体"/>
          <w:szCs w:val="21"/>
        </w:rPr>
        <w:t>甲方单位：</w:t>
      </w:r>
      <w:r>
        <w:rPr>
          <w:rFonts w:hint="eastAsia" w:ascii="宋体" w:hAnsi="宋体" w:eastAsia="宋体" w:cs="宋体"/>
          <w:szCs w:val="21"/>
          <w:u w:val="single"/>
        </w:rPr>
        <w:t xml:space="preserve">盖章                  </w:t>
      </w:r>
    </w:p>
    <w:p>
      <w:pPr>
        <w:wordWrap w:val="0"/>
        <w:spacing w:line="360" w:lineRule="exact"/>
        <w:rPr>
          <w:rFonts w:ascii="宋体" w:hAnsi="宋体" w:eastAsia="宋体" w:cs="宋体"/>
          <w:szCs w:val="21"/>
          <w:u w:val="single"/>
        </w:rPr>
      </w:pPr>
      <w:r>
        <w:rPr>
          <w:rFonts w:hint="eastAsia" w:ascii="宋体" w:hAnsi="宋体" w:eastAsia="宋体" w:cs="宋体"/>
          <w:szCs w:val="21"/>
        </w:rPr>
        <w:t>法定代表人（负责人）或授权代理人（签字）：</w:t>
      </w:r>
    </w:p>
    <w:p>
      <w:pPr>
        <w:spacing w:line="360" w:lineRule="exact"/>
        <w:rPr>
          <w:rFonts w:ascii="宋体" w:hAnsi="宋体" w:eastAsia="宋体" w:cs="宋体"/>
          <w:szCs w:val="21"/>
        </w:rPr>
      </w:pPr>
      <w:r>
        <w:rPr>
          <w:rFonts w:hint="eastAsia" w:ascii="宋体" w:hAnsi="宋体" w:eastAsia="宋体" w:cs="宋体"/>
          <w:szCs w:val="21"/>
        </w:rPr>
        <w:t>电话：</w:t>
      </w:r>
      <w:r>
        <w:rPr>
          <w:rFonts w:hint="eastAsia" w:ascii="宋体" w:hAnsi="宋体" w:eastAsia="宋体" w:cs="宋体"/>
          <w:szCs w:val="21"/>
          <w:u w:val="single"/>
        </w:rPr>
        <w:t xml:space="preserve">                              </w:t>
      </w:r>
    </w:p>
    <w:p>
      <w:pPr>
        <w:spacing w:line="360" w:lineRule="exact"/>
        <w:ind w:firstLine="840" w:firstLineChars="400"/>
        <w:rPr>
          <w:rFonts w:ascii="宋体" w:hAnsi="宋体" w:eastAsia="宋体" w:cs="宋体"/>
          <w:szCs w:val="21"/>
          <w:u w:val="single"/>
        </w:rPr>
      </w:pPr>
      <w:r>
        <w:rPr>
          <w:rFonts w:hint="eastAsia" w:ascii="宋体" w:hAnsi="宋体" w:eastAsia="宋体" w:cs="宋体"/>
          <w:szCs w:val="21"/>
        </w:rPr>
        <w:t xml:space="preserve">年  月   日                </w:t>
      </w:r>
    </w:p>
    <w:p>
      <w:pPr>
        <w:spacing w:line="360" w:lineRule="exact"/>
        <w:rPr>
          <w:rFonts w:ascii="宋体" w:hAnsi="宋体" w:eastAsia="宋体" w:cs="宋体"/>
          <w:szCs w:val="21"/>
        </w:rPr>
      </w:pPr>
    </w:p>
    <w:p>
      <w:pPr>
        <w:spacing w:line="360" w:lineRule="exact"/>
        <w:rPr>
          <w:rFonts w:ascii="宋体" w:hAnsi="宋体" w:eastAsia="宋体" w:cs="宋体"/>
          <w:szCs w:val="21"/>
          <w:u w:val="single"/>
        </w:rPr>
      </w:pPr>
      <w:r>
        <w:rPr>
          <w:rFonts w:hint="eastAsia" w:ascii="宋体" w:hAnsi="宋体" w:eastAsia="宋体" w:cs="宋体"/>
          <w:szCs w:val="21"/>
        </w:rPr>
        <w:t>甲方监督单位：</w:t>
      </w:r>
      <w:r>
        <w:rPr>
          <w:rFonts w:hint="eastAsia" w:ascii="宋体" w:hAnsi="宋体" w:eastAsia="宋体" w:cs="宋体"/>
          <w:szCs w:val="21"/>
          <w:u w:val="single"/>
        </w:rPr>
        <w:t xml:space="preserve">盖章         </w:t>
      </w:r>
    </w:p>
    <w:p>
      <w:pPr>
        <w:spacing w:line="360" w:lineRule="exact"/>
        <w:rPr>
          <w:rFonts w:ascii="宋体" w:hAnsi="宋体" w:eastAsia="宋体" w:cs="宋体"/>
        </w:rPr>
      </w:pPr>
    </w:p>
    <w:p>
      <w:pPr>
        <w:spacing w:line="360" w:lineRule="exact"/>
        <w:rPr>
          <w:rFonts w:ascii="宋体" w:hAnsi="宋体" w:eastAsia="宋体" w:cs="宋体"/>
          <w:szCs w:val="21"/>
        </w:rPr>
      </w:pPr>
      <w:r>
        <w:rPr>
          <w:rFonts w:hint="eastAsia" w:ascii="宋体" w:hAnsi="宋体" w:eastAsia="宋体" w:cs="宋体"/>
          <w:szCs w:val="21"/>
        </w:rPr>
        <w:t>乙方单位：</w:t>
      </w:r>
      <w:r>
        <w:rPr>
          <w:rFonts w:hint="eastAsia" w:ascii="宋体" w:hAnsi="宋体" w:eastAsia="宋体" w:cs="宋体"/>
          <w:szCs w:val="21"/>
          <w:u w:val="single"/>
        </w:rPr>
        <w:t xml:space="preserve"> 盖章                     </w:t>
      </w:r>
    </w:p>
    <w:p>
      <w:pPr>
        <w:wordWrap w:val="0"/>
        <w:spacing w:line="360" w:lineRule="exact"/>
        <w:rPr>
          <w:rFonts w:ascii="宋体" w:hAnsi="宋体" w:eastAsia="宋体" w:cs="宋体"/>
          <w:szCs w:val="21"/>
          <w:u w:val="single"/>
        </w:rPr>
      </w:pPr>
      <w:r>
        <w:rPr>
          <w:rFonts w:hint="eastAsia" w:ascii="宋体" w:hAnsi="宋体" w:eastAsia="宋体" w:cs="宋体"/>
          <w:szCs w:val="21"/>
        </w:rPr>
        <w:t>法定代表人（负责人）或授权代理人（签字）：</w:t>
      </w:r>
    </w:p>
    <w:p>
      <w:pPr>
        <w:tabs>
          <w:tab w:val="left" w:pos="4962"/>
        </w:tabs>
        <w:wordWrap w:val="0"/>
        <w:spacing w:line="360" w:lineRule="exact"/>
        <w:rPr>
          <w:rFonts w:ascii="宋体" w:hAnsi="宋体" w:eastAsia="宋体" w:cs="宋体"/>
          <w:szCs w:val="21"/>
          <w:u w:val="single"/>
        </w:rPr>
      </w:pPr>
      <w:r>
        <w:rPr>
          <w:rFonts w:hint="eastAsia" w:ascii="宋体" w:hAnsi="宋体" w:eastAsia="宋体" w:cs="宋体"/>
          <w:szCs w:val="21"/>
        </w:rPr>
        <w:t>电话：</w:t>
      </w:r>
    </w:p>
    <w:p>
      <w:pPr>
        <w:spacing w:line="360" w:lineRule="exact"/>
        <w:ind w:firstLine="630" w:firstLineChars="300"/>
        <w:jc w:val="left"/>
        <w:rPr>
          <w:rFonts w:ascii="宋体" w:hAnsi="宋体" w:eastAsia="宋体" w:cs="宋体"/>
          <w:szCs w:val="21"/>
        </w:rPr>
      </w:pPr>
      <w:r>
        <w:rPr>
          <w:rFonts w:hint="eastAsia" w:ascii="宋体" w:hAnsi="宋体" w:eastAsia="宋体" w:cs="宋体"/>
          <w:szCs w:val="21"/>
        </w:rPr>
        <w:t>年  月   日</w:t>
      </w:r>
    </w:p>
    <w:p>
      <w:pPr>
        <w:pStyle w:val="2"/>
        <w:rPr>
          <w:rFonts w:eastAsia="宋体"/>
        </w:rPr>
      </w:pPr>
    </w:p>
    <w:p>
      <w:pPr>
        <w:tabs>
          <w:tab w:val="left" w:pos="4962"/>
        </w:tabs>
        <w:spacing w:line="360" w:lineRule="exact"/>
        <w:rPr>
          <w:rFonts w:ascii="宋体" w:hAnsi="宋体" w:eastAsia="宋体" w:cs="宋体"/>
          <w:szCs w:val="21"/>
        </w:rPr>
      </w:pPr>
      <w:r>
        <w:rPr>
          <w:rFonts w:hint="eastAsia" w:ascii="宋体" w:hAnsi="宋体" w:eastAsia="宋体" w:cs="宋体"/>
          <w:szCs w:val="21"/>
        </w:rPr>
        <w:t>乙方监督单位：</w:t>
      </w:r>
      <w:r>
        <w:rPr>
          <w:rFonts w:hint="eastAsia" w:ascii="宋体" w:hAnsi="宋体" w:eastAsia="宋体" w:cs="宋体"/>
          <w:szCs w:val="21"/>
          <w:u w:val="single"/>
        </w:rPr>
        <w:t>盖章       </w:t>
      </w:r>
    </w:p>
    <w:p>
      <w:pPr>
        <w:spacing w:line="360" w:lineRule="exact"/>
        <w:ind w:firstLine="420"/>
        <w:rPr>
          <w:rFonts w:hAnsi="宋体" w:eastAsia="宋体" w:cs="宋体"/>
          <w:szCs w:val="21"/>
        </w:rPr>
      </w:pPr>
      <w:r>
        <w:rPr>
          <w:rFonts w:hint="eastAsia" w:ascii="宋体" w:hAnsi="宋体" w:eastAsia="宋体" w:cs="宋体"/>
          <w:szCs w:val="21"/>
        </w:rPr>
        <w:br w:type="page"/>
      </w:r>
    </w:p>
    <w:p>
      <w:pPr>
        <w:spacing w:before="120"/>
        <w:ind w:left="480"/>
        <w:rPr>
          <w:rFonts w:eastAsia="宋体"/>
        </w:rPr>
      </w:pPr>
      <w:bookmarkStart w:id="1006" w:name="_Toc385521969"/>
    </w:p>
    <w:p>
      <w:pPr>
        <w:spacing w:before="120"/>
        <w:ind w:left="480"/>
        <w:rPr>
          <w:rFonts w:eastAsia="宋体"/>
        </w:rPr>
      </w:pPr>
    </w:p>
    <w:p>
      <w:pPr>
        <w:spacing w:before="120"/>
        <w:ind w:left="480"/>
        <w:rPr>
          <w:rFonts w:eastAsia="宋体"/>
        </w:rPr>
      </w:pPr>
    </w:p>
    <w:p>
      <w:pPr>
        <w:spacing w:before="120"/>
        <w:ind w:left="480"/>
        <w:rPr>
          <w:rFonts w:eastAsia="宋体"/>
        </w:rPr>
      </w:pPr>
    </w:p>
    <w:p>
      <w:pPr>
        <w:spacing w:before="120"/>
        <w:ind w:left="480"/>
        <w:rPr>
          <w:rFonts w:eastAsia="宋体"/>
        </w:rPr>
      </w:pPr>
    </w:p>
    <w:p>
      <w:pPr>
        <w:spacing w:before="120"/>
        <w:ind w:left="480"/>
        <w:rPr>
          <w:rFonts w:eastAsia="宋体"/>
        </w:rPr>
      </w:pPr>
    </w:p>
    <w:p>
      <w:pPr>
        <w:spacing w:before="120"/>
        <w:ind w:left="480"/>
        <w:rPr>
          <w:rFonts w:eastAsia="宋体"/>
        </w:rPr>
      </w:pPr>
    </w:p>
    <w:p>
      <w:pPr>
        <w:spacing w:before="120"/>
        <w:ind w:left="480"/>
        <w:rPr>
          <w:rFonts w:eastAsia="宋体"/>
        </w:rPr>
      </w:pPr>
    </w:p>
    <w:p>
      <w:pPr>
        <w:spacing w:before="120"/>
        <w:ind w:firstLine="480"/>
        <w:rPr>
          <w:rFonts w:eastAsia="宋体"/>
        </w:rPr>
      </w:pPr>
    </w:p>
    <w:p>
      <w:pPr>
        <w:spacing w:before="120"/>
        <w:ind w:firstLine="480"/>
        <w:rPr>
          <w:rFonts w:eastAsia="宋体"/>
        </w:rPr>
      </w:pPr>
    </w:p>
    <w:p>
      <w:pPr>
        <w:spacing w:before="120"/>
        <w:ind w:firstLine="480"/>
        <w:rPr>
          <w:rFonts w:eastAsia="宋体"/>
        </w:rPr>
      </w:pPr>
    </w:p>
    <w:p>
      <w:pPr>
        <w:pStyle w:val="4"/>
        <w:spacing w:before="120"/>
        <w:jc w:val="center"/>
        <w:rPr>
          <w:rFonts w:hAnsi="宋体" w:eastAsia="宋体" w:cs="宋体"/>
          <w:bCs w:val="0"/>
        </w:rPr>
      </w:pPr>
      <w:bookmarkStart w:id="1007" w:name="_Toc8333"/>
      <w:bookmarkStart w:id="1008" w:name="_Toc4752"/>
      <w:bookmarkStart w:id="1009" w:name="_Toc28113"/>
      <w:r>
        <w:rPr>
          <w:rFonts w:hint="eastAsia" w:hAnsi="宋体" w:eastAsia="宋体" w:cs="宋体"/>
          <w:bCs w:val="0"/>
        </w:rPr>
        <w:t>第六章投标文件格式</w:t>
      </w:r>
      <w:bookmarkEnd w:id="1007"/>
      <w:bookmarkEnd w:id="1008"/>
      <w:bookmarkEnd w:id="1009"/>
    </w:p>
    <w:p>
      <w:pPr>
        <w:spacing w:line="400" w:lineRule="atLeast"/>
        <w:outlineLvl w:val="1"/>
        <w:rPr>
          <w:rFonts w:hAnsi="宋体" w:eastAsia="宋体" w:cs="宋体"/>
          <w:szCs w:val="21"/>
        </w:rPr>
      </w:pPr>
      <w:r>
        <w:rPr>
          <w:rFonts w:hint="eastAsia" w:hAnsi="宋体" w:eastAsia="宋体" w:cs="宋体"/>
          <w:szCs w:val="21"/>
        </w:rPr>
        <w:br w:type="page"/>
      </w:r>
      <w:bookmarkStart w:id="1010" w:name="_Toc3407"/>
      <w:bookmarkStart w:id="1011" w:name="_Toc16796"/>
      <w:bookmarkStart w:id="1012" w:name="_Toc26414"/>
      <w:bookmarkStart w:id="1013" w:name="_Toc582"/>
      <w:r>
        <w:rPr>
          <w:rFonts w:hint="eastAsia" w:hAnsi="宋体" w:eastAsia="宋体" w:cs="宋体"/>
          <w:szCs w:val="21"/>
        </w:rPr>
        <w:t>封面格式</w:t>
      </w:r>
      <w:bookmarkEnd w:id="1010"/>
      <w:bookmarkEnd w:id="1011"/>
      <w:bookmarkEnd w:id="1012"/>
      <w:bookmarkEnd w:id="1013"/>
    </w:p>
    <w:p>
      <w:pPr>
        <w:spacing w:line="400" w:lineRule="atLeast"/>
        <w:ind w:firstLine="420"/>
        <w:rPr>
          <w:rFonts w:hAnsi="宋体" w:eastAsia="宋体" w:cs="宋体"/>
          <w:szCs w:val="21"/>
        </w:rPr>
      </w:pPr>
    </w:p>
    <w:p>
      <w:pPr>
        <w:spacing w:line="400" w:lineRule="atLeast"/>
        <w:ind w:firstLine="420"/>
        <w:rPr>
          <w:rFonts w:hAnsi="宋体" w:eastAsia="宋体" w:cs="宋体"/>
          <w:szCs w:val="21"/>
        </w:rPr>
      </w:pPr>
    </w:p>
    <w:p>
      <w:pPr>
        <w:spacing w:line="400" w:lineRule="atLeast"/>
        <w:ind w:firstLine="420"/>
        <w:rPr>
          <w:rFonts w:hAnsi="宋体" w:eastAsia="宋体" w:cs="宋体"/>
          <w:szCs w:val="21"/>
        </w:rPr>
      </w:pPr>
    </w:p>
    <w:p>
      <w:pPr>
        <w:spacing w:line="360" w:lineRule="auto"/>
        <w:jc w:val="center"/>
        <w:rPr>
          <w:rFonts w:hAnsi="宋体" w:eastAsia="宋体" w:cs="宋体"/>
          <w:sz w:val="48"/>
          <w:szCs w:val="48"/>
        </w:rPr>
      </w:pPr>
      <w:r>
        <w:rPr>
          <w:rFonts w:hint="eastAsia" w:hAnsi="宋体" w:eastAsia="宋体" w:cs="宋体"/>
          <w:sz w:val="48"/>
          <w:szCs w:val="48"/>
        </w:rPr>
        <w:t>南宁轨道交通集团2022-2024年度安全生产责任保险项目</w:t>
      </w:r>
    </w:p>
    <w:p>
      <w:pPr>
        <w:spacing w:line="400" w:lineRule="atLeast"/>
        <w:jc w:val="center"/>
        <w:rPr>
          <w:rFonts w:hAnsi="宋体" w:eastAsia="宋体" w:cs="宋体"/>
          <w:szCs w:val="21"/>
        </w:rPr>
      </w:pPr>
    </w:p>
    <w:p>
      <w:pPr>
        <w:spacing w:line="400" w:lineRule="atLeast"/>
        <w:jc w:val="center"/>
        <w:rPr>
          <w:rFonts w:hAnsi="宋体" w:eastAsia="宋体" w:cs="宋体"/>
          <w:szCs w:val="21"/>
        </w:rPr>
      </w:pPr>
    </w:p>
    <w:p>
      <w:pPr>
        <w:spacing w:line="400" w:lineRule="atLeast"/>
        <w:jc w:val="center"/>
        <w:rPr>
          <w:rFonts w:hAnsi="宋体" w:eastAsia="宋体" w:cs="宋体"/>
          <w:szCs w:val="21"/>
        </w:rPr>
      </w:pPr>
    </w:p>
    <w:p>
      <w:pPr>
        <w:spacing w:line="400" w:lineRule="atLeast"/>
        <w:jc w:val="center"/>
        <w:rPr>
          <w:rFonts w:hAnsi="宋体" w:eastAsia="宋体" w:cs="宋体"/>
          <w:szCs w:val="21"/>
        </w:rPr>
      </w:pPr>
    </w:p>
    <w:p>
      <w:pPr>
        <w:spacing w:line="400" w:lineRule="atLeast"/>
        <w:jc w:val="center"/>
        <w:rPr>
          <w:rFonts w:hAnsi="宋体" w:eastAsia="宋体" w:cs="宋体"/>
          <w:szCs w:val="21"/>
        </w:rPr>
      </w:pPr>
    </w:p>
    <w:p>
      <w:pPr>
        <w:spacing w:line="400" w:lineRule="atLeast"/>
        <w:jc w:val="center"/>
        <w:rPr>
          <w:rFonts w:hAnsi="宋体" w:eastAsia="宋体" w:cs="宋体"/>
          <w:kern w:val="0"/>
          <w:sz w:val="52"/>
          <w:szCs w:val="52"/>
        </w:rPr>
      </w:pPr>
      <w:r>
        <w:rPr>
          <w:rFonts w:hint="eastAsia" w:hAnsi="宋体" w:eastAsia="宋体" w:cs="宋体"/>
          <w:kern w:val="0"/>
          <w:sz w:val="52"/>
          <w:szCs w:val="52"/>
        </w:rPr>
        <w:t>投标文件</w:t>
      </w:r>
    </w:p>
    <w:p>
      <w:pPr>
        <w:spacing w:line="400" w:lineRule="atLeast"/>
        <w:ind w:firstLine="3150" w:firstLineChars="1050"/>
        <w:rPr>
          <w:rFonts w:hAnsi="宋体" w:eastAsia="宋体" w:cs="宋体"/>
          <w:sz w:val="30"/>
          <w:szCs w:val="30"/>
        </w:rPr>
      </w:pPr>
    </w:p>
    <w:p>
      <w:pPr>
        <w:spacing w:line="400" w:lineRule="atLeast"/>
        <w:ind w:firstLine="3150" w:firstLineChars="1050"/>
        <w:rPr>
          <w:rFonts w:hAnsi="宋体" w:eastAsia="宋体" w:cs="宋体"/>
          <w:sz w:val="30"/>
          <w:szCs w:val="30"/>
        </w:rPr>
      </w:pPr>
    </w:p>
    <w:p>
      <w:pPr>
        <w:spacing w:line="400" w:lineRule="atLeast"/>
        <w:ind w:firstLine="3750" w:firstLineChars="1250"/>
        <w:rPr>
          <w:rFonts w:hAnsi="宋体" w:eastAsia="宋体" w:cs="宋体"/>
          <w:sz w:val="30"/>
          <w:szCs w:val="30"/>
        </w:rPr>
      </w:pPr>
      <w:r>
        <w:rPr>
          <w:rFonts w:hint="eastAsia" w:hAnsi="宋体" w:eastAsia="宋体" w:cs="宋体"/>
          <w:sz w:val="30"/>
          <w:szCs w:val="30"/>
        </w:rPr>
        <w:t>招标编号：</w:t>
      </w:r>
    </w:p>
    <w:p>
      <w:pPr>
        <w:spacing w:line="400" w:lineRule="atLeast"/>
        <w:ind w:firstLine="420"/>
        <w:rPr>
          <w:rFonts w:hAnsi="宋体" w:eastAsia="宋体" w:cs="宋体"/>
          <w:szCs w:val="21"/>
        </w:rPr>
      </w:pPr>
    </w:p>
    <w:p>
      <w:pPr>
        <w:spacing w:line="400" w:lineRule="atLeast"/>
        <w:ind w:firstLine="420"/>
        <w:rPr>
          <w:rFonts w:hAnsi="宋体" w:eastAsia="宋体" w:cs="宋体"/>
          <w:szCs w:val="21"/>
        </w:rPr>
      </w:pPr>
    </w:p>
    <w:p>
      <w:pPr>
        <w:spacing w:line="400" w:lineRule="atLeast"/>
        <w:rPr>
          <w:rFonts w:hAnsi="宋体" w:eastAsia="宋体" w:cs="宋体"/>
          <w:szCs w:val="21"/>
        </w:rPr>
      </w:pPr>
    </w:p>
    <w:p>
      <w:pPr>
        <w:spacing w:line="400" w:lineRule="atLeast"/>
        <w:ind w:firstLine="420"/>
        <w:rPr>
          <w:rFonts w:hAnsi="宋体" w:eastAsia="宋体" w:cs="宋体"/>
          <w:szCs w:val="21"/>
        </w:rPr>
      </w:pPr>
    </w:p>
    <w:p>
      <w:pPr>
        <w:spacing w:line="400" w:lineRule="atLeast"/>
        <w:ind w:firstLine="1479" w:firstLineChars="493"/>
        <w:rPr>
          <w:rFonts w:hAnsi="宋体" w:eastAsia="宋体" w:cs="宋体"/>
          <w:sz w:val="30"/>
          <w:szCs w:val="30"/>
          <w:u w:val="single"/>
        </w:rPr>
      </w:pPr>
      <w:r>
        <w:rPr>
          <w:rFonts w:hint="eastAsia" w:hAnsi="宋体" w:eastAsia="宋体" w:cs="宋体"/>
          <w:sz w:val="30"/>
          <w:szCs w:val="30"/>
        </w:rPr>
        <w:t>投标人（公章）：</w:t>
      </w:r>
    </w:p>
    <w:p>
      <w:pPr>
        <w:spacing w:line="400" w:lineRule="atLeast"/>
        <w:ind w:firstLine="1479" w:firstLineChars="493"/>
        <w:rPr>
          <w:rFonts w:hAnsi="宋体" w:eastAsia="宋体" w:cs="宋体"/>
          <w:sz w:val="30"/>
          <w:szCs w:val="30"/>
        </w:rPr>
      </w:pPr>
      <w:r>
        <w:rPr>
          <w:rFonts w:hint="eastAsia" w:hAnsi="宋体" w:eastAsia="宋体" w:cs="宋体"/>
          <w:sz w:val="30"/>
          <w:szCs w:val="30"/>
        </w:rPr>
        <w:t>法定代表人（负责人）或</w:t>
      </w:r>
    </w:p>
    <w:p>
      <w:pPr>
        <w:spacing w:line="400" w:lineRule="atLeast"/>
        <w:ind w:firstLine="1479" w:firstLineChars="493"/>
        <w:rPr>
          <w:rFonts w:hAnsi="宋体" w:eastAsia="宋体" w:cs="宋体"/>
          <w:sz w:val="30"/>
          <w:szCs w:val="30"/>
          <w:u w:val="single"/>
        </w:rPr>
      </w:pPr>
      <w:r>
        <w:rPr>
          <w:rFonts w:hint="eastAsia" w:hAnsi="宋体" w:eastAsia="宋体" w:cs="宋体"/>
          <w:sz w:val="30"/>
          <w:szCs w:val="30"/>
        </w:rPr>
        <w:t>授权代理人（签字或盖章）：</w:t>
      </w:r>
    </w:p>
    <w:p>
      <w:pPr>
        <w:spacing w:line="400" w:lineRule="atLeast"/>
        <w:ind w:firstLine="1479" w:firstLineChars="493"/>
        <w:rPr>
          <w:rFonts w:hAnsi="宋体" w:eastAsia="宋体" w:cs="宋体"/>
          <w:sz w:val="30"/>
          <w:szCs w:val="30"/>
        </w:rPr>
      </w:pPr>
      <w:r>
        <w:rPr>
          <w:rFonts w:hint="eastAsia" w:hAnsi="宋体" w:eastAsia="宋体" w:cs="宋体"/>
          <w:sz w:val="30"/>
          <w:szCs w:val="30"/>
        </w:rPr>
        <w:t>投标人地址：</w:t>
      </w:r>
    </w:p>
    <w:p>
      <w:pPr>
        <w:spacing w:line="400" w:lineRule="atLeast"/>
        <w:rPr>
          <w:rFonts w:hAnsi="宋体" w:eastAsia="宋体" w:cs="宋体"/>
          <w:szCs w:val="21"/>
          <w:u w:val="single"/>
        </w:rPr>
      </w:pPr>
    </w:p>
    <w:p>
      <w:pPr>
        <w:spacing w:line="400" w:lineRule="atLeast"/>
        <w:ind w:firstLine="1575" w:firstLineChars="750"/>
        <w:rPr>
          <w:rFonts w:hAnsi="宋体" w:eastAsia="宋体" w:cs="宋体"/>
          <w:szCs w:val="21"/>
          <w:u w:val="single"/>
        </w:rPr>
      </w:pPr>
    </w:p>
    <w:p>
      <w:pPr>
        <w:spacing w:line="400" w:lineRule="atLeast"/>
        <w:jc w:val="center"/>
        <w:rPr>
          <w:rFonts w:hAnsi="宋体" w:eastAsia="宋体" w:cs="宋体"/>
          <w:sz w:val="28"/>
          <w:szCs w:val="28"/>
        </w:rPr>
      </w:pPr>
      <w:r>
        <w:rPr>
          <w:rFonts w:hint="eastAsia" w:hAnsi="宋体" w:eastAsia="宋体" w:cs="宋体"/>
          <w:sz w:val="28"/>
          <w:szCs w:val="28"/>
        </w:rPr>
        <w:t>开标时间前不得开封</w:t>
      </w:r>
    </w:p>
    <w:p>
      <w:pPr>
        <w:spacing w:line="400" w:lineRule="atLeast"/>
        <w:ind w:right="-2"/>
        <w:jc w:val="center"/>
        <w:rPr>
          <w:rFonts w:hAnsi="宋体" w:eastAsia="宋体" w:cs="宋体"/>
          <w:szCs w:val="21"/>
        </w:rPr>
      </w:pPr>
      <w:r>
        <w:rPr>
          <w:rFonts w:hint="eastAsia" w:hAnsi="宋体" w:eastAsia="宋体" w:cs="宋体"/>
          <w:szCs w:val="21"/>
        </w:rPr>
        <w:br w:type="page"/>
      </w:r>
    </w:p>
    <w:tbl>
      <w:tblPr>
        <w:tblStyle w:val="47"/>
        <w:tblpPr w:leftFromText="180" w:rightFromText="180" w:vertAnchor="text" w:horzAnchor="page" w:tblpX="8015" w:tblpY="-575"/>
        <w:tblOverlap w:val="never"/>
        <w:tblW w:w="2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353" w:type="dxa"/>
            <w:vAlign w:val="center"/>
          </w:tcPr>
          <w:p>
            <w:pPr>
              <w:spacing w:line="400" w:lineRule="atLeast"/>
              <w:ind w:left="7" w:leftChars="1" w:right="-38" w:rightChars="-18" w:hanging="5" w:hangingChars="2"/>
              <w:jc w:val="center"/>
              <w:rPr>
                <w:rFonts w:ascii="Calibri" w:hAnsi="宋体" w:eastAsia="宋体" w:cs="宋体"/>
                <w:sz w:val="28"/>
                <w:szCs w:val="28"/>
              </w:rPr>
            </w:pPr>
            <w:r>
              <w:rPr>
                <w:rFonts w:hint="eastAsia" w:ascii="Calibri" w:hAnsi="宋体" w:eastAsia="宋体" w:cs="宋体"/>
                <w:sz w:val="28"/>
                <w:szCs w:val="28"/>
              </w:rPr>
              <w:t>正本/副本</w:t>
            </w:r>
          </w:p>
        </w:tc>
      </w:tr>
    </w:tbl>
    <w:p>
      <w:pPr>
        <w:spacing w:line="400" w:lineRule="atLeast"/>
        <w:ind w:right="-2"/>
        <w:jc w:val="center"/>
        <w:rPr>
          <w:rFonts w:hAnsi="宋体" w:eastAsia="宋体" w:cs="宋体"/>
          <w:szCs w:val="21"/>
        </w:rPr>
      </w:pPr>
    </w:p>
    <w:p>
      <w:pPr>
        <w:spacing w:line="400" w:lineRule="atLeast"/>
        <w:ind w:right="-2"/>
        <w:jc w:val="center"/>
        <w:rPr>
          <w:rFonts w:hAnsi="宋体" w:eastAsia="宋体" w:cs="宋体"/>
          <w:szCs w:val="21"/>
        </w:rPr>
      </w:pPr>
    </w:p>
    <w:p>
      <w:pPr>
        <w:spacing w:line="400" w:lineRule="atLeast"/>
        <w:ind w:right="-2"/>
        <w:jc w:val="center"/>
        <w:rPr>
          <w:rFonts w:hAnsi="宋体" w:eastAsia="宋体" w:cs="宋体"/>
          <w:szCs w:val="21"/>
        </w:rPr>
      </w:pPr>
    </w:p>
    <w:p>
      <w:pPr>
        <w:spacing w:line="360" w:lineRule="auto"/>
        <w:jc w:val="center"/>
        <w:rPr>
          <w:rFonts w:hAnsi="宋体" w:eastAsia="宋体" w:cs="宋体"/>
          <w:sz w:val="48"/>
          <w:szCs w:val="48"/>
        </w:rPr>
      </w:pPr>
      <w:r>
        <w:rPr>
          <w:rFonts w:hint="eastAsia" w:hAnsi="宋体" w:eastAsia="宋体" w:cs="宋体"/>
          <w:sz w:val="48"/>
          <w:szCs w:val="48"/>
        </w:rPr>
        <w:t>南宁轨道交通集团2022-2024年度安全生产责任保险项目</w:t>
      </w:r>
    </w:p>
    <w:p>
      <w:pPr>
        <w:spacing w:line="360" w:lineRule="auto"/>
        <w:jc w:val="center"/>
        <w:rPr>
          <w:rFonts w:hAnsi="宋体" w:eastAsia="宋体" w:cs="宋体"/>
          <w:b/>
          <w:sz w:val="48"/>
          <w:szCs w:val="48"/>
        </w:rPr>
      </w:pPr>
    </w:p>
    <w:p>
      <w:pPr>
        <w:spacing w:line="400" w:lineRule="atLeast"/>
        <w:jc w:val="center"/>
        <w:rPr>
          <w:rFonts w:hAnsi="宋体" w:eastAsia="宋体" w:cs="宋体"/>
          <w:szCs w:val="21"/>
        </w:rPr>
      </w:pPr>
    </w:p>
    <w:p>
      <w:pPr>
        <w:spacing w:line="400" w:lineRule="atLeast"/>
        <w:jc w:val="center"/>
        <w:rPr>
          <w:rFonts w:hAnsi="宋体" w:eastAsia="宋体" w:cs="宋体"/>
          <w:szCs w:val="21"/>
        </w:rPr>
      </w:pPr>
    </w:p>
    <w:p>
      <w:pPr>
        <w:spacing w:line="400" w:lineRule="atLeast"/>
        <w:jc w:val="center"/>
        <w:rPr>
          <w:rFonts w:hAnsi="宋体" w:eastAsia="宋体" w:cs="宋体"/>
          <w:szCs w:val="21"/>
        </w:rPr>
      </w:pPr>
    </w:p>
    <w:p>
      <w:pPr>
        <w:spacing w:line="400" w:lineRule="atLeast"/>
        <w:jc w:val="center"/>
        <w:rPr>
          <w:rFonts w:hAnsi="宋体" w:eastAsia="宋体" w:cs="宋体"/>
          <w:szCs w:val="21"/>
        </w:rPr>
      </w:pPr>
    </w:p>
    <w:p>
      <w:pPr>
        <w:spacing w:line="400" w:lineRule="atLeast"/>
        <w:jc w:val="center"/>
        <w:rPr>
          <w:rFonts w:hAnsi="宋体" w:eastAsia="宋体" w:cs="宋体"/>
          <w:szCs w:val="21"/>
        </w:rPr>
      </w:pPr>
    </w:p>
    <w:p>
      <w:pPr>
        <w:spacing w:line="400" w:lineRule="atLeast"/>
        <w:jc w:val="center"/>
        <w:rPr>
          <w:rFonts w:hAnsi="宋体" w:eastAsia="宋体" w:cs="宋体"/>
          <w:kern w:val="0"/>
          <w:sz w:val="36"/>
          <w:szCs w:val="36"/>
        </w:rPr>
      </w:pPr>
      <w:r>
        <w:rPr>
          <w:rFonts w:hint="eastAsia" w:hAnsi="宋体" w:eastAsia="宋体" w:cs="宋体"/>
          <w:kern w:val="0"/>
          <w:sz w:val="36"/>
          <w:szCs w:val="36"/>
        </w:rPr>
        <w:t>资格审查/资信/技术/报价文件</w:t>
      </w:r>
    </w:p>
    <w:p>
      <w:pPr>
        <w:spacing w:line="400" w:lineRule="atLeast"/>
        <w:jc w:val="center"/>
        <w:rPr>
          <w:rFonts w:hAnsi="宋体" w:eastAsia="宋体" w:cs="宋体"/>
          <w:sz w:val="28"/>
          <w:szCs w:val="28"/>
        </w:rPr>
      </w:pPr>
      <w:r>
        <w:rPr>
          <w:rFonts w:hint="eastAsia" w:hAnsi="宋体" w:eastAsia="宋体" w:cs="宋体"/>
          <w:sz w:val="28"/>
          <w:szCs w:val="28"/>
        </w:rPr>
        <w:t>招标编号：</w:t>
      </w:r>
    </w:p>
    <w:p>
      <w:pPr>
        <w:spacing w:line="400" w:lineRule="atLeast"/>
        <w:ind w:firstLine="420"/>
        <w:rPr>
          <w:rFonts w:hAnsi="宋体" w:eastAsia="宋体" w:cs="宋体"/>
          <w:szCs w:val="21"/>
        </w:rPr>
      </w:pPr>
    </w:p>
    <w:p>
      <w:pPr>
        <w:spacing w:line="400" w:lineRule="atLeast"/>
        <w:ind w:firstLine="420"/>
        <w:rPr>
          <w:rFonts w:hAnsi="宋体" w:eastAsia="宋体" w:cs="宋体"/>
          <w:szCs w:val="21"/>
        </w:rPr>
      </w:pPr>
    </w:p>
    <w:p>
      <w:pPr>
        <w:spacing w:line="400" w:lineRule="atLeast"/>
        <w:ind w:firstLine="420"/>
        <w:rPr>
          <w:rFonts w:hAnsi="宋体" w:eastAsia="宋体" w:cs="宋体"/>
          <w:szCs w:val="21"/>
        </w:rPr>
      </w:pPr>
    </w:p>
    <w:p>
      <w:pPr>
        <w:spacing w:line="400" w:lineRule="atLeast"/>
        <w:ind w:firstLine="420"/>
        <w:rPr>
          <w:rFonts w:hAnsi="宋体" w:eastAsia="宋体" w:cs="宋体"/>
          <w:szCs w:val="21"/>
        </w:rPr>
      </w:pPr>
    </w:p>
    <w:p>
      <w:pPr>
        <w:spacing w:line="400" w:lineRule="atLeast"/>
        <w:ind w:firstLine="420"/>
        <w:rPr>
          <w:rFonts w:hAnsi="宋体" w:eastAsia="宋体" w:cs="宋体"/>
          <w:szCs w:val="21"/>
        </w:rPr>
      </w:pPr>
    </w:p>
    <w:p>
      <w:pPr>
        <w:spacing w:line="400" w:lineRule="atLeast"/>
        <w:ind w:firstLine="420"/>
        <w:rPr>
          <w:rFonts w:hAnsi="宋体" w:eastAsia="宋体" w:cs="宋体"/>
          <w:szCs w:val="21"/>
        </w:rPr>
      </w:pPr>
    </w:p>
    <w:p>
      <w:pPr>
        <w:spacing w:line="400" w:lineRule="atLeast"/>
        <w:ind w:firstLine="420"/>
        <w:rPr>
          <w:rFonts w:hAnsi="宋体" w:eastAsia="宋体" w:cs="宋体"/>
          <w:szCs w:val="21"/>
        </w:rPr>
      </w:pPr>
    </w:p>
    <w:p>
      <w:pPr>
        <w:spacing w:line="400" w:lineRule="atLeast"/>
        <w:ind w:firstLine="420"/>
        <w:rPr>
          <w:rFonts w:hAnsi="宋体" w:eastAsia="宋体" w:cs="宋体"/>
          <w:szCs w:val="21"/>
        </w:rPr>
      </w:pPr>
    </w:p>
    <w:p>
      <w:pPr>
        <w:spacing w:line="400" w:lineRule="atLeast"/>
        <w:ind w:firstLine="420"/>
        <w:rPr>
          <w:rFonts w:hAnsi="宋体" w:eastAsia="宋体" w:cs="宋体"/>
          <w:szCs w:val="21"/>
        </w:rPr>
      </w:pPr>
    </w:p>
    <w:p>
      <w:pPr>
        <w:spacing w:line="400" w:lineRule="atLeast"/>
        <w:ind w:firstLine="2100" w:firstLineChars="750"/>
        <w:rPr>
          <w:rFonts w:hAnsi="宋体" w:eastAsia="宋体" w:cs="宋体"/>
          <w:sz w:val="28"/>
          <w:szCs w:val="28"/>
          <w:u w:val="single"/>
        </w:rPr>
      </w:pPr>
      <w:r>
        <w:rPr>
          <w:rFonts w:hint="eastAsia" w:hAnsi="宋体" w:eastAsia="宋体" w:cs="宋体"/>
          <w:sz w:val="28"/>
          <w:szCs w:val="28"/>
        </w:rPr>
        <w:t>投标人（公章）：</w:t>
      </w:r>
    </w:p>
    <w:p>
      <w:pPr>
        <w:spacing w:line="400" w:lineRule="atLeast"/>
        <w:ind w:firstLine="2100" w:firstLineChars="750"/>
        <w:rPr>
          <w:rFonts w:hAnsi="宋体" w:eastAsia="宋体" w:cs="宋体"/>
          <w:sz w:val="28"/>
          <w:szCs w:val="28"/>
        </w:rPr>
      </w:pPr>
      <w:r>
        <w:rPr>
          <w:rFonts w:hint="eastAsia" w:hAnsi="宋体" w:eastAsia="宋体" w:cs="宋体"/>
          <w:sz w:val="28"/>
          <w:szCs w:val="28"/>
        </w:rPr>
        <w:t>法定代表人（负责人）或</w:t>
      </w:r>
    </w:p>
    <w:p>
      <w:pPr>
        <w:spacing w:line="400" w:lineRule="atLeast"/>
        <w:ind w:firstLine="2100" w:firstLineChars="750"/>
        <w:rPr>
          <w:rFonts w:hAnsi="宋体" w:eastAsia="宋体" w:cs="宋体"/>
          <w:sz w:val="28"/>
          <w:szCs w:val="28"/>
          <w:u w:val="single"/>
        </w:rPr>
      </w:pPr>
      <w:r>
        <w:rPr>
          <w:rFonts w:hint="eastAsia" w:hAnsi="宋体" w:eastAsia="宋体" w:cs="宋体"/>
          <w:sz w:val="28"/>
          <w:szCs w:val="28"/>
        </w:rPr>
        <w:t>授权代理人（签字或盖章）：</w:t>
      </w:r>
    </w:p>
    <w:p>
      <w:pPr>
        <w:spacing w:line="400" w:lineRule="atLeast"/>
        <w:ind w:firstLine="2100" w:firstLineChars="750"/>
        <w:rPr>
          <w:rFonts w:hAnsi="宋体" w:eastAsia="宋体" w:cs="宋体"/>
          <w:sz w:val="28"/>
          <w:szCs w:val="28"/>
        </w:rPr>
      </w:pPr>
      <w:r>
        <w:rPr>
          <w:rFonts w:hint="eastAsia" w:hAnsi="宋体" w:eastAsia="宋体" w:cs="宋体"/>
          <w:sz w:val="28"/>
          <w:szCs w:val="28"/>
        </w:rPr>
        <w:t>日期：</w:t>
      </w:r>
    </w:p>
    <w:p>
      <w:pPr>
        <w:outlineLvl w:val="1"/>
        <w:rPr>
          <w:rFonts w:hAnsi="宋体" w:eastAsia="宋体" w:cs="宋体"/>
          <w:b/>
          <w:bCs/>
        </w:rPr>
      </w:pPr>
      <w:r>
        <w:rPr>
          <w:rFonts w:hint="eastAsia" w:hAnsi="宋体" w:eastAsia="宋体" w:cs="宋体"/>
          <w:sz w:val="28"/>
          <w:szCs w:val="28"/>
        </w:rPr>
        <w:br w:type="page"/>
      </w:r>
      <w:bookmarkStart w:id="1014" w:name="_Toc9381"/>
      <w:bookmarkStart w:id="1015" w:name="_Toc3447"/>
      <w:bookmarkStart w:id="1016" w:name="_Toc10877"/>
      <w:bookmarkStart w:id="1017" w:name="_Toc30945"/>
      <w:r>
        <w:rPr>
          <w:rFonts w:hint="eastAsia" w:hAnsi="宋体" w:eastAsia="宋体" w:cs="宋体"/>
          <w:b/>
          <w:bCs/>
        </w:rPr>
        <w:t>A资格审查部分</w:t>
      </w:r>
      <w:bookmarkEnd w:id="1014"/>
      <w:bookmarkEnd w:id="1015"/>
      <w:bookmarkEnd w:id="1016"/>
      <w:bookmarkEnd w:id="1017"/>
    </w:p>
    <w:p>
      <w:pPr>
        <w:spacing w:before="120"/>
        <w:ind w:left="7" w:firstLine="411" w:firstLineChars="196"/>
        <w:rPr>
          <w:rFonts w:hAnsi="宋体" w:eastAsia="宋体" w:cs="宋体"/>
          <w:szCs w:val="21"/>
        </w:rPr>
      </w:pPr>
      <w:r>
        <w:rPr>
          <w:rFonts w:hint="eastAsia" w:hAnsi="宋体" w:eastAsia="宋体" w:cs="宋体"/>
          <w:szCs w:val="21"/>
        </w:rPr>
        <w:t>一、</w:t>
      </w:r>
      <w:r>
        <w:rPr>
          <w:rFonts w:hint="eastAsia" w:hAnsi="宋体" w:eastAsia="宋体" w:cs="宋体"/>
          <w:szCs w:val="21"/>
          <w:lang w:val="zh-CN"/>
        </w:rPr>
        <w:t>法定代表人（负责人）资格证明书</w:t>
      </w:r>
      <w:r>
        <w:rPr>
          <w:rFonts w:hint="eastAsia" w:hAnsi="宋体" w:eastAsia="宋体" w:cs="宋体"/>
          <w:szCs w:val="21"/>
        </w:rPr>
        <w:t>及</w:t>
      </w:r>
      <w:r>
        <w:rPr>
          <w:rFonts w:hint="eastAsia" w:hAnsi="宋体" w:eastAsia="宋体" w:cs="宋体"/>
          <w:szCs w:val="21"/>
          <w:lang w:val="zh-CN"/>
        </w:rPr>
        <w:t>法定代表人（负责人）身份证复印件</w:t>
      </w:r>
      <w:r>
        <w:rPr>
          <w:rFonts w:hint="eastAsia" w:hAnsi="宋体" w:eastAsia="宋体" w:cs="宋体"/>
          <w:szCs w:val="21"/>
        </w:rPr>
        <w:t>（如无授权时）</w:t>
      </w:r>
      <w:r>
        <w:rPr>
          <w:rFonts w:hint="eastAsia" w:hAnsi="宋体" w:eastAsia="宋体" w:cs="宋体"/>
          <w:szCs w:val="21"/>
          <w:lang w:val="zh-CN"/>
        </w:rPr>
        <w:t>；</w:t>
      </w:r>
      <w:r>
        <w:rPr>
          <w:rFonts w:hint="eastAsia" w:hAnsi="宋体" w:eastAsia="宋体" w:cs="宋体"/>
          <w:szCs w:val="21"/>
        </w:rPr>
        <w:t>（如授权时）</w:t>
      </w:r>
      <w:r>
        <w:rPr>
          <w:rFonts w:hint="eastAsia" w:hAnsi="宋体" w:eastAsia="宋体" w:cs="宋体"/>
          <w:szCs w:val="21"/>
          <w:lang w:val="zh-CN"/>
        </w:rPr>
        <w:t>法定代表人（负责人）授权书</w:t>
      </w:r>
      <w:r>
        <w:rPr>
          <w:rFonts w:hint="eastAsia" w:hAnsi="宋体" w:eastAsia="宋体" w:cs="宋体"/>
          <w:szCs w:val="21"/>
        </w:rPr>
        <w:t>、</w:t>
      </w:r>
      <w:r>
        <w:rPr>
          <w:rFonts w:hint="eastAsia" w:hAnsi="宋体" w:eastAsia="宋体" w:cs="宋体"/>
          <w:szCs w:val="21"/>
          <w:lang w:val="zh-CN"/>
        </w:rPr>
        <w:t>法定代表人（负责人）</w:t>
      </w:r>
      <w:r>
        <w:rPr>
          <w:rFonts w:hint="eastAsia" w:hAnsi="宋体" w:eastAsia="宋体" w:cs="宋体"/>
          <w:szCs w:val="21"/>
        </w:rPr>
        <w:t>及被授权人</w:t>
      </w:r>
      <w:r>
        <w:rPr>
          <w:rFonts w:hint="eastAsia" w:hAnsi="宋体" w:eastAsia="宋体" w:cs="宋体"/>
          <w:szCs w:val="21"/>
          <w:lang w:val="zh-CN"/>
        </w:rPr>
        <w:t>身份证复印件</w:t>
      </w:r>
      <w:r>
        <w:rPr>
          <w:rFonts w:hint="eastAsia" w:hAnsi="宋体" w:eastAsia="宋体" w:cs="宋体"/>
          <w:szCs w:val="21"/>
        </w:rPr>
        <w:t>。</w:t>
      </w:r>
    </w:p>
    <w:p>
      <w:pPr>
        <w:spacing w:before="120"/>
        <w:ind w:firstLine="478" w:firstLineChars="228"/>
        <w:rPr>
          <w:rFonts w:hAnsi="宋体" w:eastAsia="宋体" w:cs="宋体"/>
          <w:szCs w:val="21"/>
        </w:rPr>
      </w:pPr>
      <w:r>
        <w:rPr>
          <w:rFonts w:hint="eastAsia" w:hAnsi="宋体" w:eastAsia="宋体" w:cs="宋体"/>
          <w:szCs w:val="21"/>
        </w:rPr>
        <w:t>二、投标人合法有效的营业执照复印件。</w:t>
      </w:r>
    </w:p>
    <w:p>
      <w:pPr>
        <w:spacing w:before="120"/>
        <w:ind w:firstLine="478" w:firstLineChars="228"/>
        <w:rPr>
          <w:rFonts w:hAnsi="宋体" w:eastAsia="宋体" w:cs="宋体"/>
          <w:szCs w:val="21"/>
        </w:rPr>
      </w:pPr>
      <w:r>
        <w:rPr>
          <w:rFonts w:hint="eastAsia" w:hAnsi="宋体" w:eastAsia="宋体" w:cs="宋体"/>
          <w:szCs w:val="21"/>
        </w:rPr>
        <w:t>三、投标人合格有效的《保险许可证》复印件。</w:t>
      </w:r>
    </w:p>
    <w:p>
      <w:pPr>
        <w:spacing w:before="120"/>
        <w:ind w:firstLine="478" w:firstLineChars="228"/>
        <w:rPr>
          <w:rFonts w:hAnsi="宋体" w:eastAsia="宋体" w:cs="宋体"/>
          <w:szCs w:val="21"/>
        </w:rPr>
      </w:pPr>
      <w:r>
        <w:rPr>
          <w:rFonts w:hint="eastAsia" w:hAnsi="宋体" w:eastAsia="宋体" w:cs="宋体"/>
          <w:szCs w:val="21"/>
        </w:rPr>
        <w:t>四、投标人近5年内（2017年1月1日至今，以合同签订时间为准）须具有至少一项安全生产责任险承保业绩（法人单位下设分支机构的业绩视为投标人的业绩）。</w:t>
      </w:r>
    </w:p>
    <w:p>
      <w:pPr>
        <w:spacing w:before="120"/>
        <w:ind w:firstLine="478" w:firstLineChars="228"/>
        <w:rPr>
          <w:rFonts w:hAnsi="宋体" w:eastAsia="宋体" w:cs="宋体"/>
          <w:szCs w:val="21"/>
        </w:rPr>
      </w:pPr>
      <w:r>
        <w:rPr>
          <w:rFonts w:hint="eastAsia" w:hAnsi="宋体" w:eastAsia="宋体" w:cs="宋体"/>
          <w:szCs w:val="21"/>
        </w:rPr>
        <w:t>五、</w:t>
      </w:r>
      <w:r>
        <w:rPr>
          <w:rFonts w:hint="eastAsia" w:eastAsia="宋体"/>
          <w:szCs w:val="21"/>
        </w:rPr>
        <w:t>投标人拟投入的项目负责人须获得投标人法人单位就本保单授予不低于每次事故RMB500万元乘以所报承保份额的独立理赔决策权。</w:t>
      </w:r>
      <w:r>
        <w:rPr>
          <w:rFonts w:hint="eastAsia" w:hAnsi="宋体" w:eastAsia="宋体" w:cs="宋体"/>
          <w:szCs w:val="21"/>
        </w:rPr>
        <w:t>（格式见A4），工作年限证明。</w:t>
      </w:r>
    </w:p>
    <w:p>
      <w:pPr>
        <w:spacing w:before="120"/>
        <w:ind w:firstLine="478" w:firstLineChars="228"/>
        <w:rPr>
          <w:rFonts w:hAnsi="宋体" w:eastAsia="宋体" w:cs="宋体"/>
          <w:szCs w:val="21"/>
        </w:rPr>
      </w:pPr>
      <w:r>
        <w:rPr>
          <w:rFonts w:hint="eastAsia" w:hAnsi="宋体" w:eastAsia="宋体" w:cs="宋体"/>
          <w:szCs w:val="21"/>
        </w:rPr>
        <w:t>六、企业经营状况及履约情况承诺书（格式见A3）。</w:t>
      </w:r>
    </w:p>
    <w:p>
      <w:pPr>
        <w:spacing w:before="120"/>
        <w:ind w:firstLine="478" w:firstLineChars="228"/>
        <w:rPr>
          <w:rFonts w:hAnsi="宋体" w:eastAsia="宋体" w:cs="宋体"/>
          <w:szCs w:val="21"/>
        </w:rPr>
      </w:pPr>
      <w:r>
        <w:rPr>
          <w:rFonts w:hint="eastAsia" w:hAnsi="宋体" w:eastAsia="宋体" w:cs="宋体"/>
          <w:szCs w:val="21"/>
        </w:rPr>
        <w:t>七、投标人认为</w:t>
      </w:r>
      <w:r>
        <w:rPr>
          <w:rFonts w:hint="eastAsia" w:ascii="宋体" w:hAnsi="宋体" w:eastAsia="宋体" w:cs="宋体"/>
          <w:szCs w:val="21"/>
        </w:rPr>
        <w:t>需加以说明</w:t>
      </w:r>
      <w:r>
        <w:rPr>
          <w:rFonts w:hint="eastAsia" w:hAnsi="宋体" w:eastAsia="宋体" w:cs="宋体"/>
          <w:szCs w:val="21"/>
        </w:rPr>
        <w:t>的其他内容（格式自拟）。</w:t>
      </w:r>
    </w:p>
    <w:p>
      <w:pPr>
        <w:spacing w:before="120"/>
        <w:rPr>
          <w:rFonts w:hAnsi="宋体" w:eastAsia="宋体" w:cs="宋体"/>
          <w:szCs w:val="21"/>
        </w:rPr>
      </w:pPr>
    </w:p>
    <w:p>
      <w:pPr>
        <w:spacing w:before="120"/>
        <w:rPr>
          <w:rFonts w:hAnsi="宋体" w:eastAsia="宋体" w:cs="宋体"/>
          <w:b/>
          <w:bCs/>
        </w:rPr>
      </w:pPr>
      <w:r>
        <w:rPr>
          <w:rFonts w:hint="eastAsia" w:hAnsi="宋体" w:eastAsia="宋体" w:cs="宋体"/>
          <w:b/>
          <w:bCs/>
        </w:rPr>
        <w:t>以上提供的复印件必须加盖投标人公章。</w:t>
      </w:r>
    </w:p>
    <w:p>
      <w:pPr>
        <w:spacing w:before="120"/>
        <w:rPr>
          <w:rFonts w:hAnsi="宋体" w:eastAsia="宋体" w:cs="宋体"/>
          <w:b/>
          <w:bCs/>
        </w:rPr>
      </w:pPr>
    </w:p>
    <w:p>
      <w:pPr>
        <w:spacing w:before="120"/>
        <w:rPr>
          <w:rFonts w:hAnsi="宋体" w:eastAsia="宋体" w:cs="宋体"/>
          <w:b/>
          <w:bCs/>
        </w:rPr>
      </w:pPr>
    </w:p>
    <w:p>
      <w:pPr>
        <w:spacing w:before="120"/>
        <w:rPr>
          <w:rFonts w:hAnsi="宋体" w:eastAsia="宋体" w:cs="宋体"/>
          <w:b/>
          <w:bCs/>
        </w:rPr>
      </w:pPr>
    </w:p>
    <w:p>
      <w:pPr>
        <w:spacing w:before="120"/>
        <w:rPr>
          <w:rFonts w:hAnsi="宋体" w:eastAsia="宋体" w:cs="宋体"/>
          <w:b/>
          <w:bCs/>
        </w:rPr>
      </w:pPr>
    </w:p>
    <w:p>
      <w:pPr>
        <w:outlineLvl w:val="1"/>
        <w:rPr>
          <w:rFonts w:hAnsi="宋体" w:eastAsia="宋体" w:cs="宋体"/>
          <w:b/>
          <w:bCs/>
        </w:rPr>
      </w:pPr>
      <w:bookmarkStart w:id="1018" w:name="_Toc26258"/>
      <w:bookmarkStart w:id="1019" w:name="_Toc5931"/>
      <w:bookmarkStart w:id="1020" w:name="_Toc13262"/>
      <w:bookmarkStart w:id="1021" w:name="_Toc11426"/>
      <w:r>
        <w:rPr>
          <w:rFonts w:hAnsi="宋体" w:eastAsia="宋体" w:cs="宋体"/>
          <w:b/>
          <w:bCs/>
        </w:rPr>
        <w:br w:type="page"/>
      </w:r>
    </w:p>
    <w:p>
      <w:pPr>
        <w:outlineLvl w:val="1"/>
        <w:rPr>
          <w:rFonts w:hAnsi="宋体" w:eastAsia="宋体" w:cs="宋体"/>
          <w:szCs w:val="21"/>
        </w:rPr>
      </w:pPr>
      <w:r>
        <w:rPr>
          <w:rFonts w:hint="eastAsia" w:hAnsi="宋体" w:eastAsia="宋体" w:cs="宋体"/>
          <w:szCs w:val="21"/>
        </w:rPr>
        <w:t>A1、法定代表人（负责人）资格证明书</w:t>
      </w:r>
      <w:bookmarkEnd w:id="1018"/>
      <w:bookmarkEnd w:id="1019"/>
      <w:bookmarkEnd w:id="1020"/>
      <w:bookmarkEnd w:id="1021"/>
    </w:p>
    <w:p>
      <w:pPr>
        <w:ind w:firstLine="420"/>
        <w:rPr>
          <w:rFonts w:hAnsi="宋体" w:eastAsia="宋体" w:cs="宋体"/>
          <w:szCs w:val="21"/>
        </w:rPr>
      </w:pPr>
    </w:p>
    <w:p>
      <w:pPr>
        <w:spacing w:before="240" w:beforeLines="100" w:after="240" w:afterLines="100" w:line="360" w:lineRule="auto"/>
        <w:jc w:val="center"/>
        <w:rPr>
          <w:rFonts w:hAnsi="宋体" w:eastAsia="宋体" w:cs="宋体"/>
          <w:b/>
          <w:sz w:val="30"/>
          <w:szCs w:val="30"/>
        </w:rPr>
      </w:pPr>
      <w:r>
        <w:rPr>
          <w:rFonts w:hint="eastAsia" w:hAnsi="宋体" w:eastAsia="宋体" w:cs="宋体"/>
          <w:b/>
          <w:sz w:val="30"/>
          <w:szCs w:val="30"/>
        </w:rPr>
        <w:t>法定代表人（负责人）资格证明书</w:t>
      </w:r>
    </w:p>
    <w:p>
      <w:pPr>
        <w:spacing w:line="360" w:lineRule="auto"/>
        <w:ind w:firstLine="420"/>
        <w:rPr>
          <w:rFonts w:hAnsi="宋体" w:eastAsia="宋体" w:cs="宋体"/>
          <w:szCs w:val="21"/>
        </w:rPr>
      </w:pPr>
    </w:p>
    <w:p>
      <w:pPr>
        <w:spacing w:before="120" w:line="300" w:lineRule="auto"/>
        <w:ind w:firstLine="420"/>
        <w:rPr>
          <w:rFonts w:hAnsi="宋体" w:eastAsia="宋体" w:cs="宋体"/>
          <w:szCs w:val="21"/>
          <w:u w:val="single"/>
        </w:rPr>
      </w:pPr>
      <w:r>
        <w:rPr>
          <w:rFonts w:hint="eastAsia" w:hAnsi="宋体" w:eastAsia="宋体" w:cs="宋体"/>
          <w:szCs w:val="21"/>
        </w:rPr>
        <w:t>单位名称（全称）：</w:t>
      </w:r>
      <w:r>
        <w:rPr>
          <w:rFonts w:hint="eastAsia" w:hAnsi="宋体" w:eastAsia="宋体" w:cs="宋体"/>
          <w:szCs w:val="21"/>
          <w:u w:val="single"/>
        </w:rPr>
        <w:t> </w:t>
      </w:r>
      <w:r>
        <w:rPr>
          <w:rFonts w:hAnsi="宋体" w:eastAsia="宋体" w:cs="宋体"/>
          <w:szCs w:val="21"/>
          <w:u w:val="single"/>
        </w:rPr>
        <w:t>       </w:t>
      </w:r>
    </w:p>
    <w:p>
      <w:pPr>
        <w:spacing w:before="120" w:line="300" w:lineRule="auto"/>
        <w:ind w:firstLine="420"/>
        <w:rPr>
          <w:rFonts w:hAnsi="宋体" w:eastAsia="宋体" w:cs="宋体"/>
          <w:szCs w:val="21"/>
          <w:u w:val="single"/>
        </w:rPr>
      </w:pPr>
      <w:r>
        <w:rPr>
          <w:rFonts w:hint="eastAsia" w:hAnsi="宋体" w:eastAsia="宋体" w:cs="宋体"/>
          <w:szCs w:val="21"/>
        </w:rPr>
        <w:t>地址：</w:t>
      </w:r>
      <w:r>
        <w:rPr>
          <w:rFonts w:hAnsi="宋体" w:eastAsia="宋体" w:cs="宋体"/>
          <w:szCs w:val="21"/>
          <w:u w:val="single"/>
        </w:rPr>
        <w:t>                  </w:t>
      </w:r>
    </w:p>
    <w:p>
      <w:pPr>
        <w:spacing w:before="120" w:line="300" w:lineRule="auto"/>
        <w:ind w:firstLine="420"/>
        <w:rPr>
          <w:rFonts w:hAnsi="宋体" w:eastAsia="宋体" w:cs="宋体"/>
          <w:szCs w:val="21"/>
        </w:rPr>
      </w:pPr>
      <w:r>
        <w:rPr>
          <w:rFonts w:hint="eastAsia" w:hAnsi="宋体" w:eastAsia="宋体" w:cs="宋体"/>
          <w:szCs w:val="21"/>
        </w:rPr>
        <w:t>姓名：性别：年龄：职务：</w:t>
      </w:r>
    </w:p>
    <w:p>
      <w:pPr>
        <w:spacing w:before="120" w:line="300" w:lineRule="auto"/>
        <w:ind w:firstLine="420"/>
        <w:rPr>
          <w:rFonts w:hAnsi="宋体" w:eastAsia="宋体" w:cs="宋体"/>
          <w:szCs w:val="21"/>
        </w:rPr>
      </w:pPr>
      <w:r>
        <w:rPr>
          <w:rFonts w:hint="eastAsia" w:hAnsi="宋体" w:eastAsia="宋体" w:cs="宋体"/>
          <w:szCs w:val="21"/>
        </w:rPr>
        <w:t>系我公司的法定代表人</w:t>
      </w:r>
      <w:r>
        <w:rPr>
          <w:rFonts w:hint="eastAsia" w:hAnsi="宋体" w:eastAsia="宋体" w:cs="宋体"/>
          <w:szCs w:val="21"/>
          <w:lang w:val="zh-CN"/>
        </w:rPr>
        <w:t>（负责人）</w:t>
      </w:r>
      <w:r>
        <w:rPr>
          <w:rFonts w:hint="eastAsia" w:hAnsi="宋体" w:eastAsia="宋体" w:cs="宋体"/>
          <w:szCs w:val="21"/>
        </w:rPr>
        <w:t>。</w:t>
      </w:r>
    </w:p>
    <w:p>
      <w:pPr>
        <w:spacing w:before="120" w:line="300" w:lineRule="auto"/>
        <w:ind w:firstLine="420"/>
        <w:rPr>
          <w:rFonts w:hAnsi="宋体" w:eastAsia="宋体" w:cs="宋体"/>
          <w:szCs w:val="21"/>
        </w:rPr>
      </w:pPr>
      <w:r>
        <w:rPr>
          <w:rFonts w:hint="eastAsia" w:hAnsi="宋体" w:eastAsia="宋体" w:cs="宋体"/>
          <w:szCs w:val="21"/>
        </w:rPr>
        <w:t>为参加</w:t>
      </w:r>
      <w:r>
        <w:rPr>
          <w:rFonts w:hint="eastAsia" w:eastAsia="宋体"/>
          <w:szCs w:val="21"/>
        </w:rPr>
        <w:t>南宁轨道交通集团</w:t>
      </w:r>
      <w:r>
        <w:rPr>
          <w:rFonts w:eastAsia="宋体"/>
          <w:szCs w:val="21"/>
        </w:rPr>
        <w:t>2022-2024</w:t>
      </w:r>
      <w:r>
        <w:rPr>
          <w:rFonts w:hint="eastAsia" w:eastAsia="宋体"/>
          <w:szCs w:val="21"/>
        </w:rPr>
        <w:t>年度安全生产责任保险项目</w:t>
      </w:r>
      <w:r>
        <w:rPr>
          <w:rFonts w:hint="eastAsia" w:hAnsi="宋体" w:eastAsia="宋体" w:cs="宋体"/>
          <w:szCs w:val="21"/>
        </w:rPr>
        <w:t>投标活动，代表投标人签署上述项目的投标文件，并进行合同谈判、签署合同和处理与之有关的一切事务。</w:t>
      </w:r>
    </w:p>
    <w:p>
      <w:pPr>
        <w:spacing w:before="120" w:line="300" w:lineRule="auto"/>
        <w:ind w:firstLine="420"/>
        <w:rPr>
          <w:rFonts w:hAnsi="宋体" w:eastAsia="宋体" w:cs="宋体"/>
          <w:szCs w:val="21"/>
        </w:rPr>
      </w:pPr>
      <w:r>
        <w:rPr>
          <w:rFonts w:hint="eastAsia" w:hAnsi="宋体" w:eastAsia="宋体" w:cs="宋体"/>
          <w:szCs w:val="21"/>
        </w:rPr>
        <w:t>特此证明。</w:t>
      </w:r>
    </w:p>
    <w:p>
      <w:pPr>
        <w:spacing w:before="120" w:line="300" w:lineRule="auto"/>
        <w:ind w:firstLine="420"/>
        <w:rPr>
          <w:rFonts w:hAnsi="宋体" w:eastAsia="宋体" w:cs="宋体"/>
          <w:szCs w:val="21"/>
        </w:rPr>
      </w:pPr>
      <w:r>
        <w:rPr>
          <w:rFonts w:hint="eastAsia" w:hAnsi="宋体" w:eastAsia="宋体" w:cs="宋体"/>
          <w:szCs w:val="21"/>
        </w:rPr>
        <w:t>附：</w:t>
      </w:r>
      <w:r>
        <w:rPr>
          <w:rFonts w:hint="eastAsia" w:hAnsi="宋体" w:eastAsia="宋体" w:cs="宋体"/>
          <w:szCs w:val="21"/>
          <w:lang w:val="zh-CN"/>
        </w:rPr>
        <w:t>法定代表人（负责人）</w:t>
      </w:r>
      <w:r>
        <w:rPr>
          <w:rFonts w:hint="eastAsia" w:hAnsi="宋体" w:eastAsia="宋体" w:cs="宋体"/>
          <w:szCs w:val="21"/>
        </w:rPr>
        <w:t>本人身份证复印件或扫描件</w:t>
      </w:r>
    </w:p>
    <w:p>
      <w:pPr>
        <w:spacing w:before="120" w:line="300" w:lineRule="auto"/>
        <w:ind w:firstLine="420"/>
        <w:rPr>
          <w:rFonts w:hAnsi="宋体" w:eastAsia="宋体" w:cs="宋体"/>
          <w:szCs w:val="21"/>
        </w:rPr>
      </w:pPr>
      <w:r>
        <w:rPr>
          <w:rFonts w:hint="eastAsia" w:hAnsi="宋体" w:eastAsia="宋体" w:cs="宋体"/>
          <w:szCs w:val="21"/>
        </w:rPr>
        <w:t>投标人：（公章）</w:t>
      </w:r>
    </w:p>
    <w:p>
      <w:pPr>
        <w:spacing w:before="120" w:line="300" w:lineRule="auto"/>
        <w:ind w:firstLine="420"/>
        <w:rPr>
          <w:rFonts w:hAnsi="宋体" w:eastAsia="宋体" w:cs="宋体"/>
          <w:szCs w:val="21"/>
        </w:rPr>
      </w:pPr>
      <w:r>
        <w:rPr>
          <w:rFonts w:hint="eastAsia" w:hAnsi="宋体" w:eastAsia="宋体" w:cs="宋体"/>
          <w:szCs w:val="21"/>
        </w:rPr>
        <w:t>日期：</w:t>
      </w:r>
    </w:p>
    <w:p>
      <w:pPr>
        <w:spacing w:before="120" w:line="300" w:lineRule="auto"/>
        <w:ind w:firstLine="420"/>
        <w:rPr>
          <w:rFonts w:hAnsi="宋体" w:eastAsia="宋体" w:cs="宋体"/>
          <w:szCs w:val="21"/>
        </w:rPr>
      </w:pPr>
    </w:p>
    <w:p>
      <w:pPr>
        <w:ind w:firstLine="420"/>
        <w:rPr>
          <w:rFonts w:hAnsi="宋体" w:eastAsia="宋体" w:cs="宋体"/>
          <w:szCs w:val="21"/>
        </w:rPr>
      </w:pPr>
    </w:p>
    <w:p>
      <w:pPr>
        <w:outlineLvl w:val="1"/>
        <w:rPr>
          <w:rFonts w:hAnsi="宋体" w:eastAsia="宋体" w:cs="宋体"/>
          <w:szCs w:val="21"/>
        </w:rPr>
      </w:pPr>
      <w:bookmarkStart w:id="1022" w:name="_Toc5884"/>
      <w:r>
        <w:rPr>
          <w:rFonts w:hAnsi="宋体" w:eastAsia="宋体" w:cs="宋体"/>
          <w:szCs w:val="21"/>
        </w:rPr>
        <mc:AlternateContent>
          <mc:Choice Requires="wps">
            <w:drawing>
              <wp:anchor distT="0" distB="0" distL="114300" distR="114300" simplePos="0" relativeHeight="251671552" behindDoc="0" locked="0" layoutInCell="1" allowOverlap="1">
                <wp:simplePos x="0" y="0"/>
                <wp:positionH relativeFrom="column">
                  <wp:posOffset>266700</wp:posOffset>
                </wp:positionH>
                <wp:positionV relativeFrom="paragraph">
                  <wp:posOffset>198120</wp:posOffset>
                </wp:positionV>
                <wp:extent cx="5258435" cy="2586990"/>
                <wp:effectExtent l="0" t="0" r="18415" b="22860"/>
                <wp:wrapSquare wrapText="bothSides"/>
                <wp:docPr id="8" name="Text Box 2"/>
                <wp:cNvGraphicFramePr/>
                <a:graphic xmlns:a="http://schemas.openxmlformats.org/drawingml/2006/main">
                  <a:graphicData uri="http://schemas.microsoft.com/office/word/2010/wordprocessingShape">
                    <wps:wsp>
                      <wps:cNvSpPr txBox="1"/>
                      <wps:spPr>
                        <a:xfrm>
                          <a:off x="0" y="0"/>
                          <a:ext cx="5258435" cy="258699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30"/>
                                <w:szCs w:val="30"/>
                              </w:rPr>
                            </w:pPr>
                          </w:p>
                          <w:p>
                            <w:pPr>
                              <w:jc w:val="center"/>
                              <w:rPr>
                                <w:sz w:val="30"/>
                                <w:szCs w:val="30"/>
                              </w:rPr>
                            </w:pPr>
                          </w:p>
                          <w:p>
                            <w:pPr>
                              <w:jc w:val="center"/>
                              <w:rPr>
                                <w:rFonts w:ascii="仿宋_GB2312" w:eastAsia="仿宋_GB2312"/>
                                <w:sz w:val="28"/>
                                <w:szCs w:val="28"/>
                              </w:rPr>
                            </w:pPr>
                            <w:r>
                              <w:rPr>
                                <w:rFonts w:hint="eastAsia" w:ascii="仿宋_GB2312" w:eastAsia="仿宋_GB2312"/>
                                <w:sz w:val="28"/>
                                <w:szCs w:val="28"/>
                              </w:rPr>
                              <w:t>身份证复印件或扫描件（正、反面）</w:t>
                            </w:r>
                          </w:p>
                          <w:p>
                            <w:pPr>
                              <w:jc w:val="center"/>
                              <w:rPr>
                                <w:rFonts w:ascii="仿宋_GB2312" w:eastAsia="仿宋_GB2312"/>
                                <w:sz w:val="28"/>
                                <w:szCs w:val="28"/>
                              </w:rPr>
                            </w:pPr>
                            <w:r>
                              <w:rPr>
                                <w:rFonts w:hint="eastAsia" w:ascii="宋体" w:hAnsi="宋体"/>
                                <w:szCs w:val="21"/>
                              </w:rPr>
                              <w:t>（本处应为直接打印的证件复印件或扫描件，不允许另行粘贴）</w:t>
                            </w:r>
                          </w:p>
                        </w:txbxContent>
                      </wps:txbx>
                      <wps:bodyPr wrap="square" upright="1"/>
                    </wps:wsp>
                  </a:graphicData>
                </a:graphic>
              </wp:anchor>
            </w:drawing>
          </mc:Choice>
          <mc:Fallback>
            <w:pict>
              <v:shape id="Text Box 2" o:spid="_x0000_s1026" o:spt="202" type="#_x0000_t202" style="position:absolute;left:0pt;margin-left:21pt;margin-top:15.6pt;height:203.7pt;width:414.05pt;mso-wrap-distance-bottom:0pt;mso-wrap-distance-left:9pt;mso-wrap-distance-right:9pt;mso-wrap-distance-top:0pt;z-index:251671552;mso-width-relative:page;mso-height-relative:page;" fillcolor="#FFFFFF" filled="t" stroked="t" coordsize="21600,21600" o:gfxdata="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ZceYW2AAAAAkBAAAPAAAAAAAAAAEAIAAA&#10;ACIAAABkcnMvZG93bnJldi54bWxQSwECFAAUAAAACACHTuJAx0HczAwCAABSBAAADgAAAAAAAAAB&#10;ACAAAAAnAQAAZHJzL2Uyb0RvYy54bWxQSwUGAAAAAAYABgBZAQAApQUAAAAA&#10;">
                <v:fill on="t" focussize="0,0"/>
                <v:stroke color="#000000" joinstyle="miter"/>
                <v:imagedata o:title=""/>
                <o:lock v:ext="edit" aspectratio="f"/>
                <v:textbox>
                  <w:txbxContent>
                    <w:p>
                      <w:pPr>
                        <w:jc w:val="center"/>
                        <w:rPr>
                          <w:sz w:val="30"/>
                          <w:szCs w:val="30"/>
                        </w:rPr>
                      </w:pPr>
                    </w:p>
                    <w:p>
                      <w:pPr>
                        <w:jc w:val="center"/>
                        <w:rPr>
                          <w:sz w:val="30"/>
                          <w:szCs w:val="30"/>
                        </w:rPr>
                      </w:pPr>
                    </w:p>
                    <w:p>
                      <w:pPr>
                        <w:jc w:val="center"/>
                        <w:rPr>
                          <w:rFonts w:ascii="仿宋_GB2312" w:eastAsia="仿宋_GB2312"/>
                          <w:sz w:val="28"/>
                          <w:szCs w:val="28"/>
                        </w:rPr>
                      </w:pPr>
                      <w:r>
                        <w:rPr>
                          <w:rFonts w:hint="eastAsia" w:ascii="仿宋_GB2312" w:eastAsia="仿宋_GB2312"/>
                          <w:sz w:val="28"/>
                          <w:szCs w:val="28"/>
                        </w:rPr>
                        <w:t>身份证复印件或扫描件（正、反面）</w:t>
                      </w:r>
                    </w:p>
                    <w:p>
                      <w:pPr>
                        <w:jc w:val="center"/>
                        <w:rPr>
                          <w:rFonts w:ascii="仿宋_GB2312" w:eastAsia="仿宋_GB2312"/>
                          <w:sz w:val="28"/>
                          <w:szCs w:val="28"/>
                        </w:rPr>
                      </w:pPr>
                      <w:r>
                        <w:rPr>
                          <w:rFonts w:hint="eastAsia" w:ascii="宋体" w:hAnsi="宋体"/>
                          <w:szCs w:val="21"/>
                        </w:rPr>
                        <w:t>（本处应为直接打印的证件复印件或扫描件，不允许另行粘贴）</w:t>
                      </w:r>
                    </w:p>
                  </w:txbxContent>
                </v:textbox>
                <w10:wrap type="square"/>
              </v:shape>
            </w:pict>
          </mc:Fallback>
        </mc:AlternateContent>
      </w:r>
      <w:r>
        <w:rPr>
          <w:rFonts w:hint="eastAsia" w:hAnsi="宋体" w:eastAsia="宋体" w:cs="宋体"/>
          <w:szCs w:val="21"/>
        </w:rPr>
        <w:br w:type="page"/>
      </w:r>
      <w:bookmarkStart w:id="1023" w:name="_Toc32153"/>
      <w:bookmarkStart w:id="1024" w:name="_Toc30909"/>
      <w:bookmarkStart w:id="1025" w:name="_Toc18026"/>
      <w:r>
        <w:rPr>
          <w:rFonts w:hint="eastAsia" w:hAnsi="宋体" w:eastAsia="宋体" w:cs="宋体"/>
          <w:szCs w:val="21"/>
        </w:rPr>
        <w:t>A2、法定代表人（负责人）授权委托书</w:t>
      </w:r>
      <w:bookmarkEnd w:id="1022"/>
      <w:bookmarkEnd w:id="1023"/>
      <w:bookmarkEnd w:id="1024"/>
      <w:bookmarkEnd w:id="1025"/>
    </w:p>
    <w:p>
      <w:pPr>
        <w:pStyle w:val="55"/>
        <w:rPr>
          <w:rFonts w:ascii="宋体" w:hAnsi="宋体" w:eastAsia="宋体"/>
          <w:sz w:val="21"/>
          <w:szCs w:val="21"/>
        </w:rPr>
      </w:pPr>
    </w:p>
    <w:p>
      <w:pPr>
        <w:pStyle w:val="55"/>
        <w:rPr>
          <w:rFonts w:ascii="宋体" w:hAnsi="宋体" w:eastAsia="宋体"/>
          <w:b/>
          <w:bCs/>
        </w:rPr>
      </w:pPr>
      <w:r>
        <w:rPr>
          <w:rFonts w:hint="eastAsia" w:ascii="宋体" w:hAnsi="宋体" w:eastAsia="宋体"/>
          <w:b/>
          <w:bCs/>
        </w:rPr>
        <w:t>法定代表人（负责人）授权委托书</w:t>
      </w:r>
    </w:p>
    <w:p>
      <w:pPr>
        <w:ind w:firstLine="420"/>
        <w:rPr>
          <w:rFonts w:hAnsi="宋体" w:eastAsia="宋体" w:cs="宋体"/>
          <w:szCs w:val="21"/>
        </w:rPr>
      </w:pPr>
    </w:p>
    <w:p>
      <w:pPr>
        <w:spacing w:before="120"/>
        <w:ind w:firstLine="420"/>
        <w:rPr>
          <w:rFonts w:hAnsi="宋体" w:eastAsia="宋体" w:cs="宋体"/>
          <w:szCs w:val="21"/>
        </w:rPr>
      </w:pPr>
    </w:p>
    <w:p>
      <w:pPr>
        <w:spacing w:before="120"/>
        <w:ind w:firstLine="420"/>
        <w:rPr>
          <w:rFonts w:ascii="宋体" w:hAnsi="宋体" w:eastAsia="宋体" w:cs="宋体"/>
          <w:szCs w:val="21"/>
        </w:rPr>
      </w:pPr>
      <w:r>
        <w:rPr>
          <w:rFonts w:hint="eastAsia" w:ascii="宋体" w:hAnsi="宋体" w:eastAsia="宋体" w:cs="宋体"/>
          <w:szCs w:val="21"/>
        </w:rPr>
        <w:t>本授权书声明：公司的法定代表人（负责人）</w:t>
      </w:r>
      <w:r>
        <w:rPr>
          <w:rFonts w:hint="eastAsia" w:ascii="宋体" w:hAnsi="宋体" w:eastAsia="宋体" w:cs="宋体"/>
          <w:szCs w:val="21"/>
          <w:u w:val="single"/>
        </w:rPr>
        <w:t xml:space="preserve">（姓名）  </w:t>
      </w:r>
      <w:r>
        <w:rPr>
          <w:rFonts w:hint="eastAsia" w:ascii="宋体" w:hAnsi="宋体" w:eastAsia="宋体" w:cs="宋体"/>
          <w:szCs w:val="21"/>
        </w:rPr>
        <w:t>授权</w:t>
      </w:r>
      <w:r>
        <w:rPr>
          <w:rFonts w:hint="eastAsia" w:ascii="宋体" w:hAnsi="宋体" w:eastAsia="宋体" w:cs="宋体"/>
          <w:szCs w:val="21"/>
          <w:u w:val="single"/>
        </w:rPr>
        <w:t xml:space="preserve">（授权代理人的姓名）  </w:t>
      </w:r>
      <w:r>
        <w:rPr>
          <w:rFonts w:hint="eastAsia" w:ascii="宋体" w:hAnsi="宋体" w:eastAsia="宋体" w:cs="宋体"/>
          <w:szCs w:val="21"/>
        </w:rPr>
        <w:t>为本公司的合法代理人，就</w:t>
      </w:r>
      <w:r>
        <w:rPr>
          <w:rFonts w:hint="eastAsia" w:eastAsia="宋体"/>
          <w:szCs w:val="21"/>
        </w:rPr>
        <w:t>南宁轨道交通集团</w:t>
      </w:r>
      <w:r>
        <w:rPr>
          <w:rFonts w:eastAsia="宋体"/>
          <w:szCs w:val="21"/>
        </w:rPr>
        <w:t>2022-2024</w:t>
      </w:r>
      <w:r>
        <w:rPr>
          <w:rFonts w:hint="eastAsia" w:eastAsia="宋体"/>
          <w:szCs w:val="21"/>
        </w:rPr>
        <w:t>年度安全生产责任保险项目</w:t>
      </w:r>
      <w:r>
        <w:rPr>
          <w:rFonts w:hint="eastAsia" w:ascii="宋体" w:hAnsi="宋体" w:eastAsia="宋体" w:cs="宋体"/>
          <w:szCs w:val="21"/>
        </w:rPr>
        <w:t>的投标及保险协议的签署和执行，以本公司名义处理一切与之有关的各项事务（包括法律事务）。</w:t>
      </w:r>
    </w:p>
    <w:p>
      <w:pPr>
        <w:spacing w:before="120"/>
        <w:ind w:firstLine="420"/>
        <w:rPr>
          <w:rFonts w:ascii="宋体" w:hAnsi="宋体" w:eastAsia="宋体" w:cs="宋体"/>
          <w:szCs w:val="21"/>
        </w:rPr>
      </w:pPr>
      <w:r>
        <w:rPr>
          <w:rFonts w:hint="eastAsia" w:ascii="宋体" w:hAnsi="宋体" w:eastAsia="宋体" w:cs="宋体"/>
          <w:szCs w:val="21"/>
        </w:rPr>
        <w:t>附：授权代理人身份证复印件</w:t>
      </w:r>
    </w:p>
    <w:p>
      <w:pPr>
        <w:spacing w:before="120"/>
        <w:ind w:firstLine="420"/>
        <w:rPr>
          <w:rFonts w:ascii="宋体" w:hAnsi="宋体" w:eastAsia="宋体" w:cs="宋体"/>
          <w:szCs w:val="21"/>
        </w:rPr>
      </w:pPr>
      <w:r>
        <w:rPr>
          <w:rFonts w:hint="eastAsia" w:ascii="宋体" w:hAnsi="宋体" w:eastAsia="宋体" w:cs="宋体"/>
          <w:bCs/>
          <w:szCs w:val="21"/>
        </w:rPr>
        <w:t>本授权书不得转授权。</w:t>
      </w:r>
    </w:p>
    <w:p>
      <w:pPr>
        <w:spacing w:before="120"/>
        <w:ind w:firstLine="420"/>
        <w:rPr>
          <w:rFonts w:ascii="宋体" w:hAnsi="宋体" w:eastAsia="宋体" w:cs="宋体"/>
          <w:bCs/>
          <w:szCs w:val="21"/>
        </w:rPr>
      </w:pPr>
      <w:r>
        <w:rPr>
          <w:rFonts w:hint="eastAsia" w:ascii="宋体" w:hAnsi="宋体" w:eastAsia="宋体" w:cs="宋体"/>
          <w:bCs/>
          <w:szCs w:val="21"/>
        </w:rPr>
        <w:t>如投标文件由授权代理人签字的，投标文件必须附此授权委托书。</w:t>
      </w:r>
    </w:p>
    <w:p>
      <w:pPr>
        <w:spacing w:before="120"/>
        <w:ind w:firstLine="420"/>
        <w:rPr>
          <w:rFonts w:ascii="宋体" w:hAnsi="宋体" w:eastAsia="宋体" w:cs="宋体"/>
          <w:szCs w:val="21"/>
        </w:rPr>
      </w:pPr>
      <w:r>
        <w:rPr>
          <w:rFonts w:hint="eastAsia" w:ascii="宋体" w:hAnsi="宋体" w:eastAsia="宋体" w:cs="宋体"/>
          <w:szCs w:val="21"/>
        </w:rPr>
        <w:t>投标人：（公章）</w:t>
      </w:r>
    </w:p>
    <w:p>
      <w:pPr>
        <w:spacing w:before="120"/>
        <w:ind w:firstLine="420"/>
        <w:rPr>
          <w:rFonts w:ascii="宋体" w:hAnsi="宋体" w:eastAsia="宋体" w:cs="宋体"/>
          <w:szCs w:val="21"/>
        </w:rPr>
      </w:pPr>
    </w:p>
    <w:p>
      <w:pPr>
        <w:spacing w:before="120"/>
        <w:ind w:firstLine="420"/>
        <w:rPr>
          <w:rFonts w:ascii="宋体" w:hAnsi="宋体" w:eastAsia="宋体" w:cs="宋体"/>
          <w:szCs w:val="21"/>
        </w:rPr>
      </w:pPr>
      <w:r>
        <w:rPr>
          <w:rFonts w:hint="eastAsia" w:ascii="宋体" w:hAnsi="宋体" w:eastAsia="宋体" w:cs="宋体"/>
          <w:szCs w:val="21"/>
        </w:rPr>
        <w:t>法定代表人（负责人）签字或盖章：</w:t>
      </w:r>
    </w:p>
    <w:p>
      <w:pPr>
        <w:spacing w:before="120"/>
        <w:ind w:firstLine="420"/>
        <w:rPr>
          <w:rFonts w:ascii="宋体" w:hAnsi="宋体" w:eastAsia="宋体" w:cs="宋体"/>
          <w:szCs w:val="21"/>
        </w:rPr>
      </w:pPr>
    </w:p>
    <w:p>
      <w:pPr>
        <w:spacing w:before="120"/>
        <w:ind w:firstLine="420"/>
        <w:rPr>
          <w:rFonts w:ascii="宋体" w:hAnsi="宋体" w:eastAsia="宋体" w:cs="宋体"/>
          <w:szCs w:val="21"/>
        </w:rPr>
      </w:pPr>
      <w:r>
        <w:rPr>
          <w:rFonts w:hint="eastAsia" w:ascii="宋体" w:hAnsi="宋体" w:eastAsia="宋体" w:cs="宋体"/>
          <w:szCs w:val="21"/>
        </w:rPr>
        <w:t>授权代理人签字：</w:t>
      </w:r>
    </w:p>
    <w:p>
      <w:pPr>
        <w:spacing w:before="120"/>
        <w:ind w:firstLine="420"/>
        <w:rPr>
          <w:rFonts w:ascii="宋体" w:hAnsi="宋体" w:eastAsia="宋体" w:cs="宋体"/>
          <w:szCs w:val="21"/>
        </w:rPr>
      </w:pPr>
    </w:p>
    <w:p>
      <w:pPr>
        <w:spacing w:before="120"/>
        <w:ind w:firstLine="420"/>
        <w:rPr>
          <w:rFonts w:ascii="宋体" w:hAnsi="宋体" w:eastAsia="宋体" w:cs="宋体"/>
          <w:szCs w:val="21"/>
        </w:rPr>
      </w:pPr>
      <w:r>
        <w:rPr>
          <w:rFonts w:hint="eastAsia" w:ascii="宋体" w:hAnsi="宋体" w:eastAsia="宋体" w:cs="宋体"/>
          <w:szCs w:val="21"/>
        </w:rPr>
        <w:t>日  期：</w:t>
      </w:r>
    </w:p>
    <w:p>
      <w:pPr>
        <w:spacing w:before="120"/>
        <w:rPr>
          <w:rFonts w:ascii="宋体" w:hAnsi="宋体" w:eastAsia="宋体" w:cs="宋体"/>
          <w:szCs w:val="21"/>
        </w:rPr>
      </w:pPr>
      <w:r>
        <w:rPr>
          <w:rFonts w:ascii="宋体" w:hAnsi="宋体" w:eastAsia="宋体" w:cs="宋体"/>
          <w:szCs w:val="21"/>
        </w:rPr>
        <mc:AlternateContent>
          <mc:Choice Requires="wps">
            <w:drawing>
              <wp:anchor distT="0" distB="0" distL="114300" distR="114300" simplePos="0" relativeHeight="251670528" behindDoc="0" locked="0" layoutInCell="1" allowOverlap="1">
                <wp:simplePos x="0" y="0"/>
                <wp:positionH relativeFrom="column">
                  <wp:posOffset>266700</wp:posOffset>
                </wp:positionH>
                <wp:positionV relativeFrom="paragraph">
                  <wp:posOffset>205740</wp:posOffset>
                </wp:positionV>
                <wp:extent cx="5125720" cy="2021205"/>
                <wp:effectExtent l="0" t="0" r="17780" b="17145"/>
                <wp:wrapSquare wrapText="bothSides"/>
                <wp:docPr id="7" name="Text Box 3"/>
                <wp:cNvGraphicFramePr/>
                <a:graphic xmlns:a="http://schemas.openxmlformats.org/drawingml/2006/main">
                  <a:graphicData uri="http://schemas.microsoft.com/office/word/2010/wordprocessingShape">
                    <wps:wsp>
                      <wps:cNvSpPr txBox="1"/>
                      <wps:spPr>
                        <a:xfrm>
                          <a:off x="0" y="0"/>
                          <a:ext cx="5125720" cy="202120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30"/>
                                <w:szCs w:val="30"/>
                              </w:rPr>
                            </w:pPr>
                          </w:p>
                          <w:p>
                            <w:pPr>
                              <w:jc w:val="center"/>
                              <w:rPr>
                                <w:rFonts w:ascii="仿宋_GB2312" w:eastAsia="仿宋_GB2312"/>
                                <w:sz w:val="28"/>
                                <w:szCs w:val="28"/>
                              </w:rPr>
                            </w:pPr>
                            <w:r>
                              <w:rPr>
                                <w:rFonts w:hint="eastAsia" w:ascii="仿宋_GB2312" w:eastAsia="仿宋_GB2312"/>
                                <w:sz w:val="28"/>
                                <w:szCs w:val="28"/>
                              </w:rPr>
                              <w:t>身份证复印件或扫描件（正、反面）</w:t>
                            </w:r>
                          </w:p>
                          <w:p>
                            <w:pPr>
                              <w:jc w:val="center"/>
                              <w:rPr>
                                <w:rFonts w:ascii="仿宋_GB2312" w:eastAsia="仿宋_GB2312"/>
                                <w:sz w:val="28"/>
                                <w:szCs w:val="28"/>
                              </w:rPr>
                            </w:pPr>
                            <w:r>
                              <w:rPr>
                                <w:rFonts w:hint="eastAsia" w:ascii="宋体" w:hAnsi="宋体"/>
                                <w:szCs w:val="21"/>
                              </w:rPr>
                              <w:t>（本处应为直接打印的证件复印件或扫描件，不允许另行粘贴）</w:t>
                            </w:r>
                          </w:p>
                        </w:txbxContent>
                      </wps:txbx>
                      <wps:bodyPr wrap="square" upright="1"/>
                    </wps:wsp>
                  </a:graphicData>
                </a:graphic>
              </wp:anchor>
            </w:drawing>
          </mc:Choice>
          <mc:Fallback>
            <w:pict>
              <v:shape id="Text Box 3" o:spid="_x0000_s1026" o:spt="202" type="#_x0000_t202" style="position:absolute;left:0pt;margin-left:21pt;margin-top:16.2pt;height:159.15pt;width:403.6pt;mso-wrap-distance-bottom:0pt;mso-wrap-distance-left:9pt;mso-wrap-distance-right:9pt;mso-wrap-distance-top:0pt;z-index:251670528;mso-width-relative:page;mso-height-relative:page;" fillcolor="#FFFFFF" filled="t" stroked="t" coordsize="21600,21600" o:gfxdata="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rXLW92QAAAAkBAAAPAAAAAAAAAAEAIAAA&#10;ACIAAABkcnMvZG93bnJldi54bWxQSwECFAAUAAAACACHTuJAKj5jFQsCAABSBAAADgAAAAAAAAAB&#10;ACAAAAAoAQAAZHJzL2Uyb0RvYy54bWxQSwUGAAAAAAYABgBZAQAApQUAAAAA&#10;">
                <v:fill on="t" focussize="0,0"/>
                <v:stroke color="#000000" joinstyle="miter"/>
                <v:imagedata o:title=""/>
                <o:lock v:ext="edit" aspectratio="f"/>
                <v:textbox>
                  <w:txbxContent>
                    <w:p>
                      <w:pPr>
                        <w:jc w:val="center"/>
                        <w:rPr>
                          <w:sz w:val="30"/>
                          <w:szCs w:val="30"/>
                        </w:rPr>
                      </w:pPr>
                    </w:p>
                    <w:p>
                      <w:pPr>
                        <w:jc w:val="center"/>
                        <w:rPr>
                          <w:rFonts w:ascii="仿宋_GB2312" w:eastAsia="仿宋_GB2312"/>
                          <w:sz w:val="28"/>
                          <w:szCs w:val="28"/>
                        </w:rPr>
                      </w:pPr>
                      <w:r>
                        <w:rPr>
                          <w:rFonts w:hint="eastAsia" w:ascii="仿宋_GB2312" w:eastAsia="仿宋_GB2312"/>
                          <w:sz w:val="28"/>
                          <w:szCs w:val="28"/>
                        </w:rPr>
                        <w:t>身份证复印件或扫描件（正、反面）</w:t>
                      </w:r>
                    </w:p>
                    <w:p>
                      <w:pPr>
                        <w:jc w:val="center"/>
                        <w:rPr>
                          <w:rFonts w:ascii="仿宋_GB2312" w:eastAsia="仿宋_GB2312"/>
                          <w:sz w:val="28"/>
                          <w:szCs w:val="28"/>
                        </w:rPr>
                      </w:pPr>
                      <w:r>
                        <w:rPr>
                          <w:rFonts w:hint="eastAsia" w:ascii="宋体" w:hAnsi="宋体"/>
                          <w:szCs w:val="21"/>
                        </w:rPr>
                        <w:t>（本处应为直接打印的证件复印件或扫描件，不允许另行粘贴）</w:t>
                      </w:r>
                    </w:p>
                  </w:txbxContent>
                </v:textbox>
                <w10:wrap type="square"/>
              </v:shape>
            </w:pict>
          </mc:Fallback>
        </mc:AlternateContent>
      </w:r>
    </w:p>
    <w:p>
      <w:pPr>
        <w:spacing w:before="120"/>
        <w:ind w:firstLine="420"/>
        <w:rPr>
          <w:rFonts w:ascii="宋体" w:hAnsi="宋体" w:eastAsia="宋体" w:cs="宋体"/>
          <w:szCs w:val="21"/>
        </w:rPr>
      </w:pPr>
    </w:p>
    <w:p>
      <w:pPr>
        <w:spacing w:before="120"/>
        <w:ind w:firstLine="420"/>
        <w:rPr>
          <w:rFonts w:ascii="宋体" w:hAnsi="宋体" w:eastAsia="宋体" w:cs="宋体"/>
          <w:szCs w:val="21"/>
        </w:rPr>
      </w:pPr>
    </w:p>
    <w:p>
      <w:pPr>
        <w:spacing w:before="120"/>
        <w:ind w:firstLine="420"/>
        <w:rPr>
          <w:rFonts w:ascii="宋体" w:hAnsi="宋体" w:eastAsia="宋体" w:cs="宋体"/>
          <w:szCs w:val="21"/>
        </w:rPr>
      </w:pPr>
    </w:p>
    <w:p>
      <w:pPr>
        <w:spacing w:before="120"/>
        <w:ind w:firstLine="420"/>
        <w:rPr>
          <w:rFonts w:ascii="宋体" w:hAnsi="宋体" w:eastAsia="宋体" w:cs="宋体"/>
          <w:szCs w:val="21"/>
        </w:rPr>
      </w:pPr>
    </w:p>
    <w:p>
      <w:pPr>
        <w:spacing w:before="120"/>
        <w:ind w:left="630" w:hanging="630" w:hangingChars="300"/>
      </w:pPr>
      <w:r>
        <w:rPr>
          <w:rFonts w:hint="eastAsia" w:ascii="宋体" w:hAnsi="宋体" w:eastAsia="宋体" w:cs="宋体"/>
          <w:szCs w:val="21"/>
        </w:rPr>
        <w:t>注：1.</w:t>
      </w:r>
      <w:r>
        <w:rPr>
          <w:rFonts w:hint="eastAsia" w:ascii="宋体" w:hAnsi="宋体" w:eastAsia="宋体" w:cs="宋体"/>
          <w:b/>
          <w:bCs/>
          <w:szCs w:val="21"/>
        </w:rPr>
        <w:t>法定代表人（负责人）和授权代理人必须在授权书上亲笔签名或使用印章、签名章；</w:t>
      </w:r>
    </w:p>
    <w:p>
      <w:pPr>
        <w:spacing w:before="120"/>
        <w:ind w:left="630" w:leftChars="200" w:hanging="210" w:hangingChars="100"/>
        <w:rPr>
          <w:rFonts w:ascii="宋体" w:hAnsi="宋体" w:eastAsia="宋体" w:cs="宋体"/>
          <w:szCs w:val="21"/>
        </w:rPr>
      </w:pPr>
      <w:r>
        <w:rPr>
          <w:rFonts w:hint="eastAsia" w:ascii="宋体" w:hAnsi="宋体" w:eastAsia="宋体" w:cs="宋体"/>
          <w:szCs w:val="21"/>
        </w:rPr>
        <w:t>2.法定代表人（负责人）资格证明书或授权委托书除须装订在投标文件中外，投标人法定代表人（负责人）或授权委托人还应携带一份至开标现场备查。</w:t>
      </w:r>
    </w:p>
    <w:p>
      <w:pPr>
        <w:spacing w:before="120"/>
        <w:ind w:hanging="10"/>
        <w:jc w:val="left"/>
        <w:rPr>
          <w:rFonts w:ascii="宋体" w:hAnsi="宋体" w:eastAsia="宋体" w:cs="宋体"/>
          <w:szCs w:val="21"/>
        </w:rPr>
      </w:pPr>
    </w:p>
    <w:p>
      <w:pPr>
        <w:spacing w:before="120"/>
        <w:ind w:hanging="10"/>
        <w:jc w:val="left"/>
        <w:rPr>
          <w:rFonts w:ascii="宋体" w:hAnsi="宋体" w:eastAsia="宋体" w:cs="宋体"/>
          <w:szCs w:val="21"/>
        </w:rPr>
      </w:pPr>
    </w:p>
    <w:p>
      <w:pPr>
        <w:ind w:left="630" w:hanging="630" w:hangingChars="300"/>
        <w:jc w:val="left"/>
        <w:outlineLvl w:val="1"/>
        <w:rPr>
          <w:rFonts w:hAnsi="宋体" w:eastAsia="宋体" w:cs="宋体"/>
          <w:szCs w:val="21"/>
        </w:rPr>
      </w:pPr>
      <w:bookmarkStart w:id="1026" w:name="_Toc31954"/>
      <w:bookmarkStart w:id="1027" w:name="_Toc26310"/>
      <w:bookmarkStart w:id="1028" w:name="_Toc15425"/>
      <w:r>
        <w:rPr>
          <w:rFonts w:hint="eastAsia" w:hAnsi="宋体" w:eastAsia="宋体" w:cs="宋体"/>
          <w:szCs w:val="21"/>
        </w:rPr>
        <w:br w:type="page"/>
      </w:r>
    </w:p>
    <w:p>
      <w:pPr>
        <w:ind w:left="630" w:hanging="630" w:hangingChars="300"/>
        <w:jc w:val="left"/>
        <w:outlineLvl w:val="1"/>
        <w:rPr>
          <w:rFonts w:hAnsi="宋体" w:eastAsia="宋体" w:cs="宋体"/>
          <w:szCs w:val="21"/>
        </w:rPr>
      </w:pPr>
      <w:bookmarkStart w:id="1029" w:name="_Toc8450"/>
      <w:r>
        <w:rPr>
          <w:rFonts w:hint="eastAsia" w:hAnsi="宋体" w:eastAsia="宋体" w:cs="宋体"/>
          <w:szCs w:val="21"/>
        </w:rPr>
        <w:t>A3、企业经营状况及履约情况承诺书</w:t>
      </w:r>
      <w:bookmarkEnd w:id="1026"/>
      <w:bookmarkEnd w:id="1027"/>
      <w:bookmarkEnd w:id="1028"/>
      <w:bookmarkEnd w:id="1029"/>
    </w:p>
    <w:p>
      <w:pPr>
        <w:spacing w:before="120"/>
        <w:ind w:left="-15" w:leftChars="-7"/>
        <w:rPr>
          <w:rFonts w:hAnsi="宋体" w:eastAsia="宋体" w:cs="宋体"/>
          <w:bCs/>
          <w:szCs w:val="21"/>
        </w:rPr>
      </w:pPr>
    </w:p>
    <w:p>
      <w:pPr>
        <w:spacing w:before="240" w:after="240"/>
        <w:ind w:left="90" w:leftChars="43"/>
        <w:jc w:val="center"/>
        <w:rPr>
          <w:rFonts w:hAnsi="宋体" w:eastAsia="宋体" w:cs="宋体"/>
          <w:b/>
          <w:sz w:val="30"/>
          <w:szCs w:val="30"/>
        </w:rPr>
      </w:pPr>
      <w:r>
        <w:rPr>
          <w:rFonts w:hint="eastAsia" w:hAnsi="宋体" w:eastAsia="宋体" w:cs="宋体"/>
          <w:b/>
          <w:sz w:val="30"/>
          <w:szCs w:val="30"/>
        </w:rPr>
        <w:t>企业经营状况及履约情况承诺书</w:t>
      </w:r>
    </w:p>
    <w:p>
      <w:pPr>
        <w:spacing w:line="360" w:lineRule="auto"/>
        <w:ind w:firstLine="420"/>
        <w:rPr>
          <w:rFonts w:hAnsi="宋体" w:eastAsia="宋体" w:cs="宋体"/>
          <w:szCs w:val="21"/>
        </w:rPr>
      </w:pPr>
    </w:p>
    <w:p>
      <w:pPr>
        <w:spacing w:line="360" w:lineRule="auto"/>
        <w:ind w:leftChars="-10" w:hanging="21" w:hangingChars="10"/>
        <w:rPr>
          <w:rFonts w:ascii="宋体" w:hAnsi="宋体" w:eastAsia="宋体" w:cs="宋体"/>
          <w:szCs w:val="21"/>
        </w:rPr>
      </w:pPr>
      <w:r>
        <w:rPr>
          <w:rFonts w:hint="eastAsia" w:ascii="宋体" w:hAnsi="宋体" w:eastAsia="宋体" w:cs="宋体"/>
          <w:szCs w:val="21"/>
        </w:rPr>
        <w:t>致：南宁轨道交通集团有限责任公司</w:t>
      </w:r>
    </w:p>
    <w:p>
      <w:pPr>
        <w:spacing w:line="360" w:lineRule="auto"/>
        <w:ind w:firstLine="420"/>
        <w:rPr>
          <w:rFonts w:ascii="宋体" w:hAnsi="宋体" w:eastAsia="宋体" w:cs="宋体"/>
          <w:szCs w:val="21"/>
        </w:rPr>
      </w:pPr>
      <w:r>
        <w:rPr>
          <w:rFonts w:hint="eastAsia" w:ascii="宋体" w:hAnsi="宋体" w:eastAsia="宋体" w:cs="宋体"/>
          <w:szCs w:val="21"/>
        </w:rPr>
        <w:t>我司在此郑重承诺：</w:t>
      </w:r>
    </w:p>
    <w:p>
      <w:pPr>
        <w:spacing w:line="360" w:lineRule="auto"/>
        <w:ind w:firstLine="420"/>
        <w:rPr>
          <w:rFonts w:ascii="宋体" w:hAnsi="宋体" w:eastAsia="宋体" w:cs="宋体"/>
          <w:b/>
          <w:spacing w:val="1"/>
          <w:position w:val="-2"/>
          <w:szCs w:val="21"/>
        </w:rPr>
      </w:pPr>
      <w:r>
        <w:rPr>
          <w:rFonts w:hint="eastAsia" w:ascii="宋体" w:hAnsi="宋体" w:eastAsia="宋体" w:cs="宋体"/>
          <w:szCs w:val="21"/>
        </w:rPr>
        <w:t>我司</w:t>
      </w:r>
      <w:r>
        <w:rPr>
          <w:rFonts w:hint="eastAsia" w:ascii="宋体" w:hAnsi="宋体" w:eastAsia="宋体" w:cs="宋体"/>
          <w:b/>
          <w:bCs/>
          <w:szCs w:val="21"/>
        </w:rPr>
        <w:t>没有处于被责令停业，投标资格被取消，财产被接管、冻结，破产状态；没有认定在最近三年内（201</w:t>
      </w:r>
      <w:r>
        <w:rPr>
          <w:rFonts w:ascii="宋体" w:hAnsi="宋体" w:eastAsia="宋体" w:cs="宋体"/>
          <w:b/>
          <w:bCs/>
          <w:szCs w:val="21"/>
        </w:rPr>
        <w:t>9</w:t>
      </w:r>
      <w:r>
        <w:rPr>
          <w:rFonts w:hint="eastAsia" w:ascii="宋体" w:hAnsi="宋体" w:eastAsia="宋体" w:cs="宋体"/>
          <w:b/>
          <w:bCs/>
          <w:szCs w:val="21"/>
        </w:rPr>
        <w:t>年1月1日至今）骗取中标和严重违约及较大责任事故的情况。</w:t>
      </w:r>
    </w:p>
    <w:p>
      <w:pPr>
        <w:spacing w:line="360" w:lineRule="auto"/>
        <w:ind w:firstLine="420"/>
        <w:rPr>
          <w:rFonts w:ascii="宋体" w:hAnsi="宋体" w:eastAsia="宋体" w:cs="宋体"/>
          <w:szCs w:val="21"/>
        </w:rPr>
      </w:pPr>
      <w:r>
        <w:rPr>
          <w:rFonts w:hint="eastAsia" w:ascii="宋体" w:hAnsi="宋体" w:eastAsia="宋体" w:cs="宋体"/>
          <w:b/>
          <w:bCs/>
          <w:szCs w:val="21"/>
        </w:rPr>
        <w:t>我公司与招标人不存在利害关系，与其他投标人之间不存在单位负责人为同一人或者控股、管理关系的情况。</w:t>
      </w:r>
    </w:p>
    <w:p>
      <w:pPr>
        <w:spacing w:line="360" w:lineRule="auto"/>
        <w:ind w:firstLine="420"/>
        <w:rPr>
          <w:rFonts w:ascii="宋体" w:hAnsi="宋体" w:eastAsia="宋体" w:cs="宋体"/>
          <w:szCs w:val="21"/>
        </w:rPr>
      </w:pPr>
      <w:r>
        <w:rPr>
          <w:rFonts w:hint="eastAsia" w:ascii="宋体" w:hAnsi="宋体" w:eastAsia="宋体" w:cs="宋体"/>
          <w:szCs w:val="21"/>
        </w:rPr>
        <w:t>在参与本次招标投标活动中，如果招标人发现我司存在上述任何情况的，我司愿意承担因弄虚作假造成的一切法律后果，包括被取消中标资格以及被没收投标保证金等后果。</w:t>
      </w:r>
    </w:p>
    <w:p>
      <w:pPr>
        <w:spacing w:line="360" w:lineRule="auto"/>
        <w:ind w:firstLine="422"/>
        <w:rPr>
          <w:rFonts w:hAnsi="宋体" w:eastAsia="宋体" w:cs="宋体"/>
          <w:b/>
          <w:szCs w:val="21"/>
        </w:rPr>
      </w:pPr>
    </w:p>
    <w:p>
      <w:pPr>
        <w:spacing w:line="360" w:lineRule="auto"/>
        <w:ind w:firstLine="422"/>
        <w:rPr>
          <w:rFonts w:hAnsi="宋体" w:eastAsia="宋体" w:cs="宋体"/>
          <w:b/>
          <w:szCs w:val="21"/>
        </w:rPr>
      </w:pPr>
    </w:p>
    <w:p>
      <w:pPr>
        <w:tabs>
          <w:tab w:val="left" w:pos="1680"/>
        </w:tabs>
        <w:ind w:left="-2" w:leftChars="-1" w:firstLine="210" w:firstLineChars="100"/>
        <w:rPr>
          <w:rFonts w:hAnsi="宋体" w:eastAsia="宋体" w:cs="宋体"/>
          <w:szCs w:val="21"/>
          <w:u w:val="single"/>
        </w:rPr>
      </w:pPr>
      <w:r>
        <w:rPr>
          <w:rFonts w:hint="eastAsia" w:hAnsi="宋体" w:eastAsia="宋体" w:cs="宋体"/>
          <w:szCs w:val="21"/>
        </w:rPr>
        <w:t>投标人（公章）：</w:t>
      </w:r>
    </w:p>
    <w:p>
      <w:pPr>
        <w:ind w:left="2100" w:firstLine="420"/>
        <w:rPr>
          <w:rFonts w:hAnsi="宋体" w:eastAsia="宋体" w:cs="宋体"/>
          <w:szCs w:val="21"/>
        </w:rPr>
      </w:pPr>
    </w:p>
    <w:p>
      <w:pPr>
        <w:ind w:firstLine="210" w:firstLineChars="100"/>
        <w:rPr>
          <w:rFonts w:hAnsi="宋体" w:eastAsia="宋体" w:cs="宋体"/>
          <w:szCs w:val="21"/>
        </w:rPr>
      </w:pPr>
      <w:r>
        <w:rPr>
          <w:rFonts w:hint="eastAsia" w:hAnsi="宋体" w:eastAsia="宋体" w:cs="宋体"/>
          <w:szCs w:val="21"/>
        </w:rPr>
        <w:t>法定代表人（负责人）或授权代理人（签字或盖章）：</w:t>
      </w:r>
    </w:p>
    <w:p>
      <w:pPr>
        <w:ind w:left="2100" w:firstLine="420"/>
        <w:rPr>
          <w:rFonts w:hAnsi="宋体" w:eastAsia="宋体" w:cs="宋体"/>
          <w:szCs w:val="21"/>
        </w:rPr>
      </w:pPr>
    </w:p>
    <w:p>
      <w:pPr>
        <w:ind w:left="5" w:firstLine="215"/>
        <w:rPr>
          <w:rFonts w:hAnsi="宋体" w:eastAsia="宋体" w:cs="宋体"/>
          <w:szCs w:val="21"/>
        </w:rPr>
      </w:pPr>
      <w:r>
        <w:rPr>
          <w:rFonts w:hint="eastAsia" w:hAnsi="宋体" w:eastAsia="宋体" w:cs="宋体"/>
          <w:szCs w:val="21"/>
        </w:rPr>
        <w:t>日期：</w:t>
      </w:r>
    </w:p>
    <w:p>
      <w:pPr>
        <w:ind w:left="5" w:hanging="5"/>
        <w:rPr>
          <w:rFonts w:hAnsi="宋体" w:eastAsia="宋体" w:cs="宋体"/>
          <w:szCs w:val="21"/>
        </w:rPr>
      </w:pPr>
    </w:p>
    <w:p>
      <w:pPr>
        <w:ind w:left="5" w:hanging="5"/>
        <w:rPr>
          <w:rFonts w:hAnsi="宋体" w:eastAsia="宋体" w:cs="宋体"/>
          <w:szCs w:val="21"/>
        </w:rPr>
      </w:pPr>
    </w:p>
    <w:p>
      <w:pPr>
        <w:ind w:left="5" w:hanging="5"/>
        <w:rPr>
          <w:rFonts w:hAnsi="宋体" w:eastAsia="宋体" w:cs="宋体"/>
          <w:szCs w:val="21"/>
        </w:rPr>
      </w:pPr>
    </w:p>
    <w:p>
      <w:pPr>
        <w:ind w:left="5" w:hanging="5"/>
        <w:rPr>
          <w:rFonts w:hAnsi="宋体" w:eastAsia="宋体" w:cs="宋体"/>
          <w:szCs w:val="21"/>
        </w:rPr>
      </w:pPr>
      <w:r>
        <w:rPr>
          <w:rFonts w:hAnsi="宋体" w:eastAsia="宋体" w:cs="宋体"/>
          <w:szCs w:val="21"/>
        </w:rPr>
        <w:br w:type="page"/>
      </w:r>
    </w:p>
    <w:p>
      <w:pPr>
        <w:ind w:left="5" w:hanging="5"/>
        <w:rPr>
          <w:rFonts w:hAnsi="宋体" w:eastAsia="宋体" w:cs="宋体"/>
          <w:szCs w:val="21"/>
        </w:rPr>
      </w:pPr>
    </w:p>
    <w:p>
      <w:pPr>
        <w:outlineLvl w:val="1"/>
        <w:rPr>
          <w:rFonts w:hAnsi="宋体" w:eastAsia="宋体" w:cs="宋体"/>
          <w:szCs w:val="21"/>
        </w:rPr>
      </w:pPr>
      <w:bookmarkStart w:id="1030" w:name="_Toc22342"/>
      <w:bookmarkStart w:id="1031" w:name="_Toc22659"/>
      <w:bookmarkStart w:id="1032" w:name="_Toc9204"/>
      <w:bookmarkStart w:id="1033" w:name="_Toc23024"/>
      <w:r>
        <w:rPr>
          <w:rFonts w:hint="eastAsia" w:hAnsi="宋体" w:eastAsia="宋体" w:cs="宋体"/>
          <w:szCs w:val="21"/>
        </w:rPr>
        <w:t>A4、项目负责人独立理赔决策权授权书</w:t>
      </w:r>
      <w:bookmarkEnd w:id="1030"/>
      <w:bookmarkEnd w:id="1031"/>
      <w:bookmarkEnd w:id="1032"/>
      <w:bookmarkEnd w:id="1033"/>
    </w:p>
    <w:p>
      <w:pPr>
        <w:spacing w:before="240" w:after="240"/>
        <w:jc w:val="center"/>
        <w:rPr>
          <w:rFonts w:hAnsi="宋体" w:eastAsia="宋体" w:cs="宋体"/>
          <w:b/>
          <w:sz w:val="30"/>
          <w:szCs w:val="30"/>
        </w:rPr>
      </w:pPr>
      <w:r>
        <w:rPr>
          <w:rFonts w:hint="eastAsia" w:hAnsi="宋体" w:eastAsia="宋体" w:cs="宋体"/>
          <w:b/>
          <w:sz w:val="30"/>
          <w:szCs w:val="30"/>
        </w:rPr>
        <w:t>项目负责人独立理赔决策权授权书</w:t>
      </w:r>
    </w:p>
    <w:p>
      <w:pPr>
        <w:ind w:firstLine="420"/>
        <w:rPr>
          <w:rFonts w:hAnsi="宋体" w:eastAsia="宋体" w:cs="宋体"/>
          <w:szCs w:val="21"/>
        </w:rPr>
      </w:pPr>
    </w:p>
    <w:p>
      <w:pPr>
        <w:pStyle w:val="3"/>
        <w:tabs>
          <w:tab w:val="left" w:pos="120"/>
        </w:tabs>
        <w:ind w:left="0" w:leftChars="0" w:firstLine="420" w:firstLineChars="200"/>
        <w:rPr>
          <w:rFonts w:hAnsi="宋体" w:eastAsia="宋体" w:cs="宋体"/>
          <w:sz w:val="21"/>
          <w:szCs w:val="21"/>
        </w:rPr>
      </w:pPr>
      <w:r>
        <w:rPr>
          <w:rFonts w:hint="eastAsia" w:hAnsi="宋体" w:eastAsia="宋体" w:cs="宋体"/>
          <w:sz w:val="21"/>
          <w:szCs w:val="21"/>
        </w:rPr>
        <w:t>根据招标文件要求，为保证理赔服务质量，我公司授予本项目的项目负责人独立理赔决策权。</w:t>
      </w:r>
    </w:p>
    <w:p>
      <w:pPr>
        <w:pStyle w:val="3"/>
        <w:tabs>
          <w:tab w:val="left" w:pos="120"/>
        </w:tabs>
        <w:ind w:left="0" w:leftChars="0" w:firstLine="420" w:firstLineChars="200"/>
        <w:rPr>
          <w:rFonts w:hAnsi="宋体" w:eastAsia="宋体" w:cs="宋体"/>
          <w:sz w:val="21"/>
          <w:szCs w:val="21"/>
        </w:rPr>
      </w:pPr>
      <w:r>
        <w:rPr>
          <w:rFonts w:hint="eastAsia" w:hAnsi="宋体" w:eastAsia="宋体" w:cs="宋体"/>
          <w:sz w:val="21"/>
          <w:szCs w:val="21"/>
        </w:rPr>
        <w:t>其在本保单的赔偿授权额度是：每次事故人民币万元。由此我公司承保份额内的授权额度按以下公式计算：承保份额内的授权额度＝保单赔偿授权额度×承保份额。</w:t>
      </w:r>
    </w:p>
    <w:p>
      <w:pPr>
        <w:pStyle w:val="3"/>
        <w:tabs>
          <w:tab w:val="left" w:pos="120"/>
        </w:tabs>
        <w:ind w:left="0" w:leftChars="0" w:firstLine="420" w:firstLineChars="200"/>
        <w:rPr>
          <w:rFonts w:hAnsi="宋体" w:eastAsia="宋体" w:cs="宋体"/>
          <w:sz w:val="21"/>
          <w:szCs w:val="21"/>
        </w:rPr>
      </w:pPr>
      <w:r>
        <w:rPr>
          <w:rFonts w:hint="eastAsia" w:hAnsi="宋体" w:eastAsia="宋体" w:cs="宋体"/>
          <w:sz w:val="21"/>
          <w:szCs w:val="21"/>
        </w:rPr>
        <w:t>在此额度内的赔案，项目负责人具有完全的理赔决策权。</w:t>
      </w:r>
    </w:p>
    <w:p>
      <w:pPr>
        <w:pStyle w:val="3"/>
        <w:tabs>
          <w:tab w:val="left" w:pos="120"/>
        </w:tabs>
        <w:ind w:left="0" w:leftChars="0" w:firstLine="420" w:firstLineChars="200"/>
        <w:rPr>
          <w:rFonts w:hAnsi="宋体" w:eastAsia="宋体" w:cs="宋体"/>
          <w:sz w:val="21"/>
          <w:szCs w:val="21"/>
        </w:rPr>
      </w:pPr>
      <w:r>
        <w:rPr>
          <w:rFonts w:hint="eastAsia" w:hAnsi="宋体" w:eastAsia="宋体" w:cs="宋体"/>
          <w:sz w:val="21"/>
          <w:szCs w:val="21"/>
        </w:rPr>
        <w:t>我公司承诺项目负责人的变化不影响上述授权，即，发生项目负责人变换时，新项目负责人自动继承上述独立理赔决策权。</w:t>
      </w:r>
    </w:p>
    <w:p>
      <w:pPr>
        <w:pStyle w:val="3"/>
        <w:tabs>
          <w:tab w:val="left" w:pos="120"/>
        </w:tabs>
        <w:ind w:left="0" w:leftChars="0" w:firstLine="420" w:firstLineChars="200"/>
        <w:rPr>
          <w:rFonts w:hAnsi="宋体" w:eastAsia="宋体" w:cs="宋体"/>
          <w:sz w:val="21"/>
          <w:szCs w:val="21"/>
        </w:rPr>
      </w:pPr>
      <w:r>
        <w:rPr>
          <w:rFonts w:hint="eastAsia" w:hAnsi="宋体" w:eastAsia="宋体" w:cs="宋体"/>
          <w:sz w:val="21"/>
          <w:szCs w:val="21"/>
        </w:rPr>
        <w:t>我公司进一步承诺，本项目有效期内，不缩小上述授权范围、不降低上述授权额度。</w:t>
      </w:r>
    </w:p>
    <w:p>
      <w:pPr>
        <w:spacing w:line="360" w:lineRule="auto"/>
        <w:ind w:firstLine="420"/>
        <w:rPr>
          <w:rFonts w:hAnsi="宋体" w:eastAsia="宋体" w:cs="宋体"/>
          <w:szCs w:val="21"/>
        </w:rPr>
      </w:pPr>
    </w:p>
    <w:p>
      <w:pPr>
        <w:spacing w:line="360" w:lineRule="auto"/>
        <w:ind w:firstLine="420"/>
        <w:rPr>
          <w:rFonts w:hAnsi="宋体" w:eastAsia="宋体" w:cs="宋体"/>
          <w:szCs w:val="21"/>
        </w:rPr>
      </w:pPr>
      <w:r>
        <w:rPr>
          <w:rFonts w:hint="eastAsia" w:hAnsi="宋体" w:eastAsia="宋体" w:cs="宋体"/>
          <w:szCs w:val="21"/>
        </w:rPr>
        <w:t>附：项目负责人身份证复印件或扫描件</w:t>
      </w:r>
    </w:p>
    <w:p>
      <w:pPr>
        <w:pStyle w:val="14"/>
        <w:spacing w:line="360" w:lineRule="auto"/>
        <w:ind w:firstLine="480" w:firstLineChars="200"/>
        <w:rPr>
          <w:rFonts w:ascii="宋体" w:hAnsi="宋体" w:eastAsia="宋体" w:cs="宋体"/>
          <w:szCs w:val="21"/>
        </w:rPr>
      </w:pPr>
      <w:r>
        <w:rPr>
          <w:rFonts w:ascii="宋体" w:hAnsi="宋体" w:eastAsia="宋体" w:cs="宋体"/>
          <w:szCs w:val="21"/>
        </w:rPr>
        <mc:AlternateContent>
          <mc:Choice Requires="wps">
            <w:drawing>
              <wp:anchor distT="0" distB="0" distL="114300" distR="114300" simplePos="0" relativeHeight="251664384" behindDoc="0" locked="0" layoutInCell="1" allowOverlap="1">
                <wp:simplePos x="0" y="0"/>
                <wp:positionH relativeFrom="column">
                  <wp:posOffset>179070</wp:posOffset>
                </wp:positionH>
                <wp:positionV relativeFrom="paragraph">
                  <wp:posOffset>175260</wp:posOffset>
                </wp:positionV>
                <wp:extent cx="5363210" cy="2324100"/>
                <wp:effectExtent l="0" t="0" r="27940" b="19050"/>
                <wp:wrapSquare wrapText="bothSides"/>
                <wp:docPr id="1" name="Text Box 4"/>
                <wp:cNvGraphicFramePr/>
                <a:graphic xmlns:a="http://schemas.openxmlformats.org/drawingml/2006/main">
                  <a:graphicData uri="http://schemas.microsoft.com/office/word/2010/wordprocessingShape">
                    <wps:wsp>
                      <wps:cNvSpPr txBox="1"/>
                      <wps:spPr>
                        <a:xfrm>
                          <a:off x="0" y="0"/>
                          <a:ext cx="5363210" cy="23241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600"/>
                              <w:jc w:val="center"/>
                              <w:rPr>
                                <w:sz w:val="30"/>
                                <w:szCs w:val="30"/>
                              </w:rPr>
                            </w:pPr>
                          </w:p>
                          <w:p>
                            <w:pPr>
                              <w:jc w:val="center"/>
                              <w:rPr>
                                <w:sz w:val="28"/>
                                <w:szCs w:val="28"/>
                              </w:rPr>
                            </w:pPr>
                            <w:r>
                              <w:rPr>
                                <w:rFonts w:hint="eastAsia"/>
                                <w:sz w:val="28"/>
                                <w:szCs w:val="28"/>
                              </w:rPr>
                              <w:t>身份证复印件或扫描件（正、反面）</w:t>
                            </w:r>
                          </w:p>
                          <w:p>
                            <w:pPr>
                              <w:jc w:val="center"/>
                              <w:rPr>
                                <w:sz w:val="28"/>
                                <w:szCs w:val="28"/>
                              </w:rPr>
                            </w:pPr>
                            <w:r>
                              <w:rPr>
                                <w:rFonts w:hint="eastAsia" w:ascii="宋体" w:hAnsi="宋体"/>
                                <w:szCs w:val="21"/>
                              </w:rPr>
                              <w:t>（本处应为直接打印的证件复印件或扫描件，不允许另行粘贴）</w:t>
                            </w:r>
                          </w:p>
                        </w:txbxContent>
                      </wps:txbx>
                      <wps:bodyPr wrap="square" upright="1"/>
                    </wps:wsp>
                  </a:graphicData>
                </a:graphic>
              </wp:anchor>
            </w:drawing>
          </mc:Choice>
          <mc:Fallback>
            <w:pict>
              <v:shape id="Text Box 4" o:spid="_x0000_s1026" o:spt="202" type="#_x0000_t202" style="position:absolute;left:0pt;margin-left:14.1pt;margin-top:13.8pt;height:183pt;width:422.3pt;mso-wrap-distance-bottom:0pt;mso-wrap-distance-left:9pt;mso-wrap-distance-right:9pt;mso-wrap-distance-top:0pt;z-index:251664384;mso-width-relative:page;mso-height-relative:page;" fillcolor="#FFFFFF" filled="t" stroked="t" coordsize="21600,21600" o:gfxdata="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WqY3bZAAAACQEAAA8AAAAAAAAAAQAg&#10;AAAAIgAAAGRycy9kb3ducmV2LnhtbFBLAQIUABQAAAAIAIdO4kCOoVA7DQIAAFIEAAAOAAAAAAAA&#10;AAEAIAAAACgBAABkcnMvZTJvRG9jLnhtbFBLBQYAAAAABgAGAFkBAACnBQAAAAA=&#10;">
                <v:fill on="t" focussize="0,0"/>
                <v:stroke color="#000000" joinstyle="miter"/>
                <v:imagedata o:title=""/>
                <o:lock v:ext="edit" aspectratio="f"/>
                <v:textbox>
                  <w:txbxContent>
                    <w:p>
                      <w:pPr>
                        <w:ind w:firstLine="600"/>
                        <w:jc w:val="center"/>
                        <w:rPr>
                          <w:sz w:val="30"/>
                          <w:szCs w:val="30"/>
                        </w:rPr>
                      </w:pPr>
                    </w:p>
                    <w:p>
                      <w:pPr>
                        <w:jc w:val="center"/>
                        <w:rPr>
                          <w:sz w:val="28"/>
                          <w:szCs w:val="28"/>
                        </w:rPr>
                      </w:pPr>
                      <w:r>
                        <w:rPr>
                          <w:rFonts w:hint="eastAsia"/>
                          <w:sz w:val="28"/>
                          <w:szCs w:val="28"/>
                        </w:rPr>
                        <w:t>身份证复印件或扫描件（正、反面）</w:t>
                      </w:r>
                    </w:p>
                    <w:p>
                      <w:pPr>
                        <w:jc w:val="center"/>
                        <w:rPr>
                          <w:sz w:val="28"/>
                          <w:szCs w:val="28"/>
                        </w:rPr>
                      </w:pPr>
                      <w:r>
                        <w:rPr>
                          <w:rFonts w:hint="eastAsia" w:ascii="宋体" w:hAnsi="宋体"/>
                          <w:szCs w:val="21"/>
                        </w:rPr>
                        <w:t>（本处应为直接打印的证件复印件或扫描件，不允许另行粘贴）</w:t>
                      </w:r>
                    </w:p>
                  </w:txbxContent>
                </v:textbox>
                <w10:wrap type="square"/>
              </v:shape>
            </w:pict>
          </mc:Fallback>
        </mc:AlternateContent>
      </w:r>
      <w:r>
        <w:rPr>
          <w:rFonts w:hint="eastAsia" w:ascii="宋体" w:hAnsi="宋体" w:eastAsia="宋体" w:cs="宋体"/>
          <w:szCs w:val="21"/>
        </w:rPr>
        <w:tab/>
      </w:r>
    </w:p>
    <w:p>
      <w:pPr>
        <w:pStyle w:val="14"/>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投标人（公章）：</w:t>
      </w:r>
    </w:p>
    <w:p>
      <w:pPr>
        <w:pStyle w:val="14"/>
        <w:spacing w:line="360" w:lineRule="auto"/>
        <w:ind w:firstLine="420" w:firstLineChars="200"/>
        <w:rPr>
          <w:rFonts w:ascii="宋体" w:hAnsi="宋体" w:eastAsia="宋体" w:cs="宋体"/>
          <w:sz w:val="21"/>
          <w:szCs w:val="21"/>
        </w:rPr>
      </w:pPr>
    </w:p>
    <w:p>
      <w:pPr>
        <w:pStyle w:val="14"/>
        <w:spacing w:line="360" w:lineRule="auto"/>
        <w:ind w:firstLine="420" w:firstLineChars="200"/>
        <w:rPr>
          <w:rFonts w:ascii="宋体" w:hAnsi="宋体" w:eastAsia="宋体" w:cs="宋体"/>
          <w:sz w:val="21"/>
          <w:szCs w:val="21"/>
        </w:rPr>
      </w:pPr>
      <w:r>
        <w:rPr>
          <w:rFonts w:hint="eastAsia" w:ascii="宋体" w:hAnsi="宋体" w:eastAsia="宋体" w:cs="宋体"/>
          <w:sz w:val="21"/>
          <w:szCs w:val="21"/>
        </w:rPr>
        <w:t>项目负责人签字：</w:t>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r>
        <w:rPr>
          <w:rFonts w:hint="eastAsia" w:ascii="宋体" w:hAnsi="宋体" w:eastAsia="宋体" w:cs="宋体"/>
          <w:sz w:val="21"/>
          <w:szCs w:val="21"/>
        </w:rPr>
        <w:tab/>
      </w:r>
    </w:p>
    <w:p>
      <w:pPr>
        <w:pStyle w:val="14"/>
        <w:ind w:firstLine="420" w:firstLineChars="200"/>
        <w:rPr>
          <w:rFonts w:ascii="宋体" w:hAnsi="宋体" w:eastAsia="宋体" w:cs="宋体"/>
          <w:sz w:val="21"/>
          <w:szCs w:val="21"/>
        </w:rPr>
      </w:pPr>
    </w:p>
    <w:p>
      <w:pPr>
        <w:pStyle w:val="14"/>
        <w:ind w:firstLine="420" w:firstLineChars="200"/>
        <w:rPr>
          <w:rFonts w:ascii="宋体" w:hAnsi="宋体" w:eastAsia="宋体" w:cs="宋体"/>
          <w:sz w:val="21"/>
          <w:szCs w:val="21"/>
        </w:rPr>
      </w:pPr>
      <w:r>
        <w:rPr>
          <w:rFonts w:hint="eastAsia" w:ascii="宋体" w:hAnsi="宋体" w:eastAsia="宋体" w:cs="宋体"/>
          <w:sz w:val="21"/>
          <w:szCs w:val="21"/>
        </w:rPr>
        <w:t>日期：</w:t>
      </w:r>
    </w:p>
    <w:p>
      <w:pPr>
        <w:spacing w:before="120" w:line="300" w:lineRule="auto"/>
        <w:ind w:firstLine="359" w:firstLineChars="171"/>
        <w:outlineLvl w:val="1"/>
        <w:rPr>
          <w:rFonts w:hAnsi="宋体" w:eastAsia="宋体" w:cs="宋体"/>
          <w:b/>
          <w:bCs/>
        </w:rPr>
      </w:pPr>
      <w:bookmarkStart w:id="1034" w:name="_Toc11401"/>
      <w:r>
        <w:rPr>
          <w:rFonts w:hint="eastAsia" w:hAnsi="宋体" w:eastAsia="宋体" w:cs="宋体"/>
        </w:rPr>
        <w:br w:type="page"/>
      </w:r>
      <w:bookmarkStart w:id="1035" w:name="_Toc6327"/>
      <w:bookmarkStart w:id="1036" w:name="_Toc1992"/>
      <w:bookmarkStart w:id="1037" w:name="_Toc5404"/>
      <w:r>
        <w:rPr>
          <w:rFonts w:hint="eastAsia" w:hAnsi="宋体" w:eastAsia="宋体" w:cs="宋体"/>
          <w:b/>
          <w:bCs/>
        </w:rPr>
        <w:t>B 资信部分</w:t>
      </w:r>
      <w:bookmarkEnd w:id="1034"/>
      <w:bookmarkEnd w:id="1035"/>
      <w:bookmarkEnd w:id="1036"/>
      <w:bookmarkEnd w:id="1037"/>
    </w:p>
    <w:p>
      <w:pPr>
        <w:numPr>
          <w:ilvl w:val="0"/>
          <w:numId w:val="49"/>
        </w:numPr>
        <w:spacing w:before="120" w:line="300" w:lineRule="auto"/>
        <w:ind w:firstLine="478" w:firstLineChars="228"/>
        <w:rPr>
          <w:rFonts w:ascii="宋体" w:hAnsi="宋体" w:eastAsia="宋体" w:cs="宋体"/>
          <w:szCs w:val="21"/>
        </w:rPr>
      </w:pPr>
      <w:r>
        <w:rPr>
          <w:rFonts w:hint="eastAsia" w:ascii="宋体" w:hAnsi="宋体" w:eastAsia="宋体" w:cs="宋体"/>
          <w:szCs w:val="21"/>
        </w:rPr>
        <w:t>承诺函（格式见B1）</w:t>
      </w:r>
    </w:p>
    <w:p>
      <w:pPr>
        <w:numPr>
          <w:ilvl w:val="0"/>
          <w:numId w:val="49"/>
        </w:numPr>
        <w:spacing w:before="120" w:line="300" w:lineRule="auto"/>
        <w:ind w:firstLine="478" w:firstLineChars="228"/>
        <w:rPr>
          <w:rFonts w:ascii="宋体" w:hAnsi="宋体" w:eastAsia="宋体" w:cs="宋体"/>
          <w:szCs w:val="21"/>
        </w:rPr>
      </w:pPr>
      <w:r>
        <w:rPr>
          <w:rFonts w:hint="eastAsia" w:ascii="宋体" w:hAnsi="宋体" w:eastAsia="宋体" w:cs="宋体"/>
          <w:szCs w:val="21"/>
        </w:rPr>
        <w:t>廉政承诺书（格式见B2）</w:t>
      </w:r>
    </w:p>
    <w:p>
      <w:pPr>
        <w:numPr>
          <w:ilvl w:val="0"/>
          <w:numId w:val="49"/>
        </w:numPr>
        <w:spacing w:before="120" w:line="300" w:lineRule="auto"/>
        <w:ind w:firstLine="478" w:firstLineChars="228"/>
        <w:rPr>
          <w:rFonts w:ascii="宋体" w:hAnsi="宋体" w:eastAsia="宋体" w:cs="宋体"/>
          <w:szCs w:val="21"/>
        </w:rPr>
      </w:pPr>
      <w:r>
        <w:rPr>
          <w:rFonts w:hint="eastAsia" w:ascii="宋体" w:hAnsi="宋体" w:eastAsia="宋体" w:cs="宋体"/>
          <w:szCs w:val="21"/>
        </w:rPr>
        <w:t>企业简介（格式见B3）</w:t>
      </w:r>
    </w:p>
    <w:p>
      <w:pPr>
        <w:numPr>
          <w:ilvl w:val="0"/>
          <w:numId w:val="49"/>
        </w:numPr>
        <w:spacing w:before="120" w:line="300" w:lineRule="auto"/>
        <w:ind w:firstLine="478" w:firstLineChars="228"/>
        <w:rPr>
          <w:rFonts w:ascii="宋体" w:hAnsi="宋体" w:eastAsia="宋体" w:cs="宋体"/>
          <w:szCs w:val="21"/>
        </w:rPr>
      </w:pPr>
      <w:r>
        <w:rPr>
          <w:rFonts w:hint="eastAsia" w:hAnsi="宋体" w:eastAsia="宋体" w:cs="宋体"/>
          <w:szCs w:val="21"/>
        </w:rPr>
        <w:t>（1）</w:t>
      </w:r>
      <w:r>
        <w:rPr>
          <w:rFonts w:hAnsi="宋体" w:eastAsia="宋体" w:cs="宋体"/>
          <w:szCs w:val="21"/>
        </w:rPr>
        <w:t>2018</w:t>
      </w:r>
      <w:r>
        <w:rPr>
          <w:rFonts w:hint="eastAsia" w:hAnsi="宋体" w:eastAsia="宋体" w:cs="宋体"/>
          <w:szCs w:val="21"/>
        </w:rPr>
        <w:t>年</w:t>
      </w:r>
      <w:r>
        <w:rPr>
          <w:rFonts w:hAnsi="宋体" w:eastAsia="宋体" w:cs="宋体"/>
          <w:szCs w:val="21"/>
        </w:rPr>
        <w:t>1</w:t>
      </w:r>
      <w:r>
        <w:rPr>
          <w:rFonts w:hint="eastAsia" w:hAnsi="宋体" w:eastAsia="宋体" w:cs="宋体"/>
          <w:szCs w:val="21"/>
        </w:rPr>
        <w:t>月</w:t>
      </w:r>
      <w:r>
        <w:rPr>
          <w:rFonts w:hAnsi="宋体" w:eastAsia="宋体" w:cs="宋体"/>
          <w:szCs w:val="21"/>
        </w:rPr>
        <w:t>1</w:t>
      </w:r>
      <w:r>
        <w:rPr>
          <w:rFonts w:hint="eastAsia" w:hAnsi="宋体" w:eastAsia="宋体" w:cs="宋体"/>
          <w:szCs w:val="21"/>
        </w:rPr>
        <w:t>日至今做为首席承保承担的中国境内（港澳台地区除外）企业安全生产责任保险首席承保业绩。</w:t>
      </w:r>
      <w:r>
        <w:rPr>
          <w:rFonts w:hint="eastAsia" w:ascii="宋体" w:hAnsi="宋体" w:eastAsia="宋体" w:cs="宋体"/>
          <w:szCs w:val="21"/>
        </w:rPr>
        <w:t>（格式见B4）</w:t>
      </w:r>
    </w:p>
    <w:p>
      <w:pPr>
        <w:pStyle w:val="2"/>
        <w:rPr>
          <w:rFonts w:hint="eastAsia" w:ascii="宋体" w:hAnsi="宋体" w:eastAsia="宋体"/>
          <w:sz w:val="21"/>
          <w:szCs w:val="21"/>
        </w:rPr>
      </w:pPr>
      <w:r>
        <w:rPr>
          <w:rFonts w:hint="eastAsia" w:ascii="宋体" w:hAnsi="宋体" w:eastAsia="宋体"/>
          <w:sz w:val="21"/>
          <w:szCs w:val="21"/>
        </w:rPr>
        <w:t>（2）2018年1月1日至今做为共保承保承担的中国境内（港澳台地区除外）企业安全生产责任保险共保承保业绩。（格式见B4）</w:t>
      </w:r>
    </w:p>
    <w:p>
      <w:pPr>
        <w:numPr>
          <w:ilvl w:val="0"/>
          <w:numId w:val="49"/>
        </w:numPr>
        <w:spacing w:before="120" w:line="300" w:lineRule="auto"/>
        <w:ind w:firstLine="478" w:firstLineChars="228"/>
        <w:rPr>
          <w:rFonts w:ascii="宋体" w:hAnsi="宋体" w:eastAsia="宋体" w:cs="宋体"/>
          <w:szCs w:val="21"/>
        </w:rPr>
      </w:pPr>
      <w:r>
        <w:rPr>
          <w:rFonts w:hint="eastAsia" w:hAnsi="宋体" w:eastAsia="宋体" w:cs="宋体"/>
          <w:szCs w:val="21"/>
        </w:rPr>
        <w:t>项目理赔经验</w:t>
      </w:r>
      <w:r>
        <w:rPr>
          <w:rFonts w:hint="eastAsia" w:ascii="宋体" w:hAnsi="宋体" w:eastAsia="宋体" w:cs="宋体"/>
          <w:szCs w:val="21"/>
        </w:rPr>
        <w:t>（格式见B5）</w:t>
      </w:r>
    </w:p>
    <w:p>
      <w:pPr>
        <w:numPr>
          <w:ilvl w:val="0"/>
          <w:numId w:val="49"/>
        </w:numPr>
        <w:spacing w:before="120" w:line="300" w:lineRule="auto"/>
        <w:ind w:firstLine="479"/>
        <w:rPr>
          <w:rFonts w:ascii="宋体" w:hAnsi="宋体" w:eastAsia="宋体" w:cs="宋体"/>
          <w:szCs w:val="21"/>
        </w:rPr>
      </w:pPr>
      <w:r>
        <w:rPr>
          <w:rFonts w:hint="eastAsia" w:ascii="宋体" w:hAnsi="宋体" w:eastAsia="宋体" w:cs="宋体"/>
          <w:szCs w:val="21"/>
        </w:rPr>
        <w:t>客户认可函（格式见B6）</w:t>
      </w:r>
    </w:p>
    <w:p>
      <w:pPr>
        <w:numPr>
          <w:ilvl w:val="0"/>
          <w:numId w:val="49"/>
        </w:numPr>
        <w:spacing w:before="120" w:line="300" w:lineRule="auto"/>
        <w:ind w:firstLine="478" w:firstLineChars="228"/>
        <w:rPr>
          <w:rFonts w:ascii="宋体" w:hAnsi="宋体" w:eastAsia="宋体" w:cs="宋体"/>
          <w:szCs w:val="21"/>
        </w:rPr>
      </w:pPr>
      <w:r>
        <w:rPr>
          <w:rFonts w:hint="eastAsia" w:ascii="宋体" w:hAnsi="宋体" w:eastAsia="宋体" w:cs="宋体"/>
          <w:szCs w:val="21"/>
        </w:rPr>
        <w:t>其他招标文件要求出具的资信文件及投标人认为需加以说明的其他内容（格式自拟）。</w:t>
      </w:r>
    </w:p>
    <w:p>
      <w:pPr>
        <w:outlineLvl w:val="1"/>
        <w:rPr>
          <w:rFonts w:hAnsi="宋体" w:eastAsia="宋体" w:cs="宋体"/>
          <w:szCs w:val="21"/>
        </w:rPr>
      </w:pPr>
      <w:r>
        <w:rPr>
          <w:rFonts w:hint="eastAsia" w:hAnsi="宋体" w:eastAsia="宋体" w:cs="宋体"/>
          <w:szCs w:val="21"/>
        </w:rPr>
        <w:br w:type="page"/>
      </w:r>
      <w:bookmarkStart w:id="1038" w:name="_Toc5358"/>
      <w:bookmarkStart w:id="1039" w:name="_Toc21220"/>
      <w:bookmarkStart w:id="1040" w:name="_Toc12518"/>
      <w:bookmarkStart w:id="1041" w:name="_Toc270101275"/>
      <w:bookmarkStart w:id="1042" w:name="_Toc226376409"/>
      <w:bookmarkStart w:id="1043" w:name="_Toc306293032"/>
      <w:bookmarkStart w:id="1044" w:name="_Toc307845046"/>
      <w:bookmarkStart w:id="1045" w:name="_Toc9412"/>
      <w:r>
        <w:rPr>
          <w:rFonts w:hint="eastAsia" w:hAnsi="宋体" w:eastAsia="宋体" w:cs="宋体"/>
          <w:szCs w:val="21"/>
        </w:rPr>
        <w:t>B1、承诺函</w:t>
      </w:r>
      <w:bookmarkEnd w:id="1038"/>
      <w:bookmarkEnd w:id="1039"/>
      <w:bookmarkEnd w:id="1040"/>
    </w:p>
    <w:p>
      <w:pPr>
        <w:jc w:val="center"/>
        <w:rPr>
          <w:rFonts w:hAnsi="宋体" w:eastAsia="宋体"/>
          <w:b/>
          <w:bCs/>
          <w:sz w:val="30"/>
          <w:szCs w:val="30"/>
        </w:rPr>
      </w:pPr>
      <w:r>
        <w:rPr>
          <w:rFonts w:hint="eastAsia" w:hAnsi="宋体" w:eastAsia="宋体"/>
          <w:b/>
          <w:bCs/>
          <w:sz w:val="30"/>
          <w:szCs w:val="30"/>
        </w:rPr>
        <w:t>一、承诺函</w:t>
      </w:r>
      <w:bookmarkEnd w:id="1041"/>
      <w:bookmarkEnd w:id="1042"/>
      <w:bookmarkEnd w:id="1043"/>
      <w:bookmarkEnd w:id="1044"/>
    </w:p>
    <w:p>
      <w:pPr>
        <w:ind w:firstLine="420"/>
        <w:rPr>
          <w:rFonts w:hAnsi="宋体" w:eastAsia="宋体"/>
          <w:szCs w:val="21"/>
        </w:rPr>
      </w:pPr>
    </w:p>
    <w:p>
      <w:pPr>
        <w:pStyle w:val="14"/>
        <w:snapToGrid w:val="0"/>
        <w:spacing w:line="360" w:lineRule="auto"/>
        <w:ind w:firstLine="0"/>
        <w:rPr>
          <w:rFonts w:ascii="宋体" w:hAnsi="宋体" w:eastAsia="宋体"/>
          <w:sz w:val="21"/>
          <w:szCs w:val="21"/>
        </w:rPr>
      </w:pPr>
      <w:r>
        <w:rPr>
          <w:rFonts w:hint="eastAsia" w:ascii="宋体" w:hAnsi="宋体" w:eastAsia="宋体"/>
          <w:sz w:val="21"/>
          <w:szCs w:val="21"/>
        </w:rPr>
        <w:t>项目名称：</w:t>
      </w:r>
      <w:bookmarkStart w:id="1046" w:name="_Hlt73078764"/>
      <w:bookmarkEnd w:id="1046"/>
    </w:p>
    <w:p>
      <w:pPr>
        <w:pStyle w:val="14"/>
        <w:snapToGrid w:val="0"/>
        <w:spacing w:line="360" w:lineRule="auto"/>
        <w:ind w:firstLine="0"/>
        <w:rPr>
          <w:rFonts w:ascii="宋体" w:hAnsi="宋体" w:eastAsia="宋体"/>
          <w:sz w:val="21"/>
          <w:szCs w:val="21"/>
        </w:rPr>
      </w:pPr>
      <w:r>
        <w:rPr>
          <w:rFonts w:hint="eastAsia" w:ascii="宋体" w:hAnsi="宋体" w:eastAsia="宋体"/>
          <w:sz w:val="21"/>
          <w:szCs w:val="21"/>
        </w:rPr>
        <w:t>招标编号：</w:t>
      </w:r>
    </w:p>
    <w:p>
      <w:pPr>
        <w:pStyle w:val="14"/>
        <w:snapToGrid w:val="0"/>
        <w:spacing w:line="360" w:lineRule="auto"/>
        <w:ind w:firstLine="0"/>
        <w:rPr>
          <w:rFonts w:ascii="宋体" w:hAnsi="宋体" w:eastAsia="宋体"/>
          <w:sz w:val="21"/>
          <w:szCs w:val="21"/>
        </w:rPr>
      </w:pPr>
    </w:p>
    <w:p>
      <w:pPr>
        <w:pStyle w:val="14"/>
        <w:snapToGrid w:val="0"/>
        <w:spacing w:line="360" w:lineRule="auto"/>
        <w:ind w:firstLine="0"/>
        <w:rPr>
          <w:rFonts w:ascii="宋体" w:hAnsi="宋体" w:eastAsia="宋体"/>
          <w:sz w:val="21"/>
          <w:szCs w:val="21"/>
        </w:rPr>
      </w:pPr>
      <w:r>
        <w:rPr>
          <w:rFonts w:hint="eastAsia" w:ascii="宋体" w:hAnsi="宋体" w:eastAsia="宋体"/>
          <w:sz w:val="21"/>
          <w:szCs w:val="21"/>
        </w:rPr>
        <w:t>致：南宁轨道交通集团有限责任公司</w:t>
      </w:r>
    </w:p>
    <w:p>
      <w:pPr>
        <w:pStyle w:val="14"/>
        <w:snapToGrid w:val="0"/>
        <w:spacing w:line="360" w:lineRule="auto"/>
        <w:ind w:firstLine="0"/>
        <w:rPr>
          <w:rFonts w:ascii="宋体" w:hAnsi="宋体" w:eastAsia="宋体"/>
          <w:sz w:val="21"/>
          <w:szCs w:val="21"/>
        </w:rPr>
      </w:pPr>
    </w:p>
    <w:p>
      <w:pPr>
        <w:pStyle w:val="14"/>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我代表</w:t>
      </w:r>
      <w:r>
        <w:rPr>
          <w:rFonts w:hint="eastAsia" w:ascii="宋体" w:hAnsi="宋体" w:eastAsia="宋体"/>
          <w:sz w:val="21"/>
          <w:szCs w:val="21"/>
          <w:u w:val="single"/>
        </w:rPr>
        <w:t>（投标人名称）</w:t>
      </w:r>
      <w:r>
        <w:rPr>
          <w:rFonts w:hint="eastAsia" w:ascii="宋体" w:hAnsi="宋体" w:eastAsia="宋体"/>
          <w:sz w:val="21"/>
          <w:szCs w:val="21"/>
        </w:rPr>
        <w:t xml:space="preserve">，在此作如下承诺： </w:t>
      </w:r>
    </w:p>
    <w:p>
      <w:pPr>
        <w:pStyle w:val="14"/>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1、完全理解和接受招标文件、补充文件、相关附件、参考资料及招标人于投标截止期前发出的其他有效文件的一切规定和要求。</w:t>
      </w:r>
    </w:p>
    <w:p>
      <w:pPr>
        <w:pStyle w:val="14"/>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2、若选定我方作为中标人，则我方将按照招标文件及我方投标文件、投标文件的书面澄清的具体规定与招标人签订保险协议书，并按协议书及保险方案之要求出具保险单；</w:t>
      </w:r>
      <w:r>
        <w:rPr>
          <w:rFonts w:hint="eastAsia" w:hAnsi="宋体" w:eastAsia="宋体"/>
          <w:sz w:val="21"/>
          <w:szCs w:val="21"/>
        </w:rPr>
        <w:t>我方承诺能够承担全部承保份额</w:t>
      </w:r>
      <w:r>
        <w:rPr>
          <w:rFonts w:hint="eastAsia" w:ascii="宋体" w:hAnsi="宋体" w:eastAsia="宋体"/>
          <w:sz w:val="21"/>
          <w:szCs w:val="21"/>
        </w:rPr>
        <w:t>。</w:t>
      </w:r>
    </w:p>
    <w:p>
      <w:pPr>
        <w:pStyle w:val="14"/>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3、在整个招标、投标过程中及招标、投标结束后，未经招标人书面同意，我方保证不向任何第三方泄露本次招标、投标的任何信息、资料及内容。</w:t>
      </w:r>
    </w:p>
    <w:p>
      <w:pPr>
        <w:pStyle w:val="14"/>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4、投标文件中所有关于投标人资格的文件、证明、陈述均是真实的、准确的。若有违背，我公司承担由此而产生的一切后果。</w:t>
      </w:r>
    </w:p>
    <w:p>
      <w:pPr>
        <w:pStyle w:val="14"/>
        <w:snapToGrid w:val="0"/>
        <w:spacing w:line="360" w:lineRule="auto"/>
        <w:ind w:firstLine="420" w:firstLineChars="200"/>
        <w:rPr>
          <w:rFonts w:ascii="宋体" w:hAnsi="宋体" w:eastAsia="宋体"/>
          <w:sz w:val="21"/>
          <w:szCs w:val="21"/>
        </w:rPr>
      </w:pPr>
      <w:r>
        <w:rPr>
          <w:rFonts w:hint="eastAsia" w:ascii="宋体" w:hAnsi="宋体" w:eastAsia="宋体"/>
          <w:sz w:val="21"/>
          <w:szCs w:val="21"/>
        </w:rPr>
        <w:t>5、本承诺函与保险合同具有同等的法律效力。</w:t>
      </w:r>
    </w:p>
    <w:p>
      <w:pPr>
        <w:pStyle w:val="14"/>
        <w:snapToGrid w:val="0"/>
        <w:spacing w:line="360" w:lineRule="auto"/>
        <w:ind w:firstLine="480" w:firstLineChars="200"/>
        <w:rPr>
          <w:rFonts w:ascii="宋体" w:hAnsi="宋体" w:eastAsia="宋体"/>
          <w:szCs w:val="21"/>
        </w:rPr>
      </w:pPr>
    </w:p>
    <w:p>
      <w:pPr>
        <w:pStyle w:val="14"/>
        <w:snapToGrid w:val="0"/>
        <w:spacing w:line="360" w:lineRule="auto"/>
        <w:ind w:firstLine="424" w:firstLineChars="177"/>
        <w:rPr>
          <w:rFonts w:ascii="宋体" w:hAnsi="宋体" w:eastAsia="宋体"/>
          <w:szCs w:val="21"/>
        </w:rPr>
      </w:pPr>
    </w:p>
    <w:p>
      <w:pPr>
        <w:pStyle w:val="30"/>
        <w:ind w:left="239" w:leftChars="114" w:firstLine="420"/>
        <w:rPr>
          <w:rFonts w:hAnsi="宋体" w:eastAsia="宋体"/>
          <w:i w:val="0"/>
          <w:sz w:val="21"/>
          <w:szCs w:val="21"/>
        </w:rPr>
      </w:pPr>
      <w:r>
        <w:rPr>
          <w:rFonts w:hint="eastAsia" w:hAnsi="宋体" w:eastAsia="宋体"/>
          <w:i w:val="0"/>
          <w:sz w:val="21"/>
          <w:szCs w:val="21"/>
        </w:rPr>
        <w:t>投标人（公章）：</w:t>
      </w:r>
    </w:p>
    <w:p>
      <w:pPr>
        <w:pStyle w:val="30"/>
        <w:ind w:left="239" w:leftChars="114" w:firstLine="420"/>
        <w:rPr>
          <w:rFonts w:hAnsi="宋体" w:eastAsia="宋体"/>
          <w:i w:val="0"/>
          <w:sz w:val="21"/>
          <w:szCs w:val="21"/>
        </w:rPr>
      </w:pPr>
      <w:r>
        <w:rPr>
          <w:rFonts w:hint="eastAsia" w:hAnsi="宋体" w:eastAsia="宋体"/>
          <w:i w:val="0"/>
          <w:sz w:val="21"/>
          <w:szCs w:val="21"/>
        </w:rPr>
        <w:t xml:space="preserve">法定代表人（负责人）或授权代理人（签字或盖章）： </w:t>
      </w:r>
    </w:p>
    <w:p>
      <w:pPr>
        <w:pStyle w:val="30"/>
        <w:ind w:left="239" w:leftChars="114" w:firstLine="420"/>
        <w:rPr>
          <w:rFonts w:hAnsi="宋体" w:eastAsia="宋体" w:cs="宋体"/>
          <w:i w:val="0"/>
          <w:szCs w:val="21"/>
        </w:rPr>
      </w:pPr>
      <w:r>
        <w:rPr>
          <w:rFonts w:hint="eastAsia" w:hAnsi="宋体" w:eastAsia="宋体"/>
          <w:i w:val="0"/>
          <w:sz w:val="21"/>
          <w:szCs w:val="21"/>
        </w:rPr>
        <w:t>日期：</w:t>
      </w:r>
    </w:p>
    <w:p>
      <w:pPr>
        <w:outlineLvl w:val="1"/>
        <w:rPr>
          <w:rFonts w:hAnsi="宋体" w:eastAsia="宋体" w:cs="宋体"/>
          <w:szCs w:val="21"/>
        </w:rPr>
      </w:pPr>
      <w:r>
        <w:rPr>
          <w:rFonts w:hint="eastAsia" w:hAnsi="宋体" w:eastAsia="宋体" w:cs="宋体"/>
          <w:szCs w:val="21"/>
        </w:rPr>
        <w:br w:type="page"/>
      </w:r>
      <w:bookmarkStart w:id="1047" w:name="_Toc14349"/>
      <w:bookmarkStart w:id="1048" w:name="_Toc25449"/>
      <w:bookmarkStart w:id="1049" w:name="_Toc5678"/>
      <w:r>
        <w:rPr>
          <w:rFonts w:hint="eastAsia" w:hAnsi="宋体" w:eastAsia="宋体" w:cs="宋体"/>
          <w:szCs w:val="21"/>
        </w:rPr>
        <w:t>B2、廉政承诺</w:t>
      </w:r>
      <w:bookmarkEnd w:id="1045"/>
      <w:r>
        <w:rPr>
          <w:rFonts w:hint="eastAsia" w:hAnsi="宋体" w:eastAsia="宋体" w:cs="宋体"/>
          <w:szCs w:val="21"/>
        </w:rPr>
        <w:t>书</w:t>
      </w:r>
      <w:bookmarkEnd w:id="1047"/>
      <w:bookmarkEnd w:id="1048"/>
      <w:bookmarkEnd w:id="1049"/>
    </w:p>
    <w:p>
      <w:pPr>
        <w:pStyle w:val="27"/>
        <w:spacing w:line="360" w:lineRule="auto"/>
        <w:jc w:val="center"/>
        <w:rPr>
          <w:rFonts w:hAnsi="宋体" w:eastAsia="宋体"/>
          <w:b/>
          <w:bCs/>
          <w:sz w:val="30"/>
          <w:szCs w:val="30"/>
        </w:rPr>
      </w:pPr>
      <w:r>
        <w:rPr>
          <w:rFonts w:hint="eastAsia" w:hAnsi="宋体" w:eastAsia="宋体"/>
          <w:b/>
          <w:bCs/>
          <w:sz w:val="30"/>
          <w:szCs w:val="30"/>
        </w:rPr>
        <w:t>二、廉政承诺书</w:t>
      </w:r>
    </w:p>
    <w:p>
      <w:pPr>
        <w:pStyle w:val="27"/>
        <w:spacing w:line="360" w:lineRule="auto"/>
        <w:jc w:val="center"/>
        <w:rPr>
          <w:rFonts w:hAnsi="宋体" w:eastAsia="宋体"/>
          <w:sz w:val="24"/>
        </w:rPr>
      </w:pPr>
    </w:p>
    <w:p>
      <w:pPr>
        <w:tabs>
          <w:tab w:val="left" w:pos="0"/>
        </w:tabs>
        <w:spacing w:line="360" w:lineRule="auto"/>
        <w:ind w:firstLine="420"/>
        <w:rPr>
          <w:rFonts w:hAnsi="宋体" w:eastAsia="宋体"/>
          <w:szCs w:val="21"/>
        </w:rPr>
      </w:pPr>
      <w:r>
        <w:rPr>
          <w:rFonts w:hint="eastAsia" w:hAnsi="宋体" w:eastAsia="宋体"/>
          <w:szCs w:val="21"/>
        </w:rPr>
        <w:t>为共同加强廉政建设，维护国家、招标人和我公司的合法权益，创建诚实守信、公平竞争的良好氛围，防止各种违规、违纪、违法行为的发生，根据采购方要求，我公司决定在整个招标过程中做出以下廉政承诺：</w:t>
      </w:r>
    </w:p>
    <w:p>
      <w:pPr>
        <w:tabs>
          <w:tab w:val="left" w:pos="900"/>
        </w:tabs>
        <w:spacing w:line="360" w:lineRule="auto"/>
        <w:ind w:firstLine="420"/>
        <w:rPr>
          <w:rFonts w:hAnsi="宋体" w:eastAsia="宋体"/>
          <w:szCs w:val="21"/>
        </w:rPr>
      </w:pPr>
      <w:r>
        <w:rPr>
          <w:rFonts w:hint="eastAsia" w:hAnsi="宋体" w:eastAsia="宋体"/>
          <w:szCs w:val="21"/>
        </w:rPr>
        <w:t>1. 严格遵守党中央制定的有关廉政建设的条例、规定和国家制定的有关廉政建设的法律、法规，尊重南宁轨道交通集团有限责任公司有关廉政建设的各项规定，在业务活动中坚持诚实信用、公平竞争的原则，为项目提供优质服务。</w:t>
      </w:r>
    </w:p>
    <w:p>
      <w:pPr>
        <w:tabs>
          <w:tab w:val="left" w:pos="900"/>
        </w:tabs>
        <w:spacing w:line="360" w:lineRule="auto"/>
        <w:ind w:firstLine="420"/>
        <w:rPr>
          <w:rFonts w:hAnsi="宋体" w:eastAsia="宋体"/>
          <w:szCs w:val="21"/>
        </w:rPr>
      </w:pPr>
      <w:r>
        <w:rPr>
          <w:rFonts w:hint="eastAsia" w:hAnsi="宋体" w:eastAsia="宋体"/>
          <w:szCs w:val="21"/>
        </w:rPr>
        <w:t>2. 对我公司人员进行廉政教育、党纪政纪和法律法规教育。在招标过程中不以任何借口和方式向评标委员会人员馈赠各种礼品、礼金和有价证券等。</w:t>
      </w:r>
    </w:p>
    <w:p>
      <w:pPr>
        <w:tabs>
          <w:tab w:val="left" w:pos="900"/>
        </w:tabs>
        <w:spacing w:line="360" w:lineRule="auto"/>
        <w:ind w:firstLine="420"/>
        <w:rPr>
          <w:rFonts w:hAnsi="宋体" w:eastAsia="宋体"/>
          <w:szCs w:val="21"/>
        </w:rPr>
      </w:pPr>
      <w:r>
        <w:rPr>
          <w:rFonts w:hint="eastAsia" w:hAnsi="宋体" w:eastAsia="宋体"/>
          <w:szCs w:val="21"/>
        </w:rPr>
        <w:t>3. 不组织可能影响公正进行招标工作的宴请、旅游或变相旅游等一切活动。</w:t>
      </w:r>
    </w:p>
    <w:p>
      <w:pPr>
        <w:tabs>
          <w:tab w:val="left" w:pos="900"/>
        </w:tabs>
        <w:spacing w:line="360" w:lineRule="auto"/>
        <w:ind w:firstLine="420"/>
        <w:rPr>
          <w:rFonts w:hAnsi="宋体" w:eastAsia="宋体"/>
          <w:szCs w:val="21"/>
        </w:rPr>
      </w:pPr>
      <w:r>
        <w:rPr>
          <w:rFonts w:hint="eastAsia" w:hAnsi="宋体" w:eastAsia="宋体"/>
          <w:szCs w:val="21"/>
        </w:rPr>
        <w:t>4. 在招标工作中不擅自组织可能影响公正进行招标工作的资质或产品介绍会。</w:t>
      </w:r>
    </w:p>
    <w:p>
      <w:pPr>
        <w:tabs>
          <w:tab w:val="left" w:pos="900"/>
        </w:tabs>
        <w:spacing w:line="360" w:lineRule="auto"/>
        <w:ind w:firstLine="420"/>
        <w:rPr>
          <w:rFonts w:hAnsi="宋体" w:eastAsia="宋体"/>
          <w:szCs w:val="21"/>
        </w:rPr>
      </w:pPr>
      <w:r>
        <w:rPr>
          <w:rFonts w:hint="eastAsia" w:hAnsi="宋体" w:eastAsia="宋体"/>
          <w:szCs w:val="21"/>
        </w:rPr>
        <w:t>5．不与其他参与投标的投标人串通，也不与评标委员会成员串通排斥其他参与投标的投标人。</w:t>
      </w:r>
    </w:p>
    <w:p>
      <w:pPr>
        <w:tabs>
          <w:tab w:val="left" w:pos="900"/>
        </w:tabs>
        <w:spacing w:line="360" w:lineRule="auto"/>
        <w:ind w:firstLine="420"/>
        <w:rPr>
          <w:rFonts w:hAnsi="宋体" w:eastAsia="宋体"/>
          <w:szCs w:val="21"/>
        </w:rPr>
      </w:pPr>
      <w:r>
        <w:rPr>
          <w:rFonts w:hint="eastAsia" w:hAnsi="宋体" w:eastAsia="宋体"/>
          <w:szCs w:val="21"/>
        </w:rPr>
        <w:t>6. 若违反以上规定者，一经发现，招标人有权取消我公司投标资格，开标结果无效。</w:t>
      </w:r>
    </w:p>
    <w:p>
      <w:pPr>
        <w:pStyle w:val="3"/>
        <w:ind w:firstLine="420"/>
        <w:jc w:val="right"/>
        <w:rPr>
          <w:rFonts w:hAnsi="宋体" w:eastAsia="宋体"/>
          <w:sz w:val="21"/>
          <w:szCs w:val="21"/>
        </w:rPr>
      </w:pPr>
    </w:p>
    <w:p>
      <w:pPr>
        <w:pStyle w:val="30"/>
        <w:ind w:left="239" w:leftChars="114" w:firstLine="420"/>
        <w:rPr>
          <w:rFonts w:hAnsi="宋体" w:eastAsia="宋体"/>
          <w:i w:val="0"/>
          <w:sz w:val="21"/>
          <w:szCs w:val="21"/>
        </w:rPr>
      </w:pPr>
      <w:r>
        <w:rPr>
          <w:rFonts w:hint="eastAsia" w:hAnsi="宋体" w:eastAsia="宋体"/>
          <w:i w:val="0"/>
          <w:sz w:val="21"/>
          <w:szCs w:val="21"/>
        </w:rPr>
        <w:t>投标人（公章）：</w:t>
      </w:r>
    </w:p>
    <w:p>
      <w:pPr>
        <w:pStyle w:val="30"/>
        <w:ind w:left="239" w:leftChars="114" w:firstLine="420"/>
        <w:rPr>
          <w:rFonts w:hAnsi="宋体" w:eastAsia="宋体"/>
          <w:i w:val="0"/>
          <w:sz w:val="21"/>
          <w:szCs w:val="21"/>
        </w:rPr>
      </w:pPr>
      <w:r>
        <w:rPr>
          <w:rFonts w:hint="eastAsia" w:hAnsi="宋体" w:eastAsia="宋体"/>
          <w:i w:val="0"/>
          <w:sz w:val="21"/>
          <w:szCs w:val="21"/>
        </w:rPr>
        <w:t xml:space="preserve">法定代表人（负责人）或授权代理人（签字或盖章）： </w:t>
      </w:r>
    </w:p>
    <w:p>
      <w:pPr>
        <w:pStyle w:val="30"/>
        <w:ind w:left="239" w:leftChars="114" w:firstLine="420"/>
        <w:rPr>
          <w:rFonts w:hAnsi="宋体" w:eastAsia="宋体" w:cs="宋体"/>
          <w:i w:val="0"/>
          <w:sz w:val="21"/>
          <w:szCs w:val="21"/>
        </w:rPr>
      </w:pPr>
      <w:r>
        <w:rPr>
          <w:rFonts w:hint="eastAsia" w:hAnsi="宋体" w:eastAsia="宋体"/>
          <w:i w:val="0"/>
          <w:sz w:val="21"/>
          <w:szCs w:val="21"/>
        </w:rPr>
        <w:t>日期：</w:t>
      </w:r>
    </w:p>
    <w:p>
      <w:pPr>
        <w:outlineLvl w:val="1"/>
        <w:rPr>
          <w:rFonts w:hAnsi="宋体" w:eastAsia="宋体" w:cs="宋体"/>
          <w:szCs w:val="21"/>
        </w:rPr>
      </w:pPr>
      <w:r>
        <w:rPr>
          <w:rFonts w:hint="eastAsia" w:hAnsi="宋体" w:eastAsia="宋体" w:cs="宋体"/>
          <w:szCs w:val="21"/>
        </w:rPr>
        <w:br w:type="page"/>
      </w:r>
      <w:bookmarkStart w:id="1050" w:name="_Toc11101"/>
      <w:bookmarkStart w:id="1051" w:name="_Toc26396"/>
      <w:bookmarkStart w:id="1052" w:name="_Toc4519"/>
      <w:bookmarkStart w:id="1053" w:name="_Toc8611"/>
      <w:r>
        <w:rPr>
          <w:rFonts w:hint="eastAsia" w:hAnsi="宋体" w:eastAsia="宋体" w:cs="宋体"/>
          <w:szCs w:val="21"/>
        </w:rPr>
        <w:t>B3、企业简介</w:t>
      </w:r>
      <w:bookmarkEnd w:id="1050"/>
      <w:bookmarkEnd w:id="1051"/>
      <w:bookmarkEnd w:id="1052"/>
      <w:bookmarkEnd w:id="1053"/>
    </w:p>
    <w:p>
      <w:pPr>
        <w:keepNext/>
        <w:keepLines/>
        <w:jc w:val="center"/>
        <w:rPr>
          <w:rFonts w:hAnsi="宋体" w:eastAsia="宋体" w:cs="宋体"/>
          <w:b/>
          <w:bCs/>
          <w:sz w:val="30"/>
          <w:szCs w:val="30"/>
        </w:rPr>
      </w:pPr>
      <w:r>
        <w:rPr>
          <w:rFonts w:hint="eastAsia" w:hAnsi="宋体" w:eastAsia="宋体" w:cs="宋体"/>
          <w:b/>
          <w:bCs/>
          <w:sz w:val="30"/>
          <w:szCs w:val="30"/>
        </w:rPr>
        <w:t>三、企业简介</w:t>
      </w:r>
    </w:p>
    <w:p>
      <w:pPr>
        <w:ind w:firstLine="420"/>
        <w:rPr>
          <w:rFonts w:hAnsi="宋体" w:eastAsia="宋体" w:cs="宋体"/>
          <w:szCs w:val="21"/>
        </w:rPr>
      </w:pPr>
    </w:p>
    <w:p>
      <w:pPr>
        <w:jc w:val="center"/>
        <w:rPr>
          <w:rFonts w:hAnsi="宋体" w:eastAsia="宋体" w:cs="宋体"/>
          <w:szCs w:val="21"/>
        </w:rPr>
      </w:pPr>
      <w:r>
        <w:rPr>
          <w:rFonts w:hint="eastAsia" w:hAnsi="宋体" w:eastAsia="宋体" w:cs="宋体"/>
          <w:szCs w:val="21"/>
        </w:rPr>
        <w:t>（格式自拟，并附企业组织结构框图）</w:t>
      </w:r>
    </w:p>
    <w:p>
      <w:pPr>
        <w:ind w:firstLine="420"/>
        <w:rPr>
          <w:rFonts w:hAnsi="宋体" w:eastAsia="宋体" w:cs="宋体"/>
          <w:szCs w:val="21"/>
        </w:rPr>
      </w:pPr>
    </w:p>
    <w:p>
      <w:pPr>
        <w:ind w:left="420" w:hanging="420" w:hangingChars="200"/>
        <w:rPr>
          <w:rFonts w:hAnsi="宋体" w:eastAsia="宋体" w:cs="宋体"/>
          <w:szCs w:val="21"/>
        </w:rPr>
      </w:pPr>
    </w:p>
    <w:p>
      <w:pPr>
        <w:outlineLvl w:val="1"/>
        <w:rPr>
          <w:rFonts w:hAnsi="宋体" w:eastAsia="宋体" w:cs="宋体"/>
          <w:szCs w:val="21"/>
        </w:rPr>
      </w:pPr>
      <w:r>
        <w:rPr>
          <w:rFonts w:hint="eastAsia" w:hAnsi="宋体" w:eastAsia="宋体" w:cs="宋体"/>
          <w:szCs w:val="21"/>
        </w:rPr>
        <w:br w:type="page"/>
      </w:r>
      <w:bookmarkStart w:id="1054" w:name="_Toc24937"/>
      <w:bookmarkStart w:id="1055" w:name="_Toc15042"/>
      <w:bookmarkStart w:id="1056" w:name="_Toc8432"/>
      <w:bookmarkStart w:id="1057" w:name="_Toc4463"/>
      <w:r>
        <w:rPr>
          <w:rFonts w:hint="eastAsia" w:hAnsi="宋体" w:eastAsia="宋体" w:cs="宋体"/>
          <w:szCs w:val="21"/>
        </w:rPr>
        <w:t>B4</w:t>
      </w:r>
      <w:bookmarkEnd w:id="1054"/>
      <w:bookmarkEnd w:id="1055"/>
      <w:bookmarkEnd w:id="1056"/>
      <w:bookmarkEnd w:id="1057"/>
      <w:r>
        <w:rPr>
          <w:rFonts w:hint="eastAsia" w:hAnsi="宋体" w:eastAsia="宋体" w:cs="宋体"/>
          <w:szCs w:val="21"/>
        </w:rPr>
        <w:t>-</w:t>
      </w:r>
      <w:r>
        <w:rPr>
          <w:rFonts w:hAnsi="宋体" w:eastAsia="宋体" w:cs="宋体"/>
          <w:szCs w:val="21"/>
        </w:rPr>
        <w:t>1</w:t>
      </w:r>
      <w:r>
        <w:rPr>
          <w:rFonts w:hint="eastAsia" w:hAnsi="宋体" w:eastAsia="宋体" w:cs="宋体"/>
          <w:szCs w:val="21"/>
        </w:rPr>
        <w:t>、2018年1月1日至今做为首席承保承担的中国境内（港澳台地区除外）企业安全生产责任保险首席承保业绩。</w:t>
      </w:r>
    </w:p>
    <w:p>
      <w:pPr>
        <w:outlineLvl w:val="1"/>
        <w:rPr>
          <w:rFonts w:hAnsi="宋体" w:eastAsia="宋体" w:cs="宋体"/>
          <w:szCs w:val="21"/>
        </w:rPr>
      </w:pPr>
    </w:p>
    <w:p>
      <w:pPr>
        <w:spacing w:line="460" w:lineRule="exact"/>
        <w:ind w:firstLine="602"/>
        <w:jc w:val="center"/>
        <w:rPr>
          <w:rFonts w:hAnsi="宋体" w:eastAsia="宋体" w:cs="宋体"/>
          <w:b/>
          <w:bCs/>
          <w:sz w:val="30"/>
          <w:szCs w:val="30"/>
        </w:rPr>
      </w:pPr>
      <w:r>
        <w:rPr>
          <w:rFonts w:hint="eastAsia" w:hAnsi="宋体" w:eastAsia="宋体" w:cs="宋体"/>
          <w:b/>
          <w:bCs/>
          <w:sz w:val="30"/>
          <w:szCs w:val="30"/>
        </w:rPr>
        <w:t>四、</w:t>
      </w:r>
      <w:r>
        <w:rPr>
          <w:rFonts w:hAnsi="宋体" w:eastAsia="宋体" w:cs="宋体"/>
          <w:b/>
          <w:bCs/>
          <w:sz w:val="30"/>
          <w:szCs w:val="30"/>
        </w:rPr>
        <w:t>（</w:t>
      </w:r>
      <w:r>
        <w:rPr>
          <w:rFonts w:hint="eastAsia" w:hAnsi="宋体" w:eastAsia="宋体" w:cs="宋体"/>
          <w:b/>
          <w:bCs/>
          <w:sz w:val="30"/>
          <w:szCs w:val="30"/>
        </w:rPr>
        <w:t>1</w:t>
      </w:r>
      <w:r>
        <w:rPr>
          <w:rFonts w:hAnsi="宋体" w:eastAsia="宋体" w:cs="宋体"/>
          <w:b/>
          <w:bCs/>
          <w:sz w:val="30"/>
          <w:szCs w:val="30"/>
        </w:rPr>
        <w:t>）</w:t>
      </w:r>
      <w:r>
        <w:rPr>
          <w:rFonts w:hint="eastAsia" w:hAnsi="宋体" w:eastAsia="宋体" w:cs="宋体"/>
          <w:b/>
          <w:bCs/>
          <w:sz w:val="30"/>
          <w:szCs w:val="30"/>
        </w:rPr>
        <w:t>2018年1月1日至今做为首席承保承担的中国境内（港澳台地区除外）企业安全生产责任保险首席承保业绩表</w:t>
      </w:r>
    </w:p>
    <w:p>
      <w:pPr>
        <w:spacing w:before="120" w:line="276" w:lineRule="auto"/>
        <w:ind w:firstLine="420"/>
        <w:rPr>
          <w:rFonts w:hAnsi="宋体" w:eastAsia="宋体" w:cs="宋体"/>
          <w:szCs w:val="21"/>
        </w:rPr>
      </w:pPr>
    </w:p>
    <w:p>
      <w:pPr>
        <w:ind w:firstLine="422"/>
        <w:jc w:val="right"/>
        <w:rPr>
          <w:rFonts w:hAnsi="宋体" w:eastAsia="宋体" w:cs="宋体"/>
          <w:b/>
          <w:szCs w:val="21"/>
        </w:rPr>
      </w:pPr>
      <w:bookmarkStart w:id="1058" w:name="_Toc30402"/>
      <w:bookmarkStart w:id="1059" w:name="_Toc11744"/>
      <w:r>
        <w:rPr>
          <w:rFonts w:hint="eastAsia" w:ascii="宋体" w:hAnsi="宋体" w:eastAsia="宋体" w:cs="宋体"/>
          <w:kern w:val="0"/>
          <w:szCs w:val="21"/>
        </w:rPr>
        <w:t>货币单位：人民币万元</w:t>
      </w:r>
    </w:p>
    <w:tbl>
      <w:tblPr>
        <w:tblStyle w:val="47"/>
        <w:tblW w:w="10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36"/>
        <w:gridCol w:w="818"/>
        <w:gridCol w:w="1163"/>
        <w:gridCol w:w="936"/>
        <w:gridCol w:w="1032"/>
        <w:gridCol w:w="708"/>
        <w:gridCol w:w="993"/>
        <w:gridCol w:w="1134"/>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pacing w:line="280" w:lineRule="exact"/>
              <w:ind w:left="2" w:leftChars="1" w:firstLine="96" w:firstLineChars="46"/>
              <w:jc w:val="center"/>
              <w:rPr>
                <w:rFonts w:ascii="Calibri" w:hAnsi="宋体" w:eastAsia="宋体" w:cs="宋体"/>
                <w:bCs/>
                <w:szCs w:val="21"/>
              </w:rPr>
            </w:pPr>
            <w:r>
              <w:rPr>
                <w:rFonts w:hint="eastAsia" w:ascii="Calibri" w:hAnsi="宋体" w:eastAsia="宋体" w:cs="宋体"/>
                <w:bCs/>
                <w:szCs w:val="21"/>
              </w:rPr>
              <w:t>序号</w:t>
            </w:r>
          </w:p>
        </w:tc>
        <w:tc>
          <w:tcPr>
            <w:tcW w:w="1236" w:type="dxa"/>
            <w:vAlign w:val="center"/>
          </w:tcPr>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项目名称</w:t>
            </w:r>
          </w:p>
        </w:tc>
        <w:tc>
          <w:tcPr>
            <w:tcW w:w="818" w:type="dxa"/>
            <w:vAlign w:val="center"/>
          </w:tcPr>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起止</w:t>
            </w:r>
          </w:p>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时间</w:t>
            </w:r>
          </w:p>
        </w:tc>
        <w:tc>
          <w:tcPr>
            <w:tcW w:w="1163" w:type="dxa"/>
            <w:vAlign w:val="center"/>
          </w:tcPr>
          <w:p>
            <w:pPr>
              <w:spacing w:line="280" w:lineRule="exact"/>
              <w:ind w:left="-63" w:leftChars="-70" w:hanging="84" w:hangingChars="40"/>
              <w:jc w:val="center"/>
              <w:rPr>
                <w:rFonts w:ascii="Calibri" w:hAnsi="宋体" w:eastAsia="宋体" w:cs="宋体"/>
                <w:bCs/>
                <w:szCs w:val="21"/>
              </w:rPr>
            </w:pPr>
            <w:r>
              <w:rPr>
                <w:rFonts w:hint="eastAsia" w:ascii="Calibri" w:hAnsi="宋体" w:eastAsia="宋体" w:cs="宋体"/>
                <w:bCs/>
                <w:szCs w:val="21"/>
              </w:rPr>
              <w:t>类别</w:t>
            </w:r>
          </w:p>
        </w:tc>
        <w:tc>
          <w:tcPr>
            <w:tcW w:w="936" w:type="dxa"/>
            <w:vAlign w:val="center"/>
          </w:tcPr>
          <w:p>
            <w:pPr>
              <w:spacing w:line="280" w:lineRule="exact"/>
              <w:ind w:left="2" w:leftChars="1" w:firstLine="27" w:firstLineChars="13"/>
              <w:jc w:val="center"/>
              <w:rPr>
                <w:rFonts w:ascii="Calibri" w:hAnsi="宋体" w:eastAsia="宋体" w:cs="宋体"/>
                <w:bCs/>
                <w:szCs w:val="21"/>
              </w:rPr>
            </w:pPr>
            <w:r>
              <w:rPr>
                <w:rFonts w:hint="eastAsia" w:ascii="Calibri" w:hAnsi="宋体" w:eastAsia="宋体" w:cs="宋体"/>
                <w:bCs/>
                <w:szCs w:val="21"/>
              </w:rPr>
              <w:t>业主</w:t>
            </w:r>
          </w:p>
        </w:tc>
        <w:tc>
          <w:tcPr>
            <w:tcW w:w="1032" w:type="dxa"/>
            <w:vAlign w:val="center"/>
          </w:tcPr>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保险</w:t>
            </w:r>
          </w:p>
          <w:p>
            <w:pPr>
              <w:spacing w:line="280" w:lineRule="exact"/>
              <w:ind w:left="2" w:leftChars="1" w:firstLine="35" w:firstLineChars="17"/>
              <w:jc w:val="center"/>
              <w:rPr>
                <w:rFonts w:ascii="Calibri" w:hAnsi="宋体" w:eastAsia="宋体" w:cs="宋体"/>
                <w:bCs/>
                <w:szCs w:val="21"/>
              </w:rPr>
            </w:pPr>
            <w:r>
              <w:rPr>
                <w:rFonts w:hint="eastAsia" w:ascii="Calibri" w:hAnsi="宋体" w:eastAsia="宋体" w:cs="宋体"/>
                <w:bCs/>
                <w:szCs w:val="21"/>
              </w:rPr>
              <w:t>金额</w:t>
            </w:r>
          </w:p>
        </w:tc>
        <w:tc>
          <w:tcPr>
            <w:tcW w:w="708" w:type="dxa"/>
            <w:vAlign w:val="center"/>
          </w:tcPr>
          <w:p>
            <w:pPr>
              <w:spacing w:line="280" w:lineRule="exact"/>
              <w:ind w:left="8" w:leftChars="-24" w:hanging="58" w:hangingChars="28"/>
              <w:jc w:val="center"/>
              <w:rPr>
                <w:rFonts w:ascii="Calibri" w:hAnsi="宋体" w:eastAsia="宋体" w:cs="宋体"/>
                <w:bCs/>
                <w:szCs w:val="21"/>
              </w:rPr>
            </w:pPr>
            <w:r>
              <w:rPr>
                <w:rFonts w:hint="eastAsia" w:ascii="Calibri" w:hAnsi="宋体" w:eastAsia="宋体" w:cs="宋体"/>
                <w:bCs/>
                <w:szCs w:val="21"/>
              </w:rPr>
              <w:t>投保人数</w:t>
            </w:r>
          </w:p>
        </w:tc>
        <w:tc>
          <w:tcPr>
            <w:tcW w:w="993" w:type="dxa"/>
            <w:vAlign w:val="center"/>
          </w:tcPr>
          <w:p>
            <w:pPr>
              <w:spacing w:line="280" w:lineRule="exact"/>
              <w:ind w:left="8" w:leftChars="-24" w:hanging="58" w:hangingChars="28"/>
              <w:jc w:val="center"/>
              <w:rPr>
                <w:rFonts w:ascii="Calibri" w:hAnsi="宋体" w:eastAsia="宋体" w:cs="宋体"/>
                <w:bCs/>
                <w:szCs w:val="21"/>
              </w:rPr>
            </w:pPr>
            <w:r>
              <w:rPr>
                <w:rFonts w:hint="eastAsia" w:ascii="Calibri" w:hAnsi="宋体" w:eastAsia="宋体" w:cs="宋体"/>
                <w:bCs/>
                <w:szCs w:val="21"/>
              </w:rPr>
              <w:t>承保份额（％）</w:t>
            </w:r>
          </w:p>
        </w:tc>
        <w:tc>
          <w:tcPr>
            <w:tcW w:w="1134" w:type="dxa"/>
            <w:vAlign w:val="center"/>
          </w:tcPr>
          <w:p>
            <w:pPr>
              <w:spacing w:line="280" w:lineRule="exact"/>
              <w:ind w:left="2" w:leftChars="1" w:firstLine="29" w:firstLineChars="14"/>
              <w:jc w:val="center"/>
              <w:rPr>
                <w:rFonts w:ascii="Calibri" w:hAnsi="宋体" w:eastAsia="宋体" w:cs="宋体"/>
                <w:bCs/>
                <w:szCs w:val="21"/>
              </w:rPr>
            </w:pPr>
            <w:r>
              <w:rPr>
                <w:rFonts w:hint="eastAsia" w:ascii="Calibri" w:hAnsi="宋体" w:eastAsia="宋体" w:cs="宋体"/>
                <w:bCs/>
                <w:szCs w:val="21"/>
              </w:rPr>
              <w:t>首席承保</w:t>
            </w:r>
          </w:p>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(是/否)</w:t>
            </w:r>
          </w:p>
        </w:tc>
        <w:tc>
          <w:tcPr>
            <w:tcW w:w="850" w:type="dxa"/>
            <w:vAlign w:val="center"/>
          </w:tcPr>
          <w:p>
            <w:pPr>
              <w:spacing w:line="280" w:lineRule="exact"/>
              <w:ind w:left="6" w:leftChars="-23" w:hanging="54" w:hangingChars="26"/>
              <w:jc w:val="center"/>
              <w:rPr>
                <w:rFonts w:ascii="Calibri" w:hAnsi="宋体" w:eastAsia="宋体" w:cs="宋体"/>
                <w:bCs/>
                <w:szCs w:val="21"/>
              </w:rPr>
            </w:pPr>
            <w:r>
              <w:rPr>
                <w:rFonts w:hint="eastAsia" w:ascii="Calibri" w:hAnsi="宋体" w:eastAsia="宋体" w:cs="宋体"/>
                <w:bCs/>
                <w:szCs w:val="21"/>
              </w:rPr>
              <w:t>主要负责人</w:t>
            </w:r>
          </w:p>
        </w:tc>
        <w:tc>
          <w:tcPr>
            <w:tcW w:w="1134" w:type="dxa"/>
            <w:vAlign w:val="center"/>
          </w:tcPr>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证明</w:t>
            </w:r>
          </w:p>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材料及所在页码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35" w:type="dxa"/>
            <w:vAlign w:val="center"/>
          </w:tcPr>
          <w:p>
            <w:pPr>
              <w:spacing w:before="120" w:line="300" w:lineRule="auto"/>
              <w:ind w:left="6" w:leftChars="1" w:right="-38" w:rightChars="-18" w:hanging="4" w:hangingChars="2"/>
              <w:jc w:val="center"/>
              <w:rPr>
                <w:rFonts w:ascii="Calibri" w:hAnsi="宋体" w:eastAsia="宋体" w:cs="宋体"/>
                <w:szCs w:val="21"/>
              </w:rPr>
            </w:pPr>
            <w:r>
              <w:rPr>
                <w:rFonts w:hint="eastAsia" w:ascii="Calibri" w:hAnsi="宋体" w:eastAsia="宋体" w:cs="宋体"/>
                <w:szCs w:val="21"/>
              </w:rPr>
              <w:t>1</w:t>
            </w:r>
          </w:p>
        </w:tc>
        <w:tc>
          <w:tcPr>
            <w:tcW w:w="12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818"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6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9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032"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708" w:type="dxa"/>
          </w:tcPr>
          <w:p>
            <w:pPr>
              <w:spacing w:before="120" w:line="300" w:lineRule="auto"/>
              <w:ind w:left="6" w:leftChars="1" w:right="-38" w:rightChars="-18" w:hanging="4" w:hangingChars="2"/>
              <w:jc w:val="center"/>
              <w:rPr>
                <w:rFonts w:ascii="Calibri" w:hAnsi="宋体" w:eastAsia="宋体" w:cs="宋体"/>
                <w:szCs w:val="21"/>
              </w:rPr>
            </w:pPr>
          </w:p>
        </w:tc>
        <w:tc>
          <w:tcPr>
            <w:tcW w:w="99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tcPr>
          <w:p>
            <w:pPr>
              <w:spacing w:before="120" w:line="300" w:lineRule="auto"/>
              <w:ind w:left="6" w:leftChars="1" w:right="-38" w:rightChars="-18" w:hanging="4" w:hangingChars="2"/>
              <w:jc w:val="center"/>
              <w:rPr>
                <w:rFonts w:ascii="Calibri" w:hAnsi="宋体" w:eastAsia="宋体" w:cs="宋体"/>
                <w:szCs w:val="21"/>
              </w:rPr>
            </w:pPr>
          </w:p>
        </w:tc>
        <w:tc>
          <w:tcPr>
            <w:tcW w:w="850"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vAlign w:val="center"/>
          </w:tcPr>
          <w:p>
            <w:pPr>
              <w:spacing w:before="120" w:line="300"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35" w:type="dxa"/>
            <w:vAlign w:val="center"/>
          </w:tcPr>
          <w:p>
            <w:pPr>
              <w:spacing w:before="120" w:line="300" w:lineRule="auto"/>
              <w:ind w:left="6" w:leftChars="1" w:right="-38" w:rightChars="-18" w:hanging="4" w:hangingChars="2"/>
              <w:jc w:val="center"/>
              <w:rPr>
                <w:rFonts w:ascii="Calibri" w:hAnsi="宋体" w:eastAsia="宋体" w:cs="宋体"/>
                <w:szCs w:val="21"/>
              </w:rPr>
            </w:pPr>
            <w:r>
              <w:rPr>
                <w:rFonts w:hint="eastAsia" w:ascii="Calibri" w:hAnsi="宋体" w:eastAsia="宋体" w:cs="宋体"/>
                <w:szCs w:val="21"/>
              </w:rPr>
              <w:t>2</w:t>
            </w:r>
          </w:p>
        </w:tc>
        <w:tc>
          <w:tcPr>
            <w:tcW w:w="12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818"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6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9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032"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708" w:type="dxa"/>
          </w:tcPr>
          <w:p>
            <w:pPr>
              <w:spacing w:before="120" w:line="300" w:lineRule="auto"/>
              <w:ind w:left="6" w:leftChars="1" w:right="-38" w:rightChars="-18" w:hanging="4" w:hangingChars="2"/>
              <w:jc w:val="center"/>
              <w:rPr>
                <w:rFonts w:ascii="Calibri" w:hAnsi="宋体" w:eastAsia="宋体" w:cs="宋体"/>
                <w:szCs w:val="21"/>
              </w:rPr>
            </w:pPr>
          </w:p>
        </w:tc>
        <w:tc>
          <w:tcPr>
            <w:tcW w:w="99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tcPr>
          <w:p>
            <w:pPr>
              <w:spacing w:before="120" w:line="300" w:lineRule="auto"/>
              <w:ind w:left="6" w:leftChars="1" w:right="-38" w:rightChars="-18" w:hanging="4" w:hangingChars="2"/>
              <w:jc w:val="center"/>
              <w:rPr>
                <w:rFonts w:ascii="Calibri" w:hAnsi="宋体" w:eastAsia="宋体" w:cs="宋体"/>
                <w:szCs w:val="21"/>
              </w:rPr>
            </w:pPr>
          </w:p>
        </w:tc>
        <w:tc>
          <w:tcPr>
            <w:tcW w:w="850"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vAlign w:val="center"/>
          </w:tcPr>
          <w:p>
            <w:pPr>
              <w:spacing w:before="120" w:line="300"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35" w:type="dxa"/>
            <w:vAlign w:val="center"/>
          </w:tcPr>
          <w:p>
            <w:pPr>
              <w:spacing w:before="120" w:line="300" w:lineRule="auto"/>
              <w:ind w:left="6" w:leftChars="1" w:right="-38" w:rightChars="-18" w:hanging="4" w:hangingChars="2"/>
              <w:jc w:val="center"/>
              <w:rPr>
                <w:rFonts w:ascii="Calibri" w:hAnsi="宋体" w:eastAsia="宋体" w:cs="宋体"/>
                <w:szCs w:val="21"/>
              </w:rPr>
            </w:pPr>
            <w:r>
              <w:rPr>
                <w:rFonts w:hint="eastAsia" w:ascii="Calibri" w:hAnsi="宋体" w:eastAsia="宋体" w:cs="宋体"/>
                <w:szCs w:val="21"/>
              </w:rPr>
              <w:t>3</w:t>
            </w:r>
          </w:p>
        </w:tc>
        <w:tc>
          <w:tcPr>
            <w:tcW w:w="12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818"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6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9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032"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708" w:type="dxa"/>
          </w:tcPr>
          <w:p>
            <w:pPr>
              <w:spacing w:before="120" w:line="300" w:lineRule="auto"/>
              <w:ind w:left="6" w:leftChars="1" w:right="-38" w:rightChars="-18" w:hanging="4" w:hangingChars="2"/>
              <w:jc w:val="center"/>
              <w:rPr>
                <w:rFonts w:ascii="Calibri" w:hAnsi="宋体" w:eastAsia="宋体" w:cs="宋体"/>
                <w:szCs w:val="21"/>
              </w:rPr>
            </w:pPr>
          </w:p>
        </w:tc>
        <w:tc>
          <w:tcPr>
            <w:tcW w:w="99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tcPr>
          <w:p>
            <w:pPr>
              <w:spacing w:before="120" w:line="300" w:lineRule="auto"/>
              <w:ind w:left="6" w:leftChars="1" w:right="-38" w:rightChars="-18" w:hanging="4" w:hangingChars="2"/>
              <w:jc w:val="center"/>
              <w:rPr>
                <w:rFonts w:ascii="Calibri" w:hAnsi="宋体" w:eastAsia="宋体" w:cs="宋体"/>
                <w:szCs w:val="21"/>
              </w:rPr>
            </w:pPr>
          </w:p>
        </w:tc>
        <w:tc>
          <w:tcPr>
            <w:tcW w:w="850"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vAlign w:val="center"/>
          </w:tcPr>
          <w:p>
            <w:pPr>
              <w:spacing w:before="120" w:line="300"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35" w:type="dxa"/>
            <w:vAlign w:val="center"/>
          </w:tcPr>
          <w:p>
            <w:pPr>
              <w:spacing w:before="120" w:line="300" w:lineRule="auto"/>
              <w:ind w:left="6" w:leftChars="1" w:right="-38" w:rightChars="-18" w:hanging="4" w:hangingChars="2"/>
              <w:jc w:val="center"/>
              <w:rPr>
                <w:rFonts w:ascii="Calibri" w:hAnsi="宋体" w:eastAsia="宋体" w:cs="宋体"/>
                <w:szCs w:val="21"/>
              </w:rPr>
            </w:pPr>
            <w:r>
              <w:rPr>
                <w:rFonts w:hint="eastAsia" w:ascii="Calibri" w:hAnsi="宋体" w:eastAsia="宋体" w:cs="宋体"/>
                <w:szCs w:val="21"/>
              </w:rPr>
              <w:t>……</w:t>
            </w:r>
          </w:p>
        </w:tc>
        <w:tc>
          <w:tcPr>
            <w:tcW w:w="12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818"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6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9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032"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708" w:type="dxa"/>
          </w:tcPr>
          <w:p>
            <w:pPr>
              <w:spacing w:before="120" w:line="300" w:lineRule="auto"/>
              <w:ind w:left="6" w:leftChars="1" w:right="-38" w:rightChars="-18" w:hanging="4" w:hangingChars="2"/>
              <w:jc w:val="center"/>
              <w:rPr>
                <w:rFonts w:ascii="Calibri" w:hAnsi="宋体" w:eastAsia="宋体" w:cs="宋体"/>
                <w:szCs w:val="21"/>
              </w:rPr>
            </w:pPr>
          </w:p>
        </w:tc>
        <w:tc>
          <w:tcPr>
            <w:tcW w:w="99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tcPr>
          <w:p>
            <w:pPr>
              <w:spacing w:before="120" w:line="300" w:lineRule="auto"/>
              <w:ind w:left="6" w:leftChars="1" w:right="-38" w:rightChars="-18" w:hanging="4" w:hangingChars="2"/>
              <w:jc w:val="center"/>
              <w:rPr>
                <w:rFonts w:ascii="Calibri" w:hAnsi="宋体" w:eastAsia="宋体" w:cs="宋体"/>
                <w:szCs w:val="21"/>
              </w:rPr>
            </w:pPr>
          </w:p>
        </w:tc>
        <w:tc>
          <w:tcPr>
            <w:tcW w:w="850"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vAlign w:val="center"/>
          </w:tcPr>
          <w:p>
            <w:pPr>
              <w:spacing w:before="120" w:line="300" w:lineRule="auto"/>
              <w:ind w:left="6" w:leftChars="1" w:right="-38" w:rightChars="-18" w:hanging="4" w:hangingChars="2"/>
              <w:jc w:val="center"/>
              <w:rPr>
                <w:rFonts w:ascii="Calibri" w:hAnsi="宋体" w:eastAsia="宋体" w:cs="宋体"/>
                <w:szCs w:val="21"/>
              </w:rPr>
            </w:pPr>
          </w:p>
        </w:tc>
      </w:tr>
    </w:tbl>
    <w:p>
      <w:pPr>
        <w:spacing w:line="300" w:lineRule="auto"/>
        <w:ind w:firstLine="420"/>
        <w:rPr>
          <w:rFonts w:hAnsi="宋体" w:eastAsia="宋体" w:cs="宋体"/>
          <w:szCs w:val="21"/>
        </w:rPr>
      </w:pPr>
      <w:r>
        <w:rPr>
          <w:rFonts w:hint="eastAsia" w:hAnsi="宋体" w:eastAsia="宋体" w:cs="宋体"/>
          <w:szCs w:val="21"/>
        </w:rPr>
        <w:t>注：请按照承保时间先后顺序排列。</w:t>
      </w:r>
    </w:p>
    <w:bookmarkEnd w:id="1058"/>
    <w:bookmarkEnd w:id="1059"/>
    <w:p>
      <w:pPr>
        <w:spacing w:before="120" w:line="300" w:lineRule="auto"/>
        <w:jc w:val="center"/>
        <w:outlineLvl w:val="1"/>
        <w:rPr>
          <w:rFonts w:hAnsi="宋体" w:eastAsia="宋体" w:cs="宋体"/>
          <w:b/>
          <w:szCs w:val="21"/>
        </w:rPr>
      </w:pPr>
      <w:bookmarkStart w:id="1060" w:name="_Toc25464"/>
      <w:bookmarkStart w:id="1061" w:name="_Toc9854"/>
    </w:p>
    <w:bookmarkEnd w:id="1060"/>
    <w:bookmarkEnd w:id="1061"/>
    <w:p>
      <w:pPr>
        <w:pStyle w:val="14"/>
        <w:snapToGrid w:val="0"/>
        <w:spacing w:before="120" w:line="300" w:lineRule="auto"/>
        <w:ind w:firstLine="0"/>
        <w:rPr>
          <w:rFonts w:ascii="宋体" w:hAnsi="宋体" w:eastAsia="宋体" w:cs="宋体"/>
          <w:sz w:val="21"/>
          <w:szCs w:val="21"/>
        </w:rPr>
      </w:pPr>
      <w:r>
        <w:rPr>
          <w:rFonts w:hint="eastAsia" w:ascii="宋体" w:hAnsi="宋体" w:eastAsia="宋体" w:cs="宋体"/>
          <w:sz w:val="21"/>
          <w:szCs w:val="21"/>
        </w:rPr>
        <w:t>（以上表格不够可按格式扩展）</w:t>
      </w:r>
    </w:p>
    <w:p>
      <w:pPr>
        <w:pStyle w:val="14"/>
        <w:snapToGrid w:val="0"/>
        <w:spacing w:before="120" w:line="300" w:lineRule="auto"/>
        <w:ind w:left="1205" w:hanging="1205"/>
        <w:rPr>
          <w:rFonts w:ascii="宋体" w:hAnsi="宋体" w:eastAsia="宋体" w:cs="宋体"/>
          <w:sz w:val="21"/>
          <w:szCs w:val="21"/>
        </w:rPr>
      </w:pPr>
    </w:p>
    <w:p>
      <w:pPr>
        <w:pStyle w:val="14"/>
        <w:snapToGrid w:val="0"/>
        <w:spacing w:before="120" w:line="300" w:lineRule="auto"/>
        <w:ind w:left="1205" w:hanging="1205"/>
        <w:rPr>
          <w:rFonts w:ascii="宋体" w:hAnsi="宋体" w:eastAsia="宋体" w:cs="宋体"/>
          <w:sz w:val="21"/>
          <w:szCs w:val="21"/>
        </w:rPr>
      </w:pPr>
      <w:r>
        <w:rPr>
          <w:rFonts w:hint="eastAsia" w:ascii="宋体" w:hAnsi="宋体" w:eastAsia="宋体" w:cs="宋体"/>
          <w:sz w:val="21"/>
          <w:szCs w:val="21"/>
        </w:rPr>
        <w:t>注：</w:t>
      </w:r>
    </w:p>
    <w:p>
      <w:pPr>
        <w:pStyle w:val="14"/>
        <w:numPr>
          <w:ilvl w:val="0"/>
          <w:numId w:val="50"/>
        </w:numPr>
        <w:snapToGrid w:val="0"/>
        <w:spacing w:before="120" w:line="360" w:lineRule="exact"/>
        <w:ind w:firstLine="0"/>
        <w:rPr>
          <w:rFonts w:eastAsia="宋体"/>
          <w:sz w:val="21"/>
          <w:szCs w:val="21"/>
        </w:rPr>
      </w:pPr>
      <w:r>
        <w:rPr>
          <w:rFonts w:hint="eastAsia" w:ascii="宋体" w:hAnsi="宋体" w:eastAsia="宋体" w:cs="宋体"/>
          <w:sz w:val="21"/>
          <w:szCs w:val="21"/>
        </w:rPr>
        <w:t>上述承保业绩以能提供保险合同（或保单抄件）复印件为准，且证明材料需能够体现项目名称、承保公司、承保身份（首席/共保）、总保险金额、</w:t>
      </w:r>
      <w:r>
        <w:rPr>
          <w:rFonts w:ascii="宋体" w:hAnsi="宋体" w:eastAsia="宋体" w:cs="宋体"/>
          <w:sz w:val="21"/>
          <w:szCs w:val="21"/>
        </w:rPr>
        <w:t>投保人数</w:t>
      </w:r>
      <w:r>
        <w:rPr>
          <w:rFonts w:hint="eastAsia" w:ascii="宋体" w:hAnsi="宋体" w:eastAsia="宋体" w:cs="宋体"/>
          <w:sz w:val="21"/>
          <w:szCs w:val="21"/>
        </w:rPr>
        <w:t>和保险期限；理赔业绩以能提供赔款支付或分摊凭证复印件为准，且证明材料需能够体现项目名称、承保身份（首席/共保）和保单赔偿金额。</w:t>
      </w:r>
      <w:r>
        <w:rPr>
          <w:rFonts w:hint="eastAsia" w:eastAsia="宋体"/>
          <w:sz w:val="21"/>
          <w:szCs w:val="21"/>
        </w:rPr>
        <w:t>投标人再保险分入业绩和法人单位下设分支机构的业绩不视为投标人的业绩。</w:t>
      </w:r>
    </w:p>
    <w:p>
      <w:pPr>
        <w:pStyle w:val="14"/>
        <w:snapToGrid w:val="0"/>
        <w:spacing w:before="120" w:line="360" w:lineRule="exact"/>
        <w:ind w:firstLine="0"/>
        <w:rPr>
          <w:rFonts w:ascii="宋体" w:hAnsi="宋体" w:eastAsia="宋体" w:cs="宋体"/>
          <w:sz w:val="21"/>
          <w:szCs w:val="21"/>
        </w:rPr>
      </w:pPr>
      <w:r>
        <w:rPr>
          <w:rFonts w:hint="eastAsia" w:ascii="宋体" w:hAnsi="宋体" w:eastAsia="宋体" w:cs="宋体"/>
          <w:sz w:val="21"/>
          <w:szCs w:val="21"/>
        </w:rPr>
        <w:t>2、表中，投标人应列出符合要求的相应项目承保或理赔业绩，如有不实，一旦查证将导致其投标被拒绝或投标结果作废。</w:t>
      </w:r>
    </w:p>
    <w:p>
      <w:pPr>
        <w:pStyle w:val="14"/>
        <w:snapToGrid w:val="0"/>
        <w:spacing w:before="120" w:line="300" w:lineRule="auto"/>
        <w:ind w:left="1205" w:hanging="1205"/>
        <w:rPr>
          <w:rFonts w:ascii="宋体" w:hAnsi="宋体" w:eastAsia="宋体" w:cs="宋体"/>
          <w:sz w:val="21"/>
          <w:szCs w:val="21"/>
        </w:rPr>
      </w:pPr>
    </w:p>
    <w:p>
      <w:pPr>
        <w:pStyle w:val="30"/>
        <w:spacing w:before="120" w:line="300" w:lineRule="auto"/>
        <w:ind w:left="239" w:leftChars="114" w:firstLine="420"/>
        <w:rPr>
          <w:rFonts w:hAnsi="宋体" w:eastAsia="宋体"/>
          <w:i w:val="0"/>
          <w:sz w:val="21"/>
          <w:szCs w:val="21"/>
        </w:rPr>
      </w:pPr>
      <w:r>
        <w:rPr>
          <w:rFonts w:hint="eastAsia" w:hAnsi="宋体" w:eastAsia="宋体"/>
          <w:i w:val="0"/>
          <w:sz w:val="21"/>
          <w:szCs w:val="21"/>
        </w:rPr>
        <w:t>投标人（公章）：</w:t>
      </w:r>
    </w:p>
    <w:p>
      <w:pPr>
        <w:pStyle w:val="30"/>
        <w:spacing w:before="120" w:line="300" w:lineRule="auto"/>
        <w:ind w:left="239" w:leftChars="114" w:firstLine="420"/>
        <w:rPr>
          <w:rFonts w:hAnsi="宋体" w:eastAsia="宋体"/>
          <w:i w:val="0"/>
          <w:sz w:val="21"/>
          <w:szCs w:val="21"/>
        </w:rPr>
      </w:pPr>
      <w:r>
        <w:rPr>
          <w:rFonts w:hint="eastAsia" w:hAnsi="宋体" w:eastAsia="宋体"/>
          <w:i w:val="0"/>
          <w:sz w:val="21"/>
          <w:szCs w:val="21"/>
        </w:rPr>
        <w:t xml:space="preserve">法定代表人（负责人）或授权代理人（签字或盖章）： </w:t>
      </w:r>
    </w:p>
    <w:p>
      <w:pPr>
        <w:pStyle w:val="30"/>
        <w:spacing w:before="120" w:line="300" w:lineRule="auto"/>
        <w:ind w:left="239" w:leftChars="114" w:firstLine="420"/>
        <w:rPr>
          <w:rFonts w:hAnsi="宋体" w:eastAsia="宋体" w:cs="宋体"/>
          <w:i w:val="0"/>
          <w:sz w:val="21"/>
          <w:szCs w:val="21"/>
        </w:rPr>
      </w:pPr>
      <w:r>
        <w:rPr>
          <w:rFonts w:hint="eastAsia" w:hAnsi="宋体" w:eastAsia="宋体"/>
          <w:i w:val="0"/>
          <w:sz w:val="21"/>
          <w:szCs w:val="21"/>
        </w:rPr>
        <w:t>日期：</w:t>
      </w:r>
    </w:p>
    <w:p>
      <w:pPr>
        <w:pStyle w:val="14"/>
        <w:spacing w:before="120" w:beforeLines="50" w:line="300" w:lineRule="auto"/>
        <w:ind w:firstLine="480" w:firstLineChars="200"/>
        <w:rPr>
          <w:rFonts w:ascii="宋体" w:hAnsi="宋体" w:eastAsia="宋体" w:cs="宋体"/>
          <w:szCs w:val="21"/>
        </w:rPr>
      </w:pPr>
      <w:r>
        <w:rPr>
          <w:rFonts w:ascii="宋体" w:hAnsi="宋体" w:eastAsia="宋体" w:cs="宋体"/>
          <w:szCs w:val="21"/>
        </w:rPr>
        <w:br w:type="page"/>
      </w:r>
    </w:p>
    <w:p>
      <w:pPr>
        <w:outlineLvl w:val="1"/>
        <w:rPr>
          <w:rFonts w:hAnsi="宋体" w:eastAsia="宋体" w:cs="宋体"/>
          <w:szCs w:val="21"/>
        </w:rPr>
      </w:pPr>
      <w:r>
        <w:rPr>
          <w:rFonts w:hint="eastAsia" w:hAnsi="宋体" w:eastAsia="宋体" w:cs="宋体"/>
          <w:szCs w:val="21"/>
        </w:rPr>
        <w:t>B4-</w:t>
      </w:r>
      <w:r>
        <w:rPr>
          <w:rFonts w:hAnsi="宋体" w:eastAsia="宋体" w:cs="宋体"/>
          <w:szCs w:val="21"/>
        </w:rPr>
        <w:t>2</w:t>
      </w:r>
      <w:r>
        <w:rPr>
          <w:rFonts w:hint="eastAsia" w:hAnsi="宋体" w:eastAsia="宋体" w:cs="宋体"/>
          <w:szCs w:val="21"/>
        </w:rPr>
        <w:t>、2018年1月1日至今做为共保承保承担的中国境内（港澳台地区除外）企业安全生产责任保险共保承保业绩。</w:t>
      </w:r>
    </w:p>
    <w:p>
      <w:pPr>
        <w:outlineLvl w:val="1"/>
        <w:rPr>
          <w:rFonts w:hAnsi="宋体" w:eastAsia="宋体" w:cs="宋体"/>
          <w:szCs w:val="21"/>
        </w:rPr>
      </w:pPr>
    </w:p>
    <w:p>
      <w:pPr>
        <w:spacing w:line="460" w:lineRule="exact"/>
        <w:ind w:firstLine="602"/>
        <w:jc w:val="center"/>
        <w:rPr>
          <w:rFonts w:hAnsi="宋体" w:eastAsia="宋体" w:cs="宋体"/>
          <w:b/>
          <w:bCs/>
          <w:sz w:val="30"/>
          <w:szCs w:val="30"/>
        </w:rPr>
      </w:pPr>
      <w:r>
        <w:rPr>
          <w:rFonts w:hint="eastAsia" w:hAnsi="宋体" w:eastAsia="宋体" w:cs="宋体"/>
          <w:b/>
          <w:bCs/>
          <w:sz w:val="30"/>
          <w:szCs w:val="30"/>
        </w:rPr>
        <w:t>四、</w:t>
      </w:r>
      <w:r>
        <w:rPr>
          <w:rFonts w:hAnsi="宋体" w:eastAsia="宋体" w:cs="宋体"/>
          <w:b/>
          <w:bCs/>
          <w:sz w:val="30"/>
          <w:szCs w:val="30"/>
        </w:rPr>
        <w:t>（2）</w:t>
      </w:r>
      <w:r>
        <w:rPr>
          <w:rFonts w:hint="eastAsia" w:hAnsi="宋体" w:eastAsia="宋体" w:cs="宋体"/>
          <w:b/>
          <w:bCs/>
          <w:sz w:val="30"/>
          <w:szCs w:val="30"/>
        </w:rPr>
        <w:t>2018年1月1日至今做为共保承保承担的中国境内（港澳台地区除外）企业安全生产责任保险共保承保业绩表</w:t>
      </w:r>
    </w:p>
    <w:p>
      <w:pPr>
        <w:spacing w:before="120" w:line="276" w:lineRule="auto"/>
        <w:ind w:firstLine="420"/>
        <w:rPr>
          <w:rFonts w:hAnsi="宋体" w:eastAsia="宋体" w:cs="宋体"/>
          <w:szCs w:val="21"/>
        </w:rPr>
      </w:pPr>
    </w:p>
    <w:p>
      <w:pPr>
        <w:ind w:firstLine="422"/>
        <w:jc w:val="right"/>
        <w:rPr>
          <w:rFonts w:hAnsi="宋体" w:eastAsia="宋体" w:cs="宋体"/>
          <w:b/>
          <w:szCs w:val="21"/>
        </w:rPr>
      </w:pPr>
      <w:r>
        <w:rPr>
          <w:rFonts w:hint="eastAsia" w:ascii="宋体" w:hAnsi="宋体" w:eastAsia="宋体" w:cs="宋体"/>
          <w:kern w:val="0"/>
          <w:szCs w:val="21"/>
        </w:rPr>
        <w:t>货币单位：人民币万元</w:t>
      </w:r>
    </w:p>
    <w:tbl>
      <w:tblPr>
        <w:tblStyle w:val="47"/>
        <w:tblW w:w="10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36"/>
        <w:gridCol w:w="818"/>
        <w:gridCol w:w="1163"/>
        <w:gridCol w:w="936"/>
        <w:gridCol w:w="1032"/>
        <w:gridCol w:w="708"/>
        <w:gridCol w:w="993"/>
        <w:gridCol w:w="1134"/>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pacing w:line="280" w:lineRule="exact"/>
              <w:ind w:left="2" w:leftChars="1" w:firstLine="96" w:firstLineChars="46"/>
              <w:jc w:val="center"/>
              <w:rPr>
                <w:rFonts w:ascii="Calibri" w:hAnsi="宋体" w:eastAsia="宋体" w:cs="宋体"/>
                <w:bCs/>
                <w:szCs w:val="21"/>
              </w:rPr>
            </w:pPr>
            <w:r>
              <w:rPr>
                <w:rFonts w:hint="eastAsia" w:ascii="Calibri" w:hAnsi="宋体" w:eastAsia="宋体" w:cs="宋体"/>
                <w:bCs/>
                <w:szCs w:val="21"/>
              </w:rPr>
              <w:t>序号</w:t>
            </w:r>
          </w:p>
        </w:tc>
        <w:tc>
          <w:tcPr>
            <w:tcW w:w="1236" w:type="dxa"/>
            <w:vAlign w:val="center"/>
          </w:tcPr>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项目名称</w:t>
            </w:r>
          </w:p>
        </w:tc>
        <w:tc>
          <w:tcPr>
            <w:tcW w:w="818" w:type="dxa"/>
            <w:vAlign w:val="center"/>
          </w:tcPr>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起止</w:t>
            </w:r>
          </w:p>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时间</w:t>
            </w:r>
          </w:p>
        </w:tc>
        <w:tc>
          <w:tcPr>
            <w:tcW w:w="1163" w:type="dxa"/>
            <w:vAlign w:val="center"/>
          </w:tcPr>
          <w:p>
            <w:pPr>
              <w:spacing w:line="280" w:lineRule="exact"/>
              <w:ind w:left="-63" w:leftChars="-70" w:hanging="84" w:hangingChars="40"/>
              <w:jc w:val="center"/>
              <w:rPr>
                <w:rFonts w:ascii="Calibri" w:hAnsi="宋体" w:eastAsia="宋体" w:cs="宋体"/>
                <w:bCs/>
                <w:szCs w:val="21"/>
              </w:rPr>
            </w:pPr>
            <w:r>
              <w:rPr>
                <w:rFonts w:hint="eastAsia" w:ascii="Calibri" w:hAnsi="宋体" w:eastAsia="宋体" w:cs="宋体"/>
                <w:bCs/>
                <w:szCs w:val="21"/>
              </w:rPr>
              <w:t>类别</w:t>
            </w:r>
          </w:p>
        </w:tc>
        <w:tc>
          <w:tcPr>
            <w:tcW w:w="936" w:type="dxa"/>
            <w:vAlign w:val="center"/>
          </w:tcPr>
          <w:p>
            <w:pPr>
              <w:spacing w:line="280" w:lineRule="exact"/>
              <w:ind w:left="2" w:leftChars="1" w:firstLine="27" w:firstLineChars="13"/>
              <w:jc w:val="center"/>
              <w:rPr>
                <w:rFonts w:ascii="Calibri" w:hAnsi="宋体" w:eastAsia="宋体" w:cs="宋体"/>
                <w:bCs/>
                <w:szCs w:val="21"/>
              </w:rPr>
            </w:pPr>
            <w:r>
              <w:rPr>
                <w:rFonts w:hint="eastAsia" w:ascii="Calibri" w:hAnsi="宋体" w:eastAsia="宋体" w:cs="宋体"/>
                <w:bCs/>
                <w:szCs w:val="21"/>
              </w:rPr>
              <w:t>业主</w:t>
            </w:r>
          </w:p>
        </w:tc>
        <w:tc>
          <w:tcPr>
            <w:tcW w:w="1032" w:type="dxa"/>
            <w:vAlign w:val="center"/>
          </w:tcPr>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保险</w:t>
            </w:r>
          </w:p>
          <w:p>
            <w:pPr>
              <w:spacing w:line="280" w:lineRule="exact"/>
              <w:ind w:left="2" w:leftChars="1" w:firstLine="35" w:firstLineChars="17"/>
              <w:jc w:val="center"/>
              <w:rPr>
                <w:rFonts w:ascii="Calibri" w:hAnsi="宋体" w:eastAsia="宋体" w:cs="宋体"/>
                <w:bCs/>
                <w:szCs w:val="21"/>
              </w:rPr>
            </w:pPr>
            <w:r>
              <w:rPr>
                <w:rFonts w:hint="eastAsia" w:ascii="Calibri" w:hAnsi="宋体" w:eastAsia="宋体" w:cs="宋体"/>
                <w:bCs/>
                <w:szCs w:val="21"/>
              </w:rPr>
              <w:t>金额</w:t>
            </w:r>
          </w:p>
        </w:tc>
        <w:tc>
          <w:tcPr>
            <w:tcW w:w="708" w:type="dxa"/>
            <w:vAlign w:val="center"/>
          </w:tcPr>
          <w:p>
            <w:pPr>
              <w:spacing w:line="280" w:lineRule="exact"/>
              <w:ind w:left="8" w:leftChars="-24" w:hanging="58" w:hangingChars="28"/>
              <w:jc w:val="center"/>
              <w:rPr>
                <w:rFonts w:ascii="Calibri" w:hAnsi="宋体" w:eastAsia="宋体" w:cs="宋体"/>
                <w:bCs/>
                <w:szCs w:val="21"/>
              </w:rPr>
            </w:pPr>
            <w:r>
              <w:rPr>
                <w:rFonts w:hint="eastAsia" w:ascii="Calibri" w:hAnsi="宋体" w:eastAsia="宋体" w:cs="宋体"/>
                <w:bCs/>
                <w:szCs w:val="21"/>
              </w:rPr>
              <w:t>投保人数</w:t>
            </w:r>
          </w:p>
        </w:tc>
        <w:tc>
          <w:tcPr>
            <w:tcW w:w="993" w:type="dxa"/>
            <w:vAlign w:val="center"/>
          </w:tcPr>
          <w:p>
            <w:pPr>
              <w:spacing w:line="280" w:lineRule="exact"/>
              <w:ind w:left="8" w:leftChars="-24" w:hanging="58" w:hangingChars="28"/>
              <w:jc w:val="center"/>
              <w:rPr>
                <w:rFonts w:ascii="Calibri" w:hAnsi="宋体" w:eastAsia="宋体" w:cs="宋体"/>
                <w:bCs/>
                <w:szCs w:val="21"/>
              </w:rPr>
            </w:pPr>
            <w:r>
              <w:rPr>
                <w:rFonts w:hint="eastAsia" w:ascii="Calibri" w:hAnsi="宋体" w:eastAsia="宋体" w:cs="宋体"/>
                <w:bCs/>
                <w:szCs w:val="21"/>
              </w:rPr>
              <w:t>承保份额（％）</w:t>
            </w:r>
          </w:p>
        </w:tc>
        <w:tc>
          <w:tcPr>
            <w:tcW w:w="1134" w:type="dxa"/>
            <w:vAlign w:val="center"/>
          </w:tcPr>
          <w:p>
            <w:pPr>
              <w:spacing w:line="280" w:lineRule="exact"/>
              <w:ind w:left="2" w:leftChars="1" w:firstLine="29" w:firstLineChars="14"/>
              <w:jc w:val="center"/>
              <w:rPr>
                <w:rFonts w:ascii="Calibri" w:hAnsi="宋体" w:eastAsia="宋体" w:cs="宋体"/>
                <w:bCs/>
                <w:szCs w:val="21"/>
              </w:rPr>
            </w:pPr>
            <w:r>
              <w:rPr>
                <w:rFonts w:hint="eastAsia" w:ascii="Calibri" w:hAnsi="宋体" w:eastAsia="宋体" w:cs="宋体"/>
                <w:bCs/>
                <w:szCs w:val="21"/>
              </w:rPr>
              <w:t>共保承保</w:t>
            </w:r>
          </w:p>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(是/否)</w:t>
            </w:r>
          </w:p>
        </w:tc>
        <w:tc>
          <w:tcPr>
            <w:tcW w:w="850" w:type="dxa"/>
            <w:vAlign w:val="center"/>
          </w:tcPr>
          <w:p>
            <w:pPr>
              <w:spacing w:line="280" w:lineRule="exact"/>
              <w:ind w:left="6" w:leftChars="-23" w:hanging="54" w:hangingChars="26"/>
              <w:jc w:val="center"/>
              <w:rPr>
                <w:rFonts w:ascii="Calibri" w:hAnsi="宋体" w:eastAsia="宋体" w:cs="宋体"/>
                <w:bCs/>
                <w:szCs w:val="21"/>
              </w:rPr>
            </w:pPr>
            <w:r>
              <w:rPr>
                <w:rFonts w:hint="eastAsia" w:ascii="Calibri" w:hAnsi="宋体" w:eastAsia="宋体" w:cs="宋体"/>
                <w:bCs/>
                <w:szCs w:val="21"/>
              </w:rPr>
              <w:t>主要负责人</w:t>
            </w:r>
          </w:p>
        </w:tc>
        <w:tc>
          <w:tcPr>
            <w:tcW w:w="1134" w:type="dxa"/>
            <w:vAlign w:val="center"/>
          </w:tcPr>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证明</w:t>
            </w:r>
          </w:p>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材料及所在页码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35" w:type="dxa"/>
            <w:vAlign w:val="center"/>
          </w:tcPr>
          <w:p>
            <w:pPr>
              <w:spacing w:before="120" w:line="300" w:lineRule="auto"/>
              <w:ind w:left="6" w:leftChars="1" w:right="-38" w:rightChars="-18" w:hanging="4" w:hangingChars="2"/>
              <w:jc w:val="center"/>
              <w:rPr>
                <w:rFonts w:ascii="Calibri" w:hAnsi="宋体" w:eastAsia="宋体" w:cs="宋体"/>
                <w:szCs w:val="21"/>
              </w:rPr>
            </w:pPr>
            <w:r>
              <w:rPr>
                <w:rFonts w:hint="eastAsia" w:ascii="Calibri" w:hAnsi="宋体" w:eastAsia="宋体" w:cs="宋体"/>
                <w:szCs w:val="21"/>
              </w:rPr>
              <w:t>1</w:t>
            </w:r>
          </w:p>
        </w:tc>
        <w:tc>
          <w:tcPr>
            <w:tcW w:w="12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818"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6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9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032"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708" w:type="dxa"/>
          </w:tcPr>
          <w:p>
            <w:pPr>
              <w:spacing w:before="120" w:line="300" w:lineRule="auto"/>
              <w:ind w:left="6" w:leftChars="1" w:right="-38" w:rightChars="-18" w:hanging="4" w:hangingChars="2"/>
              <w:jc w:val="center"/>
              <w:rPr>
                <w:rFonts w:ascii="Calibri" w:hAnsi="宋体" w:eastAsia="宋体" w:cs="宋体"/>
                <w:szCs w:val="21"/>
              </w:rPr>
            </w:pPr>
          </w:p>
        </w:tc>
        <w:tc>
          <w:tcPr>
            <w:tcW w:w="99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tcPr>
          <w:p>
            <w:pPr>
              <w:spacing w:before="120" w:line="300" w:lineRule="auto"/>
              <w:ind w:left="6" w:leftChars="1" w:right="-38" w:rightChars="-18" w:hanging="4" w:hangingChars="2"/>
              <w:jc w:val="center"/>
              <w:rPr>
                <w:rFonts w:ascii="Calibri" w:hAnsi="宋体" w:eastAsia="宋体" w:cs="宋体"/>
                <w:szCs w:val="21"/>
              </w:rPr>
            </w:pPr>
          </w:p>
        </w:tc>
        <w:tc>
          <w:tcPr>
            <w:tcW w:w="850"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vAlign w:val="center"/>
          </w:tcPr>
          <w:p>
            <w:pPr>
              <w:spacing w:before="120" w:line="300"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35" w:type="dxa"/>
            <w:vAlign w:val="center"/>
          </w:tcPr>
          <w:p>
            <w:pPr>
              <w:spacing w:before="120" w:line="300" w:lineRule="auto"/>
              <w:ind w:left="6" w:leftChars="1" w:right="-38" w:rightChars="-18" w:hanging="4" w:hangingChars="2"/>
              <w:jc w:val="center"/>
              <w:rPr>
                <w:rFonts w:ascii="Calibri" w:hAnsi="宋体" w:eastAsia="宋体" w:cs="宋体"/>
                <w:szCs w:val="21"/>
              </w:rPr>
            </w:pPr>
            <w:r>
              <w:rPr>
                <w:rFonts w:hint="eastAsia" w:ascii="Calibri" w:hAnsi="宋体" w:eastAsia="宋体" w:cs="宋体"/>
                <w:szCs w:val="21"/>
              </w:rPr>
              <w:t>2</w:t>
            </w:r>
          </w:p>
        </w:tc>
        <w:tc>
          <w:tcPr>
            <w:tcW w:w="12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818"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6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9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032"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708" w:type="dxa"/>
          </w:tcPr>
          <w:p>
            <w:pPr>
              <w:spacing w:before="120" w:line="300" w:lineRule="auto"/>
              <w:ind w:left="6" w:leftChars="1" w:right="-38" w:rightChars="-18" w:hanging="4" w:hangingChars="2"/>
              <w:jc w:val="center"/>
              <w:rPr>
                <w:rFonts w:ascii="Calibri" w:hAnsi="宋体" w:eastAsia="宋体" w:cs="宋体"/>
                <w:szCs w:val="21"/>
              </w:rPr>
            </w:pPr>
          </w:p>
        </w:tc>
        <w:tc>
          <w:tcPr>
            <w:tcW w:w="99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tcPr>
          <w:p>
            <w:pPr>
              <w:spacing w:before="120" w:line="300" w:lineRule="auto"/>
              <w:ind w:left="6" w:leftChars="1" w:right="-38" w:rightChars="-18" w:hanging="4" w:hangingChars="2"/>
              <w:jc w:val="center"/>
              <w:rPr>
                <w:rFonts w:ascii="Calibri" w:hAnsi="宋体" w:eastAsia="宋体" w:cs="宋体"/>
                <w:szCs w:val="21"/>
              </w:rPr>
            </w:pPr>
          </w:p>
        </w:tc>
        <w:tc>
          <w:tcPr>
            <w:tcW w:w="850"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vAlign w:val="center"/>
          </w:tcPr>
          <w:p>
            <w:pPr>
              <w:spacing w:before="120" w:line="300"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35" w:type="dxa"/>
            <w:vAlign w:val="center"/>
          </w:tcPr>
          <w:p>
            <w:pPr>
              <w:spacing w:before="120" w:line="300" w:lineRule="auto"/>
              <w:ind w:left="6" w:leftChars="1" w:right="-38" w:rightChars="-18" w:hanging="4" w:hangingChars="2"/>
              <w:jc w:val="center"/>
              <w:rPr>
                <w:rFonts w:ascii="Calibri" w:hAnsi="宋体" w:eastAsia="宋体" w:cs="宋体"/>
                <w:szCs w:val="21"/>
              </w:rPr>
            </w:pPr>
            <w:r>
              <w:rPr>
                <w:rFonts w:hint="eastAsia" w:ascii="Calibri" w:hAnsi="宋体" w:eastAsia="宋体" w:cs="宋体"/>
                <w:szCs w:val="21"/>
              </w:rPr>
              <w:t>3</w:t>
            </w:r>
          </w:p>
        </w:tc>
        <w:tc>
          <w:tcPr>
            <w:tcW w:w="12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818"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6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9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032"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708" w:type="dxa"/>
          </w:tcPr>
          <w:p>
            <w:pPr>
              <w:spacing w:before="120" w:line="300" w:lineRule="auto"/>
              <w:ind w:left="6" w:leftChars="1" w:right="-38" w:rightChars="-18" w:hanging="4" w:hangingChars="2"/>
              <w:jc w:val="center"/>
              <w:rPr>
                <w:rFonts w:ascii="Calibri" w:hAnsi="宋体" w:eastAsia="宋体" w:cs="宋体"/>
                <w:szCs w:val="21"/>
              </w:rPr>
            </w:pPr>
          </w:p>
        </w:tc>
        <w:tc>
          <w:tcPr>
            <w:tcW w:w="99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tcPr>
          <w:p>
            <w:pPr>
              <w:spacing w:before="120" w:line="300" w:lineRule="auto"/>
              <w:ind w:left="6" w:leftChars="1" w:right="-38" w:rightChars="-18" w:hanging="4" w:hangingChars="2"/>
              <w:jc w:val="center"/>
              <w:rPr>
                <w:rFonts w:ascii="Calibri" w:hAnsi="宋体" w:eastAsia="宋体" w:cs="宋体"/>
                <w:szCs w:val="21"/>
              </w:rPr>
            </w:pPr>
          </w:p>
        </w:tc>
        <w:tc>
          <w:tcPr>
            <w:tcW w:w="850"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vAlign w:val="center"/>
          </w:tcPr>
          <w:p>
            <w:pPr>
              <w:spacing w:before="120" w:line="300"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35" w:type="dxa"/>
            <w:vAlign w:val="center"/>
          </w:tcPr>
          <w:p>
            <w:pPr>
              <w:spacing w:before="120" w:line="300" w:lineRule="auto"/>
              <w:ind w:left="6" w:leftChars="1" w:right="-38" w:rightChars="-18" w:hanging="4" w:hangingChars="2"/>
              <w:jc w:val="center"/>
              <w:rPr>
                <w:rFonts w:ascii="Calibri" w:hAnsi="宋体" w:eastAsia="宋体" w:cs="宋体"/>
                <w:szCs w:val="21"/>
              </w:rPr>
            </w:pPr>
            <w:r>
              <w:rPr>
                <w:rFonts w:hint="eastAsia" w:ascii="Calibri" w:hAnsi="宋体" w:eastAsia="宋体" w:cs="宋体"/>
                <w:szCs w:val="21"/>
              </w:rPr>
              <w:t>……</w:t>
            </w:r>
          </w:p>
        </w:tc>
        <w:tc>
          <w:tcPr>
            <w:tcW w:w="12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818"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6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9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032"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708" w:type="dxa"/>
          </w:tcPr>
          <w:p>
            <w:pPr>
              <w:spacing w:before="120" w:line="300" w:lineRule="auto"/>
              <w:ind w:left="6" w:leftChars="1" w:right="-38" w:rightChars="-18" w:hanging="4" w:hangingChars="2"/>
              <w:jc w:val="center"/>
              <w:rPr>
                <w:rFonts w:ascii="Calibri" w:hAnsi="宋体" w:eastAsia="宋体" w:cs="宋体"/>
                <w:szCs w:val="21"/>
              </w:rPr>
            </w:pPr>
          </w:p>
        </w:tc>
        <w:tc>
          <w:tcPr>
            <w:tcW w:w="99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tcPr>
          <w:p>
            <w:pPr>
              <w:spacing w:before="120" w:line="300" w:lineRule="auto"/>
              <w:ind w:left="6" w:leftChars="1" w:right="-38" w:rightChars="-18" w:hanging="4" w:hangingChars="2"/>
              <w:jc w:val="center"/>
              <w:rPr>
                <w:rFonts w:ascii="Calibri" w:hAnsi="宋体" w:eastAsia="宋体" w:cs="宋体"/>
                <w:szCs w:val="21"/>
              </w:rPr>
            </w:pPr>
          </w:p>
        </w:tc>
        <w:tc>
          <w:tcPr>
            <w:tcW w:w="850"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vAlign w:val="center"/>
          </w:tcPr>
          <w:p>
            <w:pPr>
              <w:spacing w:before="120" w:line="300" w:lineRule="auto"/>
              <w:ind w:left="6" w:leftChars="1" w:right="-38" w:rightChars="-18" w:hanging="4" w:hangingChars="2"/>
              <w:jc w:val="center"/>
              <w:rPr>
                <w:rFonts w:ascii="Calibri" w:hAnsi="宋体" w:eastAsia="宋体" w:cs="宋体"/>
                <w:szCs w:val="21"/>
              </w:rPr>
            </w:pPr>
          </w:p>
        </w:tc>
      </w:tr>
    </w:tbl>
    <w:p>
      <w:pPr>
        <w:spacing w:line="300" w:lineRule="auto"/>
        <w:ind w:firstLine="420"/>
        <w:rPr>
          <w:rFonts w:hAnsi="宋体" w:eastAsia="宋体" w:cs="宋体"/>
          <w:szCs w:val="21"/>
        </w:rPr>
      </w:pPr>
      <w:r>
        <w:rPr>
          <w:rFonts w:hint="eastAsia" w:hAnsi="宋体" w:eastAsia="宋体" w:cs="宋体"/>
          <w:szCs w:val="21"/>
        </w:rPr>
        <w:t>注：请按照承保时间先后顺序排列。</w:t>
      </w:r>
    </w:p>
    <w:p>
      <w:pPr>
        <w:spacing w:before="120" w:line="300" w:lineRule="auto"/>
        <w:jc w:val="center"/>
        <w:outlineLvl w:val="1"/>
        <w:rPr>
          <w:rFonts w:hAnsi="宋体" w:eastAsia="宋体" w:cs="宋体"/>
          <w:b/>
          <w:szCs w:val="21"/>
        </w:rPr>
      </w:pPr>
    </w:p>
    <w:p>
      <w:pPr>
        <w:pStyle w:val="14"/>
        <w:snapToGrid w:val="0"/>
        <w:spacing w:before="120" w:line="300" w:lineRule="auto"/>
        <w:ind w:firstLine="0"/>
        <w:rPr>
          <w:rFonts w:ascii="宋体" w:hAnsi="宋体" w:eastAsia="宋体" w:cs="宋体"/>
          <w:sz w:val="21"/>
          <w:szCs w:val="21"/>
        </w:rPr>
      </w:pPr>
      <w:r>
        <w:rPr>
          <w:rFonts w:hint="eastAsia" w:ascii="宋体" w:hAnsi="宋体" w:eastAsia="宋体" w:cs="宋体"/>
          <w:sz w:val="21"/>
          <w:szCs w:val="21"/>
        </w:rPr>
        <w:t>（以上表格不够可按格式扩展）</w:t>
      </w:r>
    </w:p>
    <w:p>
      <w:pPr>
        <w:pStyle w:val="14"/>
        <w:snapToGrid w:val="0"/>
        <w:spacing w:before="120" w:line="300" w:lineRule="auto"/>
        <w:ind w:left="1205" w:hanging="1205"/>
        <w:rPr>
          <w:rFonts w:ascii="宋体" w:hAnsi="宋体" w:eastAsia="宋体" w:cs="宋体"/>
          <w:sz w:val="21"/>
          <w:szCs w:val="21"/>
        </w:rPr>
      </w:pPr>
    </w:p>
    <w:p>
      <w:pPr>
        <w:pStyle w:val="14"/>
        <w:snapToGrid w:val="0"/>
        <w:spacing w:before="120" w:line="300" w:lineRule="auto"/>
        <w:ind w:left="1205" w:hanging="1205"/>
        <w:rPr>
          <w:rFonts w:ascii="宋体" w:hAnsi="宋体" w:eastAsia="宋体" w:cs="宋体"/>
          <w:sz w:val="21"/>
          <w:szCs w:val="21"/>
        </w:rPr>
      </w:pPr>
      <w:r>
        <w:rPr>
          <w:rFonts w:hint="eastAsia" w:ascii="宋体" w:hAnsi="宋体" w:eastAsia="宋体" w:cs="宋体"/>
          <w:sz w:val="21"/>
          <w:szCs w:val="21"/>
        </w:rPr>
        <w:t>注：</w:t>
      </w:r>
    </w:p>
    <w:p>
      <w:pPr>
        <w:pStyle w:val="14"/>
        <w:numPr>
          <w:ilvl w:val="0"/>
          <w:numId w:val="50"/>
        </w:numPr>
        <w:snapToGrid w:val="0"/>
        <w:spacing w:before="120" w:line="360" w:lineRule="exact"/>
        <w:ind w:firstLine="0"/>
        <w:rPr>
          <w:rFonts w:eastAsia="宋体"/>
          <w:sz w:val="21"/>
          <w:szCs w:val="21"/>
        </w:rPr>
      </w:pPr>
      <w:r>
        <w:rPr>
          <w:rFonts w:hint="eastAsia" w:ascii="宋体" w:hAnsi="宋体" w:eastAsia="宋体" w:cs="宋体"/>
          <w:sz w:val="21"/>
          <w:szCs w:val="21"/>
        </w:rPr>
        <w:t>上述承保业绩以能提供保险合同（或保单抄件）复印件为准，且证明材料需能够体现项目名称、承保公司、承保身份（首席/共保）、总保险金额、</w:t>
      </w:r>
      <w:r>
        <w:rPr>
          <w:rFonts w:ascii="宋体" w:hAnsi="宋体" w:eastAsia="宋体" w:cs="宋体"/>
          <w:sz w:val="21"/>
          <w:szCs w:val="21"/>
        </w:rPr>
        <w:t>投保人数</w:t>
      </w:r>
      <w:r>
        <w:rPr>
          <w:rFonts w:hint="eastAsia" w:ascii="宋体" w:hAnsi="宋体" w:eastAsia="宋体" w:cs="宋体"/>
          <w:sz w:val="21"/>
          <w:szCs w:val="21"/>
        </w:rPr>
        <w:t>和保险期限；理赔业绩以能提供赔款支付或分摊凭证复印件为准，且证明材料需能够体现项目名称、承保身份（首席/共保）和保单赔偿金额。</w:t>
      </w:r>
      <w:r>
        <w:rPr>
          <w:rFonts w:hint="eastAsia" w:eastAsia="宋体"/>
          <w:sz w:val="21"/>
          <w:szCs w:val="21"/>
        </w:rPr>
        <w:t>投标人再保险分入业绩和法人单位下设分支机构的业绩不视为投标人的业绩。</w:t>
      </w:r>
    </w:p>
    <w:p>
      <w:pPr>
        <w:pStyle w:val="14"/>
        <w:snapToGrid w:val="0"/>
        <w:spacing w:before="120" w:line="360" w:lineRule="exact"/>
        <w:ind w:firstLine="0"/>
        <w:rPr>
          <w:rFonts w:ascii="宋体" w:hAnsi="宋体" w:eastAsia="宋体" w:cs="宋体"/>
          <w:sz w:val="21"/>
          <w:szCs w:val="21"/>
        </w:rPr>
      </w:pPr>
      <w:r>
        <w:rPr>
          <w:rFonts w:hint="eastAsia" w:ascii="宋体" w:hAnsi="宋体" w:eastAsia="宋体" w:cs="宋体"/>
          <w:sz w:val="21"/>
          <w:szCs w:val="21"/>
        </w:rPr>
        <w:t>2、表中，投标人应列出符合要求的相应项目承保或理赔业绩，如有不实，一旦查证将导致其投标被拒绝或投标结果作废。</w:t>
      </w:r>
    </w:p>
    <w:p>
      <w:pPr>
        <w:pStyle w:val="14"/>
        <w:snapToGrid w:val="0"/>
        <w:spacing w:before="120" w:line="300" w:lineRule="auto"/>
        <w:ind w:left="1205" w:hanging="1205"/>
        <w:rPr>
          <w:rFonts w:ascii="宋体" w:hAnsi="宋体" w:eastAsia="宋体" w:cs="宋体"/>
          <w:sz w:val="21"/>
          <w:szCs w:val="21"/>
        </w:rPr>
      </w:pPr>
    </w:p>
    <w:p>
      <w:pPr>
        <w:pStyle w:val="30"/>
        <w:spacing w:before="120" w:line="300" w:lineRule="auto"/>
        <w:ind w:left="239" w:leftChars="114" w:firstLine="420"/>
        <w:rPr>
          <w:rFonts w:hAnsi="宋体" w:eastAsia="宋体"/>
          <w:i w:val="0"/>
          <w:sz w:val="21"/>
          <w:szCs w:val="21"/>
        </w:rPr>
      </w:pPr>
      <w:r>
        <w:rPr>
          <w:rFonts w:hint="eastAsia" w:hAnsi="宋体" w:eastAsia="宋体"/>
          <w:i w:val="0"/>
          <w:sz w:val="21"/>
          <w:szCs w:val="21"/>
        </w:rPr>
        <w:t>投标人（公章）：</w:t>
      </w:r>
    </w:p>
    <w:p>
      <w:pPr>
        <w:pStyle w:val="30"/>
        <w:spacing w:before="120" w:line="300" w:lineRule="auto"/>
        <w:ind w:left="239" w:leftChars="114" w:firstLine="420"/>
        <w:rPr>
          <w:rFonts w:hAnsi="宋体" w:eastAsia="宋体"/>
          <w:i w:val="0"/>
          <w:sz w:val="21"/>
          <w:szCs w:val="21"/>
        </w:rPr>
      </w:pPr>
      <w:r>
        <w:rPr>
          <w:rFonts w:hint="eastAsia" w:hAnsi="宋体" w:eastAsia="宋体"/>
          <w:i w:val="0"/>
          <w:sz w:val="21"/>
          <w:szCs w:val="21"/>
        </w:rPr>
        <w:t xml:space="preserve">法定代表人（负责人）或授权代理人（签字或盖章）： </w:t>
      </w:r>
    </w:p>
    <w:p>
      <w:pPr>
        <w:pStyle w:val="30"/>
        <w:spacing w:before="120" w:line="300" w:lineRule="auto"/>
        <w:ind w:left="239" w:leftChars="114" w:firstLine="420"/>
        <w:rPr>
          <w:rFonts w:hAnsi="宋体" w:eastAsia="宋体" w:cs="宋体"/>
          <w:i w:val="0"/>
          <w:sz w:val="21"/>
          <w:szCs w:val="21"/>
        </w:rPr>
      </w:pPr>
      <w:r>
        <w:rPr>
          <w:rFonts w:hint="eastAsia" w:hAnsi="宋体" w:eastAsia="宋体"/>
          <w:i w:val="0"/>
          <w:sz w:val="21"/>
          <w:szCs w:val="21"/>
        </w:rPr>
        <w:t>日期：</w:t>
      </w:r>
    </w:p>
    <w:p>
      <w:pPr>
        <w:pStyle w:val="14"/>
        <w:spacing w:before="120" w:beforeLines="50" w:line="300" w:lineRule="auto"/>
        <w:ind w:firstLine="480" w:firstLineChars="200"/>
        <w:rPr>
          <w:rFonts w:ascii="宋体" w:hAnsi="宋体" w:eastAsia="宋体" w:cs="宋体"/>
          <w:szCs w:val="21"/>
        </w:rPr>
      </w:pPr>
    </w:p>
    <w:p>
      <w:pPr>
        <w:outlineLvl w:val="1"/>
        <w:rPr>
          <w:rFonts w:hAnsi="宋体" w:eastAsia="宋体" w:cs="宋体"/>
          <w:szCs w:val="21"/>
        </w:rPr>
      </w:pPr>
      <w:r>
        <w:rPr>
          <w:rFonts w:hint="eastAsia" w:hAnsi="宋体" w:eastAsia="宋体" w:cs="宋体"/>
          <w:szCs w:val="21"/>
        </w:rPr>
        <w:br w:type="page"/>
      </w:r>
      <w:bookmarkStart w:id="1062" w:name="_Toc10055"/>
      <w:bookmarkStart w:id="1063" w:name="_Toc21858"/>
      <w:bookmarkStart w:id="1064" w:name="_Toc24199"/>
      <w:bookmarkStart w:id="1065" w:name="_Toc5116"/>
      <w:r>
        <w:rPr>
          <w:rFonts w:hint="eastAsia" w:hAnsi="宋体" w:eastAsia="宋体" w:cs="宋体"/>
          <w:szCs w:val="21"/>
        </w:rPr>
        <w:t>B5、</w:t>
      </w:r>
      <w:bookmarkEnd w:id="1062"/>
      <w:bookmarkEnd w:id="1063"/>
      <w:bookmarkEnd w:id="1064"/>
      <w:bookmarkEnd w:id="1065"/>
      <w:r>
        <w:rPr>
          <w:rFonts w:hint="eastAsia" w:hAnsi="宋体" w:eastAsia="宋体" w:cs="宋体"/>
          <w:szCs w:val="21"/>
        </w:rPr>
        <w:t>项目理赔经验</w:t>
      </w:r>
    </w:p>
    <w:p>
      <w:pPr>
        <w:pStyle w:val="2"/>
        <w:rPr>
          <w:rFonts w:hint="eastAsia" w:eastAsia="宋体"/>
        </w:rPr>
      </w:pPr>
    </w:p>
    <w:p>
      <w:pPr>
        <w:jc w:val="center"/>
        <w:rPr>
          <w:rFonts w:hAnsi="宋体" w:eastAsia="宋体" w:cs="宋体"/>
          <w:b/>
          <w:bCs/>
          <w:sz w:val="30"/>
          <w:szCs w:val="30"/>
        </w:rPr>
      </w:pPr>
      <w:r>
        <w:rPr>
          <w:rFonts w:hint="eastAsia" w:hAnsi="宋体" w:eastAsia="宋体" w:cs="宋体"/>
          <w:b/>
          <w:bCs/>
          <w:sz w:val="30"/>
          <w:szCs w:val="30"/>
        </w:rPr>
        <w:t>五、项目理赔经验</w:t>
      </w:r>
    </w:p>
    <w:p>
      <w:pPr>
        <w:spacing w:before="120" w:line="276" w:lineRule="auto"/>
        <w:ind w:firstLine="420"/>
        <w:rPr>
          <w:rFonts w:hAnsi="宋体" w:eastAsia="宋体" w:cs="宋体"/>
          <w:szCs w:val="21"/>
        </w:rPr>
      </w:pPr>
    </w:p>
    <w:p>
      <w:pPr>
        <w:ind w:firstLine="422"/>
        <w:jc w:val="right"/>
        <w:rPr>
          <w:rFonts w:hAnsi="宋体" w:eastAsia="宋体" w:cs="宋体"/>
          <w:b/>
          <w:szCs w:val="21"/>
        </w:rPr>
      </w:pPr>
      <w:r>
        <w:rPr>
          <w:rFonts w:hint="eastAsia" w:ascii="宋体" w:hAnsi="宋体" w:eastAsia="宋体" w:cs="宋体"/>
          <w:kern w:val="0"/>
          <w:szCs w:val="21"/>
        </w:rPr>
        <w:t>货币单位：人民币万元</w:t>
      </w:r>
    </w:p>
    <w:tbl>
      <w:tblPr>
        <w:tblStyle w:val="47"/>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36"/>
        <w:gridCol w:w="818"/>
        <w:gridCol w:w="1163"/>
        <w:gridCol w:w="936"/>
        <w:gridCol w:w="1032"/>
        <w:gridCol w:w="708"/>
        <w:gridCol w:w="993"/>
        <w:gridCol w:w="85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5" w:type="dxa"/>
            <w:vAlign w:val="center"/>
          </w:tcPr>
          <w:p>
            <w:pPr>
              <w:spacing w:line="280" w:lineRule="exact"/>
              <w:ind w:left="2" w:leftChars="1" w:firstLine="96" w:firstLineChars="46"/>
              <w:jc w:val="center"/>
              <w:rPr>
                <w:rFonts w:ascii="Calibri" w:hAnsi="宋体" w:eastAsia="宋体" w:cs="宋体"/>
                <w:bCs/>
                <w:szCs w:val="21"/>
              </w:rPr>
            </w:pPr>
            <w:r>
              <w:rPr>
                <w:rFonts w:hint="eastAsia" w:ascii="Calibri" w:hAnsi="宋体" w:eastAsia="宋体" w:cs="宋体"/>
                <w:bCs/>
                <w:szCs w:val="21"/>
              </w:rPr>
              <w:t>序号</w:t>
            </w:r>
          </w:p>
        </w:tc>
        <w:tc>
          <w:tcPr>
            <w:tcW w:w="1236" w:type="dxa"/>
            <w:vAlign w:val="center"/>
          </w:tcPr>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项目名称</w:t>
            </w:r>
          </w:p>
        </w:tc>
        <w:tc>
          <w:tcPr>
            <w:tcW w:w="818" w:type="dxa"/>
            <w:vAlign w:val="center"/>
          </w:tcPr>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起止</w:t>
            </w:r>
          </w:p>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时间</w:t>
            </w:r>
          </w:p>
        </w:tc>
        <w:tc>
          <w:tcPr>
            <w:tcW w:w="1163" w:type="dxa"/>
            <w:vAlign w:val="center"/>
          </w:tcPr>
          <w:p>
            <w:pPr>
              <w:spacing w:line="280" w:lineRule="exact"/>
              <w:ind w:left="-63" w:leftChars="-70" w:hanging="84" w:hangingChars="40"/>
              <w:jc w:val="center"/>
              <w:rPr>
                <w:rFonts w:ascii="Calibri" w:hAnsi="宋体" w:eastAsia="宋体" w:cs="宋体"/>
                <w:bCs/>
                <w:szCs w:val="21"/>
              </w:rPr>
            </w:pPr>
            <w:r>
              <w:rPr>
                <w:rFonts w:hint="eastAsia" w:ascii="Calibri" w:hAnsi="宋体" w:eastAsia="宋体" w:cs="宋体"/>
                <w:bCs/>
                <w:szCs w:val="21"/>
              </w:rPr>
              <w:t>类别</w:t>
            </w:r>
          </w:p>
        </w:tc>
        <w:tc>
          <w:tcPr>
            <w:tcW w:w="936" w:type="dxa"/>
            <w:vAlign w:val="center"/>
          </w:tcPr>
          <w:p>
            <w:pPr>
              <w:spacing w:line="280" w:lineRule="exact"/>
              <w:ind w:left="2" w:leftChars="1" w:firstLine="27" w:firstLineChars="13"/>
              <w:jc w:val="center"/>
              <w:rPr>
                <w:rFonts w:ascii="Calibri" w:hAnsi="宋体" w:eastAsia="宋体" w:cs="宋体"/>
                <w:bCs/>
                <w:szCs w:val="21"/>
              </w:rPr>
            </w:pPr>
            <w:r>
              <w:rPr>
                <w:rFonts w:hint="eastAsia" w:ascii="Calibri" w:hAnsi="宋体" w:eastAsia="宋体" w:cs="宋体"/>
                <w:bCs/>
                <w:szCs w:val="21"/>
              </w:rPr>
              <w:t>业主</w:t>
            </w:r>
          </w:p>
        </w:tc>
        <w:tc>
          <w:tcPr>
            <w:tcW w:w="1032" w:type="dxa"/>
            <w:vAlign w:val="center"/>
          </w:tcPr>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保险</w:t>
            </w:r>
          </w:p>
          <w:p>
            <w:pPr>
              <w:spacing w:line="280" w:lineRule="exact"/>
              <w:ind w:left="2" w:leftChars="1" w:firstLine="35" w:firstLineChars="17"/>
              <w:jc w:val="center"/>
              <w:rPr>
                <w:rFonts w:ascii="Calibri" w:hAnsi="宋体" w:eastAsia="宋体" w:cs="宋体"/>
                <w:bCs/>
                <w:szCs w:val="21"/>
              </w:rPr>
            </w:pPr>
            <w:r>
              <w:rPr>
                <w:rFonts w:hint="eastAsia" w:ascii="Calibri" w:hAnsi="宋体" w:eastAsia="宋体" w:cs="宋体"/>
                <w:bCs/>
                <w:szCs w:val="21"/>
              </w:rPr>
              <w:t>金额</w:t>
            </w:r>
          </w:p>
        </w:tc>
        <w:tc>
          <w:tcPr>
            <w:tcW w:w="708" w:type="dxa"/>
            <w:vAlign w:val="center"/>
          </w:tcPr>
          <w:p>
            <w:pPr>
              <w:spacing w:line="280" w:lineRule="exact"/>
              <w:ind w:left="8" w:leftChars="-24" w:hanging="58" w:hangingChars="28"/>
              <w:jc w:val="center"/>
              <w:rPr>
                <w:rFonts w:ascii="Calibri" w:hAnsi="宋体" w:eastAsia="宋体" w:cs="宋体"/>
                <w:bCs/>
                <w:szCs w:val="21"/>
              </w:rPr>
            </w:pPr>
            <w:r>
              <w:rPr>
                <w:rFonts w:hint="eastAsia" w:ascii="Calibri" w:hAnsi="宋体" w:eastAsia="宋体" w:cs="宋体"/>
                <w:bCs/>
                <w:szCs w:val="21"/>
              </w:rPr>
              <w:t>投保人数</w:t>
            </w:r>
          </w:p>
        </w:tc>
        <w:tc>
          <w:tcPr>
            <w:tcW w:w="993" w:type="dxa"/>
            <w:vAlign w:val="center"/>
          </w:tcPr>
          <w:p>
            <w:pPr>
              <w:spacing w:line="280" w:lineRule="exact"/>
              <w:ind w:left="8" w:leftChars="-24" w:hanging="58" w:hangingChars="28"/>
              <w:jc w:val="center"/>
              <w:rPr>
                <w:rFonts w:ascii="Calibri" w:hAnsi="宋体" w:eastAsia="宋体" w:cs="宋体"/>
                <w:bCs/>
                <w:szCs w:val="21"/>
              </w:rPr>
            </w:pPr>
            <w:r>
              <w:rPr>
                <w:rFonts w:hint="eastAsia" w:ascii="Calibri" w:hAnsi="宋体" w:eastAsia="宋体" w:cs="宋体"/>
                <w:szCs w:val="21"/>
              </w:rPr>
              <w:t>保单赔偿金额</w:t>
            </w:r>
          </w:p>
        </w:tc>
        <w:tc>
          <w:tcPr>
            <w:tcW w:w="850" w:type="dxa"/>
            <w:vAlign w:val="center"/>
          </w:tcPr>
          <w:p>
            <w:pPr>
              <w:spacing w:line="280" w:lineRule="exact"/>
              <w:ind w:left="6" w:leftChars="-23" w:hanging="54" w:hangingChars="26"/>
              <w:jc w:val="center"/>
              <w:rPr>
                <w:rFonts w:ascii="Calibri" w:hAnsi="宋体" w:eastAsia="宋体" w:cs="宋体"/>
                <w:bCs/>
                <w:szCs w:val="21"/>
              </w:rPr>
            </w:pPr>
            <w:r>
              <w:rPr>
                <w:rFonts w:hint="eastAsia" w:ascii="Calibri" w:hAnsi="宋体" w:eastAsia="宋体" w:cs="宋体"/>
                <w:bCs/>
                <w:szCs w:val="21"/>
              </w:rPr>
              <w:t>主要负责人</w:t>
            </w:r>
          </w:p>
        </w:tc>
        <w:tc>
          <w:tcPr>
            <w:tcW w:w="1134" w:type="dxa"/>
            <w:vAlign w:val="center"/>
          </w:tcPr>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证明</w:t>
            </w:r>
          </w:p>
          <w:p>
            <w:pPr>
              <w:spacing w:line="280" w:lineRule="exact"/>
              <w:ind w:left="6" w:leftChars="1" w:hanging="4" w:hangingChars="2"/>
              <w:jc w:val="center"/>
              <w:rPr>
                <w:rFonts w:ascii="Calibri" w:hAnsi="宋体" w:eastAsia="宋体" w:cs="宋体"/>
                <w:bCs/>
                <w:szCs w:val="21"/>
              </w:rPr>
            </w:pPr>
            <w:r>
              <w:rPr>
                <w:rFonts w:hint="eastAsia" w:ascii="Calibri" w:hAnsi="宋体" w:eastAsia="宋体" w:cs="宋体"/>
                <w:bCs/>
                <w:szCs w:val="21"/>
              </w:rPr>
              <w:t>材料及所在页码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35" w:type="dxa"/>
            <w:vAlign w:val="center"/>
          </w:tcPr>
          <w:p>
            <w:pPr>
              <w:spacing w:before="120" w:line="300" w:lineRule="auto"/>
              <w:ind w:left="6" w:leftChars="1" w:right="-38" w:rightChars="-18" w:hanging="4" w:hangingChars="2"/>
              <w:jc w:val="center"/>
              <w:rPr>
                <w:rFonts w:ascii="Calibri" w:hAnsi="宋体" w:eastAsia="宋体" w:cs="宋体"/>
                <w:szCs w:val="21"/>
              </w:rPr>
            </w:pPr>
            <w:r>
              <w:rPr>
                <w:rFonts w:hint="eastAsia" w:ascii="Calibri" w:hAnsi="宋体" w:eastAsia="宋体" w:cs="宋体"/>
                <w:szCs w:val="21"/>
              </w:rPr>
              <w:t>1</w:t>
            </w:r>
          </w:p>
        </w:tc>
        <w:tc>
          <w:tcPr>
            <w:tcW w:w="12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818"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6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9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032"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708" w:type="dxa"/>
          </w:tcPr>
          <w:p>
            <w:pPr>
              <w:spacing w:before="120" w:line="300" w:lineRule="auto"/>
              <w:ind w:left="6" w:leftChars="1" w:right="-38" w:rightChars="-18" w:hanging="4" w:hangingChars="2"/>
              <w:jc w:val="center"/>
              <w:rPr>
                <w:rFonts w:ascii="Calibri" w:hAnsi="宋体" w:eastAsia="宋体" w:cs="宋体"/>
                <w:szCs w:val="21"/>
              </w:rPr>
            </w:pPr>
          </w:p>
        </w:tc>
        <w:tc>
          <w:tcPr>
            <w:tcW w:w="99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850"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vAlign w:val="center"/>
          </w:tcPr>
          <w:p>
            <w:pPr>
              <w:spacing w:before="120" w:line="300"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35" w:type="dxa"/>
            <w:vAlign w:val="center"/>
          </w:tcPr>
          <w:p>
            <w:pPr>
              <w:spacing w:before="120" w:line="300" w:lineRule="auto"/>
              <w:ind w:left="6" w:leftChars="1" w:right="-38" w:rightChars="-18" w:hanging="4" w:hangingChars="2"/>
              <w:jc w:val="center"/>
              <w:rPr>
                <w:rFonts w:ascii="Calibri" w:hAnsi="宋体" w:eastAsia="宋体" w:cs="宋体"/>
                <w:szCs w:val="21"/>
              </w:rPr>
            </w:pPr>
            <w:r>
              <w:rPr>
                <w:rFonts w:hint="eastAsia" w:ascii="Calibri" w:hAnsi="宋体" w:eastAsia="宋体" w:cs="宋体"/>
                <w:szCs w:val="21"/>
              </w:rPr>
              <w:t>2</w:t>
            </w:r>
          </w:p>
        </w:tc>
        <w:tc>
          <w:tcPr>
            <w:tcW w:w="12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818"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6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9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032"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708" w:type="dxa"/>
          </w:tcPr>
          <w:p>
            <w:pPr>
              <w:spacing w:before="120" w:line="300" w:lineRule="auto"/>
              <w:ind w:left="6" w:leftChars="1" w:right="-38" w:rightChars="-18" w:hanging="4" w:hangingChars="2"/>
              <w:jc w:val="center"/>
              <w:rPr>
                <w:rFonts w:ascii="Calibri" w:hAnsi="宋体" w:eastAsia="宋体" w:cs="宋体"/>
                <w:szCs w:val="21"/>
              </w:rPr>
            </w:pPr>
          </w:p>
        </w:tc>
        <w:tc>
          <w:tcPr>
            <w:tcW w:w="99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850"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vAlign w:val="center"/>
          </w:tcPr>
          <w:p>
            <w:pPr>
              <w:spacing w:before="120" w:line="300"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35" w:type="dxa"/>
            <w:vAlign w:val="center"/>
          </w:tcPr>
          <w:p>
            <w:pPr>
              <w:spacing w:before="120" w:line="300" w:lineRule="auto"/>
              <w:ind w:left="6" w:leftChars="1" w:right="-38" w:rightChars="-18" w:hanging="4" w:hangingChars="2"/>
              <w:jc w:val="center"/>
              <w:rPr>
                <w:rFonts w:ascii="Calibri" w:hAnsi="宋体" w:eastAsia="宋体" w:cs="宋体"/>
                <w:szCs w:val="21"/>
              </w:rPr>
            </w:pPr>
            <w:r>
              <w:rPr>
                <w:rFonts w:hint="eastAsia" w:ascii="Calibri" w:hAnsi="宋体" w:eastAsia="宋体" w:cs="宋体"/>
                <w:szCs w:val="21"/>
              </w:rPr>
              <w:t>3</w:t>
            </w:r>
          </w:p>
        </w:tc>
        <w:tc>
          <w:tcPr>
            <w:tcW w:w="12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818"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6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9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032"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708" w:type="dxa"/>
          </w:tcPr>
          <w:p>
            <w:pPr>
              <w:spacing w:before="120" w:line="300" w:lineRule="auto"/>
              <w:ind w:left="6" w:leftChars="1" w:right="-38" w:rightChars="-18" w:hanging="4" w:hangingChars="2"/>
              <w:jc w:val="center"/>
              <w:rPr>
                <w:rFonts w:ascii="Calibri" w:hAnsi="宋体" w:eastAsia="宋体" w:cs="宋体"/>
                <w:szCs w:val="21"/>
              </w:rPr>
            </w:pPr>
          </w:p>
        </w:tc>
        <w:tc>
          <w:tcPr>
            <w:tcW w:w="99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850"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vAlign w:val="center"/>
          </w:tcPr>
          <w:p>
            <w:pPr>
              <w:spacing w:before="120" w:line="300"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35" w:type="dxa"/>
            <w:vAlign w:val="center"/>
          </w:tcPr>
          <w:p>
            <w:pPr>
              <w:spacing w:before="120" w:line="300" w:lineRule="auto"/>
              <w:ind w:left="6" w:leftChars="1" w:right="-38" w:rightChars="-18" w:hanging="4" w:hangingChars="2"/>
              <w:jc w:val="center"/>
              <w:rPr>
                <w:rFonts w:ascii="Calibri" w:hAnsi="宋体" w:eastAsia="宋体" w:cs="宋体"/>
                <w:szCs w:val="21"/>
              </w:rPr>
            </w:pPr>
            <w:r>
              <w:rPr>
                <w:rFonts w:hint="eastAsia" w:ascii="Calibri" w:hAnsi="宋体" w:eastAsia="宋体" w:cs="宋体"/>
                <w:szCs w:val="21"/>
              </w:rPr>
              <w:t>……</w:t>
            </w:r>
          </w:p>
        </w:tc>
        <w:tc>
          <w:tcPr>
            <w:tcW w:w="12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818"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6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936"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032"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708" w:type="dxa"/>
          </w:tcPr>
          <w:p>
            <w:pPr>
              <w:spacing w:before="120" w:line="300" w:lineRule="auto"/>
              <w:ind w:left="6" w:leftChars="1" w:right="-38" w:rightChars="-18" w:hanging="4" w:hangingChars="2"/>
              <w:jc w:val="center"/>
              <w:rPr>
                <w:rFonts w:ascii="Calibri" w:hAnsi="宋体" w:eastAsia="宋体" w:cs="宋体"/>
                <w:szCs w:val="21"/>
              </w:rPr>
            </w:pPr>
          </w:p>
        </w:tc>
        <w:tc>
          <w:tcPr>
            <w:tcW w:w="993"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850" w:type="dxa"/>
            <w:vAlign w:val="center"/>
          </w:tcPr>
          <w:p>
            <w:pPr>
              <w:spacing w:before="120" w:line="300" w:lineRule="auto"/>
              <w:ind w:left="6" w:leftChars="1" w:right="-38" w:rightChars="-18" w:hanging="4" w:hangingChars="2"/>
              <w:jc w:val="center"/>
              <w:rPr>
                <w:rFonts w:ascii="Calibri" w:hAnsi="宋体" w:eastAsia="宋体" w:cs="宋体"/>
                <w:szCs w:val="21"/>
              </w:rPr>
            </w:pPr>
          </w:p>
        </w:tc>
        <w:tc>
          <w:tcPr>
            <w:tcW w:w="1134" w:type="dxa"/>
            <w:vAlign w:val="center"/>
          </w:tcPr>
          <w:p>
            <w:pPr>
              <w:spacing w:before="120" w:line="300" w:lineRule="auto"/>
              <w:ind w:left="6" w:leftChars="1" w:right="-38" w:rightChars="-18" w:hanging="4" w:hangingChars="2"/>
              <w:jc w:val="center"/>
              <w:rPr>
                <w:rFonts w:ascii="Calibri" w:hAnsi="宋体" w:eastAsia="宋体" w:cs="宋体"/>
                <w:szCs w:val="21"/>
              </w:rPr>
            </w:pPr>
          </w:p>
        </w:tc>
      </w:tr>
    </w:tbl>
    <w:p>
      <w:pPr>
        <w:spacing w:line="300" w:lineRule="auto"/>
        <w:ind w:firstLine="420"/>
        <w:rPr>
          <w:rFonts w:hAnsi="宋体" w:eastAsia="宋体" w:cs="宋体"/>
          <w:szCs w:val="21"/>
        </w:rPr>
      </w:pPr>
      <w:r>
        <w:rPr>
          <w:rFonts w:hint="eastAsia" w:hAnsi="宋体" w:eastAsia="宋体" w:cs="宋体"/>
          <w:szCs w:val="21"/>
        </w:rPr>
        <w:t>注：请按照承保时间先后顺序排列。</w:t>
      </w:r>
    </w:p>
    <w:p>
      <w:pPr>
        <w:spacing w:before="120" w:line="300" w:lineRule="auto"/>
        <w:jc w:val="center"/>
        <w:outlineLvl w:val="1"/>
        <w:rPr>
          <w:rFonts w:hAnsi="宋体" w:eastAsia="宋体" w:cs="宋体"/>
          <w:b/>
          <w:szCs w:val="21"/>
        </w:rPr>
      </w:pPr>
    </w:p>
    <w:p>
      <w:pPr>
        <w:pStyle w:val="14"/>
        <w:snapToGrid w:val="0"/>
        <w:spacing w:before="120" w:line="300" w:lineRule="auto"/>
        <w:ind w:firstLine="0"/>
        <w:rPr>
          <w:rFonts w:ascii="宋体" w:hAnsi="宋体" w:eastAsia="宋体" w:cs="宋体"/>
          <w:sz w:val="21"/>
          <w:szCs w:val="21"/>
        </w:rPr>
      </w:pPr>
      <w:r>
        <w:rPr>
          <w:rFonts w:hint="eastAsia" w:ascii="宋体" w:hAnsi="宋体" w:eastAsia="宋体" w:cs="宋体"/>
          <w:sz w:val="21"/>
          <w:szCs w:val="21"/>
        </w:rPr>
        <w:t>（以上表格不够可按格式扩展）</w:t>
      </w:r>
    </w:p>
    <w:p>
      <w:pPr>
        <w:pStyle w:val="14"/>
        <w:snapToGrid w:val="0"/>
        <w:spacing w:before="120" w:line="300" w:lineRule="auto"/>
        <w:ind w:left="1205" w:hanging="1205"/>
        <w:rPr>
          <w:rFonts w:ascii="宋体" w:hAnsi="宋体" w:eastAsia="宋体" w:cs="宋体"/>
          <w:sz w:val="21"/>
          <w:szCs w:val="21"/>
        </w:rPr>
      </w:pPr>
    </w:p>
    <w:p>
      <w:pPr>
        <w:pStyle w:val="14"/>
        <w:snapToGrid w:val="0"/>
        <w:spacing w:before="120" w:line="300" w:lineRule="auto"/>
        <w:ind w:left="1205" w:hanging="1205"/>
        <w:rPr>
          <w:rFonts w:ascii="宋体" w:hAnsi="宋体" w:eastAsia="宋体" w:cs="宋体"/>
          <w:sz w:val="21"/>
          <w:szCs w:val="21"/>
        </w:rPr>
      </w:pPr>
      <w:r>
        <w:rPr>
          <w:rFonts w:hint="eastAsia" w:ascii="宋体" w:hAnsi="宋体" w:eastAsia="宋体" w:cs="宋体"/>
          <w:sz w:val="21"/>
          <w:szCs w:val="21"/>
        </w:rPr>
        <w:t>注：</w:t>
      </w:r>
    </w:p>
    <w:p>
      <w:pPr>
        <w:pStyle w:val="14"/>
        <w:numPr>
          <w:ilvl w:val="0"/>
          <w:numId w:val="50"/>
        </w:numPr>
        <w:snapToGrid w:val="0"/>
        <w:spacing w:before="120" w:line="360" w:lineRule="exact"/>
        <w:ind w:firstLine="0"/>
        <w:rPr>
          <w:rFonts w:eastAsia="宋体"/>
          <w:sz w:val="21"/>
          <w:szCs w:val="21"/>
        </w:rPr>
      </w:pPr>
      <w:r>
        <w:rPr>
          <w:rFonts w:hint="eastAsia" w:ascii="宋体" w:hAnsi="宋体" w:eastAsia="宋体" w:cs="宋体"/>
          <w:sz w:val="21"/>
          <w:szCs w:val="21"/>
        </w:rPr>
        <w:t>上述承保业绩以能提供保险合同（或保单抄件）复印件为准，且证明材料需能够体现项目名称、承保公司、承保身份（独家/首席）、总保险金额、</w:t>
      </w:r>
      <w:r>
        <w:rPr>
          <w:rFonts w:ascii="宋体" w:hAnsi="宋体" w:eastAsia="宋体" w:cs="宋体"/>
          <w:sz w:val="21"/>
          <w:szCs w:val="21"/>
        </w:rPr>
        <w:t>投保人数</w:t>
      </w:r>
      <w:r>
        <w:rPr>
          <w:rFonts w:hint="eastAsia" w:ascii="宋体" w:hAnsi="宋体" w:eastAsia="宋体" w:cs="宋体"/>
          <w:sz w:val="21"/>
          <w:szCs w:val="21"/>
        </w:rPr>
        <w:t>和保险期限；理赔业绩以能提供赔款支付或分摊凭证复印件为准，且证明材料需能够体现项目名称、承保身份（独家/首席）和保单赔偿金额。</w:t>
      </w:r>
      <w:r>
        <w:rPr>
          <w:rFonts w:hint="eastAsia" w:eastAsia="宋体"/>
          <w:sz w:val="21"/>
          <w:szCs w:val="21"/>
        </w:rPr>
        <w:t>投标人再保险分入业绩和法人单位下设分支机构的业绩不视为投标人的业绩。</w:t>
      </w:r>
    </w:p>
    <w:p>
      <w:pPr>
        <w:pStyle w:val="14"/>
        <w:snapToGrid w:val="0"/>
        <w:spacing w:before="120" w:line="360" w:lineRule="exact"/>
        <w:ind w:firstLine="0"/>
        <w:rPr>
          <w:rFonts w:ascii="宋体" w:hAnsi="宋体" w:eastAsia="宋体" w:cs="宋体"/>
          <w:sz w:val="21"/>
          <w:szCs w:val="21"/>
        </w:rPr>
      </w:pPr>
      <w:r>
        <w:rPr>
          <w:rFonts w:hint="eastAsia" w:ascii="宋体" w:hAnsi="宋体" w:eastAsia="宋体" w:cs="宋体"/>
          <w:sz w:val="21"/>
          <w:szCs w:val="21"/>
        </w:rPr>
        <w:t>2、表中，投标人应列出符合要求的相应项目承保或理赔业绩，如有不实，一旦查证将导致其投标被拒绝或投标结果作废。</w:t>
      </w:r>
    </w:p>
    <w:p>
      <w:pPr>
        <w:pStyle w:val="14"/>
        <w:snapToGrid w:val="0"/>
        <w:spacing w:before="120" w:line="300" w:lineRule="auto"/>
        <w:ind w:left="1205" w:hanging="1205"/>
        <w:rPr>
          <w:rFonts w:ascii="宋体" w:hAnsi="宋体" w:eastAsia="宋体" w:cs="宋体"/>
          <w:sz w:val="21"/>
          <w:szCs w:val="21"/>
        </w:rPr>
      </w:pPr>
    </w:p>
    <w:p>
      <w:pPr>
        <w:pStyle w:val="30"/>
        <w:spacing w:before="120" w:line="300" w:lineRule="auto"/>
        <w:ind w:left="239" w:leftChars="114" w:firstLine="420"/>
        <w:rPr>
          <w:rFonts w:hAnsi="宋体" w:eastAsia="宋体"/>
          <w:i w:val="0"/>
          <w:sz w:val="21"/>
          <w:szCs w:val="21"/>
        </w:rPr>
      </w:pPr>
      <w:r>
        <w:rPr>
          <w:rFonts w:hint="eastAsia" w:hAnsi="宋体" w:eastAsia="宋体"/>
          <w:i w:val="0"/>
          <w:sz w:val="21"/>
          <w:szCs w:val="21"/>
        </w:rPr>
        <w:t>投标人（公章）：</w:t>
      </w:r>
    </w:p>
    <w:p>
      <w:pPr>
        <w:pStyle w:val="30"/>
        <w:spacing w:before="120" w:line="300" w:lineRule="auto"/>
        <w:ind w:left="239" w:leftChars="114" w:firstLine="420"/>
        <w:rPr>
          <w:rFonts w:hAnsi="宋体" w:eastAsia="宋体"/>
          <w:i w:val="0"/>
          <w:sz w:val="21"/>
          <w:szCs w:val="21"/>
        </w:rPr>
      </w:pPr>
      <w:r>
        <w:rPr>
          <w:rFonts w:hint="eastAsia" w:hAnsi="宋体" w:eastAsia="宋体"/>
          <w:i w:val="0"/>
          <w:sz w:val="21"/>
          <w:szCs w:val="21"/>
        </w:rPr>
        <w:t xml:space="preserve">法定代表人（负责人）或授权代理人（签字或盖章）： </w:t>
      </w:r>
    </w:p>
    <w:p>
      <w:pPr>
        <w:pStyle w:val="30"/>
        <w:spacing w:before="120" w:line="300" w:lineRule="auto"/>
        <w:ind w:left="239" w:leftChars="114" w:firstLine="420"/>
        <w:rPr>
          <w:rFonts w:hAnsi="宋体" w:eastAsia="宋体" w:cs="宋体"/>
          <w:i w:val="0"/>
          <w:sz w:val="21"/>
          <w:szCs w:val="21"/>
        </w:rPr>
      </w:pPr>
      <w:r>
        <w:rPr>
          <w:rFonts w:hint="eastAsia" w:hAnsi="宋体" w:eastAsia="宋体"/>
          <w:i w:val="0"/>
          <w:sz w:val="21"/>
          <w:szCs w:val="21"/>
        </w:rPr>
        <w:t>日期：</w:t>
      </w:r>
    </w:p>
    <w:p>
      <w:pPr>
        <w:pStyle w:val="30"/>
        <w:ind w:left="239" w:leftChars="114" w:firstLine="420"/>
        <w:rPr>
          <w:rFonts w:hAnsi="宋体" w:eastAsia="宋体" w:cs="宋体"/>
          <w:i w:val="0"/>
          <w:sz w:val="21"/>
          <w:szCs w:val="21"/>
        </w:rPr>
      </w:pPr>
    </w:p>
    <w:p>
      <w:pPr>
        <w:pStyle w:val="14"/>
        <w:spacing w:before="120" w:beforeLines="50" w:line="300" w:lineRule="auto"/>
        <w:ind w:firstLine="480" w:firstLineChars="200"/>
        <w:rPr>
          <w:rFonts w:ascii="宋体" w:hAnsi="宋体" w:eastAsia="宋体" w:cs="宋体"/>
          <w:szCs w:val="21"/>
        </w:rPr>
      </w:pPr>
    </w:p>
    <w:p>
      <w:pPr>
        <w:spacing w:before="120" w:line="300" w:lineRule="auto"/>
        <w:outlineLvl w:val="1"/>
        <w:rPr>
          <w:rFonts w:hAnsi="宋体" w:eastAsia="宋体" w:cs="宋体"/>
          <w:szCs w:val="21"/>
        </w:rPr>
      </w:pPr>
      <w:r>
        <w:rPr>
          <w:rFonts w:hint="eastAsia" w:hAnsi="宋体" w:eastAsia="宋体" w:cs="宋体"/>
          <w:szCs w:val="21"/>
        </w:rPr>
        <w:br w:type="page"/>
      </w:r>
      <w:bookmarkStart w:id="1066" w:name="_Toc24312"/>
      <w:bookmarkStart w:id="1067" w:name="_Toc184"/>
      <w:bookmarkStart w:id="1068" w:name="_Toc28084"/>
      <w:bookmarkStart w:id="1069" w:name="_Toc32715"/>
      <w:r>
        <w:rPr>
          <w:rFonts w:hint="eastAsia" w:hAnsi="宋体" w:eastAsia="宋体" w:cs="宋体"/>
          <w:szCs w:val="21"/>
        </w:rPr>
        <w:t>B6、</w:t>
      </w:r>
      <w:bookmarkEnd w:id="1066"/>
      <w:r>
        <w:rPr>
          <w:rFonts w:hint="eastAsia" w:hAnsi="宋体" w:eastAsia="宋体" w:cs="宋体"/>
          <w:szCs w:val="21"/>
        </w:rPr>
        <w:t>客户认可函</w:t>
      </w:r>
    </w:p>
    <w:p>
      <w:pPr>
        <w:spacing w:before="120" w:line="300" w:lineRule="auto"/>
        <w:ind w:left="420" w:leftChars="200"/>
        <w:rPr>
          <w:rFonts w:hAnsi="宋体" w:eastAsia="宋体" w:cs="宋体"/>
          <w:szCs w:val="21"/>
        </w:rPr>
      </w:pPr>
    </w:p>
    <w:p>
      <w:pPr>
        <w:pStyle w:val="2"/>
        <w:jc w:val="center"/>
        <w:rPr>
          <w:rFonts w:eastAsia="宋体"/>
        </w:rPr>
      </w:pPr>
      <w:r>
        <w:rPr>
          <w:rFonts w:hint="eastAsia" w:hAnsi="宋体" w:eastAsia="宋体" w:cs="宋体"/>
          <w:b/>
          <w:bCs/>
          <w:sz w:val="30"/>
          <w:szCs w:val="30"/>
        </w:rPr>
        <w:t>六、客户认可函</w:t>
      </w:r>
    </w:p>
    <w:p>
      <w:pPr>
        <w:pStyle w:val="2"/>
        <w:jc w:val="center"/>
        <w:rPr>
          <w:rFonts w:hint="eastAsia" w:eastAsia="宋体"/>
        </w:rPr>
      </w:pPr>
      <w:r>
        <w:rPr>
          <w:rFonts w:hint="eastAsia" w:eastAsia="宋体"/>
        </w:rPr>
        <w:t>（格式</w:t>
      </w:r>
      <w:r>
        <w:rPr>
          <w:rFonts w:eastAsia="宋体"/>
        </w:rPr>
        <w:t>自拟</w:t>
      </w:r>
      <w:r>
        <w:rPr>
          <w:rFonts w:hint="eastAsia" w:eastAsia="宋体"/>
        </w:rPr>
        <w:t>）</w:t>
      </w:r>
    </w:p>
    <w:p>
      <w:pPr>
        <w:spacing w:before="120" w:line="300" w:lineRule="auto"/>
        <w:ind w:left="420" w:leftChars="200"/>
        <w:rPr>
          <w:rFonts w:hAnsi="宋体" w:eastAsia="宋体" w:cs="宋体"/>
          <w:szCs w:val="21"/>
        </w:rPr>
      </w:pPr>
    </w:p>
    <w:p>
      <w:pPr>
        <w:spacing w:before="120" w:line="300" w:lineRule="auto"/>
        <w:ind w:left="420" w:leftChars="200"/>
        <w:rPr>
          <w:rFonts w:hAnsi="宋体" w:eastAsia="宋体" w:cs="宋体"/>
          <w:szCs w:val="21"/>
        </w:rPr>
      </w:pPr>
    </w:p>
    <w:p>
      <w:pPr>
        <w:spacing w:before="120" w:line="300" w:lineRule="auto"/>
        <w:ind w:left="420" w:leftChars="200"/>
        <w:rPr>
          <w:rFonts w:hAnsi="宋体" w:eastAsia="宋体" w:cs="宋体"/>
          <w:szCs w:val="21"/>
        </w:rPr>
      </w:pPr>
    </w:p>
    <w:p>
      <w:pPr>
        <w:pStyle w:val="30"/>
        <w:ind w:left="237" w:leftChars="104" w:hanging="19"/>
        <w:rPr>
          <w:rFonts w:hAnsi="宋体" w:eastAsia="宋体" w:cs="宋体"/>
          <w:szCs w:val="21"/>
        </w:rPr>
      </w:pPr>
      <w:r>
        <w:rPr>
          <w:rFonts w:hint="eastAsia" w:hAnsi="宋体" w:eastAsia="宋体" w:cs="宋体"/>
          <w:szCs w:val="21"/>
        </w:rPr>
        <w:br w:type="page"/>
      </w:r>
    </w:p>
    <w:p>
      <w:pPr>
        <w:spacing w:before="120" w:line="300" w:lineRule="auto"/>
        <w:ind w:left="420" w:leftChars="200"/>
        <w:outlineLvl w:val="1"/>
        <w:rPr>
          <w:rFonts w:hAnsi="宋体" w:eastAsia="宋体" w:cs="宋体"/>
          <w:b/>
          <w:bCs/>
        </w:rPr>
      </w:pPr>
      <w:bookmarkStart w:id="1070" w:name="_Toc7410"/>
      <w:r>
        <w:rPr>
          <w:rFonts w:hint="eastAsia" w:hAnsi="宋体" w:eastAsia="宋体" w:cs="宋体"/>
          <w:b/>
          <w:bCs/>
        </w:rPr>
        <w:t>C技术部分</w:t>
      </w:r>
      <w:bookmarkEnd w:id="1067"/>
      <w:bookmarkEnd w:id="1068"/>
      <w:bookmarkEnd w:id="1069"/>
      <w:bookmarkEnd w:id="1070"/>
    </w:p>
    <w:p>
      <w:pPr>
        <w:numPr>
          <w:ilvl w:val="0"/>
          <w:numId w:val="51"/>
        </w:numPr>
        <w:spacing w:before="120" w:line="300" w:lineRule="auto"/>
        <w:rPr>
          <w:rFonts w:hAnsi="宋体" w:eastAsia="宋体" w:cs="宋体"/>
          <w:szCs w:val="21"/>
        </w:rPr>
      </w:pPr>
      <w:r>
        <w:rPr>
          <w:rFonts w:hint="eastAsia" w:hAnsi="宋体" w:eastAsia="宋体" w:cs="宋体"/>
          <w:szCs w:val="21"/>
        </w:rPr>
        <w:t>投标响应（格式自拟）</w:t>
      </w:r>
    </w:p>
    <w:p>
      <w:pPr>
        <w:numPr>
          <w:ilvl w:val="0"/>
          <w:numId w:val="51"/>
        </w:numPr>
        <w:spacing w:before="120" w:line="300" w:lineRule="auto"/>
        <w:rPr>
          <w:rFonts w:hAnsi="宋体" w:eastAsia="宋体" w:cs="宋体"/>
          <w:szCs w:val="21"/>
        </w:rPr>
      </w:pPr>
      <w:r>
        <w:rPr>
          <w:rFonts w:hint="eastAsia" w:hAnsi="宋体" w:eastAsia="宋体" w:cs="宋体"/>
          <w:szCs w:val="21"/>
        </w:rPr>
        <w:t>理赔及风险管控服务（格式自拟）</w:t>
      </w:r>
    </w:p>
    <w:p>
      <w:pPr>
        <w:numPr>
          <w:ilvl w:val="0"/>
          <w:numId w:val="51"/>
        </w:numPr>
        <w:spacing w:before="120" w:line="300" w:lineRule="auto"/>
        <w:rPr>
          <w:rFonts w:hAnsi="宋体" w:eastAsia="宋体" w:cs="宋体"/>
          <w:szCs w:val="21"/>
        </w:rPr>
      </w:pPr>
      <w:r>
        <w:rPr>
          <w:rFonts w:hint="eastAsia" w:hAnsi="宋体" w:eastAsia="宋体" w:cs="宋体"/>
          <w:szCs w:val="21"/>
        </w:rPr>
        <w:t>服务团队（包括属地服务机构说明并提供属地服务机构营业执照复印件，格式自拟）</w:t>
      </w:r>
    </w:p>
    <w:p>
      <w:pPr>
        <w:numPr>
          <w:ilvl w:val="0"/>
          <w:numId w:val="51"/>
        </w:numPr>
        <w:spacing w:before="120" w:line="300" w:lineRule="auto"/>
        <w:ind w:firstLine="480"/>
        <w:rPr>
          <w:rFonts w:hAnsi="宋体" w:eastAsia="宋体" w:cs="宋体"/>
          <w:szCs w:val="21"/>
        </w:rPr>
      </w:pPr>
      <w:r>
        <w:rPr>
          <w:rFonts w:hint="eastAsia" w:hAnsi="宋体" w:eastAsia="宋体" w:cs="宋体"/>
          <w:szCs w:val="21"/>
        </w:rPr>
        <w:t>履约考核办法（格式自拟）</w:t>
      </w:r>
    </w:p>
    <w:p>
      <w:pPr>
        <w:numPr>
          <w:ilvl w:val="0"/>
          <w:numId w:val="51"/>
        </w:numPr>
        <w:spacing w:before="120" w:line="300" w:lineRule="auto"/>
        <w:ind w:firstLine="480"/>
        <w:rPr>
          <w:rFonts w:hAnsi="宋体" w:eastAsia="宋体" w:cs="宋体"/>
          <w:szCs w:val="21"/>
        </w:rPr>
      </w:pPr>
      <w:r>
        <w:rPr>
          <w:rFonts w:hint="eastAsia" w:hAnsi="宋体" w:eastAsia="宋体" w:cs="宋体"/>
          <w:szCs w:val="21"/>
        </w:rPr>
        <w:t>拟派本项目保险服务人员组成表（格式见C</w:t>
      </w:r>
      <w:r>
        <w:rPr>
          <w:rFonts w:hAnsi="宋体" w:eastAsia="宋体" w:cs="宋体"/>
          <w:szCs w:val="21"/>
        </w:rPr>
        <w:t>1</w:t>
      </w:r>
      <w:r>
        <w:rPr>
          <w:rFonts w:hint="eastAsia" w:hAnsi="宋体" w:eastAsia="宋体" w:cs="宋体"/>
          <w:szCs w:val="21"/>
        </w:rPr>
        <w:t>）</w:t>
      </w:r>
    </w:p>
    <w:p>
      <w:pPr>
        <w:numPr>
          <w:ilvl w:val="0"/>
          <w:numId w:val="51"/>
        </w:numPr>
        <w:spacing w:before="120" w:line="300" w:lineRule="auto"/>
        <w:ind w:firstLine="480"/>
        <w:rPr>
          <w:rFonts w:hAnsi="宋体" w:eastAsia="宋体" w:cs="宋体"/>
          <w:szCs w:val="21"/>
        </w:rPr>
      </w:pPr>
      <w:r>
        <w:rPr>
          <w:rFonts w:hint="eastAsia" w:hAnsi="宋体" w:eastAsia="宋体" w:cs="宋体"/>
          <w:szCs w:val="21"/>
        </w:rPr>
        <w:t>保险服务人员情况表（格式见C</w:t>
      </w:r>
      <w:r>
        <w:rPr>
          <w:rFonts w:hAnsi="宋体" w:eastAsia="宋体" w:cs="宋体"/>
          <w:szCs w:val="21"/>
        </w:rPr>
        <w:t>2</w:t>
      </w:r>
      <w:r>
        <w:rPr>
          <w:rFonts w:hint="eastAsia" w:hAnsi="宋体" w:eastAsia="宋体" w:cs="宋体"/>
          <w:szCs w:val="21"/>
        </w:rPr>
        <w:t>）</w:t>
      </w:r>
    </w:p>
    <w:p>
      <w:pPr>
        <w:numPr>
          <w:ilvl w:val="0"/>
          <w:numId w:val="51"/>
        </w:numPr>
        <w:spacing w:before="120" w:line="300" w:lineRule="auto"/>
        <w:ind w:firstLine="480"/>
        <w:rPr>
          <w:rFonts w:hAnsi="宋体" w:eastAsia="宋体" w:cs="宋体"/>
          <w:szCs w:val="21"/>
        </w:rPr>
      </w:pPr>
      <w:r>
        <w:rPr>
          <w:rFonts w:hint="eastAsia" w:hAnsi="宋体" w:eastAsia="宋体" w:cs="宋体"/>
          <w:szCs w:val="21"/>
        </w:rPr>
        <w:t>其他招标文件要求出具的技术文件及投标人认为需加以说明的其他内容（格式自拟）</w:t>
      </w:r>
    </w:p>
    <w:p>
      <w:pPr>
        <w:pStyle w:val="14"/>
        <w:spacing w:before="120" w:beforeLines="50" w:line="300" w:lineRule="auto"/>
        <w:ind w:left="1205" w:hanging="1205"/>
        <w:rPr>
          <w:rFonts w:ascii="宋体" w:hAnsi="宋体" w:eastAsia="宋体" w:cs="宋体"/>
          <w:szCs w:val="21"/>
        </w:rPr>
      </w:pPr>
    </w:p>
    <w:p>
      <w:pPr>
        <w:pStyle w:val="14"/>
        <w:spacing w:before="120" w:beforeLines="50" w:line="300" w:lineRule="auto"/>
        <w:ind w:left="1205" w:hanging="1205"/>
        <w:rPr>
          <w:rFonts w:ascii="宋体" w:hAnsi="宋体" w:eastAsia="宋体" w:cs="宋体"/>
          <w:szCs w:val="21"/>
        </w:rPr>
      </w:pPr>
    </w:p>
    <w:p>
      <w:pPr>
        <w:outlineLvl w:val="1"/>
        <w:rPr>
          <w:rFonts w:hAnsi="宋体" w:eastAsia="宋体" w:cs="宋体"/>
          <w:szCs w:val="21"/>
        </w:rPr>
      </w:pPr>
      <w:r>
        <w:rPr>
          <w:rFonts w:hint="eastAsia" w:hAnsi="宋体" w:eastAsia="宋体" w:cs="宋体"/>
          <w:b/>
          <w:szCs w:val="21"/>
        </w:rPr>
        <w:br w:type="page"/>
      </w:r>
      <w:bookmarkStart w:id="1071" w:name="_Toc22106"/>
      <w:bookmarkStart w:id="1072" w:name="_Toc5363"/>
      <w:bookmarkStart w:id="1073" w:name="_Toc4899"/>
      <w:bookmarkStart w:id="1074" w:name="_Toc30345"/>
    </w:p>
    <w:p>
      <w:pPr>
        <w:outlineLvl w:val="1"/>
        <w:rPr>
          <w:rFonts w:hAnsi="宋体" w:eastAsia="宋体" w:cs="宋体"/>
          <w:szCs w:val="21"/>
        </w:rPr>
      </w:pPr>
      <w:r>
        <w:rPr>
          <w:rFonts w:hint="eastAsia" w:hAnsi="宋体" w:eastAsia="宋体" w:cs="宋体"/>
          <w:szCs w:val="21"/>
        </w:rPr>
        <w:t>C</w:t>
      </w:r>
      <w:r>
        <w:rPr>
          <w:rFonts w:hAnsi="宋体" w:eastAsia="宋体" w:cs="宋体"/>
          <w:szCs w:val="21"/>
        </w:rPr>
        <w:t>1</w:t>
      </w:r>
      <w:r>
        <w:rPr>
          <w:rFonts w:hint="eastAsia" w:hAnsi="宋体" w:eastAsia="宋体" w:cs="宋体"/>
          <w:szCs w:val="21"/>
        </w:rPr>
        <w:t>、拟派本项目保险服务人员组成表</w:t>
      </w:r>
      <w:bookmarkEnd w:id="1071"/>
      <w:bookmarkEnd w:id="1072"/>
      <w:bookmarkEnd w:id="1073"/>
      <w:bookmarkEnd w:id="1074"/>
    </w:p>
    <w:p>
      <w:pPr>
        <w:pStyle w:val="2"/>
        <w:rPr>
          <w:rFonts w:eastAsia="宋体"/>
        </w:rPr>
      </w:pPr>
    </w:p>
    <w:p>
      <w:pPr>
        <w:ind w:firstLine="602"/>
        <w:jc w:val="center"/>
        <w:rPr>
          <w:rFonts w:hAnsi="宋体" w:eastAsia="宋体" w:cs="宋体"/>
          <w:b/>
          <w:bCs/>
          <w:sz w:val="30"/>
          <w:szCs w:val="30"/>
        </w:rPr>
      </w:pPr>
      <w:r>
        <w:rPr>
          <w:rFonts w:hint="eastAsia" w:hAnsi="宋体" w:eastAsia="宋体" w:cs="宋体"/>
          <w:b/>
          <w:bCs/>
          <w:sz w:val="30"/>
          <w:szCs w:val="30"/>
        </w:rPr>
        <w:t>五、拟派本项目保险服务人员组成表</w:t>
      </w:r>
    </w:p>
    <w:tbl>
      <w:tblPr>
        <w:tblStyle w:val="47"/>
        <w:tblW w:w="9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165"/>
        <w:gridCol w:w="936"/>
        <w:gridCol w:w="936"/>
        <w:gridCol w:w="1329"/>
        <w:gridCol w:w="1330"/>
        <w:gridCol w:w="1698"/>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exact"/>
          <w:jc w:val="center"/>
        </w:trPr>
        <w:tc>
          <w:tcPr>
            <w:tcW w:w="936" w:type="dxa"/>
            <w:vAlign w:val="center"/>
          </w:tcPr>
          <w:p>
            <w:pPr>
              <w:spacing w:line="412" w:lineRule="auto"/>
              <w:ind w:left="2" w:leftChars="1" w:right="-38" w:rightChars="-18" w:firstLine="42" w:firstLineChars="20"/>
              <w:jc w:val="center"/>
              <w:rPr>
                <w:rFonts w:ascii="Calibri" w:hAnsi="宋体" w:eastAsia="宋体" w:cs="宋体"/>
                <w:szCs w:val="21"/>
              </w:rPr>
            </w:pPr>
            <w:r>
              <w:rPr>
                <w:rFonts w:hint="eastAsia" w:ascii="Calibri" w:hAnsi="宋体" w:eastAsia="宋体" w:cs="宋体"/>
                <w:szCs w:val="21"/>
              </w:rPr>
              <w:t>序号</w:t>
            </w:r>
          </w:p>
        </w:tc>
        <w:tc>
          <w:tcPr>
            <w:tcW w:w="1165" w:type="dxa"/>
            <w:vAlign w:val="center"/>
          </w:tcPr>
          <w:p>
            <w:pPr>
              <w:spacing w:line="412" w:lineRule="auto"/>
              <w:ind w:left="2" w:leftChars="1" w:right="-38" w:rightChars="-18" w:firstLine="42" w:firstLineChars="20"/>
              <w:jc w:val="center"/>
              <w:rPr>
                <w:rFonts w:ascii="Calibri" w:hAnsi="宋体" w:eastAsia="宋体" w:cs="宋体"/>
                <w:szCs w:val="21"/>
              </w:rPr>
            </w:pPr>
            <w:r>
              <w:rPr>
                <w:rFonts w:hint="eastAsia" w:ascii="Calibri" w:hAnsi="宋体" w:eastAsia="宋体" w:cs="宋体"/>
                <w:szCs w:val="21"/>
              </w:rPr>
              <w:t>姓名</w:t>
            </w:r>
          </w:p>
        </w:tc>
        <w:tc>
          <w:tcPr>
            <w:tcW w:w="936" w:type="dxa"/>
            <w:vAlign w:val="center"/>
          </w:tcPr>
          <w:p>
            <w:pPr>
              <w:spacing w:line="412" w:lineRule="auto"/>
              <w:ind w:left="2" w:leftChars="1" w:right="-38" w:rightChars="-18" w:firstLine="42" w:firstLineChars="20"/>
              <w:jc w:val="center"/>
              <w:rPr>
                <w:rFonts w:ascii="Calibri" w:hAnsi="宋体" w:eastAsia="宋体" w:cs="宋体"/>
                <w:szCs w:val="21"/>
              </w:rPr>
            </w:pPr>
            <w:r>
              <w:rPr>
                <w:rFonts w:hint="eastAsia" w:ascii="Calibri" w:hAnsi="宋体" w:eastAsia="宋体" w:cs="宋体"/>
                <w:szCs w:val="21"/>
              </w:rPr>
              <w:t>性别</w:t>
            </w:r>
          </w:p>
        </w:tc>
        <w:tc>
          <w:tcPr>
            <w:tcW w:w="936" w:type="dxa"/>
            <w:vAlign w:val="center"/>
          </w:tcPr>
          <w:p>
            <w:pPr>
              <w:spacing w:line="412" w:lineRule="auto"/>
              <w:ind w:left="2" w:leftChars="1" w:right="-38" w:rightChars="-18" w:firstLine="42" w:firstLineChars="20"/>
              <w:jc w:val="center"/>
              <w:rPr>
                <w:rFonts w:ascii="Calibri" w:hAnsi="宋体" w:eastAsia="宋体" w:cs="宋体"/>
                <w:szCs w:val="21"/>
              </w:rPr>
            </w:pPr>
            <w:r>
              <w:rPr>
                <w:rFonts w:hint="eastAsia" w:ascii="Calibri" w:hAnsi="宋体" w:eastAsia="宋体" w:cs="宋体"/>
                <w:szCs w:val="21"/>
              </w:rPr>
              <w:t>年龄</w:t>
            </w:r>
          </w:p>
        </w:tc>
        <w:tc>
          <w:tcPr>
            <w:tcW w:w="1329" w:type="dxa"/>
            <w:vAlign w:val="center"/>
          </w:tcPr>
          <w:p>
            <w:pPr>
              <w:spacing w:line="412" w:lineRule="auto"/>
              <w:ind w:left="2" w:leftChars="1" w:right="-38" w:rightChars="-18" w:firstLine="42" w:firstLineChars="20"/>
              <w:jc w:val="center"/>
              <w:rPr>
                <w:rFonts w:ascii="Calibri" w:hAnsi="宋体" w:eastAsia="宋体" w:cs="宋体"/>
                <w:szCs w:val="21"/>
              </w:rPr>
            </w:pPr>
            <w:r>
              <w:rPr>
                <w:rFonts w:hint="eastAsia" w:ascii="Calibri" w:hAnsi="宋体" w:eastAsia="宋体" w:cs="宋体"/>
                <w:szCs w:val="21"/>
              </w:rPr>
              <w:t>技术职称</w:t>
            </w:r>
          </w:p>
        </w:tc>
        <w:tc>
          <w:tcPr>
            <w:tcW w:w="1330" w:type="dxa"/>
            <w:vAlign w:val="center"/>
          </w:tcPr>
          <w:p>
            <w:pPr>
              <w:ind w:left="2" w:leftChars="1" w:right="-38" w:rightChars="-18" w:firstLine="42" w:firstLineChars="20"/>
              <w:jc w:val="center"/>
              <w:rPr>
                <w:rFonts w:ascii="Calibri" w:hAnsi="宋体" w:eastAsia="宋体" w:cs="宋体"/>
                <w:szCs w:val="21"/>
              </w:rPr>
            </w:pPr>
            <w:r>
              <w:rPr>
                <w:rFonts w:hint="eastAsia" w:ascii="Calibri" w:hAnsi="宋体" w:eastAsia="宋体" w:cs="宋体"/>
                <w:szCs w:val="21"/>
              </w:rPr>
              <w:t>本项目拟担任的职务</w:t>
            </w:r>
          </w:p>
        </w:tc>
        <w:tc>
          <w:tcPr>
            <w:tcW w:w="1698" w:type="dxa"/>
            <w:vAlign w:val="center"/>
          </w:tcPr>
          <w:p>
            <w:pPr>
              <w:ind w:left="2" w:leftChars="1" w:right="-38" w:rightChars="-18" w:firstLine="42" w:firstLineChars="20"/>
              <w:jc w:val="center"/>
              <w:rPr>
                <w:rFonts w:ascii="Calibri" w:hAnsi="宋体" w:eastAsia="宋体" w:cs="宋体"/>
                <w:szCs w:val="21"/>
              </w:rPr>
            </w:pPr>
            <w:r>
              <w:rPr>
                <w:rFonts w:hint="eastAsia" w:ascii="Calibri" w:hAnsi="宋体" w:eastAsia="宋体" w:cs="宋体"/>
                <w:szCs w:val="21"/>
              </w:rPr>
              <w:t>任职公司（总部/南宁分支机构）</w:t>
            </w:r>
          </w:p>
        </w:tc>
        <w:tc>
          <w:tcPr>
            <w:tcW w:w="966" w:type="dxa"/>
            <w:vAlign w:val="center"/>
          </w:tcPr>
          <w:p>
            <w:pPr>
              <w:ind w:left="2" w:leftChars="1" w:right="-38" w:rightChars="-18" w:firstLine="42" w:firstLineChars="20"/>
              <w:jc w:val="center"/>
              <w:rPr>
                <w:rFonts w:ascii="Calibri" w:hAnsi="宋体" w:eastAsia="宋体" w:cs="宋体"/>
                <w:szCs w:val="21"/>
              </w:rPr>
            </w:pPr>
            <w:r>
              <w:rPr>
                <w:rFonts w:hint="eastAsia" w:ascii="Calibri" w:hAnsi="宋体" w:eastAsia="宋体" w:cs="宋体"/>
                <w:szCs w:val="21"/>
              </w:rPr>
              <w:t>岗位</w:t>
            </w:r>
          </w:p>
          <w:p>
            <w:pPr>
              <w:ind w:left="2" w:leftChars="1" w:right="-38" w:rightChars="-18" w:firstLine="42" w:firstLineChars="20"/>
              <w:jc w:val="center"/>
              <w:rPr>
                <w:rFonts w:ascii="Calibri" w:hAnsi="宋体" w:eastAsia="宋体" w:cs="宋体"/>
                <w:szCs w:val="21"/>
              </w:rPr>
            </w:pPr>
            <w:r>
              <w:rPr>
                <w:rFonts w:hint="eastAsia" w:ascii="Calibri" w:hAnsi="宋体" w:eastAsia="宋体" w:cs="宋体"/>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165"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329" w:type="dxa"/>
            <w:vAlign w:val="center"/>
          </w:tcPr>
          <w:p>
            <w:pPr>
              <w:spacing w:line="412" w:lineRule="auto"/>
              <w:ind w:left="6" w:leftChars="1" w:right="-38" w:rightChars="-18" w:hanging="4" w:hangingChars="2"/>
              <w:jc w:val="center"/>
              <w:rPr>
                <w:rFonts w:ascii="Calibri" w:hAnsi="宋体" w:eastAsia="宋体" w:cs="宋体"/>
                <w:szCs w:val="21"/>
              </w:rPr>
            </w:pPr>
          </w:p>
        </w:tc>
        <w:tc>
          <w:tcPr>
            <w:tcW w:w="1330" w:type="dxa"/>
            <w:vAlign w:val="center"/>
          </w:tcPr>
          <w:p>
            <w:pPr>
              <w:spacing w:line="412" w:lineRule="auto"/>
              <w:ind w:left="6" w:leftChars="1" w:right="-38" w:rightChars="-18" w:hanging="4" w:hangingChars="2"/>
              <w:jc w:val="center"/>
              <w:rPr>
                <w:rFonts w:ascii="Calibri" w:hAnsi="宋体" w:eastAsia="宋体" w:cs="宋体"/>
                <w:szCs w:val="21"/>
              </w:rPr>
            </w:pPr>
          </w:p>
        </w:tc>
        <w:tc>
          <w:tcPr>
            <w:tcW w:w="1698" w:type="dxa"/>
          </w:tcPr>
          <w:p>
            <w:pPr>
              <w:spacing w:line="412" w:lineRule="auto"/>
              <w:ind w:left="6" w:leftChars="1" w:right="-38" w:rightChars="-18" w:hanging="4" w:hangingChars="2"/>
              <w:jc w:val="center"/>
              <w:rPr>
                <w:rFonts w:ascii="Calibri" w:hAnsi="宋体" w:eastAsia="宋体" w:cs="宋体"/>
                <w:szCs w:val="21"/>
              </w:rPr>
            </w:pPr>
          </w:p>
        </w:tc>
        <w:tc>
          <w:tcPr>
            <w:tcW w:w="966" w:type="dxa"/>
            <w:vAlign w:val="center"/>
          </w:tcPr>
          <w:p>
            <w:pPr>
              <w:spacing w:line="412"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165"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329" w:type="dxa"/>
            <w:vAlign w:val="center"/>
          </w:tcPr>
          <w:p>
            <w:pPr>
              <w:spacing w:line="412" w:lineRule="auto"/>
              <w:ind w:left="6" w:leftChars="1" w:right="-38" w:rightChars="-18" w:hanging="4" w:hangingChars="2"/>
              <w:jc w:val="center"/>
              <w:rPr>
                <w:rFonts w:ascii="Calibri" w:hAnsi="宋体" w:eastAsia="宋体" w:cs="宋体"/>
                <w:szCs w:val="21"/>
              </w:rPr>
            </w:pPr>
          </w:p>
        </w:tc>
        <w:tc>
          <w:tcPr>
            <w:tcW w:w="1330" w:type="dxa"/>
            <w:vAlign w:val="center"/>
          </w:tcPr>
          <w:p>
            <w:pPr>
              <w:spacing w:line="412" w:lineRule="auto"/>
              <w:ind w:left="6" w:leftChars="1" w:right="-38" w:rightChars="-18" w:hanging="4" w:hangingChars="2"/>
              <w:jc w:val="center"/>
              <w:rPr>
                <w:rFonts w:ascii="Calibri" w:hAnsi="宋体" w:eastAsia="宋体" w:cs="宋体"/>
                <w:szCs w:val="21"/>
              </w:rPr>
            </w:pPr>
          </w:p>
        </w:tc>
        <w:tc>
          <w:tcPr>
            <w:tcW w:w="1698" w:type="dxa"/>
          </w:tcPr>
          <w:p>
            <w:pPr>
              <w:spacing w:line="412" w:lineRule="auto"/>
              <w:ind w:left="6" w:leftChars="1" w:right="-38" w:rightChars="-18" w:hanging="4" w:hangingChars="2"/>
              <w:jc w:val="center"/>
              <w:rPr>
                <w:rFonts w:ascii="Calibri" w:hAnsi="宋体" w:eastAsia="宋体" w:cs="宋体"/>
                <w:szCs w:val="21"/>
              </w:rPr>
            </w:pPr>
          </w:p>
        </w:tc>
        <w:tc>
          <w:tcPr>
            <w:tcW w:w="966" w:type="dxa"/>
            <w:vAlign w:val="center"/>
          </w:tcPr>
          <w:p>
            <w:pPr>
              <w:spacing w:line="412"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165"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329" w:type="dxa"/>
            <w:vAlign w:val="center"/>
          </w:tcPr>
          <w:p>
            <w:pPr>
              <w:spacing w:line="412" w:lineRule="auto"/>
              <w:ind w:left="6" w:leftChars="1" w:right="-38" w:rightChars="-18" w:hanging="4" w:hangingChars="2"/>
              <w:jc w:val="center"/>
              <w:rPr>
                <w:rFonts w:ascii="Calibri" w:hAnsi="宋体" w:eastAsia="宋体" w:cs="宋体"/>
                <w:szCs w:val="21"/>
              </w:rPr>
            </w:pPr>
          </w:p>
        </w:tc>
        <w:tc>
          <w:tcPr>
            <w:tcW w:w="1330" w:type="dxa"/>
            <w:vAlign w:val="center"/>
          </w:tcPr>
          <w:p>
            <w:pPr>
              <w:spacing w:line="412" w:lineRule="auto"/>
              <w:ind w:left="6" w:leftChars="1" w:right="-38" w:rightChars="-18" w:hanging="4" w:hangingChars="2"/>
              <w:jc w:val="center"/>
              <w:rPr>
                <w:rFonts w:ascii="Calibri" w:hAnsi="宋体" w:eastAsia="宋体" w:cs="宋体"/>
                <w:szCs w:val="21"/>
              </w:rPr>
            </w:pPr>
          </w:p>
        </w:tc>
        <w:tc>
          <w:tcPr>
            <w:tcW w:w="1698" w:type="dxa"/>
          </w:tcPr>
          <w:p>
            <w:pPr>
              <w:spacing w:line="412" w:lineRule="auto"/>
              <w:ind w:left="6" w:leftChars="1" w:right="-38" w:rightChars="-18" w:hanging="4" w:hangingChars="2"/>
              <w:jc w:val="center"/>
              <w:rPr>
                <w:rFonts w:ascii="Calibri" w:hAnsi="宋体" w:eastAsia="宋体" w:cs="宋体"/>
                <w:szCs w:val="21"/>
              </w:rPr>
            </w:pPr>
          </w:p>
        </w:tc>
        <w:tc>
          <w:tcPr>
            <w:tcW w:w="966" w:type="dxa"/>
            <w:vAlign w:val="center"/>
          </w:tcPr>
          <w:p>
            <w:pPr>
              <w:spacing w:line="412"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165"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329" w:type="dxa"/>
            <w:vAlign w:val="center"/>
          </w:tcPr>
          <w:p>
            <w:pPr>
              <w:spacing w:line="412" w:lineRule="auto"/>
              <w:ind w:left="6" w:leftChars="1" w:right="-38" w:rightChars="-18" w:hanging="4" w:hangingChars="2"/>
              <w:jc w:val="center"/>
              <w:rPr>
                <w:rFonts w:ascii="Calibri" w:hAnsi="宋体" w:eastAsia="宋体" w:cs="宋体"/>
                <w:szCs w:val="21"/>
              </w:rPr>
            </w:pPr>
          </w:p>
        </w:tc>
        <w:tc>
          <w:tcPr>
            <w:tcW w:w="1330" w:type="dxa"/>
            <w:vAlign w:val="center"/>
          </w:tcPr>
          <w:p>
            <w:pPr>
              <w:spacing w:line="412" w:lineRule="auto"/>
              <w:ind w:left="6" w:leftChars="1" w:right="-38" w:rightChars="-18" w:hanging="4" w:hangingChars="2"/>
              <w:jc w:val="center"/>
              <w:rPr>
                <w:rFonts w:ascii="Calibri" w:hAnsi="宋体" w:eastAsia="宋体" w:cs="宋体"/>
                <w:szCs w:val="21"/>
              </w:rPr>
            </w:pPr>
          </w:p>
        </w:tc>
        <w:tc>
          <w:tcPr>
            <w:tcW w:w="1698" w:type="dxa"/>
          </w:tcPr>
          <w:p>
            <w:pPr>
              <w:spacing w:line="412" w:lineRule="auto"/>
              <w:ind w:left="6" w:leftChars="1" w:right="-38" w:rightChars="-18" w:hanging="4" w:hangingChars="2"/>
              <w:jc w:val="center"/>
              <w:rPr>
                <w:rFonts w:ascii="Calibri" w:hAnsi="宋体" w:eastAsia="宋体" w:cs="宋体"/>
                <w:szCs w:val="21"/>
              </w:rPr>
            </w:pPr>
          </w:p>
        </w:tc>
        <w:tc>
          <w:tcPr>
            <w:tcW w:w="966" w:type="dxa"/>
            <w:vAlign w:val="center"/>
          </w:tcPr>
          <w:p>
            <w:pPr>
              <w:spacing w:line="412"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165"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329" w:type="dxa"/>
            <w:vAlign w:val="center"/>
          </w:tcPr>
          <w:p>
            <w:pPr>
              <w:spacing w:line="412" w:lineRule="auto"/>
              <w:ind w:left="6" w:leftChars="1" w:right="-38" w:rightChars="-18" w:hanging="4" w:hangingChars="2"/>
              <w:jc w:val="center"/>
              <w:rPr>
                <w:rFonts w:ascii="Calibri" w:hAnsi="宋体" w:eastAsia="宋体" w:cs="宋体"/>
                <w:szCs w:val="21"/>
              </w:rPr>
            </w:pPr>
          </w:p>
        </w:tc>
        <w:tc>
          <w:tcPr>
            <w:tcW w:w="1330" w:type="dxa"/>
            <w:vAlign w:val="center"/>
          </w:tcPr>
          <w:p>
            <w:pPr>
              <w:spacing w:line="412" w:lineRule="auto"/>
              <w:ind w:left="6" w:leftChars="1" w:right="-38" w:rightChars="-18" w:hanging="4" w:hangingChars="2"/>
              <w:jc w:val="center"/>
              <w:rPr>
                <w:rFonts w:ascii="Calibri" w:hAnsi="宋体" w:eastAsia="宋体" w:cs="宋体"/>
                <w:szCs w:val="21"/>
              </w:rPr>
            </w:pPr>
          </w:p>
        </w:tc>
        <w:tc>
          <w:tcPr>
            <w:tcW w:w="1698" w:type="dxa"/>
          </w:tcPr>
          <w:p>
            <w:pPr>
              <w:spacing w:line="412" w:lineRule="auto"/>
              <w:ind w:left="6" w:leftChars="1" w:right="-38" w:rightChars="-18" w:hanging="4" w:hangingChars="2"/>
              <w:jc w:val="center"/>
              <w:rPr>
                <w:rFonts w:ascii="Calibri" w:hAnsi="宋体" w:eastAsia="宋体" w:cs="宋体"/>
                <w:szCs w:val="21"/>
              </w:rPr>
            </w:pPr>
          </w:p>
        </w:tc>
        <w:tc>
          <w:tcPr>
            <w:tcW w:w="966" w:type="dxa"/>
            <w:vAlign w:val="center"/>
          </w:tcPr>
          <w:p>
            <w:pPr>
              <w:spacing w:line="412"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165"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329" w:type="dxa"/>
            <w:vAlign w:val="center"/>
          </w:tcPr>
          <w:p>
            <w:pPr>
              <w:spacing w:line="412" w:lineRule="auto"/>
              <w:ind w:left="6" w:leftChars="1" w:right="-38" w:rightChars="-18" w:hanging="4" w:hangingChars="2"/>
              <w:jc w:val="center"/>
              <w:rPr>
                <w:rFonts w:ascii="Calibri" w:hAnsi="宋体" w:eastAsia="宋体" w:cs="宋体"/>
                <w:szCs w:val="21"/>
              </w:rPr>
            </w:pPr>
          </w:p>
        </w:tc>
        <w:tc>
          <w:tcPr>
            <w:tcW w:w="1330" w:type="dxa"/>
            <w:vAlign w:val="center"/>
          </w:tcPr>
          <w:p>
            <w:pPr>
              <w:spacing w:line="412" w:lineRule="auto"/>
              <w:ind w:left="6" w:leftChars="1" w:right="-38" w:rightChars="-18" w:hanging="4" w:hangingChars="2"/>
              <w:jc w:val="center"/>
              <w:rPr>
                <w:rFonts w:ascii="Calibri" w:hAnsi="宋体" w:eastAsia="宋体" w:cs="宋体"/>
                <w:szCs w:val="21"/>
              </w:rPr>
            </w:pPr>
          </w:p>
        </w:tc>
        <w:tc>
          <w:tcPr>
            <w:tcW w:w="1698" w:type="dxa"/>
          </w:tcPr>
          <w:p>
            <w:pPr>
              <w:spacing w:line="412" w:lineRule="auto"/>
              <w:ind w:left="6" w:leftChars="1" w:right="-38" w:rightChars="-18" w:hanging="4" w:hangingChars="2"/>
              <w:jc w:val="center"/>
              <w:rPr>
                <w:rFonts w:ascii="Calibri" w:hAnsi="宋体" w:eastAsia="宋体" w:cs="宋体"/>
                <w:szCs w:val="21"/>
              </w:rPr>
            </w:pPr>
          </w:p>
        </w:tc>
        <w:tc>
          <w:tcPr>
            <w:tcW w:w="966" w:type="dxa"/>
            <w:vAlign w:val="center"/>
          </w:tcPr>
          <w:p>
            <w:pPr>
              <w:spacing w:line="412"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165"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329" w:type="dxa"/>
            <w:vAlign w:val="center"/>
          </w:tcPr>
          <w:p>
            <w:pPr>
              <w:spacing w:line="412" w:lineRule="auto"/>
              <w:ind w:left="6" w:leftChars="1" w:right="-38" w:rightChars="-18" w:hanging="4" w:hangingChars="2"/>
              <w:jc w:val="center"/>
              <w:rPr>
                <w:rFonts w:ascii="Calibri" w:hAnsi="宋体" w:eastAsia="宋体" w:cs="宋体"/>
                <w:szCs w:val="21"/>
              </w:rPr>
            </w:pPr>
          </w:p>
        </w:tc>
        <w:tc>
          <w:tcPr>
            <w:tcW w:w="1330" w:type="dxa"/>
            <w:vAlign w:val="center"/>
          </w:tcPr>
          <w:p>
            <w:pPr>
              <w:spacing w:line="412" w:lineRule="auto"/>
              <w:ind w:left="6" w:leftChars="1" w:right="-38" w:rightChars="-18" w:hanging="4" w:hangingChars="2"/>
              <w:jc w:val="center"/>
              <w:rPr>
                <w:rFonts w:ascii="Calibri" w:hAnsi="宋体" w:eastAsia="宋体" w:cs="宋体"/>
                <w:szCs w:val="21"/>
              </w:rPr>
            </w:pPr>
          </w:p>
        </w:tc>
        <w:tc>
          <w:tcPr>
            <w:tcW w:w="1698" w:type="dxa"/>
          </w:tcPr>
          <w:p>
            <w:pPr>
              <w:spacing w:line="412" w:lineRule="auto"/>
              <w:ind w:left="6" w:leftChars="1" w:right="-38" w:rightChars="-18" w:hanging="4" w:hangingChars="2"/>
              <w:jc w:val="center"/>
              <w:rPr>
                <w:rFonts w:ascii="Calibri" w:hAnsi="宋体" w:eastAsia="宋体" w:cs="宋体"/>
                <w:szCs w:val="21"/>
              </w:rPr>
            </w:pPr>
          </w:p>
        </w:tc>
        <w:tc>
          <w:tcPr>
            <w:tcW w:w="966" w:type="dxa"/>
            <w:vAlign w:val="center"/>
          </w:tcPr>
          <w:p>
            <w:pPr>
              <w:spacing w:line="412"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165"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329" w:type="dxa"/>
            <w:vAlign w:val="center"/>
          </w:tcPr>
          <w:p>
            <w:pPr>
              <w:spacing w:line="412" w:lineRule="auto"/>
              <w:ind w:left="6" w:leftChars="1" w:right="-38" w:rightChars="-18" w:hanging="4" w:hangingChars="2"/>
              <w:jc w:val="center"/>
              <w:rPr>
                <w:rFonts w:ascii="Calibri" w:hAnsi="宋体" w:eastAsia="宋体" w:cs="宋体"/>
                <w:szCs w:val="21"/>
              </w:rPr>
            </w:pPr>
          </w:p>
        </w:tc>
        <w:tc>
          <w:tcPr>
            <w:tcW w:w="1330" w:type="dxa"/>
            <w:vAlign w:val="center"/>
          </w:tcPr>
          <w:p>
            <w:pPr>
              <w:spacing w:line="412" w:lineRule="auto"/>
              <w:ind w:left="6" w:leftChars="1" w:right="-38" w:rightChars="-18" w:hanging="4" w:hangingChars="2"/>
              <w:jc w:val="center"/>
              <w:rPr>
                <w:rFonts w:ascii="Calibri" w:hAnsi="宋体" w:eastAsia="宋体" w:cs="宋体"/>
                <w:szCs w:val="21"/>
              </w:rPr>
            </w:pPr>
          </w:p>
        </w:tc>
        <w:tc>
          <w:tcPr>
            <w:tcW w:w="1698" w:type="dxa"/>
          </w:tcPr>
          <w:p>
            <w:pPr>
              <w:spacing w:line="412" w:lineRule="auto"/>
              <w:ind w:left="6" w:leftChars="1" w:right="-38" w:rightChars="-18" w:hanging="4" w:hangingChars="2"/>
              <w:jc w:val="center"/>
              <w:rPr>
                <w:rFonts w:ascii="Calibri" w:hAnsi="宋体" w:eastAsia="宋体" w:cs="宋体"/>
                <w:szCs w:val="21"/>
              </w:rPr>
            </w:pPr>
          </w:p>
        </w:tc>
        <w:tc>
          <w:tcPr>
            <w:tcW w:w="966" w:type="dxa"/>
            <w:vAlign w:val="center"/>
          </w:tcPr>
          <w:p>
            <w:pPr>
              <w:spacing w:line="412"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165"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329" w:type="dxa"/>
            <w:vAlign w:val="center"/>
          </w:tcPr>
          <w:p>
            <w:pPr>
              <w:spacing w:line="412" w:lineRule="auto"/>
              <w:ind w:left="6" w:leftChars="1" w:right="-38" w:rightChars="-18" w:hanging="4" w:hangingChars="2"/>
              <w:jc w:val="center"/>
              <w:rPr>
                <w:rFonts w:ascii="Calibri" w:hAnsi="宋体" w:eastAsia="宋体" w:cs="宋体"/>
                <w:szCs w:val="21"/>
              </w:rPr>
            </w:pPr>
          </w:p>
        </w:tc>
        <w:tc>
          <w:tcPr>
            <w:tcW w:w="1330" w:type="dxa"/>
            <w:vAlign w:val="center"/>
          </w:tcPr>
          <w:p>
            <w:pPr>
              <w:spacing w:line="412" w:lineRule="auto"/>
              <w:ind w:left="6" w:leftChars="1" w:right="-38" w:rightChars="-18" w:hanging="4" w:hangingChars="2"/>
              <w:jc w:val="center"/>
              <w:rPr>
                <w:rFonts w:ascii="Calibri" w:hAnsi="宋体" w:eastAsia="宋体" w:cs="宋体"/>
                <w:szCs w:val="21"/>
              </w:rPr>
            </w:pPr>
          </w:p>
        </w:tc>
        <w:tc>
          <w:tcPr>
            <w:tcW w:w="1698" w:type="dxa"/>
          </w:tcPr>
          <w:p>
            <w:pPr>
              <w:spacing w:line="412" w:lineRule="auto"/>
              <w:ind w:left="6" w:leftChars="1" w:right="-38" w:rightChars="-18" w:hanging="4" w:hangingChars="2"/>
              <w:jc w:val="center"/>
              <w:rPr>
                <w:rFonts w:ascii="Calibri" w:hAnsi="宋体" w:eastAsia="宋体" w:cs="宋体"/>
                <w:szCs w:val="21"/>
              </w:rPr>
            </w:pPr>
          </w:p>
        </w:tc>
        <w:tc>
          <w:tcPr>
            <w:tcW w:w="966" w:type="dxa"/>
            <w:vAlign w:val="center"/>
          </w:tcPr>
          <w:p>
            <w:pPr>
              <w:spacing w:line="412"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165"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329" w:type="dxa"/>
            <w:vAlign w:val="center"/>
          </w:tcPr>
          <w:p>
            <w:pPr>
              <w:spacing w:line="412" w:lineRule="auto"/>
              <w:ind w:left="6" w:leftChars="1" w:right="-38" w:rightChars="-18" w:hanging="4" w:hangingChars="2"/>
              <w:jc w:val="center"/>
              <w:rPr>
                <w:rFonts w:ascii="Calibri" w:hAnsi="宋体" w:eastAsia="宋体" w:cs="宋体"/>
                <w:szCs w:val="21"/>
              </w:rPr>
            </w:pPr>
          </w:p>
        </w:tc>
        <w:tc>
          <w:tcPr>
            <w:tcW w:w="1330" w:type="dxa"/>
            <w:vAlign w:val="center"/>
          </w:tcPr>
          <w:p>
            <w:pPr>
              <w:spacing w:line="412" w:lineRule="auto"/>
              <w:ind w:left="6" w:leftChars="1" w:right="-38" w:rightChars="-18" w:hanging="4" w:hangingChars="2"/>
              <w:jc w:val="center"/>
              <w:rPr>
                <w:rFonts w:ascii="Calibri" w:hAnsi="宋体" w:eastAsia="宋体" w:cs="宋体"/>
                <w:szCs w:val="21"/>
              </w:rPr>
            </w:pPr>
          </w:p>
        </w:tc>
        <w:tc>
          <w:tcPr>
            <w:tcW w:w="1698" w:type="dxa"/>
          </w:tcPr>
          <w:p>
            <w:pPr>
              <w:spacing w:line="412" w:lineRule="auto"/>
              <w:ind w:left="6" w:leftChars="1" w:right="-38" w:rightChars="-18" w:hanging="4" w:hangingChars="2"/>
              <w:jc w:val="center"/>
              <w:rPr>
                <w:rFonts w:ascii="Calibri" w:hAnsi="宋体" w:eastAsia="宋体" w:cs="宋体"/>
                <w:szCs w:val="21"/>
              </w:rPr>
            </w:pPr>
          </w:p>
        </w:tc>
        <w:tc>
          <w:tcPr>
            <w:tcW w:w="966" w:type="dxa"/>
            <w:vAlign w:val="center"/>
          </w:tcPr>
          <w:p>
            <w:pPr>
              <w:spacing w:line="412"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165"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936" w:type="dxa"/>
            <w:vAlign w:val="center"/>
          </w:tcPr>
          <w:p>
            <w:pPr>
              <w:spacing w:line="412" w:lineRule="auto"/>
              <w:ind w:left="6" w:leftChars="1" w:right="-38" w:rightChars="-18" w:hanging="4" w:hangingChars="2"/>
              <w:jc w:val="center"/>
              <w:rPr>
                <w:rFonts w:ascii="Calibri" w:hAnsi="宋体" w:eastAsia="宋体" w:cs="宋体"/>
                <w:szCs w:val="21"/>
              </w:rPr>
            </w:pPr>
          </w:p>
        </w:tc>
        <w:tc>
          <w:tcPr>
            <w:tcW w:w="1329" w:type="dxa"/>
            <w:vAlign w:val="center"/>
          </w:tcPr>
          <w:p>
            <w:pPr>
              <w:spacing w:line="412" w:lineRule="auto"/>
              <w:ind w:left="6" w:leftChars="1" w:right="-38" w:rightChars="-18" w:hanging="4" w:hangingChars="2"/>
              <w:jc w:val="center"/>
              <w:rPr>
                <w:rFonts w:ascii="Calibri" w:hAnsi="宋体" w:eastAsia="宋体" w:cs="宋体"/>
                <w:szCs w:val="21"/>
              </w:rPr>
            </w:pPr>
          </w:p>
        </w:tc>
        <w:tc>
          <w:tcPr>
            <w:tcW w:w="1330" w:type="dxa"/>
            <w:vAlign w:val="center"/>
          </w:tcPr>
          <w:p>
            <w:pPr>
              <w:spacing w:line="412" w:lineRule="auto"/>
              <w:ind w:left="6" w:leftChars="1" w:right="-38" w:rightChars="-18" w:hanging="4" w:hangingChars="2"/>
              <w:jc w:val="center"/>
              <w:rPr>
                <w:rFonts w:ascii="Calibri" w:hAnsi="宋体" w:eastAsia="宋体" w:cs="宋体"/>
                <w:szCs w:val="21"/>
              </w:rPr>
            </w:pPr>
          </w:p>
        </w:tc>
        <w:tc>
          <w:tcPr>
            <w:tcW w:w="1698" w:type="dxa"/>
          </w:tcPr>
          <w:p>
            <w:pPr>
              <w:spacing w:line="412" w:lineRule="auto"/>
              <w:ind w:left="6" w:leftChars="1" w:right="-38" w:rightChars="-18" w:hanging="4" w:hangingChars="2"/>
              <w:jc w:val="center"/>
              <w:rPr>
                <w:rFonts w:ascii="Calibri" w:hAnsi="宋体" w:eastAsia="宋体" w:cs="宋体"/>
                <w:szCs w:val="21"/>
              </w:rPr>
            </w:pPr>
          </w:p>
        </w:tc>
        <w:tc>
          <w:tcPr>
            <w:tcW w:w="966" w:type="dxa"/>
            <w:vAlign w:val="center"/>
          </w:tcPr>
          <w:p>
            <w:pPr>
              <w:spacing w:line="412" w:lineRule="auto"/>
              <w:ind w:left="6" w:leftChars="1" w:right="-38" w:rightChars="-18" w:hanging="4" w:hangingChars="2"/>
              <w:jc w:val="center"/>
              <w:rPr>
                <w:rFonts w:ascii="Calibri" w:hAnsi="宋体" w:eastAsia="宋体" w:cs="宋体"/>
                <w:szCs w:val="21"/>
              </w:rPr>
            </w:pPr>
          </w:p>
        </w:tc>
      </w:tr>
    </w:tbl>
    <w:p>
      <w:pPr>
        <w:pStyle w:val="14"/>
        <w:ind w:firstLine="0"/>
        <w:rPr>
          <w:rFonts w:ascii="宋体" w:hAnsi="宋体" w:eastAsia="宋体" w:cs="宋体"/>
          <w:sz w:val="21"/>
          <w:szCs w:val="21"/>
        </w:rPr>
      </w:pPr>
      <w:r>
        <w:rPr>
          <w:rFonts w:hint="eastAsia" w:ascii="宋体" w:hAnsi="宋体" w:eastAsia="宋体" w:cs="宋体"/>
          <w:sz w:val="21"/>
          <w:szCs w:val="21"/>
          <w:lang w:val="en-GB"/>
        </w:rPr>
        <w:t>注：</w:t>
      </w:r>
      <w:r>
        <w:rPr>
          <w:rFonts w:ascii="宋体" w:hAnsi="宋体" w:eastAsia="宋体" w:cs="宋体"/>
          <w:b/>
          <w:bCs/>
          <w:sz w:val="21"/>
          <w:szCs w:val="21"/>
        </w:rPr>
        <w:t>1、本表第一行填列的必须为项目负责人。</w:t>
      </w:r>
    </w:p>
    <w:p>
      <w:pPr>
        <w:pStyle w:val="14"/>
        <w:ind w:firstLine="420" w:firstLineChars="200"/>
        <w:rPr>
          <w:rFonts w:ascii="宋体" w:hAnsi="宋体" w:eastAsia="宋体" w:cs="宋体"/>
          <w:sz w:val="21"/>
          <w:szCs w:val="21"/>
        </w:rPr>
      </w:pPr>
      <w:r>
        <w:rPr>
          <w:rFonts w:hint="eastAsia" w:ascii="宋体" w:hAnsi="宋体" w:eastAsia="宋体" w:cs="宋体"/>
          <w:sz w:val="21"/>
          <w:szCs w:val="21"/>
        </w:rPr>
        <w:t>2、表后应按本表填列顺序提供服务人员情况表（格式见C</w:t>
      </w:r>
      <w:r>
        <w:rPr>
          <w:rFonts w:ascii="宋体" w:hAnsi="宋体" w:eastAsia="宋体" w:cs="宋体"/>
          <w:sz w:val="21"/>
          <w:szCs w:val="21"/>
        </w:rPr>
        <w:t>1</w:t>
      </w:r>
      <w:r>
        <w:rPr>
          <w:rFonts w:hint="eastAsia" w:ascii="宋体" w:hAnsi="宋体" w:eastAsia="宋体" w:cs="宋体"/>
          <w:sz w:val="21"/>
          <w:szCs w:val="21"/>
        </w:rPr>
        <w:t>）、相关证书、证件及证明材料复印件并加盖投标人公章。</w:t>
      </w:r>
    </w:p>
    <w:p>
      <w:pPr>
        <w:ind w:right="-101" w:rightChars="-48" w:firstLine="420" w:firstLineChars="200"/>
        <w:rPr>
          <w:rFonts w:hAnsi="宋体" w:eastAsia="宋体" w:cs="宋体"/>
          <w:szCs w:val="21"/>
        </w:rPr>
      </w:pPr>
      <w:r>
        <w:rPr>
          <w:rFonts w:hint="eastAsia" w:hAnsi="宋体" w:eastAsia="宋体" w:cs="宋体"/>
          <w:szCs w:val="21"/>
        </w:rPr>
        <w:t>3、岗位情况注明本单位在岗或外聘。</w:t>
      </w:r>
    </w:p>
    <w:p>
      <w:pPr>
        <w:pStyle w:val="30"/>
        <w:ind w:left="239" w:leftChars="114" w:firstLine="420"/>
        <w:rPr>
          <w:rFonts w:hAnsi="宋体" w:eastAsia="宋体"/>
          <w:i w:val="0"/>
          <w:sz w:val="21"/>
          <w:szCs w:val="21"/>
        </w:rPr>
      </w:pPr>
    </w:p>
    <w:p>
      <w:pPr>
        <w:pStyle w:val="30"/>
        <w:ind w:left="239" w:leftChars="114" w:firstLine="420"/>
        <w:rPr>
          <w:rFonts w:hAnsi="宋体" w:eastAsia="宋体"/>
          <w:i w:val="0"/>
          <w:sz w:val="21"/>
          <w:szCs w:val="21"/>
        </w:rPr>
      </w:pPr>
    </w:p>
    <w:p>
      <w:pPr>
        <w:pStyle w:val="30"/>
        <w:ind w:left="239" w:leftChars="114" w:firstLine="420"/>
        <w:rPr>
          <w:rFonts w:hAnsi="宋体" w:eastAsia="宋体"/>
          <w:i w:val="0"/>
          <w:sz w:val="21"/>
          <w:szCs w:val="21"/>
        </w:rPr>
      </w:pPr>
      <w:r>
        <w:rPr>
          <w:rFonts w:hint="eastAsia" w:hAnsi="宋体" w:eastAsia="宋体"/>
          <w:i w:val="0"/>
          <w:sz w:val="21"/>
          <w:szCs w:val="21"/>
        </w:rPr>
        <w:t>投标人（公章）：</w:t>
      </w:r>
    </w:p>
    <w:p>
      <w:pPr>
        <w:pStyle w:val="30"/>
        <w:ind w:left="239" w:leftChars="114" w:firstLine="420"/>
        <w:rPr>
          <w:rFonts w:hAnsi="宋体" w:eastAsia="宋体"/>
          <w:i w:val="0"/>
          <w:sz w:val="21"/>
          <w:szCs w:val="21"/>
        </w:rPr>
      </w:pPr>
      <w:r>
        <w:rPr>
          <w:rFonts w:hint="eastAsia" w:hAnsi="宋体" w:eastAsia="宋体"/>
          <w:i w:val="0"/>
          <w:sz w:val="21"/>
          <w:szCs w:val="21"/>
        </w:rPr>
        <w:t xml:space="preserve">法定代表人（负责人）或授权代理人（签字或盖章）： </w:t>
      </w:r>
    </w:p>
    <w:p>
      <w:pPr>
        <w:pStyle w:val="30"/>
        <w:ind w:left="239" w:leftChars="114" w:firstLine="420"/>
        <w:rPr>
          <w:rFonts w:hAnsi="宋体" w:eastAsia="宋体"/>
          <w:i w:val="0"/>
          <w:sz w:val="21"/>
          <w:szCs w:val="21"/>
          <w:u w:val="single"/>
        </w:rPr>
      </w:pPr>
      <w:r>
        <w:rPr>
          <w:rFonts w:hint="eastAsia" w:hAnsi="宋体" w:eastAsia="宋体"/>
          <w:i w:val="0"/>
          <w:sz w:val="21"/>
          <w:szCs w:val="21"/>
        </w:rPr>
        <w:t>日期：</w:t>
      </w:r>
    </w:p>
    <w:p>
      <w:pPr>
        <w:pStyle w:val="30"/>
        <w:tabs>
          <w:tab w:val="left" w:pos="0"/>
        </w:tabs>
        <w:ind w:firstLine="0"/>
        <w:outlineLvl w:val="1"/>
        <w:rPr>
          <w:rFonts w:hAnsi="宋体" w:eastAsia="宋体" w:cs="宋体"/>
          <w:i w:val="0"/>
          <w:sz w:val="21"/>
          <w:szCs w:val="21"/>
        </w:rPr>
      </w:pPr>
      <w:bookmarkStart w:id="1075" w:name="_Toc17977"/>
      <w:r>
        <w:rPr>
          <w:rFonts w:hint="eastAsia" w:hAnsi="宋体" w:eastAsia="宋体" w:cs="宋体"/>
          <w:i w:val="0"/>
          <w:sz w:val="21"/>
          <w:szCs w:val="21"/>
        </w:rPr>
        <w:br w:type="page"/>
      </w:r>
    </w:p>
    <w:p>
      <w:pPr>
        <w:pStyle w:val="30"/>
        <w:tabs>
          <w:tab w:val="left" w:pos="0"/>
        </w:tabs>
        <w:ind w:firstLine="0"/>
        <w:outlineLvl w:val="1"/>
        <w:rPr>
          <w:rFonts w:hAnsi="宋体" w:eastAsia="宋体"/>
          <w:i w:val="0"/>
          <w:sz w:val="21"/>
          <w:szCs w:val="21"/>
        </w:rPr>
      </w:pPr>
      <w:bookmarkStart w:id="1076" w:name="_Toc7590"/>
      <w:r>
        <w:rPr>
          <w:rFonts w:hint="eastAsia" w:hAnsi="宋体" w:eastAsia="宋体" w:cs="宋体"/>
          <w:i w:val="0"/>
          <w:sz w:val="21"/>
          <w:szCs w:val="21"/>
        </w:rPr>
        <w:t>C</w:t>
      </w:r>
      <w:r>
        <w:rPr>
          <w:rFonts w:hAnsi="宋体" w:eastAsia="宋体" w:cs="宋体"/>
          <w:i w:val="0"/>
          <w:sz w:val="21"/>
          <w:szCs w:val="21"/>
        </w:rPr>
        <w:t>2</w:t>
      </w:r>
      <w:r>
        <w:rPr>
          <w:rFonts w:hint="eastAsia" w:hAnsi="宋体" w:eastAsia="宋体" w:cs="宋体"/>
          <w:i w:val="0"/>
          <w:sz w:val="21"/>
          <w:szCs w:val="21"/>
        </w:rPr>
        <w:t>、保险服务人员情况表</w:t>
      </w:r>
      <w:bookmarkEnd w:id="1075"/>
      <w:bookmarkEnd w:id="1076"/>
    </w:p>
    <w:p>
      <w:pPr>
        <w:jc w:val="center"/>
        <w:rPr>
          <w:rFonts w:hAnsi="宋体" w:eastAsia="宋体" w:cs="宋体"/>
          <w:b/>
          <w:bCs/>
          <w:sz w:val="30"/>
          <w:szCs w:val="30"/>
        </w:rPr>
      </w:pPr>
      <w:r>
        <w:rPr>
          <w:rFonts w:hint="eastAsia" w:hAnsi="宋体" w:eastAsia="宋体" w:cs="宋体"/>
          <w:b/>
          <w:bCs/>
          <w:sz w:val="30"/>
          <w:szCs w:val="30"/>
        </w:rPr>
        <w:t>六、保险服务人员情况表</w:t>
      </w:r>
    </w:p>
    <w:tbl>
      <w:tblPr>
        <w:tblStyle w:val="47"/>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281"/>
        <w:gridCol w:w="1472"/>
        <w:gridCol w:w="462"/>
        <w:gridCol w:w="184"/>
        <w:gridCol w:w="177"/>
        <w:gridCol w:w="937"/>
        <w:gridCol w:w="782"/>
        <w:gridCol w:w="631"/>
        <w:gridCol w:w="1885"/>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473" w:type="dxa"/>
            <w:gridSpan w:val="2"/>
            <w:vAlign w:val="center"/>
          </w:tcPr>
          <w:p>
            <w:pPr>
              <w:spacing w:line="412" w:lineRule="auto"/>
              <w:ind w:left="6" w:leftChars="1" w:right="-38" w:rightChars="-18" w:hanging="4" w:hangingChars="2"/>
              <w:jc w:val="center"/>
              <w:rPr>
                <w:rFonts w:ascii="Calibri" w:hAnsi="宋体" w:eastAsia="宋体" w:cs="宋体"/>
                <w:bCs/>
                <w:szCs w:val="21"/>
              </w:rPr>
            </w:pPr>
            <w:r>
              <w:rPr>
                <w:rFonts w:hint="eastAsia" w:ascii="Calibri" w:hAnsi="宋体" w:eastAsia="宋体" w:cs="宋体"/>
                <w:bCs/>
                <w:szCs w:val="21"/>
              </w:rPr>
              <w:t>姓名</w:t>
            </w:r>
          </w:p>
        </w:tc>
        <w:tc>
          <w:tcPr>
            <w:tcW w:w="1472" w:type="dxa"/>
            <w:vAlign w:val="center"/>
          </w:tcPr>
          <w:p>
            <w:pPr>
              <w:spacing w:line="412" w:lineRule="auto"/>
              <w:ind w:left="2" w:leftChars="1" w:right="-38" w:rightChars="-18" w:firstLine="39" w:firstLineChars="19"/>
              <w:jc w:val="center"/>
              <w:rPr>
                <w:rFonts w:ascii="Calibri" w:hAnsi="宋体" w:eastAsia="宋体" w:cs="宋体"/>
                <w:bCs/>
                <w:szCs w:val="21"/>
              </w:rPr>
            </w:pPr>
          </w:p>
        </w:tc>
        <w:tc>
          <w:tcPr>
            <w:tcW w:w="646" w:type="dxa"/>
            <w:gridSpan w:val="2"/>
            <w:vAlign w:val="center"/>
          </w:tcPr>
          <w:p>
            <w:pPr>
              <w:spacing w:line="412" w:lineRule="auto"/>
              <w:ind w:left="6" w:leftChars="1" w:right="-38" w:rightChars="-18" w:hanging="4" w:hangingChars="2"/>
              <w:jc w:val="center"/>
              <w:rPr>
                <w:rFonts w:ascii="Calibri" w:hAnsi="宋体" w:eastAsia="宋体" w:cs="宋体"/>
                <w:szCs w:val="21"/>
              </w:rPr>
            </w:pPr>
            <w:r>
              <w:rPr>
                <w:rFonts w:hint="eastAsia" w:ascii="Calibri" w:hAnsi="宋体" w:eastAsia="宋体" w:cs="宋体"/>
                <w:bCs/>
                <w:szCs w:val="21"/>
              </w:rPr>
              <w:t>年龄</w:t>
            </w:r>
          </w:p>
        </w:tc>
        <w:tc>
          <w:tcPr>
            <w:tcW w:w="1114" w:type="dxa"/>
            <w:gridSpan w:val="2"/>
            <w:vAlign w:val="center"/>
          </w:tcPr>
          <w:p>
            <w:pPr>
              <w:spacing w:line="412" w:lineRule="auto"/>
              <w:ind w:left="2" w:leftChars="1" w:right="-38" w:rightChars="-18" w:firstLine="42" w:firstLineChars="20"/>
              <w:jc w:val="center"/>
              <w:rPr>
                <w:rFonts w:ascii="Calibri" w:hAnsi="宋体" w:eastAsia="宋体" w:cs="宋体"/>
                <w:bCs/>
                <w:szCs w:val="21"/>
              </w:rPr>
            </w:pPr>
          </w:p>
        </w:tc>
        <w:tc>
          <w:tcPr>
            <w:tcW w:w="1413" w:type="dxa"/>
            <w:gridSpan w:val="2"/>
            <w:vAlign w:val="center"/>
          </w:tcPr>
          <w:p>
            <w:pPr>
              <w:spacing w:line="412" w:lineRule="auto"/>
              <w:ind w:left="6" w:leftChars="1" w:right="-38" w:rightChars="-18" w:hanging="4" w:hangingChars="2"/>
              <w:jc w:val="center"/>
              <w:rPr>
                <w:rFonts w:ascii="Calibri" w:hAnsi="宋体" w:eastAsia="宋体" w:cs="宋体"/>
                <w:bCs/>
                <w:szCs w:val="21"/>
              </w:rPr>
            </w:pPr>
            <w:r>
              <w:rPr>
                <w:rFonts w:hint="eastAsia" w:ascii="Calibri" w:hAnsi="宋体" w:eastAsia="宋体" w:cs="宋体"/>
                <w:bCs/>
                <w:szCs w:val="21"/>
              </w:rPr>
              <w:t>职务</w:t>
            </w:r>
          </w:p>
        </w:tc>
        <w:tc>
          <w:tcPr>
            <w:tcW w:w="2541" w:type="dxa"/>
            <w:gridSpan w:val="2"/>
            <w:vAlign w:val="center"/>
          </w:tcPr>
          <w:p>
            <w:pPr>
              <w:spacing w:line="412"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473" w:type="dxa"/>
            <w:gridSpan w:val="2"/>
            <w:vAlign w:val="center"/>
          </w:tcPr>
          <w:p>
            <w:pPr>
              <w:spacing w:line="412" w:lineRule="auto"/>
              <w:ind w:left="2" w:leftChars="1" w:right="-38" w:rightChars="-18" w:firstLine="42" w:firstLineChars="20"/>
              <w:jc w:val="center"/>
              <w:rPr>
                <w:rFonts w:ascii="Calibri" w:hAnsi="宋体" w:eastAsia="宋体" w:cs="宋体"/>
                <w:bCs/>
                <w:szCs w:val="21"/>
              </w:rPr>
            </w:pPr>
            <w:r>
              <w:rPr>
                <w:rFonts w:hint="eastAsia" w:ascii="Calibri" w:hAnsi="宋体" w:eastAsia="宋体" w:cs="宋体"/>
                <w:bCs/>
                <w:szCs w:val="21"/>
              </w:rPr>
              <w:t>技术职称</w:t>
            </w:r>
          </w:p>
        </w:tc>
        <w:tc>
          <w:tcPr>
            <w:tcW w:w="3232" w:type="dxa"/>
            <w:gridSpan w:val="5"/>
            <w:vAlign w:val="center"/>
          </w:tcPr>
          <w:p>
            <w:pPr>
              <w:spacing w:line="412" w:lineRule="auto"/>
              <w:ind w:left="2" w:leftChars="1" w:right="-38" w:rightChars="-18" w:firstLine="42" w:firstLineChars="20"/>
              <w:jc w:val="center"/>
              <w:rPr>
                <w:rFonts w:ascii="Calibri" w:hAnsi="宋体" w:eastAsia="宋体" w:cs="宋体"/>
                <w:bCs/>
                <w:szCs w:val="21"/>
              </w:rPr>
            </w:pPr>
          </w:p>
        </w:tc>
        <w:tc>
          <w:tcPr>
            <w:tcW w:w="1413" w:type="dxa"/>
            <w:gridSpan w:val="2"/>
            <w:vAlign w:val="center"/>
          </w:tcPr>
          <w:p>
            <w:pPr>
              <w:spacing w:line="412" w:lineRule="auto"/>
              <w:ind w:left="6" w:leftChars="1" w:right="-38" w:rightChars="-18" w:hanging="4" w:hangingChars="2"/>
              <w:jc w:val="center"/>
              <w:rPr>
                <w:rFonts w:ascii="Calibri" w:hAnsi="宋体" w:eastAsia="宋体" w:cs="宋体"/>
                <w:bCs/>
                <w:szCs w:val="21"/>
              </w:rPr>
            </w:pPr>
            <w:r>
              <w:rPr>
                <w:rFonts w:hint="eastAsia" w:ascii="Calibri" w:hAnsi="宋体" w:eastAsia="宋体" w:cs="宋体"/>
                <w:bCs/>
                <w:szCs w:val="21"/>
              </w:rPr>
              <w:t>专业</w:t>
            </w:r>
          </w:p>
        </w:tc>
        <w:tc>
          <w:tcPr>
            <w:tcW w:w="2541" w:type="dxa"/>
            <w:gridSpan w:val="2"/>
            <w:vAlign w:val="center"/>
          </w:tcPr>
          <w:p>
            <w:pPr>
              <w:spacing w:line="412"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jc w:val="center"/>
        </w:trPr>
        <w:tc>
          <w:tcPr>
            <w:tcW w:w="1473" w:type="dxa"/>
            <w:gridSpan w:val="2"/>
            <w:vAlign w:val="center"/>
          </w:tcPr>
          <w:p>
            <w:pPr>
              <w:spacing w:line="412" w:lineRule="auto"/>
              <w:ind w:left="6" w:leftChars="1" w:right="-38" w:rightChars="-18" w:hanging="4" w:hangingChars="2"/>
              <w:jc w:val="center"/>
              <w:rPr>
                <w:rFonts w:ascii="Calibri" w:hAnsi="宋体" w:eastAsia="宋体" w:cs="宋体"/>
                <w:bCs/>
                <w:szCs w:val="21"/>
              </w:rPr>
            </w:pPr>
            <w:r>
              <w:rPr>
                <w:rFonts w:hint="eastAsia" w:ascii="Calibri" w:hAnsi="宋体" w:eastAsia="宋体" w:cs="宋体"/>
                <w:bCs/>
                <w:szCs w:val="21"/>
              </w:rPr>
              <w:t>毕业学校</w:t>
            </w:r>
          </w:p>
        </w:tc>
        <w:tc>
          <w:tcPr>
            <w:tcW w:w="3232" w:type="dxa"/>
            <w:gridSpan w:val="5"/>
            <w:vAlign w:val="center"/>
          </w:tcPr>
          <w:p>
            <w:pPr>
              <w:spacing w:line="412" w:lineRule="auto"/>
              <w:ind w:left="6" w:leftChars="1" w:right="-38" w:rightChars="-18" w:hanging="4" w:hangingChars="2"/>
              <w:jc w:val="center"/>
              <w:rPr>
                <w:rFonts w:ascii="Calibri" w:hAnsi="宋体" w:eastAsia="宋体" w:cs="宋体"/>
                <w:szCs w:val="21"/>
              </w:rPr>
            </w:pPr>
          </w:p>
        </w:tc>
        <w:tc>
          <w:tcPr>
            <w:tcW w:w="1413" w:type="dxa"/>
            <w:gridSpan w:val="2"/>
            <w:vAlign w:val="center"/>
          </w:tcPr>
          <w:p>
            <w:pPr>
              <w:spacing w:line="412" w:lineRule="auto"/>
              <w:ind w:left="6" w:leftChars="1" w:right="-38" w:rightChars="-18" w:hanging="4" w:hangingChars="2"/>
              <w:jc w:val="center"/>
              <w:rPr>
                <w:rFonts w:ascii="Calibri" w:hAnsi="宋体" w:eastAsia="宋体" w:cs="宋体"/>
                <w:szCs w:val="21"/>
              </w:rPr>
            </w:pPr>
            <w:r>
              <w:rPr>
                <w:rFonts w:hint="eastAsia" w:ascii="Calibri" w:hAnsi="宋体" w:eastAsia="宋体" w:cs="宋体"/>
                <w:bCs/>
                <w:szCs w:val="21"/>
              </w:rPr>
              <w:t>现任职单位</w:t>
            </w:r>
          </w:p>
        </w:tc>
        <w:tc>
          <w:tcPr>
            <w:tcW w:w="2541" w:type="dxa"/>
            <w:gridSpan w:val="2"/>
            <w:vAlign w:val="center"/>
          </w:tcPr>
          <w:p>
            <w:pPr>
              <w:spacing w:line="412"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3407" w:type="dxa"/>
            <w:gridSpan w:val="4"/>
            <w:vAlign w:val="center"/>
          </w:tcPr>
          <w:p>
            <w:pPr>
              <w:spacing w:line="412" w:lineRule="auto"/>
              <w:ind w:left="6" w:leftChars="1" w:right="-38" w:rightChars="-18" w:hanging="4" w:hangingChars="2"/>
              <w:jc w:val="center"/>
              <w:rPr>
                <w:rFonts w:ascii="Calibri" w:hAnsi="宋体" w:eastAsia="宋体" w:cs="宋体"/>
                <w:bCs/>
                <w:szCs w:val="21"/>
              </w:rPr>
            </w:pPr>
            <w:r>
              <w:rPr>
                <w:rFonts w:hint="eastAsia" w:ascii="Calibri" w:hAnsi="宋体" w:eastAsia="宋体" w:cs="宋体"/>
                <w:bCs/>
                <w:szCs w:val="21"/>
              </w:rPr>
              <w:t>保险从业相关资质证书</w:t>
            </w:r>
          </w:p>
        </w:tc>
        <w:tc>
          <w:tcPr>
            <w:tcW w:w="5252" w:type="dxa"/>
            <w:gridSpan w:val="7"/>
            <w:vAlign w:val="center"/>
          </w:tcPr>
          <w:p>
            <w:pPr>
              <w:spacing w:line="412"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3407" w:type="dxa"/>
            <w:gridSpan w:val="4"/>
            <w:vAlign w:val="center"/>
          </w:tcPr>
          <w:p>
            <w:pPr>
              <w:spacing w:line="412" w:lineRule="auto"/>
              <w:ind w:left="6" w:leftChars="1" w:right="-38" w:rightChars="-18" w:hanging="4" w:hangingChars="2"/>
              <w:jc w:val="center"/>
              <w:rPr>
                <w:rFonts w:ascii="Calibri" w:hAnsi="宋体" w:eastAsia="宋体" w:cs="宋体"/>
                <w:bCs/>
                <w:szCs w:val="21"/>
              </w:rPr>
            </w:pPr>
            <w:r>
              <w:rPr>
                <w:rFonts w:hint="eastAsia" w:ascii="Calibri" w:hAnsi="宋体" w:eastAsia="宋体" w:cs="宋体"/>
                <w:bCs/>
                <w:szCs w:val="21"/>
              </w:rPr>
              <w:t>在本项目组中职务</w:t>
            </w:r>
          </w:p>
        </w:tc>
        <w:tc>
          <w:tcPr>
            <w:tcW w:w="5252" w:type="dxa"/>
            <w:gridSpan w:val="7"/>
            <w:vAlign w:val="center"/>
          </w:tcPr>
          <w:p>
            <w:pPr>
              <w:spacing w:line="412"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3407" w:type="dxa"/>
            <w:gridSpan w:val="4"/>
            <w:vAlign w:val="center"/>
          </w:tcPr>
          <w:p>
            <w:pPr>
              <w:spacing w:line="412" w:lineRule="auto"/>
              <w:ind w:left="6" w:leftChars="1" w:right="-38" w:rightChars="-18" w:hanging="4" w:hangingChars="2"/>
              <w:jc w:val="center"/>
              <w:rPr>
                <w:rFonts w:ascii="Calibri" w:hAnsi="宋体" w:eastAsia="宋体" w:cs="宋体"/>
                <w:bCs/>
                <w:szCs w:val="21"/>
              </w:rPr>
            </w:pPr>
            <w:r>
              <w:rPr>
                <w:rFonts w:hint="eastAsia" w:ascii="Calibri" w:hAnsi="宋体" w:eastAsia="宋体" w:cs="宋体"/>
                <w:bCs/>
                <w:szCs w:val="21"/>
              </w:rPr>
              <w:t>从事保险工作年数及特长</w:t>
            </w:r>
          </w:p>
        </w:tc>
        <w:tc>
          <w:tcPr>
            <w:tcW w:w="5252" w:type="dxa"/>
            <w:gridSpan w:val="7"/>
            <w:vAlign w:val="center"/>
          </w:tcPr>
          <w:p>
            <w:pPr>
              <w:spacing w:line="412" w:lineRule="auto"/>
              <w:ind w:left="6" w:leftChars="1" w:right="-38" w:rightChars="-18" w:hanging="4" w:hangingChars="2"/>
              <w:jc w:val="center"/>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8659" w:type="dxa"/>
            <w:gridSpan w:val="11"/>
            <w:vAlign w:val="center"/>
          </w:tcPr>
          <w:p>
            <w:pPr>
              <w:spacing w:line="412" w:lineRule="auto"/>
              <w:ind w:left="6" w:leftChars="1" w:right="-38" w:rightChars="-18" w:hanging="4" w:hangingChars="2"/>
              <w:jc w:val="center"/>
              <w:rPr>
                <w:rFonts w:ascii="Calibri" w:hAnsi="宋体" w:eastAsia="宋体" w:cs="宋体"/>
                <w:bCs/>
                <w:szCs w:val="21"/>
              </w:rPr>
            </w:pPr>
            <w:r>
              <w:rPr>
                <w:rFonts w:hint="eastAsia" w:ascii="Calibri" w:hAnsi="宋体" w:eastAsia="宋体" w:cs="宋体"/>
                <w:bCs/>
                <w:szCs w:val="21"/>
              </w:rPr>
              <w:t>曾负责主要保险项目情况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192" w:type="dxa"/>
            <w:vAlign w:val="center"/>
          </w:tcPr>
          <w:p>
            <w:pPr>
              <w:spacing w:line="412" w:lineRule="auto"/>
              <w:ind w:left="6" w:leftChars="1" w:right="-38" w:rightChars="-18" w:hanging="4" w:hangingChars="2"/>
              <w:jc w:val="center"/>
              <w:rPr>
                <w:rFonts w:ascii="Calibri" w:hAnsi="宋体" w:eastAsia="宋体" w:cs="宋体"/>
                <w:bCs/>
                <w:szCs w:val="21"/>
              </w:rPr>
            </w:pPr>
            <w:r>
              <w:rPr>
                <w:rFonts w:hint="eastAsia" w:ascii="Calibri" w:hAnsi="宋体" w:eastAsia="宋体" w:cs="宋体"/>
                <w:bCs/>
                <w:szCs w:val="21"/>
              </w:rPr>
              <w:t>起讫时间</w:t>
            </w:r>
          </w:p>
        </w:tc>
        <w:tc>
          <w:tcPr>
            <w:tcW w:w="2576" w:type="dxa"/>
            <w:gridSpan w:val="5"/>
            <w:vAlign w:val="center"/>
          </w:tcPr>
          <w:p>
            <w:pPr>
              <w:spacing w:line="412" w:lineRule="auto"/>
              <w:ind w:left="6" w:leftChars="1" w:right="-38" w:rightChars="-18" w:hanging="4" w:hangingChars="2"/>
              <w:jc w:val="center"/>
              <w:rPr>
                <w:rFonts w:ascii="Calibri" w:hAnsi="宋体" w:eastAsia="宋体" w:cs="宋体"/>
                <w:bCs/>
                <w:szCs w:val="21"/>
              </w:rPr>
            </w:pPr>
            <w:r>
              <w:rPr>
                <w:rFonts w:hint="eastAsia" w:ascii="Calibri" w:hAnsi="宋体" w:eastAsia="宋体" w:cs="宋体"/>
                <w:bCs/>
                <w:szCs w:val="21"/>
              </w:rPr>
              <w:t>项目名称</w:t>
            </w:r>
          </w:p>
        </w:tc>
        <w:tc>
          <w:tcPr>
            <w:tcW w:w="1719" w:type="dxa"/>
            <w:gridSpan w:val="2"/>
            <w:vAlign w:val="center"/>
          </w:tcPr>
          <w:p>
            <w:pPr>
              <w:spacing w:line="412" w:lineRule="auto"/>
              <w:ind w:left="6" w:leftChars="1" w:right="-38" w:rightChars="-18" w:hanging="4" w:hangingChars="2"/>
              <w:jc w:val="center"/>
              <w:rPr>
                <w:rFonts w:ascii="Calibri" w:hAnsi="宋体" w:eastAsia="宋体" w:cs="宋体"/>
                <w:bCs/>
                <w:szCs w:val="21"/>
              </w:rPr>
            </w:pPr>
            <w:r>
              <w:rPr>
                <w:rFonts w:hint="eastAsia" w:ascii="Calibri" w:hAnsi="宋体" w:eastAsia="宋体" w:cs="宋体"/>
                <w:bCs/>
                <w:szCs w:val="21"/>
              </w:rPr>
              <w:t>担任职务</w:t>
            </w:r>
          </w:p>
        </w:tc>
        <w:tc>
          <w:tcPr>
            <w:tcW w:w="2516" w:type="dxa"/>
            <w:gridSpan w:val="2"/>
            <w:vAlign w:val="center"/>
          </w:tcPr>
          <w:p>
            <w:pPr>
              <w:spacing w:line="412" w:lineRule="auto"/>
              <w:ind w:left="6" w:leftChars="1" w:right="-38" w:rightChars="-18" w:hanging="4" w:hangingChars="2"/>
              <w:jc w:val="center"/>
              <w:rPr>
                <w:rFonts w:ascii="Calibri" w:hAnsi="宋体" w:eastAsia="宋体" w:cs="宋体"/>
                <w:bCs/>
                <w:szCs w:val="21"/>
              </w:rPr>
            </w:pPr>
            <w:r>
              <w:rPr>
                <w:rFonts w:hint="eastAsia" w:ascii="Calibri" w:hAnsi="宋体" w:eastAsia="宋体" w:cs="宋体"/>
                <w:bCs/>
                <w:szCs w:val="21"/>
              </w:rPr>
              <w:t>业主单位</w:t>
            </w:r>
          </w:p>
        </w:tc>
        <w:tc>
          <w:tcPr>
            <w:tcW w:w="656" w:type="dxa"/>
            <w:vAlign w:val="center"/>
          </w:tcPr>
          <w:p>
            <w:pPr>
              <w:spacing w:line="412" w:lineRule="auto"/>
              <w:ind w:left="2" w:leftChars="-5" w:right="-38" w:rightChars="-18" w:hanging="12" w:hangingChars="6"/>
              <w:jc w:val="center"/>
              <w:rPr>
                <w:rFonts w:ascii="Calibri" w:hAnsi="宋体" w:eastAsia="宋体" w:cs="宋体"/>
                <w:bCs/>
                <w:sz w:val="24"/>
                <w:szCs w:val="21"/>
              </w:rPr>
            </w:pPr>
            <w:r>
              <w:rPr>
                <w:rFonts w:hint="eastAsia" w:ascii="Calibri" w:hAnsi="宋体" w:eastAsia="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192" w:type="dxa"/>
            <w:vAlign w:val="center"/>
          </w:tcPr>
          <w:p>
            <w:pPr>
              <w:spacing w:line="412" w:lineRule="auto"/>
              <w:ind w:left="6" w:leftChars="1" w:right="-38" w:rightChars="-18" w:hanging="4" w:hangingChars="2"/>
              <w:rPr>
                <w:rFonts w:ascii="Calibri" w:hAnsi="宋体" w:eastAsia="宋体" w:cs="宋体"/>
                <w:szCs w:val="21"/>
              </w:rPr>
            </w:pPr>
          </w:p>
        </w:tc>
        <w:tc>
          <w:tcPr>
            <w:tcW w:w="2576" w:type="dxa"/>
            <w:gridSpan w:val="5"/>
            <w:vAlign w:val="center"/>
          </w:tcPr>
          <w:p>
            <w:pPr>
              <w:spacing w:line="412" w:lineRule="auto"/>
              <w:ind w:left="6" w:leftChars="1" w:right="-38" w:rightChars="-18" w:hanging="4" w:hangingChars="2"/>
              <w:rPr>
                <w:rFonts w:ascii="Calibri" w:hAnsi="宋体" w:eastAsia="宋体" w:cs="宋体"/>
                <w:szCs w:val="21"/>
              </w:rPr>
            </w:pPr>
          </w:p>
        </w:tc>
        <w:tc>
          <w:tcPr>
            <w:tcW w:w="1719" w:type="dxa"/>
            <w:gridSpan w:val="2"/>
            <w:vAlign w:val="center"/>
          </w:tcPr>
          <w:p>
            <w:pPr>
              <w:spacing w:line="412" w:lineRule="auto"/>
              <w:ind w:left="6" w:leftChars="1" w:right="-38" w:rightChars="-18" w:hanging="4" w:hangingChars="2"/>
              <w:rPr>
                <w:rFonts w:ascii="Calibri" w:hAnsi="宋体" w:eastAsia="宋体" w:cs="宋体"/>
                <w:szCs w:val="21"/>
              </w:rPr>
            </w:pPr>
          </w:p>
        </w:tc>
        <w:tc>
          <w:tcPr>
            <w:tcW w:w="2516" w:type="dxa"/>
            <w:gridSpan w:val="2"/>
            <w:vAlign w:val="center"/>
          </w:tcPr>
          <w:p>
            <w:pPr>
              <w:spacing w:line="412" w:lineRule="auto"/>
              <w:ind w:left="6" w:leftChars="1" w:right="-38" w:rightChars="-18" w:hanging="4" w:hangingChars="2"/>
              <w:rPr>
                <w:rFonts w:ascii="Calibri" w:hAnsi="宋体" w:eastAsia="宋体" w:cs="宋体"/>
                <w:szCs w:val="21"/>
              </w:rPr>
            </w:pPr>
          </w:p>
        </w:tc>
        <w:tc>
          <w:tcPr>
            <w:tcW w:w="656" w:type="dxa"/>
            <w:vAlign w:val="center"/>
          </w:tcPr>
          <w:p>
            <w:pPr>
              <w:spacing w:line="412" w:lineRule="auto"/>
              <w:ind w:left="6" w:leftChars="1" w:right="-38" w:rightChars="-18" w:hanging="4" w:hangingChars="2"/>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192" w:type="dxa"/>
            <w:vAlign w:val="center"/>
          </w:tcPr>
          <w:p>
            <w:pPr>
              <w:spacing w:line="412" w:lineRule="auto"/>
              <w:ind w:left="6" w:leftChars="1" w:right="-38" w:rightChars="-18" w:hanging="4" w:hangingChars="2"/>
              <w:rPr>
                <w:rFonts w:ascii="Calibri" w:hAnsi="宋体" w:eastAsia="宋体" w:cs="宋体"/>
                <w:szCs w:val="21"/>
              </w:rPr>
            </w:pPr>
          </w:p>
        </w:tc>
        <w:tc>
          <w:tcPr>
            <w:tcW w:w="2576" w:type="dxa"/>
            <w:gridSpan w:val="5"/>
            <w:vAlign w:val="center"/>
          </w:tcPr>
          <w:p>
            <w:pPr>
              <w:spacing w:line="412" w:lineRule="auto"/>
              <w:ind w:left="6" w:leftChars="1" w:right="-38" w:rightChars="-18" w:hanging="4" w:hangingChars="2"/>
              <w:rPr>
                <w:rFonts w:ascii="Calibri" w:hAnsi="宋体" w:eastAsia="宋体" w:cs="宋体"/>
                <w:szCs w:val="21"/>
              </w:rPr>
            </w:pPr>
          </w:p>
        </w:tc>
        <w:tc>
          <w:tcPr>
            <w:tcW w:w="1719" w:type="dxa"/>
            <w:gridSpan w:val="2"/>
            <w:vAlign w:val="center"/>
          </w:tcPr>
          <w:p>
            <w:pPr>
              <w:spacing w:line="412" w:lineRule="auto"/>
              <w:ind w:left="6" w:leftChars="1" w:right="-38" w:rightChars="-18" w:hanging="4" w:hangingChars="2"/>
              <w:rPr>
                <w:rFonts w:ascii="Calibri" w:hAnsi="宋体" w:eastAsia="宋体" w:cs="宋体"/>
                <w:szCs w:val="21"/>
              </w:rPr>
            </w:pPr>
          </w:p>
        </w:tc>
        <w:tc>
          <w:tcPr>
            <w:tcW w:w="2516" w:type="dxa"/>
            <w:gridSpan w:val="2"/>
            <w:vAlign w:val="center"/>
          </w:tcPr>
          <w:p>
            <w:pPr>
              <w:spacing w:line="412" w:lineRule="auto"/>
              <w:ind w:left="6" w:leftChars="1" w:right="-38" w:rightChars="-18" w:hanging="4" w:hangingChars="2"/>
              <w:rPr>
                <w:rFonts w:ascii="Calibri" w:hAnsi="宋体" w:eastAsia="宋体" w:cs="宋体"/>
                <w:szCs w:val="21"/>
              </w:rPr>
            </w:pPr>
          </w:p>
        </w:tc>
        <w:tc>
          <w:tcPr>
            <w:tcW w:w="656" w:type="dxa"/>
            <w:vAlign w:val="center"/>
          </w:tcPr>
          <w:p>
            <w:pPr>
              <w:spacing w:line="412" w:lineRule="auto"/>
              <w:ind w:left="6" w:leftChars="1" w:right="-38" w:rightChars="-18" w:hanging="4" w:hangingChars="2"/>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92" w:type="dxa"/>
            <w:vAlign w:val="center"/>
          </w:tcPr>
          <w:p>
            <w:pPr>
              <w:spacing w:line="412" w:lineRule="auto"/>
              <w:ind w:left="6" w:leftChars="1" w:right="-38" w:rightChars="-18" w:hanging="4" w:hangingChars="2"/>
              <w:rPr>
                <w:rFonts w:ascii="Calibri" w:hAnsi="宋体" w:eastAsia="宋体" w:cs="宋体"/>
                <w:szCs w:val="21"/>
              </w:rPr>
            </w:pPr>
          </w:p>
        </w:tc>
        <w:tc>
          <w:tcPr>
            <w:tcW w:w="2576" w:type="dxa"/>
            <w:gridSpan w:val="5"/>
            <w:vAlign w:val="center"/>
          </w:tcPr>
          <w:p>
            <w:pPr>
              <w:spacing w:line="412" w:lineRule="auto"/>
              <w:ind w:left="6" w:leftChars="1" w:right="-38" w:rightChars="-18" w:hanging="4" w:hangingChars="2"/>
              <w:rPr>
                <w:rFonts w:ascii="Calibri" w:hAnsi="宋体" w:eastAsia="宋体" w:cs="宋体"/>
                <w:szCs w:val="21"/>
              </w:rPr>
            </w:pPr>
          </w:p>
        </w:tc>
        <w:tc>
          <w:tcPr>
            <w:tcW w:w="1719" w:type="dxa"/>
            <w:gridSpan w:val="2"/>
            <w:vAlign w:val="center"/>
          </w:tcPr>
          <w:p>
            <w:pPr>
              <w:spacing w:line="412" w:lineRule="auto"/>
              <w:ind w:left="6" w:leftChars="1" w:right="-38" w:rightChars="-18" w:hanging="4" w:hangingChars="2"/>
              <w:rPr>
                <w:rFonts w:ascii="Calibri" w:hAnsi="宋体" w:eastAsia="宋体" w:cs="宋体"/>
                <w:szCs w:val="21"/>
              </w:rPr>
            </w:pPr>
          </w:p>
        </w:tc>
        <w:tc>
          <w:tcPr>
            <w:tcW w:w="2516" w:type="dxa"/>
            <w:gridSpan w:val="2"/>
            <w:vAlign w:val="center"/>
          </w:tcPr>
          <w:p>
            <w:pPr>
              <w:spacing w:line="412" w:lineRule="auto"/>
              <w:ind w:left="6" w:leftChars="1" w:right="-38" w:rightChars="-18" w:hanging="4" w:hangingChars="2"/>
              <w:rPr>
                <w:rFonts w:ascii="Calibri" w:hAnsi="宋体" w:eastAsia="宋体" w:cs="宋体"/>
                <w:szCs w:val="21"/>
              </w:rPr>
            </w:pPr>
          </w:p>
        </w:tc>
        <w:tc>
          <w:tcPr>
            <w:tcW w:w="656" w:type="dxa"/>
            <w:vAlign w:val="center"/>
          </w:tcPr>
          <w:p>
            <w:pPr>
              <w:spacing w:line="412" w:lineRule="auto"/>
              <w:ind w:left="6" w:leftChars="1" w:right="-38" w:rightChars="-18" w:hanging="4" w:hangingChars="2"/>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92" w:type="dxa"/>
            <w:vAlign w:val="center"/>
          </w:tcPr>
          <w:p>
            <w:pPr>
              <w:spacing w:line="412" w:lineRule="auto"/>
              <w:ind w:left="6" w:leftChars="1" w:right="-38" w:rightChars="-18" w:hanging="4" w:hangingChars="2"/>
              <w:rPr>
                <w:rFonts w:ascii="Calibri" w:hAnsi="宋体" w:eastAsia="宋体" w:cs="宋体"/>
                <w:szCs w:val="21"/>
              </w:rPr>
            </w:pPr>
          </w:p>
        </w:tc>
        <w:tc>
          <w:tcPr>
            <w:tcW w:w="2576" w:type="dxa"/>
            <w:gridSpan w:val="5"/>
            <w:vAlign w:val="center"/>
          </w:tcPr>
          <w:p>
            <w:pPr>
              <w:spacing w:line="412" w:lineRule="auto"/>
              <w:ind w:left="6" w:leftChars="1" w:right="-38" w:rightChars="-18" w:hanging="4" w:hangingChars="2"/>
              <w:rPr>
                <w:rFonts w:ascii="Calibri" w:hAnsi="宋体" w:eastAsia="宋体" w:cs="宋体"/>
                <w:szCs w:val="21"/>
              </w:rPr>
            </w:pPr>
          </w:p>
        </w:tc>
        <w:tc>
          <w:tcPr>
            <w:tcW w:w="1719" w:type="dxa"/>
            <w:gridSpan w:val="2"/>
            <w:vAlign w:val="center"/>
          </w:tcPr>
          <w:p>
            <w:pPr>
              <w:spacing w:line="412" w:lineRule="auto"/>
              <w:ind w:left="6" w:leftChars="1" w:right="-38" w:rightChars="-18" w:hanging="4" w:hangingChars="2"/>
              <w:rPr>
                <w:rFonts w:ascii="Calibri" w:hAnsi="宋体" w:eastAsia="宋体" w:cs="宋体"/>
                <w:szCs w:val="21"/>
              </w:rPr>
            </w:pPr>
          </w:p>
        </w:tc>
        <w:tc>
          <w:tcPr>
            <w:tcW w:w="2516" w:type="dxa"/>
            <w:gridSpan w:val="2"/>
            <w:vAlign w:val="center"/>
          </w:tcPr>
          <w:p>
            <w:pPr>
              <w:spacing w:line="412" w:lineRule="auto"/>
              <w:ind w:left="6" w:leftChars="1" w:right="-38" w:rightChars="-18" w:hanging="4" w:hangingChars="2"/>
              <w:rPr>
                <w:rFonts w:ascii="Calibri" w:hAnsi="宋体" w:eastAsia="宋体" w:cs="宋体"/>
                <w:szCs w:val="21"/>
              </w:rPr>
            </w:pPr>
          </w:p>
        </w:tc>
        <w:tc>
          <w:tcPr>
            <w:tcW w:w="656" w:type="dxa"/>
            <w:vAlign w:val="center"/>
          </w:tcPr>
          <w:p>
            <w:pPr>
              <w:spacing w:line="412" w:lineRule="auto"/>
              <w:ind w:left="6" w:leftChars="1" w:right="-38" w:rightChars="-18" w:hanging="4" w:hangingChars="2"/>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192" w:type="dxa"/>
            <w:vAlign w:val="center"/>
          </w:tcPr>
          <w:p>
            <w:pPr>
              <w:spacing w:line="412" w:lineRule="auto"/>
              <w:ind w:left="6" w:leftChars="1" w:right="-38" w:rightChars="-18" w:hanging="4" w:hangingChars="2"/>
              <w:rPr>
                <w:rFonts w:ascii="Calibri" w:hAnsi="宋体" w:eastAsia="宋体" w:cs="宋体"/>
                <w:szCs w:val="21"/>
              </w:rPr>
            </w:pPr>
          </w:p>
        </w:tc>
        <w:tc>
          <w:tcPr>
            <w:tcW w:w="2576" w:type="dxa"/>
            <w:gridSpan w:val="5"/>
            <w:vAlign w:val="center"/>
          </w:tcPr>
          <w:p>
            <w:pPr>
              <w:spacing w:line="412" w:lineRule="auto"/>
              <w:ind w:left="6" w:leftChars="1" w:right="-38" w:rightChars="-18" w:hanging="4" w:hangingChars="2"/>
              <w:rPr>
                <w:rFonts w:ascii="Calibri" w:hAnsi="宋体" w:eastAsia="宋体" w:cs="宋体"/>
                <w:szCs w:val="21"/>
              </w:rPr>
            </w:pPr>
          </w:p>
        </w:tc>
        <w:tc>
          <w:tcPr>
            <w:tcW w:w="1719" w:type="dxa"/>
            <w:gridSpan w:val="2"/>
            <w:vAlign w:val="center"/>
          </w:tcPr>
          <w:p>
            <w:pPr>
              <w:spacing w:line="412" w:lineRule="auto"/>
              <w:ind w:left="6" w:leftChars="1" w:right="-38" w:rightChars="-18" w:hanging="4" w:hangingChars="2"/>
              <w:rPr>
                <w:rFonts w:ascii="Calibri" w:hAnsi="宋体" w:eastAsia="宋体" w:cs="宋体"/>
                <w:szCs w:val="21"/>
              </w:rPr>
            </w:pPr>
          </w:p>
        </w:tc>
        <w:tc>
          <w:tcPr>
            <w:tcW w:w="2516" w:type="dxa"/>
            <w:gridSpan w:val="2"/>
            <w:vAlign w:val="center"/>
          </w:tcPr>
          <w:p>
            <w:pPr>
              <w:spacing w:line="412" w:lineRule="auto"/>
              <w:ind w:left="6" w:leftChars="1" w:right="-38" w:rightChars="-18" w:hanging="4" w:hangingChars="2"/>
              <w:rPr>
                <w:rFonts w:ascii="Calibri" w:hAnsi="宋体" w:eastAsia="宋体" w:cs="宋体"/>
                <w:szCs w:val="21"/>
              </w:rPr>
            </w:pPr>
          </w:p>
        </w:tc>
        <w:tc>
          <w:tcPr>
            <w:tcW w:w="656" w:type="dxa"/>
            <w:vAlign w:val="center"/>
          </w:tcPr>
          <w:p>
            <w:pPr>
              <w:spacing w:line="412" w:lineRule="auto"/>
              <w:ind w:left="6" w:leftChars="1" w:right="-38" w:rightChars="-18" w:hanging="4" w:hangingChars="2"/>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92" w:type="dxa"/>
            <w:vAlign w:val="center"/>
          </w:tcPr>
          <w:p>
            <w:pPr>
              <w:spacing w:line="412" w:lineRule="auto"/>
              <w:ind w:left="6" w:leftChars="1" w:right="-38" w:rightChars="-18" w:hanging="4" w:hangingChars="2"/>
              <w:rPr>
                <w:rFonts w:ascii="Calibri" w:hAnsi="宋体" w:eastAsia="宋体" w:cs="宋体"/>
                <w:szCs w:val="21"/>
              </w:rPr>
            </w:pPr>
          </w:p>
        </w:tc>
        <w:tc>
          <w:tcPr>
            <w:tcW w:w="2576" w:type="dxa"/>
            <w:gridSpan w:val="5"/>
            <w:vAlign w:val="center"/>
          </w:tcPr>
          <w:p>
            <w:pPr>
              <w:spacing w:line="412" w:lineRule="auto"/>
              <w:ind w:left="6" w:leftChars="1" w:right="-38" w:rightChars="-18" w:hanging="4" w:hangingChars="2"/>
              <w:rPr>
                <w:rFonts w:ascii="Calibri" w:hAnsi="宋体" w:eastAsia="宋体" w:cs="宋体"/>
                <w:szCs w:val="21"/>
              </w:rPr>
            </w:pPr>
          </w:p>
        </w:tc>
        <w:tc>
          <w:tcPr>
            <w:tcW w:w="1719" w:type="dxa"/>
            <w:gridSpan w:val="2"/>
            <w:vAlign w:val="center"/>
          </w:tcPr>
          <w:p>
            <w:pPr>
              <w:spacing w:line="412" w:lineRule="auto"/>
              <w:ind w:left="6" w:leftChars="1" w:right="-38" w:rightChars="-18" w:hanging="4" w:hangingChars="2"/>
              <w:rPr>
                <w:rFonts w:ascii="Calibri" w:hAnsi="宋体" w:eastAsia="宋体" w:cs="宋体"/>
                <w:szCs w:val="21"/>
              </w:rPr>
            </w:pPr>
          </w:p>
        </w:tc>
        <w:tc>
          <w:tcPr>
            <w:tcW w:w="2516" w:type="dxa"/>
            <w:gridSpan w:val="2"/>
            <w:vAlign w:val="center"/>
          </w:tcPr>
          <w:p>
            <w:pPr>
              <w:spacing w:line="412" w:lineRule="auto"/>
              <w:ind w:left="6" w:leftChars="1" w:right="-38" w:rightChars="-18" w:hanging="4" w:hangingChars="2"/>
              <w:rPr>
                <w:rFonts w:ascii="Calibri" w:hAnsi="宋体" w:eastAsia="宋体" w:cs="宋体"/>
                <w:szCs w:val="21"/>
              </w:rPr>
            </w:pPr>
          </w:p>
        </w:tc>
        <w:tc>
          <w:tcPr>
            <w:tcW w:w="656" w:type="dxa"/>
            <w:vAlign w:val="center"/>
          </w:tcPr>
          <w:p>
            <w:pPr>
              <w:spacing w:line="412" w:lineRule="auto"/>
              <w:ind w:left="6" w:leftChars="1" w:right="-38" w:rightChars="-18" w:hanging="4" w:hangingChars="2"/>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92" w:type="dxa"/>
            <w:vAlign w:val="center"/>
          </w:tcPr>
          <w:p>
            <w:pPr>
              <w:spacing w:line="412" w:lineRule="auto"/>
              <w:ind w:left="6" w:leftChars="1" w:right="-38" w:rightChars="-18" w:hanging="4" w:hangingChars="2"/>
              <w:rPr>
                <w:rFonts w:ascii="Calibri" w:hAnsi="宋体" w:eastAsia="宋体" w:cs="宋体"/>
                <w:szCs w:val="21"/>
              </w:rPr>
            </w:pPr>
          </w:p>
        </w:tc>
        <w:tc>
          <w:tcPr>
            <w:tcW w:w="2576" w:type="dxa"/>
            <w:gridSpan w:val="5"/>
            <w:vAlign w:val="center"/>
          </w:tcPr>
          <w:p>
            <w:pPr>
              <w:spacing w:line="412" w:lineRule="auto"/>
              <w:ind w:left="6" w:leftChars="1" w:right="-38" w:rightChars="-18" w:hanging="4" w:hangingChars="2"/>
              <w:rPr>
                <w:rFonts w:ascii="Calibri" w:hAnsi="宋体" w:eastAsia="宋体" w:cs="宋体"/>
                <w:szCs w:val="21"/>
              </w:rPr>
            </w:pPr>
          </w:p>
        </w:tc>
        <w:tc>
          <w:tcPr>
            <w:tcW w:w="1719" w:type="dxa"/>
            <w:gridSpan w:val="2"/>
            <w:vAlign w:val="center"/>
          </w:tcPr>
          <w:p>
            <w:pPr>
              <w:spacing w:line="412" w:lineRule="auto"/>
              <w:ind w:left="6" w:leftChars="1" w:right="-38" w:rightChars="-18" w:hanging="4" w:hangingChars="2"/>
              <w:rPr>
                <w:rFonts w:ascii="Calibri" w:hAnsi="宋体" w:eastAsia="宋体" w:cs="宋体"/>
                <w:szCs w:val="21"/>
              </w:rPr>
            </w:pPr>
          </w:p>
        </w:tc>
        <w:tc>
          <w:tcPr>
            <w:tcW w:w="2516" w:type="dxa"/>
            <w:gridSpan w:val="2"/>
            <w:vAlign w:val="center"/>
          </w:tcPr>
          <w:p>
            <w:pPr>
              <w:spacing w:line="412" w:lineRule="auto"/>
              <w:ind w:left="6" w:leftChars="1" w:right="-38" w:rightChars="-18" w:hanging="4" w:hangingChars="2"/>
              <w:rPr>
                <w:rFonts w:ascii="Calibri" w:hAnsi="宋体" w:eastAsia="宋体" w:cs="宋体"/>
                <w:szCs w:val="21"/>
              </w:rPr>
            </w:pPr>
          </w:p>
        </w:tc>
        <w:tc>
          <w:tcPr>
            <w:tcW w:w="656" w:type="dxa"/>
            <w:vAlign w:val="center"/>
          </w:tcPr>
          <w:p>
            <w:pPr>
              <w:spacing w:line="412" w:lineRule="auto"/>
              <w:ind w:left="6" w:leftChars="1" w:right="-38" w:rightChars="-18" w:hanging="4" w:hangingChars="2"/>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92" w:type="dxa"/>
            <w:vAlign w:val="center"/>
          </w:tcPr>
          <w:p>
            <w:pPr>
              <w:spacing w:line="412" w:lineRule="auto"/>
              <w:ind w:left="6" w:leftChars="1" w:right="-38" w:rightChars="-18" w:hanging="4" w:hangingChars="2"/>
              <w:rPr>
                <w:rFonts w:ascii="Calibri" w:hAnsi="宋体" w:eastAsia="宋体" w:cs="宋体"/>
                <w:szCs w:val="21"/>
              </w:rPr>
            </w:pPr>
          </w:p>
        </w:tc>
        <w:tc>
          <w:tcPr>
            <w:tcW w:w="2576" w:type="dxa"/>
            <w:gridSpan w:val="5"/>
            <w:vAlign w:val="center"/>
          </w:tcPr>
          <w:p>
            <w:pPr>
              <w:spacing w:line="412" w:lineRule="auto"/>
              <w:ind w:left="6" w:leftChars="1" w:right="-38" w:rightChars="-18" w:hanging="4" w:hangingChars="2"/>
              <w:rPr>
                <w:rFonts w:ascii="Calibri" w:hAnsi="宋体" w:eastAsia="宋体" w:cs="宋体"/>
                <w:szCs w:val="21"/>
              </w:rPr>
            </w:pPr>
          </w:p>
        </w:tc>
        <w:tc>
          <w:tcPr>
            <w:tcW w:w="1719" w:type="dxa"/>
            <w:gridSpan w:val="2"/>
            <w:vAlign w:val="center"/>
          </w:tcPr>
          <w:p>
            <w:pPr>
              <w:spacing w:line="412" w:lineRule="auto"/>
              <w:ind w:left="6" w:leftChars="1" w:right="-38" w:rightChars="-18" w:hanging="4" w:hangingChars="2"/>
              <w:rPr>
                <w:rFonts w:ascii="Calibri" w:hAnsi="宋体" w:eastAsia="宋体" w:cs="宋体"/>
                <w:szCs w:val="21"/>
              </w:rPr>
            </w:pPr>
          </w:p>
        </w:tc>
        <w:tc>
          <w:tcPr>
            <w:tcW w:w="2516" w:type="dxa"/>
            <w:gridSpan w:val="2"/>
            <w:vAlign w:val="center"/>
          </w:tcPr>
          <w:p>
            <w:pPr>
              <w:spacing w:line="412" w:lineRule="auto"/>
              <w:ind w:left="6" w:leftChars="1" w:right="-38" w:rightChars="-18" w:hanging="4" w:hangingChars="2"/>
              <w:rPr>
                <w:rFonts w:ascii="Calibri" w:hAnsi="宋体" w:eastAsia="宋体" w:cs="宋体"/>
                <w:szCs w:val="21"/>
              </w:rPr>
            </w:pPr>
          </w:p>
        </w:tc>
        <w:tc>
          <w:tcPr>
            <w:tcW w:w="656" w:type="dxa"/>
            <w:vAlign w:val="center"/>
          </w:tcPr>
          <w:p>
            <w:pPr>
              <w:spacing w:line="412" w:lineRule="auto"/>
              <w:ind w:left="6" w:leftChars="1" w:right="-38" w:rightChars="-18" w:hanging="4" w:hangingChars="2"/>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192" w:type="dxa"/>
            <w:vAlign w:val="center"/>
          </w:tcPr>
          <w:p>
            <w:pPr>
              <w:spacing w:line="412" w:lineRule="auto"/>
              <w:ind w:left="6" w:leftChars="1" w:right="-38" w:rightChars="-18" w:hanging="4" w:hangingChars="2"/>
              <w:rPr>
                <w:rFonts w:ascii="Calibri" w:hAnsi="宋体" w:eastAsia="宋体" w:cs="宋体"/>
                <w:szCs w:val="21"/>
              </w:rPr>
            </w:pPr>
          </w:p>
        </w:tc>
        <w:tc>
          <w:tcPr>
            <w:tcW w:w="2576" w:type="dxa"/>
            <w:gridSpan w:val="5"/>
            <w:vAlign w:val="center"/>
          </w:tcPr>
          <w:p>
            <w:pPr>
              <w:spacing w:line="412" w:lineRule="auto"/>
              <w:ind w:left="6" w:leftChars="1" w:right="-38" w:rightChars="-18" w:hanging="4" w:hangingChars="2"/>
              <w:rPr>
                <w:rFonts w:ascii="Calibri" w:hAnsi="宋体" w:eastAsia="宋体" w:cs="宋体"/>
                <w:szCs w:val="21"/>
              </w:rPr>
            </w:pPr>
          </w:p>
        </w:tc>
        <w:tc>
          <w:tcPr>
            <w:tcW w:w="1719" w:type="dxa"/>
            <w:gridSpan w:val="2"/>
            <w:vAlign w:val="center"/>
          </w:tcPr>
          <w:p>
            <w:pPr>
              <w:spacing w:line="412" w:lineRule="auto"/>
              <w:ind w:left="6" w:leftChars="1" w:right="-38" w:rightChars="-18" w:hanging="4" w:hangingChars="2"/>
              <w:rPr>
                <w:rFonts w:ascii="Calibri" w:hAnsi="宋体" w:eastAsia="宋体" w:cs="宋体"/>
                <w:szCs w:val="21"/>
              </w:rPr>
            </w:pPr>
          </w:p>
        </w:tc>
        <w:tc>
          <w:tcPr>
            <w:tcW w:w="2516" w:type="dxa"/>
            <w:gridSpan w:val="2"/>
            <w:vAlign w:val="center"/>
          </w:tcPr>
          <w:p>
            <w:pPr>
              <w:spacing w:line="412" w:lineRule="auto"/>
              <w:ind w:left="6" w:leftChars="1" w:right="-38" w:rightChars="-18" w:hanging="4" w:hangingChars="2"/>
              <w:rPr>
                <w:rFonts w:ascii="Calibri" w:hAnsi="宋体" w:eastAsia="宋体" w:cs="宋体"/>
                <w:szCs w:val="21"/>
              </w:rPr>
            </w:pPr>
          </w:p>
        </w:tc>
        <w:tc>
          <w:tcPr>
            <w:tcW w:w="656" w:type="dxa"/>
            <w:vAlign w:val="center"/>
          </w:tcPr>
          <w:p>
            <w:pPr>
              <w:spacing w:line="412" w:lineRule="auto"/>
              <w:ind w:left="6" w:leftChars="1" w:right="-38" w:rightChars="-18" w:hanging="4" w:hangingChars="2"/>
              <w:rPr>
                <w:rFonts w:ascii="Calibri"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192" w:type="dxa"/>
            <w:vAlign w:val="center"/>
          </w:tcPr>
          <w:p>
            <w:pPr>
              <w:spacing w:line="412" w:lineRule="auto"/>
              <w:ind w:left="6" w:leftChars="1" w:right="-38" w:rightChars="-18" w:hanging="4" w:hangingChars="2"/>
              <w:rPr>
                <w:rFonts w:ascii="Calibri" w:hAnsi="宋体" w:eastAsia="宋体" w:cs="宋体"/>
                <w:szCs w:val="21"/>
              </w:rPr>
            </w:pPr>
          </w:p>
        </w:tc>
        <w:tc>
          <w:tcPr>
            <w:tcW w:w="2576" w:type="dxa"/>
            <w:gridSpan w:val="5"/>
            <w:vAlign w:val="center"/>
          </w:tcPr>
          <w:p>
            <w:pPr>
              <w:spacing w:line="412" w:lineRule="auto"/>
              <w:ind w:left="6" w:leftChars="1" w:right="-38" w:rightChars="-18" w:hanging="4" w:hangingChars="2"/>
              <w:rPr>
                <w:rFonts w:ascii="Calibri" w:hAnsi="宋体" w:eastAsia="宋体" w:cs="宋体"/>
                <w:szCs w:val="21"/>
              </w:rPr>
            </w:pPr>
          </w:p>
        </w:tc>
        <w:tc>
          <w:tcPr>
            <w:tcW w:w="1719" w:type="dxa"/>
            <w:gridSpan w:val="2"/>
            <w:vAlign w:val="center"/>
          </w:tcPr>
          <w:p>
            <w:pPr>
              <w:spacing w:line="412" w:lineRule="auto"/>
              <w:ind w:left="6" w:leftChars="1" w:right="-38" w:rightChars="-18" w:hanging="4" w:hangingChars="2"/>
              <w:rPr>
                <w:rFonts w:ascii="Calibri" w:hAnsi="宋体" w:eastAsia="宋体" w:cs="宋体"/>
                <w:szCs w:val="21"/>
              </w:rPr>
            </w:pPr>
          </w:p>
        </w:tc>
        <w:tc>
          <w:tcPr>
            <w:tcW w:w="2516" w:type="dxa"/>
            <w:gridSpan w:val="2"/>
            <w:vAlign w:val="center"/>
          </w:tcPr>
          <w:p>
            <w:pPr>
              <w:spacing w:line="412" w:lineRule="auto"/>
              <w:ind w:left="6" w:leftChars="1" w:right="-38" w:rightChars="-18" w:hanging="4" w:hangingChars="2"/>
              <w:rPr>
                <w:rFonts w:ascii="Calibri" w:hAnsi="宋体" w:eastAsia="宋体" w:cs="宋体"/>
                <w:szCs w:val="21"/>
              </w:rPr>
            </w:pPr>
          </w:p>
        </w:tc>
        <w:tc>
          <w:tcPr>
            <w:tcW w:w="656" w:type="dxa"/>
            <w:vAlign w:val="center"/>
          </w:tcPr>
          <w:p>
            <w:pPr>
              <w:spacing w:line="412" w:lineRule="auto"/>
              <w:ind w:left="6" w:leftChars="1" w:right="-38" w:rightChars="-18" w:hanging="4" w:hangingChars="2"/>
              <w:rPr>
                <w:rFonts w:ascii="Calibri" w:hAnsi="宋体" w:eastAsia="宋体" w:cs="宋体"/>
                <w:szCs w:val="21"/>
              </w:rPr>
            </w:pPr>
          </w:p>
        </w:tc>
      </w:tr>
    </w:tbl>
    <w:p>
      <w:pPr>
        <w:ind w:left="1" w:firstLine="420"/>
        <w:rPr>
          <w:rFonts w:hAnsi="宋体" w:eastAsia="宋体" w:cs="宋体"/>
          <w:szCs w:val="21"/>
        </w:rPr>
      </w:pPr>
      <w:r>
        <w:rPr>
          <w:rFonts w:hint="eastAsia" w:hAnsi="宋体" w:eastAsia="宋体" w:cs="宋体"/>
          <w:szCs w:val="21"/>
        </w:rPr>
        <w:t>注：须附有效的身份证明，学历学位证，技术职称证（如有）复印件。</w:t>
      </w:r>
    </w:p>
    <w:p>
      <w:pPr>
        <w:pStyle w:val="30"/>
        <w:ind w:left="239" w:leftChars="114" w:firstLine="420"/>
        <w:rPr>
          <w:rFonts w:hAnsi="宋体" w:eastAsia="宋体"/>
          <w:i w:val="0"/>
          <w:sz w:val="21"/>
          <w:szCs w:val="21"/>
        </w:rPr>
      </w:pPr>
    </w:p>
    <w:p>
      <w:pPr>
        <w:pStyle w:val="30"/>
        <w:ind w:left="239" w:leftChars="114" w:firstLine="420"/>
        <w:rPr>
          <w:rFonts w:hAnsi="宋体" w:eastAsia="宋体"/>
          <w:i w:val="0"/>
          <w:sz w:val="21"/>
          <w:szCs w:val="21"/>
        </w:rPr>
      </w:pPr>
      <w:r>
        <w:rPr>
          <w:rFonts w:hint="eastAsia" w:hAnsi="宋体" w:eastAsia="宋体"/>
          <w:i w:val="0"/>
          <w:sz w:val="21"/>
          <w:szCs w:val="21"/>
        </w:rPr>
        <w:t>投标人（公章）：</w:t>
      </w:r>
    </w:p>
    <w:p>
      <w:pPr>
        <w:pStyle w:val="30"/>
        <w:ind w:left="239" w:leftChars="114" w:firstLine="420"/>
        <w:rPr>
          <w:rFonts w:hAnsi="宋体" w:eastAsia="宋体"/>
          <w:i w:val="0"/>
          <w:sz w:val="21"/>
          <w:szCs w:val="21"/>
        </w:rPr>
      </w:pPr>
      <w:r>
        <w:rPr>
          <w:rFonts w:hint="eastAsia" w:hAnsi="宋体" w:eastAsia="宋体"/>
          <w:i w:val="0"/>
          <w:sz w:val="21"/>
          <w:szCs w:val="21"/>
        </w:rPr>
        <w:t xml:space="preserve">法定代表人（负责人）或授权代理人（签字或盖章）： </w:t>
      </w:r>
    </w:p>
    <w:p>
      <w:pPr>
        <w:pStyle w:val="30"/>
        <w:ind w:left="239" w:leftChars="114" w:firstLine="420"/>
        <w:rPr>
          <w:rFonts w:hAnsi="宋体" w:eastAsia="宋体"/>
          <w:i w:val="0"/>
          <w:sz w:val="21"/>
          <w:szCs w:val="21"/>
          <w:u w:val="single"/>
        </w:rPr>
      </w:pPr>
      <w:r>
        <w:rPr>
          <w:rFonts w:hint="eastAsia" w:hAnsi="宋体" w:eastAsia="宋体"/>
          <w:i w:val="0"/>
          <w:sz w:val="21"/>
          <w:szCs w:val="21"/>
        </w:rPr>
        <w:t>日期：</w:t>
      </w:r>
    </w:p>
    <w:p>
      <w:pPr>
        <w:pStyle w:val="30"/>
        <w:ind w:firstLine="0"/>
        <w:outlineLvl w:val="1"/>
        <w:rPr>
          <w:rFonts w:hAnsi="宋体" w:eastAsia="宋体" w:cs="宋体"/>
          <w:b/>
          <w:bCs/>
          <w:sz w:val="21"/>
          <w:szCs w:val="21"/>
        </w:rPr>
      </w:pPr>
      <w:r>
        <w:rPr>
          <w:rFonts w:hint="eastAsia" w:hAnsi="宋体" w:eastAsia="宋体" w:cs="宋体"/>
          <w:i w:val="0"/>
          <w:sz w:val="21"/>
          <w:szCs w:val="21"/>
        </w:rPr>
        <w:br w:type="page"/>
      </w:r>
      <w:bookmarkStart w:id="1077" w:name="_Toc19446"/>
      <w:bookmarkStart w:id="1078" w:name="_Toc23372"/>
      <w:bookmarkStart w:id="1079" w:name="_Toc27691"/>
    </w:p>
    <w:bookmarkEnd w:id="1077"/>
    <w:bookmarkEnd w:id="1078"/>
    <w:bookmarkEnd w:id="1079"/>
    <w:p>
      <w:pPr>
        <w:ind w:firstLine="482" w:firstLineChars="240"/>
        <w:outlineLvl w:val="1"/>
        <w:rPr>
          <w:rFonts w:hAnsi="宋体" w:eastAsia="宋体" w:cs="宋体"/>
          <w:b/>
          <w:bCs/>
        </w:rPr>
      </w:pPr>
      <w:bookmarkStart w:id="1080" w:name="_Toc8079"/>
      <w:bookmarkStart w:id="1081" w:name="_Toc3017"/>
      <w:bookmarkStart w:id="1082" w:name="_Toc20915"/>
      <w:bookmarkStart w:id="1083" w:name="_Toc22400"/>
      <w:r>
        <w:rPr>
          <w:rFonts w:hint="eastAsia" w:hAnsi="宋体" w:eastAsia="宋体" w:cs="宋体"/>
          <w:b/>
          <w:bCs/>
          <w:spacing w:val="-5"/>
        </w:rPr>
        <w:t>D</w:t>
      </w:r>
      <w:r>
        <w:rPr>
          <w:rFonts w:hint="eastAsia" w:hAnsi="宋体" w:eastAsia="宋体" w:cs="宋体"/>
          <w:b/>
          <w:bCs/>
        </w:rPr>
        <w:t>报价部分</w:t>
      </w:r>
      <w:bookmarkEnd w:id="1080"/>
      <w:bookmarkEnd w:id="1081"/>
      <w:bookmarkEnd w:id="1082"/>
      <w:bookmarkEnd w:id="1083"/>
    </w:p>
    <w:p>
      <w:pPr>
        <w:numPr>
          <w:ilvl w:val="0"/>
          <w:numId w:val="52"/>
        </w:numPr>
        <w:spacing w:before="120"/>
        <w:ind w:firstLine="504" w:firstLineChars="240"/>
        <w:rPr>
          <w:rFonts w:hAnsi="宋体" w:eastAsia="宋体" w:cs="宋体"/>
          <w:szCs w:val="21"/>
        </w:rPr>
      </w:pPr>
      <w:r>
        <w:rPr>
          <w:rFonts w:hint="eastAsia" w:hAnsi="宋体" w:eastAsia="宋体" w:cs="宋体"/>
          <w:szCs w:val="21"/>
        </w:rPr>
        <w:t>投标函（格式见D1）</w:t>
      </w:r>
    </w:p>
    <w:p>
      <w:pPr>
        <w:numPr>
          <w:ilvl w:val="0"/>
          <w:numId w:val="52"/>
        </w:numPr>
        <w:spacing w:before="120"/>
        <w:ind w:firstLine="504" w:firstLineChars="240"/>
        <w:rPr>
          <w:rFonts w:hAnsi="宋体" w:eastAsia="宋体" w:cs="宋体"/>
          <w:szCs w:val="21"/>
        </w:rPr>
      </w:pPr>
      <w:r>
        <w:rPr>
          <w:rFonts w:hint="eastAsia" w:hAnsi="宋体" w:eastAsia="宋体" w:cs="宋体"/>
          <w:szCs w:val="21"/>
        </w:rPr>
        <w:t>投标报价（格式见D2）</w:t>
      </w:r>
    </w:p>
    <w:p>
      <w:pPr>
        <w:outlineLvl w:val="1"/>
        <w:rPr>
          <w:rFonts w:hAnsi="宋体" w:eastAsia="宋体" w:cs="宋体"/>
          <w:b/>
          <w:szCs w:val="21"/>
        </w:rPr>
      </w:pPr>
      <w:r>
        <w:rPr>
          <w:rFonts w:hint="eastAsia" w:hAnsi="宋体" w:eastAsia="宋体" w:cs="宋体"/>
          <w:szCs w:val="21"/>
        </w:rPr>
        <w:br w:type="page"/>
      </w:r>
      <w:bookmarkStart w:id="1084" w:name="_Toc3538"/>
      <w:bookmarkStart w:id="1085" w:name="_Toc11108"/>
      <w:bookmarkStart w:id="1086" w:name="_Toc23437"/>
      <w:bookmarkStart w:id="1087" w:name="_Toc25513"/>
      <w:r>
        <w:rPr>
          <w:rFonts w:hint="eastAsia" w:hAnsi="宋体" w:eastAsia="宋体" w:cs="宋体"/>
          <w:b/>
          <w:szCs w:val="21"/>
        </w:rPr>
        <w:t>D1、投标函</w:t>
      </w:r>
      <w:bookmarkEnd w:id="1084"/>
      <w:bookmarkEnd w:id="1085"/>
      <w:bookmarkEnd w:id="1086"/>
      <w:bookmarkEnd w:id="1087"/>
    </w:p>
    <w:p>
      <w:pPr>
        <w:jc w:val="center"/>
        <w:rPr>
          <w:rFonts w:hAnsi="宋体" w:eastAsia="宋体"/>
          <w:b/>
          <w:bCs/>
          <w:sz w:val="30"/>
          <w:szCs w:val="30"/>
        </w:rPr>
      </w:pPr>
      <w:bookmarkStart w:id="1088" w:name="_Toc385521954"/>
      <w:r>
        <w:rPr>
          <w:rFonts w:hint="eastAsia" w:hAnsi="宋体" w:eastAsia="宋体"/>
          <w:b/>
          <w:bCs/>
          <w:sz w:val="30"/>
          <w:szCs w:val="30"/>
        </w:rPr>
        <w:t>一、投标函</w:t>
      </w:r>
      <w:bookmarkEnd w:id="1088"/>
    </w:p>
    <w:p>
      <w:pPr>
        <w:pStyle w:val="14"/>
        <w:snapToGrid w:val="0"/>
        <w:spacing w:before="120" w:beforeLines="50" w:line="300" w:lineRule="auto"/>
        <w:ind w:firstLine="0"/>
        <w:rPr>
          <w:rFonts w:ascii="宋体" w:hAnsi="宋体" w:eastAsia="宋体"/>
          <w:sz w:val="21"/>
          <w:szCs w:val="21"/>
        </w:rPr>
      </w:pPr>
    </w:p>
    <w:p>
      <w:pPr>
        <w:pStyle w:val="14"/>
        <w:snapToGrid w:val="0"/>
        <w:spacing w:before="120" w:beforeLines="50" w:line="300" w:lineRule="auto"/>
        <w:ind w:firstLine="0"/>
        <w:rPr>
          <w:rFonts w:ascii="宋体" w:hAnsi="宋体" w:eastAsia="宋体" w:cs="宋体"/>
          <w:sz w:val="21"/>
          <w:szCs w:val="21"/>
          <w:lang w:val="zh-CN"/>
        </w:rPr>
      </w:pPr>
      <w:r>
        <w:rPr>
          <w:rFonts w:hint="eastAsia" w:ascii="宋体" w:hAnsi="宋体" w:eastAsia="宋体"/>
          <w:sz w:val="21"/>
          <w:szCs w:val="21"/>
        </w:rPr>
        <w:t>南宁轨道交通集团有限责任公司：</w:t>
      </w:r>
    </w:p>
    <w:p>
      <w:pPr>
        <w:pStyle w:val="14"/>
        <w:snapToGrid w:val="0"/>
        <w:spacing w:before="120" w:beforeLines="50" w:line="300" w:lineRule="auto"/>
        <w:ind w:firstLine="420" w:firstLineChars="200"/>
        <w:rPr>
          <w:rFonts w:ascii="宋体" w:hAnsi="宋体" w:eastAsia="宋体"/>
          <w:sz w:val="21"/>
          <w:szCs w:val="21"/>
        </w:rPr>
      </w:pPr>
      <w:r>
        <w:rPr>
          <w:rFonts w:hint="eastAsia" w:ascii="宋体" w:hAnsi="宋体" w:eastAsia="宋体"/>
          <w:sz w:val="21"/>
          <w:szCs w:val="21"/>
        </w:rPr>
        <w:t>签字代表</w:t>
      </w:r>
      <w:r>
        <w:rPr>
          <w:rFonts w:hint="eastAsia" w:ascii="宋体" w:hAnsi="宋体" w:eastAsia="宋体"/>
          <w:sz w:val="21"/>
          <w:szCs w:val="21"/>
          <w:u w:val="single"/>
        </w:rPr>
        <w:t>（全名）</w:t>
      </w:r>
      <w:r>
        <w:rPr>
          <w:rFonts w:hint="eastAsia" w:ascii="宋体" w:hAnsi="宋体" w:eastAsia="宋体"/>
          <w:sz w:val="21"/>
          <w:szCs w:val="21"/>
        </w:rPr>
        <w:t>经正式授权并代表投标人</w:t>
      </w:r>
      <w:r>
        <w:rPr>
          <w:rFonts w:hint="eastAsia" w:ascii="宋体" w:hAnsi="宋体" w:eastAsia="宋体"/>
          <w:sz w:val="21"/>
          <w:szCs w:val="21"/>
          <w:u w:val="single"/>
        </w:rPr>
        <w:t>（投标人名称）</w:t>
      </w:r>
      <w:r>
        <w:rPr>
          <w:rFonts w:hint="eastAsia" w:ascii="宋体" w:hAnsi="宋体" w:eastAsia="宋体"/>
          <w:sz w:val="21"/>
          <w:szCs w:val="21"/>
        </w:rPr>
        <w:t>提交投标文件，并对之负法律责任。</w:t>
      </w:r>
    </w:p>
    <w:p>
      <w:pPr>
        <w:pStyle w:val="14"/>
        <w:snapToGrid w:val="0"/>
        <w:spacing w:before="120" w:beforeLines="50" w:line="300" w:lineRule="auto"/>
        <w:ind w:firstLine="420" w:firstLineChars="200"/>
        <w:rPr>
          <w:rFonts w:ascii="宋体" w:hAnsi="宋体" w:eastAsia="宋体"/>
          <w:sz w:val="21"/>
          <w:szCs w:val="21"/>
        </w:rPr>
      </w:pPr>
      <w:r>
        <w:rPr>
          <w:rFonts w:hint="eastAsia" w:ascii="宋体" w:hAnsi="宋体" w:eastAsia="宋体"/>
          <w:sz w:val="21"/>
          <w:szCs w:val="21"/>
        </w:rPr>
        <w:t>据此函，签字代表宣布同意如下：</w:t>
      </w:r>
    </w:p>
    <w:p>
      <w:pPr>
        <w:pStyle w:val="14"/>
        <w:spacing w:before="120" w:beforeLines="50" w:line="300" w:lineRule="auto"/>
        <w:ind w:firstLine="420" w:firstLineChars="200"/>
        <w:rPr>
          <w:rFonts w:ascii="宋体" w:hAnsi="宋体" w:eastAsia="宋体"/>
          <w:sz w:val="21"/>
          <w:szCs w:val="21"/>
        </w:rPr>
      </w:pPr>
      <w:r>
        <w:rPr>
          <w:rFonts w:hint="eastAsia" w:ascii="宋体" w:hAnsi="宋体" w:eastAsia="宋体"/>
          <w:sz w:val="21"/>
          <w:szCs w:val="21"/>
        </w:rPr>
        <w:t>1、在研究了贵公司提供的招标文件(含补遗文件)和考察了项目现场后，我们愿意遵照招标文件的要求，承保南宁轨道交通集团2022-2024年度安全生产责任保险项目。</w:t>
      </w:r>
    </w:p>
    <w:p>
      <w:pPr>
        <w:pStyle w:val="14"/>
        <w:snapToGrid w:val="0"/>
        <w:spacing w:before="120" w:beforeLines="50" w:line="300" w:lineRule="exact"/>
        <w:ind w:firstLine="420" w:firstLineChars="200"/>
        <w:rPr>
          <w:rFonts w:ascii="宋体" w:hAnsi="宋体" w:eastAsia="宋体"/>
          <w:sz w:val="21"/>
          <w:szCs w:val="21"/>
        </w:rPr>
      </w:pPr>
      <w:r>
        <w:rPr>
          <w:rFonts w:hint="eastAsia" w:ascii="宋体" w:hAnsi="宋体" w:eastAsia="宋体"/>
          <w:sz w:val="21"/>
          <w:szCs w:val="21"/>
        </w:rPr>
        <w:t>2、如果我方的投标函被接受，我们将履行招标文件中规定的每一项要求，按期、按质、按要求履行合同。</w:t>
      </w:r>
    </w:p>
    <w:p>
      <w:pPr>
        <w:pStyle w:val="14"/>
        <w:snapToGrid w:val="0"/>
        <w:spacing w:before="120" w:beforeLines="50" w:line="300" w:lineRule="exact"/>
        <w:ind w:firstLine="420" w:firstLineChars="200"/>
        <w:rPr>
          <w:rFonts w:ascii="宋体" w:hAnsi="宋体" w:eastAsia="宋体"/>
          <w:sz w:val="21"/>
          <w:szCs w:val="21"/>
        </w:rPr>
      </w:pPr>
      <w:r>
        <w:rPr>
          <w:rFonts w:hint="eastAsia" w:ascii="宋体" w:hAnsi="宋体" w:eastAsia="宋体"/>
          <w:sz w:val="21"/>
          <w:szCs w:val="21"/>
        </w:rPr>
        <w:t>3、我方愿按相关法规履行我方的全部法律责任。</w:t>
      </w:r>
    </w:p>
    <w:p>
      <w:pPr>
        <w:pStyle w:val="14"/>
        <w:snapToGrid w:val="0"/>
        <w:spacing w:before="120" w:beforeLines="50" w:line="300" w:lineRule="exact"/>
        <w:ind w:firstLine="420" w:firstLineChars="200"/>
        <w:rPr>
          <w:rFonts w:ascii="宋体" w:hAnsi="宋体" w:eastAsia="宋体"/>
          <w:sz w:val="21"/>
          <w:szCs w:val="21"/>
        </w:rPr>
      </w:pPr>
      <w:r>
        <w:rPr>
          <w:rFonts w:hint="eastAsia" w:ascii="宋体" w:hAnsi="宋体" w:eastAsia="宋体"/>
          <w:sz w:val="21"/>
          <w:szCs w:val="21"/>
        </w:rPr>
        <w:t>4、我方已详细阅读全部招标文件，包括修改文件以及全部参考资料和有关附件。</w:t>
      </w:r>
    </w:p>
    <w:p>
      <w:pPr>
        <w:pStyle w:val="14"/>
        <w:snapToGrid w:val="0"/>
        <w:spacing w:before="120" w:beforeLines="50" w:line="300" w:lineRule="exact"/>
        <w:ind w:firstLine="420" w:firstLineChars="200"/>
        <w:rPr>
          <w:rFonts w:ascii="宋体" w:hAnsi="宋体" w:eastAsia="宋体"/>
          <w:sz w:val="21"/>
          <w:szCs w:val="21"/>
        </w:rPr>
      </w:pPr>
      <w:r>
        <w:rPr>
          <w:rFonts w:hint="eastAsia" w:ascii="宋体" w:hAnsi="宋体" w:eastAsia="宋体"/>
          <w:sz w:val="21"/>
          <w:szCs w:val="21"/>
        </w:rPr>
        <w:t>5、我方同意提供按照贵方要求的与本次招标直接或间接相关的一切数据和资料，理解贵方不一定要接受最低价的任何投标。</w:t>
      </w:r>
    </w:p>
    <w:p>
      <w:pPr>
        <w:pStyle w:val="14"/>
        <w:snapToGrid w:val="0"/>
        <w:spacing w:before="120" w:beforeLines="50" w:line="300" w:lineRule="exact"/>
        <w:ind w:firstLine="420" w:firstLineChars="200"/>
        <w:rPr>
          <w:rFonts w:ascii="宋体" w:hAnsi="宋体" w:eastAsia="宋体"/>
          <w:sz w:val="21"/>
          <w:szCs w:val="21"/>
        </w:rPr>
      </w:pPr>
      <w:r>
        <w:rPr>
          <w:rFonts w:hint="eastAsia" w:ascii="宋体" w:hAnsi="宋体" w:eastAsia="宋体"/>
          <w:sz w:val="21"/>
          <w:szCs w:val="21"/>
        </w:rPr>
        <w:t>6、与本投标有关的一切正式往来请寄：</w:t>
      </w:r>
    </w:p>
    <w:p>
      <w:pPr>
        <w:pStyle w:val="14"/>
        <w:snapToGrid w:val="0"/>
        <w:spacing w:before="120" w:beforeLines="50" w:line="300" w:lineRule="exact"/>
        <w:ind w:firstLine="420" w:firstLineChars="200"/>
        <w:rPr>
          <w:rFonts w:ascii="宋体" w:hAnsi="宋体" w:eastAsia="宋体"/>
          <w:sz w:val="21"/>
          <w:szCs w:val="21"/>
        </w:rPr>
      </w:pPr>
    </w:p>
    <w:p>
      <w:pPr>
        <w:pStyle w:val="14"/>
        <w:snapToGrid w:val="0"/>
        <w:spacing w:before="120" w:beforeLines="50" w:line="300" w:lineRule="exact"/>
        <w:ind w:firstLine="420" w:firstLineChars="200"/>
        <w:rPr>
          <w:rFonts w:ascii="宋体" w:hAnsi="宋体" w:eastAsia="宋体"/>
          <w:sz w:val="21"/>
          <w:szCs w:val="21"/>
        </w:rPr>
      </w:pPr>
      <w:r>
        <w:rPr>
          <w:rFonts w:hint="eastAsia" w:ascii="宋体" w:hAnsi="宋体" w:eastAsia="宋体"/>
          <w:sz w:val="21"/>
          <w:szCs w:val="21"/>
        </w:rPr>
        <w:t>地址：                            邮编：</w:t>
      </w:r>
    </w:p>
    <w:p>
      <w:pPr>
        <w:pStyle w:val="14"/>
        <w:snapToGrid w:val="0"/>
        <w:spacing w:before="120" w:beforeLines="50" w:line="300" w:lineRule="exact"/>
        <w:ind w:firstLine="420" w:firstLineChars="200"/>
        <w:rPr>
          <w:rFonts w:ascii="宋体" w:hAnsi="宋体" w:eastAsia="宋体"/>
          <w:sz w:val="21"/>
          <w:szCs w:val="21"/>
        </w:rPr>
      </w:pPr>
      <w:r>
        <w:rPr>
          <w:rFonts w:hint="eastAsia" w:ascii="宋体" w:hAnsi="宋体" w:eastAsia="宋体"/>
          <w:sz w:val="21"/>
          <w:szCs w:val="21"/>
        </w:rPr>
        <w:t>电话：                            传真：</w:t>
      </w:r>
    </w:p>
    <w:p>
      <w:pPr>
        <w:pStyle w:val="14"/>
        <w:snapToGrid w:val="0"/>
        <w:spacing w:before="120" w:beforeLines="50" w:line="300" w:lineRule="exact"/>
        <w:ind w:firstLine="420" w:firstLineChars="200"/>
        <w:rPr>
          <w:rFonts w:ascii="宋体" w:hAnsi="宋体" w:eastAsia="宋体"/>
          <w:sz w:val="21"/>
          <w:szCs w:val="21"/>
        </w:rPr>
      </w:pPr>
      <w:r>
        <w:rPr>
          <w:rFonts w:hint="eastAsia" w:ascii="宋体" w:hAnsi="宋体" w:eastAsia="宋体"/>
          <w:sz w:val="21"/>
          <w:szCs w:val="21"/>
        </w:rPr>
        <w:t>开户行：                          账号：</w:t>
      </w:r>
    </w:p>
    <w:p>
      <w:pPr>
        <w:pStyle w:val="14"/>
        <w:snapToGrid w:val="0"/>
        <w:spacing w:before="120" w:beforeLines="50" w:line="300" w:lineRule="exact"/>
        <w:ind w:firstLine="420" w:firstLineChars="200"/>
        <w:rPr>
          <w:rFonts w:ascii="宋体" w:hAnsi="宋体" w:eastAsia="宋体"/>
          <w:sz w:val="21"/>
          <w:szCs w:val="21"/>
        </w:rPr>
      </w:pPr>
      <w:r>
        <w:rPr>
          <w:rFonts w:hint="eastAsia" w:ascii="宋体" w:hAnsi="宋体" w:eastAsia="宋体"/>
          <w:sz w:val="21"/>
          <w:szCs w:val="21"/>
        </w:rPr>
        <w:t>投标人名称（公章）：</w:t>
      </w:r>
    </w:p>
    <w:p>
      <w:pPr>
        <w:pStyle w:val="14"/>
        <w:snapToGrid w:val="0"/>
        <w:spacing w:before="120" w:beforeLines="50" w:line="300" w:lineRule="exact"/>
        <w:ind w:firstLine="420" w:firstLineChars="200"/>
        <w:rPr>
          <w:rFonts w:ascii="宋体" w:hAnsi="宋体" w:eastAsia="宋体"/>
          <w:sz w:val="21"/>
          <w:szCs w:val="21"/>
        </w:rPr>
      </w:pPr>
      <w:r>
        <w:rPr>
          <w:rFonts w:hint="eastAsia" w:ascii="宋体" w:hAnsi="宋体" w:eastAsia="宋体"/>
          <w:sz w:val="21"/>
          <w:szCs w:val="21"/>
        </w:rPr>
        <w:t>法定代表人（负责人）或其授权代理人（盖章或签字）：</w:t>
      </w:r>
    </w:p>
    <w:p>
      <w:pPr>
        <w:pStyle w:val="14"/>
        <w:snapToGrid w:val="0"/>
        <w:spacing w:before="120" w:beforeLines="50" w:line="300" w:lineRule="exact"/>
        <w:ind w:firstLine="420" w:firstLineChars="200"/>
        <w:rPr>
          <w:rFonts w:ascii="宋体" w:hAnsi="宋体" w:eastAsia="宋体" w:cs="宋体"/>
          <w:szCs w:val="21"/>
        </w:rPr>
      </w:pPr>
      <w:r>
        <w:rPr>
          <w:rFonts w:hint="eastAsia" w:ascii="宋体" w:hAnsi="宋体" w:eastAsia="宋体"/>
          <w:sz w:val="21"/>
          <w:szCs w:val="21"/>
        </w:rPr>
        <w:t>日期：</w:t>
      </w:r>
    </w:p>
    <w:p>
      <w:pPr>
        <w:outlineLvl w:val="1"/>
        <w:rPr>
          <w:rFonts w:hAnsi="宋体" w:eastAsia="宋体" w:cs="宋体"/>
          <w:szCs w:val="21"/>
        </w:rPr>
      </w:pPr>
      <w:r>
        <w:rPr>
          <w:rFonts w:hint="eastAsia" w:ascii="宋体" w:hAnsi="宋体" w:eastAsia="宋体" w:cs="宋体"/>
          <w:szCs w:val="21"/>
        </w:rPr>
        <w:br w:type="page"/>
      </w:r>
      <w:bookmarkStart w:id="1089" w:name="_Toc29710"/>
      <w:bookmarkStart w:id="1090" w:name="_Toc3454"/>
      <w:bookmarkStart w:id="1091" w:name="_Toc13525"/>
      <w:bookmarkStart w:id="1092" w:name="_Toc2448"/>
      <w:r>
        <w:rPr>
          <w:rFonts w:hint="eastAsia" w:hAnsi="宋体" w:eastAsia="宋体" w:cs="宋体"/>
          <w:szCs w:val="21"/>
        </w:rPr>
        <w:t>D2、投标报价</w:t>
      </w:r>
      <w:bookmarkEnd w:id="1089"/>
      <w:bookmarkEnd w:id="1090"/>
      <w:bookmarkEnd w:id="1091"/>
      <w:bookmarkEnd w:id="1092"/>
    </w:p>
    <w:p>
      <w:pPr>
        <w:ind w:firstLine="602"/>
        <w:jc w:val="center"/>
        <w:rPr>
          <w:rFonts w:hAnsi="宋体" w:eastAsia="宋体"/>
          <w:b/>
          <w:bCs/>
          <w:sz w:val="30"/>
          <w:szCs w:val="30"/>
        </w:rPr>
      </w:pPr>
      <w:r>
        <w:rPr>
          <w:rFonts w:hint="eastAsia" w:hAnsi="宋体" w:eastAsia="宋体"/>
          <w:b/>
          <w:bCs/>
          <w:sz w:val="30"/>
          <w:szCs w:val="30"/>
        </w:rPr>
        <w:t>二、投标报价</w:t>
      </w:r>
    </w:p>
    <w:p>
      <w:pPr>
        <w:pStyle w:val="14"/>
        <w:snapToGrid w:val="0"/>
        <w:spacing w:before="120" w:beforeLines="50" w:line="280" w:lineRule="exact"/>
        <w:ind w:firstLine="0"/>
        <w:rPr>
          <w:rFonts w:ascii="宋体" w:hAnsi="宋体" w:eastAsia="宋体"/>
          <w:sz w:val="21"/>
          <w:szCs w:val="21"/>
        </w:rPr>
      </w:pPr>
    </w:p>
    <w:p>
      <w:pPr>
        <w:pStyle w:val="14"/>
        <w:snapToGrid w:val="0"/>
        <w:spacing w:before="120" w:beforeLines="50" w:line="280" w:lineRule="exact"/>
        <w:ind w:firstLine="0"/>
        <w:rPr>
          <w:rFonts w:ascii="宋体" w:hAnsi="宋体" w:eastAsia="宋体"/>
          <w:sz w:val="21"/>
          <w:szCs w:val="21"/>
        </w:rPr>
      </w:pPr>
      <w:r>
        <w:rPr>
          <w:rFonts w:hint="eastAsia" w:ascii="宋体" w:hAnsi="宋体" w:eastAsia="宋体"/>
          <w:sz w:val="21"/>
          <w:szCs w:val="21"/>
        </w:rPr>
        <w:t>项目名称：</w:t>
      </w:r>
    </w:p>
    <w:p>
      <w:pPr>
        <w:pStyle w:val="14"/>
        <w:snapToGrid w:val="0"/>
        <w:spacing w:before="120" w:beforeLines="50" w:line="280" w:lineRule="exact"/>
        <w:ind w:firstLine="0"/>
        <w:rPr>
          <w:rFonts w:ascii="宋体" w:hAnsi="宋体" w:eastAsia="宋体"/>
          <w:sz w:val="21"/>
          <w:szCs w:val="21"/>
        </w:rPr>
      </w:pPr>
      <w:r>
        <w:rPr>
          <w:rFonts w:hint="eastAsia" w:ascii="宋体" w:hAnsi="宋体" w:eastAsia="宋体"/>
          <w:sz w:val="21"/>
          <w:szCs w:val="21"/>
        </w:rPr>
        <w:t>招标编号：</w:t>
      </w:r>
    </w:p>
    <w:p>
      <w:pPr>
        <w:pStyle w:val="14"/>
        <w:snapToGrid w:val="0"/>
        <w:spacing w:before="120" w:beforeLines="50" w:line="360" w:lineRule="auto"/>
        <w:ind w:firstLine="0"/>
        <w:rPr>
          <w:rFonts w:ascii="宋体" w:hAnsi="宋体" w:eastAsia="宋体"/>
          <w:b/>
          <w:bCs/>
          <w:sz w:val="21"/>
          <w:szCs w:val="21"/>
        </w:rPr>
      </w:pPr>
      <w:r>
        <w:rPr>
          <w:rFonts w:hint="eastAsia" w:ascii="宋体" w:hAnsi="宋体" w:eastAsia="宋体"/>
          <w:b/>
          <w:bCs/>
          <w:sz w:val="21"/>
          <w:szCs w:val="21"/>
        </w:rPr>
        <w:t>（一）、投标报价：</w:t>
      </w:r>
    </w:p>
    <w:tbl>
      <w:tblPr>
        <w:tblStyle w:val="47"/>
        <w:tblW w:w="918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80"/>
        <w:gridCol w:w="1472"/>
        <w:gridCol w:w="3686"/>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9" w:hRule="atLeast"/>
        </w:trPr>
        <w:tc>
          <w:tcPr>
            <w:tcW w:w="2180" w:type="dxa"/>
            <w:tcBorders>
              <w:bottom w:val="single" w:color="auto" w:sz="4" w:space="0"/>
            </w:tcBorders>
            <w:vAlign w:val="center"/>
          </w:tcPr>
          <w:p>
            <w:pPr>
              <w:snapToGrid w:val="0"/>
              <w:ind w:right="-57" w:rightChars="-27"/>
              <w:jc w:val="center"/>
              <w:rPr>
                <w:rFonts w:asciiTheme="minorEastAsia" w:hAnsiTheme="minorEastAsia" w:eastAsiaTheme="minorEastAsia"/>
                <w:b/>
                <w:bCs/>
                <w:szCs w:val="21"/>
              </w:rPr>
            </w:pPr>
            <w:r>
              <w:rPr>
                <w:rFonts w:hint="eastAsia" w:asciiTheme="minorEastAsia" w:hAnsiTheme="minorEastAsia" w:eastAsiaTheme="minorEastAsia"/>
                <w:b/>
                <w:bCs/>
                <w:szCs w:val="21"/>
              </w:rPr>
              <w:t>名  称</w:t>
            </w:r>
          </w:p>
        </w:tc>
        <w:tc>
          <w:tcPr>
            <w:tcW w:w="1472" w:type="dxa"/>
            <w:tcBorders>
              <w:bottom w:val="single" w:color="auto" w:sz="4" w:space="0"/>
            </w:tcBorders>
            <w:vAlign w:val="center"/>
          </w:tcPr>
          <w:p>
            <w:pPr>
              <w:snapToGrid w:val="0"/>
              <w:ind w:right="-57" w:rightChars="-27"/>
              <w:jc w:val="center"/>
              <w:rPr>
                <w:rFonts w:asciiTheme="minorEastAsia" w:hAnsiTheme="minorEastAsia" w:eastAsiaTheme="minorEastAsia"/>
                <w:b/>
                <w:bCs/>
                <w:szCs w:val="21"/>
              </w:rPr>
            </w:pPr>
            <w:r>
              <w:rPr>
                <w:rFonts w:hint="eastAsia" w:asciiTheme="minorEastAsia" w:hAnsiTheme="minorEastAsia" w:eastAsiaTheme="minorEastAsia"/>
                <w:b/>
                <w:bCs/>
                <w:szCs w:val="21"/>
              </w:rPr>
              <w:t>保险期限</w:t>
            </w:r>
          </w:p>
        </w:tc>
        <w:tc>
          <w:tcPr>
            <w:tcW w:w="3686" w:type="dxa"/>
            <w:tcBorders>
              <w:bottom w:val="single" w:color="auto" w:sz="4" w:space="0"/>
            </w:tcBorders>
            <w:vAlign w:val="center"/>
          </w:tcPr>
          <w:p>
            <w:pPr>
              <w:snapToGrid w:val="0"/>
              <w:ind w:right="-57" w:rightChars="-27"/>
              <w:jc w:val="center"/>
              <w:rPr>
                <w:rFonts w:asciiTheme="minorEastAsia" w:hAnsiTheme="minorEastAsia" w:eastAsiaTheme="minorEastAsia"/>
                <w:b/>
                <w:szCs w:val="21"/>
              </w:rPr>
            </w:pPr>
            <w:r>
              <w:rPr>
                <w:rFonts w:hint="eastAsia" w:asciiTheme="minorEastAsia" w:hAnsiTheme="minorEastAsia" w:eastAsiaTheme="minorEastAsia"/>
                <w:b/>
                <w:bCs/>
                <w:szCs w:val="21"/>
              </w:rPr>
              <w:t>含税保险费（元）</w:t>
            </w:r>
          </w:p>
        </w:tc>
        <w:tc>
          <w:tcPr>
            <w:tcW w:w="1842" w:type="dxa"/>
            <w:tcBorders>
              <w:bottom w:val="single" w:color="auto" w:sz="4" w:space="0"/>
            </w:tcBorders>
            <w:vAlign w:val="center"/>
          </w:tcPr>
          <w:p>
            <w:pPr>
              <w:snapToGrid w:val="0"/>
              <w:ind w:right="-57" w:rightChars="-27"/>
              <w:jc w:val="center"/>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4" w:hRule="atLeast"/>
        </w:trPr>
        <w:tc>
          <w:tcPr>
            <w:tcW w:w="2180" w:type="dxa"/>
            <w:vMerge w:val="restart"/>
            <w:tcBorders>
              <w:right w:val="single" w:color="auto" w:sz="4" w:space="0"/>
            </w:tcBorders>
            <w:vAlign w:val="center"/>
          </w:tcPr>
          <w:p>
            <w:pPr>
              <w:pStyle w:val="14"/>
              <w:snapToGrid w:val="0"/>
              <w:spacing w:before="120" w:beforeLines="50" w:line="360" w:lineRule="auto"/>
              <w:ind w:left="6" w:leftChars="1" w:hanging="4" w:hangingChars="2"/>
              <w:jc w:val="center"/>
              <w:rPr>
                <w:rFonts w:asciiTheme="minorEastAsia" w:hAnsiTheme="minorEastAsia" w:eastAsiaTheme="minorEastAsia"/>
                <w:sz w:val="21"/>
                <w:szCs w:val="21"/>
              </w:rPr>
            </w:pPr>
            <w:r>
              <w:rPr>
                <w:rFonts w:hint="eastAsia" w:asciiTheme="minorEastAsia" w:hAnsiTheme="minorEastAsia" w:eastAsiaTheme="minorEastAsia"/>
                <w:bCs/>
                <w:sz w:val="21"/>
                <w:szCs w:val="21"/>
              </w:rPr>
              <w:t>南宁轨道交通集团2022-2024年度安全生产责任保险</w:t>
            </w:r>
          </w:p>
        </w:tc>
        <w:tc>
          <w:tcPr>
            <w:tcW w:w="1472" w:type="dxa"/>
            <w:vMerge w:val="restart"/>
            <w:tcBorders>
              <w:right w:val="single" w:color="auto" w:sz="4" w:space="0"/>
            </w:tcBorders>
            <w:vAlign w:val="center"/>
          </w:tcPr>
          <w:p>
            <w:pPr>
              <w:snapToGrid w:val="0"/>
              <w:ind w:right="-57" w:rightChars="-27"/>
              <w:jc w:val="left"/>
              <w:rPr>
                <w:rFonts w:asciiTheme="minorEastAsia" w:hAnsiTheme="minorEastAsia" w:eastAsiaTheme="minorEastAsia"/>
                <w:szCs w:val="21"/>
              </w:rPr>
            </w:pPr>
            <w:r>
              <w:rPr>
                <w:rFonts w:eastAsia="宋体"/>
                <w:szCs w:val="21"/>
              </w:rPr>
              <w:t>730</w:t>
            </w:r>
            <w:r>
              <w:rPr>
                <w:rFonts w:hint="eastAsia" w:eastAsia="宋体"/>
                <w:szCs w:val="21"/>
              </w:rPr>
              <w:t>个日历天</w:t>
            </w:r>
          </w:p>
        </w:tc>
        <w:tc>
          <w:tcPr>
            <w:tcW w:w="3686" w:type="dxa"/>
            <w:tcBorders>
              <w:left w:val="single" w:color="auto" w:sz="4" w:space="0"/>
            </w:tcBorders>
            <w:vAlign w:val="center"/>
          </w:tcPr>
          <w:p>
            <w:pPr>
              <w:snapToGrid w:val="0"/>
              <w:ind w:right="-57" w:rightChars="-27"/>
              <w:jc w:val="left"/>
              <w:rPr>
                <w:rFonts w:asciiTheme="minorEastAsia" w:hAnsiTheme="minorEastAsia" w:eastAsiaTheme="minorEastAsia"/>
                <w:b/>
                <w:szCs w:val="21"/>
              </w:rPr>
            </w:pPr>
            <w:r>
              <w:rPr>
                <w:rFonts w:hint="eastAsia" w:asciiTheme="minorEastAsia" w:hAnsiTheme="minorEastAsia" w:eastAsiaTheme="minorEastAsia"/>
                <w:szCs w:val="21"/>
              </w:rPr>
              <w:t>大写：</w:t>
            </w:r>
          </w:p>
        </w:tc>
        <w:tc>
          <w:tcPr>
            <w:tcW w:w="1842" w:type="dxa"/>
            <w:vMerge w:val="restart"/>
            <w:vAlign w:val="center"/>
          </w:tcPr>
          <w:p>
            <w:pPr>
              <w:snapToGrid w:val="0"/>
              <w:ind w:right="-57" w:rightChars="-27"/>
              <w:jc w:val="center"/>
              <w:rPr>
                <w:rFonts w:asciiTheme="minorEastAsia" w:hAnsiTheme="minorEastAsia" w:eastAsiaTheme="minorEastAsia"/>
                <w:b/>
                <w:szCs w:val="21"/>
              </w:rPr>
            </w:pPr>
            <w:r>
              <w:rPr>
                <w:rFonts w:hint="eastAsia" w:asciiTheme="minorEastAsia" w:hAnsiTheme="minorEastAsia" w:eastAsiaTheme="minorEastAsia"/>
                <w:szCs w:val="21"/>
              </w:rPr>
              <w:t>本项目增值税税率按6%计取，增值税税额=保险费含税合计/（1+增值税税率）*增值税税率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8" w:hRule="atLeast"/>
        </w:trPr>
        <w:tc>
          <w:tcPr>
            <w:tcW w:w="2180" w:type="dxa"/>
            <w:vMerge w:val="continue"/>
            <w:tcBorders>
              <w:right w:val="single" w:color="auto" w:sz="4" w:space="0"/>
            </w:tcBorders>
            <w:vAlign w:val="center"/>
          </w:tcPr>
          <w:p>
            <w:pPr>
              <w:pStyle w:val="14"/>
              <w:snapToGrid w:val="0"/>
              <w:spacing w:before="120" w:beforeLines="50" w:line="360" w:lineRule="auto"/>
              <w:ind w:left="6" w:leftChars="1" w:hanging="4" w:hangingChars="2"/>
              <w:jc w:val="center"/>
              <w:rPr>
                <w:rFonts w:asciiTheme="minorEastAsia" w:hAnsiTheme="minorEastAsia" w:eastAsiaTheme="minorEastAsia"/>
                <w:b/>
                <w:bCs/>
                <w:sz w:val="21"/>
                <w:szCs w:val="21"/>
              </w:rPr>
            </w:pPr>
          </w:p>
        </w:tc>
        <w:tc>
          <w:tcPr>
            <w:tcW w:w="1472" w:type="dxa"/>
            <w:vMerge w:val="continue"/>
            <w:tcBorders>
              <w:right w:val="single" w:color="auto" w:sz="4" w:space="0"/>
            </w:tcBorders>
            <w:vAlign w:val="center"/>
          </w:tcPr>
          <w:p>
            <w:pPr>
              <w:snapToGrid w:val="0"/>
              <w:ind w:right="-57" w:rightChars="-27"/>
              <w:jc w:val="left"/>
              <w:rPr>
                <w:rFonts w:asciiTheme="minorEastAsia" w:hAnsiTheme="minorEastAsia" w:eastAsiaTheme="minorEastAsia"/>
                <w:szCs w:val="21"/>
              </w:rPr>
            </w:pPr>
          </w:p>
        </w:tc>
        <w:tc>
          <w:tcPr>
            <w:tcW w:w="3686" w:type="dxa"/>
            <w:tcBorders>
              <w:left w:val="single" w:color="auto" w:sz="4" w:space="0"/>
            </w:tcBorders>
            <w:vAlign w:val="center"/>
          </w:tcPr>
          <w:p>
            <w:pPr>
              <w:snapToGrid w:val="0"/>
              <w:ind w:right="-57" w:rightChars="-27"/>
              <w:jc w:val="left"/>
              <w:rPr>
                <w:rFonts w:asciiTheme="minorEastAsia" w:hAnsiTheme="minorEastAsia" w:eastAsiaTheme="minorEastAsia"/>
                <w:b/>
                <w:szCs w:val="21"/>
              </w:rPr>
            </w:pPr>
            <w:r>
              <w:rPr>
                <w:rFonts w:hint="eastAsia" w:asciiTheme="minorEastAsia" w:hAnsiTheme="minorEastAsia" w:eastAsiaTheme="minorEastAsia"/>
                <w:szCs w:val="21"/>
              </w:rPr>
              <w:t>小写：</w:t>
            </w:r>
          </w:p>
        </w:tc>
        <w:tc>
          <w:tcPr>
            <w:tcW w:w="1842" w:type="dxa"/>
            <w:vMerge w:val="continue"/>
            <w:vAlign w:val="center"/>
          </w:tcPr>
          <w:p>
            <w:pPr>
              <w:snapToGrid w:val="0"/>
              <w:ind w:right="-57" w:rightChars="-27"/>
              <w:jc w:val="center"/>
              <w:rPr>
                <w:rFonts w:asciiTheme="minorEastAsia" w:hAnsiTheme="minorEastAsia" w:eastAsiaTheme="minorEastAsia"/>
                <w:szCs w:val="21"/>
              </w:rPr>
            </w:pPr>
          </w:p>
        </w:tc>
      </w:tr>
    </w:tbl>
    <w:p>
      <w:pPr>
        <w:pStyle w:val="14"/>
        <w:snapToGrid w:val="0"/>
        <w:spacing w:before="120" w:beforeLines="50" w:line="360" w:lineRule="auto"/>
        <w:ind w:firstLine="0"/>
        <w:rPr>
          <w:rFonts w:ascii="宋体" w:hAnsi="宋体" w:eastAsia="宋体"/>
          <w:b/>
          <w:bCs/>
          <w:sz w:val="21"/>
          <w:szCs w:val="21"/>
        </w:rPr>
      </w:pPr>
    </w:p>
    <w:p>
      <w:pPr>
        <w:snapToGrid w:val="0"/>
        <w:spacing w:before="120" w:beforeLines="50" w:after="360" w:afterLines="150"/>
        <w:rPr>
          <w:rFonts w:ascii="宋体" w:hAnsi="宋体" w:eastAsia="宋体"/>
          <w:b/>
          <w:bCs/>
          <w:szCs w:val="21"/>
        </w:rPr>
      </w:pPr>
      <w:r>
        <w:rPr>
          <w:rFonts w:ascii="宋体" w:hAnsi="宋体" w:eastAsia="宋体"/>
          <w:b/>
          <w:bCs/>
          <w:szCs w:val="21"/>
        </w:rPr>
        <w:t>注：</w:t>
      </w:r>
      <w:r>
        <w:rPr>
          <w:rFonts w:hint="eastAsia" w:ascii="宋体" w:hAnsi="宋体" w:eastAsia="宋体"/>
          <w:b/>
          <w:bCs/>
          <w:szCs w:val="21"/>
        </w:rPr>
        <w:t>保险费报价要求保留小数点后两位数。</w:t>
      </w:r>
    </w:p>
    <w:p>
      <w:pPr>
        <w:pStyle w:val="14"/>
        <w:snapToGrid w:val="0"/>
        <w:spacing w:before="120" w:beforeLines="50" w:line="360" w:lineRule="auto"/>
        <w:ind w:firstLine="0"/>
        <w:rPr>
          <w:rFonts w:ascii="宋体" w:hAnsi="宋体" w:eastAsia="宋体"/>
          <w:b/>
          <w:bCs/>
          <w:sz w:val="21"/>
          <w:szCs w:val="21"/>
        </w:rPr>
      </w:pPr>
      <w:r>
        <w:rPr>
          <w:rFonts w:hint="eastAsia" w:ascii="宋体" w:hAnsi="宋体" w:eastAsia="宋体"/>
          <w:b/>
          <w:bCs/>
          <w:sz w:val="21"/>
          <w:szCs w:val="21"/>
        </w:rPr>
        <w:t>（二）、投标报价说明</w:t>
      </w:r>
    </w:p>
    <w:p>
      <w:pPr>
        <w:spacing w:line="360" w:lineRule="auto"/>
        <w:ind w:firstLine="420" w:firstLineChars="200"/>
        <w:rPr>
          <w:rFonts w:ascii="宋体" w:hAnsi="宋体" w:eastAsia="宋体" w:cs="宋体"/>
          <w:bCs/>
        </w:rPr>
      </w:pPr>
      <w:r>
        <w:rPr>
          <w:rFonts w:hint="eastAsia" w:eastAsia="宋体"/>
          <w:bCs/>
          <w:szCs w:val="21"/>
        </w:rPr>
        <w:t>本项目保险费包干使用。</w:t>
      </w:r>
    </w:p>
    <w:p>
      <w:pPr>
        <w:pStyle w:val="14"/>
        <w:snapToGrid w:val="0"/>
        <w:spacing w:before="120" w:beforeLines="50" w:line="360" w:lineRule="auto"/>
        <w:ind w:firstLine="0"/>
        <w:rPr>
          <w:rFonts w:ascii="宋体" w:hAnsi="宋体" w:eastAsia="宋体"/>
          <w:b/>
          <w:bCs/>
          <w:sz w:val="21"/>
          <w:szCs w:val="21"/>
        </w:rPr>
      </w:pPr>
      <w:r>
        <w:rPr>
          <w:rFonts w:hint="eastAsia" w:ascii="宋体" w:hAnsi="宋体" w:eastAsia="宋体"/>
          <w:b/>
          <w:bCs/>
          <w:sz w:val="21"/>
          <w:szCs w:val="21"/>
        </w:rPr>
        <w:t>（三）、有效期说明：</w:t>
      </w:r>
    </w:p>
    <w:p>
      <w:pPr>
        <w:pStyle w:val="14"/>
        <w:snapToGrid w:val="0"/>
        <w:spacing w:before="120" w:beforeLines="50" w:line="360" w:lineRule="auto"/>
        <w:ind w:firstLine="0"/>
        <w:rPr>
          <w:rFonts w:ascii="宋体" w:hAnsi="宋体" w:eastAsia="宋体"/>
          <w:sz w:val="21"/>
          <w:szCs w:val="21"/>
        </w:rPr>
      </w:pPr>
      <w:r>
        <w:rPr>
          <w:rFonts w:hint="eastAsia" w:ascii="宋体" w:hAnsi="宋体" w:eastAsia="宋体"/>
          <w:sz w:val="21"/>
          <w:szCs w:val="21"/>
        </w:rPr>
        <w:t>投标有效期：投标截止之日起90个日历日。</w:t>
      </w:r>
    </w:p>
    <w:p>
      <w:pPr>
        <w:pStyle w:val="14"/>
        <w:snapToGrid w:val="0"/>
        <w:spacing w:before="120" w:beforeLines="50" w:line="360" w:lineRule="auto"/>
        <w:ind w:firstLine="0"/>
        <w:rPr>
          <w:rFonts w:ascii="宋体" w:hAnsi="宋体" w:eastAsia="宋体"/>
          <w:sz w:val="21"/>
          <w:szCs w:val="21"/>
        </w:rPr>
      </w:pPr>
    </w:p>
    <w:p>
      <w:pPr>
        <w:pStyle w:val="30"/>
        <w:ind w:left="235" w:leftChars="112" w:firstLine="183"/>
        <w:rPr>
          <w:rFonts w:hAnsi="宋体" w:eastAsia="宋体"/>
          <w:i w:val="0"/>
          <w:sz w:val="21"/>
          <w:szCs w:val="21"/>
        </w:rPr>
      </w:pPr>
      <w:r>
        <w:rPr>
          <w:rFonts w:hint="eastAsia" w:hAnsi="宋体" w:eastAsia="宋体"/>
          <w:i w:val="0"/>
          <w:sz w:val="21"/>
          <w:szCs w:val="21"/>
        </w:rPr>
        <w:t>投标人（公章）：</w:t>
      </w:r>
    </w:p>
    <w:p>
      <w:pPr>
        <w:pStyle w:val="30"/>
        <w:ind w:left="235" w:leftChars="112" w:firstLine="183"/>
        <w:rPr>
          <w:rFonts w:hAnsi="宋体" w:eastAsia="宋体"/>
          <w:i w:val="0"/>
          <w:sz w:val="21"/>
          <w:szCs w:val="21"/>
        </w:rPr>
      </w:pPr>
      <w:r>
        <w:rPr>
          <w:rFonts w:hint="eastAsia" w:hAnsi="宋体" w:eastAsia="宋体"/>
          <w:i w:val="0"/>
          <w:sz w:val="21"/>
          <w:szCs w:val="21"/>
        </w:rPr>
        <w:t xml:space="preserve">法定代表人（负责人）或授权代理人（签字或盖章）： </w:t>
      </w:r>
    </w:p>
    <w:p>
      <w:pPr>
        <w:spacing w:line="360" w:lineRule="auto"/>
        <w:ind w:firstLine="420"/>
        <w:rPr>
          <w:rFonts w:eastAsia="宋体"/>
          <w:szCs w:val="21"/>
        </w:rPr>
      </w:pPr>
      <w:r>
        <w:rPr>
          <w:rFonts w:hint="eastAsia" w:hAnsi="宋体" w:eastAsia="宋体"/>
          <w:szCs w:val="21"/>
        </w:rPr>
        <w:t>日期：</w:t>
      </w:r>
      <w:bookmarkEnd w:id="981"/>
      <w:bookmarkEnd w:id="1006"/>
    </w:p>
    <w:sectPr>
      <w:headerReference r:id="rId28" w:type="first"/>
      <w:footerReference r:id="rId31" w:type="first"/>
      <w:headerReference r:id="rId26" w:type="default"/>
      <w:footerReference r:id="rId29" w:type="default"/>
      <w:headerReference r:id="rId27" w:type="even"/>
      <w:footerReference r:id="rId30" w:type="even"/>
      <w:pgSz w:w="11907" w:h="16840"/>
      <w:pgMar w:top="1247" w:right="1588" w:bottom="1247" w:left="1247" w:header="737" w:footer="737"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Univers">
    <w:altName w:val="Segoe Print"/>
    <w:panose1 w:val="00000000000000000000"/>
    <w:charset w:val="00"/>
    <w:family w:val="swiss"/>
    <w:pitch w:val="default"/>
    <w:sig w:usb0="00000000" w:usb1="00000000" w:usb2="00000000" w:usb3="00000000" w:csb0="0000000F"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swiss"/>
    <w:pitch w:val="default"/>
    <w:sig w:usb0="FFFFFFFF" w:usb1="E9FFFFFF" w:usb2="0000003F" w:usb3="00000000" w:csb0="603F01FF" w:csb1="FFFF0000"/>
  </w:font>
  <w:font w:name="華康中楷體">
    <w:altName w:val="Microsoft JhengHei"/>
    <w:panose1 w:val="00000000000000000000"/>
    <w:charset w:val="88"/>
    <w:family w:val="modern"/>
    <w:pitch w:val="default"/>
    <w:sig w:usb0="00000000" w:usb1="00000000" w:usb2="00000010" w:usb3="00000000" w:csb0="00100000" w:csb1="00000000"/>
  </w:font>
  <w:font w:name="Microsoft JhengHei">
    <w:panose1 w:val="020B0604030504040204"/>
    <w:charset w:val="88"/>
    <w:family w:val="auto"/>
    <w:pitch w:val="default"/>
    <w:sig w:usb0="00000087" w:usb1="28AF4000" w:usb2="00000016" w:usb3="00000000" w:csb0="00100009" w:csb1="00000000"/>
  </w:font>
  <w:font w:name="Century">
    <w:panose1 w:val="02040604050505020304"/>
    <w:charset w:val="00"/>
    <w:family w:val="roman"/>
    <w:pitch w:val="default"/>
    <w:sig w:usb0="00000287" w:usb1="00000000" w:usb2="00000000" w:usb3="00000000" w:csb0="2000009F" w:csb1="DFD70000"/>
  </w:font>
  <w:font w:name="PMingLiU">
    <w:panose1 w:val="02020500000000000000"/>
    <w:charset w:val="88"/>
    <w:family w:val="roman"/>
    <w:pitch w:val="default"/>
    <w:sig w:usb0="A00002FF" w:usb1="28CFFCFA" w:usb2="00000016" w:usb3="00000000" w:csb0="001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24" name="文本框 24"/>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4384;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7wAWNEAAAACAQAADwAAAAAAAAABACAAAAAiAAAAZHJzL2Rvd25yZXYueG1s&#10;UEsBAhQAFAAAAAgAh07iQMsSa5Y4AgAAYgQAAA4AAAAAAAAAAQAgAAAAIAEAAGRycy9lMm9Eb2Mu&#10;eG1sUEsFBgAAAAAGAAYAWQEAAMo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宋体" w:hAnsi="宋体"/>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25" name="文本框 2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5408;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rvABY0QAAAAIBAAAPAAAAAAAAAAEAIAAAACIAAABkcnMvZG93bnJldi54bWxQ&#10;SwECFAAUAAAACACHTuJAiHrT1DcCAABiBAAADgAAAAAAAAABACAAAAAgAQAAZHJzL2Uyb0RvYy54&#10;bWxQSwUGAAAAAAYABgBZAQAAy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7</w:t>
                    </w:r>
                    <w:r>
                      <w:rPr>
                        <w:rFonts w:hint="eastAsia"/>
                        <w:sz w:val="1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26" name="文本框 2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6432;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XcYXXSAAAAAwEAAA8AAAAAAAAAAQAgAAAAIgAAAGRycy9kb3ducmV2Lnht&#10;bFBLAQIUABQAAAAIAIdO4kCTdtQKOAIAAGMEAAAOAAAAAAAAAAEAIAAAACEBAABkcnMvZTJvRG9j&#10;LnhtbFBLBQYAAAAABgAGAFkBAADL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27" name="文本框 2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7456;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XcYXXSAAAAAwEAAA8AAAAAAAAAAQAgAAAAIgAAAGRycy9kb3ducmV2Lnht&#10;bFBLAQIUABQAAAAIAIdO4kDR3kPlOAIAAGMEAAAOAAAAAAAAAAEAIAAAACEBAABkcnMvZTJvRG9j&#10;LnhtbFBLBQYAAAAABgAGAFkBAADL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19</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16" name="文本框 16"/>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dxhddIAAAADAQAADwAAAAAAAAABACAAAAAiAAAAZHJzL2Rvd25yZXYueG1s&#10;UEsBAhQAFAAAAAgAh07iQO6p43k3AgAAYwQAAA4AAAAAAAAAAQAgAAAAIQEAAGRycy9lMm9Eb2Mu&#10;eG1sUEsFBgAAAAAGAAYAWQEAAMoFA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31079"/>
    </w:sdtPr>
    <w:sdtContent>
      <w:p>
        <w:pPr>
          <w:pStyle w:val="32"/>
          <w:jc w:val="center"/>
        </w:pPr>
        <w:r>
          <w:fldChar w:fldCharType="begin"/>
        </w:r>
        <w:r>
          <w:instrText xml:space="preserve"> PAGE   \* MERGEFORMAT </w:instrText>
        </w:r>
        <w:r>
          <w:fldChar w:fldCharType="separate"/>
        </w:r>
        <w:r>
          <w:rPr>
            <w:lang w:val="zh-CN"/>
          </w:rPr>
          <w:t>33</w:t>
        </w:r>
        <w:r>
          <w:rPr>
            <w:lang w:val="zh-CN"/>
          </w:rPr>
          <w:fldChar w:fldCharType="end"/>
        </w:r>
      </w:p>
    </w:sdtContent>
  </w:sdt>
  <w:p>
    <w:pPr>
      <w:pStyle w:val="32"/>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900" w:hanging="900"/>
      <w:jc w:val="center"/>
      <w:rPr>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29" name="文本框 29"/>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8480;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XcYXXSAAAAAwEAAA8AAAAAAAAAAQAgAAAAIgAAAGRycy9kb3ducmV2Lnht&#10;bFBLAQIUABQAAAAIAIdO4kCKftj4OAIAAGMEAAAOAAAAAAAAAAEAIAAAACEBAABkcnMvZTJvRG9j&#10;LnhtbFBLBQYAAAAABgAGAFkBAADL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81</w:t>
                    </w:r>
                    <w:r>
                      <w:rPr>
                        <w:rFonts w:hint="eastAsia"/>
                        <w:sz w:val="18"/>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14935" cy="131445"/>
              <wp:effectExtent l="0" t="0" r="12065" b="14605"/>
              <wp:wrapNone/>
              <wp:docPr id="30" name="文本框 30"/>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69504;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dxhddIAAAADAQAADwAAAAAAAAABACAAAAAiAAAAZHJzL2Rvd25yZXYueG1s&#10;UEsBAhQAFAAAAAgAh07iQMg6C543AgAAYwQAAA4AAAAAAAAAAQAgAAAAIQEAAGRycy9lMm9Eb2Mu&#10;eG1sUEsFBgAAAAAGAAYAWQEAAMo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宋体" w:hAnsi="宋体"/>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宋体" w:hAnsi="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12065" b="14605"/>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ZE8m0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IMyeZWGr&#10;d5ZH6CiPt6tjgJxJ5ShKpwS6Ew+YvtSnflPieP95TlGP/w7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2RPJtMQIAAGUEAAAOAAAAAAAAAAEAIAAAAB8BAABkcnMvZTJvRG9jLnhtbFBLBQYA&#10;AAAABgAGAFkBAADC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21" name="文本框 2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rvABY0QAAAAIBAAAPAAAAAAAAAAEAIAAAACIAAABkcnMvZG93bnJldi54bWxQ&#10;SwECFAAUAAAACACHTuJAxd1DBTcCAABiBAAADgAAAAAAAAABACAAAAAgAQAAZHJzL2Uyb0RvYy54&#10;bWxQSwUGAAAAAAYABgBZAQAAyQ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rPr>
        <w:rFonts w:ascii="宋体" w:hAnsi="宋体"/>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22" name="文本框 2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2336;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7wAWNEAAAACAQAADwAAAAAAAAABACAAAAAiAAAAZHJzL2Rvd25yZXYueG1s&#10;UEsBAhQAFAAAAAgAh07iQABli8I4AgAAYgQAAA4AAAAAAAAAAQAgAAAAIAEAAGRycy9lMm9Eb2Mu&#10;eG1sUEsFBgAAAAAGAAYAWQEAAMo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785" cy="131445"/>
              <wp:effectExtent l="0" t="0" r="12065" b="14605"/>
              <wp:wrapNone/>
              <wp:docPr id="23" name="文本框 23"/>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3360;mso-width-relative:page;mso-height-relative:page;" filled="f" stroked="f" coordsize="21600,21600" o:gfxdata="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67wAWNEAAAACAQAADwAAAAAAAAABACAAAAAiAAAAZHJzL2Rvd25yZXYueG1s&#10;UEsBAhQAFAAAAAgAh07iQEMNM4A4AgAAYgQAAA4AAAAAAAAAAQAgAAAAIAEAAGRycy9lMm9Eb2Mu&#10;eG1sUEsFBgAAAAAGAAYAWQEAAMo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singleLevel"/>
    <w:tmpl w:val="00000005"/>
    <w:lvl w:ilvl="0" w:tentative="0">
      <w:start w:val="1"/>
      <w:numFmt w:val="chineseCounting"/>
      <w:suff w:val="nothing"/>
      <w:lvlText w:val="第%1条 "/>
      <w:lvlJc w:val="left"/>
      <w:pPr>
        <w:ind w:firstLine="420"/>
      </w:pPr>
      <w:rPr>
        <w:rFonts w:cs="Times New Roman"/>
        <w:b/>
        <w:lang w:val="en-US"/>
      </w:rPr>
    </w:lvl>
  </w:abstractNum>
  <w:abstractNum w:abstractNumId="1">
    <w:nsid w:val="0000001E"/>
    <w:multiLevelType w:val="multilevel"/>
    <w:tmpl w:val="0000001E"/>
    <w:lvl w:ilvl="0" w:tentative="0">
      <w:start w:val="6"/>
      <w:numFmt w:val="decimal"/>
      <w:lvlText w:val="%1"/>
      <w:lvlJc w:val="left"/>
      <w:pPr>
        <w:tabs>
          <w:tab w:val="left" w:pos="360"/>
        </w:tabs>
        <w:ind w:left="360" w:hanging="360"/>
      </w:pPr>
      <w:rPr>
        <w:rFonts w:hint="default"/>
      </w:rPr>
    </w:lvl>
    <w:lvl w:ilvl="1" w:tentative="0">
      <w:start w:val="1"/>
      <w:numFmt w:val="decimal"/>
      <w:lvlText w:val="5.%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
    <w:nsid w:val="00000038"/>
    <w:multiLevelType w:val="multilevel"/>
    <w:tmpl w:val="00000038"/>
    <w:lvl w:ilvl="0" w:tentative="0">
      <w:start w:val="1"/>
      <w:numFmt w:val="decimal"/>
      <w:lvlText w:val="7.%1"/>
      <w:lvlJc w:val="left"/>
      <w:pPr>
        <w:tabs>
          <w:tab w:val="left" w:pos="1134"/>
        </w:tabs>
        <w:ind w:left="1134" w:hanging="1134"/>
      </w:pPr>
      <w:rPr>
        <w:rFonts w:hint="eastAsia"/>
        <w:b w:val="0"/>
        <w:i w:val="0"/>
      </w:rPr>
    </w:lvl>
    <w:lvl w:ilvl="1" w:tentative="0">
      <w:start w:val="1"/>
      <w:numFmt w:val="decimal"/>
      <w:lvlText w:val="8.%2"/>
      <w:lvlJc w:val="left"/>
      <w:pPr>
        <w:tabs>
          <w:tab w:val="left" w:pos="1134"/>
        </w:tabs>
        <w:ind w:left="1134" w:hanging="1134"/>
      </w:pPr>
      <w:rPr>
        <w:rFonts w:hint="eastAsia"/>
        <w:b w:val="0"/>
        <w:i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3B"/>
    <w:multiLevelType w:val="multilevel"/>
    <w:tmpl w:val="0000003B"/>
    <w:lvl w:ilvl="0" w:tentative="0">
      <w:start w:val="1"/>
      <w:numFmt w:val="chineseCountingThousand"/>
      <w:lvlText w:val="%1"/>
      <w:lvlJc w:val="left"/>
      <w:pPr>
        <w:tabs>
          <w:tab w:val="left" w:pos="1134"/>
        </w:tabs>
        <w:ind w:left="1134" w:hanging="1134"/>
      </w:pPr>
      <w:rPr>
        <w:rFonts w:hint="eastAsia"/>
        <w:b/>
        <w:i w:val="0"/>
      </w:rPr>
    </w:lvl>
    <w:lvl w:ilvl="1" w:tentative="0">
      <w:start w:val="1"/>
      <w:numFmt w:val="decimal"/>
      <w:lvlText w:val="7.%2"/>
      <w:lvlJc w:val="left"/>
      <w:pPr>
        <w:tabs>
          <w:tab w:val="left" w:pos="1134"/>
        </w:tabs>
        <w:ind w:left="1134" w:hanging="1134"/>
      </w:pPr>
      <w:rPr>
        <w:rFonts w:hint="eastAsia"/>
        <w:b w:val="0"/>
        <w:i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3C"/>
    <w:multiLevelType w:val="multilevel"/>
    <w:tmpl w:val="0000003C"/>
    <w:lvl w:ilvl="0" w:tentative="0">
      <w:start w:val="1"/>
      <w:numFmt w:val="decimal"/>
      <w:lvlText w:val="（%1）"/>
      <w:lvlJc w:val="left"/>
      <w:pPr>
        <w:tabs>
          <w:tab w:val="left" w:pos="1814"/>
        </w:tabs>
        <w:ind w:left="1814"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41"/>
    <w:multiLevelType w:val="multilevel"/>
    <w:tmpl w:val="00000041"/>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1134"/>
        </w:tabs>
        <w:ind w:left="1134" w:hanging="1134"/>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00000043"/>
    <w:multiLevelType w:val="multilevel"/>
    <w:tmpl w:val="00000043"/>
    <w:lvl w:ilvl="0" w:tentative="0">
      <w:start w:val="14"/>
      <w:numFmt w:val="decimal"/>
      <w:lvlText w:val="%1"/>
      <w:lvlJc w:val="left"/>
      <w:pPr>
        <w:tabs>
          <w:tab w:val="left" w:pos="420"/>
        </w:tabs>
        <w:ind w:left="420" w:hanging="420"/>
      </w:pPr>
      <w:rPr>
        <w:rFonts w:hint="default"/>
      </w:rPr>
    </w:lvl>
    <w:lvl w:ilvl="1" w:tentative="0">
      <w:start w:val="1"/>
      <w:numFmt w:val="decimal"/>
      <w:lvlText w:val="13.%2"/>
      <w:lvlJc w:val="left"/>
      <w:pPr>
        <w:tabs>
          <w:tab w:val="left" w:pos="1134"/>
        </w:tabs>
        <w:ind w:left="1134" w:hanging="1134"/>
      </w:pPr>
      <w:rPr>
        <w:rFonts w:hint="eastAsia"/>
        <w:b w:val="0"/>
        <w:i w:val="0"/>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0000004E"/>
    <w:multiLevelType w:val="multilevel"/>
    <w:tmpl w:val="0000004E"/>
    <w:lvl w:ilvl="0" w:tentative="0">
      <w:start w:val="1"/>
      <w:numFmt w:val="chineseCountingThousand"/>
      <w:lvlText w:val="第%1章"/>
      <w:lvlJc w:val="left"/>
      <w:pPr>
        <w:tabs>
          <w:tab w:val="left" w:pos="1134"/>
        </w:tabs>
        <w:ind w:left="1134" w:hanging="1134"/>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50"/>
    <w:multiLevelType w:val="multilevel"/>
    <w:tmpl w:val="00000050"/>
    <w:lvl w:ilvl="0" w:tentative="0">
      <w:start w:val="1"/>
      <w:numFmt w:val="decimal"/>
      <w:lvlText w:val="%1."/>
      <w:lvlJc w:val="left"/>
      <w:pPr>
        <w:tabs>
          <w:tab w:val="left" w:pos="1134"/>
        </w:tabs>
        <w:ind w:left="1134" w:hanging="1134"/>
      </w:pPr>
      <w:rPr>
        <w:rFonts w:hint="eastAsia"/>
      </w:rPr>
    </w:lvl>
    <w:lvl w:ilvl="1" w:tentative="0">
      <w:start w:val="1"/>
      <w:numFmt w:val="decimal"/>
      <w:isLgl/>
      <w:lvlText w:val="5.%2"/>
      <w:lvlJc w:val="left"/>
      <w:pPr>
        <w:tabs>
          <w:tab w:val="left" w:pos="1134"/>
        </w:tabs>
        <w:ind w:left="1134" w:hanging="1134"/>
      </w:pPr>
      <w:rPr>
        <w:rFonts w:hint="default"/>
      </w:r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9">
    <w:nsid w:val="00000052"/>
    <w:multiLevelType w:val="multilevel"/>
    <w:tmpl w:val="00000052"/>
    <w:lvl w:ilvl="0" w:tentative="0">
      <w:start w:val="1"/>
      <w:numFmt w:val="none"/>
      <w:lvlText w:val="1.1.1"/>
      <w:lvlJc w:val="left"/>
      <w:pPr>
        <w:tabs>
          <w:tab w:val="left" w:pos="450"/>
        </w:tabs>
        <w:ind w:left="450" w:hanging="450"/>
      </w:pPr>
      <w:rPr>
        <w:rFonts w:hint="default"/>
      </w:rPr>
    </w:lvl>
    <w:lvl w:ilvl="1" w:tentative="0">
      <w:start w:val="1"/>
      <w:numFmt w:val="decimal"/>
      <w:lvlText w:val="2.%2"/>
      <w:lvlJc w:val="left"/>
      <w:pPr>
        <w:tabs>
          <w:tab w:val="left" w:pos="1134"/>
        </w:tabs>
        <w:ind w:left="1134" w:hanging="1134"/>
      </w:pPr>
      <w:rPr>
        <w:rFonts w:hint="eastAsia" w:ascii="宋体" w:hAnsi="宋体" w:cs="Arial"/>
        <w:color w:val="auto"/>
      </w:rPr>
    </w:lvl>
    <w:lvl w:ilvl="2" w:tentative="0">
      <w:start w:val="1"/>
      <w:numFmt w:val="decimal"/>
      <w:lvlText w:val="%11.%2.%3"/>
      <w:lvlJc w:val="left"/>
      <w:pPr>
        <w:tabs>
          <w:tab w:val="left" w:pos="1134"/>
        </w:tabs>
        <w:ind w:left="1134" w:hanging="1134"/>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800"/>
        </w:tabs>
        <w:ind w:left="1800" w:hanging="1800"/>
      </w:pPr>
      <w:rPr>
        <w:rFonts w:hint="default"/>
      </w:rPr>
    </w:lvl>
    <w:lvl w:ilvl="6" w:tentative="0">
      <w:start w:val="1"/>
      <w:numFmt w:val="decimal"/>
      <w:lvlText w:val="%1.%2.%3.%4.%5.%6.%7"/>
      <w:lvlJc w:val="left"/>
      <w:pPr>
        <w:tabs>
          <w:tab w:val="left" w:pos="2160"/>
        </w:tabs>
        <w:ind w:left="2160" w:hanging="2160"/>
      </w:pPr>
      <w:rPr>
        <w:rFonts w:hint="default"/>
      </w:rPr>
    </w:lvl>
    <w:lvl w:ilvl="7" w:tentative="0">
      <w:start w:val="1"/>
      <w:numFmt w:val="decimal"/>
      <w:lvlText w:val="%1.%2.%3.%4.%5.%6.%7.%8"/>
      <w:lvlJc w:val="left"/>
      <w:pPr>
        <w:tabs>
          <w:tab w:val="left" w:pos="2520"/>
        </w:tabs>
        <w:ind w:left="2520" w:hanging="2520"/>
      </w:pPr>
      <w:rPr>
        <w:rFonts w:hint="default"/>
      </w:rPr>
    </w:lvl>
    <w:lvl w:ilvl="8" w:tentative="0">
      <w:start w:val="1"/>
      <w:numFmt w:val="decimal"/>
      <w:lvlText w:val="%1.%2.%3.%4.%5.%6.%7.%8.%9"/>
      <w:lvlJc w:val="left"/>
      <w:pPr>
        <w:tabs>
          <w:tab w:val="left" w:pos="2880"/>
        </w:tabs>
        <w:ind w:left="2880" w:hanging="2880"/>
      </w:pPr>
      <w:rPr>
        <w:rFonts w:hint="default"/>
      </w:rPr>
    </w:lvl>
  </w:abstractNum>
  <w:abstractNum w:abstractNumId="10">
    <w:nsid w:val="00000060"/>
    <w:multiLevelType w:val="multilevel"/>
    <w:tmpl w:val="00000060"/>
    <w:lvl w:ilvl="0" w:tentative="0">
      <w:start w:val="1"/>
      <w:numFmt w:val="decimal"/>
      <w:lvlText w:val="12.%1"/>
      <w:lvlJc w:val="left"/>
      <w:pPr>
        <w:tabs>
          <w:tab w:val="left" w:pos="1134"/>
        </w:tabs>
        <w:ind w:left="1134" w:hanging="1134"/>
      </w:pPr>
      <w:rPr>
        <w:rFonts w:hint="eastAsia"/>
        <w:b w:val="0"/>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0000066"/>
    <w:multiLevelType w:val="multilevel"/>
    <w:tmpl w:val="00000066"/>
    <w:lvl w:ilvl="0" w:tentative="0">
      <w:start w:val="1"/>
      <w:numFmt w:val="decimal"/>
      <w:lvlText w:val="%1."/>
      <w:lvlJc w:val="left"/>
      <w:pPr>
        <w:tabs>
          <w:tab w:val="left" w:pos="425"/>
        </w:tabs>
        <w:ind w:left="425" w:hanging="425"/>
      </w:pPr>
      <w:rPr>
        <w:rFonts w:hint="eastAsia"/>
      </w:rPr>
    </w:lvl>
    <w:lvl w:ilvl="1" w:tentative="0">
      <w:start w:val="2"/>
      <w:numFmt w:val="decimal"/>
      <w:lvlText w:val="%1.%2."/>
      <w:lvlJc w:val="left"/>
      <w:pPr>
        <w:tabs>
          <w:tab w:val="left" w:pos="567"/>
        </w:tabs>
        <w:ind w:left="567" w:hanging="567"/>
      </w:pPr>
      <w:rPr>
        <w:rFonts w:hint="eastAsia"/>
      </w:rPr>
    </w:lvl>
    <w:lvl w:ilvl="2" w:tentative="0">
      <w:start w:val="1"/>
      <w:numFmt w:val="decimal"/>
      <w:pStyle w:val="204"/>
      <w:lvlText w:val="2.%2.%3."/>
      <w:lvlJc w:val="left"/>
      <w:pPr>
        <w:tabs>
          <w:tab w:val="left" w:pos="709"/>
        </w:tabs>
        <w:ind w:left="709" w:hanging="709"/>
      </w:pPr>
      <w:rPr>
        <w:rFonts w:hint="default" w:ascii="Arial" w:hAnsi="Arial"/>
        <w:b/>
        <w:i w:val="0"/>
        <w:sz w:val="32"/>
        <w:szCs w:val="32"/>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2">
    <w:nsid w:val="0000006B"/>
    <w:multiLevelType w:val="multilevel"/>
    <w:tmpl w:val="0000006B"/>
    <w:lvl w:ilvl="0" w:tentative="0">
      <w:start w:val="1"/>
      <w:numFmt w:val="decimal"/>
      <w:lvlText w:val="%1"/>
      <w:lvlJc w:val="left"/>
      <w:pPr>
        <w:tabs>
          <w:tab w:val="left" w:pos="0"/>
        </w:tabs>
        <w:ind w:left="425" w:hanging="425"/>
      </w:pPr>
      <w:rPr>
        <w:rFonts w:hint="default" w:cs="Times New Roman"/>
      </w:rPr>
    </w:lvl>
    <w:lvl w:ilvl="1" w:tentative="0">
      <w:start w:val="1"/>
      <w:numFmt w:val="decimal"/>
      <w:pStyle w:val="164"/>
      <w:lvlText w:val="%1.%2"/>
      <w:lvlJc w:val="left"/>
      <w:pPr>
        <w:tabs>
          <w:tab w:val="left" w:pos="0"/>
        </w:tabs>
      </w:pPr>
      <w:rPr>
        <w:rFonts w:hint="default" w:cs="Times New Roman"/>
      </w:rPr>
    </w:lvl>
    <w:lvl w:ilvl="2" w:tentative="0">
      <w:start w:val="1"/>
      <w:numFmt w:val="decimal"/>
      <w:lvlText w:val="%1.%2.%3"/>
      <w:lvlJc w:val="left"/>
      <w:pPr>
        <w:tabs>
          <w:tab w:val="left" w:pos="0"/>
        </w:tabs>
        <w:ind w:left="1418" w:hanging="1418"/>
      </w:pPr>
      <w:rPr>
        <w:rFonts w:hint="default" w:cs="Times New Roman"/>
      </w:rPr>
    </w:lvl>
    <w:lvl w:ilvl="3" w:tentative="0">
      <w:start w:val="1"/>
      <w:numFmt w:val="decimal"/>
      <w:lvlText w:val="%1.%2.%3.%4"/>
      <w:lvlJc w:val="left"/>
      <w:pPr>
        <w:tabs>
          <w:tab w:val="left" w:pos="0"/>
        </w:tabs>
        <w:ind w:left="1984" w:hanging="708"/>
      </w:pPr>
      <w:rPr>
        <w:rFonts w:hint="default" w:cs="Times New Roman"/>
      </w:rPr>
    </w:lvl>
    <w:lvl w:ilvl="4" w:tentative="0">
      <w:start w:val="1"/>
      <w:numFmt w:val="decimal"/>
      <w:lvlText w:val="%1.%2.%3.%4.%5"/>
      <w:lvlJc w:val="left"/>
      <w:pPr>
        <w:tabs>
          <w:tab w:val="left" w:pos="0"/>
        </w:tabs>
        <w:ind w:left="2551" w:hanging="850"/>
      </w:pPr>
      <w:rPr>
        <w:rFonts w:hint="default" w:cs="Times New Roman"/>
      </w:rPr>
    </w:lvl>
    <w:lvl w:ilvl="5" w:tentative="0">
      <w:start w:val="1"/>
      <w:numFmt w:val="decimal"/>
      <w:lvlText w:val="%1.%2.%3.%4.%5.%6"/>
      <w:lvlJc w:val="left"/>
      <w:pPr>
        <w:tabs>
          <w:tab w:val="left" w:pos="0"/>
        </w:tabs>
        <w:ind w:left="3260" w:hanging="1134"/>
      </w:pPr>
      <w:rPr>
        <w:rFonts w:hint="default" w:cs="Times New Roman"/>
      </w:rPr>
    </w:lvl>
    <w:lvl w:ilvl="6" w:tentative="0">
      <w:start w:val="1"/>
      <w:numFmt w:val="decimal"/>
      <w:lvlText w:val="%1.%2.%3.%4.%5.%6.%7"/>
      <w:lvlJc w:val="left"/>
      <w:pPr>
        <w:tabs>
          <w:tab w:val="left" w:pos="0"/>
        </w:tabs>
        <w:ind w:left="3827" w:hanging="1276"/>
      </w:pPr>
      <w:rPr>
        <w:rFonts w:hint="default" w:cs="Times New Roman"/>
      </w:rPr>
    </w:lvl>
    <w:lvl w:ilvl="7" w:tentative="0">
      <w:start w:val="1"/>
      <w:numFmt w:val="decimal"/>
      <w:lvlText w:val="%1.%2.%3.%4.%5.%6.%7.%8"/>
      <w:lvlJc w:val="left"/>
      <w:pPr>
        <w:tabs>
          <w:tab w:val="left" w:pos="0"/>
        </w:tabs>
        <w:ind w:left="4394" w:hanging="1418"/>
      </w:pPr>
      <w:rPr>
        <w:rFonts w:hint="default" w:cs="Times New Roman"/>
      </w:rPr>
    </w:lvl>
    <w:lvl w:ilvl="8" w:tentative="0">
      <w:start w:val="1"/>
      <w:numFmt w:val="decimal"/>
      <w:lvlText w:val="%1.%2.%3.%4.%5.%6.%7.%8.%9"/>
      <w:lvlJc w:val="left"/>
      <w:pPr>
        <w:tabs>
          <w:tab w:val="left" w:pos="0"/>
        </w:tabs>
        <w:ind w:left="5102" w:hanging="1700"/>
      </w:pPr>
      <w:rPr>
        <w:rFonts w:hint="default" w:cs="Times New Roman"/>
      </w:rPr>
    </w:lvl>
  </w:abstractNum>
  <w:abstractNum w:abstractNumId="13">
    <w:nsid w:val="00000070"/>
    <w:multiLevelType w:val="multilevel"/>
    <w:tmpl w:val="00000070"/>
    <w:lvl w:ilvl="0" w:tentative="0">
      <w:start w:val="9"/>
      <w:numFmt w:val="decimal"/>
      <w:lvlText w:val="%1"/>
      <w:lvlJc w:val="left"/>
      <w:pPr>
        <w:tabs>
          <w:tab w:val="left" w:pos="360"/>
        </w:tabs>
        <w:ind w:left="360" w:hanging="360"/>
      </w:pPr>
      <w:rPr>
        <w:rFonts w:hint="default"/>
      </w:rPr>
    </w:lvl>
    <w:lvl w:ilvl="1" w:tentative="0">
      <w:start w:val="1"/>
      <w:numFmt w:val="decimal"/>
      <w:lvlText w:val="%1.%2"/>
      <w:lvlJc w:val="left"/>
      <w:pPr>
        <w:tabs>
          <w:tab w:val="left" w:pos="1134"/>
        </w:tabs>
        <w:ind w:left="1134" w:hanging="1134"/>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4">
    <w:nsid w:val="00000078"/>
    <w:multiLevelType w:val="multilevel"/>
    <w:tmpl w:val="00000078"/>
    <w:lvl w:ilvl="0" w:tentative="0">
      <w:start w:val="1"/>
      <w:numFmt w:val="decimal"/>
      <w:lvlText w:val="3.%1"/>
      <w:lvlJc w:val="left"/>
      <w:pPr>
        <w:tabs>
          <w:tab w:val="left" w:pos="709"/>
        </w:tabs>
        <w:ind w:left="709" w:hanging="567"/>
      </w:pPr>
      <w:rPr>
        <w:rFonts w:hint="eastAsia"/>
      </w:rPr>
    </w:lvl>
    <w:lvl w:ilvl="1" w:tentative="0">
      <w:start w:val="1"/>
      <w:numFmt w:val="decimal"/>
      <w:lvlText w:val="（%2）"/>
      <w:lvlJc w:val="left"/>
      <w:pPr>
        <w:tabs>
          <w:tab w:val="left" w:pos="576"/>
        </w:tabs>
        <w:ind w:left="576" w:hanging="576"/>
      </w:pPr>
      <w:rPr>
        <w:rFonts w:hint="eastAsia" w:ascii="宋体" w:hAnsi="宋体" w:eastAsia="宋体" w:cs="Times New Roman"/>
        <w:b w:val="0"/>
      </w:rPr>
    </w:lvl>
    <w:lvl w:ilvl="2" w:tentative="0">
      <w:start w:val="1"/>
      <w:numFmt w:val="decimal"/>
      <w:lvlText w:val="7.1.%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5">
    <w:nsid w:val="0000007C"/>
    <w:multiLevelType w:val="multilevel"/>
    <w:tmpl w:val="0000007C"/>
    <w:lvl w:ilvl="0" w:tentative="0">
      <w:start w:val="1"/>
      <w:numFmt w:val="decimal"/>
      <w:lvlText w:val="3.%1"/>
      <w:lvlJc w:val="left"/>
      <w:pPr>
        <w:tabs>
          <w:tab w:val="left" w:pos="709"/>
        </w:tabs>
        <w:ind w:left="709" w:hanging="567"/>
      </w:pPr>
      <w:rPr>
        <w:rFonts w:hint="eastAsia"/>
      </w:rPr>
    </w:lvl>
    <w:lvl w:ilvl="1" w:tentative="0">
      <w:start w:val="1"/>
      <w:numFmt w:val="decimal"/>
      <w:lvlText w:val="（%2）"/>
      <w:lvlJc w:val="left"/>
      <w:pPr>
        <w:tabs>
          <w:tab w:val="left" w:pos="576"/>
        </w:tabs>
        <w:ind w:left="576" w:hanging="576"/>
      </w:pPr>
      <w:rPr>
        <w:rFonts w:hint="eastAsia" w:ascii="宋体" w:hAnsi="宋体" w:eastAsia="宋体" w:cs="Times New Roman"/>
      </w:rPr>
    </w:lvl>
    <w:lvl w:ilvl="2" w:tentative="0">
      <w:start w:val="1"/>
      <w:numFmt w:val="decimal"/>
      <w:lvlText w:val="7.1.%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6">
    <w:nsid w:val="0000007E"/>
    <w:multiLevelType w:val="multilevel"/>
    <w:tmpl w:val="0000007E"/>
    <w:lvl w:ilvl="0" w:tentative="0">
      <w:start w:val="2"/>
      <w:numFmt w:val="decimal"/>
      <w:lvlText w:val="%1"/>
      <w:lvlJc w:val="left"/>
      <w:pPr>
        <w:tabs>
          <w:tab w:val="left" w:pos="450"/>
        </w:tabs>
        <w:ind w:left="450" w:hanging="450"/>
      </w:pPr>
      <w:rPr>
        <w:rFonts w:hint="default"/>
      </w:rPr>
    </w:lvl>
    <w:lvl w:ilvl="1" w:tentative="0">
      <w:start w:val="1"/>
      <w:numFmt w:val="decimal"/>
      <w:lvlText w:val="11.%2"/>
      <w:lvlJc w:val="left"/>
      <w:pPr>
        <w:tabs>
          <w:tab w:val="left" w:pos="1134"/>
        </w:tabs>
        <w:ind w:left="1134" w:hanging="1134"/>
      </w:pPr>
      <w:rPr>
        <w:rFonts w:hint="eastAsia" w:ascii="宋体" w:hAnsi="宋体" w:eastAsia="宋体" w:cs="Arial"/>
        <w:b w:val="0"/>
        <w:i w:val="0"/>
        <w:strike w:val="0"/>
        <w:color w:val="auto"/>
        <w:sz w:val="21"/>
        <w:szCs w:val="21"/>
      </w:rPr>
    </w:lvl>
    <w:lvl w:ilvl="2" w:tentative="0">
      <w:start w:val="1"/>
      <w:numFmt w:val="decimal"/>
      <w:lvlText w:val="%1.%2.%3"/>
      <w:lvlJc w:val="left"/>
      <w:pPr>
        <w:tabs>
          <w:tab w:val="left" w:pos="1080"/>
        </w:tabs>
        <w:ind w:left="1080" w:hanging="108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800"/>
        </w:tabs>
        <w:ind w:left="1800" w:hanging="1800"/>
      </w:pPr>
      <w:rPr>
        <w:rFonts w:hint="default"/>
      </w:rPr>
    </w:lvl>
    <w:lvl w:ilvl="6" w:tentative="0">
      <w:start w:val="1"/>
      <w:numFmt w:val="decimal"/>
      <w:lvlText w:val="%1.%2.%3.%4.%5.%6.%7"/>
      <w:lvlJc w:val="left"/>
      <w:pPr>
        <w:tabs>
          <w:tab w:val="left" w:pos="2160"/>
        </w:tabs>
        <w:ind w:left="2160" w:hanging="2160"/>
      </w:pPr>
      <w:rPr>
        <w:rFonts w:hint="default"/>
      </w:rPr>
    </w:lvl>
    <w:lvl w:ilvl="7" w:tentative="0">
      <w:start w:val="1"/>
      <w:numFmt w:val="decimal"/>
      <w:lvlText w:val="%1.%2.%3.%4.%5.%6.%7.%8"/>
      <w:lvlJc w:val="left"/>
      <w:pPr>
        <w:tabs>
          <w:tab w:val="left" w:pos="2520"/>
        </w:tabs>
        <w:ind w:left="2520" w:hanging="2520"/>
      </w:pPr>
      <w:rPr>
        <w:rFonts w:hint="default"/>
      </w:rPr>
    </w:lvl>
    <w:lvl w:ilvl="8" w:tentative="0">
      <w:start w:val="1"/>
      <w:numFmt w:val="decimal"/>
      <w:lvlText w:val="%1.%2.%3.%4.%5.%6.%7.%8.%9"/>
      <w:lvlJc w:val="left"/>
      <w:pPr>
        <w:tabs>
          <w:tab w:val="left" w:pos="2880"/>
        </w:tabs>
        <w:ind w:left="2880" w:hanging="2880"/>
      </w:pPr>
      <w:rPr>
        <w:rFonts w:hint="default"/>
      </w:rPr>
    </w:lvl>
  </w:abstractNum>
  <w:abstractNum w:abstractNumId="17">
    <w:nsid w:val="00000081"/>
    <w:multiLevelType w:val="multilevel"/>
    <w:tmpl w:val="00000081"/>
    <w:lvl w:ilvl="0" w:tentative="0">
      <w:start w:val="1"/>
      <w:numFmt w:val="decimal"/>
      <w:lvlText w:val="3.%1"/>
      <w:lvlJc w:val="left"/>
      <w:pPr>
        <w:tabs>
          <w:tab w:val="left" w:pos="709"/>
        </w:tabs>
        <w:ind w:left="709" w:hanging="567"/>
      </w:pPr>
      <w:rPr>
        <w:rFonts w:hint="eastAsia"/>
      </w:rPr>
    </w:lvl>
    <w:lvl w:ilvl="1" w:tentative="0">
      <w:start w:val="1"/>
      <w:numFmt w:val="decimal"/>
      <w:lvlText w:val="（%2）"/>
      <w:lvlJc w:val="left"/>
      <w:pPr>
        <w:tabs>
          <w:tab w:val="left" w:pos="576"/>
        </w:tabs>
        <w:ind w:left="576" w:hanging="576"/>
      </w:pPr>
      <w:rPr>
        <w:rFonts w:hint="eastAsia" w:ascii="宋体" w:hAnsi="宋体" w:eastAsia="宋体" w:cs="Times New Roman"/>
      </w:rPr>
    </w:lvl>
    <w:lvl w:ilvl="2" w:tentative="0">
      <w:start w:val="1"/>
      <w:numFmt w:val="decimal"/>
      <w:lvlText w:val="7.1.%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8">
    <w:nsid w:val="0000008B"/>
    <w:multiLevelType w:val="multilevel"/>
    <w:tmpl w:val="0000008B"/>
    <w:lvl w:ilvl="0" w:tentative="0">
      <w:start w:val="1"/>
      <w:numFmt w:val="decimal"/>
      <w:isLgl/>
      <w:lvlText w:val="1.%1"/>
      <w:lvlJc w:val="left"/>
      <w:pPr>
        <w:tabs>
          <w:tab w:val="left" w:pos="1134"/>
        </w:tabs>
        <w:ind w:left="1134" w:hanging="1134"/>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9B"/>
    <w:multiLevelType w:val="multilevel"/>
    <w:tmpl w:val="0000009B"/>
    <w:lvl w:ilvl="0" w:tentative="0">
      <w:start w:val="2"/>
      <w:numFmt w:val="decimal"/>
      <w:lvlText w:val="%1"/>
      <w:lvlJc w:val="left"/>
      <w:pPr>
        <w:tabs>
          <w:tab w:val="left" w:pos="450"/>
        </w:tabs>
        <w:ind w:left="450" w:hanging="450"/>
      </w:pPr>
      <w:rPr>
        <w:rFonts w:hint="default"/>
      </w:rPr>
    </w:lvl>
    <w:lvl w:ilvl="1" w:tentative="0">
      <w:start w:val="1"/>
      <w:numFmt w:val="decimal"/>
      <w:lvlText w:val="10.%2"/>
      <w:lvlJc w:val="left"/>
      <w:pPr>
        <w:tabs>
          <w:tab w:val="left" w:pos="1134"/>
        </w:tabs>
        <w:ind w:left="1134" w:hanging="1134"/>
      </w:pPr>
      <w:rPr>
        <w:rFonts w:hint="eastAsia" w:ascii="宋体" w:hAnsi="宋体" w:eastAsia="宋体" w:cs="Arial"/>
        <w:sz w:val="21"/>
        <w:szCs w:val="21"/>
      </w:rPr>
    </w:lvl>
    <w:lvl w:ilvl="2" w:tentative="0">
      <w:start w:val="1"/>
      <w:numFmt w:val="decimal"/>
      <w:lvlText w:val="%1.%2.%3"/>
      <w:lvlJc w:val="left"/>
      <w:pPr>
        <w:tabs>
          <w:tab w:val="left" w:pos="1080"/>
        </w:tabs>
        <w:ind w:left="1080" w:hanging="108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800"/>
        </w:tabs>
        <w:ind w:left="1800" w:hanging="1800"/>
      </w:pPr>
      <w:rPr>
        <w:rFonts w:hint="default"/>
      </w:rPr>
    </w:lvl>
    <w:lvl w:ilvl="6" w:tentative="0">
      <w:start w:val="1"/>
      <w:numFmt w:val="decimal"/>
      <w:lvlText w:val="%1.%2.%3.%4.%5.%6.%7"/>
      <w:lvlJc w:val="left"/>
      <w:pPr>
        <w:tabs>
          <w:tab w:val="left" w:pos="2160"/>
        </w:tabs>
        <w:ind w:left="2160" w:hanging="2160"/>
      </w:pPr>
      <w:rPr>
        <w:rFonts w:hint="default"/>
      </w:rPr>
    </w:lvl>
    <w:lvl w:ilvl="7" w:tentative="0">
      <w:start w:val="1"/>
      <w:numFmt w:val="decimal"/>
      <w:lvlText w:val="%1.%2.%3.%4.%5.%6.%7.%8"/>
      <w:lvlJc w:val="left"/>
      <w:pPr>
        <w:tabs>
          <w:tab w:val="left" w:pos="2520"/>
        </w:tabs>
        <w:ind w:left="2520" w:hanging="2520"/>
      </w:pPr>
      <w:rPr>
        <w:rFonts w:hint="default"/>
      </w:rPr>
    </w:lvl>
    <w:lvl w:ilvl="8" w:tentative="0">
      <w:start w:val="1"/>
      <w:numFmt w:val="decimal"/>
      <w:lvlText w:val="%1.%2.%3.%4.%5.%6.%7.%8.%9"/>
      <w:lvlJc w:val="left"/>
      <w:pPr>
        <w:tabs>
          <w:tab w:val="left" w:pos="2880"/>
        </w:tabs>
        <w:ind w:left="2880" w:hanging="2880"/>
      </w:pPr>
      <w:rPr>
        <w:rFonts w:hint="default"/>
      </w:rPr>
    </w:lvl>
  </w:abstractNum>
  <w:abstractNum w:abstractNumId="20">
    <w:nsid w:val="02E67045"/>
    <w:multiLevelType w:val="multilevel"/>
    <w:tmpl w:val="02E67045"/>
    <w:lvl w:ilvl="0" w:tentative="0">
      <w:start w:val="1"/>
      <w:numFmt w:val="chineseCountingThousand"/>
      <w:suff w:val="space"/>
      <w:lvlText w:val="%1、"/>
      <w:lvlJc w:val="left"/>
      <w:pPr>
        <w:ind w:left="3970" w:hanging="425"/>
      </w:pPr>
      <w:rPr>
        <w:rFonts w:hint="eastAsia"/>
      </w:rPr>
    </w:lvl>
    <w:lvl w:ilvl="1" w:tentative="0">
      <w:start w:val="1"/>
      <w:numFmt w:val="decimal"/>
      <w:isLgl/>
      <w:suff w:val="space"/>
      <w:lvlText w:val="%1.%2"/>
      <w:lvlJc w:val="left"/>
      <w:pPr>
        <w:ind w:left="992" w:hanging="992"/>
      </w:pPr>
      <w:rPr>
        <w:rFonts w:hint="eastAsia"/>
      </w:rPr>
    </w:lvl>
    <w:lvl w:ilvl="2" w:tentative="0">
      <w:start w:val="1"/>
      <w:numFmt w:val="decimal"/>
      <w:isLgl/>
      <w:suff w:val="space"/>
      <w:lvlText w:val="%1.%2.%3"/>
      <w:lvlJc w:val="left"/>
      <w:pPr>
        <w:ind w:left="1418" w:hanging="1418"/>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suff w:val="space"/>
      <w:lvlText w:val="%5."/>
      <w:lvlJc w:val="left"/>
      <w:pPr>
        <w:ind w:left="454" w:firstLine="0"/>
      </w:pPr>
      <w:rPr>
        <w:rFonts w:hint="eastAsia"/>
      </w:rPr>
    </w:lvl>
    <w:lvl w:ilvl="5" w:tentative="0">
      <w:start w:val="1"/>
      <w:numFmt w:val="decimal"/>
      <w:suff w:val="space"/>
      <w:lvlText w:val="（%6）"/>
      <w:lvlJc w:val="left"/>
      <w:pPr>
        <w:ind w:left="-170" w:firstLine="45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211732DC"/>
    <w:multiLevelType w:val="multilevel"/>
    <w:tmpl w:val="211732DC"/>
    <w:lvl w:ilvl="0" w:tentative="0">
      <w:start w:val="1"/>
      <w:numFmt w:val="chineseCountingThousand"/>
      <w:suff w:val="space"/>
      <w:lvlText w:val="%1、"/>
      <w:lvlJc w:val="left"/>
      <w:pPr>
        <w:ind w:left="3970" w:hanging="425"/>
      </w:pPr>
      <w:rPr>
        <w:rFonts w:hint="eastAsia"/>
      </w:rPr>
    </w:lvl>
    <w:lvl w:ilvl="1" w:tentative="0">
      <w:start w:val="1"/>
      <w:numFmt w:val="decimal"/>
      <w:isLgl/>
      <w:suff w:val="space"/>
      <w:lvlText w:val="%1.%2"/>
      <w:lvlJc w:val="left"/>
      <w:pPr>
        <w:ind w:left="992" w:hanging="992"/>
      </w:pPr>
      <w:rPr>
        <w:rFonts w:hint="eastAsia"/>
      </w:rPr>
    </w:lvl>
    <w:lvl w:ilvl="2" w:tentative="0">
      <w:start w:val="1"/>
      <w:numFmt w:val="decimal"/>
      <w:isLgl/>
      <w:suff w:val="space"/>
      <w:lvlText w:val="%1.%2.%3"/>
      <w:lvlJc w:val="left"/>
      <w:pPr>
        <w:ind w:left="1418" w:hanging="1418"/>
      </w:pPr>
      <w:rPr>
        <w:rFonts w:hint="eastAsia"/>
      </w:rPr>
    </w:lvl>
    <w:lvl w:ilvl="3" w:tentative="0">
      <w:start w:val="1"/>
      <w:numFmt w:val="decimal"/>
      <w:isLgl/>
      <w:suff w:val="space"/>
      <w:lvlText w:val="%1.%2.%3.%4"/>
      <w:lvlJc w:val="left"/>
      <w:pPr>
        <w:ind w:left="0" w:firstLine="0"/>
      </w:pPr>
      <w:rPr>
        <w:rFonts w:hint="eastAsia"/>
      </w:rPr>
    </w:lvl>
    <w:lvl w:ilvl="4" w:tentative="0">
      <w:start w:val="1"/>
      <w:numFmt w:val="decimal"/>
      <w:pStyle w:val="286"/>
      <w:suff w:val="space"/>
      <w:lvlText w:val="%5."/>
      <w:lvlJc w:val="left"/>
      <w:pPr>
        <w:ind w:left="454" w:firstLine="0"/>
      </w:pPr>
      <w:rPr>
        <w:rFonts w:hint="eastAsia"/>
      </w:rPr>
    </w:lvl>
    <w:lvl w:ilvl="5" w:tentative="0">
      <w:start w:val="1"/>
      <w:numFmt w:val="decimal"/>
      <w:pStyle w:val="281"/>
      <w:suff w:val="space"/>
      <w:lvlText w:val="（%6）"/>
      <w:lvlJc w:val="left"/>
      <w:pPr>
        <w:ind w:left="-170" w:firstLine="454"/>
      </w:pPr>
      <w:rPr>
        <w:rFonts w:hint="eastAsia"/>
        <w:lang w:val="en-US"/>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534C9C66"/>
    <w:multiLevelType w:val="singleLevel"/>
    <w:tmpl w:val="534C9C66"/>
    <w:lvl w:ilvl="0" w:tentative="0">
      <w:start w:val="1"/>
      <w:numFmt w:val="chineseCounting"/>
      <w:suff w:val="nothing"/>
      <w:lvlText w:val="%1、"/>
      <w:lvlJc w:val="left"/>
      <w:pPr>
        <w:ind w:left="0" w:firstLine="420"/>
      </w:pPr>
      <w:rPr>
        <w:rFonts w:hint="eastAsia"/>
      </w:rPr>
    </w:lvl>
  </w:abstractNum>
  <w:abstractNum w:abstractNumId="23">
    <w:nsid w:val="534C9E34"/>
    <w:multiLevelType w:val="singleLevel"/>
    <w:tmpl w:val="534C9E34"/>
    <w:lvl w:ilvl="0" w:tentative="0">
      <w:start w:val="1"/>
      <w:numFmt w:val="chineseCounting"/>
      <w:suff w:val="nothing"/>
      <w:lvlText w:val="%1、"/>
      <w:lvlJc w:val="left"/>
      <w:pPr>
        <w:ind w:left="0" w:firstLine="420"/>
      </w:pPr>
      <w:rPr>
        <w:rFonts w:hint="eastAsia"/>
      </w:rPr>
    </w:lvl>
  </w:abstractNum>
  <w:abstractNum w:abstractNumId="24">
    <w:nsid w:val="53560448"/>
    <w:multiLevelType w:val="singleLevel"/>
    <w:tmpl w:val="53560448"/>
    <w:lvl w:ilvl="0" w:tentative="0">
      <w:start w:val="1"/>
      <w:numFmt w:val="chineseCounting"/>
      <w:suff w:val="nothing"/>
      <w:lvlText w:val="%1、"/>
      <w:lvlJc w:val="left"/>
    </w:lvl>
  </w:abstractNum>
  <w:abstractNum w:abstractNumId="25">
    <w:nsid w:val="535C807D"/>
    <w:multiLevelType w:val="multilevel"/>
    <w:tmpl w:val="535C807D"/>
    <w:lvl w:ilvl="0" w:tentative="0">
      <w:start w:val="16"/>
      <w:numFmt w:val="decimal"/>
      <w:lvlText w:val="%1"/>
      <w:lvlJc w:val="left"/>
      <w:pPr>
        <w:tabs>
          <w:tab w:val="left" w:pos="420"/>
        </w:tabs>
        <w:ind w:left="420" w:hanging="420"/>
      </w:pPr>
      <w:rPr>
        <w:rFonts w:hint="default"/>
      </w:rPr>
    </w:lvl>
    <w:lvl w:ilvl="1" w:tentative="0">
      <w:start w:val="1"/>
      <w:numFmt w:val="decimal"/>
      <w:lvlText w:val="14.%2"/>
      <w:lvlJc w:val="left"/>
      <w:pPr>
        <w:tabs>
          <w:tab w:val="left" w:pos="1134"/>
        </w:tabs>
        <w:ind w:left="1134" w:hanging="1134"/>
      </w:pPr>
      <w:rPr>
        <w:rFonts w:hint="default" w:ascii="宋体" w:hAnsi="宋体" w:eastAsia="宋体" w:cs="宋体"/>
      </w:rPr>
    </w:lvl>
    <w:lvl w:ilvl="2" w:tentative="0">
      <w:start w:val="1"/>
      <w:numFmt w:val="decimal"/>
      <w:lvlText w:val="%1.%2.%3"/>
      <w:lvlJc w:val="left"/>
      <w:pPr>
        <w:tabs>
          <w:tab w:val="left" w:pos="1134"/>
        </w:tabs>
        <w:ind w:left="1134" w:hanging="1134"/>
      </w:pPr>
      <w:rPr>
        <w:rFonts w:hint="default" w:ascii="宋体" w:hAnsi="宋体" w:eastAsia="宋体" w:cs="宋体"/>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6">
    <w:nsid w:val="535C81C3"/>
    <w:multiLevelType w:val="multilevel"/>
    <w:tmpl w:val="535C81C3"/>
    <w:lvl w:ilvl="0" w:tentative="0">
      <w:start w:val="1"/>
      <w:numFmt w:val="decimal"/>
      <w:isLgl/>
      <w:lvlText w:val="15.%1"/>
      <w:lvlJc w:val="left"/>
      <w:pPr>
        <w:tabs>
          <w:tab w:val="left" w:pos="1134"/>
        </w:tabs>
        <w:ind w:left="1134" w:hanging="1134"/>
      </w:pPr>
      <w:rPr>
        <w:rFonts w:hint="default" w:ascii="宋体" w:hAnsi="宋体" w:eastAsia="宋体" w:cs="宋体"/>
      </w:rPr>
    </w:lvl>
    <w:lvl w:ilvl="1" w:tentative="0">
      <w:start w:val="0"/>
      <w:numFmt w:val="none"/>
      <w:lvlText w:val=""/>
      <w:lvlJc w:val="left"/>
      <w:pPr>
        <w:tabs>
          <w:tab w:val="left" w:pos="360"/>
        </w:tabs>
      </w:p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27">
    <w:nsid w:val="535C8386"/>
    <w:multiLevelType w:val="multilevel"/>
    <w:tmpl w:val="535C8386"/>
    <w:lvl w:ilvl="0" w:tentative="0">
      <w:start w:val="18"/>
      <w:numFmt w:val="decimal"/>
      <w:lvlText w:val="%1"/>
      <w:lvlJc w:val="left"/>
      <w:pPr>
        <w:tabs>
          <w:tab w:val="left" w:pos="420"/>
        </w:tabs>
        <w:ind w:left="420" w:hanging="420"/>
      </w:pPr>
      <w:rPr>
        <w:rFonts w:hint="default"/>
      </w:rPr>
    </w:lvl>
    <w:lvl w:ilvl="1" w:tentative="0">
      <w:start w:val="1"/>
      <w:numFmt w:val="decimal"/>
      <w:lvlText w:val="16.%2"/>
      <w:lvlJc w:val="left"/>
      <w:pPr>
        <w:tabs>
          <w:tab w:val="left" w:pos="1134"/>
        </w:tabs>
        <w:ind w:left="1134" w:hanging="1134"/>
      </w:pPr>
      <w:rPr>
        <w:rFonts w:hint="default" w:ascii="宋体" w:hAnsi="宋体" w:eastAsia="宋体" w:cs="宋体"/>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8">
    <w:nsid w:val="535C83C6"/>
    <w:multiLevelType w:val="multilevel"/>
    <w:tmpl w:val="535C83C6"/>
    <w:lvl w:ilvl="0" w:tentative="0">
      <w:start w:val="19"/>
      <w:numFmt w:val="decimal"/>
      <w:lvlText w:val="%1"/>
      <w:lvlJc w:val="left"/>
      <w:pPr>
        <w:tabs>
          <w:tab w:val="left" w:pos="420"/>
        </w:tabs>
        <w:ind w:left="420" w:hanging="420"/>
      </w:pPr>
      <w:rPr>
        <w:rFonts w:hint="default"/>
      </w:rPr>
    </w:lvl>
    <w:lvl w:ilvl="1" w:tentative="0">
      <w:start w:val="1"/>
      <w:numFmt w:val="decimal"/>
      <w:lvlText w:val="17.%2"/>
      <w:lvlJc w:val="left"/>
      <w:pPr>
        <w:tabs>
          <w:tab w:val="left" w:pos="1134"/>
        </w:tabs>
        <w:ind w:left="1134" w:hanging="1134"/>
      </w:pPr>
      <w:rPr>
        <w:rFonts w:hint="default" w:ascii="宋体" w:hAnsi="宋体" w:eastAsia="宋体" w:cs="宋体"/>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9">
    <w:nsid w:val="535C84A4"/>
    <w:multiLevelType w:val="multilevel"/>
    <w:tmpl w:val="535C84A4"/>
    <w:lvl w:ilvl="0" w:tentative="0">
      <w:start w:val="1"/>
      <w:numFmt w:val="decimal"/>
      <w:isLgl/>
      <w:lvlText w:val="18.%1"/>
      <w:lvlJc w:val="left"/>
      <w:pPr>
        <w:tabs>
          <w:tab w:val="left" w:pos="1134"/>
        </w:tabs>
        <w:ind w:left="1134" w:hanging="1134"/>
      </w:pPr>
      <w:rPr>
        <w:rFonts w:hint="default" w:ascii="宋体" w:hAnsi="宋体" w:eastAsia="宋体" w:cs="宋体"/>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0">
    <w:nsid w:val="535C854C"/>
    <w:multiLevelType w:val="multilevel"/>
    <w:tmpl w:val="535C854C"/>
    <w:lvl w:ilvl="0" w:tentative="0">
      <w:start w:val="1"/>
      <w:numFmt w:val="decimal"/>
      <w:isLgl/>
      <w:lvlText w:val="19.%1"/>
      <w:lvlJc w:val="left"/>
      <w:pPr>
        <w:tabs>
          <w:tab w:val="left" w:pos="1134"/>
        </w:tabs>
        <w:ind w:left="1134" w:hanging="1134"/>
      </w:pPr>
      <w:rPr>
        <w:rFonts w:hint="default" w:ascii="宋体" w:hAnsi="宋体" w:eastAsia="宋体" w:cs="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35C8611"/>
    <w:multiLevelType w:val="multilevel"/>
    <w:tmpl w:val="535C8611"/>
    <w:lvl w:ilvl="0" w:tentative="0">
      <w:start w:val="1"/>
      <w:numFmt w:val="decimal"/>
      <w:isLgl/>
      <w:lvlText w:val="20.%1"/>
      <w:lvlJc w:val="left"/>
      <w:pPr>
        <w:tabs>
          <w:tab w:val="left" w:pos="1134"/>
        </w:tabs>
        <w:ind w:left="1134" w:hanging="1134"/>
      </w:pPr>
      <w:rPr>
        <w:rFonts w:hint="default" w:ascii="宋体" w:hAnsi="宋体" w:eastAsia="宋体" w:cs="宋体"/>
      </w:rPr>
    </w:lvl>
    <w:lvl w:ilvl="1" w:tentative="0">
      <w:start w:val="1"/>
      <w:numFmt w:val="lowerLetter"/>
      <w:lvlText w:val="%2)"/>
      <w:lvlJc w:val="left"/>
      <w:pPr>
        <w:tabs>
          <w:tab w:val="left" w:pos="840"/>
        </w:tabs>
        <w:ind w:left="840" w:hanging="420"/>
      </w:pPr>
      <w:rPr>
        <w:rFonts w:hint="default" w:ascii="宋体" w:hAnsi="宋体" w:eastAsia="宋体" w:cs="宋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535C86B2"/>
    <w:multiLevelType w:val="multilevel"/>
    <w:tmpl w:val="535C86B2"/>
    <w:lvl w:ilvl="0" w:tentative="0">
      <w:start w:val="23"/>
      <w:numFmt w:val="decimal"/>
      <w:lvlText w:val="%1"/>
      <w:lvlJc w:val="left"/>
      <w:pPr>
        <w:tabs>
          <w:tab w:val="left" w:pos="420"/>
        </w:tabs>
        <w:ind w:left="420" w:hanging="420"/>
      </w:pPr>
      <w:rPr>
        <w:rFonts w:hint="default" w:ascii="宋体" w:hAnsi="宋体" w:eastAsia="宋体" w:cs="宋体"/>
      </w:rPr>
    </w:lvl>
    <w:lvl w:ilvl="1" w:tentative="0">
      <w:start w:val="1"/>
      <w:numFmt w:val="decimal"/>
      <w:lvlText w:val="21.%2"/>
      <w:lvlJc w:val="left"/>
      <w:pPr>
        <w:tabs>
          <w:tab w:val="left" w:pos="1134"/>
        </w:tabs>
        <w:ind w:left="1134" w:hanging="1134"/>
      </w:pPr>
      <w:rPr>
        <w:rFonts w:hint="default" w:ascii="宋体" w:hAnsi="宋体" w:eastAsia="宋体" w:cs="宋体"/>
      </w:rPr>
    </w:lvl>
    <w:lvl w:ilvl="2" w:tentative="0">
      <w:start w:val="1"/>
      <w:numFmt w:val="decimal"/>
      <w:lvlText w:val="%1.%2.%3"/>
      <w:lvlJc w:val="left"/>
      <w:pPr>
        <w:tabs>
          <w:tab w:val="left" w:pos="1134"/>
        </w:tabs>
        <w:ind w:left="1134" w:hanging="1134"/>
      </w:pPr>
      <w:rPr>
        <w:rFonts w:hint="default"/>
      </w:rPr>
    </w:lvl>
    <w:lvl w:ilvl="3" w:tentative="0">
      <w:start w:val="1"/>
      <w:numFmt w:val="decimal"/>
      <w:lvlText w:val="%1.%2.%3.%4"/>
      <w:lvlJc w:val="left"/>
      <w:pPr>
        <w:tabs>
          <w:tab w:val="left" w:pos="1134"/>
        </w:tabs>
        <w:ind w:left="1134" w:hanging="1134"/>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3">
    <w:nsid w:val="535C87F5"/>
    <w:multiLevelType w:val="multilevel"/>
    <w:tmpl w:val="535C87F5"/>
    <w:lvl w:ilvl="0" w:tentative="0">
      <w:start w:val="25"/>
      <w:numFmt w:val="decimal"/>
      <w:lvlText w:val="%1"/>
      <w:lvlJc w:val="left"/>
      <w:pPr>
        <w:tabs>
          <w:tab w:val="left" w:pos="420"/>
        </w:tabs>
        <w:ind w:left="420" w:hanging="420"/>
      </w:pPr>
      <w:rPr>
        <w:rFonts w:hint="default" w:ascii="宋体" w:hAnsi="宋体" w:eastAsia="宋体"/>
      </w:rPr>
    </w:lvl>
    <w:lvl w:ilvl="1" w:tentative="0">
      <w:start w:val="1"/>
      <w:numFmt w:val="decimal"/>
      <w:lvlText w:val="23.%2"/>
      <w:lvlJc w:val="left"/>
      <w:pPr>
        <w:tabs>
          <w:tab w:val="left" w:pos="1134"/>
        </w:tabs>
        <w:ind w:left="1134" w:hanging="1134"/>
      </w:pPr>
      <w:rPr>
        <w:rFonts w:hint="default" w:ascii="宋体" w:hAnsi="宋体" w:eastAsia="宋体" w:cs="宋体"/>
      </w:rPr>
    </w:lvl>
    <w:lvl w:ilvl="2" w:tentative="0">
      <w:start w:val="1"/>
      <w:numFmt w:val="decimal"/>
      <w:lvlText w:val="%1.%2.%3"/>
      <w:lvlJc w:val="left"/>
      <w:pPr>
        <w:tabs>
          <w:tab w:val="left" w:pos="720"/>
        </w:tabs>
        <w:ind w:left="720" w:hanging="720"/>
      </w:pPr>
      <w:rPr>
        <w:rFonts w:hint="default" w:ascii="宋体" w:hAnsi="宋体" w:eastAsia="宋体"/>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34">
    <w:nsid w:val="535C889A"/>
    <w:multiLevelType w:val="multilevel"/>
    <w:tmpl w:val="535C889A"/>
    <w:lvl w:ilvl="0" w:tentative="0">
      <w:start w:val="24"/>
      <w:numFmt w:val="decimal"/>
      <w:lvlText w:val="%1."/>
      <w:lvlJc w:val="left"/>
      <w:pPr>
        <w:tabs>
          <w:tab w:val="left" w:pos="1134"/>
        </w:tabs>
        <w:ind w:left="1134" w:hanging="1134"/>
      </w:pPr>
      <w:rPr>
        <w:rFonts w:hint="default" w:ascii="宋体" w:hAnsi="宋体" w:eastAsia="宋体" w:cs="宋体"/>
      </w:rPr>
    </w:lvl>
    <w:lvl w:ilvl="1" w:tentative="0">
      <w:start w:val="1"/>
      <w:numFmt w:val="lowerLetter"/>
      <w:lvlText w:val="%2)"/>
      <w:lvlJc w:val="left"/>
      <w:pPr>
        <w:tabs>
          <w:tab w:val="left" w:pos="840"/>
        </w:tabs>
        <w:ind w:left="840" w:hanging="420"/>
      </w:pPr>
      <w:rPr>
        <w:rFonts w:hint="default" w:ascii="宋体" w:hAnsi="宋体" w:eastAsia="宋体" w:cs="宋体"/>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535C88DC"/>
    <w:multiLevelType w:val="multilevel"/>
    <w:tmpl w:val="535C88DC"/>
    <w:lvl w:ilvl="0" w:tentative="0">
      <w:start w:val="25"/>
      <w:numFmt w:val="decimal"/>
      <w:lvlText w:val="%1"/>
      <w:lvlJc w:val="left"/>
      <w:pPr>
        <w:tabs>
          <w:tab w:val="left" w:pos="420"/>
        </w:tabs>
        <w:ind w:left="420" w:hanging="420"/>
      </w:pPr>
      <w:rPr>
        <w:rFonts w:hint="default" w:ascii="宋体" w:hAnsi="宋体" w:eastAsia="宋体" w:cs="Times New Roman"/>
      </w:rPr>
    </w:lvl>
    <w:lvl w:ilvl="1" w:tentative="0">
      <w:start w:val="1"/>
      <w:numFmt w:val="decimal"/>
      <w:lvlText w:val="24.%2"/>
      <w:lvlJc w:val="left"/>
      <w:pPr>
        <w:tabs>
          <w:tab w:val="left" w:pos="1134"/>
        </w:tabs>
        <w:ind w:left="1134" w:hanging="1134"/>
      </w:pPr>
      <w:rPr>
        <w:rFonts w:hint="default" w:ascii="宋体" w:hAnsi="宋体" w:eastAsia="宋体" w:cs="宋体"/>
      </w:rPr>
    </w:lvl>
    <w:lvl w:ilvl="2" w:tentative="0">
      <w:start w:val="1"/>
      <w:numFmt w:val="decimal"/>
      <w:lvlText w:val="%1.%2.%3"/>
      <w:lvlJc w:val="left"/>
      <w:pPr>
        <w:tabs>
          <w:tab w:val="left" w:pos="720"/>
        </w:tabs>
        <w:ind w:left="720" w:hanging="720"/>
      </w:pPr>
      <w:rPr>
        <w:rFonts w:hint="default" w:ascii="宋体" w:hAnsi="宋体" w:eastAsia="宋体"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36">
    <w:nsid w:val="535C890A"/>
    <w:multiLevelType w:val="multilevel"/>
    <w:tmpl w:val="535C890A"/>
    <w:lvl w:ilvl="0" w:tentative="0">
      <w:start w:val="25"/>
      <w:numFmt w:val="decimal"/>
      <w:lvlText w:val="%1"/>
      <w:lvlJc w:val="left"/>
      <w:pPr>
        <w:tabs>
          <w:tab w:val="left" w:pos="420"/>
        </w:tabs>
        <w:ind w:left="420" w:hanging="420"/>
      </w:pPr>
      <w:rPr>
        <w:rFonts w:hint="default" w:ascii="宋体" w:hAnsi="宋体" w:eastAsia="宋体" w:cs="Times New Roman"/>
      </w:rPr>
    </w:lvl>
    <w:lvl w:ilvl="1" w:tentative="0">
      <w:start w:val="1"/>
      <w:numFmt w:val="decimal"/>
      <w:lvlText w:val="26.%2"/>
      <w:lvlJc w:val="left"/>
      <w:pPr>
        <w:tabs>
          <w:tab w:val="left" w:pos="1134"/>
        </w:tabs>
        <w:ind w:left="1134" w:hanging="1134"/>
      </w:pPr>
      <w:rPr>
        <w:rFonts w:hint="default" w:ascii="宋体" w:hAnsi="宋体" w:eastAsia="宋体" w:cs="宋体"/>
      </w:rPr>
    </w:lvl>
    <w:lvl w:ilvl="2" w:tentative="0">
      <w:start w:val="1"/>
      <w:numFmt w:val="decimal"/>
      <w:lvlText w:val="%1.%2.%3"/>
      <w:lvlJc w:val="left"/>
      <w:pPr>
        <w:tabs>
          <w:tab w:val="left" w:pos="720"/>
        </w:tabs>
        <w:ind w:left="720" w:hanging="720"/>
      </w:pPr>
      <w:rPr>
        <w:rFonts w:hint="default" w:ascii="宋体" w:hAnsi="宋体" w:eastAsia="宋体"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37">
    <w:nsid w:val="535C91D0"/>
    <w:multiLevelType w:val="multilevel"/>
    <w:tmpl w:val="535C91D0"/>
    <w:lvl w:ilvl="0" w:tentative="0">
      <w:start w:val="25"/>
      <w:numFmt w:val="decimal"/>
      <w:lvlText w:val="%1"/>
      <w:lvlJc w:val="left"/>
      <w:pPr>
        <w:tabs>
          <w:tab w:val="left" w:pos="420"/>
        </w:tabs>
        <w:ind w:left="420" w:hanging="420"/>
      </w:pPr>
      <w:rPr>
        <w:rFonts w:hint="default" w:ascii="宋体" w:hAnsi="宋体" w:eastAsia="宋体" w:cs="Times New Roman"/>
      </w:rPr>
    </w:lvl>
    <w:lvl w:ilvl="1" w:tentative="0">
      <w:start w:val="1"/>
      <w:numFmt w:val="decimal"/>
      <w:lvlText w:val="27.%2"/>
      <w:lvlJc w:val="left"/>
      <w:pPr>
        <w:tabs>
          <w:tab w:val="left" w:pos="1134"/>
        </w:tabs>
        <w:ind w:left="1134" w:hanging="1134"/>
      </w:pPr>
      <w:rPr>
        <w:rFonts w:hint="default" w:ascii="宋体" w:hAnsi="宋体" w:eastAsia="宋体" w:cs="宋体"/>
      </w:rPr>
    </w:lvl>
    <w:lvl w:ilvl="2" w:tentative="0">
      <w:start w:val="1"/>
      <w:numFmt w:val="decimal"/>
      <w:lvlText w:val="%1.%2.%3"/>
      <w:lvlJc w:val="left"/>
      <w:pPr>
        <w:tabs>
          <w:tab w:val="left" w:pos="720"/>
        </w:tabs>
        <w:ind w:left="720" w:hanging="720"/>
      </w:pPr>
      <w:rPr>
        <w:rFonts w:hint="default" w:ascii="宋体" w:hAnsi="宋体" w:eastAsia="宋体"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38">
    <w:nsid w:val="535C9258"/>
    <w:multiLevelType w:val="multilevel"/>
    <w:tmpl w:val="535C9258"/>
    <w:lvl w:ilvl="0" w:tentative="0">
      <w:start w:val="25"/>
      <w:numFmt w:val="decimal"/>
      <w:lvlText w:val="%1"/>
      <w:lvlJc w:val="left"/>
      <w:pPr>
        <w:tabs>
          <w:tab w:val="left" w:pos="420"/>
        </w:tabs>
        <w:ind w:left="420" w:hanging="420"/>
      </w:pPr>
      <w:rPr>
        <w:rFonts w:hint="default" w:ascii="宋体" w:hAnsi="宋体" w:eastAsia="宋体" w:cs="Times New Roman"/>
      </w:rPr>
    </w:lvl>
    <w:lvl w:ilvl="1" w:tentative="0">
      <w:start w:val="1"/>
      <w:numFmt w:val="decimal"/>
      <w:lvlText w:val="28.%2"/>
      <w:lvlJc w:val="left"/>
      <w:pPr>
        <w:tabs>
          <w:tab w:val="left" w:pos="1134"/>
        </w:tabs>
        <w:ind w:left="1134" w:hanging="1134"/>
      </w:pPr>
      <w:rPr>
        <w:rFonts w:hint="default" w:ascii="宋体" w:hAnsi="宋体" w:eastAsia="宋体" w:cs="宋体"/>
      </w:rPr>
    </w:lvl>
    <w:lvl w:ilvl="2" w:tentative="0">
      <w:start w:val="1"/>
      <w:numFmt w:val="decimal"/>
      <w:lvlText w:val="%1.%2.%3"/>
      <w:lvlJc w:val="left"/>
      <w:pPr>
        <w:tabs>
          <w:tab w:val="left" w:pos="720"/>
        </w:tabs>
        <w:ind w:left="720" w:hanging="720"/>
      </w:pPr>
      <w:rPr>
        <w:rFonts w:hint="default" w:ascii="宋体" w:hAnsi="宋体" w:eastAsia="宋体"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39">
    <w:nsid w:val="535C92F2"/>
    <w:multiLevelType w:val="singleLevel"/>
    <w:tmpl w:val="535C92F2"/>
    <w:lvl w:ilvl="0" w:tentative="0">
      <w:start w:val="29"/>
      <w:numFmt w:val="decimal"/>
      <w:lvlText w:val="%1."/>
      <w:lvlJc w:val="left"/>
      <w:pPr>
        <w:tabs>
          <w:tab w:val="left" w:pos="1134"/>
        </w:tabs>
        <w:ind w:left="1134" w:hanging="1134"/>
      </w:pPr>
      <w:rPr>
        <w:rFonts w:hint="default"/>
      </w:rPr>
    </w:lvl>
  </w:abstractNum>
  <w:abstractNum w:abstractNumId="40">
    <w:nsid w:val="535C9324"/>
    <w:multiLevelType w:val="multilevel"/>
    <w:tmpl w:val="535C9324"/>
    <w:lvl w:ilvl="0" w:tentative="0">
      <w:start w:val="25"/>
      <w:numFmt w:val="decimal"/>
      <w:lvlText w:val="%1"/>
      <w:lvlJc w:val="left"/>
      <w:pPr>
        <w:tabs>
          <w:tab w:val="left" w:pos="420"/>
        </w:tabs>
        <w:ind w:left="420" w:hanging="420"/>
      </w:pPr>
      <w:rPr>
        <w:rFonts w:hint="default" w:ascii="宋体" w:hAnsi="宋体" w:eastAsia="宋体"/>
      </w:rPr>
    </w:lvl>
    <w:lvl w:ilvl="1" w:tentative="0">
      <w:start w:val="1"/>
      <w:numFmt w:val="decimal"/>
      <w:lvlText w:val="29.%2"/>
      <w:lvlJc w:val="left"/>
      <w:pPr>
        <w:tabs>
          <w:tab w:val="left" w:pos="1134"/>
        </w:tabs>
        <w:ind w:left="1134" w:hanging="1134"/>
      </w:pPr>
      <w:rPr>
        <w:rFonts w:hint="default" w:ascii="宋体" w:hAnsi="宋体" w:eastAsia="宋体" w:cs="宋体"/>
      </w:rPr>
    </w:lvl>
    <w:lvl w:ilvl="2" w:tentative="0">
      <w:start w:val="1"/>
      <w:numFmt w:val="decimal"/>
      <w:lvlText w:val="%1.%2.%3"/>
      <w:lvlJc w:val="left"/>
      <w:pPr>
        <w:tabs>
          <w:tab w:val="left" w:pos="720"/>
        </w:tabs>
        <w:ind w:left="720" w:hanging="720"/>
      </w:pPr>
      <w:rPr>
        <w:rFonts w:hint="default" w:ascii="宋体" w:hAnsi="宋体" w:eastAsia="宋体"/>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1">
    <w:nsid w:val="535C95D0"/>
    <w:multiLevelType w:val="multilevel"/>
    <w:tmpl w:val="535C95D0"/>
    <w:lvl w:ilvl="0" w:tentative="0">
      <w:start w:val="30"/>
      <w:numFmt w:val="decimal"/>
      <w:lvlText w:val="%1."/>
      <w:lvlJc w:val="left"/>
      <w:pPr>
        <w:tabs>
          <w:tab w:val="left" w:pos="1134"/>
        </w:tabs>
        <w:ind w:left="1134" w:hanging="1134"/>
      </w:pPr>
      <w:rPr>
        <w:rFonts w:hint="default"/>
      </w:rPr>
    </w:lvl>
    <w:lvl w:ilvl="1" w:tentative="0">
      <w:start w:val="1"/>
      <w:numFmt w:val="decimal"/>
      <w:lvlText w:val="%1.%2."/>
      <w:lvlJc w:val="left"/>
      <w:pPr>
        <w:tabs>
          <w:tab w:val="left" w:pos="567"/>
        </w:tabs>
        <w:ind w:left="567" w:hanging="567"/>
      </w:pPr>
      <w:rPr>
        <w:rFonts w:hint="eastAsia"/>
      </w:rPr>
    </w:lvl>
    <w:lvl w:ilvl="2" w:tentative="0">
      <w:start w:val="0"/>
      <w:numFmt w:val="decimal"/>
      <w:lvlText w:val="%1.%2.%3."/>
      <w:lvlJc w:val="left"/>
      <w:pPr>
        <w:tabs>
          <w:tab w:val="left" w:pos="709"/>
        </w:tabs>
        <w:ind w:left="709" w:hanging="709"/>
      </w:pPr>
      <w:rPr>
        <w:rFonts w:hint="eastAsia"/>
      </w:rPr>
    </w:lvl>
    <w:lvl w:ilvl="3" w:tentative="0">
      <w:start w:val="0"/>
      <w:numFmt w:val="decimal"/>
      <w:lvlText w:val="%1.%2.%3.%4."/>
      <w:lvlJc w:val="left"/>
      <w:pPr>
        <w:tabs>
          <w:tab w:val="left" w:pos="851"/>
        </w:tabs>
        <w:ind w:left="851" w:hanging="851"/>
      </w:pPr>
      <w:rPr>
        <w:rFonts w:hint="eastAsia"/>
      </w:rPr>
    </w:lvl>
    <w:lvl w:ilvl="4" w:tentative="0">
      <w:start w:val="0"/>
      <w:numFmt w:val="decimal"/>
      <w:lvlText w:val="%1.%2.%3.%4.%5."/>
      <w:lvlJc w:val="left"/>
      <w:pPr>
        <w:tabs>
          <w:tab w:val="left" w:pos="992"/>
        </w:tabs>
        <w:ind w:left="992" w:hanging="992"/>
      </w:pPr>
      <w:rPr>
        <w:rFonts w:hint="eastAsia"/>
      </w:rPr>
    </w:lvl>
    <w:lvl w:ilvl="5" w:tentative="0">
      <w:start w:val="0"/>
      <w:numFmt w:val="decimal"/>
      <w:lvlText w:val="%1.%2.%3.%4.%5.%6."/>
      <w:lvlJc w:val="left"/>
      <w:pPr>
        <w:tabs>
          <w:tab w:val="left" w:pos="1134"/>
        </w:tabs>
        <w:ind w:left="1134" w:hanging="1134"/>
      </w:pPr>
      <w:rPr>
        <w:rFonts w:hint="eastAsia"/>
      </w:rPr>
    </w:lvl>
    <w:lvl w:ilvl="6" w:tentative="0">
      <w:start w:val="0"/>
      <w:numFmt w:val="decimal"/>
      <w:lvlText w:val="%1.%2.%3.%4.%5.%6.%7."/>
      <w:lvlJc w:val="left"/>
      <w:pPr>
        <w:tabs>
          <w:tab w:val="left" w:pos="1276"/>
        </w:tabs>
        <w:ind w:left="1276" w:hanging="1276"/>
      </w:pPr>
      <w:rPr>
        <w:rFonts w:hint="eastAsia"/>
      </w:rPr>
    </w:lvl>
    <w:lvl w:ilvl="7" w:tentative="0">
      <w:start w:val="0"/>
      <w:numFmt w:val="decimal"/>
      <w:lvlText w:val="%1.%2.%3.%4.%5.%6.%7.%8."/>
      <w:lvlJc w:val="left"/>
      <w:pPr>
        <w:tabs>
          <w:tab w:val="left" w:pos="1418"/>
        </w:tabs>
        <w:ind w:left="1418" w:hanging="1418"/>
      </w:pPr>
      <w:rPr>
        <w:rFonts w:hint="eastAsia"/>
      </w:rPr>
    </w:lvl>
    <w:lvl w:ilvl="8" w:tentative="0">
      <w:start w:val="0"/>
      <w:numFmt w:val="decimal"/>
      <w:lvlText w:val="%1.%2.%3.%4.%5.%6.%7.%8.%9."/>
      <w:lvlJc w:val="left"/>
      <w:pPr>
        <w:tabs>
          <w:tab w:val="left" w:pos="1559"/>
        </w:tabs>
        <w:ind w:left="1559" w:hanging="1559"/>
      </w:pPr>
      <w:rPr>
        <w:rFonts w:hint="eastAsia"/>
      </w:rPr>
    </w:lvl>
  </w:abstractNum>
  <w:abstractNum w:abstractNumId="42">
    <w:nsid w:val="535C987C"/>
    <w:multiLevelType w:val="multilevel"/>
    <w:tmpl w:val="535C987C"/>
    <w:lvl w:ilvl="0" w:tentative="0">
      <w:start w:val="25"/>
      <w:numFmt w:val="decimal"/>
      <w:lvlText w:val="%1"/>
      <w:lvlJc w:val="left"/>
      <w:pPr>
        <w:tabs>
          <w:tab w:val="left" w:pos="420"/>
        </w:tabs>
        <w:ind w:left="420" w:hanging="420"/>
      </w:pPr>
      <w:rPr>
        <w:rFonts w:hint="default" w:ascii="宋体" w:hAnsi="宋体" w:eastAsia="宋体"/>
      </w:rPr>
    </w:lvl>
    <w:lvl w:ilvl="1" w:tentative="0">
      <w:start w:val="1"/>
      <w:numFmt w:val="decimal"/>
      <w:lvlText w:val="30.%2"/>
      <w:lvlJc w:val="left"/>
      <w:pPr>
        <w:tabs>
          <w:tab w:val="left" w:pos="1134"/>
        </w:tabs>
        <w:ind w:left="1134" w:hanging="1134"/>
      </w:pPr>
      <w:rPr>
        <w:rFonts w:hint="default" w:ascii="宋体" w:hAnsi="宋体" w:eastAsia="宋体" w:cs="宋体"/>
      </w:rPr>
    </w:lvl>
    <w:lvl w:ilvl="2" w:tentative="0">
      <w:start w:val="1"/>
      <w:numFmt w:val="decimal"/>
      <w:lvlText w:val="%1.%2.%3"/>
      <w:lvlJc w:val="left"/>
      <w:pPr>
        <w:tabs>
          <w:tab w:val="left" w:pos="720"/>
        </w:tabs>
        <w:ind w:left="720" w:hanging="720"/>
      </w:pPr>
      <w:rPr>
        <w:rFonts w:hint="default" w:ascii="宋体" w:hAnsi="宋体" w:eastAsia="宋体"/>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3">
    <w:nsid w:val="535CA207"/>
    <w:multiLevelType w:val="singleLevel"/>
    <w:tmpl w:val="535CA207"/>
    <w:lvl w:ilvl="0" w:tentative="0">
      <w:start w:val="1"/>
      <w:numFmt w:val="decimal"/>
      <w:lvlText w:val="%1."/>
      <w:lvlJc w:val="left"/>
      <w:pPr>
        <w:tabs>
          <w:tab w:val="left" w:pos="425"/>
        </w:tabs>
        <w:ind w:left="425" w:hanging="425"/>
      </w:pPr>
      <w:rPr>
        <w:rFonts w:hint="default"/>
      </w:rPr>
    </w:lvl>
  </w:abstractNum>
  <w:abstractNum w:abstractNumId="44">
    <w:nsid w:val="535CA2E9"/>
    <w:multiLevelType w:val="singleLevel"/>
    <w:tmpl w:val="535CA2E9"/>
    <w:lvl w:ilvl="0" w:tentative="0">
      <w:start w:val="8"/>
      <w:numFmt w:val="decimal"/>
      <w:lvlText w:val="%1."/>
      <w:lvlJc w:val="left"/>
      <w:pPr>
        <w:tabs>
          <w:tab w:val="left" w:pos="425"/>
        </w:tabs>
        <w:ind w:left="425" w:hanging="425"/>
      </w:pPr>
      <w:rPr>
        <w:rFonts w:hint="default"/>
      </w:rPr>
    </w:lvl>
  </w:abstractNum>
  <w:abstractNum w:abstractNumId="45">
    <w:nsid w:val="55C3412A"/>
    <w:multiLevelType w:val="multilevel"/>
    <w:tmpl w:val="55C3412A"/>
    <w:lvl w:ilvl="0" w:tentative="0">
      <w:start w:val="26"/>
      <w:numFmt w:val="decimal"/>
      <w:lvlText w:val="%1"/>
      <w:lvlJc w:val="left"/>
      <w:pPr>
        <w:tabs>
          <w:tab w:val="left" w:pos="420"/>
        </w:tabs>
        <w:ind w:left="420" w:hanging="420"/>
      </w:pPr>
      <w:rPr>
        <w:rFonts w:hint="default" w:ascii="宋体" w:hAnsi="宋体" w:eastAsia="宋体"/>
      </w:rPr>
    </w:lvl>
    <w:lvl w:ilvl="1" w:tentative="0">
      <w:start w:val="1"/>
      <w:numFmt w:val="decimal"/>
      <w:lvlText w:val="33.%2"/>
      <w:lvlJc w:val="left"/>
      <w:pPr>
        <w:tabs>
          <w:tab w:val="left" w:pos="1134"/>
        </w:tabs>
        <w:ind w:left="1134" w:hanging="1134"/>
      </w:pPr>
      <w:rPr>
        <w:rFonts w:hint="default" w:ascii="宋体" w:hAnsi="宋体" w:eastAsia="宋体" w:cs="宋体"/>
      </w:rPr>
    </w:lvl>
    <w:lvl w:ilvl="2" w:tentative="0">
      <w:start w:val="1"/>
      <w:numFmt w:val="decimal"/>
      <w:lvlText w:val="%1.%2.%3"/>
      <w:lvlJc w:val="left"/>
      <w:pPr>
        <w:tabs>
          <w:tab w:val="left" w:pos="720"/>
        </w:tabs>
        <w:ind w:left="720" w:hanging="720"/>
      </w:pPr>
      <w:rPr>
        <w:rFonts w:hint="default" w:ascii="宋体" w:hAnsi="宋体" w:eastAsia="宋体"/>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440"/>
        </w:tabs>
        <w:ind w:left="1440" w:hanging="144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800"/>
        </w:tabs>
        <w:ind w:left="1800" w:hanging="180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46">
    <w:nsid w:val="55C3414F"/>
    <w:multiLevelType w:val="multilevel"/>
    <w:tmpl w:val="55C3414F"/>
    <w:lvl w:ilvl="0" w:tentative="0">
      <w:start w:val="25"/>
      <w:numFmt w:val="decimal"/>
      <w:lvlText w:val="%1."/>
      <w:lvlJc w:val="left"/>
      <w:pPr>
        <w:tabs>
          <w:tab w:val="left" w:pos="425"/>
        </w:tabs>
        <w:ind w:left="425" w:hanging="425"/>
      </w:pPr>
      <w:rPr>
        <w:rFonts w:hint="eastAsia"/>
      </w:rPr>
    </w:lvl>
    <w:lvl w:ilvl="1" w:tentative="0">
      <w:start w:val="1"/>
      <w:numFmt w:val="decimal"/>
      <w:lvlText w:val="34.%2."/>
      <w:lvlJc w:val="left"/>
      <w:pPr>
        <w:tabs>
          <w:tab w:val="left" w:pos="1134"/>
        </w:tabs>
        <w:ind w:left="1134" w:hanging="1134"/>
      </w:pPr>
      <w:rPr>
        <w:rFonts w:hint="default" w:ascii="宋体" w:hAnsi="宋体" w:eastAsia="宋体" w:cs="宋体"/>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7">
    <w:nsid w:val="55C34173"/>
    <w:multiLevelType w:val="multilevel"/>
    <w:tmpl w:val="55C34173"/>
    <w:lvl w:ilvl="0" w:tentative="0">
      <w:start w:val="25"/>
      <w:numFmt w:val="decimal"/>
      <w:lvlText w:val="%1."/>
      <w:lvlJc w:val="left"/>
      <w:pPr>
        <w:tabs>
          <w:tab w:val="left" w:pos="425"/>
        </w:tabs>
        <w:ind w:left="425" w:hanging="425"/>
      </w:pPr>
      <w:rPr>
        <w:rFonts w:hint="eastAsia"/>
      </w:rPr>
    </w:lvl>
    <w:lvl w:ilvl="1" w:tentative="0">
      <w:start w:val="1"/>
      <w:numFmt w:val="decimal"/>
      <w:lvlText w:val="35.%2."/>
      <w:lvlJc w:val="left"/>
      <w:pPr>
        <w:tabs>
          <w:tab w:val="left" w:pos="1134"/>
        </w:tabs>
        <w:ind w:left="1134" w:hanging="1134"/>
      </w:pPr>
      <w:rPr>
        <w:rFonts w:hint="default" w:ascii="宋体" w:hAnsi="宋体" w:eastAsia="宋体" w:cs="宋体"/>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8">
    <w:nsid w:val="55C341D1"/>
    <w:multiLevelType w:val="multilevel"/>
    <w:tmpl w:val="55C341D1"/>
    <w:lvl w:ilvl="0" w:tentative="0">
      <w:start w:val="2"/>
      <w:numFmt w:val="decimal"/>
      <w:lvlText w:val="%1"/>
      <w:lvlJc w:val="left"/>
      <w:pPr>
        <w:tabs>
          <w:tab w:val="left" w:pos="450"/>
        </w:tabs>
        <w:ind w:left="450" w:hanging="450"/>
      </w:pPr>
      <w:rPr>
        <w:rFonts w:hint="default"/>
      </w:rPr>
    </w:lvl>
    <w:lvl w:ilvl="1" w:tentative="0">
      <w:start w:val="1"/>
      <w:numFmt w:val="decimal"/>
      <w:lvlText w:val="36.%2"/>
      <w:lvlJc w:val="left"/>
      <w:pPr>
        <w:tabs>
          <w:tab w:val="left" w:pos="1134"/>
        </w:tabs>
        <w:ind w:left="1134" w:hanging="1134"/>
      </w:pPr>
      <w:rPr>
        <w:rFonts w:hint="default" w:ascii="宋体" w:hAnsi="宋体" w:eastAsia="宋体" w:cs="宋体"/>
        <w:strike w:val="0"/>
        <w:color w:val="auto"/>
        <w:sz w:val="21"/>
        <w:szCs w:val="21"/>
      </w:rPr>
    </w:lvl>
    <w:lvl w:ilvl="2" w:tentative="0">
      <w:start w:val="1"/>
      <w:numFmt w:val="decimal"/>
      <w:lvlText w:val="%1.%2.%3"/>
      <w:lvlJc w:val="left"/>
      <w:pPr>
        <w:tabs>
          <w:tab w:val="left" w:pos="1080"/>
        </w:tabs>
        <w:ind w:left="1080" w:hanging="1080"/>
      </w:pPr>
      <w:rPr>
        <w:rFonts w:hint="default"/>
      </w:rPr>
    </w:lvl>
    <w:lvl w:ilvl="3" w:tentative="0">
      <w:start w:val="1"/>
      <w:numFmt w:val="decimal"/>
      <w:lvlText w:val="%1.%2.%3.%4"/>
      <w:lvlJc w:val="left"/>
      <w:pPr>
        <w:tabs>
          <w:tab w:val="left" w:pos="1080"/>
        </w:tabs>
        <w:ind w:left="1080" w:hanging="1080"/>
      </w:pPr>
      <w:rPr>
        <w:rFonts w:hint="default"/>
      </w:rPr>
    </w:lvl>
    <w:lvl w:ilvl="4" w:tentative="0">
      <w:start w:val="1"/>
      <w:numFmt w:val="decimal"/>
      <w:lvlText w:val="%1.%2.%3.%4.%5"/>
      <w:lvlJc w:val="left"/>
      <w:pPr>
        <w:tabs>
          <w:tab w:val="left" w:pos="1440"/>
        </w:tabs>
        <w:ind w:left="1440" w:hanging="1440"/>
      </w:pPr>
      <w:rPr>
        <w:rFonts w:hint="default"/>
      </w:rPr>
    </w:lvl>
    <w:lvl w:ilvl="5" w:tentative="0">
      <w:start w:val="1"/>
      <w:numFmt w:val="decimal"/>
      <w:lvlText w:val="%1.%2.%3.%4.%5.%6"/>
      <w:lvlJc w:val="left"/>
      <w:pPr>
        <w:tabs>
          <w:tab w:val="left" w:pos="1800"/>
        </w:tabs>
        <w:ind w:left="1800" w:hanging="1800"/>
      </w:pPr>
      <w:rPr>
        <w:rFonts w:hint="default"/>
      </w:rPr>
    </w:lvl>
    <w:lvl w:ilvl="6" w:tentative="0">
      <w:start w:val="1"/>
      <w:numFmt w:val="decimal"/>
      <w:lvlText w:val="%1.%2.%3.%4.%5.%6.%7"/>
      <w:lvlJc w:val="left"/>
      <w:pPr>
        <w:tabs>
          <w:tab w:val="left" w:pos="2160"/>
        </w:tabs>
        <w:ind w:left="2160" w:hanging="2160"/>
      </w:pPr>
      <w:rPr>
        <w:rFonts w:hint="default"/>
      </w:rPr>
    </w:lvl>
    <w:lvl w:ilvl="7" w:tentative="0">
      <w:start w:val="1"/>
      <w:numFmt w:val="decimal"/>
      <w:lvlText w:val="%1.%2.%3.%4.%5.%6.%7.%8"/>
      <w:lvlJc w:val="left"/>
      <w:pPr>
        <w:tabs>
          <w:tab w:val="left" w:pos="2520"/>
        </w:tabs>
        <w:ind w:left="2520" w:hanging="2520"/>
      </w:pPr>
      <w:rPr>
        <w:rFonts w:hint="default"/>
      </w:rPr>
    </w:lvl>
    <w:lvl w:ilvl="8" w:tentative="0">
      <w:start w:val="1"/>
      <w:numFmt w:val="decimal"/>
      <w:lvlText w:val="%1.%2.%3.%4.%5.%6.%7.%8.%9"/>
      <w:lvlJc w:val="left"/>
      <w:pPr>
        <w:tabs>
          <w:tab w:val="left" w:pos="2880"/>
        </w:tabs>
        <w:ind w:left="2880" w:hanging="2880"/>
      </w:pPr>
      <w:rPr>
        <w:rFonts w:hint="default"/>
      </w:rPr>
    </w:lvl>
  </w:abstractNum>
  <w:abstractNum w:abstractNumId="49">
    <w:nsid w:val="55C341FE"/>
    <w:multiLevelType w:val="multilevel"/>
    <w:tmpl w:val="55C341FE"/>
    <w:lvl w:ilvl="0" w:tentative="0">
      <w:start w:val="1"/>
      <w:numFmt w:val="decimal"/>
      <w:lvlText w:val="37.%1"/>
      <w:lvlJc w:val="left"/>
      <w:pPr>
        <w:tabs>
          <w:tab w:val="left" w:pos="1134"/>
        </w:tabs>
        <w:ind w:left="1134" w:hanging="1134"/>
      </w:pPr>
      <w:rPr>
        <w:rFonts w:hint="default" w:ascii="宋体" w:hAnsi="宋体" w:eastAsia="宋体" w:cs="宋体"/>
        <w:b w:val="0"/>
        <w:i w:val="0"/>
        <w:sz w:val="21"/>
        <w:szCs w:val="21"/>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0">
    <w:nsid w:val="57063711"/>
    <w:multiLevelType w:val="multilevel"/>
    <w:tmpl w:val="57063711"/>
    <w:lvl w:ilvl="0" w:tentative="0">
      <w:start w:val="1"/>
      <w:numFmt w:val="decimal"/>
      <w:lvlText w:val="38.%1"/>
      <w:lvlJc w:val="left"/>
      <w:pPr>
        <w:tabs>
          <w:tab w:val="left" w:pos="1134"/>
        </w:tabs>
        <w:ind w:left="1134" w:hanging="1134"/>
      </w:pPr>
      <w:rPr>
        <w:rFonts w:hint="default" w:ascii="宋体" w:hAnsi="宋体" w:eastAsia="宋体" w:cs="宋体"/>
        <w:b w:val="0"/>
        <w:i w:val="0"/>
        <w:sz w:val="21"/>
        <w:szCs w:val="21"/>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51">
    <w:nsid w:val="57357E5C"/>
    <w:multiLevelType w:val="singleLevel"/>
    <w:tmpl w:val="57357E5C"/>
    <w:lvl w:ilvl="0" w:tentative="0">
      <w:start w:val="1"/>
      <w:numFmt w:val="decimal"/>
      <w:suff w:val="nothing"/>
      <w:lvlText w:val="%1、"/>
      <w:lvlJc w:val="left"/>
    </w:lvl>
  </w:abstractNum>
  <w:num w:numId="1">
    <w:abstractNumId w:val="12"/>
  </w:num>
  <w:num w:numId="2">
    <w:abstractNumId w:val="11"/>
  </w:num>
  <w:num w:numId="3">
    <w:abstractNumId w:val="21"/>
  </w:num>
  <w:num w:numId="4">
    <w:abstractNumId w:val="3"/>
  </w:num>
  <w:num w:numId="5">
    <w:abstractNumId w:val="8"/>
  </w:num>
  <w:num w:numId="6">
    <w:abstractNumId w:val="18"/>
  </w:num>
  <w:num w:numId="7">
    <w:abstractNumId w:val="9"/>
  </w:num>
  <w:num w:numId="8">
    <w:abstractNumId w:val="1"/>
  </w:num>
  <w:num w:numId="9">
    <w:abstractNumId w:val="7"/>
  </w:num>
  <w:num w:numId="10">
    <w:abstractNumId w:val="5"/>
  </w:num>
  <w:num w:numId="11">
    <w:abstractNumId w:val="2"/>
  </w:num>
  <w:num w:numId="12">
    <w:abstractNumId w:val="13"/>
  </w:num>
  <w:num w:numId="13">
    <w:abstractNumId w:val="19"/>
  </w:num>
  <w:num w:numId="14">
    <w:abstractNumId w:val="4"/>
  </w:num>
  <w:num w:numId="15">
    <w:abstractNumId w:val="16"/>
  </w:num>
  <w:num w:numId="16">
    <w:abstractNumId w:val="10"/>
  </w:num>
  <w:num w:numId="17">
    <w:abstractNumId w:val="6"/>
  </w:num>
  <w:num w:numId="18">
    <w:abstractNumId w:val="25"/>
  </w:num>
  <w:num w:numId="19">
    <w:abstractNumId w:val="26"/>
  </w:num>
  <w:num w:numId="20">
    <w:abstractNumId w:val="27"/>
  </w:num>
  <w:num w:numId="21">
    <w:abstractNumId w:val="28"/>
  </w:num>
  <w:num w:numId="22">
    <w:abstractNumId w:val="15"/>
  </w:num>
  <w:num w:numId="23">
    <w:abstractNumId w:val="29"/>
  </w:num>
  <w:num w:numId="24">
    <w:abstractNumId w:val="30"/>
  </w:num>
  <w:num w:numId="25">
    <w:abstractNumId w:val="31"/>
  </w:num>
  <w:num w:numId="26">
    <w:abstractNumId w:val="32"/>
  </w:num>
  <w:num w:numId="27">
    <w:abstractNumId w:val="14"/>
  </w:num>
  <w:num w:numId="28">
    <w:abstractNumId w:val="17"/>
  </w:num>
  <w:num w:numId="29">
    <w:abstractNumId w:val="33"/>
  </w:num>
  <w:num w:numId="30">
    <w:abstractNumId w:val="34"/>
  </w:num>
  <w:num w:numId="31">
    <w:abstractNumId w:val="35"/>
  </w:num>
  <w:num w:numId="32">
    <w:abstractNumId w:val="36"/>
  </w:num>
  <w:num w:numId="33">
    <w:abstractNumId w:val="37"/>
  </w:num>
  <w:num w:numId="34">
    <w:abstractNumId w:val="38"/>
  </w:num>
  <w:num w:numId="35">
    <w:abstractNumId w:val="39"/>
  </w:num>
  <w:num w:numId="36">
    <w:abstractNumId w:val="40"/>
  </w:num>
  <w:num w:numId="37">
    <w:abstractNumId w:val="41"/>
  </w:num>
  <w:num w:numId="38">
    <w:abstractNumId w:val="42"/>
  </w:num>
  <w:num w:numId="39">
    <w:abstractNumId w:val="45"/>
  </w:num>
  <w:num w:numId="40">
    <w:abstractNumId w:val="46"/>
  </w:num>
  <w:num w:numId="41">
    <w:abstractNumId w:val="47"/>
  </w:num>
  <w:num w:numId="42">
    <w:abstractNumId w:val="48"/>
  </w:num>
  <w:num w:numId="43">
    <w:abstractNumId w:val="49"/>
  </w:num>
  <w:num w:numId="44">
    <w:abstractNumId w:val="50"/>
  </w:num>
  <w:num w:numId="45">
    <w:abstractNumId w:val="43"/>
  </w:num>
  <w:num w:numId="46">
    <w:abstractNumId w:val="44"/>
  </w:num>
  <w:num w:numId="47">
    <w:abstractNumId w:val="0"/>
  </w:num>
  <w:num w:numId="48">
    <w:abstractNumId w:val="20"/>
  </w:num>
  <w:num w:numId="49">
    <w:abstractNumId w:val="24"/>
  </w:num>
  <w:num w:numId="50">
    <w:abstractNumId w:val="51"/>
  </w:num>
  <w:num w:numId="51">
    <w:abstractNumId w:val="22"/>
  </w:num>
  <w:num w:numId="5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5ZWFjYjgwZGFjZWVkZTA5NDJmZTcxN2Y1YTg5YTIifQ=="/>
  </w:docVars>
  <w:rsids>
    <w:rsidRoot w:val="00172A27"/>
    <w:rsid w:val="00004061"/>
    <w:rsid w:val="00005DD9"/>
    <w:rsid w:val="00010921"/>
    <w:rsid w:val="000123A2"/>
    <w:rsid w:val="00014B56"/>
    <w:rsid w:val="000159FC"/>
    <w:rsid w:val="00017E1F"/>
    <w:rsid w:val="00020679"/>
    <w:rsid w:val="00024428"/>
    <w:rsid w:val="00025862"/>
    <w:rsid w:val="00025A49"/>
    <w:rsid w:val="000272C9"/>
    <w:rsid w:val="00027801"/>
    <w:rsid w:val="00030510"/>
    <w:rsid w:val="00032ADE"/>
    <w:rsid w:val="000339C9"/>
    <w:rsid w:val="000354E5"/>
    <w:rsid w:val="00035DA9"/>
    <w:rsid w:val="0004095D"/>
    <w:rsid w:val="000467B2"/>
    <w:rsid w:val="00046821"/>
    <w:rsid w:val="000477FF"/>
    <w:rsid w:val="00050098"/>
    <w:rsid w:val="00050E1C"/>
    <w:rsid w:val="0005138C"/>
    <w:rsid w:val="00053389"/>
    <w:rsid w:val="00053D38"/>
    <w:rsid w:val="00057844"/>
    <w:rsid w:val="000611B2"/>
    <w:rsid w:val="00066F38"/>
    <w:rsid w:val="00070E9F"/>
    <w:rsid w:val="000742E8"/>
    <w:rsid w:val="000777DD"/>
    <w:rsid w:val="0008505C"/>
    <w:rsid w:val="00092BDE"/>
    <w:rsid w:val="0009307E"/>
    <w:rsid w:val="00093250"/>
    <w:rsid w:val="00095448"/>
    <w:rsid w:val="000970A7"/>
    <w:rsid w:val="000A1D16"/>
    <w:rsid w:val="000A231D"/>
    <w:rsid w:val="000A3D40"/>
    <w:rsid w:val="000A52CC"/>
    <w:rsid w:val="000C114C"/>
    <w:rsid w:val="000C11DB"/>
    <w:rsid w:val="000C1DA6"/>
    <w:rsid w:val="000C2790"/>
    <w:rsid w:val="000C3436"/>
    <w:rsid w:val="000C741C"/>
    <w:rsid w:val="000D6883"/>
    <w:rsid w:val="000E0C4C"/>
    <w:rsid w:val="000E1376"/>
    <w:rsid w:val="000E2BCE"/>
    <w:rsid w:val="000E3740"/>
    <w:rsid w:val="000E4DD2"/>
    <w:rsid w:val="000F1107"/>
    <w:rsid w:val="000F3789"/>
    <w:rsid w:val="00100F66"/>
    <w:rsid w:val="00103DCF"/>
    <w:rsid w:val="00117E52"/>
    <w:rsid w:val="00123292"/>
    <w:rsid w:val="00124E2A"/>
    <w:rsid w:val="001275AE"/>
    <w:rsid w:val="00130F3D"/>
    <w:rsid w:val="00130FD8"/>
    <w:rsid w:val="00135566"/>
    <w:rsid w:val="00136BBA"/>
    <w:rsid w:val="00137609"/>
    <w:rsid w:val="00140507"/>
    <w:rsid w:val="001461BB"/>
    <w:rsid w:val="00146E1A"/>
    <w:rsid w:val="00147A7B"/>
    <w:rsid w:val="00147B36"/>
    <w:rsid w:val="0015136E"/>
    <w:rsid w:val="001521F5"/>
    <w:rsid w:val="00154E56"/>
    <w:rsid w:val="00156BE5"/>
    <w:rsid w:val="0016021B"/>
    <w:rsid w:val="00163331"/>
    <w:rsid w:val="00164094"/>
    <w:rsid w:val="00164B14"/>
    <w:rsid w:val="001665D2"/>
    <w:rsid w:val="00166831"/>
    <w:rsid w:val="00172A27"/>
    <w:rsid w:val="0017466C"/>
    <w:rsid w:val="0017647D"/>
    <w:rsid w:val="00177A8A"/>
    <w:rsid w:val="00177C94"/>
    <w:rsid w:val="001814DD"/>
    <w:rsid w:val="001816A2"/>
    <w:rsid w:val="00183922"/>
    <w:rsid w:val="001851C3"/>
    <w:rsid w:val="00185346"/>
    <w:rsid w:val="001862F5"/>
    <w:rsid w:val="00192193"/>
    <w:rsid w:val="001934B8"/>
    <w:rsid w:val="00193500"/>
    <w:rsid w:val="001953C9"/>
    <w:rsid w:val="001A07BB"/>
    <w:rsid w:val="001A1E02"/>
    <w:rsid w:val="001B238E"/>
    <w:rsid w:val="001B50C1"/>
    <w:rsid w:val="001B52DC"/>
    <w:rsid w:val="001B6143"/>
    <w:rsid w:val="001B6A21"/>
    <w:rsid w:val="001B7909"/>
    <w:rsid w:val="001B7D10"/>
    <w:rsid w:val="001C37B0"/>
    <w:rsid w:val="001C4D7F"/>
    <w:rsid w:val="001C6C84"/>
    <w:rsid w:val="001D24B6"/>
    <w:rsid w:val="001D4D85"/>
    <w:rsid w:val="001D789C"/>
    <w:rsid w:val="001D7E56"/>
    <w:rsid w:val="001E08CE"/>
    <w:rsid w:val="001E22F2"/>
    <w:rsid w:val="001E4904"/>
    <w:rsid w:val="001E4BBC"/>
    <w:rsid w:val="001E672A"/>
    <w:rsid w:val="001F0473"/>
    <w:rsid w:val="001F0896"/>
    <w:rsid w:val="001F09A9"/>
    <w:rsid w:val="001F1BC0"/>
    <w:rsid w:val="001F476C"/>
    <w:rsid w:val="001F5FBE"/>
    <w:rsid w:val="001F7D11"/>
    <w:rsid w:val="00200B18"/>
    <w:rsid w:val="0020425F"/>
    <w:rsid w:val="00206F29"/>
    <w:rsid w:val="00216378"/>
    <w:rsid w:val="00220C7A"/>
    <w:rsid w:val="00221952"/>
    <w:rsid w:val="00222D6E"/>
    <w:rsid w:val="0022310E"/>
    <w:rsid w:val="00223DF5"/>
    <w:rsid w:val="0022699A"/>
    <w:rsid w:val="00230BF1"/>
    <w:rsid w:val="00230CA0"/>
    <w:rsid w:val="00232773"/>
    <w:rsid w:val="00233187"/>
    <w:rsid w:val="00233EFD"/>
    <w:rsid w:val="002364E8"/>
    <w:rsid w:val="0023663F"/>
    <w:rsid w:val="00236B34"/>
    <w:rsid w:val="00237271"/>
    <w:rsid w:val="002400B8"/>
    <w:rsid w:val="002407BF"/>
    <w:rsid w:val="00241FFA"/>
    <w:rsid w:val="00243ECA"/>
    <w:rsid w:val="0024518B"/>
    <w:rsid w:val="00251772"/>
    <w:rsid w:val="00251ECB"/>
    <w:rsid w:val="00252D40"/>
    <w:rsid w:val="002547CE"/>
    <w:rsid w:val="00257297"/>
    <w:rsid w:val="00261A29"/>
    <w:rsid w:val="00263AA2"/>
    <w:rsid w:val="002660AE"/>
    <w:rsid w:val="00266989"/>
    <w:rsid w:val="00270F42"/>
    <w:rsid w:val="002766C8"/>
    <w:rsid w:val="002777CF"/>
    <w:rsid w:val="00285D7C"/>
    <w:rsid w:val="00286A20"/>
    <w:rsid w:val="0029106F"/>
    <w:rsid w:val="002925EE"/>
    <w:rsid w:val="002A470B"/>
    <w:rsid w:val="002A6753"/>
    <w:rsid w:val="002A6F89"/>
    <w:rsid w:val="002B0DF7"/>
    <w:rsid w:val="002B2857"/>
    <w:rsid w:val="002B537D"/>
    <w:rsid w:val="002B571B"/>
    <w:rsid w:val="002B5BC1"/>
    <w:rsid w:val="002B7366"/>
    <w:rsid w:val="002C0872"/>
    <w:rsid w:val="002C108F"/>
    <w:rsid w:val="002C4D08"/>
    <w:rsid w:val="002C5537"/>
    <w:rsid w:val="002C755F"/>
    <w:rsid w:val="002C7C5A"/>
    <w:rsid w:val="002C7CB1"/>
    <w:rsid w:val="002D77B2"/>
    <w:rsid w:val="002E737C"/>
    <w:rsid w:val="002F184B"/>
    <w:rsid w:val="002F4E20"/>
    <w:rsid w:val="002F68EE"/>
    <w:rsid w:val="002F706C"/>
    <w:rsid w:val="00306EAC"/>
    <w:rsid w:val="00312BDA"/>
    <w:rsid w:val="00316BC4"/>
    <w:rsid w:val="003234B7"/>
    <w:rsid w:val="00323C88"/>
    <w:rsid w:val="00331BAE"/>
    <w:rsid w:val="00336D94"/>
    <w:rsid w:val="00342980"/>
    <w:rsid w:val="003434C4"/>
    <w:rsid w:val="003437DB"/>
    <w:rsid w:val="00350152"/>
    <w:rsid w:val="00351057"/>
    <w:rsid w:val="00352022"/>
    <w:rsid w:val="003538C3"/>
    <w:rsid w:val="00353CEF"/>
    <w:rsid w:val="003546F3"/>
    <w:rsid w:val="003551E6"/>
    <w:rsid w:val="003557C3"/>
    <w:rsid w:val="00355C86"/>
    <w:rsid w:val="003579D9"/>
    <w:rsid w:val="00357D41"/>
    <w:rsid w:val="00361328"/>
    <w:rsid w:val="00362554"/>
    <w:rsid w:val="00362F87"/>
    <w:rsid w:val="0036378D"/>
    <w:rsid w:val="00366698"/>
    <w:rsid w:val="003679C2"/>
    <w:rsid w:val="00367E1B"/>
    <w:rsid w:val="003704CF"/>
    <w:rsid w:val="00372ABB"/>
    <w:rsid w:val="00376A99"/>
    <w:rsid w:val="0038171F"/>
    <w:rsid w:val="00382CFE"/>
    <w:rsid w:val="00384366"/>
    <w:rsid w:val="0038528E"/>
    <w:rsid w:val="0038697B"/>
    <w:rsid w:val="00386981"/>
    <w:rsid w:val="00390402"/>
    <w:rsid w:val="003940FF"/>
    <w:rsid w:val="003953AA"/>
    <w:rsid w:val="00397D33"/>
    <w:rsid w:val="003A3EBB"/>
    <w:rsid w:val="003A631E"/>
    <w:rsid w:val="003B0B48"/>
    <w:rsid w:val="003B2EED"/>
    <w:rsid w:val="003B3EDD"/>
    <w:rsid w:val="003B7CB1"/>
    <w:rsid w:val="003C25F2"/>
    <w:rsid w:val="003C2D98"/>
    <w:rsid w:val="003C66A5"/>
    <w:rsid w:val="003D168D"/>
    <w:rsid w:val="003D411D"/>
    <w:rsid w:val="003D4433"/>
    <w:rsid w:val="003D4EE9"/>
    <w:rsid w:val="003D6FB9"/>
    <w:rsid w:val="003E1454"/>
    <w:rsid w:val="003E2C5D"/>
    <w:rsid w:val="003E576A"/>
    <w:rsid w:val="003E68A9"/>
    <w:rsid w:val="003F3690"/>
    <w:rsid w:val="003F4932"/>
    <w:rsid w:val="003F743D"/>
    <w:rsid w:val="004004EC"/>
    <w:rsid w:val="00403CFB"/>
    <w:rsid w:val="004042E0"/>
    <w:rsid w:val="00404CA1"/>
    <w:rsid w:val="00414F99"/>
    <w:rsid w:val="00415ACA"/>
    <w:rsid w:val="00421358"/>
    <w:rsid w:val="00421F6C"/>
    <w:rsid w:val="00422892"/>
    <w:rsid w:val="0042384B"/>
    <w:rsid w:val="00425576"/>
    <w:rsid w:val="004339CC"/>
    <w:rsid w:val="0043543E"/>
    <w:rsid w:val="00435C26"/>
    <w:rsid w:val="0043616A"/>
    <w:rsid w:val="00441A63"/>
    <w:rsid w:val="004436EE"/>
    <w:rsid w:val="00443C1F"/>
    <w:rsid w:val="00445520"/>
    <w:rsid w:val="00447F4A"/>
    <w:rsid w:val="004505C9"/>
    <w:rsid w:val="004555EC"/>
    <w:rsid w:val="00456C6C"/>
    <w:rsid w:val="004577FC"/>
    <w:rsid w:val="004608EE"/>
    <w:rsid w:val="00463872"/>
    <w:rsid w:val="00466781"/>
    <w:rsid w:val="00466B5E"/>
    <w:rsid w:val="004673D3"/>
    <w:rsid w:val="0047057F"/>
    <w:rsid w:val="00472B6E"/>
    <w:rsid w:val="00474AAB"/>
    <w:rsid w:val="00477C84"/>
    <w:rsid w:val="00477CFE"/>
    <w:rsid w:val="004814F8"/>
    <w:rsid w:val="00481695"/>
    <w:rsid w:val="0048295B"/>
    <w:rsid w:val="00482DD4"/>
    <w:rsid w:val="004875D8"/>
    <w:rsid w:val="00491C26"/>
    <w:rsid w:val="00496546"/>
    <w:rsid w:val="004A063E"/>
    <w:rsid w:val="004A0C50"/>
    <w:rsid w:val="004A1A1D"/>
    <w:rsid w:val="004A23BB"/>
    <w:rsid w:val="004A26E0"/>
    <w:rsid w:val="004B376A"/>
    <w:rsid w:val="004B482C"/>
    <w:rsid w:val="004B7597"/>
    <w:rsid w:val="004C3A5E"/>
    <w:rsid w:val="004C73C3"/>
    <w:rsid w:val="004D014B"/>
    <w:rsid w:val="004D060C"/>
    <w:rsid w:val="004D4506"/>
    <w:rsid w:val="004E0BD8"/>
    <w:rsid w:val="004E27E7"/>
    <w:rsid w:val="004E36A2"/>
    <w:rsid w:val="004E60DD"/>
    <w:rsid w:val="004E6750"/>
    <w:rsid w:val="004F297D"/>
    <w:rsid w:val="004F3C14"/>
    <w:rsid w:val="004F687A"/>
    <w:rsid w:val="004F6963"/>
    <w:rsid w:val="00501778"/>
    <w:rsid w:val="00501898"/>
    <w:rsid w:val="0050238A"/>
    <w:rsid w:val="005119A6"/>
    <w:rsid w:val="00511EDE"/>
    <w:rsid w:val="00514621"/>
    <w:rsid w:val="00515A39"/>
    <w:rsid w:val="005235AE"/>
    <w:rsid w:val="005254CA"/>
    <w:rsid w:val="005263D6"/>
    <w:rsid w:val="00527724"/>
    <w:rsid w:val="00530455"/>
    <w:rsid w:val="00530E0F"/>
    <w:rsid w:val="00531E8B"/>
    <w:rsid w:val="00533C9E"/>
    <w:rsid w:val="0053755C"/>
    <w:rsid w:val="00543FEC"/>
    <w:rsid w:val="005521BF"/>
    <w:rsid w:val="00552CE3"/>
    <w:rsid w:val="00553942"/>
    <w:rsid w:val="00557049"/>
    <w:rsid w:val="0055766A"/>
    <w:rsid w:val="00560FD0"/>
    <w:rsid w:val="0057246B"/>
    <w:rsid w:val="005725F7"/>
    <w:rsid w:val="00574DCC"/>
    <w:rsid w:val="005819AF"/>
    <w:rsid w:val="00585E75"/>
    <w:rsid w:val="00586CA3"/>
    <w:rsid w:val="00590F88"/>
    <w:rsid w:val="00596DBE"/>
    <w:rsid w:val="00597924"/>
    <w:rsid w:val="005A0AAE"/>
    <w:rsid w:val="005A17EE"/>
    <w:rsid w:val="005A2340"/>
    <w:rsid w:val="005A4412"/>
    <w:rsid w:val="005B0983"/>
    <w:rsid w:val="005B39E9"/>
    <w:rsid w:val="005B4E03"/>
    <w:rsid w:val="005B4EAB"/>
    <w:rsid w:val="005B5CAA"/>
    <w:rsid w:val="005D0B51"/>
    <w:rsid w:val="005D0D0B"/>
    <w:rsid w:val="005D133A"/>
    <w:rsid w:val="005D32D5"/>
    <w:rsid w:val="005D33FD"/>
    <w:rsid w:val="005D55EB"/>
    <w:rsid w:val="005D7BEC"/>
    <w:rsid w:val="005E12C0"/>
    <w:rsid w:val="005E55E4"/>
    <w:rsid w:val="005E6804"/>
    <w:rsid w:val="005F26E7"/>
    <w:rsid w:val="005F7C5D"/>
    <w:rsid w:val="00605D89"/>
    <w:rsid w:val="00607390"/>
    <w:rsid w:val="00612063"/>
    <w:rsid w:val="006146E4"/>
    <w:rsid w:val="006148DF"/>
    <w:rsid w:val="006154CB"/>
    <w:rsid w:val="006164C6"/>
    <w:rsid w:val="006169F9"/>
    <w:rsid w:val="00617804"/>
    <w:rsid w:val="0062311F"/>
    <w:rsid w:val="00625DFB"/>
    <w:rsid w:val="00625E7F"/>
    <w:rsid w:val="00627944"/>
    <w:rsid w:val="00632527"/>
    <w:rsid w:val="00637708"/>
    <w:rsid w:val="00640A9A"/>
    <w:rsid w:val="006443FA"/>
    <w:rsid w:val="006469B3"/>
    <w:rsid w:val="00647E3F"/>
    <w:rsid w:val="006509A2"/>
    <w:rsid w:val="006538DA"/>
    <w:rsid w:val="00654EAA"/>
    <w:rsid w:val="006553D2"/>
    <w:rsid w:val="006565C4"/>
    <w:rsid w:val="00656B94"/>
    <w:rsid w:val="00656C3C"/>
    <w:rsid w:val="0065702C"/>
    <w:rsid w:val="006613FD"/>
    <w:rsid w:val="006667C2"/>
    <w:rsid w:val="0066780A"/>
    <w:rsid w:val="006678E9"/>
    <w:rsid w:val="00670180"/>
    <w:rsid w:val="00672048"/>
    <w:rsid w:val="0067236B"/>
    <w:rsid w:val="0067266A"/>
    <w:rsid w:val="006734C1"/>
    <w:rsid w:val="00680CFC"/>
    <w:rsid w:val="00682CED"/>
    <w:rsid w:val="0068516E"/>
    <w:rsid w:val="00686FE9"/>
    <w:rsid w:val="00694775"/>
    <w:rsid w:val="00696EB8"/>
    <w:rsid w:val="0069771A"/>
    <w:rsid w:val="00697757"/>
    <w:rsid w:val="006A2308"/>
    <w:rsid w:val="006A46C4"/>
    <w:rsid w:val="006A7298"/>
    <w:rsid w:val="006B0FA5"/>
    <w:rsid w:val="006B225C"/>
    <w:rsid w:val="006B2861"/>
    <w:rsid w:val="006B3503"/>
    <w:rsid w:val="006B493B"/>
    <w:rsid w:val="006B4FDD"/>
    <w:rsid w:val="006C3515"/>
    <w:rsid w:val="006C6AC8"/>
    <w:rsid w:val="006D02FA"/>
    <w:rsid w:val="006D22C0"/>
    <w:rsid w:val="006D4EB1"/>
    <w:rsid w:val="006D5D60"/>
    <w:rsid w:val="006E0201"/>
    <w:rsid w:val="006E1FB2"/>
    <w:rsid w:val="006E2906"/>
    <w:rsid w:val="006E2B74"/>
    <w:rsid w:val="006E5E63"/>
    <w:rsid w:val="006F0609"/>
    <w:rsid w:val="006F6744"/>
    <w:rsid w:val="006F7CB1"/>
    <w:rsid w:val="007039FB"/>
    <w:rsid w:val="00707D8E"/>
    <w:rsid w:val="007109DB"/>
    <w:rsid w:val="00710D9E"/>
    <w:rsid w:val="007122D5"/>
    <w:rsid w:val="00714505"/>
    <w:rsid w:val="00714D60"/>
    <w:rsid w:val="00720835"/>
    <w:rsid w:val="00724CFC"/>
    <w:rsid w:val="00726E00"/>
    <w:rsid w:val="00731166"/>
    <w:rsid w:val="00732420"/>
    <w:rsid w:val="00734360"/>
    <w:rsid w:val="00735882"/>
    <w:rsid w:val="00736061"/>
    <w:rsid w:val="007434B2"/>
    <w:rsid w:val="00743530"/>
    <w:rsid w:val="007441A6"/>
    <w:rsid w:val="00746D46"/>
    <w:rsid w:val="007477DD"/>
    <w:rsid w:val="00750C20"/>
    <w:rsid w:val="00751C7C"/>
    <w:rsid w:val="007522A0"/>
    <w:rsid w:val="0075684A"/>
    <w:rsid w:val="00757B79"/>
    <w:rsid w:val="00765C9E"/>
    <w:rsid w:val="00766722"/>
    <w:rsid w:val="00766BAB"/>
    <w:rsid w:val="0076773B"/>
    <w:rsid w:val="0077027F"/>
    <w:rsid w:val="0077080A"/>
    <w:rsid w:val="007723EB"/>
    <w:rsid w:val="007727A2"/>
    <w:rsid w:val="0077370F"/>
    <w:rsid w:val="007752C6"/>
    <w:rsid w:val="00781C5B"/>
    <w:rsid w:val="00781EC9"/>
    <w:rsid w:val="00782157"/>
    <w:rsid w:val="00784E2A"/>
    <w:rsid w:val="007859EA"/>
    <w:rsid w:val="0079737A"/>
    <w:rsid w:val="0079779A"/>
    <w:rsid w:val="007A0D9C"/>
    <w:rsid w:val="007A149A"/>
    <w:rsid w:val="007A28EE"/>
    <w:rsid w:val="007A3619"/>
    <w:rsid w:val="007B0BD2"/>
    <w:rsid w:val="007B3704"/>
    <w:rsid w:val="007C0BF4"/>
    <w:rsid w:val="007C0DFA"/>
    <w:rsid w:val="007C2D76"/>
    <w:rsid w:val="007E3127"/>
    <w:rsid w:val="007E5108"/>
    <w:rsid w:val="007F1E8C"/>
    <w:rsid w:val="007F6D6B"/>
    <w:rsid w:val="007F7197"/>
    <w:rsid w:val="008004ED"/>
    <w:rsid w:val="00803A86"/>
    <w:rsid w:val="0080400F"/>
    <w:rsid w:val="00807CD1"/>
    <w:rsid w:val="00812220"/>
    <w:rsid w:val="008126CA"/>
    <w:rsid w:val="008146EA"/>
    <w:rsid w:val="00815BA6"/>
    <w:rsid w:val="00816E18"/>
    <w:rsid w:val="00816F12"/>
    <w:rsid w:val="0082226D"/>
    <w:rsid w:val="00822819"/>
    <w:rsid w:val="00823259"/>
    <w:rsid w:val="00823C03"/>
    <w:rsid w:val="00824912"/>
    <w:rsid w:val="00825301"/>
    <w:rsid w:val="008261B0"/>
    <w:rsid w:val="00826C0A"/>
    <w:rsid w:val="00827372"/>
    <w:rsid w:val="0083275F"/>
    <w:rsid w:val="00832CE8"/>
    <w:rsid w:val="00833152"/>
    <w:rsid w:val="0083642D"/>
    <w:rsid w:val="008424D7"/>
    <w:rsid w:val="00846B62"/>
    <w:rsid w:val="00850F5B"/>
    <w:rsid w:val="00853139"/>
    <w:rsid w:val="00855D98"/>
    <w:rsid w:val="0085763A"/>
    <w:rsid w:val="0086386C"/>
    <w:rsid w:val="00865203"/>
    <w:rsid w:val="00866DA4"/>
    <w:rsid w:val="008721C4"/>
    <w:rsid w:val="00872217"/>
    <w:rsid w:val="00872859"/>
    <w:rsid w:val="00873251"/>
    <w:rsid w:val="008742BC"/>
    <w:rsid w:val="0087466A"/>
    <w:rsid w:val="00876F80"/>
    <w:rsid w:val="00880ABD"/>
    <w:rsid w:val="008812C8"/>
    <w:rsid w:val="008830CD"/>
    <w:rsid w:val="00886195"/>
    <w:rsid w:val="0089035E"/>
    <w:rsid w:val="00891F4D"/>
    <w:rsid w:val="00892DAE"/>
    <w:rsid w:val="00895C43"/>
    <w:rsid w:val="008A0F5E"/>
    <w:rsid w:val="008A1AF2"/>
    <w:rsid w:val="008A5120"/>
    <w:rsid w:val="008B08B7"/>
    <w:rsid w:val="008B300D"/>
    <w:rsid w:val="008B3A9A"/>
    <w:rsid w:val="008B7E81"/>
    <w:rsid w:val="008C0AA3"/>
    <w:rsid w:val="008C1DB8"/>
    <w:rsid w:val="008C204D"/>
    <w:rsid w:val="008C25DC"/>
    <w:rsid w:val="008C3062"/>
    <w:rsid w:val="008C4E4B"/>
    <w:rsid w:val="008C54E2"/>
    <w:rsid w:val="008C554E"/>
    <w:rsid w:val="008C78BF"/>
    <w:rsid w:val="008D28AB"/>
    <w:rsid w:val="008D4ED5"/>
    <w:rsid w:val="008D59BF"/>
    <w:rsid w:val="008D5A4B"/>
    <w:rsid w:val="008D6532"/>
    <w:rsid w:val="008E03B0"/>
    <w:rsid w:val="008E0846"/>
    <w:rsid w:val="008E0B39"/>
    <w:rsid w:val="008E621B"/>
    <w:rsid w:val="008E748E"/>
    <w:rsid w:val="008F2905"/>
    <w:rsid w:val="0090051A"/>
    <w:rsid w:val="00901C03"/>
    <w:rsid w:val="00901CB3"/>
    <w:rsid w:val="00901DAC"/>
    <w:rsid w:val="00906455"/>
    <w:rsid w:val="0090781F"/>
    <w:rsid w:val="00911945"/>
    <w:rsid w:val="00911DBF"/>
    <w:rsid w:val="0091426D"/>
    <w:rsid w:val="00915CC8"/>
    <w:rsid w:val="00915DB1"/>
    <w:rsid w:val="00916286"/>
    <w:rsid w:val="009179D7"/>
    <w:rsid w:val="00917D99"/>
    <w:rsid w:val="00920083"/>
    <w:rsid w:val="00920DE2"/>
    <w:rsid w:val="00920E27"/>
    <w:rsid w:val="00922582"/>
    <w:rsid w:val="009237B2"/>
    <w:rsid w:val="0092728F"/>
    <w:rsid w:val="00931C20"/>
    <w:rsid w:val="00934F08"/>
    <w:rsid w:val="009368FE"/>
    <w:rsid w:val="0093702B"/>
    <w:rsid w:val="00941A25"/>
    <w:rsid w:val="00945F20"/>
    <w:rsid w:val="009470B6"/>
    <w:rsid w:val="009474F1"/>
    <w:rsid w:val="00950832"/>
    <w:rsid w:val="00951109"/>
    <w:rsid w:val="00952597"/>
    <w:rsid w:val="00953626"/>
    <w:rsid w:val="009555EC"/>
    <w:rsid w:val="009579C7"/>
    <w:rsid w:val="0096076D"/>
    <w:rsid w:val="00966CC1"/>
    <w:rsid w:val="00971241"/>
    <w:rsid w:val="00975B5A"/>
    <w:rsid w:val="00976381"/>
    <w:rsid w:val="009778EB"/>
    <w:rsid w:val="00980B3C"/>
    <w:rsid w:val="00981D4D"/>
    <w:rsid w:val="00982AEC"/>
    <w:rsid w:val="00982E83"/>
    <w:rsid w:val="009838D4"/>
    <w:rsid w:val="00993D7F"/>
    <w:rsid w:val="00996B84"/>
    <w:rsid w:val="0099733D"/>
    <w:rsid w:val="009976D4"/>
    <w:rsid w:val="009A0B5B"/>
    <w:rsid w:val="009A1424"/>
    <w:rsid w:val="009A25E6"/>
    <w:rsid w:val="009A38EB"/>
    <w:rsid w:val="009A3DDB"/>
    <w:rsid w:val="009A60C4"/>
    <w:rsid w:val="009B3551"/>
    <w:rsid w:val="009B697B"/>
    <w:rsid w:val="009C765F"/>
    <w:rsid w:val="009C7966"/>
    <w:rsid w:val="009C7AE9"/>
    <w:rsid w:val="009D0F8A"/>
    <w:rsid w:val="009D236A"/>
    <w:rsid w:val="009D29F4"/>
    <w:rsid w:val="009D34A9"/>
    <w:rsid w:val="009D4041"/>
    <w:rsid w:val="009D6F4E"/>
    <w:rsid w:val="009E0705"/>
    <w:rsid w:val="009E0DB3"/>
    <w:rsid w:val="009E296C"/>
    <w:rsid w:val="009E31D8"/>
    <w:rsid w:val="009E353C"/>
    <w:rsid w:val="009F0AD1"/>
    <w:rsid w:val="009F3661"/>
    <w:rsid w:val="009F4713"/>
    <w:rsid w:val="009F51E3"/>
    <w:rsid w:val="00A00A2A"/>
    <w:rsid w:val="00A02A6A"/>
    <w:rsid w:val="00A06435"/>
    <w:rsid w:val="00A073E0"/>
    <w:rsid w:val="00A10FD4"/>
    <w:rsid w:val="00A14F7E"/>
    <w:rsid w:val="00A173A3"/>
    <w:rsid w:val="00A17F92"/>
    <w:rsid w:val="00A204C4"/>
    <w:rsid w:val="00A20D6B"/>
    <w:rsid w:val="00A2104A"/>
    <w:rsid w:val="00A22AF6"/>
    <w:rsid w:val="00A25B6F"/>
    <w:rsid w:val="00A26FCF"/>
    <w:rsid w:val="00A27445"/>
    <w:rsid w:val="00A27872"/>
    <w:rsid w:val="00A3161E"/>
    <w:rsid w:val="00A34C00"/>
    <w:rsid w:val="00A35E12"/>
    <w:rsid w:val="00A40308"/>
    <w:rsid w:val="00A42667"/>
    <w:rsid w:val="00A47F51"/>
    <w:rsid w:val="00A50EF3"/>
    <w:rsid w:val="00A51B48"/>
    <w:rsid w:val="00A557FB"/>
    <w:rsid w:val="00A61A54"/>
    <w:rsid w:val="00A62887"/>
    <w:rsid w:val="00A631AA"/>
    <w:rsid w:val="00A65E26"/>
    <w:rsid w:val="00A74A4E"/>
    <w:rsid w:val="00A81633"/>
    <w:rsid w:val="00A84C10"/>
    <w:rsid w:val="00A87196"/>
    <w:rsid w:val="00A90401"/>
    <w:rsid w:val="00A90C59"/>
    <w:rsid w:val="00A9199E"/>
    <w:rsid w:val="00A91D61"/>
    <w:rsid w:val="00A92B2D"/>
    <w:rsid w:val="00A97B88"/>
    <w:rsid w:val="00A97BEA"/>
    <w:rsid w:val="00AA140C"/>
    <w:rsid w:val="00AA4831"/>
    <w:rsid w:val="00AA5657"/>
    <w:rsid w:val="00AA5F94"/>
    <w:rsid w:val="00AA6DA4"/>
    <w:rsid w:val="00AB17A5"/>
    <w:rsid w:val="00AB2129"/>
    <w:rsid w:val="00AB2CF8"/>
    <w:rsid w:val="00AB2CF9"/>
    <w:rsid w:val="00AB478B"/>
    <w:rsid w:val="00AB5DA0"/>
    <w:rsid w:val="00AB620C"/>
    <w:rsid w:val="00AC1B47"/>
    <w:rsid w:val="00AC6771"/>
    <w:rsid w:val="00AD1205"/>
    <w:rsid w:val="00AD2B1E"/>
    <w:rsid w:val="00AD61AD"/>
    <w:rsid w:val="00AD6FE6"/>
    <w:rsid w:val="00AD70C2"/>
    <w:rsid w:val="00AD74E4"/>
    <w:rsid w:val="00AE2E88"/>
    <w:rsid w:val="00AE375B"/>
    <w:rsid w:val="00AE490C"/>
    <w:rsid w:val="00AE51C5"/>
    <w:rsid w:val="00AE7D60"/>
    <w:rsid w:val="00AF4312"/>
    <w:rsid w:val="00AF5E32"/>
    <w:rsid w:val="00B051FE"/>
    <w:rsid w:val="00B05A3E"/>
    <w:rsid w:val="00B06998"/>
    <w:rsid w:val="00B07E42"/>
    <w:rsid w:val="00B07E94"/>
    <w:rsid w:val="00B113F9"/>
    <w:rsid w:val="00B14DA8"/>
    <w:rsid w:val="00B162AA"/>
    <w:rsid w:val="00B202CD"/>
    <w:rsid w:val="00B25582"/>
    <w:rsid w:val="00B26991"/>
    <w:rsid w:val="00B30205"/>
    <w:rsid w:val="00B3218D"/>
    <w:rsid w:val="00B369C5"/>
    <w:rsid w:val="00B36E58"/>
    <w:rsid w:val="00B4204A"/>
    <w:rsid w:val="00B43CB7"/>
    <w:rsid w:val="00B4780C"/>
    <w:rsid w:val="00B5142F"/>
    <w:rsid w:val="00B5367A"/>
    <w:rsid w:val="00B57340"/>
    <w:rsid w:val="00B611E5"/>
    <w:rsid w:val="00B633B9"/>
    <w:rsid w:val="00B66211"/>
    <w:rsid w:val="00B67578"/>
    <w:rsid w:val="00B678A8"/>
    <w:rsid w:val="00B70847"/>
    <w:rsid w:val="00B74637"/>
    <w:rsid w:val="00B75D2F"/>
    <w:rsid w:val="00B772C3"/>
    <w:rsid w:val="00B8025C"/>
    <w:rsid w:val="00B8283E"/>
    <w:rsid w:val="00B830B2"/>
    <w:rsid w:val="00B83AC9"/>
    <w:rsid w:val="00B84404"/>
    <w:rsid w:val="00B84674"/>
    <w:rsid w:val="00B8569B"/>
    <w:rsid w:val="00B858F1"/>
    <w:rsid w:val="00B86550"/>
    <w:rsid w:val="00B91835"/>
    <w:rsid w:val="00B93090"/>
    <w:rsid w:val="00BA6282"/>
    <w:rsid w:val="00BA693D"/>
    <w:rsid w:val="00BA7198"/>
    <w:rsid w:val="00BB0A8F"/>
    <w:rsid w:val="00BB19D7"/>
    <w:rsid w:val="00BB27F8"/>
    <w:rsid w:val="00BB31DB"/>
    <w:rsid w:val="00BB4484"/>
    <w:rsid w:val="00BB6930"/>
    <w:rsid w:val="00BB73A0"/>
    <w:rsid w:val="00BC0E22"/>
    <w:rsid w:val="00BC1A6B"/>
    <w:rsid w:val="00BC2142"/>
    <w:rsid w:val="00BC2441"/>
    <w:rsid w:val="00BC2B1C"/>
    <w:rsid w:val="00BC5045"/>
    <w:rsid w:val="00BC609B"/>
    <w:rsid w:val="00BD0E29"/>
    <w:rsid w:val="00BD12D7"/>
    <w:rsid w:val="00BD1390"/>
    <w:rsid w:val="00BD1C6E"/>
    <w:rsid w:val="00BD1FFC"/>
    <w:rsid w:val="00BD23C6"/>
    <w:rsid w:val="00BD263E"/>
    <w:rsid w:val="00BE37DA"/>
    <w:rsid w:val="00BE7145"/>
    <w:rsid w:val="00BF1054"/>
    <w:rsid w:val="00BF16B7"/>
    <w:rsid w:val="00BF247C"/>
    <w:rsid w:val="00BF5FE8"/>
    <w:rsid w:val="00C0052D"/>
    <w:rsid w:val="00C03AA7"/>
    <w:rsid w:val="00C049BA"/>
    <w:rsid w:val="00C050EC"/>
    <w:rsid w:val="00C0759F"/>
    <w:rsid w:val="00C10332"/>
    <w:rsid w:val="00C12029"/>
    <w:rsid w:val="00C14EAB"/>
    <w:rsid w:val="00C15B47"/>
    <w:rsid w:val="00C161FD"/>
    <w:rsid w:val="00C16678"/>
    <w:rsid w:val="00C171FF"/>
    <w:rsid w:val="00C175F9"/>
    <w:rsid w:val="00C218E8"/>
    <w:rsid w:val="00C232DE"/>
    <w:rsid w:val="00C30836"/>
    <w:rsid w:val="00C31F87"/>
    <w:rsid w:val="00C326FA"/>
    <w:rsid w:val="00C353F9"/>
    <w:rsid w:val="00C35566"/>
    <w:rsid w:val="00C36320"/>
    <w:rsid w:val="00C3741E"/>
    <w:rsid w:val="00C37C5D"/>
    <w:rsid w:val="00C44689"/>
    <w:rsid w:val="00C449F6"/>
    <w:rsid w:val="00C452BC"/>
    <w:rsid w:val="00C452E7"/>
    <w:rsid w:val="00C461AD"/>
    <w:rsid w:val="00C47064"/>
    <w:rsid w:val="00C50367"/>
    <w:rsid w:val="00C518B8"/>
    <w:rsid w:val="00C533BF"/>
    <w:rsid w:val="00C537EC"/>
    <w:rsid w:val="00C53DB6"/>
    <w:rsid w:val="00C5582D"/>
    <w:rsid w:val="00C558F9"/>
    <w:rsid w:val="00C6064E"/>
    <w:rsid w:val="00C60FA5"/>
    <w:rsid w:val="00C62027"/>
    <w:rsid w:val="00C6284F"/>
    <w:rsid w:val="00C65CF6"/>
    <w:rsid w:val="00C669E3"/>
    <w:rsid w:val="00C714AA"/>
    <w:rsid w:val="00C71D4A"/>
    <w:rsid w:val="00C72B73"/>
    <w:rsid w:val="00C72FA5"/>
    <w:rsid w:val="00C738E5"/>
    <w:rsid w:val="00C73CE2"/>
    <w:rsid w:val="00C77197"/>
    <w:rsid w:val="00C77971"/>
    <w:rsid w:val="00C8055F"/>
    <w:rsid w:val="00C81A26"/>
    <w:rsid w:val="00C833B0"/>
    <w:rsid w:val="00C84861"/>
    <w:rsid w:val="00C8489D"/>
    <w:rsid w:val="00C84F4B"/>
    <w:rsid w:val="00C84FD3"/>
    <w:rsid w:val="00C857EA"/>
    <w:rsid w:val="00C8769F"/>
    <w:rsid w:val="00C91CBD"/>
    <w:rsid w:val="00C934DF"/>
    <w:rsid w:val="00C93FE6"/>
    <w:rsid w:val="00C94562"/>
    <w:rsid w:val="00C9559E"/>
    <w:rsid w:val="00CA0A8F"/>
    <w:rsid w:val="00CA1551"/>
    <w:rsid w:val="00CA3942"/>
    <w:rsid w:val="00CA6A51"/>
    <w:rsid w:val="00CA6EBB"/>
    <w:rsid w:val="00CA6F18"/>
    <w:rsid w:val="00CA7CE5"/>
    <w:rsid w:val="00CB5D3A"/>
    <w:rsid w:val="00CB73D1"/>
    <w:rsid w:val="00CC2D88"/>
    <w:rsid w:val="00CC59B4"/>
    <w:rsid w:val="00CD4577"/>
    <w:rsid w:val="00CD78BB"/>
    <w:rsid w:val="00CE3B22"/>
    <w:rsid w:val="00CE4F9E"/>
    <w:rsid w:val="00CE6630"/>
    <w:rsid w:val="00CE6812"/>
    <w:rsid w:val="00CE6AC4"/>
    <w:rsid w:val="00CF02BA"/>
    <w:rsid w:val="00CF0FC4"/>
    <w:rsid w:val="00CF3BA8"/>
    <w:rsid w:val="00CF76DE"/>
    <w:rsid w:val="00D00429"/>
    <w:rsid w:val="00D0345A"/>
    <w:rsid w:val="00D034CA"/>
    <w:rsid w:val="00D0710C"/>
    <w:rsid w:val="00D07A7D"/>
    <w:rsid w:val="00D1016E"/>
    <w:rsid w:val="00D13F7B"/>
    <w:rsid w:val="00D142D9"/>
    <w:rsid w:val="00D14F71"/>
    <w:rsid w:val="00D20233"/>
    <w:rsid w:val="00D208A0"/>
    <w:rsid w:val="00D2152E"/>
    <w:rsid w:val="00D239BA"/>
    <w:rsid w:val="00D244D8"/>
    <w:rsid w:val="00D24662"/>
    <w:rsid w:val="00D251A9"/>
    <w:rsid w:val="00D26515"/>
    <w:rsid w:val="00D2753C"/>
    <w:rsid w:val="00D30745"/>
    <w:rsid w:val="00D3489E"/>
    <w:rsid w:val="00D35E5A"/>
    <w:rsid w:val="00D36C34"/>
    <w:rsid w:val="00D376F6"/>
    <w:rsid w:val="00D40870"/>
    <w:rsid w:val="00D40CD4"/>
    <w:rsid w:val="00D40E6B"/>
    <w:rsid w:val="00D42C6B"/>
    <w:rsid w:val="00D4380E"/>
    <w:rsid w:val="00D44164"/>
    <w:rsid w:val="00D4667D"/>
    <w:rsid w:val="00D4679D"/>
    <w:rsid w:val="00D50672"/>
    <w:rsid w:val="00D53470"/>
    <w:rsid w:val="00D55597"/>
    <w:rsid w:val="00D55DC5"/>
    <w:rsid w:val="00D7124F"/>
    <w:rsid w:val="00D72EF7"/>
    <w:rsid w:val="00D73309"/>
    <w:rsid w:val="00D76182"/>
    <w:rsid w:val="00D76CCB"/>
    <w:rsid w:val="00D81CCB"/>
    <w:rsid w:val="00D853AF"/>
    <w:rsid w:val="00D904A9"/>
    <w:rsid w:val="00D90C56"/>
    <w:rsid w:val="00D93B95"/>
    <w:rsid w:val="00D96AE9"/>
    <w:rsid w:val="00DA0301"/>
    <w:rsid w:val="00DA114A"/>
    <w:rsid w:val="00DA26D3"/>
    <w:rsid w:val="00DA2BC6"/>
    <w:rsid w:val="00DA479D"/>
    <w:rsid w:val="00DA60F5"/>
    <w:rsid w:val="00DA62BA"/>
    <w:rsid w:val="00DA6E8E"/>
    <w:rsid w:val="00DB3901"/>
    <w:rsid w:val="00DB4878"/>
    <w:rsid w:val="00DB4D3A"/>
    <w:rsid w:val="00DB5061"/>
    <w:rsid w:val="00DC0853"/>
    <w:rsid w:val="00DC0B2C"/>
    <w:rsid w:val="00DC0CCE"/>
    <w:rsid w:val="00DC4C5F"/>
    <w:rsid w:val="00DC6CC2"/>
    <w:rsid w:val="00DD1846"/>
    <w:rsid w:val="00DD3D8C"/>
    <w:rsid w:val="00DD4114"/>
    <w:rsid w:val="00DD4E87"/>
    <w:rsid w:val="00DD54ED"/>
    <w:rsid w:val="00DD5890"/>
    <w:rsid w:val="00DD6389"/>
    <w:rsid w:val="00DE1120"/>
    <w:rsid w:val="00DE4D1C"/>
    <w:rsid w:val="00DE5C34"/>
    <w:rsid w:val="00DE63B3"/>
    <w:rsid w:val="00DF1AA1"/>
    <w:rsid w:val="00DF2087"/>
    <w:rsid w:val="00DF5C11"/>
    <w:rsid w:val="00DF66C7"/>
    <w:rsid w:val="00E01415"/>
    <w:rsid w:val="00E01D18"/>
    <w:rsid w:val="00E027A4"/>
    <w:rsid w:val="00E02BFB"/>
    <w:rsid w:val="00E0311D"/>
    <w:rsid w:val="00E03BD6"/>
    <w:rsid w:val="00E042CC"/>
    <w:rsid w:val="00E04E55"/>
    <w:rsid w:val="00E06C49"/>
    <w:rsid w:val="00E23BEB"/>
    <w:rsid w:val="00E23FED"/>
    <w:rsid w:val="00E259A9"/>
    <w:rsid w:val="00E26954"/>
    <w:rsid w:val="00E31590"/>
    <w:rsid w:val="00E33DD0"/>
    <w:rsid w:val="00E3573B"/>
    <w:rsid w:val="00E357D1"/>
    <w:rsid w:val="00E35A7A"/>
    <w:rsid w:val="00E36B8A"/>
    <w:rsid w:val="00E401E1"/>
    <w:rsid w:val="00E41BB1"/>
    <w:rsid w:val="00E42C25"/>
    <w:rsid w:val="00E46A45"/>
    <w:rsid w:val="00E50C48"/>
    <w:rsid w:val="00E534B4"/>
    <w:rsid w:val="00E53D69"/>
    <w:rsid w:val="00E55299"/>
    <w:rsid w:val="00E60801"/>
    <w:rsid w:val="00E648CE"/>
    <w:rsid w:val="00E65FFD"/>
    <w:rsid w:val="00E66247"/>
    <w:rsid w:val="00E71E12"/>
    <w:rsid w:val="00E73145"/>
    <w:rsid w:val="00E76CEE"/>
    <w:rsid w:val="00E8002A"/>
    <w:rsid w:val="00E81236"/>
    <w:rsid w:val="00E820F7"/>
    <w:rsid w:val="00E82BB7"/>
    <w:rsid w:val="00E87E18"/>
    <w:rsid w:val="00E93201"/>
    <w:rsid w:val="00E951E3"/>
    <w:rsid w:val="00E95E5A"/>
    <w:rsid w:val="00E9785F"/>
    <w:rsid w:val="00E97A5F"/>
    <w:rsid w:val="00EA239D"/>
    <w:rsid w:val="00EA25AA"/>
    <w:rsid w:val="00EA350E"/>
    <w:rsid w:val="00EA3F25"/>
    <w:rsid w:val="00EA4414"/>
    <w:rsid w:val="00EA4635"/>
    <w:rsid w:val="00EA4F95"/>
    <w:rsid w:val="00EA6D4E"/>
    <w:rsid w:val="00EB01D9"/>
    <w:rsid w:val="00EB06C0"/>
    <w:rsid w:val="00EB09B6"/>
    <w:rsid w:val="00EB163D"/>
    <w:rsid w:val="00EB3B89"/>
    <w:rsid w:val="00EB5482"/>
    <w:rsid w:val="00EC0A9B"/>
    <w:rsid w:val="00EC15F8"/>
    <w:rsid w:val="00EC6F09"/>
    <w:rsid w:val="00EC7737"/>
    <w:rsid w:val="00ED188F"/>
    <w:rsid w:val="00ED286C"/>
    <w:rsid w:val="00ED34E2"/>
    <w:rsid w:val="00ED37F7"/>
    <w:rsid w:val="00ED465C"/>
    <w:rsid w:val="00ED640D"/>
    <w:rsid w:val="00ED74D9"/>
    <w:rsid w:val="00EE1FFF"/>
    <w:rsid w:val="00EE349E"/>
    <w:rsid w:val="00EE37F8"/>
    <w:rsid w:val="00EE59E5"/>
    <w:rsid w:val="00EE679D"/>
    <w:rsid w:val="00EE6DBC"/>
    <w:rsid w:val="00EF2277"/>
    <w:rsid w:val="00EF3ABC"/>
    <w:rsid w:val="00EF6D88"/>
    <w:rsid w:val="00EF7097"/>
    <w:rsid w:val="00EF75EA"/>
    <w:rsid w:val="00F03F1A"/>
    <w:rsid w:val="00F0430B"/>
    <w:rsid w:val="00F10014"/>
    <w:rsid w:val="00F10E99"/>
    <w:rsid w:val="00F11237"/>
    <w:rsid w:val="00F13A69"/>
    <w:rsid w:val="00F16BCC"/>
    <w:rsid w:val="00F20956"/>
    <w:rsid w:val="00F31AD3"/>
    <w:rsid w:val="00F32D0E"/>
    <w:rsid w:val="00F33204"/>
    <w:rsid w:val="00F3367E"/>
    <w:rsid w:val="00F34539"/>
    <w:rsid w:val="00F3510A"/>
    <w:rsid w:val="00F368CC"/>
    <w:rsid w:val="00F40977"/>
    <w:rsid w:val="00F41383"/>
    <w:rsid w:val="00F42951"/>
    <w:rsid w:val="00F4341D"/>
    <w:rsid w:val="00F46B98"/>
    <w:rsid w:val="00F52048"/>
    <w:rsid w:val="00F52DBC"/>
    <w:rsid w:val="00F537CB"/>
    <w:rsid w:val="00F53845"/>
    <w:rsid w:val="00F55114"/>
    <w:rsid w:val="00F6132E"/>
    <w:rsid w:val="00F61EF2"/>
    <w:rsid w:val="00F645BF"/>
    <w:rsid w:val="00F646E0"/>
    <w:rsid w:val="00F64F32"/>
    <w:rsid w:val="00F65E5F"/>
    <w:rsid w:val="00F6736C"/>
    <w:rsid w:val="00F675BB"/>
    <w:rsid w:val="00F8078A"/>
    <w:rsid w:val="00F80F40"/>
    <w:rsid w:val="00F81B1F"/>
    <w:rsid w:val="00F83E5D"/>
    <w:rsid w:val="00F8542A"/>
    <w:rsid w:val="00F8799D"/>
    <w:rsid w:val="00F87D93"/>
    <w:rsid w:val="00F90138"/>
    <w:rsid w:val="00F952C9"/>
    <w:rsid w:val="00F974F1"/>
    <w:rsid w:val="00F97DBE"/>
    <w:rsid w:val="00FA01D3"/>
    <w:rsid w:val="00FA25BD"/>
    <w:rsid w:val="00FA25C5"/>
    <w:rsid w:val="00FA27C0"/>
    <w:rsid w:val="00FA7219"/>
    <w:rsid w:val="00FB02C3"/>
    <w:rsid w:val="00FB0B46"/>
    <w:rsid w:val="00FB0C12"/>
    <w:rsid w:val="00FB271B"/>
    <w:rsid w:val="00FB5323"/>
    <w:rsid w:val="00FB6825"/>
    <w:rsid w:val="00FC0265"/>
    <w:rsid w:val="00FC1D55"/>
    <w:rsid w:val="00FC21ED"/>
    <w:rsid w:val="00FC764D"/>
    <w:rsid w:val="00FD10AE"/>
    <w:rsid w:val="00FD2546"/>
    <w:rsid w:val="00FD4DDE"/>
    <w:rsid w:val="00FD79E5"/>
    <w:rsid w:val="00FE19AD"/>
    <w:rsid w:val="00FE22C0"/>
    <w:rsid w:val="00FE3512"/>
    <w:rsid w:val="00FE7D62"/>
    <w:rsid w:val="00FF3B74"/>
    <w:rsid w:val="00FF4064"/>
    <w:rsid w:val="012E64FB"/>
    <w:rsid w:val="01382DB4"/>
    <w:rsid w:val="014D2008"/>
    <w:rsid w:val="016F70D2"/>
    <w:rsid w:val="0170379C"/>
    <w:rsid w:val="018A69BC"/>
    <w:rsid w:val="018B50DB"/>
    <w:rsid w:val="01AB554E"/>
    <w:rsid w:val="01CB04AD"/>
    <w:rsid w:val="01CC7321"/>
    <w:rsid w:val="01CF1907"/>
    <w:rsid w:val="01DC7A66"/>
    <w:rsid w:val="01F55459"/>
    <w:rsid w:val="0200048F"/>
    <w:rsid w:val="021E3C9D"/>
    <w:rsid w:val="02312D29"/>
    <w:rsid w:val="02433BB0"/>
    <w:rsid w:val="02586350"/>
    <w:rsid w:val="026929FF"/>
    <w:rsid w:val="028B1DCC"/>
    <w:rsid w:val="02900191"/>
    <w:rsid w:val="02AF606C"/>
    <w:rsid w:val="02BD3B9D"/>
    <w:rsid w:val="02CA179F"/>
    <w:rsid w:val="02D87D45"/>
    <w:rsid w:val="02DF7CA5"/>
    <w:rsid w:val="02F15335"/>
    <w:rsid w:val="0306371A"/>
    <w:rsid w:val="03163E1D"/>
    <w:rsid w:val="031C4D3A"/>
    <w:rsid w:val="034104E4"/>
    <w:rsid w:val="034A32E4"/>
    <w:rsid w:val="034B6875"/>
    <w:rsid w:val="035A3448"/>
    <w:rsid w:val="03772BBD"/>
    <w:rsid w:val="037F1505"/>
    <w:rsid w:val="038B0FF8"/>
    <w:rsid w:val="03920F1D"/>
    <w:rsid w:val="03944CC3"/>
    <w:rsid w:val="03AA519B"/>
    <w:rsid w:val="03B033EB"/>
    <w:rsid w:val="03C255BA"/>
    <w:rsid w:val="03D84723"/>
    <w:rsid w:val="03E37CED"/>
    <w:rsid w:val="03EA598B"/>
    <w:rsid w:val="03F97C93"/>
    <w:rsid w:val="040435D5"/>
    <w:rsid w:val="04253FDA"/>
    <w:rsid w:val="0468002C"/>
    <w:rsid w:val="04682E11"/>
    <w:rsid w:val="047450A5"/>
    <w:rsid w:val="048E1739"/>
    <w:rsid w:val="04BD5452"/>
    <w:rsid w:val="04C837E3"/>
    <w:rsid w:val="04E8539D"/>
    <w:rsid w:val="04EC2454"/>
    <w:rsid w:val="04FB3C66"/>
    <w:rsid w:val="05145E61"/>
    <w:rsid w:val="05276D11"/>
    <w:rsid w:val="05295E06"/>
    <w:rsid w:val="052A4BF6"/>
    <w:rsid w:val="05344197"/>
    <w:rsid w:val="055E085F"/>
    <w:rsid w:val="055F638D"/>
    <w:rsid w:val="056905C6"/>
    <w:rsid w:val="056A4B98"/>
    <w:rsid w:val="058A4BA6"/>
    <w:rsid w:val="058E7CD0"/>
    <w:rsid w:val="05A151A9"/>
    <w:rsid w:val="05A5243D"/>
    <w:rsid w:val="05B70EED"/>
    <w:rsid w:val="05B96E40"/>
    <w:rsid w:val="05BE527C"/>
    <w:rsid w:val="05CA0764"/>
    <w:rsid w:val="05CE06E8"/>
    <w:rsid w:val="05EE6D20"/>
    <w:rsid w:val="060F7A66"/>
    <w:rsid w:val="062318A1"/>
    <w:rsid w:val="062D43AF"/>
    <w:rsid w:val="063A4B10"/>
    <w:rsid w:val="06444B8F"/>
    <w:rsid w:val="06516A84"/>
    <w:rsid w:val="06586FF4"/>
    <w:rsid w:val="0663449F"/>
    <w:rsid w:val="06752397"/>
    <w:rsid w:val="067935B5"/>
    <w:rsid w:val="06796A2D"/>
    <w:rsid w:val="068C225C"/>
    <w:rsid w:val="069A6F62"/>
    <w:rsid w:val="06AE795D"/>
    <w:rsid w:val="06BB7496"/>
    <w:rsid w:val="06C344F9"/>
    <w:rsid w:val="06C764CB"/>
    <w:rsid w:val="06CA2A7E"/>
    <w:rsid w:val="06F76EC6"/>
    <w:rsid w:val="06FC377D"/>
    <w:rsid w:val="06FD26E1"/>
    <w:rsid w:val="070D6320"/>
    <w:rsid w:val="071301BF"/>
    <w:rsid w:val="07385049"/>
    <w:rsid w:val="074206E7"/>
    <w:rsid w:val="074E438A"/>
    <w:rsid w:val="07515552"/>
    <w:rsid w:val="077204D0"/>
    <w:rsid w:val="077E0859"/>
    <w:rsid w:val="0781055B"/>
    <w:rsid w:val="078563A6"/>
    <w:rsid w:val="079F680F"/>
    <w:rsid w:val="07A124F6"/>
    <w:rsid w:val="07AE24B1"/>
    <w:rsid w:val="07AE407A"/>
    <w:rsid w:val="07CA2ED7"/>
    <w:rsid w:val="07CC2F20"/>
    <w:rsid w:val="07EB560A"/>
    <w:rsid w:val="07F6399B"/>
    <w:rsid w:val="080B3940"/>
    <w:rsid w:val="080C5FE9"/>
    <w:rsid w:val="08185569"/>
    <w:rsid w:val="08225108"/>
    <w:rsid w:val="082C7F15"/>
    <w:rsid w:val="08377C87"/>
    <w:rsid w:val="083B7F92"/>
    <w:rsid w:val="085638CF"/>
    <w:rsid w:val="08575FBE"/>
    <w:rsid w:val="08822685"/>
    <w:rsid w:val="08937DB2"/>
    <w:rsid w:val="08986A27"/>
    <w:rsid w:val="089B7737"/>
    <w:rsid w:val="08E6543B"/>
    <w:rsid w:val="08F45088"/>
    <w:rsid w:val="08FA57C7"/>
    <w:rsid w:val="09024F8F"/>
    <w:rsid w:val="09202F74"/>
    <w:rsid w:val="092519D6"/>
    <w:rsid w:val="092639F6"/>
    <w:rsid w:val="093431FC"/>
    <w:rsid w:val="095F129C"/>
    <w:rsid w:val="09680B7E"/>
    <w:rsid w:val="096E0B32"/>
    <w:rsid w:val="098708AE"/>
    <w:rsid w:val="09A85380"/>
    <w:rsid w:val="09B207F9"/>
    <w:rsid w:val="09B57F1C"/>
    <w:rsid w:val="09BC6071"/>
    <w:rsid w:val="09C17667"/>
    <w:rsid w:val="09C373B2"/>
    <w:rsid w:val="09C53F89"/>
    <w:rsid w:val="09DD12E7"/>
    <w:rsid w:val="09DE12BD"/>
    <w:rsid w:val="09E8109F"/>
    <w:rsid w:val="09ED1414"/>
    <w:rsid w:val="09F31262"/>
    <w:rsid w:val="09FE75F3"/>
    <w:rsid w:val="09FF589F"/>
    <w:rsid w:val="0A095984"/>
    <w:rsid w:val="0A1C02C7"/>
    <w:rsid w:val="0A1C4E4E"/>
    <w:rsid w:val="0A1F4CBF"/>
    <w:rsid w:val="0A2374DE"/>
    <w:rsid w:val="0A36402A"/>
    <w:rsid w:val="0A3B5CD6"/>
    <w:rsid w:val="0A462F6C"/>
    <w:rsid w:val="0A4C0580"/>
    <w:rsid w:val="0A4C5B77"/>
    <w:rsid w:val="0A4D29E6"/>
    <w:rsid w:val="0A54316D"/>
    <w:rsid w:val="0A550002"/>
    <w:rsid w:val="0A5B0944"/>
    <w:rsid w:val="0A5C3FB2"/>
    <w:rsid w:val="0A76488C"/>
    <w:rsid w:val="0A960A6B"/>
    <w:rsid w:val="0ADE19E5"/>
    <w:rsid w:val="0AEA4BAD"/>
    <w:rsid w:val="0AEB243C"/>
    <w:rsid w:val="0AFF593B"/>
    <w:rsid w:val="0B02141F"/>
    <w:rsid w:val="0B0906C7"/>
    <w:rsid w:val="0B121534"/>
    <w:rsid w:val="0B243B52"/>
    <w:rsid w:val="0B363049"/>
    <w:rsid w:val="0B4D4E28"/>
    <w:rsid w:val="0B4E3A9D"/>
    <w:rsid w:val="0B553DAD"/>
    <w:rsid w:val="0B5A5C28"/>
    <w:rsid w:val="0B6F49AF"/>
    <w:rsid w:val="0B7244E8"/>
    <w:rsid w:val="0B735CCC"/>
    <w:rsid w:val="0B7A4561"/>
    <w:rsid w:val="0B8E6346"/>
    <w:rsid w:val="0B9128F3"/>
    <w:rsid w:val="0BA353F4"/>
    <w:rsid w:val="0BA4472F"/>
    <w:rsid w:val="0BAC3211"/>
    <w:rsid w:val="0BBA0BCE"/>
    <w:rsid w:val="0BBC084E"/>
    <w:rsid w:val="0BC15144"/>
    <w:rsid w:val="0BD14F70"/>
    <w:rsid w:val="0BD54FA3"/>
    <w:rsid w:val="0BE7322E"/>
    <w:rsid w:val="0BF132A6"/>
    <w:rsid w:val="0C0E7B0E"/>
    <w:rsid w:val="0C1C1F80"/>
    <w:rsid w:val="0C1D75EE"/>
    <w:rsid w:val="0C28597F"/>
    <w:rsid w:val="0C3B1D08"/>
    <w:rsid w:val="0C541CC6"/>
    <w:rsid w:val="0C5D4A9B"/>
    <w:rsid w:val="0C785C4F"/>
    <w:rsid w:val="0C7F1C11"/>
    <w:rsid w:val="0C970261"/>
    <w:rsid w:val="0C9C10CB"/>
    <w:rsid w:val="0C9F2437"/>
    <w:rsid w:val="0CA04344"/>
    <w:rsid w:val="0CAB26D5"/>
    <w:rsid w:val="0CAB34E8"/>
    <w:rsid w:val="0CAD3FC3"/>
    <w:rsid w:val="0CB85692"/>
    <w:rsid w:val="0CC0291A"/>
    <w:rsid w:val="0CE0512D"/>
    <w:rsid w:val="0CEB12AA"/>
    <w:rsid w:val="0CF7114A"/>
    <w:rsid w:val="0D0230E3"/>
    <w:rsid w:val="0D065C9C"/>
    <w:rsid w:val="0D124DD7"/>
    <w:rsid w:val="0D144DED"/>
    <w:rsid w:val="0D1578D1"/>
    <w:rsid w:val="0D1D3133"/>
    <w:rsid w:val="0D4957ED"/>
    <w:rsid w:val="0D583AF2"/>
    <w:rsid w:val="0D8767A5"/>
    <w:rsid w:val="0D8D654B"/>
    <w:rsid w:val="0DA50098"/>
    <w:rsid w:val="0DB73684"/>
    <w:rsid w:val="0DCF2837"/>
    <w:rsid w:val="0DE46F59"/>
    <w:rsid w:val="0DF04F6A"/>
    <w:rsid w:val="0DF50284"/>
    <w:rsid w:val="0E143C37"/>
    <w:rsid w:val="0E2231B5"/>
    <w:rsid w:val="0E3E24F0"/>
    <w:rsid w:val="0E415939"/>
    <w:rsid w:val="0E523D0A"/>
    <w:rsid w:val="0E560DF7"/>
    <w:rsid w:val="0E7C54F6"/>
    <w:rsid w:val="0E9001A7"/>
    <w:rsid w:val="0E900482"/>
    <w:rsid w:val="0E901637"/>
    <w:rsid w:val="0EA84719"/>
    <w:rsid w:val="0EB3632D"/>
    <w:rsid w:val="0EBE46BE"/>
    <w:rsid w:val="0EBF0593"/>
    <w:rsid w:val="0EDC1F98"/>
    <w:rsid w:val="0EE0166A"/>
    <w:rsid w:val="0EE52753"/>
    <w:rsid w:val="0EEA0A05"/>
    <w:rsid w:val="0EF85128"/>
    <w:rsid w:val="0EFF5A98"/>
    <w:rsid w:val="0F121B26"/>
    <w:rsid w:val="0F1550CD"/>
    <w:rsid w:val="0F1C6D6F"/>
    <w:rsid w:val="0F2132A5"/>
    <w:rsid w:val="0F36132D"/>
    <w:rsid w:val="0F386150"/>
    <w:rsid w:val="0F406270"/>
    <w:rsid w:val="0F411414"/>
    <w:rsid w:val="0F4C7500"/>
    <w:rsid w:val="0F565B36"/>
    <w:rsid w:val="0F6034F7"/>
    <w:rsid w:val="0F650FF8"/>
    <w:rsid w:val="0F6D1C12"/>
    <w:rsid w:val="0F6F2A32"/>
    <w:rsid w:val="0F724D09"/>
    <w:rsid w:val="0F773AEC"/>
    <w:rsid w:val="0F873FED"/>
    <w:rsid w:val="0F8903ED"/>
    <w:rsid w:val="0F895EE0"/>
    <w:rsid w:val="0F9D746A"/>
    <w:rsid w:val="0FAD61A0"/>
    <w:rsid w:val="0FB7580F"/>
    <w:rsid w:val="0FC93272"/>
    <w:rsid w:val="0FCD487B"/>
    <w:rsid w:val="0FD9288C"/>
    <w:rsid w:val="0FF27660"/>
    <w:rsid w:val="1023528A"/>
    <w:rsid w:val="10254F0A"/>
    <w:rsid w:val="10300A33"/>
    <w:rsid w:val="103519A2"/>
    <w:rsid w:val="105248E6"/>
    <w:rsid w:val="107E1798"/>
    <w:rsid w:val="109A3586"/>
    <w:rsid w:val="109C3C4F"/>
    <w:rsid w:val="10B87730"/>
    <w:rsid w:val="10BB6702"/>
    <w:rsid w:val="10BC7FA4"/>
    <w:rsid w:val="10C320A2"/>
    <w:rsid w:val="10E82A49"/>
    <w:rsid w:val="11217992"/>
    <w:rsid w:val="11253D39"/>
    <w:rsid w:val="11296D36"/>
    <w:rsid w:val="115433FE"/>
    <w:rsid w:val="116C3236"/>
    <w:rsid w:val="117207BC"/>
    <w:rsid w:val="118A2253"/>
    <w:rsid w:val="11A061CF"/>
    <w:rsid w:val="11A90720"/>
    <w:rsid w:val="11D648D0"/>
    <w:rsid w:val="11DA261D"/>
    <w:rsid w:val="11DB0834"/>
    <w:rsid w:val="11DB312B"/>
    <w:rsid w:val="11DD3221"/>
    <w:rsid w:val="11EC76B0"/>
    <w:rsid w:val="11F11349"/>
    <w:rsid w:val="11F300DF"/>
    <w:rsid w:val="11F62C07"/>
    <w:rsid w:val="11FC1030"/>
    <w:rsid w:val="12141B9D"/>
    <w:rsid w:val="12273A83"/>
    <w:rsid w:val="12386EF3"/>
    <w:rsid w:val="123D1673"/>
    <w:rsid w:val="124F3295"/>
    <w:rsid w:val="12591626"/>
    <w:rsid w:val="12620C81"/>
    <w:rsid w:val="126277DE"/>
    <w:rsid w:val="127E0235"/>
    <w:rsid w:val="128D501C"/>
    <w:rsid w:val="128F5D4E"/>
    <w:rsid w:val="12995C93"/>
    <w:rsid w:val="12A63CA4"/>
    <w:rsid w:val="12B439E2"/>
    <w:rsid w:val="12C506E1"/>
    <w:rsid w:val="12C91CBD"/>
    <w:rsid w:val="12CF4929"/>
    <w:rsid w:val="12DB66FD"/>
    <w:rsid w:val="12EB00C6"/>
    <w:rsid w:val="12FB3C96"/>
    <w:rsid w:val="13105FBF"/>
    <w:rsid w:val="13270D7A"/>
    <w:rsid w:val="134131D8"/>
    <w:rsid w:val="13451F99"/>
    <w:rsid w:val="13515442"/>
    <w:rsid w:val="135E3453"/>
    <w:rsid w:val="13651E08"/>
    <w:rsid w:val="136931C4"/>
    <w:rsid w:val="136F1E65"/>
    <w:rsid w:val="136F4BC3"/>
    <w:rsid w:val="13720269"/>
    <w:rsid w:val="13737B75"/>
    <w:rsid w:val="137955F2"/>
    <w:rsid w:val="137C2EDB"/>
    <w:rsid w:val="13862D75"/>
    <w:rsid w:val="13867F3F"/>
    <w:rsid w:val="13887B1A"/>
    <w:rsid w:val="13935EAB"/>
    <w:rsid w:val="139904F5"/>
    <w:rsid w:val="139F490D"/>
    <w:rsid w:val="13AC667A"/>
    <w:rsid w:val="13AC73BB"/>
    <w:rsid w:val="13B90322"/>
    <w:rsid w:val="13CE635F"/>
    <w:rsid w:val="13D670EA"/>
    <w:rsid w:val="13D9088E"/>
    <w:rsid w:val="13E41EA3"/>
    <w:rsid w:val="13F1524B"/>
    <w:rsid w:val="14182D2A"/>
    <w:rsid w:val="141E20FF"/>
    <w:rsid w:val="141E66AE"/>
    <w:rsid w:val="14245EAB"/>
    <w:rsid w:val="142A6C08"/>
    <w:rsid w:val="142B7AF5"/>
    <w:rsid w:val="144E0E3B"/>
    <w:rsid w:val="145971A3"/>
    <w:rsid w:val="14684D4E"/>
    <w:rsid w:val="1475401E"/>
    <w:rsid w:val="147E7C77"/>
    <w:rsid w:val="14830990"/>
    <w:rsid w:val="14916FB3"/>
    <w:rsid w:val="14977CD7"/>
    <w:rsid w:val="14AC3033"/>
    <w:rsid w:val="14AE78FC"/>
    <w:rsid w:val="14B8543C"/>
    <w:rsid w:val="14EE06E6"/>
    <w:rsid w:val="14EF365A"/>
    <w:rsid w:val="150F2E19"/>
    <w:rsid w:val="1518488A"/>
    <w:rsid w:val="152F6466"/>
    <w:rsid w:val="15335936"/>
    <w:rsid w:val="15494134"/>
    <w:rsid w:val="155F58D3"/>
    <w:rsid w:val="15703A87"/>
    <w:rsid w:val="15850E3F"/>
    <w:rsid w:val="15950335"/>
    <w:rsid w:val="15951E55"/>
    <w:rsid w:val="159A20A5"/>
    <w:rsid w:val="159D06EB"/>
    <w:rsid w:val="15AC419C"/>
    <w:rsid w:val="15B21729"/>
    <w:rsid w:val="15B42077"/>
    <w:rsid w:val="15BC4236"/>
    <w:rsid w:val="15DC27B0"/>
    <w:rsid w:val="15E9057E"/>
    <w:rsid w:val="15EF4B30"/>
    <w:rsid w:val="16137258"/>
    <w:rsid w:val="162A486A"/>
    <w:rsid w:val="16366E42"/>
    <w:rsid w:val="163A5E8F"/>
    <w:rsid w:val="164F1773"/>
    <w:rsid w:val="16571B8E"/>
    <w:rsid w:val="166F5366"/>
    <w:rsid w:val="167E232E"/>
    <w:rsid w:val="167E6F46"/>
    <w:rsid w:val="168E1517"/>
    <w:rsid w:val="16916C9B"/>
    <w:rsid w:val="16931D8E"/>
    <w:rsid w:val="16B33462"/>
    <w:rsid w:val="16B67CD2"/>
    <w:rsid w:val="16BC7883"/>
    <w:rsid w:val="16CD7CD3"/>
    <w:rsid w:val="16DB4EF6"/>
    <w:rsid w:val="16FC73E0"/>
    <w:rsid w:val="1702234F"/>
    <w:rsid w:val="170F44C1"/>
    <w:rsid w:val="171367D0"/>
    <w:rsid w:val="171D136E"/>
    <w:rsid w:val="172F67E8"/>
    <w:rsid w:val="17375CE8"/>
    <w:rsid w:val="174E114A"/>
    <w:rsid w:val="176251ED"/>
    <w:rsid w:val="17664F94"/>
    <w:rsid w:val="1767591C"/>
    <w:rsid w:val="178A4BF0"/>
    <w:rsid w:val="179764A8"/>
    <w:rsid w:val="17981EA9"/>
    <w:rsid w:val="17A51B58"/>
    <w:rsid w:val="17B0376D"/>
    <w:rsid w:val="17B54745"/>
    <w:rsid w:val="17C44779"/>
    <w:rsid w:val="17E75116"/>
    <w:rsid w:val="17F5062F"/>
    <w:rsid w:val="17F90185"/>
    <w:rsid w:val="180B1A75"/>
    <w:rsid w:val="180D4FA2"/>
    <w:rsid w:val="181A0E1E"/>
    <w:rsid w:val="181C089E"/>
    <w:rsid w:val="181E5A60"/>
    <w:rsid w:val="181E72BD"/>
    <w:rsid w:val="183206EB"/>
    <w:rsid w:val="18534445"/>
    <w:rsid w:val="18543992"/>
    <w:rsid w:val="18740F2C"/>
    <w:rsid w:val="188822F6"/>
    <w:rsid w:val="18AC4184"/>
    <w:rsid w:val="18AC4B2E"/>
    <w:rsid w:val="18AF1570"/>
    <w:rsid w:val="18C96605"/>
    <w:rsid w:val="18EB7C71"/>
    <w:rsid w:val="18FB267C"/>
    <w:rsid w:val="19035C2E"/>
    <w:rsid w:val="19170735"/>
    <w:rsid w:val="191D563C"/>
    <w:rsid w:val="19216AC6"/>
    <w:rsid w:val="192741EB"/>
    <w:rsid w:val="19420680"/>
    <w:rsid w:val="1946549F"/>
    <w:rsid w:val="194C312C"/>
    <w:rsid w:val="19530876"/>
    <w:rsid w:val="19574DA2"/>
    <w:rsid w:val="196A2984"/>
    <w:rsid w:val="197744E0"/>
    <w:rsid w:val="198310E9"/>
    <w:rsid w:val="19840FB9"/>
    <w:rsid w:val="198961A0"/>
    <w:rsid w:val="19900AA6"/>
    <w:rsid w:val="199525D2"/>
    <w:rsid w:val="19BA37C2"/>
    <w:rsid w:val="19D23AF8"/>
    <w:rsid w:val="19D86A74"/>
    <w:rsid w:val="19DB50EF"/>
    <w:rsid w:val="19E47E89"/>
    <w:rsid w:val="19EF621A"/>
    <w:rsid w:val="19F51931"/>
    <w:rsid w:val="1A186BA8"/>
    <w:rsid w:val="1A302507"/>
    <w:rsid w:val="1A3254F7"/>
    <w:rsid w:val="1A4F216D"/>
    <w:rsid w:val="1A5D684E"/>
    <w:rsid w:val="1A682B98"/>
    <w:rsid w:val="1A7D4B85"/>
    <w:rsid w:val="1A8F0076"/>
    <w:rsid w:val="1A9E72B8"/>
    <w:rsid w:val="1AA938E9"/>
    <w:rsid w:val="1ABE55EE"/>
    <w:rsid w:val="1AC06C48"/>
    <w:rsid w:val="1AC8397F"/>
    <w:rsid w:val="1AC8448C"/>
    <w:rsid w:val="1AD66D64"/>
    <w:rsid w:val="1AEA3802"/>
    <w:rsid w:val="1B021339"/>
    <w:rsid w:val="1B0A43E8"/>
    <w:rsid w:val="1B0F63F2"/>
    <w:rsid w:val="1B443C7D"/>
    <w:rsid w:val="1B5711B0"/>
    <w:rsid w:val="1B605A6D"/>
    <w:rsid w:val="1BAC3E78"/>
    <w:rsid w:val="1BC576BA"/>
    <w:rsid w:val="1BD54B8D"/>
    <w:rsid w:val="1BDA67A8"/>
    <w:rsid w:val="1BE31B4D"/>
    <w:rsid w:val="1C037E84"/>
    <w:rsid w:val="1C0E1A98"/>
    <w:rsid w:val="1C0E6215"/>
    <w:rsid w:val="1C1945A6"/>
    <w:rsid w:val="1C197E29"/>
    <w:rsid w:val="1C222C30"/>
    <w:rsid w:val="1C3A255C"/>
    <w:rsid w:val="1C4508ED"/>
    <w:rsid w:val="1C6436C6"/>
    <w:rsid w:val="1C724BD5"/>
    <w:rsid w:val="1C7A6BC9"/>
    <w:rsid w:val="1C864BDA"/>
    <w:rsid w:val="1CB86EFC"/>
    <w:rsid w:val="1CBB510D"/>
    <w:rsid w:val="1CD653F3"/>
    <w:rsid w:val="1CD74398"/>
    <w:rsid w:val="1CD83EF9"/>
    <w:rsid w:val="1CDB5968"/>
    <w:rsid w:val="1CDD55E8"/>
    <w:rsid w:val="1CF0593D"/>
    <w:rsid w:val="1CF250BC"/>
    <w:rsid w:val="1CFA49EB"/>
    <w:rsid w:val="1D2809B1"/>
    <w:rsid w:val="1D4D4156"/>
    <w:rsid w:val="1D517D4D"/>
    <w:rsid w:val="1D6131F2"/>
    <w:rsid w:val="1D6F088D"/>
    <w:rsid w:val="1D735F1D"/>
    <w:rsid w:val="1D771227"/>
    <w:rsid w:val="1D8857AA"/>
    <w:rsid w:val="1D931F78"/>
    <w:rsid w:val="1DA23884"/>
    <w:rsid w:val="1DA71125"/>
    <w:rsid w:val="1DAC42CB"/>
    <w:rsid w:val="1DB530CD"/>
    <w:rsid w:val="1DCA77EF"/>
    <w:rsid w:val="1DD92CF0"/>
    <w:rsid w:val="1DDB0E85"/>
    <w:rsid w:val="1DE334A5"/>
    <w:rsid w:val="1DEA6FC3"/>
    <w:rsid w:val="1DEC1F22"/>
    <w:rsid w:val="1DF67EF2"/>
    <w:rsid w:val="1DF950A8"/>
    <w:rsid w:val="1DFF7382"/>
    <w:rsid w:val="1E0C3ADC"/>
    <w:rsid w:val="1E107BD0"/>
    <w:rsid w:val="1E161E6D"/>
    <w:rsid w:val="1E1D1E31"/>
    <w:rsid w:val="1E1E65E7"/>
    <w:rsid w:val="1E21782A"/>
    <w:rsid w:val="1E422931"/>
    <w:rsid w:val="1E4D4545"/>
    <w:rsid w:val="1E513AA4"/>
    <w:rsid w:val="1E524B92"/>
    <w:rsid w:val="1E54761D"/>
    <w:rsid w:val="1E641844"/>
    <w:rsid w:val="1E672540"/>
    <w:rsid w:val="1E92472C"/>
    <w:rsid w:val="1E996BC3"/>
    <w:rsid w:val="1EA44F54"/>
    <w:rsid w:val="1EA613F1"/>
    <w:rsid w:val="1EB44742"/>
    <w:rsid w:val="1EBE74EE"/>
    <w:rsid w:val="1ED0129B"/>
    <w:rsid w:val="1EE061E9"/>
    <w:rsid w:val="1EE452DD"/>
    <w:rsid w:val="1EE559BD"/>
    <w:rsid w:val="1EE9241D"/>
    <w:rsid w:val="1EF25B98"/>
    <w:rsid w:val="1F08738D"/>
    <w:rsid w:val="1F22575E"/>
    <w:rsid w:val="1F31003B"/>
    <w:rsid w:val="1F396517"/>
    <w:rsid w:val="1F4B3411"/>
    <w:rsid w:val="1F517B37"/>
    <w:rsid w:val="1F581176"/>
    <w:rsid w:val="1F707016"/>
    <w:rsid w:val="1F784ADE"/>
    <w:rsid w:val="1F7A652F"/>
    <w:rsid w:val="1F813AAE"/>
    <w:rsid w:val="1F936DDB"/>
    <w:rsid w:val="1FA86D80"/>
    <w:rsid w:val="1FBD6CF3"/>
    <w:rsid w:val="1FD962A0"/>
    <w:rsid w:val="1FEA77EA"/>
    <w:rsid w:val="1FF45B7B"/>
    <w:rsid w:val="200A2329"/>
    <w:rsid w:val="20161F54"/>
    <w:rsid w:val="201B3E08"/>
    <w:rsid w:val="201D342E"/>
    <w:rsid w:val="202B1B2F"/>
    <w:rsid w:val="202D7175"/>
    <w:rsid w:val="2032120E"/>
    <w:rsid w:val="203300A5"/>
    <w:rsid w:val="20575CCE"/>
    <w:rsid w:val="2062307F"/>
    <w:rsid w:val="20695F33"/>
    <w:rsid w:val="20734F71"/>
    <w:rsid w:val="207F0178"/>
    <w:rsid w:val="20822E25"/>
    <w:rsid w:val="208B48D7"/>
    <w:rsid w:val="20970C07"/>
    <w:rsid w:val="209B170A"/>
    <w:rsid w:val="20A26F98"/>
    <w:rsid w:val="20B11D92"/>
    <w:rsid w:val="20B7305D"/>
    <w:rsid w:val="20B91E94"/>
    <w:rsid w:val="20B96BBD"/>
    <w:rsid w:val="20BA0D20"/>
    <w:rsid w:val="20D94EF4"/>
    <w:rsid w:val="21004947"/>
    <w:rsid w:val="211A595D"/>
    <w:rsid w:val="21203E91"/>
    <w:rsid w:val="212504BC"/>
    <w:rsid w:val="21345660"/>
    <w:rsid w:val="213B3FB2"/>
    <w:rsid w:val="215B63C6"/>
    <w:rsid w:val="21664758"/>
    <w:rsid w:val="21776FBC"/>
    <w:rsid w:val="218452FF"/>
    <w:rsid w:val="21A4467F"/>
    <w:rsid w:val="21BA5CB9"/>
    <w:rsid w:val="21C536E7"/>
    <w:rsid w:val="21E67D5E"/>
    <w:rsid w:val="2202381F"/>
    <w:rsid w:val="220977E4"/>
    <w:rsid w:val="22167061"/>
    <w:rsid w:val="221F1D90"/>
    <w:rsid w:val="222428AC"/>
    <w:rsid w:val="2236725D"/>
    <w:rsid w:val="223F1EBC"/>
    <w:rsid w:val="224E158E"/>
    <w:rsid w:val="22634968"/>
    <w:rsid w:val="226A1E07"/>
    <w:rsid w:val="226A6584"/>
    <w:rsid w:val="22703B95"/>
    <w:rsid w:val="22766FC6"/>
    <w:rsid w:val="227E67F3"/>
    <w:rsid w:val="228269CD"/>
    <w:rsid w:val="22A32326"/>
    <w:rsid w:val="22A45127"/>
    <w:rsid w:val="22B60C01"/>
    <w:rsid w:val="22CD6054"/>
    <w:rsid w:val="22D66F38"/>
    <w:rsid w:val="22DE5886"/>
    <w:rsid w:val="22E27CE7"/>
    <w:rsid w:val="230279FC"/>
    <w:rsid w:val="230B683A"/>
    <w:rsid w:val="232A6441"/>
    <w:rsid w:val="232C5524"/>
    <w:rsid w:val="23460104"/>
    <w:rsid w:val="23736728"/>
    <w:rsid w:val="23796741"/>
    <w:rsid w:val="23927DC4"/>
    <w:rsid w:val="23A32EFF"/>
    <w:rsid w:val="23A36271"/>
    <w:rsid w:val="23B0469D"/>
    <w:rsid w:val="23C3328E"/>
    <w:rsid w:val="23C7424A"/>
    <w:rsid w:val="23D74BED"/>
    <w:rsid w:val="23D82E6E"/>
    <w:rsid w:val="23F15106"/>
    <w:rsid w:val="23FC3497"/>
    <w:rsid w:val="24061828"/>
    <w:rsid w:val="24267B5E"/>
    <w:rsid w:val="242C0480"/>
    <w:rsid w:val="2433450D"/>
    <w:rsid w:val="243D3F00"/>
    <w:rsid w:val="24473915"/>
    <w:rsid w:val="24533EA6"/>
    <w:rsid w:val="24683E4B"/>
    <w:rsid w:val="24756786"/>
    <w:rsid w:val="247D5187"/>
    <w:rsid w:val="248070C6"/>
    <w:rsid w:val="2489657E"/>
    <w:rsid w:val="24963CAE"/>
    <w:rsid w:val="24A72DA5"/>
    <w:rsid w:val="24B42C46"/>
    <w:rsid w:val="24CB0F3C"/>
    <w:rsid w:val="24D40F7C"/>
    <w:rsid w:val="24F56F32"/>
    <w:rsid w:val="24F70C63"/>
    <w:rsid w:val="25171665"/>
    <w:rsid w:val="25196D69"/>
    <w:rsid w:val="2523733D"/>
    <w:rsid w:val="252C160A"/>
    <w:rsid w:val="25321FC7"/>
    <w:rsid w:val="253E3F39"/>
    <w:rsid w:val="254215B0"/>
    <w:rsid w:val="25466D72"/>
    <w:rsid w:val="254735E4"/>
    <w:rsid w:val="254B344C"/>
    <w:rsid w:val="254C40BE"/>
    <w:rsid w:val="25537AB5"/>
    <w:rsid w:val="255F7813"/>
    <w:rsid w:val="25623C94"/>
    <w:rsid w:val="25780405"/>
    <w:rsid w:val="25845433"/>
    <w:rsid w:val="25A541AB"/>
    <w:rsid w:val="25AE21F5"/>
    <w:rsid w:val="25B84A72"/>
    <w:rsid w:val="25BA46F2"/>
    <w:rsid w:val="25D23117"/>
    <w:rsid w:val="25EF714A"/>
    <w:rsid w:val="25F061AE"/>
    <w:rsid w:val="2604182D"/>
    <w:rsid w:val="2615541B"/>
    <w:rsid w:val="26260546"/>
    <w:rsid w:val="26267118"/>
    <w:rsid w:val="263E4E61"/>
    <w:rsid w:val="265C2048"/>
    <w:rsid w:val="26665E8F"/>
    <w:rsid w:val="268022F2"/>
    <w:rsid w:val="269F6752"/>
    <w:rsid w:val="26A86578"/>
    <w:rsid w:val="26B17B1B"/>
    <w:rsid w:val="26B56E44"/>
    <w:rsid w:val="26B77322"/>
    <w:rsid w:val="26BE651E"/>
    <w:rsid w:val="26C34656"/>
    <w:rsid w:val="26D45EE7"/>
    <w:rsid w:val="26EE1A15"/>
    <w:rsid w:val="26F2003B"/>
    <w:rsid w:val="26FF6F87"/>
    <w:rsid w:val="27057412"/>
    <w:rsid w:val="270A5318"/>
    <w:rsid w:val="27144AB1"/>
    <w:rsid w:val="2723339A"/>
    <w:rsid w:val="27351F66"/>
    <w:rsid w:val="27384469"/>
    <w:rsid w:val="273F35F4"/>
    <w:rsid w:val="27562136"/>
    <w:rsid w:val="27567996"/>
    <w:rsid w:val="276943B7"/>
    <w:rsid w:val="276B793B"/>
    <w:rsid w:val="27833800"/>
    <w:rsid w:val="278C5E2F"/>
    <w:rsid w:val="27A242A0"/>
    <w:rsid w:val="27A25B44"/>
    <w:rsid w:val="27AD03A5"/>
    <w:rsid w:val="27B560EA"/>
    <w:rsid w:val="27B76736"/>
    <w:rsid w:val="27BF4EFA"/>
    <w:rsid w:val="27CC7E96"/>
    <w:rsid w:val="27DF5698"/>
    <w:rsid w:val="27E32A7D"/>
    <w:rsid w:val="27E44945"/>
    <w:rsid w:val="27E5015C"/>
    <w:rsid w:val="27E6366E"/>
    <w:rsid w:val="27F55D0D"/>
    <w:rsid w:val="27F66E28"/>
    <w:rsid w:val="28030DB3"/>
    <w:rsid w:val="280E7144"/>
    <w:rsid w:val="2814420B"/>
    <w:rsid w:val="2830793F"/>
    <w:rsid w:val="2840324C"/>
    <w:rsid w:val="28480BC2"/>
    <w:rsid w:val="285B3300"/>
    <w:rsid w:val="2866507C"/>
    <w:rsid w:val="28690CF4"/>
    <w:rsid w:val="288862F8"/>
    <w:rsid w:val="28972DEE"/>
    <w:rsid w:val="28D10507"/>
    <w:rsid w:val="28D77828"/>
    <w:rsid w:val="28E64C29"/>
    <w:rsid w:val="28E848A9"/>
    <w:rsid w:val="29022D89"/>
    <w:rsid w:val="29187F38"/>
    <w:rsid w:val="291C3EFA"/>
    <w:rsid w:val="292035FB"/>
    <w:rsid w:val="293D5638"/>
    <w:rsid w:val="297E1702"/>
    <w:rsid w:val="298B1251"/>
    <w:rsid w:val="29955CC7"/>
    <w:rsid w:val="29961786"/>
    <w:rsid w:val="299666EB"/>
    <w:rsid w:val="29B5077A"/>
    <w:rsid w:val="29BF2BB6"/>
    <w:rsid w:val="29DA4EA6"/>
    <w:rsid w:val="29E46BEB"/>
    <w:rsid w:val="2A1070B9"/>
    <w:rsid w:val="2A154D50"/>
    <w:rsid w:val="2A187FA1"/>
    <w:rsid w:val="2A327464"/>
    <w:rsid w:val="2A4476BA"/>
    <w:rsid w:val="2A4A0A30"/>
    <w:rsid w:val="2A4D125B"/>
    <w:rsid w:val="2A575DF5"/>
    <w:rsid w:val="2A5F2662"/>
    <w:rsid w:val="2A621B97"/>
    <w:rsid w:val="2A781B3D"/>
    <w:rsid w:val="2A7B49F7"/>
    <w:rsid w:val="2A827ECE"/>
    <w:rsid w:val="2A8847F7"/>
    <w:rsid w:val="2A997AF3"/>
    <w:rsid w:val="2AA42601"/>
    <w:rsid w:val="2AA64513"/>
    <w:rsid w:val="2AC35D53"/>
    <w:rsid w:val="2ACC0256"/>
    <w:rsid w:val="2ADE0AF2"/>
    <w:rsid w:val="2AE42BB2"/>
    <w:rsid w:val="2AEE2B40"/>
    <w:rsid w:val="2B1F055A"/>
    <w:rsid w:val="2B361DB3"/>
    <w:rsid w:val="2B4902A5"/>
    <w:rsid w:val="2B4D58BA"/>
    <w:rsid w:val="2B4F7DDD"/>
    <w:rsid w:val="2B55754C"/>
    <w:rsid w:val="2B5C7552"/>
    <w:rsid w:val="2B7319D4"/>
    <w:rsid w:val="2B797FCD"/>
    <w:rsid w:val="2B822D1E"/>
    <w:rsid w:val="2B9064B5"/>
    <w:rsid w:val="2B9D609C"/>
    <w:rsid w:val="2BA87CB0"/>
    <w:rsid w:val="2BBA6C87"/>
    <w:rsid w:val="2BBD43D2"/>
    <w:rsid w:val="2BD43BBC"/>
    <w:rsid w:val="2BD61B1E"/>
    <w:rsid w:val="2BE05AF2"/>
    <w:rsid w:val="2BE83F94"/>
    <w:rsid w:val="2BFF4E3C"/>
    <w:rsid w:val="2C0E2201"/>
    <w:rsid w:val="2C306AD0"/>
    <w:rsid w:val="2C330390"/>
    <w:rsid w:val="2C347910"/>
    <w:rsid w:val="2C4B74B9"/>
    <w:rsid w:val="2C531551"/>
    <w:rsid w:val="2C586430"/>
    <w:rsid w:val="2C5A3690"/>
    <w:rsid w:val="2C735E22"/>
    <w:rsid w:val="2C864925"/>
    <w:rsid w:val="2C8C1C84"/>
    <w:rsid w:val="2C90248C"/>
    <w:rsid w:val="2CA7004D"/>
    <w:rsid w:val="2CA84DF5"/>
    <w:rsid w:val="2CC35E7E"/>
    <w:rsid w:val="2CCD600C"/>
    <w:rsid w:val="2CD5290E"/>
    <w:rsid w:val="2D0161BF"/>
    <w:rsid w:val="2D0568E8"/>
    <w:rsid w:val="2D06281B"/>
    <w:rsid w:val="2D0D0276"/>
    <w:rsid w:val="2D0F4C79"/>
    <w:rsid w:val="2D2F6885"/>
    <w:rsid w:val="2D355AFF"/>
    <w:rsid w:val="2D452F54"/>
    <w:rsid w:val="2D496D71"/>
    <w:rsid w:val="2D5B1802"/>
    <w:rsid w:val="2D631A2C"/>
    <w:rsid w:val="2D637E86"/>
    <w:rsid w:val="2D703A18"/>
    <w:rsid w:val="2D71729C"/>
    <w:rsid w:val="2D8731D9"/>
    <w:rsid w:val="2DA61CF4"/>
    <w:rsid w:val="2DAC4746"/>
    <w:rsid w:val="2DB20A21"/>
    <w:rsid w:val="2DB27D05"/>
    <w:rsid w:val="2DB83BF4"/>
    <w:rsid w:val="2DD134DE"/>
    <w:rsid w:val="2DD34C40"/>
    <w:rsid w:val="2DD91833"/>
    <w:rsid w:val="2DDB4960"/>
    <w:rsid w:val="2DEB31A8"/>
    <w:rsid w:val="2E163377"/>
    <w:rsid w:val="2E2844F9"/>
    <w:rsid w:val="2E3E316C"/>
    <w:rsid w:val="2E6A74B4"/>
    <w:rsid w:val="2E755845"/>
    <w:rsid w:val="2E9004BA"/>
    <w:rsid w:val="2EB60D00"/>
    <w:rsid w:val="2EB776BB"/>
    <w:rsid w:val="2EBB41A0"/>
    <w:rsid w:val="2ED11FE9"/>
    <w:rsid w:val="2EE31FAD"/>
    <w:rsid w:val="2EEF0DBA"/>
    <w:rsid w:val="2EFB6E53"/>
    <w:rsid w:val="2F0D6CBD"/>
    <w:rsid w:val="2F183EA4"/>
    <w:rsid w:val="2F3903F1"/>
    <w:rsid w:val="2F4053B0"/>
    <w:rsid w:val="2F4B4ACD"/>
    <w:rsid w:val="2F4E0168"/>
    <w:rsid w:val="2F4F2CEC"/>
    <w:rsid w:val="2F566CCB"/>
    <w:rsid w:val="2F68778A"/>
    <w:rsid w:val="2F797671"/>
    <w:rsid w:val="2F8E02C0"/>
    <w:rsid w:val="2F907883"/>
    <w:rsid w:val="2F96282A"/>
    <w:rsid w:val="2FA8130B"/>
    <w:rsid w:val="2FCB3F50"/>
    <w:rsid w:val="2FD00080"/>
    <w:rsid w:val="2FD46457"/>
    <w:rsid w:val="2FDF34CC"/>
    <w:rsid w:val="30282D79"/>
    <w:rsid w:val="302B648E"/>
    <w:rsid w:val="30337A66"/>
    <w:rsid w:val="30377252"/>
    <w:rsid w:val="30583C5F"/>
    <w:rsid w:val="305C300A"/>
    <w:rsid w:val="3073310C"/>
    <w:rsid w:val="30770706"/>
    <w:rsid w:val="3088782E"/>
    <w:rsid w:val="309040EE"/>
    <w:rsid w:val="30B86EC8"/>
    <w:rsid w:val="30C828BB"/>
    <w:rsid w:val="30C93B1B"/>
    <w:rsid w:val="30D41EAC"/>
    <w:rsid w:val="30DE39EB"/>
    <w:rsid w:val="30DF1F1C"/>
    <w:rsid w:val="30E76207"/>
    <w:rsid w:val="30F129EB"/>
    <w:rsid w:val="30F27B2A"/>
    <w:rsid w:val="30F63FD0"/>
    <w:rsid w:val="30FB5342"/>
    <w:rsid w:val="310737DC"/>
    <w:rsid w:val="310C6BDD"/>
    <w:rsid w:val="31120AB3"/>
    <w:rsid w:val="31152915"/>
    <w:rsid w:val="312B5FFA"/>
    <w:rsid w:val="3132131B"/>
    <w:rsid w:val="313708CB"/>
    <w:rsid w:val="313C6C03"/>
    <w:rsid w:val="314D3C8B"/>
    <w:rsid w:val="3157337F"/>
    <w:rsid w:val="315D34D5"/>
    <w:rsid w:val="31607707"/>
    <w:rsid w:val="31614F93"/>
    <w:rsid w:val="318013E6"/>
    <w:rsid w:val="31880B77"/>
    <w:rsid w:val="3195152F"/>
    <w:rsid w:val="31BD57D4"/>
    <w:rsid w:val="31C41B19"/>
    <w:rsid w:val="31CC7B05"/>
    <w:rsid w:val="31E7792A"/>
    <w:rsid w:val="31F4589C"/>
    <w:rsid w:val="3204001F"/>
    <w:rsid w:val="320C0D82"/>
    <w:rsid w:val="32341933"/>
    <w:rsid w:val="323B773B"/>
    <w:rsid w:val="3241672F"/>
    <w:rsid w:val="325669A8"/>
    <w:rsid w:val="327D74E6"/>
    <w:rsid w:val="32923106"/>
    <w:rsid w:val="32927883"/>
    <w:rsid w:val="329C1497"/>
    <w:rsid w:val="32A32CE7"/>
    <w:rsid w:val="32A3744B"/>
    <w:rsid w:val="32A929E4"/>
    <w:rsid w:val="32A97D6C"/>
    <w:rsid w:val="32AE4437"/>
    <w:rsid w:val="32B81357"/>
    <w:rsid w:val="32C46EFB"/>
    <w:rsid w:val="32DA1719"/>
    <w:rsid w:val="32E16668"/>
    <w:rsid w:val="32F66B76"/>
    <w:rsid w:val="330A6248"/>
    <w:rsid w:val="3330169E"/>
    <w:rsid w:val="3339353E"/>
    <w:rsid w:val="333F0CA1"/>
    <w:rsid w:val="333F4524"/>
    <w:rsid w:val="33406F8E"/>
    <w:rsid w:val="335562F2"/>
    <w:rsid w:val="335B28B8"/>
    <w:rsid w:val="335B756D"/>
    <w:rsid w:val="33647095"/>
    <w:rsid w:val="337E7513"/>
    <w:rsid w:val="33821AC6"/>
    <w:rsid w:val="3387799C"/>
    <w:rsid w:val="33964F33"/>
    <w:rsid w:val="33A36092"/>
    <w:rsid w:val="33AB1655"/>
    <w:rsid w:val="33B47D62"/>
    <w:rsid w:val="33CE16BB"/>
    <w:rsid w:val="33DC061F"/>
    <w:rsid w:val="33EB0FE6"/>
    <w:rsid w:val="33EC20BE"/>
    <w:rsid w:val="33F73CD2"/>
    <w:rsid w:val="340071C9"/>
    <w:rsid w:val="34007B54"/>
    <w:rsid w:val="340D480C"/>
    <w:rsid w:val="34102CBB"/>
    <w:rsid w:val="34146041"/>
    <w:rsid w:val="341472E4"/>
    <w:rsid w:val="343C1C5C"/>
    <w:rsid w:val="3465237D"/>
    <w:rsid w:val="346F6E14"/>
    <w:rsid w:val="34856DB9"/>
    <w:rsid w:val="348F514A"/>
    <w:rsid w:val="34926A8E"/>
    <w:rsid w:val="34A60BAD"/>
    <w:rsid w:val="34AA7670"/>
    <w:rsid w:val="34CF7808"/>
    <w:rsid w:val="34EA6050"/>
    <w:rsid w:val="34F23B6A"/>
    <w:rsid w:val="34F43020"/>
    <w:rsid w:val="35066E22"/>
    <w:rsid w:val="350B4467"/>
    <w:rsid w:val="35251CAC"/>
    <w:rsid w:val="35303C9C"/>
    <w:rsid w:val="35375371"/>
    <w:rsid w:val="35425EBC"/>
    <w:rsid w:val="354748F9"/>
    <w:rsid w:val="3554290A"/>
    <w:rsid w:val="35714CEC"/>
    <w:rsid w:val="3577284C"/>
    <w:rsid w:val="357E6FD1"/>
    <w:rsid w:val="3586402F"/>
    <w:rsid w:val="35AB4AF2"/>
    <w:rsid w:val="35BA60CE"/>
    <w:rsid w:val="35C64FA4"/>
    <w:rsid w:val="35D34A50"/>
    <w:rsid w:val="35F627B0"/>
    <w:rsid w:val="35F75996"/>
    <w:rsid w:val="35FA7506"/>
    <w:rsid w:val="360B5204"/>
    <w:rsid w:val="36137092"/>
    <w:rsid w:val="3614109A"/>
    <w:rsid w:val="361A1358"/>
    <w:rsid w:val="362D6659"/>
    <w:rsid w:val="363D43F7"/>
    <w:rsid w:val="36440217"/>
    <w:rsid w:val="364D63A5"/>
    <w:rsid w:val="36584736"/>
    <w:rsid w:val="36622AC7"/>
    <w:rsid w:val="366D0E58"/>
    <w:rsid w:val="366D544B"/>
    <w:rsid w:val="367017DF"/>
    <w:rsid w:val="36785697"/>
    <w:rsid w:val="36810DD3"/>
    <w:rsid w:val="36877589"/>
    <w:rsid w:val="369D5511"/>
    <w:rsid w:val="36AB29A5"/>
    <w:rsid w:val="36AE2259"/>
    <w:rsid w:val="36C450EA"/>
    <w:rsid w:val="36C84394"/>
    <w:rsid w:val="36D3022A"/>
    <w:rsid w:val="36DB2974"/>
    <w:rsid w:val="36E848DB"/>
    <w:rsid w:val="36FB3F3F"/>
    <w:rsid w:val="37146BC9"/>
    <w:rsid w:val="371C1F09"/>
    <w:rsid w:val="3730221B"/>
    <w:rsid w:val="373A52D0"/>
    <w:rsid w:val="373C022C"/>
    <w:rsid w:val="3751494E"/>
    <w:rsid w:val="37572CFC"/>
    <w:rsid w:val="376748F3"/>
    <w:rsid w:val="37910FBB"/>
    <w:rsid w:val="379C6468"/>
    <w:rsid w:val="37C1568B"/>
    <w:rsid w:val="37C83693"/>
    <w:rsid w:val="37CA3313"/>
    <w:rsid w:val="37D47D53"/>
    <w:rsid w:val="37F415DE"/>
    <w:rsid w:val="380B4A96"/>
    <w:rsid w:val="380F65E9"/>
    <w:rsid w:val="381A07B8"/>
    <w:rsid w:val="381A0E1A"/>
    <w:rsid w:val="38203D22"/>
    <w:rsid w:val="383A5F45"/>
    <w:rsid w:val="383C7934"/>
    <w:rsid w:val="38481516"/>
    <w:rsid w:val="3855085D"/>
    <w:rsid w:val="386808A1"/>
    <w:rsid w:val="38723532"/>
    <w:rsid w:val="38811F1D"/>
    <w:rsid w:val="38972A67"/>
    <w:rsid w:val="389771E3"/>
    <w:rsid w:val="389A62DA"/>
    <w:rsid w:val="38BC3EAA"/>
    <w:rsid w:val="38C15124"/>
    <w:rsid w:val="38C36BB2"/>
    <w:rsid w:val="38CB4381"/>
    <w:rsid w:val="38DF6494"/>
    <w:rsid w:val="38E21C1C"/>
    <w:rsid w:val="38E31861"/>
    <w:rsid w:val="38F81807"/>
    <w:rsid w:val="390B0ADC"/>
    <w:rsid w:val="392D4DC0"/>
    <w:rsid w:val="392F3EDF"/>
    <w:rsid w:val="393E2392"/>
    <w:rsid w:val="39440601"/>
    <w:rsid w:val="39462149"/>
    <w:rsid w:val="396244AB"/>
    <w:rsid w:val="399E086E"/>
    <w:rsid w:val="39D236E8"/>
    <w:rsid w:val="39FE50DA"/>
    <w:rsid w:val="3A1C1D86"/>
    <w:rsid w:val="3A1E5D66"/>
    <w:rsid w:val="3A22168E"/>
    <w:rsid w:val="3A30505A"/>
    <w:rsid w:val="3A4B571A"/>
    <w:rsid w:val="3A6C2BE7"/>
    <w:rsid w:val="3A763C7D"/>
    <w:rsid w:val="3A941C22"/>
    <w:rsid w:val="3AA2382E"/>
    <w:rsid w:val="3AAE7CDB"/>
    <w:rsid w:val="3AD044EB"/>
    <w:rsid w:val="3AF834CA"/>
    <w:rsid w:val="3B0D5F9C"/>
    <w:rsid w:val="3B1C3910"/>
    <w:rsid w:val="3B2D17A6"/>
    <w:rsid w:val="3B312FDB"/>
    <w:rsid w:val="3B313756"/>
    <w:rsid w:val="3B3B0D2B"/>
    <w:rsid w:val="3B460D16"/>
    <w:rsid w:val="3B4E3ED9"/>
    <w:rsid w:val="3B5C5035"/>
    <w:rsid w:val="3B6405FB"/>
    <w:rsid w:val="3B80172C"/>
    <w:rsid w:val="3B840969"/>
    <w:rsid w:val="3B8E15D1"/>
    <w:rsid w:val="3BB02C79"/>
    <w:rsid w:val="3BC33558"/>
    <w:rsid w:val="3BC458B1"/>
    <w:rsid w:val="3BC83F3F"/>
    <w:rsid w:val="3BCC5D30"/>
    <w:rsid w:val="3BF33D2E"/>
    <w:rsid w:val="3BF5015D"/>
    <w:rsid w:val="3BF648F6"/>
    <w:rsid w:val="3BFE1AE5"/>
    <w:rsid w:val="3C031852"/>
    <w:rsid w:val="3C06235F"/>
    <w:rsid w:val="3C111A19"/>
    <w:rsid w:val="3C1C7DAA"/>
    <w:rsid w:val="3C23492C"/>
    <w:rsid w:val="3C382EB9"/>
    <w:rsid w:val="3C3940C1"/>
    <w:rsid w:val="3C610061"/>
    <w:rsid w:val="3C682428"/>
    <w:rsid w:val="3C73403C"/>
    <w:rsid w:val="3C774409"/>
    <w:rsid w:val="3C7D23CD"/>
    <w:rsid w:val="3C926AEF"/>
    <w:rsid w:val="3C981184"/>
    <w:rsid w:val="3CC911C7"/>
    <w:rsid w:val="3D007123"/>
    <w:rsid w:val="3D036F70"/>
    <w:rsid w:val="3D133109"/>
    <w:rsid w:val="3D153845"/>
    <w:rsid w:val="3D2275CB"/>
    <w:rsid w:val="3D2B37EA"/>
    <w:rsid w:val="3D351B7B"/>
    <w:rsid w:val="3D3A2E7D"/>
    <w:rsid w:val="3D691F66"/>
    <w:rsid w:val="3D6F50AB"/>
    <w:rsid w:val="3D705C49"/>
    <w:rsid w:val="3D787ED7"/>
    <w:rsid w:val="3D802463"/>
    <w:rsid w:val="3D816928"/>
    <w:rsid w:val="3D8703EF"/>
    <w:rsid w:val="3D97091B"/>
    <w:rsid w:val="3D98059B"/>
    <w:rsid w:val="3D982675"/>
    <w:rsid w:val="3DBF3EE9"/>
    <w:rsid w:val="3DC47DA2"/>
    <w:rsid w:val="3DC660E6"/>
    <w:rsid w:val="3DD07EE6"/>
    <w:rsid w:val="3DD6576A"/>
    <w:rsid w:val="3DE07FC6"/>
    <w:rsid w:val="3DFC6A96"/>
    <w:rsid w:val="3E263682"/>
    <w:rsid w:val="3E385596"/>
    <w:rsid w:val="3E5B0A28"/>
    <w:rsid w:val="3E5B60DB"/>
    <w:rsid w:val="3E667CEF"/>
    <w:rsid w:val="3E675786"/>
    <w:rsid w:val="3E6B6905"/>
    <w:rsid w:val="3E706080"/>
    <w:rsid w:val="3E7B6CA0"/>
    <w:rsid w:val="3E7E15D9"/>
    <w:rsid w:val="3E845248"/>
    <w:rsid w:val="3E8C6463"/>
    <w:rsid w:val="3E9207B3"/>
    <w:rsid w:val="3E9C23C7"/>
    <w:rsid w:val="3E9D50AA"/>
    <w:rsid w:val="3EA0523B"/>
    <w:rsid w:val="3EBB39E0"/>
    <w:rsid w:val="3EC53232"/>
    <w:rsid w:val="3EE226FF"/>
    <w:rsid w:val="3EE811C2"/>
    <w:rsid w:val="3EE97CF2"/>
    <w:rsid w:val="3EF32DD6"/>
    <w:rsid w:val="3F6A6298"/>
    <w:rsid w:val="3F7A0DC4"/>
    <w:rsid w:val="3F886E96"/>
    <w:rsid w:val="3F9625DF"/>
    <w:rsid w:val="3FA00970"/>
    <w:rsid w:val="3FB056D9"/>
    <w:rsid w:val="3FC162AD"/>
    <w:rsid w:val="3FC23A90"/>
    <w:rsid w:val="3FD508B8"/>
    <w:rsid w:val="3FD651E4"/>
    <w:rsid w:val="3FD768CC"/>
    <w:rsid w:val="3FDB6209"/>
    <w:rsid w:val="3FED5AC6"/>
    <w:rsid w:val="3FF7137F"/>
    <w:rsid w:val="3FF74C02"/>
    <w:rsid w:val="40094C04"/>
    <w:rsid w:val="400A4A90"/>
    <w:rsid w:val="401313B0"/>
    <w:rsid w:val="40534E28"/>
    <w:rsid w:val="405825F7"/>
    <w:rsid w:val="405923E6"/>
    <w:rsid w:val="405939A2"/>
    <w:rsid w:val="40601D0F"/>
    <w:rsid w:val="406836B5"/>
    <w:rsid w:val="407C6BD1"/>
    <w:rsid w:val="408F0EAE"/>
    <w:rsid w:val="408F27F7"/>
    <w:rsid w:val="40A5068E"/>
    <w:rsid w:val="40BD3E33"/>
    <w:rsid w:val="40C50AD3"/>
    <w:rsid w:val="40D40B18"/>
    <w:rsid w:val="40FB31AB"/>
    <w:rsid w:val="410A761D"/>
    <w:rsid w:val="411642CA"/>
    <w:rsid w:val="41314D27"/>
    <w:rsid w:val="413836F0"/>
    <w:rsid w:val="413A01C4"/>
    <w:rsid w:val="413D7498"/>
    <w:rsid w:val="414C14C4"/>
    <w:rsid w:val="4153727E"/>
    <w:rsid w:val="415D3B7A"/>
    <w:rsid w:val="41696821"/>
    <w:rsid w:val="416C7764"/>
    <w:rsid w:val="41723BAB"/>
    <w:rsid w:val="418F17F8"/>
    <w:rsid w:val="41934623"/>
    <w:rsid w:val="419351D2"/>
    <w:rsid w:val="419E6238"/>
    <w:rsid w:val="41C0096A"/>
    <w:rsid w:val="41C67977"/>
    <w:rsid w:val="41CA257F"/>
    <w:rsid w:val="41CB0834"/>
    <w:rsid w:val="41CF4E16"/>
    <w:rsid w:val="41F45490"/>
    <w:rsid w:val="41FA7BBA"/>
    <w:rsid w:val="420603C3"/>
    <w:rsid w:val="421978FA"/>
    <w:rsid w:val="421F0171"/>
    <w:rsid w:val="422C131F"/>
    <w:rsid w:val="423132EF"/>
    <w:rsid w:val="42336ABE"/>
    <w:rsid w:val="42356959"/>
    <w:rsid w:val="424B11A0"/>
    <w:rsid w:val="428059A4"/>
    <w:rsid w:val="42856D66"/>
    <w:rsid w:val="42976CF4"/>
    <w:rsid w:val="42B72B80"/>
    <w:rsid w:val="42BE3BB6"/>
    <w:rsid w:val="42C8103A"/>
    <w:rsid w:val="42CD1F4D"/>
    <w:rsid w:val="42E60377"/>
    <w:rsid w:val="42F57A70"/>
    <w:rsid w:val="430471B3"/>
    <w:rsid w:val="430A46C2"/>
    <w:rsid w:val="431A0EF9"/>
    <w:rsid w:val="43251536"/>
    <w:rsid w:val="432D4903"/>
    <w:rsid w:val="43373840"/>
    <w:rsid w:val="433B14DC"/>
    <w:rsid w:val="4345786D"/>
    <w:rsid w:val="4351587E"/>
    <w:rsid w:val="435C3C0F"/>
    <w:rsid w:val="43675823"/>
    <w:rsid w:val="43794061"/>
    <w:rsid w:val="43873B5A"/>
    <w:rsid w:val="43911EEB"/>
    <w:rsid w:val="439A3A3D"/>
    <w:rsid w:val="439E7EFB"/>
    <w:rsid w:val="43A53A1F"/>
    <w:rsid w:val="43AF3777"/>
    <w:rsid w:val="43B03CB9"/>
    <w:rsid w:val="43B3461E"/>
    <w:rsid w:val="43BA4333"/>
    <w:rsid w:val="43BF6A38"/>
    <w:rsid w:val="43CB4385"/>
    <w:rsid w:val="43CD58AE"/>
    <w:rsid w:val="43DB0DDE"/>
    <w:rsid w:val="43EB49A6"/>
    <w:rsid w:val="43F30C8A"/>
    <w:rsid w:val="43F755B6"/>
    <w:rsid w:val="44035AB5"/>
    <w:rsid w:val="441210D7"/>
    <w:rsid w:val="441F290D"/>
    <w:rsid w:val="44434957"/>
    <w:rsid w:val="444B2AEC"/>
    <w:rsid w:val="446012BE"/>
    <w:rsid w:val="44605A3B"/>
    <w:rsid w:val="447C017F"/>
    <w:rsid w:val="44805AED"/>
    <w:rsid w:val="448A0C11"/>
    <w:rsid w:val="44AC00B9"/>
    <w:rsid w:val="44D213BB"/>
    <w:rsid w:val="44D74780"/>
    <w:rsid w:val="44E06169"/>
    <w:rsid w:val="44E32791"/>
    <w:rsid w:val="44EE0B22"/>
    <w:rsid w:val="44FA2139"/>
    <w:rsid w:val="4504577A"/>
    <w:rsid w:val="45120D24"/>
    <w:rsid w:val="451C2449"/>
    <w:rsid w:val="45246B2D"/>
    <w:rsid w:val="454D18EC"/>
    <w:rsid w:val="456F5BF8"/>
    <w:rsid w:val="45701E62"/>
    <w:rsid w:val="45877A00"/>
    <w:rsid w:val="458E7D51"/>
    <w:rsid w:val="459C4891"/>
    <w:rsid w:val="45A76363"/>
    <w:rsid w:val="45A85F11"/>
    <w:rsid w:val="45A909CC"/>
    <w:rsid w:val="45AA787E"/>
    <w:rsid w:val="45B052FB"/>
    <w:rsid w:val="45B2071B"/>
    <w:rsid w:val="45BB0276"/>
    <w:rsid w:val="45DD622C"/>
    <w:rsid w:val="45E745BD"/>
    <w:rsid w:val="461F238A"/>
    <w:rsid w:val="46240738"/>
    <w:rsid w:val="4648364C"/>
    <w:rsid w:val="465D2E57"/>
    <w:rsid w:val="467576A4"/>
    <w:rsid w:val="4678463E"/>
    <w:rsid w:val="467F28D6"/>
    <w:rsid w:val="467F5A35"/>
    <w:rsid w:val="46804B5E"/>
    <w:rsid w:val="46822629"/>
    <w:rsid w:val="4687753F"/>
    <w:rsid w:val="46882C40"/>
    <w:rsid w:val="468A3DC6"/>
    <w:rsid w:val="46AC746A"/>
    <w:rsid w:val="46AF0597"/>
    <w:rsid w:val="46B92AC9"/>
    <w:rsid w:val="46BE17B5"/>
    <w:rsid w:val="46DB14F6"/>
    <w:rsid w:val="46E0244A"/>
    <w:rsid w:val="46EB1E19"/>
    <w:rsid w:val="46EC63E9"/>
    <w:rsid w:val="46FA3E3E"/>
    <w:rsid w:val="470F5488"/>
    <w:rsid w:val="47264363"/>
    <w:rsid w:val="472D6E53"/>
    <w:rsid w:val="472F26C7"/>
    <w:rsid w:val="47300CEA"/>
    <w:rsid w:val="473577B6"/>
    <w:rsid w:val="47495CA6"/>
    <w:rsid w:val="47552A09"/>
    <w:rsid w:val="47552BD4"/>
    <w:rsid w:val="475F6123"/>
    <w:rsid w:val="4764152B"/>
    <w:rsid w:val="47675637"/>
    <w:rsid w:val="476C7D9E"/>
    <w:rsid w:val="47886144"/>
    <w:rsid w:val="47BA1F3A"/>
    <w:rsid w:val="47C421DE"/>
    <w:rsid w:val="47C509CD"/>
    <w:rsid w:val="47E13534"/>
    <w:rsid w:val="481B035E"/>
    <w:rsid w:val="481B66E7"/>
    <w:rsid w:val="481C0CDA"/>
    <w:rsid w:val="481D4366"/>
    <w:rsid w:val="483B7ED6"/>
    <w:rsid w:val="483C7010"/>
    <w:rsid w:val="485352A2"/>
    <w:rsid w:val="48652227"/>
    <w:rsid w:val="486773FF"/>
    <w:rsid w:val="487216E8"/>
    <w:rsid w:val="4876631D"/>
    <w:rsid w:val="487D7A79"/>
    <w:rsid w:val="48833B12"/>
    <w:rsid w:val="48927A1F"/>
    <w:rsid w:val="48970640"/>
    <w:rsid w:val="489931BE"/>
    <w:rsid w:val="48AC16F5"/>
    <w:rsid w:val="48BA2347"/>
    <w:rsid w:val="48C02E46"/>
    <w:rsid w:val="48D43D0B"/>
    <w:rsid w:val="48FC4D03"/>
    <w:rsid w:val="491327F5"/>
    <w:rsid w:val="491F1D46"/>
    <w:rsid w:val="492F35C3"/>
    <w:rsid w:val="493E058B"/>
    <w:rsid w:val="493F4E7D"/>
    <w:rsid w:val="495E76D4"/>
    <w:rsid w:val="49744BC5"/>
    <w:rsid w:val="4998062F"/>
    <w:rsid w:val="49B90A63"/>
    <w:rsid w:val="49C35B92"/>
    <w:rsid w:val="49C83D50"/>
    <w:rsid w:val="49CB179D"/>
    <w:rsid w:val="49CD2D43"/>
    <w:rsid w:val="49D52977"/>
    <w:rsid w:val="49E16B78"/>
    <w:rsid w:val="49F60156"/>
    <w:rsid w:val="49F70381"/>
    <w:rsid w:val="49F805EB"/>
    <w:rsid w:val="4A0465FC"/>
    <w:rsid w:val="4A0F0210"/>
    <w:rsid w:val="4A244932"/>
    <w:rsid w:val="4A2F5DF4"/>
    <w:rsid w:val="4A2F7503"/>
    <w:rsid w:val="4A381CE6"/>
    <w:rsid w:val="4A41428E"/>
    <w:rsid w:val="4A442959"/>
    <w:rsid w:val="4A4D643A"/>
    <w:rsid w:val="4A8B16D5"/>
    <w:rsid w:val="4A8E27F2"/>
    <w:rsid w:val="4A9216E3"/>
    <w:rsid w:val="4A92284C"/>
    <w:rsid w:val="4A953773"/>
    <w:rsid w:val="4AA71688"/>
    <w:rsid w:val="4AB146F6"/>
    <w:rsid w:val="4ABD162D"/>
    <w:rsid w:val="4AD0171C"/>
    <w:rsid w:val="4B083B54"/>
    <w:rsid w:val="4B1E03CD"/>
    <w:rsid w:val="4B24638B"/>
    <w:rsid w:val="4B2A2522"/>
    <w:rsid w:val="4B2D1DD5"/>
    <w:rsid w:val="4B2E0938"/>
    <w:rsid w:val="4B317E6A"/>
    <w:rsid w:val="4B3931B1"/>
    <w:rsid w:val="4B3F2B00"/>
    <w:rsid w:val="4B446ABB"/>
    <w:rsid w:val="4B470932"/>
    <w:rsid w:val="4B547222"/>
    <w:rsid w:val="4B633B15"/>
    <w:rsid w:val="4B6A71C8"/>
    <w:rsid w:val="4B812054"/>
    <w:rsid w:val="4B862F51"/>
    <w:rsid w:val="4B8717C9"/>
    <w:rsid w:val="4B9D70A8"/>
    <w:rsid w:val="4BA018A0"/>
    <w:rsid w:val="4BAA12BB"/>
    <w:rsid w:val="4BB35EAD"/>
    <w:rsid w:val="4BE10D78"/>
    <w:rsid w:val="4BEA46D4"/>
    <w:rsid w:val="4C113C0C"/>
    <w:rsid w:val="4C2A0C95"/>
    <w:rsid w:val="4C440622"/>
    <w:rsid w:val="4C4E2CBD"/>
    <w:rsid w:val="4C5259B6"/>
    <w:rsid w:val="4C58104F"/>
    <w:rsid w:val="4C633A2C"/>
    <w:rsid w:val="4C667DDD"/>
    <w:rsid w:val="4C7A7005"/>
    <w:rsid w:val="4C7B6DD1"/>
    <w:rsid w:val="4C855396"/>
    <w:rsid w:val="4C922D47"/>
    <w:rsid w:val="4C9939FD"/>
    <w:rsid w:val="4CAE1754"/>
    <w:rsid w:val="4CB766A1"/>
    <w:rsid w:val="4CB94CBD"/>
    <w:rsid w:val="4CC966D2"/>
    <w:rsid w:val="4CCC3DE0"/>
    <w:rsid w:val="4CD52D8A"/>
    <w:rsid w:val="4CEC78F2"/>
    <w:rsid w:val="4CF124C7"/>
    <w:rsid w:val="4CF37491"/>
    <w:rsid w:val="4D10732C"/>
    <w:rsid w:val="4D242502"/>
    <w:rsid w:val="4D2C2AA8"/>
    <w:rsid w:val="4D367D9F"/>
    <w:rsid w:val="4D471F46"/>
    <w:rsid w:val="4D472ED5"/>
    <w:rsid w:val="4D5D2E7B"/>
    <w:rsid w:val="4D616647"/>
    <w:rsid w:val="4D91494B"/>
    <w:rsid w:val="4D995CD5"/>
    <w:rsid w:val="4DA37C5A"/>
    <w:rsid w:val="4DAD5661"/>
    <w:rsid w:val="4DC0189A"/>
    <w:rsid w:val="4DC82D45"/>
    <w:rsid w:val="4DCA2D01"/>
    <w:rsid w:val="4DEB17E5"/>
    <w:rsid w:val="4E0052A7"/>
    <w:rsid w:val="4E005F07"/>
    <w:rsid w:val="4E0C3F18"/>
    <w:rsid w:val="4E2C2388"/>
    <w:rsid w:val="4E3C31C0"/>
    <w:rsid w:val="4E3F43D0"/>
    <w:rsid w:val="4E416971"/>
    <w:rsid w:val="4E4C0585"/>
    <w:rsid w:val="4E6B144B"/>
    <w:rsid w:val="4E702218"/>
    <w:rsid w:val="4E98737F"/>
    <w:rsid w:val="4EC436C7"/>
    <w:rsid w:val="4ECA213D"/>
    <w:rsid w:val="4ED11598"/>
    <w:rsid w:val="4ED268AD"/>
    <w:rsid w:val="4ED97DE9"/>
    <w:rsid w:val="4EDA07F6"/>
    <w:rsid w:val="4EE419FD"/>
    <w:rsid w:val="4F0530E8"/>
    <w:rsid w:val="4F2A15B6"/>
    <w:rsid w:val="4F45079D"/>
    <w:rsid w:val="4F53084F"/>
    <w:rsid w:val="4F5C4B3F"/>
    <w:rsid w:val="4F6876BA"/>
    <w:rsid w:val="4F8F5F1B"/>
    <w:rsid w:val="4F970321"/>
    <w:rsid w:val="4F995EE0"/>
    <w:rsid w:val="4F9E0986"/>
    <w:rsid w:val="4F9F113D"/>
    <w:rsid w:val="4FC47458"/>
    <w:rsid w:val="4FC779C9"/>
    <w:rsid w:val="4FD05C75"/>
    <w:rsid w:val="4FDD1C15"/>
    <w:rsid w:val="4FE035E4"/>
    <w:rsid w:val="4FE35DA9"/>
    <w:rsid w:val="4FE50E34"/>
    <w:rsid w:val="50007BF7"/>
    <w:rsid w:val="50095F5C"/>
    <w:rsid w:val="500C0396"/>
    <w:rsid w:val="500E2482"/>
    <w:rsid w:val="50111D35"/>
    <w:rsid w:val="501F3059"/>
    <w:rsid w:val="5031410F"/>
    <w:rsid w:val="50324346"/>
    <w:rsid w:val="50364D27"/>
    <w:rsid w:val="504401FC"/>
    <w:rsid w:val="504D3DB0"/>
    <w:rsid w:val="505B5BA5"/>
    <w:rsid w:val="50824A1F"/>
    <w:rsid w:val="509C206F"/>
    <w:rsid w:val="50AE3851"/>
    <w:rsid w:val="50B24450"/>
    <w:rsid w:val="50B64AC7"/>
    <w:rsid w:val="50C64592"/>
    <w:rsid w:val="50C87487"/>
    <w:rsid w:val="50D1662A"/>
    <w:rsid w:val="50D756B0"/>
    <w:rsid w:val="50D93B89"/>
    <w:rsid w:val="51192EEC"/>
    <w:rsid w:val="51342FC5"/>
    <w:rsid w:val="5143034E"/>
    <w:rsid w:val="515A2406"/>
    <w:rsid w:val="515E64E3"/>
    <w:rsid w:val="517A073C"/>
    <w:rsid w:val="519B2E6F"/>
    <w:rsid w:val="51A22FBA"/>
    <w:rsid w:val="51A66502"/>
    <w:rsid w:val="51AF0042"/>
    <w:rsid w:val="51B50889"/>
    <w:rsid w:val="51C447EE"/>
    <w:rsid w:val="51C554D3"/>
    <w:rsid w:val="51D83EF1"/>
    <w:rsid w:val="51DB025D"/>
    <w:rsid w:val="51E56063"/>
    <w:rsid w:val="51E754ED"/>
    <w:rsid w:val="51EC253F"/>
    <w:rsid w:val="51F2387E"/>
    <w:rsid w:val="51FD7373"/>
    <w:rsid w:val="51FE26DC"/>
    <w:rsid w:val="52077FA0"/>
    <w:rsid w:val="5212056B"/>
    <w:rsid w:val="52230706"/>
    <w:rsid w:val="52506A55"/>
    <w:rsid w:val="525E09AF"/>
    <w:rsid w:val="525E4232"/>
    <w:rsid w:val="526C2F7E"/>
    <w:rsid w:val="527F6965"/>
    <w:rsid w:val="52824377"/>
    <w:rsid w:val="528B16C4"/>
    <w:rsid w:val="52AF1CF2"/>
    <w:rsid w:val="52BE1C5A"/>
    <w:rsid w:val="52C62729"/>
    <w:rsid w:val="52D576F4"/>
    <w:rsid w:val="52E414F9"/>
    <w:rsid w:val="52EC7319"/>
    <w:rsid w:val="52EE66EE"/>
    <w:rsid w:val="52FB0193"/>
    <w:rsid w:val="5303076F"/>
    <w:rsid w:val="530D7DD9"/>
    <w:rsid w:val="531D4E6E"/>
    <w:rsid w:val="53275B7A"/>
    <w:rsid w:val="533B1A6A"/>
    <w:rsid w:val="53513105"/>
    <w:rsid w:val="5357444A"/>
    <w:rsid w:val="53654A31"/>
    <w:rsid w:val="536C25C9"/>
    <w:rsid w:val="537E6C32"/>
    <w:rsid w:val="538D10A1"/>
    <w:rsid w:val="539043FD"/>
    <w:rsid w:val="53935E8C"/>
    <w:rsid w:val="53A0243D"/>
    <w:rsid w:val="53B039C9"/>
    <w:rsid w:val="53C16B69"/>
    <w:rsid w:val="53DE30B6"/>
    <w:rsid w:val="54060D24"/>
    <w:rsid w:val="54103BF9"/>
    <w:rsid w:val="5417545E"/>
    <w:rsid w:val="54344CC5"/>
    <w:rsid w:val="543F0B42"/>
    <w:rsid w:val="5446402E"/>
    <w:rsid w:val="546F2152"/>
    <w:rsid w:val="54722618"/>
    <w:rsid w:val="549D6CE0"/>
    <w:rsid w:val="54BF384D"/>
    <w:rsid w:val="54C82FEC"/>
    <w:rsid w:val="54D346F7"/>
    <w:rsid w:val="54DE3ED5"/>
    <w:rsid w:val="54DE7749"/>
    <w:rsid w:val="55092633"/>
    <w:rsid w:val="5518232A"/>
    <w:rsid w:val="55325CA7"/>
    <w:rsid w:val="55401D6C"/>
    <w:rsid w:val="555B2718"/>
    <w:rsid w:val="556C60B3"/>
    <w:rsid w:val="556F5AEB"/>
    <w:rsid w:val="55713A0C"/>
    <w:rsid w:val="55834BD6"/>
    <w:rsid w:val="55956C35"/>
    <w:rsid w:val="5597277B"/>
    <w:rsid w:val="55AD6B1D"/>
    <w:rsid w:val="55BB102A"/>
    <w:rsid w:val="55C435D9"/>
    <w:rsid w:val="55D03847"/>
    <w:rsid w:val="55E1672F"/>
    <w:rsid w:val="55ED318A"/>
    <w:rsid w:val="561130D2"/>
    <w:rsid w:val="56186F39"/>
    <w:rsid w:val="56192400"/>
    <w:rsid w:val="561A74D1"/>
    <w:rsid w:val="56245862"/>
    <w:rsid w:val="5638444F"/>
    <w:rsid w:val="56577842"/>
    <w:rsid w:val="566D69E8"/>
    <w:rsid w:val="567B29ED"/>
    <w:rsid w:val="567C7314"/>
    <w:rsid w:val="568103DE"/>
    <w:rsid w:val="56991107"/>
    <w:rsid w:val="56C708EE"/>
    <w:rsid w:val="56C7506B"/>
    <w:rsid w:val="56E803BD"/>
    <w:rsid w:val="56E83021"/>
    <w:rsid w:val="56F05F03"/>
    <w:rsid w:val="56F11CA8"/>
    <w:rsid w:val="570B4B3B"/>
    <w:rsid w:val="57146E62"/>
    <w:rsid w:val="5728768E"/>
    <w:rsid w:val="57346DB6"/>
    <w:rsid w:val="573E3DB0"/>
    <w:rsid w:val="57457ECF"/>
    <w:rsid w:val="574A1DC1"/>
    <w:rsid w:val="574B2DB4"/>
    <w:rsid w:val="574C40F3"/>
    <w:rsid w:val="57593233"/>
    <w:rsid w:val="57845350"/>
    <w:rsid w:val="579B6228"/>
    <w:rsid w:val="579F2900"/>
    <w:rsid w:val="57A84671"/>
    <w:rsid w:val="57B07CF6"/>
    <w:rsid w:val="57C306F2"/>
    <w:rsid w:val="57D07061"/>
    <w:rsid w:val="57E037AE"/>
    <w:rsid w:val="57F71C6A"/>
    <w:rsid w:val="58273541"/>
    <w:rsid w:val="582B202C"/>
    <w:rsid w:val="58342E26"/>
    <w:rsid w:val="584E3BED"/>
    <w:rsid w:val="585811E3"/>
    <w:rsid w:val="58615D19"/>
    <w:rsid w:val="5863030F"/>
    <w:rsid w:val="587128BE"/>
    <w:rsid w:val="58761C12"/>
    <w:rsid w:val="587963C3"/>
    <w:rsid w:val="587B5783"/>
    <w:rsid w:val="5885257E"/>
    <w:rsid w:val="588F0658"/>
    <w:rsid w:val="589266DE"/>
    <w:rsid w:val="58A21AEA"/>
    <w:rsid w:val="58A35ACA"/>
    <w:rsid w:val="58AA08F7"/>
    <w:rsid w:val="58BE4FE1"/>
    <w:rsid w:val="58C52932"/>
    <w:rsid w:val="58D47163"/>
    <w:rsid w:val="58DB39CA"/>
    <w:rsid w:val="58E16ECA"/>
    <w:rsid w:val="58E264A6"/>
    <w:rsid w:val="58F2646F"/>
    <w:rsid w:val="59026DEA"/>
    <w:rsid w:val="590B22B6"/>
    <w:rsid w:val="59136D61"/>
    <w:rsid w:val="591E7274"/>
    <w:rsid w:val="592848E7"/>
    <w:rsid w:val="592F0A2D"/>
    <w:rsid w:val="59360D46"/>
    <w:rsid w:val="593E028A"/>
    <w:rsid w:val="5967213C"/>
    <w:rsid w:val="598115F3"/>
    <w:rsid w:val="59927C91"/>
    <w:rsid w:val="599E0097"/>
    <w:rsid w:val="59A76F85"/>
    <w:rsid w:val="59B356F1"/>
    <w:rsid w:val="59B3729E"/>
    <w:rsid w:val="59B4070F"/>
    <w:rsid w:val="59B447B9"/>
    <w:rsid w:val="59C72ADE"/>
    <w:rsid w:val="59C73CC2"/>
    <w:rsid w:val="59DE54D0"/>
    <w:rsid w:val="59E00B01"/>
    <w:rsid w:val="59FF35B4"/>
    <w:rsid w:val="5A002A68"/>
    <w:rsid w:val="5A010FCF"/>
    <w:rsid w:val="5A0805BF"/>
    <w:rsid w:val="5A153559"/>
    <w:rsid w:val="5A1910A8"/>
    <w:rsid w:val="5A1D4B1B"/>
    <w:rsid w:val="5A24584D"/>
    <w:rsid w:val="5A2D72EF"/>
    <w:rsid w:val="5A3402FE"/>
    <w:rsid w:val="5A3C59AC"/>
    <w:rsid w:val="5A441519"/>
    <w:rsid w:val="5A4B3C5E"/>
    <w:rsid w:val="5A576CBB"/>
    <w:rsid w:val="5A891731"/>
    <w:rsid w:val="5AA155C3"/>
    <w:rsid w:val="5AA26640"/>
    <w:rsid w:val="5AB35DB8"/>
    <w:rsid w:val="5AE4292D"/>
    <w:rsid w:val="5B010AE0"/>
    <w:rsid w:val="5B027875"/>
    <w:rsid w:val="5B042973"/>
    <w:rsid w:val="5B0436CF"/>
    <w:rsid w:val="5B317840"/>
    <w:rsid w:val="5B3943C9"/>
    <w:rsid w:val="5B3A7AB8"/>
    <w:rsid w:val="5B3D4FAA"/>
    <w:rsid w:val="5B5C67F9"/>
    <w:rsid w:val="5B5E0B3C"/>
    <w:rsid w:val="5B8A3A90"/>
    <w:rsid w:val="5BC86423"/>
    <w:rsid w:val="5BCC0157"/>
    <w:rsid w:val="5BD347B4"/>
    <w:rsid w:val="5BD9455E"/>
    <w:rsid w:val="5BDD73EE"/>
    <w:rsid w:val="5BE53F27"/>
    <w:rsid w:val="5BE97AAE"/>
    <w:rsid w:val="5BFD0F87"/>
    <w:rsid w:val="5C0F4DBA"/>
    <w:rsid w:val="5C1A7A7E"/>
    <w:rsid w:val="5C1F6E31"/>
    <w:rsid w:val="5C2A51C2"/>
    <w:rsid w:val="5C2F4A5D"/>
    <w:rsid w:val="5C343553"/>
    <w:rsid w:val="5C3967D2"/>
    <w:rsid w:val="5C4A34F9"/>
    <w:rsid w:val="5C6C78A5"/>
    <w:rsid w:val="5C9B1F22"/>
    <w:rsid w:val="5CAB2299"/>
    <w:rsid w:val="5CC353BB"/>
    <w:rsid w:val="5CC35A82"/>
    <w:rsid w:val="5CC76345"/>
    <w:rsid w:val="5CCE757F"/>
    <w:rsid w:val="5CD021F3"/>
    <w:rsid w:val="5CD96CF8"/>
    <w:rsid w:val="5CF82C9F"/>
    <w:rsid w:val="5CFC6CA6"/>
    <w:rsid w:val="5D0607CD"/>
    <w:rsid w:val="5D0C1038"/>
    <w:rsid w:val="5D230C5E"/>
    <w:rsid w:val="5D3A59E8"/>
    <w:rsid w:val="5D4C7FC4"/>
    <w:rsid w:val="5D5A5E23"/>
    <w:rsid w:val="5D76109B"/>
    <w:rsid w:val="5D7873A1"/>
    <w:rsid w:val="5D7A166C"/>
    <w:rsid w:val="5D9B3D9F"/>
    <w:rsid w:val="5D9F37C7"/>
    <w:rsid w:val="5DA62130"/>
    <w:rsid w:val="5DD04BD2"/>
    <w:rsid w:val="5DDB040C"/>
    <w:rsid w:val="5DEF41AD"/>
    <w:rsid w:val="5DFD2B3F"/>
    <w:rsid w:val="5E122AE4"/>
    <w:rsid w:val="5E1B0DCE"/>
    <w:rsid w:val="5E20741C"/>
    <w:rsid w:val="5E2452AB"/>
    <w:rsid w:val="5E2E70E0"/>
    <w:rsid w:val="5E325597"/>
    <w:rsid w:val="5E3A4684"/>
    <w:rsid w:val="5E3F0316"/>
    <w:rsid w:val="5E4553E6"/>
    <w:rsid w:val="5E50579B"/>
    <w:rsid w:val="5E534342"/>
    <w:rsid w:val="5E651304"/>
    <w:rsid w:val="5E6826B2"/>
    <w:rsid w:val="5E6934F3"/>
    <w:rsid w:val="5E7974ED"/>
    <w:rsid w:val="5EA52B43"/>
    <w:rsid w:val="5EB3595A"/>
    <w:rsid w:val="5EB67403"/>
    <w:rsid w:val="5EC05AD4"/>
    <w:rsid w:val="5EC96CDA"/>
    <w:rsid w:val="5EDF69B5"/>
    <w:rsid w:val="5EF4181F"/>
    <w:rsid w:val="5EF61DF8"/>
    <w:rsid w:val="5F01496B"/>
    <w:rsid w:val="5F0B2CFC"/>
    <w:rsid w:val="5F0D0ABF"/>
    <w:rsid w:val="5F0E6F22"/>
    <w:rsid w:val="5F164911"/>
    <w:rsid w:val="5F3673C4"/>
    <w:rsid w:val="5F3D1EF2"/>
    <w:rsid w:val="5F4122A8"/>
    <w:rsid w:val="5F4B3FC5"/>
    <w:rsid w:val="5F4D6FE9"/>
    <w:rsid w:val="5F6E61F3"/>
    <w:rsid w:val="5F717FA2"/>
    <w:rsid w:val="5F8E64DF"/>
    <w:rsid w:val="5F9B4F2A"/>
    <w:rsid w:val="5FA16DF0"/>
    <w:rsid w:val="5FAE5D89"/>
    <w:rsid w:val="5FB235C9"/>
    <w:rsid w:val="5FB97786"/>
    <w:rsid w:val="5FBE4F64"/>
    <w:rsid w:val="5FBF5194"/>
    <w:rsid w:val="5FC324AB"/>
    <w:rsid w:val="5FDF0C80"/>
    <w:rsid w:val="5FE307E1"/>
    <w:rsid w:val="5FF46702"/>
    <w:rsid w:val="60056797"/>
    <w:rsid w:val="60104B28"/>
    <w:rsid w:val="601108FD"/>
    <w:rsid w:val="602E1526"/>
    <w:rsid w:val="602E1D48"/>
    <w:rsid w:val="605A42E9"/>
    <w:rsid w:val="60716084"/>
    <w:rsid w:val="60953336"/>
    <w:rsid w:val="60BD19FF"/>
    <w:rsid w:val="60BD25CC"/>
    <w:rsid w:val="60C93F57"/>
    <w:rsid w:val="60CA402A"/>
    <w:rsid w:val="60D23D26"/>
    <w:rsid w:val="60D43B02"/>
    <w:rsid w:val="60D70B33"/>
    <w:rsid w:val="60E578C5"/>
    <w:rsid w:val="60F344FC"/>
    <w:rsid w:val="610B0E0D"/>
    <w:rsid w:val="612A5C8E"/>
    <w:rsid w:val="612E49DB"/>
    <w:rsid w:val="61351088"/>
    <w:rsid w:val="61373E6E"/>
    <w:rsid w:val="614600B9"/>
    <w:rsid w:val="61460ECC"/>
    <w:rsid w:val="614B102D"/>
    <w:rsid w:val="615D5D29"/>
    <w:rsid w:val="617556F4"/>
    <w:rsid w:val="61804567"/>
    <w:rsid w:val="618F500B"/>
    <w:rsid w:val="619917AD"/>
    <w:rsid w:val="61AC2C47"/>
    <w:rsid w:val="61AE1455"/>
    <w:rsid w:val="61C4423E"/>
    <w:rsid w:val="61C967D5"/>
    <w:rsid w:val="61CC0649"/>
    <w:rsid w:val="61D0604B"/>
    <w:rsid w:val="620338DA"/>
    <w:rsid w:val="620F67EC"/>
    <w:rsid w:val="621409C5"/>
    <w:rsid w:val="621814D8"/>
    <w:rsid w:val="621A0581"/>
    <w:rsid w:val="62295B84"/>
    <w:rsid w:val="62296E38"/>
    <w:rsid w:val="622C30F0"/>
    <w:rsid w:val="622D7044"/>
    <w:rsid w:val="625911EA"/>
    <w:rsid w:val="6264757B"/>
    <w:rsid w:val="626671FB"/>
    <w:rsid w:val="6268763C"/>
    <w:rsid w:val="627B391D"/>
    <w:rsid w:val="628C053D"/>
    <w:rsid w:val="62A63868"/>
    <w:rsid w:val="62AB4124"/>
    <w:rsid w:val="62B01BF9"/>
    <w:rsid w:val="62BC7C0A"/>
    <w:rsid w:val="62C75F9B"/>
    <w:rsid w:val="62CA2982"/>
    <w:rsid w:val="62CD6689"/>
    <w:rsid w:val="62D27BAF"/>
    <w:rsid w:val="62E742D1"/>
    <w:rsid w:val="62F12662"/>
    <w:rsid w:val="62FC4AED"/>
    <w:rsid w:val="63184B2E"/>
    <w:rsid w:val="631A3887"/>
    <w:rsid w:val="631F294A"/>
    <w:rsid w:val="632245B6"/>
    <w:rsid w:val="632B5304"/>
    <w:rsid w:val="6333694F"/>
    <w:rsid w:val="634D50C2"/>
    <w:rsid w:val="636A1027"/>
    <w:rsid w:val="637473B8"/>
    <w:rsid w:val="63821A68"/>
    <w:rsid w:val="6382667D"/>
    <w:rsid w:val="63893A68"/>
    <w:rsid w:val="639456EF"/>
    <w:rsid w:val="63B56CE1"/>
    <w:rsid w:val="63CB7DC7"/>
    <w:rsid w:val="63D619DB"/>
    <w:rsid w:val="63DF3F8C"/>
    <w:rsid w:val="63E27DB4"/>
    <w:rsid w:val="63E36FD9"/>
    <w:rsid w:val="63EA5578"/>
    <w:rsid w:val="6402249F"/>
    <w:rsid w:val="642A7AC0"/>
    <w:rsid w:val="64374EF8"/>
    <w:rsid w:val="646B602F"/>
    <w:rsid w:val="646E75D0"/>
    <w:rsid w:val="648E5907"/>
    <w:rsid w:val="64950E2A"/>
    <w:rsid w:val="64952238"/>
    <w:rsid w:val="64A358AC"/>
    <w:rsid w:val="64AB25CB"/>
    <w:rsid w:val="64AF28E1"/>
    <w:rsid w:val="64C1164E"/>
    <w:rsid w:val="64C53862"/>
    <w:rsid w:val="64CF698D"/>
    <w:rsid w:val="64D341E3"/>
    <w:rsid w:val="64E15E8D"/>
    <w:rsid w:val="650F49E5"/>
    <w:rsid w:val="65121D59"/>
    <w:rsid w:val="651B09EE"/>
    <w:rsid w:val="65225595"/>
    <w:rsid w:val="652C1F95"/>
    <w:rsid w:val="653020EE"/>
    <w:rsid w:val="653D69A4"/>
    <w:rsid w:val="65420172"/>
    <w:rsid w:val="65423878"/>
    <w:rsid w:val="65437341"/>
    <w:rsid w:val="654A064A"/>
    <w:rsid w:val="655D4CDA"/>
    <w:rsid w:val="65602895"/>
    <w:rsid w:val="65667B1F"/>
    <w:rsid w:val="65724C80"/>
    <w:rsid w:val="65927733"/>
    <w:rsid w:val="65A5272F"/>
    <w:rsid w:val="65A77ADC"/>
    <w:rsid w:val="65B051E4"/>
    <w:rsid w:val="65BB689C"/>
    <w:rsid w:val="65C06005"/>
    <w:rsid w:val="65CD1266"/>
    <w:rsid w:val="65DA0672"/>
    <w:rsid w:val="65E574BB"/>
    <w:rsid w:val="65F06D4B"/>
    <w:rsid w:val="65FE0588"/>
    <w:rsid w:val="660D2D09"/>
    <w:rsid w:val="66121553"/>
    <w:rsid w:val="661A4172"/>
    <w:rsid w:val="66205099"/>
    <w:rsid w:val="66570776"/>
    <w:rsid w:val="667B67A1"/>
    <w:rsid w:val="667C2DD5"/>
    <w:rsid w:val="668C08D6"/>
    <w:rsid w:val="66AF707E"/>
    <w:rsid w:val="66B0358B"/>
    <w:rsid w:val="66C042D7"/>
    <w:rsid w:val="66CD4956"/>
    <w:rsid w:val="66E47FD9"/>
    <w:rsid w:val="66EB45E3"/>
    <w:rsid w:val="66ED3D27"/>
    <w:rsid w:val="66F36F86"/>
    <w:rsid w:val="670538BB"/>
    <w:rsid w:val="670E46A1"/>
    <w:rsid w:val="672542C6"/>
    <w:rsid w:val="67272276"/>
    <w:rsid w:val="67302657"/>
    <w:rsid w:val="67443AAE"/>
    <w:rsid w:val="674525FC"/>
    <w:rsid w:val="67650933"/>
    <w:rsid w:val="677300F4"/>
    <w:rsid w:val="6783764E"/>
    <w:rsid w:val="678B3DC5"/>
    <w:rsid w:val="679113F7"/>
    <w:rsid w:val="679A4B2B"/>
    <w:rsid w:val="679B7C16"/>
    <w:rsid w:val="67B1772D"/>
    <w:rsid w:val="67BE7CF4"/>
    <w:rsid w:val="67CC67ED"/>
    <w:rsid w:val="67D04366"/>
    <w:rsid w:val="67DD3A75"/>
    <w:rsid w:val="67EB1084"/>
    <w:rsid w:val="67F031ED"/>
    <w:rsid w:val="67F404BB"/>
    <w:rsid w:val="67F97901"/>
    <w:rsid w:val="68095022"/>
    <w:rsid w:val="680A4767"/>
    <w:rsid w:val="680F5699"/>
    <w:rsid w:val="68454C91"/>
    <w:rsid w:val="68500F80"/>
    <w:rsid w:val="685427BA"/>
    <w:rsid w:val="68657B5B"/>
    <w:rsid w:val="688B4E92"/>
    <w:rsid w:val="688D5672"/>
    <w:rsid w:val="68923296"/>
    <w:rsid w:val="68953223"/>
    <w:rsid w:val="68962B97"/>
    <w:rsid w:val="68A015B4"/>
    <w:rsid w:val="68AA0334"/>
    <w:rsid w:val="68AC4A9D"/>
    <w:rsid w:val="68C078EA"/>
    <w:rsid w:val="68CB18F9"/>
    <w:rsid w:val="68CF21D0"/>
    <w:rsid w:val="68DE3147"/>
    <w:rsid w:val="68E02480"/>
    <w:rsid w:val="68E6086E"/>
    <w:rsid w:val="68EF174E"/>
    <w:rsid w:val="690A2241"/>
    <w:rsid w:val="69153A6C"/>
    <w:rsid w:val="691A7AEC"/>
    <w:rsid w:val="692E469B"/>
    <w:rsid w:val="69382A2C"/>
    <w:rsid w:val="6943054B"/>
    <w:rsid w:val="69473098"/>
    <w:rsid w:val="69473713"/>
    <w:rsid w:val="69541A51"/>
    <w:rsid w:val="695C5460"/>
    <w:rsid w:val="698F6CBE"/>
    <w:rsid w:val="699427D2"/>
    <w:rsid w:val="699B2D95"/>
    <w:rsid w:val="699D194D"/>
    <w:rsid w:val="699D23EA"/>
    <w:rsid w:val="69A433E0"/>
    <w:rsid w:val="69B013F1"/>
    <w:rsid w:val="69CD6E6D"/>
    <w:rsid w:val="69EB61FA"/>
    <w:rsid w:val="6A011006"/>
    <w:rsid w:val="6A120BAB"/>
    <w:rsid w:val="6A1E0DB7"/>
    <w:rsid w:val="6A241FE7"/>
    <w:rsid w:val="6A270136"/>
    <w:rsid w:val="6A302078"/>
    <w:rsid w:val="6A53447E"/>
    <w:rsid w:val="6A5B34BA"/>
    <w:rsid w:val="6A5E280F"/>
    <w:rsid w:val="6A632099"/>
    <w:rsid w:val="6A781409"/>
    <w:rsid w:val="6A886ED6"/>
    <w:rsid w:val="6A9E6E7B"/>
    <w:rsid w:val="6AB441C4"/>
    <w:rsid w:val="6ABF15AE"/>
    <w:rsid w:val="6ACA31C3"/>
    <w:rsid w:val="6ACA793F"/>
    <w:rsid w:val="6ACD316A"/>
    <w:rsid w:val="6AE56E99"/>
    <w:rsid w:val="6AFF5C1B"/>
    <w:rsid w:val="6B01589B"/>
    <w:rsid w:val="6B182459"/>
    <w:rsid w:val="6B1D0084"/>
    <w:rsid w:val="6B2804C7"/>
    <w:rsid w:val="6B3602F4"/>
    <w:rsid w:val="6B3F0232"/>
    <w:rsid w:val="6B464CE0"/>
    <w:rsid w:val="6B5B65FC"/>
    <w:rsid w:val="6B6D29CC"/>
    <w:rsid w:val="6B854101"/>
    <w:rsid w:val="6B8A6B88"/>
    <w:rsid w:val="6BAA4327"/>
    <w:rsid w:val="6BAA6601"/>
    <w:rsid w:val="6BAC4421"/>
    <w:rsid w:val="6BAD6D91"/>
    <w:rsid w:val="6BAE6CB9"/>
    <w:rsid w:val="6BC333DB"/>
    <w:rsid w:val="6BCF3BFB"/>
    <w:rsid w:val="6BE77A4E"/>
    <w:rsid w:val="6BEE7AA2"/>
    <w:rsid w:val="6BF80137"/>
    <w:rsid w:val="6C024D6F"/>
    <w:rsid w:val="6C0610EB"/>
    <w:rsid w:val="6C16673D"/>
    <w:rsid w:val="6C5164C2"/>
    <w:rsid w:val="6C5A5F01"/>
    <w:rsid w:val="6C69767E"/>
    <w:rsid w:val="6C812A90"/>
    <w:rsid w:val="6C817578"/>
    <w:rsid w:val="6C8F6BC2"/>
    <w:rsid w:val="6C9C1995"/>
    <w:rsid w:val="6C9D0B3F"/>
    <w:rsid w:val="6CBB719C"/>
    <w:rsid w:val="6CBD6E76"/>
    <w:rsid w:val="6CCF6157"/>
    <w:rsid w:val="6CD85379"/>
    <w:rsid w:val="6CDE15A9"/>
    <w:rsid w:val="6CF94254"/>
    <w:rsid w:val="6D014801"/>
    <w:rsid w:val="6D133498"/>
    <w:rsid w:val="6D2B3C26"/>
    <w:rsid w:val="6D2C2012"/>
    <w:rsid w:val="6D310574"/>
    <w:rsid w:val="6D3B3BEA"/>
    <w:rsid w:val="6D4069AD"/>
    <w:rsid w:val="6D511E68"/>
    <w:rsid w:val="6D5502EE"/>
    <w:rsid w:val="6D5A4742"/>
    <w:rsid w:val="6D601F02"/>
    <w:rsid w:val="6D60667F"/>
    <w:rsid w:val="6D6A4A10"/>
    <w:rsid w:val="6D716ED0"/>
    <w:rsid w:val="6D756624"/>
    <w:rsid w:val="6D814635"/>
    <w:rsid w:val="6DA84086"/>
    <w:rsid w:val="6DAB2AA8"/>
    <w:rsid w:val="6DAC0B3C"/>
    <w:rsid w:val="6DAE685C"/>
    <w:rsid w:val="6DC314F6"/>
    <w:rsid w:val="6DC666B8"/>
    <w:rsid w:val="6DE016FF"/>
    <w:rsid w:val="6DE333D5"/>
    <w:rsid w:val="6DF00EAB"/>
    <w:rsid w:val="6DF767F3"/>
    <w:rsid w:val="6DFB43B0"/>
    <w:rsid w:val="6E1126D6"/>
    <w:rsid w:val="6E1630C6"/>
    <w:rsid w:val="6E17315E"/>
    <w:rsid w:val="6E1E6D5E"/>
    <w:rsid w:val="6E2616EF"/>
    <w:rsid w:val="6E315D05"/>
    <w:rsid w:val="6E4C2B30"/>
    <w:rsid w:val="6E4F0506"/>
    <w:rsid w:val="6E611D7D"/>
    <w:rsid w:val="6E6404AB"/>
    <w:rsid w:val="6E6508B3"/>
    <w:rsid w:val="6E6F683C"/>
    <w:rsid w:val="6EA50F15"/>
    <w:rsid w:val="6EB10ABB"/>
    <w:rsid w:val="6EC436FA"/>
    <w:rsid w:val="6ED12D39"/>
    <w:rsid w:val="6EDB697A"/>
    <w:rsid w:val="6F0C73CE"/>
    <w:rsid w:val="6F0E4FF4"/>
    <w:rsid w:val="6F140FD0"/>
    <w:rsid w:val="6F3A4E11"/>
    <w:rsid w:val="6F3E5C10"/>
    <w:rsid w:val="6F3F02D6"/>
    <w:rsid w:val="6F410E6D"/>
    <w:rsid w:val="6F532332"/>
    <w:rsid w:val="6F7F1B0D"/>
    <w:rsid w:val="6F84631F"/>
    <w:rsid w:val="6F8A028E"/>
    <w:rsid w:val="6FA34417"/>
    <w:rsid w:val="6FBB7073"/>
    <w:rsid w:val="6FD86882"/>
    <w:rsid w:val="6FDC6C17"/>
    <w:rsid w:val="6FDD6561"/>
    <w:rsid w:val="6FEB37AA"/>
    <w:rsid w:val="7000374F"/>
    <w:rsid w:val="700233CF"/>
    <w:rsid w:val="70104D82"/>
    <w:rsid w:val="70107095"/>
    <w:rsid w:val="70334C37"/>
    <w:rsid w:val="70375A7B"/>
    <w:rsid w:val="703902E4"/>
    <w:rsid w:val="703F174D"/>
    <w:rsid w:val="704F4886"/>
    <w:rsid w:val="705D5112"/>
    <w:rsid w:val="70612244"/>
    <w:rsid w:val="706576C1"/>
    <w:rsid w:val="70674023"/>
    <w:rsid w:val="7078404E"/>
    <w:rsid w:val="708E6837"/>
    <w:rsid w:val="709C5E34"/>
    <w:rsid w:val="709F3CEB"/>
    <w:rsid w:val="70B156F5"/>
    <w:rsid w:val="70C0201D"/>
    <w:rsid w:val="70C50F0F"/>
    <w:rsid w:val="70CB1296"/>
    <w:rsid w:val="70CC090A"/>
    <w:rsid w:val="70D07403"/>
    <w:rsid w:val="70EC49AE"/>
    <w:rsid w:val="70EF55D6"/>
    <w:rsid w:val="70F83B8D"/>
    <w:rsid w:val="70F95735"/>
    <w:rsid w:val="71115F23"/>
    <w:rsid w:val="71263532"/>
    <w:rsid w:val="71267CAF"/>
    <w:rsid w:val="71345B7C"/>
    <w:rsid w:val="71363C2B"/>
    <w:rsid w:val="713B20F9"/>
    <w:rsid w:val="71402F1B"/>
    <w:rsid w:val="714E637C"/>
    <w:rsid w:val="715C0FF8"/>
    <w:rsid w:val="7164241A"/>
    <w:rsid w:val="71923E86"/>
    <w:rsid w:val="71D0340B"/>
    <w:rsid w:val="71DC5974"/>
    <w:rsid w:val="71E7212A"/>
    <w:rsid w:val="71E80D85"/>
    <w:rsid w:val="71F8229B"/>
    <w:rsid w:val="71FC01C4"/>
    <w:rsid w:val="72003E04"/>
    <w:rsid w:val="720545B2"/>
    <w:rsid w:val="72103CA5"/>
    <w:rsid w:val="7220374A"/>
    <w:rsid w:val="723618CB"/>
    <w:rsid w:val="723A6E40"/>
    <w:rsid w:val="723E42B9"/>
    <w:rsid w:val="724445D1"/>
    <w:rsid w:val="724A7E11"/>
    <w:rsid w:val="72565E22"/>
    <w:rsid w:val="72617A36"/>
    <w:rsid w:val="7262394B"/>
    <w:rsid w:val="726A191F"/>
    <w:rsid w:val="726A1F22"/>
    <w:rsid w:val="726B2544"/>
    <w:rsid w:val="726B29E0"/>
    <w:rsid w:val="72757AB9"/>
    <w:rsid w:val="72764159"/>
    <w:rsid w:val="727861A7"/>
    <w:rsid w:val="727A43F1"/>
    <w:rsid w:val="727C6220"/>
    <w:rsid w:val="729219DE"/>
    <w:rsid w:val="7296248F"/>
    <w:rsid w:val="72AA149D"/>
    <w:rsid w:val="72AD06CA"/>
    <w:rsid w:val="72AE437B"/>
    <w:rsid w:val="72B364B7"/>
    <w:rsid w:val="72C07AAE"/>
    <w:rsid w:val="72C309EB"/>
    <w:rsid w:val="72D6197B"/>
    <w:rsid w:val="72D80CEA"/>
    <w:rsid w:val="72F51458"/>
    <w:rsid w:val="72F834D4"/>
    <w:rsid w:val="72FB32A9"/>
    <w:rsid w:val="730E5663"/>
    <w:rsid w:val="73124F7B"/>
    <w:rsid w:val="733911AA"/>
    <w:rsid w:val="733B1918"/>
    <w:rsid w:val="735C498C"/>
    <w:rsid w:val="736C6B87"/>
    <w:rsid w:val="736F5A2B"/>
    <w:rsid w:val="737B5F85"/>
    <w:rsid w:val="738A4DB8"/>
    <w:rsid w:val="738B6489"/>
    <w:rsid w:val="739E6877"/>
    <w:rsid w:val="73A85DEC"/>
    <w:rsid w:val="73B36850"/>
    <w:rsid w:val="73B61F92"/>
    <w:rsid w:val="73B8088B"/>
    <w:rsid w:val="73C70602"/>
    <w:rsid w:val="73E82D35"/>
    <w:rsid w:val="73F069B5"/>
    <w:rsid w:val="74015297"/>
    <w:rsid w:val="7408106C"/>
    <w:rsid w:val="740B21FF"/>
    <w:rsid w:val="741610D6"/>
    <w:rsid w:val="741818C8"/>
    <w:rsid w:val="74186373"/>
    <w:rsid w:val="74283C87"/>
    <w:rsid w:val="74416643"/>
    <w:rsid w:val="745436E9"/>
    <w:rsid w:val="745E77E4"/>
    <w:rsid w:val="745E7F42"/>
    <w:rsid w:val="74686B27"/>
    <w:rsid w:val="747B287D"/>
    <w:rsid w:val="74830CC4"/>
    <w:rsid w:val="7495490D"/>
    <w:rsid w:val="749879EC"/>
    <w:rsid w:val="749A2BCA"/>
    <w:rsid w:val="74B62489"/>
    <w:rsid w:val="74BB12EF"/>
    <w:rsid w:val="74C24664"/>
    <w:rsid w:val="74EC461B"/>
    <w:rsid w:val="74F524C2"/>
    <w:rsid w:val="75024B07"/>
    <w:rsid w:val="75297DE5"/>
    <w:rsid w:val="7538395C"/>
    <w:rsid w:val="753871DF"/>
    <w:rsid w:val="75980D4E"/>
    <w:rsid w:val="759A1575"/>
    <w:rsid w:val="759D5773"/>
    <w:rsid w:val="75B57CF9"/>
    <w:rsid w:val="75B92CE9"/>
    <w:rsid w:val="75DE5D82"/>
    <w:rsid w:val="75F8134A"/>
    <w:rsid w:val="76121774"/>
    <w:rsid w:val="761651B8"/>
    <w:rsid w:val="762F11BB"/>
    <w:rsid w:val="763A2281"/>
    <w:rsid w:val="766053A5"/>
    <w:rsid w:val="76611724"/>
    <w:rsid w:val="76691AD0"/>
    <w:rsid w:val="76783367"/>
    <w:rsid w:val="768A6B8C"/>
    <w:rsid w:val="769E4528"/>
    <w:rsid w:val="76AB76CF"/>
    <w:rsid w:val="76B34D77"/>
    <w:rsid w:val="76B5414D"/>
    <w:rsid w:val="76CA086F"/>
    <w:rsid w:val="76D57B1E"/>
    <w:rsid w:val="76F033AF"/>
    <w:rsid w:val="76FE23BB"/>
    <w:rsid w:val="770B2163"/>
    <w:rsid w:val="77215AD8"/>
    <w:rsid w:val="774B225B"/>
    <w:rsid w:val="774B5945"/>
    <w:rsid w:val="775B67B1"/>
    <w:rsid w:val="777A2D97"/>
    <w:rsid w:val="7784253F"/>
    <w:rsid w:val="77930C28"/>
    <w:rsid w:val="7797606C"/>
    <w:rsid w:val="77A1083F"/>
    <w:rsid w:val="77A32AFF"/>
    <w:rsid w:val="77AF2124"/>
    <w:rsid w:val="77B95F79"/>
    <w:rsid w:val="77BA67F0"/>
    <w:rsid w:val="77C23D34"/>
    <w:rsid w:val="77C92C43"/>
    <w:rsid w:val="77CE269B"/>
    <w:rsid w:val="77D4138B"/>
    <w:rsid w:val="77D43043"/>
    <w:rsid w:val="77D90A2D"/>
    <w:rsid w:val="77E51A0A"/>
    <w:rsid w:val="77E66657"/>
    <w:rsid w:val="78054D74"/>
    <w:rsid w:val="781A4D19"/>
    <w:rsid w:val="782530AA"/>
    <w:rsid w:val="782832B5"/>
    <w:rsid w:val="786222E9"/>
    <w:rsid w:val="78663B14"/>
    <w:rsid w:val="78782344"/>
    <w:rsid w:val="78861E4A"/>
    <w:rsid w:val="78913A5E"/>
    <w:rsid w:val="78A87E00"/>
    <w:rsid w:val="78AB0DDB"/>
    <w:rsid w:val="78B3686E"/>
    <w:rsid w:val="78B73F02"/>
    <w:rsid w:val="78C6660E"/>
    <w:rsid w:val="78D70769"/>
    <w:rsid w:val="78DF19BE"/>
    <w:rsid w:val="78FF080F"/>
    <w:rsid w:val="79144F31"/>
    <w:rsid w:val="791E32C2"/>
    <w:rsid w:val="79205C51"/>
    <w:rsid w:val="795C28AE"/>
    <w:rsid w:val="79680F0A"/>
    <w:rsid w:val="796B11C3"/>
    <w:rsid w:val="79753CD1"/>
    <w:rsid w:val="798A3C76"/>
    <w:rsid w:val="79986827"/>
    <w:rsid w:val="79B77FBE"/>
    <w:rsid w:val="79C1634F"/>
    <w:rsid w:val="7A026DB8"/>
    <w:rsid w:val="7A0D09CC"/>
    <w:rsid w:val="7A125EE8"/>
    <w:rsid w:val="7A4E29C6"/>
    <w:rsid w:val="7A5B71A1"/>
    <w:rsid w:val="7A6730E4"/>
    <w:rsid w:val="7AC5322E"/>
    <w:rsid w:val="7AD0650C"/>
    <w:rsid w:val="7B185C44"/>
    <w:rsid w:val="7B4036C7"/>
    <w:rsid w:val="7B470E9E"/>
    <w:rsid w:val="7B5E4E76"/>
    <w:rsid w:val="7B806D86"/>
    <w:rsid w:val="7B8B5613"/>
    <w:rsid w:val="7B95754E"/>
    <w:rsid w:val="7BAD26DB"/>
    <w:rsid w:val="7BEB46DA"/>
    <w:rsid w:val="7BF662EE"/>
    <w:rsid w:val="7C043085"/>
    <w:rsid w:val="7C0B2A10"/>
    <w:rsid w:val="7C171520"/>
    <w:rsid w:val="7C1A4907"/>
    <w:rsid w:val="7C340E5C"/>
    <w:rsid w:val="7C4917BC"/>
    <w:rsid w:val="7C507931"/>
    <w:rsid w:val="7C59559A"/>
    <w:rsid w:val="7C5A78A2"/>
    <w:rsid w:val="7C6E1430"/>
    <w:rsid w:val="7C713126"/>
    <w:rsid w:val="7C9F2FBD"/>
    <w:rsid w:val="7CA3770C"/>
    <w:rsid w:val="7CB24B70"/>
    <w:rsid w:val="7CB83E2E"/>
    <w:rsid w:val="7CCF01D0"/>
    <w:rsid w:val="7CD84703"/>
    <w:rsid w:val="7CDA1DE4"/>
    <w:rsid w:val="7CE230D0"/>
    <w:rsid w:val="7CF72CB0"/>
    <w:rsid w:val="7CFA011A"/>
    <w:rsid w:val="7D0564AB"/>
    <w:rsid w:val="7D087AC9"/>
    <w:rsid w:val="7D0F0DB7"/>
    <w:rsid w:val="7D0F6DD3"/>
    <w:rsid w:val="7D1B3445"/>
    <w:rsid w:val="7D1B66D9"/>
    <w:rsid w:val="7D3127F3"/>
    <w:rsid w:val="7D497404"/>
    <w:rsid w:val="7D4E1891"/>
    <w:rsid w:val="7D5B6EBA"/>
    <w:rsid w:val="7D5E3208"/>
    <w:rsid w:val="7D684ECB"/>
    <w:rsid w:val="7D6E6FC9"/>
    <w:rsid w:val="7D776840"/>
    <w:rsid w:val="7D80675E"/>
    <w:rsid w:val="7D883202"/>
    <w:rsid w:val="7D923C78"/>
    <w:rsid w:val="7D9B4649"/>
    <w:rsid w:val="7DA139F8"/>
    <w:rsid w:val="7DAE3C17"/>
    <w:rsid w:val="7DB6454E"/>
    <w:rsid w:val="7DBD5C5A"/>
    <w:rsid w:val="7DBE0DF7"/>
    <w:rsid w:val="7DD87667"/>
    <w:rsid w:val="7DF177B4"/>
    <w:rsid w:val="7DFA0434"/>
    <w:rsid w:val="7DFF0C39"/>
    <w:rsid w:val="7E050958"/>
    <w:rsid w:val="7E0663E8"/>
    <w:rsid w:val="7E20746B"/>
    <w:rsid w:val="7E351B55"/>
    <w:rsid w:val="7E3E2021"/>
    <w:rsid w:val="7E402E75"/>
    <w:rsid w:val="7E41481C"/>
    <w:rsid w:val="7E5570D2"/>
    <w:rsid w:val="7E596C38"/>
    <w:rsid w:val="7E717C7A"/>
    <w:rsid w:val="7E765088"/>
    <w:rsid w:val="7E966A7F"/>
    <w:rsid w:val="7E9B5A84"/>
    <w:rsid w:val="7EA23005"/>
    <w:rsid w:val="7ECD2214"/>
    <w:rsid w:val="7ECD5A97"/>
    <w:rsid w:val="7ECF77CA"/>
    <w:rsid w:val="7ED31B51"/>
    <w:rsid w:val="7ED4782E"/>
    <w:rsid w:val="7EED3DB7"/>
    <w:rsid w:val="7EFE5166"/>
    <w:rsid w:val="7F194892"/>
    <w:rsid w:val="7F25085A"/>
    <w:rsid w:val="7F337D9A"/>
    <w:rsid w:val="7F372B76"/>
    <w:rsid w:val="7F576F51"/>
    <w:rsid w:val="7F59007D"/>
    <w:rsid w:val="7F6E2EAF"/>
    <w:rsid w:val="7F7A3631"/>
    <w:rsid w:val="7F8F11C0"/>
    <w:rsid w:val="7F902D63"/>
    <w:rsid w:val="7F913FDD"/>
    <w:rsid w:val="7FB30810"/>
    <w:rsid w:val="7FB51F84"/>
    <w:rsid w:val="7FCC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qFormat="1" w:unhideWhenUsed="0" w:uiPriority="0" w:semiHidden="0"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微软雅黑" w:cs="Times New Roman"/>
      <w:kern w:val="2"/>
      <w:sz w:val="21"/>
      <w:szCs w:val="24"/>
      <w:lang w:val="en-US" w:eastAsia="zh-CN" w:bidi="ar-SA"/>
    </w:rPr>
  </w:style>
  <w:style w:type="paragraph" w:styleId="4">
    <w:name w:val="heading 1"/>
    <w:basedOn w:val="1"/>
    <w:next w:val="1"/>
    <w:link w:val="250"/>
    <w:qFormat/>
    <w:uiPriority w:val="0"/>
    <w:pPr>
      <w:keepNext/>
      <w:keepLines/>
      <w:spacing w:line="578" w:lineRule="auto"/>
      <w:outlineLvl w:val="0"/>
    </w:pPr>
    <w:rPr>
      <w:b/>
      <w:bCs/>
      <w:kern w:val="44"/>
      <w:sz w:val="44"/>
      <w:szCs w:val="44"/>
    </w:rPr>
  </w:style>
  <w:style w:type="paragraph" w:styleId="5">
    <w:name w:val="heading 2"/>
    <w:basedOn w:val="1"/>
    <w:next w:val="1"/>
    <w:link w:val="251"/>
    <w:qFormat/>
    <w:uiPriority w:val="0"/>
    <w:pPr>
      <w:keepNext/>
      <w:keepLines/>
      <w:spacing w:line="416" w:lineRule="auto"/>
      <w:outlineLvl w:val="1"/>
    </w:pPr>
    <w:rPr>
      <w:rFonts w:ascii="Arial" w:hAnsi="Arial" w:eastAsia="黑体"/>
      <w:b/>
      <w:bCs/>
      <w:sz w:val="32"/>
      <w:szCs w:val="32"/>
    </w:rPr>
  </w:style>
  <w:style w:type="paragraph" w:styleId="6">
    <w:name w:val="heading 3"/>
    <w:basedOn w:val="1"/>
    <w:next w:val="1"/>
    <w:link w:val="236"/>
    <w:qFormat/>
    <w:uiPriority w:val="0"/>
    <w:pPr>
      <w:keepNext/>
      <w:keepLines/>
      <w:spacing w:line="416" w:lineRule="auto"/>
      <w:outlineLvl w:val="2"/>
    </w:pPr>
    <w:rPr>
      <w:b/>
      <w:bCs/>
      <w:sz w:val="32"/>
      <w:szCs w:val="32"/>
    </w:rPr>
  </w:style>
  <w:style w:type="paragraph" w:styleId="7">
    <w:name w:val="heading 4"/>
    <w:basedOn w:val="1"/>
    <w:next w:val="1"/>
    <w:link w:val="231"/>
    <w:qFormat/>
    <w:uiPriority w:val="0"/>
    <w:pPr>
      <w:tabs>
        <w:tab w:val="left" w:pos="720"/>
        <w:tab w:val="left" w:pos="1200"/>
      </w:tabs>
      <w:snapToGrid w:val="0"/>
      <w:spacing w:line="360" w:lineRule="auto"/>
      <w:ind w:left="720"/>
      <w:jc w:val="left"/>
      <w:outlineLvl w:val="3"/>
    </w:pPr>
    <w:rPr>
      <w:rFonts w:ascii="Arial" w:hAnsi="Arial"/>
      <w:bCs/>
      <w:sz w:val="24"/>
      <w:szCs w:val="28"/>
    </w:rPr>
  </w:style>
  <w:style w:type="paragraph" w:styleId="8">
    <w:name w:val="heading 5"/>
    <w:basedOn w:val="1"/>
    <w:next w:val="1"/>
    <w:link w:val="217"/>
    <w:qFormat/>
    <w:uiPriority w:val="0"/>
    <w:pPr>
      <w:spacing w:line="360" w:lineRule="auto"/>
      <w:outlineLvl w:val="4"/>
    </w:pPr>
    <w:rPr>
      <w:bCs/>
      <w:sz w:val="24"/>
    </w:rPr>
  </w:style>
  <w:style w:type="paragraph" w:styleId="9">
    <w:name w:val="heading 6"/>
    <w:basedOn w:val="1"/>
    <w:next w:val="1"/>
    <w:link w:val="234"/>
    <w:qFormat/>
    <w:uiPriority w:val="0"/>
    <w:pPr>
      <w:tabs>
        <w:tab w:val="left" w:pos="2160"/>
      </w:tabs>
      <w:spacing w:line="360" w:lineRule="auto"/>
      <w:ind w:left="2160"/>
      <w:jc w:val="left"/>
      <w:outlineLvl w:val="5"/>
    </w:pPr>
    <w:rPr>
      <w:rFonts w:ascii="Arial" w:hAnsi="Arial"/>
      <w:bCs/>
      <w:sz w:val="24"/>
      <w:szCs w:val="30"/>
    </w:rPr>
  </w:style>
  <w:style w:type="paragraph" w:styleId="10">
    <w:name w:val="heading 7"/>
    <w:basedOn w:val="1"/>
    <w:next w:val="1"/>
    <w:qFormat/>
    <w:uiPriority w:val="0"/>
    <w:pPr>
      <w:keepNext/>
      <w:keepLines/>
      <w:tabs>
        <w:tab w:val="left" w:pos="1296"/>
      </w:tabs>
      <w:spacing w:line="320" w:lineRule="auto"/>
      <w:ind w:left="1296" w:hanging="1296"/>
      <w:outlineLvl w:val="6"/>
    </w:pPr>
    <w:rPr>
      <w:b/>
      <w:bCs/>
      <w:sz w:val="24"/>
    </w:rPr>
  </w:style>
  <w:style w:type="paragraph" w:styleId="11">
    <w:name w:val="heading 8"/>
    <w:basedOn w:val="1"/>
    <w:next w:val="1"/>
    <w:link w:val="247"/>
    <w:qFormat/>
    <w:uiPriority w:val="0"/>
    <w:pPr>
      <w:keepNext/>
      <w:keepLines/>
      <w:tabs>
        <w:tab w:val="left" w:pos="1440"/>
      </w:tabs>
      <w:spacing w:line="320" w:lineRule="auto"/>
      <w:ind w:left="1440" w:hanging="1440"/>
      <w:outlineLvl w:val="7"/>
    </w:pPr>
    <w:rPr>
      <w:rFonts w:ascii="Arial" w:hAnsi="Arial" w:eastAsia="黑体"/>
      <w:sz w:val="24"/>
    </w:rPr>
  </w:style>
  <w:style w:type="paragraph" w:styleId="12">
    <w:name w:val="heading 9"/>
    <w:basedOn w:val="1"/>
    <w:next w:val="1"/>
    <w:link w:val="269"/>
    <w:qFormat/>
    <w:uiPriority w:val="0"/>
    <w:pPr>
      <w:keepNext/>
      <w:keepLines/>
      <w:spacing w:line="320" w:lineRule="auto"/>
      <w:ind w:left="500" w:hanging="500" w:hangingChars="500"/>
      <w:outlineLvl w:val="8"/>
    </w:pPr>
    <w:rPr>
      <w:rFonts w:ascii="Arial" w:hAnsi="Arial" w:eastAsia="黑体"/>
      <w:sz w:val="24"/>
      <w:szCs w:val="21"/>
    </w:rPr>
  </w:style>
  <w:style w:type="character" w:default="1" w:styleId="49">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289"/>
    <w:unhideWhenUsed/>
    <w:qFormat/>
    <w:uiPriority w:val="99"/>
    <w:pPr>
      <w:spacing w:after="120" w:line="240" w:lineRule="auto"/>
      <w:ind w:left="420" w:leftChars="200" w:firstLine="420"/>
    </w:pPr>
    <w:rPr>
      <w:rFonts w:ascii="Calibri" w:hAnsi="Calibri" w:eastAsia="Times New Roman"/>
      <w:kern w:val="0"/>
    </w:rPr>
  </w:style>
  <w:style w:type="paragraph" w:styleId="3">
    <w:name w:val="Body Text Indent"/>
    <w:basedOn w:val="1"/>
    <w:link w:val="256"/>
    <w:qFormat/>
    <w:uiPriority w:val="0"/>
    <w:pPr>
      <w:spacing w:line="360" w:lineRule="auto"/>
      <w:ind w:left="718" w:leftChars="342"/>
    </w:pPr>
    <w:rPr>
      <w:sz w:val="24"/>
    </w:rPr>
  </w:style>
  <w:style w:type="paragraph" w:styleId="13">
    <w:name w:val="toc 7"/>
    <w:basedOn w:val="1"/>
    <w:next w:val="1"/>
    <w:qFormat/>
    <w:uiPriority w:val="0"/>
    <w:pPr>
      <w:spacing w:line="360" w:lineRule="auto"/>
      <w:ind w:left="1260" w:hanging="500" w:hangingChars="500"/>
      <w:jc w:val="left"/>
    </w:pPr>
    <w:rPr>
      <w:sz w:val="18"/>
      <w:szCs w:val="18"/>
    </w:rPr>
  </w:style>
  <w:style w:type="paragraph" w:styleId="14">
    <w:name w:val="Normal Indent"/>
    <w:basedOn w:val="1"/>
    <w:link w:val="241"/>
    <w:qFormat/>
    <w:uiPriority w:val="0"/>
    <w:pPr>
      <w:adjustRightInd w:val="0"/>
      <w:spacing w:line="360" w:lineRule="atLeast"/>
      <w:ind w:firstLine="482"/>
      <w:textAlignment w:val="baseline"/>
    </w:pPr>
    <w:rPr>
      <w:kern w:val="0"/>
      <w:sz w:val="24"/>
      <w:szCs w:val="20"/>
    </w:rPr>
  </w:style>
  <w:style w:type="paragraph" w:styleId="15">
    <w:name w:val="caption"/>
    <w:basedOn w:val="1"/>
    <w:next w:val="1"/>
    <w:qFormat/>
    <w:uiPriority w:val="0"/>
    <w:pPr>
      <w:spacing w:line="480" w:lineRule="auto"/>
    </w:pPr>
    <w:rPr>
      <w:rFonts w:ascii="华文中宋" w:hAnsi="华文中宋" w:eastAsia="华文中宋"/>
      <w:sz w:val="36"/>
      <w:szCs w:val="20"/>
    </w:rPr>
  </w:style>
  <w:style w:type="paragraph" w:styleId="16">
    <w:name w:val="index 5"/>
    <w:basedOn w:val="1"/>
    <w:next w:val="1"/>
    <w:qFormat/>
    <w:uiPriority w:val="0"/>
    <w:pPr>
      <w:spacing w:line="360" w:lineRule="auto"/>
      <w:ind w:left="800" w:leftChars="800" w:hanging="500" w:hangingChars="500"/>
    </w:pPr>
    <w:rPr>
      <w:sz w:val="24"/>
    </w:rPr>
  </w:style>
  <w:style w:type="paragraph" w:styleId="17">
    <w:name w:val="Document Map"/>
    <w:basedOn w:val="1"/>
    <w:link w:val="237"/>
    <w:qFormat/>
    <w:uiPriority w:val="99"/>
    <w:pPr>
      <w:shd w:val="clear" w:color="auto" w:fill="000080"/>
    </w:pPr>
  </w:style>
  <w:style w:type="paragraph" w:styleId="18">
    <w:name w:val="toa heading"/>
    <w:basedOn w:val="1"/>
    <w:next w:val="1"/>
    <w:qFormat/>
    <w:uiPriority w:val="0"/>
    <w:pPr>
      <w:adjustRightInd w:val="0"/>
      <w:spacing w:line="360" w:lineRule="atLeast"/>
      <w:jc w:val="center"/>
      <w:textAlignment w:val="baseline"/>
    </w:pPr>
    <w:rPr>
      <w:rFonts w:ascii="Arial" w:hAnsi="Arial" w:eastAsia="黑体"/>
      <w:kern w:val="0"/>
      <w:sz w:val="44"/>
      <w:szCs w:val="20"/>
    </w:rPr>
  </w:style>
  <w:style w:type="paragraph" w:styleId="19">
    <w:name w:val="annotation text"/>
    <w:basedOn w:val="1"/>
    <w:link w:val="248"/>
    <w:qFormat/>
    <w:uiPriority w:val="0"/>
    <w:pPr>
      <w:spacing w:line="360" w:lineRule="auto"/>
      <w:ind w:left="500" w:hanging="500" w:hangingChars="500"/>
      <w:jc w:val="left"/>
    </w:pPr>
    <w:rPr>
      <w:sz w:val="24"/>
    </w:rPr>
  </w:style>
  <w:style w:type="paragraph" w:styleId="20">
    <w:name w:val="index 6"/>
    <w:basedOn w:val="1"/>
    <w:next w:val="1"/>
    <w:qFormat/>
    <w:uiPriority w:val="0"/>
    <w:pPr>
      <w:ind w:left="1000" w:leftChars="1000"/>
    </w:pPr>
  </w:style>
  <w:style w:type="paragraph" w:styleId="21">
    <w:name w:val="Salutation"/>
    <w:basedOn w:val="1"/>
    <w:next w:val="1"/>
    <w:link w:val="238"/>
    <w:qFormat/>
    <w:uiPriority w:val="0"/>
    <w:rPr>
      <w:sz w:val="24"/>
      <w:szCs w:val="20"/>
    </w:rPr>
  </w:style>
  <w:style w:type="paragraph" w:styleId="22">
    <w:name w:val="Body Text 3"/>
    <w:basedOn w:val="1"/>
    <w:link w:val="226"/>
    <w:qFormat/>
    <w:uiPriority w:val="0"/>
    <w:rPr>
      <w:sz w:val="16"/>
      <w:szCs w:val="16"/>
    </w:rPr>
  </w:style>
  <w:style w:type="paragraph" w:styleId="23">
    <w:name w:val="Body Text"/>
    <w:basedOn w:val="1"/>
    <w:link w:val="243"/>
    <w:qFormat/>
    <w:uiPriority w:val="0"/>
    <w:rPr>
      <w:sz w:val="24"/>
      <w:szCs w:val="20"/>
    </w:rPr>
  </w:style>
  <w:style w:type="paragraph" w:styleId="24">
    <w:name w:val="Block Text"/>
    <w:basedOn w:val="1"/>
    <w:qFormat/>
    <w:uiPriority w:val="0"/>
    <w:pPr>
      <w:tabs>
        <w:tab w:val="left" w:pos="8364"/>
      </w:tabs>
      <w:ind w:left="840" w:right="-57" w:hanging="300"/>
    </w:pPr>
    <w:rPr>
      <w:rFonts w:ascii="宋体"/>
      <w:szCs w:val="20"/>
    </w:rPr>
  </w:style>
  <w:style w:type="paragraph" w:styleId="25">
    <w:name w:val="toc 5"/>
    <w:basedOn w:val="1"/>
    <w:next w:val="1"/>
    <w:qFormat/>
    <w:uiPriority w:val="0"/>
    <w:pPr>
      <w:spacing w:line="360" w:lineRule="auto"/>
      <w:ind w:left="840" w:hanging="500" w:hangingChars="500"/>
      <w:jc w:val="left"/>
    </w:pPr>
    <w:rPr>
      <w:sz w:val="18"/>
      <w:szCs w:val="18"/>
    </w:rPr>
  </w:style>
  <w:style w:type="paragraph" w:styleId="26">
    <w:name w:val="toc 3"/>
    <w:basedOn w:val="1"/>
    <w:next w:val="1"/>
    <w:qFormat/>
    <w:uiPriority w:val="0"/>
    <w:pPr>
      <w:spacing w:line="360" w:lineRule="auto"/>
      <w:ind w:left="420" w:hanging="500" w:hangingChars="500"/>
      <w:jc w:val="left"/>
    </w:pPr>
    <w:rPr>
      <w:i/>
      <w:iCs/>
      <w:sz w:val="20"/>
      <w:szCs w:val="20"/>
    </w:rPr>
  </w:style>
  <w:style w:type="paragraph" w:styleId="27">
    <w:name w:val="Plain Text"/>
    <w:basedOn w:val="1"/>
    <w:link w:val="246"/>
    <w:qFormat/>
    <w:uiPriority w:val="0"/>
    <w:rPr>
      <w:rFonts w:ascii="宋体" w:hAnsi="Courier New" w:cs="Courier New"/>
      <w:szCs w:val="21"/>
    </w:rPr>
  </w:style>
  <w:style w:type="paragraph" w:styleId="28">
    <w:name w:val="toc 8"/>
    <w:basedOn w:val="1"/>
    <w:next w:val="1"/>
    <w:qFormat/>
    <w:uiPriority w:val="0"/>
    <w:pPr>
      <w:spacing w:line="360" w:lineRule="auto"/>
      <w:ind w:left="1470" w:hanging="500" w:hangingChars="500"/>
      <w:jc w:val="left"/>
    </w:pPr>
    <w:rPr>
      <w:sz w:val="18"/>
      <w:szCs w:val="18"/>
    </w:rPr>
  </w:style>
  <w:style w:type="paragraph" w:styleId="29">
    <w:name w:val="Date"/>
    <w:basedOn w:val="1"/>
    <w:next w:val="1"/>
    <w:link w:val="266"/>
    <w:qFormat/>
    <w:uiPriority w:val="0"/>
    <w:pPr>
      <w:spacing w:line="360" w:lineRule="auto"/>
      <w:ind w:left="500" w:hanging="500" w:hangingChars="500"/>
    </w:pPr>
    <w:rPr>
      <w:sz w:val="24"/>
      <w:szCs w:val="28"/>
    </w:rPr>
  </w:style>
  <w:style w:type="paragraph" w:styleId="30">
    <w:name w:val="Body Text Indent 2"/>
    <w:basedOn w:val="1"/>
    <w:link w:val="230"/>
    <w:qFormat/>
    <w:uiPriority w:val="0"/>
    <w:pPr>
      <w:snapToGrid w:val="0"/>
      <w:spacing w:line="360" w:lineRule="auto"/>
      <w:ind w:firstLine="480"/>
    </w:pPr>
    <w:rPr>
      <w:rFonts w:ascii="宋体"/>
      <w:i/>
      <w:sz w:val="24"/>
      <w:szCs w:val="20"/>
    </w:rPr>
  </w:style>
  <w:style w:type="paragraph" w:styleId="31">
    <w:name w:val="Balloon Text"/>
    <w:basedOn w:val="1"/>
    <w:link w:val="232"/>
    <w:qFormat/>
    <w:uiPriority w:val="0"/>
    <w:rPr>
      <w:sz w:val="18"/>
      <w:szCs w:val="18"/>
    </w:rPr>
  </w:style>
  <w:style w:type="paragraph" w:styleId="32">
    <w:name w:val="footer"/>
    <w:basedOn w:val="1"/>
    <w:link w:val="245"/>
    <w:qFormat/>
    <w:uiPriority w:val="99"/>
    <w:pPr>
      <w:tabs>
        <w:tab w:val="center" w:pos="4153"/>
        <w:tab w:val="right" w:pos="8306"/>
      </w:tabs>
      <w:snapToGrid w:val="0"/>
      <w:jc w:val="left"/>
    </w:pPr>
    <w:rPr>
      <w:sz w:val="18"/>
      <w:szCs w:val="18"/>
    </w:rPr>
  </w:style>
  <w:style w:type="paragraph" w:styleId="33">
    <w:name w:val="header"/>
    <w:basedOn w:val="1"/>
    <w:link w:val="219"/>
    <w:qFormat/>
    <w:uiPriority w:val="0"/>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0"/>
    <w:pPr>
      <w:tabs>
        <w:tab w:val="right" w:leader="dot" w:pos="9057"/>
      </w:tabs>
      <w:spacing w:line="360" w:lineRule="auto"/>
      <w:ind w:left="898" w:hanging="898"/>
    </w:pPr>
    <w:rPr>
      <w:bCs/>
      <w:caps/>
      <w:szCs w:val="21"/>
    </w:rPr>
  </w:style>
  <w:style w:type="paragraph" w:styleId="35">
    <w:name w:val="toc 4"/>
    <w:basedOn w:val="1"/>
    <w:next w:val="1"/>
    <w:qFormat/>
    <w:uiPriority w:val="0"/>
    <w:pPr>
      <w:spacing w:line="360" w:lineRule="auto"/>
      <w:ind w:left="630" w:hanging="500" w:hangingChars="500"/>
      <w:jc w:val="left"/>
    </w:pPr>
    <w:rPr>
      <w:sz w:val="18"/>
      <w:szCs w:val="18"/>
    </w:rPr>
  </w:style>
  <w:style w:type="paragraph" w:styleId="36">
    <w:name w:val="index heading"/>
    <w:basedOn w:val="1"/>
    <w:next w:val="37"/>
    <w:qFormat/>
    <w:uiPriority w:val="0"/>
  </w:style>
  <w:style w:type="paragraph" w:styleId="37">
    <w:name w:val="index 1"/>
    <w:basedOn w:val="1"/>
    <w:next w:val="1"/>
    <w:qFormat/>
    <w:uiPriority w:val="0"/>
    <w:pPr>
      <w:spacing w:line="360" w:lineRule="auto"/>
      <w:ind w:left="1149" w:leftChars="547"/>
    </w:pPr>
    <w:rPr>
      <w:szCs w:val="20"/>
    </w:rPr>
  </w:style>
  <w:style w:type="paragraph" w:styleId="38">
    <w:name w:val="Subtitle"/>
    <w:basedOn w:val="1"/>
    <w:link w:val="249"/>
    <w:qFormat/>
    <w:uiPriority w:val="0"/>
    <w:rPr>
      <w:sz w:val="28"/>
    </w:rPr>
  </w:style>
  <w:style w:type="paragraph" w:styleId="39">
    <w:name w:val="toc 6"/>
    <w:basedOn w:val="1"/>
    <w:next w:val="1"/>
    <w:qFormat/>
    <w:uiPriority w:val="0"/>
    <w:pPr>
      <w:spacing w:line="360" w:lineRule="auto"/>
      <w:ind w:left="1050" w:hanging="500" w:hangingChars="500"/>
      <w:jc w:val="left"/>
    </w:pPr>
    <w:rPr>
      <w:sz w:val="18"/>
      <w:szCs w:val="18"/>
    </w:rPr>
  </w:style>
  <w:style w:type="paragraph" w:styleId="40">
    <w:name w:val="Body Text Indent 3"/>
    <w:basedOn w:val="1"/>
    <w:link w:val="268"/>
    <w:qFormat/>
    <w:uiPriority w:val="0"/>
    <w:pPr>
      <w:ind w:left="420" w:leftChars="200"/>
    </w:pPr>
    <w:rPr>
      <w:sz w:val="16"/>
      <w:szCs w:val="16"/>
    </w:rPr>
  </w:style>
  <w:style w:type="paragraph" w:styleId="41">
    <w:name w:val="toc 2"/>
    <w:basedOn w:val="1"/>
    <w:next w:val="1"/>
    <w:qFormat/>
    <w:uiPriority w:val="0"/>
    <w:pPr>
      <w:tabs>
        <w:tab w:val="left" w:pos="1050"/>
        <w:tab w:val="right" w:leader="dot" w:pos="9057"/>
      </w:tabs>
      <w:spacing w:line="400" w:lineRule="exact"/>
      <w:ind w:left="840" w:hanging="840"/>
      <w:jc w:val="left"/>
    </w:pPr>
    <w:rPr>
      <w:smallCaps/>
      <w:sz w:val="20"/>
      <w:szCs w:val="20"/>
    </w:rPr>
  </w:style>
  <w:style w:type="paragraph" w:styleId="42">
    <w:name w:val="toc 9"/>
    <w:basedOn w:val="1"/>
    <w:next w:val="1"/>
    <w:qFormat/>
    <w:uiPriority w:val="0"/>
    <w:pPr>
      <w:spacing w:line="360" w:lineRule="auto"/>
      <w:ind w:left="1680" w:hanging="500" w:hangingChars="500"/>
      <w:jc w:val="left"/>
    </w:pPr>
    <w:rPr>
      <w:sz w:val="18"/>
      <w:szCs w:val="18"/>
    </w:rPr>
  </w:style>
  <w:style w:type="paragraph" w:styleId="43">
    <w:name w:val="Body Text 2"/>
    <w:basedOn w:val="1"/>
    <w:link w:val="260"/>
    <w:qFormat/>
    <w:uiPriority w:val="0"/>
    <w:pPr>
      <w:spacing w:line="480" w:lineRule="auto"/>
    </w:pPr>
  </w:style>
  <w:style w:type="paragraph" w:styleId="44">
    <w:name w:val="Normal (Web)"/>
    <w:basedOn w:val="1"/>
    <w:qFormat/>
    <w:uiPriority w:val="0"/>
    <w:pPr>
      <w:widowControl/>
      <w:spacing w:beforeAutospacing="1" w:afterAutospacing="1"/>
      <w:ind w:firstLine="480"/>
      <w:jc w:val="left"/>
    </w:pPr>
    <w:rPr>
      <w:rFonts w:hAnsi="宋体" w:cs="宋体"/>
      <w:kern w:val="0"/>
    </w:rPr>
  </w:style>
  <w:style w:type="paragraph" w:styleId="45">
    <w:name w:val="Title"/>
    <w:basedOn w:val="1"/>
    <w:link w:val="223"/>
    <w:qFormat/>
    <w:uiPriority w:val="0"/>
    <w:pPr>
      <w:widowControl/>
      <w:jc w:val="center"/>
      <w:outlineLvl w:val="0"/>
    </w:pPr>
    <w:rPr>
      <w:rFonts w:ascii="Arial" w:hAnsi="Arial" w:eastAsia="楷体_GB2312"/>
      <w:b/>
      <w:kern w:val="0"/>
      <w:sz w:val="32"/>
      <w:szCs w:val="20"/>
    </w:rPr>
  </w:style>
  <w:style w:type="paragraph" w:styleId="46">
    <w:name w:val="annotation subject"/>
    <w:basedOn w:val="19"/>
    <w:next w:val="19"/>
    <w:link w:val="218"/>
    <w:qFormat/>
    <w:uiPriority w:val="0"/>
    <w:rPr>
      <w:b/>
      <w:bCs/>
    </w:rPr>
  </w:style>
  <w:style w:type="table" w:styleId="48">
    <w:name w:val="Table Grid"/>
    <w:basedOn w:val="47"/>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qFormat/>
    <w:uiPriority w:val="22"/>
    <w:rPr>
      <w:rFonts w:cs="Times New Roman"/>
      <w:b/>
      <w:bCs/>
    </w:rPr>
  </w:style>
  <w:style w:type="character" w:styleId="51">
    <w:name w:val="page number"/>
    <w:basedOn w:val="49"/>
    <w:qFormat/>
    <w:uiPriority w:val="0"/>
  </w:style>
  <w:style w:type="character" w:styleId="52">
    <w:name w:val="FollowedHyperlink"/>
    <w:qFormat/>
    <w:uiPriority w:val="0"/>
    <w:rPr>
      <w:color w:val="800080"/>
      <w:u w:val="single"/>
    </w:rPr>
  </w:style>
  <w:style w:type="character" w:styleId="53">
    <w:name w:val="Hyperlink"/>
    <w:basedOn w:val="49"/>
    <w:qFormat/>
    <w:uiPriority w:val="0"/>
    <w:rPr>
      <w:color w:val="0000FF"/>
      <w:u w:val="single"/>
    </w:rPr>
  </w:style>
  <w:style w:type="character" w:styleId="54">
    <w:name w:val="annotation reference"/>
    <w:qFormat/>
    <w:uiPriority w:val="0"/>
    <w:rPr>
      <w:sz w:val="21"/>
      <w:szCs w:val="21"/>
    </w:rPr>
  </w:style>
  <w:style w:type="paragraph" w:customStyle="1" w:styleId="55">
    <w:name w:val="居中 黑体 小三"/>
    <w:basedOn w:val="1"/>
    <w:qFormat/>
    <w:uiPriority w:val="0"/>
    <w:pPr>
      <w:jc w:val="center"/>
    </w:pPr>
    <w:rPr>
      <w:rFonts w:ascii="黑体" w:hAnsi="黑体" w:eastAsia="黑体" w:cs="宋体"/>
      <w:sz w:val="30"/>
      <w:szCs w:val="30"/>
    </w:rPr>
  </w:style>
  <w:style w:type="paragraph" w:customStyle="1" w:styleId="56">
    <w:name w:val="Char2"/>
    <w:basedOn w:val="1"/>
    <w:qFormat/>
    <w:uiPriority w:val="0"/>
    <w:pPr>
      <w:ind w:firstLine="360" w:firstLineChars="150"/>
    </w:pPr>
    <w:rPr>
      <w:rFonts w:ascii="Tahoma" w:hAnsi="Tahoma"/>
      <w:sz w:val="24"/>
      <w:szCs w:val="20"/>
    </w:rPr>
  </w:style>
  <w:style w:type="paragraph" w:customStyle="1" w:styleId="57">
    <w:name w:val="ｽﾀｲﾙ 1"/>
    <w:basedOn w:val="1"/>
    <w:qFormat/>
    <w:uiPriority w:val="0"/>
    <w:pPr>
      <w:adjustRightInd w:val="0"/>
      <w:spacing w:line="360" w:lineRule="atLeast"/>
      <w:textAlignment w:val="baseline"/>
    </w:pPr>
    <w:rPr>
      <w:rFonts w:ascii="Arial" w:hAnsi="Arial" w:eastAsia="MS Gothic"/>
      <w:color w:val="000000"/>
      <w:kern w:val="0"/>
      <w:sz w:val="24"/>
      <w:szCs w:val="20"/>
      <w:lang w:eastAsia="ja-JP"/>
    </w:rPr>
  </w:style>
  <w:style w:type="paragraph" w:customStyle="1" w:styleId="58">
    <w:name w:val="Char Char Char Char"/>
    <w:basedOn w:val="1"/>
    <w:qFormat/>
    <w:uiPriority w:val="0"/>
    <w:pPr>
      <w:ind w:firstLine="360" w:firstLineChars="150"/>
    </w:pPr>
  </w:style>
  <w:style w:type="paragraph" w:customStyle="1" w:styleId="59">
    <w:name w:val="1"/>
    <w:basedOn w:val="1"/>
    <w:qFormat/>
    <w:uiPriority w:val="0"/>
    <w:pPr>
      <w:spacing w:afterLines="50" w:line="360" w:lineRule="auto"/>
      <w:jc w:val="center"/>
    </w:pPr>
    <w:rPr>
      <w:rFonts w:ascii="宋体" w:hAnsi="宋体"/>
      <w:b/>
      <w:sz w:val="30"/>
      <w:szCs w:val="30"/>
    </w:rPr>
  </w:style>
  <w:style w:type="paragraph" w:customStyle="1" w:styleId="60">
    <w:name w:val="招标文件1）"/>
    <w:qFormat/>
    <w:uiPriority w:val="0"/>
    <w:pPr>
      <w:tabs>
        <w:tab w:val="left" w:pos="1800"/>
      </w:tabs>
      <w:spacing w:before="120" w:after="120" w:line="300" w:lineRule="auto"/>
      <w:ind w:left="1800" w:hanging="1800"/>
      <w:outlineLvl w:val="5"/>
    </w:pPr>
    <w:rPr>
      <w:rFonts w:ascii="宋体" w:hAnsi="Times New Roman" w:eastAsia="微软雅黑" w:cs="Times New Roman"/>
      <w:spacing w:val="10"/>
      <w:w w:val="95"/>
      <w:sz w:val="21"/>
      <w:lang w:val="en-US" w:eastAsia="zh-CN" w:bidi="ar-SA"/>
    </w:rPr>
  </w:style>
  <w:style w:type="paragraph" w:customStyle="1" w:styleId="61">
    <w:name w:val="xl5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b/>
      <w:bCs/>
      <w:color w:val="000000"/>
      <w:kern w:val="0"/>
      <w:sz w:val="20"/>
      <w:szCs w:val="20"/>
    </w:rPr>
  </w:style>
  <w:style w:type="paragraph" w:customStyle="1" w:styleId="62">
    <w:name w:val="xl4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color w:val="000000"/>
      <w:kern w:val="0"/>
      <w:sz w:val="20"/>
      <w:szCs w:val="20"/>
    </w:rPr>
  </w:style>
  <w:style w:type="paragraph" w:customStyle="1" w:styleId="63">
    <w:name w:val="表格文字"/>
    <w:qFormat/>
    <w:uiPriority w:val="0"/>
    <w:pPr>
      <w:spacing w:line="288" w:lineRule="auto"/>
      <w:jc w:val="center"/>
    </w:pPr>
    <w:rPr>
      <w:rFonts w:ascii="宋体" w:hAnsi="宋体" w:eastAsia="微软雅黑" w:cs="宋体"/>
      <w:kern w:val="2"/>
      <w:sz w:val="21"/>
      <w:szCs w:val="21"/>
      <w:lang w:val="en-US" w:eastAsia="zh-CN" w:bidi="ar-SA"/>
    </w:rPr>
  </w:style>
  <w:style w:type="paragraph" w:customStyle="1" w:styleId="64">
    <w:name w:val="样式 标题 2标题 1.1head:2#2 headlinehheadlineS&amp;R2ERMH2Head 2 +..."/>
    <w:basedOn w:val="5"/>
    <w:qFormat/>
    <w:uiPriority w:val="0"/>
    <w:pPr>
      <w:tabs>
        <w:tab w:val="left" w:pos="907"/>
      </w:tabs>
      <w:autoSpaceDE w:val="0"/>
      <w:autoSpaceDN w:val="0"/>
      <w:adjustRightInd w:val="0"/>
      <w:spacing w:line="360" w:lineRule="auto"/>
      <w:ind w:left="907" w:hanging="907"/>
      <w:jc w:val="center"/>
      <w:textAlignment w:val="baseline"/>
    </w:pPr>
    <w:rPr>
      <w:rFonts w:eastAsia="宋体"/>
      <w:kern w:val="0"/>
      <w:sz w:val="24"/>
      <w:szCs w:val="20"/>
    </w:rPr>
  </w:style>
  <w:style w:type="paragraph" w:customStyle="1" w:styleId="65">
    <w:name w:val="Char4"/>
    <w:basedOn w:val="1"/>
    <w:qFormat/>
    <w:uiPriority w:val="99"/>
    <w:rPr>
      <w:rFonts w:ascii="仿宋_GB2312" w:eastAsia="仿宋_GB2312"/>
      <w:b/>
      <w:sz w:val="32"/>
      <w:szCs w:val="32"/>
    </w:rPr>
  </w:style>
  <w:style w:type="paragraph" w:customStyle="1" w:styleId="66">
    <w:name w:val="xl32"/>
    <w:basedOn w:val="1"/>
    <w:qFormat/>
    <w:uiPriority w:val="0"/>
    <w:pPr>
      <w:widowControl/>
      <w:spacing w:beforeAutospacing="1" w:afterAutospacing="1"/>
      <w:jc w:val="center"/>
    </w:pPr>
    <w:rPr>
      <w:b/>
      <w:bCs/>
      <w:kern w:val="0"/>
      <w:sz w:val="24"/>
      <w:u w:val="single"/>
    </w:rPr>
  </w:style>
  <w:style w:type="paragraph" w:customStyle="1" w:styleId="67">
    <w:name w:val="样式 图表 + 五号"/>
    <w:basedOn w:val="1"/>
    <w:qFormat/>
    <w:uiPriority w:val="0"/>
    <w:pPr>
      <w:spacing w:line="360" w:lineRule="exact"/>
      <w:ind w:left="1200" w:hanging="1200"/>
      <w:jc w:val="center"/>
    </w:pPr>
    <w:rPr>
      <w:spacing w:val="-10"/>
      <w:szCs w:val="28"/>
    </w:rPr>
  </w:style>
  <w:style w:type="paragraph" w:customStyle="1" w:styleId="68">
    <w:name w:val="Default"/>
    <w:qFormat/>
    <w:uiPriority w:val="0"/>
    <w:pPr>
      <w:widowControl w:val="0"/>
      <w:autoSpaceDE w:val="0"/>
      <w:autoSpaceDN w:val="0"/>
      <w:adjustRightInd w:val="0"/>
    </w:pPr>
    <w:rPr>
      <w:rFonts w:ascii="宋体" w:hAnsi="Times New Roman" w:eastAsia="微软雅黑" w:cs="宋体"/>
      <w:color w:val="000000"/>
      <w:sz w:val="24"/>
      <w:szCs w:val="24"/>
      <w:lang w:val="en-US" w:eastAsia="zh-CN" w:bidi="ar-SA"/>
    </w:rPr>
  </w:style>
  <w:style w:type="paragraph" w:customStyle="1" w:styleId="69">
    <w:name w:val="xl36"/>
    <w:basedOn w:val="1"/>
    <w:qFormat/>
    <w:uiPriority w:val="0"/>
    <w:pPr>
      <w:widowControl/>
      <w:pBdr>
        <w:top w:val="single" w:color="auto" w:sz="4" w:space="0"/>
        <w:bottom w:val="single" w:color="auto" w:sz="4" w:space="0"/>
        <w:right w:val="single" w:color="auto" w:sz="4" w:space="0"/>
      </w:pBdr>
      <w:spacing w:beforeAutospacing="1" w:afterAutospacing="1"/>
      <w:jc w:val="left"/>
    </w:pPr>
    <w:rPr>
      <w:kern w:val="0"/>
      <w:sz w:val="24"/>
    </w:rPr>
  </w:style>
  <w:style w:type="paragraph" w:customStyle="1" w:styleId="70">
    <w:name w:val="样式 标题2 + 字距调整8 磅"/>
    <w:basedOn w:val="71"/>
    <w:qFormat/>
    <w:uiPriority w:val="0"/>
    <w:pPr>
      <w:tabs>
        <w:tab w:val="left" w:pos="709"/>
      </w:tabs>
    </w:pPr>
    <w:rPr>
      <w:kern w:val="16"/>
    </w:rPr>
  </w:style>
  <w:style w:type="paragraph" w:customStyle="1" w:styleId="71">
    <w:name w:val="标题2 Char"/>
    <w:basedOn w:val="5"/>
    <w:qFormat/>
    <w:uiPriority w:val="0"/>
    <w:pPr>
      <w:tabs>
        <w:tab w:val="left" w:pos="709"/>
      </w:tabs>
      <w:adjustRightInd w:val="0"/>
      <w:spacing w:line="360" w:lineRule="auto"/>
      <w:ind w:left="709" w:hanging="709"/>
      <w:textAlignment w:val="baseline"/>
    </w:pPr>
    <w:rPr>
      <w:rFonts w:eastAsia="仿宋_GB2312" w:cs="Arial"/>
      <w:b w:val="0"/>
      <w:bCs w:val="0"/>
      <w:kern w:val="0"/>
      <w:sz w:val="21"/>
      <w:szCs w:val="24"/>
    </w:rPr>
  </w:style>
  <w:style w:type="paragraph" w:customStyle="1" w:styleId="72">
    <w:name w:val="Char Char Char Char Char Char Char Char Char Char Char Char1 Char Char Char Char Char Char1 Char Char Char Char Char Char Char"/>
    <w:basedOn w:val="1"/>
    <w:qFormat/>
    <w:uiPriority w:val="0"/>
    <w:rPr>
      <w:rFonts w:ascii="Tahoma" w:hAnsi="Tahoma" w:cs="仿宋_GB2312"/>
      <w:sz w:val="24"/>
      <w:szCs w:val="20"/>
    </w:rPr>
  </w:style>
  <w:style w:type="paragraph" w:customStyle="1" w:styleId="73">
    <w:name w:val="xl48"/>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Autospacing="1" w:afterAutospacing="1"/>
      <w:jc w:val="center"/>
    </w:pPr>
    <w:rPr>
      <w:rFonts w:ascii="宋体" w:hAnsi="宋体" w:cs="宋体"/>
      <w:color w:val="000000"/>
      <w:kern w:val="0"/>
      <w:sz w:val="20"/>
      <w:szCs w:val="20"/>
    </w:rPr>
  </w:style>
  <w:style w:type="paragraph" w:customStyle="1" w:styleId="74">
    <w:name w:val="Char1"/>
    <w:basedOn w:val="1"/>
    <w:qFormat/>
    <w:uiPriority w:val="0"/>
    <w:rPr>
      <w:rFonts w:ascii="Tahoma" w:hAnsi="Tahoma" w:cs="仿宋_GB2312"/>
      <w:sz w:val="24"/>
      <w:szCs w:val="20"/>
    </w:rPr>
  </w:style>
  <w:style w:type="paragraph" w:customStyle="1" w:styleId="75">
    <w:name w:val="p0"/>
    <w:basedOn w:val="1"/>
    <w:qFormat/>
    <w:uiPriority w:val="0"/>
    <w:pPr>
      <w:widowControl/>
    </w:pPr>
    <w:rPr>
      <w:kern w:val="0"/>
      <w:szCs w:val="21"/>
    </w:rPr>
  </w:style>
  <w:style w:type="paragraph" w:customStyle="1" w:styleId="76">
    <w:name w:val="xl30"/>
    <w:basedOn w:val="1"/>
    <w:qFormat/>
    <w:uiPriority w:val="0"/>
    <w:pPr>
      <w:widowControl/>
      <w:pBdr>
        <w:top w:val="single" w:color="auto" w:sz="4" w:space="0"/>
        <w:bottom w:val="single" w:color="auto" w:sz="4" w:space="0"/>
        <w:right w:val="single" w:color="auto" w:sz="4" w:space="0"/>
      </w:pBdr>
      <w:spacing w:beforeAutospacing="1" w:afterAutospacing="1"/>
      <w:jc w:val="left"/>
    </w:pPr>
    <w:rPr>
      <w:kern w:val="0"/>
      <w:sz w:val="24"/>
    </w:rPr>
  </w:style>
  <w:style w:type="paragraph" w:customStyle="1" w:styleId="77">
    <w:name w:val="font5"/>
    <w:basedOn w:val="1"/>
    <w:qFormat/>
    <w:uiPriority w:val="0"/>
    <w:pPr>
      <w:widowControl/>
      <w:spacing w:beforeAutospacing="1" w:afterAutospacing="1"/>
      <w:jc w:val="left"/>
    </w:pPr>
    <w:rPr>
      <w:b/>
      <w:bCs/>
      <w:kern w:val="0"/>
      <w:sz w:val="22"/>
      <w:szCs w:val="22"/>
    </w:rPr>
  </w:style>
  <w:style w:type="paragraph" w:customStyle="1" w:styleId="78">
    <w:name w:val="样式3"/>
    <w:basedOn w:val="6"/>
    <w:qFormat/>
    <w:uiPriority w:val="0"/>
    <w:pPr>
      <w:snapToGrid w:val="0"/>
    </w:pPr>
    <w:rPr>
      <w:bCs w:val="0"/>
      <w:szCs w:val="20"/>
    </w:rPr>
  </w:style>
  <w:style w:type="paragraph" w:customStyle="1" w:styleId="79">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kern w:val="0"/>
      <w:sz w:val="24"/>
      <w:szCs w:val="20"/>
    </w:rPr>
  </w:style>
  <w:style w:type="paragraph" w:customStyle="1" w:styleId="80">
    <w:name w:val="修订1"/>
    <w:qFormat/>
    <w:uiPriority w:val="0"/>
    <w:rPr>
      <w:rFonts w:ascii="Times New Roman" w:hAnsi="Times New Roman" w:eastAsia="微软雅黑" w:cs="Times New Roman"/>
      <w:kern w:val="2"/>
      <w:sz w:val="21"/>
      <w:szCs w:val="24"/>
      <w:lang w:val="en-US" w:eastAsia="zh-CN" w:bidi="ar-SA"/>
    </w:rPr>
  </w:style>
  <w:style w:type="paragraph" w:customStyle="1" w:styleId="81">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微软雅黑" w:cs="Times New Roman"/>
      <w:color w:val="000000"/>
      <w:sz w:val="24"/>
      <w:lang w:val="en-US" w:eastAsia="zh-CN" w:bidi="ar-SA"/>
    </w:rPr>
  </w:style>
  <w:style w:type="paragraph" w:customStyle="1" w:styleId="82">
    <w:name w:val="正文1"/>
    <w:basedOn w:val="1"/>
    <w:qFormat/>
    <w:uiPriority w:val="0"/>
    <w:pPr>
      <w:tabs>
        <w:tab w:val="left" w:pos="720"/>
        <w:tab w:val="right" w:pos="1191"/>
      </w:tabs>
      <w:spacing w:line="360" w:lineRule="auto"/>
      <w:ind w:left="720" w:hanging="360"/>
    </w:pPr>
    <w:rPr>
      <w:sz w:val="24"/>
      <w:szCs w:val="20"/>
    </w:rPr>
  </w:style>
  <w:style w:type="paragraph" w:customStyle="1" w:styleId="83">
    <w:name w:val="StandardOhneEinzug"/>
    <w:basedOn w:val="1"/>
    <w:qFormat/>
    <w:uiPriority w:val="0"/>
    <w:pPr>
      <w:widowControl/>
      <w:tabs>
        <w:tab w:val="left" w:pos="2520"/>
      </w:tabs>
      <w:spacing w:line="288" w:lineRule="auto"/>
      <w:ind w:left="2520" w:hanging="2520"/>
      <w:jc w:val="left"/>
    </w:pPr>
    <w:rPr>
      <w:rFonts w:ascii="Arial" w:hAnsi="Arial"/>
      <w:color w:val="000000"/>
      <w:kern w:val="0"/>
      <w:sz w:val="22"/>
      <w:szCs w:val="20"/>
      <w:lang w:val="de-DE"/>
    </w:rPr>
  </w:style>
  <w:style w:type="paragraph" w:customStyle="1" w:styleId="84">
    <w:name w:val="xl6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b/>
      <w:bCs/>
      <w:kern w:val="0"/>
      <w:sz w:val="20"/>
      <w:szCs w:val="20"/>
    </w:rPr>
  </w:style>
  <w:style w:type="paragraph" w:customStyle="1" w:styleId="85">
    <w:name w:val="三点段 Char"/>
    <w:basedOn w:val="1"/>
    <w:qFormat/>
    <w:uiPriority w:val="0"/>
    <w:pPr>
      <w:spacing w:line="360" w:lineRule="auto"/>
      <w:ind w:left="1200" w:hanging="1200" w:hangingChars="500"/>
    </w:pPr>
    <w:rPr>
      <w:rFonts w:hint="eastAsia" w:ascii="宋体"/>
      <w:sz w:val="24"/>
    </w:rPr>
  </w:style>
  <w:style w:type="paragraph" w:customStyle="1" w:styleId="86">
    <w:name w:val="标书正文1"/>
    <w:basedOn w:val="1"/>
    <w:qFormat/>
    <w:uiPriority w:val="0"/>
    <w:pPr>
      <w:spacing w:afterLines="50" w:line="360" w:lineRule="exact"/>
      <w:ind w:left="1077"/>
    </w:pPr>
    <w:rPr>
      <w:rFonts w:ascii="宋体" w:hAnsi="宋体"/>
      <w:color w:val="FF0000"/>
    </w:rPr>
  </w:style>
  <w:style w:type="paragraph" w:customStyle="1" w:styleId="87">
    <w:name w:val="样式2"/>
    <w:basedOn w:val="5"/>
    <w:qFormat/>
    <w:uiPriority w:val="0"/>
    <w:pPr>
      <w:snapToGrid w:val="0"/>
    </w:pPr>
    <w:rPr>
      <w:rFonts w:ascii="Times New Roman" w:hAnsi="Times New Roman" w:eastAsia="宋体"/>
      <w:bCs w:val="0"/>
      <w:sz w:val="36"/>
      <w:szCs w:val="20"/>
    </w:rPr>
  </w:style>
  <w:style w:type="paragraph" w:customStyle="1" w:styleId="88">
    <w:name w:val="Sub title 1"/>
    <w:basedOn w:val="1"/>
    <w:qFormat/>
    <w:uiPriority w:val="0"/>
    <w:pPr>
      <w:tabs>
        <w:tab w:val="left" w:pos="1304"/>
      </w:tabs>
      <w:autoSpaceDE w:val="0"/>
      <w:autoSpaceDN w:val="0"/>
      <w:adjustRightInd w:val="0"/>
      <w:spacing w:line="300" w:lineRule="atLeast"/>
      <w:ind w:left="1304" w:hanging="170"/>
    </w:pPr>
    <w:rPr>
      <w:rFonts w:ascii="Arial" w:hAnsi="Arial"/>
      <w:kern w:val="0"/>
      <w:szCs w:val="20"/>
    </w:rPr>
  </w:style>
  <w:style w:type="paragraph" w:customStyle="1" w:styleId="89">
    <w:name w:val="招标文件1.1.1"/>
    <w:qFormat/>
    <w:uiPriority w:val="0"/>
    <w:pPr>
      <w:tabs>
        <w:tab w:val="left" w:pos="1080"/>
      </w:tabs>
      <w:spacing w:before="120" w:after="120" w:line="480" w:lineRule="exact"/>
      <w:ind w:left="1080" w:hanging="1080"/>
      <w:outlineLvl w:val="3"/>
    </w:pPr>
    <w:rPr>
      <w:rFonts w:ascii="宋体" w:hAnsi="Times New Roman" w:eastAsia="微软雅黑" w:cs="Times New Roman"/>
      <w:b/>
      <w:spacing w:val="10"/>
      <w:w w:val="95"/>
      <w:sz w:val="21"/>
      <w:lang w:val="en-US" w:eastAsia="zh-CN" w:bidi="ar-SA"/>
    </w:rPr>
  </w:style>
  <w:style w:type="paragraph" w:customStyle="1" w:styleId="90">
    <w:name w:val="Char Char Char1 Char Char Char Char Char Char Char Char Char Char Char Char Char Char Char Char Char Char Char Char Char Char Char Char1 Char Char Char Char Char Char Char"/>
    <w:basedOn w:val="1"/>
    <w:qFormat/>
    <w:uiPriority w:val="0"/>
    <w:rPr>
      <w:rFonts w:ascii="Tahoma" w:hAnsi="Tahoma"/>
      <w:sz w:val="24"/>
      <w:szCs w:val="20"/>
    </w:rPr>
  </w:style>
  <w:style w:type="paragraph" w:customStyle="1" w:styleId="91">
    <w:name w:val="图表"/>
    <w:basedOn w:val="1"/>
    <w:qFormat/>
    <w:uiPriority w:val="0"/>
    <w:pPr>
      <w:spacing w:line="360" w:lineRule="exact"/>
      <w:jc w:val="left"/>
    </w:pPr>
    <w:rPr>
      <w:spacing w:val="-10"/>
      <w:sz w:val="24"/>
      <w:szCs w:val="28"/>
    </w:rPr>
  </w:style>
  <w:style w:type="paragraph" w:customStyle="1" w:styleId="92">
    <w:name w:val="格式2"/>
    <w:qFormat/>
    <w:uiPriority w:val="0"/>
    <w:rPr>
      <w:rFonts w:ascii="黑体" w:hAnsi="Times New Roman" w:eastAsia="黑体" w:cs="Times New Roman"/>
      <w:bCs/>
      <w:lang w:val="en-US" w:eastAsia="zh-CN" w:bidi="ar-SA"/>
    </w:rPr>
  </w:style>
  <w:style w:type="paragraph" w:customStyle="1" w:styleId="93">
    <w:name w:val="xl33"/>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kern w:val="0"/>
      <w:sz w:val="24"/>
    </w:rPr>
  </w:style>
  <w:style w:type="paragraph" w:customStyle="1" w:styleId="94">
    <w:name w:val="批注框文本1"/>
    <w:basedOn w:val="1"/>
    <w:qFormat/>
    <w:uiPriority w:val="0"/>
    <w:rPr>
      <w:sz w:val="16"/>
      <w:szCs w:val="16"/>
    </w:rPr>
  </w:style>
  <w:style w:type="paragraph" w:customStyle="1" w:styleId="95">
    <w:name w:val="Char Char Char2 Char"/>
    <w:basedOn w:val="1"/>
    <w:qFormat/>
    <w:uiPriority w:val="0"/>
    <w:pPr>
      <w:ind w:firstLine="360" w:firstLineChars="150"/>
    </w:pPr>
    <w:rPr>
      <w:rFonts w:ascii="Tahoma" w:hAnsi="Tahoma"/>
      <w:sz w:val="24"/>
      <w:szCs w:val="20"/>
    </w:rPr>
  </w:style>
  <w:style w:type="paragraph" w:customStyle="1" w:styleId="96">
    <w:name w:val="Part Title"/>
    <w:basedOn w:val="1"/>
    <w:next w:val="1"/>
    <w:qFormat/>
    <w:uiPriority w:val="0"/>
    <w:pPr>
      <w:keepNext/>
      <w:keepLines/>
      <w:widowControl/>
      <w:tabs>
        <w:tab w:val="left" w:pos="720"/>
        <w:tab w:val="left" w:pos="1080"/>
        <w:tab w:val="left" w:pos="1627"/>
      </w:tabs>
      <w:spacing w:line="300" w:lineRule="exact"/>
      <w:jc w:val="center"/>
    </w:pPr>
    <w:rPr>
      <w:rFonts w:ascii="Arial" w:hAnsi="Arial"/>
      <w:b/>
      <w:kern w:val="28"/>
      <w:sz w:val="36"/>
      <w:szCs w:val="20"/>
    </w:rPr>
  </w:style>
  <w:style w:type="paragraph" w:customStyle="1" w:styleId="97">
    <w:name w:val="孙（1）"/>
    <w:qFormat/>
    <w:uiPriority w:val="0"/>
    <w:pPr>
      <w:spacing w:before="100" w:after="100" w:line="360" w:lineRule="auto"/>
      <w:outlineLvl w:val="1"/>
    </w:pPr>
    <w:rPr>
      <w:rFonts w:ascii="Times New Roman" w:hAnsi="Times New Roman" w:eastAsia="微软雅黑" w:cs="Times New Roman"/>
      <w:b/>
      <w:sz w:val="24"/>
      <w:szCs w:val="24"/>
      <w:lang w:val="en-US" w:eastAsia="zh-CN" w:bidi="ar-SA"/>
    </w:rPr>
  </w:style>
  <w:style w:type="paragraph" w:customStyle="1" w:styleId="98">
    <w:name w:val="Char11"/>
    <w:basedOn w:val="1"/>
    <w:qFormat/>
    <w:uiPriority w:val="0"/>
    <w:rPr>
      <w:rFonts w:ascii="Tahoma" w:hAnsi="Tahoma" w:cs="仿宋_GB2312"/>
      <w:sz w:val="24"/>
      <w:szCs w:val="20"/>
    </w:rPr>
  </w:style>
  <w:style w:type="paragraph" w:customStyle="1" w:styleId="99">
    <w:name w:val="xl29"/>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kern w:val="0"/>
      <w:sz w:val="24"/>
    </w:rPr>
  </w:style>
  <w:style w:type="paragraph" w:customStyle="1" w:styleId="100">
    <w:name w:val="font0"/>
    <w:basedOn w:val="1"/>
    <w:qFormat/>
    <w:uiPriority w:val="0"/>
    <w:pPr>
      <w:widowControl/>
      <w:spacing w:beforeAutospacing="1" w:afterAutospacing="1"/>
      <w:jc w:val="left"/>
    </w:pPr>
    <w:rPr>
      <w:rFonts w:ascii="Arial" w:hAnsi="Arial" w:cs="Arial"/>
      <w:kern w:val="0"/>
      <w:sz w:val="20"/>
      <w:szCs w:val="20"/>
    </w:rPr>
  </w:style>
  <w:style w:type="paragraph" w:customStyle="1" w:styleId="101">
    <w:name w:val="Char"/>
    <w:basedOn w:val="1"/>
    <w:qFormat/>
    <w:uiPriority w:val="0"/>
  </w:style>
  <w:style w:type="paragraph" w:customStyle="1" w:styleId="102">
    <w:name w:val="列出段落1"/>
    <w:basedOn w:val="1"/>
    <w:qFormat/>
    <w:uiPriority w:val="0"/>
    <w:pPr>
      <w:ind w:firstLine="420" w:firstLineChars="200"/>
    </w:pPr>
    <w:rPr>
      <w:rFonts w:ascii="Calibri" w:hAnsi="Calibri"/>
      <w:szCs w:val="22"/>
    </w:rPr>
  </w:style>
  <w:style w:type="paragraph" w:customStyle="1" w:styleId="103">
    <w:name w:val="默认段落字体 Para Char"/>
    <w:basedOn w:val="1"/>
    <w:next w:val="1"/>
    <w:qFormat/>
    <w:uiPriority w:val="0"/>
  </w:style>
  <w:style w:type="paragraph" w:customStyle="1" w:styleId="104">
    <w:name w:val="font7"/>
    <w:basedOn w:val="1"/>
    <w:qFormat/>
    <w:uiPriority w:val="0"/>
    <w:pPr>
      <w:widowControl/>
      <w:spacing w:beforeAutospacing="1" w:afterAutospacing="1"/>
      <w:jc w:val="left"/>
    </w:pPr>
    <w:rPr>
      <w:kern w:val="0"/>
      <w:sz w:val="20"/>
      <w:szCs w:val="20"/>
    </w:rPr>
  </w:style>
  <w:style w:type="paragraph" w:customStyle="1" w:styleId="105">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33CCCC"/>
      <w:spacing w:beforeAutospacing="1" w:afterAutospacing="1"/>
      <w:jc w:val="left"/>
    </w:pPr>
    <w:rPr>
      <w:rFonts w:ascii="宋体" w:hAnsi="宋体" w:cs="宋体"/>
      <w:color w:val="000000"/>
      <w:kern w:val="0"/>
      <w:sz w:val="20"/>
      <w:szCs w:val="20"/>
    </w:rPr>
  </w:style>
  <w:style w:type="paragraph" w:customStyle="1" w:styleId="106">
    <w:name w:val="正文 样式"/>
    <w:basedOn w:val="1"/>
    <w:qFormat/>
    <w:uiPriority w:val="0"/>
    <w:pPr>
      <w:spacing w:line="360" w:lineRule="auto"/>
      <w:ind w:left="1080" w:leftChars="450" w:firstLine="540" w:firstLineChars="225"/>
    </w:pPr>
    <w:rPr>
      <w:sz w:val="24"/>
      <w:szCs w:val="20"/>
    </w:rPr>
  </w:style>
  <w:style w:type="paragraph" w:customStyle="1" w:styleId="107">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33CCCC"/>
      <w:spacing w:beforeAutospacing="1" w:afterAutospacing="1"/>
      <w:jc w:val="center"/>
    </w:pPr>
    <w:rPr>
      <w:rFonts w:ascii="宋体" w:hAnsi="宋体" w:cs="宋体"/>
      <w:color w:val="000000"/>
      <w:kern w:val="0"/>
      <w:sz w:val="20"/>
      <w:szCs w:val="20"/>
    </w:rPr>
  </w:style>
  <w:style w:type="paragraph" w:customStyle="1" w:styleId="108">
    <w:name w:val="样式1"/>
    <w:basedOn w:val="7"/>
    <w:next w:val="1"/>
    <w:qFormat/>
    <w:uiPriority w:val="0"/>
    <w:pPr>
      <w:keepNext/>
      <w:keepLines/>
      <w:tabs>
        <w:tab w:val="clear" w:pos="1200"/>
      </w:tabs>
      <w:snapToGrid/>
      <w:spacing w:afterLines="50"/>
      <w:ind w:left="0"/>
      <w:jc w:val="center"/>
    </w:pPr>
    <w:rPr>
      <w:b/>
      <w:color w:val="FF0000"/>
      <w:sz w:val="21"/>
    </w:rPr>
  </w:style>
  <w:style w:type="paragraph" w:customStyle="1" w:styleId="109">
    <w:name w:val="xl5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color w:val="000000"/>
      <w:kern w:val="0"/>
      <w:sz w:val="20"/>
      <w:szCs w:val="20"/>
    </w:rPr>
  </w:style>
  <w:style w:type="paragraph" w:customStyle="1" w:styleId="110">
    <w:name w:val="Char3"/>
    <w:basedOn w:val="1"/>
    <w:qFormat/>
    <w:uiPriority w:val="0"/>
    <w:rPr>
      <w:rFonts w:ascii="仿宋_GB2312" w:eastAsia="仿宋_GB2312"/>
      <w:b/>
      <w:sz w:val="32"/>
      <w:szCs w:val="32"/>
    </w:rPr>
  </w:style>
  <w:style w:type="paragraph" w:customStyle="1" w:styleId="111">
    <w:name w:val="图表中对齐"/>
    <w:basedOn w:val="1"/>
    <w:qFormat/>
    <w:uiPriority w:val="0"/>
    <w:pPr>
      <w:adjustRightInd w:val="0"/>
      <w:spacing w:line="360" w:lineRule="exact"/>
      <w:jc w:val="center"/>
      <w:textAlignment w:val="baseline"/>
    </w:pPr>
    <w:rPr>
      <w:spacing w:val="-10"/>
      <w:sz w:val="24"/>
      <w:szCs w:val="21"/>
    </w:rPr>
  </w:style>
  <w:style w:type="paragraph" w:customStyle="1" w:styleId="112">
    <w:name w:val="标题3"/>
    <w:basedOn w:val="6"/>
    <w:qFormat/>
    <w:uiPriority w:val="0"/>
    <w:pPr>
      <w:keepLines w:val="0"/>
      <w:tabs>
        <w:tab w:val="left" w:pos="360"/>
        <w:tab w:val="left" w:pos="840"/>
        <w:tab w:val="left" w:pos="2160"/>
      </w:tabs>
      <w:adjustRightInd w:val="0"/>
      <w:spacing w:line="360" w:lineRule="auto"/>
      <w:textAlignment w:val="baseline"/>
    </w:pPr>
    <w:rPr>
      <w:b w:val="0"/>
      <w:bCs w:val="0"/>
      <w:kern w:val="0"/>
      <w:sz w:val="24"/>
      <w:szCs w:val="20"/>
    </w:rPr>
  </w:style>
  <w:style w:type="paragraph" w:customStyle="1" w:styleId="113">
    <w:name w:val="(文字) (文字) Char Char (文字) (文字)"/>
    <w:basedOn w:val="1"/>
    <w:qFormat/>
    <w:uiPriority w:val="0"/>
    <w:rPr>
      <w:rFonts w:ascii="仿宋_GB2312" w:eastAsia="仿宋_GB2312"/>
      <w:b/>
      <w:sz w:val="32"/>
      <w:szCs w:val="32"/>
    </w:rPr>
  </w:style>
  <w:style w:type="paragraph" w:customStyle="1" w:styleId="114">
    <w:name w:val="xl58"/>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Autospacing="1" w:afterAutospacing="1"/>
      <w:jc w:val="left"/>
    </w:pPr>
    <w:rPr>
      <w:rFonts w:ascii="宋体" w:hAnsi="宋体" w:cs="宋体"/>
      <w:color w:val="000000"/>
      <w:kern w:val="0"/>
      <w:sz w:val="20"/>
      <w:szCs w:val="20"/>
    </w:rPr>
  </w:style>
  <w:style w:type="paragraph" w:customStyle="1" w:styleId="115">
    <w:name w:val="图表小四中对齐"/>
    <w:basedOn w:val="1"/>
    <w:qFormat/>
    <w:uiPriority w:val="0"/>
    <w:pPr>
      <w:adjustRightInd w:val="0"/>
      <w:spacing w:line="360" w:lineRule="exact"/>
      <w:jc w:val="center"/>
      <w:textAlignment w:val="baseline"/>
    </w:pPr>
    <w:rPr>
      <w:sz w:val="24"/>
    </w:rPr>
  </w:style>
  <w:style w:type="paragraph" w:customStyle="1" w:styleId="116">
    <w:name w:val="Char Char Char1 Char Char Char Char Char Char Char Char Char Char"/>
    <w:basedOn w:val="1"/>
    <w:qFormat/>
    <w:uiPriority w:val="0"/>
    <w:rPr>
      <w:rFonts w:ascii="Tahoma" w:hAnsi="Tahoma"/>
      <w:sz w:val="24"/>
      <w:szCs w:val="20"/>
    </w:rPr>
  </w:style>
  <w:style w:type="paragraph" w:customStyle="1" w:styleId="117">
    <w:name w:val="Char Char Char Char Char Char"/>
    <w:basedOn w:val="1"/>
    <w:qFormat/>
    <w:uiPriority w:val="0"/>
    <w:rPr>
      <w:rFonts w:ascii="Tahoma" w:hAnsi="Tahoma"/>
      <w:sz w:val="24"/>
      <w:szCs w:val="20"/>
    </w:rPr>
  </w:style>
  <w:style w:type="paragraph" w:customStyle="1" w:styleId="118">
    <w:name w:val="样式 正文缩进 + 首行缩进:  2 字符 段前: 1 行 段后: 1 行"/>
    <w:basedOn w:val="14"/>
    <w:qFormat/>
    <w:uiPriority w:val="0"/>
    <w:pPr>
      <w:adjustRightInd/>
      <w:spacing w:beforeLines="100" w:afterLines="100" w:line="360" w:lineRule="auto"/>
      <w:ind w:firstLine="560" w:firstLineChars="200"/>
      <w:textAlignment w:val="auto"/>
    </w:pPr>
    <w:rPr>
      <w:rFonts w:cs="宋体"/>
      <w:kern w:val="2"/>
      <w:sz w:val="21"/>
    </w:rPr>
  </w:style>
  <w:style w:type="paragraph" w:customStyle="1" w:styleId="119">
    <w:name w:val="font8"/>
    <w:basedOn w:val="1"/>
    <w:qFormat/>
    <w:uiPriority w:val="0"/>
    <w:pPr>
      <w:widowControl/>
      <w:spacing w:beforeAutospacing="1" w:afterAutospacing="1"/>
      <w:jc w:val="left"/>
    </w:pPr>
    <w:rPr>
      <w:kern w:val="0"/>
      <w:sz w:val="20"/>
      <w:szCs w:val="20"/>
    </w:rPr>
  </w:style>
  <w:style w:type="paragraph" w:customStyle="1" w:styleId="120">
    <w:name w:val="Char Char Char1 Char Char Char Char Char Char Char Char Char Char Char Char Char Char Char Char"/>
    <w:basedOn w:val="1"/>
    <w:qFormat/>
    <w:uiPriority w:val="0"/>
    <w:rPr>
      <w:rFonts w:ascii="Tahoma" w:hAnsi="Tahoma"/>
      <w:sz w:val="24"/>
      <w:szCs w:val="20"/>
    </w:rPr>
  </w:style>
  <w:style w:type="paragraph" w:customStyle="1" w:styleId="121">
    <w:name w:val="Subhead 1"/>
    <w:basedOn w:val="1"/>
    <w:qFormat/>
    <w:uiPriority w:val="0"/>
    <w:pPr>
      <w:keepNext/>
      <w:pageBreakBefore/>
      <w:widowControl/>
      <w:tabs>
        <w:tab w:val="left" w:pos="1134"/>
        <w:tab w:val="left" w:pos="2552"/>
      </w:tabs>
      <w:autoSpaceDE w:val="0"/>
      <w:autoSpaceDN w:val="0"/>
      <w:adjustRightInd w:val="0"/>
      <w:spacing w:line="420" w:lineRule="atLeast"/>
      <w:ind w:left="1134" w:hanging="1134"/>
      <w:jc w:val="left"/>
    </w:pPr>
    <w:rPr>
      <w:rFonts w:ascii="Arial" w:hAnsi="Arial" w:eastAsia="黑体"/>
      <w:b/>
      <w:kern w:val="0"/>
      <w:sz w:val="32"/>
      <w:szCs w:val="20"/>
    </w:rPr>
  </w:style>
  <w:style w:type="paragraph" w:customStyle="1" w:styleId="122">
    <w:name w:val="xl4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szCs w:val="20"/>
    </w:rPr>
  </w:style>
  <w:style w:type="paragraph" w:customStyle="1" w:styleId="123">
    <w:name w:val="合同书"/>
    <w:basedOn w:val="1"/>
    <w:qFormat/>
    <w:uiPriority w:val="0"/>
    <w:pPr>
      <w:spacing w:afterLines="100"/>
      <w:jc w:val="center"/>
    </w:pPr>
    <w:rPr>
      <w:rFonts w:hAnsi="宋体"/>
      <w:b/>
      <w:color w:val="000000"/>
      <w:sz w:val="44"/>
      <w:szCs w:val="44"/>
    </w:rPr>
  </w:style>
  <w:style w:type="paragraph" w:customStyle="1" w:styleId="124">
    <w:name w:val="font6"/>
    <w:basedOn w:val="1"/>
    <w:qFormat/>
    <w:uiPriority w:val="0"/>
    <w:pPr>
      <w:widowControl/>
      <w:spacing w:beforeAutospacing="1" w:afterAutospacing="1"/>
      <w:jc w:val="left"/>
    </w:pPr>
    <w:rPr>
      <w:rFonts w:hint="eastAsia" w:ascii="宋体" w:hAnsi="宋体"/>
      <w:kern w:val="0"/>
      <w:sz w:val="20"/>
      <w:szCs w:val="20"/>
    </w:rPr>
  </w:style>
  <w:style w:type="paragraph" w:customStyle="1" w:styleId="125">
    <w:name w:val="xl5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b/>
      <w:bCs/>
      <w:color w:val="000000"/>
      <w:kern w:val="0"/>
      <w:sz w:val="20"/>
      <w:szCs w:val="20"/>
    </w:rPr>
  </w:style>
  <w:style w:type="paragraph" w:customStyle="1" w:styleId="126">
    <w:name w:val="正文1缩进"/>
    <w:basedOn w:val="82"/>
    <w:qFormat/>
    <w:uiPriority w:val="0"/>
    <w:pPr>
      <w:tabs>
        <w:tab w:val="clear" w:pos="720"/>
        <w:tab w:val="clear" w:pos="1191"/>
      </w:tabs>
      <w:adjustRightInd w:val="0"/>
      <w:snapToGrid w:val="0"/>
      <w:spacing w:beforeLines="50" w:afterLines="50" w:line="380" w:lineRule="atLeast"/>
      <w:ind w:left="984" w:leftChars="410" w:firstLine="5" w:firstLineChars="2"/>
    </w:pPr>
    <w:rPr>
      <w:rFonts w:ascii="宋体" w:hAnsi="宋体"/>
      <w:snapToGrid w:val="0"/>
      <w:color w:val="000000"/>
      <w:kern w:val="0"/>
      <w:szCs w:val="24"/>
    </w:rPr>
  </w:style>
  <w:style w:type="paragraph" w:customStyle="1" w:styleId="127">
    <w:name w:val="修订2"/>
    <w:qFormat/>
    <w:uiPriority w:val="0"/>
    <w:rPr>
      <w:rFonts w:ascii="Times New Roman" w:hAnsi="Times New Roman" w:eastAsia="微软雅黑" w:cs="Times New Roman"/>
      <w:kern w:val="2"/>
      <w:sz w:val="21"/>
      <w:szCs w:val="24"/>
      <w:lang w:val="en-US" w:eastAsia="zh-CN" w:bidi="ar-SA"/>
    </w:rPr>
  </w:style>
  <w:style w:type="paragraph" w:customStyle="1" w:styleId="128">
    <w:name w:val="Char411"/>
    <w:basedOn w:val="1"/>
    <w:qFormat/>
    <w:uiPriority w:val="0"/>
    <w:rPr>
      <w:rFonts w:ascii="仿宋_GB2312" w:eastAsia="仿宋_GB2312"/>
      <w:b/>
      <w:sz w:val="32"/>
      <w:szCs w:val="32"/>
    </w:rPr>
  </w:style>
  <w:style w:type="paragraph" w:customStyle="1" w:styleId="129">
    <w:name w:val="Char Char Char1 Char Char Char Char Char Char Char Char Char Char Char Char Char Char Char Char Char Char Char Char Char Char Char Char1 Char Char Char Char Char Char Char1"/>
    <w:basedOn w:val="1"/>
    <w:qFormat/>
    <w:uiPriority w:val="0"/>
    <w:rPr>
      <w:rFonts w:ascii="Tahoma" w:hAnsi="Tahoma"/>
      <w:sz w:val="24"/>
      <w:szCs w:val="20"/>
    </w:rPr>
  </w:style>
  <w:style w:type="paragraph" w:customStyle="1" w:styleId="130">
    <w:name w:val="xl38"/>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kern w:val="0"/>
      <w:sz w:val="24"/>
    </w:rPr>
  </w:style>
  <w:style w:type="paragraph" w:customStyle="1" w:styleId="131">
    <w:name w:val="封面标准号2"/>
    <w:basedOn w:val="1"/>
    <w:qFormat/>
    <w:uiPriority w:val="0"/>
    <w:pPr>
      <w:kinsoku w:val="0"/>
      <w:overflowPunct w:val="0"/>
      <w:autoSpaceDE w:val="0"/>
      <w:autoSpaceDN w:val="0"/>
      <w:adjustRightInd w:val="0"/>
      <w:spacing w:line="280" w:lineRule="exact"/>
      <w:jc w:val="right"/>
      <w:textAlignment w:val="center"/>
    </w:pPr>
    <w:rPr>
      <w:kern w:val="0"/>
      <w:sz w:val="28"/>
      <w:szCs w:val="20"/>
    </w:rPr>
  </w:style>
  <w:style w:type="paragraph" w:customStyle="1" w:styleId="132">
    <w:name w:val="Headline"/>
    <w:qFormat/>
    <w:uiPriority w:val="0"/>
    <w:pPr>
      <w:pageBreakBefore/>
      <w:widowControl w:val="0"/>
      <w:tabs>
        <w:tab w:val="left" w:pos="1701"/>
      </w:tabs>
      <w:autoSpaceDE w:val="0"/>
      <w:autoSpaceDN w:val="0"/>
      <w:adjustRightInd w:val="0"/>
      <w:spacing w:before="680" w:after="1134" w:line="900" w:lineRule="atLeast"/>
      <w:ind w:left="1701" w:hanging="1701"/>
      <w:jc w:val="center"/>
    </w:pPr>
    <w:rPr>
      <w:rFonts w:ascii="Arial" w:hAnsi="Arial" w:eastAsia="黑体" w:cs="Times New Roman"/>
      <w:b/>
      <w:spacing w:val="-35"/>
      <w:sz w:val="72"/>
      <w:lang w:val="en-US" w:eastAsia="zh-CN" w:bidi="ar-SA"/>
    </w:rPr>
  </w:style>
  <w:style w:type="paragraph" w:customStyle="1" w:styleId="13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34">
    <w:name w:val="Numbered List"/>
    <w:basedOn w:val="33"/>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35">
    <w:name w:val="Char41"/>
    <w:basedOn w:val="1"/>
    <w:qFormat/>
    <w:uiPriority w:val="0"/>
    <w:rPr>
      <w:rFonts w:ascii="仿宋_GB2312" w:eastAsia="仿宋_GB2312"/>
      <w:b/>
      <w:sz w:val="32"/>
      <w:szCs w:val="32"/>
    </w:rPr>
  </w:style>
  <w:style w:type="paragraph" w:customStyle="1" w:styleId="136">
    <w:name w:val="xl54"/>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Autospacing="1" w:afterAutospacing="1"/>
      <w:jc w:val="center"/>
    </w:pPr>
    <w:rPr>
      <w:rFonts w:ascii="宋体" w:hAnsi="宋体" w:cs="宋体"/>
      <w:kern w:val="0"/>
      <w:sz w:val="20"/>
      <w:szCs w:val="20"/>
    </w:rPr>
  </w:style>
  <w:style w:type="paragraph" w:customStyle="1" w:styleId="137">
    <w:name w:val="xl37"/>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kern w:val="0"/>
      <w:sz w:val="24"/>
    </w:rPr>
  </w:style>
  <w:style w:type="paragraph" w:customStyle="1" w:styleId="138">
    <w:name w:val="xl23"/>
    <w:basedOn w:val="1"/>
    <w:qFormat/>
    <w:uiPriority w:val="0"/>
    <w:pPr>
      <w:widowControl/>
      <w:spacing w:beforeAutospacing="1" w:afterAutospacing="1" w:line="360" w:lineRule="auto"/>
      <w:textAlignment w:val="top"/>
    </w:pPr>
    <w:rPr>
      <w:rFonts w:ascii="Arial" w:hAnsi="Arial"/>
      <w:kern w:val="0"/>
      <w:sz w:val="24"/>
    </w:rPr>
  </w:style>
  <w:style w:type="paragraph" w:customStyle="1" w:styleId="139">
    <w:name w:val="Char Char Char Char Char Char1"/>
    <w:basedOn w:val="1"/>
    <w:qFormat/>
    <w:uiPriority w:val="0"/>
    <w:rPr>
      <w:rFonts w:ascii="Tahoma" w:hAnsi="Tahoma"/>
      <w:sz w:val="24"/>
      <w:szCs w:val="20"/>
    </w:rPr>
  </w:style>
  <w:style w:type="paragraph" w:customStyle="1" w:styleId="140">
    <w:name w:val="专用"/>
    <w:basedOn w:val="1"/>
    <w:qFormat/>
    <w:uiPriority w:val="0"/>
    <w:pPr>
      <w:spacing w:afterLines="100"/>
      <w:ind w:left="838" w:hanging="838" w:hangingChars="262"/>
    </w:pPr>
    <w:rPr>
      <w:rFonts w:ascii="宋体"/>
      <w:b/>
      <w:color w:val="000000"/>
      <w:sz w:val="32"/>
      <w:szCs w:val="20"/>
    </w:rPr>
  </w:style>
  <w:style w:type="paragraph" w:customStyle="1" w:styleId="141">
    <w:name w:val="xl28"/>
    <w:basedOn w:val="1"/>
    <w:qFormat/>
    <w:uiPriority w:val="0"/>
    <w:pPr>
      <w:widowControl/>
      <w:pBdr>
        <w:left w:val="single" w:color="auto" w:sz="4" w:space="0"/>
        <w:bottom w:val="single" w:color="auto" w:sz="4" w:space="0"/>
        <w:right w:val="single" w:color="auto" w:sz="4" w:space="0"/>
      </w:pBdr>
      <w:spacing w:beforeAutospacing="1" w:afterAutospacing="1"/>
      <w:jc w:val="center"/>
      <w:textAlignment w:val="center"/>
    </w:pPr>
    <w:rPr>
      <w:rFonts w:ascii="宋体" w:hAnsi="宋体"/>
      <w:kern w:val="0"/>
      <w:sz w:val="24"/>
    </w:rPr>
  </w:style>
  <w:style w:type="paragraph" w:customStyle="1" w:styleId="142">
    <w:name w:val="招标文件1"/>
    <w:basedOn w:val="1"/>
    <w:qFormat/>
    <w:uiPriority w:val="0"/>
    <w:pPr>
      <w:tabs>
        <w:tab w:val="left" w:pos="420"/>
        <w:tab w:val="left" w:pos="1134"/>
      </w:tabs>
      <w:spacing w:line="480" w:lineRule="exact"/>
      <w:ind w:left="1134" w:hanging="1134"/>
      <w:jc w:val="left"/>
      <w:outlineLvl w:val="1"/>
    </w:pPr>
    <w:rPr>
      <w:rFonts w:ascii="宋体" w:hAnsi="宋体"/>
      <w:b/>
      <w:color w:val="000000"/>
      <w:spacing w:val="10"/>
      <w:w w:val="95"/>
      <w:kern w:val="0"/>
      <w:sz w:val="28"/>
      <w:szCs w:val="21"/>
    </w:rPr>
  </w:style>
  <w:style w:type="paragraph" w:customStyle="1" w:styleId="143">
    <w:name w:val="Char Char Char2 Char1"/>
    <w:basedOn w:val="1"/>
    <w:qFormat/>
    <w:uiPriority w:val="0"/>
    <w:pPr>
      <w:ind w:firstLine="360" w:firstLineChars="150"/>
    </w:pPr>
    <w:rPr>
      <w:rFonts w:ascii="Tahoma" w:hAnsi="Tahoma"/>
      <w:sz w:val="24"/>
      <w:szCs w:val="20"/>
    </w:rPr>
  </w:style>
  <w:style w:type="paragraph" w:customStyle="1" w:styleId="144">
    <w:name w:val="末级"/>
    <w:basedOn w:val="1"/>
    <w:qFormat/>
    <w:uiPriority w:val="0"/>
    <w:pPr>
      <w:tabs>
        <w:tab w:val="left" w:pos="960"/>
      </w:tabs>
      <w:spacing w:line="360" w:lineRule="auto"/>
      <w:ind w:left="2160" w:hanging="420"/>
    </w:pPr>
    <w:rPr>
      <w:sz w:val="24"/>
    </w:rPr>
  </w:style>
  <w:style w:type="paragraph" w:customStyle="1" w:styleId="145">
    <w:name w:val="xl27"/>
    <w:basedOn w:val="1"/>
    <w:qFormat/>
    <w:uiPriority w:val="0"/>
    <w:pPr>
      <w:widowControl/>
      <w:pBdr>
        <w:top w:val="single" w:color="auto" w:sz="4" w:space="0"/>
        <w:bottom w:val="single" w:color="auto" w:sz="4" w:space="0"/>
        <w:right w:val="single" w:color="auto" w:sz="4" w:space="0"/>
      </w:pBdr>
      <w:spacing w:beforeAutospacing="1" w:afterAutospacing="1"/>
      <w:jc w:val="center"/>
    </w:pPr>
    <w:rPr>
      <w:kern w:val="0"/>
      <w:sz w:val="24"/>
    </w:rPr>
  </w:style>
  <w:style w:type="paragraph" w:customStyle="1" w:styleId="146">
    <w:name w:val="标题 111"/>
    <w:basedOn w:val="4"/>
    <w:qFormat/>
    <w:uiPriority w:val="0"/>
    <w:pPr>
      <w:pageBreakBefore/>
      <w:tabs>
        <w:tab w:val="left" w:pos="450"/>
      </w:tabs>
      <w:spacing w:line="360" w:lineRule="auto"/>
      <w:ind w:left="200" w:hanging="200" w:hangingChars="200"/>
      <w:jc w:val="center"/>
    </w:pPr>
    <w:rPr>
      <w:rFonts w:ascii="MS Mincho" w:hAnsi="MS Mincho" w:eastAsia="MS Mincho"/>
      <w:color w:val="000000"/>
      <w:sz w:val="32"/>
      <w:szCs w:val="20"/>
    </w:rPr>
  </w:style>
  <w:style w:type="paragraph" w:customStyle="1" w:styleId="147">
    <w:name w:val="xl68"/>
    <w:basedOn w:val="1"/>
    <w:qFormat/>
    <w:uiPriority w:val="0"/>
    <w:pPr>
      <w:widowControl/>
      <w:pBdr>
        <w:bottom w:val="single" w:color="auto" w:sz="4" w:space="0"/>
      </w:pBdr>
      <w:spacing w:beforeAutospacing="1" w:afterAutospacing="1"/>
      <w:jc w:val="center"/>
    </w:pPr>
    <w:rPr>
      <w:rFonts w:ascii="宋体" w:hAnsi="宋体"/>
      <w:kern w:val="0"/>
      <w:sz w:val="20"/>
      <w:szCs w:val="20"/>
    </w:rPr>
  </w:style>
  <w:style w:type="paragraph" w:customStyle="1" w:styleId="148">
    <w:name w:val="7"/>
    <w:basedOn w:val="1"/>
    <w:next w:val="1"/>
    <w:qFormat/>
    <w:uiPriority w:val="0"/>
  </w:style>
  <w:style w:type="paragraph" w:customStyle="1" w:styleId="149">
    <w:name w:val="正文2"/>
    <w:basedOn w:val="1"/>
    <w:qFormat/>
    <w:uiPriority w:val="0"/>
    <w:pPr>
      <w:adjustRightInd w:val="0"/>
      <w:spacing w:line="360" w:lineRule="atLeast"/>
      <w:ind w:left="57" w:right="57"/>
      <w:jc w:val="center"/>
      <w:textAlignment w:val="baseline"/>
    </w:pPr>
    <w:rPr>
      <w:rFonts w:ascii="宋体"/>
      <w:kern w:val="0"/>
      <w:szCs w:val="20"/>
    </w:rPr>
  </w:style>
  <w:style w:type="paragraph" w:customStyle="1" w:styleId="150">
    <w:name w:val="样式 首行缩进:  2 字符"/>
    <w:basedOn w:val="1"/>
    <w:link w:val="261"/>
    <w:qFormat/>
    <w:uiPriority w:val="0"/>
    <w:pPr>
      <w:spacing w:line="480" w:lineRule="exact"/>
      <w:ind w:firstLine="480" w:firstLineChars="200"/>
    </w:pPr>
    <w:rPr>
      <w:rFonts w:cs="宋体"/>
      <w:sz w:val="24"/>
      <w:szCs w:val="20"/>
    </w:rPr>
  </w:style>
  <w:style w:type="paragraph" w:customStyle="1" w:styleId="151">
    <w:name w:val="技术标题2"/>
    <w:basedOn w:val="1"/>
    <w:qFormat/>
    <w:uiPriority w:val="0"/>
    <w:pPr>
      <w:keepNext/>
      <w:keepLines/>
      <w:adjustRightInd w:val="0"/>
      <w:snapToGrid w:val="0"/>
      <w:spacing w:beforeLines="150" w:afterLines="50"/>
      <w:outlineLvl w:val="3"/>
    </w:pPr>
    <w:rPr>
      <w:rFonts w:ascii="Arial" w:hAnsi="Arial"/>
      <w:b/>
      <w:bCs/>
      <w:color w:val="000000"/>
      <w:sz w:val="32"/>
      <w:szCs w:val="28"/>
    </w:rPr>
  </w:style>
  <w:style w:type="paragraph" w:customStyle="1" w:styleId="152">
    <w:name w:val="xl39"/>
    <w:basedOn w:val="1"/>
    <w:qFormat/>
    <w:uiPriority w:val="0"/>
    <w:pPr>
      <w:widowControl/>
      <w:pBdr>
        <w:top w:val="single" w:color="auto" w:sz="4" w:space="0"/>
        <w:bottom w:val="single" w:color="auto" w:sz="4" w:space="0"/>
      </w:pBdr>
      <w:spacing w:beforeAutospacing="1" w:afterAutospacing="1"/>
      <w:jc w:val="left"/>
    </w:pPr>
    <w:rPr>
      <w:kern w:val="0"/>
      <w:sz w:val="24"/>
    </w:rPr>
  </w:style>
  <w:style w:type="paragraph" w:customStyle="1" w:styleId="153">
    <w:name w:val="Char Char Char1 Char"/>
    <w:basedOn w:val="1"/>
    <w:qFormat/>
    <w:uiPriority w:val="0"/>
    <w:rPr>
      <w:rFonts w:ascii="Tahoma" w:hAnsi="Tahoma"/>
      <w:sz w:val="24"/>
      <w:szCs w:val="20"/>
    </w:rPr>
  </w:style>
  <w:style w:type="paragraph" w:customStyle="1" w:styleId="154">
    <w:name w:val="Char Char Char1 Char Char Char Char Char Char Char"/>
    <w:basedOn w:val="1"/>
    <w:qFormat/>
    <w:uiPriority w:val="0"/>
    <w:rPr>
      <w:rFonts w:ascii="Tahoma" w:hAnsi="Tahoma"/>
      <w:sz w:val="24"/>
      <w:szCs w:val="20"/>
    </w:rPr>
  </w:style>
  <w:style w:type="paragraph" w:customStyle="1" w:styleId="155">
    <w:name w:val="招标文件A）"/>
    <w:qFormat/>
    <w:uiPriority w:val="0"/>
    <w:pPr>
      <w:tabs>
        <w:tab w:val="left" w:pos="2160"/>
      </w:tabs>
      <w:spacing w:before="120" w:after="120" w:line="300" w:lineRule="auto"/>
      <w:ind w:left="2160" w:hanging="2160"/>
      <w:outlineLvl w:val="6"/>
    </w:pPr>
    <w:rPr>
      <w:rFonts w:ascii="宋体" w:hAnsi="Times New Roman" w:eastAsia="微软雅黑" w:cs="Times New Roman"/>
      <w:spacing w:val="10"/>
      <w:w w:val="95"/>
      <w:sz w:val="21"/>
      <w:lang w:val="en-US" w:eastAsia="zh-CN" w:bidi="ar-SA"/>
    </w:rPr>
  </w:style>
  <w:style w:type="paragraph" w:customStyle="1" w:styleId="156">
    <w:name w:val="xl4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20"/>
      <w:szCs w:val="20"/>
    </w:rPr>
  </w:style>
  <w:style w:type="paragraph" w:customStyle="1" w:styleId="157">
    <w:name w:val="批注框文本11"/>
    <w:basedOn w:val="1"/>
    <w:qFormat/>
    <w:uiPriority w:val="0"/>
    <w:rPr>
      <w:sz w:val="16"/>
      <w:szCs w:val="16"/>
    </w:rPr>
  </w:style>
  <w:style w:type="paragraph" w:customStyle="1" w:styleId="158">
    <w:name w:val="xl4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b/>
      <w:bCs/>
      <w:color w:val="000000"/>
      <w:kern w:val="0"/>
      <w:sz w:val="20"/>
      <w:szCs w:val="20"/>
    </w:rPr>
  </w:style>
  <w:style w:type="paragraph" w:customStyle="1" w:styleId="159">
    <w:name w:val="列出段落11"/>
    <w:qFormat/>
    <w:uiPriority w:val="0"/>
    <w:pPr>
      <w:ind w:firstLine="420" w:firstLineChars="200"/>
    </w:pPr>
    <w:rPr>
      <w:rFonts w:ascii="Times New Roman" w:hAnsi="Times New Roman" w:eastAsia="微软雅黑" w:cs="Times New Roman"/>
      <w:lang w:val="en-US" w:eastAsia="zh-CN" w:bidi="ar-SA"/>
    </w:rPr>
  </w:style>
  <w:style w:type="paragraph" w:customStyle="1" w:styleId="160">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61">
    <w:name w:val="项目符号"/>
    <w:basedOn w:val="1"/>
    <w:qFormat/>
    <w:uiPriority w:val="0"/>
    <w:pPr>
      <w:spacing w:line="360" w:lineRule="auto"/>
    </w:pPr>
    <w:rPr>
      <w:sz w:val="24"/>
      <w:szCs w:val="20"/>
    </w:rPr>
  </w:style>
  <w:style w:type="paragraph" w:customStyle="1" w:styleId="162">
    <w:name w:val="xl49"/>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Autospacing="1" w:afterAutospacing="1"/>
      <w:jc w:val="left"/>
    </w:pPr>
    <w:rPr>
      <w:rFonts w:ascii="宋体" w:hAnsi="宋体" w:cs="宋体"/>
      <w:color w:val="000000"/>
      <w:kern w:val="0"/>
      <w:sz w:val="20"/>
      <w:szCs w:val="20"/>
    </w:rPr>
  </w:style>
  <w:style w:type="paragraph" w:customStyle="1" w:styleId="163">
    <w:name w:val="xl44"/>
    <w:basedOn w:val="1"/>
    <w:qFormat/>
    <w:uiPriority w:val="0"/>
    <w:pPr>
      <w:widowControl/>
      <w:pBdr>
        <w:top w:val="single" w:color="auto" w:sz="4" w:space="0"/>
        <w:bottom w:val="single" w:color="auto" w:sz="4" w:space="0"/>
      </w:pBdr>
      <w:jc w:val="center"/>
      <w:textAlignment w:val="center"/>
    </w:pPr>
    <w:rPr>
      <w:rFonts w:eastAsia="Arial Unicode MS"/>
      <w:kern w:val="0"/>
      <w:szCs w:val="20"/>
    </w:rPr>
  </w:style>
  <w:style w:type="paragraph" w:customStyle="1" w:styleId="164">
    <w:name w:val="样式5"/>
    <w:basedOn w:val="5"/>
    <w:qFormat/>
    <w:uiPriority w:val="0"/>
    <w:pPr>
      <w:numPr>
        <w:ilvl w:val="1"/>
        <w:numId w:val="1"/>
      </w:numPr>
      <w:autoSpaceDE w:val="0"/>
      <w:autoSpaceDN w:val="0"/>
      <w:adjustRightInd w:val="0"/>
      <w:spacing w:line="360" w:lineRule="auto"/>
      <w:textAlignment w:val="baseline"/>
      <w:outlineLvl w:val="3"/>
    </w:pPr>
    <w:rPr>
      <w:rFonts w:ascii="宋体" w:hAnsi="宋体" w:eastAsia="宋体" w:cs="宋体"/>
      <w:b w:val="0"/>
      <w:bCs w:val="0"/>
      <w:sz w:val="21"/>
      <w:szCs w:val="21"/>
    </w:rPr>
  </w:style>
  <w:style w:type="paragraph" w:customStyle="1" w:styleId="165">
    <w:name w:val="招标文件1.1.1.1"/>
    <w:basedOn w:val="1"/>
    <w:qFormat/>
    <w:uiPriority w:val="0"/>
    <w:pPr>
      <w:tabs>
        <w:tab w:val="left" w:pos="1440"/>
      </w:tabs>
      <w:spacing w:line="480" w:lineRule="exact"/>
      <w:ind w:left="1440" w:hanging="1440"/>
      <w:jc w:val="left"/>
      <w:outlineLvl w:val="4"/>
    </w:pPr>
    <w:rPr>
      <w:rFonts w:ascii="宋体" w:hAnsi="宋体"/>
      <w:b/>
      <w:color w:val="000000"/>
      <w:spacing w:val="10"/>
      <w:w w:val="95"/>
      <w:szCs w:val="21"/>
    </w:rPr>
  </w:style>
  <w:style w:type="paragraph" w:customStyle="1" w:styleId="166">
    <w:name w:val="Char Char Char2 Char2"/>
    <w:basedOn w:val="1"/>
    <w:qFormat/>
    <w:uiPriority w:val="0"/>
    <w:pPr>
      <w:ind w:firstLine="360" w:firstLineChars="150"/>
    </w:pPr>
    <w:rPr>
      <w:rFonts w:ascii="Tahoma" w:hAnsi="Tahoma"/>
      <w:sz w:val="24"/>
      <w:szCs w:val="20"/>
    </w:rPr>
  </w:style>
  <w:style w:type="paragraph" w:customStyle="1" w:styleId="167">
    <w:name w:val="6"/>
    <w:basedOn w:val="1"/>
    <w:next w:val="14"/>
    <w:qFormat/>
    <w:uiPriority w:val="0"/>
    <w:pPr>
      <w:ind w:firstLine="420"/>
    </w:pPr>
    <w:rPr>
      <w:szCs w:val="20"/>
    </w:rPr>
  </w:style>
  <w:style w:type="paragraph" w:customStyle="1" w:styleId="168">
    <w:name w:val="3"/>
    <w:basedOn w:val="1"/>
    <w:next w:val="14"/>
    <w:qFormat/>
    <w:uiPriority w:val="0"/>
    <w:pPr>
      <w:adjustRightInd w:val="0"/>
      <w:spacing w:line="360" w:lineRule="atLeast"/>
      <w:ind w:firstLine="482"/>
      <w:textAlignment w:val="baseline"/>
    </w:pPr>
    <w:rPr>
      <w:kern w:val="0"/>
      <w:sz w:val="24"/>
      <w:szCs w:val="20"/>
    </w:rPr>
  </w:style>
  <w:style w:type="paragraph" w:customStyle="1" w:styleId="169">
    <w:name w:val="注"/>
    <w:basedOn w:val="1"/>
    <w:qFormat/>
    <w:uiPriority w:val="0"/>
    <w:pPr>
      <w:adjustRightInd w:val="0"/>
      <w:spacing w:line="360" w:lineRule="atLeast"/>
      <w:ind w:left="840" w:hanging="420"/>
      <w:jc w:val="left"/>
      <w:textAlignment w:val="baseline"/>
    </w:pPr>
    <w:rPr>
      <w:kern w:val="0"/>
      <w:szCs w:val="20"/>
    </w:rPr>
  </w:style>
  <w:style w:type="paragraph" w:customStyle="1" w:styleId="170">
    <w:name w:val="xl25"/>
    <w:basedOn w:val="1"/>
    <w:qFormat/>
    <w:uiPriority w:val="0"/>
    <w:pPr>
      <w:widowControl/>
      <w:spacing w:beforeAutospacing="1" w:afterAutospacing="1"/>
      <w:jc w:val="center"/>
    </w:pPr>
    <w:rPr>
      <w:rFonts w:ascii="宋体"/>
      <w:kern w:val="0"/>
      <w:sz w:val="24"/>
      <w:lang w:eastAsia="en-US"/>
    </w:rPr>
  </w:style>
  <w:style w:type="paragraph" w:customStyle="1" w:styleId="171">
    <w:name w:val="Normal 4"/>
    <w:basedOn w:val="1"/>
    <w:qFormat/>
    <w:uiPriority w:val="0"/>
    <w:pPr>
      <w:spacing w:line="440" w:lineRule="exact"/>
      <w:ind w:left="1078" w:leftChars="317" w:firstLine="480" w:firstLineChars="200"/>
    </w:pPr>
    <w:rPr>
      <w:rFonts w:ascii="宋体" w:hAnsi="宋体"/>
      <w:snapToGrid w:val="0"/>
      <w:color w:val="000000"/>
      <w:kern w:val="0"/>
      <w:sz w:val="24"/>
      <w:szCs w:val="20"/>
    </w:rPr>
  </w:style>
  <w:style w:type="paragraph" w:customStyle="1" w:styleId="172">
    <w:name w:val="Char Char Char Char Char Char Char Char Char Char Char Char1 Char Char Char Char Char Char1 Char Char Char Char Char Char Char1"/>
    <w:basedOn w:val="1"/>
    <w:qFormat/>
    <w:uiPriority w:val="0"/>
    <w:rPr>
      <w:rFonts w:ascii="Tahoma" w:hAnsi="Tahoma" w:cs="仿宋_GB2312"/>
      <w:sz w:val="24"/>
      <w:szCs w:val="20"/>
    </w:rPr>
  </w:style>
  <w:style w:type="paragraph" w:customStyle="1" w:styleId="173">
    <w:name w:val="招标文件正文"/>
    <w:qFormat/>
    <w:uiPriority w:val="0"/>
    <w:pPr>
      <w:spacing w:before="120" w:after="120" w:line="300" w:lineRule="auto"/>
      <w:ind w:firstLine="200" w:firstLineChars="200"/>
    </w:pPr>
    <w:rPr>
      <w:rFonts w:ascii="宋体" w:hAnsi="Times New Roman" w:eastAsia="微软雅黑" w:cs="Times New Roman"/>
      <w:spacing w:val="10"/>
      <w:w w:val="95"/>
      <w:sz w:val="21"/>
      <w:lang w:val="en-US" w:eastAsia="zh-CN" w:bidi="ar-SA"/>
    </w:rPr>
  </w:style>
  <w:style w:type="paragraph" w:customStyle="1" w:styleId="174">
    <w:name w:val="Char Char Char1 Char Char Char Char Char Char Char1"/>
    <w:basedOn w:val="1"/>
    <w:qFormat/>
    <w:uiPriority w:val="0"/>
    <w:rPr>
      <w:rFonts w:ascii="Tahoma" w:hAnsi="Tahoma"/>
      <w:sz w:val="24"/>
      <w:szCs w:val="20"/>
    </w:rPr>
  </w:style>
  <w:style w:type="paragraph" w:customStyle="1" w:styleId="175">
    <w:name w:val="xl34"/>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kern w:val="0"/>
      <w:sz w:val="24"/>
    </w:rPr>
  </w:style>
  <w:style w:type="paragraph" w:customStyle="1" w:styleId="176">
    <w:name w:val="xl50"/>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color w:val="000000"/>
      <w:kern w:val="0"/>
      <w:sz w:val="20"/>
      <w:szCs w:val="20"/>
    </w:rPr>
  </w:style>
  <w:style w:type="paragraph" w:customStyle="1" w:styleId="177">
    <w:name w:val="图表左对齐"/>
    <w:basedOn w:val="1"/>
    <w:link w:val="233"/>
    <w:qFormat/>
    <w:uiPriority w:val="0"/>
    <w:pPr>
      <w:spacing w:line="360" w:lineRule="exact"/>
      <w:jc w:val="left"/>
    </w:pPr>
    <w:rPr>
      <w:spacing w:val="-10"/>
      <w:sz w:val="24"/>
      <w:szCs w:val="28"/>
    </w:rPr>
  </w:style>
  <w:style w:type="paragraph" w:customStyle="1" w:styleId="178">
    <w:name w:val="Char Char Char Char11"/>
    <w:basedOn w:val="17"/>
    <w:qFormat/>
    <w:uiPriority w:val="0"/>
    <w:pPr>
      <w:adjustRightInd w:val="0"/>
      <w:spacing w:line="436" w:lineRule="exact"/>
      <w:ind w:left="357"/>
      <w:jc w:val="left"/>
      <w:outlineLvl w:val="3"/>
    </w:pPr>
    <w:rPr>
      <w:rFonts w:ascii="Tahoma" w:hAnsi="Tahoma"/>
      <w:b/>
      <w:sz w:val="24"/>
    </w:rPr>
  </w:style>
  <w:style w:type="paragraph" w:customStyle="1" w:styleId="179">
    <w:name w:val="xl3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kern w:val="0"/>
      <w:sz w:val="24"/>
    </w:rPr>
  </w:style>
  <w:style w:type="paragraph" w:customStyle="1" w:styleId="180">
    <w:name w:val="Char5"/>
    <w:basedOn w:val="1"/>
    <w:qFormat/>
    <w:uiPriority w:val="0"/>
    <w:rPr>
      <w:rFonts w:ascii="仿宋_GB2312" w:eastAsia="仿宋_GB2312"/>
      <w:b/>
      <w:sz w:val="32"/>
      <w:szCs w:val="32"/>
    </w:rPr>
  </w:style>
  <w:style w:type="paragraph" w:customStyle="1" w:styleId="181">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微软雅黑" w:cs="Times New Roman"/>
      <w:color w:val="000000"/>
      <w:sz w:val="24"/>
      <w:lang w:val="en-US" w:eastAsia="zh-CN" w:bidi="ar-SA"/>
    </w:rPr>
  </w:style>
  <w:style w:type="paragraph" w:customStyle="1" w:styleId="182">
    <w:name w:val="报告正文 Char1 Char"/>
    <w:basedOn w:val="1"/>
    <w:qFormat/>
    <w:uiPriority w:val="0"/>
    <w:pPr>
      <w:spacing w:line="480" w:lineRule="exact"/>
      <w:ind w:firstLine="200" w:firstLineChars="200"/>
    </w:pPr>
    <w:rPr>
      <w:rFonts w:ascii="宋体"/>
      <w:color w:val="0000FF"/>
      <w:sz w:val="28"/>
      <w:szCs w:val="28"/>
    </w:rPr>
  </w:style>
  <w:style w:type="paragraph" w:customStyle="1" w:styleId="183">
    <w:name w:val="Char Char Char1 Char Char Char Char Char Char Char Char Char Char Char Char Char Char Char Char1"/>
    <w:basedOn w:val="1"/>
    <w:qFormat/>
    <w:uiPriority w:val="0"/>
    <w:rPr>
      <w:rFonts w:ascii="Tahoma" w:hAnsi="Tahoma"/>
      <w:sz w:val="24"/>
      <w:szCs w:val="20"/>
    </w:rPr>
  </w:style>
  <w:style w:type="paragraph" w:customStyle="1" w:styleId="184">
    <w:name w:val="xl59"/>
    <w:basedOn w:val="1"/>
    <w:qFormat/>
    <w:uiPriority w:val="0"/>
    <w:pPr>
      <w:widowControl/>
      <w:pBdr>
        <w:top w:val="single" w:color="auto" w:sz="4" w:space="0"/>
        <w:left w:val="single" w:color="auto" w:sz="4" w:space="0"/>
        <w:bottom w:val="single" w:color="auto" w:sz="4" w:space="0"/>
        <w:right w:val="single" w:color="auto" w:sz="4" w:space="0"/>
      </w:pBdr>
      <w:shd w:val="clear" w:color="auto" w:fill="00FF00"/>
      <w:spacing w:beforeAutospacing="1" w:afterAutospacing="1"/>
      <w:jc w:val="center"/>
    </w:pPr>
    <w:rPr>
      <w:rFonts w:ascii="宋体" w:hAnsi="宋体" w:cs="宋体"/>
      <w:b/>
      <w:bCs/>
      <w:color w:val="000000"/>
      <w:kern w:val="0"/>
      <w:sz w:val="20"/>
      <w:szCs w:val="20"/>
    </w:rPr>
  </w:style>
  <w:style w:type="paragraph" w:customStyle="1" w:styleId="185">
    <w:name w:val="(文字) (文字) Char Char (文字) (文字)1"/>
    <w:basedOn w:val="1"/>
    <w:qFormat/>
    <w:uiPriority w:val="0"/>
    <w:rPr>
      <w:rFonts w:ascii="仿宋_GB2312" w:eastAsia="仿宋_GB2312"/>
      <w:b/>
      <w:sz w:val="32"/>
      <w:szCs w:val="32"/>
    </w:rPr>
  </w:style>
  <w:style w:type="paragraph" w:customStyle="1" w:styleId="186">
    <w:name w:val="表中"/>
    <w:basedOn w:val="1"/>
    <w:qFormat/>
    <w:uiPriority w:val="0"/>
    <w:pPr>
      <w:tabs>
        <w:tab w:val="left" w:pos="480"/>
      </w:tabs>
      <w:autoSpaceDE w:val="0"/>
      <w:autoSpaceDN w:val="0"/>
      <w:adjustRightInd w:val="0"/>
      <w:spacing w:beforeAutospacing="1" w:afterAutospacing="1"/>
      <w:jc w:val="center"/>
    </w:pPr>
    <w:rPr>
      <w:kern w:val="0"/>
    </w:rPr>
  </w:style>
  <w:style w:type="paragraph" w:customStyle="1" w:styleId="187">
    <w:name w:val="xl3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kern w:val="0"/>
      <w:sz w:val="24"/>
    </w:rPr>
  </w:style>
  <w:style w:type="paragraph" w:customStyle="1" w:styleId="188">
    <w:name w:val="Body text 1"/>
    <w:basedOn w:val="1"/>
    <w:qFormat/>
    <w:uiPriority w:val="0"/>
    <w:pPr>
      <w:tabs>
        <w:tab w:val="left" w:pos="1134"/>
      </w:tabs>
      <w:autoSpaceDE w:val="0"/>
      <w:autoSpaceDN w:val="0"/>
      <w:adjustRightInd w:val="0"/>
      <w:spacing w:line="300" w:lineRule="atLeast"/>
      <w:ind w:left="1134" w:hanging="1134"/>
    </w:pPr>
    <w:rPr>
      <w:color w:val="000000"/>
      <w:kern w:val="0"/>
      <w:sz w:val="24"/>
      <w:szCs w:val="20"/>
    </w:rPr>
  </w:style>
  <w:style w:type="paragraph" w:customStyle="1" w:styleId="189">
    <w:name w:val="Char Char Char1 Char Char Char Char"/>
    <w:basedOn w:val="1"/>
    <w:qFormat/>
    <w:uiPriority w:val="0"/>
    <w:rPr>
      <w:rFonts w:ascii="Tahoma" w:hAnsi="Tahoma"/>
      <w:sz w:val="24"/>
      <w:szCs w:val="20"/>
    </w:rPr>
  </w:style>
  <w:style w:type="paragraph" w:customStyle="1" w:styleId="190">
    <w:name w:val="Char Char Char1 Char Char Char Char1"/>
    <w:basedOn w:val="1"/>
    <w:qFormat/>
    <w:uiPriority w:val="0"/>
    <w:rPr>
      <w:rFonts w:ascii="Tahoma" w:hAnsi="Tahoma"/>
      <w:sz w:val="24"/>
      <w:szCs w:val="20"/>
    </w:rPr>
  </w:style>
  <w:style w:type="paragraph" w:customStyle="1" w:styleId="191">
    <w:name w:val="招标文件1.1"/>
    <w:qFormat/>
    <w:uiPriority w:val="0"/>
    <w:pPr>
      <w:tabs>
        <w:tab w:val="left" w:pos="630"/>
        <w:tab w:val="left" w:pos="1080"/>
      </w:tabs>
      <w:spacing w:before="120" w:after="120" w:line="480" w:lineRule="exact"/>
      <w:ind w:left="1080" w:hanging="1080"/>
      <w:outlineLvl w:val="2"/>
    </w:pPr>
    <w:rPr>
      <w:rFonts w:ascii="宋体" w:hAnsi="Times New Roman" w:eastAsia="微软雅黑" w:cs="Times New Roman"/>
      <w:b/>
      <w:spacing w:val="10"/>
      <w:w w:val="95"/>
      <w:sz w:val="24"/>
      <w:lang w:val="en-US" w:eastAsia="zh-CN" w:bidi="ar-SA"/>
    </w:rPr>
  </w:style>
  <w:style w:type="paragraph" w:customStyle="1" w:styleId="192">
    <w:name w:val="Char Char Char Char1"/>
    <w:basedOn w:val="17"/>
    <w:qFormat/>
    <w:uiPriority w:val="0"/>
    <w:pPr>
      <w:adjustRightInd w:val="0"/>
      <w:spacing w:line="436" w:lineRule="exact"/>
      <w:ind w:left="357"/>
      <w:jc w:val="left"/>
      <w:outlineLvl w:val="3"/>
    </w:pPr>
    <w:rPr>
      <w:rFonts w:ascii="Tahoma" w:hAnsi="Tahoma"/>
      <w:b/>
      <w:sz w:val="24"/>
    </w:rPr>
  </w:style>
  <w:style w:type="paragraph" w:customStyle="1" w:styleId="193">
    <w:name w:val="xl24"/>
    <w:basedOn w:val="1"/>
    <w:qFormat/>
    <w:uiPriority w:val="0"/>
    <w:pPr>
      <w:widowControl/>
      <w:spacing w:beforeAutospacing="1" w:afterAutospacing="1"/>
      <w:jc w:val="left"/>
    </w:pPr>
    <w:rPr>
      <w:kern w:val="0"/>
      <w:sz w:val="24"/>
    </w:rPr>
  </w:style>
  <w:style w:type="paragraph" w:customStyle="1" w:styleId="194">
    <w:name w:val="xl6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rFonts w:ascii="宋体" w:hAnsi="宋体" w:cs="宋体"/>
      <w:b/>
      <w:bCs/>
      <w:kern w:val="0"/>
      <w:sz w:val="20"/>
      <w:szCs w:val="20"/>
    </w:rPr>
  </w:style>
  <w:style w:type="paragraph" w:customStyle="1" w:styleId="195">
    <w:name w:val="5"/>
    <w:basedOn w:val="1"/>
    <w:next w:val="44"/>
    <w:qFormat/>
    <w:uiPriority w:val="0"/>
    <w:pPr>
      <w:widowControl/>
      <w:spacing w:beforeAutospacing="1" w:afterAutospacing="1"/>
      <w:jc w:val="left"/>
    </w:pPr>
    <w:rPr>
      <w:rFonts w:ascii="宋体" w:hAnsi="宋体"/>
      <w:kern w:val="0"/>
      <w:sz w:val="24"/>
    </w:rPr>
  </w:style>
  <w:style w:type="paragraph" w:customStyle="1" w:styleId="196">
    <w:name w:val="通用"/>
    <w:basedOn w:val="1"/>
    <w:qFormat/>
    <w:uiPriority w:val="0"/>
    <w:pPr>
      <w:spacing w:line="360" w:lineRule="auto"/>
      <w:ind w:left="840" w:leftChars="400"/>
    </w:pPr>
    <w:rPr>
      <w:rFonts w:ascii="宋体" w:hAnsi="宋体"/>
      <w:szCs w:val="20"/>
    </w:rPr>
  </w:style>
  <w:style w:type="paragraph" w:customStyle="1" w:styleId="197">
    <w:name w:val="xl55"/>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b/>
      <w:bCs/>
      <w:color w:val="000000"/>
      <w:kern w:val="0"/>
      <w:sz w:val="20"/>
      <w:szCs w:val="20"/>
    </w:rPr>
  </w:style>
  <w:style w:type="paragraph" w:customStyle="1" w:styleId="198">
    <w:name w:val="xl40"/>
    <w:basedOn w:val="1"/>
    <w:qFormat/>
    <w:uiPriority w:val="0"/>
    <w:pPr>
      <w:widowControl/>
      <w:pBdr>
        <w:top w:val="single" w:color="auto" w:sz="4" w:space="0"/>
        <w:bottom w:val="single" w:color="auto" w:sz="4" w:space="0"/>
      </w:pBdr>
      <w:spacing w:beforeAutospacing="1" w:afterAutospacing="1"/>
      <w:jc w:val="left"/>
    </w:pPr>
    <w:rPr>
      <w:kern w:val="0"/>
      <w:sz w:val="24"/>
    </w:rPr>
  </w:style>
  <w:style w:type="paragraph" w:customStyle="1" w:styleId="199">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200">
    <w:name w:val="xl51"/>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pPr>
    <w:rPr>
      <w:rFonts w:ascii="宋体" w:hAnsi="宋体" w:cs="宋体"/>
      <w:kern w:val="0"/>
      <w:sz w:val="20"/>
      <w:szCs w:val="20"/>
    </w:rPr>
  </w:style>
  <w:style w:type="paragraph" w:customStyle="1" w:styleId="201">
    <w:name w:val="列出段落2"/>
    <w:basedOn w:val="1"/>
    <w:qFormat/>
    <w:uiPriority w:val="0"/>
    <w:pPr>
      <w:ind w:firstLine="420" w:firstLineChars="200"/>
    </w:pPr>
  </w:style>
  <w:style w:type="paragraph" w:customStyle="1" w:styleId="202">
    <w:name w:val="Footer First"/>
    <w:basedOn w:val="32"/>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203">
    <w:name w:val="Char Char Char1 Char1"/>
    <w:basedOn w:val="1"/>
    <w:qFormat/>
    <w:uiPriority w:val="0"/>
    <w:rPr>
      <w:rFonts w:ascii="Tahoma" w:hAnsi="Tahoma"/>
      <w:sz w:val="24"/>
      <w:szCs w:val="20"/>
    </w:rPr>
  </w:style>
  <w:style w:type="paragraph" w:customStyle="1" w:styleId="204">
    <w:name w:val="样式标题2"/>
    <w:basedOn w:val="5"/>
    <w:qFormat/>
    <w:uiPriority w:val="0"/>
    <w:pPr>
      <w:numPr>
        <w:ilvl w:val="2"/>
        <w:numId w:val="2"/>
      </w:numPr>
      <w:tabs>
        <w:tab w:val="left" w:pos="480"/>
      </w:tabs>
      <w:spacing w:beforeAutospacing="1" w:afterAutospacing="1" w:line="415" w:lineRule="auto"/>
    </w:pPr>
    <w:rPr>
      <w:rFonts w:eastAsia="宋体"/>
      <w:sz w:val="36"/>
      <w:szCs w:val="36"/>
    </w:rPr>
  </w:style>
  <w:style w:type="paragraph" w:customStyle="1" w:styleId="205">
    <w:name w:val="标题1"/>
    <w:basedOn w:val="4"/>
    <w:link w:val="225"/>
    <w:qFormat/>
    <w:uiPriority w:val="0"/>
    <w:pPr>
      <w:adjustRightInd w:val="0"/>
      <w:spacing w:line="240" w:lineRule="auto"/>
      <w:jc w:val="center"/>
      <w:textAlignment w:val="baseline"/>
      <w:outlineLvl w:val="9"/>
    </w:pPr>
    <w:rPr>
      <w:rFonts w:ascii="宋体" w:hAnsi="宋体" w:eastAsia="黑体"/>
      <w:sz w:val="24"/>
      <w:szCs w:val="24"/>
    </w:rPr>
  </w:style>
  <w:style w:type="paragraph" w:customStyle="1" w:styleId="206">
    <w:name w:val="2"/>
    <w:basedOn w:val="1"/>
    <w:next w:val="27"/>
    <w:qFormat/>
    <w:uiPriority w:val="0"/>
    <w:rPr>
      <w:rFonts w:ascii="宋体" w:hAnsi="Courier New"/>
      <w:szCs w:val="20"/>
    </w:rPr>
  </w:style>
  <w:style w:type="paragraph" w:customStyle="1" w:styleId="207">
    <w:name w:val="xl22"/>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left"/>
      <w:textAlignment w:val="center"/>
    </w:pPr>
    <w:rPr>
      <w:rFonts w:ascii="宋体" w:hAnsi="宋体" w:cs="宋体"/>
      <w:b/>
      <w:bCs/>
      <w:kern w:val="0"/>
      <w:szCs w:val="21"/>
    </w:rPr>
  </w:style>
  <w:style w:type="paragraph" w:customStyle="1" w:styleId="208">
    <w:name w:val="xl53"/>
    <w:basedOn w:val="1"/>
    <w:qFormat/>
    <w:uiPriority w:val="0"/>
    <w:pPr>
      <w:widowControl/>
      <w:pBdr>
        <w:top w:val="single" w:color="auto" w:sz="4" w:space="0"/>
        <w:left w:val="single" w:color="auto" w:sz="4" w:space="0"/>
        <w:bottom w:val="single" w:color="auto" w:sz="4" w:space="0"/>
        <w:right w:val="single" w:color="auto" w:sz="4" w:space="0"/>
      </w:pBdr>
      <w:shd w:val="clear" w:color="auto" w:fill="FFFF00"/>
      <w:spacing w:beforeAutospacing="1" w:afterAutospacing="1"/>
      <w:jc w:val="left"/>
    </w:pPr>
    <w:rPr>
      <w:rFonts w:ascii="宋体" w:hAnsi="宋体" w:cs="宋体"/>
      <w:kern w:val="0"/>
      <w:sz w:val="20"/>
      <w:szCs w:val="20"/>
    </w:rPr>
  </w:style>
  <w:style w:type="paragraph" w:customStyle="1" w:styleId="209">
    <w:name w:val="列出段落3"/>
    <w:qFormat/>
    <w:uiPriority w:val="0"/>
    <w:pPr>
      <w:ind w:firstLine="420" w:firstLineChars="200"/>
    </w:pPr>
    <w:rPr>
      <w:rFonts w:ascii="Times New Roman" w:hAnsi="Times New Roman" w:eastAsia="微软雅黑" w:cs="Times New Roman"/>
      <w:lang w:val="en-US" w:eastAsia="zh-CN" w:bidi="ar-SA"/>
    </w:rPr>
  </w:style>
  <w:style w:type="paragraph" w:customStyle="1" w:styleId="210">
    <w:name w:val="Sprechblasentext"/>
    <w:basedOn w:val="1"/>
    <w:qFormat/>
    <w:uiPriority w:val="0"/>
    <w:pPr>
      <w:spacing w:line="300" w:lineRule="atLeast"/>
      <w:ind w:firstLine="709"/>
    </w:pPr>
    <w:rPr>
      <w:rFonts w:ascii="Tahoma" w:hAnsi="Tahoma" w:cs="Tahoma"/>
      <w:sz w:val="16"/>
      <w:szCs w:val="16"/>
    </w:rPr>
  </w:style>
  <w:style w:type="paragraph" w:customStyle="1" w:styleId="211">
    <w:name w:val="第一章"/>
    <w:basedOn w:val="1"/>
    <w:next w:val="1"/>
    <w:qFormat/>
    <w:uiPriority w:val="0"/>
    <w:pPr>
      <w:tabs>
        <w:tab w:val="left" w:pos="360"/>
      </w:tabs>
      <w:spacing w:line="360" w:lineRule="auto"/>
      <w:ind w:left="500" w:hanging="500" w:hangingChars="500"/>
      <w:jc w:val="center"/>
    </w:pPr>
    <w:rPr>
      <w:rFonts w:eastAsia="黑体"/>
      <w:sz w:val="44"/>
    </w:rPr>
  </w:style>
  <w:style w:type="paragraph" w:customStyle="1" w:styleId="212">
    <w:name w:val="Char Char Char1 Char Char Char Char Char Char Char Char Char Char1"/>
    <w:basedOn w:val="1"/>
    <w:qFormat/>
    <w:uiPriority w:val="0"/>
    <w:rPr>
      <w:rFonts w:ascii="Tahoma" w:hAnsi="Tahoma"/>
      <w:sz w:val="24"/>
      <w:szCs w:val="20"/>
    </w:rPr>
  </w:style>
  <w:style w:type="paragraph" w:customStyle="1" w:styleId="213">
    <w:name w:val="xl26"/>
    <w:basedOn w:val="1"/>
    <w:qFormat/>
    <w:uiPriority w:val="0"/>
    <w:pPr>
      <w:widowControl/>
      <w:pBdr>
        <w:top w:val="single" w:color="auto" w:sz="4" w:space="0"/>
        <w:left w:val="single" w:color="auto" w:sz="4" w:space="0"/>
        <w:bottom w:val="single" w:color="auto" w:sz="4" w:space="0"/>
        <w:right w:val="single" w:color="auto" w:sz="4" w:space="0"/>
      </w:pBdr>
      <w:spacing w:beforeAutospacing="1" w:afterAutospacing="1"/>
      <w:jc w:val="center"/>
    </w:pPr>
    <w:rPr>
      <w:kern w:val="0"/>
      <w:sz w:val="24"/>
    </w:rPr>
  </w:style>
  <w:style w:type="paragraph" w:customStyle="1" w:styleId="214">
    <w:name w:val="灿"/>
    <w:basedOn w:val="1"/>
    <w:qFormat/>
    <w:uiPriority w:val="0"/>
    <w:pPr>
      <w:tabs>
        <w:tab w:val="left" w:pos="2160"/>
        <w:tab w:val="left" w:pos="2520"/>
        <w:tab w:val="left" w:pos="2880"/>
        <w:tab w:val="left" w:pos="3240"/>
      </w:tabs>
      <w:snapToGrid w:val="0"/>
    </w:pPr>
    <w:rPr>
      <w:rFonts w:hint="eastAsia" w:ascii="華康中楷體" w:hAnsi="Arial" w:eastAsia="華康中楷體"/>
      <w:kern w:val="0"/>
      <w:sz w:val="24"/>
      <w:szCs w:val="20"/>
      <w:lang w:eastAsia="en-US"/>
    </w:rPr>
  </w:style>
  <w:style w:type="paragraph" w:customStyle="1" w:styleId="215">
    <w:name w:val="格式1"/>
    <w:basedOn w:val="4"/>
    <w:qFormat/>
    <w:uiPriority w:val="0"/>
    <w:pPr>
      <w:keepLines w:val="0"/>
      <w:spacing w:line="240" w:lineRule="auto"/>
      <w:jc w:val="center"/>
    </w:pPr>
    <w:rPr>
      <w:rFonts w:ascii="黑体" w:hAnsi="Arial" w:eastAsia="黑体" w:cs="Arial"/>
      <w:b w:val="0"/>
      <w:kern w:val="2"/>
      <w:sz w:val="32"/>
      <w:szCs w:val="24"/>
    </w:rPr>
  </w:style>
  <w:style w:type="paragraph" w:customStyle="1" w:styleId="216">
    <w:name w:val="4"/>
    <w:basedOn w:val="1"/>
    <w:next w:val="14"/>
    <w:qFormat/>
    <w:uiPriority w:val="0"/>
    <w:pPr>
      <w:adjustRightInd w:val="0"/>
      <w:spacing w:line="360" w:lineRule="atLeast"/>
      <w:ind w:firstLine="482"/>
      <w:textAlignment w:val="baseline"/>
    </w:pPr>
    <w:rPr>
      <w:kern w:val="0"/>
      <w:sz w:val="24"/>
      <w:szCs w:val="20"/>
    </w:rPr>
  </w:style>
  <w:style w:type="character" w:customStyle="1" w:styleId="217">
    <w:name w:val="标题 5 Char"/>
    <w:link w:val="8"/>
    <w:qFormat/>
    <w:uiPriority w:val="0"/>
    <w:rPr>
      <w:rFonts w:eastAsia="宋体"/>
      <w:bCs/>
      <w:kern w:val="2"/>
      <w:sz w:val="24"/>
      <w:szCs w:val="24"/>
      <w:lang w:val="en-US" w:eastAsia="zh-CN" w:bidi="ar-SA"/>
    </w:rPr>
  </w:style>
  <w:style w:type="character" w:customStyle="1" w:styleId="218">
    <w:name w:val="批注主题 Char"/>
    <w:link w:val="46"/>
    <w:qFormat/>
    <w:uiPriority w:val="0"/>
    <w:rPr>
      <w:rFonts w:eastAsia="宋体"/>
      <w:b/>
      <w:bCs/>
      <w:kern w:val="2"/>
      <w:sz w:val="24"/>
      <w:szCs w:val="24"/>
      <w:lang w:val="en-US" w:eastAsia="zh-CN" w:bidi="ar-SA"/>
    </w:rPr>
  </w:style>
  <w:style w:type="character" w:customStyle="1" w:styleId="219">
    <w:name w:val="页眉 Char"/>
    <w:link w:val="33"/>
    <w:qFormat/>
    <w:uiPriority w:val="0"/>
    <w:rPr>
      <w:rFonts w:eastAsia="宋体"/>
      <w:kern w:val="2"/>
      <w:sz w:val="18"/>
      <w:szCs w:val="18"/>
      <w:lang w:val="en-US" w:eastAsia="zh-CN" w:bidi="ar-SA"/>
    </w:rPr>
  </w:style>
  <w:style w:type="character" w:customStyle="1" w:styleId="220">
    <w:name w:val="末级 Char Char Char Char"/>
    <w:qFormat/>
    <w:uiPriority w:val="0"/>
    <w:rPr>
      <w:rFonts w:eastAsia="宋体"/>
      <w:kern w:val="2"/>
      <w:sz w:val="24"/>
      <w:szCs w:val="24"/>
      <w:lang w:val="en-US" w:eastAsia="zh-CN" w:bidi="ar-SA"/>
    </w:rPr>
  </w:style>
  <w:style w:type="character" w:customStyle="1" w:styleId="221">
    <w:name w:val="标题1 Char Char Char"/>
    <w:qFormat/>
    <w:uiPriority w:val="0"/>
    <w:rPr>
      <w:rFonts w:eastAsia="宋体"/>
      <w:b/>
      <w:bCs/>
      <w:kern w:val="44"/>
      <w:sz w:val="32"/>
      <w:szCs w:val="32"/>
      <w:lang w:val="en-US" w:eastAsia="zh-CN" w:bidi="ar-SA"/>
    </w:rPr>
  </w:style>
  <w:style w:type="character" w:customStyle="1" w:styleId="222">
    <w:name w:val="Plain Text Char1"/>
    <w:qFormat/>
    <w:uiPriority w:val="0"/>
    <w:rPr>
      <w:rFonts w:ascii="宋体" w:hAnsi="Courier New" w:cs="Courier New"/>
      <w:kern w:val="2"/>
      <w:sz w:val="21"/>
      <w:szCs w:val="21"/>
    </w:rPr>
  </w:style>
  <w:style w:type="character" w:customStyle="1" w:styleId="223">
    <w:name w:val="标题 Char"/>
    <w:link w:val="45"/>
    <w:qFormat/>
    <w:uiPriority w:val="0"/>
    <w:rPr>
      <w:rFonts w:ascii="Arial" w:hAnsi="Arial" w:eastAsia="楷体_GB2312"/>
      <w:b/>
      <w:sz w:val="32"/>
    </w:rPr>
  </w:style>
  <w:style w:type="character" w:customStyle="1" w:styleId="224">
    <w:name w:val="标题 7 Char"/>
    <w:qFormat/>
    <w:uiPriority w:val="0"/>
    <w:rPr>
      <w:rFonts w:eastAsia="宋体"/>
      <w:b/>
      <w:kern w:val="2"/>
      <w:sz w:val="24"/>
      <w:lang w:val="en-US" w:eastAsia="zh-CN" w:bidi="ar-SA"/>
    </w:rPr>
  </w:style>
  <w:style w:type="character" w:customStyle="1" w:styleId="225">
    <w:name w:val="标题1 Char Char"/>
    <w:link w:val="205"/>
    <w:qFormat/>
    <w:uiPriority w:val="0"/>
    <w:rPr>
      <w:rFonts w:ascii="宋体" w:hAnsi="宋体" w:eastAsia="黑体"/>
      <w:b/>
      <w:bCs/>
      <w:kern w:val="44"/>
      <w:sz w:val="24"/>
      <w:szCs w:val="24"/>
      <w:lang w:val="en-US" w:eastAsia="zh-CN" w:bidi="ar-SA"/>
    </w:rPr>
  </w:style>
  <w:style w:type="character" w:customStyle="1" w:styleId="226">
    <w:name w:val="正文文本 3 Char"/>
    <w:link w:val="22"/>
    <w:qFormat/>
    <w:uiPriority w:val="0"/>
    <w:rPr>
      <w:kern w:val="2"/>
      <w:sz w:val="16"/>
      <w:szCs w:val="16"/>
    </w:rPr>
  </w:style>
  <w:style w:type="character" w:customStyle="1" w:styleId="227">
    <w:name w:val="标题 2 Char"/>
    <w:qFormat/>
    <w:uiPriority w:val="0"/>
    <w:rPr>
      <w:rFonts w:ascii="宋体" w:eastAsia="宋体"/>
      <w:sz w:val="24"/>
      <w:lang w:val="en-US" w:eastAsia="zh-CN" w:bidi="ar-SA"/>
    </w:rPr>
  </w:style>
  <w:style w:type="character" w:customStyle="1" w:styleId="228">
    <w:name w:val="55 Char Char"/>
    <w:qFormat/>
    <w:uiPriority w:val="0"/>
    <w:rPr>
      <w:rFonts w:eastAsia="宋体"/>
      <w:bCs/>
      <w:kern w:val="2"/>
      <w:sz w:val="24"/>
      <w:szCs w:val="24"/>
      <w:lang w:val="en-US" w:eastAsia="zh-CN" w:bidi="ar-SA"/>
    </w:rPr>
  </w:style>
  <w:style w:type="character" w:customStyle="1" w:styleId="229">
    <w:name w:val="ind:txt Char Char"/>
    <w:qFormat/>
    <w:uiPriority w:val="0"/>
    <w:rPr>
      <w:rFonts w:eastAsia="宋体"/>
      <w:sz w:val="24"/>
      <w:lang w:val="en-US" w:eastAsia="zh-CN" w:bidi="ar-SA"/>
    </w:rPr>
  </w:style>
  <w:style w:type="character" w:customStyle="1" w:styleId="230">
    <w:name w:val="正文文本缩进 2 Char"/>
    <w:link w:val="30"/>
    <w:qFormat/>
    <w:uiPriority w:val="0"/>
    <w:rPr>
      <w:rFonts w:ascii="宋体"/>
      <w:i/>
      <w:kern w:val="2"/>
      <w:sz w:val="24"/>
    </w:rPr>
  </w:style>
  <w:style w:type="character" w:customStyle="1" w:styleId="231">
    <w:name w:val="标题 4 Char"/>
    <w:link w:val="7"/>
    <w:qFormat/>
    <w:uiPriority w:val="0"/>
    <w:rPr>
      <w:rFonts w:ascii="Arial" w:hAnsi="Arial" w:eastAsia="宋体"/>
      <w:bCs/>
      <w:kern w:val="2"/>
      <w:sz w:val="24"/>
      <w:szCs w:val="28"/>
      <w:lang w:val="en-US" w:eastAsia="zh-CN" w:bidi="ar-SA"/>
    </w:rPr>
  </w:style>
  <w:style w:type="character" w:customStyle="1" w:styleId="232">
    <w:name w:val="批注框文本 Char"/>
    <w:link w:val="31"/>
    <w:qFormat/>
    <w:uiPriority w:val="0"/>
    <w:rPr>
      <w:kern w:val="2"/>
      <w:sz w:val="18"/>
      <w:szCs w:val="18"/>
    </w:rPr>
  </w:style>
  <w:style w:type="character" w:customStyle="1" w:styleId="233">
    <w:name w:val="图表左对齐 Char Char"/>
    <w:link w:val="177"/>
    <w:qFormat/>
    <w:uiPriority w:val="0"/>
    <w:rPr>
      <w:rFonts w:eastAsia="宋体"/>
      <w:spacing w:val="-10"/>
      <w:kern w:val="2"/>
      <w:sz w:val="24"/>
      <w:szCs w:val="28"/>
      <w:lang w:val="en-US" w:eastAsia="zh-CN" w:bidi="ar-SA"/>
    </w:rPr>
  </w:style>
  <w:style w:type="character" w:customStyle="1" w:styleId="234">
    <w:name w:val="标题 6 Char"/>
    <w:link w:val="9"/>
    <w:qFormat/>
    <w:uiPriority w:val="0"/>
    <w:rPr>
      <w:rFonts w:ascii="Arial" w:hAnsi="Arial"/>
      <w:bCs/>
      <w:kern w:val="2"/>
      <w:sz w:val="24"/>
      <w:szCs w:val="30"/>
    </w:rPr>
  </w:style>
  <w:style w:type="character" w:customStyle="1" w:styleId="235">
    <w:name w:val="Char Char4"/>
    <w:qFormat/>
    <w:uiPriority w:val="0"/>
    <w:rPr>
      <w:rFonts w:ascii="Calibri" w:hAnsi="Calibri" w:eastAsia="宋体"/>
      <w:kern w:val="2"/>
      <w:sz w:val="18"/>
      <w:lang w:val="en-US" w:eastAsia="zh-CN"/>
    </w:rPr>
  </w:style>
  <w:style w:type="character" w:customStyle="1" w:styleId="236">
    <w:name w:val="标题 3 Char1"/>
    <w:link w:val="6"/>
    <w:qFormat/>
    <w:uiPriority w:val="0"/>
    <w:rPr>
      <w:rFonts w:eastAsia="宋体"/>
      <w:b/>
      <w:bCs/>
      <w:kern w:val="2"/>
      <w:sz w:val="32"/>
      <w:szCs w:val="32"/>
      <w:lang w:val="en-US" w:eastAsia="zh-CN" w:bidi="ar-SA"/>
    </w:rPr>
  </w:style>
  <w:style w:type="character" w:customStyle="1" w:styleId="237">
    <w:name w:val="文档结构图 Char"/>
    <w:link w:val="17"/>
    <w:qFormat/>
    <w:uiPriority w:val="99"/>
    <w:rPr>
      <w:rFonts w:eastAsia="宋体"/>
      <w:kern w:val="2"/>
      <w:sz w:val="21"/>
      <w:szCs w:val="24"/>
      <w:lang w:val="en-US" w:eastAsia="zh-CN" w:bidi="ar-SA"/>
    </w:rPr>
  </w:style>
  <w:style w:type="character" w:customStyle="1" w:styleId="238">
    <w:name w:val="称呼 Char"/>
    <w:link w:val="21"/>
    <w:qFormat/>
    <w:uiPriority w:val="0"/>
    <w:rPr>
      <w:kern w:val="2"/>
      <w:sz w:val="24"/>
    </w:rPr>
  </w:style>
  <w:style w:type="character" w:customStyle="1" w:styleId="239">
    <w:name w:val="Char Char Char"/>
    <w:qFormat/>
    <w:uiPriority w:val="0"/>
    <w:rPr>
      <w:rFonts w:eastAsia="宋体"/>
      <w:bCs/>
      <w:kern w:val="2"/>
      <w:sz w:val="24"/>
      <w:szCs w:val="24"/>
      <w:lang w:val="en-US" w:eastAsia="zh-CN" w:bidi="ar-SA"/>
    </w:rPr>
  </w:style>
  <w:style w:type="character" w:customStyle="1" w:styleId="240">
    <w:name w:val="页眉 Char1"/>
    <w:qFormat/>
    <w:uiPriority w:val="0"/>
    <w:rPr>
      <w:kern w:val="2"/>
      <w:sz w:val="18"/>
      <w:szCs w:val="18"/>
    </w:rPr>
  </w:style>
  <w:style w:type="character" w:customStyle="1" w:styleId="241">
    <w:name w:val="正文缩进 Char"/>
    <w:link w:val="14"/>
    <w:qFormat/>
    <w:uiPriority w:val="0"/>
    <w:rPr>
      <w:rFonts w:eastAsia="宋体"/>
      <w:sz w:val="24"/>
      <w:lang w:val="en-US" w:eastAsia="zh-CN" w:bidi="ar-SA"/>
    </w:rPr>
  </w:style>
  <w:style w:type="character" w:customStyle="1" w:styleId="242">
    <w:name w:val="纯文本 Char Char"/>
    <w:qFormat/>
    <w:uiPriority w:val="0"/>
    <w:rPr>
      <w:rFonts w:ascii="宋体" w:hAnsi="Courier New" w:eastAsia="宋体" w:cs="Century"/>
      <w:kern w:val="2"/>
      <w:sz w:val="21"/>
      <w:szCs w:val="21"/>
      <w:lang w:val="en-US" w:eastAsia="zh-CN" w:bidi="ar-SA"/>
    </w:rPr>
  </w:style>
  <w:style w:type="character" w:customStyle="1" w:styleId="243">
    <w:name w:val="正文文本 Char"/>
    <w:link w:val="23"/>
    <w:qFormat/>
    <w:uiPriority w:val="0"/>
    <w:rPr>
      <w:kern w:val="2"/>
      <w:sz w:val="24"/>
    </w:rPr>
  </w:style>
  <w:style w:type="character" w:customStyle="1" w:styleId="244">
    <w:name w:val="Char Char41"/>
    <w:qFormat/>
    <w:uiPriority w:val="0"/>
    <w:rPr>
      <w:rFonts w:ascii="Calibri" w:hAnsi="Calibri" w:eastAsia="宋体"/>
      <w:kern w:val="2"/>
      <w:sz w:val="18"/>
      <w:szCs w:val="18"/>
      <w:lang w:val="en-US" w:eastAsia="zh-CN" w:bidi="ar-SA"/>
    </w:rPr>
  </w:style>
  <w:style w:type="character" w:customStyle="1" w:styleId="245">
    <w:name w:val="页脚 Char"/>
    <w:link w:val="32"/>
    <w:qFormat/>
    <w:uiPriority w:val="99"/>
    <w:rPr>
      <w:rFonts w:eastAsia="宋体"/>
      <w:kern w:val="2"/>
      <w:sz w:val="18"/>
      <w:szCs w:val="18"/>
      <w:lang w:val="en-US" w:eastAsia="zh-CN" w:bidi="ar-SA"/>
    </w:rPr>
  </w:style>
  <w:style w:type="character" w:customStyle="1" w:styleId="246">
    <w:name w:val="纯文本 Char"/>
    <w:link w:val="27"/>
    <w:qFormat/>
    <w:uiPriority w:val="0"/>
    <w:rPr>
      <w:rFonts w:ascii="宋体" w:hAnsi="Courier New" w:eastAsia="宋体" w:cs="Courier New"/>
      <w:kern w:val="2"/>
      <w:sz w:val="21"/>
      <w:szCs w:val="21"/>
      <w:lang w:val="en-US" w:eastAsia="zh-CN" w:bidi="ar-SA"/>
    </w:rPr>
  </w:style>
  <w:style w:type="character" w:customStyle="1" w:styleId="247">
    <w:name w:val="标题 8 Char"/>
    <w:link w:val="11"/>
    <w:qFormat/>
    <w:uiPriority w:val="0"/>
    <w:rPr>
      <w:rFonts w:ascii="Arial" w:hAnsi="Arial" w:eastAsia="黑体"/>
      <w:kern w:val="2"/>
      <w:sz w:val="24"/>
      <w:szCs w:val="24"/>
    </w:rPr>
  </w:style>
  <w:style w:type="character" w:customStyle="1" w:styleId="248">
    <w:name w:val="批注文字 Char"/>
    <w:link w:val="19"/>
    <w:qFormat/>
    <w:uiPriority w:val="0"/>
    <w:rPr>
      <w:rFonts w:eastAsia="宋体"/>
      <w:kern w:val="2"/>
      <w:sz w:val="24"/>
      <w:szCs w:val="24"/>
      <w:lang w:val="en-US" w:eastAsia="zh-CN" w:bidi="ar-SA"/>
    </w:rPr>
  </w:style>
  <w:style w:type="character" w:customStyle="1" w:styleId="249">
    <w:name w:val="副标题 Char"/>
    <w:link w:val="38"/>
    <w:qFormat/>
    <w:uiPriority w:val="0"/>
    <w:rPr>
      <w:kern w:val="2"/>
      <w:sz w:val="28"/>
      <w:szCs w:val="24"/>
    </w:rPr>
  </w:style>
  <w:style w:type="character" w:customStyle="1" w:styleId="250">
    <w:name w:val="标题 1 Char"/>
    <w:link w:val="4"/>
    <w:qFormat/>
    <w:uiPriority w:val="0"/>
    <w:rPr>
      <w:rFonts w:eastAsia="宋体"/>
      <w:b/>
      <w:bCs/>
      <w:kern w:val="44"/>
      <w:sz w:val="44"/>
      <w:szCs w:val="44"/>
      <w:lang w:val="en-US" w:eastAsia="zh-CN" w:bidi="ar-SA"/>
    </w:rPr>
  </w:style>
  <w:style w:type="character" w:customStyle="1" w:styleId="251">
    <w:name w:val="标题 2 Char1"/>
    <w:link w:val="5"/>
    <w:qFormat/>
    <w:uiPriority w:val="0"/>
    <w:rPr>
      <w:rFonts w:ascii="Arial" w:hAnsi="Arial" w:eastAsia="黑体"/>
      <w:b/>
      <w:bCs/>
      <w:kern w:val="2"/>
      <w:sz w:val="32"/>
      <w:szCs w:val="32"/>
    </w:rPr>
  </w:style>
  <w:style w:type="character" w:customStyle="1" w:styleId="252">
    <w:name w:val="图表左对齐 Char Char Char"/>
    <w:qFormat/>
    <w:uiPriority w:val="0"/>
    <w:rPr>
      <w:rFonts w:ascii="宋体" w:hAnsi="宋体" w:eastAsia="宋体"/>
      <w:spacing w:val="-10"/>
      <w:kern w:val="2"/>
      <w:sz w:val="24"/>
      <w:szCs w:val="28"/>
      <w:lang w:val="en-US" w:eastAsia="zh-CN" w:bidi="ar-SA"/>
    </w:rPr>
  </w:style>
  <w:style w:type="character" w:customStyle="1" w:styleId="253">
    <w:name w:val="樣式 標題 3 + (中文) MS Gothic 10.5 點 Char Char Char Char Char Char Char"/>
    <w:qFormat/>
    <w:uiPriority w:val="0"/>
    <w:rPr>
      <w:rFonts w:hAnsi="PMingLiU" w:eastAsia="MS Gothic"/>
      <w:bCs/>
      <w:snapToGrid w:val="0"/>
      <w:kern w:val="2"/>
      <w:sz w:val="24"/>
      <w:szCs w:val="24"/>
      <w:lang w:val="en-AU" w:eastAsia="zh-TW" w:bidi="ar-SA"/>
    </w:rPr>
  </w:style>
  <w:style w:type="character" w:customStyle="1" w:styleId="254">
    <w:name w:val="标题 4 Char Char Char"/>
    <w:qFormat/>
    <w:uiPriority w:val="0"/>
    <w:rPr>
      <w:rFonts w:ascii="Arial" w:hAnsi="Arial" w:eastAsia="宋体"/>
      <w:bCs/>
      <w:kern w:val="2"/>
      <w:sz w:val="24"/>
      <w:szCs w:val="28"/>
      <w:lang w:val="en-US" w:eastAsia="zh-CN" w:bidi="ar-SA"/>
    </w:rPr>
  </w:style>
  <w:style w:type="character" w:customStyle="1" w:styleId="255">
    <w:name w:val="纯文本 Char1"/>
    <w:qFormat/>
    <w:uiPriority w:val="0"/>
    <w:rPr>
      <w:rFonts w:ascii="宋体" w:hAnsi="Courier New" w:eastAsia="宋体" w:cs="Century"/>
      <w:kern w:val="2"/>
      <w:sz w:val="21"/>
      <w:szCs w:val="21"/>
      <w:lang w:val="en-US" w:eastAsia="zh-CN" w:bidi="ar-SA"/>
    </w:rPr>
  </w:style>
  <w:style w:type="character" w:customStyle="1" w:styleId="256">
    <w:name w:val="正文文本缩进 Char"/>
    <w:link w:val="3"/>
    <w:qFormat/>
    <w:uiPriority w:val="0"/>
    <w:rPr>
      <w:kern w:val="2"/>
      <w:sz w:val="24"/>
      <w:szCs w:val="24"/>
    </w:rPr>
  </w:style>
  <w:style w:type="character" w:customStyle="1" w:styleId="257">
    <w:name w:val="正文缩进 Char Char Char Char1"/>
    <w:qFormat/>
    <w:uiPriority w:val="0"/>
    <w:rPr>
      <w:rFonts w:eastAsia="宋体"/>
      <w:kern w:val="2"/>
      <w:sz w:val="21"/>
      <w:lang w:val="en-US" w:eastAsia="zh-CN" w:bidi="ar-SA"/>
    </w:rPr>
  </w:style>
  <w:style w:type="character" w:customStyle="1" w:styleId="258">
    <w:name w:val="样式 标题 2标题 1.1head:2#2 headlinehheadlineS&amp;R2ERMH2Head 2 +... Char Char"/>
    <w:qFormat/>
    <w:uiPriority w:val="0"/>
    <w:rPr>
      <w:rFonts w:ascii="Arial" w:hAnsi="Arial" w:eastAsia="宋体"/>
      <w:b/>
      <w:bCs/>
      <w:sz w:val="24"/>
      <w:lang w:val="en-US" w:eastAsia="zh-CN" w:bidi="ar-SA"/>
    </w:rPr>
  </w:style>
  <w:style w:type="character" w:customStyle="1" w:styleId="259">
    <w:name w:val="样式 标题 2标题 1.1head:2#2 headlinehheadlineS&amp;R2ERMH2Head 2 +... Char Char Char"/>
    <w:qFormat/>
    <w:uiPriority w:val="0"/>
    <w:rPr>
      <w:rFonts w:hint="default" w:ascii="Arial" w:hAnsi="Arial" w:eastAsia="宋体" w:cs="Arial"/>
      <w:b/>
      <w:bCs/>
      <w:sz w:val="24"/>
      <w:lang w:val="en-US" w:eastAsia="zh-CN" w:bidi="ar-SA"/>
    </w:rPr>
  </w:style>
  <w:style w:type="character" w:customStyle="1" w:styleId="260">
    <w:name w:val="正文文本 2 Char"/>
    <w:link w:val="43"/>
    <w:qFormat/>
    <w:uiPriority w:val="0"/>
    <w:rPr>
      <w:kern w:val="2"/>
      <w:sz w:val="21"/>
      <w:szCs w:val="24"/>
    </w:rPr>
  </w:style>
  <w:style w:type="character" w:customStyle="1" w:styleId="261">
    <w:name w:val="样式 首行缩进:  2 字符 Char1"/>
    <w:link w:val="150"/>
    <w:qFormat/>
    <w:uiPriority w:val="0"/>
    <w:rPr>
      <w:rFonts w:eastAsia="宋体" w:cs="宋体"/>
      <w:kern w:val="2"/>
      <w:sz w:val="24"/>
      <w:lang w:val="en-US" w:eastAsia="zh-CN" w:bidi="ar-SA"/>
    </w:rPr>
  </w:style>
  <w:style w:type="character" w:customStyle="1" w:styleId="262">
    <w:name w:val="Header Char1"/>
    <w:qFormat/>
    <w:uiPriority w:val="0"/>
    <w:rPr>
      <w:kern w:val="2"/>
      <w:sz w:val="18"/>
      <w:szCs w:val="18"/>
    </w:rPr>
  </w:style>
  <w:style w:type="character" w:customStyle="1" w:styleId="263">
    <w:name w:val="样式 超链接 + 仿宋_GB2312 小四 加粗"/>
    <w:qFormat/>
    <w:uiPriority w:val="0"/>
    <w:rPr>
      <w:rFonts w:ascii="仿宋_GB2312" w:hAnsi="仿宋_GB2312" w:eastAsia="黑体"/>
      <w:b/>
      <w:bCs/>
      <w:color w:val="auto"/>
      <w:sz w:val="24"/>
      <w:u w:val="none"/>
    </w:rPr>
  </w:style>
  <w:style w:type="character" w:customStyle="1" w:styleId="264">
    <w:name w:val="Char Char Char1"/>
    <w:qFormat/>
    <w:uiPriority w:val="0"/>
    <w:rPr>
      <w:rFonts w:ascii="宋体" w:hAnsi="宋体" w:eastAsia="宋体"/>
      <w:kern w:val="2"/>
      <w:sz w:val="24"/>
      <w:lang w:val="en-US" w:eastAsia="zh-CN"/>
    </w:rPr>
  </w:style>
  <w:style w:type="character" w:customStyle="1" w:styleId="265">
    <w:name w:val="Char Char Char2"/>
    <w:qFormat/>
    <w:uiPriority w:val="0"/>
    <w:rPr>
      <w:rFonts w:hint="eastAsia" w:ascii="宋体" w:hAnsi="宋体" w:eastAsia="宋体"/>
      <w:bCs/>
      <w:kern w:val="2"/>
      <w:sz w:val="24"/>
      <w:szCs w:val="24"/>
      <w:lang w:val="en-US" w:eastAsia="zh-CN" w:bidi="ar-SA"/>
    </w:rPr>
  </w:style>
  <w:style w:type="character" w:customStyle="1" w:styleId="266">
    <w:name w:val="日期 Char"/>
    <w:link w:val="29"/>
    <w:qFormat/>
    <w:uiPriority w:val="0"/>
    <w:rPr>
      <w:kern w:val="2"/>
      <w:sz w:val="24"/>
      <w:szCs w:val="28"/>
    </w:rPr>
  </w:style>
  <w:style w:type="character" w:customStyle="1" w:styleId="267">
    <w:name w:val="标题 3 Char"/>
    <w:qFormat/>
    <w:uiPriority w:val="0"/>
    <w:rPr>
      <w:rFonts w:eastAsia="宋体"/>
      <w:b/>
      <w:bCs/>
      <w:kern w:val="2"/>
      <w:sz w:val="32"/>
      <w:szCs w:val="32"/>
      <w:lang w:val="en-US" w:eastAsia="zh-CN" w:bidi="ar-SA"/>
    </w:rPr>
  </w:style>
  <w:style w:type="character" w:customStyle="1" w:styleId="268">
    <w:name w:val="正文文本缩进 3 Char"/>
    <w:link w:val="40"/>
    <w:qFormat/>
    <w:uiPriority w:val="0"/>
    <w:rPr>
      <w:kern w:val="2"/>
      <w:sz w:val="16"/>
      <w:szCs w:val="16"/>
    </w:rPr>
  </w:style>
  <w:style w:type="character" w:customStyle="1" w:styleId="269">
    <w:name w:val="标题 9 Char"/>
    <w:link w:val="12"/>
    <w:qFormat/>
    <w:uiPriority w:val="0"/>
    <w:rPr>
      <w:rFonts w:ascii="Arial" w:hAnsi="Arial" w:eastAsia="黑体"/>
      <w:kern w:val="2"/>
      <w:sz w:val="24"/>
      <w:szCs w:val="21"/>
    </w:rPr>
  </w:style>
  <w:style w:type="paragraph" w:customStyle="1" w:styleId="270">
    <w:name w:val="Default Text"/>
    <w:basedOn w:val="1"/>
    <w:qFormat/>
    <w:uiPriority w:val="0"/>
    <w:pPr>
      <w:widowControl/>
      <w:jc w:val="left"/>
    </w:pPr>
    <w:rPr>
      <w:rFonts w:eastAsia="宋体"/>
      <w:kern w:val="0"/>
      <w:sz w:val="24"/>
      <w:szCs w:val="20"/>
      <w:lang w:val="en-GB"/>
    </w:rPr>
  </w:style>
  <w:style w:type="character" w:customStyle="1" w:styleId="271">
    <w:name w:val="apple-style-span"/>
    <w:qFormat/>
    <w:uiPriority w:val="0"/>
    <w:rPr>
      <w:rFonts w:cs="Times New Roman"/>
    </w:rPr>
  </w:style>
  <w:style w:type="character" w:customStyle="1" w:styleId="272">
    <w:name w:val="apple-converted-space"/>
    <w:qFormat/>
    <w:uiPriority w:val="0"/>
    <w:rPr>
      <w:rFonts w:cs="Times New Roman"/>
    </w:rPr>
  </w:style>
  <w:style w:type="paragraph" w:customStyle="1" w:styleId="273">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4">
    <w:name w:val="00"/>
    <w:basedOn w:val="1"/>
    <w:qFormat/>
    <w:uiPriority w:val="0"/>
    <w:pPr>
      <w:spacing w:line="360" w:lineRule="auto"/>
    </w:pPr>
    <w:rPr>
      <w:rFonts w:ascii="宋体" w:hAnsi="宋体" w:eastAsia="宋体"/>
      <w:b/>
      <w:bCs/>
      <w:spacing w:val="-6"/>
      <w:sz w:val="28"/>
      <w:szCs w:val="28"/>
    </w:rPr>
  </w:style>
  <w:style w:type="paragraph" w:customStyle="1" w:styleId="275">
    <w:name w:val="章节名格式"/>
    <w:basedOn w:val="1"/>
    <w:next w:val="23"/>
    <w:qFormat/>
    <w:uiPriority w:val="0"/>
    <w:pPr>
      <w:widowControl/>
      <w:autoSpaceDE w:val="0"/>
      <w:autoSpaceDN w:val="0"/>
      <w:adjustRightInd w:val="0"/>
      <w:spacing w:line="360" w:lineRule="auto"/>
      <w:ind w:left="1080"/>
      <w:jc w:val="center"/>
      <w:outlineLvl w:val="0"/>
    </w:pPr>
    <w:rPr>
      <w:rFonts w:ascii="仿宋_GB2312" w:hAnsi="华文仿宋" w:eastAsia="仿宋_GB2312"/>
      <w:b/>
      <w:color w:val="000000"/>
      <w:kern w:val="0"/>
      <w:sz w:val="28"/>
      <w:szCs w:val="20"/>
    </w:rPr>
  </w:style>
  <w:style w:type="paragraph" w:customStyle="1" w:styleId="276">
    <w:name w:val="16"/>
    <w:basedOn w:val="1"/>
    <w:qFormat/>
    <w:uiPriority w:val="0"/>
    <w:pPr>
      <w:widowControl/>
      <w:snapToGrid w:val="0"/>
      <w:spacing w:before="100" w:beforeAutospacing="1" w:after="100" w:afterAutospacing="1" w:line="240" w:lineRule="atLeast"/>
    </w:pPr>
    <w:rPr>
      <w:rFonts w:ascii="仿宋_GB2312" w:hAnsi="宋体" w:eastAsia="仿宋_GB2312"/>
      <w:kern w:val="0"/>
      <w:sz w:val="24"/>
      <w:szCs w:val="20"/>
    </w:rPr>
  </w:style>
  <w:style w:type="paragraph" w:customStyle="1" w:styleId="277">
    <w:name w:val="列出段落4"/>
    <w:basedOn w:val="1"/>
    <w:unhideWhenUsed/>
    <w:qFormat/>
    <w:uiPriority w:val="99"/>
    <w:pPr>
      <w:ind w:firstLine="420" w:firstLineChars="200"/>
    </w:pPr>
  </w:style>
  <w:style w:type="paragraph" w:customStyle="1" w:styleId="278">
    <w:name w:val="修订3"/>
    <w:hidden/>
    <w:unhideWhenUsed/>
    <w:qFormat/>
    <w:uiPriority w:val="99"/>
    <w:rPr>
      <w:rFonts w:ascii="Times New Roman" w:hAnsi="Times New Roman" w:eastAsia="微软雅黑" w:cs="Times New Roman"/>
      <w:kern w:val="2"/>
      <w:sz w:val="21"/>
      <w:szCs w:val="24"/>
      <w:lang w:val="en-US" w:eastAsia="zh-CN" w:bidi="ar-SA"/>
    </w:rPr>
  </w:style>
  <w:style w:type="paragraph" w:customStyle="1" w:styleId="279">
    <w:name w:val="ZH-Text"/>
    <w:basedOn w:val="1"/>
    <w:qFormat/>
    <w:uiPriority w:val="0"/>
    <w:pPr>
      <w:spacing w:line="360" w:lineRule="auto"/>
      <w:ind w:firstLine="200" w:firstLineChars="200"/>
    </w:pPr>
    <w:rPr>
      <w:rFonts w:eastAsia="宋体"/>
      <w:sz w:val="24"/>
    </w:rPr>
  </w:style>
  <w:style w:type="paragraph" w:customStyle="1" w:styleId="280">
    <w:name w:val="ZH-Table-T2"/>
    <w:basedOn w:val="1"/>
    <w:qFormat/>
    <w:uiPriority w:val="0"/>
    <w:pPr>
      <w:widowControl/>
      <w:spacing w:beforeLines="25" w:line="300" w:lineRule="auto"/>
    </w:pPr>
    <w:rPr>
      <w:rFonts w:eastAsia="宋体"/>
      <w:color w:val="000000"/>
      <w:kern w:val="0"/>
      <w:sz w:val="24"/>
    </w:rPr>
  </w:style>
  <w:style w:type="paragraph" w:customStyle="1" w:styleId="281">
    <w:name w:val="ZH-H6"/>
    <w:next w:val="1"/>
    <w:qFormat/>
    <w:uiPriority w:val="0"/>
    <w:pPr>
      <w:numPr>
        <w:ilvl w:val="5"/>
        <w:numId w:val="3"/>
      </w:numPr>
      <w:spacing w:beforeLines="50" w:afterLines="50" w:line="400" w:lineRule="exact"/>
      <w:ind w:left="0"/>
      <w:outlineLvl w:val="5"/>
    </w:pPr>
    <w:rPr>
      <w:rFonts w:ascii="Times New Roman" w:hAnsi="Times New Roman" w:eastAsia="宋体" w:cs="Times New Roman"/>
      <w:b/>
      <w:kern w:val="2"/>
      <w:sz w:val="24"/>
      <w:szCs w:val="24"/>
      <w:lang w:val="en-US" w:eastAsia="zh-CN" w:bidi="ar-SA"/>
    </w:rPr>
  </w:style>
  <w:style w:type="paragraph" w:customStyle="1" w:styleId="282">
    <w:name w:val="ZH-Table-Name"/>
    <w:qFormat/>
    <w:uiPriority w:val="0"/>
    <w:pPr>
      <w:spacing w:line="360" w:lineRule="auto"/>
      <w:jc w:val="center"/>
    </w:pPr>
    <w:rPr>
      <w:rFonts w:ascii="Times New Roman" w:hAnsi="Times New Roman" w:eastAsia="宋体" w:cs="Times New Roman"/>
      <w:b/>
      <w:color w:val="000000"/>
      <w:kern w:val="2"/>
      <w:sz w:val="24"/>
      <w:szCs w:val="24"/>
      <w:lang w:val="en-US" w:eastAsia="zh-CN" w:bidi="ar-SA"/>
    </w:rPr>
  </w:style>
  <w:style w:type="paragraph" w:customStyle="1" w:styleId="283">
    <w:name w:val="ZH-Table-H"/>
    <w:qFormat/>
    <w:uiPriority w:val="0"/>
    <w:pPr>
      <w:spacing w:beforeLines="50" w:line="360" w:lineRule="auto"/>
      <w:jc w:val="center"/>
    </w:pPr>
    <w:rPr>
      <w:rFonts w:ascii="Times New Roman" w:hAnsi="Times New Roman" w:eastAsia="宋体" w:cs="Times New Roman"/>
      <w:b/>
      <w:color w:val="000000"/>
      <w:sz w:val="24"/>
      <w:szCs w:val="24"/>
      <w:lang w:val="en-US" w:eastAsia="zh-CN" w:bidi="ar-SA"/>
    </w:rPr>
  </w:style>
  <w:style w:type="paragraph" w:customStyle="1" w:styleId="284">
    <w:name w:val="ZH-Table-T1"/>
    <w:qFormat/>
    <w:uiPriority w:val="0"/>
    <w:pPr>
      <w:spacing w:beforeLines="25" w:line="300" w:lineRule="auto"/>
      <w:jc w:val="center"/>
    </w:pPr>
    <w:rPr>
      <w:rFonts w:ascii="Times New Roman" w:hAnsi="Times New Roman" w:eastAsia="宋体" w:cs="Times New Roman"/>
      <w:color w:val="000000"/>
      <w:sz w:val="24"/>
      <w:szCs w:val="24"/>
      <w:lang w:val="en-US" w:eastAsia="zh-CN" w:bidi="ar-SA"/>
    </w:rPr>
  </w:style>
  <w:style w:type="paragraph" w:customStyle="1" w:styleId="285">
    <w:name w:val="修订31"/>
    <w:hidden/>
    <w:unhideWhenUsed/>
    <w:qFormat/>
    <w:uiPriority w:val="99"/>
    <w:rPr>
      <w:rFonts w:ascii="Times New Roman" w:hAnsi="Times New Roman" w:eastAsia="微软雅黑" w:cs="Times New Roman"/>
      <w:kern w:val="2"/>
      <w:sz w:val="21"/>
      <w:szCs w:val="24"/>
      <w:lang w:val="en-US" w:eastAsia="zh-CN" w:bidi="ar-SA"/>
    </w:rPr>
  </w:style>
  <w:style w:type="paragraph" w:customStyle="1" w:styleId="286">
    <w:name w:val="ZH-H5"/>
    <w:next w:val="1"/>
    <w:qFormat/>
    <w:uiPriority w:val="0"/>
    <w:pPr>
      <w:numPr>
        <w:ilvl w:val="4"/>
        <w:numId w:val="3"/>
      </w:numPr>
      <w:spacing w:beforeLines="50" w:line="360" w:lineRule="auto"/>
      <w:outlineLvl w:val="4"/>
    </w:pPr>
    <w:rPr>
      <w:rFonts w:ascii="Times New Roman" w:hAnsi="Times New Roman" w:eastAsia="宋体" w:cs="Times New Roman"/>
      <w:b/>
      <w:kern w:val="2"/>
      <w:sz w:val="24"/>
      <w:szCs w:val="24"/>
      <w:lang w:val="en-US" w:eastAsia="zh-CN" w:bidi="ar-SA"/>
    </w:rPr>
  </w:style>
  <w:style w:type="paragraph" w:customStyle="1" w:styleId="287">
    <w:name w:val="修订4"/>
    <w:hidden/>
    <w:semiHidden/>
    <w:qFormat/>
    <w:uiPriority w:val="99"/>
    <w:rPr>
      <w:rFonts w:ascii="Times New Roman" w:hAnsi="Times New Roman" w:eastAsia="微软雅黑" w:cs="Times New Roman"/>
      <w:kern w:val="2"/>
      <w:sz w:val="21"/>
      <w:szCs w:val="24"/>
      <w:lang w:val="en-US" w:eastAsia="zh-CN" w:bidi="ar-SA"/>
    </w:rPr>
  </w:style>
  <w:style w:type="paragraph" w:customStyle="1" w:styleId="288">
    <w:name w:val="Revision"/>
    <w:hidden/>
    <w:unhideWhenUsed/>
    <w:uiPriority w:val="99"/>
    <w:rPr>
      <w:rFonts w:ascii="Times New Roman" w:hAnsi="Times New Roman" w:eastAsia="微软雅黑" w:cs="Times New Roman"/>
      <w:kern w:val="2"/>
      <w:sz w:val="21"/>
      <w:szCs w:val="24"/>
      <w:lang w:val="en-US" w:eastAsia="zh-CN" w:bidi="ar-SA"/>
    </w:rPr>
  </w:style>
  <w:style w:type="character" w:customStyle="1" w:styleId="289">
    <w:name w:val="正文首行缩进 2 Char"/>
    <w:basedOn w:val="256"/>
    <w:link w:val="2"/>
    <w:uiPriority w:val="99"/>
    <w:rPr>
      <w:rFonts w:ascii="Calibri" w:hAnsi="Calibri" w:eastAsia="Times New Roman"/>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6" Type="http://schemas.openxmlformats.org/officeDocument/2006/relationships/fontTable" Target="fontTable.xml"/><Relationship Id="rId35" Type="http://schemas.openxmlformats.org/officeDocument/2006/relationships/customXml" Target="../customXml/item2.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theme" Target="theme/theme1.xml"/><Relationship Id="rId31" Type="http://schemas.openxmlformats.org/officeDocument/2006/relationships/footer" Target="footer17.xml"/><Relationship Id="rId30" Type="http://schemas.openxmlformats.org/officeDocument/2006/relationships/footer" Target="footer16.xml"/><Relationship Id="rId3" Type="http://schemas.openxmlformats.org/officeDocument/2006/relationships/header" Target="header1.xml"/><Relationship Id="rId29" Type="http://schemas.openxmlformats.org/officeDocument/2006/relationships/footer" Target="footer15.xml"/><Relationship Id="rId28" Type="http://schemas.openxmlformats.org/officeDocument/2006/relationships/header" Target="header12.xml"/><Relationship Id="rId27" Type="http://schemas.openxmlformats.org/officeDocument/2006/relationships/header" Target="header11.xml"/><Relationship Id="rId26" Type="http://schemas.openxmlformats.org/officeDocument/2006/relationships/header" Target="header10.xml"/><Relationship Id="rId25" Type="http://schemas.openxmlformats.org/officeDocument/2006/relationships/footer" Target="footer14.xml"/><Relationship Id="rId24" Type="http://schemas.openxmlformats.org/officeDocument/2006/relationships/footer" Target="footer13.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D1B227-BF35-4219-97D8-9AD35D648FC8}">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82</Pages>
  <Words>46800</Words>
  <Characters>48331</Characters>
  <Lines>368</Lines>
  <Paragraphs>103</Paragraphs>
  <TotalTime>41</TotalTime>
  <ScaleCrop>false</ScaleCrop>
  <LinksUpToDate>false</LinksUpToDate>
  <CharactersWithSpaces>49010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2022-05-31T07:41:00Z</dcterms:created>
  <dc:creator>hp</dc:creator>
  <cp:lastModifiedBy>大智</cp:lastModifiedBy>
  <cp:lastPrinted>2019-02-25T07:13:00Z</cp:lastPrinted>
  <dcterms:modified xsi:type="dcterms:W3CDTF">2022-06-01T02:30:19Z</dcterms:modified>
  <dc:title>福州市轨道交通1号线工程车辆采购项目</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D16B362B33A64B8D993FBBB9D5BCF0C6</vt:lpwstr>
  </property>
</Properties>
</file>