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方正小标宋简体" w:eastAsia="方正小标宋简体" w:cs="方正小标宋简体"/>
          <w:b/>
          <w:bCs/>
          <w:color w:val="auto"/>
          <w:kern w:val="0"/>
          <w:sz w:val="44"/>
          <w:szCs w:val="44"/>
        </w:rPr>
      </w:pPr>
      <w:bookmarkStart w:id="521" w:name="_GoBack"/>
      <w:bookmarkEnd w:id="521"/>
      <w:r>
        <w:rPr>
          <w:rFonts w:hint="eastAsia" w:ascii="方正小标宋简体" w:hAnsi="方正小标宋简体" w:eastAsia="方正小标宋简体" w:cs="方正小标宋简体"/>
          <w:b/>
          <w:bCs/>
          <w:color w:val="auto"/>
          <w:kern w:val="0"/>
          <w:sz w:val="44"/>
          <w:szCs w:val="44"/>
        </w:rPr>
        <w:t>南宁铁路枢纽投资有限公司“十四五”战略规划及2035远景展望咨询服务项目比选公告</w:t>
      </w: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r>
        <w:rPr>
          <w:rFonts w:hint="eastAsia" w:ascii="仿宋" w:hAnsi="仿宋" w:eastAsia="仿宋" w:cs="仿宋"/>
          <w:color w:val="auto"/>
          <w:sz w:val="32"/>
          <w:szCs w:val="32"/>
        </w:rPr>
        <w:t>致各单位：</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为做好南宁铁路枢纽投资有限公司“十四五”战略规划及2035远景展望的顶层设计，需开展南宁铁路枢纽投资有限公司“十四五”战略规划及2035远景展望咨询服务工作</w:t>
      </w:r>
      <w:r>
        <w:rPr>
          <w:rFonts w:hint="eastAsia" w:ascii="仿宋" w:hAnsi="仿宋" w:eastAsia="仿宋" w:cs="仿宋"/>
          <w:bCs/>
          <w:color w:val="auto"/>
          <w:sz w:val="32"/>
          <w:szCs w:val="32"/>
        </w:rPr>
        <w:t>。</w:t>
      </w:r>
      <w:r>
        <w:rPr>
          <w:rFonts w:hint="eastAsia" w:ascii="仿宋" w:hAnsi="仿宋" w:eastAsia="仿宋" w:cs="仿宋"/>
          <w:color w:val="auto"/>
          <w:sz w:val="32"/>
          <w:szCs w:val="32"/>
        </w:rPr>
        <w:t>现就本项目进行比选，欢迎各单位参加。</w:t>
      </w:r>
    </w:p>
    <w:p>
      <w:pPr>
        <w:spacing w:line="600" w:lineRule="exact"/>
        <w:ind w:firstLine="640" w:firstLineChars="200"/>
        <w:outlineLvl w:val="0"/>
        <w:rPr>
          <w:rFonts w:ascii="黑体" w:hAnsi="黑体" w:eastAsia="黑体" w:cs="黑体"/>
          <w:bCs/>
          <w:color w:val="auto"/>
          <w:sz w:val="32"/>
          <w:szCs w:val="32"/>
        </w:rPr>
      </w:pPr>
      <w:bookmarkStart w:id="0" w:name="_Toc12453"/>
      <w:bookmarkStart w:id="1" w:name="_Toc27862"/>
      <w:bookmarkStart w:id="2" w:name="_Toc21439"/>
      <w:r>
        <w:rPr>
          <w:rFonts w:hint="eastAsia" w:ascii="黑体" w:hAnsi="黑体" w:eastAsia="黑体" w:cs="黑体"/>
          <w:bCs/>
          <w:color w:val="auto"/>
          <w:sz w:val="32"/>
          <w:szCs w:val="32"/>
        </w:rPr>
        <w:t>一、项目内容</w:t>
      </w:r>
      <w:bookmarkEnd w:id="0"/>
      <w:bookmarkEnd w:id="1"/>
      <w:bookmarkEnd w:id="2"/>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南宁铁路枢纽投资有限公司“十四五”战略规划及2035远景展望咨询服务项目，包括但不限于以下内容：</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基于充分研究南宁北站、南宁站等铁路枢纽站城一体项目之上，研究制定南宁铁路枢纽投资有限公司“十四五”战略规划及2035远景展望：企业发展内外部环境分析（机遇和挑战等），战略定位，主营业务板块规划，战略目标（近、中、远期发展目标）与相对应战略发展路径，实现战略规划所需的政府政策支持、战略保障措施，以及“十四五”战略规划分解落实计划；</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二）战略保障措施主要包含公司组织架构、定岗定编、核心业务制度目录、招商引资管理办法、企业文化建设（企业愿景、使命、价值观、生产经营理念等企业文化核心理念；企业标志、企业标准字体、企业标准色等公司VI视觉识别系统设计及办公用品识别应用设计等）。</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上述内容的具体要求，详见比选文件第二章服务需求一览表。</w:t>
      </w:r>
    </w:p>
    <w:p>
      <w:pPr>
        <w:spacing w:line="600" w:lineRule="exact"/>
        <w:ind w:firstLine="640" w:firstLineChars="200"/>
        <w:outlineLvl w:val="0"/>
        <w:rPr>
          <w:rFonts w:ascii="黑体" w:hAnsi="黑体" w:eastAsia="黑体" w:cs="黑体"/>
          <w:bCs/>
          <w:color w:val="auto"/>
          <w:sz w:val="32"/>
          <w:szCs w:val="32"/>
        </w:rPr>
      </w:pPr>
      <w:bookmarkStart w:id="3" w:name="_Toc14265"/>
      <w:bookmarkStart w:id="4" w:name="_Toc22468"/>
      <w:bookmarkStart w:id="5" w:name="_Toc9264"/>
      <w:r>
        <w:rPr>
          <w:rFonts w:hint="eastAsia" w:ascii="黑体" w:hAnsi="黑体" w:eastAsia="黑体" w:cs="黑体"/>
          <w:bCs/>
          <w:color w:val="auto"/>
          <w:sz w:val="32"/>
          <w:szCs w:val="32"/>
        </w:rPr>
        <w:t>二、比选申请人资格要求</w:t>
      </w:r>
      <w:bookmarkEnd w:id="3"/>
      <w:bookmarkEnd w:id="4"/>
      <w:bookmarkEnd w:id="5"/>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1.比选申请人须为中华人民共和国境内依法设立的法人或其他组织。  </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2.业绩要求：投标人自2017年1月1日至开标时间至少具有1个类似项目业绩，类似项目是指以下类型业绩之一：（1）企业战略规划编制咨</w:t>
      </w:r>
      <w:r>
        <w:rPr>
          <w:rFonts w:hint="eastAsia" w:ascii="仿宋" w:hAnsi="仿宋" w:eastAsia="仿宋" w:cs="仿宋"/>
          <w:color w:val="auto"/>
          <w:sz w:val="32"/>
          <w:szCs w:val="32"/>
          <w:highlight w:val="none"/>
        </w:rPr>
        <w:t>询或</w:t>
      </w:r>
      <w:r>
        <w:rPr>
          <w:rFonts w:hint="eastAsia" w:ascii="仿宋" w:hAnsi="仿宋" w:eastAsia="仿宋" w:cs="仿宋"/>
          <w:color w:val="auto"/>
          <w:sz w:val="32"/>
          <w:szCs w:val="32"/>
          <w:highlight w:val="none"/>
          <w:lang w:val="en-US" w:eastAsia="zh-CN"/>
        </w:rPr>
        <w:t>业务规划咨询</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（2）产业策划咨询；（3）项目开发策划咨询。</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注：须提供合同关键页等证明材料，证明材料须能体现满足本项目业绩要求的内容（业绩时间、服务内容等，否则评审时不予承认该业绩）；业绩时间以合同签订时间为准；投标人业绩须是其自身的，不能是其母公司或子公司的；联合体业绩只接受牵头方业绩；不接受分包业绩。</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3.项目负责人：须具有</w:t>
      </w:r>
      <w:r>
        <w:rPr>
          <w:rFonts w:ascii="仿宋" w:hAnsi="仿宋" w:eastAsia="仿宋" w:cs="仿宋"/>
          <w:color w:val="auto"/>
          <w:sz w:val="32"/>
          <w:szCs w:val="32"/>
        </w:rPr>
        <w:t>10</w:t>
      </w:r>
      <w:r>
        <w:rPr>
          <w:rFonts w:hint="eastAsia" w:ascii="仿宋" w:hAnsi="仿宋" w:eastAsia="仿宋" w:cs="仿宋"/>
          <w:color w:val="auto"/>
          <w:sz w:val="32"/>
          <w:szCs w:val="32"/>
        </w:rPr>
        <w:t>年及以上工作经验，承担过一个类似项目的项目负责人。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注：须提供相关证明材料：工作经验证明材料为劳动合同或工作证明，否则不予认可；业绩证明材料为合同文件或用户证明，业绩证明材料须能体现类似项目特征和项目负责人承担的职位，否则不予认可。</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4.本项目不接受联合体投标。</w:t>
      </w:r>
    </w:p>
    <w:p>
      <w:pPr>
        <w:spacing w:line="600" w:lineRule="exact"/>
        <w:ind w:firstLine="640" w:firstLineChars="200"/>
        <w:outlineLvl w:val="0"/>
        <w:rPr>
          <w:rFonts w:ascii="仿宋" w:hAnsi="仿宋" w:eastAsia="仿宋" w:cs="仿宋"/>
          <w:color w:val="auto"/>
          <w:sz w:val="32"/>
          <w:szCs w:val="32"/>
        </w:rPr>
      </w:pPr>
      <w:bookmarkStart w:id="6" w:name="_Toc21009"/>
      <w:bookmarkStart w:id="7" w:name="_Toc18371"/>
      <w:bookmarkStart w:id="8" w:name="_Toc1592"/>
      <w:r>
        <w:rPr>
          <w:rFonts w:hint="eastAsia" w:ascii="黑体" w:hAnsi="黑体" w:eastAsia="黑体" w:cs="黑体"/>
          <w:bCs/>
          <w:color w:val="auto"/>
          <w:sz w:val="32"/>
          <w:szCs w:val="32"/>
        </w:rPr>
        <w:t>三、比选文件的获取</w:t>
      </w:r>
      <w:bookmarkEnd w:id="6"/>
      <w:bookmarkEnd w:id="7"/>
      <w:bookmarkEnd w:id="8"/>
    </w:p>
    <w:p>
      <w:pPr>
        <w:spacing w:line="600" w:lineRule="exact"/>
        <w:ind w:firstLine="640" w:firstLineChars="200"/>
        <w:outlineLvl w:val="0"/>
        <w:rPr>
          <w:rFonts w:ascii="黑体" w:hAnsi="黑体" w:eastAsia="黑体" w:cs="黑体"/>
          <w:bCs/>
          <w:color w:val="auto"/>
          <w:sz w:val="32"/>
          <w:szCs w:val="32"/>
        </w:rPr>
      </w:pPr>
      <w:bookmarkStart w:id="9" w:name="_Toc12821"/>
      <w:bookmarkStart w:id="10" w:name="_Toc31304"/>
      <w:bookmarkStart w:id="11" w:name="_Toc16828"/>
      <w:r>
        <w:rPr>
          <w:rFonts w:hint="eastAsia" w:ascii="仿宋" w:hAnsi="仿宋" w:eastAsia="仿宋" w:cs="仿宋"/>
          <w:color w:val="auto"/>
          <w:sz w:val="32"/>
          <w:szCs w:val="32"/>
        </w:rPr>
        <w:t>本项目不发放纸质比选文件，比选申请人自行在南宁轨道交通集团有限责任公司官网(http://www.nngdjt.com/)的招标招商中的招标公告处下载比选文件（见本公告附件）。</w:t>
      </w:r>
      <w:bookmarkEnd w:id="9"/>
      <w:bookmarkEnd w:id="10"/>
      <w:bookmarkEnd w:id="11"/>
    </w:p>
    <w:p>
      <w:pPr>
        <w:spacing w:line="600" w:lineRule="exact"/>
        <w:ind w:firstLine="640" w:firstLineChars="200"/>
        <w:outlineLvl w:val="0"/>
        <w:rPr>
          <w:rFonts w:ascii="黑体" w:hAnsi="黑体" w:eastAsia="黑体" w:cs="黑体"/>
          <w:bCs/>
          <w:color w:val="auto"/>
          <w:sz w:val="32"/>
          <w:szCs w:val="32"/>
        </w:rPr>
      </w:pPr>
      <w:bookmarkStart w:id="12" w:name="_Toc3669"/>
      <w:bookmarkStart w:id="13" w:name="_Toc14847"/>
      <w:bookmarkStart w:id="14" w:name="_Toc14128"/>
      <w:r>
        <w:rPr>
          <w:rFonts w:hint="eastAsia" w:ascii="黑体" w:hAnsi="黑体" w:eastAsia="黑体" w:cs="黑体"/>
          <w:bCs/>
          <w:color w:val="auto"/>
          <w:sz w:val="32"/>
          <w:szCs w:val="32"/>
        </w:rPr>
        <w:t>四、比选时间、地点</w:t>
      </w:r>
      <w:bookmarkEnd w:id="12"/>
      <w:bookmarkEnd w:id="13"/>
      <w:bookmarkEnd w:id="14"/>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1.时间：2022年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日上午9:00</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2.地点：广西南宁市青秀区云景路69号南宁轨道交通集团有限责任公司A2座一楼</w:t>
      </w:r>
      <w:r>
        <w:rPr>
          <w:rFonts w:hint="eastAsia" w:ascii="仿宋" w:hAnsi="仿宋" w:eastAsia="仿宋" w:cs="仿宋"/>
          <w:color w:val="auto"/>
          <w:sz w:val="32"/>
          <w:szCs w:val="32"/>
          <w:lang w:val="en-US" w:eastAsia="zh-CN"/>
        </w:rPr>
        <w:t>104</w:t>
      </w:r>
      <w:r>
        <w:rPr>
          <w:rFonts w:hint="eastAsia" w:ascii="仿宋" w:hAnsi="仿宋" w:eastAsia="仿宋" w:cs="仿宋"/>
          <w:color w:val="auto"/>
          <w:sz w:val="32"/>
          <w:szCs w:val="32"/>
        </w:rPr>
        <w:t>会议室</w:t>
      </w:r>
    </w:p>
    <w:p>
      <w:pPr>
        <w:spacing w:line="600" w:lineRule="exact"/>
        <w:ind w:firstLine="640" w:firstLineChars="200"/>
        <w:outlineLvl w:val="0"/>
        <w:rPr>
          <w:rFonts w:ascii="黑体" w:hAnsi="黑体" w:eastAsia="黑体" w:cs="黑体"/>
          <w:bCs/>
          <w:color w:val="auto"/>
          <w:sz w:val="32"/>
          <w:szCs w:val="32"/>
        </w:rPr>
      </w:pPr>
      <w:bookmarkStart w:id="15" w:name="_Toc15998"/>
      <w:bookmarkStart w:id="16" w:name="_Toc11312"/>
      <w:bookmarkStart w:id="17" w:name="_Toc3757"/>
      <w:r>
        <w:rPr>
          <w:rFonts w:hint="eastAsia" w:ascii="黑体" w:hAnsi="黑体" w:eastAsia="黑体" w:cs="黑体"/>
          <w:bCs/>
          <w:color w:val="auto"/>
          <w:sz w:val="32"/>
          <w:szCs w:val="32"/>
        </w:rPr>
        <w:t>五、比选人联系方式</w:t>
      </w:r>
      <w:bookmarkEnd w:id="15"/>
      <w:bookmarkEnd w:id="16"/>
      <w:bookmarkEnd w:id="17"/>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联系地址：广西南宁市青秀区云景路69号南宁轨道交通集团有限责任公司A2座</w:t>
      </w:r>
    </w:p>
    <w:p>
      <w:pPr>
        <w:spacing w:line="6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联系人及联系电话：</w:t>
      </w:r>
      <w:r>
        <w:rPr>
          <w:rFonts w:hint="eastAsia" w:ascii="仿宋" w:hAnsi="仿宋" w:eastAsia="仿宋" w:cs="仿宋"/>
          <w:color w:val="auto"/>
          <w:sz w:val="32"/>
          <w:szCs w:val="32"/>
          <w:lang w:val="en-US" w:eastAsia="zh-CN"/>
        </w:rPr>
        <w:t>吴小龙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刘俊良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0771—2778424</w:t>
      </w:r>
    </w:p>
    <w:p>
      <w:pPr>
        <w:spacing w:line="600" w:lineRule="exact"/>
        <w:rPr>
          <w:rFonts w:ascii="仿宋" w:hAnsi="仿宋" w:eastAsia="仿宋" w:cs="仿宋"/>
          <w:b/>
          <w:color w:val="auto"/>
          <w:sz w:val="32"/>
          <w:szCs w:val="32"/>
        </w:rPr>
      </w:pPr>
    </w:p>
    <w:p>
      <w:pPr>
        <w:spacing w:line="600" w:lineRule="exact"/>
        <w:ind w:firstLine="643" w:firstLineChars="200"/>
        <w:rPr>
          <w:rFonts w:ascii="仿宋" w:hAnsi="仿宋" w:eastAsia="仿宋" w:cs="仿宋"/>
          <w:bCs/>
          <w:color w:val="auto"/>
          <w:sz w:val="32"/>
          <w:szCs w:val="32"/>
        </w:rPr>
      </w:pPr>
      <w:r>
        <w:rPr>
          <w:rFonts w:hint="eastAsia" w:ascii="仿宋" w:hAnsi="仿宋" w:eastAsia="仿宋" w:cs="仿宋"/>
          <w:b/>
          <w:color w:val="auto"/>
          <w:sz w:val="32"/>
          <w:szCs w:val="32"/>
        </w:rPr>
        <w:t>附件</w:t>
      </w:r>
      <w:r>
        <w:rPr>
          <w:rFonts w:hint="eastAsia" w:ascii="仿宋" w:hAnsi="仿宋" w:eastAsia="仿宋" w:cs="仿宋"/>
          <w:color w:val="auto"/>
          <w:sz w:val="32"/>
          <w:szCs w:val="32"/>
        </w:rPr>
        <w:t>：</w:t>
      </w:r>
      <w:r>
        <w:rPr>
          <w:rFonts w:hint="eastAsia" w:ascii="仿宋" w:hAnsi="仿宋" w:eastAsia="仿宋" w:cs="仿宋"/>
          <w:bCs/>
          <w:color w:val="auto"/>
          <w:sz w:val="32"/>
          <w:szCs w:val="32"/>
        </w:rPr>
        <w:t>南宁铁路枢纽投资有限公司“十四五”战略规划及2035远景展望咨询服务项目比选文件</w:t>
      </w:r>
    </w:p>
    <w:p>
      <w:pPr>
        <w:spacing w:line="520" w:lineRule="exact"/>
        <w:ind w:firstLine="640" w:firstLineChars="200"/>
        <w:rPr>
          <w:rFonts w:ascii="仿宋" w:hAnsi="仿宋" w:eastAsia="仿宋" w:cs="仿宋"/>
          <w:bCs/>
          <w:color w:val="auto"/>
          <w:sz w:val="32"/>
          <w:szCs w:val="32"/>
        </w:rPr>
      </w:pPr>
    </w:p>
    <w:p>
      <w:pPr>
        <w:spacing w:line="520" w:lineRule="exact"/>
        <w:jc w:val="center"/>
        <w:rPr>
          <w:rFonts w:ascii="仿宋" w:hAnsi="仿宋" w:eastAsia="仿宋" w:cs="仿宋"/>
          <w:bCs/>
          <w:color w:val="auto"/>
          <w:sz w:val="32"/>
          <w:szCs w:val="32"/>
        </w:rPr>
      </w:pPr>
      <w:r>
        <w:rPr>
          <w:rFonts w:hint="eastAsia" w:ascii="仿宋" w:hAnsi="仿宋" w:eastAsia="仿宋" w:cs="仿宋"/>
          <w:bCs/>
          <w:color w:val="auto"/>
          <w:sz w:val="32"/>
          <w:szCs w:val="32"/>
        </w:rPr>
        <w:t xml:space="preserve">                         南宁轨道交通集团有限责任公司</w:t>
      </w:r>
    </w:p>
    <w:p>
      <w:pPr>
        <w:spacing w:line="520" w:lineRule="exact"/>
        <w:jc w:val="center"/>
        <w:rPr>
          <w:rFonts w:ascii="仿宋" w:hAnsi="仿宋" w:eastAsia="仿宋" w:cs="仿宋"/>
          <w:color w:val="auto"/>
          <w:sz w:val="32"/>
          <w:szCs w:val="32"/>
        </w:rPr>
      </w:pPr>
      <w:r>
        <w:rPr>
          <w:rFonts w:hint="eastAsia" w:ascii="仿宋" w:hAnsi="仿宋" w:eastAsia="仿宋" w:cs="仿宋"/>
          <w:color w:val="auto"/>
          <w:sz w:val="32"/>
          <w:szCs w:val="32"/>
        </w:rPr>
        <w:t xml:space="preserve">                         2022年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日</w:t>
      </w: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sectPr>
          <w:headerReference r:id="rId3" w:type="default"/>
          <w:footerReference r:id="rId4" w:type="default"/>
          <w:pgSz w:w="11906" w:h="16838"/>
          <w:pgMar w:top="1440" w:right="1247" w:bottom="1440" w:left="1440" w:header="851" w:footer="992" w:gutter="0"/>
          <w:pgNumType w:start="1"/>
          <w:cols w:space="0" w:num="1"/>
          <w:docGrid w:linePitch="312" w:charSpace="0"/>
        </w:sectPr>
      </w:pPr>
    </w:p>
    <w:p>
      <w:pPr>
        <w:pStyle w:val="31"/>
        <w:rPr>
          <w:rFonts w:ascii="仿宋" w:hAnsi="仿宋" w:eastAsia="仿宋" w:cs="仿宋"/>
          <w:color w:val="auto"/>
          <w:sz w:val="32"/>
          <w:szCs w:val="32"/>
        </w:rPr>
        <w:sectPr>
          <w:pgSz w:w="11906" w:h="16838"/>
          <w:pgMar w:top="1440" w:right="1247" w:bottom="1440" w:left="1440" w:header="851" w:footer="992" w:gutter="0"/>
          <w:pgNumType w:start="1"/>
          <w:cols w:space="0" w:num="1"/>
          <w:docGrid w:linePitch="312" w:charSpace="0"/>
        </w:sectPr>
      </w:pPr>
    </w:p>
    <w:p>
      <w:pPr>
        <w:pStyle w:val="31"/>
        <w:rPr>
          <w:rFonts w:ascii="仿宋" w:hAnsi="仿宋" w:eastAsia="仿宋" w:cs="仿宋"/>
          <w:color w:val="auto"/>
          <w:sz w:val="32"/>
          <w:szCs w:val="32"/>
        </w:rPr>
      </w:pPr>
    </w:p>
    <w:p>
      <w:pPr>
        <w:pStyle w:val="31"/>
        <w:rPr>
          <w:rFonts w:ascii="仿宋" w:hAnsi="仿宋" w:eastAsia="仿宋" w:cs="仿宋"/>
          <w:color w:val="auto"/>
          <w:sz w:val="32"/>
          <w:szCs w:val="32"/>
        </w:rPr>
      </w:pPr>
    </w:p>
    <w:p>
      <w:pPr>
        <w:spacing w:after="120" w:line="600" w:lineRule="exact"/>
        <w:jc w:val="center"/>
        <w:rPr>
          <w:rFonts w:eastAsia="黑体"/>
          <w:bCs/>
          <w:color w:val="auto"/>
          <w:sz w:val="44"/>
          <w:szCs w:val="44"/>
        </w:rPr>
      </w:pPr>
      <w:r>
        <w:rPr>
          <w:rFonts w:hint="eastAsia" w:ascii="方正小标宋简体" w:hAnsi="方正小标宋简体" w:eastAsia="方正小标宋简体" w:cs="方正小标宋简体"/>
          <w:bCs/>
          <w:color w:val="auto"/>
          <w:sz w:val="44"/>
          <w:szCs w:val="44"/>
        </w:rPr>
        <w:t>南宁铁路枢纽投资有限公司“十四五”战略规划及2035远景展望咨询服务项目</w:t>
      </w: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比</w:t>
      </w:r>
    </w:p>
    <w:p>
      <w:pPr>
        <w:spacing w:line="480" w:lineRule="auto"/>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选</w:t>
      </w: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文</w:t>
      </w:r>
    </w:p>
    <w:p>
      <w:pPr>
        <w:jc w:val="center"/>
        <w:rPr>
          <w:rFonts w:eastAsia="黑体"/>
          <w:b/>
          <w:bCs/>
          <w:color w:val="auto"/>
          <w:sz w:val="44"/>
          <w:szCs w:val="44"/>
        </w:rPr>
      </w:pPr>
    </w:p>
    <w:p>
      <w:pPr>
        <w:jc w:val="center"/>
        <w:rPr>
          <w:rFonts w:eastAsia="黑体"/>
          <w:b/>
          <w:bCs/>
          <w:color w:val="auto"/>
          <w:sz w:val="44"/>
          <w:szCs w:val="44"/>
        </w:rPr>
      </w:pPr>
    </w:p>
    <w:p>
      <w:pPr>
        <w:jc w:val="center"/>
        <w:rPr>
          <w:rFonts w:eastAsia="黑体"/>
          <w:b/>
          <w:bCs/>
          <w:color w:val="auto"/>
          <w:sz w:val="44"/>
          <w:szCs w:val="44"/>
        </w:rPr>
      </w:pPr>
      <w:r>
        <w:rPr>
          <w:rFonts w:hint="eastAsia" w:eastAsia="黑体"/>
          <w:b/>
          <w:bCs/>
          <w:color w:val="auto"/>
          <w:sz w:val="44"/>
          <w:szCs w:val="44"/>
        </w:rPr>
        <w:t>件</w:t>
      </w:r>
    </w:p>
    <w:p>
      <w:pPr>
        <w:spacing w:line="360" w:lineRule="auto"/>
        <w:rPr>
          <w:b/>
          <w:bCs/>
          <w:color w:val="auto"/>
          <w:sz w:val="36"/>
          <w:szCs w:val="36"/>
        </w:rPr>
      </w:pPr>
    </w:p>
    <w:p>
      <w:pPr>
        <w:spacing w:line="360" w:lineRule="auto"/>
        <w:jc w:val="center"/>
        <w:rPr>
          <w:b/>
          <w:bCs/>
          <w:color w:val="auto"/>
          <w:sz w:val="32"/>
          <w:szCs w:val="32"/>
        </w:rPr>
      </w:pPr>
      <w:r>
        <w:rPr>
          <w:rFonts w:hint="eastAsia"/>
          <w:b/>
          <w:bCs/>
          <w:color w:val="auto"/>
          <w:sz w:val="32"/>
          <w:szCs w:val="32"/>
        </w:rPr>
        <w:t>比选人：南宁轨道交通集团有限责任公司</w:t>
      </w:r>
    </w:p>
    <w:p>
      <w:pPr>
        <w:jc w:val="center"/>
        <w:rPr>
          <w:rFonts w:ascii="宋体" w:hAnsi="宋体" w:cs="宋体"/>
          <w:b/>
          <w:color w:val="auto"/>
          <w:sz w:val="32"/>
          <w:szCs w:val="32"/>
        </w:rPr>
        <w:sectPr>
          <w:pgSz w:w="11906" w:h="16838"/>
          <w:pgMar w:top="1440" w:right="1247" w:bottom="1440" w:left="1440" w:header="851" w:footer="992" w:gutter="0"/>
          <w:pgNumType w:start="1"/>
          <w:cols w:space="0" w:num="1"/>
          <w:docGrid w:linePitch="312" w:charSpace="0"/>
        </w:sectPr>
      </w:pPr>
      <w:r>
        <w:rPr>
          <w:rFonts w:hint="eastAsia"/>
          <w:b/>
          <w:bCs/>
          <w:color w:val="auto"/>
          <w:sz w:val="32"/>
          <w:szCs w:val="32"/>
        </w:rPr>
        <w:t>2022年</w:t>
      </w:r>
      <w:r>
        <w:rPr>
          <w:rFonts w:hint="eastAsia"/>
          <w:b/>
          <w:bCs/>
          <w:color w:val="auto"/>
          <w:sz w:val="32"/>
          <w:szCs w:val="32"/>
          <w:lang w:val="en-US" w:eastAsia="zh-CN"/>
        </w:rPr>
        <w:t>7</w:t>
      </w:r>
      <w:r>
        <w:rPr>
          <w:rFonts w:hint="eastAsia"/>
          <w:b/>
          <w:bCs/>
          <w:color w:val="auto"/>
          <w:sz w:val="32"/>
          <w:szCs w:val="32"/>
        </w:rPr>
        <w:t>月</w:t>
      </w:r>
      <w:r>
        <w:rPr>
          <w:rFonts w:hint="eastAsia"/>
          <w:b/>
          <w:bCs/>
          <w:color w:val="auto"/>
          <w:sz w:val="32"/>
          <w:szCs w:val="32"/>
          <w:lang w:val="en-US" w:eastAsia="zh-CN"/>
        </w:rPr>
        <w:t>4</w:t>
      </w:r>
      <w:r>
        <w:rPr>
          <w:rFonts w:hint="eastAsia" w:ascii="宋体" w:hAnsi="宋体" w:cs="宋体"/>
          <w:b/>
          <w:color w:val="auto"/>
          <w:sz w:val="32"/>
          <w:szCs w:val="32"/>
        </w:rPr>
        <w:t>日</w:t>
      </w:r>
    </w:p>
    <w:p>
      <w:pPr>
        <w:pStyle w:val="19"/>
        <w:tabs>
          <w:tab w:val="right" w:leader="dot" w:pos="9219"/>
        </w:tabs>
        <w:rPr>
          <w:rFonts w:hint="eastAsia"/>
          <w:b w:val="0"/>
          <w:color w:val="auto"/>
        </w:rPr>
      </w:pPr>
      <w:bookmarkStart w:id="18" w:name="_Toc32122"/>
      <w:bookmarkStart w:id="19" w:name="_Toc28779"/>
      <w:bookmarkStart w:id="20" w:name="_Toc21106"/>
      <w:bookmarkStart w:id="21" w:name="_Toc27692"/>
      <w:bookmarkStart w:id="22" w:name="_Toc29312"/>
      <w:bookmarkStart w:id="23" w:name="_Toc471482358"/>
      <w:bookmarkStart w:id="24" w:name="_Toc14943"/>
      <w:bookmarkStart w:id="25" w:name="_Toc4954"/>
      <w:bookmarkStart w:id="26" w:name="_Toc12363"/>
      <w:bookmarkStart w:id="27" w:name="_Toc30342"/>
      <w:bookmarkStart w:id="28" w:name="_Toc18159"/>
      <w:bookmarkStart w:id="29" w:name="_Toc25905"/>
      <w:bookmarkStart w:id="30" w:name="_Toc23188"/>
      <w:bookmarkStart w:id="31" w:name="_Toc461525293"/>
      <w:bookmarkStart w:id="32" w:name="_Toc9980"/>
      <w:r>
        <w:rPr>
          <w:rFonts w:hint="eastAsia"/>
          <w:b w:val="0"/>
          <w:color w:val="auto"/>
        </w:rPr>
        <w:fldChar w:fldCharType="begin"/>
      </w:r>
      <w:r>
        <w:rPr>
          <w:rFonts w:hint="eastAsia"/>
          <w:b w:val="0"/>
          <w:color w:val="auto"/>
        </w:rPr>
        <w:instrText xml:space="preserve"> TOC \o "1-2" \h \z \u </w:instrTex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int="eastAsia"/>
          <w:b w:val="0"/>
          <w:color w:val="auto"/>
        </w:rPr>
        <w:fldChar w:fldCharType="separate"/>
      </w:r>
    </w:p>
    <w:p>
      <w:pPr>
        <w:rPr>
          <w:rFonts w:hint="eastAsia"/>
          <w:b w:val="0"/>
          <w:color w:val="auto"/>
        </w:rPr>
      </w:pPr>
    </w:p>
    <w:p>
      <w:pPr>
        <w:pStyle w:val="2"/>
        <w:rPr>
          <w:rFonts w:hint="eastAsia"/>
          <w:b w:val="0"/>
          <w:color w:val="auto"/>
        </w:rPr>
      </w:pPr>
    </w:p>
    <w:p>
      <w:pPr>
        <w:pStyle w:val="2"/>
        <w:rPr>
          <w:rFonts w:hint="eastAsia"/>
          <w:b w:val="0"/>
          <w:color w:val="auto"/>
        </w:rPr>
      </w:pPr>
    </w:p>
    <w:p>
      <w:pPr>
        <w:pStyle w:val="2"/>
        <w:jc w:val="center"/>
        <w:rPr>
          <w:rFonts w:hint="eastAsia" w:eastAsia="方正仿宋简体"/>
          <w:b w:val="0"/>
          <w:color w:val="auto"/>
          <w:lang w:val="en-US" w:eastAsia="zh-CN"/>
        </w:rPr>
      </w:pPr>
      <w:r>
        <w:rPr>
          <w:rFonts w:hint="eastAsia"/>
          <w:b w:val="0"/>
          <w:color w:val="auto"/>
          <w:lang w:val="en-US" w:eastAsia="zh-CN"/>
        </w:rPr>
        <w:t>目录</w:t>
      </w:r>
    </w:p>
    <w:p>
      <w:pPr>
        <w:pStyle w:val="19"/>
        <w:tabs>
          <w:tab w:val="right" w:leader="dot" w:pos="9219"/>
        </w:tabs>
        <w:rPr>
          <w:color w:val="auto"/>
        </w:rPr>
      </w:pPr>
      <w:r>
        <w:rPr>
          <w:rFonts w:hint="eastAsia"/>
          <w:color w:val="auto"/>
        </w:rPr>
        <w:fldChar w:fldCharType="begin"/>
      </w:r>
      <w:r>
        <w:rPr>
          <w:rFonts w:hint="eastAsia"/>
          <w:color w:val="auto"/>
        </w:rPr>
        <w:instrText xml:space="preserve"> HYPERLINK \l _Toc31790 </w:instrText>
      </w:r>
      <w:r>
        <w:rPr>
          <w:rFonts w:hint="eastAsia"/>
          <w:color w:val="auto"/>
        </w:rPr>
        <w:fldChar w:fldCharType="separate"/>
      </w:r>
      <w:r>
        <w:rPr>
          <w:rFonts w:hint="eastAsia" w:ascii="宋体" w:hAnsi="宋体" w:cs="宋体"/>
          <w:color w:val="auto"/>
          <w:szCs w:val="28"/>
        </w:rPr>
        <w:t>第一章 比选须知</w:t>
      </w:r>
      <w:r>
        <w:rPr>
          <w:color w:val="auto"/>
        </w:rPr>
        <w:tab/>
      </w:r>
      <w:r>
        <w:rPr>
          <w:color w:val="auto"/>
        </w:rPr>
        <w:fldChar w:fldCharType="begin"/>
      </w:r>
      <w:r>
        <w:rPr>
          <w:color w:val="auto"/>
        </w:rPr>
        <w:instrText xml:space="preserve"> PAGEREF _Toc31790 \h </w:instrText>
      </w:r>
      <w:r>
        <w:rPr>
          <w:color w:val="auto"/>
        </w:rPr>
        <w:fldChar w:fldCharType="separate"/>
      </w:r>
      <w:r>
        <w:rPr>
          <w:color w:val="auto"/>
        </w:rPr>
        <w:t>1</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_Toc24388 </w:instrText>
      </w:r>
      <w:r>
        <w:rPr>
          <w:rFonts w:hint="eastAsia"/>
          <w:color w:val="auto"/>
        </w:rPr>
        <w:fldChar w:fldCharType="separate"/>
      </w:r>
      <w:r>
        <w:rPr>
          <w:color w:val="auto"/>
          <w:szCs w:val="24"/>
        </w:rPr>
        <w:t>前附表</w:t>
      </w:r>
      <w:r>
        <w:rPr>
          <w:color w:val="auto"/>
        </w:rPr>
        <w:tab/>
      </w:r>
      <w:r>
        <w:rPr>
          <w:color w:val="auto"/>
        </w:rPr>
        <w:fldChar w:fldCharType="begin"/>
      </w:r>
      <w:r>
        <w:rPr>
          <w:color w:val="auto"/>
        </w:rPr>
        <w:instrText xml:space="preserve"> PAGEREF _Toc24388 \h </w:instrText>
      </w:r>
      <w:r>
        <w:rPr>
          <w:color w:val="auto"/>
        </w:rPr>
        <w:fldChar w:fldCharType="separate"/>
      </w:r>
      <w:r>
        <w:rPr>
          <w:color w:val="auto"/>
        </w:rPr>
        <w:t>1</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_Toc23748 </w:instrText>
      </w:r>
      <w:r>
        <w:rPr>
          <w:rFonts w:hint="eastAsia"/>
          <w:color w:val="auto"/>
        </w:rPr>
        <w:fldChar w:fldCharType="separate"/>
      </w:r>
      <w:r>
        <w:rPr>
          <w:rFonts w:hint="eastAsia"/>
          <w:color w:val="auto"/>
          <w:szCs w:val="21"/>
        </w:rPr>
        <w:t>一、</w:t>
      </w:r>
      <w:r>
        <w:rPr>
          <w:color w:val="auto"/>
          <w:szCs w:val="21"/>
        </w:rPr>
        <w:t>总则</w:t>
      </w:r>
      <w:r>
        <w:rPr>
          <w:color w:val="auto"/>
        </w:rPr>
        <w:tab/>
      </w:r>
      <w:r>
        <w:rPr>
          <w:color w:val="auto"/>
        </w:rPr>
        <w:fldChar w:fldCharType="begin"/>
      </w:r>
      <w:r>
        <w:rPr>
          <w:color w:val="auto"/>
        </w:rPr>
        <w:instrText xml:space="preserve"> PAGEREF _Toc23748 \h </w:instrText>
      </w:r>
      <w:r>
        <w:rPr>
          <w:color w:val="auto"/>
        </w:rPr>
        <w:fldChar w:fldCharType="separate"/>
      </w:r>
      <w:r>
        <w:rPr>
          <w:color w:val="auto"/>
        </w:rPr>
        <w:t>3</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_Toc15985 </w:instrText>
      </w:r>
      <w:r>
        <w:rPr>
          <w:rFonts w:hint="eastAsia"/>
          <w:color w:val="auto"/>
        </w:rPr>
        <w:fldChar w:fldCharType="separate"/>
      </w:r>
      <w:r>
        <w:rPr>
          <w:rFonts w:hint="eastAsia"/>
          <w:color w:val="auto"/>
          <w:szCs w:val="21"/>
        </w:rPr>
        <w:t>二、</w:t>
      </w:r>
      <w:r>
        <w:rPr>
          <w:color w:val="auto"/>
          <w:szCs w:val="21"/>
        </w:rPr>
        <w:t>比选文件</w:t>
      </w:r>
      <w:r>
        <w:rPr>
          <w:color w:val="auto"/>
        </w:rPr>
        <w:tab/>
      </w:r>
      <w:r>
        <w:rPr>
          <w:color w:val="auto"/>
        </w:rPr>
        <w:fldChar w:fldCharType="begin"/>
      </w:r>
      <w:r>
        <w:rPr>
          <w:color w:val="auto"/>
        </w:rPr>
        <w:instrText xml:space="preserve"> PAGEREF _Toc15985 \h </w:instrText>
      </w:r>
      <w:r>
        <w:rPr>
          <w:color w:val="auto"/>
        </w:rPr>
        <w:fldChar w:fldCharType="separate"/>
      </w:r>
      <w:r>
        <w:rPr>
          <w:color w:val="auto"/>
        </w:rPr>
        <w:t>4</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_Toc24464 </w:instrText>
      </w:r>
      <w:r>
        <w:rPr>
          <w:rFonts w:hint="eastAsia"/>
          <w:color w:val="auto"/>
        </w:rPr>
        <w:fldChar w:fldCharType="separate"/>
      </w:r>
      <w:r>
        <w:rPr>
          <w:rFonts w:hint="eastAsia"/>
          <w:color w:val="auto"/>
          <w:szCs w:val="21"/>
        </w:rPr>
        <w:t>三、申请比选报价说明</w:t>
      </w:r>
      <w:r>
        <w:rPr>
          <w:color w:val="auto"/>
        </w:rPr>
        <w:tab/>
      </w:r>
      <w:r>
        <w:rPr>
          <w:color w:val="auto"/>
        </w:rPr>
        <w:fldChar w:fldCharType="begin"/>
      </w:r>
      <w:r>
        <w:rPr>
          <w:color w:val="auto"/>
        </w:rPr>
        <w:instrText xml:space="preserve"> PAGEREF _Toc24464 \h </w:instrText>
      </w:r>
      <w:r>
        <w:rPr>
          <w:color w:val="auto"/>
        </w:rPr>
        <w:fldChar w:fldCharType="separate"/>
      </w:r>
      <w:r>
        <w:rPr>
          <w:color w:val="auto"/>
        </w:rPr>
        <w:t>4</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_Toc27564 </w:instrText>
      </w:r>
      <w:r>
        <w:rPr>
          <w:rFonts w:hint="eastAsia"/>
          <w:color w:val="auto"/>
        </w:rPr>
        <w:fldChar w:fldCharType="separate"/>
      </w:r>
      <w:r>
        <w:rPr>
          <w:rFonts w:hint="eastAsia"/>
          <w:color w:val="auto"/>
          <w:szCs w:val="21"/>
        </w:rPr>
        <w:t>四、比选申请文件的编制</w:t>
      </w:r>
      <w:r>
        <w:rPr>
          <w:color w:val="auto"/>
        </w:rPr>
        <w:tab/>
      </w:r>
      <w:r>
        <w:rPr>
          <w:color w:val="auto"/>
        </w:rPr>
        <w:fldChar w:fldCharType="begin"/>
      </w:r>
      <w:r>
        <w:rPr>
          <w:color w:val="auto"/>
        </w:rPr>
        <w:instrText xml:space="preserve"> PAGEREF _Toc27564 \h </w:instrText>
      </w:r>
      <w:r>
        <w:rPr>
          <w:color w:val="auto"/>
        </w:rPr>
        <w:fldChar w:fldCharType="separate"/>
      </w:r>
      <w:r>
        <w:rPr>
          <w:color w:val="auto"/>
        </w:rPr>
        <w:t>4</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_Toc10981 </w:instrText>
      </w:r>
      <w:r>
        <w:rPr>
          <w:rFonts w:hint="eastAsia"/>
          <w:color w:val="auto"/>
        </w:rPr>
        <w:fldChar w:fldCharType="separate"/>
      </w:r>
      <w:r>
        <w:rPr>
          <w:rFonts w:hint="eastAsia"/>
          <w:color w:val="auto"/>
          <w:szCs w:val="21"/>
        </w:rPr>
        <w:t>五、</w:t>
      </w:r>
      <w:r>
        <w:rPr>
          <w:color w:val="auto"/>
          <w:szCs w:val="21"/>
        </w:rPr>
        <w:t>比选申请文件的递交</w:t>
      </w:r>
      <w:r>
        <w:rPr>
          <w:color w:val="auto"/>
        </w:rPr>
        <w:tab/>
      </w:r>
      <w:r>
        <w:rPr>
          <w:color w:val="auto"/>
        </w:rPr>
        <w:fldChar w:fldCharType="begin"/>
      </w:r>
      <w:r>
        <w:rPr>
          <w:color w:val="auto"/>
        </w:rPr>
        <w:instrText xml:space="preserve"> PAGEREF _Toc10981 \h </w:instrText>
      </w:r>
      <w:r>
        <w:rPr>
          <w:color w:val="auto"/>
        </w:rPr>
        <w:fldChar w:fldCharType="separate"/>
      </w:r>
      <w:r>
        <w:rPr>
          <w:color w:val="auto"/>
        </w:rPr>
        <w:t>5</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_Toc25827 </w:instrText>
      </w:r>
      <w:r>
        <w:rPr>
          <w:rFonts w:hint="eastAsia"/>
          <w:color w:val="auto"/>
        </w:rPr>
        <w:fldChar w:fldCharType="separate"/>
      </w:r>
      <w:r>
        <w:rPr>
          <w:rFonts w:hint="eastAsia"/>
          <w:color w:val="auto"/>
          <w:szCs w:val="21"/>
        </w:rPr>
        <w:t>六、评比</w:t>
      </w:r>
      <w:r>
        <w:rPr>
          <w:color w:val="auto"/>
        </w:rPr>
        <w:tab/>
      </w:r>
      <w:r>
        <w:rPr>
          <w:color w:val="auto"/>
        </w:rPr>
        <w:fldChar w:fldCharType="begin"/>
      </w:r>
      <w:r>
        <w:rPr>
          <w:color w:val="auto"/>
        </w:rPr>
        <w:instrText xml:space="preserve"> PAGEREF _Toc25827 \h </w:instrText>
      </w:r>
      <w:r>
        <w:rPr>
          <w:color w:val="auto"/>
        </w:rPr>
        <w:fldChar w:fldCharType="separate"/>
      </w:r>
      <w:r>
        <w:rPr>
          <w:color w:val="auto"/>
        </w:rPr>
        <w:t>6</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_Toc28642 </w:instrText>
      </w:r>
      <w:r>
        <w:rPr>
          <w:rFonts w:hint="eastAsia"/>
          <w:color w:val="auto"/>
        </w:rPr>
        <w:fldChar w:fldCharType="separate"/>
      </w:r>
      <w:r>
        <w:rPr>
          <w:rFonts w:hint="eastAsia"/>
          <w:color w:val="auto"/>
          <w:szCs w:val="21"/>
        </w:rPr>
        <w:t>七、</w:t>
      </w:r>
      <w:r>
        <w:rPr>
          <w:color w:val="auto"/>
          <w:szCs w:val="21"/>
        </w:rPr>
        <w:t>授予合同</w:t>
      </w:r>
      <w:r>
        <w:rPr>
          <w:color w:val="auto"/>
        </w:rPr>
        <w:tab/>
      </w:r>
      <w:r>
        <w:rPr>
          <w:color w:val="auto"/>
        </w:rPr>
        <w:fldChar w:fldCharType="begin"/>
      </w:r>
      <w:r>
        <w:rPr>
          <w:color w:val="auto"/>
        </w:rPr>
        <w:instrText xml:space="preserve"> PAGEREF _Toc28642 \h </w:instrText>
      </w:r>
      <w:r>
        <w:rPr>
          <w:color w:val="auto"/>
        </w:rPr>
        <w:fldChar w:fldCharType="separate"/>
      </w:r>
      <w:r>
        <w:rPr>
          <w:color w:val="auto"/>
        </w:rPr>
        <w:t>7</w:t>
      </w:r>
      <w:r>
        <w:rPr>
          <w:color w:val="auto"/>
        </w:rPr>
        <w:fldChar w:fldCharType="end"/>
      </w:r>
      <w:r>
        <w:rPr>
          <w:rFonts w:hint="eastAsia"/>
          <w:color w:val="auto"/>
        </w:rPr>
        <w:fldChar w:fldCharType="end"/>
      </w:r>
    </w:p>
    <w:p>
      <w:pPr>
        <w:pStyle w:val="19"/>
        <w:tabs>
          <w:tab w:val="right" w:leader="dot" w:pos="9219"/>
        </w:tabs>
        <w:rPr>
          <w:color w:val="auto"/>
        </w:rPr>
      </w:pPr>
      <w:r>
        <w:rPr>
          <w:rFonts w:hint="eastAsia"/>
          <w:color w:val="auto"/>
        </w:rPr>
        <w:fldChar w:fldCharType="begin"/>
      </w:r>
      <w:r>
        <w:rPr>
          <w:rFonts w:hint="eastAsia"/>
          <w:color w:val="auto"/>
        </w:rPr>
        <w:instrText xml:space="preserve"> HYPERLINK \l _Toc19756 </w:instrText>
      </w:r>
      <w:r>
        <w:rPr>
          <w:rFonts w:hint="eastAsia"/>
          <w:color w:val="auto"/>
        </w:rPr>
        <w:fldChar w:fldCharType="separate"/>
      </w:r>
      <w:r>
        <w:rPr>
          <w:rFonts w:hint="eastAsia"/>
          <w:color w:val="auto"/>
          <w:szCs w:val="24"/>
        </w:rPr>
        <w:t>第二章 服务需求一览表</w:t>
      </w:r>
      <w:r>
        <w:rPr>
          <w:color w:val="auto"/>
        </w:rPr>
        <w:tab/>
      </w:r>
      <w:r>
        <w:rPr>
          <w:color w:val="auto"/>
        </w:rPr>
        <w:fldChar w:fldCharType="begin"/>
      </w:r>
      <w:r>
        <w:rPr>
          <w:color w:val="auto"/>
        </w:rPr>
        <w:instrText xml:space="preserve"> PAGEREF _Toc19756 \h </w:instrText>
      </w:r>
      <w:r>
        <w:rPr>
          <w:color w:val="auto"/>
        </w:rPr>
        <w:fldChar w:fldCharType="separate"/>
      </w:r>
      <w:r>
        <w:rPr>
          <w:color w:val="auto"/>
        </w:rPr>
        <w:t>8</w:t>
      </w:r>
      <w:r>
        <w:rPr>
          <w:color w:val="auto"/>
        </w:rPr>
        <w:fldChar w:fldCharType="end"/>
      </w:r>
      <w:r>
        <w:rPr>
          <w:rFonts w:hint="eastAsia"/>
          <w:color w:val="auto"/>
        </w:rPr>
        <w:fldChar w:fldCharType="end"/>
      </w:r>
    </w:p>
    <w:p>
      <w:pPr>
        <w:pStyle w:val="19"/>
        <w:tabs>
          <w:tab w:val="right" w:leader="dot" w:pos="9219"/>
        </w:tabs>
        <w:rPr>
          <w:color w:val="auto"/>
        </w:rPr>
      </w:pPr>
      <w:r>
        <w:rPr>
          <w:rFonts w:hint="eastAsia"/>
          <w:color w:val="auto"/>
        </w:rPr>
        <w:fldChar w:fldCharType="begin"/>
      </w:r>
      <w:r>
        <w:rPr>
          <w:rFonts w:hint="eastAsia"/>
          <w:color w:val="auto"/>
        </w:rPr>
        <w:instrText xml:space="preserve"> HYPERLINK \l _Toc32491 </w:instrText>
      </w:r>
      <w:r>
        <w:rPr>
          <w:rFonts w:hint="eastAsia"/>
          <w:color w:val="auto"/>
        </w:rPr>
        <w:fldChar w:fldCharType="separate"/>
      </w:r>
      <w:r>
        <w:rPr>
          <w:rFonts w:hint="eastAsia"/>
          <w:color w:val="auto"/>
          <w:szCs w:val="24"/>
        </w:rPr>
        <w:t>第三章  合同条款</w:t>
      </w:r>
      <w:r>
        <w:rPr>
          <w:color w:val="auto"/>
        </w:rPr>
        <w:tab/>
      </w:r>
      <w:r>
        <w:rPr>
          <w:color w:val="auto"/>
        </w:rPr>
        <w:fldChar w:fldCharType="begin"/>
      </w:r>
      <w:r>
        <w:rPr>
          <w:color w:val="auto"/>
        </w:rPr>
        <w:instrText xml:space="preserve"> PAGEREF _Toc32491 \h </w:instrText>
      </w:r>
      <w:r>
        <w:rPr>
          <w:color w:val="auto"/>
        </w:rPr>
        <w:fldChar w:fldCharType="separate"/>
      </w:r>
      <w:r>
        <w:rPr>
          <w:color w:val="auto"/>
        </w:rPr>
        <w:t>10</w:t>
      </w:r>
      <w:r>
        <w:rPr>
          <w:color w:val="auto"/>
        </w:rPr>
        <w:fldChar w:fldCharType="end"/>
      </w:r>
      <w:r>
        <w:rPr>
          <w:rFonts w:hint="eastAsia"/>
          <w:color w:val="auto"/>
        </w:rPr>
        <w:fldChar w:fldCharType="end"/>
      </w:r>
    </w:p>
    <w:p>
      <w:pPr>
        <w:pStyle w:val="19"/>
        <w:tabs>
          <w:tab w:val="right" w:leader="dot" w:pos="9219"/>
        </w:tabs>
        <w:rPr>
          <w:color w:val="auto"/>
        </w:rPr>
      </w:pPr>
      <w:r>
        <w:rPr>
          <w:rFonts w:hint="eastAsia"/>
          <w:color w:val="auto"/>
        </w:rPr>
        <w:fldChar w:fldCharType="begin"/>
      </w:r>
      <w:r>
        <w:rPr>
          <w:rFonts w:hint="eastAsia"/>
          <w:color w:val="auto"/>
        </w:rPr>
        <w:instrText xml:space="preserve"> HYPERLINK \l _Toc32648 </w:instrText>
      </w:r>
      <w:r>
        <w:rPr>
          <w:rFonts w:hint="eastAsia"/>
          <w:color w:val="auto"/>
        </w:rPr>
        <w:fldChar w:fldCharType="separate"/>
      </w:r>
      <w:r>
        <w:rPr>
          <w:rFonts w:hint="eastAsia" w:ascii="宋体" w:hAnsi="宋体" w:cs="宋体"/>
          <w:color w:val="auto"/>
          <w:szCs w:val="28"/>
          <w:lang w:val="en-US" w:eastAsia="zh-CN"/>
        </w:rPr>
        <w:t xml:space="preserve">第四章  </w:t>
      </w:r>
      <w:r>
        <w:rPr>
          <w:rFonts w:hint="eastAsia" w:ascii="宋体" w:hAnsi="宋体" w:cs="宋体"/>
          <w:color w:val="auto"/>
          <w:szCs w:val="28"/>
        </w:rPr>
        <w:t>比选申请文件（格式）</w:t>
      </w:r>
      <w:r>
        <w:rPr>
          <w:color w:val="auto"/>
        </w:rPr>
        <w:tab/>
      </w:r>
      <w:r>
        <w:rPr>
          <w:color w:val="auto"/>
        </w:rPr>
        <w:fldChar w:fldCharType="begin"/>
      </w:r>
      <w:r>
        <w:rPr>
          <w:color w:val="auto"/>
        </w:rPr>
        <w:instrText xml:space="preserve"> PAGEREF _Toc32648 \h </w:instrText>
      </w:r>
      <w:r>
        <w:rPr>
          <w:color w:val="auto"/>
        </w:rPr>
        <w:fldChar w:fldCharType="separate"/>
      </w:r>
      <w:r>
        <w:rPr>
          <w:color w:val="auto"/>
        </w:rPr>
        <w:t>16</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_Toc9238 </w:instrText>
      </w:r>
      <w:r>
        <w:rPr>
          <w:rFonts w:hint="eastAsia"/>
          <w:color w:val="auto"/>
        </w:rPr>
        <w:fldChar w:fldCharType="separate"/>
      </w:r>
      <w:r>
        <w:rPr>
          <w:rFonts w:hint="eastAsia"/>
          <w:color w:val="auto"/>
        </w:rPr>
        <w:t>一、资格审查文件目录</w:t>
      </w:r>
      <w:r>
        <w:rPr>
          <w:color w:val="auto"/>
        </w:rPr>
        <w:tab/>
      </w:r>
      <w:r>
        <w:rPr>
          <w:color w:val="auto"/>
        </w:rPr>
        <w:fldChar w:fldCharType="begin"/>
      </w:r>
      <w:r>
        <w:rPr>
          <w:color w:val="auto"/>
        </w:rPr>
        <w:instrText xml:space="preserve"> PAGEREF _Toc9238 \h </w:instrText>
      </w:r>
      <w:r>
        <w:rPr>
          <w:color w:val="auto"/>
        </w:rPr>
        <w:fldChar w:fldCharType="separate"/>
      </w:r>
      <w:r>
        <w:rPr>
          <w:color w:val="auto"/>
        </w:rPr>
        <w:t>17</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_Toc19311 </w:instrText>
      </w:r>
      <w:r>
        <w:rPr>
          <w:rFonts w:hint="eastAsia"/>
          <w:color w:val="auto"/>
        </w:rPr>
        <w:fldChar w:fldCharType="separate"/>
      </w:r>
      <w:r>
        <w:rPr>
          <w:rFonts w:hint="eastAsia"/>
          <w:color w:val="auto"/>
        </w:rPr>
        <w:t>二、技术部分材料目录</w:t>
      </w:r>
      <w:r>
        <w:rPr>
          <w:color w:val="auto"/>
        </w:rPr>
        <w:tab/>
      </w:r>
      <w:r>
        <w:rPr>
          <w:color w:val="auto"/>
        </w:rPr>
        <w:fldChar w:fldCharType="begin"/>
      </w:r>
      <w:r>
        <w:rPr>
          <w:color w:val="auto"/>
        </w:rPr>
        <w:instrText xml:space="preserve"> PAGEREF _Toc19311 \h </w:instrText>
      </w:r>
      <w:r>
        <w:rPr>
          <w:color w:val="auto"/>
        </w:rPr>
        <w:fldChar w:fldCharType="separate"/>
      </w:r>
      <w:r>
        <w:rPr>
          <w:color w:val="auto"/>
        </w:rPr>
        <w:t>29</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_Toc15817 </w:instrText>
      </w:r>
      <w:r>
        <w:rPr>
          <w:rFonts w:hint="eastAsia"/>
          <w:color w:val="auto"/>
        </w:rPr>
        <w:fldChar w:fldCharType="separate"/>
      </w:r>
      <w:r>
        <w:rPr>
          <w:rFonts w:hint="eastAsia"/>
          <w:color w:val="auto"/>
        </w:rPr>
        <w:t>三、商务部分材料目录</w:t>
      </w:r>
      <w:r>
        <w:rPr>
          <w:color w:val="auto"/>
        </w:rPr>
        <w:tab/>
      </w:r>
      <w:r>
        <w:rPr>
          <w:color w:val="auto"/>
        </w:rPr>
        <w:fldChar w:fldCharType="begin"/>
      </w:r>
      <w:r>
        <w:rPr>
          <w:color w:val="auto"/>
        </w:rPr>
        <w:instrText xml:space="preserve"> PAGEREF _Toc15817 \h </w:instrText>
      </w:r>
      <w:r>
        <w:rPr>
          <w:color w:val="auto"/>
        </w:rPr>
        <w:fldChar w:fldCharType="separate"/>
      </w:r>
      <w:r>
        <w:rPr>
          <w:color w:val="auto"/>
        </w:rPr>
        <w:t>37</w:t>
      </w:r>
      <w:r>
        <w:rPr>
          <w:color w:val="auto"/>
        </w:rPr>
        <w:fldChar w:fldCharType="end"/>
      </w:r>
      <w:r>
        <w:rPr>
          <w:rFonts w:hint="eastAsia"/>
          <w:color w:val="auto"/>
        </w:rPr>
        <w:fldChar w:fldCharType="end"/>
      </w:r>
    </w:p>
    <w:p>
      <w:pPr>
        <w:pStyle w:val="19"/>
        <w:tabs>
          <w:tab w:val="right" w:leader="dot" w:pos="9219"/>
        </w:tabs>
        <w:rPr>
          <w:color w:val="auto"/>
        </w:rPr>
      </w:pPr>
      <w:r>
        <w:rPr>
          <w:rFonts w:hint="eastAsia"/>
          <w:color w:val="auto"/>
        </w:rPr>
        <w:fldChar w:fldCharType="begin"/>
      </w:r>
      <w:r>
        <w:rPr>
          <w:rFonts w:hint="eastAsia"/>
          <w:color w:val="auto"/>
        </w:rPr>
        <w:instrText xml:space="preserve"> HYPERLINK \l _Toc30520 </w:instrText>
      </w:r>
      <w:r>
        <w:rPr>
          <w:rFonts w:hint="eastAsia"/>
          <w:color w:val="auto"/>
        </w:rPr>
        <w:fldChar w:fldCharType="separate"/>
      </w:r>
      <w:r>
        <w:rPr>
          <w:rFonts w:hint="eastAsia"/>
          <w:color w:val="auto"/>
        </w:rPr>
        <w:t>第</w:t>
      </w:r>
      <w:r>
        <w:rPr>
          <w:rFonts w:hint="eastAsia"/>
          <w:color w:val="auto"/>
          <w:lang w:val="en-US" w:eastAsia="zh-CN"/>
        </w:rPr>
        <w:t>五</w:t>
      </w:r>
      <w:r>
        <w:rPr>
          <w:rFonts w:hint="eastAsia"/>
          <w:color w:val="auto"/>
        </w:rPr>
        <w:t>章 评比办法</w:t>
      </w:r>
      <w:r>
        <w:rPr>
          <w:color w:val="auto"/>
        </w:rPr>
        <w:tab/>
      </w:r>
      <w:r>
        <w:rPr>
          <w:color w:val="auto"/>
        </w:rPr>
        <w:fldChar w:fldCharType="begin"/>
      </w:r>
      <w:r>
        <w:rPr>
          <w:color w:val="auto"/>
        </w:rPr>
        <w:instrText xml:space="preserve"> PAGEREF _Toc30520 \h </w:instrText>
      </w:r>
      <w:r>
        <w:rPr>
          <w:color w:val="auto"/>
        </w:rPr>
        <w:fldChar w:fldCharType="separate"/>
      </w:r>
      <w:r>
        <w:rPr>
          <w:color w:val="auto"/>
        </w:rPr>
        <w:t>39</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_Toc31847 </w:instrText>
      </w:r>
      <w:r>
        <w:rPr>
          <w:rFonts w:hint="eastAsia"/>
          <w:color w:val="auto"/>
        </w:rPr>
        <w:fldChar w:fldCharType="separate"/>
      </w:r>
      <w:r>
        <w:rPr>
          <w:rFonts w:ascii="Times New Roman" w:hAnsi="Times New Roman" w:eastAsiaTheme="minorEastAsia"/>
          <w:color w:val="auto"/>
          <w:szCs w:val="24"/>
        </w:rPr>
        <w:t>一、评比方法</w:t>
      </w:r>
      <w:r>
        <w:rPr>
          <w:color w:val="auto"/>
        </w:rPr>
        <w:tab/>
      </w:r>
      <w:r>
        <w:rPr>
          <w:color w:val="auto"/>
        </w:rPr>
        <w:fldChar w:fldCharType="begin"/>
      </w:r>
      <w:r>
        <w:rPr>
          <w:color w:val="auto"/>
        </w:rPr>
        <w:instrText xml:space="preserve"> PAGEREF _Toc31847 \h </w:instrText>
      </w:r>
      <w:r>
        <w:rPr>
          <w:color w:val="auto"/>
        </w:rPr>
        <w:fldChar w:fldCharType="separate"/>
      </w:r>
      <w:r>
        <w:rPr>
          <w:color w:val="auto"/>
        </w:rPr>
        <w:t>39</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_Toc28567 </w:instrText>
      </w:r>
      <w:r>
        <w:rPr>
          <w:rFonts w:hint="eastAsia"/>
          <w:color w:val="auto"/>
        </w:rPr>
        <w:fldChar w:fldCharType="separate"/>
      </w:r>
      <w:r>
        <w:rPr>
          <w:rFonts w:hint="eastAsia"/>
          <w:color w:val="auto"/>
        </w:rPr>
        <w:t>二、总分计算公式</w:t>
      </w:r>
      <w:r>
        <w:rPr>
          <w:color w:val="auto"/>
        </w:rPr>
        <w:tab/>
      </w:r>
      <w:r>
        <w:rPr>
          <w:color w:val="auto"/>
        </w:rPr>
        <w:fldChar w:fldCharType="begin"/>
      </w:r>
      <w:r>
        <w:rPr>
          <w:color w:val="auto"/>
        </w:rPr>
        <w:instrText xml:space="preserve"> PAGEREF _Toc28567 \h </w:instrText>
      </w:r>
      <w:r>
        <w:rPr>
          <w:color w:val="auto"/>
        </w:rPr>
        <w:fldChar w:fldCharType="separate"/>
      </w:r>
      <w:r>
        <w:rPr>
          <w:color w:val="auto"/>
        </w:rPr>
        <w:t>41</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_Toc2114 </w:instrText>
      </w:r>
      <w:r>
        <w:rPr>
          <w:rFonts w:hint="eastAsia"/>
          <w:color w:val="auto"/>
        </w:rPr>
        <w:fldChar w:fldCharType="separate"/>
      </w:r>
      <w:r>
        <w:rPr>
          <w:rFonts w:hint="eastAsia"/>
          <w:color w:val="auto"/>
        </w:rPr>
        <w:t>三、评分细则</w:t>
      </w:r>
      <w:r>
        <w:rPr>
          <w:color w:val="auto"/>
        </w:rPr>
        <w:tab/>
      </w:r>
      <w:r>
        <w:rPr>
          <w:color w:val="auto"/>
        </w:rPr>
        <w:fldChar w:fldCharType="begin"/>
      </w:r>
      <w:r>
        <w:rPr>
          <w:color w:val="auto"/>
        </w:rPr>
        <w:instrText xml:space="preserve"> PAGEREF _Toc2114 \h </w:instrText>
      </w:r>
      <w:r>
        <w:rPr>
          <w:color w:val="auto"/>
        </w:rPr>
        <w:fldChar w:fldCharType="separate"/>
      </w:r>
      <w:r>
        <w:rPr>
          <w:color w:val="auto"/>
        </w:rPr>
        <w:t>41</w:t>
      </w:r>
      <w:r>
        <w:rPr>
          <w:color w:val="auto"/>
        </w:rPr>
        <w:fldChar w:fldCharType="end"/>
      </w:r>
      <w:r>
        <w:rPr>
          <w:rFonts w:hint="eastAsia"/>
          <w:color w:val="auto"/>
        </w:rPr>
        <w:fldChar w:fldCharType="end"/>
      </w:r>
    </w:p>
    <w:p>
      <w:pPr>
        <w:pStyle w:val="23"/>
        <w:tabs>
          <w:tab w:val="right" w:leader="dot" w:pos="9219"/>
        </w:tabs>
        <w:rPr>
          <w:color w:val="auto"/>
        </w:rPr>
      </w:pPr>
      <w:r>
        <w:rPr>
          <w:rFonts w:hint="eastAsia"/>
          <w:color w:val="auto"/>
        </w:rPr>
        <w:fldChar w:fldCharType="begin"/>
      </w:r>
      <w:r>
        <w:rPr>
          <w:rFonts w:hint="eastAsia"/>
          <w:color w:val="auto"/>
        </w:rPr>
        <w:instrText xml:space="preserve"> HYPERLINK \l _Toc14397 </w:instrText>
      </w:r>
      <w:r>
        <w:rPr>
          <w:rFonts w:hint="eastAsia"/>
          <w:color w:val="auto"/>
        </w:rPr>
        <w:fldChar w:fldCharType="separate"/>
      </w:r>
      <w:r>
        <w:rPr>
          <w:rFonts w:hint="eastAsia"/>
          <w:color w:val="auto"/>
          <w:szCs w:val="28"/>
        </w:rPr>
        <w:t>四、中选标准</w:t>
      </w:r>
      <w:r>
        <w:rPr>
          <w:color w:val="auto"/>
        </w:rPr>
        <w:tab/>
      </w:r>
      <w:r>
        <w:rPr>
          <w:color w:val="auto"/>
        </w:rPr>
        <w:fldChar w:fldCharType="begin"/>
      </w:r>
      <w:r>
        <w:rPr>
          <w:color w:val="auto"/>
        </w:rPr>
        <w:instrText xml:space="preserve"> PAGEREF _Toc14397 \h </w:instrText>
      </w:r>
      <w:r>
        <w:rPr>
          <w:color w:val="auto"/>
        </w:rPr>
        <w:fldChar w:fldCharType="separate"/>
      </w:r>
      <w:r>
        <w:rPr>
          <w:color w:val="auto"/>
        </w:rPr>
        <w:t>44</w:t>
      </w:r>
      <w:r>
        <w:rPr>
          <w:color w:val="auto"/>
        </w:rPr>
        <w:fldChar w:fldCharType="end"/>
      </w:r>
      <w:r>
        <w:rPr>
          <w:rFonts w:hint="eastAsia"/>
          <w:color w:val="auto"/>
        </w:rPr>
        <w:fldChar w:fldCharType="end"/>
      </w:r>
    </w:p>
    <w:p>
      <w:pPr>
        <w:jc w:val="left"/>
        <w:rPr>
          <w:rFonts w:ascii="宋体" w:hAnsi="宋体" w:cs="宋体"/>
          <w:color w:val="auto"/>
          <w:szCs w:val="28"/>
        </w:rPr>
      </w:pPr>
      <w:r>
        <w:rPr>
          <w:rFonts w:hint="eastAsia"/>
          <w:color w:val="auto"/>
        </w:rPr>
        <w:fldChar w:fldCharType="end"/>
      </w:r>
    </w:p>
    <w:p>
      <w:pPr>
        <w:jc w:val="left"/>
        <w:rPr>
          <w:rFonts w:ascii="宋体" w:hAnsi="宋体" w:cs="宋体"/>
          <w:color w:val="auto"/>
          <w:szCs w:val="28"/>
        </w:rPr>
      </w:pPr>
    </w:p>
    <w:p>
      <w:pPr>
        <w:jc w:val="left"/>
        <w:rPr>
          <w:rFonts w:ascii="宋体" w:hAnsi="宋体" w:cs="宋体"/>
          <w:color w:val="auto"/>
          <w:szCs w:val="28"/>
        </w:rPr>
      </w:pPr>
    </w:p>
    <w:p>
      <w:pPr>
        <w:pStyle w:val="2"/>
        <w:rPr>
          <w:rFonts w:ascii="宋体" w:hAnsi="宋体" w:cs="宋体"/>
          <w:color w:val="auto"/>
          <w:szCs w:val="28"/>
        </w:rPr>
      </w:pPr>
    </w:p>
    <w:p>
      <w:pPr>
        <w:pStyle w:val="2"/>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pStyle w:val="4"/>
        <w:rPr>
          <w:rFonts w:ascii="宋体" w:hAnsi="宋体" w:cs="宋体"/>
          <w:color w:val="auto"/>
          <w:szCs w:val="28"/>
        </w:rPr>
      </w:pPr>
      <w:bookmarkStart w:id="33" w:name="_Toc461525294"/>
      <w:bookmarkStart w:id="34" w:name="_Toc12557"/>
      <w:bookmarkStart w:id="35" w:name="_Toc14177"/>
      <w:bookmarkStart w:id="36" w:name="_Toc3487"/>
      <w:bookmarkStart w:id="37" w:name="_Toc11052"/>
      <w:bookmarkStart w:id="38" w:name="_Toc24235"/>
      <w:bookmarkStart w:id="39" w:name="_Toc27762"/>
      <w:bookmarkStart w:id="40" w:name="_Toc24752"/>
      <w:bookmarkStart w:id="41" w:name="_Toc20342"/>
      <w:bookmarkStart w:id="42" w:name="_Toc471482359"/>
      <w:bookmarkStart w:id="43" w:name="_Toc14897"/>
      <w:bookmarkStart w:id="44" w:name="_Toc9092"/>
      <w:bookmarkStart w:id="45" w:name="_Toc30578"/>
      <w:bookmarkStart w:id="46" w:name="_Toc32556"/>
      <w:bookmarkStart w:id="47" w:name="_Toc32719"/>
      <w:bookmarkStart w:id="48" w:name="_Toc31790"/>
      <w:bookmarkStart w:id="49" w:name="_Toc22742"/>
      <w:bookmarkStart w:id="50" w:name="_Toc9041"/>
      <w:r>
        <w:rPr>
          <w:rFonts w:hint="eastAsia" w:ascii="宋体" w:hAnsi="宋体" w:cs="宋体"/>
          <w:color w:val="auto"/>
          <w:szCs w:val="28"/>
        </w:rPr>
        <w:t>第一章 比选须知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6"/>
        <w:jc w:val="left"/>
        <w:rPr>
          <w:color w:val="auto"/>
          <w:sz w:val="24"/>
          <w:szCs w:val="24"/>
        </w:rPr>
      </w:pPr>
      <w:bookmarkStart w:id="51" w:name="_Toc16622"/>
      <w:bookmarkStart w:id="52" w:name="_Toc18263"/>
      <w:bookmarkStart w:id="53" w:name="_Toc5783"/>
      <w:bookmarkStart w:id="54" w:name="_Toc21327"/>
      <w:bookmarkStart w:id="55" w:name="_Toc31166"/>
      <w:bookmarkStart w:id="56" w:name="_Toc32591"/>
      <w:bookmarkStart w:id="57" w:name="_Toc461525295"/>
      <w:bookmarkStart w:id="58" w:name="_Toc24388"/>
      <w:bookmarkStart w:id="59" w:name="_Toc24239"/>
      <w:bookmarkStart w:id="60" w:name="_Toc471482360"/>
      <w:bookmarkStart w:id="61" w:name="_Toc17254"/>
      <w:bookmarkStart w:id="62" w:name="_Toc11337"/>
      <w:bookmarkStart w:id="63" w:name="_Toc2610"/>
      <w:bookmarkStart w:id="64" w:name="_Toc14510"/>
      <w:bookmarkStart w:id="65" w:name="_Toc17641"/>
      <w:bookmarkStart w:id="66" w:name="_Toc2162"/>
      <w:bookmarkStart w:id="67" w:name="_Toc11329"/>
      <w:bookmarkStart w:id="68" w:name="_Toc2242"/>
      <w:r>
        <w:rPr>
          <w:color w:val="auto"/>
          <w:sz w:val="24"/>
          <w:szCs w:val="24"/>
        </w:rPr>
        <w:t>前附表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732" w:type="dxa"/>
            <w:vAlign w:val="center"/>
          </w:tcPr>
          <w:p>
            <w:pPr>
              <w:jc w:val="center"/>
              <w:rPr>
                <w:rFonts w:ascii="宋体" w:hAnsi="宋体" w:cs="宋体"/>
                <w:color w:val="auto"/>
                <w:szCs w:val="21"/>
              </w:rPr>
            </w:pPr>
          </w:p>
        </w:tc>
        <w:tc>
          <w:tcPr>
            <w:tcW w:w="6733" w:type="dxa"/>
          </w:tcPr>
          <w:p>
            <w:pPr>
              <w:jc w:val="center"/>
              <w:rPr>
                <w:rFonts w:ascii="宋体" w:hAnsi="宋体" w:cs="宋体"/>
                <w:color w:val="auto"/>
                <w:szCs w:val="21"/>
              </w:rPr>
            </w:pPr>
            <w:r>
              <w:rPr>
                <w:rFonts w:hint="eastAsia" w:ascii="宋体" w:hAnsi="宋体" w:cs="宋体"/>
                <w:color w:val="auto"/>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项目名称</w:t>
            </w:r>
          </w:p>
        </w:tc>
        <w:tc>
          <w:tcPr>
            <w:tcW w:w="6733" w:type="dxa"/>
            <w:vAlign w:val="center"/>
          </w:tcPr>
          <w:p>
            <w:pPr>
              <w:ind w:right="-3"/>
              <w:jc w:val="left"/>
              <w:rPr>
                <w:rFonts w:ascii="宋体" w:hAnsi="宋体" w:cs="宋体"/>
                <w:color w:val="auto"/>
                <w:szCs w:val="21"/>
              </w:rPr>
            </w:pPr>
            <w:r>
              <w:rPr>
                <w:rFonts w:hint="eastAsia" w:ascii="宋体" w:hAnsi="宋体" w:cs="宋体"/>
                <w:color w:val="auto"/>
                <w:szCs w:val="21"/>
              </w:rPr>
              <w:t>南宁铁路枢纽投资有限公司“十四五”战略规划及2035远景展望咨询服务项目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项目范围</w:t>
            </w:r>
          </w:p>
        </w:tc>
        <w:tc>
          <w:tcPr>
            <w:tcW w:w="6733" w:type="dxa"/>
          </w:tcPr>
          <w:p>
            <w:pPr>
              <w:ind w:right="-3"/>
              <w:jc w:val="left"/>
              <w:rPr>
                <w:rFonts w:ascii="宋体" w:hAnsi="宋体" w:cs="宋体"/>
                <w:color w:val="auto"/>
                <w:szCs w:val="21"/>
              </w:rPr>
            </w:pPr>
            <w:r>
              <w:rPr>
                <w:rFonts w:hint="eastAsia" w:ascii="宋体" w:hAnsi="宋体" w:cs="宋体"/>
                <w:color w:val="auto"/>
                <w:szCs w:val="21"/>
              </w:rPr>
              <w:t>南宁铁路枢纽投资有限公司“十四五”战略规划及2035远景展望咨询服务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项目内容</w:t>
            </w:r>
          </w:p>
        </w:tc>
        <w:tc>
          <w:tcPr>
            <w:tcW w:w="6733" w:type="dxa"/>
          </w:tcPr>
          <w:p>
            <w:pPr>
              <w:ind w:right="-3"/>
              <w:jc w:val="left"/>
              <w:rPr>
                <w:rFonts w:ascii="宋体" w:hAnsi="宋体" w:cs="宋体"/>
                <w:color w:val="auto"/>
                <w:szCs w:val="21"/>
              </w:rPr>
            </w:pPr>
            <w:r>
              <w:rPr>
                <w:rFonts w:hint="eastAsia" w:ascii="宋体" w:hAnsi="宋体" w:cs="宋体"/>
                <w:color w:val="auto"/>
                <w:szCs w:val="21"/>
              </w:rPr>
              <w:t>（一）基于充分研究南宁北站、南宁站等铁路枢纽站城一体项目之上，研究制定南宁铁路枢纽投资有限公司“十四五”战略规划及2035远景展望：企业发展内外部环境分析（机遇和挑战等），战略定位，主营业务板块规划，战略目标（近、中、远期发展目标）与相对应战略发展路径，实现战略规划所需的政府政策支持、战略保障措施，以及“十四五”战略规划分解落实计划；</w:t>
            </w:r>
          </w:p>
          <w:p>
            <w:pPr>
              <w:ind w:right="-3"/>
              <w:jc w:val="left"/>
              <w:rPr>
                <w:rFonts w:ascii="宋体" w:hAnsi="宋体" w:cs="宋体"/>
                <w:color w:val="auto"/>
                <w:szCs w:val="21"/>
              </w:rPr>
            </w:pPr>
            <w:r>
              <w:rPr>
                <w:rFonts w:hint="eastAsia" w:ascii="宋体" w:hAnsi="宋体" w:cs="宋体"/>
                <w:color w:val="auto"/>
                <w:szCs w:val="21"/>
              </w:rPr>
              <w:t>（二）战略保障措施主要包含公司组织架构、定岗定编、核心业务制度目录、招商引资管理办法、企业文化建设（企业愿景、使命、价值观、生产经营理念等企业文化核心理念；企业标志、企业标准字体、企业标准色等公司VI视觉识别系统设计及办公用品识别应用设计等）；</w:t>
            </w:r>
          </w:p>
          <w:p>
            <w:pPr>
              <w:ind w:right="-3"/>
              <w:jc w:val="left"/>
              <w:rPr>
                <w:rFonts w:ascii="宋体" w:hAnsi="宋体" w:cs="宋体"/>
                <w:color w:val="auto"/>
                <w:szCs w:val="21"/>
              </w:rPr>
            </w:pPr>
            <w:r>
              <w:rPr>
                <w:rFonts w:hint="eastAsia" w:ascii="宋体" w:hAnsi="宋体" w:cs="宋体"/>
                <w:color w:val="auto"/>
                <w:szCs w:val="21"/>
              </w:rPr>
              <w:t>具体详见第二章服务需求一览表。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4</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资金来源</w:t>
            </w:r>
          </w:p>
        </w:tc>
        <w:tc>
          <w:tcPr>
            <w:tcW w:w="6733" w:type="dxa"/>
            <w:shd w:val="clear" w:color="auto" w:fill="FFFFFF" w:themeFill="background1"/>
          </w:tcPr>
          <w:p>
            <w:pPr>
              <w:ind w:right="-3"/>
              <w:jc w:val="left"/>
              <w:rPr>
                <w:rFonts w:ascii="宋体" w:hAnsi="宋体" w:cs="宋体"/>
                <w:color w:val="auto"/>
                <w:szCs w:val="21"/>
              </w:rPr>
            </w:pPr>
            <w:r>
              <w:rPr>
                <w:rFonts w:hint="eastAsia" w:ascii="宋体" w:hAnsi="宋体" w:cs="宋体"/>
                <w:color w:val="auto"/>
                <w:szCs w:val="21"/>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计费方式</w:t>
            </w:r>
          </w:p>
        </w:tc>
        <w:tc>
          <w:tcPr>
            <w:tcW w:w="6733" w:type="dxa"/>
          </w:tcPr>
          <w:p>
            <w:pPr>
              <w:ind w:right="-3"/>
              <w:jc w:val="left"/>
              <w:rPr>
                <w:rFonts w:ascii="宋体" w:hAnsi="宋体" w:cs="宋体"/>
                <w:color w:val="auto"/>
                <w:szCs w:val="21"/>
              </w:rPr>
            </w:pPr>
            <w:r>
              <w:rPr>
                <w:rFonts w:hint="eastAsia" w:ascii="宋体" w:hAnsi="宋体" w:cs="宋体"/>
                <w:color w:val="auto"/>
                <w:szCs w:val="21"/>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ascii="宋体" w:hAnsi="宋体" w:cs="宋体"/>
                <w:color w:val="auto"/>
                <w:szCs w:val="21"/>
              </w:rPr>
              <w:t>6</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上限控制价</w:t>
            </w:r>
          </w:p>
        </w:tc>
        <w:tc>
          <w:tcPr>
            <w:tcW w:w="6733" w:type="dxa"/>
          </w:tcPr>
          <w:p>
            <w:pPr>
              <w:ind w:right="-3"/>
              <w:jc w:val="left"/>
              <w:rPr>
                <w:rFonts w:ascii="宋体" w:hAnsi="宋体" w:cs="宋体"/>
                <w:color w:val="auto"/>
                <w:szCs w:val="21"/>
                <w:highlight w:val="yellow"/>
              </w:rPr>
            </w:pPr>
            <w:r>
              <w:rPr>
                <w:rFonts w:hint="eastAsia" w:ascii="宋体" w:hAnsi="宋体" w:cs="宋体"/>
                <w:color w:val="auto"/>
                <w:szCs w:val="21"/>
                <w:highlight w:val="none"/>
              </w:rPr>
              <w:t>人民币捌拾万元整（￥800000.00）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ascii="宋体" w:hAnsi="宋体" w:cs="宋体"/>
                <w:color w:val="auto"/>
                <w:szCs w:val="21"/>
              </w:rPr>
              <w:t>7</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报价方式</w:t>
            </w:r>
          </w:p>
        </w:tc>
        <w:tc>
          <w:tcPr>
            <w:tcW w:w="6733" w:type="dxa"/>
            <w:vAlign w:val="center"/>
          </w:tcPr>
          <w:p>
            <w:pPr>
              <w:ind w:right="-3"/>
              <w:jc w:val="left"/>
              <w:rPr>
                <w:rFonts w:ascii="宋体" w:hAnsi="宋体" w:cs="宋体"/>
                <w:color w:val="auto"/>
                <w:szCs w:val="21"/>
              </w:rPr>
            </w:pPr>
            <w:r>
              <w:rPr>
                <w:rFonts w:hint="eastAsia" w:ascii="宋体" w:hAnsi="宋体" w:cs="宋体"/>
                <w:color w:val="auto"/>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70" w:type="dxa"/>
            <w:vAlign w:val="center"/>
          </w:tcPr>
          <w:p>
            <w:pPr>
              <w:jc w:val="center"/>
              <w:rPr>
                <w:rFonts w:ascii="宋体" w:hAnsi="宋体" w:cs="宋体"/>
                <w:color w:val="auto"/>
                <w:szCs w:val="21"/>
              </w:rPr>
            </w:pPr>
            <w:r>
              <w:rPr>
                <w:rFonts w:ascii="宋体" w:hAnsi="宋体" w:cs="宋体"/>
                <w:color w:val="auto"/>
                <w:szCs w:val="21"/>
              </w:rPr>
              <w:t>8</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合同期限</w:t>
            </w:r>
          </w:p>
        </w:tc>
        <w:tc>
          <w:tcPr>
            <w:tcW w:w="6733" w:type="dxa"/>
            <w:vAlign w:val="center"/>
          </w:tcPr>
          <w:p>
            <w:pPr>
              <w:ind w:right="-3"/>
              <w:jc w:val="left"/>
              <w:rPr>
                <w:rFonts w:ascii="宋体" w:hAnsi="宋体" w:cs="宋体"/>
                <w:color w:val="auto"/>
                <w:szCs w:val="21"/>
              </w:rPr>
            </w:pPr>
            <w:r>
              <w:rPr>
                <w:rFonts w:hint="eastAsia" w:ascii="宋体" w:hAnsi="宋体" w:cs="宋体"/>
                <w:color w:val="auto"/>
                <w:szCs w:val="21"/>
              </w:rPr>
              <w:t>自合同签订之日起1年。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ascii="宋体" w:hAnsi="宋体" w:cs="宋体"/>
                <w:color w:val="auto"/>
                <w:szCs w:val="21"/>
              </w:rPr>
            </w:pPr>
            <w:r>
              <w:rPr>
                <w:rFonts w:ascii="宋体" w:hAnsi="宋体" w:cs="宋体"/>
                <w:color w:val="auto"/>
                <w:szCs w:val="21"/>
              </w:rPr>
              <w:t>9</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比选申请人资格要求</w:t>
            </w:r>
          </w:p>
        </w:tc>
        <w:tc>
          <w:tcPr>
            <w:tcW w:w="6733" w:type="dxa"/>
            <w:vAlign w:val="center"/>
          </w:tcPr>
          <w:p>
            <w:pPr>
              <w:ind w:right="-3"/>
              <w:jc w:val="left"/>
              <w:rPr>
                <w:rFonts w:ascii="宋体" w:hAnsi="宋体" w:cs="宋体"/>
                <w:color w:val="auto"/>
                <w:szCs w:val="21"/>
              </w:rPr>
            </w:pPr>
            <w:r>
              <w:rPr>
                <w:rFonts w:hint="eastAsia" w:ascii="宋体" w:hAnsi="宋体" w:cs="宋体"/>
                <w:color w:val="auto"/>
                <w:szCs w:val="21"/>
              </w:rPr>
              <w:t>1.投标人须</w:t>
            </w:r>
            <w:r>
              <w:rPr>
                <w:rFonts w:hint="eastAsia" w:ascii="宋体" w:hAnsi="宋体" w:eastAsia="宋体" w:cs="宋体"/>
                <w:color w:val="auto"/>
                <w:sz w:val="21"/>
                <w:szCs w:val="21"/>
              </w:rPr>
              <w:t>为中华人民共和国境内依法设立的法人或其他组织。</w:t>
            </w:r>
            <w:r>
              <w:rPr>
                <w:rFonts w:hint="eastAsia" w:ascii="宋体" w:hAnsi="宋体" w:cs="宋体"/>
                <w:color w:val="auto"/>
                <w:szCs w:val="21"/>
              </w:rPr>
              <w:t xml:space="preserve">  </w:t>
            </w:r>
          </w:p>
          <w:p>
            <w:pPr>
              <w:ind w:right="-3"/>
              <w:jc w:val="left"/>
              <w:rPr>
                <w:rFonts w:ascii="宋体" w:hAnsi="宋体" w:cs="宋体"/>
                <w:color w:val="auto"/>
                <w:szCs w:val="21"/>
              </w:rPr>
            </w:pPr>
            <w:r>
              <w:rPr>
                <w:rFonts w:hint="eastAsia" w:ascii="宋体" w:hAnsi="宋体" w:cs="宋体"/>
                <w:color w:val="auto"/>
                <w:szCs w:val="21"/>
              </w:rPr>
              <w:t>2.业绩要求：投标人自2017年1月1日至开标时间至少具有1个类似项</w:t>
            </w:r>
            <w:r>
              <w:rPr>
                <w:rFonts w:hint="eastAsia" w:ascii="宋体" w:hAnsi="宋体" w:cs="宋体"/>
                <w:color w:val="auto"/>
                <w:szCs w:val="21"/>
                <w:highlight w:val="none"/>
              </w:rPr>
              <w:t>目业绩，类似项目是指以下类型业绩之一：（1）企业战略规划编制咨询</w:t>
            </w:r>
            <w:r>
              <w:rPr>
                <w:rFonts w:hint="eastAsia" w:ascii="宋体" w:hAnsi="宋体" w:eastAsia="宋体" w:cs="宋体"/>
                <w:color w:val="auto"/>
                <w:sz w:val="21"/>
                <w:szCs w:val="21"/>
                <w:highlight w:val="none"/>
              </w:rPr>
              <w:t>或</w:t>
            </w:r>
            <w:r>
              <w:rPr>
                <w:rFonts w:hint="eastAsia" w:ascii="宋体" w:hAnsi="宋体" w:cs="宋体"/>
                <w:color w:val="auto"/>
                <w:szCs w:val="21"/>
                <w:highlight w:val="none"/>
              </w:rPr>
              <w:t>业务规划咨询；（</w:t>
            </w:r>
            <w:r>
              <w:rPr>
                <w:rFonts w:hint="eastAsia" w:ascii="宋体" w:hAnsi="宋体" w:cs="宋体"/>
                <w:color w:val="auto"/>
                <w:szCs w:val="21"/>
              </w:rPr>
              <w:t>2）产业策划咨询；（3）项目开发策划咨询。</w:t>
            </w:r>
          </w:p>
          <w:p>
            <w:pPr>
              <w:ind w:right="-3"/>
              <w:jc w:val="left"/>
              <w:rPr>
                <w:rFonts w:ascii="宋体" w:hAnsi="宋体" w:cs="宋体"/>
                <w:color w:val="auto"/>
                <w:sz w:val="20"/>
                <w:szCs w:val="20"/>
              </w:rPr>
            </w:pPr>
            <w:r>
              <w:rPr>
                <w:rFonts w:hint="eastAsia" w:ascii="宋体" w:hAnsi="宋体" w:cs="宋体"/>
                <w:color w:val="auto"/>
                <w:sz w:val="20"/>
                <w:szCs w:val="20"/>
              </w:rPr>
              <w:t>注：须提供合同关键页等证明材料，证明材料须能体现满足本项目业绩要求的内容（业绩时间、服务内容等，否则评审时不予承认该业绩）；业绩时间以合同签订时间为准；投标人业绩须是其自身的，不能是其母公司或子公司的；联合体业绩只接受牵头方业绩；不接受分包业绩。</w:t>
            </w:r>
          </w:p>
          <w:p>
            <w:pPr>
              <w:ind w:right="-3"/>
              <w:jc w:val="left"/>
              <w:rPr>
                <w:rFonts w:ascii="宋体" w:hAnsi="宋体" w:cs="宋体"/>
                <w:color w:val="auto"/>
                <w:szCs w:val="21"/>
              </w:rPr>
            </w:pPr>
            <w:r>
              <w:rPr>
                <w:rFonts w:hint="eastAsia" w:ascii="宋体" w:hAnsi="宋体" w:cs="宋体"/>
                <w:color w:val="auto"/>
                <w:szCs w:val="21"/>
              </w:rPr>
              <w:t>3.项目负责人：须具有10年及以上工作经验，承担过一个类似项目的项目负责人。</w:t>
            </w:r>
          </w:p>
          <w:p>
            <w:pPr>
              <w:ind w:right="-3"/>
              <w:jc w:val="left"/>
              <w:rPr>
                <w:rFonts w:ascii="宋体" w:hAnsi="宋体" w:cs="宋体"/>
                <w:color w:val="auto"/>
                <w:szCs w:val="21"/>
              </w:rPr>
            </w:pPr>
            <w:r>
              <w:rPr>
                <w:rFonts w:hint="eastAsia" w:ascii="宋体" w:hAnsi="宋体" w:cs="宋体"/>
                <w:color w:val="auto"/>
                <w:sz w:val="20"/>
                <w:szCs w:val="20"/>
              </w:rPr>
              <w:t>注：须提供相关证明材料：工作经验证明材料为劳动合同或工作证明，否则不予认可；业绩证明材料为合同文件或用户证明，业绩证明材料须能体现类似项目特征和项目负责人承担的职位，否则不予认可</w:t>
            </w:r>
            <w:r>
              <w:rPr>
                <w:rFonts w:hint="eastAsia" w:ascii="宋体" w:hAnsi="宋体" w:cs="宋体"/>
                <w:color w:val="auto"/>
                <w:szCs w:val="21"/>
              </w:rPr>
              <w:t>。</w:t>
            </w:r>
          </w:p>
          <w:p>
            <w:pPr>
              <w:ind w:right="-3"/>
              <w:jc w:val="left"/>
              <w:rPr>
                <w:rFonts w:ascii="宋体" w:hAnsi="宋体" w:cs="宋体"/>
                <w:color w:val="auto"/>
                <w:szCs w:val="21"/>
              </w:rPr>
            </w:pPr>
            <w:r>
              <w:rPr>
                <w:rFonts w:hint="eastAsia" w:ascii="宋体" w:hAnsi="宋体" w:cs="宋体"/>
                <w:color w:val="auto"/>
                <w:szCs w:val="21"/>
              </w:rPr>
              <w:t>4.本项目不接受联合体投标。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ascii="宋体" w:hAnsi="宋体" w:cs="宋体"/>
                <w:color w:val="auto"/>
                <w:szCs w:val="21"/>
              </w:rPr>
            </w:pPr>
            <w:r>
              <w:rPr>
                <w:rFonts w:ascii="宋体" w:hAnsi="宋体" w:cs="宋体"/>
                <w:color w:val="auto"/>
                <w:szCs w:val="21"/>
              </w:rPr>
              <w:t>10</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获取比选文件的时间、地点、方式</w:t>
            </w:r>
          </w:p>
        </w:tc>
        <w:tc>
          <w:tcPr>
            <w:tcW w:w="6733" w:type="dxa"/>
            <w:vAlign w:val="center"/>
          </w:tcPr>
          <w:p>
            <w:pPr>
              <w:jc w:val="left"/>
              <w:rPr>
                <w:rFonts w:ascii="宋体" w:hAnsi="宋体" w:cs="宋体"/>
                <w:color w:val="auto"/>
                <w:szCs w:val="21"/>
              </w:rPr>
            </w:pPr>
            <w:r>
              <w:rPr>
                <w:rFonts w:hint="eastAsia" w:ascii="宋体" w:hAnsi="宋体" w:cs="宋体"/>
                <w:color w:val="auto"/>
                <w:szCs w:val="21"/>
              </w:rPr>
              <w:t>本项目不发放纸质比选文件，比选申请人自行在南宁轨道交通集团有限责任公司官网(http://www.nngdjt.com/)的招标招商中的招标公告处下载比选文件。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70" w:type="dxa"/>
            <w:vAlign w:val="center"/>
          </w:tcPr>
          <w:p>
            <w:pPr>
              <w:jc w:val="center"/>
              <w:rPr>
                <w:rFonts w:ascii="宋体" w:hAnsi="宋体" w:cs="宋体"/>
                <w:color w:val="auto"/>
                <w:szCs w:val="21"/>
              </w:rPr>
            </w:pPr>
            <w:r>
              <w:rPr>
                <w:rFonts w:ascii="宋体" w:hAnsi="宋体" w:cs="宋体"/>
                <w:color w:val="auto"/>
                <w:szCs w:val="21"/>
              </w:rPr>
              <w:t>11</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 xml:space="preserve">比选有效期 </w:t>
            </w:r>
          </w:p>
        </w:tc>
        <w:tc>
          <w:tcPr>
            <w:tcW w:w="6733" w:type="dxa"/>
            <w:vAlign w:val="center"/>
          </w:tcPr>
          <w:p>
            <w:pPr>
              <w:ind w:right="753"/>
              <w:jc w:val="left"/>
              <w:rPr>
                <w:rFonts w:ascii="宋体" w:hAnsi="宋体" w:cs="宋体"/>
                <w:color w:val="auto"/>
                <w:szCs w:val="21"/>
              </w:rPr>
            </w:pPr>
            <w:r>
              <w:rPr>
                <w:rFonts w:hint="eastAsia" w:ascii="宋体" w:hAnsi="宋体" w:cs="宋体"/>
                <w:color w:val="auto"/>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2</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比选申请文件份数</w:t>
            </w:r>
          </w:p>
        </w:tc>
        <w:tc>
          <w:tcPr>
            <w:tcW w:w="6733" w:type="dxa"/>
            <w:vAlign w:val="center"/>
          </w:tcPr>
          <w:p>
            <w:pPr>
              <w:ind w:right="753"/>
              <w:jc w:val="left"/>
              <w:rPr>
                <w:rFonts w:ascii="宋体" w:hAnsi="宋体" w:cs="宋体"/>
                <w:color w:val="auto"/>
                <w:szCs w:val="21"/>
              </w:rPr>
            </w:pPr>
            <w:r>
              <w:rPr>
                <w:rFonts w:hint="eastAsia" w:ascii="宋体" w:hAnsi="宋体" w:cs="宋体"/>
                <w:color w:val="auto"/>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3</w:t>
            </w:r>
          </w:p>
        </w:tc>
        <w:tc>
          <w:tcPr>
            <w:tcW w:w="1732" w:type="dxa"/>
            <w:vAlign w:val="center"/>
          </w:tcPr>
          <w:p>
            <w:pPr>
              <w:jc w:val="left"/>
              <w:rPr>
                <w:rFonts w:ascii="宋体" w:hAnsi="宋体" w:cs="宋体"/>
                <w:color w:val="FF0000"/>
                <w:szCs w:val="21"/>
              </w:rPr>
            </w:pPr>
            <w:r>
              <w:rPr>
                <w:rFonts w:hint="eastAsia" w:ascii="宋体" w:hAnsi="宋体" w:cs="宋体"/>
                <w:color w:val="FF0000"/>
                <w:szCs w:val="21"/>
              </w:rPr>
              <w:t>比选申请文件递交地址</w:t>
            </w:r>
          </w:p>
        </w:tc>
        <w:tc>
          <w:tcPr>
            <w:tcW w:w="6733" w:type="dxa"/>
            <w:vAlign w:val="center"/>
          </w:tcPr>
          <w:p>
            <w:pPr>
              <w:ind w:right="-3"/>
              <w:jc w:val="left"/>
              <w:rPr>
                <w:rFonts w:ascii="宋体" w:hAnsi="宋体" w:cs="宋体"/>
                <w:color w:val="FF0000"/>
                <w:szCs w:val="21"/>
              </w:rPr>
            </w:pPr>
            <w:r>
              <w:rPr>
                <w:rFonts w:hint="eastAsia" w:ascii="宋体" w:hAnsi="宋体" w:cs="宋体"/>
                <w:color w:val="FF0000"/>
                <w:szCs w:val="21"/>
              </w:rPr>
              <w:t>现场递交地点：广西南宁市青秀区云景路69号南宁轨道交通集团有限责任公司A2座</w:t>
            </w:r>
            <w:r>
              <w:rPr>
                <w:rFonts w:hint="eastAsia" w:ascii="宋体" w:hAnsi="宋体" w:cs="宋体"/>
                <w:color w:val="FF0000"/>
                <w:szCs w:val="21"/>
                <w:lang w:val="en-US" w:eastAsia="zh-CN"/>
              </w:rPr>
              <w:t>一楼104会议室</w:t>
            </w:r>
            <w:r>
              <w:rPr>
                <w:rFonts w:hint="eastAsia" w:ascii="宋体" w:hAnsi="宋体" w:cs="宋体"/>
                <w:color w:val="FF0000"/>
                <w:szCs w:val="21"/>
              </w:rPr>
              <w:t>。</w:t>
            </w:r>
          </w:p>
          <w:p>
            <w:pPr>
              <w:pStyle w:val="32"/>
              <w:ind w:firstLine="0"/>
              <w:rPr>
                <w:rFonts w:hint="default" w:eastAsia="宋体"/>
                <w:color w:val="FF0000"/>
                <w:lang w:val="en-US" w:eastAsia="zh-CN"/>
              </w:rPr>
            </w:pPr>
            <w:r>
              <w:rPr>
                <w:rFonts w:hint="eastAsia" w:ascii="宋体" w:hAnsi="宋体" w:cs="宋体"/>
                <w:color w:val="FF0000"/>
                <w:kern w:val="0"/>
                <w:szCs w:val="21"/>
              </w:rPr>
              <w:t>邮寄方式递交时</w:t>
            </w:r>
            <w:r>
              <w:rPr>
                <w:rFonts w:hint="eastAsia"/>
                <w:color w:val="FF0000"/>
              </w:rPr>
              <w:t>投标文件邮寄地址：</w:t>
            </w:r>
            <w:r>
              <w:rPr>
                <w:rFonts w:hint="eastAsia" w:ascii="宋体" w:hAnsi="宋体" w:cs="宋体"/>
                <w:color w:val="FF0000"/>
                <w:szCs w:val="21"/>
              </w:rPr>
              <w:t>广西南宁市青秀区云景路69号南宁轨道交通集团有限责任公司A2座，联系人：</w:t>
            </w:r>
            <w:r>
              <w:rPr>
                <w:rFonts w:hint="eastAsia" w:ascii="宋体" w:hAnsi="宋体" w:cs="宋体"/>
                <w:color w:val="FF0000"/>
                <w:szCs w:val="21"/>
                <w:lang w:val="en-US" w:eastAsia="zh-CN"/>
              </w:rPr>
              <w:t>吴小龙、刘俊良，</w:t>
            </w:r>
            <w:r>
              <w:rPr>
                <w:rFonts w:hint="eastAsia" w:ascii="宋体" w:hAnsi="宋体" w:cs="宋体"/>
                <w:color w:val="FF0000"/>
                <w:szCs w:val="21"/>
              </w:rPr>
              <w:t xml:space="preserve"> 联系电话：0771-</w:t>
            </w:r>
            <w:r>
              <w:rPr>
                <w:rFonts w:hint="eastAsia" w:ascii="宋体" w:hAnsi="宋体" w:cs="宋体"/>
                <w:color w:val="FF0000"/>
                <w:szCs w:val="21"/>
                <w:lang w:val="en-US" w:eastAsia="zh-CN"/>
              </w:rPr>
              <w:t>2778424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4</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 xml:space="preserve">比选申请文件递交截止日期 </w:t>
            </w:r>
          </w:p>
        </w:tc>
        <w:tc>
          <w:tcPr>
            <w:tcW w:w="6733" w:type="dxa"/>
            <w:shd w:val="clear" w:color="auto" w:fill="FFFFFF" w:themeFill="background1"/>
            <w:vAlign w:val="center"/>
          </w:tcPr>
          <w:p>
            <w:pPr>
              <w:ind w:right="753"/>
              <w:jc w:val="left"/>
              <w:rPr>
                <w:rFonts w:ascii="宋体" w:hAnsi="宋体" w:cs="宋体"/>
                <w:color w:val="auto"/>
                <w:szCs w:val="21"/>
              </w:rPr>
            </w:pPr>
            <w:r>
              <w:rPr>
                <w:rFonts w:hint="eastAsia" w:ascii="宋体" w:hAnsi="宋体" w:cs="宋体"/>
                <w:color w:val="auto"/>
                <w:szCs w:val="21"/>
              </w:rPr>
              <w:t>2022年</w:t>
            </w:r>
            <w:r>
              <w:rPr>
                <w:rFonts w:hint="eastAsia" w:ascii="宋体" w:hAnsi="宋体" w:cs="宋体"/>
                <w:color w:val="auto"/>
                <w:szCs w:val="21"/>
                <w:lang w:val="en-US" w:eastAsia="zh-CN"/>
              </w:rPr>
              <w:t>7</w:t>
            </w:r>
            <w:r>
              <w:rPr>
                <w:rFonts w:hint="eastAsia" w:ascii="宋体" w:hAnsi="宋体" w:cs="宋体"/>
                <w:color w:val="auto"/>
                <w:szCs w:val="21"/>
              </w:rPr>
              <w:t>月</w:t>
            </w:r>
            <w:r>
              <w:rPr>
                <w:rFonts w:hint="eastAsia" w:ascii="宋体" w:hAnsi="宋体" w:cs="宋体"/>
                <w:color w:val="auto"/>
                <w:szCs w:val="21"/>
                <w:lang w:val="en-US" w:eastAsia="zh-CN"/>
              </w:rPr>
              <w:t>12</w:t>
            </w:r>
            <w:r>
              <w:rPr>
                <w:rFonts w:hint="eastAsia" w:ascii="宋体" w:hAnsi="宋体" w:cs="宋体"/>
                <w:color w:val="auto"/>
                <w:szCs w:val="21"/>
              </w:rPr>
              <w:t xml:space="preserve">日上午9:00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5</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 xml:space="preserve">比选时间、地点          </w:t>
            </w:r>
          </w:p>
        </w:tc>
        <w:tc>
          <w:tcPr>
            <w:tcW w:w="6733" w:type="dxa"/>
            <w:shd w:val="clear" w:color="auto" w:fill="FFFFFF" w:themeFill="background1"/>
            <w:vAlign w:val="center"/>
          </w:tcPr>
          <w:p>
            <w:pPr>
              <w:ind w:right="753"/>
              <w:jc w:val="left"/>
              <w:rPr>
                <w:rFonts w:ascii="宋体" w:hAnsi="宋体" w:cs="宋体"/>
                <w:color w:val="auto"/>
                <w:szCs w:val="21"/>
              </w:rPr>
            </w:pPr>
            <w:r>
              <w:rPr>
                <w:rFonts w:hint="eastAsia" w:ascii="宋体" w:hAnsi="宋体" w:cs="宋体"/>
                <w:color w:val="auto"/>
                <w:szCs w:val="21"/>
              </w:rPr>
              <w:t>时间：2022年</w:t>
            </w:r>
            <w:r>
              <w:rPr>
                <w:rFonts w:hint="eastAsia" w:ascii="宋体" w:hAnsi="宋体" w:cs="宋体"/>
                <w:color w:val="auto"/>
                <w:szCs w:val="21"/>
                <w:lang w:val="en-US" w:eastAsia="zh-CN"/>
              </w:rPr>
              <w:t>7</w:t>
            </w:r>
            <w:r>
              <w:rPr>
                <w:rFonts w:hint="eastAsia" w:ascii="宋体" w:hAnsi="宋体" w:cs="宋体"/>
                <w:color w:val="auto"/>
                <w:szCs w:val="21"/>
              </w:rPr>
              <w:t>月</w:t>
            </w:r>
            <w:r>
              <w:rPr>
                <w:rFonts w:hint="eastAsia" w:ascii="宋体" w:hAnsi="宋体" w:cs="宋体"/>
                <w:color w:val="auto"/>
                <w:szCs w:val="21"/>
                <w:lang w:val="en-US" w:eastAsia="zh-CN"/>
              </w:rPr>
              <w:t>12</w:t>
            </w:r>
            <w:r>
              <w:rPr>
                <w:rFonts w:hint="eastAsia" w:ascii="宋体" w:hAnsi="宋体" w:cs="宋体"/>
                <w:color w:val="auto"/>
                <w:szCs w:val="21"/>
              </w:rPr>
              <w:t>日上午9:00</w:t>
            </w:r>
          </w:p>
          <w:p>
            <w:pPr>
              <w:ind w:right="-3"/>
              <w:jc w:val="left"/>
              <w:rPr>
                <w:rFonts w:ascii="宋体" w:hAnsi="宋体" w:cs="宋体"/>
                <w:color w:val="auto"/>
                <w:szCs w:val="21"/>
              </w:rPr>
            </w:pPr>
            <w:r>
              <w:rPr>
                <w:rFonts w:hint="eastAsia" w:ascii="宋体" w:hAnsi="宋体" w:cs="宋体"/>
                <w:color w:val="auto"/>
                <w:szCs w:val="21"/>
              </w:rPr>
              <w:t>地点：广西南宁市青秀区云景路69号南宁轨道交通集团有限责任公司A2座一</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104</w:t>
            </w:r>
            <w:r>
              <w:rPr>
                <w:rFonts w:hint="eastAsia" w:ascii="宋体" w:hAnsi="宋体" w:cs="宋体"/>
                <w:color w:val="auto"/>
                <w:szCs w:val="21"/>
                <w:highlight w:val="none"/>
              </w:rPr>
              <w:t>室</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6</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评比办法</w:t>
            </w:r>
          </w:p>
        </w:tc>
        <w:tc>
          <w:tcPr>
            <w:tcW w:w="6733" w:type="dxa"/>
            <w:vAlign w:val="center"/>
          </w:tcPr>
          <w:p>
            <w:pPr>
              <w:ind w:right="753"/>
              <w:jc w:val="left"/>
              <w:rPr>
                <w:rFonts w:ascii="宋体" w:hAnsi="宋体" w:cs="宋体"/>
                <w:color w:val="auto"/>
                <w:szCs w:val="21"/>
              </w:rPr>
            </w:pPr>
            <w:r>
              <w:rPr>
                <w:rFonts w:hint="eastAsia" w:ascii="宋体" w:hAnsi="宋体" w:cs="宋体"/>
                <w:color w:val="auto"/>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ascii="宋体" w:hAnsi="宋体" w:cs="宋体"/>
                <w:color w:val="auto"/>
                <w:szCs w:val="21"/>
              </w:rPr>
            </w:pPr>
            <w:r>
              <w:rPr>
                <w:rFonts w:ascii="宋体" w:hAnsi="宋体" w:cs="宋体"/>
                <w:color w:val="auto"/>
                <w:szCs w:val="21"/>
              </w:rPr>
              <w:t>17</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中选通知</w:t>
            </w:r>
          </w:p>
        </w:tc>
        <w:tc>
          <w:tcPr>
            <w:tcW w:w="6733" w:type="dxa"/>
          </w:tcPr>
          <w:p>
            <w:pPr>
              <w:ind w:right="-3"/>
              <w:jc w:val="left"/>
              <w:rPr>
                <w:rFonts w:ascii="宋体" w:hAnsi="宋体" w:cs="宋体"/>
                <w:color w:val="auto"/>
                <w:szCs w:val="21"/>
              </w:rPr>
            </w:pPr>
            <w:r>
              <w:rPr>
                <w:rFonts w:hint="eastAsia" w:ascii="宋体" w:hAnsi="宋体" w:cs="宋体"/>
                <w:color w:val="auto"/>
                <w:szCs w:val="21"/>
              </w:rPr>
              <w:t>比选人根据评比委员会的评比结果在比选有效期内向中选的比选申请人发出中选通知书。</w:t>
            </w:r>
          </w:p>
          <w:p>
            <w:pPr>
              <w:ind w:right="-3"/>
              <w:jc w:val="left"/>
              <w:rPr>
                <w:rFonts w:ascii="宋体" w:hAnsi="宋体" w:cs="宋体"/>
                <w:color w:val="auto"/>
                <w:szCs w:val="21"/>
              </w:rPr>
            </w:pPr>
            <w:r>
              <w:rPr>
                <w:rFonts w:hint="eastAsia" w:ascii="宋体" w:hAnsi="宋体" w:cs="宋体"/>
                <w:color w:val="auto"/>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970" w:type="dxa"/>
            <w:vAlign w:val="center"/>
          </w:tcPr>
          <w:p>
            <w:pPr>
              <w:jc w:val="center"/>
              <w:rPr>
                <w:rFonts w:ascii="宋体" w:hAnsi="宋体" w:cs="宋体"/>
                <w:color w:val="auto"/>
                <w:szCs w:val="21"/>
              </w:rPr>
            </w:pPr>
            <w:r>
              <w:rPr>
                <w:rFonts w:ascii="宋体" w:hAnsi="宋体" w:cs="宋体"/>
                <w:color w:val="auto"/>
                <w:szCs w:val="21"/>
              </w:rPr>
              <w:t>18</w:t>
            </w:r>
          </w:p>
        </w:tc>
        <w:tc>
          <w:tcPr>
            <w:tcW w:w="1732" w:type="dxa"/>
            <w:vAlign w:val="center"/>
          </w:tcPr>
          <w:p>
            <w:pPr>
              <w:spacing w:line="240" w:lineRule="exact"/>
              <w:rPr>
                <w:rFonts w:ascii="宋体" w:hAnsi="宋体"/>
                <w:color w:val="auto"/>
                <w:szCs w:val="21"/>
              </w:rPr>
            </w:pPr>
            <w:r>
              <w:rPr>
                <w:rFonts w:hint="eastAsia" w:ascii="宋体" w:hAnsi="宋体"/>
                <w:color w:val="auto"/>
                <w:szCs w:val="21"/>
              </w:rPr>
              <w:t>比选保证金</w:t>
            </w:r>
          </w:p>
        </w:tc>
        <w:tc>
          <w:tcPr>
            <w:tcW w:w="6733" w:type="dxa"/>
            <w:vAlign w:val="center"/>
          </w:tcPr>
          <w:p>
            <w:pPr>
              <w:spacing w:line="240" w:lineRule="exact"/>
              <w:rPr>
                <w:rFonts w:ascii="宋体" w:hAnsi="宋体"/>
                <w:color w:val="auto"/>
                <w:szCs w:val="21"/>
              </w:rPr>
            </w:pP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ascii="宋体" w:hAnsi="宋体" w:cs="宋体"/>
                <w:color w:val="auto"/>
                <w:szCs w:val="21"/>
              </w:rPr>
              <w:t>19</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联系方式</w:t>
            </w:r>
          </w:p>
        </w:tc>
        <w:tc>
          <w:tcPr>
            <w:tcW w:w="6733" w:type="dxa"/>
            <w:vAlign w:val="center"/>
          </w:tcPr>
          <w:p>
            <w:pPr>
              <w:ind w:right="753"/>
              <w:jc w:val="left"/>
              <w:rPr>
                <w:rFonts w:hint="default" w:ascii="宋体" w:hAnsi="宋体" w:eastAsia="宋体" w:cs="宋体"/>
                <w:color w:val="auto"/>
                <w:szCs w:val="21"/>
                <w:lang w:val="en-US" w:eastAsia="zh-CN"/>
              </w:rPr>
            </w:pPr>
            <w:r>
              <w:rPr>
                <w:rFonts w:hint="eastAsia" w:ascii="宋体" w:hAnsi="宋体" w:cs="宋体"/>
                <w:color w:val="auto"/>
                <w:szCs w:val="21"/>
              </w:rPr>
              <w:t>联系人：</w:t>
            </w:r>
            <w:r>
              <w:rPr>
                <w:rFonts w:hint="eastAsia" w:ascii="宋体" w:hAnsi="宋体" w:cs="宋体"/>
                <w:color w:val="auto"/>
                <w:szCs w:val="21"/>
                <w:lang w:val="en-US" w:eastAsia="zh-CN"/>
              </w:rPr>
              <w:t>吴小龙、刘俊良</w:t>
            </w:r>
          </w:p>
          <w:p>
            <w:pPr>
              <w:ind w:right="753"/>
              <w:jc w:val="left"/>
              <w:rPr>
                <w:rFonts w:hint="default" w:ascii="宋体" w:hAnsi="宋体" w:eastAsia="宋体" w:cs="宋体"/>
                <w:color w:val="auto"/>
                <w:szCs w:val="21"/>
                <w:lang w:val="en-US" w:eastAsia="zh-CN"/>
              </w:rPr>
            </w:pPr>
            <w:r>
              <w:rPr>
                <w:rFonts w:hint="eastAsia" w:ascii="宋体" w:hAnsi="宋体" w:cs="宋体"/>
                <w:color w:val="auto"/>
                <w:szCs w:val="21"/>
              </w:rPr>
              <w:t>联系电话：0771-</w:t>
            </w:r>
            <w:r>
              <w:rPr>
                <w:rFonts w:hint="eastAsia" w:ascii="宋体" w:hAnsi="宋体" w:cs="宋体"/>
                <w:color w:val="auto"/>
                <w:szCs w:val="21"/>
                <w:lang w:val="en-US" w:eastAsia="zh-CN"/>
              </w:rPr>
              <w:t>2778424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ascii="宋体" w:hAnsi="宋体" w:cs="宋体"/>
                <w:color w:val="auto"/>
                <w:szCs w:val="21"/>
              </w:rPr>
              <w:t>20</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其他事项</w:t>
            </w:r>
          </w:p>
        </w:tc>
        <w:tc>
          <w:tcPr>
            <w:tcW w:w="6733" w:type="dxa"/>
            <w:vAlign w:val="center"/>
          </w:tcPr>
          <w:p>
            <w:pPr>
              <w:ind w:right="-3"/>
              <w:jc w:val="left"/>
              <w:rPr>
                <w:rFonts w:ascii="宋体" w:hAnsi="宋体" w:cs="宋体"/>
                <w:color w:val="auto"/>
                <w:szCs w:val="21"/>
              </w:rPr>
            </w:pPr>
            <w:r>
              <w:rPr>
                <w:rFonts w:hint="eastAsia" w:ascii="宋体" w:hAnsi="宋体" w:cs="宋体"/>
                <w:color w:val="auto"/>
                <w:szCs w:val="21"/>
              </w:rPr>
              <w:t>中选单位如放弃中选资格，则比选人有权将其列入不良行为记录名单、一年内禁止其参加比选人的任何采购活动。</w:t>
            </w:r>
          </w:p>
        </w:tc>
      </w:tr>
    </w:tbl>
    <w:p>
      <w:pPr>
        <w:pStyle w:val="6"/>
        <w:jc w:val="center"/>
        <w:rPr>
          <w:color w:val="auto"/>
          <w:sz w:val="21"/>
          <w:szCs w:val="21"/>
        </w:rPr>
      </w:pPr>
      <w:bookmarkStart w:id="69" w:name="_Toc28086"/>
      <w:bookmarkStart w:id="70" w:name="_Toc6681"/>
      <w:bookmarkStart w:id="71" w:name="_Toc18983"/>
      <w:bookmarkStart w:id="72" w:name="_Toc12419"/>
      <w:bookmarkStart w:id="73" w:name="_Toc12506"/>
      <w:bookmarkStart w:id="74" w:name="_Toc26201"/>
      <w:bookmarkStart w:id="75" w:name="_Toc30162"/>
      <w:bookmarkStart w:id="76" w:name="_Toc32363"/>
      <w:bookmarkStart w:id="77" w:name="_Toc16198"/>
      <w:bookmarkStart w:id="78" w:name="_Toc461525297"/>
      <w:bookmarkStart w:id="79" w:name="_Toc336"/>
      <w:bookmarkStart w:id="80" w:name="_Toc20803"/>
      <w:bookmarkStart w:id="81" w:name="_Toc3861"/>
      <w:bookmarkStart w:id="82" w:name="_Toc471482361"/>
    </w:p>
    <w:p>
      <w:pPr>
        <w:rPr>
          <w:color w:val="auto"/>
        </w:rPr>
      </w:pPr>
    </w:p>
    <w:p>
      <w:pPr>
        <w:pStyle w:val="6"/>
        <w:jc w:val="center"/>
        <w:rPr>
          <w:color w:val="auto"/>
          <w:sz w:val="21"/>
          <w:szCs w:val="21"/>
        </w:rPr>
      </w:pPr>
    </w:p>
    <w:p>
      <w:pPr>
        <w:rPr>
          <w:color w:val="auto"/>
          <w:szCs w:val="21"/>
        </w:rPr>
      </w:pPr>
    </w:p>
    <w:p>
      <w:pPr>
        <w:pStyle w:val="2"/>
        <w:rPr>
          <w:color w:val="auto"/>
          <w:sz w:val="21"/>
          <w:szCs w:val="21"/>
        </w:rPr>
      </w:pPr>
    </w:p>
    <w:p>
      <w:pPr>
        <w:pStyle w:val="2"/>
        <w:rPr>
          <w:color w:val="auto"/>
          <w:sz w:val="21"/>
          <w:szCs w:val="21"/>
        </w:rPr>
      </w:pPr>
    </w:p>
    <w:p>
      <w:pPr>
        <w:pStyle w:val="2"/>
        <w:rPr>
          <w:color w:val="auto"/>
          <w:sz w:val="21"/>
          <w:szCs w:val="21"/>
        </w:rPr>
      </w:pPr>
    </w:p>
    <w:p>
      <w:pPr>
        <w:pStyle w:val="2"/>
        <w:rPr>
          <w:color w:val="auto"/>
          <w:sz w:val="21"/>
          <w:szCs w:val="21"/>
        </w:rPr>
      </w:pPr>
    </w:p>
    <w:p>
      <w:pPr>
        <w:pStyle w:val="2"/>
        <w:rPr>
          <w:color w:val="auto"/>
          <w:sz w:val="21"/>
          <w:szCs w:val="21"/>
        </w:rPr>
      </w:pPr>
    </w:p>
    <w:p>
      <w:pPr>
        <w:pStyle w:val="6"/>
        <w:jc w:val="center"/>
        <w:rPr>
          <w:color w:val="auto"/>
          <w:sz w:val="21"/>
          <w:szCs w:val="21"/>
        </w:rPr>
      </w:pPr>
      <w:r>
        <w:rPr>
          <w:rFonts w:hint="eastAsia"/>
          <w:color w:val="auto"/>
          <w:sz w:val="21"/>
          <w:szCs w:val="21"/>
        </w:rPr>
        <w:t xml:space="preserve"> </w:t>
      </w:r>
    </w:p>
    <w:p>
      <w:pPr>
        <w:rPr>
          <w:color w:val="auto"/>
        </w:rPr>
      </w:pPr>
    </w:p>
    <w:p>
      <w:pPr>
        <w:pStyle w:val="6"/>
        <w:jc w:val="center"/>
        <w:rPr>
          <w:color w:val="auto"/>
          <w:sz w:val="21"/>
          <w:szCs w:val="21"/>
        </w:rPr>
      </w:pPr>
    </w:p>
    <w:p>
      <w:pPr>
        <w:pStyle w:val="6"/>
        <w:jc w:val="center"/>
        <w:rPr>
          <w:color w:val="auto"/>
          <w:sz w:val="21"/>
          <w:szCs w:val="21"/>
        </w:rPr>
      </w:pPr>
      <w:bookmarkStart w:id="83" w:name="_Toc23748"/>
      <w:bookmarkStart w:id="84" w:name="_Toc18711"/>
      <w:bookmarkStart w:id="85" w:name="_Toc22648"/>
      <w:bookmarkStart w:id="86" w:name="_Toc11035"/>
      <w:r>
        <w:rPr>
          <w:rFonts w:hint="eastAsia"/>
          <w:color w:val="auto"/>
          <w:sz w:val="21"/>
          <w:szCs w:val="21"/>
        </w:rPr>
        <w:t>一、</w:t>
      </w:r>
      <w:r>
        <w:rPr>
          <w:color w:val="auto"/>
          <w:sz w:val="21"/>
          <w:szCs w:val="21"/>
        </w:rPr>
        <w:t>总则</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ind w:right="753"/>
        <w:jc w:val="left"/>
        <w:rPr>
          <w:rFonts w:ascii="宋体" w:hAnsi="宋体" w:cs="宋体"/>
          <w:color w:val="auto"/>
          <w:szCs w:val="21"/>
        </w:rPr>
      </w:pPr>
      <w:bookmarkStart w:id="87" w:name="_Toc286386834"/>
      <w:bookmarkStart w:id="88" w:name="_Toc114052340"/>
      <w:bookmarkStart w:id="89" w:name="_Toc310318572"/>
      <w:bookmarkStart w:id="90" w:name="_Toc114052414"/>
      <w:r>
        <w:rPr>
          <w:rFonts w:hint="eastAsia" w:ascii="宋体" w:hAnsi="宋体" w:cs="宋体"/>
          <w:color w:val="auto"/>
          <w:szCs w:val="21"/>
        </w:rPr>
        <w:t xml:space="preserve">    1.项目比选说明</w:t>
      </w:r>
      <w:bookmarkEnd w:id="87"/>
      <w:bookmarkEnd w:id="88"/>
      <w:bookmarkEnd w:id="89"/>
      <w:bookmarkEnd w:id="90"/>
    </w:p>
    <w:p>
      <w:pPr>
        <w:ind w:right="-21"/>
        <w:jc w:val="left"/>
        <w:rPr>
          <w:rFonts w:ascii="宋体" w:hAnsi="宋体" w:cs="宋体"/>
          <w:color w:val="auto"/>
          <w:szCs w:val="21"/>
        </w:rPr>
      </w:pPr>
      <w:r>
        <w:rPr>
          <w:rFonts w:hint="eastAsia" w:ascii="宋体" w:hAnsi="宋体" w:cs="宋体"/>
          <w:color w:val="auto"/>
          <w:szCs w:val="21"/>
        </w:rPr>
        <w:t xml:space="preserve">    1.1 项目比选的说明见比选须知前附表（以下称“前附表”）第1项～第</w:t>
      </w:r>
      <w:r>
        <w:rPr>
          <w:rFonts w:ascii="宋体" w:hAnsi="宋体" w:cs="宋体"/>
          <w:color w:val="auto"/>
          <w:szCs w:val="21"/>
        </w:rPr>
        <w:t>20</w:t>
      </w:r>
      <w:r>
        <w:rPr>
          <w:rFonts w:hint="eastAsia" w:ascii="宋体" w:hAnsi="宋体" w:cs="宋体"/>
          <w:color w:val="auto"/>
          <w:szCs w:val="21"/>
        </w:rPr>
        <w:t>项所述。</w:t>
      </w:r>
    </w:p>
    <w:p>
      <w:pPr>
        <w:ind w:right="-21"/>
        <w:jc w:val="left"/>
        <w:rPr>
          <w:rFonts w:ascii="宋体" w:hAnsi="宋体" w:cs="宋体"/>
          <w:color w:val="auto"/>
          <w:szCs w:val="21"/>
        </w:rPr>
      </w:pPr>
      <w:r>
        <w:rPr>
          <w:rFonts w:hint="eastAsia" w:ascii="宋体" w:hAnsi="宋体" w:cs="宋体"/>
          <w:color w:val="auto"/>
          <w:szCs w:val="21"/>
        </w:rPr>
        <w:t xml:space="preserve">    1.2 上述项目按照国家有关的法律、法规作为依据，并按照南宁市政府现行有关规定执行，南宁铁路枢纽投资有限公司现通过邀请比选来择优选定服务单位。</w:t>
      </w:r>
    </w:p>
    <w:p>
      <w:pPr>
        <w:ind w:right="753"/>
        <w:jc w:val="left"/>
        <w:rPr>
          <w:rFonts w:ascii="宋体" w:hAnsi="宋体" w:cs="宋体"/>
          <w:color w:val="auto"/>
          <w:szCs w:val="21"/>
        </w:rPr>
      </w:pPr>
      <w:r>
        <w:rPr>
          <w:rFonts w:hint="eastAsia" w:ascii="宋体" w:hAnsi="宋体" w:cs="宋体"/>
          <w:color w:val="auto"/>
          <w:szCs w:val="21"/>
        </w:rPr>
        <w:t xml:space="preserve">    2.工作内容及比选申请人项目负责人职责：</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2.1所提交的书面成果包括但不限于以下内容：</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（1）</w:t>
      </w:r>
      <w:r>
        <w:rPr>
          <w:rFonts w:hint="eastAsia"/>
          <w:color w:val="auto"/>
          <w:szCs w:val="21"/>
        </w:rPr>
        <w:t>南宁铁路枢纽投资有限公司“十四五”战略规划及2035远景展望报告，以及战略规划分解落实计划</w:t>
      </w:r>
      <w:r>
        <w:rPr>
          <w:rFonts w:hint="eastAsia" w:ascii="宋体" w:hAnsi="宋体" w:cs="宋体"/>
          <w:color w:val="auto"/>
          <w:szCs w:val="21"/>
          <w:u w:val="single"/>
        </w:rPr>
        <w:t>；</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（2）</w:t>
      </w:r>
      <w:r>
        <w:rPr>
          <w:rFonts w:hint="eastAsia"/>
          <w:color w:val="auto"/>
          <w:szCs w:val="21"/>
        </w:rPr>
        <w:t>承载企业文化核心理念的《企业文化手册》《员工手册》设计成果，以及企业标志、企业标准字体、企业标准色等公司VI视觉识别系统设计及应用设计（含办公用品识别等）的设计成果</w:t>
      </w:r>
      <w:r>
        <w:rPr>
          <w:rFonts w:hint="eastAsia" w:ascii="宋体" w:hAnsi="宋体" w:cs="宋体"/>
          <w:color w:val="auto"/>
          <w:szCs w:val="21"/>
          <w:u w:val="single"/>
        </w:rPr>
        <w:t>；</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（3）</w:t>
      </w:r>
      <w:r>
        <w:rPr>
          <w:rFonts w:hint="eastAsia"/>
          <w:color w:val="auto"/>
          <w:szCs w:val="21"/>
        </w:rPr>
        <w:t>调研考察报告</w:t>
      </w:r>
      <w:r>
        <w:rPr>
          <w:rFonts w:hint="eastAsia" w:ascii="宋体" w:hAnsi="宋体" w:cs="宋体"/>
          <w:color w:val="auto"/>
          <w:szCs w:val="21"/>
          <w:u w:val="single"/>
        </w:rPr>
        <w:t>；</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2.2比选申请人项目负责人职责：</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（1）在调研访谈阶段，参与和公司领导班子成员的沟通，了解企业状况，并有针对性的安排和指导开展下一步工作；</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（2）指导项目方案的框架思路，审核项目方案的质量，参与项目方案的重要节点汇报研讨，以及在甲方认为有必要时，需与甲方主要领导当面进行沟通；</w:t>
      </w:r>
    </w:p>
    <w:p>
      <w:pPr>
        <w:ind w:right="-21" w:firstLine="420" w:firstLineChars="200"/>
        <w:jc w:val="left"/>
        <w:rPr>
          <w:rFonts w:ascii="宋体" w:hAnsi="宋体" w:cs="宋体"/>
          <w:color w:val="auto"/>
          <w:szCs w:val="21"/>
          <w:u w:val="single"/>
        </w:rPr>
      </w:pPr>
      <w:r>
        <w:rPr>
          <w:rFonts w:hint="eastAsia" w:ascii="宋体" w:hAnsi="宋体" w:cs="宋体"/>
          <w:color w:val="auto"/>
          <w:szCs w:val="21"/>
          <w:u w:val="single"/>
        </w:rPr>
        <w:t>（3）指导项目团队开展咨询实施工作，定期对前一阶段的咨询工作效果进行宏观评价，并对下一阶段咨询工作的推进给予方向性的指引。</w:t>
      </w:r>
    </w:p>
    <w:p>
      <w:pPr>
        <w:ind w:right="753"/>
        <w:jc w:val="left"/>
        <w:rPr>
          <w:rFonts w:ascii="宋体" w:hAnsi="宋体" w:cs="宋体"/>
          <w:color w:val="auto"/>
          <w:szCs w:val="21"/>
        </w:rPr>
      </w:pPr>
      <w:r>
        <w:rPr>
          <w:rFonts w:hint="eastAsia" w:ascii="宋体" w:hAnsi="宋体" w:cs="宋体"/>
          <w:color w:val="auto"/>
          <w:szCs w:val="21"/>
        </w:rPr>
        <w:t xml:space="preserve">    3.资金来源</w:t>
      </w:r>
    </w:p>
    <w:p>
      <w:pPr>
        <w:ind w:right="753"/>
        <w:jc w:val="left"/>
        <w:rPr>
          <w:rFonts w:ascii="宋体" w:hAnsi="宋体" w:cs="宋体"/>
          <w:color w:val="auto"/>
          <w:szCs w:val="21"/>
        </w:rPr>
      </w:pPr>
      <w:r>
        <w:rPr>
          <w:rFonts w:hint="eastAsia" w:ascii="宋体" w:hAnsi="宋体" w:cs="宋体"/>
          <w:color w:val="auto"/>
          <w:szCs w:val="21"/>
        </w:rPr>
        <w:t xml:space="preserve">    资金来源见前附表第4项所述。</w:t>
      </w:r>
    </w:p>
    <w:p>
      <w:pPr>
        <w:ind w:right="753"/>
        <w:jc w:val="left"/>
        <w:rPr>
          <w:rFonts w:ascii="宋体" w:hAnsi="宋体" w:cs="宋体"/>
          <w:color w:val="auto"/>
          <w:szCs w:val="21"/>
        </w:rPr>
      </w:pPr>
      <w:r>
        <w:rPr>
          <w:rFonts w:hint="eastAsia" w:ascii="宋体" w:hAnsi="宋体" w:cs="宋体"/>
          <w:color w:val="auto"/>
          <w:szCs w:val="21"/>
        </w:rPr>
        <w:t xml:space="preserve">    4.</w:t>
      </w:r>
      <w:bookmarkStart w:id="91" w:name="_Toc286386836"/>
      <w:bookmarkStart w:id="92" w:name="_Toc114052416"/>
      <w:bookmarkStart w:id="93" w:name="_Toc114052342"/>
      <w:bookmarkStart w:id="94" w:name="_Toc310318574"/>
      <w:r>
        <w:rPr>
          <w:rFonts w:hint="eastAsia" w:ascii="宋体" w:hAnsi="宋体" w:cs="宋体"/>
          <w:color w:val="auto"/>
          <w:szCs w:val="21"/>
        </w:rPr>
        <w:t>比选申请人资格要求</w:t>
      </w:r>
      <w:bookmarkEnd w:id="91"/>
      <w:bookmarkEnd w:id="92"/>
      <w:bookmarkEnd w:id="93"/>
      <w:bookmarkEnd w:id="94"/>
    </w:p>
    <w:p>
      <w:pPr>
        <w:ind w:right="-21"/>
        <w:jc w:val="left"/>
        <w:rPr>
          <w:rFonts w:ascii="宋体" w:hAnsi="宋体" w:cs="宋体"/>
          <w:color w:val="auto"/>
          <w:szCs w:val="21"/>
        </w:rPr>
      </w:pPr>
      <w:r>
        <w:rPr>
          <w:rFonts w:hint="eastAsia" w:ascii="宋体" w:hAnsi="宋体" w:cs="宋体"/>
          <w:color w:val="auto"/>
          <w:szCs w:val="21"/>
        </w:rPr>
        <w:t xml:space="preserve">    4.1比选申请人必须具有前附表第</w:t>
      </w:r>
      <w:r>
        <w:rPr>
          <w:rFonts w:ascii="宋体" w:hAnsi="宋体" w:cs="宋体"/>
          <w:color w:val="auto"/>
          <w:szCs w:val="21"/>
        </w:rPr>
        <w:t>9</w:t>
      </w:r>
      <w:r>
        <w:rPr>
          <w:rFonts w:hint="eastAsia" w:ascii="宋体" w:hAnsi="宋体" w:cs="宋体"/>
          <w:color w:val="auto"/>
          <w:szCs w:val="21"/>
        </w:rPr>
        <w:t>项相应的资质及要求。</w:t>
      </w:r>
    </w:p>
    <w:p>
      <w:pPr>
        <w:ind w:right="753"/>
        <w:jc w:val="left"/>
        <w:rPr>
          <w:rFonts w:ascii="宋体" w:hAnsi="宋体" w:cs="宋体"/>
          <w:color w:val="auto"/>
          <w:szCs w:val="21"/>
        </w:rPr>
      </w:pPr>
      <w:r>
        <w:rPr>
          <w:rFonts w:hint="eastAsia" w:ascii="宋体" w:hAnsi="宋体" w:cs="宋体"/>
          <w:color w:val="auto"/>
          <w:szCs w:val="21"/>
        </w:rPr>
        <w:t xml:space="preserve">    5.</w:t>
      </w:r>
      <w:bookmarkStart w:id="95" w:name="_Toc114052343"/>
      <w:bookmarkStart w:id="96" w:name="_Toc286386837"/>
      <w:bookmarkStart w:id="97" w:name="_Toc114052417"/>
      <w:bookmarkStart w:id="98" w:name="_Toc310318575"/>
      <w:r>
        <w:rPr>
          <w:rFonts w:hint="eastAsia" w:ascii="宋体" w:hAnsi="宋体" w:cs="宋体"/>
          <w:color w:val="auto"/>
          <w:szCs w:val="21"/>
        </w:rPr>
        <w:t>申请比选费用</w:t>
      </w:r>
      <w:bookmarkEnd w:id="95"/>
      <w:bookmarkEnd w:id="96"/>
      <w:bookmarkEnd w:id="97"/>
      <w:bookmarkEnd w:id="98"/>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5.1 比选申请人应承担其编制文件与递交文件所涉及的一切费用。不管评比结果如何，比选人对上述费用不负任何责任。</w:t>
      </w:r>
    </w:p>
    <w:p>
      <w:pPr>
        <w:pStyle w:val="6"/>
        <w:jc w:val="center"/>
        <w:rPr>
          <w:color w:val="auto"/>
          <w:sz w:val="21"/>
          <w:szCs w:val="21"/>
        </w:rPr>
      </w:pPr>
      <w:bookmarkStart w:id="99" w:name="_Toc22143"/>
      <w:bookmarkStart w:id="100" w:name="_Toc15439"/>
      <w:bookmarkStart w:id="101" w:name="_Toc461525298"/>
      <w:bookmarkStart w:id="102" w:name="_Toc471482362"/>
      <w:bookmarkStart w:id="103" w:name="_Toc22603"/>
      <w:bookmarkStart w:id="104" w:name="_Toc17323"/>
      <w:bookmarkStart w:id="105" w:name="_Toc16023"/>
      <w:bookmarkStart w:id="106" w:name="_Toc15985"/>
      <w:bookmarkStart w:id="107" w:name="_Toc3066"/>
      <w:bookmarkStart w:id="108" w:name="_Toc6541"/>
      <w:bookmarkStart w:id="109" w:name="_Toc20661"/>
      <w:bookmarkStart w:id="110" w:name="_Toc17725"/>
      <w:bookmarkStart w:id="111" w:name="_Toc26141"/>
      <w:bookmarkStart w:id="112" w:name="_Toc5207"/>
      <w:bookmarkStart w:id="113" w:name="_Toc16846"/>
      <w:bookmarkStart w:id="114" w:name="_Toc8029"/>
      <w:bookmarkStart w:id="115" w:name="_Toc25256"/>
      <w:bookmarkStart w:id="116" w:name="_Toc18809"/>
      <w:r>
        <w:rPr>
          <w:rFonts w:hint="eastAsia"/>
          <w:color w:val="auto"/>
          <w:sz w:val="21"/>
          <w:szCs w:val="21"/>
        </w:rPr>
        <w:t>二、</w:t>
      </w:r>
      <w:r>
        <w:rPr>
          <w:color w:val="auto"/>
          <w:sz w:val="21"/>
          <w:szCs w:val="21"/>
        </w:rPr>
        <w:t>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ind w:right="753"/>
        <w:jc w:val="left"/>
        <w:rPr>
          <w:rFonts w:ascii="宋体" w:hAnsi="宋体" w:cs="宋体"/>
          <w:color w:val="auto"/>
          <w:szCs w:val="21"/>
        </w:rPr>
      </w:pPr>
      <w:r>
        <w:rPr>
          <w:rFonts w:hint="eastAsia" w:ascii="宋体" w:hAnsi="宋体" w:cs="宋体"/>
          <w:color w:val="auto"/>
          <w:szCs w:val="21"/>
        </w:rPr>
        <w:t xml:space="preserve">    6.</w:t>
      </w:r>
      <w:bookmarkStart w:id="117" w:name="_Toc286386839"/>
      <w:bookmarkStart w:id="118" w:name="_Toc114052345"/>
      <w:bookmarkStart w:id="119" w:name="_Toc114052419"/>
      <w:bookmarkStart w:id="120" w:name="_Toc310318577"/>
      <w:r>
        <w:rPr>
          <w:rFonts w:hint="eastAsia" w:ascii="宋体" w:hAnsi="宋体" w:cs="宋体"/>
          <w:color w:val="auto"/>
          <w:szCs w:val="21"/>
        </w:rPr>
        <w:t>比选文件的组成</w:t>
      </w:r>
      <w:bookmarkEnd w:id="117"/>
      <w:bookmarkEnd w:id="118"/>
      <w:bookmarkEnd w:id="119"/>
      <w:bookmarkEnd w:id="120"/>
    </w:p>
    <w:p>
      <w:pPr>
        <w:ind w:right="-21"/>
        <w:jc w:val="left"/>
        <w:rPr>
          <w:rFonts w:ascii="宋体" w:hAnsi="宋体" w:cs="宋体"/>
          <w:color w:val="auto"/>
          <w:szCs w:val="21"/>
        </w:rPr>
      </w:pPr>
      <w:r>
        <w:rPr>
          <w:rFonts w:hint="eastAsia" w:ascii="宋体" w:hAnsi="宋体" w:cs="宋体"/>
          <w:color w:val="auto"/>
          <w:szCs w:val="21"/>
        </w:rPr>
        <w:t xml:space="preserve">    6.1比选文件包括比选须知前附表、比选须知、合同条款（格式）、比选申请文件格式、评比办法。</w:t>
      </w:r>
    </w:p>
    <w:p>
      <w:pPr>
        <w:ind w:right="-21"/>
        <w:jc w:val="left"/>
        <w:rPr>
          <w:rFonts w:ascii="宋体" w:hAnsi="宋体" w:cs="宋体"/>
          <w:color w:val="auto"/>
          <w:szCs w:val="21"/>
        </w:rPr>
      </w:pPr>
      <w:r>
        <w:rPr>
          <w:rFonts w:hint="eastAsia" w:ascii="宋体" w:hAnsi="宋体" w:cs="宋体"/>
          <w:color w:val="auto"/>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color w:val="auto"/>
          <w:szCs w:val="21"/>
        </w:rPr>
      </w:pPr>
      <w:r>
        <w:rPr>
          <w:rFonts w:hint="eastAsia" w:ascii="宋体" w:hAnsi="宋体" w:cs="宋体"/>
          <w:color w:val="auto"/>
          <w:szCs w:val="21"/>
        </w:rPr>
        <w:t xml:space="preserve">    7.</w:t>
      </w:r>
      <w:bookmarkStart w:id="121" w:name="_Toc286386840"/>
      <w:bookmarkStart w:id="122" w:name="_Toc310318578"/>
      <w:bookmarkStart w:id="123" w:name="_Toc114052420"/>
      <w:bookmarkStart w:id="124" w:name="_Toc114052346"/>
      <w:r>
        <w:rPr>
          <w:rFonts w:hint="eastAsia" w:ascii="宋体" w:hAnsi="宋体" w:cs="宋体"/>
          <w:color w:val="auto"/>
          <w:szCs w:val="21"/>
        </w:rPr>
        <w:t>比选文件的解释</w:t>
      </w:r>
      <w:bookmarkEnd w:id="121"/>
      <w:bookmarkEnd w:id="122"/>
      <w:bookmarkEnd w:id="123"/>
      <w:bookmarkEnd w:id="124"/>
    </w:p>
    <w:p>
      <w:pPr>
        <w:ind w:right="-21"/>
        <w:jc w:val="left"/>
        <w:rPr>
          <w:rFonts w:ascii="宋体" w:hAnsi="宋体" w:cs="宋体"/>
          <w:color w:val="auto"/>
          <w:szCs w:val="21"/>
        </w:rPr>
      </w:pPr>
      <w:r>
        <w:rPr>
          <w:rFonts w:hint="eastAsia" w:ascii="宋体" w:hAnsi="宋体" w:cs="宋体"/>
          <w:color w:val="auto"/>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3个工作日前的正常工作时间内，用当面递交或传真书面通知比选人，其他方式为无效。比选人将于递交文件截止时间2天前以书面形式,予以答复。</w:t>
      </w:r>
    </w:p>
    <w:p>
      <w:pPr>
        <w:ind w:right="753"/>
        <w:jc w:val="left"/>
        <w:rPr>
          <w:rFonts w:ascii="宋体" w:hAnsi="宋体" w:cs="宋体"/>
          <w:color w:val="auto"/>
          <w:szCs w:val="21"/>
        </w:rPr>
      </w:pPr>
      <w:r>
        <w:rPr>
          <w:rFonts w:hint="eastAsia" w:ascii="宋体" w:hAnsi="宋体" w:cs="宋体"/>
          <w:color w:val="auto"/>
          <w:szCs w:val="21"/>
        </w:rPr>
        <w:t xml:space="preserve">    8.</w:t>
      </w:r>
      <w:bookmarkStart w:id="125" w:name="_Toc114052421"/>
      <w:bookmarkStart w:id="126" w:name="_Toc114052347"/>
      <w:bookmarkStart w:id="127" w:name="_Toc310318579"/>
      <w:bookmarkStart w:id="128" w:name="_Toc286386841"/>
      <w:r>
        <w:rPr>
          <w:rFonts w:hint="eastAsia" w:ascii="宋体" w:hAnsi="宋体" w:cs="宋体"/>
          <w:color w:val="auto"/>
          <w:szCs w:val="21"/>
        </w:rPr>
        <w:t>比选文件的修改</w:t>
      </w:r>
      <w:bookmarkEnd w:id="125"/>
      <w:bookmarkEnd w:id="126"/>
      <w:bookmarkEnd w:id="127"/>
      <w:bookmarkEnd w:id="128"/>
    </w:p>
    <w:p>
      <w:pPr>
        <w:ind w:right="-21"/>
        <w:jc w:val="left"/>
        <w:rPr>
          <w:rFonts w:ascii="宋体" w:hAnsi="宋体" w:cs="宋体"/>
          <w:color w:val="auto"/>
          <w:szCs w:val="21"/>
        </w:rPr>
      </w:pPr>
      <w:r>
        <w:rPr>
          <w:rFonts w:hint="eastAsia" w:ascii="宋体" w:hAnsi="宋体" w:cs="宋体"/>
          <w:color w:val="auto"/>
          <w:szCs w:val="21"/>
        </w:rPr>
        <w:t xml:space="preserve">    8.1 在递交文件截止日期前2天，比选人可以采用补充通知的方式修改比选文件。</w:t>
      </w:r>
    </w:p>
    <w:p>
      <w:pPr>
        <w:ind w:right="-21"/>
        <w:jc w:val="left"/>
        <w:rPr>
          <w:rFonts w:ascii="宋体" w:hAnsi="宋体" w:cs="宋体"/>
          <w:color w:val="auto"/>
          <w:szCs w:val="21"/>
        </w:rPr>
      </w:pPr>
      <w:r>
        <w:rPr>
          <w:rFonts w:hint="eastAsia" w:ascii="宋体" w:hAnsi="宋体" w:cs="宋体"/>
          <w:color w:val="auto"/>
          <w:szCs w:val="21"/>
        </w:rPr>
        <w:t xml:space="preserve">    8.2 补充通知将以书面形式，通知比选申请人，补充通知作为比选文件的组成部分，对比选申请人起约束作用。</w:t>
      </w:r>
    </w:p>
    <w:p>
      <w:pPr>
        <w:pStyle w:val="6"/>
        <w:jc w:val="center"/>
        <w:rPr>
          <w:color w:val="auto"/>
          <w:sz w:val="21"/>
          <w:szCs w:val="21"/>
        </w:rPr>
      </w:pPr>
      <w:bookmarkStart w:id="129" w:name="_Toc30617"/>
      <w:bookmarkStart w:id="130" w:name="_Toc6395"/>
      <w:bookmarkStart w:id="131" w:name="_Toc461525299"/>
      <w:bookmarkStart w:id="132" w:name="_Toc8738"/>
      <w:bookmarkStart w:id="133" w:name="_Toc9684"/>
      <w:bookmarkStart w:id="134" w:name="_Toc24574"/>
      <w:bookmarkStart w:id="135" w:name="_Toc9199"/>
      <w:bookmarkStart w:id="136" w:name="_Toc471482363"/>
      <w:bookmarkStart w:id="137" w:name="_Toc29216"/>
      <w:bookmarkStart w:id="138" w:name="_Toc18772"/>
      <w:bookmarkStart w:id="139" w:name="_Toc9166"/>
      <w:bookmarkStart w:id="140" w:name="_Toc10523"/>
      <w:bookmarkStart w:id="141" w:name="_Toc24464"/>
      <w:bookmarkStart w:id="142" w:name="_Toc9453"/>
      <w:bookmarkStart w:id="143" w:name="_Toc18307"/>
      <w:bookmarkStart w:id="144" w:name="_Toc26897"/>
      <w:bookmarkStart w:id="145" w:name="_Toc8400"/>
      <w:bookmarkStart w:id="146" w:name="_Toc19209"/>
      <w:r>
        <w:rPr>
          <w:rFonts w:hint="eastAsia"/>
          <w:color w:val="auto"/>
          <w:sz w:val="21"/>
          <w:szCs w:val="21"/>
        </w:rPr>
        <w:t>三、申请比选报价说明</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ind w:right="753"/>
        <w:jc w:val="left"/>
        <w:rPr>
          <w:rFonts w:ascii="宋体" w:hAnsi="宋体" w:cs="宋体"/>
          <w:color w:val="auto"/>
          <w:szCs w:val="21"/>
        </w:rPr>
      </w:pPr>
      <w:r>
        <w:rPr>
          <w:rFonts w:hint="eastAsia" w:ascii="宋体" w:hAnsi="宋体" w:cs="宋体"/>
          <w:color w:val="auto"/>
          <w:szCs w:val="21"/>
        </w:rPr>
        <w:t xml:space="preserve">    9.</w:t>
      </w:r>
      <w:bookmarkStart w:id="147" w:name="_Toc286386843"/>
      <w:bookmarkStart w:id="148" w:name="_Toc114052349"/>
      <w:bookmarkStart w:id="149" w:name="_Toc114052423"/>
      <w:bookmarkStart w:id="150" w:name="_Toc310318581"/>
      <w:r>
        <w:rPr>
          <w:rFonts w:hint="eastAsia" w:ascii="宋体" w:hAnsi="宋体" w:cs="宋体"/>
          <w:color w:val="auto"/>
          <w:szCs w:val="21"/>
        </w:rPr>
        <w:t>申请比选</w:t>
      </w:r>
      <w:bookmarkEnd w:id="147"/>
      <w:bookmarkEnd w:id="148"/>
      <w:bookmarkEnd w:id="149"/>
      <w:r>
        <w:rPr>
          <w:rFonts w:hint="eastAsia" w:ascii="宋体" w:hAnsi="宋体" w:cs="宋体"/>
          <w:color w:val="auto"/>
          <w:szCs w:val="21"/>
        </w:rPr>
        <w:t>报价</w:t>
      </w:r>
      <w:bookmarkEnd w:id="150"/>
    </w:p>
    <w:p>
      <w:pPr>
        <w:ind w:right="753"/>
        <w:jc w:val="left"/>
        <w:rPr>
          <w:rFonts w:ascii="宋体" w:hAnsi="宋体" w:cs="宋体"/>
          <w:color w:val="auto"/>
          <w:szCs w:val="21"/>
        </w:rPr>
      </w:pPr>
      <w:r>
        <w:rPr>
          <w:rFonts w:hint="eastAsia" w:ascii="宋体" w:hAnsi="宋体" w:cs="宋体"/>
          <w:color w:val="auto"/>
          <w:szCs w:val="21"/>
        </w:rPr>
        <w:t xml:space="preserve">    9.1申请比选报价见比选须知前附表第</w:t>
      </w:r>
      <w:r>
        <w:rPr>
          <w:rFonts w:ascii="宋体" w:hAnsi="宋体" w:cs="宋体"/>
          <w:color w:val="auto"/>
          <w:szCs w:val="21"/>
        </w:rPr>
        <w:t>7</w:t>
      </w:r>
      <w:r>
        <w:rPr>
          <w:rFonts w:hint="eastAsia" w:ascii="宋体" w:hAnsi="宋体" w:cs="宋体"/>
          <w:color w:val="auto"/>
          <w:szCs w:val="21"/>
        </w:rPr>
        <w:t>项所述。</w:t>
      </w:r>
    </w:p>
    <w:p>
      <w:pPr>
        <w:pStyle w:val="6"/>
        <w:jc w:val="center"/>
        <w:rPr>
          <w:color w:val="auto"/>
          <w:sz w:val="21"/>
          <w:szCs w:val="21"/>
        </w:rPr>
      </w:pPr>
      <w:bookmarkStart w:id="151" w:name="_Toc18607"/>
      <w:bookmarkStart w:id="152" w:name="_Toc31461"/>
      <w:bookmarkStart w:id="153" w:name="_Toc25629"/>
      <w:bookmarkStart w:id="154" w:name="_Toc15495"/>
      <w:bookmarkStart w:id="155" w:name="_Toc26723"/>
      <w:bookmarkStart w:id="156" w:name="_Toc23191"/>
      <w:bookmarkStart w:id="157" w:name="_Toc11943"/>
      <w:bookmarkStart w:id="158" w:name="_Toc5583"/>
      <w:bookmarkStart w:id="159" w:name="_Toc32635"/>
      <w:bookmarkStart w:id="160" w:name="_Toc2346"/>
      <w:bookmarkStart w:id="161" w:name="_Toc17188"/>
      <w:bookmarkStart w:id="162" w:name="_Toc17722"/>
      <w:bookmarkStart w:id="163" w:name="_Toc23455"/>
      <w:bookmarkStart w:id="164" w:name="_Toc27564"/>
      <w:bookmarkStart w:id="165" w:name="_Toc25856"/>
      <w:bookmarkStart w:id="166" w:name="_Toc471482364"/>
      <w:bookmarkStart w:id="167" w:name="_Toc461525300"/>
      <w:bookmarkStart w:id="168" w:name="_Toc17259"/>
      <w:r>
        <w:rPr>
          <w:rFonts w:hint="eastAsia"/>
          <w:color w:val="auto"/>
          <w:sz w:val="21"/>
          <w:szCs w:val="21"/>
        </w:rPr>
        <w:t>四、比选申请文件的编制</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ind w:right="753"/>
        <w:jc w:val="left"/>
        <w:rPr>
          <w:rFonts w:ascii="宋体" w:hAnsi="宋体" w:cs="宋体"/>
          <w:color w:val="auto"/>
          <w:szCs w:val="21"/>
        </w:rPr>
      </w:pPr>
      <w:r>
        <w:rPr>
          <w:rFonts w:hint="eastAsia" w:ascii="宋体" w:hAnsi="宋体" w:cs="宋体"/>
          <w:color w:val="auto"/>
          <w:szCs w:val="21"/>
        </w:rPr>
        <w:t xml:space="preserve">    10.</w:t>
      </w:r>
      <w:bookmarkStart w:id="169" w:name="_Toc310318583"/>
      <w:bookmarkStart w:id="170" w:name="_Toc286386845"/>
      <w:r>
        <w:rPr>
          <w:rFonts w:hint="eastAsia" w:ascii="宋体" w:hAnsi="宋体" w:cs="宋体"/>
          <w:color w:val="auto"/>
          <w:szCs w:val="21"/>
        </w:rPr>
        <w:t>比选申请文件编写注意事项</w:t>
      </w:r>
      <w:bookmarkEnd w:id="169"/>
      <w:bookmarkEnd w:id="170"/>
    </w:p>
    <w:p>
      <w:pPr>
        <w:ind w:right="-21"/>
        <w:jc w:val="left"/>
        <w:rPr>
          <w:rFonts w:ascii="宋体" w:hAnsi="宋体" w:cs="宋体"/>
          <w:color w:val="auto"/>
          <w:szCs w:val="21"/>
        </w:rPr>
      </w:pPr>
      <w:r>
        <w:rPr>
          <w:rFonts w:hint="eastAsia" w:ascii="宋体" w:hAnsi="宋体" w:cs="宋体"/>
          <w:color w:val="auto"/>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rPr>
      </w:pPr>
      <w:r>
        <w:rPr>
          <w:rFonts w:hint="eastAsia" w:ascii="宋体" w:hAnsi="宋体" w:cs="宋体"/>
          <w:color w:val="auto"/>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rPr>
      </w:pPr>
      <w:r>
        <w:rPr>
          <w:rFonts w:hint="eastAsia" w:ascii="宋体" w:hAnsi="宋体" w:cs="宋体"/>
          <w:color w:val="auto"/>
          <w:szCs w:val="21"/>
        </w:rPr>
        <w:t xml:space="preserve">    10.3比选申请人的比选申请文件所有来往函件统一使用中文(特别规定除外)。</w:t>
      </w:r>
    </w:p>
    <w:p>
      <w:pPr>
        <w:ind w:right="-21"/>
        <w:jc w:val="left"/>
        <w:rPr>
          <w:rFonts w:ascii="宋体" w:hAnsi="宋体" w:cs="宋体"/>
          <w:color w:val="auto"/>
          <w:szCs w:val="21"/>
        </w:rPr>
      </w:pPr>
      <w:r>
        <w:rPr>
          <w:rFonts w:hint="eastAsia" w:ascii="宋体" w:hAnsi="宋体" w:cs="宋体"/>
          <w:color w:val="auto"/>
          <w:szCs w:val="21"/>
        </w:rPr>
        <w:t xml:space="preserve">    10.4比选申请文件中使用的计量单位除比选文件中有特殊规定外，一律使用法定计量单位。</w:t>
      </w:r>
    </w:p>
    <w:p>
      <w:pPr>
        <w:ind w:right="753"/>
        <w:jc w:val="left"/>
        <w:rPr>
          <w:rFonts w:ascii="宋体" w:hAnsi="宋体" w:cs="宋体"/>
          <w:color w:val="auto"/>
          <w:szCs w:val="21"/>
        </w:rPr>
      </w:pPr>
      <w:bookmarkStart w:id="171" w:name="_Toc286386846"/>
      <w:bookmarkStart w:id="172" w:name="_Toc114052352"/>
      <w:bookmarkStart w:id="173" w:name="_Toc310318584"/>
      <w:bookmarkStart w:id="174" w:name="_Toc114052426"/>
      <w:r>
        <w:rPr>
          <w:rFonts w:hint="eastAsia" w:ascii="宋体" w:hAnsi="宋体" w:cs="宋体"/>
          <w:color w:val="auto"/>
          <w:szCs w:val="21"/>
        </w:rPr>
        <w:t xml:space="preserve">    11.比选申请文件的组成</w:t>
      </w:r>
      <w:bookmarkEnd w:id="171"/>
      <w:bookmarkEnd w:id="172"/>
      <w:bookmarkEnd w:id="173"/>
      <w:bookmarkEnd w:id="174"/>
    </w:p>
    <w:p>
      <w:pPr>
        <w:ind w:right="-21"/>
        <w:jc w:val="left"/>
        <w:rPr>
          <w:rFonts w:ascii="宋体" w:hAnsi="宋体" w:cs="宋体"/>
          <w:color w:val="auto"/>
          <w:szCs w:val="21"/>
        </w:rPr>
      </w:pPr>
      <w:bookmarkStart w:id="175" w:name="_Toc114052354"/>
      <w:r>
        <w:rPr>
          <w:rFonts w:hint="eastAsia" w:ascii="宋体" w:hAnsi="宋体" w:cs="宋体"/>
          <w:color w:val="auto"/>
          <w:szCs w:val="21"/>
        </w:rPr>
        <w:t xml:space="preserve">    11.1比选申请文件由资格审查部分、技术部分、商务部分三部分组成，详细要求与部分格式详见第三章。</w:t>
      </w:r>
    </w:p>
    <w:p>
      <w:pPr>
        <w:ind w:right="753"/>
        <w:jc w:val="left"/>
        <w:rPr>
          <w:rFonts w:ascii="宋体" w:hAnsi="宋体" w:cs="宋体"/>
          <w:color w:val="auto"/>
          <w:szCs w:val="21"/>
        </w:rPr>
      </w:pPr>
      <w:r>
        <w:rPr>
          <w:rFonts w:hint="eastAsia" w:ascii="宋体" w:hAnsi="宋体" w:cs="宋体"/>
          <w:color w:val="auto"/>
          <w:szCs w:val="21"/>
        </w:rPr>
        <w:t xml:space="preserve">    11.2资格审查部分主要包括下列内容：</w:t>
      </w:r>
    </w:p>
    <w:p>
      <w:pPr>
        <w:ind w:right="753"/>
        <w:jc w:val="left"/>
        <w:rPr>
          <w:rFonts w:ascii="宋体" w:hAnsi="宋体" w:cs="宋体"/>
          <w:color w:val="auto"/>
          <w:szCs w:val="21"/>
        </w:rPr>
      </w:pPr>
      <w:r>
        <w:rPr>
          <w:rFonts w:hint="eastAsia" w:ascii="宋体" w:hAnsi="宋体" w:cs="宋体"/>
          <w:color w:val="auto"/>
          <w:szCs w:val="21"/>
        </w:rPr>
        <w:t xml:space="preserve">   （1）诚信声明（原件）；</w:t>
      </w:r>
    </w:p>
    <w:p>
      <w:pPr>
        <w:ind w:right="753" w:firstLine="210" w:firstLineChars="100"/>
        <w:jc w:val="left"/>
        <w:rPr>
          <w:rFonts w:ascii="宋体" w:hAnsi="宋体" w:cs="宋体"/>
          <w:color w:val="auto"/>
          <w:szCs w:val="21"/>
        </w:rPr>
      </w:pPr>
      <w:r>
        <w:rPr>
          <w:rFonts w:hint="eastAsia" w:ascii="宋体" w:hAnsi="宋体" w:cs="宋体"/>
          <w:color w:val="auto"/>
          <w:szCs w:val="21"/>
        </w:rPr>
        <w:t>（2）法定代表人资格证明书（原件）</w:t>
      </w:r>
    </w:p>
    <w:p>
      <w:pPr>
        <w:ind w:right="753" w:firstLine="210" w:firstLineChars="100"/>
        <w:jc w:val="left"/>
        <w:rPr>
          <w:rFonts w:ascii="宋体" w:hAnsi="宋体" w:cs="宋体"/>
          <w:color w:val="auto"/>
          <w:szCs w:val="21"/>
        </w:rPr>
      </w:pPr>
      <w:r>
        <w:rPr>
          <w:rFonts w:hint="eastAsia" w:ascii="宋体" w:hAnsi="宋体" w:cs="宋体"/>
          <w:color w:val="auto"/>
          <w:szCs w:val="21"/>
        </w:rPr>
        <w:t>（3）法定代表人身份证（复印件加盖单位公章）</w:t>
      </w:r>
    </w:p>
    <w:p>
      <w:pPr>
        <w:ind w:right="753" w:firstLine="210" w:firstLineChars="100"/>
        <w:jc w:val="left"/>
        <w:rPr>
          <w:rFonts w:ascii="宋体" w:hAnsi="宋体" w:cs="宋体"/>
          <w:color w:val="auto"/>
          <w:szCs w:val="21"/>
        </w:rPr>
      </w:pPr>
      <w:r>
        <w:rPr>
          <w:rFonts w:hint="eastAsia" w:ascii="宋体" w:hAnsi="宋体" w:cs="宋体"/>
          <w:color w:val="auto"/>
          <w:szCs w:val="21"/>
        </w:rPr>
        <w:t>（4）比选申请文件签署授权委托书（原件）；</w:t>
      </w:r>
    </w:p>
    <w:p>
      <w:pPr>
        <w:ind w:right="753" w:firstLine="210" w:firstLineChars="100"/>
        <w:jc w:val="left"/>
        <w:rPr>
          <w:rFonts w:ascii="宋体" w:hAnsi="宋体" w:cs="宋体"/>
          <w:color w:val="auto"/>
          <w:szCs w:val="21"/>
        </w:rPr>
      </w:pPr>
      <w:r>
        <w:rPr>
          <w:rFonts w:hint="eastAsia" w:ascii="宋体" w:hAnsi="宋体" w:cs="宋体"/>
          <w:color w:val="auto"/>
          <w:szCs w:val="21"/>
        </w:rPr>
        <w:t>（5）授权代表人身份证（复印件加盖单位公章）</w:t>
      </w:r>
    </w:p>
    <w:p>
      <w:pPr>
        <w:ind w:right="753" w:firstLine="210" w:firstLineChars="100"/>
        <w:jc w:val="left"/>
        <w:rPr>
          <w:rFonts w:ascii="宋体" w:hAnsi="宋体" w:cs="宋体"/>
          <w:color w:val="auto"/>
          <w:szCs w:val="21"/>
        </w:rPr>
      </w:pPr>
      <w:r>
        <w:rPr>
          <w:rFonts w:hint="eastAsia" w:ascii="宋体" w:hAnsi="宋体" w:cs="宋体"/>
          <w:color w:val="auto"/>
          <w:szCs w:val="21"/>
        </w:rPr>
        <w:t xml:space="preserve">（6）营业执照副本复印件（加盖单位公章）； </w:t>
      </w:r>
    </w:p>
    <w:p>
      <w:pPr>
        <w:ind w:right="753" w:firstLine="210" w:firstLineChars="100"/>
        <w:jc w:val="left"/>
        <w:rPr>
          <w:rFonts w:ascii="宋体" w:hAnsi="宋体" w:cs="宋体"/>
          <w:color w:val="auto"/>
          <w:szCs w:val="21"/>
        </w:rPr>
      </w:pPr>
      <w:r>
        <w:rPr>
          <w:rFonts w:hint="eastAsia" w:ascii="宋体" w:hAnsi="宋体" w:cs="宋体"/>
          <w:color w:val="auto"/>
          <w:szCs w:val="21"/>
        </w:rPr>
        <w:t>（7）税务登记证（加盖单位公章, 如已办理三证合一则不需提供）；</w:t>
      </w:r>
    </w:p>
    <w:p>
      <w:pPr>
        <w:ind w:right="753" w:firstLine="210" w:firstLineChars="100"/>
        <w:jc w:val="left"/>
        <w:rPr>
          <w:rFonts w:ascii="宋体" w:hAnsi="宋体" w:cs="宋体"/>
          <w:color w:val="auto"/>
          <w:szCs w:val="21"/>
        </w:rPr>
      </w:pPr>
      <w:r>
        <w:rPr>
          <w:rFonts w:hint="eastAsia" w:ascii="宋体" w:hAnsi="宋体" w:cs="宋体"/>
          <w:color w:val="auto"/>
          <w:szCs w:val="21"/>
        </w:rPr>
        <w:t>（8）组织机构代码证复印件（加盖单位公章, 如已办理三证合一则不需提供）；</w:t>
      </w:r>
    </w:p>
    <w:p>
      <w:pPr>
        <w:ind w:right="753" w:firstLine="210" w:firstLineChars="100"/>
        <w:jc w:val="left"/>
        <w:rPr>
          <w:rFonts w:ascii="宋体" w:hAnsi="宋体" w:cs="宋体"/>
          <w:color w:val="auto"/>
          <w:szCs w:val="21"/>
        </w:rPr>
      </w:pPr>
      <w:r>
        <w:rPr>
          <w:rFonts w:hint="eastAsia" w:ascii="宋体" w:hAnsi="宋体" w:cs="宋体"/>
          <w:color w:val="auto"/>
          <w:szCs w:val="21"/>
        </w:rPr>
        <w:t>（9）其他比选申请人认为的需要提供的资料。</w:t>
      </w:r>
    </w:p>
    <w:bookmarkEnd w:id="175"/>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11.3技术部分主要包括下列内容：</w:t>
      </w:r>
    </w:p>
    <w:p>
      <w:pPr>
        <w:pStyle w:val="55"/>
        <w:numPr>
          <w:ilvl w:val="0"/>
          <w:numId w:val="1"/>
        </w:numPr>
        <w:ind w:right="753" w:firstLineChars="0"/>
        <w:jc w:val="left"/>
        <w:rPr>
          <w:rFonts w:hint="eastAsia" w:ascii="宋体" w:hAnsi="宋体" w:cs="宋体"/>
          <w:color w:val="auto"/>
          <w:szCs w:val="21"/>
          <w:highlight w:val="none"/>
        </w:rPr>
      </w:pPr>
      <w:r>
        <w:rPr>
          <w:rFonts w:hint="eastAsia" w:ascii="宋体" w:hAnsi="宋体" w:cs="宋体"/>
          <w:color w:val="auto"/>
          <w:szCs w:val="21"/>
          <w:highlight w:val="none"/>
        </w:rPr>
        <w:t>业绩表；</w:t>
      </w:r>
    </w:p>
    <w:p>
      <w:pPr>
        <w:pStyle w:val="55"/>
        <w:numPr>
          <w:ilvl w:val="0"/>
          <w:numId w:val="1"/>
        </w:numPr>
        <w:ind w:right="753" w:firstLineChars="0"/>
        <w:jc w:val="left"/>
        <w:rPr>
          <w:rFonts w:hint="eastAsia" w:ascii="宋体" w:hAnsi="宋体" w:cs="宋体"/>
          <w:color w:val="auto"/>
          <w:szCs w:val="21"/>
          <w:highlight w:val="none"/>
        </w:rPr>
      </w:pPr>
      <w:r>
        <w:rPr>
          <w:rFonts w:hint="eastAsia" w:ascii="宋体" w:hAnsi="宋体" w:cs="宋体"/>
          <w:color w:val="auto"/>
          <w:szCs w:val="21"/>
          <w:highlight w:val="none"/>
        </w:rPr>
        <w:t>项目负责人履历，包括相关工作业绩、资历及能力</w:t>
      </w:r>
    </w:p>
    <w:p>
      <w:pPr>
        <w:pStyle w:val="55"/>
        <w:numPr>
          <w:ilvl w:val="0"/>
          <w:numId w:val="1"/>
        </w:numPr>
        <w:ind w:right="753" w:firstLineChars="0"/>
        <w:jc w:val="left"/>
        <w:rPr>
          <w:rFonts w:hint="eastAsia" w:ascii="宋体" w:hAnsi="宋体" w:cs="宋体"/>
          <w:color w:val="auto"/>
          <w:szCs w:val="21"/>
          <w:highlight w:val="none"/>
        </w:rPr>
      </w:pPr>
      <w:r>
        <w:rPr>
          <w:rFonts w:hint="eastAsia" w:ascii="宋体" w:hAnsi="宋体" w:cs="宋体"/>
          <w:color w:val="auto"/>
          <w:szCs w:val="21"/>
          <w:highlight w:val="none"/>
        </w:rPr>
        <w:t>拟投入人员配置明细表</w:t>
      </w:r>
    </w:p>
    <w:p>
      <w:pPr>
        <w:pStyle w:val="55"/>
        <w:numPr>
          <w:ilvl w:val="0"/>
          <w:numId w:val="1"/>
        </w:numPr>
        <w:ind w:right="753" w:firstLineChars="0"/>
        <w:jc w:val="left"/>
        <w:rPr>
          <w:rFonts w:hint="eastAsia" w:ascii="宋体" w:hAnsi="宋体" w:cs="宋体"/>
          <w:color w:val="auto"/>
          <w:szCs w:val="21"/>
          <w:highlight w:val="none"/>
        </w:rPr>
      </w:pPr>
      <w:r>
        <w:rPr>
          <w:rFonts w:hint="eastAsia" w:ascii="宋体" w:hAnsi="宋体" w:cs="宋体"/>
          <w:color w:val="auto"/>
          <w:szCs w:val="21"/>
          <w:highlight w:val="none"/>
        </w:rPr>
        <w:t>服务方案；</w:t>
      </w:r>
    </w:p>
    <w:p>
      <w:pPr>
        <w:pStyle w:val="55"/>
        <w:numPr>
          <w:ilvl w:val="0"/>
          <w:numId w:val="1"/>
        </w:numPr>
        <w:ind w:right="753" w:firstLineChars="0"/>
        <w:jc w:val="left"/>
        <w:rPr>
          <w:rFonts w:ascii="宋体" w:hAnsi="宋体" w:cs="宋体"/>
          <w:color w:val="auto"/>
          <w:szCs w:val="21"/>
          <w:highlight w:val="none"/>
        </w:rPr>
      </w:pPr>
      <w:r>
        <w:rPr>
          <w:rFonts w:hint="eastAsia" w:ascii="宋体" w:hAnsi="宋体" w:cs="宋体"/>
          <w:color w:val="auto"/>
          <w:szCs w:val="21"/>
          <w:highlight w:val="none"/>
        </w:rPr>
        <w:t>项目质量保证措施及增值服务售后；</w:t>
      </w:r>
    </w:p>
    <w:p>
      <w:pPr>
        <w:pStyle w:val="55"/>
        <w:numPr>
          <w:ilvl w:val="0"/>
          <w:numId w:val="1"/>
        </w:numPr>
        <w:ind w:right="753" w:firstLineChars="0"/>
        <w:jc w:val="left"/>
        <w:rPr>
          <w:rFonts w:ascii="宋体" w:hAnsi="宋体" w:cs="宋体"/>
          <w:color w:val="auto"/>
          <w:szCs w:val="21"/>
          <w:highlight w:val="none"/>
        </w:rPr>
      </w:pPr>
      <w:r>
        <w:rPr>
          <w:rFonts w:hint="eastAsia" w:ascii="宋体" w:hAnsi="宋体" w:cs="宋体"/>
          <w:color w:val="auto"/>
          <w:szCs w:val="21"/>
          <w:highlight w:val="none"/>
        </w:rPr>
        <w:t>其他比选申请人认为的需要提供的资料</w:t>
      </w:r>
      <w:r>
        <w:rPr>
          <w:rFonts w:hint="eastAsia" w:ascii="宋体" w:hAnsi="宋体" w:cs="宋体"/>
          <w:color w:val="auto"/>
          <w:szCs w:val="21"/>
          <w:highlight w:val="none"/>
          <w:lang w:eastAsia="zh-CN"/>
        </w:rPr>
        <w:t>。</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11.4商务部分主要包括下列内容：</w:t>
      </w:r>
    </w:p>
    <w:p>
      <w:pPr>
        <w:ind w:right="753" w:firstLine="315" w:firstLineChars="150"/>
        <w:jc w:val="left"/>
        <w:rPr>
          <w:rFonts w:hint="default"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比选申请函</w:t>
      </w:r>
    </w:p>
    <w:p>
      <w:pPr>
        <w:ind w:right="753" w:firstLine="315" w:firstLineChars="150"/>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rPr>
        <w:t>报价表；</w:t>
      </w:r>
    </w:p>
    <w:p>
      <w:pPr>
        <w:ind w:right="-21"/>
        <w:jc w:val="left"/>
        <w:rPr>
          <w:rFonts w:ascii="宋体" w:hAnsi="宋体" w:cs="宋体"/>
          <w:color w:val="auto"/>
          <w:szCs w:val="21"/>
        </w:rPr>
      </w:pPr>
      <w:r>
        <w:rPr>
          <w:rFonts w:hint="eastAsia" w:ascii="宋体" w:hAnsi="宋体" w:cs="宋体"/>
          <w:color w:val="auto"/>
          <w:szCs w:val="21"/>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rPr>
      </w:pPr>
      <w:r>
        <w:rPr>
          <w:rFonts w:hint="eastAsia" w:ascii="宋体" w:hAnsi="宋体" w:cs="宋体"/>
          <w:color w:val="auto"/>
          <w:szCs w:val="21"/>
        </w:rPr>
        <w:t xml:space="preserve">    12.</w:t>
      </w:r>
      <w:bookmarkStart w:id="176" w:name="_Toc310318585"/>
      <w:bookmarkStart w:id="177" w:name="_Toc114052427"/>
      <w:bookmarkStart w:id="178" w:name="_Toc114052363"/>
      <w:bookmarkStart w:id="179" w:name="_Toc286386847"/>
      <w:r>
        <w:rPr>
          <w:rFonts w:hint="eastAsia" w:ascii="宋体" w:hAnsi="宋体" w:cs="宋体"/>
          <w:color w:val="auto"/>
          <w:szCs w:val="21"/>
        </w:rPr>
        <w:t>比选有效期</w:t>
      </w:r>
      <w:bookmarkEnd w:id="176"/>
      <w:bookmarkEnd w:id="177"/>
      <w:bookmarkEnd w:id="178"/>
      <w:bookmarkEnd w:id="179"/>
    </w:p>
    <w:p>
      <w:pPr>
        <w:ind w:right="-21"/>
        <w:jc w:val="left"/>
        <w:rPr>
          <w:rFonts w:ascii="宋体" w:hAnsi="宋体" w:cs="宋体"/>
          <w:color w:val="auto"/>
          <w:szCs w:val="21"/>
        </w:rPr>
      </w:pPr>
      <w:r>
        <w:rPr>
          <w:rFonts w:hint="eastAsia" w:ascii="宋体" w:hAnsi="宋体" w:cs="宋体"/>
          <w:color w:val="auto"/>
          <w:szCs w:val="21"/>
        </w:rPr>
        <w:t xml:space="preserve">    12.1 比选申请文件在前附表第</w:t>
      </w:r>
      <w:r>
        <w:rPr>
          <w:rFonts w:ascii="宋体" w:hAnsi="宋体" w:cs="宋体"/>
          <w:color w:val="auto"/>
          <w:szCs w:val="21"/>
        </w:rPr>
        <w:t>14</w:t>
      </w:r>
      <w:r>
        <w:rPr>
          <w:rFonts w:hint="eastAsia" w:ascii="宋体" w:hAnsi="宋体" w:cs="宋体"/>
          <w:color w:val="auto"/>
          <w:szCs w:val="21"/>
        </w:rPr>
        <w:t>条规定的递交比选申请文件日期之后的90天内有效。</w:t>
      </w:r>
    </w:p>
    <w:p>
      <w:pPr>
        <w:ind w:right="753" w:firstLine="420" w:firstLineChars="200"/>
        <w:jc w:val="left"/>
        <w:rPr>
          <w:rFonts w:ascii="宋体" w:hAnsi="宋体" w:cs="宋体"/>
          <w:color w:val="auto"/>
          <w:szCs w:val="21"/>
        </w:rPr>
      </w:pPr>
      <w:r>
        <w:rPr>
          <w:rFonts w:hint="eastAsia" w:ascii="宋体" w:hAnsi="宋体" w:cs="宋体"/>
          <w:color w:val="auto"/>
          <w:szCs w:val="21"/>
        </w:rPr>
        <w:t>13.比选保证金</w:t>
      </w:r>
    </w:p>
    <w:p>
      <w:pPr>
        <w:ind w:right="753" w:firstLine="420" w:firstLineChars="200"/>
        <w:jc w:val="left"/>
        <w:rPr>
          <w:rFonts w:ascii="宋体" w:hAnsi="宋体" w:cs="宋体"/>
          <w:color w:val="auto"/>
          <w:szCs w:val="21"/>
        </w:rPr>
      </w:pPr>
      <w:r>
        <w:rPr>
          <w:rFonts w:hint="eastAsia" w:ascii="宋体" w:hAnsi="宋体" w:cs="宋体"/>
          <w:color w:val="auto"/>
          <w:szCs w:val="21"/>
        </w:rPr>
        <w:t xml:space="preserve">无。    </w:t>
      </w:r>
    </w:p>
    <w:p>
      <w:pPr>
        <w:ind w:right="753" w:firstLine="420" w:firstLineChars="200"/>
        <w:jc w:val="left"/>
        <w:rPr>
          <w:rFonts w:ascii="宋体" w:hAnsi="宋体" w:cs="宋体"/>
          <w:color w:val="auto"/>
          <w:szCs w:val="21"/>
        </w:rPr>
      </w:pPr>
      <w:r>
        <w:rPr>
          <w:rFonts w:hint="eastAsia" w:ascii="宋体" w:hAnsi="宋体" w:cs="宋体"/>
          <w:color w:val="auto"/>
          <w:szCs w:val="21"/>
        </w:rPr>
        <w:t>14.</w:t>
      </w:r>
      <w:bookmarkStart w:id="180" w:name="_Toc114052365"/>
      <w:bookmarkStart w:id="181" w:name="_Toc114052429"/>
      <w:bookmarkStart w:id="182" w:name="_Toc286386849"/>
      <w:bookmarkStart w:id="183" w:name="_Toc310318587"/>
      <w:r>
        <w:rPr>
          <w:rFonts w:hint="eastAsia" w:ascii="宋体" w:hAnsi="宋体" w:cs="宋体"/>
          <w:color w:val="auto"/>
          <w:szCs w:val="21"/>
        </w:rPr>
        <w:t>比选答疑</w:t>
      </w:r>
      <w:bookmarkEnd w:id="180"/>
      <w:bookmarkEnd w:id="181"/>
      <w:bookmarkEnd w:id="182"/>
      <w:bookmarkEnd w:id="183"/>
    </w:p>
    <w:p>
      <w:pPr>
        <w:ind w:right="-21"/>
        <w:jc w:val="left"/>
        <w:rPr>
          <w:rFonts w:ascii="宋体" w:hAnsi="宋体" w:cs="宋体"/>
          <w:color w:val="auto"/>
          <w:szCs w:val="21"/>
        </w:rPr>
      </w:pPr>
      <w:r>
        <w:rPr>
          <w:rFonts w:hint="eastAsia" w:ascii="宋体" w:hAnsi="宋体" w:cs="宋体"/>
          <w:color w:val="auto"/>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rPr>
      </w:pPr>
      <w:r>
        <w:rPr>
          <w:rFonts w:hint="eastAsia" w:ascii="宋体" w:hAnsi="宋体" w:cs="宋体"/>
          <w:color w:val="auto"/>
          <w:szCs w:val="21"/>
        </w:rPr>
        <w:t xml:space="preserve">    14.2比选补遗文件包括所有问题和答复，比选人将于递交文件截止时间2天前以书面形式,通知比选申请人，予以答复。</w:t>
      </w:r>
    </w:p>
    <w:p>
      <w:pPr>
        <w:ind w:right="753"/>
        <w:jc w:val="left"/>
        <w:rPr>
          <w:rFonts w:ascii="宋体" w:hAnsi="宋体" w:cs="宋体"/>
          <w:color w:val="auto"/>
          <w:szCs w:val="21"/>
        </w:rPr>
      </w:pPr>
      <w:r>
        <w:rPr>
          <w:rFonts w:hint="eastAsia" w:ascii="宋体" w:hAnsi="宋体" w:cs="宋体"/>
          <w:color w:val="auto"/>
          <w:szCs w:val="21"/>
        </w:rPr>
        <w:t xml:space="preserve">    15.</w:t>
      </w:r>
      <w:bookmarkStart w:id="184" w:name="_Toc114052430"/>
      <w:bookmarkStart w:id="185" w:name="_Toc286386850"/>
      <w:bookmarkStart w:id="186" w:name="_Toc310318588"/>
      <w:bookmarkStart w:id="187" w:name="_Toc114052366"/>
      <w:r>
        <w:rPr>
          <w:rFonts w:hint="eastAsia" w:ascii="宋体" w:hAnsi="宋体" w:cs="宋体"/>
          <w:color w:val="auto"/>
          <w:szCs w:val="21"/>
        </w:rPr>
        <w:t>比选申请文件的份数</w:t>
      </w:r>
      <w:bookmarkEnd w:id="184"/>
      <w:bookmarkEnd w:id="185"/>
      <w:bookmarkEnd w:id="186"/>
      <w:bookmarkEnd w:id="187"/>
      <w:r>
        <w:rPr>
          <w:rFonts w:hint="eastAsia" w:ascii="宋体" w:hAnsi="宋体" w:cs="宋体"/>
          <w:color w:val="auto"/>
          <w:szCs w:val="21"/>
        </w:rPr>
        <w:t>和签署</w:t>
      </w:r>
    </w:p>
    <w:p>
      <w:pPr>
        <w:ind w:right="-21"/>
        <w:jc w:val="left"/>
        <w:rPr>
          <w:rFonts w:ascii="宋体" w:hAnsi="宋体" w:cs="宋体"/>
          <w:color w:val="auto"/>
          <w:szCs w:val="21"/>
        </w:rPr>
      </w:pPr>
      <w:r>
        <w:rPr>
          <w:rFonts w:hint="eastAsia" w:ascii="宋体" w:hAnsi="宋体" w:cs="宋体"/>
          <w:color w:val="auto"/>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ind w:right="-21"/>
        <w:jc w:val="left"/>
        <w:rPr>
          <w:rFonts w:ascii="宋体" w:hAnsi="宋体" w:cs="宋体"/>
          <w:color w:val="auto"/>
          <w:szCs w:val="21"/>
        </w:rPr>
      </w:pPr>
      <w:r>
        <w:rPr>
          <w:rFonts w:hint="eastAsia" w:ascii="宋体" w:hAnsi="宋体" w:cs="宋体"/>
          <w:color w:val="auto"/>
          <w:szCs w:val="21"/>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rPr>
      </w:pPr>
      <w:r>
        <w:rPr>
          <w:rFonts w:hint="eastAsia" w:ascii="宋体" w:hAnsi="宋体" w:cs="宋体"/>
          <w:color w:val="auto"/>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6"/>
        <w:jc w:val="center"/>
        <w:rPr>
          <w:color w:val="auto"/>
          <w:sz w:val="21"/>
          <w:szCs w:val="21"/>
        </w:rPr>
      </w:pPr>
      <w:bookmarkStart w:id="188" w:name="_Toc5187"/>
      <w:bookmarkStart w:id="189" w:name="_Toc31804"/>
      <w:bookmarkStart w:id="190" w:name="_Toc25460"/>
      <w:bookmarkStart w:id="191" w:name="_Toc28652"/>
      <w:bookmarkStart w:id="192" w:name="_Toc15955"/>
      <w:bookmarkStart w:id="193" w:name="_Toc23604"/>
      <w:bookmarkStart w:id="194" w:name="_Toc23101"/>
      <w:bookmarkStart w:id="195" w:name="_Toc11391"/>
      <w:bookmarkStart w:id="196" w:name="_Toc19276"/>
      <w:bookmarkStart w:id="197" w:name="_Toc2561"/>
      <w:bookmarkStart w:id="198" w:name="_Toc10981"/>
      <w:bookmarkStart w:id="199" w:name="_Toc461525301"/>
      <w:bookmarkStart w:id="200" w:name="_Toc2153"/>
      <w:bookmarkStart w:id="201" w:name="_Toc17563"/>
      <w:bookmarkStart w:id="202" w:name="_Toc28307"/>
      <w:bookmarkStart w:id="203" w:name="_Toc14726"/>
      <w:bookmarkStart w:id="204" w:name="_Toc16937"/>
      <w:bookmarkStart w:id="205" w:name="_Toc471482365"/>
      <w:r>
        <w:rPr>
          <w:rFonts w:hint="eastAsia"/>
          <w:color w:val="auto"/>
          <w:sz w:val="21"/>
          <w:szCs w:val="21"/>
        </w:rPr>
        <w:t>五、</w:t>
      </w:r>
      <w:r>
        <w:rPr>
          <w:color w:val="auto"/>
          <w:sz w:val="21"/>
          <w:szCs w:val="21"/>
        </w:rPr>
        <w:t>比选申请文件的递交</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jc w:val="left"/>
        <w:rPr>
          <w:rFonts w:ascii="宋体" w:hAnsi="宋体" w:cs="宋体"/>
          <w:color w:val="auto"/>
          <w:szCs w:val="21"/>
        </w:rPr>
      </w:pPr>
      <w:r>
        <w:rPr>
          <w:rFonts w:hint="eastAsia" w:ascii="宋体" w:hAnsi="宋体" w:cs="宋体"/>
          <w:color w:val="auto"/>
          <w:szCs w:val="21"/>
        </w:rPr>
        <w:t xml:space="preserve">    16.比选申请文件的密封与标志</w:t>
      </w:r>
    </w:p>
    <w:p>
      <w:pPr>
        <w:ind w:right="-21"/>
        <w:jc w:val="left"/>
        <w:rPr>
          <w:rFonts w:ascii="宋体" w:hAnsi="宋体" w:cs="宋体"/>
          <w:color w:val="auto"/>
          <w:szCs w:val="21"/>
        </w:rPr>
      </w:pPr>
      <w:r>
        <w:rPr>
          <w:rFonts w:hint="eastAsia" w:ascii="宋体" w:hAnsi="宋体" w:cs="宋体"/>
          <w:color w:val="auto"/>
          <w:szCs w:val="21"/>
        </w:rPr>
        <w:t xml:space="preserve">    16.1比选申请文件装订要求：比选申请文件中资格审查部分、技术部分、商务部分分开装订。</w:t>
      </w:r>
    </w:p>
    <w:p>
      <w:pPr>
        <w:ind w:right="-21"/>
        <w:jc w:val="left"/>
        <w:rPr>
          <w:rFonts w:ascii="宋体" w:hAnsi="宋体" w:cs="宋体"/>
          <w:color w:val="auto"/>
          <w:szCs w:val="21"/>
        </w:rPr>
      </w:pPr>
      <w:r>
        <w:rPr>
          <w:rFonts w:hint="eastAsia" w:ascii="宋体" w:hAnsi="宋体" w:cs="宋体"/>
          <w:color w:val="auto"/>
          <w:szCs w:val="21"/>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rPr>
      </w:pPr>
      <w:r>
        <w:rPr>
          <w:rFonts w:hint="eastAsia" w:ascii="宋体" w:hAnsi="宋体" w:cs="宋体"/>
          <w:color w:val="auto"/>
          <w:szCs w:val="21"/>
        </w:rPr>
        <w:t xml:space="preserve">    16.4比选申请文件递交至前附表第1</w:t>
      </w:r>
      <w:r>
        <w:rPr>
          <w:rFonts w:ascii="宋体" w:hAnsi="宋体" w:cs="宋体"/>
          <w:color w:val="auto"/>
          <w:szCs w:val="21"/>
        </w:rPr>
        <w:t>3</w:t>
      </w:r>
      <w:r>
        <w:rPr>
          <w:rFonts w:hint="eastAsia" w:ascii="宋体" w:hAnsi="宋体" w:cs="宋体"/>
          <w:color w:val="auto"/>
          <w:szCs w:val="21"/>
        </w:rPr>
        <w:t>项所述的单位和地址。</w:t>
      </w:r>
    </w:p>
    <w:p>
      <w:pPr>
        <w:ind w:right="753" w:firstLine="420" w:firstLineChars="200"/>
        <w:jc w:val="left"/>
        <w:rPr>
          <w:rFonts w:ascii="宋体" w:hAnsi="宋体" w:cs="宋体"/>
          <w:color w:val="auto"/>
          <w:szCs w:val="21"/>
        </w:rPr>
      </w:pPr>
      <w:r>
        <w:rPr>
          <w:rFonts w:hint="eastAsia" w:ascii="宋体" w:hAnsi="宋体" w:cs="宋体"/>
          <w:color w:val="auto"/>
          <w:szCs w:val="21"/>
        </w:rPr>
        <w:t>17.递交比选文件截止期</w:t>
      </w:r>
    </w:p>
    <w:p>
      <w:pPr>
        <w:ind w:right="-21"/>
        <w:jc w:val="left"/>
        <w:rPr>
          <w:rFonts w:ascii="宋体" w:hAnsi="宋体" w:cs="宋体"/>
          <w:color w:val="auto"/>
          <w:szCs w:val="21"/>
        </w:rPr>
      </w:pPr>
      <w:r>
        <w:rPr>
          <w:rFonts w:hint="eastAsia" w:ascii="宋体" w:hAnsi="宋体" w:cs="宋体"/>
          <w:color w:val="auto"/>
          <w:szCs w:val="21"/>
        </w:rPr>
        <w:t xml:space="preserve">    17.1根据新冠肺炎疫情防控要求，比选申请人无需到场参加评比会议。比选申请人应在前附表第1</w:t>
      </w:r>
      <w:r>
        <w:rPr>
          <w:rFonts w:ascii="宋体" w:hAnsi="宋体" w:cs="宋体"/>
          <w:color w:val="auto"/>
          <w:szCs w:val="21"/>
        </w:rPr>
        <w:t>4</w:t>
      </w:r>
      <w:r>
        <w:rPr>
          <w:rFonts w:hint="eastAsia" w:ascii="宋体" w:hAnsi="宋体" w:cs="宋体"/>
          <w:color w:val="auto"/>
          <w:szCs w:val="21"/>
        </w:rPr>
        <w:t>项所述规定的时间，将比选申请文件递交至前附表第1</w:t>
      </w:r>
      <w:r>
        <w:rPr>
          <w:rFonts w:ascii="宋体" w:hAnsi="宋体" w:cs="宋体"/>
          <w:color w:val="auto"/>
          <w:szCs w:val="21"/>
        </w:rPr>
        <w:t>3</w:t>
      </w:r>
      <w:r>
        <w:rPr>
          <w:rFonts w:hint="eastAsia" w:ascii="宋体" w:hAnsi="宋体" w:cs="宋体"/>
          <w:color w:val="auto"/>
          <w:szCs w:val="21"/>
        </w:rPr>
        <w:t>项所述的单位和地址。</w:t>
      </w:r>
    </w:p>
    <w:p>
      <w:pPr>
        <w:pStyle w:val="6"/>
        <w:jc w:val="center"/>
        <w:rPr>
          <w:color w:val="auto"/>
          <w:sz w:val="21"/>
          <w:szCs w:val="21"/>
        </w:rPr>
      </w:pPr>
      <w:bookmarkStart w:id="206" w:name="_Toc32687"/>
      <w:bookmarkStart w:id="207" w:name="_Toc29047"/>
      <w:bookmarkStart w:id="208" w:name="_Toc20601"/>
      <w:bookmarkStart w:id="209" w:name="_Toc7983"/>
      <w:bookmarkStart w:id="210" w:name="_Toc25827"/>
      <w:bookmarkStart w:id="211" w:name="_Toc17217"/>
      <w:bookmarkStart w:id="212" w:name="_Toc461525302"/>
      <w:bookmarkStart w:id="213" w:name="_Toc31139"/>
      <w:bookmarkStart w:id="214" w:name="_Toc20356"/>
      <w:bookmarkStart w:id="215" w:name="_Toc5189"/>
      <w:bookmarkStart w:id="216" w:name="_Toc27095"/>
      <w:bookmarkStart w:id="217" w:name="_Toc6376"/>
      <w:bookmarkStart w:id="218" w:name="_Toc22118"/>
      <w:bookmarkStart w:id="219" w:name="_Toc30513"/>
      <w:bookmarkStart w:id="220" w:name="_Toc31034"/>
      <w:bookmarkStart w:id="221" w:name="_Toc1057"/>
      <w:bookmarkStart w:id="222" w:name="_Toc30232"/>
      <w:bookmarkStart w:id="223" w:name="_Toc471482366"/>
      <w:r>
        <w:rPr>
          <w:rFonts w:hint="eastAsia"/>
          <w:color w:val="auto"/>
          <w:sz w:val="21"/>
          <w:szCs w:val="21"/>
        </w:rPr>
        <w:t>六、评</w:t>
      </w:r>
      <w:bookmarkEnd w:id="206"/>
      <w:bookmarkEnd w:id="207"/>
      <w:bookmarkEnd w:id="208"/>
      <w:r>
        <w:rPr>
          <w:rFonts w:hint="eastAsia"/>
          <w:color w:val="auto"/>
          <w:sz w:val="21"/>
          <w:szCs w:val="21"/>
        </w:rPr>
        <w:t>比</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ind w:right="753"/>
        <w:jc w:val="left"/>
        <w:rPr>
          <w:rFonts w:ascii="宋体" w:hAnsi="宋体" w:cs="宋体"/>
          <w:color w:val="auto"/>
          <w:szCs w:val="21"/>
        </w:rPr>
      </w:pPr>
      <w:r>
        <w:rPr>
          <w:rFonts w:hint="eastAsia" w:ascii="宋体" w:hAnsi="宋体" w:cs="宋体"/>
          <w:color w:val="auto"/>
          <w:szCs w:val="21"/>
        </w:rPr>
        <w:t xml:space="preserve">    18.评比委员会</w:t>
      </w:r>
    </w:p>
    <w:p>
      <w:pPr>
        <w:ind w:firstLine="420"/>
        <w:rPr>
          <w:rFonts w:ascii="宋体" w:hAnsi="宋体" w:cs="宋体"/>
          <w:color w:val="auto"/>
          <w:szCs w:val="21"/>
        </w:rPr>
      </w:pPr>
      <w:r>
        <w:rPr>
          <w:rFonts w:hint="eastAsia" w:ascii="宋体" w:hAnsi="宋体" w:cs="宋体"/>
          <w:color w:val="auto"/>
          <w:szCs w:val="21"/>
        </w:rPr>
        <w:t xml:space="preserve">18.1 </w:t>
      </w:r>
      <w:r>
        <w:rPr>
          <w:rFonts w:hint="eastAsia" w:ascii="宋体" w:hAnsi="宋体"/>
          <w:color w:val="auto"/>
          <w:szCs w:val="21"/>
        </w:rPr>
        <w:t>根据南宁轨道交通集团有限责任公司相关要求组建评比委员会</w:t>
      </w:r>
      <w:r>
        <w:rPr>
          <w:rFonts w:hint="eastAsia" w:ascii="宋体" w:hAnsi="宋体" w:cs="宋体"/>
          <w:color w:val="auto"/>
          <w:szCs w:val="21"/>
        </w:rPr>
        <w:t>。</w:t>
      </w:r>
    </w:p>
    <w:p>
      <w:pPr>
        <w:ind w:right="-21"/>
        <w:jc w:val="left"/>
        <w:rPr>
          <w:rFonts w:ascii="宋体" w:hAnsi="宋体" w:cs="宋体"/>
          <w:color w:val="auto"/>
          <w:szCs w:val="21"/>
        </w:rPr>
      </w:pPr>
      <w:r>
        <w:rPr>
          <w:rFonts w:hint="eastAsia" w:ascii="宋体" w:hAnsi="宋体" w:cs="宋体"/>
          <w:color w:val="auto"/>
          <w:szCs w:val="21"/>
        </w:rPr>
        <w:t xml:space="preserve">    18.2</w:t>
      </w:r>
      <w:r>
        <w:rPr>
          <w:rFonts w:hint="eastAsia" w:ascii="宋体" w:hAnsi="宋体"/>
          <w:color w:val="auto"/>
          <w:szCs w:val="21"/>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rPr>
      </w:pPr>
      <w:r>
        <w:rPr>
          <w:rFonts w:hint="eastAsia" w:ascii="宋体" w:hAnsi="宋体" w:cs="宋体"/>
          <w:color w:val="auto"/>
          <w:szCs w:val="21"/>
        </w:rPr>
        <w:t xml:space="preserve">    18.3</w:t>
      </w:r>
      <w:r>
        <w:rPr>
          <w:rFonts w:hint="eastAsia" w:ascii="宋体" w:hAnsi="宋体"/>
          <w:color w:val="auto"/>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570"/>
        <w:rPr>
          <w:rFonts w:ascii="宋体" w:hAnsi="宋体" w:cs="宋体"/>
          <w:color w:val="auto"/>
          <w:szCs w:val="21"/>
        </w:rPr>
      </w:pPr>
      <w:r>
        <w:rPr>
          <w:rFonts w:hint="eastAsia" w:ascii="宋体" w:hAnsi="宋体" w:cs="宋体"/>
          <w:color w:val="auto"/>
          <w:szCs w:val="21"/>
        </w:rPr>
        <w:t>18.4</w:t>
      </w:r>
      <w:r>
        <w:rPr>
          <w:rFonts w:hint="eastAsia" w:ascii="宋体" w:hAnsi="宋体"/>
          <w:color w:val="auto"/>
          <w:szCs w:val="21"/>
        </w:rPr>
        <w:t>严禁任何单位或个人以任何形式操纵、干预评比过程和评比结果</w:t>
      </w:r>
      <w:r>
        <w:rPr>
          <w:rFonts w:hint="eastAsia" w:ascii="宋体" w:hAnsi="宋体" w:cs="宋体"/>
          <w:color w:val="auto"/>
          <w:szCs w:val="21"/>
        </w:rPr>
        <w:t>。</w:t>
      </w:r>
    </w:p>
    <w:p>
      <w:pPr>
        <w:ind w:right="753"/>
        <w:jc w:val="left"/>
        <w:rPr>
          <w:rFonts w:ascii="宋体" w:hAnsi="宋体" w:cs="宋体"/>
          <w:color w:val="auto"/>
          <w:szCs w:val="21"/>
        </w:rPr>
      </w:pPr>
      <w:bookmarkStart w:id="224" w:name="_Toc310318596"/>
      <w:r>
        <w:rPr>
          <w:rFonts w:hint="eastAsia" w:ascii="宋体" w:hAnsi="宋体" w:cs="宋体"/>
          <w:color w:val="auto"/>
          <w:szCs w:val="21"/>
        </w:rPr>
        <w:t xml:space="preserve">    19.评比</w:t>
      </w:r>
      <w:bookmarkEnd w:id="224"/>
    </w:p>
    <w:p>
      <w:pPr>
        <w:ind w:right="-21" w:firstLine="420" w:firstLineChars="200"/>
        <w:jc w:val="left"/>
        <w:rPr>
          <w:rFonts w:ascii="宋体" w:hAnsi="宋体" w:cs="宋体"/>
          <w:color w:val="auto"/>
          <w:szCs w:val="21"/>
        </w:rPr>
      </w:pPr>
      <w:r>
        <w:rPr>
          <w:rFonts w:hint="eastAsia" w:ascii="宋体" w:hAnsi="宋体" w:cs="宋体"/>
          <w:color w:val="auto"/>
          <w:szCs w:val="21"/>
        </w:rPr>
        <w:t>19.1</w:t>
      </w:r>
      <w:r>
        <w:rPr>
          <w:rFonts w:hint="eastAsia" w:ascii="宋体" w:hAnsi="宋体"/>
          <w:color w:val="auto"/>
          <w:szCs w:val="21"/>
        </w:rPr>
        <w:t>比选人将于前附表第</w:t>
      </w:r>
      <w:r>
        <w:rPr>
          <w:rFonts w:ascii="宋体" w:hAnsi="宋体"/>
          <w:color w:val="auto"/>
          <w:szCs w:val="21"/>
        </w:rPr>
        <w:t>15</w:t>
      </w:r>
      <w:r>
        <w:rPr>
          <w:rFonts w:hint="eastAsia" w:ascii="宋体" w:hAnsi="宋体"/>
          <w:color w:val="auto"/>
          <w:szCs w:val="21"/>
        </w:rPr>
        <w:t>项规定的时间和地点举行评比会议。</w:t>
      </w:r>
    </w:p>
    <w:p>
      <w:pPr>
        <w:ind w:right="-21" w:firstLine="420" w:firstLineChars="200"/>
        <w:jc w:val="left"/>
        <w:rPr>
          <w:rFonts w:ascii="宋体" w:hAnsi="宋体"/>
          <w:color w:val="auto"/>
          <w:szCs w:val="21"/>
        </w:rPr>
      </w:pPr>
      <w:r>
        <w:rPr>
          <w:rFonts w:hint="eastAsia" w:ascii="宋体" w:hAnsi="宋体"/>
          <w:color w:val="auto"/>
          <w:szCs w:val="21"/>
        </w:rPr>
        <w:t>19.2评比会议程序：</w:t>
      </w:r>
    </w:p>
    <w:p>
      <w:pPr>
        <w:ind w:right="-21" w:firstLine="420" w:firstLineChars="200"/>
        <w:jc w:val="left"/>
        <w:rPr>
          <w:rFonts w:ascii="宋体" w:hAnsi="宋体"/>
          <w:color w:val="auto"/>
          <w:szCs w:val="21"/>
        </w:rPr>
      </w:pPr>
      <w:r>
        <w:rPr>
          <w:rFonts w:hint="eastAsia" w:ascii="宋体" w:hAnsi="宋体"/>
          <w:color w:val="auto"/>
          <w:szCs w:val="21"/>
        </w:rPr>
        <w:t>19.2.1比选人验证有效比选申请文件数量。</w:t>
      </w:r>
    </w:p>
    <w:p>
      <w:pPr>
        <w:ind w:right="-21" w:firstLine="420" w:firstLineChars="200"/>
        <w:jc w:val="left"/>
        <w:rPr>
          <w:rFonts w:ascii="宋体" w:hAnsi="宋体"/>
          <w:color w:val="auto"/>
          <w:szCs w:val="21"/>
        </w:rPr>
      </w:pPr>
      <w:r>
        <w:rPr>
          <w:rFonts w:ascii="宋体" w:hAnsi="宋体"/>
          <w:color w:val="auto"/>
          <w:szCs w:val="21"/>
        </w:rPr>
        <w:t>19.2.2</w:t>
      </w:r>
      <w:r>
        <w:rPr>
          <w:rFonts w:hint="eastAsia" w:ascii="宋体" w:hAnsi="宋体"/>
          <w:color w:val="auto"/>
          <w:szCs w:val="21"/>
        </w:rPr>
        <w:t>由主持人宣布评比会议开始，评比委员会确认文件是否密封。</w:t>
      </w:r>
    </w:p>
    <w:p>
      <w:pPr>
        <w:ind w:right="-21" w:firstLine="420" w:firstLineChars="200"/>
        <w:jc w:val="left"/>
        <w:rPr>
          <w:rFonts w:ascii="宋体" w:hAnsi="宋体"/>
          <w:color w:val="auto"/>
          <w:szCs w:val="21"/>
        </w:rPr>
      </w:pPr>
      <w:r>
        <w:rPr>
          <w:rFonts w:hint="eastAsia" w:ascii="宋体" w:hAnsi="宋体"/>
          <w:color w:val="auto"/>
          <w:szCs w:val="21"/>
        </w:rPr>
        <w:t>19.2.</w:t>
      </w:r>
      <w:r>
        <w:rPr>
          <w:rFonts w:ascii="宋体" w:hAnsi="宋体"/>
          <w:color w:val="auto"/>
          <w:szCs w:val="21"/>
        </w:rPr>
        <w:t>3</w:t>
      </w:r>
      <w:r>
        <w:rPr>
          <w:rFonts w:hint="eastAsia" w:ascii="宋体" w:hAnsi="宋体"/>
          <w:color w:val="auto"/>
          <w:szCs w:val="21"/>
        </w:rPr>
        <w:t>评比委员会启封比选申请文件的资格审查部分，并进行评审。</w:t>
      </w:r>
    </w:p>
    <w:p>
      <w:pPr>
        <w:ind w:right="-21" w:firstLine="420" w:firstLineChars="200"/>
        <w:jc w:val="left"/>
        <w:rPr>
          <w:rFonts w:ascii="宋体" w:hAnsi="宋体"/>
          <w:color w:val="auto"/>
          <w:szCs w:val="21"/>
        </w:rPr>
      </w:pPr>
      <w:r>
        <w:rPr>
          <w:rFonts w:hint="eastAsia" w:ascii="宋体" w:hAnsi="宋体"/>
          <w:color w:val="auto"/>
          <w:szCs w:val="21"/>
        </w:rPr>
        <w:t>19.2.</w:t>
      </w:r>
      <w:r>
        <w:rPr>
          <w:rFonts w:ascii="宋体" w:hAnsi="宋体"/>
          <w:color w:val="auto"/>
          <w:szCs w:val="21"/>
        </w:rPr>
        <w:t>4</w:t>
      </w:r>
      <w:r>
        <w:rPr>
          <w:rFonts w:hint="eastAsia" w:ascii="宋体" w:hAnsi="宋体"/>
          <w:color w:val="auto"/>
          <w:szCs w:val="21"/>
        </w:rPr>
        <w:t>由主持人当众宣布审查结果，并宣读有效的比选申请人名称以及比选人认为需要的其他内容。</w:t>
      </w:r>
    </w:p>
    <w:p>
      <w:pPr>
        <w:ind w:right="-21" w:firstLine="420" w:firstLineChars="200"/>
        <w:jc w:val="left"/>
        <w:rPr>
          <w:rFonts w:ascii="宋体" w:hAnsi="宋体"/>
          <w:color w:val="auto"/>
          <w:szCs w:val="21"/>
        </w:rPr>
      </w:pPr>
      <w:r>
        <w:rPr>
          <w:rFonts w:hint="eastAsia" w:ascii="宋体" w:hAnsi="宋体"/>
          <w:color w:val="auto"/>
          <w:szCs w:val="21"/>
        </w:rPr>
        <w:t>19.2.</w:t>
      </w:r>
      <w:r>
        <w:rPr>
          <w:rFonts w:ascii="宋体" w:hAnsi="宋体"/>
          <w:color w:val="auto"/>
          <w:szCs w:val="21"/>
        </w:rPr>
        <w:t>5</w:t>
      </w:r>
      <w:r>
        <w:rPr>
          <w:rFonts w:hint="eastAsia" w:ascii="宋体" w:hAnsi="宋体"/>
          <w:color w:val="auto"/>
          <w:szCs w:val="21"/>
        </w:rPr>
        <w:t>评比委员会启封通过资格审查的比选申请文件的技术部分，评比委员会进行评审。</w:t>
      </w:r>
    </w:p>
    <w:p>
      <w:pPr>
        <w:ind w:right="-21" w:firstLine="420" w:firstLineChars="200"/>
        <w:jc w:val="left"/>
        <w:rPr>
          <w:rFonts w:ascii="宋体" w:hAnsi="宋体"/>
          <w:color w:val="auto"/>
          <w:szCs w:val="21"/>
        </w:rPr>
      </w:pPr>
      <w:r>
        <w:rPr>
          <w:rFonts w:hint="eastAsia" w:ascii="宋体" w:hAnsi="宋体"/>
          <w:color w:val="auto"/>
          <w:szCs w:val="21"/>
        </w:rPr>
        <w:t>19.2.</w:t>
      </w:r>
      <w:r>
        <w:rPr>
          <w:rFonts w:ascii="宋体" w:hAnsi="宋体"/>
          <w:color w:val="auto"/>
          <w:szCs w:val="21"/>
        </w:rPr>
        <w:t>6</w:t>
      </w:r>
      <w:r>
        <w:rPr>
          <w:rFonts w:hint="eastAsia" w:ascii="宋体" w:hAnsi="宋体"/>
          <w:color w:val="auto"/>
          <w:szCs w:val="21"/>
        </w:rPr>
        <w:t>评比委员会启封通过资格审查的比选申请文件的商务部分，并进行评审。</w:t>
      </w:r>
    </w:p>
    <w:p>
      <w:pPr>
        <w:ind w:right="753" w:firstLine="420" w:firstLineChars="200"/>
        <w:jc w:val="left"/>
        <w:rPr>
          <w:rFonts w:ascii="宋体" w:hAnsi="宋体" w:cs="宋体"/>
          <w:color w:val="auto"/>
          <w:szCs w:val="21"/>
        </w:rPr>
      </w:pPr>
      <w:bookmarkStart w:id="225" w:name="_Toc286386859"/>
      <w:bookmarkStart w:id="226" w:name="_Toc310318597"/>
      <w:bookmarkStart w:id="227" w:name="_Toc114052375"/>
      <w:bookmarkStart w:id="228" w:name="_Toc114052439"/>
      <w:r>
        <w:rPr>
          <w:rFonts w:hint="eastAsia" w:ascii="宋体" w:hAnsi="宋体" w:cs="宋体"/>
          <w:color w:val="auto"/>
          <w:szCs w:val="21"/>
        </w:rPr>
        <w:t>20.评比</w:t>
      </w:r>
      <w:bookmarkEnd w:id="225"/>
      <w:bookmarkEnd w:id="226"/>
      <w:bookmarkEnd w:id="227"/>
      <w:bookmarkEnd w:id="228"/>
      <w:r>
        <w:rPr>
          <w:rFonts w:hint="eastAsia" w:ascii="宋体" w:hAnsi="宋体" w:cs="宋体"/>
          <w:color w:val="auto"/>
          <w:szCs w:val="21"/>
        </w:rPr>
        <w:t>工作相关要求</w:t>
      </w:r>
    </w:p>
    <w:p>
      <w:pPr>
        <w:ind w:right="-21" w:firstLine="420" w:firstLineChars="200"/>
        <w:jc w:val="left"/>
        <w:rPr>
          <w:rFonts w:ascii="宋体" w:hAnsi="宋体"/>
          <w:color w:val="auto"/>
          <w:szCs w:val="21"/>
        </w:rPr>
      </w:pPr>
      <w:r>
        <w:rPr>
          <w:rFonts w:hint="eastAsia" w:ascii="宋体" w:hAnsi="宋体"/>
          <w:color w:val="auto"/>
          <w:szCs w:val="21"/>
        </w:rPr>
        <w:t>20.1本次比选的工作由评比委员会负责。</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2</w:t>
      </w:r>
      <w:r>
        <w:rPr>
          <w:rFonts w:hint="eastAsia" w:ascii="宋体" w:hAnsi="宋体"/>
          <w:color w:val="auto"/>
          <w:szCs w:val="21"/>
        </w:rPr>
        <w:t>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3</w:t>
      </w:r>
      <w:r>
        <w:rPr>
          <w:rFonts w:hint="eastAsia" w:ascii="宋体" w:hAnsi="宋体"/>
          <w:color w:val="auto"/>
          <w:szCs w:val="21"/>
        </w:rPr>
        <w:t>比选申请人在评比过程中所进行的力图影响评比公正性的活动，可能导致其中选无效。</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4</w:t>
      </w:r>
      <w:r>
        <w:rPr>
          <w:rFonts w:hint="eastAsia" w:ascii="宋体" w:hAnsi="宋体"/>
          <w:color w:val="auto"/>
          <w:szCs w:val="21"/>
        </w:rPr>
        <w:t>比选申请文件的澄清或说明</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4</w:t>
      </w:r>
      <w:r>
        <w:rPr>
          <w:rFonts w:hint="eastAsia" w:ascii="宋体" w:hAnsi="宋体"/>
          <w:color w:val="auto"/>
          <w:szCs w:val="21"/>
        </w:rPr>
        <w:t>.1评比时评比委员会将以书面形式要求比选申请人就其比选申请文件中含义不明确、同类问题表述不一致或有明显文字错误等的内容予以澄清或说明。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4</w:t>
      </w:r>
      <w:r>
        <w:rPr>
          <w:rFonts w:hint="eastAsia" w:ascii="宋体" w:hAnsi="宋体"/>
          <w:color w:val="auto"/>
          <w:szCs w:val="21"/>
        </w:rPr>
        <w:t>.2比选申请人对要求澄清或说明的内容应在评比委员会规定的时间内以书面形式予以澄清，该澄清或说明函应有比选申请人负责人或其委托代理人的签名。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4</w:t>
      </w:r>
      <w:r>
        <w:rPr>
          <w:rFonts w:hint="eastAsia" w:ascii="宋体" w:hAnsi="宋体"/>
          <w:color w:val="auto"/>
          <w:szCs w:val="21"/>
        </w:rPr>
        <w:t>.3比选申请人的澄清或说明函作为比选申请文件的组成部分。</w:t>
      </w:r>
    </w:p>
    <w:p>
      <w:pPr>
        <w:ind w:right="-21" w:firstLine="420" w:firstLineChars="200"/>
        <w:jc w:val="left"/>
        <w:rPr>
          <w:rFonts w:ascii="宋体" w:hAnsi="宋体"/>
          <w:color w:val="auto"/>
          <w:szCs w:val="21"/>
        </w:rPr>
      </w:pPr>
      <w:r>
        <w:rPr>
          <w:rFonts w:hint="eastAsia" w:ascii="宋体" w:hAnsi="宋体"/>
          <w:color w:val="auto"/>
          <w:szCs w:val="21"/>
        </w:rPr>
        <w:t>20.</w:t>
      </w:r>
      <w:r>
        <w:rPr>
          <w:rFonts w:ascii="宋体" w:hAnsi="宋体"/>
          <w:color w:val="auto"/>
          <w:szCs w:val="21"/>
        </w:rPr>
        <w:t>4</w:t>
      </w:r>
      <w:r>
        <w:rPr>
          <w:rFonts w:hint="eastAsia" w:ascii="宋体" w:hAnsi="宋体"/>
          <w:color w:val="auto"/>
          <w:szCs w:val="21"/>
        </w:rPr>
        <w:t>.4比选申请人对比选申请文件的澄清或说明不得超出比选申请文件的范围或改变投标的实质内容。</w:t>
      </w:r>
    </w:p>
    <w:p>
      <w:pPr>
        <w:ind w:right="753"/>
        <w:jc w:val="left"/>
        <w:rPr>
          <w:rFonts w:ascii="宋体" w:hAnsi="宋体" w:cs="宋体"/>
          <w:color w:val="auto"/>
          <w:szCs w:val="21"/>
        </w:rPr>
      </w:pPr>
      <w:bookmarkStart w:id="229" w:name="_Toc310318598"/>
      <w:r>
        <w:rPr>
          <w:rFonts w:hint="eastAsia" w:ascii="宋体" w:hAnsi="宋体" w:cs="宋体"/>
          <w:color w:val="auto"/>
          <w:szCs w:val="21"/>
        </w:rPr>
        <w:t xml:space="preserve">    21.比选申请文件评比</w:t>
      </w:r>
      <w:bookmarkEnd w:id="229"/>
      <w:r>
        <w:rPr>
          <w:rFonts w:hint="eastAsia" w:ascii="宋体" w:hAnsi="宋体" w:cs="宋体"/>
          <w:color w:val="auto"/>
          <w:szCs w:val="21"/>
        </w:rPr>
        <w:t>相关要求</w:t>
      </w:r>
    </w:p>
    <w:p>
      <w:pPr>
        <w:ind w:right="753"/>
        <w:jc w:val="left"/>
        <w:rPr>
          <w:rFonts w:ascii="宋体" w:hAnsi="宋体" w:cs="宋体"/>
          <w:color w:val="auto"/>
          <w:szCs w:val="21"/>
        </w:rPr>
      </w:pPr>
      <w:r>
        <w:rPr>
          <w:rFonts w:hint="eastAsia" w:ascii="宋体" w:hAnsi="宋体" w:cs="宋体"/>
          <w:color w:val="auto"/>
          <w:szCs w:val="21"/>
        </w:rPr>
        <w:t xml:space="preserve">    21.1比选申请人资格审查</w:t>
      </w:r>
    </w:p>
    <w:p>
      <w:pPr>
        <w:ind w:right="-21"/>
        <w:jc w:val="left"/>
        <w:rPr>
          <w:rFonts w:ascii="宋体" w:hAnsi="宋体" w:cs="宋体"/>
          <w:color w:val="auto"/>
          <w:szCs w:val="21"/>
        </w:rPr>
      </w:pPr>
      <w:r>
        <w:rPr>
          <w:rFonts w:hint="eastAsia" w:ascii="宋体" w:hAnsi="宋体" w:cs="宋体"/>
          <w:color w:val="auto"/>
          <w:szCs w:val="21"/>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rPr>
      </w:pPr>
      <w:r>
        <w:rPr>
          <w:rFonts w:hint="eastAsia" w:ascii="宋体" w:hAnsi="宋体" w:cs="宋体"/>
          <w:color w:val="auto"/>
          <w:szCs w:val="21"/>
        </w:rPr>
        <w:t xml:space="preserve">  </w:t>
      </w:r>
      <w:r>
        <w:rPr>
          <w:rFonts w:hint="eastAsia" w:ascii="宋体" w:hAnsi="宋体" w:cs="宋体"/>
          <w:b/>
          <w:color w:val="auto"/>
          <w:szCs w:val="21"/>
        </w:rPr>
        <w:t xml:space="preserve">  21.2比选申请人或其比选文件有下列情况之一者，其比选申请文件将视为无效或作废处理：</w:t>
      </w:r>
    </w:p>
    <w:p>
      <w:pPr>
        <w:ind w:right="-21"/>
        <w:jc w:val="left"/>
        <w:rPr>
          <w:rFonts w:ascii="宋体" w:hAnsi="宋体" w:cs="宋体"/>
          <w:b/>
          <w:color w:val="auto"/>
          <w:szCs w:val="21"/>
        </w:rPr>
      </w:pPr>
      <w:r>
        <w:rPr>
          <w:rFonts w:hint="eastAsia" w:ascii="宋体" w:hAnsi="宋体" w:cs="宋体"/>
          <w:b/>
          <w:color w:val="auto"/>
          <w:szCs w:val="21"/>
        </w:rPr>
        <w:t xml:space="preserve">    （1）比选申请文件未按照规定的要求装订、密封和标记的；</w:t>
      </w:r>
    </w:p>
    <w:p>
      <w:pPr>
        <w:ind w:right="753"/>
        <w:jc w:val="left"/>
        <w:rPr>
          <w:rFonts w:ascii="宋体" w:hAnsi="宋体" w:cs="宋体"/>
          <w:b/>
          <w:color w:val="auto"/>
          <w:szCs w:val="21"/>
        </w:rPr>
      </w:pPr>
      <w:r>
        <w:rPr>
          <w:rFonts w:hint="eastAsia" w:ascii="宋体" w:hAnsi="宋体" w:cs="宋体"/>
          <w:b/>
          <w:color w:val="auto"/>
          <w:szCs w:val="21"/>
        </w:rPr>
        <w:t xml:space="preserve">    （2）本须知第11条规定的比选申请文件有关内容未按本须知第15条规定加盖比选申请人公章、未经比选申请人负责人或其委托代理人签字或盖章的；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rPr>
      </w:pPr>
      <w:r>
        <w:rPr>
          <w:rFonts w:hint="eastAsia" w:ascii="宋体" w:hAnsi="宋体" w:cs="宋体"/>
          <w:b/>
          <w:color w:val="auto"/>
          <w:szCs w:val="21"/>
        </w:rPr>
        <w:t xml:space="preserve">    （3）不按本须知第11条内容提供资料的；</w:t>
      </w:r>
    </w:p>
    <w:p>
      <w:pPr>
        <w:ind w:right="-21"/>
        <w:jc w:val="left"/>
        <w:rPr>
          <w:rFonts w:ascii="宋体" w:hAnsi="宋体" w:cs="宋体"/>
          <w:b/>
          <w:color w:val="auto"/>
          <w:szCs w:val="21"/>
        </w:rPr>
      </w:pPr>
      <w:r>
        <w:rPr>
          <w:rFonts w:hint="eastAsia" w:ascii="宋体" w:hAnsi="宋体" w:cs="宋体"/>
          <w:b/>
          <w:color w:val="auto"/>
          <w:szCs w:val="21"/>
        </w:rPr>
        <w:t xml:space="preserve">    （4）逾期递交比选申请文件的；</w:t>
      </w:r>
    </w:p>
    <w:p>
      <w:pPr>
        <w:ind w:right="753"/>
        <w:jc w:val="left"/>
        <w:rPr>
          <w:rFonts w:ascii="宋体" w:hAnsi="宋体" w:cs="宋体"/>
          <w:b/>
          <w:color w:val="auto"/>
          <w:szCs w:val="21"/>
        </w:rPr>
      </w:pPr>
      <w:r>
        <w:rPr>
          <w:rFonts w:hint="eastAsia" w:ascii="宋体" w:hAnsi="宋体" w:cs="宋体"/>
          <w:b/>
          <w:color w:val="auto"/>
          <w:szCs w:val="21"/>
        </w:rPr>
        <w:t xml:space="preserve">    （5）比选申请文件内容不真实的；</w:t>
      </w:r>
    </w:p>
    <w:p>
      <w:pPr>
        <w:ind w:firstLine="422" w:firstLineChars="200"/>
        <w:rPr>
          <w:rFonts w:ascii="宋体" w:hAnsi="宋体"/>
          <w:b/>
          <w:color w:val="auto"/>
          <w:szCs w:val="21"/>
          <w:highlight w:val="none"/>
        </w:rPr>
      </w:pPr>
      <w:r>
        <w:rPr>
          <w:rFonts w:hint="eastAsia"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ascii="宋体" w:hAnsi="宋体" w:cs="宋体"/>
          <w:b/>
          <w:color w:val="auto"/>
          <w:szCs w:val="21"/>
        </w:rPr>
      </w:pPr>
      <w:r>
        <w:rPr>
          <w:rFonts w:hint="eastAsia" w:ascii="宋体" w:hAnsi="宋体" w:cs="宋体"/>
          <w:b/>
          <w:color w:val="auto"/>
          <w:szCs w:val="21"/>
        </w:rPr>
        <w:t>（7）比选申请人报价超过上限控制价的；</w:t>
      </w:r>
    </w:p>
    <w:p>
      <w:pPr>
        <w:ind w:right="-21" w:firstLine="413" w:firstLineChars="196"/>
        <w:jc w:val="left"/>
        <w:rPr>
          <w:rFonts w:ascii="宋体" w:hAnsi="宋体"/>
          <w:b/>
          <w:color w:val="auto"/>
          <w:szCs w:val="21"/>
        </w:rPr>
      </w:pPr>
      <w:r>
        <w:rPr>
          <w:rFonts w:hint="eastAsia" w:ascii="宋体" w:hAnsi="宋体" w:cs="宋体"/>
          <w:b/>
          <w:color w:val="auto"/>
          <w:szCs w:val="21"/>
        </w:rPr>
        <w:t>（</w:t>
      </w:r>
      <w:r>
        <w:rPr>
          <w:rFonts w:ascii="宋体" w:hAnsi="宋体" w:cs="宋体"/>
          <w:b/>
          <w:color w:val="auto"/>
          <w:szCs w:val="21"/>
        </w:rPr>
        <w:t>8</w:t>
      </w:r>
      <w:r>
        <w:rPr>
          <w:rFonts w:hint="eastAsia" w:ascii="宋体" w:hAnsi="宋体" w:cs="宋体"/>
          <w:b/>
          <w:color w:val="auto"/>
          <w:szCs w:val="21"/>
        </w:rPr>
        <w:t>）比选申请人不符合前附表第</w:t>
      </w:r>
      <w:r>
        <w:rPr>
          <w:rFonts w:ascii="宋体" w:hAnsi="宋体" w:cs="宋体"/>
          <w:b/>
          <w:color w:val="auto"/>
          <w:szCs w:val="21"/>
        </w:rPr>
        <w:t>8</w:t>
      </w:r>
      <w:r>
        <w:rPr>
          <w:rFonts w:hint="eastAsia" w:ascii="宋体" w:hAnsi="宋体" w:cs="宋体"/>
          <w:b/>
          <w:color w:val="auto"/>
          <w:szCs w:val="21"/>
        </w:rPr>
        <w:t>条所述资格要求或比选申请人符合前附表第</w:t>
      </w:r>
      <w:r>
        <w:rPr>
          <w:rFonts w:ascii="宋体" w:hAnsi="宋体" w:cs="宋体"/>
          <w:b/>
          <w:color w:val="auto"/>
          <w:szCs w:val="21"/>
        </w:rPr>
        <w:t>8</w:t>
      </w:r>
      <w:r>
        <w:rPr>
          <w:rFonts w:hint="eastAsia" w:ascii="宋体" w:hAnsi="宋体" w:cs="宋体"/>
          <w:b/>
          <w:color w:val="auto"/>
          <w:szCs w:val="21"/>
        </w:rPr>
        <w:t>条所述资格要求但就本比选项目分别提交两个（每个正本一份、副本四份）及以上的比选申请文件的。</w:t>
      </w:r>
    </w:p>
    <w:p>
      <w:pPr>
        <w:ind w:right="753"/>
        <w:jc w:val="left"/>
        <w:rPr>
          <w:rFonts w:ascii="宋体" w:hAnsi="宋体" w:cs="宋体"/>
          <w:color w:val="auto"/>
          <w:szCs w:val="21"/>
        </w:rPr>
      </w:pPr>
      <w:r>
        <w:rPr>
          <w:rFonts w:ascii="宋体" w:hAnsi="宋体" w:cs="宋体"/>
          <w:color w:val="auto"/>
          <w:szCs w:val="21"/>
        </w:rPr>
        <w:t xml:space="preserve">    21.3评比细则</w:t>
      </w:r>
    </w:p>
    <w:p>
      <w:pPr>
        <w:ind w:right="753"/>
        <w:jc w:val="left"/>
        <w:rPr>
          <w:rFonts w:ascii="宋体" w:hAnsi="宋体" w:cs="宋体"/>
          <w:color w:val="auto"/>
          <w:szCs w:val="21"/>
        </w:rPr>
      </w:pPr>
      <w:r>
        <w:rPr>
          <w:rFonts w:ascii="宋体" w:hAnsi="宋体" w:cs="宋体"/>
          <w:color w:val="auto"/>
          <w:szCs w:val="21"/>
        </w:rPr>
        <w:t xml:space="preserve">    详见第四章。</w:t>
      </w:r>
    </w:p>
    <w:p>
      <w:pPr>
        <w:ind w:right="753"/>
        <w:jc w:val="left"/>
        <w:rPr>
          <w:rFonts w:ascii="宋体" w:hAnsi="宋体" w:cs="宋体"/>
          <w:color w:val="auto"/>
          <w:szCs w:val="21"/>
        </w:rPr>
      </w:pPr>
      <w:r>
        <w:rPr>
          <w:rFonts w:ascii="宋体" w:hAnsi="宋体" w:cs="宋体"/>
          <w:color w:val="auto"/>
          <w:szCs w:val="21"/>
        </w:rPr>
        <w:t xml:space="preserve">    21.4确定中选人</w:t>
      </w:r>
    </w:p>
    <w:p>
      <w:pPr>
        <w:ind w:right="753" w:firstLine="420" w:firstLineChars="200"/>
        <w:jc w:val="left"/>
        <w:rPr>
          <w:rFonts w:ascii="宋体" w:hAnsi="宋体" w:cs="宋体"/>
          <w:color w:val="auto"/>
          <w:szCs w:val="21"/>
        </w:rPr>
      </w:pPr>
      <w:r>
        <w:rPr>
          <w:rFonts w:hint="eastAsia" w:ascii="宋体" w:hAnsi="宋体" w:cs="宋体"/>
          <w:color w:val="auto"/>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color w:val="auto"/>
          <w:szCs w:val="21"/>
        </w:rPr>
      </w:pPr>
      <w:bookmarkStart w:id="230" w:name="_Toc286386861"/>
      <w:bookmarkStart w:id="231" w:name="_Toc310318599"/>
      <w:bookmarkStart w:id="232" w:name="_Toc114052441"/>
      <w:bookmarkStart w:id="233" w:name="_Toc114052377"/>
      <w:r>
        <w:rPr>
          <w:rFonts w:hint="eastAsia" w:ascii="宋体" w:hAnsi="宋体" w:cs="宋体"/>
          <w:color w:val="auto"/>
          <w:szCs w:val="21"/>
        </w:rPr>
        <w:t xml:space="preserve">    22.评比结果</w:t>
      </w:r>
      <w:bookmarkEnd w:id="230"/>
      <w:bookmarkEnd w:id="231"/>
      <w:bookmarkEnd w:id="232"/>
      <w:bookmarkEnd w:id="233"/>
      <w:r>
        <w:rPr>
          <w:rFonts w:hint="eastAsia" w:ascii="宋体" w:hAnsi="宋体" w:cs="宋体"/>
          <w:color w:val="auto"/>
          <w:szCs w:val="21"/>
        </w:rPr>
        <w:t>通知</w:t>
      </w:r>
    </w:p>
    <w:p>
      <w:pPr>
        <w:ind w:right="-21" w:firstLine="420"/>
        <w:jc w:val="left"/>
        <w:rPr>
          <w:rFonts w:ascii="宋体" w:hAnsi="宋体" w:cs="宋体"/>
          <w:color w:val="auto"/>
          <w:szCs w:val="21"/>
        </w:rPr>
      </w:pPr>
      <w:r>
        <w:rPr>
          <w:rFonts w:hint="eastAsia" w:ascii="宋体" w:hAnsi="宋体" w:cs="宋体"/>
          <w:color w:val="auto"/>
          <w:szCs w:val="21"/>
        </w:rPr>
        <w:t>22.1在评比结束后，由比选单位联系人告知比选申请人比选结果，并向中选人提供中选通知书。</w:t>
      </w:r>
    </w:p>
    <w:p>
      <w:pPr>
        <w:ind w:right="-21"/>
        <w:jc w:val="left"/>
        <w:rPr>
          <w:rFonts w:ascii="宋体" w:hAnsi="宋体" w:cs="宋体"/>
          <w:color w:val="auto"/>
          <w:szCs w:val="21"/>
        </w:rPr>
      </w:pPr>
      <w:r>
        <w:rPr>
          <w:rFonts w:hint="eastAsia" w:ascii="宋体" w:hAnsi="宋体" w:cs="宋体"/>
          <w:color w:val="auto"/>
          <w:szCs w:val="21"/>
        </w:rPr>
        <w:t xml:space="preserve">    22.2比选申请人如对评比结果有异议，在接到评审结果后3天内，可以书面形式向比选人提出质疑。比选人应当在收到比选申请人的书面质疑后五个工作日内做出答复，但答复的内容不得涉及商业秘密。</w:t>
      </w:r>
    </w:p>
    <w:p>
      <w:pPr>
        <w:pStyle w:val="6"/>
        <w:jc w:val="center"/>
        <w:rPr>
          <w:color w:val="auto"/>
          <w:sz w:val="21"/>
          <w:szCs w:val="21"/>
        </w:rPr>
      </w:pPr>
      <w:bookmarkStart w:id="234" w:name="_Toc12010"/>
      <w:bookmarkStart w:id="235" w:name="_Toc28642"/>
      <w:bookmarkStart w:id="236" w:name="_Toc17996"/>
      <w:bookmarkStart w:id="237" w:name="_Toc471482367"/>
      <w:bookmarkStart w:id="238" w:name="_Toc6141"/>
      <w:bookmarkStart w:id="239" w:name="_Toc25736"/>
      <w:bookmarkStart w:id="240" w:name="_Toc24212"/>
      <w:bookmarkStart w:id="241" w:name="_Toc461525303"/>
      <w:bookmarkStart w:id="242" w:name="_Toc24713"/>
      <w:bookmarkStart w:id="243" w:name="_Toc24316"/>
      <w:bookmarkStart w:id="244" w:name="_Toc7492"/>
      <w:bookmarkStart w:id="245" w:name="_Toc19549"/>
      <w:bookmarkStart w:id="246" w:name="_Toc529"/>
      <w:bookmarkStart w:id="247" w:name="_Toc30023"/>
      <w:bookmarkStart w:id="248" w:name="_Toc16746"/>
      <w:bookmarkStart w:id="249" w:name="_Toc20403"/>
      <w:bookmarkStart w:id="250" w:name="_Toc8363"/>
      <w:bookmarkStart w:id="251" w:name="_Toc16935"/>
      <w:r>
        <w:rPr>
          <w:rFonts w:hint="eastAsia"/>
          <w:color w:val="auto"/>
          <w:sz w:val="21"/>
          <w:szCs w:val="21"/>
        </w:rPr>
        <w:t>七、</w:t>
      </w:r>
      <w:r>
        <w:rPr>
          <w:color w:val="auto"/>
          <w:sz w:val="21"/>
          <w:szCs w:val="21"/>
        </w:rPr>
        <w:t>授予合同</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ind w:right="753"/>
        <w:jc w:val="left"/>
        <w:rPr>
          <w:rFonts w:ascii="宋体" w:hAnsi="宋体" w:cs="宋体"/>
          <w:color w:val="auto"/>
          <w:szCs w:val="21"/>
        </w:rPr>
      </w:pPr>
      <w:r>
        <w:rPr>
          <w:rFonts w:hint="eastAsia" w:ascii="宋体" w:hAnsi="宋体" w:cs="宋体"/>
          <w:color w:val="auto"/>
          <w:szCs w:val="21"/>
        </w:rPr>
        <w:t xml:space="preserve">   23.中选通知书</w:t>
      </w:r>
    </w:p>
    <w:p>
      <w:pPr>
        <w:ind w:right="753"/>
        <w:jc w:val="left"/>
        <w:rPr>
          <w:rFonts w:ascii="宋体" w:hAnsi="宋体" w:cs="宋体"/>
          <w:color w:val="auto"/>
          <w:szCs w:val="21"/>
        </w:rPr>
      </w:pPr>
      <w:r>
        <w:rPr>
          <w:rFonts w:hint="eastAsia" w:ascii="宋体" w:hAnsi="宋体" w:cs="宋体"/>
          <w:color w:val="auto"/>
          <w:szCs w:val="21"/>
        </w:rPr>
        <w:t xml:space="preserve">   23.1比选人将向中选人发出中选通知书。</w:t>
      </w:r>
    </w:p>
    <w:p>
      <w:pPr>
        <w:ind w:right="-21"/>
        <w:jc w:val="left"/>
        <w:rPr>
          <w:rFonts w:ascii="宋体" w:hAnsi="宋体" w:cs="宋体"/>
          <w:color w:val="auto"/>
          <w:szCs w:val="21"/>
        </w:rPr>
      </w:pPr>
      <w:r>
        <w:rPr>
          <w:rFonts w:hint="eastAsia" w:ascii="宋体" w:hAnsi="宋体" w:cs="宋体"/>
          <w:color w:val="auto"/>
          <w:szCs w:val="21"/>
        </w:rPr>
        <w:t xml:space="preserve">   23.2比选人无义务向落选的比选申请人解释落选原因和退还比选申请文件。</w:t>
      </w:r>
    </w:p>
    <w:p>
      <w:pPr>
        <w:ind w:right="753"/>
        <w:jc w:val="left"/>
        <w:rPr>
          <w:rFonts w:ascii="宋体" w:hAnsi="宋体" w:cs="宋体"/>
          <w:color w:val="auto"/>
          <w:szCs w:val="21"/>
        </w:rPr>
      </w:pPr>
      <w:r>
        <w:rPr>
          <w:rFonts w:hint="eastAsia" w:ascii="宋体" w:hAnsi="宋体" w:cs="宋体"/>
          <w:color w:val="auto"/>
          <w:szCs w:val="21"/>
        </w:rPr>
        <w:t xml:space="preserve">    23.3中选通知书作为合同的组成部分。</w:t>
      </w:r>
    </w:p>
    <w:p>
      <w:pPr>
        <w:ind w:right="753"/>
        <w:jc w:val="left"/>
        <w:rPr>
          <w:rFonts w:ascii="宋体" w:hAnsi="宋体" w:cs="宋体"/>
          <w:color w:val="auto"/>
          <w:szCs w:val="21"/>
        </w:rPr>
      </w:pPr>
      <w:r>
        <w:rPr>
          <w:rFonts w:hint="eastAsia" w:ascii="宋体" w:hAnsi="宋体" w:cs="宋体"/>
          <w:color w:val="auto"/>
          <w:szCs w:val="21"/>
        </w:rPr>
        <w:t xml:space="preserve">    24.合同的签署</w:t>
      </w:r>
    </w:p>
    <w:p>
      <w:pPr>
        <w:ind w:right="-21"/>
        <w:jc w:val="left"/>
        <w:rPr>
          <w:rFonts w:ascii="宋体" w:hAnsi="宋体" w:cs="宋体"/>
          <w:color w:val="auto"/>
          <w:szCs w:val="21"/>
        </w:rPr>
      </w:pPr>
      <w:r>
        <w:rPr>
          <w:rFonts w:hint="eastAsia" w:ascii="宋体" w:hAnsi="宋体" w:cs="宋体"/>
          <w:color w:val="auto"/>
          <w:szCs w:val="21"/>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rPr>
      </w:pPr>
      <w:r>
        <w:rPr>
          <w:rFonts w:hint="eastAsia" w:ascii="宋体" w:hAnsi="宋体" w:cs="宋体"/>
          <w:color w:val="auto"/>
          <w:szCs w:val="21"/>
        </w:rPr>
        <w:t xml:space="preserve">    24.2中选人如放弃中选资格，则比选人有权将其列入不良行为记录名单、三年内禁止其参加比选人发起的任何采购活动。</w:t>
      </w:r>
    </w:p>
    <w:p>
      <w:pPr>
        <w:ind w:right="753" w:firstLine="420" w:firstLineChars="200"/>
        <w:jc w:val="left"/>
        <w:rPr>
          <w:rFonts w:ascii="宋体" w:hAnsi="宋体" w:cs="宋体"/>
          <w:color w:val="auto"/>
          <w:szCs w:val="21"/>
        </w:rPr>
      </w:pPr>
      <w:r>
        <w:rPr>
          <w:rFonts w:hint="eastAsia" w:ascii="宋体" w:hAnsi="宋体" w:cs="宋体"/>
          <w:color w:val="auto"/>
          <w:szCs w:val="21"/>
        </w:rPr>
        <w:t>24.3中选人被废除中选资格后，比选人有权将标授予预备中选单位。</w:t>
      </w:r>
    </w:p>
    <w:p>
      <w:pPr>
        <w:pStyle w:val="4"/>
        <w:rPr>
          <w:color w:val="auto"/>
          <w:sz w:val="24"/>
          <w:szCs w:val="24"/>
        </w:rPr>
      </w:pPr>
      <w:r>
        <w:rPr>
          <w:rFonts w:hint="eastAsia"/>
          <w:color w:val="auto"/>
          <w:sz w:val="21"/>
          <w:szCs w:val="21"/>
        </w:rPr>
        <w:br w:type="page"/>
      </w:r>
      <w:bookmarkStart w:id="252" w:name="_Toc1751"/>
      <w:bookmarkStart w:id="253" w:name="_Toc19529"/>
      <w:bookmarkStart w:id="254" w:name="_Toc19756"/>
      <w:bookmarkStart w:id="255" w:name="_Toc15851"/>
      <w:bookmarkStart w:id="256" w:name="_Toc21358"/>
      <w:bookmarkStart w:id="257" w:name="_Toc5964"/>
      <w:bookmarkStart w:id="258" w:name="_Toc16062"/>
      <w:bookmarkStart w:id="259" w:name="_Toc461525304"/>
      <w:bookmarkStart w:id="260" w:name="_Toc21670"/>
      <w:bookmarkStart w:id="261" w:name="_Toc12854"/>
      <w:bookmarkStart w:id="262" w:name="_Toc2960"/>
      <w:bookmarkStart w:id="263" w:name="_Toc471482368"/>
      <w:bookmarkStart w:id="264" w:name="_Toc1354"/>
      <w:bookmarkStart w:id="265" w:name="_Toc4769"/>
      <w:bookmarkStart w:id="266" w:name="_Toc31070"/>
      <w:bookmarkStart w:id="267" w:name="_Toc7234"/>
      <w:bookmarkStart w:id="268" w:name="_Toc333307121"/>
      <w:r>
        <w:rPr>
          <w:rFonts w:hint="eastAsia"/>
          <w:color w:val="auto"/>
          <w:sz w:val="24"/>
          <w:szCs w:val="24"/>
        </w:rPr>
        <w:t>第二章 服务需求一览表</w:t>
      </w:r>
      <w:bookmarkEnd w:id="252"/>
      <w:bookmarkEnd w:id="253"/>
      <w:bookmarkEnd w:id="254"/>
      <w:bookmarkEnd w:id="255"/>
    </w:p>
    <w:tbl>
      <w:tblPr>
        <w:tblStyle w:val="27"/>
        <w:tblW w:w="46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472"/>
        <w:gridCol w:w="3588"/>
        <w:gridCol w:w="2602"/>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233" w:type="pct"/>
            <w:vAlign w:val="center"/>
          </w:tcPr>
          <w:p>
            <w:pPr>
              <w:pStyle w:val="32"/>
              <w:adjustRightInd w:val="0"/>
              <w:snapToGrid w:val="0"/>
              <w:spacing w:before="0" w:after="0" w:line="276" w:lineRule="auto"/>
              <w:ind w:firstLine="0"/>
              <w:jc w:val="center"/>
              <w:rPr>
                <w:b/>
                <w:bCs/>
                <w:color w:val="auto"/>
                <w:szCs w:val="21"/>
              </w:rPr>
            </w:pPr>
            <w:r>
              <w:rPr>
                <w:rFonts w:hint="eastAsia"/>
                <w:b/>
                <w:bCs/>
                <w:color w:val="auto"/>
                <w:szCs w:val="21"/>
              </w:rPr>
              <w:t>序号</w:t>
            </w:r>
          </w:p>
        </w:tc>
        <w:tc>
          <w:tcPr>
            <w:tcW w:w="843" w:type="pct"/>
            <w:vAlign w:val="center"/>
          </w:tcPr>
          <w:p>
            <w:pPr>
              <w:pStyle w:val="32"/>
              <w:adjustRightInd w:val="0"/>
              <w:snapToGrid w:val="0"/>
              <w:spacing w:before="0" w:after="0" w:line="276" w:lineRule="auto"/>
              <w:ind w:firstLine="0"/>
              <w:jc w:val="center"/>
              <w:rPr>
                <w:b/>
                <w:bCs/>
                <w:color w:val="auto"/>
                <w:szCs w:val="21"/>
              </w:rPr>
            </w:pPr>
            <w:r>
              <w:rPr>
                <w:rFonts w:hint="eastAsia"/>
                <w:b/>
                <w:bCs/>
                <w:color w:val="auto"/>
                <w:szCs w:val="21"/>
              </w:rPr>
              <w:t>咨询内容</w:t>
            </w:r>
          </w:p>
        </w:tc>
        <w:tc>
          <w:tcPr>
            <w:tcW w:w="2051" w:type="pct"/>
            <w:vAlign w:val="center"/>
          </w:tcPr>
          <w:p>
            <w:pPr>
              <w:pStyle w:val="32"/>
              <w:adjustRightInd w:val="0"/>
              <w:snapToGrid w:val="0"/>
              <w:spacing w:before="0" w:after="0" w:line="276" w:lineRule="auto"/>
              <w:ind w:firstLine="0"/>
              <w:jc w:val="center"/>
              <w:rPr>
                <w:b/>
                <w:bCs/>
                <w:color w:val="auto"/>
                <w:szCs w:val="21"/>
              </w:rPr>
            </w:pPr>
            <w:r>
              <w:rPr>
                <w:rFonts w:hint="eastAsia"/>
                <w:b/>
                <w:bCs/>
                <w:color w:val="auto"/>
                <w:szCs w:val="21"/>
              </w:rPr>
              <w:t>服务需求与要求</w:t>
            </w:r>
          </w:p>
        </w:tc>
        <w:tc>
          <w:tcPr>
            <w:tcW w:w="1488" w:type="pct"/>
            <w:vAlign w:val="center"/>
          </w:tcPr>
          <w:p>
            <w:pPr>
              <w:pStyle w:val="32"/>
              <w:adjustRightInd w:val="0"/>
              <w:snapToGrid w:val="0"/>
              <w:spacing w:before="0" w:after="0" w:line="276" w:lineRule="auto"/>
              <w:ind w:firstLine="0"/>
              <w:jc w:val="center"/>
              <w:rPr>
                <w:b/>
                <w:bCs/>
                <w:color w:val="auto"/>
                <w:szCs w:val="21"/>
              </w:rPr>
            </w:pPr>
            <w:r>
              <w:rPr>
                <w:rFonts w:hint="eastAsia" w:ascii="宋体" w:hAnsi="宋体" w:cs="宋体"/>
                <w:b/>
                <w:bCs/>
                <w:color w:val="auto"/>
                <w:kern w:val="0"/>
                <w:szCs w:val="21"/>
              </w:rPr>
              <w:t>咨询成果文件及</w:t>
            </w:r>
            <w:r>
              <w:rPr>
                <w:rFonts w:hint="eastAsia"/>
                <w:b/>
                <w:bCs/>
                <w:color w:val="auto"/>
                <w:szCs w:val="21"/>
              </w:rPr>
              <w:t>最终成果提交时间</w:t>
            </w:r>
          </w:p>
        </w:tc>
        <w:tc>
          <w:tcPr>
            <w:tcW w:w="383" w:type="pct"/>
            <w:vAlign w:val="center"/>
          </w:tcPr>
          <w:p>
            <w:pPr>
              <w:pStyle w:val="32"/>
              <w:adjustRightInd w:val="0"/>
              <w:snapToGrid w:val="0"/>
              <w:spacing w:before="0" w:after="0" w:line="276" w:lineRule="auto"/>
              <w:ind w:firstLine="0"/>
              <w:jc w:val="center"/>
              <w:rPr>
                <w:b/>
                <w:bCs/>
                <w:color w:val="auto"/>
                <w:szCs w:val="21"/>
              </w:rPr>
            </w:pPr>
            <w:r>
              <w:rPr>
                <w:rFonts w:hint="eastAsia"/>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5" w:hRule="atLeast"/>
        </w:trPr>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一</w:t>
            </w:r>
          </w:p>
        </w:tc>
        <w:tc>
          <w:tcPr>
            <w:tcW w:w="843" w:type="pct"/>
            <w:vAlign w:val="center"/>
          </w:tcPr>
          <w:p>
            <w:pPr>
              <w:pStyle w:val="32"/>
              <w:adjustRightInd w:val="0"/>
              <w:snapToGrid w:val="0"/>
              <w:spacing w:before="0" w:line="276" w:lineRule="auto"/>
              <w:ind w:firstLine="0"/>
              <w:jc w:val="left"/>
              <w:rPr>
                <w:color w:val="auto"/>
                <w:szCs w:val="21"/>
              </w:rPr>
            </w:pPr>
            <w:r>
              <w:rPr>
                <w:rFonts w:hint="eastAsia"/>
                <w:color w:val="auto"/>
                <w:szCs w:val="21"/>
              </w:rPr>
              <w:t>南宁铁路枢纽投资有限公司“十四五”战略规划及远景展望咨询服务项目</w:t>
            </w:r>
          </w:p>
        </w:tc>
        <w:tc>
          <w:tcPr>
            <w:tcW w:w="2051" w:type="pct"/>
            <w:vAlign w:val="center"/>
          </w:tcPr>
          <w:p>
            <w:pPr>
              <w:adjustRightInd w:val="0"/>
              <w:snapToGrid w:val="0"/>
              <w:spacing w:before="0" w:after="0" w:line="276" w:lineRule="auto"/>
              <w:ind w:firstLine="0"/>
              <w:jc w:val="left"/>
              <w:rPr>
                <w:color w:val="auto"/>
                <w:szCs w:val="21"/>
              </w:rPr>
            </w:pPr>
            <w:r>
              <w:rPr>
                <w:rFonts w:hint="eastAsia"/>
                <w:color w:val="auto"/>
                <w:szCs w:val="21"/>
              </w:rPr>
              <w:t>（1）基于充分研究南宁北站、南宁站等铁路枢纽站城一体项目之上，研究制定南宁铁路枢纽投资有限公司“十四五”战略规划及2035远景展望：企业发展内外部环境分析（机遇和挑战等），战略定位，主营业务板块规划，战略目标（近、中、远期发展目标）与相对应战略发展路径，实现战略规划所需的政府政策支持、战略保障措施，以及“十四五”战略规划分解落实计划。</w:t>
            </w:r>
          </w:p>
          <w:p>
            <w:pPr>
              <w:adjustRightInd w:val="0"/>
              <w:snapToGrid w:val="0"/>
              <w:spacing w:before="0" w:after="0" w:line="276" w:lineRule="auto"/>
              <w:ind w:firstLine="0"/>
              <w:jc w:val="left"/>
              <w:rPr>
                <w:color w:val="auto"/>
                <w:szCs w:val="21"/>
              </w:rPr>
            </w:pPr>
            <w:r>
              <w:rPr>
                <w:rFonts w:hint="eastAsia"/>
                <w:color w:val="auto"/>
                <w:szCs w:val="21"/>
              </w:rPr>
              <w:t>（2）战略保障措施主要包含公司组织架构、定岗定编、核心业务制度目录、招商引资管理办法、企业文化建设（企业愿景、使命、价值观、生产经营理念等企业文化核心理念；企业标志、企业标准字体、企业标准色等公司VI视觉识别系统设计及办公用品识别应用设计等）。</w:t>
            </w:r>
          </w:p>
        </w:tc>
        <w:tc>
          <w:tcPr>
            <w:tcW w:w="1488" w:type="pct"/>
            <w:vAlign w:val="center"/>
          </w:tcPr>
          <w:p>
            <w:pPr>
              <w:pStyle w:val="32"/>
              <w:numPr>
                <w:ilvl w:val="255"/>
                <w:numId w:val="0"/>
              </w:numPr>
              <w:adjustRightInd w:val="0"/>
              <w:snapToGrid w:val="0"/>
              <w:spacing w:before="0" w:after="0" w:line="276" w:lineRule="auto"/>
              <w:jc w:val="left"/>
              <w:rPr>
                <w:color w:val="auto"/>
                <w:szCs w:val="21"/>
              </w:rPr>
            </w:pPr>
            <w:r>
              <w:rPr>
                <w:rFonts w:hint="eastAsia"/>
                <w:color w:val="auto"/>
                <w:szCs w:val="21"/>
              </w:rPr>
              <w:t>（1）《南宁铁路枢纽投资有限公司“十四五”战略规划及2035远景展望报告》、《战略规划分解落实计划》（2022年11月30日前完成，报告须涵盖所提需求，战略保障措施相关需求的成果可单独成册或成章）。</w:t>
            </w:r>
          </w:p>
          <w:p>
            <w:pPr>
              <w:pStyle w:val="32"/>
              <w:numPr>
                <w:ilvl w:val="255"/>
                <w:numId w:val="0"/>
              </w:numPr>
              <w:adjustRightInd w:val="0"/>
              <w:snapToGrid w:val="0"/>
              <w:spacing w:before="0" w:after="0" w:line="276" w:lineRule="auto"/>
              <w:jc w:val="left"/>
              <w:rPr>
                <w:color w:val="auto"/>
                <w:szCs w:val="21"/>
              </w:rPr>
            </w:pPr>
            <w:r>
              <w:rPr>
                <w:rFonts w:hint="eastAsia"/>
                <w:color w:val="auto"/>
                <w:szCs w:val="21"/>
              </w:rPr>
              <w:t>（2）承载企业文化核心理念的《企业文化手册》、《员工手册》设计成果，以及企业标志、企业标准字体、企业标准色等公司VI视觉识别系统设计及应用设计（含办公用品识别等）的设计成果（2022年11月30日前）。</w:t>
            </w: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二</w:t>
            </w:r>
          </w:p>
        </w:tc>
        <w:tc>
          <w:tcPr>
            <w:tcW w:w="843"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组织专家评审</w:t>
            </w:r>
          </w:p>
        </w:tc>
        <w:tc>
          <w:tcPr>
            <w:tcW w:w="2051" w:type="pct"/>
            <w:vAlign w:val="center"/>
          </w:tcPr>
          <w:p>
            <w:pPr>
              <w:rPr>
                <w:color w:val="auto"/>
              </w:rPr>
            </w:pPr>
            <w:r>
              <w:rPr>
                <w:rFonts w:hint="eastAsia"/>
                <w:color w:val="auto"/>
                <w:szCs w:val="21"/>
              </w:rPr>
              <w:t>根据业主需求，组织专家对以下成果文件进行评审：</w:t>
            </w:r>
          </w:p>
          <w:p>
            <w:pPr>
              <w:pStyle w:val="32"/>
              <w:numPr>
                <w:ilvl w:val="255"/>
                <w:numId w:val="0"/>
              </w:numPr>
              <w:adjustRightInd w:val="0"/>
              <w:snapToGrid w:val="0"/>
              <w:spacing w:before="0" w:after="0" w:line="276" w:lineRule="auto"/>
              <w:jc w:val="left"/>
              <w:rPr>
                <w:color w:val="auto"/>
                <w:szCs w:val="21"/>
              </w:rPr>
            </w:pPr>
            <w:r>
              <w:rPr>
                <w:rFonts w:hint="eastAsia"/>
                <w:color w:val="auto"/>
                <w:szCs w:val="21"/>
              </w:rPr>
              <w:t>《南宁铁路枢纽投资有限公司“十四五”战略规划及2035远景展望报告》、《战略规划分解落实计划》</w:t>
            </w:r>
          </w:p>
        </w:tc>
        <w:tc>
          <w:tcPr>
            <w:tcW w:w="1488"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根据评审意见完善后的成果文件</w:t>
            </w: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三</w:t>
            </w:r>
          </w:p>
        </w:tc>
        <w:tc>
          <w:tcPr>
            <w:tcW w:w="843"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宣贯工作</w:t>
            </w:r>
          </w:p>
        </w:tc>
        <w:tc>
          <w:tcPr>
            <w:tcW w:w="2051" w:type="pct"/>
            <w:vAlign w:val="center"/>
          </w:tcPr>
          <w:p>
            <w:pPr>
              <w:pStyle w:val="32"/>
              <w:numPr>
                <w:ilvl w:val="0"/>
                <w:numId w:val="2"/>
              </w:numPr>
              <w:adjustRightInd w:val="0"/>
              <w:snapToGrid w:val="0"/>
              <w:spacing w:before="0" w:after="0" w:line="276" w:lineRule="auto"/>
              <w:ind w:firstLine="0"/>
              <w:jc w:val="left"/>
              <w:rPr>
                <w:color w:val="auto"/>
                <w:szCs w:val="21"/>
              </w:rPr>
            </w:pPr>
            <w:r>
              <w:rPr>
                <w:rFonts w:hint="eastAsia"/>
                <w:color w:val="auto"/>
                <w:szCs w:val="21"/>
              </w:rPr>
              <w:t>协助做好战略规划的宣贯工作；</w:t>
            </w:r>
          </w:p>
          <w:p>
            <w:pPr>
              <w:pStyle w:val="32"/>
              <w:numPr>
                <w:ilvl w:val="0"/>
                <w:numId w:val="2"/>
              </w:numPr>
              <w:adjustRightInd w:val="0"/>
              <w:snapToGrid w:val="0"/>
              <w:spacing w:before="0" w:after="0" w:line="276" w:lineRule="auto"/>
              <w:ind w:firstLine="0"/>
              <w:jc w:val="left"/>
              <w:rPr>
                <w:color w:val="auto"/>
                <w:szCs w:val="21"/>
              </w:rPr>
            </w:pPr>
            <w:r>
              <w:rPr>
                <w:rFonts w:hint="eastAsia"/>
                <w:color w:val="auto"/>
                <w:szCs w:val="21"/>
              </w:rPr>
              <w:t>根据业主需求，组织相关制度的宣贯培训。</w:t>
            </w:r>
          </w:p>
        </w:tc>
        <w:tc>
          <w:tcPr>
            <w:tcW w:w="1488" w:type="pct"/>
            <w:vAlign w:val="center"/>
          </w:tcPr>
          <w:p>
            <w:pPr>
              <w:pStyle w:val="32"/>
              <w:adjustRightInd w:val="0"/>
              <w:snapToGrid w:val="0"/>
              <w:spacing w:before="0" w:after="0" w:line="276" w:lineRule="auto"/>
              <w:ind w:firstLine="0"/>
              <w:jc w:val="left"/>
              <w:rPr>
                <w:color w:val="auto"/>
                <w:szCs w:val="21"/>
              </w:rPr>
            </w:pP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四</w:t>
            </w:r>
          </w:p>
        </w:tc>
        <w:tc>
          <w:tcPr>
            <w:tcW w:w="843" w:type="pct"/>
            <w:vAlign w:val="center"/>
          </w:tcPr>
          <w:p>
            <w:pPr>
              <w:pStyle w:val="32"/>
              <w:adjustRightInd w:val="0"/>
              <w:snapToGrid w:val="0"/>
              <w:spacing w:before="0" w:after="0" w:line="276" w:lineRule="auto"/>
              <w:ind w:firstLine="0"/>
              <w:jc w:val="left"/>
              <w:rPr>
                <w:color w:val="auto"/>
                <w:szCs w:val="21"/>
                <w:highlight w:val="none"/>
              </w:rPr>
            </w:pPr>
            <w:r>
              <w:rPr>
                <w:rFonts w:hint="eastAsia"/>
                <w:color w:val="auto"/>
                <w:szCs w:val="21"/>
                <w:highlight w:val="none"/>
              </w:rPr>
              <w:t>调研考察</w:t>
            </w:r>
          </w:p>
        </w:tc>
        <w:tc>
          <w:tcPr>
            <w:tcW w:w="2051" w:type="pct"/>
            <w:vAlign w:val="center"/>
          </w:tcPr>
          <w:p>
            <w:pPr>
              <w:pStyle w:val="32"/>
              <w:numPr>
                <w:ilvl w:val="0"/>
                <w:numId w:val="3"/>
              </w:numPr>
              <w:adjustRightInd w:val="0"/>
              <w:snapToGrid w:val="0"/>
              <w:spacing w:before="0" w:after="0" w:line="276" w:lineRule="auto"/>
              <w:ind w:firstLine="0"/>
              <w:jc w:val="left"/>
              <w:rPr>
                <w:color w:val="auto"/>
                <w:highlight w:val="none"/>
              </w:rPr>
            </w:pPr>
            <w:r>
              <w:rPr>
                <w:rFonts w:hint="eastAsia"/>
                <w:color w:val="auto"/>
                <w:szCs w:val="21"/>
                <w:highlight w:val="none"/>
              </w:rPr>
              <w:t>组织国内铁路枢纽项目产业策划与综合开发、战略规划业务的调研考察一次；</w:t>
            </w:r>
          </w:p>
          <w:p>
            <w:pPr>
              <w:pStyle w:val="32"/>
              <w:numPr>
                <w:ilvl w:val="0"/>
                <w:numId w:val="3"/>
              </w:numPr>
              <w:adjustRightInd w:val="0"/>
              <w:snapToGrid w:val="0"/>
              <w:spacing w:before="0" w:after="0" w:line="276" w:lineRule="auto"/>
              <w:ind w:firstLine="0"/>
              <w:jc w:val="left"/>
              <w:rPr>
                <w:color w:val="auto"/>
                <w:szCs w:val="21"/>
                <w:highlight w:val="none"/>
              </w:rPr>
            </w:pPr>
            <w:r>
              <w:rPr>
                <w:rFonts w:hint="eastAsia"/>
                <w:color w:val="auto"/>
                <w:szCs w:val="21"/>
                <w:highlight w:val="none"/>
              </w:rPr>
              <w:t>考察单位不少于</w:t>
            </w:r>
            <w:r>
              <w:rPr>
                <w:color w:val="auto"/>
                <w:szCs w:val="21"/>
                <w:highlight w:val="none"/>
              </w:rPr>
              <w:t>2</w:t>
            </w:r>
            <w:r>
              <w:rPr>
                <w:rFonts w:hint="eastAsia"/>
                <w:color w:val="auto"/>
                <w:szCs w:val="21"/>
                <w:highlight w:val="none"/>
              </w:rPr>
              <w:t>家</w:t>
            </w:r>
            <w:r>
              <w:rPr>
                <w:rFonts w:hint="eastAsia" w:ascii="宋体" w:hAnsi="宋体" w:cs="仿宋"/>
                <w:color w:val="auto"/>
                <w:szCs w:val="21"/>
                <w:highlight w:val="none"/>
              </w:rPr>
              <w:t>；</w:t>
            </w:r>
          </w:p>
          <w:p>
            <w:pPr>
              <w:pStyle w:val="32"/>
              <w:numPr>
                <w:ilvl w:val="0"/>
                <w:numId w:val="3"/>
              </w:numPr>
              <w:adjustRightInd w:val="0"/>
              <w:snapToGrid w:val="0"/>
              <w:spacing w:before="0" w:after="0" w:line="276" w:lineRule="auto"/>
              <w:ind w:firstLine="0"/>
              <w:jc w:val="left"/>
              <w:rPr>
                <w:color w:val="auto"/>
                <w:highlight w:val="none"/>
              </w:rPr>
            </w:pPr>
            <w:r>
              <w:rPr>
                <w:rFonts w:hint="eastAsia"/>
                <w:color w:val="auto"/>
                <w:highlight w:val="none"/>
              </w:rPr>
              <w:t>完成调研考察报告的编制。</w:t>
            </w:r>
          </w:p>
        </w:tc>
        <w:tc>
          <w:tcPr>
            <w:tcW w:w="1488" w:type="pct"/>
            <w:vAlign w:val="center"/>
          </w:tcPr>
          <w:p>
            <w:pPr>
              <w:pStyle w:val="32"/>
              <w:adjustRightInd w:val="0"/>
              <w:snapToGrid w:val="0"/>
              <w:spacing w:before="0" w:after="0" w:line="276" w:lineRule="auto"/>
              <w:ind w:firstLine="0"/>
              <w:jc w:val="left"/>
              <w:rPr>
                <w:color w:val="auto"/>
                <w:szCs w:val="21"/>
                <w:highlight w:val="none"/>
              </w:rPr>
            </w:pPr>
            <w:r>
              <w:rPr>
                <w:rFonts w:hint="eastAsia"/>
                <w:color w:val="auto"/>
                <w:szCs w:val="21"/>
                <w:highlight w:val="none"/>
              </w:rPr>
              <w:t>《调研考察报告》</w:t>
            </w: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五</w:t>
            </w:r>
          </w:p>
        </w:tc>
        <w:tc>
          <w:tcPr>
            <w:tcW w:w="843"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参加相关会议</w:t>
            </w:r>
          </w:p>
        </w:tc>
        <w:tc>
          <w:tcPr>
            <w:tcW w:w="2051" w:type="pct"/>
            <w:vAlign w:val="center"/>
          </w:tcPr>
          <w:p>
            <w:pPr>
              <w:pStyle w:val="32"/>
              <w:numPr>
                <w:ilvl w:val="0"/>
                <w:numId w:val="4"/>
              </w:numPr>
              <w:adjustRightInd w:val="0"/>
              <w:snapToGrid w:val="0"/>
              <w:spacing w:before="0" w:after="0" w:line="276" w:lineRule="auto"/>
              <w:ind w:firstLine="0"/>
              <w:jc w:val="left"/>
              <w:rPr>
                <w:color w:val="auto"/>
              </w:rPr>
            </w:pPr>
            <w:r>
              <w:rPr>
                <w:rFonts w:hint="eastAsia"/>
                <w:color w:val="auto"/>
              </w:rPr>
              <w:t>协助业主组织相关工作会议；</w:t>
            </w:r>
          </w:p>
          <w:p>
            <w:pPr>
              <w:pStyle w:val="32"/>
              <w:numPr>
                <w:ilvl w:val="0"/>
                <w:numId w:val="4"/>
              </w:numPr>
              <w:adjustRightInd w:val="0"/>
              <w:snapToGrid w:val="0"/>
              <w:spacing w:before="0" w:after="0" w:line="276" w:lineRule="auto"/>
              <w:ind w:firstLine="0"/>
              <w:jc w:val="left"/>
              <w:rPr>
                <w:color w:val="auto"/>
              </w:rPr>
            </w:pPr>
            <w:r>
              <w:rPr>
                <w:rFonts w:hint="eastAsia"/>
                <w:color w:val="auto"/>
              </w:rPr>
              <w:t>按比选人要求参加相关会议。</w:t>
            </w:r>
          </w:p>
        </w:tc>
        <w:tc>
          <w:tcPr>
            <w:tcW w:w="1488" w:type="pct"/>
            <w:vAlign w:val="center"/>
          </w:tcPr>
          <w:p>
            <w:pPr>
              <w:pStyle w:val="32"/>
              <w:adjustRightInd w:val="0"/>
              <w:snapToGrid w:val="0"/>
              <w:spacing w:before="0" w:after="0" w:line="276" w:lineRule="auto"/>
              <w:ind w:firstLine="0"/>
              <w:jc w:val="left"/>
              <w:rPr>
                <w:color w:val="auto"/>
                <w:szCs w:val="21"/>
              </w:rPr>
            </w:pP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六</w:t>
            </w:r>
          </w:p>
        </w:tc>
        <w:tc>
          <w:tcPr>
            <w:tcW w:w="843"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跟踪服务</w:t>
            </w:r>
          </w:p>
        </w:tc>
        <w:tc>
          <w:tcPr>
            <w:tcW w:w="2051" w:type="pct"/>
            <w:vAlign w:val="center"/>
          </w:tcPr>
          <w:p>
            <w:pPr>
              <w:pStyle w:val="32"/>
              <w:numPr>
                <w:ilvl w:val="0"/>
                <w:numId w:val="5"/>
              </w:numPr>
              <w:adjustRightInd w:val="0"/>
              <w:snapToGrid w:val="0"/>
              <w:spacing w:before="0" w:after="0" w:line="276" w:lineRule="auto"/>
              <w:ind w:firstLine="0"/>
              <w:jc w:val="left"/>
              <w:rPr>
                <w:color w:val="auto"/>
                <w:szCs w:val="21"/>
              </w:rPr>
            </w:pPr>
            <w:r>
              <w:rPr>
                <w:rFonts w:hint="eastAsia"/>
                <w:color w:val="auto"/>
                <w:szCs w:val="21"/>
              </w:rPr>
              <w:t>后续咨询和指导：提供本项目相关业务咨询、技术支持和专业培训等增值服务工作；</w:t>
            </w:r>
          </w:p>
        </w:tc>
        <w:tc>
          <w:tcPr>
            <w:tcW w:w="1488" w:type="pct"/>
            <w:vAlign w:val="center"/>
          </w:tcPr>
          <w:p>
            <w:pPr>
              <w:pStyle w:val="32"/>
              <w:adjustRightInd w:val="0"/>
              <w:snapToGrid w:val="0"/>
              <w:spacing w:before="0" w:after="0" w:line="276" w:lineRule="auto"/>
              <w:ind w:firstLine="0"/>
              <w:jc w:val="left"/>
              <w:rPr>
                <w:color w:val="auto"/>
                <w:szCs w:val="21"/>
              </w:rPr>
            </w:pPr>
          </w:p>
        </w:tc>
        <w:tc>
          <w:tcPr>
            <w:tcW w:w="383" w:type="pct"/>
            <w:vAlign w:val="center"/>
          </w:tcPr>
          <w:p>
            <w:pPr>
              <w:pStyle w:val="32"/>
              <w:adjustRightInd w:val="0"/>
              <w:snapToGrid w:val="0"/>
              <w:spacing w:before="0" w:line="276" w:lineRule="auto"/>
              <w:ind w:firstLine="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pStyle w:val="32"/>
              <w:adjustRightInd w:val="0"/>
              <w:snapToGrid w:val="0"/>
              <w:spacing w:before="0" w:after="0" w:line="276" w:lineRule="auto"/>
              <w:ind w:firstLine="0"/>
              <w:jc w:val="center"/>
              <w:rPr>
                <w:color w:val="auto"/>
                <w:szCs w:val="21"/>
              </w:rPr>
            </w:pPr>
            <w:r>
              <w:rPr>
                <w:rFonts w:hint="eastAsia"/>
                <w:color w:val="auto"/>
                <w:szCs w:val="21"/>
              </w:rPr>
              <w:t>七</w:t>
            </w:r>
          </w:p>
        </w:tc>
        <w:tc>
          <w:tcPr>
            <w:tcW w:w="843"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其他</w:t>
            </w:r>
          </w:p>
        </w:tc>
        <w:tc>
          <w:tcPr>
            <w:tcW w:w="2051" w:type="pct"/>
            <w:vAlign w:val="center"/>
          </w:tcPr>
          <w:p>
            <w:pPr>
              <w:pStyle w:val="32"/>
              <w:adjustRightInd w:val="0"/>
              <w:snapToGrid w:val="0"/>
              <w:spacing w:before="0" w:after="0" w:line="276" w:lineRule="auto"/>
              <w:ind w:firstLine="0"/>
              <w:jc w:val="left"/>
              <w:rPr>
                <w:color w:val="auto"/>
                <w:szCs w:val="21"/>
              </w:rPr>
            </w:pPr>
            <w:r>
              <w:rPr>
                <w:rFonts w:hint="eastAsia"/>
                <w:color w:val="auto"/>
                <w:szCs w:val="21"/>
              </w:rPr>
              <w:t>双方协商一致的其他工作。</w:t>
            </w:r>
          </w:p>
        </w:tc>
        <w:tc>
          <w:tcPr>
            <w:tcW w:w="1488" w:type="pct"/>
            <w:vAlign w:val="center"/>
          </w:tcPr>
          <w:p>
            <w:pPr>
              <w:pStyle w:val="32"/>
              <w:adjustRightInd w:val="0"/>
              <w:snapToGrid w:val="0"/>
              <w:spacing w:before="0" w:after="0" w:line="276" w:lineRule="auto"/>
              <w:ind w:firstLine="0"/>
              <w:jc w:val="left"/>
              <w:rPr>
                <w:color w:val="auto"/>
                <w:szCs w:val="21"/>
              </w:rPr>
            </w:pPr>
          </w:p>
        </w:tc>
        <w:tc>
          <w:tcPr>
            <w:tcW w:w="383" w:type="pct"/>
            <w:vAlign w:val="center"/>
          </w:tcPr>
          <w:p>
            <w:pPr>
              <w:pStyle w:val="32"/>
              <w:adjustRightInd w:val="0"/>
              <w:snapToGrid w:val="0"/>
              <w:spacing w:before="0" w:line="276" w:lineRule="auto"/>
              <w:ind w:firstLine="0"/>
              <w:jc w:val="left"/>
              <w:rPr>
                <w:color w:val="auto"/>
                <w:szCs w:val="21"/>
              </w:rPr>
            </w:pPr>
          </w:p>
        </w:tc>
      </w:tr>
    </w:tbl>
    <w:p>
      <w:pPr>
        <w:rPr>
          <w:color w:val="auto"/>
        </w:rPr>
      </w:pPr>
    </w:p>
    <w:p>
      <w:pPr>
        <w:rPr>
          <w:color w:val="auto"/>
        </w:rPr>
      </w:pPr>
    </w:p>
    <w:p>
      <w:pPr>
        <w:pStyle w:val="4"/>
        <w:rPr>
          <w:color w:val="auto"/>
          <w:sz w:val="24"/>
          <w:szCs w:val="24"/>
        </w:rPr>
      </w:pPr>
      <w:bookmarkStart w:id="269" w:name="_Toc14105"/>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rPr>
          <w:color w:val="auto"/>
          <w:sz w:val="24"/>
        </w:rPr>
      </w:pPr>
    </w:p>
    <w:p>
      <w:pPr>
        <w:pStyle w:val="2"/>
        <w:ind w:firstLine="600"/>
        <w:rPr>
          <w:color w:val="auto"/>
        </w:rPr>
      </w:pPr>
    </w:p>
    <w:p>
      <w:pPr>
        <w:pStyle w:val="4"/>
        <w:rPr>
          <w:color w:val="auto"/>
          <w:sz w:val="24"/>
          <w:szCs w:val="24"/>
        </w:rPr>
      </w:pPr>
    </w:p>
    <w:p>
      <w:pPr>
        <w:pStyle w:val="4"/>
        <w:rPr>
          <w:color w:val="auto"/>
          <w:sz w:val="24"/>
          <w:szCs w:val="24"/>
        </w:rPr>
      </w:pPr>
      <w:bookmarkStart w:id="270" w:name="_Toc2201"/>
      <w:bookmarkStart w:id="271" w:name="_Toc31597"/>
      <w:bookmarkStart w:id="272" w:name="_Toc32491"/>
      <w:r>
        <w:rPr>
          <w:rFonts w:hint="eastAsia"/>
          <w:color w:val="auto"/>
          <w:sz w:val="24"/>
          <w:szCs w:val="24"/>
        </w:rPr>
        <w:t>第三章  合同条款</w:t>
      </w:r>
      <w:bookmarkEnd w:id="256"/>
      <w:bookmarkEnd w:id="257"/>
      <w:bookmarkEnd w:id="258"/>
      <w:bookmarkEnd w:id="259"/>
      <w:bookmarkEnd w:id="260"/>
      <w:bookmarkEnd w:id="261"/>
      <w:bookmarkEnd w:id="262"/>
      <w:bookmarkEnd w:id="263"/>
      <w:bookmarkEnd w:id="264"/>
      <w:bookmarkEnd w:id="265"/>
      <w:bookmarkEnd w:id="266"/>
      <w:bookmarkEnd w:id="269"/>
      <w:bookmarkEnd w:id="270"/>
      <w:bookmarkEnd w:id="271"/>
      <w:bookmarkEnd w:id="272"/>
    </w:p>
    <w:p>
      <w:pPr>
        <w:ind w:right="560"/>
        <w:jc w:val="center"/>
        <w:rPr>
          <w:rFonts w:ascii="宋体" w:hAnsi="宋体" w:cs="宋体"/>
          <w:b/>
          <w:bCs/>
          <w:color w:val="auto"/>
          <w:sz w:val="24"/>
        </w:rPr>
      </w:pPr>
      <w:r>
        <w:rPr>
          <w:rFonts w:hint="eastAsia" w:ascii="宋体" w:hAnsi="宋体" w:cs="宋体"/>
          <w:color w:val="auto"/>
          <w:sz w:val="24"/>
        </w:rPr>
        <w:t>合同编号：</w:t>
      </w:r>
    </w:p>
    <w:p>
      <w:pPr>
        <w:jc w:val="center"/>
        <w:rPr>
          <w:rFonts w:ascii="宋体" w:hAnsi="宋体"/>
          <w:color w:val="auto"/>
          <w:sz w:val="36"/>
          <w:szCs w:val="36"/>
        </w:rPr>
      </w:pPr>
      <w:r>
        <w:rPr>
          <w:rFonts w:hint="eastAsia" w:ascii="宋体" w:hAnsi="宋体"/>
          <w:color w:val="auto"/>
          <w:sz w:val="36"/>
          <w:szCs w:val="36"/>
        </w:rPr>
        <w:t>南宁铁路枢纽投资有限公司“十四五”战略规划及2035远景展望咨询服务项目</w:t>
      </w:r>
      <w:bookmarkStart w:id="273" w:name="_Toc20358"/>
      <w:bookmarkStart w:id="274" w:name="_Toc16551"/>
      <w:bookmarkStart w:id="275" w:name="_Toc22491"/>
      <w:bookmarkStart w:id="276" w:name="_Toc6471"/>
      <w:r>
        <w:rPr>
          <w:rFonts w:hint="eastAsia" w:ascii="宋体" w:hAnsi="宋体"/>
          <w:color w:val="auto"/>
          <w:sz w:val="36"/>
          <w:szCs w:val="36"/>
        </w:rPr>
        <w:t>合同</w:t>
      </w:r>
      <w:bookmarkEnd w:id="273"/>
      <w:bookmarkEnd w:id="274"/>
      <w:bookmarkEnd w:id="275"/>
      <w:bookmarkEnd w:id="276"/>
    </w:p>
    <w:p>
      <w:pPr>
        <w:jc w:val="center"/>
        <w:rPr>
          <w:rFonts w:ascii="黑体" w:hAnsi="黑体" w:eastAsia="黑体" w:cs="宋体"/>
          <w:b/>
          <w:bCs/>
          <w:color w:val="auto"/>
          <w:sz w:val="36"/>
          <w:szCs w:val="36"/>
        </w:rPr>
      </w:pPr>
    </w:p>
    <w:p>
      <w:pPr>
        <w:spacing w:line="400" w:lineRule="exact"/>
        <w:rPr>
          <w:rFonts w:ascii="宋体" w:hAnsi="宋体"/>
          <w:color w:val="auto"/>
          <w:sz w:val="24"/>
        </w:rPr>
      </w:pPr>
      <w:r>
        <w:rPr>
          <w:rFonts w:hint="eastAsia" w:ascii="宋体" w:hAnsi="宋体"/>
          <w:color w:val="auto"/>
          <w:sz w:val="24"/>
        </w:rPr>
        <w:t>甲方：南宁轨道交通集团有限责任公司</w:t>
      </w:r>
    </w:p>
    <w:p>
      <w:pPr>
        <w:spacing w:line="400" w:lineRule="exact"/>
        <w:rPr>
          <w:rFonts w:ascii="宋体" w:hAnsi="宋体"/>
          <w:color w:val="auto"/>
          <w:sz w:val="24"/>
        </w:rPr>
      </w:pPr>
      <w:r>
        <w:rPr>
          <w:rFonts w:hint="eastAsia" w:ascii="宋体" w:hAnsi="宋体"/>
          <w:color w:val="auto"/>
          <w:sz w:val="24"/>
        </w:rPr>
        <w:t xml:space="preserve">乙方： </w:t>
      </w:r>
    </w:p>
    <w:p>
      <w:pPr>
        <w:spacing w:line="400" w:lineRule="exact"/>
        <w:ind w:firstLine="480" w:firstLineChars="200"/>
        <w:rPr>
          <w:rFonts w:ascii="宋体" w:hAnsi="宋体"/>
          <w:b/>
          <w:color w:val="auto"/>
          <w:sz w:val="24"/>
        </w:rPr>
      </w:pPr>
      <w:r>
        <w:rPr>
          <w:rFonts w:hint="eastAsia" w:ascii="宋体" w:hAnsi="宋体"/>
          <w:color w:val="auto"/>
          <w:sz w:val="24"/>
        </w:rPr>
        <w:t>甲方因业务发展需要，通过比选确定乙方为中选单位，经双方平等友好协商，达成如下协议：</w:t>
      </w:r>
    </w:p>
    <w:p>
      <w:pPr>
        <w:spacing w:line="400" w:lineRule="exact"/>
        <w:ind w:firstLine="482" w:firstLineChars="200"/>
        <w:rPr>
          <w:rFonts w:ascii="宋体" w:hAnsi="宋体"/>
          <w:b/>
          <w:color w:val="auto"/>
          <w:sz w:val="24"/>
        </w:rPr>
      </w:pPr>
      <w:r>
        <w:rPr>
          <w:rFonts w:hint="eastAsia" w:ascii="宋体" w:hAnsi="宋体"/>
          <w:b/>
          <w:color w:val="auto"/>
          <w:sz w:val="24"/>
        </w:rPr>
        <w:t>1.合同文件的优先次序</w:t>
      </w:r>
    </w:p>
    <w:p>
      <w:pPr>
        <w:spacing w:line="400" w:lineRule="exact"/>
        <w:ind w:firstLine="480" w:firstLineChars="200"/>
        <w:rPr>
          <w:rFonts w:ascii="宋体" w:hAnsi="宋体"/>
          <w:color w:val="auto"/>
          <w:sz w:val="24"/>
        </w:rPr>
      </w:pPr>
      <w:r>
        <w:rPr>
          <w:rFonts w:hint="eastAsia" w:ascii="宋体" w:hAnsi="宋体"/>
          <w:color w:val="auto"/>
          <w:sz w:val="24"/>
        </w:rPr>
        <w:t>1.1下列文件一起构成合同文件</w:t>
      </w:r>
    </w:p>
    <w:p>
      <w:pPr>
        <w:spacing w:line="400" w:lineRule="exact"/>
        <w:ind w:firstLine="480" w:firstLineChars="200"/>
        <w:rPr>
          <w:rFonts w:ascii="宋体" w:hAnsi="宋体"/>
          <w:color w:val="auto"/>
          <w:sz w:val="24"/>
        </w:rPr>
      </w:pPr>
      <w:r>
        <w:rPr>
          <w:rFonts w:hint="eastAsia" w:ascii="宋体" w:hAnsi="宋体"/>
          <w:color w:val="auto"/>
          <w:sz w:val="24"/>
        </w:rPr>
        <w:t>（1）合同协议书及各种合同附件（含比选评审期间和合同谈判过程中的澄清文件和补充资料）；</w:t>
      </w:r>
    </w:p>
    <w:p>
      <w:pPr>
        <w:spacing w:line="400" w:lineRule="exact"/>
        <w:ind w:firstLine="480" w:firstLineChars="200"/>
        <w:rPr>
          <w:rFonts w:ascii="宋体" w:hAnsi="宋体"/>
          <w:color w:val="auto"/>
          <w:sz w:val="24"/>
        </w:rPr>
      </w:pPr>
      <w:r>
        <w:rPr>
          <w:rFonts w:hint="eastAsia" w:ascii="宋体" w:hAnsi="宋体"/>
          <w:color w:val="auto"/>
          <w:sz w:val="24"/>
        </w:rPr>
        <w:t>（2）中选通知书；</w:t>
      </w:r>
    </w:p>
    <w:p>
      <w:pPr>
        <w:spacing w:line="400" w:lineRule="exact"/>
        <w:ind w:firstLine="480" w:firstLineChars="200"/>
        <w:rPr>
          <w:rFonts w:ascii="宋体" w:hAnsi="宋体"/>
          <w:color w:val="auto"/>
          <w:sz w:val="24"/>
        </w:rPr>
      </w:pPr>
      <w:r>
        <w:rPr>
          <w:rFonts w:hint="eastAsia" w:ascii="宋体" w:hAnsi="宋体"/>
          <w:color w:val="auto"/>
          <w:sz w:val="24"/>
        </w:rPr>
        <w:t>（3）比选申请文件及比选申请函；</w:t>
      </w:r>
    </w:p>
    <w:p>
      <w:pPr>
        <w:spacing w:line="400" w:lineRule="exact"/>
        <w:ind w:firstLine="480" w:firstLineChars="200"/>
        <w:rPr>
          <w:rFonts w:ascii="宋体" w:hAnsi="宋体"/>
          <w:color w:val="auto"/>
          <w:sz w:val="24"/>
        </w:rPr>
      </w:pPr>
      <w:r>
        <w:rPr>
          <w:rFonts w:hint="eastAsia" w:ascii="宋体" w:hAnsi="宋体"/>
          <w:color w:val="auto"/>
          <w:sz w:val="24"/>
        </w:rPr>
        <w:t>（4）比选文件；</w:t>
      </w:r>
    </w:p>
    <w:p>
      <w:pPr>
        <w:spacing w:line="400" w:lineRule="exact"/>
        <w:ind w:firstLine="480" w:firstLineChars="200"/>
        <w:rPr>
          <w:rFonts w:ascii="宋体" w:hAnsi="宋体"/>
          <w:color w:val="auto"/>
          <w:sz w:val="24"/>
        </w:rPr>
      </w:pPr>
      <w:r>
        <w:rPr>
          <w:rFonts w:hint="eastAsia" w:ascii="宋体" w:hAnsi="宋体"/>
          <w:color w:val="auto"/>
          <w:sz w:val="24"/>
        </w:rPr>
        <w:t>（5）其他合同文件。</w:t>
      </w:r>
    </w:p>
    <w:p>
      <w:pPr>
        <w:spacing w:line="400" w:lineRule="exact"/>
        <w:ind w:firstLine="480" w:firstLineChars="200"/>
        <w:rPr>
          <w:rFonts w:ascii="宋体" w:hAnsi="宋体"/>
          <w:color w:val="auto"/>
          <w:sz w:val="24"/>
        </w:rPr>
      </w:pPr>
      <w:r>
        <w:rPr>
          <w:rFonts w:hint="eastAsia" w:ascii="宋体" w:hAnsi="宋体"/>
          <w:color w:val="auto"/>
          <w:sz w:val="24"/>
        </w:rPr>
        <w:t>1.2上述文件互相补充和解释，如有不明确或不一致之处，以上述次序在先者为准；同一次序的文件以时间在后的为准。</w:t>
      </w:r>
    </w:p>
    <w:p>
      <w:pPr>
        <w:spacing w:line="400" w:lineRule="exact"/>
        <w:ind w:firstLine="482" w:firstLineChars="200"/>
        <w:rPr>
          <w:rFonts w:hAnsi="宋体"/>
          <w:color w:val="auto"/>
          <w:sz w:val="24"/>
        </w:rPr>
      </w:pPr>
      <w:r>
        <w:rPr>
          <w:rFonts w:hint="eastAsia" w:hAnsi="宋体"/>
          <w:b/>
          <w:color w:val="auto"/>
          <w:sz w:val="24"/>
        </w:rPr>
        <w:t>2.</w:t>
      </w:r>
      <w:r>
        <w:rPr>
          <w:rFonts w:hint="eastAsia" w:hAnsi="宋体"/>
          <w:color w:val="auto"/>
          <w:sz w:val="24"/>
        </w:rPr>
        <w:t xml:space="preserve">甲乙双方同意，指派由乙方组成的团队为甲方提供服务。甲方指定 </w:t>
      </w:r>
      <w:r>
        <w:rPr>
          <w:rFonts w:hAnsi="宋体"/>
          <w:color w:val="auto"/>
          <w:sz w:val="24"/>
        </w:rPr>
        <w:t xml:space="preserve">       </w:t>
      </w:r>
      <w:r>
        <w:rPr>
          <w:rFonts w:hint="eastAsia" w:hAnsi="宋体"/>
          <w:color w:val="auto"/>
          <w:sz w:val="24"/>
        </w:rPr>
        <w:t xml:space="preserve">为日常联系人（联系电话： </w:t>
      </w:r>
      <w:r>
        <w:rPr>
          <w:rFonts w:hAnsi="宋体"/>
          <w:color w:val="auto"/>
          <w:sz w:val="24"/>
        </w:rPr>
        <w:t xml:space="preserve">          </w:t>
      </w:r>
      <w:r>
        <w:rPr>
          <w:rFonts w:hint="eastAsia" w:hAnsi="宋体"/>
          <w:color w:val="auto"/>
          <w:sz w:val="24"/>
        </w:rPr>
        <w:t xml:space="preserve">电子邮箱： </w:t>
      </w:r>
      <w:r>
        <w:rPr>
          <w:rFonts w:hAnsi="宋体"/>
          <w:color w:val="auto"/>
          <w:sz w:val="24"/>
        </w:rPr>
        <w:t xml:space="preserve">            </w:t>
      </w:r>
      <w:r>
        <w:rPr>
          <w:rFonts w:hint="eastAsia" w:hAnsi="宋体"/>
          <w:color w:val="auto"/>
          <w:sz w:val="24"/>
        </w:rPr>
        <w:t>），乙方指定</w:t>
      </w:r>
      <w:r>
        <w:rPr>
          <w:rFonts w:hAnsi="宋体"/>
          <w:color w:val="auto"/>
          <w:sz w:val="24"/>
          <w:u w:val="single"/>
        </w:rPr>
        <w:t xml:space="preserve">      </w:t>
      </w:r>
      <w:r>
        <w:rPr>
          <w:rFonts w:hint="eastAsia" w:hAnsi="宋体"/>
          <w:color w:val="auto"/>
          <w:sz w:val="24"/>
        </w:rPr>
        <w:t xml:space="preserve">为日常联系人（联系电话： </w:t>
      </w:r>
      <w:r>
        <w:rPr>
          <w:rFonts w:hAnsi="宋体"/>
          <w:color w:val="auto"/>
          <w:sz w:val="24"/>
        </w:rPr>
        <w:t xml:space="preserve">           </w:t>
      </w:r>
      <w:r>
        <w:rPr>
          <w:rFonts w:hint="eastAsia" w:hAnsi="宋体"/>
          <w:color w:val="auto"/>
          <w:sz w:val="24"/>
        </w:rPr>
        <w:t xml:space="preserve">电子邮箱： </w:t>
      </w:r>
      <w:r>
        <w:rPr>
          <w:rFonts w:hAnsi="宋体"/>
          <w:color w:val="auto"/>
          <w:sz w:val="24"/>
        </w:rPr>
        <w:t xml:space="preserve">             </w:t>
      </w:r>
      <w:r>
        <w:rPr>
          <w:rFonts w:hint="eastAsia" w:hAnsi="宋体"/>
          <w:color w:val="auto"/>
          <w:sz w:val="24"/>
        </w:rPr>
        <w:t>），负责服务工作的联系与对接。乙方应按照合法、公正、独立、优质、高效的原则为甲方提供服务，认真维护甲方的合法权益。</w:t>
      </w:r>
      <w:r>
        <w:rPr>
          <w:rFonts w:hint="eastAsia" w:ascii="宋体" w:hAnsi="宋体"/>
          <w:color w:val="auto"/>
          <w:sz w:val="24"/>
        </w:rPr>
        <w:t>甲方向乙方支付经核实的应付价款。</w:t>
      </w:r>
    </w:p>
    <w:p>
      <w:pPr>
        <w:spacing w:line="400" w:lineRule="exact"/>
        <w:ind w:firstLine="482" w:firstLineChars="200"/>
        <w:rPr>
          <w:rFonts w:ascii="宋体" w:hAnsi="宋体"/>
          <w:color w:val="auto"/>
          <w:sz w:val="24"/>
        </w:rPr>
      </w:pPr>
      <w:r>
        <w:rPr>
          <w:rFonts w:hint="eastAsia" w:ascii="宋体" w:hAnsi="宋体"/>
          <w:b/>
          <w:color w:val="auto"/>
          <w:sz w:val="24"/>
        </w:rPr>
        <w:t>3.合同期限</w:t>
      </w:r>
      <w:r>
        <w:rPr>
          <w:rFonts w:hint="eastAsia" w:ascii="宋体" w:hAnsi="宋体"/>
          <w:color w:val="auto"/>
          <w:sz w:val="24"/>
        </w:rPr>
        <w:t>：</w:t>
      </w:r>
      <w:r>
        <w:rPr>
          <w:rFonts w:hint="eastAsia" w:ascii="宋体" w:hAnsi="宋体"/>
          <w:b/>
          <w:color w:val="auto"/>
          <w:sz w:val="24"/>
        </w:rPr>
        <w:t>从</w:t>
      </w:r>
      <w:r>
        <w:rPr>
          <w:rFonts w:ascii="宋体" w:hAnsi="宋体"/>
          <w:b/>
          <w:color w:val="auto"/>
          <w:sz w:val="24"/>
          <w:u w:val="single"/>
        </w:rPr>
        <w:t xml:space="preserve">    </w:t>
      </w:r>
      <w:r>
        <w:rPr>
          <w:rFonts w:hint="eastAsia" w:ascii="宋体" w:hAnsi="宋体"/>
          <w:b/>
          <w:color w:val="auto"/>
          <w:sz w:val="24"/>
        </w:rPr>
        <w:t>年</w:t>
      </w:r>
      <w:r>
        <w:rPr>
          <w:rFonts w:ascii="宋体" w:hAnsi="宋体"/>
          <w:b/>
          <w:color w:val="auto"/>
          <w:sz w:val="24"/>
          <w:u w:val="single"/>
        </w:rPr>
        <w:t xml:space="preserve">     </w:t>
      </w:r>
      <w:r>
        <w:rPr>
          <w:rFonts w:hint="eastAsia" w:ascii="宋体" w:hAnsi="宋体"/>
          <w:b/>
          <w:color w:val="auto"/>
          <w:sz w:val="24"/>
        </w:rPr>
        <w:t>月</w:t>
      </w:r>
      <w:r>
        <w:rPr>
          <w:rFonts w:ascii="宋体" w:hAnsi="宋体"/>
          <w:b/>
          <w:color w:val="auto"/>
          <w:sz w:val="24"/>
          <w:u w:val="single"/>
        </w:rPr>
        <w:t xml:space="preserve">   </w:t>
      </w:r>
      <w:r>
        <w:rPr>
          <w:rFonts w:hint="eastAsia" w:ascii="宋体" w:hAnsi="宋体"/>
          <w:b/>
          <w:color w:val="auto"/>
          <w:sz w:val="24"/>
        </w:rPr>
        <w:t>日起至</w:t>
      </w:r>
      <w:r>
        <w:rPr>
          <w:rFonts w:ascii="宋体" w:hAnsi="宋体"/>
          <w:b/>
          <w:color w:val="auto"/>
          <w:sz w:val="24"/>
          <w:u w:val="single"/>
        </w:rPr>
        <w:t xml:space="preserve">    </w:t>
      </w:r>
      <w:r>
        <w:rPr>
          <w:rFonts w:hint="eastAsia" w:ascii="宋体" w:hAnsi="宋体"/>
          <w:b/>
          <w:color w:val="auto"/>
          <w:sz w:val="24"/>
        </w:rPr>
        <w:t>年</w:t>
      </w:r>
      <w:r>
        <w:rPr>
          <w:rFonts w:ascii="宋体" w:hAnsi="宋体"/>
          <w:b/>
          <w:color w:val="auto"/>
          <w:sz w:val="24"/>
          <w:u w:val="single"/>
        </w:rPr>
        <w:t xml:space="preserve">     </w:t>
      </w:r>
      <w:r>
        <w:rPr>
          <w:rFonts w:hint="eastAsia" w:ascii="宋体" w:hAnsi="宋体"/>
          <w:b/>
          <w:color w:val="auto"/>
          <w:sz w:val="24"/>
        </w:rPr>
        <w:t>月</w:t>
      </w:r>
      <w:r>
        <w:rPr>
          <w:rFonts w:ascii="宋体" w:hAnsi="宋体"/>
          <w:b/>
          <w:color w:val="auto"/>
          <w:sz w:val="24"/>
          <w:u w:val="single"/>
        </w:rPr>
        <w:t xml:space="preserve">     </w:t>
      </w:r>
      <w:r>
        <w:rPr>
          <w:rFonts w:hint="eastAsia" w:ascii="宋体" w:hAnsi="宋体"/>
          <w:b/>
          <w:color w:val="auto"/>
          <w:sz w:val="24"/>
        </w:rPr>
        <w:t>日止</w:t>
      </w:r>
      <w:r>
        <w:rPr>
          <w:rFonts w:hint="eastAsia" w:ascii="宋体" w:hAnsi="宋体"/>
          <w:color w:val="auto"/>
          <w:sz w:val="24"/>
        </w:rPr>
        <w:t>，期限为</w:t>
      </w:r>
      <w:r>
        <w:rPr>
          <w:rFonts w:hint="eastAsia" w:ascii="宋体" w:hAnsi="宋体"/>
          <w:color w:val="auto"/>
          <w:sz w:val="24"/>
          <w:u w:val="single"/>
        </w:rPr>
        <w:t xml:space="preserve">    年 </w:t>
      </w:r>
      <w:r>
        <w:rPr>
          <w:rFonts w:hint="eastAsia" w:ascii="宋体" w:hAnsi="宋体"/>
          <w:color w:val="auto"/>
          <w:sz w:val="24"/>
        </w:rPr>
        <w:t>。</w:t>
      </w:r>
    </w:p>
    <w:p>
      <w:pPr>
        <w:spacing w:line="400" w:lineRule="exact"/>
        <w:ind w:firstLine="482" w:firstLineChars="200"/>
        <w:rPr>
          <w:rFonts w:ascii="宋体" w:hAnsi="宋体"/>
          <w:b/>
          <w:color w:val="auto"/>
          <w:sz w:val="24"/>
        </w:rPr>
      </w:pPr>
      <w:r>
        <w:rPr>
          <w:rFonts w:hint="eastAsia" w:ascii="宋体" w:hAnsi="宋体"/>
          <w:b/>
          <w:color w:val="auto"/>
          <w:sz w:val="24"/>
        </w:rPr>
        <w:t>4.乙方的服务范围及工作内容</w:t>
      </w:r>
    </w:p>
    <w:p>
      <w:pPr>
        <w:spacing w:line="400" w:lineRule="exact"/>
        <w:ind w:firstLine="480" w:firstLineChars="200"/>
        <w:rPr>
          <w:rFonts w:ascii="宋体" w:hAnsi="宋体"/>
          <w:bCs/>
          <w:color w:val="auto"/>
          <w:sz w:val="24"/>
        </w:rPr>
      </w:pPr>
      <w:r>
        <w:rPr>
          <w:rFonts w:hint="eastAsia" w:ascii="宋体" w:hAnsi="宋体"/>
          <w:bCs/>
          <w:color w:val="auto"/>
          <w:sz w:val="24"/>
        </w:rPr>
        <w:t>乙方负责甲方的服务工作主要为编制南宁铁路枢纽投资有限公司“十四五”战略规划及2035远景展望规划，具体范围包括但不限于以下内容：</w:t>
      </w:r>
    </w:p>
    <w:p>
      <w:pPr>
        <w:spacing w:line="360" w:lineRule="auto"/>
        <w:ind w:firstLine="480" w:firstLineChars="200"/>
        <w:rPr>
          <w:rFonts w:ascii="宋体" w:hAnsi="宋体"/>
          <w:color w:val="auto"/>
          <w:sz w:val="24"/>
        </w:rPr>
      </w:pPr>
      <w:r>
        <w:rPr>
          <w:rFonts w:hint="eastAsia" w:ascii="宋体" w:hAnsi="宋体"/>
          <w:color w:val="auto"/>
          <w:sz w:val="24"/>
        </w:rPr>
        <w:t>（一）基于充分研究南宁北站、南宁站等铁路枢纽站城一体项目之上，研究制定南宁铁路枢纽投资有限公司“十四五”战略规划及2035远景展望：企业发展内外部环境分析（机遇和挑战等），战略定位，主营业务板块规划，战略目标（近、中、远期发展目标）与相对应战略发展路径，实现战略规划所需的政府政策支持、战略保障措施，以及“十四五”战略规划分解落实计划；</w:t>
      </w:r>
    </w:p>
    <w:p>
      <w:pPr>
        <w:spacing w:line="360" w:lineRule="auto"/>
        <w:ind w:firstLine="480" w:firstLineChars="200"/>
        <w:rPr>
          <w:rFonts w:ascii="宋体" w:hAnsi="宋体"/>
          <w:color w:val="auto"/>
          <w:sz w:val="24"/>
        </w:rPr>
      </w:pPr>
      <w:r>
        <w:rPr>
          <w:rFonts w:hint="eastAsia" w:ascii="宋体" w:hAnsi="宋体"/>
          <w:color w:val="auto"/>
          <w:sz w:val="24"/>
        </w:rPr>
        <w:t>（二）战略保障措施主要包含公司组织架构、定岗定编、核心业务制度目录、招商引资管理办法、企业文化建设（企业愿景、使命、价值观、生产经营理念等企业文化核心理念；企业标志、企业标准字体、企业标准色等公司VI视觉识别系统设计及办公用品识别应用设计等）；</w:t>
      </w:r>
    </w:p>
    <w:p>
      <w:pPr>
        <w:spacing w:line="360" w:lineRule="auto"/>
        <w:ind w:firstLine="480" w:firstLineChars="200"/>
        <w:rPr>
          <w:rFonts w:ascii="宋体" w:hAnsi="宋体"/>
          <w:color w:val="auto"/>
          <w:sz w:val="24"/>
        </w:rPr>
      </w:pPr>
      <w:r>
        <w:rPr>
          <w:rFonts w:hint="eastAsia" w:ascii="宋体" w:hAnsi="宋体"/>
          <w:color w:val="auto"/>
          <w:sz w:val="24"/>
        </w:rPr>
        <w:t>（三）将上述第（一）、（二）内容于2022年11月30日前形成完整书面报告《南宁铁路枢纽投资有限公司“十四五”战略规划及2035远景展望报告》，并经专家评审、南宁铁路枢纽投资有限公司审议通过后上报南宁轨道交通集团有限责任公司批准；</w:t>
      </w:r>
    </w:p>
    <w:p>
      <w:pPr>
        <w:spacing w:line="360" w:lineRule="auto"/>
        <w:ind w:firstLine="480" w:firstLineChars="200"/>
        <w:rPr>
          <w:rFonts w:ascii="宋体" w:hAnsi="宋体"/>
          <w:color w:val="auto"/>
          <w:sz w:val="24"/>
        </w:rPr>
      </w:pPr>
      <w:r>
        <w:rPr>
          <w:rFonts w:hint="eastAsia" w:ascii="宋体" w:hAnsi="宋体"/>
          <w:color w:val="auto"/>
          <w:sz w:val="24"/>
        </w:rPr>
        <w:t>（四）协助做好战略规划的宣贯工作；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（五）其他：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1.组织产业策划与综合开发、战略规划业务的调研考察一次（考察地点为1个广西区外的国内城市，考察单位不少于2家）；</w:t>
      </w:r>
    </w:p>
    <w:p>
      <w:pPr>
        <w:spacing w:line="360" w:lineRule="auto"/>
        <w:ind w:firstLine="480" w:firstLineChars="200"/>
        <w:rPr>
          <w:rFonts w:ascii="宋体" w:hAnsi="宋体"/>
          <w:color w:val="auto"/>
          <w:sz w:val="24"/>
        </w:rPr>
      </w:pPr>
      <w:r>
        <w:rPr>
          <w:rFonts w:hint="eastAsia" w:ascii="宋体" w:hAnsi="宋体"/>
          <w:color w:val="auto"/>
          <w:sz w:val="24"/>
        </w:rPr>
        <w:t>2.实施上述工作内容并进行后续咨询和指导；</w:t>
      </w:r>
    </w:p>
    <w:p>
      <w:pPr>
        <w:spacing w:line="360" w:lineRule="auto"/>
        <w:ind w:firstLine="480" w:firstLineChars="200"/>
        <w:rPr>
          <w:rFonts w:ascii="宋体" w:hAnsi="宋体"/>
          <w:color w:val="auto"/>
          <w:sz w:val="24"/>
        </w:rPr>
      </w:pPr>
      <w:r>
        <w:rPr>
          <w:rFonts w:hint="eastAsia" w:ascii="宋体" w:hAnsi="宋体"/>
          <w:color w:val="auto"/>
          <w:sz w:val="24"/>
        </w:rPr>
        <w:t>3.双方协商一致的其他工作内容。</w:t>
      </w:r>
    </w:p>
    <w:p>
      <w:pPr>
        <w:spacing w:line="400" w:lineRule="exact"/>
        <w:ind w:firstLine="480" w:firstLineChars="200"/>
        <w:rPr>
          <w:rFonts w:ascii="宋体" w:hAnsi="宋体"/>
          <w:bCs/>
          <w:color w:val="auto"/>
          <w:sz w:val="24"/>
        </w:rPr>
      </w:pPr>
      <w:r>
        <w:rPr>
          <w:rFonts w:hint="eastAsia" w:ascii="宋体" w:hAnsi="宋体"/>
          <w:bCs/>
          <w:color w:val="auto"/>
          <w:sz w:val="24"/>
        </w:rPr>
        <w:t>具体详见服务需求一览表。</w:t>
      </w:r>
    </w:p>
    <w:p>
      <w:pPr>
        <w:spacing w:line="400" w:lineRule="exact"/>
        <w:ind w:firstLine="480" w:firstLineChars="200"/>
        <w:rPr>
          <w:rFonts w:ascii="宋体" w:hAnsi="宋体"/>
          <w:bCs/>
          <w:color w:val="auto"/>
          <w:sz w:val="24"/>
        </w:rPr>
      </w:pPr>
      <w:r>
        <w:rPr>
          <w:rFonts w:hint="eastAsia" w:ascii="宋体" w:hAnsi="宋体"/>
          <w:bCs/>
          <w:color w:val="auto"/>
          <w:sz w:val="24"/>
        </w:rPr>
        <w:t>除以上工作内容外，还包括为了完成本项目所必须的其他辅助工作及与上述工作相关的其他未尽事宜。</w:t>
      </w:r>
    </w:p>
    <w:p>
      <w:pPr>
        <w:spacing w:line="360" w:lineRule="auto"/>
        <w:rPr>
          <w:rFonts w:ascii="宋体" w:hAnsi="宋体"/>
          <w:b/>
          <w:i/>
          <w:color w:val="auto"/>
          <w:sz w:val="24"/>
          <w:u w:val="single"/>
        </w:rPr>
      </w:pPr>
      <w:r>
        <w:rPr>
          <w:rFonts w:ascii="宋体" w:hAnsi="宋体"/>
          <w:b/>
          <w:color w:val="auto"/>
          <w:sz w:val="24"/>
        </w:rPr>
        <w:t>5</w:t>
      </w:r>
      <w:r>
        <w:rPr>
          <w:rFonts w:hint="eastAsia" w:ascii="宋体" w:hAnsi="宋体"/>
          <w:b/>
          <w:color w:val="auto"/>
          <w:sz w:val="24"/>
        </w:rPr>
        <w:t>.委托服务方式</w:t>
      </w:r>
    </w:p>
    <w:p>
      <w:pPr>
        <w:spacing w:line="360" w:lineRule="auto"/>
        <w:ind w:firstLine="480" w:firstLineChars="200"/>
        <w:rPr>
          <w:rFonts w:ascii="宋体" w:hAnsi="宋体"/>
          <w:color w:val="auto"/>
          <w:sz w:val="24"/>
        </w:rPr>
      </w:pPr>
      <w:r>
        <w:rPr>
          <w:rFonts w:hint="eastAsia" w:ascii="宋体" w:hAnsi="宋体"/>
          <w:color w:val="auto"/>
          <w:sz w:val="24"/>
        </w:rPr>
        <w:t>5.1乙方通过现场及线上服务形式提供服务和成果物。</w:t>
      </w:r>
      <w:r>
        <w:rPr>
          <w:rFonts w:hint="eastAsia" w:ascii="宋体" w:hAnsi="宋体"/>
          <w:b/>
          <w:bCs/>
          <w:color w:val="auto"/>
          <w:sz w:val="24"/>
        </w:rPr>
        <w:t>本合同所述的现场为甲方的办公地点</w:t>
      </w:r>
      <w:r>
        <w:rPr>
          <w:rFonts w:hint="eastAsia" w:ascii="宋体" w:hAnsi="宋体"/>
          <w:b/>
          <w:bCs/>
          <w:color w:val="auto"/>
          <w:sz w:val="24"/>
          <w:u w:val="single"/>
        </w:rPr>
        <w:t xml:space="preserve"> ：</w:t>
      </w:r>
      <w:r>
        <w:rPr>
          <w:rFonts w:ascii="宋体" w:hAnsi="宋体"/>
          <w:b/>
          <w:bCs/>
          <w:color w:val="auto"/>
          <w:sz w:val="24"/>
          <w:u w:val="single"/>
        </w:rPr>
        <w:t>南宁市云景路69号</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5.2现场工作主要包括：面对面调研和意见征询、服务相关问题和方案的讨论和会议、培训及集中答疑辅导、现场的检查与问题诊断、成果物的评审。</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3乙方于接到中选通知一周内，制定服务工作计划（含具体的工作地点、时间、人员安排等），并报送甲方核准；服务工作计划的调整，需以书面形式报送甲方批准。</w:t>
      </w:r>
    </w:p>
    <w:p>
      <w:pPr>
        <w:spacing w:line="360" w:lineRule="auto"/>
        <w:rPr>
          <w:rFonts w:ascii="宋体" w:hAnsi="宋体"/>
          <w:b/>
          <w:color w:val="auto"/>
          <w:sz w:val="24"/>
        </w:rPr>
      </w:pPr>
      <w:r>
        <w:rPr>
          <w:rFonts w:hint="eastAsia" w:ascii="宋体" w:hAnsi="宋体"/>
          <w:b/>
          <w:color w:val="auto"/>
          <w:sz w:val="24"/>
        </w:rPr>
        <w:t>6.委托服务计划</w:t>
      </w:r>
    </w:p>
    <w:p>
      <w:pPr>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基础服务计划：乙方应于2022年8月20日前完成成果文件的前期准备工作并向甲方进行进度汇报；2022年9月30日前向甲方提交成果文件初稿并进行甲方的内部汇报评审；2022年10月30日前将成果文件修改完善并通过专家评审会议评审；2022年11月30日前完成成果文件终稿并通过甲方决策会议审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乙</w:t>
      </w:r>
      <w:r>
        <w:rPr>
          <w:rFonts w:hint="eastAsia" w:ascii="宋体" w:hAnsi="宋体"/>
          <w:color w:val="auto"/>
          <w:sz w:val="24"/>
          <w:highlight w:val="none"/>
        </w:rPr>
        <w:t>方</w:t>
      </w:r>
      <w:r>
        <w:rPr>
          <w:rFonts w:hint="eastAsia" w:ascii="宋体" w:hAnsi="宋体"/>
          <w:color w:val="auto"/>
          <w:sz w:val="24"/>
          <w:highlight w:val="none"/>
          <w:lang w:val="en-US" w:eastAsia="zh-CN"/>
        </w:rPr>
        <w:t>结合基础服务计划及比选申请文件</w:t>
      </w:r>
      <w:r>
        <w:rPr>
          <w:rFonts w:hint="eastAsia" w:ascii="宋体" w:hAnsi="宋体"/>
          <w:color w:val="auto"/>
          <w:sz w:val="24"/>
          <w:highlight w:val="none"/>
        </w:rPr>
        <w:t>，</w:t>
      </w:r>
      <w:r>
        <w:rPr>
          <w:rFonts w:hint="eastAsia" w:ascii="宋体" w:hAnsi="宋体"/>
          <w:color w:val="auto"/>
          <w:sz w:val="24"/>
          <w:highlight w:val="none"/>
          <w:lang w:val="en-US" w:eastAsia="zh-CN"/>
        </w:rPr>
        <w:t>对委托服务计划工作方案进行完善并提交甲方</w:t>
      </w:r>
      <w:r>
        <w:rPr>
          <w:rFonts w:hint="eastAsia" w:ascii="宋体" w:hAnsi="宋体"/>
          <w:color w:val="auto"/>
          <w:sz w:val="24"/>
          <w:highlight w:val="none"/>
          <w:lang w:eastAsia="zh-CN"/>
        </w:rPr>
        <w:t>。</w:t>
      </w:r>
      <w:r>
        <w:rPr>
          <w:rFonts w:hint="eastAsia" w:ascii="宋体" w:hAnsi="宋体" w:cs="Times New Roman"/>
          <w:color w:val="auto"/>
          <w:sz w:val="24"/>
          <w:szCs w:val="24"/>
          <w:highlight w:val="none"/>
        </w:rPr>
        <w:t>项</w:t>
      </w:r>
      <w:r>
        <w:rPr>
          <w:rFonts w:hint="eastAsia" w:ascii="宋体" w:hAnsi="宋体" w:cs="Times New Roman"/>
          <w:color w:val="auto"/>
          <w:sz w:val="24"/>
          <w:szCs w:val="24"/>
          <w:highlight w:val="none"/>
          <w:lang w:val="en-US" w:eastAsia="zh-CN"/>
        </w:rPr>
        <w:t>目委托服务计划</w:t>
      </w:r>
      <w:r>
        <w:rPr>
          <w:rFonts w:hint="eastAsia" w:ascii="宋体" w:hAnsi="宋体" w:cs="Times New Roman"/>
          <w:color w:val="auto"/>
          <w:sz w:val="24"/>
          <w:szCs w:val="24"/>
          <w:highlight w:val="none"/>
        </w:rPr>
        <w:t>工作方案</w:t>
      </w:r>
      <w:r>
        <w:rPr>
          <w:rFonts w:hint="eastAsia" w:ascii="宋体" w:hAnsi="宋体"/>
          <w:color w:val="auto"/>
          <w:sz w:val="24"/>
          <w:highlight w:val="none"/>
        </w:rPr>
        <w:t>以甲方书面</w:t>
      </w:r>
      <w:r>
        <w:rPr>
          <w:rFonts w:hint="eastAsia" w:ascii="宋体" w:hAnsi="宋体"/>
          <w:color w:val="auto"/>
          <w:sz w:val="24"/>
          <w:highlight w:val="none"/>
          <w:lang w:val="en-US" w:eastAsia="zh-CN"/>
        </w:rPr>
        <w:t>确认</w:t>
      </w:r>
      <w:r>
        <w:rPr>
          <w:rFonts w:hint="eastAsia" w:ascii="宋体" w:hAnsi="宋体"/>
          <w:color w:val="auto"/>
          <w:sz w:val="24"/>
          <w:highlight w:val="none"/>
        </w:rPr>
        <w:t>为准</w:t>
      </w:r>
      <w:r>
        <w:rPr>
          <w:rFonts w:hint="eastAsia" w:ascii="宋体" w:hAnsi="宋体"/>
          <w:color w:val="auto"/>
          <w:sz w:val="24"/>
          <w:highlight w:val="none"/>
          <w:lang w:eastAsia="zh-CN"/>
        </w:rPr>
        <w:t>。</w:t>
      </w:r>
    </w:p>
    <w:p>
      <w:pPr>
        <w:spacing w:line="360" w:lineRule="auto"/>
        <w:rPr>
          <w:rFonts w:ascii="宋体" w:hAnsi="宋体"/>
          <w:b/>
          <w:i/>
          <w:color w:val="auto"/>
          <w:sz w:val="24"/>
          <w:u w:val="single"/>
        </w:rPr>
      </w:pPr>
      <w:r>
        <w:rPr>
          <w:rFonts w:ascii="宋体" w:hAnsi="宋体"/>
          <w:b/>
          <w:color w:val="auto"/>
          <w:sz w:val="24"/>
        </w:rPr>
        <w:t>7</w:t>
      </w:r>
      <w:r>
        <w:rPr>
          <w:rFonts w:hint="eastAsia" w:ascii="宋体" w:hAnsi="宋体"/>
          <w:b/>
          <w:color w:val="auto"/>
          <w:sz w:val="24"/>
        </w:rPr>
        <w:t>.费用及支付</w:t>
      </w:r>
    </w:p>
    <w:p>
      <w:pPr>
        <w:spacing w:line="360" w:lineRule="auto"/>
        <w:ind w:firstLine="482" w:firstLineChars="200"/>
        <w:rPr>
          <w:rFonts w:ascii="宋体" w:hAnsi="宋体"/>
          <w:b/>
          <w:bCs/>
          <w:color w:val="auto"/>
          <w:sz w:val="24"/>
        </w:rPr>
      </w:pPr>
      <w:r>
        <w:rPr>
          <w:rFonts w:hint="eastAsia" w:ascii="宋体" w:hAnsi="宋体"/>
          <w:b/>
          <w:bCs/>
          <w:color w:val="auto"/>
          <w:sz w:val="24"/>
        </w:rPr>
        <w:t>本合同为总价包干合同，合同总额不予调整。</w:t>
      </w:r>
    </w:p>
    <w:p>
      <w:pPr>
        <w:spacing w:line="360" w:lineRule="auto"/>
        <w:ind w:firstLine="482"/>
        <w:rPr>
          <w:color w:val="auto"/>
        </w:rPr>
      </w:pPr>
      <w:r>
        <w:rPr>
          <w:rFonts w:hint="eastAsia" w:ascii="宋体" w:hAnsi="宋体"/>
          <w:b/>
          <w:bCs/>
          <w:color w:val="auto"/>
          <w:sz w:val="24"/>
        </w:rPr>
        <w:t>本合同不含税价款    元，增值税款   元，合同总额（价税合计）    元。</w:t>
      </w:r>
    </w:p>
    <w:p>
      <w:pPr>
        <w:spacing w:line="380" w:lineRule="exact"/>
        <w:ind w:firstLine="480" w:firstLineChars="200"/>
        <w:rPr>
          <w:rFonts w:ascii="宋体" w:hAnsi="宋体"/>
          <w:color w:val="auto"/>
          <w:sz w:val="24"/>
        </w:rPr>
      </w:pPr>
      <w:r>
        <w:rPr>
          <w:rFonts w:hint="eastAsia" w:ascii="宋体" w:hAnsi="宋体"/>
          <w:color w:val="auto"/>
          <w:sz w:val="24"/>
        </w:rPr>
        <w:t>本合同共分四期进行支付：</w:t>
      </w:r>
    </w:p>
    <w:p>
      <w:pPr>
        <w:spacing w:line="380" w:lineRule="exact"/>
        <w:ind w:firstLine="480" w:firstLineChars="200"/>
        <w:jc w:val="left"/>
        <w:rPr>
          <w:rFonts w:ascii="宋体" w:hAnsi="宋体"/>
          <w:color w:val="auto"/>
          <w:sz w:val="24"/>
        </w:rPr>
      </w:pPr>
      <w:r>
        <w:rPr>
          <w:rFonts w:hint="eastAsia" w:ascii="宋体" w:hAnsi="宋体"/>
          <w:color w:val="auto"/>
          <w:sz w:val="24"/>
        </w:rPr>
        <w:t>（1）本合同签订后，</w:t>
      </w:r>
      <w:r>
        <w:rPr>
          <w:rFonts w:hint="eastAsia" w:ascii="宋体" w:hAnsi="宋体" w:cs="Times New Roman"/>
          <w:color w:val="auto"/>
          <w:sz w:val="24"/>
          <w:szCs w:val="24"/>
        </w:rPr>
        <w:t>乙方人员进场，人员配置到位，提交甲方认可的项</w:t>
      </w:r>
      <w:r>
        <w:rPr>
          <w:rFonts w:hint="eastAsia" w:ascii="宋体" w:hAnsi="宋体" w:cs="Times New Roman"/>
          <w:color w:val="auto"/>
          <w:sz w:val="24"/>
          <w:szCs w:val="24"/>
          <w:lang w:val="en-US" w:eastAsia="zh-CN"/>
        </w:rPr>
        <w:t>目委托服务计划</w:t>
      </w:r>
      <w:r>
        <w:rPr>
          <w:rFonts w:hint="eastAsia" w:ascii="宋体" w:hAnsi="宋体" w:cs="Times New Roman"/>
          <w:color w:val="auto"/>
          <w:sz w:val="24"/>
          <w:szCs w:val="24"/>
        </w:rPr>
        <w:t>工作方案（至少包含项目人员职责、驻场时间安排、计划排期）后</w:t>
      </w:r>
      <w:r>
        <w:rPr>
          <w:rFonts w:hint="eastAsia" w:ascii="宋体" w:hAnsi="宋体"/>
          <w:color w:val="auto"/>
          <w:sz w:val="24"/>
        </w:rPr>
        <w:t>支付合同总额的</w:t>
      </w:r>
      <w:r>
        <w:rPr>
          <w:rFonts w:ascii="宋体" w:hAnsi="宋体"/>
          <w:color w:val="auto"/>
          <w:sz w:val="24"/>
        </w:rPr>
        <w:t>30</w:t>
      </w:r>
      <w:r>
        <w:rPr>
          <w:rFonts w:hint="eastAsia" w:ascii="宋体" w:hAnsi="宋体"/>
          <w:color w:val="auto"/>
          <w:sz w:val="24"/>
        </w:rPr>
        <w:t>％，即    元（   元）。</w:t>
      </w:r>
    </w:p>
    <w:p>
      <w:pPr>
        <w:spacing w:line="380" w:lineRule="exact"/>
        <w:ind w:firstLine="480" w:firstLineChars="200"/>
        <w:rPr>
          <w:rFonts w:ascii="宋体" w:hAnsi="宋体"/>
          <w:color w:val="auto"/>
          <w:sz w:val="24"/>
          <w:highlight w:val="none"/>
        </w:rPr>
      </w:pPr>
      <w:r>
        <w:rPr>
          <w:rFonts w:hint="eastAsia" w:ascii="宋体" w:hAnsi="宋体"/>
          <w:color w:val="auto"/>
          <w:sz w:val="24"/>
        </w:rPr>
        <w:t>（2）乙方</w:t>
      </w:r>
      <w:r>
        <w:rPr>
          <w:rFonts w:hint="eastAsia" w:ascii="宋体" w:hAnsi="宋体"/>
          <w:color w:val="auto"/>
          <w:sz w:val="24"/>
          <w:highlight w:val="none"/>
        </w:rPr>
        <w:t>完成成果编制，通过专家评审会议，并按评审会意见修改完善后提交报告经验收确认后，第二次付款，支付比例为合同总额的</w:t>
      </w:r>
      <w:r>
        <w:rPr>
          <w:rFonts w:ascii="宋体" w:hAnsi="宋体"/>
          <w:color w:val="auto"/>
          <w:sz w:val="24"/>
          <w:highlight w:val="none"/>
        </w:rPr>
        <w:t>45</w:t>
      </w:r>
      <w:r>
        <w:rPr>
          <w:rFonts w:hint="eastAsia" w:ascii="宋体" w:hAnsi="宋体"/>
          <w:color w:val="auto"/>
          <w:sz w:val="24"/>
          <w:highlight w:val="none"/>
        </w:rPr>
        <w:t>％，即  元（   元）。</w:t>
      </w:r>
    </w:p>
    <w:p>
      <w:pPr>
        <w:spacing w:line="380" w:lineRule="exact"/>
        <w:ind w:firstLine="480" w:firstLineChars="200"/>
        <w:jc w:val="left"/>
        <w:rPr>
          <w:rFonts w:ascii="宋体" w:hAnsi="宋体"/>
          <w:color w:val="auto"/>
          <w:sz w:val="24"/>
        </w:rPr>
      </w:pPr>
      <w:r>
        <w:rPr>
          <w:rFonts w:hint="eastAsia" w:ascii="宋体" w:hAnsi="宋体"/>
          <w:color w:val="auto"/>
          <w:sz w:val="24"/>
          <w:highlight w:val="none"/>
        </w:rPr>
        <w:t>（3）乙方完成成果编制，通过甲方决策会议审议并验收确认后，第三次付款，支</w:t>
      </w:r>
      <w:r>
        <w:rPr>
          <w:rFonts w:hint="eastAsia" w:ascii="宋体" w:hAnsi="宋体"/>
          <w:color w:val="auto"/>
          <w:sz w:val="24"/>
        </w:rPr>
        <w:t>付比例为合同总额的</w:t>
      </w:r>
      <w:r>
        <w:rPr>
          <w:rFonts w:ascii="宋体" w:hAnsi="宋体"/>
          <w:color w:val="auto"/>
          <w:sz w:val="24"/>
        </w:rPr>
        <w:t>20</w:t>
      </w:r>
      <w:r>
        <w:rPr>
          <w:rFonts w:hint="eastAsia" w:ascii="宋体" w:hAnsi="宋体"/>
          <w:color w:val="auto"/>
          <w:sz w:val="24"/>
        </w:rPr>
        <w:t>％，即    元（   元）。</w:t>
      </w:r>
    </w:p>
    <w:p>
      <w:pPr>
        <w:spacing w:line="360" w:lineRule="auto"/>
        <w:ind w:firstLine="480" w:firstLineChars="200"/>
        <w:rPr>
          <w:rFonts w:ascii="宋体" w:hAnsi="宋体"/>
          <w:color w:val="auto"/>
          <w:sz w:val="24"/>
        </w:rPr>
      </w:pPr>
      <w:r>
        <w:rPr>
          <w:rFonts w:hint="eastAsia" w:ascii="宋体" w:hAnsi="宋体"/>
          <w:color w:val="auto"/>
          <w:sz w:val="24"/>
        </w:rPr>
        <w:t>（4）乙方协助甲方开展战略宣贯工作并在服务期满后开展项目结算，乙方提出结算申请及提供项目结算所需的材料，经审批同意后支付余款（即合同总额5%）。</w:t>
      </w:r>
    </w:p>
    <w:p>
      <w:pPr>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w:t>
      </w:r>
      <w:r>
        <w:rPr>
          <w:rFonts w:ascii="宋体" w:hAnsi="宋体"/>
          <w:color w:val="auto"/>
          <w:sz w:val="24"/>
        </w:rPr>
        <w:t>1.</w:t>
      </w:r>
      <w:r>
        <w:rPr>
          <w:rFonts w:hint="eastAsia" w:ascii="宋体" w:hAnsi="宋体"/>
          <w:color w:val="auto"/>
          <w:sz w:val="24"/>
        </w:rPr>
        <w:t>乙方根据甲方要求提交相关支付申请后，由甲方支付给乙方；</w:t>
      </w:r>
    </w:p>
    <w:p>
      <w:pPr>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.2</w:t>
      </w:r>
      <w:r>
        <w:rPr>
          <w:rFonts w:ascii="宋体" w:hAnsi="宋体"/>
          <w:color w:val="auto"/>
          <w:sz w:val="24"/>
        </w:rPr>
        <w:t>.</w:t>
      </w:r>
      <w:r>
        <w:rPr>
          <w:rFonts w:hint="eastAsia" w:ascii="宋体" w:hAnsi="宋体"/>
          <w:color w:val="auto"/>
          <w:sz w:val="24"/>
        </w:rPr>
        <w:t>甲方在收到乙方提供的增值税专用发票、支付申请书及验收单材料并核实无误后，进行支付。</w:t>
      </w:r>
    </w:p>
    <w:p>
      <w:pPr>
        <w:spacing w:line="360" w:lineRule="auto"/>
        <w:ind w:firstLine="480" w:firstLineChars="200"/>
        <w:rPr>
          <w:rFonts w:ascii="宋体" w:hAnsi="宋体"/>
          <w:color w:val="auto"/>
          <w:sz w:val="24"/>
        </w:rPr>
      </w:pPr>
      <w:r>
        <w:rPr>
          <w:rFonts w:hint="eastAsia" w:ascii="宋体" w:hAnsi="宋体"/>
          <w:color w:val="auto"/>
          <w:sz w:val="24"/>
        </w:rPr>
        <w:t>（1）乙方每次提供与支付申请等额的增值税专用发票。</w:t>
      </w:r>
    </w:p>
    <w:p>
      <w:pPr>
        <w:spacing w:line="360" w:lineRule="auto"/>
        <w:ind w:firstLine="480" w:firstLineChars="200"/>
        <w:rPr>
          <w:rFonts w:ascii="宋体" w:hAnsi="宋体"/>
          <w:color w:val="auto"/>
          <w:sz w:val="24"/>
        </w:rPr>
      </w:pPr>
      <w:r>
        <w:rPr>
          <w:rFonts w:hint="eastAsia" w:ascii="宋体" w:hAnsi="宋体"/>
          <w:color w:val="auto"/>
          <w:sz w:val="24"/>
        </w:rPr>
        <w:t>（2）乙方出具的支付申请书。</w:t>
      </w:r>
    </w:p>
    <w:p>
      <w:pPr>
        <w:spacing w:line="360" w:lineRule="auto"/>
        <w:ind w:firstLine="480" w:firstLineChars="200"/>
        <w:rPr>
          <w:rFonts w:ascii="宋体" w:hAnsi="宋体"/>
          <w:color w:val="auto"/>
          <w:sz w:val="24"/>
        </w:rPr>
      </w:pPr>
      <w:r>
        <w:rPr>
          <w:rFonts w:hint="eastAsia" w:ascii="宋体" w:hAnsi="宋体"/>
          <w:color w:val="auto"/>
          <w:sz w:val="24"/>
        </w:rPr>
        <w:t>（3）甲乙双方签名确认的验收单。</w:t>
      </w:r>
    </w:p>
    <w:p>
      <w:pPr>
        <w:spacing w:line="360" w:lineRule="auto"/>
        <w:ind w:firstLine="480" w:firstLineChars="200"/>
        <w:rPr>
          <w:rFonts w:ascii="宋体" w:hAnsi="宋体"/>
          <w:color w:val="auto"/>
          <w:sz w:val="24"/>
        </w:rPr>
      </w:pPr>
      <w:r>
        <w:rPr>
          <w:rFonts w:hint="eastAsia" w:ascii="宋体" w:hAnsi="宋体"/>
          <w:color w:val="auto"/>
          <w:sz w:val="24"/>
        </w:rPr>
        <w:t>（4）经甲方审定的结算资料。</w:t>
      </w:r>
    </w:p>
    <w:p>
      <w:pPr>
        <w:spacing w:line="360" w:lineRule="auto"/>
        <w:rPr>
          <w:rFonts w:ascii="宋体" w:hAnsi="宋体"/>
          <w:color w:val="auto"/>
          <w:sz w:val="24"/>
        </w:rPr>
      </w:pPr>
      <w:r>
        <w:rPr>
          <w:rFonts w:hint="eastAsia" w:ascii="宋体" w:hAnsi="宋体"/>
          <w:color w:val="auto"/>
          <w:sz w:val="24"/>
        </w:rPr>
        <w:t>上述合同款项由甲方汇入乙方指定帐户，同时乙方须向甲方出具等额发票。</w:t>
      </w:r>
    </w:p>
    <w:p>
      <w:pPr>
        <w:spacing w:line="360" w:lineRule="auto"/>
        <w:ind w:firstLine="480" w:firstLineChars="200"/>
        <w:rPr>
          <w:rFonts w:ascii="宋体" w:hAnsi="宋体"/>
          <w:color w:val="auto"/>
          <w:sz w:val="24"/>
        </w:rPr>
      </w:pPr>
      <w:r>
        <w:rPr>
          <w:rFonts w:hint="eastAsia" w:ascii="宋体" w:hAnsi="宋体"/>
          <w:color w:val="auto"/>
          <w:sz w:val="24"/>
        </w:rPr>
        <w:t>乙方开户银行名称、地址和帐号为：</w:t>
      </w:r>
    </w:p>
    <w:p>
      <w:pPr>
        <w:spacing w:line="480" w:lineRule="exact"/>
        <w:ind w:firstLine="480" w:firstLineChars="200"/>
        <w:rPr>
          <w:rFonts w:ascii="宋体" w:hAnsi="宋体"/>
          <w:color w:val="auto"/>
          <w:sz w:val="24"/>
        </w:rPr>
      </w:pPr>
      <w:r>
        <w:rPr>
          <w:rFonts w:hint="eastAsia" w:ascii="宋体" w:hAnsi="宋体"/>
          <w:color w:val="auto"/>
          <w:sz w:val="24"/>
        </w:rPr>
        <w:t xml:space="preserve">乙方开户行： </w:t>
      </w:r>
    </w:p>
    <w:p>
      <w:pPr>
        <w:spacing w:line="480" w:lineRule="exact"/>
        <w:ind w:firstLine="480" w:firstLineChars="200"/>
        <w:rPr>
          <w:rFonts w:ascii="宋体" w:hAnsi="宋体"/>
          <w:color w:val="auto"/>
          <w:sz w:val="24"/>
        </w:rPr>
      </w:pPr>
      <w:r>
        <w:rPr>
          <w:rFonts w:hint="eastAsia" w:ascii="宋体" w:hAnsi="宋体"/>
          <w:color w:val="auto"/>
          <w:sz w:val="24"/>
        </w:rPr>
        <w:t>地址：</w:t>
      </w:r>
    </w:p>
    <w:p>
      <w:pPr>
        <w:spacing w:line="480" w:lineRule="exact"/>
        <w:ind w:firstLine="480" w:firstLineChars="200"/>
        <w:rPr>
          <w:rFonts w:ascii="宋体" w:hAnsi="宋体"/>
          <w:color w:val="auto"/>
          <w:sz w:val="24"/>
        </w:rPr>
      </w:pPr>
      <w:r>
        <w:rPr>
          <w:rFonts w:hint="eastAsia" w:ascii="宋体" w:hAnsi="宋体"/>
          <w:color w:val="auto"/>
          <w:sz w:val="24"/>
        </w:rPr>
        <w:t>账号/行号 ：</w:t>
      </w:r>
    </w:p>
    <w:p>
      <w:pPr>
        <w:spacing w:line="480" w:lineRule="exact"/>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w:t>
      </w:r>
      <w:r>
        <w:rPr>
          <w:rFonts w:ascii="宋体" w:hAnsi="宋体"/>
          <w:color w:val="auto"/>
          <w:sz w:val="24"/>
        </w:rPr>
        <w:t>3.</w:t>
      </w:r>
      <w:r>
        <w:rPr>
          <w:rFonts w:hint="eastAsia" w:ascii="宋体" w:hAnsi="宋体"/>
          <w:color w:val="auto"/>
          <w:sz w:val="24"/>
        </w:rPr>
        <w:t>费用调整</w:t>
      </w:r>
    </w:p>
    <w:p>
      <w:pPr>
        <w:spacing w:line="360" w:lineRule="auto"/>
        <w:ind w:firstLine="480" w:firstLineChars="200"/>
        <w:rPr>
          <w:rFonts w:ascii="宋体" w:hAnsi="宋体"/>
          <w:color w:val="auto"/>
          <w:sz w:val="24"/>
        </w:rPr>
      </w:pPr>
      <w:r>
        <w:rPr>
          <w:rFonts w:hint="eastAsia" w:ascii="宋体" w:hAnsi="宋体"/>
          <w:color w:val="auto"/>
          <w:sz w:val="24"/>
        </w:rPr>
        <w:t>甲方需变更服务内容且超出合同范围的，经协商一致后另行签订补充协议。</w:t>
      </w:r>
    </w:p>
    <w:p>
      <w:pPr>
        <w:spacing w:line="360" w:lineRule="auto"/>
        <w:rPr>
          <w:rFonts w:ascii="宋体" w:hAnsi="宋体"/>
          <w:b/>
          <w:color w:val="auto"/>
          <w:sz w:val="24"/>
        </w:rPr>
      </w:pPr>
      <w:r>
        <w:rPr>
          <w:rFonts w:ascii="宋体" w:hAnsi="宋体"/>
          <w:b/>
          <w:color w:val="auto"/>
          <w:sz w:val="24"/>
        </w:rPr>
        <w:t>8</w:t>
      </w:r>
      <w:r>
        <w:rPr>
          <w:rFonts w:hint="eastAsia" w:ascii="宋体" w:hAnsi="宋体"/>
          <w:b/>
          <w:color w:val="auto"/>
          <w:sz w:val="24"/>
        </w:rPr>
        <w:t>.项目验收</w:t>
      </w:r>
    </w:p>
    <w:p>
      <w:pPr>
        <w:spacing w:line="360" w:lineRule="auto"/>
        <w:ind w:firstLine="480" w:firstLineChars="200"/>
        <w:rPr>
          <w:rFonts w:ascii="宋体" w:hAnsi="宋体"/>
          <w:color w:val="auto"/>
          <w:sz w:val="24"/>
        </w:rPr>
      </w:pPr>
      <w:r>
        <w:rPr>
          <w:rFonts w:hint="eastAsia" w:ascii="宋体" w:hAnsi="宋体"/>
          <w:color w:val="auto"/>
          <w:sz w:val="24"/>
        </w:rPr>
        <w:t>8.1《南宁铁路枢纽投资有限公司“十四五”战略规划及2035远景展望报告》须专家评审、甲方决策会议审议批准通过后，视为通过验收。</w:t>
      </w:r>
    </w:p>
    <w:p>
      <w:pPr>
        <w:spacing w:line="400" w:lineRule="exact"/>
        <w:rPr>
          <w:rFonts w:ascii="宋体" w:hAnsi="宋体"/>
          <w:b/>
          <w:color w:val="auto"/>
          <w:sz w:val="24"/>
        </w:rPr>
      </w:pPr>
      <w:r>
        <w:rPr>
          <w:rFonts w:ascii="宋体" w:hAnsi="宋体"/>
          <w:b/>
          <w:color w:val="auto"/>
          <w:sz w:val="24"/>
        </w:rPr>
        <w:t>9</w:t>
      </w:r>
      <w:r>
        <w:rPr>
          <w:rFonts w:hint="eastAsia" w:ascii="宋体" w:hAnsi="宋体"/>
          <w:b/>
          <w:color w:val="auto"/>
          <w:sz w:val="24"/>
        </w:rPr>
        <w:t>.甲方权利与义务</w:t>
      </w:r>
    </w:p>
    <w:p>
      <w:pPr>
        <w:spacing w:line="400" w:lineRule="exact"/>
        <w:ind w:firstLine="480" w:firstLineChars="200"/>
        <w:rPr>
          <w:rFonts w:ascii="宋体" w:hAnsi="宋体"/>
          <w:bCs/>
          <w:color w:val="auto"/>
          <w:sz w:val="24"/>
        </w:rPr>
      </w:pPr>
      <w:r>
        <w:rPr>
          <w:rFonts w:ascii="宋体" w:hAnsi="宋体"/>
          <w:bCs/>
          <w:color w:val="auto"/>
          <w:sz w:val="24"/>
        </w:rPr>
        <w:t>9.1</w:t>
      </w:r>
      <w:r>
        <w:rPr>
          <w:rFonts w:hint="eastAsia" w:ascii="宋体" w:hAnsi="宋体"/>
          <w:bCs/>
          <w:color w:val="auto"/>
          <w:sz w:val="24"/>
        </w:rPr>
        <w:t>甲方有权向乙方询问工作进展情况及相关内容；甲方有权阐述对具体问题的意见和建议。</w:t>
      </w:r>
    </w:p>
    <w:p>
      <w:pPr>
        <w:spacing w:line="400" w:lineRule="exact"/>
        <w:ind w:firstLine="480" w:firstLineChars="200"/>
        <w:rPr>
          <w:rFonts w:ascii="宋体" w:hAnsi="宋体"/>
          <w:bCs/>
          <w:color w:val="auto"/>
          <w:sz w:val="24"/>
        </w:rPr>
      </w:pPr>
      <w:r>
        <w:rPr>
          <w:rFonts w:ascii="宋体" w:hAnsi="宋体"/>
          <w:bCs/>
          <w:color w:val="auto"/>
          <w:sz w:val="24"/>
        </w:rPr>
        <w:t>9</w:t>
      </w:r>
      <w:r>
        <w:rPr>
          <w:rFonts w:hint="eastAsia" w:ascii="宋体" w:hAnsi="宋体"/>
          <w:bCs/>
          <w:color w:val="auto"/>
          <w:sz w:val="24"/>
        </w:rPr>
        <w:t>.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spacing w:line="400" w:lineRule="exact"/>
        <w:ind w:firstLine="480" w:firstLineChars="200"/>
        <w:rPr>
          <w:rFonts w:ascii="宋体" w:hAnsi="宋体"/>
          <w:bCs/>
          <w:color w:val="auto"/>
          <w:sz w:val="24"/>
        </w:rPr>
      </w:pPr>
      <w:r>
        <w:rPr>
          <w:rFonts w:ascii="宋体" w:hAnsi="宋体"/>
          <w:bCs/>
          <w:color w:val="auto"/>
          <w:sz w:val="24"/>
        </w:rPr>
        <w:t>9</w:t>
      </w:r>
      <w:r>
        <w:rPr>
          <w:rFonts w:hint="eastAsia" w:ascii="宋体" w:hAnsi="宋体"/>
          <w:bCs/>
          <w:color w:val="auto"/>
          <w:sz w:val="24"/>
        </w:rPr>
        <w:t>.3因乙方原因造成甲方重大损失的，甲方有权随时解除本合同并要求乙方承担相应的赔偿责任。</w:t>
      </w:r>
    </w:p>
    <w:p>
      <w:pPr>
        <w:spacing w:line="400" w:lineRule="exact"/>
        <w:ind w:firstLine="480" w:firstLineChars="200"/>
        <w:rPr>
          <w:rFonts w:ascii="宋体" w:hAnsi="宋体"/>
          <w:bCs/>
          <w:color w:val="auto"/>
          <w:sz w:val="24"/>
        </w:rPr>
      </w:pPr>
      <w:r>
        <w:rPr>
          <w:rFonts w:ascii="宋体" w:hAnsi="宋体"/>
          <w:bCs/>
          <w:color w:val="auto"/>
          <w:sz w:val="24"/>
        </w:rPr>
        <w:t>9</w:t>
      </w:r>
      <w:r>
        <w:rPr>
          <w:rFonts w:hint="eastAsia" w:ascii="宋体" w:hAnsi="宋体"/>
          <w:bCs/>
          <w:color w:val="auto"/>
          <w:sz w:val="24"/>
        </w:rPr>
        <w:t>.4因乙方未按合同约定按时按质完成工作内容，达不到甲方的要求，</w:t>
      </w:r>
      <w:r>
        <w:rPr>
          <w:rFonts w:hint="eastAsia" w:ascii="宋体" w:hAnsi="宋体"/>
          <w:bCs/>
          <w:color w:val="auto"/>
          <w:sz w:val="24"/>
          <w:lang w:eastAsia="zh-Hans"/>
        </w:rPr>
        <w:t>且经甲方提出后</w:t>
      </w:r>
      <w:r>
        <w:rPr>
          <w:rFonts w:ascii="宋体" w:hAnsi="宋体"/>
          <w:bCs/>
          <w:color w:val="auto"/>
          <w:sz w:val="24"/>
          <w:lang w:eastAsia="zh-Hans"/>
        </w:rPr>
        <w:t>10</w:t>
      </w:r>
      <w:r>
        <w:rPr>
          <w:rFonts w:hint="eastAsia" w:ascii="宋体" w:hAnsi="宋体"/>
          <w:bCs/>
          <w:color w:val="auto"/>
          <w:sz w:val="24"/>
          <w:lang w:eastAsia="zh-Hans"/>
        </w:rPr>
        <w:t>个工作日内仍不能整改完毕的，</w:t>
      </w:r>
      <w:r>
        <w:rPr>
          <w:rFonts w:hint="eastAsia" w:ascii="宋体" w:hAnsi="宋体"/>
          <w:bCs/>
          <w:color w:val="auto"/>
          <w:sz w:val="24"/>
        </w:rPr>
        <w:t>甲方有权要求解除本合同并要求乙方承担相应的赔偿责任。</w:t>
      </w:r>
    </w:p>
    <w:p>
      <w:pPr>
        <w:spacing w:line="400" w:lineRule="exact"/>
        <w:ind w:firstLine="480" w:firstLineChars="200"/>
        <w:rPr>
          <w:rFonts w:ascii="宋体" w:hAnsi="宋体"/>
          <w:bCs/>
          <w:color w:val="auto"/>
          <w:sz w:val="24"/>
        </w:rPr>
      </w:pPr>
      <w:r>
        <w:rPr>
          <w:rFonts w:ascii="宋体" w:hAnsi="宋体"/>
          <w:bCs/>
          <w:color w:val="auto"/>
          <w:sz w:val="24"/>
        </w:rPr>
        <w:t>9</w:t>
      </w:r>
      <w:r>
        <w:rPr>
          <w:rFonts w:hint="eastAsia" w:ascii="宋体" w:hAnsi="宋体"/>
          <w:bCs/>
          <w:color w:val="auto"/>
          <w:sz w:val="24"/>
        </w:rPr>
        <w:t>.5及时按照约定的方式，确认服务工作范围和需求、确认乙方每个阶段的工作。</w:t>
      </w:r>
    </w:p>
    <w:p>
      <w:pPr>
        <w:spacing w:line="400" w:lineRule="exact"/>
        <w:ind w:firstLine="480" w:firstLineChars="200"/>
        <w:rPr>
          <w:rFonts w:ascii="宋体" w:hAnsi="宋体"/>
          <w:bCs/>
          <w:color w:val="auto"/>
          <w:sz w:val="24"/>
        </w:rPr>
      </w:pPr>
      <w:r>
        <w:rPr>
          <w:rFonts w:ascii="宋体" w:hAnsi="宋体"/>
          <w:bCs/>
          <w:color w:val="auto"/>
          <w:sz w:val="24"/>
        </w:rPr>
        <w:t>9</w:t>
      </w:r>
      <w:r>
        <w:rPr>
          <w:rFonts w:hint="eastAsia" w:ascii="宋体" w:hAnsi="宋体"/>
          <w:bCs/>
          <w:color w:val="auto"/>
          <w:sz w:val="24"/>
        </w:rPr>
        <w:t>.6甲方应按照合同约定的付款方式、付款时间及金额向乙方支付费用。</w:t>
      </w:r>
    </w:p>
    <w:p>
      <w:pPr>
        <w:spacing w:line="400" w:lineRule="exact"/>
        <w:rPr>
          <w:rFonts w:ascii="宋体" w:hAnsi="宋体"/>
          <w:b/>
          <w:color w:val="auto"/>
          <w:sz w:val="24"/>
        </w:rPr>
      </w:pPr>
      <w:r>
        <w:rPr>
          <w:rFonts w:ascii="宋体" w:hAnsi="宋体"/>
          <w:b/>
          <w:color w:val="auto"/>
          <w:sz w:val="24"/>
        </w:rPr>
        <w:t>10</w:t>
      </w:r>
      <w:r>
        <w:rPr>
          <w:rFonts w:hint="eastAsia" w:ascii="宋体" w:hAnsi="宋体"/>
          <w:b/>
          <w:color w:val="auto"/>
          <w:sz w:val="24"/>
        </w:rPr>
        <w:t>.乙方权利与义务</w:t>
      </w:r>
    </w:p>
    <w:p>
      <w:pPr>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.1乙方应于按照双方确认的服务工作计划，确保服务的质量和进度开展服务工作</w:t>
      </w:r>
      <w:r>
        <w:rPr>
          <w:rFonts w:ascii="宋体" w:hAnsi="宋体"/>
          <w:color w:val="auto"/>
          <w:sz w:val="24"/>
        </w:rPr>
        <w:t>。</w:t>
      </w:r>
    </w:p>
    <w:p>
      <w:pPr>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.2按协议要求提供服务，及时将成果物交付甲方</w:t>
      </w:r>
      <w:r>
        <w:rPr>
          <w:rFonts w:ascii="宋体" w:hAnsi="宋体"/>
          <w:color w:val="auto"/>
          <w:sz w:val="24"/>
        </w:rPr>
        <w:t>。</w:t>
      </w:r>
    </w:p>
    <w:p>
      <w:pPr>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.3及时得到服务款</w:t>
      </w:r>
    </w:p>
    <w:p>
      <w:pPr>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.4乙方应对甲方提供的基础资料保密，不得用于本项目以外的项目。乙方应遵守本合同之保密要求，并采取相应的保密措施，以防泄露服务成果；保密义务在本合同有效期内及本合同终止后持续存在。</w:t>
      </w:r>
    </w:p>
    <w:p>
      <w:pPr>
        <w:spacing w:line="400" w:lineRule="exact"/>
        <w:ind w:firstLine="480" w:firstLineChars="200"/>
        <w:rPr>
          <w:rFonts w:ascii="宋体" w:hAnsi="宋体"/>
          <w:color w:val="auto"/>
          <w:sz w:val="24"/>
        </w:rPr>
      </w:pPr>
      <w:r>
        <w:rPr>
          <w:rFonts w:hint="eastAsia" w:ascii="宋体" w:hAnsi="宋体"/>
          <w:color w:val="auto"/>
          <w:sz w:val="24"/>
        </w:rPr>
        <w:t>10.5乙方驻场服务团队的食宿、办公用品、办公设备等费用由乙方承担。</w:t>
      </w:r>
    </w:p>
    <w:p>
      <w:pPr>
        <w:spacing w:line="400" w:lineRule="exact"/>
        <w:rPr>
          <w:rFonts w:ascii="宋体" w:hAnsi="宋体"/>
          <w:b/>
          <w:color w:val="auto"/>
          <w:sz w:val="24"/>
        </w:rPr>
      </w:pPr>
      <w:r>
        <w:rPr>
          <w:rFonts w:ascii="宋体" w:hAnsi="宋体"/>
          <w:b/>
          <w:color w:val="auto"/>
          <w:sz w:val="24"/>
        </w:rPr>
        <w:t>11</w:t>
      </w:r>
      <w:r>
        <w:rPr>
          <w:rFonts w:hint="eastAsia" w:ascii="宋体" w:hAnsi="宋体"/>
          <w:b/>
          <w:color w:val="auto"/>
          <w:sz w:val="24"/>
        </w:rPr>
        <w:t>.违约责任</w:t>
      </w:r>
    </w:p>
    <w:p>
      <w:pPr>
        <w:spacing w:line="360" w:lineRule="auto"/>
        <w:ind w:firstLine="480" w:firstLineChars="200"/>
        <w:rPr>
          <w:rFonts w:ascii="宋体" w:hAnsi="宋体" w:cs="Gulim"/>
          <w:color w:val="auto"/>
          <w:sz w:val="24"/>
          <w:lang w:bidi="en-US"/>
        </w:rPr>
      </w:pPr>
      <w:r>
        <w:rPr>
          <w:rFonts w:hint="eastAsia" w:ascii="宋体" w:hAnsi="宋体" w:cs="Gulim"/>
          <w:color w:val="auto"/>
          <w:sz w:val="24"/>
          <w:lang w:bidi="en-US"/>
        </w:rPr>
        <w:t>1</w:t>
      </w:r>
      <w:r>
        <w:rPr>
          <w:rFonts w:ascii="宋体" w:hAnsi="宋体" w:cs="Gulim"/>
          <w:color w:val="auto"/>
          <w:sz w:val="24"/>
          <w:lang w:bidi="en-US"/>
        </w:rPr>
        <w:t>1</w:t>
      </w:r>
      <w:r>
        <w:rPr>
          <w:rFonts w:hint="eastAsia" w:ascii="宋体" w:hAnsi="宋体" w:cs="Gulim"/>
          <w:color w:val="auto"/>
          <w:sz w:val="24"/>
          <w:lang w:bidi="en-US"/>
        </w:rPr>
        <w:t>.1本合同正式签订生效后，任何一方不履行或不完全履行本合同约定条款的，即构成违约。任何一方违约不履行本合同，违约方应向守约方支付由于违约造成的一切损失。</w:t>
      </w:r>
    </w:p>
    <w:p>
      <w:pPr>
        <w:spacing w:line="360" w:lineRule="auto"/>
        <w:ind w:firstLine="480" w:firstLineChars="200"/>
        <w:rPr>
          <w:rFonts w:ascii="宋体" w:hAnsi="宋体"/>
          <w:color w:val="auto"/>
          <w:sz w:val="24"/>
        </w:rPr>
      </w:pPr>
      <w:r>
        <w:rPr>
          <w:rFonts w:hint="eastAsia" w:ascii="宋体" w:hAnsi="宋体" w:cs="Gulim"/>
          <w:color w:val="auto"/>
          <w:sz w:val="24"/>
          <w:lang w:bidi="en-US"/>
        </w:rPr>
        <w:t>1</w:t>
      </w:r>
      <w:r>
        <w:rPr>
          <w:rFonts w:ascii="宋体" w:hAnsi="宋体" w:cs="Gulim"/>
          <w:color w:val="auto"/>
          <w:sz w:val="24"/>
          <w:lang w:bidi="en-US"/>
        </w:rPr>
        <w:t>1</w:t>
      </w:r>
      <w:r>
        <w:rPr>
          <w:rFonts w:hint="eastAsia" w:ascii="宋体" w:hAnsi="宋体" w:cs="Gulim"/>
          <w:color w:val="auto"/>
          <w:sz w:val="24"/>
          <w:lang w:bidi="en-US"/>
        </w:rPr>
        <w:t>.2如乙方不能按照本合同约定履行义务</w:t>
      </w:r>
      <w:r>
        <w:rPr>
          <w:rFonts w:hint="eastAsia" w:ascii="宋体" w:hAnsi="宋体" w:cs="Gulim"/>
          <w:color w:val="auto"/>
          <w:sz w:val="24"/>
          <w:lang w:eastAsia="zh-Hans" w:bidi="en-US"/>
        </w:rPr>
        <w:t>，且经甲方书面提出</w:t>
      </w:r>
      <w:r>
        <w:rPr>
          <w:rFonts w:ascii="宋体" w:hAnsi="宋体" w:cs="Gulim"/>
          <w:color w:val="auto"/>
          <w:sz w:val="24"/>
          <w:lang w:eastAsia="zh-Hans" w:bidi="en-US"/>
        </w:rPr>
        <w:t>10</w:t>
      </w:r>
      <w:r>
        <w:rPr>
          <w:rFonts w:hint="eastAsia" w:ascii="宋体" w:hAnsi="宋体" w:cs="Gulim"/>
          <w:color w:val="auto"/>
          <w:sz w:val="24"/>
          <w:lang w:eastAsia="zh-Hans" w:bidi="en-US"/>
        </w:rPr>
        <w:t>工作日内仍不能整改完毕</w:t>
      </w:r>
      <w:r>
        <w:rPr>
          <w:rFonts w:hint="eastAsia" w:ascii="宋体" w:hAnsi="宋体" w:cs="Gulim"/>
          <w:color w:val="auto"/>
          <w:sz w:val="24"/>
          <w:lang w:bidi="en-US"/>
        </w:rPr>
        <w:t>的，甲方有权直接解除合同，剩余合同费用不予支付，给甲方造成其他损失的，乙方还应进行赔偿。</w:t>
      </w:r>
    </w:p>
    <w:p>
      <w:pPr>
        <w:spacing w:line="360" w:lineRule="auto"/>
        <w:ind w:firstLine="480" w:firstLineChars="200"/>
        <w:rPr>
          <w:rFonts w:ascii="宋体" w:hAnsi="宋体"/>
          <w:color w:val="auto"/>
          <w:sz w:val="24"/>
        </w:rPr>
      </w:pPr>
      <w:r>
        <w:rPr>
          <w:rFonts w:hint="eastAsia" w:ascii="宋体" w:hAnsi="宋体"/>
          <w:color w:val="auto"/>
          <w:sz w:val="24"/>
        </w:rPr>
        <w:t xml:space="preserve"> 1</w:t>
      </w:r>
      <w:r>
        <w:rPr>
          <w:rFonts w:ascii="宋体" w:hAnsi="宋体"/>
          <w:color w:val="auto"/>
          <w:sz w:val="24"/>
        </w:rPr>
        <w:t>1</w:t>
      </w:r>
      <w:r>
        <w:rPr>
          <w:rFonts w:hint="eastAsia" w:ascii="宋体" w:hAnsi="宋体"/>
          <w:color w:val="auto"/>
          <w:sz w:val="24"/>
        </w:rPr>
        <w:t>.3因乙方原因导致知识产权或专利纠纷，从而导致甲方不能正常使用乙方提供的服务的, 乙方须全额退还甲方已经支付的款项，因此给甲方造成损失的，由乙方承担全部赔偿责任。</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1</w:t>
      </w:r>
      <w:r>
        <w:rPr>
          <w:rFonts w:hint="eastAsia" w:ascii="宋体" w:hAnsi="宋体"/>
          <w:color w:val="auto"/>
          <w:sz w:val="24"/>
        </w:rPr>
        <w:t>.4未经甲方同意，乙方不能更换项目组成员。如未经甲方同意，乙方私自更换项目组成员，甲方可以按如下标准扣除服务费用：（1）私自更换项目负责人的，每次扣除</w:t>
      </w:r>
      <w:r>
        <w:rPr>
          <w:rFonts w:ascii="宋体" w:hAnsi="宋体"/>
          <w:color w:val="auto"/>
          <w:sz w:val="24"/>
        </w:rPr>
        <w:t>10</w:t>
      </w:r>
      <w:r>
        <w:rPr>
          <w:rFonts w:hint="eastAsia" w:ascii="宋体" w:hAnsi="宋体"/>
          <w:color w:val="auto"/>
          <w:sz w:val="24"/>
        </w:rPr>
        <w:t>万元；（2）私自更换项目组其他工作人员的，每次扣除</w:t>
      </w:r>
      <w:r>
        <w:rPr>
          <w:rFonts w:ascii="宋体" w:hAnsi="宋体"/>
          <w:color w:val="auto"/>
          <w:sz w:val="24"/>
        </w:rPr>
        <w:t>1</w:t>
      </w:r>
      <w:r>
        <w:rPr>
          <w:rFonts w:hint="eastAsia" w:ascii="宋体" w:hAnsi="宋体"/>
          <w:color w:val="auto"/>
          <w:sz w:val="24"/>
        </w:rPr>
        <w:t>万元。如给甲方项目推进造成影响导致无法进行超过1个月的，甲方有权立即终止合同，后续服务费不予支付，如造成甲方其他损失的，甲方有权要求乙方进行赔偿相应的损失。乙方项目人员因离职、生病或怀孕休假等乙方不可控因素导致人员无法履职的，甲方应同意乙方予以更换，新接任的人员业绩条件、工作能力不能低于原岗位人员。</w:t>
      </w:r>
    </w:p>
    <w:p>
      <w:pPr>
        <w:pStyle w:val="32"/>
        <w:rPr>
          <w:rFonts w:ascii="宋体" w:hAnsi="宋体"/>
          <w:color w:val="auto"/>
          <w:sz w:val="24"/>
          <w:highlight w:val="none"/>
        </w:rPr>
      </w:pPr>
      <w:r>
        <w:rPr>
          <w:rFonts w:hint="eastAsia" w:ascii="宋体" w:hAnsi="宋体"/>
          <w:color w:val="auto"/>
          <w:sz w:val="24"/>
        </w:rPr>
        <w:t>11.5乙方项目负责人未按要求到甲方所在地参加阶段性工作汇报或重要会议的，每次罚0.5万元</w:t>
      </w:r>
      <w:r>
        <w:rPr>
          <w:rFonts w:hint="eastAsia" w:ascii="宋体" w:hAnsi="宋体"/>
          <w:color w:val="auto"/>
          <w:sz w:val="24"/>
          <w:lang w:eastAsia="zh-CN"/>
        </w:rPr>
        <w:t>；乙方项目组其他工作人员未按要求到甲方所在地参加阶段性工作汇报或重</w:t>
      </w:r>
      <w:r>
        <w:rPr>
          <w:rFonts w:hint="eastAsia" w:ascii="宋体" w:hAnsi="宋体"/>
          <w:color w:val="auto"/>
          <w:sz w:val="24"/>
          <w:highlight w:val="none"/>
          <w:lang w:eastAsia="zh-CN"/>
        </w:rPr>
        <w:t>要会议的，每次罚0.1万元。</w:t>
      </w:r>
    </w:p>
    <w:p>
      <w:pPr>
        <w:pStyle w:val="32"/>
        <w:spacing w:line="360" w:lineRule="auto"/>
        <w:ind w:firstLine="480" w:firstLineChars="200"/>
        <w:rPr>
          <w:rFonts w:hint="default" w:ascii="宋体" w:hAnsi="宋体" w:eastAsia="宋体"/>
          <w:color w:val="auto"/>
          <w:sz w:val="24"/>
          <w:highlight w:val="none"/>
          <w:lang w:val="en-US" w:eastAsia="zh-CN"/>
        </w:rPr>
      </w:pPr>
      <w:r>
        <w:rPr>
          <w:rFonts w:ascii="宋体" w:hAnsi="宋体"/>
          <w:color w:val="auto"/>
          <w:sz w:val="24"/>
          <w:highlight w:val="none"/>
        </w:rPr>
        <w:t>11.</w:t>
      </w:r>
      <w:r>
        <w:rPr>
          <w:rFonts w:hint="eastAsia" w:ascii="宋体" w:hAnsi="宋体"/>
          <w:color w:val="auto"/>
          <w:sz w:val="24"/>
          <w:highlight w:val="none"/>
        </w:rPr>
        <w:t>6</w:t>
      </w:r>
      <w:r>
        <w:rPr>
          <w:rFonts w:hint="eastAsia" w:ascii="宋体" w:hAnsi="宋体"/>
          <w:color w:val="auto"/>
          <w:sz w:val="24"/>
          <w:highlight w:val="none"/>
          <w:lang w:val="en-US" w:eastAsia="zh-CN"/>
        </w:rPr>
        <w:t xml:space="preserve"> 乙方未能按</w:t>
      </w:r>
      <w:r>
        <w:rPr>
          <w:rFonts w:hint="eastAsia" w:ascii="宋体" w:hAnsi="宋体" w:cs="Times New Roman"/>
          <w:color w:val="auto"/>
          <w:sz w:val="24"/>
          <w:szCs w:val="24"/>
          <w:highlight w:val="none"/>
        </w:rPr>
        <w:t>项</w:t>
      </w:r>
      <w:r>
        <w:rPr>
          <w:rFonts w:hint="eastAsia" w:ascii="宋体" w:hAnsi="宋体" w:cs="Times New Roman"/>
          <w:color w:val="auto"/>
          <w:sz w:val="24"/>
          <w:szCs w:val="24"/>
          <w:highlight w:val="none"/>
          <w:lang w:val="en-US" w:eastAsia="zh-CN"/>
        </w:rPr>
        <w:t>目委托服务计划</w:t>
      </w:r>
      <w:r>
        <w:rPr>
          <w:rFonts w:hint="eastAsia" w:ascii="宋体" w:hAnsi="宋体" w:cs="Times New Roman"/>
          <w:color w:val="auto"/>
          <w:sz w:val="24"/>
          <w:szCs w:val="24"/>
          <w:highlight w:val="none"/>
        </w:rPr>
        <w:t>工作方案</w:t>
      </w:r>
      <w:r>
        <w:rPr>
          <w:rFonts w:hint="eastAsia" w:ascii="宋体" w:hAnsi="宋体"/>
          <w:color w:val="auto"/>
          <w:sz w:val="24"/>
          <w:highlight w:val="none"/>
          <w:lang w:val="en-US" w:eastAsia="zh-CN"/>
        </w:rPr>
        <w:t>的时间节点及要求完成相应工作内容的，每延后一天处罚0.2万元；未能按时提交最终成果文件的，每延后一天处罚0.5万元。</w:t>
      </w:r>
    </w:p>
    <w:p>
      <w:pPr>
        <w:pStyle w:val="32"/>
        <w:spacing w:line="360" w:lineRule="auto"/>
        <w:ind w:firstLine="480" w:firstLineChars="200"/>
        <w:rPr>
          <w:rFonts w:ascii="宋体" w:hAnsi="宋体"/>
          <w:color w:val="auto"/>
          <w:sz w:val="24"/>
        </w:rPr>
      </w:pPr>
      <w:r>
        <w:rPr>
          <w:rFonts w:hint="eastAsia" w:ascii="宋体" w:hAnsi="宋体"/>
          <w:color w:val="auto"/>
          <w:sz w:val="24"/>
          <w:lang w:val="en-US" w:eastAsia="zh-CN"/>
        </w:rPr>
        <w:t>11.7</w:t>
      </w:r>
      <w:r>
        <w:rPr>
          <w:rFonts w:ascii="宋体" w:hAnsi="宋体"/>
          <w:color w:val="auto"/>
          <w:sz w:val="24"/>
        </w:rPr>
        <w:t>本合同下一方对另一方承担的损失赔偿责任，仅限于直接经济损失，不包括间接损失和预期利益</w:t>
      </w:r>
      <w:r>
        <w:rPr>
          <w:rFonts w:hint="eastAsia" w:ascii="宋体" w:hAnsi="宋体"/>
          <w:color w:val="auto"/>
          <w:sz w:val="24"/>
          <w:lang w:eastAsia="zh-Hans"/>
        </w:rPr>
        <w:t>。</w:t>
      </w:r>
    </w:p>
    <w:p>
      <w:pPr>
        <w:spacing w:line="400" w:lineRule="exact"/>
        <w:rPr>
          <w:rFonts w:ascii="宋体" w:hAnsi="宋体"/>
          <w:b/>
          <w:color w:val="auto"/>
          <w:sz w:val="24"/>
        </w:rPr>
      </w:pPr>
      <w:r>
        <w:rPr>
          <w:rFonts w:ascii="宋体" w:hAnsi="宋体"/>
          <w:b/>
          <w:color w:val="auto"/>
          <w:sz w:val="24"/>
        </w:rPr>
        <w:t>12.</w:t>
      </w:r>
      <w:r>
        <w:rPr>
          <w:rFonts w:hint="eastAsia"/>
          <w:b/>
          <w:color w:val="auto"/>
          <w:sz w:val="24"/>
        </w:rPr>
        <w:t xml:space="preserve"> 服务成果知识产权的归属和保护</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2.1乙方应保证所提供的服务或其任何一部分均不会侵犯任何第三方的专利权、商标权和著作权。</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 xml:space="preserve">2.2 </w:t>
      </w:r>
      <w:r>
        <w:rPr>
          <w:rFonts w:hint="eastAsia" w:ascii="宋体" w:hAnsi="宋体"/>
          <w:color w:val="auto"/>
          <w:sz w:val="24"/>
        </w:rPr>
        <w:t>成果文件的知识产权归甲方所有。甲方有权公开展示成果，并通过传播媒介、专业杂志、书刊或其他形式介绍、展示及评价成果文件。</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 xml:space="preserve">2.3 </w:t>
      </w:r>
      <w:r>
        <w:rPr>
          <w:rFonts w:hint="eastAsia" w:ascii="宋体" w:hAnsi="宋体"/>
          <w:color w:val="auto"/>
          <w:sz w:val="24"/>
        </w:rPr>
        <w:t>成果文件未经甲方同意，任何单位和个人都无权以任何形式向社会公开展示使用成果文件。</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 xml:space="preserve">2.4 </w:t>
      </w:r>
      <w:r>
        <w:rPr>
          <w:rFonts w:hint="eastAsia" w:ascii="宋体" w:hAnsi="宋体"/>
          <w:color w:val="auto"/>
          <w:sz w:val="24"/>
        </w:rPr>
        <w:t>甲、乙双方应严格保守对方商业秘密。未经双方书面同意不得将保密信息对外发布或披露、提供给任何第三方。</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 xml:space="preserve">2.5 </w:t>
      </w:r>
      <w:r>
        <w:rPr>
          <w:rFonts w:hint="eastAsia" w:ascii="宋体" w:hAnsi="宋体"/>
          <w:color w:val="auto"/>
          <w:sz w:val="24"/>
        </w:rPr>
        <w:t>本条在本合同终止或解除后仍继续有效。</w:t>
      </w:r>
    </w:p>
    <w:p>
      <w:pPr>
        <w:spacing w:line="400" w:lineRule="exact"/>
        <w:rPr>
          <w:rFonts w:ascii="宋体" w:hAnsi="宋体"/>
          <w:b/>
          <w:color w:val="auto"/>
          <w:sz w:val="24"/>
        </w:rPr>
      </w:pPr>
      <w:r>
        <w:rPr>
          <w:rFonts w:ascii="宋体" w:hAnsi="宋体"/>
          <w:b/>
          <w:color w:val="auto"/>
          <w:sz w:val="24"/>
        </w:rPr>
        <w:t>13.</w:t>
      </w:r>
      <w:r>
        <w:rPr>
          <w:rFonts w:hint="eastAsia" w:ascii="宋体" w:hAnsi="宋体"/>
          <w:b/>
          <w:color w:val="auto"/>
          <w:sz w:val="24"/>
        </w:rPr>
        <w:t>不可抗力</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.2 对不可抗力事件造成的未履行或延迟履行义务，任何一方均不承担责任。受不可抗力事件影响的一方须采取适当措施以减少或消除不可抗力的影响，并尽快恢复履行受不可抗力事件影响的义务。</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.3 本合同所称不可抗力事件指无法克服、无法预见、超出一方或双方合理控制范围且妨碍双方完全履行合同义务的事件。不可抗力事件包括但不限于以下方面：自然灾害、暴动、战争、内乱、爆炸、火灾、洪水。</w:t>
      </w:r>
    </w:p>
    <w:p>
      <w:pPr>
        <w:spacing w:line="400" w:lineRule="exact"/>
        <w:rPr>
          <w:rFonts w:ascii="宋体" w:hAnsi="宋体"/>
          <w:b/>
          <w:color w:val="auto"/>
          <w:sz w:val="24"/>
        </w:rPr>
      </w:pPr>
      <w:r>
        <w:rPr>
          <w:rFonts w:hint="eastAsia" w:ascii="宋体" w:hAnsi="宋体"/>
          <w:b/>
          <w:color w:val="auto"/>
          <w:sz w:val="24"/>
        </w:rPr>
        <w:t>1</w:t>
      </w:r>
      <w:r>
        <w:rPr>
          <w:rFonts w:ascii="宋体" w:hAnsi="宋体"/>
          <w:b/>
          <w:color w:val="auto"/>
          <w:sz w:val="24"/>
        </w:rPr>
        <w:t>4</w:t>
      </w:r>
      <w:r>
        <w:rPr>
          <w:rFonts w:hint="eastAsia" w:ascii="宋体" w:hAnsi="宋体"/>
          <w:b/>
          <w:color w:val="auto"/>
          <w:sz w:val="24"/>
        </w:rPr>
        <w:t>.其他约定</w:t>
      </w:r>
    </w:p>
    <w:p>
      <w:pPr>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.1本合同未尽事宜，双方另行以书面形式商定；如协商未能解决争议，任何一方均可提交南宁市青秀区人民法院处理，产生的诉讼费、律师费用由责任方承担。</w:t>
      </w:r>
    </w:p>
    <w:p>
      <w:pPr>
        <w:pStyle w:val="32"/>
        <w:rPr>
          <w:rFonts w:ascii="仿宋" w:hAnsi="仿宋" w:eastAsia="仿宋" w:cs="仿宋"/>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.2本合同正本一式</w:t>
      </w:r>
      <w:r>
        <w:rPr>
          <w:rFonts w:ascii="宋体" w:hAnsi="宋体"/>
          <w:color w:val="auto"/>
          <w:sz w:val="24"/>
          <w:u w:val="single"/>
        </w:rPr>
        <w:t xml:space="preserve">    </w:t>
      </w:r>
      <w:r>
        <w:rPr>
          <w:rFonts w:hint="eastAsia" w:ascii="宋体" w:hAnsi="宋体"/>
          <w:color w:val="auto"/>
          <w:sz w:val="24"/>
        </w:rPr>
        <w:t>份，甲方执玖份，乙方执</w:t>
      </w:r>
      <w:r>
        <w:rPr>
          <w:rFonts w:ascii="宋体" w:hAnsi="宋体"/>
          <w:color w:val="auto"/>
          <w:sz w:val="24"/>
          <w:u w:val="single"/>
        </w:rPr>
        <w:t xml:space="preserve">     </w:t>
      </w:r>
      <w:r>
        <w:rPr>
          <w:rFonts w:hint="eastAsia" w:ascii="宋体" w:hAnsi="宋体"/>
          <w:color w:val="auto"/>
          <w:sz w:val="24"/>
        </w:rPr>
        <w:t>份，每份具有同等法律效力。本合同自双方代表签字、单位盖章之日起生效。</w:t>
      </w:r>
    </w:p>
    <w:p>
      <w:pPr>
        <w:pStyle w:val="32"/>
        <w:spacing w:line="500" w:lineRule="exact"/>
        <w:ind w:hanging="2"/>
        <w:rPr>
          <w:rFonts w:ascii="宋体" w:hAnsi="宋体"/>
          <w:color w:val="auto"/>
          <w:sz w:val="24"/>
        </w:rPr>
      </w:pPr>
      <w:r>
        <w:rPr>
          <w:rFonts w:hint="eastAsia" w:ascii="宋体" w:hAnsi="宋体"/>
          <w:color w:val="auto"/>
          <w:sz w:val="24"/>
        </w:rPr>
        <w:t>（以下无正文）</w:t>
      </w:r>
    </w:p>
    <w:p>
      <w:pPr>
        <w:spacing w:line="500" w:lineRule="exact"/>
        <w:ind w:hanging="2"/>
        <w:rPr>
          <w:rFonts w:ascii="宋体" w:hAnsi="宋体"/>
          <w:color w:val="auto"/>
          <w:sz w:val="24"/>
        </w:rPr>
      </w:pPr>
    </w:p>
    <w:p>
      <w:pPr>
        <w:spacing w:line="500" w:lineRule="exact"/>
        <w:rPr>
          <w:rFonts w:ascii="宋体" w:hAnsi="宋体"/>
          <w:color w:val="auto"/>
          <w:sz w:val="24"/>
        </w:rPr>
      </w:pPr>
    </w:p>
    <w:p>
      <w:pPr>
        <w:spacing w:line="420" w:lineRule="exact"/>
        <w:rPr>
          <w:rFonts w:ascii="宋体" w:hAnsi="宋体"/>
          <w:color w:val="auto"/>
          <w:sz w:val="24"/>
        </w:rPr>
      </w:pPr>
      <w:r>
        <w:rPr>
          <w:rFonts w:hint="eastAsia" w:ascii="宋体" w:hAnsi="宋体"/>
          <w:color w:val="auto"/>
          <w:sz w:val="24"/>
        </w:rPr>
        <w:t>（本页签章页）</w:t>
      </w:r>
    </w:p>
    <w:p>
      <w:pPr>
        <w:adjustRightInd w:val="0"/>
        <w:snapToGrid w:val="0"/>
        <w:spacing w:line="312" w:lineRule="auto"/>
        <w:outlineLvl w:val="2"/>
        <w:rPr>
          <w:rFonts w:ascii="宋体" w:hAnsi="宋体"/>
          <w:color w:val="auto"/>
          <w:sz w:val="24"/>
        </w:rPr>
      </w:pPr>
    </w:p>
    <w:p>
      <w:pPr>
        <w:spacing w:line="460" w:lineRule="exact"/>
        <w:rPr>
          <w:rFonts w:ascii="宋体" w:hAnsi="宋体"/>
          <w:color w:val="auto"/>
          <w:sz w:val="28"/>
          <w:szCs w:val="28"/>
        </w:rPr>
      </w:pPr>
      <w:r>
        <w:rPr>
          <w:rFonts w:hint="eastAsia" w:ascii="宋体" w:hAnsi="宋体"/>
          <w:color w:val="auto"/>
          <w:sz w:val="24"/>
        </w:rPr>
        <w:t>甲方：南宁轨道交通集团有限责任公司                   乙方：</w:t>
      </w:r>
    </w:p>
    <w:p>
      <w:pPr>
        <w:spacing w:line="460" w:lineRule="exact"/>
        <w:rPr>
          <w:rFonts w:ascii="宋体" w:hAnsi="宋体"/>
          <w:color w:val="auto"/>
          <w:sz w:val="24"/>
          <w:u w:val="single"/>
        </w:rPr>
      </w:pPr>
      <w:r>
        <w:rPr>
          <w:rFonts w:hint="eastAsia" w:ascii="宋体" w:hAnsi="宋体"/>
          <w:color w:val="auto"/>
          <w:sz w:val="24"/>
        </w:rPr>
        <w:t>法人代表：                            负责人：</w:t>
      </w:r>
    </w:p>
    <w:p>
      <w:pPr>
        <w:spacing w:line="460" w:lineRule="exact"/>
        <w:rPr>
          <w:rFonts w:ascii="宋体" w:hAnsi="宋体"/>
          <w:color w:val="auto"/>
          <w:sz w:val="24"/>
        </w:rPr>
      </w:pPr>
      <w:r>
        <w:rPr>
          <w:rFonts w:hint="eastAsia" w:ascii="宋体" w:hAnsi="宋体"/>
          <w:color w:val="auto"/>
          <w:sz w:val="24"/>
        </w:rPr>
        <w:t>委托代理人：                          委托代理人：</w:t>
      </w:r>
    </w:p>
    <w:p>
      <w:pPr>
        <w:spacing w:line="460" w:lineRule="exact"/>
        <w:rPr>
          <w:rFonts w:ascii="宋体" w:hAnsi="宋体"/>
          <w:color w:val="auto"/>
          <w:sz w:val="24"/>
        </w:rPr>
      </w:pPr>
      <w:r>
        <w:rPr>
          <w:rFonts w:hint="eastAsia" w:ascii="宋体" w:hAnsi="宋体"/>
          <w:color w:val="auto"/>
          <w:sz w:val="24"/>
        </w:rPr>
        <w:t>地址：广西南宁市青秀区云景路69号     地址：</w:t>
      </w:r>
    </w:p>
    <w:p>
      <w:pPr>
        <w:spacing w:line="460" w:lineRule="exact"/>
        <w:rPr>
          <w:rFonts w:ascii="宋体" w:hAnsi="宋体"/>
          <w:color w:val="auto"/>
          <w:sz w:val="24"/>
        </w:rPr>
      </w:pPr>
      <w:r>
        <w:rPr>
          <w:rFonts w:hint="eastAsia" w:ascii="宋体" w:hAnsi="宋体"/>
          <w:color w:val="auto"/>
          <w:sz w:val="24"/>
        </w:rPr>
        <w:t>联系电话：                            联系电话：</w:t>
      </w:r>
    </w:p>
    <w:p>
      <w:pPr>
        <w:spacing w:line="460" w:lineRule="exact"/>
        <w:rPr>
          <w:rFonts w:ascii="宋体" w:hAnsi="宋体"/>
          <w:color w:val="auto"/>
          <w:sz w:val="24"/>
        </w:rPr>
      </w:pPr>
      <w:r>
        <w:rPr>
          <w:rFonts w:hint="eastAsia" w:ascii="宋体" w:hAnsi="宋体"/>
          <w:color w:val="auto"/>
          <w:sz w:val="24"/>
        </w:rPr>
        <w:t xml:space="preserve">传真：                                传真： </w:t>
      </w:r>
    </w:p>
    <w:p>
      <w:pPr>
        <w:spacing w:line="460" w:lineRule="exact"/>
        <w:ind w:left="5160" w:hanging="5160" w:hangingChars="2150"/>
        <w:rPr>
          <w:rFonts w:ascii="宋体" w:hAnsi="宋体"/>
          <w:color w:val="auto"/>
          <w:sz w:val="24"/>
        </w:rPr>
      </w:pPr>
      <w:r>
        <w:rPr>
          <w:rFonts w:hint="eastAsia" w:ascii="宋体" w:hAnsi="宋体"/>
          <w:color w:val="auto"/>
          <w:sz w:val="24"/>
        </w:rPr>
        <w:t xml:space="preserve">开户银行：                            开户银行： </w:t>
      </w:r>
    </w:p>
    <w:p>
      <w:pPr>
        <w:spacing w:line="460" w:lineRule="exact"/>
        <w:ind w:left="5160" w:hanging="5160" w:hangingChars="2150"/>
        <w:rPr>
          <w:rFonts w:ascii="宋体" w:hAnsi="宋体"/>
          <w:color w:val="auto"/>
          <w:sz w:val="24"/>
        </w:rPr>
      </w:pPr>
      <w:r>
        <w:rPr>
          <w:rFonts w:hint="eastAsia" w:ascii="宋体" w:hAnsi="宋体"/>
          <w:color w:val="auto"/>
          <w:sz w:val="24"/>
        </w:rPr>
        <w:t xml:space="preserve">银行账号：                            银行账号： </w:t>
      </w:r>
    </w:p>
    <w:p>
      <w:pPr>
        <w:spacing w:line="460" w:lineRule="exact"/>
        <w:rPr>
          <w:color w:val="auto"/>
          <w:sz w:val="24"/>
        </w:rPr>
      </w:pPr>
      <w:r>
        <w:rPr>
          <w:rFonts w:hint="eastAsia" w:ascii="宋体" w:hAnsi="宋体"/>
          <w:color w:val="auto"/>
          <w:sz w:val="24"/>
        </w:rPr>
        <w:t>签订日期： 年  月   日                签订日期： 年  月   日</w:t>
      </w:r>
    </w:p>
    <w:p>
      <w:pPr>
        <w:spacing w:line="460" w:lineRule="exact"/>
        <w:rPr>
          <w:color w:val="auto"/>
          <w:sz w:val="24"/>
        </w:rPr>
      </w:pPr>
    </w:p>
    <w:p>
      <w:pPr>
        <w:spacing w:line="460" w:lineRule="exact"/>
        <w:rPr>
          <w:color w:val="auto"/>
          <w:sz w:val="24"/>
        </w:rPr>
      </w:pPr>
      <w:r>
        <w:rPr>
          <w:rFonts w:hint="eastAsia" w:ascii="宋体" w:hAnsi="宋体"/>
          <w:color w:val="auto"/>
          <w:sz w:val="24"/>
        </w:rPr>
        <w:t>合同签订地：广西南宁市青秀区云景路69号</w:t>
      </w:r>
    </w:p>
    <w:p>
      <w:pPr>
        <w:spacing w:line="400" w:lineRule="exact"/>
        <w:rPr>
          <w:b/>
          <w:color w:val="auto"/>
          <w:sz w:val="24"/>
        </w:rPr>
      </w:pPr>
    </w:p>
    <w:p>
      <w:pPr>
        <w:spacing w:line="600" w:lineRule="exact"/>
        <w:rPr>
          <w:rFonts w:ascii="宋体" w:hAnsi="宋体"/>
          <w:b/>
          <w:color w:val="auto"/>
          <w:sz w:val="24"/>
        </w:rPr>
      </w:pPr>
    </w:p>
    <w:p>
      <w:pPr>
        <w:pStyle w:val="4"/>
        <w:numPr>
          <w:ilvl w:val="-1"/>
          <w:numId w:val="0"/>
        </w:numPr>
        <w:rPr>
          <w:rFonts w:ascii="宋体" w:hAnsi="宋体" w:cs="宋体"/>
          <w:color w:val="auto"/>
          <w:szCs w:val="28"/>
        </w:rPr>
      </w:pPr>
      <w:bookmarkStart w:id="277" w:name="_Toc461525321"/>
      <w:bookmarkStart w:id="278" w:name="_Toc18962"/>
      <w:bookmarkStart w:id="279" w:name="_Toc15172"/>
      <w:bookmarkStart w:id="280" w:name="_Toc23661"/>
      <w:bookmarkStart w:id="281" w:name="_Toc26692"/>
      <w:bookmarkStart w:id="282" w:name="_Toc16386"/>
      <w:bookmarkStart w:id="283" w:name="_Toc32648"/>
      <w:bookmarkStart w:id="284" w:name="_Toc15401"/>
      <w:bookmarkStart w:id="285" w:name="_Toc471482369"/>
      <w:bookmarkStart w:id="286" w:name="_Toc24668"/>
      <w:bookmarkStart w:id="287" w:name="_Toc6779"/>
      <w:bookmarkStart w:id="288" w:name="_Toc1897"/>
      <w:bookmarkStart w:id="289" w:name="_Toc11604"/>
      <w:bookmarkStart w:id="290" w:name="_Toc29471"/>
      <w:bookmarkStart w:id="291" w:name="_Toc32280"/>
      <w:bookmarkStart w:id="292" w:name="_Toc20710"/>
      <w:bookmarkStart w:id="293" w:name="_Toc27378"/>
      <w:r>
        <w:rPr>
          <w:rFonts w:hint="eastAsia" w:ascii="宋体" w:hAnsi="宋体" w:cs="宋体"/>
          <w:color w:val="auto"/>
          <w:szCs w:val="28"/>
          <w:lang w:val="en-US" w:eastAsia="zh-CN"/>
        </w:rPr>
        <w:t xml:space="preserve">第四章  </w:t>
      </w:r>
      <w:r>
        <w:rPr>
          <w:rFonts w:hint="eastAsia" w:ascii="宋体" w:hAnsi="宋体" w:cs="宋体"/>
          <w:color w:val="auto"/>
          <w:szCs w:val="28"/>
        </w:rPr>
        <w:t>比选</w:t>
      </w:r>
      <w:bookmarkEnd w:id="267"/>
      <w:bookmarkEnd w:id="268"/>
      <w:r>
        <w:rPr>
          <w:rFonts w:hint="eastAsia" w:ascii="宋体" w:hAnsi="宋体" w:cs="宋体"/>
          <w:color w:val="auto"/>
          <w:szCs w:val="28"/>
        </w:rPr>
        <w:t>申请文件（格式）</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Start w:id="294" w:name="_Toc114052391"/>
    </w:p>
    <w:p>
      <w:pPr>
        <w:jc w:val="center"/>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南宁铁路枢纽投资有限公司“十四五”战略规划及2035远景展望</w:t>
      </w:r>
    </w:p>
    <w:p>
      <w:pPr>
        <w:ind w:right="753"/>
        <w:jc w:val="center"/>
        <w:rPr>
          <w:rFonts w:ascii="宋体" w:hAnsi="宋体" w:cs="宋体"/>
          <w:color w:val="auto"/>
          <w:sz w:val="28"/>
          <w:szCs w:val="28"/>
        </w:rPr>
      </w:pPr>
      <w:r>
        <w:rPr>
          <w:rFonts w:hint="eastAsia" w:ascii="宋体" w:hAnsi="宋体" w:cs="宋体"/>
          <w:color w:val="auto"/>
          <w:sz w:val="28"/>
          <w:szCs w:val="28"/>
        </w:rPr>
        <w:t>咨询项目比选申请文件</w:t>
      </w:r>
    </w:p>
    <w:p>
      <w:pPr>
        <w:pStyle w:val="25"/>
        <w:jc w:val="center"/>
        <w:rPr>
          <w:b w:val="0"/>
          <w:bCs w:val="0"/>
          <w:color w:val="auto"/>
          <w:sz w:val="28"/>
          <w:szCs w:val="28"/>
        </w:rPr>
      </w:pPr>
      <w:bookmarkStart w:id="295" w:name="_Toc18503"/>
      <w:bookmarkStart w:id="296" w:name="_Toc12677"/>
      <w:bookmarkStart w:id="297" w:name="_Toc16428"/>
      <w:bookmarkStart w:id="298" w:name="_Toc22529"/>
      <w:bookmarkStart w:id="299" w:name="_Toc31417"/>
      <w:bookmarkStart w:id="300" w:name="_Toc461525322"/>
      <w:bookmarkStart w:id="301" w:name="_Toc24727"/>
      <w:bookmarkStart w:id="302" w:name="_Toc10669"/>
      <w:bookmarkStart w:id="303" w:name="_Toc6045"/>
      <w:r>
        <w:rPr>
          <w:b w:val="0"/>
          <w:bCs w:val="0"/>
          <w:color w:val="auto"/>
          <w:sz w:val="28"/>
          <w:szCs w:val="28"/>
        </w:rPr>
        <w:t>资格审查部分</w:t>
      </w:r>
      <w:bookmarkEnd w:id="295"/>
      <w:bookmarkEnd w:id="296"/>
      <w:bookmarkEnd w:id="297"/>
      <w:bookmarkEnd w:id="298"/>
      <w:bookmarkEnd w:id="299"/>
      <w:bookmarkEnd w:id="300"/>
      <w:bookmarkEnd w:id="301"/>
      <w:bookmarkEnd w:id="302"/>
      <w:bookmarkEnd w:id="303"/>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w:t>
      </w:r>
      <w:bookmarkEnd w:id="294"/>
      <w:r>
        <w:rPr>
          <w:rFonts w:hint="eastAsia" w:ascii="宋体" w:hAnsi="宋体" w:cs="宋体"/>
          <w:color w:val="auto"/>
          <w:sz w:val="28"/>
          <w:szCs w:val="28"/>
        </w:rPr>
        <w:t>请</w:t>
      </w:r>
      <w:bookmarkStart w:id="304" w:name="_Toc114052392"/>
      <w:r>
        <w:rPr>
          <w:rFonts w:hint="eastAsia" w:ascii="宋体" w:hAnsi="宋体" w:cs="宋体"/>
          <w:color w:val="auto"/>
          <w:sz w:val="28"/>
          <w:szCs w:val="28"/>
        </w:rPr>
        <w:t xml:space="preserve">人：                 </w:t>
      </w:r>
      <w:bookmarkEnd w:id="304"/>
      <w:r>
        <w:rPr>
          <w:rFonts w:hint="eastAsia" w:ascii="宋体" w:hAnsi="宋体" w:cs="宋体"/>
          <w:color w:val="auto"/>
          <w:sz w:val="28"/>
          <w:szCs w:val="28"/>
        </w:rPr>
        <w:t xml:space="preserve">            （盖章）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w:t>
      </w:r>
      <w:bookmarkStart w:id="305" w:name="_Toc333307122"/>
      <w:r>
        <w:rPr>
          <w:rFonts w:hint="eastAsia" w:ascii="宋体" w:hAnsi="宋体" w:cs="宋体"/>
          <w:color w:val="auto"/>
          <w:sz w:val="28"/>
          <w:szCs w:val="28"/>
        </w:rPr>
        <w:t>理人</w:t>
      </w:r>
      <w:bookmarkEnd w:id="305"/>
      <w:r>
        <w:rPr>
          <w:rFonts w:hint="eastAsia" w:ascii="宋体" w:hAnsi="宋体" w:cs="宋体"/>
          <w:color w:val="auto"/>
          <w:sz w:val="28"/>
          <w:szCs w:val="28"/>
        </w:rPr>
        <w:t>：（签字或盖章）</w:t>
      </w:r>
    </w:p>
    <w:p>
      <w:pPr>
        <w:ind w:right="753"/>
        <w:jc w:val="left"/>
        <w:rPr>
          <w:rFonts w:ascii="宋体" w:hAnsi="宋体" w:cs="宋体"/>
          <w:color w:val="auto"/>
          <w:sz w:val="28"/>
          <w:szCs w:val="28"/>
        </w:rPr>
      </w:pPr>
      <w:r>
        <w:rPr>
          <w:rFonts w:hint="eastAsia" w:ascii="宋体" w:hAnsi="宋体" w:cs="宋体"/>
          <w:color w:val="auto"/>
          <w:sz w:val="28"/>
          <w:szCs w:val="28"/>
        </w:rPr>
        <w:t>电话/传真：</w:t>
      </w:r>
    </w:p>
    <w:p>
      <w:pPr>
        <w:ind w:right="753"/>
        <w:jc w:val="left"/>
        <w:rPr>
          <w:rFonts w:ascii="宋体" w:hAnsi="宋体" w:cs="宋体"/>
          <w:color w:val="auto"/>
          <w:sz w:val="28"/>
          <w:szCs w:val="28"/>
        </w:rPr>
      </w:pPr>
      <w:r>
        <w:rPr>
          <w:rFonts w:hint="eastAsia" w:ascii="宋体" w:hAnsi="宋体" w:cs="宋体"/>
          <w:color w:val="auto"/>
          <w:sz w:val="28"/>
          <w:szCs w:val="28"/>
        </w:rPr>
        <w:t>地址：</w:t>
      </w:r>
    </w:p>
    <w:p>
      <w:pPr>
        <w:ind w:right="753" w:firstLine="1260" w:firstLineChars="450"/>
        <w:jc w:val="left"/>
        <w:rPr>
          <w:rFonts w:ascii="宋体" w:hAnsi="宋体" w:cs="宋体"/>
          <w:color w:val="auto"/>
          <w:sz w:val="28"/>
          <w:szCs w:val="28"/>
        </w:rPr>
      </w:pPr>
      <w:r>
        <w:rPr>
          <w:rFonts w:hint="eastAsia" w:ascii="宋体" w:hAnsi="宋体" w:cs="宋体"/>
          <w:color w:val="auto"/>
          <w:sz w:val="28"/>
          <w:szCs w:val="28"/>
        </w:rPr>
        <w:t>年    月    日</w:t>
      </w: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p>
    <w:p>
      <w:pPr>
        <w:pStyle w:val="14"/>
        <w:rPr>
          <w:color w:val="auto"/>
        </w:rPr>
      </w:pPr>
      <w:bookmarkStart w:id="306" w:name="_Toc7849"/>
      <w:bookmarkStart w:id="307" w:name="_Toc461525323"/>
    </w:p>
    <w:p>
      <w:pPr>
        <w:pStyle w:val="6"/>
        <w:jc w:val="center"/>
        <w:rPr>
          <w:color w:val="auto"/>
        </w:rPr>
      </w:pPr>
      <w:bookmarkStart w:id="308" w:name="_Toc28967"/>
      <w:bookmarkStart w:id="309" w:name="_Toc11628"/>
      <w:bookmarkStart w:id="310" w:name="_Toc471482370"/>
      <w:bookmarkStart w:id="311" w:name="_Toc7031"/>
      <w:bookmarkStart w:id="312" w:name="_Toc17090"/>
      <w:bookmarkStart w:id="313" w:name="_Toc29495"/>
      <w:bookmarkStart w:id="314" w:name="_Toc13042"/>
      <w:bookmarkStart w:id="315" w:name="_Toc16191"/>
      <w:bookmarkStart w:id="316" w:name="_Toc27351"/>
      <w:bookmarkStart w:id="317" w:name="_Toc7514"/>
      <w:bookmarkStart w:id="318" w:name="_Toc16900"/>
      <w:bookmarkStart w:id="319" w:name="_Toc24695"/>
      <w:bookmarkStart w:id="320" w:name="_Toc9238"/>
      <w:r>
        <w:rPr>
          <w:rFonts w:hint="eastAsia"/>
          <w:color w:val="auto"/>
        </w:rPr>
        <w:t>一、资格审查文件目录</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numPr>
          <w:ilvl w:val="0"/>
          <w:numId w:val="6"/>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诚信声明（原件）</w:t>
      </w:r>
    </w:p>
    <w:p>
      <w:pPr>
        <w:numPr>
          <w:ilvl w:val="0"/>
          <w:numId w:val="6"/>
        </w:numPr>
        <w:tabs>
          <w:tab w:val="left" w:pos="826"/>
        </w:tabs>
        <w:spacing w:line="560" w:lineRule="exact"/>
        <w:rPr>
          <w:rFonts w:ascii="宋体" w:hAnsi="宋体"/>
          <w:color w:val="auto"/>
          <w:sz w:val="28"/>
          <w:szCs w:val="28"/>
        </w:rPr>
      </w:pPr>
      <w:r>
        <w:rPr>
          <w:rFonts w:hint="eastAsia" w:ascii="宋体" w:hAnsi="宋体"/>
          <w:color w:val="auto"/>
          <w:sz w:val="28"/>
          <w:szCs w:val="28"/>
        </w:rPr>
        <w:t>法定代表人资格证明书（原件）</w:t>
      </w:r>
    </w:p>
    <w:p>
      <w:pPr>
        <w:numPr>
          <w:ilvl w:val="0"/>
          <w:numId w:val="6"/>
        </w:numPr>
        <w:tabs>
          <w:tab w:val="left" w:pos="826"/>
        </w:tabs>
        <w:spacing w:line="560" w:lineRule="exact"/>
        <w:rPr>
          <w:rFonts w:ascii="宋体" w:hAnsi="宋体"/>
          <w:color w:val="auto"/>
          <w:sz w:val="28"/>
          <w:szCs w:val="28"/>
        </w:rPr>
      </w:pPr>
      <w:r>
        <w:rPr>
          <w:rFonts w:hint="eastAsia" w:ascii="宋体" w:hAnsi="宋体"/>
          <w:color w:val="auto"/>
          <w:sz w:val="28"/>
          <w:szCs w:val="28"/>
        </w:rPr>
        <w:t>法定代表人身份证明文件（提供复印件</w:t>
      </w:r>
      <w:r>
        <w:rPr>
          <w:rFonts w:hint="eastAsia" w:ascii="宋体" w:hAnsi="宋体"/>
          <w:color w:val="auto"/>
          <w:kern w:val="0"/>
          <w:sz w:val="28"/>
          <w:szCs w:val="28"/>
        </w:rPr>
        <w:t>加盖法人单位公章</w:t>
      </w:r>
      <w:r>
        <w:rPr>
          <w:rFonts w:hint="eastAsia" w:ascii="宋体" w:hAnsi="宋体"/>
          <w:color w:val="auto"/>
          <w:sz w:val="28"/>
          <w:szCs w:val="28"/>
        </w:rPr>
        <w:t>）</w:t>
      </w:r>
    </w:p>
    <w:p>
      <w:pPr>
        <w:numPr>
          <w:ilvl w:val="0"/>
          <w:numId w:val="6"/>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比选申请文件签署授权委托书（原件）</w:t>
      </w:r>
    </w:p>
    <w:p>
      <w:pPr>
        <w:numPr>
          <w:ilvl w:val="0"/>
          <w:numId w:val="6"/>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授权代理人身份证明文件（提供复印件加盖法人单位公章）</w:t>
      </w:r>
    </w:p>
    <w:p>
      <w:pPr>
        <w:numPr>
          <w:ilvl w:val="0"/>
          <w:numId w:val="6"/>
        </w:numPr>
        <w:tabs>
          <w:tab w:val="left" w:pos="826"/>
        </w:tabs>
        <w:spacing w:line="560" w:lineRule="exact"/>
        <w:rPr>
          <w:rFonts w:ascii="宋体" w:hAnsi="宋体"/>
          <w:b/>
          <w:color w:val="auto"/>
          <w:kern w:val="0"/>
          <w:sz w:val="28"/>
          <w:szCs w:val="28"/>
        </w:rPr>
      </w:pPr>
      <w:r>
        <w:rPr>
          <w:rFonts w:hint="eastAsia" w:ascii="宋体" w:hAnsi="宋体"/>
          <w:b/>
          <w:color w:val="auto"/>
          <w:kern w:val="0"/>
          <w:sz w:val="28"/>
          <w:szCs w:val="28"/>
        </w:rPr>
        <w:t>营业执照（提供复印件加盖法人单位公章）</w:t>
      </w:r>
    </w:p>
    <w:p>
      <w:pPr>
        <w:numPr>
          <w:ilvl w:val="0"/>
          <w:numId w:val="6"/>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税务登记证（加盖单位公章, 如已办理三证合一则不需提供）；</w:t>
      </w:r>
    </w:p>
    <w:p>
      <w:pPr>
        <w:numPr>
          <w:ilvl w:val="0"/>
          <w:numId w:val="6"/>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组织机构代码证复印件（加盖单位公章, 如已办理三证合一则不需提供）</w:t>
      </w:r>
    </w:p>
    <w:p>
      <w:pPr>
        <w:numPr>
          <w:ilvl w:val="0"/>
          <w:numId w:val="6"/>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比选发起人财务出具的收款证明或银行转账回执（复印件加盖单位公章，原件备查）（如有）</w:t>
      </w:r>
    </w:p>
    <w:p>
      <w:pPr>
        <w:tabs>
          <w:tab w:val="left" w:pos="826"/>
        </w:tabs>
        <w:spacing w:line="560" w:lineRule="exact"/>
        <w:ind w:left="426"/>
        <w:rPr>
          <w:rFonts w:ascii="宋体" w:hAnsi="宋体"/>
          <w:iCs/>
          <w:color w:val="auto"/>
          <w:kern w:val="0"/>
          <w:sz w:val="28"/>
          <w:szCs w:val="28"/>
        </w:rPr>
      </w:pPr>
      <w:r>
        <w:rPr>
          <w:rFonts w:ascii="宋体" w:hAnsi="宋体"/>
          <w:iCs/>
          <w:color w:val="auto"/>
          <w:kern w:val="0"/>
          <w:sz w:val="28"/>
          <w:szCs w:val="28"/>
        </w:rPr>
        <w:t>10</w:t>
      </w:r>
      <w:r>
        <w:rPr>
          <w:rFonts w:hint="eastAsia" w:ascii="宋体" w:hAnsi="宋体"/>
          <w:iCs/>
          <w:color w:val="auto"/>
          <w:kern w:val="0"/>
          <w:sz w:val="28"/>
          <w:szCs w:val="28"/>
        </w:rPr>
        <w:t>.</w:t>
      </w:r>
      <w:r>
        <w:rPr>
          <w:rFonts w:ascii="宋体" w:hAnsi="宋体"/>
          <w:iCs/>
          <w:color w:val="auto"/>
          <w:kern w:val="0"/>
          <w:sz w:val="28"/>
          <w:szCs w:val="28"/>
        </w:rPr>
        <w:t>其他</w:t>
      </w:r>
      <w:r>
        <w:rPr>
          <w:rFonts w:hint="eastAsia" w:ascii="宋体" w:hAnsi="宋体"/>
          <w:iCs/>
          <w:color w:val="auto"/>
          <w:kern w:val="0"/>
          <w:sz w:val="28"/>
          <w:szCs w:val="28"/>
        </w:rPr>
        <w:t>……</w:t>
      </w:r>
    </w:p>
    <w:p>
      <w:pPr>
        <w:ind w:right="753"/>
        <w:jc w:val="left"/>
        <w:rPr>
          <w:rFonts w:ascii="宋体" w:hAnsi="宋体" w:cs="宋体"/>
          <w:color w:val="auto"/>
          <w:sz w:val="28"/>
          <w:szCs w:val="28"/>
        </w:rPr>
      </w:pPr>
    </w:p>
    <w:p>
      <w:pPr>
        <w:ind w:right="-21" w:firstLine="560" w:firstLineChars="200"/>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spacing w:line="560" w:lineRule="exact"/>
        <w:ind w:firstLine="420" w:firstLineChars="200"/>
        <w:jc w:val="center"/>
        <w:rPr>
          <w:rFonts w:ascii="宋体" w:hAnsi="宋体"/>
          <w:b/>
          <w:bCs/>
          <w:color w:val="auto"/>
          <w:sz w:val="28"/>
          <w:szCs w:val="28"/>
        </w:rPr>
      </w:pPr>
      <w:bookmarkStart w:id="321" w:name="_Toc27423"/>
      <w:bookmarkStart w:id="322" w:name="_Toc461525324"/>
      <w:bookmarkStart w:id="323" w:name="_Toc1582"/>
      <w:r>
        <w:rPr>
          <w:color w:val="auto"/>
        </w:rPr>
        <w:br w:type="page"/>
      </w:r>
      <w:bookmarkEnd w:id="321"/>
      <w:bookmarkEnd w:id="322"/>
      <w:bookmarkEnd w:id="323"/>
      <w:bookmarkStart w:id="324" w:name="_Toc17531"/>
      <w:bookmarkStart w:id="325" w:name="_Toc461525329"/>
      <w:bookmarkStart w:id="326" w:name="_Toc26924"/>
      <w:bookmarkStart w:id="327" w:name="_Toc24466"/>
      <w:bookmarkStart w:id="328" w:name="_Toc30157"/>
      <w:bookmarkStart w:id="329" w:name="_Toc29347"/>
      <w:bookmarkStart w:id="330" w:name="_Toc32325"/>
      <w:bookmarkStart w:id="331" w:name="_Toc18804"/>
      <w:bookmarkStart w:id="332" w:name="_Toc14714"/>
      <w:bookmarkStart w:id="333" w:name="_Toc29655"/>
      <w:bookmarkStart w:id="334" w:name="_Toc15465"/>
      <w:bookmarkStart w:id="335" w:name="_Toc15071"/>
      <w:r>
        <w:rPr>
          <w:rFonts w:hint="eastAsia" w:ascii="宋体" w:hAnsi="宋体"/>
          <w:b/>
          <w:bCs/>
          <w:color w:val="auto"/>
          <w:sz w:val="28"/>
          <w:szCs w:val="28"/>
        </w:rPr>
        <w:t>1</w:t>
      </w:r>
      <w:r>
        <w:rPr>
          <w:rFonts w:ascii="宋体" w:hAnsi="宋体"/>
          <w:b/>
          <w:bCs/>
          <w:color w:val="auto"/>
          <w:sz w:val="28"/>
          <w:szCs w:val="28"/>
        </w:rPr>
        <w:t>、</w:t>
      </w:r>
      <w:r>
        <w:rPr>
          <w:rFonts w:hint="eastAsia" w:ascii="宋体" w:hAnsi="宋体"/>
          <w:b/>
          <w:bCs/>
          <w:color w:val="auto"/>
          <w:sz w:val="28"/>
          <w:szCs w:val="28"/>
        </w:rPr>
        <w:t>诚信声明</w:t>
      </w:r>
    </w:p>
    <w:p>
      <w:pPr>
        <w:spacing w:line="560" w:lineRule="exact"/>
        <w:ind w:firstLine="420" w:firstLineChars="200"/>
        <w:rPr>
          <w:rFonts w:ascii="宋体" w:hAnsi="宋体"/>
          <w:color w:val="auto"/>
        </w:rPr>
      </w:pPr>
    </w:p>
    <w:p>
      <w:pPr>
        <w:spacing w:line="360" w:lineRule="auto"/>
        <w:ind w:firstLine="470" w:firstLineChars="196"/>
        <w:rPr>
          <w:rFonts w:ascii="宋体" w:hAnsi="宋体"/>
          <w:color w:val="auto"/>
          <w:sz w:val="24"/>
        </w:rPr>
      </w:pPr>
      <w:r>
        <w:rPr>
          <w:rFonts w:hint="eastAsia" w:ascii="宋体" w:hAnsi="宋体"/>
          <w:color w:val="auto"/>
          <w:sz w:val="24"/>
        </w:rPr>
        <w:t>本人       （法定代表人、身份证号码              ）郑重声明：</w:t>
      </w:r>
    </w:p>
    <w:p>
      <w:pPr>
        <w:spacing w:line="360" w:lineRule="auto"/>
        <w:ind w:firstLine="470" w:firstLineChars="196"/>
        <w:rPr>
          <w:rFonts w:ascii="宋体" w:hAnsi="宋体"/>
          <w:color w:val="auto"/>
          <w:sz w:val="24"/>
        </w:rPr>
      </w:pP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本企业参加</w:t>
      </w:r>
      <w:r>
        <w:rPr>
          <w:rFonts w:hint="eastAsia" w:ascii="宋体" w:hAnsi="宋体"/>
          <w:b/>
          <w:color w:val="auto"/>
          <w:sz w:val="24"/>
          <w:u w:val="single"/>
        </w:rPr>
        <w:t xml:space="preserve">                项目</w:t>
      </w:r>
      <w:r>
        <w:rPr>
          <w:rFonts w:hint="eastAsia" w:ascii="宋体" w:hAnsi="宋体"/>
          <w:color w:val="auto"/>
          <w:sz w:val="24"/>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rPr>
      </w:pP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rPr>
      </w:pPr>
      <w:r>
        <w:rPr>
          <w:rFonts w:hint="eastAsia" w:ascii="宋体" w:hAnsi="宋体"/>
          <w:color w:val="auto"/>
          <w:sz w:val="24"/>
        </w:rPr>
        <w:t>3、</w:t>
      </w:r>
      <w:r>
        <w:rPr>
          <w:rFonts w:hint="eastAsia" w:ascii="宋体" w:hAnsi="宋体"/>
          <w:color w:val="auto"/>
          <w:sz w:val="24"/>
        </w:rPr>
        <w:tab/>
      </w:r>
      <w:r>
        <w:rPr>
          <w:rFonts w:hint="eastAsia" w:ascii="宋体" w:hAnsi="宋体"/>
          <w:color w:val="auto"/>
          <w:sz w:val="24"/>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rPr>
      </w:pPr>
      <w:r>
        <w:rPr>
          <w:rFonts w:hint="eastAsia" w:ascii="宋体" w:hAnsi="宋体"/>
          <w:color w:val="auto"/>
          <w:sz w:val="24"/>
        </w:rPr>
        <w:t>4、</w:t>
      </w:r>
      <w:r>
        <w:rPr>
          <w:rFonts w:hint="eastAsia" w:ascii="宋体" w:hAnsi="宋体"/>
          <w:color w:val="auto"/>
          <w:sz w:val="24"/>
        </w:rPr>
        <w:tab/>
      </w:r>
      <w:r>
        <w:rPr>
          <w:rFonts w:hint="eastAsia" w:ascii="宋体" w:hAnsi="宋体"/>
          <w:color w:val="auto"/>
          <w:sz w:val="24"/>
        </w:rPr>
        <w:t>本企业提交的所有比选申请资料如有不实，愿接受相关部门依据有关法律法规给予的处罚。</w:t>
      </w:r>
    </w:p>
    <w:p>
      <w:pPr>
        <w:spacing w:line="360" w:lineRule="auto"/>
        <w:ind w:firstLine="470" w:firstLineChars="196"/>
        <w:rPr>
          <w:rFonts w:ascii="宋体" w:hAnsi="宋体"/>
          <w:color w:val="auto"/>
          <w:sz w:val="24"/>
        </w:rPr>
      </w:pPr>
      <w:r>
        <w:rPr>
          <w:rFonts w:hint="eastAsia" w:ascii="宋体" w:hAnsi="宋体"/>
          <w:color w:val="auto"/>
          <w:sz w:val="24"/>
        </w:rPr>
        <w:t>5、本企业提供的服务不存在知识产权或专利纠纷，保证甲方能正常使用本企业所提供的服务。</w:t>
      </w:r>
    </w:p>
    <w:p>
      <w:pPr>
        <w:spacing w:line="360" w:lineRule="auto"/>
        <w:ind w:firstLine="470" w:firstLineChars="196"/>
        <w:rPr>
          <w:rFonts w:ascii="宋体" w:hAnsi="宋体"/>
          <w:iCs/>
          <w:color w:val="auto"/>
          <w:sz w:val="24"/>
        </w:rPr>
      </w:pPr>
      <w:r>
        <w:rPr>
          <w:rFonts w:ascii="宋体" w:hAnsi="宋体"/>
          <w:iCs/>
          <w:color w:val="auto"/>
          <w:sz w:val="24"/>
        </w:rPr>
        <w:t>6、</w:t>
      </w:r>
      <w:r>
        <w:rPr>
          <w:rFonts w:hint="eastAsia" w:ascii="宋体" w:hAnsi="宋体"/>
          <w:iCs/>
          <w:color w:val="auto"/>
          <w:sz w:val="24"/>
        </w:rPr>
        <w:t>其他……</w:t>
      </w: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r>
        <w:rPr>
          <w:rFonts w:hint="eastAsia" w:ascii="宋体" w:hAnsi="宋体"/>
          <w:color w:val="auto"/>
          <w:sz w:val="24"/>
        </w:rPr>
        <w:t>（公章）</w:t>
      </w: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r>
        <w:rPr>
          <w:rFonts w:hint="eastAsia" w:ascii="宋体" w:hAnsi="宋体"/>
          <w:color w:val="auto"/>
          <w:sz w:val="24"/>
        </w:rPr>
        <w:t>法定代表人：（签字）</w:t>
      </w:r>
    </w:p>
    <w:p>
      <w:pPr>
        <w:spacing w:line="360" w:lineRule="auto"/>
        <w:ind w:firstLine="470" w:firstLineChars="196"/>
        <w:rPr>
          <w:rFonts w:ascii="宋体" w:hAnsi="宋体"/>
          <w:color w:val="auto"/>
          <w:sz w:val="24"/>
        </w:rPr>
      </w:pPr>
    </w:p>
    <w:p>
      <w:pPr>
        <w:spacing w:line="360" w:lineRule="auto"/>
        <w:ind w:firstLine="470" w:firstLineChars="196"/>
        <w:rPr>
          <w:color w:val="auto"/>
          <w:sz w:val="24"/>
        </w:rPr>
      </w:pPr>
      <w:r>
        <w:rPr>
          <w:rFonts w:hint="eastAsia" w:ascii="宋体" w:hAnsi="宋体"/>
          <w:color w:val="auto"/>
          <w:sz w:val="24"/>
        </w:rPr>
        <w:t>日期：　　年   月    日</w:t>
      </w: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bookmarkEnd w:id="324"/>
    <w:bookmarkEnd w:id="325"/>
    <w:bookmarkEnd w:id="326"/>
    <w:bookmarkEnd w:id="327"/>
    <w:bookmarkEnd w:id="328"/>
    <w:bookmarkEnd w:id="329"/>
    <w:bookmarkEnd w:id="330"/>
    <w:bookmarkEnd w:id="331"/>
    <w:bookmarkEnd w:id="332"/>
    <w:bookmarkEnd w:id="333"/>
    <w:bookmarkEnd w:id="334"/>
    <w:bookmarkEnd w:id="335"/>
    <w:p>
      <w:pPr>
        <w:spacing w:line="360" w:lineRule="auto"/>
        <w:ind w:firstLine="470" w:firstLineChars="196"/>
        <w:rPr>
          <w:color w:val="auto"/>
          <w:sz w:val="24"/>
        </w:rPr>
      </w:pPr>
    </w:p>
    <w:p>
      <w:pPr>
        <w:jc w:val="center"/>
        <w:rPr>
          <w:rFonts w:ascii="宋体" w:hAnsi="宋体"/>
          <w:b/>
          <w:color w:val="auto"/>
          <w:kern w:val="0"/>
          <w:sz w:val="30"/>
          <w:szCs w:val="30"/>
        </w:rPr>
      </w:pPr>
      <w:bookmarkStart w:id="336" w:name="_Toc19937"/>
      <w:bookmarkStart w:id="337" w:name="_Toc6606"/>
      <w:bookmarkStart w:id="338" w:name="_Toc16756"/>
      <w:bookmarkStart w:id="339" w:name="_Toc25670"/>
      <w:bookmarkStart w:id="340" w:name="_Toc32075"/>
      <w:bookmarkStart w:id="341" w:name="_Toc28436"/>
      <w:bookmarkStart w:id="342" w:name="_Toc7760"/>
      <w:bookmarkStart w:id="343" w:name="_Toc3498"/>
      <w:bookmarkStart w:id="344" w:name="_Toc750"/>
      <w:r>
        <w:rPr>
          <w:rFonts w:hint="eastAsia" w:ascii="宋体" w:hAnsi="宋体"/>
          <w:b/>
          <w:color w:val="auto"/>
          <w:kern w:val="0"/>
          <w:sz w:val="30"/>
          <w:szCs w:val="30"/>
        </w:rPr>
        <w:t>2、法定代表人资格证明书</w:t>
      </w:r>
    </w:p>
    <w:p>
      <w:pPr>
        <w:rPr>
          <w:rFonts w:ascii="宋体" w:hAnsi="宋体"/>
          <w:b/>
          <w:color w:val="auto"/>
          <w:sz w:val="36"/>
        </w:rPr>
      </w:pPr>
    </w:p>
    <w:p>
      <w:pPr>
        <w:rPr>
          <w:rFonts w:ascii="宋体" w:hAnsi="宋体"/>
          <w:b/>
          <w:color w:val="auto"/>
        </w:rPr>
      </w:pPr>
    </w:p>
    <w:p>
      <w:pPr>
        <w:spacing w:line="360" w:lineRule="auto"/>
        <w:ind w:firstLine="612"/>
        <w:rPr>
          <w:rFonts w:ascii="宋体" w:hAnsi="宋体"/>
          <w:color w:val="auto"/>
          <w:sz w:val="24"/>
        </w:rPr>
      </w:pPr>
      <w:r>
        <w:rPr>
          <w:rFonts w:hint="eastAsia" w:ascii="宋体" w:hAnsi="宋体"/>
          <w:color w:val="auto"/>
          <w:sz w:val="24"/>
        </w:rPr>
        <w:t>单位名称：</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2"/>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单位性质：</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地    址：</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成立时间：年月日</w:t>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经营期限：</w:t>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姓    名： 性别：年龄： 职务：</w:t>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（比选申请人单位名称）         </w:t>
      </w:r>
      <w:r>
        <w:rPr>
          <w:rFonts w:hint="eastAsia" w:ascii="宋体" w:hAnsi="宋体"/>
          <w:color w:val="auto"/>
          <w:sz w:val="24"/>
        </w:rPr>
        <w:t>的法定代表人。</w:t>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特此证明。</w:t>
      </w:r>
    </w:p>
    <w:p>
      <w:pPr>
        <w:tabs>
          <w:tab w:val="left" w:pos="720"/>
          <w:tab w:val="left" w:pos="900"/>
        </w:tabs>
        <w:spacing w:line="360" w:lineRule="auto"/>
        <w:rPr>
          <w:rFonts w:ascii="宋体" w:hAnsi="宋体"/>
          <w:color w:val="auto"/>
          <w:sz w:val="24"/>
        </w:rPr>
      </w:pPr>
    </w:p>
    <w:p>
      <w:pPr>
        <w:tabs>
          <w:tab w:val="left" w:pos="720"/>
          <w:tab w:val="left" w:pos="900"/>
        </w:tabs>
        <w:spacing w:line="360" w:lineRule="auto"/>
        <w:jc w:val="center"/>
        <w:rPr>
          <w:rFonts w:ascii="宋体" w:hAnsi="宋体"/>
          <w:color w:val="auto"/>
          <w:sz w:val="24"/>
        </w:rPr>
      </w:pPr>
      <w:r>
        <w:rPr>
          <w:rFonts w:hint="eastAsia" w:ascii="宋体" w:hAnsi="宋体"/>
          <w:color w:val="auto"/>
          <w:sz w:val="24"/>
        </w:rPr>
        <w:t xml:space="preserve">                           比选申请人：</w:t>
      </w:r>
      <w:r>
        <w:rPr>
          <w:rFonts w:hint="eastAsia" w:ascii="宋体" w:hAnsi="宋体"/>
          <w:color w:val="auto"/>
          <w:sz w:val="24"/>
          <w:u w:val="single"/>
        </w:rPr>
        <w:t xml:space="preserve">     （盖公章）        </w:t>
      </w:r>
    </w:p>
    <w:p>
      <w:pPr>
        <w:spacing w:line="360" w:lineRule="auto"/>
        <w:jc w:val="center"/>
        <w:rPr>
          <w:rFonts w:ascii="宋体" w:hAnsi="宋体"/>
          <w:color w:val="auto"/>
          <w:sz w:val="24"/>
        </w:rPr>
      </w:pPr>
      <w:r>
        <w:rPr>
          <w:rFonts w:hint="eastAsia" w:ascii="宋体" w:hAnsi="宋体"/>
          <w:color w:val="auto"/>
          <w:sz w:val="24"/>
        </w:rPr>
        <w:t xml:space="preserve">                                  日  期：年月日</w:t>
      </w:r>
    </w:p>
    <w:p>
      <w:pPr>
        <w:pStyle w:val="7"/>
        <w:rPr>
          <w:color w:val="auto"/>
        </w:rPr>
      </w:pPr>
      <w:r>
        <w:rPr>
          <w:rFonts w:ascii="楷体_GB2312" w:eastAsia="楷体_GB2312"/>
          <w:b/>
          <w:color w:val="auto"/>
          <w:sz w:val="24"/>
        </w:rPr>
        <w:br w:type="page"/>
      </w:r>
      <w:bookmarkEnd w:id="336"/>
      <w:bookmarkEnd w:id="337"/>
      <w:bookmarkEnd w:id="338"/>
      <w:bookmarkEnd w:id="339"/>
      <w:bookmarkEnd w:id="340"/>
      <w:bookmarkEnd w:id="341"/>
      <w:bookmarkEnd w:id="342"/>
      <w:bookmarkEnd w:id="343"/>
      <w:bookmarkEnd w:id="344"/>
      <w:bookmarkStart w:id="345" w:name="_Toc1978"/>
      <w:r>
        <w:rPr>
          <w:rFonts w:hint="eastAsia" w:ascii="楷体_GB2312" w:eastAsia="楷体_GB2312"/>
          <w:b/>
          <w:color w:val="auto"/>
          <w:sz w:val="24"/>
        </w:rPr>
        <w:t>3、</w:t>
      </w:r>
      <w:r>
        <w:rPr>
          <w:rFonts w:hint="eastAsia" w:ascii="宋体" w:hAnsi="宋体"/>
          <w:color w:val="auto"/>
          <w:szCs w:val="28"/>
        </w:rPr>
        <w:t>法定代表人身份证明文件（提供复印件加盖法人单位公章）</w:t>
      </w:r>
      <w:bookmarkEnd w:id="345"/>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utoSpaceDE w:val="0"/>
        <w:autoSpaceDN w:val="0"/>
        <w:adjustRightInd w:val="0"/>
        <w:spacing w:line="480" w:lineRule="auto"/>
        <w:jc w:val="center"/>
        <w:rPr>
          <w:rFonts w:ascii="宋体" w:hAnsi="宋体"/>
          <w:b/>
          <w:color w:val="auto"/>
          <w:kern w:val="0"/>
          <w:sz w:val="30"/>
          <w:szCs w:val="30"/>
        </w:rPr>
      </w:pPr>
      <w:r>
        <w:rPr>
          <w:rFonts w:hint="eastAsia" w:ascii="宋体" w:hAnsi="宋体"/>
          <w:b/>
          <w:color w:val="auto"/>
          <w:kern w:val="0"/>
          <w:sz w:val="30"/>
          <w:szCs w:val="30"/>
        </w:rPr>
        <w:t>4、授权委托书</w:t>
      </w:r>
    </w:p>
    <w:p>
      <w:pPr>
        <w:spacing w:line="480" w:lineRule="auto"/>
        <w:jc w:val="center"/>
        <w:rPr>
          <w:rFonts w:ascii="楷体_GB2312" w:eastAsia="楷体_GB2312"/>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本授权委托书声明：我</w:t>
      </w:r>
      <w:r>
        <w:rPr>
          <w:rFonts w:hint="eastAsia" w:ascii="宋体" w:hAnsi="宋体"/>
          <w:color w:val="auto"/>
          <w:kern w:val="0"/>
          <w:sz w:val="24"/>
          <w:u w:val="single"/>
        </w:rPr>
        <w:t xml:space="preserve">   （姓名）    </w:t>
      </w:r>
      <w:r>
        <w:rPr>
          <w:rFonts w:hint="eastAsia" w:ascii="宋体" w:hAnsi="宋体"/>
          <w:color w:val="auto"/>
          <w:kern w:val="0"/>
          <w:sz w:val="24"/>
        </w:rPr>
        <w:t>系</w:t>
      </w:r>
      <w:r>
        <w:rPr>
          <w:rFonts w:hint="eastAsia" w:ascii="宋体" w:hAnsi="宋体"/>
          <w:color w:val="auto"/>
          <w:kern w:val="0"/>
          <w:sz w:val="24"/>
          <w:u w:val="single"/>
        </w:rPr>
        <w:t>（比选申请人名称）</w:t>
      </w:r>
      <w:r>
        <w:rPr>
          <w:rFonts w:hint="eastAsia" w:ascii="宋体" w:hAnsi="宋体"/>
          <w:color w:val="auto"/>
          <w:kern w:val="0"/>
          <w:sz w:val="24"/>
        </w:rPr>
        <w:t>的法定代表人，现授权委托</w:t>
      </w:r>
      <w:r>
        <w:rPr>
          <w:rFonts w:ascii="宋体" w:hAnsi="宋体"/>
          <w:color w:val="auto"/>
          <w:kern w:val="0"/>
          <w:sz w:val="24"/>
          <w:u w:val="single"/>
        </w:rPr>
        <w:t>(</w:t>
      </w:r>
      <w:r>
        <w:rPr>
          <w:rFonts w:hint="eastAsia" w:ascii="宋体" w:hAnsi="宋体"/>
          <w:color w:val="auto"/>
          <w:kern w:val="0"/>
          <w:sz w:val="24"/>
          <w:u w:val="single"/>
        </w:rPr>
        <w:t xml:space="preserve">比选申请人名称)        </w:t>
      </w:r>
      <w:r>
        <w:rPr>
          <w:rFonts w:hint="eastAsia" w:ascii="宋体" w:hAnsi="宋体"/>
          <w:color w:val="auto"/>
          <w:kern w:val="0"/>
          <w:sz w:val="24"/>
        </w:rPr>
        <w:t>的</w:t>
      </w:r>
      <w:r>
        <w:rPr>
          <w:rFonts w:hint="eastAsia" w:ascii="宋体" w:hAnsi="宋体"/>
          <w:color w:val="auto"/>
          <w:kern w:val="0"/>
          <w:sz w:val="24"/>
          <w:u w:val="single"/>
        </w:rPr>
        <w:t xml:space="preserve">   （姓名）  </w:t>
      </w:r>
      <w:r>
        <w:rPr>
          <w:rFonts w:hint="eastAsia" w:ascii="宋体" w:hAnsi="宋体"/>
          <w:color w:val="auto"/>
          <w:kern w:val="0"/>
          <w:sz w:val="24"/>
        </w:rPr>
        <w:t>为我公司代理人，以本公司名义参加</w:t>
      </w:r>
      <w:r>
        <w:rPr>
          <w:rFonts w:ascii="宋体" w:hAnsi="宋体"/>
          <w:color w:val="auto"/>
          <w:kern w:val="0"/>
          <w:sz w:val="24"/>
          <w:u w:val="single"/>
        </w:rPr>
        <w:t xml:space="preserve">           </w:t>
      </w:r>
      <w:r>
        <w:rPr>
          <w:rFonts w:hint="eastAsia" w:ascii="宋体" w:hAnsi="宋体"/>
          <w:color w:val="auto"/>
          <w:kern w:val="0"/>
          <w:sz w:val="24"/>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代理人无转委托权。特此委托。</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代理人：</w:t>
      </w:r>
      <w:r>
        <w:rPr>
          <w:rFonts w:ascii="宋体" w:hAnsi="宋体"/>
          <w:color w:val="auto"/>
          <w:kern w:val="0"/>
          <w:sz w:val="24"/>
          <w:u w:val="single"/>
        </w:rPr>
        <w:t xml:space="preserve">     </w:t>
      </w:r>
      <w:r>
        <w:rPr>
          <w:rFonts w:hint="eastAsia" w:ascii="宋体" w:hAnsi="宋体"/>
          <w:color w:val="auto"/>
          <w:kern w:val="0"/>
          <w:sz w:val="24"/>
        </w:rPr>
        <w:t>性别：</w:t>
      </w:r>
      <w:r>
        <w:rPr>
          <w:rFonts w:ascii="宋体" w:hAnsi="宋体"/>
          <w:color w:val="auto"/>
          <w:kern w:val="0"/>
          <w:sz w:val="24"/>
          <w:u w:val="single"/>
        </w:rPr>
        <w:t xml:space="preserve">         </w:t>
      </w:r>
      <w:r>
        <w:rPr>
          <w:rFonts w:hint="eastAsia" w:ascii="宋体" w:hAnsi="宋体"/>
          <w:color w:val="auto"/>
          <w:kern w:val="0"/>
          <w:sz w:val="24"/>
        </w:rPr>
        <w:t>年龄：</w:t>
      </w:r>
      <w:r>
        <w:rPr>
          <w:rFonts w:ascii="宋体" w:hAnsi="宋体"/>
          <w:color w:val="auto"/>
          <w:kern w:val="0"/>
          <w:sz w:val="24"/>
          <w:u w:val="single"/>
        </w:rPr>
        <w:t xml:space="preserve">        </w:t>
      </w: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单位：</w:t>
      </w:r>
      <w:r>
        <w:rPr>
          <w:rFonts w:ascii="宋体" w:hAnsi="宋体"/>
          <w:color w:val="auto"/>
          <w:kern w:val="0"/>
          <w:sz w:val="24"/>
          <w:u w:val="single"/>
        </w:rPr>
        <w:t xml:space="preserve">      </w:t>
      </w:r>
      <w:r>
        <w:rPr>
          <w:rFonts w:hint="eastAsia" w:ascii="宋体" w:hAnsi="宋体"/>
          <w:color w:val="auto"/>
          <w:kern w:val="0"/>
          <w:sz w:val="24"/>
        </w:rPr>
        <w:t xml:space="preserve"> 部门：</w:t>
      </w:r>
      <w:r>
        <w:rPr>
          <w:rFonts w:ascii="宋体" w:hAnsi="宋体"/>
          <w:color w:val="auto"/>
          <w:kern w:val="0"/>
          <w:sz w:val="24"/>
          <w:u w:val="single"/>
        </w:rPr>
        <w:t xml:space="preserve">        </w:t>
      </w:r>
      <w:r>
        <w:rPr>
          <w:rFonts w:hint="eastAsia" w:ascii="宋体" w:hAnsi="宋体"/>
          <w:color w:val="auto"/>
          <w:kern w:val="0"/>
          <w:sz w:val="24"/>
        </w:rPr>
        <w:t xml:space="preserve"> 职务：</w:t>
      </w:r>
      <w:r>
        <w:rPr>
          <w:rFonts w:ascii="宋体" w:hAnsi="宋体"/>
          <w:color w:val="auto"/>
          <w:kern w:val="0"/>
          <w:sz w:val="24"/>
          <w:u w:val="single"/>
        </w:rPr>
        <w:t xml:space="preserve">       </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比选申请人：（ 加盖单位公章）</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法定代表人：（签字、盖章）</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日期：</w:t>
      </w:r>
      <w:r>
        <w:rPr>
          <w:rFonts w:ascii="宋体" w:hAnsi="宋体"/>
          <w:color w:val="auto"/>
          <w:kern w:val="0"/>
          <w:sz w:val="24"/>
          <w:u w:val="single"/>
        </w:rPr>
        <w:t xml:space="preserve">    </w:t>
      </w:r>
      <w:r>
        <w:rPr>
          <w:rFonts w:hint="eastAsia" w:ascii="宋体" w:hAnsi="宋体"/>
          <w:color w:val="auto"/>
          <w:kern w:val="0"/>
          <w:sz w:val="24"/>
        </w:rPr>
        <w:t>年</w:t>
      </w:r>
      <w:r>
        <w:rPr>
          <w:rFonts w:ascii="宋体" w:hAnsi="宋体"/>
          <w:color w:val="auto"/>
          <w:kern w:val="0"/>
          <w:sz w:val="24"/>
          <w:u w:val="single"/>
        </w:rPr>
        <w:t xml:space="preserve">     </w:t>
      </w:r>
      <w:r>
        <w:rPr>
          <w:rFonts w:hint="eastAsia" w:ascii="宋体" w:hAnsi="宋体"/>
          <w:color w:val="auto"/>
          <w:kern w:val="0"/>
          <w:sz w:val="24"/>
        </w:rPr>
        <w:t>月</w:t>
      </w:r>
      <w:r>
        <w:rPr>
          <w:rFonts w:ascii="宋体" w:hAnsi="宋体"/>
          <w:color w:val="auto"/>
          <w:kern w:val="0"/>
          <w:sz w:val="24"/>
          <w:u w:val="single"/>
        </w:rPr>
        <w:t xml:space="preserve">     </w:t>
      </w:r>
      <w:r>
        <w:rPr>
          <w:rFonts w:hint="eastAsia" w:ascii="宋体" w:hAnsi="宋体"/>
          <w:color w:val="auto"/>
          <w:kern w:val="0"/>
          <w:sz w:val="24"/>
        </w:rPr>
        <w:t>日</w:t>
      </w:r>
    </w:p>
    <w:p>
      <w:pPr>
        <w:ind w:right="753"/>
        <w:jc w:val="left"/>
        <w:rPr>
          <w:rStyle w:val="39"/>
          <w:color w:val="auto"/>
        </w:rPr>
      </w:pPr>
      <w:r>
        <w:rPr>
          <w:rFonts w:ascii="宋体" w:hAnsi="宋体"/>
          <w:color w:val="auto"/>
          <w:kern w:val="0"/>
          <w:sz w:val="24"/>
        </w:rPr>
        <w:br w:type="page"/>
      </w:r>
      <w:bookmarkStart w:id="346" w:name="_Toc29504"/>
      <w:bookmarkStart w:id="347" w:name="_Toc30136"/>
      <w:bookmarkStart w:id="348" w:name="_Toc1509"/>
      <w:bookmarkStart w:id="349" w:name="_Toc11434"/>
      <w:bookmarkStart w:id="350" w:name="_Toc2475"/>
      <w:bookmarkStart w:id="351" w:name="_Toc880"/>
      <w:bookmarkStart w:id="352" w:name="_Toc18479"/>
      <w:bookmarkStart w:id="353" w:name="_Toc26749"/>
      <w:r>
        <w:rPr>
          <w:rFonts w:hint="eastAsia" w:ascii="宋体" w:hAnsi="宋体"/>
          <w:b/>
          <w:bCs/>
          <w:color w:val="auto"/>
          <w:kern w:val="0"/>
          <w:sz w:val="24"/>
        </w:rPr>
        <w:t>5、</w:t>
      </w:r>
      <w:r>
        <w:rPr>
          <w:rFonts w:hint="eastAsia" w:ascii="宋体" w:hAnsi="宋体"/>
          <w:b/>
          <w:color w:val="auto"/>
          <w:kern w:val="0"/>
          <w:sz w:val="30"/>
          <w:szCs w:val="30"/>
        </w:rPr>
        <w:t>授权代理人身份证明文件（提供复印件加盖法人单位公章）</w:t>
      </w:r>
      <w:bookmarkEnd w:id="346"/>
      <w:bookmarkEnd w:id="347"/>
      <w:bookmarkEnd w:id="348"/>
      <w:bookmarkEnd w:id="349"/>
      <w:bookmarkEnd w:id="350"/>
      <w:bookmarkEnd w:id="351"/>
      <w:bookmarkEnd w:id="352"/>
      <w:bookmarkEnd w:id="353"/>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b/>
          <w:color w:val="auto"/>
          <w:kern w:val="0"/>
          <w:sz w:val="24"/>
        </w:rPr>
        <w:t>6、营业执照副本复印件（加盖单位公章）</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rPr>
          <w:rFonts w:ascii="宋体" w:hAnsi="宋体"/>
          <w:b/>
          <w:color w:val="auto"/>
          <w:kern w:val="0"/>
          <w:sz w:val="24"/>
        </w:rPr>
      </w:pPr>
      <w:r>
        <w:rPr>
          <w:rFonts w:hint="eastAsia" w:ascii="宋体" w:hAnsi="宋体"/>
          <w:b/>
          <w:color w:val="auto"/>
          <w:kern w:val="0"/>
          <w:sz w:val="24"/>
        </w:rPr>
        <w:t>7、税务登记证（加盖单位公章, 如已办理三证合一则不需提供）；</w:t>
      </w:r>
      <w:r>
        <w:rPr>
          <w:rFonts w:ascii="宋体" w:hAnsi="宋体"/>
          <w:b/>
          <w:color w:val="auto"/>
          <w:kern w:val="0"/>
          <w:sz w:val="24"/>
        </w:rPr>
        <w:br w:type="page"/>
      </w:r>
      <w:r>
        <w:rPr>
          <w:rFonts w:hint="eastAsia" w:ascii="宋体" w:hAnsi="宋体"/>
          <w:b/>
          <w:color w:val="auto"/>
          <w:kern w:val="0"/>
          <w:sz w:val="24"/>
        </w:rPr>
        <w:t>8、组织机构代码证复印件（加盖单位公章, 如已办理三证合一则不需提供）</w:t>
      </w:r>
    </w:p>
    <w:p>
      <w:pPr>
        <w:ind w:right="753"/>
        <w:jc w:val="left"/>
        <w:rPr>
          <w:rFonts w:ascii="宋体" w:hAnsi="宋体"/>
          <w:color w:val="auto"/>
          <w:kern w:val="0"/>
          <w:sz w:val="28"/>
          <w:szCs w:val="28"/>
        </w:rPr>
      </w:pPr>
      <w:r>
        <w:rPr>
          <w:rFonts w:ascii="宋体" w:hAnsi="宋体"/>
          <w:b/>
          <w:color w:val="auto"/>
          <w:kern w:val="0"/>
          <w:sz w:val="24"/>
        </w:rPr>
        <w:br w:type="page"/>
      </w:r>
      <w:r>
        <w:rPr>
          <w:rFonts w:ascii="宋体" w:hAnsi="宋体"/>
          <w:b/>
          <w:color w:val="auto"/>
          <w:kern w:val="0"/>
          <w:sz w:val="24"/>
          <w:highlight w:val="none"/>
        </w:rPr>
        <w:t>9.</w:t>
      </w:r>
      <w:r>
        <w:rPr>
          <w:rFonts w:ascii="宋体" w:hAnsi="宋体"/>
          <w:color w:val="auto"/>
          <w:kern w:val="0"/>
          <w:sz w:val="28"/>
          <w:szCs w:val="28"/>
          <w:highlight w:val="none"/>
        </w:rPr>
        <w:t xml:space="preserve"> </w:t>
      </w:r>
      <w:r>
        <w:rPr>
          <w:rFonts w:hint="eastAsia" w:ascii="宋体" w:hAnsi="宋体"/>
          <w:color w:val="auto"/>
          <w:kern w:val="0"/>
          <w:sz w:val="28"/>
          <w:szCs w:val="28"/>
          <w:highlight w:val="none"/>
        </w:rPr>
        <w:t>比选发起人财务出具的收款证明或银行转账回执（复印件加盖单位公章，原件备查）（如有）</w:t>
      </w: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ind w:right="753"/>
        <w:jc w:val="left"/>
        <w:rPr>
          <w:rFonts w:ascii="宋体" w:hAnsi="宋体"/>
          <w:color w:val="auto"/>
          <w:kern w:val="0"/>
          <w:sz w:val="28"/>
          <w:szCs w:val="28"/>
        </w:rPr>
      </w:pPr>
    </w:p>
    <w:p>
      <w:pPr>
        <w:widowControl/>
        <w:jc w:val="left"/>
        <w:rPr>
          <w:rFonts w:ascii="宋体" w:hAnsi="宋体"/>
          <w:color w:val="auto"/>
          <w:kern w:val="0"/>
          <w:sz w:val="28"/>
          <w:szCs w:val="28"/>
        </w:rPr>
      </w:pPr>
      <w:r>
        <w:rPr>
          <w:rFonts w:ascii="宋体" w:hAnsi="宋体"/>
          <w:color w:val="auto"/>
          <w:kern w:val="0"/>
          <w:sz w:val="28"/>
          <w:szCs w:val="28"/>
        </w:rPr>
        <w:br w:type="page"/>
      </w:r>
    </w:p>
    <w:p>
      <w:pPr>
        <w:ind w:right="753"/>
        <w:jc w:val="left"/>
        <w:rPr>
          <w:rFonts w:ascii="宋体" w:hAnsi="宋体"/>
          <w:iCs/>
          <w:color w:val="auto"/>
          <w:kern w:val="0"/>
          <w:sz w:val="28"/>
          <w:szCs w:val="28"/>
        </w:rPr>
      </w:pPr>
      <w:r>
        <w:rPr>
          <w:rFonts w:ascii="宋体" w:hAnsi="宋体"/>
          <w:iCs/>
          <w:color w:val="auto"/>
          <w:kern w:val="0"/>
          <w:sz w:val="28"/>
          <w:szCs w:val="28"/>
        </w:rPr>
        <w:t>10、其他……</w:t>
      </w:r>
    </w:p>
    <w:p>
      <w:pPr>
        <w:widowControl/>
        <w:jc w:val="left"/>
        <w:rPr>
          <w:rFonts w:ascii="宋体" w:hAnsi="宋体"/>
          <w:i/>
          <w:color w:val="auto"/>
          <w:kern w:val="0"/>
          <w:sz w:val="28"/>
          <w:szCs w:val="28"/>
        </w:rPr>
      </w:pPr>
      <w:r>
        <w:rPr>
          <w:rFonts w:ascii="宋体" w:hAnsi="宋体"/>
          <w:i/>
          <w:color w:val="auto"/>
          <w:kern w:val="0"/>
          <w:sz w:val="28"/>
          <w:szCs w:val="28"/>
        </w:rPr>
        <w:br w:type="page"/>
      </w:r>
    </w:p>
    <w:p>
      <w:pPr>
        <w:ind w:right="753"/>
        <w:jc w:val="left"/>
        <w:rPr>
          <w:rFonts w:ascii="宋体" w:hAnsi="宋体"/>
          <w:i/>
          <w:color w:val="auto"/>
          <w:kern w:val="0"/>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jc w:val="center"/>
        <w:rPr>
          <w:rFonts w:ascii="宋体" w:hAnsi="宋体" w:cs="宋体"/>
          <w:color w:val="auto"/>
          <w:szCs w:val="28"/>
        </w:rPr>
      </w:pPr>
    </w:p>
    <w:p>
      <w:pPr>
        <w:jc w:val="center"/>
        <w:rPr>
          <w:rFonts w:ascii="宋体" w:hAnsi="宋体" w:cs="宋体"/>
          <w:color w:val="auto"/>
          <w:sz w:val="28"/>
          <w:szCs w:val="28"/>
        </w:rPr>
      </w:pPr>
      <w:r>
        <w:rPr>
          <w:rFonts w:hint="eastAsia" w:ascii="宋体" w:hAnsi="宋体" w:cs="宋体"/>
          <w:color w:val="auto"/>
          <w:sz w:val="28"/>
          <w:szCs w:val="28"/>
        </w:rPr>
        <w:t xml:space="preserve"> 南宁铁路枢纽投资有限公司“十四五”战略规划及2035远景展望</w:t>
      </w:r>
    </w:p>
    <w:p>
      <w:pPr>
        <w:jc w:val="center"/>
        <w:rPr>
          <w:rFonts w:ascii="宋体" w:hAnsi="宋体" w:cs="宋体"/>
          <w:color w:val="auto"/>
          <w:szCs w:val="28"/>
        </w:rPr>
      </w:pPr>
      <w:r>
        <w:rPr>
          <w:rFonts w:hint="eastAsia" w:ascii="宋体" w:hAnsi="宋体" w:cs="宋体"/>
          <w:color w:val="auto"/>
          <w:sz w:val="28"/>
          <w:szCs w:val="28"/>
        </w:rPr>
        <w:t>咨询项目比选申请文件</w:t>
      </w:r>
    </w:p>
    <w:p>
      <w:pPr>
        <w:pStyle w:val="25"/>
        <w:jc w:val="center"/>
        <w:rPr>
          <w:b w:val="0"/>
          <w:bCs w:val="0"/>
          <w:color w:val="auto"/>
          <w:sz w:val="28"/>
          <w:szCs w:val="28"/>
        </w:rPr>
      </w:pPr>
      <w:bookmarkStart w:id="354" w:name="_Toc144"/>
      <w:bookmarkStart w:id="355" w:name="_Toc31069"/>
      <w:bookmarkStart w:id="356" w:name="_Toc18631"/>
      <w:bookmarkStart w:id="357" w:name="_Toc25575"/>
      <w:bookmarkStart w:id="358" w:name="_Toc461525334"/>
      <w:bookmarkStart w:id="359" w:name="_Toc4828"/>
      <w:bookmarkStart w:id="360" w:name="_Toc23149"/>
      <w:bookmarkStart w:id="361" w:name="_Toc124"/>
      <w:bookmarkStart w:id="362" w:name="_Toc10507"/>
      <w:bookmarkStart w:id="363" w:name="_Toc16451"/>
      <w:r>
        <w:rPr>
          <w:rFonts w:hint="eastAsia"/>
          <w:b w:val="0"/>
          <w:bCs w:val="0"/>
          <w:color w:val="auto"/>
          <w:sz w:val="28"/>
          <w:szCs w:val="28"/>
        </w:rPr>
        <w:t>技术部分</w:t>
      </w:r>
      <w:bookmarkEnd w:id="354"/>
      <w:bookmarkEnd w:id="355"/>
      <w:bookmarkEnd w:id="356"/>
      <w:bookmarkEnd w:id="357"/>
      <w:bookmarkEnd w:id="358"/>
      <w:bookmarkEnd w:id="359"/>
      <w:bookmarkEnd w:id="360"/>
      <w:bookmarkEnd w:id="361"/>
      <w:bookmarkEnd w:id="362"/>
      <w:bookmarkEnd w:id="363"/>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                             （盖章）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负责人或委托代理人：（签字或盖章）</w:t>
      </w:r>
    </w:p>
    <w:p>
      <w:pPr>
        <w:ind w:right="753"/>
        <w:jc w:val="left"/>
        <w:rPr>
          <w:rFonts w:ascii="宋体" w:hAnsi="宋体" w:cs="宋体"/>
          <w:color w:val="auto"/>
          <w:sz w:val="28"/>
          <w:szCs w:val="28"/>
        </w:rPr>
      </w:pPr>
      <w:r>
        <w:rPr>
          <w:rFonts w:hint="eastAsia" w:ascii="宋体" w:hAnsi="宋体" w:cs="宋体"/>
          <w:color w:val="auto"/>
          <w:sz w:val="28"/>
          <w:szCs w:val="28"/>
        </w:rPr>
        <w:t>电话/传真：</w:t>
      </w:r>
    </w:p>
    <w:p>
      <w:pPr>
        <w:ind w:right="753"/>
        <w:jc w:val="left"/>
        <w:rPr>
          <w:rFonts w:ascii="宋体" w:hAnsi="宋体" w:cs="宋体"/>
          <w:color w:val="auto"/>
          <w:sz w:val="28"/>
          <w:szCs w:val="28"/>
        </w:rPr>
      </w:pPr>
      <w:r>
        <w:rPr>
          <w:rFonts w:hint="eastAsia" w:ascii="宋体" w:hAnsi="宋体" w:cs="宋体"/>
          <w:color w:val="auto"/>
          <w:sz w:val="28"/>
          <w:szCs w:val="28"/>
        </w:rPr>
        <w:t>地址：</w:t>
      </w:r>
    </w:p>
    <w:p>
      <w:pPr>
        <w:ind w:right="753"/>
        <w:jc w:val="left"/>
        <w:rPr>
          <w:rFonts w:ascii="宋体" w:hAnsi="宋体" w:cs="宋体"/>
          <w:color w:val="auto"/>
          <w:sz w:val="28"/>
          <w:szCs w:val="28"/>
        </w:rPr>
      </w:pPr>
      <w:r>
        <w:rPr>
          <w:rFonts w:hint="eastAsia" w:ascii="宋体" w:hAnsi="宋体" w:cs="宋体"/>
          <w:color w:val="auto"/>
          <w:sz w:val="28"/>
          <w:szCs w:val="28"/>
        </w:rPr>
        <w:t xml:space="preserve">      年    月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6"/>
        <w:jc w:val="center"/>
        <w:rPr>
          <w:b/>
          <w:color w:val="auto"/>
        </w:rPr>
      </w:pPr>
      <w:bookmarkStart w:id="364" w:name="_Toc29536"/>
      <w:bookmarkStart w:id="365" w:name="_Toc9598"/>
      <w:bookmarkStart w:id="366" w:name="_Toc19311"/>
      <w:bookmarkStart w:id="367" w:name="_Toc21144"/>
      <w:bookmarkStart w:id="368" w:name="_Toc9379"/>
      <w:bookmarkStart w:id="369" w:name="_Toc23508"/>
      <w:bookmarkStart w:id="370" w:name="_Toc31582"/>
      <w:bookmarkStart w:id="371" w:name="_Toc471482371"/>
      <w:bookmarkStart w:id="372" w:name="_Toc31521"/>
      <w:bookmarkStart w:id="373" w:name="_Toc25210"/>
      <w:bookmarkStart w:id="374" w:name="_Toc26769"/>
      <w:bookmarkStart w:id="375" w:name="_Toc1986"/>
      <w:bookmarkStart w:id="376" w:name="_Toc27813"/>
      <w:bookmarkStart w:id="377" w:name="_Toc32510"/>
      <w:r>
        <w:rPr>
          <w:rFonts w:hint="eastAsia"/>
          <w:b/>
          <w:color w:val="auto"/>
        </w:rPr>
        <w:t>二、技术部分材料目录</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ind w:right="753"/>
        <w:jc w:val="left"/>
        <w:rPr>
          <w:rFonts w:ascii="宋体" w:hAnsi="宋体" w:cs="宋体"/>
          <w:color w:val="auto"/>
          <w:sz w:val="28"/>
          <w:szCs w:val="28"/>
        </w:rPr>
      </w:pPr>
      <w:r>
        <w:rPr>
          <w:rFonts w:hint="eastAsia" w:ascii="宋体" w:hAnsi="宋体" w:cs="宋体"/>
          <w:color w:val="auto"/>
          <w:sz w:val="28"/>
          <w:szCs w:val="28"/>
        </w:rPr>
        <w:t>1.业绩表；</w:t>
      </w:r>
    </w:p>
    <w:p>
      <w:pPr>
        <w:ind w:right="753"/>
        <w:jc w:val="left"/>
        <w:rPr>
          <w:rFonts w:ascii="宋体" w:hAnsi="宋体" w:cs="宋体"/>
          <w:color w:val="auto"/>
          <w:sz w:val="28"/>
          <w:szCs w:val="28"/>
        </w:rPr>
      </w:pPr>
      <w:r>
        <w:rPr>
          <w:rFonts w:hint="eastAsia" w:ascii="宋体" w:hAnsi="宋体" w:cs="宋体"/>
          <w:color w:val="auto"/>
          <w:sz w:val="28"/>
          <w:szCs w:val="28"/>
        </w:rPr>
        <w:t>2.项目负责人履历，包括的相关工作业绩、资历及能力；</w:t>
      </w:r>
    </w:p>
    <w:p>
      <w:pPr>
        <w:ind w:right="753"/>
        <w:jc w:val="left"/>
        <w:rPr>
          <w:rFonts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.拟投入人员配置明细表</w:t>
      </w:r>
      <w:r>
        <w:rPr>
          <w:rFonts w:hint="eastAsia" w:ascii="宋体" w:hAnsi="宋体" w:cs="宋体"/>
          <w:color w:val="auto"/>
          <w:sz w:val="28"/>
          <w:szCs w:val="28"/>
          <w:lang w:eastAsia="zh-CN"/>
        </w:rPr>
        <w:t>，</w:t>
      </w:r>
      <w:r>
        <w:rPr>
          <w:rFonts w:hint="eastAsia" w:ascii="宋体" w:hAnsi="宋体" w:cs="宋体"/>
          <w:color w:val="auto"/>
          <w:sz w:val="28"/>
          <w:szCs w:val="28"/>
        </w:rPr>
        <w:t>拟投入其他工作人员的相关工作业绩、资历及能力；</w:t>
      </w:r>
    </w:p>
    <w:p>
      <w:pPr>
        <w:ind w:right="753"/>
        <w:jc w:val="left"/>
        <w:rPr>
          <w:rFonts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.服务方案；</w:t>
      </w:r>
    </w:p>
    <w:p>
      <w:pPr>
        <w:ind w:right="753"/>
        <w:jc w:val="left"/>
        <w:rPr>
          <w:rFonts w:ascii="宋体" w:hAnsi="宋体" w:cs="宋体"/>
          <w:color w:val="auto"/>
          <w:sz w:val="28"/>
          <w:szCs w:val="28"/>
        </w:rPr>
      </w:pPr>
      <w:r>
        <w:rPr>
          <w:rFonts w:hint="default" w:ascii="宋体" w:hAnsi="宋体" w:cs="宋体"/>
          <w:color w:val="auto"/>
          <w:sz w:val="28"/>
          <w:szCs w:val="28"/>
          <w:lang w:val="en-US"/>
        </w:rPr>
        <w:t>5</w:t>
      </w:r>
      <w:r>
        <w:rPr>
          <w:rFonts w:hint="eastAsia" w:ascii="宋体" w:hAnsi="宋体" w:cs="宋体"/>
          <w:color w:val="auto"/>
          <w:sz w:val="28"/>
          <w:szCs w:val="28"/>
        </w:rPr>
        <w:t>.项目质量保证措施及增值服务；</w:t>
      </w:r>
    </w:p>
    <w:p>
      <w:pPr>
        <w:ind w:right="753"/>
        <w:jc w:val="left"/>
        <w:rPr>
          <w:rFonts w:ascii="宋体" w:hAnsi="宋体" w:cs="宋体"/>
          <w:color w:val="auto"/>
          <w:sz w:val="28"/>
          <w:szCs w:val="28"/>
        </w:rPr>
      </w:pPr>
      <w:r>
        <w:rPr>
          <w:rFonts w:hint="default" w:ascii="宋体" w:hAnsi="宋体" w:cs="宋体"/>
          <w:color w:val="auto"/>
          <w:sz w:val="28"/>
          <w:szCs w:val="28"/>
          <w:lang w:val="en-US"/>
        </w:rPr>
        <w:t>6</w:t>
      </w:r>
      <w:r>
        <w:rPr>
          <w:rFonts w:hint="eastAsia" w:ascii="宋体" w:hAnsi="宋体" w:cs="宋体"/>
          <w:color w:val="auto"/>
          <w:sz w:val="28"/>
          <w:szCs w:val="28"/>
        </w:rPr>
        <w:t>.其他……</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7"/>
        <w:rPr>
          <w:color w:val="auto"/>
        </w:rPr>
      </w:pPr>
      <w:bookmarkStart w:id="378" w:name="_Toc7527"/>
      <w:bookmarkStart w:id="379" w:name="_Toc10356"/>
      <w:bookmarkStart w:id="380" w:name="_Toc19216"/>
      <w:bookmarkStart w:id="381" w:name="_Toc25382"/>
      <w:bookmarkStart w:id="382" w:name="_Toc32624"/>
      <w:bookmarkStart w:id="383" w:name="_Toc6881"/>
      <w:bookmarkStart w:id="384" w:name="_Toc9604"/>
      <w:bookmarkStart w:id="385" w:name="_Toc24439"/>
      <w:bookmarkStart w:id="386" w:name="_Toc26878"/>
      <w:bookmarkStart w:id="387" w:name="_Toc6862"/>
      <w:bookmarkStart w:id="388" w:name="_Toc30501"/>
      <w:bookmarkStart w:id="389" w:name="_Toc461525332"/>
      <w:bookmarkStart w:id="390" w:name="_Toc31867"/>
      <w:bookmarkStart w:id="391" w:name="_Toc19445"/>
      <w:r>
        <w:rPr>
          <w:rFonts w:hint="eastAsia"/>
          <w:color w:val="auto"/>
        </w:rPr>
        <w:t>1.业绩表</w:t>
      </w:r>
      <w:bookmarkEnd w:id="378"/>
      <w:bookmarkEnd w:id="379"/>
      <w:bookmarkEnd w:id="380"/>
      <w:bookmarkEnd w:id="381"/>
      <w:bookmarkEnd w:id="382"/>
      <w:bookmarkEnd w:id="383"/>
      <w:bookmarkEnd w:id="384"/>
      <w:bookmarkEnd w:id="385"/>
      <w:bookmarkEnd w:id="386"/>
    </w:p>
    <w:tbl>
      <w:tblPr>
        <w:tblStyle w:val="26"/>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ind w:firstLine="420"/>
        <w:rPr>
          <w:rFonts w:ascii="宋体" w:hAnsi="宋体"/>
          <w:color w:val="auto"/>
          <w:sz w:val="24"/>
        </w:rPr>
      </w:pPr>
      <w:r>
        <w:rPr>
          <w:rFonts w:hint="eastAsia" w:ascii="宋体" w:hAnsi="宋体"/>
          <w:color w:val="auto"/>
          <w:sz w:val="24"/>
        </w:rPr>
        <w:t>注：1、业绩表是指   年   月  日至   年  月  日期间，对与本项目相关或相近的服务经验。</w:t>
      </w:r>
    </w:p>
    <w:p>
      <w:pPr>
        <w:ind w:firstLine="420"/>
        <w:rPr>
          <w:rFonts w:ascii="宋体" w:hAnsi="宋体"/>
          <w:color w:val="auto"/>
          <w:sz w:val="24"/>
        </w:rPr>
      </w:pPr>
      <w:r>
        <w:rPr>
          <w:rFonts w:hint="eastAsia" w:ascii="宋体" w:hAnsi="宋体"/>
          <w:color w:val="auto"/>
          <w:sz w:val="24"/>
        </w:rPr>
        <w:t>2、此表须附相应合同复印件（必须体现</w:t>
      </w:r>
      <w:r>
        <w:rPr>
          <w:rFonts w:hint="eastAsia" w:ascii="宋体" w:hAnsi="宋体" w:cs="宋体"/>
          <w:color w:val="auto"/>
          <w:kern w:val="0"/>
          <w:sz w:val="24"/>
        </w:rPr>
        <w:t>合同对方名称及签订时间，涉及商业秘密的内容可以隐去</w:t>
      </w:r>
      <w:r>
        <w:rPr>
          <w:rFonts w:hint="eastAsia" w:ascii="宋体" w:hAnsi="宋体"/>
          <w:color w:val="auto"/>
          <w:sz w:val="24"/>
        </w:rPr>
        <w:t>）</w:t>
      </w:r>
      <w:r>
        <w:rPr>
          <w:rFonts w:hint="eastAsia" w:ascii="宋体" w:hAnsi="宋体"/>
          <w:color w:val="auto"/>
          <w:sz w:val="24"/>
          <w:szCs w:val="28"/>
        </w:rPr>
        <w:t>证明材料</w:t>
      </w:r>
      <w:r>
        <w:rPr>
          <w:rFonts w:hint="eastAsia" w:ascii="宋体" w:hAnsi="宋体"/>
          <w:color w:val="auto"/>
          <w:sz w:val="24"/>
        </w:rPr>
        <w:t>。</w:t>
      </w:r>
      <w:r>
        <w:rPr>
          <w:rFonts w:hint="eastAsia" w:ascii="宋体" w:hAnsi="宋体"/>
          <w:color w:val="auto"/>
          <w:sz w:val="24"/>
          <w:szCs w:val="28"/>
        </w:rPr>
        <w:t>未附证明材料的项目视为无效。</w:t>
      </w: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.项目负责人履历，包括的相关工作业绩、资历及能力</w:t>
      </w: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pStyle w:val="7"/>
        <w:rPr>
          <w:color w:val="auto"/>
        </w:rPr>
      </w:pPr>
      <w:bookmarkStart w:id="392" w:name="_Toc469"/>
      <w:r>
        <w:rPr>
          <w:rFonts w:hint="eastAsia"/>
          <w:color w:val="auto"/>
          <w:lang w:val="en-US" w:eastAsia="zh-CN"/>
        </w:rPr>
        <w:t>3</w:t>
      </w:r>
      <w:r>
        <w:rPr>
          <w:rFonts w:hint="eastAsia"/>
          <w:color w:val="auto"/>
        </w:rPr>
        <w:t>.拟投入人员配置明细表</w:t>
      </w:r>
      <w:bookmarkEnd w:id="392"/>
    </w:p>
    <w:tbl>
      <w:tblPr>
        <w:tblStyle w:val="2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序号</w:t>
            </w:r>
          </w:p>
        </w:tc>
        <w:tc>
          <w:tcPr>
            <w:tcW w:w="993"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姓名</w:t>
            </w:r>
          </w:p>
        </w:tc>
        <w:tc>
          <w:tcPr>
            <w:tcW w:w="850"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年龄</w:t>
            </w:r>
          </w:p>
        </w:tc>
        <w:tc>
          <w:tcPr>
            <w:tcW w:w="851"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性别</w:t>
            </w:r>
          </w:p>
        </w:tc>
        <w:tc>
          <w:tcPr>
            <w:tcW w:w="992"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学历</w:t>
            </w:r>
          </w:p>
        </w:tc>
        <w:tc>
          <w:tcPr>
            <w:tcW w:w="992"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专业</w:t>
            </w:r>
          </w:p>
        </w:tc>
        <w:tc>
          <w:tcPr>
            <w:tcW w:w="1134"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资格证</w:t>
            </w:r>
          </w:p>
        </w:tc>
        <w:tc>
          <w:tcPr>
            <w:tcW w:w="709"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执业年限</w:t>
            </w:r>
          </w:p>
        </w:tc>
        <w:tc>
          <w:tcPr>
            <w:tcW w:w="2126" w:type="dxa"/>
          </w:tcPr>
          <w:p>
            <w:pPr>
              <w:pStyle w:val="3"/>
              <w:spacing w:line="400" w:lineRule="exact"/>
              <w:ind w:left="0" w:leftChars="0"/>
              <w:jc w:val="center"/>
              <w:rPr>
                <w:rFonts w:ascii="宋体" w:hAnsi="宋体"/>
                <w:color w:val="auto"/>
                <w:szCs w:val="21"/>
              </w:rPr>
            </w:pPr>
            <w:r>
              <w:rPr>
                <w:rFonts w:hint="eastAsia" w:ascii="宋体" w:hAnsi="宋体"/>
                <w:color w:val="auto"/>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3"/>
              <w:spacing w:line="400" w:lineRule="exact"/>
              <w:ind w:left="0" w:leftChars="0"/>
              <w:rPr>
                <w:rFonts w:ascii="宋体" w:hAnsi="宋体"/>
                <w:color w:val="auto"/>
                <w:szCs w:val="21"/>
              </w:rPr>
            </w:pPr>
          </w:p>
        </w:tc>
        <w:tc>
          <w:tcPr>
            <w:tcW w:w="993" w:type="dxa"/>
          </w:tcPr>
          <w:p>
            <w:pPr>
              <w:pStyle w:val="3"/>
              <w:spacing w:line="400" w:lineRule="exact"/>
              <w:ind w:left="0" w:leftChars="0"/>
              <w:rPr>
                <w:rFonts w:ascii="宋体" w:hAnsi="宋体"/>
                <w:color w:val="auto"/>
                <w:szCs w:val="21"/>
              </w:rPr>
            </w:pPr>
          </w:p>
        </w:tc>
        <w:tc>
          <w:tcPr>
            <w:tcW w:w="850" w:type="dxa"/>
          </w:tcPr>
          <w:p>
            <w:pPr>
              <w:pStyle w:val="3"/>
              <w:spacing w:line="400" w:lineRule="exact"/>
              <w:ind w:left="0" w:leftChars="0"/>
              <w:rPr>
                <w:rFonts w:ascii="宋体" w:hAnsi="宋体"/>
                <w:color w:val="auto"/>
                <w:szCs w:val="21"/>
              </w:rPr>
            </w:pPr>
          </w:p>
        </w:tc>
        <w:tc>
          <w:tcPr>
            <w:tcW w:w="851"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1134" w:type="dxa"/>
          </w:tcPr>
          <w:p>
            <w:pPr>
              <w:pStyle w:val="3"/>
              <w:spacing w:line="400" w:lineRule="exact"/>
              <w:ind w:left="0" w:leftChars="0"/>
              <w:rPr>
                <w:rFonts w:ascii="宋体" w:hAnsi="宋体"/>
                <w:color w:val="auto"/>
                <w:szCs w:val="21"/>
              </w:rPr>
            </w:pPr>
          </w:p>
        </w:tc>
        <w:tc>
          <w:tcPr>
            <w:tcW w:w="709" w:type="dxa"/>
          </w:tcPr>
          <w:p>
            <w:pPr>
              <w:pStyle w:val="3"/>
              <w:spacing w:line="400" w:lineRule="exact"/>
              <w:ind w:left="0" w:leftChars="0"/>
              <w:rPr>
                <w:rFonts w:ascii="宋体" w:hAnsi="宋体"/>
                <w:color w:val="auto"/>
                <w:szCs w:val="21"/>
              </w:rPr>
            </w:pPr>
          </w:p>
        </w:tc>
        <w:tc>
          <w:tcPr>
            <w:tcW w:w="2126" w:type="dxa"/>
          </w:tcPr>
          <w:p>
            <w:pPr>
              <w:pStyle w:val="3"/>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3"/>
              <w:spacing w:line="400" w:lineRule="exact"/>
              <w:ind w:left="0" w:leftChars="0"/>
              <w:rPr>
                <w:rFonts w:ascii="宋体" w:hAnsi="宋体"/>
                <w:color w:val="auto"/>
                <w:szCs w:val="21"/>
              </w:rPr>
            </w:pPr>
          </w:p>
        </w:tc>
        <w:tc>
          <w:tcPr>
            <w:tcW w:w="993" w:type="dxa"/>
          </w:tcPr>
          <w:p>
            <w:pPr>
              <w:pStyle w:val="3"/>
              <w:spacing w:line="400" w:lineRule="exact"/>
              <w:ind w:left="0" w:leftChars="0"/>
              <w:rPr>
                <w:rFonts w:ascii="宋体" w:hAnsi="宋体"/>
                <w:color w:val="auto"/>
                <w:szCs w:val="21"/>
              </w:rPr>
            </w:pPr>
          </w:p>
        </w:tc>
        <w:tc>
          <w:tcPr>
            <w:tcW w:w="850" w:type="dxa"/>
          </w:tcPr>
          <w:p>
            <w:pPr>
              <w:pStyle w:val="3"/>
              <w:spacing w:line="400" w:lineRule="exact"/>
              <w:ind w:left="0" w:leftChars="0"/>
              <w:rPr>
                <w:rFonts w:ascii="宋体" w:hAnsi="宋体"/>
                <w:color w:val="auto"/>
                <w:szCs w:val="21"/>
              </w:rPr>
            </w:pPr>
          </w:p>
        </w:tc>
        <w:tc>
          <w:tcPr>
            <w:tcW w:w="851"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1134" w:type="dxa"/>
          </w:tcPr>
          <w:p>
            <w:pPr>
              <w:pStyle w:val="3"/>
              <w:spacing w:line="400" w:lineRule="exact"/>
              <w:ind w:left="0" w:leftChars="0"/>
              <w:rPr>
                <w:rFonts w:ascii="宋体" w:hAnsi="宋体"/>
                <w:color w:val="auto"/>
                <w:szCs w:val="21"/>
              </w:rPr>
            </w:pPr>
          </w:p>
        </w:tc>
        <w:tc>
          <w:tcPr>
            <w:tcW w:w="709" w:type="dxa"/>
          </w:tcPr>
          <w:p>
            <w:pPr>
              <w:pStyle w:val="3"/>
              <w:spacing w:line="400" w:lineRule="exact"/>
              <w:ind w:left="0" w:leftChars="0"/>
              <w:rPr>
                <w:rFonts w:ascii="宋体" w:hAnsi="宋体"/>
                <w:color w:val="auto"/>
                <w:szCs w:val="21"/>
              </w:rPr>
            </w:pPr>
          </w:p>
        </w:tc>
        <w:tc>
          <w:tcPr>
            <w:tcW w:w="2126" w:type="dxa"/>
          </w:tcPr>
          <w:p>
            <w:pPr>
              <w:pStyle w:val="3"/>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3"/>
              <w:spacing w:line="400" w:lineRule="exact"/>
              <w:ind w:left="0" w:leftChars="0"/>
              <w:rPr>
                <w:rFonts w:ascii="宋体" w:hAnsi="宋体"/>
                <w:color w:val="auto"/>
                <w:szCs w:val="21"/>
              </w:rPr>
            </w:pPr>
          </w:p>
        </w:tc>
        <w:tc>
          <w:tcPr>
            <w:tcW w:w="993" w:type="dxa"/>
          </w:tcPr>
          <w:p>
            <w:pPr>
              <w:pStyle w:val="3"/>
              <w:spacing w:line="400" w:lineRule="exact"/>
              <w:ind w:left="0" w:leftChars="0"/>
              <w:rPr>
                <w:rFonts w:ascii="宋体" w:hAnsi="宋体"/>
                <w:color w:val="auto"/>
                <w:szCs w:val="21"/>
              </w:rPr>
            </w:pPr>
          </w:p>
        </w:tc>
        <w:tc>
          <w:tcPr>
            <w:tcW w:w="850" w:type="dxa"/>
          </w:tcPr>
          <w:p>
            <w:pPr>
              <w:pStyle w:val="3"/>
              <w:spacing w:line="400" w:lineRule="exact"/>
              <w:ind w:left="0" w:leftChars="0"/>
              <w:rPr>
                <w:rFonts w:ascii="宋体" w:hAnsi="宋体"/>
                <w:color w:val="auto"/>
                <w:szCs w:val="21"/>
              </w:rPr>
            </w:pPr>
          </w:p>
        </w:tc>
        <w:tc>
          <w:tcPr>
            <w:tcW w:w="851"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1134" w:type="dxa"/>
          </w:tcPr>
          <w:p>
            <w:pPr>
              <w:pStyle w:val="3"/>
              <w:spacing w:line="400" w:lineRule="exact"/>
              <w:ind w:left="0" w:leftChars="0"/>
              <w:rPr>
                <w:rFonts w:ascii="宋体" w:hAnsi="宋体"/>
                <w:color w:val="auto"/>
                <w:szCs w:val="21"/>
              </w:rPr>
            </w:pPr>
          </w:p>
        </w:tc>
        <w:tc>
          <w:tcPr>
            <w:tcW w:w="709" w:type="dxa"/>
          </w:tcPr>
          <w:p>
            <w:pPr>
              <w:pStyle w:val="3"/>
              <w:spacing w:line="400" w:lineRule="exact"/>
              <w:ind w:left="0" w:leftChars="0"/>
              <w:rPr>
                <w:rFonts w:ascii="宋体" w:hAnsi="宋体"/>
                <w:color w:val="auto"/>
                <w:szCs w:val="21"/>
              </w:rPr>
            </w:pPr>
          </w:p>
        </w:tc>
        <w:tc>
          <w:tcPr>
            <w:tcW w:w="2126" w:type="dxa"/>
          </w:tcPr>
          <w:p>
            <w:pPr>
              <w:pStyle w:val="3"/>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3"/>
              <w:spacing w:line="400" w:lineRule="exact"/>
              <w:ind w:left="0" w:leftChars="0"/>
              <w:rPr>
                <w:rFonts w:ascii="宋体" w:hAnsi="宋体"/>
                <w:color w:val="auto"/>
                <w:szCs w:val="21"/>
              </w:rPr>
            </w:pPr>
          </w:p>
        </w:tc>
        <w:tc>
          <w:tcPr>
            <w:tcW w:w="993" w:type="dxa"/>
          </w:tcPr>
          <w:p>
            <w:pPr>
              <w:pStyle w:val="3"/>
              <w:spacing w:line="400" w:lineRule="exact"/>
              <w:ind w:left="0" w:leftChars="0"/>
              <w:rPr>
                <w:rFonts w:ascii="宋体" w:hAnsi="宋体"/>
                <w:color w:val="auto"/>
                <w:szCs w:val="21"/>
              </w:rPr>
            </w:pPr>
          </w:p>
        </w:tc>
        <w:tc>
          <w:tcPr>
            <w:tcW w:w="850" w:type="dxa"/>
          </w:tcPr>
          <w:p>
            <w:pPr>
              <w:pStyle w:val="3"/>
              <w:spacing w:line="400" w:lineRule="exact"/>
              <w:ind w:left="0" w:leftChars="0"/>
              <w:rPr>
                <w:rFonts w:ascii="宋体" w:hAnsi="宋体"/>
                <w:color w:val="auto"/>
                <w:szCs w:val="21"/>
              </w:rPr>
            </w:pPr>
          </w:p>
        </w:tc>
        <w:tc>
          <w:tcPr>
            <w:tcW w:w="851"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1134" w:type="dxa"/>
          </w:tcPr>
          <w:p>
            <w:pPr>
              <w:pStyle w:val="3"/>
              <w:spacing w:line="400" w:lineRule="exact"/>
              <w:ind w:left="0" w:leftChars="0"/>
              <w:rPr>
                <w:rFonts w:ascii="宋体" w:hAnsi="宋体"/>
                <w:color w:val="auto"/>
                <w:szCs w:val="21"/>
              </w:rPr>
            </w:pPr>
          </w:p>
        </w:tc>
        <w:tc>
          <w:tcPr>
            <w:tcW w:w="709" w:type="dxa"/>
          </w:tcPr>
          <w:p>
            <w:pPr>
              <w:pStyle w:val="3"/>
              <w:spacing w:line="400" w:lineRule="exact"/>
              <w:ind w:left="0" w:leftChars="0"/>
              <w:rPr>
                <w:rFonts w:ascii="宋体" w:hAnsi="宋体"/>
                <w:color w:val="auto"/>
                <w:szCs w:val="21"/>
              </w:rPr>
            </w:pPr>
          </w:p>
        </w:tc>
        <w:tc>
          <w:tcPr>
            <w:tcW w:w="2126" w:type="dxa"/>
          </w:tcPr>
          <w:p>
            <w:pPr>
              <w:pStyle w:val="3"/>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3"/>
              <w:spacing w:line="400" w:lineRule="exact"/>
              <w:ind w:left="0" w:leftChars="0"/>
              <w:rPr>
                <w:rFonts w:ascii="宋体" w:hAnsi="宋体"/>
                <w:color w:val="auto"/>
                <w:szCs w:val="21"/>
              </w:rPr>
            </w:pPr>
          </w:p>
        </w:tc>
        <w:tc>
          <w:tcPr>
            <w:tcW w:w="993" w:type="dxa"/>
          </w:tcPr>
          <w:p>
            <w:pPr>
              <w:pStyle w:val="3"/>
              <w:spacing w:line="400" w:lineRule="exact"/>
              <w:ind w:left="0" w:leftChars="0"/>
              <w:rPr>
                <w:rFonts w:ascii="宋体" w:hAnsi="宋体"/>
                <w:color w:val="auto"/>
                <w:szCs w:val="21"/>
              </w:rPr>
            </w:pPr>
          </w:p>
        </w:tc>
        <w:tc>
          <w:tcPr>
            <w:tcW w:w="850" w:type="dxa"/>
          </w:tcPr>
          <w:p>
            <w:pPr>
              <w:pStyle w:val="3"/>
              <w:spacing w:line="400" w:lineRule="exact"/>
              <w:ind w:left="0" w:leftChars="0"/>
              <w:rPr>
                <w:rFonts w:ascii="宋体" w:hAnsi="宋体"/>
                <w:color w:val="auto"/>
                <w:szCs w:val="21"/>
              </w:rPr>
            </w:pPr>
          </w:p>
        </w:tc>
        <w:tc>
          <w:tcPr>
            <w:tcW w:w="851"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992" w:type="dxa"/>
          </w:tcPr>
          <w:p>
            <w:pPr>
              <w:pStyle w:val="3"/>
              <w:spacing w:line="400" w:lineRule="exact"/>
              <w:ind w:left="0" w:leftChars="0"/>
              <w:rPr>
                <w:rFonts w:ascii="宋体" w:hAnsi="宋体"/>
                <w:color w:val="auto"/>
                <w:szCs w:val="21"/>
              </w:rPr>
            </w:pPr>
          </w:p>
        </w:tc>
        <w:tc>
          <w:tcPr>
            <w:tcW w:w="1134" w:type="dxa"/>
          </w:tcPr>
          <w:p>
            <w:pPr>
              <w:pStyle w:val="3"/>
              <w:spacing w:line="400" w:lineRule="exact"/>
              <w:ind w:left="0" w:leftChars="0"/>
              <w:rPr>
                <w:rFonts w:ascii="宋体" w:hAnsi="宋体"/>
                <w:color w:val="auto"/>
                <w:szCs w:val="21"/>
              </w:rPr>
            </w:pPr>
          </w:p>
        </w:tc>
        <w:tc>
          <w:tcPr>
            <w:tcW w:w="709" w:type="dxa"/>
          </w:tcPr>
          <w:p>
            <w:pPr>
              <w:pStyle w:val="3"/>
              <w:spacing w:line="400" w:lineRule="exact"/>
              <w:ind w:left="0" w:leftChars="0"/>
              <w:rPr>
                <w:rFonts w:ascii="宋体" w:hAnsi="宋体"/>
                <w:color w:val="auto"/>
                <w:szCs w:val="21"/>
              </w:rPr>
            </w:pPr>
          </w:p>
        </w:tc>
        <w:tc>
          <w:tcPr>
            <w:tcW w:w="2126" w:type="dxa"/>
          </w:tcPr>
          <w:p>
            <w:pPr>
              <w:pStyle w:val="3"/>
              <w:spacing w:line="400" w:lineRule="exact"/>
              <w:ind w:left="0" w:leftChars="0"/>
              <w:rPr>
                <w:rFonts w:ascii="宋体" w:hAnsi="宋体"/>
                <w:color w:val="auto"/>
                <w:szCs w:val="21"/>
              </w:rPr>
            </w:pPr>
          </w:p>
        </w:tc>
      </w:tr>
    </w:tbl>
    <w:p>
      <w:pPr>
        <w:ind w:firstLine="420"/>
        <w:rPr>
          <w:rFonts w:ascii="宋体" w:hAnsi="宋体"/>
          <w:color w:val="auto"/>
          <w:sz w:val="24"/>
        </w:rPr>
      </w:pPr>
      <w:r>
        <w:rPr>
          <w:rFonts w:hint="eastAsia" w:ascii="宋体" w:hAnsi="宋体"/>
          <w:color w:val="auto"/>
          <w:sz w:val="24"/>
        </w:rPr>
        <w:t>此表须附学历复印件等证明材料。</w:t>
      </w: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color w:val="auto"/>
        </w:rPr>
      </w:pPr>
    </w:p>
    <w:p>
      <w:pPr>
        <w:rPr>
          <w:color w:val="auto"/>
        </w:rPr>
      </w:pPr>
    </w:p>
    <w:p>
      <w:pPr>
        <w:rPr>
          <w:color w:val="auto"/>
        </w:rPr>
      </w:pPr>
    </w:p>
    <w:bookmarkEnd w:id="387"/>
    <w:bookmarkEnd w:id="388"/>
    <w:bookmarkEnd w:id="389"/>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420" w:firstLineChars="150"/>
        <w:rPr>
          <w:rFonts w:ascii="宋体" w:hAnsi="宋体" w:cs="宋体"/>
          <w:color w:val="auto"/>
          <w:sz w:val="28"/>
          <w:szCs w:val="28"/>
        </w:rPr>
      </w:pPr>
    </w:p>
    <w:p>
      <w:pPr>
        <w:pStyle w:val="7"/>
        <w:rPr>
          <w:color w:val="auto"/>
        </w:rPr>
      </w:pPr>
      <w:bookmarkStart w:id="393" w:name="_Toc5051"/>
      <w:bookmarkStart w:id="394" w:name="_Toc29269"/>
      <w:bookmarkStart w:id="395" w:name="_Toc28584"/>
      <w:bookmarkStart w:id="396" w:name="_Toc17903"/>
      <w:bookmarkStart w:id="397" w:name="_Toc17896"/>
      <w:bookmarkStart w:id="398" w:name="_Toc597"/>
      <w:bookmarkStart w:id="399" w:name="_Toc8216"/>
      <w:bookmarkStart w:id="400" w:name="_Toc21725"/>
      <w:bookmarkStart w:id="401" w:name="_Toc30924"/>
      <w:r>
        <w:rPr>
          <w:rFonts w:hint="eastAsia"/>
          <w:color w:val="auto"/>
        </w:rPr>
        <w:t>4.服务方案</w:t>
      </w:r>
      <w:bookmarkEnd w:id="393"/>
      <w:bookmarkEnd w:id="394"/>
      <w:bookmarkEnd w:id="395"/>
      <w:bookmarkEnd w:id="396"/>
      <w:bookmarkEnd w:id="397"/>
      <w:bookmarkEnd w:id="398"/>
      <w:bookmarkEnd w:id="399"/>
      <w:bookmarkEnd w:id="400"/>
      <w:bookmarkEnd w:id="401"/>
    </w:p>
    <w:p>
      <w:pPr>
        <w:ind w:firstLine="420" w:firstLineChars="150"/>
        <w:rPr>
          <w:rFonts w:ascii="宋体" w:hAnsi="宋体" w:cs="宋体"/>
          <w:color w:val="auto"/>
          <w:sz w:val="28"/>
          <w:szCs w:val="28"/>
        </w:rPr>
      </w:pPr>
      <w:r>
        <w:rPr>
          <w:rFonts w:hint="eastAsia" w:ascii="宋体" w:hAnsi="宋体" w:cs="宋体"/>
          <w:color w:val="auto"/>
          <w:sz w:val="28"/>
          <w:szCs w:val="28"/>
        </w:rPr>
        <w:t>注：自拟，该服务方案将作为合同的附件。</w:t>
      </w: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项目质量保证措施及增值服务</w:t>
      </w: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widowControl/>
        <w:jc w:val="left"/>
        <w:rPr>
          <w:rFonts w:ascii="宋体" w:hAnsi="宋体" w:cs="宋体"/>
          <w:color w:val="auto"/>
          <w:sz w:val="28"/>
          <w:szCs w:val="28"/>
        </w:rPr>
      </w:pPr>
    </w:p>
    <w:p>
      <w:pPr>
        <w:ind w:firstLine="420" w:firstLineChars="150"/>
        <w:rPr>
          <w:rFonts w:ascii="宋体" w:hAnsi="宋体" w:cs="宋体"/>
          <w:iCs/>
          <w:color w:val="auto"/>
          <w:sz w:val="28"/>
          <w:szCs w:val="28"/>
        </w:rPr>
      </w:pPr>
      <w:r>
        <w:rPr>
          <w:rFonts w:ascii="宋体" w:hAnsi="宋体" w:cs="宋体"/>
          <w:iCs/>
          <w:color w:val="auto"/>
          <w:sz w:val="28"/>
          <w:szCs w:val="28"/>
        </w:rPr>
        <w:t>6.其他……</w:t>
      </w:r>
    </w:p>
    <w:p>
      <w:pPr>
        <w:widowControl/>
        <w:jc w:val="left"/>
        <w:rPr>
          <w:rFonts w:ascii="宋体" w:hAnsi="宋体" w:cs="宋体"/>
          <w:i/>
          <w:color w:val="auto"/>
          <w:sz w:val="28"/>
          <w:szCs w:val="28"/>
        </w:rPr>
      </w:pPr>
      <w:r>
        <w:rPr>
          <w:rFonts w:ascii="宋体" w:hAnsi="宋体" w:cs="宋体"/>
          <w:i/>
          <w:color w:val="auto"/>
          <w:sz w:val="28"/>
          <w:szCs w:val="28"/>
        </w:rPr>
        <w:br w:type="page"/>
      </w:r>
    </w:p>
    <w:p>
      <w:pPr>
        <w:ind w:firstLine="420" w:firstLineChars="150"/>
        <w:rPr>
          <w:rFonts w:ascii="宋体" w:hAnsi="宋体" w:cs="宋体"/>
          <w:i/>
          <w:color w:val="auto"/>
          <w:sz w:val="28"/>
          <w:szCs w:val="28"/>
        </w:rPr>
      </w:pPr>
    </w:p>
    <w:p>
      <w:pPr>
        <w:ind w:firstLine="420" w:firstLineChars="150"/>
        <w:rPr>
          <w:rFonts w:ascii="宋体" w:hAnsi="宋体" w:cs="宋体"/>
          <w:color w:val="auto"/>
          <w:sz w:val="28"/>
          <w:szCs w:val="28"/>
        </w:rPr>
      </w:pPr>
    </w:p>
    <w:p>
      <w:pPr>
        <w:ind w:right="753"/>
        <w:jc w:val="left"/>
        <w:rPr>
          <w:rFonts w:ascii="宋体" w:hAnsi="宋体" w:cs="宋体"/>
          <w:color w:val="auto"/>
          <w:sz w:val="28"/>
          <w:szCs w:val="28"/>
        </w:rPr>
      </w:pPr>
      <w:bookmarkStart w:id="402" w:name="_Toc24947"/>
      <w:bookmarkStart w:id="403" w:name="_Toc27920"/>
      <w:bookmarkStart w:id="404" w:name="_Toc9617"/>
      <w:bookmarkStart w:id="405" w:name="_Toc15155"/>
      <w:bookmarkStart w:id="406" w:name="_Toc12434"/>
      <w:bookmarkStart w:id="407" w:name="_Toc5462"/>
      <w:bookmarkStart w:id="408" w:name="_Toc26103"/>
      <w:bookmarkStart w:id="409" w:name="_Toc25435"/>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南宁铁路枢纽投资有限公司“十四五”战略规划及2035远景展望</w:t>
      </w:r>
    </w:p>
    <w:p>
      <w:pPr>
        <w:ind w:right="753"/>
        <w:jc w:val="center"/>
        <w:rPr>
          <w:rFonts w:ascii="宋体" w:hAnsi="宋体" w:cs="宋体"/>
          <w:color w:val="auto"/>
          <w:sz w:val="28"/>
          <w:szCs w:val="28"/>
        </w:rPr>
      </w:pPr>
      <w:r>
        <w:rPr>
          <w:rFonts w:hint="eastAsia" w:ascii="宋体" w:hAnsi="宋体" w:cs="宋体"/>
          <w:color w:val="auto"/>
          <w:sz w:val="28"/>
          <w:szCs w:val="28"/>
        </w:rPr>
        <w:t>咨询项目比选申请文件</w:t>
      </w:r>
    </w:p>
    <w:p>
      <w:pPr>
        <w:pStyle w:val="25"/>
        <w:jc w:val="center"/>
        <w:rPr>
          <w:color w:val="auto"/>
        </w:rPr>
      </w:pPr>
      <w:bookmarkStart w:id="410" w:name="_Toc461525327"/>
      <w:bookmarkStart w:id="411" w:name="_Toc3587"/>
      <w:bookmarkStart w:id="412" w:name="_Toc196"/>
      <w:bookmarkStart w:id="413" w:name="_Toc15573"/>
      <w:bookmarkStart w:id="414" w:name="_Toc21287"/>
      <w:bookmarkStart w:id="415" w:name="_Toc20460"/>
      <w:bookmarkStart w:id="416" w:name="_Toc27059"/>
      <w:bookmarkStart w:id="417" w:name="_Toc10925"/>
      <w:bookmarkStart w:id="418" w:name="_Toc3278"/>
      <w:r>
        <w:rPr>
          <w:b w:val="0"/>
          <w:bCs w:val="0"/>
          <w:color w:val="auto"/>
          <w:sz w:val="28"/>
          <w:szCs w:val="28"/>
        </w:rPr>
        <w:t>商务部分</w:t>
      </w:r>
      <w:bookmarkEnd w:id="410"/>
      <w:bookmarkEnd w:id="411"/>
      <w:bookmarkEnd w:id="412"/>
      <w:bookmarkEnd w:id="413"/>
      <w:bookmarkEnd w:id="414"/>
      <w:bookmarkEnd w:id="415"/>
      <w:bookmarkEnd w:id="416"/>
      <w:bookmarkEnd w:id="417"/>
      <w:bookmarkEnd w:id="418"/>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                             （盖章）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负责人或委托代理人：（签字或盖章）</w:t>
      </w:r>
    </w:p>
    <w:p>
      <w:pPr>
        <w:ind w:right="753"/>
        <w:jc w:val="left"/>
        <w:rPr>
          <w:rFonts w:ascii="宋体" w:hAnsi="宋体" w:cs="宋体"/>
          <w:color w:val="auto"/>
          <w:sz w:val="28"/>
          <w:szCs w:val="28"/>
        </w:rPr>
      </w:pPr>
      <w:r>
        <w:rPr>
          <w:rFonts w:hint="eastAsia" w:ascii="宋体" w:hAnsi="宋体" w:cs="宋体"/>
          <w:color w:val="auto"/>
          <w:sz w:val="28"/>
          <w:szCs w:val="28"/>
        </w:rPr>
        <w:t>电话/</w:t>
      </w:r>
      <w:bookmarkStart w:id="419" w:name="_Toc333307133"/>
      <w:r>
        <w:rPr>
          <w:rFonts w:hint="eastAsia" w:ascii="宋体" w:hAnsi="宋体" w:cs="宋体"/>
          <w:color w:val="auto"/>
          <w:sz w:val="28"/>
          <w:szCs w:val="28"/>
        </w:rPr>
        <w:t>传真：</w:t>
      </w:r>
    </w:p>
    <w:p>
      <w:pPr>
        <w:ind w:right="753"/>
        <w:jc w:val="left"/>
        <w:rPr>
          <w:rFonts w:ascii="宋体" w:hAnsi="宋体" w:cs="宋体"/>
          <w:color w:val="auto"/>
          <w:sz w:val="28"/>
          <w:szCs w:val="28"/>
        </w:rPr>
      </w:pPr>
      <w:r>
        <w:rPr>
          <w:rFonts w:hint="eastAsia" w:ascii="宋体" w:hAnsi="宋体" w:cs="宋体"/>
          <w:color w:val="auto"/>
          <w:sz w:val="28"/>
          <w:szCs w:val="28"/>
        </w:rPr>
        <w:t>地址：</w:t>
      </w:r>
      <w:bookmarkEnd w:id="419"/>
    </w:p>
    <w:p>
      <w:pPr>
        <w:ind w:right="753"/>
        <w:jc w:val="left"/>
        <w:rPr>
          <w:rFonts w:ascii="宋体" w:hAnsi="宋体" w:cs="宋体"/>
          <w:color w:val="auto"/>
          <w:sz w:val="28"/>
          <w:szCs w:val="28"/>
        </w:rPr>
      </w:pPr>
      <w:bookmarkStart w:id="420" w:name="_Toc333307134"/>
      <w:r>
        <w:rPr>
          <w:rFonts w:hint="eastAsia" w:ascii="宋体" w:hAnsi="宋体" w:cs="宋体"/>
          <w:color w:val="auto"/>
          <w:sz w:val="28"/>
          <w:szCs w:val="28"/>
        </w:rPr>
        <w:t xml:space="preserve">     年    </w:t>
      </w:r>
      <w:bookmarkEnd w:id="420"/>
      <w:r>
        <w:rPr>
          <w:rFonts w:hint="eastAsia" w:ascii="宋体" w:hAnsi="宋体" w:cs="宋体"/>
          <w:color w:val="auto"/>
          <w:sz w:val="28"/>
          <w:szCs w:val="28"/>
        </w:rPr>
        <w:t>月</w:t>
      </w:r>
      <w:bookmarkStart w:id="421" w:name="_Toc333307135"/>
      <w:r>
        <w:rPr>
          <w:rFonts w:hint="eastAsia" w:ascii="宋体" w:hAnsi="宋体" w:cs="宋体"/>
          <w:color w:val="auto"/>
          <w:sz w:val="28"/>
          <w:szCs w:val="28"/>
        </w:rPr>
        <w:t xml:space="preserve">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6"/>
        <w:jc w:val="center"/>
        <w:rPr>
          <w:b/>
          <w:color w:val="auto"/>
        </w:rPr>
      </w:pPr>
      <w:bookmarkStart w:id="422" w:name="_Toc24524"/>
      <w:bookmarkStart w:id="423" w:name="_Toc30879"/>
      <w:bookmarkStart w:id="424" w:name="_Toc461525328"/>
      <w:bookmarkStart w:id="425" w:name="_Toc16542"/>
      <w:bookmarkStart w:id="426" w:name="_Toc17346"/>
      <w:bookmarkStart w:id="427" w:name="_Toc471482372"/>
      <w:bookmarkStart w:id="428" w:name="_Toc24408"/>
      <w:bookmarkStart w:id="429" w:name="_Toc2010"/>
      <w:bookmarkStart w:id="430" w:name="_Toc15817"/>
      <w:bookmarkStart w:id="431" w:name="_Toc12838"/>
      <w:bookmarkStart w:id="432" w:name="_Toc5616"/>
      <w:bookmarkStart w:id="433" w:name="_Toc7127"/>
      <w:bookmarkStart w:id="434" w:name="_Toc4901"/>
      <w:bookmarkStart w:id="435" w:name="_Toc21835"/>
      <w:bookmarkStart w:id="436" w:name="_Toc297"/>
      <w:bookmarkStart w:id="437" w:name="_Toc16343"/>
      <w:bookmarkStart w:id="438" w:name="_Toc11015"/>
      <w:r>
        <w:rPr>
          <w:rFonts w:hint="eastAsia"/>
          <w:b/>
          <w:color w:val="auto"/>
        </w:rPr>
        <w:t>三、商务部分材料目录</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7"/>
        <w:rPr>
          <w:color w:val="auto"/>
        </w:rPr>
      </w:pPr>
      <w:bookmarkStart w:id="439" w:name="_Toc2012"/>
      <w:r>
        <w:rPr>
          <w:rFonts w:hint="eastAsia"/>
          <w:color w:val="auto"/>
        </w:rPr>
        <w:t>1.</w:t>
      </w:r>
      <w:bookmarkStart w:id="440" w:name="_Toc18689607"/>
      <w:bookmarkStart w:id="441" w:name="_Toc29315651"/>
      <w:r>
        <w:rPr>
          <w:color w:val="auto"/>
        </w:rPr>
        <w:t>投标函</w:t>
      </w:r>
      <w:bookmarkEnd w:id="439"/>
      <w:bookmarkEnd w:id="440"/>
      <w:bookmarkEnd w:id="441"/>
    </w:p>
    <w:p>
      <w:pPr>
        <w:jc w:val="center"/>
        <w:rPr>
          <w:b/>
          <w:color w:val="auto"/>
          <w:sz w:val="28"/>
          <w:szCs w:val="28"/>
          <w:lang w:val="zh-CN"/>
        </w:rPr>
      </w:pPr>
      <w:r>
        <w:rPr>
          <w:rFonts w:hint="eastAsia"/>
          <w:b/>
          <w:color w:val="auto"/>
          <w:sz w:val="28"/>
          <w:szCs w:val="28"/>
          <w:lang w:val="zh-CN"/>
        </w:rPr>
        <w:br w:type="textWrapping"/>
      </w:r>
      <w:r>
        <w:rPr>
          <w:rFonts w:hint="eastAsia"/>
          <w:b/>
          <w:color w:val="auto"/>
          <w:sz w:val="28"/>
          <w:szCs w:val="28"/>
          <w:lang w:val="en-US" w:eastAsia="zh-CN"/>
        </w:rPr>
        <w:t>比选申请</w:t>
      </w:r>
      <w:r>
        <w:rPr>
          <w:rFonts w:hint="eastAsia"/>
          <w:b/>
          <w:color w:val="auto"/>
          <w:sz w:val="28"/>
          <w:szCs w:val="28"/>
          <w:lang w:val="zh-CN"/>
        </w:rPr>
        <w:t>函（格式）</w:t>
      </w:r>
    </w:p>
    <w:p>
      <w:pPr>
        <w:autoSpaceDE w:val="0"/>
        <w:autoSpaceDN w:val="0"/>
        <w:adjustRightInd w:val="0"/>
        <w:spacing w:line="360" w:lineRule="auto"/>
        <w:rPr>
          <w:rFonts w:ascii="宋体" w:hAnsi="宋体"/>
          <w:color w:val="auto"/>
          <w:szCs w:val="21"/>
          <w:u w:val="single"/>
          <w:lang w:val="zh-CN"/>
        </w:rPr>
      </w:pPr>
      <w:r>
        <w:rPr>
          <w:rFonts w:hint="eastAsia" w:ascii="宋体" w:hAnsi="宋体" w:cs="宋体"/>
          <w:color w:val="auto"/>
          <w:szCs w:val="21"/>
          <w:lang w:val="zh-CN"/>
        </w:rPr>
        <w:t>致：</w:t>
      </w:r>
      <w:r>
        <w:rPr>
          <w:rFonts w:ascii="宋体" w:hAnsi="宋体" w:cs="宋体"/>
          <w:color w:val="auto"/>
          <w:szCs w:val="21"/>
          <w:u w:val="single"/>
          <w:lang w:val="zh-CN"/>
        </w:rPr>
        <w:t xml:space="preserve">    </w:t>
      </w:r>
      <w:r>
        <w:rPr>
          <w:rFonts w:hint="eastAsia" w:ascii="宋体" w:hAnsi="宋体" w:cs="宋体"/>
          <w:color w:val="auto"/>
          <w:szCs w:val="21"/>
          <w:u w:val="single"/>
        </w:rPr>
        <w:t>南宁轨道交通集团有限责任公司</w:t>
      </w:r>
      <w:r>
        <w:rPr>
          <w:rFonts w:ascii="宋体" w:hAnsi="宋体" w:cs="宋体"/>
          <w:color w:val="auto"/>
          <w:szCs w:val="21"/>
          <w:u w:val="single"/>
          <w:lang w:val="zh-CN"/>
        </w:rPr>
        <w:t xml:space="preserve">       </w:t>
      </w:r>
    </w:p>
    <w:p>
      <w:pPr>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根据贵司的</w:t>
      </w:r>
      <w:r>
        <w:rPr>
          <w:rFonts w:hint="eastAsia" w:ascii="宋体" w:hAnsi="宋体" w:cs="宋体"/>
          <w:color w:val="auto"/>
          <w:szCs w:val="21"/>
          <w:u w:val="none"/>
          <w:lang w:val="zh-CN"/>
        </w:rPr>
        <w:t>《</w:t>
      </w:r>
      <w:r>
        <w:rPr>
          <w:rFonts w:hint="eastAsia" w:ascii="宋体" w:hAnsi="宋体" w:cs="宋体"/>
          <w:color w:val="auto"/>
          <w:szCs w:val="21"/>
        </w:rPr>
        <w:t>南宁铁路枢纽投资有限公司“十四五”战略规划及2035远景展望咨询服务项目比选</w:t>
      </w:r>
      <w:r>
        <w:rPr>
          <w:rFonts w:hint="eastAsia" w:ascii="宋体" w:hAnsi="宋体" w:cs="宋体"/>
          <w:color w:val="auto"/>
          <w:szCs w:val="21"/>
          <w:lang w:val="zh-CN"/>
        </w:rPr>
        <w:t>文件》要求，</w:t>
      </w:r>
      <w:r>
        <w:rPr>
          <w:rFonts w:hint="eastAsia" w:ascii="宋体" w:hAnsi="宋体"/>
          <w:color w:val="auto"/>
          <w:szCs w:val="21"/>
        </w:rPr>
        <w:t>遵照招标投标有关法律、法规和规章的规定，经研究上述文件的比选须知、合同条款、服务需求一览表及其他有关文件后，</w:t>
      </w:r>
      <w:r>
        <w:rPr>
          <w:rFonts w:hint="eastAsia" w:ascii="宋体" w:hAnsi="宋体" w:cs="宋体"/>
          <w:color w:val="auto"/>
          <w:szCs w:val="21"/>
          <w:lang w:val="zh-CN"/>
        </w:rPr>
        <w:t>我方愿意提供本项目服务</w:t>
      </w:r>
      <w:r>
        <w:rPr>
          <w:rFonts w:ascii="宋体" w:hAnsi="宋体" w:cs="宋体"/>
          <w:color w:val="auto"/>
          <w:szCs w:val="21"/>
          <w:lang w:val="zh-CN"/>
        </w:rPr>
        <w:t>。我方的</w:t>
      </w:r>
      <w:r>
        <w:rPr>
          <w:rFonts w:hint="eastAsia" w:ascii="宋体" w:hAnsi="宋体" w:cs="宋体"/>
          <w:color w:val="auto"/>
          <w:szCs w:val="21"/>
          <w:lang w:val="zh-CN"/>
        </w:rPr>
        <w:t>服务报价</w:t>
      </w:r>
      <w:r>
        <w:rPr>
          <w:rFonts w:ascii="宋体" w:hAnsi="宋体" w:cs="宋体"/>
          <w:color w:val="auto"/>
          <w:szCs w:val="21"/>
        </w:rPr>
        <w:t>是：</w:t>
      </w:r>
      <w:r>
        <w:rPr>
          <w:rFonts w:hint="eastAsia" w:ascii="宋体" w:hAnsi="宋体" w:cs="宋体"/>
          <w:color w:val="auto"/>
          <w:szCs w:val="21"/>
          <w:lang w:val="zh-CN"/>
        </w:rPr>
        <w:t>不含税价款    元，增值税款   元，总额（价税合计）    元。</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我方严格按比选文件规定的内容承担该项目的服务任务，严格履行我方的义务并承担相应的的责任。</w:t>
      </w:r>
    </w:p>
    <w:p>
      <w:pPr>
        <w:spacing w:line="360" w:lineRule="auto"/>
        <w:ind w:firstLine="420"/>
        <w:rPr>
          <w:rFonts w:ascii="宋体" w:hAnsi="宋体"/>
          <w:color w:val="auto"/>
          <w:kern w:val="0"/>
          <w:szCs w:val="21"/>
        </w:rPr>
      </w:pPr>
      <w:r>
        <w:rPr>
          <w:rFonts w:ascii="宋体" w:hAnsi="宋体"/>
          <w:color w:val="auto"/>
          <w:kern w:val="0"/>
          <w:szCs w:val="21"/>
        </w:rPr>
        <w:t>1、我方已详细审核全部</w:t>
      </w:r>
      <w:r>
        <w:rPr>
          <w:rFonts w:hint="eastAsia" w:ascii="宋体" w:hAnsi="宋体"/>
          <w:color w:val="auto"/>
          <w:kern w:val="0"/>
          <w:szCs w:val="21"/>
        </w:rPr>
        <w:t>比选</w:t>
      </w:r>
      <w:r>
        <w:rPr>
          <w:rFonts w:ascii="宋体" w:hAnsi="宋体"/>
          <w:color w:val="auto"/>
          <w:kern w:val="0"/>
          <w:szCs w:val="21"/>
        </w:rPr>
        <w:t>文件</w:t>
      </w:r>
      <w:r>
        <w:rPr>
          <w:rFonts w:hint="eastAsia" w:ascii="宋体" w:hAnsi="宋体"/>
          <w:color w:val="auto"/>
          <w:szCs w:val="21"/>
        </w:rPr>
        <w:t>和有关附件</w:t>
      </w:r>
      <w:r>
        <w:rPr>
          <w:rFonts w:hint="eastAsia" w:ascii="宋体" w:hAnsi="宋体"/>
          <w:color w:val="auto"/>
          <w:kern w:val="0"/>
          <w:szCs w:val="21"/>
        </w:rPr>
        <w:t>。</w:t>
      </w:r>
    </w:p>
    <w:p>
      <w:pPr>
        <w:spacing w:line="360" w:lineRule="auto"/>
        <w:ind w:firstLine="420"/>
        <w:rPr>
          <w:rFonts w:ascii="宋体" w:hAnsi="宋体"/>
          <w:color w:val="auto"/>
          <w:kern w:val="0"/>
          <w:szCs w:val="21"/>
        </w:rPr>
      </w:pPr>
      <w:r>
        <w:rPr>
          <w:rFonts w:ascii="宋体" w:hAnsi="宋体"/>
          <w:color w:val="auto"/>
          <w:szCs w:val="21"/>
        </w:rPr>
        <w:t>2、</w:t>
      </w:r>
      <w:r>
        <w:rPr>
          <w:rFonts w:hint="eastAsia" w:ascii="宋体" w:hAnsi="宋体"/>
          <w:color w:val="auto"/>
          <w:szCs w:val="21"/>
        </w:rPr>
        <w:t>我方承认资格审查文件、商务文件、技术文件以及附件为我方比选申请文件的组成部分。</w:t>
      </w:r>
    </w:p>
    <w:p>
      <w:pPr>
        <w:spacing w:line="360" w:lineRule="auto"/>
        <w:ind w:firstLine="420"/>
        <w:rPr>
          <w:rFonts w:ascii="宋体" w:hAnsi="宋体"/>
          <w:color w:val="auto"/>
          <w:kern w:val="0"/>
          <w:szCs w:val="21"/>
        </w:rPr>
      </w:pPr>
      <w:r>
        <w:rPr>
          <w:rFonts w:ascii="宋体" w:hAnsi="宋体"/>
          <w:color w:val="auto"/>
          <w:kern w:val="0"/>
          <w:szCs w:val="21"/>
        </w:rPr>
        <w:t>3、一旦我方中</w:t>
      </w:r>
      <w:r>
        <w:rPr>
          <w:rFonts w:hint="eastAsia" w:ascii="宋体" w:hAnsi="宋体"/>
          <w:color w:val="auto"/>
          <w:kern w:val="0"/>
          <w:szCs w:val="21"/>
        </w:rPr>
        <w:t>选</w:t>
      </w:r>
      <w:r>
        <w:rPr>
          <w:rFonts w:ascii="宋体" w:hAnsi="宋体"/>
          <w:color w:val="auto"/>
          <w:kern w:val="0"/>
          <w:szCs w:val="21"/>
        </w:rPr>
        <w:t>，我方保证按</w:t>
      </w:r>
      <w:r>
        <w:rPr>
          <w:rFonts w:hint="eastAsia" w:ascii="宋体" w:hAnsi="宋体"/>
          <w:color w:val="auto"/>
          <w:kern w:val="0"/>
          <w:szCs w:val="21"/>
        </w:rPr>
        <w:t>比选</w:t>
      </w:r>
      <w:r>
        <w:rPr>
          <w:rFonts w:ascii="宋体" w:hAnsi="宋体"/>
          <w:color w:val="auto"/>
          <w:kern w:val="0"/>
          <w:szCs w:val="21"/>
        </w:rPr>
        <w:t>人要求的时间开展项目的服务工作，并承诺服务期限为：</w:t>
      </w:r>
      <w:r>
        <w:rPr>
          <w:rFonts w:hint="eastAsia" w:ascii="宋体" w:hAnsi="宋体"/>
          <w:color w:val="auto"/>
          <w:kern w:val="0"/>
          <w:szCs w:val="21"/>
          <w:u w:val="single"/>
        </w:rPr>
        <w:t xml:space="preserve">       </w:t>
      </w:r>
      <w:r>
        <w:rPr>
          <w:rFonts w:ascii="宋体" w:hAnsi="宋体"/>
          <w:color w:val="auto"/>
          <w:kern w:val="0"/>
          <w:szCs w:val="21"/>
        </w:rPr>
        <w:t>。</w:t>
      </w:r>
    </w:p>
    <w:p>
      <w:pPr>
        <w:spacing w:line="360" w:lineRule="auto"/>
        <w:ind w:firstLine="420"/>
        <w:rPr>
          <w:rFonts w:ascii="宋体" w:hAnsi="宋体"/>
          <w:color w:val="auto"/>
          <w:kern w:val="0"/>
          <w:szCs w:val="21"/>
        </w:rPr>
      </w:pPr>
      <w:r>
        <w:rPr>
          <w:rFonts w:ascii="宋体" w:hAnsi="宋体"/>
          <w:color w:val="auto"/>
          <w:kern w:val="0"/>
          <w:szCs w:val="21"/>
        </w:rPr>
        <w:t>4、</w:t>
      </w:r>
      <w:r>
        <w:rPr>
          <w:rFonts w:hint="eastAsia" w:ascii="宋体" w:hAnsi="宋体"/>
          <w:color w:val="auto"/>
          <w:szCs w:val="21"/>
        </w:rPr>
        <w:t>一旦中选，我方保证按照比选文件的要求，在收到中选通知书后</w:t>
      </w:r>
      <w:r>
        <w:rPr>
          <w:rFonts w:ascii="宋体" w:hAnsi="宋体"/>
          <w:color w:val="auto"/>
          <w:szCs w:val="21"/>
        </w:rPr>
        <w:t>30个日历天内与</w:t>
      </w:r>
      <w:r>
        <w:rPr>
          <w:rFonts w:hint="eastAsia" w:ascii="宋体" w:hAnsi="宋体"/>
          <w:color w:val="auto"/>
          <w:szCs w:val="21"/>
        </w:rPr>
        <w:t>比选</w:t>
      </w:r>
      <w:r>
        <w:rPr>
          <w:rFonts w:ascii="宋体" w:hAnsi="宋体"/>
          <w:color w:val="auto"/>
          <w:szCs w:val="21"/>
        </w:rPr>
        <w:t>人签订合同，接受</w:t>
      </w:r>
      <w:r>
        <w:rPr>
          <w:rFonts w:hint="eastAsia" w:ascii="宋体" w:hAnsi="宋体"/>
          <w:color w:val="auto"/>
          <w:szCs w:val="21"/>
        </w:rPr>
        <w:t>比选</w:t>
      </w:r>
      <w:r>
        <w:rPr>
          <w:rFonts w:ascii="宋体" w:hAnsi="宋体"/>
          <w:color w:val="auto"/>
          <w:szCs w:val="21"/>
        </w:rPr>
        <w:t>文件中的合同条款</w:t>
      </w:r>
      <w:r>
        <w:rPr>
          <w:rFonts w:hint="eastAsia" w:ascii="宋体" w:hAnsi="宋体"/>
          <w:color w:val="auto"/>
          <w:kern w:val="0"/>
          <w:szCs w:val="21"/>
        </w:rPr>
        <w:t>。</w:t>
      </w:r>
    </w:p>
    <w:p>
      <w:pPr>
        <w:autoSpaceDE w:val="0"/>
        <w:autoSpaceDN w:val="0"/>
        <w:spacing w:line="360" w:lineRule="auto"/>
        <w:ind w:firstLine="417" w:firstLineChars="199"/>
        <w:rPr>
          <w:rFonts w:ascii="宋体" w:hAnsi="宋体"/>
          <w:color w:val="auto"/>
          <w:szCs w:val="21"/>
        </w:rPr>
      </w:pPr>
      <w:r>
        <w:rPr>
          <w:rFonts w:ascii="宋体" w:hAnsi="宋体"/>
          <w:color w:val="auto"/>
          <w:szCs w:val="21"/>
        </w:rPr>
        <w:t>5、</w:t>
      </w:r>
      <w:r>
        <w:rPr>
          <w:rFonts w:hint="eastAsia" w:ascii="宋体" w:hAnsi="宋体"/>
          <w:color w:val="auto"/>
          <w:szCs w:val="21"/>
        </w:rPr>
        <w:t>我方同意所提交的比选申请文件在“比选须知”规定的比选有效期内有效，在此期间内如果中选，我方将受此约束。</w:t>
      </w:r>
    </w:p>
    <w:p>
      <w:pPr>
        <w:spacing w:line="360" w:lineRule="auto"/>
        <w:ind w:firstLine="420"/>
        <w:rPr>
          <w:rFonts w:ascii="宋体" w:hAnsi="宋体"/>
          <w:color w:val="auto"/>
          <w:kern w:val="0"/>
          <w:szCs w:val="21"/>
        </w:rPr>
      </w:pPr>
      <w:r>
        <w:rPr>
          <w:rFonts w:ascii="宋体" w:hAnsi="宋体"/>
          <w:color w:val="auto"/>
          <w:kern w:val="0"/>
          <w:szCs w:val="21"/>
        </w:rPr>
        <w:t>6、除非另外达成协议并生效，你方的中</w:t>
      </w:r>
      <w:r>
        <w:rPr>
          <w:rFonts w:hint="eastAsia" w:ascii="宋体" w:hAnsi="宋体"/>
          <w:color w:val="auto"/>
          <w:kern w:val="0"/>
          <w:szCs w:val="21"/>
        </w:rPr>
        <w:t>选</w:t>
      </w:r>
      <w:r>
        <w:rPr>
          <w:rFonts w:ascii="宋体" w:hAnsi="宋体"/>
          <w:color w:val="auto"/>
          <w:kern w:val="0"/>
          <w:szCs w:val="21"/>
        </w:rPr>
        <w:t>通知书和本</w:t>
      </w:r>
      <w:r>
        <w:rPr>
          <w:rFonts w:hint="eastAsia" w:ascii="宋体" w:hAnsi="宋体"/>
          <w:color w:val="auto"/>
          <w:kern w:val="0"/>
          <w:szCs w:val="21"/>
        </w:rPr>
        <w:t>比选申请</w:t>
      </w:r>
      <w:r>
        <w:rPr>
          <w:rFonts w:ascii="宋体" w:hAnsi="宋体"/>
          <w:color w:val="auto"/>
          <w:kern w:val="0"/>
          <w:szCs w:val="21"/>
        </w:rPr>
        <w:t>文件将成为约束双方的合同文件的组成部分。</w:t>
      </w:r>
    </w:p>
    <w:p>
      <w:pPr>
        <w:spacing w:before="120"/>
        <w:ind w:firstLine="420"/>
        <w:rPr>
          <w:color w:val="auto"/>
          <w:szCs w:val="21"/>
        </w:rPr>
      </w:pPr>
      <w:r>
        <w:rPr>
          <w:rFonts w:hint="eastAsia"/>
          <w:color w:val="auto"/>
          <w:szCs w:val="21"/>
          <w:lang w:val="en-US" w:eastAsia="zh-CN"/>
        </w:rPr>
        <w:t>比选申请</w:t>
      </w:r>
      <w:r>
        <w:rPr>
          <w:rFonts w:hint="eastAsia"/>
          <w:color w:val="auto"/>
          <w:szCs w:val="21"/>
        </w:rPr>
        <w:t>人：</w:t>
      </w:r>
      <w:r>
        <w:rPr>
          <w:rFonts w:hint="eastAsia"/>
          <w:color w:val="auto"/>
          <w:szCs w:val="21"/>
          <w:u w:val="single"/>
        </w:rPr>
        <w:t xml:space="preserve">                 （公章）                </w:t>
      </w:r>
    </w:p>
    <w:p>
      <w:pPr>
        <w:spacing w:before="120"/>
        <w:ind w:firstLine="420"/>
        <w:rPr>
          <w:color w:val="auto"/>
          <w:szCs w:val="21"/>
        </w:rPr>
      </w:pPr>
      <w:r>
        <w:rPr>
          <w:rFonts w:hint="eastAsia"/>
          <w:color w:val="auto"/>
          <w:szCs w:val="21"/>
        </w:rPr>
        <w:t>单位地址：</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r>
        <w:rPr>
          <w:rFonts w:hint="eastAsia"/>
          <w:color w:val="auto"/>
          <w:szCs w:val="21"/>
          <w:u w:val="single"/>
        </w:rPr>
        <w:tab/>
      </w:r>
      <w:r>
        <w:rPr>
          <w:rFonts w:hint="eastAsia"/>
          <w:color w:val="auto"/>
          <w:szCs w:val="21"/>
          <w:u w:val="single"/>
        </w:rPr>
        <w:t xml:space="preserve">                   </w:t>
      </w:r>
    </w:p>
    <w:p>
      <w:pPr>
        <w:spacing w:before="120"/>
        <w:ind w:firstLine="420"/>
        <w:rPr>
          <w:color w:val="auto"/>
          <w:szCs w:val="21"/>
        </w:rPr>
      </w:pPr>
      <w:r>
        <w:rPr>
          <w:rFonts w:hint="eastAsia"/>
          <w:color w:val="auto"/>
          <w:szCs w:val="21"/>
        </w:rPr>
        <w:t>法定代表人或其委托代理人：</w:t>
      </w:r>
      <w:r>
        <w:rPr>
          <w:rFonts w:hint="eastAsia"/>
          <w:color w:val="auto"/>
          <w:szCs w:val="21"/>
          <w:u w:val="single"/>
        </w:rPr>
        <w:t xml:space="preserve">       （签字或盖章）    </w:t>
      </w:r>
    </w:p>
    <w:p>
      <w:pPr>
        <w:spacing w:before="120"/>
        <w:ind w:firstLine="420"/>
        <w:rPr>
          <w:color w:val="auto"/>
          <w:szCs w:val="21"/>
          <w:u w:val="single"/>
        </w:rPr>
      </w:pPr>
      <w:r>
        <w:rPr>
          <w:rFonts w:hint="eastAsia"/>
          <w:color w:val="auto"/>
          <w:szCs w:val="21"/>
        </w:rPr>
        <w:t>邮政编码：</w:t>
      </w:r>
      <w:r>
        <w:rPr>
          <w:rFonts w:hint="eastAsia"/>
          <w:color w:val="auto"/>
          <w:szCs w:val="21"/>
          <w:u w:val="single"/>
        </w:rPr>
        <w:t xml:space="preserve">        </w:t>
      </w:r>
      <w:r>
        <w:rPr>
          <w:rFonts w:hint="eastAsia"/>
          <w:color w:val="auto"/>
          <w:szCs w:val="21"/>
        </w:rPr>
        <w:t>电话：</w:t>
      </w:r>
      <w:r>
        <w:rPr>
          <w:rFonts w:hint="eastAsia"/>
          <w:color w:val="auto"/>
          <w:szCs w:val="21"/>
          <w:u w:val="single"/>
        </w:rPr>
        <w:t xml:space="preserve">          </w:t>
      </w:r>
      <w:r>
        <w:rPr>
          <w:rFonts w:hint="eastAsia"/>
          <w:color w:val="auto"/>
          <w:szCs w:val="21"/>
        </w:rPr>
        <w:t>传真：</w:t>
      </w:r>
      <w:r>
        <w:rPr>
          <w:rFonts w:hint="eastAsia"/>
          <w:color w:val="auto"/>
          <w:szCs w:val="21"/>
          <w:u w:val="single"/>
        </w:rPr>
        <w:t xml:space="preserve">           </w:t>
      </w:r>
    </w:p>
    <w:p>
      <w:pPr>
        <w:spacing w:before="120"/>
        <w:ind w:firstLine="420"/>
        <w:rPr>
          <w:color w:val="auto"/>
          <w:szCs w:val="21"/>
        </w:rPr>
      </w:pPr>
      <w:r>
        <w:rPr>
          <w:rFonts w:hint="eastAsia"/>
          <w:color w:val="auto"/>
          <w:szCs w:val="21"/>
        </w:rPr>
        <w:t>开户银行名称：</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p>
    <w:p>
      <w:pPr>
        <w:spacing w:before="120"/>
        <w:ind w:firstLine="420"/>
        <w:rPr>
          <w:color w:val="auto"/>
          <w:szCs w:val="21"/>
        </w:rPr>
      </w:pPr>
      <w:r>
        <w:rPr>
          <w:rFonts w:hint="eastAsia"/>
          <w:color w:val="auto"/>
          <w:szCs w:val="21"/>
        </w:rPr>
        <w:t>开户银行账号：</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p>
    <w:p>
      <w:pPr>
        <w:spacing w:before="120"/>
        <w:ind w:firstLine="420"/>
        <w:rPr>
          <w:color w:val="auto"/>
          <w:szCs w:val="21"/>
        </w:rPr>
      </w:pPr>
      <w:r>
        <w:rPr>
          <w:rFonts w:hint="eastAsia"/>
          <w:color w:val="auto"/>
          <w:szCs w:val="21"/>
        </w:rPr>
        <w:t>开户银行地址：</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p>
    <w:p>
      <w:pPr>
        <w:spacing w:before="120"/>
        <w:ind w:firstLine="420"/>
        <w:rPr>
          <w:color w:val="auto"/>
          <w:szCs w:val="21"/>
        </w:rPr>
      </w:pPr>
      <w:r>
        <w:rPr>
          <w:rFonts w:hint="eastAsia"/>
          <w:color w:val="auto"/>
          <w:szCs w:val="21"/>
        </w:rPr>
        <w:t>开户银行电话：</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p>
    <w:p>
      <w:pPr>
        <w:spacing w:before="120"/>
        <w:ind w:firstLine="420"/>
        <w:rPr>
          <w:color w:val="auto"/>
          <w:szCs w:val="21"/>
        </w:rPr>
      </w:pPr>
      <w:r>
        <w:rPr>
          <w:rFonts w:hint="eastAsia"/>
          <w:color w:val="auto"/>
          <w:szCs w:val="21"/>
        </w:rPr>
        <w:t>日    期：</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7"/>
        <w:rPr>
          <w:color w:val="auto"/>
        </w:rPr>
      </w:pPr>
      <w:bookmarkStart w:id="442" w:name="_Toc26609"/>
      <w:bookmarkStart w:id="443" w:name="_Toc1148"/>
      <w:bookmarkStart w:id="444" w:name="_Toc29457"/>
      <w:bookmarkStart w:id="445" w:name="_Toc17958"/>
      <w:bookmarkStart w:id="446" w:name="_Toc461525330"/>
      <w:bookmarkStart w:id="447" w:name="_Toc6408"/>
      <w:bookmarkStart w:id="448" w:name="_Toc25214"/>
      <w:bookmarkStart w:id="449" w:name="_Toc9748"/>
      <w:bookmarkStart w:id="450" w:name="_Toc25896"/>
      <w:bookmarkStart w:id="451" w:name="_Toc20415"/>
      <w:bookmarkStart w:id="452" w:name="_Toc29844"/>
      <w:bookmarkStart w:id="453" w:name="_Toc3569"/>
      <w:bookmarkStart w:id="454" w:name="_Toc7616"/>
      <w:r>
        <w:rPr>
          <w:rFonts w:hint="eastAsia"/>
          <w:color w:val="auto"/>
        </w:rPr>
        <w:t>2.报价表</w:t>
      </w:r>
      <w:bookmarkEnd w:id="442"/>
      <w:bookmarkEnd w:id="443"/>
      <w:r>
        <w:rPr>
          <w:rFonts w:hint="eastAsia"/>
          <w:color w:val="auto"/>
        </w:rPr>
        <w:t>（格式）</w:t>
      </w:r>
      <w:bookmarkEnd w:id="444"/>
      <w:bookmarkEnd w:id="445"/>
      <w:bookmarkEnd w:id="446"/>
      <w:bookmarkEnd w:id="447"/>
      <w:bookmarkEnd w:id="448"/>
      <w:bookmarkEnd w:id="449"/>
      <w:bookmarkEnd w:id="450"/>
      <w:bookmarkEnd w:id="451"/>
      <w:bookmarkEnd w:id="452"/>
      <w:bookmarkEnd w:id="453"/>
      <w:bookmarkEnd w:id="454"/>
    </w:p>
    <w:tbl>
      <w:tblPr>
        <w:tblStyle w:val="26"/>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611"/>
        <w:gridCol w:w="1557"/>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序号</w:t>
            </w:r>
          </w:p>
        </w:tc>
        <w:tc>
          <w:tcPr>
            <w:tcW w:w="1611" w:type="dxa"/>
            <w:vAlign w:val="center"/>
          </w:tcPr>
          <w:p>
            <w:pPr>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项目名称</w:t>
            </w:r>
          </w:p>
        </w:tc>
        <w:tc>
          <w:tcPr>
            <w:tcW w:w="1557" w:type="dxa"/>
            <w:vAlign w:val="center"/>
          </w:tcPr>
          <w:p>
            <w:pPr>
              <w:jc w:val="center"/>
              <w:rPr>
                <w:rFonts w:ascii="宋体" w:hAnsi="宋体" w:cs="宋体"/>
                <w:color w:val="auto"/>
                <w:sz w:val="28"/>
                <w:szCs w:val="28"/>
              </w:rPr>
            </w:pPr>
            <w:r>
              <w:rPr>
                <w:rFonts w:hint="eastAsia" w:ascii="宋体" w:hAnsi="宋体" w:cs="宋体"/>
                <w:color w:val="auto"/>
                <w:sz w:val="28"/>
                <w:szCs w:val="28"/>
              </w:rPr>
              <w:t>年限</w:t>
            </w:r>
          </w:p>
        </w:tc>
        <w:tc>
          <w:tcPr>
            <w:tcW w:w="5199" w:type="dxa"/>
            <w:vAlign w:val="center"/>
          </w:tcPr>
          <w:p>
            <w:pPr>
              <w:jc w:val="center"/>
              <w:rPr>
                <w:rFonts w:ascii="宋体" w:hAnsi="宋体" w:cs="宋体"/>
                <w:color w:val="auto"/>
                <w:sz w:val="28"/>
                <w:szCs w:val="28"/>
              </w:rPr>
            </w:pPr>
            <w:r>
              <w:rPr>
                <w:rFonts w:hint="eastAsia" w:ascii="宋体" w:hAnsi="宋体" w:cs="宋体"/>
                <w:color w:val="auto"/>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6" w:hRule="atLeast"/>
        </w:trPr>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1</w:t>
            </w:r>
          </w:p>
        </w:tc>
        <w:tc>
          <w:tcPr>
            <w:tcW w:w="1611" w:type="dxa"/>
            <w:vAlign w:val="center"/>
          </w:tcPr>
          <w:p>
            <w:pPr>
              <w:jc w:val="center"/>
              <w:rPr>
                <w:rFonts w:ascii="宋体" w:hAnsi="宋体" w:cs="宋体"/>
                <w:color w:val="auto"/>
                <w:sz w:val="28"/>
                <w:szCs w:val="28"/>
              </w:rPr>
            </w:pPr>
            <w:r>
              <w:rPr>
                <w:rFonts w:hint="eastAsia" w:ascii="宋体" w:hAnsi="宋体" w:eastAsia="宋体" w:cs="宋体"/>
                <w:b w:val="0"/>
                <w:bCs w:val="0"/>
                <w:color w:val="auto"/>
                <w:kern w:val="2"/>
                <w:sz w:val="28"/>
                <w:szCs w:val="28"/>
              </w:rPr>
              <w:t>南宁铁路枢纽投资有限公司“十四五”战略规划及2035远景展望咨询服务项目</w:t>
            </w:r>
          </w:p>
        </w:tc>
        <w:tc>
          <w:tcPr>
            <w:tcW w:w="1557" w:type="dxa"/>
            <w:vAlign w:val="center"/>
          </w:tcPr>
          <w:p>
            <w:pPr>
              <w:jc w:val="center"/>
              <w:rPr>
                <w:rFonts w:ascii="宋体" w:hAnsi="宋体" w:cs="宋体"/>
                <w:color w:val="auto"/>
                <w:sz w:val="28"/>
                <w:szCs w:val="28"/>
              </w:rPr>
            </w:pPr>
            <w:r>
              <w:rPr>
                <w:rFonts w:hint="eastAsia" w:ascii="宋体" w:hAnsi="宋体" w:cs="宋体"/>
                <w:color w:val="auto"/>
                <w:sz w:val="28"/>
                <w:szCs w:val="28"/>
              </w:rPr>
              <w:t xml:space="preserve">  年</w:t>
            </w:r>
          </w:p>
        </w:tc>
        <w:tc>
          <w:tcPr>
            <w:tcW w:w="5199" w:type="dxa"/>
            <w:vAlign w:val="center"/>
          </w:tcPr>
          <w:p>
            <w:pPr>
              <w:pStyle w:val="2"/>
              <w:ind w:left="0" w:leftChars="0" w:firstLine="0" w:firstLineChars="0"/>
              <w:rPr>
                <w:color w:val="auto"/>
              </w:rPr>
            </w:pPr>
            <w:r>
              <w:rPr>
                <w:rFonts w:hint="eastAsia" w:ascii="宋体" w:hAnsi="宋体" w:eastAsia="宋体" w:cs="宋体"/>
                <w:color w:val="auto"/>
                <w:sz w:val="28"/>
                <w:szCs w:val="28"/>
                <w:lang w:val="en-US"/>
              </w:rPr>
              <w:t>不含税价款    元，增值税款   元，总额（价税合计）    元。</w:t>
            </w:r>
          </w:p>
        </w:tc>
      </w:tr>
    </w:tbl>
    <w:p>
      <w:pPr>
        <w:jc w:val="left"/>
        <w:rPr>
          <w:rFonts w:ascii="宋体" w:hAnsi="宋体" w:cs="宋体"/>
          <w:color w:val="auto"/>
          <w:sz w:val="28"/>
          <w:szCs w:val="28"/>
        </w:rPr>
      </w:pPr>
      <w:r>
        <w:rPr>
          <w:rFonts w:hint="eastAsia" w:ascii="宋体" w:hAnsi="宋体" w:cs="宋体"/>
          <w:color w:val="auto"/>
          <w:sz w:val="28"/>
          <w:szCs w:val="28"/>
        </w:rPr>
        <w:t>注：本表根据需要可扩展。未按照本比选报价表的格式及要求填写比选报价表的，将视为不满足比选文件要求，从而导致该比选申请人竞选无效。</w:t>
      </w:r>
    </w:p>
    <w:p>
      <w:pPr>
        <w:spacing w:line="360" w:lineRule="auto"/>
        <w:ind w:right="565" w:rightChars="269"/>
        <w:jc w:val="left"/>
        <w:rPr>
          <w:rFonts w:ascii="宋体" w:hAnsi="宋体" w:cs="宋体"/>
          <w:color w:val="auto"/>
          <w:sz w:val="28"/>
          <w:szCs w:val="28"/>
        </w:rPr>
      </w:pPr>
    </w:p>
    <w:p>
      <w:pPr>
        <w:spacing w:line="360" w:lineRule="auto"/>
        <w:ind w:right="565" w:rightChars="269"/>
        <w:jc w:val="left"/>
        <w:rPr>
          <w:rFonts w:ascii="宋体" w:hAnsi="宋体" w:cs="宋体"/>
          <w:color w:val="auto"/>
          <w:sz w:val="28"/>
          <w:szCs w:val="28"/>
        </w:rPr>
      </w:pPr>
      <w:r>
        <w:rPr>
          <w:rFonts w:hint="eastAsia" w:ascii="宋体" w:hAnsi="宋体" w:cs="宋体"/>
          <w:color w:val="auto"/>
          <w:sz w:val="28"/>
          <w:szCs w:val="28"/>
        </w:rPr>
        <w:t xml:space="preserve">比选申请人（公章）                                </w:t>
      </w:r>
    </w:p>
    <w:p>
      <w:pPr>
        <w:jc w:val="left"/>
        <w:rPr>
          <w:rFonts w:ascii="宋体" w:hAnsi="宋体" w:cs="宋体"/>
          <w:color w:val="auto"/>
          <w:sz w:val="28"/>
          <w:szCs w:val="28"/>
        </w:rPr>
      </w:pPr>
      <w:r>
        <w:rPr>
          <w:rFonts w:hint="eastAsia" w:ascii="宋体" w:hAnsi="宋体" w:cs="宋体"/>
          <w:color w:val="auto"/>
          <w:sz w:val="28"/>
          <w:szCs w:val="28"/>
        </w:rPr>
        <w:t xml:space="preserve">负责人或其委托代理人签名（或盖章）： </w:t>
      </w: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bookmarkEnd w:id="390"/>
    <w:bookmarkEnd w:id="391"/>
    <w:bookmarkEnd w:id="402"/>
    <w:bookmarkEnd w:id="403"/>
    <w:bookmarkEnd w:id="404"/>
    <w:bookmarkEnd w:id="405"/>
    <w:bookmarkEnd w:id="406"/>
    <w:bookmarkEnd w:id="407"/>
    <w:bookmarkEnd w:id="408"/>
    <w:bookmarkEnd w:id="409"/>
    <w:p>
      <w:pPr>
        <w:ind w:right="753"/>
        <w:jc w:val="left"/>
        <w:rPr>
          <w:rFonts w:ascii="宋体" w:hAnsi="宋体" w:cs="宋体"/>
          <w:color w:val="auto"/>
          <w:szCs w:val="28"/>
        </w:rPr>
      </w:pPr>
    </w:p>
    <w:p>
      <w:pPr>
        <w:pStyle w:val="4"/>
        <w:rPr>
          <w:color w:val="auto"/>
        </w:rPr>
      </w:pPr>
      <w:bookmarkStart w:id="455" w:name="_Toc25668"/>
      <w:bookmarkStart w:id="456" w:name="_Toc9995"/>
      <w:bookmarkStart w:id="457" w:name="_Toc30520"/>
      <w:bookmarkStart w:id="458" w:name="_Toc471482373"/>
      <w:bookmarkStart w:id="459" w:name="_Toc28065"/>
      <w:r>
        <w:rPr>
          <w:rFonts w:hint="eastAsia"/>
          <w:color w:val="auto"/>
        </w:rPr>
        <w:t>第</w:t>
      </w:r>
      <w:r>
        <w:rPr>
          <w:rFonts w:hint="eastAsia"/>
          <w:color w:val="auto"/>
          <w:lang w:val="en-US" w:eastAsia="zh-CN"/>
        </w:rPr>
        <w:t>五</w:t>
      </w:r>
      <w:r>
        <w:rPr>
          <w:rFonts w:hint="eastAsia"/>
          <w:color w:val="auto"/>
        </w:rPr>
        <w:t>章 评比办法</w:t>
      </w:r>
      <w:bookmarkEnd w:id="455"/>
      <w:bookmarkEnd w:id="456"/>
      <w:bookmarkEnd w:id="457"/>
      <w:bookmarkEnd w:id="458"/>
      <w:bookmarkEnd w:id="459"/>
    </w:p>
    <w:p>
      <w:pPr>
        <w:pStyle w:val="6"/>
        <w:spacing w:before="0" w:after="0" w:line="360" w:lineRule="auto"/>
        <w:rPr>
          <w:rFonts w:ascii="Times New Roman" w:hAnsi="Times New Roman" w:eastAsiaTheme="minorEastAsia"/>
          <w:b/>
          <w:color w:val="auto"/>
          <w:sz w:val="24"/>
          <w:szCs w:val="24"/>
        </w:rPr>
      </w:pPr>
      <w:bookmarkStart w:id="460" w:name="_Toc7462"/>
      <w:bookmarkStart w:id="461" w:name="_Toc31847"/>
      <w:bookmarkStart w:id="462" w:name="_Toc16164"/>
      <w:bookmarkStart w:id="463" w:name="_Toc3957"/>
      <w:bookmarkStart w:id="464" w:name="_Toc24984"/>
      <w:bookmarkStart w:id="465" w:name="_Toc6803"/>
      <w:bookmarkStart w:id="466" w:name="_Toc28938"/>
      <w:bookmarkStart w:id="467" w:name="_Toc10015"/>
      <w:bookmarkStart w:id="468" w:name="_Toc471482374"/>
      <w:bookmarkStart w:id="469" w:name="_Toc31412"/>
      <w:bookmarkStart w:id="470" w:name="_Toc17031"/>
      <w:bookmarkStart w:id="471" w:name="_Toc16236"/>
      <w:bookmarkStart w:id="472" w:name="_Toc2996"/>
      <w:bookmarkStart w:id="473" w:name="_Toc3898"/>
      <w:bookmarkStart w:id="474" w:name="_Toc7201"/>
      <w:bookmarkStart w:id="475" w:name="_Toc2433"/>
      <w:r>
        <w:rPr>
          <w:rFonts w:ascii="Times New Roman" w:hAnsi="Times New Roman" w:eastAsiaTheme="minorEastAsia"/>
          <w:b/>
          <w:color w:val="auto"/>
          <w:sz w:val="24"/>
          <w:szCs w:val="24"/>
        </w:rPr>
        <w:t>一、评比方法</w:t>
      </w:r>
      <w:bookmarkEnd w:id="460"/>
      <w:bookmarkEnd w:id="461"/>
      <w:bookmarkEnd w:id="462"/>
      <w:bookmarkEnd w:id="463"/>
      <w:bookmarkEnd w:id="464"/>
      <w:bookmarkEnd w:id="465"/>
    </w:p>
    <w:p>
      <w:pPr>
        <w:spacing w:line="360" w:lineRule="auto"/>
        <w:ind w:right="5" w:firstLine="480" w:firstLineChars="200"/>
        <w:jc w:val="left"/>
        <w:rPr>
          <w:rFonts w:eastAsiaTheme="minorEastAsia"/>
          <w:color w:val="auto"/>
          <w:sz w:val="24"/>
        </w:rPr>
      </w:pPr>
      <w:r>
        <w:rPr>
          <w:rFonts w:eastAsiaTheme="minorEastAsia"/>
          <w:color w:val="auto"/>
          <w:sz w:val="24"/>
        </w:rPr>
        <w:t>本次评比采取综合评分法。</w:t>
      </w:r>
    </w:p>
    <w:p>
      <w:pPr>
        <w:spacing w:line="360" w:lineRule="auto"/>
        <w:ind w:right="-21" w:firstLine="480" w:firstLineChars="200"/>
        <w:jc w:val="left"/>
        <w:rPr>
          <w:rFonts w:eastAsiaTheme="minorEastAsia"/>
          <w:color w:val="auto"/>
          <w:sz w:val="24"/>
        </w:rPr>
      </w:pPr>
      <w:r>
        <w:rPr>
          <w:rFonts w:eastAsiaTheme="minorEastAsia"/>
          <w:color w:val="auto"/>
          <w:sz w:val="24"/>
        </w:rPr>
        <w:t>1.评比委员会</w:t>
      </w:r>
    </w:p>
    <w:p>
      <w:pPr>
        <w:spacing w:line="360" w:lineRule="auto"/>
        <w:ind w:right="-21" w:firstLine="480" w:firstLineChars="200"/>
        <w:jc w:val="left"/>
        <w:rPr>
          <w:rFonts w:eastAsiaTheme="minorEastAsia"/>
          <w:color w:val="auto"/>
          <w:sz w:val="24"/>
        </w:rPr>
      </w:pPr>
      <w:r>
        <w:rPr>
          <w:rFonts w:eastAsiaTheme="minorEastAsia"/>
          <w:color w:val="auto"/>
          <w:sz w:val="24"/>
        </w:rPr>
        <w:t>1.1本项目的评比委员会由</w:t>
      </w:r>
      <w:r>
        <w:rPr>
          <w:rFonts w:hint="eastAsia" w:eastAsiaTheme="minorEastAsia"/>
          <w:color w:val="auto"/>
          <w:sz w:val="24"/>
        </w:rPr>
        <w:t>3</w:t>
      </w:r>
      <w:r>
        <w:rPr>
          <w:rFonts w:eastAsiaTheme="minorEastAsia"/>
          <w:color w:val="auto"/>
          <w:sz w:val="24"/>
        </w:rPr>
        <w:t>名</w:t>
      </w:r>
      <w:r>
        <w:rPr>
          <w:rFonts w:hint="eastAsia" w:eastAsiaTheme="minorEastAsia"/>
          <w:color w:val="auto"/>
          <w:sz w:val="24"/>
        </w:rPr>
        <w:t>或以上人员</w:t>
      </w:r>
      <w:r>
        <w:rPr>
          <w:rFonts w:eastAsiaTheme="minorEastAsia"/>
          <w:color w:val="auto"/>
          <w:sz w:val="24"/>
        </w:rPr>
        <w:t>组成。</w:t>
      </w:r>
    </w:p>
    <w:p>
      <w:pPr>
        <w:spacing w:line="360" w:lineRule="auto"/>
        <w:ind w:right="-21" w:firstLine="480" w:firstLineChars="200"/>
        <w:jc w:val="left"/>
        <w:rPr>
          <w:rFonts w:eastAsiaTheme="minorEastAsia"/>
          <w:color w:val="auto"/>
          <w:sz w:val="24"/>
        </w:rPr>
      </w:pPr>
      <w:r>
        <w:rPr>
          <w:rFonts w:eastAsiaTheme="minorEastAsia"/>
          <w:color w:val="auto"/>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color w:val="auto"/>
          <w:sz w:val="24"/>
        </w:rPr>
      </w:pPr>
      <w:r>
        <w:rPr>
          <w:rFonts w:eastAsiaTheme="minorEastAsia"/>
          <w:color w:val="auto"/>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color w:val="auto"/>
          <w:sz w:val="24"/>
        </w:rPr>
      </w:pPr>
      <w:r>
        <w:rPr>
          <w:rFonts w:eastAsiaTheme="minorEastAsia"/>
          <w:color w:val="auto"/>
          <w:sz w:val="24"/>
        </w:rPr>
        <w:t>1.4严禁任何单位或个人以任何形式操纵、干预评比过程和评比结果。</w:t>
      </w:r>
    </w:p>
    <w:p>
      <w:pPr>
        <w:spacing w:line="360" w:lineRule="auto"/>
        <w:ind w:right="753" w:firstLine="480" w:firstLineChars="200"/>
        <w:jc w:val="left"/>
        <w:rPr>
          <w:rFonts w:eastAsiaTheme="minorEastAsia"/>
          <w:color w:val="auto"/>
          <w:sz w:val="24"/>
        </w:rPr>
      </w:pPr>
      <w:r>
        <w:rPr>
          <w:rFonts w:eastAsiaTheme="minorEastAsia"/>
          <w:color w:val="auto"/>
          <w:sz w:val="24"/>
        </w:rPr>
        <w:t>2.评比</w:t>
      </w:r>
    </w:p>
    <w:p>
      <w:pPr>
        <w:spacing w:line="360" w:lineRule="auto"/>
        <w:ind w:right="-21" w:firstLine="480" w:firstLineChars="200"/>
        <w:jc w:val="left"/>
        <w:rPr>
          <w:rFonts w:eastAsiaTheme="minorEastAsia"/>
          <w:color w:val="auto"/>
          <w:sz w:val="24"/>
        </w:rPr>
      </w:pPr>
      <w:r>
        <w:rPr>
          <w:rFonts w:eastAsiaTheme="minorEastAsia"/>
          <w:color w:val="auto"/>
          <w:sz w:val="24"/>
        </w:rPr>
        <w:t>2.2评比程序</w:t>
      </w:r>
    </w:p>
    <w:p>
      <w:pPr>
        <w:spacing w:line="360" w:lineRule="auto"/>
        <w:ind w:right="-21" w:firstLine="480" w:firstLineChars="200"/>
        <w:jc w:val="left"/>
        <w:rPr>
          <w:rFonts w:eastAsiaTheme="minorEastAsia"/>
          <w:color w:val="auto"/>
          <w:sz w:val="24"/>
        </w:rPr>
      </w:pPr>
      <w:r>
        <w:rPr>
          <w:rFonts w:eastAsiaTheme="minorEastAsia"/>
          <w:color w:val="auto"/>
          <w:sz w:val="24"/>
        </w:rPr>
        <w:t>2.2.1比选申请人</w:t>
      </w:r>
      <w:r>
        <w:rPr>
          <w:rFonts w:hint="eastAsia" w:eastAsiaTheme="minorEastAsia"/>
          <w:color w:val="auto"/>
          <w:sz w:val="24"/>
        </w:rPr>
        <w:t>送达比选申请文件后即可离去</w:t>
      </w:r>
      <w:r>
        <w:rPr>
          <w:rFonts w:eastAsiaTheme="minorEastAsia"/>
          <w:color w:val="auto"/>
          <w:sz w:val="24"/>
        </w:rPr>
        <w:t>。</w:t>
      </w:r>
    </w:p>
    <w:p>
      <w:pPr>
        <w:spacing w:line="360" w:lineRule="auto"/>
        <w:ind w:right="-21" w:firstLine="480" w:firstLineChars="200"/>
        <w:jc w:val="left"/>
        <w:rPr>
          <w:rFonts w:eastAsiaTheme="minorEastAsia"/>
          <w:color w:val="auto"/>
          <w:sz w:val="24"/>
        </w:rPr>
      </w:pPr>
      <w:r>
        <w:rPr>
          <w:rFonts w:eastAsiaTheme="minorEastAsia"/>
          <w:color w:val="auto"/>
          <w:sz w:val="24"/>
        </w:rPr>
        <w:t>2.2.2评比委员会确认文件是否</w:t>
      </w:r>
      <w:r>
        <w:rPr>
          <w:rFonts w:hint="eastAsia" w:eastAsiaTheme="minorEastAsia"/>
          <w:color w:val="auto"/>
          <w:sz w:val="24"/>
        </w:rPr>
        <w:t>按规定</w:t>
      </w:r>
      <w:r>
        <w:rPr>
          <w:rFonts w:eastAsiaTheme="minorEastAsia"/>
          <w:color w:val="auto"/>
          <w:sz w:val="24"/>
        </w:rPr>
        <w:t>密封</w:t>
      </w:r>
      <w:r>
        <w:rPr>
          <w:rFonts w:hint="eastAsia" w:eastAsiaTheme="minorEastAsia"/>
          <w:color w:val="auto"/>
          <w:sz w:val="24"/>
        </w:rPr>
        <w:t>。</w:t>
      </w:r>
    </w:p>
    <w:p>
      <w:pPr>
        <w:spacing w:line="360" w:lineRule="auto"/>
        <w:ind w:right="-21" w:firstLine="480" w:firstLineChars="200"/>
        <w:jc w:val="left"/>
        <w:rPr>
          <w:rFonts w:eastAsiaTheme="minorEastAsia"/>
          <w:color w:val="auto"/>
          <w:sz w:val="24"/>
        </w:rPr>
      </w:pPr>
      <w:r>
        <w:rPr>
          <w:rFonts w:eastAsiaTheme="minorEastAsia"/>
          <w:color w:val="auto"/>
          <w:sz w:val="24"/>
        </w:rPr>
        <w:t>2.2.3评比委员会对比选申请文件进行报价部分、资信</w:t>
      </w:r>
      <w:r>
        <w:rPr>
          <w:rFonts w:hint="eastAsia" w:eastAsiaTheme="minorEastAsia"/>
          <w:color w:val="auto"/>
          <w:sz w:val="24"/>
        </w:rPr>
        <w:t>部分</w:t>
      </w:r>
      <w:r>
        <w:rPr>
          <w:rFonts w:eastAsiaTheme="minorEastAsia"/>
          <w:color w:val="auto"/>
          <w:sz w:val="24"/>
        </w:rPr>
        <w:t>和技术部分评审。</w:t>
      </w:r>
    </w:p>
    <w:p>
      <w:pPr>
        <w:spacing w:line="360" w:lineRule="auto"/>
        <w:ind w:right="-21" w:firstLine="480" w:firstLineChars="200"/>
        <w:jc w:val="left"/>
        <w:rPr>
          <w:rFonts w:eastAsiaTheme="minorEastAsia"/>
          <w:color w:val="auto"/>
          <w:sz w:val="24"/>
        </w:rPr>
      </w:pPr>
      <w:r>
        <w:rPr>
          <w:rFonts w:eastAsiaTheme="minorEastAsia"/>
          <w:color w:val="auto"/>
          <w:sz w:val="24"/>
        </w:rPr>
        <w:t>2.2.</w:t>
      </w:r>
      <w:r>
        <w:rPr>
          <w:rFonts w:hint="eastAsia" w:eastAsiaTheme="minorEastAsia"/>
          <w:color w:val="auto"/>
          <w:sz w:val="24"/>
        </w:rPr>
        <w:t>4</w:t>
      </w:r>
      <w:r>
        <w:rPr>
          <w:rFonts w:eastAsiaTheme="minorEastAsia"/>
          <w:color w:val="auto"/>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color w:val="auto"/>
          <w:sz w:val="24"/>
        </w:rPr>
      </w:pPr>
      <w:r>
        <w:rPr>
          <w:rFonts w:eastAsiaTheme="minorEastAsia"/>
          <w:color w:val="auto"/>
          <w:sz w:val="24"/>
        </w:rPr>
        <w:t>2.2.</w:t>
      </w:r>
      <w:r>
        <w:rPr>
          <w:rFonts w:hint="eastAsia" w:eastAsiaTheme="minorEastAsia"/>
          <w:color w:val="auto"/>
          <w:sz w:val="24"/>
        </w:rPr>
        <w:t>5</w:t>
      </w:r>
      <w:r>
        <w:rPr>
          <w:rFonts w:hint="eastAsia"/>
          <w:b/>
          <w:color w:val="auto"/>
          <w:sz w:val="24"/>
        </w:rPr>
        <w:t>如果有</w:t>
      </w:r>
      <w:r>
        <w:rPr>
          <w:b/>
          <w:color w:val="auto"/>
          <w:sz w:val="24"/>
        </w:rPr>
        <w:t>2</w:t>
      </w:r>
      <w:r>
        <w:rPr>
          <w:rFonts w:hint="eastAsia"/>
          <w:b/>
          <w:color w:val="auto"/>
          <w:sz w:val="24"/>
        </w:rPr>
        <w:t>个或</w:t>
      </w:r>
      <w:r>
        <w:rPr>
          <w:b/>
          <w:color w:val="auto"/>
          <w:sz w:val="24"/>
        </w:rPr>
        <w:t>2</w:t>
      </w:r>
      <w:r>
        <w:rPr>
          <w:rFonts w:hint="eastAsia"/>
          <w:b/>
          <w:color w:val="auto"/>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color w:val="auto"/>
          <w:sz w:val="24"/>
        </w:rPr>
        <w:t>。</w:t>
      </w:r>
    </w:p>
    <w:p>
      <w:pPr>
        <w:spacing w:line="360" w:lineRule="auto"/>
        <w:ind w:right="5" w:firstLine="480" w:firstLineChars="200"/>
        <w:jc w:val="left"/>
        <w:rPr>
          <w:b/>
          <w:color w:val="auto"/>
          <w:sz w:val="24"/>
        </w:rPr>
      </w:pPr>
      <w:r>
        <w:rPr>
          <w:rFonts w:eastAsiaTheme="minorEastAsia"/>
          <w:color w:val="auto"/>
          <w:sz w:val="24"/>
        </w:rPr>
        <w:t>2.2.6在评比过程中，评比委员、记录人等有关人员在比选记录表上签字确认</w:t>
      </w:r>
      <w:r>
        <w:rPr>
          <w:rFonts w:hint="eastAsia"/>
          <w:b/>
          <w:color w:val="auto"/>
          <w:sz w:val="24"/>
        </w:rPr>
        <w:t>。</w:t>
      </w:r>
    </w:p>
    <w:p>
      <w:pPr>
        <w:spacing w:line="360" w:lineRule="auto"/>
        <w:ind w:right="-21" w:firstLine="480" w:firstLineChars="200"/>
        <w:jc w:val="left"/>
        <w:rPr>
          <w:rFonts w:eastAsiaTheme="minorEastAsia"/>
          <w:color w:val="auto"/>
          <w:sz w:val="24"/>
        </w:rPr>
      </w:pPr>
      <w:r>
        <w:rPr>
          <w:rFonts w:eastAsiaTheme="minorEastAsia"/>
          <w:color w:val="auto"/>
          <w:sz w:val="24"/>
        </w:rPr>
        <w:t>2.2.</w:t>
      </w:r>
      <w:r>
        <w:rPr>
          <w:rFonts w:hint="eastAsia" w:eastAsiaTheme="minorEastAsia"/>
          <w:color w:val="auto"/>
          <w:sz w:val="24"/>
        </w:rPr>
        <w:t>7</w:t>
      </w:r>
      <w:r>
        <w:rPr>
          <w:rFonts w:eastAsiaTheme="minorEastAsia"/>
          <w:color w:val="auto"/>
          <w:sz w:val="24"/>
        </w:rPr>
        <w:t>评比结束。</w:t>
      </w:r>
    </w:p>
    <w:p>
      <w:pPr>
        <w:spacing w:line="360" w:lineRule="auto"/>
        <w:ind w:right="753" w:firstLine="480" w:firstLineChars="200"/>
        <w:jc w:val="left"/>
        <w:rPr>
          <w:rFonts w:eastAsiaTheme="minorEastAsia"/>
          <w:color w:val="auto"/>
          <w:sz w:val="24"/>
        </w:rPr>
      </w:pPr>
      <w:r>
        <w:rPr>
          <w:rFonts w:eastAsiaTheme="minorEastAsia"/>
          <w:color w:val="auto"/>
          <w:sz w:val="24"/>
        </w:rPr>
        <w:t>3.评比工作相关要求</w:t>
      </w:r>
    </w:p>
    <w:p>
      <w:pPr>
        <w:spacing w:line="360" w:lineRule="auto"/>
        <w:ind w:right="-21" w:firstLine="480" w:firstLineChars="200"/>
        <w:jc w:val="left"/>
        <w:rPr>
          <w:rFonts w:eastAsiaTheme="minorEastAsia"/>
          <w:color w:val="auto"/>
          <w:sz w:val="24"/>
        </w:rPr>
      </w:pPr>
      <w:r>
        <w:rPr>
          <w:rFonts w:eastAsiaTheme="minorEastAsia"/>
          <w:color w:val="auto"/>
          <w:sz w:val="24"/>
        </w:rPr>
        <w:t>3.1本次比选的工作由评比委员会负责。</w:t>
      </w:r>
    </w:p>
    <w:p>
      <w:pPr>
        <w:spacing w:line="360" w:lineRule="auto"/>
        <w:ind w:right="-21" w:firstLine="480" w:firstLineChars="200"/>
        <w:jc w:val="left"/>
        <w:rPr>
          <w:rFonts w:eastAsiaTheme="minorEastAsia"/>
          <w:color w:val="auto"/>
          <w:sz w:val="24"/>
        </w:rPr>
      </w:pPr>
      <w:r>
        <w:rPr>
          <w:rFonts w:eastAsiaTheme="minorEastAsia"/>
          <w:color w:val="auto"/>
          <w:sz w:val="24"/>
        </w:rPr>
        <w:t>3.2在比选申请文件递交截止时间到达时提交比选申请文件的比选申请人少于3家的</w:t>
      </w:r>
      <w:r>
        <w:rPr>
          <w:rFonts w:hint="eastAsia" w:eastAsiaTheme="minorEastAsia"/>
          <w:color w:val="auto"/>
          <w:sz w:val="24"/>
        </w:rPr>
        <w:t>，则直接进入1家或2家评比。</w:t>
      </w:r>
    </w:p>
    <w:p>
      <w:pPr>
        <w:spacing w:line="360" w:lineRule="auto"/>
        <w:ind w:right="-21" w:firstLine="480" w:firstLineChars="200"/>
        <w:jc w:val="left"/>
        <w:rPr>
          <w:rFonts w:eastAsiaTheme="minorEastAsia"/>
          <w:color w:val="auto"/>
          <w:sz w:val="24"/>
        </w:rPr>
      </w:pPr>
      <w:r>
        <w:rPr>
          <w:rFonts w:hint="eastAsia" w:eastAsiaTheme="minorEastAsia"/>
          <w:color w:val="auto"/>
          <w:sz w:val="24"/>
        </w:rPr>
        <w:t xml:space="preserve">3.3 </w:t>
      </w:r>
      <w:r>
        <w:rPr>
          <w:rFonts w:eastAsiaTheme="minorEastAsia"/>
          <w:color w:val="auto"/>
          <w:sz w:val="24"/>
        </w:rPr>
        <w:t>出现下列特殊情况之一，</w:t>
      </w:r>
      <w:r>
        <w:rPr>
          <w:rFonts w:hint="eastAsia" w:eastAsiaTheme="minorEastAsia"/>
          <w:color w:val="auto"/>
          <w:sz w:val="24"/>
        </w:rPr>
        <w:t>则本公司将不再组织比选，而更改为直接委托方式：</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3</w:t>
      </w:r>
      <w:r>
        <w:rPr>
          <w:rFonts w:eastAsiaTheme="minorEastAsia"/>
          <w:color w:val="auto"/>
          <w:sz w:val="24"/>
        </w:rPr>
        <w:t>.1在比选申请文件递交截止时间到达时</w:t>
      </w:r>
      <w:r>
        <w:rPr>
          <w:rFonts w:hint="eastAsia" w:eastAsiaTheme="minorEastAsia"/>
          <w:color w:val="auto"/>
          <w:sz w:val="24"/>
        </w:rPr>
        <w:t>没有</w:t>
      </w:r>
      <w:r>
        <w:rPr>
          <w:rFonts w:eastAsiaTheme="minorEastAsia"/>
          <w:color w:val="auto"/>
          <w:sz w:val="24"/>
        </w:rPr>
        <w:t>比选申请人提交比选申请文件的；</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3</w:t>
      </w:r>
      <w:r>
        <w:rPr>
          <w:rFonts w:eastAsiaTheme="minorEastAsia"/>
          <w:color w:val="auto"/>
          <w:sz w:val="24"/>
        </w:rPr>
        <w:t>.2经评审后，无合格比选申请人的。</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4</w:t>
      </w:r>
      <w:r>
        <w:rPr>
          <w:rFonts w:eastAsiaTheme="minorEastAsia"/>
          <w:color w:val="auto"/>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5</w:t>
      </w:r>
      <w:r>
        <w:rPr>
          <w:rFonts w:eastAsiaTheme="minorEastAsia"/>
          <w:color w:val="auto"/>
          <w:sz w:val="24"/>
        </w:rPr>
        <w:t>比选申请人在评比过程中所进行的力图影响评比公正性的活动，可能导致其中选无效。</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6</w:t>
      </w:r>
      <w:r>
        <w:rPr>
          <w:rFonts w:eastAsiaTheme="minorEastAsia"/>
          <w:color w:val="auto"/>
          <w:sz w:val="24"/>
        </w:rPr>
        <w:t>比选申请文件的澄清或说明</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6</w:t>
      </w:r>
      <w:r>
        <w:rPr>
          <w:rFonts w:eastAsiaTheme="minorEastAsia"/>
          <w:color w:val="auto"/>
          <w:sz w:val="24"/>
        </w:rPr>
        <w:t>.1评比时评比委员会将</w:t>
      </w:r>
      <w:r>
        <w:rPr>
          <w:rFonts w:hint="eastAsia" w:eastAsiaTheme="minorEastAsia"/>
          <w:color w:val="auto"/>
          <w:sz w:val="24"/>
        </w:rPr>
        <w:t>通过比选申请文件中的联系方式，联系并</w:t>
      </w:r>
      <w:r>
        <w:rPr>
          <w:rFonts w:eastAsiaTheme="minorEastAsia"/>
          <w:color w:val="auto"/>
          <w:sz w:val="24"/>
        </w:rPr>
        <w:t>要求比选申请人</w:t>
      </w:r>
      <w:r>
        <w:rPr>
          <w:rFonts w:hint="eastAsia" w:eastAsiaTheme="minorEastAsia"/>
          <w:color w:val="auto"/>
          <w:sz w:val="24"/>
        </w:rPr>
        <w:t>在合理期限内</w:t>
      </w:r>
      <w:r>
        <w:rPr>
          <w:rFonts w:eastAsiaTheme="minorEastAsia"/>
          <w:color w:val="auto"/>
          <w:sz w:val="24"/>
        </w:rPr>
        <w:t>就其比选申请文件中含义不明确、同类问题表述不一致或有明显文字错误等的内容</w:t>
      </w:r>
      <w:r>
        <w:rPr>
          <w:rFonts w:hint="eastAsia" w:eastAsiaTheme="minorEastAsia"/>
          <w:color w:val="auto"/>
          <w:sz w:val="24"/>
        </w:rPr>
        <w:t>通过微信或钉钉等线上方式</w:t>
      </w:r>
      <w:r>
        <w:rPr>
          <w:rFonts w:eastAsiaTheme="minorEastAsia"/>
          <w:color w:val="auto"/>
          <w:sz w:val="24"/>
        </w:rPr>
        <w:t>予以澄清或说明</w:t>
      </w:r>
      <w:r>
        <w:rPr>
          <w:rFonts w:hint="eastAsia" w:eastAsiaTheme="minorEastAsia"/>
          <w:color w:val="auto"/>
          <w:sz w:val="24"/>
        </w:rPr>
        <w:t>，具体方式由评比委员会和比选申请人代表协商确定</w:t>
      </w:r>
      <w:r>
        <w:rPr>
          <w:rFonts w:eastAsiaTheme="minorEastAsia"/>
          <w:color w:val="auto"/>
          <w:sz w:val="24"/>
        </w:rPr>
        <w:t>。</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6</w:t>
      </w:r>
      <w:r>
        <w:rPr>
          <w:rFonts w:eastAsiaTheme="minorEastAsia"/>
          <w:color w:val="auto"/>
          <w:sz w:val="24"/>
        </w:rPr>
        <w:t>.2比选申请人</w:t>
      </w:r>
      <w:r>
        <w:rPr>
          <w:rFonts w:hint="eastAsia" w:eastAsiaTheme="minorEastAsia"/>
          <w:color w:val="auto"/>
          <w:sz w:val="24"/>
        </w:rPr>
        <w:t>通过上述方式澄清或说明后，需以书面形式补充提供</w:t>
      </w:r>
      <w:r>
        <w:rPr>
          <w:rFonts w:eastAsiaTheme="minorEastAsia"/>
          <w:color w:val="auto"/>
          <w:sz w:val="24"/>
        </w:rPr>
        <w:t>澄清或说明的内容，该澄清或说明函应有比选申请人法定代表人或其委托代理人的签名</w:t>
      </w:r>
      <w:r>
        <w:rPr>
          <w:rFonts w:hint="eastAsia" w:eastAsiaTheme="minorEastAsia"/>
          <w:color w:val="auto"/>
          <w:sz w:val="24"/>
        </w:rPr>
        <w:t>，可通过邮寄的方式送达比选人</w:t>
      </w:r>
      <w:r>
        <w:rPr>
          <w:rFonts w:eastAsiaTheme="minorEastAsia"/>
          <w:color w:val="auto"/>
          <w:sz w:val="24"/>
        </w:rPr>
        <w:t>。</w:t>
      </w:r>
      <w:r>
        <w:rPr>
          <w:rFonts w:hint="eastAsia" w:eastAsiaTheme="minorEastAsia"/>
          <w:b/>
          <w:bCs/>
          <w:color w:val="auto"/>
          <w:sz w:val="24"/>
        </w:rPr>
        <w:t>比选人收齐相关</w:t>
      </w:r>
      <w:r>
        <w:rPr>
          <w:rFonts w:eastAsiaTheme="minorEastAsia"/>
          <w:b/>
          <w:bCs/>
          <w:color w:val="auto"/>
          <w:sz w:val="24"/>
        </w:rPr>
        <w:t>澄清或说明函</w:t>
      </w:r>
      <w:r>
        <w:rPr>
          <w:rFonts w:hint="eastAsia" w:eastAsiaTheme="minorEastAsia"/>
          <w:b/>
          <w:bCs/>
          <w:color w:val="auto"/>
          <w:sz w:val="24"/>
        </w:rPr>
        <w:t>后方进行评比结果公示。</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6</w:t>
      </w:r>
      <w:r>
        <w:rPr>
          <w:rFonts w:eastAsiaTheme="minorEastAsia"/>
          <w:color w:val="auto"/>
          <w:sz w:val="24"/>
        </w:rPr>
        <w:t>.3比选申请人的澄清或说明函作为比选申请文件的组成部分。</w:t>
      </w:r>
    </w:p>
    <w:p>
      <w:pPr>
        <w:spacing w:line="360" w:lineRule="auto"/>
        <w:ind w:right="-21" w:firstLine="480" w:firstLineChars="200"/>
        <w:jc w:val="left"/>
        <w:rPr>
          <w:rFonts w:eastAsiaTheme="minorEastAsia"/>
          <w:color w:val="auto"/>
          <w:sz w:val="24"/>
        </w:rPr>
      </w:pPr>
      <w:r>
        <w:rPr>
          <w:rFonts w:eastAsiaTheme="minorEastAsia"/>
          <w:color w:val="auto"/>
          <w:sz w:val="24"/>
        </w:rPr>
        <w:t>3.</w:t>
      </w:r>
      <w:r>
        <w:rPr>
          <w:rFonts w:hint="eastAsia" w:eastAsiaTheme="minorEastAsia"/>
          <w:color w:val="auto"/>
          <w:sz w:val="24"/>
        </w:rPr>
        <w:t>6</w:t>
      </w:r>
      <w:r>
        <w:rPr>
          <w:rFonts w:eastAsiaTheme="minorEastAsia"/>
          <w:color w:val="auto"/>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color w:val="auto"/>
          <w:sz w:val="24"/>
        </w:rPr>
      </w:pPr>
      <w:r>
        <w:rPr>
          <w:rFonts w:eastAsiaTheme="minorEastAsia"/>
          <w:color w:val="auto"/>
          <w:sz w:val="24"/>
        </w:rPr>
        <w:t>4.比选申请文件评比</w:t>
      </w:r>
      <w:r>
        <w:rPr>
          <w:rFonts w:hint="eastAsia" w:eastAsiaTheme="minorEastAsia"/>
          <w:color w:val="auto"/>
          <w:sz w:val="24"/>
        </w:rPr>
        <w:t>的否决条款</w:t>
      </w:r>
    </w:p>
    <w:p>
      <w:pPr>
        <w:spacing w:line="360" w:lineRule="auto"/>
        <w:ind w:right="-21" w:firstLine="480" w:firstLineChars="200"/>
        <w:jc w:val="left"/>
        <w:rPr>
          <w:rFonts w:eastAsiaTheme="minorEastAsia"/>
          <w:color w:val="auto"/>
          <w:sz w:val="24"/>
        </w:rPr>
      </w:pPr>
      <w:r>
        <w:rPr>
          <w:rFonts w:eastAsiaTheme="minorEastAsia"/>
          <w:color w:val="auto"/>
          <w:sz w:val="24"/>
        </w:rPr>
        <w:t>比选申请人或其比选</w:t>
      </w:r>
      <w:r>
        <w:rPr>
          <w:rFonts w:hint="eastAsia" w:eastAsiaTheme="minorEastAsia"/>
          <w:color w:val="auto"/>
          <w:sz w:val="24"/>
        </w:rPr>
        <w:t>申请</w:t>
      </w:r>
      <w:r>
        <w:rPr>
          <w:rFonts w:eastAsiaTheme="minorEastAsia"/>
          <w:color w:val="auto"/>
          <w:sz w:val="24"/>
        </w:rPr>
        <w:t>文件有下列情况之一者，其比选申请文件将视为无效或作</w:t>
      </w:r>
      <w:r>
        <w:rPr>
          <w:rFonts w:hint="eastAsia" w:eastAsiaTheme="minorEastAsia"/>
          <w:color w:val="auto"/>
          <w:sz w:val="24"/>
        </w:rPr>
        <w:t>否决</w:t>
      </w:r>
      <w:r>
        <w:rPr>
          <w:rFonts w:eastAsiaTheme="minorEastAsia"/>
          <w:color w:val="auto"/>
          <w:sz w:val="24"/>
        </w:rPr>
        <w:t>处理：</w:t>
      </w:r>
    </w:p>
    <w:p>
      <w:pPr>
        <w:spacing w:line="360" w:lineRule="auto"/>
        <w:ind w:right="-21" w:firstLine="426" w:firstLineChars="177"/>
        <w:jc w:val="left"/>
        <w:rPr>
          <w:rFonts w:eastAsiaTheme="minorEastAsia"/>
          <w:b/>
          <w:bCs/>
          <w:color w:val="auto"/>
          <w:sz w:val="24"/>
        </w:rPr>
      </w:pPr>
      <w:r>
        <w:rPr>
          <w:rFonts w:eastAsiaTheme="minorEastAsia"/>
          <w:b/>
          <w:bCs/>
          <w:color w:val="auto"/>
          <w:sz w:val="24"/>
        </w:rPr>
        <w:t>（1）比选申请文件未按照规定的要求装订、密封和标记的；</w:t>
      </w:r>
    </w:p>
    <w:p>
      <w:pPr>
        <w:spacing w:line="360" w:lineRule="auto"/>
        <w:ind w:right="-21" w:firstLine="426" w:firstLineChars="177"/>
        <w:jc w:val="left"/>
        <w:rPr>
          <w:rFonts w:eastAsiaTheme="minorEastAsia"/>
          <w:b/>
          <w:bCs/>
          <w:color w:val="auto"/>
          <w:sz w:val="24"/>
        </w:rPr>
      </w:pPr>
      <w:r>
        <w:rPr>
          <w:rFonts w:eastAsiaTheme="minorEastAsia"/>
          <w:b/>
          <w:bCs/>
          <w:color w:val="auto"/>
          <w:sz w:val="24"/>
        </w:rPr>
        <w:t>（</w:t>
      </w:r>
      <w:r>
        <w:rPr>
          <w:rFonts w:hint="eastAsia" w:eastAsiaTheme="minorEastAsia"/>
          <w:b/>
          <w:bCs/>
          <w:color w:val="auto"/>
          <w:sz w:val="24"/>
        </w:rPr>
        <w:t>2</w:t>
      </w:r>
      <w:r>
        <w:rPr>
          <w:rFonts w:eastAsiaTheme="minorEastAsia"/>
          <w:b/>
          <w:bCs/>
          <w:color w:val="auto"/>
          <w:sz w:val="24"/>
        </w:rPr>
        <w:t>）</w:t>
      </w:r>
      <w:r>
        <w:rPr>
          <w:rFonts w:hint="eastAsia" w:eastAsiaTheme="minorEastAsia"/>
          <w:b/>
          <w:bCs/>
          <w:color w:val="auto"/>
          <w:sz w:val="24"/>
        </w:rPr>
        <w:t>比选</w:t>
      </w:r>
      <w:r>
        <w:rPr>
          <w:rFonts w:eastAsiaTheme="minorEastAsia"/>
          <w:b/>
          <w:bCs/>
          <w:color w:val="auto"/>
          <w:sz w:val="24"/>
        </w:rPr>
        <w:t>须知第11条规定的比选申请文件有关内容未按</w:t>
      </w:r>
      <w:r>
        <w:rPr>
          <w:rFonts w:hint="eastAsia" w:eastAsiaTheme="minorEastAsia"/>
          <w:b/>
          <w:bCs/>
          <w:color w:val="auto"/>
          <w:sz w:val="24"/>
        </w:rPr>
        <w:t>比选</w:t>
      </w:r>
      <w:r>
        <w:rPr>
          <w:rFonts w:eastAsiaTheme="minorEastAsia"/>
          <w:b/>
          <w:bCs/>
          <w:color w:val="auto"/>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color w:val="auto"/>
          <w:sz w:val="24"/>
        </w:rPr>
      </w:pPr>
      <w:r>
        <w:rPr>
          <w:rFonts w:eastAsiaTheme="minorEastAsia"/>
          <w:b/>
          <w:bCs/>
          <w:color w:val="auto"/>
          <w:sz w:val="24"/>
        </w:rPr>
        <w:t>（</w:t>
      </w:r>
      <w:r>
        <w:rPr>
          <w:rFonts w:hint="eastAsia" w:eastAsiaTheme="minorEastAsia"/>
          <w:b/>
          <w:bCs/>
          <w:color w:val="auto"/>
          <w:sz w:val="24"/>
        </w:rPr>
        <w:t>3</w:t>
      </w:r>
      <w:r>
        <w:rPr>
          <w:rFonts w:eastAsiaTheme="minorEastAsia"/>
          <w:b/>
          <w:bCs/>
          <w:color w:val="auto"/>
          <w:sz w:val="24"/>
        </w:rPr>
        <w:t>）逾期</w:t>
      </w:r>
      <w:r>
        <w:rPr>
          <w:rFonts w:hint="eastAsia" w:eastAsiaTheme="minorEastAsia"/>
          <w:b/>
          <w:bCs/>
          <w:color w:val="auto"/>
          <w:sz w:val="24"/>
        </w:rPr>
        <w:t>送达</w:t>
      </w:r>
      <w:r>
        <w:rPr>
          <w:rFonts w:eastAsiaTheme="minorEastAsia"/>
          <w:b/>
          <w:bCs/>
          <w:color w:val="auto"/>
          <w:sz w:val="24"/>
        </w:rPr>
        <w:t>比选申请文件的；</w:t>
      </w:r>
    </w:p>
    <w:p>
      <w:pPr>
        <w:spacing w:line="360" w:lineRule="auto"/>
        <w:ind w:right="-21" w:firstLine="426" w:firstLineChars="177"/>
        <w:jc w:val="left"/>
        <w:rPr>
          <w:rFonts w:eastAsiaTheme="minorEastAsia"/>
          <w:b/>
          <w:bCs/>
          <w:color w:val="auto"/>
          <w:sz w:val="24"/>
        </w:rPr>
      </w:pPr>
      <w:r>
        <w:rPr>
          <w:rFonts w:eastAsiaTheme="minorEastAsia"/>
          <w:b/>
          <w:bCs/>
          <w:color w:val="auto"/>
          <w:sz w:val="24"/>
        </w:rPr>
        <w:t>（</w:t>
      </w:r>
      <w:r>
        <w:rPr>
          <w:rFonts w:hint="eastAsia" w:eastAsiaTheme="minorEastAsia"/>
          <w:b/>
          <w:bCs/>
          <w:color w:val="auto"/>
          <w:sz w:val="24"/>
        </w:rPr>
        <w:t>4</w:t>
      </w:r>
      <w:r>
        <w:rPr>
          <w:rFonts w:eastAsiaTheme="minorEastAsia"/>
          <w:b/>
          <w:bCs/>
          <w:color w:val="auto"/>
          <w:sz w:val="24"/>
        </w:rPr>
        <w:t>）比选申请文件内容不真实的；</w:t>
      </w:r>
    </w:p>
    <w:p>
      <w:pPr>
        <w:spacing w:line="360" w:lineRule="auto"/>
        <w:ind w:right="-21" w:firstLine="426" w:firstLineChars="177"/>
        <w:jc w:val="left"/>
        <w:rPr>
          <w:rFonts w:eastAsiaTheme="minorEastAsia"/>
          <w:b/>
          <w:bCs/>
          <w:color w:val="auto"/>
          <w:sz w:val="24"/>
        </w:rPr>
      </w:pPr>
      <w:r>
        <w:rPr>
          <w:rFonts w:eastAsiaTheme="minorEastAsia"/>
          <w:b/>
          <w:bCs/>
          <w:color w:val="auto"/>
          <w:sz w:val="24"/>
        </w:rPr>
        <w:t>（</w:t>
      </w:r>
      <w:r>
        <w:rPr>
          <w:rFonts w:hint="eastAsia" w:eastAsiaTheme="minorEastAsia"/>
          <w:b/>
          <w:bCs/>
          <w:color w:val="auto"/>
          <w:sz w:val="24"/>
        </w:rPr>
        <w:t>5</w:t>
      </w:r>
      <w:r>
        <w:rPr>
          <w:rFonts w:eastAsiaTheme="minorEastAsia"/>
          <w:b/>
          <w:bCs/>
          <w:color w:val="auto"/>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color w:val="auto"/>
          <w:sz w:val="24"/>
        </w:rPr>
      </w:pPr>
      <w:r>
        <w:rPr>
          <w:rFonts w:hint="eastAsia" w:eastAsiaTheme="minorEastAsia"/>
          <w:b/>
          <w:bCs/>
          <w:color w:val="auto"/>
          <w:sz w:val="24"/>
        </w:rPr>
        <w:t>（6）</w:t>
      </w:r>
      <w:r>
        <w:rPr>
          <w:rFonts w:eastAsiaTheme="minorEastAsia"/>
          <w:b/>
          <w:bCs/>
          <w:color w:val="auto"/>
          <w:sz w:val="24"/>
        </w:rPr>
        <w:t>比选申请人不按报价表格式和内容要求报价的；</w:t>
      </w:r>
    </w:p>
    <w:p>
      <w:pPr>
        <w:spacing w:line="360" w:lineRule="auto"/>
        <w:ind w:right="-21" w:firstLine="482" w:firstLineChars="200"/>
        <w:jc w:val="left"/>
        <w:rPr>
          <w:rFonts w:eastAsiaTheme="minorEastAsia"/>
          <w:b/>
          <w:bCs/>
          <w:color w:val="auto"/>
          <w:sz w:val="24"/>
        </w:rPr>
      </w:pPr>
      <w:r>
        <w:rPr>
          <w:rFonts w:eastAsiaTheme="minorEastAsia"/>
          <w:b/>
          <w:bCs/>
          <w:color w:val="auto"/>
          <w:sz w:val="24"/>
        </w:rPr>
        <w:t>（</w:t>
      </w:r>
      <w:r>
        <w:rPr>
          <w:rFonts w:hint="eastAsia" w:eastAsiaTheme="minorEastAsia"/>
          <w:b/>
          <w:bCs/>
          <w:color w:val="auto"/>
          <w:sz w:val="24"/>
        </w:rPr>
        <w:t>7</w:t>
      </w:r>
      <w:r>
        <w:rPr>
          <w:rFonts w:eastAsiaTheme="minorEastAsia"/>
          <w:b/>
          <w:bCs/>
          <w:color w:val="auto"/>
          <w:sz w:val="24"/>
        </w:rPr>
        <w:t>）比选申请人不符合</w:t>
      </w:r>
      <w:r>
        <w:rPr>
          <w:rFonts w:hint="eastAsia" w:eastAsiaTheme="minorEastAsia"/>
          <w:b/>
          <w:bCs/>
          <w:color w:val="auto"/>
          <w:sz w:val="24"/>
        </w:rPr>
        <w:t>比选须知</w:t>
      </w:r>
      <w:r>
        <w:rPr>
          <w:rFonts w:eastAsiaTheme="minorEastAsia"/>
          <w:b/>
          <w:bCs/>
          <w:color w:val="auto"/>
          <w:sz w:val="24"/>
        </w:rPr>
        <w:t>前附表第9</w:t>
      </w:r>
      <w:r>
        <w:rPr>
          <w:rFonts w:hint="eastAsia" w:eastAsiaTheme="minorEastAsia"/>
          <w:b/>
          <w:bCs/>
          <w:color w:val="auto"/>
          <w:sz w:val="24"/>
        </w:rPr>
        <w:t>项</w:t>
      </w:r>
      <w:r>
        <w:rPr>
          <w:rFonts w:eastAsiaTheme="minorEastAsia"/>
          <w:b/>
          <w:bCs/>
          <w:color w:val="auto"/>
          <w:sz w:val="24"/>
        </w:rPr>
        <w:t>所述资格要求或比选申请人符合前附表第9项所述资格要求但就本比选项目分别提交两个（每个正本一份、副本</w:t>
      </w:r>
      <w:r>
        <w:rPr>
          <w:rFonts w:hint="eastAsia" w:eastAsiaTheme="minorEastAsia"/>
          <w:b/>
          <w:bCs/>
          <w:color w:val="auto"/>
          <w:sz w:val="24"/>
        </w:rPr>
        <w:t>二</w:t>
      </w:r>
      <w:r>
        <w:rPr>
          <w:rFonts w:eastAsiaTheme="minorEastAsia"/>
          <w:b/>
          <w:bCs/>
          <w:color w:val="auto"/>
          <w:sz w:val="24"/>
        </w:rPr>
        <w:t>份）及以上的比选申请文件的。</w:t>
      </w:r>
      <w:bookmarkEnd w:id="466"/>
      <w:bookmarkEnd w:id="467"/>
      <w:bookmarkEnd w:id="468"/>
      <w:bookmarkEnd w:id="469"/>
      <w:bookmarkEnd w:id="470"/>
      <w:bookmarkEnd w:id="471"/>
      <w:bookmarkEnd w:id="472"/>
      <w:bookmarkEnd w:id="473"/>
      <w:bookmarkEnd w:id="474"/>
      <w:bookmarkEnd w:id="475"/>
    </w:p>
    <w:p>
      <w:pPr>
        <w:pStyle w:val="6"/>
        <w:rPr>
          <w:b/>
          <w:color w:val="auto"/>
        </w:rPr>
      </w:pPr>
      <w:bookmarkStart w:id="476" w:name="_Toc471482375"/>
      <w:bookmarkStart w:id="477" w:name="_Toc20237"/>
      <w:bookmarkStart w:id="478" w:name="_Toc29182"/>
      <w:bookmarkStart w:id="479" w:name="_Toc29031"/>
      <w:bookmarkStart w:id="480" w:name="_Toc30979"/>
      <w:bookmarkStart w:id="481" w:name="_Toc5576"/>
      <w:bookmarkStart w:id="482" w:name="_Toc6851"/>
      <w:bookmarkStart w:id="483" w:name="_Toc15054"/>
      <w:bookmarkStart w:id="484" w:name="_Toc22986"/>
      <w:bookmarkStart w:id="485" w:name="_Toc28567"/>
      <w:bookmarkStart w:id="486" w:name="_Toc11135"/>
      <w:bookmarkStart w:id="487" w:name="_Toc14401"/>
      <w:bookmarkStart w:id="488" w:name="_Toc7245"/>
      <w:bookmarkStart w:id="489" w:name="_Toc5579"/>
      <w:r>
        <w:rPr>
          <w:rFonts w:hint="eastAsia"/>
          <w:b/>
          <w:color w:val="auto"/>
        </w:rPr>
        <w:t>二、总分计算公式</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ind w:right="753"/>
        <w:jc w:val="left"/>
        <w:rPr>
          <w:rFonts w:ascii="宋体" w:hAnsi="宋体" w:cs="宋体"/>
          <w:color w:val="auto"/>
          <w:sz w:val="28"/>
          <w:szCs w:val="28"/>
        </w:rPr>
      </w:pPr>
      <w:r>
        <w:rPr>
          <w:rFonts w:hint="eastAsia" w:ascii="宋体" w:hAnsi="宋体" w:cs="宋体"/>
          <w:color w:val="auto"/>
          <w:sz w:val="28"/>
          <w:szCs w:val="28"/>
        </w:rPr>
        <w:t xml:space="preserve">    总分即比选申请人评分综合得分，其计算公式：</w:t>
      </w:r>
    </w:p>
    <w:p>
      <w:pPr>
        <w:ind w:right="753" w:firstLine="570"/>
        <w:jc w:val="left"/>
        <w:rPr>
          <w:rFonts w:ascii="宋体" w:hAnsi="宋体" w:cs="宋体"/>
          <w:color w:val="auto"/>
          <w:sz w:val="28"/>
          <w:szCs w:val="28"/>
        </w:rPr>
      </w:pPr>
      <w:r>
        <w:rPr>
          <w:rFonts w:hint="eastAsia" w:ascii="宋体" w:hAnsi="宋体" w:cs="宋体"/>
          <w:color w:val="auto"/>
          <w:sz w:val="28"/>
          <w:szCs w:val="28"/>
        </w:rPr>
        <w:t>总分＝商务部分得分+技术部分得分</w:t>
      </w:r>
    </w:p>
    <w:p>
      <w:pPr>
        <w:ind w:right="753"/>
        <w:jc w:val="left"/>
        <w:rPr>
          <w:rFonts w:ascii="宋体" w:hAnsi="宋体" w:cs="宋体"/>
          <w:color w:val="auto"/>
          <w:sz w:val="28"/>
          <w:szCs w:val="28"/>
        </w:rPr>
      </w:pPr>
    </w:p>
    <w:p>
      <w:pPr>
        <w:pStyle w:val="6"/>
        <w:rPr>
          <w:b/>
          <w:color w:val="auto"/>
        </w:rPr>
      </w:pPr>
      <w:bookmarkStart w:id="490" w:name="_Toc16736"/>
      <w:bookmarkStart w:id="491" w:name="_Toc26842"/>
      <w:bookmarkStart w:id="492" w:name="_Toc10918"/>
      <w:bookmarkStart w:id="493" w:name="_Toc9696"/>
      <w:bookmarkStart w:id="494" w:name="_Toc28207"/>
      <w:bookmarkStart w:id="495" w:name="_Toc31078"/>
      <w:bookmarkStart w:id="496" w:name="_Toc13406"/>
      <w:bookmarkStart w:id="497" w:name="_Toc32296"/>
      <w:bookmarkStart w:id="498" w:name="_Toc2114"/>
      <w:bookmarkStart w:id="499" w:name="_Toc18027"/>
      <w:bookmarkStart w:id="500" w:name="_Toc32446"/>
      <w:bookmarkStart w:id="501" w:name="_Toc471482376"/>
      <w:bookmarkStart w:id="502" w:name="_Toc2392"/>
      <w:bookmarkStart w:id="503" w:name="_Toc22331"/>
      <w:r>
        <w:rPr>
          <w:rFonts w:hint="eastAsia"/>
          <w:b/>
          <w:color w:val="auto"/>
        </w:rPr>
        <w:t>三、评分细则</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Start w:id="504" w:name="_Toc19395"/>
      <w:bookmarkStart w:id="505" w:name="_Toc15663"/>
      <w:bookmarkStart w:id="506" w:name="_Toc19593"/>
      <w:bookmarkStart w:id="507" w:name="_Toc27525"/>
      <w:bookmarkStart w:id="508" w:name="_Toc10183"/>
      <w:bookmarkStart w:id="509" w:name="_Toc21685"/>
      <w:bookmarkStart w:id="510" w:name="_Toc19365"/>
      <w:bookmarkStart w:id="511" w:name="_Toc471482377"/>
      <w:bookmarkStart w:id="512" w:name="_Toc22367"/>
      <w:bookmarkStart w:id="513" w:name="_Toc24296"/>
    </w:p>
    <w:p>
      <w:pPr>
        <w:pStyle w:val="14"/>
        <w:rPr>
          <w:color w:val="auto"/>
          <w:sz w:val="28"/>
          <w:szCs w:val="28"/>
        </w:rPr>
      </w:pPr>
      <w:bookmarkStart w:id="514" w:name="_Toc15382"/>
      <w:bookmarkStart w:id="515" w:name="_Toc1358"/>
      <w:bookmarkStart w:id="516" w:name="_Toc18752"/>
      <w:r>
        <w:rPr>
          <w:rFonts w:hint="eastAsia"/>
          <w:color w:val="auto"/>
          <w:sz w:val="28"/>
          <w:szCs w:val="28"/>
        </w:rPr>
        <w:t>1.商务部分评分细则（满分3</w:t>
      </w:r>
      <w:r>
        <w:rPr>
          <w:color w:val="auto"/>
          <w:sz w:val="28"/>
          <w:szCs w:val="28"/>
        </w:rPr>
        <w:t>0</w:t>
      </w:r>
      <w:r>
        <w:rPr>
          <w:rFonts w:hint="eastAsia"/>
          <w:color w:val="auto"/>
          <w:sz w:val="28"/>
          <w:szCs w:val="28"/>
        </w:rPr>
        <w:t>分）</w:t>
      </w:r>
      <w:bookmarkEnd w:id="514"/>
      <w:bookmarkEnd w:id="515"/>
      <w:bookmarkEnd w:id="516"/>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cs="宋体"/>
                <w:color w:val="auto"/>
                <w:kern w:val="0"/>
                <w:sz w:val="24"/>
              </w:rPr>
            </w:pPr>
            <w:r>
              <w:rPr>
                <w:rFonts w:hint="eastAsia" w:ascii="宋体" w:hAnsi="宋体" w:cs="宋体"/>
                <w:color w:val="auto"/>
                <w:kern w:val="0"/>
                <w:sz w:val="24"/>
              </w:rPr>
              <w:t>序号</w:t>
            </w:r>
          </w:p>
        </w:tc>
        <w:tc>
          <w:tcPr>
            <w:tcW w:w="3260" w:type="dxa"/>
            <w:vAlign w:val="center"/>
          </w:tcPr>
          <w:p>
            <w:pPr>
              <w:jc w:val="center"/>
              <w:rPr>
                <w:rFonts w:ascii="宋体" w:hAnsi="宋体" w:cs="宋体"/>
                <w:color w:val="auto"/>
                <w:sz w:val="24"/>
              </w:rPr>
            </w:pPr>
            <w:r>
              <w:rPr>
                <w:rFonts w:hint="eastAsia" w:ascii="宋体" w:hAnsi="宋体" w:cs="宋体"/>
                <w:color w:val="auto"/>
                <w:kern w:val="0"/>
                <w:sz w:val="24"/>
              </w:rPr>
              <w:t>评分因素</w:t>
            </w:r>
          </w:p>
        </w:tc>
        <w:tc>
          <w:tcPr>
            <w:tcW w:w="5358" w:type="dxa"/>
            <w:vAlign w:val="center"/>
          </w:tcPr>
          <w:p>
            <w:pPr>
              <w:jc w:val="center"/>
              <w:rPr>
                <w:rFonts w:ascii="宋体" w:hAnsi="宋体" w:cs="宋体"/>
                <w:color w:val="auto"/>
                <w:sz w:val="24"/>
              </w:rPr>
            </w:pPr>
            <w:r>
              <w:rPr>
                <w:rFonts w:hint="eastAsia" w:ascii="宋体" w:hAnsi="宋体" w:cs="宋体"/>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cs="宋体"/>
                <w:color w:val="auto"/>
                <w:sz w:val="24"/>
              </w:rPr>
            </w:pPr>
            <w:r>
              <w:rPr>
                <w:rFonts w:hint="eastAsia" w:ascii="宋体" w:hAnsi="宋体" w:cs="宋体"/>
                <w:color w:val="auto"/>
                <w:kern w:val="0"/>
                <w:sz w:val="24"/>
              </w:rPr>
              <w:t>1</w:t>
            </w:r>
          </w:p>
        </w:tc>
        <w:tc>
          <w:tcPr>
            <w:tcW w:w="3260" w:type="dxa"/>
            <w:vAlign w:val="center"/>
          </w:tcPr>
          <w:p>
            <w:pPr>
              <w:jc w:val="center"/>
              <w:rPr>
                <w:rFonts w:ascii="宋体" w:hAnsi="宋体" w:cs="宋体"/>
                <w:color w:val="auto"/>
                <w:kern w:val="0"/>
                <w:sz w:val="24"/>
              </w:rPr>
            </w:pPr>
            <w:r>
              <w:rPr>
                <w:rFonts w:hint="eastAsia" w:ascii="宋体" w:hAnsi="宋体" w:cs="宋体"/>
                <w:color w:val="auto"/>
                <w:kern w:val="0"/>
                <w:sz w:val="24"/>
              </w:rPr>
              <w:t>本项目报价评分</w:t>
            </w:r>
          </w:p>
          <w:p>
            <w:pPr>
              <w:jc w:val="center"/>
              <w:rPr>
                <w:rFonts w:ascii="宋体" w:hAnsi="宋体" w:cs="宋体"/>
                <w:color w:val="auto"/>
                <w:kern w:val="0"/>
                <w:sz w:val="24"/>
              </w:rPr>
            </w:pPr>
            <w:r>
              <w:rPr>
                <w:rFonts w:hint="eastAsia" w:ascii="宋体" w:hAnsi="宋体" w:cs="宋体"/>
                <w:color w:val="auto"/>
                <w:kern w:val="0"/>
                <w:sz w:val="24"/>
              </w:rPr>
              <w:t>（满分3</w:t>
            </w:r>
            <w:r>
              <w:rPr>
                <w:rFonts w:ascii="宋体" w:hAnsi="宋体" w:cs="宋体"/>
                <w:color w:val="auto"/>
                <w:kern w:val="0"/>
                <w:sz w:val="24"/>
              </w:rPr>
              <w:t>0</w:t>
            </w:r>
            <w:r>
              <w:rPr>
                <w:rFonts w:hint="eastAsia" w:ascii="宋体" w:hAnsi="宋体" w:cs="宋体"/>
                <w:color w:val="auto"/>
                <w:kern w:val="0"/>
                <w:sz w:val="24"/>
              </w:rPr>
              <w:t>分）</w:t>
            </w:r>
          </w:p>
        </w:tc>
        <w:tc>
          <w:tcPr>
            <w:tcW w:w="5358" w:type="dxa"/>
            <w:vAlign w:val="center"/>
          </w:tcPr>
          <w:p>
            <w:pPr>
              <w:ind w:firstLine="482" w:firstLineChars="200"/>
              <w:jc w:val="left"/>
              <w:rPr>
                <w:rFonts w:ascii="宋体" w:hAnsi="宋体"/>
                <w:b/>
                <w:color w:val="auto"/>
                <w:kern w:val="0"/>
                <w:sz w:val="24"/>
              </w:rPr>
            </w:pPr>
            <w:r>
              <w:rPr>
                <w:rFonts w:ascii="宋体" w:hAnsi="宋体"/>
                <w:b/>
                <w:color w:val="auto"/>
                <w:kern w:val="0"/>
                <w:sz w:val="24"/>
              </w:rPr>
              <w:t>比选申请人价格大于上控价时比选申请文件作无效处理</w:t>
            </w:r>
            <w:r>
              <w:rPr>
                <w:rFonts w:hint="eastAsia" w:ascii="宋体" w:hAnsi="宋体"/>
                <w:b/>
                <w:color w:val="auto"/>
                <w:kern w:val="0"/>
                <w:sz w:val="24"/>
              </w:rPr>
              <w:t>。</w:t>
            </w:r>
          </w:p>
          <w:p>
            <w:pPr>
              <w:spacing w:line="240" w:lineRule="auto"/>
              <w:ind w:firstLine="480" w:firstLineChars="200"/>
              <w:jc w:val="left"/>
              <w:rPr>
                <w:rFonts w:ascii="宋体" w:hAnsi="宋体"/>
                <w:color w:val="auto"/>
                <w:sz w:val="24"/>
              </w:rPr>
            </w:pPr>
            <w:r>
              <w:rPr>
                <w:rFonts w:hint="eastAsia" w:ascii="宋体" w:hAnsi="宋体"/>
                <w:color w:val="auto"/>
                <w:kern w:val="0"/>
                <w:sz w:val="24"/>
                <w:szCs w:val="24"/>
              </w:rPr>
              <w:t>经评标委员会审定不存在严重不平衡、不合理、不低于其企业成本的投标人报价作为有效报价。</w:t>
            </w:r>
            <w:r>
              <w:rPr>
                <w:rFonts w:hint="eastAsia" w:ascii="宋体" w:hAnsi="宋体"/>
                <w:color w:val="auto"/>
                <w:kern w:val="0"/>
                <w:sz w:val="24"/>
              </w:rPr>
              <w:t>所有有效报价的平均值作为评标基准价，投标人报价等于评标基准价的得30分，每高于评标基准价2%的扣0.2分，每低于评标基准价2%的扣0.1分，不足2%的按2%计取。</w:t>
            </w:r>
          </w:p>
        </w:tc>
      </w:tr>
    </w:tbl>
    <w:p>
      <w:pPr>
        <w:jc w:val="left"/>
        <w:rPr>
          <w:rFonts w:ascii="宋体" w:hAnsi="宋体" w:cs="宋体"/>
          <w:color w:val="auto"/>
          <w:sz w:val="28"/>
          <w:szCs w:val="28"/>
        </w:rPr>
      </w:pPr>
    </w:p>
    <w:p>
      <w:pPr>
        <w:jc w:val="left"/>
        <w:rPr>
          <w:rFonts w:ascii="宋体" w:hAnsi="宋体" w:cs="宋体"/>
          <w:color w:val="auto"/>
          <w:sz w:val="28"/>
          <w:szCs w:val="28"/>
        </w:rPr>
      </w:pPr>
      <w:r>
        <w:rPr>
          <w:rFonts w:hint="eastAsia" w:ascii="宋体" w:hAnsi="宋体" w:cs="宋体"/>
          <w:color w:val="auto"/>
          <w:sz w:val="28"/>
          <w:szCs w:val="28"/>
        </w:rPr>
        <w:t>2.技术部分评分细则（满分7</w:t>
      </w:r>
      <w:r>
        <w:rPr>
          <w:rFonts w:ascii="宋体" w:hAnsi="宋体" w:cs="宋体"/>
          <w:color w:val="auto"/>
          <w:sz w:val="28"/>
          <w:szCs w:val="28"/>
        </w:rPr>
        <w:t>0</w:t>
      </w:r>
      <w:r>
        <w:rPr>
          <w:rFonts w:hint="eastAsia" w:ascii="宋体" w:hAnsi="宋体" w:cs="宋体"/>
          <w:color w:val="auto"/>
          <w:sz w:val="28"/>
          <w:szCs w:val="28"/>
        </w:rPr>
        <w:t>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1701" w:type="dxa"/>
            <w:vAlign w:val="center"/>
          </w:tcPr>
          <w:p>
            <w:pPr>
              <w:jc w:val="center"/>
              <w:rPr>
                <w:rFonts w:ascii="宋体" w:hAnsi="宋体" w:cs="宋体"/>
                <w:color w:val="auto"/>
                <w:sz w:val="24"/>
              </w:rPr>
            </w:pPr>
            <w:r>
              <w:rPr>
                <w:rFonts w:hint="eastAsia" w:ascii="宋体" w:hAnsi="宋体" w:cs="宋体"/>
                <w:color w:val="auto"/>
                <w:sz w:val="24"/>
              </w:rPr>
              <w:t>评分因素</w:t>
            </w:r>
          </w:p>
        </w:tc>
        <w:tc>
          <w:tcPr>
            <w:tcW w:w="6775" w:type="dxa"/>
            <w:gridSpan w:val="2"/>
            <w:vAlign w:val="center"/>
          </w:tcPr>
          <w:p>
            <w:pPr>
              <w:jc w:val="center"/>
              <w:rPr>
                <w:rFonts w:ascii="宋体" w:hAnsi="宋体" w:cs="宋体"/>
                <w:color w:val="auto"/>
                <w:sz w:val="24"/>
              </w:rPr>
            </w:pPr>
            <w:r>
              <w:rPr>
                <w:rFonts w:hint="eastAsia" w:ascii="宋体" w:hAnsi="宋体" w:cs="宋体"/>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color w:val="auto"/>
                <w:kern w:val="0"/>
                <w:sz w:val="24"/>
              </w:rPr>
            </w:pPr>
            <w:r>
              <w:rPr>
                <w:rFonts w:hint="eastAsia" w:ascii="宋体" w:hAnsi="宋体" w:cs="宋体"/>
                <w:color w:val="auto"/>
                <w:kern w:val="0"/>
                <w:sz w:val="24"/>
              </w:rPr>
              <w:t>1</w:t>
            </w:r>
          </w:p>
        </w:tc>
        <w:tc>
          <w:tcPr>
            <w:tcW w:w="1701" w:type="dxa"/>
            <w:vAlign w:val="center"/>
          </w:tcPr>
          <w:p>
            <w:pPr>
              <w:jc w:val="center"/>
              <w:rPr>
                <w:rFonts w:ascii="宋体" w:hAnsi="宋体" w:cs="宋体"/>
                <w:color w:val="auto"/>
                <w:kern w:val="0"/>
                <w:sz w:val="24"/>
              </w:rPr>
            </w:pPr>
            <w:r>
              <w:rPr>
                <w:rFonts w:hint="eastAsia" w:ascii="宋体" w:hAnsi="宋体" w:cs="宋体"/>
                <w:color w:val="auto"/>
                <w:kern w:val="0"/>
                <w:sz w:val="24"/>
              </w:rPr>
              <w:t xml:space="preserve">业绩表（满分 </w:t>
            </w:r>
            <w:r>
              <w:rPr>
                <w:rFonts w:ascii="宋体" w:hAnsi="宋体" w:cs="宋体"/>
                <w:color w:val="auto"/>
                <w:kern w:val="0"/>
                <w:sz w:val="24"/>
              </w:rPr>
              <w:t>5</w:t>
            </w:r>
            <w:r>
              <w:rPr>
                <w:rFonts w:hint="eastAsia" w:ascii="宋体" w:hAnsi="宋体" w:cs="宋体"/>
                <w:color w:val="auto"/>
                <w:kern w:val="0"/>
                <w:sz w:val="24"/>
              </w:rPr>
              <w:t>分）</w:t>
            </w:r>
          </w:p>
        </w:tc>
        <w:tc>
          <w:tcPr>
            <w:tcW w:w="6775" w:type="dxa"/>
            <w:gridSpan w:val="2"/>
            <w:vAlign w:val="center"/>
          </w:tcPr>
          <w:p>
            <w:pPr>
              <w:jc w:val="left"/>
              <w:rPr>
                <w:rFonts w:ascii="宋体" w:hAnsi="宋体" w:cs="宋体"/>
                <w:color w:val="auto"/>
                <w:sz w:val="24"/>
              </w:rPr>
            </w:pPr>
            <w:r>
              <w:rPr>
                <w:rFonts w:hint="eastAsia" w:ascii="宋体" w:hAnsi="宋体" w:cs="宋体"/>
                <w:color w:val="auto"/>
                <w:sz w:val="24"/>
              </w:rPr>
              <w:t xml:space="preserve">     </w:t>
            </w:r>
            <w:r>
              <w:rPr>
                <w:rFonts w:ascii="宋体" w:hAnsi="宋体" w:cs="宋体"/>
                <w:color w:val="auto"/>
                <w:sz w:val="24"/>
              </w:rPr>
              <w:t>201</w:t>
            </w:r>
            <w:r>
              <w:rPr>
                <w:rFonts w:hint="eastAsia" w:ascii="宋体" w:hAnsi="宋体" w:cs="宋体"/>
                <w:color w:val="auto"/>
                <w:sz w:val="24"/>
              </w:rPr>
              <w:t>7年1月1日至今期间，对与本项目相关或相近的服务经验，以提供合同复印件（体现合同对方名称及签订时间，涉及到商业秘密的内容可以隐去）证明材料为准。每个业绩得</w:t>
            </w:r>
            <w:r>
              <w:rPr>
                <w:rFonts w:ascii="宋体" w:hAnsi="宋体" w:cs="宋体"/>
                <w:color w:val="auto"/>
                <w:sz w:val="24"/>
              </w:rPr>
              <w:t>1</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1</w:t>
            </w:r>
          </w:p>
        </w:tc>
        <w:tc>
          <w:tcPr>
            <w:tcW w:w="1701"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项目负责人</w:t>
            </w:r>
          </w:p>
          <w:p>
            <w:pPr>
              <w:jc w:val="center"/>
              <w:rPr>
                <w:rFonts w:ascii="宋体" w:hAnsi="宋体" w:cs="宋体"/>
                <w:color w:val="auto"/>
                <w:kern w:val="0"/>
                <w:sz w:val="24"/>
              </w:rPr>
            </w:pPr>
            <w:r>
              <w:rPr>
                <w:rFonts w:hint="eastAsia" w:ascii="宋体" w:hAnsi="宋体" w:cs="宋体"/>
                <w:color w:val="auto"/>
                <w:kern w:val="0"/>
                <w:sz w:val="24"/>
              </w:rPr>
              <w:t>（满分</w:t>
            </w:r>
            <w:r>
              <w:rPr>
                <w:rFonts w:ascii="宋体" w:hAnsi="宋体" w:cs="宋体"/>
                <w:color w:val="auto"/>
                <w:kern w:val="0"/>
                <w:sz w:val="24"/>
              </w:rPr>
              <w:t>5</w:t>
            </w:r>
            <w:r>
              <w:rPr>
                <w:rFonts w:hint="eastAsia" w:ascii="宋体" w:hAnsi="宋体" w:cs="宋体"/>
                <w:color w:val="auto"/>
                <w:kern w:val="0"/>
                <w:sz w:val="24"/>
              </w:rPr>
              <w:t>分）</w:t>
            </w:r>
          </w:p>
        </w:tc>
        <w:tc>
          <w:tcPr>
            <w:tcW w:w="4819" w:type="dxa"/>
            <w:vAlign w:val="center"/>
          </w:tcPr>
          <w:p>
            <w:pPr>
              <w:jc w:val="left"/>
              <w:rPr>
                <w:rFonts w:ascii="宋体" w:hAnsi="宋体" w:cs="宋体"/>
                <w:color w:val="auto"/>
                <w:sz w:val="24"/>
              </w:rPr>
            </w:pPr>
            <w:r>
              <w:rPr>
                <w:rFonts w:hint="eastAsia" w:ascii="宋体" w:hAnsi="宋体" w:cs="宋体"/>
                <w:color w:val="auto"/>
                <w:sz w:val="24"/>
              </w:rPr>
              <w:t>项目负责人由合伙人、首席咨询师、高级管理人员、国内知名专家担任。</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一档：</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59" w:type="dxa"/>
            <w:vMerge w:val="continue"/>
            <w:vAlign w:val="center"/>
          </w:tcPr>
          <w:p>
            <w:pPr>
              <w:jc w:val="center"/>
              <w:rPr>
                <w:rFonts w:ascii="宋体" w:hAnsi="宋体" w:cs="宋体"/>
                <w:color w:val="auto"/>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项目负责人由具有十年以上咨询工作经验的骨干咨询师担任。</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二档：</w:t>
            </w:r>
            <w:r>
              <w:rPr>
                <w:rFonts w:ascii="宋体" w:hAnsi="宋体" w:cs="宋体"/>
                <w:color w:val="auto"/>
                <w:kern w:val="0"/>
                <w:sz w:val="24"/>
              </w:rPr>
              <w:t>2</w:t>
            </w: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项目负责人由其他管理人员担任。</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三档：0-</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2</w:t>
            </w:r>
          </w:p>
        </w:tc>
        <w:tc>
          <w:tcPr>
            <w:tcW w:w="1701"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拟投入人员配置明细</w:t>
            </w:r>
          </w:p>
          <w:p>
            <w:pPr>
              <w:jc w:val="center"/>
              <w:rPr>
                <w:rFonts w:ascii="宋体" w:hAnsi="宋体" w:cs="宋体"/>
                <w:color w:val="auto"/>
                <w:kern w:val="0"/>
                <w:sz w:val="24"/>
              </w:rPr>
            </w:pPr>
            <w:r>
              <w:rPr>
                <w:rFonts w:hint="eastAsia" w:ascii="宋体" w:hAnsi="宋体" w:cs="宋体"/>
                <w:color w:val="auto"/>
                <w:kern w:val="0"/>
                <w:sz w:val="24"/>
              </w:rPr>
              <w:t>（满分</w:t>
            </w:r>
            <w:r>
              <w:rPr>
                <w:rFonts w:ascii="宋体" w:hAnsi="宋体" w:cs="宋体"/>
                <w:color w:val="auto"/>
                <w:kern w:val="0"/>
                <w:sz w:val="24"/>
              </w:rPr>
              <w:t>5</w:t>
            </w:r>
            <w:r>
              <w:rPr>
                <w:rFonts w:hint="eastAsia" w:ascii="宋体" w:hAnsi="宋体" w:cs="宋体"/>
                <w:color w:val="auto"/>
                <w:kern w:val="0"/>
                <w:sz w:val="24"/>
              </w:rPr>
              <w:t>分）</w:t>
            </w:r>
          </w:p>
        </w:tc>
        <w:tc>
          <w:tcPr>
            <w:tcW w:w="4819" w:type="dxa"/>
            <w:vAlign w:val="center"/>
          </w:tcPr>
          <w:p>
            <w:pPr>
              <w:jc w:val="left"/>
              <w:rPr>
                <w:rFonts w:ascii="宋体" w:hAnsi="宋体" w:cs="宋体"/>
                <w:color w:val="auto"/>
                <w:sz w:val="24"/>
              </w:rPr>
            </w:pPr>
            <w:r>
              <w:rPr>
                <w:rFonts w:hint="eastAsia" w:ascii="宋体" w:hAnsi="宋体" w:cs="宋体"/>
                <w:color w:val="auto"/>
                <w:sz w:val="24"/>
              </w:rPr>
              <w:t>服务团队由4名及以上工作人员组成的。</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一档：4-</w:t>
            </w:r>
            <w:r>
              <w:rPr>
                <w:rFonts w:ascii="宋体" w:hAnsi="宋体" w:cs="宋体"/>
                <w:color w:val="auto"/>
                <w:kern w:val="0"/>
                <w:sz w:val="24"/>
              </w:rPr>
              <w:t>5</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服务团队由</w:t>
            </w:r>
            <w:r>
              <w:rPr>
                <w:rFonts w:ascii="宋体" w:hAnsi="宋体" w:cs="宋体"/>
                <w:color w:val="auto"/>
                <w:sz w:val="24"/>
              </w:rPr>
              <w:t>3</w:t>
            </w:r>
            <w:r>
              <w:rPr>
                <w:rFonts w:hint="eastAsia" w:ascii="宋体" w:hAnsi="宋体" w:cs="宋体"/>
                <w:color w:val="auto"/>
                <w:sz w:val="24"/>
              </w:rPr>
              <w:t>名工作人员组成的。</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二档：2-</w:t>
            </w:r>
            <w:r>
              <w:rPr>
                <w:rFonts w:ascii="宋体" w:hAnsi="宋体" w:cs="宋体"/>
                <w:color w:val="auto"/>
                <w:kern w:val="0"/>
                <w:sz w:val="24"/>
              </w:rPr>
              <w:t>3</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服务团队由</w:t>
            </w:r>
            <w:r>
              <w:rPr>
                <w:rFonts w:ascii="宋体" w:hAnsi="宋体" w:cs="宋体"/>
                <w:color w:val="auto"/>
                <w:sz w:val="24"/>
              </w:rPr>
              <w:t>2</w:t>
            </w:r>
            <w:r>
              <w:rPr>
                <w:rFonts w:hint="eastAsia" w:ascii="宋体" w:hAnsi="宋体" w:cs="宋体"/>
                <w:color w:val="auto"/>
                <w:sz w:val="24"/>
              </w:rPr>
              <w:t>名及以下工作人员组成的。</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三档：</w:t>
            </w:r>
            <w:r>
              <w:rPr>
                <w:rFonts w:ascii="宋体" w:hAnsi="宋体" w:cs="宋体"/>
                <w:color w:val="auto"/>
                <w:kern w:val="0"/>
                <w:sz w:val="24"/>
              </w:rPr>
              <w:t>0</w:t>
            </w: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1</w:t>
            </w:r>
          </w:p>
        </w:tc>
        <w:tc>
          <w:tcPr>
            <w:tcW w:w="1701" w:type="dxa"/>
            <w:vMerge w:val="restart"/>
            <w:vAlign w:val="center"/>
          </w:tcPr>
          <w:p>
            <w:pPr>
              <w:jc w:val="left"/>
              <w:rPr>
                <w:rFonts w:ascii="宋体" w:hAnsi="宋体" w:cs="宋体"/>
                <w:color w:val="auto"/>
                <w:kern w:val="0"/>
                <w:sz w:val="24"/>
              </w:rPr>
            </w:pPr>
            <w:r>
              <w:rPr>
                <w:rFonts w:hint="eastAsia" w:ascii="宋体" w:hAnsi="宋体" w:cs="宋体"/>
                <w:color w:val="auto"/>
                <w:kern w:val="0"/>
                <w:sz w:val="24"/>
              </w:rPr>
              <w:t>拟投入服务团队负责人的相关工作业绩、资历及能力</w:t>
            </w:r>
          </w:p>
          <w:p>
            <w:pPr>
              <w:jc w:val="center"/>
              <w:rPr>
                <w:rFonts w:ascii="宋体" w:hAnsi="宋体" w:cs="宋体"/>
                <w:color w:val="auto"/>
                <w:kern w:val="0"/>
                <w:sz w:val="24"/>
              </w:rPr>
            </w:pPr>
            <w:r>
              <w:rPr>
                <w:rFonts w:hint="eastAsia" w:ascii="宋体" w:hAnsi="宋体" w:cs="宋体"/>
                <w:color w:val="auto"/>
                <w:kern w:val="0"/>
                <w:sz w:val="24"/>
              </w:rPr>
              <w:t>（满分10分）</w:t>
            </w:r>
          </w:p>
        </w:tc>
        <w:tc>
          <w:tcPr>
            <w:tcW w:w="4819" w:type="dxa"/>
            <w:vAlign w:val="center"/>
          </w:tcPr>
          <w:p>
            <w:pPr>
              <w:jc w:val="left"/>
              <w:rPr>
                <w:rFonts w:ascii="宋体" w:hAnsi="宋体" w:cs="宋体"/>
                <w:color w:val="auto"/>
                <w:sz w:val="24"/>
              </w:rPr>
            </w:pPr>
            <w:r>
              <w:rPr>
                <w:rFonts w:hint="eastAsia" w:ascii="宋体" w:hAnsi="宋体" w:cs="宋体"/>
                <w:color w:val="auto"/>
                <w:sz w:val="24"/>
              </w:rPr>
              <w:t xml:space="preserve">5年内作为负责人完成5个及以上类似咨询服务经验，包括（1）企业战略规划编制咨询（包括某具体业务规划咨询）；（2）产业策划咨询；（3）项目开发策划咨询。。 </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一档：8-10分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5年内作为负责人完成</w:t>
            </w:r>
            <w:r>
              <w:rPr>
                <w:rFonts w:ascii="宋体" w:hAnsi="宋体" w:cs="宋体"/>
                <w:color w:val="auto"/>
                <w:sz w:val="24"/>
              </w:rPr>
              <w:t>3</w:t>
            </w:r>
            <w:r>
              <w:rPr>
                <w:rFonts w:hint="eastAsia" w:ascii="宋体" w:hAnsi="宋体" w:cs="宋体"/>
                <w:color w:val="auto"/>
                <w:sz w:val="24"/>
              </w:rPr>
              <w:t>到4个类似咨询服务经验，包括（1）企业战略规划编制咨询（包括某具体业务规划咨询）；（2）产业策划咨询；（3）项目开发策划咨询。</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二档：5-7分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5年内作为负责人完成2个及以下类似咨询服务经验，包括（1）企业战略规划编制咨询（包括某具体业务规划咨询）；（2）产业策划咨询；（3）项目开发策划咨询。。</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三档：0-4分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2</w:t>
            </w:r>
          </w:p>
        </w:tc>
        <w:tc>
          <w:tcPr>
            <w:tcW w:w="1701" w:type="dxa"/>
            <w:vMerge w:val="restart"/>
            <w:vAlign w:val="center"/>
          </w:tcPr>
          <w:p>
            <w:pPr>
              <w:jc w:val="left"/>
              <w:rPr>
                <w:rFonts w:ascii="宋体" w:hAnsi="宋体" w:cs="宋体"/>
                <w:color w:val="auto"/>
                <w:kern w:val="0"/>
                <w:sz w:val="24"/>
              </w:rPr>
            </w:pPr>
            <w:r>
              <w:rPr>
                <w:rFonts w:hint="eastAsia" w:ascii="宋体" w:hAnsi="宋体" w:cs="宋体"/>
                <w:color w:val="auto"/>
                <w:kern w:val="0"/>
                <w:sz w:val="24"/>
              </w:rPr>
              <w:t>拟投入其他工作人员的相关工作业绩、资历及能力</w:t>
            </w:r>
          </w:p>
          <w:p>
            <w:pPr>
              <w:jc w:val="center"/>
              <w:rPr>
                <w:rFonts w:ascii="宋体" w:hAnsi="宋体" w:cs="宋体"/>
                <w:color w:val="auto"/>
                <w:kern w:val="0"/>
                <w:sz w:val="24"/>
              </w:rPr>
            </w:pPr>
            <w:r>
              <w:rPr>
                <w:rFonts w:hint="eastAsia" w:ascii="宋体" w:hAnsi="宋体" w:cs="宋体"/>
                <w:color w:val="auto"/>
                <w:kern w:val="0"/>
                <w:sz w:val="24"/>
              </w:rPr>
              <w:t>（满分</w:t>
            </w:r>
            <w:r>
              <w:rPr>
                <w:rFonts w:ascii="宋体" w:hAnsi="宋体" w:cs="宋体"/>
                <w:color w:val="auto"/>
                <w:kern w:val="0"/>
                <w:sz w:val="24"/>
              </w:rPr>
              <w:t>5</w:t>
            </w:r>
            <w:r>
              <w:rPr>
                <w:rFonts w:hint="eastAsia" w:ascii="宋体" w:hAnsi="宋体" w:cs="宋体"/>
                <w:color w:val="auto"/>
                <w:kern w:val="0"/>
                <w:sz w:val="24"/>
              </w:rPr>
              <w:t>分）</w:t>
            </w:r>
          </w:p>
        </w:tc>
        <w:tc>
          <w:tcPr>
            <w:tcW w:w="4819" w:type="dxa"/>
            <w:vAlign w:val="center"/>
          </w:tcPr>
          <w:p>
            <w:pPr>
              <w:jc w:val="left"/>
              <w:rPr>
                <w:rFonts w:ascii="宋体" w:hAnsi="宋体" w:cs="宋体"/>
                <w:color w:val="auto"/>
                <w:sz w:val="24"/>
              </w:rPr>
            </w:pPr>
            <w:r>
              <w:rPr>
                <w:rFonts w:hint="eastAsia" w:ascii="宋体" w:hAnsi="宋体" w:cs="宋体"/>
                <w:color w:val="auto"/>
                <w:sz w:val="24"/>
              </w:rPr>
              <w:t>服务团队成员均具有3次及以上服务工作经验的</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一档：</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服务团队成员均具有</w:t>
            </w:r>
            <w:r>
              <w:rPr>
                <w:rFonts w:ascii="宋体" w:hAnsi="宋体" w:cs="宋体"/>
                <w:color w:val="auto"/>
                <w:sz w:val="24"/>
              </w:rPr>
              <w:t>1</w:t>
            </w: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次服务工作经验的</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二档：</w:t>
            </w:r>
            <w:r>
              <w:rPr>
                <w:rFonts w:ascii="宋体" w:hAnsi="宋体" w:cs="宋体"/>
                <w:color w:val="auto"/>
                <w:kern w:val="0"/>
                <w:sz w:val="24"/>
              </w:rPr>
              <w:t>2</w:t>
            </w: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tcBorders>
              <w:bottom w:val="single" w:color="auto" w:sz="4" w:space="0"/>
            </w:tcBorders>
            <w:vAlign w:val="center"/>
          </w:tcPr>
          <w:p>
            <w:pPr>
              <w:jc w:val="center"/>
              <w:rPr>
                <w:rFonts w:ascii="宋体" w:hAnsi="宋体" w:cs="宋体"/>
                <w:color w:val="auto"/>
                <w:kern w:val="0"/>
                <w:sz w:val="24"/>
              </w:rPr>
            </w:pPr>
          </w:p>
        </w:tc>
        <w:tc>
          <w:tcPr>
            <w:tcW w:w="1701" w:type="dxa"/>
            <w:vMerge w:val="continue"/>
            <w:tcBorders>
              <w:bottom w:val="single" w:color="auto" w:sz="4" w:space="0"/>
            </w:tcBorders>
            <w:vAlign w:val="center"/>
          </w:tcPr>
          <w:p>
            <w:pPr>
              <w:jc w:val="center"/>
              <w:rPr>
                <w:rFonts w:ascii="宋体" w:hAnsi="宋体" w:cs="宋体"/>
                <w:color w:val="auto"/>
                <w:kern w:val="0"/>
                <w:sz w:val="24"/>
              </w:rPr>
            </w:pPr>
          </w:p>
        </w:tc>
        <w:tc>
          <w:tcPr>
            <w:tcW w:w="4819" w:type="dxa"/>
            <w:tcBorders>
              <w:bottom w:val="single" w:color="auto" w:sz="4" w:space="0"/>
            </w:tcBorders>
            <w:vAlign w:val="center"/>
          </w:tcPr>
          <w:p>
            <w:pPr>
              <w:jc w:val="left"/>
              <w:rPr>
                <w:rFonts w:ascii="宋体" w:hAnsi="宋体" w:cs="宋体"/>
                <w:color w:val="auto"/>
                <w:sz w:val="24"/>
              </w:rPr>
            </w:pPr>
            <w:r>
              <w:rPr>
                <w:rFonts w:hint="eastAsia" w:ascii="宋体" w:hAnsi="宋体" w:cs="宋体"/>
                <w:color w:val="auto"/>
                <w:sz w:val="24"/>
              </w:rPr>
              <w:t>服务团队成员中，有未有服务工作经验的</w:t>
            </w:r>
          </w:p>
        </w:tc>
        <w:tc>
          <w:tcPr>
            <w:tcW w:w="1956" w:type="dxa"/>
            <w:tcBorders>
              <w:bottom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三档：0-</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959" w:type="dxa"/>
            <w:vMerge w:val="restart"/>
            <w:tcBorders>
              <w:top w:val="single" w:color="auto" w:sz="4" w:space="0"/>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4</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服务方案</w:t>
            </w:r>
          </w:p>
          <w:p>
            <w:pPr>
              <w:jc w:val="center"/>
              <w:rPr>
                <w:rFonts w:ascii="宋体" w:hAnsi="宋体" w:cs="宋体"/>
                <w:color w:val="auto"/>
                <w:kern w:val="0"/>
                <w:sz w:val="24"/>
              </w:rPr>
            </w:pPr>
            <w:r>
              <w:rPr>
                <w:rFonts w:hint="eastAsia" w:ascii="宋体" w:hAnsi="宋体" w:cs="宋体"/>
                <w:color w:val="auto"/>
                <w:kern w:val="0"/>
                <w:sz w:val="24"/>
              </w:rPr>
              <w:t>（满分4</w:t>
            </w:r>
            <w:r>
              <w:rPr>
                <w:rFonts w:ascii="宋体" w:hAnsi="宋体" w:cs="宋体"/>
                <w:color w:val="auto"/>
                <w:kern w:val="0"/>
                <w:sz w:val="24"/>
              </w:rPr>
              <w:t>0</w:t>
            </w:r>
            <w:r>
              <w:rPr>
                <w:rFonts w:hint="eastAsia" w:ascii="宋体" w:hAnsi="宋体" w:cs="宋体"/>
                <w:color w:val="auto"/>
                <w:kern w:val="0"/>
                <w:sz w:val="24"/>
              </w:rPr>
              <w:t>分）</w:t>
            </w:r>
          </w:p>
        </w:tc>
        <w:tc>
          <w:tcPr>
            <w:tcW w:w="48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4"/>
              </w:rPr>
            </w:pPr>
            <w:r>
              <w:rPr>
                <w:rFonts w:hint="eastAsia" w:ascii="宋体" w:hAnsi="宋体" w:cs="宋体"/>
                <w:color w:val="auto"/>
                <w:kern w:val="0"/>
                <w:sz w:val="24"/>
              </w:rPr>
              <w:t>（1）项目实施思路清晰明确，对重难点问题把握精准，符合比选发起人当前实际需求。</w:t>
            </w:r>
          </w:p>
          <w:p>
            <w:pPr>
              <w:jc w:val="left"/>
              <w:rPr>
                <w:rFonts w:ascii="宋体" w:hAnsi="宋体" w:cs="宋体"/>
                <w:color w:val="auto"/>
                <w:kern w:val="0"/>
                <w:sz w:val="24"/>
              </w:rPr>
            </w:pPr>
            <w:r>
              <w:rPr>
                <w:rFonts w:hint="eastAsia" w:ascii="宋体" w:hAnsi="宋体" w:cs="宋体"/>
                <w:color w:val="auto"/>
                <w:kern w:val="0"/>
                <w:sz w:val="24"/>
              </w:rPr>
              <w:t>（2）项目实施方案具有前瞻性、方向性，提出创造性观点并具有合理性和可操作性。</w:t>
            </w:r>
          </w:p>
          <w:p>
            <w:pPr>
              <w:jc w:val="left"/>
              <w:rPr>
                <w:rFonts w:ascii="宋体" w:hAnsi="宋体" w:cs="宋体"/>
                <w:color w:val="auto"/>
                <w:kern w:val="0"/>
                <w:sz w:val="24"/>
              </w:rPr>
            </w:pPr>
            <w:r>
              <w:rPr>
                <w:rFonts w:hint="eastAsia" w:ascii="宋体" w:hAnsi="宋体" w:cs="宋体"/>
                <w:color w:val="auto"/>
                <w:kern w:val="0"/>
                <w:sz w:val="24"/>
              </w:rPr>
              <w:t>（3）项目提供成果全面具体，涵盖本项目整体需求。</w:t>
            </w:r>
          </w:p>
          <w:p>
            <w:pPr>
              <w:jc w:val="left"/>
              <w:rPr>
                <w:rFonts w:ascii="宋体" w:hAnsi="宋体" w:cs="宋体"/>
                <w:color w:val="auto"/>
                <w:kern w:val="0"/>
                <w:sz w:val="24"/>
              </w:rPr>
            </w:pPr>
            <w:r>
              <w:rPr>
                <w:rFonts w:hint="eastAsia" w:ascii="宋体" w:hAnsi="宋体" w:cs="宋体"/>
                <w:color w:val="auto"/>
                <w:kern w:val="0"/>
                <w:sz w:val="24"/>
              </w:rPr>
              <w:t>（4）项目负责人完全具备现场解决疑难问题、协调不同意见的经验和能力。</w:t>
            </w:r>
          </w:p>
          <w:p>
            <w:pPr>
              <w:jc w:val="left"/>
              <w:rPr>
                <w:rFonts w:ascii="宋体" w:hAnsi="宋体" w:cs="宋体"/>
                <w:color w:val="auto"/>
                <w:sz w:val="24"/>
              </w:rPr>
            </w:pPr>
            <w:r>
              <w:rPr>
                <w:rFonts w:hint="eastAsia" w:ascii="宋体" w:hAnsi="宋体" w:cs="宋体"/>
                <w:color w:val="auto"/>
                <w:kern w:val="0"/>
                <w:sz w:val="24"/>
              </w:rPr>
              <w:t>（5）项目质量保障措施完备，其他增值服务丰富。</w:t>
            </w:r>
          </w:p>
        </w:tc>
        <w:tc>
          <w:tcPr>
            <w:tcW w:w="1956" w:type="dxa"/>
            <w:tcBorders>
              <w:top w:val="single" w:color="auto" w:sz="4" w:space="0"/>
              <w:left w:val="single" w:color="auto" w:sz="4" w:space="0"/>
              <w:bottom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一档：3</w:t>
            </w:r>
            <w:r>
              <w:rPr>
                <w:rFonts w:ascii="宋体" w:hAnsi="宋体" w:cs="宋体"/>
                <w:color w:val="auto"/>
                <w:kern w:val="0"/>
                <w:sz w:val="24"/>
              </w:rPr>
              <w:t>1</w:t>
            </w:r>
            <w:r>
              <w:rPr>
                <w:rFonts w:hint="eastAsia" w:ascii="宋体" w:hAnsi="宋体" w:cs="宋体"/>
                <w:color w:val="auto"/>
                <w:kern w:val="0"/>
                <w:sz w:val="24"/>
              </w:rPr>
              <w:t>-4</w:t>
            </w:r>
            <w:r>
              <w:rPr>
                <w:rFonts w:ascii="宋体" w:hAnsi="宋体" w:cs="宋体"/>
                <w:color w:val="auto"/>
                <w:kern w:val="0"/>
                <w:sz w:val="24"/>
              </w:rPr>
              <w:t>0</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tcBorders>
              <w:top w:val="single" w:color="auto" w:sz="4" w:space="0"/>
            </w:tcBorders>
            <w:vAlign w:val="center"/>
          </w:tcPr>
          <w:p>
            <w:pPr>
              <w:jc w:val="center"/>
              <w:rPr>
                <w:rFonts w:ascii="宋体" w:hAnsi="宋体" w:cs="宋体"/>
                <w:color w:val="auto"/>
                <w:kern w:val="0"/>
                <w:sz w:val="24"/>
              </w:rPr>
            </w:pPr>
          </w:p>
        </w:tc>
        <w:tc>
          <w:tcPr>
            <w:tcW w:w="1701" w:type="dxa"/>
            <w:vMerge w:val="continue"/>
            <w:tcBorders>
              <w:top w:val="single" w:color="auto" w:sz="4" w:space="0"/>
            </w:tcBorders>
            <w:vAlign w:val="center"/>
          </w:tcPr>
          <w:p>
            <w:pPr>
              <w:jc w:val="center"/>
              <w:rPr>
                <w:rFonts w:ascii="宋体" w:hAnsi="宋体" w:cs="宋体"/>
                <w:color w:val="auto"/>
                <w:kern w:val="0"/>
                <w:sz w:val="24"/>
              </w:rPr>
            </w:pPr>
          </w:p>
        </w:tc>
        <w:tc>
          <w:tcPr>
            <w:tcW w:w="4819" w:type="dxa"/>
            <w:tcBorders>
              <w:top w:val="single" w:color="auto" w:sz="4" w:space="0"/>
            </w:tcBorders>
            <w:vAlign w:val="center"/>
          </w:tcPr>
          <w:p>
            <w:pPr>
              <w:jc w:val="left"/>
              <w:rPr>
                <w:rFonts w:ascii="宋体" w:hAnsi="宋体" w:cs="宋体"/>
                <w:color w:val="auto"/>
                <w:kern w:val="0"/>
                <w:sz w:val="24"/>
              </w:rPr>
            </w:pPr>
            <w:r>
              <w:rPr>
                <w:rFonts w:hint="eastAsia" w:ascii="宋体" w:hAnsi="宋体" w:cs="宋体"/>
                <w:color w:val="auto"/>
                <w:kern w:val="0"/>
                <w:sz w:val="24"/>
              </w:rPr>
              <w:t>（1）基本能够明确项目实施思路，能够把握重难点问题，基本符合比选发起人当前实际需求。</w:t>
            </w:r>
          </w:p>
          <w:p>
            <w:pPr>
              <w:jc w:val="left"/>
              <w:rPr>
                <w:rFonts w:ascii="宋体" w:hAnsi="宋体" w:cs="宋体"/>
                <w:color w:val="auto"/>
                <w:kern w:val="0"/>
                <w:sz w:val="24"/>
              </w:rPr>
            </w:pPr>
            <w:r>
              <w:rPr>
                <w:rFonts w:hint="eastAsia" w:ascii="宋体" w:hAnsi="宋体" w:cs="宋体"/>
                <w:color w:val="auto"/>
                <w:kern w:val="0"/>
                <w:sz w:val="24"/>
              </w:rPr>
              <w:t>（2）项目实施方案具有可行性、合理性和可操作性。</w:t>
            </w:r>
          </w:p>
          <w:p>
            <w:pPr>
              <w:jc w:val="left"/>
              <w:rPr>
                <w:rFonts w:ascii="宋体" w:hAnsi="宋体" w:cs="宋体"/>
                <w:color w:val="auto"/>
                <w:kern w:val="0"/>
                <w:sz w:val="24"/>
              </w:rPr>
            </w:pPr>
            <w:r>
              <w:rPr>
                <w:rFonts w:hint="eastAsia" w:ascii="宋体" w:hAnsi="宋体" w:cs="宋体"/>
                <w:color w:val="auto"/>
                <w:kern w:val="0"/>
                <w:sz w:val="24"/>
              </w:rPr>
              <w:t>（3）项目提供成果全面具体，涵盖本项目整体需求。</w:t>
            </w:r>
          </w:p>
          <w:p>
            <w:pPr>
              <w:jc w:val="left"/>
              <w:rPr>
                <w:rFonts w:ascii="宋体" w:hAnsi="宋体" w:cs="宋体"/>
                <w:color w:val="auto"/>
                <w:kern w:val="0"/>
                <w:sz w:val="24"/>
              </w:rPr>
            </w:pPr>
            <w:r>
              <w:rPr>
                <w:rFonts w:hint="eastAsia" w:ascii="宋体" w:hAnsi="宋体" w:cs="宋体"/>
                <w:color w:val="auto"/>
                <w:kern w:val="0"/>
                <w:sz w:val="24"/>
              </w:rPr>
              <w:t>（4）项目负责人具备一定的经验和能力，能够通过自身能力及外部指导完成项目。</w:t>
            </w:r>
          </w:p>
          <w:p>
            <w:pPr>
              <w:jc w:val="left"/>
              <w:rPr>
                <w:rFonts w:ascii="宋体" w:hAnsi="宋体" w:cs="宋体"/>
                <w:color w:val="auto"/>
                <w:kern w:val="0"/>
                <w:sz w:val="24"/>
              </w:rPr>
            </w:pPr>
            <w:r>
              <w:rPr>
                <w:rFonts w:hint="eastAsia" w:ascii="宋体" w:hAnsi="宋体" w:cs="宋体"/>
                <w:color w:val="auto"/>
                <w:kern w:val="0"/>
                <w:sz w:val="24"/>
              </w:rPr>
              <w:t>（5）项目质量保障措施满足比选发起人需求，其他增值服务内容较为实用。</w:t>
            </w:r>
          </w:p>
        </w:tc>
        <w:tc>
          <w:tcPr>
            <w:tcW w:w="1956" w:type="dxa"/>
            <w:tcBorders>
              <w:top w:val="single" w:color="auto" w:sz="4" w:space="0"/>
            </w:tcBorders>
            <w:vAlign w:val="center"/>
          </w:tcPr>
          <w:p>
            <w:pPr>
              <w:jc w:val="center"/>
              <w:rPr>
                <w:rFonts w:ascii="宋体" w:hAnsi="宋体" w:cs="宋体"/>
                <w:color w:val="auto"/>
                <w:kern w:val="0"/>
                <w:sz w:val="24"/>
              </w:rPr>
            </w:pPr>
            <w:r>
              <w:rPr>
                <w:rFonts w:hint="eastAsia" w:ascii="宋体" w:hAnsi="宋体" w:cs="宋体"/>
                <w:color w:val="auto"/>
                <w:kern w:val="0"/>
                <w:sz w:val="24"/>
              </w:rPr>
              <w:t>二档：16-3</w:t>
            </w:r>
            <w:r>
              <w:rPr>
                <w:rFonts w:ascii="宋体" w:hAnsi="宋体" w:cs="宋体"/>
                <w:color w:val="auto"/>
                <w:kern w:val="0"/>
                <w:sz w:val="24"/>
              </w:rPr>
              <w:t>0</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kern w:val="0"/>
                <w:sz w:val="24"/>
              </w:rPr>
            </w:pPr>
            <w:r>
              <w:rPr>
                <w:rFonts w:hint="eastAsia" w:ascii="宋体" w:hAnsi="宋体" w:cs="宋体"/>
                <w:color w:val="auto"/>
                <w:kern w:val="0"/>
                <w:sz w:val="24"/>
              </w:rPr>
              <w:t>（1）不能明确项目实施思路，不能准确把握重难点问题，不能基本符合比选发起人当前实际需求。</w:t>
            </w:r>
          </w:p>
          <w:p>
            <w:pPr>
              <w:jc w:val="left"/>
              <w:rPr>
                <w:rFonts w:ascii="宋体" w:hAnsi="宋体" w:cs="宋体"/>
                <w:color w:val="auto"/>
                <w:kern w:val="0"/>
                <w:sz w:val="24"/>
              </w:rPr>
            </w:pPr>
            <w:r>
              <w:rPr>
                <w:rFonts w:hint="eastAsia" w:ascii="宋体" w:hAnsi="宋体" w:cs="宋体"/>
                <w:color w:val="auto"/>
                <w:kern w:val="0"/>
                <w:sz w:val="24"/>
              </w:rPr>
              <w:t>（2）项目实施方案不能具有较好的可行性、合理性和可操作性。</w:t>
            </w:r>
          </w:p>
          <w:p>
            <w:pPr>
              <w:jc w:val="left"/>
              <w:rPr>
                <w:rFonts w:ascii="宋体" w:hAnsi="宋体" w:cs="宋体"/>
                <w:color w:val="auto"/>
                <w:kern w:val="0"/>
                <w:sz w:val="24"/>
              </w:rPr>
            </w:pPr>
            <w:r>
              <w:rPr>
                <w:rFonts w:hint="eastAsia" w:ascii="宋体" w:hAnsi="宋体" w:cs="宋体"/>
                <w:color w:val="auto"/>
                <w:kern w:val="0"/>
                <w:sz w:val="24"/>
              </w:rPr>
              <w:t>（3）项目提供成果不够全面具体，不能涵盖本项目整体需求。</w:t>
            </w:r>
          </w:p>
          <w:p>
            <w:pPr>
              <w:jc w:val="left"/>
              <w:rPr>
                <w:rFonts w:ascii="宋体" w:hAnsi="宋体" w:cs="宋体"/>
                <w:color w:val="auto"/>
                <w:kern w:val="0"/>
                <w:sz w:val="24"/>
              </w:rPr>
            </w:pPr>
            <w:r>
              <w:rPr>
                <w:rFonts w:hint="eastAsia" w:ascii="宋体" w:hAnsi="宋体" w:cs="宋体"/>
                <w:color w:val="auto"/>
                <w:kern w:val="0"/>
                <w:sz w:val="24"/>
              </w:rPr>
              <w:t>（4）项目负责人能力不足以满足项目需求。</w:t>
            </w:r>
          </w:p>
          <w:p>
            <w:pPr>
              <w:jc w:val="left"/>
              <w:rPr>
                <w:rFonts w:ascii="宋体" w:hAnsi="宋体" w:cs="宋体"/>
                <w:color w:val="auto"/>
                <w:kern w:val="0"/>
                <w:sz w:val="24"/>
              </w:rPr>
            </w:pPr>
            <w:r>
              <w:rPr>
                <w:rFonts w:hint="eastAsia" w:ascii="宋体" w:hAnsi="宋体" w:cs="宋体"/>
                <w:color w:val="auto"/>
                <w:kern w:val="0"/>
                <w:sz w:val="24"/>
              </w:rPr>
              <w:t>（5）项目质量保障措施不足，其他增值服务不具实用价值。</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三档：0-15分</w:t>
            </w:r>
          </w:p>
        </w:tc>
      </w:tr>
    </w:tbl>
    <w:p>
      <w:pPr>
        <w:pStyle w:val="6"/>
        <w:spacing w:line="240" w:lineRule="auto"/>
        <w:rPr>
          <w:color w:val="auto"/>
          <w:szCs w:val="28"/>
        </w:rPr>
        <w:sectPr>
          <w:footerReference r:id="rId5" w:type="default"/>
          <w:pgSz w:w="11906" w:h="16838"/>
          <w:pgMar w:top="1440" w:right="1247" w:bottom="1440" w:left="1440" w:header="851" w:footer="992" w:gutter="0"/>
          <w:pgNumType w:start="1"/>
          <w:cols w:space="0" w:num="1"/>
          <w:docGrid w:linePitch="312" w:charSpace="0"/>
        </w:sectPr>
      </w:pPr>
    </w:p>
    <w:p>
      <w:pPr>
        <w:pStyle w:val="6"/>
        <w:spacing w:line="240" w:lineRule="auto"/>
        <w:rPr>
          <w:color w:val="auto"/>
          <w:szCs w:val="28"/>
        </w:rPr>
      </w:pPr>
      <w:bookmarkStart w:id="517" w:name="_Toc14397"/>
      <w:bookmarkStart w:id="518" w:name="_Toc6135"/>
      <w:bookmarkStart w:id="519" w:name="_Toc13819"/>
      <w:bookmarkStart w:id="520" w:name="_Toc14235"/>
      <w:r>
        <w:rPr>
          <w:rFonts w:hint="eastAsia"/>
          <w:color w:val="auto"/>
          <w:szCs w:val="28"/>
        </w:rPr>
        <w:t>四、中选标准</w:t>
      </w:r>
      <w:bookmarkEnd w:id="504"/>
      <w:bookmarkEnd w:id="505"/>
      <w:bookmarkEnd w:id="506"/>
      <w:bookmarkEnd w:id="507"/>
      <w:bookmarkEnd w:id="508"/>
      <w:bookmarkEnd w:id="509"/>
      <w:bookmarkEnd w:id="510"/>
      <w:bookmarkEnd w:id="511"/>
      <w:bookmarkEnd w:id="512"/>
      <w:bookmarkEnd w:id="513"/>
      <w:bookmarkEnd w:id="517"/>
      <w:bookmarkEnd w:id="518"/>
      <w:bookmarkEnd w:id="519"/>
      <w:bookmarkEnd w:id="520"/>
    </w:p>
    <w:p>
      <w:pPr>
        <w:ind w:right="754" w:firstLine="560" w:firstLineChars="200"/>
        <w:jc w:val="left"/>
        <w:rPr>
          <w:rFonts w:ascii="宋体" w:hAnsi="宋体" w:cs="宋体"/>
          <w:color w:val="auto"/>
          <w:sz w:val="28"/>
          <w:szCs w:val="28"/>
        </w:rPr>
      </w:pPr>
      <w:r>
        <w:rPr>
          <w:rFonts w:hint="eastAsia" w:ascii="宋体" w:hAnsi="宋体" w:cs="宋体"/>
          <w:color w:val="auto"/>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firstLine="560" w:firstLineChars="200"/>
        <w:jc w:val="left"/>
        <w:rPr>
          <w:rFonts w:ascii="宋体" w:hAnsi="宋体" w:cs="宋体"/>
          <w:color w:val="auto"/>
          <w:sz w:val="28"/>
          <w:szCs w:val="28"/>
        </w:rPr>
      </w:pPr>
    </w:p>
    <w:p>
      <w:pPr>
        <w:ind w:right="753"/>
        <w:jc w:val="left"/>
        <w:rPr>
          <w:rFonts w:ascii="宋体" w:hAnsi="宋体" w:cs="宋体"/>
          <w:color w:val="auto"/>
          <w:sz w:val="28"/>
          <w:szCs w:val="28"/>
        </w:rPr>
      </w:pPr>
    </w:p>
    <w:sectPr>
      <w:pgSz w:w="11906" w:h="16838"/>
      <w:pgMar w:top="1440" w:right="1247" w:bottom="1440"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&#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EJdD19YBAACvAwAADgAAAAAAAAABACAAAAAe&#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CF438"/>
    <w:multiLevelType w:val="singleLevel"/>
    <w:tmpl w:val="9BFCF438"/>
    <w:lvl w:ilvl="0" w:tentative="0">
      <w:start w:val="1"/>
      <w:numFmt w:val="decimal"/>
      <w:suff w:val="nothing"/>
      <w:lvlText w:val="（%1）"/>
      <w:lvlJc w:val="left"/>
    </w:lvl>
  </w:abstractNum>
  <w:abstractNum w:abstractNumId="1">
    <w:nsid w:val="BD96D85D"/>
    <w:multiLevelType w:val="singleLevel"/>
    <w:tmpl w:val="BD96D85D"/>
    <w:lvl w:ilvl="0" w:tentative="0">
      <w:start w:val="1"/>
      <w:numFmt w:val="decimal"/>
      <w:suff w:val="nothing"/>
      <w:lvlText w:val="（%1）"/>
      <w:lvlJc w:val="left"/>
    </w:lvl>
  </w:abstractNum>
  <w:abstractNum w:abstractNumId="2">
    <w:nsid w:val="0B1C5579"/>
    <w:multiLevelType w:val="multilevel"/>
    <w:tmpl w:val="0B1C5579"/>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0D345ECF"/>
    <w:multiLevelType w:val="singleLevel"/>
    <w:tmpl w:val="0D345ECF"/>
    <w:lvl w:ilvl="0" w:tentative="0">
      <w:start w:val="1"/>
      <w:numFmt w:val="decimal"/>
      <w:suff w:val="nothing"/>
      <w:lvlText w:val="（%1）"/>
      <w:lvlJc w:val="left"/>
    </w:lvl>
  </w:abstractNum>
  <w:abstractNum w:abstractNumId="4">
    <w:nsid w:val="2F0BB728"/>
    <w:multiLevelType w:val="singleLevel"/>
    <w:tmpl w:val="2F0BB728"/>
    <w:lvl w:ilvl="0" w:tentative="0">
      <w:start w:val="1"/>
      <w:numFmt w:val="decimal"/>
      <w:suff w:val="nothing"/>
      <w:lvlText w:val="（%1）"/>
      <w:lvlJc w:val="left"/>
    </w:lvl>
  </w:abstractNum>
  <w:abstractNum w:abstractNumId="5">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21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jZGFmYjBiMDk0ZmY3NWI2ODRkMGY3NThlMzM0ZDIifQ=="/>
  </w:docVars>
  <w:rsids>
    <w:rsidRoot w:val="00172A27"/>
    <w:rsid w:val="00002B51"/>
    <w:rsid w:val="00004008"/>
    <w:rsid w:val="000043FF"/>
    <w:rsid w:val="00004A25"/>
    <w:rsid w:val="00006245"/>
    <w:rsid w:val="00006BB5"/>
    <w:rsid w:val="00006E49"/>
    <w:rsid w:val="00007092"/>
    <w:rsid w:val="000077F1"/>
    <w:rsid w:val="00007885"/>
    <w:rsid w:val="00010DF1"/>
    <w:rsid w:val="00011A3B"/>
    <w:rsid w:val="00011A63"/>
    <w:rsid w:val="000121F0"/>
    <w:rsid w:val="00013699"/>
    <w:rsid w:val="00013C92"/>
    <w:rsid w:val="000152A8"/>
    <w:rsid w:val="000158C4"/>
    <w:rsid w:val="00015BF7"/>
    <w:rsid w:val="00016D41"/>
    <w:rsid w:val="00016E1C"/>
    <w:rsid w:val="0002209A"/>
    <w:rsid w:val="0002218A"/>
    <w:rsid w:val="0002500A"/>
    <w:rsid w:val="00025256"/>
    <w:rsid w:val="0002675F"/>
    <w:rsid w:val="00026FFC"/>
    <w:rsid w:val="000318D8"/>
    <w:rsid w:val="00031CD0"/>
    <w:rsid w:val="00034796"/>
    <w:rsid w:val="0003744B"/>
    <w:rsid w:val="00041568"/>
    <w:rsid w:val="00042228"/>
    <w:rsid w:val="0004602C"/>
    <w:rsid w:val="00047299"/>
    <w:rsid w:val="000473D4"/>
    <w:rsid w:val="00047AA2"/>
    <w:rsid w:val="00050E7F"/>
    <w:rsid w:val="00050E93"/>
    <w:rsid w:val="00052B63"/>
    <w:rsid w:val="00052CA2"/>
    <w:rsid w:val="00053C83"/>
    <w:rsid w:val="0005451B"/>
    <w:rsid w:val="00054F81"/>
    <w:rsid w:val="0005587B"/>
    <w:rsid w:val="0005651D"/>
    <w:rsid w:val="00057BDC"/>
    <w:rsid w:val="00060A69"/>
    <w:rsid w:val="00062107"/>
    <w:rsid w:val="00063688"/>
    <w:rsid w:val="000652A2"/>
    <w:rsid w:val="00065F22"/>
    <w:rsid w:val="000707A8"/>
    <w:rsid w:val="0007095D"/>
    <w:rsid w:val="00071C48"/>
    <w:rsid w:val="000721B2"/>
    <w:rsid w:val="00072A19"/>
    <w:rsid w:val="0007429E"/>
    <w:rsid w:val="00074FEF"/>
    <w:rsid w:val="00076DF2"/>
    <w:rsid w:val="000773F0"/>
    <w:rsid w:val="00082DFF"/>
    <w:rsid w:val="00084306"/>
    <w:rsid w:val="000843B4"/>
    <w:rsid w:val="00085548"/>
    <w:rsid w:val="000859E7"/>
    <w:rsid w:val="00086520"/>
    <w:rsid w:val="000866D4"/>
    <w:rsid w:val="0008795C"/>
    <w:rsid w:val="00087B2C"/>
    <w:rsid w:val="00092170"/>
    <w:rsid w:val="00093C1E"/>
    <w:rsid w:val="00094668"/>
    <w:rsid w:val="00095A3A"/>
    <w:rsid w:val="000971C8"/>
    <w:rsid w:val="000A36D1"/>
    <w:rsid w:val="000A4B9C"/>
    <w:rsid w:val="000A6250"/>
    <w:rsid w:val="000A78B8"/>
    <w:rsid w:val="000B0BA3"/>
    <w:rsid w:val="000B1107"/>
    <w:rsid w:val="000B11EC"/>
    <w:rsid w:val="000B26D7"/>
    <w:rsid w:val="000B2862"/>
    <w:rsid w:val="000B2D2E"/>
    <w:rsid w:val="000B2D48"/>
    <w:rsid w:val="000B35D4"/>
    <w:rsid w:val="000B6659"/>
    <w:rsid w:val="000C3D10"/>
    <w:rsid w:val="000C488A"/>
    <w:rsid w:val="000C4E33"/>
    <w:rsid w:val="000C69DD"/>
    <w:rsid w:val="000D0354"/>
    <w:rsid w:val="000D1897"/>
    <w:rsid w:val="000D61FD"/>
    <w:rsid w:val="000D67D8"/>
    <w:rsid w:val="000D7E70"/>
    <w:rsid w:val="000E2013"/>
    <w:rsid w:val="000E3A4D"/>
    <w:rsid w:val="000E3EF7"/>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4EF8"/>
    <w:rsid w:val="0010733F"/>
    <w:rsid w:val="00107C43"/>
    <w:rsid w:val="00111B38"/>
    <w:rsid w:val="00111C5D"/>
    <w:rsid w:val="00111EE3"/>
    <w:rsid w:val="0011328C"/>
    <w:rsid w:val="001144D2"/>
    <w:rsid w:val="00115D5C"/>
    <w:rsid w:val="001202B5"/>
    <w:rsid w:val="00124D07"/>
    <w:rsid w:val="001255FC"/>
    <w:rsid w:val="00126543"/>
    <w:rsid w:val="00127D4A"/>
    <w:rsid w:val="001309AA"/>
    <w:rsid w:val="001310DF"/>
    <w:rsid w:val="00132EE5"/>
    <w:rsid w:val="001330C5"/>
    <w:rsid w:val="00136773"/>
    <w:rsid w:val="00141D5F"/>
    <w:rsid w:val="0014219C"/>
    <w:rsid w:val="0014338D"/>
    <w:rsid w:val="001442DB"/>
    <w:rsid w:val="0014456C"/>
    <w:rsid w:val="001449DE"/>
    <w:rsid w:val="00150488"/>
    <w:rsid w:val="001520CD"/>
    <w:rsid w:val="00153375"/>
    <w:rsid w:val="00153BCB"/>
    <w:rsid w:val="00154126"/>
    <w:rsid w:val="00154FA0"/>
    <w:rsid w:val="00155A9D"/>
    <w:rsid w:val="00157DF1"/>
    <w:rsid w:val="001610FF"/>
    <w:rsid w:val="0016228E"/>
    <w:rsid w:val="0016295E"/>
    <w:rsid w:val="00163115"/>
    <w:rsid w:val="001662B3"/>
    <w:rsid w:val="001662F2"/>
    <w:rsid w:val="001663DA"/>
    <w:rsid w:val="00170EBD"/>
    <w:rsid w:val="001713FC"/>
    <w:rsid w:val="00172A27"/>
    <w:rsid w:val="00176048"/>
    <w:rsid w:val="00177BAE"/>
    <w:rsid w:val="00180BF0"/>
    <w:rsid w:val="00185446"/>
    <w:rsid w:val="001871F4"/>
    <w:rsid w:val="00191030"/>
    <w:rsid w:val="00192B73"/>
    <w:rsid w:val="00196765"/>
    <w:rsid w:val="0019773A"/>
    <w:rsid w:val="001A01E7"/>
    <w:rsid w:val="001A2E1E"/>
    <w:rsid w:val="001A300C"/>
    <w:rsid w:val="001A54B4"/>
    <w:rsid w:val="001A7092"/>
    <w:rsid w:val="001A7894"/>
    <w:rsid w:val="001A7FCC"/>
    <w:rsid w:val="001B1E3E"/>
    <w:rsid w:val="001B754E"/>
    <w:rsid w:val="001B7E76"/>
    <w:rsid w:val="001C499E"/>
    <w:rsid w:val="001C4EF7"/>
    <w:rsid w:val="001C4FE0"/>
    <w:rsid w:val="001C5F66"/>
    <w:rsid w:val="001C5F79"/>
    <w:rsid w:val="001C605F"/>
    <w:rsid w:val="001C6C27"/>
    <w:rsid w:val="001C6E55"/>
    <w:rsid w:val="001C7BC8"/>
    <w:rsid w:val="001D0F17"/>
    <w:rsid w:val="001D3F0A"/>
    <w:rsid w:val="001D4067"/>
    <w:rsid w:val="001D4508"/>
    <w:rsid w:val="001D54D7"/>
    <w:rsid w:val="001D5BC1"/>
    <w:rsid w:val="001D7F3C"/>
    <w:rsid w:val="001E086F"/>
    <w:rsid w:val="001E1185"/>
    <w:rsid w:val="001E3135"/>
    <w:rsid w:val="001E3877"/>
    <w:rsid w:val="001E4FFB"/>
    <w:rsid w:val="001E56AB"/>
    <w:rsid w:val="001E5D57"/>
    <w:rsid w:val="001E6897"/>
    <w:rsid w:val="001E6FA6"/>
    <w:rsid w:val="001F35F6"/>
    <w:rsid w:val="001F3870"/>
    <w:rsid w:val="001F4BDB"/>
    <w:rsid w:val="001F6C3B"/>
    <w:rsid w:val="001F701C"/>
    <w:rsid w:val="001F728C"/>
    <w:rsid w:val="0020071F"/>
    <w:rsid w:val="00200760"/>
    <w:rsid w:val="00200936"/>
    <w:rsid w:val="0020208B"/>
    <w:rsid w:val="00203566"/>
    <w:rsid w:val="00205A6E"/>
    <w:rsid w:val="00206C13"/>
    <w:rsid w:val="002115C2"/>
    <w:rsid w:val="002134A1"/>
    <w:rsid w:val="0021374F"/>
    <w:rsid w:val="00217C6B"/>
    <w:rsid w:val="00217DD1"/>
    <w:rsid w:val="00220052"/>
    <w:rsid w:val="00220C52"/>
    <w:rsid w:val="002230F2"/>
    <w:rsid w:val="00225ADC"/>
    <w:rsid w:val="00225B9E"/>
    <w:rsid w:val="002267BB"/>
    <w:rsid w:val="00227BD1"/>
    <w:rsid w:val="00227FC9"/>
    <w:rsid w:val="0023123F"/>
    <w:rsid w:val="00241BF1"/>
    <w:rsid w:val="002422EC"/>
    <w:rsid w:val="00242EA9"/>
    <w:rsid w:val="002434C7"/>
    <w:rsid w:val="002459DE"/>
    <w:rsid w:val="002470C0"/>
    <w:rsid w:val="002472A7"/>
    <w:rsid w:val="00247729"/>
    <w:rsid w:val="00251C46"/>
    <w:rsid w:val="00251EEB"/>
    <w:rsid w:val="002528A0"/>
    <w:rsid w:val="002536AF"/>
    <w:rsid w:val="00254C9E"/>
    <w:rsid w:val="00261923"/>
    <w:rsid w:val="00263316"/>
    <w:rsid w:val="00263451"/>
    <w:rsid w:val="002658DA"/>
    <w:rsid w:val="0026672D"/>
    <w:rsid w:val="00270C77"/>
    <w:rsid w:val="00271F3E"/>
    <w:rsid w:val="002742AA"/>
    <w:rsid w:val="00275122"/>
    <w:rsid w:val="00275CC8"/>
    <w:rsid w:val="00276ECA"/>
    <w:rsid w:val="00282402"/>
    <w:rsid w:val="00282939"/>
    <w:rsid w:val="00282F6A"/>
    <w:rsid w:val="00282FAF"/>
    <w:rsid w:val="002843C7"/>
    <w:rsid w:val="002923C2"/>
    <w:rsid w:val="0029350D"/>
    <w:rsid w:val="00293910"/>
    <w:rsid w:val="00293913"/>
    <w:rsid w:val="00294554"/>
    <w:rsid w:val="0029680C"/>
    <w:rsid w:val="00296D4F"/>
    <w:rsid w:val="002979D7"/>
    <w:rsid w:val="002A05FA"/>
    <w:rsid w:val="002A0884"/>
    <w:rsid w:val="002A0903"/>
    <w:rsid w:val="002A26D4"/>
    <w:rsid w:val="002A2901"/>
    <w:rsid w:val="002A29EF"/>
    <w:rsid w:val="002A46FE"/>
    <w:rsid w:val="002A5A1A"/>
    <w:rsid w:val="002A60F9"/>
    <w:rsid w:val="002A6670"/>
    <w:rsid w:val="002A75C4"/>
    <w:rsid w:val="002A7A98"/>
    <w:rsid w:val="002B15F7"/>
    <w:rsid w:val="002B2569"/>
    <w:rsid w:val="002B28B9"/>
    <w:rsid w:val="002B4CB7"/>
    <w:rsid w:val="002B51AA"/>
    <w:rsid w:val="002B5539"/>
    <w:rsid w:val="002B5664"/>
    <w:rsid w:val="002B65D0"/>
    <w:rsid w:val="002B74C3"/>
    <w:rsid w:val="002C23BD"/>
    <w:rsid w:val="002C254F"/>
    <w:rsid w:val="002C32DE"/>
    <w:rsid w:val="002C3F22"/>
    <w:rsid w:val="002C4464"/>
    <w:rsid w:val="002C44B1"/>
    <w:rsid w:val="002C4B45"/>
    <w:rsid w:val="002C5102"/>
    <w:rsid w:val="002C552D"/>
    <w:rsid w:val="002C57EF"/>
    <w:rsid w:val="002C5844"/>
    <w:rsid w:val="002C61BE"/>
    <w:rsid w:val="002C7300"/>
    <w:rsid w:val="002C74E7"/>
    <w:rsid w:val="002D06CA"/>
    <w:rsid w:val="002D09F6"/>
    <w:rsid w:val="002D2471"/>
    <w:rsid w:val="002D2F47"/>
    <w:rsid w:val="002D6ADF"/>
    <w:rsid w:val="002E05BD"/>
    <w:rsid w:val="002E0B24"/>
    <w:rsid w:val="002E0BCC"/>
    <w:rsid w:val="002E10D0"/>
    <w:rsid w:val="002E341E"/>
    <w:rsid w:val="002E41B0"/>
    <w:rsid w:val="002F1449"/>
    <w:rsid w:val="002F19D3"/>
    <w:rsid w:val="002F36AB"/>
    <w:rsid w:val="002F4A79"/>
    <w:rsid w:val="002F4DBA"/>
    <w:rsid w:val="002F63F5"/>
    <w:rsid w:val="00300C77"/>
    <w:rsid w:val="00300E5E"/>
    <w:rsid w:val="00301494"/>
    <w:rsid w:val="003020C2"/>
    <w:rsid w:val="003031F8"/>
    <w:rsid w:val="003033FE"/>
    <w:rsid w:val="00304405"/>
    <w:rsid w:val="00304BA3"/>
    <w:rsid w:val="0030620A"/>
    <w:rsid w:val="00306511"/>
    <w:rsid w:val="003067AD"/>
    <w:rsid w:val="00306C3F"/>
    <w:rsid w:val="003110D9"/>
    <w:rsid w:val="003117D9"/>
    <w:rsid w:val="00311BC7"/>
    <w:rsid w:val="00313F9B"/>
    <w:rsid w:val="0031513B"/>
    <w:rsid w:val="003200C0"/>
    <w:rsid w:val="003202B9"/>
    <w:rsid w:val="003208C7"/>
    <w:rsid w:val="0032184E"/>
    <w:rsid w:val="00323BF1"/>
    <w:rsid w:val="0032564F"/>
    <w:rsid w:val="00326138"/>
    <w:rsid w:val="00330B76"/>
    <w:rsid w:val="00331802"/>
    <w:rsid w:val="003363C5"/>
    <w:rsid w:val="00336854"/>
    <w:rsid w:val="00337398"/>
    <w:rsid w:val="00337566"/>
    <w:rsid w:val="0033784C"/>
    <w:rsid w:val="0034058C"/>
    <w:rsid w:val="00341C6C"/>
    <w:rsid w:val="00342DA9"/>
    <w:rsid w:val="00343566"/>
    <w:rsid w:val="00343658"/>
    <w:rsid w:val="00344EA4"/>
    <w:rsid w:val="00345496"/>
    <w:rsid w:val="0034733B"/>
    <w:rsid w:val="003507ED"/>
    <w:rsid w:val="00350A34"/>
    <w:rsid w:val="00352DDB"/>
    <w:rsid w:val="00355333"/>
    <w:rsid w:val="00357CEC"/>
    <w:rsid w:val="00362B06"/>
    <w:rsid w:val="003635C7"/>
    <w:rsid w:val="003657B7"/>
    <w:rsid w:val="00365A1A"/>
    <w:rsid w:val="0036740A"/>
    <w:rsid w:val="00373FEC"/>
    <w:rsid w:val="003746B0"/>
    <w:rsid w:val="00374814"/>
    <w:rsid w:val="00376E6F"/>
    <w:rsid w:val="00376F95"/>
    <w:rsid w:val="00381A61"/>
    <w:rsid w:val="0038264F"/>
    <w:rsid w:val="003842F0"/>
    <w:rsid w:val="003852A3"/>
    <w:rsid w:val="003855E4"/>
    <w:rsid w:val="00387605"/>
    <w:rsid w:val="003878E6"/>
    <w:rsid w:val="00387FBC"/>
    <w:rsid w:val="003904F5"/>
    <w:rsid w:val="00392166"/>
    <w:rsid w:val="00393E7F"/>
    <w:rsid w:val="00393FC8"/>
    <w:rsid w:val="003954D2"/>
    <w:rsid w:val="00397194"/>
    <w:rsid w:val="00397378"/>
    <w:rsid w:val="0039789B"/>
    <w:rsid w:val="003A1484"/>
    <w:rsid w:val="003A192E"/>
    <w:rsid w:val="003A4DE9"/>
    <w:rsid w:val="003A569C"/>
    <w:rsid w:val="003A6A4D"/>
    <w:rsid w:val="003B2094"/>
    <w:rsid w:val="003B3348"/>
    <w:rsid w:val="003B3A71"/>
    <w:rsid w:val="003B48F6"/>
    <w:rsid w:val="003B4A82"/>
    <w:rsid w:val="003B5AD3"/>
    <w:rsid w:val="003B6F49"/>
    <w:rsid w:val="003C02CA"/>
    <w:rsid w:val="003C041F"/>
    <w:rsid w:val="003C10DB"/>
    <w:rsid w:val="003C1763"/>
    <w:rsid w:val="003C2CA6"/>
    <w:rsid w:val="003C4311"/>
    <w:rsid w:val="003C766A"/>
    <w:rsid w:val="003C7F0E"/>
    <w:rsid w:val="003D011C"/>
    <w:rsid w:val="003D239B"/>
    <w:rsid w:val="003D27B8"/>
    <w:rsid w:val="003D33D6"/>
    <w:rsid w:val="003D3CD0"/>
    <w:rsid w:val="003D40C9"/>
    <w:rsid w:val="003D42BA"/>
    <w:rsid w:val="003D4409"/>
    <w:rsid w:val="003D5D3B"/>
    <w:rsid w:val="003D6E24"/>
    <w:rsid w:val="003E3E70"/>
    <w:rsid w:val="003E3E74"/>
    <w:rsid w:val="003E4D6D"/>
    <w:rsid w:val="003E510F"/>
    <w:rsid w:val="003E52EC"/>
    <w:rsid w:val="003E55BC"/>
    <w:rsid w:val="003E6D8E"/>
    <w:rsid w:val="003F2167"/>
    <w:rsid w:val="003F41A8"/>
    <w:rsid w:val="003F52A4"/>
    <w:rsid w:val="003F5E76"/>
    <w:rsid w:val="003F6C46"/>
    <w:rsid w:val="003F7C0D"/>
    <w:rsid w:val="004017C8"/>
    <w:rsid w:val="00401C6C"/>
    <w:rsid w:val="0040307D"/>
    <w:rsid w:val="0040386D"/>
    <w:rsid w:val="004045D0"/>
    <w:rsid w:val="004059B7"/>
    <w:rsid w:val="00405B9A"/>
    <w:rsid w:val="00410B70"/>
    <w:rsid w:val="00415E45"/>
    <w:rsid w:val="00417A21"/>
    <w:rsid w:val="004251A5"/>
    <w:rsid w:val="0042526B"/>
    <w:rsid w:val="00425990"/>
    <w:rsid w:val="004301CF"/>
    <w:rsid w:val="00430D64"/>
    <w:rsid w:val="0043491B"/>
    <w:rsid w:val="00435970"/>
    <w:rsid w:val="0043626D"/>
    <w:rsid w:val="004444FC"/>
    <w:rsid w:val="004476AA"/>
    <w:rsid w:val="0045021E"/>
    <w:rsid w:val="00450FEE"/>
    <w:rsid w:val="00452AD2"/>
    <w:rsid w:val="0045560B"/>
    <w:rsid w:val="00455AC3"/>
    <w:rsid w:val="00455C52"/>
    <w:rsid w:val="00457035"/>
    <w:rsid w:val="0046006F"/>
    <w:rsid w:val="00460F9E"/>
    <w:rsid w:val="00460FDC"/>
    <w:rsid w:val="00462355"/>
    <w:rsid w:val="00462B7F"/>
    <w:rsid w:val="004635EE"/>
    <w:rsid w:val="004638BB"/>
    <w:rsid w:val="004651BB"/>
    <w:rsid w:val="0046549A"/>
    <w:rsid w:val="00470062"/>
    <w:rsid w:val="004728B4"/>
    <w:rsid w:val="004748BA"/>
    <w:rsid w:val="00474A64"/>
    <w:rsid w:val="00475158"/>
    <w:rsid w:val="004763C9"/>
    <w:rsid w:val="0047642C"/>
    <w:rsid w:val="00476779"/>
    <w:rsid w:val="0048103D"/>
    <w:rsid w:val="00481247"/>
    <w:rsid w:val="004820A1"/>
    <w:rsid w:val="004820CB"/>
    <w:rsid w:val="00482F02"/>
    <w:rsid w:val="00483CBB"/>
    <w:rsid w:val="004868D1"/>
    <w:rsid w:val="00487EC6"/>
    <w:rsid w:val="004900F4"/>
    <w:rsid w:val="00490B21"/>
    <w:rsid w:val="00492711"/>
    <w:rsid w:val="00494717"/>
    <w:rsid w:val="004A310F"/>
    <w:rsid w:val="004A568D"/>
    <w:rsid w:val="004A6211"/>
    <w:rsid w:val="004B331D"/>
    <w:rsid w:val="004B478E"/>
    <w:rsid w:val="004B48F1"/>
    <w:rsid w:val="004B494F"/>
    <w:rsid w:val="004B4F24"/>
    <w:rsid w:val="004B5660"/>
    <w:rsid w:val="004B7F0E"/>
    <w:rsid w:val="004C0A4B"/>
    <w:rsid w:val="004C5AC1"/>
    <w:rsid w:val="004D0650"/>
    <w:rsid w:val="004D1C27"/>
    <w:rsid w:val="004D3130"/>
    <w:rsid w:val="004D42A9"/>
    <w:rsid w:val="004E3306"/>
    <w:rsid w:val="004E3429"/>
    <w:rsid w:val="004E3788"/>
    <w:rsid w:val="004E64BC"/>
    <w:rsid w:val="004E6C6E"/>
    <w:rsid w:val="004E7633"/>
    <w:rsid w:val="004F0CD4"/>
    <w:rsid w:val="004F11A2"/>
    <w:rsid w:val="004F2D28"/>
    <w:rsid w:val="004F39FD"/>
    <w:rsid w:val="004F3BC3"/>
    <w:rsid w:val="004F4C1F"/>
    <w:rsid w:val="00500FEC"/>
    <w:rsid w:val="00501978"/>
    <w:rsid w:val="00502C16"/>
    <w:rsid w:val="00504C65"/>
    <w:rsid w:val="005065E5"/>
    <w:rsid w:val="00513E1E"/>
    <w:rsid w:val="0051600C"/>
    <w:rsid w:val="005207E6"/>
    <w:rsid w:val="00520A84"/>
    <w:rsid w:val="00520B2C"/>
    <w:rsid w:val="00520EF5"/>
    <w:rsid w:val="00521DA4"/>
    <w:rsid w:val="00521EF6"/>
    <w:rsid w:val="0052204A"/>
    <w:rsid w:val="0052268A"/>
    <w:rsid w:val="005233B9"/>
    <w:rsid w:val="00523976"/>
    <w:rsid w:val="00523984"/>
    <w:rsid w:val="00523DB7"/>
    <w:rsid w:val="0052471F"/>
    <w:rsid w:val="00524974"/>
    <w:rsid w:val="00524984"/>
    <w:rsid w:val="0052767A"/>
    <w:rsid w:val="00527B03"/>
    <w:rsid w:val="00531100"/>
    <w:rsid w:val="0053150F"/>
    <w:rsid w:val="005328E2"/>
    <w:rsid w:val="0053358D"/>
    <w:rsid w:val="00535378"/>
    <w:rsid w:val="005361A9"/>
    <w:rsid w:val="005364BD"/>
    <w:rsid w:val="00536A5A"/>
    <w:rsid w:val="00536E3A"/>
    <w:rsid w:val="005376ED"/>
    <w:rsid w:val="00541171"/>
    <w:rsid w:val="00544388"/>
    <w:rsid w:val="005452D9"/>
    <w:rsid w:val="005503C0"/>
    <w:rsid w:val="0055217D"/>
    <w:rsid w:val="00552270"/>
    <w:rsid w:val="005531CA"/>
    <w:rsid w:val="00553FF2"/>
    <w:rsid w:val="0055468D"/>
    <w:rsid w:val="005613F7"/>
    <w:rsid w:val="00561FE2"/>
    <w:rsid w:val="005622A4"/>
    <w:rsid w:val="00562ABA"/>
    <w:rsid w:val="00563FB5"/>
    <w:rsid w:val="00565FF0"/>
    <w:rsid w:val="00566670"/>
    <w:rsid w:val="0057008C"/>
    <w:rsid w:val="00570E12"/>
    <w:rsid w:val="005718E9"/>
    <w:rsid w:val="005719C2"/>
    <w:rsid w:val="00572644"/>
    <w:rsid w:val="00573D06"/>
    <w:rsid w:val="00573FA2"/>
    <w:rsid w:val="00577E8D"/>
    <w:rsid w:val="00585C0E"/>
    <w:rsid w:val="005875A2"/>
    <w:rsid w:val="00591B2E"/>
    <w:rsid w:val="00591C3A"/>
    <w:rsid w:val="00593BB5"/>
    <w:rsid w:val="00596B87"/>
    <w:rsid w:val="005973C0"/>
    <w:rsid w:val="0059783D"/>
    <w:rsid w:val="00597AED"/>
    <w:rsid w:val="005A059C"/>
    <w:rsid w:val="005A0E7A"/>
    <w:rsid w:val="005A28C9"/>
    <w:rsid w:val="005A47F9"/>
    <w:rsid w:val="005A619E"/>
    <w:rsid w:val="005A6664"/>
    <w:rsid w:val="005B0AB7"/>
    <w:rsid w:val="005B11E5"/>
    <w:rsid w:val="005B14EB"/>
    <w:rsid w:val="005B14F2"/>
    <w:rsid w:val="005B467E"/>
    <w:rsid w:val="005B54F2"/>
    <w:rsid w:val="005B64D9"/>
    <w:rsid w:val="005B6F50"/>
    <w:rsid w:val="005B798C"/>
    <w:rsid w:val="005B7AF7"/>
    <w:rsid w:val="005C11D0"/>
    <w:rsid w:val="005C1BC8"/>
    <w:rsid w:val="005C3899"/>
    <w:rsid w:val="005C4241"/>
    <w:rsid w:val="005C629B"/>
    <w:rsid w:val="005C7DD0"/>
    <w:rsid w:val="005D12B6"/>
    <w:rsid w:val="005D4AA7"/>
    <w:rsid w:val="005D67DE"/>
    <w:rsid w:val="005D7A3F"/>
    <w:rsid w:val="005D7CCE"/>
    <w:rsid w:val="005E0625"/>
    <w:rsid w:val="005E181C"/>
    <w:rsid w:val="005E2C04"/>
    <w:rsid w:val="005E30F0"/>
    <w:rsid w:val="005E3167"/>
    <w:rsid w:val="005E4417"/>
    <w:rsid w:val="005E4FB5"/>
    <w:rsid w:val="005E58A7"/>
    <w:rsid w:val="005E5DAA"/>
    <w:rsid w:val="005F028C"/>
    <w:rsid w:val="005F0B89"/>
    <w:rsid w:val="005F0C00"/>
    <w:rsid w:val="005F5682"/>
    <w:rsid w:val="005F5B9E"/>
    <w:rsid w:val="005F648A"/>
    <w:rsid w:val="005F6FF1"/>
    <w:rsid w:val="00602129"/>
    <w:rsid w:val="006051E7"/>
    <w:rsid w:val="00606295"/>
    <w:rsid w:val="006066CA"/>
    <w:rsid w:val="00611696"/>
    <w:rsid w:val="006119ED"/>
    <w:rsid w:val="00611D71"/>
    <w:rsid w:val="00612B65"/>
    <w:rsid w:val="006144E3"/>
    <w:rsid w:val="00615EE5"/>
    <w:rsid w:val="00615F2E"/>
    <w:rsid w:val="006175FC"/>
    <w:rsid w:val="00617C40"/>
    <w:rsid w:val="006235ED"/>
    <w:rsid w:val="00623EAB"/>
    <w:rsid w:val="00624490"/>
    <w:rsid w:val="006310F7"/>
    <w:rsid w:val="0063331F"/>
    <w:rsid w:val="006335CD"/>
    <w:rsid w:val="00636C8A"/>
    <w:rsid w:val="00637A2B"/>
    <w:rsid w:val="006400D4"/>
    <w:rsid w:val="006403AD"/>
    <w:rsid w:val="00642AF7"/>
    <w:rsid w:val="00642D62"/>
    <w:rsid w:val="00643D34"/>
    <w:rsid w:val="00644AFE"/>
    <w:rsid w:val="00645680"/>
    <w:rsid w:val="00645E3A"/>
    <w:rsid w:val="006503EA"/>
    <w:rsid w:val="00651C7F"/>
    <w:rsid w:val="00652FD2"/>
    <w:rsid w:val="00654370"/>
    <w:rsid w:val="00656234"/>
    <w:rsid w:val="00657B19"/>
    <w:rsid w:val="00662D72"/>
    <w:rsid w:val="00662DEB"/>
    <w:rsid w:val="006639E9"/>
    <w:rsid w:val="00671723"/>
    <w:rsid w:val="00671885"/>
    <w:rsid w:val="0067209C"/>
    <w:rsid w:val="006730D5"/>
    <w:rsid w:val="00674162"/>
    <w:rsid w:val="00676A54"/>
    <w:rsid w:val="00677603"/>
    <w:rsid w:val="006777EA"/>
    <w:rsid w:val="0068193F"/>
    <w:rsid w:val="00681BB8"/>
    <w:rsid w:val="00681C07"/>
    <w:rsid w:val="00682881"/>
    <w:rsid w:val="00682AF5"/>
    <w:rsid w:val="006841F5"/>
    <w:rsid w:val="0068579D"/>
    <w:rsid w:val="00685899"/>
    <w:rsid w:val="0068602D"/>
    <w:rsid w:val="006863A7"/>
    <w:rsid w:val="0068674B"/>
    <w:rsid w:val="006873F8"/>
    <w:rsid w:val="0068796D"/>
    <w:rsid w:val="00690253"/>
    <w:rsid w:val="006907B4"/>
    <w:rsid w:val="00692714"/>
    <w:rsid w:val="006942C0"/>
    <w:rsid w:val="00694527"/>
    <w:rsid w:val="00694561"/>
    <w:rsid w:val="00696484"/>
    <w:rsid w:val="00696573"/>
    <w:rsid w:val="006A0FE4"/>
    <w:rsid w:val="006A3D35"/>
    <w:rsid w:val="006A6C7D"/>
    <w:rsid w:val="006A6D27"/>
    <w:rsid w:val="006B16DE"/>
    <w:rsid w:val="006B1859"/>
    <w:rsid w:val="006B5BE2"/>
    <w:rsid w:val="006B6B6A"/>
    <w:rsid w:val="006B6C08"/>
    <w:rsid w:val="006B7746"/>
    <w:rsid w:val="006C085F"/>
    <w:rsid w:val="006C0E34"/>
    <w:rsid w:val="006C3565"/>
    <w:rsid w:val="006C58E0"/>
    <w:rsid w:val="006C65C6"/>
    <w:rsid w:val="006D36A8"/>
    <w:rsid w:val="006D38FB"/>
    <w:rsid w:val="006D41DD"/>
    <w:rsid w:val="006D4A24"/>
    <w:rsid w:val="006D4FE5"/>
    <w:rsid w:val="006D5BE2"/>
    <w:rsid w:val="006D5DE7"/>
    <w:rsid w:val="006D61E6"/>
    <w:rsid w:val="006D66B8"/>
    <w:rsid w:val="006D73F0"/>
    <w:rsid w:val="006E052D"/>
    <w:rsid w:val="006E0D8D"/>
    <w:rsid w:val="006E1592"/>
    <w:rsid w:val="006E21A2"/>
    <w:rsid w:val="006E36C4"/>
    <w:rsid w:val="006E4857"/>
    <w:rsid w:val="006E4861"/>
    <w:rsid w:val="006E71D7"/>
    <w:rsid w:val="006E7797"/>
    <w:rsid w:val="006E78D1"/>
    <w:rsid w:val="006F05CB"/>
    <w:rsid w:val="006F23E6"/>
    <w:rsid w:val="006F2492"/>
    <w:rsid w:val="006F34D0"/>
    <w:rsid w:val="006F38A5"/>
    <w:rsid w:val="006F4D37"/>
    <w:rsid w:val="006F5482"/>
    <w:rsid w:val="006F7940"/>
    <w:rsid w:val="00700F73"/>
    <w:rsid w:val="00701580"/>
    <w:rsid w:val="00701CC3"/>
    <w:rsid w:val="00702856"/>
    <w:rsid w:val="00702E3F"/>
    <w:rsid w:val="00703456"/>
    <w:rsid w:val="00703842"/>
    <w:rsid w:val="007053F2"/>
    <w:rsid w:val="00706558"/>
    <w:rsid w:val="00706C79"/>
    <w:rsid w:val="00707695"/>
    <w:rsid w:val="00710093"/>
    <w:rsid w:val="007134BA"/>
    <w:rsid w:val="0071383F"/>
    <w:rsid w:val="00714401"/>
    <w:rsid w:val="00716480"/>
    <w:rsid w:val="00720B8A"/>
    <w:rsid w:val="007257AE"/>
    <w:rsid w:val="0073012F"/>
    <w:rsid w:val="00730D40"/>
    <w:rsid w:val="007310C7"/>
    <w:rsid w:val="00731F3E"/>
    <w:rsid w:val="0073318F"/>
    <w:rsid w:val="007337D0"/>
    <w:rsid w:val="007337F6"/>
    <w:rsid w:val="00735747"/>
    <w:rsid w:val="00741229"/>
    <w:rsid w:val="0074261B"/>
    <w:rsid w:val="00742890"/>
    <w:rsid w:val="007432C4"/>
    <w:rsid w:val="00743FDD"/>
    <w:rsid w:val="00744A70"/>
    <w:rsid w:val="0074508E"/>
    <w:rsid w:val="007466FC"/>
    <w:rsid w:val="007506CB"/>
    <w:rsid w:val="007511BB"/>
    <w:rsid w:val="00752E8B"/>
    <w:rsid w:val="0075336F"/>
    <w:rsid w:val="007536A1"/>
    <w:rsid w:val="00753C29"/>
    <w:rsid w:val="00753FFB"/>
    <w:rsid w:val="00754761"/>
    <w:rsid w:val="00754F6C"/>
    <w:rsid w:val="00761C4D"/>
    <w:rsid w:val="00761D38"/>
    <w:rsid w:val="00766EE3"/>
    <w:rsid w:val="00770B78"/>
    <w:rsid w:val="007716C9"/>
    <w:rsid w:val="00772492"/>
    <w:rsid w:val="0077288A"/>
    <w:rsid w:val="0077410B"/>
    <w:rsid w:val="0077550F"/>
    <w:rsid w:val="00776592"/>
    <w:rsid w:val="00780E9E"/>
    <w:rsid w:val="007818D3"/>
    <w:rsid w:val="00784805"/>
    <w:rsid w:val="00785936"/>
    <w:rsid w:val="00785F19"/>
    <w:rsid w:val="00785FC2"/>
    <w:rsid w:val="007873BC"/>
    <w:rsid w:val="00787ADE"/>
    <w:rsid w:val="00787F88"/>
    <w:rsid w:val="00787FA1"/>
    <w:rsid w:val="0079114B"/>
    <w:rsid w:val="007939B8"/>
    <w:rsid w:val="00795C21"/>
    <w:rsid w:val="00796AE4"/>
    <w:rsid w:val="007A392F"/>
    <w:rsid w:val="007A3BDC"/>
    <w:rsid w:val="007A4E2D"/>
    <w:rsid w:val="007A6451"/>
    <w:rsid w:val="007A7416"/>
    <w:rsid w:val="007A7652"/>
    <w:rsid w:val="007B02BE"/>
    <w:rsid w:val="007B1121"/>
    <w:rsid w:val="007B182E"/>
    <w:rsid w:val="007B2684"/>
    <w:rsid w:val="007B73E1"/>
    <w:rsid w:val="007C2055"/>
    <w:rsid w:val="007C22C0"/>
    <w:rsid w:val="007C2F28"/>
    <w:rsid w:val="007C425E"/>
    <w:rsid w:val="007C516C"/>
    <w:rsid w:val="007C5741"/>
    <w:rsid w:val="007C5D4E"/>
    <w:rsid w:val="007D1501"/>
    <w:rsid w:val="007D1932"/>
    <w:rsid w:val="007D32B0"/>
    <w:rsid w:val="007D40B3"/>
    <w:rsid w:val="007D4A15"/>
    <w:rsid w:val="007D4FFE"/>
    <w:rsid w:val="007E1344"/>
    <w:rsid w:val="007E1350"/>
    <w:rsid w:val="007E252F"/>
    <w:rsid w:val="007E6518"/>
    <w:rsid w:val="007E67A9"/>
    <w:rsid w:val="007E7A17"/>
    <w:rsid w:val="007F0FBC"/>
    <w:rsid w:val="007F2463"/>
    <w:rsid w:val="007F26E2"/>
    <w:rsid w:val="007F3802"/>
    <w:rsid w:val="007F395A"/>
    <w:rsid w:val="007F50E2"/>
    <w:rsid w:val="007F5ADA"/>
    <w:rsid w:val="007F6096"/>
    <w:rsid w:val="007F6938"/>
    <w:rsid w:val="008026FB"/>
    <w:rsid w:val="008048E7"/>
    <w:rsid w:val="0080503C"/>
    <w:rsid w:val="00806743"/>
    <w:rsid w:val="00810A0F"/>
    <w:rsid w:val="00811D8C"/>
    <w:rsid w:val="008132A0"/>
    <w:rsid w:val="00817879"/>
    <w:rsid w:val="00820C0E"/>
    <w:rsid w:val="00821BA4"/>
    <w:rsid w:val="00825269"/>
    <w:rsid w:val="008259E6"/>
    <w:rsid w:val="00827179"/>
    <w:rsid w:val="00827A4B"/>
    <w:rsid w:val="00831C1E"/>
    <w:rsid w:val="008332FB"/>
    <w:rsid w:val="00834BCC"/>
    <w:rsid w:val="008353D7"/>
    <w:rsid w:val="00836174"/>
    <w:rsid w:val="00836556"/>
    <w:rsid w:val="00836871"/>
    <w:rsid w:val="00840100"/>
    <w:rsid w:val="008410F3"/>
    <w:rsid w:val="00842270"/>
    <w:rsid w:val="0084282D"/>
    <w:rsid w:val="008432B0"/>
    <w:rsid w:val="00846762"/>
    <w:rsid w:val="00847171"/>
    <w:rsid w:val="00850667"/>
    <w:rsid w:val="00854C44"/>
    <w:rsid w:val="00856233"/>
    <w:rsid w:val="008563C0"/>
    <w:rsid w:val="00857F6A"/>
    <w:rsid w:val="00857F84"/>
    <w:rsid w:val="0086072B"/>
    <w:rsid w:val="00862772"/>
    <w:rsid w:val="00862D38"/>
    <w:rsid w:val="008635F2"/>
    <w:rsid w:val="00864F39"/>
    <w:rsid w:val="0086702E"/>
    <w:rsid w:val="00870E5A"/>
    <w:rsid w:val="00872827"/>
    <w:rsid w:val="00872930"/>
    <w:rsid w:val="00877E85"/>
    <w:rsid w:val="008805E8"/>
    <w:rsid w:val="00882F8B"/>
    <w:rsid w:val="0088369F"/>
    <w:rsid w:val="00883718"/>
    <w:rsid w:val="0088415B"/>
    <w:rsid w:val="0088416D"/>
    <w:rsid w:val="0088593C"/>
    <w:rsid w:val="00886E35"/>
    <w:rsid w:val="008914DF"/>
    <w:rsid w:val="00892886"/>
    <w:rsid w:val="00894324"/>
    <w:rsid w:val="00896919"/>
    <w:rsid w:val="008969C1"/>
    <w:rsid w:val="00897DC4"/>
    <w:rsid w:val="008A0686"/>
    <w:rsid w:val="008A0ABA"/>
    <w:rsid w:val="008A0EB1"/>
    <w:rsid w:val="008A17C0"/>
    <w:rsid w:val="008A2B13"/>
    <w:rsid w:val="008A2E88"/>
    <w:rsid w:val="008A372E"/>
    <w:rsid w:val="008A4515"/>
    <w:rsid w:val="008A4698"/>
    <w:rsid w:val="008A7A6C"/>
    <w:rsid w:val="008A7DE9"/>
    <w:rsid w:val="008B0985"/>
    <w:rsid w:val="008B0C09"/>
    <w:rsid w:val="008B1E80"/>
    <w:rsid w:val="008B263C"/>
    <w:rsid w:val="008B3868"/>
    <w:rsid w:val="008B51AB"/>
    <w:rsid w:val="008C0F8E"/>
    <w:rsid w:val="008C24EB"/>
    <w:rsid w:val="008C2790"/>
    <w:rsid w:val="008C28C9"/>
    <w:rsid w:val="008C2E0F"/>
    <w:rsid w:val="008C3EDE"/>
    <w:rsid w:val="008C524B"/>
    <w:rsid w:val="008C5A01"/>
    <w:rsid w:val="008C7408"/>
    <w:rsid w:val="008D1050"/>
    <w:rsid w:val="008D373D"/>
    <w:rsid w:val="008D38DF"/>
    <w:rsid w:val="008D54C1"/>
    <w:rsid w:val="008D656C"/>
    <w:rsid w:val="008D6B4D"/>
    <w:rsid w:val="008D77EE"/>
    <w:rsid w:val="008D7BB8"/>
    <w:rsid w:val="008E09CE"/>
    <w:rsid w:val="008E09EA"/>
    <w:rsid w:val="008E3799"/>
    <w:rsid w:val="008E436C"/>
    <w:rsid w:val="008E7D03"/>
    <w:rsid w:val="008E7D6C"/>
    <w:rsid w:val="008F4978"/>
    <w:rsid w:val="008F4C7F"/>
    <w:rsid w:val="008F5F3D"/>
    <w:rsid w:val="008F6C78"/>
    <w:rsid w:val="008F6DDD"/>
    <w:rsid w:val="008F6FE6"/>
    <w:rsid w:val="008F7CE8"/>
    <w:rsid w:val="00900D3F"/>
    <w:rsid w:val="00900F76"/>
    <w:rsid w:val="00901FB3"/>
    <w:rsid w:val="00903BDB"/>
    <w:rsid w:val="00903F1E"/>
    <w:rsid w:val="00904C88"/>
    <w:rsid w:val="00905D49"/>
    <w:rsid w:val="009064FF"/>
    <w:rsid w:val="0090660E"/>
    <w:rsid w:val="009108C5"/>
    <w:rsid w:val="009110B9"/>
    <w:rsid w:val="00912123"/>
    <w:rsid w:val="0091410D"/>
    <w:rsid w:val="0091466E"/>
    <w:rsid w:val="00915BDE"/>
    <w:rsid w:val="009161A4"/>
    <w:rsid w:val="009169CE"/>
    <w:rsid w:val="00916DAB"/>
    <w:rsid w:val="009178DF"/>
    <w:rsid w:val="00922051"/>
    <w:rsid w:val="00923522"/>
    <w:rsid w:val="0092381E"/>
    <w:rsid w:val="00923DEA"/>
    <w:rsid w:val="00925008"/>
    <w:rsid w:val="0092522C"/>
    <w:rsid w:val="00925374"/>
    <w:rsid w:val="00925383"/>
    <w:rsid w:val="00925B65"/>
    <w:rsid w:val="0092735A"/>
    <w:rsid w:val="00930367"/>
    <w:rsid w:val="00931680"/>
    <w:rsid w:val="00937DDE"/>
    <w:rsid w:val="009419F2"/>
    <w:rsid w:val="00942C63"/>
    <w:rsid w:val="00943377"/>
    <w:rsid w:val="00944590"/>
    <w:rsid w:val="00947099"/>
    <w:rsid w:val="009472A5"/>
    <w:rsid w:val="00947974"/>
    <w:rsid w:val="009534F2"/>
    <w:rsid w:val="00954A0A"/>
    <w:rsid w:val="00954C30"/>
    <w:rsid w:val="00956A89"/>
    <w:rsid w:val="00960929"/>
    <w:rsid w:val="0096317C"/>
    <w:rsid w:val="0096538C"/>
    <w:rsid w:val="00965D26"/>
    <w:rsid w:val="009660FE"/>
    <w:rsid w:val="009665A3"/>
    <w:rsid w:val="00966EC0"/>
    <w:rsid w:val="00967B5B"/>
    <w:rsid w:val="00970B9C"/>
    <w:rsid w:val="00971836"/>
    <w:rsid w:val="00972036"/>
    <w:rsid w:val="00973407"/>
    <w:rsid w:val="009738D8"/>
    <w:rsid w:val="00973AC7"/>
    <w:rsid w:val="0097492D"/>
    <w:rsid w:val="00975A3E"/>
    <w:rsid w:val="00975C9C"/>
    <w:rsid w:val="00981420"/>
    <w:rsid w:val="009822C4"/>
    <w:rsid w:val="00983550"/>
    <w:rsid w:val="00984C52"/>
    <w:rsid w:val="00984D67"/>
    <w:rsid w:val="00985417"/>
    <w:rsid w:val="00990317"/>
    <w:rsid w:val="00990889"/>
    <w:rsid w:val="00990997"/>
    <w:rsid w:val="00991B0C"/>
    <w:rsid w:val="00991BCE"/>
    <w:rsid w:val="00991C9B"/>
    <w:rsid w:val="00993FC8"/>
    <w:rsid w:val="00996294"/>
    <w:rsid w:val="00996586"/>
    <w:rsid w:val="009978F8"/>
    <w:rsid w:val="009A0088"/>
    <w:rsid w:val="009A166A"/>
    <w:rsid w:val="009A1BEB"/>
    <w:rsid w:val="009A1E0A"/>
    <w:rsid w:val="009A287B"/>
    <w:rsid w:val="009A55FE"/>
    <w:rsid w:val="009A66F0"/>
    <w:rsid w:val="009A7422"/>
    <w:rsid w:val="009B089A"/>
    <w:rsid w:val="009B2C73"/>
    <w:rsid w:val="009B33E9"/>
    <w:rsid w:val="009B528F"/>
    <w:rsid w:val="009C0879"/>
    <w:rsid w:val="009C0DF0"/>
    <w:rsid w:val="009C186F"/>
    <w:rsid w:val="009C2A59"/>
    <w:rsid w:val="009C2EFC"/>
    <w:rsid w:val="009C46DA"/>
    <w:rsid w:val="009C6B00"/>
    <w:rsid w:val="009C7B2B"/>
    <w:rsid w:val="009D0FD9"/>
    <w:rsid w:val="009D3277"/>
    <w:rsid w:val="009D3BD0"/>
    <w:rsid w:val="009D513C"/>
    <w:rsid w:val="009E0305"/>
    <w:rsid w:val="009E0520"/>
    <w:rsid w:val="009E3052"/>
    <w:rsid w:val="009E4832"/>
    <w:rsid w:val="009E570F"/>
    <w:rsid w:val="009E6FB5"/>
    <w:rsid w:val="009F029C"/>
    <w:rsid w:val="009F1510"/>
    <w:rsid w:val="009F1541"/>
    <w:rsid w:val="009F1A57"/>
    <w:rsid w:val="009F34C2"/>
    <w:rsid w:val="009F40CE"/>
    <w:rsid w:val="009F4345"/>
    <w:rsid w:val="009F4E41"/>
    <w:rsid w:val="009F7D35"/>
    <w:rsid w:val="00A0020F"/>
    <w:rsid w:val="00A0108B"/>
    <w:rsid w:val="00A01CE2"/>
    <w:rsid w:val="00A02ED0"/>
    <w:rsid w:val="00A02F87"/>
    <w:rsid w:val="00A046F3"/>
    <w:rsid w:val="00A1176A"/>
    <w:rsid w:val="00A119B9"/>
    <w:rsid w:val="00A1249B"/>
    <w:rsid w:val="00A12A60"/>
    <w:rsid w:val="00A1660A"/>
    <w:rsid w:val="00A21227"/>
    <w:rsid w:val="00A21392"/>
    <w:rsid w:val="00A22C8A"/>
    <w:rsid w:val="00A23221"/>
    <w:rsid w:val="00A252DF"/>
    <w:rsid w:val="00A25AEF"/>
    <w:rsid w:val="00A26E79"/>
    <w:rsid w:val="00A31A45"/>
    <w:rsid w:val="00A31B98"/>
    <w:rsid w:val="00A31DE0"/>
    <w:rsid w:val="00A32508"/>
    <w:rsid w:val="00A3568F"/>
    <w:rsid w:val="00A37515"/>
    <w:rsid w:val="00A377CD"/>
    <w:rsid w:val="00A379BD"/>
    <w:rsid w:val="00A37D27"/>
    <w:rsid w:val="00A41910"/>
    <w:rsid w:val="00A46EA5"/>
    <w:rsid w:val="00A477A9"/>
    <w:rsid w:val="00A479FB"/>
    <w:rsid w:val="00A52877"/>
    <w:rsid w:val="00A55723"/>
    <w:rsid w:val="00A561E8"/>
    <w:rsid w:val="00A56842"/>
    <w:rsid w:val="00A616C5"/>
    <w:rsid w:val="00A61CA3"/>
    <w:rsid w:val="00A63017"/>
    <w:rsid w:val="00A64448"/>
    <w:rsid w:val="00A64689"/>
    <w:rsid w:val="00A674F2"/>
    <w:rsid w:val="00A71652"/>
    <w:rsid w:val="00A72592"/>
    <w:rsid w:val="00A73818"/>
    <w:rsid w:val="00A73CA7"/>
    <w:rsid w:val="00A7427D"/>
    <w:rsid w:val="00A74F6E"/>
    <w:rsid w:val="00A75B4C"/>
    <w:rsid w:val="00A76CED"/>
    <w:rsid w:val="00A80840"/>
    <w:rsid w:val="00A8562F"/>
    <w:rsid w:val="00A8757D"/>
    <w:rsid w:val="00A920A8"/>
    <w:rsid w:val="00A92252"/>
    <w:rsid w:val="00A93494"/>
    <w:rsid w:val="00A9405C"/>
    <w:rsid w:val="00A9414A"/>
    <w:rsid w:val="00A9418A"/>
    <w:rsid w:val="00A941D2"/>
    <w:rsid w:val="00A953B2"/>
    <w:rsid w:val="00A955A3"/>
    <w:rsid w:val="00A96F71"/>
    <w:rsid w:val="00AA2AC4"/>
    <w:rsid w:val="00AA318E"/>
    <w:rsid w:val="00AA517C"/>
    <w:rsid w:val="00AA7731"/>
    <w:rsid w:val="00AB0368"/>
    <w:rsid w:val="00AB265D"/>
    <w:rsid w:val="00AB3E0B"/>
    <w:rsid w:val="00AB409A"/>
    <w:rsid w:val="00AB43E0"/>
    <w:rsid w:val="00AB4630"/>
    <w:rsid w:val="00AB5A0C"/>
    <w:rsid w:val="00AB5DF9"/>
    <w:rsid w:val="00AB78A7"/>
    <w:rsid w:val="00AC1EB9"/>
    <w:rsid w:val="00AC4882"/>
    <w:rsid w:val="00AC5AED"/>
    <w:rsid w:val="00AC6FEB"/>
    <w:rsid w:val="00AD1F56"/>
    <w:rsid w:val="00AD3BE5"/>
    <w:rsid w:val="00AD4DAF"/>
    <w:rsid w:val="00AD4DCB"/>
    <w:rsid w:val="00AD5CC4"/>
    <w:rsid w:val="00AD68FC"/>
    <w:rsid w:val="00AD6ADB"/>
    <w:rsid w:val="00AE0161"/>
    <w:rsid w:val="00AE37CB"/>
    <w:rsid w:val="00AF0E19"/>
    <w:rsid w:val="00AF0EC6"/>
    <w:rsid w:val="00AF2299"/>
    <w:rsid w:val="00AF33C1"/>
    <w:rsid w:val="00AF3469"/>
    <w:rsid w:val="00AF3484"/>
    <w:rsid w:val="00AF421E"/>
    <w:rsid w:val="00AF4306"/>
    <w:rsid w:val="00AF4972"/>
    <w:rsid w:val="00AF49CD"/>
    <w:rsid w:val="00AF59FE"/>
    <w:rsid w:val="00AF688A"/>
    <w:rsid w:val="00B008BD"/>
    <w:rsid w:val="00B00B67"/>
    <w:rsid w:val="00B00BC1"/>
    <w:rsid w:val="00B0126B"/>
    <w:rsid w:val="00B014AB"/>
    <w:rsid w:val="00B023E0"/>
    <w:rsid w:val="00B03FD4"/>
    <w:rsid w:val="00B04086"/>
    <w:rsid w:val="00B05395"/>
    <w:rsid w:val="00B0547F"/>
    <w:rsid w:val="00B0548A"/>
    <w:rsid w:val="00B06A34"/>
    <w:rsid w:val="00B0772F"/>
    <w:rsid w:val="00B10140"/>
    <w:rsid w:val="00B10344"/>
    <w:rsid w:val="00B117C6"/>
    <w:rsid w:val="00B12216"/>
    <w:rsid w:val="00B13DFF"/>
    <w:rsid w:val="00B1458C"/>
    <w:rsid w:val="00B21F5A"/>
    <w:rsid w:val="00B23644"/>
    <w:rsid w:val="00B255E6"/>
    <w:rsid w:val="00B25D75"/>
    <w:rsid w:val="00B25DB5"/>
    <w:rsid w:val="00B26CD5"/>
    <w:rsid w:val="00B301AB"/>
    <w:rsid w:val="00B3205A"/>
    <w:rsid w:val="00B34D7D"/>
    <w:rsid w:val="00B34F16"/>
    <w:rsid w:val="00B3542A"/>
    <w:rsid w:val="00B35D8E"/>
    <w:rsid w:val="00B369D7"/>
    <w:rsid w:val="00B36DC9"/>
    <w:rsid w:val="00B375C7"/>
    <w:rsid w:val="00B402E5"/>
    <w:rsid w:val="00B40801"/>
    <w:rsid w:val="00B41441"/>
    <w:rsid w:val="00B41E48"/>
    <w:rsid w:val="00B467CB"/>
    <w:rsid w:val="00B478FE"/>
    <w:rsid w:val="00B540C3"/>
    <w:rsid w:val="00B54FAB"/>
    <w:rsid w:val="00B5621D"/>
    <w:rsid w:val="00B56A9C"/>
    <w:rsid w:val="00B5742D"/>
    <w:rsid w:val="00B62EA7"/>
    <w:rsid w:val="00B635D9"/>
    <w:rsid w:val="00B636B2"/>
    <w:rsid w:val="00B63F4B"/>
    <w:rsid w:val="00B66301"/>
    <w:rsid w:val="00B70F9D"/>
    <w:rsid w:val="00B733C2"/>
    <w:rsid w:val="00B738A1"/>
    <w:rsid w:val="00B75321"/>
    <w:rsid w:val="00B75665"/>
    <w:rsid w:val="00B809CD"/>
    <w:rsid w:val="00B826DA"/>
    <w:rsid w:val="00B82A3E"/>
    <w:rsid w:val="00B83FE9"/>
    <w:rsid w:val="00B843F9"/>
    <w:rsid w:val="00B84823"/>
    <w:rsid w:val="00B853E5"/>
    <w:rsid w:val="00B856A9"/>
    <w:rsid w:val="00B865F9"/>
    <w:rsid w:val="00B87317"/>
    <w:rsid w:val="00B91279"/>
    <w:rsid w:val="00B91D02"/>
    <w:rsid w:val="00B929C6"/>
    <w:rsid w:val="00B95263"/>
    <w:rsid w:val="00B9713D"/>
    <w:rsid w:val="00B97878"/>
    <w:rsid w:val="00BA0785"/>
    <w:rsid w:val="00BA23FC"/>
    <w:rsid w:val="00BA2E15"/>
    <w:rsid w:val="00BA38E7"/>
    <w:rsid w:val="00BA40A5"/>
    <w:rsid w:val="00BA4415"/>
    <w:rsid w:val="00BA4898"/>
    <w:rsid w:val="00BA5D4B"/>
    <w:rsid w:val="00BA5FBF"/>
    <w:rsid w:val="00BA6CC9"/>
    <w:rsid w:val="00BA7335"/>
    <w:rsid w:val="00BA736D"/>
    <w:rsid w:val="00BA74E2"/>
    <w:rsid w:val="00BB156C"/>
    <w:rsid w:val="00BB1AC1"/>
    <w:rsid w:val="00BC1D80"/>
    <w:rsid w:val="00BC1EA5"/>
    <w:rsid w:val="00BC1F5B"/>
    <w:rsid w:val="00BC3915"/>
    <w:rsid w:val="00BC39BA"/>
    <w:rsid w:val="00BC560D"/>
    <w:rsid w:val="00BC5C52"/>
    <w:rsid w:val="00BC6E26"/>
    <w:rsid w:val="00BC72DB"/>
    <w:rsid w:val="00BD02E3"/>
    <w:rsid w:val="00BD1B1F"/>
    <w:rsid w:val="00BD52CB"/>
    <w:rsid w:val="00BD5C71"/>
    <w:rsid w:val="00BE0066"/>
    <w:rsid w:val="00BE0D82"/>
    <w:rsid w:val="00BE144B"/>
    <w:rsid w:val="00BE25BB"/>
    <w:rsid w:val="00BE316C"/>
    <w:rsid w:val="00BE4617"/>
    <w:rsid w:val="00BE56E6"/>
    <w:rsid w:val="00BF0066"/>
    <w:rsid w:val="00BF0B16"/>
    <w:rsid w:val="00BF1068"/>
    <w:rsid w:val="00BF2461"/>
    <w:rsid w:val="00BF27B6"/>
    <w:rsid w:val="00BF5A24"/>
    <w:rsid w:val="00BF7953"/>
    <w:rsid w:val="00C00BD1"/>
    <w:rsid w:val="00C00C48"/>
    <w:rsid w:val="00C02026"/>
    <w:rsid w:val="00C027A3"/>
    <w:rsid w:val="00C039C5"/>
    <w:rsid w:val="00C053F1"/>
    <w:rsid w:val="00C064CF"/>
    <w:rsid w:val="00C100E2"/>
    <w:rsid w:val="00C10E75"/>
    <w:rsid w:val="00C11DE8"/>
    <w:rsid w:val="00C12947"/>
    <w:rsid w:val="00C150A0"/>
    <w:rsid w:val="00C1532D"/>
    <w:rsid w:val="00C224F7"/>
    <w:rsid w:val="00C22A1F"/>
    <w:rsid w:val="00C22A46"/>
    <w:rsid w:val="00C237AC"/>
    <w:rsid w:val="00C2430B"/>
    <w:rsid w:val="00C2430D"/>
    <w:rsid w:val="00C26DE0"/>
    <w:rsid w:val="00C27817"/>
    <w:rsid w:val="00C3009A"/>
    <w:rsid w:val="00C349EA"/>
    <w:rsid w:val="00C34E79"/>
    <w:rsid w:val="00C358EC"/>
    <w:rsid w:val="00C3691B"/>
    <w:rsid w:val="00C373C9"/>
    <w:rsid w:val="00C377C9"/>
    <w:rsid w:val="00C410D2"/>
    <w:rsid w:val="00C414F9"/>
    <w:rsid w:val="00C421E1"/>
    <w:rsid w:val="00C42931"/>
    <w:rsid w:val="00C43B58"/>
    <w:rsid w:val="00C46502"/>
    <w:rsid w:val="00C506B5"/>
    <w:rsid w:val="00C51FBF"/>
    <w:rsid w:val="00C52BDE"/>
    <w:rsid w:val="00C53358"/>
    <w:rsid w:val="00C56208"/>
    <w:rsid w:val="00C61094"/>
    <w:rsid w:val="00C61725"/>
    <w:rsid w:val="00C62EBC"/>
    <w:rsid w:val="00C6389C"/>
    <w:rsid w:val="00C63BB3"/>
    <w:rsid w:val="00C64FE4"/>
    <w:rsid w:val="00C65BF3"/>
    <w:rsid w:val="00C7202F"/>
    <w:rsid w:val="00C720E1"/>
    <w:rsid w:val="00C727DE"/>
    <w:rsid w:val="00C73F1F"/>
    <w:rsid w:val="00C75272"/>
    <w:rsid w:val="00C829AF"/>
    <w:rsid w:val="00C8416C"/>
    <w:rsid w:val="00C84694"/>
    <w:rsid w:val="00C85693"/>
    <w:rsid w:val="00C8578D"/>
    <w:rsid w:val="00C85F18"/>
    <w:rsid w:val="00C8784A"/>
    <w:rsid w:val="00C90686"/>
    <w:rsid w:val="00C907FB"/>
    <w:rsid w:val="00C909E6"/>
    <w:rsid w:val="00C93313"/>
    <w:rsid w:val="00C978E3"/>
    <w:rsid w:val="00C97915"/>
    <w:rsid w:val="00C97BCD"/>
    <w:rsid w:val="00CA0D11"/>
    <w:rsid w:val="00CA1ED9"/>
    <w:rsid w:val="00CA3EBF"/>
    <w:rsid w:val="00CA4E82"/>
    <w:rsid w:val="00CA73C4"/>
    <w:rsid w:val="00CA75AC"/>
    <w:rsid w:val="00CA76C4"/>
    <w:rsid w:val="00CA7F8E"/>
    <w:rsid w:val="00CB0E24"/>
    <w:rsid w:val="00CB2297"/>
    <w:rsid w:val="00CB2CA6"/>
    <w:rsid w:val="00CB48FE"/>
    <w:rsid w:val="00CB57CE"/>
    <w:rsid w:val="00CB6194"/>
    <w:rsid w:val="00CB737A"/>
    <w:rsid w:val="00CB7DCE"/>
    <w:rsid w:val="00CC1EA8"/>
    <w:rsid w:val="00CC2381"/>
    <w:rsid w:val="00CC29AA"/>
    <w:rsid w:val="00CC3070"/>
    <w:rsid w:val="00CC39AA"/>
    <w:rsid w:val="00CC59CD"/>
    <w:rsid w:val="00CC6727"/>
    <w:rsid w:val="00CC7848"/>
    <w:rsid w:val="00CC7DBB"/>
    <w:rsid w:val="00CD6950"/>
    <w:rsid w:val="00CD71E8"/>
    <w:rsid w:val="00CE0A32"/>
    <w:rsid w:val="00CE1850"/>
    <w:rsid w:val="00CE257D"/>
    <w:rsid w:val="00CE30B1"/>
    <w:rsid w:val="00CE4F73"/>
    <w:rsid w:val="00CE50CA"/>
    <w:rsid w:val="00CE5A5A"/>
    <w:rsid w:val="00CE5BDF"/>
    <w:rsid w:val="00CE5D9E"/>
    <w:rsid w:val="00CE7ECA"/>
    <w:rsid w:val="00CF06D9"/>
    <w:rsid w:val="00CF1155"/>
    <w:rsid w:val="00CF12A6"/>
    <w:rsid w:val="00CF197F"/>
    <w:rsid w:val="00CF1EB2"/>
    <w:rsid w:val="00CF3BDE"/>
    <w:rsid w:val="00CF4158"/>
    <w:rsid w:val="00CF7920"/>
    <w:rsid w:val="00CF7C56"/>
    <w:rsid w:val="00D0175D"/>
    <w:rsid w:val="00D02330"/>
    <w:rsid w:val="00D032D8"/>
    <w:rsid w:val="00D037D9"/>
    <w:rsid w:val="00D03BE6"/>
    <w:rsid w:val="00D03C48"/>
    <w:rsid w:val="00D049F1"/>
    <w:rsid w:val="00D04E41"/>
    <w:rsid w:val="00D05C0C"/>
    <w:rsid w:val="00D06DB5"/>
    <w:rsid w:val="00D0732D"/>
    <w:rsid w:val="00D07EDE"/>
    <w:rsid w:val="00D1000B"/>
    <w:rsid w:val="00D13DCE"/>
    <w:rsid w:val="00D15510"/>
    <w:rsid w:val="00D1622E"/>
    <w:rsid w:val="00D176A2"/>
    <w:rsid w:val="00D20075"/>
    <w:rsid w:val="00D23AFB"/>
    <w:rsid w:val="00D24C05"/>
    <w:rsid w:val="00D25DE3"/>
    <w:rsid w:val="00D2644F"/>
    <w:rsid w:val="00D315C0"/>
    <w:rsid w:val="00D320DD"/>
    <w:rsid w:val="00D34C37"/>
    <w:rsid w:val="00D34E39"/>
    <w:rsid w:val="00D3534C"/>
    <w:rsid w:val="00D354F4"/>
    <w:rsid w:val="00D3552A"/>
    <w:rsid w:val="00D35D9E"/>
    <w:rsid w:val="00D4002E"/>
    <w:rsid w:val="00D40CEC"/>
    <w:rsid w:val="00D41738"/>
    <w:rsid w:val="00D433B3"/>
    <w:rsid w:val="00D43AF8"/>
    <w:rsid w:val="00D443CC"/>
    <w:rsid w:val="00D46091"/>
    <w:rsid w:val="00D46894"/>
    <w:rsid w:val="00D507F4"/>
    <w:rsid w:val="00D52BE8"/>
    <w:rsid w:val="00D52D74"/>
    <w:rsid w:val="00D55C10"/>
    <w:rsid w:val="00D565EC"/>
    <w:rsid w:val="00D579A2"/>
    <w:rsid w:val="00D60035"/>
    <w:rsid w:val="00D600B3"/>
    <w:rsid w:val="00D62A97"/>
    <w:rsid w:val="00D644F1"/>
    <w:rsid w:val="00D64ED6"/>
    <w:rsid w:val="00D65D0C"/>
    <w:rsid w:val="00D73B09"/>
    <w:rsid w:val="00D75C7C"/>
    <w:rsid w:val="00D761F0"/>
    <w:rsid w:val="00D76650"/>
    <w:rsid w:val="00D76A57"/>
    <w:rsid w:val="00D772DE"/>
    <w:rsid w:val="00D81C38"/>
    <w:rsid w:val="00D84DF1"/>
    <w:rsid w:val="00D8589E"/>
    <w:rsid w:val="00D86813"/>
    <w:rsid w:val="00D914A6"/>
    <w:rsid w:val="00D92C31"/>
    <w:rsid w:val="00D92FC9"/>
    <w:rsid w:val="00D9330F"/>
    <w:rsid w:val="00D944E2"/>
    <w:rsid w:val="00D9492B"/>
    <w:rsid w:val="00D950F2"/>
    <w:rsid w:val="00D95272"/>
    <w:rsid w:val="00DA03D7"/>
    <w:rsid w:val="00DA1387"/>
    <w:rsid w:val="00DA4E23"/>
    <w:rsid w:val="00DA63B8"/>
    <w:rsid w:val="00DA6860"/>
    <w:rsid w:val="00DA7BAE"/>
    <w:rsid w:val="00DB0858"/>
    <w:rsid w:val="00DB14BB"/>
    <w:rsid w:val="00DB26F2"/>
    <w:rsid w:val="00DB48B6"/>
    <w:rsid w:val="00DB4D7D"/>
    <w:rsid w:val="00DB5507"/>
    <w:rsid w:val="00DB5C83"/>
    <w:rsid w:val="00DB5F70"/>
    <w:rsid w:val="00DB60F3"/>
    <w:rsid w:val="00DB7E76"/>
    <w:rsid w:val="00DC0FAD"/>
    <w:rsid w:val="00DC1ACB"/>
    <w:rsid w:val="00DC2510"/>
    <w:rsid w:val="00DC59C1"/>
    <w:rsid w:val="00DC775F"/>
    <w:rsid w:val="00DC7921"/>
    <w:rsid w:val="00DD32AF"/>
    <w:rsid w:val="00DD5E9A"/>
    <w:rsid w:val="00DD6EE9"/>
    <w:rsid w:val="00DE019F"/>
    <w:rsid w:val="00DE250F"/>
    <w:rsid w:val="00DE36C7"/>
    <w:rsid w:val="00DE49FC"/>
    <w:rsid w:val="00DE5288"/>
    <w:rsid w:val="00DE5DD6"/>
    <w:rsid w:val="00DF0D70"/>
    <w:rsid w:val="00DF15FA"/>
    <w:rsid w:val="00DF2F5C"/>
    <w:rsid w:val="00DF3530"/>
    <w:rsid w:val="00DF558F"/>
    <w:rsid w:val="00DF55B1"/>
    <w:rsid w:val="00DF6CBB"/>
    <w:rsid w:val="00DF6D2A"/>
    <w:rsid w:val="00DF7B8A"/>
    <w:rsid w:val="00E01A0C"/>
    <w:rsid w:val="00E0238B"/>
    <w:rsid w:val="00E06D2A"/>
    <w:rsid w:val="00E1169E"/>
    <w:rsid w:val="00E119A2"/>
    <w:rsid w:val="00E12DE5"/>
    <w:rsid w:val="00E16FDA"/>
    <w:rsid w:val="00E20573"/>
    <w:rsid w:val="00E20A47"/>
    <w:rsid w:val="00E2294F"/>
    <w:rsid w:val="00E22E2C"/>
    <w:rsid w:val="00E2309E"/>
    <w:rsid w:val="00E23B0B"/>
    <w:rsid w:val="00E23C4C"/>
    <w:rsid w:val="00E25AF8"/>
    <w:rsid w:val="00E31701"/>
    <w:rsid w:val="00E32AA7"/>
    <w:rsid w:val="00E3316F"/>
    <w:rsid w:val="00E35197"/>
    <w:rsid w:val="00E3550C"/>
    <w:rsid w:val="00E3629C"/>
    <w:rsid w:val="00E37CB1"/>
    <w:rsid w:val="00E37EBB"/>
    <w:rsid w:val="00E41A39"/>
    <w:rsid w:val="00E439DF"/>
    <w:rsid w:val="00E43A4B"/>
    <w:rsid w:val="00E44356"/>
    <w:rsid w:val="00E44DE9"/>
    <w:rsid w:val="00E461C6"/>
    <w:rsid w:val="00E464F5"/>
    <w:rsid w:val="00E51231"/>
    <w:rsid w:val="00E512B9"/>
    <w:rsid w:val="00E539C7"/>
    <w:rsid w:val="00E5431D"/>
    <w:rsid w:val="00E55ABF"/>
    <w:rsid w:val="00E563C2"/>
    <w:rsid w:val="00E57433"/>
    <w:rsid w:val="00E639CA"/>
    <w:rsid w:val="00E63B7F"/>
    <w:rsid w:val="00E651B5"/>
    <w:rsid w:val="00E66603"/>
    <w:rsid w:val="00E66CEB"/>
    <w:rsid w:val="00E672F5"/>
    <w:rsid w:val="00E67C7F"/>
    <w:rsid w:val="00E706BC"/>
    <w:rsid w:val="00E7154B"/>
    <w:rsid w:val="00E7336B"/>
    <w:rsid w:val="00E73BA7"/>
    <w:rsid w:val="00E74F9B"/>
    <w:rsid w:val="00E7538D"/>
    <w:rsid w:val="00E7687D"/>
    <w:rsid w:val="00E80FB5"/>
    <w:rsid w:val="00E829A1"/>
    <w:rsid w:val="00E839B5"/>
    <w:rsid w:val="00E85D20"/>
    <w:rsid w:val="00E86942"/>
    <w:rsid w:val="00E87B3A"/>
    <w:rsid w:val="00E90521"/>
    <w:rsid w:val="00E908C1"/>
    <w:rsid w:val="00E90AB2"/>
    <w:rsid w:val="00E92BD2"/>
    <w:rsid w:val="00E93428"/>
    <w:rsid w:val="00E93C5B"/>
    <w:rsid w:val="00E94D01"/>
    <w:rsid w:val="00E955BC"/>
    <w:rsid w:val="00EA0351"/>
    <w:rsid w:val="00EA07C1"/>
    <w:rsid w:val="00EA14AF"/>
    <w:rsid w:val="00EA212E"/>
    <w:rsid w:val="00EA42EC"/>
    <w:rsid w:val="00EA5C21"/>
    <w:rsid w:val="00EA5D5C"/>
    <w:rsid w:val="00EB2068"/>
    <w:rsid w:val="00EB2242"/>
    <w:rsid w:val="00EB24DA"/>
    <w:rsid w:val="00EB37C3"/>
    <w:rsid w:val="00EB3F04"/>
    <w:rsid w:val="00EB6880"/>
    <w:rsid w:val="00EC3092"/>
    <w:rsid w:val="00EC484A"/>
    <w:rsid w:val="00EC4C1B"/>
    <w:rsid w:val="00EC4EE9"/>
    <w:rsid w:val="00EC5321"/>
    <w:rsid w:val="00EC5715"/>
    <w:rsid w:val="00EC612F"/>
    <w:rsid w:val="00EC6583"/>
    <w:rsid w:val="00EC6897"/>
    <w:rsid w:val="00EC6B9A"/>
    <w:rsid w:val="00ED0502"/>
    <w:rsid w:val="00ED125B"/>
    <w:rsid w:val="00ED1C74"/>
    <w:rsid w:val="00ED4FF9"/>
    <w:rsid w:val="00ED7CAE"/>
    <w:rsid w:val="00EE0DCE"/>
    <w:rsid w:val="00EE0FA9"/>
    <w:rsid w:val="00EE35C1"/>
    <w:rsid w:val="00EE3A55"/>
    <w:rsid w:val="00EE5A55"/>
    <w:rsid w:val="00EE60EE"/>
    <w:rsid w:val="00EE6555"/>
    <w:rsid w:val="00EF0449"/>
    <w:rsid w:val="00EF2D7C"/>
    <w:rsid w:val="00EF3144"/>
    <w:rsid w:val="00EF3D53"/>
    <w:rsid w:val="00EF5509"/>
    <w:rsid w:val="00EF5EB2"/>
    <w:rsid w:val="00EF623F"/>
    <w:rsid w:val="00F0018D"/>
    <w:rsid w:val="00F005D9"/>
    <w:rsid w:val="00F01FD1"/>
    <w:rsid w:val="00F02945"/>
    <w:rsid w:val="00F02CC2"/>
    <w:rsid w:val="00F02F82"/>
    <w:rsid w:val="00F02FB9"/>
    <w:rsid w:val="00F04785"/>
    <w:rsid w:val="00F04914"/>
    <w:rsid w:val="00F05490"/>
    <w:rsid w:val="00F054A4"/>
    <w:rsid w:val="00F05B92"/>
    <w:rsid w:val="00F06CBB"/>
    <w:rsid w:val="00F06E4E"/>
    <w:rsid w:val="00F10241"/>
    <w:rsid w:val="00F11D60"/>
    <w:rsid w:val="00F1651B"/>
    <w:rsid w:val="00F16792"/>
    <w:rsid w:val="00F21A79"/>
    <w:rsid w:val="00F2284D"/>
    <w:rsid w:val="00F22F32"/>
    <w:rsid w:val="00F23292"/>
    <w:rsid w:val="00F2373C"/>
    <w:rsid w:val="00F24E78"/>
    <w:rsid w:val="00F25205"/>
    <w:rsid w:val="00F2523B"/>
    <w:rsid w:val="00F258B4"/>
    <w:rsid w:val="00F27D2C"/>
    <w:rsid w:val="00F30AAA"/>
    <w:rsid w:val="00F32BC2"/>
    <w:rsid w:val="00F33E38"/>
    <w:rsid w:val="00F3517F"/>
    <w:rsid w:val="00F35766"/>
    <w:rsid w:val="00F3645E"/>
    <w:rsid w:val="00F36FB3"/>
    <w:rsid w:val="00F37420"/>
    <w:rsid w:val="00F37D7D"/>
    <w:rsid w:val="00F4020C"/>
    <w:rsid w:val="00F43605"/>
    <w:rsid w:val="00F46021"/>
    <w:rsid w:val="00F471B4"/>
    <w:rsid w:val="00F473C7"/>
    <w:rsid w:val="00F50765"/>
    <w:rsid w:val="00F52E1F"/>
    <w:rsid w:val="00F53299"/>
    <w:rsid w:val="00F53FF6"/>
    <w:rsid w:val="00F550E7"/>
    <w:rsid w:val="00F56C1B"/>
    <w:rsid w:val="00F600EB"/>
    <w:rsid w:val="00F603C2"/>
    <w:rsid w:val="00F61806"/>
    <w:rsid w:val="00F6186B"/>
    <w:rsid w:val="00F6275D"/>
    <w:rsid w:val="00F63B90"/>
    <w:rsid w:val="00F64279"/>
    <w:rsid w:val="00F65597"/>
    <w:rsid w:val="00F66111"/>
    <w:rsid w:val="00F66117"/>
    <w:rsid w:val="00F722CD"/>
    <w:rsid w:val="00F7348C"/>
    <w:rsid w:val="00F74418"/>
    <w:rsid w:val="00F75963"/>
    <w:rsid w:val="00F76EC6"/>
    <w:rsid w:val="00F773C7"/>
    <w:rsid w:val="00F77A94"/>
    <w:rsid w:val="00F804F1"/>
    <w:rsid w:val="00F80760"/>
    <w:rsid w:val="00F824D0"/>
    <w:rsid w:val="00F82BBF"/>
    <w:rsid w:val="00F835EF"/>
    <w:rsid w:val="00F8599C"/>
    <w:rsid w:val="00F8691B"/>
    <w:rsid w:val="00F90798"/>
    <w:rsid w:val="00F92F80"/>
    <w:rsid w:val="00F94B4D"/>
    <w:rsid w:val="00F95259"/>
    <w:rsid w:val="00F96EDF"/>
    <w:rsid w:val="00FA1172"/>
    <w:rsid w:val="00FA2117"/>
    <w:rsid w:val="00FA398E"/>
    <w:rsid w:val="00FA3994"/>
    <w:rsid w:val="00FA3F96"/>
    <w:rsid w:val="00FA4A21"/>
    <w:rsid w:val="00FA66EA"/>
    <w:rsid w:val="00FA6DD7"/>
    <w:rsid w:val="00FA749C"/>
    <w:rsid w:val="00FA7F63"/>
    <w:rsid w:val="00FB04DC"/>
    <w:rsid w:val="00FB33BC"/>
    <w:rsid w:val="00FB3CBA"/>
    <w:rsid w:val="00FB47BD"/>
    <w:rsid w:val="00FB5054"/>
    <w:rsid w:val="00FB533D"/>
    <w:rsid w:val="00FC0714"/>
    <w:rsid w:val="00FC30B8"/>
    <w:rsid w:val="00FC46E6"/>
    <w:rsid w:val="00FC4DA0"/>
    <w:rsid w:val="00FC5069"/>
    <w:rsid w:val="00FC5C7D"/>
    <w:rsid w:val="00FC5D8B"/>
    <w:rsid w:val="00FC682F"/>
    <w:rsid w:val="00FD0ECB"/>
    <w:rsid w:val="00FD109B"/>
    <w:rsid w:val="00FD1BF5"/>
    <w:rsid w:val="00FD22A0"/>
    <w:rsid w:val="00FD30AF"/>
    <w:rsid w:val="00FD3E98"/>
    <w:rsid w:val="00FD4FBC"/>
    <w:rsid w:val="00FD5E6C"/>
    <w:rsid w:val="00FD76EE"/>
    <w:rsid w:val="00FD7A9A"/>
    <w:rsid w:val="00FD7E00"/>
    <w:rsid w:val="00FE0059"/>
    <w:rsid w:val="00FE095E"/>
    <w:rsid w:val="00FE2806"/>
    <w:rsid w:val="00FE30B7"/>
    <w:rsid w:val="00FE4DB8"/>
    <w:rsid w:val="00FE517D"/>
    <w:rsid w:val="00FE5230"/>
    <w:rsid w:val="00FE705D"/>
    <w:rsid w:val="00FE76A7"/>
    <w:rsid w:val="00FF00A5"/>
    <w:rsid w:val="00FF134F"/>
    <w:rsid w:val="00FF1968"/>
    <w:rsid w:val="00FF29F5"/>
    <w:rsid w:val="00FF36AD"/>
    <w:rsid w:val="00FF47B4"/>
    <w:rsid w:val="00FF52A6"/>
    <w:rsid w:val="00FF6A71"/>
    <w:rsid w:val="00FF73BF"/>
    <w:rsid w:val="00FF761B"/>
    <w:rsid w:val="00FF7E0A"/>
    <w:rsid w:val="01281A93"/>
    <w:rsid w:val="01E32CF4"/>
    <w:rsid w:val="0222795D"/>
    <w:rsid w:val="02406DB1"/>
    <w:rsid w:val="025C4009"/>
    <w:rsid w:val="0273086B"/>
    <w:rsid w:val="02B33080"/>
    <w:rsid w:val="03516C2A"/>
    <w:rsid w:val="03985C7D"/>
    <w:rsid w:val="039A405D"/>
    <w:rsid w:val="03D678AF"/>
    <w:rsid w:val="03D72DE7"/>
    <w:rsid w:val="054A76DE"/>
    <w:rsid w:val="057A0D9A"/>
    <w:rsid w:val="057E6AB9"/>
    <w:rsid w:val="06070F2F"/>
    <w:rsid w:val="0659602B"/>
    <w:rsid w:val="068124F2"/>
    <w:rsid w:val="080028EE"/>
    <w:rsid w:val="08B33E9D"/>
    <w:rsid w:val="08FD0388"/>
    <w:rsid w:val="091A299A"/>
    <w:rsid w:val="09630D8D"/>
    <w:rsid w:val="097D6C0D"/>
    <w:rsid w:val="09C71513"/>
    <w:rsid w:val="09D300D1"/>
    <w:rsid w:val="0B106E41"/>
    <w:rsid w:val="0BF10DED"/>
    <w:rsid w:val="0C7B43D6"/>
    <w:rsid w:val="0CC00634"/>
    <w:rsid w:val="0D7B6C02"/>
    <w:rsid w:val="0D860F90"/>
    <w:rsid w:val="0D8E0AEA"/>
    <w:rsid w:val="0E0D23EB"/>
    <w:rsid w:val="0EB45AD1"/>
    <w:rsid w:val="0EC87744"/>
    <w:rsid w:val="0EF153C7"/>
    <w:rsid w:val="0F406B68"/>
    <w:rsid w:val="0FB466B0"/>
    <w:rsid w:val="104E016E"/>
    <w:rsid w:val="11771ED6"/>
    <w:rsid w:val="121F5215"/>
    <w:rsid w:val="12333A2D"/>
    <w:rsid w:val="1250401C"/>
    <w:rsid w:val="132035A6"/>
    <w:rsid w:val="1477CDA5"/>
    <w:rsid w:val="14B552DF"/>
    <w:rsid w:val="15102FB7"/>
    <w:rsid w:val="152F2F86"/>
    <w:rsid w:val="160F0BA2"/>
    <w:rsid w:val="1611726F"/>
    <w:rsid w:val="16B83B72"/>
    <w:rsid w:val="16E24139"/>
    <w:rsid w:val="170F0C33"/>
    <w:rsid w:val="198D5D3F"/>
    <w:rsid w:val="199369EB"/>
    <w:rsid w:val="1A6E1B33"/>
    <w:rsid w:val="1B0D7933"/>
    <w:rsid w:val="1B5B21F6"/>
    <w:rsid w:val="1C3B44E8"/>
    <w:rsid w:val="1C491577"/>
    <w:rsid w:val="1C676EFF"/>
    <w:rsid w:val="1C680CF5"/>
    <w:rsid w:val="1C7A51F1"/>
    <w:rsid w:val="1D157D7A"/>
    <w:rsid w:val="1D78034B"/>
    <w:rsid w:val="1F2C732E"/>
    <w:rsid w:val="1FAA075C"/>
    <w:rsid w:val="1FCF6107"/>
    <w:rsid w:val="20764D95"/>
    <w:rsid w:val="20B05353"/>
    <w:rsid w:val="20DE42D5"/>
    <w:rsid w:val="213B29CF"/>
    <w:rsid w:val="21964DFD"/>
    <w:rsid w:val="21E32762"/>
    <w:rsid w:val="221D73A0"/>
    <w:rsid w:val="22570D4D"/>
    <w:rsid w:val="229C7444"/>
    <w:rsid w:val="22A45EE0"/>
    <w:rsid w:val="235F51A7"/>
    <w:rsid w:val="24156A02"/>
    <w:rsid w:val="247513A1"/>
    <w:rsid w:val="248E1A90"/>
    <w:rsid w:val="24FC7F7D"/>
    <w:rsid w:val="25344C05"/>
    <w:rsid w:val="254774AC"/>
    <w:rsid w:val="257346E3"/>
    <w:rsid w:val="25C93A81"/>
    <w:rsid w:val="264B2FCC"/>
    <w:rsid w:val="27394EB2"/>
    <w:rsid w:val="274D5295"/>
    <w:rsid w:val="2774128F"/>
    <w:rsid w:val="279427A7"/>
    <w:rsid w:val="27B02A42"/>
    <w:rsid w:val="281E70EA"/>
    <w:rsid w:val="290F13E3"/>
    <w:rsid w:val="29732D2A"/>
    <w:rsid w:val="2B914779"/>
    <w:rsid w:val="2BAA6B2B"/>
    <w:rsid w:val="2BDC13E8"/>
    <w:rsid w:val="2C402F7F"/>
    <w:rsid w:val="2CD95C37"/>
    <w:rsid w:val="2E9928E0"/>
    <w:rsid w:val="2EB95886"/>
    <w:rsid w:val="2EBE6008"/>
    <w:rsid w:val="2EF5534E"/>
    <w:rsid w:val="2F9E1B21"/>
    <w:rsid w:val="2FD7696A"/>
    <w:rsid w:val="301E3AC1"/>
    <w:rsid w:val="318670E1"/>
    <w:rsid w:val="31F935AC"/>
    <w:rsid w:val="3249634F"/>
    <w:rsid w:val="32541A3F"/>
    <w:rsid w:val="32B72893"/>
    <w:rsid w:val="32D71C99"/>
    <w:rsid w:val="32FC5E04"/>
    <w:rsid w:val="331D54BE"/>
    <w:rsid w:val="345E5AE6"/>
    <w:rsid w:val="345F4A90"/>
    <w:rsid w:val="34787663"/>
    <w:rsid w:val="34820AFC"/>
    <w:rsid w:val="3507790E"/>
    <w:rsid w:val="35111282"/>
    <w:rsid w:val="371A5359"/>
    <w:rsid w:val="373C7CDF"/>
    <w:rsid w:val="378533FB"/>
    <w:rsid w:val="37BE7040"/>
    <w:rsid w:val="38485621"/>
    <w:rsid w:val="39477140"/>
    <w:rsid w:val="3969497D"/>
    <w:rsid w:val="397D5B92"/>
    <w:rsid w:val="39A4566F"/>
    <w:rsid w:val="3AA211FC"/>
    <w:rsid w:val="3B7527C3"/>
    <w:rsid w:val="3B8314FA"/>
    <w:rsid w:val="3BCD4780"/>
    <w:rsid w:val="3BCF490E"/>
    <w:rsid w:val="3BDD452D"/>
    <w:rsid w:val="3D14272A"/>
    <w:rsid w:val="3D3F2B65"/>
    <w:rsid w:val="3D593E8C"/>
    <w:rsid w:val="3DAF1262"/>
    <w:rsid w:val="3E5F1754"/>
    <w:rsid w:val="3F353AD5"/>
    <w:rsid w:val="3FEC6F1E"/>
    <w:rsid w:val="3FFDF21C"/>
    <w:rsid w:val="4039719F"/>
    <w:rsid w:val="4057019F"/>
    <w:rsid w:val="40FE18D7"/>
    <w:rsid w:val="411C0906"/>
    <w:rsid w:val="41E80474"/>
    <w:rsid w:val="42834427"/>
    <w:rsid w:val="42A61B46"/>
    <w:rsid w:val="42F31064"/>
    <w:rsid w:val="43312BF2"/>
    <w:rsid w:val="434E32D3"/>
    <w:rsid w:val="435F2301"/>
    <w:rsid w:val="43864984"/>
    <w:rsid w:val="4482515B"/>
    <w:rsid w:val="45757B65"/>
    <w:rsid w:val="46621912"/>
    <w:rsid w:val="473A1E48"/>
    <w:rsid w:val="480E2214"/>
    <w:rsid w:val="480E3C91"/>
    <w:rsid w:val="48B802FD"/>
    <w:rsid w:val="48B81E35"/>
    <w:rsid w:val="49BE4DEF"/>
    <w:rsid w:val="4A66787F"/>
    <w:rsid w:val="4BB3001D"/>
    <w:rsid w:val="4CAA2F3D"/>
    <w:rsid w:val="4D14519C"/>
    <w:rsid w:val="4DC2042B"/>
    <w:rsid w:val="4E2729EB"/>
    <w:rsid w:val="4EA10878"/>
    <w:rsid w:val="4F545B63"/>
    <w:rsid w:val="4F755271"/>
    <w:rsid w:val="4FBE7BEA"/>
    <w:rsid w:val="50CF33C4"/>
    <w:rsid w:val="50D80FF9"/>
    <w:rsid w:val="50EF2169"/>
    <w:rsid w:val="51856C19"/>
    <w:rsid w:val="51CB67B8"/>
    <w:rsid w:val="51D04DA4"/>
    <w:rsid w:val="51E55CC1"/>
    <w:rsid w:val="51FC5475"/>
    <w:rsid w:val="52631353"/>
    <w:rsid w:val="5294079D"/>
    <w:rsid w:val="53FA595A"/>
    <w:rsid w:val="54710E44"/>
    <w:rsid w:val="57EA4DC8"/>
    <w:rsid w:val="58192794"/>
    <w:rsid w:val="59412EF2"/>
    <w:rsid w:val="597A1C24"/>
    <w:rsid w:val="59893102"/>
    <w:rsid w:val="59E648CF"/>
    <w:rsid w:val="5A3C7D91"/>
    <w:rsid w:val="5A451CB6"/>
    <w:rsid w:val="5A78231A"/>
    <w:rsid w:val="5B14752D"/>
    <w:rsid w:val="5B4F2CD5"/>
    <w:rsid w:val="5B6414CE"/>
    <w:rsid w:val="5BEC5807"/>
    <w:rsid w:val="5C603089"/>
    <w:rsid w:val="5C65724C"/>
    <w:rsid w:val="5DCB066D"/>
    <w:rsid w:val="5DF33096"/>
    <w:rsid w:val="5E3943E6"/>
    <w:rsid w:val="5E52066F"/>
    <w:rsid w:val="5E6766F2"/>
    <w:rsid w:val="5F74671C"/>
    <w:rsid w:val="5F844553"/>
    <w:rsid w:val="5F8B10A0"/>
    <w:rsid w:val="5F8F47E3"/>
    <w:rsid w:val="5FA72429"/>
    <w:rsid w:val="603D40B6"/>
    <w:rsid w:val="6056126C"/>
    <w:rsid w:val="60920A32"/>
    <w:rsid w:val="613715C7"/>
    <w:rsid w:val="6168748D"/>
    <w:rsid w:val="61F63F33"/>
    <w:rsid w:val="620538B3"/>
    <w:rsid w:val="6252654C"/>
    <w:rsid w:val="626A3A22"/>
    <w:rsid w:val="62DC15B2"/>
    <w:rsid w:val="63E00724"/>
    <w:rsid w:val="63E54A34"/>
    <w:rsid w:val="6478698A"/>
    <w:rsid w:val="654710AE"/>
    <w:rsid w:val="65B00BC4"/>
    <w:rsid w:val="669A52F6"/>
    <w:rsid w:val="66C343CE"/>
    <w:rsid w:val="67440CAB"/>
    <w:rsid w:val="678A5E57"/>
    <w:rsid w:val="68C11458"/>
    <w:rsid w:val="68C61866"/>
    <w:rsid w:val="69096DD8"/>
    <w:rsid w:val="695177EF"/>
    <w:rsid w:val="695D4562"/>
    <w:rsid w:val="69902384"/>
    <w:rsid w:val="6996468D"/>
    <w:rsid w:val="69965B35"/>
    <w:rsid w:val="69EC02B3"/>
    <w:rsid w:val="6A526320"/>
    <w:rsid w:val="6B0D446E"/>
    <w:rsid w:val="6B3360C8"/>
    <w:rsid w:val="6B3E097A"/>
    <w:rsid w:val="6BE712D3"/>
    <w:rsid w:val="6C085B74"/>
    <w:rsid w:val="6D822386"/>
    <w:rsid w:val="6DBD0E77"/>
    <w:rsid w:val="6DCB4E7D"/>
    <w:rsid w:val="6E176E69"/>
    <w:rsid w:val="6E775CD9"/>
    <w:rsid w:val="6E7A1830"/>
    <w:rsid w:val="6EAD39CE"/>
    <w:rsid w:val="6EB54C74"/>
    <w:rsid w:val="6ECE3EA8"/>
    <w:rsid w:val="6F0C3B6A"/>
    <w:rsid w:val="712264C5"/>
    <w:rsid w:val="71BD2C85"/>
    <w:rsid w:val="71C02CF2"/>
    <w:rsid w:val="71F66A17"/>
    <w:rsid w:val="72054FCA"/>
    <w:rsid w:val="7257796A"/>
    <w:rsid w:val="72F86392"/>
    <w:rsid w:val="751E4A37"/>
    <w:rsid w:val="76A74F83"/>
    <w:rsid w:val="76C8643D"/>
    <w:rsid w:val="77102C42"/>
    <w:rsid w:val="78013775"/>
    <w:rsid w:val="782E336A"/>
    <w:rsid w:val="787B74A7"/>
    <w:rsid w:val="788E4647"/>
    <w:rsid w:val="7923709D"/>
    <w:rsid w:val="7A2C6801"/>
    <w:rsid w:val="7A2E4B0E"/>
    <w:rsid w:val="7AFF3E5A"/>
    <w:rsid w:val="7B1905EF"/>
    <w:rsid w:val="7B4764CF"/>
    <w:rsid w:val="7B8A25E0"/>
    <w:rsid w:val="7BA552E2"/>
    <w:rsid w:val="7BD101DF"/>
    <w:rsid w:val="7BD47C11"/>
    <w:rsid w:val="7C7D5D09"/>
    <w:rsid w:val="7CC22809"/>
    <w:rsid w:val="7DDF7725"/>
    <w:rsid w:val="7F7337C2"/>
    <w:rsid w:val="7F914198"/>
    <w:rsid w:val="7FB543BB"/>
    <w:rsid w:val="7FC6567C"/>
    <w:rsid w:val="7FFD1640"/>
    <w:rsid w:val="ADFED32E"/>
    <w:rsid w:val="DAE37AEB"/>
    <w:rsid w:val="EBDF46B7"/>
    <w:rsid w:val="F5EF699D"/>
    <w:rsid w:val="FEFD8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40"/>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6">
    <w:name w:val="heading 2"/>
    <w:basedOn w:val="1"/>
    <w:next w:val="1"/>
    <w:link w:val="42"/>
    <w:qFormat/>
    <w:uiPriority w:val="0"/>
    <w:pPr>
      <w:keepNext/>
      <w:keepLines/>
      <w:spacing w:before="260" w:after="260" w:line="413" w:lineRule="auto"/>
      <w:outlineLvl w:val="1"/>
    </w:pPr>
    <w:rPr>
      <w:rFonts w:ascii="Arial" w:hAnsi="Arial"/>
      <w:kern w:val="0"/>
      <w:sz w:val="28"/>
      <w:szCs w:val="20"/>
    </w:rPr>
  </w:style>
  <w:style w:type="paragraph" w:styleId="7">
    <w:name w:val="heading 3"/>
    <w:basedOn w:val="1"/>
    <w:next w:val="1"/>
    <w:link w:val="39"/>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方正仿宋简体" w:eastAsia="方正仿宋简体"/>
      <w:color w:val="000000"/>
      <w:sz w:val="30"/>
    </w:rPr>
  </w:style>
  <w:style w:type="paragraph" w:styleId="3">
    <w:name w:val="Body Text Indent"/>
    <w:basedOn w:val="1"/>
    <w:link w:val="44"/>
    <w:qFormat/>
    <w:uiPriority w:val="0"/>
    <w:pPr>
      <w:spacing w:after="120"/>
      <w:ind w:left="420" w:leftChars="200"/>
    </w:pPr>
  </w:style>
  <w:style w:type="paragraph" w:styleId="5">
    <w:name w:val="toa heading"/>
    <w:basedOn w:val="1"/>
    <w:next w:val="1"/>
    <w:qFormat/>
    <w:uiPriority w:val="0"/>
    <w:pPr>
      <w:spacing w:before="120"/>
    </w:pPr>
    <w:rPr>
      <w:rFonts w:ascii="Arial" w:hAnsi="Arial"/>
      <w:sz w:val="24"/>
    </w:rPr>
  </w:style>
  <w:style w:type="paragraph" w:styleId="8">
    <w:name w:val="toc 7"/>
    <w:basedOn w:val="1"/>
    <w:next w:val="1"/>
    <w:qFormat/>
    <w:uiPriority w:val="0"/>
    <w:pPr>
      <w:ind w:left="2520" w:leftChars="1200"/>
    </w:pPr>
  </w:style>
  <w:style w:type="paragraph" w:styleId="9">
    <w:name w:val="Document Map"/>
    <w:basedOn w:val="1"/>
    <w:link w:val="35"/>
    <w:qFormat/>
    <w:uiPriority w:val="0"/>
    <w:rPr>
      <w:rFonts w:ascii="宋体"/>
      <w:sz w:val="18"/>
      <w:szCs w:val="18"/>
    </w:rPr>
  </w:style>
  <w:style w:type="paragraph" w:styleId="10">
    <w:name w:val="annotation text"/>
    <w:basedOn w:val="1"/>
    <w:link w:val="33"/>
    <w:qFormat/>
    <w:uiPriority w:val="0"/>
    <w:pPr>
      <w:jc w:val="left"/>
    </w:pPr>
    <w:rPr>
      <w:rFonts w:ascii="Calibri" w:hAnsi="Calibri"/>
      <w:szCs w:val="22"/>
    </w:rPr>
  </w:style>
  <w:style w:type="paragraph" w:styleId="11">
    <w:name w:val="Body Text"/>
    <w:basedOn w:val="1"/>
    <w:qFormat/>
    <w:uiPriority w:val="0"/>
    <w:pPr>
      <w:spacing w:after="120"/>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51"/>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6"/>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3"/>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10"/>
    <w:next w:val="10"/>
    <w:link w:val="34"/>
    <w:qFormat/>
    <w:uiPriority w:val="0"/>
    <w:rPr>
      <w:rFonts w:ascii="Times New Roman" w:hAnsi="Times New Roman"/>
      <w:b/>
      <w:bCs/>
      <w:szCs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正文（缩进）"/>
    <w:basedOn w:val="1"/>
    <w:qFormat/>
    <w:uiPriority w:val="0"/>
    <w:pPr>
      <w:spacing w:before="156" w:after="156"/>
      <w:ind w:firstLine="480"/>
    </w:pPr>
  </w:style>
  <w:style w:type="character" w:customStyle="1" w:styleId="33">
    <w:name w:val="批注文字 字符"/>
    <w:link w:val="10"/>
    <w:qFormat/>
    <w:uiPriority w:val="0"/>
    <w:rPr>
      <w:rFonts w:ascii="Calibri" w:hAnsi="Calibri"/>
      <w:kern w:val="2"/>
      <w:sz w:val="21"/>
      <w:szCs w:val="22"/>
    </w:rPr>
  </w:style>
  <w:style w:type="character" w:customStyle="1" w:styleId="34">
    <w:name w:val="批注主题 字符"/>
    <w:basedOn w:val="33"/>
    <w:link w:val="25"/>
    <w:qFormat/>
    <w:uiPriority w:val="0"/>
    <w:rPr>
      <w:rFonts w:ascii="Calibri" w:hAnsi="Calibri"/>
      <w:kern w:val="2"/>
      <w:sz w:val="21"/>
      <w:szCs w:val="22"/>
    </w:rPr>
  </w:style>
  <w:style w:type="character" w:customStyle="1" w:styleId="35">
    <w:name w:val="文档结构图 字符"/>
    <w:link w:val="9"/>
    <w:qFormat/>
    <w:uiPriority w:val="0"/>
    <w:rPr>
      <w:rFonts w:ascii="宋体"/>
      <w:kern w:val="2"/>
      <w:sz w:val="18"/>
      <w:szCs w:val="18"/>
    </w:rPr>
  </w:style>
  <w:style w:type="character" w:customStyle="1" w:styleId="36">
    <w:name w:val="批注框文本 字符"/>
    <w:link w:val="16"/>
    <w:qFormat/>
    <w:uiPriority w:val="0"/>
    <w:rPr>
      <w:kern w:val="2"/>
      <w:sz w:val="18"/>
      <w:szCs w:val="18"/>
    </w:rPr>
  </w:style>
  <w:style w:type="character" w:customStyle="1" w:styleId="37">
    <w:name w:val="1101 Char"/>
    <w:link w:val="38"/>
    <w:qFormat/>
    <w:uiPriority w:val="0"/>
    <w:rPr>
      <w:rFonts w:ascii="宋体" w:hAnsi="宋体" w:cs="宋体"/>
      <w:kern w:val="2"/>
      <w:sz w:val="28"/>
      <w:szCs w:val="28"/>
    </w:rPr>
  </w:style>
  <w:style w:type="paragraph" w:customStyle="1" w:styleId="38">
    <w:name w:val="1101"/>
    <w:basedOn w:val="1"/>
    <w:link w:val="37"/>
    <w:qFormat/>
    <w:uiPriority w:val="0"/>
    <w:pPr>
      <w:ind w:firstLine="560" w:firstLineChars="200"/>
      <w:jc w:val="left"/>
    </w:pPr>
    <w:rPr>
      <w:rFonts w:ascii="宋体" w:hAnsi="宋体"/>
      <w:sz w:val="28"/>
      <w:szCs w:val="28"/>
    </w:rPr>
  </w:style>
  <w:style w:type="character" w:customStyle="1" w:styleId="39">
    <w:name w:val="标题 3 字符"/>
    <w:link w:val="7"/>
    <w:qFormat/>
    <w:uiPriority w:val="0"/>
    <w:rPr>
      <w:rFonts w:eastAsia="宋体"/>
      <w:sz w:val="28"/>
    </w:rPr>
  </w:style>
  <w:style w:type="character" w:customStyle="1" w:styleId="40">
    <w:name w:val="标题 1 字符"/>
    <w:link w:val="4"/>
    <w:qFormat/>
    <w:uiPriority w:val="0"/>
    <w:rPr>
      <w:rFonts w:ascii="Times New Roman" w:hAnsi="Times New Roman" w:eastAsia="宋体"/>
      <w:b/>
      <w:kern w:val="44"/>
      <w:sz w:val="28"/>
      <w:szCs w:val="20"/>
    </w:rPr>
  </w:style>
  <w:style w:type="character" w:customStyle="1" w:styleId="41">
    <w:name w:val="正文文本缩进 Char"/>
    <w:basedOn w:val="28"/>
    <w:qFormat/>
    <w:uiPriority w:val="0"/>
    <w:rPr>
      <w:kern w:val="2"/>
      <w:sz w:val="21"/>
      <w:szCs w:val="24"/>
    </w:rPr>
  </w:style>
  <w:style w:type="character" w:customStyle="1" w:styleId="42">
    <w:name w:val="标题 2 字符"/>
    <w:link w:val="6"/>
    <w:qFormat/>
    <w:uiPriority w:val="0"/>
    <w:rPr>
      <w:rFonts w:ascii="Arial" w:hAnsi="Arial" w:eastAsia="宋体"/>
      <w:sz w:val="28"/>
      <w:szCs w:val="20"/>
    </w:rPr>
  </w:style>
  <w:style w:type="character" w:customStyle="1" w:styleId="43">
    <w:name w:val="正文文本缩进 3 字符"/>
    <w:link w:val="22"/>
    <w:qFormat/>
    <w:uiPriority w:val="0"/>
    <w:rPr>
      <w:kern w:val="2"/>
      <w:sz w:val="16"/>
      <w:szCs w:val="16"/>
    </w:rPr>
  </w:style>
  <w:style w:type="character" w:customStyle="1" w:styleId="44">
    <w:name w:val="正文文本缩进 字符"/>
    <w:basedOn w:val="28"/>
    <w:link w:val="3"/>
    <w:qFormat/>
    <w:uiPriority w:val="0"/>
    <w:rPr>
      <w:kern w:val="2"/>
      <w:sz w:val="21"/>
      <w:szCs w:val="24"/>
    </w:rPr>
  </w:style>
  <w:style w:type="paragraph" w:customStyle="1" w:styleId="45">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6">
    <w:name w:val="纯文本1"/>
    <w:basedOn w:val="1"/>
    <w:qFormat/>
    <w:uiPriority w:val="0"/>
    <w:rPr>
      <w:rFonts w:ascii="宋体" w:hAnsi="Courier New" w:cs="黑体"/>
      <w:szCs w:val="21"/>
    </w:rPr>
  </w:style>
  <w:style w:type="paragraph" w:customStyle="1" w:styleId="47">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8">
    <w:name w:val="款下正文"/>
    <w:basedOn w:val="1"/>
    <w:qFormat/>
    <w:uiPriority w:val="0"/>
    <w:pPr>
      <w:spacing w:beforeLines="50" w:afterLines="50" w:line="480" w:lineRule="exact"/>
      <w:ind w:firstLine="480" w:firstLineChars="200"/>
    </w:pPr>
    <w:rPr>
      <w:sz w:val="24"/>
      <w:szCs w:val="28"/>
    </w:rPr>
  </w:style>
  <w:style w:type="paragraph" w:customStyle="1" w:styleId="49">
    <w:name w:val="TOC 标题1"/>
    <w:basedOn w:val="4"/>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50">
    <w:name w:val="样式1"/>
    <w:basedOn w:val="4"/>
    <w:qFormat/>
    <w:uiPriority w:val="0"/>
  </w:style>
  <w:style w:type="character" w:customStyle="1" w:styleId="51">
    <w:name w:val="纯文本 字符"/>
    <w:link w:val="14"/>
    <w:qFormat/>
    <w:uiPriority w:val="0"/>
    <w:rPr>
      <w:rFonts w:ascii="宋体" w:hAnsi="Courier New"/>
      <w:kern w:val="2"/>
      <w:sz w:val="21"/>
      <w:szCs w:val="24"/>
    </w:rPr>
  </w:style>
  <w:style w:type="paragraph" w:customStyle="1" w:styleId="52">
    <w:name w:val="列出段落1"/>
    <w:basedOn w:val="1"/>
    <w:qFormat/>
    <w:uiPriority w:val="34"/>
    <w:pPr>
      <w:ind w:firstLine="420" w:firstLineChars="200"/>
    </w:pPr>
    <w:rPr>
      <w:rFonts w:ascii="Calibri" w:hAnsi="Calibri"/>
      <w:szCs w:val="22"/>
    </w:rPr>
  </w:style>
  <w:style w:type="paragraph" w:customStyle="1" w:styleId="53">
    <w:name w:val="列出段落2"/>
    <w:basedOn w:val="1"/>
    <w:unhideWhenUsed/>
    <w:qFormat/>
    <w:uiPriority w:val="34"/>
    <w:pPr>
      <w:ind w:firstLine="420" w:firstLineChars="200"/>
    </w:pPr>
    <w:rPr>
      <w:szCs w:val="20"/>
    </w:rPr>
  </w:style>
  <w:style w:type="paragraph" w:customStyle="1" w:styleId="54">
    <w:name w:val="列表段落1"/>
    <w:basedOn w:val="1"/>
    <w:qFormat/>
    <w:uiPriority w:val="99"/>
    <w:pPr>
      <w:ind w:firstLine="420" w:firstLineChars="200"/>
    </w:pPr>
  </w:style>
  <w:style w:type="paragraph" w:styleId="5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17708</Words>
  <Characters>18599</Characters>
  <Lines>180</Lines>
  <Paragraphs>50</Paragraphs>
  <TotalTime>53</TotalTime>
  <ScaleCrop>false</ScaleCrop>
  <LinksUpToDate>false</LinksUpToDate>
  <CharactersWithSpaces>20136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2022-06-16T03:34:00Z</dcterms:created>
  <dc:creator>jkghj</dc:creator>
  <cp:lastModifiedBy>Loooooooooong</cp:lastModifiedBy>
  <cp:lastPrinted>2018-12-21T17:23:00Z</cp:lastPrinted>
  <dcterms:modified xsi:type="dcterms:W3CDTF">2022-07-04T10:03:29Z</dcterms:modified>
  <dc:title>南宁市轨道交通3号线工程可行性研究报告(含选线勘察)编制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5D77BEDFDB5A4253A7F9324F0F960B78</vt:lpwstr>
  </property>
</Properties>
</file>