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286386830"/>
      <w:bookmarkStart w:id="1" w:name="_Toc114052410"/>
      <w:bookmarkStart w:id="2" w:name="_Toc114052336"/>
      <w:bookmarkStart w:id="3" w:name="_Toc14991"/>
      <w:bookmarkStart w:id="4" w:name="_Toc7547"/>
      <w:bookmarkStart w:id="5" w:name="_Toc28464"/>
      <w:bookmarkStart w:id="6" w:name="_Toc12281"/>
      <w:bookmarkStart w:id="7" w:name="_Toc1179"/>
      <w:bookmarkStart w:id="8" w:name="_Toc9458"/>
      <w:bookmarkStart w:id="9" w:name="_Toc25920"/>
      <w:bookmarkStart w:id="10" w:name="_Toc15740"/>
      <w:bookmarkStart w:id="11" w:name="_Toc21919"/>
      <w:bookmarkStart w:id="12" w:name="_Toc9725"/>
      <w:bookmarkStart w:id="13" w:name="_Toc9991"/>
      <w:bookmarkStart w:id="14" w:name="_Toc16340"/>
      <w:bookmarkStart w:id="15" w:name="_Toc23292"/>
      <w:bookmarkStart w:id="16" w:name="_Toc11424"/>
      <w:bookmarkStart w:id="17" w:name="_Toc13323"/>
      <w:bookmarkStart w:id="18" w:name="_Toc4003"/>
      <w:bookmarkStart w:id="19" w:name="_Toc17022"/>
      <w:bookmarkStart w:id="20" w:name="_Toc25750632"/>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auto"/>
          <w:sz w:val="44"/>
          <w:szCs w:val="44"/>
        </w:rPr>
        <w:t>南宁轨道交通集团运营分公司</w:t>
      </w:r>
    </w:p>
    <w:p>
      <w:pPr>
        <w:spacing w:before="0" w:afterAutospacing="0" w:line="360" w:lineRule="auto"/>
        <w:ind w:left="-709" w:right="0" w:firstLine="880" w:firstLineChars="200"/>
        <w:jc w:val="center"/>
        <w:rPr>
          <w:rFonts w:ascii="楷体_GB2312" w:eastAsia="楷体_GB2312"/>
          <w:color w:val="auto"/>
          <w:sz w:val="24"/>
        </w:rPr>
      </w:pPr>
      <w:r>
        <w:rPr>
          <w:rFonts w:hint="eastAsia"/>
          <w:color w:val="auto"/>
          <w:sz w:val="44"/>
          <w:szCs w:val="44"/>
          <w:lang w:eastAsia="zh-CN"/>
        </w:rPr>
        <w:t>2021年钢轨等轨道物资采购项目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4"/>
                <w:szCs w:val="24"/>
              </w:rPr>
              <w:t>NNGD-YY-BJBJ-2021091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60288"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ascii="宋体" w:hAnsi="宋体"/>
          <w:bCs/>
          <w:color w:val="auto"/>
          <w:sz w:val="28"/>
          <w:szCs w:val="28"/>
          <w:u w:val="single"/>
        </w:rPr>
        <w:t>1</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5" w:type="default"/>
          <w:headerReference r:id="rId6" w:type="even"/>
          <w:footerReference r:id="rId7"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7236"/>
      <w:bookmarkStart w:id="22" w:name="_Toc20060"/>
      <w:bookmarkStart w:id="23" w:name="_Toc25828"/>
      <w:bookmarkStart w:id="24" w:name="_Toc29797"/>
      <w:bookmarkStart w:id="25" w:name="_Toc32403"/>
      <w:bookmarkStart w:id="26" w:name="_Toc15840"/>
      <w:bookmarkStart w:id="27" w:name="_Toc12983547"/>
      <w:bookmarkStart w:id="28" w:name="_Toc14463"/>
      <w:bookmarkStart w:id="29" w:name="_Toc3488"/>
      <w:bookmarkStart w:id="30" w:name="_Toc1289"/>
      <w:bookmarkStart w:id="31" w:name="_Toc25750633"/>
      <w:bookmarkStart w:id="32" w:name="_Toc31368"/>
      <w:bookmarkStart w:id="33" w:name="_Toc6950"/>
      <w:bookmarkStart w:id="34" w:name="_Toc7587"/>
      <w:bookmarkStart w:id="35" w:name="_Toc13761"/>
      <w:bookmarkStart w:id="36" w:name="_Toc6190"/>
      <w:bookmarkStart w:id="37" w:name="_Toc8999"/>
      <w:bookmarkStart w:id="38" w:name="_Toc4026"/>
      <w:bookmarkStart w:id="39" w:name="_Toc2618"/>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2021年钢轨等轨道物资采购项目</w:t>
      </w:r>
      <w:r>
        <w:rPr>
          <w:rFonts w:hint="eastAsia" w:ascii="宋体" w:hAnsi="宋体"/>
          <w:color w:val="auto"/>
        </w:rPr>
        <w:t>（项目编号：</w:t>
      </w:r>
      <w:r>
        <w:rPr>
          <w:rFonts w:hint="eastAsia" w:ascii="宋体" w:hAnsi="宋体"/>
          <w:color w:val="auto"/>
          <w:u w:val="single"/>
          <w:lang w:eastAsia="zh-CN"/>
        </w:rPr>
        <w:t>NNGD-YY-BJBJ-2021052</w:t>
      </w:r>
      <w:r>
        <w:rPr>
          <w:rFonts w:hint="eastAsia" w:ascii="宋体" w:hAnsi="宋体"/>
          <w:color w:val="auto"/>
        </w:rPr>
        <w:t>）询比价结果，依据《中华人民共和国</w:t>
      </w:r>
      <w:r>
        <w:rPr>
          <w:rFonts w:hint="eastAsia" w:ascii="宋体" w:hAnsi="宋体"/>
          <w:color w:val="auto"/>
          <w:lang w:val="en-US" w:eastAsia="zh-CN"/>
        </w:rPr>
        <w:t>民法典</w:t>
      </w:r>
      <w:r>
        <w:rPr>
          <w:rFonts w:hint="eastAsia" w:ascii="宋体" w:hAnsi="宋体"/>
          <w:color w:val="auto"/>
        </w:rPr>
        <w:t>》的规定，签订协议。具体内容如下：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2021年钢轨等轨道物资采购项目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w:t>
      </w:r>
      <w:r>
        <w:rPr>
          <w:rFonts w:hint="eastAsia" w:ascii="宋体" w:hAnsi="宋体" w:cs="Arial"/>
          <w:color w:val="auto"/>
          <w:lang w:val="en-US" w:eastAsia="zh-CN"/>
        </w:rPr>
        <w:t>规格书</w:t>
      </w:r>
      <w:r>
        <w:rPr>
          <w:rFonts w:hint="eastAsia" w:ascii="宋体" w:hAnsi="宋体" w:cs="Arial"/>
          <w:color w:val="auto"/>
        </w:rPr>
        <w:t>的规定有差异时，以技术</w:t>
      </w:r>
      <w:r>
        <w:rPr>
          <w:rFonts w:hint="eastAsia" w:ascii="宋体" w:hAnsi="宋体" w:cs="Arial"/>
          <w:color w:val="auto"/>
          <w:lang w:val="en-US" w:eastAsia="zh-CN"/>
        </w:rPr>
        <w:t>规格书</w:t>
      </w:r>
      <w:r>
        <w:rPr>
          <w:rFonts w:hint="eastAsia" w:ascii="宋体" w:hAnsi="宋体" w:cs="Arial"/>
          <w:color w:val="auto"/>
        </w:rPr>
        <w:t>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29876"/>
      <w:bookmarkStart w:id="41" w:name="_Toc9188"/>
      <w:bookmarkStart w:id="42" w:name="_Toc24098"/>
      <w:bookmarkStart w:id="43" w:name="_Toc11253"/>
      <w:bookmarkStart w:id="44" w:name="_Toc12155"/>
      <w:bookmarkStart w:id="45" w:name="_Toc9438"/>
      <w:bookmarkStart w:id="46" w:name="_Toc25942"/>
      <w:bookmarkStart w:id="47" w:name="_Toc10196"/>
      <w:bookmarkStart w:id="48" w:name="_Toc18460"/>
      <w:bookmarkStart w:id="49" w:name="_Toc258"/>
      <w:bookmarkStart w:id="50" w:name="_Toc24973"/>
      <w:bookmarkStart w:id="51" w:name="_Toc7529"/>
      <w:bookmarkStart w:id="52" w:name="_Toc25750634"/>
      <w:bookmarkStart w:id="53" w:name="_Toc7689"/>
      <w:bookmarkStart w:id="54" w:name="_Toc4133"/>
      <w:bookmarkStart w:id="55" w:name="_Toc16743"/>
      <w:bookmarkStart w:id="56" w:name="_Toc14469"/>
      <w:bookmarkStart w:id="57" w:name="_Toc997"/>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25750635"/>
      <w:bookmarkStart w:id="59" w:name="_Toc385427838"/>
      <w:bookmarkStart w:id="60" w:name="_Toc12080"/>
      <w:bookmarkStart w:id="61" w:name="_Toc20484"/>
      <w:bookmarkStart w:id="62" w:name="_Toc19920"/>
      <w:bookmarkStart w:id="63" w:name="_Toc12256"/>
      <w:bookmarkStart w:id="64" w:name="_Toc10730"/>
      <w:bookmarkStart w:id="65" w:name="_Toc492478763"/>
      <w:bookmarkStart w:id="66" w:name="_Toc378514952"/>
      <w:bookmarkStart w:id="67" w:name="_Toc390098464"/>
      <w:bookmarkStart w:id="68" w:name="_Toc28024"/>
      <w:bookmarkStart w:id="69" w:name="_Toc2614"/>
      <w:bookmarkStart w:id="70" w:name="_Toc4032"/>
      <w:bookmarkStart w:id="71" w:name="_Toc25643"/>
      <w:bookmarkStart w:id="72" w:name="_Toc15707"/>
      <w:bookmarkStart w:id="73" w:name="_Toc22880"/>
      <w:bookmarkStart w:id="74" w:name="_Toc43"/>
      <w:bookmarkStart w:id="75" w:name="_Toc6054"/>
      <w:bookmarkStart w:id="76" w:name="_Toc7961"/>
      <w:bookmarkStart w:id="77" w:name="_Toc29932"/>
      <w:bookmarkStart w:id="78" w:name="_Toc31691"/>
      <w:bookmarkStart w:id="79" w:name="_Toc370933855"/>
      <w:bookmarkStart w:id="80" w:name="_Toc18727"/>
      <w:bookmarkStart w:id="81" w:name="_Toc14287"/>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系指询比价文件规定询比价申请人须承担的与供货有关的辅助服务，包括但不限于软硬件开发与制造、系统集成、采购、供货、出厂检验、包装、运输</w:t>
      </w:r>
      <w:r>
        <w:rPr>
          <w:rFonts w:hint="eastAsia" w:ascii="宋体" w:hAnsi="宋体"/>
        </w:rPr>
        <w:t>、保险、装卸、到货检查、设备安装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rPr>
      </w:pPr>
      <w:bookmarkStart w:id="82" w:name="_Toc25750636"/>
      <w:bookmarkStart w:id="83" w:name="_Toc15944"/>
      <w:bookmarkStart w:id="84" w:name="_Toc3180"/>
      <w:bookmarkStart w:id="85" w:name="_Toc18178"/>
      <w:bookmarkStart w:id="86" w:name="_Toc23247"/>
      <w:bookmarkStart w:id="87" w:name="_Toc25826"/>
      <w:bookmarkStart w:id="88" w:name="_Toc7813"/>
      <w:bookmarkStart w:id="89" w:name="_Toc370933856"/>
      <w:bookmarkStart w:id="90" w:name="_Toc492478764"/>
      <w:bookmarkStart w:id="91" w:name="_Toc30815"/>
      <w:bookmarkStart w:id="92" w:name="_Toc4212"/>
      <w:bookmarkStart w:id="93" w:name="_Toc23112"/>
      <w:bookmarkStart w:id="94" w:name="_Toc8477"/>
      <w:bookmarkStart w:id="95" w:name="_Toc7059"/>
      <w:bookmarkStart w:id="96" w:name="_Toc378514953"/>
      <w:bookmarkStart w:id="97" w:name="_Toc390098465"/>
      <w:bookmarkStart w:id="98" w:name="_Toc19899"/>
      <w:bookmarkStart w:id="99" w:name="_Toc4255"/>
      <w:bookmarkStart w:id="100" w:name="_Toc385427839"/>
      <w:bookmarkStart w:id="101" w:name="_Toc23305"/>
      <w:bookmarkStart w:id="102" w:name="_Toc4301"/>
      <w:bookmarkStart w:id="103" w:name="_Toc5955"/>
      <w:bookmarkStart w:id="104" w:name="_Toc13835"/>
      <w:bookmarkStart w:id="105" w:name="_Toc1169"/>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rPr>
      </w:pPr>
      <w:bookmarkStart w:id="106" w:name="_Toc21603"/>
      <w:bookmarkStart w:id="107" w:name="_Toc3131"/>
      <w:bookmarkStart w:id="108" w:name="_Toc14437"/>
      <w:bookmarkStart w:id="109" w:name="_Toc492478765"/>
      <w:bookmarkStart w:id="110" w:name="_Toc370933857"/>
      <w:bookmarkStart w:id="111" w:name="_Toc9864"/>
      <w:bookmarkStart w:id="112" w:name="_Toc25750637"/>
      <w:bookmarkStart w:id="113" w:name="_Toc12248"/>
      <w:bookmarkStart w:id="114" w:name="_Toc4898"/>
      <w:bookmarkStart w:id="115" w:name="_Toc4738"/>
      <w:bookmarkStart w:id="116" w:name="_Toc15308"/>
      <w:bookmarkStart w:id="117" w:name="_Toc26983"/>
      <w:bookmarkStart w:id="118" w:name="_Toc13801"/>
      <w:bookmarkStart w:id="119" w:name="_Toc4969"/>
      <w:bookmarkStart w:id="120" w:name="_Toc11803"/>
      <w:bookmarkStart w:id="121" w:name="_Toc385427840"/>
      <w:bookmarkStart w:id="122" w:name="_Toc9306"/>
      <w:bookmarkStart w:id="123" w:name="_Toc5253"/>
      <w:bookmarkStart w:id="124" w:name="_Toc21065"/>
      <w:bookmarkStart w:id="125" w:name="_Toc390098466"/>
      <w:bookmarkStart w:id="126" w:name="_Toc378514954"/>
      <w:bookmarkStart w:id="127" w:name="_Toc3674"/>
      <w:bookmarkStart w:id="128" w:name="_Toc18092"/>
      <w:bookmarkStart w:id="129" w:name="_Toc3397"/>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rPr>
      </w:pPr>
      <w:bookmarkStart w:id="130" w:name="_Toc16646"/>
      <w:bookmarkStart w:id="131" w:name="_Toc3318"/>
      <w:bookmarkStart w:id="132" w:name="_Toc14273"/>
      <w:bookmarkStart w:id="133" w:name="_Toc19514"/>
      <w:bookmarkStart w:id="134" w:name="_Toc21641"/>
      <w:bookmarkStart w:id="135" w:name="_Toc21289"/>
      <w:bookmarkStart w:id="136" w:name="_Toc18548"/>
      <w:bookmarkStart w:id="137" w:name="_Toc390098467"/>
      <w:bookmarkStart w:id="138" w:name="_Toc378514955"/>
      <w:bookmarkStart w:id="139" w:name="_Toc492478766"/>
      <w:bookmarkStart w:id="140" w:name="_Toc385427841"/>
      <w:bookmarkStart w:id="141" w:name="_Toc12180"/>
      <w:bookmarkStart w:id="142" w:name="_Toc23249"/>
      <w:bookmarkStart w:id="143" w:name="_Toc14713"/>
      <w:bookmarkStart w:id="144" w:name="_Toc370933858"/>
      <w:bookmarkStart w:id="145" w:name="_Toc10807"/>
      <w:bookmarkStart w:id="146" w:name="_Toc21356"/>
      <w:bookmarkStart w:id="147" w:name="_Toc27450"/>
      <w:bookmarkStart w:id="148" w:name="_Toc11524"/>
      <w:bookmarkStart w:id="149" w:name="_Toc23258"/>
      <w:bookmarkStart w:id="150" w:name="_Toc11626"/>
      <w:bookmarkStart w:id="151" w:name="_Toc2708"/>
      <w:bookmarkStart w:id="152" w:name="_Toc25311"/>
      <w:bookmarkStart w:id="153" w:name="_Toc25750638"/>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rPr>
      </w:pPr>
      <w:bookmarkStart w:id="154" w:name="_Toc18813"/>
      <w:bookmarkStart w:id="155" w:name="_Toc22040"/>
      <w:bookmarkStart w:id="156" w:name="_Toc25750639"/>
      <w:bookmarkStart w:id="157" w:name="_Toc18617"/>
      <w:bookmarkStart w:id="158" w:name="_Toc20372"/>
      <w:bookmarkStart w:id="159" w:name="_Toc24783"/>
      <w:bookmarkStart w:id="160" w:name="_Toc11487"/>
      <w:bookmarkStart w:id="161" w:name="_Toc2352"/>
      <w:bookmarkStart w:id="162" w:name="_Toc3165"/>
      <w:bookmarkStart w:id="163" w:name="_Toc370933859"/>
      <w:bookmarkStart w:id="164" w:name="_Toc4048"/>
      <w:bookmarkStart w:id="165" w:name="_Toc17081"/>
      <w:bookmarkStart w:id="166" w:name="_Toc378514956"/>
      <w:bookmarkStart w:id="167" w:name="_Toc23539"/>
      <w:bookmarkStart w:id="168" w:name="_Toc13516"/>
      <w:bookmarkStart w:id="169" w:name="_Toc390098468"/>
      <w:bookmarkStart w:id="170" w:name="_Toc27620"/>
      <w:bookmarkStart w:id="171" w:name="_Toc19358"/>
      <w:bookmarkStart w:id="172" w:name="_Toc14089"/>
      <w:bookmarkStart w:id="173" w:name="_Toc31912"/>
      <w:bookmarkStart w:id="174" w:name="_Toc492478767"/>
      <w:bookmarkStart w:id="175" w:name="_Toc10995"/>
      <w:bookmarkStart w:id="176" w:name="_Toc385427842"/>
      <w:bookmarkStart w:id="177" w:name="_Toc2304"/>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rPr>
      </w:pPr>
      <w:bookmarkStart w:id="178" w:name="_Toc390098469"/>
      <w:bookmarkStart w:id="179" w:name="_Toc16891"/>
      <w:bookmarkStart w:id="180" w:name="_Toc5930"/>
      <w:bookmarkStart w:id="181" w:name="_Toc23274"/>
      <w:bookmarkStart w:id="182" w:name="_Toc25049"/>
      <w:bookmarkStart w:id="183" w:name="_Toc4739"/>
      <w:bookmarkStart w:id="184" w:name="_Toc492478768"/>
      <w:bookmarkStart w:id="185" w:name="_Toc18946"/>
      <w:bookmarkStart w:id="186" w:name="_Toc25104"/>
      <w:bookmarkStart w:id="187" w:name="_Toc23542"/>
      <w:bookmarkStart w:id="188" w:name="_Toc8848"/>
      <w:bookmarkStart w:id="189" w:name="_Toc378514957"/>
      <w:bookmarkStart w:id="190" w:name="_Toc24189"/>
      <w:bookmarkStart w:id="191" w:name="_Toc12048"/>
      <w:bookmarkStart w:id="192" w:name="_Toc2340"/>
      <w:bookmarkStart w:id="193" w:name="_Toc17102"/>
      <w:bookmarkStart w:id="194" w:name="_Toc15801"/>
      <w:bookmarkStart w:id="195" w:name="_Toc25750640"/>
      <w:bookmarkStart w:id="196" w:name="_Toc17908"/>
      <w:bookmarkStart w:id="197" w:name="_Toc16793"/>
      <w:bookmarkStart w:id="198" w:name="_Toc17100"/>
      <w:bookmarkStart w:id="199" w:name="_Toc385427843"/>
      <w:bookmarkStart w:id="200" w:name="_Toc370933860"/>
      <w:bookmarkStart w:id="201" w:name="_Toc2096"/>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rPr>
      </w:pPr>
      <w:bookmarkStart w:id="202" w:name="_Toc24887"/>
      <w:bookmarkStart w:id="203" w:name="_Toc390098470"/>
      <w:bookmarkStart w:id="204" w:name="_Toc1869"/>
      <w:bookmarkStart w:id="205" w:name="_Toc7187"/>
      <w:bookmarkStart w:id="206" w:name="_Toc25750641"/>
      <w:bookmarkStart w:id="207" w:name="_Toc21848"/>
      <w:bookmarkStart w:id="208" w:name="_Toc492478769"/>
      <w:bookmarkStart w:id="209" w:name="_Toc21755"/>
      <w:bookmarkStart w:id="210" w:name="_Toc17489"/>
      <w:bookmarkStart w:id="211" w:name="_Toc20551"/>
      <w:bookmarkStart w:id="212" w:name="_Toc828"/>
      <w:bookmarkStart w:id="213" w:name="_Toc385427844"/>
      <w:bookmarkStart w:id="214" w:name="_Toc2076"/>
      <w:bookmarkStart w:id="215" w:name="_Toc17901"/>
      <w:bookmarkStart w:id="216" w:name="_Toc29127"/>
      <w:bookmarkStart w:id="217" w:name="_Toc7460"/>
      <w:bookmarkStart w:id="218" w:name="_Toc7907"/>
      <w:bookmarkStart w:id="219" w:name="_Toc25327"/>
      <w:bookmarkStart w:id="220" w:name="_Toc11516"/>
      <w:bookmarkStart w:id="221" w:name="_Toc378514958"/>
      <w:bookmarkStart w:id="222" w:name="_Toc370933861"/>
      <w:bookmarkStart w:id="223" w:name="_Toc25888"/>
      <w:bookmarkStart w:id="224" w:name="_Toc29337"/>
      <w:bookmarkStart w:id="225" w:name="_Toc6777"/>
      <w:r>
        <w:rPr>
          <w:rFonts w:hint="eastAsia" w:ascii="宋体" w:hAnsi="宋体"/>
          <w:b/>
        </w:rPr>
        <w:t>7.</w:t>
      </w:r>
      <w:r>
        <w:rPr>
          <w:rFonts w:ascii="宋体" w:hAnsi="宋体"/>
          <w:b/>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在合同签订前，乙方应向甲方提供履约担保，履约担保金额为合同价格的</w:t>
      </w:r>
      <w:r>
        <w:rPr>
          <w:rFonts w:ascii="宋体" w:hAnsi="宋体" w:cs="Arial"/>
        </w:rPr>
        <w:t>5%</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hint="eastAsia" w:ascii="宋体" w:hAnsi="宋体"/>
          <w:b w:val="0"/>
          <w:bCs w:val="0"/>
          <w:highlight w:val="yellow"/>
          <w:lang w:val="en-US" w:eastAsia="zh-CN"/>
        </w:rPr>
      </w:pPr>
      <w:bookmarkStart w:id="226" w:name="_Toc32711"/>
      <w:bookmarkStart w:id="227" w:name="_Toc20252"/>
      <w:bookmarkStart w:id="228" w:name="_Toc7801"/>
      <w:bookmarkStart w:id="229" w:name="_Toc29729"/>
      <w:bookmarkStart w:id="230" w:name="_Toc31795"/>
      <w:bookmarkStart w:id="231" w:name="_Toc26034"/>
      <w:bookmarkStart w:id="232" w:name="_Toc30234"/>
      <w:bookmarkStart w:id="233" w:name="_Toc20550"/>
      <w:bookmarkStart w:id="234" w:name="_Toc25873"/>
      <w:bookmarkStart w:id="235" w:name="_Toc25750642"/>
      <w:bookmarkStart w:id="236" w:name="_Toc21872"/>
      <w:bookmarkStart w:id="237" w:name="_Toc12113"/>
      <w:bookmarkStart w:id="238" w:name="_Toc5676"/>
      <w:bookmarkStart w:id="239" w:name="_Toc32382"/>
      <w:bookmarkStart w:id="240" w:name="_Toc15512"/>
      <w:bookmarkStart w:id="241" w:name="_Toc1990"/>
      <w:bookmarkStart w:id="242" w:name="_Toc2613"/>
      <w:bookmarkStart w:id="243" w:name="_Toc20899"/>
      <w:bookmarkStart w:id="244" w:name="_Toc97"/>
      <w:r>
        <w:rPr>
          <w:rFonts w:hint="eastAsia" w:ascii="宋体" w:hAnsi="宋体"/>
          <w:b w:val="0"/>
          <w:bCs w:val="0"/>
          <w:highlight w:val="yellow"/>
          <w:lang w:val="en-US" w:eastAsia="zh-CN"/>
        </w:rPr>
        <w:t>7.7如有合同签订后乙方未能履行合同的情形，甲方有权扣除或没收乙方全部履约保证金。</w:t>
      </w:r>
    </w:p>
    <w:p>
      <w:pPr>
        <w:tabs>
          <w:tab w:val="left" w:pos="640"/>
          <w:tab w:val="left" w:pos="1843"/>
        </w:tabs>
        <w:spacing w:before="0" w:afterAutospacing="0"/>
        <w:ind w:left="425" w:right="0"/>
        <w:outlineLvl w:val="1"/>
        <w:rPr>
          <w:rFonts w:ascii="宋体" w:hAnsi="宋体"/>
          <w:b/>
          <w:highlight w:val="none"/>
        </w:rPr>
      </w:pPr>
      <w:r>
        <w:rPr>
          <w:rFonts w:hint="eastAsia" w:ascii="宋体" w:hAnsi="宋体"/>
          <w:b/>
          <w:highlight w:val="none"/>
        </w:rPr>
        <w:t>8.</w:t>
      </w:r>
      <w:r>
        <w:rPr>
          <w:rFonts w:ascii="宋体" w:hAnsi="宋体"/>
          <w:b/>
          <w:highlight w:val="none"/>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rPr>
      </w:pPr>
      <w:bookmarkStart w:id="245" w:name="_Toc22940"/>
      <w:bookmarkStart w:id="246" w:name="_Toc15424"/>
      <w:bookmarkStart w:id="247" w:name="_Toc8820"/>
      <w:bookmarkStart w:id="248" w:name="_Toc23750"/>
      <w:bookmarkStart w:id="249" w:name="_Toc16105"/>
      <w:bookmarkStart w:id="250" w:name="_Toc6736"/>
      <w:bookmarkStart w:id="251" w:name="_Toc492478771"/>
      <w:bookmarkStart w:id="252" w:name="_Toc25750643"/>
      <w:bookmarkStart w:id="253" w:name="_Toc370933863"/>
      <w:bookmarkStart w:id="254" w:name="_Toc17673"/>
      <w:bookmarkStart w:id="255" w:name="_Toc385427846"/>
      <w:bookmarkStart w:id="256" w:name="_Toc390098472"/>
      <w:bookmarkStart w:id="257" w:name="_Toc1637"/>
      <w:bookmarkStart w:id="258" w:name="_Toc15199"/>
      <w:bookmarkStart w:id="259" w:name="_Toc28074"/>
      <w:bookmarkStart w:id="260" w:name="_Toc489"/>
      <w:bookmarkStart w:id="261" w:name="_Toc24667"/>
      <w:bookmarkStart w:id="262" w:name="_Toc17625"/>
      <w:bookmarkStart w:id="263" w:name="_Toc13241"/>
      <w:bookmarkStart w:id="264" w:name="_Toc8743"/>
      <w:bookmarkStart w:id="265" w:name="_Toc378514960"/>
      <w:bookmarkStart w:id="266" w:name="_Toc4089"/>
      <w:bookmarkStart w:id="267" w:name="_Toc19218"/>
      <w:bookmarkStart w:id="268" w:name="_Toc4466"/>
      <w:r>
        <w:rPr>
          <w:rFonts w:hint="eastAsia" w:ascii="宋体" w:hAnsi="宋体"/>
          <w:b/>
        </w:rPr>
        <w:t>9.</w:t>
      </w:r>
      <w:r>
        <w:rPr>
          <w:rFonts w:ascii="宋体" w:hAnsi="宋体"/>
          <w:b/>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rPr>
      </w:pPr>
      <w:r>
        <w:rPr>
          <w:rFonts w:ascii="宋体" w:hAnsi="宋体"/>
          <w:b/>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交货期：</w:t>
      </w:r>
      <w:r>
        <w:rPr>
          <w:rFonts w:ascii="宋体" w:hAnsi="宋体"/>
          <w:color w:val="FF0000"/>
        </w:rPr>
        <w:t>90</w:t>
      </w:r>
      <w:r>
        <w:rPr>
          <w:rFonts w:ascii="宋体" w:hAnsi="宋体"/>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hint="eastAsia" w:ascii="宋体" w:hAnsi="宋体"/>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69" w:name="_Toc25750645"/>
      <w:r>
        <w:rPr>
          <w:rFonts w:ascii="宋体" w:hAnsi="宋体"/>
          <w:b/>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270" w:name="_Toc25750646"/>
      <w:r>
        <w:rPr>
          <w:rFonts w:ascii="宋体" w:hAnsi="宋体"/>
          <w:b/>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乙方应在任何货物运送至甲方指定现场日期前</w:t>
      </w:r>
      <w:r>
        <w:rPr>
          <w:rFonts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271" w:name="_Toc25750647"/>
      <w:r>
        <w:rPr>
          <w:rFonts w:ascii="宋体" w:hAnsi="宋体"/>
          <w:b/>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272" w:name="_Toc25750648"/>
      <w:r>
        <w:rPr>
          <w:rFonts w:ascii="宋体" w:hAnsi="宋体"/>
          <w:b/>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质量保证期</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u w:val="single"/>
        </w:rPr>
        <w:t xml:space="preserve"> </w:t>
      </w:r>
      <w:r>
        <w:rPr>
          <w:rFonts w:ascii="宋体" w:hAnsi="宋体"/>
          <w:b/>
          <w:color w:val="FF0000"/>
          <w:u w:val="single"/>
        </w:rPr>
        <w:t xml:space="preserve"> 24 </w:t>
      </w:r>
      <w:r>
        <w:rPr>
          <w:rFonts w:ascii="宋体" w:hAnsi="宋体"/>
          <w:b/>
          <w:u w:val="single"/>
        </w:rPr>
        <w:t xml:space="preserve"> </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 xml:space="preserve">14.5.1.2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 xml:space="preserve">14.5.1.3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rPr>
      </w:pPr>
      <w:r>
        <w:rPr>
          <w:rFonts w:ascii="宋体" w:hAnsi="宋体"/>
          <w:b/>
          <w:bCs/>
        </w:rPr>
        <w:t xml:space="preserve">14.5.1.4 </w:t>
      </w:r>
      <w:r>
        <w:rPr>
          <w:rFonts w:hint="eastAsia" w:ascii="宋体" w:hAnsi="宋体"/>
          <w:b/>
          <w:bCs/>
        </w:rPr>
        <w:t>本合同项下的货物（包含所有零部件）正常质量保证期</w:t>
      </w:r>
      <w:r>
        <w:rPr>
          <w:rFonts w:ascii="宋体" w:hAnsi="宋体"/>
          <w:b/>
          <w:bCs/>
          <w:u w:val="single"/>
        </w:rPr>
        <w:t xml:space="preserve">  </w:t>
      </w:r>
      <w:r>
        <w:rPr>
          <w:rFonts w:ascii="宋体" w:hAnsi="宋体"/>
          <w:b/>
          <w:bCs/>
          <w:color w:val="FF0000"/>
          <w:u w:val="single"/>
        </w:rPr>
        <w:t>24</w:t>
      </w:r>
      <w:r>
        <w:rPr>
          <w:rFonts w:ascii="宋体" w:hAnsi="宋体"/>
          <w:b/>
          <w:bCs/>
          <w:u w:val="single"/>
        </w:rPr>
        <w:t xml:space="preserve"> </w:t>
      </w:r>
      <w:r>
        <w:rPr>
          <w:rFonts w:hint="eastAsia" w:ascii="宋体" w:hAnsi="宋体"/>
          <w:b/>
          <w:bCs/>
        </w:rPr>
        <w:t>个月（如中选人</w:t>
      </w:r>
      <w:r>
        <w:rPr>
          <w:rFonts w:hint="eastAsia" w:ascii="宋体" w:hAnsi="宋体"/>
          <w:b/>
        </w:rPr>
        <w:t>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 xml:space="preserve">14.5.1.6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r>
        <w:rPr>
          <w:rFonts w:ascii="宋体" w:hAnsi="宋体"/>
          <w:b/>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rPr>
      </w:pPr>
      <w:r>
        <w:rPr>
          <w:rFonts w:hint="eastAsia" w:ascii="宋体" w:hAnsi="宋体" w:cs="Arial"/>
        </w:rPr>
        <w:t>付款方式。</w:t>
      </w:r>
    </w:p>
    <w:p>
      <w:pPr>
        <w:tabs>
          <w:tab w:val="left" w:pos="960"/>
          <w:tab w:val="left" w:pos="8364"/>
        </w:tabs>
        <w:spacing w:before="0" w:afterAutospacing="0" w:line="360" w:lineRule="auto"/>
        <w:ind w:right="0" w:firstLine="420" w:firstLineChars="200"/>
        <w:rPr>
          <w:rFonts w:ascii="宋体" w:hAnsi="宋体" w:cs="Arial"/>
        </w:rPr>
      </w:pPr>
      <w:r>
        <w:rPr>
          <w:rFonts w:hint="eastAsia" w:ascii="宋体" w:hAnsi="宋体" w:cs="Arial"/>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①乙方开具相应金额的增值税专用发票。</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②乙方出具的支付申请书。</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③货物验收合格证明。</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②乙方出具的支付申请书。</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③全部货物验收合格证明。</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①乙方出具的支付申请。</w:t>
      </w:r>
    </w:p>
    <w:p>
      <w:pPr>
        <w:tabs>
          <w:tab w:val="left" w:pos="375"/>
          <w:tab w:val="left" w:pos="960"/>
          <w:tab w:val="left" w:pos="8364"/>
        </w:tabs>
        <w:spacing w:before="0" w:afterAutospacing="0" w:line="360" w:lineRule="auto"/>
        <w:ind w:left="567" w:right="0"/>
        <w:rPr>
          <w:rFonts w:ascii="宋体" w:hAnsi="宋体" w:cs="Arial"/>
        </w:rPr>
      </w:pPr>
      <w:r>
        <w:rPr>
          <w:rFonts w:hint="eastAsia" w:ascii="宋体" w:hAnsi="宋体" w:cs="Arial"/>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rPr>
        <w:t>支付</w:t>
      </w:r>
      <w:r>
        <w:rPr>
          <w:rFonts w:hint="eastAsia" w:ascii="宋体" w:hAnsi="宋体" w:cs="Arial"/>
          <w:color w:val="auto"/>
        </w:rPr>
        <w:t>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南宁轨道交通三号线建设有限公司、南宁轨道交通四号线建设有限公司、南宁轨道交通五号线建设有限公司</w:t>
      </w:r>
      <w:r>
        <w:rPr>
          <w:rFonts w:ascii="宋体" w:hAnsi="宋体" w:cs="Arial"/>
          <w:color w:val="auto"/>
          <w:u w:val="single"/>
        </w:rPr>
        <w:t xml:space="preserve">  </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南宁轨道交通三号线建设有限公司、南宁轨道交通四号线建设有限公司、南宁轨道交通五号线建设有限公司</w:t>
      </w:r>
      <w:r>
        <w:rPr>
          <w:rFonts w:ascii="宋体" w:hAnsi="宋体" w:cs="Arial"/>
          <w:color w:val="auto"/>
          <w:u w:val="single"/>
        </w:rPr>
        <w:t xml:space="preserve">  </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color w:val="auto"/>
        </w:rPr>
        <w:t>本合同价格中合同不含税单价为固</w:t>
      </w:r>
      <w:r>
        <w:rPr>
          <w:rFonts w:hint="eastAsia" w:ascii="宋体" w:hAnsi="宋体"/>
        </w:rPr>
        <w:t>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rPr>
      </w:pPr>
      <w:r>
        <w:rPr>
          <w:rFonts w:hint="eastAsia" w:ascii="宋体" w:hAnsi="宋体"/>
        </w:rPr>
        <w:t>其中</w:t>
      </w:r>
      <w:r>
        <w:rPr>
          <w:rFonts w:ascii="宋体" w:hAnsi="宋体"/>
        </w:rPr>
        <w:t>1号线价格：不含税价：人民币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tabs>
          <w:tab w:val="left" w:pos="960"/>
          <w:tab w:val="left" w:pos="1134"/>
          <w:tab w:val="left" w:pos="8364"/>
        </w:tabs>
        <w:spacing w:before="0" w:afterAutospacing="0"/>
        <w:ind w:left="420" w:right="0"/>
        <w:rPr>
          <w:rFonts w:ascii="宋体" w:hAnsi="宋体"/>
        </w:rPr>
      </w:pPr>
      <w:r>
        <w:rPr>
          <w:rFonts w:ascii="宋体" w:hAnsi="宋体"/>
        </w:rPr>
        <w:t>2号线价格：不含税价：人民币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p>
    <w:p>
      <w:pPr>
        <w:tabs>
          <w:tab w:val="left" w:pos="960"/>
          <w:tab w:val="left" w:pos="1134"/>
          <w:tab w:val="left" w:pos="8364"/>
        </w:tabs>
        <w:spacing w:before="0" w:afterAutospacing="0"/>
        <w:ind w:left="420" w:right="0"/>
        <w:rPr>
          <w:rFonts w:ascii="宋体" w:hAnsi="宋体"/>
        </w:rPr>
      </w:pPr>
      <w:r>
        <w:rPr>
          <w:rFonts w:ascii="宋体" w:hAnsi="宋体"/>
        </w:rPr>
        <w:t>3号线价格：不含税价：人民币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tabs>
          <w:tab w:val="left" w:pos="960"/>
          <w:tab w:val="left" w:pos="1134"/>
          <w:tab w:val="left" w:pos="8364"/>
        </w:tabs>
        <w:spacing w:before="0" w:afterAutospacing="0"/>
        <w:ind w:left="420" w:right="0"/>
        <w:rPr>
          <w:rFonts w:ascii="宋体" w:hAnsi="宋体"/>
        </w:rPr>
      </w:pPr>
      <w:r>
        <w:rPr>
          <w:rFonts w:ascii="宋体" w:hAnsi="宋体"/>
        </w:rPr>
        <w:t>4号线价格：不含税价：人民币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p>
    <w:p>
      <w:pPr>
        <w:tabs>
          <w:tab w:val="left" w:pos="960"/>
          <w:tab w:val="left" w:pos="1134"/>
          <w:tab w:val="left" w:pos="8364"/>
        </w:tabs>
        <w:spacing w:before="0" w:afterAutospacing="0"/>
        <w:ind w:left="420" w:right="0"/>
        <w:rPr>
          <w:rFonts w:ascii="宋体" w:hAnsi="宋体"/>
        </w:rPr>
      </w:pPr>
      <w:r>
        <w:rPr>
          <w:rFonts w:ascii="宋体" w:hAnsi="宋体"/>
        </w:rPr>
        <w:t>5号线价格：不含税价：人民币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Autospacing="0" w:line="360" w:lineRule="auto"/>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r>
        <w:rPr>
          <w:rFonts w:ascii="宋体" w:hAnsi="宋体"/>
          <w:b/>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运输或包装的方法；</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交货时间；</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交货地点；</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供货期；</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w:t>
      </w:r>
      <w:r>
        <w:rPr>
          <w:rFonts w:hint="eastAsia"/>
        </w:rPr>
        <w:t>询比价</w:t>
      </w:r>
      <w:r>
        <w:rPr>
          <w:rFonts w:hint="eastAsia"/>
          <w:color w:val="000000" w:themeColor="text1"/>
          <w14:textFill>
            <w14:solidFill>
              <w14:schemeClr w14:val="tx1"/>
            </w14:solidFill>
          </w14:textFill>
        </w:rPr>
        <w:t>申请时填报错误导致清单项不满足甲方需求的，变更的品牌型号需满足甲方需求，技术指标同等或优于原填报品牌、型号，市场价格原则上同等或高于原填报价格；</w:t>
      </w:r>
      <w:r>
        <w:rPr>
          <w:rFonts w:ascii="宋体" w:hAnsi="宋体"/>
          <w:color w:val="000000" w:themeColor="text1"/>
          <w14:textFill>
            <w14:solidFill>
              <w14:schemeClr w14:val="tx1"/>
            </w14:solidFill>
          </w14:textFill>
        </w:rPr>
        <w:t xml:space="preserve"> </w:t>
      </w:r>
    </w:p>
    <w:p>
      <w:pPr>
        <w:tabs>
          <w:tab w:val="left" w:pos="540"/>
          <w:tab w:val="left" w:pos="980"/>
        </w:tabs>
        <w:spacing w:before="0" w:afterAutospacing="0"/>
        <w:ind w:left="420" w:right="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Autospacing="0"/>
        <w:ind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Autospacing="0"/>
        <w:ind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17.8.3.1 </w:t>
      </w:r>
      <w:r>
        <w:rPr>
          <w:rFonts w:hint="eastAsia" w:ascii="宋体" w:hAnsi="宋体"/>
          <w:color w:val="000000" w:themeColor="text1"/>
          <w14:textFill>
            <w14:solidFill>
              <w14:schemeClr w14:val="tx1"/>
            </w14:solidFill>
          </w14:textFill>
        </w:rPr>
        <w:t>根据合同规定的原则计出总价；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17.8.3.2 </w:t>
      </w:r>
      <w:r>
        <w:rPr>
          <w:rFonts w:hint="eastAsia" w:ascii="宋体" w:hAnsi="宋体"/>
          <w:color w:val="000000" w:themeColor="text1"/>
          <w14:textFill>
            <w14:solidFill>
              <w14:schemeClr w14:val="tx1"/>
            </w14:solidFill>
          </w14:textFill>
        </w:rPr>
        <w:t>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17.8.3.3 </w:t>
      </w:r>
      <w:r>
        <w:rPr>
          <w:rFonts w:hint="eastAsia" w:ascii="宋体" w:hAnsi="宋体"/>
          <w:color w:val="000000" w:themeColor="text1"/>
          <w14:textFill>
            <w14:solidFill>
              <w14:schemeClr w14:val="tx1"/>
            </w14:solidFill>
          </w14:textFill>
        </w:rPr>
        <w:t>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17.8.3.4 </w:t>
      </w:r>
      <w:r>
        <w:rPr>
          <w:rFonts w:hint="eastAsia" w:ascii="宋体" w:hAnsi="宋体"/>
          <w:color w:val="000000" w:themeColor="text1"/>
          <w14:textFill>
            <w14:solidFill>
              <w14:schemeClr w14:val="tx1"/>
            </w14:solidFill>
          </w14:textFill>
        </w:rPr>
        <w:t>根据合同规定的相应成本确定；</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17.8.3.5 </w:t>
      </w:r>
      <w:r>
        <w:rPr>
          <w:rFonts w:hint="eastAsia" w:ascii="宋体" w:hAnsi="宋体"/>
          <w:color w:val="000000" w:themeColor="text1"/>
          <w14:textFill>
            <w14:solidFill>
              <w14:schemeClr w14:val="tx1"/>
            </w14:solidFill>
          </w14:textFill>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17.6的预算</w:t>
      </w:r>
      <w:r>
        <w:rPr>
          <w:rFonts w:hint="eastAsia" w:ascii="宋体" w:hAnsi="宋体"/>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17.11.3乙方对合同价格调整的建议。</w:t>
      </w:r>
    </w:p>
    <w:p>
      <w:pPr>
        <w:tabs>
          <w:tab w:val="left" w:pos="1558"/>
        </w:tabs>
        <w:spacing w:before="0" w:afterAutospacing="0"/>
        <w:ind w:right="0" w:firstLine="420" w:firstLineChars="200"/>
      </w:pPr>
      <w:r>
        <w:rPr>
          <w:rFonts w:hint="eastAsia" w:ascii="宋体" w:hAnsi="宋体"/>
          <w:color w:val="000000" w:themeColor="text1"/>
          <w14:textFill>
            <w14:solidFill>
              <w14:schemeClr w14:val="tx1"/>
            </w14:solidFill>
          </w14:textFill>
        </w:rPr>
        <w:t>收到乙方的</w:t>
      </w:r>
      <w:r>
        <w:rPr>
          <w:rFonts w:hint="eastAsia" w:ascii="宋体" w:hAnsi="宋体"/>
        </w:rPr>
        <w:t>上述递呈，并在与乙方适当协商后，甲方应尽快决定是否进行变更。</w:t>
      </w:r>
      <w:r>
        <w:t xml:space="preserve"> </w:t>
      </w:r>
    </w:p>
    <w:p>
      <w:pPr>
        <w:tabs>
          <w:tab w:val="left" w:pos="840"/>
          <w:tab w:val="left" w:pos="1843"/>
        </w:tabs>
        <w:spacing w:before="0" w:afterAutospacing="0"/>
        <w:ind w:left="422" w:right="0"/>
        <w:outlineLvl w:val="1"/>
        <w:rPr>
          <w:rFonts w:ascii="宋体" w:hAnsi="宋体"/>
          <w:b/>
        </w:rPr>
      </w:pPr>
      <w:r>
        <w:rPr>
          <w:rFonts w:ascii="宋体" w:hAnsi="宋体"/>
          <w:b/>
        </w:rPr>
        <w:t>18.转让和分包</w:t>
      </w:r>
    </w:p>
    <w:p>
      <w:pPr>
        <w:tabs>
          <w:tab w:val="left" w:pos="1120"/>
        </w:tabs>
        <w:spacing w:before="0" w:afterAutospacing="0"/>
        <w:ind w:right="0" w:firstLine="420" w:firstLineChars="200"/>
        <w:rPr>
          <w:rFonts w:ascii="宋体" w:hAnsi="宋体"/>
        </w:rPr>
      </w:pPr>
      <w:r>
        <w:rPr>
          <w:rFonts w:ascii="宋体" w:hAnsi="宋体"/>
        </w:rPr>
        <w:t xml:space="preserve">18.1 </w:t>
      </w:r>
      <w:r>
        <w:rPr>
          <w:rFonts w:hint="eastAsia" w:ascii="宋体" w:hAnsi="宋体"/>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ascii="宋体" w:hAnsi="宋体"/>
        </w:rPr>
        <w:t xml:space="preserve">18.2 </w:t>
      </w:r>
      <w:r>
        <w:rPr>
          <w:rFonts w:hint="eastAsia" w:ascii="宋体" w:hAnsi="宋体"/>
        </w:rPr>
        <w:t>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r>
        <w:rPr>
          <w:rFonts w:ascii="宋体" w:hAnsi="宋体"/>
          <w:b/>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r>
        <w:rPr>
          <w:rFonts w:ascii="宋体" w:hAnsi="宋体"/>
          <w:b/>
        </w:rPr>
        <w:t>20.</w:t>
      </w:r>
      <w:r>
        <w:rPr>
          <w:rFonts w:hint="eastAsia" w:ascii="宋体" w:hAnsi="宋体"/>
          <w:b/>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第</w:t>
      </w:r>
      <w:r>
        <w:rPr>
          <w:rFonts w:ascii="宋体" w:hAnsi="宋体"/>
        </w:rPr>
        <w:t>17条中的变更；</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第</w:t>
      </w:r>
      <w:r>
        <w:rPr>
          <w:rFonts w:ascii="宋体" w:hAnsi="宋体"/>
        </w:rPr>
        <w:t>19条所述之不可抗力；</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甲方签发的延期执行合同的指令；</w:t>
      </w:r>
    </w:p>
    <w:p>
      <w:pPr>
        <w:pStyle w:val="6"/>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除非乙方立即书面通知甲方因第</w:t>
      </w:r>
      <w:r>
        <w:rPr>
          <w:rFonts w:ascii="宋体" w:hAnsi="宋体"/>
        </w:rPr>
        <w:t>20.2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r>
        <w:rPr>
          <w:rFonts w:ascii="宋体" w:hAnsi="宋体"/>
          <w:b/>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r>
        <w:rPr>
          <w:rFonts w:ascii="宋体" w:hAnsi="宋体"/>
          <w:b/>
        </w:rPr>
        <w:t>22.</w:t>
      </w:r>
      <w:r>
        <w:rPr>
          <w:rFonts w:hint="eastAsia" w:ascii="宋体" w:hAnsi="宋体"/>
          <w:b/>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如果乙方不能在合同规定的交货期内或甲方按第</w:t>
      </w:r>
      <w:r>
        <w:rPr>
          <w:rFonts w:ascii="宋体" w:hAnsi="宋体"/>
        </w:rPr>
        <w:t>20条同意的延期期限内交货；</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甲方依第</w:t>
      </w:r>
      <w:r>
        <w:rPr>
          <w:rFonts w:ascii="宋体" w:hAnsi="宋体"/>
        </w:rPr>
        <w:t>22.1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r>
        <w:rPr>
          <w:rFonts w:ascii="宋体" w:hAnsi="宋体"/>
          <w:b/>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r>
        <w:rPr>
          <w:rFonts w:ascii="宋体" w:hAnsi="宋体"/>
          <w:b/>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ascii="宋体" w:hAnsi="宋体"/>
        </w:rPr>
        <w:t xml:space="preserve">24.1.1  </w:t>
      </w:r>
      <w:r>
        <w:rPr>
          <w:rFonts w:hint="eastAsia" w:ascii="宋体" w:hAnsi="宋体"/>
        </w:rPr>
        <w:t>任意比例按原合同条款及价格交货；</w:t>
      </w:r>
    </w:p>
    <w:p>
      <w:pPr>
        <w:tabs>
          <w:tab w:val="left" w:pos="420"/>
          <w:tab w:val="left" w:pos="1100"/>
        </w:tabs>
        <w:spacing w:before="0" w:afterAutospacing="0"/>
        <w:ind w:right="0" w:firstLine="420" w:firstLineChars="200"/>
        <w:rPr>
          <w:rFonts w:ascii="宋体" w:hAnsi="宋体"/>
        </w:rPr>
      </w:pPr>
      <w:r>
        <w:rPr>
          <w:rFonts w:ascii="宋体" w:hAnsi="宋体"/>
        </w:rPr>
        <w:t xml:space="preserve">24.1.2  </w:t>
      </w:r>
      <w:r>
        <w:rPr>
          <w:rFonts w:hint="eastAsia" w:ascii="宋体" w:hAnsi="宋体"/>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r>
        <w:rPr>
          <w:rFonts w:ascii="宋体" w:hAnsi="宋体"/>
          <w:b/>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r>
        <w:rPr>
          <w:rFonts w:ascii="宋体" w:hAnsi="宋体"/>
          <w:b/>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r>
        <w:rPr>
          <w:rFonts w:ascii="宋体" w:hAnsi="宋体"/>
          <w:b/>
        </w:rPr>
        <w:t>27.适用法律</w:t>
      </w:r>
    </w:p>
    <w:p>
      <w:pPr>
        <w:numPr>
          <w:ilvl w:val="1"/>
          <w:numId w:val="30"/>
        </w:numPr>
        <w:spacing w:before="0" w:afterAutospacing="0" w:line="360" w:lineRule="auto"/>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r>
        <w:rPr>
          <w:rFonts w:ascii="宋体" w:hAnsi="宋体"/>
          <w:b/>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r>
        <w:rPr>
          <w:rFonts w:ascii="宋体" w:hAnsi="宋体"/>
          <w:b/>
        </w:rPr>
        <w:t>29.税</w:t>
      </w:r>
      <w:r>
        <w:rPr>
          <w:rFonts w:hint="eastAsia" w:ascii="宋体" w:hAnsi="宋体"/>
          <w:b/>
        </w:rPr>
        <w:t>费</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r>
        <w:rPr>
          <w:rFonts w:ascii="宋体" w:hAnsi="宋体"/>
          <w:b/>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r>
        <w:rPr>
          <w:rFonts w:ascii="宋体" w:hAnsi="宋体"/>
          <w:b/>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甲方将在到货后</w:t>
      </w:r>
      <w:r>
        <w:rPr>
          <w:rFonts w:ascii="宋体" w:hAnsi="宋体"/>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乙方负责实施本合同条款第</w:t>
      </w:r>
      <w:r>
        <w:rPr>
          <w:rFonts w:ascii="宋体" w:hAnsi="宋体"/>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r>
        <w:rPr>
          <w:rFonts w:ascii="宋体" w:hAnsi="宋体"/>
          <w:b/>
        </w:rPr>
        <w:t>32.</w:t>
      </w:r>
      <w:r>
        <w:rPr>
          <w:rFonts w:hint="eastAsia" w:ascii="宋体" w:hAnsi="宋体"/>
          <w:b/>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rPr>
      </w:pPr>
      <w:r>
        <w:rPr>
          <w:rFonts w:hint="eastAsia" w:ascii="宋体" w:hAnsi="宋体"/>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32条之32.4</w:t>
      </w:r>
      <w:r>
        <w:rPr>
          <w:rFonts w:hint="eastAsia" w:ascii="宋体" w:hAnsi="宋体"/>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若索赔属于保险赔偿范围，则乙方应自行处理保险索赔，且不应影响本合同条款第3</w:t>
      </w:r>
      <w:r>
        <w:rPr>
          <w:rFonts w:hint="eastAsia" w:ascii="宋体" w:hAnsi="宋体"/>
          <w:lang w:val="en-US" w:eastAsia="zh-CN"/>
        </w:rPr>
        <w:t>2</w:t>
      </w:r>
      <w:r>
        <w:rPr>
          <w:rFonts w:ascii="宋体" w:hAnsi="宋体"/>
        </w:rPr>
        <w:t>条之32.1.2</w:t>
      </w:r>
      <w:r>
        <w:rPr>
          <w:rFonts w:hint="eastAsia" w:ascii="宋体" w:hAnsi="宋体"/>
        </w:rPr>
        <w:t>的执行</w:t>
      </w:r>
      <w:r>
        <w:rPr>
          <w:rFonts w:ascii="宋体" w:hAnsi="宋体"/>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乙方应在收到甲方的索赔文件后三（3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按本合同条款第32条之32.2.1</w:t>
      </w:r>
      <w:r>
        <w:rPr>
          <w:rFonts w:hint="eastAsia" w:ascii="宋体" w:hAnsi="宋体"/>
        </w:rPr>
        <w:t>规定对货物提出的质量索赔，若乙方根据本合同条款第</w:t>
      </w:r>
      <w:r>
        <w:rPr>
          <w:rFonts w:ascii="宋体" w:hAnsi="宋体"/>
        </w:rPr>
        <w:t>32条之32.2.3.1</w:t>
      </w:r>
      <w:r>
        <w:rPr>
          <w:rFonts w:hint="eastAsia" w:ascii="宋体" w:hAnsi="宋体"/>
        </w:rPr>
        <w:t>和</w:t>
      </w:r>
      <w:r>
        <w:rPr>
          <w:rFonts w:ascii="宋体" w:hAnsi="宋体"/>
        </w:rPr>
        <w:t>32.2.3.2</w:t>
      </w:r>
      <w:r>
        <w:rPr>
          <w:rFonts w:hint="eastAsia" w:ascii="宋体" w:hAnsi="宋体"/>
        </w:rPr>
        <w:t>的方式一次未能修复货物的缺陷后，则按第</w:t>
      </w:r>
      <w:r>
        <w:rPr>
          <w:rFonts w:ascii="宋体" w:hAnsi="宋体"/>
        </w:rPr>
        <w:t>32.2.3.3</w:t>
      </w:r>
      <w:r>
        <w:rPr>
          <w:rFonts w:hint="eastAsia" w:ascii="宋体" w:hAnsi="宋体"/>
        </w:rPr>
        <w:t>和</w:t>
      </w:r>
      <w:r>
        <w:rPr>
          <w:rFonts w:ascii="宋体" w:hAnsi="宋体"/>
        </w:rPr>
        <w:t>32.2.3.4</w:t>
      </w:r>
      <w:r>
        <w:rPr>
          <w:rFonts w:hint="eastAsia" w:ascii="宋体" w:hAnsi="宋体"/>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若货物的缺陷一次未能修复，乙方按第</w:t>
      </w:r>
      <w:r>
        <w:rPr>
          <w:rFonts w:ascii="宋体" w:hAnsi="宋体"/>
        </w:rPr>
        <w:t>32.2.3.3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lang w:val="en-US" w:eastAsia="zh-CN"/>
        </w:rPr>
        <w:t>2</w:t>
      </w:r>
      <w:r>
        <w:rPr>
          <w:rFonts w:ascii="宋体" w:hAnsi="宋体"/>
        </w:rPr>
        <w:t>.4</w:t>
      </w:r>
      <w:r>
        <w:rPr>
          <w:rFonts w:hint="eastAsia" w:ascii="宋体" w:hAnsi="宋体"/>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32条之32.2.2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r>
        <w:rPr>
          <w:rFonts w:ascii="宋体" w:hAnsi="宋体"/>
          <w:b/>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乙方违约时的终止</w:t>
      </w:r>
    </w:p>
    <w:p>
      <w:pPr>
        <w:numPr>
          <w:ilvl w:val="1"/>
          <w:numId w:val="44"/>
        </w:numPr>
        <w:spacing w:before="0" w:afterAutospacing="0" w:line="360" w:lineRule="auto"/>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ascii="宋体" w:hAnsi="宋体"/>
        </w:rPr>
        <w:t xml:space="preserve">33.3.1.1 </w:t>
      </w:r>
      <w:r>
        <w:rPr>
          <w:rFonts w:hint="eastAsia" w:ascii="宋体" w:hAnsi="宋体"/>
        </w:rPr>
        <w:t>在收到本合同条款</w:t>
      </w:r>
      <w:r>
        <w:rPr>
          <w:rFonts w:ascii="宋体" w:hAnsi="宋体"/>
        </w:rPr>
        <w:t>33条之33.2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ascii="宋体" w:hAnsi="宋体"/>
        </w:rPr>
        <w:t xml:space="preserve">33.3.1.3 </w:t>
      </w:r>
      <w:r>
        <w:rPr>
          <w:rFonts w:hint="eastAsia" w:ascii="宋体" w:hAnsi="宋体"/>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ascii="宋体" w:hAnsi="宋体"/>
        </w:rPr>
        <w:t xml:space="preserve">33.3.1.4 </w:t>
      </w:r>
      <w:r>
        <w:rPr>
          <w:rFonts w:hint="eastAsia" w:ascii="宋体" w:hAnsi="宋体"/>
        </w:rPr>
        <w:t>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w:t>
      </w:r>
      <w:r>
        <w:rPr>
          <w:rFonts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w:t>
      </w:r>
      <w:r>
        <w:rPr>
          <w:rFonts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ascii="宋体" w:hAnsi="宋体"/>
        </w:rPr>
        <w:t xml:space="preserve">33.3.1.5 </w:t>
      </w:r>
      <w:r>
        <w:rPr>
          <w:rFonts w:hint="eastAsia" w:ascii="宋体" w:hAnsi="宋体"/>
        </w:rPr>
        <w:t>由于乙方违约而导致乙方支付违约金达到合同条款</w:t>
      </w:r>
      <w:r>
        <w:rPr>
          <w:rFonts w:ascii="宋体" w:hAnsi="宋体"/>
        </w:rPr>
        <w:t>32条规定的限额。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ascii="宋体" w:hAnsi="宋体"/>
        </w:rPr>
        <w:t xml:space="preserve">33.3.1.6 </w:t>
      </w:r>
      <w:r>
        <w:rPr>
          <w:rFonts w:hint="eastAsia" w:ascii="宋体" w:hAnsi="宋体"/>
        </w:rPr>
        <w:t>按本合同条款</w:t>
      </w:r>
      <w:r>
        <w:rPr>
          <w:rFonts w:ascii="宋体" w:hAnsi="宋体"/>
        </w:rPr>
        <w:t>33条之33.3.1.1</w:t>
      </w:r>
      <w:r>
        <w:rPr>
          <w:rFonts w:hint="eastAsia" w:ascii="宋体" w:hAnsi="宋体"/>
        </w:rPr>
        <w:t>、</w:t>
      </w:r>
      <w:r>
        <w:rPr>
          <w:rFonts w:ascii="宋体" w:hAnsi="宋体"/>
        </w:rPr>
        <w:t>33.3.1.2</w:t>
      </w:r>
      <w:r>
        <w:rPr>
          <w:rFonts w:hint="eastAsia" w:ascii="宋体" w:hAnsi="宋体"/>
        </w:rPr>
        <w:t>和</w:t>
      </w:r>
      <w:r>
        <w:rPr>
          <w:rFonts w:ascii="宋体" w:hAnsi="宋体"/>
        </w:rPr>
        <w:t>33.3.1.5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33条</w:t>
      </w:r>
      <w:r>
        <w:rPr>
          <w:rFonts w:hint="eastAsia" w:ascii="宋体" w:hAnsi="宋体"/>
        </w:rPr>
        <w:t>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33条之33.3.1.3</w:t>
      </w:r>
      <w:r>
        <w:rPr>
          <w:rFonts w:hint="eastAsia" w:ascii="宋体" w:hAnsi="宋体"/>
        </w:rPr>
        <w:t>和</w:t>
      </w:r>
      <w:r>
        <w:rPr>
          <w:rFonts w:ascii="宋体" w:hAnsi="宋体"/>
        </w:rPr>
        <w:t>33.3.1.4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甲方违约时的终止</w:t>
      </w:r>
    </w:p>
    <w:p>
      <w:pPr>
        <w:numPr>
          <w:ilvl w:val="1"/>
          <w:numId w:val="45"/>
        </w:numPr>
        <w:spacing w:before="0" w:afterAutospacing="0" w:line="360" w:lineRule="auto"/>
        <w:ind w:left="0" w:right="0" w:firstLine="420" w:firstLineChars="20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rPr>
      </w:pPr>
      <w:r>
        <w:rPr>
          <w:rFonts w:ascii="宋体" w:hAnsi="宋体"/>
        </w:rPr>
        <w:t xml:space="preserve"> 倘若发生本合同条款第33条之33.4.1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r>
        <w:rPr>
          <w:rFonts w:ascii="宋体" w:hAnsi="宋体"/>
          <w:b/>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rPr>
      </w:pPr>
      <w:r>
        <w:rPr>
          <w:rFonts w:hint="eastAsia" w:ascii="宋体" w:hAnsi="宋体"/>
        </w:rPr>
        <w:t>验收标准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甲方对货物制订的检验标准。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Autospacing="0" w:line="360" w:lineRule="auto"/>
        <w:ind w:left="0" w:right="0" w:firstLine="420" w:firstLineChars="200"/>
        <w:rPr>
          <w:rFonts w:ascii="宋体" w:hAnsi="宋体"/>
        </w:rPr>
      </w:pPr>
      <w:r>
        <w:rPr>
          <w:rFonts w:hint="eastAsia" w:ascii="宋体" w:hAnsi="宋体"/>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r>
        <w:rPr>
          <w:rFonts w:ascii="宋体" w:hAnsi="宋体"/>
          <w:b/>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r>
        <w:rPr>
          <w:rFonts w:ascii="宋体" w:hAnsi="宋体"/>
          <w:b/>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r>
        <w:rPr>
          <w:rFonts w:ascii="宋体" w:hAnsi="宋体"/>
          <w:b/>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rPr>
      </w:pPr>
      <w:bookmarkStart w:id="273" w:name="_Toc12470"/>
      <w:bookmarkStart w:id="274" w:name="_Toc14997"/>
      <w:bookmarkStart w:id="275" w:name="_Toc13288"/>
      <w:bookmarkStart w:id="276" w:name="_Toc21635"/>
      <w:bookmarkStart w:id="277" w:name="_Toc16716"/>
      <w:bookmarkStart w:id="278" w:name="_Toc21033"/>
      <w:bookmarkStart w:id="279" w:name="_Toc12983548"/>
      <w:bookmarkStart w:id="280" w:name="_Toc5186"/>
      <w:bookmarkStart w:id="281" w:name="_Toc29249"/>
      <w:bookmarkStart w:id="282" w:name="_Toc5644"/>
      <w:bookmarkStart w:id="283" w:name="_Toc27316"/>
      <w:bookmarkStart w:id="284" w:name="_Toc27258"/>
      <w:bookmarkStart w:id="285" w:name="_Toc16443"/>
      <w:bookmarkStart w:id="286" w:name="_Toc19448"/>
      <w:bookmarkStart w:id="287" w:name="_Toc6194"/>
      <w:bookmarkStart w:id="288" w:name="_Toc2753"/>
      <w:bookmarkStart w:id="289" w:name="_Toc21659"/>
      <w:bookmarkStart w:id="290" w:name="_Toc21372"/>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hint="eastAsia" w:ascii="宋体" w:hAnsi="宋体"/>
          <w:b/>
        </w:rPr>
      </w:pPr>
    </w:p>
    <w:p>
      <w:pPr>
        <w:tabs>
          <w:tab w:val="left" w:pos="1134"/>
          <w:tab w:val="left" w:pos="8364"/>
        </w:tabs>
        <w:spacing w:before="0" w:afterAutospacing="0"/>
        <w:ind w:right="-5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附件1：</w:t>
      </w:r>
    </w:p>
    <w:p>
      <w:pPr>
        <w:spacing w:before="0" w:afterAutospacing="0"/>
        <w:ind w:right="-57"/>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w:t>
      </w:r>
      <w:r>
        <w:rPr>
          <w:rFonts w:ascii="宋体" w:hAnsi="宋体"/>
          <w:b/>
          <w:color w:val="000000" w:themeColor="text1"/>
          <w:sz w:val="24"/>
          <w:szCs w:val="24"/>
          <w14:textFill>
            <w14:solidFill>
              <w14:schemeClr w14:val="tx1"/>
            </w14:solidFill>
          </w14:textFill>
        </w:rPr>
        <w:t>保函</w:t>
      </w:r>
      <w:r>
        <w:rPr>
          <w:rFonts w:hint="eastAsia" w:ascii="宋体" w:hAnsi="宋体"/>
          <w:b/>
          <w:color w:val="000000" w:themeColor="text1"/>
          <w:sz w:val="24"/>
          <w:szCs w:val="24"/>
          <w14:textFill>
            <w14:solidFill>
              <w14:schemeClr w14:val="tx1"/>
            </w14:solidFill>
          </w14:textFill>
        </w:rPr>
        <w:t>（中选后提供）</w:t>
      </w:r>
    </w:p>
    <w:p>
      <w:pPr>
        <w:pStyle w:val="3"/>
        <w:ind w:right="-57"/>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保函编号：</w:t>
      </w:r>
    </w:p>
    <w:p>
      <w:pPr>
        <w:autoSpaceDE w:val="0"/>
        <w:autoSpaceDN w:val="0"/>
        <w:ind w:right="-57"/>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致：南宁轨道交通集团有限责任公司</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鉴于贵方已于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日发出中选通知书，本保函作为贵方将与</w:t>
      </w:r>
      <w:r>
        <w:rPr>
          <w:rFonts w:hint="eastAsia" w:ascii="宋体" w:hAnsi="宋体"/>
          <w:color w:val="000000" w:themeColor="text1"/>
          <w:u w:val="single"/>
          <w14:textFill>
            <w14:solidFill>
              <w14:schemeClr w14:val="tx1"/>
            </w14:solidFill>
          </w14:textFill>
        </w:rPr>
        <w:t xml:space="preserve">   （乙方名称） </w:t>
      </w:r>
      <w:r>
        <w:rPr>
          <w:rFonts w:hint="eastAsia" w:ascii="宋体" w:hAnsi="宋体"/>
          <w:color w:val="000000" w:themeColor="text1"/>
          <w14:textFill>
            <w14:solidFill>
              <w14:schemeClr w14:val="tx1"/>
            </w14:solidFill>
          </w14:textFill>
        </w:rPr>
        <w:t>（以下简称“乙方”）签订的</w:t>
      </w:r>
      <w:r>
        <w:rPr>
          <w:rFonts w:hint="eastAsia" w:ascii="宋体" w:hAnsi="宋体"/>
          <w:color w:val="000000" w:themeColor="text1"/>
          <w:u w:val="single"/>
          <w14:textFill>
            <w14:solidFill>
              <w14:schemeClr w14:val="tx1"/>
            </w14:solidFill>
          </w14:textFill>
        </w:rPr>
        <w:t xml:space="preserve"> 2021年钢轨等轨道物资采购项目  </w:t>
      </w:r>
      <w:r>
        <w:rPr>
          <w:rFonts w:hint="eastAsia" w:ascii="宋体" w:hAnsi="宋体"/>
          <w:color w:val="000000" w:themeColor="text1"/>
          <w14:textFill>
            <w14:solidFill>
              <w14:schemeClr w14:val="tx1"/>
            </w14:solidFill>
          </w14:textFill>
        </w:rPr>
        <w:t>以下简称“本项目”）合同（中选价格￥</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元）的银行保函。</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w:t>
      </w:r>
      <w:r>
        <w:rPr>
          <w:rFonts w:hint="eastAsia" w:ascii="宋体" w:hAnsi="宋体"/>
          <w:color w:val="000000" w:themeColor="text1"/>
          <w:u w:val="single"/>
          <w14:textFill>
            <w14:solidFill>
              <w14:schemeClr w14:val="tx1"/>
            </w14:solidFill>
          </w14:textFill>
        </w:rPr>
        <w:t>（担保人名称    ）</w:t>
      </w:r>
      <w:r>
        <w:rPr>
          <w:rFonts w:hint="eastAsia" w:ascii="宋体" w:hAnsi="宋体"/>
          <w:color w:val="000000" w:themeColor="text1"/>
          <w14:textFill>
            <w14:solidFill>
              <w14:schemeClr w14:val="tx1"/>
            </w14:solidFill>
          </w14:textFill>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）的任何要求金额，我方不要求贵方证实其在索赔要求中指出的违约情况。</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本保函项下所有权利和义务均适用于中华人民共和国法律。</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全部货物验收合格之日后四十五（45）天一直</w:t>
      </w:r>
      <w:r>
        <w:rPr>
          <w:rFonts w:hint="eastAsia" w:ascii="宋体" w:hAnsi="宋体" w:cs="Arial"/>
          <w:color w:val="000000" w:themeColor="text1"/>
          <w14:textFill>
            <w14:solidFill>
              <w14:schemeClr w14:val="tx1"/>
            </w14:solidFill>
          </w14:textFill>
        </w:rPr>
        <w:t>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X年X月X日</w:t>
      </w:r>
      <w:r>
        <w:rPr>
          <w:rFonts w:hint="eastAsia" w:ascii="宋体" w:hAnsi="宋体" w:cs="Arial"/>
          <w:color w:val="000000" w:themeColor="text1"/>
          <w14:textFill>
            <w14:solidFill>
              <w14:schemeClr w14:val="tx1"/>
            </w14:solidFill>
          </w14:textFill>
        </w:rPr>
        <w:t>一直有效，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spacing w:afterAutospacing="0"/>
        <w:ind w:right="-57" w:firstLine="200"/>
        <w:rPr>
          <w:rFonts w:ascii="宋体" w:hAnsi="宋体"/>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（开具保函时，以上二种方式，任选一种。）</w:t>
      </w:r>
    </w:p>
    <w:p>
      <w:pPr>
        <w:spacing w:afterAutospacing="0"/>
        <w:ind w:right="-57"/>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银行地址：</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担保银行：</w:t>
      </w:r>
      <w:r>
        <w:rPr>
          <w:rFonts w:hint="eastAsia" w:ascii="宋体" w:hAnsi="宋体"/>
          <w:color w:val="000000" w:themeColor="text1"/>
          <w:u w:val="single"/>
          <w14:textFill>
            <w14:solidFill>
              <w14:schemeClr w14:val="tx1"/>
            </w14:solidFill>
          </w14:textFill>
        </w:rPr>
        <w:t xml:space="preserve">（全称）    </w:t>
      </w:r>
      <w:r>
        <w:rPr>
          <w:rFonts w:hint="eastAsia" w:ascii="宋体" w:hAnsi="宋体"/>
          <w:color w:val="000000" w:themeColor="text1"/>
          <w14:textFill>
            <w14:solidFill>
              <w14:schemeClr w14:val="tx1"/>
            </w14:solidFill>
          </w14:textFill>
        </w:rPr>
        <w:t>(盖章)</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邮编：</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法定代表人或（授权代理人）：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pacing w:afterAutospacing="0"/>
        <w:ind w:right="-57"/>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u w:val="single"/>
          <w14:textFill>
            <w14:solidFill>
              <w14:schemeClr w14:val="tx1"/>
            </w14:solidFill>
          </w14:textFill>
        </w:rPr>
        <w:t>（职务）   （姓名）  （签字）</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afterAutospacing="0"/>
        <w:ind w:right="-57"/>
        <w:rPr>
          <w:rFonts w:ascii="宋体" w:hAnsi="宋体"/>
          <w:color w:val="000000" w:themeColor="text1"/>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承诺函（中选后提供）</w:t>
      </w:r>
    </w:p>
    <w:p>
      <w:pPr>
        <w:ind w:right="-57"/>
        <w:rPr>
          <w:rFonts w:ascii="宋体" w:hAnsi="宋体"/>
          <w:color w:val="000000" w:themeColor="text1"/>
          <w14:textFill>
            <w14:solidFill>
              <w14:schemeClr w14:val="tx1"/>
            </w14:solidFill>
          </w14:textFill>
        </w:rPr>
      </w:pPr>
    </w:p>
    <w:p>
      <w:pPr>
        <w:spacing w:line="480" w:lineRule="auto"/>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南宁轨道交通集团有限责任公司：</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（以下称“本公司”）现已中选贵司询比价的</w:t>
      </w:r>
      <w:r>
        <w:rPr>
          <w:rFonts w:hint="eastAsia" w:ascii="宋体" w:hAnsi="宋体"/>
          <w:color w:val="000000" w:themeColor="text1"/>
          <w:u w:val="single"/>
          <w14:textFill>
            <w14:solidFill>
              <w14:schemeClr w14:val="tx1"/>
            </w14:solidFill>
          </w14:textFill>
        </w:rPr>
        <w:t xml:space="preserve"> 2021年钢轨等轨道物资采购项目 </w:t>
      </w:r>
      <w:r>
        <w:rPr>
          <w:rFonts w:hint="eastAsia" w:ascii="宋体" w:hAnsi="宋体"/>
          <w:color w:val="000000" w:themeColor="text1"/>
          <w14:textFill>
            <w14:solidFill>
              <w14:schemeClr w14:val="tx1"/>
            </w14:solidFill>
          </w14:textFill>
        </w:rPr>
        <w:t>，并拟签订正式合同，按合同规定需向贵司提供一份履约担保金额为人民币：</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）的银行保函（保函编号：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），有效期至X年X月X日。</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本公司现向贵司郑重承诺，如上述保函到期日仍未到合同约定的时间（</w:t>
      </w:r>
      <w:r>
        <w:rPr>
          <w:rFonts w:hint="eastAsia" w:ascii="宋体" w:hAnsi="宋体"/>
          <w:color w:val="000000" w:themeColor="text1"/>
          <w:u w:val="single"/>
          <w14:textFill>
            <w14:solidFill>
              <w14:schemeClr w14:val="tx1"/>
            </w14:solidFill>
          </w14:textFill>
        </w:rPr>
        <w:t>全部货物验收合格之日后四十五（45）天</w:t>
      </w:r>
      <w:r>
        <w:rPr>
          <w:rFonts w:hint="eastAsia" w:ascii="宋体" w:hAnsi="宋体"/>
          <w:color w:val="000000" w:themeColor="text1"/>
          <w14:textFill>
            <w14:solidFill>
              <w14:schemeClr w14:val="tx1"/>
            </w14:solidFill>
          </w14:textFill>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ind w:right="-57" w:firstLine="420"/>
        <w:rPr>
          <w:rFonts w:ascii="宋体" w:hAnsi="宋体"/>
          <w:color w:val="000000" w:themeColor="text1"/>
          <w14:textFill>
            <w14:solidFill>
              <w14:schemeClr w14:val="tx1"/>
            </w14:solidFill>
          </w14:textFill>
        </w:rPr>
      </w:pPr>
    </w:p>
    <w:p>
      <w:pPr>
        <w:ind w:left="5040" w:right="-57" w:hanging="493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承诺人：</w:t>
      </w:r>
    </w:p>
    <w:p>
      <w:pPr>
        <w:ind w:left="4935" w:right="-57" w:hanging="48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X年X月X日</w:t>
      </w:r>
    </w:p>
    <w:p>
      <w:pPr>
        <w:ind w:right="-57"/>
        <w:rPr>
          <w:rFonts w:ascii="宋体" w:hAnsi="宋体"/>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（当选择银行保函格式第2种方式时开具银行保函的，必须提供本承诺书。）</w:t>
      </w:r>
    </w:p>
    <w:p>
      <w:pPr>
        <w:ind w:right="-57" w:firstLine="200"/>
        <w:rPr>
          <w:rFonts w:ascii="宋体" w:hAnsi="宋体"/>
          <w:b/>
          <w:i/>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附件2：</w:t>
      </w: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p>
    <w:p>
      <w:pPr>
        <w:tabs>
          <w:tab w:val="left" w:pos="1134"/>
          <w:tab w:val="left" w:pos="8364"/>
        </w:tabs>
        <w:spacing w:before="0"/>
        <w:ind w:right="0"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FF0000"/>
          <w:u w:val="single"/>
        </w:rPr>
        <w:t>2021年钢轨等轨道物资</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采购项目（项目编号：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NNGD-YY-BJBJ-2021091</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系</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单位：（公章）                       日期：</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widowControl w:val="0"/>
              <w:spacing w:before="0" w:afterAutospacing="0"/>
              <w:ind w:right="0"/>
              <w:rPr>
                <w:rFonts w:ascii="宋体" w:hAnsi="宋体"/>
                <w:b/>
                <w:color w:val="000000" w:themeColor="text1"/>
                <w:kern w:val="2"/>
                <w:sz w:val="24"/>
                <w:szCs w:val="24"/>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b/>
                <w:color w:val="000000" w:themeColor="text1"/>
                <w:kern w:val="2"/>
                <w:sz w:val="24"/>
                <w:szCs w:val="24"/>
                <w14:textFill>
                  <w14:solidFill>
                    <w14:schemeClr w14:val="tx1"/>
                  </w14:solidFill>
                </w14:textFill>
              </w:rPr>
              <w:t>附件3：</w:t>
            </w:r>
          </w:p>
          <w:p>
            <w:pPr>
              <w:widowControl w:val="0"/>
              <w:spacing w:before="0" w:afterAutospacing="0"/>
              <w:ind w:right="0"/>
              <w:jc w:val="center"/>
              <w:rPr>
                <w:rFonts w:ascii="宋体" w:hAnsi="宋体"/>
                <w:b/>
                <w:color w:val="000000" w:themeColor="text1"/>
                <w:kern w:val="2"/>
                <w:sz w:val="24"/>
                <w:szCs w:val="24"/>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ascii="宋体" w:hAnsi="宋体" w:cs="宋体"/>
                      <w:b/>
                      <w:color w:val="000000" w:themeColor="text1"/>
                      <w:kern w:val="2"/>
                      <w:lang w:bidi="ar"/>
                      <w14:textFill>
                        <w14:solidFill>
                          <w14:schemeClr w14:val="tx1"/>
                        </w14:solidFill>
                      </w14:textFill>
                    </w:rPr>
                    <w:t>运营分公司</w:t>
                  </w:r>
                  <w:r>
                    <w:rPr>
                      <w:rFonts w:hint="eastAsia"/>
                      <w:color w:val="000000" w:themeColor="text1"/>
                      <w14:textFill>
                        <w14:solidFill>
                          <w14:schemeClr w14:val="tx1"/>
                        </w14:solidFill>
                      </w14:textFill>
                    </w:rPr>
                    <w:t xml:space="preserve"> </w:t>
                  </w:r>
                  <w:r>
                    <w:rPr>
                      <w:rFonts w:hint="eastAsia" w:ascii="宋体" w:hAnsi="宋体" w:cs="宋体"/>
                      <w:b/>
                      <w:color w:val="FF0000"/>
                      <w:kern w:val="2"/>
                      <w:lang w:eastAsia="zh-CN" w:bidi="ar"/>
                    </w:rPr>
                    <w:t>2021年钢轨等轨道物资采购项目</w:t>
                  </w:r>
                  <w:r>
                    <w:rPr>
                      <w:rFonts w:ascii="宋体" w:hAnsi="宋体" w:cs="宋体"/>
                      <w:b/>
                      <w:color w:val="000000" w:themeColor="text1"/>
                      <w:kern w:val="2"/>
                      <w:lang w:bidi="ar"/>
                      <w14:textFill>
                        <w14:solidFill>
                          <w14:schemeClr w14:val="tx1"/>
                        </w14:solidFill>
                      </w14:textFill>
                    </w:rPr>
                    <w:t xml:space="preserve"> </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号线 第</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000000" w:themeColor="text1"/>
                      <w:kern w:val="2"/>
                      <w14:textFill>
                        <w14:solidFill>
                          <w14:schemeClr w14:val="tx1"/>
                        </w14:solidFill>
                      </w14:textFill>
                    </w:rPr>
                  </w:pPr>
                  <w:r>
                    <w:rPr>
                      <w:rFonts w:ascii="宋体" w:hAnsi="宋体" w:cs="宋体"/>
                      <w:color w:val="000000" w:themeColor="text1"/>
                      <w:kern w:val="2"/>
                      <w:lang w:bidi="ar"/>
                      <w14:textFill>
                        <w14:solidFill>
                          <w14:schemeClr w14:val="tx1"/>
                        </w14:solidFill>
                      </w14:textFill>
                    </w:rPr>
                    <w:t>供应商：　　　　　　　　　　　　　　　　　供应商联系人及电话：</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交货通知号：</w:t>
                  </w:r>
                  <w:r>
                    <w:rPr>
                      <w:rFonts w:ascii="宋体" w:hAnsi="宋体" w:cs="Calibri"/>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交货地点：</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r>
                    <w:rPr>
                      <w:rFonts w:ascii="宋体" w:hAnsi="宋体" w:cs="Calibri"/>
                      <w:color w:val="000000" w:themeColor="text1"/>
                      <w:lang w:bidi="ar"/>
                      <w14:textFill>
                        <w14:solidFill>
                          <w14:schemeClr w14:val="tx1"/>
                        </w14:solidFill>
                      </w14:textFill>
                    </w:rPr>
                    <w:t>…</w:t>
                  </w:r>
                  <w:r>
                    <w:rPr>
                      <w:rFonts w:hint="eastAsia" w:ascii="宋体" w:hAnsi="宋体" w:cs="Calibri"/>
                      <w:color w:val="000000" w:themeColor="text1"/>
                      <w:lang w:bidi="ar"/>
                      <w14:textFill>
                        <w14:solidFill>
                          <w14:schemeClr w14:val="tx1"/>
                        </w14:solidFill>
                      </w14:textFill>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Calibri"/>
                      <w:color w:val="000000" w:themeColor="text1"/>
                      <w:lang w:bidi="ar"/>
                      <w14:textFill>
                        <w14:solidFill>
                          <w14:schemeClr w14:val="tx1"/>
                        </w14:solidFill>
                      </w14:textFill>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ascii="宋体" w:hAnsi="宋体" w:cs="宋体"/>
                      <w:color w:val="000000" w:themeColor="text1"/>
                      <w:kern w:val="2"/>
                      <w:lang w:bidi="ar"/>
                      <w14:textFill>
                        <w14:solidFill>
                          <w14:schemeClr w14:val="tx1"/>
                        </w14:solidFill>
                      </w14:textFill>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ascii="宋体" w:hAnsi="宋体" w:cs="宋体"/>
                      <w:color w:val="000000" w:themeColor="text1"/>
                      <w:kern w:val="2"/>
                      <w:lang w:bidi="ar"/>
                      <w14:textFill>
                        <w14:solidFill>
                          <w14:schemeClr w14:val="tx1"/>
                        </w14:solidFill>
                      </w14:textFill>
                    </w:rPr>
                    <w:t>本通知加盖运营分公司</w:t>
                  </w:r>
                  <w:r>
                    <w:rPr>
                      <w:rFonts w:hint="eastAsia" w:ascii="宋体" w:hAnsi="宋体" w:cs="宋体"/>
                      <w:color w:val="000000" w:themeColor="text1"/>
                      <w:kern w:val="2"/>
                      <w:lang w:bidi="ar"/>
                      <w14:textFill>
                        <w14:solidFill>
                          <w14:schemeClr w14:val="tx1"/>
                        </w14:solidFill>
                      </w14:textFill>
                    </w:rPr>
                    <w:t>XX</w:t>
                  </w:r>
                  <w:r>
                    <w:rPr>
                      <w:rFonts w:ascii="宋体" w:hAnsi="宋体" w:cs="宋体"/>
                      <w:color w:val="000000" w:themeColor="text1"/>
                      <w:kern w:val="2"/>
                      <w:lang w:bidi="ar"/>
                      <w14:textFill>
                        <w14:solidFill>
                          <w14:schemeClr w14:val="tx1"/>
                        </w14:solidFill>
                      </w14:textFill>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ascii="宋体" w:hAnsi="宋体" w:cs="宋体"/>
                      <w:color w:val="000000" w:themeColor="text1"/>
                      <w:kern w:val="2"/>
                      <w:lang w:bidi="ar"/>
                      <w14:textFill>
                        <w14:solidFill>
                          <w14:schemeClr w14:val="tx1"/>
                        </w14:solidFill>
                      </w14:textFill>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通知日期：      年    月    日</w:t>
                  </w:r>
                </w:p>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p>
              </w:tc>
            </w:tr>
          </w:tbl>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w:t>
            </w:r>
          </w:p>
          <w:p>
            <w:pPr>
              <w:widowControl w:val="0"/>
              <w:spacing w:before="0" w:afterAutospacing="0" w:line="240" w:lineRule="auto"/>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附件4：</w:t>
            </w:r>
          </w:p>
          <w:p>
            <w:pPr>
              <w:widowControl w:val="0"/>
              <w:spacing w:before="0" w:afterAutospacing="0" w:line="240" w:lineRule="auto"/>
              <w:ind w:right="0"/>
              <w:jc w:val="center"/>
              <w:rPr>
                <w:rFonts w:ascii="宋体" w:hAnsi="宋体" w:cs="宋体"/>
                <w:b/>
                <w:color w:val="000000" w:themeColor="text1"/>
                <w:kern w:val="2"/>
                <w:sz w:val="24"/>
                <w:szCs w:val="24"/>
                <w:lang w:bidi="ar"/>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 xml:space="preserve">运营分公司 </w:t>
                  </w:r>
                  <w:r>
                    <w:rPr>
                      <w:rFonts w:hint="eastAsia" w:ascii="宋体" w:hAnsi="宋体" w:cs="宋体"/>
                      <w:b/>
                      <w:color w:val="000000" w:themeColor="text1"/>
                      <w:u w:val="single"/>
                      <w:lang w:bidi="ar"/>
                      <w14:textFill>
                        <w14:solidFill>
                          <w14:schemeClr w14:val="tx1"/>
                        </w14:solidFill>
                      </w14:textFill>
                    </w:rPr>
                    <w:t xml:space="preserve"> </w:t>
                  </w:r>
                  <w:r>
                    <w:rPr>
                      <w:rFonts w:hint="eastAsia" w:ascii="宋体" w:hAnsi="宋体" w:cs="宋体"/>
                      <w:b/>
                      <w:color w:val="FF0000"/>
                      <w:u w:val="single"/>
                      <w:lang w:bidi="ar"/>
                    </w:rPr>
                    <w:t xml:space="preserve">2021年钢轨等轨道物资 </w:t>
                  </w:r>
                  <w:r>
                    <w:rPr>
                      <w:rFonts w:ascii="宋体" w:hAnsi="宋体" w:cs="宋体"/>
                      <w:b/>
                      <w:color w:val="000000" w:themeColor="text1"/>
                      <w:kern w:val="2"/>
                      <w:lang w:bidi="ar"/>
                      <w14:textFill>
                        <w14:solidFill>
                          <w14:schemeClr w14:val="tx1"/>
                        </w14:solidFill>
                      </w14:textFill>
                    </w:rPr>
                    <w:t xml:space="preserve"> 采购项目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号线 第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供应商</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章</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　　　　　　　　　　　　　　　　　供应商联系人及电话：</w:t>
                  </w:r>
                </w:p>
                <w:p>
                  <w:pPr>
                    <w:spacing w:before="0" w:afterAutospacing="0" w:line="240" w:lineRule="auto"/>
                    <w:ind w:left="648" w:leftChars="72" w:right="-57" w:hanging="497" w:hangingChars="237"/>
                    <w:jc w:val="left"/>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bookmarkStart w:id="291" w:name="_GoBack"/>
                  <w:bookmarkEnd w:id="291"/>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hint="eastAsia" w:ascii="宋体" w:hAnsi="宋体" w:cs="宋体"/>
                      <w:color w:val="000000" w:themeColor="text1"/>
                      <w:lang w:bidi="ar"/>
                      <w14:textFill>
                        <w14:solidFill>
                          <w14:schemeClr w14:val="tx1"/>
                        </w14:solidFill>
                      </w14:textFill>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hint="eastAsia" w:ascii="宋体" w:hAnsi="宋体" w:cs="宋体"/>
                      <w:color w:val="000000" w:themeColor="text1"/>
                      <w:lang w:bidi="ar"/>
                      <w14:textFill>
                        <w14:solidFill>
                          <w14:schemeClr w14:val="tx1"/>
                        </w14:solidFill>
                      </w14:textFill>
                    </w:rPr>
                    <w:t>实收数量栏不能留空，数量为“</w:t>
                  </w:r>
                  <w:r>
                    <w:rPr>
                      <w:rFonts w:ascii="宋体" w:hAnsi="宋体" w:cs="Calibri"/>
                      <w:color w:val="000000" w:themeColor="text1"/>
                      <w:kern w:val="2"/>
                      <w:lang w:bidi="ar"/>
                      <w14:textFill>
                        <w14:solidFill>
                          <w14:schemeClr w14:val="tx1"/>
                        </w14:solidFill>
                      </w14:textFill>
                    </w:rPr>
                    <w:t>0</w:t>
                  </w:r>
                  <w:r>
                    <w:rPr>
                      <w:rFonts w:hint="eastAsia" w:ascii="宋体" w:hAnsi="宋体" w:cs="宋体"/>
                      <w:color w:val="000000" w:themeColor="text1"/>
                      <w:lang w:bidi="ar"/>
                      <w14:textFill>
                        <w14:solidFill>
                          <w14:schemeClr w14:val="tx1"/>
                        </w14:solidFill>
                      </w14:textFill>
                    </w:rPr>
                    <w:t>”时用“</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”表示；“合计”栏中的</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实收数量</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hint="eastAsia" w:ascii="宋体" w:hAnsi="宋体" w:cs="宋体"/>
                      <w:color w:val="000000" w:themeColor="text1"/>
                      <w:lang w:bidi="ar"/>
                      <w14:textFill>
                        <w14:solidFill>
                          <w14:schemeClr w14:val="tx1"/>
                        </w14:solidFill>
                      </w14:textFill>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收货人（签名）：　　　　　　　　　　　　　　　收货时间：</w:t>
                  </w:r>
                </w:p>
              </w:tc>
            </w:tr>
          </w:tbl>
          <w:p>
            <w:pPr>
              <w:rPr>
                <w:rFonts w:ascii="宋体" w:hAnsi="宋体"/>
                <w:color w:val="000000" w:themeColor="text1"/>
                <w14:textFill>
                  <w14:solidFill>
                    <w14:schemeClr w14:val="tx1"/>
                  </w14:solidFill>
                </w14:textFill>
              </w:rPr>
            </w:pPr>
          </w:p>
        </w:tc>
      </w:tr>
    </w:tbl>
    <w:p>
      <w:pPr>
        <w:tabs>
          <w:tab w:val="left" w:pos="840"/>
          <w:tab w:val="left" w:pos="1843"/>
        </w:tabs>
        <w:spacing w:before="0" w:afterAutospacing="0"/>
        <w:ind w:right="0"/>
        <w:outlineLvl w:val="1"/>
        <w:rPr>
          <w:rFonts w:ascii="宋体" w:hAnsi="宋体"/>
          <w:b/>
        </w:rPr>
        <w:sectPr>
          <w:footerReference r:id="rId8"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szCs w:val="22"/>
        </w:rPr>
      </w:pPr>
      <w:r>
        <w:rPr>
          <w:rStyle w:val="13"/>
          <w:rFonts w:hint="eastAsia"/>
          <w:szCs w:val="22"/>
        </w:rPr>
        <w:t>价格组成文件</w:t>
      </w:r>
    </w:p>
    <w:p>
      <w:pPr>
        <w:spacing w:before="0" w:line="360" w:lineRule="auto"/>
        <w:ind w:right="0"/>
        <w:jc w:val="center"/>
        <w:outlineLvl w:val="1"/>
        <w:rPr>
          <w:rStyle w:val="13"/>
          <w:szCs w:val="22"/>
        </w:rPr>
      </w:pPr>
    </w:p>
    <w:p>
      <w:pPr>
        <w:spacing w:before="0" w:line="360" w:lineRule="auto"/>
        <w:ind w:right="0"/>
        <w:outlineLvl w:val="1"/>
        <w:rPr>
          <w:rStyle w:val="13"/>
          <w:szCs w:val="22"/>
        </w:rPr>
      </w:pPr>
    </w:p>
    <w:p>
      <w:pPr>
        <w:numPr>
          <w:ilvl w:val="0"/>
          <w:numId w:val="52"/>
        </w:numPr>
        <w:spacing w:before="0" w:line="360" w:lineRule="auto"/>
        <w:ind w:left="420" w:leftChars="200" w:right="0"/>
        <w:jc w:val="center"/>
        <w:outlineLvl w:val="1"/>
        <w:rPr>
          <w:rStyle w:val="13"/>
          <w:szCs w:val="22"/>
        </w:rPr>
        <w:sectPr>
          <w:footerReference r:id="rId9"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3"/>
          <w:szCs w:val="22"/>
        </w:rPr>
      </w:pPr>
      <w:r>
        <w:rPr>
          <w:rStyle w:val="13"/>
          <w:rFonts w:hint="eastAsia"/>
          <w:szCs w:val="22"/>
        </w:rPr>
        <w:t>技术需求及数量表</w:t>
      </w:r>
    </w:p>
    <w:p>
      <w:pPr>
        <w:spacing w:before="0" w:line="360" w:lineRule="auto"/>
        <w:ind w:left="420" w:leftChars="200" w:right="0"/>
        <w:outlineLvl w:val="1"/>
        <w:rPr>
          <w:rStyle w:val="13"/>
          <w:szCs w:val="22"/>
        </w:rPr>
      </w:pPr>
      <w:r>
        <w:rPr>
          <w:rStyle w:val="13"/>
          <w:rFonts w:hint="eastAsia"/>
          <w:szCs w:val="22"/>
        </w:rPr>
        <w:t>详见附件3</w:t>
      </w: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right="0"/>
        <w:outlineLvl w:val="1"/>
        <w:rPr>
          <w:rStyle w:val="13"/>
          <w:szCs w:val="22"/>
        </w:rPr>
      </w:pPr>
    </w:p>
    <w:p>
      <w:pPr>
        <w:spacing w:before="0" w:line="360" w:lineRule="auto"/>
        <w:ind w:right="0"/>
        <w:outlineLvl w:val="1"/>
        <w:rPr>
          <w:rStyle w:val="13"/>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szCs w:val="22"/>
        </w:rPr>
      </w:pPr>
    </w:p>
    <w:p>
      <w:pPr>
        <w:pStyle w:val="12"/>
        <w:numPr>
          <w:ilvl w:val="0"/>
          <w:numId w:val="52"/>
        </w:numPr>
        <w:jc w:val="center"/>
        <w:rPr>
          <w:rStyle w:val="13"/>
          <w:rFonts w:ascii="Times New Roman" w:hAnsi="Times New Roman"/>
          <w:szCs w:val="22"/>
        </w:rPr>
      </w:pPr>
      <w:r>
        <w:rPr>
          <w:rStyle w:val="13"/>
          <w:rFonts w:hint="eastAsia" w:ascii="Times New Roman" w:hAnsi="Times New Roman"/>
          <w:szCs w:val="22"/>
        </w:rPr>
        <w:t>询比价文件（另册）</w:t>
      </w: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spacing w:after="100"/>
        <w:ind w:left="200" w:firstLine="0"/>
        <w:rPr>
          <w:rStyle w:val="13"/>
          <w:rFonts w:ascii="Times New Roman" w:hAnsi="Times New Roman"/>
          <w:szCs w:val="22"/>
        </w:rPr>
      </w:pPr>
    </w:p>
    <w:p>
      <w:pPr>
        <w:pStyle w:val="12"/>
        <w:numPr>
          <w:ilvl w:val="0"/>
          <w:numId w:val="52"/>
        </w:numPr>
        <w:jc w:val="center"/>
        <w:rPr>
          <w:rStyle w:val="13"/>
          <w:rFonts w:ascii="Times New Roman" w:hAnsi="Times New Roman"/>
          <w:szCs w:val="22"/>
        </w:rPr>
      </w:pPr>
      <w:r>
        <w:rPr>
          <w:rStyle w:val="13"/>
          <w:rFonts w:hint="eastAsia" w:ascii="Times New Roman" w:hAnsi="Times New Roman"/>
          <w:szCs w:val="22"/>
        </w:rPr>
        <w:t>询比价申请文件（另册）</w:t>
      </w:r>
    </w:p>
    <w:p>
      <w:pPr>
        <w:pStyle w:val="12"/>
        <w:ind w:left="200" w:firstLine="0"/>
        <w:rPr>
          <w:rStyle w:val="13"/>
          <w:rFonts w:ascii="Times New Roman" w:hAnsi="Times New Roman"/>
          <w:szCs w:val="22"/>
        </w:rPr>
      </w:pPr>
    </w:p>
    <w:p>
      <w:pPr>
        <w:spacing w:before="0" w:line="360" w:lineRule="auto"/>
        <w:ind w:left="420" w:leftChars="200" w:right="0"/>
        <w:outlineLvl w:val="1"/>
        <w:rPr>
          <w:rStyle w:val="13"/>
          <w:szCs w:val="22"/>
        </w:rPr>
      </w:pPr>
    </w:p>
    <w:p>
      <w:pPr>
        <w:spacing w:before="0" w:line="360" w:lineRule="auto"/>
        <w:ind w:right="0"/>
        <w:jc w:val="center"/>
        <w:outlineLvl w:val="1"/>
        <w:rPr>
          <w:rStyle w:val="13"/>
          <w:szCs w:val="22"/>
        </w:rPr>
      </w:pPr>
    </w:p>
    <w:sectPr>
      <w:pgSz w:w="11906" w:h="16838"/>
      <w:pgMar w:top="1440" w:right="1803" w:bottom="1440" w:left="1803" w:header="851" w:footer="992" w:gutter="0"/>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9264"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mZWUyMGMyYTBjOThkNzkwM2YyNDY3YjE3ODA0NWYifQ=="/>
  </w:docVars>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52D0CFE"/>
    <w:rsid w:val="057B60E1"/>
    <w:rsid w:val="07FA49AB"/>
    <w:rsid w:val="08F14400"/>
    <w:rsid w:val="09287EA3"/>
    <w:rsid w:val="0D07455D"/>
    <w:rsid w:val="0D51071B"/>
    <w:rsid w:val="0F200004"/>
    <w:rsid w:val="0FE4089C"/>
    <w:rsid w:val="121E77F4"/>
    <w:rsid w:val="12ED4399"/>
    <w:rsid w:val="132C3849"/>
    <w:rsid w:val="13EA1322"/>
    <w:rsid w:val="14147A35"/>
    <w:rsid w:val="14792F82"/>
    <w:rsid w:val="15041CE5"/>
    <w:rsid w:val="15B00394"/>
    <w:rsid w:val="160055A9"/>
    <w:rsid w:val="16855AD3"/>
    <w:rsid w:val="179B04F5"/>
    <w:rsid w:val="17A6670E"/>
    <w:rsid w:val="17C64BD4"/>
    <w:rsid w:val="1A5A63B0"/>
    <w:rsid w:val="1B0A660C"/>
    <w:rsid w:val="1BC21AF9"/>
    <w:rsid w:val="1C026E61"/>
    <w:rsid w:val="1C787B29"/>
    <w:rsid w:val="205E2AB7"/>
    <w:rsid w:val="208A1627"/>
    <w:rsid w:val="20AA4C03"/>
    <w:rsid w:val="21681DFF"/>
    <w:rsid w:val="25B65426"/>
    <w:rsid w:val="27D73AAC"/>
    <w:rsid w:val="28DA7D1A"/>
    <w:rsid w:val="299F21F8"/>
    <w:rsid w:val="2B3A7446"/>
    <w:rsid w:val="2B4236E4"/>
    <w:rsid w:val="2CA05131"/>
    <w:rsid w:val="2D271C78"/>
    <w:rsid w:val="2D6523F7"/>
    <w:rsid w:val="2E0E3201"/>
    <w:rsid w:val="2E9473C9"/>
    <w:rsid w:val="2EB703E0"/>
    <w:rsid w:val="30940782"/>
    <w:rsid w:val="30BC0E80"/>
    <w:rsid w:val="30CA1C2C"/>
    <w:rsid w:val="317C6BA3"/>
    <w:rsid w:val="338D5461"/>
    <w:rsid w:val="341A4D5F"/>
    <w:rsid w:val="35112B28"/>
    <w:rsid w:val="36FF6025"/>
    <w:rsid w:val="371E5229"/>
    <w:rsid w:val="379D15E7"/>
    <w:rsid w:val="37F40213"/>
    <w:rsid w:val="39070333"/>
    <w:rsid w:val="39094D4C"/>
    <w:rsid w:val="3A0024BA"/>
    <w:rsid w:val="3A355932"/>
    <w:rsid w:val="3C1817DF"/>
    <w:rsid w:val="3CE178DF"/>
    <w:rsid w:val="3DB8744B"/>
    <w:rsid w:val="3E1F7B3F"/>
    <w:rsid w:val="3F584513"/>
    <w:rsid w:val="3F5A7455"/>
    <w:rsid w:val="3F5C7CA7"/>
    <w:rsid w:val="3FA900CF"/>
    <w:rsid w:val="43B72F8D"/>
    <w:rsid w:val="43FA0FC1"/>
    <w:rsid w:val="45091972"/>
    <w:rsid w:val="4782345F"/>
    <w:rsid w:val="47904FB9"/>
    <w:rsid w:val="487254C7"/>
    <w:rsid w:val="4BA42C26"/>
    <w:rsid w:val="4D550455"/>
    <w:rsid w:val="4E700907"/>
    <w:rsid w:val="4EAD69ED"/>
    <w:rsid w:val="4F0B266E"/>
    <w:rsid w:val="504A7C44"/>
    <w:rsid w:val="52EA2463"/>
    <w:rsid w:val="536C6C32"/>
    <w:rsid w:val="538E30C5"/>
    <w:rsid w:val="53904970"/>
    <w:rsid w:val="53B84F4D"/>
    <w:rsid w:val="5438607D"/>
    <w:rsid w:val="55DE1203"/>
    <w:rsid w:val="562763BA"/>
    <w:rsid w:val="568052C3"/>
    <w:rsid w:val="570F3CBB"/>
    <w:rsid w:val="572E7817"/>
    <w:rsid w:val="574D099F"/>
    <w:rsid w:val="587D26A1"/>
    <w:rsid w:val="58D7463B"/>
    <w:rsid w:val="590F317D"/>
    <w:rsid w:val="59B56A44"/>
    <w:rsid w:val="59EB3107"/>
    <w:rsid w:val="5A850258"/>
    <w:rsid w:val="5C3C1E1E"/>
    <w:rsid w:val="5F314DBF"/>
    <w:rsid w:val="5F9E4DDB"/>
    <w:rsid w:val="60C272CD"/>
    <w:rsid w:val="621B2422"/>
    <w:rsid w:val="62B4510A"/>
    <w:rsid w:val="63933349"/>
    <w:rsid w:val="63E42CB7"/>
    <w:rsid w:val="64162907"/>
    <w:rsid w:val="649F120A"/>
    <w:rsid w:val="651D232D"/>
    <w:rsid w:val="66F4687E"/>
    <w:rsid w:val="67A46B52"/>
    <w:rsid w:val="67B60C43"/>
    <w:rsid w:val="686B4770"/>
    <w:rsid w:val="68A35D71"/>
    <w:rsid w:val="695B0733"/>
    <w:rsid w:val="6999259D"/>
    <w:rsid w:val="6A475A9A"/>
    <w:rsid w:val="6B272C8C"/>
    <w:rsid w:val="6B2C74C2"/>
    <w:rsid w:val="6D5B4E6F"/>
    <w:rsid w:val="6D9E6D68"/>
    <w:rsid w:val="6DFD0E12"/>
    <w:rsid w:val="6F7246F2"/>
    <w:rsid w:val="70DE1C3B"/>
    <w:rsid w:val="7159302D"/>
    <w:rsid w:val="720A5933"/>
    <w:rsid w:val="742D0851"/>
    <w:rsid w:val="74F51C1E"/>
    <w:rsid w:val="75153B55"/>
    <w:rsid w:val="75201CD6"/>
    <w:rsid w:val="75E639E8"/>
    <w:rsid w:val="75F548DD"/>
    <w:rsid w:val="76563F83"/>
    <w:rsid w:val="76AF78B8"/>
    <w:rsid w:val="77251906"/>
    <w:rsid w:val="77446974"/>
    <w:rsid w:val="77527084"/>
    <w:rsid w:val="78762B5D"/>
    <w:rsid w:val="790527F1"/>
    <w:rsid w:val="79073B89"/>
    <w:rsid w:val="79B05402"/>
    <w:rsid w:val="79F33210"/>
    <w:rsid w:val="7A0A6478"/>
    <w:rsid w:val="7A726C1A"/>
    <w:rsid w:val="7A757C1D"/>
    <w:rsid w:val="7AE4389D"/>
    <w:rsid w:val="7C0B5867"/>
    <w:rsid w:val="7DA8628F"/>
    <w:rsid w:val="7ED23AB8"/>
    <w:rsid w:val="7F133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18</TotalTime>
  <ScaleCrop>false</ScaleCrop>
  <LinksUpToDate>false</LinksUpToDate>
  <CharactersWithSpaces>21754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cp:lastModifiedBy>
  <dcterms:modified xsi:type="dcterms:W3CDTF">2022-07-27T01:15:28Z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C5B9125D23C0405CB49EC4607743753E</vt:lpwstr>
  </property>
</Properties>
</file>