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highlight w:val="none"/>
        </w:rPr>
      </w:pPr>
    </w:p>
    <w:p>
      <w:pPr>
        <w:keepNext w:val="0"/>
        <w:keepLines w:val="0"/>
        <w:pageBreakBefore w:val="0"/>
        <w:widowControl w:val="0"/>
        <w:kinsoku/>
        <w:wordWrap/>
        <w:overflowPunct/>
        <w:topLinePunct w:val="0"/>
        <w:autoSpaceDE/>
        <w:autoSpaceDN/>
        <w:bidi w:val="0"/>
        <w:adjustRightInd/>
        <w:snapToGrid/>
        <w:spacing w:line="1200" w:lineRule="exact"/>
        <w:ind w:left="723" w:hanging="440" w:hangingChars="100"/>
        <w:jc w:val="center"/>
        <w:textAlignment w:val="auto"/>
        <w:rPr>
          <w:rFonts w:ascii="宋体" w:hAnsi="宋体"/>
          <w:b/>
          <w:spacing w:val="-4"/>
          <w:sz w:val="44"/>
          <w:szCs w:val="44"/>
          <w:highlight w:val="none"/>
        </w:rPr>
      </w:pPr>
      <w:r>
        <w:rPr>
          <w:rFonts w:hint="eastAsia" w:ascii="方正小标宋简体" w:hAnsi="方正小标宋简体" w:eastAsia="方正小标宋简体" w:cs="方正小标宋简体"/>
          <w:b w:val="0"/>
          <w:bCs/>
          <w:color w:val="auto"/>
          <w:sz w:val="44"/>
          <w:szCs w:val="44"/>
          <w:highlight w:val="none"/>
          <w:lang w:val="en-US" w:eastAsia="zh-CN"/>
        </w:rPr>
        <w:t>南宁轨道交通1-5号线出入段（场）线地面洞口及个别车站紧急疏散口视频监控补盲项目</w:t>
      </w:r>
    </w:p>
    <w:p>
      <w:pPr>
        <w:pStyle w:val="28"/>
        <w:spacing w:before="0"/>
        <w:ind w:right="-57" w:firstLine="0"/>
        <w:jc w:val="center"/>
        <w:rPr>
          <w:rFonts w:ascii="宋体" w:hAnsi="宋体"/>
          <w:b/>
          <w:spacing w:val="-4"/>
          <w:sz w:val="44"/>
          <w:szCs w:val="44"/>
          <w:highlight w:val="none"/>
        </w:rPr>
      </w:pPr>
    </w:p>
    <w:p>
      <w:pPr>
        <w:spacing w:before="0"/>
        <w:ind w:left="0" w:leftChars="0" w:right="-57" w:firstLine="0" w:firstLineChars="0"/>
        <w:jc w:val="center"/>
        <w:rPr>
          <w:rFonts w:ascii="宋体" w:hAnsi="宋体"/>
          <w:sz w:val="32"/>
          <w:szCs w:val="32"/>
          <w:highlight w:val="none"/>
        </w:rPr>
      </w:pPr>
      <w:r>
        <w:rPr>
          <w:rFonts w:hint="eastAsia" w:ascii="宋体" w:hAnsi="宋体"/>
          <w:sz w:val="72"/>
          <w:szCs w:val="72"/>
          <w:highlight w:val="none"/>
        </w:rPr>
        <w:t>比选</w:t>
      </w:r>
      <w:r>
        <w:rPr>
          <w:rFonts w:ascii="宋体" w:hAnsi="宋体"/>
          <w:sz w:val="72"/>
          <w:szCs w:val="72"/>
          <w:highlight w:val="none"/>
        </w:rPr>
        <w:t>文件</w:t>
      </w:r>
    </w:p>
    <w:p>
      <w:pPr>
        <w:spacing w:before="720"/>
        <w:ind w:left="1801" w:right="-57" w:hanging="180"/>
        <w:rPr>
          <w:rFonts w:ascii="宋体" w:hAnsi="宋体"/>
          <w:b/>
          <w:sz w:val="32"/>
          <w:szCs w:val="32"/>
          <w:highlight w:val="none"/>
        </w:rPr>
      </w:pPr>
    </w:p>
    <w:p>
      <w:pPr>
        <w:spacing w:before="0"/>
        <w:ind w:left="0" w:right="-57" w:firstLine="0"/>
        <w:rPr>
          <w:rFonts w:ascii="宋体" w:hAnsi="宋体"/>
          <w:highlight w:val="none"/>
        </w:rPr>
      </w:pPr>
    </w:p>
    <w:p>
      <w:pPr>
        <w:spacing w:before="0"/>
        <w:ind w:left="1801" w:right="-57" w:hanging="180"/>
        <w:rPr>
          <w:rFonts w:ascii="宋体" w:hAnsi="宋体"/>
          <w:b/>
          <w:sz w:val="32"/>
          <w:szCs w:val="32"/>
          <w:highlight w:val="none"/>
          <w:u w:val="single"/>
        </w:rPr>
      </w:pPr>
      <w:r>
        <w:rPr>
          <w:rFonts w:hint="eastAsia" w:ascii="宋体" w:hAnsi="宋体"/>
          <w:b/>
          <w:sz w:val="32"/>
          <w:szCs w:val="32"/>
          <w:highlight w:val="none"/>
        </w:rPr>
        <w:t>项目编号：202208250003</w:t>
      </w:r>
    </w:p>
    <w:p>
      <w:pPr>
        <w:spacing w:before="0"/>
        <w:ind w:left="1801" w:right="-57" w:hanging="180"/>
        <w:rPr>
          <w:rFonts w:hint="eastAsia" w:ascii="宋体" w:hAnsi="宋体" w:eastAsia="宋体"/>
          <w:b/>
          <w:sz w:val="32"/>
          <w:szCs w:val="32"/>
          <w:highlight w:val="none"/>
          <w:u w:val="single"/>
          <w:lang w:eastAsia="zh-CN"/>
        </w:rPr>
      </w:pPr>
      <w:r>
        <w:rPr>
          <w:rFonts w:ascii="宋体" w:hAnsi="宋体"/>
          <w:b/>
          <w:sz w:val="32"/>
          <w:szCs w:val="32"/>
          <w:highlight w:val="none"/>
        </w:rPr>
        <w:t>比选人：</w:t>
      </w:r>
      <w:r>
        <w:rPr>
          <w:rFonts w:hint="eastAsia" w:ascii="宋体" w:hAnsi="宋体"/>
          <w:b/>
          <w:sz w:val="32"/>
          <w:szCs w:val="32"/>
          <w:highlight w:val="none"/>
          <w:u w:val="single"/>
          <w:lang w:eastAsia="zh-CN"/>
        </w:rPr>
        <w:t>南宁轨道交通运营有限公司</w:t>
      </w:r>
    </w:p>
    <w:p>
      <w:pPr>
        <w:spacing w:before="0"/>
        <w:ind w:right="-57" w:firstLine="435"/>
        <w:jc w:val="center"/>
        <w:rPr>
          <w:rFonts w:ascii="宋体" w:hAnsi="宋体"/>
          <w:sz w:val="30"/>
          <w:szCs w:val="30"/>
          <w:highlight w:val="none"/>
        </w:rPr>
      </w:pPr>
    </w:p>
    <w:p>
      <w:pPr>
        <w:spacing w:before="0"/>
        <w:ind w:right="-57" w:firstLine="0"/>
        <w:jc w:val="center"/>
        <w:rPr>
          <w:rFonts w:ascii="宋体" w:hAnsi="宋体"/>
          <w:highlight w:val="none"/>
        </w:rPr>
      </w:pPr>
      <w:r>
        <w:rPr>
          <w:rFonts w:hint="eastAsia" w:ascii="宋体" w:hAnsi="宋体"/>
          <w:b/>
          <w:sz w:val="36"/>
          <w:szCs w:val="36"/>
          <w:highlight w:val="none"/>
          <w:lang w:val="en-US" w:eastAsia="zh-CN"/>
        </w:rPr>
        <w:t>2022</w:t>
      </w:r>
      <w:r>
        <w:rPr>
          <w:rFonts w:ascii="宋体" w:hAnsi="宋体"/>
          <w:b/>
          <w:sz w:val="36"/>
          <w:szCs w:val="36"/>
          <w:highlight w:val="none"/>
        </w:rPr>
        <w:t>年</w:t>
      </w:r>
      <w:r>
        <w:rPr>
          <w:rFonts w:hint="eastAsia" w:ascii="宋体" w:hAnsi="宋体"/>
          <w:b/>
          <w:sz w:val="36"/>
          <w:szCs w:val="36"/>
          <w:highlight w:val="none"/>
        </w:rPr>
        <w:t xml:space="preserve"> </w:t>
      </w:r>
      <w:r>
        <w:rPr>
          <w:rFonts w:hint="eastAsia" w:ascii="宋体" w:hAnsi="宋体"/>
          <w:b/>
          <w:sz w:val="36"/>
          <w:szCs w:val="36"/>
          <w:highlight w:val="none"/>
          <w:lang w:val="en-US" w:eastAsia="zh-CN"/>
        </w:rPr>
        <w:t>9</w:t>
      </w:r>
      <w:r>
        <w:rPr>
          <w:rFonts w:hint="eastAsia" w:ascii="宋体" w:hAnsi="宋体"/>
          <w:b/>
          <w:sz w:val="36"/>
          <w:szCs w:val="36"/>
          <w:highlight w:val="none"/>
        </w:rPr>
        <w:t xml:space="preserve"> </w:t>
      </w:r>
      <w:r>
        <w:rPr>
          <w:rFonts w:ascii="宋体" w:hAnsi="宋体"/>
          <w:b/>
          <w:sz w:val="36"/>
          <w:szCs w:val="36"/>
          <w:highlight w:val="none"/>
        </w:rPr>
        <w:t>月</w:t>
      </w:r>
    </w:p>
    <w:p>
      <w:pPr>
        <w:spacing w:before="0"/>
        <w:ind w:right="-57" w:firstLine="0"/>
        <w:jc w:val="center"/>
        <w:rPr>
          <w:rFonts w:ascii="宋体" w:hAnsi="宋体" w:cs="宋体"/>
          <w:b/>
          <w:sz w:val="36"/>
          <w:szCs w:val="36"/>
          <w:highlight w:val="none"/>
        </w:rPr>
        <w:sectPr>
          <w:headerReference r:id="rId5" w:type="default"/>
          <w:footerReference r:id="rId6" w:type="default"/>
          <w:pgSz w:w="11905" w:h="16838"/>
          <w:pgMar w:top="1417" w:right="1417" w:bottom="1417" w:left="1417" w:header="454" w:footer="567" w:gutter="0"/>
          <w:pgNumType w:fmt="decimal" w:start="1" w:chapStyle="1"/>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highlight w:val="none"/>
        </w:rPr>
      </w:pPr>
      <w:r>
        <w:rPr>
          <w:rFonts w:hint="eastAsia" w:ascii="宋体" w:hAnsi="宋体"/>
          <w:b/>
          <w:bCs/>
          <w:sz w:val="21"/>
          <w:highlight w:val="none"/>
          <w:lang w:val="en-US" w:eastAsia="zh-CN"/>
        </w:rPr>
        <w:t>目录</w:t>
      </w:r>
    </w:p>
    <w:p>
      <w:pPr>
        <w:pStyle w:val="21"/>
        <w:tabs>
          <w:tab w:val="right" w:leader="dot" w:pos="9071"/>
        </w:tabs>
        <w:rPr>
          <w:highlight w:val="none"/>
        </w:rPr>
      </w:pPr>
      <w:r>
        <w:rPr>
          <w:highlight w:val="none"/>
        </w:rPr>
        <w:fldChar w:fldCharType="begin"/>
      </w:r>
      <w:r>
        <w:rPr>
          <w:highlight w:val="none"/>
        </w:rPr>
        <w:instrText xml:space="preserve">TOC \o "1-2" \h \u </w:instrText>
      </w:r>
      <w:r>
        <w:rPr>
          <w:highlight w:val="none"/>
        </w:rPr>
        <w:fldChar w:fldCharType="separate"/>
      </w:r>
      <w:r>
        <w:rPr>
          <w:highlight w:val="none"/>
        </w:rPr>
        <w:fldChar w:fldCharType="begin"/>
      </w:r>
      <w:r>
        <w:rPr>
          <w:highlight w:val="none"/>
        </w:rPr>
        <w:instrText xml:space="preserve"> HYPERLINK \l _Toc8963 </w:instrText>
      </w:r>
      <w:r>
        <w:rPr>
          <w:highlight w:val="none"/>
        </w:rPr>
        <w:fldChar w:fldCharType="separate"/>
      </w:r>
      <w:r>
        <w:rPr>
          <w:rFonts w:hint="eastAsia" w:ascii="宋体" w:hAnsi="宋体" w:eastAsia="宋体"/>
          <w:highlight w:val="none"/>
        </w:rPr>
        <w:t>第一章比选公告</w:t>
      </w:r>
      <w:r>
        <w:rPr>
          <w:highlight w:val="none"/>
        </w:rPr>
        <w:tab/>
      </w:r>
      <w:r>
        <w:rPr>
          <w:highlight w:val="none"/>
        </w:rPr>
        <w:fldChar w:fldCharType="begin"/>
      </w:r>
      <w:r>
        <w:rPr>
          <w:highlight w:val="none"/>
        </w:rPr>
        <w:instrText xml:space="preserve"> PAGEREF _Toc8963 </w:instrText>
      </w:r>
      <w:r>
        <w:rPr>
          <w:highlight w:val="none"/>
        </w:rPr>
        <w:fldChar w:fldCharType="separate"/>
      </w:r>
      <w:r>
        <w:rPr>
          <w:highlight w:val="none"/>
        </w:rPr>
        <w:t>4</w:t>
      </w:r>
      <w:r>
        <w:rPr>
          <w:highlight w:val="none"/>
        </w:rPr>
        <w:fldChar w:fldCharType="end"/>
      </w:r>
      <w:r>
        <w:rPr>
          <w:highlight w:val="none"/>
        </w:rPr>
        <w:fldChar w:fldCharType="end"/>
      </w:r>
    </w:p>
    <w:p>
      <w:pPr>
        <w:pStyle w:val="21"/>
        <w:tabs>
          <w:tab w:val="right" w:leader="dot" w:pos="9071"/>
        </w:tabs>
        <w:rPr>
          <w:highlight w:val="none"/>
        </w:rPr>
      </w:pPr>
      <w:r>
        <w:rPr>
          <w:highlight w:val="none"/>
        </w:rPr>
        <w:fldChar w:fldCharType="begin"/>
      </w:r>
      <w:r>
        <w:rPr>
          <w:highlight w:val="none"/>
        </w:rPr>
        <w:instrText xml:space="preserve"> HYPERLINK \l _Toc39 </w:instrText>
      </w:r>
      <w:r>
        <w:rPr>
          <w:highlight w:val="none"/>
        </w:rPr>
        <w:fldChar w:fldCharType="separate"/>
      </w:r>
      <w:r>
        <w:rPr>
          <w:rFonts w:hint="eastAsia" w:ascii="宋体" w:hAnsi="宋体" w:eastAsia="宋体"/>
          <w:highlight w:val="none"/>
        </w:rPr>
        <w:t>第二章比选申请须知</w:t>
      </w:r>
      <w:r>
        <w:rPr>
          <w:highlight w:val="none"/>
        </w:rPr>
        <w:tab/>
      </w:r>
      <w:r>
        <w:rPr>
          <w:highlight w:val="none"/>
        </w:rPr>
        <w:fldChar w:fldCharType="begin"/>
      </w:r>
      <w:r>
        <w:rPr>
          <w:highlight w:val="none"/>
        </w:rPr>
        <w:instrText xml:space="preserve"> PAGEREF _Toc39 </w:instrText>
      </w:r>
      <w:r>
        <w:rPr>
          <w:highlight w:val="none"/>
        </w:rPr>
        <w:fldChar w:fldCharType="separate"/>
      </w:r>
      <w:r>
        <w:rPr>
          <w:highlight w:val="none"/>
        </w:rPr>
        <w:t>6</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_Toc18911 </w:instrText>
      </w:r>
      <w:r>
        <w:rPr>
          <w:highlight w:val="none"/>
        </w:rPr>
        <w:fldChar w:fldCharType="separate"/>
      </w:r>
      <w:r>
        <w:rPr>
          <w:rFonts w:hint="eastAsia" w:ascii="宋体" w:hAnsi="宋体" w:eastAsia="宋体"/>
          <w:bCs/>
          <w:szCs w:val="24"/>
          <w:highlight w:val="none"/>
        </w:rPr>
        <w:t>一、</w:t>
      </w:r>
      <w:r>
        <w:rPr>
          <w:rFonts w:ascii="宋体" w:hAnsi="宋体" w:eastAsia="宋体"/>
          <w:bCs/>
          <w:szCs w:val="24"/>
          <w:highlight w:val="none"/>
        </w:rPr>
        <w:t>说明</w:t>
      </w:r>
      <w:r>
        <w:rPr>
          <w:highlight w:val="none"/>
        </w:rPr>
        <w:tab/>
      </w:r>
      <w:r>
        <w:rPr>
          <w:highlight w:val="none"/>
        </w:rPr>
        <w:fldChar w:fldCharType="begin"/>
      </w:r>
      <w:r>
        <w:rPr>
          <w:highlight w:val="none"/>
        </w:rPr>
        <w:instrText xml:space="preserve"> PAGEREF _Toc18911 </w:instrText>
      </w:r>
      <w:r>
        <w:rPr>
          <w:highlight w:val="none"/>
        </w:rPr>
        <w:fldChar w:fldCharType="separate"/>
      </w:r>
      <w:r>
        <w:rPr>
          <w:highlight w:val="none"/>
        </w:rPr>
        <w:t>10</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_Toc6141 </w:instrText>
      </w:r>
      <w:r>
        <w:rPr>
          <w:highlight w:val="none"/>
        </w:rPr>
        <w:fldChar w:fldCharType="separate"/>
      </w:r>
      <w:r>
        <w:rPr>
          <w:rFonts w:hint="eastAsia" w:ascii="宋体" w:hAnsi="宋体" w:eastAsia="宋体"/>
          <w:bCs/>
          <w:szCs w:val="24"/>
          <w:highlight w:val="none"/>
        </w:rPr>
        <w:t>二、</w:t>
      </w:r>
      <w:r>
        <w:rPr>
          <w:rFonts w:ascii="宋体" w:hAnsi="宋体" w:eastAsia="宋体"/>
          <w:bCs/>
          <w:szCs w:val="24"/>
          <w:highlight w:val="none"/>
        </w:rPr>
        <w:t>比选文件</w:t>
      </w:r>
      <w:r>
        <w:rPr>
          <w:highlight w:val="none"/>
        </w:rPr>
        <w:tab/>
      </w:r>
      <w:r>
        <w:rPr>
          <w:highlight w:val="none"/>
        </w:rPr>
        <w:fldChar w:fldCharType="begin"/>
      </w:r>
      <w:r>
        <w:rPr>
          <w:highlight w:val="none"/>
        </w:rPr>
        <w:instrText xml:space="preserve"> PAGEREF _Toc6141 </w:instrText>
      </w:r>
      <w:r>
        <w:rPr>
          <w:highlight w:val="none"/>
        </w:rPr>
        <w:fldChar w:fldCharType="separate"/>
      </w:r>
      <w:r>
        <w:rPr>
          <w:highlight w:val="none"/>
        </w:rPr>
        <w:t>11</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_Toc32708 </w:instrText>
      </w:r>
      <w:r>
        <w:rPr>
          <w:highlight w:val="none"/>
        </w:rPr>
        <w:fldChar w:fldCharType="separate"/>
      </w:r>
      <w:r>
        <w:rPr>
          <w:rFonts w:hint="eastAsia" w:ascii="宋体" w:hAnsi="宋体" w:eastAsia="宋体"/>
          <w:bCs/>
          <w:szCs w:val="24"/>
          <w:highlight w:val="none"/>
        </w:rPr>
        <w:t>三、</w:t>
      </w:r>
      <w:r>
        <w:rPr>
          <w:rFonts w:ascii="宋体" w:hAnsi="宋体" w:eastAsia="宋体"/>
          <w:bCs/>
          <w:szCs w:val="24"/>
          <w:highlight w:val="none"/>
        </w:rPr>
        <w:t>比选申请文件的编制</w:t>
      </w:r>
      <w:r>
        <w:rPr>
          <w:highlight w:val="none"/>
        </w:rPr>
        <w:tab/>
      </w:r>
      <w:r>
        <w:rPr>
          <w:highlight w:val="none"/>
        </w:rPr>
        <w:fldChar w:fldCharType="begin"/>
      </w:r>
      <w:r>
        <w:rPr>
          <w:highlight w:val="none"/>
        </w:rPr>
        <w:instrText xml:space="preserve"> PAGEREF _Toc32708 </w:instrText>
      </w:r>
      <w:r>
        <w:rPr>
          <w:highlight w:val="none"/>
        </w:rPr>
        <w:fldChar w:fldCharType="separate"/>
      </w:r>
      <w:r>
        <w:rPr>
          <w:highlight w:val="none"/>
        </w:rPr>
        <w:t>12</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_Toc5685 </w:instrText>
      </w:r>
      <w:r>
        <w:rPr>
          <w:highlight w:val="none"/>
        </w:rPr>
        <w:fldChar w:fldCharType="separate"/>
      </w:r>
      <w:r>
        <w:rPr>
          <w:rFonts w:hint="eastAsia" w:ascii="宋体" w:hAnsi="宋体" w:eastAsia="宋体"/>
          <w:bCs/>
          <w:szCs w:val="24"/>
          <w:highlight w:val="none"/>
        </w:rPr>
        <w:t>四、</w:t>
      </w:r>
      <w:r>
        <w:rPr>
          <w:rFonts w:ascii="宋体" w:hAnsi="宋体" w:eastAsia="宋体"/>
          <w:bCs/>
          <w:szCs w:val="24"/>
          <w:highlight w:val="none"/>
        </w:rPr>
        <w:t>比选申请文件</w:t>
      </w:r>
      <w:r>
        <w:rPr>
          <w:rFonts w:hint="eastAsia" w:ascii="宋体" w:hAnsi="宋体" w:eastAsia="宋体"/>
          <w:bCs/>
          <w:szCs w:val="24"/>
          <w:highlight w:val="none"/>
        </w:rPr>
        <w:t>的密封和递交</w:t>
      </w:r>
      <w:r>
        <w:rPr>
          <w:highlight w:val="none"/>
        </w:rPr>
        <w:tab/>
      </w:r>
      <w:r>
        <w:rPr>
          <w:highlight w:val="none"/>
        </w:rPr>
        <w:fldChar w:fldCharType="begin"/>
      </w:r>
      <w:r>
        <w:rPr>
          <w:highlight w:val="none"/>
        </w:rPr>
        <w:instrText xml:space="preserve"> PAGEREF _Toc5685 </w:instrText>
      </w:r>
      <w:r>
        <w:rPr>
          <w:highlight w:val="none"/>
        </w:rPr>
        <w:fldChar w:fldCharType="separate"/>
      </w:r>
      <w:r>
        <w:rPr>
          <w:highlight w:val="none"/>
        </w:rPr>
        <w:t>14</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_Toc23809 </w:instrText>
      </w:r>
      <w:r>
        <w:rPr>
          <w:highlight w:val="none"/>
        </w:rPr>
        <w:fldChar w:fldCharType="separate"/>
      </w:r>
      <w:r>
        <w:rPr>
          <w:rFonts w:hint="eastAsia" w:ascii="宋体" w:hAnsi="宋体" w:eastAsia="宋体"/>
          <w:bCs/>
          <w:szCs w:val="24"/>
          <w:highlight w:val="none"/>
        </w:rPr>
        <w:t>五、比选申请文件递交与评审</w:t>
      </w:r>
      <w:r>
        <w:rPr>
          <w:highlight w:val="none"/>
        </w:rPr>
        <w:tab/>
      </w:r>
      <w:r>
        <w:rPr>
          <w:highlight w:val="none"/>
        </w:rPr>
        <w:fldChar w:fldCharType="begin"/>
      </w:r>
      <w:r>
        <w:rPr>
          <w:highlight w:val="none"/>
        </w:rPr>
        <w:instrText xml:space="preserve"> PAGEREF _Toc23809 </w:instrText>
      </w:r>
      <w:r>
        <w:rPr>
          <w:highlight w:val="none"/>
        </w:rPr>
        <w:fldChar w:fldCharType="separate"/>
      </w:r>
      <w:r>
        <w:rPr>
          <w:highlight w:val="none"/>
        </w:rPr>
        <w:t>15</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_Toc20469 </w:instrText>
      </w:r>
      <w:r>
        <w:rPr>
          <w:highlight w:val="none"/>
        </w:rPr>
        <w:fldChar w:fldCharType="separate"/>
      </w:r>
      <w:r>
        <w:rPr>
          <w:rFonts w:hint="eastAsia" w:ascii="宋体" w:hAnsi="宋体" w:eastAsia="宋体"/>
          <w:bCs/>
          <w:szCs w:val="24"/>
          <w:highlight w:val="none"/>
        </w:rPr>
        <w:t>六、</w:t>
      </w:r>
      <w:r>
        <w:rPr>
          <w:rFonts w:ascii="宋体" w:hAnsi="宋体" w:eastAsia="宋体"/>
          <w:bCs/>
          <w:szCs w:val="24"/>
          <w:highlight w:val="none"/>
        </w:rPr>
        <w:t>授予合同</w:t>
      </w:r>
      <w:r>
        <w:rPr>
          <w:highlight w:val="none"/>
        </w:rPr>
        <w:tab/>
      </w:r>
      <w:r>
        <w:rPr>
          <w:highlight w:val="none"/>
        </w:rPr>
        <w:fldChar w:fldCharType="begin"/>
      </w:r>
      <w:r>
        <w:rPr>
          <w:highlight w:val="none"/>
        </w:rPr>
        <w:instrText xml:space="preserve"> PAGEREF _Toc20469 </w:instrText>
      </w:r>
      <w:r>
        <w:rPr>
          <w:highlight w:val="none"/>
        </w:rPr>
        <w:fldChar w:fldCharType="separate"/>
      </w:r>
      <w:r>
        <w:rPr>
          <w:highlight w:val="none"/>
        </w:rPr>
        <w:t>18</w:t>
      </w:r>
      <w:r>
        <w:rPr>
          <w:highlight w:val="none"/>
        </w:rPr>
        <w:fldChar w:fldCharType="end"/>
      </w:r>
      <w:r>
        <w:rPr>
          <w:highlight w:val="none"/>
        </w:rPr>
        <w:fldChar w:fldCharType="end"/>
      </w:r>
    </w:p>
    <w:p>
      <w:pPr>
        <w:pStyle w:val="21"/>
        <w:tabs>
          <w:tab w:val="right" w:leader="dot" w:pos="9071"/>
        </w:tabs>
        <w:rPr>
          <w:highlight w:val="none"/>
        </w:rPr>
      </w:pPr>
      <w:r>
        <w:rPr>
          <w:highlight w:val="none"/>
        </w:rPr>
        <w:fldChar w:fldCharType="begin"/>
      </w:r>
      <w:r>
        <w:rPr>
          <w:highlight w:val="none"/>
        </w:rPr>
        <w:instrText xml:space="preserve"> HYPERLINK \l _Toc12291 </w:instrText>
      </w:r>
      <w:r>
        <w:rPr>
          <w:highlight w:val="none"/>
        </w:rPr>
        <w:fldChar w:fldCharType="separate"/>
      </w:r>
      <w:r>
        <w:rPr>
          <w:rFonts w:hint="eastAsia" w:hAnsi="宋体"/>
          <w:szCs w:val="44"/>
          <w:highlight w:val="none"/>
        </w:rPr>
        <w:t>第三章 合同条款及格式</w:t>
      </w:r>
      <w:r>
        <w:rPr>
          <w:highlight w:val="none"/>
        </w:rPr>
        <w:tab/>
      </w:r>
      <w:r>
        <w:rPr>
          <w:highlight w:val="none"/>
        </w:rPr>
        <w:fldChar w:fldCharType="begin"/>
      </w:r>
      <w:r>
        <w:rPr>
          <w:highlight w:val="none"/>
        </w:rPr>
        <w:instrText xml:space="preserve"> PAGEREF _Toc12291 </w:instrText>
      </w:r>
      <w:r>
        <w:rPr>
          <w:highlight w:val="none"/>
        </w:rPr>
        <w:fldChar w:fldCharType="separate"/>
      </w:r>
      <w:r>
        <w:rPr>
          <w:highlight w:val="none"/>
        </w:rPr>
        <w:t>21</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_Toc27806 </w:instrText>
      </w:r>
      <w:r>
        <w:rPr>
          <w:highlight w:val="none"/>
        </w:rPr>
        <w:fldChar w:fldCharType="separate"/>
      </w:r>
      <w:r>
        <w:rPr>
          <w:rFonts w:hint="eastAsia" w:ascii="宋体" w:hAnsi="宋体"/>
          <w:szCs w:val="24"/>
          <w:highlight w:val="none"/>
          <w:lang w:val="en-US" w:eastAsia="zh-CN"/>
        </w:rPr>
        <w:t xml:space="preserve">第一部分 </w:t>
      </w:r>
      <w:r>
        <w:rPr>
          <w:rFonts w:hint="eastAsia" w:ascii="宋体" w:hAnsi="宋体"/>
          <w:szCs w:val="24"/>
          <w:highlight w:val="none"/>
        </w:rPr>
        <w:t>合同协议书</w:t>
      </w:r>
      <w:r>
        <w:rPr>
          <w:highlight w:val="none"/>
        </w:rPr>
        <w:tab/>
      </w:r>
      <w:r>
        <w:rPr>
          <w:highlight w:val="none"/>
        </w:rPr>
        <w:fldChar w:fldCharType="begin"/>
      </w:r>
      <w:r>
        <w:rPr>
          <w:highlight w:val="none"/>
        </w:rPr>
        <w:instrText xml:space="preserve"> PAGEREF _Toc27806 </w:instrText>
      </w:r>
      <w:r>
        <w:rPr>
          <w:highlight w:val="none"/>
        </w:rPr>
        <w:fldChar w:fldCharType="separate"/>
      </w:r>
      <w:r>
        <w:rPr>
          <w:highlight w:val="none"/>
        </w:rPr>
        <w:t>24</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_Toc1594 </w:instrText>
      </w:r>
      <w:r>
        <w:rPr>
          <w:highlight w:val="none"/>
        </w:rPr>
        <w:fldChar w:fldCharType="separate"/>
      </w:r>
      <w:r>
        <w:rPr>
          <w:rFonts w:ascii="Times New Roman" w:hAnsi="Times New Roman" w:eastAsia="宋体"/>
          <w:highlight w:val="none"/>
        </w:rPr>
        <w:t>第二部分</w:t>
      </w:r>
      <w:r>
        <w:rPr>
          <w:rFonts w:hint="eastAsia" w:ascii="Times New Roman" w:hAnsi="Times New Roman" w:eastAsia="宋体"/>
          <w:highlight w:val="none"/>
        </w:rPr>
        <w:t xml:space="preserve"> 中选通知书</w:t>
      </w:r>
      <w:r>
        <w:rPr>
          <w:highlight w:val="none"/>
        </w:rPr>
        <w:tab/>
      </w:r>
      <w:r>
        <w:rPr>
          <w:highlight w:val="none"/>
        </w:rPr>
        <w:fldChar w:fldCharType="begin"/>
      </w:r>
      <w:r>
        <w:rPr>
          <w:highlight w:val="none"/>
        </w:rPr>
        <w:instrText xml:space="preserve"> PAGEREF _Toc1594 </w:instrText>
      </w:r>
      <w:r>
        <w:rPr>
          <w:highlight w:val="none"/>
        </w:rPr>
        <w:fldChar w:fldCharType="separate"/>
      </w:r>
      <w:r>
        <w:rPr>
          <w:highlight w:val="none"/>
        </w:rPr>
        <w:t>27</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_Toc17919 </w:instrText>
      </w:r>
      <w:r>
        <w:rPr>
          <w:highlight w:val="none"/>
        </w:rPr>
        <w:fldChar w:fldCharType="separate"/>
      </w:r>
      <w:r>
        <w:rPr>
          <w:rFonts w:ascii="Times New Roman" w:hAnsi="Times New Roman" w:eastAsia="宋体"/>
          <w:highlight w:val="none"/>
        </w:rPr>
        <w:t>第</w:t>
      </w:r>
      <w:r>
        <w:rPr>
          <w:rFonts w:hint="eastAsia" w:ascii="Times New Roman" w:hAnsi="Times New Roman" w:eastAsia="宋体"/>
          <w:highlight w:val="none"/>
        </w:rPr>
        <w:t>三</w:t>
      </w:r>
      <w:r>
        <w:rPr>
          <w:rFonts w:ascii="Times New Roman" w:hAnsi="Times New Roman" w:eastAsia="宋体"/>
          <w:highlight w:val="none"/>
        </w:rPr>
        <w:t>部分</w:t>
      </w:r>
      <w:r>
        <w:rPr>
          <w:rFonts w:hint="eastAsia" w:ascii="Times New Roman" w:hAnsi="Times New Roman" w:eastAsia="宋体"/>
          <w:highlight w:val="none"/>
        </w:rPr>
        <w:t xml:space="preserve"> 价格组成文件</w:t>
      </w:r>
      <w:r>
        <w:rPr>
          <w:highlight w:val="none"/>
        </w:rPr>
        <w:tab/>
      </w:r>
      <w:r>
        <w:rPr>
          <w:highlight w:val="none"/>
        </w:rPr>
        <w:fldChar w:fldCharType="begin"/>
      </w:r>
      <w:r>
        <w:rPr>
          <w:highlight w:val="none"/>
        </w:rPr>
        <w:instrText xml:space="preserve"> PAGEREF _Toc17919 </w:instrText>
      </w:r>
      <w:r>
        <w:rPr>
          <w:highlight w:val="none"/>
        </w:rPr>
        <w:fldChar w:fldCharType="separate"/>
      </w:r>
      <w:r>
        <w:rPr>
          <w:highlight w:val="none"/>
        </w:rPr>
        <w:t>28</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_Toc5286 </w:instrText>
      </w:r>
      <w:r>
        <w:rPr>
          <w:highlight w:val="none"/>
        </w:rPr>
        <w:fldChar w:fldCharType="separate"/>
      </w:r>
      <w:r>
        <w:rPr>
          <w:rFonts w:hint="eastAsia" w:ascii="宋体" w:hAnsi="宋体"/>
          <w:szCs w:val="24"/>
          <w:highlight w:val="none"/>
        </w:rPr>
        <w:t>第四部分 合同条款</w:t>
      </w:r>
      <w:r>
        <w:rPr>
          <w:highlight w:val="none"/>
        </w:rPr>
        <w:tab/>
      </w:r>
      <w:r>
        <w:rPr>
          <w:highlight w:val="none"/>
        </w:rPr>
        <w:fldChar w:fldCharType="begin"/>
      </w:r>
      <w:r>
        <w:rPr>
          <w:highlight w:val="none"/>
        </w:rPr>
        <w:instrText xml:space="preserve"> PAGEREF _Toc5286 </w:instrText>
      </w:r>
      <w:r>
        <w:rPr>
          <w:highlight w:val="none"/>
        </w:rPr>
        <w:fldChar w:fldCharType="separate"/>
      </w:r>
      <w:r>
        <w:rPr>
          <w:highlight w:val="none"/>
        </w:rPr>
        <w:t>29</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_Toc8833 </w:instrText>
      </w:r>
      <w:r>
        <w:rPr>
          <w:highlight w:val="none"/>
        </w:rPr>
        <w:fldChar w:fldCharType="separate"/>
      </w:r>
      <w:r>
        <w:rPr>
          <w:rFonts w:ascii="Times New Roman" w:hAnsi="Times New Roman" w:eastAsia="宋体"/>
          <w:highlight w:val="none"/>
        </w:rPr>
        <w:t>第</w:t>
      </w:r>
      <w:r>
        <w:rPr>
          <w:rFonts w:hint="eastAsia" w:ascii="Times New Roman" w:hAnsi="Times New Roman" w:eastAsia="宋体"/>
          <w:highlight w:val="none"/>
        </w:rPr>
        <w:t>五</w:t>
      </w:r>
      <w:r>
        <w:rPr>
          <w:rFonts w:ascii="Times New Roman" w:hAnsi="Times New Roman" w:eastAsia="宋体"/>
          <w:highlight w:val="none"/>
        </w:rPr>
        <w:t>部分</w:t>
      </w:r>
      <w:r>
        <w:rPr>
          <w:rFonts w:hint="eastAsia" w:ascii="Times New Roman" w:hAnsi="Times New Roman" w:eastAsia="宋体"/>
          <w:highlight w:val="none"/>
        </w:rPr>
        <w:t xml:space="preserve"> 技术规格书</w:t>
      </w:r>
      <w:r>
        <w:rPr>
          <w:highlight w:val="none"/>
        </w:rPr>
        <w:tab/>
      </w:r>
      <w:r>
        <w:rPr>
          <w:highlight w:val="none"/>
        </w:rPr>
        <w:fldChar w:fldCharType="begin"/>
      </w:r>
      <w:r>
        <w:rPr>
          <w:highlight w:val="none"/>
        </w:rPr>
        <w:instrText xml:space="preserve"> PAGEREF _Toc8833 </w:instrText>
      </w:r>
      <w:r>
        <w:rPr>
          <w:highlight w:val="none"/>
        </w:rPr>
        <w:fldChar w:fldCharType="separate"/>
      </w:r>
      <w:r>
        <w:rPr>
          <w:highlight w:val="none"/>
        </w:rPr>
        <w:t>49</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_Toc24684 </w:instrText>
      </w:r>
      <w:r>
        <w:rPr>
          <w:highlight w:val="none"/>
        </w:rPr>
        <w:fldChar w:fldCharType="separate"/>
      </w:r>
      <w:r>
        <w:rPr>
          <w:rFonts w:hint="eastAsia" w:ascii="Times New Roman" w:hAnsi="Times New Roman" w:eastAsia="宋体"/>
          <w:highlight w:val="none"/>
          <w:lang w:val="en-US" w:eastAsia="zh-CN"/>
        </w:rPr>
        <w:t xml:space="preserve">第六部分 </w:t>
      </w:r>
      <w:r>
        <w:rPr>
          <w:rFonts w:hint="default" w:ascii="Times New Roman" w:hAnsi="Times New Roman" w:eastAsia="宋体"/>
          <w:highlight w:val="none"/>
        </w:rPr>
        <w:t>合同附件及格式</w:t>
      </w:r>
      <w:r>
        <w:rPr>
          <w:highlight w:val="none"/>
        </w:rPr>
        <w:tab/>
      </w:r>
      <w:r>
        <w:rPr>
          <w:highlight w:val="none"/>
        </w:rPr>
        <w:fldChar w:fldCharType="begin"/>
      </w:r>
      <w:r>
        <w:rPr>
          <w:highlight w:val="none"/>
        </w:rPr>
        <w:instrText xml:space="preserve"> PAGEREF _Toc24684 </w:instrText>
      </w:r>
      <w:r>
        <w:rPr>
          <w:highlight w:val="none"/>
        </w:rPr>
        <w:fldChar w:fldCharType="separate"/>
      </w:r>
      <w:r>
        <w:rPr>
          <w:highlight w:val="none"/>
        </w:rPr>
        <w:t>50</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_Toc12640 </w:instrText>
      </w:r>
      <w:r>
        <w:rPr>
          <w:highlight w:val="none"/>
        </w:rPr>
        <w:fldChar w:fldCharType="separate"/>
      </w:r>
      <w:r>
        <w:rPr>
          <w:rFonts w:ascii="Times New Roman" w:hAnsi="Times New Roman" w:eastAsia="宋体"/>
          <w:highlight w:val="none"/>
        </w:rPr>
        <w:t>第</w:t>
      </w:r>
      <w:r>
        <w:rPr>
          <w:rFonts w:hint="eastAsia" w:ascii="Times New Roman" w:hAnsi="Times New Roman" w:eastAsia="宋体"/>
          <w:highlight w:val="none"/>
        </w:rPr>
        <w:t>七</w:t>
      </w:r>
      <w:r>
        <w:rPr>
          <w:rFonts w:ascii="Times New Roman" w:hAnsi="Times New Roman" w:eastAsia="宋体"/>
          <w:highlight w:val="none"/>
        </w:rPr>
        <w:t>部分</w:t>
      </w:r>
      <w:r>
        <w:rPr>
          <w:rFonts w:hint="eastAsia" w:ascii="Times New Roman" w:hAnsi="Times New Roman" w:eastAsia="宋体"/>
          <w:highlight w:val="none"/>
        </w:rPr>
        <w:t xml:space="preserve"> 比选文件</w:t>
      </w:r>
      <w:r>
        <w:rPr>
          <w:highlight w:val="none"/>
        </w:rPr>
        <w:tab/>
      </w:r>
      <w:r>
        <w:rPr>
          <w:highlight w:val="none"/>
        </w:rPr>
        <w:fldChar w:fldCharType="begin"/>
      </w:r>
      <w:r>
        <w:rPr>
          <w:highlight w:val="none"/>
        </w:rPr>
        <w:instrText xml:space="preserve"> PAGEREF _Toc12640 </w:instrText>
      </w:r>
      <w:r>
        <w:rPr>
          <w:highlight w:val="none"/>
        </w:rPr>
        <w:fldChar w:fldCharType="separate"/>
      </w:r>
      <w:r>
        <w:rPr>
          <w:highlight w:val="none"/>
        </w:rPr>
        <w:t>56</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_Toc6873 </w:instrText>
      </w:r>
      <w:r>
        <w:rPr>
          <w:highlight w:val="none"/>
        </w:rPr>
        <w:fldChar w:fldCharType="separate"/>
      </w:r>
      <w:r>
        <w:rPr>
          <w:rFonts w:ascii="Times New Roman" w:hAnsi="Times New Roman" w:eastAsia="宋体"/>
          <w:highlight w:val="none"/>
        </w:rPr>
        <w:t>第</w:t>
      </w:r>
      <w:r>
        <w:rPr>
          <w:rFonts w:hint="eastAsia" w:ascii="Times New Roman" w:hAnsi="Times New Roman" w:eastAsia="宋体"/>
          <w:highlight w:val="none"/>
        </w:rPr>
        <w:t>八</w:t>
      </w:r>
      <w:r>
        <w:rPr>
          <w:rFonts w:ascii="Times New Roman" w:hAnsi="Times New Roman" w:eastAsia="宋体"/>
          <w:highlight w:val="none"/>
        </w:rPr>
        <w:t>部分</w:t>
      </w:r>
      <w:r>
        <w:rPr>
          <w:rFonts w:hint="eastAsia" w:ascii="Times New Roman" w:hAnsi="Times New Roman" w:eastAsia="宋体"/>
          <w:highlight w:val="none"/>
        </w:rPr>
        <w:t xml:space="preserve"> 比选申请文件</w:t>
      </w:r>
      <w:r>
        <w:rPr>
          <w:highlight w:val="none"/>
        </w:rPr>
        <w:tab/>
      </w:r>
      <w:r>
        <w:rPr>
          <w:highlight w:val="none"/>
        </w:rPr>
        <w:fldChar w:fldCharType="begin"/>
      </w:r>
      <w:r>
        <w:rPr>
          <w:highlight w:val="none"/>
        </w:rPr>
        <w:instrText xml:space="preserve"> PAGEREF _Toc6873 </w:instrText>
      </w:r>
      <w:r>
        <w:rPr>
          <w:highlight w:val="none"/>
        </w:rPr>
        <w:fldChar w:fldCharType="separate"/>
      </w:r>
      <w:r>
        <w:rPr>
          <w:highlight w:val="none"/>
        </w:rPr>
        <w:t>57</w:t>
      </w:r>
      <w:r>
        <w:rPr>
          <w:highlight w:val="none"/>
        </w:rPr>
        <w:fldChar w:fldCharType="end"/>
      </w:r>
      <w:r>
        <w:rPr>
          <w:highlight w:val="none"/>
        </w:rPr>
        <w:fldChar w:fldCharType="end"/>
      </w:r>
    </w:p>
    <w:p>
      <w:pPr>
        <w:pStyle w:val="21"/>
        <w:tabs>
          <w:tab w:val="right" w:leader="dot" w:pos="9071"/>
        </w:tabs>
        <w:rPr>
          <w:highlight w:val="none"/>
        </w:rPr>
      </w:pPr>
      <w:r>
        <w:rPr>
          <w:highlight w:val="none"/>
        </w:rPr>
        <w:fldChar w:fldCharType="begin"/>
      </w:r>
      <w:r>
        <w:rPr>
          <w:highlight w:val="none"/>
        </w:rPr>
        <w:instrText xml:space="preserve"> HYPERLINK \l _Toc5157 </w:instrText>
      </w:r>
      <w:r>
        <w:rPr>
          <w:highlight w:val="none"/>
        </w:rPr>
        <w:fldChar w:fldCharType="separate"/>
      </w:r>
      <w:r>
        <w:rPr>
          <w:rFonts w:hint="eastAsia" w:ascii="宋体" w:hAnsi="宋体" w:eastAsia="宋体"/>
          <w:highlight w:val="none"/>
        </w:rPr>
        <w:t>第四章比选申请文件格式</w:t>
      </w:r>
      <w:r>
        <w:rPr>
          <w:highlight w:val="none"/>
        </w:rPr>
        <w:tab/>
      </w:r>
      <w:r>
        <w:rPr>
          <w:highlight w:val="none"/>
        </w:rPr>
        <w:fldChar w:fldCharType="begin"/>
      </w:r>
      <w:r>
        <w:rPr>
          <w:highlight w:val="none"/>
        </w:rPr>
        <w:instrText xml:space="preserve"> PAGEREF _Toc5157 </w:instrText>
      </w:r>
      <w:r>
        <w:rPr>
          <w:highlight w:val="none"/>
        </w:rPr>
        <w:fldChar w:fldCharType="separate"/>
      </w:r>
      <w:r>
        <w:rPr>
          <w:highlight w:val="none"/>
        </w:rPr>
        <w:t>58</w:t>
      </w:r>
      <w:r>
        <w:rPr>
          <w:highlight w:val="none"/>
        </w:rPr>
        <w:fldChar w:fldCharType="end"/>
      </w:r>
      <w:r>
        <w:rPr>
          <w:highlight w:val="none"/>
        </w:rPr>
        <w:fldChar w:fldCharType="end"/>
      </w:r>
    </w:p>
    <w:p>
      <w:pPr>
        <w:pStyle w:val="21"/>
        <w:tabs>
          <w:tab w:val="right" w:leader="dot" w:pos="9071"/>
        </w:tabs>
        <w:ind w:leftChars="200"/>
        <w:rPr>
          <w:highlight w:val="none"/>
        </w:rPr>
      </w:pPr>
      <w:r>
        <w:rPr>
          <w:highlight w:val="none"/>
        </w:rPr>
        <w:fldChar w:fldCharType="begin"/>
      </w:r>
      <w:r>
        <w:rPr>
          <w:highlight w:val="none"/>
        </w:rPr>
        <w:instrText xml:space="preserve"> HYPERLINK \l _Toc26380 </w:instrText>
      </w:r>
      <w:r>
        <w:rPr>
          <w:highlight w:val="none"/>
        </w:rPr>
        <w:fldChar w:fldCharType="separate"/>
      </w:r>
      <w:r>
        <w:rPr>
          <w:szCs w:val="24"/>
          <w:highlight w:val="none"/>
        </w:rPr>
        <w:t>A  资格审查</w:t>
      </w:r>
      <w:r>
        <w:rPr>
          <w:rFonts w:hint="eastAsia"/>
          <w:szCs w:val="24"/>
          <w:highlight w:val="none"/>
        </w:rPr>
        <w:t>文件</w:t>
      </w:r>
      <w:r>
        <w:rPr>
          <w:highlight w:val="none"/>
        </w:rPr>
        <w:tab/>
      </w:r>
      <w:r>
        <w:rPr>
          <w:highlight w:val="none"/>
        </w:rPr>
        <w:fldChar w:fldCharType="begin"/>
      </w:r>
      <w:r>
        <w:rPr>
          <w:highlight w:val="none"/>
        </w:rPr>
        <w:instrText xml:space="preserve"> PAGEREF _Toc26380 </w:instrText>
      </w:r>
      <w:r>
        <w:rPr>
          <w:highlight w:val="none"/>
        </w:rPr>
        <w:fldChar w:fldCharType="separate"/>
      </w:r>
      <w:r>
        <w:rPr>
          <w:highlight w:val="none"/>
        </w:rPr>
        <w:t>58</w:t>
      </w:r>
      <w:r>
        <w:rPr>
          <w:highlight w:val="none"/>
        </w:rPr>
        <w:fldChar w:fldCharType="end"/>
      </w:r>
      <w:r>
        <w:rPr>
          <w:highlight w:val="none"/>
        </w:rPr>
        <w:fldChar w:fldCharType="end"/>
      </w:r>
    </w:p>
    <w:p>
      <w:pPr>
        <w:pStyle w:val="21"/>
        <w:tabs>
          <w:tab w:val="right" w:leader="dot" w:pos="9071"/>
        </w:tabs>
        <w:ind w:leftChars="200"/>
        <w:rPr>
          <w:highlight w:val="none"/>
        </w:rPr>
      </w:pPr>
      <w:r>
        <w:rPr>
          <w:highlight w:val="none"/>
        </w:rPr>
        <w:fldChar w:fldCharType="begin"/>
      </w:r>
      <w:r>
        <w:rPr>
          <w:highlight w:val="none"/>
        </w:rPr>
        <w:instrText xml:space="preserve"> HYPERLINK \l _Toc17247 </w:instrText>
      </w:r>
      <w:r>
        <w:rPr>
          <w:highlight w:val="none"/>
        </w:rPr>
        <w:fldChar w:fldCharType="separate"/>
      </w:r>
      <w:r>
        <w:rPr>
          <w:rFonts w:ascii="宋体" w:hAnsi="宋体"/>
          <w:szCs w:val="24"/>
          <w:highlight w:val="none"/>
        </w:rPr>
        <w:t xml:space="preserve">B </w:t>
      </w:r>
      <w:r>
        <w:rPr>
          <w:rFonts w:hint="eastAsia" w:ascii="宋体" w:hAnsi="宋体"/>
          <w:szCs w:val="24"/>
          <w:highlight w:val="none"/>
        </w:rPr>
        <w:t>价格文件</w:t>
      </w:r>
      <w:r>
        <w:rPr>
          <w:highlight w:val="none"/>
        </w:rPr>
        <w:tab/>
      </w:r>
      <w:r>
        <w:rPr>
          <w:highlight w:val="none"/>
        </w:rPr>
        <w:fldChar w:fldCharType="begin"/>
      </w:r>
      <w:r>
        <w:rPr>
          <w:highlight w:val="none"/>
        </w:rPr>
        <w:instrText xml:space="preserve"> PAGEREF _Toc17247 </w:instrText>
      </w:r>
      <w:r>
        <w:rPr>
          <w:highlight w:val="none"/>
        </w:rPr>
        <w:fldChar w:fldCharType="separate"/>
      </w:r>
      <w:r>
        <w:rPr>
          <w:highlight w:val="none"/>
        </w:rPr>
        <w:t>64</w:t>
      </w:r>
      <w:r>
        <w:rPr>
          <w:highlight w:val="none"/>
        </w:rPr>
        <w:fldChar w:fldCharType="end"/>
      </w:r>
      <w:r>
        <w:rPr>
          <w:highlight w:val="none"/>
        </w:rPr>
        <w:fldChar w:fldCharType="end"/>
      </w:r>
    </w:p>
    <w:p>
      <w:pPr>
        <w:pStyle w:val="21"/>
        <w:tabs>
          <w:tab w:val="right" w:leader="dot" w:pos="9071"/>
        </w:tabs>
        <w:ind w:leftChars="200"/>
        <w:rPr>
          <w:highlight w:val="none"/>
        </w:rPr>
      </w:pPr>
      <w:r>
        <w:rPr>
          <w:highlight w:val="none"/>
        </w:rPr>
        <w:fldChar w:fldCharType="begin"/>
      </w:r>
      <w:r>
        <w:rPr>
          <w:highlight w:val="none"/>
        </w:rPr>
        <w:instrText xml:space="preserve"> HYPERLINK \l _Toc27266 </w:instrText>
      </w:r>
      <w:r>
        <w:rPr>
          <w:highlight w:val="none"/>
        </w:rPr>
        <w:fldChar w:fldCharType="separate"/>
      </w:r>
      <w:r>
        <w:rPr>
          <w:rFonts w:hint="default" w:ascii="宋体" w:hAnsi="宋体"/>
          <w:szCs w:val="24"/>
          <w:highlight w:val="none"/>
        </w:rPr>
        <w:t>C</w:t>
      </w:r>
      <w:r>
        <w:rPr>
          <w:rFonts w:ascii="宋体" w:hAnsi="宋体"/>
          <w:szCs w:val="24"/>
          <w:highlight w:val="none"/>
        </w:rPr>
        <w:t>技术</w:t>
      </w:r>
      <w:r>
        <w:rPr>
          <w:rFonts w:hint="default" w:ascii="宋体" w:hAnsi="宋体"/>
          <w:szCs w:val="24"/>
          <w:highlight w:val="none"/>
        </w:rPr>
        <w:t>文件</w:t>
      </w:r>
      <w:r>
        <w:rPr>
          <w:highlight w:val="none"/>
        </w:rPr>
        <w:tab/>
      </w:r>
      <w:r>
        <w:rPr>
          <w:highlight w:val="none"/>
        </w:rPr>
        <w:fldChar w:fldCharType="begin"/>
      </w:r>
      <w:r>
        <w:rPr>
          <w:highlight w:val="none"/>
        </w:rPr>
        <w:instrText xml:space="preserve"> PAGEREF _Toc27266 </w:instrText>
      </w:r>
      <w:r>
        <w:rPr>
          <w:highlight w:val="none"/>
        </w:rPr>
        <w:fldChar w:fldCharType="separate"/>
      </w:r>
      <w:r>
        <w:rPr>
          <w:highlight w:val="none"/>
        </w:rPr>
        <w:t>71</w:t>
      </w:r>
      <w:r>
        <w:rPr>
          <w:highlight w:val="none"/>
        </w:rPr>
        <w:fldChar w:fldCharType="end"/>
      </w:r>
      <w:r>
        <w:rPr>
          <w:highlight w:val="none"/>
        </w:rPr>
        <w:fldChar w:fldCharType="end"/>
      </w:r>
    </w:p>
    <w:p>
      <w:pPr>
        <w:pStyle w:val="21"/>
        <w:tabs>
          <w:tab w:val="right" w:leader="dot" w:pos="9071"/>
        </w:tabs>
        <w:rPr>
          <w:highlight w:val="none"/>
        </w:rPr>
      </w:pPr>
      <w:r>
        <w:rPr>
          <w:highlight w:val="none"/>
        </w:rPr>
        <w:fldChar w:fldCharType="begin"/>
      </w:r>
      <w:r>
        <w:rPr>
          <w:highlight w:val="none"/>
        </w:rPr>
        <w:instrText xml:space="preserve"> HYPERLINK \l _Toc25721 </w:instrText>
      </w:r>
      <w:r>
        <w:rPr>
          <w:highlight w:val="none"/>
        </w:rPr>
        <w:fldChar w:fldCharType="separate"/>
      </w:r>
      <w:r>
        <w:rPr>
          <w:rFonts w:hint="eastAsia" w:ascii="宋体" w:hAnsi="宋体" w:eastAsia="宋体"/>
          <w:highlight w:val="none"/>
        </w:rPr>
        <w:t>第</w:t>
      </w:r>
      <w:r>
        <w:rPr>
          <w:rFonts w:hint="eastAsia" w:ascii="宋体" w:hAnsi="宋体" w:eastAsia="宋体"/>
          <w:highlight w:val="none"/>
          <w:lang w:val="en-US" w:eastAsia="zh-CN"/>
        </w:rPr>
        <w:t>五</w:t>
      </w:r>
      <w:r>
        <w:rPr>
          <w:rFonts w:hint="eastAsia" w:ascii="宋体" w:hAnsi="宋体" w:eastAsia="宋体"/>
          <w:highlight w:val="none"/>
        </w:rPr>
        <w:t>章</w:t>
      </w:r>
      <w:r>
        <w:rPr>
          <w:rFonts w:hint="eastAsia" w:ascii="宋体" w:hAnsi="宋体" w:eastAsia="宋体"/>
          <w:highlight w:val="none"/>
          <w:lang w:val="en-US" w:eastAsia="zh-CN"/>
        </w:rPr>
        <w:t xml:space="preserve"> 用户需求书</w:t>
      </w:r>
      <w:r>
        <w:rPr>
          <w:highlight w:val="none"/>
        </w:rPr>
        <w:tab/>
      </w:r>
      <w:r>
        <w:rPr>
          <w:highlight w:val="none"/>
        </w:rPr>
        <w:fldChar w:fldCharType="begin"/>
      </w:r>
      <w:r>
        <w:rPr>
          <w:highlight w:val="none"/>
        </w:rPr>
        <w:instrText xml:space="preserve"> PAGEREF _Toc25721 </w:instrText>
      </w:r>
      <w:r>
        <w:rPr>
          <w:highlight w:val="none"/>
        </w:rPr>
        <w:fldChar w:fldCharType="separate"/>
      </w:r>
      <w:r>
        <w:rPr>
          <w:highlight w:val="none"/>
        </w:rPr>
        <w:t>77</w:t>
      </w:r>
      <w:r>
        <w:rPr>
          <w:highlight w:val="none"/>
        </w:rPr>
        <w:fldChar w:fldCharType="end"/>
      </w:r>
      <w:r>
        <w:rPr>
          <w:highlight w:val="none"/>
        </w:rPr>
        <w:fldChar w:fldCharType="end"/>
      </w:r>
    </w:p>
    <w:p>
      <w:pPr>
        <w:pStyle w:val="21"/>
        <w:tabs>
          <w:tab w:val="right" w:leader="dot" w:pos="9071"/>
        </w:tabs>
        <w:rPr>
          <w:highlight w:val="none"/>
        </w:rPr>
      </w:pPr>
      <w:r>
        <w:rPr>
          <w:highlight w:val="none"/>
        </w:rPr>
        <w:fldChar w:fldCharType="begin"/>
      </w:r>
      <w:r>
        <w:rPr>
          <w:highlight w:val="none"/>
        </w:rPr>
        <w:instrText xml:space="preserve"> HYPERLINK \l _Toc7775 </w:instrText>
      </w:r>
      <w:r>
        <w:rPr>
          <w:highlight w:val="none"/>
        </w:rPr>
        <w:fldChar w:fldCharType="separate"/>
      </w:r>
      <w:r>
        <w:rPr>
          <w:rFonts w:hint="eastAsia" w:ascii="宋体" w:hAnsi="宋体" w:eastAsia="宋体"/>
          <w:highlight w:val="none"/>
        </w:rPr>
        <w:t>第六章评分办法</w:t>
      </w:r>
      <w:r>
        <w:rPr>
          <w:highlight w:val="none"/>
        </w:rPr>
        <w:tab/>
      </w:r>
      <w:r>
        <w:rPr>
          <w:highlight w:val="none"/>
        </w:rPr>
        <w:fldChar w:fldCharType="begin"/>
      </w:r>
      <w:r>
        <w:rPr>
          <w:highlight w:val="none"/>
        </w:rPr>
        <w:instrText xml:space="preserve"> PAGEREF _Toc7775 </w:instrText>
      </w:r>
      <w:r>
        <w:rPr>
          <w:highlight w:val="none"/>
        </w:rPr>
        <w:fldChar w:fldCharType="separate"/>
      </w:r>
      <w:r>
        <w:rPr>
          <w:highlight w:val="none"/>
        </w:rPr>
        <w:t>122</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_Toc31846 </w:instrText>
      </w:r>
      <w:r>
        <w:rPr>
          <w:highlight w:val="none"/>
        </w:rPr>
        <w:fldChar w:fldCharType="separate"/>
      </w:r>
      <w:r>
        <w:rPr>
          <w:rFonts w:hint="eastAsia" w:ascii="宋体" w:hAnsi="宋体" w:cs="Arial"/>
          <w:bCs/>
          <w:szCs w:val="28"/>
          <w:highlight w:val="none"/>
        </w:rPr>
        <w:t>一、评审原则</w:t>
      </w:r>
      <w:r>
        <w:rPr>
          <w:highlight w:val="none"/>
        </w:rPr>
        <w:tab/>
      </w:r>
      <w:r>
        <w:rPr>
          <w:highlight w:val="none"/>
        </w:rPr>
        <w:fldChar w:fldCharType="begin"/>
      </w:r>
      <w:r>
        <w:rPr>
          <w:highlight w:val="none"/>
        </w:rPr>
        <w:instrText xml:space="preserve"> PAGEREF _Toc31846 </w:instrText>
      </w:r>
      <w:r>
        <w:rPr>
          <w:highlight w:val="none"/>
        </w:rPr>
        <w:fldChar w:fldCharType="separate"/>
      </w:r>
      <w:r>
        <w:rPr>
          <w:highlight w:val="none"/>
        </w:rPr>
        <w:t>122</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_Toc11031 </w:instrText>
      </w:r>
      <w:r>
        <w:rPr>
          <w:highlight w:val="none"/>
        </w:rPr>
        <w:fldChar w:fldCharType="separate"/>
      </w:r>
      <w:r>
        <w:rPr>
          <w:rFonts w:hint="eastAsia" w:ascii="宋体" w:hAnsi="宋体" w:cs="Arial"/>
          <w:bCs/>
          <w:szCs w:val="28"/>
          <w:highlight w:val="none"/>
        </w:rPr>
        <w:t>二、评定方法</w:t>
      </w:r>
      <w:r>
        <w:rPr>
          <w:highlight w:val="none"/>
        </w:rPr>
        <w:tab/>
      </w:r>
      <w:r>
        <w:rPr>
          <w:highlight w:val="none"/>
        </w:rPr>
        <w:fldChar w:fldCharType="begin"/>
      </w:r>
      <w:r>
        <w:rPr>
          <w:highlight w:val="none"/>
        </w:rPr>
        <w:instrText xml:space="preserve"> PAGEREF _Toc11031 </w:instrText>
      </w:r>
      <w:r>
        <w:rPr>
          <w:highlight w:val="none"/>
        </w:rPr>
        <w:fldChar w:fldCharType="separate"/>
      </w:r>
      <w:r>
        <w:rPr>
          <w:highlight w:val="none"/>
        </w:rPr>
        <w:t>122</w:t>
      </w:r>
      <w:r>
        <w:rPr>
          <w:highlight w:val="none"/>
        </w:rPr>
        <w:fldChar w:fldCharType="end"/>
      </w:r>
      <w:r>
        <w:rPr>
          <w:highlight w:val="none"/>
        </w:rPr>
        <w:fldChar w:fldCharType="end"/>
      </w:r>
    </w:p>
    <w:p>
      <w:pPr>
        <w:pStyle w:val="26"/>
        <w:tabs>
          <w:tab w:val="right" w:leader="dot" w:pos="9071"/>
        </w:tabs>
        <w:rPr>
          <w:highlight w:val="none"/>
        </w:rPr>
      </w:pPr>
      <w:r>
        <w:rPr>
          <w:highlight w:val="none"/>
        </w:rPr>
        <w:fldChar w:fldCharType="begin"/>
      </w:r>
      <w:r>
        <w:rPr>
          <w:highlight w:val="none"/>
        </w:rPr>
        <w:instrText xml:space="preserve"> HYPERLINK \l _Toc20387 </w:instrText>
      </w:r>
      <w:r>
        <w:rPr>
          <w:highlight w:val="none"/>
        </w:rPr>
        <w:fldChar w:fldCharType="separate"/>
      </w:r>
      <w:r>
        <w:rPr>
          <w:rFonts w:hint="eastAsia" w:ascii="宋体" w:hAnsi="宋体" w:cs="Arial"/>
          <w:bCs/>
          <w:szCs w:val="28"/>
          <w:highlight w:val="none"/>
        </w:rPr>
        <w:t>三、评审流程</w:t>
      </w:r>
      <w:r>
        <w:rPr>
          <w:highlight w:val="none"/>
        </w:rPr>
        <w:tab/>
      </w:r>
      <w:r>
        <w:rPr>
          <w:highlight w:val="none"/>
        </w:rPr>
        <w:fldChar w:fldCharType="begin"/>
      </w:r>
      <w:r>
        <w:rPr>
          <w:highlight w:val="none"/>
        </w:rPr>
        <w:instrText xml:space="preserve"> PAGEREF _Toc20387 </w:instrText>
      </w:r>
      <w:r>
        <w:rPr>
          <w:highlight w:val="none"/>
        </w:rPr>
        <w:fldChar w:fldCharType="separate"/>
      </w:r>
      <w:r>
        <w:rPr>
          <w:highlight w:val="none"/>
        </w:rPr>
        <w:t>122</w:t>
      </w:r>
      <w:r>
        <w:rPr>
          <w:highlight w:val="none"/>
        </w:rPr>
        <w:fldChar w:fldCharType="end"/>
      </w:r>
      <w:r>
        <w:rPr>
          <w:highlight w:val="none"/>
        </w:rPr>
        <w:fldChar w:fldCharType="end"/>
      </w:r>
    </w:p>
    <w:p>
      <w:pPr>
        <w:pStyle w:val="21"/>
        <w:tabs>
          <w:tab w:val="right" w:leader="dot" w:pos="9071"/>
        </w:tabs>
        <w:rPr>
          <w:highlight w:val="none"/>
        </w:rPr>
      </w:pPr>
    </w:p>
    <w:p>
      <w:pPr>
        <w:pStyle w:val="15"/>
        <w:pageBreakBefore/>
        <w:ind w:right="-57"/>
        <w:jc w:val="center"/>
        <w:outlineLvl w:val="0"/>
        <w:rPr>
          <w:rStyle w:val="44"/>
          <w:rFonts w:ascii="宋体" w:hAnsi="宋体" w:eastAsia="宋体"/>
          <w:highlight w:val="none"/>
        </w:rPr>
      </w:pPr>
      <w:r>
        <w:rPr>
          <w:highlight w:val="none"/>
        </w:rPr>
        <w:fldChar w:fldCharType="end"/>
      </w:r>
      <w:bookmarkStart w:id="0" w:name="_Toc27109"/>
      <w:bookmarkStart w:id="1" w:name="_Toc26505"/>
      <w:bookmarkStart w:id="2" w:name="_Toc5417_WPSOffice_Level1"/>
      <w:bookmarkStart w:id="3" w:name="_Toc20876"/>
      <w:bookmarkStart w:id="4" w:name="_Toc26895"/>
      <w:bookmarkStart w:id="5" w:name="_Toc10792"/>
      <w:bookmarkStart w:id="6" w:name="_Toc27845_WPSOffice_Level1"/>
      <w:bookmarkStart w:id="7" w:name="_Toc8963"/>
      <w:bookmarkStart w:id="8" w:name="_Toc15006"/>
      <w:r>
        <w:rPr>
          <w:rStyle w:val="44"/>
          <w:rFonts w:hint="eastAsia" w:ascii="宋体" w:hAnsi="宋体" w:eastAsia="宋体"/>
          <w:highlight w:val="none"/>
        </w:rPr>
        <w:t>第一章比选公告</w:t>
      </w:r>
      <w:bookmarkEnd w:id="0"/>
      <w:bookmarkEnd w:id="1"/>
      <w:bookmarkEnd w:id="2"/>
      <w:bookmarkEnd w:id="3"/>
      <w:bookmarkEnd w:id="4"/>
      <w:bookmarkEnd w:id="5"/>
      <w:bookmarkEnd w:id="6"/>
      <w:bookmarkEnd w:id="7"/>
      <w:bookmarkEnd w:id="8"/>
    </w:p>
    <w:p>
      <w:pPr>
        <w:spacing w:before="0" w:after="0" w:afterAutospacing="0"/>
        <w:ind w:right="-57"/>
        <w:jc w:val="center"/>
        <w:outlineLvl w:val="9"/>
        <w:rPr>
          <w:rFonts w:ascii="宋体" w:hAnsi="宋体"/>
          <w:b/>
          <w:sz w:val="28"/>
          <w:szCs w:val="28"/>
          <w:highlight w:val="none"/>
        </w:rPr>
      </w:pPr>
      <w:bookmarkStart w:id="9" w:name="_Toc19869_WPSOffice_Level2"/>
      <w:bookmarkStart w:id="10" w:name="_Toc2952_WPSOffice_Level2"/>
      <w:bookmarkStart w:id="11" w:name="_Toc8044_WPSOffice_Level2"/>
      <w:r>
        <w:rPr>
          <w:rFonts w:hint="eastAsia" w:ascii="宋体" w:hAnsi="宋体"/>
          <w:b/>
          <w:sz w:val="28"/>
          <w:szCs w:val="28"/>
          <w:highlight w:val="none"/>
          <w:u w:val="single"/>
          <w:lang w:eastAsia="zh-CN"/>
        </w:rPr>
        <w:t>南宁轨道交通1-5号线出入段（场）线地面洞口及个别车站紧急疏散口</w:t>
      </w:r>
      <w:r>
        <w:rPr>
          <w:rFonts w:hint="eastAsia" w:ascii="宋体" w:hAnsi="宋体"/>
          <w:b/>
          <w:sz w:val="28"/>
          <w:szCs w:val="28"/>
          <w:highlight w:val="none"/>
          <w:u w:val="single"/>
          <w:lang w:val="en-US" w:eastAsia="zh-CN"/>
        </w:rPr>
        <w:t xml:space="preserve">    </w:t>
      </w:r>
      <w:r>
        <w:rPr>
          <w:rFonts w:hint="eastAsia" w:ascii="宋体" w:hAnsi="宋体"/>
          <w:b/>
          <w:sz w:val="28"/>
          <w:szCs w:val="28"/>
          <w:highlight w:val="none"/>
          <w:u w:val="single"/>
          <w:lang w:eastAsia="zh-CN"/>
        </w:rPr>
        <w:t>视频监控补盲项目</w:t>
      </w:r>
      <w:r>
        <w:rPr>
          <w:rFonts w:hint="eastAsia" w:ascii="宋体" w:hAnsi="宋体"/>
          <w:b/>
          <w:sz w:val="28"/>
          <w:szCs w:val="28"/>
          <w:highlight w:val="none"/>
        </w:rPr>
        <w:t>比选</w:t>
      </w:r>
      <w:bookmarkEnd w:id="9"/>
      <w:bookmarkEnd w:id="10"/>
      <w:r>
        <w:rPr>
          <w:rFonts w:hint="eastAsia" w:ascii="宋体" w:hAnsi="宋体"/>
          <w:b/>
          <w:sz w:val="28"/>
          <w:szCs w:val="28"/>
          <w:highlight w:val="none"/>
        </w:rPr>
        <w:t>公告</w:t>
      </w:r>
      <w:bookmarkEnd w:id="11"/>
    </w:p>
    <w:p>
      <w:pPr>
        <w:spacing w:before="0" w:after="0" w:afterAutospacing="0"/>
        <w:ind w:left="0" w:right="0" w:firstLine="422" w:firstLineChars="200"/>
        <w:outlineLvl w:val="9"/>
        <w:rPr>
          <w:rFonts w:ascii="宋体" w:hAnsi="宋体"/>
          <w:b/>
          <w:highlight w:val="none"/>
        </w:rPr>
      </w:pPr>
      <w:bookmarkStart w:id="12" w:name="OLE_LINK4"/>
      <w:bookmarkEnd w:id="12"/>
      <w:bookmarkStart w:id="13" w:name="_Toc27047_WPSOffice_Level2"/>
      <w:bookmarkStart w:id="14" w:name="_Toc29061_WPSOffice_Level2"/>
      <w:bookmarkStart w:id="15" w:name="_Toc30414_WPSOffice_Level2"/>
      <w:r>
        <w:rPr>
          <w:rFonts w:hint="eastAsia" w:ascii="宋体" w:hAnsi="宋体"/>
          <w:b/>
          <w:highlight w:val="none"/>
        </w:rPr>
        <w:t>1.比选条件</w:t>
      </w:r>
      <w:bookmarkEnd w:id="13"/>
      <w:bookmarkEnd w:id="14"/>
      <w:bookmarkEnd w:id="15"/>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本比选项目</w:t>
      </w:r>
      <w:r>
        <w:rPr>
          <w:rFonts w:hint="eastAsia" w:ascii="宋体" w:hAnsi="宋体"/>
          <w:highlight w:val="none"/>
          <w:u w:val="single"/>
          <w:lang w:eastAsia="zh-CN"/>
        </w:rPr>
        <w:t>南宁轨道交通1-5号线出入段（场）线地面洞口及个别车站紧急疏散口视频监控补盲项目，</w:t>
      </w:r>
      <w:r>
        <w:rPr>
          <w:rFonts w:hint="eastAsia" w:ascii="宋体" w:hAnsi="宋体"/>
          <w:highlight w:val="none"/>
        </w:rPr>
        <w:t>比选人为</w:t>
      </w:r>
      <w:r>
        <w:rPr>
          <w:rFonts w:hint="eastAsia" w:ascii="宋体" w:hAnsi="宋体"/>
          <w:highlight w:val="none"/>
          <w:u w:val="single"/>
          <w:lang w:eastAsia="zh-CN"/>
        </w:rPr>
        <w:t>南宁轨道交通运营有限公司</w:t>
      </w:r>
      <w:r>
        <w:rPr>
          <w:rFonts w:hint="eastAsia" w:ascii="宋体" w:hAnsi="宋体"/>
          <w:highlight w:val="none"/>
        </w:rPr>
        <w:t>，比选项目资金来源为企业自有资金。</w:t>
      </w:r>
    </w:p>
    <w:p>
      <w:pPr>
        <w:spacing w:before="0" w:after="0" w:afterAutospacing="0"/>
        <w:ind w:left="0" w:right="0" w:firstLine="422" w:firstLineChars="200"/>
        <w:outlineLvl w:val="9"/>
        <w:rPr>
          <w:rFonts w:ascii="宋体" w:hAnsi="宋体"/>
          <w:b/>
          <w:color w:val="auto"/>
          <w:highlight w:val="none"/>
        </w:rPr>
      </w:pPr>
      <w:bookmarkStart w:id="16" w:name="_Toc28120_WPSOffice_Level2"/>
      <w:bookmarkStart w:id="17" w:name="_Toc4859_WPSOffice_Level2"/>
      <w:bookmarkStart w:id="18" w:name="_Toc1083_WPSOffice_Level2"/>
      <w:r>
        <w:rPr>
          <w:rFonts w:hint="eastAsia" w:ascii="宋体" w:hAnsi="宋体"/>
          <w:b/>
          <w:color w:val="auto"/>
          <w:highlight w:val="none"/>
        </w:rPr>
        <w:t>2.项目概况与比选范围</w:t>
      </w:r>
      <w:bookmarkEnd w:id="16"/>
      <w:bookmarkEnd w:id="17"/>
      <w:bookmarkEnd w:id="18"/>
    </w:p>
    <w:p>
      <w:pPr>
        <w:spacing w:before="0" w:after="0" w:afterAutospacing="0"/>
        <w:ind w:left="0" w:right="0" w:firstLine="420" w:firstLineChars="200"/>
        <w:outlineLvl w:val="9"/>
        <w:rPr>
          <w:rFonts w:ascii="宋体" w:hAnsi="宋体"/>
          <w:color w:val="auto"/>
          <w:highlight w:val="none"/>
          <w:u w:val="single"/>
        </w:rPr>
      </w:pPr>
      <w:r>
        <w:rPr>
          <w:rFonts w:hint="eastAsia" w:ascii="宋体" w:hAnsi="宋体"/>
          <w:color w:val="auto"/>
          <w:highlight w:val="none"/>
        </w:rPr>
        <w:t>项目编号：202208250003</w:t>
      </w:r>
    </w:p>
    <w:p>
      <w:pPr>
        <w:spacing w:before="0" w:after="0" w:afterAutospacing="0"/>
        <w:ind w:left="0" w:right="0" w:firstLine="420" w:firstLineChars="200"/>
        <w:outlineLvl w:val="9"/>
        <w:rPr>
          <w:rFonts w:hint="eastAsia" w:ascii="宋体" w:hAnsi="宋体" w:eastAsia="宋体"/>
          <w:color w:val="auto"/>
          <w:highlight w:val="none"/>
          <w:u w:val="single"/>
          <w:lang w:eastAsia="zh-CN"/>
        </w:rPr>
      </w:pPr>
      <w:r>
        <w:rPr>
          <w:rFonts w:hint="eastAsia" w:ascii="宋体" w:hAnsi="宋体"/>
          <w:color w:val="auto"/>
          <w:highlight w:val="none"/>
        </w:rPr>
        <w:t>项目名称：</w:t>
      </w:r>
      <w:r>
        <w:rPr>
          <w:rFonts w:hint="eastAsia" w:ascii="宋体" w:hAnsi="宋体"/>
          <w:highlight w:val="none"/>
          <w:u w:val="single"/>
          <w:lang w:eastAsia="zh-CN"/>
        </w:rPr>
        <w:t>南宁轨道交通1-5号线出入段（场）线地面洞口及个别车站紧急疏散口视频监控补盲项目</w:t>
      </w:r>
    </w:p>
    <w:p>
      <w:pPr>
        <w:spacing w:before="0" w:after="0" w:afterAutospacing="0"/>
        <w:ind w:left="0" w:right="0" w:firstLine="420" w:firstLineChars="200"/>
        <w:outlineLvl w:val="9"/>
        <w:rPr>
          <w:rFonts w:hint="eastAsia" w:ascii="宋体" w:hAnsi="宋体"/>
          <w:color w:val="auto"/>
          <w:highlight w:val="none"/>
          <w:u w:val="single"/>
        </w:rPr>
      </w:pPr>
      <w:r>
        <w:rPr>
          <w:rFonts w:hint="eastAsia" w:ascii="宋体" w:hAnsi="宋体"/>
          <w:color w:val="auto"/>
          <w:highlight w:val="none"/>
        </w:rPr>
        <w:t>上限控制价：本项目不含税上限控制价为人民币</w:t>
      </w:r>
      <w:r>
        <w:rPr>
          <w:rFonts w:hint="eastAsia" w:ascii="宋体" w:hAnsi="宋体"/>
          <w:color w:val="auto"/>
          <w:highlight w:val="none"/>
          <w:u w:val="single"/>
          <w:lang w:val="en-US" w:eastAsia="zh-CN"/>
        </w:rPr>
        <w:t xml:space="preserve"> 259000.00</w:t>
      </w:r>
      <w:r>
        <w:rPr>
          <w:rFonts w:hint="eastAsia" w:ascii="宋体" w:hAnsi="宋体"/>
          <w:color w:val="auto"/>
          <w:highlight w:val="none"/>
          <w:u w:val="single"/>
        </w:rPr>
        <w:t>元。</w:t>
      </w:r>
    </w:p>
    <w:p>
      <w:pPr>
        <w:spacing w:before="0" w:after="0" w:afterAutospacing="0"/>
        <w:ind w:left="0" w:right="0" w:firstLine="420" w:firstLineChars="200"/>
        <w:outlineLvl w:val="9"/>
        <w:rPr>
          <w:rFonts w:hint="default" w:ascii="宋体" w:hAnsi="宋体" w:eastAsia="宋体"/>
          <w:color w:val="auto"/>
          <w:highlight w:val="none"/>
          <w:u w:val="single"/>
          <w:lang w:val="en-US" w:eastAsia="zh-CN"/>
        </w:rPr>
      </w:pPr>
      <w:r>
        <w:rPr>
          <w:rFonts w:hint="eastAsia" w:ascii="宋体" w:hAnsi="宋体"/>
          <w:color w:val="auto"/>
          <w:highlight w:val="none"/>
        </w:rPr>
        <w:t>工期：</w:t>
      </w:r>
      <w:r>
        <w:rPr>
          <w:rFonts w:hint="eastAsia" w:ascii="宋体" w:hAnsi="宋体"/>
          <w:color w:val="auto"/>
          <w:highlight w:val="none"/>
          <w:u w:val="single"/>
        </w:rPr>
        <w:t>共</w:t>
      </w:r>
      <w:r>
        <w:rPr>
          <w:rFonts w:hint="eastAsia" w:ascii="宋体" w:hAnsi="宋体"/>
          <w:color w:val="auto"/>
          <w:highlight w:val="none"/>
          <w:u w:val="single"/>
          <w:lang w:val="en-US" w:eastAsia="zh-CN"/>
        </w:rPr>
        <w:t>45</w:t>
      </w:r>
      <w:r>
        <w:rPr>
          <w:rFonts w:hint="eastAsia" w:ascii="宋体" w:hAnsi="宋体"/>
          <w:color w:val="auto"/>
          <w:highlight w:val="none"/>
          <w:u w:val="single"/>
        </w:rPr>
        <w:t>天（如遇特殊情况或极端天气则工期顺延），具体开工日期以比选人开工令发布时间为准</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完工日期以项目验收合格日期为准。</w:t>
      </w:r>
    </w:p>
    <w:p>
      <w:pPr>
        <w:spacing w:before="0" w:after="0" w:afterAutospacing="0"/>
        <w:ind w:left="0" w:right="0" w:firstLine="420" w:firstLineChars="200"/>
        <w:outlineLvl w:val="9"/>
        <w:rPr>
          <w:rFonts w:ascii="宋体" w:hAnsi="宋体"/>
          <w:color w:val="auto"/>
          <w:highlight w:val="none"/>
          <w:u w:val="single"/>
        </w:rPr>
      </w:pPr>
      <w:r>
        <w:rPr>
          <w:rFonts w:hint="eastAsia" w:ascii="宋体" w:hAnsi="宋体"/>
          <w:color w:val="auto"/>
          <w:highlight w:val="none"/>
        </w:rPr>
        <w:t>项目地点：</w:t>
      </w:r>
      <w:r>
        <w:rPr>
          <w:rFonts w:hint="eastAsia" w:ascii="宋体" w:hAnsi="宋体"/>
          <w:color w:val="auto"/>
          <w:highlight w:val="none"/>
          <w:u w:val="single"/>
          <w:lang w:val="en-US" w:eastAsia="zh-CN"/>
        </w:rPr>
        <w:t>广西壮族自治区南宁市南宁轨道交通</w:t>
      </w:r>
      <w:r>
        <w:rPr>
          <w:rFonts w:hint="eastAsia" w:cs="宋体" w:asciiTheme="minorEastAsia" w:hAnsiTheme="minorEastAsia" w:eastAsiaTheme="minorEastAsia"/>
          <w:color w:val="auto"/>
          <w:kern w:val="2"/>
          <w:sz w:val="21"/>
          <w:szCs w:val="21"/>
          <w:highlight w:val="none"/>
          <w:u w:val="single"/>
          <w:lang w:val="en-US" w:eastAsia="zh-CN" w:bidi="ar-SA"/>
        </w:rPr>
        <w:t>1号线屯里车辆段及西乡塘停车场、2号线安吉综合基地及新村停车场、3号线心圩车辆段及新村停车场、4号线五象车辆段出入段（场）线地面洞口，2号线西津站、玉洞站以及5号线金桥客运站消防疏散通道出入口</w:t>
      </w:r>
      <w:r>
        <w:rPr>
          <w:rFonts w:hint="eastAsia" w:ascii="宋体" w:hAnsi="宋体"/>
          <w:color w:val="auto"/>
          <w:highlight w:val="none"/>
          <w:u w:val="none"/>
          <w:lang w:val="en-US" w:eastAsia="zh-CN"/>
        </w:rPr>
        <w:t>，</w:t>
      </w:r>
      <w:r>
        <w:rPr>
          <w:rFonts w:hint="eastAsia" w:ascii="宋体" w:hAnsi="宋体"/>
          <w:color w:val="auto"/>
          <w:highlight w:val="none"/>
        </w:rPr>
        <w:t>具体详见用户需求书。</w:t>
      </w:r>
    </w:p>
    <w:p>
      <w:pPr>
        <w:spacing w:before="0" w:after="0" w:afterAutospacing="0"/>
        <w:ind w:left="0" w:right="0" w:firstLine="420" w:firstLineChars="200"/>
        <w:outlineLvl w:val="9"/>
        <w:rPr>
          <w:rFonts w:ascii="宋体" w:hAnsi="宋体"/>
          <w:color w:val="auto"/>
          <w:highlight w:val="none"/>
          <w:u w:val="single"/>
        </w:rPr>
      </w:pPr>
      <w:r>
        <w:rPr>
          <w:rFonts w:hint="eastAsia" w:ascii="宋体" w:hAnsi="宋体"/>
          <w:color w:val="auto"/>
          <w:highlight w:val="none"/>
        </w:rPr>
        <w:t>比选范围：</w:t>
      </w:r>
      <w:r>
        <w:rPr>
          <w:rFonts w:hint="eastAsia" w:ascii="宋体" w:hAnsi="宋体" w:cs="Times New Roman"/>
          <w:color w:val="auto"/>
          <w:highlight w:val="none"/>
          <w:u w:val="single"/>
          <w:lang w:eastAsia="zh-CN"/>
        </w:rPr>
        <w:t>南宁轨道交通1-5号线出入段（场）线地面洞口及个别车站紧急疏散口视频监控补盲项目</w:t>
      </w:r>
      <w:r>
        <w:rPr>
          <w:rFonts w:hint="eastAsia" w:ascii="宋体" w:hAnsi="宋体"/>
          <w:color w:val="auto"/>
          <w:highlight w:val="none"/>
          <w:u w:val="single"/>
        </w:rPr>
        <w:t xml:space="preserve"> </w:t>
      </w:r>
      <w:r>
        <w:rPr>
          <w:rFonts w:hint="eastAsia" w:ascii="宋体" w:hAnsi="宋体"/>
          <w:color w:val="auto"/>
          <w:highlight w:val="none"/>
        </w:rPr>
        <w:t>,具体详见用户需求书。</w:t>
      </w:r>
    </w:p>
    <w:p>
      <w:pPr>
        <w:spacing w:before="0" w:after="0" w:afterAutospacing="0"/>
        <w:ind w:left="0" w:right="0" w:firstLine="422" w:firstLineChars="200"/>
        <w:outlineLvl w:val="9"/>
        <w:rPr>
          <w:rFonts w:ascii="宋体" w:hAnsi="宋体"/>
          <w:color w:val="auto"/>
          <w:highlight w:val="none"/>
        </w:rPr>
      </w:pPr>
      <w:bookmarkStart w:id="19" w:name="_Toc16438_WPSOffice_Level2"/>
      <w:bookmarkStart w:id="20" w:name="_Toc24475_WPSOffice_Level2"/>
      <w:bookmarkStart w:id="21" w:name="_Toc18657_WPSOffice_Level2"/>
      <w:r>
        <w:rPr>
          <w:rFonts w:hint="eastAsia" w:ascii="宋体" w:hAnsi="宋体"/>
          <w:b/>
          <w:color w:val="auto"/>
          <w:highlight w:val="none"/>
        </w:rPr>
        <w:t>3.比选申请人资格要求</w:t>
      </w:r>
      <w:bookmarkEnd w:id="19"/>
      <w:bookmarkEnd w:id="20"/>
      <w:bookmarkEnd w:id="21"/>
    </w:p>
    <w:p>
      <w:pPr>
        <w:spacing w:before="0" w:after="0" w:afterAutospacing="0"/>
        <w:ind w:left="0" w:right="0" w:firstLine="420" w:firstLineChars="200"/>
        <w:outlineLvl w:val="9"/>
        <w:rPr>
          <w:rFonts w:hint="eastAsia" w:ascii="宋体" w:hAnsi="宋体"/>
          <w:color w:val="auto"/>
          <w:highlight w:val="none"/>
        </w:rPr>
      </w:pPr>
      <w:r>
        <w:rPr>
          <w:rFonts w:hint="eastAsia" w:ascii="宋体" w:hAnsi="宋体"/>
          <w:color w:val="auto"/>
          <w:highlight w:val="none"/>
        </w:rPr>
        <w:t>3.1比选申请人为中华人民共和国境内依法设立的法人或其他组织（若以分公司名义参与比选申请，必须出具总公司授权参与的证明。）</w:t>
      </w:r>
    </w:p>
    <w:p>
      <w:pPr>
        <w:spacing w:before="0" w:after="0" w:afterAutospacing="0"/>
        <w:ind w:left="0" w:right="0" w:firstLine="420" w:firstLineChars="200"/>
        <w:outlineLvl w:val="9"/>
        <w:rPr>
          <w:rFonts w:hint="default" w:ascii="宋体" w:hAnsi="宋体" w:eastAsia="宋体"/>
          <w:color w:val="auto"/>
          <w:highlight w:val="none"/>
          <w:lang w:val="en-US" w:eastAsia="zh-CN"/>
        </w:rPr>
      </w:pPr>
      <w:r>
        <w:rPr>
          <w:rFonts w:hint="eastAsia" w:ascii="宋体" w:hAnsi="宋体"/>
          <w:color w:val="auto"/>
          <w:highlight w:val="none"/>
        </w:rPr>
        <w:t>3.2</w:t>
      </w:r>
      <w:r>
        <w:rPr>
          <w:rFonts w:hint="eastAsia" w:ascii="宋体" w:hAnsi="宋体"/>
          <w:color w:val="auto"/>
          <w:highlight w:val="none"/>
          <w:lang w:eastAsia="zh-CN"/>
        </w:rPr>
        <w:t>资质条件</w:t>
      </w:r>
      <w:r>
        <w:rPr>
          <w:rFonts w:hint="eastAsia" w:ascii="宋体" w:hAnsi="宋体"/>
          <w:color w:val="auto"/>
          <w:highlight w:val="none"/>
        </w:rPr>
        <w:t>：</w:t>
      </w:r>
      <w:r>
        <w:rPr>
          <w:rFonts w:hint="eastAsia"/>
          <w:highlight w:val="none"/>
          <w:lang w:val="en-US" w:eastAsia="zh-CN"/>
        </w:rPr>
        <w:t>要求比选申请人具备建设行政主管部门颁发的通信工程施工总承包二级及以上资质。</w:t>
      </w:r>
    </w:p>
    <w:p>
      <w:pPr>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3.3业绩条件：</w:t>
      </w:r>
      <w:r>
        <w:rPr>
          <w:rFonts w:hint="eastAsia" w:ascii="宋体" w:hAnsi="宋体"/>
          <w:strike w:val="0"/>
          <w:dstrike w:val="0"/>
          <w:color w:val="auto"/>
          <w:highlight w:val="none"/>
          <w:lang w:val="en-US" w:eastAsia="zh-CN"/>
        </w:rPr>
        <w:t>无业绩要求</w:t>
      </w:r>
      <w:r>
        <w:rPr>
          <w:rFonts w:hint="eastAsia" w:ascii="宋体" w:hAnsi="宋体"/>
          <w:color w:val="auto"/>
          <w:highlight w:val="none"/>
        </w:rPr>
        <w:t>。</w:t>
      </w:r>
    </w:p>
    <w:p>
      <w:pPr>
        <w:spacing w:before="0" w:after="0" w:afterAutospacing="0"/>
        <w:ind w:left="0" w:right="0" w:firstLine="420" w:firstLineChars="200"/>
        <w:outlineLvl w:val="9"/>
        <w:rPr>
          <w:rFonts w:hint="eastAsia" w:ascii="宋体" w:hAnsi="宋体" w:eastAsia="宋体"/>
          <w:highlight w:val="none"/>
          <w:lang w:eastAsia="zh-CN"/>
        </w:rPr>
      </w:pPr>
      <w:r>
        <w:rPr>
          <w:rFonts w:hint="eastAsia" w:ascii="宋体" w:hAnsi="宋体"/>
          <w:color w:val="auto"/>
          <w:highlight w:val="none"/>
        </w:rPr>
        <w:t>3.4比选申请人没有处于被行政主管部门或业主取消比选申请资格的处罚期内，且没有处于被责令停业，财产被接管、破产状态；比选申请截止时间前3年内没有骗取中选、严重违约或</w:t>
      </w:r>
      <w:r>
        <w:rPr>
          <w:rFonts w:hint="eastAsia" w:ascii="宋体" w:hAnsi="宋体"/>
          <w:highlight w:val="none"/>
        </w:rPr>
        <w:t>重大质量安全责任事故的情况</w:t>
      </w:r>
      <w:r>
        <w:rPr>
          <w:rFonts w:hint="eastAsia" w:ascii="宋体" w:hAnsi="宋体"/>
          <w:highlight w:val="none"/>
          <w:lang w:eastAsia="zh-CN"/>
        </w:rPr>
        <w:t>。</w:t>
      </w:r>
    </w:p>
    <w:p>
      <w:pPr>
        <w:spacing w:before="0" w:after="0" w:afterAutospacing="0"/>
        <w:ind w:left="0" w:right="0" w:firstLine="420" w:firstLineChars="200"/>
        <w:outlineLvl w:val="9"/>
        <w:rPr>
          <w:rFonts w:hint="eastAsia" w:ascii="宋体" w:hAnsi="宋体" w:eastAsia="宋体"/>
          <w:highlight w:val="none"/>
          <w:lang w:eastAsia="zh-CN"/>
        </w:rPr>
      </w:pPr>
      <w:r>
        <w:rPr>
          <w:rFonts w:hint="eastAsia" w:ascii="宋体" w:hAnsi="宋体"/>
          <w:highlight w:val="none"/>
        </w:rPr>
        <w:t>3.5单位负责人为同一人或者存在控股、管理关系的不同单位，不得参加同一标段比选申请或者未划分标段的同一比选项目比选申请</w:t>
      </w:r>
      <w:r>
        <w:rPr>
          <w:rFonts w:hint="eastAsia" w:ascii="宋体" w:hAnsi="宋体"/>
          <w:highlight w:val="none"/>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outlineLvl w:val="9"/>
        <w:rPr>
          <w:rFonts w:hint="eastAsia" w:ascii="宋体" w:hAnsi="宋体"/>
          <w:color w:val="auto"/>
          <w:highlight w:val="none"/>
        </w:rPr>
      </w:pPr>
      <w:r>
        <w:rPr>
          <w:rFonts w:hint="eastAsia" w:ascii="宋体" w:hAnsi="宋体"/>
          <w:color w:val="auto"/>
          <w:highlight w:val="none"/>
        </w:rPr>
        <w:t>3.6本项目不接受联合体比选申请。</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outlineLvl w:val="9"/>
        <w:rPr>
          <w:rFonts w:hint="eastAsia" w:eastAsia="宋体"/>
          <w:color w:val="auto"/>
          <w:highlight w:val="none"/>
          <w:lang w:eastAsia="zh-CN"/>
        </w:rPr>
      </w:pPr>
      <w:r>
        <w:rPr>
          <w:rFonts w:hint="eastAsia" w:ascii="宋体" w:hAnsi="宋体"/>
          <w:color w:val="auto"/>
          <w:highlight w:val="none"/>
        </w:rPr>
        <w:t>3.</w:t>
      </w:r>
      <w:r>
        <w:rPr>
          <w:rFonts w:hint="eastAsia" w:ascii="宋体" w:hAnsi="宋体"/>
          <w:color w:val="auto"/>
          <w:highlight w:val="none"/>
          <w:lang w:val="en-US" w:eastAsia="zh-CN"/>
        </w:rPr>
        <w:t>7</w:t>
      </w:r>
      <w:r>
        <w:rPr>
          <w:rFonts w:hint="eastAsia" w:ascii="宋体" w:hAnsi="宋体"/>
          <w:color w:val="auto"/>
          <w:szCs w:val="21"/>
          <w:highlight w:val="none"/>
          <w:lang w:eastAsia="zh-CN"/>
        </w:rPr>
        <w:t>比选申请人</w:t>
      </w:r>
      <w:r>
        <w:rPr>
          <w:rFonts w:hint="eastAsia" w:ascii="宋体" w:hAnsi="宋体"/>
          <w:color w:val="auto"/>
          <w:szCs w:val="21"/>
          <w:highlight w:val="none"/>
        </w:rPr>
        <w:t>未列入</w:t>
      </w:r>
      <w:r>
        <w:rPr>
          <w:rFonts w:hint="eastAsia" w:ascii="宋体" w:hAnsi="宋体"/>
          <w:color w:val="auto"/>
          <w:szCs w:val="21"/>
          <w:highlight w:val="none"/>
          <w:lang w:eastAsia="zh-CN"/>
        </w:rPr>
        <w:t>比选</w:t>
      </w:r>
      <w:r>
        <w:rPr>
          <w:rFonts w:hint="eastAsia" w:ascii="宋体" w:hAnsi="宋体"/>
          <w:color w:val="auto"/>
          <w:szCs w:val="21"/>
          <w:highlight w:val="none"/>
        </w:rPr>
        <w:t>人不良信用名单</w:t>
      </w:r>
      <w:r>
        <w:rPr>
          <w:rFonts w:hint="eastAsia" w:ascii="宋体" w:hAnsi="宋体"/>
          <w:color w:val="auto"/>
          <w:szCs w:val="21"/>
          <w:highlight w:val="none"/>
          <w:lang w:eastAsia="zh-CN"/>
        </w:rPr>
        <w:t>。</w:t>
      </w:r>
    </w:p>
    <w:p>
      <w:pPr>
        <w:spacing w:before="0" w:after="0" w:afterAutospacing="0"/>
        <w:ind w:left="0" w:right="0" w:firstLine="422" w:firstLineChars="200"/>
        <w:outlineLvl w:val="9"/>
        <w:rPr>
          <w:rFonts w:ascii="宋体" w:hAnsi="宋体"/>
          <w:b/>
          <w:highlight w:val="none"/>
        </w:rPr>
      </w:pPr>
      <w:bookmarkStart w:id="22" w:name="_Toc9429_WPSOffice_Level2"/>
      <w:bookmarkStart w:id="23" w:name="_Toc23643_WPSOffice_Level2"/>
      <w:bookmarkStart w:id="24" w:name="_Toc21899_WPSOffice_Level2"/>
      <w:r>
        <w:rPr>
          <w:rFonts w:hint="eastAsia" w:ascii="宋体" w:hAnsi="宋体"/>
          <w:b/>
          <w:highlight w:val="none"/>
        </w:rPr>
        <w:t>4.资格审查方式</w:t>
      </w:r>
      <w:bookmarkEnd w:id="22"/>
      <w:bookmarkEnd w:id="23"/>
      <w:bookmarkEnd w:id="24"/>
    </w:p>
    <w:p>
      <w:pPr>
        <w:spacing w:before="0" w:after="0" w:afterAutospacing="0"/>
        <w:ind w:left="0" w:right="0" w:firstLine="420" w:firstLineChars="200"/>
        <w:outlineLvl w:val="9"/>
        <w:rPr>
          <w:rFonts w:ascii="宋体" w:hAnsi="宋体"/>
          <w:color w:val="FF0000"/>
          <w:highlight w:val="none"/>
        </w:rPr>
      </w:pPr>
      <w:r>
        <w:rPr>
          <w:rFonts w:hint="eastAsia" w:ascii="宋体" w:hAnsi="宋体"/>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9"/>
        <w:rPr>
          <w:rFonts w:ascii="宋体" w:hAnsi="宋体"/>
          <w:b/>
          <w:highlight w:val="none"/>
        </w:rPr>
      </w:pPr>
      <w:bookmarkStart w:id="25" w:name="_Toc2287_WPSOffice_Level2"/>
      <w:bookmarkStart w:id="26" w:name="_Toc1286_WPSOffice_Level2"/>
      <w:bookmarkStart w:id="27" w:name="_Toc17692_WPSOffice_Level2"/>
      <w:r>
        <w:rPr>
          <w:rFonts w:hint="eastAsia" w:ascii="宋体" w:hAnsi="宋体"/>
          <w:b/>
          <w:highlight w:val="none"/>
        </w:rPr>
        <w:t>5.比选文件的获取</w:t>
      </w:r>
      <w:bookmarkEnd w:id="25"/>
      <w:bookmarkEnd w:id="26"/>
      <w:bookmarkEnd w:id="27"/>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5.1比选文件获取：</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本项目不发放纸质文件，请各比选申请人自行网上下载。下载网址：</w:t>
      </w:r>
      <w:r>
        <w:rPr>
          <w:rFonts w:hint="eastAsia" w:ascii="宋体" w:hAnsi="宋体"/>
          <w:highlight w:val="none"/>
          <w:lang w:eastAsia="zh-CN"/>
        </w:rPr>
        <w:t>南宁轨道交通</w:t>
      </w:r>
      <w:r>
        <w:rPr>
          <w:rFonts w:hint="eastAsia" w:ascii="宋体" w:hAnsi="宋体"/>
          <w:highlight w:val="none"/>
          <w:lang w:val="en-US" w:eastAsia="zh-CN"/>
        </w:rPr>
        <w:t>集团</w:t>
      </w:r>
      <w:r>
        <w:rPr>
          <w:rFonts w:hint="eastAsia" w:ascii="宋体" w:hAnsi="宋体"/>
          <w:highlight w:val="none"/>
          <w:lang w:eastAsia="zh-CN"/>
        </w:rPr>
        <w:t>有限</w:t>
      </w:r>
      <w:r>
        <w:rPr>
          <w:rFonts w:hint="eastAsia" w:ascii="宋体" w:hAnsi="宋体"/>
          <w:highlight w:val="none"/>
          <w:lang w:val="en-US" w:eastAsia="zh-CN"/>
        </w:rPr>
        <w:t>责任</w:t>
      </w:r>
      <w:r>
        <w:rPr>
          <w:rFonts w:hint="eastAsia" w:ascii="宋体" w:hAnsi="宋体"/>
          <w:highlight w:val="none"/>
          <w:lang w:eastAsia="zh-CN"/>
        </w:rPr>
        <w:t>公司</w:t>
      </w:r>
      <w:r>
        <w:rPr>
          <w:rFonts w:hint="eastAsia" w:ascii="宋体" w:hAnsi="宋体"/>
          <w:highlight w:val="none"/>
        </w:rPr>
        <w:t>官网(http://www.nngdjt.com)、中国e车网(http://www.ecrrc.com)。</w:t>
      </w:r>
    </w:p>
    <w:p>
      <w:pPr>
        <w:spacing w:before="0" w:after="0" w:afterAutospacing="0"/>
        <w:ind w:left="0" w:right="0" w:firstLine="422" w:firstLineChars="200"/>
        <w:outlineLvl w:val="9"/>
        <w:rPr>
          <w:rFonts w:ascii="宋体" w:hAnsi="宋体"/>
          <w:b/>
          <w:highlight w:val="none"/>
        </w:rPr>
      </w:pPr>
      <w:r>
        <w:rPr>
          <w:rFonts w:hint="eastAsia" w:ascii="宋体" w:hAnsi="宋体"/>
          <w:b/>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9"/>
        <w:rPr>
          <w:rFonts w:ascii="宋体" w:hAnsi="宋体"/>
          <w:b/>
          <w:highlight w:val="none"/>
        </w:rPr>
      </w:pPr>
      <w:bookmarkStart w:id="28" w:name="_Toc2812_WPSOffice_Level2"/>
      <w:bookmarkStart w:id="29" w:name="_Toc322_WPSOffice_Level2"/>
      <w:bookmarkStart w:id="30" w:name="_Toc2694_WPSOffice_Level2"/>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bookmarkEnd w:id="28"/>
      <w:bookmarkEnd w:id="29"/>
      <w:bookmarkEnd w:id="30"/>
    </w:p>
    <w:p>
      <w:pPr>
        <w:spacing w:before="0" w:after="0" w:afterAutospacing="0"/>
        <w:ind w:left="0" w:right="0" w:firstLine="420" w:firstLineChars="200"/>
        <w:outlineLvl w:val="9"/>
        <w:rPr>
          <w:rFonts w:hint="default" w:ascii="宋体" w:hAnsi="宋体"/>
          <w:highlight w:val="none"/>
          <w:lang w:val="en-US"/>
        </w:rPr>
      </w:pPr>
      <w:r>
        <w:rPr>
          <w:rFonts w:hint="eastAsia" w:ascii="宋体" w:hAnsi="宋体"/>
          <w:highlight w:val="none"/>
        </w:rPr>
        <w:t>6.1比选申请文件须密封后</w:t>
      </w:r>
      <w:r>
        <w:rPr>
          <w:rFonts w:hint="eastAsia" w:ascii="宋体" w:hAnsi="宋体"/>
          <w:color w:val="auto"/>
          <w:highlight w:val="none"/>
        </w:rPr>
        <w:t>于</w:t>
      </w:r>
      <w:r>
        <w:rPr>
          <w:rFonts w:hint="eastAsia" w:ascii="宋体" w:hAnsi="宋体"/>
          <w:color w:val="auto"/>
          <w:highlight w:val="none"/>
          <w:u w:val="single"/>
          <w:lang w:val="en-US" w:eastAsia="zh-CN"/>
        </w:rPr>
        <w:t>2022</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9</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28</w:t>
      </w:r>
      <w:r>
        <w:rPr>
          <w:rFonts w:hint="eastAsia" w:ascii="宋体" w:hAnsi="宋体"/>
          <w:color w:val="auto"/>
          <w:highlight w:val="none"/>
          <w:u w:val="single"/>
        </w:rPr>
        <w:t xml:space="preserve"> </w:t>
      </w:r>
      <w:r>
        <w:rPr>
          <w:rFonts w:hint="eastAsia" w:ascii="宋体" w:hAnsi="宋体"/>
          <w:color w:val="auto"/>
          <w:highlight w:val="none"/>
        </w:rPr>
        <w:t>日</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09</w:t>
      </w:r>
      <w:r>
        <w:rPr>
          <w:rFonts w:hint="eastAsia" w:ascii="宋体" w:hAnsi="宋体"/>
          <w:color w:val="auto"/>
          <w:highlight w:val="none"/>
          <w:u w:val="single"/>
        </w:rPr>
        <w:t xml:space="preserve"> </w:t>
      </w:r>
      <w:r>
        <w:rPr>
          <w:rFonts w:hint="eastAsia" w:ascii="宋体" w:hAnsi="宋体"/>
          <w:color w:val="auto"/>
          <w:highlight w:val="none"/>
        </w:rPr>
        <w:t>时</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00</w:t>
      </w:r>
      <w:r>
        <w:rPr>
          <w:rFonts w:hint="eastAsia" w:ascii="宋体" w:hAnsi="宋体"/>
          <w:color w:val="auto"/>
          <w:highlight w:val="none"/>
          <w:u w:val="single"/>
        </w:rPr>
        <w:t xml:space="preserve"> </w:t>
      </w:r>
      <w:r>
        <w:rPr>
          <w:rFonts w:hint="eastAsia" w:ascii="宋体" w:hAnsi="宋体"/>
          <w:color w:val="auto"/>
          <w:highlight w:val="none"/>
        </w:rPr>
        <w:t>分（北京时间）前递交，递交地点在</w:t>
      </w:r>
      <w:r>
        <w:rPr>
          <w:rFonts w:hint="eastAsia" w:ascii="宋体" w:hAnsi="宋体"/>
          <w:color w:val="auto"/>
          <w:highlight w:val="none"/>
          <w:lang w:eastAsia="zh-CN"/>
        </w:rPr>
        <w:t>广西南宁市青秀区云景路</w:t>
      </w:r>
      <w:r>
        <w:rPr>
          <w:rFonts w:hint="eastAsia" w:ascii="宋体" w:hAnsi="宋体"/>
          <w:color w:val="auto"/>
          <w:highlight w:val="none"/>
          <w:lang w:val="en-US" w:eastAsia="zh-CN"/>
        </w:rPr>
        <w:t>83号综合楼</w:t>
      </w:r>
      <w:r>
        <w:rPr>
          <w:rFonts w:hint="eastAsia" w:ascii="宋体" w:hAnsi="宋体"/>
          <w:color w:val="auto"/>
          <w:highlight w:val="none"/>
          <w:u w:val="single"/>
          <w:lang w:val="en-US" w:eastAsia="zh-CN"/>
        </w:rPr>
        <w:t>205</w:t>
      </w:r>
      <w:r>
        <w:rPr>
          <w:rFonts w:hint="eastAsia" w:ascii="宋体" w:hAnsi="宋体"/>
          <w:color w:val="auto"/>
          <w:highlight w:val="none"/>
          <w:lang w:val="en-US" w:eastAsia="zh-CN"/>
        </w:rPr>
        <w:t>会议室。</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6.2</w:t>
      </w:r>
      <w:r>
        <w:rPr>
          <w:rFonts w:ascii="宋体" w:hAnsi="宋体"/>
          <w:highlight w:val="none"/>
        </w:rPr>
        <w:t>逾期送达的或者未送达指定地点</w:t>
      </w:r>
      <w:r>
        <w:rPr>
          <w:rFonts w:hint="eastAsia" w:ascii="宋体" w:hAnsi="宋体"/>
          <w:highlight w:val="none"/>
        </w:rPr>
        <w:t>或者</w:t>
      </w:r>
      <w:r>
        <w:rPr>
          <w:rFonts w:ascii="宋体" w:hAnsi="宋体"/>
          <w:highlight w:val="none"/>
        </w:rPr>
        <w:t>未按</w:t>
      </w:r>
      <w:r>
        <w:rPr>
          <w:rFonts w:hint="eastAsia" w:ascii="宋体" w:hAnsi="宋体"/>
          <w:highlight w:val="none"/>
        </w:rPr>
        <w:t>比选</w:t>
      </w:r>
      <w:r>
        <w:rPr>
          <w:rFonts w:ascii="宋体" w:hAnsi="宋体"/>
          <w:highlight w:val="none"/>
        </w:rPr>
        <w:t>文件要求密封的</w:t>
      </w:r>
      <w:r>
        <w:rPr>
          <w:rFonts w:hint="eastAsia" w:ascii="宋体" w:hAnsi="宋体"/>
          <w:highlight w:val="none"/>
        </w:rPr>
        <w:t>比选申请</w:t>
      </w:r>
      <w:r>
        <w:rPr>
          <w:rFonts w:ascii="宋体" w:hAnsi="宋体"/>
          <w:highlight w:val="none"/>
        </w:rPr>
        <w:t>文件将被拒绝</w:t>
      </w:r>
      <w:r>
        <w:rPr>
          <w:rFonts w:hint="eastAsia" w:ascii="宋体" w:hAnsi="宋体"/>
          <w:highlight w:val="none"/>
        </w:rPr>
        <w:t>。</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6.3请比选申请人法定代表人或其授权代表携法人委托书原件准时参加。</w:t>
      </w:r>
      <w:r>
        <w:rPr>
          <w:rFonts w:ascii="宋体" w:hAnsi="宋体"/>
          <w:highlight w:val="none"/>
        </w:rPr>
        <w:t>比选申请文件必须由</w:t>
      </w:r>
      <w:r>
        <w:rPr>
          <w:rFonts w:hint="eastAsia" w:ascii="宋体" w:hAnsi="宋体"/>
          <w:highlight w:val="none"/>
        </w:rPr>
        <w:t>比选申请人</w:t>
      </w:r>
      <w:r>
        <w:rPr>
          <w:rFonts w:ascii="宋体" w:hAnsi="宋体"/>
          <w:highlight w:val="none"/>
        </w:rPr>
        <w:t>法定代表人或其授权代表递交，否则比选人不予受理。</w:t>
      </w:r>
    </w:p>
    <w:p>
      <w:pPr>
        <w:spacing w:before="0" w:after="0" w:afterAutospacing="0"/>
        <w:ind w:left="0" w:right="0" w:firstLine="422" w:firstLineChars="200"/>
        <w:outlineLvl w:val="9"/>
        <w:rPr>
          <w:rFonts w:ascii="宋体" w:hAnsi="宋体"/>
          <w:b/>
          <w:highlight w:val="none"/>
        </w:rPr>
      </w:pPr>
      <w:bookmarkStart w:id="31" w:name="_Toc4267_WPSOffice_Level2"/>
      <w:bookmarkStart w:id="32" w:name="_Toc28883_WPSOffice_Level2"/>
      <w:bookmarkStart w:id="33" w:name="_Toc15329_WPSOffice_Level2"/>
      <w:r>
        <w:rPr>
          <w:rFonts w:hint="eastAsia" w:ascii="宋体" w:hAnsi="宋体"/>
          <w:b/>
          <w:highlight w:val="none"/>
        </w:rPr>
        <w:t>7.发布公告的媒介</w:t>
      </w:r>
      <w:bookmarkEnd w:id="31"/>
      <w:bookmarkEnd w:id="32"/>
      <w:bookmarkEnd w:id="33"/>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本次比选公告同时在</w:t>
      </w:r>
      <w:r>
        <w:rPr>
          <w:rFonts w:hint="eastAsia" w:ascii="宋体" w:hAnsi="宋体"/>
          <w:highlight w:val="none"/>
          <w:lang w:eastAsia="zh-CN"/>
        </w:rPr>
        <w:t>南宁轨道交通</w:t>
      </w:r>
      <w:r>
        <w:rPr>
          <w:rFonts w:hint="eastAsia" w:ascii="宋体" w:hAnsi="宋体"/>
          <w:highlight w:val="none"/>
          <w:lang w:val="en-US" w:eastAsia="zh-CN"/>
        </w:rPr>
        <w:t>集团</w:t>
      </w:r>
      <w:r>
        <w:rPr>
          <w:rFonts w:hint="eastAsia" w:ascii="宋体" w:hAnsi="宋体"/>
          <w:highlight w:val="none"/>
          <w:lang w:eastAsia="zh-CN"/>
        </w:rPr>
        <w:t>有限</w:t>
      </w:r>
      <w:r>
        <w:rPr>
          <w:rFonts w:hint="eastAsia" w:ascii="宋体" w:hAnsi="宋体"/>
          <w:highlight w:val="none"/>
          <w:lang w:val="en-US" w:eastAsia="zh-CN"/>
        </w:rPr>
        <w:t>责任</w:t>
      </w:r>
      <w:r>
        <w:rPr>
          <w:rFonts w:hint="eastAsia" w:ascii="宋体" w:hAnsi="宋体"/>
          <w:highlight w:val="none"/>
          <w:lang w:eastAsia="zh-CN"/>
        </w:rPr>
        <w:t>公司</w:t>
      </w:r>
      <w:r>
        <w:rPr>
          <w:rFonts w:hint="eastAsia" w:ascii="宋体" w:hAnsi="宋体"/>
          <w:highlight w:val="none"/>
        </w:rPr>
        <w:t>官网(http://www.nngdjt.com)、中国e车网(http://www.ecrrc.com)发布。</w:t>
      </w:r>
    </w:p>
    <w:p>
      <w:pPr>
        <w:spacing w:before="0" w:after="0" w:afterAutospacing="0"/>
        <w:ind w:left="0" w:right="0" w:firstLine="422" w:firstLineChars="200"/>
        <w:outlineLvl w:val="9"/>
        <w:rPr>
          <w:rFonts w:ascii="宋体" w:hAnsi="宋体"/>
          <w:b/>
          <w:highlight w:val="none"/>
        </w:rPr>
      </w:pPr>
      <w:bookmarkStart w:id="34" w:name="_Toc22743_WPSOffice_Level2"/>
      <w:bookmarkStart w:id="35" w:name="_Toc1350_WPSOffice_Level2"/>
      <w:bookmarkStart w:id="36" w:name="_Toc748_WPSOffice_Level2"/>
      <w:r>
        <w:rPr>
          <w:rFonts w:hint="eastAsia" w:ascii="宋体" w:hAnsi="宋体"/>
          <w:b/>
          <w:highlight w:val="none"/>
        </w:rPr>
        <w:t>8.联系方式</w:t>
      </w:r>
      <w:bookmarkEnd w:id="34"/>
      <w:bookmarkEnd w:id="35"/>
      <w:bookmarkEnd w:id="36"/>
    </w:p>
    <w:p>
      <w:pPr>
        <w:spacing w:before="0" w:after="0" w:afterAutospacing="0"/>
        <w:ind w:left="0" w:right="0" w:firstLine="420" w:firstLineChars="200"/>
        <w:outlineLvl w:val="9"/>
        <w:rPr>
          <w:rFonts w:ascii="宋体" w:hAnsi="宋体"/>
          <w:highlight w:val="none"/>
          <w:u w:val="single"/>
        </w:rPr>
      </w:pPr>
      <w:r>
        <w:rPr>
          <w:rFonts w:hint="eastAsia" w:ascii="宋体" w:hAnsi="宋体"/>
          <w:highlight w:val="none"/>
        </w:rPr>
        <w:t>比</w:t>
      </w:r>
      <w:r>
        <w:rPr>
          <w:rFonts w:hint="eastAsia" w:ascii="宋体" w:hAnsi="宋体"/>
          <w:highlight w:val="none"/>
          <w:lang w:val="en-US" w:eastAsia="zh-CN"/>
        </w:rPr>
        <w:t xml:space="preserve"> </w:t>
      </w:r>
      <w:r>
        <w:rPr>
          <w:rFonts w:hint="eastAsia" w:ascii="宋体" w:hAnsi="宋体"/>
          <w:highlight w:val="none"/>
        </w:rPr>
        <w:t>选 人：</w:t>
      </w:r>
      <w:r>
        <w:rPr>
          <w:rFonts w:hint="eastAsia" w:ascii="宋体" w:hAnsi="宋体"/>
          <w:highlight w:val="none"/>
          <w:lang w:eastAsia="zh-CN"/>
        </w:rPr>
        <w:t>南宁轨道交通运营有限公司</w:t>
      </w:r>
      <w:r>
        <w:rPr>
          <w:rFonts w:hint="eastAsia" w:ascii="宋体" w:hAnsi="宋体"/>
          <w:highlight w:val="none"/>
        </w:rPr>
        <w:t xml:space="preserve">    </w:t>
      </w:r>
    </w:p>
    <w:p>
      <w:pPr>
        <w:spacing w:before="0" w:after="0" w:afterAutospacing="0"/>
        <w:ind w:left="0" w:right="0" w:firstLine="420" w:firstLineChars="200"/>
        <w:outlineLvl w:val="9"/>
        <w:rPr>
          <w:rFonts w:ascii="宋体" w:hAnsi="宋体"/>
          <w:highlight w:val="none"/>
          <w:u w:val="single"/>
        </w:rPr>
      </w:pPr>
      <w:r>
        <w:rPr>
          <w:rFonts w:hint="eastAsia" w:ascii="宋体" w:hAnsi="宋体"/>
          <w:highlight w:val="none"/>
        </w:rPr>
        <w:t>地    址：</w:t>
      </w:r>
      <w:r>
        <w:rPr>
          <w:rFonts w:hint="eastAsia" w:ascii="宋体" w:hAnsi="宋体"/>
          <w:highlight w:val="none"/>
          <w:lang w:eastAsia="zh-CN"/>
        </w:rPr>
        <w:t>广西南宁市青秀区云景路</w:t>
      </w:r>
      <w:r>
        <w:rPr>
          <w:rFonts w:hint="eastAsia" w:ascii="宋体" w:hAnsi="宋体"/>
          <w:highlight w:val="none"/>
          <w:lang w:val="en-US" w:eastAsia="zh-CN"/>
        </w:rPr>
        <w:t>83号</w:t>
      </w:r>
      <w:r>
        <w:rPr>
          <w:rFonts w:hint="eastAsia" w:ascii="宋体" w:hAnsi="宋体"/>
          <w:highlight w:val="none"/>
        </w:rPr>
        <w:t xml:space="preserve">        </w:t>
      </w:r>
    </w:p>
    <w:p>
      <w:pPr>
        <w:spacing w:before="0" w:after="0" w:afterAutospacing="0"/>
        <w:ind w:left="0" w:right="0" w:firstLine="420" w:firstLineChars="200"/>
        <w:outlineLvl w:val="9"/>
        <w:rPr>
          <w:rFonts w:ascii="宋体" w:hAnsi="宋体"/>
          <w:highlight w:val="none"/>
          <w:u w:val="single"/>
        </w:rPr>
      </w:pPr>
      <w:r>
        <w:rPr>
          <w:rFonts w:hint="eastAsia" w:ascii="宋体" w:hAnsi="宋体"/>
          <w:highlight w:val="none"/>
        </w:rPr>
        <w:t>邮    编：5300</w:t>
      </w:r>
      <w:r>
        <w:rPr>
          <w:rFonts w:hint="eastAsia" w:ascii="宋体" w:hAnsi="宋体"/>
          <w:highlight w:val="none"/>
          <w:lang w:val="en-US" w:eastAsia="zh-CN"/>
        </w:rPr>
        <w:t>00</w:t>
      </w:r>
      <w:r>
        <w:rPr>
          <w:rFonts w:hint="eastAsia" w:ascii="宋体" w:hAnsi="宋体"/>
          <w:highlight w:val="none"/>
        </w:rPr>
        <w:t xml:space="preserve">                         </w:t>
      </w:r>
    </w:p>
    <w:p>
      <w:pPr>
        <w:spacing w:before="0" w:after="0" w:afterAutospacing="0"/>
        <w:ind w:left="0" w:right="0" w:firstLine="420" w:firstLineChars="200"/>
        <w:outlineLvl w:val="9"/>
        <w:rPr>
          <w:rFonts w:hint="default" w:ascii="宋体" w:hAnsi="宋体" w:eastAsia="宋体"/>
          <w:color w:val="auto"/>
          <w:highlight w:val="none"/>
          <w:u w:val="single"/>
          <w:lang w:val="en-US" w:eastAsia="zh-CN"/>
        </w:rPr>
      </w:pPr>
      <w:r>
        <w:rPr>
          <w:rFonts w:hint="eastAsia" w:ascii="宋体" w:hAnsi="宋体"/>
          <w:color w:val="auto"/>
          <w:highlight w:val="none"/>
        </w:rPr>
        <w:t>联 系 人：</w:t>
      </w:r>
      <w:r>
        <w:rPr>
          <w:rFonts w:hint="eastAsia" w:ascii="宋体" w:hAnsi="宋体"/>
          <w:color w:val="auto"/>
          <w:highlight w:val="none"/>
          <w:lang w:val="en-US" w:eastAsia="zh-CN"/>
        </w:rPr>
        <w:t>钟工、羊工</w:t>
      </w:r>
    </w:p>
    <w:p>
      <w:pPr>
        <w:spacing w:before="0" w:after="0" w:afterAutospacing="0"/>
        <w:ind w:left="0" w:right="0" w:firstLine="420" w:firstLineChars="200"/>
        <w:outlineLvl w:val="9"/>
        <w:rPr>
          <w:rFonts w:hint="eastAsia" w:ascii="宋体" w:hAnsi="宋体"/>
          <w:color w:val="auto"/>
          <w:highlight w:val="none"/>
          <w:u w:val="single"/>
          <w:lang w:val="en-US" w:eastAsia="zh-CN"/>
        </w:rPr>
      </w:pPr>
      <w:r>
        <w:rPr>
          <w:rFonts w:hint="eastAsia" w:ascii="宋体" w:hAnsi="宋体"/>
          <w:color w:val="auto"/>
          <w:highlight w:val="none"/>
        </w:rPr>
        <w:t>电    话：</w:t>
      </w:r>
      <w:r>
        <w:rPr>
          <w:rFonts w:hint="eastAsia" w:ascii="宋体" w:hAnsi="宋体"/>
          <w:color w:val="auto"/>
          <w:highlight w:val="none"/>
          <w:u w:val="single"/>
          <w:lang w:val="en-US" w:eastAsia="zh-CN"/>
        </w:rPr>
        <w:t xml:space="preserve">0771-2779150、0771-2778624  </w:t>
      </w:r>
    </w:p>
    <w:p>
      <w:pPr>
        <w:pStyle w:val="2"/>
        <w:ind w:left="0" w:leftChars="0" w:firstLine="420" w:firstLineChars="200"/>
        <w:rPr>
          <w:rFonts w:hint="default"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纪检监察电话：</w:t>
      </w:r>
      <w:r>
        <w:rPr>
          <w:rFonts w:hint="eastAsia" w:ascii="宋体" w:hAnsi="宋体" w:eastAsia="宋体" w:cs="Times New Roman"/>
          <w:color w:val="auto"/>
          <w:kern w:val="0"/>
          <w:sz w:val="21"/>
          <w:szCs w:val="21"/>
          <w:highlight w:val="none"/>
          <w:u w:val="single"/>
          <w:lang w:val="en-US" w:eastAsia="zh-CN" w:bidi="ar-SA"/>
        </w:rPr>
        <w:t xml:space="preserve">    0771-2778084       </w:t>
      </w:r>
    </w:p>
    <w:p>
      <w:pPr>
        <w:spacing w:before="0" w:after="0" w:afterAutospacing="0"/>
        <w:ind w:left="0" w:right="0" w:firstLine="420" w:firstLineChars="200"/>
        <w:outlineLvl w:val="9"/>
        <w:rPr>
          <w:rFonts w:hint="eastAsia" w:ascii="宋体" w:hAnsi="宋体"/>
          <w:color w:val="auto"/>
          <w:highlight w:val="none"/>
          <w:u w:val="single"/>
          <w:lang w:val="en-US" w:eastAsia="zh-CN"/>
        </w:rPr>
      </w:pPr>
      <w:r>
        <w:rPr>
          <w:rFonts w:hint="eastAsia" w:ascii="宋体" w:hAnsi="宋体"/>
          <w:color w:val="auto"/>
          <w:highlight w:val="none"/>
        </w:rPr>
        <w:t>传</w:t>
      </w:r>
      <w:r>
        <w:rPr>
          <w:rFonts w:hint="eastAsia" w:ascii="宋体" w:hAnsi="宋体"/>
          <w:color w:val="auto"/>
          <w:highlight w:val="none"/>
          <w:lang w:val="en-US" w:eastAsia="zh-CN"/>
        </w:rPr>
        <w:t xml:space="preserve">    </w:t>
      </w:r>
      <w:r>
        <w:rPr>
          <w:rFonts w:hint="eastAsia" w:ascii="宋体" w:hAnsi="宋体"/>
          <w:color w:val="auto"/>
          <w:highlight w:val="none"/>
        </w:rPr>
        <w:t>真：</w:t>
      </w:r>
      <w:r>
        <w:rPr>
          <w:rFonts w:hint="eastAsia" w:ascii="宋体" w:hAnsi="宋体"/>
          <w:color w:val="auto"/>
          <w:highlight w:val="none"/>
          <w:u w:val="single"/>
          <w:lang w:val="en-US" w:eastAsia="zh-CN"/>
        </w:rPr>
        <w:t xml:space="preserve">                           </w:t>
      </w:r>
    </w:p>
    <w:p>
      <w:pPr>
        <w:spacing w:before="0" w:after="0" w:afterAutospacing="0"/>
        <w:ind w:left="0" w:right="0" w:firstLine="420" w:firstLineChars="200"/>
        <w:outlineLvl w:val="9"/>
        <w:rPr>
          <w:rFonts w:hint="default" w:ascii="宋体" w:hAnsi="宋体" w:eastAsia="宋体"/>
          <w:color w:val="auto"/>
          <w:highlight w:val="none"/>
          <w:u w:val="single"/>
          <w:lang w:val="en-US" w:eastAsia="zh-CN"/>
        </w:rPr>
      </w:pPr>
      <w:r>
        <w:rPr>
          <w:rFonts w:hint="eastAsia" w:ascii="宋体" w:hAnsi="宋体"/>
          <w:color w:val="auto"/>
          <w:highlight w:val="none"/>
        </w:rPr>
        <w:t>电子邮件：</w:t>
      </w:r>
      <w:r>
        <w:rPr>
          <w:rFonts w:hint="eastAsia" w:ascii="宋体" w:hAnsi="宋体"/>
          <w:color w:val="auto"/>
          <w:highlight w:val="none"/>
          <w:u w:val="single"/>
          <w:lang w:val="en-US" w:eastAsia="zh-CN"/>
        </w:rPr>
        <w:t xml:space="preserve">                           </w:t>
      </w:r>
    </w:p>
    <w:p>
      <w:pPr>
        <w:spacing w:before="0" w:after="120" w:line="380" w:lineRule="exact"/>
        <w:ind w:left="430" w:right="-57" w:firstLine="200"/>
        <w:rPr>
          <w:rFonts w:ascii="宋体" w:hAnsi="宋体"/>
          <w:highlight w:val="none"/>
        </w:rPr>
      </w:pPr>
    </w:p>
    <w:p>
      <w:pPr>
        <w:spacing w:before="0" w:after="120" w:line="380" w:lineRule="exact"/>
        <w:ind w:left="430" w:right="-57" w:firstLine="200"/>
        <w:rPr>
          <w:rFonts w:ascii="宋体" w:hAnsi="宋体"/>
          <w:highlight w:val="none"/>
        </w:rPr>
      </w:pPr>
    </w:p>
    <w:p>
      <w:pPr>
        <w:pStyle w:val="15"/>
        <w:pageBreakBefore/>
        <w:ind w:right="-57" w:firstLine="0"/>
        <w:jc w:val="center"/>
        <w:outlineLvl w:val="0"/>
        <w:rPr>
          <w:rStyle w:val="44"/>
          <w:rFonts w:ascii="宋体" w:hAnsi="宋体" w:eastAsia="宋体"/>
          <w:highlight w:val="none"/>
        </w:rPr>
      </w:pPr>
      <w:bookmarkStart w:id="37" w:name="_Toc322528192"/>
      <w:bookmarkEnd w:id="37"/>
      <w:bookmarkStart w:id="38" w:name="_Toc512357502"/>
      <w:bookmarkStart w:id="39" w:name="_Toc1835"/>
      <w:bookmarkStart w:id="40" w:name="_Toc22273"/>
      <w:bookmarkStart w:id="41" w:name="_Toc30883"/>
      <w:bookmarkStart w:id="42" w:name="_Toc3512"/>
      <w:bookmarkStart w:id="43" w:name="_Toc39"/>
      <w:bookmarkStart w:id="44" w:name="_Toc31251"/>
      <w:bookmarkStart w:id="45" w:name="_Toc15976"/>
      <w:bookmarkStart w:id="46" w:name="_Toc21830"/>
      <w:bookmarkStart w:id="47" w:name="_Toc24390"/>
      <w:bookmarkStart w:id="48" w:name="_Toc25750589"/>
      <w:bookmarkStart w:id="49" w:name="_Toc140_WPSOffice_Level1"/>
      <w:bookmarkStart w:id="50" w:name="_Toc18454"/>
      <w:bookmarkStart w:id="51" w:name="_Toc30725"/>
      <w:bookmarkStart w:id="52" w:name="_Toc12635"/>
      <w:bookmarkStart w:id="53" w:name="_Toc17594"/>
      <w:bookmarkStart w:id="54" w:name="_Toc29836"/>
      <w:bookmarkStart w:id="55" w:name="_Toc19869_WPSOffice_Level1"/>
      <w:bookmarkStart w:id="56" w:name="_Toc1052"/>
      <w:bookmarkStart w:id="57" w:name="_Toc31802"/>
      <w:bookmarkStart w:id="58" w:name="_Toc26108"/>
      <w:bookmarkStart w:id="59" w:name="_Toc17520"/>
      <w:bookmarkStart w:id="60" w:name="_Toc24972"/>
      <w:bookmarkStart w:id="61" w:name="_Toc17240"/>
      <w:bookmarkStart w:id="62" w:name="_Toc20201"/>
      <w:bookmarkStart w:id="63" w:name="_Toc1230"/>
      <w:bookmarkStart w:id="64" w:name="_Toc17735"/>
      <w:bookmarkStart w:id="65" w:name="_Toc30950"/>
      <w:bookmarkStart w:id="66" w:name="_Toc3495"/>
      <w:r>
        <w:rPr>
          <w:rStyle w:val="44"/>
          <w:rFonts w:hint="eastAsia" w:ascii="宋体" w:hAnsi="宋体" w:eastAsia="宋体"/>
          <w:highlight w:val="none"/>
        </w:rPr>
        <w:t>第二章</w:t>
      </w:r>
      <w:bookmarkEnd w:id="38"/>
      <w:r>
        <w:rPr>
          <w:rStyle w:val="44"/>
          <w:rFonts w:hint="eastAsia" w:ascii="宋体" w:hAnsi="宋体" w:eastAsia="宋体"/>
          <w:highlight w:val="none"/>
        </w:rPr>
        <w:t>比选申请须知</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15"/>
        <w:spacing w:before="0" w:after="0"/>
        <w:ind w:right="0" w:firstLine="0"/>
        <w:jc w:val="center"/>
        <w:outlineLvl w:val="9"/>
        <w:rPr>
          <w:rFonts w:hAnsi="宋体"/>
          <w:b/>
          <w:sz w:val="30"/>
          <w:szCs w:val="30"/>
          <w:highlight w:val="none"/>
        </w:rPr>
      </w:pPr>
      <w:bookmarkStart w:id="67" w:name="_Toc3448_WPSOffice_Level2"/>
      <w:bookmarkStart w:id="68" w:name="_Toc11946_WPSOffice_Level2"/>
      <w:r>
        <w:rPr>
          <w:rFonts w:hint="eastAsia" w:hAnsi="宋体"/>
          <w:b/>
          <w:sz w:val="30"/>
          <w:szCs w:val="30"/>
          <w:highlight w:val="none"/>
        </w:rPr>
        <w:t>比选申请须知前附表</w:t>
      </w:r>
      <w:bookmarkEnd w:id="67"/>
      <w:bookmarkEnd w:id="68"/>
    </w:p>
    <w:tbl>
      <w:tblPr>
        <w:tblStyle w:val="31"/>
        <w:tblW w:w="9117" w:type="dxa"/>
        <w:tblInd w:w="112" w:type="dxa"/>
        <w:tblLayout w:type="fixed"/>
        <w:tblCellMar>
          <w:top w:w="0" w:type="dxa"/>
          <w:left w:w="108" w:type="dxa"/>
          <w:bottom w:w="0" w:type="dxa"/>
          <w:right w:w="108" w:type="dxa"/>
        </w:tblCellMar>
      </w:tblPr>
      <w:tblGrid>
        <w:gridCol w:w="902"/>
        <w:gridCol w:w="1290"/>
        <w:gridCol w:w="6925"/>
      </w:tblGrid>
      <w:tr>
        <w:tblPrEx>
          <w:tblLayout w:type="fixed"/>
          <w:tblCellMar>
            <w:top w:w="0" w:type="dxa"/>
            <w:left w:w="108" w:type="dxa"/>
            <w:bottom w:w="0" w:type="dxa"/>
            <w:right w:w="108" w:type="dxa"/>
          </w:tblCellMar>
        </w:tblPrEx>
        <w:trPr>
          <w:trHeight w:val="27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outlineLvl w:val="9"/>
              <w:rPr>
                <w:rFonts w:ascii="宋体" w:hAnsi="宋体"/>
                <w:highlight w:val="none"/>
              </w:rPr>
            </w:pPr>
            <w:r>
              <w:rPr>
                <w:rFonts w:hint="eastAsia" w:ascii="宋体" w:hAnsi="宋体"/>
                <w:highlight w:val="none"/>
              </w:rPr>
              <w:t>条款号</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outlineLvl w:val="9"/>
              <w:rPr>
                <w:rFonts w:ascii="宋体" w:hAnsi="宋体"/>
                <w:highlight w:val="none"/>
              </w:rPr>
            </w:pPr>
            <w:r>
              <w:rPr>
                <w:rFonts w:hint="eastAsia" w:ascii="宋体" w:hAnsi="宋体"/>
                <w:highlight w:val="none"/>
              </w:rPr>
              <w:t>条款名称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outlineLvl w:val="9"/>
              <w:rPr>
                <w:rFonts w:ascii="宋体" w:hAnsi="宋体"/>
                <w:highlight w:val="none"/>
              </w:rPr>
            </w:pPr>
            <w:r>
              <w:rPr>
                <w:rFonts w:hint="eastAsia" w:ascii="宋体" w:hAnsi="宋体"/>
                <w:highlight w:val="none"/>
              </w:rPr>
              <w:t>详细内容</w:t>
            </w:r>
          </w:p>
        </w:tc>
      </w:tr>
      <w:tr>
        <w:tblPrEx>
          <w:tblLayout w:type="fixed"/>
          <w:tblCellMar>
            <w:top w:w="0" w:type="dxa"/>
            <w:left w:w="108" w:type="dxa"/>
            <w:bottom w:w="0" w:type="dxa"/>
            <w:right w:w="108" w:type="dxa"/>
          </w:tblCellMar>
        </w:tblPrEx>
        <w:trPr>
          <w:trHeight w:val="119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比选人</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hint="eastAsia"/>
                <w:lang w:eastAsia="zh-CN"/>
              </w:rPr>
            </w:pPr>
            <w:r>
              <w:rPr>
                <w:rFonts w:hint="eastAsia"/>
              </w:rPr>
              <w:t>名称：</w:t>
            </w:r>
            <w:r>
              <w:rPr>
                <w:rFonts w:hint="eastAsia"/>
                <w:lang w:eastAsia="zh-CN"/>
              </w:rPr>
              <w:t>南宁轨道交通运营有限公司</w:t>
            </w:r>
          </w:p>
          <w:p>
            <w:pPr>
              <w:spacing w:before="0" w:after="0" w:afterAutospacing="0"/>
              <w:ind w:left="0" w:right="0" w:firstLine="0"/>
              <w:outlineLvl w:val="9"/>
              <w:rPr>
                <w:rFonts w:hint="eastAsia"/>
                <w:lang w:eastAsia="zh-CN"/>
              </w:rPr>
            </w:pPr>
            <w:r>
              <w:rPr>
                <w:rFonts w:hint="eastAsia"/>
              </w:rPr>
              <w:t>地址：</w:t>
            </w:r>
            <w:r>
              <w:rPr>
                <w:rFonts w:hint="eastAsia"/>
                <w:lang w:eastAsia="zh-CN"/>
              </w:rPr>
              <w:t>广西南宁市青秀区云景路</w:t>
            </w:r>
            <w:r>
              <w:rPr>
                <w:rFonts w:hint="eastAsia"/>
                <w:lang w:val="en-US" w:eastAsia="zh-CN"/>
              </w:rPr>
              <w:t>83</w:t>
            </w:r>
            <w:r>
              <w:rPr>
                <w:rFonts w:hint="eastAsia"/>
                <w:lang w:eastAsia="zh-CN"/>
              </w:rPr>
              <w:t>号</w:t>
            </w:r>
          </w:p>
          <w:p>
            <w:pPr>
              <w:spacing w:before="0" w:after="0" w:afterAutospacing="0"/>
              <w:ind w:left="0" w:right="0" w:firstLine="0"/>
              <w:outlineLvl w:val="9"/>
              <w:rPr>
                <w:rFonts w:hint="default"/>
                <w:lang w:val="en-US" w:eastAsia="zh-CN"/>
              </w:rPr>
            </w:pPr>
            <w:r>
              <w:rPr>
                <w:rFonts w:hint="eastAsia"/>
              </w:rPr>
              <w:t>联系人：</w:t>
            </w:r>
            <w:r>
              <w:rPr>
                <w:rFonts w:hint="eastAsia"/>
                <w:lang w:val="en-US" w:eastAsia="zh-CN"/>
              </w:rPr>
              <w:t>钟</w:t>
            </w:r>
            <w:r>
              <w:rPr>
                <w:rFonts w:hint="eastAsia"/>
                <w:lang w:eastAsia="zh-CN"/>
              </w:rPr>
              <w:t>工、</w:t>
            </w:r>
            <w:r>
              <w:rPr>
                <w:rFonts w:hint="eastAsia"/>
                <w:lang w:val="en-US" w:eastAsia="zh-CN"/>
              </w:rPr>
              <w:t>羊工</w:t>
            </w:r>
          </w:p>
          <w:p>
            <w:pPr>
              <w:spacing w:before="0" w:after="0" w:afterAutospacing="0"/>
              <w:ind w:left="0" w:right="0" w:firstLine="0"/>
              <w:outlineLvl w:val="9"/>
              <w:rPr>
                <w:rFonts w:hint="eastAsia"/>
                <w:lang w:val="en-US" w:eastAsia="zh-CN"/>
              </w:rPr>
            </w:pPr>
            <w:r>
              <w:rPr>
                <w:rFonts w:hint="eastAsia"/>
              </w:rPr>
              <w:t>联系电话：</w:t>
            </w:r>
            <w:r>
              <w:rPr>
                <w:rFonts w:hint="eastAsia"/>
                <w:lang w:val="en-US" w:eastAsia="zh-CN"/>
              </w:rPr>
              <w:t>0771-2779150、0771-2778624</w:t>
            </w:r>
          </w:p>
          <w:p>
            <w:pPr>
              <w:spacing w:before="0" w:after="0" w:afterAutospacing="0"/>
              <w:ind w:left="0" w:right="0" w:firstLine="0"/>
              <w:outlineLvl w:val="9"/>
              <w:rPr>
                <w:rFonts w:hint="default"/>
                <w:lang w:val="en-US" w:eastAsia="zh-CN"/>
              </w:rPr>
            </w:pPr>
            <w:r>
              <w:rPr>
                <w:rFonts w:hint="eastAsia"/>
                <w:lang w:val="en-US" w:eastAsia="zh-CN"/>
              </w:rPr>
              <w:t>纪检监察电话：0771-2778084</w:t>
            </w:r>
          </w:p>
        </w:tc>
      </w:tr>
      <w:tr>
        <w:tblPrEx>
          <w:tblLayout w:type="fixed"/>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1.2</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项目名称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hint="eastAsia" w:ascii="宋体" w:hAnsi="宋体" w:eastAsia="宋体"/>
                <w:highlight w:val="none"/>
                <w:lang w:eastAsia="zh-CN"/>
              </w:rPr>
            </w:pPr>
            <w:r>
              <w:rPr>
                <w:rFonts w:hint="eastAsia" w:ascii="宋体" w:hAnsi="宋体"/>
                <w:highlight w:val="none"/>
                <w:lang w:eastAsia="zh-CN"/>
              </w:rPr>
              <w:t>南宁轨道交通1-5号线出入段（场）线地面洞口及个别车站紧急疏散口视频监控补盲项目</w:t>
            </w:r>
          </w:p>
        </w:tc>
      </w:tr>
      <w:tr>
        <w:tblPrEx>
          <w:tblLayout w:type="fixed"/>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1.3</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项目编号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hint="eastAsia" w:ascii="宋体" w:hAnsi="宋体" w:eastAsia="宋体"/>
                <w:highlight w:val="none"/>
                <w:lang w:val="en-US" w:eastAsia="zh-CN"/>
              </w:rPr>
            </w:pPr>
            <w:r>
              <w:rPr>
                <w:rFonts w:hint="eastAsia" w:ascii="宋体" w:hAnsi="宋体"/>
                <w:highlight w:val="none"/>
              </w:rPr>
              <w:t>202208250003</w:t>
            </w:r>
          </w:p>
        </w:tc>
      </w:tr>
      <w:tr>
        <w:tblPrEx>
          <w:tblLayout w:type="fixed"/>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比选</w:t>
            </w:r>
            <w:r>
              <w:rPr>
                <w:rFonts w:ascii="宋体" w:hAnsi="宋体"/>
                <w:highlight w:val="none"/>
              </w:rPr>
              <w:t>范围</w:t>
            </w:r>
          </w:p>
        </w:tc>
        <w:tc>
          <w:tcPr>
            <w:tcW w:w="69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0" w:firstLineChars="0"/>
              <w:jc w:val="both"/>
              <w:textAlignment w:val="auto"/>
              <w:outlineLvl w:val="9"/>
              <w:rPr>
                <w:rFonts w:ascii="宋体" w:hAnsi="宋体"/>
                <w:highlight w:val="none"/>
              </w:rPr>
            </w:pPr>
            <w:r>
              <w:rPr>
                <w:rFonts w:hint="eastAsia" w:ascii="宋体" w:hAnsi="宋体"/>
                <w:highlight w:val="none"/>
                <w:u w:val="single"/>
                <w:lang w:val="en-US" w:eastAsia="zh-CN"/>
              </w:rPr>
              <w:t>南宁轨道交通1-5号线出入段（场）线地面洞口及个别车站紧急疏散口视频监控补盲项目</w:t>
            </w:r>
            <w:r>
              <w:rPr>
                <w:rFonts w:hint="eastAsia" w:ascii="宋体" w:hAnsi="宋体"/>
                <w:highlight w:val="none"/>
                <w:u w:val="single"/>
              </w:rPr>
              <w:t xml:space="preserve"> </w:t>
            </w:r>
            <w:r>
              <w:rPr>
                <w:rFonts w:ascii="宋体" w:hAnsi="宋体"/>
                <w:highlight w:val="none"/>
              </w:rPr>
              <w:t>,</w:t>
            </w:r>
            <w:r>
              <w:rPr>
                <w:rFonts w:hint="eastAsia" w:ascii="宋体" w:hAnsi="宋体"/>
                <w:highlight w:val="none"/>
              </w:rPr>
              <w:t>具体详见用户需求书。</w:t>
            </w:r>
          </w:p>
        </w:tc>
      </w:tr>
      <w:tr>
        <w:tblPrEx>
          <w:tblLayout w:type="fixed"/>
          <w:tblCellMar>
            <w:top w:w="0" w:type="dxa"/>
            <w:left w:w="108" w:type="dxa"/>
            <w:bottom w:w="0" w:type="dxa"/>
            <w:right w:w="108" w:type="dxa"/>
          </w:tblCellMar>
        </w:tblPrEx>
        <w:trPr>
          <w:trHeight w:val="9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1.5</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rightChars="0" w:firstLine="0" w:firstLineChars="0"/>
              <w:outlineLvl w:val="9"/>
              <w:rPr>
                <w:rFonts w:ascii="宋体" w:hAnsi="宋体"/>
                <w:color w:val="auto"/>
                <w:highlight w:val="none"/>
              </w:rPr>
            </w:pPr>
            <w:r>
              <w:rPr>
                <w:rFonts w:hint="eastAsia" w:ascii="宋体" w:hAnsi="宋体"/>
                <w:color w:val="auto"/>
                <w:highlight w:val="none"/>
              </w:rPr>
              <w:t>工期</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rightChars="0" w:firstLine="0" w:firstLineChars="0"/>
              <w:outlineLvl w:val="9"/>
              <w:rPr>
                <w:rFonts w:ascii="宋体" w:hAnsi="宋体"/>
                <w:color w:val="auto"/>
                <w:highlight w:val="none"/>
              </w:rPr>
            </w:pP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开工令发布</w:t>
            </w:r>
            <w:r>
              <w:rPr>
                <w:rFonts w:hint="eastAsia" w:ascii="宋体" w:hAnsi="宋体"/>
                <w:color w:val="auto"/>
                <w:highlight w:val="none"/>
                <w:u w:val="single"/>
              </w:rPr>
              <w:t>之日起共</w:t>
            </w:r>
            <w:r>
              <w:rPr>
                <w:rFonts w:hint="eastAsia" w:ascii="宋体" w:hAnsi="宋体"/>
                <w:color w:val="auto"/>
                <w:highlight w:val="none"/>
                <w:u w:val="single"/>
                <w:lang w:val="en-US" w:eastAsia="zh-CN"/>
              </w:rPr>
              <w:t>45</w:t>
            </w:r>
            <w:r>
              <w:rPr>
                <w:rFonts w:hint="eastAsia" w:ascii="宋体" w:hAnsi="宋体"/>
                <w:color w:val="auto"/>
                <w:highlight w:val="none"/>
                <w:u w:val="single"/>
              </w:rPr>
              <w:t>天（如遇特殊情况或极端天气则工期顺延），具体开工日期以比选人开工令发布时间为准</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完工日期以项目验收合格日期为准。</w:t>
            </w:r>
          </w:p>
        </w:tc>
      </w:tr>
      <w:tr>
        <w:tblPrEx>
          <w:tblLayout w:type="fixed"/>
          <w:tblCellMar>
            <w:top w:w="0" w:type="dxa"/>
            <w:left w:w="108" w:type="dxa"/>
            <w:bottom w:w="0" w:type="dxa"/>
            <w:right w:w="108" w:type="dxa"/>
          </w:tblCellMar>
        </w:tblPrEx>
        <w:trPr>
          <w:trHeight w:val="140"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1.6</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资金来源</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企业自有资金</w:t>
            </w:r>
          </w:p>
        </w:tc>
      </w:tr>
      <w:tr>
        <w:tblPrEx>
          <w:tblLayout w:type="fixed"/>
          <w:tblCellMar>
            <w:top w:w="0" w:type="dxa"/>
            <w:left w:w="108" w:type="dxa"/>
            <w:bottom w:w="0" w:type="dxa"/>
            <w:right w:w="108" w:type="dxa"/>
          </w:tblCellMar>
        </w:tblPrEx>
        <w:trPr>
          <w:trHeight w:val="120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1.7</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上限控制价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上限控制价：本项目不含税上限控制价为人民币</w:t>
            </w:r>
            <w:r>
              <w:rPr>
                <w:rFonts w:hint="eastAsia" w:ascii="宋体" w:hAnsi="宋体"/>
                <w:color w:val="auto"/>
                <w:highlight w:val="none"/>
                <w:u w:val="single"/>
                <w:lang w:val="en-US" w:eastAsia="zh-CN"/>
              </w:rPr>
              <w:t xml:space="preserve"> 25.9 </w:t>
            </w:r>
            <w:r>
              <w:rPr>
                <w:rFonts w:hint="eastAsia" w:ascii="宋体" w:hAnsi="宋体"/>
                <w:color w:val="auto"/>
                <w:highlight w:val="none"/>
              </w:rPr>
              <w:t>万元。比选申请不含税报价高于上限控制价的比选申请文件将按否决比选申请处理。</w:t>
            </w:r>
          </w:p>
        </w:tc>
      </w:tr>
      <w:tr>
        <w:tblPrEx>
          <w:tblLayout w:type="fixed"/>
          <w:tblCellMar>
            <w:top w:w="0" w:type="dxa"/>
            <w:left w:w="108" w:type="dxa"/>
            <w:bottom w:w="0" w:type="dxa"/>
            <w:right w:w="108" w:type="dxa"/>
          </w:tblCellMar>
        </w:tblPrEx>
        <w:trPr>
          <w:trHeight w:val="146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3</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比选申请人应具备的资格条件</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hint="eastAsia"/>
                <w:highlight w:val="none"/>
                <w:lang w:eastAsia="zh-CN"/>
              </w:rPr>
            </w:pPr>
            <w:r>
              <w:rPr>
                <w:rFonts w:hint="eastAsia"/>
                <w:highlight w:val="none"/>
              </w:rPr>
              <w:t>（1）比选申请人为中华人民共和国境内依法设立的法人或其他组织（若以分公司名义参与比选申请，必须出具总公司授权参与的证明）</w:t>
            </w:r>
            <w:r>
              <w:rPr>
                <w:rFonts w:hint="eastAsia"/>
                <w:highlight w:val="none"/>
                <w:lang w:eastAsia="zh-CN"/>
              </w:rPr>
              <w:t>。</w:t>
            </w:r>
          </w:p>
          <w:p>
            <w:pPr>
              <w:spacing w:before="0" w:after="0" w:afterAutospacing="0"/>
              <w:ind w:left="0" w:right="0" w:firstLine="0"/>
              <w:outlineLvl w:val="9"/>
              <w:rPr>
                <w:rFonts w:hint="eastAsia"/>
                <w:highlight w:val="none"/>
                <w:lang w:eastAsia="zh-CN"/>
              </w:rPr>
            </w:pPr>
            <w:r>
              <w:rPr>
                <w:rFonts w:hint="eastAsia"/>
                <w:highlight w:val="none"/>
              </w:rPr>
              <w:t>（2）资质条件：</w:t>
            </w:r>
            <w:r>
              <w:rPr>
                <w:rFonts w:hint="eastAsia"/>
                <w:highlight w:val="none"/>
                <w:lang w:val="en-US" w:eastAsia="zh-CN"/>
              </w:rPr>
              <w:t>要求比选申请人具备建设行政主管部门颁发的通信工程施工总承包二级及以上资质。</w:t>
            </w:r>
          </w:p>
          <w:p>
            <w:pPr>
              <w:spacing w:before="0" w:after="0" w:afterAutospacing="0"/>
              <w:ind w:left="0" w:right="0" w:firstLine="0"/>
              <w:outlineLvl w:val="9"/>
              <w:rPr>
                <w:rFonts w:hint="eastAsia"/>
                <w:highlight w:val="none"/>
              </w:rPr>
            </w:pPr>
            <w:r>
              <w:rPr>
                <w:rFonts w:hint="eastAsia"/>
                <w:highlight w:val="none"/>
              </w:rPr>
              <w:t>（3）业绩条件：</w:t>
            </w:r>
            <w:r>
              <w:rPr>
                <w:rFonts w:hint="eastAsia" w:ascii="宋体" w:hAnsi="宋体"/>
                <w:strike w:val="0"/>
                <w:dstrike w:val="0"/>
                <w:color w:val="auto"/>
                <w:highlight w:val="none"/>
                <w:lang w:val="en-US" w:eastAsia="zh-CN"/>
              </w:rPr>
              <w:t>无</w:t>
            </w:r>
            <w:r>
              <w:rPr>
                <w:rFonts w:hint="eastAsia"/>
                <w:highlight w:val="none"/>
              </w:rPr>
              <w:t>。</w:t>
            </w:r>
          </w:p>
          <w:p>
            <w:pPr>
              <w:spacing w:before="0" w:after="0" w:afterAutospacing="0"/>
              <w:ind w:left="0" w:right="0" w:firstLine="0"/>
              <w:outlineLvl w:val="9"/>
              <w:rPr>
                <w:highlight w:val="none"/>
              </w:rPr>
            </w:pPr>
            <w:r>
              <w:rPr>
                <w:rFonts w:hint="eastAsia"/>
                <w:highlight w:val="none"/>
              </w:rPr>
              <w:t>（4）比选申请人没有处于被行政管部门或业主取消比选申请资格的处罚期内，且没有处于被责令停业，财产被接管、破产状态；比选申请截止时间前</w:t>
            </w:r>
            <w:r>
              <w:rPr>
                <w:rFonts w:hint="eastAsia"/>
                <w:highlight w:val="none"/>
                <w:lang w:val="en-US" w:eastAsia="zh-CN"/>
              </w:rPr>
              <w:t>3</w:t>
            </w:r>
            <w:r>
              <w:rPr>
                <w:rFonts w:hint="eastAsia"/>
                <w:highlight w:val="none"/>
              </w:rPr>
              <w:t>年内没有骗取中选、严重违约或重大质量安全责任事故的情况；</w:t>
            </w:r>
          </w:p>
          <w:p>
            <w:pPr>
              <w:spacing w:before="0" w:after="0" w:afterAutospacing="0"/>
              <w:ind w:left="0" w:right="0" w:firstLine="0"/>
              <w:outlineLvl w:val="9"/>
              <w:rPr>
                <w:highlight w:val="none"/>
              </w:rPr>
            </w:pPr>
            <w:r>
              <w:rPr>
                <w:rFonts w:hint="eastAsia"/>
                <w:highlight w:val="none"/>
              </w:rPr>
              <w:t>（5）单位负责人为同一人或者存在控股、管理关系的不同单位，不得参加同一标段比选申请或者未划分标段的同一比选项目比选申请。</w:t>
            </w:r>
          </w:p>
          <w:p>
            <w:pPr>
              <w:spacing w:before="0" w:after="0" w:afterAutospacing="0"/>
              <w:ind w:left="0" w:right="0" w:firstLine="0"/>
              <w:outlineLvl w:val="9"/>
              <w:rPr>
                <w:rFonts w:hint="eastAsia"/>
                <w:highlight w:val="none"/>
              </w:rPr>
            </w:pPr>
            <w:r>
              <w:rPr>
                <w:rFonts w:hint="eastAsia"/>
                <w:highlight w:val="none"/>
              </w:rPr>
              <w:t>（6）本项目不接受联合体比选申请。</w:t>
            </w:r>
          </w:p>
          <w:p>
            <w:pPr>
              <w:spacing w:before="0" w:after="0" w:afterAutospacing="0"/>
              <w:ind w:left="0" w:right="0" w:firstLine="0"/>
              <w:outlineLvl w:val="9"/>
              <w:rPr>
                <w:highlight w:val="none"/>
              </w:rPr>
            </w:pPr>
            <w:r>
              <w:rPr>
                <w:rFonts w:hint="eastAsia"/>
                <w:highlight w:val="none"/>
              </w:rPr>
              <w:t>（</w:t>
            </w:r>
            <w:r>
              <w:rPr>
                <w:rFonts w:hint="eastAsia"/>
                <w:highlight w:val="none"/>
                <w:lang w:val="en-US" w:eastAsia="zh-CN"/>
              </w:rPr>
              <w:t>7</w:t>
            </w:r>
            <w:r>
              <w:rPr>
                <w:rFonts w:hint="eastAsia"/>
                <w:highlight w:val="none"/>
              </w:rPr>
              <w:t>）</w:t>
            </w:r>
            <w:r>
              <w:rPr>
                <w:rFonts w:hint="eastAsia" w:ascii="宋体" w:hAnsi="宋体"/>
                <w:szCs w:val="21"/>
                <w:highlight w:val="none"/>
                <w:lang w:eastAsia="zh-CN"/>
              </w:rPr>
              <w:t>比选申请人</w:t>
            </w:r>
            <w:r>
              <w:rPr>
                <w:rFonts w:hint="eastAsia" w:ascii="宋体" w:hAnsi="宋体"/>
                <w:szCs w:val="21"/>
                <w:highlight w:val="none"/>
              </w:rPr>
              <w:t>未列入</w:t>
            </w:r>
            <w:r>
              <w:rPr>
                <w:rFonts w:hint="eastAsia" w:ascii="宋体" w:hAnsi="宋体"/>
                <w:szCs w:val="21"/>
                <w:highlight w:val="none"/>
                <w:lang w:val="en-US" w:eastAsia="zh-CN"/>
              </w:rPr>
              <w:t>比选</w:t>
            </w:r>
            <w:r>
              <w:rPr>
                <w:rFonts w:hint="eastAsia" w:ascii="宋体" w:hAnsi="宋体"/>
                <w:szCs w:val="21"/>
                <w:highlight w:val="none"/>
              </w:rPr>
              <w:t>人不良信用名单</w:t>
            </w:r>
            <w:r>
              <w:rPr>
                <w:rFonts w:hint="eastAsia" w:ascii="宋体" w:hAnsi="宋体"/>
                <w:szCs w:val="21"/>
                <w:highlight w:val="none"/>
                <w:lang w:eastAsia="zh-CN"/>
              </w:rPr>
              <w:t>。</w:t>
            </w:r>
          </w:p>
        </w:tc>
      </w:tr>
      <w:tr>
        <w:tblPrEx>
          <w:tblLayout w:type="fixed"/>
          <w:tblCellMar>
            <w:top w:w="0" w:type="dxa"/>
            <w:left w:w="108" w:type="dxa"/>
            <w:bottom w:w="0" w:type="dxa"/>
            <w:right w:w="108" w:type="dxa"/>
          </w:tblCellMar>
        </w:tblPrEx>
        <w:trPr>
          <w:trHeight w:val="241"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6.1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both"/>
              <w:outlineLvl w:val="9"/>
              <w:rPr>
                <w:rFonts w:ascii="宋体" w:hAnsi="宋体"/>
                <w:color w:val="auto"/>
                <w:highlight w:val="none"/>
              </w:rPr>
            </w:pPr>
            <w:r>
              <w:rPr>
                <w:rFonts w:hint="eastAsia" w:ascii="宋体" w:hAnsi="宋体"/>
                <w:color w:val="auto"/>
                <w:highlight w:val="none"/>
              </w:rPr>
              <w:t>比选申请人要求澄清比选文件</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对比选文件提出疑问的截止时间：</w:t>
            </w:r>
            <w:r>
              <w:rPr>
                <w:rFonts w:ascii="宋体" w:hAnsi="宋体"/>
                <w:color w:val="auto"/>
                <w:highlight w:val="none"/>
                <w:u w:val="single"/>
              </w:rPr>
              <w:t xml:space="preserve"> </w:t>
            </w:r>
            <w:r>
              <w:rPr>
                <w:rFonts w:hint="eastAsia" w:ascii="宋体" w:hAnsi="宋体"/>
                <w:color w:val="auto"/>
                <w:highlight w:val="none"/>
                <w:u w:val="single"/>
                <w:lang w:val="en-US" w:eastAsia="zh-CN"/>
              </w:rPr>
              <w:t>2022</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color w:val="auto"/>
                <w:highlight w:val="none"/>
                <w:u w:val="single"/>
                <w:lang w:val="en-US" w:eastAsia="zh-CN"/>
              </w:rPr>
              <w:t xml:space="preserve"> 9</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color w:val="auto"/>
                <w:highlight w:val="none"/>
                <w:u w:val="single"/>
                <w:lang w:val="en-US" w:eastAsia="zh-CN"/>
              </w:rPr>
              <w:t>26</w:t>
            </w:r>
            <w:r>
              <w:rPr>
                <w:rFonts w:ascii="宋体" w:hAnsi="宋体"/>
                <w:color w:val="auto"/>
                <w:highlight w:val="none"/>
                <w:u w:val="single"/>
              </w:rPr>
              <w:t xml:space="preserve"> </w:t>
            </w:r>
            <w:r>
              <w:rPr>
                <w:rFonts w:hint="eastAsia" w:ascii="宋体" w:hAnsi="宋体"/>
                <w:color w:val="auto"/>
                <w:highlight w:val="none"/>
              </w:rPr>
              <w:t>日前</w:t>
            </w:r>
            <w:r>
              <w:rPr>
                <w:rFonts w:hint="eastAsia" w:ascii="宋体" w:hAnsi="宋体"/>
                <w:color w:val="auto"/>
                <w:highlight w:val="none"/>
                <w:lang w:eastAsia="zh-CN"/>
              </w:rPr>
              <w:t>。</w:t>
            </w:r>
            <w:r>
              <w:rPr>
                <w:rFonts w:hint="eastAsia" w:ascii="宋体" w:hAnsi="宋体"/>
                <w:color w:val="auto"/>
                <w:highlight w:val="none"/>
              </w:rPr>
              <w:t>比选申请人不在规定期限内提出，比选人有权不予答复，或答复后比选申请截止时间由比选人确定是否顺延。</w:t>
            </w:r>
          </w:p>
          <w:p>
            <w:pPr>
              <w:spacing w:before="0" w:after="0" w:afterAutospacing="0"/>
              <w:ind w:left="0" w:right="0" w:firstLine="0"/>
              <w:outlineLvl w:val="9"/>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Layout w:type="fixed"/>
          <w:tblCellMar>
            <w:top w:w="0" w:type="dxa"/>
            <w:left w:w="108" w:type="dxa"/>
            <w:bottom w:w="0" w:type="dxa"/>
            <w:right w:w="108" w:type="dxa"/>
          </w:tblCellMar>
        </w:tblPrEx>
        <w:trPr>
          <w:trHeight w:val="241"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比选文件澄清发布方式</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kern w:val="2"/>
                <w:highlight w:val="none"/>
                <w:lang w:eastAsia="zh-CN"/>
              </w:rPr>
              <w:t>南宁轨道交通</w:t>
            </w:r>
            <w:r>
              <w:rPr>
                <w:rFonts w:hint="eastAsia" w:ascii="宋体" w:hAnsi="宋体"/>
                <w:color w:val="auto"/>
                <w:kern w:val="2"/>
                <w:highlight w:val="none"/>
                <w:lang w:val="en-US" w:eastAsia="zh-CN"/>
              </w:rPr>
              <w:t>集团</w:t>
            </w:r>
            <w:r>
              <w:rPr>
                <w:rFonts w:hint="eastAsia" w:ascii="宋体" w:hAnsi="宋体"/>
                <w:color w:val="auto"/>
                <w:kern w:val="2"/>
                <w:highlight w:val="none"/>
                <w:lang w:eastAsia="zh-CN"/>
              </w:rPr>
              <w:t>有限</w:t>
            </w:r>
            <w:r>
              <w:rPr>
                <w:rFonts w:hint="eastAsia" w:ascii="宋体" w:hAnsi="宋体"/>
                <w:color w:val="auto"/>
                <w:kern w:val="2"/>
                <w:highlight w:val="none"/>
                <w:lang w:val="en-US" w:eastAsia="zh-CN"/>
              </w:rPr>
              <w:t>责任</w:t>
            </w:r>
            <w:r>
              <w:rPr>
                <w:rFonts w:hint="eastAsia" w:ascii="宋体" w:hAnsi="宋体"/>
                <w:color w:val="auto"/>
                <w:kern w:val="2"/>
                <w:highlight w:val="none"/>
                <w:lang w:eastAsia="zh-CN"/>
              </w:rPr>
              <w:t>公司</w:t>
            </w:r>
            <w:r>
              <w:rPr>
                <w:rFonts w:hint="eastAsia" w:ascii="宋体" w:hAnsi="宋体"/>
                <w:color w:val="auto"/>
                <w:kern w:val="2"/>
                <w:highlight w:val="none"/>
              </w:rPr>
              <w:t>官网(http://www.nngdjt.com)</w:t>
            </w:r>
            <w:r>
              <w:rPr>
                <w:rFonts w:hint="eastAsia" w:ascii="宋体" w:hAnsi="宋体"/>
                <w:color w:val="auto"/>
                <w:kern w:val="2"/>
                <w:highlight w:val="none"/>
                <w:lang w:eastAsia="zh-CN"/>
              </w:rPr>
              <w:t>、</w:t>
            </w:r>
            <w:r>
              <w:rPr>
                <w:rFonts w:hint="eastAsia" w:ascii="宋体" w:hAnsi="宋体"/>
                <w:highlight w:val="none"/>
              </w:rPr>
              <w:t>中国e车网(http://www.ecrrc.com)</w:t>
            </w:r>
            <w:r>
              <w:rPr>
                <w:rFonts w:hint="eastAsia" w:ascii="宋体" w:hAnsi="宋体"/>
                <w:color w:val="auto"/>
                <w:kern w:val="2"/>
                <w:highlight w:val="none"/>
              </w:rPr>
              <w:t>发布</w:t>
            </w:r>
          </w:p>
        </w:tc>
      </w:tr>
      <w:tr>
        <w:tblPrEx>
          <w:tblLayout w:type="fixed"/>
          <w:tblCellMar>
            <w:top w:w="0" w:type="dxa"/>
            <w:left w:w="108" w:type="dxa"/>
            <w:bottom w:w="0" w:type="dxa"/>
            <w:right w:w="108" w:type="dxa"/>
          </w:tblCellMar>
        </w:tblPrEx>
        <w:trPr>
          <w:trHeight w:val="241"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比选申请人确认收到澄清的方式</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Layout w:type="fixed"/>
          <w:tblCellMar>
            <w:top w:w="0" w:type="dxa"/>
            <w:left w:w="108" w:type="dxa"/>
            <w:bottom w:w="0" w:type="dxa"/>
            <w:right w:w="108" w:type="dxa"/>
          </w:tblCellMar>
        </w:tblPrEx>
        <w:trPr>
          <w:trHeight w:val="1378"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lang w:val="en-US" w:eastAsia="zh-CN"/>
              </w:rPr>
              <w:t>10</w:t>
            </w:r>
            <w:r>
              <w:rPr>
                <w:rFonts w:hint="eastAsia" w:ascii="宋体" w:hAnsi="宋体"/>
                <w:highlight w:val="none"/>
              </w:rPr>
              <w:t>.1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构成比选申请文件的组成</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outlineLvl w:val="9"/>
              <w:rPr>
                <w:b/>
                <w:color w:val="auto"/>
                <w:highlight w:val="none"/>
              </w:rPr>
            </w:pPr>
            <w:r>
              <w:rPr>
                <w:rFonts w:hint="eastAsia"/>
                <w:b/>
                <w:color w:val="auto"/>
                <w:highlight w:val="none"/>
              </w:rPr>
              <w:t>资格审查文件</w:t>
            </w:r>
          </w:p>
          <w:p>
            <w:pPr>
              <w:spacing w:before="0" w:after="0" w:afterAutospacing="0" w:line="276" w:lineRule="auto"/>
              <w:ind w:left="0" w:right="0" w:firstLine="0"/>
              <w:outlineLvl w:val="9"/>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outlineLvl w:val="9"/>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）比选申请人有效的营业执照副本复印件或事业单位法人证书复印件等证明文件；</w:t>
            </w:r>
          </w:p>
          <w:p>
            <w:pPr>
              <w:spacing w:before="0" w:after="0" w:afterAutospacing="0" w:line="276" w:lineRule="auto"/>
              <w:ind w:left="0" w:right="0" w:firstLine="0"/>
              <w:outlineLvl w:val="9"/>
              <w:rPr>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76" w:lineRule="auto"/>
              <w:ind w:left="0" w:right="0" w:firstLine="0"/>
              <w:outlineLvl w:val="9"/>
              <w:rPr>
                <w:rFonts w:hint="eastAsia" w:ascii="宋体" w:hAnsi="宋体"/>
                <w:bCs/>
                <w:kern w:val="0"/>
                <w:szCs w:val="21"/>
                <w:highlight w:val="none"/>
                <w:lang w:eastAsia="zh-CN"/>
              </w:rPr>
            </w:pPr>
            <w:r>
              <w:rPr>
                <w:rFonts w:hint="eastAsia"/>
                <w:color w:val="auto"/>
                <w:highlight w:val="none"/>
              </w:rPr>
              <w:t>（4）</w:t>
            </w:r>
            <w:r>
              <w:rPr>
                <w:rFonts w:hint="eastAsia" w:ascii="宋体" w:hAnsi="宋体"/>
                <w:bCs/>
                <w:kern w:val="0"/>
                <w:szCs w:val="21"/>
                <w:highlight w:val="none"/>
              </w:rPr>
              <w:t>符合</w:t>
            </w:r>
            <w:r>
              <w:rPr>
                <w:rFonts w:hint="eastAsia" w:ascii="宋体" w:hAnsi="宋体"/>
                <w:bCs/>
                <w:kern w:val="0"/>
                <w:szCs w:val="21"/>
                <w:highlight w:val="none"/>
                <w:lang w:eastAsia="zh-CN"/>
              </w:rPr>
              <w:t>比选</w:t>
            </w:r>
            <w:r>
              <w:rPr>
                <w:rFonts w:hint="eastAsia" w:ascii="宋体" w:hAnsi="宋体"/>
                <w:bCs/>
                <w:kern w:val="0"/>
                <w:szCs w:val="21"/>
                <w:highlight w:val="none"/>
              </w:rPr>
              <w:t>文件要求的有效期内的资质证书等证明材料复印件</w:t>
            </w:r>
            <w:r>
              <w:rPr>
                <w:rFonts w:hint="eastAsia" w:ascii="宋体" w:hAnsi="宋体"/>
                <w:bCs/>
                <w:kern w:val="0"/>
                <w:szCs w:val="21"/>
                <w:highlight w:val="none"/>
                <w:lang w:eastAsia="zh-CN"/>
              </w:rPr>
              <w:t>（</w:t>
            </w:r>
            <w:r>
              <w:rPr>
                <w:rFonts w:hint="eastAsia" w:ascii="宋体" w:hAnsi="宋体"/>
                <w:bCs/>
                <w:kern w:val="0"/>
                <w:szCs w:val="21"/>
                <w:highlight w:val="none"/>
                <w:lang w:val="en-US" w:eastAsia="zh-CN"/>
              </w:rPr>
              <w:t>A4</w:t>
            </w:r>
            <w:r>
              <w:rPr>
                <w:rFonts w:hint="eastAsia" w:ascii="宋体" w:hAnsi="宋体"/>
                <w:bCs/>
                <w:kern w:val="0"/>
                <w:szCs w:val="21"/>
                <w:highlight w:val="none"/>
                <w:lang w:eastAsia="zh-CN"/>
              </w:rPr>
              <w:t>）；</w:t>
            </w:r>
          </w:p>
          <w:p>
            <w:pPr>
              <w:spacing w:before="0" w:after="0" w:afterAutospacing="0" w:line="276" w:lineRule="auto"/>
              <w:ind w:left="0" w:right="0" w:firstLine="0" w:firstLineChars="0"/>
              <w:outlineLvl w:val="9"/>
              <w:rPr>
                <w:color w:val="auto"/>
                <w:highlight w:val="none"/>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类似项目业绩表（A</w:t>
            </w:r>
            <w:r>
              <w:rPr>
                <w:rFonts w:hint="eastAsia"/>
                <w:color w:val="auto"/>
                <w:highlight w:val="none"/>
                <w:lang w:val="en-US" w:eastAsia="zh-CN"/>
              </w:rPr>
              <w:t>5</w:t>
            </w:r>
            <w:r>
              <w:rPr>
                <w:rFonts w:hint="eastAsia"/>
                <w:color w:val="auto"/>
                <w:highlight w:val="none"/>
              </w:rPr>
              <w:t>）</w:t>
            </w:r>
            <w:r>
              <w:rPr>
                <w:rFonts w:hint="eastAsia"/>
                <w:color w:val="auto"/>
                <w:highlight w:val="none"/>
                <w:lang w:eastAsia="zh-CN"/>
              </w:rPr>
              <w:t>（如有）</w:t>
            </w:r>
            <w:r>
              <w:rPr>
                <w:rFonts w:hint="eastAsia" w:hAnsi="宋体"/>
                <w:color w:val="auto"/>
                <w:highlight w:val="none"/>
              </w:rPr>
              <w:t>；</w:t>
            </w:r>
          </w:p>
          <w:p>
            <w:pPr>
              <w:spacing w:before="0" w:after="0" w:afterAutospacing="0"/>
              <w:ind w:left="0" w:right="0" w:firstLine="0"/>
              <w:outlineLvl w:val="9"/>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）比选申请人认为应提交的其他比选申请资料。</w:t>
            </w:r>
          </w:p>
          <w:p>
            <w:pPr>
              <w:spacing w:before="0" w:after="0" w:afterAutospacing="0" w:line="276" w:lineRule="auto"/>
              <w:ind w:left="0" w:right="0" w:firstLine="0"/>
              <w:outlineLvl w:val="9"/>
              <w:rPr>
                <w:b/>
                <w:color w:val="auto"/>
                <w:highlight w:val="none"/>
              </w:rPr>
            </w:pPr>
            <w:r>
              <w:rPr>
                <w:rFonts w:hint="eastAsia"/>
                <w:b/>
                <w:color w:val="auto"/>
                <w:highlight w:val="none"/>
              </w:rPr>
              <w:t>价格文件</w:t>
            </w:r>
          </w:p>
          <w:p>
            <w:pPr>
              <w:spacing w:before="0" w:after="0" w:afterAutospacing="0" w:line="276" w:lineRule="auto"/>
              <w:ind w:left="0" w:right="0" w:firstLine="0"/>
              <w:outlineLvl w:val="9"/>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outlineLvl w:val="9"/>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outlineLvl w:val="9"/>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outlineLvl w:val="9"/>
              <w:rPr>
                <w:rFonts w:ascii="宋体" w:hAnsi="宋体" w:cs="Arial"/>
                <w:color w:val="auto"/>
                <w:highlight w:val="none"/>
              </w:rPr>
            </w:pPr>
            <w:r>
              <w:rPr>
                <w:rFonts w:hint="eastAsia"/>
                <w:color w:val="auto"/>
                <w:highlight w:val="none"/>
              </w:rPr>
              <w:t>（4）比选申请人认为应提交的其他比选申请资料（如有）。</w:t>
            </w:r>
          </w:p>
          <w:p>
            <w:pPr>
              <w:spacing w:before="0" w:after="0" w:afterAutospacing="0" w:line="276" w:lineRule="auto"/>
              <w:ind w:left="0" w:right="0" w:firstLine="0"/>
              <w:outlineLvl w:val="9"/>
              <w:rPr>
                <w:b/>
                <w:color w:val="auto"/>
                <w:highlight w:val="none"/>
              </w:rPr>
            </w:pPr>
            <w:r>
              <w:rPr>
                <w:rFonts w:hint="eastAsia"/>
                <w:b/>
                <w:color w:val="auto"/>
                <w:highlight w:val="none"/>
              </w:rPr>
              <w:t>技术文件</w:t>
            </w:r>
          </w:p>
          <w:p>
            <w:pPr>
              <w:spacing w:before="0" w:after="0" w:afterAutospacing="0" w:line="276" w:lineRule="auto"/>
              <w:ind w:left="0" w:right="0" w:firstLine="0"/>
              <w:outlineLvl w:val="9"/>
              <w:rPr>
                <w:color w:val="auto"/>
                <w:highlight w:val="none"/>
              </w:rPr>
            </w:pPr>
            <w:r>
              <w:rPr>
                <w:rFonts w:hint="eastAsia"/>
                <w:color w:val="auto"/>
                <w:highlight w:val="none"/>
              </w:rPr>
              <w:t>（1）技术文件响应表（格式见C1）；</w:t>
            </w:r>
          </w:p>
          <w:p>
            <w:pPr>
              <w:spacing w:before="0" w:after="0" w:afterAutospacing="0" w:line="276" w:lineRule="auto"/>
              <w:ind w:left="0" w:right="0" w:firstLine="0"/>
              <w:outlineLvl w:val="9"/>
              <w:rPr>
                <w:color w:val="auto"/>
                <w:highlight w:val="none"/>
              </w:rPr>
            </w:pPr>
            <w:r>
              <w:rPr>
                <w:rFonts w:hint="eastAsia"/>
                <w:color w:val="auto"/>
                <w:highlight w:val="none"/>
              </w:rPr>
              <w:t>（2）</w:t>
            </w:r>
            <w:r>
              <w:rPr>
                <w:rFonts w:hint="eastAsia" w:hAnsi="宋体"/>
                <w:color w:val="auto"/>
                <w:highlight w:val="none"/>
              </w:rPr>
              <w:t>按期完成承诺书（格式见C2）</w:t>
            </w:r>
            <w:r>
              <w:rPr>
                <w:rFonts w:hint="eastAsia"/>
                <w:color w:val="auto"/>
                <w:highlight w:val="none"/>
              </w:rPr>
              <w:t>；</w:t>
            </w:r>
          </w:p>
          <w:p>
            <w:pPr>
              <w:spacing w:before="0" w:after="0" w:afterAutospacing="0" w:line="276" w:lineRule="auto"/>
              <w:ind w:left="0" w:right="0" w:firstLine="0"/>
              <w:outlineLvl w:val="9"/>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outlineLvl w:val="9"/>
              <w:rPr>
                <w:rFonts w:hint="eastAsia" w:eastAsia="宋体"/>
                <w:color w:val="auto"/>
                <w:highlight w:val="none"/>
                <w:lang w:eastAsia="zh-CN"/>
              </w:rPr>
            </w:pPr>
            <w:r>
              <w:rPr>
                <w:rFonts w:hint="eastAsia"/>
                <w:color w:val="auto"/>
                <w:highlight w:val="none"/>
              </w:rPr>
              <w:t>（4）商务响应表（格式见C</w:t>
            </w:r>
            <w:r>
              <w:rPr>
                <w:color w:val="auto"/>
                <w:highlight w:val="none"/>
              </w:rPr>
              <w:t>4</w:t>
            </w:r>
            <w:r>
              <w:rPr>
                <w:rFonts w:hint="eastAsia"/>
                <w:color w:val="auto"/>
                <w:highlight w:val="none"/>
              </w:rPr>
              <w:t>）</w:t>
            </w:r>
            <w:r>
              <w:rPr>
                <w:rFonts w:hint="eastAsia"/>
                <w:color w:val="auto"/>
                <w:highlight w:val="none"/>
                <w:lang w:eastAsia="zh-CN"/>
              </w:rPr>
              <w:t>；</w:t>
            </w:r>
          </w:p>
          <w:p>
            <w:pPr>
              <w:spacing w:before="0" w:after="0" w:afterAutospacing="0" w:line="276" w:lineRule="auto"/>
              <w:ind w:left="0" w:right="0" w:firstLine="0"/>
              <w:outlineLvl w:val="9"/>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施工方案</w:t>
            </w:r>
            <w:r>
              <w:rPr>
                <w:rFonts w:hint="eastAsia"/>
                <w:color w:val="auto"/>
                <w:highlight w:val="none"/>
                <w:lang w:eastAsia="zh-CN"/>
              </w:rPr>
              <w:t>；</w:t>
            </w:r>
          </w:p>
          <w:p>
            <w:pPr>
              <w:spacing w:before="0" w:after="0" w:afterAutospacing="0" w:line="276" w:lineRule="auto"/>
              <w:ind w:left="0" w:right="0" w:firstLine="0"/>
              <w:outlineLvl w:val="9"/>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6</w:t>
            </w:r>
            <w:r>
              <w:rPr>
                <w:rFonts w:hint="eastAsia"/>
                <w:color w:val="auto"/>
                <w:highlight w:val="none"/>
                <w:lang w:eastAsia="zh-CN"/>
              </w:rPr>
              <w:t>）</w:t>
            </w:r>
            <w:r>
              <w:rPr>
                <w:rFonts w:hint="eastAsia"/>
                <w:color w:val="auto"/>
                <w:highlight w:val="none"/>
              </w:rPr>
              <w:t>质保方案（如何进行</w:t>
            </w:r>
            <w:r>
              <w:rPr>
                <w:color w:val="auto"/>
                <w:highlight w:val="none"/>
              </w:rPr>
              <w:t>质保服务</w:t>
            </w:r>
            <w:r>
              <w:rPr>
                <w:rFonts w:hint="eastAsia"/>
                <w:color w:val="auto"/>
                <w:highlight w:val="none"/>
              </w:rPr>
              <w:t>保障等）</w:t>
            </w:r>
            <w:r>
              <w:rPr>
                <w:rFonts w:hint="eastAsia"/>
                <w:color w:val="auto"/>
                <w:highlight w:val="none"/>
                <w:lang w:eastAsia="zh-CN"/>
              </w:rPr>
              <w:t>；</w:t>
            </w:r>
          </w:p>
          <w:p>
            <w:pPr>
              <w:spacing w:before="0" w:after="0" w:afterAutospacing="0"/>
              <w:ind w:left="0" w:right="0" w:firstLine="0"/>
              <w:outlineLvl w:val="9"/>
              <w:rPr>
                <w:rFonts w:ascii="宋体" w:hAnsi="宋体"/>
                <w:color w:val="auto"/>
                <w:highlight w:val="none"/>
              </w:rPr>
            </w:pPr>
            <w:r>
              <w:rPr>
                <w:rFonts w:hint="eastAsia"/>
                <w:color w:val="auto"/>
                <w:highlight w:val="none"/>
              </w:rPr>
              <w:t>（</w:t>
            </w:r>
            <w:r>
              <w:rPr>
                <w:rFonts w:hint="eastAsia"/>
                <w:color w:val="auto"/>
                <w:highlight w:val="none"/>
                <w:lang w:val="en-US" w:eastAsia="zh-CN"/>
              </w:rPr>
              <w:t>7</w:t>
            </w:r>
            <w:r>
              <w:rPr>
                <w:rFonts w:hint="eastAsia"/>
                <w:color w:val="auto"/>
                <w:highlight w:val="none"/>
              </w:rPr>
              <w:t>）比选申请人认为应提交的其他比选申请资料（如有）。</w:t>
            </w:r>
          </w:p>
        </w:tc>
      </w:tr>
      <w:tr>
        <w:tblPrEx>
          <w:tblLayout w:type="fixed"/>
          <w:tblCellMar>
            <w:top w:w="0" w:type="dxa"/>
            <w:left w:w="108" w:type="dxa"/>
            <w:bottom w:w="0" w:type="dxa"/>
            <w:right w:w="108" w:type="dxa"/>
          </w:tblCellMar>
        </w:tblPrEx>
        <w:trPr>
          <w:trHeight w:val="533"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12.1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比选申请报价</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w:t>
            </w:r>
            <w:r>
              <w:rPr>
                <w:rFonts w:hint="eastAsia" w:ascii="宋体" w:hAnsi="宋体"/>
                <w:color w:val="auto"/>
                <w:highlight w:val="none"/>
                <w:lang w:val="en-US" w:eastAsia="zh-CN"/>
              </w:rPr>
              <w:t>工程量清单</w:t>
            </w:r>
            <w:r>
              <w:rPr>
                <w:rFonts w:hint="eastAsia" w:ascii="宋体" w:hAnsi="宋体"/>
                <w:color w:val="auto"/>
                <w:highlight w:val="none"/>
              </w:rPr>
              <w:t>的顺序填报比选申请报价表，不允许打乱顺序。</w:t>
            </w:r>
          </w:p>
        </w:tc>
      </w:tr>
      <w:tr>
        <w:tblPrEx>
          <w:tblLayout w:type="fixed"/>
          <w:tblCellMar>
            <w:top w:w="0" w:type="dxa"/>
            <w:left w:w="108" w:type="dxa"/>
            <w:bottom w:w="0" w:type="dxa"/>
            <w:right w:w="108" w:type="dxa"/>
          </w:tblCellMar>
        </w:tblPrEx>
        <w:trPr>
          <w:trHeight w:val="70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比选申请保证金</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不要求递交比选申请保证金</w:t>
            </w:r>
          </w:p>
        </w:tc>
      </w:tr>
      <w:tr>
        <w:tblPrEx>
          <w:tblLayout w:type="fixed"/>
          <w:tblCellMar>
            <w:top w:w="0" w:type="dxa"/>
            <w:left w:w="108" w:type="dxa"/>
            <w:bottom w:w="0" w:type="dxa"/>
            <w:right w:w="108" w:type="dxa"/>
          </w:tblCellMar>
        </w:tblPrEx>
        <w:trPr>
          <w:trHeight w:val="551" w:hRule="atLeast"/>
        </w:trPr>
        <w:tc>
          <w:tcPr>
            <w:tcW w:w="902" w:type="dxa"/>
            <w:tcBorders>
              <w:top w:val="single" w:color="auto" w:sz="4" w:space="0"/>
              <w:left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15.1</w:t>
            </w:r>
          </w:p>
        </w:tc>
        <w:tc>
          <w:tcPr>
            <w:tcW w:w="1290" w:type="dxa"/>
            <w:tcBorders>
              <w:top w:val="single" w:color="auto" w:sz="4" w:space="0"/>
              <w:left w:val="nil"/>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比选申请有效期</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自比选申请截止时间起90天</w:t>
            </w:r>
          </w:p>
        </w:tc>
      </w:tr>
      <w:tr>
        <w:tblPrEx>
          <w:tblLayout w:type="fixed"/>
          <w:tblCellMar>
            <w:top w:w="0" w:type="dxa"/>
            <w:left w:w="108" w:type="dxa"/>
            <w:bottom w:w="0" w:type="dxa"/>
            <w:right w:w="108" w:type="dxa"/>
          </w:tblCellMar>
        </w:tblPrEx>
        <w:trPr>
          <w:trHeight w:val="241"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16.1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比选申请文件副本份数</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正本1份，副本4份。</w:t>
            </w:r>
          </w:p>
        </w:tc>
      </w:tr>
      <w:tr>
        <w:tblPrEx>
          <w:tblLayout w:type="fixed"/>
          <w:tblCellMar>
            <w:top w:w="0" w:type="dxa"/>
            <w:left w:w="108" w:type="dxa"/>
            <w:bottom w:w="0" w:type="dxa"/>
            <w:right w:w="108" w:type="dxa"/>
          </w:tblCellMar>
        </w:tblPrEx>
        <w:trPr>
          <w:trHeight w:val="140" w:hRule="atLeast"/>
        </w:trPr>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lang w:val="en-US" w:eastAsia="zh-CN"/>
              </w:rPr>
              <w:t>1</w:t>
            </w:r>
            <w:r>
              <w:rPr>
                <w:rFonts w:hint="eastAsia" w:ascii="宋体" w:hAnsi="宋体"/>
                <w:highlight w:val="none"/>
              </w:rPr>
              <w:t>8.1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比选申请截止时间</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firstLine="0" w:firstLineChars="0"/>
              <w:outlineLvl w:val="9"/>
              <w:rPr>
                <w:rFonts w:ascii="宋体" w:hAnsi="宋体"/>
                <w:color w:val="auto"/>
                <w:highlight w:val="none"/>
              </w:rPr>
            </w:pPr>
            <w:bookmarkStart w:id="69" w:name="CgwjmbEntity：KBSJ3_0"/>
            <w:r>
              <w:rPr>
                <w:rFonts w:hint="eastAsia" w:ascii="宋体" w:hAnsi="宋体"/>
                <w:color w:val="auto"/>
                <w:highlight w:val="none"/>
                <w:lang w:val="en-US" w:eastAsia="zh-CN"/>
              </w:rPr>
              <w:t>2022</w:t>
            </w:r>
            <w:r>
              <w:rPr>
                <w:rFonts w:hint="eastAsia" w:ascii="宋体" w:hAnsi="宋体"/>
                <w:color w:val="auto"/>
                <w:highlight w:val="none"/>
              </w:rPr>
              <w:t>年</w:t>
            </w:r>
            <w:bookmarkEnd w:id="69"/>
            <w:r>
              <w:rPr>
                <w:rFonts w:hint="eastAsia" w:ascii="宋体" w:hAnsi="宋体"/>
                <w:color w:val="auto"/>
                <w:highlight w:val="none"/>
                <w:lang w:val="en-US" w:eastAsia="zh-CN"/>
              </w:rPr>
              <w:t>9</w:t>
            </w:r>
            <w:r>
              <w:rPr>
                <w:rFonts w:hint="eastAsia" w:ascii="宋体" w:hAnsi="宋体"/>
                <w:color w:val="auto"/>
                <w:highlight w:val="none"/>
              </w:rPr>
              <w:t>月</w:t>
            </w:r>
            <w:r>
              <w:rPr>
                <w:rFonts w:hint="eastAsia" w:ascii="宋体" w:hAnsi="宋体"/>
                <w:color w:val="auto"/>
                <w:highlight w:val="none"/>
                <w:lang w:val="en-US" w:eastAsia="zh-CN"/>
              </w:rPr>
              <w:t>28</w:t>
            </w:r>
            <w:bookmarkStart w:id="2585" w:name="_GoBack"/>
            <w:bookmarkEnd w:id="2585"/>
            <w:r>
              <w:rPr>
                <w:rFonts w:hint="eastAsia" w:ascii="宋体" w:hAnsi="宋体"/>
                <w:color w:val="auto"/>
                <w:highlight w:val="none"/>
              </w:rPr>
              <w:t>日</w:t>
            </w:r>
            <w:r>
              <w:rPr>
                <w:rFonts w:hint="eastAsia" w:ascii="宋体" w:hAnsi="宋体"/>
                <w:color w:val="auto"/>
                <w:highlight w:val="none"/>
                <w:lang w:val="en-US" w:eastAsia="zh-CN"/>
              </w:rPr>
              <w:t>09</w:t>
            </w:r>
            <w:r>
              <w:rPr>
                <w:rFonts w:hint="eastAsia" w:ascii="宋体" w:hAnsi="宋体"/>
                <w:color w:val="auto"/>
                <w:highlight w:val="none"/>
              </w:rPr>
              <w:t>时</w:t>
            </w:r>
            <w:r>
              <w:rPr>
                <w:rFonts w:hint="eastAsia" w:ascii="宋体" w:hAnsi="宋体"/>
                <w:color w:val="auto"/>
                <w:highlight w:val="none"/>
                <w:lang w:val="en-US" w:eastAsia="zh-CN"/>
              </w:rPr>
              <w:t>00</w:t>
            </w:r>
            <w:r>
              <w:rPr>
                <w:rFonts w:hint="eastAsia" w:ascii="宋体" w:hAnsi="宋体"/>
                <w:color w:val="auto"/>
                <w:highlight w:val="none"/>
              </w:rPr>
              <w:t>分</w:t>
            </w:r>
          </w:p>
        </w:tc>
      </w:tr>
      <w:tr>
        <w:tblPrEx>
          <w:tblLayout w:type="fixed"/>
          <w:tblCellMar>
            <w:top w:w="0" w:type="dxa"/>
            <w:left w:w="108" w:type="dxa"/>
            <w:bottom w:w="0" w:type="dxa"/>
            <w:right w:w="108" w:type="dxa"/>
          </w:tblCellMar>
        </w:tblPrEx>
        <w:trPr>
          <w:trHeight w:val="797" w:hRule="atLeast"/>
        </w:trPr>
        <w:tc>
          <w:tcPr>
            <w:tcW w:w="902"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递交比选申请文件地点</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hint="eastAsia" w:ascii="宋体" w:hAnsi="宋体" w:eastAsia="宋体"/>
                <w:color w:val="auto"/>
                <w:highlight w:val="none"/>
                <w:lang w:eastAsia="zh-CN"/>
              </w:rPr>
            </w:pPr>
            <w:r>
              <w:rPr>
                <w:rFonts w:hint="eastAsia" w:ascii="宋体" w:hAnsi="宋体"/>
                <w:color w:val="auto"/>
                <w:highlight w:val="none"/>
              </w:rPr>
              <w:t>单位：</w:t>
            </w:r>
            <w:r>
              <w:rPr>
                <w:rFonts w:hint="eastAsia" w:ascii="宋体" w:hAnsi="宋体"/>
                <w:color w:val="auto"/>
                <w:highlight w:val="none"/>
                <w:lang w:eastAsia="zh-CN"/>
              </w:rPr>
              <w:t>南宁轨道交通运营有限公司</w:t>
            </w:r>
          </w:p>
          <w:p>
            <w:pPr>
              <w:spacing w:before="0" w:after="0" w:afterAutospacing="0"/>
              <w:ind w:left="0" w:right="0" w:firstLine="0"/>
              <w:outlineLvl w:val="9"/>
              <w:rPr>
                <w:rFonts w:hint="default" w:ascii="宋体" w:hAnsi="宋体" w:eastAsia="宋体"/>
                <w:color w:val="auto"/>
                <w:highlight w:val="none"/>
                <w:lang w:val="en-US" w:eastAsia="zh-CN"/>
              </w:rPr>
            </w:pPr>
            <w:r>
              <w:rPr>
                <w:rFonts w:hint="eastAsia" w:ascii="宋体" w:hAnsi="宋体"/>
                <w:color w:val="auto"/>
                <w:highlight w:val="none"/>
              </w:rPr>
              <w:t>地址：</w:t>
            </w:r>
            <w:r>
              <w:rPr>
                <w:rFonts w:hint="eastAsia" w:ascii="宋体" w:hAnsi="宋体"/>
                <w:color w:val="auto"/>
                <w:highlight w:val="none"/>
                <w:lang w:eastAsia="zh-CN"/>
              </w:rPr>
              <w:t>广西南宁市青秀区云景路</w:t>
            </w:r>
            <w:r>
              <w:rPr>
                <w:rFonts w:hint="eastAsia" w:ascii="宋体" w:hAnsi="宋体"/>
                <w:color w:val="auto"/>
                <w:highlight w:val="none"/>
                <w:lang w:val="en-US" w:eastAsia="zh-CN"/>
              </w:rPr>
              <w:t>83号综合楼</w:t>
            </w:r>
            <w:r>
              <w:rPr>
                <w:rFonts w:hint="eastAsia" w:ascii="宋体" w:hAnsi="宋体"/>
                <w:color w:val="auto"/>
                <w:highlight w:val="none"/>
                <w:u w:val="single"/>
                <w:lang w:val="en-US" w:eastAsia="zh-CN"/>
              </w:rPr>
              <w:t>205</w:t>
            </w:r>
            <w:r>
              <w:rPr>
                <w:rFonts w:hint="eastAsia" w:ascii="宋体" w:hAnsi="宋体"/>
                <w:color w:val="auto"/>
                <w:highlight w:val="none"/>
                <w:lang w:val="en-US" w:eastAsia="zh-CN"/>
              </w:rPr>
              <w:t>会议室</w:t>
            </w:r>
          </w:p>
          <w:p>
            <w:pPr>
              <w:spacing w:before="0" w:after="0" w:afterAutospacing="0"/>
              <w:ind w:left="0" w:right="0" w:firstLine="0"/>
              <w:outlineLvl w:val="9"/>
              <w:rPr>
                <w:rFonts w:hint="default" w:ascii="宋体" w:hAnsi="宋体" w:eastAsia="宋体"/>
                <w:color w:val="auto"/>
                <w:highlight w:val="none"/>
                <w:lang w:val="en-US" w:eastAsia="zh-CN"/>
              </w:rPr>
            </w:pPr>
            <w:r>
              <w:rPr>
                <w:rFonts w:hint="eastAsia" w:ascii="宋体" w:hAnsi="宋体"/>
                <w:color w:val="auto"/>
                <w:highlight w:val="none"/>
                <w:lang w:eastAsia="zh-CN"/>
              </w:rPr>
              <w:t>递交现场联系人：</w:t>
            </w:r>
            <w:r>
              <w:rPr>
                <w:rFonts w:hint="eastAsia" w:ascii="宋体" w:hAnsi="宋体"/>
                <w:color w:val="auto"/>
                <w:highlight w:val="none"/>
                <w:lang w:val="en-US" w:eastAsia="zh-CN"/>
              </w:rPr>
              <w:t>卢工 0771-2779169</w:t>
            </w:r>
          </w:p>
        </w:tc>
      </w:tr>
      <w:tr>
        <w:tblPrEx>
          <w:tblLayout w:type="fixed"/>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22</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评审方法</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hint="eastAsia" w:ascii="宋体" w:hAnsi="宋体" w:eastAsia="宋体"/>
                <w:color w:val="auto"/>
                <w:highlight w:val="none"/>
                <w:lang w:eastAsia="zh-CN"/>
              </w:rPr>
            </w:pPr>
            <w:r>
              <w:rPr>
                <w:rFonts w:hint="eastAsia" w:ascii="宋体" w:hAnsi="宋体"/>
                <w:color w:val="auto"/>
                <w:highlight w:val="none"/>
                <w:lang w:eastAsia="zh-CN"/>
              </w:rPr>
              <w:t>综合评</w:t>
            </w:r>
            <w:r>
              <w:rPr>
                <w:rFonts w:hint="eastAsia" w:ascii="宋体" w:hAnsi="宋体"/>
                <w:color w:val="auto"/>
                <w:highlight w:val="none"/>
                <w:lang w:val="en-US" w:eastAsia="zh-CN"/>
              </w:rPr>
              <w:t>分</w:t>
            </w:r>
            <w:r>
              <w:rPr>
                <w:rFonts w:hint="eastAsia" w:ascii="宋体" w:hAnsi="宋体"/>
                <w:color w:val="auto"/>
                <w:highlight w:val="none"/>
              </w:rPr>
              <w:t>法</w:t>
            </w:r>
            <w:r>
              <w:rPr>
                <w:rFonts w:hint="eastAsia" w:ascii="宋体" w:hAnsi="宋体"/>
                <w:color w:val="auto"/>
                <w:highlight w:val="none"/>
                <w:lang w:eastAsia="zh-CN"/>
              </w:rPr>
              <w:t>（</w:t>
            </w:r>
            <w:r>
              <w:rPr>
                <w:rFonts w:hint="eastAsia" w:hAnsi="宋体"/>
                <w:color w:val="auto"/>
                <w:highlight w:val="none"/>
              </w:rPr>
              <w:t>评比总价以不含税比选报价为基准</w:t>
            </w:r>
            <w:r>
              <w:rPr>
                <w:rFonts w:hint="eastAsia" w:ascii="宋体" w:hAnsi="宋体"/>
                <w:color w:val="auto"/>
                <w:highlight w:val="none"/>
                <w:lang w:eastAsia="zh-CN"/>
              </w:rPr>
              <w:t>）</w:t>
            </w:r>
          </w:p>
        </w:tc>
      </w:tr>
      <w:tr>
        <w:tblPrEx>
          <w:tblLayout w:type="fixed"/>
          <w:tblCellMar>
            <w:top w:w="0" w:type="dxa"/>
            <w:left w:w="108" w:type="dxa"/>
            <w:bottom w:w="0" w:type="dxa"/>
            <w:right w:w="108" w:type="dxa"/>
          </w:tblCellMar>
        </w:tblPrEx>
        <w:trPr>
          <w:trHeight w:val="242"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color w:val="auto"/>
                <w:highlight w:val="none"/>
              </w:rPr>
              <w:t>3</w:t>
            </w:r>
            <w:r>
              <w:rPr>
                <w:rFonts w:hint="eastAsia" w:ascii="宋体" w:hAnsi="宋体"/>
                <w:color w:val="auto"/>
                <w:highlight w:val="none"/>
                <w:lang w:val="en-US" w:eastAsia="zh-CN"/>
              </w:rPr>
              <w:t>2</w:t>
            </w:r>
            <w:r>
              <w:rPr>
                <w:rFonts w:hint="eastAsia" w:ascii="宋体" w:hAnsi="宋体"/>
                <w:color w:val="auto"/>
                <w:highlight w:val="none"/>
              </w:rPr>
              <w:t>.1</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履约担保</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highlight w:val="none"/>
              </w:rPr>
            </w:pPr>
            <w:r>
              <w:rPr>
                <w:rFonts w:hint="eastAsia" w:ascii="宋体" w:hAnsi="宋体"/>
                <w:highlight w:val="none"/>
              </w:rPr>
              <w:t>履约担保的金额：中选价格的</w:t>
            </w:r>
            <w:r>
              <w:rPr>
                <w:rFonts w:hint="eastAsia" w:ascii="宋体" w:hAnsi="宋体"/>
                <w:highlight w:val="none"/>
                <w:lang w:val="en-US" w:eastAsia="zh-CN"/>
              </w:rPr>
              <w:t>2.</w:t>
            </w:r>
            <w:r>
              <w:rPr>
                <w:rFonts w:ascii="宋体" w:hAnsi="宋体"/>
                <w:highlight w:val="none"/>
              </w:rPr>
              <w:t>5%</w:t>
            </w:r>
            <w:r>
              <w:rPr>
                <w:rFonts w:hint="eastAsia" w:ascii="宋体" w:hAnsi="宋体"/>
                <w:highlight w:val="none"/>
              </w:rPr>
              <w:t>；</w:t>
            </w:r>
          </w:p>
          <w:p>
            <w:pPr>
              <w:spacing w:before="0" w:after="0" w:afterAutospacing="0"/>
              <w:ind w:left="0" w:right="0" w:firstLine="0"/>
              <w:rPr>
                <w:rFonts w:ascii="宋体" w:hAnsi="宋体"/>
                <w:highlight w:val="none"/>
              </w:rPr>
            </w:pPr>
            <w:r>
              <w:rPr>
                <w:rFonts w:hint="eastAsia" w:ascii="宋体" w:hAnsi="宋体"/>
                <w:highlight w:val="none"/>
              </w:rPr>
              <w:t>履约担保的形式：转账或电汇或银行保函。</w:t>
            </w:r>
          </w:p>
          <w:p>
            <w:pPr>
              <w:spacing w:before="0" w:after="0" w:afterAutospacing="0"/>
              <w:ind w:left="0" w:right="0" w:firstLine="0"/>
              <w:rPr>
                <w:rFonts w:ascii="宋体" w:hAnsi="宋体"/>
                <w:highlight w:val="none"/>
              </w:rPr>
            </w:pPr>
            <w:r>
              <w:rPr>
                <w:rFonts w:hint="eastAsia" w:ascii="宋体" w:hAnsi="宋体"/>
                <w:highlight w:val="none"/>
              </w:rPr>
              <w:t>银行保函由中国境内各商业银行支行及其以上的银行开具的银行保函，格式符合第四章“合同文件格式”</w:t>
            </w:r>
            <w:r>
              <w:rPr>
                <w:rFonts w:hint="eastAsia" w:ascii="宋体" w:hAnsi="宋体"/>
                <w:highlight w:val="none"/>
                <w:lang w:eastAsia="zh-CN"/>
              </w:rPr>
              <w:t>。</w:t>
            </w:r>
          </w:p>
          <w:p>
            <w:pPr>
              <w:spacing w:before="0" w:after="0" w:afterAutospacing="0"/>
              <w:ind w:left="0" w:right="0" w:firstLine="0"/>
              <w:rPr>
                <w:rFonts w:ascii="宋体" w:hAnsi="宋体"/>
                <w:highlight w:val="none"/>
              </w:rPr>
            </w:pPr>
            <w:r>
              <w:rPr>
                <w:rFonts w:hint="eastAsia" w:ascii="宋体" w:hAnsi="宋体"/>
                <w:highlight w:val="none"/>
              </w:rPr>
              <w:t>递交地点：广西南宁市青秀区云景路83号</w:t>
            </w:r>
            <w:r>
              <w:rPr>
                <w:rFonts w:hint="eastAsia" w:ascii="宋体" w:hAnsi="宋体"/>
                <w:highlight w:val="none"/>
                <w:lang w:eastAsia="zh-CN"/>
              </w:rPr>
              <w:t>。</w:t>
            </w:r>
          </w:p>
          <w:p>
            <w:pPr>
              <w:spacing w:before="0" w:after="0" w:afterAutospacing="0"/>
              <w:ind w:left="0" w:right="0" w:firstLine="0"/>
              <w:rPr>
                <w:rFonts w:ascii="宋体" w:hAnsi="宋体"/>
                <w:highlight w:val="none"/>
              </w:rPr>
            </w:pPr>
            <w:r>
              <w:rPr>
                <w:rFonts w:hint="eastAsia" w:ascii="宋体" w:hAnsi="宋体"/>
                <w:highlight w:val="none"/>
              </w:rPr>
              <w:t>提交履约担保的时间：应在合同签订前、且最迟应在中选通知书发出之日起</w:t>
            </w:r>
            <w:r>
              <w:rPr>
                <w:rFonts w:ascii="宋体" w:hAnsi="宋体"/>
                <w:highlight w:val="none"/>
              </w:rPr>
              <w:t>20</w:t>
            </w:r>
            <w:r>
              <w:rPr>
                <w:rFonts w:hint="eastAsia" w:ascii="宋体" w:hAnsi="宋体"/>
                <w:highlight w:val="none"/>
              </w:rPr>
              <w:t>日内。</w:t>
            </w:r>
          </w:p>
          <w:p>
            <w:pPr>
              <w:spacing w:before="0" w:after="0" w:afterAutospacing="0"/>
              <w:ind w:left="0" w:right="0" w:firstLine="0"/>
              <w:rPr>
                <w:rFonts w:ascii="宋体" w:hAnsi="宋体"/>
                <w:highlight w:val="none"/>
              </w:rPr>
            </w:pPr>
            <w:r>
              <w:rPr>
                <w:rFonts w:hint="eastAsia" w:ascii="宋体" w:hAnsi="宋体"/>
                <w:highlight w:val="none"/>
              </w:rPr>
              <w:t>备注：若中选人未在规定时间内足额缴纳履约担保，比选人有权取消其中选资格。</w:t>
            </w:r>
          </w:p>
          <w:p>
            <w:pPr>
              <w:spacing w:before="0" w:after="0" w:afterAutospacing="0"/>
              <w:ind w:left="0" w:right="0" w:firstLine="0"/>
              <w:outlineLvl w:val="9"/>
              <w:rPr>
                <w:rFonts w:ascii="宋体" w:hAnsi="宋体"/>
                <w:color w:val="auto"/>
                <w:highlight w:val="none"/>
              </w:rPr>
            </w:pPr>
            <w:r>
              <w:rPr>
                <w:rFonts w:hint="eastAsia" w:ascii="宋体" w:hAnsi="宋体"/>
                <w:highlight w:val="none"/>
              </w:rPr>
              <w:t>履约保函应采用合同规定格式，其开具银行应为中国境内商业银行地市级以上支行（含地市级支行），并须是以甲方为受益人，见索即付无条件付款的、不可撤销的银行保函。</w:t>
            </w:r>
          </w:p>
        </w:tc>
      </w:tr>
      <w:tr>
        <w:tblPrEx>
          <w:tblLayout w:type="fixed"/>
          <w:tblCellMar>
            <w:top w:w="0" w:type="dxa"/>
            <w:left w:w="108" w:type="dxa"/>
            <w:bottom w:w="0" w:type="dxa"/>
            <w:right w:w="108" w:type="dxa"/>
          </w:tblCellMar>
        </w:tblPrEx>
        <w:trPr>
          <w:trHeight w:val="637" w:hRule="atLeast"/>
        </w:trPr>
        <w:tc>
          <w:tcPr>
            <w:tcW w:w="902"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34.4</w:t>
            </w:r>
          </w:p>
        </w:tc>
        <w:tc>
          <w:tcPr>
            <w:tcW w:w="1290"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放弃中选人资格</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hint="eastAsia" w:ascii="宋体" w:hAnsi="宋体" w:eastAsia="宋体"/>
                <w:color w:val="auto"/>
                <w:highlight w:val="none"/>
                <w:lang w:eastAsia="zh-CN"/>
              </w:rPr>
            </w:pPr>
            <w:r>
              <w:rPr>
                <w:rFonts w:hint="eastAsia" w:ascii="宋体" w:hAnsi="宋体"/>
                <w:color w:val="auto"/>
                <w:highlight w:val="none"/>
              </w:rPr>
              <w:t>中</w:t>
            </w:r>
            <w:r>
              <w:rPr>
                <w:rFonts w:hint="eastAsia" w:ascii="宋体" w:hAnsi="宋体"/>
                <w:color w:val="auto"/>
                <w:highlight w:val="none"/>
                <w:lang w:eastAsia="zh-CN"/>
              </w:rPr>
              <w:t>选</w:t>
            </w:r>
            <w:r>
              <w:rPr>
                <w:rFonts w:hint="eastAsia" w:ascii="宋体" w:hAnsi="宋体"/>
                <w:color w:val="auto"/>
                <w:highlight w:val="none"/>
              </w:rPr>
              <w:t>人如放弃中</w:t>
            </w:r>
            <w:r>
              <w:rPr>
                <w:rFonts w:hint="eastAsia" w:ascii="宋体" w:hAnsi="宋体"/>
                <w:color w:val="auto"/>
                <w:highlight w:val="none"/>
                <w:lang w:eastAsia="zh-CN"/>
              </w:rPr>
              <w:t>选</w:t>
            </w:r>
            <w:r>
              <w:rPr>
                <w:rFonts w:hint="eastAsia" w:ascii="宋体" w:hAnsi="宋体"/>
                <w:color w:val="auto"/>
                <w:highlight w:val="none"/>
              </w:rPr>
              <w:t>资格，则纳入</w:t>
            </w:r>
            <w:r>
              <w:rPr>
                <w:rFonts w:hint="eastAsia" w:ascii="宋体" w:hAnsi="宋体"/>
                <w:color w:val="auto"/>
                <w:highlight w:val="none"/>
                <w:lang w:eastAsia="zh-CN"/>
              </w:rPr>
              <w:t>比选</w:t>
            </w:r>
            <w:r>
              <w:rPr>
                <w:rFonts w:hint="eastAsia" w:ascii="宋体" w:hAnsi="宋体"/>
                <w:color w:val="auto"/>
                <w:highlight w:val="none"/>
              </w:rPr>
              <w:t>人的不良信用名单名库，并禁止1年内不得投属于</w:t>
            </w:r>
            <w:r>
              <w:rPr>
                <w:rFonts w:hint="eastAsia" w:ascii="宋体" w:hAnsi="宋体"/>
                <w:color w:val="auto"/>
                <w:highlight w:val="none"/>
                <w:lang w:eastAsia="zh-CN"/>
              </w:rPr>
              <w:t>比选</w:t>
            </w:r>
            <w:r>
              <w:rPr>
                <w:rFonts w:hint="eastAsia" w:ascii="宋体" w:hAnsi="宋体"/>
                <w:color w:val="auto"/>
                <w:highlight w:val="none"/>
              </w:rPr>
              <w:t>人的项目。</w:t>
            </w:r>
          </w:p>
        </w:tc>
      </w:tr>
      <w:tr>
        <w:tblPrEx>
          <w:tblLayout w:type="fixed"/>
          <w:tblCellMar>
            <w:top w:w="0" w:type="dxa"/>
            <w:left w:w="108" w:type="dxa"/>
            <w:bottom w:w="0" w:type="dxa"/>
            <w:right w:w="108" w:type="dxa"/>
          </w:tblCellMar>
        </w:tblPrEx>
        <w:trPr>
          <w:trHeight w:val="242" w:hRule="atLeast"/>
        </w:trPr>
        <w:tc>
          <w:tcPr>
            <w:tcW w:w="902"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6</w:t>
            </w:r>
            <w:r>
              <w:rPr>
                <w:rFonts w:hint="eastAsia" w:ascii="宋体" w:hAnsi="宋体"/>
                <w:highlight w:val="none"/>
              </w:rPr>
              <w:t>.5</w:t>
            </w:r>
          </w:p>
        </w:tc>
        <w:tc>
          <w:tcPr>
            <w:tcW w:w="1290" w:type="dxa"/>
            <w:vMerge w:val="restart"/>
            <w:tcBorders>
              <w:top w:val="single" w:color="auto" w:sz="4" w:space="0"/>
              <w:left w:val="nil"/>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需要补充的其他内容</w:t>
            </w: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outlineLvl w:val="9"/>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w:t>
            </w:r>
            <w:r>
              <w:rPr>
                <w:rFonts w:hint="eastAsia" w:ascii="宋体" w:hAnsi="宋体"/>
                <w:color w:val="auto"/>
                <w:highlight w:val="none"/>
                <w:lang w:val="en-US" w:eastAsia="zh-CN"/>
              </w:rPr>
              <w:t>2</w:t>
            </w:r>
            <w:r>
              <w:rPr>
                <w:rFonts w:hint="eastAsia" w:ascii="宋体" w:hAnsi="宋体"/>
                <w:color w:val="auto"/>
                <w:highlight w:val="none"/>
              </w:rPr>
              <w:t>份。</w:t>
            </w:r>
          </w:p>
          <w:p>
            <w:pPr>
              <w:spacing w:before="0" w:after="0" w:afterAutospacing="0"/>
              <w:ind w:left="0" w:right="0" w:firstLine="0"/>
              <w:outlineLvl w:val="9"/>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outlineLvl w:val="9"/>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Layout w:type="fixed"/>
          <w:tblCellMar>
            <w:top w:w="0" w:type="dxa"/>
            <w:left w:w="108" w:type="dxa"/>
            <w:bottom w:w="0" w:type="dxa"/>
            <w:right w:w="108" w:type="dxa"/>
          </w:tblCellMar>
        </w:tblPrEx>
        <w:trPr>
          <w:trHeight w:val="242" w:hRule="atLeast"/>
        </w:trPr>
        <w:tc>
          <w:tcPr>
            <w:tcW w:w="902" w:type="dxa"/>
            <w:vMerge w:val="continue"/>
            <w:tcBorders>
              <w:left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p>
        </w:tc>
        <w:tc>
          <w:tcPr>
            <w:tcW w:w="1290" w:type="dxa"/>
            <w:vMerge w:val="continue"/>
            <w:tcBorders>
              <w:left w:val="nil"/>
              <w:right w:val="single" w:color="auto" w:sz="4" w:space="0"/>
            </w:tcBorders>
            <w:vAlign w:val="center"/>
          </w:tcPr>
          <w:p>
            <w:pPr>
              <w:spacing w:before="0" w:after="0" w:afterAutospacing="0"/>
              <w:ind w:left="0" w:right="0" w:firstLine="0"/>
              <w:outlineLvl w:val="9"/>
              <w:rPr>
                <w:rFonts w:ascii="宋体" w:hAnsi="宋体"/>
                <w:color w:val="auto"/>
                <w:highlight w:val="none"/>
              </w:rPr>
            </w:pPr>
          </w:p>
        </w:tc>
        <w:tc>
          <w:tcPr>
            <w:tcW w:w="6925"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outlineLvl w:val="9"/>
              <w:rPr>
                <w:rFonts w:ascii="宋体" w:hAnsi="宋体"/>
                <w:color w:val="auto"/>
                <w:highlight w:val="none"/>
              </w:rPr>
            </w:pPr>
            <w:r>
              <w:rPr>
                <w:rFonts w:hint="eastAsia" w:ascii="宋体" w:hAnsi="宋体"/>
                <w:color w:val="auto"/>
                <w:highlight w:val="none"/>
              </w:rPr>
              <w:t>2.本比选文件中描述比选申请人的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Layout w:type="fixed"/>
          <w:tblCellMar>
            <w:top w:w="0" w:type="dxa"/>
            <w:left w:w="108" w:type="dxa"/>
            <w:bottom w:w="0" w:type="dxa"/>
            <w:right w:w="108" w:type="dxa"/>
          </w:tblCellMar>
        </w:tblPrEx>
        <w:trPr>
          <w:trHeight w:val="242" w:hRule="atLeast"/>
        </w:trPr>
        <w:tc>
          <w:tcPr>
            <w:tcW w:w="902"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p>
        </w:tc>
        <w:tc>
          <w:tcPr>
            <w:tcW w:w="1290" w:type="dxa"/>
            <w:vMerge w:val="continue"/>
            <w:tcBorders>
              <w:left w:val="nil"/>
              <w:bottom w:val="single" w:color="auto" w:sz="4" w:space="0"/>
              <w:right w:val="single" w:color="auto" w:sz="4" w:space="0"/>
            </w:tcBorders>
            <w:vAlign w:val="center"/>
          </w:tcPr>
          <w:p>
            <w:pPr>
              <w:spacing w:before="0" w:after="0" w:afterAutospacing="0"/>
              <w:ind w:left="0" w:right="0" w:firstLine="0"/>
              <w:outlineLvl w:val="9"/>
              <w:rPr>
                <w:rFonts w:ascii="宋体" w:hAnsi="宋体"/>
                <w:highlight w:val="none"/>
              </w:rPr>
            </w:pPr>
          </w:p>
        </w:tc>
        <w:tc>
          <w:tcPr>
            <w:tcW w:w="6925" w:type="dxa"/>
            <w:tcBorders>
              <w:top w:val="single" w:color="auto" w:sz="4" w:space="0"/>
              <w:left w:val="nil"/>
              <w:bottom w:val="single" w:color="auto" w:sz="4" w:space="0"/>
              <w:right w:val="single" w:color="auto" w:sz="4" w:space="0"/>
            </w:tcBorders>
            <w:vAlign w:val="center"/>
          </w:tcPr>
          <w:p>
            <w:pPr>
              <w:numPr>
                <w:ilvl w:val="0"/>
                <w:numId w:val="2"/>
              </w:numPr>
              <w:spacing w:before="0" w:after="0" w:afterAutospacing="0"/>
              <w:ind w:left="0" w:right="0" w:firstLine="0"/>
              <w:outlineLvl w:val="9"/>
              <w:rPr>
                <w:rFonts w:ascii="宋体" w:hAnsi="宋体"/>
                <w:highlight w:val="none"/>
              </w:rPr>
            </w:pPr>
            <w:r>
              <w:rPr>
                <w:rFonts w:hint="eastAsia" w:ascii="宋体" w:hAnsi="宋体"/>
                <w:highlight w:val="none"/>
              </w:rPr>
              <w:t>本项目比选文件的最终解释权归比选人。</w:t>
            </w:r>
          </w:p>
        </w:tc>
      </w:tr>
    </w:tbl>
    <w:p>
      <w:pPr>
        <w:spacing w:after="0" w:afterAutospacing="0" w:line="360" w:lineRule="auto"/>
        <w:ind w:left="462" w:leftChars="200" w:right="0" w:hanging="42" w:hangingChars="20"/>
        <w:outlineLvl w:val="1"/>
        <w:rPr>
          <w:rFonts w:ascii="宋体" w:hAnsi="宋体" w:eastAsia="宋体"/>
          <w:sz w:val="24"/>
          <w:szCs w:val="24"/>
          <w:highlight w:val="none"/>
        </w:rPr>
      </w:pPr>
      <w:r>
        <w:rPr>
          <w:rFonts w:ascii="宋体" w:hAnsi="宋体" w:eastAsia="宋体"/>
          <w:highlight w:val="none"/>
        </w:rPr>
        <w:br w:type="page"/>
      </w:r>
      <w:bookmarkStart w:id="70" w:name="_Toc322528193"/>
      <w:bookmarkEnd w:id="70"/>
      <w:bookmarkStart w:id="71" w:name="_Toc11911"/>
      <w:bookmarkStart w:id="72" w:name="_Toc15799_WPSOffice_Level2"/>
      <w:bookmarkStart w:id="73" w:name="_Toc18911"/>
      <w:bookmarkStart w:id="74" w:name="_Toc15442"/>
      <w:bookmarkStart w:id="75" w:name="_Toc9679"/>
      <w:bookmarkStart w:id="76" w:name="_Toc27423"/>
      <w:bookmarkStart w:id="77" w:name="_Toc14458"/>
      <w:bookmarkStart w:id="78" w:name="_Toc25750590"/>
      <w:bookmarkStart w:id="79" w:name="_Toc9278"/>
      <w:r>
        <w:rPr>
          <w:rFonts w:hint="eastAsia" w:ascii="宋体" w:hAnsi="宋体" w:eastAsia="宋体"/>
          <w:b/>
          <w:bCs/>
          <w:sz w:val="24"/>
          <w:szCs w:val="24"/>
          <w:highlight w:val="none"/>
        </w:rPr>
        <w:t>一、</w:t>
      </w:r>
      <w:r>
        <w:rPr>
          <w:rFonts w:ascii="宋体" w:hAnsi="宋体" w:eastAsia="宋体"/>
          <w:b/>
          <w:bCs/>
          <w:sz w:val="24"/>
          <w:szCs w:val="24"/>
          <w:highlight w:val="none"/>
        </w:rPr>
        <w:t>说明</w:t>
      </w:r>
      <w:bookmarkEnd w:id="71"/>
      <w:bookmarkEnd w:id="72"/>
      <w:bookmarkEnd w:id="73"/>
      <w:bookmarkEnd w:id="74"/>
      <w:bookmarkEnd w:id="75"/>
      <w:bookmarkEnd w:id="76"/>
      <w:bookmarkEnd w:id="77"/>
      <w:bookmarkEnd w:id="78"/>
      <w:bookmarkEnd w:id="79"/>
    </w:p>
    <w:p>
      <w:pPr>
        <w:spacing w:before="0" w:after="0" w:afterAutospacing="0"/>
        <w:ind w:left="0" w:right="0" w:firstLine="420" w:firstLineChars="200"/>
        <w:outlineLvl w:val="9"/>
        <w:rPr>
          <w:rFonts w:ascii="宋体" w:hAnsi="宋体"/>
          <w:sz w:val="21"/>
          <w:szCs w:val="21"/>
          <w:highlight w:val="none"/>
        </w:rPr>
      </w:pPr>
      <w:bookmarkStart w:id="80" w:name="_Toc375039064"/>
      <w:bookmarkStart w:id="81" w:name="_Toc11224"/>
      <w:bookmarkStart w:id="82" w:name="_Toc390098419"/>
      <w:bookmarkStart w:id="83" w:name="_Toc3804"/>
      <w:bookmarkStart w:id="84" w:name="_Toc28326"/>
      <w:bookmarkStart w:id="85" w:name="_Toc12526"/>
      <w:bookmarkStart w:id="86" w:name="_Toc9366"/>
      <w:bookmarkStart w:id="87" w:name="_Toc12983505"/>
      <w:bookmarkStart w:id="88" w:name="_Toc27079"/>
      <w:bookmarkStart w:id="89" w:name="_Toc492478718"/>
      <w:bookmarkStart w:id="90" w:name="_Toc25750591"/>
      <w:bookmarkStart w:id="91" w:name="_Toc30570"/>
      <w:bookmarkStart w:id="92" w:name="_Toc463"/>
      <w:bookmarkStart w:id="93" w:name="_Toc383891168"/>
      <w:bookmarkStart w:id="94" w:name="_Toc5495"/>
      <w:bookmarkStart w:id="95" w:name="_Toc17845"/>
      <w:bookmarkStart w:id="96" w:name="_Toc3364"/>
      <w:bookmarkStart w:id="97" w:name="_Toc31563"/>
      <w:bookmarkStart w:id="98" w:name="_Toc8166"/>
      <w:bookmarkStart w:id="99" w:name="_Toc21139"/>
      <w:bookmarkStart w:id="100" w:name="_Toc385427793"/>
      <w:bookmarkStart w:id="101" w:name="_Toc14066"/>
      <w:bookmarkStart w:id="102" w:name="_Toc6861"/>
      <w:bookmarkStart w:id="103" w:name="_Toc7778"/>
      <w:r>
        <w:rPr>
          <w:rFonts w:hint="eastAsia" w:ascii="宋体" w:hAnsi="宋体"/>
          <w:sz w:val="21"/>
          <w:szCs w:val="21"/>
          <w:highlight w:val="none"/>
        </w:rPr>
        <w:t xml:space="preserve">1. </w:t>
      </w:r>
      <w:r>
        <w:rPr>
          <w:rFonts w:ascii="宋体" w:hAnsi="宋体"/>
          <w:sz w:val="21"/>
          <w:szCs w:val="21"/>
          <w:highlight w:val="none"/>
        </w:rPr>
        <w:t>项目说明</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1.1 比选人</w:t>
      </w:r>
      <w:r>
        <w:rPr>
          <w:rFonts w:ascii="宋体" w:hAnsi="宋体"/>
          <w:highlight w:val="none"/>
        </w:rPr>
        <w:t>：详见比选申请须知前附表。</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1.2 项目名称</w:t>
      </w:r>
      <w:r>
        <w:rPr>
          <w:rFonts w:ascii="宋体" w:hAnsi="宋体"/>
          <w:highlight w:val="none"/>
        </w:rPr>
        <w:t>：详见比选申请须知前附表。</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1.3 项目编号</w:t>
      </w:r>
      <w:r>
        <w:rPr>
          <w:rFonts w:ascii="宋体" w:hAnsi="宋体"/>
          <w:highlight w:val="none"/>
        </w:rPr>
        <w:t>：详见比选申请须知前附表。</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1.4比选范围：</w:t>
      </w:r>
      <w:r>
        <w:rPr>
          <w:rFonts w:ascii="宋体" w:hAnsi="宋体"/>
          <w:highlight w:val="none"/>
        </w:rPr>
        <w:t>详见比选申请须知前附表。</w:t>
      </w:r>
    </w:p>
    <w:p>
      <w:pPr>
        <w:spacing w:before="0" w:after="0" w:afterAutospacing="0"/>
        <w:ind w:left="0" w:right="0" w:firstLine="420" w:firstLineChars="200"/>
        <w:outlineLvl w:val="9"/>
        <w:rPr>
          <w:rFonts w:ascii="宋体" w:hAnsi="宋体"/>
          <w:color w:val="auto"/>
          <w:highlight w:val="none"/>
        </w:rPr>
      </w:pPr>
      <w:r>
        <w:rPr>
          <w:rFonts w:hint="eastAsia" w:ascii="宋体" w:hAnsi="宋体"/>
          <w:highlight w:val="none"/>
        </w:rPr>
        <w:t>1.</w:t>
      </w:r>
      <w:r>
        <w:rPr>
          <w:rFonts w:hint="eastAsia" w:ascii="宋体" w:hAnsi="宋体"/>
          <w:color w:val="auto"/>
          <w:highlight w:val="none"/>
        </w:rPr>
        <w:t>5</w:t>
      </w:r>
      <w:r>
        <w:rPr>
          <w:rFonts w:hint="eastAsia" w:ascii="宋体" w:hAnsi="宋体"/>
          <w:color w:val="auto"/>
          <w:highlight w:val="none"/>
          <w:lang w:eastAsia="zh-CN"/>
        </w:rPr>
        <w:t>工</w:t>
      </w:r>
      <w:r>
        <w:rPr>
          <w:rFonts w:hint="eastAsia" w:ascii="宋体" w:hAnsi="宋体"/>
          <w:color w:val="auto"/>
          <w:highlight w:val="none"/>
        </w:rPr>
        <w:t>期：</w:t>
      </w:r>
      <w:r>
        <w:rPr>
          <w:rFonts w:ascii="宋体" w:hAnsi="宋体"/>
          <w:color w:val="auto"/>
          <w:highlight w:val="none"/>
        </w:rPr>
        <w:t>详见比选申请须知前附表。</w:t>
      </w:r>
    </w:p>
    <w:p>
      <w:pPr>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1.7上限控制价</w:t>
      </w:r>
      <w:r>
        <w:rPr>
          <w:rFonts w:ascii="宋体" w:hAnsi="宋体"/>
          <w:color w:val="auto"/>
          <w:highlight w:val="none"/>
        </w:rPr>
        <w:t>：详见比选申请须知前附表。</w:t>
      </w:r>
    </w:p>
    <w:p>
      <w:pPr>
        <w:spacing w:before="0" w:after="0" w:afterAutospacing="0"/>
        <w:ind w:left="0" w:right="0" w:firstLine="420" w:firstLineChars="200"/>
        <w:outlineLvl w:val="9"/>
        <w:rPr>
          <w:rFonts w:ascii="宋体" w:hAnsi="宋体"/>
          <w:color w:val="auto"/>
          <w:sz w:val="21"/>
          <w:szCs w:val="21"/>
          <w:highlight w:val="none"/>
        </w:rPr>
      </w:pPr>
      <w:bookmarkStart w:id="104" w:name="_Toc25750592"/>
      <w:bookmarkStart w:id="105" w:name="_Toc8052"/>
      <w:bookmarkStart w:id="106" w:name="_Toc24429"/>
      <w:bookmarkStart w:id="107" w:name="_Toc1552"/>
      <w:bookmarkStart w:id="108" w:name="_Toc390098420"/>
      <w:bookmarkStart w:id="109" w:name="_Toc12983506"/>
      <w:bookmarkStart w:id="110" w:name="_Toc21874"/>
      <w:bookmarkStart w:id="111" w:name="_Toc6985"/>
      <w:bookmarkStart w:id="112" w:name="_Toc31314"/>
      <w:bookmarkStart w:id="113" w:name="_Toc383891169"/>
      <w:bookmarkStart w:id="114" w:name="_Toc16860"/>
      <w:bookmarkStart w:id="115" w:name="_Toc6038"/>
      <w:bookmarkStart w:id="116" w:name="_Toc375039065"/>
      <w:bookmarkStart w:id="117" w:name="_Toc27847"/>
      <w:bookmarkStart w:id="118" w:name="_Toc492478719"/>
      <w:bookmarkStart w:id="119" w:name="_Toc10907"/>
      <w:bookmarkStart w:id="120" w:name="_Toc4780"/>
      <w:bookmarkStart w:id="121" w:name="_Toc22987"/>
      <w:bookmarkStart w:id="122" w:name="_Toc385427794"/>
      <w:bookmarkStart w:id="123" w:name="_Toc27845"/>
      <w:r>
        <w:rPr>
          <w:rFonts w:hint="eastAsia" w:ascii="宋体" w:hAnsi="宋体"/>
          <w:color w:val="auto"/>
          <w:sz w:val="21"/>
          <w:szCs w:val="21"/>
          <w:highlight w:val="none"/>
        </w:rPr>
        <w:t>2. 定义</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spacing w:before="0" w:after="0" w:afterAutospacing="0"/>
        <w:ind w:left="0" w:right="0" w:firstLine="420" w:firstLineChars="200"/>
        <w:outlineLvl w:val="9"/>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w:t>
      </w:r>
      <w:r>
        <w:rPr>
          <w:rFonts w:hint="eastAsia" w:ascii="宋体" w:hAnsi="宋体"/>
          <w:color w:val="auto"/>
          <w:highlight w:val="none"/>
        </w:rPr>
        <w:t>项目</w:t>
      </w:r>
      <w:r>
        <w:rPr>
          <w:rFonts w:ascii="宋体" w:hAnsi="宋体"/>
          <w:color w:val="auto"/>
          <w:highlight w:val="none"/>
        </w:rPr>
        <w:t>的国家机关、企业、事业单位或其它组织。本比选文件中比选人是指</w:t>
      </w:r>
      <w:r>
        <w:rPr>
          <w:rFonts w:hint="eastAsia" w:ascii="宋体" w:hAnsi="宋体"/>
          <w:color w:val="auto"/>
          <w:highlight w:val="none"/>
          <w:lang w:eastAsia="zh-CN"/>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lang w:eastAsia="zh-CN"/>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outlineLvl w:val="9"/>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outlineLvl w:val="9"/>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outlineLvl w:val="9"/>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outlineLvl w:val="9"/>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outlineLvl w:val="9"/>
        <w:rPr>
          <w:rFonts w:hint="eastAsia" w:ascii="宋体" w:hAnsi="宋体"/>
          <w:highlight w:val="none"/>
        </w:rPr>
      </w:pP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系指比选文件规定比选申请人须承担的与项目有关的辅助服务，包括但不限于软硬件开发与制造、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w:t>
      </w:r>
      <w:r>
        <w:rPr>
          <w:rFonts w:hint="eastAsia" w:ascii="宋体" w:hAnsi="宋体"/>
          <w:highlight w:val="none"/>
        </w:rPr>
        <w:t>险、装卸、</w:t>
      </w:r>
      <w:r>
        <w:rPr>
          <w:rFonts w:hint="eastAsia" w:ascii="宋体" w:hAnsi="宋体" w:cs="宋体"/>
          <w:highlight w:val="none"/>
        </w:rPr>
        <w:t>到货检查</w:t>
      </w:r>
      <w:r>
        <w:rPr>
          <w:rFonts w:hint="eastAsia" w:ascii="宋体" w:hAnsi="宋体"/>
          <w:highlight w:val="none"/>
        </w:rPr>
        <w:t>、设备安装</w:t>
      </w:r>
      <w:r>
        <w:rPr>
          <w:rFonts w:ascii="宋体" w:hAnsi="宋体"/>
          <w:highlight w:val="none"/>
        </w:rPr>
        <w:t>/</w:t>
      </w:r>
      <w:r>
        <w:rPr>
          <w:rFonts w:hint="eastAsia" w:ascii="宋体" w:hAnsi="宋体"/>
          <w:highlight w:val="none"/>
        </w:rPr>
        <w:t>安装督导、</w:t>
      </w:r>
      <w:r>
        <w:rPr>
          <w:rFonts w:hint="eastAsia" w:ascii="宋体" w:hAnsi="宋体" w:cs="宋体"/>
          <w:highlight w:val="none"/>
        </w:rPr>
        <w:t>系统及设备的单体调试、系统接口调试、</w:t>
      </w:r>
      <w:r>
        <w:rPr>
          <w:rFonts w:hint="eastAsia" w:ascii="宋体" w:hAnsi="宋体"/>
          <w:highlight w:val="none"/>
        </w:rPr>
        <w:t>综合联调、预验收</w:t>
      </w:r>
      <w:r>
        <w:rPr>
          <w:rFonts w:hint="eastAsia" w:ascii="宋体" w:hAnsi="宋体" w:cs="宋体"/>
          <w:highlight w:val="none"/>
        </w:rPr>
        <w:t>、</w:t>
      </w:r>
      <w:r>
        <w:rPr>
          <w:rFonts w:hint="eastAsia" w:ascii="宋体" w:hAnsi="宋体"/>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highlight w:val="none"/>
        </w:rPr>
        <w:t>、</w:t>
      </w:r>
      <w:r>
        <w:rPr>
          <w:rFonts w:hint="eastAsia" w:ascii="宋体" w:hAnsi="宋体"/>
          <w:highlight w:val="none"/>
        </w:rPr>
        <w:t>其他伴随服务和比选申请人应承担的其它义务。</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2.7</w:t>
      </w:r>
      <w:r>
        <w:rPr>
          <w:rFonts w:ascii="宋体" w:hAnsi="宋体"/>
          <w:highlight w:val="none"/>
        </w:rPr>
        <w:t>“电子文件”系指将比选申请文件全部内容以</w:t>
      </w:r>
      <w:r>
        <w:rPr>
          <w:rFonts w:hint="eastAsia" w:ascii="宋体" w:hAnsi="宋体"/>
          <w:highlight w:val="none"/>
        </w:rPr>
        <w:t>OFFICE</w:t>
      </w:r>
      <w:r>
        <w:rPr>
          <w:rFonts w:ascii="宋体" w:hAnsi="宋体"/>
          <w:highlight w:val="none"/>
        </w:rPr>
        <w:t>的WORD、PROJECT、EXCEL等格式书写的可读电子介质</w:t>
      </w:r>
      <w:r>
        <w:rPr>
          <w:rFonts w:hint="eastAsia" w:ascii="宋体" w:hAnsi="宋体"/>
          <w:highlight w:val="none"/>
        </w:rPr>
        <w:t>及PDF扫描版本（盖章版）</w:t>
      </w:r>
      <w:r>
        <w:rPr>
          <w:rFonts w:ascii="宋体" w:hAnsi="宋体"/>
          <w:highlight w:val="none"/>
        </w:rPr>
        <w:t>。</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2.8</w:t>
      </w:r>
      <w:r>
        <w:rPr>
          <w:rFonts w:ascii="宋体" w:hAnsi="宋体"/>
          <w:highlight w:val="none"/>
        </w:rPr>
        <w:t>“书面形式”系指打字或印刷的函件，包括传真、电报等。</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2.9</w:t>
      </w:r>
      <w:r>
        <w:rPr>
          <w:rFonts w:ascii="宋体" w:hAnsi="宋体"/>
          <w:highlight w:val="none"/>
        </w:rPr>
        <w:t>“日”、“天”系指日历天。</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2.</w:t>
      </w:r>
      <w:r>
        <w:rPr>
          <w:rFonts w:hint="eastAsia" w:ascii="宋体" w:hAnsi="宋体"/>
          <w:highlight w:val="none"/>
          <w:lang w:val="en-US" w:eastAsia="zh-CN"/>
        </w:rPr>
        <w:t>10</w:t>
      </w:r>
      <w:r>
        <w:rPr>
          <w:rFonts w:hint="eastAsia" w:ascii="宋体" w:hAnsi="宋体"/>
          <w:highlight w:val="none"/>
        </w:rPr>
        <w:t>“保质期”系指质量三包的期限。</w:t>
      </w:r>
    </w:p>
    <w:p>
      <w:pPr>
        <w:spacing w:before="0" w:after="0" w:afterAutospacing="0"/>
        <w:ind w:left="0" w:right="0" w:firstLine="420" w:firstLineChars="200"/>
        <w:outlineLvl w:val="9"/>
        <w:rPr>
          <w:rFonts w:ascii="宋体" w:hAnsi="宋体"/>
          <w:sz w:val="21"/>
          <w:szCs w:val="21"/>
          <w:highlight w:val="none"/>
        </w:rPr>
      </w:pPr>
      <w:bookmarkStart w:id="124" w:name="_Toc492478720"/>
      <w:bookmarkStart w:id="125" w:name="_Toc375039066"/>
      <w:bookmarkStart w:id="126" w:name="_Toc383891170"/>
      <w:bookmarkStart w:id="127" w:name="_Toc390098421"/>
      <w:bookmarkStart w:id="128" w:name="_Toc385427795"/>
      <w:bookmarkStart w:id="129" w:name="_Toc10653"/>
      <w:bookmarkStart w:id="130" w:name="_Toc12940"/>
      <w:bookmarkStart w:id="131" w:name="_Toc22845"/>
      <w:bookmarkStart w:id="132" w:name="_Toc307"/>
      <w:bookmarkStart w:id="133" w:name="_Toc9929"/>
      <w:bookmarkStart w:id="134" w:name="_Toc12983507"/>
      <w:bookmarkStart w:id="135" w:name="_Toc22115"/>
      <w:bookmarkStart w:id="136" w:name="_Toc24844"/>
      <w:bookmarkStart w:id="137" w:name="_Toc7306"/>
      <w:bookmarkStart w:id="138" w:name="_Toc30498"/>
      <w:bookmarkStart w:id="139" w:name="_Toc8288"/>
      <w:bookmarkStart w:id="140" w:name="_Toc17568"/>
      <w:bookmarkStart w:id="141" w:name="_Toc25786"/>
      <w:bookmarkStart w:id="142" w:name="_Toc25750593"/>
      <w:bookmarkStart w:id="143" w:name="_Toc7797"/>
      <w:bookmarkStart w:id="144" w:name="_Toc31477"/>
      <w:bookmarkStart w:id="145" w:name="_Toc29401"/>
      <w:bookmarkStart w:id="146" w:name="_Toc29859"/>
      <w:bookmarkStart w:id="147" w:name="_Toc17075"/>
      <w:r>
        <w:rPr>
          <w:rFonts w:ascii="宋体" w:hAnsi="宋体"/>
          <w:sz w:val="21"/>
          <w:szCs w:val="21"/>
          <w:highlight w:val="none"/>
        </w:rPr>
        <w:t>3. 比选申请人</w:t>
      </w:r>
      <w:bookmarkEnd w:id="124"/>
      <w:bookmarkEnd w:id="125"/>
      <w:bookmarkEnd w:id="126"/>
      <w:bookmarkEnd w:id="127"/>
      <w:bookmarkEnd w:id="128"/>
      <w:r>
        <w:rPr>
          <w:rFonts w:hint="eastAsia" w:ascii="宋体" w:hAnsi="宋体"/>
          <w:sz w:val="21"/>
          <w:szCs w:val="21"/>
          <w:highlight w:val="none"/>
        </w:rPr>
        <w:t>应具备的资格条件</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spacing w:before="0" w:after="0" w:afterAutospacing="0"/>
        <w:ind w:left="0" w:right="0" w:firstLine="420" w:firstLineChars="200"/>
        <w:outlineLvl w:val="9"/>
        <w:rPr>
          <w:rFonts w:ascii="宋体" w:hAnsi="宋体"/>
          <w:highlight w:val="none"/>
        </w:rPr>
      </w:pPr>
      <w:r>
        <w:rPr>
          <w:rFonts w:ascii="宋体" w:hAnsi="宋体"/>
          <w:highlight w:val="none"/>
        </w:rPr>
        <w:t xml:space="preserve">3.2 </w:t>
      </w:r>
      <w:r>
        <w:rPr>
          <w:rFonts w:hint="eastAsia" w:ascii="宋体" w:hAnsi="宋体"/>
          <w:highlight w:val="none"/>
        </w:rPr>
        <w:t>比选申请人不得存在以下情况之一，否则其比选申请将被否决：</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）为比选人不具有独立法人资格的附属机构（单位）；</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（3）有骗取中选、严重违约或重大质量安全责任事故；</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（5）比选申请人向比选人或评审委员会成员以行贿的手段谋取中选的；</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（6）串通比选申请或弄虚作假或有其他违法行为的；</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（7）在比选申请文件中提供虚假文件或资料的。</w:t>
      </w:r>
    </w:p>
    <w:p>
      <w:pPr>
        <w:spacing w:before="0" w:after="0" w:afterAutospacing="0"/>
        <w:ind w:left="0" w:right="0" w:firstLine="420" w:firstLineChars="200"/>
        <w:outlineLvl w:val="9"/>
        <w:rPr>
          <w:rFonts w:ascii="宋体" w:hAnsi="宋体"/>
          <w:sz w:val="21"/>
          <w:szCs w:val="21"/>
          <w:highlight w:val="none"/>
        </w:rPr>
      </w:pPr>
      <w:bookmarkStart w:id="148" w:name="_Toc4438"/>
      <w:bookmarkStart w:id="149" w:name="_Toc375039067"/>
      <w:bookmarkStart w:id="150" w:name="_Toc21215"/>
      <w:bookmarkStart w:id="151" w:name="_Toc19081"/>
      <w:bookmarkStart w:id="152" w:name="_Toc30752"/>
      <w:bookmarkStart w:id="153" w:name="_Toc24103"/>
      <w:bookmarkStart w:id="154" w:name="_Toc385427796"/>
      <w:bookmarkStart w:id="155" w:name="_Toc7103"/>
      <w:bookmarkStart w:id="156" w:name="_Toc19709"/>
      <w:bookmarkStart w:id="157" w:name="_Toc21602"/>
      <w:bookmarkStart w:id="158" w:name="_Toc616"/>
      <w:bookmarkStart w:id="159" w:name="_Toc12983508"/>
      <w:bookmarkStart w:id="160" w:name="_Toc1737"/>
      <w:bookmarkStart w:id="161" w:name="_Toc1125"/>
      <w:bookmarkStart w:id="162" w:name="_Toc18668"/>
      <w:bookmarkStart w:id="163" w:name="_Toc31789"/>
      <w:bookmarkStart w:id="164" w:name="_Toc390098422"/>
      <w:bookmarkStart w:id="165" w:name="_Toc25914"/>
      <w:bookmarkStart w:id="166" w:name="_Toc492478721"/>
      <w:bookmarkStart w:id="167" w:name="_Toc23146"/>
      <w:bookmarkStart w:id="168" w:name="_Toc7832"/>
      <w:bookmarkStart w:id="169" w:name="_Toc25750594"/>
      <w:bookmarkStart w:id="170" w:name="_Toc383891171"/>
      <w:bookmarkStart w:id="171" w:name="_Toc3292"/>
      <w:r>
        <w:rPr>
          <w:rFonts w:hint="eastAsia" w:ascii="宋体" w:hAnsi="宋体"/>
          <w:sz w:val="21"/>
          <w:szCs w:val="21"/>
          <w:highlight w:val="none"/>
        </w:rPr>
        <w:t xml:space="preserve">4. </w:t>
      </w:r>
      <w:r>
        <w:rPr>
          <w:rFonts w:ascii="宋体" w:hAnsi="宋体"/>
          <w:sz w:val="21"/>
          <w:szCs w:val="21"/>
          <w:highlight w:val="none"/>
        </w:rPr>
        <w:t>比选申请费用</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比选申请人准备和参加比选申请活动发生的费用自理</w:t>
      </w:r>
      <w:r>
        <w:rPr>
          <w:rFonts w:ascii="宋体" w:hAnsi="宋体"/>
          <w:highlight w:val="none"/>
        </w:rPr>
        <w:t>。</w:t>
      </w:r>
    </w:p>
    <w:p>
      <w:pPr>
        <w:spacing w:after="0" w:afterAutospacing="0" w:line="360" w:lineRule="auto"/>
        <w:ind w:left="0" w:right="0" w:firstLine="482" w:firstLineChars="200"/>
        <w:outlineLvl w:val="1"/>
        <w:rPr>
          <w:rFonts w:ascii="宋体" w:hAnsi="宋体" w:eastAsia="宋体"/>
          <w:b/>
          <w:bCs/>
          <w:sz w:val="24"/>
          <w:szCs w:val="24"/>
          <w:highlight w:val="none"/>
        </w:rPr>
      </w:pPr>
      <w:bookmarkStart w:id="172" w:name="_Toc15346"/>
      <w:bookmarkStart w:id="173" w:name="_Toc25750595"/>
      <w:bookmarkStart w:id="174" w:name="_Toc385427797"/>
      <w:bookmarkStart w:id="175" w:name="_Toc375039068"/>
      <w:bookmarkStart w:id="176" w:name="_Toc2986"/>
      <w:bookmarkStart w:id="177" w:name="_Toc29160"/>
      <w:bookmarkStart w:id="178" w:name="_Toc383891172"/>
      <w:bookmarkStart w:id="179" w:name="_Toc8562"/>
      <w:bookmarkStart w:id="180" w:name="_Toc492478722"/>
      <w:bookmarkStart w:id="181" w:name="_Toc5160"/>
      <w:bookmarkStart w:id="182" w:name="_Toc6141"/>
      <w:bookmarkStart w:id="183" w:name="_Toc3854"/>
      <w:bookmarkStart w:id="184" w:name="_Toc19617"/>
      <w:bookmarkStart w:id="185" w:name="_Toc15763"/>
      <w:bookmarkStart w:id="186" w:name="_Toc12419_WPSOffice_Level2"/>
      <w:bookmarkStart w:id="187" w:name="_Toc16608"/>
      <w:bookmarkStart w:id="188" w:name="_Toc16131"/>
      <w:bookmarkStart w:id="189" w:name="_Toc31589"/>
      <w:bookmarkStart w:id="190" w:name="_Toc30061"/>
      <w:bookmarkStart w:id="191" w:name="_Toc2609"/>
      <w:bookmarkStart w:id="192" w:name="_Toc18528"/>
      <w:bookmarkStart w:id="193" w:name="_Toc7339"/>
      <w:bookmarkStart w:id="194" w:name="_Toc12983509"/>
      <w:bookmarkStart w:id="195" w:name="_Toc14777"/>
      <w:bookmarkStart w:id="196" w:name="_Toc5487"/>
      <w:bookmarkStart w:id="197" w:name="_Toc9677"/>
      <w:bookmarkStart w:id="198" w:name="_Toc390098423"/>
      <w:bookmarkStart w:id="199" w:name="_Toc11619"/>
      <w:bookmarkStart w:id="200" w:name="_Toc16530"/>
      <w:bookmarkStart w:id="201" w:name="_Toc6528"/>
      <w:bookmarkStart w:id="202" w:name="_Toc28220"/>
      <w:bookmarkStart w:id="203" w:name="_Toc10301"/>
      <w:r>
        <w:rPr>
          <w:rFonts w:hint="eastAsia" w:ascii="宋体" w:hAnsi="宋体" w:eastAsia="宋体"/>
          <w:b/>
          <w:bCs/>
          <w:sz w:val="24"/>
          <w:szCs w:val="24"/>
          <w:highlight w:val="none"/>
        </w:rPr>
        <w:t>二、</w:t>
      </w:r>
      <w:r>
        <w:rPr>
          <w:rFonts w:ascii="宋体" w:hAnsi="宋体" w:eastAsia="宋体"/>
          <w:b/>
          <w:bCs/>
          <w:sz w:val="24"/>
          <w:szCs w:val="24"/>
          <w:highlight w:val="none"/>
        </w:rPr>
        <w:t>比选文件</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spacing w:before="0" w:after="0" w:afterAutospacing="0"/>
        <w:ind w:left="0" w:right="0" w:firstLine="420" w:firstLineChars="200"/>
        <w:outlineLvl w:val="9"/>
        <w:rPr>
          <w:rFonts w:ascii="宋体" w:hAnsi="宋体"/>
          <w:sz w:val="21"/>
          <w:szCs w:val="21"/>
          <w:highlight w:val="none"/>
        </w:rPr>
      </w:pPr>
      <w:bookmarkStart w:id="204" w:name="_Toc25750596"/>
      <w:bookmarkStart w:id="205" w:name="_Toc27870"/>
      <w:bookmarkStart w:id="206" w:name="_Toc32710"/>
      <w:bookmarkStart w:id="207" w:name="_Toc21811"/>
      <w:bookmarkStart w:id="208" w:name="_Toc29472"/>
      <w:bookmarkStart w:id="209" w:name="_Toc375039069"/>
      <w:bookmarkStart w:id="210" w:name="_Toc19561"/>
      <w:bookmarkStart w:id="211" w:name="_Toc390098424"/>
      <w:bookmarkStart w:id="212" w:name="_Toc9756"/>
      <w:bookmarkStart w:id="213" w:name="_Toc839"/>
      <w:bookmarkStart w:id="214" w:name="_Toc6637"/>
      <w:bookmarkStart w:id="215" w:name="_Toc6764"/>
      <w:bookmarkStart w:id="216" w:name="_Toc5877"/>
      <w:bookmarkStart w:id="217" w:name="_Toc25378"/>
      <w:bookmarkStart w:id="218" w:name="_Toc4157"/>
      <w:bookmarkStart w:id="219" w:name="_Toc385427798"/>
      <w:bookmarkStart w:id="220" w:name="_Toc30401"/>
      <w:bookmarkStart w:id="221" w:name="_Toc12983510"/>
      <w:bookmarkStart w:id="222" w:name="_Toc13114"/>
      <w:bookmarkStart w:id="223" w:name="_Toc18436"/>
      <w:bookmarkStart w:id="224" w:name="_Toc29225"/>
      <w:bookmarkStart w:id="225" w:name="_Toc383891173"/>
      <w:bookmarkStart w:id="226" w:name="_Toc26333"/>
      <w:bookmarkStart w:id="227" w:name="_Toc492478723"/>
      <w:r>
        <w:rPr>
          <w:rFonts w:hint="eastAsia" w:ascii="宋体" w:hAnsi="宋体"/>
          <w:sz w:val="21"/>
          <w:szCs w:val="21"/>
          <w:highlight w:val="none"/>
        </w:rPr>
        <w:t xml:space="preserve">5. </w:t>
      </w:r>
      <w:r>
        <w:rPr>
          <w:rFonts w:ascii="宋体" w:hAnsi="宋体"/>
          <w:sz w:val="21"/>
          <w:szCs w:val="21"/>
          <w:highlight w:val="none"/>
        </w:rPr>
        <w:t>比选文件构成</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5.1 </w:t>
      </w:r>
      <w:r>
        <w:rPr>
          <w:rFonts w:ascii="宋体" w:hAnsi="宋体"/>
          <w:highlight w:val="none"/>
        </w:rPr>
        <w:t>比选文件包括下列内容：</w:t>
      </w:r>
    </w:p>
    <w:p>
      <w:pPr>
        <w:numPr>
          <w:ilvl w:val="0"/>
          <w:numId w:val="3"/>
        </w:numPr>
        <w:spacing w:before="0"/>
        <w:ind w:right="0" w:firstLine="200"/>
        <w:outlineLvl w:val="9"/>
        <w:rPr>
          <w:rFonts w:ascii="宋体" w:hAnsi="宋体"/>
          <w:highlight w:val="none"/>
        </w:rPr>
      </w:pPr>
      <w:r>
        <w:rPr>
          <w:rFonts w:ascii="宋体" w:hAnsi="宋体"/>
          <w:highlight w:val="none"/>
        </w:rPr>
        <w:t>比选公告</w:t>
      </w:r>
    </w:p>
    <w:p>
      <w:pPr>
        <w:numPr>
          <w:ilvl w:val="0"/>
          <w:numId w:val="3"/>
        </w:numPr>
        <w:spacing w:before="0"/>
        <w:ind w:right="0" w:firstLine="200"/>
        <w:outlineLvl w:val="9"/>
        <w:rPr>
          <w:rFonts w:ascii="宋体" w:hAnsi="宋体"/>
          <w:highlight w:val="none"/>
        </w:rPr>
      </w:pPr>
      <w:r>
        <w:rPr>
          <w:rFonts w:ascii="宋体" w:hAnsi="宋体"/>
          <w:highlight w:val="none"/>
        </w:rPr>
        <w:t>比选申请须知</w:t>
      </w:r>
    </w:p>
    <w:p>
      <w:pPr>
        <w:numPr>
          <w:ilvl w:val="0"/>
          <w:numId w:val="3"/>
        </w:numPr>
        <w:spacing w:before="0"/>
        <w:ind w:right="0" w:firstLine="200"/>
        <w:outlineLvl w:val="9"/>
        <w:rPr>
          <w:rFonts w:ascii="宋体" w:hAnsi="宋体"/>
          <w:highlight w:val="none"/>
        </w:rPr>
      </w:pPr>
      <w:r>
        <w:rPr>
          <w:rFonts w:ascii="宋体" w:hAnsi="宋体"/>
          <w:highlight w:val="none"/>
        </w:rPr>
        <w:t>合同条款</w:t>
      </w:r>
      <w:r>
        <w:rPr>
          <w:rFonts w:hint="eastAsia" w:ascii="宋体" w:hAnsi="宋体"/>
          <w:highlight w:val="none"/>
        </w:rPr>
        <w:t>及格式</w:t>
      </w:r>
    </w:p>
    <w:p>
      <w:pPr>
        <w:numPr>
          <w:ilvl w:val="0"/>
          <w:numId w:val="3"/>
        </w:numPr>
        <w:spacing w:before="0"/>
        <w:ind w:right="0" w:firstLine="200"/>
        <w:outlineLvl w:val="9"/>
        <w:rPr>
          <w:rFonts w:ascii="宋体" w:hAnsi="宋体"/>
          <w:highlight w:val="none"/>
        </w:rPr>
      </w:pPr>
      <w:r>
        <w:rPr>
          <w:rFonts w:ascii="宋体" w:hAnsi="宋体"/>
          <w:highlight w:val="none"/>
        </w:rPr>
        <w:t>比选申请文件格式</w:t>
      </w:r>
    </w:p>
    <w:p>
      <w:pPr>
        <w:numPr>
          <w:ilvl w:val="0"/>
          <w:numId w:val="3"/>
        </w:numPr>
        <w:spacing w:before="0"/>
        <w:ind w:right="0" w:firstLine="200"/>
        <w:outlineLvl w:val="9"/>
        <w:rPr>
          <w:rFonts w:ascii="宋体" w:hAnsi="宋体"/>
          <w:highlight w:val="none"/>
        </w:rPr>
      </w:pPr>
      <w:r>
        <w:rPr>
          <w:rFonts w:ascii="宋体" w:hAnsi="宋体"/>
          <w:highlight w:val="none"/>
        </w:rPr>
        <w:t>用户需求书</w:t>
      </w:r>
    </w:p>
    <w:p>
      <w:pPr>
        <w:numPr>
          <w:ilvl w:val="0"/>
          <w:numId w:val="3"/>
        </w:numPr>
        <w:spacing w:before="0" w:after="0" w:afterAutospacing="0"/>
        <w:ind w:right="0" w:firstLine="198"/>
        <w:outlineLvl w:val="9"/>
        <w:rPr>
          <w:rFonts w:ascii="宋体" w:hAnsi="宋体"/>
          <w:highlight w:val="none"/>
        </w:rPr>
      </w:pPr>
      <w:r>
        <w:rPr>
          <w:rFonts w:ascii="宋体" w:hAnsi="宋体"/>
          <w:highlight w:val="none"/>
        </w:rPr>
        <w:t>评</w:t>
      </w:r>
      <w:r>
        <w:rPr>
          <w:rFonts w:hint="eastAsia" w:ascii="宋体" w:hAnsi="宋体"/>
          <w:highlight w:val="none"/>
        </w:rPr>
        <w:t>分</w:t>
      </w:r>
      <w:r>
        <w:rPr>
          <w:rFonts w:ascii="宋体" w:hAnsi="宋体"/>
          <w:highlight w:val="none"/>
        </w:rPr>
        <w:t>办法</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5.2 </w:t>
      </w:r>
      <w:r>
        <w:rPr>
          <w:rFonts w:ascii="宋体" w:hAnsi="宋体"/>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highlight w:val="none"/>
        </w:rPr>
        <w:t>比选人</w:t>
      </w:r>
      <w:r>
        <w:rPr>
          <w:rFonts w:ascii="宋体" w:hAnsi="宋体"/>
          <w:highlight w:val="none"/>
        </w:rPr>
        <w:t>提出，由此导致的比选申请失误，其责任由比选申请人自负。</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5.3 </w:t>
      </w:r>
      <w:r>
        <w:rPr>
          <w:rFonts w:ascii="宋体" w:hAnsi="宋体"/>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spacing w:before="0" w:after="0" w:afterAutospacing="0"/>
        <w:ind w:left="0" w:right="0" w:firstLine="420" w:firstLineChars="200"/>
        <w:outlineLvl w:val="9"/>
        <w:rPr>
          <w:rFonts w:ascii="宋体" w:hAnsi="宋体"/>
          <w:sz w:val="21"/>
          <w:szCs w:val="21"/>
          <w:highlight w:val="none"/>
        </w:rPr>
      </w:pPr>
      <w:bookmarkStart w:id="228" w:name="_Toc31386"/>
      <w:bookmarkStart w:id="229" w:name="_Toc385427799"/>
      <w:bookmarkStart w:id="230" w:name="_Toc492478724"/>
      <w:bookmarkStart w:id="231" w:name="_Toc12983511"/>
      <w:bookmarkStart w:id="232" w:name="_Toc11896"/>
      <w:bookmarkStart w:id="233" w:name="_Toc15154"/>
      <w:bookmarkStart w:id="234" w:name="_Toc2664"/>
      <w:bookmarkStart w:id="235" w:name="_Toc21365"/>
      <w:bookmarkStart w:id="236" w:name="_Toc26909"/>
      <w:bookmarkStart w:id="237" w:name="_Toc14426"/>
      <w:bookmarkStart w:id="238" w:name="_Toc28270"/>
      <w:bookmarkStart w:id="239" w:name="_Toc375039070"/>
      <w:bookmarkStart w:id="240" w:name="_Toc2489"/>
      <w:bookmarkStart w:id="241" w:name="_Toc31848"/>
      <w:bookmarkStart w:id="242" w:name="_Toc17279"/>
      <w:bookmarkStart w:id="243" w:name="_Toc18631"/>
      <w:bookmarkStart w:id="244" w:name="_Toc10162"/>
      <w:bookmarkStart w:id="245" w:name="_Toc25750597"/>
      <w:bookmarkStart w:id="246" w:name="_Toc26811"/>
      <w:bookmarkStart w:id="247" w:name="_Toc29001"/>
      <w:bookmarkStart w:id="248" w:name="_Toc2789"/>
      <w:bookmarkStart w:id="249" w:name="_Toc390098425"/>
      <w:bookmarkStart w:id="250" w:name="_Toc383891174"/>
      <w:bookmarkStart w:id="251" w:name="_Toc20903"/>
      <w:r>
        <w:rPr>
          <w:rFonts w:hint="eastAsia" w:ascii="宋体" w:hAnsi="宋体"/>
          <w:sz w:val="21"/>
          <w:szCs w:val="21"/>
          <w:highlight w:val="none"/>
        </w:rPr>
        <w:t>6.</w:t>
      </w:r>
      <w:r>
        <w:rPr>
          <w:rFonts w:ascii="宋体" w:hAnsi="宋体"/>
          <w:sz w:val="21"/>
          <w:szCs w:val="21"/>
          <w:highlight w:val="none"/>
        </w:rPr>
        <w:t>比选文件的澄清</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6.1 </w:t>
      </w:r>
      <w:r>
        <w:rPr>
          <w:rFonts w:ascii="宋体" w:hAnsi="宋体"/>
          <w:highlight w:val="none"/>
        </w:rPr>
        <w:t>任何要求对比选文件进行澄清的比选申请人，应在比选申请须知前附表所规定的时间</w:t>
      </w:r>
      <w:r>
        <w:rPr>
          <w:rFonts w:hint="eastAsia" w:ascii="宋体" w:hAnsi="宋体"/>
          <w:highlight w:val="none"/>
        </w:rPr>
        <w:t>及形式向比选人提出。</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6.2 比选人</w:t>
      </w:r>
      <w:r>
        <w:rPr>
          <w:rFonts w:ascii="宋体" w:hAnsi="宋体"/>
          <w:highlight w:val="none"/>
        </w:rPr>
        <w:t>将根据比选申请人的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进行澄清答复，答复的方式及比选申请人确认的方式详见比选申请须知前附表，比选人</w:t>
      </w:r>
      <w:r>
        <w:rPr>
          <w:rFonts w:ascii="宋体" w:hAnsi="宋体"/>
          <w:highlight w:val="none"/>
        </w:rPr>
        <w:t>只答复与比选文件内容有关的问题，并有权对任何与比选文件无关的问题不作回答。</w:t>
      </w:r>
    </w:p>
    <w:p>
      <w:pPr>
        <w:spacing w:before="0" w:after="0" w:afterAutospacing="0"/>
        <w:ind w:left="0" w:right="0" w:firstLine="420" w:firstLineChars="200"/>
        <w:outlineLvl w:val="9"/>
        <w:rPr>
          <w:rFonts w:ascii="宋体" w:hAnsi="宋体"/>
          <w:sz w:val="21"/>
          <w:szCs w:val="21"/>
          <w:highlight w:val="none"/>
        </w:rPr>
      </w:pPr>
      <w:bookmarkStart w:id="252" w:name="_Toc7063"/>
      <w:bookmarkStart w:id="253" w:name="_Toc25750598"/>
      <w:bookmarkStart w:id="254" w:name="_Toc24191"/>
      <w:bookmarkStart w:id="255" w:name="_Toc5364"/>
      <w:bookmarkStart w:id="256" w:name="_Toc375039071"/>
      <w:bookmarkStart w:id="257" w:name="_Toc30378"/>
      <w:bookmarkStart w:id="258" w:name="_Toc27124"/>
      <w:bookmarkStart w:id="259" w:name="_Toc14181"/>
      <w:bookmarkStart w:id="260" w:name="_Toc29795"/>
      <w:bookmarkStart w:id="261" w:name="_Toc15137"/>
      <w:bookmarkStart w:id="262" w:name="_Toc19345"/>
      <w:bookmarkStart w:id="263" w:name="_Toc390098426"/>
      <w:bookmarkStart w:id="264" w:name="_Toc12983512"/>
      <w:bookmarkStart w:id="265" w:name="_Toc15674"/>
      <w:bookmarkStart w:id="266" w:name="_Toc2072"/>
      <w:bookmarkStart w:id="267" w:name="_Toc2976"/>
      <w:bookmarkStart w:id="268" w:name="_Toc385427800"/>
      <w:bookmarkStart w:id="269" w:name="_Toc383891175"/>
      <w:bookmarkStart w:id="270" w:name="_Toc24128"/>
      <w:bookmarkStart w:id="271" w:name="_Toc24583"/>
      <w:bookmarkStart w:id="272" w:name="_Toc26952"/>
      <w:bookmarkStart w:id="273" w:name="_Toc492478725"/>
      <w:bookmarkStart w:id="274" w:name="_Toc22529"/>
      <w:bookmarkStart w:id="275" w:name="_Toc15498"/>
      <w:r>
        <w:rPr>
          <w:rFonts w:hint="eastAsia" w:ascii="宋体" w:hAnsi="宋体"/>
          <w:sz w:val="21"/>
          <w:szCs w:val="21"/>
          <w:highlight w:val="none"/>
        </w:rPr>
        <w:t xml:space="preserve">7. </w:t>
      </w:r>
      <w:r>
        <w:rPr>
          <w:rFonts w:ascii="宋体" w:hAnsi="宋体"/>
          <w:sz w:val="21"/>
          <w:szCs w:val="21"/>
          <w:highlight w:val="none"/>
        </w:rPr>
        <w:t>比选文件的补遗或修改</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7.1 </w:t>
      </w:r>
      <w:r>
        <w:rPr>
          <w:rFonts w:ascii="宋体" w:hAnsi="宋体"/>
          <w:highlight w:val="none"/>
        </w:rPr>
        <w:t>在比选申请截止期前，无论出于何种原因，</w:t>
      </w:r>
      <w:r>
        <w:rPr>
          <w:rFonts w:hint="eastAsia" w:ascii="宋体" w:hAnsi="宋体"/>
          <w:highlight w:val="none"/>
        </w:rPr>
        <w:t>比选人</w:t>
      </w:r>
      <w:r>
        <w:rPr>
          <w:rFonts w:ascii="宋体" w:hAnsi="宋体"/>
          <w:highlight w:val="none"/>
        </w:rPr>
        <w:t>可以主动或应比选申请人澄清要求对比选文件进行必要的补遗或修改。</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7.2 </w:t>
      </w:r>
      <w:r>
        <w:rPr>
          <w:rFonts w:ascii="宋体" w:hAnsi="宋体"/>
          <w:highlight w:val="none"/>
        </w:rPr>
        <w:t>比选文件的补遗或修改通知是比选文件的组成部分，补充比选文件在</w:t>
      </w:r>
      <w:r>
        <w:rPr>
          <w:rFonts w:hint="eastAsia" w:ascii="宋体" w:hAnsi="宋体"/>
          <w:highlight w:val="none"/>
          <w:lang w:eastAsia="zh-CN"/>
        </w:rPr>
        <w:t>南宁轨道交通</w:t>
      </w:r>
      <w:r>
        <w:rPr>
          <w:rFonts w:hint="eastAsia" w:ascii="宋体" w:hAnsi="宋体"/>
          <w:highlight w:val="none"/>
          <w:lang w:val="en-US" w:eastAsia="zh-CN"/>
        </w:rPr>
        <w:t>集团</w:t>
      </w:r>
      <w:r>
        <w:rPr>
          <w:rFonts w:hint="eastAsia" w:ascii="宋体" w:hAnsi="宋体"/>
          <w:highlight w:val="none"/>
          <w:lang w:eastAsia="zh-CN"/>
        </w:rPr>
        <w:t>有限</w:t>
      </w:r>
      <w:r>
        <w:rPr>
          <w:rFonts w:hint="eastAsia" w:ascii="宋体" w:hAnsi="宋体"/>
          <w:highlight w:val="none"/>
          <w:lang w:val="en-US" w:eastAsia="zh-CN"/>
        </w:rPr>
        <w:t>责任</w:t>
      </w:r>
      <w:r>
        <w:rPr>
          <w:rFonts w:hint="eastAsia" w:ascii="宋体" w:hAnsi="宋体"/>
          <w:highlight w:val="none"/>
          <w:lang w:eastAsia="zh-CN"/>
        </w:rPr>
        <w:t>公司</w:t>
      </w:r>
      <w:r>
        <w:rPr>
          <w:rFonts w:hint="eastAsia" w:ascii="宋体" w:hAnsi="宋体"/>
          <w:highlight w:val="none"/>
        </w:rPr>
        <w:t>官网</w:t>
      </w:r>
      <w:r>
        <w:rPr>
          <w:rFonts w:ascii="宋体" w:hAnsi="宋体"/>
          <w:highlight w:val="none"/>
        </w:rPr>
        <w:t>上发布之日起，视为比选申请人已收到该补充比选文件。比选申请人未及时关注</w:t>
      </w:r>
      <w:r>
        <w:rPr>
          <w:rFonts w:hint="eastAsia" w:ascii="宋体" w:hAnsi="宋体"/>
          <w:highlight w:val="none"/>
          <w:lang w:eastAsia="zh-CN"/>
        </w:rPr>
        <w:t>南宁轨道交通</w:t>
      </w:r>
      <w:r>
        <w:rPr>
          <w:rFonts w:hint="eastAsia" w:ascii="宋体" w:hAnsi="宋体"/>
          <w:highlight w:val="none"/>
          <w:lang w:val="en-US" w:eastAsia="zh-CN"/>
        </w:rPr>
        <w:t>集团</w:t>
      </w:r>
      <w:r>
        <w:rPr>
          <w:rFonts w:hint="eastAsia" w:ascii="宋体" w:hAnsi="宋体"/>
          <w:highlight w:val="none"/>
          <w:lang w:eastAsia="zh-CN"/>
        </w:rPr>
        <w:t>有限</w:t>
      </w:r>
      <w:r>
        <w:rPr>
          <w:rFonts w:hint="eastAsia" w:ascii="宋体" w:hAnsi="宋体"/>
          <w:highlight w:val="none"/>
          <w:lang w:val="en-US" w:eastAsia="zh-CN"/>
        </w:rPr>
        <w:t>责任</w:t>
      </w:r>
      <w:r>
        <w:rPr>
          <w:rFonts w:hint="eastAsia" w:ascii="宋体" w:hAnsi="宋体"/>
          <w:highlight w:val="none"/>
          <w:lang w:eastAsia="zh-CN"/>
        </w:rPr>
        <w:t>公司</w:t>
      </w:r>
      <w:r>
        <w:rPr>
          <w:rFonts w:hint="eastAsia" w:ascii="宋体" w:hAnsi="宋体"/>
          <w:highlight w:val="none"/>
        </w:rPr>
        <w:t>官网</w:t>
      </w:r>
      <w:r>
        <w:rPr>
          <w:rFonts w:ascii="宋体" w:hAnsi="宋体"/>
          <w:highlight w:val="none"/>
        </w:rPr>
        <w:t>上发布的补充比选文件造成的损失，由比选申请人自行负责。</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7.4 </w:t>
      </w:r>
      <w:r>
        <w:rPr>
          <w:rFonts w:ascii="宋体" w:hAnsi="宋体"/>
          <w:highlight w:val="none"/>
        </w:rPr>
        <w:t>为使比选申请人准备比选申请时有充分时间对比选文件的补遗或修改部分进行研究，</w:t>
      </w:r>
      <w:r>
        <w:rPr>
          <w:rFonts w:hint="eastAsia" w:ascii="宋体" w:hAnsi="宋体"/>
          <w:highlight w:val="none"/>
        </w:rPr>
        <w:t>比选人</w:t>
      </w:r>
      <w:r>
        <w:rPr>
          <w:rFonts w:ascii="宋体" w:hAnsi="宋体"/>
          <w:highlight w:val="none"/>
        </w:rPr>
        <w:t>可适当推迟比选申请截止</w:t>
      </w:r>
      <w:r>
        <w:rPr>
          <w:rFonts w:hint="eastAsia" w:ascii="宋体" w:hAnsi="宋体"/>
          <w:highlight w:val="none"/>
        </w:rPr>
        <w:t>时间</w:t>
      </w:r>
      <w:r>
        <w:rPr>
          <w:rFonts w:ascii="宋体" w:hAnsi="宋体"/>
          <w:highlight w:val="none"/>
        </w:rPr>
        <w:t>。</w:t>
      </w:r>
    </w:p>
    <w:p>
      <w:pPr>
        <w:spacing w:after="0" w:afterAutospacing="0" w:line="360" w:lineRule="auto"/>
        <w:ind w:left="0" w:right="0" w:firstLine="482" w:firstLineChars="200"/>
        <w:outlineLvl w:val="1"/>
        <w:rPr>
          <w:rFonts w:ascii="宋体" w:hAnsi="宋体" w:eastAsia="宋体"/>
          <w:b/>
          <w:bCs/>
          <w:sz w:val="24"/>
          <w:szCs w:val="24"/>
          <w:highlight w:val="none"/>
        </w:rPr>
      </w:pPr>
      <w:bookmarkStart w:id="276" w:name="_Toc25361"/>
      <w:bookmarkStart w:id="277" w:name="_Toc14185"/>
      <w:bookmarkStart w:id="278" w:name="_Toc492478726"/>
      <w:bookmarkStart w:id="279" w:name="_Toc24759"/>
      <w:bookmarkStart w:id="280" w:name="_Toc2902"/>
      <w:bookmarkStart w:id="281" w:name="_Toc9848"/>
      <w:bookmarkStart w:id="282" w:name="_Toc385427801"/>
      <w:bookmarkStart w:id="283" w:name="_Toc5805"/>
      <w:bookmarkStart w:id="284" w:name="_Toc17337_WPSOffice_Level2"/>
      <w:bookmarkStart w:id="285" w:name="_Toc3631"/>
      <w:bookmarkStart w:id="286" w:name="_Toc24557"/>
      <w:bookmarkStart w:id="287" w:name="_Toc28044"/>
      <w:bookmarkStart w:id="288" w:name="_Toc390098427"/>
      <w:bookmarkStart w:id="289" w:name="_Toc18679"/>
      <w:bookmarkStart w:id="290" w:name="_Toc16406"/>
      <w:bookmarkStart w:id="291" w:name="_Toc4718"/>
      <w:bookmarkStart w:id="292" w:name="_Toc32708"/>
      <w:bookmarkStart w:id="293" w:name="_Toc7826"/>
      <w:bookmarkStart w:id="294" w:name="_Toc12983513"/>
      <w:bookmarkStart w:id="295" w:name="_Toc30363"/>
      <w:bookmarkStart w:id="296" w:name="_Toc5254"/>
      <w:bookmarkStart w:id="297" w:name="_Toc7604"/>
      <w:bookmarkStart w:id="298" w:name="_Toc17692"/>
      <w:bookmarkStart w:id="299" w:name="_Toc383891176"/>
      <w:bookmarkStart w:id="300" w:name="_Toc27913"/>
      <w:bookmarkStart w:id="301" w:name="_Toc25750599"/>
      <w:bookmarkStart w:id="302" w:name="_Toc14225"/>
      <w:bookmarkStart w:id="303" w:name="_Toc21099"/>
      <w:bookmarkStart w:id="304" w:name="_Toc17335"/>
      <w:bookmarkStart w:id="305" w:name="_Toc95"/>
      <w:bookmarkStart w:id="306" w:name="_Toc375039072"/>
      <w:bookmarkStart w:id="307" w:name="_Toc10869"/>
      <w:r>
        <w:rPr>
          <w:rFonts w:hint="eastAsia" w:ascii="宋体" w:hAnsi="宋体" w:eastAsia="宋体"/>
          <w:b/>
          <w:bCs/>
          <w:sz w:val="24"/>
          <w:szCs w:val="24"/>
          <w:highlight w:val="none"/>
        </w:rPr>
        <w:t>三、</w:t>
      </w:r>
      <w:r>
        <w:rPr>
          <w:rFonts w:ascii="宋体" w:hAnsi="宋体" w:eastAsia="宋体"/>
          <w:b/>
          <w:bCs/>
          <w:sz w:val="24"/>
          <w:szCs w:val="24"/>
          <w:highlight w:val="none"/>
        </w:rPr>
        <w:t>比选申请文件的编制</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spacing w:before="0" w:after="0" w:afterAutospacing="0"/>
        <w:ind w:left="0" w:right="0" w:firstLine="420" w:firstLineChars="200"/>
        <w:outlineLvl w:val="9"/>
        <w:rPr>
          <w:rFonts w:ascii="宋体" w:hAnsi="宋体"/>
          <w:sz w:val="21"/>
          <w:szCs w:val="21"/>
          <w:highlight w:val="none"/>
        </w:rPr>
      </w:pPr>
      <w:bookmarkStart w:id="308" w:name="_Toc11259"/>
      <w:bookmarkStart w:id="309" w:name="_Toc1733"/>
      <w:bookmarkStart w:id="310" w:name="_Toc18350"/>
      <w:bookmarkStart w:id="311" w:name="_Toc12983514"/>
      <w:bookmarkStart w:id="312" w:name="_Toc23794"/>
      <w:bookmarkStart w:id="313" w:name="_Toc26150"/>
      <w:bookmarkStart w:id="314" w:name="_Toc2819"/>
      <w:bookmarkStart w:id="315" w:name="_Toc375039073"/>
      <w:bookmarkStart w:id="316" w:name="_Toc385427802"/>
      <w:bookmarkStart w:id="317" w:name="_Toc492478727"/>
      <w:bookmarkStart w:id="318" w:name="_Toc26680"/>
      <w:bookmarkStart w:id="319" w:name="_Toc20025"/>
      <w:bookmarkStart w:id="320" w:name="_Toc13418"/>
      <w:bookmarkStart w:id="321" w:name="_Toc12074"/>
      <w:bookmarkStart w:id="322" w:name="_Toc25750600"/>
      <w:bookmarkStart w:id="323" w:name="_Toc16435"/>
      <w:bookmarkStart w:id="324" w:name="_Toc21673"/>
      <w:bookmarkStart w:id="325" w:name="_Toc383891177"/>
      <w:bookmarkStart w:id="326" w:name="_Toc9592"/>
      <w:bookmarkStart w:id="327" w:name="_Toc29862"/>
      <w:bookmarkStart w:id="328" w:name="_Toc12456"/>
      <w:bookmarkStart w:id="329" w:name="_Toc4384"/>
      <w:bookmarkStart w:id="330" w:name="_Toc390098428"/>
      <w:bookmarkStart w:id="331" w:name="_Toc16186"/>
      <w:r>
        <w:rPr>
          <w:rFonts w:hint="eastAsia" w:ascii="宋体" w:hAnsi="宋体"/>
          <w:sz w:val="21"/>
          <w:szCs w:val="21"/>
          <w:highlight w:val="none"/>
        </w:rPr>
        <w:t xml:space="preserve">8. </w:t>
      </w:r>
      <w:r>
        <w:rPr>
          <w:rFonts w:ascii="宋体" w:hAnsi="宋体"/>
          <w:sz w:val="21"/>
          <w:szCs w:val="21"/>
          <w:highlight w:val="none"/>
        </w:rPr>
        <w:t>编制要求</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tabs>
          <w:tab w:val="left" w:pos="1134"/>
          <w:tab w:val="left" w:pos="8364"/>
        </w:tabs>
        <w:spacing w:before="0" w:after="0" w:afterAutospacing="0"/>
        <w:ind w:left="0" w:right="0" w:firstLine="420" w:firstLineChars="200"/>
        <w:outlineLvl w:val="9"/>
        <w:rPr>
          <w:rFonts w:ascii="宋体" w:hAnsi="宋体"/>
          <w:highlight w:val="none"/>
        </w:rPr>
      </w:pPr>
      <w:r>
        <w:rPr>
          <w:rFonts w:ascii="宋体" w:hAnsi="宋体"/>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numPr>
          <w:ilvl w:val="0"/>
          <w:numId w:val="4"/>
        </w:numPr>
        <w:spacing w:before="0" w:after="0" w:afterAutospacing="0"/>
        <w:ind w:left="0" w:right="0" w:firstLine="420" w:firstLineChars="200"/>
        <w:outlineLvl w:val="9"/>
        <w:rPr>
          <w:rFonts w:ascii="宋体" w:hAnsi="宋体"/>
          <w:sz w:val="21"/>
          <w:szCs w:val="21"/>
          <w:highlight w:val="none"/>
        </w:rPr>
      </w:pPr>
      <w:bookmarkStart w:id="332" w:name="_Toc28065"/>
      <w:bookmarkStart w:id="333" w:name="_Toc12983515"/>
      <w:bookmarkStart w:id="334" w:name="_Toc15570"/>
      <w:bookmarkStart w:id="335" w:name="_Toc25770"/>
      <w:bookmarkStart w:id="336" w:name="_Toc3492"/>
      <w:bookmarkStart w:id="337" w:name="_Toc22026"/>
      <w:bookmarkStart w:id="338" w:name="_Toc24935"/>
      <w:bookmarkStart w:id="339" w:name="_Toc11040"/>
      <w:bookmarkStart w:id="340" w:name="_Toc492478728"/>
      <w:bookmarkStart w:id="341" w:name="_Toc26753"/>
      <w:bookmarkStart w:id="342" w:name="_Toc11161"/>
      <w:bookmarkStart w:id="343" w:name="_Toc24857"/>
      <w:bookmarkStart w:id="344" w:name="_Toc9887"/>
      <w:bookmarkStart w:id="345" w:name="_Toc375039074"/>
      <w:bookmarkStart w:id="346" w:name="_Toc12207"/>
      <w:bookmarkStart w:id="347" w:name="_Toc25750601"/>
      <w:bookmarkStart w:id="348" w:name="_Toc385427803"/>
      <w:bookmarkStart w:id="349" w:name="_Toc1047"/>
      <w:bookmarkStart w:id="350" w:name="_Toc383891178"/>
      <w:bookmarkStart w:id="351" w:name="_Toc28296"/>
      <w:bookmarkStart w:id="352" w:name="_Toc16237"/>
      <w:bookmarkStart w:id="353" w:name="_Toc390098429"/>
      <w:bookmarkStart w:id="354" w:name="_Toc19885"/>
      <w:bookmarkStart w:id="355" w:name="_Toc6261"/>
      <w:r>
        <w:rPr>
          <w:rFonts w:ascii="宋体" w:hAnsi="宋体"/>
          <w:sz w:val="21"/>
          <w:szCs w:val="21"/>
          <w:highlight w:val="none"/>
        </w:rPr>
        <w:t>比选申请语言及计量单位</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9.1 </w:t>
      </w:r>
      <w:r>
        <w:rPr>
          <w:rFonts w:ascii="宋体" w:hAnsi="宋体"/>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9.2 </w:t>
      </w:r>
      <w:r>
        <w:rPr>
          <w:rFonts w:ascii="宋体" w:hAnsi="宋体"/>
          <w:highlight w:val="none"/>
        </w:rPr>
        <w:t>除在比选文件另有规定外，计量单位应使用中华人民共和国法定计量单位。</w:t>
      </w:r>
    </w:p>
    <w:p>
      <w:pPr>
        <w:numPr>
          <w:ilvl w:val="0"/>
          <w:numId w:val="4"/>
        </w:numPr>
        <w:spacing w:before="0" w:after="0" w:afterAutospacing="0"/>
        <w:ind w:left="0" w:right="0" w:firstLine="420" w:firstLineChars="200"/>
        <w:outlineLvl w:val="9"/>
        <w:rPr>
          <w:rFonts w:ascii="宋体" w:hAnsi="宋体"/>
          <w:sz w:val="21"/>
          <w:szCs w:val="21"/>
          <w:highlight w:val="none"/>
        </w:rPr>
      </w:pPr>
      <w:bookmarkStart w:id="356" w:name="_Toc23364"/>
      <w:bookmarkStart w:id="357" w:name="_Toc3877"/>
      <w:bookmarkStart w:id="358" w:name="_Toc29881"/>
      <w:bookmarkStart w:id="359" w:name="_Toc53"/>
      <w:bookmarkStart w:id="360" w:name="_Toc390098430"/>
      <w:bookmarkStart w:id="361" w:name="_Toc375039075"/>
      <w:bookmarkStart w:id="362" w:name="_Toc14323"/>
      <w:bookmarkStart w:id="363" w:name="_Toc23229"/>
      <w:bookmarkStart w:id="364" w:name="_Toc25750602"/>
      <w:bookmarkStart w:id="365" w:name="_Toc385427804"/>
      <w:bookmarkStart w:id="366" w:name="_Toc30991"/>
      <w:bookmarkStart w:id="367" w:name="_Toc3464"/>
      <w:bookmarkStart w:id="368" w:name="_Toc492478729"/>
      <w:bookmarkStart w:id="369" w:name="_Toc30356"/>
      <w:bookmarkStart w:id="370" w:name="_Toc19681"/>
      <w:bookmarkStart w:id="371" w:name="_Toc28164"/>
      <w:bookmarkStart w:id="372" w:name="_Toc12983516"/>
      <w:bookmarkStart w:id="373" w:name="_Toc18149"/>
      <w:bookmarkStart w:id="374" w:name="_Toc383891179"/>
      <w:bookmarkStart w:id="375" w:name="_Toc16307"/>
      <w:bookmarkStart w:id="376" w:name="_Toc3411"/>
      <w:bookmarkStart w:id="377" w:name="_Toc22476"/>
      <w:bookmarkStart w:id="378" w:name="_Toc15809"/>
      <w:bookmarkStart w:id="379" w:name="_Toc24760"/>
      <w:r>
        <w:rPr>
          <w:rFonts w:ascii="宋体" w:hAnsi="宋体"/>
          <w:sz w:val="21"/>
          <w:szCs w:val="21"/>
          <w:highlight w:val="none"/>
        </w:rPr>
        <w:t>比选申请文件组成</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tabs>
          <w:tab w:val="left" w:pos="1134"/>
          <w:tab w:val="left" w:pos="1701"/>
          <w:tab w:val="left" w:pos="1843"/>
        </w:tabs>
        <w:spacing w:before="0" w:after="0" w:afterAutospacing="0"/>
        <w:ind w:left="0" w:right="0" w:firstLine="420" w:firstLineChars="200"/>
        <w:outlineLvl w:val="9"/>
        <w:rPr>
          <w:rFonts w:ascii="宋体" w:hAnsi="宋体"/>
          <w:highlight w:val="none"/>
        </w:rPr>
      </w:pPr>
      <w:r>
        <w:rPr>
          <w:rFonts w:hint="eastAsia" w:ascii="宋体" w:hAnsi="宋体"/>
          <w:highlight w:val="none"/>
          <w:lang w:val="en-US" w:eastAsia="zh-CN"/>
        </w:rPr>
        <w:t>10.1</w:t>
      </w:r>
      <w:r>
        <w:rPr>
          <w:rFonts w:hint="eastAsia" w:ascii="宋体" w:hAnsi="宋体"/>
          <w:highlight w:val="none"/>
        </w:rPr>
        <w:t xml:space="preserve"> </w:t>
      </w:r>
      <w:r>
        <w:rPr>
          <w:rFonts w:ascii="宋体" w:hAnsi="宋体"/>
          <w:highlight w:val="none"/>
        </w:rPr>
        <w:t>比选申请文件应提供足够、准确和真实的信息，以供评审委员会判断比选申请人是否具备承担本项目的能力。比选申请人递交的比选申请文件</w:t>
      </w:r>
      <w:r>
        <w:rPr>
          <w:rFonts w:hint="eastAsia" w:ascii="宋体" w:hAnsi="宋体"/>
          <w:highlight w:val="none"/>
        </w:rPr>
        <w:t>组成详见比选申请须知前附表</w:t>
      </w:r>
      <w:r>
        <w:rPr>
          <w:rFonts w:ascii="宋体" w:hAnsi="宋体"/>
          <w:highlight w:val="none"/>
        </w:rPr>
        <w:t>。</w:t>
      </w:r>
    </w:p>
    <w:p>
      <w:pPr>
        <w:tabs>
          <w:tab w:val="left" w:pos="1134"/>
          <w:tab w:val="left" w:pos="1701"/>
          <w:tab w:val="left" w:pos="1843"/>
        </w:tabs>
        <w:spacing w:before="0" w:after="0" w:afterAutospacing="0"/>
        <w:ind w:left="0" w:right="0" w:firstLine="422" w:firstLineChars="200"/>
        <w:outlineLvl w:val="9"/>
        <w:rPr>
          <w:rFonts w:ascii="宋体" w:hAnsi="宋体"/>
          <w:highlight w:val="none"/>
        </w:rPr>
      </w:pPr>
      <w:r>
        <w:rPr>
          <w:rFonts w:hint="eastAsia" w:ascii="宋体" w:hAnsi="宋体"/>
          <w:b/>
          <w:highlight w:val="none"/>
          <w:lang w:val="en-US" w:eastAsia="zh-CN"/>
        </w:rPr>
        <w:t>10.2</w:t>
      </w:r>
      <w:r>
        <w:rPr>
          <w:rFonts w:hint="eastAsia" w:ascii="宋体" w:hAnsi="宋体"/>
          <w:b/>
          <w:highlight w:val="none"/>
        </w:rPr>
        <w:t>资格审查文件和技术文件不得透露有关报价的任何信息，否则其比选申请将被否决。</w:t>
      </w:r>
    </w:p>
    <w:p>
      <w:pPr>
        <w:spacing w:before="0" w:after="0" w:afterAutospacing="0"/>
        <w:ind w:left="0" w:right="0" w:firstLine="420" w:firstLineChars="200"/>
        <w:outlineLvl w:val="9"/>
        <w:rPr>
          <w:rFonts w:ascii="宋体" w:hAnsi="宋体"/>
          <w:sz w:val="21"/>
          <w:szCs w:val="21"/>
          <w:highlight w:val="none"/>
        </w:rPr>
      </w:pPr>
      <w:bookmarkStart w:id="380" w:name="_Toc11211"/>
      <w:bookmarkStart w:id="381" w:name="_Toc21144"/>
      <w:bookmarkStart w:id="382" w:name="_Toc492478730"/>
      <w:bookmarkStart w:id="383" w:name="_Toc15448"/>
      <w:bookmarkStart w:id="384" w:name="_Toc390098431"/>
      <w:bookmarkStart w:id="385" w:name="_Toc20490"/>
      <w:bookmarkStart w:id="386" w:name="_Toc20248"/>
      <w:bookmarkStart w:id="387" w:name="_Toc675"/>
      <w:bookmarkStart w:id="388" w:name="_Toc27019"/>
      <w:bookmarkStart w:id="389" w:name="_Toc12983517"/>
      <w:bookmarkStart w:id="390" w:name="_Toc375039076"/>
      <w:bookmarkStart w:id="391" w:name="_Toc2395"/>
      <w:bookmarkStart w:id="392" w:name="_Toc7608"/>
      <w:bookmarkStart w:id="393" w:name="_Toc25750603"/>
      <w:bookmarkStart w:id="394" w:name="_Toc15919"/>
      <w:bookmarkStart w:id="395" w:name="_Toc3670"/>
      <w:bookmarkStart w:id="396" w:name="_Toc23002"/>
      <w:bookmarkStart w:id="397" w:name="_Toc14308"/>
      <w:bookmarkStart w:id="398" w:name="_Toc27194"/>
      <w:bookmarkStart w:id="399" w:name="_Toc16783"/>
      <w:bookmarkStart w:id="400" w:name="_Toc385427805"/>
      <w:bookmarkStart w:id="401" w:name="_Toc8151"/>
      <w:bookmarkStart w:id="402" w:name="_Toc383891180"/>
      <w:bookmarkStart w:id="403" w:name="_Toc14630"/>
      <w:r>
        <w:rPr>
          <w:rFonts w:hint="eastAsia" w:ascii="宋体" w:hAnsi="宋体"/>
          <w:sz w:val="21"/>
          <w:szCs w:val="21"/>
          <w:highlight w:val="none"/>
          <w:lang w:eastAsia="zh-CN"/>
        </w:rPr>
        <w:t>1</w:t>
      </w:r>
      <w:r>
        <w:rPr>
          <w:rFonts w:hint="eastAsia" w:ascii="宋体" w:hAnsi="宋体"/>
          <w:sz w:val="21"/>
          <w:szCs w:val="21"/>
          <w:highlight w:val="none"/>
          <w:lang w:val="en-US" w:eastAsia="zh-CN"/>
        </w:rPr>
        <w:t>1</w:t>
      </w:r>
      <w:r>
        <w:rPr>
          <w:rFonts w:hint="eastAsia" w:ascii="宋体" w:hAnsi="宋体"/>
          <w:sz w:val="21"/>
          <w:szCs w:val="21"/>
          <w:highlight w:val="none"/>
        </w:rPr>
        <w:t xml:space="preserve">. </w:t>
      </w:r>
      <w:r>
        <w:rPr>
          <w:rFonts w:ascii="宋体" w:hAnsi="宋体"/>
          <w:sz w:val="21"/>
          <w:szCs w:val="21"/>
          <w:highlight w:val="none"/>
        </w:rPr>
        <w:t>比选申请文件格式</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lang w:val="en-US" w:eastAsia="zh-CN"/>
        </w:rPr>
        <w:t>11</w:t>
      </w:r>
      <w:r>
        <w:rPr>
          <w:rFonts w:hint="eastAsia" w:ascii="宋体" w:hAnsi="宋体"/>
          <w:highlight w:val="none"/>
        </w:rPr>
        <w:t xml:space="preserve">.1 </w:t>
      </w:r>
      <w:r>
        <w:rPr>
          <w:rFonts w:ascii="宋体" w:hAnsi="宋体"/>
          <w:highlight w:val="none"/>
        </w:rPr>
        <w:t>比选申请人应按本比选申请须知第</w:t>
      </w:r>
      <w:r>
        <w:rPr>
          <w:rFonts w:hint="eastAsia" w:ascii="宋体" w:hAnsi="宋体"/>
          <w:highlight w:val="none"/>
          <w:lang w:val="en-US" w:eastAsia="zh-CN"/>
        </w:rPr>
        <w:t>10</w:t>
      </w:r>
      <w:r>
        <w:rPr>
          <w:rFonts w:ascii="宋体" w:hAnsi="宋体"/>
          <w:highlight w:val="none"/>
        </w:rPr>
        <w:t>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lang w:val="en-US" w:eastAsia="zh-CN"/>
        </w:rPr>
        <w:t>11</w:t>
      </w:r>
      <w:r>
        <w:rPr>
          <w:rFonts w:hint="eastAsia" w:ascii="宋体" w:hAnsi="宋体"/>
          <w:highlight w:val="none"/>
        </w:rPr>
        <w:t xml:space="preserve">.2 </w:t>
      </w:r>
      <w:r>
        <w:rPr>
          <w:rFonts w:ascii="宋体" w:hAnsi="宋体"/>
          <w:highlight w:val="none"/>
        </w:rPr>
        <w:t>比选申请人应将比选申请文件按本比选申请须知第</w:t>
      </w:r>
      <w:r>
        <w:rPr>
          <w:rFonts w:hint="eastAsia" w:ascii="宋体" w:hAnsi="宋体"/>
          <w:highlight w:val="none"/>
          <w:lang w:val="en-US" w:eastAsia="zh-CN"/>
        </w:rPr>
        <w:t>10</w:t>
      </w:r>
      <w:r>
        <w:rPr>
          <w:rFonts w:ascii="宋体" w:hAnsi="宋体"/>
          <w:highlight w:val="none"/>
        </w:rPr>
        <w:t>条规定的顺序编排、编制目录、逐页标注连续页码、并装订成册，各分册前须有分册目录。</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lang w:val="en-US" w:eastAsia="zh-CN"/>
        </w:rPr>
        <w:t>11</w:t>
      </w:r>
      <w:r>
        <w:rPr>
          <w:rFonts w:hint="eastAsia" w:ascii="宋体" w:hAnsi="宋体"/>
          <w:highlight w:val="none"/>
        </w:rPr>
        <w:t xml:space="preserve">.3 </w:t>
      </w:r>
      <w:r>
        <w:rPr>
          <w:rFonts w:ascii="宋体" w:hAnsi="宋体"/>
          <w:highlight w:val="none"/>
        </w:rPr>
        <w:t>比选申请文件的规格：统一为A4印刷本，纸质封面，印刷本厚度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分册装订。封面标明文件题名、编号、比选申请人名称、比选申请时间，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，装订时书钉不外露；不能使用塑料面或塑料胶条装订。</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lang w:eastAsia="zh-CN"/>
        </w:rPr>
        <w:t>1</w:t>
      </w:r>
      <w:r>
        <w:rPr>
          <w:rFonts w:hint="eastAsia" w:ascii="宋体" w:hAnsi="宋体"/>
          <w:highlight w:val="none"/>
          <w:lang w:val="en-US" w:eastAsia="zh-CN"/>
        </w:rPr>
        <w:t>1</w:t>
      </w:r>
      <w:r>
        <w:rPr>
          <w:rFonts w:hint="eastAsia" w:ascii="宋体" w:hAnsi="宋体"/>
          <w:highlight w:val="none"/>
        </w:rPr>
        <w:t>.4</w:t>
      </w:r>
      <w:r>
        <w:rPr>
          <w:rFonts w:ascii="宋体" w:hAnsi="宋体"/>
          <w:highlight w:val="none"/>
        </w:rPr>
        <w:t>比选申请文件的页码：必须按每本</w:t>
      </w:r>
      <w:r>
        <w:rPr>
          <w:rFonts w:hint="eastAsia" w:ascii="宋体" w:hAnsi="宋体"/>
          <w:highlight w:val="none"/>
        </w:rPr>
        <w:t>正文</w:t>
      </w:r>
      <w:r>
        <w:rPr>
          <w:rFonts w:ascii="宋体" w:hAnsi="宋体"/>
          <w:highlight w:val="none"/>
        </w:rPr>
        <w:t>逐页从1开始，按照流水号编号。</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lang w:eastAsia="zh-CN"/>
        </w:rPr>
        <w:t>1</w:t>
      </w:r>
      <w:r>
        <w:rPr>
          <w:rFonts w:hint="eastAsia" w:ascii="宋体" w:hAnsi="宋体"/>
          <w:highlight w:val="none"/>
          <w:lang w:val="en-US" w:eastAsia="zh-CN"/>
        </w:rPr>
        <w:t>1</w:t>
      </w:r>
      <w:r>
        <w:rPr>
          <w:rFonts w:hint="eastAsia" w:ascii="宋体" w:hAnsi="宋体"/>
          <w:highlight w:val="none"/>
        </w:rPr>
        <w:t>.5</w:t>
      </w:r>
      <w:r>
        <w:rPr>
          <w:rFonts w:ascii="宋体" w:hAnsi="宋体"/>
          <w:highlight w:val="none"/>
        </w:rPr>
        <w:t>图纸的整理：图纸横向按手风琴折叠，竖向按顺时针方向折叠，折叠后图标露在右下角，每本图纸厚度不</w:t>
      </w:r>
      <w:r>
        <w:rPr>
          <w:rFonts w:hint="eastAsia" w:ascii="宋体" w:hAnsi="宋体"/>
          <w:highlight w:val="none"/>
        </w:rPr>
        <w:t>宜</w:t>
      </w:r>
      <w:r>
        <w:rPr>
          <w:rFonts w:ascii="宋体" w:hAnsi="宋体"/>
          <w:highlight w:val="none"/>
        </w:rPr>
        <w:t>超过4公分，超过</w:t>
      </w:r>
      <w:r>
        <w:rPr>
          <w:rFonts w:hint="eastAsia" w:ascii="宋体" w:hAnsi="宋体"/>
          <w:highlight w:val="none"/>
        </w:rPr>
        <w:t>可</w:t>
      </w:r>
      <w:r>
        <w:rPr>
          <w:rFonts w:ascii="宋体" w:hAnsi="宋体"/>
          <w:highlight w:val="none"/>
        </w:rPr>
        <w:t>分卷装订，每卷图纸从图纸封面起逐张从1开始</w:t>
      </w:r>
      <w:r>
        <w:rPr>
          <w:rFonts w:hint="eastAsia" w:ascii="宋体" w:hAnsi="宋体"/>
          <w:highlight w:val="none"/>
        </w:rPr>
        <w:t>，</w:t>
      </w:r>
      <w:r>
        <w:rPr>
          <w:rFonts w:ascii="宋体" w:hAnsi="宋体"/>
          <w:highlight w:val="none"/>
        </w:rPr>
        <w:t>按照流水号编号。</w:t>
      </w:r>
    </w:p>
    <w:p>
      <w:pPr>
        <w:spacing w:before="0" w:after="0" w:afterAutospacing="0"/>
        <w:ind w:left="0" w:right="0" w:firstLine="420" w:firstLineChars="200"/>
        <w:outlineLvl w:val="9"/>
        <w:rPr>
          <w:rFonts w:ascii="宋体" w:hAnsi="宋体"/>
          <w:sz w:val="21"/>
          <w:szCs w:val="21"/>
          <w:highlight w:val="none"/>
        </w:rPr>
      </w:pPr>
      <w:bookmarkStart w:id="404" w:name="_Toc21084"/>
      <w:bookmarkStart w:id="405" w:name="_Toc3813"/>
      <w:bookmarkStart w:id="406" w:name="_Toc6671"/>
      <w:bookmarkStart w:id="407" w:name="_Toc7857"/>
      <w:bookmarkStart w:id="408" w:name="_Toc20685"/>
      <w:bookmarkStart w:id="409" w:name="_Toc25750604"/>
      <w:bookmarkStart w:id="410" w:name="_Toc12983518"/>
      <w:bookmarkStart w:id="411" w:name="_Toc390098432"/>
      <w:bookmarkStart w:id="412" w:name="_Toc17379"/>
      <w:bookmarkStart w:id="413" w:name="_Toc17526"/>
      <w:bookmarkStart w:id="414" w:name="_Toc375039077"/>
      <w:bookmarkStart w:id="415" w:name="_Toc383891181"/>
      <w:bookmarkStart w:id="416" w:name="_Toc3799"/>
      <w:bookmarkStart w:id="417" w:name="_Toc9416"/>
      <w:bookmarkStart w:id="418" w:name="_Toc17338"/>
      <w:bookmarkStart w:id="419" w:name="_Toc22295"/>
      <w:bookmarkStart w:id="420" w:name="_Toc26482"/>
      <w:bookmarkStart w:id="421" w:name="_Toc385427806"/>
      <w:bookmarkStart w:id="422" w:name="_Toc24264"/>
      <w:bookmarkStart w:id="423" w:name="_Toc16653"/>
      <w:bookmarkStart w:id="424" w:name="_Toc14123"/>
      <w:bookmarkStart w:id="425" w:name="_Toc26974"/>
      <w:bookmarkStart w:id="426" w:name="_Toc492478731"/>
      <w:bookmarkStart w:id="427" w:name="_Toc31743"/>
      <w:r>
        <w:rPr>
          <w:rFonts w:hint="eastAsia" w:ascii="宋体" w:hAnsi="宋体"/>
          <w:sz w:val="21"/>
          <w:szCs w:val="21"/>
          <w:highlight w:val="none"/>
        </w:rPr>
        <w:t xml:space="preserve">12. </w:t>
      </w:r>
      <w:r>
        <w:rPr>
          <w:rFonts w:ascii="宋体" w:hAnsi="宋体"/>
          <w:sz w:val="21"/>
          <w:szCs w:val="21"/>
          <w:highlight w:val="none"/>
        </w:rPr>
        <w:t>比选申请报价</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tabs>
          <w:tab w:val="left" w:pos="8364"/>
        </w:tabs>
        <w:spacing w:before="0" w:after="0" w:afterAutospacing="0"/>
        <w:ind w:left="0" w:right="0" w:firstLine="420" w:firstLineChars="200"/>
        <w:outlineLvl w:val="9"/>
        <w:rPr>
          <w:rFonts w:ascii="宋体" w:hAnsi="宋体"/>
          <w:highlight w:val="none"/>
        </w:rPr>
      </w:pPr>
      <w:r>
        <w:rPr>
          <w:rFonts w:ascii="宋体" w:hAnsi="宋体"/>
          <w:highlight w:val="none"/>
        </w:rPr>
        <w:t xml:space="preserve">12.1 </w:t>
      </w:r>
      <w:r>
        <w:rPr>
          <w:rFonts w:hint="eastAsia" w:ascii="宋体" w:hAnsi="宋体"/>
          <w:highlight w:val="none"/>
        </w:rPr>
        <w:t>本项目采用不含税报价。</w:t>
      </w:r>
      <w:r>
        <w:rPr>
          <w:rFonts w:hint="eastAsia" w:ascii="宋体" w:hAnsi="宋体"/>
          <w:b/>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highlight w:val="none"/>
        </w:rPr>
        <w:t>。比选申请人</w:t>
      </w:r>
      <w:r>
        <w:rPr>
          <w:rFonts w:hint="eastAsia" w:ascii="宋体" w:hAnsi="宋体"/>
          <w:color w:val="auto"/>
          <w:highlight w:val="none"/>
        </w:rPr>
        <w:t>须按第五章《用户需求书》中的技术需求及</w:t>
      </w:r>
      <w:r>
        <w:rPr>
          <w:rFonts w:hint="eastAsia" w:ascii="宋体" w:hAnsi="宋体"/>
          <w:color w:val="auto"/>
          <w:highlight w:val="none"/>
          <w:lang w:val="en-US" w:eastAsia="zh-CN"/>
        </w:rPr>
        <w:t>工程量清单</w:t>
      </w:r>
      <w:r>
        <w:rPr>
          <w:rFonts w:hint="eastAsia" w:ascii="宋体" w:hAnsi="宋体"/>
          <w:color w:val="auto"/>
          <w:highlight w:val="none"/>
        </w:rPr>
        <w:t>的顺序填报比选申请报价表，不允许打乱顺序。比选申请人应完整地填写比选文件中提供的“比选申请报价一览表”及“比选申请报价表”。按“比选申</w:t>
      </w:r>
      <w:r>
        <w:rPr>
          <w:rFonts w:hint="eastAsia" w:ascii="宋体" w:hAnsi="宋体"/>
          <w:highlight w:val="none"/>
        </w:rPr>
        <w:t>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outlineLvl w:val="9"/>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12.3 比选申请人应根据比选文件第五章</w:t>
      </w:r>
      <w:r>
        <w:rPr>
          <w:rFonts w:hint="eastAsia" w:ascii="宋体" w:hAnsi="宋体"/>
          <w:highlight w:val="none"/>
          <w:lang w:eastAsia="zh-CN"/>
        </w:rPr>
        <w:t>《</w:t>
      </w:r>
      <w:r>
        <w:rPr>
          <w:rFonts w:hint="eastAsia" w:ascii="宋体" w:hAnsi="宋体"/>
          <w:highlight w:val="none"/>
        </w:rPr>
        <w:t>用户需求书</w:t>
      </w:r>
      <w:r>
        <w:rPr>
          <w:rFonts w:hint="eastAsia" w:ascii="宋体" w:hAnsi="宋体"/>
          <w:highlight w:val="none"/>
          <w:lang w:eastAsia="zh-CN"/>
        </w:rPr>
        <w:t>》</w:t>
      </w:r>
      <w:r>
        <w:rPr>
          <w:rFonts w:hint="eastAsia" w:ascii="宋体" w:hAnsi="宋体"/>
          <w:highlight w:val="none"/>
        </w:rPr>
        <w:t>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12.</w:t>
      </w:r>
      <w:r>
        <w:rPr>
          <w:rFonts w:hint="eastAsia" w:ascii="宋体" w:hAnsi="宋体"/>
          <w:highlight w:val="none"/>
          <w:lang w:val="en-US" w:eastAsia="zh-CN"/>
        </w:rPr>
        <w:t>4</w:t>
      </w:r>
      <w:r>
        <w:rPr>
          <w:rFonts w:hint="eastAsia" w:ascii="宋体" w:hAnsi="宋体"/>
          <w:highlight w:val="none"/>
        </w:rPr>
        <w:t>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outlineLvl w:val="9"/>
        <w:rPr>
          <w:rFonts w:ascii="宋体" w:hAnsi="宋体"/>
          <w:highlight w:val="none"/>
        </w:rPr>
      </w:pPr>
      <w:r>
        <w:rPr>
          <w:rFonts w:ascii="宋体" w:hAnsi="宋体"/>
          <w:highlight w:val="none"/>
        </w:rPr>
        <w:t>12.</w:t>
      </w:r>
      <w:r>
        <w:rPr>
          <w:rFonts w:hint="eastAsia" w:ascii="宋体" w:hAnsi="宋体"/>
          <w:highlight w:val="none"/>
          <w:lang w:val="en-US" w:eastAsia="zh-CN"/>
        </w:rPr>
        <w:t>5</w:t>
      </w:r>
      <w:r>
        <w:rPr>
          <w:rFonts w:ascii="宋体" w:hAnsi="宋体"/>
          <w:highlight w:val="none"/>
        </w:rPr>
        <w:t xml:space="preserve"> </w:t>
      </w:r>
      <w:r>
        <w:rPr>
          <w:rFonts w:hint="eastAsia" w:ascii="宋体" w:hAnsi="宋体"/>
          <w:highlight w:val="none"/>
        </w:rPr>
        <w:t>项目不接受</w:t>
      </w:r>
      <w:r>
        <w:rPr>
          <w:rFonts w:ascii="宋体" w:hAnsi="宋体"/>
          <w:highlight w:val="none"/>
        </w:rPr>
        <w:t>比选申请人免费</w:t>
      </w:r>
      <w:r>
        <w:rPr>
          <w:rFonts w:hint="eastAsia" w:ascii="宋体" w:hAnsi="宋体"/>
          <w:highlight w:val="none"/>
        </w:rPr>
        <w:t>、赠送、打折</w:t>
      </w:r>
      <w:r>
        <w:rPr>
          <w:rFonts w:ascii="宋体" w:hAnsi="宋体"/>
          <w:highlight w:val="none"/>
        </w:rPr>
        <w:t>提供</w:t>
      </w:r>
      <w:r>
        <w:rPr>
          <w:rFonts w:hint="eastAsia" w:ascii="宋体" w:hAnsi="宋体"/>
          <w:highlight w:val="none"/>
        </w:rPr>
        <w:t>任何形式的</w:t>
      </w:r>
      <w:r>
        <w:rPr>
          <w:rFonts w:ascii="宋体" w:hAnsi="宋体"/>
          <w:highlight w:val="none"/>
        </w:rPr>
        <w:t>产品、部件</w:t>
      </w:r>
      <w:r>
        <w:rPr>
          <w:rFonts w:hint="eastAsia" w:ascii="宋体" w:hAnsi="宋体"/>
          <w:highlight w:val="none"/>
        </w:rPr>
        <w:t>和服务。</w:t>
      </w:r>
    </w:p>
    <w:p>
      <w:pPr>
        <w:spacing w:before="0" w:after="0" w:afterAutospacing="0"/>
        <w:ind w:left="0" w:right="0" w:firstLine="420" w:firstLineChars="200"/>
        <w:outlineLvl w:val="9"/>
        <w:rPr>
          <w:rFonts w:ascii="宋体" w:hAnsi="宋体" w:cs="宋体"/>
          <w:highlight w:val="none"/>
        </w:rPr>
      </w:pPr>
      <w:r>
        <w:rPr>
          <w:rFonts w:ascii="宋体" w:hAnsi="宋体"/>
          <w:highlight w:val="none"/>
        </w:rPr>
        <w:t>12.</w:t>
      </w:r>
      <w:r>
        <w:rPr>
          <w:rFonts w:hint="eastAsia" w:ascii="宋体" w:hAnsi="宋体"/>
          <w:highlight w:val="none"/>
          <w:lang w:val="en-US" w:eastAsia="zh-CN"/>
        </w:rPr>
        <w:t>6</w:t>
      </w:r>
      <w:r>
        <w:rPr>
          <w:rFonts w:ascii="宋体" w:hAnsi="宋体"/>
          <w:highlight w:val="none"/>
        </w:rPr>
        <w:t xml:space="preserve"> </w:t>
      </w:r>
      <w:r>
        <w:rPr>
          <w:rFonts w:ascii="宋体" w:hAnsi="宋体" w:cs="宋体"/>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outlineLvl w:val="9"/>
        <w:rPr>
          <w:rFonts w:ascii="宋体" w:hAnsi="宋体"/>
          <w:b/>
          <w:highlight w:val="none"/>
        </w:rPr>
      </w:pPr>
      <w:r>
        <w:rPr>
          <w:rFonts w:ascii="宋体" w:hAnsi="宋体"/>
          <w:highlight w:val="none"/>
        </w:rPr>
        <w:t>12.</w:t>
      </w:r>
      <w:r>
        <w:rPr>
          <w:rFonts w:hint="eastAsia" w:ascii="宋体" w:hAnsi="宋体"/>
          <w:highlight w:val="none"/>
          <w:lang w:val="en-US" w:eastAsia="zh-CN"/>
        </w:rPr>
        <w:t>7</w:t>
      </w:r>
      <w:r>
        <w:rPr>
          <w:rFonts w:ascii="宋体" w:hAnsi="宋体"/>
          <w:highlight w:val="none"/>
        </w:rPr>
        <w:t xml:space="preserve"> </w:t>
      </w:r>
      <w:r>
        <w:rPr>
          <w:rFonts w:hint="eastAsia" w:ascii="宋体" w:hAnsi="宋体"/>
          <w:b/>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12.</w:t>
      </w:r>
      <w:r>
        <w:rPr>
          <w:rFonts w:hint="eastAsia" w:ascii="宋体" w:hAnsi="宋体"/>
          <w:highlight w:val="none"/>
          <w:lang w:val="en-US" w:eastAsia="zh-CN"/>
        </w:rPr>
        <w:t>8</w:t>
      </w:r>
      <w:r>
        <w:rPr>
          <w:rFonts w:hint="eastAsia" w:ascii="宋体" w:hAnsi="宋体"/>
          <w:highlight w:val="none"/>
        </w:rPr>
        <w:t xml:space="preserve">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12.</w:t>
      </w:r>
      <w:r>
        <w:rPr>
          <w:rFonts w:hint="eastAsia" w:ascii="宋体" w:hAnsi="宋体"/>
          <w:highlight w:val="none"/>
          <w:lang w:val="en-US" w:eastAsia="zh-CN"/>
        </w:rPr>
        <w:t>9</w:t>
      </w:r>
      <w:r>
        <w:rPr>
          <w:rFonts w:hint="eastAsia" w:ascii="宋体" w:hAnsi="宋体"/>
          <w:highlight w:val="none"/>
        </w:rPr>
        <w:t xml:space="preserve"> 比选申请人不得在价格文件之外的比选申请文件中出现任何有关本项目的报价信息。</w:t>
      </w:r>
    </w:p>
    <w:p>
      <w:pPr>
        <w:numPr>
          <w:ilvl w:val="0"/>
          <w:numId w:val="5"/>
        </w:numPr>
        <w:spacing w:before="0" w:after="0" w:afterAutospacing="0"/>
        <w:ind w:left="0" w:right="0" w:firstLine="420" w:firstLineChars="200"/>
        <w:outlineLvl w:val="9"/>
        <w:rPr>
          <w:rFonts w:ascii="宋体" w:hAnsi="宋体"/>
          <w:sz w:val="21"/>
          <w:szCs w:val="21"/>
          <w:highlight w:val="none"/>
        </w:rPr>
      </w:pPr>
      <w:bookmarkStart w:id="428" w:name="_Toc12762"/>
      <w:bookmarkStart w:id="429" w:name="_Toc21448"/>
      <w:bookmarkStart w:id="430" w:name="_Toc26064"/>
      <w:bookmarkStart w:id="431" w:name="_Toc385427807"/>
      <w:bookmarkStart w:id="432" w:name="_Toc25750605"/>
      <w:bookmarkStart w:id="433" w:name="_Toc375039078"/>
      <w:bookmarkStart w:id="434" w:name="_Toc28476"/>
      <w:bookmarkStart w:id="435" w:name="_Toc12947"/>
      <w:bookmarkStart w:id="436" w:name="_Toc28880"/>
      <w:bookmarkStart w:id="437" w:name="_Toc5836"/>
      <w:bookmarkStart w:id="438" w:name="_Toc1664"/>
      <w:bookmarkStart w:id="439" w:name="_Toc12983519"/>
      <w:bookmarkStart w:id="440" w:name="_Toc15940"/>
      <w:bookmarkStart w:id="441" w:name="_Toc7428"/>
      <w:bookmarkStart w:id="442" w:name="_Toc18875"/>
      <w:bookmarkStart w:id="443" w:name="_Toc10220"/>
      <w:bookmarkStart w:id="444" w:name="_Toc25459"/>
      <w:bookmarkStart w:id="445" w:name="_Toc383891182"/>
      <w:bookmarkStart w:id="446" w:name="_Toc21706"/>
      <w:bookmarkStart w:id="447" w:name="_Toc20156"/>
      <w:bookmarkStart w:id="448" w:name="_Toc390098433"/>
      <w:bookmarkStart w:id="449" w:name="_Toc492478732"/>
      <w:bookmarkStart w:id="450" w:name="_Toc21430"/>
      <w:bookmarkStart w:id="451" w:name="_Toc2710"/>
      <w:r>
        <w:rPr>
          <w:rFonts w:ascii="宋体" w:hAnsi="宋体"/>
          <w:sz w:val="21"/>
          <w:szCs w:val="21"/>
          <w:highlight w:val="none"/>
        </w:rPr>
        <w:t>比选申请货币</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13.1</w:t>
      </w:r>
      <w:r>
        <w:rPr>
          <w:rFonts w:ascii="宋体" w:hAnsi="宋体"/>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9"/>
        <w:rPr>
          <w:rFonts w:ascii="宋体" w:hAnsi="宋体"/>
          <w:highlight w:val="none"/>
        </w:rPr>
      </w:pPr>
      <w:r>
        <w:rPr>
          <w:rFonts w:hint="eastAsia" w:ascii="宋体" w:hAnsi="宋体"/>
          <w:highlight w:val="none"/>
        </w:rPr>
        <w:t>13.2</w:t>
      </w:r>
      <w:r>
        <w:rPr>
          <w:rFonts w:ascii="宋体" w:hAnsi="宋体"/>
          <w:highlight w:val="none"/>
        </w:rPr>
        <w:t>比选人将以人民币与中选的比选申请人签订合同。</w:t>
      </w:r>
    </w:p>
    <w:p>
      <w:pPr>
        <w:numPr>
          <w:ilvl w:val="0"/>
          <w:numId w:val="5"/>
        </w:numPr>
        <w:spacing w:before="0" w:after="0" w:afterAutospacing="0"/>
        <w:ind w:left="0" w:right="0" w:firstLine="420" w:firstLineChars="200"/>
        <w:outlineLvl w:val="9"/>
        <w:rPr>
          <w:rFonts w:ascii="宋体" w:hAnsi="宋体"/>
          <w:sz w:val="21"/>
          <w:szCs w:val="21"/>
          <w:highlight w:val="none"/>
        </w:rPr>
      </w:pPr>
      <w:bookmarkStart w:id="452" w:name="_Toc12983520"/>
      <w:bookmarkStart w:id="453" w:name="_Toc1624"/>
      <w:bookmarkStart w:id="454" w:name="_Toc385427810"/>
      <w:bookmarkStart w:id="455" w:name="_Toc5974"/>
      <w:bookmarkStart w:id="456" w:name="_Toc375039081"/>
      <w:bookmarkStart w:id="457" w:name="_Toc12049"/>
      <w:bookmarkStart w:id="458" w:name="_Toc30606"/>
      <w:bookmarkStart w:id="459" w:name="_Toc22051"/>
      <w:bookmarkStart w:id="460" w:name="_Toc11690"/>
      <w:bookmarkStart w:id="461" w:name="_Toc30040"/>
      <w:bookmarkStart w:id="462" w:name="_Toc7417"/>
      <w:bookmarkStart w:id="463" w:name="_Toc28665"/>
      <w:bookmarkStart w:id="464" w:name="_Toc14309"/>
      <w:bookmarkStart w:id="465" w:name="_Toc390098436"/>
      <w:bookmarkStart w:id="466" w:name="_Toc383891185"/>
      <w:bookmarkStart w:id="467" w:name="_Toc25750606"/>
      <w:bookmarkStart w:id="468" w:name="_Toc14922"/>
      <w:bookmarkStart w:id="469" w:name="_Toc24199"/>
      <w:bookmarkStart w:id="470" w:name="_Toc1530"/>
      <w:bookmarkStart w:id="471" w:name="_Toc16314"/>
      <w:bookmarkStart w:id="472" w:name="_Toc9237"/>
      <w:bookmarkStart w:id="473" w:name="_Toc492478735"/>
      <w:bookmarkStart w:id="474" w:name="_Toc27508"/>
      <w:bookmarkStart w:id="475" w:name="_Toc30848"/>
      <w:r>
        <w:rPr>
          <w:rFonts w:ascii="宋体" w:hAnsi="宋体"/>
          <w:sz w:val="21"/>
          <w:szCs w:val="21"/>
          <w:highlight w:val="none"/>
        </w:rPr>
        <w:t>比选保证金</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15"/>
        <w:spacing w:before="0" w:after="0" w:afterAutospacing="0"/>
        <w:ind w:left="0" w:right="0" w:firstLine="420" w:firstLineChars="200"/>
        <w:outlineLvl w:val="9"/>
        <w:rPr>
          <w:rFonts w:hAnsi="宋体" w:cs="Times New Roman"/>
          <w:sz w:val="21"/>
          <w:szCs w:val="21"/>
          <w:highlight w:val="none"/>
        </w:rPr>
      </w:pPr>
      <w:r>
        <w:rPr>
          <w:rFonts w:hint="eastAsia" w:hAnsi="宋体" w:cs="Times New Roman"/>
          <w:sz w:val="21"/>
          <w:szCs w:val="21"/>
          <w:highlight w:val="none"/>
        </w:rPr>
        <w:t>本项目</w:t>
      </w:r>
      <w:r>
        <w:rPr>
          <w:rFonts w:hint="eastAsia" w:hAnsi="宋体"/>
          <w:sz w:val="21"/>
          <w:szCs w:val="21"/>
          <w:highlight w:val="none"/>
        </w:rPr>
        <w:t>不要求递交比选保证金。</w:t>
      </w:r>
    </w:p>
    <w:p>
      <w:pPr>
        <w:spacing w:before="0" w:after="0" w:afterAutospacing="0"/>
        <w:ind w:left="0" w:right="0" w:firstLine="420" w:firstLineChars="200"/>
        <w:outlineLvl w:val="9"/>
        <w:rPr>
          <w:rFonts w:ascii="宋体" w:hAnsi="宋体"/>
          <w:sz w:val="21"/>
          <w:szCs w:val="21"/>
          <w:highlight w:val="none"/>
        </w:rPr>
      </w:pPr>
      <w:bookmarkStart w:id="476" w:name="_Toc9117"/>
      <w:bookmarkStart w:id="477" w:name="_Toc30499"/>
      <w:bookmarkStart w:id="478" w:name="_Toc4433"/>
      <w:bookmarkStart w:id="479" w:name="_Toc492478736"/>
      <w:bookmarkStart w:id="480" w:name="_Toc385427811"/>
      <w:bookmarkStart w:id="481" w:name="_Toc5690"/>
      <w:bookmarkStart w:id="482" w:name="_Toc20070"/>
      <w:bookmarkStart w:id="483" w:name="_Toc28555"/>
      <w:bookmarkStart w:id="484" w:name="_Toc845"/>
      <w:bookmarkStart w:id="485" w:name="_Toc7808"/>
      <w:bookmarkStart w:id="486" w:name="_Toc12983521"/>
      <w:bookmarkStart w:id="487" w:name="_Toc10918"/>
      <w:bookmarkStart w:id="488" w:name="_Toc25750607"/>
      <w:bookmarkStart w:id="489" w:name="_Toc24656"/>
      <w:bookmarkStart w:id="490" w:name="_Toc2268"/>
      <w:bookmarkStart w:id="491" w:name="_Toc20493"/>
      <w:bookmarkStart w:id="492" w:name="_Toc691"/>
      <w:bookmarkStart w:id="493" w:name="_Toc375039082"/>
      <w:bookmarkStart w:id="494" w:name="_Toc28997"/>
      <w:bookmarkStart w:id="495" w:name="_Toc390098437"/>
      <w:bookmarkStart w:id="496" w:name="_Toc383891186"/>
      <w:bookmarkStart w:id="497" w:name="_Toc1604"/>
      <w:bookmarkStart w:id="498" w:name="_Toc20643"/>
      <w:bookmarkStart w:id="499" w:name="_Toc23114"/>
      <w:r>
        <w:rPr>
          <w:rFonts w:hint="eastAsia" w:ascii="宋体" w:hAnsi="宋体"/>
          <w:sz w:val="21"/>
          <w:szCs w:val="21"/>
          <w:highlight w:val="none"/>
        </w:rPr>
        <w:t xml:space="preserve">15. </w:t>
      </w:r>
      <w:r>
        <w:rPr>
          <w:rFonts w:ascii="宋体" w:hAnsi="宋体"/>
          <w:sz w:val="21"/>
          <w:szCs w:val="21"/>
          <w:highlight w:val="none"/>
        </w:rPr>
        <w:t>比选申请有效期</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15.1 </w:t>
      </w:r>
      <w:r>
        <w:rPr>
          <w:rFonts w:ascii="宋体" w:hAnsi="宋体"/>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15.2 </w:t>
      </w:r>
      <w:r>
        <w:rPr>
          <w:rFonts w:ascii="宋体" w:hAnsi="宋体"/>
          <w:highlight w:val="none"/>
        </w:rPr>
        <w:t>特殊情况下，</w:t>
      </w:r>
      <w:r>
        <w:rPr>
          <w:rFonts w:hint="eastAsia" w:ascii="宋体" w:hAnsi="宋体"/>
          <w:highlight w:val="none"/>
        </w:rPr>
        <w:t>比选人</w:t>
      </w:r>
      <w:r>
        <w:rPr>
          <w:rFonts w:ascii="宋体" w:hAnsi="宋体"/>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highlight w:val="none"/>
        </w:rPr>
        <w:t>。</w:t>
      </w:r>
    </w:p>
    <w:p>
      <w:pPr>
        <w:tabs>
          <w:tab w:val="left" w:pos="1134"/>
          <w:tab w:val="left" w:pos="8364"/>
        </w:tabs>
        <w:spacing w:before="0" w:after="0" w:afterAutospacing="0"/>
        <w:ind w:left="0" w:right="0" w:firstLine="420" w:firstLineChars="200"/>
        <w:outlineLvl w:val="9"/>
        <w:rPr>
          <w:rFonts w:ascii="宋体" w:hAnsi="宋体"/>
          <w:highlight w:val="none"/>
        </w:rPr>
      </w:pPr>
      <w:bookmarkStart w:id="500" w:name="_Toc12506"/>
      <w:bookmarkStart w:id="501" w:name="_Toc492478737"/>
      <w:bookmarkStart w:id="502" w:name="_Toc375039083"/>
      <w:bookmarkStart w:id="503" w:name="_Toc385427812"/>
      <w:bookmarkStart w:id="504" w:name="_Toc8100"/>
      <w:bookmarkStart w:id="505" w:name="_Toc14672"/>
      <w:bookmarkStart w:id="506" w:name="_Toc301"/>
      <w:bookmarkStart w:id="507" w:name="_Toc29108"/>
      <w:bookmarkStart w:id="508" w:name="_Toc27730"/>
      <w:bookmarkStart w:id="509" w:name="_Toc12435"/>
      <w:bookmarkStart w:id="510" w:name="_Toc383891187"/>
      <w:bookmarkStart w:id="511" w:name="_Toc32525"/>
      <w:bookmarkStart w:id="512" w:name="_Toc12983522"/>
      <w:bookmarkStart w:id="513" w:name="_Toc6065"/>
      <w:bookmarkStart w:id="514" w:name="_Toc390098438"/>
      <w:bookmarkStart w:id="515" w:name="_Toc24922"/>
      <w:bookmarkStart w:id="516" w:name="_Toc32020"/>
      <w:bookmarkStart w:id="517" w:name="_Toc19603"/>
      <w:bookmarkStart w:id="518" w:name="_Toc19044"/>
      <w:bookmarkStart w:id="519" w:name="_Toc25468"/>
      <w:bookmarkStart w:id="520" w:name="_Toc25684"/>
      <w:bookmarkStart w:id="521" w:name="_Toc3414"/>
      <w:bookmarkStart w:id="522" w:name="_Toc4216"/>
      <w:r>
        <w:rPr>
          <w:rFonts w:hint="eastAsia" w:ascii="宋体" w:hAnsi="宋体"/>
          <w:highlight w:val="none"/>
        </w:rPr>
        <w:t xml:space="preserve">16. </w:t>
      </w:r>
      <w:r>
        <w:rPr>
          <w:rFonts w:ascii="宋体" w:hAnsi="宋体"/>
          <w:highlight w:val="none"/>
        </w:rPr>
        <w:t>比选申请文件的制作和签署</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16.1 </w:t>
      </w:r>
      <w:r>
        <w:rPr>
          <w:rFonts w:ascii="宋体" w:hAnsi="宋体"/>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highlight w:val="none"/>
        </w:rPr>
        <w:t>质</w:t>
      </w:r>
      <w:r>
        <w:rPr>
          <w:rFonts w:ascii="宋体" w:hAnsi="宋体"/>
          <w:highlight w:val="none"/>
        </w:rPr>
        <w:t>文件不符以纸</w:t>
      </w:r>
      <w:r>
        <w:rPr>
          <w:rFonts w:hint="eastAsia" w:ascii="宋体" w:hAnsi="宋体"/>
          <w:highlight w:val="none"/>
        </w:rPr>
        <w:t>质</w:t>
      </w:r>
      <w:r>
        <w:rPr>
          <w:rFonts w:ascii="宋体" w:hAnsi="宋体"/>
          <w:highlight w:val="none"/>
        </w:rPr>
        <w:t>文件为准。</w:t>
      </w:r>
      <w:r>
        <w:rPr>
          <w:rFonts w:hint="eastAsia" w:ascii="宋体" w:hAnsi="宋体"/>
          <w:b/>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outlineLvl w:val="9"/>
        <w:rPr>
          <w:rFonts w:ascii="宋体" w:hAnsi="宋体"/>
          <w:b/>
          <w:highlight w:val="none"/>
        </w:rPr>
      </w:pPr>
      <w:r>
        <w:rPr>
          <w:rFonts w:hint="eastAsia" w:ascii="宋体" w:hAnsi="宋体"/>
          <w:b/>
          <w:highlight w:val="none"/>
        </w:rPr>
        <w:t xml:space="preserve">16.2 </w:t>
      </w:r>
      <w:r>
        <w:rPr>
          <w:rFonts w:ascii="宋体" w:hAnsi="宋体"/>
          <w:b/>
          <w:highlight w:val="none"/>
        </w:rPr>
        <w:t>比选申请文件的正本需打印，并由比选申请人法定代表人或其授权委托人</w:t>
      </w:r>
      <w:r>
        <w:rPr>
          <w:rFonts w:hint="eastAsia" w:ascii="宋体" w:hAnsi="宋体"/>
          <w:b/>
          <w:highlight w:val="none"/>
        </w:rPr>
        <w:t>在比选文件规定的相关位置</w:t>
      </w:r>
      <w:r>
        <w:rPr>
          <w:rFonts w:ascii="宋体" w:hAnsi="宋体"/>
          <w:b/>
          <w:highlight w:val="none"/>
        </w:rPr>
        <w:t>签字并加盖公章。授权委托人应将以书面形式出具的“法定代表人授权书”附在比选申请文件中。</w:t>
      </w:r>
      <w:r>
        <w:rPr>
          <w:rFonts w:hint="eastAsia" w:ascii="宋体" w:hAnsi="宋体"/>
          <w:b/>
          <w:highlight w:val="none"/>
        </w:rPr>
        <w:t>比选申请文件正本需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比选申请文件的副本可采用正本的复印件</w:t>
      </w:r>
      <w:r>
        <w:rPr>
          <w:rFonts w:hint="eastAsia" w:ascii="宋体" w:hAnsi="宋体"/>
          <w:b/>
          <w:highlight w:val="none"/>
        </w:rPr>
        <w:t>（需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16.3 </w:t>
      </w:r>
      <w:r>
        <w:rPr>
          <w:rFonts w:ascii="宋体" w:hAnsi="宋体"/>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16.4 </w:t>
      </w:r>
      <w:r>
        <w:rPr>
          <w:rFonts w:ascii="宋体" w:hAnsi="宋体"/>
          <w:highlight w:val="none"/>
        </w:rPr>
        <w:t>比选人拒绝接受以</w:t>
      </w:r>
      <w:r>
        <w:rPr>
          <w:rFonts w:hint="eastAsia" w:ascii="宋体" w:hAnsi="宋体"/>
          <w:highlight w:val="none"/>
        </w:rPr>
        <w:t>邮寄、</w:t>
      </w:r>
      <w:r>
        <w:rPr>
          <w:rFonts w:ascii="宋体" w:hAnsi="宋体"/>
          <w:highlight w:val="none"/>
        </w:rPr>
        <w:t>电报、电话、传真、电子邮件形式的比选申请。</w:t>
      </w:r>
    </w:p>
    <w:p>
      <w:pPr>
        <w:spacing w:after="0" w:afterAutospacing="0" w:line="360" w:lineRule="auto"/>
        <w:ind w:left="0" w:right="0" w:firstLine="482" w:firstLineChars="200"/>
        <w:outlineLvl w:val="1"/>
        <w:rPr>
          <w:rFonts w:ascii="宋体" w:hAnsi="宋体" w:eastAsia="宋体"/>
          <w:b/>
          <w:bCs/>
          <w:sz w:val="24"/>
          <w:szCs w:val="24"/>
          <w:highlight w:val="none"/>
        </w:rPr>
      </w:pPr>
      <w:bookmarkStart w:id="523" w:name="_Toc390098439"/>
      <w:bookmarkStart w:id="524" w:name="_Toc375039084"/>
      <w:bookmarkStart w:id="525" w:name="_Toc383891188"/>
      <w:bookmarkStart w:id="526" w:name="_Toc385427813"/>
      <w:bookmarkStart w:id="527" w:name="_Toc29304"/>
      <w:bookmarkStart w:id="528" w:name="_Toc30452"/>
      <w:bookmarkStart w:id="529" w:name="_Toc10234"/>
      <w:bookmarkStart w:id="530" w:name="_Toc23177"/>
      <w:bookmarkStart w:id="531" w:name="_Toc6619"/>
      <w:bookmarkStart w:id="532" w:name="_Toc1315"/>
      <w:bookmarkStart w:id="533" w:name="_Toc18322"/>
      <w:bookmarkStart w:id="534" w:name="_Toc2975"/>
      <w:bookmarkStart w:id="535" w:name="_Toc17555"/>
      <w:bookmarkStart w:id="536" w:name="_Toc5685"/>
      <w:bookmarkStart w:id="537" w:name="_Toc15116"/>
      <w:bookmarkStart w:id="538" w:name="_Toc492478738"/>
      <w:bookmarkStart w:id="539" w:name="_Toc26551"/>
      <w:bookmarkStart w:id="540" w:name="_Toc32054"/>
      <w:bookmarkStart w:id="541" w:name="_Toc6101"/>
      <w:bookmarkStart w:id="542" w:name="_Toc25750608"/>
      <w:bookmarkStart w:id="543" w:name="_Toc9404_WPSOffice_Level2"/>
      <w:bookmarkStart w:id="544" w:name="_Toc26776"/>
      <w:bookmarkStart w:id="545" w:name="_Toc16409"/>
      <w:bookmarkStart w:id="546" w:name="_Toc12983523"/>
      <w:bookmarkStart w:id="547" w:name="_Toc874"/>
      <w:bookmarkStart w:id="548" w:name="_Toc2113"/>
      <w:bookmarkStart w:id="549" w:name="_Toc3316"/>
      <w:bookmarkStart w:id="550" w:name="_Toc1952"/>
      <w:bookmarkStart w:id="551" w:name="_Toc759"/>
      <w:bookmarkStart w:id="552" w:name="_Toc30604"/>
      <w:bookmarkStart w:id="553" w:name="_Toc30187"/>
      <w:bookmarkStart w:id="554" w:name="_Toc30962"/>
      <w:r>
        <w:rPr>
          <w:rFonts w:hint="eastAsia" w:ascii="宋体" w:hAnsi="宋体" w:eastAsia="宋体"/>
          <w:b/>
          <w:bCs/>
          <w:sz w:val="24"/>
          <w:szCs w:val="24"/>
          <w:highlight w:val="none"/>
        </w:rPr>
        <w:t>四、</w:t>
      </w:r>
      <w:r>
        <w:rPr>
          <w:rFonts w:ascii="宋体" w:hAnsi="宋体" w:eastAsia="宋体"/>
          <w:b/>
          <w:bCs/>
          <w:sz w:val="24"/>
          <w:szCs w:val="24"/>
          <w:highlight w:val="none"/>
        </w:rPr>
        <w:t>比选申请文件</w:t>
      </w:r>
      <w:bookmarkEnd w:id="523"/>
      <w:bookmarkEnd w:id="524"/>
      <w:bookmarkEnd w:id="525"/>
      <w:bookmarkEnd w:id="526"/>
      <w:r>
        <w:rPr>
          <w:rFonts w:hint="eastAsia" w:ascii="宋体" w:hAnsi="宋体" w:eastAsia="宋体"/>
          <w:b/>
          <w:bCs/>
          <w:sz w:val="24"/>
          <w:szCs w:val="24"/>
          <w:highlight w:val="none"/>
        </w:rPr>
        <w:t>的密封和递交</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spacing w:before="0" w:after="0" w:afterAutospacing="0"/>
        <w:ind w:left="0" w:right="0" w:firstLine="420" w:firstLineChars="200"/>
        <w:outlineLvl w:val="9"/>
        <w:rPr>
          <w:rFonts w:ascii="宋体" w:hAnsi="宋体"/>
          <w:color w:val="auto"/>
          <w:sz w:val="21"/>
          <w:szCs w:val="21"/>
          <w:highlight w:val="none"/>
        </w:rPr>
      </w:pPr>
      <w:bookmarkStart w:id="555" w:name="_Toc17200"/>
      <w:bookmarkStart w:id="556" w:name="_Toc13621"/>
      <w:bookmarkStart w:id="557" w:name="_Toc15071"/>
      <w:bookmarkStart w:id="558" w:name="_Toc30196"/>
      <w:bookmarkStart w:id="559" w:name="_Toc375039085"/>
      <w:bookmarkStart w:id="560" w:name="_Toc12329"/>
      <w:bookmarkStart w:id="561" w:name="_Toc383891189"/>
      <w:bookmarkStart w:id="562" w:name="_Toc18616"/>
      <w:bookmarkStart w:id="563" w:name="_Toc12117"/>
      <w:bookmarkStart w:id="564" w:name="_Toc15663"/>
      <w:bookmarkStart w:id="565" w:name="_Toc9307"/>
      <w:bookmarkStart w:id="566" w:name="_Toc492478739"/>
      <w:bookmarkStart w:id="567" w:name="_Toc15650"/>
      <w:bookmarkStart w:id="568" w:name="_Toc19495"/>
      <w:bookmarkStart w:id="569" w:name="_Toc26249"/>
      <w:bookmarkStart w:id="570" w:name="_Toc390098440"/>
      <w:bookmarkStart w:id="571" w:name="_Toc385427814"/>
      <w:bookmarkStart w:id="572" w:name="_Toc12983524"/>
      <w:bookmarkStart w:id="573" w:name="_Toc25750609"/>
      <w:bookmarkStart w:id="574" w:name="_Toc5922"/>
      <w:bookmarkStart w:id="575" w:name="_Toc24648"/>
      <w:bookmarkStart w:id="576" w:name="_Toc15735"/>
      <w:bookmarkStart w:id="577" w:name="_Toc13829"/>
      <w:bookmarkStart w:id="578" w:name="_Toc13875"/>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tabs>
          <w:tab w:val="left" w:pos="1134"/>
          <w:tab w:val="left" w:pos="8364"/>
        </w:tabs>
        <w:spacing w:before="0" w:after="0" w:afterAutospacing="0"/>
        <w:ind w:left="0" w:right="0" w:firstLine="420" w:firstLineChars="200"/>
        <w:outlineLvl w:val="9"/>
        <w:rPr>
          <w:rFonts w:ascii="宋体" w:hAnsi="宋体"/>
          <w:color w:val="auto"/>
          <w:highlight w:val="none"/>
        </w:rPr>
      </w:pPr>
      <w:bookmarkStart w:id="579" w:name="_Toc375039086"/>
      <w:bookmarkStart w:id="580" w:name="_Toc385427815"/>
      <w:bookmarkStart w:id="581" w:name="_Toc390098441"/>
      <w:bookmarkStart w:id="582" w:name="_Toc383891190"/>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个包，其中价格文件还需独立密封成包。</w:t>
      </w:r>
    </w:p>
    <w:p>
      <w:pPr>
        <w:tabs>
          <w:tab w:val="left" w:pos="420"/>
          <w:tab w:val="left" w:pos="720"/>
          <w:tab w:val="left" w:pos="1134"/>
        </w:tabs>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lang w:eastAsia="zh-CN"/>
        </w:rPr>
        <w:t>南宁轨道交通1-5号线出入段（场）线地面洞口及个别车站紧急疏散口视频监控补盲项目</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olor w:val="auto"/>
          <w:highlight w:val="none"/>
        </w:rPr>
        <w:t>202208250003</w:t>
      </w:r>
      <w:r>
        <w:rPr>
          <w:rFonts w:ascii="宋体" w:hAnsi="宋体"/>
          <w:color w:val="auto"/>
          <w:highlight w:val="none"/>
        </w:rPr>
        <w:t>；</w:t>
      </w:r>
    </w:p>
    <w:p>
      <w:pPr>
        <w:tabs>
          <w:tab w:val="left" w:pos="1134"/>
          <w:tab w:val="left" w:pos="8364"/>
        </w:tabs>
        <w:spacing w:before="0" w:after="0" w:afterAutospacing="0"/>
        <w:ind w:left="0" w:right="0" w:firstLine="420" w:firstLineChars="200"/>
        <w:outlineLvl w:val="9"/>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17.4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袋上没有按上述规定密封并加写标志，比选人将不承担比选申请文件错放或提前开封的责任，由此造成的提前开封的比选申请文件，比选人将予以拒绝，并退还给比选申请人。</w:t>
      </w:r>
    </w:p>
    <w:p>
      <w:pPr>
        <w:numPr>
          <w:ilvl w:val="0"/>
          <w:numId w:val="6"/>
        </w:numPr>
        <w:spacing w:before="0" w:after="0" w:afterAutospacing="0"/>
        <w:ind w:left="0" w:right="0" w:firstLine="420" w:firstLineChars="200"/>
        <w:outlineLvl w:val="9"/>
        <w:rPr>
          <w:rFonts w:ascii="宋体" w:hAnsi="宋体"/>
          <w:sz w:val="21"/>
          <w:szCs w:val="21"/>
          <w:highlight w:val="none"/>
        </w:rPr>
      </w:pPr>
      <w:bookmarkStart w:id="583" w:name="_Toc2337"/>
      <w:bookmarkStart w:id="584" w:name="_Toc32760"/>
      <w:bookmarkStart w:id="585" w:name="_Toc16755"/>
      <w:bookmarkStart w:id="586" w:name="_Toc12983525"/>
      <w:bookmarkStart w:id="587" w:name="_Toc11255"/>
      <w:bookmarkStart w:id="588" w:name="_Toc13883"/>
      <w:bookmarkStart w:id="589" w:name="_Toc22180"/>
      <w:bookmarkStart w:id="590" w:name="_Toc23859"/>
      <w:bookmarkStart w:id="591" w:name="_Toc11096"/>
      <w:bookmarkStart w:id="592" w:name="_Toc22445"/>
      <w:bookmarkStart w:id="593" w:name="_Toc16818"/>
      <w:bookmarkStart w:id="594" w:name="_Toc6482"/>
      <w:bookmarkStart w:id="595" w:name="_Toc642"/>
      <w:bookmarkStart w:id="596" w:name="_Toc6339"/>
      <w:bookmarkStart w:id="597" w:name="_Toc4735"/>
      <w:bookmarkStart w:id="598" w:name="_Toc492478740"/>
      <w:bookmarkStart w:id="599" w:name="_Toc11039"/>
      <w:bookmarkStart w:id="600" w:name="_Toc16266"/>
      <w:bookmarkStart w:id="601" w:name="_Toc28071"/>
      <w:bookmarkStart w:id="602" w:name="_Toc25750610"/>
      <w:r>
        <w:rPr>
          <w:rFonts w:ascii="宋体" w:hAnsi="宋体"/>
          <w:sz w:val="21"/>
          <w:szCs w:val="21"/>
          <w:highlight w:val="none"/>
        </w:rPr>
        <w:t>比选申请截止期</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18.1 </w:t>
      </w:r>
      <w:r>
        <w:rPr>
          <w:rFonts w:ascii="宋体" w:hAnsi="宋体"/>
          <w:highlight w:val="none"/>
        </w:rPr>
        <w:t>所有比选申请文件应派专人送交，并须按“比选申请须知前附表”中规定的比选申请截止时间</w:t>
      </w:r>
      <w:r>
        <w:rPr>
          <w:rFonts w:hint="eastAsia" w:ascii="宋体" w:hAnsi="宋体"/>
          <w:highlight w:val="none"/>
        </w:rPr>
        <w:t>前</w:t>
      </w:r>
      <w:r>
        <w:rPr>
          <w:rFonts w:ascii="宋体" w:hAnsi="宋体"/>
          <w:highlight w:val="none"/>
        </w:rPr>
        <w:t>送至</w:t>
      </w:r>
      <w:r>
        <w:rPr>
          <w:rFonts w:hint="eastAsia" w:ascii="宋体" w:hAnsi="宋体"/>
          <w:highlight w:val="none"/>
        </w:rPr>
        <w:t>比选文件规定的</w:t>
      </w:r>
      <w:r>
        <w:rPr>
          <w:rFonts w:ascii="宋体" w:hAnsi="宋体"/>
          <w:highlight w:val="none"/>
        </w:rPr>
        <w:t>地点。如有必要，比选申请人可事先自行到该场地进行察看。</w:t>
      </w:r>
    </w:p>
    <w:p>
      <w:pPr>
        <w:tabs>
          <w:tab w:val="left" w:pos="1134"/>
          <w:tab w:val="left" w:pos="8364"/>
        </w:tabs>
        <w:spacing w:before="0" w:after="0" w:afterAutospacing="0"/>
        <w:ind w:left="0" w:right="0" w:firstLine="422" w:firstLineChars="200"/>
        <w:outlineLvl w:val="9"/>
        <w:rPr>
          <w:rFonts w:ascii="宋体" w:hAnsi="宋体"/>
          <w:highlight w:val="none"/>
        </w:rPr>
      </w:pPr>
      <w:r>
        <w:rPr>
          <w:rFonts w:hint="eastAsia" w:ascii="宋体" w:hAnsi="宋体"/>
          <w:b/>
          <w:highlight w:val="none"/>
        </w:rPr>
        <w:t xml:space="preserve">18.2 </w:t>
      </w:r>
      <w:r>
        <w:rPr>
          <w:rFonts w:ascii="宋体" w:hAnsi="宋体"/>
          <w:b/>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18.3 </w:t>
      </w:r>
      <w:r>
        <w:rPr>
          <w:rFonts w:ascii="宋体" w:hAnsi="宋体"/>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numPr>
          <w:ilvl w:val="0"/>
          <w:numId w:val="6"/>
        </w:numPr>
        <w:spacing w:before="0" w:after="0" w:afterAutospacing="0"/>
        <w:ind w:left="0" w:right="0" w:firstLine="420" w:firstLineChars="200"/>
        <w:outlineLvl w:val="9"/>
        <w:rPr>
          <w:rFonts w:ascii="宋体" w:hAnsi="宋体"/>
          <w:sz w:val="21"/>
          <w:szCs w:val="21"/>
          <w:highlight w:val="none"/>
        </w:rPr>
      </w:pPr>
      <w:bookmarkStart w:id="603" w:name="_Toc12983526"/>
      <w:bookmarkStart w:id="604" w:name="_Toc11373"/>
      <w:bookmarkStart w:id="605" w:name="_Toc385427816"/>
      <w:bookmarkStart w:id="606" w:name="_Toc10818"/>
      <w:bookmarkStart w:id="607" w:name="_Toc29066"/>
      <w:bookmarkStart w:id="608" w:name="_Toc29473"/>
      <w:bookmarkStart w:id="609" w:name="_Toc324"/>
      <w:bookmarkStart w:id="610" w:name="_Toc9522"/>
      <w:bookmarkStart w:id="611" w:name="_Toc375039087"/>
      <w:bookmarkStart w:id="612" w:name="_Toc32621"/>
      <w:bookmarkStart w:id="613" w:name="_Toc492478741"/>
      <w:bookmarkStart w:id="614" w:name="_Toc23404"/>
      <w:bookmarkStart w:id="615" w:name="_Toc26431"/>
      <w:bookmarkStart w:id="616" w:name="_Toc3597"/>
      <w:bookmarkStart w:id="617" w:name="_Toc21960"/>
      <w:bookmarkStart w:id="618" w:name="_Toc13581"/>
      <w:bookmarkStart w:id="619" w:name="_Toc25750611"/>
      <w:bookmarkStart w:id="620" w:name="_Toc14239"/>
      <w:bookmarkStart w:id="621" w:name="_Toc383891191"/>
      <w:bookmarkStart w:id="622" w:name="_Toc22945"/>
      <w:bookmarkStart w:id="623" w:name="_Toc32252"/>
      <w:bookmarkStart w:id="624" w:name="_Toc2226"/>
      <w:bookmarkStart w:id="625" w:name="_Toc15252"/>
      <w:bookmarkStart w:id="626" w:name="_Toc390098442"/>
      <w:r>
        <w:rPr>
          <w:rFonts w:ascii="宋体" w:hAnsi="宋体"/>
          <w:sz w:val="21"/>
          <w:szCs w:val="21"/>
          <w:highlight w:val="none"/>
        </w:rPr>
        <w:t>迟交的比选申请文件</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19.1 比选人</w:t>
      </w:r>
      <w:r>
        <w:rPr>
          <w:rFonts w:ascii="宋体" w:hAnsi="宋体"/>
          <w:highlight w:val="none"/>
        </w:rPr>
        <w:t>将拒绝并原封退回在</w:t>
      </w:r>
      <w:r>
        <w:rPr>
          <w:rFonts w:hint="eastAsia" w:ascii="宋体" w:hAnsi="宋体"/>
          <w:highlight w:val="none"/>
        </w:rPr>
        <w:t>本须知</w:t>
      </w:r>
      <w:r>
        <w:rPr>
          <w:rFonts w:ascii="宋体" w:hAnsi="宋体"/>
          <w:highlight w:val="none"/>
        </w:rPr>
        <w:t>18.1</w:t>
      </w:r>
      <w:r>
        <w:rPr>
          <w:rFonts w:hint="eastAsia" w:ascii="宋体" w:hAnsi="宋体"/>
          <w:highlight w:val="none"/>
        </w:rPr>
        <w:t>条</w:t>
      </w:r>
      <w:r>
        <w:rPr>
          <w:rFonts w:ascii="宋体" w:hAnsi="宋体"/>
          <w:highlight w:val="none"/>
        </w:rPr>
        <w:t>规定的比选申请截止时间后收到的任何比选申请文件。</w:t>
      </w:r>
    </w:p>
    <w:p>
      <w:pPr>
        <w:numPr>
          <w:ilvl w:val="0"/>
          <w:numId w:val="6"/>
        </w:numPr>
        <w:spacing w:before="0" w:after="0" w:afterAutospacing="0"/>
        <w:ind w:left="0" w:right="0" w:firstLine="420" w:firstLineChars="200"/>
        <w:outlineLvl w:val="9"/>
        <w:rPr>
          <w:rFonts w:ascii="宋体" w:hAnsi="宋体"/>
          <w:sz w:val="21"/>
          <w:szCs w:val="21"/>
          <w:highlight w:val="none"/>
        </w:rPr>
      </w:pPr>
      <w:bookmarkStart w:id="627" w:name="_Toc17797"/>
      <w:bookmarkStart w:id="628" w:name="_Toc14411"/>
      <w:bookmarkStart w:id="629" w:name="_Toc21796"/>
      <w:bookmarkStart w:id="630" w:name="_Toc25750612"/>
      <w:bookmarkStart w:id="631" w:name="_Toc375039088"/>
      <w:bookmarkStart w:id="632" w:name="_Toc383891192"/>
      <w:bookmarkStart w:id="633" w:name="_Toc31033"/>
      <w:bookmarkStart w:id="634" w:name="_Toc4605"/>
      <w:bookmarkStart w:id="635" w:name="_Toc14522"/>
      <w:bookmarkStart w:id="636" w:name="_Toc12682"/>
      <w:bookmarkStart w:id="637" w:name="_Toc25427"/>
      <w:bookmarkStart w:id="638" w:name="_Toc27195"/>
      <w:bookmarkStart w:id="639" w:name="_Toc9706"/>
      <w:bookmarkStart w:id="640" w:name="_Toc23449"/>
      <w:bookmarkStart w:id="641" w:name="_Toc24030"/>
      <w:bookmarkStart w:id="642" w:name="_Toc12983527"/>
      <w:bookmarkStart w:id="643" w:name="_Toc390098443"/>
      <w:bookmarkStart w:id="644" w:name="_Toc492478742"/>
      <w:bookmarkStart w:id="645" w:name="_Toc28452"/>
      <w:bookmarkStart w:id="646" w:name="_Toc385427817"/>
      <w:bookmarkStart w:id="647" w:name="_Toc29208"/>
      <w:bookmarkStart w:id="648" w:name="_Toc8636"/>
      <w:bookmarkStart w:id="649" w:name="_Toc243"/>
      <w:bookmarkStart w:id="650" w:name="_Toc26282"/>
      <w:r>
        <w:rPr>
          <w:rFonts w:ascii="宋体" w:hAnsi="宋体"/>
          <w:sz w:val="21"/>
          <w:szCs w:val="21"/>
          <w:highlight w:val="none"/>
        </w:rPr>
        <w:t>比选申请文件的修改和撤回</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20.1 </w:t>
      </w:r>
      <w:r>
        <w:rPr>
          <w:rFonts w:ascii="宋体" w:hAnsi="宋体"/>
          <w:highlight w:val="none"/>
        </w:rPr>
        <w:t>比选申请人在提交比选申请文件后可对其比选申请文件进行修改或撤回，但该修改或撤回的书面通知须在比选申请截止时间之前送达</w:t>
      </w:r>
      <w:r>
        <w:rPr>
          <w:rFonts w:hint="eastAsia" w:ascii="宋体" w:hAnsi="宋体"/>
          <w:highlight w:val="none"/>
        </w:rPr>
        <w:t>比选单位</w:t>
      </w:r>
      <w:r>
        <w:rPr>
          <w:rFonts w:ascii="宋体" w:hAnsi="宋体"/>
          <w:highlight w:val="none"/>
        </w:rPr>
        <w:t>；且该通知需经正式授权的比选申请人代表签字方为有效。</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20.2 </w:t>
      </w:r>
      <w:r>
        <w:rPr>
          <w:rFonts w:ascii="宋体" w:hAnsi="宋体"/>
          <w:highlight w:val="none"/>
        </w:rPr>
        <w:t>比选申请人对比选申请文件修改的书面材料或撤回的通知应按本比选申请须知</w:t>
      </w:r>
      <w:r>
        <w:rPr>
          <w:rFonts w:hint="eastAsia" w:ascii="宋体" w:hAnsi="宋体"/>
          <w:highlight w:val="none"/>
        </w:rPr>
        <w:t>16</w:t>
      </w:r>
      <w:r>
        <w:rPr>
          <w:rFonts w:ascii="宋体" w:hAnsi="宋体"/>
          <w:highlight w:val="none"/>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highlight w:val="none"/>
        </w:rPr>
        <w:t>17</w:t>
      </w:r>
      <w:r>
        <w:rPr>
          <w:rFonts w:ascii="宋体" w:hAnsi="宋体"/>
          <w:highlight w:val="none"/>
        </w:rPr>
        <w:t>条</w:t>
      </w:r>
      <w:r>
        <w:rPr>
          <w:rFonts w:ascii="宋体" w:hAnsi="宋体"/>
          <w:highlight w:val="none"/>
        </w:rPr>
        <w:fldChar w:fldCharType="end"/>
      </w:r>
      <w:r>
        <w:rPr>
          <w:rFonts w:ascii="宋体" w:hAnsi="宋体"/>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20.3 </w:t>
      </w:r>
      <w:r>
        <w:rPr>
          <w:rFonts w:ascii="宋体" w:hAnsi="宋体"/>
          <w:highlight w:val="none"/>
        </w:rPr>
        <w:t>比选申请截止时间以后比选申请人不得修改比选申请文件。</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20.4 </w:t>
      </w:r>
      <w:r>
        <w:rPr>
          <w:rFonts w:ascii="宋体" w:hAnsi="宋体"/>
          <w:highlight w:val="none"/>
        </w:rPr>
        <w:t>比选申请人不得在比选申请截止时间至比选申请有效期期满前撤销比选申请文件。否则</w:t>
      </w:r>
      <w:r>
        <w:rPr>
          <w:rFonts w:hint="eastAsia" w:ascii="宋体" w:hAnsi="宋体"/>
          <w:highlight w:val="none"/>
        </w:rPr>
        <w:t>比选人有权</w:t>
      </w:r>
      <w:r>
        <w:rPr>
          <w:rFonts w:ascii="宋体" w:hAnsi="宋体"/>
          <w:highlight w:val="none"/>
        </w:rPr>
        <w:t>要求</w:t>
      </w:r>
      <w:r>
        <w:rPr>
          <w:rFonts w:hint="eastAsia" w:ascii="宋体" w:hAnsi="宋体"/>
          <w:highlight w:val="none"/>
        </w:rPr>
        <w:t>比选申请人</w:t>
      </w:r>
      <w:r>
        <w:rPr>
          <w:rFonts w:ascii="宋体" w:hAnsi="宋体"/>
          <w:highlight w:val="none"/>
        </w:rPr>
        <w:t>对损失给予赔偿。</w:t>
      </w:r>
    </w:p>
    <w:p>
      <w:pPr>
        <w:spacing w:after="0" w:afterAutospacing="0" w:line="360" w:lineRule="auto"/>
        <w:ind w:left="0" w:right="0" w:firstLine="482" w:firstLineChars="200"/>
        <w:outlineLvl w:val="1"/>
        <w:rPr>
          <w:rFonts w:ascii="宋体" w:hAnsi="宋体" w:eastAsia="宋体"/>
          <w:b/>
          <w:bCs/>
          <w:sz w:val="24"/>
          <w:szCs w:val="24"/>
          <w:highlight w:val="none"/>
        </w:rPr>
      </w:pPr>
      <w:bookmarkStart w:id="651" w:name="_Toc385427818"/>
      <w:bookmarkStart w:id="652" w:name="_Toc12983528"/>
      <w:bookmarkStart w:id="653" w:name="_Toc9728"/>
      <w:bookmarkStart w:id="654" w:name="_Toc16856"/>
      <w:bookmarkStart w:id="655" w:name="_Toc2306"/>
      <w:bookmarkStart w:id="656" w:name="_Toc18076"/>
      <w:bookmarkStart w:id="657" w:name="_Toc31978"/>
      <w:bookmarkStart w:id="658" w:name="_Toc28694"/>
      <w:bookmarkStart w:id="659" w:name="_Toc29264"/>
      <w:bookmarkStart w:id="660" w:name="_Toc383891193"/>
      <w:bookmarkStart w:id="661" w:name="_Toc390098444"/>
      <w:bookmarkStart w:id="662" w:name="_Toc11529"/>
      <w:bookmarkStart w:id="663" w:name="_Toc3006"/>
      <w:bookmarkStart w:id="664" w:name="_Toc5592"/>
      <w:bookmarkStart w:id="665" w:name="_Toc25433"/>
      <w:bookmarkStart w:id="666" w:name="_Toc492478743"/>
      <w:bookmarkStart w:id="667" w:name="_Toc9549"/>
      <w:bookmarkStart w:id="668" w:name="_Toc22587"/>
      <w:bookmarkStart w:id="669" w:name="_Toc10325"/>
      <w:bookmarkStart w:id="670" w:name="_Toc24485"/>
      <w:bookmarkStart w:id="671" w:name="_Toc12182"/>
      <w:bookmarkStart w:id="672" w:name="_Toc4291"/>
      <w:bookmarkStart w:id="673" w:name="_Toc375039089"/>
      <w:bookmarkStart w:id="674" w:name="_Toc25750613"/>
      <w:bookmarkStart w:id="675" w:name="_Toc22895_WPSOffice_Level2"/>
      <w:bookmarkStart w:id="676" w:name="_Toc12014"/>
      <w:bookmarkStart w:id="677" w:name="_Toc23809"/>
      <w:bookmarkStart w:id="678" w:name="_Toc24806"/>
      <w:bookmarkStart w:id="679" w:name="_Toc31874"/>
      <w:bookmarkStart w:id="680" w:name="_Toc2241"/>
      <w:bookmarkStart w:id="681" w:name="_Toc3535"/>
      <w:bookmarkStart w:id="682" w:name="_Toc31615"/>
      <w:r>
        <w:rPr>
          <w:rFonts w:hint="eastAsia" w:ascii="宋体" w:hAnsi="宋体" w:eastAsia="宋体"/>
          <w:b/>
          <w:bCs/>
          <w:sz w:val="24"/>
          <w:szCs w:val="24"/>
          <w:highlight w:val="none"/>
        </w:rPr>
        <w:t>五、</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hint="eastAsia" w:ascii="宋体" w:hAnsi="宋体" w:eastAsia="宋体"/>
          <w:b/>
          <w:bCs/>
          <w:sz w:val="24"/>
          <w:szCs w:val="24"/>
          <w:highlight w:val="none"/>
        </w:rPr>
        <w:t>比选申请文件递交</w:t>
      </w:r>
      <w:bookmarkEnd w:id="674"/>
      <w:r>
        <w:rPr>
          <w:rFonts w:hint="eastAsia" w:ascii="宋体" w:hAnsi="宋体" w:eastAsia="宋体"/>
          <w:b/>
          <w:bCs/>
          <w:sz w:val="24"/>
          <w:szCs w:val="24"/>
          <w:highlight w:val="none"/>
        </w:rPr>
        <w:t>与评审</w:t>
      </w:r>
      <w:bookmarkEnd w:id="675"/>
      <w:bookmarkEnd w:id="676"/>
      <w:bookmarkEnd w:id="677"/>
      <w:bookmarkEnd w:id="678"/>
      <w:bookmarkEnd w:id="679"/>
      <w:bookmarkEnd w:id="680"/>
      <w:bookmarkEnd w:id="681"/>
      <w:bookmarkEnd w:id="682"/>
    </w:p>
    <w:p>
      <w:pPr>
        <w:spacing w:before="0" w:after="0" w:afterAutospacing="0"/>
        <w:ind w:left="0" w:right="0" w:firstLine="420" w:firstLineChars="200"/>
        <w:outlineLvl w:val="9"/>
        <w:rPr>
          <w:rFonts w:ascii="宋体" w:hAnsi="宋体"/>
          <w:sz w:val="21"/>
          <w:szCs w:val="21"/>
          <w:highlight w:val="none"/>
        </w:rPr>
      </w:pPr>
      <w:bookmarkStart w:id="683" w:name="_Toc10292"/>
      <w:bookmarkStart w:id="684" w:name="_Toc9309"/>
      <w:bookmarkStart w:id="685" w:name="_Toc492478744"/>
      <w:bookmarkStart w:id="686" w:name="_Toc25116"/>
      <w:bookmarkStart w:id="687" w:name="_Toc385427819"/>
      <w:bookmarkStart w:id="688" w:name="_Toc5182"/>
      <w:bookmarkStart w:id="689" w:name="_Toc18919"/>
      <w:bookmarkStart w:id="690" w:name="_Toc10883"/>
      <w:bookmarkStart w:id="691" w:name="_Toc4365"/>
      <w:bookmarkStart w:id="692" w:name="_Toc6839"/>
      <w:bookmarkStart w:id="693" w:name="_Toc383891194"/>
      <w:bookmarkStart w:id="694" w:name="_Toc6974"/>
      <w:bookmarkStart w:id="695" w:name="_Toc4638"/>
      <w:bookmarkStart w:id="696" w:name="_Toc390098445"/>
      <w:bookmarkStart w:id="697" w:name="_Toc24196"/>
      <w:bookmarkStart w:id="698" w:name="_Toc9264"/>
      <w:bookmarkStart w:id="699" w:name="_Toc6377"/>
      <w:bookmarkStart w:id="700" w:name="_Toc4674"/>
      <w:bookmarkStart w:id="701" w:name="_Toc375039090"/>
      <w:bookmarkStart w:id="702" w:name="_Toc12983529"/>
      <w:bookmarkStart w:id="703" w:name="_Toc23705"/>
      <w:bookmarkStart w:id="704" w:name="_Toc4825"/>
      <w:bookmarkStart w:id="705" w:name="_Toc895"/>
      <w:bookmarkStart w:id="706" w:name="_Toc25750614"/>
      <w:r>
        <w:rPr>
          <w:rFonts w:hint="eastAsia" w:ascii="宋体" w:hAnsi="宋体"/>
          <w:sz w:val="21"/>
          <w:szCs w:val="21"/>
          <w:highlight w:val="none"/>
        </w:rPr>
        <w:t xml:space="preserve">21. </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Fonts w:hint="eastAsia" w:ascii="宋体" w:hAnsi="宋体"/>
          <w:sz w:val="21"/>
          <w:szCs w:val="21"/>
          <w:highlight w:val="none"/>
        </w:rPr>
        <w:t>比选申请文件递交</w:t>
      </w:r>
      <w:bookmarkEnd w:id="706"/>
    </w:p>
    <w:p>
      <w:pPr>
        <w:tabs>
          <w:tab w:val="left" w:pos="945"/>
          <w:tab w:val="left" w:pos="1134"/>
        </w:tabs>
        <w:spacing w:before="0" w:after="0" w:afterAutospacing="0"/>
        <w:ind w:left="0" w:right="0" w:firstLine="420" w:firstLineChars="200"/>
        <w:outlineLvl w:val="9"/>
        <w:rPr>
          <w:rFonts w:ascii="宋体" w:hAnsi="宋体"/>
          <w:highlight w:val="none"/>
        </w:rPr>
      </w:pPr>
      <w:r>
        <w:rPr>
          <w:rFonts w:hint="eastAsia" w:ascii="宋体" w:hAnsi="宋体"/>
          <w:highlight w:val="none"/>
        </w:rPr>
        <w:t>21.1 比选人将按本须知</w:t>
      </w:r>
      <w:r>
        <w:rPr>
          <w:rFonts w:ascii="宋体" w:hAnsi="宋体"/>
          <w:highlight w:val="none"/>
        </w:rPr>
        <w:t>18.1</w:t>
      </w:r>
      <w:r>
        <w:rPr>
          <w:rFonts w:hint="eastAsia" w:ascii="宋体" w:hAnsi="宋体"/>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outlineLvl w:val="9"/>
        <w:rPr>
          <w:rFonts w:ascii="宋体" w:hAnsi="宋体"/>
          <w:highlight w:val="none"/>
        </w:rPr>
      </w:pPr>
      <w:r>
        <w:rPr>
          <w:rFonts w:hint="eastAsia" w:ascii="宋体" w:hAnsi="宋体"/>
          <w:highlight w:val="none"/>
        </w:rPr>
        <w:t>比选申请文件有下列情形之一的，比选人应当拒收：</w:t>
      </w:r>
    </w:p>
    <w:p>
      <w:pPr>
        <w:snapToGrid w:val="0"/>
        <w:spacing w:before="0" w:after="0" w:afterAutospacing="0"/>
        <w:ind w:left="0" w:right="0" w:firstLine="422" w:firstLineChars="200"/>
        <w:jc w:val="left"/>
        <w:outlineLvl w:val="9"/>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.1.1逾期送达的或者未送达指定地点的比选申请文件</w:t>
      </w:r>
      <w:r>
        <w:rPr>
          <w:rFonts w:hint="eastAsia" w:ascii="宋体" w:hAnsi="宋体"/>
          <w:b/>
          <w:highlight w:val="none"/>
        </w:rPr>
        <w:t>；</w:t>
      </w:r>
    </w:p>
    <w:p>
      <w:pPr>
        <w:snapToGrid w:val="0"/>
        <w:spacing w:before="0" w:after="0" w:afterAutospacing="0"/>
        <w:ind w:left="0" w:right="0" w:firstLine="422" w:firstLineChars="200"/>
        <w:jc w:val="left"/>
        <w:outlineLvl w:val="9"/>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.1.2</w:t>
      </w:r>
      <w:r>
        <w:rPr>
          <w:rFonts w:hint="eastAsia" w:ascii="宋体" w:hAnsi="宋体"/>
          <w:b/>
          <w:highlight w:val="none"/>
        </w:rPr>
        <w:t>比选申请文件外包封</w:t>
      </w:r>
      <w:r>
        <w:rPr>
          <w:rFonts w:ascii="宋体" w:hAnsi="宋体"/>
          <w:b/>
          <w:highlight w:val="none"/>
        </w:rPr>
        <w:t>未按比选文件要求密封的</w:t>
      </w:r>
      <w:r>
        <w:rPr>
          <w:rFonts w:hint="eastAsia" w:ascii="宋体" w:hAnsi="宋体"/>
          <w:b/>
          <w:highlight w:val="none"/>
        </w:rPr>
        <w:t>。</w:t>
      </w:r>
    </w:p>
    <w:p>
      <w:pPr>
        <w:tabs>
          <w:tab w:val="left" w:pos="945"/>
          <w:tab w:val="left" w:pos="1134"/>
          <w:tab w:val="left" w:pos="8364"/>
        </w:tabs>
        <w:spacing w:before="0" w:after="0" w:afterAutospacing="0"/>
        <w:ind w:left="0" w:right="0" w:firstLine="422" w:firstLineChars="200"/>
        <w:outlineLvl w:val="9"/>
        <w:rPr>
          <w:rFonts w:ascii="宋体" w:hAnsi="宋体"/>
          <w:highlight w:val="none"/>
        </w:rPr>
      </w:pPr>
      <w:r>
        <w:rPr>
          <w:rFonts w:hint="eastAsia" w:ascii="宋体" w:hAnsi="宋体"/>
          <w:b/>
          <w:highlight w:val="none"/>
        </w:rPr>
        <w:t xml:space="preserve">21.2 </w:t>
      </w:r>
      <w:r>
        <w:rPr>
          <w:rFonts w:ascii="宋体" w:hAnsi="宋体"/>
          <w:b/>
          <w:highlight w:val="none"/>
        </w:rPr>
        <w:t>比选申请人的法定代表人或其授权代表（以下统称</w:t>
      </w:r>
      <w:r>
        <w:rPr>
          <w:rFonts w:hint="eastAsia" w:ascii="宋体" w:hAnsi="宋体"/>
          <w:b/>
          <w:highlight w:val="none"/>
        </w:rPr>
        <w:t>“</w:t>
      </w:r>
      <w:r>
        <w:rPr>
          <w:rFonts w:ascii="宋体" w:hAnsi="宋体"/>
          <w:b/>
          <w:highlight w:val="none"/>
        </w:rPr>
        <w:t>比选申请人代表</w:t>
      </w:r>
      <w:r>
        <w:rPr>
          <w:rFonts w:hint="eastAsia" w:ascii="宋体" w:hAnsi="宋体"/>
          <w:b/>
          <w:highlight w:val="none"/>
        </w:rPr>
        <w:t>”</w:t>
      </w:r>
      <w:r>
        <w:rPr>
          <w:rFonts w:ascii="宋体" w:hAnsi="宋体"/>
          <w:b/>
          <w:highlight w:val="none"/>
        </w:rPr>
        <w:t>）必须在出示本人有效身份证（</w:t>
      </w:r>
      <w:r>
        <w:rPr>
          <w:rFonts w:hint="eastAsia" w:ascii="宋体" w:hAnsi="宋体"/>
          <w:b/>
          <w:highlight w:val="none"/>
        </w:rPr>
        <w:t>限中国公民居民身份证、外籍有效护照</w:t>
      </w:r>
      <w:r>
        <w:rPr>
          <w:rFonts w:ascii="宋体" w:hAnsi="宋体"/>
          <w:b/>
          <w:highlight w:val="none"/>
        </w:rPr>
        <w:t>，下同）的原件，比选申请人授权代表还必须同时出示比选申请授权书原件，以证明授权代表的身份和被授权范围，并由比选人验证确认。</w:t>
      </w:r>
      <w:bookmarkStart w:id="707" w:name="_Toc251051540"/>
      <w:r>
        <w:rPr>
          <w:rFonts w:ascii="宋体" w:hAnsi="宋体"/>
          <w:b/>
          <w:highlight w:val="none"/>
        </w:rPr>
        <w:t>否则作无效</w:t>
      </w:r>
      <w:r>
        <w:rPr>
          <w:rFonts w:hint="eastAsia" w:ascii="宋体" w:hAnsi="宋体"/>
          <w:b/>
          <w:highlight w:val="none"/>
        </w:rPr>
        <w:t>比选文件处理</w:t>
      </w:r>
      <w:bookmarkEnd w:id="707"/>
      <w:r>
        <w:rPr>
          <w:rFonts w:hint="eastAsia" w:ascii="宋体" w:hAnsi="宋体"/>
          <w:b/>
          <w:highlight w:val="none"/>
        </w:rPr>
        <w:t>。</w:t>
      </w:r>
    </w:p>
    <w:p>
      <w:pPr>
        <w:spacing w:before="0" w:after="0" w:afterAutospacing="0"/>
        <w:ind w:left="0" w:right="0" w:firstLine="420" w:firstLineChars="200"/>
        <w:outlineLvl w:val="9"/>
        <w:rPr>
          <w:rFonts w:ascii="宋体" w:hAnsi="宋体"/>
          <w:sz w:val="21"/>
          <w:szCs w:val="21"/>
          <w:highlight w:val="none"/>
        </w:rPr>
      </w:pPr>
      <w:bookmarkStart w:id="708" w:name="_Toc385427820"/>
      <w:bookmarkStart w:id="709" w:name="_Toc383891195"/>
      <w:bookmarkStart w:id="710" w:name="_Toc375039091"/>
      <w:bookmarkStart w:id="711" w:name="_Toc390098446"/>
      <w:bookmarkStart w:id="712" w:name="_Toc27636"/>
      <w:bookmarkStart w:id="713" w:name="_Toc21819"/>
      <w:bookmarkStart w:id="714" w:name="_Toc15466"/>
      <w:bookmarkStart w:id="715" w:name="_Toc24687"/>
      <w:bookmarkStart w:id="716" w:name="_Toc5267"/>
      <w:bookmarkStart w:id="717" w:name="_Toc17785"/>
      <w:bookmarkStart w:id="718" w:name="_Toc23699"/>
      <w:bookmarkStart w:id="719" w:name="_Toc16068"/>
      <w:bookmarkStart w:id="720" w:name="_Toc1920"/>
      <w:bookmarkStart w:id="721" w:name="_Toc16601"/>
      <w:bookmarkStart w:id="722" w:name="_Toc25270"/>
      <w:bookmarkStart w:id="723" w:name="_Toc24630"/>
      <w:bookmarkStart w:id="724" w:name="_Toc12983530"/>
      <w:bookmarkStart w:id="725" w:name="_Toc9391"/>
      <w:bookmarkStart w:id="726" w:name="_Toc30671"/>
      <w:bookmarkStart w:id="727" w:name="_Toc11263"/>
      <w:bookmarkStart w:id="728" w:name="_Toc25750615"/>
      <w:bookmarkStart w:id="729" w:name="_Toc492478745"/>
      <w:bookmarkStart w:id="730" w:name="_Toc13202"/>
      <w:bookmarkStart w:id="731" w:name="_Toc11013"/>
      <w:r>
        <w:rPr>
          <w:rFonts w:hint="eastAsia" w:ascii="宋体" w:hAnsi="宋体"/>
          <w:sz w:val="21"/>
          <w:szCs w:val="21"/>
          <w:highlight w:val="none"/>
        </w:rPr>
        <w:t>22.</w:t>
      </w:r>
      <w:r>
        <w:rPr>
          <w:rFonts w:ascii="宋体" w:hAnsi="宋体"/>
          <w:sz w:val="21"/>
          <w:szCs w:val="21"/>
          <w:highlight w:val="none"/>
        </w:rPr>
        <w:t>评审</w:t>
      </w:r>
      <w:bookmarkEnd w:id="708"/>
      <w:bookmarkEnd w:id="709"/>
      <w:bookmarkEnd w:id="710"/>
      <w:bookmarkEnd w:id="711"/>
      <w:r>
        <w:rPr>
          <w:rFonts w:ascii="宋体" w:hAnsi="宋体"/>
          <w:sz w:val="21"/>
          <w:szCs w:val="21"/>
          <w:highlight w:val="none"/>
        </w:rPr>
        <w:t>程序</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tabs>
          <w:tab w:val="left" w:pos="8364"/>
        </w:tabs>
        <w:spacing w:before="0" w:after="0" w:afterAutospacing="0"/>
        <w:ind w:left="0" w:right="0" w:firstLine="420" w:firstLineChars="200"/>
        <w:outlineLvl w:val="9"/>
        <w:rPr>
          <w:rFonts w:ascii="宋体" w:hAnsi="宋体"/>
          <w:b/>
          <w:highlight w:val="none"/>
        </w:rPr>
      </w:pPr>
      <w:bookmarkStart w:id="732" w:name="_Toc375039092"/>
      <w:r>
        <w:rPr>
          <w:rFonts w:hint="eastAsia" w:ascii="宋体" w:hAnsi="宋体"/>
          <w:highlight w:val="none"/>
        </w:rPr>
        <w:t>详见第六章《评分办法》。</w:t>
      </w:r>
      <w:bookmarkEnd w:id="732"/>
    </w:p>
    <w:p>
      <w:pPr>
        <w:numPr>
          <w:ilvl w:val="0"/>
          <w:numId w:val="7"/>
        </w:numPr>
        <w:spacing w:before="0" w:after="0" w:afterAutospacing="0"/>
        <w:ind w:left="0" w:right="0" w:firstLine="420" w:firstLineChars="200"/>
        <w:outlineLvl w:val="9"/>
        <w:rPr>
          <w:rFonts w:ascii="宋体" w:hAnsi="宋体"/>
          <w:sz w:val="21"/>
          <w:szCs w:val="21"/>
          <w:highlight w:val="none"/>
        </w:rPr>
      </w:pPr>
      <w:bookmarkStart w:id="733" w:name="_Toc13421"/>
      <w:bookmarkStart w:id="734" w:name="_Toc17980"/>
      <w:bookmarkStart w:id="735" w:name="_Toc25047"/>
      <w:bookmarkStart w:id="736" w:name="_Toc18063"/>
      <w:bookmarkStart w:id="737" w:name="_Toc5386"/>
      <w:bookmarkStart w:id="738" w:name="_Toc15"/>
      <w:bookmarkStart w:id="739" w:name="_Toc14719"/>
      <w:bookmarkStart w:id="740" w:name="_Toc11716"/>
      <w:bookmarkStart w:id="741" w:name="_Toc375039093"/>
      <w:bookmarkStart w:id="742" w:name="_Toc12983531"/>
      <w:bookmarkStart w:id="743" w:name="_Toc25750616"/>
      <w:bookmarkStart w:id="744" w:name="_Toc26137"/>
      <w:bookmarkStart w:id="745" w:name="_Toc492478746"/>
      <w:bookmarkStart w:id="746" w:name="_Toc16072"/>
      <w:bookmarkStart w:id="747" w:name="_Toc390098447"/>
      <w:bookmarkStart w:id="748" w:name="_Toc1456"/>
      <w:bookmarkStart w:id="749" w:name="_Toc29929"/>
      <w:bookmarkStart w:id="750" w:name="_Toc24755"/>
      <w:bookmarkStart w:id="751" w:name="_Toc385427821"/>
      <w:bookmarkStart w:id="752" w:name="_Toc27570"/>
      <w:bookmarkStart w:id="753" w:name="_Toc8295"/>
      <w:bookmarkStart w:id="754" w:name="_Toc18803"/>
      <w:bookmarkStart w:id="755" w:name="_Toc833"/>
      <w:bookmarkStart w:id="756" w:name="_Toc383891196"/>
      <w:r>
        <w:rPr>
          <w:rFonts w:ascii="宋体" w:hAnsi="宋体"/>
          <w:sz w:val="21"/>
          <w:szCs w:val="21"/>
          <w:highlight w:val="none"/>
        </w:rPr>
        <w:t>与比选人和评审委员会的接触</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 xml:space="preserve">23.1 </w:t>
      </w:r>
      <w:r>
        <w:rPr>
          <w:rFonts w:ascii="宋体" w:hAnsi="宋体" w:cs="Arial"/>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highlight w:val="none"/>
        </w:rPr>
        <w:t>或</w:t>
      </w:r>
      <w:r>
        <w:rPr>
          <w:rFonts w:ascii="宋体" w:hAnsi="宋体" w:cs="Arial"/>
          <w:highlight w:val="none"/>
        </w:rPr>
        <w:t>间接接触）。</w:t>
      </w:r>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 xml:space="preserve">23.2 </w:t>
      </w:r>
      <w:r>
        <w:rPr>
          <w:rFonts w:ascii="宋体" w:hAnsi="宋体" w:cs="Arial"/>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 xml:space="preserve">23.3 </w:t>
      </w:r>
      <w:r>
        <w:rPr>
          <w:rFonts w:ascii="宋体" w:hAnsi="宋体" w:cs="Arial"/>
          <w:highlight w:val="none"/>
        </w:rPr>
        <w:t>比选申请人不得以任何方式干扰比选人的</w:t>
      </w:r>
      <w:r>
        <w:rPr>
          <w:rFonts w:hint="eastAsia" w:ascii="宋体" w:hAnsi="宋体" w:cs="Arial"/>
          <w:highlight w:val="none"/>
        </w:rPr>
        <w:t>比选</w:t>
      </w:r>
      <w:r>
        <w:rPr>
          <w:rFonts w:ascii="宋体" w:hAnsi="宋体" w:cs="Arial"/>
          <w:highlight w:val="none"/>
        </w:rPr>
        <w:t>和评审活动，否则其比选申请无效并追究其法律责任。</w:t>
      </w:r>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 xml:space="preserve">23.4 </w:t>
      </w:r>
      <w:r>
        <w:rPr>
          <w:rFonts w:ascii="宋体" w:hAnsi="宋体" w:cs="Arial"/>
          <w:highlight w:val="none"/>
        </w:rPr>
        <w:t>有关比选申请文件的审查、澄清、评估和比较以及有关授予合同的意向的一切情况都不得透露给任一比选申请人。</w:t>
      </w:r>
    </w:p>
    <w:p>
      <w:pPr>
        <w:numPr>
          <w:ilvl w:val="0"/>
          <w:numId w:val="7"/>
        </w:numPr>
        <w:spacing w:before="0" w:after="0" w:afterAutospacing="0"/>
        <w:ind w:left="0" w:right="0" w:firstLine="420" w:firstLineChars="200"/>
        <w:outlineLvl w:val="9"/>
        <w:rPr>
          <w:rFonts w:ascii="宋体" w:hAnsi="宋体"/>
          <w:sz w:val="21"/>
          <w:szCs w:val="21"/>
          <w:highlight w:val="none"/>
        </w:rPr>
      </w:pPr>
      <w:bookmarkStart w:id="757" w:name="_Toc15988"/>
      <w:bookmarkStart w:id="758" w:name="_Toc25734"/>
      <w:bookmarkStart w:id="759" w:name="_Toc12960"/>
      <w:bookmarkStart w:id="760" w:name="_Toc12909"/>
      <w:bookmarkStart w:id="761" w:name="_Toc12671"/>
      <w:bookmarkStart w:id="762" w:name="_Toc492478747"/>
      <w:bookmarkStart w:id="763" w:name="_Toc390098448"/>
      <w:bookmarkStart w:id="764" w:name="_Toc18515"/>
      <w:bookmarkStart w:id="765" w:name="_Toc7858"/>
      <w:bookmarkStart w:id="766" w:name="_Toc21167"/>
      <w:bookmarkStart w:id="767" w:name="_Toc385427822"/>
      <w:bookmarkStart w:id="768" w:name="_Toc29504"/>
      <w:bookmarkStart w:id="769" w:name="_Toc19810"/>
      <w:bookmarkStart w:id="770" w:name="_Toc12983532"/>
      <w:bookmarkStart w:id="771" w:name="_Toc25750617"/>
      <w:bookmarkStart w:id="772" w:name="_Toc9941"/>
      <w:bookmarkStart w:id="773" w:name="_Toc9602"/>
      <w:bookmarkStart w:id="774" w:name="_Toc16963"/>
      <w:bookmarkStart w:id="775" w:name="_Toc383891197"/>
      <w:bookmarkStart w:id="776" w:name="_Toc20523"/>
      <w:bookmarkStart w:id="777" w:name="_Toc654"/>
      <w:bookmarkStart w:id="778" w:name="_Toc30207"/>
      <w:bookmarkStart w:id="779" w:name="_Toc12555"/>
      <w:bookmarkStart w:id="780" w:name="_Toc378514937"/>
      <w:bookmarkStart w:id="781" w:name="_Toc294723156"/>
      <w:bookmarkStart w:id="782" w:name="_Toc375039094"/>
      <w:r>
        <w:rPr>
          <w:rFonts w:hint="eastAsia" w:ascii="宋体" w:hAnsi="宋体"/>
          <w:sz w:val="21"/>
          <w:szCs w:val="21"/>
          <w:highlight w:val="none"/>
        </w:rPr>
        <w:t>评审过程保密</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24.2 比选申请人在比选申请文件的审查、澄清、评价和比较以及授予合同的过程中，对比选人和评审专家施加影响的任何行为，都将导致取消比选申请资格。</w:t>
      </w:r>
    </w:p>
    <w:p>
      <w:pPr>
        <w:numPr>
          <w:ilvl w:val="0"/>
          <w:numId w:val="7"/>
        </w:numPr>
        <w:spacing w:before="0" w:after="0" w:afterAutospacing="0"/>
        <w:ind w:left="0" w:right="0" w:firstLine="420" w:firstLineChars="200"/>
        <w:outlineLvl w:val="9"/>
        <w:rPr>
          <w:rFonts w:ascii="宋体" w:hAnsi="宋体"/>
          <w:sz w:val="21"/>
          <w:szCs w:val="21"/>
          <w:highlight w:val="none"/>
        </w:rPr>
      </w:pPr>
      <w:bookmarkStart w:id="783" w:name="_Toc13768"/>
      <w:bookmarkStart w:id="784" w:name="_Toc383891198"/>
      <w:bookmarkStart w:id="785" w:name="_Toc14799"/>
      <w:bookmarkStart w:id="786" w:name="_Toc11077"/>
      <w:bookmarkStart w:id="787" w:name="_Toc1983"/>
      <w:bookmarkStart w:id="788" w:name="_Toc28843"/>
      <w:bookmarkStart w:id="789" w:name="_Toc5983"/>
      <w:bookmarkStart w:id="790" w:name="_Toc24327"/>
      <w:bookmarkStart w:id="791" w:name="_Toc12983533"/>
      <w:bookmarkStart w:id="792" w:name="_Toc27670"/>
      <w:bookmarkStart w:id="793" w:name="_Toc23267"/>
      <w:bookmarkStart w:id="794" w:name="_Toc14860"/>
      <w:bookmarkStart w:id="795" w:name="_Toc30429"/>
      <w:bookmarkStart w:id="796" w:name="_Toc385427823"/>
      <w:bookmarkStart w:id="797" w:name="_Toc25750618"/>
      <w:bookmarkStart w:id="798" w:name="_Toc492478748"/>
      <w:bookmarkStart w:id="799" w:name="_Toc8827"/>
      <w:bookmarkStart w:id="800" w:name="_Toc6624"/>
      <w:bookmarkStart w:id="801" w:name="_Toc22510"/>
      <w:bookmarkStart w:id="802" w:name="_Toc390098449"/>
      <w:bookmarkStart w:id="803" w:name="_Toc28701"/>
      <w:bookmarkStart w:id="804" w:name="_Toc28898"/>
      <w:bookmarkStart w:id="805" w:name="_Toc13743"/>
      <w:r>
        <w:rPr>
          <w:rFonts w:hint="eastAsia" w:ascii="宋体" w:hAnsi="宋体"/>
          <w:sz w:val="21"/>
          <w:szCs w:val="21"/>
          <w:highlight w:val="none"/>
        </w:rPr>
        <w:t>比选申请文件的澄清</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numPr>
          <w:ilvl w:val="0"/>
          <w:numId w:val="7"/>
        </w:numPr>
        <w:spacing w:before="0" w:after="0" w:afterAutospacing="0"/>
        <w:ind w:left="0" w:right="0" w:firstLine="420" w:firstLineChars="200"/>
        <w:outlineLvl w:val="9"/>
        <w:rPr>
          <w:rFonts w:ascii="宋体" w:hAnsi="宋体"/>
          <w:sz w:val="21"/>
          <w:szCs w:val="21"/>
          <w:highlight w:val="none"/>
        </w:rPr>
      </w:pPr>
      <w:bookmarkStart w:id="806" w:name="_Toc30017"/>
      <w:bookmarkStart w:id="807" w:name="_Toc4397"/>
      <w:bookmarkStart w:id="808" w:name="_Toc5926"/>
      <w:bookmarkStart w:id="809" w:name="_Toc26318"/>
      <w:bookmarkStart w:id="810" w:name="_Toc20519"/>
      <w:bookmarkStart w:id="811" w:name="_Toc6908"/>
      <w:bookmarkStart w:id="812" w:name="_Toc9040"/>
      <w:bookmarkStart w:id="813" w:name="_Toc12983534"/>
      <w:bookmarkStart w:id="814" w:name="_Toc12795"/>
      <w:bookmarkStart w:id="815" w:name="_Toc25750619"/>
      <w:bookmarkStart w:id="816" w:name="_Toc390098450"/>
      <w:bookmarkStart w:id="817" w:name="_Toc18093"/>
      <w:bookmarkStart w:id="818" w:name="_Toc383891199"/>
      <w:bookmarkStart w:id="819" w:name="_Toc28992"/>
      <w:bookmarkStart w:id="820" w:name="_Toc16884"/>
      <w:bookmarkStart w:id="821" w:name="_Toc22681"/>
      <w:bookmarkStart w:id="822" w:name="_Toc29146"/>
      <w:bookmarkStart w:id="823" w:name="_Toc492478749"/>
      <w:bookmarkStart w:id="824" w:name="_Toc5607"/>
      <w:bookmarkStart w:id="825" w:name="_Toc5437"/>
      <w:bookmarkStart w:id="826" w:name="_Toc26070"/>
      <w:bookmarkStart w:id="827" w:name="_Toc385427824"/>
      <w:bookmarkStart w:id="828" w:name="_Toc1915"/>
      <w:r>
        <w:rPr>
          <w:rFonts w:hint="eastAsia" w:ascii="宋体" w:hAnsi="宋体"/>
          <w:sz w:val="21"/>
          <w:szCs w:val="21"/>
          <w:highlight w:val="none"/>
        </w:rPr>
        <w:t>比选申请文件响应性的确定</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26.2 实质上响应要求的比选申请文件，应该是与比选文件要求的全部条款</w:t>
      </w:r>
      <w:r>
        <w:rPr>
          <w:rFonts w:hint="eastAsia" w:ascii="宋体" w:hAnsi="宋体" w:cs="Arial"/>
          <w:highlight w:val="none"/>
          <w:lang w:eastAsia="zh-CN"/>
        </w:rPr>
        <w:t>、</w:t>
      </w:r>
      <w:r>
        <w:rPr>
          <w:rFonts w:hint="eastAsia" w:ascii="宋体" w:hAnsi="宋体" w:cs="Arial"/>
          <w:highlight w:val="none"/>
        </w:rPr>
        <w:t>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26.3 如果比选申请文件实质上不响应比选文件的要求，比选人将予以拒绝，并且不允许比选申请人通过修正或撤销其不符要求的差异或保留使之成为具有响应性的比选申请。</w:t>
      </w:r>
    </w:p>
    <w:p>
      <w:pPr>
        <w:numPr>
          <w:ilvl w:val="0"/>
          <w:numId w:val="7"/>
        </w:numPr>
        <w:spacing w:before="0" w:after="0" w:afterAutospacing="0"/>
        <w:ind w:left="0" w:right="0" w:firstLine="420" w:firstLineChars="200"/>
        <w:outlineLvl w:val="9"/>
        <w:rPr>
          <w:rFonts w:ascii="宋体" w:hAnsi="宋体"/>
          <w:sz w:val="21"/>
          <w:szCs w:val="21"/>
          <w:highlight w:val="none"/>
        </w:rPr>
      </w:pPr>
      <w:bookmarkStart w:id="829" w:name="_Toc25750620"/>
      <w:bookmarkStart w:id="830" w:name="_Toc20874"/>
      <w:bookmarkStart w:id="831" w:name="_Toc23808"/>
      <w:bookmarkStart w:id="832" w:name="_Toc19477"/>
      <w:bookmarkStart w:id="833" w:name="_Toc29398"/>
      <w:bookmarkStart w:id="834" w:name="_Toc383891200"/>
      <w:bookmarkStart w:id="835" w:name="_Toc385427825"/>
      <w:bookmarkStart w:id="836" w:name="_Toc20810"/>
      <w:bookmarkStart w:id="837" w:name="_Toc1027"/>
      <w:bookmarkStart w:id="838" w:name="_Toc492478750"/>
      <w:bookmarkStart w:id="839" w:name="_Toc23999"/>
      <w:bookmarkStart w:id="840" w:name="_Toc22063"/>
      <w:bookmarkStart w:id="841" w:name="_Toc12167"/>
      <w:bookmarkStart w:id="842" w:name="_Toc21468"/>
      <w:bookmarkStart w:id="843" w:name="_Toc20912"/>
      <w:bookmarkStart w:id="844" w:name="_Toc15051"/>
      <w:bookmarkStart w:id="845" w:name="_Toc26239"/>
      <w:bookmarkStart w:id="846" w:name="_Toc31646"/>
      <w:bookmarkStart w:id="847" w:name="_Toc390098451"/>
      <w:bookmarkStart w:id="848" w:name="_Toc17236"/>
      <w:bookmarkStart w:id="849" w:name="_Toc23956"/>
      <w:bookmarkStart w:id="850" w:name="_Toc12983535"/>
      <w:bookmarkStart w:id="851" w:name="_Toc22146"/>
      <w:r>
        <w:rPr>
          <w:rFonts w:hint="eastAsia" w:ascii="宋体" w:hAnsi="宋体"/>
          <w:sz w:val="21"/>
          <w:szCs w:val="21"/>
          <w:highlight w:val="none"/>
        </w:rPr>
        <w:t>比选申请文件计算错误的修正</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27.1 比选申请报价大写金额与小写金额不一致的，以大写金额为准；</w:t>
      </w:r>
      <w:r>
        <w:rPr>
          <w:rFonts w:ascii="宋体" w:hAnsi="宋体"/>
          <w:highlight w:val="none"/>
        </w:rPr>
        <w:t>总价金额与单价</w:t>
      </w:r>
      <w:r>
        <w:rPr>
          <w:rFonts w:hint="eastAsia" w:ascii="宋体" w:hAnsi="宋体"/>
          <w:highlight w:val="none"/>
        </w:rPr>
        <w:t>乘以数量的合计</w:t>
      </w:r>
      <w:r>
        <w:rPr>
          <w:rFonts w:ascii="宋体" w:hAnsi="宋体"/>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27.2 按上述修正错误的原则及方法修正后的总价经比选申请人书面确认后作为评审价，若修正后的总价与投标报价不相等，则评标总价和中标价均以修正后的总价为准，如投人不接受按以上规则确定的评标总价和中标价，则其投标将被拒绝。</w:t>
      </w:r>
    </w:p>
    <w:p>
      <w:pPr>
        <w:numPr>
          <w:ilvl w:val="0"/>
          <w:numId w:val="7"/>
        </w:numPr>
        <w:spacing w:before="0" w:after="0" w:afterAutospacing="0"/>
        <w:ind w:left="0" w:right="0" w:firstLine="420" w:firstLineChars="200"/>
        <w:outlineLvl w:val="9"/>
        <w:rPr>
          <w:rFonts w:ascii="宋体" w:hAnsi="宋体"/>
          <w:sz w:val="21"/>
          <w:szCs w:val="21"/>
          <w:highlight w:val="none"/>
        </w:rPr>
      </w:pPr>
      <w:bookmarkStart w:id="852" w:name="_Toc24176"/>
      <w:bookmarkStart w:id="853" w:name="_Toc29276"/>
      <w:bookmarkStart w:id="854" w:name="_Toc23907"/>
      <w:bookmarkStart w:id="855" w:name="_Toc390098452"/>
      <w:bookmarkStart w:id="856" w:name="_Toc5319"/>
      <w:bookmarkStart w:id="857" w:name="_Toc492478751"/>
      <w:bookmarkStart w:id="858" w:name="_Toc9812"/>
      <w:bookmarkStart w:id="859" w:name="_Toc19936"/>
      <w:bookmarkStart w:id="860" w:name="_Toc12983536"/>
      <w:bookmarkStart w:id="861" w:name="_Toc20854"/>
      <w:bookmarkStart w:id="862" w:name="_Toc16418"/>
      <w:bookmarkStart w:id="863" w:name="_Toc3258"/>
      <w:bookmarkStart w:id="864" w:name="_Toc25750621"/>
      <w:bookmarkStart w:id="865" w:name="_Toc8959"/>
      <w:bookmarkStart w:id="866" w:name="_Toc385427826"/>
      <w:bookmarkStart w:id="867" w:name="_Toc22994"/>
      <w:bookmarkStart w:id="868" w:name="_Toc1004"/>
      <w:bookmarkStart w:id="869" w:name="_Toc9737"/>
      <w:bookmarkStart w:id="870" w:name="_Toc20444"/>
      <w:bookmarkStart w:id="871" w:name="_Toc383891201"/>
      <w:bookmarkStart w:id="872" w:name="_Toc4958"/>
      <w:bookmarkStart w:id="873" w:name="_Toc20881"/>
      <w:bookmarkStart w:id="874" w:name="_Toc27112"/>
      <w:r>
        <w:rPr>
          <w:rFonts w:hint="eastAsia" w:ascii="宋体" w:hAnsi="宋体"/>
          <w:sz w:val="21"/>
          <w:szCs w:val="21"/>
          <w:highlight w:val="none"/>
        </w:rPr>
        <w:t>比选申请文件的评价与比较</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9"/>
        <w:rPr>
          <w:rFonts w:ascii="宋体" w:hAnsi="宋体" w:cs="Arial"/>
          <w:highlight w:val="none"/>
        </w:rPr>
      </w:pPr>
      <w:r>
        <w:rPr>
          <w:rFonts w:hint="eastAsia" w:ascii="宋体" w:hAnsi="宋体" w:cs="Arial"/>
          <w:highlight w:val="none"/>
        </w:rPr>
        <w:t>28.2 评审将按《评审办法》规定执行。</w:t>
      </w:r>
      <w:bookmarkEnd w:id="780"/>
    </w:p>
    <w:p>
      <w:pPr>
        <w:numPr>
          <w:ilvl w:val="0"/>
          <w:numId w:val="7"/>
        </w:numPr>
        <w:spacing w:before="0" w:after="0" w:afterAutospacing="0"/>
        <w:ind w:left="0" w:right="0" w:firstLine="420" w:firstLineChars="200"/>
        <w:outlineLvl w:val="9"/>
        <w:rPr>
          <w:rFonts w:ascii="宋体" w:hAnsi="宋体"/>
          <w:sz w:val="21"/>
          <w:szCs w:val="21"/>
          <w:highlight w:val="none"/>
        </w:rPr>
      </w:pPr>
      <w:bookmarkStart w:id="875" w:name="_Toc390098453"/>
      <w:bookmarkStart w:id="876" w:name="_Toc492478752"/>
      <w:bookmarkStart w:id="877" w:name="_Toc17460"/>
      <w:bookmarkStart w:id="878" w:name="_Toc3358"/>
      <w:bookmarkStart w:id="879" w:name="_Toc11010"/>
      <w:bookmarkStart w:id="880" w:name="_Toc28489"/>
      <w:bookmarkStart w:id="881" w:name="_Toc14300"/>
      <w:bookmarkStart w:id="882" w:name="_Toc385427827"/>
      <w:bookmarkStart w:id="883" w:name="_Toc32344"/>
      <w:bookmarkStart w:id="884" w:name="_Toc15146"/>
      <w:bookmarkStart w:id="885" w:name="_Toc8845"/>
      <w:bookmarkStart w:id="886" w:name="_Toc507"/>
      <w:bookmarkStart w:id="887" w:name="_Toc27803"/>
      <w:bookmarkStart w:id="888" w:name="_Toc383891202"/>
      <w:bookmarkStart w:id="889" w:name="_Toc12983537"/>
      <w:bookmarkStart w:id="890" w:name="_Toc19322"/>
      <w:bookmarkStart w:id="891" w:name="_Toc31774"/>
      <w:bookmarkStart w:id="892" w:name="_Toc27289"/>
      <w:bookmarkStart w:id="893" w:name="_Toc8074"/>
      <w:bookmarkStart w:id="894" w:name="_Toc25750622"/>
      <w:bookmarkStart w:id="895" w:name="_Toc22500"/>
      <w:bookmarkStart w:id="896" w:name="_Toc11657"/>
      <w:bookmarkStart w:id="897" w:name="_Toc1450"/>
      <w:r>
        <w:rPr>
          <w:rFonts w:hint="eastAsia" w:ascii="宋体" w:hAnsi="宋体"/>
          <w:sz w:val="21"/>
          <w:szCs w:val="21"/>
          <w:highlight w:val="none"/>
        </w:rPr>
        <w:t>定标</w:t>
      </w:r>
      <w:bookmarkEnd w:id="781"/>
      <w:bookmarkEnd w:id="782"/>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tabs>
          <w:tab w:val="left" w:pos="1134"/>
          <w:tab w:val="left" w:pos="8364"/>
        </w:tabs>
        <w:spacing w:before="0" w:after="0" w:afterAutospacing="0"/>
        <w:ind w:left="0" w:right="0" w:firstLine="420" w:firstLineChars="200"/>
        <w:outlineLvl w:val="9"/>
        <w:rPr>
          <w:rFonts w:ascii="宋体" w:hAnsi="宋体" w:cs="Arial"/>
          <w:highlight w:val="none"/>
        </w:rPr>
      </w:pPr>
      <w:r>
        <w:rPr>
          <w:rFonts w:ascii="宋体" w:hAnsi="宋体" w:cs="Arial"/>
          <w:highlight w:val="none"/>
        </w:rPr>
        <w:t>29.1</w:t>
      </w:r>
      <w:r>
        <w:rPr>
          <w:rFonts w:hint="eastAsia" w:ascii="宋体" w:hAnsi="宋体" w:cs="Arial"/>
          <w:highlight w:val="none"/>
        </w:rPr>
        <w:t xml:space="preserve"> 经评审后，评审委员会将</w:t>
      </w:r>
      <w:r>
        <w:rPr>
          <w:rFonts w:ascii="宋体" w:hAnsi="宋体" w:cs="Arial"/>
          <w:highlight w:val="none"/>
        </w:rPr>
        <w:t>汇总</w:t>
      </w:r>
      <w:r>
        <w:rPr>
          <w:rFonts w:hint="eastAsia" w:ascii="宋体" w:hAnsi="宋体" w:cs="Arial"/>
          <w:highlight w:val="none"/>
        </w:rPr>
        <w:t>综合评分</w:t>
      </w:r>
      <w:r>
        <w:rPr>
          <w:rFonts w:ascii="宋体" w:hAnsi="宋体" w:cs="Arial"/>
          <w:highlight w:val="none"/>
        </w:rPr>
        <w:t>最高的比选申请人推荐为</w:t>
      </w:r>
      <w:r>
        <w:rPr>
          <w:rFonts w:hint="eastAsia" w:ascii="宋体" w:hAnsi="宋体" w:cs="Arial"/>
          <w:highlight w:val="none"/>
          <w:lang w:eastAsia="zh-CN"/>
        </w:rPr>
        <w:t>中选</w:t>
      </w:r>
      <w:r>
        <w:rPr>
          <w:rFonts w:ascii="宋体" w:hAnsi="宋体" w:cs="Arial"/>
          <w:highlight w:val="none"/>
        </w:rPr>
        <w:t>候选人</w:t>
      </w:r>
      <w:r>
        <w:rPr>
          <w:rFonts w:hint="eastAsia" w:ascii="宋体" w:hAnsi="宋体" w:cs="Arial"/>
          <w:highlight w:val="none"/>
        </w:rPr>
        <w:t>。若比选申请人的综合得分相等时，技术评分高者优先；技术评分也相等的，</w:t>
      </w:r>
      <w:r>
        <w:rPr>
          <w:rFonts w:hint="eastAsia" w:ascii="宋体" w:hAnsi="宋体" w:cs="Arial"/>
          <w:highlight w:val="none"/>
          <w:lang w:eastAsia="zh-CN"/>
        </w:rPr>
        <w:t>比选</w:t>
      </w:r>
      <w:r>
        <w:rPr>
          <w:rFonts w:hint="eastAsia" w:ascii="宋体" w:hAnsi="宋体" w:cs="Arial"/>
          <w:highlight w:val="none"/>
        </w:rPr>
        <w:t>报价评分高者优先，</w:t>
      </w:r>
      <w:r>
        <w:rPr>
          <w:rFonts w:hint="eastAsia" w:ascii="宋体" w:hAnsi="宋体" w:cs="Arial"/>
          <w:highlight w:val="none"/>
          <w:lang w:eastAsia="zh-CN"/>
        </w:rPr>
        <w:t>比选</w:t>
      </w:r>
      <w:r>
        <w:rPr>
          <w:rFonts w:hint="eastAsia" w:ascii="宋体" w:hAnsi="宋体" w:cs="Arial"/>
          <w:highlight w:val="none"/>
        </w:rPr>
        <w:t>报价评分也相等的，以评审委</w:t>
      </w:r>
      <w:r>
        <w:rPr>
          <w:rFonts w:hint="eastAsia" w:ascii="宋体" w:hAnsi="宋体"/>
          <w:highlight w:val="none"/>
        </w:rPr>
        <w:t>员会记名投票的方式按少数服从多数的原则决定其排名顺序。</w:t>
      </w:r>
    </w:p>
    <w:p>
      <w:pPr>
        <w:tabs>
          <w:tab w:val="left" w:pos="1134"/>
          <w:tab w:val="left" w:pos="8364"/>
        </w:tabs>
        <w:spacing w:before="0" w:after="0" w:afterAutospacing="0"/>
        <w:ind w:left="0" w:right="0" w:firstLine="420" w:firstLineChars="200"/>
        <w:outlineLvl w:val="9"/>
        <w:rPr>
          <w:rFonts w:ascii="宋体" w:hAnsi="宋体" w:cs="Arial"/>
          <w:highlight w:val="none"/>
        </w:rPr>
      </w:pPr>
      <w:r>
        <w:rPr>
          <w:rFonts w:ascii="宋体" w:hAnsi="宋体" w:cs="Arial"/>
          <w:highlight w:val="none"/>
        </w:rPr>
        <w:t>29.2</w:t>
      </w:r>
      <w:r>
        <w:rPr>
          <w:rFonts w:hint="eastAsia" w:ascii="宋体" w:hAnsi="宋体" w:cs="Arial"/>
          <w:highlight w:val="none"/>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outlineLvl w:val="9"/>
        <w:rPr>
          <w:rFonts w:ascii="宋体" w:hAnsi="宋体" w:cs="Arial"/>
          <w:highlight w:val="none"/>
        </w:rPr>
      </w:pPr>
      <w:r>
        <w:rPr>
          <w:rFonts w:ascii="宋体" w:hAnsi="宋体" w:cs="Arial"/>
          <w:highlight w:val="none"/>
        </w:rPr>
        <w:t>29.3</w:t>
      </w:r>
      <w:r>
        <w:rPr>
          <w:rFonts w:hint="eastAsia" w:ascii="宋体" w:hAnsi="宋体" w:cs="Arial"/>
          <w:highlight w:val="none"/>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9"/>
        <w:rPr>
          <w:rFonts w:ascii="宋体" w:hAnsi="宋体" w:cs="Arial"/>
          <w:highlight w:val="none"/>
        </w:rPr>
      </w:pPr>
      <w:r>
        <w:rPr>
          <w:rFonts w:ascii="宋体" w:hAnsi="宋体" w:cs="Arial"/>
          <w:highlight w:val="none"/>
        </w:rPr>
        <w:t>29.4</w:t>
      </w:r>
      <w:r>
        <w:rPr>
          <w:rFonts w:hint="eastAsia" w:ascii="宋体" w:hAnsi="宋体" w:cs="Arial"/>
          <w:highlight w:val="none"/>
        </w:rPr>
        <w:t>比选人确定的中选人必须按有关规定进行公示。</w:t>
      </w:r>
    </w:p>
    <w:p>
      <w:pPr>
        <w:tabs>
          <w:tab w:val="left" w:pos="1134"/>
          <w:tab w:val="left" w:pos="8364"/>
        </w:tabs>
        <w:spacing w:before="0" w:after="0" w:afterAutospacing="0"/>
        <w:ind w:left="0" w:right="0" w:firstLine="420" w:firstLineChars="200"/>
        <w:outlineLvl w:val="9"/>
        <w:rPr>
          <w:rFonts w:ascii="宋体" w:hAnsi="宋体"/>
          <w:highlight w:val="none"/>
        </w:rPr>
      </w:pPr>
      <w:r>
        <w:rPr>
          <w:rFonts w:ascii="宋体" w:hAnsi="宋体" w:cs="Arial"/>
          <w:highlight w:val="none"/>
        </w:rPr>
        <w:t>29.5</w:t>
      </w:r>
      <w:r>
        <w:rPr>
          <w:rFonts w:hint="eastAsia" w:ascii="宋体" w:hAnsi="宋体" w:cs="Arial"/>
          <w:highlight w:val="none"/>
        </w:rPr>
        <w:t>评审委员会评审结束后，比选人经审查发现评审过程中有明显错误，可以组织原评审委员会进行复评。</w:t>
      </w:r>
    </w:p>
    <w:p>
      <w:pPr>
        <w:numPr>
          <w:ilvl w:val="0"/>
          <w:numId w:val="7"/>
        </w:numPr>
        <w:spacing w:before="0" w:after="0" w:afterAutospacing="0"/>
        <w:ind w:left="0" w:right="0" w:firstLine="420" w:firstLineChars="200"/>
        <w:outlineLvl w:val="9"/>
        <w:rPr>
          <w:rFonts w:ascii="宋体" w:hAnsi="宋体"/>
          <w:sz w:val="21"/>
          <w:szCs w:val="21"/>
          <w:highlight w:val="none"/>
        </w:rPr>
      </w:pPr>
      <w:bookmarkStart w:id="898" w:name="_Toc19634"/>
      <w:bookmarkStart w:id="899" w:name="_Toc26470"/>
      <w:bookmarkStart w:id="900" w:name="_Toc27664"/>
      <w:bookmarkStart w:id="901" w:name="_Toc13986"/>
      <w:bookmarkStart w:id="902" w:name="_Toc5257"/>
      <w:bookmarkStart w:id="903" w:name="_Toc37"/>
      <w:bookmarkStart w:id="904" w:name="_Toc12983538"/>
      <w:bookmarkStart w:id="905" w:name="_Toc15932"/>
      <w:bookmarkStart w:id="906" w:name="_Toc383891203"/>
      <w:bookmarkStart w:id="907" w:name="_Toc5172"/>
      <w:bookmarkStart w:id="908" w:name="_Toc16732"/>
      <w:bookmarkStart w:id="909" w:name="_Toc385427828"/>
      <w:bookmarkStart w:id="910" w:name="_Toc17823"/>
      <w:bookmarkStart w:id="911" w:name="_Toc21947"/>
      <w:bookmarkStart w:id="912" w:name="_Toc375039095"/>
      <w:bookmarkStart w:id="913" w:name="_Toc14042"/>
      <w:bookmarkStart w:id="914" w:name="_Toc18192"/>
      <w:bookmarkStart w:id="915" w:name="_Toc1215"/>
      <w:bookmarkStart w:id="916" w:name="_Toc22182"/>
      <w:bookmarkStart w:id="917" w:name="_Toc390098454"/>
      <w:bookmarkStart w:id="918" w:name="_Toc21142"/>
      <w:bookmarkStart w:id="919" w:name="_Toc3761"/>
      <w:bookmarkStart w:id="920" w:name="_Toc492478753"/>
      <w:bookmarkStart w:id="921" w:name="_Toc25750623"/>
      <w:r>
        <w:rPr>
          <w:rFonts w:hint="eastAsia" w:ascii="宋体" w:hAnsi="宋体"/>
          <w:sz w:val="21"/>
          <w:szCs w:val="21"/>
          <w:highlight w:val="none"/>
        </w:rPr>
        <w:t>重新</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Fonts w:hint="eastAsia" w:ascii="宋体" w:hAnsi="宋体"/>
          <w:sz w:val="21"/>
          <w:szCs w:val="21"/>
          <w:highlight w:val="none"/>
        </w:rPr>
        <w:t>比选</w:t>
      </w:r>
      <w:bookmarkEnd w:id="921"/>
    </w:p>
    <w:p>
      <w:pPr>
        <w:tabs>
          <w:tab w:val="left" w:pos="1134"/>
          <w:tab w:val="left" w:pos="8364"/>
        </w:tabs>
        <w:spacing w:before="0" w:after="0" w:afterAutospacing="0"/>
        <w:ind w:left="0" w:right="0" w:firstLine="420" w:firstLineChars="200"/>
        <w:outlineLvl w:val="9"/>
        <w:rPr>
          <w:rFonts w:ascii="宋体" w:hAnsi="宋体"/>
          <w:highlight w:val="none"/>
        </w:rPr>
      </w:pPr>
      <w:r>
        <w:rPr>
          <w:rFonts w:ascii="宋体" w:hAnsi="宋体"/>
          <w:highlight w:val="none"/>
        </w:rPr>
        <w:t>出现下列特殊情况之一时，可重新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30.1</w:t>
      </w:r>
      <w:r>
        <w:rPr>
          <w:rFonts w:ascii="宋体" w:hAnsi="宋体"/>
          <w:highlight w:val="none"/>
        </w:rPr>
        <w:t>在比选申请截止时间到达时提交比选申请文件的比选申请人</w:t>
      </w:r>
      <w:r>
        <w:rPr>
          <w:rFonts w:hint="eastAsia" w:ascii="宋体" w:hAnsi="宋体"/>
          <w:highlight w:val="none"/>
        </w:rPr>
        <w:t>不足3家</w:t>
      </w:r>
      <w:r>
        <w:rPr>
          <w:rFonts w:ascii="宋体" w:hAnsi="宋体"/>
          <w:highlight w:val="none"/>
        </w:rPr>
        <w:t>的；</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30.2</w:t>
      </w:r>
      <w:r>
        <w:rPr>
          <w:rFonts w:ascii="宋体" w:hAnsi="宋体"/>
          <w:highlight w:val="none"/>
        </w:rPr>
        <w:t>评审委员会否决不合格比选申请或者界定为否决比选申请后，因有效比选申请不足三</w:t>
      </w:r>
      <w:r>
        <w:rPr>
          <w:rFonts w:hint="eastAsia" w:ascii="宋体" w:hAnsi="宋体"/>
          <w:highlight w:val="none"/>
        </w:rPr>
        <w:t>家</w:t>
      </w:r>
      <w:r>
        <w:rPr>
          <w:rFonts w:ascii="宋体" w:hAnsi="宋体"/>
          <w:highlight w:val="none"/>
        </w:rPr>
        <w:t>使得比选申请明显缺乏竞争性的（当有效比选申请</w:t>
      </w:r>
      <w:r>
        <w:rPr>
          <w:rFonts w:hint="eastAsia" w:ascii="宋体" w:hAnsi="宋体"/>
          <w:highlight w:val="none"/>
        </w:rPr>
        <w:t>只剩余两家</w:t>
      </w:r>
      <w:r>
        <w:rPr>
          <w:rFonts w:ascii="宋体" w:hAnsi="宋体"/>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outlineLvl w:val="9"/>
        <w:rPr>
          <w:rFonts w:ascii="宋体" w:hAnsi="宋体"/>
          <w:highlight w:val="none"/>
        </w:rPr>
      </w:pPr>
      <w:r>
        <w:rPr>
          <w:rFonts w:ascii="宋体" w:hAnsi="宋体"/>
          <w:highlight w:val="none"/>
        </w:rPr>
        <w:t>30.</w:t>
      </w:r>
      <w:r>
        <w:rPr>
          <w:rFonts w:hint="eastAsia" w:ascii="宋体" w:hAnsi="宋体"/>
          <w:highlight w:val="none"/>
        </w:rPr>
        <w:t>3</w:t>
      </w:r>
      <w:r>
        <w:rPr>
          <w:rFonts w:ascii="宋体" w:hAnsi="宋体"/>
          <w:highlight w:val="none"/>
        </w:rPr>
        <w:t>评审委员会决定否决全部比选申请的；</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30.4</w:t>
      </w:r>
      <w:r>
        <w:rPr>
          <w:rFonts w:ascii="宋体" w:hAnsi="宋体"/>
          <w:highlight w:val="none"/>
        </w:rPr>
        <w:t>中选候选人均放弃中选资格</w:t>
      </w:r>
      <w:r>
        <w:rPr>
          <w:rFonts w:hint="eastAsia" w:ascii="宋体" w:hAnsi="宋体"/>
          <w:highlight w:val="none"/>
        </w:rPr>
        <w:t>的</w:t>
      </w:r>
      <w:r>
        <w:rPr>
          <w:rFonts w:ascii="宋体" w:hAnsi="宋体"/>
          <w:highlight w:val="none"/>
        </w:rPr>
        <w:t>；</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30.5</w:t>
      </w:r>
      <w:r>
        <w:rPr>
          <w:rFonts w:ascii="宋体" w:hAnsi="宋体"/>
          <w:highlight w:val="none"/>
        </w:rPr>
        <w:t>根据本须知15</w:t>
      </w:r>
      <w:r>
        <w:rPr>
          <w:rFonts w:hint="eastAsia" w:ascii="宋体" w:hAnsi="宋体"/>
          <w:highlight w:val="none"/>
        </w:rPr>
        <w:t>.2</w:t>
      </w:r>
      <w:r>
        <w:rPr>
          <w:rFonts w:ascii="宋体" w:hAnsi="宋体"/>
          <w:highlight w:val="none"/>
        </w:rPr>
        <w:t>条规定，</w:t>
      </w:r>
      <w:r>
        <w:rPr>
          <w:rFonts w:hint="eastAsia" w:ascii="宋体" w:hAnsi="宋体"/>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30.6比选文件中规定的其他情况。</w:t>
      </w:r>
    </w:p>
    <w:p>
      <w:pPr>
        <w:numPr>
          <w:ilvl w:val="0"/>
          <w:numId w:val="7"/>
        </w:numPr>
        <w:spacing w:before="0" w:after="0" w:afterAutospacing="0"/>
        <w:ind w:left="0" w:right="0" w:firstLine="420" w:firstLineChars="200"/>
        <w:outlineLvl w:val="9"/>
        <w:rPr>
          <w:rFonts w:ascii="宋体" w:hAnsi="宋体"/>
          <w:sz w:val="21"/>
          <w:szCs w:val="21"/>
          <w:highlight w:val="none"/>
        </w:rPr>
      </w:pPr>
      <w:bookmarkStart w:id="922" w:name="_Toc385427829"/>
      <w:bookmarkStart w:id="923" w:name="_Toc31757"/>
      <w:bookmarkStart w:id="924" w:name="_Toc2422"/>
      <w:bookmarkStart w:id="925" w:name="_Toc11126"/>
      <w:bookmarkStart w:id="926" w:name="_Toc3769"/>
      <w:bookmarkStart w:id="927" w:name="_Toc1116"/>
      <w:bookmarkStart w:id="928" w:name="_Toc5959"/>
      <w:bookmarkStart w:id="929" w:name="_Toc26919"/>
      <w:bookmarkStart w:id="930" w:name="_Toc375039096"/>
      <w:bookmarkStart w:id="931" w:name="_Toc20979"/>
      <w:bookmarkStart w:id="932" w:name="_Toc383891204"/>
      <w:bookmarkStart w:id="933" w:name="_Toc1945"/>
      <w:bookmarkStart w:id="934" w:name="_Toc6886"/>
      <w:bookmarkStart w:id="935" w:name="_Toc12983539"/>
      <w:bookmarkStart w:id="936" w:name="_Toc14235"/>
      <w:bookmarkStart w:id="937" w:name="_Toc12031"/>
      <w:bookmarkStart w:id="938" w:name="_Toc390098455"/>
      <w:bookmarkStart w:id="939" w:name="_Toc26954"/>
      <w:bookmarkStart w:id="940" w:name="_Toc17042"/>
      <w:bookmarkStart w:id="941" w:name="_Toc25257"/>
      <w:bookmarkStart w:id="942" w:name="_Toc492478754"/>
      <w:bookmarkStart w:id="943" w:name="_Toc14454"/>
      <w:bookmarkStart w:id="944" w:name="_Toc10962"/>
      <w:bookmarkStart w:id="945" w:name="_Toc25750624"/>
      <w:r>
        <w:rPr>
          <w:rFonts w:hint="eastAsia" w:ascii="宋体" w:hAnsi="宋体"/>
          <w:sz w:val="21"/>
          <w:szCs w:val="21"/>
          <w:highlight w:val="none"/>
        </w:rPr>
        <w:t>不再</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Fonts w:hint="eastAsia" w:ascii="宋体" w:hAnsi="宋体"/>
          <w:sz w:val="21"/>
          <w:szCs w:val="21"/>
          <w:highlight w:val="none"/>
        </w:rPr>
        <w:t>比选</w:t>
      </w:r>
      <w:bookmarkEnd w:id="945"/>
    </w:p>
    <w:p>
      <w:pPr>
        <w:tabs>
          <w:tab w:val="left" w:pos="1155"/>
          <w:tab w:val="left" w:pos="8364"/>
        </w:tabs>
        <w:spacing w:before="0" w:after="0" w:afterAutospacing="0"/>
        <w:ind w:left="0" w:right="0" w:firstLine="420" w:firstLineChars="200"/>
        <w:outlineLvl w:val="9"/>
        <w:rPr>
          <w:rFonts w:ascii="宋体" w:hAnsi="宋体"/>
          <w:highlight w:val="none"/>
        </w:rPr>
      </w:pPr>
      <w:r>
        <w:rPr>
          <w:rFonts w:ascii="宋体" w:hAnsi="宋体"/>
          <w:highlight w:val="none"/>
        </w:rPr>
        <w:t>项目</w:t>
      </w:r>
      <w:r>
        <w:rPr>
          <w:rFonts w:hint="eastAsia" w:ascii="宋体" w:hAnsi="宋体"/>
          <w:highlight w:val="none"/>
        </w:rPr>
        <w:t>比选</w:t>
      </w:r>
      <w:r>
        <w:rPr>
          <w:rFonts w:ascii="宋体" w:hAnsi="宋体"/>
          <w:highlight w:val="none"/>
        </w:rPr>
        <w:t>经两次发布信息后比选申请人仍少于三个或重新</w:t>
      </w:r>
      <w:r>
        <w:rPr>
          <w:rFonts w:hint="eastAsia" w:ascii="宋体" w:hAnsi="宋体"/>
          <w:highlight w:val="none"/>
        </w:rPr>
        <w:t>比选</w:t>
      </w:r>
      <w:r>
        <w:rPr>
          <w:rFonts w:ascii="宋体" w:hAnsi="宋体"/>
          <w:highlight w:val="none"/>
        </w:rPr>
        <w:t>后有效比选申请人仍少于三个或者所有比选申请被否决的，比选人可不再进行</w:t>
      </w:r>
      <w:r>
        <w:rPr>
          <w:rFonts w:hint="eastAsia" w:ascii="宋体" w:hAnsi="宋体"/>
          <w:highlight w:val="none"/>
        </w:rPr>
        <w:t>比选</w:t>
      </w:r>
      <w:r>
        <w:rPr>
          <w:rFonts w:ascii="宋体" w:hAnsi="宋体"/>
          <w:highlight w:val="none"/>
        </w:rPr>
        <w:t>。</w:t>
      </w:r>
    </w:p>
    <w:p>
      <w:pPr>
        <w:spacing w:after="0" w:afterAutospacing="0" w:line="360" w:lineRule="auto"/>
        <w:ind w:left="0" w:right="0" w:firstLine="482" w:firstLineChars="200"/>
        <w:outlineLvl w:val="1"/>
        <w:rPr>
          <w:rFonts w:ascii="宋体" w:hAnsi="宋体" w:eastAsia="宋体"/>
          <w:b/>
          <w:bCs/>
          <w:sz w:val="24"/>
          <w:szCs w:val="24"/>
          <w:highlight w:val="none"/>
        </w:rPr>
      </w:pPr>
      <w:bookmarkStart w:id="946" w:name="_Toc8834"/>
      <w:bookmarkStart w:id="947" w:name="_Toc492478755"/>
      <w:bookmarkStart w:id="948" w:name="_Toc7938"/>
      <w:bookmarkStart w:id="949" w:name="_Toc27839"/>
      <w:bookmarkStart w:id="950" w:name="_Toc390098456"/>
      <w:bookmarkStart w:id="951" w:name="_Toc19952"/>
      <w:bookmarkStart w:id="952" w:name="_Toc25431"/>
      <w:bookmarkStart w:id="953" w:name="_Toc383891205"/>
      <w:bookmarkStart w:id="954" w:name="_Toc32014_WPSOffice_Level2"/>
      <w:bookmarkStart w:id="955" w:name="_Toc18800"/>
      <w:bookmarkStart w:id="956" w:name="_Toc24580"/>
      <w:bookmarkStart w:id="957" w:name="_Toc22975"/>
      <w:bookmarkStart w:id="958" w:name="_Toc21516"/>
      <w:bookmarkStart w:id="959" w:name="_Toc9113"/>
      <w:bookmarkStart w:id="960" w:name="_Toc12983540"/>
      <w:bookmarkStart w:id="961" w:name="_Toc24681"/>
      <w:bookmarkStart w:id="962" w:name="_Toc12421"/>
      <w:bookmarkStart w:id="963" w:name="_Toc16024"/>
      <w:bookmarkStart w:id="964" w:name="_Toc28036"/>
      <w:bookmarkStart w:id="965" w:name="_Toc385427830"/>
      <w:bookmarkStart w:id="966" w:name="_Toc9082"/>
      <w:bookmarkStart w:id="967" w:name="_Toc375039097"/>
      <w:bookmarkStart w:id="968" w:name="_Toc31958"/>
      <w:bookmarkStart w:id="969" w:name="_Toc26653"/>
      <w:bookmarkStart w:id="970" w:name="_Toc30278"/>
      <w:bookmarkStart w:id="971" w:name="_Toc6000"/>
      <w:bookmarkStart w:id="972" w:name="_Toc8230"/>
      <w:bookmarkStart w:id="973" w:name="_Toc4743"/>
      <w:bookmarkStart w:id="974" w:name="_Toc2326"/>
      <w:bookmarkStart w:id="975" w:name="_Toc25750625"/>
      <w:bookmarkStart w:id="976" w:name="_Toc20469"/>
      <w:bookmarkStart w:id="977" w:name="_Toc10446"/>
      <w:r>
        <w:rPr>
          <w:rFonts w:hint="eastAsia" w:ascii="宋体" w:hAnsi="宋体" w:eastAsia="宋体"/>
          <w:b/>
          <w:bCs/>
          <w:sz w:val="24"/>
          <w:szCs w:val="24"/>
          <w:highlight w:val="none"/>
        </w:rPr>
        <w:t>六、</w:t>
      </w:r>
      <w:r>
        <w:rPr>
          <w:rFonts w:ascii="宋体" w:hAnsi="宋体" w:eastAsia="宋体"/>
          <w:b/>
          <w:bCs/>
          <w:sz w:val="24"/>
          <w:szCs w:val="24"/>
          <w:highlight w:val="none"/>
        </w:rPr>
        <w:t>授予合同</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spacing w:before="0" w:after="0" w:afterAutospacing="0"/>
        <w:ind w:left="0" w:right="0" w:firstLine="420" w:firstLineChars="200"/>
        <w:outlineLvl w:val="9"/>
        <w:rPr>
          <w:rFonts w:ascii="宋体" w:hAnsi="宋体"/>
          <w:sz w:val="21"/>
          <w:szCs w:val="21"/>
          <w:highlight w:val="none"/>
        </w:rPr>
      </w:pPr>
      <w:bookmarkStart w:id="978" w:name="_Toc26525"/>
      <w:bookmarkStart w:id="979" w:name="_Toc492478756"/>
      <w:bookmarkStart w:id="980" w:name="_Toc31011"/>
      <w:bookmarkStart w:id="981" w:name="_Toc8938"/>
      <w:bookmarkStart w:id="982" w:name="_Toc383891206"/>
      <w:bookmarkStart w:id="983" w:name="_Toc390098457"/>
      <w:bookmarkStart w:id="984" w:name="_Toc30743"/>
      <w:bookmarkStart w:id="985" w:name="_Toc21975"/>
      <w:bookmarkStart w:id="986" w:name="_Toc28661"/>
      <w:bookmarkStart w:id="987" w:name="_Toc11795"/>
      <w:bookmarkStart w:id="988" w:name="_Toc12983541"/>
      <w:bookmarkStart w:id="989" w:name="_Toc30026"/>
      <w:bookmarkStart w:id="990" w:name="_Toc375039098"/>
      <w:bookmarkStart w:id="991" w:name="_Toc22323"/>
      <w:bookmarkStart w:id="992" w:name="_Toc18878"/>
      <w:bookmarkStart w:id="993" w:name="_Toc22688"/>
      <w:bookmarkStart w:id="994" w:name="_Toc385427831"/>
      <w:bookmarkStart w:id="995" w:name="_Toc21728"/>
      <w:bookmarkStart w:id="996" w:name="_Toc20642"/>
      <w:bookmarkStart w:id="997" w:name="_Toc25750626"/>
      <w:bookmarkStart w:id="998" w:name="_Toc10522"/>
      <w:bookmarkStart w:id="999" w:name="_Toc26143"/>
      <w:bookmarkStart w:id="1000" w:name="_Toc1269"/>
      <w:bookmarkStart w:id="1001" w:name="_Toc13914"/>
      <w:r>
        <w:rPr>
          <w:rFonts w:hint="eastAsia" w:ascii="宋体" w:hAnsi="宋体"/>
          <w:sz w:val="21"/>
          <w:szCs w:val="21"/>
          <w:highlight w:val="none"/>
        </w:rPr>
        <w:t>32. 合同授予标准</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32.1 </w:t>
      </w:r>
      <w:r>
        <w:rPr>
          <w:rFonts w:ascii="宋体" w:hAnsi="宋体"/>
          <w:highlight w:val="none"/>
        </w:rPr>
        <w:t>根据本须知规定，比选人将把合同授予收到中选通知书的比选申请人，该比选申请人必须具有有效实施本合同的能力和资源。</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32.2 </w:t>
      </w:r>
      <w:r>
        <w:rPr>
          <w:rFonts w:ascii="宋体" w:hAnsi="宋体"/>
          <w:highlight w:val="none"/>
        </w:rPr>
        <w:t>如果</w:t>
      </w:r>
      <w:r>
        <w:rPr>
          <w:rFonts w:hint="eastAsia" w:ascii="宋体" w:hAnsi="宋体"/>
          <w:highlight w:val="none"/>
        </w:rPr>
        <w:t>中选候选人放弃中选候选人资格或</w:t>
      </w:r>
      <w:r>
        <w:rPr>
          <w:rFonts w:ascii="宋体" w:hAnsi="宋体"/>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spacing w:before="0" w:after="0" w:afterAutospacing="0"/>
        <w:ind w:left="0" w:right="0" w:firstLine="420" w:firstLineChars="200"/>
        <w:outlineLvl w:val="9"/>
        <w:rPr>
          <w:rFonts w:ascii="宋体" w:hAnsi="宋体"/>
          <w:sz w:val="21"/>
          <w:szCs w:val="21"/>
          <w:highlight w:val="none"/>
        </w:rPr>
      </w:pPr>
      <w:bookmarkStart w:id="1002" w:name="_Toc31336"/>
      <w:bookmarkStart w:id="1003" w:name="_Toc25797"/>
      <w:bookmarkStart w:id="1004" w:name="_Toc385427832"/>
      <w:bookmarkStart w:id="1005" w:name="_Toc14301"/>
      <w:bookmarkStart w:id="1006" w:name="_Toc16111"/>
      <w:bookmarkStart w:id="1007" w:name="_Toc13417"/>
      <w:bookmarkStart w:id="1008" w:name="_Toc23649"/>
      <w:bookmarkStart w:id="1009" w:name="_Toc14325"/>
      <w:bookmarkStart w:id="1010" w:name="_Toc11913"/>
      <w:bookmarkStart w:id="1011" w:name="_Toc375039099"/>
      <w:bookmarkStart w:id="1012" w:name="_Toc492478757"/>
      <w:bookmarkStart w:id="1013" w:name="_Toc18977"/>
      <w:bookmarkStart w:id="1014" w:name="_Toc1873"/>
      <w:bookmarkStart w:id="1015" w:name="_Toc377"/>
      <w:bookmarkStart w:id="1016" w:name="_Toc19128"/>
      <w:bookmarkStart w:id="1017" w:name="_Toc24183"/>
      <w:bookmarkStart w:id="1018" w:name="_Toc17818"/>
      <w:bookmarkStart w:id="1019" w:name="_Toc19774"/>
      <w:bookmarkStart w:id="1020" w:name="_Toc12983542"/>
      <w:bookmarkStart w:id="1021" w:name="_Toc390098458"/>
      <w:bookmarkStart w:id="1022" w:name="_Toc14832"/>
      <w:bookmarkStart w:id="1023" w:name="_Toc383891207"/>
      <w:bookmarkStart w:id="1024" w:name="_Toc25750627"/>
      <w:bookmarkStart w:id="1025" w:name="_Toc17153"/>
      <w:r>
        <w:rPr>
          <w:rFonts w:hint="eastAsia" w:ascii="宋体" w:hAnsi="宋体"/>
          <w:sz w:val="21"/>
          <w:szCs w:val="21"/>
          <w:highlight w:val="none"/>
        </w:rPr>
        <w:t>33. 接受和否决任何或所有比选申请的权力</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numPr>
          <w:ilvl w:val="0"/>
          <w:numId w:val="8"/>
        </w:numPr>
        <w:spacing w:before="0" w:after="0" w:afterAutospacing="0"/>
        <w:ind w:left="0" w:right="0" w:firstLine="420" w:firstLineChars="200"/>
        <w:outlineLvl w:val="9"/>
        <w:rPr>
          <w:rFonts w:ascii="宋体" w:hAnsi="宋体"/>
          <w:sz w:val="21"/>
          <w:szCs w:val="21"/>
          <w:highlight w:val="none"/>
        </w:rPr>
      </w:pPr>
      <w:bookmarkStart w:id="1026" w:name="_Toc25750628"/>
      <w:bookmarkStart w:id="1027" w:name="_Toc492478758"/>
      <w:bookmarkStart w:id="1028" w:name="_Toc13596"/>
      <w:bookmarkStart w:id="1029" w:name="_Toc375039100"/>
      <w:bookmarkStart w:id="1030" w:name="_Toc385427833"/>
      <w:bookmarkStart w:id="1031" w:name="_Toc19943"/>
      <w:bookmarkStart w:id="1032" w:name="_Toc22657"/>
      <w:bookmarkStart w:id="1033" w:name="_Toc390098459"/>
      <w:bookmarkStart w:id="1034" w:name="_Toc2061"/>
      <w:bookmarkStart w:id="1035" w:name="_Toc10348"/>
      <w:bookmarkStart w:id="1036" w:name="_Toc12065"/>
      <w:bookmarkStart w:id="1037" w:name="_Toc5061"/>
      <w:bookmarkStart w:id="1038" w:name="_Toc21798"/>
      <w:bookmarkStart w:id="1039" w:name="_Toc673"/>
      <w:bookmarkStart w:id="1040" w:name="_Toc20680"/>
      <w:bookmarkStart w:id="1041" w:name="_Toc921"/>
      <w:bookmarkStart w:id="1042" w:name="_Toc13605"/>
      <w:bookmarkStart w:id="1043" w:name="_Toc19556"/>
      <w:bookmarkStart w:id="1044" w:name="_Toc9636"/>
      <w:bookmarkStart w:id="1045" w:name="_Toc12983543"/>
      <w:bookmarkStart w:id="1046" w:name="_Toc27683"/>
      <w:bookmarkStart w:id="1047" w:name="_Toc17953"/>
      <w:bookmarkStart w:id="1048" w:name="_Toc383891208"/>
      <w:bookmarkStart w:id="1049" w:name="_Toc32424"/>
      <w:r>
        <w:rPr>
          <w:rFonts w:hint="eastAsia" w:ascii="宋体" w:hAnsi="宋体"/>
          <w:sz w:val="21"/>
          <w:szCs w:val="21"/>
          <w:highlight w:val="none"/>
        </w:rPr>
        <w:t>中选通知书</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tabs>
          <w:tab w:val="left" w:pos="450"/>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34.1 </w:t>
      </w:r>
      <w:r>
        <w:rPr>
          <w:rFonts w:ascii="宋体" w:hAnsi="宋体"/>
          <w:highlight w:val="none"/>
        </w:rPr>
        <w:t>在比选申请有效期截止前，</w:t>
      </w:r>
      <w:r>
        <w:rPr>
          <w:rFonts w:hint="eastAsia" w:ascii="宋体" w:hAnsi="宋体"/>
          <w:highlight w:val="none"/>
        </w:rPr>
        <w:t>在本须知第</w:t>
      </w:r>
      <w:r>
        <w:rPr>
          <w:rFonts w:ascii="宋体" w:hAnsi="宋体"/>
          <w:highlight w:val="none"/>
        </w:rPr>
        <w:t>15条</w:t>
      </w:r>
      <w:r>
        <w:rPr>
          <w:rFonts w:hint="eastAsia" w:ascii="宋体" w:hAnsi="宋体"/>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34.2 </w:t>
      </w:r>
      <w:r>
        <w:rPr>
          <w:rFonts w:ascii="宋体" w:hAnsi="宋体"/>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34.3 </w:t>
      </w:r>
      <w:r>
        <w:rPr>
          <w:rFonts w:ascii="宋体" w:hAnsi="宋体"/>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34.4放弃中选人资格的处罚详见前附表。</w:t>
      </w:r>
    </w:p>
    <w:p>
      <w:pPr>
        <w:numPr>
          <w:ilvl w:val="0"/>
          <w:numId w:val="8"/>
        </w:numPr>
        <w:spacing w:before="0" w:after="0" w:afterAutospacing="0"/>
        <w:ind w:left="0" w:right="0" w:firstLine="420" w:firstLineChars="200"/>
        <w:outlineLvl w:val="9"/>
        <w:rPr>
          <w:rFonts w:ascii="宋体" w:hAnsi="宋体"/>
          <w:sz w:val="21"/>
          <w:szCs w:val="21"/>
          <w:highlight w:val="none"/>
        </w:rPr>
      </w:pPr>
      <w:bookmarkStart w:id="1050" w:name="_Toc1862"/>
      <w:bookmarkStart w:id="1051" w:name="_Toc21570"/>
      <w:bookmarkStart w:id="1052" w:name="_Toc30862"/>
      <w:bookmarkStart w:id="1053" w:name="_Toc12983544"/>
      <w:bookmarkStart w:id="1054" w:name="_Toc24885"/>
      <w:bookmarkStart w:id="1055" w:name="_Toc25208"/>
      <w:bookmarkStart w:id="1056" w:name="_Toc24240"/>
      <w:bookmarkStart w:id="1057" w:name="_Toc383891209"/>
      <w:bookmarkStart w:id="1058" w:name="_Toc375039101"/>
      <w:bookmarkStart w:id="1059" w:name="_Toc492478759"/>
      <w:bookmarkStart w:id="1060" w:name="_Toc21217"/>
      <w:bookmarkStart w:id="1061" w:name="_Toc4190"/>
      <w:bookmarkStart w:id="1062" w:name="_Toc28815"/>
      <w:bookmarkStart w:id="1063" w:name="_Toc25750629"/>
      <w:bookmarkStart w:id="1064" w:name="_Toc390098460"/>
      <w:bookmarkStart w:id="1065" w:name="_Toc15048"/>
      <w:bookmarkStart w:id="1066" w:name="_Toc1780"/>
      <w:bookmarkStart w:id="1067" w:name="_Toc5617"/>
      <w:bookmarkStart w:id="1068" w:name="_Toc5767"/>
      <w:bookmarkStart w:id="1069" w:name="_Toc22442"/>
      <w:bookmarkStart w:id="1070" w:name="_Toc18694"/>
      <w:bookmarkStart w:id="1071" w:name="_Toc8628"/>
      <w:bookmarkStart w:id="1072" w:name="_Toc385427834"/>
      <w:bookmarkStart w:id="1073" w:name="_Toc29993"/>
      <w:r>
        <w:rPr>
          <w:rFonts w:hint="eastAsia" w:ascii="宋体" w:hAnsi="宋体"/>
          <w:sz w:val="21"/>
          <w:szCs w:val="21"/>
          <w:highlight w:val="none"/>
        </w:rPr>
        <w:t>签订合同</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35.1 中选人在收到中选通知书后，按比选文件的要求与比选人签订合同</w:t>
      </w:r>
      <w:r>
        <w:rPr>
          <w:rFonts w:ascii="宋体" w:hAnsi="宋体"/>
          <w:highlight w:val="none"/>
        </w:rPr>
        <w:t>。</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35.2 </w:t>
      </w:r>
      <w:r>
        <w:rPr>
          <w:rFonts w:ascii="宋体" w:hAnsi="宋体"/>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35.3 </w:t>
      </w:r>
      <w:r>
        <w:rPr>
          <w:rFonts w:ascii="宋体" w:hAnsi="宋体"/>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 xml:space="preserve">35.4 </w:t>
      </w:r>
      <w:r>
        <w:rPr>
          <w:rFonts w:ascii="宋体" w:hAnsi="宋体"/>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tabs>
          <w:tab w:val="left" w:pos="1134"/>
          <w:tab w:val="left" w:pos="8364"/>
        </w:tabs>
        <w:spacing w:before="0" w:after="0" w:afterAutospacing="0"/>
        <w:ind w:left="0" w:right="0" w:firstLine="420" w:firstLineChars="200"/>
        <w:rPr>
          <w:rFonts w:hint="eastAsia" w:ascii="宋体" w:hAnsi="宋体"/>
          <w:highlight w:val="none"/>
        </w:rPr>
      </w:pPr>
      <w:bookmarkStart w:id="1074" w:name="_Toc25750631"/>
      <w:bookmarkStart w:id="1075" w:name="_Toc26808"/>
      <w:bookmarkStart w:id="1076" w:name="_Toc12983546"/>
      <w:bookmarkStart w:id="1077" w:name="_Toc383891211"/>
      <w:bookmarkStart w:id="1078" w:name="_Toc8178"/>
      <w:bookmarkStart w:id="1079" w:name="_Toc16212"/>
      <w:bookmarkStart w:id="1080" w:name="_Toc10399"/>
      <w:bookmarkStart w:id="1081" w:name="_Toc2637"/>
      <w:bookmarkStart w:id="1082" w:name="_Toc13615"/>
      <w:bookmarkStart w:id="1083" w:name="_Toc10480"/>
      <w:bookmarkStart w:id="1084" w:name="_Toc25988"/>
      <w:bookmarkStart w:id="1085" w:name="_Toc20351"/>
      <w:bookmarkStart w:id="1086" w:name="_Toc492478761"/>
      <w:bookmarkStart w:id="1087" w:name="_Toc385427836"/>
      <w:bookmarkStart w:id="1088" w:name="_Toc24400"/>
      <w:bookmarkStart w:id="1089" w:name="_Toc30169"/>
      <w:bookmarkStart w:id="1090" w:name="_Toc390098462"/>
      <w:bookmarkStart w:id="1091" w:name="_Toc375039103"/>
      <w:bookmarkStart w:id="1092" w:name="_Toc25990"/>
      <w:bookmarkStart w:id="1093" w:name="_Toc21294"/>
      <w:bookmarkStart w:id="1094" w:name="_Toc16584"/>
      <w:bookmarkStart w:id="1095" w:name="_Toc19122"/>
      <w:bookmarkStart w:id="1096" w:name="_Toc11354"/>
      <w:bookmarkStart w:id="1097" w:name="_Toc23115"/>
    </w:p>
    <w:p>
      <w:pPr>
        <w:numPr>
          <w:ilvl w:val="0"/>
          <w:numId w:val="8"/>
        </w:numPr>
        <w:tabs>
          <w:tab w:val="left" w:pos="1134"/>
          <w:tab w:val="left" w:pos="8364"/>
        </w:tabs>
        <w:spacing w:before="0" w:after="0" w:afterAutospacing="0"/>
        <w:ind w:left="0" w:right="0" w:firstLine="420" w:firstLineChars="200"/>
        <w:rPr>
          <w:rFonts w:hint="default" w:ascii="宋体" w:hAnsi="宋体" w:eastAsia="宋体"/>
          <w:highlight w:val="none"/>
          <w:lang w:val="en-US" w:eastAsia="zh-CN"/>
        </w:rPr>
      </w:pPr>
      <w:r>
        <w:rPr>
          <w:rFonts w:hint="eastAsia" w:ascii="宋体" w:hAnsi="宋体"/>
          <w:highlight w:val="none"/>
          <w:lang w:val="en-US" w:eastAsia="zh-CN"/>
        </w:rPr>
        <w:t>履约担保</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 </w:t>
      </w:r>
      <w:r>
        <w:rPr>
          <w:rFonts w:ascii="宋体" w:hAnsi="宋体"/>
          <w:highlight w:val="none"/>
        </w:rPr>
        <w:t>在签订合同前，</w:t>
      </w:r>
      <w:r>
        <w:rPr>
          <w:rFonts w:hint="eastAsia" w:ascii="宋体" w:hAnsi="宋体"/>
          <w:highlight w:val="none"/>
        </w:rPr>
        <w:t>中选人应按</w:t>
      </w:r>
      <w:r>
        <w:rPr>
          <w:rFonts w:ascii="宋体" w:hAnsi="宋体"/>
          <w:highlight w:val="none"/>
        </w:rPr>
        <w:t>比选申请须知前附表中所示履约担保形式、金额及提交时间向比选人提交履约担保。（如为银行保函形式应按比选文件中提供的银行保函格式开具</w:t>
      </w:r>
      <w:r>
        <w:rPr>
          <w:rFonts w:hint="eastAsia"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 </w:t>
      </w:r>
      <w:r>
        <w:rPr>
          <w:rFonts w:ascii="宋体" w:hAnsi="宋体"/>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36.3 履约担保应从生效之日起至</w:t>
      </w:r>
      <w:r>
        <w:rPr>
          <w:rFonts w:hint="eastAsia" w:ascii="宋体" w:hAnsi="宋体"/>
          <w:highlight w:val="none"/>
        </w:rPr>
        <w:t>全部货物验收合格</w:t>
      </w:r>
      <w:r>
        <w:rPr>
          <w:rFonts w:ascii="宋体" w:hAnsi="宋体"/>
          <w:highlight w:val="none"/>
        </w:rPr>
        <w:t>之日有效</w:t>
      </w:r>
      <w:r>
        <w:rPr>
          <w:rFonts w:hint="eastAsia" w:ascii="宋体" w:hAnsi="宋体"/>
          <w:highlight w:val="none"/>
        </w:rPr>
        <w:t>（最终验收证书签署之日后四十五（</w:t>
      </w:r>
      <w:r>
        <w:rPr>
          <w:rFonts w:ascii="宋体" w:hAnsi="宋体"/>
          <w:highlight w:val="none"/>
        </w:rPr>
        <w:t>45</w:t>
      </w:r>
      <w:r>
        <w:rPr>
          <w:rFonts w:hint="eastAsia" w:ascii="宋体" w:hAnsi="宋体"/>
          <w:highlight w:val="none"/>
        </w:rPr>
        <w:t>）天一直有效）</w:t>
      </w:r>
      <w:r>
        <w:rPr>
          <w:rFonts w:ascii="宋体" w:hAnsi="宋体"/>
          <w:highlight w:val="none"/>
        </w:rPr>
        <w:t>。如本项目实际</w:t>
      </w:r>
      <w:r>
        <w:rPr>
          <w:rFonts w:hint="eastAsia" w:ascii="宋体" w:hAnsi="宋体"/>
          <w:highlight w:val="none"/>
        </w:rPr>
        <w:t>全部货物验收合格</w:t>
      </w:r>
      <w:r>
        <w:rPr>
          <w:rFonts w:ascii="宋体" w:hAnsi="宋体"/>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36.4 </w:t>
      </w:r>
      <w:r>
        <w:rPr>
          <w:rFonts w:ascii="宋体" w:hAnsi="宋体"/>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36.5 </w:t>
      </w:r>
      <w:r>
        <w:rPr>
          <w:rFonts w:ascii="宋体" w:hAnsi="宋体"/>
          <w:highlight w:val="none"/>
        </w:rPr>
        <w:t>在合同执行过程中，履约担保金额应保持足额有效，不足时应当按照比选人的要求及时补足担保金额。</w:t>
      </w:r>
    </w:p>
    <w:p>
      <w:pPr>
        <w:numPr>
          <w:ilvl w:val="-1"/>
          <w:numId w:val="0"/>
        </w:numPr>
        <w:tabs>
          <w:tab w:val="left" w:pos="1134"/>
          <w:tab w:val="left" w:pos="8364"/>
        </w:tabs>
        <w:spacing w:before="0" w:after="0" w:afterAutospacing="0"/>
        <w:ind w:left="0" w:right="0" w:firstLine="420" w:firstLineChars="200"/>
        <w:outlineLvl w:val="9"/>
        <w:rPr>
          <w:rFonts w:ascii="宋体" w:hAnsi="宋体"/>
          <w:sz w:val="21"/>
          <w:szCs w:val="21"/>
          <w:highlight w:val="none"/>
        </w:rPr>
      </w:pPr>
      <w:r>
        <w:rPr>
          <w:rFonts w:hint="eastAsia" w:ascii="宋体" w:hAnsi="宋体"/>
          <w:highlight w:val="none"/>
        </w:rPr>
        <w:t xml:space="preserve">36.6 </w:t>
      </w:r>
      <w:r>
        <w:rPr>
          <w:rFonts w:ascii="宋体" w:hAnsi="宋体"/>
          <w:highlight w:val="none"/>
        </w:rPr>
        <w:t>以履约保证金形式提交履约担保的，中选人应通过银行电汇或转账的形式，从基本账户中递交至比选人</w:t>
      </w:r>
      <w:r>
        <w:rPr>
          <w:rFonts w:hint="eastAsia" w:ascii="宋体" w:hAnsi="宋体"/>
          <w:highlight w:val="none"/>
        </w:rPr>
        <w:t>指定账户</w:t>
      </w:r>
      <w:r>
        <w:rPr>
          <w:rFonts w:ascii="宋体" w:hAnsi="宋体"/>
          <w:highlight w:val="none"/>
        </w:rPr>
        <w:t>。</w:t>
      </w:r>
    </w:p>
    <w:p>
      <w:pPr>
        <w:numPr>
          <w:ilvl w:val="-1"/>
          <w:numId w:val="0"/>
        </w:numPr>
        <w:spacing w:before="0" w:after="0" w:afterAutospacing="0"/>
        <w:ind w:left="420" w:leftChars="200" w:right="0" w:firstLine="0" w:firstLineChars="0"/>
        <w:outlineLvl w:val="9"/>
        <w:rPr>
          <w:rFonts w:ascii="宋体" w:hAnsi="宋体"/>
          <w:sz w:val="21"/>
          <w:szCs w:val="21"/>
          <w:highlight w:val="none"/>
        </w:rPr>
      </w:pPr>
      <w:r>
        <w:rPr>
          <w:rFonts w:hint="eastAsia" w:ascii="宋体" w:hAnsi="宋体"/>
          <w:sz w:val="21"/>
          <w:szCs w:val="21"/>
          <w:highlight w:val="none"/>
          <w:lang w:val="en-US" w:eastAsia="zh-CN"/>
        </w:rPr>
        <w:t xml:space="preserve">37. </w:t>
      </w:r>
      <w:r>
        <w:rPr>
          <w:rFonts w:hint="eastAsia" w:ascii="宋体" w:hAnsi="宋体"/>
          <w:sz w:val="21"/>
          <w:szCs w:val="21"/>
          <w:highlight w:val="none"/>
        </w:rPr>
        <w:t>其他</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 xml:space="preserve">.1 </w:t>
      </w:r>
      <w:r>
        <w:rPr>
          <w:rFonts w:ascii="宋体" w:hAnsi="宋体"/>
          <w:highlight w:val="none"/>
        </w:rPr>
        <w:t>知识产权和专利权</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 xml:space="preserve">.1.1 </w:t>
      </w:r>
      <w:r>
        <w:rPr>
          <w:rFonts w:ascii="宋体" w:hAnsi="宋体"/>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 xml:space="preserve">.1.2 </w:t>
      </w:r>
      <w:r>
        <w:rPr>
          <w:rFonts w:ascii="宋体" w:hAnsi="宋体"/>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 xml:space="preserve">.2 </w:t>
      </w:r>
      <w:r>
        <w:rPr>
          <w:rFonts w:ascii="宋体" w:hAnsi="宋体"/>
          <w:highlight w:val="none"/>
        </w:rPr>
        <w:t>保密</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 xml:space="preserve">.2.1 </w:t>
      </w:r>
      <w:r>
        <w:rPr>
          <w:rFonts w:ascii="宋体" w:hAnsi="宋体"/>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 xml:space="preserve">.2.2 </w:t>
      </w:r>
      <w:r>
        <w:rPr>
          <w:rFonts w:ascii="宋体" w:hAnsi="宋体"/>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 xml:space="preserve">.3 </w:t>
      </w:r>
      <w:r>
        <w:rPr>
          <w:rFonts w:ascii="宋体" w:hAnsi="宋体"/>
          <w:highlight w:val="none"/>
        </w:rPr>
        <w:t>比选申请人知悉</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 xml:space="preserve">.3.1 </w:t>
      </w:r>
      <w:r>
        <w:rPr>
          <w:rFonts w:ascii="宋体" w:hAnsi="宋体"/>
          <w:highlight w:val="none"/>
        </w:rPr>
        <w:t>比选申请人将被视为已合理地充分了解了对所有影响本项目的事项，包括任何与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tabs>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 xml:space="preserve">.3.2 </w:t>
      </w:r>
      <w:r>
        <w:rPr>
          <w:rFonts w:ascii="宋体" w:hAnsi="宋体"/>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outlineLvl w:val="9"/>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.4 分包：本项目不允许分包、禁止转包。</w:t>
      </w:r>
    </w:p>
    <w:p>
      <w:pPr>
        <w:tabs>
          <w:tab w:val="left" w:pos="425"/>
          <w:tab w:val="left" w:pos="1134"/>
          <w:tab w:val="left" w:pos="8364"/>
        </w:tabs>
        <w:spacing w:before="0" w:after="0" w:afterAutospacing="0"/>
        <w:ind w:left="0" w:right="0" w:firstLine="420" w:firstLineChars="200"/>
        <w:outlineLvl w:val="9"/>
        <w:rPr>
          <w:rFonts w:hint="eastAsia"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.5 需要补充的其他内容：详见比选申请须知前附表</w:t>
      </w:r>
    </w:p>
    <w:p>
      <w:pPr>
        <w:keepNext w:val="0"/>
        <w:keepLines w:val="0"/>
        <w:pageBreakBefore w:val="0"/>
        <w:widowControl/>
        <w:tabs>
          <w:tab w:val="left" w:pos="425"/>
          <w:tab w:val="left" w:pos="1134"/>
          <w:tab w:val="left" w:pos="8364"/>
        </w:tabs>
        <w:kinsoku/>
        <w:wordWrap/>
        <w:overflowPunct/>
        <w:topLinePunct w:val="0"/>
        <w:autoSpaceDE/>
        <w:autoSpaceDN/>
        <w:bidi w:val="0"/>
        <w:adjustRightInd/>
        <w:snapToGrid/>
        <w:spacing w:before="0" w:after="0" w:afterAutospacing="0" w:line="360" w:lineRule="auto"/>
        <w:ind w:left="0" w:right="0" w:firstLine="420" w:firstLineChars="200"/>
        <w:textAlignment w:val="auto"/>
        <w:outlineLvl w:val="9"/>
        <w:rPr>
          <w:rFonts w:hint="eastAsia" w:ascii="宋体" w:hAnsi="宋体" w:eastAsia="宋体" w:cs="宋体"/>
          <w:b/>
          <w:bCs/>
          <w:szCs w:val="21"/>
          <w:highlight w:val="none"/>
        </w:rPr>
      </w:pPr>
      <w:r>
        <w:rPr>
          <w:rFonts w:hint="eastAsia" w:ascii="宋体" w:hAnsi="宋体" w:eastAsia="宋体" w:cs="宋体"/>
          <w:highlight w:val="none"/>
          <w:lang w:val="en-US" w:eastAsia="zh-CN"/>
        </w:rPr>
        <w:t>3</w:t>
      </w:r>
      <w:r>
        <w:rPr>
          <w:rFonts w:hint="eastAsia" w:ascii="宋体" w:hAnsi="宋体" w:cs="宋体"/>
          <w:highlight w:val="none"/>
          <w:lang w:val="en-US" w:eastAsia="zh-CN"/>
        </w:rPr>
        <w:t>7</w:t>
      </w:r>
      <w:r>
        <w:rPr>
          <w:rFonts w:hint="eastAsia" w:ascii="宋体" w:hAnsi="宋体" w:eastAsia="宋体" w:cs="宋体"/>
          <w:highlight w:val="none"/>
          <w:lang w:val="en-US" w:eastAsia="zh-CN"/>
        </w:rPr>
        <w:t>.6</w:t>
      </w:r>
      <w:r>
        <w:rPr>
          <w:rFonts w:hint="eastAsia" w:ascii="宋体" w:hAnsi="宋体" w:eastAsia="宋体" w:cs="宋体"/>
          <w:b/>
          <w:bCs/>
          <w:szCs w:val="21"/>
          <w:highlight w:val="none"/>
        </w:rPr>
        <w:t>本项目采购及合同执行的任何阶段，如果</w:t>
      </w:r>
      <w:r>
        <w:rPr>
          <w:rFonts w:hint="eastAsia" w:ascii="宋体" w:hAnsi="宋体" w:eastAsia="宋体" w:cs="宋体"/>
          <w:b/>
          <w:bCs/>
          <w:szCs w:val="21"/>
          <w:highlight w:val="none"/>
          <w:lang w:eastAsia="zh-CN"/>
        </w:rPr>
        <w:t>比选</w:t>
      </w:r>
      <w:r>
        <w:rPr>
          <w:rFonts w:hint="eastAsia" w:ascii="宋体" w:hAnsi="宋体" w:eastAsia="宋体" w:cs="宋体"/>
          <w:b/>
          <w:bCs/>
          <w:szCs w:val="21"/>
          <w:highlight w:val="none"/>
        </w:rPr>
        <w:t>人发现</w:t>
      </w:r>
      <w:r>
        <w:rPr>
          <w:rFonts w:hint="eastAsia" w:ascii="宋体" w:hAnsi="宋体" w:eastAsia="宋体" w:cs="宋体"/>
          <w:b/>
          <w:bCs/>
          <w:szCs w:val="21"/>
          <w:highlight w:val="none"/>
          <w:lang w:eastAsia="zh-CN"/>
        </w:rPr>
        <w:t>比选申请</w:t>
      </w:r>
      <w:r>
        <w:rPr>
          <w:rFonts w:hint="eastAsia" w:ascii="宋体" w:hAnsi="宋体" w:eastAsia="宋体" w:cs="宋体"/>
          <w:b/>
          <w:bCs/>
          <w:szCs w:val="21"/>
          <w:highlight w:val="none"/>
        </w:rPr>
        <w:t>人/中</w:t>
      </w:r>
      <w:r>
        <w:rPr>
          <w:rFonts w:hint="eastAsia" w:ascii="宋体" w:hAnsi="宋体" w:eastAsia="宋体" w:cs="宋体"/>
          <w:b/>
          <w:bCs/>
          <w:szCs w:val="21"/>
          <w:highlight w:val="none"/>
          <w:lang w:eastAsia="zh-CN"/>
        </w:rPr>
        <w:t>选</w:t>
      </w:r>
      <w:r>
        <w:rPr>
          <w:rFonts w:hint="eastAsia" w:ascii="宋体" w:hAnsi="宋体" w:eastAsia="宋体" w:cs="宋体"/>
          <w:b/>
          <w:bCs/>
          <w:szCs w:val="21"/>
          <w:highlight w:val="none"/>
        </w:rPr>
        <w:t>人存在下述行为之一的，</w:t>
      </w:r>
      <w:r>
        <w:rPr>
          <w:rFonts w:hint="eastAsia" w:ascii="宋体" w:hAnsi="宋体" w:eastAsia="宋体" w:cs="宋体"/>
          <w:b/>
          <w:bCs/>
          <w:szCs w:val="21"/>
          <w:highlight w:val="none"/>
          <w:lang w:eastAsia="zh-CN"/>
        </w:rPr>
        <w:t>比选</w:t>
      </w:r>
      <w:r>
        <w:rPr>
          <w:rFonts w:hint="eastAsia" w:ascii="宋体" w:hAnsi="宋体" w:eastAsia="宋体" w:cs="宋体"/>
          <w:b/>
          <w:bCs/>
          <w:szCs w:val="21"/>
          <w:highlight w:val="none"/>
        </w:rPr>
        <w:t>人有权取消其</w:t>
      </w:r>
      <w:r>
        <w:rPr>
          <w:rFonts w:hint="eastAsia" w:ascii="宋体" w:hAnsi="宋体" w:eastAsia="宋体" w:cs="宋体"/>
          <w:b/>
          <w:bCs/>
          <w:szCs w:val="21"/>
          <w:highlight w:val="none"/>
          <w:lang w:eastAsia="zh-CN"/>
        </w:rPr>
        <w:t>比选申请</w:t>
      </w:r>
      <w:r>
        <w:rPr>
          <w:rFonts w:hint="eastAsia" w:ascii="宋体" w:hAnsi="宋体" w:eastAsia="宋体" w:cs="宋体"/>
          <w:b/>
          <w:bCs/>
          <w:szCs w:val="21"/>
          <w:highlight w:val="none"/>
        </w:rPr>
        <w:t>/中</w:t>
      </w:r>
      <w:r>
        <w:rPr>
          <w:rFonts w:hint="eastAsia" w:ascii="宋体" w:hAnsi="宋体" w:eastAsia="宋体" w:cs="宋体"/>
          <w:b/>
          <w:bCs/>
          <w:szCs w:val="21"/>
          <w:highlight w:val="none"/>
          <w:lang w:eastAsia="zh-CN"/>
        </w:rPr>
        <w:t>选</w:t>
      </w:r>
      <w:r>
        <w:rPr>
          <w:rFonts w:hint="eastAsia" w:ascii="宋体" w:hAnsi="宋体" w:eastAsia="宋体" w:cs="宋体"/>
          <w:b/>
          <w:bCs/>
          <w:szCs w:val="21"/>
          <w:highlight w:val="none"/>
        </w:rPr>
        <w:t>资格，</w:t>
      </w:r>
      <w:r>
        <w:rPr>
          <w:rFonts w:hint="eastAsia" w:ascii="宋体" w:hAnsi="宋体" w:eastAsia="宋体" w:cs="宋体"/>
          <w:b/>
          <w:bCs/>
          <w:szCs w:val="21"/>
          <w:highlight w:val="none"/>
          <w:lang w:eastAsia="zh-CN"/>
        </w:rPr>
        <w:t>比选申请</w:t>
      </w:r>
      <w:r>
        <w:rPr>
          <w:rFonts w:hint="eastAsia" w:ascii="宋体" w:hAnsi="宋体" w:eastAsia="宋体" w:cs="宋体"/>
          <w:b/>
          <w:bCs/>
          <w:szCs w:val="21"/>
          <w:highlight w:val="none"/>
        </w:rPr>
        <w:t>/中</w:t>
      </w:r>
      <w:r>
        <w:rPr>
          <w:rFonts w:hint="eastAsia" w:ascii="宋体" w:hAnsi="宋体" w:eastAsia="宋体" w:cs="宋体"/>
          <w:b/>
          <w:bCs/>
          <w:szCs w:val="21"/>
          <w:highlight w:val="none"/>
          <w:lang w:eastAsia="zh-CN"/>
        </w:rPr>
        <w:t>选</w:t>
      </w:r>
      <w:r>
        <w:rPr>
          <w:rFonts w:hint="eastAsia" w:ascii="宋体" w:hAnsi="宋体" w:eastAsia="宋体" w:cs="宋体"/>
          <w:b/>
          <w:bCs/>
          <w:szCs w:val="21"/>
          <w:highlight w:val="none"/>
        </w:rPr>
        <w:t>无效。情节严重的，报同级或上级监管部门依法进行处理；同时将其列入</w:t>
      </w:r>
      <w:r>
        <w:rPr>
          <w:rFonts w:hint="eastAsia" w:ascii="宋体" w:hAnsi="宋体" w:eastAsia="宋体" w:cs="宋体"/>
          <w:b/>
          <w:bCs/>
          <w:szCs w:val="21"/>
          <w:highlight w:val="none"/>
          <w:lang w:eastAsia="zh-CN"/>
        </w:rPr>
        <w:t>比选申请</w:t>
      </w:r>
      <w:r>
        <w:rPr>
          <w:rFonts w:hint="eastAsia" w:ascii="宋体" w:hAnsi="宋体" w:eastAsia="宋体" w:cs="宋体"/>
          <w:b/>
          <w:bCs/>
          <w:szCs w:val="21"/>
          <w:highlight w:val="none"/>
        </w:rPr>
        <w:t>人的不良信用名单：</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hint="eastAsia" w:ascii="宋体" w:hAnsi="宋体"/>
          <w:highlight w:val="none"/>
        </w:rPr>
      </w:pPr>
      <w:r>
        <w:rPr>
          <w:rFonts w:hint="eastAsia" w:ascii="宋体" w:hAnsi="宋体"/>
          <w:highlight w:val="none"/>
        </w:rPr>
        <w:t>（1）</w:t>
      </w:r>
      <w:r>
        <w:rPr>
          <w:rFonts w:hint="eastAsia" w:ascii="宋体" w:hAnsi="宋体"/>
          <w:highlight w:val="none"/>
          <w:lang w:eastAsia="zh-CN"/>
        </w:rPr>
        <w:t>比选申请人</w:t>
      </w:r>
      <w:r>
        <w:rPr>
          <w:rFonts w:hint="eastAsia" w:ascii="宋体" w:hAnsi="宋体"/>
          <w:highlight w:val="none"/>
        </w:rPr>
        <w:t>在</w:t>
      </w:r>
      <w:r>
        <w:rPr>
          <w:rFonts w:hint="eastAsia" w:ascii="宋体" w:hAnsi="宋体"/>
          <w:highlight w:val="none"/>
          <w:lang w:eastAsia="zh-CN"/>
        </w:rPr>
        <w:t>比选申请</w:t>
      </w:r>
      <w:r>
        <w:rPr>
          <w:rFonts w:hint="eastAsia" w:ascii="宋体" w:hAnsi="宋体"/>
          <w:highlight w:val="none"/>
        </w:rPr>
        <w:t>截止期后撤回其投标的。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hint="eastAsia" w:ascii="宋体" w:hAnsi="宋体"/>
          <w:highlight w:val="none"/>
        </w:rPr>
      </w:pPr>
      <w:r>
        <w:rPr>
          <w:rFonts w:hint="eastAsia" w:ascii="宋体" w:hAnsi="宋体"/>
          <w:highlight w:val="none"/>
        </w:rPr>
        <w:t>（2）提供虚假材料谋取中</w:t>
      </w:r>
      <w:r>
        <w:rPr>
          <w:rFonts w:hint="eastAsia" w:ascii="宋体" w:hAnsi="宋体"/>
          <w:highlight w:val="none"/>
          <w:lang w:eastAsia="zh-CN"/>
        </w:rPr>
        <w:t>选</w:t>
      </w:r>
      <w:r>
        <w:rPr>
          <w:rFonts w:hint="eastAsia" w:ascii="宋体" w:hAnsi="宋体"/>
          <w:highlight w:val="none"/>
        </w:rPr>
        <w:t>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hint="eastAsia" w:ascii="宋体" w:hAnsi="宋体"/>
          <w:highlight w:val="none"/>
        </w:rPr>
      </w:pPr>
      <w:r>
        <w:rPr>
          <w:rFonts w:hint="eastAsia" w:ascii="宋体" w:hAnsi="宋体"/>
          <w:highlight w:val="none"/>
        </w:rPr>
        <w:t>（3）采取不正当手段诋毁、排挤其他供应商的。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hint="eastAsia" w:ascii="宋体" w:hAnsi="宋体"/>
          <w:highlight w:val="none"/>
        </w:rPr>
      </w:pPr>
      <w:r>
        <w:rPr>
          <w:rFonts w:hint="eastAsia" w:ascii="宋体" w:hAnsi="宋体"/>
          <w:highlight w:val="none"/>
        </w:rPr>
        <w:t>（4）恶意串通等不正当竞争行为的。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hint="eastAsia" w:ascii="宋体" w:hAnsi="宋体"/>
          <w:highlight w:val="none"/>
        </w:rPr>
      </w:pPr>
      <w:r>
        <w:rPr>
          <w:rFonts w:hint="eastAsia" w:ascii="宋体" w:hAnsi="宋体"/>
          <w:highlight w:val="none"/>
        </w:rPr>
        <w:t>（5）中</w:t>
      </w:r>
      <w:r>
        <w:rPr>
          <w:rFonts w:hint="eastAsia" w:ascii="宋体" w:hAnsi="宋体"/>
          <w:highlight w:val="none"/>
          <w:lang w:eastAsia="zh-CN"/>
        </w:rPr>
        <w:t>选</w:t>
      </w:r>
      <w:r>
        <w:rPr>
          <w:rFonts w:hint="eastAsia" w:ascii="宋体" w:hAnsi="宋体"/>
          <w:highlight w:val="none"/>
        </w:rPr>
        <w:t>后无正当理由拒不与采购人签订采购合同的。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hint="eastAsia" w:ascii="宋体" w:hAnsi="宋体"/>
          <w:highlight w:val="none"/>
        </w:rPr>
      </w:pPr>
      <w:r>
        <w:rPr>
          <w:rFonts w:hint="eastAsia" w:ascii="宋体" w:hAnsi="宋体"/>
          <w:highlight w:val="none"/>
        </w:rPr>
        <w:t>（6）未照</w:t>
      </w:r>
      <w:r>
        <w:rPr>
          <w:rFonts w:hint="eastAsia" w:ascii="宋体" w:hAnsi="宋体"/>
          <w:highlight w:val="none"/>
          <w:lang w:eastAsia="zh-CN"/>
        </w:rPr>
        <w:t>比选</w:t>
      </w:r>
      <w:r>
        <w:rPr>
          <w:rFonts w:hint="eastAsia" w:ascii="宋体" w:hAnsi="宋体"/>
          <w:highlight w:val="none"/>
        </w:rPr>
        <w:t>、</w:t>
      </w:r>
      <w:r>
        <w:rPr>
          <w:rFonts w:hint="eastAsia" w:ascii="宋体" w:hAnsi="宋体"/>
          <w:highlight w:val="none"/>
          <w:lang w:eastAsia="zh-CN"/>
        </w:rPr>
        <w:t>比选申请</w:t>
      </w:r>
      <w:r>
        <w:rPr>
          <w:rFonts w:hint="eastAsia" w:ascii="宋体" w:hAnsi="宋体"/>
          <w:highlight w:val="none"/>
        </w:rPr>
        <w:t>文件确定的事项签订采购合同的。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hint="eastAsia" w:ascii="宋体" w:hAnsi="宋体"/>
          <w:highlight w:val="none"/>
        </w:rPr>
      </w:pPr>
      <w:r>
        <w:rPr>
          <w:rFonts w:hint="eastAsia" w:ascii="宋体" w:hAnsi="宋体"/>
          <w:highlight w:val="none"/>
        </w:rPr>
        <w:t>（7）将采购合同转包的。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hint="eastAsia" w:ascii="宋体" w:hAnsi="宋体"/>
          <w:highlight w:val="none"/>
        </w:rPr>
      </w:pPr>
      <w:r>
        <w:rPr>
          <w:rFonts w:hint="eastAsia" w:ascii="宋体" w:hAnsi="宋体"/>
          <w:highlight w:val="none"/>
        </w:rPr>
        <w:t>（8）提供假冒伪劣产品的。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hint="eastAsia" w:ascii="宋体" w:hAnsi="宋体"/>
          <w:highlight w:val="none"/>
        </w:rPr>
      </w:pPr>
      <w:r>
        <w:rPr>
          <w:rFonts w:hint="eastAsia" w:ascii="宋体" w:hAnsi="宋体"/>
          <w:highlight w:val="none"/>
        </w:rPr>
        <w:t>（9）擅自变更、中止或者终止采购合同的。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ascii="宋体" w:hAnsi="宋体"/>
          <w:highlight w:val="none"/>
        </w:rPr>
      </w:pPr>
      <w:r>
        <w:rPr>
          <w:rFonts w:hint="eastAsia" w:ascii="宋体" w:hAnsi="宋体"/>
          <w:highlight w:val="none"/>
        </w:rPr>
        <w:t>（10）中</w:t>
      </w:r>
      <w:r>
        <w:rPr>
          <w:rFonts w:hint="eastAsia" w:ascii="宋体" w:hAnsi="宋体"/>
          <w:highlight w:val="none"/>
          <w:lang w:eastAsia="zh-CN"/>
        </w:rPr>
        <w:t>选</w:t>
      </w:r>
      <w:r>
        <w:rPr>
          <w:rFonts w:hint="eastAsia" w:ascii="宋体" w:hAnsi="宋体"/>
          <w:highlight w:val="none"/>
        </w:rPr>
        <w:t>人签订合同后，不能履约或无故拖延履约期的。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hint="eastAsia" w:ascii="宋体" w:hAnsi="宋体"/>
          <w:highlight w:val="none"/>
        </w:rPr>
      </w:pPr>
      <w:r>
        <w:rPr>
          <w:rFonts w:hint="eastAsia" w:ascii="宋体" w:hAnsi="宋体"/>
          <w:highlight w:val="none"/>
        </w:rPr>
        <w:t>（11）中</w:t>
      </w:r>
      <w:r>
        <w:rPr>
          <w:rFonts w:hint="eastAsia" w:ascii="宋体" w:hAnsi="宋体"/>
          <w:highlight w:val="none"/>
          <w:lang w:eastAsia="zh-CN"/>
        </w:rPr>
        <w:t>选</w:t>
      </w:r>
      <w:r>
        <w:rPr>
          <w:rFonts w:hint="eastAsia" w:ascii="宋体" w:hAnsi="宋体"/>
          <w:highlight w:val="none"/>
        </w:rPr>
        <w:t>人未</w:t>
      </w:r>
      <w:r>
        <w:rPr>
          <w:rFonts w:hint="eastAsia" w:ascii="宋体" w:hAnsi="宋体"/>
          <w:highlight w:val="none"/>
          <w:lang w:eastAsia="zh-CN"/>
        </w:rPr>
        <w:t>在</w:t>
      </w:r>
      <w:r>
        <w:rPr>
          <w:rFonts w:hint="eastAsia" w:ascii="宋体" w:hAnsi="宋体"/>
          <w:highlight w:val="none"/>
        </w:rPr>
        <w:t>投标阶段提出异议或疑问，在成交后无法满足采购需求的。</w:t>
      </w:r>
    </w:p>
    <w:p>
      <w:pPr>
        <w:keepNext w:val="0"/>
        <w:keepLines w:val="0"/>
        <w:pageBreakBefore w:val="0"/>
        <w:widowControl/>
        <w:kinsoku/>
        <w:wordWrap/>
        <w:overflowPunct/>
        <w:topLinePunct w:val="0"/>
        <w:autoSpaceDE/>
        <w:autoSpaceDN/>
        <w:bidi w:val="0"/>
        <w:adjustRightInd/>
        <w:snapToGrid/>
        <w:spacing w:before="100" w:afterAutospacing="0" w:line="360" w:lineRule="auto"/>
        <w:ind w:left="0" w:right="0" w:firstLine="420" w:firstLineChars="200"/>
        <w:textAlignment w:val="auto"/>
        <w:rPr>
          <w:rFonts w:ascii="宋体" w:hAnsi="宋体"/>
          <w:highlight w:val="none"/>
        </w:rPr>
      </w:pPr>
      <w:r>
        <w:rPr>
          <w:rFonts w:hint="eastAsia" w:ascii="宋体" w:hAnsi="宋体"/>
          <w:highlight w:val="none"/>
        </w:rPr>
        <w:t>（12）中</w:t>
      </w:r>
      <w:r>
        <w:rPr>
          <w:rFonts w:hint="eastAsia" w:ascii="宋体" w:hAnsi="宋体"/>
          <w:highlight w:val="none"/>
          <w:lang w:eastAsia="zh-CN"/>
        </w:rPr>
        <w:t>选</w:t>
      </w:r>
      <w:r>
        <w:rPr>
          <w:rFonts w:hint="eastAsia" w:ascii="宋体" w:hAnsi="宋体"/>
          <w:highlight w:val="none"/>
        </w:rPr>
        <w:t>人在成交后无正当理由放弃成交资格的。</w:t>
      </w:r>
    </w:p>
    <w:p>
      <w:pPr>
        <w:pStyle w:val="11"/>
        <w:keepNext w:val="0"/>
        <w:keepLines w:val="0"/>
        <w:pageBreakBefore w:val="0"/>
        <w:widowControl/>
        <w:kinsoku/>
        <w:wordWrap/>
        <w:overflowPunct/>
        <w:topLinePunct w:val="0"/>
        <w:autoSpaceDE/>
        <w:autoSpaceDN/>
        <w:bidi w:val="0"/>
        <w:adjustRightInd/>
        <w:snapToGrid/>
        <w:spacing w:afterAutospacing="0" w:line="360" w:lineRule="auto"/>
        <w:ind w:left="0" w:right="0" w:firstLine="420" w:firstLineChars="200"/>
        <w:textAlignment w:val="auto"/>
        <w:rPr>
          <w:rFonts w:hint="default" w:ascii="宋体" w:hAnsi="宋体"/>
          <w:b/>
          <w:bCs/>
          <w:szCs w:val="21"/>
          <w:highlight w:val="none"/>
          <w:lang w:val="en-US" w:eastAsia="zh-CN"/>
        </w:rPr>
      </w:pPr>
      <w:r>
        <w:rPr>
          <w:rFonts w:hint="eastAsia" w:ascii="宋体" w:hAnsi="宋体"/>
          <w:highlight w:val="none"/>
        </w:rPr>
        <w:t>（13）</w:t>
      </w:r>
      <w:r>
        <w:rPr>
          <w:rFonts w:hint="eastAsia" w:ascii="宋体" w:hAnsi="宋体"/>
          <w:highlight w:val="none"/>
          <w:lang w:val="en-US" w:eastAsia="zh-CN"/>
        </w:rPr>
        <w:t>比选</w:t>
      </w:r>
      <w:r>
        <w:rPr>
          <w:rFonts w:hint="eastAsia" w:ascii="宋体" w:hAnsi="宋体"/>
          <w:highlight w:val="none"/>
        </w:rPr>
        <w:t>文件、法律、法规规定的其他情形。</w:t>
      </w:r>
    </w:p>
    <w:p>
      <w:pPr>
        <w:rPr>
          <w:highlight w:val="none"/>
        </w:rPr>
      </w:pPr>
      <w:r>
        <w:rPr>
          <w:highlight w:val="none"/>
        </w:rPr>
        <w:br w:type="page"/>
      </w:r>
    </w:p>
    <w:p>
      <w:pPr>
        <w:pageBreakBefore/>
        <w:spacing w:line="300" w:lineRule="exact"/>
        <w:ind w:left="950" w:right="-28" w:hanging="950" w:hangingChars="338"/>
        <w:jc w:val="center"/>
        <w:rPr>
          <w:rFonts w:ascii="宋体"/>
          <w:b/>
          <w:color w:val="000000"/>
          <w:sz w:val="28"/>
          <w:szCs w:val="30"/>
          <w:highlight w:val="none"/>
        </w:rPr>
      </w:pPr>
      <w:bookmarkStart w:id="1098" w:name="_Toc32432"/>
    </w:p>
    <w:p>
      <w:pPr>
        <w:spacing w:line="300" w:lineRule="exact"/>
        <w:jc w:val="center"/>
        <w:rPr>
          <w:rFonts w:ascii="宋体"/>
          <w:b/>
          <w:color w:val="000000"/>
          <w:sz w:val="28"/>
          <w:szCs w:val="30"/>
          <w:highlight w:val="none"/>
        </w:rPr>
      </w:pPr>
    </w:p>
    <w:p>
      <w:pPr>
        <w:spacing w:line="300" w:lineRule="exact"/>
        <w:jc w:val="center"/>
        <w:rPr>
          <w:rFonts w:ascii="宋体"/>
          <w:b/>
          <w:color w:val="000000"/>
          <w:sz w:val="28"/>
          <w:szCs w:val="30"/>
          <w:highlight w:val="none"/>
        </w:rPr>
      </w:pPr>
    </w:p>
    <w:p>
      <w:pPr>
        <w:pStyle w:val="15"/>
        <w:rPr>
          <w:highlight w:val="none"/>
        </w:rPr>
      </w:pPr>
    </w:p>
    <w:p>
      <w:pPr>
        <w:pStyle w:val="15"/>
        <w:rPr>
          <w:highlight w:val="none"/>
        </w:rPr>
      </w:pPr>
    </w:p>
    <w:p>
      <w:pPr>
        <w:pStyle w:val="15"/>
        <w:rPr>
          <w:highlight w:val="none"/>
        </w:rPr>
      </w:pPr>
    </w:p>
    <w:p>
      <w:pPr>
        <w:pStyle w:val="15"/>
        <w:rPr>
          <w:highlight w:val="none"/>
        </w:rPr>
      </w:pPr>
    </w:p>
    <w:p>
      <w:pPr>
        <w:spacing w:line="300" w:lineRule="exact"/>
        <w:jc w:val="center"/>
        <w:rPr>
          <w:rFonts w:ascii="宋体"/>
          <w:b/>
          <w:color w:val="000000"/>
          <w:sz w:val="28"/>
          <w:szCs w:val="30"/>
          <w:highlight w:val="none"/>
        </w:rPr>
      </w:pPr>
    </w:p>
    <w:p>
      <w:pPr>
        <w:pStyle w:val="15"/>
        <w:ind w:right="-57" w:firstLine="0"/>
        <w:jc w:val="center"/>
        <w:outlineLvl w:val="0"/>
        <w:rPr>
          <w:rStyle w:val="44"/>
          <w:rFonts w:hAnsi="宋体"/>
          <w:sz w:val="44"/>
          <w:szCs w:val="44"/>
          <w:highlight w:val="none"/>
        </w:rPr>
      </w:pPr>
      <w:bookmarkStart w:id="1099" w:name="_Toc101965688"/>
      <w:bookmarkStart w:id="1100" w:name="_Toc12291"/>
      <w:r>
        <w:rPr>
          <w:rStyle w:val="44"/>
          <w:rFonts w:hint="eastAsia" w:hAnsi="宋体"/>
          <w:sz w:val="44"/>
          <w:szCs w:val="44"/>
          <w:highlight w:val="none"/>
        </w:rPr>
        <w:t>第三章 合同条款及格式</w:t>
      </w:r>
      <w:bookmarkEnd w:id="1098"/>
      <w:bookmarkEnd w:id="1099"/>
      <w:bookmarkEnd w:id="1100"/>
    </w:p>
    <w:p>
      <w:pPr>
        <w:spacing w:after="120" w:afterLines="50"/>
        <w:jc w:val="center"/>
        <w:rPr>
          <w:b/>
          <w:color w:val="000000"/>
          <w:sz w:val="44"/>
          <w:szCs w:val="44"/>
          <w:highlight w:val="none"/>
        </w:rPr>
      </w:pPr>
    </w:p>
    <w:p>
      <w:pPr>
        <w:spacing w:after="120" w:afterLines="50"/>
        <w:jc w:val="center"/>
        <w:rPr>
          <w:b/>
          <w:color w:val="000000"/>
          <w:sz w:val="44"/>
          <w:szCs w:val="44"/>
          <w:highlight w:val="none"/>
        </w:rPr>
      </w:pPr>
    </w:p>
    <w:p>
      <w:pPr>
        <w:pStyle w:val="15"/>
        <w:rPr>
          <w:highlight w:val="none"/>
        </w:rPr>
      </w:pPr>
    </w:p>
    <w:p>
      <w:pPr>
        <w:ind w:right="-57" w:firstLine="0"/>
        <w:outlineLvl w:val="9"/>
        <w:rPr>
          <w:rFonts w:ascii="宋体" w:hAnsi="宋体"/>
          <w:highlight w:val="none"/>
        </w:rPr>
      </w:pPr>
    </w:p>
    <w:p>
      <w:pPr>
        <w:ind w:right="-57" w:firstLine="0"/>
        <w:outlineLvl w:val="9"/>
        <w:rPr>
          <w:rFonts w:ascii="宋体" w:hAnsi="宋体"/>
          <w:highlight w:val="none"/>
        </w:rPr>
      </w:pPr>
    </w:p>
    <w:p>
      <w:pPr>
        <w:ind w:right="-57" w:firstLine="0"/>
        <w:outlineLvl w:val="9"/>
        <w:rPr>
          <w:rFonts w:ascii="宋体" w:hAnsi="宋体"/>
          <w:highlight w:val="none"/>
        </w:rPr>
      </w:pPr>
    </w:p>
    <w:p>
      <w:pPr>
        <w:pageBreakBefore/>
        <w:spacing w:after="120" w:afterLines="50" w:afterAutospacing="0"/>
        <w:ind w:left="1014" w:right="448" w:hanging="1014" w:hangingChars="338"/>
        <w:jc w:val="right"/>
        <w:rPr>
          <w:rFonts w:ascii="宋体" w:hAnsi="宋体"/>
          <w:color w:val="000000"/>
          <w:sz w:val="30"/>
          <w:szCs w:val="30"/>
          <w:highlight w:val="none"/>
        </w:rPr>
      </w:pPr>
    </w:p>
    <w:p>
      <w:pPr>
        <w:spacing w:after="120" w:afterLines="50"/>
        <w:ind w:right="448"/>
        <w:jc w:val="right"/>
        <w:rPr>
          <w:rFonts w:ascii="宋体" w:hAnsi="宋体"/>
          <w:color w:val="000000"/>
          <w:sz w:val="30"/>
          <w:szCs w:val="30"/>
          <w:highlight w:val="none"/>
        </w:rPr>
      </w:pPr>
      <w:r>
        <w:rPr>
          <w:rFonts w:hint="eastAsia" w:ascii="宋体" w:hAnsi="宋体"/>
          <w:color w:val="000000"/>
          <w:sz w:val="30"/>
          <w:szCs w:val="30"/>
          <w:highlight w:val="none"/>
        </w:rPr>
        <w:t>【</w:t>
      </w:r>
      <w:r>
        <w:rPr>
          <w:rFonts w:hint="eastAsia" w:ascii="宋体" w:hAnsi="宋体"/>
          <w:color w:val="FF0000"/>
          <w:sz w:val="30"/>
          <w:szCs w:val="30"/>
          <w:highlight w:val="none"/>
        </w:rPr>
        <w:t>×</w:t>
      </w:r>
      <w:r>
        <w:rPr>
          <w:rFonts w:hint="eastAsia" w:ascii="宋体" w:hAnsi="宋体"/>
          <w:color w:val="000000"/>
          <w:sz w:val="30"/>
          <w:szCs w:val="30"/>
          <w:highlight w:val="none"/>
        </w:rPr>
        <w:t>本】</w:t>
      </w:r>
    </w:p>
    <w:p>
      <w:pPr>
        <w:snapToGrid w:val="0"/>
        <w:spacing w:before="0" w:line="800" w:lineRule="exact"/>
        <w:ind w:left="1493" w:right="-28" w:hanging="1493" w:hangingChars="338"/>
        <w:jc w:val="center"/>
        <w:rPr>
          <w:rFonts w:ascii="楷体_GB2312" w:eastAsia="楷体_GB2312"/>
          <w:b/>
          <w:color w:val="000000"/>
          <w:sz w:val="44"/>
          <w:szCs w:val="44"/>
          <w:highlight w:val="none"/>
        </w:rPr>
      </w:pPr>
      <w:r>
        <w:rPr>
          <w:rFonts w:hint="eastAsia"/>
          <w:b/>
          <w:color w:val="FF0000"/>
          <w:sz w:val="44"/>
          <w:szCs w:val="44"/>
          <w:highlight w:val="none"/>
        </w:rPr>
        <w:t>××</w:t>
      </w:r>
      <w:r>
        <w:rPr>
          <w:rFonts w:hint="eastAsia"/>
          <w:b/>
          <w:color w:val="000000"/>
          <w:sz w:val="44"/>
          <w:szCs w:val="44"/>
          <w:highlight w:val="none"/>
        </w:rPr>
        <w:t>项目</w:t>
      </w:r>
    </w:p>
    <w:tbl>
      <w:tblPr>
        <w:tblStyle w:val="32"/>
        <w:tblW w:w="66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1" w:hRule="atLeast"/>
          <w:jc w:val="center"/>
        </w:trPr>
        <w:tc>
          <w:tcPr>
            <w:tcW w:w="1869" w:type="dxa"/>
          </w:tcPr>
          <w:p>
            <w:pPr>
              <w:spacing w:line="300" w:lineRule="exact"/>
              <w:jc w:val="center"/>
              <w:rPr>
                <w:rFonts w:ascii="宋体" w:hAnsi="宋体"/>
                <w:color w:val="000000"/>
                <w:sz w:val="28"/>
                <w:szCs w:val="30"/>
                <w:highlight w:val="none"/>
              </w:rPr>
            </w:pPr>
            <w:r>
              <w:rPr>
                <w:rFonts w:hint="eastAsia" w:ascii="宋体" w:hAnsi="宋体"/>
                <w:color w:val="000000"/>
                <w:sz w:val="28"/>
                <w:szCs w:val="30"/>
                <w:highlight w:val="none"/>
              </w:rPr>
              <w:t>项目编号：</w:t>
            </w:r>
          </w:p>
        </w:tc>
        <w:tc>
          <w:tcPr>
            <w:tcW w:w="4761" w:type="dxa"/>
          </w:tcPr>
          <w:p>
            <w:pPr>
              <w:spacing w:line="300" w:lineRule="exact"/>
              <w:jc w:val="left"/>
              <w:rPr>
                <w:rFonts w:ascii="宋体" w:hAnsi="宋体"/>
                <w:color w:val="000000"/>
                <w:sz w:val="28"/>
                <w:szCs w:val="3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000000"/>
                <w:sz w:val="28"/>
                <w:szCs w:val="30"/>
                <w:highlight w:val="none"/>
              </w:rPr>
            </w:pPr>
            <w:r>
              <w:rPr>
                <w:rFonts w:hint="eastAsia" w:ascii="宋体" w:hAnsi="宋体"/>
                <w:color w:val="000000"/>
                <w:sz w:val="28"/>
                <w:szCs w:val="30"/>
                <w:highlight w:val="none"/>
              </w:rPr>
              <w:t>合同编号：</w:t>
            </w:r>
          </w:p>
        </w:tc>
        <w:tc>
          <w:tcPr>
            <w:tcW w:w="4761" w:type="dxa"/>
          </w:tcPr>
          <w:p>
            <w:pPr>
              <w:spacing w:line="300" w:lineRule="exact"/>
              <w:jc w:val="left"/>
              <w:rPr>
                <w:rFonts w:ascii="宋体" w:hAnsi="宋体"/>
                <w:color w:val="000000"/>
                <w:sz w:val="28"/>
                <w:szCs w:val="30"/>
                <w:highlight w:val="none"/>
              </w:rPr>
            </w:pPr>
          </w:p>
        </w:tc>
      </w:tr>
    </w:tbl>
    <w:p>
      <w:pPr>
        <w:spacing w:line="800" w:lineRule="exact"/>
        <w:ind w:left="2443" w:right="-28" w:hanging="2443" w:hangingChars="338"/>
        <w:jc w:val="center"/>
        <w:rPr>
          <w:rFonts w:ascii="楷体_GB2312" w:eastAsia="楷体_GB2312"/>
          <w:b/>
          <w:color w:val="000000"/>
          <w:sz w:val="72"/>
          <w:szCs w:val="52"/>
          <w:highlight w:val="none"/>
        </w:rPr>
      </w:pPr>
      <w:r>
        <w:rPr>
          <w:rFonts w:hint="eastAsia"/>
          <w:b/>
          <w:color w:val="000000"/>
          <w:sz w:val="72"/>
          <w:szCs w:val="52"/>
          <w:highlight w:val="none"/>
        </w:rPr>
        <w:t>合</w:t>
      </w:r>
    </w:p>
    <w:p>
      <w:pPr>
        <w:spacing w:line="800" w:lineRule="exact"/>
        <w:ind w:left="2443" w:right="-28" w:hanging="2443" w:hangingChars="338"/>
        <w:jc w:val="center"/>
        <w:rPr>
          <w:rFonts w:ascii="宋体" w:hAnsi="宋体"/>
          <w:b/>
          <w:color w:val="000000"/>
          <w:sz w:val="72"/>
          <w:szCs w:val="52"/>
          <w:highlight w:val="none"/>
        </w:rPr>
      </w:pPr>
      <w:r>
        <w:rPr>
          <w:rFonts w:hint="eastAsia"/>
          <w:b/>
          <w:color w:val="000000"/>
          <w:sz w:val="72"/>
          <w:szCs w:val="52"/>
          <w:highlight w:val="none"/>
        </w:rPr>
        <w:t>同</w:t>
      </w:r>
    </w:p>
    <w:p>
      <w:pPr>
        <w:spacing w:line="800" w:lineRule="exact"/>
        <w:ind w:left="2443" w:right="-28" w:hanging="2443" w:hangingChars="338"/>
        <w:jc w:val="center"/>
        <w:rPr>
          <w:b/>
          <w:color w:val="000000"/>
          <w:sz w:val="72"/>
          <w:szCs w:val="52"/>
          <w:highlight w:val="none"/>
        </w:rPr>
      </w:pPr>
      <w:r>
        <w:rPr>
          <w:rFonts w:hint="eastAsia"/>
          <w:b/>
          <w:color w:val="000000"/>
          <w:sz w:val="72"/>
          <w:szCs w:val="52"/>
          <w:highlight w:val="none"/>
        </w:rPr>
        <w:t>书</w:t>
      </w:r>
    </w:p>
    <w:p>
      <w:pPr>
        <w:jc w:val="center"/>
        <w:rPr>
          <w:rFonts w:ascii="宋体" w:hAnsi="宋体"/>
          <w:b/>
          <w:color w:val="000000"/>
          <w:sz w:val="52"/>
          <w:highlight w:val="none"/>
        </w:rPr>
      </w:pPr>
      <w:r>
        <w:rPr>
          <w:rFonts w:hint="eastAsia" w:ascii="宋体" w:hAnsi="宋体"/>
          <w:b/>
          <w:color w:val="000000"/>
          <w:sz w:val="52"/>
          <w:highlight w:val="none"/>
        </w:rPr>
        <w:drawing>
          <wp:inline distT="0" distB="0" distL="0" distR="0">
            <wp:extent cx="1551940" cy="1725295"/>
            <wp:effectExtent l="0" t="0" r="10160" b="8255"/>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ascii="宋体" w:hAnsi="宋体"/>
          <w:b/>
          <w:color w:val="000000"/>
          <w:sz w:val="28"/>
          <w:szCs w:val="28"/>
          <w:highlight w:val="none"/>
        </w:rPr>
      </w:pPr>
      <w:r>
        <w:rPr>
          <w:rFonts w:hint="eastAsia" w:ascii="宋体" w:hAnsi="宋体"/>
          <w:b/>
          <w:color w:val="000000"/>
          <w:sz w:val="28"/>
          <w:szCs w:val="28"/>
          <w:highlight w:val="none"/>
        </w:rPr>
        <w:t>甲    方：</w:t>
      </w:r>
      <w:r>
        <w:rPr>
          <w:rFonts w:hint="eastAsia"/>
          <w:color w:val="000000"/>
          <w:sz w:val="28"/>
          <w:szCs w:val="28"/>
          <w:highlight w:val="none"/>
        </w:rPr>
        <w:t>南宁轨道交通</w:t>
      </w:r>
      <w:r>
        <w:rPr>
          <w:rFonts w:hint="eastAsia"/>
          <w:color w:val="000000"/>
          <w:sz w:val="28"/>
          <w:szCs w:val="28"/>
          <w:highlight w:val="none"/>
          <w:lang w:val="en-US" w:eastAsia="zh-CN"/>
        </w:rPr>
        <w:t>运营有限</w:t>
      </w:r>
      <w:r>
        <w:rPr>
          <w:rFonts w:hint="eastAsia"/>
          <w:color w:val="000000"/>
          <w:sz w:val="28"/>
          <w:szCs w:val="28"/>
          <w:highlight w:val="none"/>
        </w:rPr>
        <w:t>公司</w:t>
      </w:r>
    </w:p>
    <w:p>
      <w:pPr>
        <w:snapToGrid w:val="0"/>
        <w:spacing w:before="0" w:line="400" w:lineRule="exact"/>
        <w:ind w:firstLine="1405" w:firstLineChars="500"/>
        <w:rPr>
          <w:color w:val="000000"/>
          <w:sz w:val="28"/>
          <w:szCs w:val="28"/>
          <w:highlight w:val="none"/>
        </w:rPr>
      </w:pPr>
      <w:r>
        <w:rPr>
          <w:rFonts w:hint="eastAsia" w:ascii="宋体" w:hAnsi="宋体"/>
          <w:b/>
          <w:color w:val="000000"/>
          <w:sz w:val="28"/>
          <w:szCs w:val="28"/>
          <w:highlight w:val="none"/>
        </w:rPr>
        <w:t>乙    方：</w:t>
      </w:r>
      <w:r>
        <w:rPr>
          <w:color w:val="000000"/>
          <w:sz w:val="28"/>
          <w:szCs w:val="28"/>
          <w:highlight w:val="none"/>
        </w:rPr>
        <w:t xml:space="preserve"> </w:t>
      </w:r>
    </w:p>
    <w:p>
      <w:pPr>
        <w:snapToGrid w:val="0"/>
        <w:spacing w:before="0" w:line="400" w:lineRule="exact"/>
        <w:ind w:firstLine="1405" w:firstLineChars="500"/>
        <w:rPr>
          <w:rFonts w:ascii="宋体" w:hAnsi="宋体"/>
          <w:b/>
          <w:color w:val="000000"/>
          <w:sz w:val="28"/>
          <w:szCs w:val="28"/>
          <w:highlight w:val="none"/>
        </w:rPr>
      </w:pPr>
      <w:r>
        <w:rPr>
          <w:rFonts w:hint="eastAsia" w:ascii="宋体" w:hAnsi="宋体"/>
          <w:b/>
          <w:color w:val="000000"/>
          <w:sz w:val="28"/>
          <w:szCs w:val="28"/>
          <w:highlight w:val="none"/>
        </w:rPr>
        <w:t>签约日期：</w:t>
      </w:r>
      <w:r>
        <w:rPr>
          <w:rFonts w:hint="eastAsia" w:ascii="宋体" w:hAnsi="宋体"/>
          <w:b/>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b/>
          <w:bCs/>
          <w:color w:val="000000"/>
          <w:sz w:val="28"/>
          <w:szCs w:val="28"/>
          <w:highlight w:val="none"/>
          <w:u w:val="single"/>
        </w:rPr>
        <w:t xml:space="preserve">　 </w:t>
      </w:r>
      <w:r>
        <w:rPr>
          <w:rFonts w:hint="eastAsia" w:ascii="宋体" w:hAnsi="宋体"/>
          <w:color w:val="000000"/>
          <w:sz w:val="28"/>
          <w:szCs w:val="28"/>
          <w:highlight w:val="none"/>
          <w:u w:val="single"/>
        </w:rPr>
        <w:t>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snapToGrid w:val="0"/>
        <w:spacing w:before="0" w:line="400" w:lineRule="exact"/>
        <w:ind w:right="-86" w:rightChars="-41" w:firstLine="1405" w:firstLineChars="500"/>
        <w:rPr>
          <w:rFonts w:ascii="宋体" w:hAnsi="宋体"/>
          <w:b/>
          <w:bCs/>
          <w:sz w:val="28"/>
          <w:szCs w:val="28"/>
          <w:highlight w:val="none"/>
        </w:rPr>
      </w:pPr>
      <w:r>
        <w:rPr>
          <w:rFonts w:hint="eastAsia" w:ascii="宋体" w:hAnsi="宋体"/>
          <w:b/>
          <w:color w:val="000000"/>
          <w:sz w:val="28"/>
          <w:szCs w:val="28"/>
          <w:highlight w:val="none"/>
        </w:rPr>
        <w:t>签约</w:t>
      </w:r>
      <w:r>
        <w:rPr>
          <w:rFonts w:hint="eastAsia" w:ascii="宋体" w:hAnsi="宋体"/>
          <w:b/>
          <w:bCs/>
          <w:color w:val="000000"/>
          <w:sz w:val="28"/>
          <w:szCs w:val="28"/>
          <w:highlight w:val="none"/>
        </w:rPr>
        <w:t>地点：</w:t>
      </w:r>
      <w:r>
        <w:rPr>
          <w:rFonts w:ascii="宋体" w:hAnsi="宋体"/>
          <w:b/>
          <w:color w:val="000000"/>
          <w:sz w:val="28"/>
          <w:szCs w:val="28"/>
          <w:highlight w:val="none"/>
        </w:rPr>
        <w:t xml:space="preserve"> </w:t>
      </w:r>
      <w:r>
        <w:rPr>
          <w:rFonts w:hint="eastAsia" w:ascii="宋体" w:hAnsi="宋体"/>
          <w:color w:val="000000"/>
          <w:sz w:val="28"/>
          <w:szCs w:val="28"/>
          <w:highlight w:val="none"/>
        </w:rPr>
        <w:t>广西壮族自治区南宁市</w:t>
      </w:r>
      <w:bookmarkStart w:id="1101" w:name="_Toc369787000"/>
      <w:bookmarkEnd w:id="1101"/>
    </w:p>
    <w:p>
      <w:pPr>
        <w:pStyle w:val="26"/>
        <w:tabs>
          <w:tab w:val="right" w:leader="dot" w:pos="9069"/>
        </w:tabs>
        <w:snapToGrid w:val="0"/>
        <w:spacing w:line="240" w:lineRule="auto"/>
        <w:jc w:val="center"/>
        <w:rPr>
          <w:rFonts w:ascii="宋体" w:hAnsi="宋体"/>
          <w:b/>
          <w:bCs/>
          <w:sz w:val="28"/>
          <w:szCs w:val="28"/>
          <w:highlight w:val="none"/>
        </w:rPr>
      </w:pPr>
    </w:p>
    <w:p>
      <w:pPr>
        <w:pStyle w:val="26"/>
        <w:pageBreakBefore/>
        <w:tabs>
          <w:tab w:val="right" w:leader="dot" w:pos="9069"/>
        </w:tabs>
        <w:snapToGrid w:val="0"/>
        <w:spacing w:line="240" w:lineRule="auto"/>
        <w:ind w:right="-28"/>
        <w:jc w:val="center"/>
        <w:rPr>
          <w:rFonts w:ascii="宋体" w:hAnsi="宋体"/>
          <w:b/>
          <w:bCs/>
          <w:sz w:val="28"/>
          <w:szCs w:val="28"/>
          <w:highlight w:val="none"/>
        </w:rPr>
      </w:pPr>
      <w:r>
        <w:rPr>
          <w:rFonts w:hint="eastAsia" w:ascii="宋体" w:hAnsi="宋体"/>
          <w:b/>
          <w:bCs/>
          <w:sz w:val="28"/>
          <w:szCs w:val="28"/>
          <w:highlight w:val="none"/>
        </w:rPr>
        <w:t>合同目录</w:t>
      </w:r>
    </w:p>
    <w:sdt>
      <w:sdtPr>
        <w:rPr>
          <w:rFonts w:ascii="宋体" w:hAnsi="宋体" w:eastAsia="宋体" w:cs="Times New Roman"/>
          <w:sz w:val="21"/>
          <w:szCs w:val="21"/>
          <w:highlight w:val="none"/>
          <w:lang w:val="en-US" w:eastAsia="zh-CN" w:bidi="ar-SA"/>
        </w:rPr>
        <w:id w:val="147467810"/>
        <w:docPartObj>
          <w:docPartGallery w:val="Table of Contents"/>
          <w:docPartUnique/>
        </w:docPartObj>
      </w:sdtPr>
      <w:sdtEndPr>
        <w:rPr>
          <w:rFonts w:asciiTheme="minorHAnsi" w:hAnsiTheme="minorHAnsi" w:eastAsiaTheme="minorEastAsia" w:cstheme="minorBidi"/>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bookmarkStart w:id="1102" w:name="_Toc20006_WPSOffice_Type2"/>
        </w:p>
        <w:p>
          <w:pPr>
            <w:pStyle w:val="57"/>
            <w:tabs>
              <w:tab w:val="right" w:leader="dot" w:pos="9071"/>
            </w:tabs>
            <w:rPr>
              <w:highlight w:val="none"/>
            </w:rPr>
          </w:pPr>
          <w:r>
            <w:rPr>
              <w:b/>
              <w:bCs/>
              <w:highlight w:val="none"/>
            </w:rPr>
            <w:fldChar w:fldCharType="begin"/>
          </w:r>
          <w:r>
            <w:rPr>
              <w:highlight w:val="none"/>
            </w:rPr>
            <w:instrText xml:space="preserve"> HYPERLINK \l _Toc2231_WPSOffice_Level1 </w:instrText>
          </w:r>
          <w:r>
            <w:rPr>
              <w:b/>
              <w:bCs/>
              <w:highlight w:val="none"/>
            </w:rPr>
            <w:fldChar w:fldCharType="separate"/>
          </w:r>
          <w:sdt>
            <w:sdtPr>
              <w:rPr>
                <w:rFonts w:ascii="Times New Roman" w:hAnsi="Times New Roman" w:eastAsia="宋体" w:cs="Times New Roman"/>
                <w:b/>
                <w:bCs/>
                <w:sz w:val="21"/>
                <w:szCs w:val="21"/>
                <w:highlight w:val="none"/>
                <w:lang w:val="en-US" w:eastAsia="zh-CN" w:bidi="ar-SA"/>
              </w:rPr>
              <w:id w:val="147467810"/>
              <w:placeholder>
                <w:docPart w:val="{9ec31771-5e67-4727-907a-55ddad096f30}"/>
              </w:placeholder>
            </w:sdtPr>
            <w:sdtEndPr>
              <w:rPr>
                <w:rFonts w:ascii="Times New Roman" w:hAnsi="Times New Roman" w:eastAsia="宋体" w:cs="Times New Roman"/>
                <w:b/>
                <w:bCs/>
                <w:sz w:val="21"/>
                <w:szCs w:val="21"/>
                <w:highlight w:val="none"/>
                <w:lang w:val="en-US" w:eastAsia="zh-CN" w:bidi="ar-SA"/>
              </w:rPr>
            </w:sdtEndPr>
            <w:sdtContent>
              <w:r>
                <w:rPr>
                  <w:rFonts w:hint="eastAsia" w:ascii="宋体" w:hAnsi="宋体" w:eastAsia="宋体" w:cs="Times New Roman"/>
                  <w:b/>
                  <w:bCs/>
                  <w:highlight w:val="none"/>
                </w:rPr>
                <w:t>第一部分 合同协议书</w:t>
              </w:r>
            </w:sdtContent>
          </w:sdt>
          <w:r>
            <w:rPr>
              <w:b/>
              <w:bCs/>
              <w:highlight w:val="none"/>
            </w:rPr>
            <w:tab/>
          </w:r>
          <w:bookmarkStart w:id="1103" w:name="_Toc2231_WPSOffice_Level1Page"/>
          <w:r>
            <w:rPr>
              <w:b/>
              <w:bCs/>
              <w:highlight w:val="none"/>
            </w:rPr>
            <w:t>23</w:t>
          </w:r>
          <w:bookmarkEnd w:id="1103"/>
          <w:r>
            <w:rPr>
              <w:b/>
              <w:bCs/>
              <w:highlight w:val="none"/>
            </w:rPr>
            <w:fldChar w:fldCharType="end"/>
          </w:r>
        </w:p>
        <w:p>
          <w:pPr>
            <w:pStyle w:val="57"/>
            <w:tabs>
              <w:tab w:val="right" w:leader="dot" w:pos="9071"/>
            </w:tabs>
            <w:rPr>
              <w:highlight w:val="none"/>
            </w:rPr>
          </w:pPr>
          <w:r>
            <w:rPr>
              <w:b/>
              <w:bCs/>
              <w:highlight w:val="none"/>
            </w:rPr>
            <w:fldChar w:fldCharType="begin"/>
          </w:r>
          <w:r>
            <w:rPr>
              <w:highlight w:val="none"/>
            </w:rPr>
            <w:instrText xml:space="preserve"> HYPERLINK \l _Toc20006_WPSOffice_Level1 </w:instrText>
          </w:r>
          <w:r>
            <w:rPr>
              <w:b/>
              <w:bCs/>
              <w:highlight w:val="none"/>
            </w:rPr>
            <w:fldChar w:fldCharType="separate"/>
          </w:r>
          <w:sdt>
            <w:sdtPr>
              <w:rPr>
                <w:rFonts w:ascii="Times New Roman" w:hAnsi="Times New Roman" w:eastAsia="宋体" w:cs="Times New Roman"/>
                <w:b/>
                <w:bCs/>
                <w:sz w:val="21"/>
                <w:szCs w:val="21"/>
                <w:highlight w:val="none"/>
                <w:lang w:val="en-US" w:eastAsia="zh-CN" w:bidi="ar-SA"/>
              </w:rPr>
              <w:id w:val="147467810"/>
              <w:placeholder>
                <w:docPart w:val="{d162821d-6364-4c37-9f2b-c54c743259cd}"/>
              </w:placeholder>
            </w:sdtPr>
            <w:sdtEndPr>
              <w:rPr>
                <w:rFonts w:ascii="Times New Roman" w:hAnsi="Times New Roman" w:eastAsia="宋体" w:cs="Times New Roman"/>
                <w:b/>
                <w:bCs/>
                <w:sz w:val="21"/>
                <w:szCs w:val="21"/>
                <w:highlight w:val="none"/>
                <w:lang w:val="en-US" w:eastAsia="zh-CN" w:bidi="ar-SA"/>
              </w:rPr>
            </w:sdtEndPr>
            <w:sdtContent>
              <w:r>
                <w:rPr>
                  <w:rFonts w:ascii="Times New Roman" w:hAnsi="Times New Roman" w:eastAsia="宋体" w:cs="Times New Roman"/>
                  <w:b/>
                  <w:bCs/>
                  <w:highlight w:val="none"/>
                </w:rPr>
                <w:t>第二部分</w:t>
              </w:r>
              <w:r>
                <w:rPr>
                  <w:rFonts w:hint="eastAsia" w:ascii="Times New Roman" w:hAnsi="Times New Roman" w:eastAsia="宋体" w:cs="Times New Roman"/>
                  <w:b/>
                  <w:bCs/>
                  <w:highlight w:val="none"/>
                </w:rPr>
                <w:t xml:space="preserve"> 中选通知书</w:t>
              </w:r>
            </w:sdtContent>
          </w:sdt>
          <w:r>
            <w:rPr>
              <w:b/>
              <w:bCs/>
              <w:highlight w:val="none"/>
            </w:rPr>
            <w:tab/>
          </w:r>
          <w:bookmarkStart w:id="1104" w:name="_Toc20006_WPSOffice_Level1Page"/>
          <w:r>
            <w:rPr>
              <w:b/>
              <w:bCs/>
              <w:highlight w:val="none"/>
            </w:rPr>
            <w:t>26</w:t>
          </w:r>
          <w:bookmarkEnd w:id="1104"/>
          <w:r>
            <w:rPr>
              <w:b/>
              <w:bCs/>
              <w:highlight w:val="none"/>
            </w:rPr>
            <w:fldChar w:fldCharType="end"/>
          </w:r>
        </w:p>
        <w:p>
          <w:pPr>
            <w:pStyle w:val="57"/>
            <w:tabs>
              <w:tab w:val="right" w:leader="dot" w:pos="9071"/>
            </w:tabs>
            <w:rPr>
              <w:highlight w:val="none"/>
            </w:rPr>
          </w:pPr>
          <w:r>
            <w:rPr>
              <w:b/>
              <w:bCs/>
              <w:highlight w:val="none"/>
            </w:rPr>
            <w:fldChar w:fldCharType="begin"/>
          </w:r>
          <w:r>
            <w:rPr>
              <w:highlight w:val="none"/>
            </w:rPr>
            <w:instrText xml:space="preserve"> HYPERLINK \l _Toc28765_WPSOffice_Level1 </w:instrText>
          </w:r>
          <w:r>
            <w:rPr>
              <w:b/>
              <w:bCs/>
              <w:highlight w:val="none"/>
            </w:rPr>
            <w:fldChar w:fldCharType="separate"/>
          </w:r>
          <w:sdt>
            <w:sdtPr>
              <w:rPr>
                <w:rFonts w:ascii="Times New Roman" w:hAnsi="Times New Roman" w:eastAsia="宋体" w:cs="Times New Roman"/>
                <w:b/>
                <w:bCs/>
                <w:sz w:val="21"/>
                <w:szCs w:val="21"/>
                <w:highlight w:val="none"/>
                <w:lang w:val="en-US" w:eastAsia="zh-CN" w:bidi="ar-SA"/>
              </w:rPr>
              <w:id w:val="147467810"/>
              <w:placeholder>
                <w:docPart w:val="{57e9a9ae-cc93-4d88-a2c2-3bb74606afdf}"/>
              </w:placeholder>
            </w:sdtPr>
            <w:sdtEndPr>
              <w:rPr>
                <w:rFonts w:ascii="Times New Roman" w:hAnsi="Times New Roman" w:eastAsia="宋体" w:cs="Times New Roman"/>
                <w:b/>
                <w:bCs/>
                <w:sz w:val="21"/>
                <w:szCs w:val="21"/>
                <w:highlight w:val="none"/>
                <w:lang w:val="en-US" w:eastAsia="zh-CN" w:bidi="ar-SA"/>
              </w:rPr>
            </w:sdtEndPr>
            <w:sdtContent>
              <w:r>
                <w:rPr>
                  <w:rFonts w:ascii="Times New Roman" w:hAnsi="Times New Roman" w:eastAsia="宋体" w:cs="Times New Roman"/>
                  <w:b/>
                  <w:bCs/>
                  <w:highlight w:val="none"/>
                </w:rPr>
                <w:t>第</w:t>
              </w:r>
              <w:r>
                <w:rPr>
                  <w:rFonts w:hint="eastAsia" w:ascii="Times New Roman" w:hAnsi="Times New Roman" w:eastAsia="宋体" w:cs="Times New Roman"/>
                  <w:b/>
                  <w:bCs/>
                  <w:highlight w:val="none"/>
                </w:rPr>
                <w:t>三</w:t>
              </w:r>
              <w:r>
                <w:rPr>
                  <w:rFonts w:ascii="Times New Roman" w:hAnsi="Times New Roman" w:eastAsia="宋体" w:cs="Times New Roman"/>
                  <w:b/>
                  <w:bCs/>
                  <w:highlight w:val="none"/>
                </w:rPr>
                <w:t>部分</w:t>
              </w:r>
              <w:r>
                <w:rPr>
                  <w:rFonts w:hint="eastAsia" w:ascii="Times New Roman" w:hAnsi="Times New Roman" w:eastAsia="宋体" w:cs="Times New Roman"/>
                  <w:b/>
                  <w:bCs/>
                  <w:highlight w:val="none"/>
                </w:rPr>
                <w:t xml:space="preserve"> 价格组成文件</w:t>
              </w:r>
            </w:sdtContent>
          </w:sdt>
          <w:r>
            <w:rPr>
              <w:b/>
              <w:bCs/>
              <w:highlight w:val="none"/>
            </w:rPr>
            <w:tab/>
          </w:r>
          <w:bookmarkStart w:id="1105" w:name="_Toc28765_WPSOffice_Level1Page"/>
          <w:r>
            <w:rPr>
              <w:b/>
              <w:bCs/>
              <w:highlight w:val="none"/>
            </w:rPr>
            <w:t>27</w:t>
          </w:r>
          <w:bookmarkEnd w:id="1105"/>
          <w:r>
            <w:rPr>
              <w:b/>
              <w:bCs/>
              <w:highlight w:val="none"/>
            </w:rPr>
            <w:fldChar w:fldCharType="end"/>
          </w:r>
        </w:p>
        <w:p>
          <w:pPr>
            <w:pStyle w:val="57"/>
            <w:tabs>
              <w:tab w:val="right" w:leader="dot" w:pos="9071"/>
            </w:tabs>
            <w:rPr>
              <w:highlight w:val="none"/>
            </w:rPr>
          </w:pPr>
          <w:r>
            <w:rPr>
              <w:b/>
              <w:bCs/>
              <w:highlight w:val="none"/>
            </w:rPr>
            <w:fldChar w:fldCharType="begin"/>
          </w:r>
          <w:r>
            <w:rPr>
              <w:highlight w:val="none"/>
            </w:rPr>
            <w:instrText xml:space="preserve"> HYPERLINK \l _Toc11956_WPSOffice_Level1 </w:instrText>
          </w:r>
          <w:r>
            <w:rPr>
              <w:b/>
              <w:bCs/>
              <w:highlight w:val="none"/>
            </w:rPr>
            <w:fldChar w:fldCharType="separate"/>
          </w:r>
          <w:sdt>
            <w:sdtPr>
              <w:rPr>
                <w:rFonts w:ascii="Times New Roman" w:hAnsi="Times New Roman" w:eastAsia="宋体" w:cs="Times New Roman"/>
                <w:b/>
                <w:bCs/>
                <w:sz w:val="21"/>
                <w:szCs w:val="21"/>
                <w:highlight w:val="none"/>
                <w:lang w:val="en-US" w:eastAsia="zh-CN" w:bidi="ar-SA"/>
              </w:rPr>
              <w:id w:val="147467810"/>
              <w:placeholder>
                <w:docPart w:val="{b25c4830-a4ae-47f6-a6f5-f157f87c3080}"/>
              </w:placeholder>
            </w:sdtPr>
            <w:sdtEndPr>
              <w:rPr>
                <w:rFonts w:ascii="Times New Roman" w:hAnsi="Times New Roman" w:eastAsia="宋体" w:cs="Times New Roman"/>
                <w:b/>
                <w:bCs/>
                <w:sz w:val="21"/>
                <w:szCs w:val="21"/>
                <w:highlight w:val="none"/>
                <w:lang w:val="en-US" w:eastAsia="zh-CN" w:bidi="ar-SA"/>
              </w:rPr>
            </w:sdtEndPr>
            <w:sdtContent>
              <w:r>
                <w:rPr>
                  <w:rFonts w:hint="eastAsia" w:ascii="宋体" w:hAnsi="宋体" w:eastAsia="宋体" w:cs="Times New Roman"/>
                  <w:b/>
                  <w:bCs/>
                  <w:highlight w:val="none"/>
                </w:rPr>
                <w:t>第四部分 合同条款</w:t>
              </w:r>
            </w:sdtContent>
          </w:sdt>
          <w:r>
            <w:rPr>
              <w:b/>
              <w:bCs/>
              <w:highlight w:val="none"/>
            </w:rPr>
            <w:tab/>
          </w:r>
          <w:bookmarkStart w:id="1106" w:name="_Toc11956_WPSOffice_Level1Page"/>
          <w:r>
            <w:rPr>
              <w:b/>
              <w:bCs/>
              <w:highlight w:val="none"/>
            </w:rPr>
            <w:t>30</w:t>
          </w:r>
          <w:bookmarkEnd w:id="1106"/>
          <w:r>
            <w:rPr>
              <w:b/>
              <w:bCs/>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_Toc30060_WPSOffice_Level2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256bca0e-cb8f-45d5-b4b8-cacd8bb6d78c}"/>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1.定义及解释</w:t>
              </w:r>
            </w:sdtContent>
          </w:sdt>
          <w:r>
            <w:rPr>
              <w:highlight w:val="none"/>
            </w:rPr>
            <w:tab/>
          </w:r>
          <w:bookmarkStart w:id="1107" w:name="_Toc30060_WPSOffice_Level2Page"/>
          <w:r>
            <w:rPr>
              <w:highlight w:val="none"/>
            </w:rPr>
            <w:t>30</w:t>
          </w:r>
          <w:bookmarkEnd w:id="1107"/>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_Toc19653_WPSOffice_Level2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8a71aceb-d14a-4cfe-b242-1f477a8d60af}"/>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2.适用性</w:t>
              </w:r>
            </w:sdtContent>
          </w:sdt>
          <w:r>
            <w:rPr>
              <w:highlight w:val="none"/>
            </w:rPr>
            <w:tab/>
          </w:r>
          <w:bookmarkStart w:id="1108" w:name="_Toc19653_WPSOffice_Level2Page"/>
          <w:r>
            <w:rPr>
              <w:highlight w:val="none"/>
            </w:rPr>
            <w:t>31</w:t>
          </w:r>
          <w:bookmarkEnd w:id="1108"/>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_Toc22843_WPSOffice_Level2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f4b54b67-0f29-4b97-8fbe-1bc5dfc51f01}"/>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3.来源地</w:t>
              </w:r>
            </w:sdtContent>
          </w:sdt>
          <w:r>
            <w:rPr>
              <w:highlight w:val="none"/>
            </w:rPr>
            <w:tab/>
          </w:r>
          <w:bookmarkStart w:id="1109" w:name="_Toc22843_WPSOffice_Level2Page"/>
          <w:r>
            <w:rPr>
              <w:highlight w:val="none"/>
            </w:rPr>
            <w:t>31</w:t>
          </w:r>
          <w:bookmarkEnd w:id="1109"/>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_Toc18443_WPSOffice_Level2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075b7fcd-ed0b-4ac1-8cac-7ca479ed4932}"/>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4.标准</w:t>
              </w:r>
            </w:sdtContent>
          </w:sdt>
          <w:r>
            <w:rPr>
              <w:highlight w:val="none"/>
            </w:rPr>
            <w:tab/>
          </w:r>
          <w:bookmarkStart w:id="1110" w:name="_Toc18443_WPSOffice_Level2Page"/>
          <w:r>
            <w:rPr>
              <w:highlight w:val="none"/>
            </w:rPr>
            <w:t>32</w:t>
          </w:r>
          <w:bookmarkEnd w:id="1110"/>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_Toc7155_WPSOffice_Level2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232ca6f8-952f-49a8-9cdf-1c05f12ee75f}"/>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5.合同文件、资料及使用</w:t>
              </w:r>
            </w:sdtContent>
          </w:sdt>
          <w:r>
            <w:rPr>
              <w:highlight w:val="none"/>
            </w:rPr>
            <w:tab/>
          </w:r>
          <w:bookmarkStart w:id="1111" w:name="_Toc7155_WPSOffice_Level2Page"/>
          <w:r>
            <w:rPr>
              <w:highlight w:val="none"/>
            </w:rPr>
            <w:t>32</w:t>
          </w:r>
          <w:bookmarkEnd w:id="1111"/>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_Toc26722_WPSOffice_Level2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7ed5e59f-21ce-496c-a47f-3e762a1eae64}"/>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6.知识产权</w:t>
              </w:r>
            </w:sdtContent>
          </w:sdt>
          <w:r>
            <w:rPr>
              <w:highlight w:val="none"/>
            </w:rPr>
            <w:tab/>
          </w:r>
          <w:bookmarkStart w:id="1112" w:name="_Toc26722_WPSOffice_Level2Page"/>
          <w:r>
            <w:rPr>
              <w:highlight w:val="none"/>
            </w:rPr>
            <w:t>32</w:t>
          </w:r>
          <w:bookmarkEnd w:id="1112"/>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_Toc28434_WPSOffice_Level2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5eb1953e-c125-4a10-a379-9d428b38b50a}"/>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7.价格</w:t>
              </w:r>
            </w:sdtContent>
          </w:sdt>
          <w:r>
            <w:rPr>
              <w:highlight w:val="none"/>
            </w:rPr>
            <w:tab/>
          </w:r>
          <w:bookmarkStart w:id="1113" w:name="_Toc28434_WPSOffice_Level2Page"/>
          <w:r>
            <w:rPr>
              <w:highlight w:val="none"/>
            </w:rPr>
            <w:t>33</w:t>
          </w:r>
          <w:bookmarkEnd w:id="1113"/>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_Toc2492_WPSOffice_Level2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062d5ecb-0c6e-4693-b0ab-89f7b09baa79}"/>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8.合同有效期</w:t>
              </w:r>
            </w:sdtContent>
          </w:sdt>
          <w:r>
            <w:rPr>
              <w:highlight w:val="none"/>
            </w:rPr>
            <w:tab/>
          </w:r>
          <w:bookmarkStart w:id="1114" w:name="_Toc2492_WPSOffice_Level2Page"/>
          <w:r>
            <w:rPr>
              <w:highlight w:val="none"/>
            </w:rPr>
            <w:t>33</w:t>
          </w:r>
          <w:bookmarkEnd w:id="1114"/>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_Toc5504_WPSOffice_Level2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1cf63266-ffa6-45da-8443-94e3fcb1fab2}"/>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9.付款</w:t>
              </w:r>
            </w:sdtContent>
          </w:sdt>
          <w:r>
            <w:rPr>
              <w:highlight w:val="none"/>
            </w:rPr>
            <w:tab/>
          </w:r>
          <w:bookmarkStart w:id="1115" w:name="_Toc5504_WPSOffice_Level2Page"/>
          <w:r>
            <w:rPr>
              <w:highlight w:val="none"/>
            </w:rPr>
            <w:t>33</w:t>
          </w:r>
          <w:bookmarkEnd w:id="1115"/>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_Toc26391_WPSOffice_Level2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ea7d7d0a-1422-42ce-a801-5bf75ce0dc83}"/>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10.履约担保</w:t>
              </w:r>
            </w:sdtContent>
          </w:sdt>
          <w:r>
            <w:rPr>
              <w:highlight w:val="none"/>
            </w:rPr>
            <w:tab/>
          </w:r>
          <w:bookmarkStart w:id="1116" w:name="_Toc26391_WPSOffice_Level2Page"/>
          <w:r>
            <w:rPr>
              <w:highlight w:val="none"/>
            </w:rPr>
            <w:t>34</w:t>
          </w:r>
          <w:bookmarkEnd w:id="1116"/>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_Toc15131_WPSOffice_Level2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733eeadc-6d61-45a7-80fb-4f95234f9836}"/>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11.检验</w:t>
              </w:r>
            </w:sdtContent>
          </w:sdt>
          <w:r>
            <w:rPr>
              <w:highlight w:val="none"/>
            </w:rPr>
            <w:tab/>
          </w:r>
          <w:bookmarkStart w:id="1117" w:name="_Toc15131_WPSOffice_Level2Page"/>
          <w:r>
            <w:rPr>
              <w:highlight w:val="none"/>
            </w:rPr>
            <w:t>35</w:t>
          </w:r>
          <w:bookmarkEnd w:id="1117"/>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_Toc11883_WPSOffice_Level2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9275e379-518a-4851-a345-adad2ae37a17}"/>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Arial"/>
                  <w:highlight w:val="none"/>
                </w:rPr>
                <w:t>1</w:t>
              </w:r>
              <w:r>
                <w:rPr>
                  <w:rFonts w:hint="eastAsia" w:ascii="宋体" w:hAnsi="宋体" w:eastAsia="宋体" w:cs="Times New Roman"/>
                  <w:highlight w:val="none"/>
                </w:rPr>
                <w:t>2.包装</w:t>
              </w:r>
            </w:sdtContent>
          </w:sdt>
          <w:r>
            <w:rPr>
              <w:highlight w:val="none"/>
            </w:rPr>
            <w:tab/>
          </w:r>
          <w:bookmarkStart w:id="1118" w:name="_Toc11883_WPSOffice_Level2Page"/>
          <w:r>
            <w:rPr>
              <w:highlight w:val="none"/>
            </w:rPr>
            <w:t>35</w:t>
          </w:r>
          <w:bookmarkEnd w:id="1118"/>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_Toc26965_WPSOffice_Level2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2ab8a895-8e79-4650-aa14-4e3088a2ca9b}"/>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13.交货和单据</w:t>
              </w:r>
            </w:sdtContent>
          </w:sdt>
          <w:r>
            <w:rPr>
              <w:highlight w:val="none"/>
            </w:rPr>
            <w:tab/>
          </w:r>
          <w:bookmarkStart w:id="1119" w:name="_Toc26965_WPSOffice_Level2Page"/>
          <w:r>
            <w:rPr>
              <w:highlight w:val="none"/>
            </w:rPr>
            <w:t>36</w:t>
          </w:r>
          <w:bookmarkEnd w:id="1119"/>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_Toc4402_WPSOffice_Level2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638092f2-9ce3-47ed-b7fd-0a9cdff455a8}"/>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14.所有权与风险转移</w:t>
              </w:r>
            </w:sdtContent>
          </w:sdt>
          <w:r>
            <w:rPr>
              <w:highlight w:val="none"/>
            </w:rPr>
            <w:tab/>
          </w:r>
          <w:bookmarkStart w:id="1120" w:name="_Toc4402_WPSOffice_Level2Page"/>
          <w:r>
            <w:rPr>
              <w:highlight w:val="none"/>
            </w:rPr>
            <w:t>36</w:t>
          </w:r>
          <w:bookmarkEnd w:id="1120"/>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_Toc2616_WPSOffice_Level2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bc49a609-ac76-4c77-b806-e4f9053a42c2}"/>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15.运输</w:t>
              </w:r>
            </w:sdtContent>
          </w:sdt>
          <w:r>
            <w:rPr>
              <w:highlight w:val="none"/>
            </w:rPr>
            <w:tab/>
          </w:r>
          <w:bookmarkStart w:id="1121" w:name="_Toc2616_WPSOffice_Level2Page"/>
          <w:r>
            <w:rPr>
              <w:highlight w:val="none"/>
            </w:rPr>
            <w:t>37</w:t>
          </w:r>
          <w:bookmarkEnd w:id="1121"/>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_Toc7681_WPSOffice_Level2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1ecb6940-e185-4fe6-b301-41c10052c6c1}"/>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16.服务</w:t>
              </w:r>
            </w:sdtContent>
          </w:sdt>
          <w:r>
            <w:rPr>
              <w:highlight w:val="none"/>
            </w:rPr>
            <w:tab/>
          </w:r>
          <w:bookmarkStart w:id="1122" w:name="_Toc7681_WPSOffice_Level2Page"/>
          <w:r>
            <w:rPr>
              <w:highlight w:val="none"/>
            </w:rPr>
            <w:t>37</w:t>
          </w:r>
          <w:bookmarkEnd w:id="1122"/>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_Toc13319_WPSOffice_Level2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cf25de13-22c6-4ca6-95b1-84de5e998e99}"/>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17.保证</w:t>
              </w:r>
            </w:sdtContent>
          </w:sdt>
          <w:r>
            <w:rPr>
              <w:highlight w:val="none"/>
            </w:rPr>
            <w:tab/>
          </w:r>
          <w:bookmarkStart w:id="1123" w:name="_Toc13319_WPSOffice_Level2Page"/>
          <w:r>
            <w:rPr>
              <w:highlight w:val="none"/>
            </w:rPr>
            <w:t>37</w:t>
          </w:r>
          <w:bookmarkEnd w:id="1123"/>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_Toc21508_WPSOffice_Level2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50b93cc4-7441-42b5-b658-e7b861dfb4a6}"/>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18.合同变更与修改</w:t>
              </w:r>
            </w:sdtContent>
          </w:sdt>
          <w:r>
            <w:rPr>
              <w:highlight w:val="none"/>
            </w:rPr>
            <w:tab/>
          </w:r>
          <w:bookmarkStart w:id="1124" w:name="_Toc21508_WPSOffice_Level2Page"/>
          <w:r>
            <w:rPr>
              <w:highlight w:val="none"/>
            </w:rPr>
            <w:t>38</w:t>
          </w:r>
          <w:bookmarkEnd w:id="1124"/>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_Toc2893_WPSOffice_Level2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881339a3-2802-4411-981c-dd1a45bc586f}"/>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19.转让、分包和中止</w:t>
              </w:r>
            </w:sdtContent>
          </w:sdt>
          <w:r>
            <w:rPr>
              <w:highlight w:val="none"/>
            </w:rPr>
            <w:tab/>
          </w:r>
          <w:bookmarkStart w:id="1125" w:name="_Toc2893_WPSOffice_Level2Page"/>
          <w:r>
            <w:rPr>
              <w:highlight w:val="none"/>
            </w:rPr>
            <w:t>40</w:t>
          </w:r>
          <w:bookmarkEnd w:id="1125"/>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_Toc10088_WPSOffice_Level2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aa57aafe-6ff7-4473-9689-50e8eed158d0}"/>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20.不可抗力</w:t>
              </w:r>
            </w:sdtContent>
          </w:sdt>
          <w:r>
            <w:rPr>
              <w:highlight w:val="none"/>
            </w:rPr>
            <w:tab/>
          </w:r>
          <w:bookmarkStart w:id="1126" w:name="_Toc10088_WPSOffice_Level2Page"/>
          <w:r>
            <w:rPr>
              <w:highlight w:val="none"/>
            </w:rPr>
            <w:t>40</w:t>
          </w:r>
          <w:bookmarkEnd w:id="1126"/>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_Toc13861_WPSOffice_Level2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f000e6ab-29f8-4c9f-a756-00365b0ed0ab}"/>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21.乙方履约展期</w:t>
              </w:r>
            </w:sdtContent>
          </w:sdt>
          <w:r>
            <w:rPr>
              <w:highlight w:val="none"/>
            </w:rPr>
            <w:tab/>
          </w:r>
          <w:bookmarkStart w:id="1127" w:name="_Toc13861_WPSOffice_Level2Page"/>
          <w:r>
            <w:rPr>
              <w:highlight w:val="none"/>
            </w:rPr>
            <w:t>40</w:t>
          </w:r>
          <w:bookmarkEnd w:id="1127"/>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_Toc9712_WPSOffice_Level2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29c90874-0176-43df-ab41-a16922c7ef85}"/>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22.通知</w:t>
              </w:r>
            </w:sdtContent>
          </w:sdt>
          <w:r>
            <w:rPr>
              <w:highlight w:val="none"/>
            </w:rPr>
            <w:tab/>
          </w:r>
          <w:bookmarkStart w:id="1128" w:name="_Toc9712_WPSOffice_Level2Page"/>
          <w:r>
            <w:rPr>
              <w:highlight w:val="none"/>
            </w:rPr>
            <w:t>41</w:t>
          </w:r>
          <w:bookmarkEnd w:id="1128"/>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_Toc29436_WPSOffice_Level2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a608eccd-da68-4f4e-b5ba-338cd65e44ae}"/>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23.合同标的</w:t>
              </w:r>
            </w:sdtContent>
          </w:sdt>
          <w:r>
            <w:rPr>
              <w:highlight w:val="none"/>
            </w:rPr>
            <w:tab/>
          </w:r>
          <w:bookmarkStart w:id="1129" w:name="_Toc29436_WPSOffice_Level2Page"/>
          <w:r>
            <w:rPr>
              <w:highlight w:val="none"/>
            </w:rPr>
            <w:t>41</w:t>
          </w:r>
          <w:bookmarkEnd w:id="1129"/>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_Toc9539_WPSOffice_Level2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0a648429-9ebd-439c-923c-f15455546159}"/>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24.验收要求</w:t>
              </w:r>
            </w:sdtContent>
          </w:sdt>
          <w:r>
            <w:rPr>
              <w:highlight w:val="none"/>
            </w:rPr>
            <w:tab/>
          </w:r>
          <w:bookmarkStart w:id="1130" w:name="_Toc9539_WPSOffice_Level2Page"/>
          <w:r>
            <w:rPr>
              <w:highlight w:val="none"/>
            </w:rPr>
            <w:t>41</w:t>
          </w:r>
          <w:bookmarkEnd w:id="1130"/>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_Toc13850_WPSOffice_Level2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113be70e-7cc2-4b8c-9ed0-093a9e1a9811}"/>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25</w:t>
              </w:r>
              <w:r>
                <w:rPr>
                  <w:rFonts w:ascii="宋体" w:hAnsi="宋体" w:eastAsia="宋体" w:cs="Times New Roman"/>
                  <w:highlight w:val="none"/>
                </w:rPr>
                <w:t>.</w:t>
              </w:r>
              <w:r>
                <w:rPr>
                  <w:rFonts w:hint="eastAsia" w:ascii="宋体" w:hAnsi="宋体" w:eastAsia="宋体" w:cs="Times New Roman"/>
                  <w:highlight w:val="none"/>
                </w:rPr>
                <w:t>索赔与赔偿</w:t>
              </w:r>
            </w:sdtContent>
          </w:sdt>
          <w:r>
            <w:rPr>
              <w:highlight w:val="none"/>
            </w:rPr>
            <w:tab/>
          </w:r>
          <w:bookmarkStart w:id="1131" w:name="_Toc13850_WPSOffice_Level2Page"/>
          <w:r>
            <w:rPr>
              <w:highlight w:val="none"/>
            </w:rPr>
            <w:t>42</w:t>
          </w:r>
          <w:bookmarkEnd w:id="1131"/>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_Toc28865_WPSOffice_Level2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8be76d59-bbe2-4ba1-8850-4a40e3c33a63}"/>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26.合同终止</w:t>
              </w:r>
            </w:sdtContent>
          </w:sdt>
          <w:r>
            <w:rPr>
              <w:highlight w:val="none"/>
            </w:rPr>
            <w:tab/>
          </w:r>
          <w:bookmarkStart w:id="1132" w:name="_Toc28865_WPSOffice_Level2Page"/>
          <w:r>
            <w:rPr>
              <w:highlight w:val="none"/>
            </w:rPr>
            <w:t>45</w:t>
          </w:r>
          <w:bookmarkEnd w:id="1132"/>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_Toc3251_WPSOffice_Level2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152e1f7d-8db2-49d2-8b89-821c7d180f35}"/>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27.争端的解决</w:t>
              </w:r>
            </w:sdtContent>
          </w:sdt>
          <w:r>
            <w:rPr>
              <w:highlight w:val="none"/>
            </w:rPr>
            <w:tab/>
          </w:r>
          <w:bookmarkStart w:id="1133" w:name="_Toc3251_WPSOffice_Level2Page"/>
          <w:r>
            <w:rPr>
              <w:highlight w:val="none"/>
            </w:rPr>
            <w:t>46</w:t>
          </w:r>
          <w:bookmarkEnd w:id="1133"/>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_Toc23260_WPSOffice_Level2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e8b267e4-2707-466d-b71e-df214ffd96d2}"/>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28.语言</w:t>
              </w:r>
            </w:sdtContent>
          </w:sdt>
          <w:r>
            <w:rPr>
              <w:highlight w:val="none"/>
            </w:rPr>
            <w:tab/>
          </w:r>
          <w:bookmarkStart w:id="1134" w:name="_Toc23260_WPSOffice_Level2Page"/>
          <w:r>
            <w:rPr>
              <w:highlight w:val="none"/>
            </w:rPr>
            <w:t>46</w:t>
          </w:r>
          <w:bookmarkEnd w:id="1134"/>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_Toc14677_WPSOffice_Level2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14daec14-8d1c-4d42-890a-f976c3c69fd4}"/>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29.适用法律</w:t>
              </w:r>
            </w:sdtContent>
          </w:sdt>
          <w:r>
            <w:rPr>
              <w:highlight w:val="none"/>
            </w:rPr>
            <w:tab/>
          </w:r>
          <w:bookmarkStart w:id="1135" w:name="_Toc14677_WPSOffice_Level2Page"/>
          <w:r>
            <w:rPr>
              <w:highlight w:val="none"/>
            </w:rPr>
            <w:t>46</w:t>
          </w:r>
          <w:bookmarkEnd w:id="1135"/>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_Toc30272_WPSOffice_Level2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9adf52b0-3a84-4b22-81a6-5096a1269aa6}"/>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30.其它</w:t>
              </w:r>
            </w:sdtContent>
          </w:sdt>
          <w:r>
            <w:rPr>
              <w:highlight w:val="none"/>
            </w:rPr>
            <w:tab/>
          </w:r>
          <w:bookmarkStart w:id="1136" w:name="_Toc30272_WPSOffice_Level2Page"/>
          <w:r>
            <w:rPr>
              <w:highlight w:val="none"/>
            </w:rPr>
            <w:t>46</w:t>
          </w:r>
          <w:bookmarkEnd w:id="1136"/>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_Toc23785_WPSOffice_Level2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4236f293-b8bd-4135-9305-409f149492d0}"/>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31.廉洁条款特别约定</w:t>
              </w:r>
            </w:sdtContent>
          </w:sdt>
          <w:r>
            <w:rPr>
              <w:highlight w:val="none"/>
            </w:rPr>
            <w:tab/>
          </w:r>
          <w:bookmarkStart w:id="1137" w:name="_Toc23785_WPSOffice_Level2Page"/>
          <w:r>
            <w:rPr>
              <w:highlight w:val="none"/>
            </w:rPr>
            <w:t>47</w:t>
          </w:r>
          <w:bookmarkEnd w:id="1137"/>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_Toc7517_WPSOffice_Level2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d45f261d-9b5e-478a-babe-8c17d6d397ed}"/>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32.合同生效和签约地</w:t>
              </w:r>
            </w:sdtContent>
          </w:sdt>
          <w:r>
            <w:rPr>
              <w:highlight w:val="none"/>
            </w:rPr>
            <w:tab/>
          </w:r>
          <w:bookmarkStart w:id="1138" w:name="_Toc7517_WPSOffice_Level2Page"/>
          <w:r>
            <w:rPr>
              <w:highlight w:val="none"/>
            </w:rPr>
            <w:t>47</w:t>
          </w:r>
          <w:bookmarkEnd w:id="1138"/>
          <w:r>
            <w:rPr>
              <w:highlight w:val="none"/>
            </w:rPr>
            <w:fldChar w:fldCharType="end"/>
          </w:r>
        </w:p>
        <w:p>
          <w:pPr>
            <w:pStyle w:val="57"/>
            <w:tabs>
              <w:tab w:val="right" w:leader="dot" w:pos="9071"/>
            </w:tabs>
            <w:rPr>
              <w:highlight w:val="none"/>
            </w:rPr>
          </w:pPr>
          <w:r>
            <w:rPr>
              <w:b/>
              <w:bCs/>
              <w:highlight w:val="none"/>
            </w:rPr>
            <w:fldChar w:fldCharType="begin"/>
          </w:r>
          <w:r>
            <w:rPr>
              <w:highlight w:val="none"/>
            </w:rPr>
            <w:instrText xml:space="preserve"> HYPERLINK \l _Toc27182_WPSOffice_Level1 </w:instrText>
          </w:r>
          <w:r>
            <w:rPr>
              <w:b/>
              <w:bCs/>
              <w:highlight w:val="none"/>
            </w:rPr>
            <w:fldChar w:fldCharType="separate"/>
          </w:r>
          <w:sdt>
            <w:sdtPr>
              <w:rPr>
                <w:rFonts w:ascii="Times New Roman" w:hAnsi="Times New Roman" w:eastAsia="宋体" w:cs="Times New Roman"/>
                <w:b/>
                <w:bCs/>
                <w:sz w:val="21"/>
                <w:szCs w:val="21"/>
                <w:highlight w:val="none"/>
                <w:lang w:val="en-US" w:eastAsia="zh-CN" w:bidi="ar-SA"/>
              </w:rPr>
              <w:id w:val="147467810"/>
              <w:placeholder>
                <w:docPart w:val="{1c6a669b-859b-46ed-9113-6014a9018591}"/>
              </w:placeholder>
            </w:sdtPr>
            <w:sdtEndPr>
              <w:rPr>
                <w:rFonts w:ascii="Times New Roman" w:hAnsi="Times New Roman" w:eastAsia="宋体" w:cs="Times New Roman"/>
                <w:b/>
                <w:bCs/>
                <w:sz w:val="21"/>
                <w:szCs w:val="21"/>
                <w:highlight w:val="none"/>
                <w:lang w:val="en-US" w:eastAsia="zh-CN" w:bidi="ar-SA"/>
              </w:rPr>
            </w:sdtEndPr>
            <w:sdtContent>
              <w:r>
                <w:rPr>
                  <w:rFonts w:ascii="Times New Roman" w:hAnsi="Times New Roman" w:eastAsia="宋体" w:cs="Times New Roman"/>
                  <w:b/>
                  <w:bCs/>
                  <w:highlight w:val="none"/>
                </w:rPr>
                <w:t>第</w:t>
              </w:r>
              <w:r>
                <w:rPr>
                  <w:rFonts w:hint="eastAsia" w:ascii="Times New Roman" w:hAnsi="Times New Roman" w:eastAsia="宋体" w:cs="Times New Roman"/>
                  <w:b/>
                  <w:bCs/>
                  <w:highlight w:val="none"/>
                </w:rPr>
                <w:t>五</w:t>
              </w:r>
              <w:r>
                <w:rPr>
                  <w:rFonts w:ascii="Times New Roman" w:hAnsi="Times New Roman" w:eastAsia="宋体" w:cs="Times New Roman"/>
                  <w:b/>
                  <w:bCs/>
                  <w:highlight w:val="none"/>
                </w:rPr>
                <w:t>部分</w:t>
              </w:r>
              <w:r>
                <w:rPr>
                  <w:rFonts w:hint="eastAsia" w:ascii="Times New Roman" w:hAnsi="Times New Roman" w:eastAsia="宋体" w:cs="Times New Roman"/>
                  <w:b/>
                  <w:bCs/>
                  <w:highlight w:val="none"/>
                </w:rPr>
                <w:t xml:space="preserve"> 技术规格书</w:t>
              </w:r>
            </w:sdtContent>
          </w:sdt>
          <w:r>
            <w:rPr>
              <w:b/>
              <w:bCs/>
              <w:highlight w:val="none"/>
            </w:rPr>
            <w:tab/>
          </w:r>
          <w:bookmarkStart w:id="1139" w:name="_Toc27182_WPSOffice_Level1Page"/>
          <w:r>
            <w:rPr>
              <w:b/>
              <w:bCs/>
              <w:highlight w:val="none"/>
            </w:rPr>
            <w:t>49</w:t>
          </w:r>
          <w:bookmarkEnd w:id="1139"/>
          <w:r>
            <w:rPr>
              <w:b/>
              <w:bCs/>
              <w:highlight w:val="none"/>
            </w:rPr>
            <w:fldChar w:fldCharType="end"/>
          </w:r>
        </w:p>
        <w:p>
          <w:pPr>
            <w:pStyle w:val="57"/>
            <w:tabs>
              <w:tab w:val="right" w:leader="dot" w:pos="9071"/>
            </w:tabs>
            <w:rPr>
              <w:highlight w:val="none"/>
            </w:rPr>
          </w:pPr>
          <w:r>
            <w:rPr>
              <w:b/>
              <w:bCs/>
              <w:highlight w:val="none"/>
            </w:rPr>
            <w:fldChar w:fldCharType="begin"/>
          </w:r>
          <w:r>
            <w:rPr>
              <w:highlight w:val="none"/>
            </w:rPr>
            <w:instrText xml:space="preserve"> HYPERLINK \l _Toc25584_WPSOffice_Level1 </w:instrText>
          </w:r>
          <w:r>
            <w:rPr>
              <w:b/>
              <w:bCs/>
              <w:highlight w:val="none"/>
            </w:rPr>
            <w:fldChar w:fldCharType="separate"/>
          </w:r>
          <w:sdt>
            <w:sdtPr>
              <w:rPr>
                <w:rFonts w:ascii="Times New Roman" w:hAnsi="Times New Roman" w:eastAsia="宋体" w:cs="Times New Roman"/>
                <w:b/>
                <w:bCs/>
                <w:sz w:val="21"/>
                <w:szCs w:val="21"/>
                <w:highlight w:val="none"/>
                <w:lang w:val="en-US" w:eastAsia="zh-CN" w:bidi="ar-SA"/>
              </w:rPr>
              <w:id w:val="147467810"/>
              <w:placeholder>
                <w:docPart w:val="{17b8c9a9-e1c3-4a56-a46e-d255b10c2dfb}"/>
              </w:placeholder>
            </w:sdtPr>
            <w:sdtEndPr>
              <w:rPr>
                <w:rFonts w:ascii="Times New Roman" w:hAnsi="Times New Roman" w:eastAsia="宋体" w:cs="Times New Roman"/>
                <w:b/>
                <w:bCs/>
                <w:sz w:val="21"/>
                <w:szCs w:val="21"/>
                <w:highlight w:val="none"/>
                <w:lang w:val="en-US" w:eastAsia="zh-CN" w:bidi="ar-SA"/>
              </w:rPr>
            </w:sdtEndPr>
            <w:sdtContent>
              <w:r>
                <w:rPr>
                  <w:rFonts w:hint="eastAsia" w:ascii="Times New Roman" w:hAnsi="Times New Roman" w:eastAsia="宋体" w:cs="Times New Roman"/>
                  <w:b/>
                  <w:bCs/>
                  <w:highlight w:val="none"/>
                </w:rPr>
                <w:t xml:space="preserve">第六部分 </w:t>
              </w:r>
              <w:r>
                <w:rPr>
                  <w:rFonts w:hint="default" w:ascii="Times New Roman" w:hAnsi="Times New Roman" w:eastAsia="宋体" w:cs="Times New Roman"/>
                  <w:b/>
                  <w:bCs/>
                  <w:highlight w:val="none"/>
                </w:rPr>
                <w:t>合同附件及格式</w:t>
              </w:r>
            </w:sdtContent>
          </w:sdt>
          <w:r>
            <w:rPr>
              <w:b/>
              <w:bCs/>
              <w:highlight w:val="none"/>
            </w:rPr>
            <w:tab/>
          </w:r>
          <w:bookmarkStart w:id="1140" w:name="_Toc25584_WPSOffice_Level1Page"/>
          <w:r>
            <w:rPr>
              <w:b/>
              <w:bCs/>
              <w:highlight w:val="none"/>
            </w:rPr>
            <w:t>50</w:t>
          </w:r>
          <w:bookmarkEnd w:id="1140"/>
          <w:r>
            <w:rPr>
              <w:b/>
              <w:bCs/>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_Toc22695_WPSOffice_Level2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efd73315-319b-4c1d-a320-4fe98a5f3789}"/>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1.履约保证金缴纳凭证（履约保函格式附后）</w:t>
              </w:r>
            </w:sdtContent>
          </w:sdt>
          <w:r>
            <w:rPr>
              <w:highlight w:val="none"/>
            </w:rPr>
            <w:tab/>
          </w:r>
          <w:bookmarkStart w:id="1141" w:name="_Toc22695_WPSOffice_Level2Page"/>
          <w:r>
            <w:rPr>
              <w:highlight w:val="none"/>
            </w:rPr>
            <w:t>50</w:t>
          </w:r>
          <w:bookmarkEnd w:id="1141"/>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_Toc25351_WPSOffice_Level2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229d381c-19a5-4507-9677-602ec4f4df0f}"/>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2.乙方营业执照或资质证书等（如有）</w:t>
              </w:r>
            </w:sdtContent>
          </w:sdt>
          <w:r>
            <w:rPr>
              <w:highlight w:val="none"/>
            </w:rPr>
            <w:tab/>
          </w:r>
          <w:bookmarkStart w:id="1142" w:name="_Toc25351_WPSOffice_Level2Page"/>
          <w:r>
            <w:rPr>
              <w:highlight w:val="none"/>
            </w:rPr>
            <w:t>50</w:t>
          </w:r>
          <w:bookmarkEnd w:id="1142"/>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_Toc14500_WPSOffice_Level2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dd776abe-ac85-4957-9bd9-acc250c36a58}"/>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3.乙方法人授权委托书（如有）</w:t>
              </w:r>
            </w:sdtContent>
          </w:sdt>
          <w:r>
            <w:rPr>
              <w:highlight w:val="none"/>
            </w:rPr>
            <w:tab/>
          </w:r>
          <w:bookmarkStart w:id="1143" w:name="_Toc14500_WPSOffice_Level2Page"/>
          <w:r>
            <w:rPr>
              <w:highlight w:val="none"/>
            </w:rPr>
            <w:t>50</w:t>
          </w:r>
          <w:bookmarkEnd w:id="1143"/>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_Toc7492_WPSOffice_Level2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be952188-e42e-4e55-b13d-c520bd12e719}"/>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4.原厂授权证明（如有）</w:t>
              </w:r>
            </w:sdtContent>
          </w:sdt>
          <w:r>
            <w:rPr>
              <w:highlight w:val="none"/>
            </w:rPr>
            <w:tab/>
          </w:r>
          <w:bookmarkStart w:id="1144" w:name="_Toc7492_WPSOffice_Level2Page"/>
          <w:r>
            <w:rPr>
              <w:highlight w:val="none"/>
            </w:rPr>
            <w:t>50</w:t>
          </w:r>
          <w:bookmarkEnd w:id="1144"/>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_Toc13292_WPSOffice_Level2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9b44671a-c7de-46d2-ac13-afa812fafe6f}"/>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5.供货证明格式（如有）</w:t>
              </w:r>
            </w:sdtContent>
          </w:sdt>
          <w:r>
            <w:rPr>
              <w:highlight w:val="none"/>
            </w:rPr>
            <w:tab/>
          </w:r>
          <w:bookmarkStart w:id="1145" w:name="_Toc13292_WPSOffice_Level2Page"/>
          <w:r>
            <w:rPr>
              <w:highlight w:val="none"/>
            </w:rPr>
            <w:t>50</w:t>
          </w:r>
          <w:bookmarkEnd w:id="1145"/>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_Toc912_WPSOffice_Level2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d572f813-31ca-476e-8686-e288d9035a75}"/>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6.交货通知格式（如有）</w:t>
              </w:r>
            </w:sdtContent>
          </w:sdt>
          <w:r>
            <w:rPr>
              <w:highlight w:val="none"/>
            </w:rPr>
            <w:tab/>
          </w:r>
          <w:bookmarkStart w:id="1146" w:name="_Toc912_WPSOffice_Level2Page"/>
          <w:r>
            <w:rPr>
              <w:highlight w:val="none"/>
            </w:rPr>
            <w:t>50</w:t>
          </w:r>
          <w:bookmarkEnd w:id="1146"/>
          <w:r>
            <w:rPr>
              <w:highlight w:val="none"/>
            </w:rPr>
            <w:fldChar w:fldCharType="end"/>
          </w:r>
        </w:p>
        <w:p>
          <w:pPr>
            <w:pStyle w:val="60"/>
            <w:tabs>
              <w:tab w:val="right" w:leader="dot" w:pos="9071"/>
            </w:tabs>
            <w:rPr>
              <w:highlight w:val="none"/>
            </w:rPr>
          </w:pPr>
          <w:r>
            <w:rPr>
              <w:highlight w:val="none"/>
            </w:rPr>
            <w:fldChar w:fldCharType="begin"/>
          </w:r>
          <w:r>
            <w:rPr>
              <w:highlight w:val="none"/>
            </w:rPr>
            <w:instrText xml:space="preserve"> HYPERLINK \l _Toc30271_WPSOffice_Level2 </w:instrText>
          </w:r>
          <w:r>
            <w:rPr>
              <w:highlight w:val="none"/>
            </w:rPr>
            <w:fldChar w:fldCharType="separate"/>
          </w:r>
          <w:sdt>
            <w:sdtPr>
              <w:rPr>
                <w:rFonts w:ascii="Times New Roman" w:hAnsi="Times New Roman" w:eastAsia="宋体" w:cs="Times New Roman"/>
                <w:sz w:val="21"/>
                <w:szCs w:val="21"/>
                <w:highlight w:val="none"/>
                <w:lang w:val="en-US" w:eastAsia="zh-CN" w:bidi="ar-SA"/>
              </w:rPr>
              <w:id w:val="147467810"/>
              <w:placeholder>
                <w:docPart w:val="{2aa3bd4d-a09d-4153-942b-07352bc053a4}"/>
              </w:placeholder>
            </w:sdtPr>
            <w:sdtEndPr>
              <w:rPr>
                <w:rFonts w:ascii="Times New Roman" w:hAnsi="Times New Roman" w:eastAsia="宋体" w:cs="Times New Roman"/>
                <w:sz w:val="21"/>
                <w:szCs w:val="21"/>
                <w:highlight w:val="none"/>
                <w:lang w:val="en-US" w:eastAsia="zh-CN" w:bidi="ar-SA"/>
              </w:rPr>
            </w:sdtEndPr>
            <w:sdtContent>
              <w:r>
                <w:rPr>
                  <w:rFonts w:hint="eastAsia" w:ascii="宋体" w:hAnsi="宋体" w:eastAsia="宋体" w:cs="Times New Roman"/>
                  <w:highlight w:val="none"/>
                </w:rPr>
                <w:t>7.送货单格式（如有）</w:t>
              </w:r>
            </w:sdtContent>
          </w:sdt>
          <w:r>
            <w:rPr>
              <w:highlight w:val="none"/>
            </w:rPr>
            <w:tab/>
          </w:r>
          <w:bookmarkStart w:id="1147" w:name="_Toc30271_WPSOffice_Level2Page"/>
          <w:r>
            <w:rPr>
              <w:highlight w:val="none"/>
            </w:rPr>
            <w:t>50</w:t>
          </w:r>
          <w:bookmarkEnd w:id="1147"/>
          <w:r>
            <w:rPr>
              <w:highlight w:val="none"/>
            </w:rPr>
            <w:fldChar w:fldCharType="end"/>
          </w:r>
        </w:p>
        <w:p>
          <w:pPr>
            <w:pStyle w:val="57"/>
            <w:tabs>
              <w:tab w:val="right" w:leader="dot" w:pos="9071"/>
            </w:tabs>
            <w:rPr>
              <w:highlight w:val="none"/>
            </w:rPr>
          </w:pPr>
          <w:r>
            <w:rPr>
              <w:b/>
              <w:bCs/>
              <w:highlight w:val="none"/>
            </w:rPr>
            <w:fldChar w:fldCharType="begin"/>
          </w:r>
          <w:r>
            <w:rPr>
              <w:highlight w:val="none"/>
            </w:rPr>
            <w:instrText xml:space="preserve"> HYPERLINK \l _Toc780_WPSOffice_Level1 </w:instrText>
          </w:r>
          <w:r>
            <w:rPr>
              <w:b/>
              <w:bCs/>
              <w:highlight w:val="none"/>
            </w:rPr>
            <w:fldChar w:fldCharType="separate"/>
          </w:r>
          <w:sdt>
            <w:sdtPr>
              <w:rPr>
                <w:rFonts w:ascii="Times New Roman" w:hAnsi="Times New Roman" w:eastAsia="宋体" w:cs="Times New Roman"/>
                <w:b/>
                <w:bCs/>
                <w:sz w:val="21"/>
                <w:szCs w:val="21"/>
                <w:highlight w:val="none"/>
                <w:lang w:val="en-US" w:eastAsia="zh-CN" w:bidi="ar-SA"/>
              </w:rPr>
              <w:id w:val="147467810"/>
              <w:placeholder>
                <w:docPart w:val="{8ebb506a-2a33-4131-951a-fe8f6c6d5d34}"/>
              </w:placeholder>
            </w:sdtPr>
            <w:sdtEndPr>
              <w:rPr>
                <w:rFonts w:ascii="Times New Roman" w:hAnsi="Times New Roman" w:eastAsia="宋体" w:cs="Times New Roman"/>
                <w:b/>
                <w:bCs/>
                <w:sz w:val="21"/>
                <w:szCs w:val="21"/>
                <w:highlight w:val="none"/>
                <w:lang w:val="en-US" w:eastAsia="zh-CN" w:bidi="ar-SA"/>
              </w:rPr>
            </w:sdtEndPr>
            <w:sdtContent>
              <w:r>
                <w:rPr>
                  <w:rFonts w:ascii="Times New Roman" w:hAnsi="Times New Roman" w:eastAsia="宋体" w:cs="Times New Roman"/>
                  <w:b/>
                  <w:bCs/>
                  <w:highlight w:val="none"/>
                </w:rPr>
                <w:t>第</w:t>
              </w:r>
              <w:r>
                <w:rPr>
                  <w:rFonts w:hint="eastAsia" w:ascii="Times New Roman" w:hAnsi="Times New Roman" w:eastAsia="宋体" w:cs="Times New Roman"/>
                  <w:b/>
                  <w:bCs/>
                  <w:highlight w:val="none"/>
                </w:rPr>
                <w:t>七</w:t>
              </w:r>
              <w:r>
                <w:rPr>
                  <w:rFonts w:ascii="Times New Roman" w:hAnsi="Times New Roman" w:eastAsia="宋体" w:cs="Times New Roman"/>
                  <w:b/>
                  <w:bCs/>
                  <w:highlight w:val="none"/>
                </w:rPr>
                <w:t>部分</w:t>
              </w:r>
              <w:r>
                <w:rPr>
                  <w:rFonts w:hint="eastAsia" w:ascii="Times New Roman" w:hAnsi="Times New Roman" w:eastAsia="宋体" w:cs="Times New Roman"/>
                  <w:b/>
                  <w:bCs/>
                  <w:highlight w:val="none"/>
                </w:rPr>
                <w:t xml:space="preserve"> 比选文件</w:t>
              </w:r>
            </w:sdtContent>
          </w:sdt>
          <w:r>
            <w:rPr>
              <w:b/>
              <w:bCs/>
              <w:highlight w:val="none"/>
            </w:rPr>
            <w:tab/>
          </w:r>
          <w:bookmarkStart w:id="1148" w:name="_Toc780_WPSOffice_Level1Page"/>
          <w:r>
            <w:rPr>
              <w:b/>
              <w:bCs/>
              <w:highlight w:val="none"/>
            </w:rPr>
            <w:t>56</w:t>
          </w:r>
          <w:bookmarkEnd w:id="1148"/>
          <w:r>
            <w:rPr>
              <w:b/>
              <w:bCs/>
              <w:highlight w:val="none"/>
            </w:rPr>
            <w:fldChar w:fldCharType="end"/>
          </w:r>
        </w:p>
        <w:p>
          <w:pPr>
            <w:pStyle w:val="57"/>
            <w:tabs>
              <w:tab w:val="right" w:leader="dot" w:pos="9071"/>
            </w:tabs>
            <w:rPr>
              <w:highlight w:val="none"/>
            </w:rPr>
          </w:pPr>
          <w:r>
            <w:rPr>
              <w:b/>
              <w:bCs/>
              <w:highlight w:val="none"/>
            </w:rPr>
            <w:fldChar w:fldCharType="begin"/>
          </w:r>
          <w:r>
            <w:rPr>
              <w:highlight w:val="none"/>
            </w:rPr>
            <w:instrText xml:space="preserve"> HYPERLINK \l _Toc3522_WPSOffice_Level1 </w:instrText>
          </w:r>
          <w:r>
            <w:rPr>
              <w:b/>
              <w:bCs/>
              <w:highlight w:val="none"/>
            </w:rPr>
            <w:fldChar w:fldCharType="separate"/>
          </w:r>
          <w:sdt>
            <w:sdtPr>
              <w:rPr>
                <w:rFonts w:ascii="Times New Roman" w:hAnsi="Times New Roman" w:eastAsia="宋体" w:cs="Times New Roman"/>
                <w:b/>
                <w:bCs/>
                <w:sz w:val="21"/>
                <w:szCs w:val="21"/>
                <w:highlight w:val="none"/>
                <w:lang w:val="en-US" w:eastAsia="zh-CN" w:bidi="ar-SA"/>
              </w:rPr>
              <w:id w:val="147467810"/>
              <w:placeholder>
                <w:docPart w:val="{5be8008e-1a96-4478-b58a-10e44f50211a}"/>
              </w:placeholder>
            </w:sdtPr>
            <w:sdtEndPr>
              <w:rPr>
                <w:rFonts w:ascii="Times New Roman" w:hAnsi="Times New Roman" w:eastAsia="宋体" w:cs="Times New Roman"/>
                <w:b/>
                <w:bCs/>
                <w:sz w:val="21"/>
                <w:szCs w:val="21"/>
                <w:highlight w:val="none"/>
                <w:lang w:val="en-US" w:eastAsia="zh-CN" w:bidi="ar-SA"/>
              </w:rPr>
            </w:sdtEndPr>
            <w:sdtContent>
              <w:r>
                <w:rPr>
                  <w:rFonts w:ascii="Times New Roman" w:hAnsi="Times New Roman" w:eastAsia="宋体" w:cs="Times New Roman"/>
                  <w:b/>
                  <w:bCs/>
                  <w:highlight w:val="none"/>
                </w:rPr>
                <w:t>第</w:t>
              </w:r>
              <w:r>
                <w:rPr>
                  <w:rFonts w:hint="eastAsia" w:ascii="Times New Roman" w:hAnsi="Times New Roman" w:eastAsia="宋体" w:cs="Times New Roman"/>
                  <w:b/>
                  <w:bCs/>
                  <w:highlight w:val="none"/>
                </w:rPr>
                <w:t>八</w:t>
              </w:r>
              <w:r>
                <w:rPr>
                  <w:rFonts w:ascii="Times New Roman" w:hAnsi="Times New Roman" w:eastAsia="宋体" w:cs="Times New Roman"/>
                  <w:b/>
                  <w:bCs/>
                  <w:highlight w:val="none"/>
                </w:rPr>
                <w:t>部分</w:t>
              </w:r>
              <w:r>
                <w:rPr>
                  <w:rFonts w:hint="eastAsia" w:ascii="Times New Roman" w:hAnsi="Times New Roman" w:eastAsia="宋体" w:cs="Times New Roman"/>
                  <w:b/>
                  <w:bCs/>
                  <w:highlight w:val="none"/>
                </w:rPr>
                <w:t xml:space="preserve"> 比选申请文件</w:t>
              </w:r>
            </w:sdtContent>
          </w:sdt>
          <w:r>
            <w:rPr>
              <w:b/>
              <w:bCs/>
              <w:highlight w:val="none"/>
            </w:rPr>
            <w:tab/>
          </w:r>
          <w:bookmarkStart w:id="1149" w:name="_Toc3522_WPSOffice_Level1Page"/>
          <w:r>
            <w:rPr>
              <w:b/>
              <w:bCs/>
              <w:highlight w:val="none"/>
            </w:rPr>
            <w:t>57</w:t>
          </w:r>
          <w:bookmarkEnd w:id="1149"/>
          <w:r>
            <w:rPr>
              <w:b/>
              <w:bCs/>
              <w:highlight w:val="none"/>
            </w:rPr>
            <w:fldChar w:fldCharType="end"/>
          </w:r>
        </w:p>
        <w:bookmarkEnd w:id="1102"/>
        <w:p>
          <w:pPr>
            <w:pStyle w:val="60"/>
            <w:tabs>
              <w:tab w:val="right" w:leader="dot" w:pos="9071"/>
            </w:tabs>
            <w:spacing w:before="0" w:after="0" w:afterAutospacing="0"/>
            <w:ind w:left="0" w:right="0" w:firstLine="400" w:firstLineChars="200"/>
            <w:rPr>
              <w:rFonts w:ascii="宋体" w:hAnsi="宋体"/>
              <w:highlight w:val="none"/>
            </w:rPr>
          </w:pPr>
        </w:p>
      </w:sdtContent>
    </w:sdt>
    <w:p>
      <w:pPr>
        <w:spacing w:before="0"/>
        <w:ind w:right="0"/>
        <w:jc w:val="center"/>
        <w:outlineLvl w:val="1"/>
        <w:rPr>
          <w:rFonts w:ascii="宋体" w:hAnsi="宋体"/>
          <w:b/>
          <w:sz w:val="24"/>
          <w:szCs w:val="24"/>
          <w:highlight w:val="none"/>
        </w:rPr>
      </w:pPr>
      <w:bookmarkStart w:id="1150" w:name="_Toc2231_WPSOffice_Level1"/>
      <w:bookmarkStart w:id="1151" w:name="_Toc8999"/>
      <w:bookmarkStart w:id="1152" w:name="_Toc14619"/>
      <w:bookmarkStart w:id="1153" w:name="_Toc27806"/>
      <w:bookmarkStart w:id="1154" w:name="_Toc29797"/>
      <w:bookmarkStart w:id="1155" w:name="_Toc12983547"/>
      <w:bookmarkStart w:id="1156" w:name="_Toc7587"/>
      <w:bookmarkStart w:id="1157" w:name="_Toc12860_WPSOffice_Level2"/>
      <w:bookmarkStart w:id="1158" w:name="_Toc29540"/>
      <w:bookmarkStart w:id="1159" w:name="_Toc6190"/>
      <w:bookmarkStart w:id="1160" w:name="_Toc7236"/>
      <w:bookmarkStart w:id="1161" w:name="_Toc6950"/>
      <w:bookmarkStart w:id="1162" w:name="_Toc3488"/>
      <w:bookmarkStart w:id="1163" w:name="_Toc25828"/>
      <w:bookmarkStart w:id="1164" w:name="_Toc15840"/>
      <w:bookmarkStart w:id="1165" w:name="_Toc3517"/>
      <w:bookmarkStart w:id="1166" w:name="_Toc2618"/>
      <w:bookmarkStart w:id="1167" w:name="_Toc20060"/>
      <w:bookmarkStart w:id="1168" w:name="_Toc14463"/>
      <w:bookmarkStart w:id="1169" w:name="_Toc4026"/>
      <w:bookmarkStart w:id="1170" w:name="_Toc31212"/>
      <w:bookmarkStart w:id="1171" w:name="_Toc31368"/>
      <w:bookmarkStart w:id="1172" w:name="_Toc31254"/>
      <w:bookmarkStart w:id="1173" w:name="_Toc1289"/>
      <w:bookmarkStart w:id="1174" w:name="_Toc25750633"/>
      <w:bookmarkStart w:id="1175" w:name="_Toc32403"/>
      <w:bookmarkStart w:id="1176" w:name="_Toc13761"/>
      <w:bookmarkStart w:id="1177" w:name="_Toc684"/>
      <w:r>
        <w:rPr>
          <w:rFonts w:hint="eastAsia" w:ascii="宋体" w:hAnsi="宋体"/>
          <w:b/>
          <w:sz w:val="24"/>
          <w:szCs w:val="24"/>
          <w:highlight w:val="none"/>
          <w:lang w:val="en-US" w:eastAsia="zh-CN"/>
        </w:rPr>
        <w:t xml:space="preserve">第一部分 </w:t>
      </w:r>
      <w:r>
        <w:rPr>
          <w:rFonts w:hint="eastAsia" w:ascii="宋体" w:hAnsi="宋体"/>
          <w:b/>
          <w:sz w:val="24"/>
          <w:szCs w:val="24"/>
          <w:highlight w:val="none"/>
        </w:rPr>
        <w:t>合同协</w:t>
      </w:r>
      <w:bookmarkEnd w:id="1150"/>
      <w:r>
        <w:rPr>
          <w:rFonts w:hint="eastAsia" w:ascii="宋体" w:hAnsi="宋体"/>
          <w:b/>
          <w:sz w:val="24"/>
          <w:szCs w:val="24"/>
          <w:highlight w:val="none"/>
        </w:rPr>
        <w:t>议书</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spacing w:before="0" w:after="0" w:afterAutospacing="0"/>
        <w:ind w:left="0" w:right="0" w:firstLine="420" w:firstLineChars="200"/>
        <w:jc w:val="left"/>
        <w:rPr>
          <w:rFonts w:hint="default" w:ascii="宋体" w:hAnsi="宋体" w:eastAsia="宋体"/>
          <w:highlight w:val="none"/>
          <w:u w:val="single"/>
          <w:lang w:val="en-US" w:eastAsia="zh-CN"/>
        </w:rPr>
      </w:pPr>
      <w:r>
        <w:rPr>
          <w:rFonts w:hint="eastAsia" w:ascii="宋体" w:hAnsi="宋体"/>
          <w:highlight w:val="none"/>
        </w:rPr>
        <w:t>甲方（全称）：</w:t>
      </w:r>
    </w:p>
    <w:p>
      <w:pPr>
        <w:spacing w:before="0" w:after="0" w:afterAutospacing="0"/>
        <w:ind w:left="0" w:right="0" w:firstLine="420" w:firstLineChars="200"/>
        <w:jc w:val="left"/>
        <w:rPr>
          <w:rFonts w:hint="default" w:ascii="宋体" w:hAnsi="宋体"/>
          <w:highlight w:val="none"/>
          <w:lang w:val="en-US"/>
        </w:rPr>
      </w:pPr>
      <w:r>
        <w:rPr>
          <w:rFonts w:hint="eastAsia" w:ascii="宋体" w:hAnsi="宋体"/>
          <w:highlight w:val="none"/>
        </w:rPr>
        <w:t>乙方（全称）：</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本协议由</w:t>
      </w:r>
      <w:r>
        <w:rPr>
          <w:rFonts w:hint="eastAsia" w:ascii="宋体" w:hAnsi="宋体"/>
          <w:highlight w:val="none"/>
          <w:lang w:eastAsia="zh-CN"/>
        </w:rPr>
        <w:t>南宁轨道交通运营有限公司</w:t>
      </w:r>
      <w:r>
        <w:rPr>
          <w:rFonts w:hint="eastAsia" w:ascii="宋体" w:hAnsi="宋体"/>
          <w:highlight w:val="none"/>
        </w:rPr>
        <w:t>（下称“甲方”或业主）与</w:t>
      </w:r>
      <w:r>
        <w:rPr>
          <w:rFonts w:hint="eastAsia" w:ascii="宋体" w:hAnsi="宋体"/>
          <w:highlight w:val="none"/>
          <w:u w:val="single"/>
          <w:lang w:val="en-US" w:eastAsia="zh-CN"/>
        </w:rPr>
        <w:t xml:space="preserve">                         </w:t>
      </w:r>
      <w:r>
        <w:rPr>
          <w:rFonts w:hint="eastAsia" w:ascii="宋体" w:hAnsi="宋体"/>
          <w:highlight w:val="none"/>
        </w:rPr>
        <w:t>（下称“乙方”），双方根据</w:t>
      </w:r>
      <w:r>
        <w:rPr>
          <w:rFonts w:hint="eastAsia" w:ascii="宋体" w:hAnsi="宋体"/>
          <w:highlight w:val="none"/>
          <w:u w:val="single"/>
          <w:lang w:val="en-US" w:eastAsia="zh-CN"/>
        </w:rPr>
        <w:t>南宁轨道交通1-5号线出入段（场）线地面洞口及个别车站紧急疏散口视频监控补盲项目</w:t>
      </w:r>
      <w:r>
        <w:rPr>
          <w:rFonts w:hint="eastAsia" w:ascii="宋体" w:hAnsi="宋体"/>
          <w:highlight w:val="none"/>
        </w:rPr>
        <w:t>（项目编号：</w:t>
      </w:r>
      <w:r>
        <w:rPr>
          <w:rFonts w:hint="eastAsia" w:ascii="宋体" w:hAnsi="宋体"/>
          <w:highlight w:val="none"/>
          <w:lang w:val="en-US" w:eastAsia="zh-CN"/>
        </w:rPr>
        <w:t>202208250003</w:t>
      </w:r>
      <w:r>
        <w:rPr>
          <w:rFonts w:hint="eastAsia" w:ascii="宋体" w:hAnsi="宋体"/>
          <w:highlight w:val="none"/>
        </w:rPr>
        <w:t>）比选结果，依据《中华人民共和国</w:t>
      </w:r>
      <w:r>
        <w:rPr>
          <w:rFonts w:hint="eastAsia" w:ascii="宋体" w:hAnsi="宋体"/>
          <w:highlight w:val="none"/>
          <w:lang w:val="en-US" w:eastAsia="zh-CN"/>
        </w:rPr>
        <w:t>民法典</w:t>
      </w:r>
      <w:r>
        <w:rPr>
          <w:rFonts w:hint="eastAsia" w:ascii="宋体" w:hAnsi="宋体"/>
          <w:highlight w:val="none"/>
        </w:rPr>
        <w:t>》的规定，签订协议。具体内容如下：</w:t>
      </w:r>
    </w:p>
    <w:p>
      <w:pPr>
        <w:tabs>
          <w:tab w:val="left" w:pos="1134"/>
          <w:tab w:val="left" w:pos="1680"/>
        </w:tabs>
        <w:spacing w:before="0" w:after="0" w:afterAutospacing="0"/>
        <w:ind w:left="0" w:right="0" w:firstLine="422"/>
        <w:rPr>
          <w:rFonts w:ascii="宋体" w:hAnsi="宋体" w:cs="Arial"/>
          <w:b/>
          <w:highlight w:val="none"/>
        </w:rPr>
      </w:pPr>
      <w:r>
        <w:rPr>
          <w:rFonts w:ascii="宋体" w:hAnsi="宋体" w:cs="Arial"/>
          <w:b/>
          <w:highlight w:val="none"/>
        </w:rPr>
        <w:t>1</w:t>
      </w:r>
      <w:r>
        <w:rPr>
          <w:rFonts w:hint="eastAsia" w:ascii="宋体" w:hAnsi="宋体" w:cs="Arial"/>
          <w:b/>
          <w:highlight w:val="none"/>
          <w:lang w:eastAsia="zh-CN"/>
        </w:rPr>
        <w:t>.</w:t>
      </w:r>
      <w:r>
        <w:rPr>
          <w:rFonts w:hint="eastAsia" w:ascii="宋体" w:hAnsi="宋体" w:cs="Arial"/>
          <w:b/>
          <w:highlight w:val="none"/>
        </w:rPr>
        <w:t>项目概况</w:t>
      </w:r>
    </w:p>
    <w:p>
      <w:pPr>
        <w:keepNext w:val="0"/>
        <w:keepLines w:val="0"/>
        <w:pageBreakBefore w:val="0"/>
        <w:widowControl/>
        <w:tabs>
          <w:tab w:val="left" w:pos="1134"/>
          <w:tab w:val="left" w:pos="1680"/>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Arial"/>
          <w:highlight w:val="none"/>
          <w:u w:val="none"/>
          <w:lang w:eastAsia="zh-CN"/>
        </w:rPr>
      </w:pPr>
      <w:r>
        <w:rPr>
          <w:rFonts w:hint="eastAsia" w:ascii="宋体" w:hAnsi="宋体" w:cs="Arial"/>
          <w:highlight w:val="none"/>
        </w:rPr>
        <w:t>1.1</w:t>
      </w:r>
      <w:r>
        <w:rPr>
          <w:rFonts w:hint="eastAsia" w:ascii="宋体" w:hAnsi="宋体" w:cs="Arial"/>
          <w:highlight w:val="none"/>
          <w:lang w:val="en-US" w:eastAsia="zh-CN"/>
        </w:rPr>
        <w:t xml:space="preserve"> </w:t>
      </w:r>
      <w:r>
        <w:rPr>
          <w:rFonts w:hint="eastAsia" w:ascii="宋体" w:hAnsi="宋体" w:cs="Arial"/>
          <w:highlight w:val="none"/>
        </w:rPr>
        <w:t>项目名称：</w:t>
      </w:r>
      <w:r>
        <w:rPr>
          <w:rFonts w:hint="eastAsia" w:ascii="宋体" w:hAnsi="宋体" w:cs="Arial"/>
          <w:highlight w:val="none"/>
          <w:lang w:val="en-US" w:eastAsia="zh-CN"/>
        </w:rPr>
        <w:t>南宁轨道交通1-5号线出入段（场）线地面洞口及个别车站紧急疏散口视频监控补盲项目</w:t>
      </w:r>
      <w:r>
        <w:rPr>
          <w:rFonts w:hint="eastAsia" w:ascii="宋体" w:hAnsi="宋体"/>
          <w:highlight w:val="none"/>
          <w:u w:val="none"/>
          <w:lang w:eastAsia="zh-CN"/>
        </w:rPr>
        <w:t>。</w:t>
      </w:r>
    </w:p>
    <w:p>
      <w:pPr>
        <w:keepNext w:val="0"/>
        <w:keepLines w:val="0"/>
        <w:pageBreakBefore w:val="0"/>
        <w:widowControl/>
        <w:tabs>
          <w:tab w:val="left" w:pos="1134"/>
          <w:tab w:val="left" w:pos="1680"/>
        </w:tabs>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s="Arial"/>
          <w:highlight w:val="none"/>
        </w:rPr>
      </w:pPr>
      <w:r>
        <w:rPr>
          <w:rFonts w:hint="eastAsia" w:ascii="宋体" w:hAnsi="宋体" w:cs="Arial"/>
          <w:highlight w:val="none"/>
        </w:rPr>
        <w:t>1.2</w:t>
      </w:r>
      <w:r>
        <w:rPr>
          <w:rFonts w:hint="eastAsia" w:ascii="宋体" w:hAnsi="宋体" w:cs="Arial"/>
          <w:highlight w:val="none"/>
          <w:lang w:val="en-US" w:eastAsia="zh-CN"/>
        </w:rPr>
        <w:t xml:space="preserve"> </w:t>
      </w:r>
      <w:r>
        <w:rPr>
          <w:rFonts w:hint="eastAsia" w:ascii="宋体" w:hAnsi="宋体" w:cs="Arial"/>
          <w:highlight w:val="none"/>
        </w:rPr>
        <w:t>项目实施地点：南宁轨道交通1、2、3、4号线场段、2号线西津站、玉洞站及5号线金桥客运站</w:t>
      </w:r>
      <w:r>
        <w:rPr>
          <w:rFonts w:hint="eastAsia" w:ascii="宋体" w:hAnsi="宋体"/>
          <w:highlight w:val="none"/>
          <w:u w:val="none"/>
          <w:lang w:val="en-US" w:eastAsia="zh-CN"/>
        </w:rPr>
        <w:t>。</w:t>
      </w:r>
    </w:p>
    <w:p>
      <w:pPr>
        <w:keepNext w:val="0"/>
        <w:keepLines w:val="0"/>
        <w:pageBreakBefore w:val="0"/>
        <w:widowControl/>
        <w:tabs>
          <w:tab w:val="left" w:pos="1134"/>
          <w:tab w:val="left" w:pos="1680"/>
        </w:tabs>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s="Arial"/>
          <w:highlight w:val="none"/>
        </w:rPr>
      </w:pPr>
      <w:r>
        <w:rPr>
          <w:rFonts w:hint="eastAsia" w:ascii="宋体" w:hAnsi="宋体" w:cs="Arial"/>
          <w:highlight w:val="none"/>
        </w:rPr>
        <w:t>1.3</w:t>
      </w:r>
      <w:r>
        <w:rPr>
          <w:rFonts w:hint="eastAsia" w:ascii="宋体" w:hAnsi="宋体" w:cs="Arial"/>
          <w:highlight w:val="none"/>
          <w:lang w:val="en-US" w:eastAsia="zh-CN"/>
        </w:rPr>
        <w:t xml:space="preserve"> </w:t>
      </w:r>
      <w:r>
        <w:rPr>
          <w:rFonts w:hint="eastAsia" w:ascii="宋体" w:hAnsi="宋体" w:cs="Arial"/>
          <w:highlight w:val="none"/>
        </w:rPr>
        <w:t>项目范围：</w:t>
      </w:r>
      <w:r>
        <w:rPr>
          <w:rFonts w:hint="eastAsia" w:cs="宋体" w:asciiTheme="minorEastAsia" w:hAnsiTheme="minorEastAsia" w:eastAsiaTheme="minorEastAsia"/>
          <w:color w:val="auto"/>
          <w:kern w:val="2"/>
          <w:sz w:val="21"/>
          <w:szCs w:val="21"/>
          <w:highlight w:val="none"/>
          <w:lang w:val="en-US" w:eastAsia="zh-CN" w:bidi="ar-SA"/>
        </w:rPr>
        <w:t>南宁轨道交通1号线屯里车辆段及西乡塘停车场、2号线安吉综合基地及新村停车场、3号线心圩车辆段及新村停车场、4号线五象车辆段出入段（场）线地面洞口，2号线西津站、玉洞站以及5号线金桥客运站紧急疏散口</w:t>
      </w:r>
      <w:r>
        <w:rPr>
          <w:rFonts w:hint="eastAsia" w:ascii="宋体" w:hAnsi="宋体" w:eastAsia="宋体" w:cs="宋体"/>
          <w:color w:val="auto"/>
          <w:kern w:val="2"/>
          <w:sz w:val="21"/>
          <w:szCs w:val="21"/>
          <w:highlight w:val="none"/>
          <w:lang w:val="en-US" w:eastAsia="zh-CN" w:bidi="ar-SA"/>
        </w:rPr>
        <w:t>新增和调试摄像机设备（包括但不限于摄像机、摄像机壁式/悬挂式支架</w:t>
      </w:r>
      <w:r>
        <w:rPr>
          <w:rFonts w:hint="eastAsia" w:ascii="宋体" w:hAnsi="宋体" w:cs="宋体"/>
          <w:color w:val="auto"/>
          <w:kern w:val="2"/>
          <w:sz w:val="21"/>
          <w:szCs w:val="21"/>
          <w:highlight w:val="none"/>
          <w:lang w:val="en-US" w:eastAsia="zh-CN" w:bidi="ar-SA"/>
        </w:rPr>
        <w:t>、线缆及附属设备的采购与</w:t>
      </w:r>
      <w:r>
        <w:rPr>
          <w:rFonts w:hint="eastAsia" w:ascii="宋体" w:hAnsi="宋体" w:eastAsia="宋体" w:cs="宋体"/>
          <w:color w:val="auto"/>
          <w:kern w:val="2"/>
          <w:sz w:val="21"/>
          <w:szCs w:val="21"/>
          <w:highlight w:val="none"/>
          <w:lang w:val="en-US" w:eastAsia="zh-CN" w:bidi="ar-SA"/>
        </w:rPr>
        <w:t>安装</w:t>
      </w:r>
      <w:r>
        <w:rPr>
          <w:rFonts w:hint="eastAsia" w:ascii="宋体" w:hAnsi="宋体" w:cs="宋体"/>
          <w:color w:val="auto"/>
          <w:kern w:val="2"/>
          <w:sz w:val="21"/>
          <w:szCs w:val="21"/>
          <w:highlight w:val="none"/>
          <w:lang w:val="en-US" w:eastAsia="zh-CN" w:bidi="ar-SA"/>
        </w:rPr>
        <w:t>，摄像机接入既有CCTV管理平台及与综合监控专业的接口调试</w:t>
      </w:r>
      <w:r>
        <w:rPr>
          <w:rFonts w:hint="eastAsia" w:ascii="宋体" w:hAnsi="宋体" w:eastAsia="宋体" w:cs="宋体"/>
          <w:color w:val="auto"/>
          <w:kern w:val="2"/>
          <w:sz w:val="21"/>
          <w:szCs w:val="21"/>
          <w:highlight w:val="none"/>
          <w:lang w:val="en-US" w:eastAsia="zh-CN" w:bidi="ar-SA"/>
        </w:rPr>
        <w:t>）</w:t>
      </w:r>
      <w:r>
        <w:rPr>
          <w:rFonts w:hint="eastAsia" w:ascii="宋体" w:hAnsi="宋体" w:cs="Arial"/>
          <w:highlight w:val="none"/>
          <w:lang w:eastAsia="zh-CN"/>
        </w:rPr>
        <w:t>，</w:t>
      </w:r>
      <w:r>
        <w:rPr>
          <w:rFonts w:hint="eastAsia" w:ascii="宋体" w:hAnsi="宋体" w:cs="Arial"/>
          <w:highlight w:val="none"/>
        </w:rPr>
        <w:t>具体详见用户需求书。</w:t>
      </w:r>
    </w:p>
    <w:p>
      <w:pPr>
        <w:tabs>
          <w:tab w:val="left" w:pos="1134"/>
          <w:tab w:val="left" w:pos="1680"/>
        </w:tabs>
        <w:spacing w:before="0" w:after="0" w:afterAutospacing="0"/>
        <w:ind w:left="0" w:right="0" w:firstLine="422"/>
        <w:rPr>
          <w:rFonts w:ascii="宋体" w:hAnsi="宋体" w:cs="Arial"/>
          <w:b/>
          <w:highlight w:val="none"/>
        </w:rPr>
      </w:pPr>
      <w:r>
        <w:rPr>
          <w:rFonts w:ascii="宋体" w:hAnsi="宋体" w:cs="Arial"/>
          <w:b/>
          <w:highlight w:val="none"/>
        </w:rPr>
        <w:t>2</w:t>
      </w:r>
      <w:r>
        <w:rPr>
          <w:rFonts w:hint="eastAsia" w:ascii="宋体" w:hAnsi="宋体" w:cs="Arial"/>
          <w:b/>
          <w:highlight w:val="none"/>
          <w:lang w:eastAsia="zh-CN"/>
        </w:rPr>
        <w:t>.</w:t>
      </w:r>
      <w:r>
        <w:rPr>
          <w:rFonts w:hint="eastAsia" w:ascii="宋体" w:hAnsi="宋体" w:cs="Arial"/>
          <w:b/>
          <w:highlight w:val="none"/>
        </w:rPr>
        <w:t>合同标的</w:t>
      </w:r>
    </w:p>
    <w:p>
      <w:pPr>
        <w:keepNext w:val="0"/>
        <w:keepLines w:val="0"/>
        <w:pageBreakBefore w:val="0"/>
        <w:widowControl/>
        <w:tabs>
          <w:tab w:val="left" w:pos="1134"/>
          <w:tab w:val="left" w:pos="1680"/>
        </w:tabs>
        <w:kinsoku/>
        <w:wordWrap/>
        <w:overflowPunct/>
        <w:topLinePunct w:val="0"/>
        <w:autoSpaceDE/>
        <w:autoSpaceDN/>
        <w:bidi w:val="0"/>
        <w:adjustRightInd/>
        <w:snapToGrid/>
        <w:spacing w:before="0" w:after="0" w:afterAutospacing="0"/>
        <w:ind w:left="0" w:right="0" w:firstLine="420" w:firstLineChars="200"/>
        <w:textAlignment w:val="auto"/>
        <w:rPr>
          <w:rFonts w:hint="eastAsia" w:eastAsia="宋体"/>
          <w:highlight w:val="none"/>
          <w:lang w:val="en-US" w:eastAsia="zh-CN"/>
        </w:rPr>
      </w:pPr>
      <w:r>
        <w:rPr>
          <w:rFonts w:hint="eastAsia"/>
          <w:highlight w:val="none"/>
        </w:rPr>
        <w:t>甲方同意接受，乙方同意作为中选方并以下列第</w:t>
      </w:r>
      <w:r>
        <w:rPr>
          <w:rFonts w:hint="eastAsia"/>
          <w:highlight w:val="none"/>
          <w:lang w:val="en-US" w:eastAsia="zh-CN"/>
        </w:rPr>
        <w:t>4</w:t>
      </w:r>
      <w:r>
        <w:rPr>
          <w:rFonts w:hint="eastAsia"/>
          <w:highlight w:val="none"/>
        </w:rPr>
        <w:t>条所述价格提供</w:t>
      </w:r>
      <w:r>
        <w:rPr>
          <w:rFonts w:hint="eastAsia" w:ascii="宋体" w:hAnsi="宋体"/>
          <w:highlight w:val="none"/>
          <w:u w:val="single"/>
          <w:lang w:eastAsia="zh-CN"/>
        </w:rPr>
        <w:t>南宁轨道交通1-5号线出入段（场）线地面洞口及个别车站紧急疏散口视频监控补盲项目</w:t>
      </w:r>
      <w:r>
        <w:rPr>
          <w:rFonts w:hint="eastAsia"/>
          <w:highlight w:val="none"/>
        </w:rPr>
        <w:t>项下的</w:t>
      </w:r>
      <w:r>
        <w:rPr>
          <w:rFonts w:hint="eastAsia"/>
          <w:highlight w:val="none"/>
          <w:u w:val="single"/>
          <w:lang w:val="en-US" w:eastAsia="zh-CN"/>
        </w:rPr>
        <w:t xml:space="preserve"> 摄像机补盲服务（包括但不限于设备采购、安装、人工及质保等）</w:t>
      </w:r>
      <w:r>
        <w:rPr>
          <w:rFonts w:hint="eastAsia"/>
          <w:highlight w:val="none"/>
          <w:u w:val="single"/>
          <w:lang w:eastAsia="zh-CN"/>
        </w:rPr>
        <w:t>。</w:t>
      </w:r>
    </w:p>
    <w:p>
      <w:pPr>
        <w:keepNext w:val="0"/>
        <w:keepLines w:val="0"/>
        <w:pageBreakBefore w:val="0"/>
        <w:widowControl/>
        <w:tabs>
          <w:tab w:val="left" w:pos="1134"/>
          <w:tab w:val="left" w:pos="1680"/>
        </w:tabs>
        <w:kinsoku/>
        <w:wordWrap/>
        <w:overflowPunct/>
        <w:topLinePunct w:val="0"/>
        <w:autoSpaceDE/>
        <w:autoSpaceDN/>
        <w:bidi w:val="0"/>
        <w:adjustRightInd/>
        <w:snapToGrid/>
        <w:spacing w:before="0" w:after="0" w:afterAutospacing="0"/>
        <w:ind w:left="0" w:right="0" w:firstLine="422"/>
        <w:textAlignment w:val="auto"/>
        <w:rPr>
          <w:rFonts w:hint="eastAsia" w:ascii="宋体" w:hAnsi="宋体" w:cs="Arial"/>
          <w:b/>
          <w:highlight w:val="none"/>
          <w:lang w:val="en-US" w:eastAsia="zh-CN"/>
        </w:rPr>
      </w:pPr>
      <w:r>
        <w:rPr>
          <w:rFonts w:hint="eastAsia" w:ascii="宋体" w:hAnsi="宋体" w:cs="Arial"/>
          <w:b/>
          <w:highlight w:val="none"/>
          <w:lang w:val="en-US" w:eastAsia="zh-CN"/>
        </w:rPr>
        <w:t>3</w:t>
      </w:r>
      <w:r>
        <w:rPr>
          <w:rFonts w:hint="eastAsia" w:ascii="宋体" w:hAnsi="宋体" w:cs="Arial"/>
          <w:b/>
          <w:highlight w:val="none"/>
          <w:lang w:eastAsia="zh-CN"/>
        </w:rPr>
        <w:t>.</w:t>
      </w:r>
      <w:r>
        <w:rPr>
          <w:rFonts w:hint="eastAsia" w:ascii="宋体" w:hAnsi="宋体" w:cs="Arial"/>
          <w:b/>
          <w:highlight w:val="none"/>
        </w:rPr>
        <w:t>合同</w:t>
      </w:r>
      <w:r>
        <w:rPr>
          <w:rFonts w:hint="eastAsia" w:ascii="宋体" w:hAnsi="宋体" w:cs="Arial"/>
          <w:b/>
          <w:highlight w:val="none"/>
          <w:lang w:val="en-US" w:eastAsia="zh-CN"/>
        </w:rPr>
        <w:t>工期（服务期限）</w:t>
      </w:r>
    </w:p>
    <w:p>
      <w:pPr>
        <w:pStyle w:val="15"/>
        <w:keepNext w:val="0"/>
        <w:keepLines w:val="0"/>
        <w:pageBreakBefore w:val="0"/>
        <w:widowControl/>
        <w:kinsoku/>
        <w:wordWrap/>
        <w:overflowPunct/>
        <w:topLinePunct w:val="0"/>
        <w:autoSpaceDE/>
        <w:autoSpaceDN/>
        <w:bidi w:val="0"/>
        <w:adjustRightInd/>
        <w:snapToGrid/>
        <w:spacing w:before="0" w:afterAutospacing="0"/>
        <w:ind w:left="0" w:right="0" w:firstLine="420" w:firstLineChars="200"/>
        <w:textAlignment w:val="auto"/>
        <w:rPr>
          <w:rFonts w:ascii="宋体" w:hAnsi="宋体"/>
          <w:b/>
          <w:sz w:val="21"/>
          <w:szCs w:val="21"/>
          <w:highlight w:val="none"/>
        </w:rPr>
      </w:pPr>
      <w:r>
        <w:rPr>
          <w:rFonts w:hint="eastAsia" w:hAnsi="宋体"/>
          <w:sz w:val="21"/>
          <w:szCs w:val="21"/>
          <w:highlight w:val="none"/>
          <w:u w:val="none"/>
          <w:lang w:val="en-US" w:eastAsia="zh-CN"/>
        </w:rPr>
        <w:t>南宁轨道交通1-5号线出入段（场）线地面洞口及个别车站紧急疏散口视频监控补盲项目服务期：</w:t>
      </w:r>
      <w:r>
        <w:rPr>
          <w:rFonts w:hint="eastAsia" w:hAnsi="宋体"/>
          <w:color w:val="auto"/>
          <w:sz w:val="21"/>
          <w:szCs w:val="21"/>
          <w:highlight w:val="none"/>
          <w:u w:val="none"/>
          <w:lang w:val="en-US" w:eastAsia="zh-CN"/>
        </w:rPr>
        <w:t>45</w:t>
      </w:r>
      <w:r>
        <w:rPr>
          <w:rFonts w:hint="eastAsia" w:ascii="宋体" w:hAnsi="宋体"/>
          <w:color w:val="auto"/>
          <w:sz w:val="21"/>
          <w:szCs w:val="21"/>
          <w:highlight w:val="none"/>
          <w:u w:val="none"/>
        </w:rPr>
        <w:t>天，</w:t>
      </w:r>
      <w:r>
        <w:rPr>
          <w:rFonts w:hint="eastAsia" w:hAnsi="宋体"/>
          <w:color w:val="auto"/>
          <w:sz w:val="21"/>
          <w:szCs w:val="21"/>
          <w:highlight w:val="none"/>
          <w:u w:val="none"/>
          <w:lang w:val="en-US" w:eastAsia="zh-CN"/>
        </w:rPr>
        <w:t>自甲方</w:t>
      </w:r>
      <w:r>
        <w:rPr>
          <w:rFonts w:hint="eastAsia" w:ascii="宋体" w:hAnsi="宋体"/>
          <w:color w:val="auto"/>
          <w:sz w:val="21"/>
          <w:szCs w:val="21"/>
          <w:highlight w:val="none"/>
          <w:u w:val="none"/>
        </w:rPr>
        <w:t>开工令发布</w:t>
      </w:r>
      <w:r>
        <w:rPr>
          <w:rFonts w:hint="eastAsia" w:hAnsi="宋体"/>
          <w:color w:val="auto"/>
          <w:sz w:val="21"/>
          <w:szCs w:val="21"/>
          <w:highlight w:val="none"/>
          <w:u w:val="none"/>
          <w:lang w:val="en-US" w:eastAsia="zh-CN"/>
        </w:rPr>
        <w:t>之日起至</w:t>
      </w:r>
      <w:r>
        <w:rPr>
          <w:rFonts w:hint="eastAsia" w:ascii="宋体" w:hAnsi="宋体"/>
          <w:color w:val="auto"/>
          <w:sz w:val="21"/>
          <w:szCs w:val="21"/>
          <w:highlight w:val="none"/>
          <w:u w:val="none"/>
          <w:lang w:val="en-US" w:eastAsia="zh-CN"/>
        </w:rPr>
        <w:t>项目验收合格日</w:t>
      </w:r>
      <w:r>
        <w:rPr>
          <w:rFonts w:hint="eastAsia" w:hAnsi="宋体"/>
          <w:color w:val="auto"/>
          <w:sz w:val="21"/>
          <w:szCs w:val="21"/>
          <w:highlight w:val="none"/>
          <w:u w:val="none"/>
          <w:lang w:val="en-US" w:eastAsia="zh-CN"/>
        </w:rPr>
        <w:t>止</w:t>
      </w:r>
      <w:r>
        <w:rPr>
          <w:rFonts w:hint="eastAsia" w:ascii="宋体" w:hAnsi="宋体"/>
          <w:color w:val="auto"/>
          <w:sz w:val="21"/>
          <w:szCs w:val="21"/>
          <w:highlight w:val="none"/>
          <w:u w:val="none"/>
          <w:lang w:val="en-US" w:eastAsia="zh-CN"/>
        </w:rPr>
        <w:t>。</w:t>
      </w:r>
    </w:p>
    <w:p>
      <w:pPr>
        <w:keepNext w:val="0"/>
        <w:keepLines w:val="0"/>
        <w:pageBreakBefore w:val="0"/>
        <w:widowControl/>
        <w:tabs>
          <w:tab w:val="left" w:pos="567"/>
        </w:tabs>
        <w:kinsoku/>
        <w:wordWrap/>
        <w:overflowPunct/>
        <w:topLinePunct w:val="0"/>
        <w:autoSpaceDE/>
        <w:autoSpaceDN/>
        <w:bidi w:val="0"/>
        <w:adjustRightInd/>
        <w:snapToGrid/>
        <w:spacing w:before="0" w:after="0" w:afterAutospacing="0"/>
        <w:ind w:left="0" w:right="0" w:firstLine="422" w:firstLineChars="200"/>
        <w:textAlignment w:val="auto"/>
        <w:rPr>
          <w:rFonts w:ascii="宋体" w:hAnsi="宋体"/>
          <w:b/>
          <w:highlight w:val="none"/>
        </w:rPr>
      </w:pPr>
      <w:r>
        <w:rPr>
          <w:rFonts w:hint="eastAsia" w:ascii="宋体" w:hAnsi="宋体"/>
          <w:b/>
          <w:highlight w:val="none"/>
          <w:lang w:val="en-US" w:eastAsia="zh-CN"/>
        </w:rPr>
        <w:t>4</w:t>
      </w:r>
      <w:r>
        <w:rPr>
          <w:rFonts w:hint="eastAsia" w:ascii="宋体" w:hAnsi="宋体"/>
          <w:b/>
          <w:highlight w:val="none"/>
          <w:lang w:eastAsia="zh-CN"/>
        </w:rPr>
        <w:t>.</w:t>
      </w:r>
      <w:r>
        <w:rPr>
          <w:rFonts w:ascii="宋体" w:hAnsi="宋体"/>
          <w:b/>
          <w:highlight w:val="none"/>
        </w:rPr>
        <w:t>合同</w:t>
      </w:r>
      <w:r>
        <w:rPr>
          <w:rFonts w:hint="eastAsia" w:ascii="宋体" w:hAnsi="宋体"/>
          <w:b/>
          <w:highlight w:val="none"/>
        </w:rPr>
        <w:t>价格</w:t>
      </w:r>
    </w:p>
    <w:p>
      <w:pPr>
        <w:keepNext w:val="0"/>
        <w:keepLines w:val="0"/>
        <w:pageBreakBefore w:val="0"/>
        <w:widowControl/>
        <w:tabs>
          <w:tab w:val="left" w:pos="567"/>
        </w:tabs>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rPr>
      </w:pPr>
      <w:r>
        <w:rPr>
          <w:rFonts w:hint="eastAsia" w:ascii="宋体" w:hAnsi="宋体"/>
          <w:highlight w:val="none"/>
        </w:rPr>
        <w:t>本项目合同价格为：不含税价：人民币</w:t>
      </w:r>
      <w:r>
        <w:rPr>
          <w:rFonts w:hint="eastAsia" w:ascii="宋体" w:hAnsi="宋体"/>
          <w:highlight w:val="none"/>
          <w:u w:val="single"/>
        </w:rPr>
        <w:t xml:space="preserve">       (¥  )</w:t>
      </w:r>
      <w:r>
        <w:rPr>
          <w:rFonts w:hint="eastAsia" w:ascii="宋体" w:hAnsi="宋体"/>
          <w:highlight w:val="none"/>
        </w:rPr>
        <w:t>；税费：人民币</w:t>
      </w:r>
      <w:r>
        <w:rPr>
          <w:rFonts w:hint="eastAsia" w:ascii="宋体" w:hAnsi="宋体"/>
          <w:highlight w:val="none"/>
          <w:u w:val="single"/>
        </w:rPr>
        <w:t xml:space="preserve">       (¥  )</w:t>
      </w:r>
      <w:r>
        <w:rPr>
          <w:rFonts w:hint="eastAsia" w:ascii="宋体" w:hAnsi="宋体"/>
          <w:highlight w:val="none"/>
        </w:rPr>
        <w:t>；税率</w:t>
      </w:r>
      <w:r>
        <w:rPr>
          <w:rFonts w:hint="eastAsia" w:ascii="宋体" w:hAnsi="宋体"/>
          <w:highlight w:val="none"/>
          <w:u w:val="single"/>
        </w:rPr>
        <w:t>： %</w:t>
      </w:r>
      <w:r>
        <w:rPr>
          <w:rFonts w:hint="eastAsia" w:ascii="宋体" w:hAnsi="宋体"/>
          <w:highlight w:val="none"/>
        </w:rPr>
        <w:t>；含税总价：人民币</w:t>
      </w:r>
      <w:r>
        <w:rPr>
          <w:rFonts w:hint="eastAsia" w:ascii="宋体" w:hAnsi="宋体"/>
          <w:highlight w:val="none"/>
          <w:u w:val="single"/>
        </w:rPr>
        <w:t xml:space="preserve">       (¥  )</w:t>
      </w:r>
      <w:r>
        <w:rPr>
          <w:rFonts w:hint="eastAsia" w:ascii="宋体" w:hAnsi="宋体"/>
          <w:highlight w:val="none"/>
          <w:u w:val="none"/>
        </w:rPr>
        <w:t>，</w:t>
      </w:r>
      <w:r>
        <w:rPr>
          <w:rFonts w:hint="eastAsia" w:ascii="宋体" w:hAnsi="宋体"/>
          <w:highlight w:val="none"/>
        </w:rPr>
        <w:t>（下文称“合同价格”</w:t>
      </w:r>
      <w:r>
        <w:rPr>
          <w:rFonts w:ascii="宋体" w:hAnsi="宋体"/>
          <w:highlight w:val="none"/>
        </w:rPr>
        <w:t>)</w:t>
      </w:r>
      <w:r>
        <w:rPr>
          <w:rFonts w:hint="eastAsia" w:ascii="宋体" w:hAnsi="宋体"/>
          <w:highlight w:val="none"/>
        </w:rPr>
        <w:t>。本合同价格为暂定价，</w:t>
      </w:r>
      <w:r>
        <w:rPr>
          <w:rFonts w:hint="eastAsia" w:ascii="宋体" w:hAnsi="宋体"/>
          <w:b/>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2" w:firstLineChars="200"/>
        <w:rPr>
          <w:rFonts w:ascii="宋体" w:hAnsi="宋体"/>
          <w:highlight w:val="none"/>
        </w:rPr>
      </w:pPr>
      <w:r>
        <w:rPr>
          <w:rFonts w:hint="eastAsia" w:ascii="宋体" w:hAnsi="宋体"/>
          <w:b/>
          <w:highlight w:val="none"/>
          <w:lang w:val="en-US" w:eastAsia="zh-CN"/>
        </w:rPr>
        <w:t>5</w:t>
      </w:r>
      <w:r>
        <w:rPr>
          <w:rFonts w:ascii="宋体" w:hAnsi="宋体"/>
          <w:b/>
          <w:highlight w:val="none"/>
        </w:rPr>
        <w:t>.本合同由下列文件构成</w:t>
      </w:r>
      <w:r>
        <w:rPr>
          <w:rFonts w:hint="eastAsia" w:ascii="宋体" w:hAnsi="宋体"/>
          <w:highlight w:val="none"/>
        </w:rPr>
        <w:t>：</w:t>
      </w:r>
    </w:p>
    <w:p>
      <w:pPr>
        <w:spacing w:before="0" w:after="0" w:afterAutospacing="0"/>
        <w:ind w:left="0" w:right="0" w:firstLine="420" w:firstLineChars="200"/>
        <w:rPr>
          <w:rFonts w:ascii="宋体" w:hAnsi="宋体"/>
          <w:highlight w:val="none"/>
        </w:rPr>
      </w:pPr>
      <w:bookmarkStart w:id="1178" w:name="_Toc98_WPSOffice_Level2"/>
      <w:bookmarkStart w:id="1179" w:name="_Toc20006_WPSOffice_Level2"/>
      <w:r>
        <w:rPr>
          <w:rFonts w:hint="eastAsia" w:ascii="宋体" w:hAnsi="宋体"/>
          <w:highlight w:val="none"/>
        </w:rPr>
        <w:t>（</w:t>
      </w:r>
      <w:r>
        <w:rPr>
          <w:rFonts w:ascii="宋体" w:hAnsi="宋体"/>
          <w:highlight w:val="none"/>
        </w:rPr>
        <w:t>1</w:t>
      </w:r>
      <w:r>
        <w:rPr>
          <w:rFonts w:hint="eastAsia" w:ascii="宋体" w:hAnsi="宋体"/>
          <w:highlight w:val="none"/>
        </w:rPr>
        <w:t>）本合同协议书（含合同谈判过程中的澄清文件和补充资料）；</w:t>
      </w:r>
      <w:bookmarkEnd w:id="1178"/>
      <w:bookmarkEnd w:id="1179"/>
    </w:p>
    <w:p>
      <w:pPr>
        <w:spacing w:before="0" w:after="0" w:afterAutospacing="0"/>
        <w:ind w:left="0" w:right="0" w:firstLine="420" w:firstLineChars="200"/>
        <w:rPr>
          <w:rFonts w:ascii="宋体" w:hAnsi="宋体"/>
          <w:highlight w:val="none"/>
        </w:rPr>
      </w:pPr>
      <w:bookmarkStart w:id="1180" w:name="_Toc2431_WPSOffice_Level2"/>
      <w:bookmarkStart w:id="1181" w:name="_Toc28765_WPSOffice_Level2"/>
      <w:r>
        <w:rPr>
          <w:rFonts w:hint="eastAsia" w:ascii="宋体" w:hAnsi="宋体"/>
          <w:highlight w:val="none"/>
        </w:rPr>
        <w:t>（</w:t>
      </w:r>
      <w:r>
        <w:rPr>
          <w:rFonts w:ascii="宋体" w:hAnsi="宋体"/>
          <w:highlight w:val="none"/>
        </w:rPr>
        <w:t>2</w:t>
      </w:r>
      <w:r>
        <w:rPr>
          <w:rFonts w:hint="eastAsia" w:ascii="宋体" w:hAnsi="宋体"/>
          <w:highlight w:val="none"/>
        </w:rPr>
        <w:t>）中选通知书；</w:t>
      </w:r>
      <w:bookmarkEnd w:id="1180"/>
      <w:bookmarkEnd w:id="1181"/>
    </w:p>
    <w:p>
      <w:pPr>
        <w:spacing w:before="0" w:after="0" w:afterAutospacing="0"/>
        <w:ind w:left="0" w:right="0" w:firstLine="420" w:firstLineChars="200"/>
        <w:rPr>
          <w:rFonts w:ascii="宋体" w:hAnsi="宋体"/>
          <w:highlight w:val="none"/>
        </w:rPr>
      </w:pPr>
      <w:bookmarkStart w:id="1182" w:name="_Toc23916_WPSOffice_Level2"/>
      <w:bookmarkStart w:id="1183" w:name="_Toc27182_WPSOffice_Level2"/>
      <w:r>
        <w:rPr>
          <w:rFonts w:hint="eastAsia" w:ascii="宋体" w:hAnsi="宋体"/>
          <w:highlight w:val="none"/>
        </w:rPr>
        <w:t>（</w:t>
      </w:r>
      <w:r>
        <w:rPr>
          <w:rFonts w:ascii="宋体" w:hAnsi="宋体"/>
          <w:highlight w:val="none"/>
        </w:rPr>
        <w:t>3</w:t>
      </w:r>
      <w:r>
        <w:rPr>
          <w:rFonts w:hint="eastAsia" w:ascii="宋体" w:hAnsi="宋体"/>
          <w:highlight w:val="none"/>
        </w:rPr>
        <w:t>）价格组成文件；</w:t>
      </w:r>
      <w:bookmarkEnd w:id="1182"/>
      <w:bookmarkEnd w:id="1183"/>
    </w:p>
    <w:p>
      <w:pPr>
        <w:spacing w:before="0" w:after="0" w:afterAutospacing="0"/>
        <w:ind w:left="0" w:right="0" w:firstLine="420" w:firstLineChars="200"/>
        <w:rPr>
          <w:rFonts w:ascii="宋体" w:hAnsi="宋体"/>
          <w:highlight w:val="none"/>
        </w:rPr>
      </w:pPr>
      <w:bookmarkStart w:id="1184" w:name="_Toc21195_WPSOffice_Level2"/>
      <w:bookmarkStart w:id="1185" w:name="_Toc25584_WPSOffice_Level2"/>
      <w:r>
        <w:rPr>
          <w:rFonts w:hint="eastAsia" w:ascii="宋体" w:hAnsi="宋体"/>
          <w:highlight w:val="none"/>
        </w:rPr>
        <w:t>（4）合同条款；</w:t>
      </w:r>
      <w:bookmarkEnd w:id="1184"/>
      <w:bookmarkEnd w:id="1185"/>
    </w:p>
    <w:p>
      <w:pPr>
        <w:spacing w:before="0" w:after="0" w:afterAutospacing="0"/>
        <w:ind w:left="0" w:right="0" w:firstLine="420" w:firstLineChars="200"/>
        <w:rPr>
          <w:rFonts w:ascii="宋体" w:hAnsi="宋体"/>
          <w:highlight w:val="none"/>
        </w:rPr>
      </w:pPr>
      <w:bookmarkStart w:id="1186" w:name="_Toc780_WPSOffice_Level2"/>
      <w:bookmarkStart w:id="1187" w:name="_Toc8808_WPSOffice_Level2"/>
      <w:r>
        <w:rPr>
          <w:rFonts w:hint="eastAsia" w:ascii="宋体" w:hAnsi="宋体"/>
          <w:highlight w:val="none"/>
        </w:rPr>
        <w:t>（5）</w:t>
      </w:r>
      <w:r>
        <w:rPr>
          <w:rFonts w:hint="eastAsia" w:ascii="宋体" w:hAnsi="宋体"/>
          <w:highlight w:val="none"/>
          <w:lang w:val="en-US" w:eastAsia="zh-CN"/>
        </w:rPr>
        <w:t>技术规格</w:t>
      </w:r>
      <w:r>
        <w:rPr>
          <w:rFonts w:hint="eastAsia" w:ascii="宋体" w:hAnsi="宋体"/>
          <w:highlight w:val="none"/>
        </w:rPr>
        <w:t>书；</w:t>
      </w:r>
      <w:bookmarkEnd w:id="1186"/>
      <w:bookmarkEnd w:id="1187"/>
    </w:p>
    <w:p>
      <w:pPr>
        <w:spacing w:before="0" w:after="0" w:afterAutospacing="0"/>
        <w:ind w:left="0" w:right="0" w:firstLine="420" w:firstLineChars="200"/>
        <w:rPr>
          <w:rFonts w:ascii="宋体" w:hAnsi="宋体"/>
          <w:highlight w:val="none"/>
        </w:rPr>
      </w:pPr>
      <w:bookmarkStart w:id="1188" w:name="_Toc23251_WPSOffice_Level2"/>
      <w:bookmarkStart w:id="1189" w:name="_Toc3522_WPSOffice_Level2"/>
      <w:r>
        <w:rPr>
          <w:rFonts w:hint="eastAsia" w:ascii="宋体" w:hAnsi="宋体"/>
          <w:highlight w:val="none"/>
        </w:rPr>
        <w:t>（6）合同附件；</w:t>
      </w:r>
      <w:bookmarkEnd w:id="1188"/>
      <w:bookmarkEnd w:id="1189"/>
    </w:p>
    <w:p>
      <w:pPr>
        <w:spacing w:before="0" w:after="0" w:afterAutospacing="0"/>
        <w:ind w:left="0" w:right="0" w:firstLine="420" w:firstLineChars="200"/>
        <w:rPr>
          <w:rFonts w:ascii="宋体" w:hAnsi="宋体"/>
          <w:highlight w:val="none"/>
        </w:rPr>
      </w:pPr>
      <w:bookmarkStart w:id="1190" w:name="_Toc22659_WPSOffice_Level2"/>
      <w:bookmarkStart w:id="1191" w:name="_Toc19950_WPSOffice_Level2"/>
      <w:r>
        <w:rPr>
          <w:rFonts w:hint="eastAsia" w:ascii="宋体" w:hAnsi="宋体"/>
          <w:highlight w:val="none"/>
        </w:rPr>
        <w:t>（7）比选文件（含比选补充文件）；</w:t>
      </w:r>
      <w:bookmarkEnd w:id="1190"/>
      <w:bookmarkEnd w:id="1191"/>
    </w:p>
    <w:p>
      <w:pPr>
        <w:spacing w:before="0" w:after="0" w:afterAutospacing="0"/>
        <w:ind w:left="0" w:right="0" w:firstLine="420" w:firstLineChars="200"/>
        <w:rPr>
          <w:rFonts w:ascii="宋体" w:hAnsi="宋体"/>
          <w:highlight w:val="none"/>
        </w:rPr>
      </w:pPr>
      <w:bookmarkStart w:id="1192" w:name="_Toc25393_WPSOffice_Level2"/>
      <w:bookmarkStart w:id="1193" w:name="_Toc21645_WPSOffice_Level2"/>
      <w:r>
        <w:rPr>
          <w:rFonts w:hint="eastAsia" w:ascii="宋体" w:hAnsi="宋体"/>
          <w:highlight w:val="none"/>
        </w:rPr>
        <w:t>（8）比选申请文件（含比选申请文件的补充文件）。</w:t>
      </w:r>
      <w:bookmarkEnd w:id="1192"/>
      <w:bookmarkEnd w:id="1193"/>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s="Arial"/>
          <w:highlight w:val="none"/>
        </w:rPr>
      </w:pPr>
      <w:r>
        <w:rPr>
          <w:rFonts w:hint="eastAsia" w:cs="宋体"/>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highlight w:val="none"/>
        </w:rPr>
        <w:t>。</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cs="宋体"/>
          <w:highlight w:val="none"/>
          <w:lang w:val="en-US" w:eastAsia="zh-CN"/>
        </w:rPr>
        <w:t>6</w:t>
      </w:r>
      <w:r>
        <w:rPr>
          <w:rFonts w:hint="eastAsia" w:ascii="宋体" w:hAnsi="宋体" w:eastAsia="宋体" w:cs="宋体"/>
          <w:highlight w:val="none"/>
        </w:rPr>
        <w:t>. 乙方向甲方承诺严格履行合同条款义务，按合同约定承担本合同责任。</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cs="宋体"/>
          <w:highlight w:val="none"/>
          <w:lang w:val="en-US" w:eastAsia="zh-CN"/>
        </w:rPr>
        <w:t>7</w:t>
      </w:r>
      <w:r>
        <w:rPr>
          <w:rFonts w:hint="eastAsia" w:ascii="宋体" w:hAnsi="宋体" w:eastAsia="宋体" w:cs="宋体"/>
          <w:highlight w:val="none"/>
        </w:rPr>
        <w:t>. 甲方向乙方承诺按合同条款约定的条件、时间和方式支付合同价款。</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cs="宋体"/>
          <w:highlight w:val="none"/>
          <w:lang w:val="en-US" w:eastAsia="zh-CN"/>
        </w:rPr>
        <w:t>8.</w:t>
      </w:r>
      <w:r>
        <w:rPr>
          <w:rFonts w:hint="eastAsia"/>
          <w:highlight w:val="none"/>
        </w:rPr>
        <w:t>双方依据本次比选文件中的用户需求书</w:t>
      </w:r>
      <w:r>
        <w:rPr>
          <w:rFonts w:hint="eastAsia"/>
          <w:highlight w:val="none"/>
          <w:lang w:eastAsia="zh-CN"/>
        </w:rPr>
        <w:t>及</w:t>
      </w:r>
      <w:r>
        <w:rPr>
          <w:rFonts w:hint="eastAsia"/>
          <w:highlight w:val="none"/>
          <w:lang w:val="en-US" w:eastAsia="zh-CN"/>
        </w:rPr>
        <w:t>乙方比选申请文件（如技术响应表、技术文件等），按照二者较优值形成技术规格书，</w:t>
      </w:r>
      <w:r>
        <w:rPr>
          <w:rFonts w:hint="eastAsia"/>
          <w:highlight w:val="none"/>
        </w:rPr>
        <w:t>并经双方</w:t>
      </w:r>
      <w:r>
        <w:rPr>
          <w:rFonts w:hint="eastAsia"/>
          <w:highlight w:val="none"/>
          <w:lang w:eastAsia="zh-CN"/>
        </w:rPr>
        <w:t>确认</w:t>
      </w:r>
      <w:r>
        <w:rPr>
          <w:rFonts w:hint="eastAsia"/>
          <w:highlight w:val="none"/>
        </w:rPr>
        <w:t>后构成本合同的有效组成部分。在本合同执行中（的系统技术指标）以技术规格书为准。</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cs="宋体"/>
          <w:highlight w:val="none"/>
          <w:lang w:val="en-US" w:eastAsia="zh-CN"/>
        </w:rPr>
        <w:t>9</w:t>
      </w:r>
      <w:r>
        <w:rPr>
          <w:rFonts w:hint="eastAsia" w:ascii="宋体" w:hAnsi="宋体" w:eastAsia="宋体" w:cs="宋体"/>
          <w:highlight w:val="none"/>
        </w:rPr>
        <w:t>. 甲方、乙方承诺按照合同条款约定的违约责任和解决争议方式履行合同。</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cs="宋体"/>
          <w:highlight w:val="none"/>
          <w:lang w:val="en-US" w:eastAsia="zh-CN"/>
        </w:rPr>
        <w:t>10</w:t>
      </w:r>
      <w:r>
        <w:rPr>
          <w:rFonts w:hint="eastAsia" w:ascii="宋体" w:hAnsi="宋体" w:eastAsia="宋体" w:cs="宋体"/>
          <w:highlight w:val="none"/>
        </w:rPr>
        <w:t>.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cs="宋体"/>
          <w:highlight w:val="none"/>
          <w:lang w:val="en-US" w:eastAsia="zh-CN"/>
        </w:rPr>
        <w:t>11</w:t>
      </w:r>
      <w:r>
        <w:rPr>
          <w:rFonts w:hint="eastAsia" w:ascii="宋体" w:hAnsi="宋体" w:eastAsia="宋体" w:cs="宋体"/>
          <w:highlight w:val="none"/>
        </w:rPr>
        <w:t>.本合同用中文书写，正本</w:t>
      </w:r>
      <w:r>
        <w:rPr>
          <w:rFonts w:hint="eastAsia" w:ascii="宋体" w:hAnsi="宋体" w:eastAsia="宋体" w:cs="宋体"/>
          <w:highlight w:val="none"/>
          <w:u w:val="single"/>
        </w:rPr>
        <w:t>2</w:t>
      </w:r>
      <w:r>
        <w:rPr>
          <w:rFonts w:hint="eastAsia" w:ascii="宋体" w:hAnsi="宋体" w:eastAsia="宋体" w:cs="宋体"/>
          <w:highlight w:val="none"/>
        </w:rPr>
        <w:t>份，甲</w:t>
      </w:r>
      <w:r>
        <w:rPr>
          <w:rFonts w:hint="eastAsia" w:ascii="宋体" w:hAnsi="宋体" w:eastAsia="宋体" w:cs="宋体"/>
          <w:highlight w:val="none"/>
          <w:lang w:eastAsia="zh-CN"/>
        </w:rPr>
        <w:t>、</w:t>
      </w:r>
      <w:r>
        <w:rPr>
          <w:rFonts w:hint="eastAsia" w:ascii="宋体" w:hAnsi="宋体" w:eastAsia="宋体" w:cs="宋体"/>
          <w:highlight w:val="none"/>
        </w:rPr>
        <w:t>乙方各</w:t>
      </w:r>
      <w:r>
        <w:rPr>
          <w:rFonts w:hint="eastAsia" w:ascii="宋体" w:hAnsi="宋体" w:eastAsia="宋体" w:cs="宋体"/>
          <w:highlight w:val="none"/>
          <w:u w:val="single"/>
        </w:rPr>
        <w:t>1</w:t>
      </w:r>
      <w:r>
        <w:rPr>
          <w:rFonts w:hint="eastAsia" w:ascii="宋体" w:hAnsi="宋体" w:eastAsia="宋体" w:cs="宋体"/>
          <w:highlight w:val="none"/>
        </w:rPr>
        <w:t>份；副本</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8</w:t>
      </w:r>
      <w:r>
        <w:rPr>
          <w:rFonts w:hint="eastAsia" w:ascii="宋体" w:hAnsi="宋体" w:eastAsia="宋体" w:cs="宋体"/>
          <w:highlight w:val="none"/>
          <w:u w:val="single"/>
        </w:rPr>
        <w:t xml:space="preserve"> </w:t>
      </w:r>
      <w:r>
        <w:rPr>
          <w:rFonts w:hint="eastAsia" w:ascii="宋体" w:hAnsi="宋体" w:eastAsia="宋体" w:cs="宋体"/>
          <w:highlight w:val="none"/>
        </w:rPr>
        <w:t xml:space="preserve">份，甲方持 </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7</w:t>
      </w:r>
      <w:r>
        <w:rPr>
          <w:rFonts w:hint="eastAsia" w:ascii="宋体" w:hAnsi="宋体" w:eastAsia="宋体" w:cs="宋体"/>
          <w:highlight w:val="none"/>
          <w:u w:val="single"/>
        </w:rPr>
        <w:t xml:space="preserve"> </w:t>
      </w:r>
      <w:r>
        <w:rPr>
          <w:rFonts w:hint="eastAsia" w:ascii="宋体" w:hAnsi="宋体" w:eastAsia="宋体" w:cs="宋体"/>
          <w:highlight w:val="none"/>
        </w:rPr>
        <w:t>份，乙方持</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1</w:t>
      </w:r>
      <w:r>
        <w:rPr>
          <w:rFonts w:hint="eastAsia" w:ascii="宋体" w:hAnsi="宋体" w:eastAsia="宋体" w:cs="宋体"/>
          <w:highlight w:val="none"/>
          <w:u w:val="single"/>
        </w:rPr>
        <w:t xml:space="preserve"> </w:t>
      </w:r>
      <w:r>
        <w:rPr>
          <w:rFonts w:hint="eastAsia" w:ascii="宋体" w:hAnsi="宋体" w:eastAsia="宋体" w:cs="宋体"/>
          <w:highlight w:val="none"/>
        </w:rPr>
        <w:t>份。</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lang w:val="en-US" w:eastAsia="zh-CN"/>
        </w:rPr>
        <w:t>1</w:t>
      </w:r>
      <w:r>
        <w:rPr>
          <w:rFonts w:hint="eastAsia" w:ascii="宋体" w:hAnsi="宋体" w:cs="宋体"/>
          <w:highlight w:val="none"/>
          <w:lang w:val="en-US" w:eastAsia="zh-CN"/>
        </w:rPr>
        <w:t>2</w:t>
      </w:r>
      <w:r>
        <w:rPr>
          <w:rFonts w:hint="eastAsia" w:ascii="宋体" w:hAnsi="宋体" w:eastAsia="宋体" w:cs="宋体"/>
          <w:highlight w:val="none"/>
        </w:rPr>
        <w:t>.本合同协议书经双方法定代表人或授权代表在合同协议书上签字并加盖单位公章后生效。</w:t>
      </w:r>
    </w:p>
    <w:p>
      <w:pPr>
        <w:spacing w:before="0" w:after="0" w:afterAutospacing="0"/>
        <w:ind w:left="0" w:right="0" w:firstLine="420" w:firstLineChars="200"/>
        <w:rPr>
          <w:rFonts w:ascii="宋体" w:hAnsi="宋体" w:cs="Arial"/>
          <w:highlight w:val="none"/>
        </w:rPr>
      </w:pPr>
      <w:r>
        <w:rPr>
          <w:rFonts w:hint="eastAsia" w:ascii="宋体" w:hAnsi="宋体" w:eastAsia="宋体" w:cs="宋体"/>
          <w:highlight w:val="none"/>
          <w:lang w:val="en-US" w:eastAsia="zh-CN"/>
        </w:rPr>
        <w:t>1</w:t>
      </w:r>
      <w:r>
        <w:rPr>
          <w:rFonts w:hint="eastAsia" w:ascii="宋体" w:hAnsi="宋体" w:cs="宋体"/>
          <w:highlight w:val="none"/>
          <w:lang w:val="en-US" w:eastAsia="zh-CN"/>
        </w:rPr>
        <w:t>3</w:t>
      </w:r>
      <w:r>
        <w:rPr>
          <w:rFonts w:hint="eastAsia" w:ascii="宋体" w:hAnsi="宋体" w:eastAsia="宋体" w:cs="宋体"/>
          <w:highlight w:val="none"/>
        </w:rPr>
        <w:t>.合同未尽事宜，双方另行签订补充协议。</w:t>
      </w:r>
    </w:p>
    <w:tbl>
      <w:tblPr>
        <w:tblStyle w:val="31"/>
        <w:tblW w:w="9238" w:type="dxa"/>
        <w:tblInd w:w="0" w:type="dxa"/>
        <w:tblLayout w:type="fixed"/>
        <w:tblCellMar>
          <w:top w:w="0" w:type="dxa"/>
          <w:left w:w="108" w:type="dxa"/>
          <w:bottom w:w="0" w:type="dxa"/>
          <w:right w:w="108" w:type="dxa"/>
        </w:tblCellMar>
      </w:tblPr>
      <w:tblGrid>
        <w:gridCol w:w="4261"/>
        <w:gridCol w:w="4977"/>
      </w:tblGrid>
      <w:tr>
        <w:tblPrEx>
          <w:tblLayout w:type="fixed"/>
        </w:tblPrEx>
        <w:trPr>
          <w:cantSplit/>
          <w:trHeight w:val="6520" w:hRule="exact"/>
        </w:trPr>
        <w:tc>
          <w:tcPr>
            <w:tcW w:w="4261" w:type="dxa"/>
            <w:vAlign w:val="top"/>
          </w:tcPr>
          <w:p>
            <w:pPr>
              <w:pStyle w:val="15"/>
              <w:spacing w:before="0" w:after="0"/>
              <w:ind w:right="0"/>
              <w:rPr>
                <w:rFonts w:hint="eastAsia" w:hAnsi="宋体" w:eastAsia="宋体" w:cs="Courier New"/>
                <w:sz w:val="21"/>
                <w:szCs w:val="21"/>
                <w:highlight w:val="none"/>
                <w:lang w:eastAsia="zh-CN"/>
              </w:rPr>
            </w:pPr>
            <w:r>
              <w:rPr>
                <w:rFonts w:hint="eastAsia" w:hAnsi="宋体" w:cs="Courier New"/>
                <w:sz w:val="21"/>
                <w:szCs w:val="21"/>
                <w:highlight w:val="none"/>
              </w:rPr>
              <w:t>甲方：</w:t>
            </w:r>
            <w:r>
              <w:rPr>
                <w:rFonts w:hint="eastAsia" w:hAnsi="宋体" w:cs="Courier New"/>
                <w:sz w:val="21"/>
                <w:szCs w:val="21"/>
                <w:highlight w:val="none"/>
                <w:u w:val="single"/>
                <w:lang w:eastAsia="zh-CN"/>
              </w:rPr>
              <w:t>南宁轨道交通运营有限公司</w:t>
            </w:r>
          </w:p>
          <w:p>
            <w:pPr>
              <w:pStyle w:val="15"/>
              <w:spacing w:before="0" w:after="0"/>
              <w:ind w:right="0"/>
              <w:rPr>
                <w:rFonts w:hint="eastAsia" w:hAnsi="宋体" w:cs="Courier New"/>
                <w:sz w:val="21"/>
                <w:szCs w:val="21"/>
                <w:highlight w:val="none"/>
              </w:rPr>
            </w:pPr>
            <w:r>
              <w:rPr>
                <w:rFonts w:hint="eastAsia" w:hAnsi="宋体" w:cs="Courier New"/>
                <w:sz w:val="21"/>
                <w:szCs w:val="21"/>
                <w:highlight w:val="none"/>
              </w:rPr>
              <w:t>法定代表人或授权人：</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right="0"/>
              <w:rPr>
                <w:rFonts w:hint="default" w:hAnsi="宋体" w:eastAsia="宋体" w:cs="Courier New"/>
                <w:sz w:val="21"/>
                <w:szCs w:val="21"/>
                <w:highlight w:val="none"/>
                <w:lang w:val="en-US" w:eastAsia="zh-CN"/>
              </w:rPr>
            </w:pPr>
            <w:r>
              <w:rPr>
                <w:rFonts w:hint="eastAsia" w:hAnsi="宋体" w:cs="Courier New"/>
                <w:sz w:val="21"/>
                <w:szCs w:val="21"/>
                <w:highlight w:val="none"/>
                <w:lang w:val="en-US" w:eastAsia="zh-CN"/>
              </w:rPr>
              <w:t>合同订立日期：</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年</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月</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日</w:t>
            </w:r>
          </w:p>
          <w:p>
            <w:pPr>
              <w:pStyle w:val="15"/>
              <w:spacing w:before="0" w:after="0"/>
              <w:ind w:right="0"/>
              <w:rPr>
                <w:rFonts w:hint="eastAsia" w:hAnsi="宋体" w:cs="Courier New"/>
                <w:sz w:val="21"/>
                <w:szCs w:val="21"/>
                <w:highlight w:val="none"/>
                <w:u w:val="single"/>
                <w:lang w:eastAsia="zh-CN"/>
              </w:rPr>
            </w:pPr>
            <w:r>
              <w:rPr>
                <w:rFonts w:hint="eastAsia" w:hAnsi="宋体" w:cs="Courier New"/>
                <w:sz w:val="21"/>
                <w:szCs w:val="21"/>
                <w:highlight w:val="none"/>
              </w:rPr>
              <w:t>地址：</w:t>
            </w:r>
            <w:r>
              <w:rPr>
                <w:rFonts w:hint="eastAsia" w:hAnsi="宋体" w:cs="Courier New"/>
                <w:sz w:val="21"/>
                <w:szCs w:val="21"/>
                <w:highlight w:val="none"/>
                <w:u w:val="single"/>
                <w:lang w:eastAsia="zh-CN"/>
              </w:rPr>
              <w:t>广西南宁市青秀区云景路</w:t>
            </w:r>
            <w:r>
              <w:rPr>
                <w:rFonts w:hint="eastAsia" w:hAnsi="宋体" w:cs="Courier New"/>
                <w:sz w:val="21"/>
                <w:szCs w:val="21"/>
                <w:highlight w:val="none"/>
                <w:u w:val="single"/>
                <w:lang w:val="en-US" w:eastAsia="zh-CN"/>
              </w:rPr>
              <w:t>83</w:t>
            </w:r>
            <w:r>
              <w:rPr>
                <w:rFonts w:hint="eastAsia" w:hAnsi="宋体" w:cs="Courier New"/>
                <w:sz w:val="21"/>
                <w:szCs w:val="21"/>
                <w:highlight w:val="none"/>
                <w:u w:val="single"/>
                <w:lang w:eastAsia="zh-CN"/>
              </w:rPr>
              <w:t>号</w:t>
            </w:r>
          </w:p>
          <w:p>
            <w:pPr>
              <w:pStyle w:val="15"/>
              <w:spacing w:before="0" w:after="0"/>
              <w:ind w:right="0"/>
              <w:rPr>
                <w:rFonts w:hint="default" w:hAnsi="宋体" w:cs="Courier New"/>
                <w:sz w:val="21"/>
                <w:szCs w:val="21"/>
                <w:highlight w:val="none"/>
                <w:lang w:val="en-US" w:eastAsia="zh-CN"/>
              </w:rPr>
            </w:pPr>
            <w:r>
              <w:rPr>
                <w:rFonts w:hint="eastAsia" w:hAnsi="宋体" w:cs="Courier New"/>
                <w:sz w:val="21"/>
                <w:szCs w:val="21"/>
                <w:highlight w:val="none"/>
              </w:rPr>
              <w:t>邮政编码：</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right="0"/>
              <w:rPr>
                <w:rFonts w:hAnsi="宋体" w:cs="Courier New"/>
                <w:sz w:val="21"/>
                <w:szCs w:val="21"/>
                <w:highlight w:val="none"/>
                <w:u w:val="single"/>
              </w:rPr>
            </w:pPr>
            <w:r>
              <w:rPr>
                <w:rFonts w:hint="eastAsia" w:hAnsi="宋体" w:cs="Courier New"/>
                <w:sz w:val="21"/>
                <w:szCs w:val="21"/>
                <w:highlight w:val="none"/>
              </w:rPr>
              <w:t>联系电话：</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r>
              <w:rPr>
                <w:rFonts w:hint="eastAsia" w:hAnsi="宋体" w:cs="Courier New"/>
                <w:sz w:val="21"/>
                <w:szCs w:val="21"/>
                <w:highlight w:val="none"/>
              </w:rPr>
              <w:t xml:space="preserve"> </w:t>
            </w:r>
          </w:p>
          <w:p>
            <w:pPr>
              <w:pStyle w:val="15"/>
              <w:spacing w:before="0" w:after="0"/>
              <w:ind w:right="0"/>
              <w:rPr>
                <w:rFonts w:hAnsi="宋体" w:cs="Courier New"/>
                <w:sz w:val="21"/>
                <w:szCs w:val="21"/>
                <w:highlight w:val="none"/>
                <w:u w:val="single"/>
              </w:rPr>
            </w:pPr>
            <w:r>
              <w:rPr>
                <w:rFonts w:hint="eastAsia" w:hAnsi="宋体" w:cs="Courier New"/>
                <w:sz w:val="21"/>
                <w:szCs w:val="21"/>
                <w:highlight w:val="none"/>
              </w:rPr>
              <w:t>传真：</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right="0"/>
              <w:rPr>
                <w:rFonts w:hint="eastAsia" w:hAnsi="宋体" w:cs="Courier New"/>
                <w:sz w:val="21"/>
                <w:szCs w:val="21"/>
                <w:highlight w:val="none"/>
                <w:lang w:val="en-US" w:eastAsia="zh-CN"/>
              </w:rPr>
            </w:pPr>
            <w:r>
              <w:rPr>
                <w:rFonts w:hint="eastAsia" w:hAnsi="宋体" w:cs="Courier New"/>
                <w:sz w:val="21"/>
                <w:szCs w:val="21"/>
                <w:highlight w:val="none"/>
              </w:rPr>
              <w:t>开户银行：</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right="0"/>
              <w:rPr>
                <w:rFonts w:hint="default" w:hAnsi="宋体" w:cs="Courier New"/>
                <w:sz w:val="21"/>
                <w:szCs w:val="21"/>
                <w:highlight w:val="none"/>
                <w:lang w:val="en-US" w:eastAsia="zh-CN"/>
              </w:rPr>
            </w:pPr>
            <w:r>
              <w:rPr>
                <w:rFonts w:hint="eastAsia" w:hAnsi="宋体" w:cs="Courier New"/>
                <w:sz w:val="21"/>
                <w:szCs w:val="21"/>
                <w:highlight w:val="none"/>
                <w:lang w:val="en-US" w:eastAsia="zh-CN"/>
              </w:rPr>
              <w:t>银行账号：</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right="0"/>
              <w:rPr>
                <w:rFonts w:hAnsi="宋体" w:cs="Courier New"/>
                <w:sz w:val="21"/>
                <w:szCs w:val="21"/>
                <w:highlight w:val="none"/>
              </w:rPr>
            </w:pPr>
            <w:r>
              <w:rPr>
                <w:rFonts w:hint="eastAsia" w:hAnsi="宋体" w:cs="Courier New"/>
                <w:sz w:val="21"/>
                <w:szCs w:val="21"/>
                <w:highlight w:val="none"/>
                <w:lang w:val="en-US" w:eastAsia="zh-CN"/>
              </w:rPr>
              <w:t>税</w:t>
            </w:r>
            <w:r>
              <w:rPr>
                <w:rFonts w:hint="eastAsia" w:hAnsi="宋体" w:cs="Courier New"/>
                <w:sz w:val="21"/>
                <w:szCs w:val="21"/>
                <w:highlight w:val="none"/>
              </w:rPr>
              <w:t>号：</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tc>
        <w:tc>
          <w:tcPr>
            <w:tcW w:w="4977" w:type="dxa"/>
            <w:vAlign w:val="top"/>
          </w:tcPr>
          <w:p>
            <w:pPr>
              <w:pStyle w:val="15"/>
              <w:spacing w:before="0" w:after="0"/>
              <w:ind w:right="0" w:firstLine="200"/>
              <w:rPr>
                <w:rFonts w:hAnsi="宋体" w:cs="Courier New"/>
                <w:sz w:val="21"/>
                <w:szCs w:val="21"/>
                <w:highlight w:val="none"/>
                <w:u w:val="single"/>
              </w:rPr>
            </w:pPr>
            <w:r>
              <w:rPr>
                <w:rFonts w:hint="eastAsia" w:hAnsi="宋体" w:cs="Courier New"/>
                <w:sz w:val="21"/>
                <w:szCs w:val="21"/>
                <w:highlight w:val="none"/>
              </w:rPr>
              <w:t>乙方：</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right="0" w:firstLine="200"/>
              <w:rPr>
                <w:rFonts w:hAnsi="宋体" w:cs="Courier New"/>
                <w:sz w:val="21"/>
                <w:szCs w:val="21"/>
                <w:highlight w:val="none"/>
                <w:u w:val="single"/>
              </w:rPr>
            </w:pPr>
            <w:r>
              <w:rPr>
                <w:rFonts w:hint="eastAsia" w:hAnsi="宋体" w:cs="Courier New"/>
                <w:sz w:val="21"/>
                <w:szCs w:val="21"/>
                <w:highlight w:val="none"/>
              </w:rPr>
              <w:t>法定代表人或授权人：</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left="840" w:leftChars="400" w:right="0" w:firstLine="132" w:firstLineChars="63"/>
              <w:rPr>
                <w:rFonts w:hint="default" w:hAnsi="宋体" w:eastAsia="宋体" w:cs="Courier New"/>
                <w:sz w:val="21"/>
                <w:szCs w:val="21"/>
                <w:highlight w:val="none"/>
                <w:lang w:val="en-US" w:eastAsia="zh-CN"/>
              </w:rPr>
            </w:pPr>
            <w:r>
              <w:rPr>
                <w:rFonts w:hint="eastAsia" w:hAnsi="宋体" w:cs="Courier New"/>
                <w:sz w:val="21"/>
                <w:szCs w:val="21"/>
                <w:highlight w:val="none"/>
                <w:lang w:val="en-US" w:eastAsia="zh-CN"/>
              </w:rPr>
              <w:t>合同订立日期：</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年</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月</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日</w:t>
            </w:r>
          </w:p>
          <w:p>
            <w:pPr>
              <w:pStyle w:val="15"/>
              <w:spacing w:before="0" w:after="0"/>
              <w:ind w:left="840" w:leftChars="400" w:right="0" w:firstLine="132" w:firstLineChars="63"/>
              <w:rPr>
                <w:rFonts w:hint="eastAsia" w:hAnsi="宋体" w:cs="Courier New"/>
                <w:sz w:val="21"/>
                <w:szCs w:val="21"/>
                <w:highlight w:val="none"/>
                <w:u w:val="single"/>
                <w:lang w:val="en-US" w:eastAsia="zh-CN"/>
              </w:rPr>
            </w:pPr>
            <w:r>
              <w:rPr>
                <w:rFonts w:hint="eastAsia" w:hAnsi="宋体" w:cs="Courier New"/>
                <w:sz w:val="21"/>
                <w:szCs w:val="21"/>
                <w:highlight w:val="none"/>
              </w:rPr>
              <w:t>地址：</w:t>
            </w:r>
            <w:r>
              <w:rPr>
                <w:rFonts w:hint="eastAsia" w:hAnsi="宋体" w:cs="Courier New"/>
                <w:sz w:val="21"/>
                <w:szCs w:val="21"/>
                <w:highlight w:val="none"/>
                <w:u w:val="single"/>
                <w:lang w:val="en-US" w:eastAsia="zh-CN"/>
              </w:rPr>
              <w:t xml:space="preserve">              </w:t>
            </w:r>
          </w:p>
          <w:p>
            <w:pPr>
              <w:pStyle w:val="15"/>
              <w:spacing w:before="0" w:after="0"/>
              <w:ind w:left="840" w:leftChars="400" w:right="0" w:firstLine="132" w:firstLineChars="63"/>
              <w:rPr>
                <w:rFonts w:hint="default" w:hAnsi="宋体" w:cs="Courier New"/>
                <w:sz w:val="21"/>
                <w:szCs w:val="21"/>
                <w:highlight w:val="none"/>
                <w:lang w:val="en-US" w:eastAsia="zh-CN"/>
              </w:rPr>
            </w:pPr>
            <w:r>
              <w:rPr>
                <w:rFonts w:hint="eastAsia" w:hAnsi="宋体" w:cs="Courier New"/>
                <w:sz w:val="21"/>
                <w:szCs w:val="21"/>
                <w:highlight w:val="none"/>
              </w:rPr>
              <w:t>邮政编码：</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left="840" w:leftChars="400" w:right="0" w:firstLine="132" w:firstLineChars="63"/>
              <w:rPr>
                <w:rFonts w:hAnsi="宋体" w:cs="Courier New"/>
                <w:sz w:val="21"/>
                <w:szCs w:val="21"/>
                <w:highlight w:val="none"/>
                <w:u w:val="single"/>
              </w:rPr>
            </w:pPr>
            <w:r>
              <w:rPr>
                <w:rFonts w:hint="eastAsia" w:hAnsi="宋体" w:cs="Courier New"/>
                <w:sz w:val="21"/>
                <w:szCs w:val="21"/>
                <w:highlight w:val="none"/>
              </w:rPr>
              <w:t>联系电话：</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r>
              <w:rPr>
                <w:rFonts w:hint="eastAsia" w:hAnsi="宋体" w:cs="Courier New"/>
                <w:sz w:val="21"/>
                <w:szCs w:val="21"/>
                <w:highlight w:val="none"/>
              </w:rPr>
              <w:t xml:space="preserve"> </w:t>
            </w:r>
          </w:p>
          <w:p>
            <w:pPr>
              <w:pStyle w:val="15"/>
              <w:spacing w:before="0" w:after="0"/>
              <w:ind w:left="840" w:leftChars="400" w:right="0" w:firstLine="132" w:firstLineChars="63"/>
              <w:rPr>
                <w:rFonts w:hAnsi="宋体" w:cs="Courier New"/>
                <w:sz w:val="21"/>
                <w:szCs w:val="21"/>
                <w:highlight w:val="none"/>
                <w:u w:val="single"/>
              </w:rPr>
            </w:pPr>
            <w:r>
              <w:rPr>
                <w:rFonts w:hint="eastAsia" w:hAnsi="宋体" w:cs="Courier New"/>
                <w:sz w:val="21"/>
                <w:szCs w:val="21"/>
                <w:highlight w:val="none"/>
              </w:rPr>
              <w:t>传真：</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left="840" w:leftChars="400" w:right="0" w:firstLine="132" w:firstLineChars="63"/>
              <w:rPr>
                <w:rFonts w:hint="eastAsia" w:hAnsi="宋体" w:cs="Courier New"/>
                <w:sz w:val="21"/>
                <w:szCs w:val="21"/>
                <w:highlight w:val="none"/>
                <w:lang w:val="en-US" w:eastAsia="zh-CN"/>
              </w:rPr>
            </w:pPr>
            <w:r>
              <w:rPr>
                <w:rFonts w:hint="eastAsia" w:hAnsi="宋体" w:cs="Courier New"/>
                <w:sz w:val="21"/>
                <w:szCs w:val="21"/>
                <w:highlight w:val="none"/>
              </w:rPr>
              <w:t>开户银行：</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left="840" w:leftChars="400" w:right="0" w:firstLine="132" w:firstLineChars="63"/>
              <w:rPr>
                <w:rFonts w:hint="default" w:hAnsi="宋体" w:cs="Courier New"/>
                <w:sz w:val="21"/>
                <w:szCs w:val="21"/>
                <w:highlight w:val="none"/>
                <w:lang w:val="en-US" w:eastAsia="zh-CN"/>
              </w:rPr>
            </w:pPr>
            <w:r>
              <w:rPr>
                <w:rFonts w:hint="eastAsia" w:hAnsi="宋体" w:cs="Courier New"/>
                <w:sz w:val="21"/>
                <w:szCs w:val="21"/>
                <w:highlight w:val="none"/>
                <w:lang w:val="en-US" w:eastAsia="zh-CN"/>
              </w:rPr>
              <w:t>银行账号：</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left="840" w:leftChars="400" w:right="0" w:firstLine="132" w:firstLineChars="63"/>
              <w:rPr>
                <w:rFonts w:hint="eastAsia" w:hAnsi="宋体" w:cs="Courier New"/>
                <w:sz w:val="21"/>
                <w:szCs w:val="21"/>
                <w:highlight w:val="none"/>
                <w:lang w:val="en-US" w:eastAsia="zh-CN"/>
              </w:rPr>
            </w:pPr>
            <w:r>
              <w:rPr>
                <w:rFonts w:hint="eastAsia" w:hAnsi="宋体" w:cs="Courier New"/>
                <w:sz w:val="21"/>
                <w:szCs w:val="21"/>
                <w:highlight w:val="none"/>
                <w:lang w:val="en-US" w:eastAsia="zh-CN"/>
              </w:rPr>
              <w:t>税</w:t>
            </w:r>
            <w:r>
              <w:rPr>
                <w:rFonts w:hint="eastAsia" w:hAnsi="宋体" w:cs="Courier New"/>
                <w:sz w:val="21"/>
                <w:szCs w:val="21"/>
                <w:highlight w:val="none"/>
              </w:rPr>
              <w:t>号：</w:t>
            </w:r>
            <w:r>
              <w:rPr>
                <w:rFonts w:hint="eastAsia" w:hAnsi="宋体" w:cs="Courier New"/>
                <w:sz w:val="21"/>
                <w:szCs w:val="21"/>
                <w:highlight w:val="none"/>
                <w:u w:val="single"/>
                <w:lang w:val="en-US" w:eastAsia="zh-CN"/>
              </w:rPr>
              <w:t xml:space="preserve">              </w:t>
            </w:r>
            <w:r>
              <w:rPr>
                <w:rFonts w:hint="eastAsia" w:hAnsi="宋体" w:cs="Courier New"/>
                <w:sz w:val="21"/>
                <w:szCs w:val="21"/>
                <w:highlight w:val="none"/>
                <w:lang w:val="en-US" w:eastAsia="zh-CN"/>
              </w:rPr>
              <w:t xml:space="preserve"> </w:t>
            </w:r>
          </w:p>
          <w:p>
            <w:pPr>
              <w:pStyle w:val="15"/>
              <w:spacing w:before="0" w:after="0"/>
              <w:ind w:left="708" w:right="0" w:hanging="707"/>
              <w:rPr>
                <w:rFonts w:hAnsi="宋体" w:cs="Courier New"/>
                <w:sz w:val="21"/>
                <w:szCs w:val="21"/>
                <w:highlight w:val="none"/>
              </w:rPr>
            </w:pPr>
          </w:p>
        </w:tc>
      </w:tr>
    </w:tbl>
    <w:p>
      <w:pPr>
        <w:pStyle w:val="62"/>
        <w:adjustRightInd/>
        <w:spacing w:before="0" w:after="0" w:line="360" w:lineRule="auto"/>
        <w:ind w:left="0" w:right="0"/>
        <w:rPr>
          <w:rFonts w:ascii="宋体" w:hAnsi="宋体"/>
          <w:sz w:val="21"/>
          <w:szCs w:val="21"/>
          <w:highlight w:val="none"/>
        </w:rPr>
      </w:pPr>
      <w:bookmarkStart w:id="1194" w:name="_Toc29876"/>
      <w:bookmarkStart w:id="1195" w:name="_Toc25942"/>
      <w:bookmarkStart w:id="1196" w:name="_Toc27744"/>
      <w:bookmarkStart w:id="1197" w:name="_Toc14469"/>
      <w:bookmarkStart w:id="1198" w:name="_Toc997"/>
      <w:bookmarkStart w:id="1199" w:name="_Toc17359"/>
      <w:bookmarkStart w:id="1200" w:name="_Toc6424"/>
      <w:bookmarkStart w:id="1201" w:name="_Toc11253"/>
      <w:bookmarkStart w:id="1202" w:name="_Toc258"/>
      <w:bookmarkStart w:id="1203" w:name="_Toc12445"/>
      <w:bookmarkStart w:id="1204" w:name="_Toc7689"/>
      <w:bookmarkStart w:id="1205" w:name="_Toc17157_WPSOffice_Level2"/>
      <w:bookmarkStart w:id="1206" w:name="_Toc16743"/>
      <w:bookmarkStart w:id="1207" w:name="_Toc4133"/>
      <w:bookmarkStart w:id="1208" w:name="_Toc24973"/>
      <w:bookmarkStart w:id="1209" w:name="_Toc5623"/>
      <w:bookmarkStart w:id="1210" w:name="_Toc9438"/>
      <w:bookmarkStart w:id="1211" w:name="_Toc10196"/>
      <w:bookmarkStart w:id="1212" w:name="_Toc25750634"/>
      <w:bookmarkStart w:id="1213" w:name="_Toc7529"/>
      <w:bookmarkStart w:id="1214" w:name="_Toc24098"/>
      <w:bookmarkStart w:id="1215" w:name="_Toc21631"/>
      <w:bookmarkStart w:id="1216" w:name="_Toc12155"/>
      <w:bookmarkStart w:id="1217" w:name="_Toc9188"/>
      <w:bookmarkStart w:id="1218" w:name="_Toc18460"/>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5"/>
        <w:spacing w:before="40" w:after="40" w:line="240" w:lineRule="auto"/>
        <w:jc w:val="center"/>
        <w:rPr>
          <w:rFonts w:ascii="Times New Roman" w:hAnsi="Times New Roman" w:eastAsia="宋体"/>
          <w:highlight w:val="none"/>
        </w:rPr>
      </w:pPr>
      <w:bookmarkStart w:id="1219" w:name="_Toc92268619"/>
      <w:bookmarkStart w:id="1220" w:name="_Toc20006_WPSOffice_Level1"/>
      <w:bookmarkStart w:id="1221" w:name="_Toc101965690"/>
      <w:bookmarkStart w:id="1222" w:name="_Toc4837"/>
      <w:bookmarkStart w:id="1223" w:name="_Toc1594"/>
      <w:r>
        <w:rPr>
          <w:rFonts w:ascii="Times New Roman" w:hAnsi="Times New Roman" w:eastAsia="宋体"/>
          <w:highlight w:val="none"/>
        </w:rPr>
        <w:t>第二部分</w:t>
      </w:r>
      <w:r>
        <w:rPr>
          <w:rFonts w:hint="eastAsia" w:ascii="Times New Roman" w:hAnsi="Times New Roman" w:eastAsia="宋体"/>
          <w:highlight w:val="none"/>
        </w:rPr>
        <w:t xml:space="preserve"> 中选通知书</w:t>
      </w:r>
      <w:bookmarkEnd w:id="1219"/>
      <w:bookmarkEnd w:id="1220"/>
      <w:bookmarkEnd w:id="1221"/>
      <w:bookmarkEnd w:id="1222"/>
      <w:bookmarkEnd w:id="1223"/>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5"/>
        <w:pageBreakBefore/>
        <w:spacing w:before="40" w:after="40" w:line="240" w:lineRule="auto"/>
        <w:jc w:val="center"/>
        <w:rPr>
          <w:rFonts w:ascii="Times New Roman" w:hAnsi="Times New Roman" w:eastAsia="宋体"/>
          <w:highlight w:val="none"/>
        </w:rPr>
      </w:pPr>
      <w:bookmarkStart w:id="1224" w:name="_Toc92268620"/>
      <w:bookmarkStart w:id="1225" w:name="_Toc17919"/>
      <w:bookmarkStart w:id="1226" w:name="_Toc28765_WPSOffice_Level1"/>
      <w:bookmarkStart w:id="1227" w:name="_Toc12606"/>
      <w:bookmarkStart w:id="1228" w:name="_Toc101965691"/>
      <w:r>
        <w:rPr>
          <w:rFonts w:ascii="Times New Roman" w:hAnsi="Times New Roman" w:eastAsia="宋体"/>
          <w:highlight w:val="none"/>
        </w:rPr>
        <w:t>第</w:t>
      </w:r>
      <w:r>
        <w:rPr>
          <w:rFonts w:hint="eastAsia" w:ascii="Times New Roman" w:hAnsi="Times New Roman" w:eastAsia="宋体"/>
          <w:highlight w:val="none"/>
        </w:rPr>
        <w:t>三</w:t>
      </w:r>
      <w:r>
        <w:rPr>
          <w:rFonts w:ascii="Times New Roman" w:hAnsi="Times New Roman" w:eastAsia="宋体"/>
          <w:highlight w:val="none"/>
        </w:rPr>
        <w:t>部分</w:t>
      </w:r>
      <w:r>
        <w:rPr>
          <w:rFonts w:hint="eastAsia" w:ascii="Times New Roman" w:hAnsi="Times New Roman" w:eastAsia="宋体"/>
          <w:highlight w:val="none"/>
        </w:rPr>
        <w:t xml:space="preserve"> 价格组成文件</w:t>
      </w:r>
      <w:bookmarkEnd w:id="1224"/>
      <w:bookmarkEnd w:id="1225"/>
      <w:bookmarkEnd w:id="1226"/>
      <w:bookmarkEnd w:id="1227"/>
      <w:bookmarkEnd w:id="1228"/>
    </w:p>
    <w:p>
      <w:pPr>
        <w:rPr>
          <w:rFonts w:ascii="宋体" w:hAnsi="宋体"/>
          <w:b/>
          <w:highlight w:val="none"/>
        </w:rPr>
      </w:pPr>
      <w:r>
        <w:rPr>
          <w:rFonts w:ascii="宋体" w:hAnsi="宋体"/>
          <w:b/>
          <w:highlight w:val="none"/>
        </w:rPr>
        <w:br w:type="page"/>
      </w:r>
    </w:p>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Pr>
        <w:pStyle w:val="5"/>
        <w:pageBreakBefore/>
        <w:spacing w:before="40" w:after="40" w:line="240" w:lineRule="auto"/>
        <w:ind w:left="811" w:right="0" w:hanging="1086" w:hangingChars="338"/>
        <w:jc w:val="center"/>
        <w:outlineLvl w:val="1"/>
        <w:rPr>
          <w:rFonts w:ascii="Times New Roman" w:hAnsi="Times New Roman" w:eastAsia="宋体"/>
          <w:sz w:val="32"/>
          <w:szCs w:val="32"/>
          <w:highlight w:val="none"/>
        </w:rPr>
      </w:pPr>
      <w:bookmarkStart w:id="1229" w:name="_Toc5286"/>
      <w:bookmarkStart w:id="1230" w:name="_Toc16006"/>
      <w:bookmarkStart w:id="1231" w:name="_Toc101965692"/>
      <w:bookmarkStart w:id="1232" w:name="_Toc11956_WPSOffice_Level1"/>
      <w:bookmarkStart w:id="1233" w:name="_Toc29932"/>
      <w:bookmarkStart w:id="1234" w:name="_Toc385427838"/>
      <w:bookmarkStart w:id="1235" w:name="_Toc4032"/>
      <w:bookmarkStart w:id="1236" w:name="_Toc25750635"/>
      <w:bookmarkStart w:id="1237" w:name="_Toc12080"/>
      <w:bookmarkStart w:id="1238" w:name="_Toc25643"/>
      <w:bookmarkStart w:id="1239" w:name="_Toc31691"/>
      <w:bookmarkStart w:id="1240" w:name="_Toc20484"/>
      <w:bookmarkStart w:id="1241" w:name="_Toc19920"/>
      <w:bookmarkStart w:id="1242" w:name="_Toc15707"/>
      <w:bookmarkStart w:id="1243" w:name="_Toc12256"/>
      <w:bookmarkStart w:id="1244" w:name="_Toc22880"/>
      <w:bookmarkStart w:id="1245" w:name="_Toc14287"/>
      <w:bookmarkStart w:id="1246" w:name="_Toc6054"/>
      <w:bookmarkStart w:id="1247" w:name="_Toc378514952"/>
      <w:bookmarkStart w:id="1248" w:name="_Toc10730"/>
      <w:bookmarkStart w:id="1249" w:name="_Toc7961"/>
      <w:bookmarkStart w:id="1250" w:name="_Toc390098464"/>
      <w:bookmarkStart w:id="1251" w:name="_Toc370933855"/>
      <w:bookmarkStart w:id="1252" w:name="_Toc18727"/>
      <w:bookmarkStart w:id="1253" w:name="_Toc492478763"/>
      <w:bookmarkStart w:id="1254" w:name="_Toc2614"/>
      <w:bookmarkStart w:id="1255" w:name="_Toc43"/>
      <w:bookmarkStart w:id="1256" w:name="_Toc28024"/>
      <w:bookmarkStart w:id="1257" w:name="_Toc6194"/>
      <w:bookmarkStart w:id="1258" w:name="_Toc3678_WPSOffice_Level2"/>
      <w:bookmarkStart w:id="1259" w:name="_Toc12983548"/>
      <w:bookmarkStart w:id="1260" w:name="_Toc11755"/>
      <w:bookmarkStart w:id="1261" w:name="_Toc12470"/>
      <w:bookmarkStart w:id="1262" w:name="_Toc21659"/>
      <w:bookmarkStart w:id="1263" w:name="_Toc21372"/>
      <w:bookmarkStart w:id="1264" w:name="_Toc16716"/>
      <w:bookmarkStart w:id="1265" w:name="_Toc5644"/>
      <w:bookmarkStart w:id="1266" w:name="_Toc5030"/>
      <w:bookmarkStart w:id="1267" w:name="_Toc24490"/>
      <w:bookmarkStart w:id="1268" w:name="_Toc23785"/>
      <w:bookmarkStart w:id="1269" w:name="_Toc21635"/>
      <w:bookmarkStart w:id="1270" w:name="_Toc14997"/>
      <w:bookmarkStart w:id="1271" w:name="_Toc27258"/>
      <w:bookmarkStart w:id="1272" w:name="_Toc30191"/>
      <w:bookmarkStart w:id="1273" w:name="_Toc19448"/>
      <w:bookmarkStart w:id="1274" w:name="_Toc13288"/>
      <w:bookmarkStart w:id="1275" w:name="_Toc16443"/>
      <w:bookmarkStart w:id="1276" w:name="_Toc24867"/>
      <w:bookmarkStart w:id="1277" w:name="_Toc5186"/>
      <w:bookmarkStart w:id="1278" w:name="_Toc29249"/>
      <w:bookmarkStart w:id="1279" w:name="_Toc27316"/>
      <w:bookmarkStart w:id="1280" w:name="_Toc2753"/>
      <w:bookmarkStart w:id="1281" w:name="_Toc25750672"/>
      <w:bookmarkStart w:id="1282" w:name="_Toc21033"/>
      <w:r>
        <w:rPr>
          <w:rFonts w:hint="default" w:ascii="Times New Roman" w:hAnsi="Times New Roman" w:eastAsia="宋体"/>
          <w:sz w:val="32"/>
          <w:szCs w:val="32"/>
          <w:highlight w:val="none"/>
        </w:rPr>
        <w:t>第四部分 合同条款</w:t>
      </w:r>
      <w:bookmarkEnd w:id="1229"/>
      <w:bookmarkEnd w:id="1230"/>
      <w:bookmarkEnd w:id="1231"/>
      <w:bookmarkEnd w:id="1232"/>
    </w:p>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Pr>
        <w:tabs>
          <w:tab w:val="left" w:pos="640"/>
          <w:tab w:val="left" w:pos="1843"/>
        </w:tabs>
        <w:spacing w:before="0" w:after="0" w:afterAutospacing="0"/>
        <w:ind w:left="420" w:right="0" w:firstLine="0"/>
        <w:outlineLvl w:val="2"/>
        <w:rPr>
          <w:rFonts w:ascii="宋体" w:hAnsi="宋体"/>
          <w:b/>
          <w:highlight w:val="none"/>
        </w:rPr>
      </w:pPr>
      <w:bookmarkStart w:id="1283" w:name="_Toc30060_WPSOffice_Level2"/>
      <w:r>
        <w:rPr>
          <w:rFonts w:hint="eastAsia" w:ascii="宋体" w:hAnsi="宋体"/>
          <w:b/>
          <w:highlight w:val="none"/>
        </w:rPr>
        <w:t>1.定义及解释</w:t>
      </w:r>
      <w:bookmarkEnd w:id="1283"/>
    </w:p>
    <w:p>
      <w:pPr>
        <w:numPr>
          <w:ilvl w:val="1"/>
          <w:numId w:val="9"/>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定义</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“合同”或称“合同书”指买卖双方达成并签署的协议，包括合同协议书、合同条款、</w:t>
      </w:r>
      <w:r>
        <w:rPr>
          <w:rFonts w:hint="eastAsia" w:ascii="宋体" w:hAnsi="宋体" w:cs="Arial"/>
          <w:highlight w:val="none"/>
        </w:rPr>
        <w:t>合同</w:t>
      </w:r>
      <w:r>
        <w:rPr>
          <w:rFonts w:hint="eastAsia" w:ascii="宋体" w:hAnsi="宋体"/>
          <w:highlight w:val="none"/>
        </w:rPr>
        <w:t>附件、</w:t>
      </w:r>
      <w:r>
        <w:rPr>
          <w:rFonts w:hint="eastAsia" w:ascii="宋体" w:hAnsi="宋体" w:cs="Arial"/>
          <w:highlight w:val="none"/>
        </w:rPr>
        <w:t>合同</w:t>
      </w:r>
      <w:r>
        <w:rPr>
          <w:rFonts w:hint="eastAsia" w:ascii="宋体" w:hAnsi="宋体"/>
          <w:highlight w:val="none"/>
        </w:rPr>
        <w:t>附录和上述文件所提到的构成合同的所有文件。</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“合同价格”指合同规定乙方在正确地完全履行合同义务后甲方应支付给乙方的金额。</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“合同条款”系指本合同条款。</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w:t>
      </w:r>
      <w:r>
        <w:rPr>
          <w:rFonts w:ascii="宋体" w:hAnsi="宋体"/>
          <w:highlight w:val="none"/>
        </w:rPr>
        <w:t>或“业主”</w:t>
      </w:r>
      <w:r>
        <w:rPr>
          <w:rFonts w:hint="eastAsia" w:ascii="宋体" w:hAnsi="宋体"/>
          <w:highlight w:val="none"/>
        </w:rPr>
        <w:t>系指南宁轨道交通</w:t>
      </w:r>
      <w:r>
        <w:rPr>
          <w:rFonts w:hint="eastAsia" w:ascii="宋体" w:hAnsi="宋体"/>
          <w:highlight w:val="none"/>
          <w:lang w:val="en-US" w:eastAsia="zh-CN"/>
        </w:rPr>
        <w:t>运营有限</w:t>
      </w:r>
      <w:r>
        <w:rPr>
          <w:rFonts w:hint="eastAsia" w:ascii="宋体" w:hAnsi="宋体"/>
          <w:highlight w:val="none"/>
        </w:rPr>
        <w:t>公司。</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w:t>
      </w:r>
      <w:r>
        <w:rPr>
          <w:rFonts w:hint="eastAsia" w:ascii="宋体" w:hAnsi="宋体"/>
          <w:color w:val="auto"/>
          <w:highlight w:val="none"/>
        </w:rPr>
        <w:t>系指受甲方委托，负责本项目提供</w:t>
      </w:r>
      <w:r>
        <w:rPr>
          <w:rFonts w:hint="eastAsia"/>
          <w:color w:val="auto"/>
          <w:highlight w:val="none"/>
          <w:u w:val="single"/>
          <w:lang w:val="en-US" w:eastAsia="zh-CN"/>
        </w:rPr>
        <w:t>摄像机补盲服务（包括但不限于设备采购、安装、人工及质保等）</w:t>
      </w:r>
      <w:r>
        <w:rPr>
          <w:rFonts w:hint="eastAsia" w:ascii="宋体" w:hAnsi="宋体"/>
          <w:color w:val="auto"/>
          <w:highlight w:val="none"/>
        </w:rPr>
        <w:t>的法人和</w:t>
      </w:r>
      <w:r>
        <w:rPr>
          <w:rFonts w:ascii="宋体" w:hAnsi="宋体"/>
          <w:color w:val="auto"/>
          <w:highlight w:val="none"/>
        </w:rPr>
        <w:t>/</w:t>
      </w:r>
      <w:r>
        <w:rPr>
          <w:rFonts w:hint="eastAsia" w:ascii="宋体" w:hAnsi="宋体"/>
          <w:color w:val="auto"/>
          <w:highlight w:val="none"/>
        </w:rPr>
        <w:t>或其他组织。</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“双方”系指甲方和乙方。</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“货物”系指乙方按招合同规定向甲方提供的货物、材料、机械、仪器仪表、工具、软件、手册及其它有关资料等。</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“备品备件”系指投标人须向</w:t>
      </w:r>
      <w:r>
        <w:rPr>
          <w:rFonts w:hint="eastAsia" w:ascii="宋体" w:hAnsi="宋体"/>
          <w:highlight w:val="none"/>
          <w:lang w:eastAsia="zh-CN"/>
        </w:rPr>
        <w:t>比选</w:t>
      </w:r>
      <w:r>
        <w:rPr>
          <w:rFonts w:hint="eastAsia" w:ascii="宋体" w:hAnsi="宋体"/>
          <w:highlight w:val="none"/>
        </w:rPr>
        <w:t>人提供的用于系统维护、更换、修复的零部件、材料。</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“专用工具及仪器仪表”系指乙方人须向甲方提供的用于系统维护、更换、修复的专用工具及仪器仪表。</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“服务</w:t>
      </w:r>
      <w:r>
        <w:rPr>
          <w:rFonts w:ascii="宋体" w:hAnsi="宋体"/>
          <w:highlight w:val="none"/>
        </w:rPr>
        <w:t>”</w:t>
      </w:r>
      <w:r>
        <w:rPr>
          <w:rFonts w:hint="eastAsia" w:ascii="宋体" w:hAnsi="宋体"/>
          <w:highlight w:val="none"/>
        </w:rPr>
        <w:t>系指</w:t>
      </w:r>
      <w:r>
        <w:rPr>
          <w:rFonts w:hint="eastAsia" w:ascii="宋体" w:hAnsi="宋体"/>
          <w:highlight w:val="none"/>
          <w:lang w:val="en-US" w:eastAsia="zh-CN"/>
        </w:rPr>
        <w:t>比选</w:t>
      </w:r>
      <w:r>
        <w:rPr>
          <w:rFonts w:hint="eastAsia" w:ascii="宋体" w:hAnsi="宋体"/>
          <w:highlight w:val="none"/>
        </w:rPr>
        <w:t>文件规定乙方须承担的与供货有关的辅助服务，包括但不限于详细设计、设计联络、设备及材料的软硬件开发与制造、深化设计、</w:t>
      </w:r>
      <w:r>
        <w:rPr>
          <w:rFonts w:hint="eastAsia" w:ascii="宋体" w:hAnsi="宋体" w:cs="Arial"/>
          <w:highlight w:val="none"/>
        </w:rPr>
        <w:t>系统集成、生产监造、</w:t>
      </w:r>
      <w:r>
        <w:rPr>
          <w:rFonts w:hint="eastAsia" w:ascii="宋体" w:hAnsi="宋体"/>
          <w:highlight w:val="none"/>
        </w:rPr>
        <w:t>采购、供货</w:t>
      </w:r>
      <w:r>
        <w:rPr>
          <w:rFonts w:hint="eastAsia" w:ascii="宋体" w:hAnsi="宋体" w:cs="宋体"/>
          <w:highlight w:val="none"/>
        </w:rPr>
        <w:t>、</w:t>
      </w:r>
      <w:r>
        <w:rPr>
          <w:rFonts w:hint="eastAsia" w:ascii="宋体" w:hAnsi="宋体" w:cs="Arial"/>
          <w:highlight w:val="none"/>
        </w:rPr>
        <w:t>工厂测试、出厂检验</w:t>
      </w:r>
      <w:r>
        <w:rPr>
          <w:rFonts w:hint="eastAsia" w:ascii="宋体" w:hAnsi="宋体"/>
          <w:highlight w:val="none"/>
        </w:rPr>
        <w:t>、包装</w:t>
      </w:r>
      <w:r>
        <w:rPr>
          <w:rFonts w:hint="eastAsia" w:ascii="宋体" w:hAnsi="宋体" w:cs="宋体"/>
          <w:highlight w:val="none"/>
        </w:rPr>
        <w:t>、</w:t>
      </w:r>
      <w:r>
        <w:rPr>
          <w:rFonts w:hint="eastAsia" w:ascii="宋体" w:hAnsi="宋体"/>
          <w:highlight w:val="none"/>
        </w:rPr>
        <w:t>运输、保险、装卸、</w:t>
      </w:r>
      <w:r>
        <w:rPr>
          <w:rFonts w:hint="eastAsia" w:ascii="宋体" w:hAnsi="宋体" w:cs="宋体"/>
          <w:highlight w:val="none"/>
        </w:rPr>
        <w:t>到货检查</w:t>
      </w:r>
      <w:r>
        <w:rPr>
          <w:rFonts w:hint="eastAsia" w:ascii="宋体" w:hAnsi="宋体"/>
          <w:highlight w:val="none"/>
        </w:rPr>
        <w:t>、设备安装</w:t>
      </w:r>
      <w:r>
        <w:rPr>
          <w:rFonts w:ascii="宋体" w:hAnsi="宋体"/>
          <w:highlight w:val="none"/>
        </w:rPr>
        <w:t>/</w:t>
      </w:r>
      <w:r>
        <w:rPr>
          <w:rFonts w:hint="eastAsia" w:ascii="宋体" w:hAnsi="宋体"/>
          <w:highlight w:val="none"/>
        </w:rPr>
        <w:t>安装督导、</w:t>
      </w:r>
      <w:r>
        <w:rPr>
          <w:rFonts w:hint="eastAsia" w:ascii="宋体" w:hAnsi="宋体" w:cs="宋体"/>
          <w:highlight w:val="none"/>
        </w:rPr>
        <w:t>系统及设备的单体调试、系统接口调试、</w:t>
      </w:r>
      <w:r>
        <w:rPr>
          <w:rFonts w:hint="eastAsia" w:ascii="宋体" w:hAnsi="宋体"/>
          <w:highlight w:val="none"/>
        </w:rPr>
        <w:t>综合联调、预验收、</w:t>
      </w:r>
      <w:r>
        <w:rPr>
          <w:rFonts w:hint="eastAsia" w:ascii="宋体" w:hAnsi="宋体" w:cs="宋体"/>
          <w:highlight w:val="none"/>
        </w:rPr>
        <w:t>消防验收、</w:t>
      </w:r>
      <w:r>
        <w:rPr>
          <w:rFonts w:hint="eastAsia" w:ascii="宋体" w:hAnsi="宋体"/>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highlight w:val="none"/>
        </w:rPr>
        <w:t>并确保系统通过验收及按要求时间节点开通、</w:t>
      </w:r>
      <w:r>
        <w:rPr>
          <w:rFonts w:hint="eastAsia" w:ascii="宋体" w:hAnsi="宋体"/>
          <w:highlight w:val="none"/>
        </w:rPr>
        <w:t>其他伴随服务和投标人应承担的其它义务。</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“天”、“日”系指日历天。</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“周”系指</w:t>
      </w:r>
      <w:r>
        <w:rPr>
          <w:rFonts w:ascii="宋体" w:hAnsi="宋体"/>
          <w:highlight w:val="none"/>
        </w:rPr>
        <w:t>7</w:t>
      </w:r>
      <w:r>
        <w:rPr>
          <w:rFonts w:hint="eastAsia" w:ascii="宋体" w:hAnsi="宋体"/>
          <w:highlight w:val="none"/>
        </w:rPr>
        <w:t>个日历天。</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“月”系指日历月。</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“不可抗力”指合同条款第</w:t>
      </w:r>
      <w:r>
        <w:rPr>
          <w:rFonts w:hint="eastAsia" w:ascii="宋体" w:hAnsi="宋体"/>
          <w:highlight w:val="none"/>
          <w:lang w:val="en-US" w:eastAsia="zh-CN"/>
        </w:rPr>
        <w:t>20</w:t>
      </w:r>
      <w:r>
        <w:rPr>
          <w:rFonts w:hint="eastAsia" w:ascii="宋体" w:hAnsi="宋体"/>
          <w:highlight w:val="none"/>
        </w:rPr>
        <w:t>条赋予的含义。</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9"/>
        </w:numPr>
        <w:spacing w:before="0" w:after="0" w:afterAutospacing="0"/>
        <w:ind w:left="0" w:right="0" w:firstLine="420" w:firstLineChars="200"/>
        <w:rPr>
          <w:rFonts w:ascii="宋体" w:hAnsi="宋体"/>
          <w:highlight w:val="none"/>
        </w:rPr>
      </w:pPr>
      <w:r>
        <w:rPr>
          <w:rFonts w:hint="eastAsia" w:ascii="宋体" w:hAnsi="宋体"/>
          <w:highlight w:val="none"/>
        </w:rPr>
        <w:t xml:space="preserve"> “税费”仅指增值税。其他税费应包含在不含税价格内。</w:t>
      </w:r>
    </w:p>
    <w:p>
      <w:pPr>
        <w:numPr>
          <w:ilvl w:val="2"/>
          <w:numId w:val="9"/>
        </w:numPr>
        <w:spacing w:before="0" w:after="0" w:afterAutospacing="0"/>
        <w:ind w:left="0" w:right="0" w:firstLine="420" w:firstLineChars="200"/>
        <w:rPr>
          <w:rFonts w:ascii="宋体" w:hAnsi="宋体"/>
          <w:highlight w:val="none"/>
        </w:rPr>
      </w:pPr>
      <w:r>
        <w:rPr>
          <w:rFonts w:hint="eastAsia" w:ascii="宋体" w:hAnsi="宋体"/>
          <w:highlight w:val="none"/>
        </w:rPr>
        <w:t xml:space="preserve"> “质量保证期”指合同货物验收合格后，乙方按合同约定保证合同货物正常使用，并负责解决合同货物存在的任何质量问题的期限。</w:t>
      </w:r>
    </w:p>
    <w:p>
      <w:pPr>
        <w:numPr>
          <w:ilvl w:val="2"/>
          <w:numId w:val="9"/>
        </w:numPr>
        <w:spacing w:before="0" w:after="0" w:afterAutospacing="0"/>
        <w:ind w:left="0" w:right="0" w:firstLine="420" w:firstLineChars="200"/>
        <w:rPr>
          <w:rFonts w:ascii="宋体" w:hAnsi="宋体" w:cs="Arial"/>
          <w:highlight w:val="none"/>
        </w:rPr>
      </w:pPr>
      <w:r>
        <w:rPr>
          <w:rFonts w:hint="eastAsia" w:ascii="宋体" w:hAnsi="宋体"/>
          <w:highlight w:val="none"/>
        </w:rPr>
        <w:t xml:space="preserve"> “</w:t>
      </w:r>
      <w:r>
        <w:rPr>
          <w:rFonts w:hint="eastAsia" w:ascii="宋体" w:hAnsi="宋体" w:cs="Arial"/>
          <w:highlight w:val="none"/>
        </w:rPr>
        <w:t>现场</w:t>
      </w:r>
      <w:r>
        <w:rPr>
          <w:rFonts w:hint="eastAsia" w:ascii="宋体" w:hAnsi="宋体"/>
          <w:highlight w:val="none"/>
        </w:rPr>
        <w:t>”</w:t>
      </w:r>
      <w:r>
        <w:rPr>
          <w:rFonts w:hint="eastAsia" w:ascii="宋体" w:hAnsi="宋体" w:cs="Arial"/>
          <w:highlight w:val="none"/>
        </w:rPr>
        <w:t>系指甲方指定的地点。</w:t>
      </w:r>
    </w:p>
    <w:p>
      <w:pPr>
        <w:numPr>
          <w:ilvl w:val="2"/>
          <w:numId w:val="9"/>
        </w:numPr>
        <w:spacing w:before="0" w:after="0" w:afterAutospacing="0"/>
        <w:ind w:left="0" w:right="0" w:firstLine="420" w:firstLineChars="200"/>
        <w:rPr>
          <w:rFonts w:ascii="宋体" w:hAnsi="宋体" w:cs="Arial"/>
          <w:highlight w:val="none"/>
        </w:rPr>
      </w:pPr>
      <w:r>
        <w:rPr>
          <w:rFonts w:hint="eastAsia" w:ascii="宋体" w:hAnsi="宋体"/>
          <w:highlight w:val="none"/>
        </w:rPr>
        <w:t xml:space="preserve"> “</w:t>
      </w:r>
      <w:r>
        <w:rPr>
          <w:rFonts w:hint="eastAsia" w:ascii="宋体" w:hAnsi="宋体" w:cs="Arial"/>
          <w:highlight w:val="none"/>
        </w:rPr>
        <w:t>项目</w:t>
      </w:r>
      <w:r>
        <w:rPr>
          <w:rFonts w:hint="eastAsia" w:ascii="宋体" w:hAnsi="宋体"/>
          <w:highlight w:val="none"/>
        </w:rPr>
        <w:t>”</w:t>
      </w:r>
      <w:r>
        <w:rPr>
          <w:rFonts w:hint="eastAsia" w:ascii="宋体" w:hAnsi="宋体" w:cs="Arial"/>
          <w:highlight w:val="none"/>
        </w:rPr>
        <w:t>系指乙方根据合同规定为甲方提供的</w:t>
      </w:r>
      <w:r>
        <w:rPr>
          <w:rFonts w:hint="eastAsia" w:ascii="宋体" w:hAnsi="宋体"/>
          <w:highlight w:val="none"/>
        </w:rPr>
        <w:t>采购项目</w:t>
      </w:r>
      <w:r>
        <w:rPr>
          <w:rFonts w:ascii="宋体" w:hAnsi="宋体"/>
          <w:highlight w:val="none"/>
        </w:rPr>
        <w:t>。</w:t>
      </w:r>
    </w:p>
    <w:p>
      <w:pPr>
        <w:numPr>
          <w:ilvl w:val="2"/>
          <w:numId w:val="9"/>
        </w:numPr>
        <w:spacing w:before="0" w:after="0" w:afterAutospacing="0"/>
        <w:ind w:left="0" w:right="0" w:firstLine="422" w:firstLineChars="200"/>
        <w:rPr>
          <w:rFonts w:ascii="宋体" w:hAnsi="宋体" w:cs="Arial"/>
          <w:highlight w:val="none"/>
        </w:rPr>
      </w:pPr>
      <w:r>
        <w:rPr>
          <w:rFonts w:hint="eastAsia" w:ascii="宋体" w:hAnsi="宋体" w:cs="Arial"/>
          <w:b/>
          <w:highlight w:val="none"/>
        </w:rPr>
        <w:t xml:space="preserve"> “计量检定”系指所有计量仪器仪表都需提供国家计量认证资质（</w:t>
      </w:r>
      <w:r>
        <w:rPr>
          <w:rFonts w:ascii="宋体" w:hAnsi="宋体" w:cs="Arial"/>
          <w:b/>
          <w:highlight w:val="none"/>
        </w:rPr>
        <w:t>CMA）的第三方计量检定报告/校准报告原件（委托方为：南宁轨道交通</w:t>
      </w:r>
      <w:r>
        <w:rPr>
          <w:rFonts w:hint="eastAsia" w:ascii="宋体" w:hAnsi="宋体" w:cs="Arial"/>
          <w:b/>
          <w:highlight w:val="none"/>
          <w:lang w:val="en-US" w:eastAsia="zh-CN"/>
        </w:rPr>
        <w:t>运营有限</w:t>
      </w:r>
      <w:r>
        <w:rPr>
          <w:rFonts w:ascii="宋体" w:hAnsi="宋体" w:cs="Arial"/>
          <w:b/>
          <w:highlight w:val="none"/>
        </w:rPr>
        <w:t>公司），相关费用包含在乙方的合同价款中，甲方不再另行支付。中华人民共和国强制检定的工作计量器具明细目录内的仪器仪表必须出具第三方计量检定报告。</w:t>
      </w:r>
    </w:p>
    <w:p>
      <w:pPr>
        <w:numPr>
          <w:ilvl w:val="2"/>
          <w:numId w:val="9"/>
        </w:numPr>
        <w:spacing w:before="0" w:after="0" w:afterAutospacing="0"/>
        <w:ind w:left="0" w:right="0" w:firstLine="420" w:firstLineChars="200"/>
        <w:rPr>
          <w:rFonts w:ascii="宋体" w:hAnsi="宋体" w:cs="Arial"/>
          <w:highlight w:val="none"/>
        </w:rPr>
      </w:pPr>
      <w:r>
        <w:rPr>
          <w:rFonts w:hint="eastAsia" w:ascii="宋体" w:hAnsi="宋体" w:cs="Arial"/>
          <w:highlight w:val="none"/>
        </w:rPr>
        <w:t>“质保期”系</w:t>
      </w:r>
      <w:r>
        <w:rPr>
          <w:rFonts w:hint="eastAsia" w:ascii="宋体" w:hAnsi="宋体"/>
          <w:color w:val="FF0000"/>
          <w:highlight w:val="none"/>
          <w:u w:val="single"/>
        </w:rPr>
        <w:t xml:space="preserve"> </w:t>
      </w:r>
      <w:r>
        <w:rPr>
          <w:rFonts w:hint="eastAsia" w:ascii="宋体" w:hAnsi="宋体"/>
          <w:color w:val="FF0000"/>
          <w:highlight w:val="none"/>
          <w:u w:val="single"/>
          <w:lang w:val="en-US" w:eastAsia="zh-CN"/>
        </w:rPr>
        <w:t>12</w:t>
      </w:r>
      <w:r>
        <w:rPr>
          <w:rFonts w:hint="eastAsia" w:ascii="宋体" w:hAnsi="宋体"/>
          <w:color w:val="FF0000"/>
          <w:highlight w:val="none"/>
          <w:u w:val="single"/>
        </w:rPr>
        <w:t xml:space="preserve"> </w:t>
      </w:r>
      <w:r>
        <w:rPr>
          <w:rFonts w:hint="eastAsia" w:ascii="宋体" w:hAnsi="宋体"/>
          <w:highlight w:val="none"/>
        </w:rPr>
        <w:t>个月，自验收合格之日起计算；</w:t>
      </w:r>
      <w:r>
        <w:rPr>
          <w:rFonts w:hint="eastAsia" w:ascii="宋体" w:hAnsi="宋体" w:eastAsia="宋体" w:cs="宋体"/>
          <w:color w:val="auto"/>
          <w:kern w:val="0"/>
          <w:szCs w:val="21"/>
          <w:highlight w:val="none"/>
          <w:lang w:val="en-US" w:eastAsia="zh-CN"/>
        </w:rPr>
        <w:t>此次改造的所有设备在</w:t>
      </w:r>
      <w:r>
        <w:rPr>
          <w:rFonts w:hint="eastAsia" w:ascii="宋体" w:hAnsi="宋体" w:eastAsia="宋体" w:cs="宋体"/>
          <w:color w:val="auto"/>
          <w:kern w:val="0"/>
          <w:szCs w:val="21"/>
          <w:highlight w:val="none"/>
        </w:rPr>
        <w:t>质保期内</w:t>
      </w:r>
      <w:r>
        <w:rPr>
          <w:rFonts w:hint="eastAsia" w:ascii="宋体" w:hAnsi="宋体" w:cs="宋体"/>
          <w:color w:val="auto"/>
          <w:kern w:val="0"/>
          <w:szCs w:val="21"/>
          <w:highlight w:val="none"/>
          <w:lang w:eastAsia="zh-CN"/>
        </w:rPr>
        <w:t>乙方</w:t>
      </w:r>
      <w:r>
        <w:rPr>
          <w:rFonts w:hint="eastAsia" w:ascii="宋体" w:hAnsi="宋体" w:eastAsia="宋体" w:cs="宋体"/>
          <w:color w:val="auto"/>
          <w:kern w:val="0"/>
          <w:szCs w:val="21"/>
          <w:highlight w:val="none"/>
        </w:rPr>
        <w:t>需提供免费上门维修（包含所有配件的更换及服务）服务</w:t>
      </w:r>
      <w:r>
        <w:rPr>
          <w:rFonts w:hint="eastAsia" w:ascii="宋体" w:hAnsi="宋体"/>
          <w:highlight w:val="none"/>
        </w:rPr>
        <w:t>及保养服务</w:t>
      </w:r>
      <w:r>
        <w:rPr>
          <w:rFonts w:hint="eastAsia" w:ascii="宋体" w:hAnsi="宋体" w:cs="Arial"/>
          <w:highlight w:val="none"/>
        </w:rPr>
        <w:t>。</w:t>
      </w:r>
    </w:p>
    <w:p>
      <w:pPr>
        <w:numPr>
          <w:ilvl w:val="2"/>
          <w:numId w:val="9"/>
        </w:numPr>
        <w:spacing w:before="0" w:after="0" w:afterAutospacing="0"/>
        <w:ind w:left="0" w:right="0" w:firstLine="420" w:firstLineChars="200"/>
        <w:rPr>
          <w:rFonts w:ascii="宋体" w:hAnsi="宋体" w:cs="Arial"/>
          <w:highlight w:val="none"/>
        </w:rPr>
      </w:pPr>
      <w:r>
        <w:rPr>
          <w:rFonts w:hint="eastAsia" w:ascii="宋体" w:hAnsi="宋体" w:cs="Arial"/>
          <w:highlight w:val="none"/>
        </w:rPr>
        <w:t>“保质期”系指在特定的的贮存条件下，保持品质的期限。</w:t>
      </w:r>
    </w:p>
    <w:p>
      <w:pPr>
        <w:spacing w:before="0" w:after="0" w:afterAutospacing="0"/>
        <w:ind w:left="0" w:right="0" w:firstLine="420" w:firstLineChars="200"/>
        <w:rPr>
          <w:rFonts w:ascii="宋体" w:hAnsi="宋体"/>
          <w:highlight w:val="none"/>
        </w:rPr>
      </w:pPr>
      <w:r>
        <w:rPr>
          <w:rFonts w:hint="eastAsia" w:ascii="宋体" w:hAnsi="宋体"/>
          <w:highlight w:val="none"/>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highlight w:val="none"/>
        </w:rPr>
      </w:pPr>
      <w:r>
        <w:rPr>
          <w:rFonts w:hint="eastAsia" w:ascii="宋体" w:hAnsi="宋体"/>
          <w:highlight w:val="none"/>
        </w:rPr>
        <w:t>1.1.24“欺诈行为”是指为了影响采购过程或合同实施过程而谎报事实的行为。</w:t>
      </w:r>
    </w:p>
    <w:p>
      <w:pPr>
        <w:numPr>
          <w:ilvl w:val="1"/>
          <w:numId w:val="9"/>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解释</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凡指当事人或各方的措辞应包括商行、公司以及具有法人资格的任何组织。仅表明单数形式的词也包括复数含义，视上下文需要而定，反之亦然。</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凡合同规定任何人发出通知、同意或确认时，该通知、同意或确认不得被无故扣押。除非另有规定，该通知、同意或确认应是书面的并应对“通知”一词做出相应解释。</w:t>
      </w:r>
    </w:p>
    <w:p>
      <w:pPr>
        <w:numPr>
          <w:ilvl w:val="2"/>
          <w:numId w:val="9"/>
        </w:numPr>
        <w:tabs>
          <w:tab w:val="left" w:pos="106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highlight w:val="none"/>
        </w:rPr>
      </w:pPr>
      <w:bookmarkStart w:id="1284" w:name="_Toc19653_WPSOffice_Level2"/>
      <w:r>
        <w:rPr>
          <w:rFonts w:hint="eastAsia" w:ascii="宋体" w:hAnsi="宋体"/>
          <w:b/>
          <w:highlight w:val="none"/>
        </w:rPr>
        <w:t>2.适用性</w:t>
      </w:r>
      <w:bookmarkEnd w:id="1284"/>
    </w:p>
    <w:p>
      <w:pPr>
        <w:numPr>
          <w:ilvl w:val="1"/>
          <w:numId w:val="10"/>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本合同条款适用于本合同其它部分未有规定或未被替代的范围。</w:t>
      </w:r>
    </w:p>
    <w:p>
      <w:pPr>
        <w:tabs>
          <w:tab w:val="left" w:pos="640"/>
          <w:tab w:val="left" w:pos="1843"/>
        </w:tabs>
        <w:spacing w:before="0" w:after="0" w:afterAutospacing="0"/>
        <w:ind w:left="420" w:right="0" w:firstLine="0"/>
        <w:outlineLvl w:val="2"/>
        <w:rPr>
          <w:rFonts w:ascii="宋体" w:hAnsi="宋体"/>
          <w:b/>
          <w:highlight w:val="none"/>
        </w:rPr>
      </w:pPr>
      <w:bookmarkStart w:id="1285" w:name="_Toc22843_WPSOffice_Level2"/>
      <w:r>
        <w:rPr>
          <w:rFonts w:hint="eastAsia" w:ascii="宋体" w:hAnsi="宋体"/>
          <w:b/>
          <w:highlight w:val="none"/>
        </w:rPr>
        <w:t>3.来源地</w:t>
      </w:r>
      <w:bookmarkEnd w:id="1285"/>
    </w:p>
    <w:p>
      <w:pPr>
        <w:numPr>
          <w:ilvl w:val="1"/>
          <w:numId w:val="11"/>
        </w:numPr>
        <w:tabs>
          <w:tab w:val="left" w:pos="840"/>
          <w:tab w:val="clear" w:pos="1560"/>
        </w:tabs>
        <w:spacing w:before="0" w:after="0" w:afterAutospacing="0"/>
        <w:ind w:left="0" w:right="0" w:firstLine="420" w:firstLineChars="200"/>
        <w:rPr>
          <w:rFonts w:ascii="宋体" w:hAnsi="宋体"/>
          <w:highlight w:val="none"/>
        </w:rPr>
      </w:pPr>
      <w:r>
        <w:rPr>
          <w:rFonts w:hint="eastAsia" w:ascii="宋体" w:hAnsi="宋体"/>
          <w:highlight w:val="none"/>
        </w:rPr>
        <w:t>本合同项下所提供的货物及服务均应来自于中华人民共和国或是与中华人民共和国有正常贸易往来的国家和地区。</w:t>
      </w:r>
    </w:p>
    <w:p>
      <w:pPr>
        <w:numPr>
          <w:ilvl w:val="1"/>
          <w:numId w:val="11"/>
        </w:numPr>
        <w:tabs>
          <w:tab w:val="left" w:pos="840"/>
          <w:tab w:val="clear" w:pos="1560"/>
        </w:tabs>
        <w:spacing w:before="0" w:after="0" w:afterAutospacing="0"/>
        <w:ind w:left="0" w:right="0" w:firstLine="420" w:firstLineChars="200"/>
        <w:rPr>
          <w:rFonts w:ascii="宋体" w:hAnsi="宋体"/>
          <w:highlight w:val="none"/>
        </w:rPr>
      </w:pPr>
      <w:r>
        <w:rPr>
          <w:rFonts w:hint="eastAsia" w:ascii="宋体" w:hAnsi="宋体"/>
          <w:highlight w:val="none"/>
        </w:rPr>
        <w:t>货物和服务的来源地有别于乙方的国籍。</w:t>
      </w:r>
    </w:p>
    <w:p>
      <w:pPr>
        <w:numPr>
          <w:ilvl w:val="1"/>
          <w:numId w:val="11"/>
        </w:numPr>
        <w:tabs>
          <w:tab w:val="left" w:pos="840"/>
          <w:tab w:val="clear" w:pos="1560"/>
        </w:tabs>
        <w:spacing w:before="0" w:after="0" w:afterAutospacing="0"/>
        <w:ind w:left="0" w:right="0" w:firstLine="420" w:firstLineChars="200"/>
        <w:rPr>
          <w:rFonts w:ascii="宋体" w:hAnsi="宋体"/>
          <w:highlight w:val="none"/>
        </w:rPr>
      </w:pPr>
      <w:r>
        <w:rPr>
          <w:rFonts w:hint="eastAsia" w:ascii="宋体" w:hAnsi="宋体"/>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highlight w:val="none"/>
        </w:rPr>
      </w:pPr>
      <w:bookmarkStart w:id="1286" w:name="_Toc18443_WPSOffice_Level2"/>
      <w:r>
        <w:rPr>
          <w:rFonts w:hint="eastAsia" w:ascii="宋体" w:hAnsi="宋体"/>
          <w:b/>
          <w:highlight w:val="none"/>
        </w:rPr>
        <w:t>4.标准</w:t>
      </w:r>
      <w:bookmarkEnd w:id="1286"/>
    </w:p>
    <w:p>
      <w:pPr>
        <w:numPr>
          <w:ilvl w:val="1"/>
          <w:numId w:val="12"/>
        </w:numPr>
        <w:tabs>
          <w:tab w:val="left" w:pos="840"/>
          <w:tab w:val="clear" w:pos="1560"/>
        </w:tabs>
        <w:spacing w:before="0" w:after="0" w:afterAutospacing="0"/>
        <w:ind w:left="0" w:right="0" w:firstLine="420" w:firstLineChars="200"/>
        <w:rPr>
          <w:rFonts w:ascii="宋体" w:hAnsi="宋体"/>
          <w:highlight w:val="none"/>
        </w:rPr>
      </w:pPr>
      <w:r>
        <w:rPr>
          <w:rFonts w:hint="eastAsia" w:ascii="宋体" w:hAnsi="宋体"/>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2"/>
        </w:numPr>
        <w:tabs>
          <w:tab w:val="left" w:pos="840"/>
          <w:tab w:val="clear" w:pos="1560"/>
        </w:tabs>
        <w:spacing w:before="0" w:after="0" w:afterAutospacing="0"/>
        <w:ind w:left="0" w:right="0" w:firstLine="420" w:firstLineChars="200"/>
        <w:rPr>
          <w:rFonts w:ascii="宋体" w:hAnsi="宋体"/>
          <w:highlight w:val="none"/>
        </w:rPr>
      </w:pPr>
      <w:r>
        <w:rPr>
          <w:rFonts w:hint="eastAsia" w:ascii="宋体" w:hAnsi="宋体"/>
          <w:highlight w:val="none"/>
        </w:rPr>
        <w:t>乙方应免费向甲方提供有关标准的文本。如果有关标准和文本不是中文，乙方须免费向甲方提供中文的译本，并对中文译本的真实性、完整性、准确性负责。</w:t>
      </w:r>
    </w:p>
    <w:p>
      <w:pPr>
        <w:numPr>
          <w:ilvl w:val="1"/>
          <w:numId w:val="12"/>
        </w:numPr>
        <w:tabs>
          <w:tab w:val="left" w:pos="840"/>
          <w:tab w:val="clear" w:pos="1560"/>
        </w:tabs>
        <w:spacing w:before="0" w:after="0" w:afterAutospacing="0"/>
        <w:ind w:left="0" w:right="0" w:firstLine="420" w:firstLineChars="200"/>
        <w:rPr>
          <w:rFonts w:ascii="宋体" w:hAnsi="宋体"/>
          <w:highlight w:val="none"/>
        </w:rPr>
      </w:pPr>
      <w:r>
        <w:rPr>
          <w:rFonts w:hint="eastAsia" w:ascii="宋体" w:hAnsi="宋体"/>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highlight w:val="none"/>
        </w:rPr>
      </w:pPr>
      <w:bookmarkStart w:id="1287" w:name="_Toc7155_WPSOffice_Level2"/>
      <w:r>
        <w:rPr>
          <w:rFonts w:hint="eastAsia" w:ascii="宋体" w:hAnsi="宋体"/>
          <w:b/>
          <w:highlight w:val="none"/>
        </w:rPr>
        <w:t>5.合同文件、资料及使用</w:t>
      </w:r>
      <w:bookmarkEnd w:id="1287"/>
    </w:p>
    <w:p>
      <w:pPr>
        <w:numPr>
          <w:ilvl w:val="1"/>
          <w:numId w:val="13"/>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3"/>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没有甲方事先书面同意，除了履行本合同之外，乙方不得允许他人使用条款第</w:t>
      </w:r>
      <w:r>
        <w:rPr>
          <w:rFonts w:ascii="宋体" w:hAnsi="宋体"/>
          <w:highlight w:val="none"/>
        </w:rPr>
        <w:t>5.1</w:t>
      </w:r>
      <w:r>
        <w:rPr>
          <w:rFonts w:hint="eastAsia" w:ascii="宋体" w:hAnsi="宋体"/>
          <w:highlight w:val="none"/>
        </w:rPr>
        <w:t>条所列举的任何文件和资料。</w:t>
      </w:r>
    </w:p>
    <w:p>
      <w:pPr>
        <w:numPr>
          <w:ilvl w:val="1"/>
          <w:numId w:val="13"/>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除了合同本身以外，条款第</w:t>
      </w:r>
      <w:r>
        <w:rPr>
          <w:rFonts w:ascii="宋体" w:hAnsi="宋体"/>
          <w:highlight w:val="none"/>
        </w:rPr>
        <w:t>5.1</w:t>
      </w:r>
      <w:r>
        <w:rPr>
          <w:rFonts w:hint="eastAsia" w:ascii="宋体" w:hAnsi="宋体"/>
          <w:highlight w:val="none"/>
        </w:rPr>
        <w:t>条所列举的任何文件均视为甲方的财产。如果甲方有要求，乙方在完成合同后或合同终止时应将上述文件及全部复印件还交给甲方，或按甲方需求予以销毁。</w:t>
      </w:r>
    </w:p>
    <w:p>
      <w:pPr>
        <w:numPr>
          <w:ilvl w:val="1"/>
          <w:numId w:val="13"/>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甲方项目档案管理的规定（各类项目文件资料档案的移交份数，详见南宁轨道交通</w:t>
      </w:r>
      <w:r>
        <w:rPr>
          <w:rFonts w:hint="eastAsia" w:ascii="宋体" w:hAnsi="宋体"/>
          <w:highlight w:val="none"/>
          <w:lang w:val="en-US" w:eastAsia="zh-CN"/>
        </w:rPr>
        <w:t>运营有限</w:t>
      </w:r>
      <w:r>
        <w:rPr>
          <w:rFonts w:hint="eastAsia" w:ascii="宋体" w:hAnsi="宋体"/>
          <w:highlight w:val="none"/>
        </w:rPr>
        <w:t>公司有关部门立卷的规定文件）。</w:t>
      </w:r>
    </w:p>
    <w:p>
      <w:pPr>
        <w:spacing w:before="0" w:after="0" w:afterAutospacing="0"/>
        <w:ind w:left="0" w:right="0" w:firstLine="420" w:firstLineChars="200"/>
        <w:rPr>
          <w:rFonts w:ascii="宋体" w:hAnsi="宋体"/>
          <w:highlight w:val="none"/>
        </w:rPr>
      </w:pPr>
      <w:r>
        <w:rPr>
          <w:rFonts w:hint="eastAsia" w:ascii="宋体" w:hAnsi="宋体"/>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highlight w:val="none"/>
        </w:rPr>
      </w:pPr>
      <w:r>
        <w:rPr>
          <w:rFonts w:hint="eastAsia" w:ascii="宋体" w:hAnsi="宋体"/>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highlight w:val="none"/>
        </w:rPr>
      </w:pPr>
      <w:bookmarkStart w:id="1288" w:name="_Toc26722_WPSOffice_Level2"/>
      <w:r>
        <w:rPr>
          <w:rFonts w:hint="eastAsia" w:ascii="宋体" w:hAnsi="宋体"/>
          <w:b/>
          <w:highlight w:val="none"/>
        </w:rPr>
        <w:t>6.知识产权</w:t>
      </w:r>
      <w:bookmarkEnd w:id="1288"/>
    </w:p>
    <w:p>
      <w:pPr>
        <w:numPr>
          <w:ilvl w:val="0"/>
          <w:numId w:val="14"/>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highlight w:val="none"/>
        </w:rPr>
        <w:t>权、著作权、注册商标专有使用权、计算机软件登记或反不正当竞争的起诉及索赔。</w:t>
      </w:r>
      <w:r>
        <w:rPr>
          <w:rFonts w:hint="eastAsia" w:ascii="宋体" w:hAnsi="宋体"/>
          <w:highlight w:val="none"/>
        </w:rPr>
        <w:t>否则，由此而引起的所有责任及费用由乙方承担。</w:t>
      </w:r>
    </w:p>
    <w:p>
      <w:pPr>
        <w:numPr>
          <w:ilvl w:val="0"/>
          <w:numId w:val="14"/>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甲方不对乙方提供的货物的及服务的专利</w:t>
      </w:r>
      <w:r>
        <w:rPr>
          <w:rFonts w:hint="eastAsia" w:ascii="宋体" w:hAnsi="宋体" w:cs="Arial"/>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14"/>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4"/>
        </w:numPr>
        <w:tabs>
          <w:tab w:val="left" w:pos="840"/>
          <w:tab w:val="clear" w:pos="1134"/>
        </w:tabs>
        <w:spacing w:before="0" w:after="0" w:afterAutospacing="0"/>
        <w:ind w:left="0" w:right="0" w:firstLine="420" w:firstLineChars="200"/>
        <w:rPr>
          <w:rFonts w:ascii="宋体" w:hAnsi="宋体"/>
          <w:highlight w:val="none"/>
        </w:rPr>
      </w:pPr>
      <w:r>
        <w:rPr>
          <w:rFonts w:hint="eastAsia" w:ascii="宋体" w:hAnsi="宋体"/>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highlight w:val="none"/>
        </w:rPr>
      </w:pPr>
      <w:bookmarkStart w:id="1289" w:name="_Toc28434_WPSOffice_Level2"/>
      <w:r>
        <w:rPr>
          <w:rFonts w:hint="eastAsia" w:ascii="宋体" w:hAnsi="宋体"/>
          <w:b/>
          <w:highlight w:val="none"/>
        </w:rPr>
        <w:t>7.价格</w:t>
      </w:r>
      <w:bookmarkEnd w:id="1289"/>
    </w:p>
    <w:p>
      <w:pPr>
        <w:numPr>
          <w:ilvl w:val="255"/>
          <w:numId w:val="0"/>
        </w:numPr>
        <w:spacing w:after="0" w:afterAutospacing="0"/>
        <w:ind w:right="0" w:firstLine="420" w:firstLineChars="200"/>
        <w:rPr>
          <w:rFonts w:ascii="宋体" w:hAnsi="宋体"/>
          <w:highlight w:val="none"/>
        </w:rPr>
      </w:pPr>
      <w:r>
        <w:rPr>
          <w:rFonts w:hint="eastAsia" w:ascii="宋体" w:hAnsi="宋体"/>
          <w:highlight w:val="none"/>
        </w:rPr>
        <w:t>7.1在合同有效期内综合单价（不含增值税）固定不变，乙方根据甲方每批次交货通知中要求的货物种类、数量按时供货据实结算。乙方不得以任何理由予以合同价格上浮、上调、上涨，但如属经双方协商同意变更的情况除外，</w:t>
      </w:r>
      <w:r>
        <w:rPr>
          <w:rFonts w:hint="eastAsia" w:ascii="宋体" w:hAnsi="宋体"/>
          <w:b/>
          <w:highlight w:val="none"/>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highlight w:val="none"/>
        </w:rPr>
      </w:pPr>
      <w:r>
        <w:rPr>
          <w:rFonts w:hint="eastAsia" w:ascii="宋体" w:hAnsi="宋体"/>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highlight w:val="none"/>
        </w:rPr>
      </w:pPr>
      <w:r>
        <w:rPr>
          <w:rFonts w:hint="eastAsia" w:ascii="宋体" w:hAnsi="宋体"/>
          <w:highlight w:val="none"/>
        </w:rPr>
        <w:t>7.3合同金额：含税人民币</w:t>
      </w:r>
      <w:r>
        <w:rPr>
          <w:rFonts w:hint="eastAsia" w:ascii="宋体" w:hAnsi="宋体"/>
          <w:highlight w:val="none"/>
          <w:u w:val="single"/>
        </w:rPr>
        <w:t xml:space="preserve">       </w:t>
      </w:r>
      <w:r>
        <w:rPr>
          <w:rFonts w:hint="eastAsia" w:ascii="宋体" w:hAnsi="宋体"/>
          <w:highlight w:val="none"/>
        </w:rPr>
        <w:t>（¥：</w:t>
      </w:r>
      <w:r>
        <w:rPr>
          <w:rFonts w:hint="eastAsia" w:ascii="宋体" w:hAnsi="宋体"/>
          <w:highlight w:val="none"/>
          <w:u w:val="single"/>
        </w:rPr>
        <w:t xml:space="preserve"> </w:t>
      </w:r>
      <w:r>
        <w:rPr>
          <w:rFonts w:hint="eastAsia" w:ascii="宋体" w:hAnsi="宋体"/>
          <w:highlight w:val="none"/>
        </w:rPr>
        <w:t>），税率</w:t>
      </w:r>
      <w:r>
        <w:rPr>
          <w:rFonts w:hint="eastAsia" w:ascii="宋体" w:hAnsi="宋体"/>
          <w:highlight w:val="none"/>
          <w:u w:val="single"/>
        </w:rPr>
        <w:t xml:space="preserve">  </w:t>
      </w:r>
      <w:r>
        <w:rPr>
          <w:rFonts w:hint="eastAsia" w:ascii="宋体" w:hAnsi="宋体"/>
          <w:highlight w:val="none"/>
        </w:rPr>
        <w:t>%；不含税总金额：</w:t>
      </w:r>
      <w:r>
        <w:rPr>
          <w:rFonts w:hint="eastAsia" w:ascii="宋体" w:hAnsi="宋体"/>
          <w:highlight w:val="none"/>
          <w:u w:val="single"/>
        </w:rPr>
        <w:t xml:space="preserve">       </w:t>
      </w:r>
      <w:r>
        <w:rPr>
          <w:rFonts w:hint="eastAsia" w:ascii="宋体" w:hAnsi="宋体"/>
          <w:highlight w:val="none"/>
        </w:rPr>
        <w:t>（¥：</w:t>
      </w:r>
      <w:r>
        <w:rPr>
          <w:rFonts w:hint="eastAsia" w:ascii="宋体" w:hAnsi="宋体"/>
          <w:highlight w:val="none"/>
          <w:u w:val="single"/>
        </w:rPr>
        <w:t xml:space="preserve"> </w:t>
      </w:r>
      <w:r>
        <w:rPr>
          <w:rFonts w:hint="eastAsia" w:ascii="宋体" w:hAnsi="宋体"/>
          <w:highlight w:val="none"/>
        </w:rPr>
        <w:t>）。</w:t>
      </w:r>
    </w:p>
    <w:p>
      <w:pPr>
        <w:tabs>
          <w:tab w:val="left" w:pos="567"/>
        </w:tabs>
        <w:spacing w:before="0" w:after="0" w:afterAutospacing="0"/>
        <w:ind w:left="0" w:right="0" w:firstLine="420" w:firstLineChars="200"/>
        <w:rPr>
          <w:rFonts w:ascii="宋体" w:hAnsi="宋体"/>
          <w:highlight w:val="none"/>
        </w:rPr>
      </w:pPr>
      <w:r>
        <w:rPr>
          <w:rFonts w:hint="eastAsia" w:ascii="宋体" w:hAnsi="宋体"/>
          <w:highlight w:val="none"/>
        </w:rPr>
        <w:t>其中1号线价格：不含税价人民币</w:t>
      </w:r>
      <w:r>
        <w:rPr>
          <w:rFonts w:hint="eastAsia" w:ascii="宋体" w:hAnsi="宋体"/>
          <w:highlight w:val="none"/>
          <w:u w:val="single"/>
        </w:rPr>
        <w:t xml:space="preserve">       (¥  )；</w:t>
      </w:r>
      <w:r>
        <w:rPr>
          <w:rFonts w:hint="eastAsia" w:ascii="宋体" w:hAnsi="宋体"/>
          <w:highlight w:val="none"/>
        </w:rPr>
        <w:t>税费人民币</w:t>
      </w:r>
      <w:r>
        <w:rPr>
          <w:rFonts w:hint="eastAsia" w:ascii="宋体" w:hAnsi="宋体"/>
          <w:highlight w:val="none"/>
          <w:u w:val="single"/>
        </w:rPr>
        <w:t xml:space="preserve">       (¥  )</w:t>
      </w:r>
      <w:r>
        <w:rPr>
          <w:rFonts w:hint="eastAsia" w:ascii="宋体" w:hAnsi="宋体"/>
          <w:highlight w:val="none"/>
        </w:rPr>
        <w:t xml:space="preserve"> ；含税总价人民币</w:t>
      </w:r>
      <w:r>
        <w:rPr>
          <w:rFonts w:hint="eastAsia" w:ascii="宋体" w:hAnsi="宋体"/>
          <w:highlight w:val="none"/>
          <w:u w:val="single"/>
        </w:rPr>
        <w:t xml:space="preserve">       (¥  )</w:t>
      </w:r>
      <w:r>
        <w:rPr>
          <w:rFonts w:hint="eastAsia" w:ascii="宋体" w:hAnsi="宋体"/>
          <w:highlight w:val="none"/>
        </w:rPr>
        <w:t>；（如有）</w:t>
      </w:r>
    </w:p>
    <w:p>
      <w:pPr>
        <w:tabs>
          <w:tab w:val="left" w:pos="567"/>
        </w:tabs>
        <w:spacing w:before="0" w:after="0" w:afterAutospacing="0"/>
        <w:ind w:left="0" w:right="0" w:firstLine="420" w:firstLineChars="200"/>
        <w:rPr>
          <w:rFonts w:ascii="宋体" w:hAnsi="宋体"/>
          <w:highlight w:val="none"/>
        </w:rPr>
      </w:pPr>
      <w:r>
        <w:rPr>
          <w:rFonts w:hint="eastAsia" w:ascii="宋体" w:hAnsi="宋体"/>
          <w:highlight w:val="none"/>
        </w:rPr>
        <w:t>2号线价格：不含税价人民币</w:t>
      </w:r>
      <w:r>
        <w:rPr>
          <w:rFonts w:hint="eastAsia" w:ascii="宋体" w:hAnsi="宋体"/>
          <w:highlight w:val="none"/>
          <w:u w:val="single"/>
        </w:rPr>
        <w:t xml:space="preserve">       (¥  )；</w:t>
      </w:r>
      <w:r>
        <w:rPr>
          <w:rFonts w:hint="eastAsia" w:ascii="宋体" w:hAnsi="宋体"/>
          <w:highlight w:val="none"/>
        </w:rPr>
        <w:t>税费人民币</w:t>
      </w:r>
      <w:r>
        <w:rPr>
          <w:rFonts w:hint="eastAsia" w:ascii="宋体" w:hAnsi="宋体"/>
          <w:highlight w:val="none"/>
          <w:u w:val="single"/>
        </w:rPr>
        <w:t xml:space="preserve">       (¥  )</w:t>
      </w:r>
      <w:r>
        <w:rPr>
          <w:rFonts w:hint="eastAsia" w:ascii="宋体" w:hAnsi="宋体"/>
          <w:highlight w:val="none"/>
        </w:rPr>
        <w:t xml:space="preserve"> ；含税总价人民币</w:t>
      </w:r>
      <w:r>
        <w:rPr>
          <w:rFonts w:hint="eastAsia" w:ascii="宋体" w:hAnsi="宋体"/>
          <w:highlight w:val="none"/>
          <w:u w:val="single"/>
        </w:rPr>
        <w:t xml:space="preserve">       (¥  )</w:t>
      </w:r>
      <w:r>
        <w:rPr>
          <w:rFonts w:hint="eastAsia" w:ascii="宋体" w:hAnsi="宋体"/>
          <w:highlight w:val="none"/>
        </w:rPr>
        <w:t>；（如有）</w:t>
      </w:r>
    </w:p>
    <w:p>
      <w:pPr>
        <w:tabs>
          <w:tab w:val="left" w:pos="960"/>
          <w:tab w:val="left" w:pos="1134"/>
          <w:tab w:val="left" w:pos="8364"/>
        </w:tabs>
        <w:spacing w:before="0" w:after="0" w:afterAutospacing="0"/>
        <w:ind w:left="0" w:right="0" w:firstLine="424" w:firstLineChars="202"/>
        <w:rPr>
          <w:rFonts w:hint="eastAsia" w:ascii="宋体" w:hAnsi="宋体"/>
          <w:highlight w:val="none"/>
        </w:rPr>
      </w:pPr>
      <w:r>
        <w:rPr>
          <w:rFonts w:hint="eastAsia" w:ascii="宋体" w:hAnsi="宋体"/>
          <w:highlight w:val="none"/>
        </w:rPr>
        <w:t>3号线价格：不含税价人民币</w:t>
      </w:r>
      <w:r>
        <w:rPr>
          <w:rFonts w:hint="eastAsia" w:ascii="宋体" w:hAnsi="宋体"/>
          <w:highlight w:val="none"/>
          <w:u w:val="single"/>
        </w:rPr>
        <w:t xml:space="preserve">       (¥  )；</w:t>
      </w:r>
      <w:r>
        <w:rPr>
          <w:rFonts w:hint="eastAsia" w:ascii="宋体" w:hAnsi="宋体"/>
          <w:highlight w:val="none"/>
        </w:rPr>
        <w:t>税费人民币</w:t>
      </w:r>
      <w:r>
        <w:rPr>
          <w:rFonts w:hint="eastAsia" w:ascii="宋体" w:hAnsi="宋体"/>
          <w:highlight w:val="none"/>
          <w:u w:val="single"/>
        </w:rPr>
        <w:t xml:space="preserve">       (¥  )</w:t>
      </w:r>
      <w:r>
        <w:rPr>
          <w:rFonts w:hint="eastAsia" w:ascii="宋体" w:hAnsi="宋体"/>
          <w:highlight w:val="none"/>
        </w:rPr>
        <w:t xml:space="preserve"> ；含税总价人民币</w:t>
      </w:r>
      <w:r>
        <w:rPr>
          <w:rFonts w:hint="eastAsia" w:ascii="宋体" w:hAnsi="宋体"/>
          <w:highlight w:val="none"/>
          <w:u w:val="single"/>
        </w:rPr>
        <w:t xml:space="preserve">       (¥  )</w:t>
      </w:r>
      <w:r>
        <w:rPr>
          <w:rFonts w:hint="eastAsia" w:ascii="宋体" w:hAnsi="宋体"/>
          <w:highlight w:val="none"/>
        </w:rPr>
        <w:t>；（如有）</w:t>
      </w:r>
    </w:p>
    <w:p>
      <w:pPr>
        <w:tabs>
          <w:tab w:val="left" w:pos="960"/>
          <w:tab w:val="left" w:pos="1134"/>
          <w:tab w:val="left" w:pos="8364"/>
        </w:tabs>
        <w:spacing w:before="0" w:after="0" w:afterAutospacing="0"/>
        <w:ind w:left="0" w:right="0" w:firstLine="424" w:firstLineChars="202"/>
        <w:rPr>
          <w:rFonts w:ascii="宋体" w:hAnsi="宋体"/>
          <w:highlight w:val="none"/>
        </w:rPr>
      </w:pPr>
      <w:r>
        <w:rPr>
          <w:rFonts w:hint="eastAsia" w:ascii="宋体" w:hAnsi="宋体"/>
          <w:highlight w:val="none"/>
          <w:lang w:val="en-US" w:eastAsia="zh-CN"/>
        </w:rPr>
        <w:t>4</w:t>
      </w:r>
      <w:r>
        <w:rPr>
          <w:rFonts w:hint="eastAsia" w:ascii="宋体" w:hAnsi="宋体"/>
          <w:highlight w:val="none"/>
        </w:rPr>
        <w:t>号线价格：不含税价人民币       (¥  )；税费人民币       (¥  ) ；含税总价人民币       (¥  )；（如有）…………</w:t>
      </w:r>
    </w:p>
    <w:p>
      <w:pPr>
        <w:tabs>
          <w:tab w:val="left" w:pos="960"/>
          <w:tab w:val="left" w:pos="1134"/>
          <w:tab w:val="left" w:pos="8364"/>
        </w:tabs>
        <w:spacing w:before="0" w:after="0" w:afterAutospacing="0"/>
        <w:ind w:left="0" w:right="0" w:firstLine="424" w:firstLineChars="202"/>
        <w:rPr>
          <w:highlight w:val="none"/>
        </w:rPr>
      </w:pPr>
      <w:r>
        <w:rPr>
          <w:rFonts w:hint="eastAsia" w:ascii="宋体" w:hAnsi="宋体"/>
          <w:highlight w:val="none"/>
          <w:lang w:val="en-US" w:eastAsia="zh-CN"/>
        </w:rPr>
        <w:t>5</w:t>
      </w:r>
      <w:r>
        <w:rPr>
          <w:rFonts w:hint="eastAsia" w:ascii="宋体" w:hAnsi="宋体"/>
          <w:highlight w:val="none"/>
        </w:rPr>
        <w:t>号线价格：不含税价人民币       (¥  )；税费人民币       (¥  ) ；含税总价人民币       (¥  )；（如有）…………</w:t>
      </w:r>
    </w:p>
    <w:p>
      <w:pPr>
        <w:numPr>
          <w:ilvl w:val="255"/>
          <w:numId w:val="0"/>
        </w:numPr>
        <w:spacing w:after="0" w:afterAutospacing="0"/>
        <w:ind w:right="0" w:firstLine="420" w:firstLineChars="200"/>
        <w:rPr>
          <w:rFonts w:ascii="宋体" w:hAnsi="宋体"/>
          <w:highlight w:val="none"/>
        </w:rPr>
      </w:pPr>
      <w:r>
        <w:rPr>
          <w:rFonts w:hint="eastAsia" w:ascii="宋体" w:hAnsi="宋体"/>
          <w:highlight w:val="none"/>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ascii="宋体" w:hAnsi="宋体"/>
          <w:b/>
          <w:highlight w:val="none"/>
        </w:rPr>
      </w:pPr>
      <w:bookmarkStart w:id="1290" w:name="_Toc2492_WPSOffice_Level2"/>
      <w:r>
        <w:rPr>
          <w:rFonts w:hint="eastAsia" w:ascii="宋体" w:hAnsi="宋体"/>
          <w:b/>
          <w:highlight w:val="none"/>
        </w:rPr>
        <w:t>8.合同有效期</w:t>
      </w:r>
      <w:bookmarkEnd w:id="1290"/>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本合同有效期为自合同生效之日起</w:t>
      </w:r>
      <w:r>
        <w:rPr>
          <w:rFonts w:hint="eastAsia" w:ascii="宋体" w:hAnsi="宋体"/>
          <w:color w:val="FF0000"/>
          <w:highlight w:val="none"/>
          <w:u w:val="single"/>
        </w:rPr>
        <w:t xml:space="preserve"> </w:t>
      </w:r>
      <w:r>
        <w:rPr>
          <w:rFonts w:hint="eastAsia" w:ascii="宋体" w:hAnsi="宋体"/>
          <w:color w:val="FF0000"/>
          <w:highlight w:val="none"/>
          <w:u w:val="single"/>
          <w:lang w:val="en-US" w:eastAsia="zh-CN"/>
        </w:rPr>
        <w:t>1.5</w:t>
      </w:r>
      <w:r>
        <w:rPr>
          <w:rFonts w:hint="eastAsia" w:ascii="宋体" w:hAnsi="宋体"/>
          <w:color w:val="FF0000"/>
          <w:highlight w:val="none"/>
          <w:u w:val="single"/>
        </w:rPr>
        <w:t xml:space="preserve"> </w:t>
      </w:r>
      <w:r>
        <w:rPr>
          <w:rFonts w:hint="eastAsia" w:ascii="宋体" w:hAnsi="宋体" w:cs="Arial"/>
          <w:highlight w:val="none"/>
        </w:rPr>
        <w:t>年。</w:t>
      </w:r>
    </w:p>
    <w:p>
      <w:pPr>
        <w:tabs>
          <w:tab w:val="left" w:pos="640"/>
          <w:tab w:val="left" w:pos="1843"/>
        </w:tabs>
        <w:spacing w:before="0" w:after="0" w:afterAutospacing="0"/>
        <w:ind w:left="420" w:right="0" w:firstLine="0"/>
        <w:outlineLvl w:val="2"/>
        <w:rPr>
          <w:rFonts w:ascii="宋体" w:hAnsi="宋体"/>
          <w:b/>
          <w:highlight w:val="none"/>
        </w:rPr>
      </w:pPr>
      <w:bookmarkStart w:id="1291" w:name="_Toc5504_WPSOffice_Level2"/>
      <w:r>
        <w:rPr>
          <w:rFonts w:hint="eastAsia" w:ascii="宋体" w:hAnsi="宋体"/>
          <w:b/>
          <w:highlight w:val="none"/>
        </w:rPr>
        <w:t>9.付款</w:t>
      </w:r>
      <w:bookmarkEnd w:id="1291"/>
    </w:p>
    <w:p>
      <w:pPr>
        <w:tabs>
          <w:tab w:val="left" w:pos="960"/>
          <w:tab w:val="left" w:pos="8364"/>
        </w:tabs>
        <w:spacing w:before="0" w:after="0" w:afterAutospacing="0"/>
        <w:ind w:left="420" w:right="0" w:firstLine="0"/>
        <w:rPr>
          <w:rFonts w:ascii="宋体" w:hAnsi="宋体"/>
          <w:highlight w:val="none"/>
        </w:rPr>
      </w:pPr>
      <w:r>
        <w:rPr>
          <w:rFonts w:hint="eastAsia" w:ascii="宋体" w:hAnsi="宋体" w:cs="Arial"/>
          <w:highlight w:val="none"/>
        </w:rPr>
        <w:t>本合同项下的支付按</w:t>
      </w:r>
      <w:r>
        <w:rPr>
          <w:rFonts w:hint="eastAsia" w:ascii="宋体" w:hAnsi="宋体"/>
          <w:highlight w:val="none"/>
        </w:rPr>
        <w:t>合同</w:t>
      </w:r>
      <w:r>
        <w:rPr>
          <w:rFonts w:hint="eastAsia" w:ascii="宋体" w:hAnsi="宋体" w:cs="Arial"/>
          <w:highlight w:val="none"/>
        </w:rPr>
        <w:t>条款规定方式进行</w:t>
      </w:r>
      <w:r>
        <w:rPr>
          <w:rFonts w:ascii="宋体" w:hAnsi="宋体"/>
          <w:highlight w:val="none"/>
        </w:rPr>
        <w:t>。</w:t>
      </w:r>
    </w:p>
    <w:p>
      <w:pPr>
        <w:numPr>
          <w:ilvl w:val="0"/>
          <w:numId w:val="0"/>
        </w:numPr>
        <w:tabs>
          <w:tab w:val="left" w:pos="840"/>
        </w:tabs>
        <w:spacing w:before="0" w:after="0" w:afterAutospacing="0"/>
        <w:ind w:right="0" w:rightChars="0" w:firstLine="420" w:firstLineChars="200"/>
        <w:rPr>
          <w:rFonts w:hint="eastAsia" w:ascii="宋体" w:hAnsi="宋体"/>
          <w:highlight w:val="none"/>
        </w:rPr>
      </w:pPr>
      <w:r>
        <w:rPr>
          <w:rFonts w:hint="eastAsia" w:ascii="宋体" w:hAnsi="宋体" w:cs="Arial"/>
          <w:highlight w:val="none"/>
        </w:rPr>
        <w:t>9.1</w:t>
      </w:r>
      <w:r>
        <w:rPr>
          <w:rFonts w:hint="eastAsia" w:ascii="宋体" w:hAnsi="宋体"/>
          <w:highlight w:val="none"/>
        </w:rPr>
        <w:t>在合同履约过程中，本合同税率将遵照国家现行税法执行，随国家税率调整而调整。本合同最终税金在结算阶段，按实际产生的税金进行核算，但合同不含税价格不因国家税率调整而调整。</w:t>
      </w:r>
    </w:p>
    <w:p>
      <w:pPr>
        <w:numPr>
          <w:ilvl w:val="0"/>
          <w:numId w:val="0"/>
        </w:numPr>
        <w:tabs>
          <w:tab w:val="left" w:pos="840"/>
        </w:tabs>
        <w:spacing w:before="0" w:after="0" w:afterAutospacing="0"/>
        <w:ind w:right="0" w:rightChars="0" w:firstLine="420" w:firstLineChars="200"/>
        <w:rPr>
          <w:rFonts w:hint="eastAsia" w:ascii="宋体" w:hAnsi="宋体"/>
          <w:highlight w:val="none"/>
        </w:rPr>
      </w:pPr>
      <w:r>
        <w:rPr>
          <w:rFonts w:hint="eastAsia" w:ascii="宋体" w:hAnsi="宋体"/>
          <w:highlight w:val="none"/>
          <w:lang w:val="en-US" w:eastAsia="zh-CN"/>
        </w:rPr>
        <w:t>9</w:t>
      </w:r>
      <w:r>
        <w:rPr>
          <w:rFonts w:hint="eastAsia" w:ascii="宋体" w:hAnsi="宋体"/>
          <w:highlight w:val="none"/>
        </w:rPr>
        <w:t>.2付款方式。</w:t>
      </w:r>
    </w:p>
    <w:p>
      <w:pPr>
        <w:numPr>
          <w:ilvl w:val="0"/>
          <w:numId w:val="0"/>
        </w:numPr>
        <w:tabs>
          <w:tab w:val="left" w:pos="840"/>
        </w:tabs>
        <w:spacing w:before="0" w:after="0" w:afterAutospacing="0"/>
        <w:ind w:right="0" w:rightChars="0" w:firstLine="420" w:firstLineChars="200"/>
        <w:rPr>
          <w:rFonts w:hint="eastAsia" w:ascii="宋体" w:hAnsi="宋体"/>
          <w:color w:val="auto"/>
          <w:highlight w:val="none"/>
          <w:lang w:eastAsia="zh-CN"/>
        </w:rPr>
      </w:pPr>
      <w:r>
        <w:rPr>
          <w:rFonts w:hint="eastAsia" w:ascii="宋体" w:hAnsi="宋体"/>
          <w:color w:val="auto"/>
          <w:highlight w:val="none"/>
          <w:lang w:val="en-US" w:eastAsia="zh-CN"/>
        </w:rPr>
        <w:t>9</w:t>
      </w:r>
      <w:r>
        <w:rPr>
          <w:rFonts w:hint="eastAsia" w:ascii="宋体" w:hAnsi="宋体"/>
          <w:color w:val="auto"/>
          <w:highlight w:val="none"/>
        </w:rPr>
        <w:t>.2.1全部项目完成并验收合格后，乙方根据甲方要求完成档案归档及合同结算经甲方审定后，甲方在收到乙方提供的以下材料后45个工作日内支付至合同最终审定金额的95%</w:t>
      </w:r>
      <w:r>
        <w:rPr>
          <w:rFonts w:hint="eastAsia" w:ascii="宋体" w:hAnsi="宋体"/>
          <w:color w:val="auto"/>
          <w:highlight w:val="none"/>
          <w:lang w:eastAsia="zh-CN"/>
        </w:rPr>
        <w:t>。</w:t>
      </w:r>
    </w:p>
    <w:p>
      <w:pPr>
        <w:tabs>
          <w:tab w:val="left" w:pos="1134"/>
          <w:tab w:val="left" w:pos="8364"/>
        </w:tabs>
        <w:spacing w:before="0" w:after="0" w:afterAutospacing="0"/>
        <w:ind w:left="0" w:right="0" w:firstLine="420" w:firstLineChars="200"/>
        <w:rPr>
          <w:rFonts w:hint="eastAsia" w:ascii="宋体" w:hAnsi="宋体" w:eastAsia="宋体" w:cs="Arial"/>
          <w:color w:val="auto"/>
          <w:highlight w:val="none"/>
          <w:lang w:eastAsia="zh-CN"/>
        </w:rPr>
      </w:pPr>
      <w:r>
        <w:rPr>
          <w:rFonts w:hint="eastAsia" w:ascii="宋体" w:hAnsi="宋体" w:cs="Arial"/>
          <w:color w:val="auto"/>
          <w:highlight w:val="none"/>
        </w:rPr>
        <w:t>①</w:t>
      </w:r>
      <w:r>
        <w:rPr>
          <w:rFonts w:hint="eastAsia"/>
          <w:color w:val="auto"/>
          <w:highlight w:val="none"/>
        </w:rPr>
        <w:t>乙方开具的增值税专用发票</w:t>
      </w:r>
      <w:r>
        <w:rPr>
          <w:rFonts w:hint="eastAsia"/>
          <w:color w:val="auto"/>
          <w:highlight w:val="none"/>
          <w:lang w:eastAsia="zh-CN"/>
        </w:rPr>
        <w:t>（金额为合同最终结算审定金额的</w:t>
      </w:r>
      <w:r>
        <w:rPr>
          <w:rFonts w:hint="eastAsia"/>
          <w:color w:val="auto"/>
          <w:highlight w:val="none"/>
          <w:lang w:val="en-US" w:eastAsia="zh-CN"/>
        </w:rPr>
        <w:t>100%</w:t>
      </w:r>
      <w:r>
        <w:rPr>
          <w:rFonts w:hint="eastAsia"/>
          <w:color w:val="auto"/>
          <w:highlight w:val="none"/>
          <w:lang w:eastAsia="zh-CN"/>
        </w:rPr>
        <w:t>）。</w:t>
      </w:r>
    </w:p>
    <w:p>
      <w:pPr>
        <w:tabs>
          <w:tab w:val="left" w:pos="1134"/>
          <w:tab w:val="left" w:pos="8364"/>
        </w:tabs>
        <w:spacing w:before="0" w:after="0" w:afterAutospacing="0"/>
        <w:ind w:left="420" w:right="0" w:firstLine="0"/>
        <w:rPr>
          <w:rFonts w:hint="eastAsia"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420" w:right="0" w:firstLine="0"/>
        <w:rPr>
          <w:rFonts w:hint="eastAsia"/>
          <w:color w:val="auto"/>
          <w:highlight w:val="none"/>
          <w:lang w:eastAsia="zh-CN"/>
        </w:rPr>
      </w:pPr>
      <w:r>
        <w:rPr>
          <w:rFonts w:hint="eastAsia"/>
          <w:color w:val="auto"/>
          <w:highlight w:val="none"/>
          <w:lang w:eastAsia="zh-CN"/>
        </w:rPr>
        <w:t>③</w:t>
      </w:r>
      <w:r>
        <w:rPr>
          <w:rFonts w:hint="eastAsia" w:ascii="宋体" w:hAnsi="宋体" w:cs="Arial"/>
          <w:color w:val="auto"/>
          <w:highlight w:val="none"/>
        </w:rPr>
        <w:t>双方确认的</w:t>
      </w:r>
      <w:r>
        <w:rPr>
          <w:rFonts w:hint="eastAsia" w:ascii="宋体" w:hAnsi="宋体"/>
          <w:color w:val="auto"/>
          <w:highlight w:val="none"/>
        </w:rPr>
        <w:t>全部项目</w:t>
      </w:r>
      <w:r>
        <w:rPr>
          <w:rFonts w:hint="eastAsia" w:ascii="宋体" w:hAnsi="宋体"/>
          <w:color w:val="auto"/>
          <w:highlight w:val="none"/>
          <w:lang w:eastAsia="zh-CN"/>
        </w:rPr>
        <w:t>施工</w:t>
      </w:r>
      <w:r>
        <w:rPr>
          <w:rFonts w:hint="eastAsia" w:ascii="宋体" w:hAnsi="宋体"/>
          <w:color w:val="auto"/>
          <w:highlight w:val="none"/>
        </w:rPr>
        <w:t>完成</w:t>
      </w:r>
      <w:r>
        <w:rPr>
          <w:rFonts w:hint="eastAsia" w:ascii="宋体" w:hAnsi="宋体" w:cs="Arial"/>
          <w:color w:val="auto"/>
          <w:highlight w:val="none"/>
          <w:lang w:eastAsia="zh-CN"/>
        </w:rPr>
        <w:t>验收合格</w:t>
      </w:r>
      <w:r>
        <w:rPr>
          <w:rFonts w:hint="eastAsia" w:ascii="宋体" w:hAnsi="宋体" w:cs="Arial"/>
          <w:color w:val="auto"/>
          <w:highlight w:val="none"/>
        </w:rPr>
        <w:t>证明。</w:t>
      </w:r>
    </w:p>
    <w:p>
      <w:pPr>
        <w:tabs>
          <w:tab w:val="left" w:pos="1134"/>
          <w:tab w:val="left" w:pos="8364"/>
        </w:tabs>
        <w:spacing w:before="0" w:after="0" w:afterAutospacing="0"/>
        <w:ind w:left="0" w:right="0" w:firstLine="420" w:firstLineChars="200"/>
        <w:rPr>
          <w:rFonts w:hint="eastAsia"/>
          <w:color w:val="auto"/>
          <w:highlight w:val="none"/>
          <w:lang w:eastAsia="zh-CN"/>
        </w:rPr>
      </w:pPr>
      <w:r>
        <w:rPr>
          <w:rFonts w:hint="eastAsia" w:ascii="宋体" w:hAnsi="宋体" w:cs="Arial"/>
          <w:highlight w:val="none"/>
        </w:rPr>
        <w:fldChar w:fldCharType="begin"/>
      </w:r>
      <w:r>
        <w:rPr>
          <w:rFonts w:hint="eastAsia" w:ascii="宋体" w:hAnsi="宋体" w:cs="Arial"/>
          <w:highlight w:val="none"/>
        </w:rPr>
        <w:instrText xml:space="preserve"> = 4 \* GB3 \* MERGEFORMAT </w:instrText>
      </w:r>
      <w:r>
        <w:rPr>
          <w:rFonts w:hint="eastAsia" w:ascii="宋体" w:hAnsi="宋体" w:cs="Arial"/>
          <w:highlight w:val="none"/>
        </w:rPr>
        <w:fldChar w:fldCharType="separate"/>
      </w:r>
      <w:r>
        <w:rPr>
          <w:highlight w:val="none"/>
        </w:rPr>
        <w:t>④</w:t>
      </w:r>
      <w:r>
        <w:rPr>
          <w:rFonts w:hint="eastAsia" w:ascii="宋体" w:hAnsi="宋体" w:cs="Arial"/>
          <w:highlight w:val="none"/>
        </w:rPr>
        <w:fldChar w:fldCharType="end"/>
      </w:r>
      <w:r>
        <w:rPr>
          <w:rFonts w:hint="eastAsia" w:ascii="宋体" w:hAnsi="宋体" w:cs="Arial"/>
          <w:highlight w:val="none"/>
        </w:rPr>
        <w:t>全部货物到货验收合格证明材料。</w:t>
      </w:r>
    </w:p>
    <w:p>
      <w:pPr>
        <w:tabs>
          <w:tab w:val="left" w:pos="1134"/>
          <w:tab w:val="left" w:pos="8364"/>
        </w:tabs>
        <w:spacing w:before="0" w:after="0" w:afterAutospacing="0"/>
        <w:ind w:left="420" w:right="0" w:firstLine="0"/>
        <w:rPr>
          <w:rFonts w:hint="eastAsia"/>
          <w:color w:val="auto"/>
          <w:highlight w:val="none"/>
          <w:lang w:eastAsia="zh-CN"/>
        </w:rPr>
      </w:pPr>
      <w:r>
        <w:rPr>
          <w:rFonts w:hint="eastAsia" w:ascii="宋体" w:hAnsi="宋体"/>
          <w:highlight w:val="none"/>
        </w:rPr>
        <w:t>⑤</w:t>
      </w:r>
      <w:r>
        <w:rPr>
          <w:rFonts w:hint="eastAsia"/>
          <w:color w:val="auto"/>
          <w:highlight w:val="none"/>
          <w:lang w:eastAsia="zh-CN"/>
        </w:rPr>
        <w:t>合同违约处理通知单（如有）</w:t>
      </w:r>
    </w:p>
    <w:p>
      <w:pPr>
        <w:numPr>
          <w:ilvl w:val="0"/>
          <w:numId w:val="0"/>
        </w:numPr>
        <w:tabs>
          <w:tab w:val="left" w:pos="840"/>
        </w:tabs>
        <w:spacing w:before="0" w:after="0" w:afterAutospacing="0"/>
        <w:ind w:right="0" w:rightChars="0" w:firstLine="420" w:firstLineChars="200"/>
        <w:rPr>
          <w:rFonts w:hint="eastAsia" w:ascii="宋体" w:hAnsi="宋体"/>
          <w:color w:val="auto"/>
          <w:highlight w:val="none"/>
          <w:lang w:eastAsia="zh-CN"/>
        </w:rPr>
      </w:pPr>
      <w:r>
        <w:rPr>
          <w:rFonts w:hint="eastAsia" w:ascii="宋体" w:hAnsi="宋体"/>
          <w:color w:val="auto"/>
          <w:highlight w:val="none"/>
          <w:lang w:val="en-US" w:eastAsia="zh-CN"/>
        </w:rPr>
        <w:t>9.2.2</w:t>
      </w:r>
      <w:r>
        <w:rPr>
          <w:rFonts w:hint="eastAsia" w:ascii="宋体" w:hAnsi="宋体" w:cs="Arial"/>
          <w:color w:val="auto"/>
          <w:highlight w:val="none"/>
        </w:rPr>
        <w:t>质保期满，经甲方确认</w:t>
      </w:r>
      <w:r>
        <w:rPr>
          <w:rFonts w:hint="eastAsia" w:ascii="宋体" w:hAnsi="宋体" w:cs="Arial"/>
          <w:color w:val="auto"/>
          <w:highlight w:val="none"/>
          <w:lang w:eastAsia="zh-CN"/>
        </w:rPr>
        <w:t>项目</w:t>
      </w:r>
      <w:r>
        <w:rPr>
          <w:rFonts w:hint="eastAsia" w:ascii="宋体" w:hAnsi="宋体" w:cs="Arial"/>
          <w:color w:val="auto"/>
          <w:highlight w:val="none"/>
        </w:rPr>
        <w:t>成果均无质量问题</w:t>
      </w:r>
      <w:r>
        <w:rPr>
          <w:rFonts w:hint="eastAsia" w:ascii="宋体" w:hAnsi="宋体" w:cs="Arial"/>
          <w:highlight w:val="none"/>
        </w:rPr>
        <w:t>题或乙方已更换有质量问题产品经甲方确认合格后</w:t>
      </w:r>
      <w:r>
        <w:rPr>
          <w:rFonts w:hint="eastAsia" w:ascii="宋体" w:hAnsi="宋体" w:cs="Arial"/>
          <w:color w:val="auto"/>
          <w:highlight w:val="none"/>
        </w:rPr>
        <w:t>，甲方在收到由乙方提供的以下材料后4</w:t>
      </w:r>
      <w:r>
        <w:rPr>
          <w:rFonts w:ascii="宋体" w:hAnsi="宋体" w:cs="Arial"/>
          <w:color w:val="auto"/>
          <w:highlight w:val="none"/>
        </w:rPr>
        <w:t>5</w:t>
      </w:r>
      <w:r>
        <w:rPr>
          <w:rFonts w:hint="eastAsia" w:ascii="宋体" w:hAnsi="宋体" w:cs="Arial"/>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①乙方出具的支付申请书。</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②双方确认的质保期满后</w:t>
      </w:r>
      <w:r>
        <w:rPr>
          <w:rFonts w:hint="eastAsia" w:ascii="宋体" w:hAnsi="宋体" w:cs="Arial"/>
          <w:color w:val="auto"/>
          <w:highlight w:val="none"/>
          <w:lang w:eastAsia="zh-CN"/>
        </w:rPr>
        <w:t>验收合格</w:t>
      </w:r>
      <w:r>
        <w:rPr>
          <w:rFonts w:hint="eastAsia" w:ascii="宋体" w:hAnsi="宋体" w:cs="Arial"/>
          <w:color w:val="auto"/>
          <w:highlight w:val="none"/>
        </w:rPr>
        <w:t>证明。</w:t>
      </w:r>
    </w:p>
    <w:p>
      <w:pPr>
        <w:tabs>
          <w:tab w:val="left" w:pos="1134"/>
          <w:tab w:val="left" w:pos="8364"/>
        </w:tabs>
        <w:spacing w:before="0" w:after="0" w:afterAutospacing="0"/>
        <w:ind w:left="0" w:right="0" w:firstLine="420" w:firstLineChars="200"/>
        <w:rPr>
          <w:rFonts w:hint="eastAsia"/>
          <w:highlight w:val="none"/>
          <w:lang w:eastAsia="zh-CN"/>
        </w:rPr>
      </w:pPr>
      <w:r>
        <w:rPr>
          <w:rFonts w:hint="eastAsia" w:ascii="宋体" w:hAnsi="宋体" w:cs="Arial"/>
          <w:highlight w:val="none"/>
        </w:rPr>
        <w:t>③结算审定单。</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9.5支</w:t>
      </w:r>
      <w:r>
        <w:rPr>
          <w:rFonts w:hint="eastAsia" w:ascii="宋体" w:hAnsi="宋体" w:cs="Arial"/>
          <w:color w:val="auto"/>
          <w:sz w:val="21"/>
          <w:szCs w:val="21"/>
          <w:highlight w:val="none"/>
          <w:lang w:val="en-US" w:eastAsia="zh-CN"/>
        </w:rPr>
        <w:t>付的货币应以人民币支付,但不限于银行转账、汇票、国内信用证、供应链金融产品等支付形式</w:t>
      </w:r>
      <w:r>
        <w:rPr>
          <w:rFonts w:hint="eastAsia" w:hAnsi="宋体" w:cs="Arial"/>
          <w:color w:val="auto"/>
          <w:sz w:val="21"/>
          <w:szCs w:val="21"/>
          <w:highlight w:val="none"/>
          <w:lang w:val="en-US" w:eastAsia="zh-CN"/>
        </w:rPr>
        <w:t>。</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9.6本合同项下涉及付款的，由甲方组织签订甲方、乙方、丙方的三方协议，乙方按本合同规定的程序向丙方开具发票（开票信息另行提供），由丙方向乙方支付经甲方核准的合同应付价款。</w:t>
      </w:r>
    </w:p>
    <w:p>
      <w:pPr>
        <w:tabs>
          <w:tab w:val="left" w:pos="1134"/>
          <w:tab w:val="left" w:pos="8364"/>
        </w:tabs>
        <w:spacing w:before="0" w:after="0" w:afterAutospacing="0"/>
        <w:ind w:left="420" w:leftChars="200" w:right="0" w:firstLine="0"/>
        <w:rPr>
          <w:rFonts w:ascii="宋体" w:hAnsi="宋体" w:cs="Arial"/>
          <w:highlight w:val="none"/>
        </w:rPr>
      </w:pPr>
      <w:r>
        <w:rPr>
          <w:rFonts w:hint="eastAsia" w:ascii="宋体" w:hAnsi="宋体" w:cs="Arial"/>
          <w:highlight w:val="none"/>
        </w:rPr>
        <w:t>9.7结算需满足以下条件：</w:t>
      </w:r>
    </w:p>
    <w:p>
      <w:pPr>
        <w:tabs>
          <w:tab w:val="left" w:pos="1134"/>
          <w:tab w:val="left" w:pos="8364"/>
        </w:tabs>
        <w:spacing w:before="0" w:after="0" w:afterAutospacing="0"/>
        <w:ind w:left="420" w:leftChars="200" w:right="0" w:firstLine="0"/>
        <w:rPr>
          <w:rFonts w:ascii="宋体" w:hAnsi="宋体" w:cs="Arial"/>
          <w:highlight w:val="none"/>
        </w:rPr>
      </w:pPr>
      <w:r>
        <w:rPr>
          <w:rFonts w:hint="eastAsia" w:ascii="宋体" w:hAnsi="宋体" w:cs="Arial"/>
          <w:highlight w:val="none"/>
        </w:rPr>
        <w:t>（1）达到合同第26条约定的“合同终止”条件。</w:t>
      </w:r>
    </w:p>
    <w:p>
      <w:pPr>
        <w:tabs>
          <w:tab w:val="left" w:pos="1134"/>
          <w:tab w:val="left" w:pos="8364"/>
        </w:tabs>
        <w:spacing w:before="0" w:after="0" w:afterAutospacing="0"/>
        <w:ind w:left="420" w:leftChars="200" w:right="0" w:firstLine="0"/>
        <w:rPr>
          <w:rFonts w:ascii="宋体" w:hAnsi="宋体" w:cs="Arial"/>
          <w:highlight w:val="none"/>
        </w:rPr>
      </w:pPr>
      <w:r>
        <w:rPr>
          <w:rFonts w:hint="eastAsia" w:ascii="宋体" w:hAnsi="宋体" w:cs="Arial"/>
          <w:highlight w:val="none"/>
        </w:rPr>
        <w:t>（2）乙方根据甲方要求完成项目档案归档。</w:t>
      </w:r>
    </w:p>
    <w:p>
      <w:pPr>
        <w:tabs>
          <w:tab w:val="left" w:pos="1134"/>
          <w:tab w:val="left" w:pos="8364"/>
        </w:tabs>
        <w:spacing w:before="0" w:after="0" w:afterAutospacing="0"/>
        <w:ind w:left="420" w:leftChars="200" w:right="0" w:firstLine="0"/>
        <w:rPr>
          <w:rFonts w:ascii="宋体" w:hAnsi="宋体" w:cs="Arial"/>
          <w:highlight w:val="none"/>
        </w:rPr>
      </w:pPr>
      <w:r>
        <w:rPr>
          <w:rFonts w:hint="eastAsia" w:ascii="宋体" w:hAnsi="宋体" w:cs="Arial"/>
          <w:highlight w:val="none"/>
        </w:rPr>
        <w:t>（3）本合同有效期满或供货金额累计达到合同金额的100%（含）。</w:t>
      </w:r>
    </w:p>
    <w:p>
      <w:pPr>
        <w:tabs>
          <w:tab w:val="left" w:pos="1134"/>
          <w:tab w:val="left" w:pos="8364"/>
        </w:tabs>
        <w:spacing w:before="0" w:after="0" w:afterAutospacing="0"/>
        <w:ind w:left="420" w:leftChars="200" w:right="0" w:firstLine="0"/>
        <w:rPr>
          <w:rFonts w:ascii="宋体" w:hAnsi="宋体" w:cs="Arial"/>
          <w:highlight w:val="none"/>
        </w:rPr>
      </w:pPr>
      <w:r>
        <w:rPr>
          <w:rFonts w:hint="eastAsia" w:ascii="宋体" w:hAnsi="宋体" w:cs="Arial"/>
          <w:highlight w:val="none"/>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highlight w:val="none"/>
        </w:rPr>
      </w:pPr>
      <w:r>
        <w:rPr>
          <w:rFonts w:hint="eastAsia" w:ascii="宋体" w:hAnsi="宋体" w:cs="Arial"/>
          <w:highlight w:val="none"/>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highlight w:val="none"/>
        </w:rPr>
      </w:pPr>
      <w:r>
        <w:rPr>
          <w:rFonts w:hint="eastAsia" w:ascii="宋体" w:hAnsi="宋体" w:cs="Arial"/>
          <w:highlight w:val="none"/>
        </w:rPr>
        <w:t>②全部货物供货通知。</w:t>
      </w:r>
    </w:p>
    <w:p>
      <w:pPr>
        <w:tabs>
          <w:tab w:val="left" w:pos="1134"/>
          <w:tab w:val="left" w:pos="8364"/>
        </w:tabs>
        <w:spacing w:before="0" w:after="0" w:afterAutospacing="0"/>
        <w:ind w:left="420" w:leftChars="200" w:right="0" w:firstLine="420" w:firstLineChars="200"/>
        <w:rPr>
          <w:rFonts w:ascii="宋体" w:hAnsi="宋体" w:cs="Arial"/>
          <w:highlight w:val="none"/>
        </w:rPr>
      </w:pPr>
      <w:r>
        <w:rPr>
          <w:rFonts w:hint="eastAsia" w:ascii="宋体" w:hAnsi="宋体" w:cs="Arial"/>
          <w:highlight w:val="none"/>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highlight w:val="none"/>
        </w:rPr>
      </w:pPr>
      <w:r>
        <w:rPr>
          <w:rFonts w:hint="eastAsia" w:ascii="宋体" w:hAnsi="宋体" w:cs="Arial"/>
          <w:highlight w:val="none"/>
        </w:rPr>
        <w:t>④合同约定的其他证明资料（如违约情况及处理证明材料）。</w:t>
      </w:r>
    </w:p>
    <w:p>
      <w:pPr>
        <w:tabs>
          <w:tab w:val="left" w:pos="1134"/>
          <w:tab w:val="left" w:pos="8364"/>
        </w:tabs>
        <w:spacing w:before="0" w:after="0" w:afterAutospacing="0"/>
        <w:ind w:left="420" w:leftChars="200" w:right="0" w:firstLine="0"/>
        <w:rPr>
          <w:rFonts w:ascii="宋体" w:hAnsi="宋体"/>
          <w:b/>
          <w:highlight w:val="none"/>
        </w:rPr>
      </w:pPr>
      <w:bookmarkStart w:id="1292" w:name="_Toc26391_WPSOffice_Level2"/>
      <w:r>
        <w:rPr>
          <w:rFonts w:hint="eastAsia" w:ascii="宋体" w:hAnsi="宋体"/>
          <w:b/>
          <w:highlight w:val="none"/>
        </w:rPr>
        <w:t>10.履约担保</w:t>
      </w:r>
      <w:bookmarkEnd w:id="1292"/>
    </w:p>
    <w:p>
      <w:pPr>
        <w:widowControl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10.1在合同签订前，乙方应向甲方提供履约担保，履约担保金额为中选价格的</w:t>
      </w:r>
      <w:r>
        <w:rPr>
          <w:rFonts w:hint="eastAsia" w:ascii="宋体" w:hAnsi="宋体" w:cs="宋体"/>
          <w:kern w:val="2"/>
          <w:highlight w:val="none"/>
          <w:lang w:val="en-US" w:eastAsia="zh-CN"/>
        </w:rPr>
        <w:t>2.</w:t>
      </w:r>
      <w:r>
        <w:rPr>
          <w:rFonts w:hint="eastAsia" w:ascii="宋体" w:hAnsi="宋体" w:cs="宋体"/>
          <w:kern w:val="2"/>
          <w:highlight w:val="none"/>
        </w:rPr>
        <w:t>5%，履约担保可以采用转账或电汇或银行保函的形式。</w:t>
      </w:r>
    </w:p>
    <w:p>
      <w:pPr>
        <w:widowControl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widowControl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10.2履约担保应从生效之日起至全部装修及设施设备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pPr>
        <w:widowControl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10.3履约担保币种应为人民币。</w:t>
      </w:r>
    </w:p>
    <w:p>
      <w:pPr>
        <w:widowControl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10.4乙方提交履约担保所产生的费用由乙方承担。</w:t>
      </w:r>
    </w:p>
    <w:p>
      <w:pPr>
        <w:widowControl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10.5如果在有效期内乙方不能履行其在合同项下的义务，则乙方应缴纳有关费用和罚款，否则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pPr>
        <w:widowControl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10.6履约担保在本合同全部装修及设施设备验收合格之日起四十五（45）天后，根据履约期间甲方的索赔情况，将剩余履约担保款项无息退还乙方。</w:t>
      </w:r>
    </w:p>
    <w:p>
      <w:pPr>
        <w:tabs>
          <w:tab w:val="left" w:pos="640"/>
          <w:tab w:val="left" w:pos="1843"/>
        </w:tabs>
        <w:spacing w:before="0" w:after="0" w:afterAutospacing="0"/>
        <w:ind w:left="420" w:right="0" w:firstLine="0"/>
        <w:outlineLvl w:val="2"/>
        <w:rPr>
          <w:rFonts w:ascii="宋体" w:hAnsi="宋体"/>
          <w:b/>
          <w:highlight w:val="none"/>
        </w:rPr>
      </w:pPr>
      <w:bookmarkStart w:id="1293" w:name="_Toc15131_WPSOffice_Level2"/>
      <w:r>
        <w:rPr>
          <w:rFonts w:hint="eastAsia" w:ascii="宋体" w:hAnsi="宋体"/>
          <w:b/>
          <w:highlight w:val="none"/>
        </w:rPr>
        <w:t>11.检验</w:t>
      </w:r>
      <w:bookmarkEnd w:id="1293"/>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11.5技术规格书规定要求计量检定检验的物资，交货时每件货物均须提供检验报告、并粘贴检定/校准合格标签；检验报告须为有国家计量认证资质（CMA）的第三方机构出具的原件，检验委托方为“南宁轨道交通</w:t>
      </w:r>
      <w:r>
        <w:rPr>
          <w:rFonts w:hint="eastAsia" w:ascii="宋体" w:hAnsi="宋体" w:cs="Arial"/>
          <w:highlight w:val="none"/>
          <w:lang w:val="en-US" w:eastAsia="zh-CN"/>
        </w:rPr>
        <w:t>运营有限</w:t>
      </w:r>
      <w:r>
        <w:rPr>
          <w:rFonts w:hint="eastAsia" w:ascii="宋体" w:hAnsi="宋体" w:cs="Arial"/>
          <w:highlight w:val="none"/>
        </w:rPr>
        <w:t>公司”，检验产生的所有费用包含在项目报价中。中华人民共和国强制检定的工作计量器具明细目录内的仪器仪表必须出具第三方计量检定报告。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11.6技术规格书规定要求绝缘耐压检验的物资，交货时每件货物均须提供具有国家认定检验资质的第三方检验机构出具的绝缘耐压检验报告原件，检验委托方为“南宁轨道交通</w:t>
      </w:r>
      <w:r>
        <w:rPr>
          <w:rFonts w:hint="eastAsia" w:ascii="宋体" w:hAnsi="宋体" w:cs="Arial"/>
          <w:highlight w:val="none"/>
          <w:lang w:val="en-US" w:eastAsia="zh-CN"/>
        </w:rPr>
        <w:t>运营有限</w:t>
      </w:r>
      <w:r>
        <w:rPr>
          <w:rFonts w:hint="eastAsia" w:ascii="宋体" w:hAnsi="宋体" w:cs="Arial"/>
          <w:highlight w:val="none"/>
        </w:rPr>
        <w:t>公司”，检验产生的所有费用包含在项目报价中。</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11.9乙方负责的部分</w:t>
      </w:r>
    </w:p>
    <w:p>
      <w:pPr>
        <w:tabs>
          <w:tab w:val="left" w:pos="1440"/>
        </w:tabs>
        <w:spacing w:before="0" w:after="0" w:afterAutospacing="0"/>
        <w:ind w:left="0" w:right="0" w:firstLine="420" w:firstLineChars="200"/>
        <w:rPr>
          <w:rFonts w:ascii="宋体" w:hAnsi="宋体"/>
          <w:highlight w:val="none"/>
        </w:rPr>
      </w:pPr>
      <w:r>
        <w:rPr>
          <w:rFonts w:hint="eastAsia" w:ascii="宋体" w:hAnsi="宋体"/>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highlight w:val="none"/>
        </w:rPr>
      </w:pPr>
      <w:r>
        <w:rPr>
          <w:rFonts w:hint="eastAsia" w:ascii="宋体" w:hAnsi="宋体"/>
          <w:highlight w:val="none"/>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11.10甲方负责的部分</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11.13在任何情况下，任何检验和验收的结果均不免除乙方的合同责任。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highlight w:val="none"/>
        </w:rPr>
      </w:pPr>
      <w:bookmarkStart w:id="1294" w:name="_Toc11883_WPSOffice_Level2"/>
      <w:r>
        <w:rPr>
          <w:rFonts w:hint="eastAsia" w:ascii="宋体" w:hAnsi="宋体" w:cs="Arial"/>
          <w:highlight w:val="none"/>
        </w:rPr>
        <w:t>1</w:t>
      </w:r>
      <w:r>
        <w:rPr>
          <w:rFonts w:hint="eastAsia" w:ascii="宋体" w:hAnsi="宋体"/>
          <w:b/>
          <w:highlight w:val="none"/>
        </w:rPr>
        <w:t>2.包装</w:t>
      </w:r>
      <w:bookmarkEnd w:id="1294"/>
    </w:p>
    <w:p>
      <w:pPr>
        <w:tabs>
          <w:tab w:val="left" w:pos="1134"/>
          <w:tab w:val="left" w:pos="8364"/>
        </w:tabs>
        <w:spacing w:before="0" w:after="0" w:afterAutospacing="0"/>
        <w:ind w:left="17" w:leftChars="8" w:right="0" w:firstLine="401" w:firstLineChars="191"/>
        <w:rPr>
          <w:rFonts w:ascii="宋体" w:hAnsi="宋体" w:cs="Arial"/>
          <w:highlight w:val="none"/>
        </w:rPr>
      </w:pPr>
      <w:r>
        <w:rPr>
          <w:rFonts w:hint="eastAsia" w:ascii="宋体" w:hAnsi="宋体" w:cs="Arial"/>
          <w:highlight w:val="none"/>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highlight w:val="none"/>
        </w:rPr>
      </w:pPr>
      <w:r>
        <w:rPr>
          <w:rFonts w:hint="eastAsia" w:ascii="宋体" w:hAnsi="宋体" w:cs="Arial"/>
          <w:highlight w:val="none"/>
        </w:rPr>
        <w:t>a.收货人；</w:t>
      </w:r>
    </w:p>
    <w:p>
      <w:pPr>
        <w:tabs>
          <w:tab w:val="left" w:pos="1134"/>
          <w:tab w:val="left" w:pos="8364"/>
        </w:tabs>
        <w:spacing w:before="0" w:after="0" w:afterAutospacing="0"/>
        <w:ind w:left="17" w:leftChars="8" w:right="0" w:firstLine="401" w:firstLineChars="191"/>
        <w:rPr>
          <w:rFonts w:ascii="宋体" w:hAnsi="宋体" w:cs="Arial"/>
          <w:highlight w:val="none"/>
        </w:rPr>
      </w:pPr>
      <w:r>
        <w:rPr>
          <w:rFonts w:hint="eastAsia" w:ascii="宋体" w:hAnsi="宋体" w:cs="Arial"/>
          <w:highlight w:val="none"/>
        </w:rPr>
        <w:t>b.货物名称、件数；</w:t>
      </w:r>
    </w:p>
    <w:p>
      <w:pPr>
        <w:tabs>
          <w:tab w:val="left" w:pos="1134"/>
          <w:tab w:val="left" w:pos="8364"/>
        </w:tabs>
        <w:spacing w:before="0" w:after="0" w:afterAutospacing="0"/>
        <w:ind w:left="17" w:leftChars="8" w:right="0" w:firstLine="401" w:firstLineChars="191"/>
        <w:rPr>
          <w:rFonts w:ascii="宋体" w:hAnsi="宋体" w:cs="Arial"/>
          <w:highlight w:val="none"/>
        </w:rPr>
      </w:pPr>
      <w:r>
        <w:rPr>
          <w:rFonts w:hint="eastAsia" w:ascii="宋体" w:hAnsi="宋体" w:cs="Arial"/>
          <w:highlight w:val="none"/>
        </w:rPr>
        <w:t>c.毛重、净重；</w:t>
      </w:r>
    </w:p>
    <w:p>
      <w:pPr>
        <w:tabs>
          <w:tab w:val="left" w:pos="1134"/>
          <w:tab w:val="left" w:pos="8364"/>
        </w:tabs>
        <w:spacing w:before="0" w:after="0" w:afterAutospacing="0"/>
        <w:ind w:left="17" w:leftChars="8" w:right="0" w:firstLine="401" w:firstLineChars="191"/>
        <w:rPr>
          <w:rFonts w:ascii="宋体" w:hAnsi="宋体" w:cs="Arial"/>
          <w:highlight w:val="none"/>
        </w:rPr>
      </w:pPr>
      <w:r>
        <w:rPr>
          <w:rFonts w:hint="eastAsia" w:ascii="宋体" w:hAnsi="宋体" w:cs="Arial"/>
          <w:highlight w:val="none"/>
        </w:rPr>
        <w:t>d.体积（长×宽×高，用毫米表示）。</w:t>
      </w:r>
    </w:p>
    <w:p>
      <w:pPr>
        <w:tabs>
          <w:tab w:val="left" w:pos="1134"/>
          <w:tab w:val="left" w:pos="8364"/>
        </w:tabs>
        <w:spacing w:before="0" w:after="0" w:afterAutospacing="0"/>
        <w:ind w:left="17" w:leftChars="8" w:right="0" w:firstLine="401" w:firstLineChars="191"/>
        <w:rPr>
          <w:rFonts w:ascii="宋体" w:hAnsi="宋体" w:cs="Arial"/>
          <w:highlight w:val="none"/>
        </w:rPr>
      </w:pPr>
      <w:r>
        <w:rPr>
          <w:rFonts w:hint="eastAsia" w:ascii="宋体" w:hAnsi="宋体" w:cs="Arial"/>
          <w:highlight w:val="none"/>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12.6乙方在包装货物时应考虑甲方现场实际条件。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12.7各种货物的松散零部件应采用好的包装方式，装入尺寸适当的箱内。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12.8对于裸装货物，乙方应采取特殊措施保护货物及方便搬运。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ascii="宋体" w:hAnsi="宋体"/>
          <w:b/>
          <w:highlight w:val="none"/>
        </w:rPr>
      </w:pPr>
      <w:bookmarkStart w:id="1295" w:name="_Toc26965_WPSOffice_Level2"/>
      <w:r>
        <w:rPr>
          <w:rFonts w:hint="eastAsia" w:ascii="宋体" w:hAnsi="宋体"/>
          <w:b/>
          <w:highlight w:val="none"/>
        </w:rPr>
        <w:t>13.交货和单据</w:t>
      </w:r>
      <w:bookmarkEnd w:id="1295"/>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13.1交货期：以</w:t>
      </w:r>
      <w:r>
        <w:rPr>
          <w:rFonts w:hint="eastAsia" w:ascii="宋体" w:hAnsi="宋体" w:cs="Arial"/>
          <w:highlight w:val="none"/>
          <w:lang w:val="en-US" w:eastAsia="zh-CN"/>
        </w:rPr>
        <w:t>开工令及</w:t>
      </w:r>
      <w:r>
        <w:rPr>
          <w:rFonts w:hint="eastAsia" w:ascii="宋体" w:hAnsi="宋体" w:cs="Arial"/>
          <w:highlight w:val="none"/>
        </w:rPr>
        <w:t>交货通知发出起</w:t>
      </w:r>
      <w:r>
        <w:rPr>
          <w:rFonts w:hint="eastAsia" w:ascii="宋体" w:hAnsi="宋体" w:cs="Arial"/>
          <w:highlight w:val="none"/>
          <w:lang w:val="en-US" w:eastAsia="zh-CN"/>
        </w:rPr>
        <w:t>45天内</w:t>
      </w:r>
      <w:r>
        <w:rPr>
          <w:rFonts w:hint="eastAsia" w:ascii="宋体" w:hAnsi="宋体" w:cs="Arial"/>
          <w:highlight w:val="none"/>
        </w:rPr>
        <w:t>。 如遇进口物资，进口物资交货期可适当延长，延长情况以乙方提供的报关单或其他相关证明材料为准，但不得超过6个月。</w:t>
      </w:r>
    </w:p>
    <w:p>
      <w:pPr>
        <w:tabs>
          <w:tab w:val="left" w:pos="1134"/>
          <w:tab w:val="left" w:pos="8364"/>
        </w:tabs>
        <w:spacing w:before="0" w:after="0" w:afterAutospacing="0"/>
        <w:ind w:left="0" w:right="0" w:firstLine="420" w:firstLineChars="200"/>
        <w:rPr>
          <w:rFonts w:hint="eastAsia" w:ascii="宋体" w:hAnsi="宋体" w:cs="Arial"/>
          <w:highlight w:val="none"/>
        </w:rPr>
      </w:pPr>
      <w:r>
        <w:rPr>
          <w:rFonts w:hint="eastAsia" w:ascii="宋体" w:hAnsi="宋体" w:cs="Arial"/>
          <w:highlight w:val="none"/>
        </w:rPr>
        <w:t>13.2甲方在合同签订后或交货前，向乙方发出交货通知。</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13.3乙方应负责将合同货物在双方约定的交货期内运抵甲方指定地点。乙方负责交货地点的卸货和现场存放点的就位。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13.4乙方应负责将货物交到合同规定的交货地点并负责货物交到交货地点的一切费用，包括运输、装卸、保险、仓储等费用。乙方应提供的装运细节和/或其他单据执行合同条款的具体规定。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13.5如果甲方采购的货物不能按计划进行现场交接，乙方应将货物在其南宁市仓储场所内进行临时保管。乙方应提交的单据执行合同条款的具体规定。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highlight w:val="none"/>
        </w:rPr>
      </w:pPr>
      <w:bookmarkStart w:id="1296" w:name="_Toc4402_WPSOffice_Level2"/>
      <w:r>
        <w:rPr>
          <w:rFonts w:hint="eastAsia" w:ascii="宋体" w:hAnsi="宋体"/>
          <w:b/>
          <w:highlight w:val="none"/>
        </w:rPr>
        <w:t>14.所有权与风险转移</w:t>
      </w:r>
      <w:bookmarkEnd w:id="1296"/>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14.1货物的所有权，只有乙方将货物运至交货地点且经甲方开箱检验无损后，甲方出具相应报告并办理交接手续后由乙方转移至甲方。所有权的转移不免除乙方的质量责任。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14.2货物毁损、灭失的风险在验收合格并移交完毕后由乙方转移到甲方，若带安装、调试、试运行的，则应在安装、调试、试运行验收合格后。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14.3在拒收情况下，或者解除合同的，货物毁损、灭失的风险由乙方承担。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highlight w:val="none"/>
        </w:rPr>
      </w:pPr>
      <w:bookmarkStart w:id="1297" w:name="_Toc2616_WPSOffice_Level2"/>
      <w:r>
        <w:rPr>
          <w:rFonts w:hint="eastAsia" w:ascii="宋体" w:hAnsi="宋体"/>
          <w:b/>
          <w:highlight w:val="none"/>
        </w:rPr>
        <w:t>15.运输</w:t>
      </w:r>
      <w:bookmarkEnd w:id="1297"/>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15.1乙方应在任何货物运送至甲方指定现场日期前7天通知甲方。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highlight w:val="none"/>
        </w:rPr>
      </w:pPr>
      <w:bookmarkStart w:id="1298" w:name="_Toc7681_WPSOffice_Level2"/>
      <w:r>
        <w:rPr>
          <w:rFonts w:hint="eastAsia" w:ascii="宋体" w:hAnsi="宋体"/>
          <w:b/>
          <w:highlight w:val="none"/>
        </w:rPr>
        <w:t>16.服务</w:t>
      </w:r>
      <w:bookmarkEnd w:id="1298"/>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（2）为所供货物提供详细的操作和维护手册。</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（3）合同条款第二部分1.1.10所提及的所有服务内容，但前提条件是该服务并不能免除乙方在合同有效期内所承担的义务。</w:t>
      </w:r>
    </w:p>
    <w:p>
      <w:pPr>
        <w:tabs>
          <w:tab w:val="left" w:pos="640"/>
          <w:tab w:val="left" w:pos="1843"/>
        </w:tabs>
        <w:spacing w:before="0" w:after="0" w:afterAutospacing="0"/>
        <w:ind w:left="420" w:right="0" w:firstLine="0"/>
        <w:outlineLvl w:val="2"/>
        <w:rPr>
          <w:rFonts w:ascii="宋体" w:hAnsi="宋体"/>
          <w:b/>
          <w:highlight w:val="none"/>
        </w:rPr>
      </w:pPr>
      <w:bookmarkStart w:id="1299" w:name="_Toc13319_WPSOffice_Level2"/>
      <w:r>
        <w:rPr>
          <w:rFonts w:hint="eastAsia" w:ascii="宋体" w:hAnsi="宋体"/>
          <w:b/>
          <w:highlight w:val="none"/>
        </w:rPr>
        <w:t>17.保证</w:t>
      </w:r>
      <w:bookmarkEnd w:id="1299"/>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17.5质量保证期</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17.5.1正常质量保证期</w:t>
      </w:r>
    </w:p>
    <w:p>
      <w:pPr>
        <w:tabs>
          <w:tab w:val="left" w:pos="840"/>
        </w:tabs>
        <w:spacing w:before="0" w:after="0" w:afterAutospacing="0"/>
        <w:ind w:left="0" w:right="0" w:firstLine="422" w:firstLineChars="200"/>
        <w:rPr>
          <w:rFonts w:ascii="宋体" w:hAnsi="宋体"/>
          <w:highlight w:val="none"/>
        </w:rPr>
      </w:pPr>
      <w:r>
        <w:rPr>
          <w:rFonts w:ascii="宋体" w:hAnsi="宋体"/>
          <w:b/>
          <w:highlight w:val="none"/>
        </w:rPr>
        <w:t>1</w:t>
      </w:r>
      <w:r>
        <w:rPr>
          <w:rFonts w:hint="eastAsia" w:ascii="宋体" w:hAnsi="宋体"/>
          <w:b/>
          <w:highlight w:val="none"/>
        </w:rPr>
        <w:t>7</w:t>
      </w:r>
      <w:r>
        <w:rPr>
          <w:rFonts w:ascii="宋体" w:hAnsi="宋体"/>
          <w:b/>
          <w:highlight w:val="none"/>
        </w:rPr>
        <w:t xml:space="preserve">.5.1.1 </w:t>
      </w:r>
      <w:r>
        <w:rPr>
          <w:rFonts w:hint="eastAsia" w:ascii="宋体" w:hAnsi="宋体"/>
          <w:b/>
          <w:highlight w:val="none"/>
        </w:rPr>
        <w:t>正常质量保证期为：自验收合格之日起</w:t>
      </w:r>
      <w:r>
        <w:rPr>
          <w:rFonts w:hint="eastAsia" w:ascii="宋体" w:hAnsi="宋体"/>
          <w:color w:val="FF0000"/>
          <w:highlight w:val="none"/>
          <w:u w:val="single"/>
        </w:rPr>
        <w:t xml:space="preserve"> </w:t>
      </w:r>
      <w:r>
        <w:rPr>
          <w:rFonts w:hint="eastAsia" w:ascii="宋体" w:hAnsi="宋体"/>
          <w:color w:val="FF0000"/>
          <w:highlight w:val="none"/>
          <w:u w:val="single"/>
          <w:lang w:val="en-US" w:eastAsia="zh-CN"/>
        </w:rPr>
        <w:t>12</w:t>
      </w:r>
      <w:r>
        <w:rPr>
          <w:rFonts w:hint="eastAsia" w:ascii="宋体" w:hAnsi="宋体"/>
          <w:color w:val="FF0000"/>
          <w:highlight w:val="none"/>
          <w:u w:val="single"/>
        </w:rPr>
        <w:t xml:space="preserve"> </w:t>
      </w:r>
      <w:r>
        <w:rPr>
          <w:rFonts w:hint="eastAsia" w:ascii="宋体" w:hAnsi="宋体"/>
          <w:b/>
          <w:highlight w:val="none"/>
        </w:rPr>
        <w:t>个月</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rPr>
        <w:t>7</w:t>
      </w:r>
      <w:r>
        <w:rPr>
          <w:rFonts w:ascii="宋体" w:hAnsi="宋体"/>
          <w:highlight w:val="none"/>
        </w:rPr>
        <w:t>.5.1.</w:t>
      </w:r>
      <w:r>
        <w:rPr>
          <w:rFonts w:hint="eastAsia" w:ascii="宋体" w:hAnsi="宋体"/>
          <w:highlight w:val="none"/>
        </w:rPr>
        <w:t>2在正常质量保证期内，乙方应对在合同规定时间内出现或产生的缺陷或项目任何部分的损害，根据合同</w:t>
      </w:r>
      <w:r>
        <w:rPr>
          <w:rFonts w:ascii="宋体" w:hAnsi="宋体"/>
          <w:highlight w:val="none"/>
        </w:rPr>
        <w:t>的规定向甲方承担责任，并满足甲方的要求。</w:t>
      </w:r>
    </w:p>
    <w:p>
      <w:pPr>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rPr>
        <w:t>7</w:t>
      </w:r>
      <w:r>
        <w:rPr>
          <w:rFonts w:ascii="宋体" w:hAnsi="宋体"/>
          <w:highlight w:val="none"/>
        </w:rPr>
        <w:t>.5.1.</w:t>
      </w:r>
      <w:r>
        <w:rPr>
          <w:rFonts w:hint="eastAsia" w:ascii="宋体" w:hAnsi="宋体"/>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FF0000"/>
          <w:highlight w:val="none"/>
          <w:u w:val="single"/>
        </w:rPr>
        <w:t xml:space="preserve"> </w:t>
      </w:r>
      <w:r>
        <w:rPr>
          <w:rFonts w:hint="eastAsia" w:ascii="宋体" w:hAnsi="宋体"/>
          <w:color w:val="FF0000"/>
          <w:highlight w:val="none"/>
          <w:u w:val="single"/>
          <w:lang w:val="en-US" w:eastAsia="zh-CN"/>
        </w:rPr>
        <w:t>12</w:t>
      </w:r>
      <w:r>
        <w:rPr>
          <w:rFonts w:hint="eastAsia" w:ascii="宋体" w:hAnsi="宋体"/>
          <w:color w:val="FF0000"/>
          <w:highlight w:val="none"/>
          <w:u w:val="single"/>
        </w:rPr>
        <w:t xml:space="preserve"> </w:t>
      </w:r>
      <w:r>
        <w:rPr>
          <w:rFonts w:hint="eastAsia" w:ascii="宋体" w:hAnsi="宋体"/>
          <w:highlight w:val="none"/>
        </w:rPr>
        <w:t>个月的质量保证期。</w:t>
      </w:r>
    </w:p>
    <w:p>
      <w:pPr>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rPr>
        <w:t>7</w:t>
      </w:r>
      <w:r>
        <w:rPr>
          <w:rFonts w:ascii="宋体" w:hAnsi="宋体"/>
          <w:highlight w:val="none"/>
        </w:rPr>
        <w:t>.5.1.</w:t>
      </w:r>
      <w:r>
        <w:rPr>
          <w:rFonts w:hint="eastAsia" w:ascii="宋体" w:hAnsi="宋体"/>
          <w:highlight w:val="none"/>
        </w:rPr>
        <w:t>4本合同项下的货物（包含所有零部件）正常质量保证期</w:t>
      </w:r>
      <w:r>
        <w:rPr>
          <w:rFonts w:hint="eastAsia" w:ascii="宋体" w:hAnsi="宋体"/>
          <w:color w:val="FF0000"/>
          <w:highlight w:val="none"/>
          <w:u w:val="single"/>
        </w:rPr>
        <w:t xml:space="preserve"> </w:t>
      </w:r>
      <w:r>
        <w:rPr>
          <w:rFonts w:hint="eastAsia" w:ascii="宋体" w:hAnsi="宋体"/>
          <w:color w:val="FF0000"/>
          <w:highlight w:val="none"/>
          <w:u w:val="single"/>
          <w:lang w:val="en-US" w:eastAsia="zh-CN"/>
        </w:rPr>
        <w:t>12</w:t>
      </w:r>
      <w:r>
        <w:rPr>
          <w:rFonts w:hint="eastAsia" w:ascii="宋体" w:hAnsi="宋体"/>
          <w:color w:val="FF0000"/>
          <w:highlight w:val="none"/>
          <w:u w:val="single"/>
        </w:rPr>
        <w:t xml:space="preserve"> </w:t>
      </w:r>
      <w:r>
        <w:rPr>
          <w:rFonts w:hint="eastAsia" w:ascii="宋体" w:hAnsi="宋体"/>
          <w:highlight w:val="none"/>
        </w:rPr>
        <w:t>个月，自验收合格之日起计算；</w:t>
      </w:r>
      <w:r>
        <w:rPr>
          <w:rFonts w:hint="eastAsia" w:ascii="宋体" w:hAnsi="宋体" w:eastAsia="宋体" w:cs="宋体"/>
          <w:color w:val="auto"/>
          <w:kern w:val="0"/>
          <w:szCs w:val="21"/>
          <w:highlight w:val="none"/>
          <w:lang w:val="en-US" w:eastAsia="zh-CN"/>
        </w:rPr>
        <w:t>此次改造的所有设备在</w:t>
      </w:r>
      <w:r>
        <w:rPr>
          <w:rFonts w:hint="eastAsia" w:ascii="宋体" w:hAnsi="宋体" w:eastAsia="宋体" w:cs="宋体"/>
          <w:color w:val="auto"/>
          <w:kern w:val="0"/>
          <w:szCs w:val="21"/>
          <w:highlight w:val="none"/>
        </w:rPr>
        <w:t>质保期内</w:t>
      </w:r>
      <w:r>
        <w:rPr>
          <w:rFonts w:hint="eastAsia" w:ascii="宋体" w:hAnsi="宋体" w:cs="宋体"/>
          <w:color w:val="auto"/>
          <w:kern w:val="0"/>
          <w:szCs w:val="21"/>
          <w:highlight w:val="none"/>
          <w:lang w:eastAsia="zh-CN"/>
        </w:rPr>
        <w:t>乙方</w:t>
      </w:r>
      <w:r>
        <w:rPr>
          <w:rFonts w:hint="eastAsia" w:ascii="宋体" w:hAnsi="宋体" w:eastAsia="宋体" w:cs="宋体"/>
          <w:color w:val="auto"/>
          <w:kern w:val="0"/>
          <w:szCs w:val="21"/>
          <w:highlight w:val="none"/>
        </w:rPr>
        <w:t>需提供免费上门维修（包含所有配件的更换及服务）服务</w:t>
      </w:r>
      <w:r>
        <w:rPr>
          <w:rFonts w:hint="eastAsia" w:ascii="宋体" w:hAnsi="宋体"/>
          <w:highlight w:val="none"/>
        </w:rPr>
        <w:t>及保养服务，正常质量保证期内至少每季度巡检一次。</w:t>
      </w:r>
    </w:p>
    <w:p>
      <w:pPr>
        <w:spacing w:before="0" w:after="0" w:afterAutospacing="0"/>
        <w:ind w:left="0" w:right="0" w:firstLine="420" w:firstLineChars="200"/>
        <w:rPr>
          <w:rFonts w:ascii="宋体" w:hAnsi="宋体"/>
          <w:highlight w:val="none"/>
        </w:rPr>
      </w:pPr>
      <w:r>
        <w:rPr>
          <w:rFonts w:ascii="宋体" w:hAnsi="宋体"/>
          <w:highlight w:val="none"/>
        </w:rPr>
        <w:t>1</w:t>
      </w:r>
      <w:r>
        <w:rPr>
          <w:rFonts w:hint="eastAsia" w:ascii="宋体" w:hAnsi="宋体"/>
          <w:highlight w:val="none"/>
        </w:rPr>
        <w:t>7</w:t>
      </w:r>
      <w:r>
        <w:rPr>
          <w:rFonts w:ascii="宋体" w:hAnsi="宋体"/>
          <w:highlight w:val="none"/>
        </w:rPr>
        <w:t xml:space="preserve">.5.1.5 </w:t>
      </w:r>
      <w:r>
        <w:rPr>
          <w:rFonts w:hint="eastAsia" w:ascii="宋体" w:hAnsi="宋体"/>
          <w:highlight w:val="none"/>
        </w:rPr>
        <w:t>有保质期的产品，乙方所供货物的有效保质期必须大于整个保质期的</w:t>
      </w:r>
      <w:r>
        <w:rPr>
          <w:rFonts w:ascii="宋体" w:hAnsi="宋体"/>
          <w:highlight w:val="none"/>
        </w:rPr>
        <w:t>2/3以上；无保质期的产品，乙方所供货物须为交货时2年以内生产的货物。如涉及到特殊物品，由双方协商决定。</w:t>
      </w:r>
    </w:p>
    <w:p>
      <w:pPr>
        <w:spacing w:before="0" w:after="0" w:afterAutospacing="0"/>
        <w:ind w:left="0" w:right="0" w:firstLine="420" w:firstLineChars="200"/>
        <w:rPr>
          <w:rFonts w:hint="eastAsia" w:ascii="宋体" w:hAnsi="宋体"/>
          <w:highlight w:val="none"/>
        </w:rPr>
      </w:pPr>
      <w:r>
        <w:rPr>
          <w:rFonts w:ascii="宋体" w:hAnsi="宋体"/>
          <w:highlight w:val="none"/>
        </w:rPr>
        <w:t>1</w:t>
      </w:r>
      <w:r>
        <w:rPr>
          <w:rFonts w:hint="eastAsia" w:ascii="宋体" w:hAnsi="宋体"/>
          <w:highlight w:val="none"/>
        </w:rPr>
        <w:t>7</w:t>
      </w:r>
      <w:r>
        <w:rPr>
          <w:rFonts w:ascii="宋体" w:hAnsi="宋体"/>
          <w:highlight w:val="none"/>
        </w:rPr>
        <w:t>.5.1.</w:t>
      </w:r>
      <w:r>
        <w:rPr>
          <w:rFonts w:hint="eastAsia" w:ascii="宋体" w:hAnsi="宋体"/>
          <w:highlight w:val="none"/>
        </w:rPr>
        <w:t>6质量保证期</w:t>
      </w:r>
      <w:r>
        <w:rPr>
          <w:rFonts w:ascii="宋体" w:hAnsi="宋体"/>
          <w:highlight w:val="none"/>
        </w:rPr>
        <w:t>内非因</w:t>
      </w:r>
      <w:r>
        <w:rPr>
          <w:rFonts w:hint="eastAsia" w:ascii="宋体" w:hAnsi="宋体"/>
          <w:highlight w:val="none"/>
        </w:rPr>
        <w:t>甲方</w:t>
      </w:r>
      <w:r>
        <w:rPr>
          <w:rFonts w:ascii="宋体" w:hAnsi="宋体"/>
          <w:highlight w:val="none"/>
        </w:rPr>
        <w:t>原因而出现质量问题的，</w:t>
      </w:r>
      <w:r>
        <w:rPr>
          <w:rFonts w:hint="eastAsia" w:ascii="宋体" w:hAnsi="宋体"/>
          <w:highlight w:val="none"/>
        </w:rPr>
        <w:t>乙方需在</w:t>
      </w:r>
      <w:r>
        <w:rPr>
          <w:rFonts w:ascii="宋体" w:hAnsi="宋体"/>
          <w:highlight w:val="none"/>
        </w:rPr>
        <w:t xml:space="preserve"> 1 </w:t>
      </w:r>
      <w:r>
        <w:rPr>
          <w:rFonts w:hint="eastAsia" w:ascii="宋体" w:hAnsi="宋体"/>
          <w:highlight w:val="none"/>
        </w:rPr>
        <w:t>天内</w:t>
      </w:r>
      <w:r>
        <w:rPr>
          <w:rFonts w:ascii="宋体" w:hAnsi="宋体"/>
          <w:highlight w:val="none"/>
        </w:rPr>
        <w:t>负责包修、包换或者包退</w:t>
      </w:r>
      <w:r>
        <w:rPr>
          <w:rFonts w:hint="eastAsia" w:ascii="宋体" w:hAnsi="宋体"/>
          <w:highlight w:val="none"/>
        </w:rPr>
        <w:t>（双方另有约定除外）</w:t>
      </w:r>
      <w:r>
        <w:rPr>
          <w:rFonts w:ascii="宋体" w:hAnsi="宋体"/>
          <w:highlight w:val="none"/>
        </w:rPr>
        <w:t>，并承担调换或退货</w:t>
      </w:r>
      <w:r>
        <w:rPr>
          <w:rFonts w:hint="eastAsia" w:ascii="宋体" w:hAnsi="宋体"/>
          <w:highlight w:val="none"/>
        </w:rPr>
        <w:t>所产生的</w:t>
      </w:r>
      <w:r>
        <w:rPr>
          <w:rFonts w:ascii="宋体" w:hAnsi="宋体"/>
          <w:highlight w:val="none"/>
        </w:rPr>
        <w:t>费用。</w:t>
      </w:r>
      <w:r>
        <w:rPr>
          <w:rFonts w:hint="eastAsia" w:ascii="宋体" w:hAnsi="宋体"/>
          <w:highlight w:val="none"/>
        </w:rPr>
        <w:t>乙方</w:t>
      </w:r>
      <w:r>
        <w:rPr>
          <w:rFonts w:ascii="宋体" w:hAnsi="宋体"/>
          <w:highlight w:val="none"/>
        </w:rPr>
        <w:t>不能修理和不能调换</w:t>
      </w:r>
      <w:r>
        <w:rPr>
          <w:rFonts w:hint="eastAsia" w:ascii="宋体" w:hAnsi="宋体"/>
          <w:highlight w:val="none"/>
        </w:rPr>
        <w:t>的</w:t>
      </w:r>
      <w:r>
        <w:rPr>
          <w:rFonts w:ascii="宋体" w:hAnsi="宋体"/>
          <w:highlight w:val="none"/>
        </w:rPr>
        <w:t>，按不能交货处理</w:t>
      </w:r>
      <w:r>
        <w:rPr>
          <w:rFonts w:hint="eastAsia" w:ascii="宋体" w:hAnsi="宋体"/>
          <w:highlight w:val="none"/>
        </w:rPr>
        <w:t>。</w:t>
      </w:r>
    </w:p>
    <w:p>
      <w:pPr>
        <w:spacing w:before="0" w:after="0" w:afterAutospacing="0"/>
        <w:ind w:left="0" w:right="0" w:firstLine="420" w:firstLineChars="200"/>
        <w:rPr>
          <w:highlight w:val="none"/>
        </w:rPr>
      </w:pPr>
      <w:r>
        <w:rPr>
          <w:rFonts w:ascii="宋体" w:hAnsi="宋体"/>
          <w:highlight w:val="none"/>
        </w:rPr>
        <w:t>1</w:t>
      </w:r>
      <w:r>
        <w:rPr>
          <w:rFonts w:hint="eastAsia" w:ascii="宋体" w:hAnsi="宋体"/>
          <w:highlight w:val="none"/>
        </w:rPr>
        <w:t>7</w:t>
      </w:r>
      <w:r>
        <w:rPr>
          <w:rFonts w:ascii="宋体" w:hAnsi="宋体"/>
          <w:highlight w:val="none"/>
        </w:rPr>
        <w:t>.5.1.</w:t>
      </w:r>
      <w:r>
        <w:rPr>
          <w:rFonts w:hint="eastAsia" w:ascii="宋体" w:hAnsi="宋体"/>
          <w:highlight w:val="none"/>
          <w:lang w:val="en-US" w:eastAsia="zh-CN"/>
        </w:rPr>
        <w:t>7</w:t>
      </w:r>
      <w:r>
        <w:rPr>
          <w:rFonts w:hint="eastAsia" w:ascii="宋体" w:hAnsi="宋体" w:cs="Arial"/>
          <w:color w:val="auto"/>
          <w:highlight w:val="none"/>
          <w:lang w:val="en-US" w:eastAsia="zh-CN"/>
        </w:rPr>
        <w:t>质保期内，乙方应在南宁市有常驻工作人员</w:t>
      </w:r>
      <w:commentRangeStart w:id="0"/>
      <w:r>
        <w:rPr>
          <w:rFonts w:hint="eastAsia" w:ascii="宋体" w:hAnsi="宋体" w:cs="Arial"/>
          <w:color w:val="auto"/>
          <w:highlight w:val="none"/>
          <w:lang w:val="en-US" w:eastAsia="zh-CN"/>
        </w:rPr>
        <w:t>。</w:t>
      </w:r>
      <w:commentRangeEnd w:id="0"/>
      <w:r>
        <w:rPr>
          <w:highlight w:val="none"/>
        </w:rPr>
        <w:commentReference w:id="0"/>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17.10乙方还应保证合同项下所提供的服务包括设计、培训、调试和试验等，应按合同规定方式进行并保证不存在因乙方或其零部件供应商、代理商或代表或工作人员的过失、错误或疏忽而产生的缺陷。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highlight w:val="none"/>
        </w:rPr>
      </w:pPr>
      <w:bookmarkStart w:id="1300" w:name="_Toc21508_WPSOffice_Level2"/>
      <w:r>
        <w:rPr>
          <w:rFonts w:hint="eastAsia" w:ascii="宋体" w:hAnsi="宋体"/>
          <w:b/>
          <w:highlight w:val="none"/>
        </w:rPr>
        <w:t>18.合同变更与修改</w:t>
      </w:r>
      <w:bookmarkEnd w:id="1300"/>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18.4.2乙方提供的货物数量；</w:t>
      </w:r>
    </w:p>
    <w:p>
      <w:pPr>
        <w:tabs>
          <w:tab w:val="left" w:pos="54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18.6合同变更时，买卖双方按下述方式确定调整货物合同价格：</w:t>
      </w:r>
    </w:p>
    <w:p>
      <w:pPr>
        <w:adjustRightInd w:val="0"/>
        <w:spacing w:before="0" w:after="0" w:afterAutospacing="0"/>
        <w:ind w:left="0" w:right="0" w:firstLine="420" w:firstLineChars="200"/>
        <w:rPr>
          <w:rFonts w:ascii="宋体" w:hAnsi="宋体"/>
          <w:highlight w:val="none"/>
        </w:rPr>
      </w:pPr>
      <w:r>
        <w:rPr>
          <w:rFonts w:hint="eastAsia" w:ascii="宋体" w:hAnsi="宋体"/>
          <w:highlight w:val="none"/>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highlight w:val="none"/>
        </w:rPr>
      </w:pPr>
      <w:r>
        <w:rPr>
          <w:rFonts w:hint="eastAsia" w:ascii="宋体" w:hAnsi="宋体"/>
          <w:highlight w:val="none"/>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highlight w:val="none"/>
        </w:rPr>
      </w:pPr>
      <w:r>
        <w:rPr>
          <w:rFonts w:hint="eastAsia" w:ascii="宋体" w:hAnsi="宋体"/>
          <w:highlight w:val="none"/>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18.6.3.1 根据合同规定的原则计出总价；</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18.6.3.2 根据合同中类似货物单价和</w:t>
      </w:r>
      <w:r>
        <w:rPr>
          <w:rFonts w:ascii="宋体" w:hAnsi="宋体"/>
          <w:highlight w:val="none"/>
        </w:rPr>
        <w:t>/</w:t>
      </w:r>
      <w:r>
        <w:rPr>
          <w:rFonts w:hint="eastAsia" w:ascii="宋体" w:hAnsi="宋体"/>
          <w:highlight w:val="none"/>
        </w:rPr>
        <w:t>或单位费率计算而计出总价；</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18.6.3.3 根据合同价格类推和</w:t>
      </w:r>
      <w:r>
        <w:rPr>
          <w:rFonts w:ascii="宋体" w:hAnsi="宋体"/>
          <w:highlight w:val="none"/>
        </w:rPr>
        <w:t>/</w:t>
      </w:r>
      <w:r>
        <w:rPr>
          <w:rFonts w:hint="eastAsia" w:ascii="宋体" w:hAnsi="宋体"/>
          <w:highlight w:val="none"/>
        </w:rPr>
        <w:t>或按比例计算而计出总价；</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18.6.3.4 根据合同规定的相应成本确定；</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18.6.3.5 根据当时的市场价格计算。</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18.7变更费用的确认：</w:t>
      </w:r>
    </w:p>
    <w:p>
      <w:pPr>
        <w:tabs>
          <w:tab w:val="left" w:pos="820"/>
        </w:tabs>
        <w:adjustRightInd w:val="0"/>
        <w:spacing w:before="0" w:after="0" w:afterAutospacing="0"/>
        <w:ind w:left="0" w:right="0" w:firstLine="420" w:firstLineChars="200"/>
        <w:rPr>
          <w:highlight w:val="none"/>
        </w:rPr>
      </w:pPr>
      <w:r>
        <w:rPr>
          <w:rFonts w:hint="eastAsia" w:ascii="宋体" w:hAnsi="宋体"/>
          <w:highlight w:val="none"/>
        </w:rPr>
        <w:t>18.7.1变更后的费用经甲乙双方协商确认后，如低于原合同价格，则按照变更后的费用</w:t>
      </w:r>
      <w:r>
        <w:rPr>
          <w:rFonts w:hint="eastAsia"/>
          <w:highlight w:val="none"/>
        </w:rPr>
        <w:t>来执行；</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18.8乙方必须在甲方按</w:t>
      </w:r>
      <w:r>
        <w:rPr>
          <w:rFonts w:ascii="宋体" w:hAnsi="宋体"/>
          <w:highlight w:val="none"/>
        </w:rPr>
        <w:t>1</w:t>
      </w:r>
      <w:r>
        <w:rPr>
          <w:rFonts w:hint="eastAsia" w:ascii="宋体" w:hAnsi="宋体"/>
          <w:highlight w:val="none"/>
        </w:rPr>
        <w:t>8</w:t>
      </w:r>
      <w:r>
        <w:rPr>
          <w:rFonts w:ascii="宋体" w:hAnsi="宋体"/>
          <w:highlight w:val="none"/>
        </w:rPr>
        <w:t>.</w:t>
      </w:r>
      <w:r>
        <w:rPr>
          <w:rFonts w:hint="eastAsia" w:ascii="宋体" w:hAnsi="宋体"/>
          <w:highlight w:val="none"/>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18.10.3乙方对合同价格调整的建议及相关依据。</w:t>
      </w:r>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highlight w:val="none"/>
        </w:rPr>
      </w:pPr>
      <w:bookmarkStart w:id="1301" w:name="_Toc2893_WPSOffice_Level2"/>
      <w:r>
        <w:rPr>
          <w:rFonts w:hint="eastAsia" w:ascii="宋体" w:hAnsi="宋体"/>
          <w:b/>
          <w:highlight w:val="none"/>
        </w:rPr>
        <w:t>19.转让、分包和中止</w:t>
      </w:r>
      <w:bookmarkEnd w:id="1301"/>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highlight w:val="none"/>
        </w:rPr>
      </w:pPr>
      <w:r>
        <w:rPr>
          <w:rFonts w:hint="eastAsia" w:ascii="宋体" w:hAnsi="宋体"/>
          <w:highlight w:val="none"/>
        </w:rPr>
        <w:t>19.2 除合同另有约定外，</w:t>
      </w:r>
      <w:r>
        <w:rPr>
          <w:rFonts w:hint="eastAsia" w:ascii="宋体" w:hAnsi="宋体" w:cs="Arial"/>
          <w:highlight w:val="none"/>
        </w:rPr>
        <w:t>乙方不得将本项目的</w:t>
      </w:r>
      <w:r>
        <w:rPr>
          <w:rFonts w:hint="eastAsia" w:ascii="宋体" w:hAnsi="宋体"/>
          <w:highlight w:val="none"/>
        </w:rPr>
        <w:t>全部或部分工作</w:t>
      </w:r>
      <w:r>
        <w:rPr>
          <w:rFonts w:hint="eastAsia" w:ascii="宋体" w:hAnsi="宋体" w:cs="Arial"/>
          <w:highlight w:val="none"/>
        </w:rPr>
        <w:t>分包给第三方。</w:t>
      </w:r>
    </w:p>
    <w:p>
      <w:pPr>
        <w:pStyle w:val="62"/>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19.3如乙方具有以下情形的，甲方可以中止合同履行:</w:t>
      </w:r>
    </w:p>
    <w:p>
      <w:pPr>
        <w:pStyle w:val="62"/>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(1)经营状况严重恶化；</w:t>
      </w:r>
    </w:p>
    <w:p>
      <w:pPr>
        <w:pStyle w:val="62"/>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(2)转移财产、抽逃资金以逃避债务；</w:t>
      </w:r>
    </w:p>
    <w:p>
      <w:pPr>
        <w:pStyle w:val="62"/>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(3)丧失商业信誉；</w:t>
      </w:r>
    </w:p>
    <w:p>
      <w:pPr>
        <w:pStyle w:val="62"/>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(4)有丧失或者可能丧失履行债务能力的其他情形。</w:t>
      </w:r>
    </w:p>
    <w:p>
      <w:pPr>
        <w:pStyle w:val="62"/>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highlight w:val="none"/>
        </w:rPr>
      </w:pPr>
      <w:bookmarkStart w:id="1302" w:name="_Toc10088_WPSOffice_Level2"/>
      <w:r>
        <w:rPr>
          <w:rFonts w:hint="eastAsia" w:ascii="宋体" w:hAnsi="宋体"/>
          <w:b/>
          <w:highlight w:val="none"/>
        </w:rPr>
        <w:t>20.不可抗力</w:t>
      </w:r>
      <w:bookmarkEnd w:id="1302"/>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highlight w:val="none"/>
        </w:rPr>
      </w:pPr>
      <w:bookmarkStart w:id="1303" w:name="_Toc13861_WPSOffice_Level2"/>
      <w:r>
        <w:rPr>
          <w:rFonts w:hint="eastAsia" w:ascii="宋体" w:hAnsi="宋体"/>
          <w:b/>
          <w:highlight w:val="none"/>
        </w:rPr>
        <w:t>21.乙方履约展期</w:t>
      </w:r>
      <w:bookmarkEnd w:id="1303"/>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21.1乙方应按合同条款中规定的交货计划交货。</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21.2乙方在下列情况下可要求延期交货：</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（1）第18条中的变更；</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（2）第20条所述之不可抗力；</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（3）甲方签发的延期执行合同的指令；</w:t>
      </w:r>
    </w:p>
    <w:p>
      <w:pPr>
        <w:pStyle w:val="25"/>
        <w:spacing w:before="0" w:after="0" w:afterAutospacing="0"/>
        <w:ind w:left="0" w:right="0" w:firstLine="420" w:firstLineChars="200"/>
        <w:rPr>
          <w:rFonts w:ascii="宋体" w:hAnsi="宋体"/>
          <w:sz w:val="21"/>
          <w:szCs w:val="21"/>
          <w:highlight w:val="none"/>
        </w:rPr>
      </w:pPr>
      <w:r>
        <w:rPr>
          <w:rFonts w:hint="eastAsia" w:ascii="宋体" w:hAnsi="宋体"/>
          <w:sz w:val="21"/>
          <w:szCs w:val="21"/>
          <w:highlight w:val="none"/>
        </w:rPr>
        <w:t>21.3乙方应努力避免或克服造成延迟的原因，双方应对克服延迟的补救措施达成共识。</w:t>
      </w:r>
    </w:p>
    <w:p>
      <w:pPr>
        <w:pStyle w:val="25"/>
        <w:spacing w:before="0" w:after="0" w:afterAutospacing="0"/>
        <w:ind w:left="0" w:right="0" w:firstLine="420" w:firstLineChars="200"/>
        <w:rPr>
          <w:rFonts w:ascii="宋体" w:hAnsi="宋体"/>
          <w:sz w:val="21"/>
          <w:szCs w:val="21"/>
          <w:highlight w:val="none"/>
        </w:rPr>
      </w:pPr>
      <w:r>
        <w:rPr>
          <w:rFonts w:hint="eastAsia" w:ascii="宋体" w:hAnsi="宋体"/>
          <w:sz w:val="21"/>
          <w:szCs w:val="21"/>
          <w:highlight w:val="none"/>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highlight w:val="none"/>
        </w:rPr>
      </w:pPr>
      <w:bookmarkStart w:id="1304" w:name="_Toc9712_WPSOffice_Level2"/>
      <w:r>
        <w:rPr>
          <w:rFonts w:hint="eastAsia" w:ascii="宋体" w:hAnsi="宋体"/>
          <w:b/>
          <w:highlight w:val="none"/>
        </w:rPr>
        <w:t>22.通知</w:t>
      </w:r>
      <w:bookmarkEnd w:id="1304"/>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22.2通知的内容包括合同项下的批复、意见、指令、说明和证据。</w:t>
      </w:r>
    </w:p>
    <w:p>
      <w:pPr>
        <w:tabs>
          <w:tab w:val="left" w:pos="1120"/>
        </w:tabs>
        <w:spacing w:before="0" w:after="0" w:afterAutospacing="0"/>
        <w:ind w:left="0" w:right="0" w:firstLine="420" w:firstLineChars="200"/>
        <w:rPr>
          <w:rFonts w:ascii="宋体" w:hAnsi="宋体"/>
          <w:highlight w:val="none"/>
        </w:rPr>
      </w:pPr>
      <w:r>
        <w:rPr>
          <w:rFonts w:hint="eastAsia" w:ascii="宋体" w:hAnsi="宋体"/>
          <w:highlight w:val="none"/>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highlight w:val="none"/>
        </w:rPr>
      </w:pPr>
      <w:bookmarkStart w:id="1305" w:name="_Toc29436_WPSOffice_Level2"/>
      <w:r>
        <w:rPr>
          <w:rFonts w:hint="eastAsia" w:ascii="宋体" w:hAnsi="宋体"/>
          <w:b/>
          <w:highlight w:val="none"/>
        </w:rPr>
        <w:t>23.合同标的</w:t>
      </w:r>
      <w:bookmarkEnd w:id="1305"/>
    </w:p>
    <w:p>
      <w:pPr>
        <w:tabs>
          <w:tab w:val="left" w:pos="960"/>
        </w:tabs>
        <w:spacing w:before="0" w:after="0" w:afterAutospacing="0"/>
        <w:ind w:left="420" w:right="0" w:firstLine="0"/>
        <w:rPr>
          <w:rFonts w:ascii="宋体" w:hAnsi="宋体"/>
          <w:highlight w:val="none"/>
        </w:rPr>
      </w:pPr>
      <w:r>
        <w:rPr>
          <w:rFonts w:hint="eastAsia" w:ascii="宋体" w:hAnsi="宋体"/>
          <w:highlight w:val="none"/>
        </w:rPr>
        <w:t>23.1合同生效后，买卖双方按合同约定提供本项目物资。</w:t>
      </w:r>
    </w:p>
    <w:p>
      <w:pPr>
        <w:tabs>
          <w:tab w:val="left" w:pos="420"/>
          <w:tab w:val="left" w:pos="1040"/>
        </w:tabs>
        <w:spacing w:before="0" w:after="0" w:afterAutospacing="0"/>
        <w:ind w:left="0" w:right="0" w:firstLine="424" w:firstLineChars="202"/>
        <w:rPr>
          <w:rFonts w:ascii="宋体" w:hAnsi="宋体"/>
          <w:highlight w:val="none"/>
        </w:rPr>
      </w:pPr>
      <w:r>
        <w:rPr>
          <w:rFonts w:hint="eastAsia" w:ascii="宋体" w:hAnsi="宋体"/>
          <w:highlight w:val="none"/>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highlight w:val="none"/>
        </w:rPr>
      </w:pPr>
      <w:r>
        <w:rPr>
          <w:rFonts w:hint="eastAsia" w:ascii="宋体" w:hAnsi="宋体"/>
          <w:highlight w:val="none"/>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highlight w:val="none"/>
        </w:rPr>
      </w:pPr>
      <w:r>
        <w:rPr>
          <w:rFonts w:hint="eastAsia" w:ascii="宋体" w:hAnsi="宋体"/>
          <w:highlight w:val="none"/>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highlight w:val="none"/>
        </w:rPr>
      </w:pPr>
      <w:r>
        <w:rPr>
          <w:rFonts w:hint="eastAsia" w:ascii="宋体" w:hAnsi="宋体"/>
          <w:highlight w:val="none"/>
        </w:rPr>
        <w:t>23.5乙方应对本合同项下其承担的全部工作实施有效管理。</w:t>
      </w:r>
    </w:p>
    <w:p>
      <w:pPr>
        <w:tabs>
          <w:tab w:val="left" w:pos="640"/>
          <w:tab w:val="left" w:pos="1843"/>
        </w:tabs>
        <w:spacing w:before="0" w:after="0" w:afterAutospacing="0"/>
        <w:ind w:left="420" w:right="0" w:firstLine="0"/>
        <w:outlineLvl w:val="2"/>
        <w:rPr>
          <w:rFonts w:hint="default" w:ascii="宋体" w:hAnsi="宋体" w:eastAsia="宋体"/>
          <w:b/>
          <w:highlight w:val="none"/>
          <w:lang w:val="en-US" w:eastAsia="zh-CN"/>
        </w:rPr>
      </w:pPr>
      <w:bookmarkStart w:id="1306" w:name="_Toc9539_WPSOffice_Level2"/>
      <w:r>
        <w:rPr>
          <w:rFonts w:hint="eastAsia" w:ascii="宋体" w:hAnsi="宋体"/>
          <w:b/>
          <w:highlight w:val="none"/>
        </w:rPr>
        <w:t>24.</w:t>
      </w:r>
      <w:bookmarkEnd w:id="1306"/>
      <w:r>
        <w:rPr>
          <w:rFonts w:hint="eastAsia" w:ascii="宋体" w:hAnsi="宋体"/>
          <w:b/>
          <w:highlight w:val="none"/>
          <w:lang w:val="en-US" w:eastAsia="zh-CN"/>
        </w:rPr>
        <w:t>验收要求</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24.1本项目验收内容主要分为开箱验收、安装验收及功能验收三部分。</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24.1.1开箱验收</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乙方必须制定《设备包装和运输标准》，并由甲方确认。所有设备及材料运抵现场时，乙方应提供数量及质量证明，附有设备材料来源证，质检合格证书供甲方检查。如有需要，乙方应协助甲方取样送检，所有取样及检测费用由乙方负责。乙方应在甲方/管理机构的监督下，由甲方、乙方、施工监理共同进行设备开箱验收，如对开箱检验无异议，上述代表应在开箱检验记录上签字确认。乙方负责提供开箱的劳务及工具，设备开箱检验后，设备的保管、二次装卸、运输至车站工地现场等待安装，在这段时间内的设备现场保护由乙方负责。</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乙方对设备包装、设备名称、规格型号、数量、外观、配件数量以及随付的文件进行严格检查，发现不符、遗漏或损伤，应当场指出，并在开箱检验记录上注明。随付的文件包括产品清单，产品出厂合格证、各主要部件及整机的产品检测报告、原产地证明文件等。</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开箱验收检查的内容主要包括：</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满足设备包装标准要求。</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外观良好，运输途中未受损。</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编号、数量和名称与比选文件要求的货物清单核实无误。</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24.1.2安装验收</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安装验收包括但不限于线缆敷设、线缆接续、接地装置、摄像机安装等。</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24.1.3功能验收</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功能验收包括CCTV摄像机显示、视频分析功能、视频录像存储功能等验收。</w:t>
      </w:r>
    </w:p>
    <w:p>
      <w:pPr>
        <w:spacing w:before="0" w:after="0" w:afterAutospacing="0"/>
        <w:ind w:left="0" w:right="0" w:firstLine="420" w:firstLineChars="200"/>
        <w:rPr>
          <w:rFonts w:hint="eastAsia" w:ascii="宋体" w:hAnsi="宋体" w:cs="Arial"/>
          <w:color w:val="auto"/>
          <w:highlight w:val="none"/>
          <w:lang w:val="en-US" w:eastAsia="zh-CN"/>
        </w:rPr>
      </w:pPr>
      <w:r>
        <w:rPr>
          <w:rFonts w:hint="eastAsia" w:ascii="宋体" w:hAnsi="宋体" w:cs="Arial"/>
          <w:color w:val="auto"/>
          <w:highlight w:val="none"/>
          <w:lang w:val="en-US" w:eastAsia="zh-CN"/>
        </w:rPr>
        <w:t>24.2未尽事宜按照国家有关验收标准执行。</w:t>
      </w:r>
    </w:p>
    <w:p>
      <w:pPr>
        <w:tabs>
          <w:tab w:val="left" w:pos="640"/>
          <w:tab w:val="left" w:pos="1843"/>
        </w:tabs>
        <w:spacing w:before="0" w:after="0" w:afterAutospacing="0"/>
        <w:ind w:left="420" w:right="0" w:firstLine="0"/>
        <w:outlineLvl w:val="2"/>
        <w:rPr>
          <w:rFonts w:ascii="宋体" w:hAnsi="宋体"/>
          <w:b/>
          <w:highlight w:val="none"/>
        </w:rPr>
      </w:pPr>
      <w:bookmarkStart w:id="1307" w:name="_Toc13850_WPSOffice_Level2"/>
      <w:r>
        <w:rPr>
          <w:rFonts w:hint="eastAsia" w:ascii="宋体" w:hAnsi="宋体"/>
          <w:b/>
          <w:highlight w:val="none"/>
        </w:rPr>
        <w:t>25</w:t>
      </w:r>
      <w:r>
        <w:rPr>
          <w:rFonts w:ascii="宋体" w:hAnsi="宋体"/>
          <w:b/>
          <w:highlight w:val="none"/>
        </w:rPr>
        <w:t>.</w:t>
      </w:r>
      <w:r>
        <w:rPr>
          <w:rFonts w:hint="eastAsia" w:ascii="宋体" w:hAnsi="宋体"/>
          <w:b/>
          <w:highlight w:val="none"/>
        </w:rPr>
        <w:t>索赔与赔偿</w:t>
      </w:r>
      <w:bookmarkEnd w:id="1307"/>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25.1短装索赔</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25.2质量索赔</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25.2.3修理</w:t>
      </w:r>
    </w:p>
    <w:p>
      <w:pPr>
        <w:spacing w:before="0" w:after="0" w:afterAutospacing="0"/>
        <w:ind w:left="0" w:right="0" w:firstLine="420" w:firstLineChars="200"/>
        <w:rPr>
          <w:rFonts w:ascii="宋体" w:hAnsi="宋体"/>
          <w:highlight w:val="none"/>
        </w:rPr>
      </w:pPr>
      <w:r>
        <w:rPr>
          <w:rFonts w:hint="eastAsia" w:ascii="宋体" w:hAnsi="宋体"/>
          <w:highlight w:val="none"/>
        </w:rPr>
        <w:t>乙方应自费对有缺陷的货物进行修理，使之符合合同规定的技术要求。除甲方特别许可外，修理应在五（</w:t>
      </w:r>
      <w:r>
        <w:rPr>
          <w:rFonts w:ascii="宋体" w:hAnsi="宋体"/>
          <w:highlight w:val="none"/>
        </w:rPr>
        <w:t>5</w:t>
      </w:r>
      <w:r>
        <w:rPr>
          <w:rFonts w:hint="eastAsia" w:ascii="宋体" w:hAnsi="宋体"/>
          <w:highlight w:val="none"/>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25.2.4替换</w:t>
      </w:r>
    </w:p>
    <w:p>
      <w:pPr>
        <w:spacing w:before="0" w:after="0" w:afterAutospacing="0"/>
        <w:ind w:left="0" w:right="0" w:firstLine="420" w:firstLineChars="200"/>
        <w:rPr>
          <w:rFonts w:ascii="宋体" w:hAnsi="宋体"/>
          <w:highlight w:val="none"/>
        </w:rPr>
      </w:pPr>
      <w:r>
        <w:rPr>
          <w:rFonts w:hint="eastAsia" w:ascii="宋体" w:hAnsi="宋体"/>
          <w:highlight w:val="none"/>
        </w:rPr>
        <w:t>乙方应以全新及合格的货物替换有缺陷的货物，费用乙方自理。除甲方特别许可外，替换应在五（</w:t>
      </w:r>
      <w:r>
        <w:rPr>
          <w:rFonts w:ascii="宋体" w:hAnsi="宋体"/>
          <w:highlight w:val="none"/>
        </w:rPr>
        <w:t>5</w:t>
      </w:r>
      <w:r>
        <w:rPr>
          <w:rFonts w:hint="eastAsia" w:ascii="宋体" w:hAnsi="宋体"/>
          <w:highlight w:val="none"/>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25.2.5退货</w:t>
      </w:r>
    </w:p>
    <w:p>
      <w:pPr>
        <w:spacing w:before="0" w:after="0" w:afterAutospacing="0"/>
        <w:ind w:left="0" w:right="0" w:firstLine="420" w:firstLineChars="200"/>
        <w:rPr>
          <w:rFonts w:ascii="宋体" w:hAnsi="宋体"/>
          <w:highlight w:val="none"/>
        </w:rPr>
      </w:pPr>
      <w:r>
        <w:rPr>
          <w:rFonts w:hint="eastAsia" w:ascii="宋体" w:hAnsi="宋体"/>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25.3违约通知</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25.4延迟违约金</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5.4.1甲方不得无正当理由拒收货物、拒付货款，若未按合同规定的期限向乙方支付货款，每逾期</w:t>
      </w:r>
      <w:r>
        <w:rPr>
          <w:rFonts w:ascii="宋体" w:hAnsi="宋体"/>
          <w:highlight w:val="none"/>
        </w:rPr>
        <w:t>1天甲方向乙方偿付逾期付款部分总额的</w:t>
      </w:r>
      <w:r>
        <w:rPr>
          <w:rFonts w:hint="eastAsia" w:ascii="宋体" w:hAnsi="宋体"/>
          <w:highlight w:val="none"/>
        </w:rPr>
        <w:t>0.1%/天的违约金。但累计违约金总额不超过逾期付款部分总额的</w:t>
      </w:r>
      <w:r>
        <w:rPr>
          <w:rFonts w:ascii="宋体" w:hAnsi="宋体"/>
          <w:highlight w:val="none"/>
        </w:rPr>
        <w:t>5％。</w:t>
      </w:r>
    </w:p>
    <w:p>
      <w:pPr>
        <w:spacing w:before="0" w:after="0" w:afterAutospacing="0"/>
        <w:ind w:left="0" w:right="0" w:firstLine="420" w:firstLineChars="200"/>
        <w:rPr>
          <w:rFonts w:ascii="宋体" w:hAnsi="宋体"/>
          <w:highlight w:val="none"/>
        </w:rPr>
      </w:pPr>
      <w:r>
        <w:rPr>
          <w:rFonts w:hint="eastAsia" w:ascii="宋体" w:hAnsi="宋体"/>
          <w:highlight w:val="none"/>
        </w:rPr>
        <w:t>25.4</w:t>
      </w:r>
      <w:r>
        <w:rPr>
          <w:rFonts w:ascii="宋体" w:hAnsi="宋体"/>
          <w:highlight w:val="none"/>
        </w:rPr>
        <w:t>.2</w:t>
      </w:r>
      <w:r>
        <w:rPr>
          <w:rFonts w:hint="eastAsia" w:ascii="宋体" w:hAnsi="宋体"/>
          <w:highlight w:val="none"/>
        </w:rPr>
        <w:t>鉴于甲方属地铁运营单位，对货物的使用时间及效能均有特殊要求，乙方逾期交付货物</w:t>
      </w:r>
      <w:r>
        <w:rPr>
          <w:rFonts w:ascii="宋体" w:hAnsi="宋体"/>
          <w:highlight w:val="none"/>
        </w:rPr>
        <w:t>15天内（含15天），每逾期1天乙方向甲方偿付逾期交货部分总额的</w:t>
      </w:r>
      <w:r>
        <w:rPr>
          <w:rFonts w:hint="eastAsia" w:ascii="宋体" w:hAnsi="宋体"/>
          <w:highlight w:val="none"/>
        </w:rPr>
        <w:t>0.1%/天违约金。逾期交货超过</w:t>
      </w:r>
      <w:r>
        <w:rPr>
          <w:rFonts w:ascii="宋体" w:hAnsi="宋体"/>
          <w:highlight w:val="none"/>
        </w:rPr>
        <w:t>15天，乙方给予甲方逾期货物总价10%的赔偿，同时甲方有权选择解除合同</w:t>
      </w:r>
      <w:r>
        <w:rPr>
          <w:rFonts w:hint="eastAsia" w:ascii="宋体" w:hAnsi="宋体"/>
          <w:highlight w:val="none"/>
        </w:rPr>
        <w:t>，履约保证金不予退还；甲方也有权选择合同继续履行，乙方给予甲方逾期货物总价</w:t>
      </w:r>
      <w:r>
        <w:rPr>
          <w:rFonts w:ascii="宋体" w:hAnsi="宋体"/>
          <w:highlight w:val="none"/>
        </w:rPr>
        <w:t>10%的赔偿金，并且按</w:t>
      </w:r>
      <w:r>
        <w:rPr>
          <w:rFonts w:hint="eastAsia" w:ascii="宋体" w:hAnsi="宋体"/>
          <w:highlight w:val="none"/>
        </w:rPr>
        <w:t>10</w:t>
      </w:r>
      <w:r>
        <w:rPr>
          <w:rFonts w:ascii="宋体" w:hAnsi="宋体"/>
          <w:highlight w:val="none"/>
        </w:rPr>
        <w:t>条</w:t>
      </w:r>
      <w:r>
        <w:rPr>
          <w:rFonts w:hint="eastAsia" w:ascii="宋体" w:hAnsi="宋体"/>
          <w:highlight w:val="none"/>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highlight w:val="none"/>
        </w:rPr>
      </w:pPr>
      <w:r>
        <w:rPr>
          <w:rFonts w:hint="eastAsia" w:ascii="宋体" w:hAnsi="宋体"/>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25.6验收时，乙方需保证交付货物满足技术需求和验收标准，否则甲方可以拒收，并要求乙方提供符合要求的货物。</w:t>
      </w:r>
    </w:p>
    <w:p>
      <w:pPr>
        <w:pStyle w:val="39"/>
        <w:numPr>
          <w:ilvl w:val="255"/>
          <w:numId w:val="0"/>
        </w:numPr>
        <w:tabs>
          <w:tab w:val="left" w:pos="980"/>
          <w:tab w:val="left" w:pos="1440"/>
        </w:tabs>
        <w:spacing w:before="0" w:after="0" w:afterAutospacing="0"/>
        <w:ind w:right="0" w:firstLine="420" w:firstLineChars="200"/>
        <w:rPr>
          <w:rFonts w:ascii="宋体" w:hAnsi="宋体"/>
          <w:highlight w:val="none"/>
        </w:rPr>
      </w:pPr>
      <w:r>
        <w:rPr>
          <w:rFonts w:hint="eastAsia" w:ascii="宋体" w:hAnsi="宋体"/>
          <w:highlight w:val="none"/>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25.8文件提交延误违约金</w:t>
      </w:r>
    </w:p>
    <w:p>
      <w:pPr>
        <w:pStyle w:val="39"/>
        <w:numPr>
          <w:ilvl w:val="255"/>
          <w:numId w:val="0"/>
        </w:numPr>
        <w:tabs>
          <w:tab w:val="left" w:pos="1134"/>
          <w:tab w:val="left" w:pos="1440"/>
        </w:tabs>
        <w:spacing w:before="0" w:after="0" w:afterAutospacing="0"/>
        <w:ind w:right="0" w:firstLine="420" w:firstLineChars="200"/>
        <w:rPr>
          <w:rFonts w:ascii="宋体" w:hAnsi="宋体"/>
          <w:highlight w:val="none"/>
        </w:rPr>
      </w:pPr>
      <w:r>
        <w:rPr>
          <w:rFonts w:hint="eastAsia" w:ascii="宋体" w:hAnsi="宋体"/>
          <w:highlight w:val="none"/>
        </w:rPr>
        <w:t>若因乙方的过失导致乙方提供的文件（图纸、手册）未按合同规定的时间提供给甲方，则乙方应向甲方支付违约金，违约金按每延误十五（</w:t>
      </w:r>
      <w:r>
        <w:rPr>
          <w:rFonts w:ascii="宋体" w:hAnsi="宋体"/>
          <w:highlight w:val="none"/>
        </w:rPr>
        <w:t>15</w:t>
      </w:r>
      <w:r>
        <w:rPr>
          <w:rFonts w:hint="eastAsia" w:ascii="宋体" w:hAnsi="宋体"/>
          <w:highlight w:val="none"/>
        </w:rPr>
        <w:t>）天则支付违约金</w:t>
      </w:r>
      <w:r>
        <w:rPr>
          <w:rFonts w:ascii="宋体" w:hAnsi="宋体"/>
          <w:highlight w:val="none"/>
        </w:rPr>
        <w:t>10000</w:t>
      </w:r>
      <w:r>
        <w:rPr>
          <w:rFonts w:hint="eastAsia" w:ascii="宋体" w:hAnsi="宋体"/>
          <w:highlight w:val="none"/>
        </w:rPr>
        <w:t>元计。</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25.9质量保证期赔偿</w:t>
      </w:r>
    </w:p>
    <w:p>
      <w:pPr>
        <w:spacing w:before="0" w:after="0" w:afterAutospacing="0"/>
        <w:ind w:left="0" w:right="0" w:firstLine="420" w:firstLineChars="200"/>
        <w:rPr>
          <w:rFonts w:ascii="宋体" w:hAnsi="宋体"/>
          <w:highlight w:val="none"/>
        </w:rPr>
      </w:pPr>
      <w:r>
        <w:rPr>
          <w:rFonts w:hint="eastAsia" w:ascii="宋体" w:hAnsi="宋体"/>
          <w:highlight w:val="none"/>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25.10乙方在中标文件中承诺的响应要求，而在项目实施阶段未能实现，视为乙方违约，甲方向乙方收取违约金1000元/项。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25.11违约金与赔偿金额计算</w:t>
      </w:r>
    </w:p>
    <w:p>
      <w:pPr>
        <w:spacing w:before="0" w:after="0" w:afterAutospacing="0"/>
        <w:ind w:left="0" w:right="0" w:firstLine="420" w:firstLineChars="200"/>
        <w:rPr>
          <w:rFonts w:ascii="宋体" w:hAnsi="宋体"/>
          <w:highlight w:val="none"/>
        </w:rPr>
      </w:pPr>
      <w:r>
        <w:rPr>
          <w:rFonts w:hint="eastAsia" w:ascii="宋体" w:hAnsi="宋体"/>
          <w:highlight w:val="none"/>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25.12违约金与赔偿金的支付</w:t>
      </w:r>
    </w:p>
    <w:p>
      <w:pPr>
        <w:spacing w:before="0" w:after="0" w:afterAutospacing="0"/>
        <w:ind w:left="0" w:right="0" w:firstLine="420" w:firstLineChars="200"/>
        <w:rPr>
          <w:rFonts w:ascii="宋体" w:hAnsi="宋体"/>
          <w:highlight w:val="none"/>
        </w:rPr>
      </w:pPr>
      <w:r>
        <w:rPr>
          <w:rFonts w:hint="eastAsia" w:ascii="宋体" w:hAnsi="宋体"/>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25.14乙方对其产品质量引起的人身伤亡的责任受有关适用法律的制约。</w:t>
      </w:r>
      <w:r>
        <w:rPr>
          <w:rFonts w:hint="eastAsia" w:ascii="宋体" w:hAnsi="宋体"/>
          <w:highlight w:val="none"/>
        </w:rPr>
        <w:tab/>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hint="eastAsia" w:ascii="宋体" w:hAnsi="宋体"/>
          <w:highlight w:val="none"/>
        </w:rPr>
      </w:pPr>
      <w:r>
        <w:rPr>
          <w:rFonts w:hint="eastAsia" w:ascii="宋体" w:hAnsi="宋体"/>
          <w:highlight w:val="none"/>
        </w:rPr>
        <w:t>25.17本合同条款规定的乙方处理货物质量问题的时间如果与合同规定的关键节点时间有冲突，应首先满足该关键节点时间。</w:t>
      </w:r>
    </w:p>
    <w:p>
      <w:pPr>
        <w:numPr>
          <w:ilvl w:val="0"/>
          <w:numId w:val="0"/>
        </w:numPr>
        <w:tabs>
          <w:tab w:val="left" w:pos="840"/>
        </w:tabs>
        <w:spacing w:before="0" w:after="0" w:afterAutospacing="0"/>
        <w:ind w:right="0" w:rightChars="0" w:firstLine="420" w:firstLineChars="200"/>
        <w:rPr>
          <w:rFonts w:hint="eastAsia" w:ascii="宋体" w:hAnsi="宋体"/>
          <w:color w:val="auto"/>
          <w:highlight w:val="none"/>
          <w:lang w:val="en-US" w:eastAsia="zh-CN"/>
        </w:rPr>
      </w:pPr>
      <w:r>
        <w:rPr>
          <w:rFonts w:hint="eastAsia" w:ascii="宋体" w:hAnsi="宋体"/>
          <w:highlight w:val="none"/>
        </w:rPr>
        <w:t>25.1</w:t>
      </w:r>
      <w:r>
        <w:rPr>
          <w:rFonts w:hint="eastAsia" w:ascii="宋体" w:hAnsi="宋体"/>
          <w:highlight w:val="none"/>
          <w:lang w:val="en-US" w:eastAsia="zh-CN"/>
        </w:rPr>
        <w:t>8</w:t>
      </w:r>
      <w:r>
        <w:rPr>
          <w:rFonts w:hint="eastAsia" w:ascii="宋体" w:hAnsi="宋体"/>
          <w:color w:val="auto"/>
          <w:highlight w:val="none"/>
          <w:lang w:val="en-US" w:eastAsia="zh-CN"/>
        </w:rPr>
        <w:t>乙方在收到《合同违约处理通知单》（详见“用户需求书”附件3）后，如有意见，在2个工作日可提出申诉，否则视为接受违约处理意见，甲方在收到申诉后5个工作日答复。</w:t>
      </w:r>
    </w:p>
    <w:p>
      <w:pPr>
        <w:numPr>
          <w:ilvl w:val="0"/>
          <w:numId w:val="0"/>
        </w:numPr>
        <w:tabs>
          <w:tab w:val="left" w:pos="840"/>
        </w:tabs>
        <w:spacing w:before="0" w:after="0" w:afterAutospacing="0"/>
        <w:ind w:right="0" w:rightChars="0" w:firstLine="420" w:firstLineChars="200"/>
        <w:rPr>
          <w:rFonts w:hint="eastAsia" w:ascii="Calibri" w:hAnsi="Calibri"/>
          <w:kern w:val="2"/>
          <w:highlight w:val="none"/>
          <w:lang w:eastAsia="zh-CN"/>
        </w:rPr>
      </w:pPr>
      <w:r>
        <w:rPr>
          <w:rFonts w:hint="eastAsia" w:ascii="Calibri" w:hAnsi="Calibri"/>
          <w:kern w:val="2"/>
          <w:highlight w:val="none"/>
        </w:rPr>
        <w:t>乙方须支付相应的违约金，违约金在合同应付款中扣减</w:t>
      </w:r>
      <w:r>
        <w:rPr>
          <w:rFonts w:hint="eastAsia" w:ascii="Calibri" w:hAnsi="Calibri"/>
          <w:kern w:val="2"/>
          <w:highlight w:val="none"/>
          <w:lang w:eastAsia="zh-CN"/>
        </w:rPr>
        <w:t>。</w:t>
      </w:r>
    </w:p>
    <w:p>
      <w:pPr>
        <w:widowControl/>
        <w:numPr>
          <w:ilvl w:val="0"/>
          <w:numId w:val="0"/>
        </w:numPr>
        <w:tabs>
          <w:tab w:val="left" w:pos="840"/>
        </w:tabs>
        <w:spacing w:before="0" w:after="0" w:afterAutospacing="0" w:line="240" w:lineRule="auto"/>
        <w:ind w:left="0" w:right="0" w:firstLine="420" w:firstLineChars="200"/>
        <w:rPr>
          <w:rFonts w:hint="eastAsia" w:ascii="宋体" w:hAnsi="宋体" w:eastAsia="宋体" w:cs="Times New Roman"/>
          <w:sz w:val="21"/>
          <w:szCs w:val="21"/>
          <w:highlight w:val="none"/>
        </w:rPr>
      </w:pPr>
      <w:r>
        <w:rPr>
          <w:rFonts w:hint="eastAsia" w:ascii="宋体" w:hAnsi="宋体"/>
          <w:highlight w:val="none"/>
        </w:rPr>
        <w:t>25.1</w:t>
      </w:r>
      <w:r>
        <w:rPr>
          <w:rFonts w:hint="eastAsia" w:ascii="宋体" w:hAnsi="宋体"/>
          <w:highlight w:val="none"/>
          <w:lang w:val="en-US" w:eastAsia="zh-CN"/>
        </w:rPr>
        <w:t>9</w:t>
      </w:r>
      <w:r>
        <w:rPr>
          <w:rFonts w:hint="eastAsia" w:ascii="宋体" w:hAnsi="宋体" w:eastAsia="宋体" w:cs="Times New Roman"/>
          <w:sz w:val="21"/>
          <w:szCs w:val="21"/>
          <w:highlight w:val="none"/>
          <w:lang w:val="en-US" w:eastAsia="zh-CN"/>
        </w:rPr>
        <w:t>施工</w:t>
      </w:r>
      <w:r>
        <w:rPr>
          <w:rFonts w:hint="eastAsia" w:ascii="宋体" w:hAnsi="宋体" w:eastAsia="宋体" w:cs="Times New Roman"/>
          <w:sz w:val="21"/>
          <w:szCs w:val="21"/>
          <w:highlight w:val="none"/>
        </w:rPr>
        <w:t>过程中因</w:t>
      </w:r>
      <w:r>
        <w:rPr>
          <w:rFonts w:hint="eastAsia" w:ascii="宋体" w:hAnsi="宋体" w:eastAsia="宋体" w:cs="Times New Roman"/>
          <w:sz w:val="21"/>
          <w:szCs w:val="21"/>
          <w:highlight w:val="none"/>
          <w:lang w:eastAsia="zh-CN"/>
        </w:rPr>
        <w:t>乙方</w:t>
      </w:r>
      <w:r>
        <w:rPr>
          <w:rFonts w:hint="eastAsia" w:ascii="宋体" w:hAnsi="宋体" w:eastAsia="宋体" w:cs="Times New Roman"/>
          <w:sz w:val="21"/>
          <w:szCs w:val="21"/>
          <w:highlight w:val="none"/>
        </w:rPr>
        <w:t>原因导致的直接及间接经济损失由</w:t>
      </w:r>
      <w:r>
        <w:rPr>
          <w:rFonts w:hint="eastAsia" w:ascii="宋体" w:hAnsi="宋体" w:eastAsia="宋体" w:cs="Times New Roman"/>
          <w:sz w:val="21"/>
          <w:szCs w:val="21"/>
          <w:highlight w:val="none"/>
          <w:lang w:eastAsia="zh-CN"/>
        </w:rPr>
        <w:t>乙方</w:t>
      </w:r>
      <w:r>
        <w:rPr>
          <w:rFonts w:hint="eastAsia" w:ascii="宋体" w:hAnsi="宋体" w:eastAsia="宋体" w:cs="Times New Roman"/>
          <w:sz w:val="21"/>
          <w:szCs w:val="21"/>
          <w:highlight w:val="none"/>
        </w:rPr>
        <w:t>承担。</w:t>
      </w:r>
    </w:p>
    <w:p>
      <w:pPr>
        <w:widowControl/>
        <w:numPr>
          <w:ilvl w:val="0"/>
          <w:numId w:val="0"/>
        </w:numPr>
        <w:tabs>
          <w:tab w:val="left" w:pos="840"/>
        </w:tabs>
        <w:spacing w:before="0" w:after="0" w:afterAutospacing="0" w:line="240" w:lineRule="auto"/>
        <w:ind w:left="0" w:right="0" w:firstLine="420" w:firstLineChars="200"/>
        <w:rPr>
          <w:rFonts w:hint="eastAsia" w:ascii="宋体" w:hAnsi="宋体" w:eastAsia="宋体" w:cs="Times New Roman"/>
          <w:sz w:val="21"/>
          <w:szCs w:val="21"/>
          <w:highlight w:val="none"/>
        </w:rPr>
      </w:pPr>
      <w:r>
        <w:rPr>
          <w:rFonts w:hint="eastAsia" w:ascii="宋体" w:hAnsi="宋体"/>
          <w:highlight w:val="none"/>
        </w:rPr>
        <w:t>25.</w:t>
      </w:r>
      <w:r>
        <w:rPr>
          <w:rFonts w:hint="eastAsia" w:ascii="宋体" w:hAnsi="宋体"/>
          <w:highlight w:val="none"/>
          <w:lang w:val="en-US" w:eastAsia="zh-CN"/>
        </w:rPr>
        <w:t>20</w:t>
      </w:r>
      <w:r>
        <w:rPr>
          <w:rFonts w:hint="eastAsia" w:ascii="宋体" w:hAnsi="宋体" w:eastAsia="宋体" w:cs="Times New Roman"/>
          <w:sz w:val="21"/>
          <w:szCs w:val="21"/>
          <w:highlight w:val="none"/>
          <w:lang w:eastAsia="zh-CN"/>
        </w:rPr>
        <w:t>乙方</w:t>
      </w:r>
      <w:r>
        <w:rPr>
          <w:rFonts w:hint="eastAsia" w:ascii="宋体" w:hAnsi="宋体" w:eastAsia="宋体" w:cs="Times New Roman"/>
          <w:sz w:val="21"/>
          <w:szCs w:val="21"/>
          <w:highlight w:val="none"/>
        </w:rPr>
        <w:t>违反</w:t>
      </w:r>
      <w:r>
        <w:rPr>
          <w:rFonts w:hint="eastAsia" w:ascii="宋体" w:hAnsi="宋体" w:eastAsia="宋体" w:cs="Times New Roman"/>
          <w:sz w:val="21"/>
          <w:szCs w:val="21"/>
          <w:highlight w:val="none"/>
          <w:lang w:eastAsia="zh-CN"/>
        </w:rPr>
        <w:t>甲方</w:t>
      </w:r>
      <w:r>
        <w:rPr>
          <w:rFonts w:hint="eastAsia" w:ascii="宋体" w:hAnsi="宋体" w:eastAsia="宋体" w:cs="Times New Roman"/>
          <w:sz w:val="21"/>
          <w:szCs w:val="21"/>
          <w:highlight w:val="none"/>
        </w:rPr>
        <w:t>保密规定相关内容时，每次扣除10000元。</w:t>
      </w:r>
    </w:p>
    <w:p>
      <w:pPr>
        <w:widowControl/>
        <w:numPr>
          <w:ilvl w:val="0"/>
          <w:numId w:val="0"/>
        </w:numPr>
        <w:tabs>
          <w:tab w:val="left" w:pos="840"/>
        </w:tabs>
        <w:spacing w:before="0" w:after="0" w:afterAutospacing="0" w:line="240" w:lineRule="auto"/>
        <w:ind w:left="0" w:right="0" w:firstLine="420" w:firstLineChars="200"/>
        <w:rPr>
          <w:rFonts w:hint="eastAsia" w:ascii="宋体" w:hAnsi="宋体" w:eastAsia="宋体" w:cs="Times New Roman"/>
          <w:sz w:val="21"/>
          <w:szCs w:val="21"/>
          <w:highlight w:val="none"/>
        </w:rPr>
      </w:pPr>
      <w:r>
        <w:rPr>
          <w:rFonts w:hint="eastAsia" w:ascii="宋体" w:hAnsi="宋体"/>
          <w:highlight w:val="none"/>
        </w:rPr>
        <w:t>25.</w:t>
      </w:r>
      <w:r>
        <w:rPr>
          <w:rFonts w:hint="eastAsia" w:ascii="宋体" w:hAnsi="宋体"/>
          <w:highlight w:val="none"/>
          <w:lang w:val="en-US" w:eastAsia="zh-CN"/>
        </w:rPr>
        <w:t>21</w:t>
      </w:r>
      <w:r>
        <w:rPr>
          <w:rFonts w:hint="eastAsia" w:ascii="宋体" w:hAnsi="宋体" w:eastAsia="宋体" w:cs="Times New Roman"/>
          <w:sz w:val="21"/>
          <w:szCs w:val="21"/>
          <w:highlight w:val="none"/>
        </w:rPr>
        <w:t>发生责任一般事件（C类、B类、A类）、责任一般事故（C类、B类、A类）、责任较大事故、责任重大事故、责任特别重大事故的，发生一次扣除10000元起，每上升一档增加扣除10000元。</w:t>
      </w:r>
    </w:p>
    <w:p>
      <w:pPr>
        <w:widowControl/>
        <w:numPr>
          <w:ilvl w:val="0"/>
          <w:numId w:val="0"/>
        </w:numPr>
        <w:tabs>
          <w:tab w:val="left" w:pos="840"/>
        </w:tabs>
        <w:spacing w:before="0" w:after="0" w:afterAutospacing="0" w:line="240" w:lineRule="auto"/>
        <w:ind w:left="0" w:right="0" w:firstLine="420" w:firstLineChars="200"/>
        <w:rPr>
          <w:rFonts w:hint="eastAsia" w:ascii="宋体" w:hAnsi="宋体" w:eastAsia="宋体" w:cs="Times New Roman"/>
          <w:sz w:val="21"/>
          <w:szCs w:val="21"/>
          <w:highlight w:val="none"/>
        </w:rPr>
      </w:pPr>
      <w:r>
        <w:rPr>
          <w:rFonts w:hint="eastAsia" w:ascii="宋体" w:hAnsi="宋体"/>
          <w:highlight w:val="none"/>
        </w:rPr>
        <w:t>25.</w:t>
      </w:r>
      <w:r>
        <w:rPr>
          <w:rFonts w:hint="eastAsia" w:ascii="宋体" w:hAnsi="宋体"/>
          <w:highlight w:val="none"/>
          <w:lang w:val="en-US" w:eastAsia="zh-CN"/>
        </w:rPr>
        <w:t>22</w:t>
      </w:r>
      <w:r>
        <w:rPr>
          <w:rFonts w:hint="eastAsia" w:ascii="宋体" w:hAnsi="宋体" w:eastAsia="宋体" w:cs="Times New Roman"/>
          <w:sz w:val="21"/>
          <w:szCs w:val="21"/>
          <w:highlight w:val="none"/>
        </w:rPr>
        <w:t>因</w:t>
      </w:r>
      <w:r>
        <w:rPr>
          <w:rFonts w:hint="eastAsia" w:ascii="宋体" w:hAnsi="宋体" w:eastAsia="宋体" w:cs="Times New Roman"/>
          <w:sz w:val="21"/>
          <w:szCs w:val="21"/>
          <w:highlight w:val="none"/>
          <w:lang w:eastAsia="zh-CN"/>
        </w:rPr>
        <w:t>乙方</w:t>
      </w:r>
      <w:r>
        <w:rPr>
          <w:rFonts w:hint="eastAsia" w:ascii="宋体" w:hAnsi="宋体" w:eastAsia="宋体" w:cs="Times New Roman"/>
          <w:sz w:val="21"/>
          <w:szCs w:val="21"/>
          <w:highlight w:val="none"/>
        </w:rPr>
        <w:t>人为原因造成一般事件C类以下的安全责任事件的，每次扣除1000元，以</w:t>
      </w:r>
      <w:r>
        <w:rPr>
          <w:rFonts w:hint="eastAsia" w:ascii="宋体" w:hAnsi="宋体" w:eastAsia="宋体" w:cs="Times New Roman"/>
          <w:sz w:val="21"/>
          <w:szCs w:val="21"/>
          <w:highlight w:val="none"/>
          <w:lang w:eastAsia="zh-CN"/>
        </w:rPr>
        <w:t>甲方</w:t>
      </w:r>
      <w:r>
        <w:rPr>
          <w:rFonts w:hint="eastAsia" w:ascii="宋体" w:hAnsi="宋体" w:eastAsia="宋体" w:cs="Times New Roman"/>
          <w:sz w:val="21"/>
          <w:szCs w:val="21"/>
          <w:highlight w:val="none"/>
        </w:rPr>
        <w:t>最终发文的责任认定为准。</w:t>
      </w:r>
    </w:p>
    <w:p>
      <w:pPr>
        <w:widowControl/>
        <w:numPr>
          <w:ilvl w:val="0"/>
          <w:numId w:val="0"/>
        </w:numPr>
        <w:tabs>
          <w:tab w:val="left" w:pos="840"/>
        </w:tabs>
        <w:spacing w:before="0" w:after="0" w:afterAutospacing="0" w:line="240" w:lineRule="auto"/>
        <w:ind w:left="0" w:right="0" w:firstLine="420" w:firstLineChars="200"/>
        <w:rPr>
          <w:rFonts w:hint="eastAsia" w:ascii="宋体" w:hAnsi="宋体" w:eastAsia="宋体" w:cs="Times New Roman"/>
          <w:sz w:val="21"/>
          <w:szCs w:val="21"/>
          <w:highlight w:val="none"/>
        </w:rPr>
      </w:pPr>
      <w:r>
        <w:rPr>
          <w:rFonts w:hint="eastAsia" w:ascii="宋体" w:hAnsi="宋体"/>
          <w:highlight w:val="none"/>
        </w:rPr>
        <w:t>25.</w:t>
      </w:r>
      <w:r>
        <w:rPr>
          <w:rFonts w:hint="eastAsia" w:ascii="宋体" w:hAnsi="宋体"/>
          <w:highlight w:val="none"/>
          <w:lang w:val="en-US" w:eastAsia="zh-CN"/>
        </w:rPr>
        <w:t>23</w:t>
      </w:r>
      <w:r>
        <w:rPr>
          <w:rFonts w:hint="eastAsia" w:ascii="宋体" w:hAnsi="宋体" w:eastAsia="宋体" w:cs="Times New Roman"/>
          <w:sz w:val="21"/>
          <w:szCs w:val="21"/>
          <w:highlight w:val="none"/>
        </w:rPr>
        <w:t>因</w:t>
      </w:r>
      <w:r>
        <w:rPr>
          <w:rFonts w:hint="eastAsia" w:ascii="宋体" w:hAnsi="宋体" w:eastAsia="宋体" w:cs="Times New Roman"/>
          <w:sz w:val="21"/>
          <w:szCs w:val="21"/>
          <w:highlight w:val="none"/>
          <w:lang w:eastAsia="zh-CN"/>
        </w:rPr>
        <w:t>乙方</w:t>
      </w:r>
      <w:r>
        <w:rPr>
          <w:rFonts w:hint="eastAsia" w:ascii="宋体" w:hAnsi="宋体" w:eastAsia="宋体" w:cs="Times New Roman"/>
          <w:sz w:val="21"/>
          <w:szCs w:val="21"/>
          <w:highlight w:val="none"/>
        </w:rPr>
        <w:t>原因造成死亡1人以上或重伤10人以上或直接经济损失200万元以上的，</w:t>
      </w:r>
      <w:r>
        <w:rPr>
          <w:rFonts w:hint="eastAsia" w:ascii="宋体" w:hAnsi="宋体" w:eastAsia="宋体" w:cs="Times New Roman"/>
          <w:sz w:val="21"/>
          <w:szCs w:val="21"/>
          <w:highlight w:val="none"/>
          <w:lang w:eastAsia="zh-CN"/>
        </w:rPr>
        <w:t>甲方</w:t>
      </w:r>
      <w:r>
        <w:rPr>
          <w:rFonts w:hint="eastAsia" w:ascii="宋体" w:hAnsi="宋体" w:eastAsia="宋体" w:cs="Times New Roman"/>
          <w:sz w:val="21"/>
          <w:szCs w:val="21"/>
          <w:highlight w:val="none"/>
        </w:rPr>
        <w:t>不支付</w:t>
      </w:r>
      <w:r>
        <w:rPr>
          <w:rFonts w:hint="eastAsia" w:ascii="宋体" w:hAnsi="宋体" w:eastAsia="宋体" w:cs="Times New Roman"/>
          <w:sz w:val="21"/>
          <w:szCs w:val="21"/>
          <w:highlight w:val="none"/>
          <w:lang w:eastAsia="zh-CN"/>
        </w:rPr>
        <w:t>乙方</w:t>
      </w:r>
      <w:r>
        <w:rPr>
          <w:rFonts w:hint="eastAsia" w:ascii="宋体" w:hAnsi="宋体" w:eastAsia="宋体" w:cs="Times New Roman"/>
          <w:sz w:val="21"/>
          <w:szCs w:val="21"/>
          <w:highlight w:val="none"/>
          <w:lang w:val="en-US" w:eastAsia="zh-CN"/>
        </w:rPr>
        <w:t>项目剩余款项</w:t>
      </w:r>
      <w:r>
        <w:rPr>
          <w:rFonts w:hint="eastAsia" w:ascii="宋体" w:hAnsi="宋体" w:eastAsia="宋体" w:cs="Times New Roman"/>
          <w:sz w:val="21"/>
          <w:szCs w:val="21"/>
          <w:highlight w:val="none"/>
        </w:rPr>
        <w:t>，并有权向</w:t>
      </w:r>
      <w:r>
        <w:rPr>
          <w:rFonts w:hint="eastAsia" w:ascii="宋体" w:hAnsi="宋体" w:eastAsia="宋体" w:cs="Times New Roman"/>
          <w:sz w:val="21"/>
          <w:szCs w:val="21"/>
          <w:highlight w:val="none"/>
          <w:lang w:eastAsia="zh-CN"/>
        </w:rPr>
        <w:t>乙方</w:t>
      </w:r>
      <w:r>
        <w:rPr>
          <w:rFonts w:hint="eastAsia" w:ascii="宋体" w:hAnsi="宋体" w:eastAsia="宋体" w:cs="Times New Roman"/>
          <w:sz w:val="21"/>
          <w:szCs w:val="21"/>
          <w:highlight w:val="none"/>
        </w:rPr>
        <w:t>追责及终止合同。</w:t>
      </w:r>
    </w:p>
    <w:p>
      <w:pPr>
        <w:widowControl/>
        <w:numPr>
          <w:ilvl w:val="0"/>
          <w:numId w:val="0"/>
        </w:numPr>
        <w:tabs>
          <w:tab w:val="left" w:pos="840"/>
        </w:tabs>
        <w:spacing w:before="0" w:after="0" w:afterAutospacing="0" w:line="240" w:lineRule="auto"/>
        <w:ind w:left="0" w:right="0" w:firstLine="420" w:firstLineChars="200"/>
        <w:rPr>
          <w:rFonts w:hint="eastAsia" w:ascii="宋体" w:hAnsi="宋体" w:eastAsia="宋体" w:cs="Times New Roman"/>
          <w:sz w:val="21"/>
          <w:szCs w:val="21"/>
          <w:highlight w:val="none"/>
        </w:rPr>
      </w:pPr>
      <w:r>
        <w:rPr>
          <w:rFonts w:hint="eastAsia" w:ascii="宋体" w:hAnsi="宋体"/>
          <w:highlight w:val="none"/>
        </w:rPr>
        <w:t>25.</w:t>
      </w:r>
      <w:r>
        <w:rPr>
          <w:rFonts w:hint="eastAsia" w:ascii="宋体" w:hAnsi="宋体"/>
          <w:highlight w:val="none"/>
          <w:lang w:val="en-US" w:eastAsia="zh-CN"/>
        </w:rPr>
        <w:t>24</w:t>
      </w:r>
      <w:r>
        <w:rPr>
          <w:rFonts w:hint="eastAsia" w:ascii="宋体" w:hAnsi="宋体" w:eastAsia="宋体" w:cs="Times New Roman"/>
          <w:sz w:val="21"/>
          <w:szCs w:val="21"/>
          <w:highlight w:val="none"/>
        </w:rPr>
        <w:t>凡因设备故障而产生重大影响，导致</w:t>
      </w:r>
      <w:r>
        <w:rPr>
          <w:rFonts w:hint="eastAsia" w:ascii="宋体" w:hAnsi="宋体" w:eastAsia="宋体" w:cs="Times New Roman"/>
          <w:sz w:val="21"/>
          <w:szCs w:val="21"/>
          <w:highlight w:val="none"/>
          <w:lang w:eastAsia="zh-CN"/>
        </w:rPr>
        <w:t>甲方</w:t>
      </w:r>
      <w:r>
        <w:rPr>
          <w:rFonts w:hint="eastAsia" w:ascii="宋体" w:hAnsi="宋体" w:eastAsia="宋体" w:cs="Times New Roman"/>
          <w:sz w:val="21"/>
          <w:szCs w:val="21"/>
          <w:highlight w:val="none"/>
        </w:rPr>
        <w:t>归口管理分中心、中心或运营分公司受到上级部门及外部门考核的情况，</w:t>
      </w:r>
      <w:r>
        <w:rPr>
          <w:rFonts w:hint="eastAsia" w:ascii="宋体" w:hAnsi="宋体" w:eastAsia="宋体" w:cs="Times New Roman"/>
          <w:sz w:val="21"/>
          <w:szCs w:val="21"/>
          <w:highlight w:val="none"/>
          <w:lang w:eastAsia="zh-CN"/>
        </w:rPr>
        <w:t>乙方</w:t>
      </w:r>
      <w:r>
        <w:rPr>
          <w:rFonts w:hint="eastAsia" w:ascii="宋体" w:hAnsi="宋体" w:eastAsia="宋体" w:cs="Times New Roman"/>
          <w:sz w:val="21"/>
          <w:szCs w:val="21"/>
          <w:highlight w:val="none"/>
        </w:rPr>
        <w:t>须按上级部门及外部门考核</w:t>
      </w:r>
      <w:r>
        <w:rPr>
          <w:rFonts w:hint="eastAsia" w:ascii="宋体" w:hAnsi="宋体" w:eastAsia="宋体" w:cs="Times New Roman"/>
          <w:sz w:val="21"/>
          <w:szCs w:val="21"/>
          <w:highlight w:val="none"/>
          <w:lang w:eastAsia="zh-CN"/>
        </w:rPr>
        <w:t>甲方</w:t>
      </w:r>
      <w:r>
        <w:rPr>
          <w:rFonts w:hint="eastAsia" w:ascii="宋体" w:hAnsi="宋体" w:eastAsia="宋体" w:cs="Times New Roman"/>
          <w:sz w:val="21"/>
          <w:szCs w:val="21"/>
          <w:highlight w:val="none"/>
        </w:rPr>
        <w:t>归口管理中心金额的2倍向</w:t>
      </w:r>
      <w:r>
        <w:rPr>
          <w:rFonts w:hint="eastAsia" w:ascii="宋体" w:hAnsi="宋体" w:eastAsia="宋体" w:cs="Times New Roman"/>
          <w:sz w:val="21"/>
          <w:szCs w:val="21"/>
          <w:highlight w:val="none"/>
          <w:lang w:eastAsia="zh-CN"/>
        </w:rPr>
        <w:t>甲方</w:t>
      </w:r>
      <w:r>
        <w:rPr>
          <w:rFonts w:hint="eastAsia" w:ascii="宋体" w:hAnsi="宋体" w:eastAsia="宋体" w:cs="Times New Roman"/>
          <w:sz w:val="21"/>
          <w:szCs w:val="21"/>
          <w:highlight w:val="none"/>
        </w:rPr>
        <w:t>支付违约金。</w:t>
      </w:r>
    </w:p>
    <w:p>
      <w:pPr>
        <w:widowControl/>
        <w:numPr>
          <w:ilvl w:val="0"/>
          <w:numId w:val="0"/>
        </w:numPr>
        <w:tabs>
          <w:tab w:val="left" w:pos="840"/>
        </w:tabs>
        <w:spacing w:before="0" w:after="0" w:afterAutospacing="0" w:line="24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highlight w:val="none"/>
        </w:rPr>
        <w:t>25.</w:t>
      </w:r>
      <w:r>
        <w:rPr>
          <w:rFonts w:hint="eastAsia" w:ascii="宋体" w:hAnsi="宋体"/>
          <w:highlight w:val="none"/>
          <w:lang w:val="en-US" w:eastAsia="zh-CN"/>
        </w:rPr>
        <w:t>25</w:t>
      </w:r>
      <w:r>
        <w:rPr>
          <w:rFonts w:hint="eastAsia" w:ascii="宋体" w:hAnsi="宋体" w:eastAsia="宋体" w:cs="Times New Roman"/>
          <w:color w:val="auto"/>
          <w:sz w:val="21"/>
          <w:szCs w:val="21"/>
          <w:highlight w:val="none"/>
        </w:rPr>
        <w:t>在合同有效期内，如发现</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擅自转包或挂靠，或提供虚假资料的，</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将单方终止合同，</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须承担违约责任、赔偿</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的一切经济损失。</w:t>
      </w:r>
    </w:p>
    <w:p>
      <w:pPr>
        <w:widowControl w:val="0"/>
        <w:tabs>
          <w:tab w:val="left" w:pos="1060"/>
        </w:tabs>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注：由于</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原因导致的事故事件，除进行上述的扣款外，</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还要承担由此造成的经济损失，并承担全部责任。</w:t>
      </w:r>
    </w:p>
    <w:p>
      <w:pPr>
        <w:tabs>
          <w:tab w:val="left" w:pos="640"/>
          <w:tab w:val="left" w:pos="1843"/>
        </w:tabs>
        <w:spacing w:before="0" w:after="0" w:afterAutospacing="0"/>
        <w:ind w:left="420" w:right="0" w:firstLine="0"/>
        <w:outlineLvl w:val="2"/>
        <w:rPr>
          <w:rFonts w:ascii="宋体" w:hAnsi="宋体"/>
          <w:b/>
          <w:highlight w:val="none"/>
        </w:rPr>
      </w:pPr>
      <w:bookmarkStart w:id="1308" w:name="_Toc28865_WPSOffice_Level2"/>
      <w:r>
        <w:rPr>
          <w:rFonts w:hint="eastAsia" w:ascii="宋体" w:hAnsi="宋体"/>
          <w:b/>
          <w:highlight w:val="none"/>
        </w:rPr>
        <w:t>26.合同终止</w:t>
      </w:r>
      <w:bookmarkEnd w:id="1308"/>
    </w:p>
    <w:p>
      <w:pPr>
        <w:pStyle w:val="62"/>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26.1对合同条件所做出的任何修改、补充，须经双方协商达成一致意见后，签订书面协议。</w:t>
      </w:r>
    </w:p>
    <w:p>
      <w:pPr>
        <w:pStyle w:val="62"/>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26.2合同自然终止</w:t>
      </w:r>
    </w:p>
    <w:p>
      <w:pPr>
        <w:pStyle w:val="62"/>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26.2.1甲方、乙方双方各自完成合同规定的责任和义务，合同自然终止。</w:t>
      </w:r>
    </w:p>
    <w:p>
      <w:pPr>
        <w:spacing w:before="0" w:after="0" w:afterAutospacing="0"/>
        <w:ind w:left="0" w:right="0" w:firstLine="420" w:firstLineChars="200"/>
        <w:rPr>
          <w:rFonts w:ascii="宋体" w:hAnsi="宋体"/>
          <w:highlight w:val="none"/>
        </w:rPr>
      </w:pPr>
      <w:r>
        <w:rPr>
          <w:rFonts w:hint="eastAsia" w:ascii="宋体" w:hAnsi="宋体"/>
          <w:highlight w:val="none"/>
        </w:rPr>
        <w:t>26.2.2本合同有效期满或在合同有效期内，本合同供货金额累计达到合同暂定金额的100%（含），本合同自行终止。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highlight w:val="none"/>
        </w:rPr>
      </w:pPr>
      <w:r>
        <w:rPr>
          <w:rFonts w:hint="eastAsia" w:ascii="宋体" w:hAnsi="宋体"/>
          <w:highlight w:val="none"/>
        </w:rPr>
        <w:t>26.3乙方违约时的终止</w:t>
      </w:r>
    </w:p>
    <w:p>
      <w:pPr>
        <w:tabs>
          <w:tab w:val="left" w:pos="1020"/>
        </w:tabs>
        <w:spacing w:before="0" w:after="0" w:afterAutospacing="0"/>
        <w:ind w:left="420" w:right="0" w:firstLine="0"/>
        <w:rPr>
          <w:rFonts w:ascii="宋体" w:hAnsi="宋体"/>
          <w:highlight w:val="none"/>
        </w:rPr>
      </w:pPr>
      <w:r>
        <w:rPr>
          <w:rFonts w:hint="eastAsia" w:ascii="宋体" w:hAnsi="宋体"/>
          <w:highlight w:val="none"/>
        </w:rPr>
        <w:t>如果乙方有以下情形之一，甲方有权以书面形式通知部分或全部终止合同：</w:t>
      </w:r>
    </w:p>
    <w:p>
      <w:pPr>
        <w:spacing w:before="0" w:after="0" w:afterAutospacing="0"/>
        <w:ind w:left="0" w:right="0" w:firstLine="420" w:firstLineChars="200"/>
        <w:rPr>
          <w:rFonts w:ascii="宋体" w:hAnsi="宋体"/>
          <w:highlight w:val="none"/>
        </w:rPr>
      </w:pPr>
      <w:r>
        <w:rPr>
          <w:rFonts w:hint="eastAsia" w:ascii="宋体" w:hAnsi="宋体"/>
          <w:highlight w:val="none"/>
        </w:rPr>
        <w:t>26.3.1 在收到本合同条款规定情形下的违约通知后二十八</w:t>
      </w:r>
      <w:r>
        <w:rPr>
          <w:rFonts w:ascii="宋体" w:hAnsi="宋体"/>
          <w:highlight w:val="none"/>
        </w:rPr>
        <w:t>(28)</w:t>
      </w:r>
      <w:r>
        <w:rPr>
          <w:rFonts w:hint="eastAsia" w:ascii="宋体" w:hAnsi="宋体"/>
          <w:highlight w:val="none"/>
        </w:rPr>
        <w:t>天内未能遵守并达到通知的要求。</w:t>
      </w:r>
    </w:p>
    <w:p>
      <w:pPr>
        <w:spacing w:before="0" w:after="0" w:afterAutospacing="0"/>
        <w:ind w:left="0" w:right="0" w:firstLine="420" w:firstLineChars="200"/>
        <w:rPr>
          <w:rFonts w:ascii="宋体" w:hAnsi="宋体"/>
          <w:highlight w:val="none"/>
        </w:rPr>
      </w:pPr>
      <w:r>
        <w:rPr>
          <w:rFonts w:hint="eastAsia" w:ascii="宋体" w:hAnsi="宋体"/>
          <w:highlight w:val="none"/>
        </w:rPr>
        <w:t>26.3.2没有甲方的书面同意转让合同或将项目的全部或部分分包出去。</w:t>
      </w:r>
    </w:p>
    <w:p>
      <w:pPr>
        <w:spacing w:before="0" w:after="0" w:afterAutospacing="0"/>
        <w:ind w:left="0" w:right="0" w:firstLine="420" w:firstLineChars="200"/>
        <w:rPr>
          <w:rFonts w:ascii="宋体" w:hAnsi="宋体"/>
          <w:highlight w:val="none"/>
        </w:rPr>
      </w:pPr>
      <w:r>
        <w:rPr>
          <w:rFonts w:hint="eastAsia" w:ascii="宋体" w:hAnsi="宋体"/>
          <w:highlight w:val="none"/>
        </w:rPr>
        <w:t>26.3.3</w:t>
      </w:r>
      <w:r>
        <w:rPr>
          <w:highlight w:val="none"/>
        </w:rPr>
        <w:t>在履行期限届满之前，</w:t>
      </w:r>
      <w:r>
        <w:rPr>
          <w:rFonts w:hint="eastAsia"/>
          <w:highlight w:val="none"/>
        </w:rPr>
        <w:t>乙</w:t>
      </w:r>
      <w:r>
        <w:rPr>
          <w:highlight w:val="none"/>
        </w:rPr>
        <w:t>方明确表示或者以自己的行为表明不履行主要债务</w:t>
      </w:r>
      <w:r>
        <w:rPr>
          <w:rFonts w:hint="eastAsia"/>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26.3.6如果乙方不能履行合同项下其他义务。</w:t>
      </w:r>
    </w:p>
    <w:p>
      <w:pPr>
        <w:tabs>
          <w:tab w:val="left" w:pos="420"/>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26.3.7如果乙方在上述情况下不能在接到甲方通知后十（</w:t>
      </w:r>
      <w:r>
        <w:rPr>
          <w:rFonts w:ascii="宋体" w:hAnsi="宋体"/>
          <w:highlight w:val="none"/>
        </w:rPr>
        <w:t>10</w:t>
      </w:r>
      <w:r>
        <w:rPr>
          <w:rFonts w:hint="eastAsia" w:ascii="宋体" w:hAnsi="宋体"/>
          <w:highlight w:val="none"/>
        </w:rPr>
        <w:t>）天之内（或甲方同意的更长的时间内）补救过失。</w:t>
      </w:r>
    </w:p>
    <w:p>
      <w:pPr>
        <w:tabs>
          <w:tab w:val="left" w:pos="1020"/>
        </w:tabs>
        <w:spacing w:before="0" w:after="0" w:afterAutospacing="0"/>
        <w:ind w:left="420" w:right="0" w:firstLine="0"/>
        <w:rPr>
          <w:rFonts w:ascii="宋体" w:hAnsi="宋体"/>
          <w:highlight w:val="none"/>
        </w:rPr>
      </w:pPr>
      <w:r>
        <w:rPr>
          <w:rFonts w:hint="eastAsia" w:ascii="宋体" w:hAnsi="宋体"/>
          <w:highlight w:val="none"/>
        </w:rPr>
        <w:t>26.4 甲方违约时的终止</w:t>
      </w:r>
    </w:p>
    <w:p>
      <w:pPr>
        <w:tabs>
          <w:tab w:val="left" w:pos="420"/>
          <w:tab w:val="left" w:pos="1134"/>
        </w:tabs>
        <w:spacing w:before="0" w:after="0" w:afterAutospacing="0"/>
        <w:ind w:left="0" w:right="0" w:firstLine="424" w:firstLineChars="202"/>
        <w:rPr>
          <w:rFonts w:ascii="宋体" w:hAnsi="宋体"/>
          <w:highlight w:val="none"/>
        </w:rPr>
      </w:pPr>
      <w:r>
        <w:rPr>
          <w:rFonts w:hint="eastAsia" w:ascii="宋体" w:hAnsi="宋体"/>
          <w:highlight w:val="none"/>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highlight w:val="none"/>
        </w:rPr>
      </w:pPr>
      <w:r>
        <w:rPr>
          <w:rFonts w:hint="eastAsia" w:ascii="宋体" w:hAnsi="宋体"/>
          <w:highlight w:val="none"/>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highlight w:val="none"/>
        </w:rPr>
      </w:pPr>
      <w:r>
        <w:rPr>
          <w:rFonts w:hint="eastAsia" w:ascii="宋体" w:hAnsi="宋体"/>
          <w:b/>
          <w:highlight w:val="none"/>
        </w:rPr>
        <w:t>26.5其他约定</w:t>
      </w:r>
    </w:p>
    <w:p>
      <w:pPr>
        <w:tabs>
          <w:tab w:val="left" w:pos="420"/>
          <w:tab w:val="left" w:pos="980"/>
        </w:tabs>
        <w:spacing w:before="0" w:after="0" w:afterAutospacing="0"/>
        <w:ind w:left="0" w:right="0" w:firstLine="424" w:firstLineChars="202"/>
        <w:rPr>
          <w:rFonts w:ascii="宋体" w:hAnsi="宋体"/>
          <w:highlight w:val="none"/>
        </w:rPr>
      </w:pPr>
      <w:r>
        <w:rPr>
          <w:rFonts w:hint="eastAsia" w:ascii="宋体" w:hAnsi="宋体"/>
          <w:highlight w:val="none"/>
        </w:rPr>
        <w:t>26.5.1</w:t>
      </w:r>
      <w:r>
        <w:rPr>
          <w:rFonts w:ascii="宋体" w:hAnsi="宋体"/>
          <w:highlight w:val="none"/>
        </w:rPr>
        <w:t>如乙方破产，甲方有权可以在任意时间，以书面形式通知终止合同，且不必补偿</w:t>
      </w:r>
      <w:r>
        <w:rPr>
          <w:rFonts w:hint="eastAsia" w:ascii="宋体" w:hAnsi="宋体"/>
          <w:highlight w:val="none"/>
        </w:rPr>
        <w:t>乙方损失。</w:t>
      </w:r>
    </w:p>
    <w:p>
      <w:pPr>
        <w:tabs>
          <w:tab w:val="left" w:pos="420"/>
          <w:tab w:val="left" w:pos="980"/>
        </w:tabs>
        <w:spacing w:before="0" w:after="0" w:afterAutospacing="0"/>
        <w:ind w:left="0" w:right="0" w:firstLine="424" w:firstLineChars="202"/>
        <w:rPr>
          <w:rFonts w:ascii="宋体" w:hAnsi="宋体"/>
          <w:highlight w:val="none"/>
        </w:rPr>
      </w:pPr>
      <w:r>
        <w:rPr>
          <w:rFonts w:hint="eastAsia" w:ascii="宋体" w:hAnsi="宋体"/>
          <w:highlight w:val="none"/>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highlight w:val="none"/>
        </w:rPr>
      </w:pPr>
      <w:r>
        <w:rPr>
          <w:rFonts w:hint="eastAsia" w:ascii="宋体" w:hAnsi="宋体"/>
          <w:highlight w:val="none"/>
        </w:rPr>
        <w:t>26.5.5 按本合同条款26条之26</w:t>
      </w:r>
      <w:r>
        <w:rPr>
          <w:rFonts w:ascii="宋体" w:hAnsi="宋体"/>
          <w:highlight w:val="none"/>
        </w:rPr>
        <w:t>.</w:t>
      </w:r>
      <w:r>
        <w:rPr>
          <w:rFonts w:hint="eastAsia" w:ascii="宋体" w:hAnsi="宋体"/>
          <w:highlight w:val="none"/>
        </w:rPr>
        <w:t>2</w:t>
      </w:r>
      <w:r>
        <w:rPr>
          <w:rFonts w:ascii="宋体" w:hAnsi="宋体"/>
          <w:highlight w:val="none"/>
        </w:rPr>
        <w:t>.1</w:t>
      </w:r>
      <w:r>
        <w:rPr>
          <w:rFonts w:hint="eastAsia" w:ascii="宋体" w:hAnsi="宋体"/>
          <w:highlight w:val="none"/>
        </w:rPr>
        <w:t>、26</w:t>
      </w:r>
      <w:r>
        <w:rPr>
          <w:rFonts w:ascii="宋体" w:hAnsi="宋体"/>
          <w:highlight w:val="none"/>
        </w:rPr>
        <w:t>.</w:t>
      </w:r>
      <w:r>
        <w:rPr>
          <w:rFonts w:hint="eastAsia" w:ascii="宋体" w:hAnsi="宋体"/>
          <w:highlight w:val="none"/>
        </w:rPr>
        <w:t>2</w:t>
      </w:r>
      <w:r>
        <w:rPr>
          <w:rFonts w:ascii="宋体" w:hAnsi="宋体"/>
          <w:highlight w:val="none"/>
        </w:rPr>
        <w:t>.2</w:t>
      </w:r>
      <w:r>
        <w:rPr>
          <w:rFonts w:hint="eastAsia" w:ascii="宋体" w:hAnsi="宋体"/>
          <w:highlight w:val="none"/>
        </w:rPr>
        <w:t>终止合同之后，甲方应将乙方在终止合同日期前应得的所有金额向乙方支付。</w:t>
      </w:r>
    </w:p>
    <w:p>
      <w:pPr>
        <w:spacing w:before="0" w:after="0" w:afterAutospacing="0"/>
        <w:ind w:left="0" w:right="0" w:firstLine="420" w:firstLineChars="200"/>
        <w:rPr>
          <w:rFonts w:ascii="宋体" w:hAnsi="宋体"/>
          <w:highlight w:val="none"/>
        </w:rPr>
      </w:pPr>
      <w:r>
        <w:rPr>
          <w:rFonts w:hint="eastAsia" w:ascii="宋体" w:hAnsi="宋体"/>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highlight w:val="none"/>
        </w:rPr>
        <w:t>(</w:t>
      </w:r>
      <w:r>
        <w:rPr>
          <w:rFonts w:hint="eastAsia" w:ascii="宋体" w:hAnsi="宋体"/>
          <w:highlight w:val="none"/>
        </w:rPr>
        <w:t>若有</w:t>
      </w:r>
      <w:r>
        <w:rPr>
          <w:rFonts w:ascii="宋体" w:hAnsi="宋体"/>
          <w:highlight w:val="none"/>
        </w:rPr>
        <w:t>)</w:t>
      </w:r>
      <w:r>
        <w:rPr>
          <w:rFonts w:hint="eastAsia" w:ascii="宋体" w:hAnsi="宋体"/>
          <w:highlight w:val="none"/>
        </w:rPr>
        <w:t>。如果没有此类额外费用，甲方应向乙方支付应付给乙方的任何结存金额。</w:t>
      </w:r>
    </w:p>
    <w:p>
      <w:pPr>
        <w:spacing w:before="0" w:after="0" w:afterAutospacing="0"/>
        <w:ind w:left="0" w:right="0" w:firstLine="420" w:firstLineChars="200"/>
        <w:rPr>
          <w:rFonts w:ascii="宋体" w:hAnsi="宋体"/>
          <w:highlight w:val="none"/>
        </w:rPr>
      </w:pPr>
      <w:r>
        <w:rPr>
          <w:rFonts w:hint="eastAsia" w:ascii="宋体" w:hAnsi="宋体"/>
          <w:highlight w:val="none"/>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highlight w:val="none"/>
        </w:rPr>
      </w:pPr>
      <w:bookmarkStart w:id="1309" w:name="_Toc3251_WPSOffice_Level2"/>
      <w:r>
        <w:rPr>
          <w:rFonts w:hint="eastAsia" w:ascii="宋体" w:hAnsi="宋体"/>
          <w:b/>
          <w:highlight w:val="none"/>
        </w:rPr>
        <w:t>27.争端的解决</w:t>
      </w:r>
      <w:bookmarkEnd w:id="1309"/>
    </w:p>
    <w:p>
      <w:pPr>
        <w:pStyle w:val="62"/>
        <w:adjustRightInd/>
        <w:spacing w:before="0" w:after="0" w:line="360" w:lineRule="auto"/>
        <w:ind w:left="0" w:right="0" w:firstLine="420" w:firstLineChars="200"/>
        <w:rPr>
          <w:rFonts w:ascii="宋体" w:hAnsi="宋体"/>
          <w:sz w:val="21"/>
          <w:szCs w:val="21"/>
          <w:highlight w:val="none"/>
        </w:rPr>
      </w:pPr>
      <w:r>
        <w:rPr>
          <w:rFonts w:hint="eastAsia" w:ascii="宋体" w:hAnsi="宋体"/>
          <w:sz w:val="21"/>
          <w:szCs w:val="21"/>
          <w:highlight w:val="none"/>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highlight w:val="none"/>
        </w:rPr>
      </w:pPr>
      <w:r>
        <w:rPr>
          <w:rFonts w:hint="eastAsia" w:ascii="宋体" w:hAnsi="宋体"/>
          <w:highlight w:val="none"/>
        </w:rPr>
        <w:t>27.2除非各方另有约定，诉讼语言应为汉语。</w:t>
      </w:r>
    </w:p>
    <w:p>
      <w:pPr>
        <w:tabs>
          <w:tab w:val="left" w:pos="1020"/>
        </w:tabs>
        <w:spacing w:before="0" w:after="0" w:afterAutospacing="0"/>
        <w:ind w:left="420" w:right="0" w:firstLine="0"/>
        <w:rPr>
          <w:rFonts w:ascii="宋体" w:hAnsi="宋体"/>
          <w:highlight w:val="none"/>
        </w:rPr>
      </w:pPr>
      <w:r>
        <w:rPr>
          <w:rFonts w:hint="eastAsia" w:ascii="宋体" w:hAnsi="宋体"/>
          <w:highlight w:val="none"/>
        </w:rPr>
        <w:t>27.3法院判决应为最终裁决，对双方均具有约束力。</w:t>
      </w:r>
    </w:p>
    <w:p>
      <w:pPr>
        <w:tabs>
          <w:tab w:val="left" w:pos="1020"/>
        </w:tabs>
        <w:spacing w:before="0" w:after="0" w:afterAutospacing="0"/>
        <w:ind w:left="420" w:right="0" w:firstLine="0"/>
        <w:rPr>
          <w:rFonts w:ascii="宋体" w:hAnsi="宋体"/>
          <w:highlight w:val="none"/>
        </w:rPr>
      </w:pPr>
      <w:r>
        <w:rPr>
          <w:rFonts w:hint="eastAsia" w:ascii="宋体" w:hAnsi="宋体"/>
          <w:highlight w:val="none"/>
        </w:rPr>
        <w:t>27.4诉讼费应由败诉方负担。</w:t>
      </w:r>
    </w:p>
    <w:p>
      <w:pPr>
        <w:tabs>
          <w:tab w:val="left" w:pos="1020"/>
        </w:tabs>
        <w:spacing w:before="0" w:after="0" w:afterAutospacing="0"/>
        <w:ind w:left="420" w:right="0" w:firstLine="0"/>
        <w:rPr>
          <w:rFonts w:ascii="宋体" w:hAnsi="宋体"/>
          <w:highlight w:val="none"/>
        </w:rPr>
      </w:pPr>
      <w:r>
        <w:rPr>
          <w:rFonts w:hint="eastAsia" w:ascii="宋体" w:hAnsi="宋体"/>
          <w:highlight w:val="none"/>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highlight w:val="none"/>
        </w:rPr>
      </w:pPr>
      <w:bookmarkStart w:id="1310" w:name="_Toc23260_WPSOffice_Level2"/>
      <w:r>
        <w:rPr>
          <w:rFonts w:hint="eastAsia" w:ascii="宋体" w:hAnsi="宋体"/>
          <w:b/>
          <w:highlight w:val="none"/>
        </w:rPr>
        <w:t>28.语言</w:t>
      </w:r>
      <w:bookmarkEnd w:id="1310"/>
    </w:p>
    <w:p>
      <w:pPr>
        <w:tabs>
          <w:tab w:val="left" w:pos="1020"/>
        </w:tabs>
        <w:spacing w:before="0" w:after="0" w:afterAutospacing="0"/>
        <w:ind w:left="420" w:right="0" w:firstLine="0"/>
        <w:rPr>
          <w:rFonts w:ascii="宋体" w:hAnsi="宋体"/>
          <w:highlight w:val="none"/>
        </w:rPr>
      </w:pPr>
      <w:r>
        <w:rPr>
          <w:rFonts w:hint="eastAsia" w:ascii="宋体" w:hAnsi="宋体"/>
          <w:highlight w:val="none"/>
        </w:rPr>
        <w:t>28.1本合同语言为中文。</w:t>
      </w:r>
    </w:p>
    <w:p>
      <w:pPr>
        <w:spacing w:before="0" w:after="0" w:afterAutospacing="0"/>
        <w:ind w:left="0" w:right="0" w:firstLine="420" w:firstLineChars="200"/>
        <w:rPr>
          <w:rFonts w:ascii="宋体" w:hAnsi="宋体"/>
          <w:highlight w:val="none"/>
        </w:rPr>
      </w:pPr>
      <w:r>
        <w:rPr>
          <w:rFonts w:hint="eastAsia" w:ascii="宋体" w:hAnsi="宋体"/>
          <w:highlight w:val="none"/>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highlight w:val="none"/>
        </w:rPr>
      </w:pPr>
      <w:r>
        <w:rPr>
          <w:rFonts w:hint="eastAsia" w:ascii="宋体" w:hAnsi="宋体"/>
          <w:highlight w:val="none"/>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highlight w:val="none"/>
        </w:rPr>
      </w:pPr>
      <w:bookmarkStart w:id="1311" w:name="_Toc14677_WPSOffice_Level2"/>
      <w:r>
        <w:rPr>
          <w:rFonts w:hint="eastAsia" w:ascii="宋体" w:hAnsi="宋体"/>
          <w:b/>
          <w:highlight w:val="none"/>
        </w:rPr>
        <w:t>29.适用法律</w:t>
      </w:r>
      <w:bookmarkEnd w:id="1311"/>
    </w:p>
    <w:p>
      <w:pPr>
        <w:tabs>
          <w:tab w:val="left" w:pos="820"/>
        </w:tabs>
        <w:adjustRightInd w:val="0"/>
        <w:spacing w:before="0" w:after="0" w:afterAutospacing="0"/>
        <w:ind w:left="0" w:right="0" w:firstLine="420" w:firstLineChars="200"/>
        <w:rPr>
          <w:rFonts w:ascii="宋体" w:hAnsi="宋体"/>
          <w:highlight w:val="none"/>
        </w:rPr>
      </w:pPr>
      <w:r>
        <w:rPr>
          <w:rFonts w:hint="eastAsia" w:ascii="宋体" w:hAnsi="宋体"/>
          <w:highlight w:val="none"/>
        </w:rPr>
        <w:t>本合同适用中华人民共和国现行法律。</w:t>
      </w:r>
    </w:p>
    <w:p>
      <w:pPr>
        <w:tabs>
          <w:tab w:val="left" w:pos="640"/>
          <w:tab w:val="left" w:pos="1843"/>
        </w:tabs>
        <w:spacing w:before="0" w:after="0" w:afterAutospacing="0"/>
        <w:ind w:left="420" w:right="0" w:firstLine="0"/>
        <w:outlineLvl w:val="2"/>
        <w:rPr>
          <w:rFonts w:ascii="宋体" w:hAnsi="宋体"/>
          <w:b/>
          <w:highlight w:val="none"/>
        </w:rPr>
      </w:pPr>
      <w:bookmarkStart w:id="1312" w:name="_Toc30272_WPSOffice_Level2"/>
      <w:r>
        <w:rPr>
          <w:rFonts w:hint="eastAsia" w:ascii="宋体" w:hAnsi="宋体"/>
          <w:b/>
          <w:highlight w:val="none"/>
        </w:rPr>
        <w:t>30.其它</w:t>
      </w:r>
      <w:bookmarkEnd w:id="1312"/>
    </w:p>
    <w:p>
      <w:pPr>
        <w:spacing w:before="0" w:after="0" w:afterAutospacing="0"/>
        <w:ind w:left="0" w:right="0" w:firstLine="420" w:firstLineChars="200"/>
        <w:rPr>
          <w:rFonts w:ascii="宋体" w:hAnsi="宋体"/>
          <w:highlight w:val="none"/>
        </w:rPr>
      </w:pPr>
      <w:r>
        <w:rPr>
          <w:rFonts w:hint="eastAsia" w:ascii="宋体" w:hAnsi="宋体"/>
          <w:highlight w:val="none"/>
        </w:rPr>
        <w:t>30.1乙方确认并认知：</w:t>
      </w:r>
    </w:p>
    <w:p>
      <w:pPr>
        <w:spacing w:before="0" w:after="0" w:afterAutospacing="0"/>
        <w:ind w:left="0" w:right="0" w:firstLine="420" w:firstLineChars="200"/>
        <w:rPr>
          <w:rFonts w:ascii="宋体" w:hAnsi="宋体"/>
          <w:highlight w:val="none"/>
        </w:rPr>
      </w:pPr>
      <w:r>
        <w:rPr>
          <w:rFonts w:hint="eastAsia" w:ascii="宋体" w:hAnsi="宋体"/>
          <w:highlight w:val="none"/>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highlight w:val="none"/>
        </w:rPr>
      </w:pPr>
      <w:r>
        <w:rPr>
          <w:rFonts w:hint="eastAsia" w:ascii="宋体" w:hAnsi="宋体"/>
          <w:highlight w:val="none"/>
        </w:rPr>
        <w:t>30.1.2其同意该等风险和义务，并未受到甲方方面的任何胁迫或压力；</w:t>
      </w:r>
    </w:p>
    <w:p>
      <w:pPr>
        <w:spacing w:before="0" w:after="0" w:afterAutospacing="0"/>
        <w:ind w:left="0" w:right="0" w:firstLine="420" w:firstLineChars="200"/>
        <w:rPr>
          <w:rFonts w:ascii="宋体" w:hAnsi="宋体"/>
          <w:highlight w:val="none"/>
        </w:rPr>
      </w:pPr>
      <w:r>
        <w:rPr>
          <w:rFonts w:hint="eastAsia" w:ascii="宋体" w:hAnsi="宋体"/>
          <w:highlight w:val="none"/>
        </w:rPr>
        <w:t>30.1.3其接受该等风险和义务，是甲方愿意和能够按合同约定的价格订立合同的先决条件；</w:t>
      </w:r>
    </w:p>
    <w:p>
      <w:pPr>
        <w:spacing w:before="0" w:after="0" w:afterAutospacing="0"/>
        <w:ind w:left="0" w:right="0" w:firstLine="420" w:firstLineChars="200"/>
        <w:rPr>
          <w:rFonts w:ascii="宋体" w:hAnsi="宋体"/>
          <w:highlight w:val="none"/>
        </w:rPr>
      </w:pPr>
      <w:r>
        <w:rPr>
          <w:rFonts w:hint="eastAsia" w:ascii="宋体" w:hAnsi="宋体"/>
          <w:highlight w:val="none"/>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highlight w:val="none"/>
        </w:rPr>
      </w:pPr>
      <w:r>
        <w:rPr>
          <w:rFonts w:hint="eastAsia" w:ascii="宋体" w:hAnsi="宋体"/>
          <w:highlight w:val="none"/>
        </w:rPr>
        <w:t>30.2合同附件的规定全部都是合同条款中相关内容的补充和/或再描述。</w:t>
      </w:r>
    </w:p>
    <w:p>
      <w:pPr>
        <w:spacing w:before="0" w:after="0" w:afterAutospacing="0"/>
        <w:ind w:left="0" w:right="0" w:firstLine="420" w:firstLineChars="200"/>
        <w:rPr>
          <w:rFonts w:ascii="宋体" w:hAnsi="宋体"/>
          <w:highlight w:val="none"/>
        </w:rPr>
      </w:pPr>
      <w:r>
        <w:rPr>
          <w:rFonts w:hint="eastAsia" w:ascii="宋体" w:hAnsi="宋体"/>
          <w:highlight w:val="none"/>
        </w:rPr>
        <w:t>30.3合同执行的文档管理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highlight w:val="none"/>
        </w:rPr>
      </w:pPr>
      <w:bookmarkStart w:id="1313" w:name="_Toc23785_WPSOffice_Level2"/>
      <w:r>
        <w:rPr>
          <w:rFonts w:hint="eastAsia" w:ascii="宋体" w:hAnsi="宋体"/>
          <w:b/>
          <w:highlight w:val="none"/>
        </w:rPr>
        <w:t>31.廉洁条款特别约定</w:t>
      </w:r>
      <w:bookmarkEnd w:id="1313"/>
    </w:p>
    <w:p>
      <w:pPr>
        <w:spacing w:before="0" w:after="0" w:afterAutospacing="0"/>
        <w:ind w:left="0" w:right="0" w:firstLine="420" w:firstLineChars="200"/>
        <w:rPr>
          <w:rFonts w:ascii="宋体" w:hAnsi="宋体"/>
          <w:highlight w:val="none"/>
        </w:rPr>
      </w:pPr>
      <w:r>
        <w:rPr>
          <w:rFonts w:hint="eastAsia" w:ascii="宋体" w:hAnsi="宋体"/>
          <w:highlight w:val="none"/>
        </w:rPr>
        <w:t>31.1严格遵守国家有关法律法规以及廉洁条款的有关规定。</w:t>
      </w:r>
    </w:p>
    <w:p>
      <w:pPr>
        <w:spacing w:before="0" w:after="0" w:afterAutospacing="0"/>
        <w:ind w:left="0" w:right="0" w:firstLine="420" w:firstLineChars="200"/>
        <w:rPr>
          <w:rFonts w:ascii="宋体" w:hAnsi="宋体"/>
          <w:highlight w:val="none"/>
        </w:rPr>
      </w:pPr>
      <w:r>
        <w:rPr>
          <w:rFonts w:hint="eastAsia" w:ascii="宋体" w:hAnsi="宋体"/>
          <w:highlight w:val="none"/>
        </w:rPr>
        <w:t>31.2严格遵守商业道德和市场规则，共同营造公平公正的商业交易环境。</w:t>
      </w:r>
    </w:p>
    <w:p>
      <w:pPr>
        <w:spacing w:before="0" w:after="0" w:afterAutospacing="0"/>
        <w:ind w:left="0" w:right="0" w:firstLine="420" w:firstLineChars="200"/>
        <w:rPr>
          <w:rFonts w:ascii="宋体" w:hAnsi="宋体"/>
          <w:highlight w:val="none"/>
        </w:rPr>
      </w:pPr>
      <w:r>
        <w:rPr>
          <w:rFonts w:hint="eastAsia" w:ascii="宋体" w:hAnsi="宋体"/>
          <w:highlight w:val="none"/>
        </w:rPr>
        <w:t>31.3不向甲方及其人员提供回扣、礼金、有价证券、支付凭证、贵重物品等。</w:t>
      </w:r>
    </w:p>
    <w:p>
      <w:pPr>
        <w:spacing w:before="0" w:after="0" w:afterAutospacing="0"/>
        <w:ind w:left="0" w:right="0" w:firstLine="420" w:firstLineChars="200"/>
        <w:rPr>
          <w:rFonts w:ascii="宋体" w:hAnsi="宋体"/>
          <w:highlight w:val="none"/>
        </w:rPr>
      </w:pPr>
      <w:r>
        <w:rPr>
          <w:rFonts w:hint="eastAsia" w:ascii="宋体" w:hAnsi="宋体"/>
          <w:highlight w:val="none"/>
        </w:rPr>
        <w:t>31.4不为甲方及其人员报销应由贵公司或个人支付的费用。</w:t>
      </w:r>
    </w:p>
    <w:p>
      <w:pPr>
        <w:spacing w:before="0" w:after="0" w:afterAutospacing="0"/>
        <w:ind w:left="0" w:right="0" w:firstLine="420" w:firstLineChars="200"/>
        <w:rPr>
          <w:rFonts w:ascii="宋体" w:hAnsi="宋体"/>
          <w:highlight w:val="none"/>
        </w:rPr>
      </w:pPr>
      <w:r>
        <w:rPr>
          <w:rFonts w:hint="eastAsia" w:ascii="宋体" w:hAnsi="宋体"/>
          <w:highlight w:val="none"/>
        </w:rPr>
        <w:t>31.5不为甲方人员投资入股，个人借款或买卖股票、债券等提供方便。</w:t>
      </w:r>
    </w:p>
    <w:p>
      <w:pPr>
        <w:spacing w:before="0" w:after="0" w:afterAutospacing="0"/>
        <w:ind w:left="0" w:right="0" w:firstLine="420" w:firstLineChars="200"/>
        <w:rPr>
          <w:rFonts w:ascii="宋体" w:hAnsi="宋体"/>
          <w:highlight w:val="none"/>
        </w:rPr>
      </w:pPr>
      <w:r>
        <w:rPr>
          <w:rFonts w:hint="eastAsia" w:ascii="宋体" w:hAnsi="宋体"/>
          <w:highlight w:val="none"/>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highlight w:val="none"/>
        </w:rPr>
      </w:pPr>
      <w:r>
        <w:rPr>
          <w:rFonts w:hint="eastAsia" w:ascii="宋体" w:hAnsi="宋体"/>
          <w:highlight w:val="none"/>
        </w:rPr>
        <w:t>31.7不为甲方人员安排的有可能影响履行合同的宴请、健身、娱乐等活动。</w:t>
      </w:r>
    </w:p>
    <w:p>
      <w:pPr>
        <w:spacing w:before="0" w:after="0" w:afterAutospacing="0"/>
        <w:ind w:left="0" w:right="0" w:firstLine="420" w:firstLineChars="200"/>
        <w:rPr>
          <w:rFonts w:ascii="宋体" w:hAnsi="宋体"/>
          <w:highlight w:val="none"/>
        </w:rPr>
      </w:pPr>
      <w:r>
        <w:rPr>
          <w:rFonts w:hint="eastAsia" w:ascii="宋体" w:hAnsi="宋体"/>
          <w:highlight w:val="none"/>
        </w:rPr>
        <w:t>31.8不为甲方及其人员购置或提供通讯工具、交通工具和高档办公用品。</w:t>
      </w:r>
    </w:p>
    <w:p>
      <w:pPr>
        <w:spacing w:before="0" w:after="0" w:afterAutospacing="0"/>
        <w:ind w:left="0" w:right="0" w:firstLine="420" w:firstLineChars="200"/>
        <w:rPr>
          <w:rFonts w:ascii="宋体" w:hAnsi="宋体"/>
          <w:highlight w:val="none"/>
        </w:rPr>
      </w:pPr>
      <w:r>
        <w:rPr>
          <w:rFonts w:hint="eastAsia" w:ascii="宋体" w:hAnsi="宋体"/>
          <w:highlight w:val="none"/>
        </w:rPr>
        <w:t>31.9不为甲方人员的配偶、子女及其他人亲属谋取不正当利益提供方便。</w:t>
      </w:r>
    </w:p>
    <w:p>
      <w:pPr>
        <w:spacing w:before="0" w:after="0" w:afterAutospacing="0"/>
        <w:ind w:left="0" w:right="0" w:firstLine="420" w:firstLineChars="200"/>
        <w:rPr>
          <w:rFonts w:ascii="宋体" w:hAnsi="宋体"/>
          <w:highlight w:val="none"/>
        </w:rPr>
      </w:pPr>
      <w:r>
        <w:rPr>
          <w:rFonts w:hint="eastAsia" w:ascii="宋体" w:hAnsi="宋体"/>
          <w:highlight w:val="none"/>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highlight w:val="none"/>
        </w:rPr>
      </w:pPr>
      <w:r>
        <w:rPr>
          <w:rFonts w:hint="eastAsia" w:ascii="宋体" w:hAnsi="宋体"/>
          <w:highlight w:val="none"/>
        </w:rPr>
        <w:t>31.11甲方对涉嫌不廉洁的商业行为进行调查时，乙方应配合甲方提供证据、作证的义务。</w:t>
      </w:r>
    </w:p>
    <w:p>
      <w:pPr>
        <w:spacing w:before="0" w:after="0" w:afterAutospacing="0"/>
        <w:ind w:left="0" w:right="0" w:firstLine="420" w:firstLineChars="200"/>
        <w:rPr>
          <w:rFonts w:ascii="宋体" w:hAnsi="宋体"/>
          <w:highlight w:val="none"/>
        </w:rPr>
      </w:pPr>
      <w:r>
        <w:rPr>
          <w:rFonts w:hint="eastAsia" w:ascii="宋体" w:hAnsi="宋体"/>
          <w:highlight w:val="none"/>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highlight w:val="none"/>
        </w:rPr>
      </w:pPr>
      <w:r>
        <w:rPr>
          <w:rFonts w:hint="eastAsia" w:ascii="宋体" w:hAnsi="宋体"/>
          <w:highlight w:val="none"/>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highlight w:val="none"/>
        </w:rPr>
      </w:pPr>
      <w:bookmarkStart w:id="1314" w:name="_Toc7517_WPSOffice_Level2"/>
      <w:r>
        <w:rPr>
          <w:rFonts w:hint="eastAsia" w:ascii="宋体" w:hAnsi="宋体"/>
          <w:b/>
          <w:highlight w:val="none"/>
        </w:rPr>
        <w:t>32.合同生效和签约地</w:t>
      </w:r>
      <w:bookmarkEnd w:id="1314"/>
    </w:p>
    <w:p>
      <w:pPr>
        <w:spacing w:before="0" w:after="0" w:afterAutospacing="0"/>
        <w:ind w:left="0" w:right="0" w:firstLine="420" w:firstLineChars="200"/>
        <w:rPr>
          <w:rFonts w:ascii="宋体" w:hAnsi="宋体"/>
          <w:highlight w:val="none"/>
        </w:rPr>
      </w:pPr>
      <w:r>
        <w:rPr>
          <w:rFonts w:hint="eastAsia" w:ascii="宋体" w:hAnsi="宋体"/>
          <w:highlight w:val="none"/>
        </w:rPr>
        <w:t>32.1本合同生效的时间以双方签署的协议书上的最后日期为准。</w:t>
      </w:r>
    </w:p>
    <w:p>
      <w:pPr>
        <w:spacing w:before="0" w:after="0" w:afterAutospacing="0"/>
        <w:ind w:left="0" w:right="0" w:firstLine="420" w:firstLineChars="200"/>
        <w:rPr>
          <w:rFonts w:ascii="宋体" w:hAnsi="宋体"/>
          <w:highlight w:val="none"/>
        </w:rPr>
      </w:pPr>
      <w:r>
        <w:rPr>
          <w:rFonts w:hint="eastAsia" w:ascii="宋体" w:hAnsi="宋体"/>
          <w:highlight w:val="none"/>
        </w:rPr>
        <w:t>32.2本合同签约地为中华人民共和国广西壮族自治区南宁市青秀区。</w:t>
      </w:r>
    </w:p>
    <w:p>
      <w:pPr>
        <w:spacing w:before="0" w:after="0" w:afterAutospacing="0"/>
        <w:ind w:left="0" w:right="0" w:firstLine="420" w:firstLineChars="200"/>
        <w:rPr>
          <w:rFonts w:hint="eastAsia" w:ascii="宋体" w:hAnsi="宋体"/>
          <w:highlight w:val="none"/>
        </w:rPr>
      </w:pPr>
      <w:r>
        <w:rPr>
          <w:rFonts w:hint="eastAsia" w:ascii="宋体" w:hAnsi="宋体"/>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15"/>
        <w:rPr>
          <w:rFonts w:hint="eastAsia" w:ascii="宋体" w:hAnsi="宋体"/>
          <w:highlight w:val="none"/>
        </w:rPr>
      </w:pPr>
    </w:p>
    <w:p>
      <w:pPr>
        <w:pStyle w:val="62"/>
        <w:pageBreakBefore/>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5"/>
        <w:spacing w:before="40" w:after="40" w:line="240" w:lineRule="auto"/>
        <w:jc w:val="center"/>
        <w:rPr>
          <w:rFonts w:ascii="Times New Roman" w:hAnsi="Times New Roman" w:eastAsia="宋体"/>
          <w:highlight w:val="none"/>
        </w:rPr>
      </w:pPr>
      <w:bookmarkStart w:id="1315" w:name="_Toc27182_WPSOffice_Level1"/>
      <w:bookmarkStart w:id="1316" w:name="_Toc101965693"/>
      <w:bookmarkStart w:id="1317" w:name="_Toc8833"/>
      <w:bookmarkStart w:id="1318" w:name="_Toc92268646"/>
      <w:r>
        <w:rPr>
          <w:rFonts w:ascii="Times New Roman" w:hAnsi="Times New Roman" w:eastAsia="宋体"/>
          <w:highlight w:val="none"/>
        </w:rPr>
        <w:t>第</w:t>
      </w:r>
      <w:r>
        <w:rPr>
          <w:rFonts w:hint="eastAsia" w:ascii="Times New Roman" w:hAnsi="Times New Roman" w:eastAsia="宋体"/>
          <w:highlight w:val="none"/>
        </w:rPr>
        <w:t>五</w:t>
      </w:r>
      <w:r>
        <w:rPr>
          <w:rFonts w:ascii="Times New Roman" w:hAnsi="Times New Roman" w:eastAsia="宋体"/>
          <w:highlight w:val="none"/>
        </w:rPr>
        <w:t>部分</w:t>
      </w:r>
      <w:r>
        <w:rPr>
          <w:rFonts w:hint="eastAsia" w:ascii="Times New Roman" w:hAnsi="Times New Roman" w:eastAsia="宋体"/>
          <w:highlight w:val="none"/>
        </w:rPr>
        <w:t xml:space="preserve"> 技术规格书</w:t>
      </w:r>
      <w:bookmarkEnd w:id="1315"/>
      <w:bookmarkEnd w:id="1316"/>
      <w:bookmarkEnd w:id="1317"/>
      <w:bookmarkEnd w:id="1318"/>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rPr>
          <w:rFonts w:hint="eastAsia" w:ascii="宋体" w:hAnsi="宋体"/>
          <w:highlight w:val="none"/>
        </w:rPr>
      </w:pPr>
      <w:r>
        <w:rPr>
          <w:rFonts w:hint="eastAsia" w:ascii="宋体" w:hAnsi="宋体"/>
          <w:highlight w:val="none"/>
        </w:rPr>
        <w:br w:type="page"/>
      </w:r>
    </w:p>
    <w:p>
      <w:pPr>
        <w:pStyle w:val="5"/>
        <w:spacing w:before="40" w:after="40" w:afterAutospacing="0" w:line="240" w:lineRule="auto"/>
        <w:ind w:left="422" w:right="0" w:firstLine="0"/>
        <w:jc w:val="center"/>
        <w:outlineLvl w:val="1"/>
        <w:rPr>
          <w:rFonts w:hint="default" w:ascii="Times New Roman" w:hAnsi="Times New Roman" w:eastAsia="宋体"/>
          <w:b/>
          <w:highlight w:val="none"/>
        </w:rPr>
      </w:pPr>
      <w:bookmarkStart w:id="1319" w:name="_Toc25584_WPSOffice_Level1"/>
      <w:bookmarkStart w:id="1320" w:name="_Toc24684"/>
      <w:r>
        <w:rPr>
          <w:rFonts w:hint="eastAsia" w:ascii="Times New Roman" w:hAnsi="Times New Roman" w:eastAsia="宋体"/>
          <w:b/>
          <w:highlight w:val="none"/>
          <w:lang w:val="en-US" w:eastAsia="zh-CN"/>
        </w:rPr>
        <w:t xml:space="preserve">第六部分 </w:t>
      </w:r>
      <w:r>
        <w:rPr>
          <w:rFonts w:hint="default" w:ascii="Times New Roman" w:hAnsi="Times New Roman" w:eastAsia="宋体"/>
          <w:b/>
          <w:color w:val="auto"/>
          <w:highlight w:val="none"/>
        </w:rPr>
        <w:t>合同附件及格式</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319"/>
      <w:bookmarkEnd w:id="1320"/>
    </w:p>
    <w:p>
      <w:pPr>
        <w:rPr>
          <w:rFonts w:hint="eastAsia"/>
          <w:highlight w:val="none"/>
        </w:rPr>
      </w:pPr>
      <w:bookmarkStart w:id="1321" w:name="_Toc92268648"/>
      <w:bookmarkStart w:id="1322" w:name="_Toc22695_WPSOffice_Level2"/>
    </w:p>
    <w:p>
      <w:pPr>
        <w:pStyle w:val="6"/>
        <w:rPr>
          <w:rFonts w:ascii="宋体" w:hAnsi="宋体"/>
          <w:b w:val="0"/>
          <w:highlight w:val="none"/>
        </w:rPr>
      </w:pPr>
      <w:r>
        <w:rPr>
          <w:rFonts w:hint="eastAsia" w:ascii="宋体" w:hAnsi="宋体"/>
          <w:b w:val="0"/>
          <w:highlight w:val="none"/>
        </w:rPr>
        <w:t>1.履约保证金缴纳凭证（履约保函格式附后）</w:t>
      </w:r>
      <w:bookmarkEnd w:id="1321"/>
      <w:bookmarkEnd w:id="1322"/>
    </w:p>
    <w:p>
      <w:pPr>
        <w:pStyle w:val="6"/>
        <w:rPr>
          <w:rFonts w:ascii="宋体" w:hAnsi="宋体"/>
          <w:b w:val="0"/>
          <w:highlight w:val="none"/>
        </w:rPr>
      </w:pPr>
      <w:bookmarkStart w:id="1323" w:name="_Toc92268649"/>
      <w:bookmarkStart w:id="1324" w:name="_Toc25351_WPSOffice_Level2"/>
      <w:r>
        <w:rPr>
          <w:rFonts w:hint="eastAsia" w:ascii="宋体" w:hAnsi="宋体"/>
          <w:b w:val="0"/>
          <w:highlight w:val="none"/>
        </w:rPr>
        <w:t>2.</w:t>
      </w:r>
      <w:bookmarkEnd w:id="1323"/>
      <w:r>
        <w:rPr>
          <w:rFonts w:hint="eastAsia" w:ascii="宋体" w:hAnsi="宋体"/>
          <w:b w:val="0"/>
          <w:highlight w:val="none"/>
        </w:rPr>
        <w:t>乙方营业执照或资质证书等（如有）</w:t>
      </w:r>
      <w:bookmarkEnd w:id="1324"/>
    </w:p>
    <w:p>
      <w:pPr>
        <w:pStyle w:val="6"/>
        <w:rPr>
          <w:rFonts w:ascii="宋体" w:hAnsi="宋体"/>
          <w:b w:val="0"/>
          <w:highlight w:val="none"/>
        </w:rPr>
      </w:pPr>
      <w:bookmarkStart w:id="1325" w:name="_Toc14500_WPSOffice_Level2"/>
      <w:r>
        <w:rPr>
          <w:rFonts w:hint="eastAsia" w:ascii="宋体" w:hAnsi="宋体"/>
          <w:b w:val="0"/>
          <w:highlight w:val="none"/>
        </w:rPr>
        <w:t>3.乙方法人授权委托书（如有）</w:t>
      </w:r>
      <w:bookmarkEnd w:id="1325"/>
    </w:p>
    <w:p>
      <w:pPr>
        <w:pStyle w:val="6"/>
        <w:rPr>
          <w:rFonts w:ascii="宋体" w:hAnsi="宋体"/>
          <w:b w:val="0"/>
          <w:highlight w:val="none"/>
        </w:rPr>
      </w:pPr>
      <w:bookmarkStart w:id="1326" w:name="_Toc7492_WPSOffice_Level2"/>
      <w:r>
        <w:rPr>
          <w:rFonts w:hint="eastAsia" w:ascii="宋体" w:hAnsi="宋体"/>
          <w:b w:val="0"/>
          <w:highlight w:val="none"/>
        </w:rPr>
        <w:t>4.原厂授权证明（如有）</w:t>
      </w:r>
      <w:bookmarkEnd w:id="1326"/>
    </w:p>
    <w:p>
      <w:pPr>
        <w:pStyle w:val="6"/>
        <w:rPr>
          <w:rFonts w:ascii="宋体" w:hAnsi="宋体"/>
          <w:b w:val="0"/>
          <w:highlight w:val="none"/>
        </w:rPr>
      </w:pPr>
      <w:bookmarkStart w:id="1327" w:name="_Toc92268650"/>
      <w:bookmarkStart w:id="1328" w:name="_Toc13292_WPSOffice_Level2"/>
      <w:r>
        <w:rPr>
          <w:rFonts w:hint="eastAsia" w:ascii="宋体" w:hAnsi="宋体"/>
          <w:b w:val="0"/>
          <w:highlight w:val="none"/>
        </w:rPr>
        <w:t>5.</w:t>
      </w:r>
      <w:bookmarkEnd w:id="1327"/>
      <w:r>
        <w:rPr>
          <w:rFonts w:hint="eastAsia" w:ascii="宋体" w:hAnsi="宋体"/>
          <w:b w:val="0"/>
          <w:highlight w:val="none"/>
        </w:rPr>
        <w:t>供货证明格式（如有）</w:t>
      </w:r>
      <w:bookmarkEnd w:id="1328"/>
    </w:p>
    <w:p>
      <w:pPr>
        <w:pStyle w:val="6"/>
        <w:rPr>
          <w:rFonts w:ascii="宋体" w:hAnsi="宋体"/>
          <w:b w:val="0"/>
          <w:highlight w:val="none"/>
        </w:rPr>
      </w:pPr>
      <w:bookmarkStart w:id="1329" w:name="_Toc92268651"/>
      <w:bookmarkStart w:id="1330" w:name="_Toc912_WPSOffice_Level2"/>
      <w:r>
        <w:rPr>
          <w:rFonts w:hint="eastAsia" w:ascii="宋体" w:hAnsi="宋体"/>
          <w:b w:val="0"/>
          <w:highlight w:val="none"/>
        </w:rPr>
        <w:t>6.</w:t>
      </w:r>
      <w:bookmarkEnd w:id="1329"/>
      <w:r>
        <w:rPr>
          <w:rFonts w:hint="eastAsia" w:ascii="宋体" w:hAnsi="宋体"/>
          <w:b w:val="0"/>
          <w:highlight w:val="none"/>
        </w:rPr>
        <w:t>交货通知格式（如有）</w:t>
      </w:r>
      <w:bookmarkEnd w:id="1330"/>
    </w:p>
    <w:p>
      <w:pPr>
        <w:pStyle w:val="6"/>
        <w:rPr>
          <w:rFonts w:ascii="宋体" w:hAnsi="宋体"/>
          <w:b w:val="0"/>
          <w:highlight w:val="none"/>
        </w:rPr>
      </w:pPr>
      <w:bookmarkStart w:id="1331" w:name="_Toc30271_WPSOffice_Level2"/>
      <w:r>
        <w:rPr>
          <w:rFonts w:hint="eastAsia" w:ascii="宋体" w:hAnsi="宋体"/>
          <w:b w:val="0"/>
          <w:highlight w:val="none"/>
        </w:rPr>
        <w:t>7.送货单格式（如有）</w:t>
      </w:r>
      <w:bookmarkEnd w:id="1331"/>
    </w:p>
    <w:p>
      <w:pPr>
        <w:pStyle w:val="62"/>
        <w:adjustRightInd/>
        <w:spacing w:before="0" w:after="0" w:line="360" w:lineRule="auto"/>
        <w:ind w:left="0" w:right="0"/>
        <w:rPr>
          <w:rFonts w:ascii="宋体" w:hAnsi="宋体"/>
          <w:sz w:val="21"/>
          <w:szCs w:val="21"/>
          <w:highlight w:val="none"/>
        </w:rPr>
      </w:pPr>
    </w:p>
    <w:p>
      <w:pPr>
        <w:pageBreakBefore/>
        <w:tabs>
          <w:tab w:val="left" w:pos="1134"/>
          <w:tab w:val="left" w:pos="8364"/>
        </w:tabs>
        <w:spacing w:before="0" w:after="0" w:afterAutospacing="0"/>
        <w:ind w:left="0" w:right="-57" w:hanging="11"/>
        <w:rPr>
          <w:rFonts w:ascii="宋体" w:hAnsi="宋体"/>
          <w:sz w:val="24"/>
          <w:szCs w:val="24"/>
          <w:highlight w:val="none"/>
        </w:rPr>
      </w:pPr>
      <w:bookmarkStart w:id="1332" w:name="_Toc25617_WPSOffice_Level2"/>
      <w:r>
        <w:rPr>
          <w:rFonts w:hint="eastAsia" w:ascii="宋体" w:hAnsi="宋体"/>
          <w:b/>
          <w:sz w:val="24"/>
          <w:szCs w:val="24"/>
          <w:highlight w:val="none"/>
        </w:rPr>
        <w:t>附件6.1 银行</w:t>
      </w:r>
      <w:r>
        <w:rPr>
          <w:rFonts w:ascii="宋体" w:hAnsi="宋体"/>
          <w:b/>
          <w:sz w:val="24"/>
          <w:szCs w:val="24"/>
          <w:highlight w:val="none"/>
        </w:rPr>
        <w:t>保函</w:t>
      </w:r>
      <w:r>
        <w:rPr>
          <w:rFonts w:hint="eastAsia" w:ascii="宋体" w:hAnsi="宋体"/>
          <w:b/>
          <w:sz w:val="24"/>
          <w:szCs w:val="24"/>
          <w:highlight w:val="none"/>
        </w:rPr>
        <w:t>格式</w:t>
      </w:r>
      <w:bookmarkEnd w:id="1332"/>
    </w:p>
    <w:p>
      <w:pPr>
        <w:spacing w:before="0" w:after="0" w:afterAutospacing="0"/>
        <w:ind w:right="-57" w:firstLine="0"/>
        <w:jc w:val="center"/>
        <w:rPr>
          <w:rFonts w:ascii="宋体" w:hAnsi="宋体"/>
          <w:b/>
          <w:sz w:val="28"/>
          <w:szCs w:val="28"/>
          <w:highlight w:val="none"/>
        </w:rPr>
      </w:pPr>
      <w:bookmarkStart w:id="1333" w:name="_Toc18669_WPSOffice_Level2"/>
      <w:r>
        <w:rPr>
          <w:rFonts w:hint="eastAsia" w:ascii="宋体" w:hAnsi="宋体"/>
          <w:b/>
          <w:sz w:val="24"/>
          <w:szCs w:val="24"/>
          <w:highlight w:val="none"/>
        </w:rPr>
        <w:t>银行</w:t>
      </w:r>
      <w:r>
        <w:rPr>
          <w:rFonts w:ascii="宋体" w:hAnsi="宋体"/>
          <w:b/>
          <w:sz w:val="24"/>
          <w:szCs w:val="24"/>
          <w:highlight w:val="none"/>
        </w:rPr>
        <w:t>保函</w:t>
      </w:r>
      <w:r>
        <w:rPr>
          <w:rFonts w:hint="eastAsia" w:ascii="宋体" w:hAnsi="宋体"/>
          <w:b/>
          <w:sz w:val="24"/>
          <w:szCs w:val="24"/>
          <w:highlight w:val="none"/>
        </w:rPr>
        <w:t>（中标后提供）</w:t>
      </w:r>
      <w:bookmarkEnd w:id="1333"/>
    </w:p>
    <w:p>
      <w:pPr>
        <w:autoSpaceDE w:val="0"/>
        <w:autoSpaceDN w:val="0"/>
        <w:ind w:right="-57" w:firstLine="0"/>
        <w:jc w:val="left"/>
        <w:rPr>
          <w:rFonts w:ascii="宋体" w:hAnsi="宋体"/>
          <w:highlight w:val="none"/>
        </w:rPr>
      </w:pPr>
      <w:r>
        <w:rPr>
          <w:rFonts w:hint="eastAsia" w:ascii="宋体" w:hAnsi="宋体"/>
          <w:highlight w:val="none"/>
        </w:rPr>
        <w:t>保函编号：</w:t>
      </w:r>
    </w:p>
    <w:p>
      <w:pPr>
        <w:autoSpaceDE w:val="0"/>
        <w:autoSpaceDN w:val="0"/>
        <w:ind w:right="-57" w:firstLine="0"/>
        <w:jc w:val="left"/>
        <w:rPr>
          <w:rFonts w:hint="default" w:ascii="宋体" w:hAnsi="宋体" w:eastAsia="宋体"/>
          <w:highlight w:val="none"/>
          <w:lang w:val="en-US" w:eastAsia="zh-CN"/>
        </w:rPr>
      </w:pPr>
      <w:r>
        <w:rPr>
          <w:rFonts w:hint="eastAsia" w:ascii="宋体" w:hAnsi="宋体"/>
          <w:highlight w:val="none"/>
        </w:rPr>
        <w:t>致：南宁轨道交通</w:t>
      </w:r>
      <w:r>
        <w:rPr>
          <w:rFonts w:hint="eastAsia" w:ascii="宋体" w:hAnsi="宋体"/>
          <w:highlight w:val="none"/>
          <w:lang w:val="en-US" w:eastAsia="zh-CN"/>
        </w:rPr>
        <w:t>运营有限公司</w:t>
      </w:r>
    </w:p>
    <w:p>
      <w:pPr>
        <w:autoSpaceDE w:val="0"/>
        <w:autoSpaceDN w:val="0"/>
        <w:spacing w:before="0" w:after="0"/>
        <w:ind w:left="0" w:right="0" w:firstLine="426"/>
        <w:jc w:val="left"/>
        <w:rPr>
          <w:rFonts w:ascii="宋体" w:hAnsi="宋体"/>
          <w:highlight w:val="none"/>
        </w:rPr>
      </w:pPr>
      <w:r>
        <w:rPr>
          <w:rFonts w:hint="eastAsia" w:ascii="宋体" w:hAnsi="宋体"/>
          <w:highlight w:val="none"/>
        </w:rPr>
        <w:t>鉴于贵方已于年月日发出中标通知书，本保函作为贵方将与</w:t>
      </w:r>
      <w:r>
        <w:rPr>
          <w:rFonts w:hint="eastAsia" w:ascii="宋体" w:hAnsi="宋体"/>
          <w:highlight w:val="none"/>
          <w:u w:val="single"/>
        </w:rPr>
        <w:t xml:space="preserve">   （乙方名称） </w:t>
      </w:r>
      <w:r>
        <w:rPr>
          <w:rFonts w:hint="eastAsia" w:ascii="宋体" w:hAnsi="宋体"/>
          <w:highlight w:val="none"/>
        </w:rPr>
        <w:t>（以下简称“乙方”）签订的</w:t>
      </w:r>
      <w:r>
        <w:rPr>
          <w:rFonts w:hint="eastAsia" w:ascii="宋体" w:hAnsi="宋体"/>
          <w:highlight w:val="none"/>
          <w:u w:val="single"/>
        </w:rPr>
        <w:t xml:space="preserve">  （项目名称）   </w:t>
      </w:r>
      <w:r>
        <w:rPr>
          <w:rFonts w:hint="eastAsia" w:ascii="宋体" w:hAnsi="宋体"/>
          <w:highlight w:val="none"/>
        </w:rPr>
        <w:t>以下简称“本项目”）合同（中标价格￥元，大写：元）的银行保函。</w:t>
      </w:r>
    </w:p>
    <w:p>
      <w:pPr>
        <w:autoSpaceDE w:val="0"/>
        <w:autoSpaceDN w:val="0"/>
        <w:spacing w:before="0" w:after="0"/>
        <w:ind w:left="0" w:right="0" w:firstLine="426"/>
        <w:jc w:val="left"/>
        <w:rPr>
          <w:rFonts w:ascii="宋体" w:hAnsi="宋体"/>
          <w:highlight w:val="none"/>
        </w:rPr>
      </w:pPr>
      <w:r>
        <w:rPr>
          <w:rFonts w:hint="eastAsia" w:ascii="宋体" w:hAnsi="宋体"/>
          <w:highlight w:val="none"/>
        </w:rPr>
        <w:t>我方</w:t>
      </w:r>
      <w:r>
        <w:rPr>
          <w:rFonts w:hint="eastAsia" w:ascii="宋体" w:hAnsi="宋体"/>
          <w:highlight w:val="none"/>
          <w:u w:val="single"/>
        </w:rPr>
        <w:t>（担保人名称    ）</w:t>
      </w:r>
      <w:r>
        <w:rPr>
          <w:rFonts w:hint="eastAsia" w:ascii="宋体" w:hAnsi="宋体"/>
          <w:highlight w:val="none"/>
        </w:rPr>
        <w:t>，受该乙方委托，为该乙方履行上述合同规定的义务做出如下无条件地和不可撤销的保证：</w:t>
      </w:r>
    </w:p>
    <w:p>
      <w:pPr>
        <w:autoSpaceDE w:val="0"/>
        <w:autoSpaceDN w:val="0"/>
        <w:spacing w:before="0" w:after="0"/>
        <w:ind w:left="0" w:right="0" w:firstLine="426"/>
        <w:jc w:val="left"/>
        <w:rPr>
          <w:rFonts w:ascii="宋体" w:hAnsi="宋体"/>
          <w:highlight w:val="none"/>
        </w:rPr>
      </w:pPr>
      <w:r>
        <w:rPr>
          <w:rFonts w:hint="eastAsia" w:ascii="宋体" w:hAnsi="宋体"/>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left="0" w:right="0" w:firstLine="426"/>
        <w:jc w:val="left"/>
        <w:rPr>
          <w:rFonts w:ascii="宋体" w:hAnsi="宋体"/>
          <w:highlight w:val="none"/>
        </w:rPr>
      </w:pPr>
      <w:r>
        <w:rPr>
          <w:rFonts w:hint="eastAsia" w:ascii="宋体" w:hAnsi="宋体"/>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6"/>
        <w:jc w:val="left"/>
        <w:rPr>
          <w:rFonts w:ascii="宋体" w:hAnsi="宋体"/>
          <w:highlight w:val="none"/>
        </w:rPr>
      </w:pPr>
      <w:r>
        <w:rPr>
          <w:rFonts w:hint="eastAsia" w:ascii="宋体" w:hAnsi="宋体"/>
          <w:highlight w:val="none"/>
        </w:rPr>
        <w:t>本保函项下所有权利和义务均适用于中华人民共和国法律。</w:t>
      </w:r>
    </w:p>
    <w:p>
      <w:pPr>
        <w:autoSpaceDE w:val="0"/>
        <w:autoSpaceDN w:val="0"/>
        <w:spacing w:before="0" w:after="0" w:afterAutospacing="0"/>
        <w:ind w:left="0" w:right="-57" w:firstLine="426"/>
        <w:jc w:val="left"/>
        <w:rPr>
          <w:rFonts w:ascii="宋体" w:hAnsi="宋体"/>
          <w:highlight w:val="none"/>
        </w:rPr>
      </w:pPr>
      <w:r>
        <w:rPr>
          <w:rFonts w:hint="eastAsia" w:ascii="宋体" w:hAnsi="宋体"/>
          <w:highlight w:val="none"/>
        </w:rPr>
        <w:t>1、本保函自</w:t>
      </w:r>
      <w:r>
        <w:rPr>
          <w:rFonts w:hint="eastAsia" w:ascii="宋体" w:hAnsi="宋体"/>
          <w:highlight w:val="none"/>
          <w:u w:val="single"/>
        </w:rPr>
        <w:t>X年X月X日</w:t>
      </w:r>
      <w:r>
        <w:rPr>
          <w:rFonts w:hint="eastAsia" w:ascii="宋体" w:hAnsi="宋体"/>
          <w:highlight w:val="none"/>
        </w:rPr>
        <w:t>起生效，至</w:t>
      </w:r>
      <w:r>
        <w:rPr>
          <w:rFonts w:hint="eastAsia" w:ascii="宋体" w:hAnsi="宋体"/>
          <w:highlight w:val="none"/>
          <w:u w:val="single"/>
        </w:rPr>
        <w:t>全部货物验收合格之日后四十五（45）天一直</w:t>
      </w:r>
      <w:r>
        <w:rPr>
          <w:rFonts w:hint="eastAsia" w:ascii="宋体" w:hAnsi="宋体" w:cs="Arial"/>
          <w:highlight w:val="none"/>
        </w:rPr>
        <w:t>有效</w:t>
      </w:r>
      <w:r>
        <w:rPr>
          <w:rFonts w:hint="eastAsia" w:ascii="宋体" w:hAnsi="宋体"/>
          <w:highlight w:val="none"/>
        </w:rPr>
        <w:t>，你方有权提前终止或解除本保函。保函失效后请将本保函退回我方注销。</w:t>
      </w:r>
    </w:p>
    <w:p>
      <w:pPr>
        <w:autoSpaceDE w:val="0"/>
        <w:autoSpaceDN w:val="0"/>
        <w:spacing w:before="0" w:after="0" w:afterAutospacing="0"/>
        <w:ind w:left="0" w:right="-57" w:firstLine="426"/>
        <w:jc w:val="left"/>
        <w:rPr>
          <w:rFonts w:ascii="宋体" w:hAnsi="宋体"/>
          <w:highlight w:val="none"/>
        </w:rPr>
      </w:pPr>
      <w:r>
        <w:rPr>
          <w:rFonts w:hint="eastAsia" w:ascii="宋体" w:hAnsi="宋体"/>
          <w:highlight w:val="none"/>
        </w:rPr>
        <w:t>2、本保函自</w:t>
      </w:r>
      <w:r>
        <w:rPr>
          <w:rFonts w:hint="eastAsia" w:ascii="宋体" w:hAnsi="宋体"/>
          <w:highlight w:val="none"/>
          <w:u w:val="single"/>
        </w:rPr>
        <w:t>X年X月X日</w:t>
      </w:r>
      <w:r>
        <w:rPr>
          <w:rFonts w:hint="eastAsia" w:ascii="宋体" w:hAnsi="宋体"/>
          <w:highlight w:val="none"/>
        </w:rPr>
        <w:t>起生效，至</w:t>
      </w:r>
      <w:r>
        <w:rPr>
          <w:rFonts w:hint="eastAsia" w:ascii="宋体" w:hAnsi="宋体"/>
          <w:highlight w:val="none"/>
          <w:u w:val="single"/>
        </w:rPr>
        <w:t>X年X月X日</w:t>
      </w:r>
      <w:r>
        <w:rPr>
          <w:rFonts w:hint="eastAsia" w:ascii="宋体" w:hAnsi="宋体" w:cs="Arial"/>
          <w:highlight w:val="none"/>
        </w:rPr>
        <w:t>一直有效，</w:t>
      </w:r>
      <w:r>
        <w:rPr>
          <w:rFonts w:hint="eastAsia" w:ascii="宋体" w:hAnsi="宋体"/>
          <w:highlight w:val="none"/>
        </w:rPr>
        <w:t>你方有权提前终止或解除本保函。保函失效后请将本保函退回我方注销。</w:t>
      </w:r>
    </w:p>
    <w:p>
      <w:pPr>
        <w:spacing w:after="0" w:afterAutospacing="0"/>
        <w:ind w:right="-57" w:firstLine="200"/>
        <w:rPr>
          <w:rFonts w:ascii="宋体" w:hAnsi="宋体"/>
          <w:highlight w:val="none"/>
        </w:rPr>
      </w:pPr>
      <w:r>
        <w:rPr>
          <w:rFonts w:hint="eastAsia" w:ascii="宋体" w:hAnsi="宋体"/>
          <w:b/>
          <w:i/>
          <w:highlight w:val="none"/>
        </w:rPr>
        <w:t>（开具保函时，以上二种方式，任选一种。）</w:t>
      </w:r>
    </w:p>
    <w:p>
      <w:pPr>
        <w:spacing w:after="0" w:afterAutospacing="0"/>
        <w:ind w:right="-57" w:firstLine="0"/>
        <w:rPr>
          <w:rFonts w:ascii="宋体" w:hAnsi="宋体" w:cs="Arial"/>
          <w:highlight w:val="none"/>
        </w:rPr>
      </w:pPr>
      <w:r>
        <w:rPr>
          <w:rFonts w:hint="eastAsia" w:ascii="宋体" w:hAnsi="宋体"/>
          <w:highlight w:val="none"/>
        </w:rPr>
        <w:t>银行地址：    担保银行：</w:t>
      </w:r>
      <w:r>
        <w:rPr>
          <w:rFonts w:hint="eastAsia" w:ascii="宋体" w:hAnsi="宋体"/>
          <w:highlight w:val="none"/>
          <w:u w:val="single"/>
        </w:rPr>
        <w:t xml:space="preserve">（全称）    </w:t>
      </w:r>
      <w:r>
        <w:rPr>
          <w:rFonts w:hint="eastAsia" w:ascii="宋体" w:hAnsi="宋体"/>
          <w:highlight w:val="none"/>
        </w:rPr>
        <w:t>(盖章)</w:t>
      </w:r>
    </w:p>
    <w:p>
      <w:pPr>
        <w:spacing w:after="0" w:afterAutospacing="0"/>
        <w:ind w:right="-57" w:firstLine="0"/>
        <w:rPr>
          <w:rFonts w:ascii="宋体" w:hAnsi="宋体"/>
          <w:highlight w:val="none"/>
        </w:rPr>
      </w:pPr>
      <w:r>
        <w:rPr>
          <w:rFonts w:hint="eastAsia" w:ascii="宋体" w:hAnsi="宋体"/>
          <w:highlight w:val="none"/>
        </w:rPr>
        <w:t>邮编：   法定代表人或（授权代理人）：(签字)</w:t>
      </w:r>
    </w:p>
    <w:p>
      <w:pPr>
        <w:spacing w:after="0" w:afterAutospacing="0"/>
        <w:ind w:right="-57" w:firstLine="0"/>
        <w:rPr>
          <w:rFonts w:ascii="宋体" w:hAnsi="宋体"/>
          <w:highlight w:val="none"/>
          <w:u w:val="single"/>
        </w:rPr>
      </w:pPr>
      <w:r>
        <w:rPr>
          <w:rFonts w:hint="eastAsia" w:ascii="宋体" w:hAnsi="宋体"/>
          <w:highlight w:val="none"/>
        </w:rPr>
        <w:t>电话：</w:t>
      </w:r>
      <w:r>
        <w:rPr>
          <w:rFonts w:hint="eastAsia" w:ascii="宋体" w:hAnsi="宋体"/>
          <w:highlight w:val="none"/>
          <w:u w:val="single"/>
        </w:rPr>
        <w:t>（职务）   （姓名）  （签字）</w:t>
      </w:r>
    </w:p>
    <w:p>
      <w:pPr>
        <w:spacing w:after="0" w:afterAutospacing="0"/>
        <w:ind w:right="-57" w:firstLine="0"/>
        <w:rPr>
          <w:rFonts w:ascii="宋体" w:hAnsi="宋体"/>
          <w:highlight w:val="none"/>
        </w:rPr>
      </w:pPr>
      <w:r>
        <w:rPr>
          <w:rFonts w:hint="eastAsia" w:ascii="宋体" w:hAnsi="宋体"/>
          <w:highlight w:val="none"/>
        </w:rPr>
        <w:t>传真：           日期：年月日</w:t>
      </w:r>
    </w:p>
    <w:p>
      <w:pPr>
        <w:ind w:right="-57" w:firstLine="0"/>
        <w:jc w:val="center"/>
        <w:rPr>
          <w:rFonts w:ascii="宋体" w:hAnsi="宋体"/>
          <w:b/>
          <w:sz w:val="24"/>
          <w:szCs w:val="24"/>
          <w:highlight w:val="none"/>
        </w:rPr>
      </w:pPr>
    </w:p>
    <w:p>
      <w:pPr>
        <w:pStyle w:val="15"/>
        <w:rPr>
          <w:highlight w:val="none"/>
        </w:rPr>
      </w:pPr>
    </w:p>
    <w:p>
      <w:pPr>
        <w:pStyle w:val="15"/>
        <w:rPr>
          <w:highlight w:val="none"/>
        </w:rPr>
      </w:pPr>
    </w:p>
    <w:p>
      <w:pPr>
        <w:ind w:right="-57" w:firstLine="0"/>
        <w:jc w:val="center"/>
        <w:rPr>
          <w:rFonts w:ascii="宋体" w:hAnsi="宋体"/>
          <w:b/>
          <w:sz w:val="24"/>
          <w:szCs w:val="24"/>
          <w:highlight w:val="none"/>
        </w:rPr>
      </w:pPr>
      <w:bookmarkStart w:id="1334" w:name="_Toc20369_WPSOffice_Level2"/>
      <w:r>
        <w:rPr>
          <w:rFonts w:hint="eastAsia" w:ascii="宋体" w:hAnsi="宋体"/>
          <w:b/>
          <w:sz w:val="24"/>
          <w:szCs w:val="24"/>
          <w:highlight w:val="none"/>
        </w:rPr>
        <w:t>承诺函（中标后提供）</w:t>
      </w:r>
      <w:bookmarkEnd w:id="1334"/>
    </w:p>
    <w:p>
      <w:pPr>
        <w:ind w:right="-57" w:firstLine="0"/>
        <w:rPr>
          <w:rFonts w:ascii="宋体" w:hAnsi="宋体"/>
          <w:highlight w:val="none"/>
        </w:rPr>
      </w:pPr>
    </w:p>
    <w:p>
      <w:pPr>
        <w:spacing w:line="480" w:lineRule="auto"/>
        <w:ind w:right="-57" w:firstLine="0"/>
        <w:rPr>
          <w:rFonts w:ascii="宋体" w:hAnsi="宋体"/>
          <w:highlight w:val="none"/>
        </w:rPr>
      </w:pPr>
      <w:r>
        <w:rPr>
          <w:rFonts w:hint="eastAsia" w:ascii="宋体" w:hAnsi="宋体"/>
          <w:highlight w:val="none"/>
        </w:rPr>
        <w:t>南宁轨道交通</w:t>
      </w:r>
      <w:r>
        <w:rPr>
          <w:rFonts w:hint="eastAsia" w:ascii="宋体" w:hAnsi="宋体"/>
          <w:highlight w:val="none"/>
          <w:lang w:val="en-US" w:eastAsia="zh-CN"/>
        </w:rPr>
        <w:t>运营有限</w:t>
      </w:r>
      <w:r>
        <w:rPr>
          <w:rFonts w:hint="eastAsia" w:ascii="宋体" w:hAnsi="宋体"/>
          <w:highlight w:val="none"/>
        </w:rPr>
        <w:t>公司：</w:t>
      </w:r>
    </w:p>
    <w:p>
      <w:pPr>
        <w:spacing w:line="480" w:lineRule="auto"/>
        <w:ind w:right="-57" w:firstLine="200"/>
        <w:rPr>
          <w:rFonts w:ascii="宋体" w:hAnsi="宋体"/>
          <w:highlight w:val="none"/>
        </w:rPr>
      </w:pPr>
      <w:r>
        <w:rPr>
          <w:rFonts w:hint="eastAsia" w:ascii="宋体" w:hAnsi="宋体"/>
          <w:highlight w:val="none"/>
        </w:rPr>
        <w:t>（以下称“本公司”）现已中标贵司</w:t>
      </w:r>
      <w:r>
        <w:rPr>
          <w:rFonts w:hint="eastAsia" w:ascii="宋体" w:hAnsi="宋体"/>
          <w:highlight w:val="none"/>
          <w:lang w:eastAsia="zh-CN"/>
        </w:rPr>
        <w:t>比选</w:t>
      </w:r>
      <w:r>
        <w:rPr>
          <w:rFonts w:hint="eastAsia" w:ascii="宋体" w:hAnsi="宋体"/>
          <w:highlight w:val="none"/>
        </w:rPr>
        <w:t>的</w:t>
      </w:r>
      <w:r>
        <w:rPr>
          <w:rFonts w:hint="eastAsia" w:ascii="宋体" w:hAnsi="宋体"/>
          <w:highlight w:val="none"/>
          <w:u w:val="single"/>
        </w:rPr>
        <w:t xml:space="preserve">      （项目名称）</w:t>
      </w:r>
      <w:r>
        <w:rPr>
          <w:rFonts w:hint="eastAsia" w:ascii="宋体" w:hAnsi="宋体"/>
          <w:highlight w:val="none"/>
        </w:rPr>
        <w:t>，并拟签订正式合同，按合同规定需向贵司提供一份履约担保金额为人民币：</w:t>
      </w:r>
      <w:r>
        <w:rPr>
          <w:rFonts w:hint="eastAsia" w:ascii="宋体" w:hAnsi="宋体"/>
          <w:highlight w:val="none"/>
          <w:u w:val="single"/>
        </w:rPr>
        <w:t xml:space="preserve">         （￥   </w:t>
      </w:r>
      <w:r>
        <w:rPr>
          <w:rFonts w:hint="eastAsia" w:ascii="宋体" w:hAnsi="宋体"/>
          <w:highlight w:val="none"/>
        </w:rPr>
        <w:t>）的银行保函（保函编号：），有效期至X年X月X日。</w:t>
      </w:r>
    </w:p>
    <w:p>
      <w:pPr>
        <w:spacing w:line="480" w:lineRule="auto"/>
        <w:ind w:right="-57" w:firstLine="200"/>
        <w:rPr>
          <w:rFonts w:ascii="宋体" w:hAnsi="宋体"/>
          <w:highlight w:val="none"/>
        </w:rPr>
      </w:pPr>
      <w:r>
        <w:rPr>
          <w:rFonts w:hint="eastAsia" w:ascii="宋体" w:hAnsi="宋体"/>
          <w:highlight w:val="none"/>
        </w:rPr>
        <w:t>本公司现向贵司郑重承诺，如上述保函到期日仍未到合同约定的时间（</w:t>
      </w:r>
      <w:r>
        <w:rPr>
          <w:rFonts w:hint="eastAsia" w:ascii="宋体" w:hAnsi="宋体"/>
          <w:highlight w:val="none"/>
          <w:u w:val="single"/>
        </w:rPr>
        <w:t>全部货物验收合格之日后四十五（45）天</w:t>
      </w:r>
      <w:r>
        <w:rPr>
          <w:rFonts w:hint="eastAsia" w:ascii="宋体" w:hAnsi="宋体"/>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highlight w:val="none"/>
        </w:rPr>
      </w:pPr>
      <w:r>
        <w:rPr>
          <w:rFonts w:hint="eastAsia" w:ascii="宋体" w:hAnsi="宋体"/>
          <w:highlight w:val="none"/>
        </w:rPr>
        <w:t>特此承诺</w:t>
      </w:r>
    </w:p>
    <w:p>
      <w:pPr>
        <w:ind w:right="-57" w:firstLine="420"/>
        <w:rPr>
          <w:rFonts w:ascii="宋体" w:hAnsi="宋体"/>
          <w:highlight w:val="none"/>
        </w:rPr>
      </w:pPr>
    </w:p>
    <w:p>
      <w:pPr>
        <w:ind w:left="5040" w:right="-57" w:hanging="4935"/>
        <w:rPr>
          <w:rFonts w:ascii="宋体" w:hAnsi="宋体"/>
          <w:highlight w:val="none"/>
        </w:rPr>
      </w:pPr>
      <w:r>
        <w:rPr>
          <w:rFonts w:hint="eastAsia" w:ascii="宋体" w:hAnsi="宋体"/>
          <w:highlight w:val="none"/>
        </w:rPr>
        <w:t xml:space="preserve">                                                                                     承诺人：</w:t>
      </w:r>
    </w:p>
    <w:p>
      <w:pPr>
        <w:ind w:left="4935" w:right="-57" w:hanging="4830"/>
        <w:rPr>
          <w:rFonts w:ascii="宋体" w:hAnsi="宋体"/>
          <w:highlight w:val="none"/>
        </w:rPr>
      </w:pPr>
      <w:r>
        <w:rPr>
          <w:rFonts w:hint="eastAsia" w:ascii="宋体" w:hAnsi="宋体"/>
          <w:highlight w:val="none"/>
        </w:rPr>
        <w:t xml:space="preserve">                                                                                      X年X月X日</w:t>
      </w:r>
    </w:p>
    <w:p>
      <w:pPr>
        <w:ind w:right="-57" w:firstLine="200"/>
        <w:rPr>
          <w:rFonts w:ascii="宋体" w:hAnsi="宋体"/>
          <w:b/>
          <w:i/>
          <w:highlight w:val="none"/>
        </w:rPr>
      </w:pPr>
    </w:p>
    <w:p>
      <w:pPr>
        <w:ind w:right="-57" w:firstLine="200"/>
        <w:rPr>
          <w:rFonts w:ascii="宋体" w:hAnsi="宋体"/>
          <w:b/>
          <w:i/>
          <w:highlight w:val="none"/>
        </w:rPr>
      </w:pPr>
      <w:r>
        <w:rPr>
          <w:rFonts w:hint="eastAsia" w:ascii="宋体" w:hAnsi="宋体"/>
          <w:b/>
          <w:i/>
          <w:highlight w:val="none"/>
        </w:rPr>
        <w:t>（当选择银行保函格式第2种方式时开具银行保函的，必须提供本承诺书。）</w:t>
      </w:r>
    </w:p>
    <w:p>
      <w:pPr>
        <w:tabs>
          <w:tab w:val="left" w:pos="1134"/>
          <w:tab w:val="left" w:pos="8364"/>
        </w:tabs>
        <w:spacing w:before="0"/>
        <w:ind w:right="-57" w:firstLine="0"/>
        <w:rPr>
          <w:rFonts w:ascii="宋体" w:hAnsi="宋体"/>
          <w:highlight w:val="none"/>
        </w:rPr>
      </w:pPr>
    </w:p>
    <w:p>
      <w:pPr>
        <w:tabs>
          <w:tab w:val="left" w:pos="1134"/>
          <w:tab w:val="left" w:pos="8364"/>
        </w:tabs>
        <w:spacing w:before="0"/>
        <w:ind w:left="1134" w:right="-57" w:firstLine="0"/>
        <w:rPr>
          <w:rFonts w:ascii="宋体" w:hAnsi="宋体"/>
          <w:highlight w:val="none"/>
        </w:rPr>
      </w:pPr>
    </w:p>
    <w:p>
      <w:pPr>
        <w:tabs>
          <w:tab w:val="left" w:pos="1134"/>
          <w:tab w:val="left" w:pos="8364"/>
        </w:tabs>
        <w:spacing w:before="0"/>
        <w:ind w:left="1134" w:right="-57" w:firstLine="0"/>
        <w:rPr>
          <w:rFonts w:ascii="宋体" w:hAnsi="宋体"/>
          <w:highlight w:val="none"/>
        </w:rPr>
      </w:pPr>
    </w:p>
    <w:p>
      <w:pPr>
        <w:pageBreakBefore/>
        <w:tabs>
          <w:tab w:val="left" w:pos="1134"/>
          <w:tab w:val="left" w:pos="8364"/>
        </w:tabs>
        <w:spacing w:before="0" w:after="0" w:afterAutospacing="0"/>
        <w:ind w:left="0" w:right="-57" w:hanging="11"/>
        <w:rPr>
          <w:rFonts w:ascii="宋体" w:hAnsi="宋体"/>
          <w:sz w:val="24"/>
          <w:szCs w:val="24"/>
          <w:highlight w:val="none"/>
        </w:rPr>
      </w:pPr>
      <w:bookmarkStart w:id="1335" w:name="_Toc7018_WPSOffice_Level2"/>
      <w:r>
        <w:rPr>
          <w:rFonts w:hint="eastAsia" w:ascii="宋体" w:hAnsi="宋体"/>
          <w:b/>
          <w:sz w:val="24"/>
          <w:szCs w:val="24"/>
          <w:highlight w:val="none"/>
        </w:rPr>
        <w:t>附件6.2 供货证明格式</w:t>
      </w:r>
      <w:bookmarkEnd w:id="1335"/>
    </w:p>
    <w:p>
      <w:pPr>
        <w:ind w:right="-57" w:firstLine="0"/>
        <w:jc w:val="center"/>
        <w:rPr>
          <w:rFonts w:ascii="宋体" w:hAnsi="宋体"/>
          <w:b/>
          <w:sz w:val="24"/>
          <w:szCs w:val="24"/>
          <w:highlight w:val="none"/>
        </w:rPr>
      </w:pPr>
      <w:bookmarkStart w:id="1336" w:name="_Toc23105_WPSOffice_Level2"/>
      <w:r>
        <w:rPr>
          <w:rFonts w:hint="eastAsia" w:ascii="宋体" w:hAnsi="宋体"/>
          <w:b/>
          <w:sz w:val="24"/>
          <w:szCs w:val="24"/>
          <w:highlight w:val="none"/>
        </w:rPr>
        <w:t>供货证明（格式，供货时提供）</w:t>
      </w:r>
      <w:bookmarkEnd w:id="1336"/>
    </w:p>
    <w:p>
      <w:pPr>
        <w:ind w:right="-57" w:firstLine="0"/>
        <w:rPr>
          <w:rFonts w:ascii="宋体" w:hAnsi="宋体"/>
          <w:sz w:val="24"/>
          <w:szCs w:val="24"/>
          <w:highlight w:val="none"/>
        </w:rPr>
      </w:pPr>
      <w:r>
        <w:rPr>
          <w:rFonts w:hint="eastAsia" w:ascii="宋体" w:hAnsi="宋体"/>
          <w:sz w:val="24"/>
          <w:szCs w:val="24"/>
          <w:highlight w:val="none"/>
        </w:rPr>
        <w:t>南宁轨道交通</w:t>
      </w:r>
      <w:r>
        <w:rPr>
          <w:rFonts w:hint="eastAsia" w:ascii="宋体" w:hAnsi="宋体"/>
          <w:sz w:val="24"/>
          <w:szCs w:val="24"/>
          <w:highlight w:val="none"/>
          <w:lang w:val="en-US" w:eastAsia="zh-CN"/>
        </w:rPr>
        <w:t>运营有限</w:t>
      </w:r>
      <w:r>
        <w:rPr>
          <w:rFonts w:hint="eastAsia" w:ascii="宋体" w:hAnsi="宋体"/>
          <w:sz w:val="24"/>
          <w:szCs w:val="24"/>
          <w:highlight w:val="none"/>
        </w:rPr>
        <w:t>公司：</w:t>
      </w:r>
    </w:p>
    <w:p>
      <w:pPr>
        <w:tabs>
          <w:tab w:val="left" w:pos="1134"/>
          <w:tab w:val="left" w:pos="8364"/>
        </w:tabs>
        <w:spacing w:before="0" w:after="0"/>
        <w:ind w:right="0" w:firstLine="200"/>
        <w:rPr>
          <w:rFonts w:ascii="宋体" w:hAnsi="宋体"/>
          <w:highlight w:val="none"/>
        </w:rPr>
      </w:pPr>
      <w:r>
        <w:rPr>
          <w:rFonts w:hint="eastAsia" w:ascii="宋体" w:hAnsi="宋体"/>
          <w:highlight w:val="none"/>
        </w:rPr>
        <w:t>兹证明（单位）</w:t>
      </w:r>
      <w:r>
        <w:rPr>
          <w:rFonts w:ascii="宋体" w:hAnsi="宋体"/>
          <w:highlight w:val="none"/>
          <w:u w:val="single"/>
        </w:rPr>
        <w:t xml:space="preserve">          　　    </w:t>
      </w:r>
      <w:r>
        <w:rPr>
          <w:rFonts w:ascii="宋体" w:hAnsi="宋体"/>
          <w:highlight w:val="none"/>
        </w:rPr>
        <w:t xml:space="preserve"> 在</w:t>
      </w:r>
      <w:r>
        <w:rPr>
          <w:rFonts w:hint="eastAsia" w:ascii="宋体" w:hAnsi="宋体"/>
          <w:highlight w:val="none"/>
        </w:rPr>
        <w:t>贵公司</w:t>
      </w:r>
      <w:r>
        <w:rPr>
          <w:rFonts w:hint="eastAsia" w:ascii="宋体" w:hAnsi="宋体"/>
          <w:highlight w:val="none"/>
          <w:u w:val="single"/>
        </w:rPr>
        <w:t>　　</w:t>
      </w:r>
      <w:r>
        <w:rPr>
          <w:rFonts w:hint="eastAsia" w:ascii="宋体" w:hAnsi="宋体"/>
          <w:highlight w:val="none"/>
        </w:rPr>
        <w:t>采购项目（项目编号：）中，向贵方交付的以下货物为我公司生产（提供）：</w:t>
      </w:r>
    </w:p>
    <w:tbl>
      <w:tblPr>
        <w:tblStyle w:val="32"/>
        <w:tblW w:w="8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vAlign w:val="center"/>
          </w:tcPr>
          <w:p>
            <w:pPr>
              <w:ind w:left="0" w:firstLine="0"/>
              <w:rPr>
                <w:rFonts w:ascii="宋体" w:hAnsi="宋体"/>
                <w:highlight w:val="none"/>
              </w:rPr>
            </w:pPr>
            <w:r>
              <w:rPr>
                <w:rFonts w:hint="eastAsia" w:ascii="宋体" w:hAnsi="宋体"/>
                <w:highlight w:val="none"/>
              </w:rPr>
              <w:t>序号</w:t>
            </w:r>
          </w:p>
        </w:tc>
        <w:tc>
          <w:tcPr>
            <w:tcW w:w="996" w:type="dxa"/>
            <w:vAlign w:val="center"/>
          </w:tcPr>
          <w:p>
            <w:pPr>
              <w:ind w:left="0" w:firstLine="0"/>
              <w:rPr>
                <w:rFonts w:ascii="宋体" w:hAnsi="宋体"/>
                <w:highlight w:val="none"/>
              </w:rPr>
            </w:pPr>
            <w:r>
              <w:rPr>
                <w:rFonts w:hint="eastAsia" w:ascii="宋体" w:hAnsi="宋体"/>
                <w:highlight w:val="none"/>
              </w:rPr>
              <w:t>计划</w:t>
            </w:r>
          </w:p>
        </w:tc>
        <w:tc>
          <w:tcPr>
            <w:tcW w:w="1284" w:type="dxa"/>
            <w:vAlign w:val="center"/>
          </w:tcPr>
          <w:p>
            <w:pPr>
              <w:ind w:left="0" w:firstLine="0"/>
              <w:rPr>
                <w:rFonts w:ascii="宋体" w:hAnsi="宋体"/>
                <w:highlight w:val="none"/>
              </w:rPr>
            </w:pPr>
            <w:r>
              <w:rPr>
                <w:rFonts w:hint="eastAsia" w:ascii="宋体" w:hAnsi="宋体"/>
                <w:highlight w:val="none"/>
              </w:rPr>
              <w:t>货物名称</w:t>
            </w:r>
          </w:p>
        </w:tc>
        <w:tc>
          <w:tcPr>
            <w:tcW w:w="1516" w:type="dxa"/>
            <w:vAlign w:val="center"/>
          </w:tcPr>
          <w:p>
            <w:pPr>
              <w:ind w:left="0" w:firstLine="0"/>
              <w:rPr>
                <w:rFonts w:ascii="宋体" w:hAnsi="宋体"/>
                <w:highlight w:val="none"/>
              </w:rPr>
            </w:pPr>
            <w:r>
              <w:rPr>
                <w:rFonts w:hint="eastAsia" w:ascii="宋体" w:hAnsi="宋体"/>
                <w:highlight w:val="none"/>
              </w:rPr>
              <w:t>品牌</w:t>
            </w:r>
            <w:r>
              <w:rPr>
                <w:rFonts w:ascii="宋体" w:hAnsi="宋体"/>
                <w:highlight w:val="none"/>
              </w:rPr>
              <w:t>/</w:t>
            </w:r>
            <w:r>
              <w:rPr>
                <w:rFonts w:hint="eastAsia" w:ascii="宋体" w:hAnsi="宋体"/>
                <w:highlight w:val="none"/>
              </w:rPr>
              <w:t>生产厂</w:t>
            </w:r>
          </w:p>
        </w:tc>
        <w:tc>
          <w:tcPr>
            <w:tcW w:w="1161" w:type="dxa"/>
            <w:vAlign w:val="center"/>
          </w:tcPr>
          <w:p>
            <w:pPr>
              <w:ind w:left="0" w:firstLine="0"/>
              <w:rPr>
                <w:rFonts w:ascii="宋体" w:hAnsi="宋体"/>
                <w:highlight w:val="none"/>
              </w:rPr>
            </w:pPr>
            <w:r>
              <w:rPr>
                <w:rFonts w:hint="eastAsia" w:ascii="宋体" w:hAnsi="宋体"/>
                <w:highlight w:val="none"/>
              </w:rPr>
              <w:t>规格型号</w:t>
            </w:r>
            <w:r>
              <w:rPr>
                <w:rFonts w:ascii="宋体" w:hAnsi="宋体"/>
                <w:highlight w:val="none"/>
              </w:rPr>
              <w:t>/</w:t>
            </w:r>
            <w:r>
              <w:rPr>
                <w:rFonts w:hint="eastAsia" w:ascii="宋体" w:hAnsi="宋体"/>
                <w:highlight w:val="none"/>
              </w:rPr>
              <w:t>技术参数</w:t>
            </w:r>
          </w:p>
        </w:tc>
        <w:tc>
          <w:tcPr>
            <w:tcW w:w="719" w:type="dxa"/>
            <w:vAlign w:val="center"/>
          </w:tcPr>
          <w:p>
            <w:pPr>
              <w:ind w:left="0" w:firstLine="0"/>
              <w:rPr>
                <w:rFonts w:ascii="宋体" w:hAnsi="宋体"/>
                <w:highlight w:val="none"/>
              </w:rPr>
            </w:pPr>
            <w:r>
              <w:rPr>
                <w:rFonts w:hint="eastAsia" w:ascii="宋体" w:hAnsi="宋体"/>
                <w:highlight w:val="none"/>
              </w:rPr>
              <w:t>单位</w:t>
            </w:r>
          </w:p>
        </w:tc>
        <w:tc>
          <w:tcPr>
            <w:tcW w:w="912" w:type="dxa"/>
            <w:vAlign w:val="center"/>
          </w:tcPr>
          <w:p>
            <w:pPr>
              <w:ind w:left="0" w:firstLine="0"/>
              <w:rPr>
                <w:rFonts w:ascii="宋体" w:hAnsi="宋体"/>
                <w:highlight w:val="none"/>
              </w:rPr>
            </w:pPr>
            <w:r>
              <w:rPr>
                <w:rFonts w:hint="eastAsia" w:ascii="宋体" w:hAnsi="宋体"/>
                <w:highlight w:val="none"/>
              </w:rPr>
              <w:t>数量</w:t>
            </w:r>
          </w:p>
        </w:tc>
        <w:tc>
          <w:tcPr>
            <w:tcW w:w="732" w:type="dxa"/>
            <w:vAlign w:val="center"/>
          </w:tcPr>
          <w:p>
            <w:pPr>
              <w:ind w:left="0" w:firstLine="0"/>
              <w:rPr>
                <w:rFonts w:ascii="宋体" w:hAnsi="宋体"/>
                <w:highlight w:val="none"/>
              </w:rPr>
            </w:pPr>
            <w:r>
              <w:rPr>
                <w:rFonts w:hint="eastAsia" w:ascii="宋体" w:hAnsi="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Pr>
          <w:p>
            <w:pPr>
              <w:pStyle w:val="15"/>
              <w:rPr>
                <w:highlight w:val="none"/>
              </w:rPr>
            </w:pPr>
          </w:p>
        </w:tc>
        <w:tc>
          <w:tcPr>
            <w:tcW w:w="996" w:type="dxa"/>
          </w:tcPr>
          <w:p>
            <w:pPr>
              <w:pStyle w:val="15"/>
              <w:rPr>
                <w:highlight w:val="none"/>
              </w:rPr>
            </w:pPr>
          </w:p>
        </w:tc>
        <w:tc>
          <w:tcPr>
            <w:tcW w:w="1284" w:type="dxa"/>
          </w:tcPr>
          <w:p>
            <w:pPr>
              <w:pStyle w:val="15"/>
              <w:rPr>
                <w:highlight w:val="none"/>
              </w:rPr>
            </w:pPr>
          </w:p>
        </w:tc>
        <w:tc>
          <w:tcPr>
            <w:tcW w:w="1516" w:type="dxa"/>
          </w:tcPr>
          <w:p>
            <w:pPr>
              <w:pStyle w:val="15"/>
              <w:rPr>
                <w:highlight w:val="none"/>
              </w:rPr>
            </w:pPr>
          </w:p>
        </w:tc>
        <w:tc>
          <w:tcPr>
            <w:tcW w:w="1161" w:type="dxa"/>
          </w:tcPr>
          <w:p>
            <w:pPr>
              <w:pStyle w:val="15"/>
              <w:rPr>
                <w:highlight w:val="none"/>
              </w:rPr>
            </w:pPr>
          </w:p>
        </w:tc>
        <w:tc>
          <w:tcPr>
            <w:tcW w:w="719" w:type="dxa"/>
          </w:tcPr>
          <w:p>
            <w:pPr>
              <w:pStyle w:val="15"/>
              <w:rPr>
                <w:highlight w:val="none"/>
              </w:rPr>
            </w:pPr>
          </w:p>
        </w:tc>
        <w:tc>
          <w:tcPr>
            <w:tcW w:w="912" w:type="dxa"/>
          </w:tcPr>
          <w:p>
            <w:pPr>
              <w:pStyle w:val="15"/>
              <w:rPr>
                <w:highlight w:val="none"/>
              </w:rPr>
            </w:pPr>
          </w:p>
        </w:tc>
        <w:tc>
          <w:tcPr>
            <w:tcW w:w="732" w:type="dxa"/>
          </w:tcPr>
          <w:p>
            <w:pPr>
              <w:pStyle w:val="1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Pr>
          <w:p>
            <w:pPr>
              <w:pStyle w:val="15"/>
              <w:rPr>
                <w:highlight w:val="none"/>
              </w:rPr>
            </w:pPr>
          </w:p>
        </w:tc>
        <w:tc>
          <w:tcPr>
            <w:tcW w:w="996" w:type="dxa"/>
          </w:tcPr>
          <w:p>
            <w:pPr>
              <w:pStyle w:val="15"/>
              <w:rPr>
                <w:highlight w:val="none"/>
              </w:rPr>
            </w:pPr>
          </w:p>
        </w:tc>
        <w:tc>
          <w:tcPr>
            <w:tcW w:w="1284" w:type="dxa"/>
          </w:tcPr>
          <w:p>
            <w:pPr>
              <w:pStyle w:val="15"/>
              <w:rPr>
                <w:highlight w:val="none"/>
              </w:rPr>
            </w:pPr>
          </w:p>
        </w:tc>
        <w:tc>
          <w:tcPr>
            <w:tcW w:w="1516" w:type="dxa"/>
          </w:tcPr>
          <w:p>
            <w:pPr>
              <w:pStyle w:val="15"/>
              <w:rPr>
                <w:highlight w:val="none"/>
              </w:rPr>
            </w:pPr>
          </w:p>
        </w:tc>
        <w:tc>
          <w:tcPr>
            <w:tcW w:w="1161" w:type="dxa"/>
          </w:tcPr>
          <w:p>
            <w:pPr>
              <w:pStyle w:val="15"/>
              <w:rPr>
                <w:highlight w:val="none"/>
              </w:rPr>
            </w:pPr>
          </w:p>
        </w:tc>
        <w:tc>
          <w:tcPr>
            <w:tcW w:w="719" w:type="dxa"/>
          </w:tcPr>
          <w:p>
            <w:pPr>
              <w:pStyle w:val="15"/>
              <w:rPr>
                <w:highlight w:val="none"/>
              </w:rPr>
            </w:pPr>
          </w:p>
        </w:tc>
        <w:tc>
          <w:tcPr>
            <w:tcW w:w="912" w:type="dxa"/>
          </w:tcPr>
          <w:p>
            <w:pPr>
              <w:pStyle w:val="15"/>
              <w:rPr>
                <w:highlight w:val="none"/>
              </w:rPr>
            </w:pPr>
          </w:p>
        </w:tc>
        <w:tc>
          <w:tcPr>
            <w:tcW w:w="732" w:type="dxa"/>
          </w:tcPr>
          <w:p>
            <w:pPr>
              <w:pStyle w:val="1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Pr>
          <w:p>
            <w:pPr>
              <w:pStyle w:val="15"/>
              <w:rPr>
                <w:highlight w:val="none"/>
              </w:rPr>
            </w:pPr>
          </w:p>
        </w:tc>
        <w:tc>
          <w:tcPr>
            <w:tcW w:w="996" w:type="dxa"/>
          </w:tcPr>
          <w:p>
            <w:pPr>
              <w:pStyle w:val="15"/>
              <w:rPr>
                <w:highlight w:val="none"/>
              </w:rPr>
            </w:pPr>
          </w:p>
        </w:tc>
        <w:tc>
          <w:tcPr>
            <w:tcW w:w="1284" w:type="dxa"/>
          </w:tcPr>
          <w:p>
            <w:pPr>
              <w:pStyle w:val="15"/>
              <w:rPr>
                <w:highlight w:val="none"/>
              </w:rPr>
            </w:pPr>
          </w:p>
        </w:tc>
        <w:tc>
          <w:tcPr>
            <w:tcW w:w="1516" w:type="dxa"/>
          </w:tcPr>
          <w:p>
            <w:pPr>
              <w:pStyle w:val="15"/>
              <w:rPr>
                <w:highlight w:val="none"/>
              </w:rPr>
            </w:pPr>
          </w:p>
        </w:tc>
        <w:tc>
          <w:tcPr>
            <w:tcW w:w="1161" w:type="dxa"/>
          </w:tcPr>
          <w:p>
            <w:pPr>
              <w:pStyle w:val="15"/>
              <w:rPr>
                <w:highlight w:val="none"/>
              </w:rPr>
            </w:pPr>
          </w:p>
        </w:tc>
        <w:tc>
          <w:tcPr>
            <w:tcW w:w="719" w:type="dxa"/>
          </w:tcPr>
          <w:p>
            <w:pPr>
              <w:pStyle w:val="15"/>
              <w:rPr>
                <w:highlight w:val="none"/>
              </w:rPr>
            </w:pPr>
          </w:p>
        </w:tc>
        <w:tc>
          <w:tcPr>
            <w:tcW w:w="912" w:type="dxa"/>
          </w:tcPr>
          <w:p>
            <w:pPr>
              <w:pStyle w:val="15"/>
              <w:rPr>
                <w:highlight w:val="none"/>
              </w:rPr>
            </w:pPr>
          </w:p>
        </w:tc>
        <w:tc>
          <w:tcPr>
            <w:tcW w:w="732" w:type="dxa"/>
          </w:tcPr>
          <w:p>
            <w:pPr>
              <w:pStyle w:val="1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Pr>
          <w:p>
            <w:pPr>
              <w:pStyle w:val="15"/>
              <w:rPr>
                <w:highlight w:val="none"/>
              </w:rPr>
            </w:pPr>
          </w:p>
        </w:tc>
        <w:tc>
          <w:tcPr>
            <w:tcW w:w="996" w:type="dxa"/>
          </w:tcPr>
          <w:p>
            <w:pPr>
              <w:pStyle w:val="15"/>
              <w:rPr>
                <w:highlight w:val="none"/>
              </w:rPr>
            </w:pPr>
          </w:p>
        </w:tc>
        <w:tc>
          <w:tcPr>
            <w:tcW w:w="1284" w:type="dxa"/>
          </w:tcPr>
          <w:p>
            <w:pPr>
              <w:pStyle w:val="15"/>
              <w:rPr>
                <w:highlight w:val="none"/>
              </w:rPr>
            </w:pPr>
          </w:p>
        </w:tc>
        <w:tc>
          <w:tcPr>
            <w:tcW w:w="1516" w:type="dxa"/>
          </w:tcPr>
          <w:p>
            <w:pPr>
              <w:pStyle w:val="15"/>
              <w:rPr>
                <w:highlight w:val="none"/>
              </w:rPr>
            </w:pPr>
          </w:p>
        </w:tc>
        <w:tc>
          <w:tcPr>
            <w:tcW w:w="1161" w:type="dxa"/>
          </w:tcPr>
          <w:p>
            <w:pPr>
              <w:pStyle w:val="15"/>
              <w:rPr>
                <w:highlight w:val="none"/>
              </w:rPr>
            </w:pPr>
          </w:p>
        </w:tc>
        <w:tc>
          <w:tcPr>
            <w:tcW w:w="719" w:type="dxa"/>
          </w:tcPr>
          <w:p>
            <w:pPr>
              <w:pStyle w:val="15"/>
              <w:rPr>
                <w:highlight w:val="none"/>
              </w:rPr>
            </w:pPr>
          </w:p>
        </w:tc>
        <w:tc>
          <w:tcPr>
            <w:tcW w:w="912" w:type="dxa"/>
          </w:tcPr>
          <w:p>
            <w:pPr>
              <w:pStyle w:val="15"/>
              <w:rPr>
                <w:highlight w:val="none"/>
              </w:rPr>
            </w:pPr>
          </w:p>
        </w:tc>
        <w:tc>
          <w:tcPr>
            <w:tcW w:w="732" w:type="dxa"/>
          </w:tcPr>
          <w:p>
            <w:pPr>
              <w:pStyle w:val="1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Pr>
          <w:p>
            <w:pPr>
              <w:pStyle w:val="15"/>
              <w:rPr>
                <w:highlight w:val="none"/>
              </w:rPr>
            </w:pPr>
          </w:p>
        </w:tc>
        <w:tc>
          <w:tcPr>
            <w:tcW w:w="996" w:type="dxa"/>
          </w:tcPr>
          <w:p>
            <w:pPr>
              <w:pStyle w:val="15"/>
              <w:rPr>
                <w:highlight w:val="none"/>
              </w:rPr>
            </w:pPr>
          </w:p>
        </w:tc>
        <w:tc>
          <w:tcPr>
            <w:tcW w:w="1284" w:type="dxa"/>
          </w:tcPr>
          <w:p>
            <w:pPr>
              <w:pStyle w:val="15"/>
              <w:rPr>
                <w:highlight w:val="none"/>
              </w:rPr>
            </w:pPr>
          </w:p>
        </w:tc>
        <w:tc>
          <w:tcPr>
            <w:tcW w:w="1516" w:type="dxa"/>
          </w:tcPr>
          <w:p>
            <w:pPr>
              <w:pStyle w:val="15"/>
              <w:rPr>
                <w:highlight w:val="none"/>
              </w:rPr>
            </w:pPr>
          </w:p>
        </w:tc>
        <w:tc>
          <w:tcPr>
            <w:tcW w:w="1161" w:type="dxa"/>
          </w:tcPr>
          <w:p>
            <w:pPr>
              <w:pStyle w:val="15"/>
              <w:rPr>
                <w:highlight w:val="none"/>
              </w:rPr>
            </w:pPr>
          </w:p>
        </w:tc>
        <w:tc>
          <w:tcPr>
            <w:tcW w:w="719" w:type="dxa"/>
          </w:tcPr>
          <w:p>
            <w:pPr>
              <w:pStyle w:val="15"/>
              <w:rPr>
                <w:highlight w:val="none"/>
              </w:rPr>
            </w:pPr>
          </w:p>
        </w:tc>
        <w:tc>
          <w:tcPr>
            <w:tcW w:w="912" w:type="dxa"/>
          </w:tcPr>
          <w:p>
            <w:pPr>
              <w:pStyle w:val="15"/>
              <w:rPr>
                <w:highlight w:val="none"/>
              </w:rPr>
            </w:pPr>
          </w:p>
        </w:tc>
        <w:tc>
          <w:tcPr>
            <w:tcW w:w="732" w:type="dxa"/>
          </w:tcPr>
          <w:p>
            <w:pPr>
              <w:pStyle w:val="15"/>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Pr>
          <w:p>
            <w:pPr>
              <w:pStyle w:val="15"/>
              <w:rPr>
                <w:highlight w:val="none"/>
              </w:rPr>
            </w:pPr>
          </w:p>
        </w:tc>
        <w:tc>
          <w:tcPr>
            <w:tcW w:w="996" w:type="dxa"/>
          </w:tcPr>
          <w:p>
            <w:pPr>
              <w:pStyle w:val="15"/>
              <w:rPr>
                <w:highlight w:val="none"/>
              </w:rPr>
            </w:pPr>
          </w:p>
        </w:tc>
        <w:tc>
          <w:tcPr>
            <w:tcW w:w="1284" w:type="dxa"/>
          </w:tcPr>
          <w:p>
            <w:pPr>
              <w:pStyle w:val="15"/>
              <w:rPr>
                <w:highlight w:val="none"/>
              </w:rPr>
            </w:pPr>
          </w:p>
        </w:tc>
        <w:tc>
          <w:tcPr>
            <w:tcW w:w="1516" w:type="dxa"/>
          </w:tcPr>
          <w:p>
            <w:pPr>
              <w:pStyle w:val="15"/>
              <w:rPr>
                <w:highlight w:val="none"/>
              </w:rPr>
            </w:pPr>
          </w:p>
        </w:tc>
        <w:tc>
          <w:tcPr>
            <w:tcW w:w="1161" w:type="dxa"/>
          </w:tcPr>
          <w:p>
            <w:pPr>
              <w:pStyle w:val="15"/>
              <w:rPr>
                <w:highlight w:val="none"/>
              </w:rPr>
            </w:pPr>
          </w:p>
        </w:tc>
        <w:tc>
          <w:tcPr>
            <w:tcW w:w="719" w:type="dxa"/>
          </w:tcPr>
          <w:p>
            <w:pPr>
              <w:pStyle w:val="15"/>
              <w:rPr>
                <w:highlight w:val="none"/>
              </w:rPr>
            </w:pPr>
          </w:p>
        </w:tc>
        <w:tc>
          <w:tcPr>
            <w:tcW w:w="912" w:type="dxa"/>
          </w:tcPr>
          <w:p>
            <w:pPr>
              <w:pStyle w:val="15"/>
              <w:rPr>
                <w:highlight w:val="none"/>
              </w:rPr>
            </w:pPr>
          </w:p>
        </w:tc>
        <w:tc>
          <w:tcPr>
            <w:tcW w:w="732" w:type="dxa"/>
          </w:tcPr>
          <w:p>
            <w:pPr>
              <w:pStyle w:val="15"/>
              <w:rPr>
                <w:highlight w:val="none"/>
              </w:rPr>
            </w:pPr>
          </w:p>
        </w:tc>
      </w:tr>
    </w:tbl>
    <w:p>
      <w:pPr>
        <w:pStyle w:val="15"/>
        <w:spacing w:line="240" w:lineRule="auto"/>
        <w:ind w:left="708" w:leftChars="200" w:right="-28" w:hanging="288" w:hangingChars="144"/>
        <w:rPr>
          <w:rFonts w:hAnsi="宋体"/>
          <w:highlight w:val="none"/>
        </w:rPr>
      </w:pPr>
    </w:p>
    <w:p>
      <w:pPr>
        <w:pStyle w:val="15"/>
        <w:spacing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 xml:space="preserve">单位：（公章）                       </w:t>
      </w:r>
    </w:p>
    <w:p>
      <w:pPr>
        <w:pStyle w:val="15"/>
        <w:spacing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地址：</w:t>
      </w:r>
    </w:p>
    <w:p>
      <w:pPr>
        <w:pStyle w:val="15"/>
        <w:spacing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联系人：                部门及职务：</w:t>
      </w:r>
    </w:p>
    <w:p>
      <w:pPr>
        <w:spacing w:line="240" w:lineRule="auto"/>
        <w:ind w:left="722" w:leftChars="200" w:right="-28" w:hanging="302" w:hangingChars="144"/>
        <w:rPr>
          <w:rFonts w:ascii="宋体" w:hAnsi="宋体"/>
          <w:highlight w:val="none"/>
        </w:rPr>
      </w:pPr>
      <w:r>
        <w:rPr>
          <w:rFonts w:hint="eastAsia" w:ascii="宋体" w:hAnsi="宋体"/>
          <w:highlight w:val="none"/>
        </w:rPr>
        <w:t>联系方式:              日期：</w:t>
      </w:r>
    </w:p>
    <w:p>
      <w:pPr>
        <w:pStyle w:val="15"/>
        <w:spacing w:line="240" w:lineRule="auto"/>
        <w:ind w:left="708" w:leftChars="200" w:right="-28" w:hanging="288" w:hangingChars="144"/>
        <w:rPr>
          <w:rFonts w:hAnsi="宋体"/>
          <w:highlight w:val="none"/>
        </w:rPr>
      </w:pPr>
    </w:p>
    <w:p>
      <w:pPr>
        <w:pageBreakBefore/>
        <w:tabs>
          <w:tab w:val="left" w:pos="1134"/>
          <w:tab w:val="left" w:pos="8364"/>
        </w:tabs>
        <w:spacing w:before="0" w:after="0" w:afterAutospacing="0"/>
        <w:ind w:left="0" w:right="-57" w:hanging="11"/>
        <w:rPr>
          <w:rFonts w:ascii="宋体" w:hAnsi="宋体"/>
          <w:sz w:val="24"/>
          <w:szCs w:val="24"/>
          <w:highlight w:val="none"/>
        </w:rPr>
      </w:pPr>
      <w:bookmarkStart w:id="1337" w:name="_Toc12677_WPSOffice_Level2"/>
      <w:r>
        <w:rPr>
          <w:rFonts w:hint="eastAsia" w:ascii="宋体" w:hAnsi="宋体"/>
          <w:b/>
          <w:sz w:val="24"/>
          <w:szCs w:val="24"/>
          <w:highlight w:val="none"/>
        </w:rPr>
        <w:t>附件6.3 交货通知格式</w:t>
      </w:r>
      <w:bookmarkEnd w:id="1337"/>
    </w:p>
    <w:p>
      <w:pPr>
        <w:ind w:right="-57" w:firstLine="0"/>
        <w:jc w:val="center"/>
        <w:rPr>
          <w:rFonts w:ascii="宋体" w:hAnsi="宋体"/>
          <w:b/>
          <w:sz w:val="24"/>
          <w:szCs w:val="24"/>
          <w:highlight w:val="none"/>
        </w:rPr>
      </w:pPr>
      <w:bookmarkStart w:id="1338" w:name="_Toc16268_WPSOffice_Level2"/>
      <w:r>
        <w:rPr>
          <w:rFonts w:ascii="宋体" w:hAnsi="宋体" w:cs="宋体"/>
          <w:b/>
          <w:kern w:val="2"/>
          <w:sz w:val="24"/>
          <w:szCs w:val="24"/>
          <w:highlight w:val="none"/>
        </w:rPr>
        <w:t>交货通知 （格式）</w:t>
      </w:r>
      <w:bookmarkEnd w:id="1338"/>
    </w:p>
    <w:p>
      <w:pPr>
        <w:pStyle w:val="15"/>
        <w:spacing w:line="240" w:lineRule="auto"/>
        <w:ind w:leftChars="200" w:right="-28" w:hanging="289" w:hangingChars="144"/>
        <w:jc w:val="center"/>
        <w:rPr>
          <w:rFonts w:hAnsi="宋体"/>
          <w:highlight w:val="none"/>
        </w:rPr>
      </w:pPr>
      <w:r>
        <w:rPr>
          <w:rFonts w:hAnsi="宋体"/>
          <w:b/>
          <w:kern w:val="2"/>
          <w:highlight w:val="none"/>
        </w:rPr>
        <w:t xml:space="preserve">采购项目 </w:t>
      </w:r>
      <w:r>
        <w:rPr>
          <w:rFonts w:hint="eastAsia" w:hAnsi="宋体"/>
          <w:b/>
          <w:kern w:val="2"/>
          <w:highlight w:val="none"/>
        </w:rPr>
        <w:t xml:space="preserve"> </w:t>
      </w:r>
      <w:r>
        <w:rPr>
          <w:rFonts w:hAnsi="宋体"/>
          <w:b/>
          <w:kern w:val="2"/>
          <w:highlight w:val="none"/>
        </w:rPr>
        <w:t xml:space="preserve">号线 第 </w:t>
      </w:r>
      <w:r>
        <w:rPr>
          <w:rFonts w:hint="eastAsia" w:hAnsi="宋体"/>
          <w:b/>
          <w:kern w:val="2"/>
          <w:highlight w:val="none"/>
        </w:rPr>
        <w:t xml:space="preserve"> </w:t>
      </w:r>
      <w:r>
        <w:rPr>
          <w:rFonts w:hAnsi="宋体"/>
          <w:b/>
          <w:kern w:val="2"/>
          <w:highlight w:val="none"/>
        </w:rPr>
        <w:t>批 交货通知</w:t>
      </w:r>
    </w:p>
    <w:p>
      <w:pPr>
        <w:pStyle w:val="15"/>
        <w:snapToGrid w:val="0"/>
        <w:spacing w:beforeLines="50" w:after="120" w:afterLines="50" w:afterAutospacing="0"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供应商：</w:t>
      </w:r>
    </w:p>
    <w:p>
      <w:pPr>
        <w:pStyle w:val="15"/>
        <w:snapToGrid w:val="0"/>
        <w:spacing w:beforeLines="50" w:after="120" w:afterLines="50" w:afterAutospacing="0"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供应商联系人及电话：</w:t>
      </w:r>
    </w:p>
    <w:p>
      <w:pPr>
        <w:pStyle w:val="15"/>
        <w:snapToGrid w:val="0"/>
        <w:spacing w:beforeLines="50" w:after="120" w:afterLines="50" w:afterAutospacing="0"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交货通知号：</w:t>
      </w:r>
    </w:p>
    <w:p>
      <w:pPr>
        <w:pStyle w:val="15"/>
        <w:snapToGrid w:val="0"/>
        <w:spacing w:beforeLines="50" w:after="120" w:afterLines="50" w:afterAutospacing="0"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交货地点：</w:t>
      </w:r>
    </w:p>
    <w:p>
      <w:pPr>
        <w:pStyle w:val="15"/>
        <w:snapToGrid w:val="0"/>
        <w:spacing w:beforeLines="50" w:after="120" w:afterLines="50" w:afterAutospacing="0"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收货联系人及电话：</w:t>
      </w:r>
    </w:p>
    <w:tbl>
      <w:tblPr>
        <w:tblStyle w:val="32"/>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vAlign w:val="center"/>
          </w:tcPr>
          <w:p>
            <w:pPr>
              <w:spacing w:before="0" w:after="0" w:afterAutospacing="0" w:line="240" w:lineRule="auto"/>
              <w:ind w:left="0" w:right="0" w:firstLine="0"/>
              <w:jc w:val="center"/>
              <w:textAlignment w:val="center"/>
              <w:rPr>
                <w:rFonts w:ascii="宋体" w:hAnsi="宋体" w:cs="宋体"/>
                <w:kern w:val="2"/>
                <w:highlight w:val="none"/>
              </w:rPr>
            </w:pPr>
            <w:r>
              <w:rPr>
                <w:rFonts w:hint="eastAsia" w:ascii="宋体" w:hAnsi="宋体" w:cs="宋体"/>
                <w:highlight w:val="none"/>
              </w:rPr>
              <w:t>合同序号</w:t>
            </w:r>
          </w:p>
        </w:tc>
        <w:tc>
          <w:tcPr>
            <w:tcW w:w="1160" w:type="dxa"/>
            <w:vAlign w:val="center"/>
          </w:tcPr>
          <w:p>
            <w:pPr>
              <w:spacing w:before="0" w:after="0" w:afterAutospacing="0" w:line="240" w:lineRule="auto"/>
              <w:ind w:left="0" w:right="0" w:firstLine="0"/>
              <w:jc w:val="center"/>
              <w:textAlignment w:val="center"/>
              <w:rPr>
                <w:rFonts w:ascii="宋体" w:hAnsi="宋体" w:cs="宋体"/>
                <w:kern w:val="2"/>
                <w:highlight w:val="none"/>
              </w:rPr>
            </w:pPr>
            <w:r>
              <w:rPr>
                <w:rFonts w:hint="eastAsia" w:ascii="宋体" w:hAnsi="宋体" w:cs="宋体"/>
                <w:highlight w:val="none"/>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highlight w:val="none"/>
              </w:rPr>
            </w:pPr>
            <w:r>
              <w:rPr>
                <w:rFonts w:hint="eastAsia" w:ascii="宋体" w:hAnsi="宋体" w:cs="宋体"/>
                <w:highlight w:val="none"/>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highlight w:val="none"/>
              </w:rPr>
            </w:pPr>
            <w:r>
              <w:rPr>
                <w:rFonts w:hint="eastAsia" w:ascii="宋体" w:hAnsi="宋体" w:cs="宋体"/>
                <w:highlight w:val="none"/>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highlight w:val="none"/>
              </w:rPr>
            </w:pPr>
            <w:r>
              <w:rPr>
                <w:rFonts w:hint="eastAsia" w:ascii="宋体" w:hAnsi="宋体" w:cs="宋体"/>
                <w:highlight w:val="none"/>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highlight w:val="none"/>
              </w:rPr>
            </w:pPr>
            <w:r>
              <w:rPr>
                <w:rFonts w:hint="eastAsia" w:ascii="宋体" w:hAnsi="宋体" w:cs="宋体"/>
                <w:highlight w:val="none"/>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highlight w:val="none"/>
              </w:rPr>
            </w:pPr>
            <w:r>
              <w:rPr>
                <w:rFonts w:hint="eastAsia" w:ascii="宋体" w:hAnsi="宋体" w:cs="宋体"/>
                <w:highlight w:val="none"/>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kern w:val="2"/>
                <w:highlight w:val="none"/>
              </w:rPr>
            </w:pPr>
            <w:r>
              <w:rPr>
                <w:rFonts w:hint="eastAsia" w:ascii="宋体" w:hAnsi="宋体" w:cs="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pStyle w:val="15"/>
              <w:spacing w:line="240" w:lineRule="auto"/>
              <w:ind w:right="-28"/>
              <w:rPr>
                <w:rFonts w:hAnsi="宋体"/>
                <w:highlight w:val="none"/>
              </w:rPr>
            </w:pPr>
          </w:p>
        </w:tc>
        <w:tc>
          <w:tcPr>
            <w:tcW w:w="1160"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pStyle w:val="15"/>
              <w:spacing w:line="240" w:lineRule="auto"/>
              <w:ind w:right="-28"/>
              <w:rPr>
                <w:rFonts w:hAnsi="宋体"/>
                <w:highlight w:val="none"/>
              </w:rPr>
            </w:pPr>
          </w:p>
        </w:tc>
        <w:tc>
          <w:tcPr>
            <w:tcW w:w="1160"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pStyle w:val="15"/>
              <w:spacing w:line="240" w:lineRule="auto"/>
              <w:ind w:right="-28"/>
              <w:rPr>
                <w:rFonts w:hAnsi="宋体"/>
                <w:highlight w:val="none"/>
              </w:rPr>
            </w:pPr>
          </w:p>
        </w:tc>
        <w:tc>
          <w:tcPr>
            <w:tcW w:w="1160"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pStyle w:val="15"/>
              <w:spacing w:line="240" w:lineRule="auto"/>
              <w:ind w:right="-28"/>
              <w:rPr>
                <w:rFonts w:hAnsi="宋体"/>
                <w:highlight w:val="none"/>
              </w:rPr>
            </w:pPr>
          </w:p>
        </w:tc>
        <w:tc>
          <w:tcPr>
            <w:tcW w:w="1160"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vAlign w:val="center"/>
          </w:tcPr>
          <w:p>
            <w:pPr>
              <w:spacing w:before="0" w:after="0" w:afterAutospacing="0"/>
              <w:ind w:left="0" w:right="0" w:firstLine="0"/>
              <w:jc w:val="center"/>
              <w:textAlignment w:val="center"/>
              <w:rPr>
                <w:rFonts w:ascii="宋体" w:hAnsi="宋体" w:cs="宋体"/>
                <w:b/>
                <w:kern w:val="2"/>
                <w:highlight w:val="none"/>
              </w:rPr>
            </w:pPr>
            <w:r>
              <w:rPr>
                <w:rFonts w:hint="eastAsia" w:ascii="宋体" w:hAnsi="宋体" w:cs="Calibri"/>
                <w:highlight w:val="none"/>
              </w:rPr>
              <w:t>合计</w:t>
            </w:r>
          </w:p>
        </w:tc>
        <w:tc>
          <w:tcPr>
            <w:tcW w:w="1160" w:type="dxa"/>
            <w:vAlign w:val="center"/>
          </w:tcPr>
          <w:p>
            <w:pPr>
              <w:spacing w:before="0" w:after="0" w:afterAutospacing="0"/>
              <w:ind w:left="0" w:right="0" w:firstLine="0"/>
              <w:jc w:val="center"/>
              <w:textAlignment w:val="center"/>
              <w:rPr>
                <w:rFonts w:ascii="宋体" w:hAnsi="宋体" w:cs="Calibri"/>
                <w:highlight w:val="none"/>
              </w:rPr>
            </w:pPr>
          </w:p>
        </w:tc>
        <w:tc>
          <w:tcPr>
            <w:tcW w:w="1161" w:type="dxa"/>
            <w:vAlign w:val="center"/>
          </w:tcPr>
          <w:p>
            <w:pPr>
              <w:spacing w:before="0" w:after="0" w:afterAutospacing="0"/>
              <w:ind w:right="0"/>
              <w:jc w:val="center"/>
              <w:textAlignment w:val="center"/>
              <w:rPr>
                <w:rFonts w:ascii="宋体" w:hAnsi="宋体" w:cs="Calibri"/>
                <w:highlight w:val="none"/>
              </w:rPr>
            </w:pPr>
          </w:p>
        </w:tc>
        <w:tc>
          <w:tcPr>
            <w:tcW w:w="1161" w:type="dxa"/>
            <w:vAlign w:val="center"/>
          </w:tcPr>
          <w:p>
            <w:pPr>
              <w:widowControl w:val="0"/>
              <w:spacing w:before="0" w:after="0" w:afterAutospacing="0"/>
              <w:ind w:right="0"/>
              <w:jc w:val="center"/>
              <w:rPr>
                <w:rFonts w:ascii="宋体" w:hAnsi="宋体" w:cs="Calibri"/>
                <w:highlight w:val="none"/>
              </w:rPr>
            </w:pPr>
          </w:p>
        </w:tc>
        <w:tc>
          <w:tcPr>
            <w:tcW w:w="1161" w:type="dxa"/>
            <w:vAlign w:val="center"/>
          </w:tcPr>
          <w:p>
            <w:pPr>
              <w:widowControl w:val="0"/>
              <w:spacing w:before="0" w:after="0" w:afterAutospacing="0"/>
              <w:ind w:right="0"/>
              <w:jc w:val="center"/>
              <w:rPr>
                <w:rFonts w:ascii="宋体" w:hAnsi="宋体" w:cs="Calibri"/>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r>
    </w:tbl>
    <w:p>
      <w:pPr>
        <w:pStyle w:val="15"/>
        <w:spacing w:line="240" w:lineRule="auto"/>
        <w:ind w:left="708" w:leftChars="200" w:right="-28" w:hanging="288" w:hangingChars="144"/>
        <w:rPr>
          <w:rFonts w:hAnsi="宋体"/>
          <w:kern w:val="2"/>
          <w:highlight w:val="none"/>
        </w:rPr>
      </w:pPr>
      <w:r>
        <w:rPr>
          <w:rFonts w:hint="eastAsia" w:hAnsi="宋体"/>
          <w:highlight w:val="none"/>
        </w:rPr>
        <w:t>说明：</w:t>
      </w:r>
      <w:r>
        <w:rPr>
          <w:rFonts w:hAnsi="宋体" w:cs="Calibri"/>
          <w:kern w:val="2"/>
          <w:highlight w:val="none"/>
        </w:rPr>
        <w:t>1.</w:t>
      </w:r>
      <w:r>
        <w:rPr>
          <w:rFonts w:hAnsi="宋体"/>
          <w:kern w:val="2"/>
          <w:highlight w:val="none"/>
        </w:rPr>
        <w:t>本通知未列明的性能参数等其他要求详见合同。</w:t>
      </w:r>
    </w:p>
    <w:p>
      <w:pPr>
        <w:pStyle w:val="15"/>
        <w:spacing w:line="240" w:lineRule="auto"/>
        <w:ind w:left="708" w:leftChars="200" w:right="-28" w:hanging="288" w:hangingChars="144"/>
        <w:rPr>
          <w:rFonts w:hAnsi="宋体"/>
          <w:kern w:val="2"/>
          <w:highlight w:val="none"/>
        </w:rPr>
      </w:pPr>
      <w:r>
        <w:rPr>
          <w:rFonts w:hAnsi="宋体" w:cs="Calibri"/>
          <w:kern w:val="2"/>
          <w:highlight w:val="none"/>
        </w:rPr>
        <w:t>2.</w:t>
      </w:r>
      <w:r>
        <w:rPr>
          <w:rFonts w:hAnsi="宋体"/>
          <w:kern w:val="2"/>
          <w:highlight w:val="none"/>
        </w:rPr>
        <w:t>本通知加盖运营公司</w:t>
      </w:r>
      <w:r>
        <w:rPr>
          <w:rFonts w:hint="eastAsia" w:hAnsi="宋体"/>
          <w:kern w:val="2"/>
          <w:highlight w:val="none"/>
        </w:rPr>
        <w:t>XX</w:t>
      </w:r>
      <w:r>
        <w:rPr>
          <w:rFonts w:hAnsi="宋体"/>
          <w:kern w:val="2"/>
          <w:highlight w:val="none"/>
        </w:rPr>
        <w:t>部公章后有效，送货时携带纸质版一份。</w:t>
      </w:r>
    </w:p>
    <w:p>
      <w:pPr>
        <w:pStyle w:val="15"/>
        <w:spacing w:line="240" w:lineRule="auto"/>
        <w:ind w:left="708" w:leftChars="200" w:right="-28" w:hanging="288" w:hangingChars="144"/>
        <w:rPr>
          <w:rFonts w:hAnsi="宋体"/>
          <w:highlight w:val="none"/>
        </w:rPr>
      </w:pPr>
      <w:r>
        <w:rPr>
          <w:rFonts w:hAnsi="宋体" w:cs="Calibri"/>
          <w:kern w:val="2"/>
          <w:highlight w:val="none"/>
        </w:rPr>
        <w:t>3.</w:t>
      </w:r>
      <w:r>
        <w:rPr>
          <w:rFonts w:hAnsi="宋体"/>
          <w:kern w:val="2"/>
          <w:highlight w:val="none"/>
        </w:rPr>
        <w:t>本通知如有涂改须经甲方签名认可，否则无效。</w:t>
      </w:r>
    </w:p>
    <w:p>
      <w:pPr>
        <w:pStyle w:val="15"/>
        <w:spacing w:line="240" w:lineRule="auto"/>
        <w:ind w:left="708" w:leftChars="200" w:right="-28" w:hanging="288" w:hangingChars="144"/>
        <w:jc w:val="right"/>
        <w:rPr>
          <w:rFonts w:hAnsi="宋体"/>
          <w:highlight w:val="none"/>
        </w:rPr>
      </w:pPr>
      <w:r>
        <w:rPr>
          <w:rFonts w:hint="eastAsia" w:hAnsi="宋体"/>
          <w:highlight w:val="none"/>
        </w:rPr>
        <w:t>南宁轨道交通集团运营公司XX部</w:t>
      </w:r>
    </w:p>
    <w:p>
      <w:pPr>
        <w:spacing w:before="0" w:after="0" w:afterAutospacing="0" w:line="240" w:lineRule="auto"/>
        <w:ind w:right="-57" w:rightChars="-27"/>
        <w:jc w:val="right"/>
        <w:textAlignment w:val="center"/>
        <w:rPr>
          <w:rFonts w:ascii="宋体" w:hAnsi="宋体" w:cs="宋体"/>
          <w:highlight w:val="none"/>
        </w:rPr>
      </w:pPr>
      <w:r>
        <w:rPr>
          <w:rFonts w:hint="eastAsia" w:ascii="宋体" w:hAnsi="宋体" w:cs="宋体"/>
          <w:highlight w:val="none"/>
        </w:rPr>
        <w:t>通知日期：      年    月    日</w:t>
      </w:r>
    </w:p>
    <w:p>
      <w:pPr>
        <w:pStyle w:val="15"/>
        <w:spacing w:line="240" w:lineRule="auto"/>
        <w:ind w:left="708" w:leftChars="200" w:right="-28" w:hanging="288" w:hangingChars="144"/>
        <w:rPr>
          <w:rFonts w:hAnsi="宋体"/>
          <w:highlight w:val="none"/>
        </w:rPr>
      </w:pPr>
    </w:p>
    <w:p>
      <w:pPr>
        <w:pageBreakBefore/>
        <w:tabs>
          <w:tab w:val="left" w:pos="1134"/>
          <w:tab w:val="left" w:pos="8364"/>
        </w:tabs>
        <w:spacing w:before="0" w:after="0" w:afterAutospacing="0"/>
        <w:ind w:left="0" w:right="-57" w:hanging="11"/>
        <w:rPr>
          <w:rFonts w:ascii="宋体" w:hAnsi="宋体"/>
          <w:sz w:val="24"/>
          <w:szCs w:val="24"/>
          <w:highlight w:val="none"/>
        </w:rPr>
      </w:pPr>
      <w:bookmarkStart w:id="1339" w:name="_Toc11378_WPSOffice_Level2"/>
      <w:r>
        <w:rPr>
          <w:rFonts w:hint="eastAsia" w:ascii="宋体" w:hAnsi="宋体"/>
          <w:b/>
          <w:sz w:val="24"/>
          <w:szCs w:val="24"/>
          <w:highlight w:val="none"/>
        </w:rPr>
        <w:t>附件6.4 送货单格式</w:t>
      </w:r>
      <w:bookmarkEnd w:id="1339"/>
    </w:p>
    <w:p>
      <w:pPr>
        <w:widowControl w:val="0"/>
        <w:spacing w:before="0" w:after="0" w:afterAutospacing="0" w:line="240" w:lineRule="auto"/>
        <w:ind w:left="0" w:right="0" w:firstLine="0"/>
        <w:jc w:val="center"/>
        <w:rPr>
          <w:rFonts w:ascii="宋体" w:hAnsi="宋体" w:cs="宋体"/>
          <w:b/>
          <w:kern w:val="2"/>
          <w:sz w:val="24"/>
          <w:szCs w:val="24"/>
          <w:highlight w:val="none"/>
        </w:rPr>
      </w:pPr>
      <w:bookmarkStart w:id="1340" w:name="_Toc27008_WPSOffice_Level2"/>
      <w:r>
        <w:rPr>
          <w:rFonts w:ascii="宋体" w:hAnsi="宋体" w:cs="宋体"/>
          <w:b/>
          <w:kern w:val="2"/>
          <w:sz w:val="24"/>
          <w:szCs w:val="24"/>
          <w:highlight w:val="none"/>
        </w:rPr>
        <w:t>送货单（格式）</w:t>
      </w:r>
      <w:bookmarkEnd w:id="1340"/>
    </w:p>
    <w:p>
      <w:pPr>
        <w:pStyle w:val="15"/>
        <w:spacing w:line="240" w:lineRule="auto"/>
        <w:ind w:left="2526" w:right="-28" w:hanging="6"/>
        <w:jc w:val="center"/>
        <w:rPr>
          <w:rFonts w:hAnsi="宋体"/>
          <w:highlight w:val="none"/>
        </w:rPr>
      </w:pPr>
      <w:r>
        <w:rPr>
          <w:rFonts w:hint="eastAsia" w:hAnsi="宋体"/>
          <w:b/>
          <w:highlight w:val="none"/>
        </w:rPr>
        <w:t xml:space="preserve"> </w:t>
      </w:r>
      <w:r>
        <w:rPr>
          <w:rFonts w:hAnsi="宋体"/>
          <w:b/>
          <w:kern w:val="2"/>
          <w:highlight w:val="none"/>
        </w:rPr>
        <w:t xml:space="preserve"> 采购项目 号线 第  批 送货单</w:t>
      </w:r>
    </w:p>
    <w:p>
      <w:pPr>
        <w:pStyle w:val="15"/>
        <w:snapToGrid w:val="0"/>
        <w:spacing w:beforeLines="50" w:after="120" w:afterLines="50" w:afterAutospacing="0"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供应商(章)：</w:t>
      </w:r>
    </w:p>
    <w:p>
      <w:pPr>
        <w:pStyle w:val="15"/>
        <w:snapToGrid w:val="0"/>
        <w:spacing w:beforeLines="50" w:after="120" w:afterLines="50" w:afterAutospacing="0"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供应商联系人及电话：</w:t>
      </w:r>
    </w:p>
    <w:p>
      <w:pPr>
        <w:pStyle w:val="15"/>
        <w:snapToGrid w:val="0"/>
        <w:spacing w:beforeLines="50" w:after="120" w:afterLines="50" w:afterAutospacing="0" w:line="240" w:lineRule="auto"/>
        <w:ind w:left="722" w:leftChars="200" w:right="-28" w:hanging="302" w:hangingChars="144"/>
        <w:rPr>
          <w:rFonts w:hAnsi="宋体" w:cs="Times New Roman"/>
          <w:sz w:val="21"/>
          <w:szCs w:val="21"/>
          <w:highlight w:val="none"/>
        </w:rPr>
      </w:pPr>
      <w:r>
        <w:rPr>
          <w:rFonts w:hint="eastAsia" w:hAnsi="宋体" w:cs="Times New Roman"/>
          <w:sz w:val="21"/>
          <w:szCs w:val="21"/>
          <w:highlight w:val="none"/>
        </w:rPr>
        <w:t>交货通知号：</w:t>
      </w:r>
    </w:p>
    <w:tbl>
      <w:tblPr>
        <w:tblStyle w:val="32"/>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合同序号</w:t>
            </w:r>
          </w:p>
        </w:tc>
        <w:tc>
          <w:tcPr>
            <w:tcW w:w="1160"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kern w:val="2"/>
                <w:highlight w:val="none"/>
              </w:rPr>
            </w:pPr>
            <w:r>
              <w:rPr>
                <w:rFonts w:hint="eastAsia" w:ascii="宋体" w:hAnsi="宋体" w:cs="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pStyle w:val="15"/>
              <w:spacing w:line="240" w:lineRule="auto"/>
              <w:ind w:right="-28"/>
              <w:rPr>
                <w:rFonts w:hAnsi="宋体"/>
                <w:highlight w:val="none"/>
              </w:rPr>
            </w:pPr>
          </w:p>
        </w:tc>
        <w:tc>
          <w:tcPr>
            <w:tcW w:w="1160"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pStyle w:val="15"/>
              <w:spacing w:line="240" w:lineRule="auto"/>
              <w:ind w:right="-28"/>
              <w:rPr>
                <w:rFonts w:hAnsi="宋体"/>
                <w:highlight w:val="none"/>
              </w:rPr>
            </w:pPr>
          </w:p>
        </w:tc>
        <w:tc>
          <w:tcPr>
            <w:tcW w:w="1160"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pStyle w:val="15"/>
              <w:spacing w:line="240" w:lineRule="auto"/>
              <w:ind w:right="-28"/>
              <w:rPr>
                <w:rFonts w:hAnsi="宋体"/>
                <w:highlight w:val="none"/>
              </w:rPr>
            </w:pPr>
          </w:p>
        </w:tc>
        <w:tc>
          <w:tcPr>
            <w:tcW w:w="1160"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pStyle w:val="15"/>
              <w:spacing w:line="240" w:lineRule="auto"/>
              <w:ind w:right="-28"/>
              <w:rPr>
                <w:rFonts w:hAnsi="宋体"/>
                <w:highlight w:val="none"/>
              </w:rPr>
            </w:pPr>
          </w:p>
        </w:tc>
        <w:tc>
          <w:tcPr>
            <w:tcW w:w="1160"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9" w:type="dxa"/>
          </w:tcPr>
          <w:p>
            <w:pPr>
              <w:pStyle w:val="15"/>
              <w:spacing w:line="240" w:lineRule="auto"/>
              <w:ind w:right="-28"/>
              <w:rPr>
                <w:rFonts w:hAnsi="宋体"/>
                <w:highlight w:val="none"/>
              </w:rPr>
            </w:pPr>
            <w:r>
              <w:rPr>
                <w:rFonts w:hint="eastAsia" w:hAnsi="宋体"/>
                <w:highlight w:val="none"/>
              </w:rPr>
              <w:t>合计</w:t>
            </w:r>
          </w:p>
        </w:tc>
        <w:tc>
          <w:tcPr>
            <w:tcW w:w="1160"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c>
          <w:tcPr>
            <w:tcW w:w="1161" w:type="dxa"/>
          </w:tcPr>
          <w:p>
            <w:pPr>
              <w:pStyle w:val="15"/>
              <w:spacing w:line="240" w:lineRule="auto"/>
              <w:ind w:right="-28"/>
              <w:rPr>
                <w:rFonts w:hAnsi="宋体"/>
                <w:highlight w:val="none"/>
              </w:rPr>
            </w:pPr>
          </w:p>
        </w:tc>
      </w:tr>
    </w:tbl>
    <w:p>
      <w:pPr>
        <w:pStyle w:val="15"/>
        <w:spacing w:line="240" w:lineRule="auto"/>
        <w:ind w:left="708" w:leftChars="200" w:right="-28" w:hanging="288" w:hangingChars="144"/>
        <w:rPr>
          <w:rFonts w:hAnsi="宋体"/>
          <w:highlight w:val="none"/>
        </w:rPr>
      </w:pPr>
      <w:r>
        <w:rPr>
          <w:rFonts w:hint="eastAsia" w:hAnsi="宋体"/>
          <w:highlight w:val="none"/>
        </w:rPr>
        <w:t>说明：</w:t>
      </w:r>
      <w:r>
        <w:rPr>
          <w:rFonts w:hAnsi="宋体" w:cs="Calibri"/>
          <w:kern w:val="2"/>
          <w:highlight w:val="none"/>
        </w:rPr>
        <w:t>1.</w:t>
      </w:r>
      <w:r>
        <w:rPr>
          <w:rFonts w:hint="eastAsia" w:hAnsi="宋体"/>
          <w:highlight w:val="none"/>
        </w:rPr>
        <w:t>送货时携带纸质版一式两份，仅做收货凭据，不做为验收合格和结算凭证；本单未列明的性能参数等其他要求详见合同。</w:t>
      </w:r>
    </w:p>
    <w:p>
      <w:pPr>
        <w:pStyle w:val="15"/>
        <w:spacing w:line="240" w:lineRule="auto"/>
        <w:ind w:left="708" w:leftChars="200" w:right="-28" w:hanging="288" w:hangingChars="144"/>
        <w:rPr>
          <w:rFonts w:hAnsi="宋体"/>
          <w:highlight w:val="none"/>
        </w:rPr>
      </w:pPr>
      <w:r>
        <w:rPr>
          <w:rFonts w:hAnsi="宋体" w:cs="Calibri"/>
          <w:kern w:val="2"/>
          <w:highlight w:val="none"/>
        </w:rPr>
        <w:t>2.</w:t>
      </w:r>
      <w:r>
        <w:rPr>
          <w:rFonts w:hint="eastAsia" w:hAnsi="宋体"/>
          <w:highlight w:val="none"/>
        </w:rPr>
        <w:t>实收数量栏不能留空，数量为“</w:t>
      </w:r>
      <w:r>
        <w:rPr>
          <w:rFonts w:hAnsi="宋体" w:cs="Calibri"/>
          <w:kern w:val="2"/>
          <w:highlight w:val="none"/>
        </w:rPr>
        <w:t>0</w:t>
      </w:r>
      <w:r>
        <w:rPr>
          <w:rFonts w:hint="eastAsia" w:hAnsi="宋体"/>
          <w:highlight w:val="none"/>
        </w:rPr>
        <w:t>”时用“</w:t>
      </w:r>
      <w:r>
        <w:rPr>
          <w:rFonts w:hAnsi="宋体" w:cs="Calibri"/>
          <w:kern w:val="2"/>
          <w:highlight w:val="none"/>
        </w:rPr>
        <w:t>/</w:t>
      </w:r>
      <w:r>
        <w:rPr>
          <w:rFonts w:hint="eastAsia" w:hAnsi="宋体"/>
          <w:highlight w:val="none"/>
        </w:rPr>
        <w:t>”表示；“合计”栏中的</w:t>
      </w:r>
      <w:r>
        <w:rPr>
          <w:rFonts w:hAnsi="宋体" w:cs="Calibri"/>
          <w:kern w:val="2"/>
          <w:highlight w:val="none"/>
        </w:rPr>
        <w:t>"</w:t>
      </w:r>
      <w:r>
        <w:rPr>
          <w:rFonts w:hint="eastAsia" w:hAnsi="宋体"/>
          <w:highlight w:val="none"/>
        </w:rPr>
        <w:t>实收数量</w:t>
      </w:r>
      <w:r>
        <w:rPr>
          <w:rFonts w:hAnsi="宋体" w:cs="Calibri"/>
          <w:kern w:val="2"/>
          <w:highlight w:val="none"/>
        </w:rPr>
        <w:t>"</w:t>
      </w:r>
      <w:r>
        <w:rPr>
          <w:rFonts w:hint="eastAsia" w:hAnsi="宋体"/>
          <w:highlight w:val="none"/>
        </w:rPr>
        <w:t>为必填项。</w:t>
      </w:r>
    </w:p>
    <w:p>
      <w:pPr>
        <w:pStyle w:val="15"/>
        <w:spacing w:line="240" w:lineRule="auto"/>
        <w:ind w:left="708" w:leftChars="200" w:right="-28" w:hanging="288" w:hangingChars="144"/>
        <w:rPr>
          <w:rFonts w:hAnsi="宋体"/>
          <w:highlight w:val="none"/>
        </w:rPr>
      </w:pPr>
      <w:r>
        <w:rPr>
          <w:rFonts w:hAnsi="宋体" w:cs="Calibri"/>
          <w:kern w:val="2"/>
          <w:highlight w:val="none"/>
        </w:rPr>
        <w:t>3.</w:t>
      </w:r>
      <w:r>
        <w:rPr>
          <w:rFonts w:hint="eastAsia" w:hAnsi="宋体"/>
          <w:highlight w:val="none"/>
        </w:rPr>
        <w:t>本清单如有涂改必须有双方签名认可，否则无效。</w:t>
      </w:r>
    </w:p>
    <w:p>
      <w:pPr>
        <w:pStyle w:val="15"/>
        <w:spacing w:line="240" w:lineRule="auto"/>
        <w:ind w:left="708" w:leftChars="200" w:right="-28" w:hanging="288" w:hangingChars="144"/>
        <w:rPr>
          <w:rFonts w:hAnsi="宋体"/>
          <w:highlight w:val="none"/>
        </w:rPr>
      </w:pPr>
      <w:r>
        <w:rPr>
          <w:rFonts w:hint="eastAsia" w:hAnsi="宋体"/>
          <w:highlight w:val="none"/>
        </w:rPr>
        <w:t>送货人（签名）：　　　　　　　　　　　　　　　运输工具及车号：</w:t>
      </w:r>
    </w:p>
    <w:p>
      <w:pPr>
        <w:pStyle w:val="15"/>
        <w:spacing w:line="240" w:lineRule="auto"/>
        <w:ind w:left="708" w:leftChars="200" w:right="-28" w:hanging="288" w:hangingChars="144"/>
        <w:rPr>
          <w:rFonts w:hAnsi="宋体"/>
          <w:highlight w:val="none"/>
        </w:rPr>
      </w:pPr>
      <w:r>
        <w:rPr>
          <w:rFonts w:hint="eastAsia" w:hAnsi="宋体"/>
          <w:highlight w:val="none"/>
        </w:rPr>
        <w:t>收货人（签名）：　　　　　　　　　　　　　　　收货时间：</w:t>
      </w:r>
    </w:p>
    <w:p>
      <w:pPr>
        <w:pStyle w:val="15"/>
        <w:spacing w:line="240" w:lineRule="auto"/>
        <w:ind w:left="708" w:leftChars="200" w:right="-28" w:hanging="288" w:hangingChars="144"/>
        <w:rPr>
          <w:rFonts w:hAnsi="宋体"/>
          <w:highlight w:val="none"/>
        </w:rPr>
      </w:pPr>
    </w:p>
    <w:p>
      <w:pPr>
        <w:rPr>
          <w:rFonts w:hint="eastAsia" w:ascii="宋体" w:hAnsi="宋体" w:cs="宋体"/>
          <w:b/>
          <w:sz w:val="21"/>
          <w:szCs w:val="21"/>
          <w:highlight w:val="none"/>
          <w:lang w:val="en-US" w:eastAsia="zh-CN"/>
        </w:rPr>
      </w:pPr>
      <w:bookmarkStart w:id="1341" w:name="_Toc24568"/>
      <w:bookmarkStart w:id="1342" w:name="_Toc4568"/>
      <w:r>
        <w:rPr>
          <w:rFonts w:hint="eastAsia" w:ascii="宋体" w:hAnsi="宋体" w:cs="宋体"/>
          <w:b/>
          <w:sz w:val="21"/>
          <w:szCs w:val="21"/>
          <w:highlight w:val="none"/>
          <w:lang w:val="en-US" w:eastAsia="zh-CN"/>
        </w:rPr>
        <w:br w:type="page"/>
      </w:r>
    </w:p>
    <w:p>
      <w:pPr>
        <w:pStyle w:val="62"/>
        <w:pageBreakBefore/>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5"/>
        <w:spacing w:before="40" w:after="40" w:line="240" w:lineRule="auto"/>
        <w:jc w:val="center"/>
        <w:rPr>
          <w:rFonts w:ascii="Times New Roman" w:hAnsi="Times New Roman" w:eastAsia="宋体"/>
          <w:highlight w:val="none"/>
        </w:rPr>
      </w:pPr>
      <w:bookmarkStart w:id="1343" w:name="_Toc780_WPSOffice_Level1"/>
      <w:bookmarkStart w:id="1344" w:name="_Toc101965695"/>
      <w:bookmarkStart w:id="1345" w:name="_Toc92268652"/>
      <w:bookmarkStart w:id="1346" w:name="_Toc24244"/>
      <w:bookmarkStart w:id="1347" w:name="_Toc12640"/>
      <w:r>
        <w:rPr>
          <w:rFonts w:ascii="Times New Roman" w:hAnsi="Times New Roman" w:eastAsia="宋体"/>
          <w:highlight w:val="none"/>
        </w:rPr>
        <w:t>第</w:t>
      </w:r>
      <w:r>
        <w:rPr>
          <w:rFonts w:hint="eastAsia" w:ascii="Times New Roman" w:hAnsi="Times New Roman" w:eastAsia="宋体"/>
          <w:highlight w:val="none"/>
        </w:rPr>
        <w:t>七</w:t>
      </w:r>
      <w:r>
        <w:rPr>
          <w:rFonts w:ascii="Times New Roman" w:hAnsi="Times New Roman" w:eastAsia="宋体"/>
          <w:highlight w:val="none"/>
        </w:rPr>
        <w:t>部分</w:t>
      </w:r>
      <w:r>
        <w:rPr>
          <w:rFonts w:hint="eastAsia" w:ascii="Times New Roman" w:hAnsi="Times New Roman" w:eastAsia="宋体"/>
          <w:highlight w:val="none"/>
        </w:rPr>
        <w:t xml:space="preserve"> 比选文件</w:t>
      </w:r>
      <w:bookmarkEnd w:id="1343"/>
      <w:bookmarkEnd w:id="1344"/>
      <w:bookmarkEnd w:id="1345"/>
      <w:bookmarkEnd w:id="1346"/>
      <w:bookmarkEnd w:id="1347"/>
    </w:p>
    <w:p>
      <w:pPr>
        <w:pStyle w:val="62"/>
        <w:adjustRightInd/>
        <w:spacing w:before="0" w:after="0" w:line="360" w:lineRule="auto"/>
        <w:ind w:left="0" w:right="0"/>
        <w:rPr>
          <w:rFonts w:ascii="宋体" w:hAnsi="宋体"/>
          <w:sz w:val="21"/>
          <w:szCs w:val="21"/>
          <w:highlight w:val="none"/>
        </w:rPr>
      </w:pPr>
    </w:p>
    <w:p>
      <w:pPr>
        <w:snapToGrid w:val="0"/>
        <w:jc w:val="center"/>
        <w:rPr>
          <w:rFonts w:ascii="宋体" w:hAnsi="宋体"/>
          <w:b/>
          <w:sz w:val="28"/>
          <w:szCs w:val="28"/>
          <w:highlight w:val="none"/>
        </w:rPr>
      </w:pPr>
      <w:bookmarkStart w:id="1348" w:name="_Toc3331_WPSOffice_Level2"/>
      <w:r>
        <w:rPr>
          <w:rFonts w:hint="eastAsia" w:ascii="宋体" w:hAnsi="宋体"/>
          <w:b/>
          <w:sz w:val="28"/>
          <w:szCs w:val="28"/>
          <w:highlight w:val="none"/>
        </w:rPr>
        <w:t>（另册）</w:t>
      </w:r>
      <w:bookmarkEnd w:id="1348"/>
    </w:p>
    <w:p>
      <w:pPr>
        <w:pStyle w:val="62"/>
        <w:adjustRightInd/>
        <w:spacing w:before="0" w:after="0" w:line="360" w:lineRule="auto"/>
        <w:ind w:left="0" w:right="0"/>
        <w:rPr>
          <w:rFonts w:ascii="宋体" w:hAnsi="宋体"/>
          <w:sz w:val="21"/>
          <w:szCs w:val="21"/>
          <w:highlight w:val="none"/>
        </w:rPr>
      </w:pPr>
    </w:p>
    <w:p>
      <w:pPr>
        <w:pStyle w:val="62"/>
        <w:pageBreakBefore/>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5"/>
        <w:spacing w:before="40" w:after="40" w:line="240" w:lineRule="auto"/>
        <w:jc w:val="center"/>
        <w:rPr>
          <w:rFonts w:ascii="Times New Roman" w:hAnsi="Times New Roman" w:eastAsia="宋体"/>
          <w:highlight w:val="none"/>
        </w:rPr>
      </w:pPr>
      <w:bookmarkStart w:id="1349" w:name="_Toc101965696"/>
      <w:bookmarkStart w:id="1350" w:name="_Toc21928"/>
      <w:bookmarkStart w:id="1351" w:name="_Toc92268653"/>
      <w:bookmarkStart w:id="1352" w:name="_Toc3522_WPSOffice_Level1"/>
      <w:bookmarkStart w:id="1353" w:name="_Toc6873"/>
      <w:r>
        <w:rPr>
          <w:rFonts w:ascii="Times New Roman" w:hAnsi="Times New Roman" w:eastAsia="宋体"/>
          <w:highlight w:val="none"/>
        </w:rPr>
        <w:t>第</w:t>
      </w:r>
      <w:r>
        <w:rPr>
          <w:rFonts w:hint="eastAsia" w:ascii="Times New Roman" w:hAnsi="Times New Roman" w:eastAsia="宋体"/>
          <w:highlight w:val="none"/>
        </w:rPr>
        <w:t>八</w:t>
      </w:r>
      <w:r>
        <w:rPr>
          <w:rFonts w:ascii="Times New Roman" w:hAnsi="Times New Roman" w:eastAsia="宋体"/>
          <w:highlight w:val="none"/>
        </w:rPr>
        <w:t>部分</w:t>
      </w:r>
      <w:r>
        <w:rPr>
          <w:rFonts w:hint="eastAsia" w:ascii="Times New Roman" w:hAnsi="Times New Roman" w:eastAsia="宋体"/>
          <w:highlight w:val="none"/>
        </w:rPr>
        <w:t xml:space="preserve"> 比选申请文件</w:t>
      </w:r>
      <w:bookmarkEnd w:id="1349"/>
      <w:bookmarkEnd w:id="1350"/>
      <w:bookmarkEnd w:id="1351"/>
      <w:bookmarkEnd w:id="1352"/>
      <w:bookmarkEnd w:id="1353"/>
    </w:p>
    <w:p>
      <w:pPr>
        <w:pStyle w:val="62"/>
        <w:adjustRightInd/>
        <w:spacing w:before="0" w:after="0" w:line="360" w:lineRule="auto"/>
        <w:ind w:left="0" w:right="0"/>
        <w:rPr>
          <w:rFonts w:ascii="宋体" w:hAnsi="宋体"/>
          <w:sz w:val="21"/>
          <w:szCs w:val="21"/>
          <w:highlight w:val="none"/>
        </w:rPr>
      </w:pPr>
    </w:p>
    <w:p>
      <w:pPr>
        <w:snapToGrid w:val="0"/>
        <w:jc w:val="center"/>
        <w:rPr>
          <w:rFonts w:ascii="宋体" w:hAnsi="宋体"/>
          <w:b/>
          <w:sz w:val="28"/>
          <w:szCs w:val="28"/>
          <w:highlight w:val="none"/>
        </w:rPr>
      </w:pPr>
      <w:bookmarkStart w:id="1354" w:name="_Toc8353_WPSOffice_Level2"/>
      <w:r>
        <w:rPr>
          <w:rFonts w:hint="eastAsia" w:ascii="宋体" w:hAnsi="宋体"/>
          <w:b/>
          <w:sz w:val="28"/>
          <w:szCs w:val="28"/>
          <w:highlight w:val="none"/>
        </w:rPr>
        <w:t>（另册）</w:t>
      </w:r>
      <w:bookmarkEnd w:id="1354"/>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pStyle w:val="62"/>
        <w:adjustRightInd/>
        <w:spacing w:before="0" w:after="0" w:line="360" w:lineRule="auto"/>
        <w:ind w:left="0" w:right="0"/>
        <w:rPr>
          <w:rFonts w:ascii="宋体" w:hAnsi="宋体"/>
          <w:sz w:val="21"/>
          <w:szCs w:val="21"/>
          <w:highlight w:val="none"/>
        </w:rPr>
      </w:pPr>
    </w:p>
    <w:p>
      <w:pPr>
        <w:rPr>
          <w:rFonts w:hint="eastAsia" w:ascii="宋体" w:hAnsi="宋体" w:cs="宋体"/>
          <w:b/>
          <w:sz w:val="21"/>
          <w:szCs w:val="21"/>
          <w:highlight w:val="none"/>
          <w:lang w:val="en-US" w:eastAsia="zh-CN"/>
        </w:rPr>
      </w:pPr>
      <w:r>
        <w:rPr>
          <w:rFonts w:hint="eastAsia" w:ascii="宋体" w:hAnsi="宋体" w:cs="宋体"/>
          <w:b/>
          <w:sz w:val="21"/>
          <w:szCs w:val="21"/>
          <w:highlight w:val="none"/>
          <w:lang w:val="en-US" w:eastAsia="zh-CN"/>
        </w:rPr>
        <w:br w:type="page"/>
      </w:r>
    </w:p>
    <w:bookmarkEnd w:id="1341"/>
    <w:bookmarkEnd w:id="1342"/>
    <w:p>
      <w:pPr>
        <w:pStyle w:val="15"/>
        <w:pageBreakBefore/>
        <w:ind w:right="-57" w:firstLine="0"/>
        <w:jc w:val="center"/>
        <w:outlineLvl w:val="0"/>
        <w:rPr>
          <w:rStyle w:val="44"/>
          <w:rFonts w:ascii="宋体" w:hAnsi="宋体" w:eastAsia="宋体"/>
          <w:highlight w:val="none"/>
        </w:rPr>
      </w:pPr>
      <w:bookmarkStart w:id="1355" w:name="_Toc1020"/>
      <w:bookmarkStart w:id="1356" w:name="_Toc22009"/>
      <w:bookmarkStart w:id="1357" w:name="_Toc1083_WPSOffice_Level1"/>
      <w:bookmarkStart w:id="1358" w:name="_Toc1805"/>
      <w:bookmarkStart w:id="1359" w:name="_Toc17261"/>
      <w:bookmarkStart w:id="1360" w:name="_Toc28524"/>
      <w:bookmarkStart w:id="1361" w:name="_Toc27263"/>
      <w:bookmarkStart w:id="1362" w:name="_Toc5157"/>
      <w:bookmarkStart w:id="1363" w:name="_Toc30920"/>
      <w:bookmarkStart w:id="1364" w:name="_Toc22307"/>
      <w:bookmarkStart w:id="1365" w:name="_Toc31574"/>
      <w:bookmarkStart w:id="1366" w:name="_Toc11580"/>
      <w:bookmarkStart w:id="1367" w:name="_Toc29546"/>
      <w:bookmarkStart w:id="1368" w:name="_Toc17396"/>
      <w:bookmarkStart w:id="1369" w:name="_Toc195_WPSOffice_Level2"/>
      <w:bookmarkStart w:id="1370" w:name="_Toc3599_WPSOffice_Level1"/>
      <w:bookmarkStart w:id="1371" w:name="_Toc25306"/>
      <w:bookmarkStart w:id="1372" w:name="_Toc4374"/>
      <w:bookmarkStart w:id="1373" w:name="_Toc32011"/>
      <w:bookmarkStart w:id="1374" w:name="_Toc13167"/>
      <w:bookmarkStart w:id="1375" w:name="_Toc28677"/>
      <w:bookmarkStart w:id="1376" w:name="_Toc28285"/>
      <w:bookmarkStart w:id="1377" w:name="_Toc31873"/>
      <w:bookmarkStart w:id="1378" w:name="_Toc25750673"/>
      <w:bookmarkStart w:id="1379" w:name="_Toc14912"/>
      <w:bookmarkStart w:id="1380" w:name="_Toc21689"/>
      <w:bookmarkStart w:id="1381" w:name="_Toc14790"/>
      <w:bookmarkStart w:id="1382" w:name="_Toc11320"/>
      <w:bookmarkStart w:id="1383" w:name="_Toc6151"/>
      <w:r>
        <w:rPr>
          <w:rStyle w:val="44"/>
          <w:rFonts w:hint="eastAsia" w:ascii="宋体" w:hAnsi="宋体" w:eastAsia="宋体"/>
          <w:highlight w:val="none"/>
        </w:rPr>
        <w:t>第四章比选申请文件格式</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4"/>
        <w:spacing w:after="100"/>
        <w:ind w:right="-57" w:firstLine="0"/>
        <w:jc w:val="center"/>
        <w:rPr>
          <w:sz w:val="24"/>
          <w:szCs w:val="24"/>
          <w:highlight w:val="none"/>
        </w:rPr>
      </w:pPr>
      <w:bookmarkStart w:id="1384" w:name="_Toc18214_WPSOffice_Level2"/>
      <w:bookmarkStart w:id="1385" w:name="_Toc26627"/>
      <w:bookmarkStart w:id="1386" w:name="_Toc26380"/>
      <w:bookmarkStart w:id="1387" w:name="_Toc3967"/>
      <w:bookmarkStart w:id="1388" w:name="_Toc28430"/>
      <w:bookmarkStart w:id="1389" w:name="_Toc30271"/>
      <w:bookmarkStart w:id="1390" w:name="_Toc6405"/>
      <w:bookmarkStart w:id="1391" w:name="_Toc532"/>
      <w:bookmarkStart w:id="1392" w:name="_Toc11784_WPSOffice_Level2"/>
      <w:bookmarkStart w:id="1393" w:name="_Toc25750674"/>
      <w:bookmarkStart w:id="1394" w:name="_Toc14236"/>
      <w:bookmarkStart w:id="1395" w:name="_Toc12983549"/>
      <w:bookmarkStart w:id="1396" w:name="_Toc31535"/>
      <w:bookmarkStart w:id="1397" w:name="_Toc492478802"/>
      <w:bookmarkStart w:id="1398" w:name="_Toc19412"/>
      <w:bookmarkStart w:id="1399" w:name="_Toc25325"/>
      <w:bookmarkStart w:id="1400" w:name="_Toc32185"/>
      <w:bookmarkStart w:id="1401" w:name="_Toc4027"/>
      <w:bookmarkStart w:id="1402" w:name="_Toc3396"/>
      <w:bookmarkStart w:id="1403" w:name="_Toc361"/>
      <w:bookmarkStart w:id="1404" w:name="_Toc414290520"/>
      <w:bookmarkStart w:id="1405" w:name="_Toc4873"/>
      <w:bookmarkStart w:id="1406" w:name="_Toc22709"/>
      <w:bookmarkStart w:id="1407" w:name="_Toc21274"/>
      <w:bookmarkStart w:id="1408" w:name="_Toc6941"/>
      <w:bookmarkStart w:id="1409" w:name="_Toc12984805"/>
      <w:bookmarkStart w:id="1410" w:name="_Toc24824"/>
      <w:bookmarkStart w:id="1411" w:name="_Toc16671"/>
      <w:bookmarkStart w:id="1412" w:name="_Toc24453"/>
      <w:bookmarkStart w:id="1413" w:name="_Toc31624"/>
      <w:bookmarkStart w:id="1414" w:name="_Toc23261"/>
      <w:bookmarkStart w:id="1415" w:name="_Toc30705"/>
      <w:r>
        <w:rPr>
          <w:sz w:val="24"/>
          <w:szCs w:val="24"/>
          <w:highlight w:val="none"/>
        </w:rPr>
        <w:t>A  资格审查</w:t>
      </w:r>
      <w:r>
        <w:rPr>
          <w:rFonts w:hint="eastAsia"/>
          <w:sz w:val="24"/>
          <w:szCs w:val="24"/>
          <w:highlight w:val="none"/>
        </w:rPr>
        <w:t>文件</w:t>
      </w:r>
      <w:bookmarkEnd w:id="1384"/>
      <w:bookmarkEnd w:id="1385"/>
      <w:bookmarkEnd w:id="1386"/>
      <w:bookmarkEnd w:id="1387"/>
      <w:bookmarkEnd w:id="1388"/>
      <w:bookmarkEnd w:id="1389"/>
      <w:bookmarkEnd w:id="1390"/>
      <w:bookmarkEnd w:id="1391"/>
      <w:bookmarkEnd w:id="1392"/>
      <w:bookmarkEnd w:id="1393"/>
      <w:bookmarkEnd w:id="1394"/>
    </w:p>
    <w:p>
      <w:pPr>
        <w:spacing w:before="0" w:after="0" w:afterAutospacing="0"/>
        <w:ind w:left="0" w:right="0" w:firstLine="422" w:firstLineChars="200"/>
        <w:jc w:val="left"/>
        <w:rPr>
          <w:rFonts w:ascii="宋体" w:hAnsi="宋体"/>
          <w:b/>
          <w:highlight w:val="none"/>
        </w:rPr>
      </w:pPr>
      <w:r>
        <w:rPr>
          <w:rFonts w:ascii="宋体" w:hAnsi="宋体"/>
          <w:b/>
          <w:highlight w:val="none"/>
        </w:rPr>
        <w:t>资格审查文件格式</w:t>
      </w:r>
    </w:p>
    <w:p>
      <w:pPr>
        <w:tabs>
          <w:tab w:val="left" w:pos="1134"/>
        </w:tabs>
        <w:spacing w:before="0" w:after="0" w:afterAutospacing="0"/>
        <w:ind w:left="0" w:right="0" w:firstLine="420" w:firstLineChars="200"/>
        <w:rPr>
          <w:highlight w:val="none"/>
        </w:rPr>
      </w:pPr>
      <w:r>
        <w:rPr>
          <w:rFonts w:hint="eastAsia" w:hAnsi="宋体"/>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highlight w:val="none"/>
        </w:rPr>
      </w:pPr>
      <w:r>
        <w:rPr>
          <w:rFonts w:hint="eastAsia" w:hAnsi="宋体"/>
          <w:highlight w:val="none"/>
        </w:rPr>
        <w:t>（2）比选申请人有效的营业执照副本复印件；</w:t>
      </w:r>
    </w:p>
    <w:p>
      <w:pPr>
        <w:spacing w:before="0" w:after="0" w:afterAutospacing="0"/>
        <w:ind w:left="0" w:right="0" w:firstLine="420" w:firstLineChars="200"/>
        <w:rPr>
          <w:rFonts w:hAnsi="宋体"/>
          <w:highlight w:val="none"/>
        </w:rPr>
      </w:pPr>
      <w:r>
        <w:rPr>
          <w:rFonts w:hint="eastAsia" w:hAnsi="宋体"/>
          <w:highlight w:val="none"/>
        </w:rPr>
        <w:t>（3）</w:t>
      </w:r>
      <w:r>
        <w:rPr>
          <w:rFonts w:hAnsi="宋体"/>
          <w:highlight w:val="none"/>
        </w:rPr>
        <w:t>承诺书（格式见</w:t>
      </w:r>
      <w:r>
        <w:rPr>
          <w:highlight w:val="none"/>
        </w:rPr>
        <w:t>A</w:t>
      </w:r>
      <w:r>
        <w:rPr>
          <w:rFonts w:hint="eastAsia"/>
          <w:highlight w:val="none"/>
        </w:rPr>
        <w:t>3</w:t>
      </w:r>
      <w:r>
        <w:rPr>
          <w:rFonts w:hAnsi="宋体"/>
          <w:highlight w:val="none"/>
        </w:rPr>
        <w:t>）；</w:t>
      </w:r>
    </w:p>
    <w:p>
      <w:pPr>
        <w:spacing w:before="0" w:after="0" w:afterAutospacing="0"/>
        <w:ind w:left="0" w:right="0" w:firstLine="420" w:firstLineChars="200"/>
        <w:rPr>
          <w:highlight w:val="none"/>
        </w:rPr>
      </w:pPr>
      <w:r>
        <w:rPr>
          <w:rFonts w:hint="eastAsia" w:hAnsi="宋体"/>
          <w:highlight w:val="none"/>
        </w:rPr>
        <w:t>（4）</w:t>
      </w:r>
      <w:r>
        <w:rPr>
          <w:rFonts w:hint="eastAsia" w:hAnsi="宋体"/>
          <w:highlight w:val="none"/>
          <w:lang w:val="en-US" w:eastAsia="zh-CN"/>
        </w:rPr>
        <w:t>资质证照</w:t>
      </w:r>
      <w:r>
        <w:rPr>
          <w:rFonts w:hint="eastAsia" w:hAnsi="宋体"/>
          <w:highlight w:val="none"/>
        </w:rPr>
        <w:t>（A4</w:t>
      </w:r>
      <w:r>
        <w:rPr>
          <w:rFonts w:hint="eastAsia" w:hAnsi="宋体"/>
          <w:color w:val="auto"/>
          <w:highlight w:val="none"/>
        </w:rPr>
        <w:t>）；</w:t>
      </w:r>
    </w:p>
    <w:p>
      <w:pPr>
        <w:spacing w:before="0" w:after="0" w:afterAutospacing="0"/>
        <w:ind w:left="0" w:right="0" w:firstLine="420" w:firstLineChars="200"/>
        <w:rPr>
          <w:highlight w:val="none"/>
        </w:rPr>
      </w:pPr>
      <w:r>
        <w:rPr>
          <w:rFonts w:hint="eastAsia" w:hAnsi="宋体"/>
          <w:highlight w:val="none"/>
        </w:rPr>
        <w:t>（</w:t>
      </w:r>
      <w:r>
        <w:rPr>
          <w:rFonts w:hint="eastAsia" w:hAnsi="宋体"/>
          <w:highlight w:val="none"/>
          <w:lang w:val="en-US" w:eastAsia="zh-CN"/>
        </w:rPr>
        <w:t>5</w:t>
      </w:r>
      <w:r>
        <w:rPr>
          <w:rFonts w:hint="eastAsia" w:hAnsi="宋体"/>
          <w:highlight w:val="none"/>
        </w:rPr>
        <w:t>）类似项目业绩表（A</w:t>
      </w:r>
      <w:r>
        <w:rPr>
          <w:rFonts w:hint="eastAsia" w:hAnsi="宋体"/>
          <w:highlight w:val="none"/>
          <w:lang w:val="en-US" w:eastAsia="zh-CN"/>
        </w:rPr>
        <w:t>5</w:t>
      </w:r>
      <w:r>
        <w:rPr>
          <w:rFonts w:hint="eastAsia" w:hAnsi="宋体"/>
          <w:color w:val="auto"/>
          <w:highlight w:val="none"/>
        </w:rPr>
        <w:t>）</w:t>
      </w:r>
      <w:r>
        <w:rPr>
          <w:rFonts w:hint="eastAsia" w:hAnsi="宋体"/>
          <w:color w:val="auto"/>
          <w:highlight w:val="none"/>
          <w:lang w:eastAsia="zh-CN"/>
        </w:rPr>
        <w:t>（</w:t>
      </w:r>
      <w:r>
        <w:rPr>
          <w:rFonts w:hint="eastAsia" w:hAnsi="宋体"/>
          <w:color w:val="auto"/>
          <w:highlight w:val="none"/>
          <w:lang w:val="en-US" w:eastAsia="zh-CN"/>
        </w:rPr>
        <w:t>如有</w:t>
      </w:r>
      <w:r>
        <w:rPr>
          <w:rFonts w:hint="eastAsia" w:hAnsi="宋体"/>
          <w:color w:val="auto"/>
          <w:highlight w:val="none"/>
          <w:lang w:eastAsia="zh-CN"/>
        </w:rPr>
        <w:t>）</w:t>
      </w:r>
      <w:r>
        <w:rPr>
          <w:rFonts w:hint="eastAsia" w:hAnsi="宋体"/>
          <w:color w:val="auto"/>
          <w:highlight w:val="none"/>
        </w:rPr>
        <w:t>；</w:t>
      </w:r>
    </w:p>
    <w:p>
      <w:pPr>
        <w:spacing w:before="0" w:after="0" w:afterAutospacing="0"/>
        <w:ind w:left="0" w:right="0" w:firstLine="420" w:firstLineChars="200"/>
        <w:rPr>
          <w:highlight w:val="none"/>
        </w:rPr>
      </w:pPr>
      <w:r>
        <w:rPr>
          <w:rFonts w:hint="eastAsia" w:hAnsi="宋体"/>
          <w:highlight w:val="none"/>
        </w:rPr>
        <w:t>（</w:t>
      </w:r>
      <w:r>
        <w:rPr>
          <w:rFonts w:hint="eastAsia" w:hAnsi="宋体"/>
          <w:highlight w:val="none"/>
          <w:lang w:val="en-US" w:eastAsia="zh-CN"/>
        </w:rPr>
        <w:t>6</w:t>
      </w:r>
      <w:r>
        <w:rPr>
          <w:rFonts w:hint="eastAsia" w:hAnsi="宋体"/>
          <w:highlight w:val="none"/>
        </w:rPr>
        <w:t>）比选申请人认为应提交的其他比选申请资料。</w:t>
      </w:r>
    </w:p>
    <w:p>
      <w:pPr>
        <w:spacing w:before="0" w:after="0" w:afterAutospacing="0"/>
        <w:ind w:left="0" w:right="0" w:firstLine="420" w:firstLineChars="200"/>
        <w:rPr>
          <w:rFonts w:hAnsi="宋体"/>
          <w:highlight w:val="none"/>
        </w:rPr>
      </w:pPr>
      <w:r>
        <w:rPr>
          <w:rFonts w:hint="eastAsia" w:hAnsi="宋体"/>
          <w:highlight w:val="none"/>
        </w:rPr>
        <w:t>注：</w:t>
      </w:r>
      <w:r>
        <w:rPr>
          <w:rFonts w:hAnsi="宋体"/>
          <w:highlight w:val="none"/>
        </w:rPr>
        <w:t>以上提供的复印件必须加盖比选申请人公章。</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spacing w:before="0" w:after="0" w:afterAutospacing="0"/>
        <w:ind w:left="0" w:right="0" w:firstLine="420" w:firstLineChars="200"/>
        <w:rPr>
          <w:rFonts w:hAnsi="宋体"/>
          <w:highlight w:val="none"/>
        </w:rPr>
        <w:sectPr>
          <w:footerReference r:id="rId7" w:type="default"/>
          <w:pgSz w:w="11905" w:h="16838"/>
          <w:pgMar w:top="1417" w:right="1417" w:bottom="1417" w:left="1417" w:header="454" w:footer="567" w:gutter="0"/>
          <w:pgNumType w:fmt="decimal"/>
          <w:cols w:space="720" w:num="1"/>
          <w:docGrid w:linePitch="312" w:charSpace="0"/>
        </w:sectPr>
      </w:pPr>
    </w:p>
    <w:p>
      <w:pPr>
        <w:numPr>
          <w:ilvl w:val="1"/>
          <w:numId w:val="15"/>
        </w:numPr>
        <w:snapToGrid w:val="0"/>
        <w:spacing w:before="0" w:line="240" w:lineRule="auto"/>
        <w:ind w:right="0" w:firstLine="0"/>
        <w:jc w:val="left"/>
        <w:outlineLvl w:val="0"/>
        <w:rPr>
          <w:rFonts w:ascii="宋体" w:hAnsi="宋体"/>
          <w:b/>
          <w:highlight w:val="none"/>
        </w:rPr>
      </w:pPr>
      <w:bookmarkStart w:id="1416" w:name="_Toc1663"/>
      <w:bookmarkStart w:id="1417" w:name="_Toc9658"/>
      <w:bookmarkStart w:id="1418" w:name="_Toc4125"/>
      <w:bookmarkStart w:id="1419" w:name="_Toc414290522"/>
      <w:bookmarkStart w:id="1420" w:name="_Toc3499"/>
      <w:bookmarkStart w:id="1421" w:name="_Toc17079"/>
      <w:bookmarkStart w:id="1422" w:name="_Toc22533"/>
      <w:bookmarkStart w:id="1423" w:name="_Toc17004"/>
      <w:bookmarkStart w:id="1424" w:name="_Toc492478804"/>
      <w:bookmarkStart w:id="1425" w:name="_Toc15696"/>
      <w:bookmarkStart w:id="1426" w:name="_Toc7057"/>
      <w:bookmarkStart w:id="1427" w:name="_Toc10238"/>
      <w:bookmarkStart w:id="1428" w:name="_Toc32455"/>
      <w:bookmarkStart w:id="1429" w:name="_Toc630"/>
      <w:bookmarkStart w:id="1430" w:name="_Toc13727"/>
      <w:bookmarkStart w:id="1431" w:name="_Toc20029"/>
      <w:bookmarkStart w:id="1432" w:name="_Toc8868"/>
      <w:bookmarkStart w:id="1433" w:name="_Toc21031"/>
      <w:bookmarkStart w:id="1434" w:name="_Toc20671"/>
      <w:bookmarkStart w:id="1435" w:name="_Toc375564351"/>
      <w:bookmarkStart w:id="1436" w:name="_Toc25750675"/>
      <w:bookmarkStart w:id="1437" w:name="_Toc26959"/>
      <w:bookmarkStart w:id="1438" w:name="_Toc956"/>
      <w:bookmarkStart w:id="1439" w:name="_Toc10433"/>
      <w:bookmarkStart w:id="1440" w:name="_Toc12984807"/>
      <w:bookmarkStart w:id="1441" w:name="_Toc8627"/>
      <w:bookmarkStart w:id="1442" w:name="_Toc7718"/>
      <w:bookmarkStart w:id="1443" w:name="_Toc24436"/>
      <w:bookmarkStart w:id="1444" w:name="_Toc10789"/>
      <w:bookmarkStart w:id="1445" w:name="_Toc13389"/>
      <w:bookmarkStart w:id="1446" w:name="_Toc16089"/>
      <w:bookmarkStart w:id="1447" w:name="_Toc20283"/>
      <w:r>
        <w:rPr>
          <w:rFonts w:ascii="宋体" w:hAnsi="宋体"/>
          <w:b/>
          <w:highlight w:val="none"/>
        </w:rPr>
        <w:t>法定代表人授权书格式</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spacing w:before="240" w:after="240"/>
        <w:ind w:right="0" w:firstLine="0"/>
        <w:jc w:val="center"/>
        <w:rPr>
          <w:rFonts w:ascii="宋体" w:hAnsi="宋体"/>
          <w:b/>
          <w:sz w:val="32"/>
          <w:szCs w:val="32"/>
          <w:highlight w:val="none"/>
        </w:rPr>
      </w:pPr>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法定代表人授权书</w:t>
      </w:r>
    </w:p>
    <w:p>
      <w:pPr>
        <w:tabs>
          <w:tab w:val="left" w:pos="8364"/>
        </w:tabs>
        <w:snapToGrid w:val="0"/>
        <w:ind w:left="500" w:right="0" w:hanging="499"/>
        <w:rPr>
          <w:rFonts w:hint="eastAsia" w:ascii="宋体" w:hAnsi="宋体" w:eastAsia="宋体"/>
          <w:color w:val="auto"/>
          <w:highlight w:val="none"/>
          <w:lang w:eastAsia="zh-CN"/>
        </w:rPr>
      </w:pPr>
      <w:r>
        <w:rPr>
          <w:rFonts w:ascii="宋体" w:hAnsi="宋体"/>
          <w:color w:val="auto"/>
          <w:highlight w:val="none"/>
        </w:rPr>
        <w:t>致：</w:t>
      </w:r>
      <w:r>
        <w:rPr>
          <w:rFonts w:hint="eastAsia" w:ascii="宋体" w:hAnsi="宋体"/>
          <w:color w:val="auto"/>
          <w:highlight w:val="none"/>
          <w:lang w:eastAsia="zh-CN"/>
        </w:rPr>
        <w:t>南宁轨道交通运营有限公司</w:t>
      </w:r>
    </w:p>
    <w:p>
      <w:pPr>
        <w:tabs>
          <w:tab w:val="left" w:pos="8364"/>
        </w:tabs>
        <w:snapToGrid w:val="0"/>
        <w:ind w:right="0" w:firstLine="200"/>
        <w:rPr>
          <w:rFonts w:ascii="宋体" w:hAnsi="宋体"/>
          <w:highlight w:val="none"/>
        </w:rPr>
      </w:pPr>
      <w:r>
        <w:rPr>
          <w:rFonts w:ascii="宋体" w:hAnsi="宋体"/>
          <w:highlight w:val="none"/>
        </w:rPr>
        <w:t>本授权书声明：注册于</w:t>
      </w:r>
      <w:r>
        <w:rPr>
          <w:rFonts w:ascii="宋体" w:hAnsi="宋体"/>
          <w:highlight w:val="none"/>
          <w:u w:val="single"/>
        </w:rPr>
        <w:t>(国家或地区)</w:t>
      </w:r>
      <w:r>
        <w:rPr>
          <w:rFonts w:ascii="宋体" w:hAnsi="宋体"/>
          <w:highlight w:val="none"/>
        </w:rPr>
        <w:t>的</w:t>
      </w:r>
      <w:r>
        <w:rPr>
          <w:rFonts w:ascii="宋体" w:hAnsi="宋体"/>
          <w:highlight w:val="none"/>
          <w:u w:val="single"/>
        </w:rPr>
        <w:t>（比选申请人名称）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（被授权人的姓名、职务）</w:t>
      </w:r>
      <w:r>
        <w:rPr>
          <w:rFonts w:ascii="宋体" w:hAnsi="宋体"/>
          <w:highlight w:val="none"/>
        </w:rPr>
        <w:t>为本公司的合法代理人，就项目编号为</w:t>
      </w:r>
      <w:r>
        <w:rPr>
          <w:rFonts w:hint="eastAsia" w:ascii="宋体" w:hAnsi="宋体"/>
          <w:highlight w:val="none"/>
          <w:u w:val="single"/>
          <w:lang w:val="en-US" w:eastAsia="zh-CN"/>
        </w:rPr>
        <w:t xml:space="preserve"> 202208250003 </w:t>
      </w:r>
      <w:r>
        <w:rPr>
          <w:rFonts w:ascii="宋体" w:hAnsi="宋体"/>
          <w:highlight w:val="none"/>
        </w:rPr>
        <w:t>的</w:t>
      </w:r>
      <w:r>
        <w:rPr>
          <w:rFonts w:hint="eastAsia" w:ascii="宋体" w:hAnsi="宋体"/>
          <w:highlight w:val="none"/>
          <w:u w:val="single"/>
          <w:lang w:eastAsia="zh-CN"/>
        </w:rPr>
        <w:t>南宁轨道交通1-5号线出入段（场）线地面洞口及个别车站紧急疏散口视频监控补盲项目</w:t>
      </w:r>
      <w:r>
        <w:rPr>
          <w:rFonts w:ascii="宋体" w:hAnsi="宋体"/>
          <w:highlight w:val="none"/>
        </w:rPr>
        <w:t>的比选申请和合同执行，作为比选申请人代表以本公司的名义处理一切与之有关的事宜。</w:t>
      </w:r>
    </w:p>
    <w:p>
      <w:pPr>
        <w:tabs>
          <w:tab w:val="left" w:pos="8364"/>
        </w:tabs>
        <w:snapToGrid w:val="0"/>
        <w:ind w:right="0" w:firstLine="200"/>
        <w:rPr>
          <w:rFonts w:ascii="宋体" w:hAnsi="宋体"/>
          <w:highlight w:val="none"/>
        </w:rPr>
      </w:pPr>
      <w:r>
        <w:rPr>
          <w:rFonts w:ascii="宋体" w:hAnsi="宋体"/>
          <w:highlight w:val="none"/>
        </w:rPr>
        <w:t>本授权书于</w:t>
      </w:r>
      <w:r>
        <w:rPr>
          <w:rFonts w:hint="eastAsia" w:ascii="宋体" w:hAnsi="宋体"/>
          <w:highlight w:val="none"/>
          <w:u w:val="single"/>
        </w:rPr>
        <w:t xml:space="preserve"> XXXX   </w:t>
      </w:r>
      <w:r>
        <w:rPr>
          <w:rFonts w:ascii="宋体" w:hAnsi="宋体"/>
          <w:highlight w:val="none"/>
        </w:rPr>
        <w:t>年</w:t>
      </w:r>
      <w:r>
        <w:rPr>
          <w:rFonts w:hint="eastAsia" w:ascii="宋体" w:hAnsi="宋体"/>
          <w:highlight w:val="none"/>
          <w:u w:val="single"/>
        </w:rPr>
        <w:t xml:space="preserve"> XX  </w:t>
      </w:r>
      <w:r>
        <w:rPr>
          <w:rFonts w:ascii="宋体" w:hAnsi="宋体"/>
          <w:highlight w:val="none"/>
        </w:rPr>
        <w:t>月</w:t>
      </w:r>
      <w:r>
        <w:rPr>
          <w:rFonts w:hint="eastAsia" w:ascii="宋体" w:hAnsi="宋体"/>
          <w:highlight w:val="none"/>
          <w:u w:val="single"/>
        </w:rPr>
        <w:t xml:space="preserve"> XX  </w:t>
      </w:r>
      <w:r>
        <w:rPr>
          <w:rFonts w:ascii="宋体" w:hAnsi="宋体"/>
          <w:highlight w:val="none"/>
        </w:rPr>
        <w:t>日签字生效，特此声明。</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法定代表人签字或盖章：</w:t>
      </w:r>
    </w:p>
    <w:p>
      <w:pPr>
        <w:tabs>
          <w:tab w:val="left" w:pos="8364"/>
        </w:tabs>
        <w:snapToGrid w:val="0"/>
        <w:ind w:right="0" w:firstLine="200"/>
        <w:rPr>
          <w:rFonts w:ascii="宋体" w:hAnsi="宋体"/>
          <w:highlight w:val="none"/>
          <w:u w:val="single"/>
        </w:rPr>
      </w:pPr>
      <w:r>
        <w:rPr>
          <w:rFonts w:ascii="宋体" w:hAnsi="宋体"/>
          <w:highlight w:val="none"/>
        </w:rPr>
        <w:t>职务：</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ind w:right="0" w:firstLine="200"/>
        <w:rPr>
          <w:rFonts w:ascii="宋体" w:hAnsi="宋体"/>
          <w:highlight w:val="none"/>
          <w:u w:val="single"/>
        </w:rPr>
      </w:pPr>
      <w:r>
        <w:rPr>
          <w:rFonts w:ascii="宋体" w:hAnsi="宋体"/>
          <w:highlight w:val="none"/>
        </w:rPr>
        <w:t>地址：</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比选申请人代表（被授权人）签字或盖章：</w:t>
      </w:r>
    </w:p>
    <w:p>
      <w:pPr>
        <w:tabs>
          <w:tab w:val="left" w:pos="8364"/>
        </w:tabs>
        <w:snapToGrid w:val="0"/>
        <w:ind w:right="0" w:firstLine="200"/>
        <w:rPr>
          <w:rFonts w:ascii="宋体" w:hAnsi="宋体"/>
          <w:highlight w:val="none"/>
          <w:u w:val="single"/>
        </w:rPr>
      </w:pPr>
      <w:r>
        <w:rPr>
          <w:rFonts w:ascii="宋体" w:hAnsi="宋体"/>
          <w:highlight w:val="none"/>
        </w:rPr>
        <w:t>职务：</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p>
    <w:p>
      <w:pPr>
        <w:tabs>
          <w:tab w:val="left" w:pos="8364"/>
        </w:tabs>
        <w:snapToGrid w:val="0"/>
        <w:ind w:right="0" w:firstLine="200"/>
        <w:rPr>
          <w:rFonts w:ascii="宋体" w:hAnsi="宋体"/>
          <w:highlight w:val="none"/>
          <w:u w:val="single"/>
        </w:rPr>
      </w:pPr>
      <w:r>
        <w:rPr>
          <w:rFonts w:ascii="宋体" w:hAnsi="宋体"/>
          <w:highlight w:val="none"/>
        </w:rPr>
        <w:t>地址：</w:t>
      </w:r>
    </w:p>
    <w:p>
      <w:pPr>
        <w:spacing w:before="0"/>
        <w:ind w:right="0" w:firstLine="135"/>
        <w:rPr>
          <w:rFonts w:ascii="宋体" w:hAnsi="宋体"/>
          <w:highlight w:val="none"/>
          <w:u w:val="single"/>
        </w:rPr>
      </w:pPr>
      <w:r>
        <w:rPr>
          <w:rFonts w:hint="eastAsia" w:ascii="宋体" w:hAnsi="宋体"/>
          <w:b/>
          <w:highlight w:val="none"/>
        </w:rPr>
        <w:t>附：授权代理人身份证复印件</w:t>
      </w:r>
    </w:p>
    <w:p>
      <w:pPr>
        <w:numPr>
          <w:ilvl w:val="1"/>
          <w:numId w:val="15"/>
        </w:numPr>
        <w:snapToGrid w:val="0"/>
        <w:spacing w:before="0" w:line="240" w:lineRule="auto"/>
        <w:ind w:right="0" w:firstLine="0"/>
        <w:jc w:val="left"/>
        <w:outlineLvl w:val="0"/>
        <w:rPr>
          <w:rFonts w:ascii="宋体" w:hAnsi="宋体"/>
          <w:b/>
          <w:highlight w:val="none"/>
        </w:rPr>
      </w:pPr>
      <w:bookmarkStart w:id="1448" w:name="_Toc21045"/>
      <w:bookmarkStart w:id="1449" w:name="_Toc27657"/>
      <w:bookmarkStart w:id="1450" w:name="_Toc13606"/>
      <w:bookmarkStart w:id="1451" w:name="_Toc9757"/>
      <w:bookmarkStart w:id="1452" w:name="_Toc414290523"/>
      <w:bookmarkStart w:id="1453" w:name="_Toc7753"/>
      <w:bookmarkStart w:id="1454" w:name="_Toc20436"/>
      <w:bookmarkStart w:id="1455" w:name="_Toc26713"/>
      <w:bookmarkStart w:id="1456" w:name="_Toc13798"/>
      <w:bookmarkStart w:id="1457" w:name="_Toc8654"/>
      <w:bookmarkStart w:id="1458" w:name="_Toc15572"/>
      <w:bookmarkStart w:id="1459" w:name="_Toc13634"/>
      <w:bookmarkStart w:id="1460" w:name="_Toc22287"/>
      <w:bookmarkStart w:id="1461" w:name="_Toc15141"/>
      <w:bookmarkStart w:id="1462" w:name="_Toc19744"/>
      <w:bookmarkStart w:id="1463" w:name="_Toc17964"/>
      <w:bookmarkStart w:id="1464" w:name="_Toc9583"/>
      <w:bookmarkStart w:id="1465" w:name="_Toc492478805"/>
      <w:bookmarkStart w:id="1466" w:name="_Toc523"/>
      <w:bookmarkStart w:id="1467" w:name="_Toc12984808"/>
      <w:bookmarkStart w:id="1468" w:name="_Toc5977"/>
      <w:bookmarkStart w:id="1469" w:name="_Toc31808"/>
      <w:bookmarkStart w:id="1470" w:name="_Toc7273"/>
      <w:bookmarkStart w:id="1471" w:name="_Toc29463"/>
      <w:bookmarkStart w:id="1472" w:name="_Toc27722"/>
      <w:bookmarkStart w:id="1473" w:name="_Toc24322"/>
      <w:bookmarkStart w:id="1474" w:name="_Toc9073"/>
      <w:bookmarkStart w:id="1475" w:name="_Toc15980"/>
      <w:bookmarkStart w:id="1476" w:name="_Toc17617"/>
      <w:bookmarkStart w:id="1477" w:name="_Toc25750676"/>
      <w:bookmarkStart w:id="1478" w:name="_Toc375564352"/>
      <w:bookmarkStart w:id="1479" w:name="_Toc25303"/>
      <w:r>
        <w:rPr>
          <w:rFonts w:ascii="宋体" w:hAnsi="宋体"/>
          <w:b/>
          <w:highlight w:val="none"/>
        </w:rPr>
        <w:t>法定代表人资格证明书格式</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ind w:right="0" w:firstLine="200"/>
        <w:rPr>
          <w:rFonts w:ascii="宋体" w:hAnsi="宋体"/>
          <w:highlight w:val="none"/>
        </w:rPr>
      </w:pPr>
    </w:p>
    <w:p>
      <w:pPr>
        <w:spacing w:before="240" w:after="240"/>
        <w:ind w:right="0" w:firstLine="0"/>
        <w:jc w:val="center"/>
        <w:rPr>
          <w:rFonts w:ascii="宋体" w:hAnsi="宋体"/>
          <w:b/>
          <w:sz w:val="32"/>
          <w:szCs w:val="32"/>
          <w:highlight w:val="none"/>
        </w:rPr>
      </w:pPr>
      <w:r>
        <w:rPr>
          <w:rFonts w:ascii="宋体" w:hAnsi="宋体"/>
          <w:b/>
          <w:sz w:val="32"/>
          <w:szCs w:val="32"/>
          <w:highlight w:val="none"/>
        </w:rPr>
        <w:t>法定代表人资格证明书</w:t>
      </w:r>
    </w:p>
    <w:p>
      <w:pPr>
        <w:ind w:right="0" w:firstLine="200"/>
        <w:rPr>
          <w:rFonts w:ascii="宋体" w:hAnsi="宋体"/>
          <w:highlight w:val="none"/>
          <w:u w:val="single"/>
        </w:rPr>
      </w:pPr>
      <w:r>
        <w:rPr>
          <w:rFonts w:ascii="宋体" w:hAnsi="宋体"/>
          <w:highlight w:val="none"/>
        </w:rPr>
        <w:t>单位名称：</w:t>
      </w:r>
    </w:p>
    <w:p>
      <w:pPr>
        <w:ind w:right="0" w:firstLine="200"/>
        <w:rPr>
          <w:rFonts w:ascii="宋体" w:hAnsi="宋体"/>
          <w:highlight w:val="none"/>
          <w:u w:val="single"/>
        </w:rPr>
      </w:pPr>
      <w:r>
        <w:rPr>
          <w:rFonts w:ascii="宋体" w:hAnsi="宋体"/>
          <w:highlight w:val="none"/>
        </w:rPr>
        <w:t>地址：</w:t>
      </w:r>
    </w:p>
    <w:p>
      <w:pPr>
        <w:ind w:right="0" w:firstLine="200"/>
        <w:rPr>
          <w:rFonts w:ascii="宋体" w:hAnsi="宋体"/>
          <w:highlight w:val="none"/>
          <w:u w:val="single"/>
        </w:rPr>
      </w:pPr>
      <w:r>
        <w:rPr>
          <w:rFonts w:ascii="宋体" w:hAnsi="宋体"/>
          <w:highlight w:val="none"/>
        </w:rPr>
        <w:t>姓名：</w:t>
      </w:r>
      <w:r>
        <w:rPr>
          <w:rFonts w:hint="eastAsia" w:ascii="宋体" w:hAnsi="宋体"/>
          <w:highlight w:val="none"/>
          <w:lang w:val="en-US" w:eastAsia="zh-CN"/>
        </w:rPr>
        <w:t xml:space="preserve">          </w:t>
      </w:r>
      <w:r>
        <w:rPr>
          <w:rFonts w:ascii="宋体" w:hAnsi="宋体"/>
          <w:highlight w:val="none"/>
        </w:rPr>
        <w:t>性别：</w:t>
      </w:r>
      <w:r>
        <w:rPr>
          <w:rFonts w:hint="eastAsia" w:ascii="宋体" w:hAnsi="宋体"/>
          <w:highlight w:val="none"/>
          <w:lang w:val="en-US" w:eastAsia="zh-CN"/>
        </w:rPr>
        <w:t xml:space="preserve">        </w:t>
      </w:r>
      <w:r>
        <w:rPr>
          <w:rFonts w:ascii="宋体" w:hAnsi="宋体"/>
          <w:highlight w:val="none"/>
        </w:rPr>
        <w:t>年龄：</w:t>
      </w:r>
      <w:r>
        <w:rPr>
          <w:rFonts w:hint="eastAsia" w:ascii="宋体" w:hAnsi="宋体"/>
          <w:highlight w:val="none"/>
          <w:lang w:val="en-US" w:eastAsia="zh-CN"/>
        </w:rPr>
        <w:t xml:space="preserve">       </w:t>
      </w:r>
      <w:r>
        <w:rPr>
          <w:rFonts w:ascii="宋体" w:hAnsi="宋体"/>
          <w:highlight w:val="none"/>
        </w:rPr>
        <w:t>职务：</w:t>
      </w:r>
    </w:p>
    <w:p>
      <w:pPr>
        <w:ind w:right="0" w:firstLine="200"/>
        <w:rPr>
          <w:rFonts w:ascii="宋体" w:hAnsi="宋体"/>
          <w:highlight w:val="none"/>
        </w:rPr>
      </w:pPr>
      <w:r>
        <w:rPr>
          <w:rFonts w:ascii="宋体" w:hAnsi="宋体"/>
          <w:highlight w:val="none"/>
        </w:rPr>
        <w:t>系的法定代表人。</w:t>
      </w:r>
    </w:p>
    <w:p>
      <w:pPr>
        <w:ind w:right="0" w:firstLine="200"/>
        <w:rPr>
          <w:rFonts w:ascii="宋体" w:hAnsi="宋体"/>
          <w:highlight w:val="none"/>
        </w:rPr>
      </w:pPr>
      <w:r>
        <w:rPr>
          <w:rFonts w:ascii="宋体" w:hAnsi="宋体"/>
          <w:highlight w:val="none"/>
        </w:rPr>
        <w:t>特此证明。</w:t>
      </w:r>
    </w:p>
    <w:p>
      <w:pPr>
        <w:ind w:right="0" w:firstLine="200"/>
        <w:rPr>
          <w:rFonts w:ascii="宋体" w:hAnsi="宋体"/>
          <w:highlight w:val="none"/>
        </w:rPr>
      </w:pPr>
    </w:p>
    <w:p>
      <w:pPr>
        <w:ind w:right="0" w:firstLine="200"/>
        <w:rPr>
          <w:rFonts w:ascii="宋体" w:hAnsi="宋体"/>
          <w:highlight w:val="none"/>
          <w:u w:val="single"/>
        </w:rPr>
      </w:pPr>
      <w:r>
        <w:rPr>
          <w:rFonts w:ascii="宋体" w:hAnsi="宋体"/>
          <w:highlight w:val="none"/>
        </w:rPr>
        <w:t>比选申请人：（盖章）</w:t>
      </w:r>
    </w:p>
    <w:p>
      <w:pPr>
        <w:ind w:right="0" w:firstLine="200"/>
        <w:rPr>
          <w:rFonts w:ascii="宋体" w:hAnsi="宋体"/>
          <w:highlight w:val="none"/>
        </w:rPr>
      </w:pPr>
      <w:r>
        <w:rPr>
          <w:rFonts w:ascii="宋体" w:hAnsi="宋体"/>
          <w:highlight w:val="none"/>
        </w:rPr>
        <w:t>日期：</w:t>
      </w:r>
      <w:r>
        <w:rPr>
          <w:rFonts w:hint="eastAsia" w:ascii="宋体" w:hAnsi="宋体"/>
          <w:highlight w:val="none"/>
          <w:lang w:val="en-US" w:eastAsia="zh-CN"/>
        </w:rPr>
        <w:t xml:space="preserve">    </w:t>
      </w:r>
      <w:r>
        <w:rPr>
          <w:rFonts w:ascii="宋体" w:hAnsi="宋体"/>
          <w:highlight w:val="none"/>
        </w:rPr>
        <w:t>年</w:t>
      </w:r>
      <w:r>
        <w:rPr>
          <w:rFonts w:hint="eastAsia" w:ascii="宋体" w:hAnsi="宋体"/>
          <w:highlight w:val="none"/>
          <w:lang w:val="en-US" w:eastAsia="zh-CN"/>
        </w:rPr>
        <w:t xml:space="preserve">    </w:t>
      </w:r>
      <w:r>
        <w:rPr>
          <w:rFonts w:ascii="宋体" w:hAnsi="宋体"/>
          <w:highlight w:val="none"/>
        </w:rPr>
        <w:t>月</w:t>
      </w:r>
      <w:r>
        <w:rPr>
          <w:rFonts w:hint="eastAsia" w:ascii="宋体" w:hAnsi="宋体"/>
          <w:highlight w:val="none"/>
          <w:lang w:val="en-US" w:eastAsia="zh-CN"/>
        </w:rPr>
        <w:t xml:space="preserve">    </w:t>
      </w:r>
      <w:r>
        <w:rPr>
          <w:rFonts w:ascii="宋体" w:hAnsi="宋体"/>
          <w:highlight w:val="none"/>
        </w:rPr>
        <w:t>日</w:t>
      </w:r>
    </w:p>
    <w:p>
      <w:pPr>
        <w:rPr>
          <w:rFonts w:ascii="宋体" w:hAnsi="宋体"/>
          <w:b/>
          <w:highlight w:val="none"/>
        </w:rPr>
      </w:pPr>
      <w:bookmarkStart w:id="1480" w:name="_Toc12984809"/>
      <w:r>
        <w:rPr>
          <w:rFonts w:hint="eastAsia" w:ascii="宋体" w:hAnsi="宋体"/>
          <w:b/>
          <w:highlight w:val="none"/>
        </w:rPr>
        <w:t>附</w:t>
      </w:r>
      <w:r>
        <w:rPr>
          <w:rFonts w:ascii="宋体" w:hAnsi="宋体"/>
          <w:b/>
          <w:highlight w:val="none"/>
        </w:rPr>
        <w:t xml:space="preserve">: </w:t>
      </w:r>
      <w:r>
        <w:rPr>
          <w:rFonts w:hint="eastAsia" w:ascii="宋体" w:hAnsi="宋体"/>
          <w:b/>
          <w:highlight w:val="none"/>
        </w:rPr>
        <w:t>法人身份证复印件</w:t>
      </w:r>
    </w:p>
    <w:p>
      <w:pPr>
        <w:pageBreakBefore/>
        <w:snapToGrid w:val="0"/>
        <w:ind w:right="0" w:firstLine="0"/>
        <w:jc w:val="left"/>
        <w:outlineLvl w:val="0"/>
        <w:rPr>
          <w:rFonts w:ascii="宋体" w:hAnsi="宋体"/>
          <w:b/>
          <w:highlight w:val="none"/>
        </w:rPr>
      </w:pPr>
      <w:bookmarkStart w:id="1481" w:name="_Toc3426"/>
      <w:bookmarkStart w:id="1482" w:name="_Toc32062"/>
      <w:bookmarkStart w:id="1483" w:name="_Toc21307"/>
      <w:bookmarkStart w:id="1484" w:name="_Toc26097"/>
      <w:bookmarkStart w:id="1485" w:name="_Toc15609"/>
      <w:bookmarkStart w:id="1486" w:name="_Toc6033"/>
      <w:bookmarkStart w:id="1487" w:name="_Toc23489"/>
      <w:bookmarkStart w:id="1488" w:name="_Toc4894"/>
      <w:bookmarkStart w:id="1489" w:name="_Toc24848"/>
      <w:bookmarkStart w:id="1490" w:name="_Toc29246"/>
      <w:bookmarkStart w:id="1491" w:name="_Toc19721"/>
      <w:bookmarkStart w:id="1492" w:name="_Toc19870"/>
      <w:bookmarkStart w:id="1493" w:name="_Toc16996"/>
      <w:bookmarkStart w:id="1494" w:name="_Toc375564353"/>
      <w:bookmarkStart w:id="1495" w:name="_Toc17745"/>
      <w:bookmarkStart w:id="1496" w:name="_Toc15394"/>
      <w:bookmarkStart w:id="1497" w:name="_Toc7712"/>
      <w:bookmarkStart w:id="1498" w:name="_Toc13331"/>
      <w:bookmarkStart w:id="1499" w:name="_Toc744"/>
      <w:bookmarkStart w:id="1500" w:name="_Toc10356"/>
      <w:bookmarkStart w:id="1501" w:name="_Toc25750677"/>
      <w:bookmarkStart w:id="1502" w:name="_Toc29326"/>
      <w:bookmarkStart w:id="1503" w:name="_Toc31448"/>
      <w:bookmarkStart w:id="1504" w:name="_Toc1932"/>
      <w:bookmarkStart w:id="1505" w:name="_Toc414290524"/>
      <w:bookmarkStart w:id="1506" w:name="_Toc492478806"/>
      <w:bookmarkStart w:id="1507" w:name="_Toc8301"/>
      <w:bookmarkStart w:id="1508" w:name="_Toc16467"/>
      <w:bookmarkStart w:id="1509" w:name="_Toc4803"/>
      <w:bookmarkStart w:id="1510" w:name="_Toc26907"/>
      <w:bookmarkStart w:id="1511" w:name="_Toc11425"/>
      <w:r>
        <w:rPr>
          <w:rFonts w:hint="eastAsia" w:ascii="宋体" w:hAnsi="宋体"/>
          <w:b/>
          <w:highlight w:val="none"/>
        </w:rPr>
        <w:t xml:space="preserve">A3 </w:t>
      </w:r>
      <w:r>
        <w:rPr>
          <w:rFonts w:ascii="宋体" w:hAnsi="宋体"/>
          <w:b/>
          <w:highlight w:val="none"/>
        </w:rPr>
        <w:t>承诺书格式</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spacing w:before="240" w:after="240" w:line="400" w:lineRule="exact"/>
        <w:ind w:right="0" w:firstLine="0"/>
        <w:jc w:val="center"/>
        <w:rPr>
          <w:rFonts w:ascii="宋体" w:hAnsi="宋体"/>
          <w:b/>
          <w:sz w:val="32"/>
          <w:szCs w:val="32"/>
          <w:highlight w:val="none"/>
        </w:rPr>
      </w:pPr>
      <w:r>
        <w:rPr>
          <w:rFonts w:ascii="宋体" w:hAnsi="宋体"/>
          <w:b/>
          <w:sz w:val="32"/>
          <w:szCs w:val="32"/>
          <w:highlight w:val="none"/>
        </w:rPr>
        <w:t>承诺书</w:t>
      </w:r>
    </w:p>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420" w:firstLineChars="200"/>
        <w:jc w:val="left"/>
        <w:textAlignment w:val="auto"/>
        <w:rPr>
          <w:rFonts w:hint="eastAsia" w:ascii="宋体" w:hAnsi="宋体" w:eastAsia="宋体"/>
          <w:color w:val="000000"/>
          <w:highlight w:val="none"/>
          <w:lang w:eastAsia="zh-CN"/>
        </w:rPr>
      </w:pPr>
      <w:r>
        <w:rPr>
          <w:rFonts w:ascii="宋体" w:hAnsi="宋体"/>
          <w:color w:val="000000"/>
          <w:highlight w:val="none"/>
        </w:rPr>
        <w:t>致：</w:t>
      </w:r>
      <w:r>
        <w:rPr>
          <w:rFonts w:hint="eastAsia" w:ascii="宋体" w:hAnsi="宋体"/>
          <w:color w:val="000000"/>
          <w:highlight w:val="none"/>
          <w:u w:val="single"/>
          <w:lang w:eastAsia="zh-CN"/>
        </w:rPr>
        <w:t>南宁轨道交通运营有限公司</w:t>
      </w:r>
    </w:p>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420" w:firstLineChars="200"/>
        <w:jc w:val="left"/>
        <w:textAlignment w:val="auto"/>
        <w:rPr>
          <w:rFonts w:ascii="宋体" w:hAnsi="宋体"/>
          <w:color w:val="000000"/>
          <w:highlight w:val="none"/>
        </w:rPr>
      </w:pPr>
      <w:r>
        <w:rPr>
          <w:rFonts w:ascii="宋体" w:hAnsi="宋体"/>
          <w:color w:val="000000"/>
          <w:highlight w:val="none"/>
        </w:rPr>
        <w:t>1、在认真研读</w:t>
      </w:r>
      <w:r>
        <w:rPr>
          <w:rFonts w:hint="eastAsia" w:ascii="宋体" w:hAnsi="宋体"/>
          <w:color w:val="000000"/>
          <w:highlight w:val="none"/>
          <w:lang w:eastAsia="zh-CN"/>
        </w:rPr>
        <w:t>南宁轨道交通运营有限公司</w:t>
      </w:r>
      <w:r>
        <w:rPr>
          <w:rFonts w:hint="eastAsia" w:ascii="宋体" w:hAnsi="宋体"/>
          <w:color w:val="000000"/>
          <w:highlight w:val="none"/>
        </w:rPr>
        <w:t>的</w:t>
      </w:r>
      <w:r>
        <w:rPr>
          <w:rFonts w:hint="eastAsia" w:ascii="宋体" w:hAnsi="宋体"/>
          <w:highlight w:val="none"/>
          <w:u w:val="single"/>
          <w:lang w:val="en-US" w:eastAsia="zh-CN"/>
        </w:rPr>
        <w:t>南宁轨道交通1-5号线出入段（场）线地面洞口及个别车站紧急疏散口视频监控补盲项目</w:t>
      </w:r>
      <w:r>
        <w:rPr>
          <w:rFonts w:hint="eastAsia" w:ascii="宋体" w:hAnsi="宋体"/>
          <w:color w:val="000000"/>
          <w:highlight w:val="none"/>
        </w:rPr>
        <w:t>比选文件</w:t>
      </w:r>
      <w:r>
        <w:rPr>
          <w:rFonts w:ascii="宋体" w:hAnsi="宋体"/>
          <w:color w:val="000000"/>
          <w:highlight w:val="none"/>
        </w:rPr>
        <w:t>后，我方经慎重考虑，郑重承诺参加</w:t>
      </w:r>
      <w:r>
        <w:rPr>
          <w:rFonts w:hint="eastAsia" w:ascii="宋体" w:hAnsi="宋体"/>
          <w:highlight w:val="none"/>
          <w:u w:val="single"/>
          <w:lang w:eastAsia="zh-CN"/>
        </w:rPr>
        <w:t>南宁轨道交通1-5号线出入段（场）线地面洞口及个别车站紧急疏散口视频监控补盲项目</w:t>
      </w:r>
      <w:r>
        <w:rPr>
          <w:rFonts w:hint="eastAsia" w:ascii="宋体" w:hAnsi="宋体"/>
          <w:color w:val="000000"/>
          <w:highlight w:val="none"/>
        </w:rPr>
        <w:t>的招比选申请</w:t>
      </w:r>
      <w:r>
        <w:rPr>
          <w:rFonts w:ascii="宋体" w:hAnsi="宋体"/>
          <w:color w:val="000000"/>
          <w:highlight w:val="none"/>
        </w:rPr>
        <w:t>活动。</w:t>
      </w:r>
    </w:p>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420" w:firstLineChars="200"/>
        <w:jc w:val="left"/>
        <w:textAlignment w:val="auto"/>
        <w:rPr>
          <w:rFonts w:ascii="宋体" w:hAnsi="宋体"/>
          <w:color w:val="000000"/>
          <w:highlight w:val="none"/>
        </w:rPr>
      </w:pPr>
      <w:r>
        <w:rPr>
          <w:rFonts w:ascii="宋体" w:hAnsi="宋体"/>
          <w:color w:val="000000"/>
          <w:highlight w:val="none"/>
        </w:rPr>
        <w:t>2、我方按照贵方</w:t>
      </w:r>
      <w:r>
        <w:rPr>
          <w:rFonts w:hint="eastAsia" w:ascii="宋体" w:hAnsi="宋体"/>
          <w:color w:val="000000"/>
          <w:highlight w:val="none"/>
        </w:rPr>
        <w:t>比选文件</w:t>
      </w:r>
      <w:r>
        <w:rPr>
          <w:rFonts w:ascii="宋体" w:hAnsi="宋体"/>
          <w:color w:val="000000"/>
          <w:highlight w:val="none"/>
        </w:rPr>
        <w:t>要求的内容与格式，已编制完成</w:t>
      </w:r>
      <w:r>
        <w:rPr>
          <w:rFonts w:hint="eastAsia" w:ascii="宋体" w:hAnsi="宋体"/>
          <w:color w:val="000000"/>
          <w:highlight w:val="none"/>
        </w:rPr>
        <w:t>比选申请文件</w:t>
      </w:r>
      <w:r>
        <w:rPr>
          <w:rFonts w:ascii="宋体" w:hAnsi="宋体"/>
          <w:color w:val="000000"/>
          <w:highlight w:val="none"/>
        </w:rPr>
        <w:t>，现报上。</w:t>
      </w:r>
    </w:p>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420" w:firstLineChars="200"/>
        <w:jc w:val="left"/>
        <w:textAlignment w:val="auto"/>
        <w:rPr>
          <w:rFonts w:ascii="宋体" w:hAnsi="宋体"/>
          <w:color w:val="000000"/>
          <w:highlight w:val="none"/>
        </w:rPr>
      </w:pPr>
      <w:r>
        <w:rPr>
          <w:rFonts w:hint="eastAsia" w:ascii="宋体" w:hAnsi="宋体"/>
          <w:color w:val="000000"/>
          <w:highlight w:val="none"/>
        </w:rPr>
        <w:t>3</w:t>
      </w:r>
      <w:r>
        <w:rPr>
          <w:rFonts w:ascii="宋体" w:hAnsi="宋体"/>
          <w:color w:val="000000"/>
          <w:highlight w:val="none"/>
        </w:rPr>
        <w:t>、</w:t>
      </w:r>
      <w:r>
        <w:rPr>
          <w:rFonts w:hint="eastAsia" w:ascii="宋体" w:hAnsi="宋体"/>
          <w:color w:val="000000"/>
          <w:highlight w:val="none"/>
        </w:rPr>
        <w:t>我方</w:t>
      </w:r>
      <w:r>
        <w:rPr>
          <w:rFonts w:ascii="宋体" w:hAnsi="宋体"/>
          <w:color w:val="000000"/>
          <w:highlight w:val="none"/>
        </w:rPr>
        <w:t>承诺：在</w:t>
      </w:r>
      <w:r>
        <w:rPr>
          <w:rFonts w:hint="eastAsia" w:ascii="宋体" w:hAnsi="宋体"/>
          <w:color w:val="000000"/>
          <w:highlight w:val="none"/>
        </w:rPr>
        <w:t>评审</w:t>
      </w:r>
      <w:r>
        <w:rPr>
          <w:rFonts w:ascii="宋体" w:hAnsi="宋体"/>
          <w:color w:val="000000"/>
          <w:highlight w:val="none"/>
        </w:rPr>
        <w:t>过程中，贵方可调查、审核我方提交的与本</w:t>
      </w:r>
      <w:r>
        <w:rPr>
          <w:rFonts w:hint="eastAsia" w:ascii="宋体" w:hAnsi="宋体"/>
          <w:color w:val="000000"/>
          <w:highlight w:val="none"/>
        </w:rPr>
        <w:t>比选申请文件</w:t>
      </w:r>
      <w:r>
        <w:rPr>
          <w:rFonts w:ascii="宋体" w:hAnsi="宋体"/>
          <w:color w:val="000000"/>
          <w:highlight w:val="none"/>
        </w:rPr>
        <w:t>相关的声明、文件和资料，我方准备随时解答贵方提出的疑问。为此，我们授权任何相关的个人和公司向贵方提供要求的和必要的真实情况和资料以证实我们所填报的各项内容。</w:t>
      </w:r>
    </w:p>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420" w:firstLineChars="200"/>
        <w:jc w:val="left"/>
        <w:textAlignment w:val="auto"/>
        <w:rPr>
          <w:rFonts w:ascii="宋体" w:hAnsi="宋体"/>
          <w:b/>
          <w:color w:val="000000"/>
          <w:highlight w:val="none"/>
        </w:rPr>
      </w:pPr>
      <w:r>
        <w:rPr>
          <w:rFonts w:hint="eastAsia" w:ascii="宋体" w:hAnsi="宋体"/>
          <w:color w:val="000000"/>
          <w:highlight w:val="none"/>
        </w:rPr>
        <w:t>4</w:t>
      </w:r>
      <w:r>
        <w:rPr>
          <w:rFonts w:ascii="宋体" w:hAnsi="宋体"/>
          <w:color w:val="000000"/>
          <w:highlight w:val="none"/>
        </w:rPr>
        <w:t>、</w:t>
      </w:r>
      <w:r>
        <w:rPr>
          <w:rFonts w:hint="eastAsia" w:ascii="宋体" w:hAnsi="宋体"/>
          <w:color w:val="000000"/>
          <w:highlight w:val="none"/>
        </w:rPr>
        <w:t>我方</w:t>
      </w:r>
      <w:r>
        <w:rPr>
          <w:rFonts w:ascii="宋体" w:hAnsi="宋体"/>
          <w:color w:val="000000"/>
          <w:highlight w:val="none"/>
        </w:rPr>
        <w:t>郑重承诺：</w:t>
      </w:r>
      <w:r>
        <w:rPr>
          <w:rFonts w:ascii="宋体" w:hAnsi="宋体"/>
          <w:b/>
          <w:color w:val="000000"/>
          <w:highlight w:val="none"/>
        </w:rPr>
        <w:t>我方保证</w:t>
      </w:r>
      <w:r>
        <w:rPr>
          <w:rFonts w:hint="eastAsia" w:ascii="宋体" w:hAnsi="宋体"/>
          <w:b/>
          <w:color w:val="000000"/>
          <w:highlight w:val="none"/>
        </w:rPr>
        <w:t>没有处于被责令停业，或比选申请资格被住建部、国家安监总局、广西区或南宁市建设行政主管部门取消，或财产被接管、破产状态</w:t>
      </w:r>
      <w:r>
        <w:rPr>
          <w:rFonts w:ascii="宋体" w:hAnsi="宋体"/>
          <w:b/>
          <w:color w:val="000000"/>
          <w:highlight w:val="none"/>
        </w:rPr>
        <w:t>；在</w:t>
      </w:r>
      <w:r>
        <w:rPr>
          <w:rFonts w:hint="eastAsia" w:ascii="宋体" w:hAnsi="宋体"/>
          <w:b/>
          <w:color w:val="000000"/>
          <w:highlight w:val="none"/>
        </w:rPr>
        <w:t>比选申请截止时间前</w:t>
      </w:r>
      <w:r>
        <w:rPr>
          <w:rFonts w:ascii="宋体" w:hAnsi="宋体"/>
          <w:b/>
          <w:color w:val="000000"/>
          <w:highlight w:val="none"/>
        </w:rPr>
        <w:t>3年内没有骗取中选</w:t>
      </w:r>
      <w:r>
        <w:rPr>
          <w:rFonts w:hint="eastAsia" w:ascii="宋体" w:hAnsi="宋体"/>
          <w:b/>
          <w:color w:val="000000"/>
          <w:highlight w:val="none"/>
        </w:rPr>
        <w:t>、严重违约或重大质量安全责任事故</w:t>
      </w:r>
      <w:r>
        <w:rPr>
          <w:rFonts w:hint="eastAsia" w:ascii="宋体" w:hAnsi="宋体"/>
          <w:b/>
          <w:color w:val="000000"/>
          <w:highlight w:val="none"/>
          <w:lang w:eastAsia="zh-CN"/>
        </w:rPr>
        <w:t>；</w:t>
      </w:r>
      <w:r>
        <w:rPr>
          <w:rFonts w:ascii="宋体" w:hAnsi="宋体"/>
          <w:b/>
          <w:spacing w:val="1"/>
          <w:kern w:val="0"/>
          <w:position w:val="-2"/>
          <w:szCs w:val="21"/>
          <w:highlight w:val="none"/>
        </w:rPr>
        <w:t>我</w:t>
      </w:r>
      <w:r>
        <w:rPr>
          <w:rFonts w:hint="eastAsia" w:ascii="宋体" w:hAnsi="宋体"/>
          <w:b/>
          <w:spacing w:val="1"/>
          <w:kern w:val="0"/>
          <w:position w:val="-2"/>
          <w:szCs w:val="21"/>
          <w:highlight w:val="none"/>
        </w:rPr>
        <w:t>方</w:t>
      </w:r>
      <w:r>
        <w:rPr>
          <w:rFonts w:ascii="宋体" w:hAnsi="宋体"/>
          <w:b/>
          <w:spacing w:val="1"/>
          <w:kern w:val="0"/>
          <w:position w:val="-2"/>
          <w:szCs w:val="21"/>
          <w:highlight w:val="none"/>
        </w:rPr>
        <w:t>与其他</w:t>
      </w:r>
      <w:r>
        <w:rPr>
          <w:rFonts w:hint="eastAsia" w:ascii="宋体" w:hAnsi="宋体"/>
          <w:b/>
          <w:spacing w:val="1"/>
          <w:kern w:val="0"/>
          <w:position w:val="-2"/>
          <w:szCs w:val="21"/>
          <w:highlight w:val="none"/>
          <w:lang w:eastAsia="zh-CN"/>
        </w:rPr>
        <w:t>比选申请</w:t>
      </w:r>
      <w:r>
        <w:rPr>
          <w:rFonts w:ascii="宋体" w:hAnsi="宋体"/>
          <w:b/>
          <w:spacing w:val="1"/>
          <w:kern w:val="0"/>
          <w:position w:val="-2"/>
          <w:szCs w:val="21"/>
          <w:highlight w:val="none"/>
        </w:rPr>
        <w:t>人之间不存在单位负责人为同一人或者控股、管理关系的情况</w:t>
      </w:r>
      <w:r>
        <w:rPr>
          <w:rFonts w:hint="eastAsia" w:ascii="宋体" w:hAnsi="宋体"/>
          <w:b/>
          <w:spacing w:val="1"/>
          <w:kern w:val="0"/>
          <w:position w:val="-2"/>
          <w:szCs w:val="21"/>
          <w:highlight w:val="none"/>
        </w:rPr>
        <w:t>；</w:t>
      </w:r>
      <w:r>
        <w:rPr>
          <w:rFonts w:hint="eastAsia"/>
          <w:b/>
          <w:spacing w:val="1"/>
          <w:kern w:val="0"/>
          <w:position w:val="-2"/>
          <w:szCs w:val="21"/>
          <w:highlight w:val="none"/>
        </w:rPr>
        <w:t>我方未列入</w:t>
      </w:r>
      <w:r>
        <w:rPr>
          <w:rFonts w:hint="eastAsia"/>
          <w:b/>
          <w:spacing w:val="1"/>
          <w:kern w:val="0"/>
          <w:position w:val="-2"/>
          <w:szCs w:val="21"/>
          <w:highlight w:val="none"/>
          <w:lang w:eastAsia="zh-CN"/>
        </w:rPr>
        <w:t>比选</w:t>
      </w:r>
      <w:r>
        <w:rPr>
          <w:rFonts w:hint="eastAsia"/>
          <w:b/>
          <w:spacing w:val="1"/>
          <w:kern w:val="0"/>
          <w:position w:val="-2"/>
          <w:szCs w:val="21"/>
          <w:highlight w:val="none"/>
        </w:rPr>
        <w:t>人不良信用名单。</w:t>
      </w:r>
    </w:p>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420" w:firstLineChars="200"/>
        <w:jc w:val="left"/>
        <w:textAlignment w:val="auto"/>
        <w:rPr>
          <w:rFonts w:ascii="宋体" w:hAnsi="宋体"/>
          <w:color w:val="000000"/>
          <w:highlight w:val="none"/>
        </w:rPr>
      </w:pPr>
      <w:r>
        <w:rPr>
          <w:rFonts w:hint="eastAsia" w:ascii="宋体" w:hAnsi="宋体"/>
          <w:b w:val="0"/>
          <w:bCs/>
          <w:color w:val="000000"/>
          <w:highlight w:val="none"/>
        </w:rPr>
        <w:t>5、</w:t>
      </w:r>
      <w:r>
        <w:rPr>
          <w:rFonts w:ascii="宋体" w:hAnsi="宋体"/>
          <w:color w:val="000000"/>
          <w:highlight w:val="none"/>
        </w:rPr>
        <w:t>如果</w:t>
      </w:r>
      <w:r>
        <w:rPr>
          <w:rFonts w:hint="eastAsia" w:ascii="宋体" w:hAnsi="宋体"/>
          <w:color w:val="000000"/>
          <w:highlight w:val="none"/>
        </w:rPr>
        <w:t>我公司</w:t>
      </w:r>
      <w:r>
        <w:rPr>
          <w:rFonts w:ascii="宋体" w:hAnsi="宋体"/>
          <w:color w:val="000000"/>
          <w:highlight w:val="none"/>
        </w:rPr>
        <w:t>在该项目</w:t>
      </w:r>
      <w:r>
        <w:rPr>
          <w:rFonts w:hint="eastAsia" w:ascii="宋体" w:hAnsi="宋体"/>
          <w:color w:val="000000"/>
          <w:highlight w:val="none"/>
        </w:rPr>
        <w:t>报名、</w:t>
      </w:r>
      <w:r>
        <w:rPr>
          <w:rFonts w:ascii="宋体" w:hAnsi="宋体"/>
          <w:color w:val="000000"/>
          <w:highlight w:val="none"/>
        </w:rPr>
        <w:t>比选申请过程中或者在中选后，比选人或者有管辖权的行政监管机构发现并查实我公司在所填报的该项目</w:t>
      </w:r>
      <w:r>
        <w:rPr>
          <w:rFonts w:hint="eastAsia" w:ascii="宋体" w:hAnsi="宋体"/>
          <w:color w:val="000000"/>
          <w:highlight w:val="none"/>
        </w:rPr>
        <w:t>比选申请文件</w:t>
      </w:r>
      <w:r>
        <w:rPr>
          <w:rFonts w:ascii="宋体" w:hAnsi="宋体"/>
          <w:color w:val="000000"/>
          <w:highlight w:val="none"/>
        </w:rPr>
        <w:t>中存在提供虚假或不真实的信息或者伪造数据、资料或证书等情况，</w:t>
      </w:r>
      <w:r>
        <w:rPr>
          <w:rFonts w:hint="eastAsia" w:ascii="宋体" w:hAnsi="宋体"/>
          <w:color w:val="000000"/>
          <w:highlight w:val="none"/>
        </w:rPr>
        <w:t>视为我公司违约，我公司愿意接受</w:t>
      </w:r>
      <w:r>
        <w:rPr>
          <w:rFonts w:ascii="宋体" w:hAnsi="宋体"/>
          <w:color w:val="000000"/>
          <w:highlight w:val="none"/>
        </w:rPr>
        <w:t>比选人或有管辖权的监管机构的处罚；如果我公司已</w:t>
      </w:r>
      <w:r>
        <w:rPr>
          <w:rFonts w:hint="eastAsia" w:ascii="宋体" w:hAnsi="宋体"/>
          <w:color w:val="000000"/>
          <w:highlight w:val="none"/>
        </w:rPr>
        <w:t>与比选人签订合同，则视为我公司违约</w:t>
      </w:r>
      <w:r>
        <w:rPr>
          <w:rFonts w:ascii="宋体" w:hAnsi="宋体"/>
          <w:color w:val="000000"/>
          <w:highlight w:val="none"/>
        </w:rPr>
        <w:t>；由此造成的任何后果和损失均由我公司承担。本段承诺既是我公司</w:t>
      </w:r>
      <w:r>
        <w:rPr>
          <w:rFonts w:hint="eastAsia" w:ascii="宋体" w:hAnsi="宋体"/>
          <w:color w:val="000000"/>
          <w:highlight w:val="none"/>
        </w:rPr>
        <w:t>比选申请文件</w:t>
      </w:r>
      <w:r>
        <w:rPr>
          <w:rFonts w:ascii="宋体" w:hAnsi="宋体"/>
          <w:color w:val="000000"/>
          <w:highlight w:val="none"/>
        </w:rPr>
        <w:t>的有效组成内容，也是我公司真实意思的表示，对我公司在与该项目有关的任何行为中始终具有优先的法律约束力。</w:t>
      </w:r>
    </w:p>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420" w:firstLineChars="200"/>
        <w:textAlignment w:val="auto"/>
        <w:rPr>
          <w:rFonts w:ascii="宋体" w:hAnsi="宋体"/>
          <w:color w:val="000000"/>
          <w:highlight w:val="none"/>
        </w:rPr>
      </w:pPr>
      <w:r>
        <w:rPr>
          <w:rFonts w:hint="eastAsia" w:ascii="宋体" w:hAnsi="宋体"/>
          <w:color w:val="000000"/>
          <w:highlight w:val="none"/>
        </w:rPr>
        <w:t>6</w:t>
      </w:r>
      <w:r>
        <w:rPr>
          <w:rFonts w:ascii="宋体" w:hAnsi="宋体"/>
          <w:color w:val="000000"/>
          <w:highlight w:val="none"/>
        </w:rPr>
        <w:t>、我方了解：无论</w:t>
      </w:r>
      <w:r>
        <w:rPr>
          <w:rFonts w:hint="eastAsia" w:ascii="宋体" w:hAnsi="宋体"/>
          <w:color w:val="000000"/>
          <w:highlight w:val="none"/>
        </w:rPr>
        <w:t>是否中选</w:t>
      </w:r>
      <w:r>
        <w:rPr>
          <w:rFonts w:ascii="宋体" w:hAnsi="宋体"/>
          <w:color w:val="000000"/>
          <w:highlight w:val="none"/>
        </w:rPr>
        <w:t>，我方将自行承担与</w:t>
      </w:r>
      <w:r>
        <w:rPr>
          <w:rFonts w:hint="eastAsia" w:ascii="宋体" w:hAnsi="宋体"/>
          <w:color w:val="000000"/>
          <w:highlight w:val="none"/>
        </w:rPr>
        <w:t>招比选申请</w:t>
      </w:r>
      <w:r>
        <w:rPr>
          <w:rFonts w:ascii="宋体" w:hAnsi="宋体"/>
          <w:color w:val="000000"/>
          <w:highlight w:val="none"/>
        </w:rPr>
        <w:t>活动所需的一切费用。</w:t>
      </w:r>
    </w:p>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420" w:firstLineChars="200"/>
        <w:textAlignment w:val="auto"/>
        <w:rPr>
          <w:rFonts w:hint="eastAsia" w:ascii="宋体" w:hAnsi="宋体"/>
          <w:color w:val="000000"/>
          <w:highlight w:val="none"/>
        </w:rPr>
      </w:pPr>
      <w:r>
        <w:rPr>
          <w:rFonts w:hint="eastAsia" w:ascii="宋体" w:hAnsi="宋体"/>
          <w:color w:val="000000"/>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ascii="宋体" w:hAnsi="宋体"/>
          <w:b/>
          <w:highlight w:val="none"/>
        </w:rPr>
      </w:pPr>
      <w:r>
        <w:rPr>
          <w:rFonts w:hint="eastAsia" w:ascii="宋体" w:hAnsi="宋体"/>
          <w:b/>
          <w:highlight w:val="none"/>
        </w:rPr>
        <w:t>8、我单位承诺不存在下述情况：我单位的单位负责人为同一人或者存在控股、管理关系的不同单位未同时参加同一标段比选申请或者未划分标段的同一比选项目比选申请。</w:t>
      </w:r>
    </w:p>
    <w:p>
      <w:pPr>
        <w:snapToGrid w:val="0"/>
        <w:spacing w:before="0" w:after="0" w:afterAutospacing="0" w:line="400" w:lineRule="exact"/>
        <w:ind w:left="0" w:right="0" w:firstLine="422" w:firstLineChars="200"/>
        <w:jc w:val="left"/>
        <w:rPr>
          <w:rFonts w:ascii="宋体" w:hAnsi="宋体"/>
          <w:highlight w:val="none"/>
        </w:rPr>
      </w:pPr>
      <w:r>
        <w:rPr>
          <w:rFonts w:hint="eastAsia" w:ascii="宋体" w:hAnsi="宋体"/>
          <w:b/>
          <w:highlight w:val="none"/>
        </w:rPr>
        <w:t>9、我单位未被列入比选人不良信用名单。</w:t>
      </w:r>
    </w:p>
    <w:p>
      <w:pPr>
        <w:keepNext w:val="0"/>
        <w:keepLines w:val="0"/>
        <w:pageBreakBefore w:val="0"/>
        <w:widowControl/>
        <w:kinsoku/>
        <w:wordWrap/>
        <w:overflowPunct/>
        <w:topLinePunct w:val="0"/>
        <w:autoSpaceDE/>
        <w:autoSpaceDN/>
        <w:bidi w:val="0"/>
        <w:adjustRightInd/>
        <w:snapToGrid/>
        <w:spacing w:before="0" w:after="0" w:afterAutospacing="0" w:line="400" w:lineRule="exact"/>
        <w:ind w:left="0" w:right="0" w:firstLine="420" w:firstLineChars="200"/>
        <w:jc w:val="left"/>
        <w:textAlignment w:val="auto"/>
        <w:rPr>
          <w:rFonts w:ascii="宋体" w:hAnsi="宋体"/>
          <w:color w:val="000000"/>
          <w:highlight w:val="none"/>
        </w:rPr>
      </w:pPr>
      <w:r>
        <w:rPr>
          <w:rFonts w:ascii="宋体" w:hAnsi="宋体"/>
          <w:color w:val="000000"/>
          <w:highlight w:val="none"/>
        </w:rPr>
        <w:t>我</w:t>
      </w:r>
      <w:r>
        <w:rPr>
          <w:rFonts w:hint="eastAsia" w:ascii="宋体" w:hAnsi="宋体"/>
          <w:color w:val="000000"/>
          <w:highlight w:val="none"/>
        </w:rPr>
        <w:t>方</w:t>
      </w:r>
      <w:r>
        <w:rPr>
          <w:rFonts w:ascii="宋体" w:hAnsi="宋体"/>
          <w:color w:val="000000"/>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highlight w:val="none"/>
        </w:rPr>
      </w:pPr>
      <w:r>
        <w:rPr>
          <w:rFonts w:hint="eastAsia" w:ascii="宋体" w:hAnsi="宋体"/>
          <w:highlight w:val="none"/>
        </w:rPr>
        <w:t>比选申请</w:t>
      </w:r>
      <w:r>
        <w:rPr>
          <w:rFonts w:ascii="宋体" w:hAnsi="宋体"/>
          <w:highlight w:val="none"/>
        </w:rPr>
        <w:t>人</w:t>
      </w:r>
      <w:r>
        <w:rPr>
          <w:rFonts w:hint="eastAsia" w:ascii="宋体" w:hAnsi="宋体"/>
          <w:highlight w:val="none"/>
        </w:rPr>
        <w:t>：</w:t>
      </w:r>
      <w:r>
        <w:rPr>
          <w:rFonts w:ascii="宋体" w:hAnsi="宋体"/>
          <w:highlight w:val="none"/>
          <w:u w:val="single"/>
        </w:rPr>
        <w:t xml:space="preserve"> </w:t>
      </w:r>
      <w:r>
        <w:rPr>
          <w:rFonts w:hint="eastAsia" w:ascii="宋体" w:hAnsi="宋体" w:cs="Arial"/>
          <w:color w:val="FF0000"/>
          <w:highlight w:val="none"/>
          <w:u w:val="single"/>
        </w:rPr>
        <w:t>（填写）</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p>
    <w:p>
      <w:pPr>
        <w:snapToGrid w:val="0"/>
        <w:spacing w:before="0" w:after="0" w:afterAutospacing="0" w:line="400" w:lineRule="exact"/>
        <w:ind w:left="0" w:right="0" w:firstLine="426"/>
        <w:rPr>
          <w:rFonts w:ascii="宋体" w:hAnsi="宋体"/>
          <w:highlight w:val="none"/>
          <w:u w:val="single"/>
        </w:rPr>
      </w:pPr>
      <w:r>
        <w:rPr>
          <w:rFonts w:hint="eastAsia" w:ascii="宋体" w:hAnsi="宋体"/>
          <w:highlight w:val="none"/>
        </w:rPr>
        <w:t>法定代表人（或委托代理人）：</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napToGrid w:val="0"/>
        <w:spacing w:before="0" w:after="0" w:afterAutospacing="0" w:line="400" w:lineRule="exact"/>
        <w:ind w:left="0" w:right="0" w:firstLine="426"/>
        <w:rPr>
          <w:rFonts w:ascii="宋体" w:hAnsi="宋体"/>
          <w:highlight w:val="none"/>
        </w:rPr>
      </w:pPr>
      <w:r>
        <w:rPr>
          <w:rFonts w:ascii="宋体" w:hAnsi="宋体"/>
          <w:highlight w:val="none"/>
        </w:rPr>
        <w:t>日期：年</w:t>
      </w:r>
      <w:r>
        <w:rPr>
          <w:rFonts w:hint="eastAsia" w:ascii="宋体" w:hAnsi="宋体"/>
          <w:highlight w:val="none"/>
        </w:rPr>
        <w:t xml:space="preserve"> </w:t>
      </w:r>
      <w:r>
        <w:rPr>
          <w:rFonts w:ascii="宋体" w:hAnsi="宋体"/>
          <w:highlight w:val="none"/>
        </w:rPr>
        <w:t>月</w:t>
      </w:r>
      <w:r>
        <w:rPr>
          <w:rFonts w:hint="eastAsia" w:ascii="宋体" w:hAnsi="宋体"/>
          <w:highlight w:val="none"/>
        </w:rPr>
        <w:t xml:space="preserve"> </w:t>
      </w:r>
      <w:r>
        <w:rPr>
          <w:rFonts w:ascii="宋体" w:hAnsi="宋体"/>
          <w:highlight w:val="none"/>
        </w:rPr>
        <w:t>日</w:t>
      </w:r>
    </w:p>
    <w:p>
      <w:pPr>
        <w:pageBreakBefore/>
        <w:snapToGrid w:val="0"/>
        <w:ind w:right="0" w:firstLine="0"/>
        <w:jc w:val="left"/>
        <w:outlineLvl w:val="0"/>
        <w:rPr>
          <w:rFonts w:hint="eastAsia" w:ascii="宋体" w:hAnsi="宋体"/>
          <w:b/>
          <w:highlight w:val="none"/>
          <w:lang w:val="en-US" w:eastAsia="zh-CN"/>
        </w:rPr>
      </w:pPr>
      <w:r>
        <w:rPr>
          <w:rFonts w:ascii="宋体" w:hAnsi="宋体"/>
          <w:b/>
          <w:highlight w:val="none"/>
        </w:rPr>
        <w:t>A</w:t>
      </w:r>
      <w:r>
        <w:rPr>
          <w:rFonts w:hint="eastAsia" w:ascii="宋体" w:hAnsi="宋体"/>
          <w:b/>
          <w:highlight w:val="none"/>
          <w:lang w:val="en-US" w:eastAsia="zh-CN"/>
        </w:rPr>
        <w:t>4</w:t>
      </w:r>
      <w:r>
        <w:rPr>
          <w:rFonts w:hint="eastAsia" w:ascii="宋体" w:hAnsi="宋体"/>
          <w:b/>
          <w:highlight w:val="none"/>
        </w:rPr>
        <w:t xml:space="preserve"> </w:t>
      </w:r>
      <w:r>
        <w:rPr>
          <w:rFonts w:hint="eastAsia" w:ascii="宋体" w:hAnsi="宋体"/>
          <w:b/>
          <w:highlight w:val="none"/>
          <w:lang w:val="en-US" w:eastAsia="zh-CN"/>
        </w:rPr>
        <w:t>资质证照</w:t>
      </w:r>
    </w:p>
    <w:p>
      <w:pPr>
        <w:pStyle w:val="15"/>
        <w:ind w:left="0" w:leftChars="0" w:right="-28" w:firstLine="400" w:firstLineChars="200"/>
        <w:rPr>
          <w:rFonts w:hint="default"/>
          <w:highlight w:val="none"/>
          <w:lang w:val="en-US"/>
        </w:rPr>
      </w:pPr>
      <w:r>
        <w:rPr>
          <w:rFonts w:hint="default"/>
          <w:highlight w:val="none"/>
          <w:lang w:val="en-US"/>
        </w:rPr>
        <w:t>【复印件并加盖公章】</w:t>
      </w:r>
    </w:p>
    <w:p>
      <w:pPr>
        <w:pStyle w:val="15"/>
        <w:rPr>
          <w:rFonts w:hint="default"/>
          <w:highlight w:val="none"/>
          <w:lang w:val="en-US"/>
        </w:rPr>
      </w:pPr>
    </w:p>
    <w:p>
      <w:pPr>
        <w:pStyle w:val="15"/>
        <w:rPr>
          <w:highlight w:val="none"/>
        </w:rPr>
      </w:pPr>
    </w:p>
    <w:p>
      <w:pPr>
        <w:pageBreakBefore/>
        <w:snapToGrid w:val="0"/>
        <w:ind w:right="0" w:firstLine="0"/>
        <w:jc w:val="left"/>
        <w:outlineLvl w:val="0"/>
        <w:rPr>
          <w:rFonts w:ascii="宋体" w:hAnsi="宋体"/>
          <w:b/>
          <w:highlight w:val="none"/>
        </w:rPr>
      </w:pPr>
      <w:bookmarkStart w:id="1512" w:name="_Toc7574"/>
      <w:bookmarkStart w:id="1513" w:name="_Toc4490"/>
      <w:bookmarkStart w:id="1514" w:name="_Toc8673"/>
      <w:bookmarkStart w:id="1515" w:name="_Toc12664"/>
      <w:bookmarkStart w:id="1516" w:name="_Toc24820"/>
      <w:bookmarkStart w:id="1517" w:name="_Toc22546"/>
      <w:bookmarkStart w:id="1518" w:name="_Toc31334"/>
      <w:bookmarkStart w:id="1519" w:name="_Toc13082"/>
      <w:bookmarkStart w:id="1520" w:name="_Toc15811"/>
      <w:bookmarkStart w:id="1521" w:name="_Toc25750678"/>
      <w:r>
        <w:rPr>
          <w:rFonts w:ascii="宋体" w:hAnsi="宋体"/>
          <w:b/>
          <w:highlight w:val="none"/>
        </w:rPr>
        <w:t>A</w:t>
      </w:r>
      <w:r>
        <w:rPr>
          <w:rFonts w:hint="eastAsia" w:ascii="宋体" w:hAnsi="宋体"/>
          <w:b/>
          <w:highlight w:val="none"/>
          <w:lang w:val="en-US" w:eastAsia="zh-CN"/>
        </w:rPr>
        <w:t>5</w:t>
      </w:r>
      <w:r>
        <w:rPr>
          <w:rFonts w:hint="eastAsia" w:ascii="宋体" w:hAnsi="宋体"/>
          <w:b/>
          <w:highlight w:val="none"/>
        </w:rPr>
        <w:t xml:space="preserve">  类似项目</w:t>
      </w:r>
      <w:r>
        <w:rPr>
          <w:rFonts w:ascii="宋体" w:hAnsi="宋体"/>
          <w:b/>
          <w:highlight w:val="none"/>
        </w:rPr>
        <w:t>业绩表格式</w:t>
      </w:r>
      <w:bookmarkEnd w:id="1512"/>
      <w:bookmarkEnd w:id="1513"/>
      <w:bookmarkEnd w:id="1514"/>
      <w:bookmarkEnd w:id="1515"/>
      <w:bookmarkEnd w:id="1516"/>
      <w:bookmarkEnd w:id="1517"/>
      <w:bookmarkEnd w:id="1518"/>
      <w:bookmarkEnd w:id="1519"/>
      <w:bookmarkEnd w:id="1520"/>
      <w:bookmarkEnd w:id="1521"/>
    </w:p>
    <w:p>
      <w:pPr>
        <w:spacing w:before="0"/>
        <w:ind w:right="-57" w:firstLine="0"/>
        <w:jc w:val="center"/>
        <w:rPr>
          <w:rFonts w:ascii="宋体" w:hAnsi="宋体"/>
          <w:b/>
          <w:spacing w:val="20"/>
          <w:highlight w:val="none"/>
        </w:rPr>
      </w:pPr>
      <w:r>
        <w:rPr>
          <w:rFonts w:hint="eastAsia" w:ascii="宋体" w:hAnsi="宋体"/>
          <w:b/>
          <w:spacing w:val="20"/>
          <w:highlight w:val="none"/>
        </w:rPr>
        <w:t>类似项目</w:t>
      </w:r>
      <w:r>
        <w:rPr>
          <w:rFonts w:ascii="宋体" w:hAnsi="宋体"/>
          <w:b/>
          <w:spacing w:val="20"/>
          <w:highlight w:val="none"/>
        </w:rPr>
        <w:t>业绩表</w:t>
      </w:r>
    </w:p>
    <w:tbl>
      <w:tblPr>
        <w:tblStyle w:val="31"/>
        <w:tblW w:w="8940" w:type="dxa"/>
        <w:jc w:val="center"/>
        <w:tblInd w:w="0" w:type="dxa"/>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Layout w:type="fixed"/>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序号</w:t>
            </w:r>
          </w:p>
        </w:tc>
        <w:tc>
          <w:tcPr>
            <w:tcW w:w="1092"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项目名称</w:t>
            </w:r>
          </w:p>
        </w:tc>
        <w:tc>
          <w:tcPr>
            <w:tcW w:w="1789"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合同内容（简述）</w:t>
            </w:r>
          </w:p>
        </w:tc>
        <w:tc>
          <w:tcPr>
            <w:tcW w:w="992" w:type="dxa"/>
            <w:tcBorders>
              <w:top w:val="double" w:color="auto" w:sz="4" w:space="0"/>
            </w:tcBorders>
            <w:vAlign w:val="center"/>
          </w:tcPr>
          <w:p>
            <w:pPr>
              <w:ind w:left="0" w:firstLine="0"/>
              <w:jc w:val="center"/>
              <w:rPr>
                <w:rFonts w:hint="eastAsia" w:ascii="宋体" w:hAnsi="宋体" w:eastAsia="宋体"/>
                <w:highlight w:val="none"/>
                <w:lang w:eastAsia="zh-CN"/>
              </w:rPr>
            </w:pPr>
            <w:r>
              <w:rPr>
                <w:rFonts w:hint="eastAsia" w:ascii="宋体" w:hAnsi="宋体"/>
                <w:highlight w:val="none"/>
              </w:rPr>
              <w:t>合同</w:t>
            </w:r>
          </w:p>
          <w:p>
            <w:pPr>
              <w:ind w:left="0" w:firstLine="0"/>
              <w:jc w:val="center"/>
              <w:rPr>
                <w:rFonts w:ascii="宋体" w:hAnsi="宋体"/>
                <w:highlight w:val="none"/>
              </w:rPr>
            </w:pPr>
            <w:r>
              <w:rPr>
                <w:rFonts w:hint="eastAsia" w:ascii="宋体" w:hAnsi="宋体"/>
                <w:highlight w:val="none"/>
              </w:rPr>
              <w:t>金额</w:t>
            </w:r>
          </w:p>
        </w:tc>
        <w:tc>
          <w:tcPr>
            <w:tcW w:w="993" w:type="dxa"/>
            <w:tcBorders>
              <w:top w:val="double" w:color="auto" w:sz="4" w:space="0"/>
            </w:tcBorders>
            <w:vAlign w:val="center"/>
          </w:tcPr>
          <w:p>
            <w:pPr>
              <w:ind w:left="0" w:firstLine="0"/>
              <w:jc w:val="center"/>
              <w:rPr>
                <w:rFonts w:hint="eastAsia" w:ascii="宋体" w:hAnsi="宋体" w:eastAsia="宋体"/>
                <w:highlight w:val="none"/>
                <w:lang w:eastAsia="zh-CN"/>
              </w:rPr>
            </w:pPr>
            <w:r>
              <w:rPr>
                <w:rFonts w:hint="eastAsia" w:ascii="宋体" w:hAnsi="宋体"/>
                <w:highlight w:val="none"/>
              </w:rPr>
              <w:t>签订</w:t>
            </w:r>
          </w:p>
          <w:p>
            <w:pPr>
              <w:ind w:left="0" w:firstLine="0"/>
              <w:jc w:val="center"/>
              <w:rPr>
                <w:rFonts w:ascii="宋体" w:hAnsi="宋体"/>
                <w:highlight w:val="none"/>
              </w:rPr>
            </w:pPr>
            <w:r>
              <w:rPr>
                <w:rFonts w:hint="eastAsia" w:ascii="宋体" w:hAnsi="宋体"/>
                <w:highlight w:val="none"/>
              </w:rPr>
              <w:t>时间</w:t>
            </w:r>
          </w:p>
        </w:tc>
        <w:tc>
          <w:tcPr>
            <w:tcW w:w="1388" w:type="dxa"/>
            <w:tcBorders>
              <w:top w:val="double" w:color="auto" w:sz="4" w:space="0"/>
            </w:tcBorders>
            <w:vAlign w:val="center"/>
          </w:tcPr>
          <w:p>
            <w:pPr>
              <w:ind w:left="0" w:firstLine="0"/>
              <w:jc w:val="center"/>
              <w:rPr>
                <w:rFonts w:ascii="宋体" w:hAnsi="宋体"/>
                <w:highlight w:val="none"/>
              </w:rPr>
            </w:pPr>
            <w:r>
              <w:rPr>
                <w:rFonts w:hint="eastAsia" w:ascii="宋体" w:hAnsi="宋体"/>
                <w:highlight w:val="none"/>
              </w:rPr>
              <w:t>供货、</w:t>
            </w:r>
            <w:r>
              <w:rPr>
                <w:rFonts w:hint="eastAsia"/>
                <w:highlight w:val="none"/>
              </w:rPr>
              <w:t>工期或服务</w:t>
            </w:r>
            <w:r>
              <w:rPr>
                <w:rFonts w:hint="eastAsia" w:ascii="宋体" w:hAnsi="宋体"/>
                <w:highlight w:val="none"/>
              </w:rPr>
              <w:t>时间</w:t>
            </w:r>
          </w:p>
        </w:tc>
        <w:tc>
          <w:tcPr>
            <w:tcW w:w="1044"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业主单位</w:t>
            </w:r>
          </w:p>
        </w:tc>
        <w:tc>
          <w:tcPr>
            <w:tcW w:w="1043" w:type="dxa"/>
            <w:tcBorders>
              <w:top w:val="double" w:color="auto" w:sz="4" w:space="0"/>
            </w:tcBorders>
            <w:vAlign w:val="center"/>
          </w:tcPr>
          <w:p>
            <w:pPr>
              <w:ind w:left="0" w:firstLine="0"/>
              <w:rPr>
                <w:rFonts w:ascii="宋体" w:hAnsi="宋体"/>
                <w:highlight w:val="none"/>
              </w:rPr>
            </w:pPr>
            <w:r>
              <w:rPr>
                <w:rFonts w:hint="eastAsia" w:ascii="宋体" w:hAnsi="宋体"/>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highlight w:val="none"/>
              </w:rPr>
            </w:pPr>
          </w:p>
        </w:tc>
        <w:tc>
          <w:tcPr>
            <w:tcW w:w="1092" w:type="dxa"/>
          </w:tcPr>
          <w:p>
            <w:pPr>
              <w:ind w:left="0" w:firstLine="0"/>
              <w:rPr>
                <w:rFonts w:ascii="宋体" w:hAnsi="宋体"/>
                <w:highlight w:val="none"/>
              </w:rPr>
            </w:pPr>
          </w:p>
        </w:tc>
        <w:tc>
          <w:tcPr>
            <w:tcW w:w="1789" w:type="dxa"/>
          </w:tcPr>
          <w:p>
            <w:pPr>
              <w:ind w:left="0" w:firstLine="0"/>
              <w:rPr>
                <w:rFonts w:ascii="宋体" w:hAnsi="宋体"/>
                <w:highlight w:val="none"/>
              </w:rPr>
            </w:pPr>
          </w:p>
        </w:tc>
        <w:tc>
          <w:tcPr>
            <w:tcW w:w="992" w:type="dxa"/>
          </w:tcPr>
          <w:p>
            <w:pPr>
              <w:ind w:left="0" w:firstLine="0"/>
              <w:rPr>
                <w:rFonts w:ascii="宋体" w:hAnsi="宋体"/>
                <w:highlight w:val="none"/>
              </w:rPr>
            </w:pPr>
          </w:p>
        </w:tc>
        <w:tc>
          <w:tcPr>
            <w:tcW w:w="993" w:type="dxa"/>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tcPr>
          <w:p>
            <w:pPr>
              <w:ind w:left="0" w:firstLine="0"/>
              <w:rPr>
                <w:rFonts w:ascii="宋体" w:hAnsi="宋体"/>
                <w:highlight w:val="none"/>
              </w:rPr>
            </w:pPr>
          </w:p>
        </w:tc>
        <w:tc>
          <w:tcPr>
            <w:tcW w:w="1043" w:type="dxa"/>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highlight w:val="none"/>
              </w:rPr>
            </w:pPr>
          </w:p>
        </w:tc>
        <w:tc>
          <w:tcPr>
            <w:tcW w:w="1092" w:type="dxa"/>
            <w:vAlign w:val="center"/>
          </w:tcPr>
          <w:p>
            <w:pPr>
              <w:ind w:left="0" w:firstLine="0"/>
              <w:rPr>
                <w:rFonts w:ascii="宋体" w:hAnsi="宋体"/>
                <w:highlight w:val="none"/>
              </w:rPr>
            </w:pPr>
          </w:p>
        </w:tc>
        <w:tc>
          <w:tcPr>
            <w:tcW w:w="1789" w:type="dxa"/>
            <w:vAlign w:val="center"/>
          </w:tcPr>
          <w:p>
            <w:pPr>
              <w:ind w:left="0" w:firstLine="0"/>
              <w:rPr>
                <w:rFonts w:ascii="宋体" w:hAnsi="宋体"/>
                <w:highlight w:val="none"/>
              </w:rPr>
            </w:pPr>
          </w:p>
        </w:tc>
        <w:tc>
          <w:tcPr>
            <w:tcW w:w="992" w:type="dxa"/>
            <w:vAlign w:val="center"/>
          </w:tcPr>
          <w:p>
            <w:pPr>
              <w:ind w:left="0" w:firstLine="0"/>
              <w:rPr>
                <w:rFonts w:ascii="宋体" w:hAnsi="宋体"/>
                <w:highlight w:val="none"/>
              </w:rPr>
            </w:pPr>
          </w:p>
        </w:tc>
        <w:tc>
          <w:tcPr>
            <w:tcW w:w="993" w:type="dxa"/>
            <w:vAlign w:val="center"/>
          </w:tcPr>
          <w:p>
            <w:pPr>
              <w:ind w:left="0" w:firstLine="0"/>
              <w:rPr>
                <w:rFonts w:ascii="宋体" w:hAnsi="宋体"/>
                <w:highlight w:val="none"/>
              </w:rPr>
            </w:pPr>
          </w:p>
        </w:tc>
        <w:tc>
          <w:tcPr>
            <w:tcW w:w="1388" w:type="dxa"/>
          </w:tcPr>
          <w:p>
            <w:pPr>
              <w:ind w:left="0" w:firstLine="0"/>
              <w:rPr>
                <w:rFonts w:ascii="宋体" w:hAnsi="宋体"/>
                <w:highlight w:val="none"/>
              </w:rPr>
            </w:pPr>
          </w:p>
        </w:tc>
        <w:tc>
          <w:tcPr>
            <w:tcW w:w="1044" w:type="dxa"/>
            <w:vAlign w:val="center"/>
          </w:tcPr>
          <w:p>
            <w:pPr>
              <w:ind w:left="0" w:firstLine="0"/>
              <w:rPr>
                <w:rFonts w:ascii="宋体" w:hAnsi="宋体"/>
                <w:highlight w:val="none"/>
              </w:rPr>
            </w:pPr>
          </w:p>
        </w:tc>
        <w:tc>
          <w:tcPr>
            <w:tcW w:w="1043" w:type="dxa"/>
            <w:vAlign w:val="center"/>
          </w:tcPr>
          <w:p>
            <w:pPr>
              <w:ind w:left="0" w:firstLine="0"/>
              <w:rPr>
                <w:rFonts w:ascii="宋体" w:hAnsi="宋体"/>
                <w:highlight w:val="none"/>
              </w:rPr>
            </w:pPr>
          </w:p>
        </w:tc>
      </w:tr>
    </w:tbl>
    <w:p>
      <w:pPr>
        <w:spacing w:before="0"/>
        <w:ind w:left="567" w:right="-57" w:hanging="567"/>
        <w:jc w:val="left"/>
        <w:rPr>
          <w:rFonts w:ascii="宋体" w:hAnsi="宋体"/>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lang w:val="en-US" w:eastAsia="zh-CN"/>
        </w:rPr>
        <w:t>无业绩要求</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w:t>
      </w:r>
      <w:r>
        <w:rPr>
          <w:rFonts w:hint="eastAsia" w:ascii="宋体" w:hAnsi="宋体"/>
          <w:strike w:val="0"/>
          <w:dstrike w:val="0"/>
          <w:color w:val="auto"/>
          <w:highlight w:val="none"/>
        </w:rPr>
        <w:t>提供下述材料之一即可：①合同文件；②业主（采购方）开具的证明材料</w:t>
      </w:r>
      <w:r>
        <w:rPr>
          <w:rFonts w:hint="eastAsia" w:ascii="宋体" w:hAnsi="宋体"/>
          <w:strike w:val="0"/>
          <w:dstrike w:val="0"/>
          <w:color w:val="auto"/>
          <w:highlight w:val="none"/>
          <w:lang w:eastAsia="zh-CN"/>
        </w:rPr>
        <w:t>，</w:t>
      </w:r>
      <w:r>
        <w:rPr>
          <w:rFonts w:hint="eastAsia" w:ascii="宋体" w:hAnsi="宋体"/>
          <w:strike w:val="0"/>
          <w:dstrike w:val="0"/>
          <w:color w:val="auto"/>
          <w:highlight w:val="none"/>
        </w:rPr>
        <w:t>但</w:t>
      </w:r>
      <w:r>
        <w:rPr>
          <w:rFonts w:hint="eastAsia" w:ascii="宋体" w:hAnsi="宋体"/>
          <w:color w:val="auto"/>
          <w:highlight w:val="none"/>
        </w:rPr>
        <w:t>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4"/>
        <w:pageBreakBefore/>
        <w:spacing w:after="100"/>
        <w:ind w:left="0" w:right="-57" w:firstLine="0"/>
        <w:jc w:val="center"/>
        <w:rPr>
          <w:rFonts w:ascii="宋体" w:hAnsi="宋体"/>
          <w:color w:val="auto"/>
          <w:sz w:val="24"/>
          <w:szCs w:val="24"/>
          <w:highlight w:val="none"/>
        </w:rPr>
      </w:pPr>
      <w:bookmarkStart w:id="1522" w:name="_Toc10812"/>
      <w:bookmarkStart w:id="1523" w:name="_Toc8914"/>
      <w:bookmarkStart w:id="1524" w:name="_Toc14988"/>
      <w:bookmarkStart w:id="1525" w:name="_Toc492478807"/>
      <w:bookmarkStart w:id="1526" w:name="_Toc12677"/>
      <w:bookmarkStart w:id="1527" w:name="_Toc29358"/>
      <w:bookmarkStart w:id="1528" w:name="_Toc14586"/>
      <w:bookmarkStart w:id="1529" w:name="_Toc414290525"/>
      <w:bookmarkStart w:id="1530" w:name="_Toc8874"/>
      <w:bookmarkStart w:id="1531" w:name="_Toc11582"/>
      <w:bookmarkStart w:id="1532" w:name="_Toc24971"/>
      <w:bookmarkStart w:id="1533" w:name="_Toc28662"/>
      <w:bookmarkStart w:id="1534" w:name="_Toc13328"/>
      <w:bookmarkStart w:id="1535" w:name="_Toc8451"/>
      <w:bookmarkStart w:id="1536" w:name="_Toc17687"/>
      <w:bookmarkStart w:id="1537" w:name="_Toc27820"/>
      <w:bookmarkStart w:id="1538" w:name="_Toc18876"/>
      <w:bookmarkStart w:id="1539" w:name="_Toc12983551"/>
      <w:bookmarkStart w:id="1540" w:name="_Toc12984811"/>
      <w:bookmarkStart w:id="1541" w:name="_Toc23770"/>
      <w:bookmarkStart w:id="1542" w:name="_Toc16676"/>
      <w:bookmarkStart w:id="1543" w:name="_Toc26807_WPSOffice_Level2"/>
      <w:bookmarkStart w:id="1544" w:name="_Toc3340"/>
      <w:bookmarkStart w:id="1545" w:name="_Toc29739"/>
      <w:bookmarkStart w:id="1546" w:name="_Toc25750679"/>
      <w:bookmarkStart w:id="1547" w:name="_Toc17247"/>
      <w:bookmarkStart w:id="1548" w:name="_Toc2424"/>
      <w:bookmarkStart w:id="1549" w:name="_Toc20770"/>
      <w:bookmarkStart w:id="1550" w:name="_Toc6272"/>
      <w:bookmarkStart w:id="1551" w:name="_Toc20612_WPSOffice_Level2"/>
      <w:bookmarkStart w:id="1552" w:name="_Toc11760"/>
      <w:bookmarkStart w:id="1553" w:name="_Toc28563"/>
      <w:r>
        <w:rPr>
          <w:rFonts w:ascii="宋体" w:hAnsi="宋体"/>
          <w:color w:val="auto"/>
          <w:sz w:val="24"/>
          <w:szCs w:val="24"/>
          <w:highlight w:val="none"/>
        </w:rPr>
        <w:t xml:space="preserve">B </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Fonts w:hint="eastAsia" w:ascii="宋体" w:hAnsi="宋体"/>
          <w:color w:val="auto"/>
          <w:sz w:val="24"/>
          <w:szCs w:val="24"/>
          <w:highlight w:val="none"/>
        </w:rPr>
        <w:t>价格文件</w:t>
      </w:r>
      <w:bookmarkEnd w:id="1543"/>
      <w:bookmarkEnd w:id="1544"/>
      <w:bookmarkEnd w:id="1545"/>
      <w:bookmarkEnd w:id="1546"/>
      <w:bookmarkEnd w:id="1547"/>
      <w:bookmarkEnd w:id="1548"/>
      <w:bookmarkEnd w:id="1549"/>
      <w:bookmarkEnd w:id="1550"/>
      <w:bookmarkEnd w:id="1551"/>
      <w:bookmarkEnd w:id="1552"/>
      <w:bookmarkEnd w:id="1553"/>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420" w:firstLineChars="200"/>
        <w:rPr>
          <w:rFonts w:hint="eastAsia" w:ascii="宋体" w:hAnsi="宋体" w:eastAsia="宋体" w:cs="Arial"/>
          <w:color w:val="auto"/>
          <w:highlight w:val="none"/>
          <w:lang w:eastAsia="zh-CN"/>
        </w:rPr>
      </w:pPr>
      <w:r>
        <w:rPr>
          <w:rFonts w:hint="eastAsia"/>
          <w:color w:val="auto"/>
          <w:highlight w:val="none"/>
        </w:rPr>
        <w:t>（4）比选申请人认为应提交的其他比选申请资料。</w:t>
      </w:r>
      <w:r>
        <w:rPr>
          <w:rFonts w:hint="eastAsia"/>
          <w:color w:val="auto"/>
          <w:highlight w:val="none"/>
          <w:lang w:eastAsia="zh-CN"/>
        </w:rPr>
        <w:t>（</w:t>
      </w:r>
      <w:r>
        <w:rPr>
          <w:rFonts w:hint="eastAsia"/>
          <w:color w:val="auto"/>
          <w:highlight w:val="none"/>
          <w:lang w:val="en-US" w:eastAsia="zh-CN"/>
        </w:rPr>
        <w:t>如有</w:t>
      </w:r>
      <w:r>
        <w:rPr>
          <w:rFonts w:hint="eastAsia"/>
          <w:color w:val="auto"/>
          <w:highlight w:val="none"/>
          <w:lang w:eastAsia="zh-CN"/>
        </w:rPr>
        <w:t>）</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554" w:name="_Toc1771"/>
      <w:bookmarkStart w:id="1555" w:name="_Toc18516"/>
      <w:bookmarkStart w:id="1556" w:name="_Toc12951"/>
      <w:bookmarkStart w:id="1557" w:name="_Toc12983552"/>
      <w:bookmarkStart w:id="1558" w:name="_Toc6992"/>
      <w:bookmarkStart w:id="1559" w:name="_Toc1158"/>
      <w:bookmarkStart w:id="1560" w:name="_Toc25419"/>
      <w:bookmarkStart w:id="1561" w:name="_Toc7004"/>
      <w:bookmarkStart w:id="1562" w:name="_Toc9560"/>
      <w:bookmarkStart w:id="1563" w:name="_Toc12984812"/>
      <w:bookmarkStart w:id="1564" w:name="_Toc20291"/>
      <w:bookmarkStart w:id="1565" w:name="_Toc486"/>
      <w:bookmarkStart w:id="1566" w:name="_Toc492478808"/>
      <w:bookmarkStart w:id="1567" w:name="_Toc375564355"/>
      <w:bookmarkStart w:id="1568" w:name="_Toc18340"/>
      <w:bookmarkStart w:id="1569" w:name="_Toc9613"/>
      <w:bookmarkStart w:id="1570" w:name="_Toc9861"/>
      <w:bookmarkStart w:id="1571" w:name="_Toc24487"/>
      <w:bookmarkStart w:id="1572" w:name="_Toc24326"/>
      <w:bookmarkStart w:id="1573" w:name="_Toc10991"/>
      <w:bookmarkStart w:id="1574" w:name="_Toc26250"/>
      <w:bookmarkStart w:id="1575" w:name="_Toc25750680"/>
      <w:bookmarkStart w:id="1576" w:name="_Toc30929"/>
      <w:bookmarkStart w:id="1577" w:name="_Toc31181"/>
      <w:bookmarkStart w:id="1578" w:name="_Toc16489"/>
      <w:bookmarkStart w:id="1579" w:name="_Toc414290526"/>
      <w:bookmarkStart w:id="1580" w:name="_Toc27610"/>
      <w:bookmarkStart w:id="1581" w:name="_Toc29231"/>
      <w:bookmarkStart w:id="1582" w:name="_Toc13980"/>
      <w:bookmarkStart w:id="1583" w:name="_Toc29688"/>
      <w:bookmarkStart w:id="1584" w:name="_Toc13110"/>
      <w:bookmarkStart w:id="1585" w:name="_Toc23615"/>
      <w:r>
        <w:rPr>
          <w:rFonts w:ascii="宋体" w:hAnsi="宋体" w:eastAsia="宋体"/>
          <w:color w:val="auto"/>
          <w:sz w:val="21"/>
          <w:szCs w:val="21"/>
          <w:highlight w:val="none"/>
        </w:rPr>
        <w:t>B1比选申请报价一览表</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snapToGrid w:val="0"/>
        <w:spacing w:after="50"/>
        <w:ind w:right="-57" w:firstLine="0"/>
        <w:jc w:val="center"/>
        <w:outlineLvl w:val="0"/>
        <w:rPr>
          <w:rFonts w:ascii="宋体" w:hAnsi="宋体"/>
          <w:b/>
          <w:color w:val="auto"/>
          <w:sz w:val="24"/>
          <w:szCs w:val="24"/>
          <w:highlight w:val="none"/>
        </w:rPr>
      </w:pPr>
      <w:bookmarkStart w:id="1586" w:name="_Toc7728"/>
      <w:bookmarkStart w:id="1587" w:name="_Toc10392"/>
      <w:bookmarkStart w:id="1588" w:name="_Toc30168"/>
      <w:bookmarkStart w:id="1589" w:name="_Toc17514"/>
      <w:bookmarkStart w:id="1590" w:name="_Toc9630"/>
      <w:bookmarkStart w:id="1591" w:name="_Toc17085"/>
      <w:bookmarkStart w:id="1592" w:name="_Toc23678"/>
      <w:bookmarkStart w:id="1593" w:name="_Toc3867_WPSOffice_Level2"/>
      <w:bookmarkStart w:id="1594" w:name="_Toc2776"/>
      <w:bookmarkStart w:id="1595" w:name="_Toc3164"/>
      <w:r>
        <w:rPr>
          <w:rFonts w:hint="eastAsia" w:ascii="宋体" w:hAnsi="宋体"/>
          <w:b/>
          <w:color w:val="auto"/>
          <w:sz w:val="24"/>
          <w:szCs w:val="24"/>
          <w:highlight w:val="none"/>
        </w:rPr>
        <w:t>比选申请报价一览表</w:t>
      </w:r>
      <w:bookmarkEnd w:id="1586"/>
      <w:bookmarkEnd w:id="1587"/>
      <w:bookmarkEnd w:id="1588"/>
      <w:bookmarkEnd w:id="1589"/>
      <w:bookmarkEnd w:id="1590"/>
      <w:bookmarkEnd w:id="1591"/>
      <w:bookmarkEnd w:id="1592"/>
      <w:bookmarkEnd w:id="1593"/>
      <w:bookmarkEnd w:id="1594"/>
      <w:bookmarkEnd w:id="1595"/>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w:t>
      </w:r>
      <w:r>
        <w:rPr>
          <w:rFonts w:hint="eastAsia" w:ascii="宋体" w:hAnsi="宋体"/>
          <w:color w:val="auto"/>
          <w:kern w:val="2"/>
          <w:highlight w:val="none"/>
          <w:lang w:val="en-US" w:eastAsia="zh-CN"/>
        </w:rPr>
        <w:t>南宁轨道交通1-5号线出入段（场）线地面洞口及个别车站紧急疏散口视频监控补盲项目</w:t>
      </w:r>
    </w:p>
    <w:p>
      <w:pPr>
        <w:widowControl w:val="0"/>
        <w:snapToGrid w:val="0"/>
        <w:spacing w:before="0" w:after="0" w:afterAutospacing="0"/>
        <w:ind w:left="0" w:right="-57" w:rightChars="-27" w:firstLine="0"/>
        <w:rPr>
          <w:rFonts w:hint="default" w:ascii="宋体" w:hAnsi="宋体" w:eastAsia="宋体"/>
          <w:color w:val="auto"/>
          <w:kern w:val="2"/>
          <w:highlight w:val="none"/>
          <w:lang w:val="en-US" w:eastAsia="zh-CN"/>
        </w:rPr>
      </w:pPr>
      <w:r>
        <w:rPr>
          <w:rFonts w:hint="eastAsia" w:ascii="宋体" w:hAnsi="宋体"/>
          <w:color w:val="auto"/>
          <w:kern w:val="2"/>
          <w:highlight w:val="none"/>
        </w:rPr>
        <w:t>项目编号：202208250003</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 xml:space="preserve">比选申请人名称：                  </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 xml:space="preserve"> 单位：元</w:t>
      </w:r>
    </w:p>
    <w:tbl>
      <w:tblPr>
        <w:tblStyle w:val="31"/>
        <w:tblW w:w="875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1463"/>
        <w:gridCol w:w="366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7" w:hRule="atLeast"/>
          <w:jc w:val="center"/>
        </w:trPr>
        <w:tc>
          <w:tcPr>
            <w:tcW w:w="7577" w:type="dxa"/>
            <w:gridSpan w:val="3"/>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u w:val="single"/>
              </w:rPr>
            </w:pPr>
            <w:r>
              <w:rPr>
                <w:rFonts w:hint="eastAsia" w:ascii="宋体" w:hAnsi="宋体"/>
                <w:b/>
                <w:bCs/>
                <w:kern w:val="2"/>
                <w:highlight w:val="none"/>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2446" w:type="dxa"/>
            <w:vMerge w:val="restart"/>
            <w:vAlign w:val="center"/>
          </w:tcPr>
          <w:p>
            <w:pPr>
              <w:widowControl w:val="0"/>
              <w:snapToGrid w:val="0"/>
              <w:spacing w:before="0" w:after="0" w:afterAutospacing="0"/>
              <w:ind w:right="-57" w:rightChars="-27"/>
              <w:jc w:val="center"/>
              <w:rPr>
                <w:rFonts w:ascii="宋体" w:hAnsi="宋体"/>
                <w:b/>
                <w:bCs/>
                <w:kern w:val="2"/>
                <w:highlight w:val="none"/>
              </w:rPr>
            </w:pPr>
            <w:r>
              <w:rPr>
                <w:rFonts w:hint="eastAsia" w:ascii="宋体" w:hAnsi="宋体"/>
                <w:b/>
                <w:bCs/>
                <w:kern w:val="2"/>
                <w:highlight w:val="none"/>
              </w:rPr>
              <w:t>比选申请总报价</w:t>
            </w:r>
          </w:p>
          <w:p>
            <w:pPr>
              <w:widowControl w:val="0"/>
              <w:snapToGrid w:val="0"/>
              <w:spacing w:before="0" w:after="0" w:afterAutospacing="0"/>
              <w:ind w:right="-57" w:rightChars="-27"/>
              <w:jc w:val="center"/>
              <w:rPr>
                <w:rFonts w:ascii="宋体" w:hAnsi="宋体"/>
                <w:b/>
                <w:bCs/>
                <w:kern w:val="2"/>
                <w:highlight w:val="none"/>
              </w:rPr>
            </w:pPr>
            <w:r>
              <w:rPr>
                <w:rFonts w:hint="eastAsia" w:ascii="宋体" w:hAnsi="宋体"/>
                <w:b/>
                <w:bCs/>
                <w:kern w:val="2"/>
                <w:highlight w:val="none"/>
              </w:rPr>
              <w:t>(不含增值税)</w:t>
            </w:r>
          </w:p>
        </w:tc>
        <w:tc>
          <w:tcPr>
            <w:tcW w:w="5131" w:type="dxa"/>
            <w:gridSpan w:val="2"/>
            <w:tcBorders>
              <w:bottom w:val="single" w:color="auto" w:sz="4" w:space="0"/>
            </w:tcBorders>
            <w:vAlign w:val="center"/>
          </w:tcPr>
          <w:p>
            <w:pPr>
              <w:widowControl w:val="0"/>
              <w:snapToGrid w:val="0"/>
              <w:spacing w:before="0" w:after="0"/>
              <w:ind w:right="-57" w:rightChars="-27"/>
              <w:jc w:val="left"/>
              <w:rPr>
                <w:rFonts w:ascii="宋体" w:hAnsi="宋体"/>
                <w:b/>
                <w:kern w:val="2"/>
                <w:highlight w:val="none"/>
              </w:rPr>
            </w:pPr>
            <w:r>
              <w:rPr>
                <w:rFonts w:hint="eastAsia" w:ascii="宋体" w:hAnsi="宋体"/>
                <w:b/>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5" w:hRule="atLeast"/>
          <w:jc w:val="center"/>
        </w:trPr>
        <w:tc>
          <w:tcPr>
            <w:tcW w:w="2446" w:type="dxa"/>
            <w:vMerge w:val="continue"/>
            <w:vAlign w:val="center"/>
          </w:tcPr>
          <w:p>
            <w:pPr>
              <w:widowControl w:val="0"/>
              <w:snapToGrid w:val="0"/>
              <w:spacing w:before="0" w:after="0" w:afterAutospacing="0"/>
              <w:ind w:right="-57" w:rightChars="-27"/>
              <w:jc w:val="center"/>
              <w:rPr>
                <w:rFonts w:ascii="宋体" w:hAnsi="宋体"/>
                <w:b/>
                <w:bCs/>
                <w:kern w:val="2"/>
                <w:highlight w:val="none"/>
              </w:rPr>
            </w:pPr>
          </w:p>
        </w:tc>
        <w:tc>
          <w:tcPr>
            <w:tcW w:w="5131" w:type="dxa"/>
            <w:gridSpan w:val="2"/>
            <w:tcBorders>
              <w:top w:val="single" w:color="auto" w:sz="4" w:space="0"/>
            </w:tcBorders>
            <w:vAlign w:val="center"/>
          </w:tcPr>
          <w:p>
            <w:pPr>
              <w:widowControl w:val="0"/>
              <w:snapToGrid w:val="0"/>
              <w:spacing w:before="0" w:after="0"/>
              <w:ind w:left="0" w:right="-57" w:rightChars="-27" w:firstLine="0"/>
              <w:jc w:val="left"/>
              <w:rPr>
                <w:rFonts w:ascii="宋体" w:hAnsi="宋体"/>
                <w:b/>
                <w:kern w:val="2"/>
                <w:highlight w:val="none"/>
              </w:rPr>
            </w:pPr>
            <w:r>
              <w:rPr>
                <w:rFonts w:hint="eastAsia" w:ascii="宋体" w:hAnsi="宋体"/>
                <w:b/>
                <w:kern w:val="2"/>
                <w:highlight w:val="none"/>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446" w:type="dxa"/>
            <w:vMerge w:val="restart"/>
            <w:vAlign w:val="center"/>
          </w:tcPr>
          <w:p>
            <w:pPr>
              <w:widowControl w:val="0"/>
              <w:snapToGrid w:val="0"/>
              <w:spacing w:before="0" w:after="0" w:afterAutospacing="0"/>
              <w:ind w:right="-57" w:rightChars="-27"/>
              <w:jc w:val="center"/>
              <w:rPr>
                <w:rFonts w:ascii="宋体" w:hAnsi="宋体"/>
                <w:b/>
                <w:bCs/>
                <w:kern w:val="2"/>
                <w:highlight w:val="none"/>
              </w:rPr>
            </w:pPr>
            <w:r>
              <w:rPr>
                <w:rFonts w:hint="eastAsia" w:ascii="宋体" w:hAnsi="宋体"/>
                <w:b/>
                <w:bCs/>
                <w:kern w:val="2"/>
                <w:highlight w:val="none"/>
              </w:rPr>
              <w:t>其中</w:t>
            </w: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highlight w:val="none"/>
              </w:rPr>
            </w:pPr>
            <w:r>
              <w:rPr>
                <w:rFonts w:ascii="宋体" w:hAnsi="宋体"/>
                <w:b/>
                <w:kern w:val="2"/>
                <w:highlight w:val="none"/>
              </w:rPr>
              <w:t>1号线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kern w:val="2"/>
                <w:highlight w:val="none"/>
              </w:rPr>
            </w:pPr>
            <w:r>
              <w:rPr>
                <w:rFonts w:hint="eastAsia" w:ascii="宋体" w:hAnsi="宋体"/>
                <w:b/>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 w:hRule="atLeast"/>
          <w:jc w:val="center"/>
        </w:trPr>
        <w:tc>
          <w:tcPr>
            <w:tcW w:w="2446" w:type="dxa"/>
            <w:vMerge w:val="continue"/>
            <w:vAlign w:val="center"/>
          </w:tcPr>
          <w:p>
            <w:pPr>
              <w:widowControl w:val="0"/>
              <w:snapToGrid w:val="0"/>
              <w:spacing w:before="0" w:after="0" w:afterAutospacing="0"/>
              <w:ind w:right="-57" w:rightChars="-27"/>
              <w:jc w:val="center"/>
              <w:rPr>
                <w:rFonts w:ascii="宋体" w:hAnsi="宋体"/>
                <w:b/>
                <w:bCs/>
                <w:kern w:val="2"/>
                <w:highlight w:val="none"/>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kern w:val="2"/>
                <w:highlight w:val="none"/>
              </w:rPr>
            </w:pPr>
            <w:r>
              <w:rPr>
                <w:rFonts w:hint="eastAsia" w:ascii="宋体" w:hAnsi="宋体"/>
                <w:b/>
                <w:kern w:val="2"/>
                <w:highlight w:val="none"/>
              </w:rPr>
              <w:t>大写：</w:t>
            </w:r>
          </w:p>
        </w:tc>
        <w:tc>
          <w:tcPr>
            <w:tcW w:w="1178" w:type="dxa"/>
            <w:vMerge w:val="continue"/>
            <w:vAlign w:val="center"/>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 w:hRule="atLeast"/>
          <w:jc w:val="center"/>
        </w:trPr>
        <w:tc>
          <w:tcPr>
            <w:tcW w:w="2446" w:type="dxa"/>
            <w:vMerge w:val="continue"/>
          </w:tcPr>
          <w:p>
            <w:pPr>
              <w:widowControl w:val="0"/>
              <w:snapToGrid w:val="0"/>
              <w:spacing w:before="0" w:after="0" w:afterAutospacing="0"/>
              <w:ind w:right="-57" w:rightChars="-27"/>
              <w:rPr>
                <w:rFonts w:ascii="宋体" w:hAnsi="宋体"/>
                <w:b/>
                <w:kern w:val="2"/>
                <w:highlight w:val="none"/>
              </w:rPr>
            </w:pP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highlight w:val="none"/>
              </w:rPr>
            </w:pPr>
            <w:r>
              <w:rPr>
                <w:rFonts w:ascii="宋体" w:hAnsi="宋体"/>
                <w:b/>
                <w:kern w:val="2"/>
                <w:highlight w:val="none"/>
              </w:rPr>
              <w:t>2号线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kern w:val="2"/>
                <w:highlight w:val="none"/>
              </w:rPr>
            </w:pPr>
            <w:r>
              <w:rPr>
                <w:rFonts w:hint="eastAsia" w:ascii="宋体" w:hAnsi="宋体"/>
                <w:b/>
                <w:kern w:val="2"/>
                <w:highlight w:val="none"/>
              </w:rPr>
              <w:t>小写：</w:t>
            </w:r>
          </w:p>
        </w:tc>
        <w:tc>
          <w:tcPr>
            <w:tcW w:w="1178" w:type="dxa"/>
            <w:vMerge w:val="restart"/>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446" w:type="dxa"/>
            <w:vMerge w:val="continue"/>
          </w:tcPr>
          <w:p>
            <w:pPr>
              <w:widowControl w:val="0"/>
              <w:snapToGrid w:val="0"/>
              <w:spacing w:before="0" w:after="0" w:afterAutospacing="0"/>
              <w:ind w:right="-57" w:rightChars="-27"/>
              <w:rPr>
                <w:rFonts w:ascii="宋体" w:hAnsi="宋体"/>
                <w:b/>
                <w:kern w:val="2"/>
                <w:highlight w:val="none"/>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kern w:val="2"/>
                <w:highlight w:val="none"/>
              </w:rPr>
            </w:pPr>
            <w:r>
              <w:rPr>
                <w:rFonts w:hint="eastAsia" w:ascii="宋体" w:hAnsi="宋体"/>
                <w:b/>
                <w:kern w:val="2"/>
                <w:highlight w:val="none"/>
              </w:rPr>
              <w:t>大写：</w:t>
            </w:r>
          </w:p>
        </w:tc>
        <w:tc>
          <w:tcPr>
            <w:tcW w:w="1178" w:type="dxa"/>
            <w:vMerge w:val="continue"/>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7" w:hRule="atLeast"/>
          <w:jc w:val="center"/>
        </w:trPr>
        <w:tc>
          <w:tcPr>
            <w:tcW w:w="2446" w:type="dxa"/>
            <w:vMerge w:val="continue"/>
          </w:tcPr>
          <w:p>
            <w:pPr>
              <w:widowControl w:val="0"/>
              <w:snapToGrid w:val="0"/>
              <w:spacing w:before="0" w:after="0" w:afterAutospacing="0"/>
              <w:ind w:right="-57" w:rightChars="-27"/>
              <w:rPr>
                <w:rFonts w:ascii="宋体" w:hAnsi="宋体"/>
                <w:b/>
                <w:kern w:val="2"/>
                <w:highlight w:val="none"/>
              </w:rPr>
            </w:pP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highlight w:val="none"/>
              </w:rPr>
            </w:pPr>
            <w:r>
              <w:rPr>
                <w:rFonts w:ascii="宋体" w:hAnsi="宋体"/>
                <w:b/>
                <w:kern w:val="2"/>
                <w:highlight w:val="none"/>
              </w:rPr>
              <w:t>3号线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kern w:val="2"/>
                <w:highlight w:val="none"/>
              </w:rPr>
            </w:pPr>
            <w:r>
              <w:rPr>
                <w:rFonts w:hint="eastAsia" w:ascii="宋体" w:hAnsi="宋体"/>
                <w:b/>
                <w:kern w:val="2"/>
                <w:highlight w:val="none"/>
              </w:rPr>
              <w:t>小写：</w:t>
            </w:r>
          </w:p>
        </w:tc>
        <w:tc>
          <w:tcPr>
            <w:tcW w:w="1178" w:type="dxa"/>
            <w:vMerge w:val="restart"/>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446" w:type="dxa"/>
            <w:vMerge w:val="continue"/>
          </w:tcPr>
          <w:p>
            <w:pPr>
              <w:widowControl w:val="0"/>
              <w:snapToGrid w:val="0"/>
              <w:spacing w:before="0" w:after="0" w:afterAutospacing="0"/>
              <w:ind w:right="-57" w:rightChars="-27"/>
              <w:rPr>
                <w:rFonts w:ascii="宋体" w:hAnsi="宋体"/>
                <w:b/>
                <w:kern w:val="2"/>
                <w:highlight w:val="none"/>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kern w:val="2"/>
                <w:highlight w:val="none"/>
              </w:rPr>
            </w:pPr>
            <w:r>
              <w:rPr>
                <w:rFonts w:hint="eastAsia" w:ascii="宋体" w:hAnsi="宋体"/>
                <w:b/>
                <w:kern w:val="2"/>
                <w:highlight w:val="none"/>
              </w:rPr>
              <w:t>大写：</w:t>
            </w:r>
          </w:p>
        </w:tc>
        <w:tc>
          <w:tcPr>
            <w:tcW w:w="1178" w:type="dxa"/>
            <w:vMerge w:val="continue"/>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2446" w:type="dxa"/>
            <w:vMerge w:val="continue"/>
          </w:tcPr>
          <w:p>
            <w:pPr>
              <w:widowControl w:val="0"/>
              <w:snapToGrid w:val="0"/>
              <w:spacing w:before="0" w:after="0" w:afterAutospacing="0"/>
              <w:ind w:right="-57" w:rightChars="-27"/>
              <w:rPr>
                <w:rFonts w:ascii="宋体" w:hAnsi="宋体"/>
                <w:b/>
                <w:kern w:val="2"/>
                <w:highlight w:val="none"/>
              </w:rPr>
            </w:pPr>
          </w:p>
        </w:tc>
        <w:tc>
          <w:tcPr>
            <w:tcW w:w="1463" w:type="dxa"/>
            <w:vMerge w:val="restart"/>
            <w:tcBorders>
              <w:right w:val="single" w:color="auto" w:sz="4" w:space="0"/>
            </w:tcBorders>
            <w:vAlign w:val="center"/>
          </w:tcPr>
          <w:p>
            <w:pPr>
              <w:widowControl w:val="0"/>
              <w:snapToGrid w:val="0"/>
              <w:spacing w:before="0" w:after="0" w:afterAutospacing="0"/>
              <w:ind w:left="0" w:leftChars="0" w:right="-57" w:rightChars="-27" w:firstLine="0" w:firstLineChars="0"/>
              <w:jc w:val="center"/>
              <w:rPr>
                <w:rFonts w:ascii="宋体" w:hAnsi="宋体" w:eastAsia="宋体" w:cs="Times New Roman"/>
                <w:b/>
                <w:kern w:val="2"/>
                <w:sz w:val="21"/>
                <w:szCs w:val="21"/>
                <w:highlight w:val="none"/>
                <w:lang w:val="en-US" w:eastAsia="zh-CN" w:bidi="ar-SA"/>
              </w:rPr>
            </w:pPr>
            <w:r>
              <w:rPr>
                <w:rFonts w:hint="eastAsia" w:ascii="宋体" w:hAnsi="宋体"/>
                <w:b/>
                <w:kern w:val="2"/>
                <w:highlight w:val="none"/>
                <w:lang w:val="en-US" w:eastAsia="zh-CN"/>
              </w:rPr>
              <w:t>4</w:t>
            </w:r>
            <w:r>
              <w:rPr>
                <w:rFonts w:ascii="宋体" w:hAnsi="宋体"/>
                <w:b/>
                <w:kern w:val="2"/>
                <w:highlight w:val="none"/>
              </w:rPr>
              <w:t>号线</w:t>
            </w:r>
          </w:p>
          <w:p>
            <w:pPr>
              <w:widowControl w:val="0"/>
              <w:snapToGrid w:val="0"/>
              <w:spacing w:before="0" w:after="0" w:afterAutospacing="0"/>
              <w:ind w:left="0" w:right="-57" w:rightChars="-27" w:firstLine="0"/>
              <w:jc w:val="center"/>
              <w:rPr>
                <w:rFonts w:ascii="宋体" w:hAnsi="宋体"/>
                <w:b/>
                <w:kern w:val="2"/>
                <w:highlight w:val="none"/>
              </w:rPr>
            </w:pPr>
          </w:p>
        </w:tc>
        <w:tc>
          <w:tcPr>
            <w:tcW w:w="3668" w:type="dxa"/>
            <w:tcBorders>
              <w:left w:val="single" w:color="auto" w:sz="4" w:space="0"/>
            </w:tcBorders>
            <w:vAlign w:val="center"/>
          </w:tcPr>
          <w:p>
            <w:pPr>
              <w:widowControl w:val="0"/>
              <w:snapToGrid w:val="0"/>
              <w:spacing w:before="0" w:after="0" w:afterAutospacing="0"/>
              <w:ind w:left="709" w:leftChars="0" w:right="-57" w:rightChars="-27" w:hanging="709" w:firstLineChars="0"/>
              <w:jc w:val="left"/>
              <w:rPr>
                <w:rFonts w:ascii="宋体" w:hAnsi="宋体" w:eastAsia="宋体" w:cs="Times New Roman"/>
                <w:b/>
                <w:kern w:val="2"/>
                <w:sz w:val="21"/>
                <w:szCs w:val="21"/>
                <w:highlight w:val="none"/>
                <w:lang w:val="en-US" w:eastAsia="zh-CN" w:bidi="ar-SA"/>
              </w:rPr>
            </w:pPr>
            <w:r>
              <w:rPr>
                <w:rFonts w:hint="eastAsia" w:ascii="宋体" w:hAnsi="宋体"/>
                <w:b/>
                <w:kern w:val="2"/>
                <w:highlight w:val="none"/>
              </w:rPr>
              <w:t>小写：</w:t>
            </w:r>
          </w:p>
        </w:tc>
        <w:tc>
          <w:tcPr>
            <w:tcW w:w="1178" w:type="dxa"/>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7" w:hRule="atLeast"/>
          <w:jc w:val="center"/>
        </w:trPr>
        <w:tc>
          <w:tcPr>
            <w:tcW w:w="2446" w:type="dxa"/>
            <w:vMerge w:val="continue"/>
          </w:tcPr>
          <w:p>
            <w:pPr>
              <w:widowControl w:val="0"/>
              <w:snapToGrid w:val="0"/>
              <w:spacing w:before="0" w:after="0" w:afterAutospacing="0"/>
              <w:ind w:right="-57" w:rightChars="-27"/>
              <w:rPr>
                <w:rFonts w:ascii="宋体" w:hAnsi="宋体"/>
                <w:b/>
                <w:kern w:val="2"/>
                <w:highlight w:val="none"/>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kern w:val="2"/>
                <w:highlight w:val="none"/>
              </w:rPr>
            </w:pPr>
          </w:p>
        </w:tc>
        <w:tc>
          <w:tcPr>
            <w:tcW w:w="3668" w:type="dxa"/>
            <w:tcBorders>
              <w:left w:val="single" w:color="auto" w:sz="4" w:space="0"/>
            </w:tcBorders>
            <w:vAlign w:val="center"/>
          </w:tcPr>
          <w:p>
            <w:pPr>
              <w:widowControl w:val="0"/>
              <w:snapToGrid w:val="0"/>
              <w:spacing w:before="0" w:after="0" w:afterAutospacing="0"/>
              <w:ind w:left="0" w:leftChars="0" w:right="-57" w:rightChars="-27" w:firstLine="0" w:firstLineChars="0"/>
              <w:jc w:val="left"/>
              <w:rPr>
                <w:rFonts w:ascii="宋体" w:hAnsi="宋体" w:eastAsia="宋体" w:cs="Times New Roman"/>
                <w:b/>
                <w:kern w:val="2"/>
                <w:sz w:val="21"/>
                <w:szCs w:val="21"/>
                <w:highlight w:val="none"/>
                <w:lang w:val="en-US" w:eastAsia="zh-CN" w:bidi="ar-SA"/>
              </w:rPr>
            </w:pPr>
            <w:r>
              <w:rPr>
                <w:rFonts w:hint="eastAsia" w:ascii="宋体" w:hAnsi="宋体"/>
                <w:b/>
                <w:kern w:val="2"/>
                <w:highlight w:val="none"/>
              </w:rPr>
              <w:t>大写：</w:t>
            </w:r>
          </w:p>
        </w:tc>
        <w:tc>
          <w:tcPr>
            <w:tcW w:w="1178" w:type="dxa"/>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2446" w:type="dxa"/>
            <w:vMerge w:val="continue"/>
          </w:tcPr>
          <w:p>
            <w:pPr>
              <w:widowControl w:val="0"/>
              <w:snapToGrid w:val="0"/>
              <w:spacing w:before="0" w:after="0" w:afterAutospacing="0"/>
              <w:ind w:right="-57" w:rightChars="-27"/>
              <w:rPr>
                <w:rFonts w:ascii="宋体" w:hAnsi="宋体"/>
                <w:b/>
                <w:kern w:val="2"/>
                <w:highlight w:val="none"/>
              </w:rPr>
            </w:pPr>
          </w:p>
        </w:tc>
        <w:tc>
          <w:tcPr>
            <w:tcW w:w="1463" w:type="dxa"/>
            <w:vMerge w:val="restart"/>
            <w:tcBorders>
              <w:right w:val="single" w:color="auto" w:sz="4" w:space="0"/>
            </w:tcBorders>
            <w:vAlign w:val="center"/>
          </w:tcPr>
          <w:p>
            <w:pPr>
              <w:widowControl w:val="0"/>
              <w:snapToGrid w:val="0"/>
              <w:spacing w:before="0" w:after="0" w:afterAutospacing="0"/>
              <w:ind w:left="0" w:leftChars="0" w:right="-57" w:rightChars="-27" w:firstLine="0" w:firstLineChars="0"/>
              <w:jc w:val="center"/>
              <w:rPr>
                <w:rFonts w:ascii="宋体" w:hAnsi="宋体"/>
                <w:b/>
                <w:kern w:val="2"/>
                <w:highlight w:val="none"/>
              </w:rPr>
            </w:pPr>
            <w:r>
              <w:rPr>
                <w:rFonts w:hint="eastAsia" w:ascii="宋体" w:hAnsi="宋体"/>
                <w:b/>
                <w:kern w:val="2"/>
                <w:highlight w:val="none"/>
                <w:lang w:val="en-US" w:eastAsia="zh-CN"/>
              </w:rPr>
              <w:t>5</w:t>
            </w:r>
            <w:r>
              <w:rPr>
                <w:rFonts w:ascii="宋体" w:hAnsi="宋体"/>
                <w:b/>
                <w:kern w:val="2"/>
                <w:highlight w:val="none"/>
              </w:rPr>
              <w:t>号线</w:t>
            </w:r>
          </w:p>
        </w:tc>
        <w:tc>
          <w:tcPr>
            <w:tcW w:w="3668" w:type="dxa"/>
            <w:tcBorders>
              <w:left w:val="single" w:color="auto" w:sz="4" w:space="0"/>
            </w:tcBorders>
            <w:vAlign w:val="center"/>
          </w:tcPr>
          <w:p>
            <w:pPr>
              <w:widowControl w:val="0"/>
              <w:snapToGrid w:val="0"/>
              <w:spacing w:before="0" w:after="0" w:afterAutospacing="0"/>
              <w:ind w:left="709" w:leftChars="0" w:right="-57" w:rightChars="-27" w:hanging="709" w:firstLineChars="0"/>
              <w:jc w:val="left"/>
              <w:rPr>
                <w:rFonts w:ascii="宋体" w:hAnsi="宋体"/>
                <w:b/>
                <w:kern w:val="2"/>
                <w:highlight w:val="none"/>
              </w:rPr>
            </w:pPr>
            <w:r>
              <w:rPr>
                <w:rFonts w:hint="eastAsia" w:ascii="宋体" w:hAnsi="宋体"/>
                <w:b/>
                <w:kern w:val="2"/>
                <w:highlight w:val="none"/>
              </w:rPr>
              <w:t>小写：</w:t>
            </w:r>
          </w:p>
        </w:tc>
        <w:tc>
          <w:tcPr>
            <w:tcW w:w="1178" w:type="dxa"/>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7" w:hRule="atLeast"/>
          <w:jc w:val="center"/>
        </w:trPr>
        <w:tc>
          <w:tcPr>
            <w:tcW w:w="2446" w:type="dxa"/>
            <w:vMerge w:val="continue"/>
          </w:tcPr>
          <w:p>
            <w:pPr>
              <w:widowControl w:val="0"/>
              <w:snapToGrid w:val="0"/>
              <w:spacing w:before="0" w:after="0" w:afterAutospacing="0"/>
              <w:ind w:right="-57" w:rightChars="-27"/>
              <w:rPr>
                <w:rFonts w:ascii="宋体" w:hAnsi="宋体"/>
                <w:b/>
                <w:kern w:val="2"/>
                <w:highlight w:val="none"/>
              </w:rPr>
            </w:pPr>
          </w:p>
        </w:tc>
        <w:tc>
          <w:tcPr>
            <w:tcW w:w="1463" w:type="dxa"/>
            <w:vMerge w:val="continue"/>
            <w:tcBorders>
              <w:right w:val="single" w:color="auto" w:sz="4" w:space="0"/>
            </w:tcBorders>
            <w:vAlign w:val="center"/>
          </w:tcPr>
          <w:p>
            <w:pPr>
              <w:widowControl w:val="0"/>
              <w:snapToGrid w:val="0"/>
              <w:spacing w:before="0" w:after="0" w:afterAutospacing="0"/>
              <w:ind w:left="0" w:leftChars="0" w:right="-57" w:rightChars="-27" w:firstLine="0" w:firstLineChars="0"/>
              <w:jc w:val="center"/>
              <w:rPr>
                <w:rFonts w:ascii="宋体" w:hAnsi="宋体"/>
                <w:b/>
                <w:kern w:val="2"/>
                <w:highlight w:val="none"/>
              </w:rPr>
            </w:pPr>
          </w:p>
        </w:tc>
        <w:tc>
          <w:tcPr>
            <w:tcW w:w="3668" w:type="dxa"/>
            <w:tcBorders>
              <w:left w:val="single" w:color="auto" w:sz="4" w:space="0"/>
            </w:tcBorders>
            <w:vAlign w:val="center"/>
          </w:tcPr>
          <w:p>
            <w:pPr>
              <w:widowControl w:val="0"/>
              <w:snapToGrid w:val="0"/>
              <w:spacing w:before="0" w:after="0" w:afterAutospacing="0"/>
              <w:ind w:left="0" w:leftChars="0" w:right="-57" w:rightChars="-27" w:firstLine="0" w:firstLineChars="0"/>
              <w:jc w:val="left"/>
              <w:rPr>
                <w:rFonts w:ascii="宋体" w:hAnsi="宋体"/>
                <w:b/>
                <w:kern w:val="2"/>
                <w:highlight w:val="none"/>
              </w:rPr>
            </w:pPr>
            <w:r>
              <w:rPr>
                <w:rFonts w:hint="eastAsia" w:ascii="宋体" w:hAnsi="宋体"/>
                <w:b/>
                <w:kern w:val="2"/>
                <w:highlight w:val="none"/>
              </w:rPr>
              <w:t>大写：</w:t>
            </w:r>
          </w:p>
        </w:tc>
        <w:tc>
          <w:tcPr>
            <w:tcW w:w="1178" w:type="dxa"/>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jc w:val="center"/>
        </w:trPr>
        <w:tc>
          <w:tcPr>
            <w:tcW w:w="2446" w:type="dxa"/>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税率</w:t>
            </w:r>
          </w:p>
        </w:tc>
        <w:tc>
          <w:tcPr>
            <w:tcW w:w="6309" w:type="dxa"/>
            <w:gridSpan w:val="3"/>
            <w:vAlign w:val="center"/>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2446" w:type="dxa"/>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交货期</w:t>
            </w:r>
          </w:p>
        </w:tc>
        <w:tc>
          <w:tcPr>
            <w:tcW w:w="6309" w:type="dxa"/>
            <w:gridSpan w:val="3"/>
            <w:vAlign w:val="center"/>
          </w:tcPr>
          <w:p>
            <w:pPr>
              <w:widowControl w:val="0"/>
              <w:snapToGrid w:val="0"/>
              <w:spacing w:before="0" w:after="0" w:afterAutospacing="0"/>
              <w:ind w:right="-57" w:rightChars="-27"/>
              <w:rPr>
                <w:rFonts w:ascii="宋体" w:hAnsi="宋体"/>
                <w:b/>
                <w:kern w:val="2"/>
                <w:highlight w:val="none"/>
              </w:rPr>
            </w:pPr>
          </w:p>
        </w:tc>
      </w:tr>
    </w:tbl>
    <w:p>
      <w:pPr>
        <w:spacing w:before="0" w:after="0" w:afterAutospacing="0"/>
        <w:ind w:left="0" w:right="0" w:firstLine="0"/>
        <w:rPr>
          <w:rFonts w:hint="eastAsia"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比选申请报价应包括货物价款、运输、装卸、</w:t>
      </w:r>
      <w:r>
        <w:rPr>
          <w:rFonts w:hint="eastAsia" w:ascii="宋体" w:hAnsi="宋体"/>
          <w:color w:val="auto"/>
          <w:highlight w:val="none"/>
          <w:lang w:val="en-US" w:eastAsia="zh-CN"/>
        </w:rPr>
        <w:t>设备安装、线缆敷设、接入调试、</w:t>
      </w:r>
      <w:r>
        <w:rPr>
          <w:rFonts w:hint="eastAsia" w:ascii="宋体" w:hAnsi="宋体"/>
          <w:color w:val="auto"/>
          <w:highlight w:val="none"/>
        </w:rPr>
        <w:t>质量保证期服务、人工</w:t>
      </w:r>
      <w:r>
        <w:rPr>
          <w:rFonts w:hint="eastAsia" w:ascii="宋体" w:hAnsi="宋体"/>
          <w:color w:val="auto"/>
          <w:highlight w:val="none"/>
          <w:lang w:val="en-US" w:eastAsia="zh-CN"/>
        </w:rPr>
        <w:t>费</w:t>
      </w:r>
      <w:r>
        <w:rPr>
          <w:rFonts w:hint="eastAsia" w:ascii="宋体" w:hAnsi="宋体"/>
          <w:color w:val="auto"/>
          <w:highlight w:val="none"/>
        </w:rPr>
        <w:t>、</w:t>
      </w:r>
      <w:r>
        <w:rPr>
          <w:rFonts w:hint="eastAsia" w:ascii="宋体" w:hAnsi="宋体"/>
          <w:color w:val="auto"/>
          <w:highlight w:val="none"/>
          <w:lang w:val="en-US" w:eastAsia="zh-CN"/>
        </w:rPr>
        <w:t>材料费、机械费、</w:t>
      </w:r>
      <w:r>
        <w:rPr>
          <w:rFonts w:hint="eastAsia" w:ascii="宋体" w:hAnsi="宋体"/>
          <w:color w:val="auto"/>
          <w:highlight w:val="none"/>
        </w:rPr>
        <w:t>管理费、利润、保险等一切履行合同标的全过程产生的所有费用。</w:t>
      </w:r>
    </w:p>
    <w:p>
      <w:pPr>
        <w:snapToGrid w:val="0"/>
        <w:spacing w:after="50" w:line="280" w:lineRule="exact"/>
        <w:ind w:left="953" w:right="-817" w:firstLine="1443"/>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     年  月  日</w:t>
      </w:r>
    </w:p>
    <w:p>
      <w:pPr>
        <w:pStyle w:val="5"/>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596" w:name="_Toc110413986"/>
      <w:bookmarkStart w:id="1597" w:name="_Toc61680485"/>
      <w:bookmarkStart w:id="1598" w:name="_Toc58124833"/>
      <w:bookmarkStart w:id="1599" w:name="_Toc68859063"/>
      <w:bookmarkStart w:id="1600" w:name="_Toc17112"/>
      <w:bookmarkStart w:id="1601" w:name="_Toc25869"/>
      <w:bookmarkStart w:id="1602" w:name="_Toc4976"/>
      <w:bookmarkStart w:id="1603" w:name="_Toc492478809"/>
      <w:bookmarkStart w:id="1604" w:name="_Toc11065"/>
      <w:bookmarkStart w:id="1605" w:name="_Toc8079"/>
      <w:bookmarkStart w:id="1606" w:name="_Toc18111"/>
      <w:bookmarkStart w:id="1607" w:name="_Toc21109"/>
      <w:bookmarkStart w:id="1608" w:name="_Toc17974"/>
      <w:bookmarkStart w:id="1609" w:name="_Toc10260"/>
      <w:bookmarkStart w:id="1610" w:name="_Toc2257"/>
      <w:bookmarkStart w:id="1611" w:name="_Toc6833"/>
      <w:bookmarkStart w:id="1612" w:name="_Toc29702"/>
      <w:bookmarkStart w:id="1613" w:name="_Toc27536"/>
      <w:bookmarkStart w:id="1614" w:name="_Toc414290527"/>
      <w:bookmarkStart w:id="1615" w:name="_Toc2585"/>
      <w:bookmarkStart w:id="1616" w:name="_Toc20864"/>
      <w:bookmarkStart w:id="1617" w:name="_Toc25750681"/>
      <w:bookmarkStart w:id="1618" w:name="_Toc241920153"/>
      <w:bookmarkStart w:id="1619" w:name="_Toc12984813"/>
      <w:bookmarkStart w:id="1620" w:name="_Toc8713"/>
      <w:bookmarkStart w:id="1621" w:name="_Toc20737"/>
      <w:bookmarkStart w:id="1622" w:name="_Toc15419"/>
      <w:bookmarkStart w:id="1623" w:name="_Toc508"/>
      <w:bookmarkStart w:id="1624" w:name="_Toc13686"/>
      <w:bookmarkStart w:id="1625" w:name="_Toc14503"/>
      <w:bookmarkStart w:id="1626" w:name="_Toc12983553"/>
      <w:bookmarkStart w:id="1627" w:name="_Toc14859"/>
      <w:bookmarkStart w:id="1628" w:name="_Toc32224"/>
      <w:bookmarkStart w:id="1629" w:name="_Toc375564356"/>
      <w:bookmarkStart w:id="1630" w:name="_Toc11438"/>
      <w:bookmarkStart w:id="1631" w:name="_Toc14593"/>
      <w:bookmarkStart w:id="1632" w:name="_Toc6270"/>
      <w:r>
        <w:rPr>
          <w:rFonts w:ascii="宋体" w:hAnsi="宋体" w:eastAsia="宋体"/>
          <w:color w:val="auto"/>
          <w:sz w:val="21"/>
          <w:szCs w:val="21"/>
          <w:highlight w:val="none"/>
        </w:rPr>
        <w:t>B2比选申请</w:t>
      </w:r>
      <w:bookmarkEnd w:id="1596"/>
      <w:bookmarkEnd w:id="1597"/>
      <w:bookmarkEnd w:id="1598"/>
      <w:bookmarkEnd w:id="1599"/>
      <w:r>
        <w:rPr>
          <w:rFonts w:ascii="宋体" w:hAnsi="宋体" w:eastAsia="宋体"/>
          <w:color w:val="auto"/>
          <w:sz w:val="21"/>
          <w:szCs w:val="21"/>
          <w:highlight w:val="none"/>
        </w:rPr>
        <w:t>函格式</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hint="eastAsia" w:ascii="宋体" w:hAnsi="宋体" w:eastAsia="宋体"/>
          <w:color w:val="auto"/>
          <w:highlight w:val="none"/>
          <w:lang w:eastAsia="zh-CN"/>
        </w:rPr>
      </w:pPr>
      <w:r>
        <w:rPr>
          <w:rFonts w:ascii="宋体" w:hAnsi="宋体"/>
          <w:color w:val="auto"/>
          <w:highlight w:val="none"/>
        </w:rPr>
        <w:t>致：</w:t>
      </w:r>
      <w:r>
        <w:rPr>
          <w:rFonts w:hint="eastAsia" w:ascii="宋体" w:hAnsi="宋体"/>
          <w:color w:val="auto"/>
          <w:highlight w:val="none"/>
          <w:lang w:eastAsia="zh-CN"/>
        </w:rPr>
        <w:t>南宁轨道交通运营有限公司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w:t>
      </w:r>
      <w:r>
        <w:rPr>
          <w:rFonts w:hint="eastAsia" w:ascii="宋体" w:hAnsi="宋体"/>
          <w:color w:val="auto"/>
          <w:highlight w:val="none"/>
          <w:u w:val="single"/>
          <w:lang w:eastAsia="zh-CN"/>
        </w:rPr>
        <w:t>南宁轨道交通1-5号线出入段（场）线地面洞口及个别车站紧急疏散口视频监控补盲项目</w:t>
      </w:r>
      <w:r>
        <w:rPr>
          <w:rFonts w:hint="eastAsia" w:ascii="宋体" w:hAnsi="宋体"/>
          <w:color w:val="auto"/>
          <w:highlight w:val="none"/>
          <w:u w:val="single"/>
        </w:rPr>
        <w:t xml:space="preserve"> </w:t>
      </w:r>
      <w:r>
        <w:rPr>
          <w:rFonts w:ascii="宋体" w:hAnsi="宋体"/>
          <w:color w:val="auto"/>
          <w:highlight w:val="none"/>
        </w:rPr>
        <w:t>比选申请邀请(项目编号：</w:t>
      </w:r>
      <w:r>
        <w:rPr>
          <w:rFonts w:hint="eastAsia" w:ascii="宋体" w:hAnsi="宋体"/>
          <w:color w:val="auto"/>
          <w:highlight w:val="none"/>
        </w:rPr>
        <w:t>202208250003</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2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633"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63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ascii="宋体" w:hAnsi="宋体"/>
          <w:color w:val="auto"/>
          <w:highlight w:val="none"/>
          <w:u w:val="single"/>
        </w:rPr>
        <w:t>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 xml:space="preserve">日期：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9" w:type="first"/>
          <w:headerReference r:id="rId8" w:type="default"/>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1634" w:name="_Toc12984814"/>
      <w:bookmarkStart w:id="1635" w:name="_Toc6910"/>
      <w:bookmarkStart w:id="1636" w:name="_Toc16176"/>
      <w:bookmarkStart w:id="1637" w:name="_Toc15469"/>
      <w:bookmarkStart w:id="1638" w:name="_Toc23071"/>
      <w:bookmarkStart w:id="1639" w:name="_Toc24000"/>
      <w:bookmarkStart w:id="1640" w:name="_Toc4138"/>
      <w:bookmarkStart w:id="1641" w:name="_Toc28944"/>
      <w:bookmarkStart w:id="1642" w:name="_Toc20116"/>
      <w:bookmarkStart w:id="1643" w:name="_Toc27821"/>
      <w:bookmarkStart w:id="1644" w:name="_Toc492478810"/>
      <w:bookmarkStart w:id="1645" w:name="_Toc8101"/>
      <w:bookmarkStart w:id="1646" w:name="_Toc20353"/>
      <w:bookmarkStart w:id="1647" w:name="_Toc27284"/>
      <w:bookmarkStart w:id="1648" w:name="_Toc32679"/>
      <w:bookmarkStart w:id="1649" w:name="_Toc17092"/>
      <w:bookmarkStart w:id="1650" w:name="_Toc14478"/>
      <w:bookmarkStart w:id="1651" w:name="_Toc15276"/>
      <w:bookmarkStart w:id="1652" w:name="_Toc24785"/>
      <w:bookmarkStart w:id="1653" w:name="_Toc12917"/>
      <w:bookmarkStart w:id="1654" w:name="_Toc3968"/>
      <w:bookmarkStart w:id="1655" w:name="_Toc414290528"/>
      <w:bookmarkStart w:id="1656" w:name="_Toc7203"/>
      <w:bookmarkStart w:id="1657" w:name="_Toc26731"/>
      <w:bookmarkStart w:id="1658" w:name="_Toc14488"/>
      <w:bookmarkStart w:id="1659" w:name="_Toc4583"/>
      <w:bookmarkStart w:id="1660" w:name="_Toc30121"/>
      <w:bookmarkStart w:id="1661" w:name="_Toc13611"/>
      <w:bookmarkStart w:id="1662" w:name="_Toc12702"/>
      <w:bookmarkStart w:id="1663" w:name="_Toc12983554"/>
      <w:bookmarkStart w:id="1664" w:name="_Toc25750682"/>
      <w:r>
        <w:rPr>
          <w:rFonts w:ascii="宋体" w:hAnsi="宋体" w:eastAsia="宋体"/>
          <w:color w:val="auto"/>
          <w:sz w:val="21"/>
          <w:szCs w:val="21"/>
          <w:highlight w:val="none"/>
        </w:rPr>
        <w:t>B3比选申请报价表格式</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tbl>
      <w:tblPr>
        <w:tblStyle w:val="32"/>
        <w:tblW w:w="142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1679"/>
        <w:gridCol w:w="1139"/>
        <w:gridCol w:w="1139"/>
        <w:gridCol w:w="1322"/>
        <w:gridCol w:w="1400"/>
        <w:gridCol w:w="588"/>
        <w:gridCol w:w="687"/>
        <w:gridCol w:w="688"/>
        <w:gridCol w:w="612"/>
        <w:gridCol w:w="650"/>
        <w:gridCol w:w="563"/>
        <w:gridCol w:w="602"/>
        <w:gridCol w:w="1"/>
        <w:gridCol w:w="913"/>
        <w:gridCol w:w="1"/>
        <w:gridCol w:w="1118"/>
        <w:gridCol w:w="1"/>
        <w:gridCol w:w="73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84" w:hRule="atLeast"/>
          <w:jc w:val="center"/>
        </w:trPr>
        <w:tc>
          <w:tcPr>
            <w:tcW w:w="431" w:type="dxa"/>
            <w:vMerge w:val="restart"/>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bidi="ar-SA"/>
              </w:rPr>
            </w:pPr>
            <w:r>
              <w:rPr>
                <w:rFonts w:hint="eastAsia" w:ascii="宋体" w:hAnsi="宋体" w:eastAsia="宋体" w:cs="宋体"/>
                <w:color w:val="auto"/>
                <w:kern w:val="2"/>
                <w:sz w:val="20"/>
                <w:szCs w:val="20"/>
                <w:highlight w:val="none"/>
                <w:vertAlign w:val="baseline"/>
                <w:lang w:val="en-US" w:eastAsia="zh-CN"/>
              </w:rPr>
              <w:t>序号</w:t>
            </w:r>
          </w:p>
        </w:tc>
        <w:tc>
          <w:tcPr>
            <w:tcW w:w="1679" w:type="dxa"/>
            <w:vMerge w:val="restart"/>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bidi="ar-SA"/>
              </w:rPr>
            </w:pPr>
            <w:r>
              <w:rPr>
                <w:rFonts w:hint="eastAsia" w:ascii="宋体" w:hAnsi="宋体" w:eastAsia="宋体" w:cs="宋体"/>
                <w:color w:val="auto"/>
                <w:kern w:val="2"/>
                <w:sz w:val="20"/>
                <w:szCs w:val="20"/>
                <w:highlight w:val="none"/>
                <w:vertAlign w:val="baseline"/>
                <w:lang w:val="en-US" w:eastAsia="zh-CN"/>
              </w:rPr>
              <w:t>工作内容</w:t>
            </w:r>
          </w:p>
        </w:tc>
        <w:tc>
          <w:tcPr>
            <w:tcW w:w="1139" w:type="dxa"/>
            <w:vMerge w:val="restart"/>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bidi="ar-SA"/>
              </w:rPr>
            </w:pPr>
            <w:r>
              <w:rPr>
                <w:rFonts w:hint="eastAsia" w:ascii="宋体" w:hAnsi="宋体" w:cs="宋体"/>
                <w:color w:val="auto"/>
                <w:kern w:val="2"/>
                <w:sz w:val="20"/>
                <w:szCs w:val="20"/>
                <w:highlight w:val="none"/>
                <w:vertAlign w:val="baseline"/>
                <w:lang w:val="en-US" w:eastAsia="zh-CN"/>
              </w:rPr>
              <w:t>参考品牌</w:t>
            </w:r>
          </w:p>
        </w:tc>
        <w:tc>
          <w:tcPr>
            <w:tcW w:w="1139" w:type="dxa"/>
            <w:vMerge w:val="restart"/>
            <w:vAlign w:val="center"/>
          </w:tcPr>
          <w:p>
            <w:pPr>
              <w:widowControl w:val="0"/>
              <w:spacing w:before="0" w:after="0" w:afterAutospacing="0" w:line="240" w:lineRule="auto"/>
              <w:ind w:left="0" w:leftChars="0" w:right="0" w:rightChars="0" w:firstLine="0" w:firstLineChars="0"/>
              <w:jc w:val="center"/>
              <w:rPr>
                <w:rFonts w:hint="eastAsia" w:ascii="宋体" w:hAnsi="宋体" w:cs="宋体"/>
                <w:color w:val="auto"/>
                <w:kern w:val="2"/>
                <w:sz w:val="20"/>
                <w:szCs w:val="20"/>
                <w:highlight w:val="none"/>
                <w:vertAlign w:val="baseline"/>
                <w:lang w:val="en-US" w:eastAsia="zh-CN"/>
              </w:rPr>
            </w:pPr>
            <w:r>
              <w:rPr>
                <w:rFonts w:hint="eastAsia" w:ascii="宋体" w:hAnsi="宋体" w:cs="宋体"/>
                <w:color w:val="auto"/>
                <w:kern w:val="2"/>
                <w:sz w:val="20"/>
                <w:szCs w:val="20"/>
                <w:highlight w:val="none"/>
                <w:vertAlign w:val="baseline"/>
                <w:lang w:val="en-US" w:eastAsia="zh-CN"/>
              </w:rPr>
              <w:t>参考型号</w:t>
            </w:r>
          </w:p>
        </w:tc>
        <w:tc>
          <w:tcPr>
            <w:tcW w:w="1322" w:type="dxa"/>
            <w:vMerge w:val="restart"/>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0"/>
                <w:szCs w:val="20"/>
                <w:highlight w:val="none"/>
                <w:vertAlign w:val="baseline"/>
                <w:lang w:val="en-US" w:eastAsia="zh-CN"/>
              </w:rPr>
            </w:pPr>
            <w:r>
              <w:rPr>
                <w:rFonts w:hint="eastAsia" w:ascii="宋体" w:hAnsi="宋体" w:cs="宋体"/>
                <w:color w:val="auto"/>
                <w:kern w:val="2"/>
                <w:sz w:val="20"/>
                <w:szCs w:val="20"/>
                <w:highlight w:val="none"/>
                <w:vertAlign w:val="baseline"/>
                <w:lang w:val="en-US" w:eastAsia="zh-CN"/>
              </w:rPr>
              <w:t>报价品牌</w:t>
            </w:r>
          </w:p>
        </w:tc>
        <w:tc>
          <w:tcPr>
            <w:tcW w:w="1400" w:type="dxa"/>
            <w:vMerge w:val="restart"/>
            <w:vAlign w:val="center"/>
          </w:tcPr>
          <w:p>
            <w:pPr>
              <w:widowControl w:val="0"/>
              <w:spacing w:before="0" w:after="0" w:afterAutospacing="0" w:line="240" w:lineRule="auto"/>
              <w:ind w:left="0" w:leftChars="0" w:right="0" w:rightChars="0" w:firstLine="0" w:firstLineChars="0"/>
              <w:jc w:val="center"/>
              <w:rPr>
                <w:rFonts w:hint="default" w:ascii="宋体" w:hAnsi="宋体" w:cs="宋体"/>
                <w:color w:val="auto"/>
                <w:kern w:val="2"/>
                <w:sz w:val="20"/>
                <w:szCs w:val="20"/>
                <w:highlight w:val="none"/>
                <w:vertAlign w:val="baseline"/>
                <w:lang w:val="en-US" w:eastAsia="zh-CN"/>
              </w:rPr>
            </w:pPr>
            <w:r>
              <w:rPr>
                <w:rFonts w:hint="eastAsia" w:ascii="宋体" w:hAnsi="宋体" w:cs="宋体"/>
                <w:color w:val="auto"/>
                <w:kern w:val="2"/>
                <w:sz w:val="20"/>
                <w:szCs w:val="20"/>
                <w:highlight w:val="none"/>
                <w:vertAlign w:val="baseline"/>
                <w:lang w:val="en-US" w:eastAsia="zh-CN"/>
              </w:rPr>
              <w:t>报价型号</w:t>
            </w:r>
          </w:p>
        </w:tc>
        <w:tc>
          <w:tcPr>
            <w:tcW w:w="588" w:type="dxa"/>
            <w:vMerge w:val="restart"/>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bidi="ar-SA"/>
              </w:rPr>
            </w:pPr>
            <w:r>
              <w:rPr>
                <w:rFonts w:hint="eastAsia" w:ascii="宋体" w:hAnsi="宋体" w:eastAsia="宋体" w:cs="宋体"/>
                <w:color w:val="auto"/>
                <w:kern w:val="2"/>
                <w:sz w:val="20"/>
                <w:szCs w:val="20"/>
                <w:highlight w:val="none"/>
                <w:vertAlign w:val="baseline"/>
                <w:lang w:val="en-US" w:eastAsia="zh-CN"/>
              </w:rPr>
              <w:t>单位</w:t>
            </w:r>
          </w:p>
        </w:tc>
        <w:tc>
          <w:tcPr>
            <w:tcW w:w="3200" w:type="dxa"/>
            <w:gridSpan w:val="5"/>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rPr>
            </w:pPr>
            <w:r>
              <w:rPr>
                <w:rFonts w:hint="eastAsia" w:ascii="宋体" w:hAnsi="宋体" w:eastAsia="宋体" w:cs="宋体"/>
                <w:color w:val="auto"/>
                <w:kern w:val="2"/>
                <w:sz w:val="20"/>
                <w:szCs w:val="20"/>
                <w:highlight w:val="none"/>
                <w:vertAlign w:val="baseline"/>
                <w:lang w:val="en-US" w:eastAsia="zh-CN"/>
              </w:rPr>
              <w:t>数量</w:t>
            </w:r>
          </w:p>
        </w:tc>
        <w:tc>
          <w:tcPr>
            <w:tcW w:w="602" w:type="dxa"/>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rPr>
            </w:pPr>
            <w:r>
              <w:rPr>
                <w:rFonts w:hint="eastAsia" w:ascii="宋体" w:hAnsi="宋体" w:eastAsia="宋体" w:cs="宋体"/>
                <w:color w:val="auto"/>
                <w:kern w:val="2"/>
                <w:sz w:val="20"/>
                <w:szCs w:val="20"/>
                <w:highlight w:val="none"/>
                <w:vertAlign w:val="baseline"/>
                <w:lang w:val="en-US" w:eastAsia="zh-CN"/>
              </w:rPr>
              <w:t>数量①</w:t>
            </w:r>
          </w:p>
        </w:tc>
        <w:tc>
          <w:tcPr>
            <w:tcW w:w="914" w:type="dxa"/>
            <w:gridSpan w:val="2"/>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bidi="ar-SA"/>
              </w:rPr>
            </w:pPr>
            <w:r>
              <w:rPr>
                <w:rFonts w:hint="eastAsia" w:ascii="宋体" w:hAnsi="宋体" w:eastAsia="宋体" w:cs="宋体"/>
                <w:b w:val="0"/>
                <w:bCs w:val="0"/>
                <w:color w:val="auto"/>
                <w:kern w:val="2"/>
                <w:sz w:val="20"/>
                <w:szCs w:val="20"/>
                <w:highlight w:val="none"/>
                <w:lang w:bidi="ar"/>
              </w:rPr>
              <w:t>不含税单价</w:t>
            </w:r>
            <w:r>
              <w:rPr>
                <w:rFonts w:hint="eastAsia" w:ascii="宋体" w:hAnsi="宋体" w:eastAsia="宋体" w:cs="宋体"/>
                <w:b w:val="0"/>
                <w:bCs w:val="0"/>
                <w:color w:val="auto"/>
                <w:kern w:val="2"/>
                <w:sz w:val="20"/>
                <w:szCs w:val="20"/>
                <w:highlight w:val="none"/>
                <w:lang w:eastAsia="zh-CN" w:bidi="ar"/>
              </w:rPr>
              <w:t>（</w:t>
            </w:r>
            <w:r>
              <w:rPr>
                <w:rFonts w:hint="eastAsia" w:ascii="宋体" w:hAnsi="宋体" w:eastAsia="宋体" w:cs="宋体"/>
                <w:b w:val="0"/>
                <w:bCs w:val="0"/>
                <w:color w:val="auto"/>
                <w:kern w:val="2"/>
                <w:sz w:val="20"/>
                <w:szCs w:val="20"/>
                <w:highlight w:val="none"/>
                <w:lang w:val="en-US" w:eastAsia="zh-CN" w:bidi="ar"/>
              </w:rPr>
              <w:t>元</w:t>
            </w:r>
            <w:r>
              <w:rPr>
                <w:rFonts w:hint="eastAsia" w:ascii="宋体" w:hAnsi="宋体" w:eastAsia="宋体" w:cs="宋体"/>
                <w:b w:val="0"/>
                <w:bCs w:val="0"/>
                <w:color w:val="auto"/>
                <w:kern w:val="2"/>
                <w:sz w:val="20"/>
                <w:szCs w:val="20"/>
                <w:highlight w:val="none"/>
                <w:lang w:eastAsia="zh-CN" w:bidi="ar"/>
              </w:rPr>
              <w:t>）</w:t>
            </w:r>
            <w:r>
              <w:rPr>
                <w:rFonts w:hint="eastAsia" w:ascii="宋体" w:hAnsi="宋体" w:eastAsia="宋体" w:cs="宋体"/>
                <w:b w:val="0"/>
                <w:bCs w:val="0"/>
                <w:color w:val="auto"/>
                <w:kern w:val="2"/>
                <w:sz w:val="20"/>
                <w:szCs w:val="20"/>
                <w:highlight w:val="none"/>
                <w:lang w:val="en-US" w:eastAsia="zh-CN" w:bidi="ar"/>
              </w:rPr>
              <w:t>②</w:t>
            </w:r>
          </w:p>
        </w:tc>
        <w:tc>
          <w:tcPr>
            <w:tcW w:w="1119" w:type="dxa"/>
            <w:gridSpan w:val="2"/>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bidi="ar-SA"/>
              </w:rPr>
            </w:pPr>
            <w:r>
              <w:rPr>
                <w:rFonts w:hint="eastAsia" w:ascii="宋体" w:hAnsi="宋体" w:eastAsia="宋体" w:cs="宋体"/>
                <w:b w:val="0"/>
                <w:bCs w:val="0"/>
                <w:color w:val="auto"/>
                <w:kern w:val="2"/>
                <w:sz w:val="20"/>
                <w:szCs w:val="20"/>
                <w:highlight w:val="none"/>
                <w:lang w:val="en-US" w:eastAsia="zh-CN" w:bidi="ar"/>
              </w:rPr>
              <w:t>不含税</w:t>
            </w:r>
            <w:r>
              <w:rPr>
                <w:rFonts w:hint="eastAsia" w:ascii="宋体" w:hAnsi="宋体" w:eastAsia="宋体" w:cs="宋体"/>
                <w:b w:val="0"/>
                <w:bCs w:val="0"/>
                <w:color w:val="auto"/>
                <w:kern w:val="2"/>
                <w:sz w:val="20"/>
                <w:szCs w:val="20"/>
                <w:highlight w:val="none"/>
                <w:lang w:bidi="ar"/>
              </w:rPr>
              <w:t>合价</w:t>
            </w:r>
            <w:r>
              <w:rPr>
                <w:rFonts w:hint="eastAsia" w:ascii="宋体" w:hAnsi="宋体" w:eastAsia="宋体" w:cs="宋体"/>
                <w:b w:val="0"/>
                <w:bCs w:val="0"/>
                <w:color w:val="auto"/>
                <w:kern w:val="2"/>
                <w:sz w:val="20"/>
                <w:szCs w:val="20"/>
                <w:highlight w:val="none"/>
                <w:lang w:eastAsia="zh-CN" w:bidi="ar"/>
              </w:rPr>
              <w:t>（</w:t>
            </w:r>
            <w:r>
              <w:rPr>
                <w:rFonts w:hint="eastAsia" w:ascii="宋体" w:hAnsi="宋体" w:eastAsia="宋体" w:cs="宋体"/>
                <w:b w:val="0"/>
                <w:bCs w:val="0"/>
                <w:color w:val="auto"/>
                <w:kern w:val="2"/>
                <w:sz w:val="20"/>
                <w:szCs w:val="20"/>
                <w:highlight w:val="none"/>
                <w:lang w:val="en-US" w:eastAsia="zh-CN" w:bidi="ar"/>
              </w:rPr>
              <w:t>元</w:t>
            </w:r>
            <w:r>
              <w:rPr>
                <w:rFonts w:hint="eastAsia" w:ascii="宋体" w:hAnsi="宋体" w:eastAsia="宋体" w:cs="宋体"/>
                <w:b w:val="0"/>
                <w:bCs w:val="0"/>
                <w:color w:val="auto"/>
                <w:kern w:val="2"/>
                <w:sz w:val="20"/>
                <w:szCs w:val="20"/>
                <w:highlight w:val="none"/>
                <w:lang w:eastAsia="zh-CN" w:bidi="ar"/>
              </w:rPr>
              <w:t>）</w:t>
            </w:r>
            <w:r>
              <w:rPr>
                <w:rFonts w:hint="eastAsia" w:ascii="宋体" w:hAnsi="宋体" w:eastAsia="宋体" w:cs="宋体"/>
                <w:b w:val="0"/>
                <w:bCs w:val="0"/>
                <w:color w:val="auto"/>
                <w:kern w:val="2"/>
                <w:sz w:val="20"/>
                <w:szCs w:val="20"/>
                <w:highlight w:val="none"/>
                <w:lang w:val="en-US" w:eastAsia="zh-CN" w:bidi="ar"/>
              </w:rPr>
              <w:t>③=②×①</w:t>
            </w:r>
          </w:p>
        </w:tc>
        <w:tc>
          <w:tcPr>
            <w:tcW w:w="732" w:type="dxa"/>
            <w:gridSpan w:val="2"/>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0"/>
                <w:szCs w:val="20"/>
                <w:highlight w:val="none"/>
                <w:vertAlign w:val="baseline"/>
                <w:lang w:val="en-US" w:eastAsia="zh-CN"/>
              </w:rPr>
            </w:pPr>
            <w:r>
              <w:rPr>
                <w:rFonts w:hint="eastAsia" w:ascii="宋体" w:hAnsi="宋体" w:eastAsia="宋体" w:cs="宋体"/>
                <w:color w:val="auto"/>
                <w:kern w:val="2"/>
                <w:sz w:val="20"/>
                <w:szCs w:val="20"/>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431" w:type="dxa"/>
            <w:vMerge w:val="continue"/>
            <w:vAlign w:val="center"/>
          </w:tcPr>
          <w:p>
            <w:pPr>
              <w:widowControl w:val="0"/>
              <w:spacing w:before="0" w:after="0" w:afterAutospacing="0" w:line="240" w:lineRule="auto"/>
              <w:ind w:left="0" w:leftChars="0" w:right="0" w:rightChars="0" w:firstLine="0" w:firstLineChars="0"/>
              <w:jc w:val="center"/>
              <w:rPr>
                <w:highlight w:val="none"/>
              </w:rPr>
            </w:pPr>
          </w:p>
        </w:tc>
        <w:tc>
          <w:tcPr>
            <w:tcW w:w="1679" w:type="dxa"/>
            <w:vMerge w:val="continue"/>
            <w:vAlign w:val="center"/>
          </w:tcPr>
          <w:p>
            <w:pPr>
              <w:widowControl w:val="0"/>
              <w:spacing w:before="0" w:after="0" w:afterAutospacing="0" w:line="240" w:lineRule="auto"/>
              <w:ind w:left="0" w:leftChars="0" w:right="0" w:rightChars="0" w:firstLine="0" w:firstLineChars="0"/>
              <w:jc w:val="center"/>
              <w:rPr>
                <w:highlight w:val="none"/>
              </w:rPr>
            </w:pPr>
          </w:p>
        </w:tc>
        <w:tc>
          <w:tcPr>
            <w:tcW w:w="1139" w:type="dxa"/>
            <w:vMerge w:val="continue"/>
            <w:vAlign w:val="center"/>
          </w:tcPr>
          <w:p>
            <w:pPr>
              <w:widowControl w:val="0"/>
              <w:spacing w:before="0" w:after="0" w:afterAutospacing="0" w:line="240" w:lineRule="auto"/>
              <w:ind w:left="0" w:leftChars="0" w:right="0" w:rightChars="0" w:firstLine="0" w:firstLineChars="0"/>
              <w:jc w:val="center"/>
              <w:rPr>
                <w:highlight w:val="none"/>
              </w:rPr>
            </w:pPr>
          </w:p>
        </w:tc>
        <w:tc>
          <w:tcPr>
            <w:tcW w:w="1139" w:type="dxa"/>
            <w:vMerge w:val="continue"/>
            <w:vAlign w:val="center"/>
          </w:tcPr>
          <w:p>
            <w:pPr>
              <w:widowControl w:val="0"/>
              <w:spacing w:before="0" w:after="0" w:afterAutospacing="0" w:line="240" w:lineRule="auto"/>
              <w:ind w:left="0" w:leftChars="0" w:right="0" w:rightChars="0" w:firstLine="0" w:firstLineChars="0"/>
              <w:jc w:val="center"/>
              <w:rPr>
                <w:highlight w:val="none"/>
              </w:rPr>
            </w:pPr>
          </w:p>
        </w:tc>
        <w:tc>
          <w:tcPr>
            <w:tcW w:w="1322" w:type="dxa"/>
            <w:vMerge w:val="continue"/>
            <w:vAlign w:val="center"/>
          </w:tcPr>
          <w:p>
            <w:pPr>
              <w:widowControl w:val="0"/>
              <w:spacing w:before="0" w:after="0" w:afterAutospacing="0" w:line="240" w:lineRule="auto"/>
              <w:ind w:left="0" w:leftChars="0" w:right="0" w:rightChars="0" w:firstLine="0" w:firstLineChars="0"/>
              <w:jc w:val="center"/>
              <w:rPr>
                <w:highlight w:val="none"/>
              </w:rPr>
            </w:pPr>
          </w:p>
        </w:tc>
        <w:tc>
          <w:tcPr>
            <w:tcW w:w="1400" w:type="dxa"/>
            <w:vMerge w:val="continue"/>
            <w:vAlign w:val="center"/>
          </w:tcPr>
          <w:p>
            <w:pPr>
              <w:widowControl w:val="0"/>
              <w:spacing w:before="0" w:after="0" w:afterAutospacing="0" w:line="240" w:lineRule="auto"/>
              <w:ind w:left="0" w:leftChars="0" w:right="0" w:rightChars="0" w:firstLine="0" w:firstLineChars="0"/>
              <w:jc w:val="center"/>
              <w:rPr>
                <w:highlight w:val="none"/>
              </w:rPr>
            </w:pPr>
          </w:p>
        </w:tc>
        <w:tc>
          <w:tcPr>
            <w:tcW w:w="588" w:type="dxa"/>
            <w:vMerge w:val="continue"/>
            <w:vAlign w:val="center"/>
          </w:tcPr>
          <w:p>
            <w:pPr>
              <w:widowControl w:val="0"/>
              <w:spacing w:before="0" w:after="0" w:afterAutospacing="0" w:line="240" w:lineRule="auto"/>
              <w:ind w:left="0" w:leftChars="0" w:right="0" w:rightChars="0" w:firstLine="0" w:firstLineChars="0"/>
              <w:jc w:val="center"/>
              <w:rPr>
                <w:highlight w:val="none"/>
              </w:rPr>
            </w:pPr>
          </w:p>
        </w:tc>
        <w:tc>
          <w:tcPr>
            <w:tcW w:w="687"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0"/>
                <w:szCs w:val="20"/>
                <w:highlight w:val="none"/>
                <w:vertAlign w:val="baseline"/>
                <w:lang w:val="en-US" w:eastAsia="zh-CN"/>
              </w:rPr>
            </w:pPr>
            <w:r>
              <w:rPr>
                <w:rFonts w:hint="eastAsia" w:ascii="宋体" w:hAnsi="宋体" w:eastAsia="宋体" w:cs="宋体"/>
                <w:color w:val="auto"/>
                <w:kern w:val="2"/>
                <w:sz w:val="20"/>
                <w:szCs w:val="20"/>
                <w:highlight w:val="none"/>
                <w:vertAlign w:val="baseline"/>
                <w:lang w:val="en-US" w:eastAsia="zh-CN"/>
              </w:rPr>
              <w:t>1号线</w:t>
            </w:r>
          </w:p>
        </w:tc>
        <w:tc>
          <w:tcPr>
            <w:tcW w:w="688"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0"/>
                <w:szCs w:val="20"/>
                <w:highlight w:val="none"/>
                <w:vertAlign w:val="baseline"/>
                <w:lang w:val="en-US" w:eastAsia="zh-CN"/>
              </w:rPr>
            </w:pPr>
            <w:r>
              <w:rPr>
                <w:rFonts w:hint="eastAsia" w:ascii="宋体" w:hAnsi="宋体" w:eastAsia="宋体" w:cs="宋体"/>
                <w:color w:val="auto"/>
                <w:kern w:val="2"/>
                <w:sz w:val="20"/>
                <w:szCs w:val="20"/>
                <w:highlight w:val="none"/>
                <w:vertAlign w:val="baseline"/>
                <w:lang w:val="en-US" w:eastAsia="zh-CN"/>
              </w:rPr>
              <w:t>2号线</w:t>
            </w:r>
          </w:p>
        </w:tc>
        <w:tc>
          <w:tcPr>
            <w:tcW w:w="612"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0"/>
                <w:szCs w:val="20"/>
                <w:highlight w:val="none"/>
                <w:vertAlign w:val="baseline"/>
                <w:lang w:val="en-US" w:eastAsia="zh-CN"/>
              </w:rPr>
            </w:pPr>
            <w:r>
              <w:rPr>
                <w:rFonts w:hint="eastAsia" w:ascii="宋体" w:hAnsi="宋体" w:eastAsia="宋体" w:cs="宋体"/>
                <w:color w:val="auto"/>
                <w:kern w:val="2"/>
                <w:sz w:val="20"/>
                <w:szCs w:val="20"/>
                <w:highlight w:val="none"/>
                <w:vertAlign w:val="baseline"/>
                <w:lang w:val="en-US" w:eastAsia="zh-CN"/>
              </w:rPr>
              <w:t>3号线</w:t>
            </w:r>
          </w:p>
        </w:tc>
        <w:tc>
          <w:tcPr>
            <w:tcW w:w="650"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0"/>
                <w:szCs w:val="20"/>
                <w:highlight w:val="none"/>
                <w:vertAlign w:val="baseline"/>
                <w:lang w:val="en-US" w:eastAsia="zh-CN"/>
              </w:rPr>
            </w:pPr>
            <w:r>
              <w:rPr>
                <w:rFonts w:hint="eastAsia" w:ascii="宋体" w:hAnsi="宋体" w:eastAsia="宋体" w:cs="宋体"/>
                <w:color w:val="auto"/>
                <w:kern w:val="2"/>
                <w:sz w:val="20"/>
                <w:szCs w:val="20"/>
                <w:highlight w:val="none"/>
                <w:vertAlign w:val="baseline"/>
                <w:lang w:val="en-US" w:eastAsia="zh-CN"/>
              </w:rPr>
              <w:t>4号线</w:t>
            </w:r>
          </w:p>
        </w:tc>
        <w:tc>
          <w:tcPr>
            <w:tcW w:w="563" w:type="dxa"/>
            <w:vAlign w:val="center"/>
          </w:tcPr>
          <w:p>
            <w:pPr>
              <w:widowControl w:val="0"/>
              <w:spacing w:before="0" w:after="0" w:afterAutospacing="0" w:line="240" w:lineRule="auto"/>
              <w:ind w:left="0" w:leftChars="0" w:right="0" w:rightChars="0" w:firstLine="0" w:firstLineChars="0"/>
              <w:jc w:val="center"/>
              <w:rPr>
                <w:rFonts w:hint="default" w:ascii="宋体" w:hAnsi="宋体" w:eastAsia="宋体" w:cs="宋体"/>
                <w:color w:val="auto"/>
                <w:kern w:val="2"/>
                <w:sz w:val="20"/>
                <w:szCs w:val="20"/>
                <w:highlight w:val="none"/>
                <w:vertAlign w:val="baseline"/>
                <w:lang w:val="en-US" w:eastAsia="zh-CN"/>
              </w:rPr>
            </w:pPr>
            <w:r>
              <w:rPr>
                <w:rFonts w:hint="eastAsia" w:ascii="宋体" w:hAnsi="宋体" w:eastAsia="宋体" w:cs="宋体"/>
                <w:color w:val="auto"/>
                <w:kern w:val="2"/>
                <w:sz w:val="20"/>
                <w:szCs w:val="20"/>
                <w:highlight w:val="none"/>
                <w:vertAlign w:val="baseline"/>
                <w:lang w:val="en-US" w:eastAsia="zh-CN"/>
              </w:rPr>
              <w:t>5号线</w:t>
            </w:r>
          </w:p>
        </w:tc>
        <w:tc>
          <w:tcPr>
            <w:tcW w:w="603" w:type="dxa"/>
            <w:gridSpan w:val="2"/>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rPr>
            </w:pPr>
          </w:p>
        </w:tc>
        <w:tc>
          <w:tcPr>
            <w:tcW w:w="914" w:type="dxa"/>
            <w:gridSpan w:val="2"/>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rPr>
            </w:pPr>
          </w:p>
        </w:tc>
        <w:tc>
          <w:tcPr>
            <w:tcW w:w="1119" w:type="dxa"/>
            <w:gridSpan w:val="2"/>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rPr>
            </w:pPr>
          </w:p>
        </w:tc>
        <w:tc>
          <w:tcPr>
            <w:tcW w:w="732" w:type="dxa"/>
            <w:gridSpan w:val="2"/>
            <w:vAlign w:val="center"/>
          </w:tcPr>
          <w:p>
            <w:pPr>
              <w:widowControl w:val="0"/>
              <w:spacing w:before="0" w:after="0" w:afterAutospacing="0" w:line="240" w:lineRule="auto"/>
              <w:ind w:left="0" w:leftChars="0" w:right="0" w:rightChars="0" w:firstLine="0" w:firstLineChars="0"/>
              <w:jc w:val="center"/>
              <w:rPr>
                <w:rFonts w:hint="eastAsia" w:ascii="宋体" w:hAnsi="宋体" w:eastAsia="宋体" w:cs="宋体"/>
                <w:color w:val="auto"/>
                <w:kern w:val="2"/>
                <w:sz w:val="20"/>
                <w:szCs w:val="20"/>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枪型摄像机(室外型星光级高清)</w:t>
            </w:r>
          </w:p>
        </w:tc>
        <w:tc>
          <w:tcPr>
            <w:tcW w:w="1139"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cs="宋体"/>
                <w:i w:val="0"/>
                <w:color w:val="000000"/>
                <w:kern w:val="0"/>
                <w:sz w:val="20"/>
                <w:szCs w:val="20"/>
                <w:highlight w:val="none"/>
                <w:u w:val="none"/>
                <w:lang w:val="en-US" w:eastAsia="zh-CN" w:bidi="ar"/>
              </w:rPr>
              <w:t>宇视</w:t>
            </w:r>
          </w:p>
        </w:tc>
        <w:tc>
          <w:tcPr>
            <w:tcW w:w="1139"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HIC2521HX22-LIR-U</w:t>
            </w:r>
          </w:p>
        </w:tc>
        <w:tc>
          <w:tcPr>
            <w:tcW w:w="1322"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cs="宋体"/>
                <w:i w:val="0"/>
                <w:color w:val="000000"/>
                <w:kern w:val="0"/>
                <w:sz w:val="20"/>
                <w:szCs w:val="20"/>
                <w:highlight w:val="none"/>
                <w:u w:val="none"/>
                <w:lang w:val="en-US" w:eastAsia="zh-CN" w:bidi="ar"/>
              </w:rPr>
            </w:pPr>
          </w:p>
        </w:tc>
        <w:tc>
          <w:tcPr>
            <w:tcW w:w="1400"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cs="宋体"/>
                <w:i w:val="0"/>
                <w:color w:val="000000"/>
                <w:kern w:val="0"/>
                <w:sz w:val="20"/>
                <w:szCs w:val="20"/>
                <w:highlight w:val="none"/>
                <w:u w:val="none"/>
                <w:lang w:val="en-US" w:eastAsia="zh-CN" w:bidi="ar"/>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套</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2</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restart"/>
            <w:vAlign w:val="center"/>
          </w:tcPr>
          <w:p>
            <w:pPr>
              <w:widowControl/>
              <w:numPr>
                <w:ilvl w:val="-1"/>
                <w:numId w:val="0"/>
              </w:numPr>
              <w:spacing w:before="0" w:after="0" w:afterAutospacing="0" w:line="240" w:lineRule="auto"/>
              <w:ind w:left="0" w:right="0" w:firstLine="0"/>
              <w:jc w:val="center"/>
              <w:textAlignment w:val="center"/>
              <w:rPr>
                <w:rFonts w:hint="eastAsia" w:ascii="宋体" w:hAnsi="宋体" w:eastAsia="宋体" w:cs="宋体"/>
                <w:color w:val="auto"/>
                <w:kern w:val="2"/>
                <w:sz w:val="20"/>
                <w:szCs w:val="20"/>
                <w:highlight w:val="none"/>
                <w:vertAlign w:val="baseline"/>
              </w:rPr>
            </w:pPr>
            <w:r>
              <w:rPr>
                <w:rFonts w:hint="eastAsia" w:ascii="宋体" w:hAnsi="宋体" w:eastAsia="宋体" w:cs="宋体"/>
                <w:color w:val="auto"/>
                <w:kern w:val="2"/>
                <w:sz w:val="20"/>
                <w:szCs w:val="20"/>
                <w:highlight w:val="none"/>
                <w:lang w:val="en-US" w:eastAsia="zh-CN"/>
              </w:rPr>
              <w:t>1.此清单包含各材料采购</w:t>
            </w:r>
            <w:r>
              <w:rPr>
                <w:rFonts w:hint="eastAsia" w:ascii="宋体" w:hAnsi="宋体" w:cs="宋体"/>
                <w:color w:val="auto"/>
                <w:kern w:val="2"/>
                <w:sz w:val="20"/>
                <w:szCs w:val="20"/>
                <w:highlight w:val="none"/>
                <w:lang w:val="en-US" w:eastAsia="zh-CN"/>
              </w:rPr>
              <w:t>、施工</w:t>
            </w:r>
            <w:r>
              <w:rPr>
                <w:rFonts w:hint="eastAsia" w:ascii="宋体" w:hAnsi="宋体" w:eastAsia="宋体" w:cs="宋体"/>
                <w:color w:val="auto"/>
                <w:kern w:val="2"/>
                <w:sz w:val="20"/>
                <w:szCs w:val="2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枪型摄像机(室外型星光级高清)</w:t>
            </w:r>
          </w:p>
        </w:tc>
        <w:tc>
          <w:tcPr>
            <w:tcW w:w="1139"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cs="宋体"/>
                <w:i w:val="0"/>
                <w:color w:val="000000"/>
                <w:kern w:val="0"/>
                <w:sz w:val="20"/>
                <w:szCs w:val="20"/>
                <w:highlight w:val="none"/>
                <w:u w:val="none"/>
                <w:lang w:val="en-US" w:eastAsia="zh-CN" w:bidi="ar"/>
              </w:rPr>
              <w:t>霍尼韦尔</w:t>
            </w:r>
          </w:p>
        </w:tc>
        <w:tc>
          <w:tcPr>
            <w:tcW w:w="1139"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HICC-F200</w:t>
            </w:r>
          </w:p>
        </w:tc>
        <w:tc>
          <w:tcPr>
            <w:tcW w:w="1322"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cs="宋体"/>
                <w:i w:val="0"/>
                <w:color w:val="000000"/>
                <w:kern w:val="0"/>
                <w:sz w:val="20"/>
                <w:szCs w:val="20"/>
                <w:highlight w:val="none"/>
                <w:u w:val="none"/>
                <w:lang w:val="en-US" w:eastAsia="zh-CN" w:bidi="ar"/>
              </w:rPr>
            </w:pPr>
          </w:p>
        </w:tc>
        <w:tc>
          <w:tcPr>
            <w:tcW w:w="1400"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cs="宋体"/>
                <w:i w:val="0"/>
                <w:color w:val="000000"/>
                <w:kern w:val="0"/>
                <w:sz w:val="20"/>
                <w:szCs w:val="20"/>
                <w:highlight w:val="none"/>
                <w:u w:val="none"/>
                <w:lang w:val="en-US" w:eastAsia="zh-CN" w:bidi="ar"/>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套</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球型一体化高清数字摄像机</w:t>
            </w:r>
          </w:p>
        </w:tc>
        <w:tc>
          <w:tcPr>
            <w:tcW w:w="1139"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cs="宋体"/>
                <w:i w:val="0"/>
                <w:color w:val="000000"/>
                <w:kern w:val="0"/>
                <w:sz w:val="20"/>
                <w:szCs w:val="20"/>
                <w:highlight w:val="none"/>
                <w:u w:val="none"/>
                <w:lang w:val="en-US" w:eastAsia="zh-CN" w:bidi="ar"/>
              </w:rPr>
              <w:t>宇视</w:t>
            </w:r>
          </w:p>
        </w:tc>
        <w:tc>
          <w:tcPr>
            <w:tcW w:w="1139"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HIC6622-IR@H-X22-L</w:t>
            </w:r>
          </w:p>
        </w:tc>
        <w:tc>
          <w:tcPr>
            <w:tcW w:w="1322"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cs="宋体"/>
                <w:i w:val="0"/>
                <w:color w:val="000000"/>
                <w:kern w:val="0"/>
                <w:sz w:val="20"/>
                <w:szCs w:val="20"/>
                <w:highlight w:val="none"/>
                <w:u w:val="none"/>
                <w:lang w:val="en-US" w:eastAsia="zh-CN" w:bidi="ar"/>
              </w:rPr>
            </w:pPr>
          </w:p>
        </w:tc>
        <w:tc>
          <w:tcPr>
            <w:tcW w:w="1400"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cs="宋体"/>
                <w:i w:val="0"/>
                <w:color w:val="000000"/>
                <w:kern w:val="0"/>
                <w:sz w:val="20"/>
                <w:szCs w:val="20"/>
                <w:highlight w:val="none"/>
                <w:u w:val="none"/>
                <w:lang w:val="en-US" w:eastAsia="zh-CN" w:bidi="ar"/>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套</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球型一体化高清数字摄像机</w:t>
            </w:r>
          </w:p>
        </w:tc>
        <w:tc>
          <w:tcPr>
            <w:tcW w:w="1139"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 xml:space="preserve"> </w:t>
            </w:r>
            <w:r>
              <w:rPr>
                <w:rFonts w:hint="eastAsia" w:ascii="宋体" w:hAnsi="宋体" w:cs="宋体"/>
                <w:i w:val="0"/>
                <w:color w:val="000000"/>
                <w:kern w:val="0"/>
                <w:sz w:val="20"/>
                <w:szCs w:val="20"/>
                <w:highlight w:val="none"/>
                <w:u w:val="none"/>
                <w:lang w:val="en-US" w:eastAsia="zh-CN" w:bidi="ar"/>
              </w:rPr>
              <w:t>霍尼韦尔</w:t>
            </w:r>
          </w:p>
        </w:tc>
        <w:tc>
          <w:tcPr>
            <w:tcW w:w="1139"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HISD-2201WE-IR</w:t>
            </w:r>
          </w:p>
        </w:tc>
        <w:tc>
          <w:tcPr>
            <w:tcW w:w="1322"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eastAsia="宋体" w:cs="宋体"/>
                <w:i w:val="0"/>
                <w:color w:val="000000"/>
                <w:kern w:val="0"/>
                <w:sz w:val="20"/>
                <w:szCs w:val="20"/>
                <w:highlight w:val="none"/>
                <w:u w:val="none"/>
                <w:lang w:val="en-US" w:eastAsia="zh-CN" w:bidi="ar"/>
              </w:rPr>
            </w:pPr>
          </w:p>
        </w:tc>
        <w:tc>
          <w:tcPr>
            <w:tcW w:w="1400" w:type="dxa"/>
            <w:vAlign w:val="center"/>
          </w:tcPr>
          <w:p>
            <w:pPr>
              <w:keepNext w:val="0"/>
              <w:keepLines w:val="0"/>
              <w:widowControl/>
              <w:suppressLineNumbers w:val="0"/>
              <w:ind w:left="0" w:leftChars="0" w:right="0" w:rightChars="0" w:firstLine="0" w:firstLineChars="0"/>
              <w:jc w:val="left"/>
              <w:textAlignment w:val="auto"/>
              <w:rPr>
                <w:rFonts w:hint="eastAsia" w:ascii="宋体" w:hAnsi="宋体" w:eastAsia="宋体" w:cs="宋体"/>
                <w:i w:val="0"/>
                <w:color w:val="000000"/>
                <w:kern w:val="0"/>
                <w:sz w:val="20"/>
                <w:szCs w:val="20"/>
                <w:highlight w:val="none"/>
                <w:u w:val="none"/>
                <w:lang w:val="en-US" w:eastAsia="zh-CN" w:bidi="ar"/>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套</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光纤收发器</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块</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4</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光模块</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块</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4芯光缆终端盒</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个</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4</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球机立杆（含底座基础施工材料、防雷接地）</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套</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枪机定制壁挂安装支架</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套</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2</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区间摄像机配线箱（含空开、</w:t>
            </w:r>
            <w:r>
              <w:rPr>
                <w:rFonts w:hint="eastAsia" w:ascii="宋体" w:hAnsi="宋体" w:cs="宋体"/>
                <w:i w:val="0"/>
                <w:color w:val="000000"/>
                <w:kern w:val="0"/>
                <w:sz w:val="20"/>
                <w:szCs w:val="20"/>
                <w:highlight w:val="none"/>
                <w:u w:val="none"/>
                <w:lang w:val="en-US" w:eastAsia="zh-CN" w:bidi="ar"/>
              </w:rPr>
              <w:t>开关电源</w:t>
            </w:r>
            <w:r>
              <w:rPr>
                <w:rFonts w:hint="eastAsia" w:ascii="宋体" w:hAnsi="宋体" w:eastAsia="宋体" w:cs="宋体"/>
                <w:i w:val="0"/>
                <w:color w:val="000000"/>
                <w:kern w:val="0"/>
                <w:sz w:val="20"/>
                <w:szCs w:val="20"/>
                <w:highlight w:val="none"/>
                <w:u w:val="none"/>
                <w:lang w:val="en-US" w:eastAsia="zh-CN" w:bidi="ar"/>
              </w:rPr>
              <w:t>）</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套</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2</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球机配线箱（含空开、</w:t>
            </w:r>
            <w:r>
              <w:rPr>
                <w:rFonts w:hint="eastAsia" w:ascii="宋体" w:hAnsi="宋体" w:cs="宋体"/>
                <w:i w:val="0"/>
                <w:color w:val="000000"/>
                <w:kern w:val="0"/>
                <w:sz w:val="20"/>
                <w:szCs w:val="20"/>
                <w:highlight w:val="none"/>
                <w:u w:val="none"/>
                <w:lang w:val="en-US" w:eastAsia="zh-CN" w:bidi="ar"/>
              </w:rPr>
              <w:t>开关电源</w:t>
            </w:r>
            <w:r>
              <w:rPr>
                <w:rFonts w:hint="eastAsia" w:ascii="宋体" w:hAnsi="宋体" w:eastAsia="宋体" w:cs="宋体"/>
                <w:i w:val="0"/>
                <w:color w:val="000000"/>
                <w:kern w:val="0"/>
                <w:sz w:val="20"/>
                <w:szCs w:val="20"/>
                <w:highlight w:val="none"/>
                <w:u w:val="none"/>
                <w:lang w:val="en-US" w:eastAsia="zh-CN" w:bidi="ar"/>
              </w:rPr>
              <w:t>）</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套</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LC尾纤-1M</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根</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16</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32</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80</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LC-FC-15M跳纤</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根</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2</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调试接入及配合(含接入既有系统平台）</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项</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1</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numPr>
                <w:ilvl w:val="0"/>
                <w:numId w:val="16"/>
              </w:numPr>
              <w:ind w:left="425" w:leftChars="0" w:right="-27" w:rightChars="0" w:hanging="425" w:firstLineChars="0"/>
              <w:jc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镀锌钢管Φ25</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米</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w:t>
            </w:r>
            <w:r>
              <w:rPr>
                <w:rFonts w:hint="eastAsia" w:ascii="宋体" w:hAnsi="宋体" w:cs="宋体"/>
                <w:i w:val="0"/>
                <w:color w:val="000000"/>
                <w:kern w:val="0"/>
                <w:sz w:val="20"/>
                <w:szCs w:val="20"/>
                <w:highlight w:val="none"/>
                <w:u w:val="none"/>
                <w:lang w:val="en-US" w:eastAsia="zh-CN" w:bidi="ar"/>
              </w:rPr>
              <w:t>0</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51.5</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keepNext w:val="0"/>
              <w:keepLines w:val="0"/>
              <w:widowControl/>
              <w:numPr>
                <w:ilvl w:val="0"/>
                <w:numId w:val="16"/>
              </w:numPr>
              <w:suppressLineNumbers w:val="0"/>
              <w:ind w:left="425" w:leftChars="0" w:right="-27" w:rightChars="0" w:hanging="425" w:firstLineChars="0"/>
              <w:jc w:val="center"/>
              <w:textAlignment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i w:val="0"/>
                <w:color w:val="auto"/>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敷设</w:t>
            </w:r>
            <w:r>
              <w:rPr>
                <w:rFonts w:hint="eastAsia" w:ascii="宋体" w:hAnsi="宋体" w:eastAsia="宋体" w:cs="宋体"/>
                <w:i w:val="0"/>
                <w:color w:val="000000"/>
                <w:kern w:val="0"/>
                <w:sz w:val="20"/>
                <w:szCs w:val="20"/>
                <w:highlight w:val="none"/>
                <w:u w:val="none"/>
                <w:lang w:val="en-US" w:eastAsia="zh-CN" w:bidi="ar"/>
              </w:rPr>
              <w:t>电源线</w:t>
            </w:r>
          </w:p>
        </w:tc>
        <w:tc>
          <w:tcPr>
            <w:tcW w:w="1139"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widowControl/>
              <w:suppressLineNumbers w:val="0"/>
              <w:ind w:left="0" w:leftChars="0" w:right="0" w:rightChars="0" w:firstLine="0" w:firstLineChars="0"/>
              <w:jc w:val="center"/>
              <w:textAlignment w:val="auto"/>
              <w:rPr>
                <w:rFonts w:hint="default" w:ascii="宋体" w:hAnsi="宋体" w:eastAsia="宋体" w:cs="宋体"/>
                <w:i w:val="0"/>
                <w:color w:val="000000"/>
                <w:kern w:val="0"/>
                <w:sz w:val="20"/>
                <w:szCs w:val="20"/>
                <w:highlight w:val="none"/>
                <w:u w:val="none"/>
                <w:lang w:val="en-US" w:eastAsia="zh-CN" w:bidi="ar"/>
              </w:rPr>
            </w:pPr>
            <w:r>
              <w:rPr>
                <w:rFonts w:hint="default" w:ascii="宋体" w:hAnsi="宋体" w:eastAsia="宋体" w:cs="宋体"/>
                <w:i w:val="0"/>
                <w:color w:val="000000"/>
                <w:kern w:val="0"/>
                <w:sz w:val="20"/>
                <w:szCs w:val="20"/>
                <w:highlight w:val="none"/>
                <w:u w:val="none"/>
                <w:lang w:val="en-US" w:eastAsia="zh-CN" w:bidi="ar"/>
              </w:rPr>
              <w:t>WDZ-YJY22 3*2.5</w:t>
            </w:r>
          </w:p>
        </w:tc>
        <w:tc>
          <w:tcPr>
            <w:tcW w:w="132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40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米</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r>
              <w:rPr>
                <w:rFonts w:hint="eastAsia" w:ascii="宋体" w:hAnsi="宋体" w:cs="宋体"/>
                <w:i w:val="0"/>
                <w:color w:val="000000"/>
                <w:kern w:val="0"/>
                <w:sz w:val="20"/>
                <w:szCs w:val="20"/>
                <w:highlight w:val="none"/>
                <w:u w:val="none"/>
                <w:lang w:val="en-US" w:eastAsia="zh-CN" w:bidi="ar"/>
              </w:rPr>
              <w:t>00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r>
              <w:rPr>
                <w:rFonts w:hint="eastAsia" w:ascii="宋体" w:hAnsi="宋体" w:cs="宋体"/>
                <w:i w:val="0"/>
                <w:color w:val="000000"/>
                <w:kern w:val="0"/>
                <w:sz w:val="20"/>
                <w:szCs w:val="20"/>
                <w:highlight w:val="none"/>
                <w:u w:val="none"/>
                <w:lang w:val="en-US" w:eastAsia="zh-CN" w:bidi="ar"/>
              </w:rPr>
              <w:t>00</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r>
              <w:rPr>
                <w:rFonts w:hint="eastAsia" w:ascii="宋体" w:hAnsi="宋体" w:cs="宋体"/>
                <w:i w:val="0"/>
                <w:color w:val="000000"/>
                <w:kern w:val="0"/>
                <w:sz w:val="20"/>
                <w:szCs w:val="20"/>
                <w:highlight w:val="none"/>
                <w:u w:val="none"/>
                <w:lang w:val="en-US" w:eastAsia="zh-CN" w:bidi="ar"/>
              </w:rPr>
              <w:t>00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r>
              <w:rPr>
                <w:rFonts w:hint="eastAsia" w:ascii="宋体" w:hAnsi="宋体" w:cs="宋体"/>
                <w:i w:val="0"/>
                <w:color w:val="000000"/>
                <w:kern w:val="0"/>
                <w:sz w:val="20"/>
                <w:szCs w:val="20"/>
                <w:highlight w:val="none"/>
                <w:u w:val="none"/>
                <w:lang w:val="en-US" w:eastAsia="zh-CN" w:bidi="ar"/>
              </w:rPr>
              <w:t>00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23</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keepNext w:val="0"/>
              <w:keepLines w:val="0"/>
              <w:widowControl/>
              <w:numPr>
                <w:ilvl w:val="0"/>
                <w:numId w:val="16"/>
              </w:numPr>
              <w:suppressLineNumbers w:val="0"/>
              <w:ind w:left="425" w:leftChars="0" w:right="-27" w:rightChars="0" w:hanging="425" w:firstLineChars="0"/>
              <w:jc w:val="center"/>
              <w:textAlignment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敷设</w:t>
            </w:r>
            <w:r>
              <w:rPr>
                <w:rFonts w:hint="eastAsia" w:ascii="宋体" w:hAnsi="宋体" w:eastAsia="宋体" w:cs="宋体"/>
                <w:i w:val="0"/>
                <w:color w:val="000000"/>
                <w:kern w:val="0"/>
                <w:sz w:val="20"/>
                <w:szCs w:val="20"/>
                <w:highlight w:val="none"/>
                <w:u w:val="none"/>
                <w:lang w:val="en-US" w:eastAsia="zh-CN" w:bidi="ar"/>
              </w:rPr>
              <w:t>电源线</w:t>
            </w:r>
          </w:p>
        </w:tc>
        <w:tc>
          <w:tcPr>
            <w:tcW w:w="1139"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widowControl/>
              <w:suppressLineNumbers w:val="0"/>
              <w:ind w:left="0" w:leftChars="0" w:right="0" w:rightChars="0" w:firstLine="0" w:firstLineChars="0"/>
              <w:jc w:val="center"/>
              <w:textAlignment w:val="auto"/>
              <w:rPr>
                <w:rFonts w:hint="default" w:ascii="宋体" w:hAnsi="宋体" w:eastAsia="宋体" w:cs="宋体"/>
                <w:i w:val="0"/>
                <w:color w:val="000000"/>
                <w:kern w:val="0"/>
                <w:sz w:val="20"/>
                <w:szCs w:val="20"/>
                <w:highlight w:val="none"/>
                <w:u w:val="none"/>
                <w:lang w:val="en-US" w:eastAsia="zh-CN" w:bidi="ar"/>
              </w:rPr>
            </w:pPr>
            <w:r>
              <w:rPr>
                <w:rFonts w:hint="default" w:ascii="宋体" w:hAnsi="宋体" w:eastAsia="宋体" w:cs="宋体"/>
                <w:i w:val="0"/>
                <w:color w:val="000000"/>
                <w:kern w:val="0"/>
                <w:sz w:val="20"/>
                <w:szCs w:val="20"/>
                <w:highlight w:val="none"/>
                <w:u w:val="none"/>
                <w:lang w:val="en-US" w:eastAsia="zh-CN" w:bidi="ar"/>
              </w:rPr>
              <w:t>WDZ-YJY3*1.5</w:t>
            </w:r>
          </w:p>
        </w:tc>
        <w:tc>
          <w:tcPr>
            <w:tcW w:w="132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40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米</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w:t>
            </w:r>
            <w:r>
              <w:rPr>
                <w:rFonts w:hint="eastAsia" w:ascii="宋体" w:hAnsi="宋体" w:cs="宋体"/>
                <w:i w:val="0"/>
                <w:color w:val="000000"/>
                <w:kern w:val="0"/>
                <w:sz w:val="20"/>
                <w:szCs w:val="20"/>
                <w:highlight w:val="none"/>
                <w:u w:val="none"/>
                <w:lang w:val="en-US" w:eastAsia="zh-CN" w:bidi="ar"/>
              </w:rPr>
              <w:t>00</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w:t>
            </w:r>
            <w:r>
              <w:rPr>
                <w:rFonts w:hint="eastAsia" w:ascii="宋体" w:hAnsi="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6.5</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keepNext w:val="0"/>
              <w:keepLines w:val="0"/>
              <w:widowControl/>
              <w:numPr>
                <w:ilvl w:val="0"/>
                <w:numId w:val="16"/>
              </w:numPr>
              <w:suppressLineNumbers w:val="0"/>
              <w:ind w:left="425" w:leftChars="0" w:right="-27" w:rightChars="0" w:hanging="425" w:firstLineChars="0"/>
              <w:jc w:val="center"/>
              <w:textAlignment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敷设</w:t>
            </w:r>
            <w:r>
              <w:rPr>
                <w:rFonts w:hint="eastAsia" w:ascii="宋体" w:hAnsi="宋体" w:eastAsia="宋体" w:cs="宋体"/>
                <w:i w:val="0"/>
                <w:color w:val="000000"/>
                <w:kern w:val="0"/>
                <w:sz w:val="20"/>
                <w:szCs w:val="20"/>
                <w:highlight w:val="none"/>
                <w:u w:val="none"/>
                <w:lang w:val="en-US" w:eastAsia="zh-CN" w:bidi="ar"/>
              </w:rPr>
              <w:t>4芯单模光缆</w:t>
            </w:r>
          </w:p>
        </w:tc>
        <w:tc>
          <w:tcPr>
            <w:tcW w:w="1139"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widowControl/>
              <w:suppressLineNumbers w:val="0"/>
              <w:ind w:left="0" w:leftChars="0" w:right="0" w:rightChars="0" w:firstLine="0" w:firstLineChars="0"/>
              <w:jc w:val="center"/>
              <w:textAlignment w:val="auto"/>
              <w:rPr>
                <w:rFonts w:hint="default" w:ascii="宋体" w:hAnsi="宋体" w:eastAsia="宋体" w:cs="宋体"/>
                <w:i w:val="0"/>
                <w:color w:val="000000"/>
                <w:kern w:val="0"/>
                <w:sz w:val="20"/>
                <w:szCs w:val="20"/>
                <w:highlight w:val="none"/>
                <w:u w:val="none"/>
                <w:lang w:val="en-US" w:eastAsia="zh-CN" w:bidi="ar"/>
              </w:rPr>
            </w:pPr>
            <w:r>
              <w:rPr>
                <w:rFonts w:hint="default" w:ascii="宋体" w:hAnsi="宋体" w:eastAsia="宋体" w:cs="宋体"/>
                <w:i w:val="0"/>
                <w:color w:val="000000"/>
                <w:kern w:val="0"/>
                <w:sz w:val="20"/>
                <w:szCs w:val="20"/>
                <w:highlight w:val="none"/>
                <w:u w:val="none"/>
                <w:lang w:val="en-US" w:eastAsia="zh-CN" w:bidi="ar"/>
              </w:rPr>
              <w:t>GYXTW-4B1</w:t>
            </w:r>
          </w:p>
        </w:tc>
        <w:tc>
          <w:tcPr>
            <w:tcW w:w="132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40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米</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r>
              <w:rPr>
                <w:rFonts w:hint="eastAsia" w:ascii="宋体" w:hAnsi="宋体" w:cs="宋体"/>
                <w:i w:val="0"/>
                <w:color w:val="000000"/>
                <w:kern w:val="0"/>
                <w:sz w:val="20"/>
                <w:szCs w:val="20"/>
                <w:highlight w:val="none"/>
                <w:u w:val="none"/>
                <w:lang w:val="en-US" w:eastAsia="zh-CN" w:bidi="ar"/>
              </w:rPr>
              <w:t>00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r>
              <w:rPr>
                <w:rFonts w:hint="eastAsia" w:ascii="宋体" w:hAnsi="宋体" w:cs="宋体"/>
                <w:i w:val="0"/>
                <w:color w:val="000000"/>
                <w:kern w:val="0"/>
                <w:sz w:val="20"/>
                <w:szCs w:val="20"/>
                <w:highlight w:val="none"/>
                <w:u w:val="none"/>
                <w:lang w:val="en-US" w:eastAsia="zh-CN" w:bidi="ar"/>
              </w:rPr>
              <w:t>00</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r>
              <w:rPr>
                <w:rFonts w:hint="eastAsia" w:ascii="宋体" w:hAnsi="宋体" w:cs="宋体"/>
                <w:i w:val="0"/>
                <w:color w:val="000000"/>
                <w:kern w:val="0"/>
                <w:sz w:val="20"/>
                <w:szCs w:val="20"/>
                <w:highlight w:val="none"/>
                <w:u w:val="none"/>
                <w:lang w:val="en-US" w:eastAsia="zh-CN" w:bidi="ar"/>
              </w:rPr>
              <w:t>00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r>
              <w:rPr>
                <w:rFonts w:hint="eastAsia" w:ascii="宋体" w:hAnsi="宋体" w:cs="宋体"/>
                <w:i w:val="0"/>
                <w:color w:val="000000"/>
                <w:kern w:val="0"/>
                <w:sz w:val="20"/>
                <w:szCs w:val="20"/>
                <w:highlight w:val="none"/>
                <w:u w:val="none"/>
                <w:lang w:val="en-US" w:eastAsia="zh-CN" w:bidi="ar"/>
              </w:rPr>
              <w:t>00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28</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1" w:type="dxa"/>
            <w:vAlign w:val="center"/>
          </w:tcPr>
          <w:p>
            <w:pPr>
              <w:keepNext w:val="0"/>
              <w:keepLines w:val="0"/>
              <w:widowControl/>
              <w:numPr>
                <w:ilvl w:val="0"/>
                <w:numId w:val="16"/>
              </w:numPr>
              <w:suppressLineNumbers w:val="0"/>
              <w:ind w:left="425" w:leftChars="0" w:right="-27" w:rightChars="0" w:hanging="425" w:firstLineChars="0"/>
              <w:jc w:val="center"/>
              <w:textAlignment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敷设</w:t>
            </w:r>
            <w:r>
              <w:rPr>
                <w:rFonts w:hint="eastAsia" w:ascii="宋体" w:hAnsi="宋体" w:eastAsia="宋体" w:cs="宋体"/>
                <w:i w:val="0"/>
                <w:color w:val="000000"/>
                <w:kern w:val="0"/>
                <w:sz w:val="20"/>
                <w:szCs w:val="20"/>
                <w:highlight w:val="none"/>
                <w:u w:val="none"/>
                <w:lang w:val="en-US" w:eastAsia="zh-CN" w:bidi="ar"/>
              </w:rPr>
              <w:t>六类屏蔽网线</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米</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0</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r>
              <w:rPr>
                <w:rFonts w:hint="eastAsia" w:ascii="宋体" w:hAnsi="宋体" w:cs="宋体"/>
                <w:i w:val="0"/>
                <w:color w:val="000000"/>
                <w:kern w:val="0"/>
                <w:sz w:val="20"/>
                <w:szCs w:val="20"/>
                <w:highlight w:val="none"/>
                <w:u w:val="none"/>
                <w:lang w:val="en-US" w:eastAsia="zh-CN" w:bidi="ar"/>
              </w:rPr>
              <w:t>0</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0</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0</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w:t>
            </w:r>
            <w:r>
              <w:rPr>
                <w:rFonts w:hint="eastAsia" w:ascii="宋体" w:hAnsi="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2.5</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431" w:type="dxa"/>
            <w:vAlign w:val="center"/>
          </w:tcPr>
          <w:p>
            <w:pPr>
              <w:keepNext w:val="0"/>
              <w:keepLines w:val="0"/>
              <w:widowControl/>
              <w:numPr>
                <w:ilvl w:val="0"/>
                <w:numId w:val="16"/>
              </w:numPr>
              <w:suppressLineNumbers w:val="0"/>
              <w:ind w:left="425" w:leftChars="0" w:right="-27" w:rightChars="0" w:hanging="425" w:firstLineChars="0"/>
              <w:jc w:val="center"/>
              <w:textAlignment w:val="center"/>
              <w:rPr>
                <w:rFonts w:hint="eastAsia" w:ascii="宋体" w:hAnsi="宋体" w:eastAsia="宋体" w:cs="宋体"/>
                <w:color w:val="auto"/>
                <w:kern w:val="2"/>
                <w:sz w:val="20"/>
                <w:szCs w:val="20"/>
                <w:highlight w:val="none"/>
                <w:vertAlign w:val="baseline"/>
                <w:lang w:val="en-US" w:eastAsia="zh-CN"/>
              </w:rPr>
            </w:pPr>
          </w:p>
        </w:tc>
        <w:tc>
          <w:tcPr>
            <w:tcW w:w="1679" w:type="dxa"/>
            <w:vAlign w:val="center"/>
          </w:tcPr>
          <w:p>
            <w:pPr>
              <w:keepNext w:val="0"/>
              <w:keepLines w:val="0"/>
              <w:widowControl/>
              <w:suppressLineNumbers w:val="0"/>
              <w:ind w:left="0" w:leftChars="0" w:right="0" w:rightChars="0" w:firstLine="0" w:firstLineChars="0"/>
              <w:jc w:val="center"/>
              <w:textAlignment w:val="auto"/>
              <w:rPr>
                <w:rFonts w:hint="eastAsia" w:ascii="宋体" w:hAnsi="宋体" w:eastAsia="宋体" w:cs="宋体"/>
                <w:color w:val="auto"/>
                <w:kern w:val="0"/>
                <w:sz w:val="20"/>
                <w:szCs w:val="20"/>
                <w:highlight w:val="none"/>
                <w:lang w:val="en-US" w:eastAsia="zh-CN"/>
              </w:rPr>
            </w:pPr>
            <w:r>
              <w:rPr>
                <w:rFonts w:hint="eastAsia" w:ascii="宋体" w:hAnsi="宋体" w:eastAsia="宋体" w:cs="宋体"/>
                <w:i w:val="0"/>
                <w:color w:val="000000"/>
                <w:kern w:val="0"/>
                <w:sz w:val="20"/>
                <w:szCs w:val="20"/>
                <w:highlight w:val="none"/>
                <w:u w:val="none"/>
                <w:lang w:val="en-US" w:eastAsia="zh-CN" w:bidi="ar"/>
              </w:rPr>
              <w:t>光缆成端</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139"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before="0"/>
              <w:ind w:left="0" w:right="0" w:firstLine="0"/>
              <w:jc w:val="both"/>
              <w:textAlignment w:val="auto"/>
              <w:rPr>
                <w:rFonts w:hint="eastAsia" w:ascii="宋体" w:hAnsi="宋体" w:eastAsia="宋体" w:cs="宋体"/>
                <w:color w:val="auto"/>
                <w:kern w:val="2"/>
                <w:sz w:val="20"/>
                <w:szCs w:val="20"/>
                <w:highlight w:val="none"/>
                <w:lang w:val="en-US" w:eastAsia="zh-CN" w:bidi="ar-SA"/>
              </w:rPr>
            </w:pPr>
          </w:p>
        </w:tc>
        <w:tc>
          <w:tcPr>
            <w:tcW w:w="588" w:type="dxa"/>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color w:val="auto"/>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芯</w:t>
            </w:r>
          </w:p>
        </w:tc>
        <w:tc>
          <w:tcPr>
            <w:tcW w:w="687"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color w:val="auto"/>
                <w:kern w:val="0"/>
                <w:sz w:val="20"/>
                <w:szCs w:val="20"/>
                <w:highlight w:val="none"/>
                <w:lang w:val="en-US" w:eastAsia="zh-CN" w:bidi="ar-SA"/>
              </w:rPr>
            </w:pPr>
            <w:r>
              <w:rPr>
                <w:rFonts w:hint="eastAsia" w:ascii="宋体" w:hAnsi="宋体" w:eastAsia="宋体" w:cs="宋体"/>
                <w:i w:val="0"/>
                <w:color w:val="000000"/>
                <w:kern w:val="0"/>
                <w:sz w:val="20"/>
                <w:szCs w:val="20"/>
                <w:highlight w:val="none"/>
                <w:u w:val="none"/>
                <w:lang w:val="en-US" w:eastAsia="zh-CN" w:bidi="ar"/>
              </w:rPr>
              <w:t>16</w:t>
            </w:r>
          </w:p>
        </w:tc>
        <w:tc>
          <w:tcPr>
            <w:tcW w:w="688"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32</w:t>
            </w:r>
          </w:p>
        </w:tc>
        <w:tc>
          <w:tcPr>
            <w:tcW w:w="612"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650"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563" w:type="dxa"/>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603" w:type="dxa"/>
            <w:gridSpan w:val="2"/>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80</w:t>
            </w:r>
          </w:p>
        </w:tc>
        <w:tc>
          <w:tcPr>
            <w:tcW w:w="914"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Merge w:val="continue"/>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431" w:type="dxa"/>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0"/>
                <w:szCs w:val="20"/>
                <w:highlight w:val="none"/>
                <w:vertAlign w:val="baseline"/>
                <w:lang w:val="en-US" w:eastAsia="zh-CN"/>
              </w:rPr>
            </w:pPr>
            <w:r>
              <w:rPr>
                <w:rFonts w:hint="eastAsia" w:ascii="宋体" w:hAnsi="宋体" w:cs="宋体"/>
                <w:color w:val="auto"/>
                <w:kern w:val="2"/>
                <w:sz w:val="20"/>
                <w:szCs w:val="20"/>
                <w:highlight w:val="none"/>
                <w:vertAlign w:val="baseline"/>
                <w:lang w:val="en-US" w:eastAsia="zh-CN"/>
              </w:rPr>
              <w:t>21</w:t>
            </w:r>
          </w:p>
        </w:tc>
        <w:tc>
          <w:tcPr>
            <w:tcW w:w="6679" w:type="dxa"/>
            <w:gridSpan w:val="5"/>
            <w:vAlign w:val="center"/>
          </w:tcPr>
          <w:p>
            <w:pPr>
              <w:widowControl/>
              <w:spacing w:before="0" w:after="0" w:afterAutospacing="0" w:line="240" w:lineRule="auto"/>
              <w:ind w:left="0" w:right="0" w:firstLine="0"/>
              <w:jc w:val="center"/>
              <w:textAlignment w:val="center"/>
              <w:rPr>
                <w:rFonts w:hint="eastAsia" w:ascii="宋体" w:hAnsi="宋体" w:eastAsia="宋体" w:cs="宋体"/>
                <w:color w:val="auto"/>
                <w:kern w:val="2"/>
                <w:sz w:val="20"/>
                <w:szCs w:val="20"/>
                <w:highlight w:val="none"/>
                <w:vertAlign w:val="baseline"/>
              </w:rPr>
            </w:pPr>
            <w:r>
              <w:rPr>
                <w:rFonts w:hint="eastAsia" w:ascii="宋体" w:hAnsi="宋体" w:cs="宋体"/>
                <w:color w:val="auto"/>
                <w:kern w:val="2"/>
                <w:sz w:val="20"/>
                <w:szCs w:val="20"/>
                <w:highlight w:val="none"/>
                <w:lang w:val="en-US" w:eastAsia="zh-CN" w:bidi="ar-SA"/>
              </w:rPr>
              <w:t>合计</w:t>
            </w:r>
          </w:p>
        </w:tc>
        <w:tc>
          <w:tcPr>
            <w:tcW w:w="4391" w:type="dxa"/>
            <w:gridSpan w:val="8"/>
            <w:vAlign w:val="center"/>
          </w:tcPr>
          <w:p>
            <w:pPr>
              <w:widowControl/>
              <w:spacing w:before="0" w:after="0" w:afterAutospacing="0" w:line="240" w:lineRule="auto"/>
              <w:ind w:left="0" w:right="0" w:firstLine="0"/>
              <w:jc w:val="center"/>
              <w:textAlignment w:val="center"/>
              <w:rPr>
                <w:rFonts w:hint="eastAsia" w:ascii="宋体" w:hAnsi="宋体" w:cs="宋体"/>
                <w:color w:val="auto"/>
                <w:kern w:val="2"/>
                <w:sz w:val="20"/>
                <w:szCs w:val="20"/>
                <w:highlight w:val="none"/>
                <w:lang w:val="en-US" w:eastAsia="zh-CN" w:bidi="ar-SA"/>
              </w:rPr>
            </w:pPr>
          </w:p>
        </w:tc>
        <w:tc>
          <w:tcPr>
            <w:tcW w:w="914" w:type="dxa"/>
            <w:gridSpan w:val="2"/>
            <w:vAlign w:val="center"/>
          </w:tcPr>
          <w:p>
            <w:pPr>
              <w:widowControl/>
              <w:spacing w:before="0" w:after="0" w:afterAutospacing="0" w:line="240" w:lineRule="auto"/>
              <w:ind w:left="0" w:right="0" w:firstLine="0"/>
              <w:jc w:val="center"/>
              <w:textAlignment w:val="center"/>
              <w:rPr>
                <w:rFonts w:hint="eastAsia" w:ascii="宋体" w:hAnsi="宋体" w:cs="宋体"/>
                <w:color w:val="auto"/>
                <w:kern w:val="2"/>
                <w:sz w:val="20"/>
                <w:szCs w:val="20"/>
                <w:highlight w:val="none"/>
                <w:lang w:val="en-US" w:eastAsia="zh-CN" w:bidi="ar-SA"/>
              </w:rPr>
            </w:pPr>
          </w:p>
        </w:tc>
        <w:tc>
          <w:tcPr>
            <w:tcW w:w="1119"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c>
          <w:tcPr>
            <w:tcW w:w="732" w:type="dxa"/>
            <w:gridSpan w:val="2"/>
            <w:vAlign w:val="center"/>
          </w:tcPr>
          <w:p>
            <w:pPr>
              <w:widowControl w:val="0"/>
              <w:spacing w:before="0" w:after="0" w:afterAutospacing="0" w:line="240" w:lineRule="auto"/>
              <w:ind w:left="0" w:right="0" w:firstLine="0"/>
              <w:rPr>
                <w:rFonts w:hint="eastAsia" w:ascii="宋体" w:hAnsi="宋体" w:eastAsia="宋体" w:cs="宋体"/>
                <w:color w:val="auto"/>
                <w:kern w:val="2"/>
                <w:sz w:val="20"/>
                <w:szCs w:val="20"/>
                <w:highlight w:val="none"/>
                <w:vertAlign w:val="baseline"/>
              </w:rPr>
            </w:pPr>
          </w:p>
        </w:tc>
      </w:tr>
    </w:tbl>
    <w:p>
      <w:pPr>
        <w:spacing w:before="0" w:after="0" w:afterAutospacing="0"/>
        <w:ind w:left="0" w:right="0" w:firstLine="0"/>
        <w:rPr>
          <w:rFonts w:hint="eastAsia" w:ascii="宋体" w:hAnsi="宋体"/>
          <w:highlight w:val="none"/>
        </w:rPr>
      </w:pPr>
    </w:p>
    <w:p>
      <w:pPr>
        <w:spacing w:before="0" w:after="0" w:afterAutospacing="0"/>
        <w:ind w:left="0" w:right="0" w:firstLine="0"/>
        <w:rPr>
          <w:rFonts w:ascii="宋体" w:hAnsi="宋体"/>
          <w:highlight w:val="none"/>
        </w:rPr>
      </w:pPr>
      <w:r>
        <w:rPr>
          <w:rFonts w:hint="eastAsia" w:ascii="宋体" w:hAnsi="宋体"/>
          <w:highlight w:val="none"/>
        </w:rPr>
        <w:t>注：</w:t>
      </w:r>
      <w:r>
        <w:rPr>
          <w:rFonts w:ascii="宋体" w:hAnsi="宋体"/>
          <w:highlight w:val="none"/>
        </w:rPr>
        <w:t>1、</w:t>
      </w:r>
      <w:r>
        <w:rPr>
          <w:rFonts w:hint="eastAsia" w:ascii="宋体" w:hAnsi="宋体"/>
          <w:highlight w:val="none"/>
        </w:rPr>
        <w:t>比选申请人须按第五章《用户需求书》中的技术需求及</w:t>
      </w:r>
      <w:r>
        <w:rPr>
          <w:rFonts w:hint="eastAsia" w:ascii="宋体" w:hAnsi="宋体"/>
          <w:highlight w:val="none"/>
          <w:lang w:val="en-US" w:eastAsia="zh-CN"/>
        </w:rPr>
        <w:t>工程量清单</w:t>
      </w:r>
      <w:r>
        <w:rPr>
          <w:rFonts w:hint="eastAsia" w:ascii="宋体" w:hAnsi="宋体"/>
          <w:highlight w:val="none"/>
        </w:rPr>
        <w:t>的顺序进行明细报价，不允许打乱顺序，不含税单价、不含税合价均精确到小数点后两位。</w:t>
      </w:r>
    </w:p>
    <w:p>
      <w:pPr>
        <w:ind w:left="0" w:firstLine="0"/>
        <w:jc w:val="left"/>
        <w:rPr>
          <w:rFonts w:hint="eastAsia" w:hAnsi="Times New Roman" w:eastAsia="宋体"/>
          <w:highlight w:val="none"/>
          <w:lang w:val="en-US" w:eastAsia="zh-CN"/>
        </w:rPr>
      </w:pPr>
      <w:r>
        <w:rPr>
          <w:rFonts w:hint="default" w:hAnsi="Times New Roman"/>
          <w:highlight w:val="none"/>
          <w:lang w:val="en-US" w:eastAsia="zh-CN"/>
        </w:rPr>
        <w:t>2、</w:t>
      </w:r>
      <w:r>
        <w:rPr>
          <w:rFonts w:hint="eastAsia" w:ascii="宋体" w:hAnsi="宋体"/>
          <w:highlight w:val="none"/>
        </w:rPr>
        <w:t>同一项目在各分项报价中应为同一单价。比选申请人对每个项目</w:t>
      </w:r>
      <w:r>
        <w:rPr>
          <w:rFonts w:ascii="宋体" w:hAnsi="宋体"/>
          <w:highlight w:val="none"/>
        </w:rPr>
        <w:t>(</w:t>
      </w:r>
      <w:r>
        <w:rPr>
          <w:rFonts w:hint="eastAsia" w:ascii="宋体" w:hAnsi="宋体"/>
          <w:highlight w:val="none"/>
        </w:rPr>
        <w:t>指完全相同的同一项目</w:t>
      </w:r>
      <w:r>
        <w:rPr>
          <w:rFonts w:ascii="宋体" w:hAnsi="宋体"/>
          <w:highlight w:val="none"/>
        </w:rPr>
        <w:t>)</w:t>
      </w:r>
      <w:r>
        <w:rPr>
          <w:rFonts w:hint="eastAsia" w:ascii="宋体" w:hAnsi="宋体"/>
          <w:highlight w:val="none"/>
        </w:rPr>
        <w:t>只允许有一个报价，如有不同报价，则以最低报价为准</w:t>
      </w:r>
      <w:r>
        <w:rPr>
          <w:rFonts w:hint="eastAsia" w:ascii="宋体" w:hAnsi="宋体"/>
          <w:highlight w:val="none"/>
          <w:lang w:eastAsia="zh-CN"/>
        </w:rPr>
        <w:t>。</w:t>
      </w:r>
    </w:p>
    <w:p>
      <w:pPr>
        <w:ind w:left="0" w:firstLine="0"/>
        <w:jc w:val="left"/>
        <w:rPr>
          <w:rFonts w:hint="default" w:eastAsia="宋体"/>
          <w:highlight w:val="none"/>
          <w:lang w:val="en-US" w:eastAsia="zh-CN"/>
        </w:rPr>
      </w:pPr>
      <w:r>
        <w:rPr>
          <w:rFonts w:hint="eastAsia" w:ascii="宋体" w:hAnsi="宋体" w:cs="宋体"/>
          <w:highlight w:val="none"/>
          <w:lang w:val="en-US" w:eastAsia="zh-CN"/>
        </w:rPr>
        <w:t>3、若拟采货物列有“参考品牌及型号”，则比选申请人所填报的“报价品牌及型号”原则上须为“参考品牌及型号”之一，且唯一。如比选申请人“报价品牌及型号” 非“参考品牌及型号”之一的，则需要提供能证明报价产品的质量及参数相当于参考品牌的行业内权威机构出具的检测报告及查询方式。否则将作无效报价处理</w:t>
      </w:r>
      <w:r>
        <w:rPr>
          <w:rFonts w:hint="eastAsia" w:ascii="宋体" w:hAnsi="宋体" w:cs="宋体"/>
          <w:highlight w:val="none"/>
          <w:lang w:val="en-US" w:eastAsia="zh-CN"/>
        </w:rPr>
        <w:br w:type="textWrapping"/>
      </w:r>
      <w:r>
        <w:rPr>
          <w:rFonts w:hint="eastAsia" w:ascii="宋体" w:hAnsi="宋体" w:cs="宋体"/>
          <w:highlight w:val="none"/>
          <w:lang w:val="en-US" w:eastAsia="zh-CN"/>
        </w:rPr>
        <w:t>4、若拟采货物未列“参考品牌及型号”，比选申请人也应填报“报价品牌及型号” ，否则将作无效报价处理</w:t>
      </w:r>
      <w:r>
        <w:rPr>
          <w:rFonts w:hint="default" w:hAnsi="Times New Roman"/>
          <w:highlight w:val="none"/>
          <w:lang w:val="en-US" w:eastAsia="zh-CN"/>
        </w:rPr>
        <w:t>。</w:t>
      </w:r>
    </w:p>
    <w:p>
      <w:pPr>
        <w:snapToGrid w:val="0"/>
        <w:spacing w:after="0" w:afterAutospacing="0"/>
        <w:ind w:right="-816" w:firstLine="0"/>
        <w:jc w:val="center"/>
        <w:rPr>
          <w:rFonts w:ascii="宋体" w:hAnsi="宋体"/>
          <w:highlight w:val="none"/>
          <w:u w:val="single"/>
        </w:rPr>
      </w:pPr>
      <w:r>
        <w:rPr>
          <w:rFonts w:hint="eastAsia" w:ascii="宋体" w:hAnsi="宋体"/>
          <w:highlight w:val="none"/>
        </w:rPr>
        <w:t>比选申请人名称（盖章）：</w:t>
      </w:r>
    </w:p>
    <w:p>
      <w:pPr>
        <w:snapToGrid w:val="0"/>
        <w:spacing w:after="0" w:afterAutospacing="0"/>
        <w:ind w:right="-816" w:firstLine="0"/>
        <w:jc w:val="center"/>
        <w:rPr>
          <w:rFonts w:hint="eastAsia" w:ascii="宋体" w:hAnsi="宋体"/>
          <w:b/>
          <w:highlight w:val="none"/>
        </w:rPr>
      </w:pPr>
      <w:r>
        <w:rPr>
          <w:rFonts w:hint="eastAsia" w:ascii="宋体" w:hAnsi="宋体"/>
          <w:highlight w:val="none"/>
        </w:rPr>
        <w:t>日期：    年  月  日</w:t>
      </w:r>
    </w:p>
    <w:p>
      <w:pPr>
        <w:snapToGrid w:val="0"/>
        <w:spacing w:before="0" w:after="0" w:afterAutospacing="0"/>
        <w:ind w:left="0" w:right="-57" w:firstLine="0"/>
        <w:jc w:val="center"/>
        <w:rPr>
          <w:rFonts w:hint="eastAsia" w:ascii="宋体" w:hAnsi="宋体"/>
          <w:b/>
          <w:highlight w:val="none"/>
        </w:rPr>
        <w:sectPr>
          <w:pgSz w:w="16838" w:h="11905" w:orient="landscape"/>
          <w:pgMar w:top="1418" w:right="1418" w:bottom="1418" w:left="1304" w:header="454" w:footer="567" w:gutter="0"/>
          <w:pgNumType w:fmt="decimal"/>
          <w:cols w:space="720" w:num="1"/>
          <w:docGrid w:linePitch="312" w:charSpace="0"/>
        </w:sectPr>
      </w:pPr>
    </w:p>
    <w:p>
      <w:pPr>
        <w:pStyle w:val="4"/>
        <w:pageBreakBefore/>
        <w:spacing w:after="100"/>
        <w:ind w:right="-57" w:firstLine="0"/>
        <w:jc w:val="center"/>
        <w:rPr>
          <w:rFonts w:ascii="宋体" w:hAnsi="宋体"/>
          <w:b/>
          <w:color w:val="auto"/>
          <w:sz w:val="24"/>
          <w:szCs w:val="24"/>
          <w:highlight w:val="none"/>
        </w:rPr>
      </w:pPr>
      <w:bookmarkStart w:id="1665" w:name="_Toc19107"/>
      <w:bookmarkStart w:id="1666" w:name="_Toc414290562"/>
      <w:bookmarkStart w:id="1667" w:name="_Toc492478827"/>
      <w:bookmarkStart w:id="1668" w:name="_Toc6034"/>
      <w:bookmarkStart w:id="1669" w:name="_Toc2327"/>
      <w:bookmarkStart w:id="1670" w:name="_Toc32381"/>
      <w:bookmarkStart w:id="1671" w:name="_Toc19413"/>
      <w:bookmarkStart w:id="1672" w:name="_Toc8563"/>
      <w:bookmarkStart w:id="1673" w:name="_Toc14091"/>
      <w:bookmarkStart w:id="1674" w:name="_Toc22423"/>
      <w:bookmarkStart w:id="1675" w:name="_Toc22378"/>
      <w:bookmarkStart w:id="1676" w:name="_Toc15783"/>
      <w:bookmarkStart w:id="1677" w:name="_Toc25750683"/>
      <w:bookmarkStart w:id="1678" w:name="_Toc17664"/>
      <w:bookmarkStart w:id="1679" w:name="_Toc8058"/>
      <w:bookmarkStart w:id="1680" w:name="_Toc13870"/>
      <w:bookmarkStart w:id="1681" w:name="_Toc25220"/>
      <w:bookmarkStart w:id="1682" w:name="_Toc29577"/>
      <w:bookmarkStart w:id="1683" w:name="_Toc25635"/>
      <w:bookmarkStart w:id="1684" w:name="_Toc15108"/>
      <w:bookmarkStart w:id="1685" w:name="_Toc6352_WPSOffice_Level2"/>
      <w:bookmarkStart w:id="1686" w:name="_Toc26136"/>
      <w:bookmarkStart w:id="1687" w:name="_Toc10453"/>
      <w:bookmarkStart w:id="1688" w:name="_Toc30812"/>
      <w:bookmarkStart w:id="1689" w:name="_Toc3307"/>
      <w:bookmarkStart w:id="1690" w:name="_Toc9876"/>
      <w:bookmarkStart w:id="1691" w:name="_Toc15451"/>
      <w:bookmarkStart w:id="1692" w:name="_Toc518"/>
      <w:bookmarkStart w:id="1693" w:name="_Toc27266"/>
      <w:r>
        <w:rPr>
          <w:rFonts w:hint="default" w:ascii="宋体" w:hAnsi="宋体"/>
          <w:color w:val="auto"/>
          <w:sz w:val="24"/>
          <w:szCs w:val="24"/>
          <w:highlight w:val="none"/>
        </w:rPr>
        <w:t>C</w:t>
      </w:r>
      <w:r>
        <w:rPr>
          <w:rFonts w:ascii="宋体" w:hAnsi="宋体"/>
          <w:color w:val="auto"/>
          <w:sz w:val="24"/>
          <w:szCs w:val="24"/>
          <w:highlight w:val="none"/>
        </w:rPr>
        <w:t>技术</w:t>
      </w:r>
      <w:bookmarkEnd w:id="1665"/>
      <w:bookmarkEnd w:id="1666"/>
      <w:bookmarkEnd w:id="1667"/>
      <w:bookmarkStart w:id="1694" w:name="_Toc18770050"/>
      <w:bookmarkStart w:id="1695" w:name="_Toc74938308"/>
      <w:bookmarkStart w:id="1696" w:name="_Toc99697927"/>
      <w:bookmarkStart w:id="1697" w:name="_Toc224010320"/>
      <w:bookmarkStart w:id="1698" w:name="_Toc17887241"/>
      <w:r>
        <w:rPr>
          <w:rFonts w:hint="default" w:ascii="宋体" w:hAnsi="宋体"/>
          <w:color w:val="auto"/>
          <w:sz w:val="24"/>
          <w:szCs w:val="24"/>
          <w:highlight w:val="none"/>
        </w:rPr>
        <w:t>文件</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spacing w:before="0" w:after="0" w:afterAutospacing="0"/>
        <w:ind w:left="0" w:right="0" w:firstLine="422" w:firstLineChars="200"/>
        <w:jc w:val="left"/>
        <w:rPr>
          <w:rFonts w:hAnsi="宋体"/>
          <w:b/>
          <w:sz w:val="44"/>
          <w:szCs w:val="44"/>
          <w:highlight w:val="none"/>
        </w:rPr>
      </w:pPr>
      <w:r>
        <w:rPr>
          <w:rFonts w:hint="eastAsia" w:hAnsi="宋体"/>
          <w:b/>
          <w:highlight w:val="none"/>
        </w:rPr>
        <w:t>技术文件格式</w:t>
      </w:r>
    </w:p>
    <w:p>
      <w:pPr>
        <w:numPr>
          <w:ilvl w:val="0"/>
          <w:numId w:val="17"/>
        </w:numPr>
        <w:spacing w:before="0" w:after="0" w:afterAutospacing="0"/>
        <w:ind w:left="0" w:right="0" w:firstLine="315" w:firstLineChars="150"/>
        <w:outlineLvl w:val="0"/>
        <w:rPr>
          <w:rFonts w:hint="eastAsia"/>
          <w:highlight w:val="none"/>
        </w:rPr>
      </w:pPr>
      <w:bookmarkStart w:id="1699" w:name="_Toc25871"/>
      <w:bookmarkStart w:id="1700" w:name="_Toc11867"/>
      <w:bookmarkStart w:id="1701" w:name="_Toc22823"/>
      <w:bookmarkStart w:id="1702" w:name="_Toc1518"/>
      <w:bookmarkStart w:id="1703" w:name="_Toc28403"/>
      <w:bookmarkStart w:id="1704" w:name="_Toc10656"/>
      <w:bookmarkStart w:id="1705" w:name="_Toc31562"/>
      <w:bookmarkStart w:id="1706" w:name="_Toc1876"/>
      <w:bookmarkStart w:id="1707" w:name="_Toc8794"/>
      <w:r>
        <w:rPr>
          <w:rFonts w:hint="eastAsia"/>
          <w:highlight w:val="none"/>
        </w:rPr>
        <w:t>技术响应表（格式见</w:t>
      </w:r>
      <w:r>
        <w:rPr>
          <w:highlight w:val="none"/>
        </w:rPr>
        <w:t>C1</w:t>
      </w:r>
      <w:r>
        <w:rPr>
          <w:rFonts w:hint="eastAsia"/>
          <w:highlight w:val="none"/>
        </w:rPr>
        <w:t>）；</w:t>
      </w:r>
      <w:bookmarkEnd w:id="1699"/>
      <w:bookmarkEnd w:id="1700"/>
      <w:bookmarkEnd w:id="1701"/>
      <w:bookmarkEnd w:id="1702"/>
      <w:bookmarkEnd w:id="1703"/>
      <w:bookmarkEnd w:id="1704"/>
      <w:bookmarkEnd w:id="1705"/>
      <w:bookmarkEnd w:id="1706"/>
      <w:bookmarkEnd w:id="1707"/>
    </w:p>
    <w:p>
      <w:pPr>
        <w:numPr>
          <w:ilvl w:val="0"/>
          <w:numId w:val="17"/>
        </w:numPr>
        <w:spacing w:before="0" w:after="0" w:afterAutospacing="0"/>
        <w:ind w:left="0" w:right="0" w:firstLine="315" w:firstLineChars="150"/>
        <w:outlineLvl w:val="0"/>
        <w:rPr>
          <w:highlight w:val="none"/>
        </w:rPr>
      </w:pPr>
      <w:bookmarkStart w:id="1708" w:name="_Toc17485"/>
      <w:bookmarkStart w:id="1709" w:name="_Toc31066"/>
      <w:bookmarkStart w:id="1710" w:name="_Toc27011"/>
      <w:bookmarkStart w:id="1711" w:name="_Toc18939"/>
      <w:bookmarkStart w:id="1712" w:name="_Toc10136"/>
      <w:bookmarkStart w:id="1713" w:name="_Toc7974"/>
      <w:bookmarkStart w:id="1714" w:name="_Toc15678"/>
      <w:bookmarkStart w:id="1715" w:name="_Toc25673"/>
      <w:bookmarkStart w:id="1716" w:name="_Toc31096"/>
      <w:r>
        <w:rPr>
          <w:rFonts w:hint="eastAsia"/>
          <w:highlight w:val="none"/>
        </w:rPr>
        <w:t>按期完成承诺书（格式见</w:t>
      </w:r>
      <w:r>
        <w:rPr>
          <w:highlight w:val="none"/>
        </w:rPr>
        <w:t>C2</w:t>
      </w:r>
      <w:r>
        <w:rPr>
          <w:rFonts w:hint="eastAsia"/>
          <w:highlight w:val="none"/>
        </w:rPr>
        <w:t>）；</w:t>
      </w:r>
      <w:bookmarkEnd w:id="1708"/>
      <w:bookmarkEnd w:id="1709"/>
      <w:bookmarkEnd w:id="1710"/>
      <w:bookmarkEnd w:id="1711"/>
      <w:bookmarkEnd w:id="1712"/>
      <w:bookmarkEnd w:id="1713"/>
      <w:bookmarkEnd w:id="1714"/>
      <w:bookmarkEnd w:id="1715"/>
      <w:bookmarkEnd w:id="1716"/>
    </w:p>
    <w:p>
      <w:pPr>
        <w:spacing w:before="0" w:after="0" w:afterAutospacing="0"/>
        <w:ind w:left="0" w:right="0" w:firstLine="315" w:firstLineChars="150"/>
        <w:outlineLvl w:val="0"/>
        <w:rPr>
          <w:highlight w:val="none"/>
        </w:rPr>
      </w:pPr>
      <w:bookmarkStart w:id="1717" w:name="_Toc11695"/>
      <w:bookmarkStart w:id="1718" w:name="_Toc14732"/>
      <w:bookmarkStart w:id="1719" w:name="_Toc28305"/>
      <w:bookmarkStart w:id="1720" w:name="_Toc26843"/>
      <w:bookmarkStart w:id="1721" w:name="_Toc11512"/>
      <w:bookmarkStart w:id="1722" w:name="_Toc24565"/>
      <w:bookmarkStart w:id="1723" w:name="_Toc23434"/>
      <w:bookmarkStart w:id="1724" w:name="_Toc11105"/>
      <w:bookmarkStart w:id="1725" w:name="_Toc14937"/>
      <w:r>
        <w:rPr>
          <w:rFonts w:hint="eastAsia"/>
          <w:highlight w:val="none"/>
        </w:rPr>
        <w:t>（3）售后服务承诺书（格式见</w:t>
      </w:r>
      <w:r>
        <w:rPr>
          <w:highlight w:val="none"/>
        </w:rPr>
        <w:t>C3</w:t>
      </w:r>
      <w:r>
        <w:rPr>
          <w:rFonts w:hint="eastAsia"/>
          <w:highlight w:val="none"/>
        </w:rPr>
        <w:t>）；</w:t>
      </w:r>
      <w:bookmarkEnd w:id="1717"/>
      <w:bookmarkEnd w:id="1718"/>
      <w:bookmarkEnd w:id="1719"/>
      <w:bookmarkEnd w:id="1720"/>
      <w:bookmarkEnd w:id="1721"/>
      <w:bookmarkEnd w:id="1722"/>
      <w:bookmarkEnd w:id="1723"/>
      <w:bookmarkEnd w:id="1724"/>
      <w:bookmarkEnd w:id="1725"/>
    </w:p>
    <w:p>
      <w:pPr>
        <w:spacing w:before="0" w:after="0" w:afterAutospacing="0"/>
        <w:ind w:left="0" w:right="0" w:firstLine="315" w:firstLineChars="150"/>
        <w:outlineLvl w:val="0"/>
        <w:rPr>
          <w:rFonts w:hint="eastAsia"/>
          <w:highlight w:val="none"/>
        </w:rPr>
      </w:pPr>
      <w:bookmarkStart w:id="1726" w:name="_Toc25183"/>
      <w:bookmarkStart w:id="1727" w:name="_Toc5085"/>
      <w:bookmarkStart w:id="1728" w:name="_Toc11046"/>
      <w:bookmarkStart w:id="1729" w:name="_Toc9614"/>
      <w:bookmarkStart w:id="1730" w:name="_Toc12579"/>
      <w:bookmarkStart w:id="1731" w:name="_Toc25989"/>
      <w:bookmarkStart w:id="1732" w:name="_Toc15960"/>
      <w:bookmarkStart w:id="1733" w:name="_Toc20857"/>
      <w:bookmarkStart w:id="1734" w:name="_Toc24644"/>
      <w:r>
        <w:rPr>
          <w:rFonts w:hint="eastAsia"/>
          <w:highlight w:val="none"/>
        </w:rPr>
        <w:t>（4）商务响应表（格式见C4）</w:t>
      </w:r>
      <w:bookmarkEnd w:id="1726"/>
      <w:bookmarkEnd w:id="1727"/>
      <w:bookmarkEnd w:id="1728"/>
      <w:bookmarkEnd w:id="1729"/>
      <w:bookmarkEnd w:id="1730"/>
      <w:bookmarkEnd w:id="1731"/>
      <w:bookmarkEnd w:id="1732"/>
      <w:bookmarkEnd w:id="1733"/>
      <w:bookmarkEnd w:id="1734"/>
    </w:p>
    <w:p>
      <w:pPr>
        <w:spacing w:before="0" w:after="0" w:afterAutospacing="0"/>
        <w:ind w:left="0" w:right="0" w:firstLine="315" w:firstLineChars="150"/>
        <w:outlineLvl w:val="0"/>
        <w:rPr>
          <w:rFonts w:hint="eastAsia"/>
          <w:highlight w:val="none"/>
          <w:lang w:val="en-US" w:eastAsia="zh-CN"/>
        </w:rPr>
      </w:pPr>
      <w:bookmarkStart w:id="1735" w:name="_Toc28091"/>
      <w:bookmarkStart w:id="1736" w:name="_Toc13851"/>
      <w:bookmarkStart w:id="1737" w:name="_Toc28231"/>
      <w:bookmarkStart w:id="1738" w:name="_Toc25450"/>
      <w:bookmarkStart w:id="1739" w:name="_Toc8248"/>
      <w:bookmarkStart w:id="1740" w:name="_Toc30793"/>
      <w:bookmarkStart w:id="1741" w:name="_Toc10953"/>
      <w:bookmarkStart w:id="1742" w:name="_Toc16683"/>
      <w:bookmarkStart w:id="1743" w:name="_Toc17125"/>
      <w:r>
        <w:rPr>
          <w:rFonts w:hint="eastAsia"/>
          <w:highlight w:val="none"/>
          <w:lang w:eastAsia="zh-CN"/>
        </w:rPr>
        <w:t>（</w:t>
      </w:r>
      <w:r>
        <w:rPr>
          <w:rFonts w:hint="eastAsia"/>
          <w:highlight w:val="none"/>
          <w:lang w:val="en-US" w:eastAsia="zh-CN"/>
        </w:rPr>
        <w:t>5</w:t>
      </w:r>
      <w:r>
        <w:rPr>
          <w:rFonts w:hint="eastAsia"/>
          <w:highlight w:val="none"/>
          <w:lang w:eastAsia="zh-CN"/>
        </w:rPr>
        <w:t>）</w:t>
      </w:r>
      <w:r>
        <w:rPr>
          <w:rFonts w:hint="eastAsia"/>
          <w:highlight w:val="none"/>
          <w:lang w:val="en-US" w:eastAsia="zh-CN"/>
        </w:rPr>
        <w:t>施工方案；</w:t>
      </w:r>
      <w:bookmarkEnd w:id="1735"/>
      <w:bookmarkEnd w:id="1736"/>
      <w:bookmarkEnd w:id="1737"/>
      <w:bookmarkEnd w:id="1738"/>
      <w:bookmarkEnd w:id="1739"/>
      <w:bookmarkEnd w:id="1740"/>
      <w:bookmarkEnd w:id="1741"/>
      <w:bookmarkEnd w:id="1742"/>
      <w:bookmarkEnd w:id="1743"/>
    </w:p>
    <w:p>
      <w:pPr>
        <w:spacing w:before="0" w:after="0" w:afterAutospacing="0"/>
        <w:ind w:left="0" w:right="0" w:firstLine="315" w:firstLineChars="150"/>
        <w:outlineLvl w:val="0"/>
        <w:rPr>
          <w:rFonts w:hint="eastAsia"/>
          <w:highlight w:val="none"/>
          <w:lang w:eastAsia="zh-CN"/>
        </w:rPr>
      </w:pPr>
      <w:bookmarkStart w:id="1744" w:name="_Toc30012"/>
      <w:bookmarkStart w:id="1745" w:name="_Toc207"/>
      <w:bookmarkStart w:id="1746" w:name="_Toc11496"/>
      <w:bookmarkStart w:id="1747" w:name="_Toc32552"/>
      <w:bookmarkStart w:id="1748" w:name="_Toc1645"/>
      <w:bookmarkStart w:id="1749" w:name="_Toc7065"/>
      <w:bookmarkStart w:id="1750" w:name="_Toc23626"/>
      <w:bookmarkStart w:id="1751" w:name="_Toc12460"/>
      <w:bookmarkStart w:id="1752" w:name="_Toc30410"/>
      <w:r>
        <w:rPr>
          <w:rFonts w:hint="eastAsia"/>
          <w:highlight w:val="none"/>
          <w:lang w:val="en-US" w:eastAsia="zh-CN"/>
        </w:rPr>
        <w:t>（6）</w:t>
      </w:r>
      <w:r>
        <w:rPr>
          <w:rFonts w:hint="eastAsia"/>
          <w:highlight w:val="none"/>
        </w:rPr>
        <w:t>质保方案（如何进行</w:t>
      </w:r>
      <w:r>
        <w:rPr>
          <w:highlight w:val="none"/>
        </w:rPr>
        <w:t>质保服务</w:t>
      </w:r>
      <w:r>
        <w:rPr>
          <w:rFonts w:hint="eastAsia"/>
          <w:highlight w:val="none"/>
        </w:rPr>
        <w:t>保障等）</w:t>
      </w:r>
      <w:r>
        <w:rPr>
          <w:rFonts w:hint="eastAsia"/>
          <w:highlight w:val="none"/>
          <w:lang w:eastAsia="zh-CN"/>
        </w:rPr>
        <w:t>。</w:t>
      </w:r>
      <w:bookmarkEnd w:id="1744"/>
      <w:bookmarkEnd w:id="1745"/>
      <w:bookmarkEnd w:id="1746"/>
      <w:bookmarkEnd w:id="1747"/>
      <w:bookmarkEnd w:id="1748"/>
      <w:bookmarkEnd w:id="1749"/>
      <w:bookmarkEnd w:id="1750"/>
      <w:bookmarkEnd w:id="1751"/>
      <w:bookmarkEnd w:id="1752"/>
    </w:p>
    <w:p>
      <w:pPr>
        <w:rPr>
          <w:rFonts w:hint="eastAsia"/>
          <w:highlight w:val="none"/>
          <w:lang w:eastAsia="zh-CN"/>
        </w:rPr>
      </w:pPr>
      <w:r>
        <w:rPr>
          <w:rFonts w:hint="eastAsia"/>
          <w:highlight w:val="none"/>
          <w:lang w:eastAsia="zh-CN"/>
        </w:rPr>
        <w:br w:type="page"/>
      </w:r>
    </w:p>
    <w:p>
      <w:pPr>
        <w:spacing w:before="0" w:after="0" w:afterAutospacing="0"/>
        <w:ind w:left="0" w:right="0" w:firstLine="315" w:firstLineChars="150"/>
        <w:rPr>
          <w:rFonts w:hint="eastAsia"/>
          <w:highlight w:val="none"/>
          <w:lang w:val="en-US" w:eastAsia="zh-CN"/>
        </w:rPr>
      </w:pPr>
    </w:p>
    <w:bookmarkEnd w:id="1694"/>
    <w:bookmarkEnd w:id="1695"/>
    <w:bookmarkEnd w:id="1696"/>
    <w:bookmarkEnd w:id="1697"/>
    <w:bookmarkEnd w:id="1698"/>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bookmarkStart w:id="1753" w:name="_Toc21917"/>
      <w:bookmarkStart w:id="1754" w:name="_Toc15132"/>
      <w:bookmarkStart w:id="1755" w:name="_Toc25750684"/>
      <w:bookmarkStart w:id="1756" w:name="_Toc12332"/>
      <w:bookmarkStart w:id="1757" w:name="_Toc5218"/>
      <w:bookmarkStart w:id="1758" w:name="_Toc19961"/>
      <w:bookmarkStart w:id="1759" w:name="_Toc25741"/>
      <w:bookmarkStart w:id="1760" w:name="_Toc24587"/>
      <w:bookmarkStart w:id="1761" w:name="_Toc11886"/>
      <w:r>
        <w:rPr>
          <w:rFonts w:hint="eastAsia" w:ascii="宋体" w:hAnsi="宋体" w:eastAsia="宋体"/>
          <w:sz w:val="21"/>
          <w:szCs w:val="21"/>
          <w:highlight w:val="none"/>
        </w:rPr>
        <w:t xml:space="preserve">C1 </w:t>
      </w:r>
      <w:r>
        <w:rPr>
          <w:rFonts w:ascii="宋体" w:hAnsi="宋体" w:eastAsia="宋体"/>
          <w:sz w:val="21"/>
          <w:szCs w:val="21"/>
          <w:highlight w:val="none"/>
        </w:rPr>
        <w:t>技术响应表</w:t>
      </w:r>
      <w:r>
        <w:rPr>
          <w:rFonts w:hint="eastAsia" w:ascii="宋体" w:hAnsi="宋体" w:eastAsia="宋体"/>
          <w:sz w:val="21"/>
          <w:szCs w:val="21"/>
          <w:highlight w:val="none"/>
        </w:rPr>
        <w:t>格式</w:t>
      </w:r>
      <w:bookmarkEnd w:id="1753"/>
      <w:bookmarkEnd w:id="1754"/>
      <w:bookmarkEnd w:id="1755"/>
      <w:bookmarkEnd w:id="1756"/>
      <w:bookmarkEnd w:id="1757"/>
      <w:bookmarkEnd w:id="1758"/>
      <w:bookmarkEnd w:id="1759"/>
      <w:bookmarkEnd w:id="1760"/>
      <w:bookmarkEnd w:id="1761"/>
    </w:p>
    <w:p>
      <w:pPr>
        <w:spacing w:before="0"/>
        <w:ind w:right="-57" w:firstLine="0"/>
        <w:jc w:val="center"/>
        <w:outlineLvl w:val="0"/>
        <w:rPr>
          <w:rFonts w:ascii="宋体" w:hAnsi="宋体"/>
          <w:b/>
          <w:sz w:val="28"/>
          <w:szCs w:val="28"/>
          <w:highlight w:val="none"/>
        </w:rPr>
      </w:pPr>
      <w:bookmarkStart w:id="1762" w:name="_Toc32348"/>
      <w:bookmarkStart w:id="1763" w:name="_Toc10772"/>
      <w:bookmarkStart w:id="1764" w:name="_Toc29202"/>
      <w:bookmarkStart w:id="1765" w:name="_Toc7658"/>
      <w:bookmarkStart w:id="1766" w:name="_Toc18089"/>
      <w:bookmarkStart w:id="1767" w:name="_Toc22129"/>
      <w:bookmarkStart w:id="1768" w:name="_Toc26410"/>
      <w:bookmarkStart w:id="1769" w:name="_Toc24710"/>
      <w:bookmarkStart w:id="1770" w:name="_Toc28684"/>
      <w:r>
        <w:rPr>
          <w:rFonts w:hint="eastAsia" w:ascii="宋体" w:hAnsi="宋体"/>
          <w:b/>
          <w:highlight w:val="none"/>
        </w:rPr>
        <w:t>技术响应表</w:t>
      </w:r>
      <w:r>
        <w:rPr>
          <w:rFonts w:hint="eastAsia" w:ascii="宋体" w:hAnsi="宋体" w:cs="宋体"/>
          <w:sz w:val="16"/>
          <w:szCs w:val="16"/>
          <w:highlight w:val="none"/>
        </w:rPr>
        <w:t>（不论有无偏离，均须逐项填写偏离情况）</w:t>
      </w:r>
      <w:bookmarkEnd w:id="1762"/>
      <w:bookmarkEnd w:id="1763"/>
      <w:bookmarkEnd w:id="1764"/>
      <w:bookmarkEnd w:id="1765"/>
      <w:bookmarkEnd w:id="1766"/>
      <w:bookmarkEnd w:id="1767"/>
      <w:bookmarkEnd w:id="1768"/>
      <w:bookmarkEnd w:id="1769"/>
      <w:bookmarkEnd w:id="1770"/>
    </w:p>
    <w:p>
      <w:pPr>
        <w:spacing w:before="0" w:after="0" w:afterAutospacing="0"/>
        <w:ind w:right="0"/>
        <w:rPr>
          <w:rFonts w:ascii="宋体" w:hAnsi="宋体"/>
          <w:highlight w:val="none"/>
          <w:u w:val="single"/>
        </w:rPr>
      </w:pPr>
      <w:r>
        <w:rPr>
          <w:rFonts w:ascii="宋体" w:hAnsi="宋体"/>
          <w:highlight w:val="none"/>
        </w:rPr>
        <w:t>比选申请人名称：</w:t>
      </w:r>
    </w:p>
    <w:tbl>
      <w:tblPr>
        <w:tblStyle w:val="31"/>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1"/>
        <w:gridCol w:w="1492"/>
        <w:gridCol w:w="3900"/>
        <w:gridCol w:w="1290"/>
        <w:gridCol w:w="968"/>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val="0"/>
              <w:adjustRightInd w:val="0"/>
              <w:ind w:left="0" w:right="-28" w:firstLine="0"/>
              <w:jc w:val="center"/>
              <w:rPr>
                <w:rFonts w:ascii="宋体" w:hAnsi="宋体"/>
                <w:highlight w:val="none"/>
              </w:rPr>
            </w:pPr>
            <w:r>
              <w:rPr>
                <w:rFonts w:hint="eastAsia" w:ascii="宋体" w:hAnsi="宋体"/>
                <w:highlight w:val="none"/>
              </w:rPr>
              <w:t>序号</w:t>
            </w:r>
          </w:p>
        </w:tc>
        <w:tc>
          <w:tcPr>
            <w:tcW w:w="1492" w:type="dxa"/>
            <w:tcBorders>
              <w:top w:val="single" w:color="auto" w:sz="4" w:space="0"/>
              <w:left w:val="single" w:color="auto" w:sz="4" w:space="0"/>
              <w:bottom w:val="single" w:color="auto" w:sz="4" w:space="0"/>
              <w:right w:val="single" w:color="auto" w:sz="4" w:space="0"/>
            </w:tcBorders>
            <w:vAlign w:val="center"/>
          </w:tcPr>
          <w:p>
            <w:pPr>
              <w:adjustRightInd/>
              <w:ind w:left="0" w:right="-28" w:firstLine="0"/>
              <w:jc w:val="center"/>
              <w:rPr>
                <w:rFonts w:ascii="Times New Roman" w:hAnsi="Times New Roman"/>
                <w:highlight w:val="none"/>
              </w:rPr>
            </w:pPr>
            <w:r>
              <w:rPr>
                <w:rFonts w:hint="default" w:ascii="Times New Roman" w:hAnsi="Times New Roman"/>
                <w:highlight w:val="none"/>
                <w:lang w:eastAsia="zh-CN"/>
              </w:rPr>
              <w:t>用户需求书</w:t>
            </w:r>
            <w:r>
              <w:rPr>
                <w:rFonts w:hint="default" w:ascii="Times New Roman" w:hAnsi="Times New Roman"/>
                <w:highlight w:val="none"/>
              </w:rPr>
              <w:t>条目号</w:t>
            </w:r>
          </w:p>
        </w:tc>
        <w:tc>
          <w:tcPr>
            <w:tcW w:w="3900" w:type="dxa"/>
            <w:tcBorders>
              <w:top w:val="single" w:color="auto" w:sz="4" w:space="0"/>
              <w:left w:val="single" w:color="auto" w:sz="4" w:space="0"/>
              <w:bottom w:val="single" w:color="auto" w:sz="4" w:space="0"/>
              <w:right w:val="single" w:color="auto" w:sz="4" w:space="0"/>
            </w:tcBorders>
            <w:vAlign w:val="center"/>
          </w:tcPr>
          <w:p>
            <w:pPr>
              <w:widowControl/>
              <w:adjustRightInd/>
              <w:ind w:left="0" w:right="-28" w:firstLine="0"/>
              <w:jc w:val="center"/>
              <w:rPr>
                <w:rFonts w:ascii="Times New Roman" w:hAnsi="Times New Roman"/>
                <w:highlight w:val="none"/>
              </w:rPr>
            </w:pPr>
            <w:r>
              <w:rPr>
                <w:rFonts w:hint="default" w:ascii="Times New Roman" w:hAnsi="Times New Roman"/>
                <w:highlight w:val="none"/>
                <w:lang w:eastAsia="zh-CN"/>
              </w:rPr>
              <w:t>用户需求书</w:t>
            </w:r>
            <w:r>
              <w:rPr>
                <w:rFonts w:hint="default" w:ascii="Times New Roman" w:hAnsi="Times New Roman"/>
                <w:highlight w:val="none"/>
              </w:rPr>
              <w:t>要求</w:t>
            </w:r>
          </w:p>
        </w:tc>
        <w:tc>
          <w:tcPr>
            <w:tcW w:w="1290" w:type="dxa"/>
            <w:tcBorders>
              <w:top w:val="single" w:color="auto" w:sz="4" w:space="0"/>
              <w:left w:val="single" w:color="auto" w:sz="4" w:space="0"/>
              <w:bottom w:val="single" w:color="auto" w:sz="4" w:space="0"/>
              <w:right w:val="single" w:color="auto" w:sz="4" w:space="0"/>
            </w:tcBorders>
            <w:vAlign w:val="center"/>
          </w:tcPr>
          <w:p>
            <w:pPr>
              <w:adjustRightInd/>
              <w:ind w:left="0" w:right="-28" w:firstLine="0"/>
              <w:jc w:val="center"/>
              <w:rPr>
                <w:rFonts w:ascii="Times New Roman" w:hAnsi="Times New Roman"/>
                <w:highlight w:val="none"/>
              </w:rPr>
            </w:pPr>
            <w:r>
              <w:rPr>
                <w:rFonts w:hint="default" w:ascii="Times New Roman" w:hAnsi="Times New Roman"/>
                <w:highlight w:val="none"/>
              </w:rPr>
              <w:t>比选申请文件响应</w:t>
            </w:r>
          </w:p>
        </w:tc>
        <w:tc>
          <w:tcPr>
            <w:tcW w:w="968" w:type="dxa"/>
            <w:tcBorders>
              <w:top w:val="single" w:color="auto" w:sz="4" w:space="0"/>
              <w:left w:val="single" w:color="auto" w:sz="4" w:space="0"/>
              <w:bottom w:val="single" w:color="auto" w:sz="4" w:space="0"/>
              <w:right w:val="single" w:color="auto" w:sz="4" w:space="0"/>
            </w:tcBorders>
            <w:vAlign w:val="center"/>
          </w:tcPr>
          <w:p>
            <w:pPr>
              <w:widowControl/>
              <w:adjustRightInd/>
              <w:ind w:left="0" w:right="-28" w:firstLine="0"/>
              <w:jc w:val="center"/>
              <w:rPr>
                <w:rFonts w:ascii="Times New Roman" w:hAnsi="Times New Roman"/>
                <w:highlight w:val="none"/>
              </w:rPr>
            </w:pPr>
            <w:r>
              <w:rPr>
                <w:rFonts w:hint="default" w:ascii="Times New Roman" w:hAnsi="Times New Roman"/>
                <w:highlight w:val="none"/>
              </w:rPr>
              <w:t>偏离</w:t>
            </w:r>
          </w:p>
        </w:tc>
        <w:tc>
          <w:tcPr>
            <w:tcW w:w="689" w:type="dxa"/>
            <w:tcBorders>
              <w:top w:val="single" w:color="auto" w:sz="4" w:space="0"/>
              <w:left w:val="single" w:color="auto" w:sz="4" w:space="0"/>
              <w:bottom w:val="single" w:color="auto" w:sz="4" w:space="0"/>
              <w:right w:val="single" w:color="auto" w:sz="4" w:space="0"/>
            </w:tcBorders>
            <w:vAlign w:val="center"/>
          </w:tcPr>
          <w:p>
            <w:pPr>
              <w:widowControl/>
              <w:adjustRightInd/>
              <w:ind w:left="0" w:right="-28" w:firstLine="0"/>
              <w:jc w:val="center"/>
              <w:rPr>
                <w:rFonts w:ascii="Times New Roman" w:hAnsi="Times New Roman"/>
                <w:highlight w:val="none"/>
              </w:rPr>
            </w:pPr>
            <w:r>
              <w:rPr>
                <w:rFonts w:hint="default" w:ascii="Times New Roman" w:hAnsi="Times New Roman"/>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kern w:val="2"/>
                <w:sz w:val="21"/>
                <w:szCs w:val="21"/>
                <w:highlight w:val="none"/>
                <w:u w:val="none"/>
                <w:lang w:val="en-US" w:eastAsia="zh-CN"/>
              </w:rPr>
            </w:pPr>
            <w:r>
              <w:rPr>
                <w:rFonts w:hint="eastAsia" w:ascii="宋体" w:hAnsi="宋体" w:eastAsia="宋体" w:cs="宋体"/>
                <w:kern w:val="2"/>
                <w:sz w:val="21"/>
                <w:szCs w:val="21"/>
                <w:highlight w:val="none"/>
                <w:u w:val="none"/>
                <w:lang w:val="en-US" w:eastAsia="zh-CN"/>
              </w:rPr>
              <w:t>1</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0"/>
                <w:sz w:val="21"/>
                <w:szCs w:val="21"/>
                <w:highlight w:val="none"/>
                <w:u w:val="none"/>
                <w:lang w:val="en-US" w:eastAsia="zh-CN"/>
              </w:rPr>
            </w:pPr>
            <w:r>
              <w:rPr>
                <w:rFonts w:hint="default" w:ascii="Times New Roman" w:hAnsi="Times New Roman" w:cs="Times New Roman"/>
                <w:kern w:val="0"/>
                <w:sz w:val="21"/>
                <w:szCs w:val="21"/>
                <w:highlight w:val="none"/>
                <w:u w:val="none"/>
                <w:lang w:val="en-US" w:eastAsia="zh-CN"/>
              </w:rPr>
              <w:t>3.2计划服务期</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kern w:val="0"/>
                <w:sz w:val="21"/>
                <w:szCs w:val="21"/>
                <w:highlight w:val="none"/>
                <w:u w:val="none"/>
                <w:lang w:val="en-US" w:eastAsia="zh-CN"/>
              </w:rPr>
            </w:pPr>
            <w:r>
              <w:rPr>
                <w:rFonts w:hint="eastAsia" w:cs="Times New Roman"/>
                <w:kern w:val="0"/>
                <w:sz w:val="21"/>
                <w:szCs w:val="21"/>
                <w:highlight w:val="none"/>
                <w:u w:val="none"/>
                <w:lang w:val="en-US" w:eastAsia="zh-CN"/>
              </w:rPr>
              <w:t>45</w:t>
            </w:r>
            <w:r>
              <w:rPr>
                <w:rFonts w:hint="default" w:ascii="Times New Roman" w:hAnsi="Times New Roman" w:cs="Times New Roman"/>
                <w:kern w:val="0"/>
                <w:sz w:val="21"/>
                <w:szCs w:val="21"/>
                <w:highlight w:val="none"/>
                <w:u w:val="none"/>
                <w:lang w:val="en-US" w:eastAsia="zh-CN"/>
              </w:rPr>
              <w:t>天</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cs="Times New Roman"/>
                <w:kern w:val="0"/>
                <w:highlight w:val="none"/>
                <w:u w:val="none"/>
              </w:rPr>
            </w:pPr>
          </w:p>
        </w:tc>
        <w:tc>
          <w:tcPr>
            <w:tcW w:w="96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p>
        </w:tc>
        <w:tc>
          <w:tcPr>
            <w:tcW w:w="689"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97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kern w:val="2"/>
                <w:sz w:val="21"/>
                <w:szCs w:val="21"/>
                <w:highlight w:val="none"/>
                <w:u w:val="none"/>
                <w:lang w:val="en-US" w:eastAsia="zh-CN"/>
              </w:rPr>
            </w:pPr>
            <w:r>
              <w:rPr>
                <w:rFonts w:hint="eastAsia" w:ascii="宋体" w:hAnsi="宋体" w:eastAsia="宋体" w:cs="宋体"/>
                <w:kern w:val="2"/>
                <w:sz w:val="21"/>
                <w:szCs w:val="21"/>
                <w:highlight w:val="none"/>
                <w:u w:val="none"/>
                <w:lang w:val="en-US" w:eastAsia="zh-CN"/>
              </w:rPr>
              <w:t>2</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宋体" w:cs="Times New Roman"/>
                <w:kern w:val="0"/>
                <w:sz w:val="21"/>
                <w:szCs w:val="21"/>
                <w:highlight w:val="none"/>
                <w:u w:val="none"/>
                <w:lang w:val="en-US" w:eastAsia="zh-CN"/>
              </w:rPr>
            </w:pPr>
            <w:r>
              <w:rPr>
                <w:rFonts w:hint="default" w:ascii="Times New Roman" w:hAnsi="Times New Roman" w:cs="Times New Roman"/>
                <w:kern w:val="0"/>
                <w:sz w:val="21"/>
                <w:szCs w:val="21"/>
                <w:highlight w:val="none"/>
                <w:u w:val="none"/>
                <w:lang w:val="en-US" w:eastAsia="zh-CN"/>
              </w:rPr>
              <w:t>4.4主要设备技术参数</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在本项目采用的设备设施质量、型号尺寸、材质、颜色、档次、安装方式等与</w:t>
            </w:r>
            <w:r>
              <w:rPr>
                <w:rFonts w:hint="eastAsia" w:ascii="宋体" w:hAnsi="宋体" w:eastAsia="宋体" w:cs="宋体"/>
                <w:color w:val="auto"/>
                <w:sz w:val="21"/>
                <w:szCs w:val="21"/>
                <w:highlight w:val="none"/>
                <w:lang w:val="en-US" w:eastAsia="zh-CN"/>
              </w:rPr>
              <w:t>1、2、3、4、5</w:t>
            </w:r>
            <w:r>
              <w:rPr>
                <w:rFonts w:hint="eastAsia" w:ascii="宋体" w:hAnsi="宋体" w:eastAsia="宋体" w:cs="宋体"/>
                <w:color w:val="auto"/>
                <w:sz w:val="21"/>
                <w:szCs w:val="21"/>
                <w:highlight w:val="none"/>
              </w:rPr>
              <w:t>号线原有设备设施保持一致，不低于既有线所用设备设施的质量要求，符合</w:t>
            </w:r>
            <w:r>
              <w:rPr>
                <w:rFonts w:hint="eastAsia" w:ascii="宋体" w:hAnsi="宋体" w:eastAsia="宋体" w:cs="宋体"/>
                <w:color w:val="auto"/>
                <w:sz w:val="21"/>
                <w:szCs w:val="21"/>
                <w:highlight w:val="none"/>
                <w:lang w:val="en-US" w:eastAsia="zh-CN"/>
              </w:rPr>
              <w:t>1、2、3、4、5</w:t>
            </w:r>
            <w:r>
              <w:rPr>
                <w:rFonts w:hint="eastAsia" w:ascii="宋体" w:hAnsi="宋体" w:eastAsia="宋体" w:cs="宋体"/>
                <w:color w:val="auto"/>
                <w:sz w:val="21"/>
                <w:szCs w:val="21"/>
                <w:highlight w:val="none"/>
              </w:rPr>
              <w:t>号线既有装修风格，</w:t>
            </w:r>
            <w:r>
              <w:rPr>
                <w:rFonts w:hint="eastAsia" w:ascii="宋体" w:hAnsi="宋体" w:eastAsia="宋体" w:cs="宋体"/>
                <w:color w:val="auto"/>
                <w:sz w:val="21"/>
                <w:szCs w:val="21"/>
                <w:highlight w:val="none"/>
                <w:shd w:val="clear"/>
              </w:rPr>
              <w:t>对其提供的</w:t>
            </w:r>
            <w:r>
              <w:rPr>
                <w:rFonts w:hint="eastAsia" w:ascii="宋体" w:hAnsi="宋体" w:eastAsia="宋体" w:cs="宋体"/>
                <w:color w:val="auto"/>
                <w:sz w:val="21"/>
                <w:szCs w:val="21"/>
                <w:highlight w:val="none"/>
                <w:shd w:val="clear" w:fill="auto"/>
                <w:lang w:val="en-US" w:eastAsia="zh-CN"/>
              </w:rPr>
              <w:t>设备</w:t>
            </w:r>
            <w:r>
              <w:rPr>
                <w:rFonts w:hint="eastAsia" w:ascii="宋体" w:hAnsi="宋体" w:eastAsia="宋体" w:cs="宋体"/>
                <w:color w:val="auto"/>
                <w:sz w:val="21"/>
                <w:szCs w:val="21"/>
                <w:highlight w:val="none"/>
                <w:shd w:val="clear"/>
              </w:rPr>
              <w:t>产品</w:t>
            </w:r>
            <w:r>
              <w:rPr>
                <w:rFonts w:hint="eastAsia" w:ascii="宋体" w:hAnsi="宋体" w:eastAsia="宋体" w:cs="宋体"/>
                <w:color w:val="auto"/>
                <w:sz w:val="21"/>
                <w:szCs w:val="21"/>
                <w:highlight w:val="none"/>
                <w:shd w:val="clear" w:fill="auto"/>
                <w:lang w:eastAsia="zh-CN"/>
              </w:rPr>
              <w:t>、</w:t>
            </w:r>
            <w:r>
              <w:rPr>
                <w:rFonts w:hint="eastAsia" w:ascii="宋体" w:hAnsi="宋体" w:eastAsia="宋体" w:cs="宋体"/>
                <w:color w:val="auto"/>
                <w:sz w:val="21"/>
                <w:szCs w:val="21"/>
                <w:highlight w:val="none"/>
                <w:shd w:val="clear" w:fill="auto"/>
                <w:lang w:val="en-US" w:eastAsia="zh-CN"/>
              </w:rPr>
              <w:t>线缆等</w:t>
            </w:r>
            <w:r>
              <w:rPr>
                <w:rFonts w:hint="eastAsia" w:ascii="宋体" w:hAnsi="宋体" w:eastAsia="宋体" w:cs="宋体"/>
                <w:color w:val="auto"/>
                <w:sz w:val="21"/>
                <w:szCs w:val="21"/>
                <w:highlight w:val="none"/>
                <w:shd w:val="clear"/>
              </w:rPr>
              <w:t>进行检测和试验</w:t>
            </w:r>
            <w:r>
              <w:rPr>
                <w:rFonts w:hint="eastAsia" w:ascii="宋体" w:hAnsi="宋体" w:eastAsia="宋体" w:cs="宋体"/>
                <w:color w:val="auto"/>
                <w:sz w:val="21"/>
                <w:szCs w:val="21"/>
                <w:highlight w:val="none"/>
                <w:shd w:val="clear" w:fill="auto"/>
                <w:lang w:eastAsia="zh-CN"/>
              </w:rPr>
              <w:t>，</w:t>
            </w:r>
            <w:r>
              <w:rPr>
                <w:rFonts w:hint="eastAsia" w:ascii="宋体" w:hAnsi="宋体" w:eastAsia="宋体" w:cs="宋体"/>
                <w:color w:val="auto"/>
                <w:sz w:val="21"/>
                <w:szCs w:val="21"/>
                <w:highlight w:val="none"/>
                <w:shd w:val="clear" w:fill="auto"/>
                <w:lang w:val="en-US" w:eastAsia="zh-CN"/>
              </w:rPr>
              <w:t>并提供相应检验报告和合格证明</w:t>
            </w:r>
            <w:r>
              <w:rPr>
                <w:rFonts w:hint="eastAsia" w:ascii="宋体" w:hAnsi="宋体" w:eastAsia="宋体" w:cs="宋体"/>
                <w:color w:val="auto"/>
                <w:sz w:val="21"/>
                <w:szCs w:val="21"/>
                <w:highlight w:val="none"/>
              </w:rPr>
              <w:t>。项目使用的</w:t>
            </w:r>
            <w:r>
              <w:rPr>
                <w:rFonts w:hint="eastAsia" w:ascii="宋体" w:hAnsi="宋体" w:eastAsia="宋体" w:cs="宋体"/>
                <w:color w:val="auto"/>
                <w:sz w:val="21"/>
                <w:szCs w:val="21"/>
                <w:highlight w:val="none"/>
                <w:lang w:val="en-US" w:eastAsia="zh-CN"/>
              </w:rPr>
              <w:t>摄像机、摄像机配线箱</w:t>
            </w:r>
            <w:r>
              <w:rPr>
                <w:rFonts w:hint="eastAsia" w:ascii="宋体" w:hAnsi="宋体" w:cs="宋体"/>
                <w:color w:val="auto"/>
                <w:sz w:val="21"/>
                <w:szCs w:val="21"/>
                <w:highlight w:val="none"/>
                <w:lang w:val="en-US" w:eastAsia="zh-CN"/>
              </w:rPr>
              <w:t>、线缆</w:t>
            </w:r>
            <w:r>
              <w:rPr>
                <w:rFonts w:hint="eastAsia" w:ascii="宋体" w:hAnsi="宋体" w:eastAsia="宋体" w:cs="宋体"/>
                <w:color w:val="auto"/>
                <w:sz w:val="21"/>
                <w:szCs w:val="21"/>
                <w:highlight w:val="none"/>
                <w:lang w:val="en-US" w:eastAsia="zh-CN"/>
              </w:rPr>
              <w:t>、</w:t>
            </w:r>
            <w:r>
              <w:rPr>
                <w:rFonts w:hint="eastAsia" w:cs="宋体" w:asciiTheme="minorEastAsia" w:hAnsiTheme="minorEastAsia" w:eastAsiaTheme="minorEastAsia"/>
                <w:color w:val="auto"/>
                <w:kern w:val="2"/>
                <w:sz w:val="21"/>
                <w:szCs w:val="21"/>
                <w:highlight w:val="none"/>
                <w:shd w:val="clear" w:color="auto" w:fill="auto"/>
                <w:lang w:val="en-US" w:eastAsia="zh-CN" w:bidi="ar-SA"/>
              </w:rPr>
              <w:t>光模块、光纤收发器</w:t>
            </w:r>
            <w:r>
              <w:rPr>
                <w:rFonts w:hint="eastAsia" w:ascii="宋体" w:hAnsi="宋体" w:eastAsia="宋体" w:cs="宋体"/>
                <w:color w:val="auto"/>
                <w:sz w:val="21"/>
                <w:szCs w:val="21"/>
                <w:highlight w:val="none"/>
                <w:lang w:val="en-US" w:eastAsia="zh-CN"/>
              </w:rPr>
              <w:t>、4芯光缆终端盒、摄像机壁式/悬挂式支架、立杆、防雷器、开关电源、空开等设备设施的</w:t>
            </w:r>
            <w:r>
              <w:rPr>
                <w:rFonts w:hint="eastAsia" w:ascii="宋体" w:hAnsi="宋体" w:eastAsia="宋体" w:cs="宋体"/>
                <w:color w:val="auto"/>
                <w:sz w:val="21"/>
                <w:szCs w:val="21"/>
                <w:highlight w:val="none"/>
              </w:rPr>
              <w:t>技术参数应满足或优于</w:t>
            </w:r>
            <w:r>
              <w:rPr>
                <w:rFonts w:hint="eastAsia" w:ascii="宋体" w:hAnsi="宋体" w:cs="宋体"/>
                <w:color w:val="auto"/>
                <w:sz w:val="21"/>
                <w:szCs w:val="21"/>
                <w:highlight w:val="none"/>
                <w:lang w:val="en-US" w:eastAsia="zh-CN"/>
              </w:rPr>
              <w:t>用户需求书</w:t>
            </w:r>
            <w:r>
              <w:rPr>
                <w:rFonts w:hint="eastAsia" w:ascii="宋体" w:hAnsi="宋体" w:eastAsia="宋体" w:cs="宋体"/>
                <w:color w:val="auto"/>
                <w:sz w:val="21"/>
                <w:szCs w:val="21"/>
                <w:highlight w:val="none"/>
              </w:rPr>
              <w:t>要求</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cs="Times New Roman"/>
                <w:kern w:val="0"/>
                <w:highlight w:val="none"/>
                <w:u w:val="none"/>
              </w:rPr>
            </w:pPr>
          </w:p>
        </w:tc>
        <w:tc>
          <w:tcPr>
            <w:tcW w:w="96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p>
        </w:tc>
        <w:tc>
          <w:tcPr>
            <w:tcW w:w="689"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宋体" w:hAnsi="宋体" w:eastAsia="宋体" w:cs="宋体"/>
                <w:kern w:val="2"/>
                <w:sz w:val="21"/>
                <w:szCs w:val="21"/>
                <w:highlight w:val="none"/>
                <w:u w:val="none"/>
                <w:lang w:val="en-US" w:eastAsia="zh-CN"/>
              </w:rPr>
            </w:pPr>
            <w:r>
              <w:rPr>
                <w:rFonts w:hint="eastAsia" w:ascii="宋体" w:hAnsi="宋体" w:eastAsia="宋体" w:cs="宋体"/>
                <w:kern w:val="2"/>
                <w:sz w:val="21"/>
                <w:szCs w:val="21"/>
                <w:highlight w:val="none"/>
                <w:u w:val="none"/>
                <w:lang w:val="en-US" w:eastAsia="zh-CN"/>
              </w:rPr>
              <w:t>3</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firstLine="0" w:firstLineChars="0"/>
              <w:jc w:val="center"/>
              <w:textAlignment w:val="auto"/>
              <w:rPr>
                <w:rFonts w:hint="default" w:ascii="Times New Roman" w:hAnsi="Times New Roman" w:eastAsia="宋体" w:cs="Times New Roman"/>
                <w:kern w:val="0"/>
                <w:sz w:val="21"/>
                <w:szCs w:val="21"/>
                <w:highlight w:val="none"/>
                <w:u w:val="none"/>
                <w:lang w:val="en-US" w:eastAsia="zh-CN"/>
              </w:rPr>
            </w:pPr>
            <w:r>
              <w:rPr>
                <w:rFonts w:hint="default" w:cs="Times New Roman"/>
                <w:kern w:val="0"/>
                <w:sz w:val="21"/>
                <w:szCs w:val="21"/>
                <w:highlight w:val="none"/>
                <w:u w:val="none"/>
                <w:lang w:val="en-US" w:eastAsia="zh-CN"/>
              </w:rPr>
              <w:t>6.3.1质量管理要求</w:t>
            </w:r>
          </w:p>
        </w:tc>
        <w:tc>
          <w:tcPr>
            <w:tcW w:w="39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000000"/>
                <w:kern w:val="0"/>
                <w:sz w:val="21"/>
                <w:szCs w:val="21"/>
                <w:highlight w:val="none"/>
                <w:u w:val="none"/>
                <w:lang w:val="en-US" w:eastAsia="zh-CN"/>
              </w:rPr>
            </w:pPr>
            <w:r>
              <w:rPr>
                <w:rFonts w:hint="default" w:ascii="Times New Roman" w:hAnsi="Times New Roman" w:eastAsia="宋体" w:cs="Times New Roman"/>
                <w:color w:val="auto"/>
                <w:sz w:val="21"/>
                <w:szCs w:val="21"/>
                <w:highlight w:val="none"/>
                <w:u w:val="none"/>
              </w:rPr>
              <w:t>用于本项目的所有设备设施，必须符合国家标准与行业规范，确保其达到质量、安全、环保等要求，其质量、型号尺寸、材质、颜色、档次等与</w:t>
            </w:r>
            <w:r>
              <w:rPr>
                <w:rFonts w:hint="default" w:ascii="Times New Roman" w:hAnsi="Times New Roman" w:eastAsia="宋体" w:cs="Times New Roman"/>
                <w:color w:val="auto"/>
                <w:sz w:val="21"/>
                <w:szCs w:val="21"/>
                <w:highlight w:val="none"/>
                <w:u w:val="none"/>
                <w:lang w:val="en-US" w:eastAsia="zh-CN"/>
              </w:rPr>
              <w:t>既有</w:t>
            </w:r>
            <w:r>
              <w:rPr>
                <w:rFonts w:hint="default" w:ascii="Times New Roman" w:hAnsi="Times New Roman" w:eastAsia="宋体" w:cs="Times New Roman"/>
                <w:color w:val="auto"/>
                <w:sz w:val="21"/>
                <w:szCs w:val="21"/>
                <w:highlight w:val="none"/>
                <w:u w:val="none"/>
              </w:rPr>
              <w:t>原有设备设施保持一致且须符合</w:t>
            </w:r>
            <w:r>
              <w:rPr>
                <w:rFonts w:hint="default" w:ascii="Times New Roman" w:hAnsi="Times New Roman" w:eastAsia="宋体" w:cs="Times New Roman"/>
                <w:color w:val="auto"/>
                <w:sz w:val="21"/>
                <w:szCs w:val="21"/>
                <w:highlight w:val="none"/>
                <w:u w:val="none"/>
                <w:lang w:eastAsia="zh-CN"/>
              </w:rPr>
              <w:t>甲方</w:t>
            </w:r>
            <w:r>
              <w:rPr>
                <w:rFonts w:hint="default" w:ascii="Times New Roman" w:hAnsi="Times New Roman" w:eastAsia="宋体" w:cs="Times New Roman"/>
                <w:color w:val="auto"/>
                <w:sz w:val="21"/>
                <w:szCs w:val="21"/>
                <w:highlight w:val="none"/>
                <w:u w:val="none"/>
              </w:rPr>
              <w:t>要求才准进场。如需更换设备设施型号、材质等必须提前将更换说明函、保证函等证明材料提交至</w:t>
            </w:r>
            <w:r>
              <w:rPr>
                <w:rFonts w:hint="default" w:ascii="Times New Roman" w:hAnsi="Times New Roman" w:eastAsia="宋体" w:cs="Times New Roman"/>
                <w:color w:val="auto"/>
                <w:sz w:val="21"/>
                <w:szCs w:val="21"/>
                <w:highlight w:val="none"/>
                <w:u w:val="none"/>
                <w:lang w:eastAsia="zh-CN"/>
              </w:rPr>
              <w:t>甲方</w:t>
            </w:r>
            <w:r>
              <w:rPr>
                <w:rFonts w:hint="default" w:ascii="Times New Roman" w:hAnsi="Times New Roman" w:eastAsia="宋体" w:cs="Times New Roman"/>
                <w:color w:val="auto"/>
                <w:sz w:val="21"/>
                <w:szCs w:val="21"/>
                <w:highlight w:val="none"/>
                <w:u w:val="none"/>
              </w:rPr>
              <w:t>备案，并征得</w:t>
            </w:r>
            <w:r>
              <w:rPr>
                <w:rFonts w:hint="default" w:ascii="Times New Roman" w:hAnsi="Times New Roman" w:eastAsia="宋体" w:cs="Times New Roman"/>
                <w:color w:val="auto"/>
                <w:sz w:val="21"/>
                <w:szCs w:val="21"/>
                <w:highlight w:val="none"/>
                <w:u w:val="none"/>
                <w:lang w:eastAsia="zh-CN"/>
              </w:rPr>
              <w:t>甲方</w:t>
            </w:r>
            <w:r>
              <w:rPr>
                <w:rFonts w:hint="default" w:ascii="Times New Roman" w:hAnsi="Times New Roman" w:eastAsia="宋体" w:cs="Times New Roman"/>
                <w:color w:val="auto"/>
                <w:sz w:val="21"/>
                <w:szCs w:val="21"/>
                <w:highlight w:val="none"/>
                <w:u w:val="none"/>
              </w:rPr>
              <w:t>同意后方可实施</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cs="Times New Roman"/>
                <w:kern w:val="0"/>
                <w:highlight w:val="none"/>
                <w:u w:val="none"/>
              </w:rPr>
            </w:pPr>
          </w:p>
        </w:tc>
        <w:tc>
          <w:tcPr>
            <w:tcW w:w="96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p>
        </w:tc>
        <w:tc>
          <w:tcPr>
            <w:tcW w:w="689"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宋体" w:hAnsi="宋体" w:eastAsia="宋体" w:cs="宋体"/>
                <w:kern w:val="2"/>
                <w:sz w:val="21"/>
                <w:szCs w:val="21"/>
                <w:highlight w:val="none"/>
                <w:u w:val="none"/>
                <w:lang w:val="en-US" w:eastAsia="zh-CN"/>
              </w:rPr>
            </w:pPr>
            <w:r>
              <w:rPr>
                <w:rFonts w:hint="eastAsia" w:ascii="宋体" w:hAnsi="宋体" w:cs="宋体"/>
                <w:kern w:val="2"/>
                <w:sz w:val="21"/>
                <w:szCs w:val="21"/>
                <w:highlight w:val="none"/>
                <w:u w:val="none"/>
                <w:lang w:val="en-US" w:eastAsia="zh-CN"/>
              </w:rPr>
              <w:t>4</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before="0" w:after="0" w:afterAutospacing="0" w:line="240" w:lineRule="auto"/>
              <w:ind w:left="0" w:right="0" w:firstLine="0"/>
              <w:jc w:val="center"/>
              <w:textAlignment w:val="auto"/>
              <w:rPr>
                <w:rFonts w:hint="default" w:ascii="Times New Roman" w:hAnsi="Times New Roman" w:eastAsia="宋体" w:cs="Times New Roman"/>
                <w:color w:val="000000"/>
                <w:kern w:val="0"/>
                <w:sz w:val="21"/>
                <w:szCs w:val="21"/>
                <w:highlight w:val="none"/>
                <w:u w:val="none"/>
                <w:lang w:val="en-US" w:eastAsia="zh-CN"/>
              </w:rPr>
            </w:pPr>
            <w:r>
              <w:rPr>
                <w:rFonts w:hint="default" w:cs="Times New Roman"/>
                <w:kern w:val="0"/>
                <w:sz w:val="21"/>
                <w:szCs w:val="21"/>
                <w:highlight w:val="none"/>
                <w:u w:val="none"/>
                <w:lang w:val="en-US" w:eastAsia="zh-CN"/>
              </w:rPr>
              <w:t>6.3.2.2  CCTV安装质量标准</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cs="Times New Roman"/>
                <w:kern w:val="0"/>
                <w:sz w:val="21"/>
                <w:szCs w:val="21"/>
                <w:highlight w:val="none"/>
                <w:lang w:val="en-US" w:eastAsia="zh-CN"/>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cs="Times New Roman"/>
                <w:kern w:val="0"/>
                <w:highlight w:val="none"/>
                <w:u w:val="none"/>
              </w:rPr>
            </w:pPr>
          </w:p>
        </w:tc>
        <w:tc>
          <w:tcPr>
            <w:tcW w:w="96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p>
        </w:tc>
        <w:tc>
          <w:tcPr>
            <w:tcW w:w="689"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8"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宋体" w:hAnsi="宋体" w:eastAsia="宋体" w:cs="宋体"/>
                <w:kern w:val="2"/>
                <w:sz w:val="21"/>
                <w:szCs w:val="21"/>
                <w:highlight w:val="none"/>
                <w:u w:val="none"/>
                <w:lang w:val="en-US" w:eastAsia="zh-CN"/>
              </w:rPr>
            </w:pPr>
            <w:r>
              <w:rPr>
                <w:rFonts w:hint="eastAsia" w:ascii="宋体" w:hAnsi="宋体" w:cs="宋体"/>
                <w:kern w:val="2"/>
                <w:sz w:val="21"/>
                <w:szCs w:val="21"/>
                <w:highlight w:val="none"/>
                <w:u w:val="none"/>
                <w:lang w:val="en-US" w:eastAsia="zh-CN"/>
              </w:rPr>
              <w:t>5</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before="0" w:after="0" w:afterAutospacing="0" w:line="240" w:lineRule="auto"/>
              <w:ind w:left="0" w:right="0" w:firstLine="0"/>
              <w:jc w:val="center"/>
              <w:textAlignment w:val="auto"/>
              <w:rPr>
                <w:rFonts w:hint="default" w:ascii="Times New Roman" w:hAnsi="Times New Roman" w:eastAsia="宋体" w:cs="Times New Roman"/>
                <w:color w:val="000000"/>
                <w:kern w:val="0"/>
                <w:sz w:val="21"/>
                <w:szCs w:val="21"/>
                <w:highlight w:val="none"/>
                <w:u w:val="none"/>
                <w:lang w:val="en-US" w:eastAsia="zh-CN"/>
              </w:rPr>
            </w:pPr>
            <w:r>
              <w:rPr>
                <w:rFonts w:hint="default" w:cs="Times New Roman"/>
                <w:kern w:val="0"/>
                <w:sz w:val="21"/>
                <w:szCs w:val="21"/>
                <w:highlight w:val="none"/>
                <w:u w:val="none"/>
                <w:lang w:val="en-US" w:eastAsia="zh-CN"/>
              </w:rPr>
              <w:t>6.3.2.3线缆敷设质量标准</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cs="Times New Roman"/>
                <w:kern w:val="0"/>
                <w:sz w:val="21"/>
                <w:szCs w:val="21"/>
                <w:highlight w:val="none"/>
                <w:lang w:val="en-US" w:eastAsia="zh-CN"/>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cs="Times New Roman"/>
                <w:kern w:val="0"/>
                <w:highlight w:val="none"/>
                <w:u w:val="none"/>
              </w:rPr>
            </w:pPr>
          </w:p>
        </w:tc>
        <w:tc>
          <w:tcPr>
            <w:tcW w:w="96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p>
        </w:tc>
        <w:tc>
          <w:tcPr>
            <w:tcW w:w="689"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86"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宋体" w:hAnsi="宋体" w:eastAsia="宋体" w:cs="宋体"/>
                <w:kern w:val="2"/>
                <w:sz w:val="21"/>
                <w:szCs w:val="21"/>
                <w:highlight w:val="none"/>
                <w:u w:val="none"/>
                <w:lang w:val="en-US" w:eastAsia="zh-CN"/>
              </w:rPr>
            </w:pPr>
            <w:r>
              <w:rPr>
                <w:rFonts w:hint="eastAsia" w:ascii="宋体" w:hAnsi="宋体" w:cs="宋体"/>
                <w:kern w:val="2"/>
                <w:sz w:val="21"/>
                <w:szCs w:val="21"/>
                <w:highlight w:val="none"/>
                <w:u w:val="none"/>
                <w:lang w:val="en-US" w:eastAsia="zh-CN"/>
              </w:rPr>
              <w:t>6</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before="0" w:after="0" w:afterAutospacing="0" w:line="240" w:lineRule="auto"/>
              <w:ind w:left="0" w:right="0" w:firstLine="0"/>
              <w:jc w:val="center"/>
              <w:textAlignment w:val="auto"/>
              <w:rPr>
                <w:rFonts w:hint="default" w:ascii="Times New Roman" w:hAnsi="Times New Roman" w:eastAsia="宋体" w:cs="Times New Roman"/>
                <w:color w:val="000000"/>
                <w:kern w:val="0"/>
                <w:sz w:val="21"/>
                <w:szCs w:val="21"/>
                <w:highlight w:val="none"/>
                <w:u w:val="none"/>
                <w:lang w:val="en-US" w:eastAsia="zh-CN"/>
              </w:rPr>
            </w:pPr>
            <w:r>
              <w:rPr>
                <w:rFonts w:hint="default" w:cs="Times New Roman"/>
                <w:kern w:val="0"/>
                <w:sz w:val="21"/>
                <w:szCs w:val="21"/>
                <w:highlight w:val="none"/>
                <w:u w:val="none"/>
                <w:lang w:val="en-US" w:eastAsia="zh-CN"/>
              </w:rPr>
              <w:t>6.3.2.4线缆接续质量标准</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宋体" w:cs="Times New Roman"/>
                <w:color w:val="000000"/>
                <w:kern w:val="0"/>
                <w:sz w:val="21"/>
                <w:szCs w:val="21"/>
                <w:highlight w:val="none"/>
                <w:lang w:val="en-US" w:eastAsia="zh-CN"/>
              </w:rPr>
            </w:pPr>
            <w:r>
              <w:rPr>
                <w:rFonts w:hint="default" w:cs="Times New Roman"/>
                <w:kern w:val="0"/>
                <w:sz w:val="21"/>
                <w:szCs w:val="21"/>
                <w:highlight w:val="none"/>
                <w:lang w:val="en-US" w:eastAsia="zh-CN"/>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cs="Times New Roman"/>
                <w:kern w:val="0"/>
                <w:highlight w:val="none"/>
                <w:u w:val="none"/>
              </w:rPr>
            </w:pPr>
          </w:p>
        </w:tc>
        <w:tc>
          <w:tcPr>
            <w:tcW w:w="96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p>
        </w:tc>
        <w:tc>
          <w:tcPr>
            <w:tcW w:w="689"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宋体" w:hAnsi="宋体" w:eastAsia="宋体" w:cs="宋体"/>
                <w:kern w:val="2"/>
                <w:sz w:val="21"/>
                <w:szCs w:val="21"/>
                <w:highlight w:val="none"/>
                <w:u w:val="none"/>
                <w:lang w:val="en-US" w:eastAsia="zh-CN"/>
              </w:rPr>
            </w:pPr>
            <w:r>
              <w:rPr>
                <w:rFonts w:hint="eastAsia" w:ascii="宋体" w:hAnsi="宋体" w:cs="宋体"/>
                <w:kern w:val="2"/>
                <w:sz w:val="21"/>
                <w:szCs w:val="21"/>
                <w:highlight w:val="none"/>
                <w:u w:val="none"/>
                <w:lang w:val="en-US" w:eastAsia="zh-CN"/>
              </w:rPr>
              <w:t>7</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before="0" w:after="0" w:afterAutospacing="0" w:line="240" w:lineRule="auto"/>
              <w:ind w:left="0" w:right="0" w:firstLine="0"/>
              <w:jc w:val="center"/>
              <w:textAlignment w:val="auto"/>
              <w:rPr>
                <w:rFonts w:hint="default" w:ascii="Times New Roman" w:hAnsi="Times New Roman" w:eastAsia="宋体" w:cs="Times New Roman"/>
                <w:color w:val="000000"/>
                <w:kern w:val="0"/>
                <w:sz w:val="21"/>
                <w:szCs w:val="21"/>
                <w:highlight w:val="none"/>
                <w:u w:val="none"/>
                <w:lang w:val="en-US" w:eastAsia="zh-CN"/>
              </w:rPr>
            </w:pPr>
            <w:r>
              <w:rPr>
                <w:rFonts w:hint="default" w:cs="Times New Roman"/>
                <w:kern w:val="0"/>
                <w:sz w:val="21"/>
                <w:szCs w:val="21"/>
                <w:highlight w:val="none"/>
                <w:u w:val="none"/>
                <w:lang w:val="en-US" w:eastAsia="zh-CN"/>
              </w:rPr>
              <w:t>6.3.2.5接地装置安装质量标准</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cs="Times New Roman"/>
                <w:kern w:val="0"/>
                <w:sz w:val="21"/>
                <w:szCs w:val="21"/>
                <w:highlight w:val="none"/>
                <w:lang w:val="en-US" w:eastAsia="zh-CN"/>
              </w:rPr>
              <w:t>符合用户需求书要求</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cs="Times New Roman"/>
                <w:kern w:val="0"/>
                <w:highlight w:val="none"/>
                <w:u w:val="none"/>
              </w:rPr>
            </w:pPr>
          </w:p>
        </w:tc>
        <w:tc>
          <w:tcPr>
            <w:tcW w:w="96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p>
        </w:tc>
        <w:tc>
          <w:tcPr>
            <w:tcW w:w="689"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8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宋体" w:hAnsi="宋体" w:eastAsia="宋体" w:cs="宋体"/>
                <w:kern w:val="2"/>
                <w:sz w:val="21"/>
                <w:szCs w:val="21"/>
                <w:highlight w:val="none"/>
                <w:u w:val="none"/>
                <w:lang w:val="en-US" w:eastAsia="zh-CN"/>
              </w:rPr>
            </w:pPr>
            <w:r>
              <w:rPr>
                <w:rFonts w:hint="eastAsia" w:ascii="宋体" w:hAnsi="宋体" w:cs="宋体"/>
                <w:kern w:val="2"/>
                <w:sz w:val="21"/>
                <w:szCs w:val="21"/>
                <w:highlight w:val="none"/>
                <w:u w:val="none"/>
                <w:lang w:val="en-US" w:eastAsia="zh-CN"/>
              </w:rPr>
              <w:t>8</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firstLine="0"/>
              <w:jc w:val="center"/>
              <w:rPr>
                <w:rFonts w:hint="default" w:ascii="Times New Roman" w:hAnsi="Times New Roman" w:eastAsia="宋体" w:cs="Times New Roman"/>
                <w:color w:val="000000"/>
                <w:kern w:val="0"/>
                <w:sz w:val="21"/>
                <w:szCs w:val="21"/>
                <w:highlight w:val="none"/>
                <w:lang w:val="en-US" w:eastAsia="zh-CN"/>
              </w:rPr>
            </w:pPr>
            <w:r>
              <w:rPr>
                <w:rFonts w:hint="eastAsia" w:cs="Times New Roman"/>
                <w:kern w:val="0"/>
                <w:sz w:val="21"/>
                <w:szCs w:val="21"/>
                <w:highlight w:val="none"/>
                <w:lang w:val="en-US" w:eastAsia="zh-CN"/>
              </w:rPr>
              <w:t>6.3.5 质量保证</w:t>
            </w:r>
          </w:p>
        </w:tc>
        <w:tc>
          <w:tcPr>
            <w:tcW w:w="3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leftChars="0" w:right="0" w:firstLine="0" w:firstLineChars="0"/>
              <w:jc w:val="center"/>
              <w:rPr>
                <w:rFonts w:hint="default" w:ascii="Times New Roman" w:hAnsi="Times New Roman" w:eastAsia="宋体" w:cs="Times New Roman"/>
                <w:color w:val="000000"/>
                <w:kern w:val="0"/>
                <w:sz w:val="21"/>
                <w:szCs w:val="21"/>
                <w:highlight w:val="none"/>
                <w:lang w:val="en-US" w:eastAsia="zh-CN"/>
              </w:rPr>
            </w:pPr>
            <w:r>
              <w:rPr>
                <w:rFonts w:hint="eastAsia" w:cs="Times New Roman"/>
                <w:kern w:val="0"/>
                <w:sz w:val="21"/>
                <w:szCs w:val="21"/>
                <w:highlight w:val="none"/>
                <w:lang w:val="en-US" w:eastAsia="zh-CN"/>
              </w:rPr>
              <w:t>验收通过后开始1年内为质保期</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jc w:val="center"/>
              <w:rPr>
                <w:rFonts w:cs="Times New Roman"/>
                <w:kern w:val="0"/>
                <w:highlight w:val="none"/>
                <w:u w:val="none"/>
              </w:rPr>
            </w:pPr>
          </w:p>
        </w:tc>
        <w:tc>
          <w:tcPr>
            <w:tcW w:w="96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kern w:val="2"/>
                <w:highlight w:val="none"/>
                <w:u w:val="none"/>
              </w:rPr>
            </w:pPr>
          </w:p>
        </w:tc>
        <w:tc>
          <w:tcPr>
            <w:tcW w:w="689"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kern w:val="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83" w:hRule="atLeast"/>
          <w:jc w:val="center"/>
        </w:trPr>
        <w:tc>
          <w:tcPr>
            <w:tcW w:w="8880" w:type="dxa"/>
            <w:gridSpan w:val="6"/>
            <w:tcBorders>
              <w:top w:val="single" w:color="auto" w:sz="4" w:space="0"/>
              <w:left w:val="single" w:color="auto" w:sz="4" w:space="0"/>
              <w:bottom w:val="single" w:color="auto" w:sz="4" w:space="0"/>
              <w:right w:val="single" w:color="auto" w:sz="4" w:space="0"/>
            </w:tcBorders>
            <w:vAlign w:val="center"/>
          </w:tcPr>
          <w:p>
            <w:pPr>
              <w:widowControl w:val="0"/>
              <w:rPr>
                <w:rFonts w:cs="Arial"/>
                <w:kern w:val="2"/>
                <w:highlight w:val="none"/>
              </w:rPr>
            </w:pPr>
            <w:r>
              <w:rPr>
                <w:rFonts w:hint="eastAsia" w:cs="Arial"/>
                <w:highlight w:val="none"/>
              </w:rPr>
              <w:t>我方确认：除了表中所列的条款外，我方的比选申请函将依从比选文件对于技术的全部要求和规定。</w:t>
            </w:r>
          </w:p>
        </w:tc>
      </w:tr>
    </w:tbl>
    <w:p>
      <w:pPr>
        <w:spacing w:before="0" w:after="0" w:afterAutospacing="0"/>
        <w:ind w:right="0"/>
        <w:rPr>
          <w:rFonts w:ascii="宋体" w:hAnsi="宋体"/>
          <w:highlight w:val="none"/>
          <w:u w:val="single"/>
        </w:rPr>
      </w:pPr>
    </w:p>
    <w:p>
      <w:pPr>
        <w:snapToGrid w:val="0"/>
        <w:spacing w:after="50" w:line="280" w:lineRule="exact"/>
        <w:ind w:left="955" w:leftChars="455" w:right="-817" w:firstLine="2832" w:firstLineChars="1349"/>
        <w:rPr>
          <w:rFonts w:ascii="宋体" w:hAnsi="宋体"/>
          <w:highlight w:val="none"/>
          <w:u w:val="single"/>
        </w:rPr>
      </w:pPr>
      <w:r>
        <w:rPr>
          <w:rFonts w:hint="eastAsia" w:ascii="宋体" w:hAnsi="宋体"/>
          <w:highlight w:val="none"/>
        </w:rPr>
        <w:t>比选申请人名称（盖章）：</w:t>
      </w:r>
    </w:p>
    <w:p>
      <w:pPr>
        <w:snapToGrid w:val="0"/>
        <w:spacing w:after="50" w:line="280" w:lineRule="exact"/>
        <w:ind w:left="707" w:right="-817" w:firstLine="0"/>
        <w:jc w:val="center"/>
        <w:rPr>
          <w:rFonts w:ascii="宋体" w:hAnsi="宋体"/>
          <w:highlight w:val="none"/>
          <w:u w:val="single"/>
        </w:rPr>
      </w:pPr>
      <w:r>
        <w:rPr>
          <w:rFonts w:hint="eastAsia" w:ascii="宋体" w:hAnsi="宋体"/>
          <w:highlight w:val="none"/>
        </w:rPr>
        <w:t xml:space="preserve"> 法定代表人或被授权人（签字）：</w:t>
      </w:r>
    </w:p>
    <w:p>
      <w:pPr>
        <w:spacing w:before="0"/>
        <w:ind w:right="-57" w:firstLine="0"/>
        <w:jc w:val="center"/>
        <w:rPr>
          <w:rFonts w:ascii="宋体" w:hAnsi="宋体"/>
          <w:highlight w:val="none"/>
        </w:rPr>
      </w:pPr>
      <w:r>
        <w:rPr>
          <w:rFonts w:hint="eastAsia" w:ascii="宋体" w:hAnsi="宋体"/>
          <w:highlight w:val="none"/>
        </w:rPr>
        <w:t>日  期：  年  月  日</w:t>
      </w:r>
    </w:p>
    <w:p>
      <w:pPr>
        <w:spacing w:before="0" w:after="0" w:afterAutospacing="0"/>
        <w:ind w:left="708" w:right="0" w:hanging="708" w:hangingChars="336"/>
        <w:rPr>
          <w:rFonts w:ascii="宋体" w:hAnsi="宋体"/>
          <w:b/>
          <w:highlight w:val="none"/>
        </w:rPr>
      </w:pPr>
      <w:r>
        <w:rPr>
          <w:rFonts w:ascii="宋体" w:hAnsi="宋体"/>
          <w:b/>
          <w:highlight w:val="none"/>
        </w:rPr>
        <w:t>说明：</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比选申请人必须对应根据比选文件的第五章用户需求书条款逐条应答并按要求填写</w:t>
      </w:r>
      <w:r>
        <w:rPr>
          <w:rFonts w:hint="eastAsia" w:ascii="宋体" w:hAnsi="宋体"/>
          <w:highlight w:val="none"/>
          <w:lang w:eastAsia="zh-CN"/>
        </w:rPr>
        <w:t>上</w:t>
      </w:r>
      <w:r>
        <w:rPr>
          <w:rFonts w:ascii="宋体" w:hAnsi="宋体"/>
          <w:highlight w:val="none"/>
        </w:rPr>
        <w:t>表。</w:t>
      </w:r>
    </w:p>
    <w:p>
      <w:pPr>
        <w:pStyle w:val="39"/>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highlight w:val="none"/>
        </w:rPr>
        <w:t xml:space="preserve">。     </w:t>
      </w:r>
    </w:p>
    <w:p>
      <w:pPr>
        <w:spacing w:before="0"/>
        <w:ind w:left="105" w:leftChars="50" w:right="-57" w:firstLine="316" w:firstLineChars="150"/>
        <w:rPr>
          <w:rFonts w:ascii="宋体" w:hAnsi="宋体"/>
          <w:b/>
          <w:highlight w:val="none"/>
        </w:rPr>
      </w:pPr>
      <w:r>
        <w:rPr>
          <w:rFonts w:hint="eastAsia" w:ascii="宋体" w:hAnsi="宋体"/>
          <w:b/>
          <w:highlight w:val="none"/>
        </w:rPr>
        <w:t>6.如有任意一项负偏离，比选申请人将不能通过符合性评审。</w:t>
      </w:r>
    </w:p>
    <w:p>
      <w:pPr>
        <w:pStyle w:val="5"/>
        <w:tabs>
          <w:tab w:val="left" w:pos="567"/>
          <w:tab w:val="left" w:pos="720"/>
        </w:tabs>
        <w:snapToGrid w:val="0"/>
        <w:spacing w:after="100" w:line="360" w:lineRule="auto"/>
        <w:ind w:right="-57" w:firstLine="0"/>
        <w:jc w:val="left"/>
        <w:outlineLvl w:val="9"/>
        <w:rPr>
          <w:rFonts w:ascii="宋体" w:hAnsi="宋体" w:eastAsia="宋体"/>
          <w:sz w:val="21"/>
          <w:szCs w:val="21"/>
          <w:highlight w:val="none"/>
        </w:rPr>
        <w:sectPr>
          <w:pgSz w:w="11905" w:h="16838"/>
          <w:pgMar w:top="1418" w:right="1418" w:bottom="1304" w:left="1418" w:header="454" w:footer="567" w:gutter="0"/>
          <w:pgNumType w:fmt="decimal"/>
          <w:cols w:space="720" w:num="1"/>
          <w:docGrid w:linePitch="312" w:charSpace="0"/>
        </w:sectPr>
      </w:pPr>
      <w:bookmarkStart w:id="1771" w:name="_Toc25750685"/>
    </w:p>
    <w:p>
      <w:pPr>
        <w:pStyle w:val="5"/>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772" w:name="_Toc25434"/>
      <w:bookmarkStart w:id="1773" w:name="_Toc25710"/>
      <w:bookmarkStart w:id="1774" w:name="_Toc30537"/>
      <w:bookmarkStart w:id="1775" w:name="_Toc5035"/>
      <w:bookmarkStart w:id="1776" w:name="_Toc13665"/>
      <w:bookmarkStart w:id="1777" w:name="_Toc16655"/>
      <w:bookmarkStart w:id="1778" w:name="_Toc32323"/>
      <w:bookmarkStart w:id="1779" w:name="_Toc8199"/>
      <w:r>
        <w:rPr>
          <w:rFonts w:hint="eastAsia" w:ascii="宋体" w:hAnsi="宋体" w:eastAsia="宋体"/>
          <w:color w:val="auto"/>
          <w:sz w:val="21"/>
          <w:szCs w:val="21"/>
          <w:highlight w:val="none"/>
        </w:rPr>
        <w:t>C2</w:t>
      </w:r>
      <w:bookmarkEnd w:id="1771"/>
      <w:r>
        <w:rPr>
          <w:rFonts w:ascii="宋体" w:hAnsi="宋体" w:eastAsia="宋体"/>
          <w:color w:val="auto"/>
          <w:sz w:val="21"/>
          <w:szCs w:val="21"/>
          <w:highlight w:val="none"/>
        </w:rPr>
        <w:t>按期</w:t>
      </w:r>
      <w:r>
        <w:rPr>
          <w:rFonts w:hint="eastAsia" w:ascii="宋体" w:hAnsi="宋体" w:eastAsia="宋体"/>
          <w:color w:val="auto"/>
          <w:sz w:val="21"/>
          <w:szCs w:val="21"/>
          <w:highlight w:val="none"/>
        </w:rPr>
        <w:t>完成</w:t>
      </w:r>
      <w:r>
        <w:rPr>
          <w:rFonts w:ascii="宋体" w:hAnsi="宋体" w:eastAsia="宋体"/>
          <w:color w:val="auto"/>
          <w:sz w:val="21"/>
          <w:szCs w:val="21"/>
          <w:highlight w:val="none"/>
        </w:rPr>
        <w:t>承诺书</w:t>
      </w:r>
      <w:bookmarkEnd w:id="1772"/>
      <w:bookmarkEnd w:id="1773"/>
      <w:bookmarkEnd w:id="1774"/>
      <w:bookmarkEnd w:id="1775"/>
      <w:bookmarkEnd w:id="1776"/>
      <w:bookmarkEnd w:id="1777"/>
      <w:bookmarkEnd w:id="1778"/>
      <w:bookmarkEnd w:id="1779"/>
    </w:p>
    <w:p>
      <w:pPr>
        <w:widowControl w:val="0"/>
        <w:spacing w:before="240" w:beforeLines="100" w:after="24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按期完成</w:t>
      </w:r>
      <w:r>
        <w:rPr>
          <w:rFonts w:hAnsi="宋体"/>
          <w:b/>
          <w:color w:val="auto"/>
          <w:kern w:val="2"/>
          <w:sz w:val="32"/>
          <w:szCs w:val="32"/>
          <w:highlight w:val="none"/>
        </w:rPr>
        <w:t>承诺书</w:t>
      </w:r>
    </w:p>
    <w:p>
      <w:pPr>
        <w:widowControl w:val="0"/>
        <w:spacing w:beforeLines="50"/>
        <w:ind w:right="-57" w:rightChars="-27"/>
        <w:rPr>
          <w:color w:val="auto"/>
          <w:kern w:val="2"/>
          <w:highlight w:val="none"/>
        </w:rPr>
      </w:pPr>
    </w:p>
    <w:p>
      <w:pPr>
        <w:widowControl w:val="0"/>
        <w:spacing w:beforeLines="50"/>
        <w:ind w:right="-57" w:rightChars="-27"/>
        <w:rPr>
          <w:rFonts w:hint="eastAsia" w:eastAsia="宋体"/>
          <w:color w:val="auto"/>
          <w:kern w:val="2"/>
          <w:highlight w:val="none"/>
          <w:lang w:eastAsia="zh-CN"/>
        </w:rPr>
      </w:pPr>
      <w:r>
        <w:rPr>
          <w:rFonts w:hAnsi="宋体"/>
          <w:color w:val="auto"/>
          <w:kern w:val="2"/>
          <w:highlight w:val="none"/>
        </w:rPr>
        <w:t>致：</w:t>
      </w:r>
      <w:r>
        <w:rPr>
          <w:rFonts w:hint="eastAsia" w:hAnsi="宋体"/>
          <w:color w:val="auto"/>
          <w:kern w:val="2"/>
          <w:highlight w:val="none"/>
          <w:lang w:eastAsia="zh-CN"/>
        </w:rPr>
        <w:t>南宁轨道交通运营有限公司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w:t>
      </w:r>
      <w:r>
        <w:rPr>
          <w:rFonts w:hint="eastAsia" w:ascii="宋体" w:hAnsi="宋体"/>
          <w:color w:val="auto"/>
          <w:highlight w:val="none"/>
          <w:u w:val="single"/>
          <w:lang w:eastAsia="zh-CN"/>
        </w:rPr>
        <w:t>南宁轨道交通1-5号线出入段（场）线地面洞口及个别车站紧急疏散口视频监控补盲项目</w:t>
      </w:r>
      <w:r>
        <w:rPr>
          <w:rFonts w:hAnsi="宋体"/>
          <w:color w:val="auto"/>
          <w:kern w:val="2"/>
          <w:highlight w:val="none"/>
        </w:rPr>
        <w:t>（项目编号</w:t>
      </w:r>
      <w:r>
        <w:rPr>
          <w:rFonts w:hint="eastAsia" w:hAnsi="宋体"/>
          <w:color w:val="auto"/>
          <w:kern w:val="2"/>
          <w:highlight w:val="none"/>
          <w:u w:val="single"/>
          <w:lang w:val="en-US" w:eastAsia="zh-CN"/>
        </w:rPr>
        <w:t xml:space="preserve"> 202208250003 </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w:t>
      </w:r>
      <w:r>
        <w:rPr>
          <w:rFonts w:hint="eastAsia" w:hAnsi="宋体"/>
          <w:color w:val="auto"/>
          <w:kern w:val="2"/>
          <w:highlight w:val="none"/>
        </w:rPr>
        <w:t>合同</w:t>
      </w:r>
      <w:r>
        <w:rPr>
          <w:rFonts w:hAnsi="宋体"/>
          <w:color w:val="auto"/>
          <w:kern w:val="2"/>
          <w:highlight w:val="none"/>
        </w:rPr>
        <w:t>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w:t>
      </w:r>
      <w:r>
        <w:rPr>
          <w:rFonts w:hint="eastAsia"/>
          <w:color w:val="auto"/>
          <w:kern w:val="2"/>
          <w:highlight w:val="none"/>
        </w:rPr>
        <w:t>完成</w:t>
      </w:r>
      <w:r>
        <w:rPr>
          <w:color w:val="auto"/>
          <w:kern w:val="2"/>
          <w:highlight w:val="none"/>
        </w:rPr>
        <w:t>，</w:t>
      </w:r>
      <w:r>
        <w:rPr>
          <w:rFonts w:hint="eastAsia"/>
          <w:color w:val="auto"/>
          <w:kern w:val="2"/>
          <w:highlight w:val="none"/>
        </w:rPr>
        <w:t>我公司承诺接受</w:t>
      </w:r>
      <w:r>
        <w:rPr>
          <w:rFonts w:hint="eastAsia" w:ascii="宋体" w:hAnsi="宋体"/>
          <w:color w:val="auto"/>
          <w:kern w:val="2"/>
          <w:highlight w:val="none"/>
        </w:rPr>
        <w:t>每天加收合同总价的</w:t>
      </w:r>
      <w:r>
        <w:rPr>
          <w:rFonts w:hint="eastAsia" w:ascii="宋体" w:hAnsi="宋体"/>
          <w:color w:val="auto"/>
          <w:kern w:val="2"/>
          <w:highlight w:val="none"/>
          <w:shd w:val="clear" w:color="auto" w:fill="auto"/>
          <w:lang w:val="en-US" w:eastAsia="zh-CN"/>
        </w:rPr>
        <w:t>0.5%的</w:t>
      </w:r>
      <w:r>
        <w:rPr>
          <w:rFonts w:hint="eastAsia" w:ascii="宋体" w:hAnsi="宋体"/>
          <w:color w:val="auto"/>
          <w:kern w:val="2"/>
          <w:highlight w:val="none"/>
        </w:rPr>
        <w:t>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kern w:val="2"/>
          <w:highlight w:val="none"/>
        </w:rPr>
      </w:pPr>
    </w:p>
    <w:p>
      <w:pPr>
        <w:widowControl w:val="0"/>
        <w:spacing w:beforeLines="50"/>
        <w:ind w:right="-57" w:rightChars="-27" w:firstLine="420" w:firstLineChars="200"/>
        <w:rPr>
          <w:kern w:val="2"/>
          <w:highlight w:val="none"/>
        </w:rPr>
      </w:pPr>
    </w:p>
    <w:p>
      <w:pPr>
        <w:widowControl w:val="0"/>
        <w:spacing w:beforeLines="50"/>
        <w:ind w:right="-57" w:rightChars="-27" w:firstLine="420" w:firstLineChars="200"/>
        <w:rPr>
          <w:kern w:val="2"/>
          <w:highlight w:val="none"/>
        </w:rPr>
      </w:pPr>
    </w:p>
    <w:p>
      <w:pPr>
        <w:widowControl w:val="0"/>
        <w:snapToGrid w:val="0"/>
        <w:spacing w:beforeLines="50" w:after="50" w:line="280" w:lineRule="exact"/>
        <w:ind w:left="955" w:leftChars="455" w:right="-817" w:rightChars="-389" w:firstLine="2013" w:firstLineChars="959"/>
        <w:rPr>
          <w:rFonts w:ascii="宋体" w:hAnsi="宋体"/>
          <w:kern w:val="2"/>
          <w:highlight w:val="none"/>
          <w:u w:val="single"/>
        </w:rPr>
      </w:pPr>
      <w:r>
        <w:rPr>
          <w:rFonts w:hint="eastAsia" w:ascii="宋体" w:hAnsi="宋体"/>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kern w:val="2"/>
          <w:highlight w:val="none"/>
          <w:u w:val="single"/>
        </w:rPr>
      </w:pPr>
      <w:r>
        <w:rPr>
          <w:rFonts w:hint="eastAsia" w:ascii="宋体" w:hAnsi="宋体"/>
          <w:kern w:val="2"/>
          <w:highlight w:val="none"/>
        </w:rPr>
        <w:t xml:space="preserve"> 法定代表人或被授权人（签字）：</w:t>
      </w:r>
    </w:p>
    <w:p>
      <w:pPr>
        <w:spacing w:before="0"/>
        <w:ind w:right="-57" w:firstLine="0"/>
        <w:jc w:val="center"/>
        <w:rPr>
          <w:rFonts w:ascii="宋体" w:hAnsi="宋体"/>
          <w:kern w:val="2"/>
          <w:highlight w:val="none"/>
        </w:rPr>
      </w:pPr>
      <w:r>
        <w:rPr>
          <w:rFonts w:hint="eastAsia" w:ascii="宋体" w:hAnsi="宋体"/>
          <w:kern w:val="2"/>
          <w:highlight w:val="none"/>
        </w:rPr>
        <w:t>日  期：   年  月  日</w:t>
      </w:r>
    </w:p>
    <w:p>
      <w:pPr>
        <w:pStyle w:val="5"/>
        <w:tabs>
          <w:tab w:val="left" w:pos="567"/>
          <w:tab w:val="left" w:pos="720"/>
        </w:tabs>
        <w:snapToGrid w:val="0"/>
        <w:spacing w:after="100" w:line="360" w:lineRule="auto"/>
        <w:ind w:right="-57" w:firstLine="0"/>
        <w:jc w:val="left"/>
        <w:outlineLvl w:val="9"/>
        <w:rPr>
          <w:rFonts w:ascii="宋体" w:hAnsi="宋体" w:eastAsia="宋体"/>
          <w:sz w:val="21"/>
          <w:szCs w:val="21"/>
          <w:highlight w:val="none"/>
        </w:rPr>
        <w:sectPr>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sz w:val="21"/>
          <w:szCs w:val="21"/>
          <w:highlight w:val="none"/>
        </w:rPr>
      </w:pPr>
      <w:bookmarkStart w:id="1780" w:name="_Toc19091"/>
      <w:bookmarkStart w:id="1781" w:name="_Toc6087"/>
      <w:bookmarkStart w:id="1782" w:name="_Toc473"/>
      <w:bookmarkStart w:id="1783" w:name="_Toc23272"/>
      <w:bookmarkStart w:id="1784" w:name="_Toc25750686"/>
      <w:bookmarkStart w:id="1785" w:name="_Toc18223"/>
      <w:bookmarkStart w:id="1786" w:name="_Toc9905"/>
      <w:bookmarkStart w:id="1787" w:name="_Toc5998"/>
      <w:bookmarkStart w:id="1788" w:name="_Toc18726"/>
      <w:r>
        <w:rPr>
          <w:rFonts w:hint="eastAsia" w:ascii="宋体" w:hAnsi="宋体" w:eastAsia="宋体"/>
          <w:sz w:val="21"/>
          <w:szCs w:val="21"/>
          <w:highlight w:val="none"/>
        </w:rPr>
        <w:t>C3售后服务承诺书</w:t>
      </w:r>
      <w:bookmarkEnd w:id="1780"/>
      <w:bookmarkEnd w:id="1781"/>
      <w:bookmarkEnd w:id="1782"/>
      <w:bookmarkEnd w:id="1783"/>
      <w:bookmarkEnd w:id="1784"/>
      <w:bookmarkEnd w:id="1785"/>
      <w:bookmarkEnd w:id="1786"/>
      <w:bookmarkEnd w:id="1787"/>
      <w:bookmarkEnd w:id="1788"/>
    </w:p>
    <w:p>
      <w:pPr>
        <w:widowControl w:val="0"/>
        <w:spacing w:before="240" w:beforeLines="100" w:after="240" w:afterLines="100"/>
        <w:ind w:left="948" w:right="-57" w:rightChars="-27" w:hanging="948"/>
        <w:jc w:val="center"/>
        <w:rPr>
          <w:rFonts w:hAnsi="宋体"/>
          <w:b/>
          <w:kern w:val="2"/>
          <w:sz w:val="32"/>
          <w:szCs w:val="32"/>
          <w:highlight w:val="none"/>
        </w:rPr>
      </w:pPr>
      <w:r>
        <w:rPr>
          <w:rFonts w:hint="eastAsia" w:hAnsi="宋体"/>
          <w:b/>
          <w:kern w:val="2"/>
          <w:sz w:val="32"/>
          <w:szCs w:val="32"/>
          <w:highlight w:val="none"/>
        </w:rPr>
        <w:t>售后服务承诺书</w:t>
      </w:r>
    </w:p>
    <w:p>
      <w:pPr>
        <w:spacing w:before="0" w:after="0" w:afterAutospacing="0"/>
        <w:ind w:left="619" w:right="0" w:hanging="619" w:hangingChars="295"/>
        <w:rPr>
          <w:rFonts w:ascii="宋体" w:hAnsi="宋体" w:cstheme="minorBidi"/>
          <w:highlight w:val="none"/>
        </w:rPr>
      </w:pPr>
      <w:r>
        <w:rPr>
          <w:rFonts w:hint="eastAsia" w:ascii="宋体" w:hAnsi="宋体" w:cstheme="minorBidi"/>
          <w:highlight w:val="none"/>
          <w:lang w:eastAsia="zh-CN"/>
        </w:rPr>
        <w:t>南宁轨道交通运营有限公司</w:t>
      </w:r>
      <w:r>
        <w:rPr>
          <w:rFonts w:hint="eastAsia" w:ascii="宋体" w:hAnsi="宋体" w:cstheme="minorBidi"/>
          <w:highlight w:val="none"/>
        </w:rPr>
        <w:t>：</w:t>
      </w:r>
    </w:p>
    <w:p>
      <w:pPr>
        <w:spacing w:before="0" w:after="0" w:afterAutospacing="0"/>
        <w:ind w:left="0" w:right="0" w:firstLine="420" w:firstLineChars="200"/>
        <w:rPr>
          <w:rFonts w:ascii="宋体" w:hAnsi="宋体" w:cstheme="minorBidi"/>
          <w:highlight w:val="none"/>
        </w:rPr>
      </w:pPr>
      <w:r>
        <w:rPr>
          <w:rFonts w:hint="eastAsia" w:ascii="宋体" w:hAnsi="宋体" w:cstheme="minorBidi"/>
          <w:highlight w:val="none"/>
        </w:rPr>
        <w:t>我方参与</w:t>
      </w:r>
      <w:r>
        <w:rPr>
          <w:rFonts w:ascii="宋体" w:hAnsi="宋体" w:cstheme="minorBidi"/>
          <w:highlight w:val="none"/>
        </w:rPr>
        <w:t>贵方采购项目</w:t>
      </w:r>
      <w:r>
        <w:rPr>
          <w:rFonts w:hint="eastAsia" w:ascii="宋体" w:hAnsi="宋体" w:cstheme="minorBidi"/>
          <w:highlight w:val="none"/>
        </w:rPr>
        <w:t>的</w:t>
      </w:r>
      <w:r>
        <w:rPr>
          <w:rFonts w:ascii="宋体" w:hAnsi="宋体" w:cstheme="minorBidi"/>
          <w:highlight w:val="none"/>
        </w:rPr>
        <w:t>报价</w:t>
      </w:r>
      <w:r>
        <w:rPr>
          <w:rFonts w:hint="eastAsia" w:ascii="宋体" w:hAnsi="宋体" w:cstheme="minorBidi"/>
          <w:highlight w:val="none"/>
        </w:rPr>
        <w:t>活动</w:t>
      </w:r>
      <w:r>
        <w:rPr>
          <w:rFonts w:ascii="宋体" w:hAnsi="宋体" w:cstheme="minorBidi"/>
          <w:highlight w:val="none"/>
        </w:rPr>
        <w:t>并</w:t>
      </w:r>
      <w:r>
        <w:rPr>
          <w:rFonts w:hint="eastAsia" w:ascii="宋体" w:hAnsi="宋体" w:cstheme="minorBidi"/>
          <w:highlight w:val="none"/>
        </w:rPr>
        <w:t>做出</w:t>
      </w:r>
      <w:r>
        <w:rPr>
          <w:rFonts w:ascii="宋体" w:hAnsi="宋体" w:cstheme="minorBidi"/>
          <w:highlight w:val="none"/>
        </w:rPr>
        <w:t>以下承诺：</w:t>
      </w:r>
    </w:p>
    <w:p>
      <w:pPr>
        <w:pStyle w:val="39"/>
        <w:widowControl w:val="0"/>
        <w:spacing w:before="0" w:after="0" w:afterAutospacing="0"/>
        <w:ind w:left="0" w:right="0" w:firstLine="420" w:firstLineChars="200"/>
        <w:rPr>
          <w:rFonts w:ascii="宋体" w:hAnsi="宋体" w:cstheme="minorBidi"/>
          <w:highlight w:val="none"/>
        </w:rPr>
      </w:pPr>
      <w:r>
        <w:rPr>
          <w:rFonts w:hint="eastAsia" w:ascii="宋体" w:hAnsi="宋体" w:cstheme="minorBidi"/>
          <w:highlight w:val="none"/>
        </w:rPr>
        <w:t>1.所有产品的</w:t>
      </w:r>
      <w:r>
        <w:rPr>
          <w:rFonts w:ascii="宋体" w:hAnsi="宋体" w:cstheme="minorBidi"/>
          <w:highlight w:val="none"/>
        </w:rPr>
        <w:t>质量、质保期、售后服务等</w:t>
      </w:r>
      <w:r>
        <w:rPr>
          <w:rFonts w:hint="eastAsia" w:ascii="宋体" w:hAnsi="宋体" w:cstheme="minorBidi"/>
          <w:highlight w:val="none"/>
        </w:rPr>
        <w:t>完全符合或优于</w:t>
      </w:r>
      <w:r>
        <w:rPr>
          <w:rFonts w:ascii="宋体" w:hAnsi="宋体" w:cstheme="minorBidi"/>
          <w:highlight w:val="none"/>
        </w:rPr>
        <w:t>贵方</w:t>
      </w:r>
      <w:r>
        <w:rPr>
          <w:rFonts w:hint="eastAsia" w:ascii="宋体" w:hAnsi="宋体" w:cstheme="minorBidi"/>
          <w:highlight w:val="none"/>
        </w:rPr>
        <w:t>的采购要求，全部符合国家和</w:t>
      </w:r>
      <w:r>
        <w:rPr>
          <w:rFonts w:ascii="宋体" w:hAnsi="宋体" w:cstheme="minorBidi"/>
          <w:highlight w:val="none"/>
        </w:rPr>
        <w:t>行业相关</w:t>
      </w:r>
      <w:r>
        <w:rPr>
          <w:rFonts w:hint="eastAsia" w:ascii="宋体" w:hAnsi="宋体" w:cstheme="minorBidi"/>
          <w:highlight w:val="none"/>
        </w:rPr>
        <w:t>标准，</w:t>
      </w:r>
      <w:r>
        <w:rPr>
          <w:rFonts w:ascii="宋体" w:hAnsi="宋体" w:cstheme="minorBidi"/>
          <w:highlight w:val="none"/>
        </w:rPr>
        <w:t>所有产品</w:t>
      </w:r>
      <w:r>
        <w:rPr>
          <w:rFonts w:hint="eastAsia" w:ascii="宋体" w:hAnsi="宋体" w:cstheme="minorBidi"/>
          <w:highlight w:val="none"/>
        </w:rPr>
        <w:t>均为全新的正牌产品，具备产品合格证。货到验收如发现与产品描述不符或无产品合格证，我司接受</w:t>
      </w:r>
      <w:r>
        <w:rPr>
          <w:rFonts w:ascii="宋体" w:hAnsi="宋体" w:cstheme="minorBidi"/>
          <w:highlight w:val="none"/>
        </w:rPr>
        <w:t>无条件</w:t>
      </w:r>
      <w:r>
        <w:rPr>
          <w:rFonts w:hint="eastAsia" w:ascii="宋体" w:hAnsi="宋体" w:cstheme="minorBidi"/>
          <w:highlight w:val="none"/>
        </w:rPr>
        <w:t>退货。如为假冒伪劣产品，造成损失的由我司承担全部法律责任。</w:t>
      </w:r>
    </w:p>
    <w:p>
      <w:pPr>
        <w:pStyle w:val="39"/>
        <w:widowControl w:val="0"/>
        <w:spacing w:before="0" w:after="0" w:afterAutospacing="0"/>
        <w:ind w:left="0" w:right="0" w:firstLine="420" w:firstLineChars="200"/>
        <w:rPr>
          <w:rFonts w:ascii="宋体" w:hAnsi="宋体" w:cstheme="minorBidi"/>
          <w:highlight w:val="none"/>
        </w:rPr>
      </w:pPr>
      <w:r>
        <w:rPr>
          <w:rFonts w:hint="eastAsia" w:ascii="宋体" w:hAnsi="宋体" w:cstheme="minorBidi"/>
          <w:highlight w:val="none"/>
        </w:rPr>
        <w:t>2.我方</w:t>
      </w:r>
      <w:r>
        <w:rPr>
          <w:rFonts w:ascii="宋体" w:hAnsi="宋体" w:cstheme="minorBidi"/>
          <w:highlight w:val="none"/>
        </w:rPr>
        <w:t>知悉，本次</w:t>
      </w:r>
      <w:r>
        <w:rPr>
          <w:rFonts w:hint="eastAsia" w:ascii="宋体" w:hAnsi="宋体" w:cstheme="minorBidi"/>
          <w:highlight w:val="none"/>
        </w:rPr>
        <w:t>各货物的数量为贵方</w:t>
      </w:r>
      <w:r>
        <w:rPr>
          <w:rFonts w:ascii="宋体" w:hAnsi="宋体" w:cstheme="minorBidi"/>
          <w:highlight w:val="none"/>
        </w:rPr>
        <w:t>的</w:t>
      </w:r>
      <w:r>
        <w:rPr>
          <w:rFonts w:hint="eastAsia" w:ascii="宋体" w:hAnsi="宋体" w:cstheme="minorBidi"/>
          <w:highlight w:val="non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9"/>
        <w:widowControl w:val="0"/>
        <w:spacing w:before="0" w:after="0" w:afterAutospacing="0"/>
        <w:ind w:left="0" w:right="0" w:firstLine="420" w:firstLineChars="200"/>
        <w:rPr>
          <w:rFonts w:ascii="宋体" w:hAnsi="宋体" w:cstheme="minorBidi"/>
          <w:highlight w:val="none"/>
        </w:rPr>
      </w:pPr>
      <w:r>
        <w:rPr>
          <w:rFonts w:hint="eastAsia" w:ascii="宋体" w:hAnsi="宋体" w:cstheme="minorBidi"/>
          <w:highlight w:val="none"/>
        </w:rPr>
        <w:t>3.我方</w:t>
      </w:r>
      <w:r>
        <w:rPr>
          <w:rFonts w:ascii="宋体" w:hAnsi="宋体" w:cstheme="minorBidi"/>
          <w:highlight w:val="none"/>
        </w:rPr>
        <w:t>知悉，贵方的</w:t>
      </w:r>
      <w:r>
        <w:rPr>
          <w:rFonts w:hint="eastAsia" w:ascii="宋体" w:hAnsi="宋体" w:cstheme="minorBidi"/>
          <w:highlight w:val="none"/>
        </w:rPr>
        <w:t>采购文件并未充分引用有关条文和标准规范，提出的是最基本的技术要求，我方</w:t>
      </w:r>
      <w:r>
        <w:rPr>
          <w:rFonts w:ascii="宋体" w:hAnsi="宋体" w:cstheme="minorBidi"/>
          <w:highlight w:val="none"/>
        </w:rPr>
        <w:t>保证</w:t>
      </w:r>
      <w:r>
        <w:rPr>
          <w:rFonts w:hint="eastAsia" w:ascii="宋体" w:hAnsi="宋体" w:cstheme="minorBidi"/>
          <w:highlight w:val="none"/>
        </w:rPr>
        <w:t>所有</w:t>
      </w:r>
      <w:r>
        <w:rPr>
          <w:rFonts w:ascii="宋体" w:hAnsi="宋体" w:cstheme="minorBidi"/>
          <w:highlight w:val="none"/>
        </w:rPr>
        <w:t>产品</w:t>
      </w:r>
      <w:r>
        <w:rPr>
          <w:rFonts w:hint="eastAsia" w:ascii="宋体" w:hAnsi="宋体" w:cstheme="minorBidi"/>
          <w:highlight w:val="none"/>
        </w:rPr>
        <w:t>符合工业制造标准，为优质的市场已有的成熟产品以满足使用可靠、技术先进、操作简单、维护方便的要求；除非贵方主动提出，贵方</w:t>
      </w:r>
      <w:r>
        <w:rPr>
          <w:rFonts w:ascii="宋体" w:hAnsi="宋体" w:cstheme="minorBidi"/>
          <w:highlight w:val="none"/>
        </w:rPr>
        <w:t>可无条件拒绝</w:t>
      </w:r>
      <w:r>
        <w:rPr>
          <w:rFonts w:hint="eastAsia" w:ascii="宋体" w:hAnsi="宋体" w:cstheme="minorBidi"/>
          <w:highlight w:val="none"/>
        </w:rPr>
        <w:t>接受任何形式的改装或定制类产品。  </w:t>
      </w:r>
    </w:p>
    <w:p>
      <w:pPr>
        <w:pStyle w:val="39"/>
        <w:widowControl w:val="0"/>
        <w:spacing w:before="0" w:after="0" w:afterAutospacing="0"/>
        <w:ind w:left="0" w:right="0" w:firstLine="420" w:firstLineChars="200"/>
        <w:rPr>
          <w:rFonts w:ascii="宋体" w:hAnsi="宋体" w:cstheme="minorBidi"/>
          <w:highlight w:val="none"/>
        </w:rPr>
      </w:pPr>
      <w:r>
        <w:rPr>
          <w:rFonts w:hint="eastAsia" w:ascii="宋体" w:hAnsi="宋体" w:cstheme="minorBidi"/>
          <w:highlight w:val="none"/>
        </w:rPr>
        <w:t>4.交货前贵方有权要求我方提供样品；如贵方对样品不认可有权不签订</w:t>
      </w:r>
      <w:r>
        <w:rPr>
          <w:rFonts w:ascii="宋体" w:hAnsi="宋体" w:cstheme="minorBidi"/>
          <w:highlight w:val="none"/>
        </w:rPr>
        <w:t>合同或撤销</w:t>
      </w:r>
      <w:r>
        <w:rPr>
          <w:rFonts w:hint="eastAsia" w:ascii="宋体" w:hAnsi="宋体" w:cstheme="minorBidi"/>
          <w:highlight w:val="none"/>
        </w:rPr>
        <w:t>、</w:t>
      </w:r>
      <w:r>
        <w:rPr>
          <w:rFonts w:ascii="宋体" w:hAnsi="宋体" w:cstheme="minorBidi"/>
          <w:highlight w:val="none"/>
        </w:rPr>
        <w:t>终止已签订的合同</w:t>
      </w:r>
      <w:r>
        <w:rPr>
          <w:rFonts w:hint="eastAsia" w:ascii="宋体" w:hAnsi="宋体" w:cstheme="minorBidi"/>
          <w:highlight w:val="none"/>
        </w:rPr>
        <w:t>，</w:t>
      </w:r>
      <w:r>
        <w:rPr>
          <w:rFonts w:ascii="宋体" w:hAnsi="宋体" w:cstheme="minorBidi"/>
          <w:highlight w:val="none"/>
        </w:rPr>
        <w:t>如贵方对样品认可</w:t>
      </w:r>
      <w:r>
        <w:rPr>
          <w:rFonts w:hint="eastAsia" w:ascii="宋体" w:hAnsi="宋体" w:cstheme="minorBidi"/>
          <w:highlight w:val="none"/>
        </w:rPr>
        <w:t>且</w:t>
      </w:r>
      <w:r>
        <w:rPr>
          <w:rFonts w:ascii="宋体" w:hAnsi="宋体" w:cstheme="minorBidi"/>
          <w:highlight w:val="none"/>
        </w:rPr>
        <w:t>样品未因</w:t>
      </w:r>
      <w:r>
        <w:rPr>
          <w:rFonts w:hint="eastAsia" w:ascii="宋体" w:hAnsi="宋体" w:cstheme="minorBidi"/>
          <w:highlight w:val="none"/>
        </w:rPr>
        <w:t>检验</w:t>
      </w:r>
      <w:r>
        <w:rPr>
          <w:rFonts w:ascii="宋体" w:hAnsi="宋体" w:cstheme="minorBidi"/>
          <w:highlight w:val="none"/>
        </w:rPr>
        <w:t>检测</w:t>
      </w:r>
      <w:r>
        <w:rPr>
          <w:rFonts w:hint="eastAsia" w:ascii="宋体" w:hAnsi="宋体" w:cstheme="minorBidi"/>
          <w:highlight w:val="none"/>
        </w:rPr>
        <w:t>而</w:t>
      </w:r>
      <w:r>
        <w:rPr>
          <w:rFonts w:ascii="宋体" w:hAnsi="宋体" w:cstheme="minorBidi"/>
          <w:highlight w:val="none"/>
        </w:rPr>
        <w:t>发生性能改变</w:t>
      </w:r>
      <w:r>
        <w:rPr>
          <w:rFonts w:hint="eastAsia" w:ascii="宋体" w:hAnsi="宋体" w:cstheme="minorBidi"/>
          <w:highlight w:val="none"/>
        </w:rPr>
        <w:t>，</w:t>
      </w:r>
      <w:r>
        <w:rPr>
          <w:rFonts w:ascii="宋体" w:hAnsi="宋体" w:cstheme="minorBidi"/>
          <w:highlight w:val="none"/>
        </w:rPr>
        <w:t>则样品数量</w:t>
      </w:r>
      <w:r>
        <w:rPr>
          <w:rFonts w:hint="eastAsia" w:ascii="宋体" w:hAnsi="宋体" w:cstheme="minorBidi"/>
          <w:highlight w:val="none"/>
        </w:rPr>
        <w:t>可</w:t>
      </w:r>
      <w:r>
        <w:rPr>
          <w:rFonts w:ascii="宋体" w:hAnsi="宋体" w:cstheme="minorBidi"/>
          <w:highlight w:val="none"/>
        </w:rPr>
        <w:t>计入</w:t>
      </w:r>
      <w:r>
        <w:rPr>
          <w:rFonts w:hint="eastAsia" w:ascii="宋体" w:hAnsi="宋体" w:cstheme="minorBidi"/>
          <w:highlight w:val="none"/>
        </w:rPr>
        <w:t>交货</w:t>
      </w:r>
      <w:r>
        <w:rPr>
          <w:rFonts w:ascii="宋体" w:hAnsi="宋体" w:cstheme="minorBidi"/>
          <w:highlight w:val="none"/>
        </w:rPr>
        <w:t>数量</w:t>
      </w:r>
      <w:r>
        <w:rPr>
          <w:rFonts w:hint="eastAsia" w:ascii="宋体" w:hAnsi="宋体" w:cstheme="minorBidi"/>
          <w:highlight w:val="none"/>
        </w:rPr>
        <w:t>。</w:t>
      </w:r>
    </w:p>
    <w:p>
      <w:pPr>
        <w:pStyle w:val="39"/>
        <w:widowControl w:val="0"/>
        <w:spacing w:before="0" w:after="0" w:afterAutospacing="0"/>
        <w:ind w:left="0" w:right="0" w:firstLine="420" w:firstLineChars="200"/>
        <w:rPr>
          <w:rFonts w:ascii="宋体" w:hAnsi="宋体" w:cstheme="minorBidi"/>
          <w:highlight w:val="none"/>
        </w:rPr>
      </w:pPr>
      <w:r>
        <w:rPr>
          <w:rFonts w:hint="eastAsia" w:ascii="宋体" w:hAnsi="宋体" w:cstheme="minorBidi"/>
          <w:highlight w:val="none"/>
        </w:rPr>
        <w:t>5.质保期内货物出现故障我公司承诺在1小时内做出响应，2</w:t>
      </w:r>
      <w:r>
        <w:rPr>
          <w:rFonts w:hint="eastAsia" w:ascii="宋体" w:hAnsi="宋体" w:cstheme="minorBidi"/>
          <w:highlight w:val="none"/>
          <w:lang w:val="en-US" w:eastAsia="zh-CN"/>
        </w:rPr>
        <w:t>4</w:t>
      </w:r>
      <w:r>
        <w:rPr>
          <w:rFonts w:hint="eastAsia" w:ascii="宋体" w:hAnsi="宋体" w:cstheme="minorBidi"/>
          <w:highlight w:val="none"/>
        </w:rPr>
        <w:t>小时到达维修现场。一般问题应在</w:t>
      </w:r>
      <w:r>
        <w:rPr>
          <w:rFonts w:hint="eastAsia" w:ascii="宋体" w:hAnsi="宋体" w:cstheme="minorBidi"/>
          <w:highlight w:val="none"/>
          <w:lang w:val="en-US" w:eastAsia="zh-CN"/>
        </w:rPr>
        <w:t>5天</w:t>
      </w:r>
      <w:r>
        <w:rPr>
          <w:rFonts w:hint="eastAsia" w:ascii="宋体" w:hAnsi="宋体" w:cstheme="minorBidi"/>
          <w:highlight w:val="none"/>
        </w:rPr>
        <w:t>内解决，重大问题或其它无法迅速解决的问题应在</w:t>
      </w:r>
      <w:r>
        <w:rPr>
          <w:rFonts w:hint="eastAsia" w:ascii="宋体" w:hAnsi="宋体" w:cstheme="minorBidi"/>
          <w:highlight w:val="none"/>
          <w:lang w:val="en-US" w:eastAsia="zh-CN"/>
        </w:rPr>
        <w:t>10天</w:t>
      </w:r>
      <w:r>
        <w:rPr>
          <w:rFonts w:hint="eastAsia" w:ascii="宋体" w:hAnsi="宋体" w:cstheme="minorBidi"/>
          <w:highlight w:val="none"/>
        </w:rPr>
        <w:t>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w:t>
      </w:r>
      <w:r>
        <w:rPr>
          <w:rFonts w:hint="eastAsia" w:ascii="宋体" w:hAnsi="宋体" w:cstheme="minorBidi"/>
          <w:highlight w:val="none"/>
          <w:lang w:val="en-US" w:eastAsia="zh-CN"/>
        </w:rPr>
        <w:t>4</w:t>
      </w:r>
      <w:r>
        <w:rPr>
          <w:rFonts w:hint="eastAsia" w:ascii="宋体" w:hAnsi="宋体" w:cstheme="minorBidi"/>
          <w:highlight w:val="none"/>
        </w:rPr>
        <w:t>小时到达维修现场，一般问题应在</w:t>
      </w:r>
      <w:r>
        <w:rPr>
          <w:rFonts w:hint="eastAsia" w:ascii="宋体" w:hAnsi="宋体" w:cstheme="minorBidi"/>
          <w:highlight w:val="none"/>
          <w:lang w:val="en-US" w:eastAsia="zh-CN"/>
        </w:rPr>
        <w:t>5天</w:t>
      </w:r>
      <w:r>
        <w:rPr>
          <w:rFonts w:hint="eastAsia" w:ascii="宋体" w:hAnsi="宋体" w:cstheme="minorBidi"/>
          <w:highlight w:val="none"/>
        </w:rPr>
        <w:t>内解决，重大问题或其它无法迅速解决的问题应在</w:t>
      </w:r>
      <w:r>
        <w:rPr>
          <w:rFonts w:hint="eastAsia" w:ascii="宋体" w:hAnsi="宋体" w:cstheme="minorBidi"/>
          <w:highlight w:val="none"/>
          <w:lang w:val="en-US" w:eastAsia="zh-CN"/>
        </w:rPr>
        <w:t>10天</w:t>
      </w:r>
      <w:r>
        <w:rPr>
          <w:rFonts w:hint="eastAsia" w:ascii="宋体" w:hAnsi="宋体" w:cstheme="minorBidi"/>
          <w:highlight w:val="none"/>
        </w:rPr>
        <w:t>内解决。</w:t>
      </w:r>
    </w:p>
    <w:p>
      <w:pPr>
        <w:pStyle w:val="39"/>
        <w:widowControl w:val="0"/>
        <w:spacing w:before="0" w:after="0" w:afterAutospacing="0"/>
        <w:ind w:left="0" w:right="0" w:firstLine="420" w:firstLineChars="200"/>
        <w:rPr>
          <w:rFonts w:ascii="宋体" w:hAnsi="宋体" w:cstheme="minorBidi"/>
          <w:highlight w:val="none"/>
        </w:rPr>
      </w:pPr>
      <w:r>
        <w:rPr>
          <w:rFonts w:hint="eastAsia" w:ascii="宋体" w:hAnsi="宋体" w:cstheme="minorBidi"/>
          <w:highlight w:val="none"/>
        </w:rPr>
        <w:t>6.若我方因自身原因不能履约签订合同或履行合同的，贵方可取消我方的中选资格，并从后续排名的</w:t>
      </w:r>
      <w:r>
        <w:rPr>
          <w:rFonts w:ascii="宋体" w:hAnsi="宋体" w:cstheme="minorBidi"/>
          <w:highlight w:val="none"/>
        </w:rPr>
        <w:t>其他</w:t>
      </w:r>
      <w:r>
        <w:rPr>
          <w:rFonts w:hint="eastAsia" w:ascii="宋体" w:hAnsi="宋体" w:cstheme="minorBidi"/>
          <w:highlight w:val="none"/>
        </w:rPr>
        <w:t>候选供应商中依次向上递补确定供应商或重新组织采购，同时贵方有权将我公司列入黑名单。</w:t>
      </w:r>
    </w:p>
    <w:p>
      <w:pPr>
        <w:pStyle w:val="39"/>
        <w:widowControl w:val="0"/>
        <w:spacing w:before="0" w:after="0" w:afterAutospacing="0"/>
        <w:ind w:left="480" w:right="0" w:firstLine="4200" w:firstLineChars="2000"/>
        <w:rPr>
          <w:rFonts w:hint="eastAsia" w:ascii="宋体" w:hAnsi="宋体" w:cstheme="minorBidi"/>
          <w:highlight w:val="none"/>
        </w:rPr>
      </w:pPr>
      <w:r>
        <w:rPr>
          <w:rFonts w:hint="eastAsia" w:ascii="宋体" w:hAnsi="宋体" w:cstheme="minorBidi"/>
          <w:highlight w:val="none"/>
        </w:rPr>
        <w:t>联系人:</w:t>
      </w:r>
    </w:p>
    <w:p>
      <w:pPr>
        <w:pStyle w:val="39"/>
        <w:widowControl w:val="0"/>
        <w:spacing w:before="0" w:after="0" w:afterAutospacing="0"/>
        <w:ind w:left="480" w:right="0" w:firstLine="4200" w:firstLineChars="2000"/>
        <w:rPr>
          <w:rFonts w:hint="eastAsia" w:ascii="宋体" w:hAnsi="宋体" w:cstheme="minorBidi"/>
          <w:highlight w:val="none"/>
        </w:rPr>
      </w:pPr>
      <w:r>
        <w:rPr>
          <w:rFonts w:hint="eastAsia" w:ascii="宋体" w:hAnsi="宋体" w:cstheme="minorBidi"/>
          <w:highlight w:val="none"/>
        </w:rPr>
        <w:t>联系方式:</w:t>
      </w:r>
    </w:p>
    <w:p>
      <w:pPr>
        <w:pStyle w:val="39"/>
        <w:widowControl w:val="0"/>
        <w:spacing w:before="0" w:after="0" w:afterAutospacing="0"/>
        <w:ind w:left="480" w:right="0" w:firstLine="4200" w:firstLineChars="2000"/>
        <w:rPr>
          <w:rFonts w:ascii="宋体" w:hAnsi="宋体" w:cstheme="minorBidi"/>
          <w:highlight w:val="none"/>
        </w:rPr>
      </w:pPr>
      <w:r>
        <w:rPr>
          <w:rFonts w:hint="eastAsia" w:ascii="宋体" w:hAnsi="宋体" w:cstheme="minorBidi"/>
          <w:highlight w:val="none"/>
        </w:rPr>
        <w:t>身份证号:</w:t>
      </w:r>
    </w:p>
    <w:p>
      <w:pPr>
        <w:spacing w:before="0" w:after="0" w:afterAutospacing="0"/>
        <w:ind w:left="0" w:right="0" w:firstLine="4725" w:firstLineChars="2250"/>
        <w:rPr>
          <w:rFonts w:ascii="宋体" w:hAnsi="宋体" w:cstheme="minorBidi"/>
          <w:highlight w:val="none"/>
        </w:rPr>
      </w:pPr>
      <w:r>
        <w:rPr>
          <w:rFonts w:hint="eastAsia" w:ascii="宋体" w:hAnsi="宋体" w:cstheme="minorBidi"/>
          <w:highlight w:val="none"/>
        </w:rPr>
        <w:t>承诺人：</w:t>
      </w:r>
      <w:r>
        <w:rPr>
          <w:rFonts w:hint="eastAsia" w:ascii="宋体" w:hAnsi="宋体" w:cstheme="minorBidi"/>
          <w:highlight w:val="none"/>
          <w:u w:val="single"/>
        </w:rPr>
        <w:t>　</w:t>
      </w:r>
      <w:r>
        <w:rPr>
          <w:rFonts w:ascii="宋体" w:hAnsi="宋体" w:cstheme="minorBidi"/>
          <w:highlight w:val="none"/>
          <w:u w:val="single"/>
        </w:rPr>
        <w:t>(比选申请人名称)</w:t>
      </w:r>
      <w:r>
        <w:rPr>
          <w:rFonts w:hint="eastAsia" w:ascii="宋体" w:hAnsi="宋体" w:cstheme="minorBidi"/>
          <w:highlight w:val="none"/>
        </w:rPr>
        <w:t>（盖章）</w:t>
      </w:r>
    </w:p>
    <w:p>
      <w:pPr>
        <w:spacing w:before="0"/>
        <w:ind w:left="105" w:leftChars="50" w:right="-57" w:firstLine="315" w:firstLineChars="150"/>
        <w:rPr>
          <w:rFonts w:ascii="宋体" w:hAnsi="宋体" w:cstheme="minorBidi"/>
          <w:highlight w:val="none"/>
        </w:rPr>
        <w:sectPr>
          <w:pgSz w:w="11905" w:h="16838"/>
          <w:pgMar w:top="1418" w:right="1418" w:bottom="1304" w:left="1418" w:header="454" w:footer="567" w:gutter="0"/>
          <w:pgNumType w:fmt="decimal"/>
          <w:cols w:space="720" w:num="1"/>
          <w:docGrid w:linePitch="312" w:charSpace="0"/>
        </w:sectPr>
      </w:pPr>
      <w:r>
        <w:rPr>
          <w:rFonts w:hint="eastAsia" w:ascii="宋体" w:hAnsi="宋体" w:cstheme="minorBidi"/>
          <w:highlight w:val="none"/>
        </w:rPr>
        <w:t xml:space="preserve">                                          日期：</w:t>
      </w:r>
      <w:r>
        <w:rPr>
          <w:rFonts w:hint="eastAsia" w:ascii="宋体" w:hAnsi="宋体" w:cstheme="minorBidi"/>
          <w:highlight w:val="none"/>
          <w:lang w:val="en-US" w:eastAsia="zh-CN"/>
        </w:rPr>
        <w:t xml:space="preserve">    </w:t>
      </w:r>
      <w:r>
        <w:rPr>
          <w:rFonts w:hint="eastAsia" w:ascii="宋体" w:hAnsi="宋体" w:cstheme="minorBidi"/>
          <w:highlight w:val="none"/>
        </w:rPr>
        <w:t>年   月   日</w:t>
      </w:r>
    </w:p>
    <w:p>
      <w:pPr>
        <w:pStyle w:val="5"/>
        <w:tabs>
          <w:tab w:val="left" w:pos="567"/>
          <w:tab w:val="left" w:pos="720"/>
        </w:tabs>
        <w:snapToGrid w:val="0"/>
        <w:spacing w:before="120" w:after="0" w:line="360" w:lineRule="auto"/>
        <w:ind w:right="-57" w:firstLine="0"/>
        <w:jc w:val="left"/>
        <w:rPr>
          <w:rFonts w:ascii="宋体" w:hAnsi="宋体" w:eastAsia="宋体"/>
          <w:sz w:val="21"/>
          <w:szCs w:val="21"/>
          <w:highlight w:val="none"/>
        </w:rPr>
      </w:pPr>
      <w:bookmarkStart w:id="1789" w:name="_Toc12833"/>
      <w:bookmarkStart w:id="1790" w:name="_Toc19172"/>
      <w:bookmarkStart w:id="1791" w:name="_Toc23161"/>
      <w:bookmarkStart w:id="1792" w:name="_Toc26526"/>
      <w:bookmarkStart w:id="1793" w:name="_Toc12186"/>
      <w:bookmarkStart w:id="1794" w:name="_Toc29131"/>
      <w:bookmarkStart w:id="1795" w:name="_Toc25750687"/>
      <w:bookmarkStart w:id="1796" w:name="_Toc17269"/>
      <w:bookmarkStart w:id="1797" w:name="_Toc16772"/>
      <w:r>
        <w:rPr>
          <w:rFonts w:hint="eastAsia" w:ascii="宋体" w:hAnsi="宋体" w:eastAsia="宋体"/>
          <w:sz w:val="21"/>
          <w:szCs w:val="21"/>
          <w:highlight w:val="none"/>
        </w:rPr>
        <w:t>C</w:t>
      </w:r>
      <w:r>
        <w:rPr>
          <w:rFonts w:ascii="宋体" w:hAnsi="宋体" w:eastAsia="宋体"/>
          <w:sz w:val="21"/>
          <w:szCs w:val="21"/>
          <w:highlight w:val="none"/>
        </w:rPr>
        <w:t>4</w:t>
      </w:r>
      <w:r>
        <w:rPr>
          <w:rFonts w:hint="eastAsia" w:ascii="宋体" w:hAnsi="宋体" w:eastAsia="宋体"/>
          <w:sz w:val="21"/>
          <w:szCs w:val="21"/>
          <w:highlight w:val="none"/>
        </w:rPr>
        <w:t>商务响应表</w:t>
      </w:r>
      <w:r>
        <w:rPr>
          <w:rFonts w:ascii="宋体" w:hAnsi="宋体" w:eastAsia="宋体"/>
          <w:sz w:val="21"/>
          <w:szCs w:val="21"/>
          <w:highlight w:val="none"/>
        </w:rPr>
        <w:t>格式</w:t>
      </w:r>
      <w:bookmarkEnd w:id="1789"/>
      <w:bookmarkEnd w:id="1790"/>
      <w:bookmarkEnd w:id="1791"/>
      <w:bookmarkEnd w:id="1792"/>
      <w:bookmarkEnd w:id="1793"/>
      <w:bookmarkEnd w:id="1794"/>
      <w:bookmarkEnd w:id="1795"/>
      <w:bookmarkEnd w:id="1796"/>
      <w:bookmarkEnd w:id="1797"/>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left="0" w:right="-57" w:firstLine="420" w:firstLineChars="200"/>
        <w:jc w:val="left"/>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lang w:val="en-US" w:eastAsia="zh-CN"/>
        </w:rPr>
        <w:t>南宁轨道交通1-5号线出入段（场）线地面洞口及个别车站紧急疏散口视频监控补盲项目</w:t>
      </w:r>
    </w:p>
    <w:tbl>
      <w:tblPr>
        <w:tblStyle w:val="31"/>
        <w:tblW w:w="852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36"/>
        <w:gridCol w:w="2680"/>
        <w:gridCol w:w="2170"/>
        <w:gridCol w:w="1659"/>
        <w:gridCol w:w="127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项目</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比选文件要求内容所在章节</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包含内容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第二章</w:t>
            </w:r>
            <w:r>
              <w:rPr>
                <w:rFonts w:ascii="宋体" w:hAnsi="宋体"/>
                <w:b w:val="0"/>
                <w:bCs w:val="0"/>
                <w:color w:val="auto"/>
                <w:highlight w:val="none"/>
              </w:rPr>
              <w:t> </w:t>
            </w:r>
            <w:r>
              <w:rPr>
                <w:rFonts w:hint="eastAsia" w:ascii="宋体" w:hAnsi="宋体"/>
                <w:b w:val="0"/>
                <w:bCs w:val="0"/>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ascii="宋体" w:hAnsi="宋体"/>
                <w:b w:val="0"/>
                <w:bCs w:val="0"/>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比选申请须知前附表</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ascii="宋体" w:hAnsi="宋体"/>
                <w:b w:val="0"/>
                <w:bCs w:val="0"/>
                <w:color w:val="auto"/>
                <w:highlight w:val="none"/>
              </w:rPr>
              <w:t>2</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比选申请须知正文</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第三章</w:t>
            </w:r>
            <w:r>
              <w:rPr>
                <w:rFonts w:ascii="宋体" w:hAnsi="宋体"/>
                <w:b w:val="0"/>
                <w:bCs w:val="0"/>
                <w:color w:val="auto"/>
                <w:highlight w:val="none"/>
              </w:rPr>
              <w:t> </w:t>
            </w:r>
            <w:r>
              <w:rPr>
                <w:rFonts w:hint="eastAsia" w:ascii="宋体" w:hAnsi="宋体"/>
                <w:b w:val="0"/>
                <w:bCs w:val="0"/>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ascii="宋体" w:hAnsi="宋体"/>
                <w:b w:val="0"/>
                <w:bCs w:val="0"/>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合同协议书</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ascii="宋体" w:hAnsi="宋体"/>
                <w:b w:val="0"/>
                <w:bCs w:val="0"/>
                <w:color w:val="auto"/>
                <w:highlight w:val="none"/>
              </w:rPr>
              <w:t>2</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合同条款</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73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ascii="宋体" w:hAnsi="宋体"/>
                <w:b w:val="0"/>
                <w:bCs w:val="0"/>
                <w:color w:val="auto"/>
                <w:highlight w:val="none"/>
              </w:rPr>
              <w:t>1</w:t>
            </w:r>
          </w:p>
        </w:tc>
        <w:tc>
          <w:tcPr>
            <w:tcW w:w="268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商务要求</w:t>
            </w:r>
          </w:p>
        </w:tc>
        <w:tc>
          <w:tcPr>
            <w:tcW w:w="217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b w:val="0"/>
                <w:bCs w:val="0"/>
                <w:color w:val="auto"/>
                <w:highlight w:val="none"/>
              </w:rPr>
            </w:pPr>
            <w:r>
              <w:rPr>
                <w:rFonts w:hint="eastAsia" w:ascii="宋体" w:hAnsi="宋体"/>
                <w:b w:val="0"/>
                <w:bCs w:val="0"/>
                <w:color w:val="auto"/>
                <w:highlight w:val="none"/>
              </w:rPr>
              <w:t>本章节全部内容</w:t>
            </w:r>
          </w:p>
        </w:tc>
        <w:tc>
          <w:tcPr>
            <w:tcW w:w="165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left="0" w:leftChars="0" w:right="-57" w:firstLine="0" w:firstLineChars="0"/>
        <w:jc w:val="center"/>
        <w:rPr>
          <w:rFonts w:ascii="宋体" w:hAnsi="宋体"/>
          <w:b/>
          <w:color w:val="auto"/>
          <w:highlight w:val="none"/>
        </w:rPr>
      </w:pPr>
      <w:r>
        <w:rPr>
          <w:rFonts w:hint="eastAsia" w:ascii="宋体" w:hAnsi="宋体"/>
          <w:color w:val="auto"/>
          <w:highlight w:val="none"/>
          <w:lang w:val="en-US" w:eastAsia="zh-CN"/>
        </w:rPr>
        <w:t xml:space="preserve">         </w:t>
      </w:r>
      <w:r>
        <w:rPr>
          <w:rFonts w:hint="eastAsia" w:ascii="宋体" w:hAnsi="宋体"/>
          <w:color w:val="auto"/>
          <w:highlight w:val="none"/>
        </w:rPr>
        <w:t>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Style w:val="15"/>
        <w:pageBreakBefore/>
        <w:ind w:right="-57" w:firstLine="0"/>
        <w:jc w:val="center"/>
        <w:outlineLvl w:val="0"/>
        <w:rPr>
          <w:rStyle w:val="44"/>
          <w:rFonts w:hint="eastAsia" w:ascii="宋体" w:hAnsi="宋体" w:eastAsia="宋体"/>
          <w:highlight w:val="none"/>
          <w:lang w:val="en-US" w:eastAsia="zh-CN"/>
        </w:rPr>
      </w:pPr>
      <w:bookmarkStart w:id="1798" w:name="_Toc27891"/>
      <w:bookmarkStart w:id="1799" w:name="_Toc18657_WPSOffice_Level1"/>
      <w:bookmarkStart w:id="1800" w:name="_Toc19139"/>
      <w:bookmarkStart w:id="1801" w:name="_Toc10472_WPSOffice_Level1"/>
      <w:bookmarkStart w:id="1802" w:name="_Toc28611"/>
      <w:bookmarkStart w:id="1803" w:name="_Toc25721"/>
      <w:bookmarkStart w:id="1804" w:name="_Toc28026"/>
      <w:bookmarkStart w:id="1805" w:name="_Toc24193"/>
      <w:bookmarkStart w:id="1806" w:name="_Toc23208_WPSOffice_Level2"/>
      <w:bookmarkStart w:id="1807" w:name="_Toc6454"/>
      <w:bookmarkStart w:id="1808" w:name="_Toc492478835"/>
      <w:bookmarkStart w:id="1809" w:name="_Toc21321"/>
      <w:bookmarkStart w:id="1810" w:name="_Toc28135"/>
      <w:bookmarkStart w:id="1811" w:name="_Toc13941"/>
      <w:bookmarkStart w:id="1812" w:name="_Toc16754"/>
      <w:bookmarkStart w:id="1813" w:name="_Toc25750688"/>
      <w:bookmarkStart w:id="1814" w:name="_Toc30897"/>
      <w:bookmarkStart w:id="1815" w:name="_Toc25061"/>
      <w:bookmarkStart w:id="1816" w:name="_Toc14566"/>
      <w:bookmarkStart w:id="1817" w:name="_Toc31681"/>
      <w:bookmarkStart w:id="1818" w:name="_Toc9597"/>
      <w:bookmarkStart w:id="1819" w:name="_Toc24328"/>
      <w:bookmarkStart w:id="1820" w:name="_Toc6337"/>
      <w:bookmarkStart w:id="1821" w:name="_Toc12695"/>
      <w:bookmarkStart w:id="1822" w:name="_Toc5010"/>
      <w:bookmarkStart w:id="1823" w:name="_Toc328"/>
      <w:bookmarkStart w:id="1824" w:name="_Toc20298"/>
      <w:bookmarkStart w:id="1825" w:name="_Toc28535"/>
      <w:bookmarkStart w:id="1826" w:name="_Toc26409"/>
      <w:r>
        <w:rPr>
          <w:rStyle w:val="44"/>
          <w:rFonts w:hint="eastAsia" w:ascii="宋体" w:hAnsi="宋体" w:eastAsia="宋体"/>
          <w:highlight w:val="none"/>
        </w:rPr>
        <w:t>第</w:t>
      </w:r>
      <w:r>
        <w:rPr>
          <w:rStyle w:val="44"/>
          <w:rFonts w:hint="eastAsia" w:ascii="宋体" w:hAnsi="宋体" w:eastAsia="宋体"/>
          <w:highlight w:val="none"/>
          <w:lang w:val="en-US" w:eastAsia="zh-CN"/>
        </w:rPr>
        <w:t>五</w:t>
      </w:r>
      <w:r>
        <w:rPr>
          <w:rStyle w:val="44"/>
          <w:rFonts w:hint="eastAsia" w:ascii="宋体" w:hAnsi="宋体" w:eastAsia="宋体"/>
          <w:highlight w:val="none"/>
        </w:rPr>
        <w:t>章</w:t>
      </w:r>
      <w:r>
        <w:rPr>
          <w:rStyle w:val="44"/>
          <w:rFonts w:hint="eastAsia" w:ascii="宋体" w:hAnsi="宋体" w:eastAsia="宋体"/>
          <w:highlight w:val="none"/>
          <w:lang w:val="en-US" w:eastAsia="zh-CN"/>
        </w:rPr>
        <w:t xml:space="preserve"> 用户需求书</w:t>
      </w:r>
      <w:bookmarkEnd w:id="1798"/>
      <w:bookmarkEnd w:id="1799"/>
      <w:bookmarkEnd w:id="1800"/>
      <w:bookmarkEnd w:id="1801"/>
      <w:bookmarkEnd w:id="1802"/>
      <w:bookmarkEnd w:id="1803"/>
      <w:bookmarkEnd w:id="1804"/>
      <w:bookmarkEnd w:id="1805"/>
      <w:bookmarkEnd w:id="1806"/>
    </w:p>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Pr>
        <w:keepNext/>
        <w:keepLines/>
        <w:widowControl w:val="0"/>
        <w:numPr>
          <w:ilvl w:val="0"/>
          <w:numId w:val="1"/>
        </w:numPr>
        <w:spacing w:before="0" w:after="0" w:afterAutospacing="0" w:line="360" w:lineRule="auto"/>
        <w:ind w:left="0" w:right="0" w:firstLine="0"/>
        <w:jc w:val="left"/>
        <w:outlineLvl w:val="0"/>
        <w:rPr>
          <w:rFonts w:ascii="黑体" w:hAnsi="黑体" w:eastAsia="黑体" w:cs="宋体"/>
          <w:color w:val="auto"/>
          <w:kern w:val="44"/>
          <w:sz w:val="32"/>
          <w:szCs w:val="21"/>
          <w:highlight w:val="none"/>
          <w:lang w:val="en-US" w:eastAsia="zh-CN" w:bidi="ar-SA"/>
        </w:rPr>
      </w:pPr>
      <w:bookmarkStart w:id="1827" w:name="_Toc18385"/>
      <w:bookmarkStart w:id="1828" w:name="_Toc9385"/>
      <w:bookmarkStart w:id="1829" w:name="_Toc16774"/>
      <w:bookmarkStart w:id="1830" w:name="_Toc19639_WPSOffice_Level2"/>
      <w:bookmarkStart w:id="1831" w:name="_Toc25359"/>
      <w:bookmarkStart w:id="1832" w:name="_Toc9882"/>
      <w:bookmarkStart w:id="1833" w:name="_Toc14107"/>
      <w:bookmarkStart w:id="1834" w:name="_Toc19849"/>
      <w:bookmarkStart w:id="1835" w:name="_Toc24806_WPSOffice_Level2"/>
      <w:bookmarkStart w:id="1836" w:name="_Toc18854"/>
      <w:bookmarkStart w:id="1837" w:name="_Toc19484_WPSOffice_Level1"/>
      <w:bookmarkStart w:id="1838" w:name="_Toc10021"/>
      <w:r>
        <w:rPr>
          <w:rFonts w:hint="eastAsia" w:ascii="黑体" w:hAnsi="黑体" w:eastAsia="黑体" w:cs="宋体"/>
          <w:color w:val="auto"/>
          <w:kern w:val="44"/>
          <w:sz w:val="32"/>
          <w:szCs w:val="21"/>
          <w:highlight w:val="none"/>
          <w:lang w:val="en-US" w:eastAsia="zh-CN" w:bidi="ar-SA"/>
        </w:rPr>
        <w:t>项目概况</w:t>
      </w:r>
      <w:bookmarkEnd w:id="1827"/>
      <w:bookmarkEnd w:id="1828"/>
      <w:bookmarkEnd w:id="1829"/>
      <w:bookmarkEnd w:id="1830"/>
      <w:bookmarkEnd w:id="1831"/>
      <w:bookmarkEnd w:id="1832"/>
      <w:bookmarkEnd w:id="1833"/>
      <w:bookmarkEnd w:id="1834"/>
      <w:bookmarkEnd w:id="1835"/>
      <w:bookmarkEnd w:id="1836"/>
      <w:bookmarkEnd w:id="1837"/>
      <w:bookmarkEnd w:id="1838"/>
    </w:p>
    <w:p>
      <w:pPr>
        <w:keepNext/>
        <w:keepLines/>
        <w:widowControl w:val="0"/>
        <w:numPr>
          <w:ilvl w:val="1"/>
          <w:numId w:val="1"/>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1839" w:name="_Toc13194"/>
      <w:bookmarkStart w:id="1840" w:name="_Toc28723"/>
      <w:bookmarkStart w:id="1841" w:name="_Toc21538"/>
      <w:bookmarkStart w:id="1842" w:name="_Toc27904"/>
      <w:bookmarkStart w:id="1843" w:name="_Toc28341"/>
      <w:bookmarkStart w:id="1844" w:name="_Toc19629_WPSOffice_Level2"/>
      <w:bookmarkStart w:id="1845" w:name="_Toc14779"/>
      <w:bookmarkStart w:id="1846" w:name="_Toc1790"/>
      <w:bookmarkStart w:id="1847" w:name="_Toc1203"/>
      <w:bookmarkStart w:id="1848" w:name="_Toc16203"/>
      <w:r>
        <w:rPr>
          <w:rFonts w:hint="eastAsia" w:ascii="黑体" w:hAnsi="黑体" w:eastAsia="黑体" w:cs="黑体"/>
          <w:color w:val="auto"/>
          <w:kern w:val="2"/>
          <w:sz w:val="28"/>
          <w:szCs w:val="28"/>
          <w:highlight w:val="none"/>
          <w:lang w:val="en-US" w:eastAsia="zh-CN" w:bidi="ar-SA"/>
        </w:rPr>
        <w:t>项目名称</w:t>
      </w:r>
      <w:bookmarkEnd w:id="1839"/>
      <w:bookmarkEnd w:id="1840"/>
      <w:bookmarkEnd w:id="1841"/>
      <w:bookmarkEnd w:id="1842"/>
      <w:bookmarkEnd w:id="1843"/>
      <w:bookmarkEnd w:id="1844"/>
      <w:bookmarkEnd w:id="1845"/>
      <w:bookmarkEnd w:id="1846"/>
      <w:bookmarkEnd w:id="1847"/>
      <w:bookmarkEnd w:id="1848"/>
    </w:p>
    <w:p>
      <w:pPr>
        <w:widowControl w:val="0"/>
        <w:spacing w:before="0" w:after="0" w:afterAutospacing="0" w:line="360" w:lineRule="auto"/>
        <w:ind w:left="0" w:leftChars="0" w:right="0" w:firstLine="420" w:firstLineChars="200"/>
        <w:jc w:val="both"/>
        <w:rPr>
          <w:rFonts w:hint="eastAsia" w:cs="宋体" w:asciiTheme="minorEastAsia" w:hAnsiTheme="minorEastAsia" w:eastAsiaTheme="minorEastAsia"/>
          <w:color w:val="auto"/>
          <w:kern w:val="2"/>
          <w:sz w:val="21"/>
          <w:szCs w:val="21"/>
          <w:highlight w:val="none"/>
          <w:lang w:val="en-US" w:eastAsia="zh-CN" w:bidi="ar-SA"/>
        </w:rPr>
      </w:pPr>
      <w:r>
        <w:rPr>
          <w:rFonts w:hint="eastAsia" w:cs="宋体" w:asciiTheme="minorEastAsia" w:hAnsiTheme="minorEastAsia" w:eastAsiaTheme="minorEastAsia"/>
          <w:color w:val="auto"/>
          <w:kern w:val="2"/>
          <w:sz w:val="21"/>
          <w:szCs w:val="21"/>
          <w:highlight w:val="none"/>
          <w:lang w:val="en-US" w:eastAsia="zh-CN" w:bidi="ar-SA"/>
        </w:rPr>
        <w:t>南宁轨道交通1-5号线出入段（场）线地面洞口及个别车站紧急疏散口视频监控补盲项目。</w:t>
      </w:r>
    </w:p>
    <w:p>
      <w:pPr>
        <w:keepNext/>
        <w:keepLines/>
        <w:widowControl w:val="0"/>
        <w:numPr>
          <w:ilvl w:val="1"/>
          <w:numId w:val="1"/>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1849" w:name="_Toc6559"/>
      <w:bookmarkStart w:id="1850" w:name="_Toc27970"/>
      <w:bookmarkStart w:id="1851" w:name="_Toc23438"/>
      <w:bookmarkStart w:id="1852" w:name="_Toc8036_WPSOffice_Level2"/>
      <w:bookmarkStart w:id="1853" w:name="_Toc20288"/>
      <w:bookmarkStart w:id="1854" w:name="_Toc10086"/>
      <w:bookmarkStart w:id="1855" w:name="_Toc25492"/>
      <w:bookmarkStart w:id="1856" w:name="_Toc2166"/>
      <w:bookmarkStart w:id="1857" w:name="_Toc30573"/>
      <w:bookmarkStart w:id="1858" w:name="_Toc15219"/>
      <w:r>
        <w:rPr>
          <w:rFonts w:hint="eastAsia" w:ascii="黑体" w:hAnsi="黑体" w:eastAsia="黑体" w:cs="黑体"/>
          <w:color w:val="auto"/>
          <w:kern w:val="2"/>
          <w:sz w:val="28"/>
          <w:szCs w:val="28"/>
          <w:highlight w:val="none"/>
          <w:lang w:val="en-US" w:eastAsia="zh-CN" w:bidi="ar-SA"/>
        </w:rPr>
        <w:t>南宁轨道交通1、2、3、4、5号线视频监控系统覆盖概况</w:t>
      </w:r>
      <w:bookmarkEnd w:id="1849"/>
      <w:bookmarkEnd w:id="1850"/>
      <w:bookmarkEnd w:id="1851"/>
      <w:bookmarkEnd w:id="1852"/>
      <w:bookmarkEnd w:id="1853"/>
      <w:bookmarkEnd w:id="1854"/>
      <w:bookmarkEnd w:id="1855"/>
      <w:bookmarkEnd w:id="1856"/>
      <w:bookmarkEnd w:id="1857"/>
      <w:bookmarkEnd w:id="1858"/>
    </w:p>
    <w:p>
      <w:pPr>
        <w:widowControl/>
        <w:spacing w:before="0" w:after="0" w:afterAutospacing="0" w:line="360" w:lineRule="auto"/>
        <w:ind w:left="0" w:leftChars="0" w:right="0" w:firstLine="420" w:firstLineChars="200"/>
        <w:jc w:val="left"/>
        <w:rPr>
          <w:rFonts w:hint="default" w:cs="宋体" w:asciiTheme="minorEastAsia" w:hAnsiTheme="minorEastAsia" w:eastAsiaTheme="minorEastAsia"/>
          <w:color w:val="auto"/>
          <w:kern w:val="2"/>
          <w:sz w:val="21"/>
          <w:szCs w:val="21"/>
          <w:highlight w:val="none"/>
          <w:lang w:val="en-US" w:eastAsia="zh-CN" w:bidi="ar-SA"/>
        </w:rPr>
      </w:pPr>
      <w:r>
        <w:rPr>
          <w:rFonts w:hint="eastAsia" w:cs="宋体" w:asciiTheme="minorEastAsia" w:hAnsiTheme="minorEastAsia" w:eastAsiaTheme="minorEastAsia"/>
          <w:color w:val="auto"/>
          <w:kern w:val="2"/>
          <w:sz w:val="21"/>
          <w:szCs w:val="21"/>
          <w:highlight w:val="none"/>
          <w:lang w:val="en-US" w:eastAsia="zh-CN" w:bidi="ar-SA"/>
        </w:rPr>
        <w:t>目前南宁轨道交通1、2、3、4、5号线视频监控系统（以下简称“CCTV”）在控制中心、正线车站、场段、主变电站、区间设置高清网络摄像机，控制中心视频监控范围为票务管理室、部分专业设备房。车站视频监控范围为部分专业设备房、站台、站厅、自动扶梯等处，并且覆盖AFC售票机和闸机、垂直电梯口及轿厢、安检区域、售票亭、设备区走廊、出入口通道（含地面区域）、卫生间通道、与轨道交通物业区的连接通道等位置。场段视频监控范围为停车列检棚、联合检修库、镟轮库、洗车棚出入口、运用库等场段重要场所及周界。主变电站视频监控范围为主变电站重要设备室及周界。区间视频监控范围为区间污水泵房、联络通道、道岔等。</w:t>
      </w:r>
    </w:p>
    <w:p>
      <w:pPr>
        <w:widowControl/>
        <w:spacing w:before="0" w:after="0" w:afterAutospacing="0" w:line="360" w:lineRule="auto"/>
        <w:ind w:left="0" w:right="0" w:firstLine="420" w:firstLineChars="200"/>
        <w:jc w:val="left"/>
        <w:rPr>
          <w:rFonts w:hint="eastAsia" w:cs="宋体" w:asciiTheme="minorEastAsia" w:hAnsiTheme="minorEastAsia" w:eastAsiaTheme="minorEastAsia"/>
          <w:color w:val="auto"/>
          <w:kern w:val="2"/>
          <w:sz w:val="21"/>
          <w:szCs w:val="21"/>
          <w:highlight w:val="none"/>
          <w:lang w:val="en-US" w:eastAsia="zh-CN" w:bidi="ar-SA"/>
        </w:rPr>
      </w:pPr>
      <w:r>
        <w:rPr>
          <w:rFonts w:hint="eastAsia" w:cs="宋体" w:asciiTheme="minorEastAsia" w:hAnsiTheme="minorEastAsia" w:eastAsiaTheme="minorEastAsia"/>
          <w:color w:val="auto"/>
          <w:kern w:val="2"/>
          <w:sz w:val="21"/>
          <w:szCs w:val="21"/>
          <w:highlight w:val="none"/>
          <w:lang w:val="en-US" w:eastAsia="zh-CN" w:bidi="ar-SA"/>
        </w:rPr>
        <w:t>CCTV高清网络摄像机和编码器输出的数字视频信号通过网线、光纤传送至就近汇聚交换机，再传送至设备房视频管理服务器及存储设备。设备使用人员通过监视终端查看监控视频图像。</w:t>
      </w:r>
    </w:p>
    <w:p>
      <w:pPr>
        <w:widowControl/>
        <w:spacing w:before="0" w:after="0" w:afterAutospacing="0" w:line="360" w:lineRule="auto"/>
        <w:ind w:left="0" w:right="0" w:firstLine="420" w:firstLineChars="200"/>
        <w:jc w:val="left"/>
        <w:rPr>
          <w:rFonts w:hint="default" w:eastAsia="Times New Roman"/>
          <w:sz w:val="24"/>
          <w:szCs w:val="24"/>
          <w:highlight w:val="none"/>
          <w:lang w:val="en-US" w:eastAsia="zh-CN"/>
        </w:rPr>
      </w:pPr>
      <w:r>
        <w:rPr>
          <w:rFonts w:hint="eastAsia" w:cs="宋体" w:asciiTheme="minorEastAsia" w:hAnsiTheme="minorEastAsia" w:eastAsiaTheme="minorEastAsia"/>
          <w:color w:val="auto"/>
          <w:kern w:val="2"/>
          <w:sz w:val="21"/>
          <w:szCs w:val="21"/>
          <w:highlight w:val="none"/>
          <w:lang w:val="en-US" w:eastAsia="zh-CN" w:bidi="ar-SA"/>
        </w:rPr>
        <w:t>本项目需在南宁轨道交通1号线屯里车辆段及西乡塘停车场、2号线安吉综合基地及新村停车场、3号线心圩车辆段及新村停车场、4号线五象车辆段出入段（场）线地面洞口，2号线西津站、玉洞站以及5号线金桥客运站紧急疏散口新增和调试摄像机设备，满足上述地点的视频监控覆盖。</w:t>
      </w:r>
    </w:p>
    <w:p>
      <w:pPr>
        <w:keepNext/>
        <w:keepLines/>
        <w:widowControl w:val="0"/>
        <w:numPr>
          <w:ilvl w:val="1"/>
          <w:numId w:val="1"/>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1859" w:name="_Toc24633"/>
      <w:bookmarkStart w:id="1860" w:name="_Toc20337"/>
      <w:bookmarkStart w:id="1861" w:name="_Toc2941"/>
      <w:bookmarkStart w:id="1862" w:name="_Toc9600"/>
      <w:bookmarkStart w:id="1863" w:name="_Toc18106"/>
      <w:bookmarkStart w:id="1864" w:name="_Toc10925"/>
      <w:bookmarkStart w:id="1865" w:name="_Toc22952"/>
      <w:bookmarkStart w:id="1866" w:name="_Toc5953"/>
      <w:bookmarkStart w:id="1867" w:name="_Toc19552"/>
      <w:bookmarkStart w:id="1868" w:name="_Toc20576_WPSOffice_Level2"/>
      <w:r>
        <w:rPr>
          <w:rFonts w:hint="eastAsia" w:ascii="黑体" w:hAnsi="黑体" w:eastAsia="黑体" w:cs="黑体"/>
          <w:color w:val="auto"/>
          <w:kern w:val="2"/>
          <w:sz w:val="28"/>
          <w:szCs w:val="28"/>
          <w:highlight w:val="none"/>
          <w:lang w:val="en-US" w:eastAsia="zh-CN" w:bidi="ar-SA"/>
        </w:rPr>
        <w:t>甲乙双方</w:t>
      </w:r>
      <w:bookmarkEnd w:id="1859"/>
      <w:bookmarkEnd w:id="1860"/>
      <w:bookmarkEnd w:id="1861"/>
      <w:bookmarkEnd w:id="1862"/>
      <w:bookmarkEnd w:id="1863"/>
      <w:bookmarkEnd w:id="1864"/>
      <w:bookmarkEnd w:id="1865"/>
      <w:bookmarkEnd w:id="1866"/>
      <w:bookmarkEnd w:id="1867"/>
      <w:bookmarkEnd w:id="1868"/>
    </w:p>
    <w:p>
      <w:pPr>
        <w:widowControl/>
        <w:spacing w:before="0" w:after="0" w:afterAutospacing="0" w:line="360" w:lineRule="auto"/>
        <w:ind w:left="0" w:leftChars="0" w:right="0" w:firstLine="420" w:firstLineChars="20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甲方：南宁轨道交通运营有限公司。</w:t>
      </w:r>
    </w:p>
    <w:p>
      <w:pPr>
        <w:widowControl/>
        <w:spacing w:before="0" w:after="0" w:afterAutospacing="0" w:line="360" w:lineRule="auto"/>
        <w:ind w:left="0" w:leftChars="0" w:right="0" w:firstLine="420" w:firstLineChars="200"/>
        <w:jc w:val="both"/>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乙方：响应比选、参加比选申请竞争的法人或组织。</w:t>
      </w:r>
    </w:p>
    <w:p>
      <w:pPr>
        <w:keepNext/>
        <w:keepLines/>
        <w:widowControl w:val="0"/>
        <w:numPr>
          <w:ilvl w:val="0"/>
          <w:numId w:val="1"/>
        </w:numPr>
        <w:spacing w:before="0" w:after="0" w:afterAutospacing="0" w:line="360" w:lineRule="auto"/>
        <w:ind w:left="0" w:right="0" w:firstLine="0"/>
        <w:jc w:val="left"/>
        <w:outlineLvl w:val="0"/>
        <w:rPr>
          <w:rFonts w:ascii="黑体" w:hAnsi="黑体" w:eastAsia="黑体" w:cs="宋体"/>
          <w:color w:val="auto"/>
          <w:kern w:val="44"/>
          <w:sz w:val="32"/>
          <w:szCs w:val="21"/>
          <w:highlight w:val="none"/>
          <w:lang w:val="en-US" w:eastAsia="zh-CN" w:bidi="ar-SA"/>
        </w:rPr>
      </w:pPr>
      <w:bookmarkStart w:id="1869" w:name="_Toc11371"/>
      <w:bookmarkStart w:id="1870" w:name="_Toc20292"/>
      <w:bookmarkStart w:id="1871" w:name="_Toc8734"/>
      <w:bookmarkStart w:id="1872" w:name="_Toc19326"/>
      <w:bookmarkStart w:id="1873" w:name="_Toc28217"/>
      <w:bookmarkStart w:id="1874" w:name="_Toc13543_WPSOffice_Level2"/>
      <w:bookmarkStart w:id="1875" w:name="_Toc16745"/>
      <w:bookmarkStart w:id="1876" w:name="_Toc22550_WPSOffice_Level2"/>
      <w:bookmarkStart w:id="1877" w:name="_Toc16756"/>
      <w:bookmarkStart w:id="1878" w:name="_Toc19629_WPSOffice_Level1"/>
      <w:bookmarkStart w:id="1879" w:name="_Toc25498"/>
      <w:bookmarkStart w:id="1880" w:name="_Toc32627"/>
      <w:r>
        <w:rPr>
          <w:rFonts w:hint="eastAsia" w:ascii="黑体" w:hAnsi="黑体" w:eastAsia="黑体" w:cs="宋体"/>
          <w:color w:val="auto"/>
          <w:kern w:val="44"/>
          <w:sz w:val="32"/>
          <w:szCs w:val="21"/>
          <w:highlight w:val="none"/>
          <w:lang w:val="en-US" w:eastAsia="zh-CN" w:bidi="ar-SA"/>
        </w:rPr>
        <w:t>项目范围</w:t>
      </w:r>
      <w:bookmarkEnd w:id="1869"/>
      <w:bookmarkEnd w:id="1870"/>
      <w:bookmarkEnd w:id="1871"/>
      <w:bookmarkEnd w:id="1872"/>
      <w:bookmarkEnd w:id="1873"/>
      <w:bookmarkEnd w:id="1874"/>
      <w:bookmarkEnd w:id="1875"/>
      <w:bookmarkEnd w:id="1876"/>
      <w:bookmarkEnd w:id="1877"/>
      <w:bookmarkEnd w:id="1878"/>
      <w:bookmarkEnd w:id="1879"/>
      <w:bookmarkEnd w:id="1880"/>
    </w:p>
    <w:p>
      <w:pPr>
        <w:keepNext/>
        <w:keepLines/>
        <w:widowControl w:val="0"/>
        <w:numPr>
          <w:ilvl w:val="1"/>
          <w:numId w:val="1"/>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1881" w:name="_Toc14574"/>
      <w:bookmarkStart w:id="1882" w:name="_Toc10919"/>
      <w:bookmarkStart w:id="1883" w:name="_Toc17709"/>
      <w:bookmarkStart w:id="1884" w:name="_Toc20461"/>
      <w:bookmarkStart w:id="1885" w:name="_Toc8807"/>
      <w:bookmarkStart w:id="1886" w:name="_Toc11084"/>
      <w:bookmarkStart w:id="1887" w:name="_Toc3704"/>
      <w:bookmarkStart w:id="1888" w:name="_Toc17810"/>
      <w:bookmarkStart w:id="1889" w:name="_Toc3095"/>
      <w:bookmarkStart w:id="1890" w:name="_Toc11575_WPSOffice_Level2"/>
      <w:r>
        <w:rPr>
          <w:rFonts w:hint="eastAsia" w:ascii="黑体" w:hAnsi="黑体" w:eastAsia="黑体" w:cs="黑体"/>
          <w:color w:val="auto"/>
          <w:kern w:val="2"/>
          <w:sz w:val="28"/>
          <w:szCs w:val="28"/>
          <w:highlight w:val="none"/>
          <w:lang w:val="en-US" w:eastAsia="zh-CN" w:bidi="ar-SA"/>
        </w:rPr>
        <w:t>项目地点</w:t>
      </w:r>
      <w:bookmarkEnd w:id="1881"/>
      <w:bookmarkEnd w:id="1882"/>
      <w:bookmarkEnd w:id="1883"/>
      <w:bookmarkEnd w:id="1884"/>
      <w:bookmarkEnd w:id="1885"/>
      <w:bookmarkEnd w:id="1886"/>
      <w:bookmarkEnd w:id="1887"/>
      <w:bookmarkEnd w:id="1888"/>
      <w:bookmarkEnd w:id="1889"/>
      <w:bookmarkEnd w:id="1890"/>
    </w:p>
    <w:p>
      <w:pPr>
        <w:widowControl/>
        <w:spacing w:before="0" w:after="0" w:afterAutospacing="0" w:line="360" w:lineRule="auto"/>
        <w:ind w:left="0" w:leftChars="0" w:right="0" w:firstLine="420" w:firstLineChars="200"/>
        <w:jc w:val="both"/>
        <w:rPr>
          <w:rFonts w:hint="default" w:ascii="宋体" w:hAnsi="宋体" w:eastAsia="宋体" w:cs="宋体"/>
          <w:color w:val="auto"/>
          <w:kern w:val="2"/>
          <w:sz w:val="21"/>
          <w:szCs w:val="21"/>
          <w:highlight w:val="none"/>
          <w:lang w:val="en-US" w:eastAsia="zh-CN" w:bidi="ar-SA"/>
        </w:rPr>
      </w:pPr>
      <w:r>
        <w:rPr>
          <w:rFonts w:hint="eastAsia" w:cs="宋体" w:asciiTheme="minorEastAsia" w:hAnsiTheme="minorEastAsia" w:eastAsiaTheme="minorEastAsia"/>
          <w:color w:val="auto"/>
          <w:kern w:val="2"/>
          <w:sz w:val="21"/>
          <w:szCs w:val="21"/>
          <w:highlight w:val="none"/>
          <w:lang w:val="en-US" w:eastAsia="zh-CN" w:bidi="ar-SA"/>
        </w:rPr>
        <w:t>南宁轨道交通1、2、3、4号线场段，2号线西津站、玉洞站及5号线金桥客运站。</w:t>
      </w:r>
    </w:p>
    <w:p>
      <w:pPr>
        <w:keepNext/>
        <w:keepLines/>
        <w:widowControl w:val="0"/>
        <w:numPr>
          <w:ilvl w:val="1"/>
          <w:numId w:val="1"/>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1891" w:name="_Toc2943"/>
      <w:bookmarkStart w:id="1892" w:name="_Toc17982"/>
      <w:bookmarkStart w:id="1893" w:name="_Toc21131"/>
      <w:bookmarkStart w:id="1894" w:name="_Toc32763"/>
      <w:bookmarkStart w:id="1895" w:name="_Toc273"/>
      <w:bookmarkStart w:id="1896" w:name="_Toc4657"/>
      <w:bookmarkStart w:id="1897" w:name="_Toc17850_WPSOffice_Level2"/>
      <w:bookmarkStart w:id="1898" w:name="_Toc4915"/>
      <w:bookmarkStart w:id="1899" w:name="_Toc26032"/>
      <w:bookmarkStart w:id="1900" w:name="_Toc19092"/>
      <w:r>
        <w:rPr>
          <w:rFonts w:hint="eastAsia" w:ascii="黑体" w:hAnsi="黑体" w:eastAsia="黑体" w:cs="黑体"/>
          <w:color w:val="auto"/>
          <w:kern w:val="2"/>
          <w:sz w:val="28"/>
          <w:szCs w:val="28"/>
          <w:highlight w:val="none"/>
          <w:lang w:val="en-US" w:eastAsia="zh-CN" w:bidi="ar-SA"/>
        </w:rPr>
        <w:t>项目范围及内容</w:t>
      </w:r>
      <w:bookmarkEnd w:id="1891"/>
      <w:bookmarkEnd w:id="1892"/>
      <w:bookmarkEnd w:id="1893"/>
      <w:bookmarkEnd w:id="1894"/>
      <w:bookmarkEnd w:id="1895"/>
      <w:bookmarkEnd w:id="1896"/>
      <w:bookmarkEnd w:id="1897"/>
      <w:bookmarkEnd w:id="1898"/>
      <w:bookmarkEnd w:id="1899"/>
      <w:bookmarkEnd w:id="1900"/>
    </w:p>
    <w:p>
      <w:pPr>
        <w:widowControl/>
        <w:spacing w:before="0" w:after="0" w:afterAutospacing="0" w:line="360" w:lineRule="auto"/>
        <w:ind w:left="0" w:leftChars="0" w:right="0"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本项目范围为南宁轨道交通</w:t>
      </w:r>
      <w:r>
        <w:rPr>
          <w:rFonts w:hint="eastAsia" w:ascii="宋体" w:hAnsi="宋体" w:cs="宋体"/>
          <w:color w:val="auto"/>
          <w:kern w:val="2"/>
          <w:sz w:val="21"/>
          <w:szCs w:val="21"/>
          <w:highlight w:val="none"/>
          <w:lang w:val="en-US" w:eastAsia="zh-CN" w:bidi="ar-SA"/>
        </w:rPr>
        <w:t>1-5号线出入段（场）线地面洞口</w:t>
      </w:r>
      <w:r>
        <w:rPr>
          <w:rFonts w:hint="eastAsia" w:ascii="宋体" w:hAnsi="宋体" w:eastAsia="宋体" w:cs="宋体"/>
          <w:color w:val="auto"/>
          <w:kern w:val="2"/>
          <w:sz w:val="21"/>
          <w:szCs w:val="21"/>
          <w:highlight w:val="none"/>
          <w:lang w:val="en-US" w:eastAsia="zh-CN" w:bidi="ar-SA"/>
        </w:rPr>
        <w:t>及个别车站</w:t>
      </w:r>
      <w:r>
        <w:rPr>
          <w:rFonts w:hint="eastAsia" w:ascii="宋体" w:hAnsi="宋体" w:cs="宋体"/>
          <w:color w:val="auto"/>
          <w:kern w:val="2"/>
          <w:sz w:val="21"/>
          <w:szCs w:val="21"/>
          <w:highlight w:val="none"/>
          <w:lang w:val="en-US" w:eastAsia="zh-CN" w:bidi="ar-SA"/>
        </w:rPr>
        <w:t>紧急疏散口</w:t>
      </w:r>
      <w:r>
        <w:rPr>
          <w:rFonts w:hint="eastAsia" w:ascii="宋体" w:hAnsi="宋体" w:eastAsia="宋体" w:cs="宋体"/>
          <w:color w:val="auto"/>
          <w:kern w:val="2"/>
          <w:sz w:val="21"/>
          <w:szCs w:val="21"/>
          <w:highlight w:val="none"/>
          <w:lang w:val="en-US" w:eastAsia="zh-CN" w:bidi="ar-SA"/>
        </w:rPr>
        <w:t>视频监控补盲，包括：</w:t>
      </w:r>
      <w:r>
        <w:rPr>
          <w:rFonts w:hint="eastAsia" w:cs="宋体" w:asciiTheme="minorEastAsia" w:hAnsiTheme="minorEastAsia" w:eastAsiaTheme="minorEastAsia"/>
          <w:color w:val="auto"/>
          <w:kern w:val="2"/>
          <w:sz w:val="21"/>
          <w:szCs w:val="21"/>
          <w:highlight w:val="none"/>
          <w:lang w:val="en-US" w:eastAsia="zh-CN" w:bidi="ar-SA"/>
        </w:rPr>
        <w:t>南宁轨道交通1号线屯里车辆段及西乡塘停车场、2号线安吉综合基地及新村停车场、3号线心圩车辆段及新村停车场、4号线五象车辆段出入段（场）线地面洞口，2号线西津站、玉洞站以及5号线金桥客运站紧急疏散口</w:t>
      </w:r>
      <w:r>
        <w:rPr>
          <w:rFonts w:hint="eastAsia" w:ascii="宋体" w:hAnsi="宋体" w:eastAsia="宋体" w:cs="宋体"/>
          <w:color w:val="auto"/>
          <w:kern w:val="2"/>
          <w:sz w:val="21"/>
          <w:szCs w:val="21"/>
          <w:highlight w:val="none"/>
          <w:lang w:val="en-US" w:eastAsia="zh-CN" w:bidi="ar-SA"/>
        </w:rPr>
        <w:t>新增和调试摄像机设备（包括但不限于摄像机、摄像机壁式/悬挂式支架</w:t>
      </w:r>
      <w:r>
        <w:rPr>
          <w:rFonts w:hint="eastAsia" w:ascii="宋体" w:hAnsi="宋体" w:eastAsia="Times New Roman" w:cs="宋体"/>
          <w:color w:val="auto"/>
          <w:kern w:val="2"/>
          <w:sz w:val="21"/>
          <w:szCs w:val="21"/>
          <w:highlight w:val="none"/>
          <w:lang w:val="en-US" w:eastAsia="zh-CN" w:bidi="ar-SA"/>
        </w:rPr>
        <w:t>、线缆及附属设备的采购与</w:t>
      </w:r>
      <w:r>
        <w:rPr>
          <w:rFonts w:hint="eastAsia" w:ascii="宋体" w:hAnsi="宋体" w:eastAsia="宋体" w:cs="宋体"/>
          <w:color w:val="auto"/>
          <w:kern w:val="2"/>
          <w:sz w:val="21"/>
          <w:szCs w:val="21"/>
          <w:highlight w:val="none"/>
          <w:lang w:val="en-US" w:eastAsia="zh-CN" w:bidi="ar-SA"/>
        </w:rPr>
        <w:t>安装</w:t>
      </w:r>
      <w:r>
        <w:rPr>
          <w:rFonts w:hint="eastAsia" w:ascii="宋体" w:hAnsi="宋体" w:eastAsia="Times New Roman" w:cs="宋体"/>
          <w:color w:val="auto"/>
          <w:kern w:val="2"/>
          <w:sz w:val="21"/>
          <w:szCs w:val="21"/>
          <w:highlight w:val="none"/>
          <w:lang w:val="en-US" w:eastAsia="zh-CN" w:bidi="ar-SA"/>
        </w:rPr>
        <w:t>，摄像机接入既有CCTV管理平台及与综合监控专业的接口调试</w:t>
      </w:r>
      <w:r>
        <w:rPr>
          <w:rFonts w:hint="eastAsia" w:ascii="宋体" w:hAnsi="宋体" w:eastAsia="宋体" w:cs="宋体"/>
          <w:color w:val="auto"/>
          <w:kern w:val="2"/>
          <w:sz w:val="21"/>
          <w:szCs w:val="21"/>
          <w:highlight w:val="none"/>
          <w:lang w:val="en-US" w:eastAsia="zh-CN" w:bidi="ar-SA"/>
        </w:rPr>
        <w:t>）。</w:t>
      </w:r>
    </w:p>
    <w:p>
      <w:pPr>
        <w:widowControl/>
        <w:spacing w:before="0" w:after="0" w:afterAutospacing="0" w:line="360" w:lineRule="auto"/>
        <w:ind w:left="0" w:leftChars="0" w:right="0"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项目实施的主要内容包含：</w:t>
      </w:r>
    </w:p>
    <w:p>
      <w:pPr>
        <w:keepNext w:val="0"/>
        <w:keepLines w:val="0"/>
        <w:pageBreakBefore w:val="0"/>
        <w:widowControl w:val="0"/>
        <w:numPr>
          <w:ilvl w:val="0"/>
          <w:numId w:val="18"/>
        </w:numPr>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Theme="minorEastAsia" w:hAnsiTheme="minorEastAsia" w:eastAsiaTheme="minorEastAsia" w:cstheme="minorEastAsia"/>
          <w:color w:val="auto"/>
          <w:sz w:val="21"/>
          <w:szCs w:val="21"/>
          <w:highlight w:val="none"/>
          <w:shd w:val="clear" w:color="auto" w:fill="auto"/>
          <w:lang w:val="en-US" w:eastAsia="zh-CN"/>
        </w:rPr>
      </w:pPr>
      <w:r>
        <w:rPr>
          <w:rFonts w:hint="eastAsia" w:ascii="宋体" w:hAnsi="宋体" w:eastAsia="Times New Roman" w:cs="宋体"/>
          <w:color w:val="auto"/>
          <w:kern w:val="2"/>
          <w:sz w:val="21"/>
          <w:szCs w:val="21"/>
          <w:highlight w:val="none"/>
          <w:lang w:val="en-US" w:eastAsia="zh-CN" w:bidi="ar-SA"/>
        </w:rPr>
        <w:t>南宁轨道交通</w:t>
      </w:r>
      <w:r>
        <w:rPr>
          <w:rFonts w:hint="eastAsia" w:cs="宋体" w:asciiTheme="minorEastAsia" w:hAnsiTheme="minorEastAsia" w:eastAsiaTheme="minorEastAsia"/>
          <w:color w:val="auto"/>
          <w:kern w:val="2"/>
          <w:sz w:val="21"/>
          <w:szCs w:val="21"/>
          <w:highlight w:val="none"/>
          <w:lang w:val="en-US" w:eastAsia="zh-CN" w:bidi="ar-SA"/>
        </w:rPr>
        <w:t>1号线屯里车辆段及西乡塘停车场、2号线安吉综合基地及新村停车场、3号线心圩车辆段及新村停车场的每个出入段（场）线地面洞口各新增</w:t>
      </w:r>
      <w:r>
        <w:rPr>
          <w:rFonts w:hint="eastAsia" w:cs="宋体" w:asciiTheme="minorEastAsia" w:hAnsiTheme="minorEastAsia" w:eastAsiaTheme="minorEastAsia"/>
          <w:color w:val="auto"/>
          <w:kern w:val="2"/>
          <w:sz w:val="21"/>
          <w:szCs w:val="21"/>
          <w:highlight w:val="none"/>
          <w:shd w:val="clear" w:color="auto" w:fill="auto"/>
          <w:lang w:val="en-US" w:eastAsia="zh-CN" w:bidi="ar-SA"/>
        </w:rPr>
        <w:t>高清数字枪式摄像机1台,4号线</w:t>
      </w:r>
      <w:r>
        <w:rPr>
          <w:rFonts w:hint="eastAsia" w:cs="宋体" w:asciiTheme="minorEastAsia" w:hAnsiTheme="minorEastAsia" w:eastAsiaTheme="minorEastAsia"/>
          <w:color w:val="auto"/>
          <w:kern w:val="2"/>
          <w:sz w:val="21"/>
          <w:szCs w:val="21"/>
          <w:highlight w:val="none"/>
          <w:lang w:val="en-US" w:eastAsia="zh-CN" w:bidi="ar-SA"/>
        </w:rPr>
        <w:t>五象车辆段</w:t>
      </w:r>
      <w:r>
        <w:rPr>
          <w:rFonts w:hint="eastAsia" w:cs="宋体" w:asciiTheme="minorEastAsia" w:hAnsiTheme="minorEastAsia" w:eastAsiaTheme="minorEastAsia"/>
          <w:color w:val="auto"/>
          <w:kern w:val="2"/>
          <w:sz w:val="21"/>
          <w:szCs w:val="21"/>
          <w:highlight w:val="none"/>
          <w:shd w:val="clear" w:color="auto" w:fill="auto"/>
          <w:lang w:val="en-US" w:eastAsia="zh-CN" w:bidi="ar-SA"/>
        </w:rPr>
        <w:t>出入段（场）线地面洞口新增高清数字枪式摄像机2台，包括但不限于含摄像机、摄像机配线箱、线缆、光模块、光纤收发器、4芯光缆终端盒、摄像机壁式/悬挂式支架、开关电源、空开等设备的采购、安装</w:t>
      </w:r>
      <w:r>
        <w:rPr>
          <w:rFonts w:hint="eastAsia" w:asciiTheme="minorEastAsia" w:hAnsiTheme="minorEastAsia" w:eastAsiaTheme="minorEastAsia" w:cstheme="minorEastAsia"/>
          <w:color w:val="auto"/>
          <w:sz w:val="21"/>
          <w:szCs w:val="21"/>
          <w:highlight w:val="none"/>
          <w:shd w:val="clear" w:color="auto" w:fill="auto"/>
          <w:lang w:val="en-US"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Theme="minorEastAsia" w:hAnsiTheme="minorEastAsia" w:eastAsiaTheme="minorEastAsia" w:cstheme="minorEastAsia"/>
          <w:color w:val="auto"/>
          <w:sz w:val="21"/>
          <w:szCs w:val="21"/>
          <w:highlight w:val="none"/>
          <w:shd w:val="clear" w:color="auto" w:fill="auto"/>
          <w:lang w:val="en-US" w:eastAsia="zh-CN"/>
        </w:rPr>
      </w:pPr>
      <w:r>
        <w:rPr>
          <w:rFonts w:hint="eastAsia" w:asciiTheme="minorEastAsia" w:hAnsiTheme="minorEastAsia" w:eastAsiaTheme="minorEastAsia" w:cstheme="minorEastAsia"/>
          <w:color w:val="auto"/>
          <w:sz w:val="21"/>
          <w:szCs w:val="21"/>
          <w:highlight w:val="none"/>
          <w:shd w:val="clear" w:color="auto" w:fill="auto"/>
          <w:lang w:val="en-US" w:eastAsia="zh-CN"/>
        </w:rPr>
        <w:t>南宁轨道交通2号线</w:t>
      </w:r>
      <w:r>
        <w:rPr>
          <w:rFonts w:hint="eastAsia" w:cs="宋体" w:asciiTheme="minorEastAsia" w:hAnsiTheme="minorEastAsia" w:eastAsiaTheme="minorEastAsia"/>
          <w:color w:val="auto"/>
          <w:sz w:val="21"/>
          <w:szCs w:val="21"/>
          <w:highlight w:val="none"/>
          <w:lang w:val="en-US" w:eastAsia="zh-CN"/>
        </w:rPr>
        <w:t>西津站、玉洞站以及5号线</w:t>
      </w:r>
      <w:r>
        <w:rPr>
          <w:rFonts w:hint="eastAsia" w:cs="宋体" w:asciiTheme="minorEastAsia" w:hAnsiTheme="minorEastAsia" w:eastAsiaTheme="minorEastAsia"/>
          <w:color w:val="auto"/>
          <w:kern w:val="2"/>
          <w:sz w:val="21"/>
          <w:szCs w:val="21"/>
          <w:highlight w:val="none"/>
          <w:lang w:val="en-US" w:eastAsia="zh-CN" w:bidi="ar-SA"/>
        </w:rPr>
        <w:t>金桥客运站紧急疏散口</w:t>
      </w:r>
      <w:r>
        <w:rPr>
          <w:rFonts w:hint="eastAsia" w:cs="宋体" w:asciiTheme="minorEastAsia" w:hAnsiTheme="minorEastAsia" w:eastAsiaTheme="minorEastAsia"/>
          <w:color w:val="auto"/>
          <w:sz w:val="21"/>
          <w:szCs w:val="21"/>
          <w:highlight w:val="none"/>
          <w:lang w:val="en-US" w:eastAsia="zh-CN"/>
        </w:rPr>
        <w:t>各新增球型一体化高清摄像机1台，包括但不限于摄像机、</w:t>
      </w:r>
      <w:r>
        <w:rPr>
          <w:rFonts w:hint="eastAsia" w:cs="宋体" w:asciiTheme="minorEastAsia" w:hAnsiTheme="minorEastAsia" w:eastAsiaTheme="minorEastAsia"/>
          <w:color w:val="auto"/>
          <w:kern w:val="2"/>
          <w:sz w:val="21"/>
          <w:szCs w:val="21"/>
          <w:highlight w:val="none"/>
          <w:shd w:val="clear" w:color="auto" w:fill="auto"/>
          <w:lang w:val="en-US" w:eastAsia="zh-CN" w:bidi="ar-SA"/>
        </w:rPr>
        <w:t>摄像机配线箱、线缆、光模块、光纤收发器、4芯光缆终端盒</w:t>
      </w:r>
      <w:r>
        <w:rPr>
          <w:rFonts w:hint="eastAsia" w:cs="宋体" w:asciiTheme="minorEastAsia" w:hAnsiTheme="minorEastAsia" w:eastAsiaTheme="minorEastAsia"/>
          <w:color w:val="auto"/>
          <w:sz w:val="21"/>
          <w:szCs w:val="21"/>
          <w:highlight w:val="none"/>
          <w:lang w:val="en-US" w:eastAsia="zh-CN"/>
        </w:rPr>
        <w:t>、</w:t>
      </w:r>
      <w:r>
        <w:rPr>
          <w:rFonts w:hint="eastAsia" w:cs="宋体" w:asciiTheme="minorEastAsia" w:hAnsiTheme="minorEastAsia" w:eastAsiaTheme="minorEastAsia"/>
          <w:color w:val="auto"/>
          <w:kern w:val="2"/>
          <w:sz w:val="21"/>
          <w:szCs w:val="21"/>
          <w:highlight w:val="none"/>
          <w:shd w:val="clear" w:color="auto" w:fill="auto"/>
          <w:lang w:val="en-US" w:eastAsia="zh-CN" w:bidi="ar-SA"/>
        </w:rPr>
        <w:t>摄像机壁式/悬挂式支架、立杆（含避雷针、接地等）、视频信号线防雷器、开关电源、空开等设备的采购、安装</w:t>
      </w:r>
      <w:r>
        <w:rPr>
          <w:rFonts w:hint="eastAsia" w:asciiTheme="minorEastAsia" w:hAnsiTheme="minorEastAsia" w:eastAsiaTheme="minorEastAsia" w:cstheme="minorEastAsia"/>
          <w:color w:val="auto"/>
          <w:sz w:val="21"/>
          <w:szCs w:val="21"/>
          <w:highlight w:val="none"/>
          <w:shd w:val="clear" w:color="auto" w:fill="auto"/>
          <w:lang w:val="en-US"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南宁轨道交通</w:t>
      </w:r>
      <w:r>
        <w:rPr>
          <w:rFonts w:hint="eastAsia" w:asciiTheme="minorEastAsia" w:hAnsiTheme="minorEastAsia" w:eastAsiaTheme="minorEastAsia" w:cstheme="minorEastAsia"/>
          <w:color w:val="auto"/>
          <w:sz w:val="21"/>
          <w:szCs w:val="21"/>
          <w:highlight w:val="none"/>
          <w:lang w:val="en-US" w:eastAsia="zh-CN"/>
        </w:rPr>
        <w:t>1、2、</w:t>
      </w: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4、5</w:t>
      </w:r>
      <w:r>
        <w:rPr>
          <w:rFonts w:hint="eastAsia" w:asciiTheme="minorEastAsia" w:hAnsiTheme="minorEastAsia" w:eastAsiaTheme="minorEastAsia" w:cstheme="minorEastAsia"/>
          <w:color w:val="auto"/>
          <w:sz w:val="21"/>
          <w:szCs w:val="21"/>
          <w:highlight w:val="none"/>
        </w:rPr>
        <w:t>号线</w:t>
      </w:r>
      <w:r>
        <w:rPr>
          <w:rFonts w:hint="eastAsia" w:asciiTheme="minorEastAsia" w:hAnsiTheme="minorEastAsia" w:eastAsiaTheme="minorEastAsia" w:cstheme="minorEastAsia"/>
          <w:color w:val="auto"/>
          <w:sz w:val="21"/>
          <w:szCs w:val="21"/>
          <w:highlight w:val="none"/>
          <w:lang w:val="en-US" w:eastAsia="zh-CN"/>
        </w:rPr>
        <w:t>新增</w:t>
      </w:r>
      <w:r>
        <w:rPr>
          <w:rFonts w:hint="eastAsia" w:ascii="宋体" w:hAnsi="宋体" w:eastAsia="Times New Roman" w:cs="宋体"/>
          <w:color w:val="auto"/>
          <w:kern w:val="2"/>
          <w:sz w:val="21"/>
          <w:szCs w:val="21"/>
          <w:highlight w:val="none"/>
          <w:lang w:val="en-US" w:eastAsia="zh-CN" w:bidi="ar-SA"/>
        </w:rPr>
        <w:t>摄像机接入既有CCTV管理平台及与综合监控专业的接口调试，满足摄像机正常工作要求</w:t>
      </w:r>
      <w:r>
        <w:rPr>
          <w:rFonts w:hint="eastAsia" w:asciiTheme="minorEastAsia" w:hAnsiTheme="minorEastAsia" w:eastAsiaTheme="minorEastAsia" w:cstheme="minorEastAsia"/>
          <w:color w:val="auto"/>
          <w:sz w:val="21"/>
          <w:szCs w:val="21"/>
          <w:highlight w:val="none"/>
          <w:lang w:val="en-US" w:eastAsia="zh-CN"/>
        </w:rPr>
        <w:t>。</w:t>
      </w:r>
    </w:p>
    <w:p>
      <w:pPr>
        <w:widowControl/>
        <w:spacing w:before="0" w:after="0" w:afterAutospacing="0" w:line="360" w:lineRule="auto"/>
        <w:ind w:left="0" w:leftChars="0" w:right="0"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本项目所需的设备、材料、工程量清单详见附件1，相关设备设施安装、改造拓扑图详见附图1，工程量数量为估算数量，仅供乙方参考。实际所需材料、工程量数量以现场实际施工为准，满足</w:t>
      </w:r>
      <w:r>
        <w:rPr>
          <w:rFonts w:hint="eastAsia" w:cs="宋体" w:asciiTheme="minorEastAsia" w:hAnsiTheme="minorEastAsia" w:eastAsiaTheme="minorEastAsia"/>
          <w:color w:val="auto"/>
          <w:kern w:val="2"/>
          <w:sz w:val="21"/>
          <w:szCs w:val="21"/>
          <w:highlight w:val="none"/>
          <w:lang w:val="en-US" w:eastAsia="zh-CN" w:bidi="ar-SA"/>
        </w:rPr>
        <w:t>南宁轨道交通1-5号线出入段（场）线地面洞口及个别车站紧急疏散口视频监控补盲项目</w:t>
      </w:r>
      <w:r>
        <w:rPr>
          <w:rFonts w:hint="eastAsia" w:ascii="宋体" w:hAnsi="宋体" w:eastAsia="宋体" w:cs="宋体"/>
          <w:color w:val="auto"/>
          <w:kern w:val="2"/>
          <w:sz w:val="21"/>
          <w:szCs w:val="21"/>
          <w:highlight w:val="none"/>
          <w:lang w:val="en-US" w:eastAsia="zh-CN" w:bidi="ar-SA"/>
        </w:rPr>
        <w:t>要求</w:t>
      </w:r>
      <w:r>
        <w:rPr>
          <w:rFonts w:hint="eastAsia" w:asciiTheme="minorEastAsia" w:hAnsiTheme="minorEastAsia" w:eastAsiaTheme="minorEastAsia" w:cstheme="minorEastAsia"/>
          <w:color w:val="auto"/>
          <w:kern w:val="2"/>
          <w:sz w:val="21"/>
          <w:szCs w:val="21"/>
          <w:highlight w:val="none"/>
          <w:lang w:val="en-US" w:eastAsia="zh-CN" w:bidi="ar-SA"/>
        </w:rPr>
        <w:t>。</w:t>
      </w:r>
    </w:p>
    <w:p>
      <w:pPr>
        <w:keepNext/>
        <w:keepLines/>
        <w:widowControl w:val="0"/>
        <w:numPr>
          <w:ilvl w:val="0"/>
          <w:numId w:val="1"/>
        </w:numPr>
        <w:spacing w:before="0" w:after="0" w:afterAutospacing="0" w:line="360" w:lineRule="auto"/>
        <w:ind w:left="0" w:right="0" w:firstLine="0"/>
        <w:jc w:val="left"/>
        <w:outlineLvl w:val="0"/>
        <w:rPr>
          <w:rFonts w:hint="eastAsia" w:ascii="黑体" w:hAnsi="黑体" w:eastAsia="黑体" w:cs="宋体"/>
          <w:color w:val="auto"/>
          <w:kern w:val="44"/>
          <w:sz w:val="32"/>
          <w:szCs w:val="21"/>
          <w:highlight w:val="none"/>
          <w:lang w:val="en-US" w:eastAsia="zh-CN" w:bidi="ar-SA"/>
        </w:rPr>
      </w:pPr>
      <w:bookmarkStart w:id="1901" w:name="_Toc31451"/>
      <w:bookmarkStart w:id="1902" w:name="_Toc14209"/>
      <w:bookmarkStart w:id="1903" w:name="_Toc22075"/>
      <w:bookmarkStart w:id="1904" w:name="_Toc5703"/>
      <w:bookmarkStart w:id="1905" w:name="_Toc8137"/>
      <w:bookmarkStart w:id="1906" w:name="_Toc13553_WPSOffice_Level2"/>
      <w:bookmarkStart w:id="1907" w:name="_Toc2555_WPSOffice_Level2"/>
      <w:bookmarkStart w:id="1908" w:name="_Toc29013"/>
      <w:bookmarkStart w:id="1909" w:name="_Toc25562"/>
      <w:bookmarkStart w:id="1910" w:name="_Toc11349"/>
      <w:bookmarkStart w:id="1911" w:name="_Toc26418"/>
      <w:bookmarkStart w:id="1912" w:name="_Toc8036_WPSOffice_Level1"/>
      <w:r>
        <w:rPr>
          <w:rFonts w:hint="eastAsia" w:ascii="黑体" w:hAnsi="黑体" w:eastAsia="黑体" w:cs="宋体"/>
          <w:color w:val="auto"/>
          <w:kern w:val="44"/>
          <w:sz w:val="32"/>
          <w:szCs w:val="21"/>
          <w:highlight w:val="none"/>
          <w:lang w:val="en-US" w:eastAsia="zh-CN" w:bidi="ar-SA"/>
        </w:rPr>
        <w:t>项目承包方式及服务期</w:t>
      </w:r>
      <w:bookmarkEnd w:id="1901"/>
      <w:bookmarkEnd w:id="1902"/>
      <w:bookmarkEnd w:id="1903"/>
      <w:bookmarkEnd w:id="1904"/>
      <w:bookmarkEnd w:id="1905"/>
      <w:bookmarkEnd w:id="1906"/>
      <w:bookmarkEnd w:id="1907"/>
      <w:bookmarkEnd w:id="1908"/>
      <w:bookmarkEnd w:id="1909"/>
      <w:bookmarkEnd w:id="1910"/>
      <w:bookmarkEnd w:id="1911"/>
      <w:bookmarkEnd w:id="1912"/>
    </w:p>
    <w:p>
      <w:pPr>
        <w:keepNext/>
        <w:keepLines/>
        <w:widowControl w:val="0"/>
        <w:numPr>
          <w:ilvl w:val="1"/>
          <w:numId w:val="1"/>
        </w:numPr>
        <w:spacing w:before="0" w:after="0" w:afterAutospacing="0" w:line="360" w:lineRule="auto"/>
        <w:ind w:left="0" w:right="0" w:firstLine="0"/>
        <w:jc w:val="left"/>
        <w:outlineLvl w:val="1"/>
        <w:rPr>
          <w:rFonts w:hint="eastAsia" w:ascii="黑体" w:hAnsi="黑体" w:eastAsia="黑体" w:cs="黑体"/>
          <w:color w:val="auto"/>
          <w:kern w:val="2"/>
          <w:sz w:val="28"/>
          <w:szCs w:val="28"/>
          <w:highlight w:val="none"/>
          <w:lang w:val="en-US" w:eastAsia="zh-CN" w:bidi="ar-SA"/>
        </w:rPr>
      </w:pPr>
      <w:bookmarkStart w:id="1913" w:name="_Toc13253_WPSOffice_Level2"/>
      <w:bookmarkStart w:id="1914" w:name="_Toc31088"/>
      <w:bookmarkStart w:id="1915" w:name="_Toc5120"/>
      <w:bookmarkStart w:id="1916" w:name="_Toc8934"/>
      <w:bookmarkStart w:id="1917" w:name="_Toc12069"/>
      <w:bookmarkStart w:id="1918" w:name="_Toc22674"/>
      <w:bookmarkStart w:id="1919" w:name="_Toc17171"/>
      <w:bookmarkStart w:id="1920" w:name="_Toc3343"/>
      <w:bookmarkStart w:id="1921" w:name="_Toc24887"/>
      <w:bookmarkStart w:id="1922" w:name="_Toc3884"/>
      <w:r>
        <w:rPr>
          <w:rFonts w:hint="eastAsia" w:ascii="黑体" w:hAnsi="黑体" w:eastAsia="黑体" w:cs="黑体"/>
          <w:color w:val="auto"/>
          <w:kern w:val="2"/>
          <w:sz w:val="28"/>
          <w:szCs w:val="28"/>
          <w:highlight w:val="none"/>
          <w:lang w:val="en-US" w:eastAsia="zh-CN" w:bidi="ar-SA"/>
        </w:rPr>
        <w:t>承包方式</w:t>
      </w:r>
      <w:bookmarkEnd w:id="1913"/>
      <w:bookmarkEnd w:id="1914"/>
      <w:bookmarkEnd w:id="1915"/>
      <w:bookmarkEnd w:id="1916"/>
      <w:bookmarkEnd w:id="1917"/>
      <w:bookmarkEnd w:id="1918"/>
      <w:bookmarkEnd w:id="1919"/>
      <w:bookmarkEnd w:id="1920"/>
      <w:bookmarkEnd w:id="1921"/>
      <w:bookmarkEnd w:id="1922"/>
    </w:p>
    <w:p>
      <w:pPr>
        <w:widowControl/>
        <w:spacing w:before="0" w:after="0" w:afterAutospacing="0" w:line="360" w:lineRule="auto"/>
        <w:ind w:left="0" w:leftChars="0" w:right="0"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本项目实行固定包干单价的形式</w:t>
      </w:r>
      <w:r>
        <w:rPr>
          <w:rFonts w:hint="eastAsia" w:ascii="宋体" w:hAnsi="宋体" w:eastAsia="Times New Roman" w:cs="宋体"/>
          <w:color w:val="auto"/>
          <w:kern w:val="2"/>
          <w:sz w:val="21"/>
          <w:szCs w:val="21"/>
          <w:highlight w:val="none"/>
          <w:lang w:val="en-US" w:eastAsia="zh-CN" w:bidi="ar-SA"/>
        </w:rPr>
        <w:t>，</w:t>
      </w:r>
      <w:r>
        <w:rPr>
          <w:rFonts w:hint="eastAsia" w:ascii="宋体" w:hAnsi="宋体" w:eastAsia="宋体" w:cs="宋体"/>
          <w:color w:val="auto"/>
          <w:sz w:val="21"/>
          <w:szCs w:val="21"/>
          <w:highlight w:val="none"/>
          <w:lang w:val="en-US" w:eastAsia="zh-CN"/>
        </w:rPr>
        <w:t>不允许联合</w:t>
      </w:r>
      <w:r>
        <w:rPr>
          <w:rFonts w:hint="eastAsia" w:ascii="宋体" w:hAnsi="宋体" w:eastAsia="Times New Roman" w:cs="宋体"/>
          <w:color w:val="auto"/>
          <w:sz w:val="21"/>
          <w:szCs w:val="21"/>
          <w:highlight w:val="none"/>
          <w:lang w:val="en-US" w:eastAsia="zh-CN"/>
        </w:rPr>
        <w:t>体参加比选</w:t>
      </w:r>
      <w:r>
        <w:rPr>
          <w:rFonts w:hint="eastAsia" w:ascii="宋体" w:hAnsi="宋体" w:eastAsia="宋体" w:cs="宋体"/>
          <w:color w:val="auto"/>
          <w:sz w:val="21"/>
          <w:szCs w:val="21"/>
          <w:highlight w:val="none"/>
          <w:lang w:val="en-US" w:eastAsia="zh-CN"/>
        </w:rPr>
        <w:t>，不允许任何形式的转包或分包</w:t>
      </w:r>
      <w:r>
        <w:rPr>
          <w:rFonts w:hint="eastAsia" w:ascii="宋体" w:hAnsi="宋体" w:eastAsia="宋体" w:cs="宋体"/>
          <w:color w:val="auto"/>
          <w:kern w:val="2"/>
          <w:sz w:val="21"/>
          <w:szCs w:val="21"/>
          <w:highlight w:val="none"/>
          <w:lang w:val="en-US" w:eastAsia="zh-CN" w:bidi="ar-SA"/>
        </w:rPr>
        <w:t>。</w:t>
      </w:r>
    </w:p>
    <w:p>
      <w:pPr>
        <w:keepNext/>
        <w:keepLines/>
        <w:widowControl w:val="0"/>
        <w:numPr>
          <w:ilvl w:val="1"/>
          <w:numId w:val="1"/>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1923" w:name="_Toc28879"/>
      <w:bookmarkStart w:id="1924" w:name="_Toc16453"/>
      <w:bookmarkStart w:id="1925" w:name="_Toc19423"/>
      <w:bookmarkStart w:id="1926" w:name="_Toc13530_WPSOffice_Level2"/>
      <w:bookmarkStart w:id="1927" w:name="_Toc22428"/>
      <w:bookmarkStart w:id="1928" w:name="_Toc28885"/>
      <w:bookmarkStart w:id="1929" w:name="_Toc5435"/>
      <w:bookmarkStart w:id="1930" w:name="_Toc13871"/>
      <w:bookmarkStart w:id="1931" w:name="_Toc31617"/>
      <w:bookmarkStart w:id="1932" w:name="_Toc20571"/>
      <w:r>
        <w:rPr>
          <w:rFonts w:hint="eastAsia" w:ascii="黑体" w:hAnsi="黑体" w:eastAsia="黑体" w:cs="黑体"/>
          <w:color w:val="auto"/>
          <w:kern w:val="2"/>
          <w:sz w:val="28"/>
          <w:szCs w:val="28"/>
          <w:highlight w:val="none"/>
          <w:lang w:val="en-US" w:eastAsia="zh-CN" w:bidi="ar-SA"/>
        </w:rPr>
        <w:t>计划服务期</w:t>
      </w:r>
      <w:bookmarkEnd w:id="1923"/>
      <w:bookmarkEnd w:id="1924"/>
      <w:bookmarkEnd w:id="1925"/>
      <w:bookmarkEnd w:id="1926"/>
      <w:bookmarkEnd w:id="1927"/>
      <w:bookmarkEnd w:id="1928"/>
      <w:bookmarkEnd w:id="1929"/>
      <w:bookmarkEnd w:id="1930"/>
      <w:bookmarkEnd w:id="1931"/>
      <w:bookmarkEnd w:id="1932"/>
    </w:p>
    <w:p>
      <w:pPr>
        <w:widowControl/>
        <w:spacing w:before="0" w:after="0" w:afterAutospacing="0" w:line="360" w:lineRule="auto"/>
        <w:ind w:left="0" w:leftChars="0" w:right="0" w:firstLine="420" w:firstLineChars="200"/>
        <w:jc w:val="both"/>
        <w:rPr>
          <w:rFonts w:hint="eastAsia" w:ascii="宋体" w:hAnsi="宋体" w:eastAsia="宋体" w:cs="宋体"/>
          <w:color w:val="auto"/>
          <w:kern w:val="2"/>
          <w:sz w:val="21"/>
          <w:szCs w:val="21"/>
          <w:highlight w:val="none"/>
          <w:lang w:val="en-US" w:eastAsia="zh-CN" w:bidi="ar-SA"/>
        </w:rPr>
      </w:pPr>
      <w:r>
        <w:rPr>
          <w:rFonts w:hint="eastAsia" w:cs="宋体" w:asciiTheme="minorEastAsia" w:hAnsiTheme="minorEastAsia" w:eastAsiaTheme="minorEastAsia"/>
          <w:color w:val="auto"/>
          <w:kern w:val="2"/>
          <w:sz w:val="21"/>
          <w:szCs w:val="21"/>
          <w:highlight w:val="none"/>
          <w:lang w:val="en-US" w:eastAsia="zh-CN" w:bidi="ar-SA"/>
        </w:rPr>
        <w:t>南宁轨道交通1-5号线出入段（场）线地面洞口及个别车站紧急疏散口视频监控补盲项目</w:t>
      </w:r>
      <w:r>
        <w:rPr>
          <w:rFonts w:hint="eastAsia" w:ascii="宋体" w:hAnsi="宋体" w:eastAsia="宋体" w:cs="宋体"/>
          <w:color w:val="auto"/>
          <w:kern w:val="2"/>
          <w:sz w:val="21"/>
          <w:szCs w:val="21"/>
          <w:highlight w:val="none"/>
          <w:lang w:val="en-US" w:eastAsia="zh-CN" w:bidi="ar-SA"/>
        </w:rPr>
        <w:t>计划服务期包括施工期限（含设备采购周期）和质量保证期。</w:t>
      </w:r>
    </w:p>
    <w:p>
      <w:pPr>
        <w:widowControl w:val="0"/>
        <w:numPr>
          <w:ilvl w:val="0"/>
          <w:numId w:val="19"/>
        </w:numPr>
        <w:spacing w:before="120" w:after="0" w:afterAutospacing="0" w:line="360" w:lineRule="auto"/>
        <w:ind w:left="0" w:leftChars="0" w:right="-57" w:firstLine="420" w:firstLineChars="200"/>
        <w:rPr>
          <w:rFonts w:ascii="宋体" w:hAnsi="宋体" w:eastAsia="Times New Roman" w:cs="Times New Roman"/>
          <w:color w:val="auto"/>
          <w:sz w:val="21"/>
          <w:szCs w:val="21"/>
          <w:highlight w:val="none"/>
        </w:rPr>
      </w:pPr>
      <w:r>
        <w:rPr>
          <w:rFonts w:hint="eastAsia" w:ascii="宋体" w:hAnsi="宋体" w:eastAsia="宋体" w:cs="宋体"/>
          <w:color w:val="auto"/>
          <w:sz w:val="21"/>
          <w:szCs w:val="21"/>
          <w:highlight w:val="none"/>
          <w:lang w:val="en-US" w:eastAsia="zh-CN"/>
        </w:rPr>
        <w:t>施工期限</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施工期限</w:t>
      </w:r>
      <w:r>
        <w:rPr>
          <w:rFonts w:ascii="宋体" w:hAnsi="宋体" w:eastAsia="宋体" w:cs="宋体"/>
          <w:color w:val="auto"/>
          <w:sz w:val="21"/>
          <w:szCs w:val="21"/>
          <w:highlight w:val="none"/>
        </w:rPr>
        <w:t>为</w:t>
      </w:r>
      <w:r>
        <w:rPr>
          <w:rFonts w:hint="eastAsia" w:ascii="宋体" w:hAnsi="宋体" w:eastAsia="Times New Roman" w:cs="宋体"/>
          <w:color w:val="auto"/>
          <w:sz w:val="21"/>
          <w:szCs w:val="21"/>
          <w:highlight w:val="none"/>
          <w:lang w:val="en-US" w:eastAsia="zh-CN"/>
        </w:rPr>
        <w:t>45</w:t>
      </w:r>
      <w:r>
        <w:rPr>
          <w:rFonts w:hint="eastAsia" w:ascii="宋体" w:hAnsi="宋体" w:eastAsia="宋体" w:cs="宋体"/>
          <w:color w:val="auto"/>
          <w:sz w:val="21"/>
          <w:szCs w:val="21"/>
          <w:highlight w:val="none"/>
          <w:lang w:val="en-US" w:eastAsia="zh-CN"/>
        </w:rPr>
        <w:t>天</w:t>
      </w:r>
      <w:r>
        <w:rPr>
          <w:rFonts w:hint="eastAsia" w:ascii="宋体" w:hAnsi="宋体" w:eastAsia="宋体" w:cs="宋体"/>
          <w:color w:val="auto"/>
          <w:sz w:val="21"/>
          <w:szCs w:val="21"/>
          <w:highlight w:val="none"/>
        </w:rPr>
        <w:t>，合同具体起始时间以</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发出的开工令日期为准；</w:t>
      </w:r>
      <w:r>
        <w:rPr>
          <w:rFonts w:hint="eastAsia" w:ascii="宋体" w:hAnsi="宋体" w:eastAsia="宋体" w:cs="宋体"/>
          <w:color w:val="auto"/>
          <w:sz w:val="21"/>
          <w:szCs w:val="21"/>
          <w:highlight w:val="none"/>
          <w:lang w:val="en-US" w:eastAsia="zh-CN"/>
        </w:rPr>
        <w:t>合同签订后7天内</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自行完成进场前的准备工作（含核酸检测、安全培训及考试等），进场准备产生的费用由</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自行承担。</w:t>
      </w:r>
    </w:p>
    <w:p>
      <w:pPr>
        <w:widowControl w:val="0"/>
        <w:numPr>
          <w:ilvl w:val="0"/>
          <w:numId w:val="19"/>
        </w:numPr>
        <w:spacing w:before="0" w:after="0" w:afterAutospacing="0" w:line="360" w:lineRule="auto"/>
        <w:ind w:left="0" w:leftChars="0" w:righ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质量保证期：所有施工完成、验收合格后1年内为质量保证期。</w:t>
      </w:r>
    </w:p>
    <w:p>
      <w:pPr>
        <w:keepNext/>
        <w:keepLines/>
        <w:widowControl w:val="0"/>
        <w:numPr>
          <w:ilvl w:val="0"/>
          <w:numId w:val="1"/>
        </w:numPr>
        <w:spacing w:before="0" w:after="0" w:afterAutospacing="0" w:line="360" w:lineRule="auto"/>
        <w:ind w:left="0" w:right="0" w:firstLine="0"/>
        <w:jc w:val="left"/>
        <w:outlineLvl w:val="0"/>
        <w:rPr>
          <w:rFonts w:ascii="黑体" w:hAnsi="黑体" w:eastAsia="黑体" w:cs="宋体"/>
          <w:color w:val="auto"/>
          <w:kern w:val="44"/>
          <w:sz w:val="32"/>
          <w:szCs w:val="21"/>
          <w:highlight w:val="none"/>
          <w:lang w:val="en-US" w:eastAsia="zh-CN" w:bidi="ar-SA"/>
        </w:rPr>
      </w:pPr>
      <w:bookmarkStart w:id="1933" w:name="_Toc24115_WPSOffice_Level2"/>
      <w:bookmarkStart w:id="1934" w:name="_Toc5653"/>
      <w:bookmarkStart w:id="1935" w:name="_Toc22556"/>
      <w:bookmarkStart w:id="1936" w:name="_Toc3120"/>
      <w:bookmarkStart w:id="1937" w:name="_Toc15185"/>
      <w:bookmarkStart w:id="1938" w:name="_Toc24003"/>
      <w:bookmarkStart w:id="1939" w:name="_Toc5356"/>
      <w:bookmarkStart w:id="1940" w:name="_Toc731"/>
      <w:bookmarkStart w:id="1941" w:name="_Toc3532"/>
      <w:bookmarkStart w:id="1942" w:name="_Toc20576_WPSOffice_Level1"/>
      <w:bookmarkStart w:id="1943" w:name="_Toc18907_WPSOffice_Level2"/>
      <w:bookmarkStart w:id="1944" w:name="_Toc27594"/>
      <w:r>
        <w:rPr>
          <w:rFonts w:hint="eastAsia" w:ascii="黑体" w:hAnsi="黑体" w:eastAsia="黑体" w:cs="宋体"/>
          <w:color w:val="auto"/>
          <w:kern w:val="44"/>
          <w:sz w:val="32"/>
          <w:szCs w:val="21"/>
          <w:highlight w:val="none"/>
          <w:lang w:val="en-US" w:eastAsia="zh-CN" w:bidi="ar-SA"/>
        </w:rPr>
        <w:t>项目技术标准、规范</w:t>
      </w:r>
      <w:bookmarkEnd w:id="1933"/>
      <w:bookmarkEnd w:id="1934"/>
      <w:bookmarkEnd w:id="1935"/>
      <w:bookmarkEnd w:id="1936"/>
      <w:bookmarkEnd w:id="1937"/>
      <w:bookmarkEnd w:id="1938"/>
      <w:bookmarkEnd w:id="1939"/>
      <w:bookmarkEnd w:id="1940"/>
      <w:bookmarkEnd w:id="1941"/>
      <w:bookmarkEnd w:id="1942"/>
      <w:bookmarkEnd w:id="1943"/>
      <w:bookmarkEnd w:id="1944"/>
    </w:p>
    <w:p>
      <w:pPr>
        <w:keepNext/>
        <w:keepLines/>
        <w:widowControl w:val="0"/>
        <w:numPr>
          <w:ilvl w:val="1"/>
          <w:numId w:val="1"/>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1945" w:name="_Toc11290"/>
      <w:bookmarkStart w:id="1946" w:name="_Toc26774"/>
      <w:bookmarkStart w:id="1947" w:name="_Toc14894_WPSOffice_Level2"/>
      <w:bookmarkStart w:id="1948" w:name="_Toc23498"/>
      <w:bookmarkStart w:id="1949" w:name="_Toc17929"/>
      <w:bookmarkStart w:id="1950" w:name="_Toc19573"/>
      <w:bookmarkStart w:id="1951" w:name="_Toc5353"/>
      <w:bookmarkStart w:id="1952" w:name="_Toc9281"/>
      <w:bookmarkStart w:id="1953" w:name="_Toc4961"/>
      <w:bookmarkStart w:id="1954" w:name="_Toc7834"/>
      <w:r>
        <w:rPr>
          <w:rFonts w:hint="eastAsia" w:ascii="黑体" w:hAnsi="黑体" w:eastAsia="黑体" w:cs="黑体"/>
          <w:color w:val="auto"/>
          <w:kern w:val="2"/>
          <w:sz w:val="28"/>
          <w:szCs w:val="28"/>
          <w:highlight w:val="none"/>
          <w:lang w:val="en-US" w:eastAsia="zh-CN" w:bidi="ar-SA"/>
        </w:rPr>
        <w:t>标准适用原则</w:t>
      </w:r>
      <w:bookmarkEnd w:id="1945"/>
      <w:bookmarkEnd w:id="1946"/>
      <w:bookmarkEnd w:id="1947"/>
      <w:bookmarkEnd w:id="1948"/>
      <w:bookmarkEnd w:id="1949"/>
      <w:bookmarkEnd w:id="1950"/>
      <w:bookmarkEnd w:id="1951"/>
      <w:bookmarkEnd w:id="1952"/>
      <w:bookmarkEnd w:id="1953"/>
      <w:bookmarkEnd w:id="1954"/>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1.本项目须满足各类国家及行业标准，包括但不限于国家相关标准、轨道交通行业通用和专用标准、自治区及南宁市轨道交通相关标准等。</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2.本项目须满足甲方单位的相关标准或要求：</w:t>
      </w:r>
    </w:p>
    <w:p>
      <w:pPr>
        <w:keepNext w:val="0"/>
        <w:keepLines w:val="0"/>
        <w:pageBreakBefore w:val="0"/>
        <w:widowControl/>
        <w:numPr>
          <w:ilvl w:val="0"/>
          <w:numId w:val="20"/>
        </w:numPr>
        <w:kinsoku/>
        <w:wordWrap/>
        <w:overflowPunct/>
        <w:topLinePunct w:val="0"/>
        <w:autoSpaceDE/>
        <w:autoSpaceDN/>
        <w:bidi w:val="0"/>
        <w:adjustRightInd/>
        <w:snapToGrid/>
        <w:spacing w:before="120" w:after="0" w:afterAutospacing="0" w:line="360" w:lineRule="auto"/>
        <w:ind w:left="0" w:leftChars="0" w:right="-57"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单位的企业标准；</w:t>
      </w:r>
    </w:p>
    <w:p>
      <w:pPr>
        <w:keepNext w:val="0"/>
        <w:keepLines w:val="0"/>
        <w:pageBreakBefore w:val="0"/>
        <w:widowControl/>
        <w:numPr>
          <w:ilvl w:val="0"/>
          <w:numId w:val="20"/>
        </w:numPr>
        <w:kinsoku/>
        <w:wordWrap/>
        <w:overflowPunct/>
        <w:topLinePunct w:val="0"/>
        <w:autoSpaceDE/>
        <w:autoSpaceDN/>
        <w:bidi w:val="0"/>
        <w:adjustRightInd/>
        <w:snapToGrid/>
        <w:spacing w:before="120" w:after="0" w:afterAutospacing="0" w:line="360" w:lineRule="auto"/>
        <w:ind w:left="0" w:leftChars="0" w:right="-57"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单位的规章制度；</w:t>
      </w:r>
    </w:p>
    <w:p>
      <w:pPr>
        <w:keepNext w:val="0"/>
        <w:keepLines w:val="0"/>
        <w:pageBreakBefore w:val="0"/>
        <w:widowControl/>
        <w:numPr>
          <w:ilvl w:val="0"/>
          <w:numId w:val="20"/>
        </w:numPr>
        <w:kinsoku/>
        <w:wordWrap/>
        <w:overflowPunct/>
        <w:topLinePunct w:val="0"/>
        <w:autoSpaceDE/>
        <w:autoSpaceDN/>
        <w:bidi w:val="0"/>
        <w:adjustRightInd/>
        <w:snapToGrid/>
        <w:spacing w:before="120" w:after="0" w:afterAutospacing="0" w:line="360" w:lineRule="auto"/>
        <w:ind w:left="0" w:leftChars="0" w:right="-57"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单位的各种会议纪要、决议、通知等；</w:t>
      </w:r>
    </w:p>
    <w:p>
      <w:pPr>
        <w:keepNext w:val="0"/>
        <w:keepLines w:val="0"/>
        <w:pageBreakBefore w:val="0"/>
        <w:widowControl/>
        <w:numPr>
          <w:ilvl w:val="0"/>
          <w:numId w:val="20"/>
        </w:numPr>
        <w:kinsoku/>
        <w:wordWrap/>
        <w:overflowPunct/>
        <w:topLinePunct w:val="0"/>
        <w:autoSpaceDE/>
        <w:autoSpaceDN/>
        <w:bidi w:val="0"/>
        <w:adjustRightInd/>
        <w:snapToGrid/>
        <w:spacing w:before="120" w:after="0" w:afterAutospacing="0" w:line="360" w:lineRule="auto"/>
        <w:ind w:left="0" w:leftChars="0" w:right="-57"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制定的设备检修规程、设备操作指南、故障处理指南、工作手册、规章制度等；</w:t>
      </w:r>
    </w:p>
    <w:p>
      <w:pPr>
        <w:keepNext w:val="0"/>
        <w:keepLines w:val="0"/>
        <w:pageBreakBefore w:val="0"/>
        <w:widowControl/>
        <w:numPr>
          <w:ilvl w:val="0"/>
          <w:numId w:val="20"/>
        </w:numPr>
        <w:kinsoku/>
        <w:wordWrap/>
        <w:overflowPunct/>
        <w:topLinePunct w:val="0"/>
        <w:autoSpaceDE/>
        <w:autoSpaceDN/>
        <w:bidi w:val="0"/>
        <w:adjustRightInd/>
        <w:snapToGrid/>
        <w:spacing w:before="120" w:after="0" w:afterAutospacing="0" w:line="360" w:lineRule="auto"/>
        <w:ind w:left="0" w:leftChars="0" w:right="-57"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以上均未涉及的，由</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与投标方共同商定。</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3.本项目采用的各类标准或要求，如有最新版本，则按新版本执行，同一权威等级取标准高者。</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4.广西壮族自治区、南宁市有关规程、规定及要求，未尽部分符合国家现行的有关标准和规范，且当上述标准的内容与其他文件或具体条款描述矛盾时，按较高要求执行。</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5.本工程所用产品的设计、制造、安装、安全至少满足上述标准、规范及相关引用标准和规范。如果有新的标准，则按照新的标准执行，投标方不能因此要求增加任何费用。</w:t>
      </w:r>
    </w:p>
    <w:p>
      <w:pPr>
        <w:keepNext/>
        <w:keepLines/>
        <w:widowControl w:val="0"/>
        <w:numPr>
          <w:ilvl w:val="1"/>
          <w:numId w:val="1"/>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1955" w:name="_Toc4588_WPSOffice_Level2"/>
      <w:bookmarkStart w:id="1956" w:name="_Toc18284"/>
      <w:bookmarkStart w:id="1957" w:name="_Toc17738"/>
      <w:bookmarkStart w:id="1958" w:name="_Toc16576"/>
      <w:bookmarkStart w:id="1959" w:name="_Toc12344"/>
      <w:bookmarkStart w:id="1960" w:name="_Toc5839"/>
      <w:bookmarkStart w:id="1961" w:name="_Toc26180"/>
      <w:bookmarkStart w:id="1962" w:name="_Toc5452"/>
      <w:bookmarkStart w:id="1963" w:name="_Toc17045"/>
      <w:bookmarkStart w:id="1964" w:name="_Toc32570"/>
      <w:r>
        <w:rPr>
          <w:rFonts w:hint="eastAsia" w:ascii="黑体" w:hAnsi="黑体" w:eastAsia="黑体" w:cs="黑体"/>
          <w:color w:val="auto"/>
          <w:kern w:val="2"/>
          <w:sz w:val="28"/>
          <w:szCs w:val="28"/>
          <w:highlight w:val="none"/>
          <w:lang w:val="en-US" w:eastAsia="zh-CN" w:bidi="ar-SA"/>
        </w:rPr>
        <w:t>国家技术标准及行业规范</w:t>
      </w:r>
      <w:bookmarkEnd w:id="1955"/>
      <w:bookmarkEnd w:id="1956"/>
      <w:bookmarkEnd w:id="1957"/>
      <w:bookmarkEnd w:id="1958"/>
      <w:bookmarkEnd w:id="1959"/>
      <w:bookmarkEnd w:id="1960"/>
      <w:bookmarkEnd w:id="1961"/>
      <w:bookmarkEnd w:id="1962"/>
      <w:bookmarkEnd w:id="1963"/>
      <w:bookmarkEnd w:id="1964"/>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国家相关规范、地铁行业标准，包括不限于：</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GB</w:t>
      </w:r>
      <w:r>
        <w:rPr>
          <w:rFonts w:hint="eastAsia" w:ascii="宋体" w:hAnsi="宋体" w:eastAsia="宋体" w:cs="宋体"/>
          <w:color w:val="auto"/>
          <w:kern w:val="2"/>
          <w:sz w:val="21"/>
          <w:szCs w:val="21"/>
          <w:highlight w:val="none"/>
          <w:lang w:val="en-US" w:eastAsia="zh-CN" w:bidi="ar-SA"/>
        </w:rPr>
        <w:t xml:space="preserve"> </w:t>
      </w:r>
      <w:r>
        <w:rPr>
          <w:rFonts w:hint="default" w:ascii="宋体" w:hAnsi="宋体" w:eastAsia="宋体" w:cs="宋体"/>
          <w:color w:val="auto"/>
          <w:kern w:val="2"/>
          <w:sz w:val="21"/>
          <w:szCs w:val="21"/>
          <w:highlight w:val="none"/>
          <w:lang w:val="en-US" w:eastAsia="zh-CN" w:bidi="ar-SA"/>
        </w:rPr>
        <w:t>50157-2013</w:t>
      </w:r>
      <w:r>
        <w:rPr>
          <w:rFonts w:hint="eastAsia" w:ascii="宋体" w:hAnsi="宋体" w:eastAsia="宋体" w:cs="宋体"/>
          <w:color w:val="auto"/>
          <w:kern w:val="2"/>
          <w:sz w:val="21"/>
          <w:szCs w:val="21"/>
          <w:highlight w:val="none"/>
          <w:lang w:val="en-US" w:eastAsia="zh-CN" w:bidi="ar-SA"/>
        </w:rPr>
        <w:t xml:space="preserve">  地铁设计规范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GB</w:t>
      </w:r>
      <w:r>
        <w:rPr>
          <w:rFonts w:hint="eastAsia" w:ascii="宋体" w:hAnsi="宋体" w:eastAsia="宋体" w:cs="宋体"/>
          <w:color w:val="auto"/>
          <w:kern w:val="2"/>
          <w:sz w:val="21"/>
          <w:szCs w:val="21"/>
          <w:highlight w:val="none"/>
          <w:lang w:val="en-US" w:eastAsia="zh-CN" w:bidi="ar-SA"/>
        </w:rPr>
        <w:t xml:space="preserve"> </w:t>
      </w:r>
      <w:r>
        <w:rPr>
          <w:rFonts w:hint="default" w:ascii="宋体" w:hAnsi="宋体" w:eastAsia="宋体" w:cs="宋体"/>
          <w:color w:val="auto"/>
          <w:kern w:val="2"/>
          <w:sz w:val="21"/>
          <w:szCs w:val="21"/>
          <w:highlight w:val="none"/>
          <w:lang w:val="en-US" w:eastAsia="zh-CN" w:bidi="ar-SA"/>
        </w:rPr>
        <w:t>50016-2014</w:t>
      </w:r>
      <w:r>
        <w:rPr>
          <w:rFonts w:hint="eastAsia" w:ascii="宋体" w:hAnsi="宋体" w:eastAsia="宋体" w:cs="宋体"/>
          <w:color w:val="auto"/>
          <w:kern w:val="2"/>
          <w:sz w:val="21"/>
          <w:szCs w:val="21"/>
          <w:highlight w:val="none"/>
          <w:lang w:val="en-US" w:eastAsia="zh-CN" w:bidi="ar-SA"/>
        </w:rPr>
        <w:t xml:space="preserve">  建筑设计防火规范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 16806-2006  消防联动控制系统</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GB</w:t>
      </w:r>
      <w:r>
        <w:rPr>
          <w:rFonts w:hint="eastAsia" w:ascii="宋体" w:hAnsi="宋体" w:eastAsia="宋体" w:cs="宋体"/>
          <w:color w:val="auto"/>
          <w:kern w:val="2"/>
          <w:sz w:val="21"/>
          <w:szCs w:val="21"/>
          <w:highlight w:val="none"/>
          <w:lang w:val="en-US" w:eastAsia="zh-CN" w:bidi="ar-SA"/>
        </w:rPr>
        <w:t xml:space="preserve"> </w:t>
      </w:r>
      <w:r>
        <w:rPr>
          <w:rFonts w:hint="default" w:ascii="宋体" w:hAnsi="宋体" w:eastAsia="宋体" w:cs="宋体"/>
          <w:color w:val="auto"/>
          <w:kern w:val="2"/>
          <w:sz w:val="21"/>
          <w:szCs w:val="21"/>
          <w:highlight w:val="none"/>
          <w:lang w:val="en-US" w:eastAsia="zh-CN" w:bidi="ar-SA"/>
        </w:rPr>
        <w:t>4943-2011</w:t>
      </w:r>
      <w:r>
        <w:rPr>
          <w:rFonts w:hint="eastAsia" w:ascii="宋体" w:hAnsi="宋体" w:eastAsia="宋体" w:cs="宋体"/>
          <w:color w:val="auto"/>
          <w:kern w:val="2"/>
          <w:sz w:val="21"/>
          <w:szCs w:val="21"/>
          <w:highlight w:val="none"/>
          <w:lang w:val="en-US" w:eastAsia="zh-CN" w:bidi="ar-SA"/>
        </w:rPr>
        <w:t xml:space="preserve">  信息技术设备的安全</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GB 50490-2009</w:t>
      </w:r>
      <w:r>
        <w:rPr>
          <w:rFonts w:hint="eastAsia" w:ascii="宋体" w:hAnsi="宋体" w:eastAsia="宋体" w:cs="宋体"/>
          <w:color w:val="auto"/>
          <w:kern w:val="2"/>
          <w:sz w:val="21"/>
          <w:szCs w:val="21"/>
          <w:highlight w:val="none"/>
          <w:lang w:val="en-US" w:eastAsia="zh-CN" w:bidi="ar-SA"/>
        </w:rPr>
        <w:t xml:space="preserve">  城市轨道交通技术规范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 51171-2016  通信线路工程验收规范</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 51348-2019  民用建筑电气设计标准</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 50311-2016  综合布线系统工程设计规范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 50464-2008  视频显示系统工程技术规范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 50210-2018  建筑装饰装修工程质量验收规范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 50395-2007  视频安防监控系统工程设计规范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 50198-2011  民用闭路监视电视系统工程技术规范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 50382-2016  城市轨道交通通信工程质量验收规范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 50636-2010  城市轨道交通综合监控系统工程设计规范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40484-2021  城市轨道交通消防安全管理</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50312-2016  综合布线系统工程验收规范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28001-2011  职业安全健康安全管理体系要求</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GB/T 35553-2017</w:t>
      </w:r>
      <w:r>
        <w:rPr>
          <w:rFonts w:hint="eastAsia" w:ascii="宋体" w:hAnsi="宋体" w:eastAsia="宋体" w:cs="宋体"/>
          <w:color w:val="auto"/>
          <w:kern w:val="2"/>
          <w:sz w:val="21"/>
          <w:szCs w:val="21"/>
          <w:highlight w:val="none"/>
          <w:lang w:val="en-US" w:eastAsia="zh-CN" w:bidi="ar-SA"/>
        </w:rPr>
        <w:t xml:space="preserve">  城市轨道交通机电设备节能要求</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GB/T 20988-2007</w:t>
      </w:r>
      <w:r>
        <w:rPr>
          <w:rFonts w:hint="eastAsia" w:ascii="宋体" w:hAnsi="宋体" w:eastAsia="宋体" w:cs="宋体"/>
          <w:color w:val="auto"/>
          <w:kern w:val="2"/>
          <w:sz w:val="21"/>
          <w:szCs w:val="21"/>
          <w:highlight w:val="none"/>
          <w:lang w:val="en-US" w:eastAsia="zh-CN" w:bidi="ar-SA"/>
        </w:rPr>
        <w:t xml:space="preserve">  信息安全技术信息系统灾难恢复规范</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GB/T 28181-2016  公共安全视频监控联网系统信息传输、交换、控制技术要求</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YD/T 1623-2007  通信局（站）图像集中监控系统技术要求</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建标104-2008  城市轨道交通工程项目建设标准</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建设工程安全生产管理条例</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电子工业协会（</w:t>
      </w:r>
      <w:r>
        <w:rPr>
          <w:rFonts w:hint="default" w:ascii="宋体" w:hAnsi="宋体" w:eastAsia="宋体" w:cs="宋体"/>
          <w:color w:val="auto"/>
          <w:kern w:val="2"/>
          <w:sz w:val="21"/>
          <w:szCs w:val="21"/>
          <w:highlight w:val="none"/>
          <w:lang w:val="en-US" w:eastAsia="zh-CN" w:bidi="ar-SA"/>
        </w:rPr>
        <w:t>EIA</w:t>
      </w:r>
      <w:r>
        <w:rPr>
          <w:rFonts w:hint="eastAsia" w:ascii="宋体" w:hAnsi="宋体" w:eastAsia="宋体" w:cs="宋体"/>
          <w:color w:val="auto"/>
          <w:kern w:val="2"/>
          <w:sz w:val="21"/>
          <w:szCs w:val="21"/>
          <w:highlight w:val="none"/>
          <w:lang w:val="en-US" w:eastAsia="zh-CN" w:bidi="ar-SA"/>
        </w:rPr>
        <w:t>）标准</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国际电工学会（IEC）标准</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国际标准化组织（ISO）标准</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电气与电子工程师协会（</w:t>
      </w:r>
      <w:r>
        <w:rPr>
          <w:rFonts w:hint="default" w:ascii="宋体" w:hAnsi="宋体" w:eastAsia="宋体" w:cs="宋体"/>
          <w:color w:val="auto"/>
          <w:kern w:val="2"/>
          <w:sz w:val="21"/>
          <w:szCs w:val="21"/>
          <w:highlight w:val="none"/>
          <w:lang w:val="en-US" w:eastAsia="zh-CN" w:bidi="ar-SA"/>
        </w:rPr>
        <w:t>IEEE</w:t>
      </w:r>
      <w:r>
        <w:rPr>
          <w:rFonts w:hint="eastAsia" w:ascii="宋体" w:hAnsi="宋体" w:eastAsia="宋体" w:cs="宋体"/>
          <w:color w:val="auto"/>
          <w:kern w:val="2"/>
          <w:sz w:val="21"/>
          <w:szCs w:val="21"/>
          <w:highlight w:val="none"/>
          <w:lang w:val="en-US" w:eastAsia="zh-CN" w:bidi="ar-SA"/>
        </w:rPr>
        <w:t>）标准</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中国人民银行、住房和城乡建设部、交通运输部等相关行业标准</w:t>
      </w:r>
    </w:p>
    <w:p>
      <w:pPr>
        <w:keepNext/>
        <w:keepLines/>
        <w:widowControl w:val="0"/>
        <w:numPr>
          <w:ilvl w:val="1"/>
          <w:numId w:val="1"/>
        </w:numPr>
        <w:spacing w:before="0" w:after="0" w:afterAutospacing="0" w:line="360" w:lineRule="auto"/>
        <w:ind w:left="0" w:leftChars="0" w:right="0" w:firstLine="560" w:firstLineChars="200"/>
        <w:jc w:val="left"/>
        <w:outlineLvl w:val="1"/>
        <w:rPr>
          <w:rFonts w:hint="eastAsia" w:ascii="宋体" w:hAnsi="宋体" w:eastAsia="黑体" w:cs="宋体"/>
          <w:color w:val="auto"/>
          <w:kern w:val="2"/>
          <w:sz w:val="21"/>
          <w:szCs w:val="21"/>
          <w:highlight w:val="none"/>
          <w:lang w:val="en-US" w:eastAsia="zh-CN" w:bidi="ar-SA"/>
        </w:rPr>
      </w:pPr>
      <w:bookmarkStart w:id="1965" w:name="_Toc3889_WPSOffice_Level2"/>
      <w:bookmarkStart w:id="1966" w:name="_Toc30433"/>
      <w:bookmarkStart w:id="1967" w:name="_Toc28281"/>
      <w:bookmarkStart w:id="1968" w:name="_Toc31929"/>
      <w:bookmarkStart w:id="1969" w:name="_Toc9175"/>
      <w:bookmarkStart w:id="1970" w:name="_Toc12701"/>
      <w:bookmarkStart w:id="1971" w:name="_Toc26948"/>
      <w:bookmarkStart w:id="1972" w:name="_Toc3812"/>
      <w:bookmarkStart w:id="1973" w:name="_Toc24132"/>
      <w:r>
        <w:rPr>
          <w:rFonts w:hint="eastAsia" w:ascii="黑体" w:hAnsi="黑体" w:eastAsia="黑体" w:cs="黑体"/>
          <w:b w:val="0"/>
          <w:bCs w:val="0"/>
          <w:color w:val="auto"/>
          <w:kern w:val="2"/>
          <w:sz w:val="28"/>
          <w:szCs w:val="28"/>
          <w:highlight w:val="none"/>
          <w:lang w:val="en-US" w:eastAsia="zh-CN" w:bidi="ar-SA"/>
        </w:rPr>
        <w:t>项目</w:t>
      </w:r>
      <w:r>
        <w:rPr>
          <w:rFonts w:hint="default" w:ascii="黑体" w:hAnsi="黑体" w:eastAsia="黑体" w:cs="黑体"/>
          <w:b w:val="0"/>
          <w:bCs w:val="0"/>
          <w:color w:val="auto"/>
          <w:kern w:val="2"/>
          <w:sz w:val="28"/>
          <w:szCs w:val="28"/>
          <w:highlight w:val="none"/>
          <w:lang w:val="en-US" w:eastAsia="zh-CN" w:bidi="ar-SA"/>
        </w:rPr>
        <w:t>相关规程</w:t>
      </w:r>
      <w:bookmarkEnd w:id="1965"/>
      <w:bookmarkEnd w:id="1966"/>
      <w:bookmarkEnd w:id="1967"/>
      <w:bookmarkEnd w:id="1968"/>
      <w:bookmarkEnd w:id="1969"/>
      <w:bookmarkEnd w:id="1970"/>
      <w:bookmarkEnd w:id="1971"/>
      <w:bookmarkEnd w:id="1972"/>
      <w:bookmarkEnd w:id="1973"/>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甲方内部标准，包括但不限于：</w:t>
      </w:r>
    </w:p>
    <w:p>
      <w:pPr>
        <w:widowControl/>
        <w:spacing w:before="0" w:after="0" w:afterAutospacing="0" w:line="360" w:lineRule="auto"/>
        <w:ind w:left="0" w:leftChars="0" w:right="0" w:firstLine="420" w:firstLineChars="20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南宁轨道交通工程验收标准</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运营分公司生产管理规定</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运营分公司安全生产管理制度</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运营分公司消防安全管理办法</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运营分公司施工管理规定</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运营分公司生产计划管理办法</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维修服务承诺时间标准</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运营分公司临时出入证件管理细则</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运营分公司作业通用安全实施守则</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运营分公司生产安全事故（事件）调查报告和处理规定</w:t>
      </w:r>
    </w:p>
    <w:p>
      <w:pPr>
        <w:widowControl/>
        <w:spacing w:before="0" w:after="0" w:afterAutospacing="0" w:line="360" w:lineRule="auto"/>
        <w:ind w:left="0" w:leftChars="0" w:right="0" w:firstLine="420" w:firstLineChars="200"/>
        <w:jc w:val="left"/>
        <w:rPr>
          <w:rFonts w:hint="default" w:ascii="宋体" w:hAnsi="宋体" w:eastAsia="宋体" w:cs="宋体"/>
          <w:color w:val="auto"/>
          <w:kern w:val="2"/>
          <w:sz w:val="21"/>
          <w:szCs w:val="21"/>
          <w:highlight w:val="none"/>
          <w:lang w:val="en-US" w:eastAsia="zh-CN" w:bidi="ar-SA"/>
        </w:rPr>
      </w:pPr>
      <w:r>
        <w:rPr>
          <w:rFonts w:hint="default" w:ascii="宋体" w:hAnsi="宋体" w:eastAsia="宋体" w:cs="宋体"/>
          <w:color w:val="auto"/>
          <w:kern w:val="2"/>
          <w:sz w:val="21"/>
          <w:szCs w:val="21"/>
          <w:highlight w:val="none"/>
          <w:lang w:val="en-US" w:eastAsia="zh-CN" w:bidi="ar-SA"/>
        </w:rPr>
        <w:t>通号中心生产组织与管理规定</w:t>
      </w:r>
    </w:p>
    <w:p>
      <w:pPr>
        <w:keepNext/>
        <w:keepLines/>
        <w:widowControl w:val="0"/>
        <w:numPr>
          <w:ilvl w:val="1"/>
          <w:numId w:val="1"/>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1974" w:name="_Toc17932"/>
      <w:bookmarkStart w:id="1975" w:name="_Toc9302"/>
      <w:bookmarkStart w:id="1976" w:name="_Toc4933"/>
      <w:bookmarkStart w:id="1977" w:name="_Toc20922"/>
      <w:bookmarkStart w:id="1978" w:name="_Toc8273"/>
      <w:bookmarkStart w:id="1979" w:name="_Toc28596"/>
      <w:bookmarkStart w:id="1980" w:name="_Toc32359"/>
      <w:bookmarkStart w:id="1981" w:name="_Toc5846_WPSOffice_Level2"/>
      <w:bookmarkStart w:id="1982" w:name="_Toc25578"/>
      <w:bookmarkStart w:id="1983" w:name="_Toc16690"/>
      <w:r>
        <w:rPr>
          <w:rFonts w:hint="eastAsia" w:ascii="黑体" w:hAnsi="黑体" w:eastAsia="黑体" w:cs="黑体"/>
          <w:color w:val="auto"/>
          <w:kern w:val="2"/>
          <w:sz w:val="28"/>
          <w:szCs w:val="28"/>
          <w:highlight w:val="none"/>
          <w:lang w:val="en-US" w:eastAsia="zh-CN" w:bidi="ar-SA"/>
        </w:rPr>
        <w:t>主要设备技术参数</w:t>
      </w:r>
      <w:bookmarkEnd w:id="1974"/>
      <w:bookmarkEnd w:id="1975"/>
      <w:bookmarkEnd w:id="1976"/>
      <w:bookmarkEnd w:id="1977"/>
      <w:bookmarkEnd w:id="1978"/>
      <w:bookmarkEnd w:id="1979"/>
      <w:bookmarkEnd w:id="1980"/>
      <w:bookmarkEnd w:id="1981"/>
      <w:bookmarkEnd w:id="1982"/>
      <w:bookmarkEnd w:id="1983"/>
    </w:p>
    <w:p>
      <w:pPr>
        <w:widowControl w:val="0"/>
        <w:spacing w:before="0" w:after="0" w:afterAutospacing="0" w:line="360" w:lineRule="auto"/>
        <w:ind w:left="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在本项目采用的设备设施质量、型号尺寸、材质、颜色、档次、安装方式等与</w:t>
      </w:r>
      <w:r>
        <w:rPr>
          <w:rFonts w:hint="eastAsia" w:ascii="宋体" w:hAnsi="宋体" w:eastAsia="宋体" w:cs="宋体"/>
          <w:color w:val="auto"/>
          <w:sz w:val="21"/>
          <w:szCs w:val="21"/>
          <w:highlight w:val="none"/>
          <w:lang w:val="en-US" w:eastAsia="zh-CN"/>
        </w:rPr>
        <w:t>1、2、3、4、5</w:t>
      </w:r>
      <w:r>
        <w:rPr>
          <w:rFonts w:hint="eastAsia" w:ascii="宋体" w:hAnsi="宋体" w:eastAsia="宋体" w:cs="宋体"/>
          <w:color w:val="auto"/>
          <w:sz w:val="21"/>
          <w:szCs w:val="21"/>
          <w:highlight w:val="none"/>
        </w:rPr>
        <w:t>号线原有设备设施保持一致，不低于既有线所用设备设施的质量要求，符合</w:t>
      </w:r>
      <w:r>
        <w:rPr>
          <w:rFonts w:hint="eastAsia" w:ascii="宋体" w:hAnsi="宋体" w:eastAsia="宋体" w:cs="宋体"/>
          <w:color w:val="auto"/>
          <w:sz w:val="21"/>
          <w:szCs w:val="21"/>
          <w:highlight w:val="none"/>
          <w:lang w:val="en-US" w:eastAsia="zh-CN"/>
        </w:rPr>
        <w:t>1、2、3、4、5</w:t>
      </w:r>
      <w:r>
        <w:rPr>
          <w:rFonts w:hint="eastAsia" w:ascii="宋体" w:hAnsi="宋体" w:eastAsia="宋体" w:cs="宋体"/>
          <w:color w:val="auto"/>
          <w:sz w:val="21"/>
          <w:szCs w:val="21"/>
          <w:highlight w:val="none"/>
        </w:rPr>
        <w:t>号线既有装修风格，</w:t>
      </w:r>
      <w:r>
        <w:rPr>
          <w:rFonts w:hint="eastAsia" w:ascii="宋体" w:hAnsi="宋体" w:eastAsia="宋体" w:cs="宋体"/>
          <w:color w:val="auto"/>
          <w:sz w:val="21"/>
          <w:szCs w:val="21"/>
          <w:highlight w:val="none"/>
          <w:shd w:val="clear"/>
        </w:rPr>
        <w:t>对其提供的</w:t>
      </w:r>
      <w:r>
        <w:rPr>
          <w:rFonts w:hint="eastAsia" w:ascii="宋体" w:hAnsi="宋体" w:eastAsia="宋体" w:cs="宋体"/>
          <w:color w:val="auto"/>
          <w:sz w:val="21"/>
          <w:szCs w:val="21"/>
          <w:highlight w:val="none"/>
          <w:shd w:val="clear" w:fill="auto"/>
          <w:lang w:val="en-US" w:eastAsia="zh-CN"/>
        </w:rPr>
        <w:t>设备</w:t>
      </w:r>
      <w:r>
        <w:rPr>
          <w:rFonts w:hint="eastAsia" w:ascii="宋体" w:hAnsi="宋体" w:eastAsia="宋体" w:cs="宋体"/>
          <w:color w:val="auto"/>
          <w:sz w:val="21"/>
          <w:szCs w:val="21"/>
          <w:highlight w:val="none"/>
          <w:shd w:val="clear"/>
        </w:rPr>
        <w:t>产品</w:t>
      </w:r>
      <w:r>
        <w:rPr>
          <w:rFonts w:hint="eastAsia" w:ascii="宋体" w:hAnsi="宋体" w:eastAsia="宋体" w:cs="宋体"/>
          <w:color w:val="auto"/>
          <w:sz w:val="21"/>
          <w:szCs w:val="21"/>
          <w:highlight w:val="none"/>
          <w:shd w:val="clear" w:fill="auto"/>
          <w:lang w:eastAsia="zh-CN"/>
        </w:rPr>
        <w:t>、</w:t>
      </w:r>
      <w:r>
        <w:rPr>
          <w:rFonts w:hint="eastAsia" w:ascii="宋体" w:hAnsi="宋体" w:eastAsia="宋体" w:cs="宋体"/>
          <w:color w:val="auto"/>
          <w:sz w:val="21"/>
          <w:szCs w:val="21"/>
          <w:highlight w:val="none"/>
          <w:shd w:val="clear" w:fill="auto"/>
          <w:lang w:val="en-US" w:eastAsia="zh-CN"/>
        </w:rPr>
        <w:t>线缆等</w:t>
      </w:r>
      <w:r>
        <w:rPr>
          <w:rFonts w:hint="eastAsia" w:ascii="宋体" w:hAnsi="宋体" w:eastAsia="宋体" w:cs="宋体"/>
          <w:color w:val="auto"/>
          <w:sz w:val="21"/>
          <w:szCs w:val="21"/>
          <w:highlight w:val="none"/>
          <w:shd w:val="clear"/>
        </w:rPr>
        <w:t>进行检测和试验</w:t>
      </w:r>
      <w:r>
        <w:rPr>
          <w:rFonts w:hint="eastAsia" w:ascii="宋体" w:hAnsi="宋体" w:eastAsia="宋体" w:cs="宋体"/>
          <w:color w:val="auto"/>
          <w:sz w:val="21"/>
          <w:szCs w:val="21"/>
          <w:highlight w:val="none"/>
          <w:shd w:val="clear" w:fill="auto"/>
          <w:lang w:eastAsia="zh-CN"/>
        </w:rPr>
        <w:t>，</w:t>
      </w:r>
      <w:r>
        <w:rPr>
          <w:rFonts w:hint="eastAsia" w:ascii="宋体" w:hAnsi="宋体" w:eastAsia="宋体" w:cs="宋体"/>
          <w:color w:val="auto"/>
          <w:sz w:val="21"/>
          <w:szCs w:val="21"/>
          <w:highlight w:val="none"/>
          <w:shd w:val="clear" w:fill="auto"/>
          <w:lang w:val="en-US" w:eastAsia="zh-CN"/>
        </w:rPr>
        <w:t>并提供相应检验报告和合格证明</w:t>
      </w:r>
      <w:r>
        <w:rPr>
          <w:rFonts w:hint="eastAsia" w:ascii="宋体" w:hAnsi="宋体" w:eastAsia="宋体" w:cs="宋体"/>
          <w:color w:val="auto"/>
          <w:sz w:val="21"/>
          <w:szCs w:val="21"/>
          <w:highlight w:val="none"/>
        </w:rPr>
        <w:t>。项目使用的</w:t>
      </w:r>
      <w:r>
        <w:rPr>
          <w:rFonts w:hint="eastAsia" w:ascii="宋体" w:hAnsi="宋体" w:eastAsia="宋体" w:cs="宋体"/>
          <w:color w:val="auto"/>
          <w:sz w:val="21"/>
          <w:szCs w:val="21"/>
          <w:highlight w:val="none"/>
          <w:lang w:val="en-US" w:eastAsia="zh-CN"/>
        </w:rPr>
        <w:t>摄像机、摄像机配线箱</w:t>
      </w:r>
      <w:r>
        <w:rPr>
          <w:rFonts w:hint="eastAsia" w:ascii="宋体" w:hAnsi="宋体" w:eastAsia="Times New Roman" w:cs="宋体"/>
          <w:color w:val="auto"/>
          <w:sz w:val="21"/>
          <w:szCs w:val="21"/>
          <w:highlight w:val="none"/>
          <w:lang w:val="en-US" w:eastAsia="zh-CN"/>
        </w:rPr>
        <w:t>、线缆</w:t>
      </w:r>
      <w:r>
        <w:rPr>
          <w:rFonts w:hint="eastAsia" w:ascii="宋体" w:hAnsi="宋体" w:eastAsia="宋体" w:cs="宋体"/>
          <w:color w:val="auto"/>
          <w:sz w:val="21"/>
          <w:szCs w:val="21"/>
          <w:highlight w:val="none"/>
          <w:lang w:val="en-US" w:eastAsia="zh-CN"/>
        </w:rPr>
        <w:t>、</w:t>
      </w:r>
      <w:r>
        <w:rPr>
          <w:rFonts w:hint="eastAsia" w:cs="宋体" w:asciiTheme="minorEastAsia" w:hAnsiTheme="minorEastAsia" w:eastAsiaTheme="minorEastAsia"/>
          <w:color w:val="auto"/>
          <w:kern w:val="2"/>
          <w:sz w:val="21"/>
          <w:szCs w:val="21"/>
          <w:highlight w:val="none"/>
          <w:shd w:val="clear" w:color="auto" w:fill="auto"/>
          <w:lang w:val="en-US" w:eastAsia="zh-CN" w:bidi="ar-SA"/>
        </w:rPr>
        <w:t>光模块、光纤收发器</w:t>
      </w:r>
      <w:r>
        <w:rPr>
          <w:rFonts w:hint="eastAsia" w:ascii="宋体" w:hAnsi="宋体" w:eastAsia="宋体" w:cs="宋体"/>
          <w:color w:val="auto"/>
          <w:sz w:val="21"/>
          <w:szCs w:val="21"/>
          <w:highlight w:val="none"/>
          <w:lang w:val="en-US" w:eastAsia="zh-CN"/>
        </w:rPr>
        <w:t>、4芯光缆终端盒、摄像机壁式/悬挂式支架、立杆、防雷器、开关电源、空开等设备设施的</w:t>
      </w:r>
      <w:r>
        <w:rPr>
          <w:rFonts w:hint="eastAsia" w:ascii="宋体" w:hAnsi="宋体" w:eastAsia="宋体" w:cs="宋体"/>
          <w:color w:val="auto"/>
          <w:sz w:val="21"/>
          <w:szCs w:val="21"/>
          <w:highlight w:val="none"/>
        </w:rPr>
        <w:t>技术参数应满足或优于以下要求</w:t>
      </w:r>
      <w:r>
        <w:rPr>
          <w:rFonts w:hint="eastAsia" w:ascii="宋体" w:hAnsi="宋体" w:eastAsia="宋体" w:cs="宋体"/>
          <w:color w:val="auto"/>
          <w:sz w:val="21"/>
          <w:szCs w:val="21"/>
          <w:highlight w:val="none"/>
          <w:lang w:eastAsia="zh-CN"/>
        </w:rPr>
        <w:t>。</w:t>
      </w:r>
    </w:p>
    <w:p>
      <w:pPr>
        <w:keepNext/>
        <w:keepLines/>
        <w:widowControl w:val="0"/>
        <w:numPr>
          <w:ilvl w:val="2"/>
          <w:numId w:val="1"/>
        </w:numPr>
        <w:spacing w:before="0" w:after="0" w:afterAutospacing="0" w:line="360" w:lineRule="auto"/>
        <w:ind w:left="0" w:right="0" w:firstLine="0"/>
        <w:jc w:val="left"/>
        <w:outlineLvl w:val="2"/>
        <w:rPr>
          <w:rFonts w:eastAsia="Times New Roman"/>
          <w:sz w:val="24"/>
          <w:szCs w:val="24"/>
          <w:highlight w:val="none"/>
          <w:lang w:val="en-US" w:eastAsia="zh-CN"/>
        </w:rPr>
      </w:pPr>
      <w:bookmarkStart w:id="1984" w:name="_Toc19629_WPSOffice_Level3"/>
      <w:bookmarkStart w:id="1985" w:name="_Toc9135"/>
      <w:bookmarkStart w:id="1986" w:name="_Toc17786"/>
      <w:r>
        <w:rPr>
          <w:rFonts w:hint="eastAsia" w:ascii="黑体" w:hAnsi="黑体" w:eastAsia="黑体" w:cs="宋体"/>
          <w:bCs/>
          <w:color w:val="auto"/>
          <w:sz w:val="24"/>
          <w:szCs w:val="24"/>
          <w:highlight w:val="none"/>
          <w:lang w:val="en-US" w:eastAsia="zh-CN" w:bidi="ar-SA"/>
        </w:rPr>
        <w:t>摄像机参数</w:t>
      </w:r>
      <w:bookmarkEnd w:id="1984"/>
      <w:bookmarkEnd w:id="1985"/>
      <w:bookmarkEnd w:id="1986"/>
    </w:p>
    <w:p>
      <w:pPr>
        <w:widowControl w:val="0"/>
        <w:spacing w:before="0" w:after="0" w:afterAutospacing="0" w:line="240" w:lineRule="auto"/>
        <w:ind w:left="0" w:right="0" w:firstLine="0"/>
        <w:jc w:val="center"/>
        <w:rPr>
          <w:rFonts w:eastAsia="Times New Roman"/>
          <w:sz w:val="24"/>
          <w:szCs w:val="24"/>
          <w:highlight w:val="none"/>
          <w:lang w:val="en-US" w:eastAsia="zh-CN"/>
        </w:rPr>
      </w:pPr>
      <w:r>
        <w:rPr>
          <w:rFonts w:hint="eastAsia" w:ascii="宋体" w:hAnsi="宋体" w:eastAsia="宋体" w:cs="宋体"/>
          <w:color w:val="auto"/>
          <w:sz w:val="21"/>
          <w:szCs w:val="21"/>
          <w:highlight w:val="none"/>
          <w:lang w:val="en-US" w:eastAsia="zh-CN" w:bidi="ar-SA"/>
        </w:rPr>
        <w:t>表1：摄像机技术参数</w:t>
      </w:r>
    </w:p>
    <w:tbl>
      <w:tblPr>
        <w:tblStyle w:val="3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71"/>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shd w:val="clear" w:color="000000" w:fill="FFFFFF"/>
            <w:noWrap w:val="0"/>
            <w:vAlign w:val="center"/>
          </w:tcPr>
          <w:p>
            <w:pPr>
              <w:widowControl w:val="0"/>
              <w:spacing w:before="0" w:after="0" w:afterAutospacing="0" w:line="240" w:lineRule="auto"/>
              <w:ind w:left="0" w:right="0" w:firstLine="0"/>
              <w:jc w:val="center"/>
              <w:rPr>
                <w:rFonts w:hint="eastAsia" w:ascii="宋体" w:hAnsi="宋体" w:eastAsia="宋体" w:cs="宋体"/>
                <w:b w:val="0"/>
                <w:bCs w:val="0"/>
                <w:sz w:val="24"/>
                <w:szCs w:val="24"/>
                <w:highlight w:val="none"/>
              </w:rPr>
            </w:pPr>
            <w:r>
              <w:rPr>
                <w:rFonts w:hint="eastAsia" w:ascii="宋体" w:hAnsi="宋体" w:eastAsia="宋体" w:cs="宋体"/>
                <w:b/>
                <w:bCs/>
                <w:sz w:val="24"/>
                <w:szCs w:val="21"/>
                <w:highlight w:val="none"/>
                <w:lang w:val="en-US" w:eastAsia="zh-CN"/>
              </w:rPr>
              <w:t>项号</w:t>
            </w:r>
          </w:p>
        </w:tc>
        <w:tc>
          <w:tcPr>
            <w:tcW w:w="1471" w:type="dxa"/>
            <w:shd w:val="clear" w:color="000000" w:fill="FFFFFF"/>
            <w:noWrap w:val="0"/>
            <w:vAlign w:val="center"/>
          </w:tcPr>
          <w:p>
            <w:pPr>
              <w:widowControl w:val="0"/>
              <w:spacing w:before="0" w:after="0" w:afterAutospacing="0" w:line="240" w:lineRule="auto"/>
              <w:ind w:left="0" w:right="0" w:firstLine="0"/>
              <w:jc w:val="center"/>
              <w:rPr>
                <w:rFonts w:hint="eastAsia" w:ascii="宋体" w:hAnsi="宋体" w:eastAsia="宋体" w:cs="宋体"/>
                <w:b/>
                <w:bCs/>
                <w:sz w:val="24"/>
                <w:szCs w:val="21"/>
                <w:highlight w:val="none"/>
              </w:rPr>
            </w:pPr>
            <w:r>
              <w:rPr>
                <w:rFonts w:hint="eastAsia" w:ascii="宋体" w:hAnsi="宋体" w:eastAsia="宋体" w:cs="宋体"/>
                <w:b/>
                <w:bCs/>
                <w:sz w:val="24"/>
                <w:szCs w:val="21"/>
                <w:highlight w:val="none"/>
                <w:lang w:val="en-US" w:eastAsia="zh-CN"/>
              </w:rPr>
              <w:t>摄像机</w:t>
            </w:r>
            <w:r>
              <w:rPr>
                <w:rFonts w:hint="eastAsia" w:ascii="宋体" w:hAnsi="宋体" w:eastAsia="宋体" w:cs="宋体"/>
                <w:b/>
                <w:bCs/>
                <w:sz w:val="24"/>
                <w:szCs w:val="21"/>
                <w:highlight w:val="none"/>
              </w:rPr>
              <w:t>名称</w:t>
            </w:r>
          </w:p>
        </w:tc>
        <w:tc>
          <w:tcPr>
            <w:tcW w:w="6253" w:type="dxa"/>
            <w:shd w:val="clear" w:color="000000" w:fill="FFFFFF"/>
            <w:noWrap w:val="0"/>
            <w:vAlign w:val="center"/>
          </w:tcPr>
          <w:p>
            <w:pPr>
              <w:widowControl w:val="0"/>
              <w:spacing w:before="0" w:after="0" w:afterAutospacing="0" w:line="240" w:lineRule="auto"/>
              <w:ind w:left="0" w:right="0" w:firstLine="0"/>
              <w:jc w:val="center"/>
              <w:rPr>
                <w:rFonts w:hint="eastAsia" w:ascii="宋体" w:hAnsi="宋体" w:eastAsia="宋体" w:cs="宋体"/>
                <w:b/>
                <w:bCs/>
                <w:sz w:val="24"/>
                <w:szCs w:val="21"/>
                <w:highlight w:val="none"/>
              </w:rPr>
            </w:pPr>
            <w:r>
              <w:rPr>
                <w:rFonts w:hint="eastAsia" w:ascii="宋体" w:hAnsi="宋体" w:eastAsia="宋体" w:cs="宋体"/>
                <w:b/>
                <w:bCs/>
                <w:sz w:val="24"/>
                <w:szCs w:val="21"/>
                <w:highlight w:val="none"/>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shd w:val="clear" w:color="000000" w:fill="FFFFFF"/>
            <w:noWrap w:val="0"/>
            <w:vAlign w:val="center"/>
          </w:tcPr>
          <w:p>
            <w:pPr>
              <w:widowControl/>
              <w:spacing w:before="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sz w:val="24"/>
                <w:szCs w:val="24"/>
                <w:highlight w:val="none"/>
                <w:lang w:val="en-US" w:eastAsia="zh-CN"/>
              </w:rPr>
              <w:t>1</w:t>
            </w:r>
          </w:p>
        </w:tc>
        <w:tc>
          <w:tcPr>
            <w:tcW w:w="1471" w:type="dxa"/>
            <w:shd w:val="clear" w:color="000000" w:fill="FFFFFF"/>
            <w:noWrap w:val="0"/>
            <w:vAlign w:val="center"/>
          </w:tcPr>
          <w:p>
            <w:pPr>
              <w:widowControl w:val="0"/>
              <w:spacing w:before="0" w:after="0" w:afterAutospacing="0" w:line="360" w:lineRule="auto"/>
              <w:ind w:left="0" w:right="0" w:firstLine="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室外自动光圈电动变焦镜头高清枪式网络星光级红外摄像机</w:t>
            </w:r>
          </w:p>
        </w:tc>
        <w:tc>
          <w:tcPr>
            <w:tcW w:w="6253" w:type="dxa"/>
            <w:shd w:val="clear" w:color="000000" w:fill="FFFFFF"/>
            <w:noWrap w:val="0"/>
            <w:vAlign w:val="top"/>
          </w:tcPr>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成像器件：1/1.8"，逐行扫描200万像素CMOS图像传感器</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焦距范围：6.5~143mm，电动变焦，22倍光学变倍</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日夜切换方式：自动红外滤片切换彩转黑</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最低照度：0.001lux(彩色)，0.0002lux(黑白)</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水平分辨力≥1000TVL</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宽动态：支持</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编码协议：采用H.265（兼容H.264）编码</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编码制式：1080P(1920×1080)最大30帧/秒、720P(1280×720)最大30帧/秒、D1(720×576)最大25帧/秒</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视频流：双码流</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OSD：至少支持8组OSD，OSD内容支持自定义</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前端存储：SD卡</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音频接口：1路音频输入，1路音频输出</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告警接口：2路告警输入，1路告警输出，告警联动可设置</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协议：支持TCP/IP、UDP、RTP、RTSP、RTCP、HTTP、DNS、DHCP、FTP、NTP、SMTP、ARP、PPPOE、GB28181等网络协议，支持组播；</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网口：100MBase-FX自适应SFP单模光口+10M/100MBase-TX自适应以太网电口</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智能红外补光，补光距离要达80m以上，无红暴</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lang w:val="en-US" w:eastAsia="zh-CN" w:bidi="ar-SA"/>
              </w:rPr>
              <w:t>摄像机采用一体化设计</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fill="FFFFFF"/>
                <w:lang w:val="en-US" w:eastAsia="zh-CN" w:bidi="ar-SA"/>
              </w:rPr>
              <w:t>防护等级：IP67；</w:t>
            </w:r>
          </w:p>
          <w:p>
            <w:pPr>
              <w:widowControl w:val="0"/>
              <w:numPr>
                <w:ilvl w:val="0"/>
                <w:numId w:val="21"/>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fill="FFFFFF"/>
                <w:lang w:val="en-US" w:eastAsia="zh-CN" w:bidi="ar-SA"/>
              </w:rPr>
              <w:t>按南宁轨道交通CCTV系统现有平台架构、接口、协议分别接入现有1~5号线中心平台并正常工作。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8" w:type="dxa"/>
            <w:shd w:val="clear" w:color="000000" w:fill="FFFFFF"/>
            <w:noWrap w:val="0"/>
            <w:vAlign w:val="center"/>
          </w:tcPr>
          <w:p>
            <w:pPr>
              <w:widowControl/>
              <w:spacing w:before="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471" w:type="dxa"/>
            <w:shd w:val="clear" w:color="000000" w:fill="FFFFFF"/>
            <w:noWrap w:val="0"/>
            <w:vAlign w:val="center"/>
          </w:tcPr>
          <w:p>
            <w:pPr>
              <w:widowControl w:val="0"/>
              <w:spacing w:before="0" w:after="0" w:afterAutospacing="0" w:line="360" w:lineRule="auto"/>
              <w:ind w:left="0" w:right="0" w:firstLine="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球型一体化高清摄像机</w:t>
            </w:r>
          </w:p>
        </w:tc>
        <w:tc>
          <w:tcPr>
            <w:tcW w:w="6253" w:type="dxa"/>
            <w:shd w:val="clear" w:color="000000" w:fill="FFFFFF"/>
            <w:noWrap w:val="0"/>
            <w:vAlign w:val="top"/>
          </w:tcPr>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成像器件：采用不小于1/2.8”或更大尺寸逐行扫描CMOS；</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有效分辨率：不低于200万像素，1920(H)x1080(V)；</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编码格式：支持H.265（视频，兼容H.264）、G.711/G.726（音频），支持音视频同时编码；</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帧率：30帧/秒(1920×1080)；</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不少于20倍光学变焦；</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日夜转换：通过红外滤光片实现日夜自动转换，最低照度值时能达到1080P25帧/秒的图像质量；</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支持ONVIF、GB/T28181、IMOS、API，提供SDK；</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焦距：不劣于4.7～94mm，自动变焦；</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光圈：自动/手动，不劣于F1.6～F3.5；</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最低照度：0.01Lx（彩色），0.004Lx（黑白），提供检测报告；</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信噪比：＞50dB；</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具有超宽动态功能，动态范围120dB；</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电子快门：1～1/10000秒的连续变化；</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支持快速聚焦，数字降噪；</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支持智能视频、音频探测、智能设备防破坏探测功能；</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支持本地存储；</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视频接口：1个RJ45接口（10/100MbpsEthernet），我方根据自身方案选择输出接口，但最终无条件接受甲方基于现场实际需要的接口配置要求；</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音频接口：双向音频流，支持线路输入；</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支持通过组播方式传送音视频流；</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支持通过网络远程控制PTZ；</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可编程预置位：255个，预置位精准度±0.1°；</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旋转角度：0°～360°水平持续旋转，0°～90°垂直旋转；</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转速：水平速度1°～120°/秒；垂直速度1°～100°/秒，水平预置位速度不小于360°/秒；</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协议：支持TCP/IP、UDP、RTP、RTSP、RTCP、HTTP、DNS、DHCP、FTP、NTP、SMTP、ARP、PPPOE、GB28181等网络协议，支持组播；</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安全性：支持IP地址过滤，用户访问日志；</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至少支持2路单独码流输出（不可以单路码流多用户访问形式实现），每个码流均为1080P视频，码流大小可调整；</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支持字符叠加；</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支持网络远程管理，可以被管理平台统一管理；</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防护等级：IP66全天候保护罩；</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配置浪涌保护和防雷击保护；（针对室外型）</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自身配置有自动排风措施；</w:t>
            </w:r>
          </w:p>
          <w:p>
            <w:pPr>
              <w:widowControl w:val="0"/>
              <w:numPr>
                <w:ilvl w:val="0"/>
                <w:numId w:val="22"/>
              </w:numPr>
              <w:spacing w:before="0" w:after="0" w:afterAutospacing="0" w:line="240" w:lineRule="auto"/>
              <w:ind w:left="454" w:leftChars="0" w:right="0" w:rightChars="0" w:hanging="454" w:firstLineChars="0"/>
              <w:jc w:val="both"/>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val="en-US" w:eastAsia="zh-CN"/>
              </w:rPr>
              <w:t>工作环境：温度：－45ºC～＋60ºC，湿度：0～90%（无凝结）；</w:t>
            </w:r>
          </w:p>
          <w:p>
            <w:pPr>
              <w:widowControl w:val="0"/>
              <w:numPr>
                <w:ilvl w:val="0"/>
                <w:numId w:val="22"/>
              </w:numPr>
              <w:spacing w:before="0" w:after="0" w:afterAutospacing="0" w:line="240" w:lineRule="auto"/>
              <w:ind w:left="454" w:right="0" w:hanging="454"/>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电源电压：AC24V；</w:t>
            </w:r>
          </w:p>
          <w:p>
            <w:pPr>
              <w:widowControl w:val="0"/>
              <w:numPr>
                <w:ilvl w:val="0"/>
                <w:numId w:val="22"/>
              </w:numPr>
              <w:spacing w:before="0" w:after="0" w:afterAutospacing="0" w:line="240" w:lineRule="auto"/>
              <w:ind w:left="454" w:right="0" w:hanging="454"/>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val="en-US" w:eastAsia="zh-CN"/>
              </w:rPr>
              <w:t>支持红外夜视功能，红外灯照射距离不低于100米；</w:t>
            </w:r>
          </w:p>
          <w:p>
            <w:pPr>
              <w:widowControl w:val="0"/>
              <w:numPr>
                <w:ilvl w:val="0"/>
                <w:numId w:val="22"/>
              </w:numPr>
              <w:spacing w:before="0" w:after="0" w:afterAutospacing="0" w:line="240" w:lineRule="auto"/>
              <w:ind w:left="454" w:right="0" w:hanging="454"/>
              <w:rPr>
                <w:rFonts w:hint="eastAsia" w:hAnsi="宋体" w:eastAsia="宋体" w:cs="宋体"/>
                <w:sz w:val="24"/>
                <w:szCs w:val="24"/>
                <w:highlight w:val="none"/>
                <w:lang w:val="en-US" w:eastAsia="zh-CN"/>
              </w:rPr>
            </w:pPr>
            <w:r>
              <w:rPr>
                <w:rFonts w:hint="eastAsia" w:ascii="宋体" w:hAnsi="宋体" w:eastAsia="宋体" w:cs="宋体"/>
                <w:color w:val="auto"/>
                <w:sz w:val="21"/>
                <w:szCs w:val="21"/>
                <w:highlight w:val="none"/>
                <w:shd w:val="clear" w:color="auto" w:fill="FFFFFF"/>
                <w:lang w:val="en-US" w:eastAsia="zh-CN" w:bidi="ar-SA"/>
              </w:rPr>
              <w:t>按南宁轨道交通CCTV系统现有平台架构、接口、协议分别接入现有1~5号线中心平台并正常工作。</w:t>
            </w:r>
          </w:p>
        </w:tc>
      </w:tr>
    </w:tbl>
    <w:p>
      <w:pPr>
        <w:widowControl w:val="0"/>
        <w:numPr>
          <w:ilvl w:val="-1"/>
          <w:numId w:val="0"/>
        </w:numPr>
        <w:spacing w:before="0" w:after="0" w:afterAutospacing="0" w:line="360" w:lineRule="auto"/>
        <w:ind w:left="0" w:leftChars="0" w:right="-27" w:rightChars="0" w:firstLine="0" w:firstLineChars="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p>
    <w:p>
      <w:pPr>
        <w:keepNext/>
        <w:keepLines/>
        <w:widowControl w:val="0"/>
        <w:numPr>
          <w:ilvl w:val="2"/>
          <w:numId w:val="1"/>
        </w:numPr>
        <w:spacing w:before="0" w:after="0" w:afterAutospacing="0" w:line="360" w:lineRule="auto"/>
        <w:ind w:left="0" w:right="0" w:firstLine="0"/>
        <w:jc w:val="left"/>
        <w:outlineLvl w:val="2"/>
        <w:rPr>
          <w:rFonts w:hint="eastAsia" w:ascii="黑体" w:hAnsi="黑体" w:eastAsia="黑体" w:cs="宋体"/>
          <w:bCs/>
          <w:color w:val="auto"/>
          <w:sz w:val="24"/>
          <w:szCs w:val="24"/>
          <w:highlight w:val="none"/>
          <w:lang w:val="en-US" w:eastAsia="zh-CN" w:bidi="ar-SA"/>
        </w:rPr>
      </w:pPr>
      <w:bookmarkStart w:id="1987" w:name="_Toc8036_WPSOffice_Level3"/>
      <w:bookmarkStart w:id="1988" w:name="_Toc23270"/>
      <w:bookmarkStart w:id="1989" w:name="_Toc32340"/>
      <w:r>
        <w:rPr>
          <w:rFonts w:hint="eastAsia" w:ascii="黑体" w:hAnsi="黑体" w:eastAsia="黑体" w:cs="宋体"/>
          <w:bCs/>
          <w:color w:val="auto"/>
          <w:sz w:val="24"/>
          <w:szCs w:val="24"/>
          <w:highlight w:val="none"/>
          <w:lang w:val="en-US" w:eastAsia="zh-CN" w:bidi="ar-SA"/>
        </w:rPr>
        <w:t>光纤收发器（含电源适配器）</w:t>
      </w:r>
      <w:bookmarkEnd w:id="1987"/>
      <w:bookmarkEnd w:id="1988"/>
      <w:bookmarkEnd w:id="1989"/>
    </w:p>
    <w:p>
      <w:pPr>
        <w:widowControl w:val="0"/>
        <w:numPr>
          <w:ilvl w:val="0"/>
          <w:numId w:val="23"/>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lang w:val="en-US" w:eastAsia="zh-CN"/>
        </w:rPr>
      </w:pPr>
      <w:r>
        <w:rPr>
          <w:rFonts w:hint="eastAsia" w:cs="Courier New" w:asciiTheme="minorEastAsia" w:hAnsiTheme="minorEastAsia" w:eastAsiaTheme="minorEastAsia"/>
          <w:color w:val="auto"/>
          <w:sz w:val="21"/>
          <w:szCs w:val="21"/>
          <w:highlight w:val="none"/>
          <w:shd w:val="clear" w:color="auto" w:fill="FFFFFF"/>
          <w:lang w:val="en-US" w:eastAsia="zh-CN"/>
        </w:rPr>
        <w:t>设备类型：千兆单模单纤光纤收发器；</w:t>
      </w:r>
    </w:p>
    <w:p>
      <w:pPr>
        <w:widowControl w:val="0"/>
        <w:numPr>
          <w:ilvl w:val="0"/>
          <w:numId w:val="23"/>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lang w:val="en-US" w:eastAsia="zh-CN"/>
        </w:rPr>
      </w:pPr>
      <w:r>
        <w:rPr>
          <w:rFonts w:hint="eastAsia" w:cs="Courier New" w:asciiTheme="minorEastAsia" w:hAnsiTheme="minorEastAsia" w:eastAsiaTheme="minorEastAsia"/>
          <w:color w:val="auto"/>
          <w:sz w:val="21"/>
          <w:szCs w:val="21"/>
          <w:highlight w:val="none"/>
          <w:shd w:val="clear" w:color="auto" w:fill="FFFFFF"/>
          <w:lang w:val="en-US" w:eastAsia="zh-CN"/>
        </w:rPr>
        <w:t>接口：1个RJ-45，1个SC/FC光纤接口；</w:t>
      </w:r>
    </w:p>
    <w:p>
      <w:pPr>
        <w:widowControl w:val="0"/>
        <w:numPr>
          <w:ilvl w:val="0"/>
          <w:numId w:val="23"/>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lang w:val="en-US" w:eastAsia="zh-CN"/>
        </w:rPr>
      </w:pPr>
      <w:r>
        <w:rPr>
          <w:rFonts w:hint="eastAsia" w:cs="Courier New" w:asciiTheme="minorEastAsia" w:hAnsiTheme="minorEastAsia" w:eastAsiaTheme="minorEastAsia"/>
          <w:color w:val="auto"/>
          <w:sz w:val="21"/>
          <w:szCs w:val="21"/>
          <w:highlight w:val="none"/>
          <w:shd w:val="clear" w:color="auto" w:fill="FFFFFF"/>
          <w:lang w:val="en-US" w:eastAsia="zh-CN"/>
        </w:rPr>
        <w:t>传输速率：10/100/1000Mbps；</w:t>
      </w:r>
    </w:p>
    <w:p>
      <w:pPr>
        <w:widowControl w:val="0"/>
        <w:numPr>
          <w:ilvl w:val="0"/>
          <w:numId w:val="23"/>
        </w:numPr>
        <w:spacing w:before="0" w:after="0" w:afterAutospacing="0" w:line="360" w:lineRule="auto"/>
        <w:ind w:left="420" w:leftChars="200" w:right="-27" w:firstLine="0"/>
        <w:rPr>
          <w:rFonts w:hint="default" w:cs="Courier New" w:asciiTheme="minorEastAsia" w:hAnsiTheme="minorEastAsia" w:eastAsiaTheme="minorEastAsia"/>
          <w:color w:val="auto"/>
          <w:sz w:val="21"/>
          <w:szCs w:val="21"/>
          <w:highlight w:val="none"/>
          <w:shd w:val="clear" w:color="auto" w:fill="FFFFFF"/>
          <w:lang w:val="en-US" w:eastAsia="zh-CN"/>
        </w:rPr>
      </w:pPr>
      <w:r>
        <w:rPr>
          <w:rFonts w:hint="eastAsia" w:cs="Courier New" w:asciiTheme="minorEastAsia" w:hAnsiTheme="minorEastAsia" w:eastAsiaTheme="minorEastAsia"/>
          <w:color w:val="auto"/>
          <w:sz w:val="21"/>
          <w:szCs w:val="21"/>
          <w:highlight w:val="none"/>
          <w:shd w:val="clear" w:color="auto" w:fill="FFFFFF"/>
          <w:lang w:val="en-US" w:eastAsia="zh-CN"/>
        </w:rPr>
        <w:t>支持IEEE802.3、IEEE802.3u、IEEE802.3ab；</w:t>
      </w:r>
    </w:p>
    <w:p>
      <w:pPr>
        <w:widowControl w:val="0"/>
        <w:numPr>
          <w:ilvl w:val="0"/>
          <w:numId w:val="23"/>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lang w:val="en-US" w:eastAsia="zh-CN"/>
        </w:rPr>
      </w:pPr>
      <w:r>
        <w:rPr>
          <w:rFonts w:hint="eastAsia" w:cs="Courier New" w:asciiTheme="minorEastAsia" w:hAnsiTheme="minorEastAsia" w:eastAsiaTheme="minorEastAsia"/>
          <w:color w:val="auto"/>
          <w:sz w:val="21"/>
          <w:szCs w:val="21"/>
          <w:highlight w:val="none"/>
          <w:shd w:val="clear" w:color="auto" w:fill="FFFFFF"/>
          <w:lang w:val="en-US" w:eastAsia="zh-CN"/>
        </w:rPr>
        <w:t>最大传输距离:3000米；</w:t>
      </w:r>
    </w:p>
    <w:p>
      <w:pPr>
        <w:widowControl w:val="0"/>
        <w:numPr>
          <w:ilvl w:val="0"/>
          <w:numId w:val="23"/>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lang w:val="en-US" w:eastAsia="zh-CN"/>
        </w:rPr>
      </w:pPr>
      <w:r>
        <w:rPr>
          <w:rFonts w:hint="eastAsia" w:cs="Courier New" w:asciiTheme="minorEastAsia" w:hAnsiTheme="minorEastAsia" w:eastAsiaTheme="minorEastAsia"/>
          <w:color w:val="auto"/>
          <w:sz w:val="21"/>
          <w:szCs w:val="21"/>
          <w:highlight w:val="none"/>
          <w:shd w:val="clear" w:color="auto" w:fill="FFFFFF"/>
          <w:lang w:val="en-US" w:eastAsia="zh-CN"/>
        </w:rPr>
        <w:t>电源电压：5V-12VDC；</w:t>
      </w:r>
    </w:p>
    <w:p>
      <w:pPr>
        <w:widowControl w:val="0"/>
        <w:numPr>
          <w:ilvl w:val="0"/>
          <w:numId w:val="23"/>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lang w:val="en-US" w:eastAsia="zh-CN"/>
        </w:rPr>
      </w:pPr>
      <w:r>
        <w:rPr>
          <w:rFonts w:hint="eastAsia" w:cs="Courier New" w:asciiTheme="minorEastAsia" w:hAnsiTheme="minorEastAsia" w:eastAsiaTheme="minorEastAsia"/>
          <w:color w:val="auto"/>
          <w:sz w:val="21"/>
          <w:szCs w:val="21"/>
          <w:highlight w:val="none"/>
          <w:shd w:val="clear" w:color="auto" w:fill="FFFFFF"/>
          <w:lang w:val="en-US" w:eastAsia="zh-CN"/>
        </w:rPr>
        <w:t>工作温度：-20℃～60℃；</w:t>
      </w:r>
    </w:p>
    <w:p>
      <w:pPr>
        <w:widowControl w:val="0"/>
        <w:numPr>
          <w:ilvl w:val="0"/>
          <w:numId w:val="23"/>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lang w:val="en-US" w:eastAsia="zh-CN"/>
        </w:rPr>
      </w:pPr>
      <w:r>
        <w:rPr>
          <w:rFonts w:hint="eastAsia" w:cs="Courier New" w:asciiTheme="minorEastAsia" w:hAnsiTheme="minorEastAsia" w:eastAsiaTheme="minorEastAsia"/>
          <w:color w:val="auto"/>
          <w:sz w:val="21"/>
          <w:szCs w:val="21"/>
          <w:highlight w:val="none"/>
          <w:shd w:val="clear" w:color="auto" w:fill="FFFFFF"/>
          <w:lang w:val="en-US" w:eastAsia="zh-CN"/>
        </w:rPr>
        <w:t>工作湿度：10%～90%RH。</w:t>
      </w:r>
    </w:p>
    <w:p>
      <w:pPr>
        <w:keepNext/>
        <w:keepLines/>
        <w:widowControl w:val="0"/>
        <w:numPr>
          <w:ilvl w:val="2"/>
          <w:numId w:val="1"/>
        </w:numPr>
        <w:spacing w:before="0" w:after="0" w:afterAutospacing="0" w:line="360" w:lineRule="auto"/>
        <w:ind w:left="0" w:right="0" w:firstLine="0"/>
        <w:jc w:val="left"/>
        <w:outlineLvl w:val="2"/>
        <w:rPr>
          <w:rFonts w:hint="eastAsia" w:ascii="黑体" w:hAnsi="黑体" w:eastAsia="黑体" w:cs="宋体"/>
          <w:bCs/>
          <w:color w:val="auto"/>
          <w:sz w:val="24"/>
          <w:szCs w:val="24"/>
          <w:highlight w:val="none"/>
          <w:lang w:val="en-US" w:eastAsia="zh-CN" w:bidi="ar-SA"/>
        </w:rPr>
      </w:pPr>
      <w:bookmarkStart w:id="1990" w:name="_Toc23834"/>
      <w:bookmarkStart w:id="1991" w:name="_Toc20576_WPSOffice_Level3"/>
      <w:bookmarkStart w:id="1992" w:name="_Toc27656"/>
      <w:r>
        <w:rPr>
          <w:rFonts w:hint="eastAsia" w:ascii="黑体" w:hAnsi="黑体" w:eastAsia="黑体" w:cs="宋体"/>
          <w:bCs/>
          <w:color w:val="auto"/>
          <w:sz w:val="24"/>
          <w:szCs w:val="24"/>
          <w:highlight w:val="none"/>
          <w:lang w:val="en-US" w:eastAsia="zh-CN" w:bidi="ar-SA"/>
        </w:rPr>
        <w:t>球机立杆</w:t>
      </w:r>
      <w:bookmarkEnd w:id="1990"/>
      <w:bookmarkEnd w:id="1991"/>
      <w:bookmarkEnd w:id="1992"/>
    </w:p>
    <w:p>
      <w:pPr>
        <w:widowControl w:val="0"/>
        <w:numPr>
          <w:ilvl w:val="0"/>
          <w:numId w:val="24"/>
        </w:numPr>
        <w:spacing w:before="0" w:after="0" w:afterAutospacing="0" w:line="360" w:lineRule="auto"/>
        <w:ind w:left="420" w:leftChars="200" w:right="-27" w:firstLine="0"/>
        <w:rPr>
          <w:rFonts w:hint="eastAsia" w:cs="Courier New" w:asciiTheme="minorEastAsia" w:hAnsiTheme="minorEastAsia" w:eastAsiaTheme="minorEastAsia"/>
          <w:bCs w:val="0"/>
          <w:color w:val="auto"/>
          <w:sz w:val="21"/>
          <w:szCs w:val="21"/>
          <w:highlight w:val="none"/>
          <w:shd w:val="clear" w:color="auto" w:fill="FFFFFF"/>
          <w:lang w:val="en-US" w:eastAsia="zh-CN" w:bidi="ar-SA"/>
        </w:rPr>
      </w:pPr>
      <w:r>
        <w:rPr>
          <w:rFonts w:hint="eastAsia" w:cs="Courier New" w:asciiTheme="minorEastAsia" w:hAnsiTheme="minorEastAsia" w:eastAsiaTheme="minorEastAsia"/>
          <w:bCs w:val="0"/>
          <w:color w:val="auto"/>
          <w:sz w:val="21"/>
          <w:szCs w:val="21"/>
          <w:highlight w:val="none"/>
          <w:shd w:val="clear" w:color="auto" w:fill="FFFFFF"/>
          <w:lang w:val="en-US" w:eastAsia="zh-CN" w:bidi="ar-SA"/>
        </w:rPr>
        <w:t>立杆采用加厚材料，表面烤漆，预留检修口；</w:t>
      </w:r>
    </w:p>
    <w:p>
      <w:pPr>
        <w:widowControl w:val="0"/>
        <w:numPr>
          <w:ilvl w:val="0"/>
          <w:numId w:val="24"/>
        </w:numPr>
        <w:spacing w:before="0" w:after="0" w:afterAutospacing="0" w:line="360" w:lineRule="auto"/>
        <w:ind w:left="420" w:leftChars="200" w:right="-27" w:firstLine="0"/>
        <w:rPr>
          <w:rFonts w:hint="eastAsia" w:cs="Courier New" w:asciiTheme="minorEastAsia" w:hAnsiTheme="minorEastAsia" w:eastAsiaTheme="minorEastAsia"/>
          <w:bCs w:val="0"/>
          <w:color w:val="auto"/>
          <w:sz w:val="21"/>
          <w:szCs w:val="21"/>
          <w:highlight w:val="none"/>
          <w:shd w:val="clear" w:color="auto" w:fill="FFFFFF"/>
          <w:lang w:val="en-US" w:eastAsia="zh-CN" w:bidi="ar-SA"/>
        </w:rPr>
      </w:pPr>
      <w:r>
        <w:rPr>
          <w:rFonts w:hint="eastAsia" w:cs="Courier New" w:asciiTheme="minorEastAsia" w:hAnsiTheme="minorEastAsia" w:eastAsiaTheme="minorEastAsia"/>
          <w:bCs w:val="0"/>
          <w:color w:val="auto"/>
          <w:sz w:val="21"/>
          <w:szCs w:val="21"/>
          <w:highlight w:val="none"/>
          <w:shd w:val="clear" w:color="auto" w:fill="FFFFFF"/>
          <w:lang w:val="en-US" w:eastAsia="zh-CN" w:bidi="ar-SA"/>
        </w:rPr>
        <w:t>管壁厚度不少于3mm，立杆直径不少于12cm；</w:t>
      </w:r>
    </w:p>
    <w:p>
      <w:pPr>
        <w:widowControl w:val="0"/>
        <w:numPr>
          <w:ilvl w:val="0"/>
          <w:numId w:val="24"/>
        </w:numPr>
        <w:spacing w:before="0" w:after="0" w:afterAutospacing="0" w:line="360" w:lineRule="auto"/>
        <w:ind w:left="420" w:leftChars="200" w:right="-27" w:firstLine="0"/>
        <w:rPr>
          <w:rFonts w:hint="eastAsia" w:cs="Courier New" w:asciiTheme="minorEastAsia" w:hAnsiTheme="minorEastAsia" w:eastAsiaTheme="minorEastAsia"/>
          <w:bCs w:val="0"/>
          <w:color w:val="auto"/>
          <w:sz w:val="21"/>
          <w:szCs w:val="21"/>
          <w:highlight w:val="none"/>
          <w:shd w:val="clear" w:color="auto" w:fill="FFFFFF"/>
          <w:lang w:val="en-US" w:eastAsia="zh-CN" w:bidi="ar-SA"/>
        </w:rPr>
      </w:pPr>
      <w:r>
        <w:rPr>
          <w:rFonts w:hint="eastAsia" w:cs="Courier New" w:asciiTheme="minorEastAsia" w:hAnsiTheme="minorEastAsia" w:eastAsiaTheme="minorEastAsia"/>
          <w:bCs w:val="0"/>
          <w:color w:val="auto"/>
          <w:sz w:val="21"/>
          <w:szCs w:val="21"/>
          <w:highlight w:val="none"/>
          <w:shd w:val="clear" w:color="auto" w:fill="FFFFFF"/>
          <w:lang w:val="en-US" w:eastAsia="zh-CN" w:bidi="ar-SA"/>
        </w:rPr>
        <w:t>产品应包含立杆、横臂、地龙底座。</w:t>
      </w:r>
    </w:p>
    <w:p>
      <w:pPr>
        <w:keepNext/>
        <w:keepLines/>
        <w:widowControl w:val="0"/>
        <w:numPr>
          <w:ilvl w:val="2"/>
          <w:numId w:val="1"/>
        </w:numPr>
        <w:spacing w:before="0" w:after="0" w:afterAutospacing="0" w:line="360" w:lineRule="auto"/>
        <w:ind w:left="0" w:right="0" w:firstLine="0"/>
        <w:jc w:val="left"/>
        <w:outlineLvl w:val="2"/>
        <w:rPr>
          <w:rFonts w:hint="eastAsia" w:ascii="黑体" w:hAnsi="黑体" w:eastAsia="黑体" w:cs="宋体"/>
          <w:bCs/>
          <w:color w:val="auto"/>
          <w:sz w:val="24"/>
          <w:szCs w:val="24"/>
          <w:highlight w:val="none"/>
          <w:lang w:val="en-US" w:eastAsia="zh-CN" w:bidi="ar-SA"/>
        </w:rPr>
      </w:pPr>
      <w:bookmarkStart w:id="1993" w:name="_Toc11575_WPSOffice_Level3"/>
      <w:bookmarkStart w:id="1994" w:name="_Toc18965"/>
      <w:bookmarkStart w:id="1995" w:name="_Toc4916"/>
      <w:r>
        <w:rPr>
          <w:rFonts w:hint="eastAsia" w:ascii="黑体" w:hAnsi="黑体" w:eastAsia="黑体" w:cs="宋体"/>
          <w:bCs/>
          <w:color w:val="auto"/>
          <w:sz w:val="24"/>
          <w:szCs w:val="24"/>
          <w:highlight w:val="none"/>
          <w:lang w:val="en-US" w:eastAsia="zh-CN" w:bidi="ar-SA"/>
        </w:rPr>
        <w:t>摄像机配线箱</w:t>
      </w:r>
      <w:bookmarkEnd w:id="1993"/>
      <w:bookmarkEnd w:id="1994"/>
      <w:bookmarkEnd w:id="1995"/>
    </w:p>
    <w:p>
      <w:pPr>
        <w:widowControl w:val="0"/>
        <w:numPr>
          <w:ilvl w:val="0"/>
          <w:numId w:val="25"/>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箱体采用不锈钢材质，所有标识采用腐蚀电刻技术、箱体表面进行封釉处理</w:t>
      </w:r>
      <w:r>
        <w:rPr>
          <w:rFonts w:hint="eastAsia" w:cs="Courier New" w:asciiTheme="minorEastAsia" w:hAnsiTheme="minorEastAsia" w:eastAsiaTheme="minorEastAsia"/>
          <w:color w:val="auto"/>
          <w:sz w:val="21"/>
          <w:szCs w:val="21"/>
          <w:highlight w:val="none"/>
          <w:shd w:val="clear" w:color="auto" w:fill="FFFFFF"/>
          <w:lang w:eastAsia="zh-CN"/>
        </w:rPr>
        <w:t>，</w:t>
      </w:r>
      <w:r>
        <w:rPr>
          <w:rFonts w:hint="eastAsia" w:cs="Courier New" w:asciiTheme="minorEastAsia" w:hAnsiTheme="minorEastAsia" w:eastAsiaTheme="minorEastAsia"/>
          <w:color w:val="auto"/>
          <w:sz w:val="21"/>
          <w:szCs w:val="21"/>
          <w:highlight w:val="none"/>
          <w:shd w:val="clear" w:color="auto" w:fill="FFFFFF"/>
          <w:lang w:val="en-US" w:eastAsia="zh-CN"/>
        </w:rPr>
        <w:t>带屋檐式防雨帽，带防水密封胶条；</w:t>
      </w:r>
    </w:p>
    <w:p>
      <w:pPr>
        <w:widowControl w:val="0"/>
        <w:numPr>
          <w:ilvl w:val="0"/>
          <w:numId w:val="25"/>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具备锁扣功能</w:t>
      </w:r>
      <w:r>
        <w:rPr>
          <w:rFonts w:hint="eastAsia" w:cs="Courier New" w:asciiTheme="minorEastAsia" w:hAnsiTheme="minorEastAsia" w:eastAsiaTheme="minorEastAsia"/>
          <w:color w:val="auto"/>
          <w:sz w:val="21"/>
          <w:szCs w:val="21"/>
          <w:highlight w:val="none"/>
          <w:shd w:val="clear" w:color="auto" w:fill="FFFFFF"/>
          <w:lang w:eastAsia="zh-CN"/>
        </w:rPr>
        <w:t>；</w:t>
      </w:r>
    </w:p>
    <w:p>
      <w:pPr>
        <w:widowControl w:val="0"/>
        <w:numPr>
          <w:ilvl w:val="0"/>
          <w:numId w:val="25"/>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箱体外型尺寸不超过</w:t>
      </w:r>
      <w:r>
        <w:rPr>
          <w:rFonts w:hint="eastAsia" w:cs="Courier New" w:asciiTheme="minorEastAsia" w:hAnsiTheme="minorEastAsia" w:eastAsiaTheme="minorEastAsia"/>
          <w:color w:val="auto"/>
          <w:sz w:val="21"/>
          <w:szCs w:val="21"/>
          <w:highlight w:val="none"/>
          <w:shd w:val="clear" w:color="auto" w:fill="FFFFFF"/>
          <w:lang w:eastAsia="zh-CN"/>
        </w:rPr>
        <w:t>3</w:t>
      </w:r>
      <w:r>
        <w:rPr>
          <w:rFonts w:hint="eastAsia" w:cs="Courier New" w:asciiTheme="minorEastAsia" w:hAnsiTheme="minorEastAsia" w:eastAsiaTheme="minorEastAsia"/>
          <w:color w:val="auto"/>
          <w:sz w:val="21"/>
          <w:szCs w:val="21"/>
          <w:highlight w:val="none"/>
          <w:shd w:val="clear" w:color="auto" w:fill="FFFFFF"/>
        </w:rPr>
        <w:t>00×</w:t>
      </w:r>
      <w:r>
        <w:rPr>
          <w:rFonts w:hint="eastAsia" w:cs="Courier New" w:asciiTheme="minorEastAsia" w:hAnsiTheme="minorEastAsia" w:eastAsiaTheme="minorEastAsia"/>
          <w:color w:val="auto"/>
          <w:sz w:val="21"/>
          <w:szCs w:val="21"/>
          <w:highlight w:val="none"/>
          <w:shd w:val="clear" w:color="auto" w:fill="FFFFFF"/>
          <w:lang w:eastAsia="zh-CN"/>
        </w:rPr>
        <w:t>4</w:t>
      </w:r>
      <w:r>
        <w:rPr>
          <w:rFonts w:hint="eastAsia" w:cs="Courier New" w:asciiTheme="minorEastAsia" w:hAnsiTheme="minorEastAsia" w:eastAsiaTheme="minorEastAsia"/>
          <w:color w:val="auto"/>
          <w:sz w:val="21"/>
          <w:szCs w:val="21"/>
          <w:highlight w:val="none"/>
          <w:shd w:val="clear" w:color="auto" w:fill="FFFFFF"/>
        </w:rPr>
        <w:t>00×</w:t>
      </w:r>
      <w:r>
        <w:rPr>
          <w:rFonts w:hint="eastAsia" w:cs="Courier New" w:asciiTheme="minorEastAsia" w:hAnsiTheme="minorEastAsia" w:eastAsiaTheme="minorEastAsia"/>
          <w:color w:val="auto"/>
          <w:sz w:val="21"/>
          <w:szCs w:val="21"/>
          <w:highlight w:val="none"/>
          <w:shd w:val="clear" w:color="auto" w:fill="FFFFFF"/>
          <w:lang w:eastAsia="zh-CN"/>
        </w:rPr>
        <w:t>1</w:t>
      </w:r>
      <w:r>
        <w:rPr>
          <w:rFonts w:hint="eastAsia" w:cs="Courier New" w:asciiTheme="minorEastAsia" w:hAnsiTheme="minorEastAsia" w:eastAsiaTheme="minorEastAsia"/>
          <w:color w:val="auto"/>
          <w:sz w:val="21"/>
          <w:szCs w:val="21"/>
          <w:highlight w:val="none"/>
          <w:shd w:val="clear" w:color="auto" w:fill="FFFFFF"/>
          <w:lang w:val="en-US" w:eastAsia="zh-CN"/>
        </w:rPr>
        <w:t>8</w:t>
      </w:r>
      <w:r>
        <w:rPr>
          <w:rFonts w:hint="eastAsia" w:cs="Courier New" w:asciiTheme="minorEastAsia" w:hAnsiTheme="minorEastAsia" w:eastAsiaTheme="minorEastAsia"/>
          <w:color w:val="auto"/>
          <w:sz w:val="21"/>
          <w:szCs w:val="21"/>
          <w:highlight w:val="none"/>
          <w:shd w:val="clear" w:color="auto" w:fill="FFFFFF"/>
        </w:rPr>
        <w:t>0mm，W×H×D。</w:t>
      </w:r>
      <w:r>
        <w:rPr>
          <w:rFonts w:hint="eastAsia" w:cs="Courier New" w:asciiTheme="minorEastAsia" w:hAnsiTheme="minorEastAsia" w:eastAsiaTheme="minorEastAsia"/>
          <w:color w:val="auto"/>
          <w:sz w:val="21"/>
          <w:szCs w:val="21"/>
          <w:highlight w:val="none"/>
          <w:shd w:val="clear" w:color="auto" w:fill="FFFFFF"/>
          <w:lang w:val="en-US" w:eastAsia="zh-CN"/>
        </w:rPr>
        <w:t>乙方</w:t>
      </w:r>
      <w:r>
        <w:rPr>
          <w:rFonts w:hint="eastAsia" w:cs="Courier New" w:asciiTheme="minorEastAsia" w:hAnsiTheme="minorEastAsia" w:eastAsiaTheme="minorEastAsia"/>
          <w:color w:val="auto"/>
          <w:sz w:val="21"/>
          <w:szCs w:val="21"/>
          <w:highlight w:val="none"/>
          <w:shd w:val="clear" w:color="auto" w:fill="FFFFFF"/>
        </w:rPr>
        <w:t>充分考虑箱内设备布局、线缆走线和通风散热，合理选择箱体尺寸</w:t>
      </w:r>
      <w:r>
        <w:rPr>
          <w:rFonts w:hint="eastAsia" w:cs="Courier New" w:asciiTheme="minorEastAsia" w:hAnsiTheme="minorEastAsia" w:eastAsiaTheme="minorEastAsia"/>
          <w:color w:val="auto"/>
          <w:sz w:val="21"/>
          <w:szCs w:val="21"/>
          <w:highlight w:val="none"/>
          <w:shd w:val="clear" w:color="auto" w:fill="FFFFFF"/>
          <w:lang w:eastAsia="zh-CN"/>
        </w:rPr>
        <w:t>；</w:t>
      </w:r>
    </w:p>
    <w:p>
      <w:pPr>
        <w:widowControl w:val="0"/>
        <w:numPr>
          <w:ilvl w:val="0"/>
          <w:numId w:val="25"/>
        </w:numPr>
        <w:spacing w:before="0" w:after="0" w:afterAutospacing="0" w:line="360" w:lineRule="auto"/>
        <w:ind w:left="420" w:leftChars="200" w:right="-27" w:firstLine="0" w:firstLineChars="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配置设备供电电源</w:t>
      </w:r>
      <w:r>
        <w:rPr>
          <w:rFonts w:hint="eastAsia" w:cs="Courier New" w:asciiTheme="minorEastAsia" w:hAnsiTheme="minorEastAsia" w:eastAsiaTheme="minorEastAsia"/>
          <w:color w:val="auto"/>
          <w:sz w:val="21"/>
          <w:szCs w:val="21"/>
          <w:highlight w:val="none"/>
          <w:shd w:val="clear" w:color="auto" w:fill="FFFFFF"/>
          <w:lang w:eastAsia="zh-CN"/>
        </w:rPr>
        <w:t>；</w:t>
      </w:r>
    </w:p>
    <w:p>
      <w:pPr>
        <w:widowControl w:val="0"/>
        <w:numPr>
          <w:ilvl w:val="0"/>
          <w:numId w:val="25"/>
        </w:numPr>
        <w:spacing w:before="0" w:after="0" w:afterAutospacing="0" w:line="360" w:lineRule="auto"/>
        <w:ind w:left="420" w:leftChars="200" w:right="-27" w:firstLine="0" w:firstLineChars="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输入电源：AC220±15%；</w:t>
      </w:r>
    </w:p>
    <w:p>
      <w:pPr>
        <w:widowControl w:val="0"/>
        <w:numPr>
          <w:ilvl w:val="0"/>
          <w:numId w:val="25"/>
        </w:numPr>
        <w:spacing w:before="0" w:after="0" w:afterAutospacing="0" w:line="360" w:lineRule="auto"/>
        <w:ind w:left="420" w:leftChars="200" w:right="-27" w:firstLine="0" w:firstLineChars="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输出电源：支持AC220V、AC24V、DC12V；</w:t>
      </w:r>
    </w:p>
    <w:p>
      <w:pPr>
        <w:widowControl w:val="0"/>
        <w:numPr>
          <w:ilvl w:val="0"/>
          <w:numId w:val="25"/>
        </w:numPr>
        <w:spacing w:before="0" w:after="0" w:afterAutospacing="0" w:line="360" w:lineRule="auto"/>
        <w:ind w:left="420" w:leftChars="200" w:right="-27" w:firstLine="0" w:firstLineChars="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电路保护：配置过流/过载/短路自动跳闸保护，故障恢复后自动重合闸开关；</w:t>
      </w:r>
    </w:p>
    <w:p>
      <w:pPr>
        <w:widowControl w:val="0"/>
        <w:numPr>
          <w:ilvl w:val="0"/>
          <w:numId w:val="25"/>
        </w:numPr>
        <w:spacing w:before="0" w:after="0" w:afterAutospacing="0" w:line="360" w:lineRule="auto"/>
        <w:ind w:left="420" w:leftChars="200" w:right="-27" w:firstLine="0" w:firstLineChars="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配置电源防雷设备，以防浪涌对前后端设备的损坏；</w:t>
      </w:r>
    </w:p>
    <w:p>
      <w:pPr>
        <w:widowControl w:val="0"/>
        <w:numPr>
          <w:ilvl w:val="0"/>
          <w:numId w:val="25"/>
        </w:numPr>
        <w:spacing w:before="0" w:after="0" w:afterAutospacing="0" w:line="360" w:lineRule="auto"/>
        <w:ind w:left="420" w:leftChars="200" w:right="-27" w:firstLine="0" w:firstLineChars="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箱体防护等级不低于IP</w:t>
      </w:r>
      <w:r>
        <w:rPr>
          <w:rFonts w:hint="eastAsia" w:cs="Courier New" w:asciiTheme="minorEastAsia" w:hAnsiTheme="minorEastAsia" w:eastAsiaTheme="minorEastAsia"/>
          <w:color w:val="auto"/>
          <w:sz w:val="21"/>
          <w:szCs w:val="21"/>
          <w:highlight w:val="none"/>
          <w:shd w:val="clear" w:color="auto" w:fill="FFFFFF"/>
          <w:lang w:val="en-US" w:eastAsia="zh-CN"/>
        </w:rPr>
        <w:t>66</w:t>
      </w:r>
      <w:r>
        <w:rPr>
          <w:rFonts w:hint="eastAsia" w:cs="Courier New" w:asciiTheme="minorEastAsia" w:hAnsiTheme="minorEastAsia" w:eastAsiaTheme="minorEastAsia"/>
          <w:color w:val="auto"/>
          <w:sz w:val="21"/>
          <w:szCs w:val="21"/>
          <w:highlight w:val="none"/>
          <w:shd w:val="clear" w:color="auto" w:fill="FFFFFF"/>
        </w:rPr>
        <w:t>；</w:t>
      </w:r>
    </w:p>
    <w:p>
      <w:pPr>
        <w:widowControl w:val="0"/>
        <w:numPr>
          <w:ilvl w:val="0"/>
          <w:numId w:val="25"/>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箱体底板冲孔，均匀分布，利于散热和排水；箱体左右两侧上部中央开散热孔（配防尘网），要求使用冲孔或百页式</w:t>
      </w:r>
      <w:r>
        <w:rPr>
          <w:rFonts w:hint="eastAsia" w:cs="Courier New" w:asciiTheme="minorEastAsia" w:hAnsiTheme="minorEastAsia" w:eastAsiaTheme="minorEastAsia"/>
          <w:color w:val="auto"/>
          <w:sz w:val="21"/>
          <w:szCs w:val="21"/>
          <w:highlight w:val="none"/>
          <w:shd w:val="clear" w:color="auto" w:fill="FFFFFF"/>
          <w:lang w:eastAsia="zh-CN"/>
        </w:rPr>
        <w:t>；</w:t>
      </w:r>
    </w:p>
    <w:p>
      <w:pPr>
        <w:widowControl w:val="0"/>
        <w:numPr>
          <w:ilvl w:val="0"/>
          <w:numId w:val="25"/>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箱体有牢固的固定装置及安装附件</w:t>
      </w:r>
      <w:r>
        <w:rPr>
          <w:rFonts w:hint="eastAsia" w:cs="Courier New" w:asciiTheme="minorEastAsia" w:hAnsiTheme="minorEastAsia" w:eastAsiaTheme="minorEastAsia"/>
          <w:color w:val="auto"/>
          <w:sz w:val="21"/>
          <w:szCs w:val="21"/>
          <w:highlight w:val="none"/>
          <w:shd w:val="clear" w:color="auto" w:fill="FFFFFF"/>
          <w:lang w:eastAsia="zh-CN"/>
        </w:rPr>
        <w:t>；</w:t>
      </w:r>
    </w:p>
    <w:p>
      <w:pPr>
        <w:widowControl w:val="0"/>
        <w:numPr>
          <w:ilvl w:val="0"/>
          <w:numId w:val="25"/>
        </w:numPr>
        <w:spacing w:before="0" w:after="0" w:afterAutospacing="0" w:line="360" w:lineRule="auto"/>
        <w:ind w:left="420" w:leftChars="200" w:right="-27" w:firstLine="0" w:firstLineChars="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箱体所有进出线口需带防水锁扣；</w:t>
      </w:r>
    </w:p>
    <w:p>
      <w:pPr>
        <w:widowControl w:val="0"/>
        <w:numPr>
          <w:ilvl w:val="0"/>
          <w:numId w:val="25"/>
        </w:numPr>
        <w:spacing w:before="0" w:after="0" w:afterAutospacing="0" w:line="360" w:lineRule="auto"/>
        <w:ind w:left="420" w:leftChars="200" w:right="-27" w:firstLine="0" w:firstLineChars="0"/>
        <w:rPr>
          <w:rFonts w:hint="eastAsia" w:cs="Courier New" w:asciiTheme="minorEastAsia" w:hAnsiTheme="minorEastAsia" w:eastAsiaTheme="minorEastAsia"/>
          <w:color w:val="auto"/>
          <w:sz w:val="21"/>
          <w:szCs w:val="21"/>
          <w:highlight w:val="none"/>
          <w:shd w:val="clear" w:color="auto" w:fill="FFFFFF"/>
        </w:rPr>
      </w:pPr>
      <w:r>
        <w:rPr>
          <w:rFonts w:hint="eastAsia" w:cs="Courier New" w:asciiTheme="minorEastAsia" w:hAnsiTheme="minorEastAsia" w:eastAsiaTheme="minorEastAsia"/>
          <w:color w:val="auto"/>
          <w:sz w:val="21"/>
          <w:szCs w:val="21"/>
          <w:highlight w:val="none"/>
          <w:shd w:val="clear" w:color="auto" w:fill="FFFFFF"/>
        </w:rPr>
        <w:t>箱体有充足的安装空间，方便设备安装维护；</w:t>
      </w:r>
    </w:p>
    <w:p>
      <w:pPr>
        <w:widowControl w:val="0"/>
        <w:numPr>
          <w:ilvl w:val="0"/>
          <w:numId w:val="25"/>
        </w:numPr>
        <w:spacing w:before="0" w:after="0" w:afterAutospacing="0" w:line="360" w:lineRule="auto"/>
        <w:ind w:left="420" w:leftChars="200" w:right="-27" w:firstLine="0"/>
        <w:rPr>
          <w:rFonts w:hint="eastAsia" w:cs="Courier New" w:asciiTheme="minorEastAsia" w:hAnsiTheme="minorEastAsia" w:eastAsiaTheme="minorEastAsia"/>
          <w:color w:val="auto"/>
          <w:sz w:val="21"/>
          <w:szCs w:val="21"/>
          <w:highlight w:val="none"/>
          <w:shd w:val="clear" w:color="auto" w:fill="FFFFFF"/>
          <w:lang w:val="en-US" w:eastAsia="zh-CN"/>
        </w:rPr>
      </w:pPr>
      <w:r>
        <w:rPr>
          <w:rFonts w:hint="eastAsia" w:cs="Courier New" w:asciiTheme="minorEastAsia" w:hAnsiTheme="minorEastAsia" w:eastAsiaTheme="minorEastAsia"/>
          <w:color w:val="auto"/>
          <w:sz w:val="21"/>
          <w:szCs w:val="21"/>
          <w:highlight w:val="none"/>
          <w:shd w:val="clear" w:color="auto" w:fill="FFFFFF"/>
        </w:rPr>
        <w:t>箱体进线孔有胶套保护，防止各种线缆被挂伤</w:t>
      </w:r>
      <w:r>
        <w:rPr>
          <w:rFonts w:hint="eastAsia" w:cs="Courier New" w:asciiTheme="minorEastAsia" w:hAnsiTheme="minorEastAsia" w:eastAsiaTheme="minorEastAsia"/>
          <w:color w:val="auto"/>
          <w:sz w:val="21"/>
          <w:szCs w:val="21"/>
          <w:highlight w:val="none"/>
          <w:shd w:val="clear" w:color="auto" w:fill="FFFFFF"/>
          <w:lang w:eastAsia="zh-CN"/>
        </w:rPr>
        <w:t>。</w:t>
      </w:r>
    </w:p>
    <w:p>
      <w:pPr>
        <w:keepNext/>
        <w:keepLines/>
        <w:widowControl w:val="0"/>
        <w:numPr>
          <w:ilvl w:val="2"/>
          <w:numId w:val="1"/>
        </w:numPr>
        <w:spacing w:before="0" w:after="0" w:afterAutospacing="0" w:line="360" w:lineRule="auto"/>
        <w:ind w:left="0" w:right="0" w:firstLine="0"/>
        <w:jc w:val="left"/>
        <w:outlineLvl w:val="2"/>
        <w:rPr>
          <w:rFonts w:hint="eastAsia" w:ascii="黑体" w:hAnsi="黑体" w:eastAsia="黑体" w:cs="宋体"/>
          <w:bCs/>
          <w:color w:val="auto"/>
          <w:sz w:val="24"/>
          <w:szCs w:val="24"/>
          <w:highlight w:val="none"/>
          <w:lang w:val="en-US" w:eastAsia="zh-CN" w:bidi="ar-SA"/>
        </w:rPr>
      </w:pPr>
      <w:bookmarkStart w:id="1996" w:name="_Toc9967"/>
      <w:bookmarkStart w:id="1997" w:name="_Toc17850_WPSOffice_Level3"/>
      <w:bookmarkStart w:id="1998" w:name="_Toc9224"/>
      <w:r>
        <w:rPr>
          <w:rFonts w:hint="eastAsia" w:ascii="黑体" w:hAnsi="黑体" w:eastAsia="黑体" w:cs="宋体"/>
          <w:bCs/>
          <w:color w:val="auto"/>
          <w:sz w:val="24"/>
          <w:szCs w:val="24"/>
          <w:highlight w:val="none"/>
          <w:lang w:val="en-US" w:eastAsia="zh-CN" w:bidi="ar-SA"/>
        </w:rPr>
        <w:t>线缆参数</w:t>
      </w:r>
      <w:bookmarkEnd w:id="1996"/>
      <w:bookmarkEnd w:id="1997"/>
      <w:bookmarkEnd w:id="1998"/>
    </w:p>
    <w:p>
      <w:pPr>
        <w:widowControl w:val="0"/>
        <w:numPr>
          <w:ilvl w:val="-1"/>
          <w:numId w:val="0"/>
        </w:numPr>
        <w:spacing w:before="0" w:after="0" w:afterAutospacing="0" w:line="360" w:lineRule="auto"/>
        <w:ind w:left="420" w:leftChars="200" w:right="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线缆参数如下：</w:t>
      </w:r>
    </w:p>
    <w:p>
      <w:pPr>
        <w:widowControl w:val="0"/>
        <w:spacing w:before="0" w:after="0" w:afterAutospacing="0" w:line="240" w:lineRule="auto"/>
        <w:ind w:left="0" w:right="0" w:firstLine="0"/>
        <w:jc w:val="center"/>
        <w:rPr>
          <w:rFonts w:hint="eastAsia" w:ascii="宋体" w:hAnsi="Courier New" w:eastAsia="Times New Roman" w:cs="Courier New"/>
          <w:color w:val="auto"/>
          <w:sz w:val="24"/>
          <w:szCs w:val="21"/>
          <w:highlight w:val="none"/>
          <w:lang w:val="en-US" w:eastAsia="zh-CN" w:bidi="ar-SA"/>
        </w:rPr>
      </w:pPr>
      <w:r>
        <w:rPr>
          <w:rFonts w:hint="eastAsia" w:ascii="宋体" w:hAnsi="宋体" w:eastAsia="宋体" w:cs="宋体"/>
          <w:color w:val="auto"/>
          <w:sz w:val="21"/>
          <w:szCs w:val="21"/>
          <w:highlight w:val="none"/>
          <w:lang w:val="en-US" w:eastAsia="zh-CN" w:bidi="ar-SA"/>
        </w:rPr>
        <w:t>表2：线缆参数</w:t>
      </w:r>
    </w:p>
    <w:tbl>
      <w:tblPr>
        <w:tblStyle w:val="32"/>
        <w:tblW w:w="6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5"/>
        <w:gridCol w:w="3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55" w:type="dxa"/>
          </w:tcPr>
          <w:p>
            <w:pPr>
              <w:pStyle w:val="58"/>
              <w:numPr>
                <w:ilvl w:val="-1"/>
                <w:numId w:val="0"/>
              </w:numPr>
              <w:spacing w:before="0" w:after="0" w:afterAutospacing="0" w:line="360" w:lineRule="auto"/>
              <w:ind w:left="0" w:right="0" w:firstLine="0"/>
              <w:jc w:val="center"/>
              <w:rPr>
                <w:rFonts w:hint="eastAsia"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线缆名称</w:t>
            </w:r>
          </w:p>
        </w:tc>
        <w:tc>
          <w:tcPr>
            <w:tcW w:w="3724" w:type="dxa"/>
          </w:tcPr>
          <w:p>
            <w:pPr>
              <w:pStyle w:val="58"/>
              <w:numPr>
                <w:ilvl w:val="-1"/>
                <w:numId w:val="0"/>
              </w:numPr>
              <w:spacing w:before="0" w:after="0" w:afterAutospacing="0" w:line="360" w:lineRule="auto"/>
              <w:ind w:left="0" w:right="0" w:firstLine="0"/>
              <w:jc w:val="center"/>
              <w:rPr>
                <w:rFonts w:hint="eastAsia"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55" w:type="dxa"/>
            <w:vAlign w:val="center"/>
          </w:tcPr>
          <w:p>
            <w:pPr>
              <w:pStyle w:val="58"/>
              <w:numPr>
                <w:ilvl w:val="-1"/>
                <w:numId w:val="0"/>
              </w:numPr>
              <w:spacing w:before="0" w:after="0" w:afterAutospacing="0" w:line="360" w:lineRule="auto"/>
              <w:ind w:left="0" w:leftChars="0" w:right="0" w:firstLine="0" w:firstLineChars="0"/>
              <w:jc w:val="center"/>
              <w:rPr>
                <w:rFonts w:hint="eastAsia"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六类屏蔽双绞线</w:t>
            </w:r>
          </w:p>
        </w:tc>
        <w:tc>
          <w:tcPr>
            <w:tcW w:w="3724" w:type="dxa"/>
            <w:vAlign w:val="center"/>
          </w:tcPr>
          <w:p>
            <w:pPr>
              <w:pStyle w:val="58"/>
              <w:numPr>
                <w:ilvl w:val="-1"/>
                <w:numId w:val="0"/>
              </w:numPr>
              <w:spacing w:before="0" w:after="0" w:afterAutospacing="0" w:line="360" w:lineRule="auto"/>
              <w:ind w:left="0" w:leftChars="0" w:right="0" w:firstLine="0" w:firstLineChars="0"/>
              <w:jc w:val="center"/>
              <w:rPr>
                <w:rFonts w:hint="eastAsia"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STP-CAT6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55" w:type="dxa"/>
            <w:shd w:val="clear" w:color="auto" w:fill="auto"/>
            <w:vAlign w:val="center"/>
          </w:tcPr>
          <w:p>
            <w:pPr>
              <w:pStyle w:val="58"/>
              <w:numPr>
                <w:ilvl w:val="-1"/>
                <w:numId w:val="0"/>
              </w:numPr>
              <w:spacing w:before="0" w:after="0" w:afterAutospacing="0" w:line="360" w:lineRule="auto"/>
              <w:ind w:left="0" w:right="0" w:firstLine="0"/>
              <w:jc w:val="center"/>
              <w:rPr>
                <w:rFonts w:hint="eastAsia"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电源电缆</w:t>
            </w:r>
          </w:p>
        </w:tc>
        <w:tc>
          <w:tcPr>
            <w:tcW w:w="3724" w:type="dxa"/>
            <w:shd w:val="clear" w:color="auto" w:fill="auto"/>
            <w:vAlign w:val="center"/>
          </w:tcPr>
          <w:p>
            <w:pPr>
              <w:pStyle w:val="58"/>
              <w:numPr>
                <w:ilvl w:val="-1"/>
                <w:numId w:val="0"/>
              </w:numPr>
              <w:spacing w:before="0" w:after="0" w:afterAutospacing="0" w:line="360" w:lineRule="auto"/>
              <w:ind w:left="0" w:right="0" w:firstLine="0"/>
              <w:jc w:val="center"/>
              <w:rPr>
                <w:rFonts w:hint="eastAsia"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WDZ-YJY 3×1.5mm2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55" w:type="dxa"/>
            <w:shd w:val="clear" w:color="auto" w:fill="auto"/>
            <w:vAlign w:val="center"/>
          </w:tcPr>
          <w:p>
            <w:pPr>
              <w:pStyle w:val="58"/>
              <w:numPr>
                <w:ilvl w:val="-1"/>
                <w:numId w:val="0"/>
              </w:numPr>
              <w:spacing w:before="0" w:after="0" w:afterAutospacing="0" w:line="360" w:lineRule="auto"/>
              <w:ind w:left="0" w:right="0" w:firstLine="0"/>
              <w:jc w:val="center"/>
              <w:rPr>
                <w:rFonts w:hint="eastAsia"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电源电缆</w:t>
            </w:r>
          </w:p>
        </w:tc>
        <w:tc>
          <w:tcPr>
            <w:tcW w:w="3724" w:type="dxa"/>
            <w:shd w:val="clear" w:color="auto" w:fill="auto"/>
            <w:vAlign w:val="center"/>
          </w:tcPr>
          <w:p>
            <w:pPr>
              <w:pStyle w:val="58"/>
              <w:numPr>
                <w:ilvl w:val="-1"/>
                <w:numId w:val="0"/>
              </w:numPr>
              <w:spacing w:before="0" w:after="0" w:afterAutospacing="0" w:line="360" w:lineRule="auto"/>
              <w:ind w:left="0" w:right="0" w:firstLine="0"/>
              <w:jc w:val="center"/>
              <w:rPr>
                <w:rFonts w:hint="eastAsia"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WDZ-YJY22 3*2.5mm2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55" w:type="dxa"/>
            <w:vAlign w:val="center"/>
          </w:tcPr>
          <w:p>
            <w:pPr>
              <w:pStyle w:val="58"/>
              <w:numPr>
                <w:ilvl w:val="-1"/>
                <w:numId w:val="0"/>
              </w:numPr>
              <w:spacing w:before="0" w:after="0" w:afterAutospacing="0" w:line="360" w:lineRule="auto"/>
              <w:ind w:left="0" w:leftChars="0" w:right="0" w:firstLine="0" w:firstLineChars="0"/>
              <w:jc w:val="center"/>
              <w:rPr>
                <w:rFonts w:hint="eastAsia"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4芯单模光纤</w:t>
            </w:r>
          </w:p>
        </w:tc>
        <w:tc>
          <w:tcPr>
            <w:tcW w:w="3724" w:type="dxa"/>
            <w:vAlign w:val="center"/>
          </w:tcPr>
          <w:p>
            <w:pPr>
              <w:pStyle w:val="58"/>
              <w:numPr>
                <w:ilvl w:val="-1"/>
                <w:numId w:val="0"/>
              </w:numPr>
              <w:spacing w:before="0" w:after="0" w:afterAutospacing="0" w:line="360" w:lineRule="auto"/>
              <w:ind w:left="0" w:leftChars="0" w:right="0" w:firstLine="0" w:firstLineChars="0"/>
              <w:jc w:val="center"/>
              <w:rPr>
                <w:rFonts w:hint="default" w:ascii="宋体" w:hAnsi="宋体" w:eastAsia="宋体" w:cs="宋体"/>
                <w:b w:val="0"/>
                <w:color w:val="auto"/>
                <w:sz w:val="18"/>
                <w:szCs w:val="18"/>
                <w:highlight w:val="none"/>
                <w:vertAlign w:val="baseline"/>
                <w:lang w:val="en-US" w:eastAsia="zh-CN"/>
              </w:rPr>
            </w:pPr>
            <w:r>
              <w:rPr>
                <w:rFonts w:hint="default" w:ascii="宋体" w:hAnsi="宋体" w:eastAsia="宋体" w:cs="宋体"/>
                <w:b w:val="0"/>
                <w:color w:val="auto"/>
                <w:sz w:val="18"/>
                <w:szCs w:val="18"/>
                <w:highlight w:val="none"/>
                <w:vertAlign w:val="baseline"/>
                <w:lang w:val="en-US" w:eastAsia="zh-CN"/>
              </w:rPr>
              <w:t>GYXTW-4B1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855" w:type="dxa"/>
            <w:vAlign w:val="center"/>
          </w:tcPr>
          <w:p>
            <w:pPr>
              <w:pStyle w:val="58"/>
              <w:numPr>
                <w:ilvl w:val="-1"/>
                <w:numId w:val="0"/>
              </w:numPr>
              <w:spacing w:before="0" w:after="0" w:afterAutospacing="0" w:line="360" w:lineRule="auto"/>
              <w:ind w:left="0" w:leftChars="0" w:right="0" w:firstLine="0" w:firstLineChars="0"/>
              <w:jc w:val="center"/>
              <w:rPr>
                <w:rFonts w:hint="default"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光纤跳线</w:t>
            </w:r>
          </w:p>
        </w:tc>
        <w:tc>
          <w:tcPr>
            <w:tcW w:w="3724" w:type="dxa"/>
            <w:vAlign w:val="center"/>
          </w:tcPr>
          <w:p>
            <w:pPr>
              <w:pStyle w:val="58"/>
              <w:numPr>
                <w:ilvl w:val="-1"/>
                <w:numId w:val="0"/>
              </w:numPr>
              <w:spacing w:before="0" w:after="0" w:afterAutospacing="0" w:line="360" w:lineRule="auto"/>
              <w:ind w:left="0" w:leftChars="0" w:right="0" w:firstLine="0" w:firstLineChars="0"/>
              <w:jc w:val="center"/>
              <w:rPr>
                <w:rFonts w:hint="default" w:ascii="宋体" w:hAnsi="宋体" w:eastAsia="宋体" w:cs="宋体"/>
                <w:b w:val="0"/>
                <w:color w:val="auto"/>
                <w:sz w:val="18"/>
                <w:szCs w:val="18"/>
                <w:highlight w:val="none"/>
                <w:vertAlign w:val="baseline"/>
                <w:lang w:val="en-US" w:eastAsia="zh-CN"/>
              </w:rPr>
            </w:pPr>
            <w:r>
              <w:rPr>
                <w:rFonts w:hint="eastAsia" w:ascii="宋体" w:hAnsi="宋体" w:eastAsia="宋体" w:cs="宋体"/>
                <w:b w:val="0"/>
                <w:color w:val="auto"/>
                <w:sz w:val="18"/>
                <w:szCs w:val="18"/>
                <w:highlight w:val="none"/>
                <w:vertAlign w:val="baseline"/>
                <w:lang w:val="en-US" w:eastAsia="zh-CN"/>
              </w:rPr>
              <w:t>FC/LC/SC单模光纤跳线</w:t>
            </w:r>
          </w:p>
        </w:tc>
      </w:tr>
    </w:tbl>
    <w:p>
      <w:pPr>
        <w:keepNext/>
        <w:keepLines/>
        <w:widowControl w:val="0"/>
        <w:numPr>
          <w:ilvl w:val="0"/>
          <w:numId w:val="1"/>
        </w:numPr>
        <w:spacing w:before="0" w:after="0" w:afterAutospacing="0" w:line="360" w:lineRule="auto"/>
        <w:ind w:left="0" w:right="0" w:firstLine="0"/>
        <w:jc w:val="left"/>
        <w:outlineLvl w:val="0"/>
        <w:rPr>
          <w:rFonts w:hint="eastAsia" w:ascii="黑体" w:hAnsi="黑体" w:eastAsia="黑体" w:cs="宋体"/>
          <w:color w:val="auto"/>
          <w:kern w:val="44"/>
          <w:sz w:val="32"/>
          <w:szCs w:val="21"/>
          <w:highlight w:val="none"/>
          <w:lang w:val="en-US" w:eastAsia="zh-CN" w:bidi="ar-SA"/>
        </w:rPr>
      </w:pPr>
      <w:bookmarkStart w:id="1999" w:name="_Toc2336"/>
      <w:bookmarkStart w:id="2000" w:name="_Toc4693"/>
      <w:bookmarkStart w:id="2001" w:name="_Toc23868"/>
      <w:bookmarkStart w:id="2002" w:name="_Toc8140"/>
      <w:bookmarkStart w:id="2003" w:name="_Toc11575_WPSOffice_Level1"/>
      <w:bookmarkStart w:id="2004" w:name="_Toc14004"/>
      <w:bookmarkStart w:id="2005" w:name="_Toc16213"/>
      <w:bookmarkStart w:id="2006" w:name="_Toc30148_WPSOffice_Level2"/>
      <w:bookmarkStart w:id="2007" w:name="_Toc9711"/>
      <w:bookmarkStart w:id="2008" w:name="_Toc28894"/>
      <w:bookmarkStart w:id="2009" w:name="_Toc11457_WPSOffice_Level2"/>
      <w:bookmarkStart w:id="2010" w:name="_Toc27890"/>
      <w:r>
        <w:rPr>
          <w:rFonts w:hint="eastAsia" w:ascii="黑体" w:hAnsi="黑体" w:eastAsia="黑体" w:cs="宋体"/>
          <w:color w:val="auto"/>
          <w:kern w:val="44"/>
          <w:sz w:val="32"/>
          <w:szCs w:val="21"/>
          <w:highlight w:val="none"/>
          <w:lang w:val="en-US" w:eastAsia="zh-CN" w:bidi="ar-SA"/>
        </w:rPr>
        <w:t>项目管理</w:t>
      </w:r>
      <w:bookmarkEnd w:id="1999"/>
      <w:bookmarkEnd w:id="2000"/>
      <w:bookmarkEnd w:id="2001"/>
      <w:bookmarkEnd w:id="2002"/>
      <w:bookmarkEnd w:id="2003"/>
      <w:bookmarkEnd w:id="2004"/>
      <w:bookmarkEnd w:id="2005"/>
      <w:bookmarkEnd w:id="2006"/>
      <w:bookmarkEnd w:id="2007"/>
      <w:bookmarkEnd w:id="2008"/>
      <w:bookmarkEnd w:id="2009"/>
      <w:bookmarkEnd w:id="2010"/>
    </w:p>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011" w:name="_Toc26281"/>
      <w:bookmarkStart w:id="2012" w:name="_Toc25968"/>
      <w:bookmarkStart w:id="2013" w:name="_Toc14774"/>
      <w:bookmarkStart w:id="2014" w:name="_Toc24975"/>
      <w:bookmarkStart w:id="2015" w:name="_Toc22124"/>
      <w:bookmarkStart w:id="2016" w:name="_Toc6843_WPSOffice_Level2"/>
      <w:bookmarkStart w:id="2017" w:name="_Toc94"/>
      <w:bookmarkStart w:id="2018" w:name="_Toc29407"/>
      <w:bookmarkStart w:id="2019" w:name="_Toc15453"/>
      <w:bookmarkStart w:id="2020" w:name="_Toc12264"/>
      <w:r>
        <w:rPr>
          <w:rFonts w:hint="eastAsia" w:ascii="黑体" w:hAnsi="黑体" w:eastAsia="黑体" w:cs="黑体"/>
          <w:color w:val="auto"/>
          <w:kern w:val="2"/>
          <w:sz w:val="28"/>
          <w:szCs w:val="28"/>
          <w:highlight w:val="none"/>
          <w:lang w:val="en-US" w:eastAsia="zh-CN" w:bidi="ar-SA"/>
        </w:rPr>
        <w:t>乙方资质要求</w:t>
      </w:r>
      <w:bookmarkEnd w:id="2011"/>
      <w:bookmarkEnd w:id="2012"/>
      <w:bookmarkEnd w:id="2013"/>
      <w:bookmarkEnd w:id="2014"/>
      <w:bookmarkEnd w:id="2015"/>
      <w:bookmarkEnd w:id="2016"/>
      <w:bookmarkEnd w:id="2017"/>
      <w:bookmarkEnd w:id="2018"/>
      <w:bookmarkEnd w:id="2019"/>
      <w:bookmarkEnd w:id="2020"/>
    </w:p>
    <w:p>
      <w:pPr>
        <w:widowControl w:val="0"/>
        <w:numPr>
          <w:ilvl w:val="0"/>
          <w:numId w:val="27"/>
        </w:numPr>
        <w:snapToGrid w:val="0"/>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为中华人民共和国境内依法设立的法人或其他组织；同时持有工商行政管理部门核发的营业执照，且营业执照在有效期内，按国家法律经营；法定代表人为同一人的两个及两个以上法人，母公司、全资子公司及其控股、管理关系的不同单位，不得同时参加本项目</w:t>
      </w:r>
      <w:r>
        <w:rPr>
          <w:rFonts w:hint="eastAsia" w:ascii="宋体" w:hAnsi="宋体" w:eastAsia="Times New Roman" w:cs="宋体"/>
          <w:color w:val="auto"/>
          <w:sz w:val="21"/>
          <w:szCs w:val="21"/>
          <w:highlight w:val="none"/>
          <w:lang w:val="en-US" w:eastAsia="zh-CN"/>
        </w:rPr>
        <w:t>比选</w:t>
      </w:r>
      <w:r>
        <w:rPr>
          <w:rFonts w:hint="eastAsia" w:ascii="宋体" w:hAnsi="宋体" w:eastAsia="宋体" w:cs="宋体"/>
          <w:color w:val="auto"/>
          <w:sz w:val="21"/>
          <w:szCs w:val="21"/>
          <w:highlight w:val="none"/>
        </w:rPr>
        <w:t>（备注：如使用新式样营业执照且未显示经营范围、注册资本等信息时，则该</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必须另提供各地方政府指定的信息公示平台下载并打印注明经营范围、注册资本等信息的资料并加盖公章）。</w:t>
      </w:r>
    </w:p>
    <w:p>
      <w:pPr>
        <w:widowControl w:val="0"/>
        <w:numPr>
          <w:ilvl w:val="0"/>
          <w:numId w:val="27"/>
        </w:numPr>
        <w:snapToGrid w:val="0"/>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Times New Roman" w:cs="宋体"/>
          <w:color w:val="auto"/>
          <w:sz w:val="21"/>
          <w:szCs w:val="21"/>
          <w:highlight w:val="none"/>
          <w:lang w:val="en-US" w:eastAsia="zh-CN"/>
        </w:rPr>
        <w:t>须具备建设行政主管部门颁发的通信工程施工总承包二级及以上资质</w:t>
      </w:r>
      <w:r>
        <w:rPr>
          <w:rFonts w:hint="eastAsia" w:ascii="宋体" w:hAnsi="宋体" w:eastAsia="宋体" w:cs="宋体"/>
          <w:color w:val="auto"/>
          <w:sz w:val="21"/>
          <w:szCs w:val="21"/>
          <w:highlight w:val="none"/>
        </w:rPr>
        <w:t>。</w:t>
      </w:r>
    </w:p>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021" w:name="_Toc10295"/>
      <w:bookmarkStart w:id="2022" w:name="_Toc19011"/>
      <w:bookmarkStart w:id="2023" w:name="_Toc5882"/>
      <w:bookmarkStart w:id="2024" w:name="_Toc27421"/>
      <w:bookmarkStart w:id="2025" w:name="_Toc22014"/>
      <w:bookmarkStart w:id="2026" w:name="_Toc19643"/>
      <w:bookmarkStart w:id="2027" w:name="_Toc9792"/>
      <w:bookmarkStart w:id="2028" w:name="_Toc14474"/>
      <w:bookmarkStart w:id="2029" w:name="_Toc13061_WPSOffice_Level2"/>
      <w:bookmarkStart w:id="2030" w:name="_Toc21037"/>
      <w:r>
        <w:rPr>
          <w:rFonts w:hint="eastAsia" w:ascii="黑体" w:hAnsi="黑体" w:eastAsia="黑体" w:cs="黑体"/>
          <w:color w:val="auto"/>
          <w:kern w:val="2"/>
          <w:sz w:val="28"/>
          <w:szCs w:val="28"/>
          <w:highlight w:val="none"/>
          <w:lang w:val="en-US" w:eastAsia="zh-CN" w:bidi="ar-SA"/>
        </w:rPr>
        <w:t>项目部建设</w:t>
      </w:r>
      <w:bookmarkEnd w:id="2021"/>
      <w:bookmarkEnd w:id="2022"/>
      <w:bookmarkEnd w:id="2023"/>
      <w:bookmarkEnd w:id="2024"/>
      <w:bookmarkEnd w:id="2025"/>
      <w:bookmarkEnd w:id="2026"/>
      <w:bookmarkEnd w:id="2027"/>
      <w:bookmarkEnd w:id="2028"/>
      <w:bookmarkEnd w:id="2029"/>
      <w:bookmarkEnd w:id="2030"/>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031" w:name="_Toc22641"/>
      <w:bookmarkStart w:id="2032" w:name="_Toc4248"/>
      <w:bookmarkStart w:id="2033" w:name="_Toc13253_WPSOffice_Level3"/>
      <w:r>
        <w:rPr>
          <w:rFonts w:hint="eastAsia" w:ascii="黑体" w:hAnsi="黑体" w:eastAsia="黑体" w:cs="宋体"/>
          <w:bCs/>
          <w:color w:val="auto"/>
          <w:sz w:val="24"/>
          <w:szCs w:val="24"/>
          <w:highlight w:val="none"/>
          <w:lang w:val="en-US" w:eastAsia="zh-CN" w:bidi="ar-SA"/>
        </w:rPr>
        <w:t>项目部</w:t>
      </w:r>
      <w:bookmarkEnd w:id="2031"/>
      <w:bookmarkEnd w:id="2032"/>
      <w:bookmarkEnd w:id="2033"/>
    </w:p>
    <w:p>
      <w:pPr>
        <w:pStyle w:val="59"/>
        <w:keepNext w:val="0"/>
        <w:keepLines w:val="0"/>
        <w:pageBreakBefore w:val="0"/>
        <w:widowControl/>
        <w:kinsoku/>
        <w:wordWrap/>
        <w:overflowPunct/>
        <w:topLinePunct w:val="0"/>
        <w:autoSpaceDE/>
        <w:autoSpaceDN/>
        <w:bidi w:val="0"/>
        <w:adjustRightInd w:val="0"/>
        <w:snapToGrid w:val="0"/>
        <w:spacing w:before="0" w:after="0" w:afterAutospacing="0" w:line="360" w:lineRule="auto"/>
        <w:ind w:left="0" w:right="0"/>
        <w:textAlignment w:val="auto"/>
        <w:rPr>
          <w:rFonts w:hint="eastAsia" w:cs="宋体"/>
          <w:color w:val="auto"/>
          <w:sz w:val="21"/>
          <w:szCs w:val="21"/>
          <w:highlight w:val="none"/>
        </w:rPr>
      </w:pPr>
      <w:r>
        <w:rPr>
          <w:rFonts w:hint="eastAsia" w:cs="宋体"/>
          <w:color w:val="auto"/>
          <w:sz w:val="21"/>
          <w:szCs w:val="21"/>
          <w:highlight w:val="none"/>
        </w:rPr>
        <w:t>为保证本项目安全、顺利、高效、可靠地实施，</w:t>
      </w:r>
      <w:r>
        <w:rPr>
          <w:rFonts w:hint="eastAsia" w:cs="宋体"/>
          <w:color w:val="auto"/>
          <w:sz w:val="21"/>
          <w:szCs w:val="21"/>
          <w:highlight w:val="none"/>
          <w:lang w:eastAsia="zh-CN"/>
        </w:rPr>
        <w:t>乙方</w:t>
      </w:r>
      <w:r>
        <w:rPr>
          <w:rFonts w:hint="eastAsia" w:cs="宋体"/>
          <w:color w:val="auto"/>
          <w:sz w:val="21"/>
          <w:szCs w:val="21"/>
          <w:highlight w:val="none"/>
        </w:rPr>
        <w:t>需成立专门项目部，项目部设置在南宁</w:t>
      </w:r>
      <w:r>
        <w:rPr>
          <w:rFonts w:hint="eastAsia" w:cs="宋体"/>
          <w:color w:val="auto"/>
          <w:sz w:val="21"/>
          <w:szCs w:val="21"/>
          <w:highlight w:val="none"/>
          <w:lang w:val="en-US" w:eastAsia="zh-CN"/>
        </w:rPr>
        <w:t>市</w:t>
      </w:r>
      <w:r>
        <w:rPr>
          <w:rFonts w:hint="eastAsia" w:cs="宋体"/>
          <w:color w:val="auto"/>
          <w:sz w:val="21"/>
          <w:szCs w:val="21"/>
          <w:highlight w:val="none"/>
        </w:rPr>
        <w:t>。项目部配备所需的办公用品（办公电脑、打印机等）和劳保用品，项目部设立组织架构，由项目经理负责，配备具有安全、质量、物资、技术等综合管理的人员，满足</w:t>
      </w:r>
      <w:r>
        <w:rPr>
          <w:rFonts w:hint="eastAsia" w:cs="宋体"/>
          <w:color w:val="auto"/>
          <w:sz w:val="21"/>
          <w:szCs w:val="21"/>
          <w:highlight w:val="none"/>
          <w:lang w:val="en-US" w:eastAsia="zh-CN"/>
        </w:rPr>
        <w:t>项目</w:t>
      </w:r>
      <w:r>
        <w:rPr>
          <w:rFonts w:hint="eastAsia" w:cs="宋体"/>
          <w:color w:val="auto"/>
          <w:sz w:val="21"/>
          <w:szCs w:val="21"/>
          <w:highlight w:val="none"/>
        </w:rPr>
        <w:t>需求；设置相关印章（可设项目章），满足项目用章需求。</w:t>
      </w:r>
    </w:p>
    <w:p>
      <w:pPr>
        <w:keepNext/>
        <w:keepLines/>
        <w:widowControl w:val="0"/>
        <w:numPr>
          <w:ilvl w:val="2"/>
          <w:numId w:val="26"/>
        </w:numPr>
        <w:spacing w:before="0" w:after="0" w:afterAutospacing="0" w:line="360" w:lineRule="auto"/>
        <w:ind w:left="0" w:right="0" w:firstLine="0"/>
        <w:jc w:val="left"/>
        <w:outlineLvl w:val="2"/>
        <w:rPr>
          <w:rFonts w:hint="eastAsia" w:ascii="黑体" w:hAnsi="黑体" w:eastAsia="黑体" w:cs="宋体"/>
          <w:bCs/>
          <w:color w:val="auto"/>
          <w:sz w:val="24"/>
          <w:szCs w:val="24"/>
          <w:highlight w:val="none"/>
          <w:lang w:val="en-US" w:eastAsia="zh-CN" w:bidi="ar-SA"/>
        </w:rPr>
      </w:pPr>
      <w:bookmarkStart w:id="2034" w:name="_Toc26635"/>
      <w:bookmarkStart w:id="2035" w:name="_Toc1678"/>
      <w:bookmarkStart w:id="2036" w:name="_Toc13530_WPSOffice_Level3"/>
      <w:r>
        <w:rPr>
          <w:rFonts w:hint="eastAsia" w:ascii="黑体" w:hAnsi="黑体" w:eastAsia="黑体" w:cs="宋体"/>
          <w:bCs/>
          <w:color w:val="auto"/>
          <w:sz w:val="24"/>
          <w:szCs w:val="24"/>
          <w:highlight w:val="none"/>
          <w:lang w:val="en-US" w:eastAsia="zh-CN" w:bidi="ar-SA"/>
        </w:rPr>
        <w:t>组织架构及人员配置</w:t>
      </w:r>
      <w:bookmarkEnd w:id="2034"/>
      <w:bookmarkEnd w:id="2035"/>
      <w:bookmarkEnd w:id="2036"/>
    </w:p>
    <w:p>
      <w:pPr>
        <w:pStyle w:val="59"/>
        <w:keepNext w:val="0"/>
        <w:keepLines w:val="0"/>
        <w:pageBreakBefore w:val="0"/>
        <w:widowControl/>
        <w:kinsoku/>
        <w:wordWrap/>
        <w:overflowPunct/>
        <w:topLinePunct w:val="0"/>
        <w:autoSpaceDE/>
        <w:autoSpaceDN/>
        <w:bidi w:val="0"/>
        <w:adjustRightInd w:val="0"/>
        <w:snapToGrid w:val="0"/>
        <w:spacing w:before="0" w:after="0" w:afterAutospacing="0" w:line="360" w:lineRule="auto"/>
        <w:ind w:left="0" w:right="0"/>
        <w:textAlignment w:val="auto"/>
        <w:rPr>
          <w:rFonts w:hint="eastAsia" w:cs="宋体"/>
          <w:color w:val="auto"/>
          <w:sz w:val="21"/>
          <w:szCs w:val="21"/>
          <w:highlight w:val="none"/>
        </w:rPr>
      </w:pPr>
      <w:r>
        <w:rPr>
          <w:rFonts w:hint="eastAsia" w:cs="宋体"/>
          <w:color w:val="auto"/>
          <w:sz w:val="21"/>
          <w:szCs w:val="21"/>
          <w:highlight w:val="none"/>
          <w:lang w:eastAsia="zh-CN"/>
        </w:rPr>
        <w:t>乙方</w:t>
      </w:r>
      <w:r>
        <w:rPr>
          <w:rFonts w:hint="eastAsia" w:cs="宋体"/>
          <w:color w:val="auto"/>
          <w:sz w:val="21"/>
          <w:szCs w:val="21"/>
          <w:highlight w:val="none"/>
        </w:rPr>
        <w:t>应对本项目的各方面进行全过程的项目管理，应在南宁设立本项目的项目管理机构（即现场项目部），所配备的项目负责人、技术负责人、安全负责人、施工人员等必须保证满足工程要求及</w:t>
      </w:r>
      <w:r>
        <w:rPr>
          <w:rFonts w:hint="eastAsia" w:cs="宋体"/>
          <w:color w:val="auto"/>
          <w:sz w:val="21"/>
          <w:szCs w:val="21"/>
          <w:highlight w:val="none"/>
          <w:lang w:eastAsia="zh-CN"/>
        </w:rPr>
        <w:t>甲方</w:t>
      </w:r>
      <w:r>
        <w:rPr>
          <w:rFonts w:hint="eastAsia" w:cs="宋体"/>
          <w:color w:val="auto"/>
          <w:sz w:val="21"/>
          <w:szCs w:val="21"/>
          <w:highlight w:val="none"/>
        </w:rPr>
        <w:t>要求，其中项目负责人与技术负责人不能为同一人，且现场配备施工队长及安装人员数量须满足项目改造及工期要求。项目人员的配备要求如表</w:t>
      </w:r>
      <w:r>
        <w:rPr>
          <w:rFonts w:hint="eastAsia" w:cs="宋体"/>
          <w:color w:val="auto"/>
          <w:sz w:val="21"/>
          <w:szCs w:val="21"/>
          <w:highlight w:val="none"/>
          <w:lang w:val="en-US" w:eastAsia="zh-CN"/>
        </w:rPr>
        <w:t>3</w:t>
      </w:r>
      <w:r>
        <w:rPr>
          <w:rFonts w:hint="eastAsia" w:cs="宋体"/>
          <w:color w:val="auto"/>
          <w:sz w:val="21"/>
          <w:szCs w:val="21"/>
          <w:highlight w:val="none"/>
        </w:rPr>
        <w:t>所示。</w:t>
      </w:r>
    </w:p>
    <w:p>
      <w:pPr>
        <w:pStyle w:val="59"/>
        <w:numPr>
          <w:ilvl w:val="-1"/>
          <w:numId w:val="0"/>
        </w:numPr>
        <w:spacing w:before="0" w:after="0" w:afterAutospacing="0" w:line="240" w:lineRule="auto"/>
        <w:ind w:left="0" w:right="0" w:firstLine="420" w:firstLineChars="200"/>
        <w:jc w:val="center"/>
        <w:rPr>
          <w:rFonts w:hint="default" w:eastAsia="宋体"/>
          <w:color w:val="auto"/>
          <w:sz w:val="21"/>
          <w:szCs w:val="21"/>
          <w:highlight w:val="none"/>
          <w:lang w:val="en-US" w:eastAsia="zh-CN"/>
        </w:rPr>
      </w:pPr>
      <w:r>
        <w:rPr>
          <w:rFonts w:hint="eastAsia" w:hAnsi="宋体" w:eastAsia="宋体" w:cs="宋体"/>
          <w:color w:val="auto"/>
          <w:sz w:val="21"/>
          <w:szCs w:val="21"/>
          <w:highlight w:val="none"/>
          <w:lang w:val="en-US" w:eastAsia="zh-CN"/>
        </w:rPr>
        <w:t>表</w:t>
      </w:r>
      <w:r>
        <w:rPr>
          <w:rFonts w:hint="eastAsia" w:cs="宋体"/>
          <w:color w:val="auto"/>
          <w:sz w:val="21"/>
          <w:szCs w:val="21"/>
          <w:highlight w:val="none"/>
          <w:lang w:val="en-US" w:eastAsia="zh-CN"/>
        </w:rPr>
        <w:t>3</w:t>
      </w:r>
      <w:r>
        <w:rPr>
          <w:rFonts w:hint="eastAsia" w:hAnsi="宋体" w:eastAsia="宋体" w:cs="宋体"/>
          <w:color w:val="auto"/>
          <w:sz w:val="21"/>
          <w:szCs w:val="21"/>
          <w:highlight w:val="none"/>
          <w:lang w:val="en-US" w:eastAsia="zh-CN"/>
        </w:rPr>
        <w:t>：</w:t>
      </w:r>
      <w:r>
        <w:rPr>
          <w:rFonts w:hint="eastAsia" w:cs="宋体" w:asciiTheme="minorEastAsia" w:hAnsiTheme="minorEastAsia" w:eastAsiaTheme="minorEastAsia"/>
          <w:color w:val="auto"/>
          <w:sz w:val="21"/>
          <w:szCs w:val="21"/>
          <w:highlight w:val="none"/>
          <w:lang w:val="zh-CN"/>
        </w:rPr>
        <w:t>项目组织机构人员配置表</w:t>
      </w:r>
    </w:p>
    <w:tbl>
      <w:tblPr>
        <w:tblStyle w:val="31"/>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70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0" w:type="dxa"/>
            <w:tcBorders>
              <w:top w:val="single" w:color="auto" w:sz="12" w:space="0"/>
              <w:left w:val="single" w:color="auto" w:sz="12"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Times New Roman"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人员</w:t>
            </w:r>
          </w:p>
        </w:tc>
        <w:tc>
          <w:tcPr>
            <w:tcW w:w="7002" w:type="dxa"/>
            <w:tcBorders>
              <w:top w:val="single" w:color="auto" w:sz="12" w:space="0"/>
              <w:left w:val="single" w:color="auto" w:sz="4" w:space="0"/>
              <w:bottom w:val="single" w:color="auto" w:sz="4" w:space="0"/>
              <w:right w:val="single" w:color="auto" w:sz="12" w:space="0"/>
            </w:tcBorders>
            <w:vAlign w:val="center"/>
          </w:tcPr>
          <w:p>
            <w:pPr>
              <w:widowControl w:val="0"/>
              <w:spacing w:before="0" w:after="0" w:afterAutospacing="0" w:line="360" w:lineRule="auto"/>
              <w:ind w:left="0" w:right="0" w:firstLine="0"/>
              <w:jc w:val="center"/>
              <w:rPr>
                <w:rFonts w:cs="Times New Roman"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资历要求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520" w:type="dxa"/>
            <w:tcBorders>
              <w:top w:val="single" w:color="auto" w:sz="4" w:space="0"/>
              <w:left w:val="single" w:color="auto" w:sz="12"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Times New Roman" w:asciiTheme="minorEastAsia" w:hAnsiTheme="minorEastAsia" w:eastAsiaTheme="minorEastAsia"/>
                <w:b/>
                <w:color w:val="auto"/>
                <w:sz w:val="21"/>
                <w:szCs w:val="21"/>
                <w:highlight w:val="none"/>
              </w:rPr>
            </w:pPr>
            <w:r>
              <w:rPr>
                <w:rFonts w:hint="eastAsia" w:cs="宋体" w:asciiTheme="minorEastAsia" w:hAnsiTheme="minorEastAsia" w:eastAsiaTheme="minorEastAsia"/>
                <w:color w:val="auto"/>
                <w:sz w:val="21"/>
                <w:szCs w:val="21"/>
                <w:highlight w:val="none"/>
              </w:rPr>
              <w:t>项目负责人（</w:t>
            </w:r>
            <w:r>
              <w:rPr>
                <w:rFonts w:hint="eastAsia" w:cs="Times New Roman" w:asciiTheme="minorEastAsia" w:hAnsiTheme="minorEastAsia" w:eastAsiaTheme="minorEastAsia"/>
                <w:color w:val="auto"/>
                <w:sz w:val="21"/>
                <w:szCs w:val="21"/>
                <w:highlight w:val="none"/>
              </w:rPr>
              <w:t>1</w:t>
            </w:r>
            <w:r>
              <w:rPr>
                <w:rFonts w:hint="eastAsia" w:cs="宋体" w:asciiTheme="minorEastAsia" w:hAnsiTheme="minorEastAsia" w:eastAsiaTheme="minorEastAsia"/>
                <w:color w:val="auto"/>
                <w:sz w:val="21"/>
                <w:szCs w:val="21"/>
                <w:highlight w:val="none"/>
              </w:rPr>
              <w:t>名）</w:t>
            </w:r>
          </w:p>
        </w:tc>
        <w:tc>
          <w:tcPr>
            <w:tcW w:w="7002" w:type="dxa"/>
            <w:tcBorders>
              <w:top w:val="single" w:color="auto" w:sz="4" w:space="0"/>
              <w:left w:val="single" w:color="auto" w:sz="4" w:space="0"/>
              <w:bottom w:val="single" w:color="auto" w:sz="4" w:space="0"/>
              <w:right w:val="single" w:color="auto" w:sz="12" w:space="0"/>
            </w:tcBorders>
            <w:vAlign w:val="center"/>
          </w:tcPr>
          <w:p>
            <w:pPr>
              <w:widowControl w:val="0"/>
              <w:numPr>
                <w:ilvl w:val="0"/>
                <w:numId w:val="28"/>
              </w:numPr>
              <w:spacing w:before="0" w:after="0" w:afterAutospacing="0" w:line="360" w:lineRule="auto"/>
              <w:ind w:left="420" w:right="0" w:hanging="420"/>
              <w:jc w:val="both"/>
              <w:rPr>
                <w:rFonts w:cs="Times New Roman"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专科及以上学历</w:t>
            </w:r>
            <w:r>
              <w:rPr>
                <w:rFonts w:hint="eastAsia" w:cs="Times New Roman" w:asciiTheme="minorEastAsia" w:hAnsiTheme="minorEastAsia" w:eastAsiaTheme="minorEastAsia"/>
                <w:color w:val="auto"/>
                <w:sz w:val="21"/>
                <w:szCs w:val="21"/>
                <w:highlight w:val="none"/>
                <w:lang w:val="en-US" w:eastAsia="zh-CN" w:bidi="ar-SA"/>
              </w:rPr>
              <w:t>（</w:t>
            </w:r>
            <w:r>
              <w:rPr>
                <w:rFonts w:hint="eastAsia" w:cs="宋体" w:asciiTheme="minorEastAsia" w:hAnsiTheme="minorEastAsia" w:eastAsiaTheme="minorEastAsia"/>
                <w:color w:val="auto"/>
                <w:sz w:val="21"/>
                <w:szCs w:val="21"/>
                <w:highlight w:val="none"/>
                <w:lang w:val="en-US" w:eastAsia="zh-CN" w:bidi="ar-SA"/>
              </w:rPr>
              <w:t>提供毕业证、学位证复印件</w:t>
            </w:r>
            <w:r>
              <w:rPr>
                <w:rFonts w:hint="eastAsia" w:cs="Times New Roman" w:asciiTheme="minorEastAsia" w:hAnsiTheme="minorEastAsia" w:eastAsiaTheme="minorEastAsia"/>
                <w:color w:val="auto"/>
                <w:sz w:val="21"/>
                <w:szCs w:val="21"/>
                <w:highlight w:val="none"/>
                <w:lang w:val="en-US" w:eastAsia="zh-CN" w:bidi="ar-SA"/>
              </w:rPr>
              <w:t>）</w:t>
            </w:r>
            <w:r>
              <w:rPr>
                <w:rFonts w:hint="eastAsia" w:cs="宋体" w:asciiTheme="minorEastAsia" w:hAnsiTheme="minorEastAsia" w:eastAsiaTheme="minorEastAsia"/>
                <w:color w:val="auto"/>
                <w:sz w:val="21"/>
                <w:szCs w:val="21"/>
                <w:highlight w:val="none"/>
                <w:lang w:val="en-US" w:eastAsia="zh-CN" w:bidi="ar-SA"/>
              </w:rPr>
              <w:t>；</w:t>
            </w:r>
          </w:p>
          <w:p>
            <w:pPr>
              <w:widowControl w:val="0"/>
              <w:numPr>
                <w:ilvl w:val="0"/>
                <w:numId w:val="28"/>
              </w:numPr>
              <w:spacing w:before="0" w:after="0" w:afterAutospacing="0" w:line="360" w:lineRule="auto"/>
              <w:ind w:left="420" w:right="0" w:hanging="420"/>
              <w:jc w:val="both"/>
              <w:rPr>
                <w:rFonts w:cs="Times New Roman"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应熟练掌握国家和行业有关标准，</w:t>
            </w:r>
            <w:r>
              <w:rPr>
                <w:rFonts w:hint="eastAsia" w:ascii="宋体" w:hAnsi="宋体" w:eastAsia="宋体" w:cs="宋体"/>
                <w:color w:val="auto"/>
                <w:sz w:val="21"/>
                <w:szCs w:val="21"/>
                <w:highlight w:val="none"/>
                <w:lang w:val="en-US" w:eastAsia="zh-CN" w:bidi="ar-SA"/>
              </w:rPr>
              <w:t>至少在1个</w:t>
            </w:r>
            <w:r>
              <w:rPr>
                <w:rFonts w:hint="eastAsia" w:ascii="宋体" w:hAnsi="宋体" w:eastAsia="Times New Roman" w:cs="宋体"/>
                <w:color w:val="auto"/>
                <w:sz w:val="21"/>
                <w:szCs w:val="21"/>
                <w:highlight w:val="none"/>
                <w:lang w:val="en-US" w:eastAsia="zh-CN" w:bidi="ar-SA"/>
              </w:rPr>
              <w:t>通信系统或</w:t>
            </w:r>
            <w:r>
              <w:rPr>
                <w:rFonts w:hint="eastAsia" w:ascii="宋体" w:hAnsi="宋体" w:eastAsia="宋体" w:cs="宋体"/>
                <w:color w:val="auto"/>
                <w:sz w:val="21"/>
                <w:szCs w:val="21"/>
                <w:highlight w:val="none"/>
                <w:lang w:val="en-US" w:eastAsia="zh-CN" w:bidi="ar-SA"/>
              </w:rPr>
              <w:t>改造项目中担任过项目经理/副经理</w:t>
            </w:r>
            <w:r>
              <w:rPr>
                <w:rFonts w:hint="eastAsia" w:cs="宋体" w:asciiTheme="minorEastAsia" w:hAnsiTheme="minorEastAsia" w:eastAsiaTheme="minorEastAsia"/>
                <w:color w:val="auto"/>
                <w:sz w:val="21"/>
                <w:szCs w:val="21"/>
                <w:highlight w:val="none"/>
                <w:lang w:val="en-US" w:eastAsia="zh-CN" w:bidi="ar-SA"/>
              </w:rPr>
              <w:t>，具有</w:t>
            </w:r>
            <w:r>
              <w:rPr>
                <w:rFonts w:hint="eastAsia" w:cs="Times New Roman" w:asciiTheme="minorEastAsia" w:hAnsiTheme="minorEastAsia" w:eastAsiaTheme="minorEastAsia"/>
                <w:color w:val="auto"/>
                <w:sz w:val="21"/>
                <w:szCs w:val="21"/>
                <w:highlight w:val="none"/>
                <w:lang w:val="en-US" w:eastAsia="zh-CN" w:bidi="ar-SA"/>
              </w:rPr>
              <w:t>8</w:t>
            </w:r>
            <w:r>
              <w:rPr>
                <w:rFonts w:hint="eastAsia" w:cs="宋体" w:asciiTheme="minorEastAsia" w:hAnsiTheme="minorEastAsia" w:eastAsiaTheme="minorEastAsia"/>
                <w:color w:val="auto"/>
                <w:sz w:val="21"/>
                <w:szCs w:val="21"/>
                <w:highlight w:val="none"/>
                <w:lang w:val="en-US" w:eastAsia="zh-CN" w:bidi="ar-SA"/>
              </w:rPr>
              <w:t>年以上</w:t>
            </w:r>
            <w:r>
              <w:rPr>
                <w:rFonts w:hint="eastAsia" w:ascii="宋体" w:hAnsi="宋体" w:eastAsia="宋体" w:cs="宋体"/>
                <w:color w:val="auto"/>
                <w:sz w:val="21"/>
                <w:szCs w:val="21"/>
                <w:highlight w:val="none"/>
                <w:lang w:val="en-US" w:eastAsia="zh-CN" w:bidi="ar-SA"/>
              </w:rPr>
              <w:t>弱电系统</w:t>
            </w:r>
            <w:r>
              <w:rPr>
                <w:rFonts w:hint="eastAsia" w:cs="宋体" w:asciiTheme="minorEastAsia" w:hAnsiTheme="minorEastAsia" w:eastAsiaTheme="minorEastAsia"/>
                <w:color w:val="auto"/>
                <w:sz w:val="21"/>
                <w:szCs w:val="21"/>
                <w:highlight w:val="none"/>
                <w:lang w:val="en-US" w:eastAsia="zh-CN" w:bidi="ar-SA"/>
              </w:rPr>
              <w:t>相关工作经验，提供资质证明材料（从事项目的合同证明或项目经理授权证明）；</w:t>
            </w:r>
          </w:p>
          <w:p>
            <w:pPr>
              <w:widowControl w:val="0"/>
              <w:numPr>
                <w:ilvl w:val="0"/>
                <w:numId w:val="28"/>
              </w:numPr>
              <w:spacing w:before="0" w:after="0" w:afterAutospacing="0" w:line="360" w:lineRule="auto"/>
              <w:ind w:left="0" w:right="0" w:firstLine="0"/>
              <w:jc w:val="both"/>
              <w:rPr>
                <w:rFonts w:cs="Times New Roman"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具有助理工程师及以上职称或职业资格证书或项目管理证书等相关资格证书。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520" w:type="dxa"/>
            <w:tcBorders>
              <w:top w:val="single" w:color="auto" w:sz="4" w:space="0"/>
              <w:left w:val="single" w:color="auto" w:sz="12" w:space="0"/>
              <w:bottom w:val="single" w:color="auto" w:sz="4" w:space="0"/>
              <w:right w:val="single" w:color="auto" w:sz="4" w:space="0"/>
            </w:tcBorders>
            <w:vAlign w:val="center"/>
          </w:tcPr>
          <w:p>
            <w:pPr>
              <w:widowControl w:val="0"/>
              <w:spacing w:before="0" w:after="0" w:afterAutospacing="0" w:line="360" w:lineRule="auto"/>
              <w:ind w:left="0" w:leftChars="0" w:right="0" w:rightChars="0" w:firstLine="0" w:firstLineChars="0"/>
              <w:jc w:val="center"/>
              <w:rPr>
                <w:rFonts w:hint="eastAsia"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技术负责人（</w:t>
            </w:r>
            <w:r>
              <w:rPr>
                <w:rFonts w:hint="eastAsia" w:cs="Times New Roman" w:asciiTheme="minorEastAsia" w:hAnsiTheme="minorEastAsia" w:eastAsiaTheme="minorEastAsia"/>
                <w:color w:val="auto"/>
                <w:sz w:val="21"/>
                <w:szCs w:val="21"/>
                <w:highlight w:val="none"/>
              </w:rPr>
              <w:t>1</w:t>
            </w:r>
            <w:r>
              <w:rPr>
                <w:rFonts w:hint="eastAsia" w:cs="宋体" w:asciiTheme="minorEastAsia" w:hAnsiTheme="minorEastAsia" w:eastAsiaTheme="minorEastAsia"/>
                <w:color w:val="auto"/>
                <w:sz w:val="21"/>
                <w:szCs w:val="21"/>
                <w:highlight w:val="none"/>
              </w:rPr>
              <w:t>名）</w:t>
            </w:r>
          </w:p>
        </w:tc>
        <w:tc>
          <w:tcPr>
            <w:tcW w:w="7002" w:type="dxa"/>
            <w:tcBorders>
              <w:top w:val="single" w:color="auto" w:sz="4" w:space="0"/>
              <w:left w:val="single" w:color="auto" w:sz="4" w:space="0"/>
              <w:bottom w:val="single" w:color="auto" w:sz="4" w:space="0"/>
              <w:right w:val="single" w:color="auto" w:sz="12" w:space="0"/>
            </w:tcBorders>
            <w:vAlign w:val="center"/>
          </w:tcPr>
          <w:p>
            <w:pPr>
              <w:widowControl w:val="0"/>
              <w:numPr>
                <w:ilvl w:val="0"/>
                <w:numId w:val="29"/>
              </w:numPr>
              <w:spacing w:before="0" w:after="0" w:afterAutospacing="0" w:line="360" w:lineRule="auto"/>
              <w:ind w:left="0" w:right="0" w:firstLine="0"/>
              <w:jc w:val="both"/>
              <w:rPr>
                <w:rFonts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专科及以上学历（提供毕业证、学位证复印件）；</w:t>
            </w:r>
          </w:p>
          <w:p>
            <w:pPr>
              <w:widowControl w:val="0"/>
              <w:numPr>
                <w:ilvl w:val="0"/>
                <w:numId w:val="29"/>
              </w:numPr>
              <w:spacing w:before="0" w:after="0" w:afterAutospacing="0" w:line="360" w:lineRule="auto"/>
              <w:ind w:left="0" w:right="0" w:firstLine="0"/>
              <w:jc w:val="both"/>
              <w:rPr>
                <w:rFonts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应熟练掌握国家和行业有关标准，至少在1个通信系统或改造项目中担任过技术负责人，具有5年以上弱电系统相关工作经验，提供资质证明材料（从事项目的合同证明或技术负责人授权证明）；</w:t>
            </w:r>
          </w:p>
          <w:p>
            <w:pPr>
              <w:widowControl w:val="0"/>
              <w:numPr>
                <w:ilvl w:val="0"/>
                <w:numId w:val="29"/>
              </w:numPr>
              <w:spacing w:before="0" w:after="0" w:afterAutospacing="0" w:line="360" w:lineRule="auto"/>
              <w:ind w:left="0" w:leftChars="0" w:right="0" w:rightChars="0" w:firstLine="0" w:firstLineChars="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具有助理工程师及以上职称或职业资格证书等相关资格证书。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520" w:type="dxa"/>
            <w:tcBorders>
              <w:top w:val="single" w:color="auto" w:sz="4" w:space="0"/>
              <w:left w:val="single" w:color="auto" w:sz="12"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Times New Roman"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安全负责人（</w:t>
            </w:r>
            <w:r>
              <w:rPr>
                <w:rFonts w:hint="eastAsia" w:cs="Times New Roman" w:asciiTheme="minorEastAsia" w:hAnsiTheme="minorEastAsia" w:eastAsiaTheme="minorEastAsia"/>
                <w:color w:val="auto"/>
                <w:sz w:val="21"/>
                <w:szCs w:val="21"/>
                <w:highlight w:val="none"/>
              </w:rPr>
              <w:t>1</w:t>
            </w:r>
            <w:r>
              <w:rPr>
                <w:rFonts w:hint="eastAsia" w:cs="宋体" w:asciiTheme="minorEastAsia" w:hAnsiTheme="minorEastAsia" w:eastAsiaTheme="minorEastAsia"/>
                <w:color w:val="auto"/>
                <w:sz w:val="21"/>
                <w:szCs w:val="21"/>
                <w:highlight w:val="none"/>
              </w:rPr>
              <w:t>名）</w:t>
            </w:r>
          </w:p>
        </w:tc>
        <w:tc>
          <w:tcPr>
            <w:tcW w:w="7002" w:type="dxa"/>
            <w:tcBorders>
              <w:top w:val="single" w:color="auto" w:sz="4" w:space="0"/>
              <w:left w:val="single" w:color="auto" w:sz="4" w:space="0"/>
              <w:bottom w:val="single" w:color="auto" w:sz="4" w:space="0"/>
              <w:right w:val="single" w:color="auto" w:sz="12" w:space="0"/>
            </w:tcBorders>
            <w:vAlign w:val="center"/>
          </w:tcPr>
          <w:p>
            <w:pPr>
              <w:widowControl w:val="0"/>
              <w:numPr>
                <w:ilvl w:val="0"/>
                <w:numId w:val="29"/>
              </w:numPr>
              <w:spacing w:before="0" w:after="0" w:afterAutospacing="0" w:line="360" w:lineRule="auto"/>
              <w:ind w:left="0" w:right="0" w:firstLine="0"/>
              <w:jc w:val="both"/>
              <w:rPr>
                <w:rFonts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专科及以上学历（提供毕业证、学位证复印件）；</w:t>
            </w:r>
          </w:p>
          <w:p>
            <w:pPr>
              <w:widowControl w:val="0"/>
              <w:numPr>
                <w:ilvl w:val="0"/>
                <w:numId w:val="29"/>
              </w:numPr>
              <w:spacing w:before="0" w:after="0" w:afterAutospacing="0" w:line="360" w:lineRule="auto"/>
              <w:ind w:left="0" w:right="0" w:firstLine="0"/>
              <w:jc w:val="both"/>
              <w:rPr>
                <w:rFonts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了解国家安全生产法和消防法等相关的知识，严格遵守国家法律法规，有3年及以上安全工作管理经验；</w:t>
            </w:r>
          </w:p>
          <w:p>
            <w:pPr>
              <w:widowControl w:val="0"/>
              <w:numPr>
                <w:ilvl w:val="0"/>
                <w:numId w:val="29"/>
              </w:numPr>
              <w:spacing w:before="0" w:after="0" w:afterAutospacing="0" w:line="360" w:lineRule="auto"/>
              <w:ind w:left="0" w:right="0" w:firstLine="0"/>
              <w:jc w:val="both"/>
              <w:rPr>
                <w:rFonts w:cs="Times New Roman" w:asciiTheme="minorEastAsia" w:hAnsiTheme="minorEastAsia" w:eastAsiaTheme="minorEastAsia"/>
                <w:b/>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取得安全员资格证或安全工程师资格证，掌握安全技术专业知识。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20" w:type="dxa"/>
            <w:tcBorders>
              <w:top w:val="single" w:color="auto" w:sz="4" w:space="0"/>
              <w:left w:val="single" w:color="auto" w:sz="12"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施工</w:t>
            </w:r>
            <w:r>
              <w:rPr>
                <w:rFonts w:cs="宋体" w:asciiTheme="minorEastAsia" w:hAnsiTheme="minorEastAsia" w:eastAsiaTheme="minorEastAsia"/>
                <w:color w:val="auto"/>
                <w:sz w:val="21"/>
                <w:szCs w:val="21"/>
                <w:highlight w:val="none"/>
              </w:rPr>
              <w:t>队长</w:t>
            </w:r>
          </w:p>
        </w:tc>
        <w:tc>
          <w:tcPr>
            <w:tcW w:w="7002" w:type="dxa"/>
            <w:tcBorders>
              <w:top w:val="single" w:color="auto" w:sz="4" w:space="0"/>
              <w:left w:val="single" w:color="auto" w:sz="4" w:space="0"/>
              <w:bottom w:val="single" w:color="auto" w:sz="4" w:space="0"/>
              <w:right w:val="single" w:color="auto" w:sz="12" w:space="0"/>
            </w:tcBorders>
            <w:vAlign w:val="center"/>
          </w:tcPr>
          <w:p>
            <w:pPr>
              <w:widowControl w:val="0"/>
              <w:numPr>
                <w:ilvl w:val="0"/>
                <w:numId w:val="30"/>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具有高处安装、维修、拆除作业证或低压电工作业证或焊接与热切割作业证；</w:t>
            </w:r>
          </w:p>
          <w:p>
            <w:pPr>
              <w:widowControl w:val="0"/>
              <w:numPr>
                <w:ilvl w:val="0"/>
                <w:numId w:val="30"/>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应技术熟练，有弱电系统安装、调试或维护的施工经验；</w:t>
            </w:r>
          </w:p>
          <w:p>
            <w:pPr>
              <w:widowControl w:val="0"/>
              <w:numPr>
                <w:ilvl w:val="0"/>
                <w:numId w:val="30"/>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乙方应详细提供现场安装人员的技能、教育、培训情况，以证明现场安装人员能安全地安装弱电系统设备，尤其是用电安全及高处作业安全；</w:t>
            </w:r>
          </w:p>
          <w:p>
            <w:pPr>
              <w:widowControl w:val="0"/>
              <w:numPr>
                <w:ilvl w:val="0"/>
                <w:numId w:val="30"/>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能熟练使用通信系统所用的仪器仪表，能理解和解释安装指南、图纸，并能按图纸或指南独立完成某些复杂的安装工作；</w:t>
            </w:r>
          </w:p>
          <w:p>
            <w:pPr>
              <w:widowControl w:val="0"/>
              <w:numPr>
                <w:ilvl w:val="0"/>
                <w:numId w:val="30"/>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了解劳动安全、事故预防方面的规则及实施这些规则的具体方案，有指导熟练工人工作的能力。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520" w:type="dxa"/>
            <w:tcBorders>
              <w:top w:val="single" w:color="auto" w:sz="4" w:space="0"/>
              <w:left w:val="single" w:color="auto" w:sz="12" w:space="0"/>
              <w:bottom w:val="single" w:color="auto" w:sz="12" w:space="0"/>
              <w:right w:val="single" w:color="auto" w:sz="4" w:space="0"/>
            </w:tcBorders>
            <w:vAlign w:val="center"/>
          </w:tcPr>
          <w:p>
            <w:pPr>
              <w:widowControl w:val="0"/>
              <w:spacing w:before="0" w:after="0" w:afterAutospacing="0" w:line="360" w:lineRule="auto"/>
              <w:ind w:left="0" w:right="0" w:firstLine="0"/>
              <w:jc w:val="center"/>
              <w:rPr>
                <w:rFonts w:cs="Times New Roman"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val="en-US" w:eastAsia="zh-CN"/>
              </w:rPr>
              <w:t>施工</w:t>
            </w:r>
            <w:r>
              <w:rPr>
                <w:rFonts w:hint="eastAsia" w:cs="宋体" w:asciiTheme="minorEastAsia" w:hAnsiTheme="minorEastAsia" w:eastAsiaTheme="minorEastAsia"/>
                <w:color w:val="auto"/>
                <w:sz w:val="21"/>
                <w:szCs w:val="21"/>
                <w:highlight w:val="none"/>
              </w:rPr>
              <w:t>人员</w:t>
            </w:r>
          </w:p>
        </w:tc>
        <w:tc>
          <w:tcPr>
            <w:tcW w:w="7002" w:type="dxa"/>
            <w:tcBorders>
              <w:top w:val="single" w:color="auto" w:sz="4" w:space="0"/>
              <w:left w:val="single" w:color="auto" w:sz="4" w:space="0"/>
              <w:bottom w:val="single" w:color="auto" w:sz="12" w:space="0"/>
              <w:right w:val="single" w:color="auto" w:sz="12" w:space="0"/>
            </w:tcBorders>
            <w:vAlign w:val="center"/>
          </w:tcPr>
          <w:p>
            <w:pPr>
              <w:widowControl w:val="0"/>
              <w:numPr>
                <w:ilvl w:val="0"/>
                <w:numId w:val="31"/>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具有高处安装、维修、拆除作业证或低压电工作业证或焊接与热切割作业证；</w:t>
            </w:r>
          </w:p>
          <w:p>
            <w:pPr>
              <w:widowControl w:val="0"/>
              <w:numPr>
                <w:ilvl w:val="0"/>
                <w:numId w:val="31"/>
              </w:numPr>
              <w:spacing w:before="0" w:after="0" w:afterAutospacing="0" w:line="360" w:lineRule="auto"/>
              <w:ind w:left="420" w:right="0" w:hanging="42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shd w:val="clear" w:fill="auto"/>
                <w:lang w:val="en-US" w:eastAsia="zh-CN" w:bidi="ar-SA"/>
              </w:rPr>
              <w:t>持有高处安装、维修、拆除作业证人员不低于2人，低压电工作业证人员不低于4人，焊接与热切割作业证不低于2人</w:t>
            </w:r>
            <w:r>
              <w:rPr>
                <w:rFonts w:hint="eastAsia" w:cs="宋体" w:asciiTheme="minorEastAsia" w:hAnsiTheme="minorEastAsia" w:eastAsiaTheme="minorEastAsia"/>
                <w:color w:val="auto"/>
                <w:sz w:val="21"/>
                <w:szCs w:val="21"/>
                <w:highlight w:val="none"/>
                <w:lang w:val="en-US" w:eastAsia="zh-CN" w:bidi="ar-SA"/>
              </w:rPr>
              <w:t>；</w:t>
            </w:r>
          </w:p>
          <w:p>
            <w:pPr>
              <w:widowControl w:val="0"/>
              <w:numPr>
                <w:ilvl w:val="0"/>
                <w:numId w:val="31"/>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应技术熟练，有弱电系统安装、调试或维护的施工经验；</w:t>
            </w:r>
          </w:p>
          <w:p>
            <w:pPr>
              <w:widowControl w:val="0"/>
              <w:numPr>
                <w:ilvl w:val="0"/>
                <w:numId w:val="31"/>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乙方应详细提供现场安装人员的技能、教育、培训情况，以证明现场安装人员能安全地安装弱电系统设备，尤其是用电安全及高处作业安全；</w:t>
            </w:r>
          </w:p>
          <w:p>
            <w:pPr>
              <w:widowControl w:val="0"/>
              <w:numPr>
                <w:ilvl w:val="0"/>
                <w:numId w:val="31"/>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必须有根据图纸独立工作的能力，能指导和监督有限数量工人的工作；</w:t>
            </w:r>
          </w:p>
          <w:p>
            <w:pPr>
              <w:widowControl w:val="0"/>
              <w:numPr>
                <w:ilvl w:val="0"/>
                <w:numId w:val="31"/>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掌握通信行业所使用的工具，特别是测量工具和仪表；</w:t>
            </w:r>
          </w:p>
          <w:p>
            <w:pPr>
              <w:widowControl w:val="0"/>
              <w:numPr>
                <w:ilvl w:val="0"/>
                <w:numId w:val="31"/>
              </w:numPr>
              <w:spacing w:before="0" w:after="0" w:afterAutospacing="0" w:line="360" w:lineRule="auto"/>
              <w:ind w:left="0" w:right="0" w:firstLine="0"/>
              <w:jc w:val="both"/>
              <w:rPr>
                <w:rFonts w:hint="eastAsia"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应有劳动安全及事故预防方面的知识，并能根据行业规范要求，高质量地完成安装工作。</w:t>
            </w:r>
          </w:p>
        </w:tc>
      </w:tr>
    </w:tbl>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037" w:name="_Toc11872"/>
      <w:bookmarkStart w:id="2038" w:name="_Toc20724"/>
      <w:bookmarkStart w:id="2039" w:name="_Toc13500"/>
      <w:bookmarkStart w:id="2040" w:name="_Toc22507"/>
      <w:bookmarkStart w:id="2041" w:name="_Toc24048"/>
      <w:bookmarkStart w:id="2042" w:name="_Toc23343"/>
      <w:bookmarkStart w:id="2043" w:name="_Toc15775"/>
      <w:bookmarkStart w:id="2044" w:name="_Toc15143"/>
      <w:bookmarkStart w:id="2045" w:name="_Toc659"/>
      <w:bookmarkStart w:id="2046" w:name="_Toc24812_WPSOffice_Level2"/>
      <w:r>
        <w:rPr>
          <w:rFonts w:hint="eastAsia" w:ascii="黑体" w:hAnsi="黑体" w:eastAsia="黑体" w:cs="黑体"/>
          <w:color w:val="auto"/>
          <w:kern w:val="2"/>
          <w:sz w:val="28"/>
          <w:szCs w:val="28"/>
          <w:highlight w:val="none"/>
          <w:lang w:val="en-US" w:eastAsia="zh-CN" w:bidi="ar-SA"/>
        </w:rPr>
        <w:t>知识产权</w:t>
      </w:r>
      <w:bookmarkEnd w:id="2037"/>
      <w:bookmarkEnd w:id="2038"/>
      <w:bookmarkEnd w:id="2039"/>
      <w:bookmarkEnd w:id="2040"/>
      <w:bookmarkEnd w:id="2041"/>
      <w:bookmarkEnd w:id="2042"/>
      <w:bookmarkEnd w:id="2043"/>
      <w:bookmarkEnd w:id="2044"/>
      <w:bookmarkEnd w:id="2045"/>
      <w:bookmarkEnd w:id="2046"/>
    </w:p>
    <w:p>
      <w:pPr>
        <w:widowControl w:val="0"/>
        <w:numPr>
          <w:ilvl w:val="0"/>
          <w:numId w:val="32"/>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保证依据本合同所提供的任何产品、资料、物件及服务均不构成对第三方合法权益的侵犯，包括但不限于知识产权，即</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在中国使用</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提供的产品及产品的任何一部分、资料或服务无产权纠纷</w:t>
      </w:r>
      <w:r>
        <w:rPr>
          <w:rFonts w:hint="eastAsia" w:ascii="宋体" w:hAnsi="宋体" w:eastAsia="宋体" w:cs="Times New Roman"/>
          <w:color w:val="auto"/>
          <w:sz w:val="21"/>
          <w:szCs w:val="21"/>
          <w:highlight w:val="none"/>
          <w:lang w:eastAsia="zh-CN"/>
        </w:rPr>
        <w:t>。</w:t>
      </w:r>
    </w:p>
    <w:p>
      <w:pPr>
        <w:widowControl w:val="0"/>
        <w:numPr>
          <w:ilvl w:val="0"/>
          <w:numId w:val="32"/>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在</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履行合同过程中，需使用第三人专利、专有技术、技术秘密、商业秘密、著作权、商标权等知识产权的，</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应取得</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同意，所使用的知识产权应支付的费用由</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承担</w:t>
      </w:r>
      <w:r>
        <w:rPr>
          <w:rFonts w:hint="eastAsia" w:ascii="宋体" w:hAnsi="宋体" w:eastAsia="宋体" w:cs="Times New Roman"/>
          <w:color w:val="auto"/>
          <w:sz w:val="21"/>
          <w:szCs w:val="21"/>
          <w:highlight w:val="none"/>
          <w:lang w:eastAsia="zh-CN"/>
        </w:rPr>
        <w:t>。</w:t>
      </w:r>
    </w:p>
    <w:p>
      <w:pPr>
        <w:widowControl w:val="0"/>
        <w:numPr>
          <w:ilvl w:val="0"/>
          <w:numId w:val="32"/>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因</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提供的任何产品、资料、物件及服务引起的知识产权纠纷，由</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负责与第三人交涉、参加诉讼、进行辩护，并承担由此引起的一切法律和经济上的责任。上述纠纷包括但不限于因</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拥有或者有权许可的知识产权存在瑕疵导致产品瑕疵引起的索赔、诉讼或损失，因上述知识产权未在中国申请知识产权保护或海关备案而引起的侵权纠纷</w:t>
      </w:r>
      <w:r>
        <w:rPr>
          <w:rFonts w:hint="eastAsia" w:ascii="宋体" w:hAnsi="宋体" w:eastAsia="宋体" w:cs="Times New Roman"/>
          <w:color w:val="auto"/>
          <w:sz w:val="21"/>
          <w:szCs w:val="21"/>
          <w:highlight w:val="none"/>
          <w:lang w:eastAsia="zh-CN"/>
        </w:rPr>
        <w:t>。</w:t>
      </w:r>
    </w:p>
    <w:p>
      <w:pPr>
        <w:widowControl w:val="0"/>
        <w:numPr>
          <w:ilvl w:val="0"/>
          <w:numId w:val="32"/>
        </w:numPr>
        <w:tabs>
          <w:tab w:val="left" w:pos="0"/>
        </w:tabs>
        <w:spacing w:before="0" w:after="0" w:afterAutospacing="0" w:line="360" w:lineRule="auto"/>
        <w:ind w:left="0" w:leftChars="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如</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拒绝、怠于履行上述义务或出现知识产权纠纷，</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有权解除合同。</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被第三方起诉或以其它方式追究责任，</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应赔偿因</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被第三方索赔所引起的一切损失，包括但不限于</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所支付的侵权损害赔偿费、律师费、诉讼费、仲裁费、办案差旅费等因应诉、沟通协调所发的一切费用</w:t>
      </w:r>
      <w:r>
        <w:rPr>
          <w:rFonts w:hint="eastAsia" w:ascii="宋体" w:hAnsi="宋体" w:eastAsia="宋体" w:cs="Times New Roman"/>
          <w:color w:val="auto"/>
          <w:sz w:val="21"/>
          <w:szCs w:val="21"/>
          <w:highlight w:val="none"/>
          <w:lang w:eastAsia="zh-CN"/>
        </w:rPr>
        <w:t>。</w:t>
      </w:r>
    </w:p>
    <w:p>
      <w:pPr>
        <w:keepNext/>
        <w:keepLines/>
        <w:widowControl w:val="0"/>
        <w:numPr>
          <w:ilvl w:val="0"/>
          <w:numId w:val="26"/>
        </w:numPr>
        <w:spacing w:before="0" w:after="0" w:afterAutospacing="0" w:line="360" w:lineRule="auto"/>
        <w:ind w:left="0" w:right="0" w:firstLine="0"/>
        <w:jc w:val="left"/>
        <w:outlineLvl w:val="0"/>
        <w:rPr>
          <w:rFonts w:ascii="黑体" w:hAnsi="黑体" w:eastAsia="黑体" w:cs="宋体"/>
          <w:color w:val="auto"/>
          <w:kern w:val="44"/>
          <w:sz w:val="32"/>
          <w:szCs w:val="21"/>
          <w:highlight w:val="none"/>
          <w:lang w:val="en-US" w:eastAsia="zh-CN" w:bidi="ar-SA"/>
        </w:rPr>
      </w:pPr>
      <w:bookmarkStart w:id="2047" w:name="_Toc19415"/>
      <w:bookmarkStart w:id="2048" w:name="_Toc17850_WPSOffice_Level1"/>
      <w:bookmarkStart w:id="2049" w:name="_Toc6832"/>
      <w:bookmarkStart w:id="2050" w:name="_Toc1859"/>
      <w:bookmarkStart w:id="2051" w:name="_Toc16913"/>
      <w:bookmarkStart w:id="2052" w:name="_Toc10976_WPSOffice_Level2"/>
      <w:bookmarkStart w:id="2053" w:name="_Toc10466"/>
      <w:bookmarkStart w:id="2054" w:name="_Toc20172_WPSOffice_Level2"/>
      <w:bookmarkStart w:id="2055" w:name="_Toc7466"/>
      <w:bookmarkStart w:id="2056" w:name="_Toc10400"/>
      <w:bookmarkStart w:id="2057" w:name="_Toc15748"/>
      <w:bookmarkStart w:id="2058" w:name="_Toc9678"/>
      <w:r>
        <w:rPr>
          <w:rFonts w:hint="eastAsia" w:ascii="黑体" w:hAnsi="黑体" w:eastAsia="黑体" w:cs="宋体"/>
          <w:color w:val="auto"/>
          <w:kern w:val="44"/>
          <w:sz w:val="32"/>
          <w:szCs w:val="21"/>
          <w:highlight w:val="none"/>
          <w:lang w:val="en-US" w:eastAsia="zh-CN" w:bidi="ar-SA"/>
        </w:rPr>
        <w:t>项目现场</w:t>
      </w:r>
      <w:r>
        <w:rPr>
          <w:rFonts w:ascii="黑体" w:hAnsi="黑体" w:eastAsia="黑体" w:cs="宋体"/>
          <w:color w:val="auto"/>
          <w:kern w:val="44"/>
          <w:sz w:val="32"/>
          <w:szCs w:val="21"/>
          <w:highlight w:val="none"/>
          <w:lang w:val="en-US" w:eastAsia="zh-CN" w:bidi="ar-SA"/>
        </w:rPr>
        <w:t>管理</w:t>
      </w:r>
      <w:bookmarkEnd w:id="2047"/>
      <w:bookmarkEnd w:id="2048"/>
      <w:bookmarkEnd w:id="2049"/>
      <w:bookmarkEnd w:id="2050"/>
      <w:bookmarkEnd w:id="2051"/>
      <w:bookmarkEnd w:id="2052"/>
      <w:bookmarkEnd w:id="2053"/>
      <w:bookmarkEnd w:id="2054"/>
      <w:bookmarkEnd w:id="2055"/>
      <w:bookmarkEnd w:id="2056"/>
      <w:bookmarkEnd w:id="2057"/>
      <w:bookmarkEnd w:id="2058"/>
    </w:p>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059" w:name="_Toc6738"/>
      <w:bookmarkStart w:id="2060" w:name="_Toc398"/>
      <w:bookmarkStart w:id="2061" w:name="_Toc30714"/>
      <w:bookmarkStart w:id="2062" w:name="_Toc26638"/>
      <w:bookmarkStart w:id="2063" w:name="_Toc24917"/>
      <w:bookmarkStart w:id="2064" w:name="_Toc2775_WPSOffice_Level2"/>
      <w:bookmarkStart w:id="2065" w:name="_Toc9210"/>
      <w:bookmarkStart w:id="2066" w:name="_Toc244"/>
      <w:bookmarkStart w:id="2067" w:name="_Toc30024"/>
      <w:bookmarkStart w:id="2068" w:name="_Toc22337"/>
      <w:r>
        <w:rPr>
          <w:rFonts w:hint="eastAsia" w:ascii="黑体" w:hAnsi="黑体" w:eastAsia="黑体" w:cs="黑体"/>
          <w:color w:val="auto"/>
          <w:kern w:val="2"/>
          <w:sz w:val="28"/>
          <w:szCs w:val="28"/>
          <w:highlight w:val="none"/>
          <w:lang w:val="en-US" w:eastAsia="zh-CN" w:bidi="ar-SA"/>
        </w:rPr>
        <w:t>工作界面划分</w:t>
      </w:r>
      <w:bookmarkEnd w:id="2059"/>
      <w:bookmarkEnd w:id="2060"/>
      <w:bookmarkEnd w:id="2061"/>
      <w:bookmarkEnd w:id="2062"/>
      <w:bookmarkEnd w:id="2063"/>
      <w:bookmarkEnd w:id="2064"/>
      <w:bookmarkEnd w:id="2065"/>
      <w:bookmarkEnd w:id="2066"/>
      <w:bookmarkEnd w:id="2067"/>
      <w:bookmarkEnd w:id="2068"/>
    </w:p>
    <w:p>
      <w:pPr>
        <w:pStyle w:val="59"/>
        <w:keepNext w:val="0"/>
        <w:keepLines w:val="0"/>
        <w:pageBreakBefore w:val="0"/>
        <w:widowControl/>
        <w:kinsoku/>
        <w:wordWrap/>
        <w:overflowPunct/>
        <w:topLinePunct w:val="0"/>
        <w:autoSpaceDE/>
        <w:autoSpaceDN/>
        <w:bidi w:val="0"/>
        <w:adjustRightInd w:val="0"/>
        <w:snapToGrid w:val="0"/>
        <w:spacing w:before="0" w:after="0" w:afterAutospacing="0" w:line="360" w:lineRule="auto"/>
        <w:ind w:left="0" w:right="0"/>
        <w:textAlignment w:val="auto"/>
        <w:rPr>
          <w:rFonts w:hint="eastAsia" w:cs="宋体"/>
          <w:color w:val="auto"/>
          <w:sz w:val="21"/>
          <w:szCs w:val="21"/>
          <w:highlight w:val="none"/>
        </w:rPr>
      </w:pPr>
      <w:r>
        <w:rPr>
          <w:rFonts w:hint="eastAsia" w:cs="宋体"/>
          <w:color w:val="auto"/>
          <w:sz w:val="21"/>
          <w:szCs w:val="21"/>
          <w:highlight w:val="none"/>
          <w:lang w:val="en-US" w:eastAsia="zh-CN"/>
        </w:rPr>
        <w:t>甲方与乙方的工作界面划分详见表4：甲方与乙方职责划分表。</w:t>
      </w:r>
    </w:p>
    <w:p>
      <w:pPr>
        <w:pStyle w:val="59"/>
        <w:numPr>
          <w:ilvl w:val="-1"/>
          <w:numId w:val="0"/>
        </w:numPr>
        <w:spacing w:before="0" w:after="0" w:afterAutospacing="0" w:line="240" w:lineRule="auto"/>
        <w:ind w:left="0" w:right="0" w:firstLine="420" w:firstLineChars="200"/>
        <w:jc w:val="center"/>
        <w:rPr>
          <w:rFonts w:hint="default" w:eastAsia="宋体"/>
          <w:color w:val="auto"/>
          <w:sz w:val="21"/>
          <w:szCs w:val="21"/>
          <w:highlight w:val="none"/>
          <w:lang w:val="en-US" w:eastAsia="zh-CN"/>
        </w:rPr>
      </w:pPr>
      <w:bookmarkStart w:id="2069" w:name="_Toc14894_WPSOffice_Level3"/>
      <w:r>
        <w:rPr>
          <w:rFonts w:hint="eastAsia" w:hAnsi="宋体" w:eastAsia="宋体" w:cs="宋体"/>
          <w:color w:val="auto"/>
          <w:sz w:val="21"/>
          <w:szCs w:val="21"/>
          <w:highlight w:val="none"/>
          <w:lang w:val="en-US" w:eastAsia="zh-CN"/>
        </w:rPr>
        <w:t>表</w:t>
      </w:r>
      <w:r>
        <w:rPr>
          <w:rFonts w:hint="eastAsia" w:cs="宋体"/>
          <w:color w:val="auto"/>
          <w:sz w:val="21"/>
          <w:szCs w:val="21"/>
          <w:highlight w:val="none"/>
          <w:lang w:val="en-US" w:eastAsia="zh-CN"/>
        </w:rPr>
        <w:t>4</w:t>
      </w:r>
      <w:r>
        <w:rPr>
          <w:rFonts w:hint="eastAsia" w:hAnsi="宋体" w:eastAsia="宋体" w:cs="宋体"/>
          <w:color w:val="auto"/>
          <w:sz w:val="21"/>
          <w:szCs w:val="21"/>
          <w:highlight w:val="none"/>
          <w:lang w:val="en-US" w:eastAsia="zh-CN"/>
        </w:rPr>
        <w:t>：</w:t>
      </w:r>
      <w:r>
        <w:rPr>
          <w:rFonts w:hint="eastAsia" w:cs="宋体"/>
          <w:color w:val="auto"/>
          <w:sz w:val="21"/>
          <w:szCs w:val="21"/>
          <w:highlight w:val="none"/>
          <w:lang w:val="en-US" w:eastAsia="zh-CN"/>
        </w:rPr>
        <w:t>甲方与乙方</w:t>
      </w:r>
      <w:r>
        <w:rPr>
          <w:rFonts w:hint="eastAsia" w:hAnsi="宋体" w:eastAsia="宋体" w:cs="宋体"/>
          <w:color w:val="auto"/>
          <w:sz w:val="21"/>
          <w:szCs w:val="21"/>
          <w:highlight w:val="none"/>
          <w:lang w:val="en-US" w:eastAsia="zh-CN"/>
        </w:rPr>
        <w:t>职责划分</w:t>
      </w:r>
      <w:bookmarkEnd w:id="2069"/>
    </w:p>
    <w:tbl>
      <w:tblPr>
        <w:tblStyle w:val="32"/>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280"/>
        <w:gridCol w:w="3772"/>
        <w:gridCol w:w="1203"/>
        <w:gridCol w:w="1298"/>
        <w:gridCol w:w="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1" w:type="dxa"/>
            <w:vAlign w:val="center"/>
          </w:tcPr>
          <w:p>
            <w:pPr>
              <w:widowControl w:val="0"/>
              <w:spacing w:before="0" w:after="0" w:afterAutospacing="0" w:line="240" w:lineRule="auto"/>
              <w:ind w:left="0" w:right="0" w:firstLine="0"/>
              <w:jc w:val="center"/>
              <w:rPr>
                <w:rFonts w:hint="eastAsia" w:ascii="Times New Roman" w:hAnsi="Times New Roman" w:cs="Times New Roman" w:eastAsiaTheme="minorEastAsia"/>
                <w:b/>
                <w:bCs/>
                <w:color w:val="auto"/>
                <w:sz w:val="24"/>
                <w:szCs w:val="24"/>
                <w:highlight w:val="none"/>
                <w:vertAlign w:val="baseline"/>
                <w:lang w:val="en-US" w:eastAsia="zh-CN"/>
              </w:rPr>
            </w:pPr>
            <w:r>
              <w:rPr>
                <w:rFonts w:hint="eastAsia" w:ascii="Times New Roman" w:hAnsi="Times New Roman" w:eastAsia="Times New Roman" w:cs="Times New Roman"/>
                <w:b/>
                <w:bCs/>
                <w:color w:val="auto"/>
                <w:sz w:val="24"/>
                <w:szCs w:val="24"/>
                <w:highlight w:val="none"/>
                <w:vertAlign w:val="baseline"/>
                <w:lang w:val="en-US" w:eastAsia="zh-CN"/>
              </w:rPr>
              <w:t>序号</w:t>
            </w:r>
          </w:p>
        </w:tc>
        <w:tc>
          <w:tcPr>
            <w:tcW w:w="1280" w:type="dxa"/>
            <w:vAlign w:val="center"/>
          </w:tcPr>
          <w:p>
            <w:pPr>
              <w:widowControl w:val="0"/>
              <w:spacing w:before="0" w:after="0" w:afterAutospacing="0" w:line="240" w:lineRule="auto"/>
              <w:ind w:left="0" w:right="0" w:firstLine="0"/>
              <w:jc w:val="center"/>
              <w:rPr>
                <w:rFonts w:hint="default" w:ascii="宋体" w:hAnsi="宋体" w:eastAsia="Times New Roman" w:cs="宋体"/>
                <w:b/>
                <w:bCs/>
                <w:color w:val="auto"/>
                <w:sz w:val="21"/>
                <w:szCs w:val="21"/>
                <w:highlight w:val="none"/>
                <w:lang w:val="en-US" w:eastAsia="zh-CN"/>
              </w:rPr>
            </w:pPr>
            <w:r>
              <w:rPr>
                <w:rFonts w:hint="eastAsia" w:ascii="宋体" w:hAnsi="宋体" w:eastAsia="Times New Roman" w:cs="宋体"/>
                <w:b/>
                <w:bCs/>
                <w:color w:val="auto"/>
                <w:sz w:val="21"/>
                <w:szCs w:val="21"/>
                <w:highlight w:val="none"/>
                <w:lang w:val="en-US" w:eastAsia="zh-CN"/>
              </w:rPr>
              <w:t>项目内容</w:t>
            </w:r>
          </w:p>
        </w:tc>
        <w:tc>
          <w:tcPr>
            <w:tcW w:w="3772" w:type="dxa"/>
            <w:vAlign w:val="center"/>
          </w:tcPr>
          <w:p>
            <w:pPr>
              <w:widowControl w:val="0"/>
              <w:spacing w:before="0" w:after="0" w:afterAutospacing="0" w:line="240" w:lineRule="auto"/>
              <w:ind w:left="0" w:right="0" w:firstLine="0"/>
              <w:jc w:val="center"/>
              <w:rPr>
                <w:rFonts w:ascii="Times New Roman" w:hAnsi="Times New Roman" w:eastAsia="Times New Roman" w:cs="Times New Roman"/>
                <w:b/>
                <w:bCs/>
                <w:color w:val="auto"/>
                <w:sz w:val="24"/>
                <w:szCs w:val="24"/>
                <w:highlight w:val="none"/>
                <w:vertAlign w:val="baseline"/>
              </w:rPr>
            </w:pPr>
            <w:r>
              <w:rPr>
                <w:rFonts w:hint="eastAsia" w:ascii="宋体" w:hAnsi="宋体" w:eastAsia="Times New Roman" w:cs="宋体"/>
                <w:b/>
                <w:bCs/>
                <w:color w:val="auto"/>
                <w:sz w:val="21"/>
                <w:szCs w:val="21"/>
                <w:highlight w:val="none"/>
                <w:lang w:val="en-US" w:eastAsia="zh-CN"/>
              </w:rPr>
              <w:t>项目实施的主要内容</w:t>
            </w:r>
          </w:p>
        </w:tc>
        <w:tc>
          <w:tcPr>
            <w:tcW w:w="1203" w:type="dxa"/>
            <w:vAlign w:val="center"/>
          </w:tcPr>
          <w:p>
            <w:pPr>
              <w:widowControl w:val="0"/>
              <w:spacing w:before="0" w:after="0" w:afterAutospacing="0" w:line="240" w:lineRule="auto"/>
              <w:ind w:left="0" w:right="0" w:firstLine="0"/>
              <w:jc w:val="center"/>
              <w:rPr>
                <w:rFonts w:hint="default" w:ascii="Times New Roman" w:hAnsi="Times New Roman" w:cs="Times New Roman" w:eastAsiaTheme="minorEastAsia"/>
                <w:b/>
                <w:bCs/>
                <w:color w:val="auto"/>
                <w:sz w:val="24"/>
                <w:szCs w:val="24"/>
                <w:highlight w:val="none"/>
                <w:vertAlign w:val="baseline"/>
                <w:lang w:val="en-US" w:eastAsia="zh-CN"/>
              </w:rPr>
            </w:pPr>
            <w:r>
              <w:rPr>
                <w:rFonts w:hint="eastAsia" w:eastAsia="Times New Roman" w:cs="Times New Roman"/>
                <w:b/>
                <w:bCs/>
                <w:color w:val="auto"/>
                <w:sz w:val="24"/>
                <w:szCs w:val="24"/>
                <w:highlight w:val="none"/>
                <w:vertAlign w:val="baseline"/>
                <w:lang w:val="en-US" w:eastAsia="zh-CN"/>
              </w:rPr>
              <w:t>乙方</w:t>
            </w:r>
            <w:r>
              <w:rPr>
                <w:rFonts w:hint="eastAsia" w:ascii="Times New Roman" w:hAnsi="Times New Roman" w:eastAsia="Times New Roman" w:cs="Times New Roman"/>
                <w:b/>
                <w:bCs/>
                <w:color w:val="auto"/>
                <w:sz w:val="24"/>
                <w:szCs w:val="24"/>
                <w:highlight w:val="none"/>
                <w:vertAlign w:val="baseline"/>
                <w:lang w:val="en-US" w:eastAsia="zh-CN"/>
              </w:rPr>
              <w:t>职责</w:t>
            </w:r>
          </w:p>
        </w:tc>
        <w:tc>
          <w:tcPr>
            <w:tcW w:w="1298" w:type="dxa"/>
            <w:vAlign w:val="center"/>
          </w:tcPr>
          <w:p>
            <w:pPr>
              <w:widowControl w:val="0"/>
              <w:spacing w:before="0" w:after="0" w:afterAutospacing="0" w:line="240" w:lineRule="auto"/>
              <w:ind w:left="0" w:right="0" w:firstLine="0"/>
              <w:jc w:val="center"/>
              <w:rPr>
                <w:rFonts w:ascii="Times New Roman" w:hAnsi="Times New Roman" w:eastAsia="Times New Roman" w:cs="Times New Roman"/>
                <w:b/>
                <w:bCs/>
                <w:color w:val="auto"/>
                <w:sz w:val="24"/>
                <w:szCs w:val="24"/>
                <w:highlight w:val="none"/>
                <w:vertAlign w:val="baseline"/>
              </w:rPr>
            </w:pPr>
            <w:r>
              <w:rPr>
                <w:rFonts w:hint="eastAsia" w:eastAsia="Times New Roman" w:cs="Times New Roman"/>
                <w:b/>
                <w:bCs/>
                <w:color w:val="auto"/>
                <w:sz w:val="24"/>
                <w:szCs w:val="24"/>
                <w:highlight w:val="none"/>
                <w:vertAlign w:val="baseline"/>
                <w:lang w:val="en-US" w:eastAsia="zh-CN"/>
              </w:rPr>
              <w:t>甲方</w:t>
            </w:r>
            <w:r>
              <w:rPr>
                <w:rFonts w:hint="eastAsia" w:ascii="Times New Roman" w:hAnsi="Times New Roman" w:eastAsia="Times New Roman" w:cs="Times New Roman"/>
                <w:b/>
                <w:bCs/>
                <w:color w:val="auto"/>
                <w:sz w:val="24"/>
                <w:szCs w:val="24"/>
                <w:highlight w:val="none"/>
                <w:vertAlign w:val="baseline"/>
                <w:lang w:val="en-US" w:eastAsia="zh-CN"/>
              </w:rPr>
              <w:t>职责</w:t>
            </w:r>
          </w:p>
        </w:tc>
        <w:tc>
          <w:tcPr>
            <w:tcW w:w="481" w:type="dxa"/>
            <w:vAlign w:val="center"/>
          </w:tcPr>
          <w:p>
            <w:pPr>
              <w:widowControl w:val="0"/>
              <w:spacing w:before="0" w:after="0" w:afterAutospacing="0" w:line="240" w:lineRule="auto"/>
              <w:ind w:left="0" w:right="0" w:firstLine="0"/>
              <w:jc w:val="center"/>
              <w:rPr>
                <w:rFonts w:hint="eastAsia" w:ascii="Times New Roman" w:hAnsi="Times New Roman" w:cs="Times New Roman" w:eastAsiaTheme="minorEastAsia"/>
                <w:b/>
                <w:bCs/>
                <w:color w:val="auto"/>
                <w:sz w:val="24"/>
                <w:szCs w:val="24"/>
                <w:highlight w:val="none"/>
                <w:vertAlign w:val="baseline"/>
                <w:lang w:val="en-US" w:eastAsia="zh-CN"/>
              </w:rPr>
            </w:pPr>
            <w:r>
              <w:rPr>
                <w:rFonts w:hint="eastAsia" w:ascii="Times New Roman" w:hAnsi="Times New Roman" w:eastAsia="Times New Roman" w:cs="Times New Roman"/>
                <w:b/>
                <w:bCs/>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1"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1280" w:type="dxa"/>
            <w:vAlign w:val="center"/>
          </w:tcPr>
          <w:p>
            <w:pPr>
              <w:widowControl w:val="0"/>
              <w:spacing w:before="0" w:after="0" w:afterAutospacing="0" w:line="240" w:lineRule="auto"/>
              <w:ind w:left="0" w:right="0" w:firstLine="0"/>
              <w:jc w:val="center"/>
              <w:rPr>
                <w:rFonts w:hint="default"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出入段（场）线地面洞口摄像机及配套设备采购、安装</w:t>
            </w:r>
          </w:p>
        </w:tc>
        <w:tc>
          <w:tcPr>
            <w:tcW w:w="3772"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南宁轨道交通1号线屯里车辆段及西乡塘停车场、2号线安吉综合基地及新村停车场、3号线心圩车辆段及新村停车场的每个</w:t>
            </w:r>
            <w:r>
              <w:rPr>
                <w:rFonts w:hint="eastAsia" w:ascii="宋体" w:hAnsi="宋体" w:cs="宋体"/>
                <w:color w:val="auto"/>
                <w:sz w:val="21"/>
                <w:szCs w:val="21"/>
                <w:highlight w:val="none"/>
                <w:vertAlign w:val="baseline"/>
                <w:lang w:val="en-US" w:eastAsia="zh-CN"/>
              </w:rPr>
              <w:t>出入段（场）线地面洞口</w:t>
            </w:r>
            <w:r>
              <w:rPr>
                <w:rFonts w:hint="eastAsia" w:ascii="宋体" w:hAnsi="宋体" w:eastAsia="宋体" w:cs="宋体"/>
                <w:color w:val="auto"/>
                <w:sz w:val="21"/>
                <w:szCs w:val="21"/>
                <w:highlight w:val="none"/>
                <w:vertAlign w:val="baseline"/>
                <w:lang w:val="en-US" w:eastAsia="zh-CN"/>
              </w:rPr>
              <w:t>各新增高清数字枪式摄像机1台,4号线五象车辆段</w:t>
            </w:r>
            <w:r>
              <w:rPr>
                <w:rFonts w:hint="eastAsia" w:ascii="宋体" w:hAnsi="宋体" w:cs="宋体"/>
                <w:color w:val="auto"/>
                <w:sz w:val="21"/>
                <w:szCs w:val="21"/>
                <w:highlight w:val="none"/>
                <w:vertAlign w:val="baseline"/>
                <w:lang w:val="en-US" w:eastAsia="zh-CN"/>
              </w:rPr>
              <w:t>出入段（场）线地面洞口</w:t>
            </w:r>
            <w:r>
              <w:rPr>
                <w:rFonts w:hint="eastAsia" w:ascii="宋体" w:hAnsi="宋体" w:eastAsia="宋体" w:cs="宋体"/>
                <w:color w:val="auto"/>
                <w:sz w:val="21"/>
                <w:szCs w:val="21"/>
                <w:highlight w:val="none"/>
                <w:vertAlign w:val="baseline"/>
                <w:lang w:val="en-US" w:eastAsia="zh-CN"/>
              </w:rPr>
              <w:t>新增高清数字枪式摄像机2台，包括但不限于含摄像机、摄像机配线箱、线缆、光模块、</w:t>
            </w:r>
            <w:r>
              <w:rPr>
                <w:rFonts w:hint="eastAsia" w:ascii="宋体" w:hAnsi="宋体" w:eastAsia="宋体" w:cs="宋体"/>
                <w:color w:val="auto"/>
                <w:kern w:val="0"/>
                <w:sz w:val="21"/>
                <w:szCs w:val="21"/>
                <w:highlight w:val="none"/>
                <w:shd w:val="clear"/>
                <w:lang w:val="en-US" w:eastAsia="zh-CN" w:bidi="ar-SA"/>
              </w:rPr>
              <w:t>光纤收发器</w:t>
            </w:r>
            <w:r>
              <w:rPr>
                <w:rFonts w:hint="eastAsia" w:ascii="宋体" w:hAnsi="宋体" w:eastAsia="宋体" w:cs="宋体"/>
                <w:color w:val="auto"/>
                <w:sz w:val="21"/>
                <w:szCs w:val="21"/>
                <w:highlight w:val="none"/>
                <w:vertAlign w:val="baseline"/>
                <w:lang w:val="en-US" w:eastAsia="zh-CN"/>
              </w:rPr>
              <w:t>、4芯光缆终端盒、摄像机壁式/悬挂式支架、开关电源、空开等设备的采购、安装。</w:t>
            </w:r>
          </w:p>
        </w:tc>
        <w:tc>
          <w:tcPr>
            <w:tcW w:w="1203"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负责设备的采购、搬运、安装、线缆敷设接入及调试等</w:t>
            </w:r>
          </w:p>
        </w:tc>
        <w:tc>
          <w:tcPr>
            <w:tcW w:w="1298"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配合乙方开展设备安装、接入及调试，负责作业的请销点及现场施工的监控。</w:t>
            </w:r>
          </w:p>
        </w:tc>
        <w:tc>
          <w:tcPr>
            <w:tcW w:w="481"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1"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p>
        </w:tc>
        <w:tc>
          <w:tcPr>
            <w:tcW w:w="1280"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车站</w:t>
            </w:r>
            <w:r>
              <w:rPr>
                <w:rFonts w:hint="eastAsia" w:cs="宋体" w:asciiTheme="minorEastAsia" w:hAnsiTheme="minorEastAsia" w:eastAsiaTheme="minorEastAsia"/>
                <w:color w:val="auto"/>
                <w:kern w:val="2"/>
                <w:sz w:val="21"/>
                <w:szCs w:val="21"/>
                <w:highlight w:val="none"/>
                <w:lang w:val="en-US" w:eastAsia="zh-CN" w:bidi="ar-SA"/>
              </w:rPr>
              <w:t>紧急疏散口</w:t>
            </w:r>
            <w:r>
              <w:rPr>
                <w:rFonts w:hint="eastAsia" w:ascii="宋体" w:hAnsi="宋体" w:cs="宋体"/>
                <w:color w:val="auto"/>
                <w:sz w:val="21"/>
                <w:szCs w:val="21"/>
                <w:highlight w:val="none"/>
                <w:vertAlign w:val="baseline"/>
                <w:lang w:val="en-US" w:eastAsia="zh-CN"/>
              </w:rPr>
              <w:t>摄像机及配套设备采购、安装</w:t>
            </w:r>
          </w:p>
        </w:tc>
        <w:tc>
          <w:tcPr>
            <w:tcW w:w="3772"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南宁轨道交通2号线西津站、玉洞站以及5号线</w:t>
            </w:r>
            <w:r>
              <w:rPr>
                <w:rFonts w:hint="eastAsia" w:cs="宋体" w:asciiTheme="minorEastAsia" w:hAnsiTheme="minorEastAsia" w:eastAsiaTheme="minorEastAsia"/>
                <w:color w:val="auto"/>
                <w:kern w:val="2"/>
                <w:sz w:val="21"/>
                <w:szCs w:val="21"/>
                <w:highlight w:val="none"/>
                <w:lang w:val="en-US" w:eastAsia="zh-CN" w:bidi="ar-SA"/>
              </w:rPr>
              <w:t>金桥客运站紧急疏散口</w:t>
            </w:r>
            <w:r>
              <w:rPr>
                <w:rFonts w:hint="eastAsia" w:ascii="宋体" w:hAnsi="宋体" w:eastAsia="宋体" w:cs="宋体"/>
                <w:color w:val="auto"/>
                <w:sz w:val="21"/>
                <w:szCs w:val="21"/>
                <w:highlight w:val="none"/>
                <w:vertAlign w:val="baseline"/>
                <w:lang w:val="en-US" w:eastAsia="zh-CN"/>
              </w:rPr>
              <w:t>各新增球型一体化高清摄像机1台，包括但不限于摄像机、摄像机配线箱、线缆、光模块、</w:t>
            </w:r>
            <w:r>
              <w:rPr>
                <w:rFonts w:hint="eastAsia" w:ascii="宋体" w:hAnsi="宋体" w:eastAsia="宋体" w:cs="宋体"/>
                <w:color w:val="auto"/>
                <w:kern w:val="0"/>
                <w:sz w:val="21"/>
                <w:szCs w:val="21"/>
                <w:highlight w:val="none"/>
                <w:shd w:val="clear"/>
                <w:lang w:val="en-US" w:eastAsia="zh-CN" w:bidi="ar-SA"/>
              </w:rPr>
              <w:t>光纤收发器</w:t>
            </w:r>
            <w:r>
              <w:rPr>
                <w:rFonts w:hint="eastAsia" w:ascii="宋体" w:hAnsi="宋体" w:eastAsia="宋体" w:cs="宋体"/>
                <w:color w:val="auto"/>
                <w:sz w:val="21"/>
                <w:szCs w:val="21"/>
                <w:highlight w:val="none"/>
                <w:vertAlign w:val="baseline"/>
                <w:lang w:val="en-US" w:eastAsia="zh-CN"/>
              </w:rPr>
              <w:t>、4芯光缆终端盒、摄像机壁式/悬挂式支架、立杆（含避雷针、接地等）、视频信号线防雷器、开关电源、空开等设备的采购、安装。</w:t>
            </w:r>
          </w:p>
        </w:tc>
        <w:tc>
          <w:tcPr>
            <w:tcW w:w="1203"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负责设备的采购、搬运、安装、线缆敷设接入及调试等</w:t>
            </w:r>
          </w:p>
        </w:tc>
        <w:tc>
          <w:tcPr>
            <w:tcW w:w="1298"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配合乙方开展设备安装、调试，负责作业的请销点及现场施工的监控。</w:t>
            </w:r>
          </w:p>
        </w:tc>
        <w:tc>
          <w:tcPr>
            <w:tcW w:w="481"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18"/>
                <w:szCs w:val="1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1"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w:t>
            </w:r>
          </w:p>
        </w:tc>
        <w:tc>
          <w:tcPr>
            <w:tcW w:w="1280" w:type="dxa"/>
            <w:vAlign w:val="center"/>
          </w:tcPr>
          <w:p>
            <w:pPr>
              <w:widowControl w:val="0"/>
              <w:spacing w:before="0" w:after="0" w:afterAutospacing="0" w:line="240" w:lineRule="auto"/>
              <w:ind w:left="0" w:right="0" w:firstLine="0"/>
              <w:jc w:val="center"/>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新增摄像机接入既有CCTV管理平台</w:t>
            </w:r>
            <w:r>
              <w:rPr>
                <w:rFonts w:hint="eastAsia" w:ascii="宋体" w:hAnsi="宋体" w:cs="宋体"/>
                <w:color w:val="auto"/>
                <w:sz w:val="21"/>
                <w:szCs w:val="21"/>
                <w:highlight w:val="none"/>
                <w:vertAlign w:val="baseline"/>
                <w:lang w:val="en-US" w:eastAsia="zh-CN"/>
              </w:rPr>
              <w:t>及调试</w:t>
            </w:r>
          </w:p>
        </w:tc>
        <w:tc>
          <w:tcPr>
            <w:tcW w:w="3772"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南宁轨道交通1、2、3、4、5号线新增摄像机接入既有CCTV管理平台及与综合监控专业的接口调试。</w:t>
            </w:r>
          </w:p>
        </w:tc>
        <w:tc>
          <w:tcPr>
            <w:tcW w:w="1203"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负责CCTV系统的调试。</w:t>
            </w:r>
          </w:p>
        </w:tc>
        <w:tc>
          <w:tcPr>
            <w:tcW w:w="1298"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配合乙方开展CCTV系统调试，负责作业的请销点及现场施工的监控。</w:t>
            </w:r>
          </w:p>
        </w:tc>
        <w:tc>
          <w:tcPr>
            <w:tcW w:w="481" w:type="dxa"/>
            <w:vAlign w:val="center"/>
          </w:tcPr>
          <w:p>
            <w:pPr>
              <w:widowControl w:val="0"/>
              <w:spacing w:before="0" w:after="0" w:afterAutospacing="0" w:line="240" w:lineRule="auto"/>
              <w:ind w:left="0" w:right="0" w:firstLine="0"/>
              <w:jc w:val="center"/>
              <w:rPr>
                <w:rFonts w:hint="eastAsia" w:ascii="宋体" w:hAnsi="宋体" w:eastAsia="宋体" w:cs="宋体"/>
                <w:color w:val="auto"/>
                <w:sz w:val="18"/>
                <w:szCs w:val="18"/>
                <w:highlight w:val="none"/>
                <w:vertAlign w:val="baseline"/>
                <w:lang w:val="en-US" w:eastAsia="zh-CN"/>
              </w:rPr>
            </w:pPr>
          </w:p>
        </w:tc>
      </w:tr>
    </w:tbl>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070" w:name="_Toc16992"/>
      <w:bookmarkStart w:id="2071" w:name="_Toc25820"/>
      <w:bookmarkStart w:id="2072" w:name="_Toc4478"/>
      <w:bookmarkStart w:id="2073" w:name="_Toc28803"/>
      <w:bookmarkStart w:id="2074" w:name="_Toc10354"/>
      <w:bookmarkStart w:id="2075" w:name="_Toc3266"/>
      <w:bookmarkStart w:id="2076" w:name="_Toc7661"/>
      <w:bookmarkStart w:id="2077" w:name="_Toc30560"/>
      <w:bookmarkStart w:id="2078" w:name="_Toc27236_WPSOffice_Level2"/>
      <w:bookmarkStart w:id="2079" w:name="_Toc26198"/>
      <w:r>
        <w:rPr>
          <w:rFonts w:hint="eastAsia" w:ascii="黑体" w:hAnsi="黑体" w:eastAsia="黑体" w:cs="黑体"/>
          <w:color w:val="auto"/>
          <w:kern w:val="2"/>
          <w:sz w:val="28"/>
          <w:szCs w:val="28"/>
          <w:highlight w:val="none"/>
          <w:lang w:val="en-US" w:eastAsia="zh-CN" w:bidi="ar-SA"/>
        </w:rPr>
        <w:t>项目安全管理</w:t>
      </w:r>
      <w:bookmarkEnd w:id="2070"/>
      <w:bookmarkEnd w:id="2071"/>
      <w:bookmarkEnd w:id="2072"/>
      <w:bookmarkEnd w:id="2073"/>
      <w:bookmarkEnd w:id="2074"/>
      <w:bookmarkEnd w:id="2075"/>
      <w:bookmarkEnd w:id="2076"/>
      <w:bookmarkEnd w:id="2077"/>
      <w:bookmarkEnd w:id="2078"/>
      <w:bookmarkEnd w:id="2079"/>
    </w:p>
    <w:p>
      <w:pPr>
        <w:widowControl w:val="0"/>
        <w:numPr>
          <w:ilvl w:val="0"/>
          <w:numId w:val="33"/>
        </w:numPr>
        <w:spacing w:before="0" w:after="0" w:afterAutospacing="0" w:line="360" w:lineRule="auto"/>
        <w:ind w:left="0" w:right="0" w:firstLine="397"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须严格遵守国家、地方、行业的相关法律、法规、规范、规程、标准及</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运营安全、服务、消防等管理方法和规章制度，对</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下发的文件、通知及会议纪要中涉及本项目的要求应无条件执行</w:t>
      </w:r>
      <w:r>
        <w:rPr>
          <w:rFonts w:hint="eastAsia" w:ascii="宋体" w:hAnsi="宋体" w:eastAsia="宋体" w:cs="Times New Roman"/>
          <w:color w:val="auto"/>
          <w:sz w:val="21"/>
          <w:szCs w:val="21"/>
          <w:highlight w:val="none"/>
          <w:lang w:eastAsia="zh-CN"/>
        </w:rPr>
        <w:t>。</w:t>
      </w:r>
    </w:p>
    <w:p>
      <w:pPr>
        <w:widowControl w:val="0"/>
        <w:numPr>
          <w:ilvl w:val="0"/>
          <w:numId w:val="33"/>
        </w:numPr>
        <w:spacing w:before="0" w:after="0" w:afterAutospacing="0" w:line="360" w:lineRule="auto"/>
        <w:ind w:left="0" w:leftChars="0" w:right="0" w:firstLine="397"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在</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过程中，凡因</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原因造成人员伤亡情况及因此导致的所有损失，均由</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自行负责。由此产生诉讼的，</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应独立应诉，承担一切诉讼后果，且</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仍对</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进行考核</w:t>
      </w:r>
      <w:r>
        <w:rPr>
          <w:rFonts w:hint="eastAsia" w:ascii="宋体" w:hAnsi="宋体" w:eastAsia="宋体" w:cs="Times New Roman"/>
          <w:color w:val="auto"/>
          <w:sz w:val="21"/>
          <w:szCs w:val="21"/>
          <w:highlight w:val="none"/>
          <w:lang w:eastAsia="zh-CN"/>
        </w:rPr>
        <w:t>。</w:t>
      </w:r>
    </w:p>
    <w:p>
      <w:pPr>
        <w:widowControl w:val="0"/>
        <w:numPr>
          <w:ilvl w:val="0"/>
          <w:numId w:val="33"/>
        </w:numPr>
        <w:spacing w:before="0" w:after="0" w:afterAutospacing="0" w:line="360" w:lineRule="auto"/>
        <w:ind w:left="0" w:right="0" w:firstLine="397"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对合同范围内所有工作失误或渎职而引发的事故事件负全部责任，承担因此给</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造成的直接和间接经济损失，且</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仍需对其进行考核</w:t>
      </w:r>
      <w:r>
        <w:rPr>
          <w:rFonts w:hint="eastAsia" w:ascii="宋体" w:hAnsi="宋体" w:eastAsia="宋体" w:cs="Times New Roman"/>
          <w:color w:val="auto"/>
          <w:sz w:val="21"/>
          <w:szCs w:val="21"/>
          <w:highlight w:val="none"/>
          <w:lang w:eastAsia="zh-CN"/>
        </w:rPr>
        <w:t>。</w:t>
      </w:r>
    </w:p>
    <w:p>
      <w:pPr>
        <w:widowControl w:val="0"/>
        <w:numPr>
          <w:ilvl w:val="0"/>
          <w:numId w:val="33"/>
        </w:numPr>
        <w:spacing w:before="0" w:after="0" w:afterAutospacing="0" w:line="360" w:lineRule="auto"/>
        <w:ind w:left="0" w:right="0" w:firstLine="397"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人员须严格遵守</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的企业标准《运营分公司施工管理规定》等相关施工管理规定，并必须按照施工规范、方案和各项安全操作规程进行作业</w:t>
      </w:r>
      <w:r>
        <w:rPr>
          <w:rFonts w:hint="eastAsia" w:ascii="宋体" w:hAnsi="宋体" w:eastAsia="宋体" w:cs="Times New Roman"/>
          <w:color w:val="auto"/>
          <w:sz w:val="21"/>
          <w:szCs w:val="21"/>
          <w:highlight w:val="none"/>
          <w:lang w:eastAsia="zh-CN"/>
        </w:rPr>
        <w:t>。</w:t>
      </w:r>
    </w:p>
    <w:p>
      <w:pPr>
        <w:widowControl w:val="0"/>
        <w:numPr>
          <w:ilvl w:val="0"/>
          <w:numId w:val="33"/>
        </w:numPr>
        <w:spacing w:before="0" w:after="0" w:afterAutospacing="0" w:line="360" w:lineRule="auto"/>
        <w:ind w:left="0" w:right="0" w:firstLine="397"/>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应该严格按照“安全第一、预防为主”的思想，不断地加强</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人员的安全教育，提高</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人员安全第一的责任感，把安全</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作为项目质量的基础保证。</w:t>
      </w:r>
    </w:p>
    <w:p>
      <w:pPr>
        <w:widowControl w:val="0"/>
        <w:numPr>
          <w:ilvl w:val="0"/>
          <w:numId w:val="33"/>
        </w:numPr>
        <w:spacing w:before="0" w:after="0" w:afterAutospacing="0" w:line="360" w:lineRule="auto"/>
        <w:ind w:left="0" w:right="0" w:firstLine="397"/>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人员须</w:t>
      </w:r>
      <w:r>
        <w:rPr>
          <w:rFonts w:hint="eastAsia" w:ascii="宋体" w:hAnsi="宋体" w:eastAsia="宋体" w:cs="Times New Roman"/>
          <w:color w:val="auto"/>
          <w:sz w:val="21"/>
          <w:szCs w:val="21"/>
          <w:highlight w:val="none"/>
          <w:lang w:val="en-US" w:eastAsia="zh-CN"/>
        </w:rPr>
        <w:t>参加乙方组织的</w:t>
      </w:r>
      <w:r>
        <w:rPr>
          <w:rFonts w:hint="eastAsia" w:ascii="宋体" w:hAnsi="宋体" w:eastAsia="宋体" w:cs="Times New Roman"/>
          <w:color w:val="auto"/>
          <w:sz w:val="21"/>
          <w:szCs w:val="21"/>
          <w:highlight w:val="none"/>
        </w:rPr>
        <w:t>施工作业班前班后会，了解</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地点的设备设施状况，</w:t>
      </w:r>
      <w:r>
        <w:rPr>
          <w:rFonts w:hint="eastAsia" w:ascii="宋体" w:hAnsi="宋体" w:eastAsia="宋体" w:cs="Times New Roman"/>
          <w:color w:val="auto"/>
          <w:sz w:val="21"/>
          <w:szCs w:val="21"/>
          <w:highlight w:val="none"/>
          <w:lang w:val="en-US" w:eastAsia="zh-CN"/>
        </w:rPr>
        <w:t>施工任务、施工的安全及技术风险点</w:t>
      </w:r>
      <w:r>
        <w:rPr>
          <w:rFonts w:hint="eastAsia" w:ascii="宋体" w:hAnsi="宋体" w:eastAsia="宋体" w:cs="Times New Roman"/>
          <w:color w:val="auto"/>
          <w:sz w:val="21"/>
          <w:szCs w:val="21"/>
          <w:highlight w:val="none"/>
        </w:rPr>
        <w:t>，未参会人员不得进入施工现场。</w:t>
      </w:r>
    </w:p>
    <w:p>
      <w:pPr>
        <w:widowControl w:val="0"/>
        <w:numPr>
          <w:ilvl w:val="0"/>
          <w:numId w:val="33"/>
        </w:numPr>
        <w:spacing w:before="0" w:after="0" w:afterAutospacing="0" w:line="360" w:lineRule="auto"/>
        <w:ind w:left="0" w:right="0" w:firstLine="397"/>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人员须持证上岗，做到：“不违章指挥、不违章操作、不伤害自己、不被别人伤害”，提高</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人员整体安全防护意识和自我防护能力。”</w:t>
      </w:r>
    </w:p>
    <w:p>
      <w:pPr>
        <w:widowControl w:val="0"/>
        <w:numPr>
          <w:ilvl w:val="0"/>
          <w:numId w:val="33"/>
        </w:numPr>
        <w:spacing w:before="0" w:after="0" w:afterAutospacing="0" w:line="360" w:lineRule="auto"/>
        <w:ind w:left="0" w:right="0" w:firstLine="397"/>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人员须熟悉掌握消防设备的性能和使用方法，不得乱动消防器材。作业现场杜绝火种，严禁烟火（吸烟）。若需动火作业，按《运营分公司消防安全管理办法》进行办理动火令，并按动火作业安全规定进行作业。</w:t>
      </w:r>
    </w:p>
    <w:p>
      <w:pPr>
        <w:widowControl w:val="0"/>
        <w:numPr>
          <w:ilvl w:val="0"/>
          <w:numId w:val="33"/>
        </w:numPr>
        <w:spacing w:before="0" w:after="0" w:afterAutospacing="0" w:line="360" w:lineRule="auto"/>
        <w:ind w:left="0" w:right="0" w:firstLine="397"/>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人员进入</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现场，必须遵守劳动纪律，服从施工负责人的指挥，按要求穿戴劳保防护用品，严禁在施工场地睡觉、嬉戏，严禁未做安全防护的人员进入施工现场。</w:t>
      </w:r>
    </w:p>
    <w:p>
      <w:pPr>
        <w:widowControl w:val="0"/>
        <w:numPr>
          <w:ilvl w:val="0"/>
          <w:numId w:val="33"/>
        </w:numPr>
        <w:spacing w:before="0" w:after="0" w:afterAutospacing="0" w:line="360" w:lineRule="auto"/>
        <w:ind w:left="0" w:right="0" w:firstLine="397"/>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人员不得损坏及影响地铁设备设施的正常运行，对可能造成影响的设备设施做好安全防护，制定应急处置预案，如发生影响设备设施运行的情况，</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应立即通知</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，配合</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进行现场处置及事后调查工作。</w:t>
      </w:r>
    </w:p>
    <w:p>
      <w:pPr>
        <w:widowControl w:val="0"/>
        <w:numPr>
          <w:ilvl w:val="0"/>
          <w:numId w:val="33"/>
        </w:numPr>
        <w:spacing w:before="0" w:after="0" w:afterAutospacing="0" w:line="360" w:lineRule="auto"/>
        <w:ind w:left="0" w:right="0" w:firstLine="397"/>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人员须在作业结束前30分钟做好现场出清工作，</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过程必须严格遵守</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管理制度，以防事故的发生。</w:t>
      </w:r>
    </w:p>
    <w:p>
      <w:pPr>
        <w:widowControl w:val="0"/>
        <w:numPr>
          <w:ilvl w:val="0"/>
          <w:numId w:val="33"/>
        </w:numPr>
        <w:spacing w:before="0" w:after="0" w:afterAutospacing="0" w:line="360" w:lineRule="auto"/>
        <w:ind w:left="0" w:right="0" w:firstLine="397"/>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须与</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签订安全责任状及保密协议，并按要求参加</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组织的安全教育考试。</w:t>
      </w:r>
    </w:p>
    <w:p>
      <w:pPr>
        <w:widowControl w:val="0"/>
        <w:numPr>
          <w:ilvl w:val="0"/>
          <w:numId w:val="33"/>
        </w:numPr>
        <w:spacing w:before="0" w:after="0" w:afterAutospacing="0" w:line="360" w:lineRule="auto"/>
        <w:ind w:left="0" w:right="0" w:firstLine="397"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高空作业要有切实可行的安全保证措施。须搭设脚手架时各类脚手架严格按照规范要求搭设，搭设完成后，经安全检验合格后方可使用。高空作业必须系安全带、戴安全帽；不得穿硬底或带钉的鞋，不得往下投掷物料。</w:t>
      </w:r>
    </w:p>
    <w:p>
      <w:pPr>
        <w:widowControl w:val="0"/>
        <w:numPr>
          <w:ilvl w:val="0"/>
          <w:numId w:val="33"/>
        </w:numPr>
        <w:spacing w:before="0" w:after="0" w:afterAutospacing="0" w:line="360" w:lineRule="auto"/>
        <w:ind w:left="0" w:right="0" w:firstLine="397"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严禁</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使用列车、扶梯、垂直电梯搬运超大、超重工器具，乘车携带工具包须要配合安检。</w:t>
      </w:r>
    </w:p>
    <w:p>
      <w:pPr>
        <w:widowControl w:val="0"/>
        <w:numPr>
          <w:ilvl w:val="0"/>
          <w:numId w:val="33"/>
        </w:numPr>
        <w:spacing w:before="0" w:after="0" w:afterAutospacing="0" w:line="360" w:lineRule="auto"/>
        <w:ind w:left="0" w:right="0" w:firstLine="397"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凡因</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员工违反国家卫生健康委员会、广西壮族自治区卫生健康委员会和南宁市卫生健康委员会关于疫情防控的相关最新规定，发生疫情或对</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产生负面影响的，由</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承担由此带来的全部后果，产生的相关费用由</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自行承担。</w:t>
      </w:r>
    </w:p>
    <w:p>
      <w:pPr>
        <w:widowControl w:val="0"/>
        <w:numPr>
          <w:ilvl w:val="0"/>
          <w:numId w:val="33"/>
        </w:numPr>
        <w:spacing w:before="0" w:after="0" w:afterAutospacing="0" w:line="360" w:lineRule="auto"/>
        <w:ind w:left="0" w:right="0" w:firstLine="397" w:firstLineChars="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作业安全注意事项：</w:t>
      </w:r>
    </w:p>
    <w:p>
      <w:pPr>
        <w:widowControl w:val="0"/>
        <w:numPr>
          <w:ilvl w:val="0"/>
          <w:numId w:val="34"/>
        </w:numPr>
        <w:tabs>
          <w:tab w:val="left" w:pos="0"/>
        </w:tabs>
        <w:spacing w:before="0" w:after="0" w:afterAutospacing="0" w:line="360" w:lineRule="auto"/>
        <w:ind w:left="0" w:leftChars="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穿戴好劳保用品，并根据作业性质及要求采用其</w:t>
      </w:r>
      <w:r>
        <w:rPr>
          <w:rFonts w:hint="eastAsia" w:ascii="宋体" w:hAnsi="宋体" w:eastAsia="宋体" w:cs="Times New Roman"/>
          <w:color w:val="auto"/>
          <w:sz w:val="21"/>
          <w:szCs w:val="21"/>
          <w:highlight w:val="none"/>
          <w:lang w:eastAsia="zh-CN"/>
        </w:rPr>
        <w:t>他</w:t>
      </w:r>
      <w:r>
        <w:rPr>
          <w:rFonts w:hint="eastAsia" w:ascii="宋体" w:hAnsi="宋体" w:eastAsia="宋体" w:cs="Times New Roman"/>
          <w:color w:val="auto"/>
          <w:sz w:val="21"/>
          <w:szCs w:val="21"/>
          <w:highlight w:val="none"/>
        </w:rPr>
        <w:t>安全防护措施</w:t>
      </w:r>
      <w:r>
        <w:rPr>
          <w:rFonts w:hint="eastAsia" w:ascii="宋体" w:hAnsi="宋体" w:eastAsia="宋体" w:cs="Times New Roman"/>
          <w:color w:val="auto"/>
          <w:sz w:val="21"/>
          <w:szCs w:val="21"/>
          <w:highlight w:val="none"/>
          <w:lang w:eastAsia="zh-CN"/>
        </w:rPr>
        <w:t>。</w:t>
      </w:r>
    </w:p>
    <w:p>
      <w:pPr>
        <w:widowControl w:val="0"/>
        <w:numPr>
          <w:ilvl w:val="0"/>
          <w:numId w:val="34"/>
        </w:numPr>
        <w:tabs>
          <w:tab w:val="left" w:pos="0"/>
        </w:tabs>
        <w:spacing w:before="0" w:after="0" w:afterAutospacing="0" w:line="360" w:lineRule="auto"/>
        <w:ind w:left="0" w:leftChars="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施工前做好防护，施工后做好机具、材料、人员出清</w:t>
      </w:r>
      <w:r>
        <w:rPr>
          <w:rFonts w:hint="eastAsia" w:ascii="宋体" w:hAnsi="宋体" w:eastAsia="宋体" w:cs="Times New Roman"/>
          <w:color w:val="auto"/>
          <w:sz w:val="21"/>
          <w:szCs w:val="21"/>
          <w:highlight w:val="none"/>
          <w:lang w:eastAsia="zh-CN"/>
        </w:rPr>
        <w:t>。</w:t>
      </w:r>
    </w:p>
    <w:p>
      <w:pPr>
        <w:widowControl w:val="0"/>
        <w:numPr>
          <w:ilvl w:val="0"/>
          <w:numId w:val="34"/>
        </w:numPr>
        <w:tabs>
          <w:tab w:val="left" w:pos="0"/>
        </w:tabs>
        <w:spacing w:before="0" w:after="0" w:afterAutospacing="0" w:line="360" w:lineRule="auto"/>
        <w:ind w:left="0" w:leftChars="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影响到其他专业设备的施工，应通知设备归属专业配合</w:t>
      </w:r>
      <w:r>
        <w:rPr>
          <w:rFonts w:hint="eastAsia" w:ascii="宋体" w:hAnsi="宋体" w:eastAsia="宋体" w:cs="Times New Roman"/>
          <w:color w:val="auto"/>
          <w:sz w:val="21"/>
          <w:szCs w:val="21"/>
          <w:highlight w:val="none"/>
          <w:lang w:eastAsia="zh-CN"/>
        </w:rPr>
        <w:t>。</w:t>
      </w:r>
    </w:p>
    <w:p>
      <w:pPr>
        <w:widowControl w:val="0"/>
        <w:numPr>
          <w:ilvl w:val="0"/>
          <w:numId w:val="34"/>
        </w:numPr>
        <w:tabs>
          <w:tab w:val="left" w:pos="0"/>
        </w:tabs>
        <w:spacing w:before="0" w:after="0" w:afterAutospacing="0" w:line="360" w:lineRule="auto"/>
        <w:ind w:left="0" w:leftChars="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电钻或电镐等手持电动工具，在使用前应采取保护性接地或接零的措施</w:t>
      </w:r>
      <w:r>
        <w:rPr>
          <w:rFonts w:hint="eastAsia" w:ascii="宋体" w:hAnsi="宋体" w:eastAsia="宋体" w:cs="Times New Roman"/>
          <w:color w:val="auto"/>
          <w:sz w:val="21"/>
          <w:szCs w:val="21"/>
          <w:highlight w:val="none"/>
          <w:lang w:eastAsia="zh-CN"/>
        </w:rPr>
        <w:t>。</w:t>
      </w:r>
    </w:p>
    <w:p>
      <w:pPr>
        <w:widowControl w:val="0"/>
        <w:spacing w:before="0" w:after="0" w:afterAutospacing="0" w:line="240" w:lineRule="auto"/>
        <w:ind w:left="0" w:right="0" w:firstLine="0"/>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在带电设施附近工作时，禁止使用金属卷尺测量</w:t>
      </w:r>
      <w:r>
        <w:rPr>
          <w:rFonts w:hint="eastAsia" w:ascii="宋体" w:hAnsi="宋体" w:eastAsia="宋体" w:cs="Times New Roman"/>
          <w:color w:val="auto"/>
          <w:sz w:val="21"/>
          <w:szCs w:val="21"/>
          <w:highlight w:val="none"/>
          <w:lang w:eastAsia="zh-CN"/>
        </w:rPr>
        <w:t>。</w:t>
      </w:r>
    </w:p>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080" w:name="_Toc7706"/>
      <w:bookmarkStart w:id="2081" w:name="_Toc2880_WPSOffice_Level2"/>
      <w:bookmarkStart w:id="2082" w:name="_Toc17043"/>
      <w:bookmarkStart w:id="2083" w:name="_Toc10687"/>
      <w:bookmarkStart w:id="2084" w:name="_Toc24094"/>
      <w:bookmarkStart w:id="2085" w:name="_Toc1008"/>
      <w:bookmarkStart w:id="2086" w:name="_Toc19749"/>
      <w:bookmarkStart w:id="2087" w:name="_Toc28921"/>
      <w:bookmarkStart w:id="2088" w:name="_Toc5169"/>
      <w:bookmarkStart w:id="2089" w:name="_Toc20392"/>
      <w:r>
        <w:rPr>
          <w:rFonts w:hint="eastAsia" w:ascii="黑体" w:hAnsi="黑体" w:eastAsia="黑体" w:cs="黑体"/>
          <w:color w:val="auto"/>
          <w:kern w:val="2"/>
          <w:sz w:val="28"/>
          <w:szCs w:val="28"/>
          <w:highlight w:val="none"/>
          <w:lang w:val="en-US" w:eastAsia="zh-CN" w:bidi="ar-SA"/>
        </w:rPr>
        <w:t>项目质量管理</w:t>
      </w:r>
      <w:bookmarkEnd w:id="2080"/>
      <w:bookmarkEnd w:id="2081"/>
      <w:bookmarkEnd w:id="2082"/>
      <w:bookmarkEnd w:id="2083"/>
      <w:bookmarkEnd w:id="2084"/>
      <w:bookmarkEnd w:id="2085"/>
      <w:bookmarkEnd w:id="2086"/>
      <w:bookmarkEnd w:id="2087"/>
      <w:bookmarkEnd w:id="2088"/>
      <w:bookmarkEnd w:id="2089"/>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090" w:name="_Toc28728"/>
      <w:bookmarkStart w:id="2091" w:name="_Toc28062"/>
      <w:bookmarkStart w:id="2092" w:name="_Toc4588_WPSOffice_Level3"/>
      <w:r>
        <w:rPr>
          <w:rFonts w:hint="eastAsia" w:ascii="黑体" w:hAnsi="黑体" w:eastAsia="黑体" w:cs="宋体"/>
          <w:bCs/>
          <w:color w:val="auto"/>
          <w:sz w:val="24"/>
          <w:szCs w:val="24"/>
          <w:highlight w:val="none"/>
          <w:lang w:val="en-US" w:eastAsia="zh-CN" w:bidi="ar-SA"/>
        </w:rPr>
        <w:t>质量管理</w:t>
      </w:r>
      <w:r>
        <w:rPr>
          <w:rFonts w:ascii="黑体" w:hAnsi="黑体" w:eastAsia="黑体" w:cs="宋体"/>
          <w:bCs/>
          <w:color w:val="auto"/>
          <w:sz w:val="24"/>
          <w:szCs w:val="24"/>
          <w:highlight w:val="none"/>
          <w:lang w:val="en-US" w:eastAsia="zh-CN" w:bidi="ar-SA"/>
        </w:rPr>
        <w:t>要求</w:t>
      </w:r>
      <w:bookmarkEnd w:id="2090"/>
      <w:bookmarkEnd w:id="2091"/>
      <w:bookmarkEnd w:id="2092"/>
    </w:p>
    <w:p>
      <w:pPr>
        <w:widowControl w:val="0"/>
        <w:numPr>
          <w:ilvl w:val="0"/>
          <w:numId w:val="35"/>
        </w:numPr>
        <w:spacing w:before="0" w:after="0" w:afterAutospacing="0" w:line="360" w:lineRule="auto"/>
        <w:ind w:left="0" w:righ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用于</w:t>
      </w:r>
      <w:r>
        <w:rPr>
          <w:rFonts w:ascii="宋体" w:hAnsi="宋体" w:eastAsia="宋体" w:cs="宋体"/>
          <w:color w:val="auto"/>
          <w:sz w:val="21"/>
          <w:szCs w:val="21"/>
          <w:highlight w:val="none"/>
        </w:rPr>
        <w:t>本项目的所有设备</w:t>
      </w:r>
      <w:r>
        <w:rPr>
          <w:rFonts w:hint="eastAsia" w:ascii="宋体" w:hAnsi="宋体" w:eastAsia="宋体" w:cs="宋体"/>
          <w:color w:val="auto"/>
          <w:sz w:val="21"/>
          <w:szCs w:val="21"/>
          <w:highlight w:val="none"/>
        </w:rPr>
        <w:t>及</w:t>
      </w:r>
      <w:r>
        <w:rPr>
          <w:rFonts w:ascii="宋体" w:hAnsi="宋体" w:eastAsia="宋体" w:cs="宋体"/>
          <w:color w:val="auto"/>
          <w:sz w:val="21"/>
          <w:szCs w:val="21"/>
          <w:highlight w:val="none"/>
        </w:rPr>
        <w:t>材料必须为</w:t>
      </w:r>
      <w:r>
        <w:rPr>
          <w:rFonts w:hint="eastAsia" w:ascii="宋体" w:hAnsi="宋体" w:eastAsia="宋体" w:cs="宋体"/>
          <w:color w:val="auto"/>
          <w:sz w:val="21"/>
          <w:szCs w:val="21"/>
          <w:highlight w:val="none"/>
        </w:rPr>
        <w:t>质量优良</w:t>
      </w:r>
      <w:r>
        <w:rPr>
          <w:rFonts w:ascii="宋体" w:hAnsi="宋体" w:eastAsia="宋体" w:cs="宋体"/>
          <w:color w:val="auto"/>
          <w:sz w:val="21"/>
          <w:szCs w:val="21"/>
          <w:highlight w:val="none"/>
        </w:rPr>
        <w:t>的全新</w:t>
      </w:r>
      <w:r>
        <w:rPr>
          <w:rFonts w:hint="eastAsia" w:ascii="宋体" w:hAnsi="宋体" w:eastAsia="宋体" w:cs="宋体"/>
          <w:color w:val="auto"/>
          <w:sz w:val="21"/>
          <w:szCs w:val="21"/>
          <w:highlight w:val="none"/>
        </w:rPr>
        <w:t>设备</w:t>
      </w:r>
      <w:r>
        <w:rPr>
          <w:rFonts w:ascii="宋体" w:hAnsi="宋体" w:eastAsia="宋体" w:cs="宋体"/>
          <w:color w:val="auto"/>
          <w:sz w:val="21"/>
          <w:szCs w:val="21"/>
          <w:highlight w:val="none"/>
        </w:rPr>
        <w:t>及材料</w:t>
      </w:r>
      <w:r>
        <w:rPr>
          <w:rFonts w:hint="eastAsia" w:ascii="宋体" w:hAnsi="宋体" w:eastAsia="宋体" w:cs="宋体"/>
          <w:color w:val="auto"/>
          <w:sz w:val="21"/>
          <w:szCs w:val="21"/>
          <w:highlight w:val="none"/>
        </w:rPr>
        <w:t>，</w:t>
      </w:r>
      <w:r>
        <w:rPr>
          <w:rFonts w:ascii="宋体" w:hAnsi="宋体" w:eastAsia="宋体" w:cs="宋体"/>
          <w:color w:val="auto"/>
          <w:sz w:val="21"/>
          <w:szCs w:val="21"/>
          <w:highlight w:val="none"/>
        </w:rPr>
        <w:t>有明确的</w:t>
      </w:r>
      <w:r>
        <w:rPr>
          <w:rFonts w:hint="eastAsia" w:ascii="宋体" w:hAnsi="宋体" w:eastAsia="宋体" w:cs="宋体"/>
          <w:color w:val="auto"/>
          <w:sz w:val="21"/>
          <w:szCs w:val="21"/>
          <w:highlight w:val="none"/>
        </w:rPr>
        <w:t>生产日期</w:t>
      </w:r>
      <w:r>
        <w:rPr>
          <w:rFonts w:ascii="宋体" w:hAnsi="宋体" w:eastAsia="宋体" w:cs="宋体"/>
          <w:color w:val="auto"/>
          <w:sz w:val="21"/>
          <w:szCs w:val="21"/>
          <w:highlight w:val="none"/>
        </w:rPr>
        <w:t>和合格证。</w:t>
      </w:r>
    </w:p>
    <w:p>
      <w:pPr>
        <w:widowControl w:val="0"/>
        <w:numPr>
          <w:ilvl w:val="0"/>
          <w:numId w:val="35"/>
        </w:numPr>
        <w:spacing w:before="0" w:after="0" w:afterAutospacing="0" w:line="360" w:lineRule="auto"/>
        <w:ind w:left="0" w:righ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用于本项目的所有设备设施，必须符合国家标准与行业规范，确保其达到质量、安全、环保等要求，其质量、型号尺寸、材质、颜色、档次等与</w:t>
      </w:r>
      <w:r>
        <w:rPr>
          <w:rFonts w:hint="eastAsia" w:ascii="宋体" w:hAnsi="宋体" w:eastAsia="宋体" w:cs="宋体"/>
          <w:color w:val="auto"/>
          <w:sz w:val="21"/>
          <w:szCs w:val="21"/>
          <w:highlight w:val="none"/>
          <w:lang w:val="en-US" w:eastAsia="zh-CN"/>
        </w:rPr>
        <w:t>既有</w:t>
      </w:r>
      <w:r>
        <w:rPr>
          <w:rFonts w:hint="eastAsia" w:ascii="宋体" w:hAnsi="宋体" w:eastAsia="宋体" w:cs="宋体"/>
          <w:color w:val="auto"/>
          <w:sz w:val="21"/>
          <w:szCs w:val="21"/>
          <w:highlight w:val="none"/>
        </w:rPr>
        <w:t>原有设备设施保持一致且须符合</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要求才准进场。如需更换设备设施型号、材质等必须提前将更换说明函、保证函等证明材料提交至</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备案，并征得</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同意后方可实施。</w:t>
      </w:r>
    </w:p>
    <w:p>
      <w:pPr>
        <w:widowControl w:val="0"/>
        <w:numPr>
          <w:ilvl w:val="0"/>
          <w:numId w:val="35"/>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必须按照设计文件和国家现行的技术标准、规范、暂行规定以及本项目的有关规定进行施工。</w:t>
      </w:r>
    </w:p>
    <w:p>
      <w:pPr>
        <w:widowControl w:val="0"/>
        <w:numPr>
          <w:ilvl w:val="0"/>
          <w:numId w:val="35"/>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对本项目所采用的标准和规范的任何部分，当</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提出变更建议改用其他标准和规范，同样能够保证工期及工程达到相同或更高质量时，经报</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审批后，也可采用。但此项批准并不免除</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根据合同规定的任何责任。</w:t>
      </w:r>
    </w:p>
    <w:p>
      <w:pPr>
        <w:widowControl w:val="0"/>
        <w:numPr>
          <w:ilvl w:val="0"/>
          <w:numId w:val="35"/>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施工安全、环保、消防、防汛和劳动保护等，要符合国家现行的有关强制性标准的规定以及</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根据地方政府的规定、要求所制定的规定。</w:t>
      </w:r>
    </w:p>
    <w:p>
      <w:pPr>
        <w:widowControl w:val="0"/>
        <w:numPr>
          <w:ilvl w:val="0"/>
          <w:numId w:val="35"/>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施工中采用和推广经批准的新技术、新材料、新工艺，应制定不低于现行国家或部级行业规范水平的质量标准和工艺要求。</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在工程中所用设备、材料应符合用户需求及国家现行标准。</w:t>
      </w:r>
    </w:p>
    <w:p>
      <w:pPr>
        <w:widowControl w:val="0"/>
        <w:numPr>
          <w:ilvl w:val="0"/>
          <w:numId w:val="35"/>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应按照</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的管理要求，对设备、材料制作统一标准的标识，安装在相应的设备上。</w:t>
      </w:r>
    </w:p>
    <w:p>
      <w:pPr>
        <w:widowControl w:val="0"/>
        <w:numPr>
          <w:ilvl w:val="0"/>
          <w:numId w:val="35"/>
        </w:numPr>
        <w:tabs>
          <w:tab w:val="left" w:pos="0"/>
        </w:tabs>
        <w:spacing w:before="0" w:after="0" w:afterAutospacing="0" w:line="360" w:lineRule="auto"/>
        <w:ind w:left="0" w:right="0" w:firstLine="420" w:firstLineChars="200"/>
        <w:rPr>
          <w:rFonts w:ascii="宋体" w:hAnsi="宋体" w:eastAsia="宋体" w:cs="宋体"/>
          <w:color w:val="auto"/>
          <w:sz w:val="21"/>
          <w:szCs w:val="21"/>
          <w:highlight w:val="none"/>
        </w:rPr>
      </w:pPr>
      <w:r>
        <w:rPr>
          <w:rFonts w:hint="eastAsia" w:ascii="宋体" w:hAnsi="宋体" w:eastAsia="宋体" w:cs="Times New Roman"/>
          <w:color w:val="auto"/>
          <w:sz w:val="21"/>
          <w:szCs w:val="21"/>
          <w:highlight w:val="none"/>
        </w:rPr>
        <w:t>所有设备及材料运抵现场时，</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应提供产品数量清单及质量证明，附有设备材料来源证、质检合格证书供</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检查。</w:t>
      </w:r>
      <w:r>
        <w:rPr>
          <w:rFonts w:hint="eastAsia" w:ascii="宋体" w:hAnsi="宋体" w:eastAsia="宋体" w:cs="宋体"/>
          <w:color w:val="auto"/>
          <w:sz w:val="21"/>
          <w:szCs w:val="21"/>
          <w:highlight w:val="none"/>
        </w:rPr>
        <w:t>如对消防及防雷等有特殊要求的，还应附上国家指定的相关检测部门出具的检测报告及本地相关部门出具的允许使用的证明文件。</w:t>
      </w:r>
      <w:r>
        <w:rPr>
          <w:rFonts w:hint="eastAsia" w:ascii="宋体" w:hAnsi="宋体" w:eastAsia="宋体" w:cs="Times New Roman"/>
          <w:color w:val="auto"/>
          <w:sz w:val="21"/>
          <w:szCs w:val="21"/>
          <w:highlight w:val="none"/>
        </w:rPr>
        <w:t>如有需要，</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应协助</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取样送检，所有取样及检测费用由</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负责。</w:t>
      </w:r>
      <w:r>
        <w:rPr>
          <w:rFonts w:hint="eastAsia" w:ascii="宋体" w:hAnsi="宋体" w:eastAsia="宋体" w:cs="宋体"/>
          <w:color w:val="auto"/>
          <w:sz w:val="21"/>
          <w:szCs w:val="21"/>
          <w:highlight w:val="none"/>
        </w:rPr>
        <w:t>此检测和试验并不减轻</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的任何责任（包括但不限于价格、质量、工期、服务等），</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必须完全满足本用户需求书要求，并对其承担全部责任。</w:t>
      </w:r>
    </w:p>
    <w:p>
      <w:pPr>
        <w:widowControl w:val="0"/>
        <w:numPr>
          <w:ilvl w:val="0"/>
          <w:numId w:val="35"/>
        </w:numPr>
        <w:spacing w:before="0" w:after="0" w:afterAutospacing="0" w:line="360" w:lineRule="auto"/>
        <w:ind w:left="0" w:righ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本用户需求书的设备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材料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工程量</w:t>
      </w:r>
      <w:r>
        <w:rPr>
          <w:rFonts w:hint="eastAsia" w:ascii="宋体" w:hAnsi="宋体" w:eastAsia="宋体" w:cs="宋体"/>
          <w:color w:val="auto"/>
          <w:sz w:val="21"/>
          <w:szCs w:val="21"/>
          <w:highlight w:val="none"/>
        </w:rPr>
        <w:t>清单仅作为</w:t>
      </w:r>
      <w:r>
        <w:rPr>
          <w:rFonts w:hint="eastAsia" w:ascii="宋体" w:hAnsi="宋体" w:cs="宋体"/>
          <w:color w:val="auto"/>
          <w:sz w:val="21"/>
          <w:szCs w:val="21"/>
          <w:highlight w:val="none"/>
          <w:lang w:eastAsia="zh-CN"/>
        </w:rPr>
        <w:t>比选</w:t>
      </w:r>
      <w:r>
        <w:rPr>
          <w:rFonts w:hint="eastAsia" w:ascii="宋体" w:hAnsi="宋体" w:eastAsia="宋体" w:cs="宋体"/>
          <w:color w:val="auto"/>
          <w:sz w:val="21"/>
          <w:szCs w:val="21"/>
          <w:highlight w:val="none"/>
        </w:rPr>
        <w:t>使用，项目施工时以现场施工</w:t>
      </w:r>
      <w:r>
        <w:rPr>
          <w:rFonts w:hint="eastAsia" w:ascii="宋体" w:hAnsi="宋体" w:eastAsia="宋体" w:cs="宋体"/>
          <w:color w:val="auto"/>
          <w:sz w:val="21"/>
          <w:szCs w:val="21"/>
          <w:highlight w:val="none"/>
          <w:lang w:val="en-US" w:eastAsia="zh-CN"/>
        </w:rPr>
        <w:t>方案</w:t>
      </w:r>
      <w:r>
        <w:rPr>
          <w:rFonts w:hint="eastAsia" w:ascii="宋体" w:hAnsi="宋体" w:eastAsia="宋体" w:cs="宋体"/>
          <w:color w:val="auto"/>
          <w:sz w:val="21"/>
          <w:szCs w:val="21"/>
          <w:highlight w:val="none"/>
        </w:rPr>
        <w:t>为准。投标时</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应对本项目充分考虑，准确预计设备及材料数量，</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将对设备及材料数量完全负责。本项目包含的所有设备、材料供货及相关服务发生的全部费用应包含在投标总价中，工程质量标准不得降低，总价将不进行调整。</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只有在得到</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的书面接收证明后，整个工程才能算完成。</w:t>
      </w:r>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093" w:name="_Toc3889_WPSOffice_Level3"/>
      <w:bookmarkStart w:id="2094" w:name="_Toc4994"/>
      <w:bookmarkStart w:id="2095" w:name="_Toc22159"/>
      <w:r>
        <w:rPr>
          <w:rFonts w:hint="eastAsia" w:ascii="黑体" w:hAnsi="黑体" w:eastAsia="黑体" w:cs="宋体"/>
          <w:bCs/>
          <w:color w:val="auto"/>
          <w:sz w:val="24"/>
          <w:szCs w:val="24"/>
          <w:highlight w:val="none"/>
          <w:lang w:val="en-US" w:eastAsia="zh-CN" w:bidi="ar-SA"/>
        </w:rPr>
        <w:t>设备设施安装</w:t>
      </w:r>
      <w:r>
        <w:rPr>
          <w:rFonts w:ascii="黑体" w:hAnsi="黑体" w:eastAsia="黑体" w:cs="宋体"/>
          <w:bCs/>
          <w:color w:val="auto"/>
          <w:sz w:val="24"/>
          <w:szCs w:val="24"/>
          <w:highlight w:val="none"/>
          <w:lang w:val="en-US" w:eastAsia="zh-CN" w:bidi="ar-SA"/>
        </w:rPr>
        <w:t>质量标准</w:t>
      </w:r>
      <w:bookmarkEnd w:id="2093"/>
      <w:bookmarkEnd w:id="2094"/>
      <w:bookmarkEnd w:id="2095"/>
    </w:p>
    <w:p>
      <w:pPr>
        <w:pStyle w:val="7"/>
        <w:numPr>
          <w:ilvl w:val="3"/>
          <w:numId w:val="26"/>
        </w:numPr>
        <w:spacing w:before="0" w:after="0" w:afterAutospacing="0"/>
        <w:ind w:left="0" w:right="0" w:firstLine="0"/>
        <w:rPr>
          <w:color w:val="auto"/>
          <w:highlight w:val="none"/>
        </w:rPr>
      </w:pPr>
      <w:r>
        <w:rPr>
          <w:rFonts w:hint="eastAsia"/>
          <w:color w:val="auto"/>
          <w:highlight w:val="none"/>
          <w:lang w:val="en-US" w:eastAsia="zh-CN"/>
        </w:rPr>
        <w:t>通用标准</w:t>
      </w:r>
    </w:p>
    <w:p>
      <w:pPr>
        <w:widowControl w:val="0"/>
        <w:numPr>
          <w:ilvl w:val="0"/>
          <w:numId w:val="36"/>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所有孔洞使用防火泥、水泥封堵完好。防火封堵材料满足耐水、耐油、耐腐蚀、使用寿命长等要求。</w:t>
      </w:r>
    </w:p>
    <w:p>
      <w:pPr>
        <w:widowControl w:val="0"/>
        <w:numPr>
          <w:ilvl w:val="0"/>
          <w:numId w:val="36"/>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设备设施安装质量不符合</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要求的须在15日内完成整改。</w:t>
      </w:r>
    </w:p>
    <w:p>
      <w:pPr>
        <w:pStyle w:val="7"/>
        <w:numPr>
          <w:ilvl w:val="3"/>
          <w:numId w:val="26"/>
        </w:numPr>
        <w:spacing w:before="0" w:after="0" w:afterAutospacing="0"/>
        <w:ind w:left="0" w:right="0" w:firstLine="0"/>
        <w:rPr>
          <w:color w:val="auto"/>
          <w:highlight w:val="none"/>
        </w:rPr>
      </w:pPr>
      <w:r>
        <w:rPr>
          <w:rFonts w:hint="eastAsia"/>
          <w:color w:val="auto"/>
          <w:highlight w:val="none"/>
          <w:lang w:val="en-US" w:eastAsia="zh-CN"/>
        </w:rPr>
        <w:t>CCTV安装质量标准</w:t>
      </w:r>
    </w:p>
    <w:p>
      <w:pPr>
        <w:widowControl w:val="0"/>
        <w:numPr>
          <w:ilvl w:val="0"/>
          <w:numId w:val="37"/>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摄像机数量、规格型号、安装位置、安装高度、质量、材质须满足设计要求。</w:t>
      </w:r>
    </w:p>
    <w:p>
      <w:pPr>
        <w:widowControl w:val="0"/>
        <w:numPr>
          <w:ilvl w:val="0"/>
          <w:numId w:val="37"/>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摄像机安装位置要合理，避免安装在上方有风口、出水口等位置，高压电气设备房内摄像机应安装在安全距离外，同时留有检修空间。摄像机点位部署时应避免其它设备等遮挡，避开强光源直射。</w:t>
      </w:r>
    </w:p>
    <w:p>
      <w:pPr>
        <w:widowControl w:val="0"/>
        <w:numPr>
          <w:ilvl w:val="0"/>
          <w:numId w:val="37"/>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摄像机吊杆须使用热镀锌膨胀螺栓固定在吊顶上，室外摄像机需要安装防雷装置。</w:t>
      </w:r>
    </w:p>
    <w:p>
      <w:pPr>
        <w:widowControl w:val="0"/>
        <w:numPr>
          <w:ilvl w:val="0"/>
          <w:numId w:val="37"/>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保护设备空气开关容量符合设计要求，下级空开容量不应大于上级空开容量，空开级别须与设计要求一致，输出的每路电源须有独立控制开关。</w:t>
      </w:r>
    </w:p>
    <w:p>
      <w:pPr>
        <w:widowControl w:val="0"/>
        <w:numPr>
          <w:ilvl w:val="0"/>
          <w:numId w:val="37"/>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接插件、连接器的组装须符合相应的工艺要求。配件齐全、线位正确、装配可靠、连接牢固，标识齐全、清晰。</w:t>
      </w:r>
    </w:p>
    <w:p>
      <w:pPr>
        <w:widowControl w:val="0"/>
        <w:numPr>
          <w:ilvl w:val="0"/>
          <w:numId w:val="37"/>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各尾纤、数据电缆排列整齐、不紧绷，尾纤采取保护套管防护，并固定在机柜理线器上。</w:t>
      </w:r>
    </w:p>
    <w:p>
      <w:pPr>
        <w:pStyle w:val="7"/>
        <w:numPr>
          <w:ilvl w:val="3"/>
          <w:numId w:val="26"/>
        </w:numPr>
        <w:spacing w:before="0" w:after="0" w:afterAutospacing="0"/>
        <w:ind w:left="0" w:right="0" w:firstLine="0"/>
        <w:rPr>
          <w:color w:val="auto"/>
          <w:highlight w:val="none"/>
        </w:rPr>
      </w:pPr>
      <w:r>
        <w:rPr>
          <w:rFonts w:hint="eastAsia"/>
          <w:color w:val="auto"/>
          <w:highlight w:val="none"/>
          <w:lang w:val="en-US" w:eastAsia="zh-CN"/>
        </w:rPr>
        <w:t>线缆敷设质量标准</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olor w:val="auto"/>
          <w:sz w:val="21"/>
          <w:szCs w:val="21"/>
          <w:highlight w:val="none"/>
        </w:rPr>
      </w:pPr>
      <w:r>
        <w:rPr>
          <w:rFonts w:hint="eastAsia" w:ascii="宋体" w:hAnsi="宋体" w:eastAsia="宋体" w:cs="Times New Roman"/>
          <w:color w:val="auto"/>
          <w:sz w:val="21"/>
          <w:szCs w:val="21"/>
          <w:highlight w:val="none"/>
          <w:lang w:eastAsia="zh-CN"/>
        </w:rPr>
        <w:t>隧道内的光缆在每个支架壁上必须使用塑包钢扎带进行固定。</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线缆无破损、受潮、扭曲、折皱，线缆的型号、规格、材质及数量须符合设计要求，其低烟无卤阻燃防潮性能须符合设计要求。</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线槽内线缆敷设平直，无扭绞、打圈、表面护层划伤、断裂等现象，线缆在线槽内无接头。</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对于明敷线槽，敷设于水平线槽内的线缆，每隔3</w:t>
      </w:r>
      <w:r>
        <w:rPr>
          <w:rFonts w:hint="eastAsia" w:ascii="宋体" w:hAnsi="宋体" w:eastAsia="宋体" w:cs="Times New Roman"/>
          <w:color w:val="auto"/>
          <w:sz w:val="21"/>
          <w:szCs w:val="21"/>
          <w:highlight w:val="none"/>
          <w:lang w:val="en-US" w:eastAsia="zh-CN"/>
        </w:rPr>
        <w:t>米</w:t>
      </w:r>
      <w:r>
        <w:rPr>
          <w:rFonts w:hint="eastAsia" w:ascii="宋体" w:hAnsi="宋体" w:eastAsia="宋体" w:cs="Times New Roman"/>
          <w:color w:val="auto"/>
          <w:sz w:val="21"/>
          <w:szCs w:val="21"/>
          <w:highlight w:val="none"/>
        </w:rPr>
        <w:t>须绑扎固定，敷设于垂直线槽内的线缆，每隔2</w:t>
      </w:r>
      <w:r>
        <w:rPr>
          <w:rFonts w:hint="eastAsia" w:ascii="宋体" w:hAnsi="宋体" w:eastAsia="宋体" w:cs="Times New Roman"/>
          <w:color w:val="auto"/>
          <w:sz w:val="21"/>
          <w:szCs w:val="21"/>
          <w:highlight w:val="none"/>
          <w:u w:val="none"/>
          <w:lang w:val="en-US" w:eastAsia="zh-CN"/>
        </w:rPr>
        <w:t>米</w:t>
      </w:r>
      <w:r>
        <w:rPr>
          <w:rFonts w:hint="eastAsia" w:ascii="宋体" w:hAnsi="宋体" w:eastAsia="宋体" w:cs="Times New Roman"/>
          <w:color w:val="auto"/>
          <w:sz w:val="21"/>
          <w:szCs w:val="21"/>
          <w:highlight w:val="none"/>
        </w:rPr>
        <w:t>须绑扎固定。</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线缆两端及经过分线盒、分向盒、检修口处须有标识和标签，</w:t>
      </w:r>
      <w:r>
        <w:rPr>
          <w:rFonts w:hint="eastAsia" w:ascii="宋体" w:hAnsi="宋体" w:eastAsia="Times New Roman" w:cs="Times New Roman"/>
          <w:color w:val="auto"/>
          <w:sz w:val="21"/>
          <w:szCs w:val="21"/>
          <w:highlight w:val="none"/>
          <w:lang w:val="en-US" w:eastAsia="zh-CN"/>
        </w:rPr>
        <w:t>隧道内</w:t>
      </w:r>
      <w:r>
        <w:rPr>
          <w:rFonts w:hint="eastAsia" w:ascii="宋体" w:hAnsi="宋体" w:eastAsia="宋体" w:cs="Times New Roman"/>
          <w:color w:val="auto"/>
          <w:sz w:val="21"/>
          <w:szCs w:val="21"/>
          <w:highlight w:val="none"/>
        </w:rPr>
        <w:t>每隔200米安装一个电缆标牌并标明线缆的类型、型号、起点、终点和用途，标识和标签齐全、清晰、准确、牢固，标签须选用防水、防霉、防刮、防锈和防撕材料，字迹清晰。</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室内配线高度须一致，当与其他管线交叉或穿越墙壁或楼板时，线缆布放完成后须采用防火密闭材料封堵，要求不含卤族元素、石棉等物质，不会挥发有害气体。</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光缆布线须符合下列规定：</w:t>
      </w:r>
    </w:p>
    <w:p>
      <w:pPr>
        <w:widowControl w:val="0"/>
        <w:numPr>
          <w:ilvl w:val="0"/>
          <w:numId w:val="39"/>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光缆绝缘外护套无损伤、变形、背扣；</w:t>
      </w:r>
    </w:p>
    <w:p>
      <w:pPr>
        <w:widowControl w:val="0"/>
        <w:numPr>
          <w:ilvl w:val="0"/>
          <w:numId w:val="39"/>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光缆敷设时的弯曲半径不得小于光缆外直径的15倍，光纤收容时其弯曲半径不小于40MM；</w:t>
      </w:r>
    </w:p>
    <w:p>
      <w:pPr>
        <w:widowControl w:val="0"/>
        <w:numPr>
          <w:ilvl w:val="0"/>
          <w:numId w:val="39"/>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光缆敷设两端预留量不小于2米，光缆经过建筑伸缩缝的余量不小于其最大伸缩量；</w:t>
      </w:r>
    </w:p>
    <w:p>
      <w:pPr>
        <w:widowControl w:val="0"/>
        <w:numPr>
          <w:ilvl w:val="0"/>
          <w:numId w:val="39"/>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光缆垂直敷设时，当高度超过4米时，中间每2米须设光缆固定装置，减少光缆的受力；</w:t>
      </w:r>
    </w:p>
    <w:p>
      <w:pPr>
        <w:widowControl w:val="0"/>
        <w:numPr>
          <w:ilvl w:val="0"/>
          <w:numId w:val="39"/>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光缆在敷设完毕时，为防止其因为不能立即熔接而受潮，及时采用热缩帽进行热缩防潮封头处理。</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电源线缆布线须符合下列规定：</w:t>
      </w:r>
    </w:p>
    <w:p>
      <w:pPr>
        <w:widowControl w:val="0"/>
        <w:numPr>
          <w:ilvl w:val="0"/>
          <w:numId w:val="40"/>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交流电源线缆和直流电源线缆须分开布放，不得绑在同一线束内；</w:t>
      </w:r>
    </w:p>
    <w:p>
      <w:pPr>
        <w:widowControl w:val="0"/>
        <w:numPr>
          <w:ilvl w:val="0"/>
          <w:numId w:val="40"/>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电源线缆须采用整段线料，整段线料中不得有接头，布线不受外力挤压，线料无损伤；</w:t>
      </w:r>
    </w:p>
    <w:p>
      <w:pPr>
        <w:widowControl w:val="0"/>
        <w:numPr>
          <w:ilvl w:val="0"/>
          <w:numId w:val="40"/>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不同电压等级的线缆须分类布置，并分别单独设线槽或管敷设，在同一线槽内另采用隔板隔开；</w:t>
      </w:r>
    </w:p>
    <w:p>
      <w:pPr>
        <w:widowControl w:val="0"/>
        <w:numPr>
          <w:ilvl w:val="0"/>
          <w:numId w:val="40"/>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电源线缆与数据线缆交叉敷设时宜成直角，当平行敷设时，电源线缆与数据线缆的间距须符合设计要求。</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线缆引入时，引入口处须采取棱边保护措施，防止线缆磨损、刮蹭。</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所有线缆引出点、引入点均需预留不少于1.5</w:t>
      </w:r>
      <w:r>
        <w:rPr>
          <w:rFonts w:hint="eastAsia" w:ascii="宋体" w:hAnsi="宋体" w:eastAsia="宋体" w:cs="Times New Roman"/>
          <w:color w:val="auto"/>
          <w:sz w:val="21"/>
          <w:szCs w:val="21"/>
          <w:highlight w:val="none"/>
          <w:u w:val="none"/>
          <w:lang w:val="en-US" w:eastAsia="zh-CN"/>
        </w:rPr>
        <w:t>米</w:t>
      </w:r>
      <w:r>
        <w:rPr>
          <w:rFonts w:hint="eastAsia" w:ascii="宋体" w:hAnsi="宋体" w:eastAsia="宋体" w:cs="Times New Roman"/>
          <w:color w:val="auto"/>
          <w:sz w:val="21"/>
          <w:szCs w:val="21"/>
          <w:highlight w:val="none"/>
        </w:rPr>
        <w:t>的线长，预留线缆整齐盘于线槽内，线缆出入口处须进行密封处理。</w:t>
      </w:r>
    </w:p>
    <w:p>
      <w:pPr>
        <w:widowControl w:val="0"/>
        <w:numPr>
          <w:ilvl w:val="0"/>
          <w:numId w:val="38"/>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配线设备端子跳线排列须整齐顺直，配线箱底孔引进电缆后采用防火密闭材料封堵，要求不含卤族元素、石棉等物质，不会挥发有害气体。</w:t>
      </w:r>
    </w:p>
    <w:p>
      <w:pPr>
        <w:pStyle w:val="7"/>
        <w:numPr>
          <w:ilvl w:val="3"/>
          <w:numId w:val="26"/>
        </w:numPr>
        <w:spacing w:before="0" w:after="0" w:afterAutospacing="0"/>
        <w:ind w:left="0" w:right="0" w:firstLine="0"/>
        <w:rPr>
          <w:color w:val="auto"/>
          <w:highlight w:val="none"/>
        </w:rPr>
      </w:pPr>
      <w:r>
        <w:rPr>
          <w:rFonts w:hint="eastAsia"/>
          <w:color w:val="auto"/>
          <w:highlight w:val="none"/>
          <w:lang w:val="en-US" w:eastAsia="zh-CN"/>
        </w:rPr>
        <w:t>线缆接续质量标准</w:t>
      </w:r>
    </w:p>
    <w:p>
      <w:pPr>
        <w:widowControl w:val="0"/>
        <w:numPr>
          <w:ilvl w:val="0"/>
          <w:numId w:val="4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光缆芯线须按光纤色谱排列顺序对应接续，光纤接续部位须采用热缩加强管保护，加强管收缩均匀、无气泡。</w:t>
      </w:r>
    </w:p>
    <w:p>
      <w:pPr>
        <w:widowControl w:val="0"/>
        <w:numPr>
          <w:ilvl w:val="0"/>
          <w:numId w:val="4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光缆接头盒盒体安装牢固、密封良好。</w:t>
      </w:r>
    </w:p>
    <w:p>
      <w:pPr>
        <w:widowControl w:val="0"/>
        <w:numPr>
          <w:ilvl w:val="0"/>
          <w:numId w:val="4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光缆的金属外护套和加强芯须紧固在接头盒内，同一侧的金属外护套与金属加强芯在电气上连通，两侧的金属外护套、金属加强芯须绝缘。</w:t>
      </w:r>
    </w:p>
    <w:p>
      <w:pPr>
        <w:widowControl w:val="0"/>
        <w:numPr>
          <w:ilvl w:val="0"/>
          <w:numId w:val="4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光缆接续须符合下列规定</w:t>
      </w:r>
    </w:p>
    <w:p>
      <w:pPr>
        <w:widowControl w:val="0"/>
        <w:numPr>
          <w:ilvl w:val="0"/>
          <w:numId w:val="42"/>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光缆接续材料的型号、规格、质量须符合设计要求；</w:t>
      </w:r>
    </w:p>
    <w:p>
      <w:pPr>
        <w:widowControl w:val="0"/>
        <w:numPr>
          <w:ilvl w:val="0"/>
          <w:numId w:val="42"/>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光缆芯线按光纤色谱排列顺序对应接续，光纤接续部位采用接续盒防护；</w:t>
      </w:r>
    </w:p>
    <w:p>
      <w:pPr>
        <w:widowControl w:val="0"/>
        <w:numPr>
          <w:ilvl w:val="0"/>
          <w:numId w:val="42"/>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在所有防护管中、暗埋管线、隐蔽性工程中等不方便检查和维护的地方，敷设的光缆中不允许出现任何形式的接续；</w:t>
      </w:r>
    </w:p>
    <w:p>
      <w:pPr>
        <w:widowControl w:val="0"/>
        <w:numPr>
          <w:ilvl w:val="0"/>
          <w:numId w:val="42"/>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在光缆穿越站台区域内的地方不得进行地下接续；</w:t>
      </w:r>
    </w:p>
    <w:p>
      <w:pPr>
        <w:widowControl w:val="0"/>
        <w:numPr>
          <w:ilvl w:val="0"/>
          <w:numId w:val="42"/>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光缆接续后，每根单模光纤接头平均损耗不大于0.08dB，多模光纤接头平均损耗不大于0.2dB；</w:t>
      </w:r>
    </w:p>
    <w:p>
      <w:pPr>
        <w:widowControl w:val="0"/>
        <w:numPr>
          <w:ilvl w:val="0"/>
          <w:numId w:val="42"/>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光缆接续点位置须在竣工图纸上标明。</w:t>
      </w:r>
    </w:p>
    <w:p>
      <w:pPr>
        <w:widowControl w:val="0"/>
        <w:numPr>
          <w:ilvl w:val="0"/>
          <w:numId w:val="4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数据电缆中间不得有接头，线缆终接处连接牢固，电气连通。</w:t>
      </w:r>
    </w:p>
    <w:p>
      <w:pPr>
        <w:widowControl w:val="0"/>
        <w:numPr>
          <w:ilvl w:val="0"/>
          <w:numId w:val="4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网络线缆须采用屏蔽式水晶头。</w:t>
      </w:r>
    </w:p>
    <w:p>
      <w:pPr>
        <w:widowControl w:val="0"/>
        <w:numPr>
          <w:ilvl w:val="0"/>
          <w:numId w:val="4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电源电缆接续以线色区分，不得错接与短路。</w:t>
      </w:r>
    </w:p>
    <w:p>
      <w:pPr>
        <w:widowControl w:val="0"/>
        <w:numPr>
          <w:ilvl w:val="0"/>
          <w:numId w:val="4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电源电缆的芯线与电气设备的连接须符合下列规定</w:t>
      </w:r>
      <w:r>
        <w:rPr>
          <w:rFonts w:hint="eastAsia" w:ascii="宋体" w:hAnsi="宋体" w:eastAsia="宋体" w:cs="Times New Roman"/>
          <w:color w:val="auto"/>
          <w:sz w:val="21"/>
          <w:szCs w:val="21"/>
          <w:highlight w:val="none"/>
          <w:lang w:eastAsia="zh-CN"/>
        </w:rPr>
        <w:t>：</w:t>
      </w:r>
    </w:p>
    <w:p>
      <w:pPr>
        <w:widowControl w:val="0"/>
        <w:numPr>
          <w:ilvl w:val="0"/>
          <w:numId w:val="43"/>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对截面面积在10mm²及以下的单股铜芯线，直接与设备的端子连接；</w:t>
      </w:r>
    </w:p>
    <w:p>
      <w:pPr>
        <w:widowControl w:val="0"/>
        <w:numPr>
          <w:ilvl w:val="0"/>
          <w:numId w:val="43"/>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对截面面积在2.5mm²及以下的多股铜芯线，须拧紧搪锡或压接端子后再与设备端子连接；</w:t>
      </w:r>
    </w:p>
    <w:p>
      <w:pPr>
        <w:widowControl w:val="0"/>
        <w:numPr>
          <w:ilvl w:val="0"/>
          <w:numId w:val="43"/>
        </w:numPr>
        <w:spacing w:before="0" w:after="0" w:afterAutospacing="0" w:line="360" w:lineRule="auto"/>
        <w:ind w:left="0" w:leftChars="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对截面面积大于2.5mm²的多股铜芯线，除设备自带插接式端子外，须焊接或压接端子后再与设备端子连接，多股铜芯线与插接式端子连接前，端部须拧紧搪锡。</w:t>
      </w:r>
    </w:p>
    <w:p>
      <w:pPr>
        <w:widowControl w:val="0"/>
        <w:numPr>
          <w:ilvl w:val="0"/>
          <w:numId w:val="4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电源电缆的芯线连接管和端子规格须与芯线的规格适配，且不得采用开口端子。</w:t>
      </w:r>
    </w:p>
    <w:p>
      <w:pPr>
        <w:widowControl w:val="0"/>
        <w:numPr>
          <w:ilvl w:val="0"/>
          <w:numId w:val="4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电源电缆线间绝缘电阻不小于500MΩ，综合扭绞电缆线间绝缘电阻不小于3000MΩ，内屏蔽数据电缆线间绝缘电阻不小于10000MΩ。</w:t>
      </w:r>
    </w:p>
    <w:p>
      <w:pPr>
        <w:pStyle w:val="7"/>
        <w:numPr>
          <w:ilvl w:val="3"/>
          <w:numId w:val="26"/>
        </w:numPr>
        <w:spacing w:before="0" w:after="0" w:afterAutospacing="0"/>
        <w:ind w:left="0" w:right="0" w:firstLine="0"/>
        <w:rPr>
          <w:color w:val="auto"/>
          <w:highlight w:val="none"/>
        </w:rPr>
      </w:pPr>
      <w:r>
        <w:rPr>
          <w:rFonts w:hint="eastAsia"/>
          <w:color w:val="auto"/>
          <w:highlight w:val="none"/>
          <w:lang w:val="en-US" w:eastAsia="zh-CN"/>
        </w:rPr>
        <w:t>接地装置安装质量标准</w:t>
      </w:r>
    </w:p>
    <w:p>
      <w:pPr>
        <w:widowControl w:val="0"/>
        <w:numPr>
          <w:ilvl w:val="0"/>
          <w:numId w:val="44"/>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接地装置及材料数量、型号、规格和质量须符合设计要求。</w:t>
      </w:r>
    </w:p>
    <w:p>
      <w:pPr>
        <w:widowControl w:val="0"/>
        <w:numPr>
          <w:ilvl w:val="0"/>
          <w:numId w:val="44"/>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接地装置的安装位置、安装方式及引入方式须符合设计要求。</w:t>
      </w:r>
    </w:p>
    <w:p>
      <w:pPr>
        <w:widowControl w:val="0"/>
        <w:numPr>
          <w:ilvl w:val="0"/>
          <w:numId w:val="44"/>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接地装置母线线径须大于或等于50mm²，子线线径须大于或等于16mm²。</w:t>
      </w:r>
    </w:p>
    <w:p>
      <w:pPr>
        <w:widowControl w:val="0"/>
        <w:numPr>
          <w:ilvl w:val="0"/>
          <w:numId w:val="44"/>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车站设备的各种地线均接入综合接地网。机柜设安全工作地线，各机柜体须采用横截面积大于等于16mm²的黄绿双色绝缘地线连接至接地母排。</w:t>
      </w:r>
    </w:p>
    <w:p>
      <w:pPr>
        <w:widowControl w:val="0"/>
        <w:spacing w:before="0" w:after="0" w:afterAutospacing="0" w:line="240" w:lineRule="auto"/>
        <w:ind w:left="0" w:right="0" w:firstLine="0"/>
        <w:rPr>
          <w:rFonts w:ascii="Times New Roman" w:hAnsi="Times New Roman" w:eastAsia="Times New Roman" w:cs="Times New Roman"/>
          <w:color w:val="auto"/>
          <w:sz w:val="24"/>
          <w:szCs w:val="24"/>
          <w:highlight w:val="none"/>
        </w:rPr>
      </w:pPr>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096" w:name="_Toc32747"/>
      <w:bookmarkStart w:id="2097" w:name="_Toc5846_WPSOffice_Level3"/>
      <w:bookmarkStart w:id="2098" w:name="_Toc14811"/>
      <w:r>
        <w:rPr>
          <w:rFonts w:hint="eastAsia" w:ascii="黑体" w:hAnsi="黑体" w:eastAsia="黑体" w:cs="宋体"/>
          <w:bCs/>
          <w:color w:val="auto"/>
          <w:sz w:val="24"/>
          <w:szCs w:val="24"/>
          <w:highlight w:val="none"/>
          <w:lang w:val="en-US" w:eastAsia="zh-CN" w:bidi="ar-SA"/>
        </w:rPr>
        <w:t>设备设施功能</w:t>
      </w:r>
      <w:r>
        <w:rPr>
          <w:rFonts w:ascii="黑体" w:hAnsi="黑体" w:eastAsia="黑体" w:cs="宋体"/>
          <w:bCs/>
          <w:color w:val="auto"/>
          <w:sz w:val="24"/>
          <w:szCs w:val="24"/>
          <w:highlight w:val="none"/>
          <w:lang w:val="en-US" w:eastAsia="zh-CN" w:bidi="ar-SA"/>
        </w:rPr>
        <w:t>标准</w:t>
      </w:r>
      <w:bookmarkEnd w:id="2096"/>
      <w:bookmarkEnd w:id="2097"/>
      <w:bookmarkEnd w:id="2098"/>
    </w:p>
    <w:p>
      <w:pPr>
        <w:pStyle w:val="7"/>
        <w:numPr>
          <w:ilvl w:val="3"/>
          <w:numId w:val="26"/>
        </w:numPr>
        <w:spacing w:before="0" w:after="0" w:afterAutospacing="0"/>
        <w:ind w:left="0" w:right="0" w:firstLine="0"/>
        <w:rPr>
          <w:rFonts w:hint="eastAsia"/>
          <w:color w:val="auto"/>
          <w:highlight w:val="none"/>
          <w:lang w:val="en-US" w:eastAsia="zh-CN"/>
        </w:rPr>
      </w:pPr>
      <w:r>
        <w:rPr>
          <w:rFonts w:hint="eastAsia"/>
          <w:color w:val="auto"/>
          <w:highlight w:val="none"/>
          <w:lang w:val="en-US" w:eastAsia="zh-CN"/>
        </w:rPr>
        <w:t>CCTV设备功能标准</w:t>
      </w:r>
    </w:p>
    <w:p>
      <w:pPr>
        <w:keepNext w:val="0"/>
        <w:keepLines w:val="0"/>
        <w:pageBreakBefore w:val="0"/>
        <w:widowControl w:val="0"/>
        <w:numPr>
          <w:ilvl w:val="0"/>
          <w:numId w:val="45"/>
        </w:numPr>
        <w:tabs>
          <w:tab w:val="left" w:pos="0"/>
        </w:tabs>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可叠加显示字符信息，包括站（段）名、摄像机位置、编号、日期及时间等。</w:t>
      </w:r>
    </w:p>
    <w:p>
      <w:pPr>
        <w:widowControl w:val="0"/>
        <w:numPr>
          <w:ilvl w:val="0"/>
          <w:numId w:val="45"/>
        </w:numPr>
        <w:tabs>
          <w:tab w:val="left" w:pos="0"/>
        </w:tabs>
        <w:spacing w:before="0" w:after="0" w:afterAutospacing="0" w:line="360" w:lineRule="auto"/>
        <w:ind w:left="0" w:right="0" w:firstLine="420" w:firstLineChars="200"/>
        <w:rPr>
          <w:rFonts w:hint="eastAsia" w:ascii="宋体" w:hAnsi="宋体" w:eastAsia="宋体"/>
          <w:color w:val="auto"/>
          <w:sz w:val="21"/>
          <w:szCs w:val="21"/>
          <w:highlight w:val="none"/>
        </w:rPr>
      </w:pPr>
      <w:r>
        <w:rPr>
          <w:rFonts w:hint="eastAsia" w:ascii="宋体" w:hAnsi="宋体" w:eastAsia="宋体" w:cs="Times New Roman"/>
          <w:color w:val="auto"/>
          <w:sz w:val="21"/>
          <w:szCs w:val="21"/>
          <w:highlight w:val="none"/>
        </w:rPr>
        <w:t>摄像机叠加显示的时间可自动同步时钟系统。</w:t>
      </w:r>
    </w:p>
    <w:p>
      <w:pPr>
        <w:widowControl w:val="0"/>
        <w:numPr>
          <w:ilvl w:val="0"/>
          <w:numId w:val="45"/>
        </w:numPr>
        <w:tabs>
          <w:tab w:val="left" w:pos="0"/>
        </w:tabs>
        <w:spacing w:before="0" w:after="0" w:afterAutospacing="0" w:line="360" w:lineRule="auto"/>
        <w:ind w:left="0" w:right="0" w:firstLine="420" w:firstLineChars="200"/>
        <w:rPr>
          <w:rFonts w:hint="eastAsia" w:ascii="宋体" w:hAnsi="宋体" w:eastAsia="宋体"/>
          <w:color w:val="auto"/>
          <w:sz w:val="21"/>
          <w:szCs w:val="21"/>
          <w:highlight w:val="none"/>
        </w:rPr>
      </w:pPr>
      <w:r>
        <w:rPr>
          <w:rFonts w:hint="eastAsia" w:ascii="宋体" w:hAnsi="宋体" w:eastAsia="宋体" w:cs="Times New Roman"/>
          <w:color w:val="auto"/>
          <w:sz w:val="21"/>
          <w:szCs w:val="21"/>
          <w:highlight w:val="none"/>
          <w:lang w:val="en-US" w:eastAsia="zh-CN"/>
        </w:rPr>
        <w:t>综合监控专业、TIAS系统（5号线）终端向相应CCTV发送操作控制指令，可将图像调入综合监控专业、TIAS监视终端显示器或调度大厅大屏幕上显示。</w:t>
      </w:r>
    </w:p>
    <w:p>
      <w:pPr>
        <w:keepNext w:val="0"/>
        <w:keepLines w:val="0"/>
        <w:pageBreakBefore w:val="0"/>
        <w:widowControl w:val="0"/>
        <w:numPr>
          <w:ilvl w:val="0"/>
          <w:numId w:val="45"/>
        </w:numPr>
        <w:tabs>
          <w:tab w:val="left" w:pos="0"/>
        </w:tabs>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兼容既有</w:t>
      </w:r>
      <w:r>
        <w:rPr>
          <w:rFonts w:hint="eastAsia" w:ascii="宋体" w:hAnsi="宋体" w:eastAsia="宋体" w:cs="Times New Roman"/>
          <w:color w:val="auto"/>
          <w:sz w:val="21"/>
          <w:szCs w:val="21"/>
          <w:highlight w:val="none"/>
        </w:rPr>
        <w:t>系统视频分析功能，实现入侵检测、逗留检测、逆行检测、客流量突变告警、人流统计、图像异常告警等。</w:t>
      </w:r>
    </w:p>
    <w:p>
      <w:pPr>
        <w:keepNext w:val="0"/>
        <w:keepLines w:val="0"/>
        <w:pageBreakBefore w:val="0"/>
        <w:widowControl w:val="0"/>
        <w:numPr>
          <w:ilvl w:val="0"/>
          <w:numId w:val="45"/>
        </w:numPr>
        <w:tabs>
          <w:tab w:val="left" w:pos="0"/>
        </w:tabs>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录像功能须符合下列要求</w:t>
      </w:r>
      <w:r>
        <w:rPr>
          <w:rFonts w:hint="eastAsia" w:ascii="宋体" w:hAnsi="宋体" w:eastAsia="宋体" w:cs="Times New Roman"/>
          <w:color w:val="auto"/>
          <w:sz w:val="21"/>
          <w:szCs w:val="21"/>
          <w:highlight w:val="none"/>
          <w:lang w:eastAsia="zh-CN"/>
        </w:rPr>
        <w:t>：</w:t>
      </w:r>
    </w:p>
    <w:p>
      <w:pPr>
        <w:keepNext w:val="0"/>
        <w:keepLines w:val="0"/>
        <w:pageBreakBefore w:val="0"/>
        <w:widowControl w:val="0"/>
        <w:numPr>
          <w:ilvl w:val="0"/>
          <w:numId w:val="46"/>
        </w:numPr>
        <w:kinsoku/>
        <w:wordWrap/>
        <w:overflowPunct/>
        <w:topLinePunct w:val="0"/>
        <w:autoSpaceDE/>
        <w:autoSpaceDN/>
        <w:bidi w:val="0"/>
        <w:adjustRightInd/>
        <w:snapToGrid/>
        <w:spacing w:before="0" w:after="0" w:afterAutospacing="0" w:line="360" w:lineRule="auto"/>
        <w:ind w:left="0" w:leftChars="0" w:right="0" w:firstLine="420" w:firstLineChars="200"/>
        <w:jc w:val="both"/>
        <w:textAlignment w:val="auto"/>
        <w:rPr>
          <w:rFonts w:hint="default" w:cs="Courier New" w:asciiTheme="minorEastAsia" w:hAnsiTheme="minorEastAsia" w:eastAsiaTheme="minorEastAsia"/>
          <w:color w:val="auto"/>
          <w:sz w:val="21"/>
          <w:szCs w:val="21"/>
          <w:highlight w:val="none"/>
          <w:shd w:val="clear" w:color="auto" w:fill="FFFFFF"/>
          <w:lang w:val="en-US" w:eastAsia="zh-CN" w:bidi="ar-SA"/>
        </w:rPr>
      </w:pPr>
      <w:r>
        <w:rPr>
          <w:rFonts w:hint="default" w:cs="Courier New" w:asciiTheme="minorEastAsia" w:hAnsiTheme="minorEastAsia" w:eastAsiaTheme="minorEastAsia"/>
          <w:color w:val="auto"/>
          <w:sz w:val="21"/>
          <w:szCs w:val="21"/>
          <w:highlight w:val="none"/>
          <w:shd w:val="clear" w:color="auto" w:fill="FFFFFF"/>
          <w:lang w:val="en-US" w:eastAsia="zh-CN" w:bidi="ar-SA"/>
        </w:rPr>
        <w:t>可实现实时图像连续存储功能</w:t>
      </w:r>
      <w:r>
        <w:rPr>
          <w:rFonts w:hint="eastAsia" w:cs="Courier New" w:asciiTheme="minorEastAsia" w:hAnsiTheme="minorEastAsia" w:eastAsiaTheme="minorEastAsia"/>
          <w:color w:val="auto"/>
          <w:sz w:val="21"/>
          <w:szCs w:val="21"/>
          <w:highlight w:val="none"/>
          <w:shd w:val="clear" w:color="auto" w:fill="FFFFFF"/>
          <w:lang w:val="en-US" w:eastAsia="zh-CN" w:bidi="ar-SA"/>
        </w:rPr>
        <w:t>；</w:t>
      </w:r>
    </w:p>
    <w:p>
      <w:pPr>
        <w:keepNext w:val="0"/>
        <w:keepLines w:val="0"/>
        <w:pageBreakBefore w:val="0"/>
        <w:widowControl w:val="0"/>
        <w:numPr>
          <w:ilvl w:val="0"/>
          <w:numId w:val="46"/>
        </w:numPr>
        <w:kinsoku/>
        <w:wordWrap/>
        <w:overflowPunct/>
        <w:topLinePunct w:val="0"/>
        <w:autoSpaceDE/>
        <w:autoSpaceDN/>
        <w:bidi w:val="0"/>
        <w:adjustRightInd/>
        <w:snapToGrid/>
        <w:spacing w:before="0" w:after="0" w:afterAutospacing="0" w:line="360" w:lineRule="auto"/>
        <w:ind w:left="0" w:leftChars="0" w:right="0" w:firstLine="420" w:firstLineChars="200"/>
        <w:jc w:val="both"/>
        <w:textAlignment w:val="auto"/>
        <w:rPr>
          <w:rFonts w:hint="default" w:cs="Courier New" w:asciiTheme="minorEastAsia" w:hAnsiTheme="minorEastAsia" w:eastAsiaTheme="minorEastAsia"/>
          <w:color w:val="auto"/>
          <w:sz w:val="21"/>
          <w:szCs w:val="21"/>
          <w:highlight w:val="none"/>
          <w:shd w:val="clear" w:color="auto" w:fill="FFFFFF"/>
          <w:lang w:val="en-US" w:eastAsia="zh-CN" w:bidi="ar-SA"/>
        </w:rPr>
      </w:pPr>
      <w:r>
        <w:rPr>
          <w:rFonts w:hint="default" w:cs="Courier New" w:asciiTheme="minorEastAsia" w:hAnsiTheme="minorEastAsia" w:eastAsiaTheme="minorEastAsia"/>
          <w:color w:val="auto"/>
          <w:sz w:val="21"/>
          <w:szCs w:val="21"/>
          <w:highlight w:val="none"/>
          <w:shd w:val="clear" w:color="auto" w:fill="FFFFFF"/>
          <w:lang w:val="en-US" w:eastAsia="zh-CN" w:bidi="ar-SA"/>
        </w:rPr>
        <w:t>按根据不同的安全等级采用不同图像分辨率进行存储</w:t>
      </w:r>
      <w:r>
        <w:rPr>
          <w:rFonts w:hint="eastAsia" w:cs="Courier New" w:asciiTheme="minorEastAsia" w:hAnsiTheme="minorEastAsia" w:eastAsiaTheme="minorEastAsia"/>
          <w:color w:val="auto"/>
          <w:sz w:val="21"/>
          <w:szCs w:val="21"/>
          <w:highlight w:val="none"/>
          <w:shd w:val="clear" w:color="auto" w:fill="FFFFFF"/>
          <w:lang w:val="en-US" w:eastAsia="zh-CN" w:bidi="ar-SA"/>
        </w:rPr>
        <w:t>；</w:t>
      </w:r>
    </w:p>
    <w:p>
      <w:pPr>
        <w:keepNext w:val="0"/>
        <w:keepLines w:val="0"/>
        <w:pageBreakBefore w:val="0"/>
        <w:widowControl w:val="0"/>
        <w:numPr>
          <w:ilvl w:val="0"/>
          <w:numId w:val="46"/>
        </w:numPr>
        <w:kinsoku/>
        <w:wordWrap/>
        <w:overflowPunct/>
        <w:topLinePunct w:val="0"/>
        <w:autoSpaceDE/>
        <w:autoSpaceDN/>
        <w:bidi w:val="0"/>
        <w:adjustRightInd/>
        <w:snapToGrid/>
        <w:spacing w:before="0" w:after="0" w:afterAutospacing="0" w:line="360" w:lineRule="auto"/>
        <w:ind w:left="0" w:leftChars="0" w:right="0" w:firstLine="420" w:firstLineChars="200"/>
        <w:jc w:val="both"/>
        <w:textAlignment w:val="auto"/>
        <w:rPr>
          <w:rFonts w:hint="default" w:cs="Courier New" w:asciiTheme="minorEastAsia" w:hAnsiTheme="minorEastAsia" w:eastAsiaTheme="minorEastAsia"/>
          <w:color w:val="auto"/>
          <w:sz w:val="21"/>
          <w:szCs w:val="21"/>
          <w:highlight w:val="none"/>
          <w:shd w:val="clear" w:color="auto" w:fill="FFFFFF"/>
          <w:lang w:val="en-US" w:eastAsia="zh-CN" w:bidi="ar-SA"/>
        </w:rPr>
      </w:pPr>
      <w:r>
        <w:rPr>
          <w:rFonts w:hint="default" w:cs="Courier New" w:asciiTheme="minorEastAsia" w:hAnsiTheme="minorEastAsia" w:eastAsiaTheme="minorEastAsia"/>
          <w:color w:val="auto"/>
          <w:sz w:val="21"/>
          <w:szCs w:val="21"/>
          <w:highlight w:val="none"/>
          <w:shd w:val="clear" w:color="auto" w:fill="FFFFFF"/>
          <w:lang w:val="en-US" w:eastAsia="zh-CN" w:bidi="ar-SA"/>
        </w:rPr>
        <w:t>存储图像内容完整</w:t>
      </w:r>
      <w:r>
        <w:rPr>
          <w:rFonts w:hint="eastAsia" w:cs="Courier New" w:asciiTheme="minorEastAsia" w:hAnsiTheme="minorEastAsia" w:eastAsiaTheme="minorEastAsia"/>
          <w:color w:val="auto"/>
          <w:sz w:val="21"/>
          <w:szCs w:val="21"/>
          <w:highlight w:val="none"/>
          <w:shd w:val="clear" w:color="auto" w:fill="FFFFFF"/>
          <w:lang w:val="en-US" w:eastAsia="zh-CN" w:bidi="ar-SA"/>
        </w:rPr>
        <w:t>；</w:t>
      </w:r>
    </w:p>
    <w:p>
      <w:pPr>
        <w:keepNext w:val="0"/>
        <w:keepLines w:val="0"/>
        <w:pageBreakBefore w:val="0"/>
        <w:widowControl w:val="0"/>
        <w:numPr>
          <w:ilvl w:val="0"/>
          <w:numId w:val="46"/>
        </w:numPr>
        <w:kinsoku/>
        <w:wordWrap/>
        <w:overflowPunct/>
        <w:topLinePunct w:val="0"/>
        <w:autoSpaceDE/>
        <w:autoSpaceDN/>
        <w:bidi w:val="0"/>
        <w:adjustRightInd/>
        <w:snapToGrid/>
        <w:spacing w:before="0" w:after="0" w:afterAutospacing="0" w:line="360" w:lineRule="auto"/>
        <w:ind w:left="0" w:leftChars="0" w:right="0" w:firstLine="420" w:firstLineChars="200"/>
        <w:jc w:val="both"/>
        <w:textAlignment w:val="auto"/>
        <w:rPr>
          <w:rFonts w:hint="default" w:cs="Courier New" w:asciiTheme="minorEastAsia" w:hAnsiTheme="minorEastAsia" w:eastAsiaTheme="minorEastAsia"/>
          <w:color w:val="auto"/>
          <w:sz w:val="21"/>
          <w:szCs w:val="21"/>
          <w:highlight w:val="none"/>
          <w:shd w:val="clear" w:color="auto" w:fill="FFFFFF"/>
          <w:lang w:val="en-US" w:eastAsia="zh-CN" w:bidi="ar-SA"/>
        </w:rPr>
      </w:pPr>
      <w:r>
        <w:rPr>
          <w:rFonts w:hint="default" w:cs="Courier New" w:asciiTheme="minorEastAsia" w:hAnsiTheme="minorEastAsia" w:eastAsiaTheme="minorEastAsia"/>
          <w:color w:val="auto"/>
          <w:sz w:val="21"/>
          <w:szCs w:val="21"/>
          <w:highlight w:val="none"/>
          <w:shd w:val="clear" w:color="auto" w:fill="FFFFFF"/>
          <w:lang w:val="en-US" w:eastAsia="zh-CN" w:bidi="ar-SA"/>
        </w:rPr>
        <w:t>存储容量或时间符合设计要求。</w:t>
      </w:r>
    </w:p>
    <w:p>
      <w:pPr>
        <w:keepNext w:val="0"/>
        <w:keepLines w:val="0"/>
        <w:pageBreakBefore w:val="0"/>
        <w:widowControl w:val="0"/>
        <w:numPr>
          <w:ilvl w:val="0"/>
          <w:numId w:val="45"/>
        </w:numPr>
        <w:tabs>
          <w:tab w:val="left" w:pos="0"/>
        </w:tabs>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录像回放功能须符合下列要求</w:t>
      </w:r>
      <w:r>
        <w:rPr>
          <w:rFonts w:hint="eastAsia" w:ascii="宋体" w:hAnsi="宋体" w:eastAsia="宋体" w:cs="Times New Roman"/>
          <w:color w:val="auto"/>
          <w:sz w:val="21"/>
          <w:szCs w:val="21"/>
          <w:highlight w:val="none"/>
          <w:lang w:eastAsia="zh-CN"/>
        </w:rPr>
        <w:t>：</w:t>
      </w:r>
    </w:p>
    <w:p>
      <w:pPr>
        <w:keepNext w:val="0"/>
        <w:keepLines w:val="0"/>
        <w:pageBreakBefore w:val="0"/>
        <w:widowControl w:val="0"/>
        <w:numPr>
          <w:ilvl w:val="0"/>
          <w:numId w:val="47"/>
        </w:numPr>
        <w:kinsoku/>
        <w:wordWrap/>
        <w:overflowPunct/>
        <w:topLinePunct w:val="0"/>
        <w:autoSpaceDE/>
        <w:autoSpaceDN/>
        <w:bidi w:val="0"/>
        <w:adjustRightInd/>
        <w:snapToGrid/>
        <w:spacing w:before="0" w:after="0" w:afterAutospacing="0" w:line="360" w:lineRule="auto"/>
        <w:ind w:left="0" w:leftChars="0" w:right="0" w:firstLine="420" w:firstLineChars="200"/>
        <w:jc w:val="both"/>
        <w:textAlignment w:val="auto"/>
        <w:rPr>
          <w:rFonts w:hint="default" w:cs="Courier New" w:asciiTheme="minorEastAsia" w:hAnsiTheme="minorEastAsia" w:eastAsiaTheme="minorEastAsia"/>
          <w:color w:val="auto"/>
          <w:sz w:val="21"/>
          <w:szCs w:val="21"/>
          <w:highlight w:val="none"/>
          <w:shd w:val="clear" w:color="auto" w:fill="FFFFFF"/>
          <w:lang w:val="en-US" w:eastAsia="zh-CN" w:bidi="ar-SA"/>
        </w:rPr>
      </w:pPr>
      <w:r>
        <w:rPr>
          <w:rFonts w:hint="default" w:cs="Courier New" w:asciiTheme="minorEastAsia" w:hAnsiTheme="minorEastAsia" w:eastAsiaTheme="minorEastAsia"/>
          <w:color w:val="auto"/>
          <w:sz w:val="21"/>
          <w:szCs w:val="21"/>
          <w:highlight w:val="none"/>
          <w:shd w:val="clear" w:color="auto" w:fill="FFFFFF"/>
          <w:lang w:val="en-US" w:eastAsia="zh-CN" w:bidi="ar-SA"/>
        </w:rPr>
        <w:t>支持用户根据时间、地点、事件等多种条件进行检索和回放</w:t>
      </w:r>
      <w:r>
        <w:rPr>
          <w:rFonts w:hint="eastAsia" w:cs="Courier New" w:asciiTheme="minorEastAsia" w:hAnsiTheme="minorEastAsia" w:eastAsiaTheme="minorEastAsia"/>
          <w:color w:val="auto"/>
          <w:sz w:val="21"/>
          <w:szCs w:val="21"/>
          <w:highlight w:val="none"/>
          <w:shd w:val="clear" w:color="auto" w:fill="FFFFFF"/>
          <w:lang w:val="en-US" w:eastAsia="zh-CN" w:bidi="ar-SA"/>
        </w:rPr>
        <w:t>；</w:t>
      </w:r>
    </w:p>
    <w:p>
      <w:pPr>
        <w:keepNext w:val="0"/>
        <w:keepLines w:val="0"/>
        <w:pageBreakBefore w:val="0"/>
        <w:widowControl w:val="0"/>
        <w:numPr>
          <w:ilvl w:val="0"/>
          <w:numId w:val="47"/>
        </w:numPr>
        <w:kinsoku/>
        <w:wordWrap/>
        <w:overflowPunct/>
        <w:topLinePunct w:val="0"/>
        <w:autoSpaceDE/>
        <w:autoSpaceDN/>
        <w:bidi w:val="0"/>
        <w:adjustRightInd/>
        <w:snapToGrid/>
        <w:spacing w:before="0" w:after="0" w:afterAutospacing="0" w:line="360" w:lineRule="auto"/>
        <w:ind w:left="0" w:leftChars="0" w:right="0" w:firstLine="420" w:firstLineChars="200"/>
        <w:jc w:val="both"/>
        <w:textAlignment w:val="auto"/>
        <w:rPr>
          <w:rFonts w:hint="default" w:cs="Courier New" w:asciiTheme="minorEastAsia" w:hAnsiTheme="minorEastAsia" w:eastAsiaTheme="minorEastAsia"/>
          <w:color w:val="auto"/>
          <w:sz w:val="21"/>
          <w:szCs w:val="21"/>
          <w:highlight w:val="none"/>
          <w:shd w:val="clear" w:color="auto" w:fill="FFFFFF"/>
          <w:lang w:val="en-US" w:eastAsia="zh-CN" w:bidi="ar-SA"/>
        </w:rPr>
      </w:pPr>
      <w:r>
        <w:rPr>
          <w:rFonts w:hint="default" w:cs="Courier New" w:asciiTheme="minorEastAsia" w:hAnsiTheme="minorEastAsia" w:eastAsiaTheme="minorEastAsia"/>
          <w:color w:val="auto"/>
          <w:sz w:val="21"/>
          <w:szCs w:val="21"/>
          <w:highlight w:val="none"/>
          <w:shd w:val="clear" w:color="auto" w:fill="FFFFFF"/>
          <w:lang w:val="en-US" w:eastAsia="zh-CN" w:bidi="ar-SA"/>
        </w:rPr>
        <w:t>支持多用户同时调用和检索历史图像</w:t>
      </w:r>
      <w:r>
        <w:rPr>
          <w:rFonts w:hint="eastAsia" w:cs="Courier New" w:asciiTheme="minorEastAsia" w:hAnsiTheme="minorEastAsia" w:eastAsiaTheme="minorEastAsia"/>
          <w:color w:val="auto"/>
          <w:sz w:val="21"/>
          <w:szCs w:val="21"/>
          <w:highlight w:val="none"/>
          <w:shd w:val="clear" w:color="auto" w:fill="FFFFFF"/>
          <w:lang w:val="en-US" w:eastAsia="zh-CN" w:bidi="ar-SA"/>
        </w:rPr>
        <w:t>；</w:t>
      </w:r>
    </w:p>
    <w:p>
      <w:pPr>
        <w:keepNext w:val="0"/>
        <w:keepLines w:val="0"/>
        <w:pageBreakBefore w:val="0"/>
        <w:widowControl w:val="0"/>
        <w:numPr>
          <w:ilvl w:val="0"/>
          <w:numId w:val="47"/>
        </w:numPr>
        <w:kinsoku/>
        <w:wordWrap/>
        <w:overflowPunct/>
        <w:topLinePunct w:val="0"/>
        <w:autoSpaceDE/>
        <w:autoSpaceDN/>
        <w:bidi w:val="0"/>
        <w:adjustRightInd/>
        <w:snapToGrid/>
        <w:spacing w:before="0" w:after="0" w:afterAutospacing="0" w:line="360" w:lineRule="auto"/>
        <w:ind w:left="0" w:leftChars="0" w:right="0" w:firstLine="420" w:firstLineChars="200"/>
        <w:jc w:val="both"/>
        <w:textAlignment w:val="auto"/>
        <w:rPr>
          <w:rFonts w:hint="default" w:cs="Courier New" w:asciiTheme="minorEastAsia" w:hAnsiTheme="minorEastAsia" w:eastAsiaTheme="minorEastAsia"/>
          <w:color w:val="auto"/>
          <w:sz w:val="21"/>
          <w:szCs w:val="21"/>
          <w:highlight w:val="none"/>
          <w:shd w:val="clear" w:color="auto" w:fill="FFFFFF"/>
          <w:lang w:val="en-US" w:eastAsia="zh-CN" w:bidi="ar-SA"/>
        </w:rPr>
      </w:pPr>
      <w:r>
        <w:rPr>
          <w:rFonts w:hint="default" w:cs="Courier New" w:asciiTheme="minorEastAsia" w:hAnsiTheme="minorEastAsia" w:eastAsiaTheme="minorEastAsia"/>
          <w:color w:val="auto"/>
          <w:sz w:val="21"/>
          <w:szCs w:val="21"/>
          <w:highlight w:val="none"/>
          <w:shd w:val="clear" w:color="auto" w:fill="FFFFFF"/>
          <w:lang w:val="en-US" w:eastAsia="zh-CN" w:bidi="ar-SA"/>
        </w:rPr>
        <w:t>支持本地回放历史图像和远程直接回放历史图像</w:t>
      </w:r>
      <w:r>
        <w:rPr>
          <w:rFonts w:hint="eastAsia" w:cs="Courier New" w:asciiTheme="minorEastAsia" w:hAnsiTheme="minorEastAsia" w:eastAsiaTheme="minorEastAsia"/>
          <w:color w:val="auto"/>
          <w:sz w:val="21"/>
          <w:szCs w:val="21"/>
          <w:highlight w:val="none"/>
          <w:shd w:val="clear" w:color="auto" w:fill="FFFFFF"/>
          <w:lang w:val="en-US" w:eastAsia="zh-CN" w:bidi="ar-SA"/>
        </w:rPr>
        <w:t>；</w:t>
      </w:r>
    </w:p>
    <w:p>
      <w:pPr>
        <w:keepNext w:val="0"/>
        <w:keepLines w:val="0"/>
        <w:pageBreakBefore w:val="0"/>
        <w:widowControl w:val="0"/>
        <w:numPr>
          <w:ilvl w:val="0"/>
          <w:numId w:val="47"/>
        </w:numPr>
        <w:kinsoku/>
        <w:wordWrap/>
        <w:overflowPunct/>
        <w:topLinePunct w:val="0"/>
        <w:autoSpaceDE/>
        <w:autoSpaceDN/>
        <w:bidi w:val="0"/>
        <w:adjustRightInd/>
        <w:snapToGrid/>
        <w:spacing w:before="0" w:after="0" w:afterAutospacing="0" w:line="360" w:lineRule="auto"/>
        <w:ind w:left="0" w:leftChars="0" w:right="0" w:firstLine="420" w:firstLineChars="200"/>
        <w:jc w:val="both"/>
        <w:textAlignment w:val="auto"/>
        <w:rPr>
          <w:rFonts w:hint="default" w:cs="Courier New" w:asciiTheme="minorEastAsia" w:hAnsiTheme="minorEastAsia" w:eastAsiaTheme="minorEastAsia"/>
          <w:color w:val="auto"/>
          <w:sz w:val="21"/>
          <w:szCs w:val="21"/>
          <w:highlight w:val="none"/>
          <w:shd w:val="clear" w:color="auto" w:fill="FFFFFF"/>
          <w:lang w:val="en-US" w:eastAsia="zh-CN" w:bidi="ar-SA"/>
        </w:rPr>
      </w:pPr>
      <w:r>
        <w:rPr>
          <w:rFonts w:hint="default" w:cs="Courier New" w:asciiTheme="minorEastAsia" w:hAnsiTheme="minorEastAsia" w:eastAsiaTheme="minorEastAsia"/>
          <w:color w:val="auto"/>
          <w:sz w:val="21"/>
          <w:szCs w:val="21"/>
          <w:highlight w:val="none"/>
          <w:shd w:val="clear" w:color="auto" w:fill="FFFFFF"/>
          <w:lang w:val="en-US" w:eastAsia="zh-CN" w:bidi="ar-SA"/>
        </w:rPr>
        <w:t>回放时播放、倒放、快进、快退、拖曳、暂停等操作正常。</w:t>
      </w:r>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099" w:name="_Toc32560"/>
      <w:bookmarkStart w:id="2100" w:name="_Toc12321"/>
      <w:bookmarkStart w:id="2101" w:name="_Toc6843_WPSOffice_Level3"/>
      <w:r>
        <w:rPr>
          <w:rFonts w:hint="eastAsia" w:ascii="黑体" w:hAnsi="黑体" w:eastAsia="黑体" w:cs="宋体"/>
          <w:bCs/>
          <w:color w:val="auto"/>
          <w:sz w:val="24"/>
          <w:szCs w:val="24"/>
          <w:highlight w:val="none"/>
          <w:lang w:val="en-US" w:eastAsia="zh-CN" w:bidi="ar-SA"/>
        </w:rPr>
        <w:t>质量控制措施</w:t>
      </w:r>
      <w:bookmarkEnd w:id="2099"/>
      <w:bookmarkEnd w:id="2100"/>
      <w:bookmarkEnd w:id="2101"/>
    </w:p>
    <w:p>
      <w:pPr>
        <w:keepNext w:val="0"/>
        <w:keepLines w:val="0"/>
        <w:pageBreakBefore w:val="0"/>
        <w:widowControl w:val="0"/>
        <w:numPr>
          <w:ilvl w:val="0"/>
          <w:numId w:val="48"/>
        </w:numPr>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项目</w:t>
      </w:r>
      <w:r>
        <w:rPr>
          <w:rFonts w:ascii="宋体" w:hAnsi="宋体" w:eastAsia="宋体" w:cs="宋体"/>
          <w:color w:val="auto"/>
          <w:sz w:val="21"/>
          <w:szCs w:val="21"/>
          <w:highlight w:val="none"/>
        </w:rPr>
        <w:t>进场后，</w:t>
      </w:r>
      <w:r>
        <w:rPr>
          <w:rFonts w:hint="eastAsia" w:ascii="宋体" w:hAnsi="宋体" w:eastAsia="宋体" w:cs="宋体"/>
          <w:color w:val="auto"/>
          <w:sz w:val="21"/>
          <w:szCs w:val="21"/>
          <w:highlight w:val="none"/>
          <w:lang w:eastAsia="zh-CN"/>
        </w:rPr>
        <w:t>乙方</w:t>
      </w:r>
      <w:r>
        <w:rPr>
          <w:rFonts w:ascii="宋体" w:hAnsi="宋体" w:eastAsia="宋体" w:cs="宋体"/>
          <w:color w:val="auto"/>
          <w:sz w:val="21"/>
          <w:szCs w:val="21"/>
          <w:highlight w:val="none"/>
        </w:rPr>
        <w:t>按</w:t>
      </w:r>
      <w:r>
        <w:rPr>
          <w:rFonts w:hint="eastAsia" w:ascii="宋体" w:hAnsi="宋体" w:eastAsia="宋体" w:cs="宋体"/>
          <w:color w:val="auto"/>
          <w:sz w:val="21"/>
          <w:szCs w:val="21"/>
          <w:highlight w:val="none"/>
        </w:rPr>
        <w:t>要求</w:t>
      </w:r>
      <w:r>
        <w:rPr>
          <w:rFonts w:ascii="宋体" w:hAnsi="宋体" w:eastAsia="宋体" w:cs="宋体"/>
          <w:color w:val="auto"/>
          <w:sz w:val="21"/>
          <w:szCs w:val="21"/>
          <w:highlight w:val="none"/>
        </w:rPr>
        <w:t>组织所有</w:t>
      </w:r>
      <w:r>
        <w:rPr>
          <w:rFonts w:hint="eastAsia" w:ascii="宋体" w:hAnsi="宋体" w:eastAsia="宋体" w:cs="宋体"/>
          <w:color w:val="auto"/>
          <w:sz w:val="21"/>
          <w:szCs w:val="21"/>
          <w:highlight w:val="none"/>
          <w:lang w:val="en-US" w:eastAsia="zh-CN"/>
        </w:rPr>
        <w:t>施工</w:t>
      </w:r>
      <w:r>
        <w:rPr>
          <w:rFonts w:ascii="宋体" w:hAnsi="宋体" w:eastAsia="宋体" w:cs="宋体"/>
          <w:color w:val="auto"/>
          <w:sz w:val="21"/>
          <w:szCs w:val="21"/>
          <w:highlight w:val="none"/>
        </w:rPr>
        <w:t>人员参加</w:t>
      </w:r>
      <w:r>
        <w:rPr>
          <w:rFonts w:hint="eastAsia" w:ascii="宋体" w:hAnsi="宋体" w:eastAsia="宋体" w:cs="宋体"/>
          <w:color w:val="auto"/>
          <w:sz w:val="21"/>
          <w:szCs w:val="21"/>
          <w:highlight w:val="none"/>
          <w:lang w:eastAsia="zh-CN"/>
        </w:rPr>
        <w:t>甲方</w:t>
      </w:r>
      <w:r>
        <w:rPr>
          <w:rFonts w:ascii="宋体" w:hAnsi="宋体" w:eastAsia="宋体" w:cs="宋体"/>
          <w:color w:val="auto"/>
          <w:sz w:val="21"/>
          <w:szCs w:val="21"/>
          <w:highlight w:val="none"/>
        </w:rPr>
        <w:t>组织的</w:t>
      </w:r>
      <w:r>
        <w:rPr>
          <w:rFonts w:hint="eastAsia" w:ascii="宋体" w:hAnsi="宋体" w:eastAsia="宋体" w:cs="宋体"/>
          <w:color w:val="auto"/>
          <w:sz w:val="21"/>
          <w:szCs w:val="21"/>
          <w:highlight w:val="none"/>
        </w:rPr>
        <w:t>施工</w:t>
      </w:r>
      <w:r>
        <w:rPr>
          <w:rFonts w:ascii="宋体" w:hAnsi="宋体" w:eastAsia="宋体" w:cs="宋体"/>
          <w:color w:val="auto"/>
          <w:sz w:val="21"/>
          <w:szCs w:val="21"/>
          <w:highlight w:val="none"/>
        </w:rPr>
        <w:t>作业相关</w:t>
      </w:r>
      <w:r>
        <w:rPr>
          <w:rFonts w:hint="eastAsia" w:ascii="宋体" w:hAnsi="宋体" w:eastAsia="宋体" w:cs="宋体"/>
          <w:color w:val="auto"/>
          <w:sz w:val="21"/>
          <w:szCs w:val="21"/>
          <w:highlight w:val="none"/>
        </w:rPr>
        <w:t>规章</w:t>
      </w:r>
      <w:r>
        <w:rPr>
          <w:rFonts w:ascii="宋体" w:hAnsi="宋体" w:eastAsia="宋体" w:cs="宋体"/>
          <w:color w:val="auto"/>
          <w:sz w:val="21"/>
          <w:szCs w:val="21"/>
          <w:highlight w:val="none"/>
        </w:rPr>
        <w:t>制度</w:t>
      </w:r>
      <w:r>
        <w:rPr>
          <w:rFonts w:hint="eastAsia" w:ascii="宋体" w:hAnsi="宋体" w:eastAsia="宋体" w:cs="宋体"/>
          <w:color w:val="auto"/>
          <w:sz w:val="21"/>
          <w:szCs w:val="21"/>
          <w:highlight w:val="none"/>
        </w:rPr>
        <w:t>及标准</w:t>
      </w:r>
      <w:r>
        <w:rPr>
          <w:rFonts w:ascii="宋体" w:hAnsi="宋体" w:eastAsia="宋体" w:cs="宋体"/>
          <w:color w:val="auto"/>
          <w:sz w:val="21"/>
          <w:szCs w:val="21"/>
          <w:highlight w:val="none"/>
        </w:rPr>
        <w:t>的培训，并保证全员合格。</w:t>
      </w:r>
    </w:p>
    <w:p>
      <w:pPr>
        <w:keepNext w:val="0"/>
        <w:keepLines w:val="0"/>
        <w:pageBreakBefore w:val="0"/>
        <w:widowControl w:val="0"/>
        <w:numPr>
          <w:ilvl w:val="0"/>
          <w:numId w:val="48"/>
        </w:numPr>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作业前须与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进行技术交底，熟悉所施工作业区域及</w:t>
      </w:r>
      <w:r>
        <w:rPr>
          <w:rFonts w:ascii="宋体" w:hAnsi="宋体" w:eastAsia="宋体" w:cs="宋体"/>
          <w:color w:val="auto"/>
          <w:sz w:val="21"/>
          <w:szCs w:val="21"/>
          <w:highlight w:val="none"/>
        </w:rPr>
        <w:t>安装设备性能</w:t>
      </w:r>
      <w:r>
        <w:rPr>
          <w:rFonts w:hint="eastAsia" w:ascii="宋体" w:hAnsi="宋体" w:eastAsia="宋体" w:cs="宋体"/>
          <w:color w:val="auto"/>
          <w:sz w:val="21"/>
          <w:szCs w:val="21"/>
          <w:highlight w:val="none"/>
        </w:rPr>
        <w:t>。</w:t>
      </w:r>
    </w:p>
    <w:p>
      <w:pPr>
        <w:keepNext w:val="0"/>
        <w:keepLines w:val="0"/>
        <w:pageBreakBefore w:val="0"/>
        <w:widowControl w:val="0"/>
        <w:numPr>
          <w:ilvl w:val="0"/>
          <w:numId w:val="48"/>
        </w:numPr>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Times New Roman" w:hAnsi="Times New Roman" w:eastAsia="宋体" w:cs="Times New Roman"/>
          <w:color w:val="auto"/>
          <w:sz w:val="21"/>
          <w:szCs w:val="24"/>
          <w:highlight w:val="none"/>
        </w:rPr>
      </w:pPr>
      <w:r>
        <w:rPr>
          <w:rFonts w:hint="eastAsia" w:ascii="宋体" w:hAnsi="宋体" w:eastAsia="宋体" w:cs="宋体"/>
          <w:color w:val="auto"/>
          <w:sz w:val="21"/>
          <w:szCs w:val="21"/>
          <w:highlight w:val="none"/>
          <w:lang w:eastAsia="zh-CN"/>
        </w:rPr>
        <w:t>乙方</w:t>
      </w:r>
      <w:r>
        <w:rPr>
          <w:rFonts w:ascii="宋体" w:hAnsi="宋体" w:eastAsia="宋体" w:cs="宋体"/>
          <w:color w:val="auto"/>
          <w:sz w:val="21"/>
          <w:szCs w:val="21"/>
          <w:highlight w:val="none"/>
        </w:rPr>
        <w:t>施工完成后，对</w:t>
      </w:r>
      <w:r>
        <w:rPr>
          <w:rFonts w:hint="eastAsia" w:cs="宋体" w:asciiTheme="minorEastAsia" w:hAnsiTheme="minorEastAsia" w:eastAsiaTheme="minorEastAsia"/>
          <w:color w:val="FF0000"/>
          <w:kern w:val="2"/>
          <w:sz w:val="21"/>
          <w:szCs w:val="21"/>
          <w:highlight w:val="none"/>
          <w:lang w:val="en-US" w:eastAsia="zh-CN" w:bidi="ar-SA"/>
        </w:rPr>
        <w:t>南宁轨道交通1-5号线出入段（场）线地面洞口及个别车站紧急疏散口视频监控补盲项目</w:t>
      </w:r>
      <w:r>
        <w:rPr>
          <w:rFonts w:ascii="宋体" w:hAnsi="宋体" w:eastAsia="宋体" w:cs="宋体"/>
          <w:color w:val="auto"/>
          <w:sz w:val="21"/>
          <w:szCs w:val="21"/>
          <w:highlight w:val="none"/>
        </w:rPr>
        <w:t>区域进行</w:t>
      </w:r>
      <w:r>
        <w:rPr>
          <w:rFonts w:hint="eastAsia" w:ascii="宋体" w:hAnsi="宋体" w:eastAsia="宋体" w:cs="宋体"/>
          <w:color w:val="auto"/>
          <w:sz w:val="21"/>
          <w:szCs w:val="21"/>
          <w:highlight w:val="none"/>
        </w:rPr>
        <w:t>设备</w:t>
      </w:r>
      <w:r>
        <w:rPr>
          <w:rFonts w:ascii="宋体" w:hAnsi="宋体" w:eastAsia="宋体" w:cs="宋体"/>
          <w:color w:val="auto"/>
          <w:sz w:val="21"/>
          <w:szCs w:val="21"/>
          <w:highlight w:val="none"/>
        </w:rPr>
        <w:t>安装</w:t>
      </w:r>
      <w:r>
        <w:rPr>
          <w:rFonts w:hint="eastAsia" w:ascii="宋体" w:hAnsi="宋体" w:eastAsia="宋体" w:cs="宋体"/>
          <w:color w:val="auto"/>
          <w:sz w:val="21"/>
          <w:szCs w:val="21"/>
          <w:highlight w:val="none"/>
        </w:rPr>
        <w:t>及</w:t>
      </w:r>
      <w:r>
        <w:rPr>
          <w:rFonts w:ascii="宋体" w:hAnsi="宋体" w:eastAsia="宋体" w:cs="宋体"/>
          <w:color w:val="auto"/>
          <w:sz w:val="21"/>
          <w:szCs w:val="21"/>
          <w:highlight w:val="none"/>
        </w:rPr>
        <w:t>功能验收</w:t>
      </w:r>
      <w:r>
        <w:rPr>
          <w:rFonts w:hint="eastAsia" w:ascii="宋体" w:hAnsi="宋体" w:eastAsia="宋体" w:cs="宋体"/>
          <w:color w:val="auto"/>
          <w:sz w:val="21"/>
          <w:szCs w:val="21"/>
          <w:highlight w:val="none"/>
        </w:rPr>
        <w:t>，设备</w:t>
      </w:r>
      <w:r>
        <w:rPr>
          <w:rFonts w:ascii="宋体" w:hAnsi="宋体" w:eastAsia="宋体" w:cs="宋体"/>
          <w:color w:val="auto"/>
          <w:sz w:val="21"/>
          <w:szCs w:val="21"/>
          <w:highlight w:val="none"/>
        </w:rPr>
        <w:t>安装</w:t>
      </w:r>
      <w:r>
        <w:rPr>
          <w:rFonts w:hint="eastAsia" w:ascii="宋体" w:hAnsi="宋体" w:eastAsia="宋体" w:cs="宋体"/>
          <w:color w:val="auto"/>
          <w:sz w:val="21"/>
          <w:szCs w:val="21"/>
          <w:highlight w:val="none"/>
          <w:lang w:val="en-US" w:eastAsia="zh-CN"/>
        </w:rPr>
        <w:t>须</w:t>
      </w:r>
      <w:r>
        <w:rPr>
          <w:rFonts w:hint="eastAsia" w:ascii="宋体" w:hAnsi="宋体" w:eastAsia="宋体" w:cs="宋体"/>
          <w:color w:val="auto"/>
          <w:sz w:val="21"/>
          <w:szCs w:val="21"/>
          <w:highlight w:val="none"/>
        </w:rPr>
        <w:t>满足</w:t>
      </w:r>
      <w:r>
        <w:rPr>
          <w:rFonts w:ascii="宋体" w:hAnsi="宋体" w:eastAsia="宋体" w:cs="宋体"/>
          <w:color w:val="auto"/>
          <w:sz w:val="21"/>
          <w:szCs w:val="21"/>
          <w:highlight w:val="none"/>
        </w:rPr>
        <w:t>相关设备安装</w:t>
      </w:r>
      <w:r>
        <w:rPr>
          <w:rFonts w:hint="eastAsia" w:ascii="宋体" w:hAnsi="宋体" w:eastAsia="宋体" w:cs="宋体"/>
          <w:color w:val="auto"/>
          <w:sz w:val="21"/>
          <w:szCs w:val="21"/>
          <w:highlight w:val="none"/>
          <w:lang w:eastAsia="zh-CN"/>
        </w:rPr>
        <w:t>的</w:t>
      </w:r>
      <w:r>
        <w:rPr>
          <w:rFonts w:ascii="宋体" w:hAnsi="宋体" w:eastAsia="宋体" w:cs="宋体"/>
          <w:color w:val="auto"/>
          <w:sz w:val="21"/>
          <w:szCs w:val="21"/>
          <w:highlight w:val="none"/>
        </w:rPr>
        <w:t>标准</w:t>
      </w:r>
      <w:r>
        <w:rPr>
          <w:rFonts w:hint="eastAsia" w:ascii="宋体" w:hAnsi="宋体" w:eastAsia="宋体" w:cs="宋体"/>
          <w:color w:val="auto"/>
          <w:sz w:val="21"/>
          <w:szCs w:val="21"/>
          <w:highlight w:val="none"/>
          <w:lang w:eastAsia="zh-CN"/>
        </w:rPr>
        <w:t>；</w:t>
      </w:r>
      <w:r>
        <w:rPr>
          <w:rFonts w:hint="eastAsia" w:ascii="Times New Roman" w:hAnsi="Times New Roman" w:eastAsia="宋体" w:cs="Times New Roman"/>
          <w:color w:val="auto"/>
          <w:sz w:val="21"/>
          <w:szCs w:val="24"/>
          <w:highlight w:val="none"/>
          <w:lang w:val="en-US" w:eastAsia="zh-CN"/>
        </w:rPr>
        <w:t>CCT</w:t>
      </w:r>
      <w:r>
        <w:rPr>
          <w:rFonts w:hint="eastAsia" w:eastAsia="Times New Roman" w:cs="Times New Roman"/>
          <w:color w:val="auto"/>
          <w:sz w:val="21"/>
          <w:szCs w:val="24"/>
          <w:highlight w:val="none"/>
          <w:lang w:val="en-US" w:eastAsia="zh-CN"/>
        </w:rPr>
        <w:t>V</w:t>
      </w:r>
      <w:r>
        <w:rPr>
          <w:rFonts w:hint="eastAsia" w:ascii="Times New Roman" w:hAnsi="Times New Roman" w:eastAsia="宋体" w:cs="Times New Roman"/>
          <w:color w:val="auto"/>
          <w:sz w:val="21"/>
          <w:szCs w:val="24"/>
          <w:highlight w:val="none"/>
          <w:lang w:val="en-US" w:eastAsia="zh-CN"/>
        </w:rPr>
        <w:t>摄像机软硬件功能须满足</w:t>
      </w:r>
      <w:r>
        <w:rPr>
          <w:rFonts w:hint="eastAsia" w:ascii="Times New Roman" w:hAnsi="Times New Roman" w:eastAsia="宋体" w:cs="Times New Roman"/>
          <w:color w:val="auto"/>
          <w:sz w:val="21"/>
          <w:szCs w:val="24"/>
          <w:highlight w:val="none"/>
        </w:rPr>
        <w:t>正常使用的</w:t>
      </w:r>
      <w:r>
        <w:rPr>
          <w:rFonts w:ascii="Times New Roman" w:hAnsi="Times New Roman" w:eastAsia="宋体" w:cs="Times New Roman"/>
          <w:color w:val="auto"/>
          <w:sz w:val="21"/>
          <w:szCs w:val="24"/>
          <w:highlight w:val="none"/>
        </w:rPr>
        <w:t>需求</w:t>
      </w:r>
      <w:r>
        <w:rPr>
          <w:rFonts w:hint="eastAsia" w:ascii="Times New Roman" w:hAnsi="Times New Roman" w:eastAsia="宋体" w:cs="Times New Roman"/>
          <w:color w:val="auto"/>
          <w:sz w:val="21"/>
          <w:szCs w:val="24"/>
          <w:highlight w:val="none"/>
        </w:rPr>
        <w:t>和南宁轨道交通运营服务标准。</w:t>
      </w:r>
    </w:p>
    <w:p>
      <w:pPr>
        <w:keepNext w:val="0"/>
        <w:keepLines w:val="0"/>
        <w:pageBreakBefore w:val="0"/>
        <w:widowControl w:val="0"/>
        <w:numPr>
          <w:ilvl w:val="0"/>
          <w:numId w:val="48"/>
        </w:numPr>
        <w:kinsoku/>
        <w:wordWrap/>
        <w:overflowPunct/>
        <w:topLinePunct w:val="0"/>
        <w:autoSpaceDE/>
        <w:autoSpaceDN/>
        <w:bidi w:val="0"/>
        <w:adjustRightInd/>
        <w:snapToGrid/>
        <w:spacing w:before="0" w:after="0" w:afterAutospacing="0" w:line="360" w:lineRule="auto"/>
        <w:ind w:left="0" w:right="0" w:firstLine="420" w:firstLineChars="200"/>
        <w:textAlignment w:val="auto"/>
        <w:rPr>
          <w:rFonts w:ascii="Times New Roman" w:hAnsi="Times New Roman" w:eastAsia="宋体" w:cs="Times New Roman"/>
          <w:color w:val="auto"/>
          <w:sz w:val="24"/>
          <w:szCs w:val="24"/>
          <w:highlight w:val="none"/>
        </w:rPr>
      </w:pPr>
      <w:r>
        <w:rPr>
          <w:rFonts w:hint="eastAsia" w:ascii="宋体" w:hAnsi="宋体" w:eastAsia="宋体" w:cs="宋体"/>
          <w:color w:val="auto"/>
          <w:sz w:val="21"/>
          <w:szCs w:val="21"/>
          <w:highlight w:val="none"/>
        </w:rPr>
        <w:t>项目验收</w:t>
      </w:r>
      <w:r>
        <w:rPr>
          <w:rFonts w:ascii="宋体" w:hAnsi="宋体" w:eastAsia="宋体" w:cs="宋体"/>
          <w:color w:val="auto"/>
          <w:sz w:val="21"/>
          <w:szCs w:val="21"/>
          <w:highlight w:val="none"/>
        </w:rPr>
        <w:t>时</w:t>
      </w:r>
      <w:r>
        <w:rPr>
          <w:rFonts w:hint="eastAsia" w:ascii="宋体" w:hAnsi="宋体" w:eastAsia="宋体" w:cs="宋体"/>
          <w:color w:val="auto"/>
          <w:sz w:val="21"/>
          <w:szCs w:val="21"/>
          <w:highlight w:val="none"/>
        </w:rPr>
        <w:t>未</w:t>
      </w:r>
      <w:r>
        <w:rPr>
          <w:rFonts w:ascii="宋体" w:hAnsi="宋体" w:eastAsia="宋体" w:cs="宋体"/>
          <w:color w:val="auto"/>
          <w:sz w:val="21"/>
          <w:szCs w:val="21"/>
          <w:highlight w:val="none"/>
        </w:rPr>
        <w:t>满足</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安装</w:t>
      </w:r>
      <w:r>
        <w:rPr>
          <w:rFonts w:ascii="宋体" w:hAnsi="宋体" w:eastAsia="宋体" w:cs="宋体"/>
          <w:color w:val="auto"/>
          <w:sz w:val="21"/>
          <w:szCs w:val="21"/>
          <w:highlight w:val="none"/>
        </w:rPr>
        <w:t>质量</w:t>
      </w:r>
      <w:r>
        <w:rPr>
          <w:rFonts w:hint="eastAsia" w:ascii="宋体" w:hAnsi="宋体" w:eastAsia="宋体" w:cs="宋体"/>
          <w:color w:val="auto"/>
          <w:sz w:val="21"/>
          <w:szCs w:val="21"/>
          <w:highlight w:val="none"/>
        </w:rPr>
        <w:t>标准</w:t>
      </w:r>
      <w:r>
        <w:rPr>
          <w:rFonts w:ascii="宋体" w:hAnsi="宋体" w:eastAsia="宋体" w:cs="宋体"/>
          <w:color w:val="auto"/>
          <w:sz w:val="21"/>
          <w:szCs w:val="21"/>
          <w:highlight w:val="none"/>
        </w:rPr>
        <w:t>及功能</w:t>
      </w:r>
      <w:r>
        <w:rPr>
          <w:rFonts w:hint="eastAsia" w:ascii="宋体" w:hAnsi="宋体" w:eastAsia="宋体" w:cs="宋体"/>
          <w:color w:val="auto"/>
          <w:sz w:val="21"/>
          <w:szCs w:val="21"/>
          <w:highlight w:val="none"/>
        </w:rPr>
        <w:t>标准</w:t>
      </w:r>
      <w:r>
        <w:rPr>
          <w:rFonts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须在15天</w:t>
      </w:r>
      <w:r>
        <w:rPr>
          <w:rFonts w:ascii="宋体" w:hAnsi="宋体" w:eastAsia="宋体" w:cs="宋体"/>
          <w:color w:val="auto"/>
          <w:sz w:val="21"/>
          <w:szCs w:val="21"/>
          <w:highlight w:val="none"/>
        </w:rPr>
        <w:t>内完成整改</w:t>
      </w:r>
      <w:r>
        <w:rPr>
          <w:rFonts w:hint="eastAsia" w:ascii="宋体" w:hAnsi="宋体" w:eastAsia="宋体" w:cs="宋体"/>
          <w:color w:val="auto"/>
          <w:sz w:val="21"/>
          <w:szCs w:val="21"/>
          <w:highlight w:val="none"/>
        </w:rPr>
        <w:t>，</w:t>
      </w:r>
      <w:r>
        <w:rPr>
          <w:rFonts w:ascii="宋体" w:hAnsi="宋体" w:eastAsia="宋体" w:cs="宋体"/>
          <w:color w:val="auto"/>
          <w:sz w:val="21"/>
          <w:szCs w:val="21"/>
          <w:highlight w:val="none"/>
        </w:rPr>
        <w:t>若拒不整改，</w:t>
      </w:r>
      <w:r>
        <w:rPr>
          <w:rFonts w:hint="eastAsia" w:ascii="宋体" w:hAnsi="宋体" w:eastAsia="宋体" w:cs="宋体"/>
          <w:color w:val="auto"/>
          <w:sz w:val="21"/>
          <w:szCs w:val="21"/>
          <w:highlight w:val="none"/>
          <w:lang w:eastAsia="zh-CN"/>
        </w:rPr>
        <w:t>甲方</w:t>
      </w:r>
      <w:r>
        <w:rPr>
          <w:rFonts w:ascii="宋体" w:hAnsi="宋体" w:eastAsia="宋体" w:cs="宋体"/>
          <w:color w:val="auto"/>
          <w:sz w:val="21"/>
          <w:szCs w:val="21"/>
          <w:highlight w:val="none"/>
        </w:rPr>
        <w:t>有权</w:t>
      </w:r>
      <w:r>
        <w:rPr>
          <w:rFonts w:hint="eastAsia" w:ascii="宋体" w:hAnsi="宋体" w:eastAsia="宋体" w:cs="宋体"/>
          <w:color w:val="auto"/>
          <w:sz w:val="21"/>
          <w:szCs w:val="21"/>
          <w:highlight w:val="none"/>
        </w:rPr>
        <w:t>终止</w:t>
      </w:r>
      <w:r>
        <w:rPr>
          <w:rFonts w:ascii="宋体" w:hAnsi="宋体" w:eastAsia="宋体" w:cs="宋体"/>
          <w:color w:val="auto"/>
          <w:sz w:val="21"/>
          <w:szCs w:val="21"/>
          <w:highlight w:val="none"/>
        </w:rPr>
        <w:t>合同，并由</w:t>
      </w:r>
      <w:r>
        <w:rPr>
          <w:rFonts w:hint="eastAsia" w:ascii="宋体" w:hAnsi="宋体" w:eastAsia="宋体" w:cs="宋体"/>
          <w:color w:val="auto"/>
          <w:sz w:val="21"/>
          <w:szCs w:val="21"/>
          <w:highlight w:val="none"/>
          <w:lang w:eastAsia="zh-CN"/>
        </w:rPr>
        <w:t>乙方</w:t>
      </w:r>
      <w:r>
        <w:rPr>
          <w:rFonts w:ascii="宋体" w:hAnsi="宋体" w:eastAsia="宋体" w:cs="宋体"/>
          <w:color w:val="auto"/>
          <w:sz w:val="21"/>
          <w:szCs w:val="21"/>
          <w:highlight w:val="none"/>
        </w:rPr>
        <w:t>赔偿</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因此</w:t>
      </w:r>
      <w:r>
        <w:rPr>
          <w:rFonts w:ascii="宋体" w:hAnsi="宋体" w:eastAsia="宋体" w:cs="宋体"/>
          <w:color w:val="auto"/>
          <w:sz w:val="21"/>
          <w:szCs w:val="21"/>
          <w:highlight w:val="none"/>
        </w:rPr>
        <w:t>而造成的</w:t>
      </w:r>
      <w:r>
        <w:rPr>
          <w:rFonts w:hint="eastAsia" w:ascii="宋体" w:hAnsi="宋体" w:eastAsia="宋体" w:cs="宋体"/>
          <w:color w:val="auto"/>
          <w:sz w:val="21"/>
          <w:szCs w:val="21"/>
          <w:highlight w:val="none"/>
        </w:rPr>
        <w:t>一切</w:t>
      </w:r>
      <w:r>
        <w:rPr>
          <w:rFonts w:ascii="宋体" w:hAnsi="宋体" w:eastAsia="宋体" w:cs="宋体"/>
          <w:color w:val="auto"/>
          <w:sz w:val="21"/>
          <w:szCs w:val="21"/>
          <w:highlight w:val="none"/>
        </w:rPr>
        <w:t>损失</w:t>
      </w:r>
      <w:r>
        <w:rPr>
          <w:rFonts w:hint="eastAsia" w:ascii="宋体" w:hAnsi="宋体" w:eastAsia="宋体" w:cs="宋体"/>
          <w:color w:val="auto"/>
          <w:sz w:val="21"/>
          <w:szCs w:val="21"/>
          <w:highlight w:val="none"/>
        </w:rPr>
        <w:t>。</w:t>
      </w:r>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102" w:name="_Toc17601"/>
      <w:bookmarkStart w:id="2103" w:name="_Toc13061_WPSOffice_Level3"/>
      <w:bookmarkStart w:id="2104" w:name="_Toc5709"/>
      <w:r>
        <w:rPr>
          <w:rFonts w:hint="eastAsia" w:ascii="黑体" w:hAnsi="黑体" w:eastAsia="黑体" w:cs="宋体"/>
          <w:bCs/>
          <w:color w:val="auto"/>
          <w:sz w:val="24"/>
          <w:szCs w:val="24"/>
          <w:highlight w:val="none"/>
          <w:lang w:val="en-US" w:eastAsia="zh-CN" w:bidi="ar-SA"/>
        </w:rPr>
        <w:t>质量保证</w:t>
      </w:r>
      <w:bookmarkEnd w:id="2102"/>
      <w:bookmarkEnd w:id="2103"/>
      <w:bookmarkEnd w:id="2104"/>
    </w:p>
    <w:p>
      <w:pPr>
        <w:widowControl w:val="0"/>
        <w:numPr>
          <w:ilvl w:val="0"/>
          <w:numId w:val="49"/>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验收</w:t>
      </w:r>
      <w:r>
        <w:rPr>
          <w:rFonts w:hint="eastAsia" w:ascii="宋体" w:hAnsi="宋体" w:eastAsia="宋体" w:cs="宋体"/>
          <w:color w:val="auto"/>
          <w:sz w:val="21"/>
          <w:szCs w:val="21"/>
          <w:highlight w:val="none"/>
        </w:rPr>
        <w:t>通过后开始</w:t>
      </w:r>
      <w:r>
        <w:rPr>
          <w:rFonts w:hint="eastAsia" w:ascii="宋体" w:hAnsi="宋体" w:eastAsia="宋体" w:cs="宋体"/>
          <w:color w:val="auto"/>
          <w:sz w:val="21"/>
          <w:szCs w:val="21"/>
          <w:highlight w:val="none"/>
          <w:lang w:eastAsia="zh-CN"/>
        </w:rPr>
        <w:t>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内为质保期</w:t>
      </w:r>
      <w:r>
        <w:rPr>
          <w:rFonts w:hint="eastAsia" w:ascii="宋体" w:hAnsi="宋体" w:eastAsia="宋体" w:cs="宋体"/>
          <w:color w:val="auto"/>
          <w:sz w:val="21"/>
          <w:szCs w:val="21"/>
          <w:highlight w:val="none"/>
        </w:rPr>
        <w:t>。</w:t>
      </w:r>
    </w:p>
    <w:p>
      <w:pPr>
        <w:widowControl w:val="0"/>
        <w:numPr>
          <w:ilvl w:val="0"/>
          <w:numId w:val="49"/>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质保期</w:t>
      </w:r>
      <w:r>
        <w:rPr>
          <w:rFonts w:hint="eastAsia" w:ascii="宋体" w:hAnsi="宋体" w:eastAsia="宋体" w:cs="宋体"/>
          <w:color w:val="auto"/>
          <w:sz w:val="21"/>
          <w:szCs w:val="21"/>
          <w:highlight w:val="none"/>
        </w:rPr>
        <w:t>内，</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继续对所有安装和提供的设备负责。</w:t>
      </w:r>
    </w:p>
    <w:p>
      <w:pPr>
        <w:widowControl w:val="0"/>
        <w:numPr>
          <w:ilvl w:val="0"/>
          <w:numId w:val="49"/>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在质保期内，</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继续记录设备运行的所有故障。</w:t>
      </w:r>
    </w:p>
    <w:p>
      <w:pPr>
        <w:widowControl w:val="0"/>
        <w:numPr>
          <w:ilvl w:val="0"/>
          <w:numId w:val="49"/>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在质保期内，若因故障以至无法正常运营，</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须免费进行整机更换，</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需就此作出书面承诺。</w:t>
      </w:r>
    </w:p>
    <w:p>
      <w:pPr>
        <w:widowControl w:val="0"/>
        <w:numPr>
          <w:ilvl w:val="0"/>
          <w:numId w:val="49"/>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val="en-US" w:eastAsia="zh-CN"/>
        </w:rPr>
        <w:t>质保期</w:t>
      </w:r>
      <w:r>
        <w:rPr>
          <w:rFonts w:hint="eastAsia" w:ascii="宋体" w:hAnsi="宋体" w:eastAsia="宋体" w:cs="宋体"/>
          <w:color w:val="auto"/>
          <w:sz w:val="21"/>
          <w:szCs w:val="21"/>
          <w:highlight w:val="none"/>
        </w:rPr>
        <w:t>内一旦系统或设备发生故障，</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应立即响应。在接到</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通知后，应在 2 小时内抵达故障现场。</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服务响应时间或抵达故障现场时间不符导致的一切损失由</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承担。</w:t>
      </w:r>
    </w:p>
    <w:p>
      <w:pPr>
        <w:widowControl w:val="0"/>
        <w:numPr>
          <w:ilvl w:val="0"/>
          <w:numId w:val="49"/>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质保期内所有附属部件的修理或更换需免费，并对所更换的设备重新质保。</w:t>
      </w:r>
    </w:p>
    <w:p>
      <w:pPr>
        <w:widowControl w:val="0"/>
        <w:numPr>
          <w:ilvl w:val="0"/>
          <w:numId w:val="49"/>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年质保期结束后，合同双方将正式办理最终验交手续，如不能进行最终验收，质保期顺延，直至最终验收。</w:t>
      </w:r>
    </w:p>
    <w:p>
      <w:pPr>
        <w:widowControl w:val="0"/>
        <w:numPr>
          <w:ilvl w:val="0"/>
          <w:numId w:val="49"/>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质保期结束后，合同双方将正式办理验交手续，合同顺利完成。</w:t>
      </w:r>
    </w:p>
    <w:p>
      <w:pPr>
        <w:widowControl w:val="0"/>
        <w:numPr>
          <w:ilvl w:val="0"/>
          <w:numId w:val="49"/>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在质量保证期内产品本身质量造成的问题，</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应免费实行三包（包修、包换、包赔），若主要元器件在质量保证期内因质量问题更换超过 5％，则</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应对该类元器件进行整批次更换，包括那些仍在使用的同类零部件，其质量保证期从更换之日起顺延（更换之日指主要元器件整批次更换完成时间），一切费用由</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负担。</w:t>
      </w:r>
    </w:p>
    <w:p>
      <w:pPr>
        <w:widowControl w:val="0"/>
        <w:numPr>
          <w:ilvl w:val="0"/>
          <w:numId w:val="49"/>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应免费提供设备安装调试过程及质保期内的随机部件，以及时替换在设备安装、调试及质保期内损坏的设备。</w:t>
      </w:r>
    </w:p>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105" w:name="_Toc12287"/>
      <w:bookmarkStart w:id="2106" w:name="_Toc19684"/>
      <w:bookmarkStart w:id="2107" w:name="_Toc1711"/>
      <w:bookmarkStart w:id="2108" w:name="_Toc9171_WPSOffice_Level2"/>
      <w:bookmarkStart w:id="2109" w:name="_Toc14159"/>
      <w:bookmarkStart w:id="2110" w:name="_Toc1535"/>
      <w:bookmarkStart w:id="2111" w:name="_Toc18418"/>
      <w:bookmarkStart w:id="2112" w:name="_Toc10380"/>
      <w:bookmarkStart w:id="2113" w:name="_Toc15521"/>
      <w:bookmarkStart w:id="2114" w:name="_Toc19533"/>
      <w:r>
        <w:rPr>
          <w:rFonts w:hint="eastAsia" w:ascii="黑体" w:hAnsi="黑体" w:eastAsia="黑体" w:cs="黑体"/>
          <w:color w:val="auto"/>
          <w:kern w:val="2"/>
          <w:sz w:val="28"/>
          <w:szCs w:val="28"/>
          <w:highlight w:val="none"/>
          <w:lang w:val="en-US" w:eastAsia="zh-CN" w:bidi="ar-SA"/>
        </w:rPr>
        <w:t>进场要求</w:t>
      </w:r>
      <w:bookmarkEnd w:id="2105"/>
      <w:bookmarkEnd w:id="2106"/>
      <w:bookmarkEnd w:id="2107"/>
      <w:bookmarkEnd w:id="2108"/>
      <w:bookmarkEnd w:id="2109"/>
      <w:bookmarkEnd w:id="2110"/>
      <w:bookmarkEnd w:id="2111"/>
      <w:bookmarkEnd w:id="2112"/>
      <w:bookmarkEnd w:id="2113"/>
      <w:bookmarkEnd w:id="2114"/>
    </w:p>
    <w:p>
      <w:pPr>
        <w:widowControl w:val="0"/>
        <w:numPr>
          <w:ilvl w:val="0"/>
          <w:numId w:val="50"/>
        </w:numPr>
        <w:spacing w:before="0" w:after="0" w:afterAutospacing="0" w:line="360" w:lineRule="auto"/>
        <w:ind w:left="0" w:right="0"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进场前按照要求完成项目部人员配置，并将项目人员配置情况提交</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备案后，</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组织项目人员开展进场准备工作。</w:t>
      </w:r>
    </w:p>
    <w:p>
      <w:pPr>
        <w:widowControl w:val="0"/>
        <w:numPr>
          <w:ilvl w:val="0"/>
          <w:numId w:val="50"/>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在进场前提交项目人员的低压电工证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高处作业证、焊接与热切割作业证等证件</w:t>
      </w:r>
      <w:r>
        <w:rPr>
          <w:rFonts w:hint="eastAsia" w:ascii="宋体" w:hAnsi="宋体" w:eastAsia="宋体" w:cs="宋体"/>
          <w:color w:val="auto"/>
          <w:sz w:val="21"/>
          <w:szCs w:val="21"/>
          <w:highlight w:val="none"/>
        </w:rPr>
        <w:t>复印件（有效期内）及特种作业证台账</w:t>
      </w:r>
      <w:r>
        <w:rPr>
          <w:rFonts w:hint="eastAsia" w:ascii="宋体" w:hAnsi="宋体" w:eastAsia="宋体" w:cs="宋体"/>
          <w:color w:val="auto"/>
          <w:sz w:val="21"/>
          <w:szCs w:val="21"/>
          <w:highlight w:val="none"/>
          <w:lang w:eastAsia="zh-CN"/>
        </w:rPr>
        <w:t>。</w:t>
      </w:r>
    </w:p>
    <w:p>
      <w:pPr>
        <w:widowControl w:val="0"/>
        <w:numPr>
          <w:ilvl w:val="0"/>
          <w:numId w:val="50"/>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在进场前完成安全生产协议签订。</w:t>
      </w:r>
    </w:p>
    <w:p>
      <w:pPr>
        <w:widowControl w:val="0"/>
        <w:numPr>
          <w:ilvl w:val="0"/>
          <w:numId w:val="50"/>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乙方须</w:t>
      </w:r>
      <w:r>
        <w:rPr>
          <w:rFonts w:hint="eastAsia" w:ascii="宋体" w:hAnsi="宋体" w:eastAsia="宋体" w:cs="宋体"/>
          <w:color w:val="auto"/>
          <w:sz w:val="21"/>
          <w:szCs w:val="21"/>
          <w:highlight w:val="none"/>
        </w:rPr>
        <w:t>严格遵守合同协议，组织足够力量的技术人员、施工人员</w:t>
      </w:r>
      <w:r>
        <w:rPr>
          <w:rFonts w:hint="eastAsia" w:ascii="宋体" w:hAnsi="宋体" w:eastAsia="宋体" w:cs="宋体"/>
          <w:color w:val="auto"/>
          <w:sz w:val="21"/>
          <w:szCs w:val="21"/>
          <w:highlight w:val="none"/>
          <w:lang w:val="en-US" w:eastAsia="zh-CN"/>
        </w:rPr>
        <w:t>按时</w:t>
      </w:r>
      <w:r>
        <w:rPr>
          <w:rFonts w:hint="eastAsia" w:ascii="宋体" w:hAnsi="宋体" w:eastAsia="宋体" w:cs="宋体"/>
          <w:color w:val="auto"/>
          <w:sz w:val="21"/>
          <w:szCs w:val="21"/>
          <w:highlight w:val="none"/>
        </w:rPr>
        <w:t>完成</w:t>
      </w:r>
      <w:r>
        <w:rPr>
          <w:rFonts w:hint="eastAsia" w:cs="宋体" w:asciiTheme="minorEastAsia" w:hAnsiTheme="minorEastAsia" w:eastAsiaTheme="minorEastAsia"/>
          <w:color w:val="auto"/>
          <w:kern w:val="2"/>
          <w:sz w:val="21"/>
          <w:szCs w:val="21"/>
          <w:highlight w:val="none"/>
          <w:lang w:val="en-US" w:eastAsia="zh-CN" w:bidi="ar-SA"/>
        </w:rPr>
        <w:t>南宁轨道交通1-5号线出入段（场）线地面洞口及个别车站紧急疏散口视频监控补盲项目</w:t>
      </w:r>
      <w:r>
        <w:rPr>
          <w:rFonts w:hint="eastAsia" w:ascii="宋体" w:hAnsi="宋体" w:eastAsia="宋体" w:cs="宋体"/>
          <w:color w:val="auto"/>
          <w:sz w:val="21"/>
          <w:szCs w:val="21"/>
          <w:highlight w:val="none"/>
        </w:rPr>
        <w:t>。</w:t>
      </w:r>
    </w:p>
    <w:p>
      <w:pPr>
        <w:widowControl w:val="0"/>
        <w:numPr>
          <w:ilvl w:val="0"/>
          <w:numId w:val="50"/>
        </w:numPr>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签发开工令后，项目人员方可正式进入作业地点开展</w:t>
      </w:r>
      <w:r>
        <w:rPr>
          <w:rFonts w:hint="eastAsia" w:ascii="宋体" w:hAnsi="宋体" w:eastAsia="宋体" w:cs="宋体"/>
          <w:color w:val="auto"/>
          <w:sz w:val="21"/>
          <w:szCs w:val="21"/>
          <w:highlight w:val="none"/>
          <w:lang w:val="en-US" w:eastAsia="zh-CN"/>
        </w:rPr>
        <w:t>项目改造</w:t>
      </w:r>
      <w:r>
        <w:rPr>
          <w:rFonts w:hint="eastAsia" w:ascii="宋体" w:hAnsi="宋体" w:eastAsia="宋体" w:cs="宋体"/>
          <w:color w:val="auto"/>
          <w:sz w:val="21"/>
          <w:szCs w:val="21"/>
          <w:highlight w:val="none"/>
        </w:rPr>
        <w:t>工作。</w:t>
      </w:r>
    </w:p>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115" w:name="_Toc2555"/>
      <w:bookmarkStart w:id="2116" w:name="_Toc9049"/>
      <w:bookmarkStart w:id="2117" w:name="_Toc18966"/>
      <w:bookmarkStart w:id="2118" w:name="_Toc11606"/>
      <w:bookmarkStart w:id="2119" w:name="_Toc18929"/>
      <w:bookmarkStart w:id="2120" w:name="_Toc22158"/>
      <w:bookmarkStart w:id="2121" w:name="_Toc14917"/>
      <w:bookmarkStart w:id="2122" w:name="_Toc18445"/>
      <w:bookmarkStart w:id="2123" w:name="_Toc31634_WPSOffice_Level2"/>
      <w:bookmarkStart w:id="2124" w:name="_Toc25310"/>
      <w:r>
        <w:rPr>
          <w:rFonts w:hint="eastAsia" w:ascii="黑体" w:hAnsi="黑体" w:eastAsia="黑体" w:cs="黑体"/>
          <w:color w:val="auto"/>
          <w:kern w:val="2"/>
          <w:sz w:val="28"/>
          <w:szCs w:val="28"/>
          <w:highlight w:val="none"/>
          <w:lang w:val="en-US" w:eastAsia="zh-CN" w:bidi="ar-SA"/>
        </w:rPr>
        <w:t>现场要求</w:t>
      </w:r>
      <w:bookmarkEnd w:id="2115"/>
      <w:bookmarkEnd w:id="2116"/>
      <w:bookmarkEnd w:id="2117"/>
      <w:bookmarkEnd w:id="2118"/>
      <w:bookmarkEnd w:id="2119"/>
      <w:bookmarkEnd w:id="2120"/>
      <w:bookmarkEnd w:id="2121"/>
      <w:bookmarkEnd w:id="2122"/>
      <w:bookmarkEnd w:id="2123"/>
      <w:bookmarkEnd w:id="2124"/>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125" w:name="_Toc30171"/>
      <w:bookmarkStart w:id="2126" w:name="_Toc9870"/>
      <w:bookmarkStart w:id="2127" w:name="_Toc24812_WPSOffice_Level3"/>
      <w:r>
        <w:rPr>
          <w:rFonts w:hint="eastAsia" w:ascii="黑体" w:hAnsi="黑体" w:eastAsia="黑体" w:cs="宋体"/>
          <w:bCs/>
          <w:color w:val="auto"/>
          <w:sz w:val="24"/>
          <w:szCs w:val="24"/>
          <w:highlight w:val="none"/>
          <w:lang w:val="en-US" w:eastAsia="zh-CN" w:bidi="ar-SA"/>
        </w:rPr>
        <w:t>一般要求</w:t>
      </w:r>
      <w:bookmarkEnd w:id="2125"/>
      <w:bookmarkEnd w:id="2126"/>
      <w:bookmarkEnd w:id="2127"/>
    </w:p>
    <w:p>
      <w:pPr>
        <w:widowControl w:val="0"/>
        <w:numPr>
          <w:ilvl w:val="0"/>
          <w:numId w:val="51"/>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本项目所有</w:t>
      </w:r>
      <w:r>
        <w:rPr>
          <w:rFonts w:ascii="宋体" w:hAnsi="宋体" w:eastAsia="宋体" w:cs="Times New Roman"/>
          <w:color w:val="auto"/>
          <w:sz w:val="21"/>
          <w:szCs w:val="21"/>
          <w:highlight w:val="none"/>
        </w:rPr>
        <w:t>施工作业</w:t>
      </w:r>
      <w:r>
        <w:rPr>
          <w:rFonts w:hint="eastAsia" w:ascii="宋体" w:hAnsi="宋体" w:eastAsia="宋体" w:cs="Times New Roman"/>
          <w:color w:val="auto"/>
          <w:sz w:val="21"/>
          <w:szCs w:val="21"/>
          <w:highlight w:val="none"/>
          <w:lang w:eastAsia="zh-CN"/>
        </w:rPr>
        <w:t>乙方</w:t>
      </w:r>
      <w:r>
        <w:rPr>
          <w:rFonts w:ascii="宋体" w:hAnsi="宋体" w:eastAsia="宋体" w:cs="Times New Roman"/>
          <w:color w:val="auto"/>
          <w:sz w:val="21"/>
          <w:szCs w:val="21"/>
          <w:highlight w:val="none"/>
        </w:rPr>
        <w:t>均须</w:t>
      </w:r>
      <w:r>
        <w:rPr>
          <w:rFonts w:hint="eastAsia" w:ascii="宋体" w:hAnsi="宋体" w:eastAsia="宋体" w:cs="Times New Roman"/>
          <w:color w:val="auto"/>
          <w:sz w:val="21"/>
          <w:szCs w:val="21"/>
          <w:highlight w:val="none"/>
        </w:rPr>
        <w:t>向</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提交施工</w:t>
      </w:r>
      <w:r>
        <w:rPr>
          <w:rFonts w:ascii="宋体" w:hAnsi="宋体" w:eastAsia="宋体" w:cs="Times New Roman"/>
          <w:color w:val="auto"/>
          <w:sz w:val="21"/>
          <w:szCs w:val="21"/>
          <w:highlight w:val="none"/>
        </w:rPr>
        <w:t>申请</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lang w:val="en-US" w:eastAsia="zh-CN"/>
        </w:rPr>
        <w:t>施工</w:t>
      </w:r>
      <w:r>
        <w:rPr>
          <w:rFonts w:hint="eastAsia" w:ascii="宋体" w:hAnsi="宋体" w:eastAsia="宋体" w:cs="Times New Roman"/>
          <w:color w:val="auto"/>
          <w:sz w:val="21"/>
          <w:szCs w:val="21"/>
          <w:highlight w:val="none"/>
        </w:rPr>
        <w:t>人员持</w:t>
      </w:r>
      <w:r>
        <w:rPr>
          <w:rFonts w:ascii="宋体" w:hAnsi="宋体" w:eastAsia="宋体" w:cs="Times New Roman"/>
          <w:color w:val="auto"/>
          <w:sz w:val="21"/>
          <w:szCs w:val="21"/>
          <w:highlight w:val="none"/>
        </w:rPr>
        <w:t>施工作业令请点</w:t>
      </w:r>
      <w:r>
        <w:rPr>
          <w:rFonts w:hint="eastAsia" w:ascii="宋体" w:hAnsi="宋体" w:eastAsia="宋体" w:cs="Times New Roman"/>
          <w:color w:val="auto"/>
          <w:sz w:val="21"/>
          <w:szCs w:val="21"/>
          <w:highlight w:val="none"/>
        </w:rPr>
        <w:t>作业</w:t>
      </w:r>
      <w:r>
        <w:rPr>
          <w:rFonts w:ascii="宋体" w:hAnsi="宋体" w:eastAsia="宋体" w:cs="Times New Roman"/>
          <w:color w:val="auto"/>
          <w:sz w:val="21"/>
          <w:szCs w:val="21"/>
          <w:highlight w:val="none"/>
        </w:rPr>
        <w:t>后，</w:t>
      </w:r>
      <w:r>
        <w:rPr>
          <w:rFonts w:hint="eastAsia" w:ascii="宋体" w:hAnsi="宋体" w:eastAsia="宋体" w:cs="Times New Roman"/>
          <w:color w:val="auto"/>
          <w:sz w:val="21"/>
          <w:szCs w:val="21"/>
          <w:highlight w:val="none"/>
          <w:lang w:eastAsia="zh-CN"/>
        </w:rPr>
        <w:t>乙方</w:t>
      </w:r>
      <w:r>
        <w:rPr>
          <w:rFonts w:ascii="宋体" w:hAnsi="宋体" w:eastAsia="宋体" w:cs="Times New Roman"/>
          <w:color w:val="auto"/>
          <w:sz w:val="21"/>
          <w:szCs w:val="21"/>
          <w:highlight w:val="none"/>
        </w:rPr>
        <w:t>方可进场作业。</w:t>
      </w:r>
      <w:r>
        <w:rPr>
          <w:rFonts w:hint="eastAsia" w:ascii="宋体" w:hAnsi="宋体" w:eastAsia="宋体" w:cs="Times New Roman"/>
          <w:color w:val="auto"/>
          <w:sz w:val="21"/>
          <w:szCs w:val="21"/>
          <w:highlight w:val="none"/>
        </w:rPr>
        <w:t>作业</w:t>
      </w:r>
      <w:r>
        <w:rPr>
          <w:rFonts w:ascii="宋体" w:hAnsi="宋体" w:eastAsia="宋体" w:cs="Times New Roman"/>
          <w:color w:val="auto"/>
          <w:sz w:val="21"/>
          <w:szCs w:val="21"/>
          <w:highlight w:val="none"/>
        </w:rPr>
        <w:t>过程</w:t>
      </w:r>
      <w:r>
        <w:rPr>
          <w:rFonts w:hint="eastAsia" w:ascii="宋体" w:hAnsi="宋体" w:eastAsia="宋体" w:cs="Times New Roman"/>
          <w:color w:val="auto"/>
          <w:sz w:val="21"/>
          <w:szCs w:val="21"/>
          <w:highlight w:val="none"/>
          <w:lang w:eastAsia="zh-CN"/>
        </w:rPr>
        <w:t>乙方</w:t>
      </w:r>
      <w:r>
        <w:rPr>
          <w:rFonts w:ascii="宋体" w:hAnsi="宋体" w:eastAsia="宋体" w:cs="Times New Roman"/>
          <w:color w:val="auto"/>
          <w:sz w:val="21"/>
          <w:szCs w:val="21"/>
          <w:highlight w:val="none"/>
        </w:rPr>
        <w:t>全面服从</w:t>
      </w:r>
      <w:r>
        <w:rPr>
          <w:rFonts w:hint="eastAsia" w:ascii="宋体" w:hAnsi="宋体" w:eastAsia="宋体" w:cs="Times New Roman"/>
          <w:color w:val="auto"/>
          <w:sz w:val="21"/>
          <w:szCs w:val="21"/>
          <w:highlight w:val="none"/>
          <w:lang w:eastAsia="zh-CN"/>
        </w:rPr>
        <w:t>甲方</w:t>
      </w:r>
      <w:r>
        <w:rPr>
          <w:rFonts w:ascii="宋体" w:hAnsi="宋体" w:eastAsia="宋体" w:cs="Times New Roman"/>
          <w:color w:val="auto"/>
          <w:sz w:val="21"/>
          <w:szCs w:val="21"/>
          <w:highlight w:val="none"/>
        </w:rPr>
        <w:t>管理，</w:t>
      </w:r>
      <w:r>
        <w:rPr>
          <w:rFonts w:hint="eastAsia" w:ascii="宋体" w:hAnsi="宋体" w:eastAsia="宋体" w:cs="Times New Roman"/>
          <w:color w:val="auto"/>
          <w:sz w:val="21"/>
          <w:szCs w:val="21"/>
          <w:highlight w:val="none"/>
        </w:rPr>
        <w:t>作业</w:t>
      </w:r>
      <w:r>
        <w:rPr>
          <w:rFonts w:ascii="宋体" w:hAnsi="宋体" w:eastAsia="宋体" w:cs="Times New Roman"/>
          <w:color w:val="auto"/>
          <w:sz w:val="21"/>
          <w:szCs w:val="21"/>
          <w:highlight w:val="none"/>
        </w:rPr>
        <w:t>完成后</w:t>
      </w:r>
      <w:r>
        <w:rPr>
          <w:rFonts w:hint="eastAsia" w:ascii="宋体" w:hAnsi="宋体" w:eastAsia="宋体" w:cs="Times New Roman"/>
          <w:color w:val="auto"/>
          <w:sz w:val="21"/>
          <w:szCs w:val="21"/>
          <w:highlight w:val="none"/>
        </w:rPr>
        <w:t>由</w:t>
      </w:r>
      <w:r>
        <w:rPr>
          <w:rFonts w:hint="eastAsia" w:ascii="宋体" w:hAnsi="宋体" w:eastAsia="宋体" w:cs="Times New Roman"/>
          <w:color w:val="auto"/>
          <w:sz w:val="21"/>
          <w:szCs w:val="21"/>
          <w:highlight w:val="none"/>
          <w:lang w:eastAsia="zh-CN"/>
        </w:rPr>
        <w:t>乙方</w:t>
      </w:r>
      <w:r>
        <w:rPr>
          <w:rFonts w:ascii="宋体" w:hAnsi="宋体" w:eastAsia="宋体" w:cs="Times New Roman"/>
          <w:color w:val="auto"/>
          <w:sz w:val="21"/>
          <w:szCs w:val="21"/>
          <w:highlight w:val="none"/>
        </w:rPr>
        <w:t>负责清理现场，确认现场出清</w:t>
      </w:r>
      <w:r>
        <w:rPr>
          <w:rFonts w:hint="eastAsia" w:ascii="宋体" w:hAnsi="宋体" w:eastAsia="宋体" w:cs="Times New Roman"/>
          <w:color w:val="auto"/>
          <w:sz w:val="21"/>
          <w:szCs w:val="21"/>
          <w:highlight w:val="none"/>
        </w:rPr>
        <w:t>后</w:t>
      </w:r>
      <w:r>
        <w:rPr>
          <w:rFonts w:ascii="宋体" w:hAnsi="宋体" w:eastAsia="宋体" w:cs="Times New Roman"/>
          <w:color w:val="auto"/>
          <w:sz w:val="21"/>
          <w:szCs w:val="21"/>
          <w:highlight w:val="none"/>
        </w:rPr>
        <w:t>，由</w:t>
      </w:r>
      <w:r>
        <w:rPr>
          <w:rFonts w:hint="eastAsia" w:ascii="宋体" w:hAnsi="宋体" w:eastAsia="宋体" w:cs="Times New Roman"/>
          <w:color w:val="auto"/>
          <w:sz w:val="21"/>
          <w:szCs w:val="21"/>
          <w:highlight w:val="none"/>
          <w:lang w:eastAsia="zh-CN"/>
        </w:rPr>
        <w:t>甲方</w:t>
      </w:r>
      <w:r>
        <w:rPr>
          <w:rFonts w:ascii="宋体" w:hAnsi="宋体" w:eastAsia="宋体" w:cs="Times New Roman"/>
          <w:color w:val="auto"/>
          <w:sz w:val="21"/>
          <w:szCs w:val="21"/>
          <w:highlight w:val="none"/>
        </w:rPr>
        <w:t>进行销点作业</w:t>
      </w:r>
      <w:r>
        <w:rPr>
          <w:rFonts w:hint="eastAsia" w:ascii="宋体" w:hAnsi="宋体" w:eastAsia="宋体" w:cs="Times New Roman"/>
          <w:color w:val="auto"/>
          <w:sz w:val="21"/>
          <w:szCs w:val="21"/>
          <w:highlight w:val="none"/>
        </w:rPr>
        <w:t>后</w:t>
      </w:r>
      <w:r>
        <w:rPr>
          <w:rFonts w:ascii="宋体" w:hAnsi="宋体" w:eastAsia="宋体" w:cs="Times New Roman"/>
          <w:color w:val="auto"/>
          <w:sz w:val="21"/>
          <w:szCs w:val="21"/>
          <w:highlight w:val="none"/>
        </w:rPr>
        <w:t>方可撤离现场</w:t>
      </w:r>
      <w:r>
        <w:rPr>
          <w:rFonts w:hint="eastAsia" w:ascii="宋体" w:hAnsi="宋体" w:eastAsia="宋体" w:cs="Times New Roman"/>
          <w:color w:val="auto"/>
          <w:sz w:val="21"/>
          <w:szCs w:val="21"/>
          <w:highlight w:val="none"/>
        </w:rPr>
        <w:t>。</w:t>
      </w:r>
    </w:p>
    <w:p>
      <w:pPr>
        <w:widowControl w:val="0"/>
        <w:numPr>
          <w:ilvl w:val="0"/>
          <w:numId w:val="51"/>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应对本项目的施工及安装的质量和建设工期负责。</w:t>
      </w:r>
    </w:p>
    <w:p>
      <w:pPr>
        <w:widowControl w:val="0"/>
        <w:numPr>
          <w:ilvl w:val="0"/>
          <w:numId w:val="51"/>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本项目的施工现场由</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提供，并由</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指定的管理单位负责管理。</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没有获得现场的完全独占的权力，不得损坏其他专业的设备设施，否则应予以赔偿。</w:t>
      </w:r>
    </w:p>
    <w:p>
      <w:pPr>
        <w:widowControl w:val="0"/>
        <w:numPr>
          <w:ilvl w:val="0"/>
          <w:numId w:val="51"/>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承诺在进场前予以配合，并主动创造及完成其本身范围内的进场条件。</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不得以</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未提供充分进场条件为由而怠工或要求补偿。</w:t>
      </w:r>
    </w:p>
    <w:p>
      <w:pPr>
        <w:widowControl w:val="0"/>
        <w:numPr>
          <w:ilvl w:val="0"/>
          <w:numId w:val="51"/>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进入现场施工，禁止吸烟、喝酒、赌博、消极怠工、聚众闹事等扰乱工地秩序和其他可能引起安全施工隐患的行为。</w:t>
      </w:r>
    </w:p>
    <w:p>
      <w:pPr>
        <w:widowControl w:val="0"/>
        <w:numPr>
          <w:ilvl w:val="0"/>
          <w:numId w:val="51"/>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应对由于施工安装人员引起的设备故障、设备损坏、安装返工、意外故障负全责。</w:t>
      </w:r>
    </w:p>
    <w:p>
      <w:pPr>
        <w:widowControl w:val="0"/>
        <w:numPr>
          <w:ilvl w:val="0"/>
          <w:numId w:val="51"/>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在车站</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控制中心等</w:t>
      </w:r>
      <w:r>
        <w:rPr>
          <w:rFonts w:hint="eastAsia" w:ascii="宋体" w:hAnsi="宋体" w:eastAsia="宋体" w:cs="Times New Roman"/>
          <w:color w:val="auto"/>
          <w:sz w:val="21"/>
          <w:szCs w:val="21"/>
          <w:highlight w:val="none"/>
        </w:rPr>
        <w:t>施工场地内的用水、用电、施工现场的安全与卫生、环境保护，须服从</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的管理。</w:t>
      </w:r>
    </w:p>
    <w:p>
      <w:pPr>
        <w:widowControl w:val="0"/>
        <w:numPr>
          <w:ilvl w:val="0"/>
          <w:numId w:val="51"/>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设备施工及安装期间发生的紧急情况，</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须随时向</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通报。</w:t>
      </w:r>
    </w:p>
    <w:p>
      <w:pPr>
        <w:widowControl w:val="0"/>
        <w:numPr>
          <w:ilvl w:val="0"/>
          <w:numId w:val="51"/>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在设备施工及安装、与房建及机电专业施工配合、施工安全规则等方面应受</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的协调和管理。</w:t>
      </w:r>
    </w:p>
    <w:p>
      <w:pPr>
        <w:widowControl w:val="0"/>
        <w:numPr>
          <w:ilvl w:val="0"/>
          <w:numId w:val="51"/>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w:t>
      </w:r>
      <w:r>
        <w:rPr>
          <w:rFonts w:hint="eastAsia" w:ascii="宋体" w:hAnsi="宋体" w:eastAsia="宋体" w:cs="Times New Roman"/>
          <w:color w:val="auto"/>
          <w:sz w:val="21"/>
          <w:szCs w:val="21"/>
          <w:highlight w:val="none"/>
          <w:lang w:val="en-US" w:eastAsia="zh-CN"/>
        </w:rPr>
        <w:t>为施工人员配备劳保用品，同时</w:t>
      </w:r>
      <w:r>
        <w:rPr>
          <w:rFonts w:hint="eastAsia" w:ascii="宋体" w:hAnsi="宋体" w:eastAsia="宋体" w:cs="Times New Roman"/>
          <w:color w:val="auto"/>
          <w:sz w:val="21"/>
          <w:szCs w:val="21"/>
          <w:highlight w:val="none"/>
        </w:rPr>
        <w:t>提供</w:t>
      </w:r>
      <w:r>
        <w:rPr>
          <w:rFonts w:hint="eastAsia" w:ascii="宋体" w:hAnsi="宋体" w:eastAsia="宋体" w:cs="Times New Roman"/>
          <w:color w:val="auto"/>
          <w:sz w:val="21"/>
          <w:szCs w:val="21"/>
          <w:highlight w:val="none"/>
          <w:lang w:val="en-US" w:eastAsia="zh-CN"/>
        </w:rPr>
        <w:t>项目</w:t>
      </w:r>
      <w:r>
        <w:rPr>
          <w:rFonts w:hint="eastAsia" w:ascii="宋体" w:hAnsi="宋体" w:eastAsia="宋体" w:cs="Times New Roman"/>
          <w:color w:val="auto"/>
          <w:sz w:val="21"/>
          <w:szCs w:val="21"/>
          <w:highlight w:val="none"/>
        </w:rPr>
        <w:t>的施工工具。</w:t>
      </w:r>
    </w:p>
    <w:p>
      <w:pPr>
        <w:widowControl w:val="0"/>
        <w:numPr>
          <w:ilvl w:val="0"/>
          <w:numId w:val="5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在本项目完成时，</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应负责清场，即负责将其所使用和修建的或留在现场的所有临时设施（包括装置、设备）和临时项目以及任何材料、物品、废料、垃圾等清离现场。</w:t>
      </w:r>
    </w:p>
    <w:p>
      <w:pPr>
        <w:widowControl w:val="0"/>
        <w:numPr>
          <w:ilvl w:val="0"/>
          <w:numId w:val="5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需在非运营时段进行的施工、调试等，</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负责及时清理现场，不得给运营造成不便。</w:t>
      </w:r>
    </w:p>
    <w:p>
      <w:pPr>
        <w:widowControl w:val="0"/>
        <w:numPr>
          <w:ilvl w:val="0"/>
          <w:numId w:val="5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需服从</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指定的车站、</w:t>
      </w:r>
      <w:r>
        <w:rPr>
          <w:rFonts w:hint="eastAsia" w:ascii="宋体" w:hAnsi="宋体" w:eastAsia="宋体" w:cs="Times New Roman"/>
          <w:color w:val="auto"/>
          <w:sz w:val="21"/>
          <w:szCs w:val="21"/>
          <w:highlight w:val="none"/>
          <w:lang w:val="en-US" w:eastAsia="zh-CN"/>
        </w:rPr>
        <w:t>场段、控制中心</w:t>
      </w:r>
      <w:r>
        <w:rPr>
          <w:rFonts w:hint="eastAsia" w:ascii="宋体" w:hAnsi="宋体" w:eastAsia="宋体" w:cs="Times New Roman"/>
          <w:color w:val="auto"/>
          <w:sz w:val="21"/>
          <w:szCs w:val="21"/>
          <w:highlight w:val="none"/>
        </w:rPr>
        <w:t>的管理。</w:t>
      </w:r>
    </w:p>
    <w:p>
      <w:pPr>
        <w:widowControl w:val="0"/>
        <w:numPr>
          <w:ilvl w:val="0"/>
          <w:numId w:val="5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未经</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同意不得擅自带领其他与工作无关人员进入地铁作业区域。</w:t>
      </w:r>
    </w:p>
    <w:p>
      <w:pPr>
        <w:widowControl w:val="0"/>
        <w:numPr>
          <w:ilvl w:val="0"/>
          <w:numId w:val="5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lang w:val="en-US" w:eastAsia="zh-CN"/>
        </w:rPr>
        <w:t>严禁出现</w:t>
      </w:r>
      <w:r>
        <w:rPr>
          <w:rFonts w:hint="eastAsia" w:ascii="宋体" w:hAnsi="宋体" w:eastAsia="宋体" w:cs="Times New Roman"/>
          <w:color w:val="auto"/>
          <w:sz w:val="21"/>
          <w:szCs w:val="21"/>
          <w:highlight w:val="none"/>
        </w:rPr>
        <w:t>对</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方面造谣生事、惹是生非、擅自发布地铁生产信息等行为。</w:t>
      </w:r>
    </w:p>
    <w:p>
      <w:pPr>
        <w:widowControl w:val="0"/>
        <w:numPr>
          <w:ilvl w:val="0"/>
          <w:numId w:val="5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乙方不得随意更换项目管理人员。甲方有权根据工程实施的需要，调整人员的配置，乙方应配合，并不得提出额外要求。</w:t>
      </w:r>
    </w:p>
    <w:p>
      <w:pPr>
        <w:widowControl w:val="0"/>
        <w:numPr>
          <w:ilvl w:val="0"/>
          <w:numId w:val="5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项目工作开始后，只要甲方认为项目机构人员不能正确及时地履行其职责，甲方有权要求撤换该人员。乙方必须无条件地按甲方的要求办理，乙方不得以任何理由为借口不撤换该人员，乙方必须在接到通知后五日内做出回应，并根据甲方要求提供拟变更人员的情况说明，经甲方审查批准后，在十日内更换相应人员。在合同履行期间原则上不允许项目人员变动，擅自变更项目管理机构人员的，必须在五日内改正，十日内仍未改正的，甲方有权终止与乙方的合同关系，没收全部履约保证金，并保留追究其经济责任和其他相应责任的权利。若确需更换的，乙方需拿出令甲方信服的证据，并根据甲方相关文件执行。</w:t>
      </w:r>
    </w:p>
    <w:p>
      <w:pPr>
        <w:widowControl w:val="0"/>
        <w:numPr>
          <w:ilvl w:val="0"/>
          <w:numId w:val="51"/>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lang w:eastAsia="zh-CN"/>
        </w:rPr>
        <w:t>在项目的施工阶段，项目负责人和技术负责人原则上不得离开项目所在地，如需离开南宁，应获得甲方的同意。</w:t>
      </w:r>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128" w:name="_Toc2775_WPSOffice_Level3"/>
      <w:bookmarkStart w:id="2129" w:name="_Toc13005"/>
      <w:bookmarkStart w:id="2130" w:name="_Toc7152"/>
      <w:r>
        <w:rPr>
          <w:rFonts w:hint="eastAsia" w:ascii="黑体" w:hAnsi="黑体" w:eastAsia="黑体" w:cs="宋体"/>
          <w:bCs/>
          <w:color w:val="auto"/>
          <w:sz w:val="24"/>
          <w:szCs w:val="24"/>
          <w:highlight w:val="none"/>
          <w:lang w:val="en-US" w:eastAsia="zh-CN" w:bidi="ar-SA"/>
        </w:rPr>
        <w:t>文明施工管理</w:t>
      </w:r>
      <w:bookmarkEnd w:id="2128"/>
      <w:bookmarkEnd w:id="2129"/>
      <w:bookmarkEnd w:id="2130"/>
    </w:p>
    <w:p>
      <w:pPr>
        <w:widowControl w:val="0"/>
        <w:numPr>
          <w:ilvl w:val="0"/>
          <w:numId w:val="52"/>
        </w:numPr>
        <w:tabs>
          <w:tab w:val="left" w:pos="0"/>
        </w:tabs>
        <w:spacing w:before="0" w:after="0" w:afterAutospacing="0" w:line="360" w:lineRule="auto"/>
        <w:ind w:left="0" w:right="0" w:firstLine="420" w:firstLineChars="200"/>
        <w:jc w:val="left"/>
        <w:rPr>
          <w:rFonts w:hint="eastAsia" w:ascii="宋体" w:hAnsi="宋体" w:eastAsia="宋体" w:cs="Times New Roman"/>
          <w:color w:val="auto"/>
          <w:kern w:val="0"/>
          <w:sz w:val="21"/>
          <w:szCs w:val="21"/>
          <w:highlight w:val="none"/>
        </w:rPr>
      </w:pPr>
      <w:r>
        <w:rPr>
          <w:rFonts w:hint="eastAsia" w:ascii="宋体" w:hAnsi="宋体" w:eastAsia="宋体" w:cs="Times New Roman"/>
          <w:color w:val="auto"/>
          <w:kern w:val="0"/>
          <w:sz w:val="21"/>
          <w:szCs w:val="21"/>
          <w:highlight w:val="none"/>
          <w:lang w:val="en-US" w:eastAsia="zh-CN"/>
        </w:rPr>
        <w:t>施工</w:t>
      </w:r>
      <w:r>
        <w:rPr>
          <w:rFonts w:hint="eastAsia" w:ascii="宋体" w:hAnsi="宋体" w:eastAsia="宋体" w:cs="Times New Roman"/>
          <w:color w:val="auto"/>
          <w:kern w:val="0"/>
          <w:sz w:val="21"/>
          <w:szCs w:val="21"/>
          <w:highlight w:val="none"/>
        </w:rPr>
        <w:t>人员在工作时间应统一穿着工装，工装颜色应与</w:t>
      </w:r>
      <w:r>
        <w:rPr>
          <w:rFonts w:hint="eastAsia" w:ascii="宋体" w:hAnsi="宋体" w:eastAsia="宋体" w:cs="Times New Roman"/>
          <w:color w:val="auto"/>
          <w:kern w:val="0"/>
          <w:sz w:val="21"/>
          <w:szCs w:val="21"/>
          <w:highlight w:val="none"/>
          <w:lang w:eastAsia="zh-CN"/>
        </w:rPr>
        <w:t>甲方</w:t>
      </w:r>
      <w:r>
        <w:rPr>
          <w:rFonts w:hint="eastAsia" w:ascii="宋体" w:hAnsi="宋体" w:eastAsia="宋体" w:cs="Times New Roman"/>
          <w:color w:val="auto"/>
          <w:kern w:val="0"/>
          <w:sz w:val="21"/>
          <w:szCs w:val="21"/>
          <w:highlight w:val="none"/>
        </w:rPr>
        <w:t>检修工装颜色相近，不允许穿着奇装异服上岗作业。</w:t>
      </w:r>
    </w:p>
    <w:p>
      <w:pPr>
        <w:widowControl w:val="0"/>
        <w:numPr>
          <w:ilvl w:val="0"/>
          <w:numId w:val="52"/>
        </w:numPr>
        <w:tabs>
          <w:tab w:val="left" w:pos="0"/>
        </w:tabs>
        <w:spacing w:before="0" w:after="0" w:afterAutospacing="0" w:line="360" w:lineRule="auto"/>
        <w:ind w:left="0" w:right="0" w:firstLine="420" w:firstLineChars="200"/>
        <w:jc w:val="left"/>
        <w:rPr>
          <w:rFonts w:hint="eastAsia" w:ascii="宋体" w:hAnsi="宋体" w:eastAsia="宋体" w:cs="Times New Roman"/>
          <w:color w:val="auto"/>
          <w:kern w:val="0"/>
          <w:sz w:val="21"/>
          <w:szCs w:val="21"/>
          <w:highlight w:val="none"/>
        </w:rPr>
      </w:pPr>
      <w:r>
        <w:rPr>
          <w:rFonts w:hint="eastAsia" w:ascii="宋体" w:hAnsi="宋体" w:eastAsia="宋体" w:cs="Times New Roman"/>
          <w:color w:val="auto"/>
          <w:kern w:val="0"/>
          <w:sz w:val="21"/>
          <w:szCs w:val="21"/>
          <w:highlight w:val="none"/>
          <w:lang w:val="en-US" w:eastAsia="zh-CN"/>
        </w:rPr>
        <w:t>施工</w:t>
      </w:r>
      <w:r>
        <w:rPr>
          <w:rFonts w:hint="eastAsia" w:ascii="宋体" w:hAnsi="宋体" w:eastAsia="宋体" w:cs="Times New Roman"/>
          <w:color w:val="auto"/>
          <w:kern w:val="0"/>
          <w:sz w:val="21"/>
          <w:szCs w:val="21"/>
          <w:highlight w:val="none"/>
        </w:rPr>
        <w:t>过程中，</w:t>
      </w:r>
      <w:r>
        <w:rPr>
          <w:rFonts w:hint="eastAsia" w:ascii="宋体" w:hAnsi="宋体" w:eastAsia="宋体" w:cs="Times New Roman"/>
          <w:color w:val="auto"/>
          <w:kern w:val="0"/>
          <w:sz w:val="21"/>
          <w:szCs w:val="21"/>
          <w:highlight w:val="none"/>
          <w:lang w:val="en-US" w:eastAsia="zh-CN"/>
        </w:rPr>
        <w:t>施工</w:t>
      </w:r>
      <w:r>
        <w:rPr>
          <w:rFonts w:hint="eastAsia" w:ascii="宋体" w:hAnsi="宋体" w:eastAsia="宋体" w:cs="Times New Roman"/>
          <w:color w:val="auto"/>
          <w:kern w:val="0"/>
          <w:sz w:val="21"/>
          <w:szCs w:val="21"/>
          <w:highlight w:val="none"/>
        </w:rPr>
        <w:t>人员严格按照“规范化管理、标准化作业”规定要求</w:t>
      </w:r>
      <w:r>
        <w:rPr>
          <w:rFonts w:hint="eastAsia" w:ascii="宋体" w:hAnsi="宋体" w:eastAsia="宋体" w:cs="Times New Roman"/>
          <w:color w:val="auto"/>
          <w:kern w:val="0"/>
          <w:sz w:val="21"/>
          <w:szCs w:val="21"/>
          <w:highlight w:val="none"/>
          <w:lang w:val="en-US" w:eastAsia="zh-CN"/>
        </w:rPr>
        <w:t>文明施工</w:t>
      </w:r>
      <w:r>
        <w:rPr>
          <w:rFonts w:hint="eastAsia" w:ascii="宋体" w:hAnsi="宋体" w:eastAsia="宋体" w:cs="Times New Roman"/>
          <w:color w:val="auto"/>
          <w:kern w:val="0"/>
          <w:sz w:val="21"/>
          <w:szCs w:val="21"/>
          <w:highlight w:val="none"/>
        </w:rPr>
        <w:t>。</w:t>
      </w:r>
    </w:p>
    <w:p>
      <w:pPr>
        <w:widowControl w:val="0"/>
        <w:numPr>
          <w:ilvl w:val="0"/>
          <w:numId w:val="52"/>
        </w:numPr>
        <w:tabs>
          <w:tab w:val="left" w:pos="0"/>
        </w:tabs>
        <w:spacing w:before="0" w:after="0" w:afterAutospacing="0" w:line="360" w:lineRule="auto"/>
        <w:ind w:left="0" w:right="0" w:firstLine="420" w:firstLineChars="200"/>
        <w:jc w:val="left"/>
        <w:rPr>
          <w:rFonts w:hint="eastAsia" w:ascii="宋体" w:hAnsi="宋体" w:eastAsia="宋体" w:cs="Times New Roman"/>
          <w:color w:val="auto"/>
          <w:kern w:val="0"/>
          <w:sz w:val="21"/>
          <w:szCs w:val="21"/>
          <w:highlight w:val="none"/>
        </w:rPr>
      </w:pPr>
      <w:r>
        <w:rPr>
          <w:rFonts w:hint="eastAsia" w:ascii="宋体" w:hAnsi="宋体" w:eastAsia="宋体" w:cs="Times New Roman"/>
          <w:color w:val="auto"/>
          <w:kern w:val="0"/>
          <w:sz w:val="21"/>
          <w:szCs w:val="21"/>
          <w:highlight w:val="none"/>
          <w:lang w:val="en-US" w:eastAsia="zh-CN"/>
        </w:rPr>
        <w:t>施工</w:t>
      </w:r>
      <w:r>
        <w:rPr>
          <w:rFonts w:hint="eastAsia" w:ascii="宋体" w:hAnsi="宋体" w:eastAsia="宋体" w:cs="Times New Roman"/>
          <w:color w:val="auto"/>
          <w:kern w:val="0"/>
          <w:sz w:val="21"/>
          <w:szCs w:val="21"/>
          <w:highlight w:val="none"/>
        </w:rPr>
        <w:t>过程中，</w:t>
      </w:r>
      <w:r>
        <w:rPr>
          <w:rFonts w:hint="eastAsia" w:ascii="宋体" w:hAnsi="宋体" w:eastAsia="宋体" w:cs="Times New Roman"/>
          <w:color w:val="auto"/>
          <w:kern w:val="0"/>
          <w:sz w:val="21"/>
          <w:szCs w:val="21"/>
          <w:highlight w:val="none"/>
          <w:lang w:val="en-US" w:eastAsia="zh-CN"/>
        </w:rPr>
        <w:t>施工</w:t>
      </w:r>
      <w:r>
        <w:rPr>
          <w:rFonts w:hint="eastAsia" w:ascii="宋体" w:hAnsi="宋体" w:eastAsia="宋体" w:cs="Times New Roman"/>
          <w:color w:val="auto"/>
          <w:kern w:val="0"/>
          <w:sz w:val="21"/>
          <w:szCs w:val="21"/>
          <w:highlight w:val="none"/>
        </w:rPr>
        <w:t>人员严禁出现超范围作业，合理处置作业设备、工器具及材料，保持现场整洁。</w:t>
      </w:r>
    </w:p>
    <w:p>
      <w:pPr>
        <w:widowControl w:val="0"/>
        <w:numPr>
          <w:ilvl w:val="0"/>
          <w:numId w:val="52"/>
        </w:numPr>
        <w:tabs>
          <w:tab w:val="left" w:pos="0"/>
        </w:tabs>
        <w:spacing w:before="0" w:after="0" w:afterAutospacing="0" w:line="360" w:lineRule="auto"/>
        <w:ind w:left="0" w:right="0" w:firstLine="420" w:firstLineChars="200"/>
        <w:jc w:val="left"/>
        <w:rPr>
          <w:rFonts w:hint="eastAsia" w:ascii="宋体" w:hAnsi="宋体" w:eastAsia="宋体" w:cs="Times New Roman"/>
          <w:color w:val="auto"/>
          <w:kern w:val="0"/>
          <w:sz w:val="21"/>
          <w:szCs w:val="21"/>
          <w:highlight w:val="none"/>
        </w:rPr>
      </w:pPr>
      <w:r>
        <w:rPr>
          <w:rFonts w:hint="eastAsia" w:ascii="宋体" w:hAnsi="宋体" w:eastAsia="宋体" w:cs="Times New Roman"/>
          <w:color w:val="auto"/>
          <w:kern w:val="0"/>
          <w:sz w:val="21"/>
          <w:szCs w:val="21"/>
          <w:highlight w:val="none"/>
          <w:lang w:val="en-US" w:eastAsia="zh-CN"/>
        </w:rPr>
        <w:t>施工</w:t>
      </w:r>
      <w:r>
        <w:rPr>
          <w:rFonts w:hint="eastAsia" w:ascii="宋体" w:hAnsi="宋体" w:eastAsia="宋体" w:cs="Times New Roman"/>
          <w:color w:val="auto"/>
          <w:kern w:val="0"/>
          <w:sz w:val="21"/>
          <w:szCs w:val="21"/>
          <w:highlight w:val="none"/>
        </w:rPr>
        <w:t>过程中，如与其他</w:t>
      </w:r>
      <w:r>
        <w:rPr>
          <w:rFonts w:hint="eastAsia" w:ascii="宋体" w:hAnsi="宋体" w:eastAsia="宋体" w:cs="Times New Roman"/>
          <w:color w:val="auto"/>
          <w:kern w:val="0"/>
          <w:sz w:val="21"/>
          <w:szCs w:val="21"/>
          <w:highlight w:val="none"/>
          <w:lang w:val="en-US" w:eastAsia="zh-CN"/>
        </w:rPr>
        <w:t>专业</w:t>
      </w:r>
      <w:r>
        <w:rPr>
          <w:rFonts w:hint="eastAsia" w:ascii="宋体" w:hAnsi="宋体" w:eastAsia="宋体" w:cs="Times New Roman"/>
          <w:color w:val="auto"/>
          <w:kern w:val="0"/>
          <w:sz w:val="21"/>
          <w:szCs w:val="21"/>
          <w:highlight w:val="none"/>
        </w:rPr>
        <w:t>发生冲突，应立即通知</w:t>
      </w:r>
      <w:r>
        <w:rPr>
          <w:rFonts w:hint="eastAsia" w:ascii="宋体" w:hAnsi="宋体" w:eastAsia="宋体" w:cs="Times New Roman"/>
          <w:color w:val="auto"/>
          <w:kern w:val="0"/>
          <w:sz w:val="21"/>
          <w:szCs w:val="21"/>
          <w:highlight w:val="none"/>
          <w:lang w:eastAsia="zh-CN"/>
        </w:rPr>
        <w:t>甲方</w:t>
      </w:r>
      <w:r>
        <w:rPr>
          <w:rFonts w:hint="eastAsia" w:ascii="宋体" w:hAnsi="宋体" w:eastAsia="宋体" w:cs="Times New Roman"/>
          <w:color w:val="auto"/>
          <w:kern w:val="0"/>
          <w:sz w:val="21"/>
          <w:szCs w:val="21"/>
          <w:highlight w:val="none"/>
        </w:rPr>
        <w:t>，并按</w:t>
      </w:r>
      <w:r>
        <w:rPr>
          <w:rFonts w:hint="eastAsia" w:ascii="宋体" w:hAnsi="宋体" w:eastAsia="宋体" w:cs="Times New Roman"/>
          <w:color w:val="auto"/>
          <w:kern w:val="0"/>
          <w:sz w:val="21"/>
          <w:szCs w:val="21"/>
          <w:highlight w:val="none"/>
          <w:lang w:eastAsia="zh-CN"/>
        </w:rPr>
        <w:t>甲方</w:t>
      </w:r>
      <w:r>
        <w:rPr>
          <w:rFonts w:hint="eastAsia" w:ascii="宋体" w:hAnsi="宋体" w:eastAsia="宋体" w:cs="Times New Roman"/>
          <w:color w:val="auto"/>
          <w:kern w:val="0"/>
          <w:sz w:val="21"/>
          <w:szCs w:val="21"/>
          <w:highlight w:val="none"/>
        </w:rPr>
        <w:t>协商结果处理，若发现未经请示同意擅自处理，将视其具体情况予以处罚。</w:t>
      </w:r>
    </w:p>
    <w:p>
      <w:pPr>
        <w:widowControl w:val="0"/>
        <w:numPr>
          <w:ilvl w:val="0"/>
          <w:numId w:val="52"/>
        </w:numPr>
        <w:tabs>
          <w:tab w:val="left" w:pos="0"/>
        </w:tabs>
        <w:spacing w:before="0" w:after="0" w:afterAutospacing="0" w:line="360" w:lineRule="auto"/>
        <w:ind w:left="0" w:right="0" w:firstLine="420" w:firstLineChars="200"/>
        <w:jc w:val="left"/>
        <w:rPr>
          <w:rFonts w:hint="eastAsia" w:ascii="Calibri" w:hAnsi="Calibri" w:eastAsia="宋体" w:cs="Times New Roman"/>
          <w:color w:val="auto"/>
          <w:kern w:val="2"/>
          <w:sz w:val="21"/>
          <w:szCs w:val="24"/>
          <w:highlight w:val="none"/>
        </w:rPr>
      </w:pPr>
      <w:r>
        <w:rPr>
          <w:rFonts w:hint="eastAsia" w:ascii="宋体" w:hAnsi="宋体" w:eastAsia="宋体" w:cs="Times New Roman"/>
          <w:color w:val="auto"/>
          <w:kern w:val="0"/>
          <w:sz w:val="21"/>
          <w:szCs w:val="21"/>
          <w:highlight w:val="none"/>
        </w:rPr>
        <w:t>作业现场讲文明，讲礼貌，遇事商量解决，严禁与任何人员争执，严禁打架斗殴</w:t>
      </w:r>
      <w:r>
        <w:rPr>
          <w:rFonts w:hint="eastAsia" w:ascii="Calibri" w:hAnsi="Calibri" w:eastAsia="宋体" w:cs="Times New Roman"/>
          <w:color w:val="auto"/>
          <w:kern w:val="2"/>
          <w:sz w:val="21"/>
          <w:szCs w:val="24"/>
          <w:highlight w:val="none"/>
        </w:rPr>
        <w:t>。</w:t>
      </w:r>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131" w:name="_Toc27768"/>
      <w:bookmarkStart w:id="2132" w:name="_Toc32703"/>
      <w:bookmarkStart w:id="2133" w:name="_Toc27236_WPSOffice_Level3"/>
      <w:r>
        <w:rPr>
          <w:rFonts w:hint="eastAsia" w:ascii="黑体" w:hAnsi="黑体" w:eastAsia="黑体" w:cs="宋体"/>
          <w:bCs/>
          <w:color w:val="auto"/>
          <w:sz w:val="24"/>
          <w:szCs w:val="24"/>
          <w:highlight w:val="none"/>
          <w:lang w:val="en-US" w:eastAsia="zh-CN" w:bidi="ar-SA"/>
        </w:rPr>
        <w:t>物料管理</w:t>
      </w:r>
      <w:bookmarkEnd w:id="2131"/>
      <w:bookmarkEnd w:id="2132"/>
      <w:bookmarkEnd w:id="2133"/>
    </w:p>
    <w:p>
      <w:pPr>
        <w:widowControl w:val="0"/>
        <w:numPr>
          <w:ilvl w:val="0"/>
          <w:numId w:val="53"/>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所有设备材料的搬运及贮存方式，应保证其质量不受损坏。</w:t>
      </w:r>
    </w:p>
    <w:p>
      <w:pPr>
        <w:widowControl w:val="0"/>
        <w:numPr>
          <w:ilvl w:val="0"/>
          <w:numId w:val="53"/>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在施工安装过程中，如由于施工安装导致本项目或本项目其他系统设备及器材的损坏，</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应按照</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和工程实施的具体要求，在规定的时间内免费维修或更换，</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须无条件服从，并承担所有相关费用。</w:t>
      </w:r>
    </w:p>
    <w:p>
      <w:pPr>
        <w:widowControl w:val="0"/>
        <w:numPr>
          <w:ilvl w:val="0"/>
          <w:numId w:val="53"/>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val="en-US" w:eastAsia="zh-CN"/>
        </w:rPr>
        <w:t>自动检票机拆卸</w:t>
      </w:r>
      <w:r>
        <w:rPr>
          <w:rFonts w:hint="eastAsia" w:ascii="宋体" w:hAnsi="宋体" w:eastAsia="宋体" w:cs="Times New Roman"/>
          <w:color w:val="auto"/>
          <w:sz w:val="21"/>
          <w:szCs w:val="21"/>
          <w:highlight w:val="none"/>
        </w:rPr>
        <w:t>前，</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应认真研究现场，清楚</w:t>
      </w:r>
      <w:r>
        <w:rPr>
          <w:rFonts w:hint="eastAsia" w:ascii="宋体" w:hAnsi="宋体" w:eastAsia="宋体" w:cs="Times New Roman"/>
          <w:color w:val="auto"/>
          <w:sz w:val="21"/>
          <w:szCs w:val="21"/>
          <w:highlight w:val="none"/>
          <w:lang w:val="en-US" w:eastAsia="zh-CN"/>
        </w:rPr>
        <w:t>拆卸</w:t>
      </w:r>
      <w:r>
        <w:rPr>
          <w:rFonts w:hint="eastAsia" w:ascii="宋体" w:hAnsi="宋体" w:eastAsia="宋体" w:cs="Times New Roman"/>
          <w:color w:val="auto"/>
          <w:sz w:val="21"/>
          <w:szCs w:val="21"/>
          <w:highlight w:val="none"/>
        </w:rPr>
        <w:t>施工方法以及</w:t>
      </w:r>
      <w:r>
        <w:rPr>
          <w:rFonts w:hint="eastAsia" w:ascii="宋体" w:hAnsi="宋体" w:eastAsia="宋体" w:cs="Times New Roman"/>
          <w:color w:val="auto"/>
          <w:sz w:val="21"/>
          <w:szCs w:val="21"/>
          <w:highlight w:val="none"/>
          <w:lang w:val="en-US" w:eastAsia="zh-CN"/>
        </w:rPr>
        <w:t>拆卸</w:t>
      </w:r>
      <w:r>
        <w:rPr>
          <w:rFonts w:hint="eastAsia" w:ascii="宋体" w:hAnsi="宋体" w:eastAsia="宋体" w:cs="Times New Roman"/>
          <w:color w:val="auto"/>
          <w:sz w:val="21"/>
          <w:szCs w:val="21"/>
          <w:highlight w:val="none"/>
        </w:rPr>
        <w:t>过程中的技术要求。施工过程中一切统一指挥</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听从安排</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rPr>
        <w:t>严禁野蛮</w:t>
      </w:r>
      <w:r>
        <w:rPr>
          <w:rFonts w:hint="eastAsia" w:ascii="宋体" w:hAnsi="宋体" w:eastAsia="宋体" w:cs="Times New Roman"/>
          <w:color w:val="auto"/>
          <w:sz w:val="21"/>
          <w:szCs w:val="21"/>
          <w:highlight w:val="none"/>
          <w:lang w:val="en-US" w:eastAsia="zh-CN"/>
        </w:rPr>
        <w:t>拆卸和安装设备</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val="en-US" w:eastAsia="zh-CN"/>
        </w:rPr>
        <w:t>施工过程中</w:t>
      </w:r>
      <w:r>
        <w:rPr>
          <w:rFonts w:hint="eastAsia" w:ascii="宋体" w:hAnsi="宋体" w:eastAsia="宋体" w:cs="Times New Roman"/>
          <w:color w:val="auto"/>
          <w:sz w:val="21"/>
          <w:szCs w:val="21"/>
          <w:highlight w:val="none"/>
        </w:rPr>
        <w:t>及时做好施工记录，施工记录应真实、准确、完整、手续齐全，做到施工记录与工程施工同步。</w:t>
      </w:r>
    </w:p>
    <w:p>
      <w:pPr>
        <w:widowControl w:val="0"/>
        <w:numPr>
          <w:ilvl w:val="0"/>
          <w:numId w:val="53"/>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自动检票机拆卸后，</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lang w:val="en-US" w:eastAsia="zh-CN"/>
        </w:rPr>
        <w:t>采用</w:t>
      </w:r>
      <w:r>
        <w:rPr>
          <w:rFonts w:hint="eastAsia" w:ascii="宋体" w:hAnsi="宋体" w:eastAsia="宋体" w:cs="Times New Roman"/>
          <w:color w:val="auto"/>
          <w:sz w:val="21"/>
          <w:szCs w:val="21"/>
          <w:highlight w:val="none"/>
        </w:rPr>
        <w:t>防护用品（泡沫板、聚乙烯复合气泡垫</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木托和木架</w:t>
      </w:r>
      <w:r>
        <w:rPr>
          <w:rFonts w:hint="eastAsia" w:ascii="宋体" w:hAnsi="宋体" w:eastAsia="宋体" w:cs="Times New Roman"/>
          <w:color w:val="auto"/>
          <w:sz w:val="21"/>
          <w:szCs w:val="21"/>
          <w:highlight w:val="none"/>
        </w:rPr>
        <w:t>等）</w:t>
      </w:r>
      <w:r>
        <w:rPr>
          <w:rFonts w:hint="eastAsia" w:ascii="宋体" w:hAnsi="宋体" w:eastAsia="宋体" w:cs="Times New Roman"/>
          <w:color w:val="auto"/>
          <w:sz w:val="21"/>
          <w:szCs w:val="21"/>
          <w:highlight w:val="none"/>
          <w:lang w:val="en-US" w:eastAsia="zh-CN"/>
        </w:rPr>
        <w:t>进行包装防护，做好设备内部模块固定和外部</w:t>
      </w:r>
      <w:r>
        <w:rPr>
          <w:rFonts w:hint="eastAsia" w:ascii="宋体" w:hAnsi="宋体" w:eastAsia="宋体" w:cs="Times New Roman"/>
          <w:color w:val="auto"/>
          <w:sz w:val="21"/>
          <w:szCs w:val="21"/>
          <w:highlight w:val="none"/>
        </w:rPr>
        <w:t>包装</w:t>
      </w:r>
      <w:r>
        <w:rPr>
          <w:rFonts w:hint="eastAsia" w:ascii="宋体" w:hAnsi="宋体" w:eastAsia="宋体" w:cs="Times New Roman"/>
          <w:color w:val="auto"/>
          <w:sz w:val="21"/>
          <w:szCs w:val="21"/>
          <w:highlight w:val="none"/>
          <w:lang w:eastAsia="zh-CN"/>
        </w:rPr>
        <w:t>后，</w:t>
      </w:r>
      <w:r>
        <w:rPr>
          <w:rFonts w:hint="eastAsia" w:ascii="宋体" w:hAnsi="宋体" w:eastAsia="宋体" w:cs="Times New Roman"/>
          <w:color w:val="auto"/>
          <w:sz w:val="21"/>
          <w:szCs w:val="21"/>
          <w:highlight w:val="none"/>
          <w:lang w:val="en-US" w:eastAsia="zh-CN"/>
        </w:rPr>
        <w:t>方可</w:t>
      </w:r>
      <w:r>
        <w:rPr>
          <w:rFonts w:hint="eastAsia" w:ascii="宋体" w:hAnsi="宋体" w:eastAsia="宋体" w:cs="Times New Roman"/>
          <w:color w:val="auto"/>
          <w:sz w:val="21"/>
          <w:szCs w:val="21"/>
          <w:highlight w:val="none"/>
          <w:lang w:eastAsia="zh-CN"/>
        </w:rPr>
        <w:t>搬离车站。</w:t>
      </w:r>
    </w:p>
    <w:p>
      <w:pPr>
        <w:widowControl w:val="0"/>
        <w:numPr>
          <w:ilvl w:val="0"/>
          <w:numId w:val="53"/>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需要提前进场确定</w:t>
      </w:r>
      <w:r>
        <w:rPr>
          <w:rFonts w:hint="eastAsia" w:ascii="宋体" w:hAnsi="宋体" w:eastAsia="宋体" w:cs="Times New Roman"/>
          <w:color w:val="auto"/>
          <w:sz w:val="21"/>
          <w:szCs w:val="21"/>
          <w:highlight w:val="none"/>
          <w:lang w:val="en-US" w:eastAsia="zh-CN"/>
        </w:rPr>
        <w:t>改造</w:t>
      </w:r>
      <w:r>
        <w:rPr>
          <w:rFonts w:hint="eastAsia" w:ascii="宋体" w:hAnsi="宋体" w:eastAsia="宋体" w:cs="Times New Roman"/>
          <w:color w:val="auto"/>
          <w:sz w:val="21"/>
          <w:szCs w:val="21"/>
          <w:highlight w:val="none"/>
        </w:rPr>
        <w:t>设备搬运路线，平整路段采用手动叉车或机械叉车进行搬运，出入口采用人工进行搬运。搬运到地面采用机械叉车搬运至设备运输车辆上,将设备搬运至车上后固定牢固，设备运输车辆在行驶过程中保持匀速行驶，运至</w:t>
      </w:r>
      <w:r>
        <w:rPr>
          <w:rFonts w:hint="eastAsia" w:ascii="宋体" w:hAnsi="宋体" w:eastAsia="宋体" w:cs="Times New Roman"/>
          <w:color w:val="auto"/>
          <w:sz w:val="21"/>
          <w:szCs w:val="21"/>
          <w:highlight w:val="none"/>
          <w:lang w:val="en-US" w:eastAsia="zh-CN"/>
        </w:rPr>
        <w:t>相关</w:t>
      </w:r>
      <w:r>
        <w:rPr>
          <w:rFonts w:hint="eastAsia" w:ascii="宋体" w:hAnsi="宋体" w:eastAsia="宋体" w:cs="Times New Roman"/>
          <w:color w:val="auto"/>
          <w:sz w:val="21"/>
          <w:szCs w:val="21"/>
          <w:highlight w:val="none"/>
        </w:rPr>
        <w:t>站点或库房后用叉车卸货至指定地点。</w:t>
      </w:r>
    </w:p>
    <w:p>
      <w:pPr>
        <w:widowControl w:val="0"/>
        <w:numPr>
          <w:ilvl w:val="0"/>
          <w:numId w:val="53"/>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在工程中所用设备、材料不符合设计要求及国家现行标准，须全部更换为符合设计要求及国家现行标准的设备、材料，更换所需费用由</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全额承担。</w:t>
      </w:r>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134" w:name="_Toc31751"/>
      <w:bookmarkStart w:id="2135" w:name="_Toc2880_WPSOffice_Level3"/>
      <w:bookmarkStart w:id="2136" w:name="_Toc13755"/>
      <w:r>
        <w:rPr>
          <w:rFonts w:hint="eastAsia" w:ascii="黑体" w:hAnsi="黑体" w:eastAsia="黑体" w:cs="宋体"/>
          <w:bCs/>
          <w:color w:val="auto"/>
          <w:sz w:val="24"/>
          <w:szCs w:val="24"/>
          <w:highlight w:val="none"/>
          <w:lang w:val="en-US" w:eastAsia="zh-CN" w:bidi="ar-SA"/>
        </w:rPr>
        <w:t>设备安装管理</w:t>
      </w:r>
      <w:bookmarkEnd w:id="2134"/>
      <w:bookmarkEnd w:id="2135"/>
      <w:bookmarkEnd w:id="2136"/>
    </w:p>
    <w:p>
      <w:pPr>
        <w:widowControl w:val="0"/>
        <w:numPr>
          <w:ilvl w:val="0"/>
          <w:numId w:val="54"/>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须根据施工需要、工期要求，合理安排施工作业顺序。</w:t>
      </w:r>
    </w:p>
    <w:p>
      <w:pPr>
        <w:widowControl w:val="0"/>
        <w:numPr>
          <w:ilvl w:val="0"/>
          <w:numId w:val="54"/>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应综合考虑项目需要、场地条件等，制定施工步骤方法、工艺，在满足功能要求、质量要求和项目要求的前提下，采取合理步骤和措施，保证现场专业设备设施等的安全及完整。</w:t>
      </w:r>
    </w:p>
    <w:p>
      <w:pPr>
        <w:widowControl w:val="0"/>
        <w:numPr>
          <w:ilvl w:val="0"/>
          <w:numId w:val="54"/>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为加强施工管理，确保施工过程的工程安全、环境安全及工程质量，</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须在施工前，依据</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相关管理办法，提交施工计划及作业方案供</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审核批准后方可施工。</w:t>
      </w:r>
    </w:p>
    <w:p>
      <w:pPr>
        <w:widowControl w:val="0"/>
        <w:numPr>
          <w:ilvl w:val="0"/>
          <w:numId w:val="54"/>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线缆及设备安装方式与既有工程保持一致。当安装方式有所修改时，</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须获得</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的批准，才可作出变更。</w:t>
      </w:r>
    </w:p>
    <w:p>
      <w:pPr>
        <w:widowControl w:val="0"/>
        <w:numPr>
          <w:ilvl w:val="0"/>
          <w:numId w:val="54"/>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应有施工安全措施，所有在施工现场的工作人员都必须经过严格的安全培训，特种作业须由持有特种作业证人员操作。</w:t>
      </w:r>
    </w:p>
    <w:p>
      <w:pPr>
        <w:widowControl w:val="0"/>
        <w:numPr>
          <w:ilvl w:val="0"/>
          <w:numId w:val="54"/>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需要提供、架设并在需要时改动及维修符合有关规定和</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要求的脚手架，在不再需要时拆去脚手架并修复受影响的地方。</w:t>
      </w:r>
    </w:p>
    <w:p>
      <w:pPr>
        <w:widowControl w:val="0"/>
        <w:numPr>
          <w:ilvl w:val="0"/>
          <w:numId w:val="54"/>
        </w:numPr>
        <w:tabs>
          <w:tab w:val="left" w:pos="0"/>
        </w:tabs>
        <w:spacing w:before="0" w:after="0" w:afterAutospacing="0" w:line="360" w:lineRule="auto"/>
        <w:ind w:left="0" w:right="0" w:firstLine="420" w:firstLineChars="200"/>
        <w:jc w:val="left"/>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须对整个合同期间未正式交付的设备及材料负最终责任。</w:t>
      </w:r>
    </w:p>
    <w:p>
      <w:pPr>
        <w:keepNext/>
        <w:keepLines/>
        <w:widowControl w:val="0"/>
        <w:numPr>
          <w:ilvl w:val="2"/>
          <w:numId w:val="26"/>
        </w:numPr>
        <w:spacing w:before="0" w:after="0" w:afterAutospacing="0" w:line="360" w:lineRule="auto"/>
        <w:ind w:left="0" w:right="0" w:firstLine="0"/>
        <w:jc w:val="left"/>
        <w:outlineLvl w:val="2"/>
        <w:rPr>
          <w:rFonts w:ascii="黑体" w:hAnsi="黑体" w:eastAsia="黑体" w:cs="宋体"/>
          <w:bCs/>
          <w:color w:val="auto"/>
          <w:sz w:val="24"/>
          <w:szCs w:val="24"/>
          <w:highlight w:val="none"/>
          <w:lang w:val="en-US" w:eastAsia="zh-CN" w:bidi="ar-SA"/>
        </w:rPr>
      </w:pPr>
      <w:bookmarkStart w:id="2137" w:name="_Toc24529"/>
      <w:bookmarkStart w:id="2138" w:name="_Toc9171_WPSOffice_Level3"/>
      <w:bookmarkStart w:id="2139" w:name="_Toc14596"/>
      <w:r>
        <w:rPr>
          <w:rFonts w:hint="eastAsia" w:ascii="黑体" w:hAnsi="黑体" w:eastAsia="黑体" w:cs="宋体"/>
          <w:bCs/>
          <w:color w:val="auto"/>
          <w:sz w:val="24"/>
          <w:szCs w:val="24"/>
          <w:highlight w:val="none"/>
          <w:lang w:val="en-US" w:eastAsia="zh-CN" w:bidi="ar-SA"/>
        </w:rPr>
        <w:t>项目调试管理</w:t>
      </w:r>
      <w:bookmarkEnd w:id="2137"/>
      <w:bookmarkEnd w:id="2138"/>
      <w:bookmarkEnd w:id="2139"/>
    </w:p>
    <w:p>
      <w:pPr>
        <w:widowControl w:val="0"/>
        <w:numPr>
          <w:ilvl w:val="0"/>
          <w:numId w:val="55"/>
        </w:numPr>
        <w:tabs>
          <w:tab w:val="left" w:pos="0"/>
        </w:tabs>
        <w:spacing w:before="0" w:after="0" w:afterAutospacing="0" w:line="360" w:lineRule="auto"/>
        <w:ind w:left="0" w:right="0"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现场调试由</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执行组织，</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配合，现场</w:t>
      </w:r>
      <w:r>
        <w:rPr>
          <w:rFonts w:hint="eastAsia" w:ascii="宋体" w:hAnsi="宋体" w:eastAsia="宋体" w:cs="Times New Roman"/>
          <w:color w:val="auto"/>
          <w:sz w:val="21"/>
          <w:szCs w:val="21"/>
          <w:highlight w:val="none"/>
          <w:lang w:val="en-US" w:eastAsia="zh-CN"/>
        </w:rPr>
        <w:t>调试主要为CCTV摄像机</w:t>
      </w:r>
      <w:r>
        <w:rPr>
          <w:rFonts w:hint="eastAsia" w:ascii="宋体" w:hAnsi="宋体" w:eastAsia="宋体" w:cs="Times New Roman"/>
          <w:color w:val="auto"/>
          <w:sz w:val="21"/>
          <w:szCs w:val="21"/>
          <w:highlight w:val="none"/>
        </w:rPr>
        <w:t>。已完成</w:t>
      </w:r>
      <w:r>
        <w:rPr>
          <w:rFonts w:hint="eastAsia" w:ascii="宋体" w:hAnsi="宋体" w:eastAsia="宋体" w:cs="Times New Roman"/>
          <w:color w:val="auto"/>
          <w:sz w:val="21"/>
          <w:szCs w:val="21"/>
          <w:highlight w:val="none"/>
          <w:lang w:val="en-US" w:eastAsia="zh-CN"/>
        </w:rPr>
        <w:t>新增或改造的设备设施功能应该</w:t>
      </w:r>
      <w:r>
        <w:rPr>
          <w:rFonts w:hint="eastAsia" w:ascii="宋体" w:hAnsi="宋体" w:eastAsia="宋体" w:cs="Times New Roman"/>
          <w:color w:val="auto"/>
          <w:sz w:val="21"/>
          <w:szCs w:val="21"/>
          <w:highlight w:val="none"/>
        </w:rPr>
        <w:t>满足</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lang w:val="en-US" w:eastAsia="zh-CN"/>
        </w:rPr>
        <w:t>的功能、质量</w:t>
      </w:r>
      <w:r>
        <w:rPr>
          <w:rFonts w:hint="eastAsia" w:ascii="宋体" w:hAnsi="宋体" w:eastAsia="宋体" w:cs="Times New Roman"/>
          <w:color w:val="auto"/>
          <w:sz w:val="21"/>
          <w:szCs w:val="21"/>
          <w:highlight w:val="none"/>
        </w:rPr>
        <w:t>要求，对</w:t>
      </w:r>
      <w:r>
        <w:rPr>
          <w:rFonts w:hint="eastAsia" w:ascii="宋体" w:hAnsi="宋体" w:eastAsia="宋体" w:cs="Times New Roman"/>
          <w:color w:val="auto"/>
          <w:sz w:val="21"/>
          <w:szCs w:val="21"/>
          <w:highlight w:val="none"/>
          <w:lang w:val="en-US" w:eastAsia="zh-CN"/>
        </w:rPr>
        <w:t>新增或改造</w:t>
      </w:r>
      <w:r>
        <w:rPr>
          <w:rFonts w:hint="eastAsia" w:ascii="宋体" w:hAnsi="宋体" w:eastAsia="宋体" w:cs="Times New Roman"/>
          <w:color w:val="auto"/>
          <w:sz w:val="21"/>
          <w:szCs w:val="21"/>
          <w:highlight w:val="none"/>
        </w:rPr>
        <w:t>后仍存在问题的</w:t>
      </w:r>
      <w:r>
        <w:rPr>
          <w:rFonts w:hint="eastAsia" w:ascii="宋体" w:hAnsi="宋体" w:eastAsia="宋体" w:cs="Times New Roman"/>
          <w:color w:val="auto"/>
          <w:sz w:val="21"/>
          <w:szCs w:val="21"/>
          <w:highlight w:val="none"/>
          <w:lang w:val="en-US" w:eastAsia="zh-CN"/>
        </w:rPr>
        <w:t>设备</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须在15天内完成整改</w:t>
      </w:r>
      <w:r>
        <w:rPr>
          <w:rFonts w:hint="eastAsia" w:ascii="宋体" w:hAnsi="宋体" w:eastAsia="宋体" w:cs="Times New Roman"/>
          <w:color w:val="auto"/>
          <w:sz w:val="21"/>
          <w:szCs w:val="21"/>
          <w:highlight w:val="none"/>
          <w:lang w:val="en-US" w:eastAsia="zh-CN"/>
        </w:rPr>
        <w:t>。</w:t>
      </w:r>
    </w:p>
    <w:p>
      <w:pPr>
        <w:widowControl w:val="0"/>
        <w:numPr>
          <w:ilvl w:val="0"/>
          <w:numId w:val="55"/>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现场调试不能影响既有系统</w:t>
      </w:r>
      <w:r>
        <w:rPr>
          <w:rFonts w:hint="eastAsia" w:ascii="宋体" w:hAnsi="宋体" w:eastAsia="宋体" w:cs="Times New Roman"/>
          <w:color w:val="auto"/>
          <w:sz w:val="21"/>
          <w:szCs w:val="21"/>
          <w:highlight w:val="none"/>
          <w:lang w:eastAsia="zh-CN"/>
        </w:rPr>
        <w:t>、</w:t>
      </w:r>
      <w:r>
        <w:rPr>
          <w:rFonts w:hint="eastAsia" w:ascii="宋体" w:hAnsi="宋体" w:eastAsia="宋体" w:cs="Times New Roman"/>
          <w:color w:val="auto"/>
          <w:sz w:val="21"/>
          <w:szCs w:val="21"/>
          <w:highlight w:val="none"/>
          <w:lang w:val="en-US" w:eastAsia="zh-CN"/>
        </w:rPr>
        <w:t>设备的</w:t>
      </w:r>
      <w:r>
        <w:rPr>
          <w:rFonts w:hint="eastAsia" w:ascii="宋体" w:hAnsi="宋体" w:eastAsia="宋体" w:cs="Times New Roman"/>
          <w:color w:val="auto"/>
          <w:sz w:val="21"/>
          <w:szCs w:val="21"/>
          <w:highlight w:val="none"/>
        </w:rPr>
        <w:t>正常运行。</w:t>
      </w:r>
    </w:p>
    <w:p>
      <w:pPr>
        <w:widowControl w:val="0"/>
        <w:numPr>
          <w:ilvl w:val="0"/>
          <w:numId w:val="55"/>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按照合同进度要求负责本项目各阶段的测试，使本项目满足合同的各项要求。</w:t>
      </w:r>
    </w:p>
    <w:p>
      <w:pPr>
        <w:widowControl w:val="0"/>
        <w:numPr>
          <w:ilvl w:val="0"/>
          <w:numId w:val="55"/>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在试验、测试、检验中的任何行为并不减轻</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对产品质量的责任。</w:t>
      </w:r>
    </w:p>
    <w:p>
      <w:pPr>
        <w:widowControl w:val="0"/>
        <w:numPr>
          <w:ilvl w:val="0"/>
          <w:numId w:val="55"/>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对在本项目各阶段调试中发现的问题，</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必须在1周内（或按照</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的具体要求）以书面形式答复</w:t>
      </w:r>
      <w:r>
        <w:rPr>
          <w:rFonts w:hint="eastAsia" w:ascii="宋体" w:hAnsi="宋体" w:eastAsia="宋体" w:cs="Times New Roman"/>
          <w:color w:val="auto"/>
          <w:sz w:val="21"/>
          <w:szCs w:val="21"/>
          <w:highlight w:val="none"/>
          <w:lang w:eastAsia="zh-CN"/>
        </w:rPr>
        <w:t>甲方</w:t>
      </w:r>
      <w:r>
        <w:rPr>
          <w:rFonts w:hint="eastAsia" w:ascii="宋体" w:hAnsi="宋体" w:eastAsia="宋体" w:cs="Times New Roman"/>
          <w:color w:val="auto"/>
          <w:sz w:val="21"/>
          <w:szCs w:val="21"/>
          <w:highlight w:val="none"/>
        </w:rPr>
        <w:t>，所产生的费用由</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负责。</w:t>
      </w:r>
    </w:p>
    <w:p>
      <w:pPr>
        <w:widowControl w:val="0"/>
        <w:numPr>
          <w:ilvl w:val="0"/>
          <w:numId w:val="55"/>
        </w:numPr>
        <w:tabs>
          <w:tab w:val="left" w:pos="0"/>
        </w:tabs>
        <w:spacing w:before="0" w:after="0" w:afterAutospacing="0" w:line="360" w:lineRule="auto"/>
        <w:ind w:left="0" w:right="0" w:firstLine="420" w:firstLineChars="20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在本项目各阶段调试中由</w:t>
      </w: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负责免费提供所有必要的设备、设施、仪表及特殊工器具，以使本用户需求书中规定的规范/标准中的测试能顺利进行而不增加额外的费用。</w:t>
      </w:r>
    </w:p>
    <w:p>
      <w:pPr>
        <w:widowControl w:val="0"/>
        <w:numPr>
          <w:ilvl w:val="0"/>
          <w:numId w:val="55"/>
        </w:numPr>
        <w:spacing w:before="0" w:after="0" w:afterAutospacing="0" w:line="240" w:lineRule="auto"/>
        <w:ind w:left="0" w:right="0" w:firstLine="420" w:firstLineChars="200"/>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eastAsia="zh-CN"/>
        </w:rPr>
        <w:t>乙方</w:t>
      </w:r>
      <w:r>
        <w:rPr>
          <w:rFonts w:hint="eastAsia" w:ascii="宋体" w:hAnsi="宋体" w:eastAsia="宋体" w:cs="Times New Roman"/>
          <w:color w:val="auto"/>
          <w:sz w:val="21"/>
          <w:szCs w:val="21"/>
          <w:highlight w:val="none"/>
        </w:rPr>
        <w:t>应保证通过各阶段的各项测试，以确保系统能按工期完成，最终提交</w:t>
      </w:r>
      <w:r>
        <w:rPr>
          <w:rFonts w:hint="eastAsia" w:ascii="宋体" w:hAnsi="宋体" w:eastAsia="宋体" w:cs="Times New Roman"/>
          <w:color w:val="auto"/>
          <w:sz w:val="21"/>
          <w:szCs w:val="21"/>
          <w:highlight w:val="none"/>
          <w:lang w:val="en-US" w:eastAsia="zh-CN"/>
        </w:rPr>
        <w:t>测试报告</w:t>
      </w:r>
      <w:r>
        <w:rPr>
          <w:rFonts w:hint="eastAsia" w:ascii="宋体" w:hAnsi="宋体" w:eastAsia="宋体" w:cs="Times New Roman"/>
          <w:color w:val="auto"/>
          <w:sz w:val="21"/>
          <w:szCs w:val="21"/>
          <w:highlight w:val="none"/>
        </w:rPr>
        <w:t>。</w:t>
      </w:r>
    </w:p>
    <w:p>
      <w:pPr>
        <w:keepNext/>
        <w:keepLines/>
        <w:widowControl w:val="0"/>
        <w:numPr>
          <w:ilvl w:val="0"/>
          <w:numId w:val="26"/>
        </w:numPr>
        <w:spacing w:before="0" w:after="0" w:afterAutospacing="0" w:line="360" w:lineRule="auto"/>
        <w:ind w:left="0" w:right="0" w:firstLine="0"/>
        <w:jc w:val="left"/>
        <w:outlineLvl w:val="0"/>
        <w:rPr>
          <w:rFonts w:ascii="黑体" w:hAnsi="黑体" w:eastAsia="黑体" w:cs="宋体"/>
          <w:color w:val="auto"/>
          <w:kern w:val="44"/>
          <w:sz w:val="32"/>
          <w:szCs w:val="21"/>
          <w:highlight w:val="none"/>
          <w:lang w:val="en-US" w:eastAsia="zh-CN" w:bidi="ar-SA"/>
        </w:rPr>
      </w:pPr>
      <w:bookmarkStart w:id="2140" w:name="_Toc25526"/>
      <w:bookmarkStart w:id="2141" w:name="_Toc27809"/>
      <w:bookmarkStart w:id="2142" w:name="_Toc13253_WPSOffice_Level1"/>
      <w:bookmarkStart w:id="2143" w:name="_Toc19216"/>
      <w:bookmarkStart w:id="2144" w:name="_Toc12875"/>
      <w:bookmarkStart w:id="2145" w:name="_Toc14713_WPSOffice_Level2"/>
      <w:bookmarkStart w:id="2146" w:name="_Toc10567"/>
      <w:bookmarkStart w:id="2147" w:name="_Toc25097"/>
      <w:bookmarkStart w:id="2148" w:name="_Toc27740"/>
      <w:bookmarkStart w:id="2149" w:name="_Toc11956_WPSOffice_Level2"/>
      <w:bookmarkStart w:id="2150" w:name="_Toc28707"/>
      <w:r>
        <w:rPr>
          <w:rFonts w:hint="eastAsia" w:ascii="黑体" w:hAnsi="黑体" w:eastAsia="黑体" w:cs="宋体"/>
          <w:color w:val="auto"/>
          <w:kern w:val="44"/>
          <w:sz w:val="32"/>
          <w:szCs w:val="21"/>
          <w:highlight w:val="none"/>
          <w:lang w:val="en-US" w:eastAsia="zh-CN" w:bidi="ar-SA"/>
        </w:rPr>
        <w:t>考核</w:t>
      </w:r>
      <w:bookmarkEnd w:id="2140"/>
      <w:bookmarkEnd w:id="2141"/>
      <w:bookmarkEnd w:id="2142"/>
      <w:bookmarkEnd w:id="2143"/>
      <w:bookmarkEnd w:id="2144"/>
      <w:bookmarkEnd w:id="2145"/>
      <w:bookmarkEnd w:id="2146"/>
      <w:bookmarkEnd w:id="2147"/>
      <w:bookmarkEnd w:id="2148"/>
      <w:bookmarkEnd w:id="2149"/>
      <w:bookmarkEnd w:id="2150"/>
    </w:p>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151" w:name="_Toc12595"/>
      <w:bookmarkStart w:id="2152" w:name="_Toc21664"/>
      <w:bookmarkStart w:id="2153" w:name="_Toc23291"/>
      <w:bookmarkStart w:id="2154" w:name="_Toc31665"/>
      <w:bookmarkStart w:id="2155" w:name="_Toc16399"/>
      <w:bookmarkStart w:id="2156" w:name="_Toc3819"/>
      <w:bookmarkStart w:id="2157" w:name="_Toc13413"/>
      <w:bookmarkStart w:id="2158" w:name="_Toc5917_WPSOffice_Level2"/>
      <w:bookmarkStart w:id="2159" w:name="_Toc7838"/>
      <w:bookmarkStart w:id="2160" w:name="_Toc11006"/>
      <w:r>
        <w:rPr>
          <w:rFonts w:hint="eastAsia" w:ascii="黑体" w:hAnsi="黑体" w:eastAsia="黑体" w:cs="黑体"/>
          <w:color w:val="auto"/>
          <w:kern w:val="2"/>
          <w:sz w:val="28"/>
          <w:szCs w:val="28"/>
          <w:highlight w:val="none"/>
          <w:lang w:val="en-US" w:eastAsia="zh-CN" w:bidi="ar-SA"/>
        </w:rPr>
        <w:t>考核周期及内容</w:t>
      </w:r>
      <w:bookmarkEnd w:id="2151"/>
      <w:bookmarkEnd w:id="2152"/>
      <w:bookmarkEnd w:id="2153"/>
      <w:bookmarkEnd w:id="2154"/>
      <w:bookmarkEnd w:id="2155"/>
      <w:bookmarkEnd w:id="2156"/>
      <w:bookmarkEnd w:id="2157"/>
      <w:bookmarkEnd w:id="2158"/>
      <w:bookmarkEnd w:id="2159"/>
      <w:bookmarkEnd w:id="2160"/>
    </w:p>
    <w:p>
      <w:pPr>
        <w:widowControl w:val="0"/>
        <w:spacing w:before="0" w:after="0" w:afterAutospacing="0" w:line="360" w:lineRule="auto"/>
        <w:ind w:left="0" w:right="0" w:firstLine="420" w:firstLineChars="200"/>
        <w:rPr>
          <w:rFonts w:ascii="Times New Roman" w:hAnsi="Times New Roman" w:eastAsia="宋体" w:cs="Times New Roman"/>
          <w:color w:val="auto"/>
          <w:sz w:val="21"/>
          <w:szCs w:val="24"/>
          <w:highlight w:val="none"/>
        </w:rPr>
      </w:pPr>
      <w:r>
        <w:rPr>
          <w:rFonts w:hint="eastAsia" w:ascii="Times New Roman" w:hAnsi="Times New Roman" w:eastAsia="宋体" w:cs="Times New Roman"/>
          <w:color w:val="auto"/>
          <w:sz w:val="21"/>
          <w:szCs w:val="24"/>
          <w:highlight w:val="none"/>
          <w:lang w:eastAsia="zh-CN"/>
        </w:rPr>
        <w:t>甲方</w:t>
      </w:r>
      <w:r>
        <w:rPr>
          <w:rFonts w:hint="eastAsia" w:ascii="Times New Roman" w:hAnsi="Times New Roman" w:eastAsia="宋体" w:cs="Times New Roman"/>
          <w:color w:val="auto"/>
          <w:sz w:val="21"/>
          <w:szCs w:val="24"/>
          <w:highlight w:val="none"/>
        </w:rPr>
        <w:t>按照</w:t>
      </w:r>
      <w:r>
        <w:rPr>
          <w:rFonts w:ascii="Times New Roman" w:hAnsi="Times New Roman" w:eastAsia="宋体" w:cs="Times New Roman"/>
          <w:color w:val="auto"/>
          <w:sz w:val="21"/>
          <w:szCs w:val="24"/>
          <w:highlight w:val="none"/>
        </w:rPr>
        <w:t>附件</w:t>
      </w:r>
      <w:r>
        <w:rPr>
          <w:rFonts w:hint="eastAsia" w:ascii="Times New Roman" w:hAnsi="Times New Roman" w:eastAsia="宋体" w:cs="Times New Roman"/>
          <w:color w:val="auto"/>
          <w:sz w:val="21"/>
          <w:szCs w:val="24"/>
          <w:highlight w:val="none"/>
          <w:lang w:val="en-US" w:eastAsia="zh-CN"/>
        </w:rPr>
        <w:t>5</w:t>
      </w:r>
      <w:r>
        <w:rPr>
          <w:rFonts w:hint="eastAsia" w:ascii="Times New Roman" w:hAnsi="Times New Roman" w:eastAsia="宋体" w:cs="Times New Roman"/>
          <w:color w:val="auto"/>
          <w:sz w:val="21"/>
          <w:szCs w:val="24"/>
          <w:highlight w:val="none"/>
        </w:rPr>
        <w:t>对</w:t>
      </w:r>
      <w:r>
        <w:rPr>
          <w:rFonts w:hint="eastAsia" w:ascii="Times New Roman" w:hAnsi="Times New Roman" w:eastAsia="宋体" w:cs="Times New Roman"/>
          <w:color w:val="auto"/>
          <w:sz w:val="21"/>
          <w:szCs w:val="24"/>
          <w:highlight w:val="none"/>
          <w:lang w:eastAsia="zh-CN"/>
        </w:rPr>
        <w:t>乙方</w:t>
      </w:r>
      <w:r>
        <w:rPr>
          <w:rFonts w:ascii="Times New Roman" w:hAnsi="Times New Roman" w:eastAsia="宋体" w:cs="Times New Roman"/>
          <w:color w:val="auto"/>
          <w:sz w:val="21"/>
          <w:szCs w:val="24"/>
          <w:highlight w:val="none"/>
        </w:rPr>
        <w:t>在</w:t>
      </w:r>
      <w:r>
        <w:rPr>
          <w:rFonts w:hint="eastAsia" w:cs="宋体" w:asciiTheme="minorEastAsia" w:hAnsiTheme="minorEastAsia" w:eastAsiaTheme="minorEastAsia"/>
          <w:color w:val="FF0000"/>
          <w:kern w:val="2"/>
          <w:sz w:val="21"/>
          <w:szCs w:val="21"/>
          <w:highlight w:val="none"/>
          <w:lang w:val="en-US" w:eastAsia="zh-CN" w:bidi="ar-SA"/>
        </w:rPr>
        <w:t>南宁轨道交通1-5号线出入段（场）线地面洞口及个别车站紧急疏散口视频监控补盲项目</w:t>
      </w:r>
      <w:r>
        <w:rPr>
          <w:rFonts w:ascii="Times New Roman" w:hAnsi="Times New Roman" w:eastAsia="宋体" w:cs="Times New Roman"/>
          <w:color w:val="auto"/>
          <w:sz w:val="21"/>
          <w:szCs w:val="24"/>
          <w:highlight w:val="none"/>
        </w:rPr>
        <w:t>的合同履约情况进行评价。</w:t>
      </w:r>
    </w:p>
    <w:p>
      <w:pPr>
        <w:widowControl w:val="0"/>
        <w:spacing w:before="0" w:after="0" w:afterAutospacing="0" w:line="360" w:lineRule="auto"/>
        <w:ind w:left="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评价时间：合同执行期</w:t>
      </w:r>
      <w:r>
        <w:rPr>
          <w:rFonts w:hint="eastAsia" w:ascii="宋体" w:hAnsi="宋体" w:eastAsia="宋体" w:cs="宋体"/>
          <w:color w:val="auto"/>
          <w:sz w:val="21"/>
          <w:szCs w:val="21"/>
          <w:highlight w:val="none"/>
          <w:lang w:eastAsia="zh-CN"/>
        </w:rPr>
        <w:t>。</w:t>
      </w:r>
    </w:p>
    <w:p>
      <w:pPr>
        <w:widowControl w:val="0"/>
        <w:spacing w:before="0" w:after="0" w:afterAutospacing="0" w:line="360" w:lineRule="auto"/>
        <w:ind w:left="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评价主持：</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相关部门</w:t>
      </w:r>
      <w:r>
        <w:rPr>
          <w:rFonts w:hint="eastAsia" w:ascii="宋体" w:hAnsi="宋体" w:eastAsia="宋体" w:cs="宋体"/>
          <w:color w:val="auto"/>
          <w:sz w:val="21"/>
          <w:szCs w:val="21"/>
          <w:highlight w:val="none"/>
          <w:lang w:eastAsia="zh-CN"/>
        </w:rPr>
        <w:t>。</w:t>
      </w:r>
    </w:p>
    <w:p>
      <w:pPr>
        <w:widowControl w:val="0"/>
        <w:spacing w:before="0" w:after="0" w:afterAutospacing="0" w:line="360" w:lineRule="auto"/>
        <w:ind w:left="0" w:right="0"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参加人员：</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相关部门</w:t>
      </w:r>
      <w:r>
        <w:rPr>
          <w:rFonts w:hint="eastAsia" w:ascii="宋体" w:hAnsi="宋体" w:eastAsia="宋体" w:cs="宋体"/>
          <w:color w:val="auto"/>
          <w:sz w:val="21"/>
          <w:szCs w:val="21"/>
          <w:highlight w:val="none"/>
          <w:lang w:val="en-US" w:eastAsia="zh-CN"/>
        </w:rPr>
        <w:t>人员</w:t>
      </w:r>
      <w:r>
        <w:rPr>
          <w:rFonts w:hint="eastAsia" w:ascii="宋体" w:hAnsi="宋体" w:eastAsia="宋体" w:cs="宋体"/>
          <w:color w:val="auto"/>
          <w:sz w:val="21"/>
          <w:szCs w:val="21"/>
          <w:highlight w:val="none"/>
          <w:lang w:eastAsia="zh-CN"/>
        </w:rPr>
        <w:t>。</w:t>
      </w:r>
    </w:p>
    <w:p>
      <w:pPr>
        <w:keepNext/>
        <w:keepLines/>
        <w:widowControl w:val="0"/>
        <w:numPr>
          <w:ilvl w:val="1"/>
          <w:numId w:val="26"/>
        </w:numPr>
        <w:spacing w:before="0" w:after="0" w:afterAutospacing="0" w:line="360" w:lineRule="auto"/>
        <w:ind w:left="0" w:right="0" w:firstLine="0"/>
        <w:jc w:val="left"/>
        <w:outlineLvl w:val="1"/>
        <w:rPr>
          <w:rFonts w:hint="eastAsia" w:ascii="黑体" w:hAnsi="黑体" w:eastAsia="黑体" w:cs="黑体"/>
          <w:color w:val="auto"/>
          <w:kern w:val="2"/>
          <w:sz w:val="28"/>
          <w:szCs w:val="28"/>
          <w:highlight w:val="none"/>
          <w:lang w:val="en-US" w:eastAsia="zh-CN" w:bidi="ar-SA"/>
        </w:rPr>
      </w:pPr>
      <w:bookmarkStart w:id="2161" w:name="_Toc8727"/>
      <w:bookmarkStart w:id="2162" w:name="_Toc31152"/>
      <w:bookmarkStart w:id="2163" w:name="_Toc20494"/>
      <w:bookmarkStart w:id="2164" w:name="_Toc6997"/>
      <w:bookmarkStart w:id="2165" w:name="_Toc8179"/>
      <w:bookmarkStart w:id="2166" w:name="_Toc1685_WPSOffice_Level2"/>
      <w:bookmarkStart w:id="2167" w:name="_Toc24936"/>
      <w:bookmarkStart w:id="2168" w:name="_Toc5226"/>
      <w:bookmarkStart w:id="2169" w:name="_Toc4180"/>
      <w:r>
        <w:rPr>
          <w:rFonts w:hint="eastAsia" w:ascii="黑体" w:hAnsi="黑体" w:eastAsia="黑体" w:cs="黑体"/>
          <w:color w:val="auto"/>
          <w:kern w:val="2"/>
          <w:sz w:val="28"/>
          <w:szCs w:val="28"/>
          <w:highlight w:val="none"/>
          <w:lang w:val="en-US" w:eastAsia="zh-CN" w:bidi="ar-SA"/>
        </w:rPr>
        <w:t>考核得分及扣款</w:t>
      </w:r>
      <w:bookmarkEnd w:id="2161"/>
      <w:bookmarkEnd w:id="2162"/>
      <w:bookmarkEnd w:id="2163"/>
      <w:bookmarkEnd w:id="2164"/>
      <w:bookmarkEnd w:id="2165"/>
      <w:bookmarkEnd w:id="2166"/>
      <w:bookmarkEnd w:id="2167"/>
      <w:bookmarkEnd w:id="2168"/>
      <w:bookmarkEnd w:id="2169"/>
    </w:p>
    <w:p>
      <w:pPr>
        <w:widowControl w:val="0"/>
        <w:spacing w:before="0" w:after="0" w:afterAutospacing="0" w:line="360" w:lineRule="auto"/>
        <w:ind w:left="0" w:right="0" w:firstLine="420" w:firstLineChars="200"/>
        <w:rPr>
          <w:rFonts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t>合同</w:t>
      </w:r>
      <w:r>
        <w:rPr>
          <w:rFonts w:cs="Times New Roman" w:asciiTheme="minorEastAsia" w:hAnsiTheme="minorEastAsia" w:eastAsiaTheme="minorEastAsia"/>
          <w:color w:val="auto"/>
          <w:sz w:val="21"/>
          <w:szCs w:val="21"/>
          <w:highlight w:val="none"/>
        </w:rPr>
        <w:t>评价考核由</w:t>
      </w:r>
      <w:r>
        <w:rPr>
          <w:rFonts w:hint="eastAsia" w:cs="Times New Roman" w:asciiTheme="minorEastAsia" w:hAnsiTheme="minorEastAsia" w:eastAsiaTheme="minorEastAsia"/>
          <w:color w:val="auto"/>
          <w:sz w:val="21"/>
          <w:szCs w:val="21"/>
          <w:highlight w:val="none"/>
          <w:lang w:eastAsia="zh-CN"/>
        </w:rPr>
        <w:t>甲方</w:t>
      </w:r>
      <w:r>
        <w:rPr>
          <w:rFonts w:cs="Times New Roman" w:asciiTheme="minorEastAsia" w:hAnsiTheme="minorEastAsia" w:eastAsiaTheme="minorEastAsia"/>
          <w:color w:val="auto"/>
          <w:sz w:val="21"/>
          <w:szCs w:val="21"/>
          <w:highlight w:val="none"/>
        </w:rPr>
        <w:t>主管部门进行打分，</w:t>
      </w:r>
      <w:r>
        <w:rPr>
          <w:rFonts w:hint="eastAsia" w:cs="Times New Roman" w:asciiTheme="minorEastAsia" w:hAnsiTheme="minorEastAsia" w:eastAsiaTheme="minorEastAsia"/>
          <w:color w:val="auto"/>
          <w:sz w:val="21"/>
          <w:szCs w:val="21"/>
          <w:highlight w:val="none"/>
        </w:rPr>
        <w:t>项目</w:t>
      </w:r>
      <w:r>
        <w:rPr>
          <w:rFonts w:cs="Times New Roman" w:asciiTheme="minorEastAsia" w:hAnsiTheme="minorEastAsia" w:eastAsiaTheme="minorEastAsia"/>
          <w:color w:val="auto"/>
          <w:sz w:val="21"/>
          <w:szCs w:val="21"/>
          <w:highlight w:val="none"/>
        </w:rPr>
        <w:t>评价表详见附件</w:t>
      </w:r>
      <w:r>
        <w:rPr>
          <w:rFonts w:hint="eastAsia" w:cs="Times New Roman" w:asciiTheme="minorEastAsia" w:hAnsiTheme="minorEastAsia" w:eastAsiaTheme="minorEastAsia"/>
          <w:color w:val="auto"/>
          <w:sz w:val="21"/>
          <w:szCs w:val="21"/>
          <w:highlight w:val="none"/>
          <w:lang w:val="en-US" w:eastAsia="zh-CN"/>
        </w:rPr>
        <w:t>2</w:t>
      </w:r>
      <w:r>
        <w:rPr>
          <w:rFonts w:hint="eastAsia" w:cs="Times New Roman" w:asciiTheme="minorEastAsia" w:hAnsiTheme="minorEastAsia" w:eastAsiaTheme="minorEastAsia"/>
          <w:color w:val="auto"/>
          <w:sz w:val="21"/>
          <w:szCs w:val="21"/>
          <w:highlight w:val="none"/>
        </w:rPr>
        <w:t>，</w:t>
      </w:r>
      <w:r>
        <w:rPr>
          <w:rFonts w:hint="eastAsia" w:cs="Times New Roman" w:asciiTheme="minorEastAsia" w:hAnsiTheme="minorEastAsia" w:eastAsiaTheme="minorEastAsia"/>
          <w:color w:val="auto"/>
          <w:sz w:val="21"/>
          <w:szCs w:val="21"/>
          <w:highlight w:val="none"/>
          <w:lang w:val="en-US" w:eastAsia="zh-CN"/>
        </w:rPr>
        <w:t>如乙方得分低于90分</w:t>
      </w:r>
      <w:r>
        <w:rPr>
          <w:rFonts w:hint="eastAsia" w:cs="宋体" w:asciiTheme="minorEastAsia" w:hAnsiTheme="minorEastAsia" w:eastAsiaTheme="minorEastAsia"/>
          <w:color w:val="auto"/>
          <w:sz w:val="21"/>
          <w:szCs w:val="21"/>
          <w:highlight w:val="none"/>
        </w:rPr>
        <w:t>由</w:t>
      </w:r>
      <w:r>
        <w:rPr>
          <w:rFonts w:hint="eastAsia" w:cs="宋体" w:asciiTheme="minorEastAsia" w:hAnsiTheme="minorEastAsia" w:eastAsiaTheme="minorEastAsia"/>
          <w:color w:val="auto"/>
          <w:sz w:val="21"/>
          <w:szCs w:val="21"/>
          <w:highlight w:val="none"/>
          <w:lang w:eastAsia="zh-CN"/>
        </w:rPr>
        <w:t>甲方</w:t>
      </w:r>
      <w:r>
        <w:rPr>
          <w:rFonts w:hint="eastAsia" w:cs="宋体" w:asciiTheme="minorEastAsia" w:hAnsiTheme="minorEastAsia" w:eastAsiaTheme="minorEastAsia"/>
          <w:color w:val="auto"/>
          <w:sz w:val="21"/>
          <w:szCs w:val="21"/>
          <w:highlight w:val="none"/>
        </w:rPr>
        <w:t>填写合同违约</w:t>
      </w:r>
      <w:r>
        <w:rPr>
          <w:rFonts w:hint="eastAsia" w:cs="宋体" w:asciiTheme="minorEastAsia" w:hAnsiTheme="minorEastAsia" w:eastAsiaTheme="minorEastAsia"/>
          <w:color w:val="auto"/>
          <w:sz w:val="21"/>
          <w:szCs w:val="21"/>
          <w:highlight w:val="none"/>
          <w:lang w:val="en-US" w:eastAsia="zh-CN"/>
        </w:rPr>
        <w:t>处理</w:t>
      </w:r>
      <w:r>
        <w:rPr>
          <w:rFonts w:cs="宋体" w:asciiTheme="minorEastAsia" w:hAnsiTheme="minorEastAsia" w:eastAsiaTheme="minorEastAsia"/>
          <w:color w:val="auto"/>
          <w:sz w:val="21"/>
          <w:szCs w:val="21"/>
          <w:highlight w:val="none"/>
        </w:rPr>
        <w:t>通知单</w:t>
      </w:r>
      <w:r>
        <w:rPr>
          <w:rFonts w:hint="eastAsia" w:cs="宋体" w:asciiTheme="minorEastAsia" w:hAnsiTheme="minorEastAsia" w:eastAsiaTheme="minorEastAsia"/>
          <w:color w:val="auto"/>
          <w:sz w:val="21"/>
          <w:szCs w:val="21"/>
          <w:highlight w:val="none"/>
        </w:rPr>
        <w:t>（附件</w:t>
      </w:r>
      <w:r>
        <w:rPr>
          <w:rFonts w:hint="eastAsia" w:cs="宋体" w:asciiTheme="minorEastAsia" w:hAnsiTheme="minorEastAsia" w:eastAsiaTheme="minorEastAsia"/>
          <w:color w:val="auto"/>
          <w:sz w:val="21"/>
          <w:szCs w:val="21"/>
          <w:highlight w:val="none"/>
          <w:lang w:val="en-US" w:eastAsia="zh-CN"/>
        </w:rPr>
        <w:t>3</w:t>
      </w:r>
      <w:r>
        <w:rPr>
          <w:rFonts w:hint="eastAsia" w:cs="宋体" w:asciiTheme="minorEastAsia" w:hAnsiTheme="minorEastAsia" w:eastAsiaTheme="minorEastAsia"/>
          <w:color w:val="auto"/>
          <w:sz w:val="21"/>
          <w:szCs w:val="21"/>
          <w:highlight w:val="none"/>
        </w:rPr>
        <w:t>）。</w:t>
      </w:r>
      <w:r>
        <w:rPr>
          <w:rFonts w:cs="Times New Roman" w:asciiTheme="minorEastAsia" w:hAnsiTheme="minorEastAsia" w:eastAsiaTheme="minorEastAsia"/>
          <w:color w:val="auto"/>
          <w:sz w:val="21"/>
          <w:szCs w:val="21"/>
          <w:highlight w:val="none"/>
        </w:rPr>
        <w:t>具体操作如下：</w:t>
      </w:r>
    </w:p>
    <w:p>
      <w:pPr>
        <w:widowControl w:val="0"/>
        <w:spacing w:before="0" w:after="0" w:afterAutospacing="0" w:line="360" w:lineRule="auto"/>
        <w:ind w:left="0" w:right="0" w:firstLine="420"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评价得分直接关系到项目服务合同款支付，扣款</w:t>
      </w:r>
      <w:r>
        <w:rPr>
          <w:rFonts w:cs="宋体" w:asciiTheme="minorEastAsia" w:hAnsiTheme="minorEastAsia" w:eastAsiaTheme="minorEastAsia"/>
          <w:color w:val="auto"/>
          <w:sz w:val="21"/>
          <w:szCs w:val="21"/>
          <w:highlight w:val="none"/>
        </w:rPr>
        <w:t>从</w:t>
      </w:r>
      <w:r>
        <w:rPr>
          <w:rFonts w:hint="eastAsia" w:cs="宋体" w:asciiTheme="minorEastAsia" w:hAnsiTheme="minorEastAsia" w:eastAsiaTheme="minorEastAsia"/>
          <w:color w:val="auto"/>
          <w:sz w:val="21"/>
          <w:szCs w:val="21"/>
          <w:highlight w:val="none"/>
        </w:rPr>
        <w:t>项目</w:t>
      </w:r>
      <w:r>
        <w:rPr>
          <w:rFonts w:cs="宋体" w:asciiTheme="minorEastAsia" w:hAnsiTheme="minorEastAsia" w:eastAsiaTheme="minorEastAsia"/>
          <w:color w:val="auto"/>
          <w:sz w:val="21"/>
          <w:szCs w:val="21"/>
          <w:highlight w:val="none"/>
        </w:rPr>
        <w:t>验收完成后</w:t>
      </w:r>
      <w:r>
        <w:rPr>
          <w:rFonts w:hint="eastAsia" w:cs="宋体" w:asciiTheme="minorEastAsia" w:hAnsiTheme="minorEastAsia" w:eastAsiaTheme="minorEastAsia"/>
          <w:color w:val="auto"/>
          <w:sz w:val="21"/>
          <w:szCs w:val="21"/>
          <w:highlight w:val="none"/>
        </w:rPr>
        <w:t>的</w:t>
      </w:r>
      <w:r>
        <w:rPr>
          <w:rFonts w:cs="宋体" w:asciiTheme="minorEastAsia" w:hAnsiTheme="minorEastAsia" w:eastAsiaTheme="minorEastAsia"/>
          <w:color w:val="auto"/>
          <w:sz w:val="21"/>
          <w:szCs w:val="21"/>
          <w:highlight w:val="none"/>
        </w:rPr>
        <w:t>支付款项</w:t>
      </w:r>
      <w:r>
        <w:rPr>
          <w:rFonts w:hint="eastAsia" w:cs="宋体" w:asciiTheme="minorEastAsia" w:hAnsiTheme="minorEastAsia" w:eastAsiaTheme="minorEastAsia"/>
          <w:color w:val="auto"/>
          <w:sz w:val="21"/>
          <w:szCs w:val="21"/>
          <w:highlight w:val="none"/>
        </w:rPr>
        <w:t>中</w:t>
      </w:r>
      <w:r>
        <w:rPr>
          <w:rFonts w:cs="宋体" w:asciiTheme="minorEastAsia" w:hAnsiTheme="minorEastAsia" w:eastAsiaTheme="minorEastAsia"/>
          <w:color w:val="auto"/>
          <w:sz w:val="21"/>
          <w:szCs w:val="21"/>
          <w:highlight w:val="none"/>
        </w:rPr>
        <w:t>扣除，</w:t>
      </w:r>
      <w:r>
        <w:rPr>
          <w:rFonts w:hint="eastAsia" w:cs="宋体" w:asciiTheme="minorEastAsia" w:hAnsiTheme="minorEastAsia" w:eastAsiaTheme="minorEastAsia"/>
          <w:color w:val="auto"/>
          <w:sz w:val="21"/>
          <w:szCs w:val="21"/>
          <w:highlight w:val="none"/>
        </w:rPr>
        <w:t>具体操作方式如下：</w:t>
      </w:r>
    </w:p>
    <w:tbl>
      <w:tblPr>
        <w:tblStyle w:val="3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3049"/>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blHeader/>
          <w:jc w:val="center"/>
        </w:trPr>
        <w:tc>
          <w:tcPr>
            <w:tcW w:w="2305"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评价得分</w:t>
            </w:r>
          </w:p>
        </w:tc>
        <w:tc>
          <w:tcPr>
            <w:tcW w:w="3049"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扣款（单位</w:t>
            </w:r>
            <w:r>
              <w:rPr>
                <w:rFonts w:cs="宋体" w:asciiTheme="minorEastAsia" w:hAnsiTheme="minorEastAsia" w:eastAsiaTheme="minorEastAsia"/>
                <w:b/>
                <w:color w:val="auto"/>
                <w:sz w:val="21"/>
                <w:szCs w:val="21"/>
                <w:highlight w:val="none"/>
              </w:rPr>
              <w:t>：万元</w:t>
            </w:r>
            <w:r>
              <w:rPr>
                <w:rFonts w:hint="eastAsia" w:cs="宋体" w:asciiTheme="minorEastAsia" w:hAnsiTheme="minorEastAsia" w:eastAsiaTheme="minorEastAsia"/>
                <w:b/>
                <w:color w:val="auto"/>
                <w:sz w:val="21"/>
                <w:szCs w:val="21"/>
                <w:highlight w:val="none"/>
              </w:rPr>
              <w:t>）</w:t>
            </w:r>
          </w:p>
        </w:tc>
        <w:tc>
          <w:tcPr>
            <w:tcW w:w="3168"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305"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90-100</w:t>
            </w:r>
            <w:r>
              <w:rPr>
                <w:rFonts w:hint="eastAsia" w:cs="宋体" w:asciiTheme="minorEastAsia" w:hAnsiTheme="minorEastAsia" w:eastAsiaTheme="minorEastAsia"/>
                <w:color w:val="auto"/>
                <w:sz w:val="21"/>
                <w:szCs w:val="21"/>
                <w:highlight w:val="none"/>
              </w:rPr>
              <w:t>（含</w:t>
            </w:r>
            <w:r>
              <w:rPr>
                <w:rFonts w:cs="宋体" w:asciiTheme="minorEastAsia" w:hAnsiTheme="minorEastAsia" w:eastAsiaTheme="minorEastAsia"/>
                <w:color w:val="auto"/>
                <w:sz w:val="21"/>
                <w:szCs w:val="21"/>
                <w:highlight w:val="none"/>
              </w:rPr>
              <w:t>90</w:t>
            </w:r>
            <w:r>
              <w:rPr>
                <w:rFonts w:hint="eastAsia" w:cs="宋体" w:asciiTheme="minorEastAsia" w:hAnsiTheme="minorEastAsia" w:eastAsiaTheme="minorEastAsia"/>
                <w:color w:val="auto"/>
                <w:sz w:val="21"/>
                <w:szCs w:val="21"/>
                <w:highlight w:val="none"/>
              </w:rPr>
              <w:t>分）</w:t>
            </w:r>
          </w:p>
        </w:tc>
        <w:tc>
          <w:tcPr>
            <w:tcW w:w="3049"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0</w:t>
            </w:r>
          </w:p>
        </w:tc>
        <w:tc>
          <w:tcPr>
            <w:tcW w:w="3168"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不扣款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305"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85-90</w:t>
            </w:r>
            <w:r>
              <w:rPr>
                <w:rFonts w:hint="eastAsia" w:cs="宋体" w:asciiTheme="minorEastAsia" w:hAnsiTheme="minorEastAsia" w:eastAsiaTheme="minorEastAsia"/>
                <w:color w:val="auto"/>
                <w:sz w:val="21"/>
                <w:szCs w:val="21"/>
                <w:highlight w:val="none"/>
              </w:rPr>
              <w:t>（含</w:t>
            </w:r>
            <w:r>
              <w:rPr>
                <w:rFonts w:cs="宋体" w:asciiTheme="minorEastAsia" w:hAnsiTheme="minorEastAsia" w:eastAsiaTheme="minorEastAsia"/>
                <w:color w:val="auto"/>
                <w:sz w:val="21"/>
                <w:szCs w:val="21"/>
                <w:highlight w:val="none"/>
              </w:rPr>
              <w:t>85</w:t>
            </w:r>
            <w:r>
              <w:rPr>
                <w:rFonts w:hint="eastAsia" w:cs="宋体" w:asciiTheme="minorEastAsia" w:hAnsiTheme="minorEastAsia" w:eastAsiaTheme="minorEastAsia"/>
                <w:color w:val="auto"/>
                <w:sz w:val="21"/>
                <w:szCs w:val="21"/>
                <w:highlight w:val="none"/>
              </w:rPr>
              <w:t>分）</w:t>
            </w:r>
          </w:p>
        </w:tc>
        <w:tc>
          <w:tcPr>
            <w:tcW w:w="3049"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0.5</w:t>
            </w:r>
          </w:p>
        </w:tc>
        <w:tc>
          <w:tcPr>
            <w:tcW w:w="3168" w:type="dxa"/>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从项目</w:t>
            </w:r>
            <w:r>
              <w:rPr>
                <w:rFonts w:cs="宋体" w:asciiTheme="minorEastAsia" w:hAnsiTheme="minorEastAsia" w:eastAsiaTheme="minorEastAsia"/>
                <w:color w:val="auto"/>
                <w:sz w:val="21"/>
                <w:szCs w:val="21"/>
                <w:highlight w:val="none"/>
              </w:rPr>
              <w:t>验收完成后支付</w:t>
            </w:r>
            <w:r>
              <w:rPr>
                <w:rFonts w:hint="eastAsia" w:cs="宋体" w:asciiTheme="minorEastAsia" w:hAnsiTheme="minorEastAsia" w:eastAsiaTheme="minorEastAsia"/>
                <w:color w:val="auto"/>
                <w:sz w:val="21"/>
                <w:szCs w:val="21"/>
                <w:highlight w:val="none"/>
              </w:rPr>
              <w:t>的合同款项</w:t>
            </w:r>
            <w:r>
              <w:rPr>
                <w:rFonts w:cs="宋体" w:asciiTheme="minorEastAsia" w:hAnsiTheme="minorEastAsia" w:eastAsiaTheme="minorEastAsia"/>
                <w:color w:val="auto"/>
                <w:sz w:val="21"/>
                <w:szCs w:val="21"/>
                <w:highlight w:val="none"/>
              </w:rPr>
              <w:t>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305"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80-85</w:t>
            </w:r>
            <w:r>
              <w:rPr>
                <w:rFonts w:hint="eastAsia" w:cs="宋体" w:asciiTheme="minorEastAsia" w:hAnsiTheme="minorEastAsia" w:eastAsiaTheme="minorEastAsia"/>
                <w:color w:val="auto"/>
                <w:sz w:val="21"/>
                <w:szCs w:val="21"/>
                <w:highlight w:val="none"/>
              </w:rPr>
              <w:t>（含</w:t>
            </w:r>
            <w:r>
              <w:rPr>
                <w:rFonts w:cs="宋体" w:asciiTheme="minorEastAsia" w:hAnsiTheme="minorEastAsia" w:eastAsiaTheme="minorEastAsia"/>
                <w:color w:val="auto"/>
                <w:sz w:val="21"/>
                <w:szCs w:val="21"/>
                <w:highlight w:val="none"/>
              </w:rPr>
              <w:t>80</w:t>
            </w:r>
            <w:r>
              <w:rPr>
                <w:rFonts w:hint="eastAsia" w:cs="宋体" w:asciiTheme="minorEastAsia" w:hAnsiTheme="minorEastAsia" w:eastAsiaTheme="minorEastAsia"/>
                <w:color w:val="auto"/>
                <w:sz w:val="21"/>
                <w:szCs w:val="21"/>
                <w:highlight w:val="none"/>
              </w:rPr>
              <w:t>分）</w:t>
            </w:r>
          </w:p>
        </w:tc>
        <w:tc>
          <w:tcPr>
            <w:tcW w:w="3049"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1</w:t>
            </w:r>
          </w:p>
        </w:tc>
        <w:tc>
          <w:tcPr>
            <w:tcW w:w="3168" w:type="dxa"/>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从项目</w:t>
            </w:r>
            <w:r>
              <w:rPr>
                <w:rFonts w:cs="宋体" w:asciiTheme="minorEastAsia" w:hAnsiTheme="minorEastAsia" w:eastAsiaTheme="minorEastAsia"/>
                <w:color w:val="auto"/>
                <w:sz w:val="21"/>
                <w:szCs w:val="21"/>
                <w:highlight w:val="none"/>
              </w:rPr>
              <w:t>验收完成后支付</w:t>
            </w:r>
            <w:r>
              <w:rPr>
                <w:rFonts w:hint="eastAsia" w:cs="宋体" w:asciiTheme="minorEastAsia" w:hAnsiTheme="minorEastAsia" w:eastAsiaTheme="minorEastAsia"/>
                <w:color w:val="auto"/>
                <w:sz w:val="21"/>
                <w:szCs w:val="21"/>
                <w:highlight w:val="none"/>
              </w:rPr>
              <w:t>的合同款项</w:t>
            </w:r>
            <w:r>
              <w:rPr>
                <w:rFonts w:cs="宋体" w:asciiTheme="minorEastAsia" w:hAnsiTheme="minorEastAsia" w:eastAsiaTheme="minorEastAsia"/>
                <w:color w:val="auto"/>
                <w:sz w:val="21"/>
                <w:szCs w:val="21"/>
                <w:highlight w:val="none"/>
              </w:rPr>
              <w:t>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305"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val="en-US" w:eastAsia="zh-CN"/>
              </w:rPr>
              <w:t>＜</w:t>
            </w:r>
            <w:r>
              <w:rPr>
                <w:rFonts w:cs="宋体" w:asciiTheme="minorEastAsia" w:hAnsiTheme="minorEastAsia" w:eastAsiaTheme="minorEastAsia"/>
                <w:color w:val="auto"/>
                <w:sz w:val="21"/>
                <w:szCs w:val="21"/>
                <w:highlight w:val="none"/>
              </w:rPr>
              <w:t>80</w:t>
            </w:r>
          </w:p>
        </w:tc>
        <w:tc>
          <w:tcPr>
            <w:tcW w:w="3049" w:type="dxa"/>
            <w:vAlign w:val="center"/>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cs="宋体" w:asciiTheme="minorEastAsia" w:hAnsiTheme="minorEastAsia" w:eastAsiaTheme="minorEastAsia"/>
                <w:color w:val="auto"/>
                <w:sz w:val="21"/>
                <w:szCs w:val="21"/>
                <w:highlight w:val="none"/>
              </w:rPr>
              <w:t>2</w:t>
            </w:r>
          </w:p>
        </w:tc>
        <w:tc>
          <w:tcPr>
            <w:tcW w:w="3168" w:type="dxa"/>
          </w:tcPr>
          <w:p>
            <w:pPr>
              <w:widowControl w:val="0"/>
              <w:spacing w:before="0" w:after="0" w:afterAutospacing="0" w:line="240" w:lineRule="auto"/>
              <w:ind w:left="0" w:right="0" w:firstLine="0"/>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从项目</w:t>
            </w:r>
            <w:r>
              <w:rPr>
                <w:rFonts w:cs="宋体" w:asciiTheme="minorEastAsia" w:hAnsiTheme="minorEastAsia" w:eastAsiaTheme="minorEastAsia"/>
                <w:color w:val="auto"/>
                <w:sz w:val="21"/>
                <w:szCs w:val="21"/>
                <w:highlight w:val="none"/>
              </w:rPr>
              <w:t>验收完成后支付</w:t>
            </w:r>
            <w:r>
              <w:rPr>
                <w:rFonts w:hint="eastAsia" w:cs="宋体" w:asciiTheme="minorEastAsia" w:hAnsiTheme="minorEastAsia" w:eastAsiaTheme="minorEastAsia"/>
                <w:color w:val="auto"/>
                <w:sz w:val="21"/>
                <w:szCs w:val="21"/>
                <w:highlight w:val="none"/>
              </w:rPr>
              <w:t>的合同款项</w:t>
            </w:r>
            <w:r>
              <w:rPr>
                <w:rFonts w:cs="宋体" w:asciiTheme="minorEastAsia" w:hAnsiTheme="minorEastAsia" w:eastAsiaTheme="minorEastAsia"/>
                <w:color w:val="auto"/>
                <w:sz w:val="21"/>
                <w:szCs w:val="21"/>
                <w:highlight w:val="none"/>
              </w:rPr>
              <w:t>扣除</w:t>
            </w:r>
          </w:p>
        </w:tc>
      </w:tr>
    </w:tbl>
    <w:p>
      <w:pPr>
        <w:keepNext/>
        <w:keepLines/>
        <w:widowControl w:val="0"/>
        <w:numPr>
          <w:ilvl w:val="1"/>
          <w:numId w:val="26"/>
        </w:numPr>
        <w:spacing w:before="0" w:after="0" w:afterAutospacing="0" w:line="360" w:lineRule="auto"/>
        <w:ind w:left="0" w:right="0" w:firstLine="0"/>
        <w:jc w:val="left"/>
        <w:outlineLvl w:val="1"/>
        <w:rPr>
          <w:rFonts w:hint="eastAsia" w:ascii="黑体" w:hAnsi="黑体" w:eastAsia="黑体" w:cs="黑体"/>
          <w:color w:val="auto"/>
          <w:kern w:val="2"/>
          <w:sz w:val="28"/>
          <w:szCs w:val="28"/>
          <w:highlight w:val="none"/>
          <w:lang w:val="en-US" w:eastAsia="zh-CN" w:bidi="ar-SA"/>
        </w:rPr>
      </w:pPr>
      <w:bookmarkStart w:id="2170" w:name="_Toc12949_WPSOffice_Level2"/>
      <w:bookmarkStart w:id="2171" w:name="_Toc11389"/>
      <w:bookmarkStart w:id="2172" w:name="_Toc10895"/>
      <w:bookmarkStart w:id="2173" w:name="_Toc19989"/>
      <w:bookmarkStart w:id="2174" w:name="_Toc24680"/>
      <w:bookmarkStart w:id="2175" w:name="_Toc12505"/>
      <w:bookmarkStart w:id="2176" w:name="_Toc13711"/>
      <w:bookmarkStart w:id="2177" w:name="_Toc23764"/>
      <w:bookmarkStart w:id="2178" w:name="_Toc139"/>
      <w:bookmarkStart w:id="2179" w:name="_Toc7953"/>
      <w:r>
        <w:rPr>
          <w:rFonts w:hint="eastAsia" w:ascii="黑体" w:hAnsi="黑体" w:eastAsia="黑体" w:cs="黑体"/>
          <w:color w:val="auto"/>
          <w:kern w:val="2"/>
          <w:sz w:val="28"/>
          <w:szCs w:val="28"/>
          <w:highlight w:val="none"/>
          <w:lang w:val="en-US" w:eastAsia="zh-CN" w:bidi="ar-SA"/>
        </w:rPr>
        <w:t>合同期违约处理</w:t>
      </w:r>
      <w:bookmarkEnd w:id="2170"/>
      <w:bookmarkEnd w:id="2171"/>
      <w:bookmarkEnd w:id="2172"/>
      <w:bookmarkEnd w:id="2173"/>
      <w:bookmarkEnd w:id="2174"/>
      <w:bookmarkEnd w:id="2175"/>
      <w:bookmarkEnd w:id="2176"/>
      <w:bookmarkEnd w:id="2177"/>
      <w:bookmarkEnd w:id="2178"/>
      <w:bookmarkEnd w:id="2179"/>
    </w:p>
    <w:p>
      <w:pPr>
        <w:widowControl w:val="0"/>
        <w:numPr>
          <w:ilvl w:val="0"/>
          <w:numId w:val="56"/>
        </w:numPr>
        <w:tabs>
          <w:tab w:val="left" w:pos="1060"/>
        </w:tabs>
        <w:spacing w:before="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施工</w:t>
      </w:r>
      <w:r>
        <w:rPr>
          <w:rFonts w:hint="eastAsia" w:asciiTheme="minorEastAsia" w:hAnsiTheme="minorEastAsia" w:eastAsiaTheme="minorEastAsia" w:cstheme="minorEastAsia"/>
          <w:color w:val="auto"/>
          <w:sz w:val="21"/>
          <w:szCs w:val="21"/>
          <w:highlight w:val="none"/>
        </w:rPr>
        <w:t>过程中因</w:t>
      </w:r>
      <w:r>
        <w:rPr>
          <w:rFonts w:hint="eastAsia" w:asciiTheme="minorEastAsia" w:hAnsiTheme="minorEastAsia" w:eastAsiaTheme="minorEastAsia" w:cstheme="minorEastAsia"/>
          <w:color w:val="auto"/>
          <w:sz w:val="21"/>
          <w:szCs w:val="21"/>
          <w:highlight w:val="none"/>
          <w:lang w:eastAsia="zh-CN"/>
        </w:rPr>
        <w:t>乙方</w:t>
      </w:r>
      <w:r>
        <w:rPr>
          <w:rFonts w:hint="eastAsia" w:asciiTheme="minorEastAsia" w:hAnsiTheme="minorEastAsia" w:eastAsiaTheme="minorEastAsia" w:cstheme="minorEastAsia"/>
          <w:color w:val="auto"/>
          <w:sz w:val="21"/>
          <w:szCs w:val="21"/>
          <w:highlight w:val="none"/>
        </w:rPr>
        <w:t>原因导致的直接及间接经济损失由</w:t>
      </w:r>
      <w:r>
        <w:rPr>
          <w:rFonts w:hint="eastAsia" w:asciiTheme="minorEastAsia" w:hAnsiTheme="minorEastAsia" w:eastAsiaTheme="minorEastAsia" w:cstheme="minorEastAsia"/>
          <w:color w:val="auto"/>
          <w:sz w:val="21"/>
          <w:szCs w:val="21"/>
          <w:highlight w:val="none"/>
          <w:lang w:eastAsia="zh-CN"/>
        </w:rPr>
        <w:t>乙方</w:t>
      </w:r>
      <w:r>
        <w:rPr>
          <w:rFonts w:hint="eastAsia" w:asciiTheme="minorEastAsia" w:hAnsiTheme="minorEastAsia" w:eastAsiaTheme="minorEastAsia" w:cstheme="minorEastAsia"/>
          <w:color w:val="auto"/>
          <w:sz w:val="21"/>
          <w:szCs w:val="21"/>
          <w:highlight w:val="none"/>
        </w:rPr>
        <w:t>承担。</w:t>
      </w:r>
    </w:p>
    <w:p>
      <w:pPr>
        <w:widowControl w:val="0"/>
        <w:numPr>
          <w:ilvl w:val="0"/>
          <w:numId w:val="56"/>
        </w:numPr>
        <w:tabs>
          <w:tab w:val="left" w:pos="1060"/>
        </w:tabs>
        <w:spacing w:before="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乙方</w:t>
      </w:r>
      <w:r>
        <w:rPr>
          <w:rFonts w:hint="eastAsia" w:asciiTheme="minorEastAsia" w:hAnsiTheme="minorEastAsia" w:eastAsiaTheme="minorEastAsia" w:cstheme="minorEastAsia"/>
          <w:color w:val="auto"/>
          <w:sz w:val="21"/>
          <w:szCs w:val="21"/>
          <w:highlight w:val="none"/>
        </w:rPr>
        <w:t>违反</w:t>
      </w:r>
      <w:r>
        <w:rPr>
          <w:rFonts w:hint="eastAsia" w:asciiTheme="minorEastAsia" w:hAnsiTheme="minorEastAsia" w:eastAsiaTheme="minorEastAsia" w:cstheme="minorEastAsia"/>
          <w:color w:val="auto"/>
          <w:sz w:val="21"/>
          <w:szCs w:val="21"/>
          <w:highlight w:val="none"/>
          <w:lang w:eastAsia="zh-CN"/>
        </w:rPr>
        <w:t>甲方</w:t>
      </w:r>
      <w:r>
        <w:rPr>
          <w:rFonts w:hint="eastAsia" w:asciiTheme="minorEastAsia" w:hAnsiTheme="minorEastAsia" w:eastAsiaTheme="minorEastAsia" w:cstheme="minorEastAsia"/>
          <w:color w:val="auto"/>
          <w:sz w:val="21"/>
          <w:szCs w:val="21"/>
          <w:highlight w:val="none"/>
        </w:rPr>
        <w:t>保密规定相关内容时，每次扣除10000元。</w:t>
      </w:r>
    </w:p>
    <w:p>
      <w:pPr>
        <w:widowControl w:val="0"/>
        <w:numPr>
          <w:ilvl w:val="0"/>
          <w:numId w:val="56"/>
        </w:numPr>
        <w:tabs>
          <w:tab w:val="left" w:pos="1060"/>
        </w:tabs>
        <w:spacing w:before="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发生责任一般事件（C类、B类、A类）、责任一般事故（C类、B类、A类）、责任较大事故、责任重大事故、责任特别重大事故的，发生一次扣除10000元起，每上升一档增加扣除10000元。</w:t>
      </w:r>
    </w:p>
    <w:p>
      <w:pPr>
        <w:widowControl w:val="0"/>
        <w:numPr>
          <w:ilvl w:val="0"/>
          <w:numId w:val="56"/>
        </w:numPr>
        <w:tabs>
          <w:tab w:val="left" w:pos="1060"/>
        </w:tabs>
        <w:spacing w:before="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w:t>
      </w:r>
      <w:r>
        <w:rPr>
          <w:rFonts w:hint="eastAsia" w:asciiTheme="minorEastAsia" w:hAnsiTheme="minorEastAsia" w:eastAsiaTheme="minorEastAsia" w:cstheme="minorEastAsia"/>
          <w:color w:val="auto"/>
          <w:sz w:val="21"/>
          <w:szCs w:val="21"/>
          <w:highlight w:val="none"/>
          <w:lang w:eastAsia="zh-CN"/>
        </w:rPr>
        <w:t>乙方</w:t>
      </w:r>
      <w:r>
        <w:rPr>
          <w:rFonts w:hint="eastAsia" w:asciiTheme="minorEastAsia" w:hAnsiTheme="minorEastAsia" w:eastAsiaTheme="minorEastAsia" w:cstheme="minorEastAsia"/>
          <w:color w:val="auto"/>
          <w:sz w:val="21"/>
          <w:szCs w:val="21"/>
          <w:highlight w:val="none"/>
        </w:rPr>
        <w:t>人为原因造成一般事件C类以下的安全责任事件的，每次扣除1000元，以</w:t>
      </w:r>
      <w:r>
        <w:rPr>
          <w:rFonts w:hint="eastAsia" w:asciiTheme="minorEastAsia" w:hAnsiTheme="minorEastAsia" w:eastAsiaTheme="minorEastAsia" w:cstheme="minorEastAsia"/>
          <w:color w:val="auto"/>
          <w:sz w:val="21"/>
          <w:szCs w:val="21"/>
          <w:highlight w:val="none"/>
          <w:lang w:eastAsia="zh-CN"/>
        </w:rPr>
        <w:t>甲方</w:t>
      </w:r>
      <w:r>
        <w:rPr>
          <w:rFonts w:hint="eastAsia" w:asciiTheme="minorEastAsia" w:hAnsiTheme="minorEastAsia" w:eastAsiaTheme="minorEastAsia" w:cstheme="minorEastAsia"/>
          <w:color w:val="auto"/>
          <w:sz w:val="21"/>
          <w:szCs w:val="21"/>
          <w:highlight w:val="none"/>
        </w:rPr>
        <w:t>最终发文的责任认定为准。</w:t>
      </w:r>
    </w:p>
    <w:p>
      <w:pPr>
        <w:widowControl w:val="0"/>
        <w:numPr>
          <w:ilvl w:val="0"/>
          <w:numId w:val="56"/>
        </w:numPr>
        <w:tabs>
          <w:tab w:val="left" w:pos="1060"/>
        </w:tabs>
        <w:spacing w:before="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w:t>
      </w:r>
      <w:r>
        <w:rPr>
          <w:rFonts w:hint="eastAsia" w:asciiTheme="minorEastAsia" w:hAnsiTheme="minorEastAsia" w:eastAsiaTheme="minorEastAsia" w:cstheme="minorEastAsia"/>
          <w:color w:val="auto"/>
          <w:sz w:val="21"/>
          <w:szCs w:val="21"/>
          <w:highlight w:val="none"/>
          <w:lang w:eastAsia="zh-CN"/>
        </w:rPr>
        <w:t>乙方</w:t>
      </w:r>
      <w:r>
        <w:rPr>
          <w:rFonts w:hint="eastAsia" w:asciiTheme="minorEastAsia" w:hAnsiTheme="minorEastAsia" w:eastAsiaTheme="minorEastAsia" w:cstheme="minorEastAsia"/>
          <w:color w:val="auto"/>
          <w:sz w:val="21"/>
          <w:szCs w:val="21"/>
          <w:highlight w:val="none"/>
        </w:rPr>
        <w:t>原因造成死亡1人以上或重伤10人以上或直接经济损失200万元以上的，</w:t>
      </w:r>
      <w:r>
        <w:rPr>
          <w:rFonts w:hint="eastAsia" w:asciiTheme="minorEastAsia" w:hAnsiTheme="minorEastAsia" w:eastAsiaTheme="minorEastAsia" w:cstheme="minorEastAsia"/>
          <w:color w:val="auto"/>
          <w:sz w:val="21"/>
          <w:szCs w:val="21"/>
          <w:highlight w:val="none"/>
          <w:lang w:eastAsia="zh-CN"/>
        </w:rPr>
        <w:t>甲方</w:t>
      </w:r>
      <w:r>
        <w:rPr>
          <w:rFonts w:hint="eastAsia" w:asciiTheme="minorEastAsia" w:hAnsiTheme="minorEastAsia" w:eastAsiaTheme="minorEastAsia" w:cstheme="minorEastAsia"/>
          <w:color w:val="auto"/>
          <w:sz w:val="21"/>
          <w:szCs w:val="21"/>
          <w:highlight w:val="none"/>
        </w:rPr>
        <w:t>不支付</w:t>
      </w:r>
      <w:r>
        <w:rPr>
          <w:rFonts w:hint="eastAsia" w:asciiTheme="minorEastAsia" w:hAnsiTheme="minorEastAsia" w:eastAsiaTheme="minorEastAsia" w:cstheme="minorEastAsia"/>
          <w:color w:val="auto"/>
          <w:sz w:val="21"/>
          <w:szCs w:val="21"/>
          <w:highlight w:val="none"/>
          <w:lang w:eastAsia="zh-CN"/>
        </w:rPr>
        <w:t>乙方</w:t>
      </w:r>
      <w:r>
        <w:rPr>
          <w:rFonts w:hint="eastAsia" w:asciiTheme="minorEastAsia" w:hAnsiTheme="minorEastAsia" w:eastAsiaTheme="minorEastAsia" w:cstheme="minorEastAsia"/>
          <w:color w:val="auto"/>
          <w:sz w:val="21"/>
          <w:szCs w:val="21"/>
          <w:highlight w:val="none"/>
          <w:lang w:val="en-US" w:eastAsia="zh-CN"/>
        </w:rPr>
        <w:t>项目剩余款项</w:t>
      </w:r>
      <w:r>
        <w:rPr>
          <w:rFonts w:hint="eastAsia" w:asciiTheme="minorEastAsia" w:hAnsiTheme="minorEastAsia" w:eastAsiaTheme="minorEastAsia" w:cstheme="minorEastAsia"/>
          <w:color w:val="auto"/>
          <w:sz w:val="21"/>
          <w:szCs w:val="21"/>
          <w:highlight w:val="none"/>
        </w:rPr>
        <w:t>，并有权向</w:t>
      </w:r>
      <w:r>
        <w:rPr>
          <w:rFonts w:hint="eastAsia" w:asciiTheme="minorEastAsia" w:hAnsiTheme="minorEastAsia" w:eastAsiaTheme="minorEastAsia" w:cstheme="minorEastAsia"/>
          <w:color w:val="auto"/>
          <w:sz w:val="21"/>
          <w:szCs w:val="21"/>
          <w:highlight w:val="none"/>
          <w:lang w:eastAsia="zh-CN"/>
        </w:rPr>
        <w:t>乙方</w:t>
      </w:r>
      <w:r>
        <w:rPr>
          <w:rFonts w:hint="eastAsia" w:asciiTheme="minorEastAsia" w:hAnsiTheme="minorEastAsia" w:eastAsiaTheme="minorEastAsia" w:cstheme="minorEastAsia"/>
          <w:color w:val="auto"/>
          <w:sz w:val="21"/>
          <w:szCs w:val="21"/>
          <w:highlight w:val="none"/>
        </w:rPr>
        <w:t>追责及终止合同。</w:t>
      </w:r>
    </w:p>
    <w:p>
      <w:pPr>
        <w:widowControl w:val="0"/>
        <w:numPr>
          <w:ilvl w:val="0"/>
          <w:numId w:val="56"/>
        </w:numPr>
        <w:tabs>
          <w:tab w:val="left" w:pos="1060"/>
        </w:tabs>
        <w:spacing w:before="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凡因设备故障而产生重大影响，导致</w:t>
      </w:r>
      <w:r>
        <w:rPr>
          <w:rFonts w:hint="eastAsia" w:asciiTheme="minorEastAsia" w:hAnsiTheme="minorEastAsia" w:eastAsiaTheme="minorEastAsia" w:cstheme="minorEastAsia"/>
          <w:color w:val="auto"/>
          <w:sz w:val="21"/>
          <w:szCs w:val="21"/>
          <w:highlight w:val="none"/>
          <w:lang w:eastAsia="zh-CN"/>
        </w:rPr>
        <w:t>甲方</w:t>
      </w:r>
      <w:r>
        <w:rPr>
          <w:rFonts w:hint="eastAsia" w:asciiTheme="minorEastAsia" w:hAnsiTheme="minorEastAsia" w:eastAsiaTheme="minorEastAsia" w:cstheme="minorEastAsia"/>
          <w:color w:val="auto"/>
          <w:sz w:val="21"/>
          <w:szCs w:val="21"/>
          <w:highlight w:val="none"/>
        </w:rPr>
        <w:t>归口管理分中心、中心或运营分公司受到上级部门及外部门考核的情况，</w:t>
      </w:r>
      <w:r>
        <w:rPr>
          <w:rFonts w:hint="eastAsia" w:asciiTheme="minorEastAsia" w:hAnsiTheme="minorEastAsia" w:eastAsiaTheme="minorEastAsia" w:cstheme="minorEastAsia"/>
          <w:color w:val="auto"/>
          <w:sz w:val="21"/>
          <w:szCs w:val="21"/>
          <w:highlight w:val="none"/>
          <w:lang w:eastAsia="zh-CN"/>
        </w:rPr>
        <w:t>乙方</w:t>
      </w:r>
      <w:r>
        <w:rPr>
          <w:rFonts w:hint="eastAsia" w:asciiTheme="minorEastAsia" w:hAnsiTheme="minorEastAsia" w:eastAsiaTheme="minorEastAsia" w:cstheme="minorEastAsia"/>
          <w:color w:val="auto"/>
          <w:sz w:val="21"/>
          <w:szCs w:val="21"/>
          <w:highlight w:val="none"/>
        </w:rPr>
        <w:t>须按上级部门及外部门考核</w:t>
      </w:r>
      <w:r>
        <w:rPr>
          <w:rFonts w:hint="eastAsia" w:asciiTheme="minorEastAsia" w:hAnsiTheme="minorEastAsia" w:eastAsiaTheme="minorEastAsia" w:cstheme="minorEastAsia"/>
          <w:color w:val="auto"/>
          <w:sz w:val="21"/>
          <w:szCs w:val="21"/>
          <w:highlight w:val="none"/>
          <w:lang w:eastAsia="zh-CN"/>
        </w:rPr>
        <w:t>甲方</w:t>
      </w:r>
      <w:r>
        <w:rPr>
          <w:rFonts w:hint="eastAsia" w:asciiTheme="minorEastAsia" w:hAnsiTheme="minorEastAsia" w:eastAsiaTheme="minorEastAsia" w:cstheme="minorEastAsia"/>
          <w:color w:val="auto"/>
          <w:sz w:val="21"/>
          <w:szCs w:val="21"/>
          <w:highlight w:val="none"/>
        </w:rPr>
        <w:t>归口管理中心金额的2倍向</w:t>
      </w:r>
      <w:r>
        <w:rPr>
          <w:rFonts w:hint="eastAsia" w:asciiTheme="minorEastAsia" w:hAnsiTheme="minorEastAsia" w:eastAsiaTheme="minorEastAsia" w:cstheme="minorEastAsia"/>
          <w:color w:val="auto"/>
          <w:sz w:val="21"/>
          <w:szCs w:val="21"/>
          <w:highlight w:val="none"/>
          <w:lang w:eastAsia="zh-CN"/>
        </w:rPr>
        <w:t>甲方</w:t>
      </w:r>
      <w:r>
        <w:rPr>
          <w:rFonts w:hint="eastAsia" w:asciiTheme="minorEastAsia" w:hAnsiTheme="minorEastAsia" w:eastAsiaTheme="minorEastAsia" w:cstheme="minorEastAsia"/>
          <w:color w:val="auto"/>
          <w:sz w:val="21"/>
          <w:szCs w:val="21"/>
          <w:highlight w:val="none"/>
        </w:rPr>
        <w:t>支付违约金。</w:t>
      </w:r>
    </w:p>
    <w:p>
      <w:pPr>
        <w:widowControl w:val="0"/>
        <w:numPr>
          <w:ilvl w:val="0"/>
          <w:numId w:val="56"/>
        </w:numPr>
        <w:tabs>
          <w:tab w:val="left" w:pos="1060"/>
        </w:tabs>
        <w:spacing w:before="0" w:after="0" w:afterAutospacing="0" w:line="360" w:lineRule="auto"/>
        <w:ind w:left="0" w:right="0"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在合同有效期内，如发现</w:t>
      </w:r>
      <w:r>
        <w:rPr>
          <w:rFonts w:hint="eastAsia" w:asciiTheme="minorEastAsia" w:hAnsiTheme="minorEastAsia" w:eastAsiaTheme="minorEastAsia" w:cstheme="minorEastAsia"/>
          <w:color w:val="auto"/>
          <w:sz w:val="21"/>
          <w:szCs w:val="21"/>
          <w:highlight w:val="none"/>
          <w:lang w:eastAsia="zh-CN"/>
        </w:rPr>
        <w:t>乙方</w:t>
      </w:r>
      <w:r>
        <w:rPr>
          <w:rFonts w:hint="eastAsia" w:asciiTheme="minorEastAsia" w:hAnsiTheme="minorEastAsia" w:eastAsiaTheme="minorEastAsia" w:cstheme="minorEastAsia"/>
          <w:color w:val="auto"/>
          <w:sz w:val="21"/>
          <w:szCs w:val="21"/>
          <w:highlight w:val="none"/>
        </w:rPr>
        <w:t>擅自转包或挂靠，或提供虚假资料的，</w:t>
      </w:r>
      <w:r>
        <w:rPr>
          <w:rFonts w:hint="eastAsia" w:asciiTheme="minorEastAsia" w:hAnsiTheme="minorEastAsia" w:eastAsiaTheme="minorEastAsia" w:cstheme="minorEastAsia"/>
          <w:color w:val="auto"/>
          <w:sz w:val="21"/>
          <w:szCs w:val="21"/>
          <w:highlight w:val="none"/>
          <w:lang w:eastAsia="zh-CN"/>
        </w:rPr>
        <w:t>甲方</w:t>
      </w:r>
      <w:r>
        <w:rPr>
          <w:rFonts w:hint="eastAsia" w:asciiTheme="minorEastAsia" w:hAnsiTheme="minorEastAsia" w:eastAsiaTheme="minorEastAsia" w:cstheme="minorEastAsia"/>
          <w:color w:val="auto"/>
          <w:sz w:val="21"/>
          <w:szCs w:val="21"/>
          <w:highlight w:val="none"/>
        </w:rPr>
        <w:t>将单方终止合同，</w:t>
      </w:r>
      <w:r>
        <w:rPr>
          <w:rFonts w:hint="eastAsia" w:asciiTheme="minorEastAsia" w:hAnsiTheme="minorEastAsia" w:eastAsiaTheme="minorEastAsia" w:cstheme="minorEastAsia"/>
          <w:color w:val="auto"/>
          <w:sz w:val="21"/>
          <w:szCs w:val="21"/>
          <w:highlight w:val="none"/>
          <w:lang w:eastAsia="zh-CN"/>
        </w:rPr>
        <w:t>乙方</w:t>
      </w:r>
      <w:r>
        <w:rPr>
          <w:rFonts w:hint="eastAsia" w:asciiTheme="minorEastAsia" w:hAnsiTheme="minorEastAsia" w:eastAsiaTheme="minorEastAsia" w:cstheme="minorEastAsia"/>
          <w:color w:val="auto"/>
          <w:sz w:val="21"/>
          <w:szCs w:val="21"/>
          <w:highlight w:val="none"/>
        </w:rPr>
        <w:t>须承担违约责任、赔偿</w:t>
      </w:r>
      <w:r>
        <w:rPr>
          <w:rFonts w:hint="eastAsia" w:asciiTheme="minorEastAsia" w:hAnsiTheme="minorEastAsia" w:eastAsiaTheme="minorEastAsia" w:cstheme="minorEastAsia"/>
          <w:color w:val="auto"/>
          <w:sz w:val="21"/>
          <w:szCs w:val="21"/>
          <w:highlight w:val="none"/>
          <w:lang w:eastAsia="zh-CN"/>
        </w:rPr>
        <w:t>甲方</w:t>
      </w:r>
      <w:r>
        <w:rPr>
          <w:rFonts w:hint="eastAsia" w:asciiTheme="minorEastAsia" w:hAnsiTheme="minorEastAsia" w:eastAsiaTheme="minorEastAsia" w:cstheme="minorEastAsia"/>
          <w:color w:val="auto"/>
          <w:sz w:val="21"/>
          <w:szCs w:val="21"/>
          <w:highlight w:val="none"/>
        </w:rPr>
        <w:t>的一切经济损失。</w:t>
      </w:r>
    </w:p>
    <w:p>
      <w:pPr>
        <w:widowControl w:val="0"/>
        <w:tabs>
          <w:tab w:val="left" w:pos="1060"/>
        </w:tabs>
        <w:spacing w:before="0" w:after="0" w:afterAutospacing="0" w:line="360" w:lineRule="auto"/>
        <w:ind w:left="0" w:righ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注：由于</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原因导致的事故事件，除进行上述的扣款外，</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还要承担由此造成的经济损失，并承担全部责任。</w:t>
      </w:r>
    </w:p>
    <w:p>
      <w:pPr>
        <w:keepNext/>
        <w:keepLines/>
        <w:widowControl w:val="0"/>
        <w:numPr>
          <w:ilvl w:val="0"/>
          <w:numId w:val="26"/>
        </w:numPr>
        <w:spacing w:before="0" w:after="0" w:afterAutospacing="0" w:line="360" w:lineRule="auto"/>
        <w:ind w:left="0" w:right="0" w:firstLine="0"/>
        <w:jc w:val="left"/>
        <w:outlineLvl w:val="0"/>
        <w:rPr>
          <w:rFonts w:ascii="黑体" w:hAnsi="黑体" w:eastAsia="黑体" w:cs="宋体"/>
          <w:color w:val="auto"/>
          <w:kern w:val="44"/>
          <w:sz w:val="32"/>
          <w:szCs w:val="21"/>
          <w:highlight w:val="none"/>
          <w:lang w:val="en-US" w:eastAsia="zh-CN" w:bidi="ar-SA"/>
        </w:rPr>
      </w:pPr>
      <w:bookmarkStart w:id="2180" w:name="_Toc13530_WPSOffice_Level1"/>
      <w:bookmarkStart w:id="2181" w:name="_Toc21106"/>
      <w:bookmarkStart w:id="2182" w:name="_Toc9053"/>
      <w:bookmarkStart w:id="2183" w:name="_Toc9704"/>
      <w:bookmarkStart w:id="2184" w:name="_Toc18208"/>
      <w:bookmarkStart w:id="2185" w:name="_Toc22839_WPSOffice_Level2"/>
      <w:bookmarkStart w:id="2186" w:name="_Toc7743"/>
      <w:bookmarkStart w:id="2187" w:name="_Toc3574"/>
      <w:bookmarkStart w:id="2188" w:name="_Toc8512"/>
      <w:bookmarkStart w:id="2189" w:name="_Toc6137"/>
      <w:bookmarkStart w:id="2190" w:name="_Toc4269_WPSOffice_Level2"/>
      <w:bookmarkStart w:id="2191" w:name="_Toc12418"/>
      <w:r>
        <w:rPr>
          <w:rFonts w:hint="eastAsia" w:ascii="黑体" w:hAnsi="黑体" w:eastAsia="黑体" w:cs="宋体"/>
          <w:color w:val="auto"/>
          <w:kern w:val="44"/>
          <w:sz w:val="32"/>
          <w:szCs w:val="21"/>
          <w:highlight w:val="none"/>
          <w:lang w:val="en-US" w:eastAsia="zh-CN" w:bidi="ar-SA"/>
        </w:rPr>
        <w:t>项目</w:t>
      </w:r>
      <w:r>
        <w:rPr>
          <w:rFonts w:ascii="黑体" w:hAnsi="黑体" w:eastAsia="黑体" w:cs="宋体"/>
          <w:color w:val="auto"/>
          <w:kern w:val="44"/>
          <w:sz w:val="32"/>
          <w:szCs w:val="21"/>
          <w:highlight w:val="none"/>
          <w:lang w:val="en-US" w:eastAsia="zh-CN" w:bidi="ar-SA"/>
        </w:rPr>
        <w:t>验收</w:t>
      </w:r>
      <w:bookmarkEnd w:id="2180"/>
      <w:bookmarkEnd w:id="2181"/>
      <w:bookmarkEnd w:id="2182"/>
      <w:bookmarkEnd w:id="2183"/>
      <w:bookmarkEnd w:id="2184"/>
      <w:bookmarkEnd w:id="2185"/>
      <w:bookmarkEnd w:id="2186"/>
      <w:bookmarkEnd w:id="2187"/>
      <w:bookmarkEnd w:id="2188"/>
      <w:bookmarkEnd w:id="2189"/>
      <w:bookmarkEnd w:id="2190"/>
      <w:bookmarkEnd w:id="2191"/>
    </w:p>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192" w:name="_Toc15519"/>
      <w:bookmarkStart w:id="2193" w:name="_Toc14943"/>
      <w:bookmarkStart w:id="2194" w:name="_Toc19095"/>
      <w:bookmarkStart w:id="2195" w:name="_Toc9007"/>
      <w:bookmarkStart w:id="2196" w:name="_Toc14311"/>
      <w:bookmarkStart w:id="2197" w:name="_Toc25945"/>
      <w:bookmarkStart w:id="2198" w:name="_Toc17371"/>
      <w:bookmarkStart w:id="2199" w:name="_Toc3525"/>
      <w:bookmarkStart w:id="2200" w:name="_Toc15696_WPSOffice_Level2"/>
      <w:bookmarkStart w:id="2201" w:name="_Toc21268"/>
      <w:r>
        <w:rPr>
          <w:rFonts w:hint="eastAsia" w:ascii="黑体" w:hAnsi="黑体" w:eastAsia="黑体" w:cs="黑体"/>
          <w:color w:val="auto"/>
          <w:kern w:val="2"/>
          <w:sz w:val="28"/>
          <w:szCs w:val="28"/>
          <w:highlight w:val="none"/>
          <w:lang w:val="en-US" w:eastAsia="zh-CN" w:bidi="ar-SA"/>
        </w:rPr>
        <w:t>验收</w:t>
      </w:r>
      <w:r>
        <w:rPr>
          <w:rFonts w:ascii="黑体" w:hAnsi="黑体" w:eastAsia="黑体" w:cs="黑体"/>
          <w:color w:val="auto"/>
          <w:kern w:val="2"/>
          <w:sz w:val="28"/>
          <w:szCs w:val="28"/>
          <w:highlight w:val="none"/>
          <w:lang w:val="en-US" w:eastAsia="zh-CN" w:bidi="ar-SA"/>
        </w:rPr>
        <w:t>组织</w:t>
      </w:r>
      <w:bookmarkEnd w:id="2192"/>
      <w:bookmarkEnd w:id="2193"/>
      <w:bookmarkEnd w:id="2194"/>
      <w:bookmarkEnd w:id="2195"/>
      <w:bookmarkEnd w:id="2196"/>
      <w:bookmarkEnd w:id="2197"/>
      <w:bookmarkEnd w:id="2198"/>
      <w:bookmarkEnd w:id="2199"/>
      <w:bookmarkEnd w:id="2200"/>
      <w:bookmarkEnd w:id="2201"/>
    </w:p>
    <w:p>
      <w:pPr>
        <w:keepNext w:val="0"/>
        <w:keepLines w:val="0"/>
        <w:pageBreakBefore w:val="0"/>
        <w:widowControl w:val="0"/>
        <w:numPr>
          <w:ilvl w:val="0"/>
          <w:numId w:val="57"/>
        </w:numPr>
        <w:tabs>
          <w:tab w:val="left" w:pos="567"/>
        </w:tabs>
        <w:kinsoku/>
        <w:wordWrap/>
        <w:overflowPunct/>
        <w:topLinePunct w:val="0"/>
        <w:autoSpaceDE/>
        <w:autoSpaceDN/>
        <w:bidi w:val="0"/>
        <w:adjustRightInd/>
        <w:snapToGrid/>
        <w:spacing w:before="0" w:after="0" w:afterAutospacing="0" w:line="360" w:lineRule="auto"/>
        <w:ind w:left="0" w:right="0" w:firstLine="420" w:firstLineChars="200"/>
        <w:jc w:val="both"/>
        <w:textAlignment w:val="auto"/>
        <w:rPr>
          <w:rFonts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本项目验收由甲方组织，乙方配合。</w:t>
      </w:r>
    </w:p>
    <w:p>
      <w:pPr>
        <w:keepNext w:val="0"/>
        <w:keepLines w:val="0"/>
        <w:pageBreakBefore w:val="0"/>
        <w:widowControl w:val="0"/>
        <w:numPr>
          <w:ilvl w:val="0"/>
          <w:numId w:val="57"/>
        </w:numPr>
        <w:tabs>
          <w:tab w:val="left" w:pos="567"/>
        </w:tabs>
        <w:kinsoku/>
        <w:wordWrap/>
        <w:overflowPunct/>
        <w:topLinePunct w:val="0"/>
        <w:autoSpaceDE/>
        <w:autoSpaceDN/>
        <w:bidi w:val="0"/>
        <w:adjustRightInd/>
        <w:snapToGrid/>
        <w:spacing w:before="0" w:after="0" w:afterAutospacing="0" w:line="360" w:lineRule="auto"/>
        <w:ind w:left="0" w:right="0" w:firstLine="420" w:firstLineChars="200"/>
        <w:jc w:val="both"/>
        <w:textAlignment w:val="auto"/>
        <w:rPr>
          <w:rFonts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系统安装完成后，乙方须提交验收组织方案，甲方和乙方按项目验收单内容</w:t>
      </w:r>
      <w:r>
        <w:rPr>
          <w:rFonts w:cs="宋体" w:asciiTheme="minorEastAsia" w:hAnsiTheme="minorEastAsia" w:eastAsiaTheme="minorEastAsia"/>
          <w:color w:val="auto"/>
          <w:sz w:val="21"/>
          <w:szCs w:val="21"/>
          <w:highlight w:val="none"/>
          <w:lang w:val="en-US" w:eastAsia="zh-CN" w:bidi="ar-SA"/>
        </w:rPr>
        <w:t>（</w:t>
      </w:r>
      <w:r>
        <w:rPr>
          <w:rFonts w:hint="eastAsia" w:cs="宋体" w:asciiTheme="minorEastAsia" w:hAnsiTheme="minorEastAsia" w:eastAsiaTheme="minorEastAsia"/>
          <w:color w:val="auto"/>
          <w:sz w:val="21"/>
          <w:szCs w:val="21"/>
          <w:highlight w:val="none"/>
          <w:lang w:val="en-US" w:eastAsia="zh-CN" w:bidi="ar-SA"/>
        </w:rPr>
        <w:t>详见</w:t>
      </w:r>
      <w:r>
        <w:rPr>
          <w:rFonts w:cs="宋体" w:asciiTheme="minorEastAsia" w:hAnsiTheme="minorEastAsia" w:eastAsiaTheme="minorEastAsia"/>
          <w:color w:val="auto"/>
          <w:sz w:val="21"/>
          <w:szCs w:val="21"/>
          <w:highlight w:val="none"/>
          <w:lang w:val="en-US" w:eastAsia="zh-CN" w:bidi="ar-SA"/>
        </w:rPr>
        <w:t>附件</w:t>
      </w:r>
      <w:r>
        <w:rPr>
          <w:rFonts w:hint="eastAsia" w:cs="宋体" w:asciiTheme="minorEastAsia" w:hAnsiTheme="minorEastAsia" w:eastAsiaTheme="minorEastAsia"/>
          <w:color w:val="auto"/>
          <w:sz w:val="21"/>
          <w:szCs w:val="21"/>
          <w:highlight w:val="none"/>
          <w:lang w:val="en-US" w:eastAsia="zh-CN" w:bidi="ar-SA"/>
        </w:rPr>
        <w:t>4、附件5</w:t>
      </w:r>
      <w:r>
        <w:rPr>
          <w:rFonts w:cs="宋体" w:asciiTheme="minorEastAsia" w:hAnsiTheme="minorEastAsia" w:eastAsiaTheme="minorEastAsia"/>
          <w:color w:val="auto"/>
          <w:sz w:val="21"/>
          <w:szCs w:val="21"/>
          <w:highlight w:val="none"/>
          <w:lang w:val="en-US" w:eastAsia="zh-CN" w:bidi="ar-SA"/>
        </w:rPr>
        <w:t>）</w:t>
      </w:r>
      <w:r>
        <w:rPr>
          <w:rFonts w:hint="eastAsia" w:cs="宋体" w:asciiTheme="minorEastAsia" w:hAnsiTheme="minorEastAsia" w:eastAsiaTheme="minorEastAsia"/>
          <w:color w:val="auto"/>
          <w:sz w:val="21"/>
          <w:szCs w:val="21"/>
          <w:highlight w:val="none"/>
          <w:lang w:val="en-US" w:eastAsia="zh-CN" w:bidi="ar-SA"/>
        </w:rPr>
        <w:t>进行验收。</w:t>
      </w:r>
    </w:p>
    <w:p>
      <w:pPr>
        <w:keepNext w:val="0"/>
        <w:keepLines w:val="0"/>
        <w:pageBreakBefore w:val="0"/>
        <w:widowControl w:val="0"/>
        <w:numPr>
          <w:ilvl w:val="0"/>
          <w:numId w:val="57"/>
        </w:numPr>
        <w:tabs>
          <w:tab w:val="left" w:pos="567"/>
        </w:tabs>
        <w:kinsoku/>
        <w:wordWrap/>
        <w:overflowPunct/>
        <w:topLinePunct w:val="0"/>
        <w:autoSpaceDE/>
        <w:autoSpaceDN/>
        <w:bidi w:val="0"/>
        <w:adjustRightInd/>
        <w:snapToGrid/>
        <w:spacing w:before="0" w:after="0" w:afterAutospacing="0" w:line="360" w:lineRule="auto"/>
        <w:ind w:left="0" w:right="0" w:firstLine="420" w:firstLineChars="200"/>
        <w:jc w:val="both"/>
        <w:textAlignment w:val="auto"/>
        <w:rPr>
          <w:rFonts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项目验收时，乙方应提供项目资料（包含但不限于施工图纸及相关技术资料），须经主要项目人员及项目负责人签字。</w:t>
      </w:r>
    </w:p>
    <w:p>
      <w:pPr>
        <w:keepNext w:val="0"/>
        <w:keepLines w:val="0"/>
        <w:pageBreakBefore w:val="0"/>
        <w:widowControl w:val="0"/>
        <w:numPr>
          <w:ilvl w:val="0"/>
          <w:numId w:val="57"/>
        </w:numPr>
        <w:tabs>
          <w:tab w:val="left" w:pos="567"/>
        </w:tabs>
        <w:kinsoku/>
        <w:wordWrap/>
        <w:overflowPunct/>
        <w:topLinePunct w:val="0"/>
        <w:autoSpaceDE/>
        <w:autoSpaceDN/>
        <w:bidi w:val="0"/>
        <w:adjustRightInd/>
        <w:snapToGrid/>
        <w:spacing w:before="0" w:after="0" w:afterAutospacing="0" w:line="360" w:lineRule="auto"/>
        <w:ind w:left="0" w:right="0" w:firstLine="420" w:firstLineChars="200"/>
        <w:jc w:val="both"/>
        <w:textAlignment w:val="auto"/>
        <w:rPr>
          <w:rFonts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在本项目验收中由乙方负责免费提供所有必要的设备、设施、仪表及特殊工器具，以使本用户需求书中规定的规范/标准中的测试能顺利进行而不增加额外的费用。</w:t>
      </w:r>
    </w:p>
    <w:p>
      <w:pPr>
        <w:keepNext w:val="0"/>
        <w:keepLines w:val="0"/>
        <w:pageBreakBefore w:val="0"/>
        <w:widowControl w:val="0"/>
        <w:numPr>
          <w:ilvl w:val="0"/>
          <w:numId w:val="57"/>
        </w:numPr>
        <w:tabs>
          <w:tab w:val="left" w:pos="567"/>
        </w:tabs>
        <w:kinsoku/>
        <w:wordWrap/>
        <w:overflowPunct/>
        <w:topLinePunct w:val="0"/>
        <w:autoSpaceDE/>
        <w:autoSpaceDN/>
        <w:bidi w:val="0"/>
        <w:adjustRightInd/>
        <w:snapToGrid/>
        <w:spacing w:before="0" w:after="0" w:afterAutospacing="0" w:line="360" w:lineRule="auto"/>
        <w:ind w:left="0" w:right="0" w:firstLine="420" w:firstLineChars="200"/>
        <w:jc w:val="both"/>
        <w:textAlignment w:val="auto"/>
        <w:rPr>
          <w:rFonts w:cs="宋体" w:asciiTheme="minorEastAsia" w:hAnsiTheme="minorEastAsia" w:eastAsiaTheme="minorEastAsia"/>
          <w:color w:val="auto"/>
          <w:sz w:val="21"/>
          <w:szCs w:val="21"/>
          <w:highlight w:val="none"/>
          <w:lang w:val="en-US" w:eastAsia="zh-CN" w:bidi="ar-SA"/>
        </w:rPr>
      </w:pPr>
      <w:r>
        <w:rPr>
          <w:rFonts w:hint="eastAsia" w:cs="宋体" w:asciiTheme="minorEastAsia" w:hAnsiTheme="minorEastAsia" w:eastAsiaTheme="minorEastAsia"/>
          <w:color w:val="auto"/>
          <w:sz w:val="21"/>
          <w:szCs w:val="21"/>
          <w:highlight w:val="none"/>
          <w:lang w:val="en-US" w:eastAsia="zh-CN" w:bidi="ar-SA"/>
        </w:rPr>
        <w:t>甲方</w:t>
      </w:r>
      <w:r>
        <w:rPr>
          <w:rFonts w:cs="宋体" w:asciiTheme="minorEastAsia" w:hAnsiTheme="minorEastAsia" w:eastAsiaTheme="minorEastAsia"/>
          <w:color w:val="auto"/>
          <w:sz w:val="21"/>
          <w:szCs w:val="21"/>
          <w:highlight w:val="none"/>
          <w:lang w:val="en-US" w:eastAsia="zh-CN" w:bidi="ar-SA"/>
        </w:rPr>
        <w:t>负责</w:t>
      </w:r>
      <w:r>
        <w:rPr>
          <w:rFonts w:hint="eastAsia" w:cs="宋体" w:asciiTheme="minorEastAsia" w:hAnsiTheme="minorEastAsia" w:eastAsiaTheme="minorEastAsia"/>
          <w:color w:val="auto"/>
          <w:sz w:val="21"/>
          <w:szCs w:val="21"/>
          <w:highlight w:val="none"/>
          <w:lang w:val="en-US" w:eastAsia="zh-CN" w:bidi="ar-SA"/>
        </w:rPr>
        <w:t>验收</w:t>
      </w:r>
      <w:r>
        <w:rPr>
          <w:rFonts w:cs="宋体" w:asciiTheme="minorEastAsia" w:hAnsiTheme="minorEastAsia" w:eastAsiaTheme="minorEastAsia"/>
          <w:color w:val="auto"/>
          <w:sz w:val="21"/>
          <w:szCs w:val="21"/>
          <w:highlight w:val="none"/>
          <w:lang w:val="en-US" w:eastAsia="zh-CN" w:bidi="ar-SA"/>
        </w:rPr>
        <w:t>问题记录，</w:t>
      </w:r>
      <w:r>
        <w:rPr>
          <w:rFonts w:hint="eastAsia" w:cs="宋体" w:asciiTheme="minorEastAsia" w:hAnsiTheme="minorEastAsia" w:eastAsiaTheme="minorEastAsia"/>
          <w:color w:val="auto"/>
          <w:sz w:val="21"/>
          <w:szCs w:val="21"/>
          <w:highlight w:val="none"/>
          <w:lang w:val="en-US" w:eastAsia="zh-CN" w:bidi="ar-SA"/>
        </w:rPr>
        <w:t>对在本项目各阶段验收中发现的问题，乙方必须在</w:t>
      </w:r>
      <w:r>
        <w:rPr>
          <w:rFonts w:cs="宋体" w:asciiTheme="minorEastAsia" w:hAnsiTheme="minorEastAsia" w:eastAsiaTheme="minorEastAsia"/>
          <w:color w:val="auto"/>
          <w:sz w:val="21"/>
          <w:szCs w:val="21"/>
          <w:highlight w:val="none"/>
          <w:lang w:val="en-US" w:eastAsia="zh-CN" w:bidi="ar-SA"/>
        </w:rPr>
        <w:t>15</w:t>
      </w:r>
      <w:r>
        <w:rPr>
          <w:rFonts w:hint="eastAsia" w:cs="宋体" w:asciiTheme="minorEastAsia" w:hAnsiTheme="minorEastAsia" w:eastAsiaTheme="minorEastAsia"/>
          <w:color w:val="auto"/>
          <w:sz w:val="21"/>
          <w:szCs w:val="21"/>
          <w:highlight w:val="none"/>
          <w:lang w:val="en-US" w:eastAsia="zh-CN" w:bidi="ar-SA"/>
        </w:rPr>
        <w:t>天内（或按照甲方的具体要求）完成整改。整改完成后乙方</w:t>
      </w:r>
      <w:r>
        <w:rPr>
          <w:rFonts w:cs="宋体" w:asciiTheme="minorEastAsia" w:hAnsiTheme="minorEastAsia" w:eastAsiaTheme="minorEastAsia"/>
          <w:color w:val="auto"/>
          <w:sz w:val="21"/>
          <w:szCs w:val="21"/>
          <w:highlight w:val="none"/>
          <w:lang w:val="en-US" w:eastAsia="zh-CN" w:bidi="ar-SA"/>
        </w:rPr>
        <w:t>须与</w:t>
      </w:r>
      <w:r>
        <w:rPr>
          <w:rFonts w:hint="eastAsia" w:cs="宋体" w:asciiTheme="minorEastAsia" w:hAnsiTheme="minorEastAsia" w:eastAsiaTheme="minorEastAsia"/>
          <w:color w:val="auto"/>
          <w:sz w:val="21"/>
          <w:szCs w:val="21"/>
          <w:highlight w:val="none"/>
          <w:lang w:val="en-US" w:eastAsia="zh-CN" w:bidi="ar-SA"/>
        </w:rPr>
        <w:t>甲方现场共同确认整改情况，整改所产生的费用由乙方负责。</w:t>
      </w:r>
    </w:p>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202" w:name="_Toc15003"/>
      <w:bookmarkStart w:id="2203" w:name="_Toc6812"/>
      <w:bookmarkStart w:id="2204" w:name="_Toc9656"/>
      <w:bookmarkStart w:id="2205" w:name="_Toc2321"/>
      <w:bookmarkStart w:id="2206" w:name="_Toc25080"/>
      <w:bookmarkStart w:id="2207" w:name="_Toc25379"/>
      <w:bookmarkStart w:id="2208" w:name="_Toc9062"/>
      <w:bookmarkStart w:id="2209" w:name="_Toc26102"/>
      <w:bookmarkStart w:id="2210" w:name="_Toc14106_WPSOffice_Level2"/>
      <w:bookmarkStart w:id="2211" w:name="_Toc10932"/>
      <w:r>
        <w:rPr>
          <w:rFonts w:hint="eastAsia" w:ascii="黑体" w:hAnsi="黑体" w:eastAsia="黑体" w:cs="黑体"/>
          <w:color w:val="auto"/>
          <w:kern w:val="2"/>
          <w:sz w:val="28"/>
          <w:szCs w:val="28"/>
          <w:highlight w:val="none"/>
          <w:lang w:val="en-US" w:eastAsia="zh-CN" w:bidi="ar-SA"/>
        </w:rPr>
        <w:t>验收内容及</w:t>
      </w:r>
      <w:r>
        <w:rPr>
          <w:rFonts w:ascii="黑体" w:hAnsi="黑体" w:eastAsia="黑体" w:cs="黑体"/>
          <w:color w:val="auto"/>
          <w:kern w:val="2"/>
          <w:sz w:val="28"/>
          <w:szCs w:val="28"/>
          <w:highlight w:val="none"/>
          <w:lang w:val="en-US" w:eastAsia="zh-CN" w:bidi="ar-SA"/>
        </w:rPr>
        <w:t>标准</w:t>
      </w:r>
      <w:bookmarkEnd w:id="2202"/>
      <w:bookmarkEnd w:id="2203"/>
      <w:bookmarkEnd w:id="2204"/>
      <w:bookmarkEnd w:id="2205"/>
      <w:bookmarkEnd w:id="2206"/>
      <w:bookmarkEnd w:id="2207"/>
      <w:bookmarkEnd w:id="2208"/>
      <w:bookmarkEnd w:id="2209"/>
      <w:bookmarkEnd w:id="2210"/>
      <w:bookmarkEnd w:id="2211"/>
    </w:p>
    <w:p>
      <w:pPr>
        <w:widowControl w:val="0"/>
        <w:tabs>
          <w:tab w:val="left" w:pos="567"/>
        </w:tabs>
        <w:spacing w:before="0" w:after="0" w:afterAutospacing="0" w:line="360" w:lineRule="auto"/>
        <w:ind w:left="0" w:right="0" w:firstLine="420" w:firstLineChars="200"/>
        <w:rPr>
          <w:rFonts w:hint="eastAsia"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本项目</w:t>
      </w:r>
      <w:r>
        <w:rPr>
          <w:rFonts w:cs="宋体" w:asciiTheme="minorEastAsia" w:hAnsiTheme="minorEastAsia" w:eastAsiaTheme="minorEastAsia"/>
          <w:color w:val="auto"/>
          <w:sz w:val="21"/>
          <w:szCs w:val="21"/>
          <w:highlight w:val="none"/>
        </w:rPr>
        <w:t>验收内容</w:t>
      </w:r>
      <w:r>
        <w:rPr>
          <w:rFonts w:hint="eastAsia" w:cs="宋体" w:asciiTheme="minorEastAsia" w:hAnsiTheme="minorEastAsia" w:eastAsiaTheme="minorEastAsia"/>
          <w:color w:val="auto"/>
          <w:sz w:val="21"/>
          <w:szCs w:val="21"/>
          <w:highlight w:val="none"/>
        </w:rPr>
        <w:t>主要分为</w:t>
      </w:r>
      <w:r>
        <w:rPr>
          <w:rFonts w:hint="eastAsia" w:cs="宋体" w:asciiTheme="minorEastAsia" w:hAnsiTheme="minorEastAsia" w:eastAsiaTheme="minorEastAsia"/>
          <w:color w:val="auto"/>
          <w:sz w:val="21"/>
          <w:szCs w:val="21"/>
          <w:highlight w:val="none"/>
          <w:lang w:val="en-US" w:eastAsia="zh-CN"/>
        </w:rPr>
        <w:t>开箱验收、</w:t>
      </w:r>
      <w:r>
        <w:rPr>
          <w:rFonts w:cs="宋体" w:asciiTheme="minorEastAsia" w:hAnsiTheme="minorEastAsia" w:eastAsiaTheme="minorEastAsia"/>
          <w:color w:val="auto"/>
          <w:sz w:val="21"/>
          <w:szCs w:val="21"/>
          <w:highlight w:val="none"/>
        </w:rPr>
        <w:t>安装验收及功能验收</w:t>
      </w:r>
      <w:r>
        <w:rPr>
          <w:rFonts w:hint="eastAsia" w:cs="宋体" w:asciiTheme="minorEastAsia" w:hAnsiTheme="minorEastAsia" w:eastAsiaTheme="minorEastAsia"/>
          <w:color w:val="auto"/>
          <w:sz w:val="21"/>
          <w:szCs w:val="21"/>
          <w:highlight w:val="none"/>
          <w:lang w:val="en-US" w:eastAsia="zh-CN"/>
        </w:rPr>
        <w:t>三</w:t>
      </w:r>
      <w:r>
        <w:rPr>
          <w:rFonts w:hint="eastAsia" w:cs="宋体" w:asciiTheme="minorEastAsia" w:hAnsiTheme="minorEastAsia" w:eastAsiaTheme="minorEastAsia"/>
          <w:color w:val="auto"/>
          <w:sz w:val="21"/>
          <w:szCs w:val="21"/>
          <w:highlight w:val="none"/>
        </w:rPr>
        <w:t>部分。</w:t>
      </w:r>
    </w:p>
    <w:p>
      <w:pPr>
        <w:widowControl w:val="0"/>
        <w:numPr>
          <w:ilvl w:val="0"/>
          <w:numId w:val="58"/>
        </w:numPr>
        <w:tabs>
          <w:tab w:val="left" w:pos="0"/>
        </w:tabs>
        <w:spacing w:before="0" w:after="0" w:afterAutospacing="0" w:line="360" w:lineRule="auto"/>
        <w:ind w:left="0" w:right="0" w:firstLine="420" w:firstLineChars="200"/>
        <w:jc w:val="left"/>
        <w:rPr>
          <w:rFonts w:hint="eastAsia" w:ascii="宋体" w:hAnsi="宋体" w:eastAsia="宋体" w:cs="Times New Roman"/>
          <w:color w:val="auto"/>
          <w:sz w:val="21"/>
          <w:szCs w:val="21"/>
          <w:highlight w:val="none"/>
          <w:lang w:val="en-US" w:eastAsia="zh-CN"/>
        </w:rPr>
      </w:pPr>
      <w:bookmarkStart w:id="2212" w:name="_Toc31634_WPSOffice_Level3"/>
      <w:r>
        <w:rPr>
          <w:rFonts w:hint="eastAsia" w:ascii="宋体" w:hAnsi="宋体" w:eastAsia="宋体" w:cs="Times New Roman"/>
          <w:color w:val="auto"/>
          <w:sz w:val="21"/>
          <w:szCs w:val="21"/>
          <w:highlight w:val="none"/>
          <w:lang w:val="en-US" w:eastAsia="zh-CN"/>
        </w:rPr>
        <w:t>开箱验收</w:t>
      </w:r>
      <w:bookmarkEnd w:id="2212"/>
    </w:p>
    <w:p>
      <w:pPr>
        <w:widowControl w:val="0"/>
        <w:tabs>
          <w:tab w:val="left" w:pos="567"/>
        </w:tabs>
        <w:spacing w:before="0" w:after="0" w:afterAutospacing="0" w:line="360" w:lineRule="auto"/>
        <w:ind w:left="0" w:right="0" w:firstLine="420" w:firstLineChars="200"/>
        <w:rPr>
          <w:rFonts w:hint="eastAsia"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eastAsia="zh-CN"/>
        </w:rPr>
        <w:t>乙方</w:t>
      </w:r>
      <w:r>
        <w:rPr>
          <w:rFonts w:hint="eastAsia" w:cs="宋体" w:asciiTheme="minorEastAsia" w:hAnsiTheme="minorEastAsia" w:eastAsiaTheme="minorEastAsia"/>
          <w:color w:val="auto"/>
          <w:sz w:val="21"/>
          <w:szCs w:val="21"/>
          <w:highlight w:val="none"/>
        </w:rPr>
        <w:t>必须制定《设备包装和运输标准》</w:t>
      </w:r>
      <w:r>
        <w:rPr>
          <w:rFonts w:hint="eastAsia" w:cs="宋体" w:asciiTheme="minorEastAsia" w:hAnsiTheme="minorEastAsia" w:eastAsiaTheme="minorEastAsia"/>
          <w:color w:val="auto"/>
          <w:sz w:val="21"/>
          <w:szCs w:val="21"/>
          <w:highlight w:val="none"/>
          <w:lang w:eastAsia="zh-CN"/>
        </w:rPr>
        <w:t>，</w:t>
      </w:r>
      <w:r>
        <w:rPr>
          <w:rFonts w:hint="eastAsia" w:cs="宋体" w:asciiTheme="minorEastAsia" w:hAnsiTheme="minorEastAsia" w:eastAsiaTheme="minorEastAsia"/>
          <w:color w:val="auto"/>
          <w:sz w:val="21"/>
          <w:szCs w:val="21"/>
          <w:highlight w:val="none"/>
        </w:rPr>
        <w:t>并由</w:t>
      </w:r>
      <w:r>
        <w:rPr>
          <w:rFonts w:hint="eastAsia" w:cs="宋体" w:asciiTheme="minorEastAsia" w:hAnsiTheme="minorEastAsia" w:eastAsiaTheme="minorEastAsia"/>
          <w:color w:val="auto"/>
          <w:sz w:val="21"/>
          <w:szCs w:val="21"/>
          <w:highlight w:val="none"/>
          <w:lang w:eastAsia="zh-CN"/>
        </w:rPr>
        <w:t>甲方</w:t>
      </w:r>
      <w:r>
        <w:rPr>
          <w:rFonts w:hint="eastAsia" w:cs="宋体" w:asciiTheme="minorEastAsia" w:hAnsiTheme="minorEastAsia" w:eastAsiaTheme="minorEastAsia"/>
          <w:color w:val="auto"/>
          <w:sz w:val="21"/>
          <w:szCs w:val="21"/>
          <w:highlight w:val="none"/>
        </w:rPr>
        <w:t>确认</w:t>
      </w:r>
      <w:r>
        <w:rPr>
          <w:rFonts w:hint="eastAsia" w:cs="宋体" w:asciiTheme="minorEastAsia" w:hAnsiTheme="minorEastAsia" w:eastAsiaTheme="minorEastAsia"/>
          <w:color w:val="auto"/>
          <w:sz w:val="21"/>
          <w:szCs w:val="21"/>
          <w:highlight w:val="none"/>
          <w:lang w:eastAsia="zh-CN"/>
        </w:rPr>
        <w:t>。</w:t>
      </w:r>
      <w:r>
        <w:rPr>
          <w:rFonts w:hint="eastAsia" w:cs="宋体" w:asciiTheme="minorEastAsia" w:hAnsiTheme="minorEastAsia" w:eastAsiaTheme="minorEastAsia"/>
          <w:color w:val="auto"/>
          <w:sz w:val="21"/>
          <w:szCs w:val="21"/>
          <w:highlight w:val="none"/>
        </w:rPr>
        <w:t>所有设备及材料运抵现场时，</w:t>
      </w:r>
      <w:r>
        <w:rPr>
          <w:rFonts w:hint="eastAsia" w:cs="宋体" w:asciiTheme="minorEastAsia" w:hAnsiTheme="minorEastAsia" w:eastAsiaTheme="minorEastAsia"/>
          <w:color w:val="auto"/>
          <w:sz w:val="21"/>
          <w:szCs w:val="21"/>
          <w:highlight w:val="none"/>
          <w:lang w:eastAsia="zh-CN"/>
        </w:rPr>
        <w:t>乙方</w:t>
      </w:r>
      <w:r>
        <w:rPr>
          <w:rFonts w:hint="eastAsia" w:cs="宋体" w:asciiTheme="minorEastAsia" w:hAnsiTheme="minorEastAsia" w:eastAsiaTheme="minorEastAsia"/>
          <w:color w:val="auto"/>
          <w:sz w:val="21"/>
          <w:szCs w:val="21"/>
          <w:highlight w:val="none"/>
        </w:rPr>
        <w:t>应提供数量及质量证明，附有设备材料来源证，质检合格证书供</w:t>
      </w:r>
      <w:r>
        <w:rPr>
          <w:rFonts w:hint="eastAsia" w:cs="宋体" w:asciiTheme="minorEastAsia" w:hAnsiTheme="minorEastAsia" w:eastAsiaTheme="minorEastAsia"/>
          <w:color w:val="auto"/>
          <w:sz w:val="21"/>
          <w:szCs w:val="21"/>
          <w:highlight w:val="none"/>
          <w:lang w:eastAsia="zh-CN"/>
        </w:rPr>
        <w:t>甲方</w:t>
      </w:r>
      <w:r>
        <w:rPr>
          <w:rFonts w:hint="eastAsia" w:cs="宋体" w:asciiTheme="minorEastAsia" w:hAnsiTheme="minorEastAsia" w:eastAsiaTheme="minorEastAsia"/>
          <w:color w:val="auto"/>
          <w:sz w:val="21"/>
          <w:szCs w:val="21"/>
          <w:highlight w:val="none"/>
        </w:rPr>
        <w:t>检查。如有需要，</w:t>
      </w:r>
      <w:r>
        <w:rPr>
          <w:rFonts w:hint="eastAsia" w:cs="宋体" w:asciiTheme="minorEastAsia" w:hAnsiTheme="minorEastAsia" w:eastAsiaTheme="minorEastAsia"/>
          <w:color w:val="auto"/>
          <w:sz w:val="21"/>
          <w:szCs w:val="21"/>
          <w:highlight w:val="none"/>
          <w:lang w:eastAsia="zh-CN"/>
        </w:rPr>
        <w:t>乙方</w:t>
      </w:r>
      <w:r>
        <w:rPr>
          <w:rFonts w:hint="eastAsia" w:cs="宋体" w:asciiTheme="minorEastAsia" w:hAnsiTheme="minorEastAsia" w:eastAsiaTheme="minorEastAsia"/>
          <w:color w:val="auto"/>
          <w:sz w:val="21"/>
          <w:szCs w:val="21"/>
          <w:highlight w:val="none"/>
        </w:rPr>
        <w:t>应协助</w:t>
      </w:r>
      <w:r>
        <w:rPr>
          <w:rFonts w:hint="eastAsia" w:cs="宋体" w:asciiTheme="minorEastAsia" w:hAnsiTheme="minorEastAsia" w:eastAsiaTheme="minorEastAsia"/>
          <w:color w:val="auto"/>
          <w:sz w:val="21"/>
          <w:szCs w:val="21"/>
          <w:highlight w:val="none"/>
          <w:lang w:eastAsia="zh-CN"/>
        </w:rPr>
        <w:t>甲方</w:t>
      </w:r>
      <w:r>
        <w:rPr>
          <w:rFonts w:hint="eastAsia" w:cs="宋体" w:asciiTheme="minorEastAsia" w:hAnsiTheme="minorEastAsia" w:eastAsiaTheme="minorEastAsia"/>
          <w:color w:val="auto"/>
          <w:sz w:val="21"/>
          <w:szCs w:val="21"/>
          <w:highlight w:val="none"/>
        </w:rPr>
        <w:t>取样送检</w:t>
      </w:r>
      <w:r>
        <w:rPr>
          <w:rFonts w:hint="eastAsia" w:cs="宋体" w:asciiTheme="minorEastAsia" w:hAnsiTheme="minorEastAsia" w:eastAsiaTheme="minorEastAsia"/>
          <w:color w:val="auto"/>
          <w:sz w:val="21"/>
          <w:szCs w:val="21"/>
          <w:highlight w:val="none"/>
          <w:lang w:eastAsia="zh-CN"/>
        </w:rPr>
        <w:t>，</w:t>
      </w:r>
      <w:r>
        <w:rPr>
          <w:rFonts w:hint="eastAsia" w:cs="宋体" w:asciiTheme="minorEastAsia" w:hAnsiTheme="minorEastAsia" w:eastAsiaTheme="minorEastAsia"/>
          <w:color w:val="auto"/>
          <w:sz w:val="21"/>
          <w:szCs w:val="21"/>
          <w:highlight w:val="none"/>
        </w:rPr>
        <w:t>所有取样及检测费用由</w:t>
      </w:r>
      <w:r>
        <w:rPr>
          <w:rFonts w:hint="eastAsia" w:cs="宋体" w:asciiTheme="minorEastAsia" w:hAnsiTheme="minorEastAsia" w:eastAsiaTheme="minorEastAsia"/>
          <w:color w:val="auto"/>
          <w:sz w:val="21"/>
          <w:szCs w:val="21"/>
          <w:highlight w:val="none"/>
          <w:lang w:eastAsia="zh-CN"/>
        </w:rPr>
        <w:t>乙方</w:t>
      </w:r>
      <w:r>
        <w:rPr>
          <w:rFonts w:hint="eastAsia" w:cs="宋体" w:asciiTheme="minorEastAsia" w:hAnsiTheme="minorEastAsia" w:eastAsiaTheme="minorEastAsia"/>
          <w:color w:val="auto"/>
          <w:sz w:val="21"/>
          <w:szCs w:val="21"/>
          <w:highlight w:val="none"/>
        </w:rPr>
        <w:t>负责。</w:t>
      </w:r>
      <w:r>
        <w:rPr>
          <w:rFonts w:hint="eastAsia" w:cs="宋体" w:asciiTheme="minorEastAsia" w:hAnsiTheme="minorEastAsia" w:eastAsiaTheme="minorEastAsia"/>
          <w:color w:val="auto"/>
          <w:sz w:val="21"/>
          <w:szCs w:val="21"/>
          <w:highlight w:val="none"/>
          <w:lang w:eastAsia="zh-CN"/>
        </w:rPr>
        <w:t>乙方</w:t>
      </w:r>
      <w:r>
        <w:rPr>
          <w:rFonts w:hint="eastAsia" w:cs="宋体" w:asciiTheme="minorEastAsia" w:hAnsiTheme="minorEastAsia" w:eastAsiaTheme="minorEastAsia"/>
          <w:color w:val="auto"/>
          <w:sz w:val="21"/>
          <w:szCs w:val="21"/>
          <w:highlight w:val="none"/>
        </w:rPr>
        <w:t>应在</w:t>
      </w:r>
      <w:r>
        <w:rPr>
          <w:rFonts w:hint="eastAsia" w:cs="宋体" w:asciiTheme="minorEastAsia" w:hAnsiTheme="minorEastAsia" w:eastAsiaTheme="minorEastAsia"/>
          <w:color w:val="auto"/>
          <w:sz w:val="21"/>
          <w:szCs w:val="21"/>
          <w:highlight w:val="none"/>
          <w:lang w:eastAsia="zh-CN"/>
        </w:rPr>
        <w:t>甲方</w:t>
      </w:r>
      <w:r>
        <w:rPr>
          <w:rFonts w:hint="eastAsia" w:cs="宋体" w:asciiTheme="minorEastAsia" w:hAnsiTheme="minorEastAsia" w:eastAsiaTheme="minorEastAsia"/>
          <w:color w:val="auto"/>
          <w:sz w:val="21"/>
          <w:szCs w:val="21"/>
          <w:highlight w:val="none"/>
        </w:rPr>
        <w:t>/管理机构的监督下，由</w:t>
      </w:r>
      <w:r>
        <w:rPr>
          <w:rFonts w:hint="eastAsia" w:cs="宋体" w:asciiTheme="minorEastAsia" w:hAnsiTheme="minorEastAsia" w:eastAsiaTheme="minorEastAsia"/>
          <w:color w:val="auto"/>
          <w:sz w:val="21"/>
          <w:szCs w:val="21"/>
          <w:highlight w:val="none"/>
          <w:lang w:val="en-US" w:eastAsia="zh-CN"/>
        </w:rPr>
        <w:t>甲方、</w:t>
      </w:r>
      <w:r>
        <w:rPr>
          <w:rFonts w:hint="eastAsia" w:cs="宋体" w:asciiTheme="minorEastAsia" w:hAnsiTheme="minorEastAsia" w:eastAsiaTheme="minorEastAsia"/>
          <w:color w:val="auto"/>
          <w:sz w:val="21"/>
          <w:szCs w:val="21"/>
          <w:highlight w:val="none"/>
          <w:lang w:eastAsia="zh-CN"/>
        </w:rPr>
        <w:t>乙方</w:t>
      </w:r>
      <w:r>
        <w:rPr>
          <w:rFonts w:hint="eastAsia" w:cs="宋体" w:asciiTheme="minorEastAsia" w:hAnsiTheme="minorEastAsia" w:eastAsiaTheme="minorEastAsia"/>
          <w:color w:val="auto"/>
          <w:sz w:val="21"/>
          <w:szCs w:val="21"/>
          <w:highlight w:val="none"/>
        </w:rPr>
        <w:t>、施工监理共同进行设备开箱验收，如对开箱检验无异议，上述代表应在开箱检验记录上签字确认。</w:t>
      </w:r>
      <w:r>
        <w:rPr>
          <w:rFonts w:hint="eastAsia" w:cs="宋体" w:asciiTheme="minorEastAsia" w:hAnsiTheme="minorEastAsia" w:eastAsiaTheme="minorEastAsia"/>
          <w:color w:val="auto"/>
          <w:sz w:val="21"/>
          <w:szCs w:val="21"/>
          <w:highlight w:val="none"/>
          <w:lang w:eastAsia="zh-CN"/>
        </w:rPr>
        <w:t>乙方</w:t>
      </w:r>
      <w:r>
        <w:rPr>
          <w:rFonts w:hint="eastAsia" w:cs="宋体" w:asciiTheme="minorEastAsia" w:hAnsiTheme="minorEastAsia" w:eastAsiaTheme="minorEastAsia"/>
          <w:color w:val="auto"/>
          <w:sz w:val="21"/>
          <w:szCs w:val="21"/>
          <w:highlight w:val="none"/>
        </w:rPr>
        <w:t>负责提供开箱的劳务及工具</w:t>
      </w:r>
      <w:r>
        <w:rPr>
          <w:rFonts w:hint="eastAsia" w:cs="宋体" w:asciiTheme="minorEastAsia" w:hAnsiTheme="minorEastAsia" w:eastAsiaTheme="minorEastAsia"/>
          <w:color w:val="auto"/>
          <w:sz w:val="21"/>
          <w:szCs w:val="21"/>
          <w:highlight w:val="none"/>
          <w:lang w:eastAsia="zh-CN"/>
        </w:rPr>
        <w:t>，</w:t>
      </w:r>
      <w:r>
        <w:rPr>
          <w:rFonts w:hint="eastAsia" w:cs="宋体" w:asciiTheme="minorEastAsia" w:hAnsiTheme="minorEastAsia" w:eastAsiaTheme="minorEastAsia"/>
          <w:color w:val="auto"/>
          <w:sz w:val="21"/>
          <w:szCs w:val="21"/>
          <w:highlight w:val="none"/>
        </w:rPr>
        <w:t>设备开箱检验后，设备的保管</w:t>
      </w:r>
      <w:r>
        <w:rPr>
          <w:rFonts w:hint="eastAsia" w:cs="宋体" w:asciiTheme="minorEastAsia" w:hAnsiTheme="minorEastAsia" w:eastAsiaTheme="minorEastAsia"/>
          <w:color w:val="auto"/>
          <w:sz w:val="21"/>
          <w:szCs w:val="21"/>
          <w:highlight w:val="none"/>
          <w:lang w:eastAsia="zh-CN"/>
        </w:rPr>
        <w:t>、</w:t>
      </w:r>
      <w:r>
        <w:rPr>
          <w:rFonts w:hint="eastAsia" w:cs="宋体" w:asciiTheme="minorEastAsia" w:hAnsiTheme="minorEastAsia" w:eastAsiaTheme="minorEastAsia"/>
          <w:color w:val="auto"/>
          <w:sz w:val="21"/>
          <w:szCs w:val="21"/>
          <w:highlight w:val="none"/>
        </w:rPr>
        <w:t>二次装卸</w:t>
      </w:r>
      <w:r>
        <w:rPr>
          <w:rFonts w:hint="eastAsia" w:cs="宋体" w:asciiTheme="minorEastAsia" w:hAnsiTheme="minorEastAsia" w:eastAsiaTheme="minorEastAsia"/>
          <w:color w:val="auto"/>
          <w:sz w:val="21"/>
          <w:szCs w:val="21"/>
          <w:highlight w:val="none"/>
          <w:lang w:eastAsia="zh-CN"/>
        </w:rPr>
        <w:t>、</w:t>
      </w:r>
      <w:r>
        <w:rPr>
          <w:rFonts w:hint="eastAsia" w:cs="宋体" w:asciiTheme="minorEastAsia" w:hAnsiTheme="minorEastAsia" w:eastAsiaTheme="minorEastAsia"/>
          <w:color w:val="auto"/>
          <w:sz w:val="21"/>
          <w:szCs w:val="21"/>
          <w:highlight w:val="none"/>
        </w:rPr>
        <w:t>运输至车站工地现场等待安装，在这段时间内的设备现场保护由</w:t>
      </w:r>
      <w:r>
        <w:rPr>
          <w:rFonts w:hint="eastAsia" w:cs="宋体" w:asciiTheme="minorEastAsia" w:hAnsiTheme="minorEastAsia" w:eastAsiaTheme="minorEastAsia"/>
          <w:color w:val="auto"/>
          <w:sz w:val="21"/>
          <w:szCs w:val="21"/>
          <w:highlight w:val="none"/>
          <w:lang w:val="en-US" w:eastAsia="zh-CN"/>
        </w:rPr>
        <w:t>乙方</w:t>
      </w:r>
      <w:r>
        <w:rPr>
          <w:rFonts w:hint="eastAsia" w:cs="宋体" w:asciiTheme="minorEastAsia" w:hAnsiTheme="minorEastAsia" w:eastAsiaTheme="minorEastAsia"/>
          <w:color w:val="auto"/>
          <w:sz w:val="21"/>
          <w:szCs w:val="21"/>
          <w:highlight w:val="none"/>
        </w:rPr>
        <w:t>负责。</w:t>
      </w:r>
    </w:p>
    <w:p>
      <w:pPr>
        <w:widowControl w:val="0"/>
        <w:tabs>
          <w:tab w:val="left" w:pos="567"/>
        </w:tabs>
        <w:spacing w:before="0" w:after="0" w:afterAutospacing="0" w:line="360" w:lineRule="auto"/>
        <w:ind w:left="0" w:right="0" w:firstLine="420" w:firstLineChars="200"/>
        <w:rPr>
          <w:rFonts w:hint="eastAsia"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eastAsia="zh-CN"/>
        </w:rPr>
        <w:t>乙方</w:t>
      </w:r>
      <w:r>
        <w:rPr>
          <w:rFonts w:hint="eastAsia" w:cs="宋体" w:asciiTheme="minorEastAsia" w:hAnsiTheme="minorEastAsia" w:eastAsiaTheme="minorEastAsia"/>
          <w:color w:val="auto"/>
          <w:sz w:val="21"/>
          <w:szCs w:val="21"/>
          <w:highlight w:val="none"/>
        </w:rPr>
        <w:t>对设备包装、设备名称、规格型号、数量、外观、配件数量以及随付的文件进行严格检查，发现不符、遗漏或损伤，应当场指出，并在开箱检验记录上注明。随付的文件包括产品清单，产品出厂合格证、各主要部件及整机的产品检测报告、原产地证明文件等。</w:t>
      </w:r>
    </w:p>
    <w:p>
      <w:pPr>
        <w:widowControl w:val="0"/>
        <w:tabs>
          <w:tab w:val="left" w:pos="567"/>
        </w:tabs>
        <w:spacing w:before="0" w:after="0" w:afterAutospacing="0" w:line="360" w:lineRule="auto"/>
        <w:ind w:left="0" w:right="0" w:firstLine="420" w:firstLineChars="200"/>
        <w:rPr>
          <w:rFonts w:hint="eastAsia"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val="en-US" w:eastAsia="zh-CN"/>
        </w:rPr>
        <w:t>开箱验收</w:t>
      </w:r>
      <w:r>
        <w:rPr>
          <w:rFonts w:hint="eastAsia" w:cs="宋体" w:asciiTheme="minorEastAsia" w:hAnsiTheme="minorEastAsia" w:eastAsiaTheme="minorEastAsia"/>
          <w:color w:val="auto"/>
          <w:sz w:val="21"/>
          <w:szCs w:val="21"/>
          <w:highlight w:val="none"/>
        </w:rPr>
        <w:t>检查的内容主要包括：</w:t>
      </w:r>
    </w:p>
    <w:p>
      <w:pPr>
        <w:widowControl w:val="0"/>
        <w:numPr>
          <w:ilvl w:val="0"/>
          <w:numId w:val="59"/>
        </w:numPr>
        <w:spacing w:before="0" w:after="0" w:afterAutospacing="0" w:line="360" w:lineRule="auto"/>
        <w:ind w:left="0" w:right="0" w:firstLine="420" w:firstLineChars="200"/>
        <w:jc w:val="left"/>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满足设备包装标准要求。</w:t>
      </w:r>
    </w:p>
    <w:p>
      <w:pPr>
        <w:widowControl w:val="0"/>
        <w:numPr>
          <w:ilvl w:val="0"/>
          <w:numId w:val="59"/>
        </w:numPr>
        <w:spacing w:before="0" w:after="0" w:afterAutospacing="0" w:line="360" w:lineRule="auto"/>
        <w:ind w:left="0" w:right="0" w:firstLine="420" w:firstLineChars="200"/>
        <w:jc w:val="left"/>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外观良好，运输途中未受损。</w:t>
      </w:r>
    </w:p>
    <w:p>
      <w:pPr>
        <w:widowControl w:val="0"/>
        <w:numPr>
          <w:ilvl w:val="0"/>
          <w:numId w:val="59"/>
        </w:numPr>
        <w:spacing w:before="0" w:after="0" w:afterAutospacing="0" w:line="360" w:lineRule="auto"/>
        <w:ind w:left="0" w:right="0" w:firstLine="420" w:firstLineChars="200"/>
        <w:jc w:val="both"/>
        <w:rPr>
          <w:rFonts w:hint="eastAsia" w:cs="Courier New" w:asciiTheme="minorEastAsia" w:hAnsiTheme="minorEastAsia" w:eastAsiaTheme="minorEastAsia"/>
          <w:color w:val="auto"/>
          <w:sz w:val="21"/>
          <w:szCs w:val="21"/>
          <w:highlight w:val="none"/>
          <w:shd w:val="clear" w:color="auto" w:fill="FFFFFF"/>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编号、数量和名称与比选文件要求的货物清单核实无误。</w:t>
      </w:r>
    </w:p>
    <w:p>
      <w:pPr>
        <w:widowControl w:val="0"/>
        <w:numPr>
          <w:ilvl w:val="0"/>
          <w:numId w:val="58"/>
        </w:numPr>
        <w:tabs>
          <w:tab w:val="left" w:pos="0"/>
        </w:tabs>
        <w:spacing w:before="0" w:after="0" w:afterAutospacing="0" w:line="360" w:lineRule="auto"/>
        <w:ind w:left="0" w:right="0" w:firstLine="420" w:firstLineChars="200"/>
        <w:rPr>
          <w:rFonts w:hint="default" w:ascii="宋体" w:hAnsi="宋体" w:eastAsia="宋体" w:cs="Times New Roman"/>
          <w:color w:val="auto"/>
          <w:sz w:val="21"/>
          <w:szCs w:val="21"/>
          <w:highlight w:val="none"/>
          <w:lang w:val="en-US" w:eastAsia="zh-CN"/>
        </w:rPr>
      </w:pPr>
      <w:bookmarkStart w:id="2213" w:name="_Toc5917_WPSOffice_Level3"/>
      <w:r>
        <w:rPr>
          <w:rFonts w:hint="eastAsia" w:ascii="宋体" w:hAnsi="宋体" w:eastAsia="宋体" w:cs="Times New Roman"/>
          <w:color w:val="auto"/>
          <w:sz w:val="21"/>
          <w:szCs w:val="21"/>
          <w:highlight w:val="none"/>
          <w:lang w:val="en-US" w:eastAsia="zh-CN"/>
        </w:rPr>
        <w:t>安装验收</w:t>
      </w:r>
      <w:bookmarkEnd w:id="2213"/>
    </w:p>
    <w:p>
      <w:pPr>
        <w:widowControl w:val="0"/>
        <w:tabs>
          <w:tab w:val="left" w:pos="567"/>
        </w:tabs>
        <w:spacing w:before="0" w:after="0" w:afterAutospacing="0" w:line="360" w:lineRule="auto"/>
        <w:ind w:left="0" w:right="0" w:firstLine="420" w:firstLineChars="200"/>
        <w:rPr>
          <w:rFonts w:hint="eastAsia" w:cs="宋体" w:asciiTheme="minorEastAsia" w:hAnsiTheme="minorEastAsia" w:eastAsiaTheme="minorEastAsia"/>
          <w:color w:val="auto"/>
          <w:sz w:val="21"/>
          <w:szCs w:val="21"/>
          <w:highlight w:val="none"/>
          <w:lang w:val="en-US" w:eastAsia="zh-CN"/>
        </w:rPr>
      </w:pPr>
      <w:r>
        <w:rPr>
          <w:rFonts w:hint="eastAsia" w:cs="宋体" w:asciiTheme="minorEastAsia" w:hAnsiTheme="minorEastAsia" w:eastAsiaTheme="minorEastAsia"/>
          <w:color w:val="auto"/>
          <w:sz w:val="21"/>
          <w:szCs w:val="21"/>
          <w:highlight w:val="none"/>
        </w:rPr>
        <w:t>安装验收包括但不限于线缆敷</w:t>
      </w:r>
      <w:r>
        <w:rPr>
          <w:rFonts w:hint="eastAsia" w:cs="宋体" w:asciiTheme="minorEastAsia" w:hAnsiTheme="minorEastAsia" w:eastAsiaTheme="minorEastAsia"/>
          <w:color w:val="auto"/>
          <w:sz w:val="21"/>
          <w:szCs w:val="21"/>
          <w:highlight w:val="none"/>
          <w:lang w:val="en-US" w:eastAsia="zh-CN"/>
        </w:rPr>
        <w:t>设、线缆接续、接地装置、摄像机安装等。</w:t>
      </w:r>
    </w:p>
    <w:p>
      <w:pPr>
        <w:widowControl w:val="0"/>
        <w:numPr>
          <w:ilvl w:val="0"/>
          <w:numId w:val="58"/>
        </w:numPr>
        <w:tabs>
          <w:tab w:val="left" w:pos="0"/>
        </w:tabs>
        <w:spacing w:before="0" w:after="0" w:afterAutospacing="0" w:line="360" w:lineRule="auto"/>
        <w:ind w:left="0" w:right="0" w:firstLine="420" w:firstLineChars="200"/>
        <w:rPr>
          <w:rFonts w:hint="default" w:ascii="宋体" w:hAnsi="宋体" w:eastAsia="宋体" w:cs="Times New Roman"/>
          <w:color w:val="auto"/>
          <w:sz w:val="21"/>
          <w:szCs w:val="21"/>
          <w:highlight w:val="none"/>
          <w:lang w:val="en-US" w:eastAsia="zh-CN"/>
        </w:rPr>
      </w:pPr>
      <w:bookmarkStart w:id="2214" w:name="_Toc1685_WPSOffice_Level3"/>
      <w:r>
        <w:rPr>
          <w:rFonts w:hint="eastAsia" w:ascii="宋体" w:hAnsi="宋体" w:eastAsia="宋体" w:cs="Times New Roman"/>
          <w:color w:val="auto"/>
          <w:sz w:val="21"/>
          <w:szCs w:val="21"/>
          <w:highlight w:val="none"/>
          <w:lang w:val="en-US" w:eastAsia="zh-CN"/>
        </w:rPr>
        <w:t>功能验收</w:t>
      </w:r>
      <w:bookmarkEnd w:id="2214"/>
    </w:p>
    <w:p>
      <w:pPr>
        <w:widowControl w:val="0"/>
        <w:tabs>
          <w:tab w:val="left" w:pos="567"/>
        </w:tabs>
        <w:spacing w:before="0" w:after="0" w:afterAutospacing="0" w:line="360" w:lineRule="auto"/>
        <w:ind w:left="0" w:right="0" w:firstLine="420" w:firstLineChars="200"/>
        <w:rPr>
          <w:rFonts w:hint="eastAsia" w:cs="宋体" w:asciiTheme="minorEastAsia" w:hAnsiTheme="minorEastAsia" w:eastAsiaTheme="minorEastAsia"/>
          <w:color w:val="auto"/>
          <w:sz w:val="21"/>
          <w:szCs w:val="21"/>
          <w:highlight w:val="none"/>
          <w:lang w:val="en-US" w:eastAsia="zh-CN"/>
        </w:rPr>
      </w:pPr>
      <w:r>
        <w:rPr>
          <w:rFonts w:hint="eastAsia" w:cs="宋体" w:asciiTheme="minorEastAsia" w:hAnsiTheme="minorEastAsia" w:eastAsiaTheme="minorEastAsia"/>
          <w:color w:val="auto"/>
          <w:sz w:val="21"/>
          <w:szCs w:val="21"/>
          <w:highlight w:val="none"/>
          <w:lang w:val="en-US" w:eastAsia="zh-CN"/>
        </w:rPr>
        <w:t>功能验收包括CCTV摄像机显示、视频分析功能、视频录像存储功能等验收。</w:t>
      </w:r>
    </w:p>
    <w:p>
      <w:pPr>
        <w:widowControl w:val="0"/>
        <w:tabs>
          <w:tab w:val="left" w:pos="567"/>
        </w:tabs>
        <w:spacing w:before="0" w:after="0" w:afterAutospacing="0" w:line="360" w:lineRule="auto"/>
        <w:ind w:left="0" w:right="0" w:firstLine="420"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项目验收单见附件</w:t>
      </w:r>
      <w:r>
        <w:rPr>
          <w:rFonts w:hint="eastAsia" w:cs="宋体" w:asciiTheme="minorEastAsia" w:hAnsiTheme="minorEastAsia" w:eastAsiaTheme="minorEastAsia"/>
          <w:color w:val="auto"/>
          <w:sz w:val="21"/>
          <w:szCs w:val="21"/>
          <w:highlight w:val="none"/>
          <w:lang w:val="en-US" w:eastAsia="zh-CN"/>
        </w:rPr>
        <w:t>4</w:t>
      </w:r>
      <w:r>
        <w:rPr>
          <w:rFonts w:hint="eastAsia" w:cs="宋体" w:asciiTheme="minorEastAsia" w:hAnsiTheme="minorEastAsia" w:eastAsiaTheme="minorEastAsia"/>
          <w:color w:val="auto"/>
          <w:sz w:val="21"/>
          <w:szCs w:val="21"/>
          <w:highlight w:val="none"/>
        </w:rPr>
        <w:t>、附件</w:t>
      </w:r>
      <w:r>
        <w:rPr>
          <w:rFonts w:hint="eastAsia" w:cs="宋体" w:asciiTheme="minorEastAsia" w:hAnsiTheme="minorEastAsia" w:eastAsiaTheme="minorEastAsia"/>
          <w:color w:val="auto"/>
          <w:sz w:val="21"/>
          <w:szCs w:val="21"/>
          <w:highlight w:val="none"/>
          <w:lang w:val="en-US" w:eastAsia="zh-CN"/>
        </w:rPr>
        <w:t>5，</w:t>
      </w:r>
      <w:r>
        <w:rPr>
          <w:rFonts w:hint="eastAsia" w:cs="宋体" w:asciiTheme="minorEastAsia" w:hAnsiTheme="minorEastAsia" w:eastAsiaTheme="minorEastAsia"/>
          <w:color w:val="auto"/>
          <w:sz w:val="21"/>
          <w:szCs w:val="21"/>
          <w:highlight w:val="none"/>
        </w:rPr>
        <w:t>通过验收后</w:t>
      </w:r>
      <w:r>
        <w:rPr>
          <w:rFonts w:hint="eastAsia" w:cs="宋体" w:asciiTheme="minorEastAsia" w:hAnsiTheme="minorEastAsia" w:eastAsiaTheme="minorEastAsia"/>
          <w:color w:val="auto"/>
          <w:sz w:val="21"/>
          <w:szCs w:val="21"/>
          <w:highlight w:val="none"/>
          <w:lang w:eastAsia="zh-CN"/>
        </w:rPr>
        <w:t>甲方</w:t>
      </w:r>
      <w:r>
        <w:rPr>
          <w:rFonts w:hint="eastAsia" w:cs="宋体" w:asciiTheme="minorEastAsia" w:hAnsiTheme="minorEastAsia" w:eastAsiaTheme="minorEastAsia"/>
          <w:color w:val="auto"/>
          <w:sz w:val="21"/>
          <w:szCs w:val="21"/>
          <w:highlight w:val="none"/>
        </w:rPr>
        <w:t>与</w:t>
      </w:r>
      <w:r>
        <w:rPr>
          <w:rFonts w:hint="eastAsia" w:cs="宋体" w:asciiTheme="minorEastAsia" w:hAnsiTheme="minorEastAsia" w:eastAsiaTheme="minorEastAsia"/>
          <w:color w:val="auto"/>
          <w:sz w:val="21"/>
          <w:szCs w:val="21"/>
          <w:highlight w:val="none"/>
          <w:lang w:eastAsia="zh-CN"/>
        </w:rPr>
        <w:t>乙方</w:t>
      </w:r>
      <w:r>
        <w:rPr>
          <w:rFonts w:hint="eastAsia" w:cs="宋体" w:asciiTheme="minorEastAsia" w:hAnsiTheme="minorEastAsia" w:eastAsiaTheme="minorEastAsia"/>
          <w:color w:val="auto"/>
          <w:sz w:val="21"/>
          <w:szCs w:val="21"/>
          <w:highlight w:val="none"/>
        </w:rPr>
        <w:t>共同签署项目验收单。</w:t>
      </w:r>
    </w:p>
    <w:p>
      <w:pPr>
        <w:keepNext/>
        <w:keepLines/>
        <w:widowControl w:val="0"/>
        <w:numPr>
          <w:ilvl w:val="1"/>
          <w:numId w:val="26"/>
        </w:numPr>
        <w:spacing w:before="0" w:after="0" w:afterAutospacing="0" w:line="360" w:lineRule="auto"/>
        <w:ind w:left="0" w:right="0" w:firstLine="0"/>
        <w:jc w:val="left"/>
        <w:outlineLvl w:val="1"/>
        <w:rPr>
          <w:rFonts w:ascii="黑体" w:hAnsi="黑体" w:eastAsia="黑体" w:cs="黑体"/>
          <w:color w:val="auto"/>
          <w:kern w:val="2"/>
          <w:sz w:val="28"/>
          <w:szCs w:val="28"/>
          <w:highlight w:val="none"/>
          <w:lang w:val="en-US" w:eastAsia="zh-CN" w:bidi="ar-SA"/>
        </w:rPr>
      </w:pPr>
      <w:bookmarkStart w:id="2215" w:name="_Toc776"/>
      <w:bookmarkStart w:id="2216" w:name="_Toc29265"/>
      <w:bookmarkStart w:id="2217" w:name="_Toc8967"/>
      <w:bookmarkStart w:id="2218" w:name="_Toc20925"/>
      <w:bookmarkStart w:id="2219" w:name="_Toc5527"/>
      <w:bookmarkStart w:id="2220" w:name="_Toc9525"/>
      <w:bookmarkStart w:id="2221" w:name="_Toc19419"/>
      <w:bookmarkStart w:id="2222" w:name="_Toc20796"/>
      <w:bookmarkStart w:id="2223" w:name="_Toc29991"/>
      <w:bookmarkStart w:id="2224" w:name="_Toc26936_WPSOffice_Level2"/>
      <w:r>
        <w:rPr>
          <w:rFonts w:hint="eastAsia" w:ascii="黑体" w:hAnsi="黑体" w:eastAsia="黑体" w:cs="黑体"/>
          <w:color w:val="auto"/>
          <w:kern w:val="2"/>
          <w:sz w:val="28"/>
          <w:szCs w:val="28"/>
          <w:highlight w:val="none"/>
          <w:lang w:val="en-US" w:eastAsia="zh-CN" w:bidi="ar-SA"/>
        </w:rPr>
        <w:t>项目</w:t>
      </w:r>
      <w:r>
        <w:rPr>
          <w:rFonts w:ascii="黑体" w:hAnsi="黑体" w:eastAsia="黑体" w:cs="黑体"/>
          <w:color w:val="auto"/>
          <w:kern w:val="2"/>
          <w:sz w:val="28"/>
          <w:szCs w:val="28"/>
          <w:highlight w:val="none"/>
          <w:lang w:val="en-US" w:eastAsia="zh-CN" w:bidi="ar-SA"/>
        </w:rPr>
        <w:t>移交</w:t>
      </w:r>
      <w:bookmarkEnd w:id="2215"/>
      <w:bookmarkEnd w:id="2216"/>
      <w:bookmarkEnd w:id="2217"/>
      <w:bookmarkEnd w:id="2218"/>
      <w:bookmarkEnd w:id="2219"/>
      <w:bookmarkEnd w:id="2220"/>
      <w:bookmarkEnd w:id="2221"/>
      <w:bookmarkEnd w:id="2222"/>
      <w:bookmarkEnd w:id="2223"/>
      <w:bookmarkEnd w:id="2224"/>
    </w:p>
    <w:p>
      <w:pPr>
        <w:keepNext w:val="0"/>
        <w:keepLines w:val="0"/>
        <w:pageBreakBefore w:val="0"/>
        <w:widowControl/>
        <w:tabs>
          <w:tab w:val="left" w:pos="567"/>
          <w:tab w:val="left" w:pos="1320"/>
        </w:tabs>
        <w:kinsoku/>
        <w:wordWrap/>
        <w:overflowPunct/>
        <w:topLinePunct w:val="0"/>
        <w:autoSpaceDE/>
        <w:autoSpaceDN/>
        <w:bidi w:val="0"/>
        <w:adjustRightInd w:val="0"/>
        <w:snapToGrid w:val="0"/>
        <w:spacing w:before="0" w:after="0" w:afterAutospacing="0" w:line="360" w:lineRule="auto"/>
        <w:ind w:left="0" w:right="0" w:firstLine="420" w:firstLineChars="200"/>
        <w:textAlignment w:val="auto"/>
        <w:rPr>
          <w:rFonts w:cs="Times New Roman"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lang w:val="zh-CN"/>
        </w:rPr>
        <w:t>项目</w:t>
      </w:r>
      <w:r>
        <w:rPr>
          <w:rFonts w:cs="宋体" w:asciiTheme="minorEastAsia" w:hAnsiTheme="minorEastAsia" w:eastAsiaTheme="minorEastAsia"/>
          <w:color w:val="auto"/>
          <w:sz w:val="21"/>
          <w:szCs w:val="21"/>
          <w:highlight w:val="none"/>
          <w:lang w:val="zh-CN"/>
        </w:rPr>
        <w:t>最终验收后，</w:t>
      </w:r>
      <w:r>
        <w:rPr>
          <w:rFonts w:hint="eastAsia" w:cs="宋体" w:asciiTheme="minorEastAsia" w:hAnsiTheme="minorEastAsia" w:eastAsiaTheme="minorEastAsia"/>
          <w:color w:val="auto"/>
          <w:sz w:val="21"/>
          <w:szCs w:val="21"/>
          <w:highlight w:val="none"/>
          <w:lang w:val="en-US" w:eastAsia="zh-CN"/>
        </w:rPr>
        <w:t>乙方</w:t>
      </w:r>
      <w:r>
        <w:rPr>
          <w:rFonts w:cs="宋体" w:asciiTheme="minorEastAsia" w:hAnsiTheme="minorEastAsia" w:eastAsiaTheme="minorEastAsia"/>
          <w:color w:val="auto"/>
          <w:sz w:val="21"/>
          <w:szCs w:val="21"/>
          <w:highlight w:val="none"/>
          <w:lang w:val="zh-CN"/>
        </w:rPr>
        <w:t>须提供</w:t>
      </w:r>
      <w:r>
        <w:rPr>
          <w:rFonts w:hint="eastAsia" w:cs="宋体" w:asciiTheme="minorEastAsia" w:hAnsiTheme="minorEastAsia" w:eastAsiaTheme="minorEastAsia"/>
          <w:color w:val="auto"/>
          <w:sz w:val="21"/>
          <w:szCs w:val="21"/>
          <w:highlight w:val="none"/>
          <w:lang w:val="zh-CN"/>
        </w:rPr>
        <w:t>项目</w:t>
      </w:r>
      <w:r>
        <w:rPr>
          <w:rFonts w:hint="eastAsia" w:cs="宋体" w:asciiTheme="minorEastAsia" w:hAnsiTheme="minorEastAsia" w:eastAsiaTheme="minorEastAsia"/>
          <w:color w:val="auto"/>
          <w:sz w:val="21"/>
          <w:szCs w:val="21"/>
          <w:highlight w:val="none"/>
        </w:rPr>
        <w:t>文件纸质版一式三套，并同步提供与纸质文件内容一致的电子文件</w:t>
      </w:r>
      <w:r>
        <w:rPr>
          <w:rFonts w:hint="eastAsia" w:cs="宋体" w:asciiTheme="minorEastAsia" w:hAnsiTheme="minorEastAsia" w:eastAsiaTheme="minorEastAsia"/>
          <w:color w:val="auto"/>
          <w:sz w:val="21"/>
          <w:szCs w:val="21"/>
          <w:highlight w:val="none"/>
          <w:lang w:val="en-US" w:eastAsia="zh-CN"/>
        </w:rPr>
        <w:t>一套</w:t>
      </w:r>
      <w:r>
        <w:rPr>
          <w:rFonts w:hint="eastAsia" w:cs="宋体" w:asciiTheme="minorEastAsia" w:hAnsiTheme="minorEastAsia" w:eastAsiaTheme="minorEastAsia"/>
          <w:color w:val="auto"/>
          <w:sz w:val="21"/>
          <w:szCs w:val="21"/>
          <w:highlight w:val="none"/>
        </w:rPr>
        <w:t>，所有</w:t>
      </w:r>
      <w:r>
        <w:rPr>
          <w:rFonts w:cs="宋体" w:asciiTheme="minorEastAsia" w:hAnsiTheme="minorEastAsia" w:eastAsiaTheme="minorEastAsia"/>
          <w:color w:val="auto"/>
          <w:sz w:val="21"/>
          <w:szCs w:val="21"/>
          <w:highlight w:val="none"/>
        </w:rPr>
        <w:t>文件均需</w:t>
      </w:r>
      <w:r>
        <w:rPr>
          <w:rFonts w:hint="eastAsia" w:cs="宋体" w:asciiTheme="minorEastAsia" w:hAnsiTheme="minorEastAsia" w:eastAsiaTheme="minorEastAsia"/>
          <w:color w:val="auto"/>
          <w:sz w:val="21"/>
          <w:szCs w:val="21"/>
          <w:highlight w:val="none"/>
        </w:rPr>
        <w:t>加盖</w:t>
      </w:r>
      <w:r>
        <w:rPr>
          <w:rFonts w:hint="eastAsia" w:cs="宋体" w:asciiTheme="minorEastAsia" w:hAnsiTheme="minorEastAsia" w:eastAsiaTheme="minorEastAsia"/>
          <w:color w:val="auto"/>
          <w:sz w:val="21"/>
          <w:szCs w:val="21"/>
          <w:highlight w:val="none"/>
          <w:lang w:eastAsia="zh-CN"/>
        </w:rPr>
        <w:t>乙方</w:t>
      </w:r>
      <w:r>
        <w:rPr>
          <w:rFonts w:cs="宋体" w:asciiTheme="minorEastAsia" w:hAnsiTheme="minorEastAsia" w:eastAsiaTheme="minorEastAsia"/>
          <w:color w:val="auto"/>
          <w:sz w:val="21"/>
          <w:szCs w:val="21"/>
          <w:highlight w:val="none"/>
        </w:rPr>
        <w:t>公章，</w:t>
      </w:r>
      <w:r>
        <w:rPr>
          <w:rFonts w:hint="eastAsia" w:cs="宋体" w:asciiTheme="minorEastAsia" w:hAnsiTheme="minorEastAsia" w:eastAsiaTheme="minorEastAsia"/>
          <w:color w:val="auto"/>
          <w:sz w:val="21"/>
          <w:szCs w:val="21"/>
          <w:highlight w:val="none"/>
        </w:rPr>
        <w:t>包括</w:t>
      </w:r>
      <w:r>
        <w:rPr>
          <w:rFonts w:cs="宋体" w:asciiTheme="minorEastAsia" w:hAnsiTheme="minorEastAsia" w:eastAsiaTheme="minorEastAsia"/>
          <w:color w:val="auto"/>
          <w:sz w:val="21"/>
          <w:szCs w:val="21"/>
          <w:highlight w:val="none"/>
        </w:rPr>
        <w:t>但不限于</w:t>
      </w:r>
      <w:r>
        <w:rPr>
          <w:rFonts w:hint="eastAsia" w:cs="宋体" w:asciiTheme="minorEastAsia" w:hAnsiTheme="minorEastAsia" w:eastAsiaTheme="minorEastAsia"/>
          <w:color w:val="auto"/>
          <w:sz w:val="21"/>
          <w:szCs w:val="21"/>
          <w:highlight w:val="none"/>
        </w:rPr>
        <w:t>以下文件：</w:t>
      </w:r>
    </w:p>
    <w:p>
      <w:pPr>
        <w:keepNext w:val="0"/>
        <w:keepLines w:val="0"/>
        <w:pageBreakBefore w:val="0"/>
        <w:widowControl w:val="0"/>
        <w:numPr>
          <w:ilvl w:val="0"/>
          <w:numId w:val="60"/>
        </w:numPr>
        <w:kinsoku/>
        <w:wordWrap/>
        <w:overflowPunct/>
        <w:topLinePunct w:val="0"/>
        <w:autoSpaceDE/>
        <w:autoSpaceDN/>
        <w:bidi w:val="0"/>
        <w:spacing w:before="0" w:after="0" w:afterAutospacing="0" w:line="360" w:lineRule="auto"/>
        <w:ind w:left="0" w:right="0" w:firstLine="420" w:firstLineChars="200"/>
        <w:jc w:val="both"/>
        <w:textAlignment w:val="auto"/>
        <w:rPr>
          <w:rFonts w:cs="宋体" w:asciiTheme="minorEastAsia" w:hAnsiTheme="minorEastAsia" w:eastAsiaTheme="minorEastAsia"/>
          <w:color w:val="auto"/>
          <w:sz w:val="21"/>
          <w:szCs w:val="21"/>
          <w:highlight w:val="none"/>
          <w:lang w:val="en-US" w:eastAsia="zh-CN" w:bidi="ar-SA"/>
        </w:rPr>
      </w:pPr>
      <w:bookmarkStart w:id="2225" w:name="_Toc12949_WPSOffice_Level3"/>
      <w:r>
        <w:rPr>
          <w:rFonts w:hint="eastAsia" w:cs="宋体" w:asciiTheme="minorEastAsia" w:hAnsiTheme="minorEastAsia" w:eastAsiaTheme="minorEastAsia"/>
          <w:color w:val="auto"/>
          <w:sz w:val="21"/>
          <w:szCs w:val="21"/>
          <w:highlight w:val="none"/>
          <w:lang w:val="en-US" w:eastAsia="zh-CN" w:bidi="ar-SA"/>
        </w:rPr>
        <w:t>项目技术</w:t>
      </w:r>
      <w:r>
        <w:rPr>
          <w:rFonts w:cs="宋体" w:asciiTheme="minorEastAsia" w:hAnsiTheme="minorEastAsia" w:eastAsiaTheme="minorEastAsia"/>
          <w:color w:val="auto"/>
          <w:sz w:val="21"/>
          <w:szCs w:val="21"/>
          <w:highlight w:val="none"/>
          <w:lang w:val="en-US" w:eastAsia="zh-CN" w:bidi="ar-SA"/>
        </w:rPr>
        <w:t>方案</w:t>
      </w:r>
      <w:r>
        <w:rPr>
          <w:rFonts w:hint="eastAsia" w:cs="宋体" w:asciiTheme="minorEastAsia" w:hAnsiTheme="minorEastAsia" w:eastAsiaTheme="minorEastAsia"/>
          <w:color w:val="auto"/>
          <w:sz w:val="21"/>
          <w:szCs w:val="21"/>
          <w:highlight w:val="none"/>
          <w:lang w:val="en-US" w:eastAsia="zh-CN" w:bidi="ar-SA"/>
        </w:rPr>
        <w:t>、施工</w:t>
      </w:r>
      <w:r>
        <w:rPr>
          <w:rFonts w:cs="宋体" w:asciiTheme="minorEastAsia" w:hAnsiTheme="minorEastAsia" w:eastAsiaTheme="minorEastAsia"/>
          <w:color w:val="auto"/>
          <w:sz w:val="21"/>
          <w:szCs w:val="21"/>
          <w:highlight w:val="none"/>
          <w:lang w:val="en-US" w:eastAsia="zh-CN" w:bidi="ar-SA"/>
        </w:rPr>
        <w:t>方案</w:t>
      </w:r>
      <w:r>
        <w:rPr>
          <w:rFonts w:hint="eastAsia" w:cs="宋体" w:asciiTheme="minorEastAsia" w:hAnsiTheme="minorEastAsia" w:eastAsiaTheme="minorEastAsia"/>
          <w:color w:val="auto"/>
          <w:sz w:val="21"/>
          <w:szCs w:val="21"/>
          <w:highlight w:val="none"/>
          <w:lang w:val="en-US" w:eastAsia="zh-CN" w:bidi="ar-SA"/>
        </w:rPr>
        <w:t>。</w:t>
      </w:r>
      <w:bookmarkEnd w:id="2225"/>
    </w:p>
    <w:p>
      <w:pPr>
        <w:keepNext w:val="0"/>
        <w:keepLines w:val="0"/>
        <w:pageBreakBefore w:val="0"/>
        <w:widowControl w:val="0"/>
        <w:numPr>
          <w:ilvl w:val="0"/>
          <w:numId w:val="60"/>
        </w:numPr>
        <w:kinsoku/>
        <w:wordWrap/>
        <w:overflowPunct/>
        <w:topLinePunct w:val="0"/>
        <w:autoSpaceDE/>
        <w:autoSpaceDN/>
        <w:bidi w:val="0"/>
        <w:spacing w:before="0" w:after="0" w:afterAutospacing="0" w:line="360" w:lineRule="auto"/>
        <w:ind w:left="0" w:right="0" w:firstLine="420" w:firstLineChars="200"/>
        <w:jc w:val="both"/>
        <w:textAlignment w:val="auto"/>
        <w:rPr>
          <w:rFonts w:cs="宋体" w:asciiTheme="minorEastAsia" w:hAnsiTheme="minorEastAsia" w:eastAsiaTheme="minorEastAsia"/>
          <w:color w:val="auto"/>
          <w:sz w:val="21"/>
          <w:szCs w:val="21"/>
          <w:highlight w:val="none"/>
          <w:lang w:val="en-US" w:eastAsia="zh-CN" w:bidi="ar-SA"/>
        </w:rPr>
      </w:pPr>
      <w:bookmarkStart w:id="2226" w:name="_Toc15696_WPSOffice_Level3"/>
      <w:r>
        <w:rPr>
          <w:rFonts w:hint="eastAsia" w:cs="宋体" w:asciiTheme="minorEastAsia" w:hAnsiTheme="minorEastAsia" w:eastAsiaTheme="minorEastAsia"/>
          <w:color w:val="auto"/>
          <w:sz w:val="21"/>
          <w:szCs w:val="21"/>
          <w:highlight w:val="none"/>
          <w:lang w:val="en-US" w:eastAsia="zh-CN" w:bidi="ar-SA"/>
        </w:rPr>
        <w:t>设备问题整改记录。</w:t>
      </w:r>
      <w:bookmarkEnd w:id="2226"/>
    </w:p>
    <w:p>
      <w:pPr>
        <w:keepNext w:val="0"/>
        <w:keepLines w:val="0"/>
        <w:pageBreakBefore w:val="0"/>
        <w:widowControl w:val="0"/>
        <w:numPr>
          <w:ilvl w:val="0"/>
          <w:numId w:val="60"/>
        </w:numPr>
        <w:kinsoku/>
        <w:wordWrap/>
        <w:overflowPunct/>
        <w:topLinePunct w:val="0"/>
        <w:autoSpaceDE/>
        <w:autoSpaceDN/>
        <w:bidi w:val="0"/>
        <w:spacing w:before="0" w:after="0" w:afterAutospacing="0" w:line="360" w:lineRule="auto"/>
        <w:ind w:left="0" w:right="0" w:firstLine="420" w:firstLineChars="200"/>
        <w:jc w:val="both"/>
        <w:textAlignment w:val="auto"/>
        <w:rPr>
          <w:rFonts w:cs="宋体" w:asciiTheme="minorEastAsia" w:hAnsiTheme="minorEastAsia" w:eastAsiaTheme="minorEastAsia"/>
          <w:color w:val="auto"/>
          <w:sz w:val="21"/>
          <w:szCs w:val="21"/>
          <w:highlight w:val="none"/>
          <w:lang w:val="en-US" w:eastAsia="zh-CN" w:bidi="ar-SA"/>
        </w:rPr>
      </w:pPr>
      <w:bookmarkStart w:id="2227" w:name="_Toc14106_WPSOffice_Level3"/>
      <w:r>
        <w:rPr>
          <w:rFonts w:hint="eastAsia" w:cs="宋体" w:asciiTheme="minorEastAsia" w:hAnsiTheme="minorEastAsia" w:eastAsiaTheme="minorEastAsia"/>
          <w:color w:val="auto"/>
          <w:sz w:val="21"/>
          <w:szCs w:val="21"/>
          <w:highlight w:val="none"/>
          <w:lang w:val="en-US" w:eastAsia="zh-CN" w:bidi="ar-SA"/>
        </w:rPr>
        <w:t>移交备忘录。</w:t>
      </w:r>
      <w:bookmarkEnd w:id="2227"/>
    </w:p>
    <w:p>
      <w:pPr>
        <w:keepNext w:val="0"/>
        <w:keepLines w:val="0"/>
        <w:pageBreakBefore w:val="0"/>
        <w:widowControl w:val="0"/>
        <w:numPr>
          <w:ilvl w:val="0"/>
          <w:numId w:val="60"/>
        </w:numPr>
        <w:kinsoku/>
        <w:wordWrap/>
        <w:overflowPunct/>
        <w:topLinePunct w:val="0"/>
        <w:autoSpaceDE/>
        <w:autoSpaceDN/>
        <w:bidi w:val="0"/>
        <w:spacing w:before="0" w:after="0" w:afterAutospacing="0" w:line="360" w:lineRule="auto"/>
        <w:ind w:left="0" w:right="0" w:firstLine="420" w:firstLineChars="200"/>
        <w:jc w:val="both"/>
        <w:textAlignment w:val="auto"/>
        <w:rPr>
          <w:rFonts w:hint="eastAsia" w:cs="宋体" w:asciiTheme="minorEastAsia" w:hAnsiTheme="minorEastAsia" w:eastAsiaTheme="minorEastAsia"/>
          <w:color w:val="auto"/>
          <w:sz w:val="21"/>
          <w:szCs w:val="21"/>
          <w:highlight w:val="none"/>
          <w:lang w:val="en-US" w:eastAsia="zh-CN" w:bidi="ar-SA"/>
        </w:rPr>
      </w:pPr>
      <w:bookmarkStart w:id="2228" w:name="_Toc26936_WPSOffice_Level3"/>
      <w:r>
        <w:rPr>
          <w:rFonts w:hint="eastAsia" w:cs="宋体" w:asciiTheme="minorEastAsia" w:hAnsiTheme="minorEastAsia" w:eastAsiaTheme="minorEastAsia"/>
          <w:color w:val="auto"/>
          <w:sz w:val="21"/>
          <w:szCs w:val="21"/>
          <w:highlight w:val="none"/>
          <w:lang w:val="en-US" w:eastAsia="zh-CN" w:bidi="ar-SA"/>
        </w:rPr>
        <w:t>设备安装施工平面图、施工管线图。</w:t>
      </w:r>
      <w:bookmarkEnd w:id="2228"/>
    </w:p>
    <w:p>
      <w:pPr>
        <w:keepNext w:val="0"/>
        <w:keepLines w:val="0"/>
        <w:pageBreakBefore w:val="0"/>
        <w:widowControl w:val="0"/>
        <w:numPr>
          <w:ilvl w:val="0"/>
          <w:numId w:val="60"/>
        </w:numPr>
        <w:kinsoku/>
        <w:wordWrap/>
        <w:overflowPunct/>
        <w:topLinePunct w:val="0"/>
        <w:autoSpaceDE/>
        <w:autoSpaceDN/>
        <w:bidi w:val="0"/>
        <w:spacing w:before="0" w:after="0" w:afterAutospacing="0" w:line="360" w:lineRule="auto"/>
        <w:ind w:left="0" w:right="0" w:firstLine="420" w:firstLineChars="200"/>
        <w:jc w:val="both"/>
        <w:textAlignment w:val="auto"/>
        <w:rPr>
          <w:rFonts w:hint="eastAsia" w:cs="宋体" w:asciiTheme="minorEastAsia" w:hAnsiTheme="minorEastAsia" w:eastAsiaTheme="minorEastAsia"/>
          <w:color w:val="auto"/>
          <w:sz w:val="21"/>
          <w:szCs w:val="21"/>
          <w:highlight w:val="none"/>
          <w:lang w:val="en-US" w:eastAsia="zh-CN" w:bidi="ar-SA"/>
        </w:rPr>
      </w:pPr>
      <w:bookmarkStart w:id="2229" w:name="_Toc27679_WPSOffice_Level3"/>
      <w:r>
        <w:rPr>
          <w:rFonts w:hint="eastAsia" w:cs="宋体" w:asciiTheme="minorEastAsia" w:hAnsiTheme="minorEastAsia" w:eastAsiaTheme="minorEastAsia"/>
          <w:color w:val="auto"/>
          <w:sz w:val="21"/>
          <w:szCs w:val="21"/>
          <w:highlight w:val="none"/>
          <w:lang w:val="en-US" w:eastAsia="zh-CN" w:bidi="ar-SA"/>
        </w:rPr>
        <w:t>设备测试调试记录。</w:t>
      </w:r>
      <w:bookmarkEnd w:id="2229"/>
    </w:p>
    <w:p>
      <w:pPr>
        <w:keepNext w:val="0"/>
        <w:keepLines w:val="0"/>
        <w:pageBreakBefore w:val="0"/>
        <w:widowControl w:val="0"/>
        <w:numPr>
          <w:ilvl w:val="0"/>
          <w:numId w:val="60"/>
        </w:numPr>
        <w:kinsoku/>
        <w:wordWrap/>
        <w:overflowPunct/>
        <w:topLinePunct w:val="0"/>
        <w:autoSpaceDE/>
        <w:autoSpaceDN/>
        <w:bidi w:val="0"/>
        <w:spacing w:before="0" w:after="0" w:afterAutospacing="0" w:line="360" w:lineRule="auto"/>
        <w:ind w:left="0" w:right="0" w:firstLine="420" w:firstLineChars="200"/>
        <w:jc w:val="both"/>
        <w:textAlignment w:val="auto"/>
        <w:rPr>
          <w:rFonts w:hint="eastAsia" w:cs="宋体" w:asciiTheme="minorEastAsia" w:hAnsiTheme="minorEastAsia" w:eastAsiaTheme="minorEastAsia"/>
          <w:color w:val="auto"/>
          <w:sz w:val="21"/>
          <w:szCs w:val="21"/>
          <w:highlight w:val="none"/>
          <w:lang w:val="en-US" w:eastAsia="zh-CN" w:bidi="ar-SA"/>
        </w:rPr>
      </w:pPr>
      <w:bookmarkStart w:id="2230" w:name="_Toc28821_WPSOffice_Level3"/>
      <w:r>
        <w:rPr>
          <w:rFonts w:hint="eastAsia" w:cs="宋体" w:asciiTheme="minorEastAsia" w:hAnsiTheme="minorEastAsia" w:eastAsiaTheme="minorEastAsia"/>
          <w:color w:val="auto"/>
          <w:sz w:val="21"/>
          <w:szCs w:val="21"/>
          <w:highlight w:val="none"/>
          <w:lang w:val="en-US" w:eastAsia="zh-CN" w:bidi="ar-SA"/>
        </w:rPr>
        <w:t>竣工图纸。</w:t>
      </w:r>
      <w:bookmarkEnd w:id="2230"/>
    </w:p>
    <w:p>
      <w:pPr>
        <w:keepNext w:val="0"/>
        <w:keepLines w:val="0"/>
        <w:pageBreakBefore w:val="0"/>
        <w:widowControl w:val="0"/>
        <w:numPr>
          <w:ilvl w:val="0"/>
          <w:numId w:val="60"/>
        </w:numPr>
        <w:kinsoku/>
        <w:wordWrap/>
        <w:overflowPunct/>
        <w:topLinePunct w:val="0"/>
        <w:autoSpaceDE/>
        <w:autoSpaceDN/>
        <w:bidi w:val="0"/>
        <w:spacing w:before="0" w:after="0" w:afterAutospacing="0" w:line="360" w:lineRule="auto"/>
        <w:ind w:left="0" w:right="0" w:firstLine="420" w:firstLineChars="200"/>
        <w:jc w:val="both"/>
        <w:textAlignment w:val="auto"/>
        <w:rPr>
          <w:rFonts w:cs="宋体" w:asciiTheme="minorEastAsia" w:hAnsiTheme="minorEastAsia" w:eastAsiaTheme="minorEastAsia"/>
          <w:color w:val="auto"/>
          <w:sz w:val="21"/>
          <w:szCs w:val="21"/>
          <w:highlight w:val="none"/>
          <w:lang w:val="en-US" w:eastAsia="zh-CN" w:bidi="ar-SA"/>
        </w:rPr>
      </w:pPr>
      <w:bookmarkStart w:id="2231" w:name="_Toc28898_WPSOffice_Level3"/>
      <w:r>
        <w:rPr>
          <w:rFonts w:hint="eastAsia" w:cs="宋体" w:asciiTheme="minorEastAsia" w:hAnsiTheme="minorEastAsia" w:eastAsiaTheme="minorEastAsia"/>
          <w:color w:val="auto"/>
          <w:sz w:val="21"/>
          <w:szCs w:val="21"/>
          <w:highlight w:val="none"/>
          <w:lang w:val="en-US" w:eastAsia="zh-CN" w:bidi="ar-SA"/>
        </w:rPr>
        <w:t>工程数量表。</w:t>
      </w:r>
      <w:bookmarkEnd w:id="2231"/>
    </w:p>
    <w:p>
      <w:pPr>
        <w:keepNext w:val="0"/>
        <w:keepLines w:val="0"/>
        <w:pageBreakBefore w:val="0"/>
        <w:widowControl w:val="0"/>
        <w:numPr>
          <w:ilvl w:val="0"/>
          <w:numId w:val="60"/>
        </w:numPr>
        <w:kinsoku/>
        <w:wordWrap/>
        <w:overflowPunct/>
        <w:topLinePunct w:val="0"/>
        <w:autoSpaceDE/>
        <w:autoSpaceDN/>
        <w:bidi w:val="0"/>
        <w:spacing w:before="0" w:after="0" w:afterAutospacing="0" w:line="360" w:lineRule="auto"/>
        <w:ind w:left="0" w:right="0" w:firstLine="420" w:firstLineChars="200"/>
        <w:jc w:val="both"/>
        <w:textAlignment w:val="auto"/>
        <w:rPr>
          <w:rFonts w:cs="Times New Roman" w:asciiTheme="minorEastAsia" w:hAnsiTheme="minorEastAsia" w:eastAsiaTheme="minorEastAsia"/>
          <w:color w:val="auto"/>
          <w:sz w:val="21"/>
          <w:szCs w:val="21"/>
          <w:highlight w:val="none"/>
          <w:lang w:val="en-US" w:eastAsia="zh-CN" w:bidi="ar-SA"/>
        </w:rPr>
      </w:pPr>
      <w:bookmarkStart w:id="2232" w:name="_Toc26467_WPSOffice_Level3"/>
      <w:r>
        <w:rPr>
          <w:rFonts w:hint="eastAsia" w:cs="宋体" w:asciiTheme="minorEastAsia" w:hAnsiTheme="minorEastAsia" w:eastAsiaTheme="minorEastAsia"/>
          <w:color w:val="auto"/>
          <w:sz w:val="21"/>
          <w:szCs w:val="21"/>
          <w:highlight w:val="none"/>
          <w:lang w:val="en-US" w:eastAsia="zh-CN" w:bidi="ar-SA"/>
        </w:rPr>
        <w:t>项目验收单。</w:t>
      </w:r>
      <w:bookmarkEnd w:id="2232"/>
    </w:p>
    <w:p>
      <w:pPr>
        <w:keepNext w:val="0"/>
        <w:keepLines w:val="0"/>
        <w:pageBreakBefore w:val="0"/>
        <w:widowControl w:val="0"/>
        <w:numPr>
          <w:ilvl w:val="0"/>
          <w:numId w:val="60"/>
        </w:numPr>
        <w:kinsoku/>
        <w:wordWrap/>
        <w:overflowPunct/>
        <w:topLinePunct w:val="0"/>
        <w:autoSpaceDE/>
        <w:autoSpaceDN/>
        <w:bidi w:val="0"/>
        <w:spacing w:before="0" w:after="0" w:afterAutospacing="0" w:line="360" w:lineRule="auto"/>
        <w:ind w:left="0" w:right="0" w:firstLine="420" w:firstLineChars="200"/>
        <w:jc w:val="both"/>
        <w:textAlignment w:val="auto"/>
        <w:rPr>
          <w:rFonts w:cs="宋体" w:asciiTheme="minorEastAsia" w:hAnsiTheme="minorEastAsia" w:eastAsiaTheme="minorEastAsia"/>
          <w:color w:val="auto"/>
          <w:sz w:val="21"/>
          <w:szCs w:val="21"/>
          <w:highlight w:val="none"/>
          <w:lang w:val="en-US" w:eastAsia="zh-CN" w:bidi="ar-SA"/>
        </w:rPr>
      </w:pPr>
      <w:bookmarkStart w:id="2233" w:name="_Toc31832_WPSOffice_Level3"/>
      <w:r>
        <w:rPr>
          <w:rFonts w:hint="eastAsia" w:cs="宋体" w:asciiTheme="minorEastAsia" w:hAnsiTheme="minorEastAsia" w:eastAsiaTheme="minorEastAsia"/>
          <w:color w:val="auto"/>
          <w:sz w:val="21"/>
          <w:szCs w:val="21"/>
          <w:highlight w:val="none"/>
          <w:lang w:val="en-US" w:eastAsia="zh-CN" w:bidi="ar-SA"/>
        </w:rPr>
        <w:t>设备及材料合格证、产地证明、检测报告、</w:t>
      </w:r>
      <w:r>
        <w:rPr>
          <w:rFonts w:cs="宋体" w:asciiTheme="minorEastAsia" w:hAnsiTheme="minorEastAsia" w:eastAsiaTheme="minorEastAsia"/>
          <w:color w:val="auto"/>
          <w:sz w:val="21"/>
          <w:szCs w:val="21"/>
          <w:highlight w:val="none"/>
          <w:lang w:val="en-US" w:eastAsia="zh-CN" w:bidi="ar-SA"/>
        </w:rPr>
        <w:t>安装维护手册</w:t>
      </w:r>
      <w:r>
        <w:rPr>
          <w:rFonts w:hint="eastAsia" w:cs="宋体" w:asciiTheme="minorEastAsia" w:hAnsiTheme="minorEastAsia" w:eastAsiaTheme="minorEastAsia"/>
          <w:color w:val="auto"/>
          <w:sz w:val="21"/>
          <w:szCs w:val="21"/>
          <w:highlight w:val="none"/>
          <w:lang w:val="en-US" w:eastAsia="zh-CN" w:bidi="ar-SA"/>
        </w:rPr>
        <w:t>等。</w:t>
      </w:r>
      <w:bookmarkEnd w:id="2233"/>
    </w:p>
    <w:p>
      <w:pPr>
        <w:keepNext w:val="0"/>
        <w:keepLines w:val="0"/>
        <w:pageBreakBefore w:val="0"/>
        <w:widowControl w:val="0"/>
        <w:numPr>
          <w:ilvl w:val="0"/>
          <w:numId w:val="60"/>
        </w:numPr>
        <w:kinsoku/>
        <w:wordWrap/>
        <w:overflowPunct/>
        <w:topLinePunct w:val="0"/>
        <w:autoSpaceDE/>
        <w:autoSpaceDN/>
        <w:bidi w:val="0"/>
        <w:spacing w:before="0" w:after="0" w:afterAutospacing="0" w:line="360" w:lineRule="auto"/>
        <w:ind w:left="0" w:right="0" w:firstLine="420" w:firstLineChars="200"/>
        <w:jc w:val="both"/>
        <w:textAlignment w:val="auto"/>
        <w:rPr>
          <w:rFonts w:hint="eastAsia" w:cs="宋体" w:asciiTheme="minorEastAsia" w:hAnsiTheme="minorEastAsia" w:eastAsiaTheme="minorEastAsia"/>
          <w:color w:val="auto"/>
          <w:sz w:val="21"/>
          <w:szCs w:val="21"/>
          <w:highlight w:val="none"/>
          <w:lang w:val="en-US" w:eastAsia="zh-CN" w:bidi="ar-SA"/>
        </w:rPr>
      </w:pPr>
      <w:bookmarkStart w:id="2234" w:name="_Toc30719_WPSOffice_Level3"/>
      <w:r>
        <w:rPr>
          <w:rFonts w:hint="eastAsia" w:cs="宋体" w:asciiTheme="minorEastAsia" w:hAnsiTheme="minorEastAsia" w:eastAsiaTheme="minorEastAsia"/>
          <w:color w:val="auto"/>
          <w:kern w:val="0"/>
          <w:sz w:val="21"/>
          <w:szCs w:val="21"/>
          <w:highlight w:val="none"/>
          <w:lang w:val="en-US" w:eastAsia="zh-CN" w:bidi="ar"/>
        </w:rPr>
        <w:t>涉及本项目有修改的所有应用软件的源代码。</w:t>
      </w:r>
      <w:bookmarkEnd w:id="2234"/>
    </w:p>
    <w:p>
      <w:pPr>
        <w:keepNext/>
        <w:keepLines/>
        <w:widowControl w:val="0"/>
        <w:numPr>
          <w:ilvl w:val="0"/>
          <w:numId w:val="26"/>
        </w:numPr>
        <w:spacing w:before="0" w:after="0" w:afterAutospacing="0" w:line="360" w:lineRule="auto"/>
        <w:ind w:left="0" w:right="0" w:firstLine="0"/>
        <w:jc w:val="left"/>
        <w:outlineLvl w:val="0"/>
        <w:rPr>
          <w:rFonts w:ascii="黑体" w:hAnsi="黑体" w:eastAsia="黑体" w:cs="宋体"/>
          <w:color w:val="auto"/>
          <w:kern w:val="44"/>
          <w:sz w:val="32"/>
          <w:szCs w:val="21"/>
          <w:highlight w:val="none"/>
          <w:lang w:val="en-US" w:eastAsia="zh-CN" w:bidi="ar-SA"/>
        </w:rPr>
      </w:pPr>
      <w:bookmarkStart w:id="2235" w:name="_Toc23954_WPSOffice_Level2"/>
      <w:bookmarkStart w:id="2236" w:name="_Toc14894_WPSOffice_Level1"/>
      <w:bookmarkStart w:id="2237" w:name="_Toc2417"/>
      <w:bookmarkStart w:id="2238" w:name="_Toc4934"/>
      <w:bookmarkStart w:id="2239" w:name="_Toc26839"/>
      <w:bookmarkStart w:id="2240" w:name="_Toc12541"/>
      <w:bookmarkStart w:id="2241" w:name="_Toc28492"/>
      <w:bookmarkStart w:id="2242" w:name="_Toc12235"/>
      <w:bookmarkStart w:id="2243" w:name="_Toc3831"/>
      <w:bookmarkStart w:id="2244" w:name="_Toc9250_WPSOffice_Level2"/>
      <w:bookmarkStart w:id="2245" w:name="_Toc6741"/>
      <w:r>
        <w:rPr>
          <w:rFonts w:hint="eastAsia" w:ascii="黑体" w:hAnsi="黑体" w:eastAsia="黑体" w:cs="宋体"/>
          <w:color w:val="auto"/>
          <w:kern w:val="44"/>
          <w:sz w:val="32"/>
          <w:szCs w:val="21"/>
          <w:highlight w:val="none"/>
          <w:lang w:val="en-US" w:eastAsia="zh-CN" w:bidi="ar-SA"/>
        </w:rPr>
        <w:t>附件</w:t>
      </w:r>
      <w:bookmarkEnd w:id="2235"/>
      <w:bookmarkEnd w:id="2236"/>
      <w:bookmarkEnd w:id="2237"/>
      <w:bookmarkEnd w:id="2238"/>
      <w:bookmarkEnd w:id="2239"/>
      <w:bookmarkEnd w:id="2240"/>
      <w:bookmarkEnd w:id="2241"/>
      <w:bookmarkEnd w:id="2242"/>
      <w:bookmarkEnd w:id="2243"/>
      <w:bookmarkEnd w:id="2244"/>
      <w:bookmarkEnd w:id="2245"/>
    </w:p>
    <w:p>
      <w:pPr>
        <w:widowControl w:val="0"/>
        <w:tabs>
          <w:tab w:val="left" w:pos="567"/>
        </w:tabs>
        <w:spacing w:before="0" w:after="0" w:afterAutospacing="0" w:line="360" w:lineRule="auto"/>
        <w:ind w:left="0" w:right="0" w:firstLine="420" w:firstLineChars="200"/>
        <w:jc w:val="left"/>
        <w:outlineLvl w:val="9"/>
        <w:rPr>
          <w:rFonts w:hint="eastAsia" w:cs="宋体" w:asciiTheme="minorEastAsia" w:hAnsiTheme="minorEastAsia" w:eastAsiaTheme="minorEastAsia"/>
          <w:color w:val="auto"/>
          <w:sz w:val="21"/>
          <w:szCs w:val="21"/>
          <w:highlight w:val="none"/>
          <w:lang w:val="zh-CN" w:eastAsia="zh-CN"/>
        </w:rPr>
      </w:pPr>
      <w:bookmarkStart w:id="2246" w:name="_Toc4588_WPSOffice_Level1"/>
      <w:bookmarkStart w:id="2247" w:name="_Toc11490_WPSOffice_Level2"/>
      <w:bookmarkStart w:id="2248" w:name="_Toc10401_WPSOffice_Level2"/>
      <w:r>
        <w:rPr>
          <w:rFonts w:hint="eastAsia" w:cs="宋体" w:asciiTheme="minorEastAsia" w:hAnsiTheme="minorEastAsia" w:eastAsiaTheme="minorEastAsia"/>
          <w:color w:val="auto"/>
          <w:sz w:val="21"/>
          <w:szCs w:val="21"/>
          <w:highlight w:val="none"/>
          <w:lang w:val="zh-CN" w:eastAsia="zh-CN"/>
        </w:rPr>
        <w:t>附件1.</w:t>
      </w:r>
      <w:r>
        <w:rPr>
          <w:rFonts w:hint="eastAsia" w:cs="宋体" w:asciiTheme="minorEastAsia" w:hAnsiTheme="minorEastAsia" w:eastAsiaTheme="minorEastAsia"/>
          <w:color w:val="auto"/>
          <w:sz w:val="21"/>
          <w:szCs w:val="21"/>
          <w:highlight w:val="none"/>
          <w:lang w:val="en-US" w:eastAsia="zh-CN"/>
        </w:rPr>
        <w:t>CCTV</w:t>
      </w:r>
      <w:r>
        <w:rPr>
          <w:rFonts w:hint="eastAsia" w:cs="宋体" w:asciiTheme="minorEastAsia" w:hAnsiTheme="minorEastAsia" w:eastAsiaTheme="minorEastAsia"/>
          <w:color w:val="auto"/>
          <w:sz w:val="21"/>
          <w:szCs w:val="21"/>
          <w:highlight w:val="none"/>
          <w:lang w:val="zh-CN" w:eastAsia="zh-CN"/>
        </w:rPr>
        <w:t>设备、材料、工程量清单</w:t>
      </w:r>
      <w:bookmarkEnd w:id="2246"/>
      <w:bookmarkEnd w:id="2247"/>
      <w:bookmarkEnd w:id="2248"/>
    </w:p>
    <w:p>
      <w:pPr>
        <w:widowControl w:val="0"/>
        <w:tabs>
          <w:tab w:val="left" w:pos="567"/>
        </w:tabs>
        <w:spacing w:before="0" w:after="0" w:afterAutospacing="0" w:line="360" w:lineRule="auto"/>
        <w:ind w:left="0" w:right="0" w:firstLine="420" w:firstLineChars="200"/>
        <w:jc w:val="left"/>
        <w:outlineLvl w:val="9"/>
        <w:rPr>
          <w:rFonts w:hint="eastAsia" w:cs="宋体" w:asciiTheme="minorEastAsia" w:hAnsiTheme="minorEastAsia" w:eastAsiaTheme="minorEastAsia"/>
          <w:color w:val="auto"/>
          <w:sz w:val="21"/>
          <w:szCs w:val="21"/>
          <w:highlight w:val="none"/>
          <w:lang w:val="en-US" w:eastAsia="zh-CN"/>
        </w:rPr>
      </w:pPr>
      <w:bookmarkStart w:id="2249" w:name="_Toc3889_WPSOffice_Level1"/>
      <w:bookmarkStart w:id="2250" w:name="_Toc81_WPSOffice_Level2"/>
      <w:bookmarkStart w:id="2251" w:name="_Toc12715_WPSOffice_Level2"/>
      <w:r>
        <w:rPr>
          <w:rFonts w:hint="eastAsia" w:cs="宋体" w:asciiTheme="minorEastAsia" w:hAnsiTheme="minorEastAsia" w:eastAsiaTheme="minorEastAsia"/>
          <w:color w:val="auto"/>
          <w:sz w:val="21"/>
          <w:szCs w:val="21"/>
          <w:highlight w:val="none"/>
          <w:lang w:val="en-US" w:eastAsia="zh-CN"/>
        </w:rPr>
        <w:t>附件2.项目评价表</w:t>
      </w:r>
      <w:bookmarkEnd w:id="2249"/>
      <w:bookmarkEnd w:id="2250"/>
      <w:bookmarkEnd w:id="2251"/>
    </w:p>
    <w:p>
      <w:pPr>
        <w:widowControl w:val="0"/>
        <w:tabs>
          <w:tab w:val="left" w:pos="567"/>
        </w:tabs>
        <w:spacing w:before="0" w:after="0" w:afterAutospacing="0" w:line="360" w:lineRule="auto"/>
        <w:ind w:left="0" w:right="0" w:firstLine="420" w:firstLineChars="200"/>
        <w:jc w:val="left"/>
        <w:outlineLvl w:val="9"/>
        <w:rPr>
          <w:rFonts w:hint="eastAsia" w:cs="宋体" w:asciiTheme="minorEastAsia" w:hAnsiTheme="minorEastAsia" w:eastAsiaTheme="minorEastAsia"/>
          <w:color w:val="auto"/>
          <w:sz w:val="21"/>
          <w:szCs w:val="21"/>
          <w:highlight w:val="none"/>
          <w:lang w:val="zh-CN"/>
        </w:rPr>
      </w:pPr>
      <w:bookmarkStart w:id="2252" w:name="_Toc19736_WPSOffice_Level2"/>
      <w:bookmarkStart w:id="2253" w:name="_Toc19173_WPSOffice_Level2"/>
      <w:bookmarkStart w:id="2254" w:name="_Toc5846_WPSOffice_Level1"/>
      <w:r>
        <w:rPr>
          <w:rFonts w:hint="eastAsia" w:cs="宋体" w:asciiTheme="minorEastAsia" w:hAnsiTheme="minorEastAsia" w:eastAsiaTheme="minorEastAsia"/>
          <w:color w:val="auto"/>
          <w:sz w:val="21"/>
          <w:szCs w:val="21"/>
          <w:highlight w:val="none"/>
          <w:lang w:val="zh-CN"/>
        </w:rPr>
        <w:t>附件</w:t>
      </w:r>
      <w:r>
        <w:rPr>
          <w:rFonts w:hint="eastAsia" w:cs="宋体" w:asciiTheme="minorEastAsia" w:hAnsiTheme="minorEastAsia" w:eastAsiaTheme="minorEastAsia"/>
          <w:color w:val="auto"/>
          <w:sz w:val="21"/>
          <w:szCs w:val="21"/>
          <w:highlight w:val="none"/>
          <w:lang w:val="en-US" w:eastAsia="zh-CN"/>
        </w:rPr>
        <w:t>3.</w:t>
      </w:r>
      <w:r>
        <w:rPr>
          <w:rFonts w:hint="eastAsia" w:cs="宋体" w:asciiTheme="minorEastAsia" w:hAnsiTheme="minorEastAsia" w:eastAsiaTheme="minorEastAsia"/>
          <w:color w:val="auto"/>
          <w:sz w:val="21"/>
          <w:szCs w:val="21"/>
          <w:highlight w:val="none"/>
          <w:lang w:val="zh-CN"/>
        </w:rPr>
        <w:t>合同违约</w:t>
      </w:r>
      <w:r>
        <w:rPr>
          <w:rFonts w:hint="eastAsia" w:cs="宋体" w:asciiTheme="minorEastAsia" w:hAnsiTheme="minorEastAsia" w:eastAsiaTheme="minorEastAsia"/>
          <w:color w:val="auto"/>
          <w:sz w:val="21"/>
          <w:szCs w:val="21"/>
          <w:highlight w:val="none"/>
          <w:lang w:val="en-US" w:eastAsia="zh-CN"/>
        </w:rPr>
        <w:t>处理</w:t>
      </w:r>
      <w:r>
        <w:rPr>
          <w:rFonts w:hint="eastAsia" w:cs="宋体" w:asciiTheme="minorEastAsia" w:hAnsiTheme="minorEastAsia" w:eastAsiaTheme="minorEastAsia"/>
          <w:color w:val="auto"/>
          <w:sz w:val="21"/>
          <w:szCs w:val="21"/>
          <w:highlight w:val="none"/>
          <w:lang w:val="zh-CN"/>
        </w:rPr>
        <w:t>通知单</w:t>
      </w:r>
      <w:bookmarkEnd w:id="2252"/>
      <w:bookmarkEnd w:id="2253"/>
      <w:bookmarkEnd w:id="2254"/>
    </w:p>
    <w:p>
      <w:pPr>
        <w:widowControl w:val="0"/>
        <w:tabs>
          <w:tab w:val="left" w:pos="567"/>
        </w:tabs>
        <w:spacing w:before="0" w:after="0" w:afterAutospacing="0" w:line="360" w:lineRule="auto"/>
        <w:ind w:left="0" w:right="0" w:firstLine="420" w:firstLineChars="200"/>
        <w:jc w:val="left"/>
        <w:outlineLvl w:val="9"/>
        <w:rPr>
          <w:rFonts w:hint="eastAsia" w:cs="宋体" w:asciiTheme="minorEastAsia" w:hAnsiTheme="minorEastAsia" w:eastAsiaTheme="minorEastAsia"/>
          <w:color w:val="auto"/>
          <w:sz w:val="21"/>
          <w:szCs w:val="21"/>
          <w:highlight w:val="none"/>
          <w:lang w:val="zh-CN"/>
        </w:rPr>
      </w:pPr>
      <w:bookmarkStart w:id="2255" w:name="_Toc6843_WPSOffice_Level1"/>
      <w:bookmarkStart w:id="2256" w:name="_Toc14247_WPSOffice_Level2"/>
      <w:bookmarkStart w:id="2257" w:name="_Toc12972_WPSOffice_Level2"/>
      <w:r>
        <w:rPr>
          <w:rFonts w:hint="eastAsia" w:cs="宋体" w:asciiTheme="minorEastAsia" w:hAnsiTheme="minorEastAsia" w:eastAsiaTheme="minorEastAsia"/>
          <w:color w:val="auto"/>
          <w:sz w:val="21"/>
          <w:szCs w:val="21"/>
          <w:highlight w:val="none"/>
          <w:lang w:val="zh-CN"/>
        </w:rPr>
        <w:t>附件</w:t>
      </w:r>
      <w:r>
        <w:rPr>
          <w:rFonts w:hint="eastAsia" w:cs="宋体" w:asciiTheme="minorEastAsia" w:hAnsiTheme="minorEastAsia" w:eastAsiaTheme="minorEastAsia"/>
          <w:color w:val="auto"/>
          <w:sz w:val="21"/>
          <w:szCs w:val="21"/>
          <w:highlight w:val="none"/>
          <w:lang w:val="en-US" w:eastAsia="zh-CN"/>
        </w:rPr>
        <w:t>4.安装质量验收</w:t>
      </w:r>
      <w:r>
        <w:rPr>
          <w:rFonts w:hint="eastAsia" w:cs="宋体" w:asciiTheme="minorEastAsia" w:hAnsiTheme="minorEastAsia" w:eastAsiaTheme="minorEastAsia"/>
          <w:color w:val="auto"/>
          <w:sz w:val="21"/>
          <w:szCs w:val="21"/>
          <w:highlight w:val="none"/>
          <w:lang w:val="zh-CN"/>
        </w:rPr>
        <w:t>验收单</w:t>
      </w:r>
      <w:bookmarkEnd w:id="2255"/>
      <w:bookmarkEnd w:id="2256"/>
      <w:bookmarkEnd w:id="2257"/>
    </w:p>
    <w:p>
      <w:pPr>
        <w:widowControl w:val="0"/>
        <w:tabs>
          <w:tab w:val="left" w:pos="567"/>
        </w:tabs>
        <w:spacing w:before="0" w:after="0" w:afterAutospacing="0" w:line="360" w:lineRule="auto"/>
        <w:ind w:left="0" w:right="0" w:firstLine="420" w:firstLineChars="200"/>
        <w:jc w:val="left"/>
        <w:outlineLvl w:val="9"/>
        <w:rPr>
          <w:rFonts w:hint="eastAsia" w:cs="宋体" w:asciiTheme="minorEastAsia" w:hAnsiTheme="minorEastAsia" w:eastAsiaTheme="minorEastAsia"/>
          <w:color w:val="auto"/>
          <w:sz w:val="21"/>
          <w:szCs w:val="21"/>
          <w:highlight w:val="none"/>
          <w:lang w:val="zh-CN"/>
        </w:rPr>
      </w:pPr>
      <w:bookmarkStart w:id="2258" w:name="_Toc12161_WPSOffice_Level2"/>
      <w:bookmarkStart w:id="2259" w:name="_Toc13061_WPSOffice_Level1"/>
      <w:bookmarkStart w:id="2260" w:name="_Toc21223_WPSOffice_Level2"/>
      <w:r>
        <w:rPr>
          <w:rFonts w:hint="eastAsia" w:cs="宋体" w:asciiTheme="minorEastAsia" w:hAnsiTheme="minorEastAsia" w:eastAsiaTheme="minorEastAsia"/>
          <w:color w:val="auto"/>
          <w:sz w:val="21"/>
          <w:szCs w:val="21"/>
          <w:highlight w:val="none"/>
          <w:lang w:val="zh-CN"/>
        </w:rPr>
        <w:t>附件</w:t>
      </w:r>
      <w:r>
        <w:rPr>
          <w:rFonts w:hint="eastAsia" w:cs="宋体" w:asciiTheme="minorEastAsia" w:hAnsiTheme="minorEastAsia" w:eastAsiaTheme="minorEastAsia"/>
          <w:color w:val="auto"/>
          <w:sz w:val="21"/>
          <w:szCs w:val="21"/>
          <w:highlight w:val="none"/>
          <w:lang w:val="en-US" w:eastAsia="zh-CN"/>
        </w:rPr>
        <w:t>5.功能</w:t>
      </w:r>
      <w:r>
        <w:rPr>
          <w:rFonts w:hint="eastAsia" w:cs="宋体" w:asciiTheme="minorEastAsia" w:hAnsiTheme="minorEastAsia" w:eastAsiaTheme="minorEastAsia"/>
          <w:color w:val="auto"/>
          <w:sz w:val="21"/>
          <w:szCs w:val="21"/>
          <w:highlight w:val="none"/>
          <w:lang w:val="zh-CN"/>
        </w:rPr>
        <w:t>验收单</w:t>
      </w:r>
      <w:bookmarkEnd w:id="2258"/>
      <w:bookmarkEnd w:id="2259"/>
      <w:bookmarkEnd w:id="2260"/>
    </w:p>
    <w:p>
      <w:pPr>
        <w:widowControl w:val="0"/>
        <w:tabs>
          <w:tab w:val="left" w:pos="567"/>
        </w:tabs>
        <w:spacing w:before="0" w:after="0" w:afterAutospacing="0" w:line="360" w:lineRule="auto"/>
        <w:ind w:left="0" w:right="0" w:firstLine="0"/>
        <w:jc w:val="left"/>
        <w:outlineLvl w:val="9"/>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br w:type="page"/>
      </w:r>
    </w:p>
    <w:p>
      <w:pPr>
        <w:keepNext/>
        <w:keepLines/>
        <w:widowControl w:val="0"/>
        <w:numPr>
          <w:ilvl w:val="0"/>
          <w:numId w:val="0"/>
        </w:numPr>
        <w:spacing w:before="0" w:after="0" w:afterAutospacing="0" w:line="360" w:lineRule="auto"/>
        <w:ind w:left="0" w:right="0" w:firstLine="0"/>
        <w:jc w:val="left"/>
        <w:outlineLvl w:val="0"/>
        <w:rPr>
          <w:rFonts w:hint="eastAsia" w:cs="黑体" w:asciiTheme="minorEastAsia" w:hAnsiTheme="minorEastAsia" w:eastAsiaTheme="minorEastAsia"/>
          <w:color w:val="auto"/>
          <w:kern w:val="2"/>
          <w:sz w:val="21"/>
          <w:szCs w:val="21"/>
          <w:highlight w:val="none"/>
          <w:lang w:val="en-US" w:eastAsia="zh-CN" w:bidi="ar-SA"/>
        </w:rPr>
      </w:pPr>
      <w:bookmarkStart w:id="2261" w:name="_Toc13524"/>
      <w:bookmarkStart w:id="2262" w:name="_Toc26341"/>
      <w:bookmarkStart w:id="2263" w:name="_Toc24812_WPSOffice_Level1"/>
      <w:bookmarkStart w:id="2264" w:name="_Toc32"/>
      <w:bookmarkStart w:id="2265" w:name="_Toc32419"/>
      <w:bookmarkStart w:id="2266" w:name="_Toc15484_WPSOffice_Level2"/>
      <w:bookmarkStart w:id="2267" w:name="_Toc31754_WPSOffice_Level2"/>
      <w:bookmarkStart w:id="2268" w:name="_Toc12982"/>
      <w:bookmarkStart w:id="2269" w:name="_Toc8505"/>
      <w:bookmarkStart w:id="2270" w:name="_Toc26947"/>
      <w:bookmarkStart w:id="2271" w:name="_Toc23867"/>
      <w:bookmarkStart w:id="2272" w:name="_Toc28124"/>
      <w:r>
        <w:rPr>
          <w:rFonts w:hint="eastAsia" w:cs="黑体" w:asciiTheme="minorEastAsia" w:hAnsiTheme="minorEastAsia" w:eastAsiaTheme="minorEastAsia"/>
          <w:color w:val="auto"/>
          <w:kern w:val="2"/>
          <w:sz w:val="21"/>
          <w:szCs w:val="21"/>
          <w:highlight w:val="none"/>
          <w:lang w:val="en-US" w:eastAsia="zh-CN" w:bidi="ar-SA"/>
        </w:rPr>
        <w:t>附件1.CCTV设备、材料、工程量清单</w:t>
      </w:r>
      <w:bookmarkEnd w:id="2261"/>
      <w:bookmarkEnd w:id="2262"/>
      <w:bookmarkEnd w:id="2263"/>
      <w:bookmarkEnd w:id="2264"/>
      <w:bookmarkEnd w:id="2265"/>
      <w:bookmarkEnd w:id="2266"/>
      <w:bookmarkEnd w:id="2267"/>
      <w:bookmarkEnd w:id="2268"/>
      <w:bookmarkEnd w:id="2269"/>
      <w:bookmarkEnd w:id="2270"/>
      <w:bookmarkEnd w:id="2271"/>
      <w:bookmarkEnd w:id="2272"/>
    </w:p>
    <w:tbl>
      <w:tblPr>
        <w:tblStyle w:val="31"/>
        <w:tblW w:w="8329" w:type="dxa"/>
        <w:jc w:val="center"/>
        <w:tblInd w:w="0" w:type="dxa"/>
        <w:shd w:val="clear" w:color="auto" w:fill="auto"/>
        <w:tblLayout w:type="fixed"/>
        <w:tblCellMar>
          <w:top w:w="0" w:type="dxa"/>
          <w:left w:w="0" w:type="dxa"/>
          <w:bottom w:w="0" w:type="dxa"/>
          <w:right w:w="0" w:type="dxa"/>
        </w:tblCellMar>
      </w:tblPr>
      <w:tblGrid>
        <w:gridCol w:w="211"/>
        <w:gridCol w:w="1777"/>
        <w:gridCol w:w="402"/>
        <w:gridCol w:w="1273"/>
        <w:gridCol w:w="313"/>
        <w:gridCol w:w="476"/>
        <w:gridCol w:w="462"/>
        <w:gridCol w:w="555"/>
        <w:gridCol w:w="556"/>
        <w:gridCol w:w="555"/>
        <w:gridCol w:w="529"/>
        <w:gridCol w:w="1220"/>
      </w:tblGrid>
      <w:tr>
        <w:tblPrEx>
          <w:tblLayout w:type="fixed"/>
          <w:tblCellMar>
            <w:top w:w="0" w:type="dxa"/>
            <w:left w:w="0" w:type="dxa"/>
            <w:bottom w:w="0" w:type="dxa"/>
            <w:right w:w="0" w:type="dxa"/>
          </w:tblCellMar>
        </w:tblPrEx>
        <w:trPr>
          <w:trHeight w:val="321" w:hRule="atLeast"/>
          <w:jc w:val="center"/>
        </w:trPr>
        <w:tc>
          <w:tcPr>
            <w:tcW w:w="21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序号</w:t>
            </w:r>
          </w:p>
        </w:tc>
        <w:tc>
          <w:tcPr>
            <w:tcW w:w="177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项目名称</w:t>
            </w:r>
          </w:p>
        </w:tc>
        <w:tc>
          <w:tcPr>
            <w:tcW w:w="40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品牌</w:t>
            </w:r>
          </w:p>
        </w:tc>
        <w:tc>
          <w:tcPr>
            <w:tcW w:w="127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规格型号</w:t>
            </w:r>
          </w:p>
        </w:tc>
        <w:tc>
          <w:tcPr>
            <w:tcW w:w="31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单位</w:t>
            </w:r>
          </w:p>
        </w:tc>
        <w:tc>
          <w:tcPr>
            <w:tcW w:w="260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b/>
                <w:i w:val="0"/>
                <w:color w:val="auto"/>
                <w:kern w:val="0"/>
                <w:sz w:val="20"/>
                <w:szCs w:val="20"/>
                <w:highlight w:val="none"/>
                <w:u w:val="none"/>
                <w:lang w:val="en-US" w:eastAsia="zh-CN" w:bidi="ar"/>
              </w:rPr>
            </w:pPr>
            <w:r>
              <w:rPr>
                <w:rFonts w:hint="eastAsia" w:ascii="宋体" w:hAnsi="宋体" w:cs="宋体"/>
                <w:b/>
                <w:i w:val="0"/>
                <w:color w:val="auto"/>
                <w:kern w:val="0"/>
                <w:sz w:val="20"/>
                <w:szCs w:val="20"/>
                <w:highlight w:val="none"/>
                <w:u w:val="none"/>
                <w:lang w:val="en-US" w:eastAsia="zh-CN" w:bidi="ar"/>
              </w:rPr>
              <w:t>数量</w:t>
            </w:r>
          </w:p>
        </w:tc>
        <w:tc>
          <w:tcPr>
            <w:tcW w:w="5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i w:val="0"/>
                <w:color w:val="auto"/>
                <w:sz w:val="20"/>
                <w:szCs w:val="20"/>
                <w:highlight w:val="none"/>
                <w:u w:val="none"/>
              </w:rPr>
            </w:pPr>
            <w:r>
              <w:rPr>
                <w:rFonts w:hint="eastAsia" w:ascii="宋体" w:hAnsi="宋体" w:cs="宋体"/>
                <w:b/>
                <w:i w:val="0"/>
                <w:color w:val="auto"/>
                <w:kern w:val="0"/>
                <w:sz w:val="20"/>
                <w:szCs w:val="20"/>
                <w:highlight w:val="none"/>
                <w:u w:val="none"/>
                <w:lang w:val="en-US" w:eastAsia="zh-CN" w:bidi="ar"/>
              </w:rPr>
              <w:t>合计</w:t>
            </w:r>
            <w:r>
              <w:rPr>
                <w:rFonts w:hint="eastAsia" w:ascii="宋体" w:hAnsi="宋体" w:eastAsia="宋体" w:cs="宋体"/>
                <w:b/>
                <w:i w:val="0"/>
                <w:color w:val="auto"/>
                <w:kern w:val="0"/>
                <w:sz w:val="20"/>
                <w:szCs w:val="20"/>
                <w:highlight w:val="none"/>
                <w:u w:val="none"/>
                <w:lang w:val="en-US" w:eastAsia="zh-CN" w:bidi="ar"/>
              </w:rPr>
              <w:t>数量</w:t>
            </w:r>
          </w:p>
        </w:tc>
        <w:tc>
          <w:tcPr>
            <w:tcW w:w="12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备注</w:t>
            </w:r>
          </w:p>
        </w:tc>
      </w:tr>
      <w:tr>
        <w:tblPrEx>
          <w:tblLayout w:type="fixed"/>
          <w:tblCellMar>
            <w:top w:w="0" w:type="dxa"/>
            <w:left w:w="0" w:type="dxa"/>
            <w:bottom w:w="0" w:type="dxa"/>
            <w:right w:w="0" w:type="dxa"/>
          </w:tblCellMar>
        </w:tblPrEx>
        <w:trPr>
          <w:trHeight w:val="321" w:hRule="atLeast"/>
          <w:jc w:val="center"/>
        </w:trPr>
        <w:tc>
          <w:tcPr>
            <w:tcW w:w="21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sz w:val="20"/>
                <w:szCs w:val="20"/>
                <w:highlight w:val="none"/>
              </w:rPr>
            </w:pPr>
          </w:p>
        </w:tc>
        <w:tc>
          <w:tcPr>
            <w:tcW w:w="177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sz w:val="20"/>
                <w:szCs w:val="20"/>
                <w:highlight w:val="none"/>
              </w:rPr>
            </w:pPr>
          </w:p>
        </w:tc>
        <w:tc>
          <w:tcPr>
            <w:tcW w:w="40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sz w:val="20"/>
                <w:szCs w:val="20"/>
                <w:highlight w:val="none"/>
              </w:rPr>
            </w:pPr>
          </w:p>
        </w:tc>
        <w:tc>
          <w:tcPr>
            <w:tcW w:w="127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sz w:val="20"/>
                <w:szCs w:val="20"/>
                <w:highlight w:val="none"/>
              </w:rPr>
            </w:pPr>
          </w:p>
        </w:tc>
        <w:tc>
          <w:tcPr>
            <w:tcW w:w="31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sz w:val="20"/>
                <w:szCs w:val="20"/>
                <w:highlight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1号线</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2号线</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3号线</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4号线</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000000"/>
                <w:kern w:val="0"/>
                <w:sz w:val="20"/>
                <w:szCs w:val="20"/>
                <w:highlight w:val="none"/>
                <w:u w:val="none"/>
                <w:lang w:val="en-US" w:eastAsia="zh-CN" w:bidi="ar"/>
              </w:rPr>
              <w:t>5号线</w:t>
            </w:r>
          </w:p>
        </w:tc>
        <w:tc>
          <w:tcPr>
            <w:tcW w:w="52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i w:val="0"/>
                <w:color w:val="auto"/>
                <w:kern w:val="0"/>
                <w:sz w:val="20"/>
                <w:szCs w:val="20"/>
                <w:highlight w:val="none"/>
                <w:u w:val="none"/>
                <w:lang w:val="en-US" w:eastAsia="zh-CN" w:bidi="ar"/>
              </w:rPr>
            </w:pPr>
          </w:p>
        </w:tc>
        <w:tc>
          <w:tcPr>
            <w:tcW w:w="12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b/>
                <w:i w:val="0"/>
                <w:color w:val="auto"/>
                <w:kern w:val="0"/>
                <w:sz w:val="20"/>
                <w:szCs w:val="20"/>
                <w:highlight w:val="none"/>
                <w:u w:val="none"/>
                <w:lang w:val="en-US" w:eastAsia="zh-CN" w:bidi="ar"/>
              </w:rPr>
            </w:pPr>
          </w:p>
        </w:tc>
      </w:tr>
      <w:tr>
        <w:tblPrEx>
          <w:tblLayout w:type="fixed"/>
          <w:tblCellMar>
            <w:top w:w="0" w:type="dxa"/>
            <w:left w:w="0" w:type="dxa"/>
            <w:bottom w:w="0" w:type="dxa"/>
            <w:right w:w="0" w:type="dxa"/>
          </w:tblCellMar>
        </w:tblPrEx>
        <w:trPr>
          <w:trHeight w:val="817"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枪型摄像机(室外型星光级高清)</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宇视</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HIC2521HX22-LIR-U</w:t>
            </w:r>
            <w:r>
              <w:rPr>
                <w:rFonts w:hint="eastAsia" w:ascii="宋体" w:hAnsi="宋体" w:cs="宋体"/>
                <w:i w:val="0"/>
                <w:color w:val="000000"/>
                <w:kern w:val="0"/>
                <w:sz w:val="20"/>
                <w:szCs w:val="20"/>
                <w:highlight w:val="none"/>
                <w:u w:val="none"/>
                <w:lang w:val="en-US" w:eastAsia="zh-CN" w:bidi="ar"/>
              </w:rPr>
              <w:t>（参考型号）</w:t>
            </w: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设备含光圈、镜头、防护罩、32G内存卡</w:t>
            </w:r>
          </w:p>
        </w:tc>
      </w:tr>
      <w:tr>
        <w:tblPrEx>
          <w:tblLayout w:type="fixed"/>
          <w:tblCellMar>
            <w:top w:w="0" w:type="dxa"/>
            <w:left w:w="0" w:type="dxa"/>
            <w:bottom w:w="0" w:type="dxa"/>
            <w:right w:w="0" w:type="dxa"/>
          </w:tblCellMar>
        </w:tblPrEx>
        <w:trPr>
          <w:trHeight w:val="817"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枪型摄像机(室外型星光级高清)</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霍尼韦尔</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HICC-F200</w:t>
            </w:r>
            <w:r>
              <w:rPr>
                <w:rFonts w:hint="eastAsia" w:ascii="宋体" w:hAnsi="宋体" w:cs="宋体"/>
                <w:i w:val="0"/>
                <w:color w:val="000000"/>
                <w:kern w:val="0"/>
                <w:sz w:val="20"/>
                <w:szCs w:val="20"/>
                <w:highlight w:val="none"/>
                <w:u w:val="none"/>
                <w:lang w:val="en-US" w:eastAsia="zh-CN" w:bidi="ar"/>
              </w:rPr>
              <w:t>（参考型号）</w:t>
            </w: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设备含光圈、镜头、防护罩、32G内存卡</w:t>
            </w:r>
          </w:p>
        </w:tc>
      </w:tr>
      <w:tr>
        <w:tblPrEx>
          <w:tblLayout w:type="fixed"/>
          <w:tblCellMar>
            <w:top w:w="0" w:type="dxa"/>
            <w:left w:w="0" w:type="dxa"/>
            <w:bottom w:w="0" w:type="dxa"/>
            <w:right w:w="0" w:type="dxa"/>
          </w:tblCellMar>
        </w:tblPrEx>
        <w:trPr>
          <w:trHeight w:val="817"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球型一体化高清数字摄像机</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霍尼韦尔</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HIC6622-IR@H-X22-L</w:t>
            </w:r>
            <w:r>
              <w:rPr>
                <w:rFonts w:hint="eastAsia" w:ascii="宋体" w:hAnsi="宋体" w:cs="宋体"/>
                <w:i w:val="0"/>
                <w:color w:val="000000"/>
                <w:kern w:val="0"/>
                <w:sz w:val="20"/>
                <w:szCs w:val="20"/>
                <w:highlight w:val="none"/>
                <w:u w:val="none"/>
                <w:lang w:val="en-US" w:eastAsia="zh-CN" w:bidi="ar"/>
              </w:rPr>
              <w:t>（参考型号）</w:t>
            </w: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集摄像机、镜头、解码器、云台、吊杆于一体</w:t>
            </w:r>
          </w:p>
        </w:tc>
      </w:tr>
      <w:tr>
        <w:tblPrEx>
          <w:tblLayout w:type="fixed"/>
          <w:tblCellMar>
            <w:top w:w="0" w:type="dxa"/>
            <w:left w:w="0" w:type="dxa"/>
            <w:bottom w:w="0" w:type="dxa"/>
            <w:right w:w="0" w:type="dxa"/>
          </w:tblCellMar>
        </w:tblPrEx>
        <w:trPr>
          <w:trHeight w:val="817"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球型一体化高清数字摄像机</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宇视</w:t>
            </w: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HISD-2201WE-IR</w:t>
            </w:r>
            <w:r>
              <w:rPr>
                <w:rFonts w:hint="eastAsia" w:ascii="宋体" w:hAnsi="宋体" w:cs="宋体"/>
                <w:i w:val="0"/>
                <w:color w:val="000000"/>
                <w:kern w:val="0"/>
                <w:sz w:val="20"/>
                <w:szCs w:val="20"/>
                <w:highlight w:val="none"/>
                <w:u w:val="none"/>
                <w:lang w:val="en-US" w:eastAsia="zh-CN" w:bidi="ar"/>
              </w:rPr>
              <w:t>（参考型号）</w:t>
            </w: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集摄像机、镜头、解码器、云台、吊杆于一体</w:t>
            </w:r>
          </w:p>
        </w:tc>
      </w:tr>
      <w:tr>
        <w:tblPrEx>
          <w:tblLayout w:type="fixed"/>
          <w:tblCellMar>
            <w:top w:w="0" w:type="dxa"/>
            <w:left w:w="0" w:type="dxa"/>
            <w:bottom w:w="0" w:type="dxa"/>
            <w:right w:w="0" w:type="dxa"/>
          </w:tblCellMar>
        </w:tblPrEx>
        <w:trPr>
          <w:trHeight w:val="353"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光纤收发器</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Layout w:type="fixed"/>
          <w:tblCellMar>
            <w:top w:w="0" w:type="dxa"/>
            <w:left w:w="0" w:type="dxa"/>
            <w:bottom w:w="0" w:type="dxa"/>
            <w:right w:w="0" w:type="dxa"/>
          </w:tblCellMar>
        </w:tblPrEx>
        <w:trPr>
          <w:trHeight w:val="403"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光模块</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Layout w:type="fixed"/>
          <w:tblCellMar>
            <w:top w:w="0" w:type="dxa"/>
            <w:left w:w="0" w:type="dxa"/>
            <w:bottom w:w="0" w:type="dxa"/>
            <w:right w:w="0" w:type="dxa"/>
          </w:tblCellMar>
        </w:tblPrEx>
        <w:trPr>
          <w:trHeight w:val="410"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4芯光缆终端盒</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个</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20</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Layout w:type="fixed"/>
          <w:tblCellMar>
            <w:top w:w="0" w:type="dxa"/>
            <w:left w:w="0" w:type="dxa"/>
            <w:bottom w:w="0" w:type="dxa"/>
            <w:right w:w="0" w:type="dxa"/>
          </w:tblCellMar>
        </w:tblPrEx>
        <w:trPr>
          <w:trHeight w:val="272"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球机立杆（含底座基础施工材料、防雷接地）</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Layout w:type="fixed"/>
          <w:tblCellMar>
            <w:top w:w="0" w:type="dxa"/>
            <w:left w:w="0" w:type="dxa"/>
            <w:bottom w:w="0" w:type="dxa"/>
            <w:right w:w="0" w:type="dxa"/>
          </w:tblCellMar>
        </w:tblPrEx>
        <w:trPr>
          <w:trHeight w:val="316"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枪机定制壁挂安装支架</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Layout w:type="fixed"/>
          <w:tblCellMar>
            <w:top w:w="0" w:type="dxa"/>
            <w:left w:w="0" w:type="dxa"/>
            <w:bottom w:w="0" w:type="dxa"/>
            <w:right w:w="0" w:type="dxa"/>
          </w:tblCellMar>
        </w:tblPrEx>
        <w:trPr>
          <w:trHeight w:val="293"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区间摄像机配线箱（含空开、</w:t>
            </w:r>
            <w:r>
              <w:rPr>
                <w:rFonts w:hint="eastAsia" w:ascii="宋体" w:hAnsi="宋体" w:cs="宋体"/>
                <w:i w:val="0"/>
                <w:color w:val="000000"/>
                <w:kern w:val="0"/>
                <w:sz w:val="20"/>
                <w:szCs w:val="20"/>
                <w:highlight w:val="none"/>
                <w:u w:val="none"/>
                <w:lang w:val="en-US" w:eastAsia="zh-CN" w:bidi="ar"/>
              </w:rPr>
              <w:t>开关电源</w:t>
            </w:r>
            <w:r>
              <w:rPr>
                <w:rFonts w:hint="eastAsia" w:ascii="宋体" w:hAnsi="宋体" w:eastAsia="宋体" w:cs="宋体"/>
                <w:i w:val="0"/>
                <w:color w:val="000000"/>
                <w:kern w:val="0"/>
                <w:sz w:val="20"/>
                <w:szCs w:val="20"/>
                <w:highlight w:val="none"/>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Layout w:type="fixed"/>
          <w:tblCellMar>
            <w:top w:w="0" w:type="dxa"/>
            <w:left w:w="0" w:type="dxa"/>
            <w:bottom w:w="0" w:type="dxa"/>
            <w:right w:w="0" w:type="dxa"/>
          </w:tblCellMar>
        </w:tblPrEx>
        <w:trPr>
          <w:trHeight w:val="340"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numPr>
                <w:ilvl w:val="0"/>
                <w:numId w:val="61"/>
              </w:numPr>
              <w:spacing w:before="0" w:after="0" w:afterAutospacing="0" w:line="240" w:lineRule="auto"/>
              <w:ind w:left="425" w:leftChars="0" w:right="0" w:hanging="425" w:firstLineChars="0"/>
              <w:jc w:val="center"/>
              <w:rPr>
                <w:rFonts w:hint="eastAsia" w:ascii="宋体" w:hAnsi="宋体" w:eastAsia="宋体" w:cs="宋体"/>
                <w:b w:val="0"/>
                <w:bCs/>
                <w:i w:val="0"/>
                <w:color w:val="auto"/>
                <w:sz w:val="20"/>
                <w:szCs w:val="20"/>
                <w:highlight w:val="none"/>
                <w:u w:val="none"/>
                <w:lang w:val="en-US" w:eastAsia="zh-CN"/>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球机配线箱（含空开、</w:t>
            </w:r>
            <w:r>
              <w:rPr>
                <w:rFonts w:hint="eastAsia" w:ascii="宋体" w:hAnsi="宋体" w:cs="宋体"/>
                <w:i w:val="0"/>
                <w:color w:val="000000"/>
                <w:kern w:val="0"/>
                <w:sz w:val="20"/>
                <w:szCs w:val="20"/>
                <w:highlight w:val="none"/>
                <w:u w:val="none"/>
                <w:lang w:val="en-US" w:eastAsia="zh-CN" w:bidi="ar"/>
              </w:rPr>
              <w:t>开关电源</w:t>
            </w:r>
            <w:r>
              <w:rPr>
                <w:rFonts w:hint="eastAsia" w:ascii="宋体" w:hAnsi="宋体" w:eastAsia="宋体" w:cs="宋体"/>
                <w:i w:val="0"/>
                <w:color w:val="000000"/>
                <w:kern w:val="0"/>
                <w:sz w:val="20"/>
                <w:szCs w:val="20"/>
                <w:highlight w:val="none"/>
                <w:u w:val="none"/>
                <w:lang w:val="en-US" w:eastAsia="zh-CN" w:bidi="ar"/>
              </w:rPr>
              <w:t>）</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套</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Layout w:type="fixed"/>
          <w:tblCellMar>
            <w:top w:w="0" w:type="dxa"/>
            <w:left w:w="0" w:type="dxa"/>
            <w:bottom w:w="0" w:type="dxa"/>
            <w:right w:w="0" w:type="dxa"/>
          </w:tblCellMar>
        </w:tblPrEx>
        <w:trPr>
          <w:trHeight w:val="240"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1"/>
              </w:numPr>
              <w:suppressLineNumbers w:val="0"/>
              <w:spacing w:before="0" w:after="0" w:afterAutospacing="0" w:line="240" w:lineRule="auto"/>
              <w:ind w:left="425" w:leftChars="0" w:right="0" w:hanging="425"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LC尾纤-1M</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根</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80</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Layout w:type="fixed"/>
          <w:tblCellMar>
            <w:top w:w="0" w:type="dxa"/>
            <w:left w:w="0" w:type="dxa"/>
            <w:bottom w:w="0" w:type="dxa"/>
            <w:right w:w="0" w:type="dxa"/>
          </w:tblCellMar>
        </w:tblPrEx>
        <w:trPr>
          <w:trHeight w:val="272"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1"/>
              </w:numPr>
              <w:suppressLineNumbers w:val="0"/>
              <w:spacing w:before="0" w:after="0" w:afterAutospacing="0" w:line="240" w:lineRule="auto"/>
              <w:ind w:left="425" w:leftChars="0" w:right="0" w:hanging="425"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LC-FC-15M跳纤</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FC/LC/SC单模光纤跳线</w:t>
            </w: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根</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r>
      <w:tr>
        <w:tblPrEx>
          <w:tblLayout w:type="fixed"/>
          <w:tblCellMar>
            <w:top w:w="0" w:type="dxa"/>
            <w:left w:w="0" w:type="dxa"/>
            <w:bottom w:w="0" w:type="dxa"/>
            <w:right w:w="0" w:type="dxa"/>
          </w:tblCellMar>
        </w:tblPrEx>
        <w:trPr>
          <w:trHeight w:val="272"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1"/>
              </w:numPr>
              <w:suppressLineNumbers w:val="0"/>
              <w:spacing w:before="0" w:after="0" w:afterAutospacing="0" w:line="240" w:lineRule="auto"/>
              <w:ind w:left="425" w:leftChars="0" w:right="0" w:hanging="425"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调试接入及配合(含接入既有系统平台）</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项</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新增11台摄像机接入及调试等</w:t>
            </w:r>
          </w:p>
        </w:tc>
      </w:tr>
      <w:tr>
        <w:tblPrEx>
          <w:tblLayout w:type="fixed"/>
          <w:tblCellMar>
            <w:top w:w="0" w:type="dxa"/>
            <w:left w:w="0" w:type="dxa"/>
            <w:bottom w:w="0" w:type="dxa"/>
            <w:right w:w="0" w:type="dxa"/>
          </w:tblCellMar>
        </w:tblPrEx>
        <w:trPr>
          <w:trHeight w:val="272"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1"/>
              </w:numPr>
              <w:suppressLineNumbers w:val="0"/>
              <w:spacing w:before="0" w:after="0" w:afterAutospacing="0" w:line="240" w:lineRule="auto"/>
              <w:ind w:left="425" w:leftChars="0" w:right="0" w:hanging="425"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镀锌钢管Φ25</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米</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50</w:t>
            </w:r>
            <w:r>
              <w:rPr>
                <w:rFonts w:hint="eastAsia" w:ascii="宋体" w:hAnsi="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515</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包工包料</w:t>
            </w:r>
          </w:p>
        </w:tc>
      </w:tr>
      <w:tr>
        <w:tblPrEx>
          <w:tblLayout w:type="fixed"/>
          <w:tblCellMar>
            <w:top w:w="0" w:type="dxa"/>
            <w:left w:w="0" w:type="dxa"/>
            <w:bottom w:w="0" w:type="dxa"/>
            <w:right w:w="0" w:type="dxa"/>
          </w:tblCellMar>
        </w:tblPrEx>
        <w:trPr>
          <w:trHeight w:val="272"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1"/>
              </w:numPr>
              <w:suppressLineNumbers w:val="0"/>
              <w:spacing w:before="0" w:after="0" w:afterAutospacing="0" w:line="240" w:lineRule="auto"/>
              <w:ind w:left="425" w:leftChars="0" w:right="0" w:hanging="425"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敷设</w:t>
            </w:r>
            <w:r>
              <w:rPr>
                <w:rFonts w:hint="eastAsia" w:ascii="宋体" w:hAnsi="宋体" w:eastAsia="宋体" w:cs="宋体"/>
                <w:i w:val="0"/>
                <w:color w:val="000000"/>
                <w:kern w:val="0"/>
                <w:sz w:val="20"/>
                <w:szCs w:val="20"/>
                <w:highlight w:val="none"/>
                <w:u w:val="none"/>
                <w:lang w:val="en-US" w:eastAsia="zh-CN" w:bidi="ar"/>
              </w:rPr>
              <w:t>电源线</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WDZ-YJY22 3*2.5</w:t>
            </w: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米</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r>
              <w:rPr>
                <w:rFonts w:hint="eastAsia" w:ascii="宋体" w:hAnsi="宋体" w:cs="宋体"/>
                <w:i w:val="0"/>
                <w:color w:val="000000"/>
                <w:kern w:val="0"/>
                <w:sz w:val="20"/>
                <w:szCs w:val="20"/>
                <w:highlight w:val="none"/>
                <w:u w:val="none"/>
                <w:lang w:val="en-US" w:eastAsia="zh-CN" w:bidi="ar"/>
              </w:rPr>
              <w:t>00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r>
              <w:rPr>
                <w:rFonts w:hint="eastAsia" w:ascii="宋体" w:hAnsi="宋体" w:cs="宋体"/>
                <w:i w:val="0"/>
                <w:color w:val="000000"/>
                <w:kern w:val="0"/>
                <w:sz w:val="20"/>
                <w:szCs w:val="20"/>
                <w:highlight w:val="none"/>
                <w:u w:val="none"/>
                <w:lang w:val="en-US" w:eastAsia="zh-CN" w:bidi="ar"/>
              </w:rPr>
              <w:t>00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r>
              <w:rPr>
                <w:rFonts w:hint="eastAsia" w:ascii="宋体" w:hAnsi="宋体" w:cs="宋体"/>
                <w:i w:val="0"/>
                <w:color w:val="000000"/>
                <w:kern w:val="0"/>
                <w:sz w:val="20"/>
                <w:szCs w:val="20"/>
                <w:highlight w:val="none"/>
                <w:u w:val="none"/>
                <w:lang w:val="en-US" w:eastAsia="zh-CN" w:bidi="ar"/>
              </w:rPr>
              <w:t>00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r>
              <w:rPr>
                <w:rFonts w:hint="eastAsia" w:ascii="宋体" w:hAnsi="宋体" w:cs="宋体"/>
                <w:i w:val="0"/>
                <w:color w:val="000000"/>
                <w:kern w:val="0"/>
                <w:sz w:val="20"/>
                <w:szCs w:val="20"/>
                <w:highlight w:val="none"/>
                <w:u w:val="none"/>
                <w:lang w:val="en-US" w:eastAsia="zh-CN" w:bidi="ar"/>
              </w:rPr>
              <w:t>00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23</w:t>
            </w:r>
            <w:r>
              <w:rPr>
                <w:rFonts w:hint="eastAsia" w:ascii="宋体" w:hAnsi="宋体" w:cs="宋体"/>
                <w:i w:val="0"/>
                <w:color w:val="000000"/>
                <w:kern w:val="0"/>
                <w:sz w:val="20"/>
                <w:szCs w:val="20"/>
                <w:highlight w:val="none"/>
                <w:u w:val="none"/>
                <w:lang w:val="en-US" w:eastAsia="zh-CN" w:bidi="ar"/>
              </w:rPr>
              <w:t>00</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包工包料</w:t>
            </w:r>
          </w:p>
        </w:tc>
      </w:tr>
      <w:tr>
        <w:tblPrEx>
          <w:tblLayout w:type="fixed"/>
          <w:tblCellMar>
            <w:top w:w="0" w:type="dxa"/>
            <w:left w:w="0" w:type="dxa"/>
            <w:bottom w:w="0" w:type="dxa"/>
            <w:right w:w="0" w:type="dxa"/>
          </w:tblCellMar>
        </w:tblPrEx>
        <w:trPr>
          <w:trHeight w:val="294"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1"/>
              </w:numPr>
              <w:suppressLineNumbers w:val="0"/>
              <w:spacing w:before="0" w:after="0" w:afterAutospacing="0" w:line="240" w:lineRule="auto"/>
              <w:ind w:left="425" w:leftChars="0" w:right="0" w:hanging="425"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敷设</w:t>
            </w:r>
            <w:r>
              <w:rPr>
                <w:rFonts w:hint="eastAsia" w:ascii="宋体" w:hAnsi="宋体" w:eastAsia="宋体" w:cs="宋体"/>
                <w:i w:val="0"/>
                <w:color w:val="000000"/>
                <w:kern w:val="0"/>
                <w:sz w:val="20"/>
                <w:szCs w:val="20"/>
                <w:highlight w:val="none"/>
                <w:u w:val="none"/>
                <w:lang w:val="en-US" w:eastAsia="zh-CN" w:bidi="ar"/>
              </w:rPr>
              <w:t>电源线</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WDZ-YJY3*1.5</w:t>
            </w: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米</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5</w:t>
            </w:r>
            <w:r>
              <w:rPr>
                <w:rFonts w:hint="eastAsia" w:ascii="宋体" w:hAnsi="宋体" w:cs="宋体"/>
                <w:i w:val="0"/>
                <w:color w:val="000000"/>
                <w:kern w:val="0"/>
                <w:sz w:val="20"/>
                <w:szCs w:val="20"/>
                <w:highlight w:val="none"/>
                <w:u w:val="none"/>
                <w:lang w:val="en-US" w:eastAsia="zh-CN" w:bidi="ar"/>
              </w:rPr>
              <w:t>00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w:t>
            </w:r>
            <w:r>
              <w:rPr>
                <w:rFonts w:hint="eastAsia" w:ascii="宋体" w:hAnsi="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65</w:t>
            </w:r>
            <w:r>
              <w:rPr>
                <w:rFonts w:hint="eastAsia" w:ascii="宋体" w:hAnsi="宋体" w:cs="宋体"/>
                <w:i w:val="0"/>
                <w:color w:val="000000"/>
                <w:kern w:val="0"/>
                <w:sz w:val="20"/>
                <w:szCs w:val="20"/>
                <w:highlight w:val="none"/>
                <w:u w:val="none"/>
                <w:lang w:val="en-US" w:eastAsia="zh-CN" w:bidi="ar"/>
              </w:rPr>
              <w:t>0</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包工包料</w:t>
            </w:r>
          </w:p>
        </w:tc>
      </w:tr>
      <w:tr>
        <w:tblPrEx>
          <w:tblLayout w:type="fixed"/>
          <w:tblCellMar>
            <w:top w:w="0" w:type="dxa"/>
            <w:left w:w="0" w:type="dxa"/>
            <w:bottom w:w="0" w:type="dxa"/>
            <w:right w:w="0" w:type="dxa"/>
          </w:tblCellMar>
        </w:tblPrEx>
        <w:trPr>
          <w:trHeight w:val="272"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1"/>
              </w:numPr>
              <w:suppressLineNumbers w:val="0"/>
              <w:spacing w:before="0" w:after="0" w:afterAutospacing="0" w:line="240" w:lineRule="auto"/>
              <w:ind w:left="425" w:leftChars="0" w:right="0" w:hanging="425"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敷设</w:t>
            </w:r>
            <w:r>
              <w:rPr>
                <w:rFonts w:hint="eastAsia" w:ascii="宋体" w:hAnsi="宋体" w:eastAsia="宋体" w:cs="宋体"/>
                <w:i w:val="0"/>
                <w:color w:val="000000"/>
                <w:kern w:val="0"/>
                <w:sz w:val="20"/>
                <w:szCs w:val="20"/>
                <w:highlight w:val="none"/>
                <w:u w:val="none"/>
                <w:lang w:val="en-US" w:eastAsia="zh-CN" w:bidi="ar"/>
              </w:rPr>
              <w:t>4芯单模光缆</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GYXTW-4B1</w:t>
            </w: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米</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r>
              <w:rPr>
                <w:rFonts w:hint="eastAsia" w:ascii="宋体" w:hAnsi="宋体" w:cs="宋体"/>
                <w:i w:val="0"/>
                <w:color w:val="000000"/>
                <w:kern w:val="0"/>
                <w:sz w:val="20"/>
                <w:szCs w:val="20"/>
                <w:highlight w:val="none"/>
                <w:u w:val="none"/>
                <w:lang w:val="en-US" w:eastAsia="zh-CN" w:bidi="ar"/>
              </w:rPr>
              <w:t>00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r>
              <w:rPr>
                <w:rFonts w:hint="eastAsia" w:ascii="宋体" w:hAnsi="宋体" w:cs="宋体"/>
                <w:i w:val="0"/>
                <w:color w:val="000000"/>
                <w:kern w:val="0"/>
                <w:sz w:val="20"/>
                <w:szCs w:val="20"/>
                <w:highlight w:val="none"/>
                <w:u w:val="none"/>
                <w:lang w:val="en-US" w:eastAsia="zh-CN" w:bidi="ar"/>
              </w:rPr>
              <w:t>00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9</w:t>
            </w:r>
            <w:r>
              <w:rPr>
                <w:rFonts w:hint="eastAsia" w:ascii="宋体" w:hAnsi="宋体" w:cs="宋体"/>
                <w:i w:val="0"/>
                <w:color w:val="000000"/>
                <w:kern w:val="0"/>
                <w:sz w:val="20"/>
                <w:szCs w:val="20"/>
                <w:highlight w:val="none"/>
                <w:u w:val="none"/>
                <w:lang w:val="en-US" w:eastAsia="zh-CN" w:bidi="ar"/>
              </w:rPr>
              <w:t>00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6</w:t>
            </w:r>
            <w:r>
              <w:rPr>
                <w:rFonts w:hint="eastAsia" w:ascii="宋体" w:hAnsi="宋体" w:cs="宋体"/>
                <w:i w:val="0"/>
                <w:color w:val="000000"/>
                <w:kern w:val="0"/>
                <w:sz w:val="20"/>
                <w:szCs w:val="20"/>
                <w:highlight w:val="none"/>
                <w:u w:val="none"/>
                <w:lang w:val="en-US" w:eastAsia="zh-CN" w:bidi="ar"/>
              </w:rPr>
              <w:t>00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28</w:t>
            </w:r>
            <w:r>
              <w:rPr>
                <w:rFonts w:hint="eastAsia" w:ascii="宋体" w:hAnsi="宋体" w:cs="宋体"/>
                <w:i w:val="0"/>
                <w:color w:val="000000"/>
                <w:kern w:val="0"/>
                <w:sz w:val="20"/>
                <w:szCs w:val="20"/>
                <w:highlight w:val="none"/>
                <w:u w:val="none"/>
                <w:lang w:val="en-US" w:eastAsia="zh-CN" w:bidi="ar"/>
              </w:rPr>
              <w:t>00</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包工包料</w:t>
            </w:r>
          </w:p>
        </w:tc>
      </w:tr>
      <w:tr>
        <w:tblPrEx>
          <w:tblLayout w:type="fixed"/>
          <w:tblCellMar>
            <w:top w:w="0" w:type="dxa"/>
            <w:left w:w="0" w:type="dxa"/>
            <w:bottom w:w="0" w:type="dxa"/>
            <w:right w:w="0" w:type="dxa"/>
          </w:tblCellMar>
        </w:tblPrEx>
        <w:trPr>
          <w:trHeight w:val="272"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1"/>
              </w:numPr>
              <w:suppressLineNumbers w:val="0"/>
              <w:spacing w:before="0" w:after="0" w:afterAutospacing="0" w:line="240" w:lineRule="auto"/>
              <w:ind w:left="425" w:leftChars="0" w:right="0" w:hanging="425"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敷设</w:t>
            </w:r>
            <w:r>
              <w:rPr>
                <w:rFonts w:hint="eastAsia" w:ascii="宋体" w:hAnsi="宋体" w:eastAsia="宋体" w:cs="宋体"/>
                <w:i w:val="0"/>
                <w:color w:val="000000"/>
                <w:kern w:val="0"/>
                <w:sz w:val="20"/>
                <w:szCs w:val="20"/>
                <w:highlight w:val="none"/>
                <w:u w:val="none"/>
                <w:lang w:val="en-US" w:eastAsia="zh-CN" w:bidi="ar"/>
              </w:rPr>
              <w:t>六类屏蔽网线</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STP-CAT6</w:t>
            </w: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米</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0</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4</w:t>
            </w:r>
            <w:r>
              <w:rPr>
                <w:rFonts w:hint="eastAsia" w:ascii="宋体" w:hAnsi="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0</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w:t>
            </w:r>
            <w:r>
              <w:rPr>
                <w:rFonts w:hint="eastAsia" w:ascii="宋体" w:hAnsi="宋体" w:cs="宋体"/>
                <w:i w:val="0"/>
                <w:color w:val="000000"/>
                <w:kern w:val="0"/>
                <w:sz w:val="20"/>
                <w:szCs w:val="20"/>
                <w:highlight w:val="none"/>
                <w:u w:val="none"/>
                <w:lang w:val="en-US" w:eastAsia="zh-CN"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15</w:t>
            </w:r>
            <w:r>
              <w:rPr>
                <w:rFonts w:hint="eastAsia" w:ascii="宋体" w:hAnsi="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25</w:t>
            </w:r>
            <w:r>
              <w:rPr>
                <w:rFonts w:hint="eastAsia" w:ascii="宋体" w:hAnsi="宋体" w:cs="宋体"/>
                <w:i w:val="0"/>
                <w:color w:val="000000"/>
                <w:kern w:val="0"/>
                <w:sz w:val="20"/>
                <w:szCs w:val="20"/>
                <w:highlight w:val="none"/>
                <w:u w:val="none"/>
                <w:lang w:val="en-US" w:eastAsia="zh-CN" w:bidi="ar"/>
              </w:rPr>
              <w:t>0</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包工包料</w:t>
            </w:r>
          </w:p>
        </w:tc>
      </w:tr>
      <w:tr>
        <w:tblPrEx>
          <w:tblLayout w:type="fixed"/>
          <w:tblCellMar>
            <w:top w:w="0" w:type="dxa"/>
            <w:left w:w="0" w:type="dxa"/>
            <w:bottom w:w="0" w:type="dxa"/>
            <w:right w:w="0" w:type="dxa"/>
          </w:tblCellMar>
        </w:tblPrEx>
        <w:trPr>
          <w:trHeight w:val="263" w:hRule="atLeast"/>
          <w:jc w:val="center"/>
        </w:trPr>
        <w:tc>
          <w:tcPr>
            <w:tcW w:w="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61"/>
              </w:numPr>
              <w:suppressLineNumbers w:val="0"/>
              <w:spacing w:before="0" w:after="0" w:afterAutospacing="0" w:line="240" w:lineRule="auto"/>
              <w:ind w:left="425" w:leftChars="0" w:right="0" w:hanging="425"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光缆成端</w:t>
            </w:r>
          </w:p>
        </w:tc>
        <w:tc>
          <w:tcPr>
            <w:tcW w:w="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12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3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芯</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32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5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0</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bCs/>
                <w:i w:val="0"/>
                <w:color w:val="000000"/>
                <w:kern w:val="0"/>
                <w:sz w:val="20"/>
                <w:szCs w:val="20"/>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80</w:t>
            </w: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center"/>
              <w:rPr>
                <w:rFonts w:hint="eastAsia" w:ascii="宋体" w:hAnsi="宋体" w:eastAsia="宋体" w:cs="宋体"/>
                <w:i w:val="0"/>
                <w:color w:val="000000"/>
                <w:kern w:val="0"/>
                <w:sz w:val="20"/>
                <w:szCs w:val="20"/>
                <w:highlight w:val="none"/>
                <w:u w:val="none"/>
                <w:lang w:val="en-US" w:eastAsia="zh-CN" w:bidi="ar"/>
              </w:rPr>
            </w:pPr>
          </w:p>
        </w:tc>
      </w:tr>
    </w:tbl>
    <w:p>
      <w:pPr>
        <w:widowControl w:val="0"/>
        <w:jc w:val="both"/>
        <w:rPr>
          <w:rFonts w:hint="eastAsia" w:ascii="宋体" w:hAnsi="Courier New" w:eastAsia="Times New Roman" w:cs="Courier New"/>
          <w:sz w:val="24"/>
          <w:szCs w:val="21"/>
          <w:highlight w:val="none"/>
          <w:lang w:val="en-US" w:eastAsia="zh-CN" w:bidi="ar-SA"/>
        </w:rPr>
      </w:pPr>
    </w:p>
    <w:p>
      <w:pPr>
        <w:keepNext/>
        <w:keepLines/>
        <w:widowControl w:val="0"/>
        <w:numPr>
          <w:ilvl w:val="0"/>
          <w:numId w:val="0"/>
        </w:numPr>
        <w:spacing w:before="0" w:after="0" w:afterAutospacing="0" w:line="360" w:lineRule="auto"/>
        <w:ind w:left="0" w:right="0" w:firstLine="0"/>
        <w:jc w:val="left"/>
        <w:outlineLvl w:val="0"/>
        <w:rPr>
          <w:rFonts w:cs="宋体" w:asciiTheme="minorEastAsia" w:hAnsiTheme="minorEastAsia" w:eastAsiaTheme="minorEastAsia"/>
          <w:color w:val="auto"/>
          <w:kern w:val="2"/>
          <w:sz w:val="21"/>
          <w:szCs w:val="21"/>
          <w:highlight w:val="none"/>
          <w:lang w:val="en-US" w:eastAsia="zh-CN" w:bidi="ar-SA"/>
        </w:rPr>
        <w:sectPr>
          <w:headerReference r:id="rId10" w:type="default"/>
          <w:footerReference r:id="rId11" w:type="default"/>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rtlGutter w:val="0"/>
          <w:docGrid w:type="lines" w:linePitch="319" w:charSpace="0"/>
        </w:sectPr>
      </w:pPr>
      <w:r>
        <w:rPr>
          <w:rFonts w:cs="宋体" w:asciiTheme="minorEastAsia" w:hAnsiTheme="minorEastAsia" w:eastAsiaTheme="minorEastAsia"/>
          <w:color w:val="auto"/>
          <w:kern w:val="2"/>
          <w:sz w:val="21"/>
          <w:szCs w:val="21"/>
          <w:highlight w:val="none"/>
          <w:lang w:val="en-US" w:eastAsia="zh-CN" w:bidi="ar-SA"/>
        </w:rPr>
        <w:br w:type="page"/>
      </w:r>
      <w:bookmarkStart w:id="2273" w:name="_Toc3010"/>
      <w:bookmarkStart w:id="2274" w:name="_Toc2188"/>
      <w:bookmarkStart w:id="2275" w:name="_Toc11499_WPSOffice_Level2"/>
      <w:bookmarkStart w:id="2276" w:name="_Toc346"/>
      <w:bookmarkStart w:id="2277" w:name="_Toc12448"/>
      <w:bookmarkStart w:id="2278" w:name="_Toc17455"/>
      <w:bookmarkStart w:id="2279" w:name="_Toc25440"/>
      <w:bookmarkStart w:id="2280" w:name="_Toc1782"/>
      <w:bookmarkStart w:id="2281" w:name="_Toc20849"/>
      <w:bookmarkStart w:id="2282" w:name="_Toc2775_WPSOffice_Level1"/>
      <w:bookmarkStart w:id="2283" w:name="_Toc8041"/>
      <w:bookmarkStart w:id="2284" w:name="_Toc27468_WPSOffice_Level2"/>
    </w:p>
    <w:p>
      <w:pPr>
        <w:keepNext/>
        <w:keepLines/>
        <w:widowControl w:val="0"/>
        <w:numPr>
          <w:ilvl w:val="0"/>
          <w:numId w:val="0"/>
        </w:numPr>
        <w:spacing w:before="0" w:after="0" w:afterAutospacing="0" w:line="360" w:lineRule="auto"/>
        <w:ind w:left="0" w:right="0" w:firstLine="0"/>
        <w:jc w:val="left"/>
        <w:outlineLvl w:val="0"/>
        <w:rPr>
          <w:rFonts w:cs="黑体" w:asciiTheme="minorEastAsia" w:hAnsiTheme="minorEastAsia" w:eastAsiaTheme="minorEastAsia"/>
          <w:color w:val="auto"/>
          <w:kern w:val="2"/>
          <w:sz w:val="21"/>
          <w:szCs w:val="21"/>
          <w:highlight w:val="none"/>
          <w:lang w:val="en-US" w:eastAsia="zh-CN" w:bidi="ar-SA"/>
        </w:rPr>
      </w:pPr>
      <w:r>
        <w:rPr>
          <w:rFonts w:hint="eastAsia" w:cs="黑体" w:asciiTheme="minorEastAsia" w:hAnsiTheme="minorEastAsia" w:eastAsiaTheme="minorEastAsia"/>
          <w:color w:val="auto"/>
          <w:kern w:val="2"/>
          <w:sz w:val="21"/>
          <w:szCs w:val="21"/>
          <w:highlight w:val="none"/>
          <w:lang w:val="en-US" w:eastAsia="zh-CN" w:bidi="ar-SA"/>
        </w:rPr>
        <w:t>附件2.项目评价表</w:t>
      </w:r>
      <w:bookmarkEnd w:id="2273"/>
      <w:bookmarkEnd w:id="2274"/>
      <w:bookmarkEnd w:id="2275"/>
      <w:bookmarkEnd w:id="2276"/>
      <w:bookmarkEnd w:id="2277"/>
      <w:bookmarkEnd w:id="2278"/>
      <w:bookmarkEnd w:id="2279"/>
      <w:bookmarkEnd w:id="2280"/>
      <w:bookmarkEnd w:id="2281"/>
      <w:bookmarkEnd w:id="2282"/>
      <w:bookmarkEnd w:id="2283"/>
      <w:bookmarkEnd w:id="2284"/>
    </w:p>
    <w:tbl>
      <w:tblPr>
        <w:tblStyle w:val="31"/>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4189"/>
        <w:gridCol w:w="698"/>
        <w:gridCol w:w="69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模块</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类别</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检查和评价内容</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权重</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评分</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129"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人员要求（10%）</w:t>
            </w:r>
          </w:p>
        </w:tc>
        <w:tc>
          <w:tcPr>
            <w:tcW w:w="1134"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组织机构及人员配置（100%）</w:t>
            </w:r>
          </w:p>
        </w:tc>
        <w:tc>
          <w:tcPr>
            <w:tcW w:w="4189" w:type="dxa"/>
            <w:tcBorders>
              <w:top w:val="single" w:color="auto" w:sz="4" w:space="0"/>
              <w:left w:val="single" w:color="auto" w:sz="4" w:space="0"/>
              <w:bottom w:val="single" w:color="auto" w:sz="4" w:space="0"/>
              <w:right w:val="single" w:color="auto" w:sz="4" w:space="0"/>
            </w:tcBorders>
            <w:vAlign w:val="top"/>
          </w:tcPr>
          <w:p>
            <w:pPr>
              <w:widowControl w:val="0"/>
              <w:numPr>
                <w:ilvl w:val="0"/>
                <w:numId w:val="62"/>
              </w:numPr>
              <w:spacing w:before="0" w:after="0" w:afterAutospacing="0" w:line="360" w:lineRule="auto"/>
              <w:ind w:left="0" w:leftChars="0" w:right="0" w:firstLine="0" w:firstLineChars="0"/>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项目负责人、技术负责人、安全负责人</w:t>
            </w:r>
            <w:r>
              <w:rPr>
                <w:rFonts w:hint="eastAsia" w:ascii="宋体" w:hAnsi="宋体" w:eastAsia="宋体" w:cs="宋体"/>
                <w:color w:val="auto"/>
                <w:kern w:val="2"/>
                <w:sz w:val="21"/>
                <w:szCs w:val="21"/>
                <w:highlight w:val="none"/>
                <w:lang w:eastAsia="zh-CN"/>
              </w:rPr>
              <w:t>等主要人员</w:t>
            </w:r>
            <w:r>
              <w:rPr>
                <w:rFonts w:hint="eastAsia" w:ascii="宋体" w:hAnsi="宋体" w:eastAsia="宋体" w:cs="宋体"/>
                <w:color w:val="auto"/>
                <w:kern w:val="2"/>
                <w:sz w:val="21"/>
                <w:szCs w:val="21"/>
                <w:highlight w:val="none"/>
              </w:rPr>
              <w:t>，未经</w:t>
            </w:r>
            <w:r>
              <w:rPr>
                <w:rFonts w:hint="eastAsia" w:ascii="宋体" w:hAnsi="宋体" w:eastAsia="宋体" w:cs="宋体"/>
                <w:color w:val="auto"/>
                <w:kern w:val="2"/>
                <w:sz w:val="21"/>
                <w:szCs w:val="21"/>
                <w:highlight w:val="none"/>
                <w:lang w:eastAsia="zh-CN"/>
              </w:rPr>
              <w:t>甲方</w:t>
            </w:r>
            <w:r>
              <w:rPr>
                <w:rFonts w:hint="eastAsia" w:ascii="宋体" w:hAnsi="宋体" w:eastAsia="宋体" w:cs="宋体"/>
                <w:color w:val="auto"/>
                <w:kern w:val="2"/>
                <w:sz w:val="21"/>
                <w:szCs w:val="21"/>
                <w:highlight w:val="none"/>
              </w:rPr>
              <w:t>同意、批准，不得随意更换。</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50</w:t>
            </w:r>
            <w:r>
              <w:rPr>
                <w:rFonts w:hint="eastAsia" w:ascii="宋体" w:hAnsi="宋体" w:eastAsia="宋体" w:cs="宋体"/>
                <w:color w:val="auto"/>
                <w:kern w:val="2"/>
                <w:sz w:val="21"/>
                <w:szCs w:val="21"/>
                <w:highlight w:val="none"/>
              </w:rPr>
              <w:t>%</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top"/>
          </w:tcPr>
          <w:p>
            <w:pPr>
              <w:widowControl w:val="0"/>
              <w:numPr>
                <w:ilvl w:val="0"/>
                <w:numId w:val="62"/>
              </w:numPr>
              <w:spacing w:before="0" w:after="0" w:afterAutospacing="0" w:line="360" w:lineRule="auto"/>
              <w:ind w:left="0" w:leftChars="0" w:right="0" w:firstLine="0" w:firstLineChars="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乙方</w:t>
            </w:r>
            <w:r>
              <w:rPr>
                <w:rFonts w:hint="eastAsia" w:ascii="宋体" w:hAnsi="宋体" w:eastAsia="宋体" w:cs="宋体"/>
                <w:color w:val="auto"/>
                <w:kern w:val="2"/>
                <w:sz w:val="21"/>
                <w:szCs w:val="21"/>
                <w:highlight w:val="none"/>
              </w:rPr>
              <w:t>须服从</w:t>
            </w:r>
            <w:r>
              <w:rPr>
                <w:rFonts w:hint="eastAsia" w:ascii="宋体" w:hAnsi="宋体" w:eastAsia="宋体" w:cs="宋体"/>
                <w:color w:val="auto"/>
                <w:kern w:val="2"/>
                <w:sz w:val="21"/>
                <w:szCs w:val="21"/>
                <w:highlight w:val="none"/>
                <w:lang w:eastAsia="zh-CN"/>
              </w:rPr>
              <w:t>甲方</w:t>
            </w:r>
            <w:r>
              <w:rPr>
                <w:rFonts w:hint="eastAsia" w:ascii="宋体" w:hAnsi="宋体" w:eastAsia="宋体" w:cs="宋体"/>
                <w:color w:val="auto"/>
                <w:kern w:val="2"/>
                <w:sz w:val="21"/>
                <w:szCs w:val="21"/>
                <w:highlight w:val="none"/>
              </w:rPr>
              <w:t>的项目管理。</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50</w:t>
            </w:r>
            <w:r>
              <w:rPr>
                <w:rFonts w:hint="eastAsia" w:ascii="宋体" w:hAnsi="宋体" w:eastAsia="宋体" w:cs="宋体"/>
                <w:color w:val="auto"/>
                <w:kern w:val="2"/>
                <w:sz w:val="21"/>
                <w:szCs w:val="21"/>
                <w:highlight w:val="none"/>
              </w:rPr>
              <w:t>%</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安全管理（20%）</w:t>
            </w:r>
          </w:p>
        </w:tc>
        <w:tc>
          <w:tcPr>
            <w:tcW w:w="1134"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安全管理（100%）</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乙方</w:t>
            </w:r>
            <w:r>
              <w:rPr>
                <w:rFonts w:hint="eastAsia" w:ascii="宋体" w:hAnsi="宋体" w:eastAsia="宋体" w:cs="宋体"/>
                <w:color w:val="auto"/>
                <w:kern w:val="2"/>
                <w:sz w:val="21"/>
                <w:szCs w:val="21"/>
                <w:highlight w:val="none"/>
              </w:rPr>
              <w:t>必须严格遵守中华人民共和国、建设部、广西壮族自治区、南宁市等颁布的有关安全生产及文明施工的规定</w:t>
            </w:r>
            <w:r>
              <w:rPr>
                <w:rFonts w:hint="eastAsia" w:ascii="宋体" w:hAnsi="宋体" w:eastAsia="宋体" w:cs="宋体"/>
                <w:color w:val="auto"/>
                <w:kern w:val="2"/>
                <w:sz w:val="21"/>
                <w:szCs w:val="21"/>
                <w:highlight w:val="none"/>
                <w:lang w:eastAsia="zh-CN"/>
              </w:rPr>
              <w:t>。</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乙方</w:t>
            </w:r>
            <w:r>
              <w:rPr>
                <w:rFonts w:hint="eastAsia" w:ascii="宋体" w:hAnsi="宋体" w:eastAsia="宋体" w:cs="宋体"/>
                <w:color w:val="auto"/>
                <w:kern w:val="2"/>
                <w:sz w:val="21"/>
                <w:szCs w:val="21"/>
                <w:highlight w:val="none"/>
              </w:rPr>
              <w:t>必须制定并实施一切必要的措施，保证工程现场施工安全，包括</w:t>
            </w:r>
            <w:r>
              <w:rPr>
                <w:rFonts w:hint="eastAsia" w:ascii="宋体" w:hAnsi="宋体" w:eastAsia="宋体" w:cs="宋体"/>
                <w:color w:val="auto"/>
                <w:kern w:val="2"/>
                <w:sz w:val="21"/>
                <w:szCs w:val="21"/>
                <w:highlight w:val="none"/>
                <w:lang w:eastAsia="zh-CN"/>
              </w:rPr>
              <w:t>乙方</w:t>
            </w:r>
            <w:r>
              <w:rPr>
                <w:rFonts w:hint="eastAsia" w:ascii="宋体" w:hAnsi="宋体" w:eastAsia="宋体" w:cs="宋体"/>
                <w:color w:val="auto"/>
                <w:kern w:val="2"/>
                <w:sz w:val="21"/>
                <w:szCs w:val="21"/>
                <w:highlight w:val="none"/>
              </w:rPr>
              <w:t>和非</w:t>
            </w:r>
            <w:r>
              <w:rPr>
                <w:rFonts w:hint="eastAsia" w:ascii="宋体" w:hAnsi="宋体" w:eastAsia="宋体" w:cs="宋体"/>
                <w:color w:val="auto"/>
                <w:kern w:val="2"/>
                <w:sz w:val="21"/>
                <w:szCs w:val="21"/>
                <w:highlight w:val="none"/>
                <w:lang w:eastAsia="zh-CN"/>
              </w:rPr>
              <w:t>乙方</w:t>
            </w:r>
            <w:r>
              <w:rPr>
                <w:rFonts w:hint="eastAsia" w:ascii="宋体" w:hAnsi="宋体" w:eastAsia="宋体" w:cs="宋体"/>
                <w:color w:val="auto"/>
                <w:kern w:val="2"/>
                <w:sz w:val="21"/>
                <w:szCs w:val="21"/>
                <w:highlight w:val="none"/>
              </w:rPr>
              <w:t>的人员安全</w:t>
            </w:r>
            <w:r>
              <w:rPr>
                <w:rFonts w:hint="eastAsia" w:ascii="宋体" w:hAnsi="宋体" w:eastAsia="宋体" w:cs="宋体"/>
                <w:color w:val="auto"/>
                <w:kern w:val="2"/>
                <w:sz w:val="21"/>
                <w:szCs w:val="21"/>
                <w:highlight w:val="none"/>
                <w:lang w:eastAsia="zh-CN"/>
              </w:rPr>
              <w:t>。</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施工现场的用电线路、用电设施的安装和使用必须符合安装规范和安全操作规程，并按照施工组织设计进行架设。严禁任意拉线接电。施工现场必须设有保证施工安全要求的夜间照明。</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乙方</w:t>
            </w:r>
            <w:r>
              <w:rPr>
                <w:rFonts w:hint="eastAsia" w:ascii="宋体" w:hAnsi="宋体" w:eastAsia="宋体" w:cs="宋体"/>
                <w:color w:val="auto"/>
                <w:kern w:val="2"/>
                <w:sz w:val="21"/>
                <w:szCs w:val="21"/>
                <w:highlight w:val="none"/>
              </w:rPr>
              <w:t>应当做好施工现场安全保卫工作，采取必要的防盗措施，在现场周边设立维护设施。非施工及安装人员不得擅自进入工程现场。</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5%</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乙方</w:t>
            </w:r>
            <w:r>
              <w:rPr>
                <w:rFonts w:hint="eastAsia" w:ascii="宋体" w:hAnsi="宋体" w:eastAsia="宋体" w:cs="宋体"/>
                <w:color w:val="auto"/>
                <w:kern w:val="2"/>
                <w:sz w:val="21"/>
                <w:szCs w:val="21"/>
                <w:highlight w:val="none"/>
              </w:rPr>
              <w:t>在南宁轨道交通所辖区域施工须服从</w:t>
            </w:r>
            <w:r>
              <w:rPr>
                <w:rFonts w:hint="eastAsia" w:ascii="宋体" w:hAnsi="宋体" w:eastAsia="宋体" w:cs="宋体"/>
                <w:color w:val="auto"/>
                <w:kern w:val="2"/>
                <w:sz w:val="21"/>
                <w:szCs w:val="21"/>
                <w:highlight w:val="none"/>
                <w:lang w:eastAsia="zh-CN"/>
              </w:rPr>
              <w:t>甲方</w:t>
            </w:r>
            <w:r>
              <w:rPr>
                <w:rFonts w:hint="eastAsia" w:ascii="宋体" w:hAnsi="宋体" w:eastAsia="宋体" w:cs="宋体"/>
                <w:color w:val="auto"/>
                <w:kern w:val="2"/>
                <w:sz w:val="21"/>
                <w:szCs w:val="21"/>
                <w:highlight w:val="none"/>
              </w:rPr>
              <w:t>全面管理</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遵守</w:t>
            </w:r>
            <w:r>
              <w:rPr>
                <w:rFonts w:hint="eastAsia" w:ascii="宋体" w:hAnsi="宋体" w:eastAsia="宋体" w:cs="宋体"/>
                <w:color w:val="auto"/>
                <w:kern w:val="2"/>
                <w:sz w:val="21"/>
                <w:szCs w:val="21"/>
                <w:highlight w:val="none"/>
                <w:lang w:eastAsia="zh-CN"/>
              </w:rPr>
              <w:t>甲方</w:t>
            </w:r>
            <w:r>
              <w:rPr>
                <w:rFonts w:hint="eastAsia" w:ascii="宋体" w:hAnsi="宋体" w:eastAsia="宋体" w:cs="宋体"/>
                <w:color w:val="auto"/>
                <w:kern w:val="2"/>
                <w:sz w:val="21"/>
                <w:szCs w:val="21"/>
                <w:highlight w:val="none"/>
              </w:rPr>
              <w:t>的规章制度、作业流程和安全规定。</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因</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原因造成人员伤亡或财产损失。</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对合同范围内所有工作失误或渎职，导致</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造成的直接和间接经济损失。</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施工作业前须进行安全技术交底。</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5%</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施工人员和管理人员须熟练掌握消防设备的性能和使用方法。</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5%</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开展动火作业须办理动火作业令。</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进行高空作业要有切实可行的安全保证措施。</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5%</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3"/>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须遵守国家卫生健康委员会、广西壮族自治区卫生健康委员会和南宁市卫生健康委员会关于疫情防控的相关最新规定。</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施工管理（35%）</w:t>
            </w:r>
          </w:p>
        </w:tc>
        <w:tc>
          <w:tcPr>
            <w:tcW w:w="1134"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进场要求（20%）</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4"/>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须做好</w:t>
            </w:r>
            <w:r>
              <w:rPr>
                <w:rFonts w:hint="eastAsia" w:ascii="宋体" w:hAnsi="宋体" w:eastAsia="宋体" w:cs="宋体"/>
                <w:color w:val="auto"/>
                <w:sz w:val="21"/>
                <w:szCs w:val="21"/>
                <w:highlight w:val="none"/>
                <w:lang w:val="en-US" w:eastAsia="zh-CN"/>
              </w:rPr>
              <w:t>CCTV</w:t>
            </w:r>
            <w:r>
              <w:rPr>
                <w:rFonts w:hint="eastAsia" w:ascii="宋体" w:hAnsi="宋体" w:eastAsia="宋体" w:cs="宋体"/>
                <w:color w:val="auto"/>
                <w:sz w:val="21"/>
                <w:szCs w:val="21"/>
                <w:highlight w:val="none"/>
              </w:rPr>
              <w:t>设备设施状态普查、技术交底。</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30</w:t>
            </w:r>
            <w:r>
              <w:rPr>
                <w:rFonts w:hint="eastAsia" w:ascii="宋体" w:hAnsi="宋体" w:eastAsia="宋体" w:cs="宋体"/>
                <w:color w:val="auto"/>
                <w:kern w:val="2"/>
                <w:sz w:val="21"/>
                <w:szCs w:val="21"/>
                <w:highlight w:val="none"/>
              </w:rPr>
              <w:t>%</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4"/>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须遵守</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的企业标准《运营分公司施工管理规定》等相关施工管理规定。</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40</w:t>
            </w:r>
            <w:r>
              <w:rPr>
                <w:rFonts w:hint="eastAsia" w:ascii="宋体" w:hAnsi="宋体" w:eastAsia="宋体" w:cs="宋体"/>
                <w:color w:val="auto"/>
                <w:kern w:val="2"/>
                <w:sz w:val="21"/>
                <w:szCs w:val="21"/>
                <w:highlight w:val="none"/>
              </w:rPr>
              <w:t>%</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4"/>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未经允许不得私自外传</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资料、信息。</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30</w:t>
            </w:r>
            <w:r>
              <w:rPr>
                <w:rFonts w:hint="eastAsia" w:ascii="宋体" w:hAnsi="宋体" w:eastAsia="宋体" w:cs="宋体"/>
                <w:color w:val="auto"/>
                <w:kern w:val="2"/>
                <w:sz w:val="21"/>
                <w:szCs w:val="21"/>
                <w:highlight w:val="none"/>
              </w:rPr>
              <w:t>%</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文明施工管理（25%）</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进入现场后，须自费清理场地，每天消除留在现场的任何垃圾及残留物，不准随地便溺，合理保持现场的清洁、卫生和整洁，以达到文明施工场地标准。</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eastAsia="zh-CN"/>
              </w:rPr>
              <w:tab/>
            </w:r>
            <w:r>
              <w:rPr>
                <w:rFonts w:hint="eastAsia" w:ascii="宋体" w:hAnsi="宋体" w:eastAsia="宋体" w:cs="宋体"/>
                <w:color w:val="auto"/>
                <w:kern w:val="2"/>
                <w:sz w:val="21"/>
                <w:szCs w:val="21"/>
                <w:highlight w:val="none"/>
              </w:rPr>
              <w:t>5%</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施工人员须服从</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的指挥，严禁在施工场地睡觉、嬉戏。</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5%</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施工人员作业期间须保持通讯畅通，不得无故不接听</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电话。</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5%</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施工人员不得在施工现场发生吸烟、赌博、酗酒、斗殴等恶性事件。</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施工人员在施工作业时未按要求穿戴劳保用品。</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施工不得损坏地铁设备设施及影响地铁运行和设备设施的正常运行。</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val="en-US" w:eastAsia="zh-CN"/>
              </w:rPr>
              <w:t>0</w:t>
            </w:r>
            <w:r>
              <w:rPr>
                <w:rFonts w:hint="eastAsia" w:ascii="宋体" w:hAnsi="宋体" w:eastAsia="宋体" w:cs="宋体"/>
                <w:color w:val="auto"/>
                <w:kern w:val="2"/>
                <w:sz w:val="21"/>
                <w:szCs w:val="21"/>
                <w:highlight w:val="none"/>
              </w:rPr>
              <w:t>%</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按</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要求办理或完善相关作业手续，不得出现擅自施工、擅自取消作业、擅自超出作业允许范围。</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施工结束后做好“三清”工作。</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施工作业计划兑现率达到100%。</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5%</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施工时间利用率大于</w:t>
            </w:r>
            <w:r>
              <w:rPr>
                <w:rFonts w:hint="eastAsia" w:ascii="宋体" w:hAnsi="宋体" w:eastAsia="宋体" w:cs="宋体"/>
                <w:color w:val="auto"/>
                <w:sz w:val="21"/>
                <w:szCs w:val="21"/>
                <w:highlight w:val="none"/>
                <w:lang w:val="en-US" w:eastAsia="zh-CN"/>
              </w:rPr>
              <w:t>80</w:t>
            </w:r>
            <w:r>
              <w:rPr>
                <w:rFonts w:hint="eastAsia" w:ascii="宋体" w:hAnsi="宋体" w:eastAsia="宋体" w:cs="宋体"/>
                <w:color w:val="auto"/>
                <w:sz w:val="21"/>
                <w:szCs w:val="21"/>
                <w:highlight w:val="none"/>
              </w:rPr>
              <w:t>%。</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10</w:t>
            </w:r>
            <w:r>
              <w:rPr>
                <w:rFonts w:hint="eastAsia" w:ascii="宋体" w:hAnsi="宋体" w:eastAsia="宋体" w:cs="宋体"/>
                <w:color w:val="auto"/>
                <w:kern w:val="2"/>
                <w:sz w:val="21"/>
                <w:szCs w:val="21"/>
                <w:highlight w:val="none"/>
              </w:rPr>
              <w:t>%</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未经</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同意不得擅自带领其他与工作无关人员进入地铁作业区域。</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65"/>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人员未出现对</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方面造谣生事、惹是生非、擅自发布地铁生产信息等行为。</w:t>
            </w:r>
          </w:p>
        </w:tc>
        <w:tc>
          <w:tcPr>
            <w:tcW w:w="6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设备安装管理（30%）</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6"/>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应综合考虑工程需要，场地条件等，制定施工步骤方法、工艺，在满足功能要求、质量要求和工程要求的前提下，采取合理步骤和措施，保证</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lang w:val="en-US" w:eastAsia="zh-CN"/>
              </w:rPr>
              <w:t>现有</w:t>
            </w:r>
            <w:r>
              <w:rPr>
                <w:rFonts w:hint="eastAsia" w:ascii="宋体" w:hAnsi="宋体" w:eastAsia="宋体" w:cs="宋体"/>
                <w:color w:val="auto"/>
                <w:sz w:val="21"/>
                <w:szCs w:val="21"/>
                <w:highlight w:val="none"/>
              </w:rPr>
              <w:t>的工程或现有建筑物、设施等的安全及完整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如因乙方原因导致原有设备设施损坏，乙方应免费对其进行修复或更换</w:t>
            </w:r>
            <w:r>
              <w:rPr>
                <w:rFonts w:hint="eastAsia" w:ascii="宋体" w:hAnsi="宋体" w:eastAsia="宋体" w:cs="宋体"/>
                <w:color w:val="auto"/>
                <w:sz w:val="21"/>
                <w:szCs w:val="21"/>
                <w:highlight w:val="none"/>
              </w:rPr>
              <w:t>。</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6"/>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应在工程展开前拍摄工地、场区通道和临近建筑的照片以便保存场地原样记录。</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6"/>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为加强施工管理，确保施工过程的工程安全，环境安全及工程质量，</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须在施工前，依据</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相关管理办法，提交施工计划书</w:t>
            </w:r>
            <w:r>
              <w:rPr>
                <w:rFonts w:hint="eastAsia" w:ascii="宋体" w:hAnsi="宋体" w:eastAsia="宋体" w:cs="宋体"/>
                <w:color w:val="auto"/>
                <w:sz w:val="21"/>
                <w:szCs w:val="21"/>
                <w:highlight w:val="none"/>
                <w:lang w:val="en-US" w:eastAsia="zh-CN"/>
              </w:rPr>
              <w:t>及施工方案</w:t>
            </w:r>
            <w:r>
              <w:rPr>
                <w:rFonts w:hint="eastAsia" w:ascii="宋体" w:hAnsi="宋体" w:eastAsia="宋体" w:cs="宋体"/>
                <w:color w:val="auto"/>
                <w:sz w:val="21"/>
                <w:szCs w:val="21"/>
                <w:highlight w:val="none"/>
              </w:rPr>
              <w:t>供</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审核批准后方可施工。</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6"/>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施工方法及顺序有所修改时，</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须获得</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的批准，才可作出变更。</w:t>
            </w: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应有施工安全措施，所有在施工现场的工作人员都必须经过严格的安全及环保培训</w:t>
            </w:r>
            <w:r>
              <w:rPr>
                <w:rFonts w:hint="eastAsia" w:ascii="宋体" w:hAnsi="宋体" w:eastAsia="宋体" w:cs="宋体"/>
                <w:color w:val="auto"/>
                <w:sz w:val="21"/>
                <w:szCs w:val="21"/>
                <w:highlight w:val="none"/>
                <w:lang w:eastAsia="zh-CN"/>
              </w:rPr>
              <w:t>。</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6"/>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须在施工期间对</w:t>
            </w:r>
            <w:r>
              <w:rPr>
                <w:rFonts w:hint="eastAsia" w:ascii="宋体" w:hAnsi="宋体" w:eastAsia="宋体" w:cs="宋体"/>
                <w:color w:val="auto"/>
                <w:sz w:val="21"/>
                <w:szCs w:val="21"/>
                <w:highlight w:val="none"/>
                <w:lang w:val="en-US" w:eastAsia="zh-CN"/>
              </w:rPr>
              <w:t>原有</w:t>
            </w:r>
            <w:r>
              <w:rPr>
                <w:rFonts w:hint="eastAsia" w:ascii="宋体" w:hAnsi="宋体" w:eastAsia="宋体" w:cs="宋体"/>
                <w:color w:val="auto"/>
                <w:sz w:val="21"/>
                <w:szCs w:val="21"/>
                <w:highlight w:val="none"/>
              </w:rPr>
              <w:t>已安装的设备采取保护及安保措施，防止</w:t>
            </w:r>
            <w:r>
              <w:rPr>
                <w:rFonts w:hint="eastAsia" w:ascii="宋体" w:hAnsi="宋体" w:eastAsia="宋体" w:cs="宋体"/>
                <w:color w:val="auto"/>
                <w:sz w:val="21"/>
                <w:szCs w:val="21"/>
                <w:highlight w:val="none"/>
                <w:lang w:val="en-US" w:eastAsia="zh-CN"/>
              </w:rPr>
              <w:t>损坏原有</w:t>
            </w:r>
            <w:r>
              <w:rPr>
                <w:rFonts w:hint="eastAsia" w:ascii="宋体" w:hAnsi="宋体" w:eastAsia="宋体" w:cs="宋体"/>
                <w:color w:val="auto"/>
                <w:sz w:val="21"/>
                <w:szCs w:val="21"/>
                <w:highlight w:val="none"/>
              </w:rPr>
              <w:t>设备。</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rPr>
              <w:t>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0"/>
              </w:numPr>
              <w:tabs>
                <w:tab w:val="left" w:pos="0"/>
              </w:tabs>
              <w:spacing w:before="0" w:after="0" w:afterAutospacing="0" w:line="360" w:lineRule="auto"/>
              <w:ind w:left="0" w:leftChars="0" w:right="0" w:firstLine="0"/>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6"/>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线缆及设备安装方式、工艺须与既有工程保持一致。</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rPr>
              <w:t>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项目调试管理（25%）</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7"/>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提供测试所有必要的设备设施、仪表及特殊工器具。</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7"/>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已完成</w:t>
            </w:r>
            <w:r>
              <w:rPr>
                <w:rFonts w:hint="eastAsia" w:ascii="宋体" w:hAnsi="宋体" w:eastAsia="宋体" w:cs="宋体"/>
                <w:color w:val="auto"/>
                <w:sz w:val="21"/>
                <w:szCs w:val="21"/>
                <w:highlight w:val="none"/>
                <w:lang w:val="en-US" w:eastAsia="zh-CN"/>
              </w:rPr>
              <w:t>改造设备功能</w:t>
            </w: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要求。</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7"/>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已完成</w:t>
            </w:r>
            <w:r>
              <w:rPr>
                <w:rFonts w:hint="eastAsia" w:ascii="宋体" w:hAnsi="宋体" w:eastAsia="宋体" w:cs="宋体"/>
                <w:color w:val="auto"/>
                <w:sz w:val="21"/>
                <w:szCs w:val="21"/>
                <w:highlight w:val="none"/>
                <w:lang w:val="en-US" w:eastAsia="zh-CN"/>
              </w:rPr>
              <w:t>改造设备</w:t>
            </w:r>
            <w:r>
              <w:rPr>
                <w:rFonts w:hint="eastAsia" w:ascii="宋体" w:hAnsi="宋体" w:eastAsia="宋体" w:cs="宋体"/>
                <w:color w:val="auto"/>
                <w:sz w:val="21"/>
                <w:szCs w:val="21"/>
                <w:highlight w:val="none"/>
              </w:rPr>
              <w:t>质量满足</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要求。</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7"/>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现场调试不能影响既有系统正常运行。</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质量管理</w:t>
            </w:r>
          </w:p>
          <w:p>
            <w:pPr>
              <w:widowControl/>
              <w:spacing w:before="0" w:after="0" w:afterAutospacing="0" w:line="360" w:lineRule="auto"/>
              <w:ind w:left="0" w:right="0" w:firstLine="0"/>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（35%）</w:t>
            </w:r>
          </w:p>
        </w:tc>
        <w:tc>
          <w:tcPr>
            <w:tcW w:w="1134"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质量管理要求（15%）</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8"/>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用于本项目的所有设备及材料必须为质量优良的全新设备及材料，有明确的生产日期和合格证。</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8"/>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为实施本合同而向</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提供的任何产品、资料、物件及服务无知识产权纠纷问题。</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8"/>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项目的所有设备设施质量、型号尺寸、材质、颜色、档次等与</w:t>
            </w:r>
            <w:r>
              <w:rPr>
                <w:rFonts w:hint="eastAsia" w:ascii="宋体" w:hAnsi="宋体" w:eastAsia="宋体" w:cs="宋体"/>
                <w:color w:val="auto"/>
                <w:sz w:val="21"/>
                <w:szCs w:val="21"/>
                <w:highlight w:val="none"/>
                <w:lang w:val="en-US" w:eastAsia="zh-CN"/>
              </w:rPr>
              <w:t>既有线路</w:t>
            </w:r>
            <w:r>
              <w:rPr>
                <w:rFonts w:hint="eastAsia" w:ascii="宋体" w:hAnsi="宋体" w:eastAsia="宋体" w:cs="宋体"/>
                <w:color w:val="auto"/>
                <w:sz w:val="21"/>
                <w:szCs w:val="21"/>
                <w:highlight w:val="none"/>
              </w:rPr>
              <w:t>原有设备设施保持一致。</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8"/>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在工程中所用设备、材料应符合</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需求及国家现行标准。</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15%</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8"/>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按</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要求张贴设备及材料的标识标贴。</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8"/>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须提供产品数量清单、来源及质检合格证书。</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15%</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安装质量标准</w:t>
            </w:r>
          </w:p>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（30%）</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9"/>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保护管安装须满足</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安装质量标准。</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20%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9"/>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电缆敷设须满足</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安装质量标准。</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20%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9"/>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设备设施</w:t>
            </w:r>
            <w:r>
              <w:rPr>
                <w:rFonts w:hint="eastAsia" w:ascii="宋体" w:hAnsi="宋体" w:eastAsia="宋体" w:cs="宋体"/>
                <w:color w:val="auto"/>
                <w:sz w:val="21"/>
                <w:szCs w:val="21"/>
                <w:highlight w:val="none"/>
              </w:rPr>
              <w:t>安装须满足</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安装质量标准。</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20%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9"/>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孔洞封堵须满足</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安装质量标准。</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20%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69"/>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须按</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要求完成安装问题整改。</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20%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restart"/>
            <w:tcBorders>
              <w:top w:val="single" w:color="auto" w:sz="4" w:space="0"/>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功能标准（30%）</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0"/>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改造设备设施功能</w:t>
            </w:r>
            <w:r>
              <w:rPr>
                <w:rFonts w:hint="eastAsia" w:ascii="宋体" w:hAnsi="宋体" w:eastAsia="宋体" w:cs="宋体"/>
                <w:color w:val="auto"/>
                <w:sz w:val="21"/>
                <w:szCs w:val="21"/>
                <w:highlight w:val="none"/>
              </w:rPr>
              <w:t>须满足</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lang w:val="en-US" w:eastAsia="zh-CN"/>
              </w:rPr>
              <w:t>需求</w:t>
            </w:r>
            <w:r>
              <w:rPr>
                <w:rFonts w:hint="eastAsia" w:ascii="宋体" w:hAnsi="宋体" w:eastAsia="宋体" w:cs="宋体"/>
                <w:color w:val="auto"/>
                <w:sz w:val="21"/>
                <w:szCs w:val="21"/>
                <w:highlight w:val="none"/>
              </w:rPr>
              <w:t>功能标准。</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50</w:t>
            </w:r>
            <w:r>
              <w:rPr>
                <w:rFonts w:hint="eastAsia" w:ascii="宋体" w:hAnsi="宋体" w:eastAsia="宋体" w:cs="宋体"/>
                <w:color w:val="auto"/>
                <w:kern w:val="2"/>
                <w:sz w:val="21"/>
                <w:szCs w:val="21"/>
                <w:highlight w:val="none"/>
              </w:rPr>
              <w:t>%</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0"/>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须按</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要求完成功能问题整改。</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50</w:t>
            </w:r>
            <w:r>
              <w:rPr>
                <w:rFonts w:hint="eastAsia" w:ascii="宋体" w:hAnsi="宋体" w:eastAsia="宋体" w:cs="宋体"/>
                <w:color w:val="auto"/>
                <w:kern w:val="2"/>
                <w:sz w:val="21"/>
                <w:szCs w:val="21"/>
                <w:highlight w:val="none"/>
              </w:rPr>
              <w:t>%</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restart"/>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质量控制（25%）</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1"/>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应保证不得使用或加工未经检查或鉴定是否符合规定要求的产品</w:t>
            </w:r>
            <w:r>
              <w:rPr>
                <w:rFonts w:hint="eastAsia" w:ascii="宋体" w:hAnsi="宋体" w:eastAsia="宋体" w:cs="宋体"/>
                <w:color w:val="auto"/>
                <w:sz w:val="21"/>
                <w:szCs w:val="21"/>
                <w:highlight w:val="none"/>
                <w:lang w:eastAsia="zh-CN"/>
              </w:rPr>
              <w:t>。</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1"/>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对</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安排的临时任务或限期整改事项的完成情况。</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1"/>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对</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下达的整改通知单的处理情况。</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1"/>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须提供验收所需仪器仪表、工器具及设备设施。</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1"/>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须按</w:t>
            </w:r>
            <w:r>
              <w:rPr>
                <w:rFonts w:hint="eastAsia" w:ascii="宋体" w:hAnsi="宋体" w:eastAsia="宋体" w:cs="宋体"/>
                <w:color w:val="auto"/>
                <w:sz w:val="21"/>
                <w:szCs w:val="21"/>
                <w:highlight w:val="none"/>
                <w:lang w:eastAsia="zh-CN"/>
              </w:rPr>
              <w:t>甲方</w:t>
            </w:r>
            <w:r>
              <w:rPr>
                <w:rFonts w:hint="eastAsia" w:ascii="宋体" w:hAnsi="宋体" w:eastAsia="宋体" w:cs="宋体"/>
                <w:color w:val="auto"/>
                <w:sz w:val="21"/>
                <w:szCs w:val="21"/>
                <w:highlight w:val="none"/>
              </w:rPr>
              <w:t>要求提供项目文件。</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1"/>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须按项目工期要求交付项目成果。</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ascii="宋体" w:hAnsi="宋体" w:eastAsia="宋体" w:cs="宋体"/>
                <w:color w:val="auto"/>
                <w:kern w:val="2"/>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1"/>
              </w:numPr>
              <w:spacing w:before="0" w:after="0" w:afterAutospacing="0" w:line="360" w:lineRule="auto"/>
              <w:ind w:left="0" w:leftChars="0" w:right="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乙方</w:t>
            </w:r>
            <w:r>
              <w:rPr>
                <w:rFonts w:hint="eastAsia" w:ascii="宋体" w:hAnsi="宋体" w:eastAsia="宋体" w:cs="宋体"/>
                <w:color w:val="auto"/>
                <w:sz w:val="21"/>
                <w:szCs w:val="21"/>
                <w:highlight w:val="none"/>
              </w:rPr>
              <w:t>须遵守本项目质量管理规定。</w:t>
            </w:r>
          </w:p>
        </w:tc>
        <w:tc>
          <w:tcPr>
            <w:tcW w:w="698"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10%</w:t>
            </w:r>
          </w:p>
        </w:tc>
        <w:tc>
          <w:tcPr>
            <w:tcW w:w="69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ascii="宋体" w:hAnsi="宋体" w:eastAsia="宋体" w:cs="宋体"/>
                <w:color w:val="auto"/>
                <w:kern w:val="2"/>
                <w:sz w:val="21"/>
                <w:szCs w:val="21"/>
                <w:highlight w:val="none"/>
              </w:rPr>
            </w:pPr>
          </w:p>
        </w:tc>
      </w:tr>
    </w:tbl>
    <w:p>
      <w:pPr>
        <w:widowControl w:val="0"/>
        <w:spacing w:before="0" w:after="0" w:afterAutospacing="0" w:line="240" w:lineRule="auto"/>
        <w:ind w:left="0" w:right="0" w:firstLine="0"/>
        <w:rPr>
          <w:rFonts w:ascii="Times New Roman" w:hAnsi="Times New Roman" w:cs="Times New Roman" w:eastAsiaTheme="minorEastAsia"/>
          <w:color w:val="auto"/>
          <w:sz w:val="24"/>
          <w:szCs w:val="24"/>
          <w:highlight w:val="none"/>
        </w:rPr>
      </w:pPr>
    </w:p>
    <w:p>
      <w:pPr>
        <w:widowControl w:val="0"/>
        <w:spacing w:before="0" w:after="0" w:afterAutospacing="0" w:line="240" w:lineRule="auto"/>
        <w:ind w:left="0" w:right="0" w:firstLine="0"/>
        <w:jc w:val="both"/>
        <w:rPr>
          <w:rFonts w:ascii="宋体" w:hAnsi="Courier New" w:cs="Courier New" w:eastAsiaTheme="minorEastAsia"/>
          <w:color w:val="auto"/>
          <w:sz w:val="24"/>
          <w:szCs w:val="21"/>
          <w:highlight w:val="none"/>
          <w:lang w:val="en-US" w:eastAsia="zh-CN" w:bidi="ar-SA"/>
        </w:rPr>
      </w:pPr>
      <w:r>
        <w:rPr>
          <w:rFonts w:ascii="宋体" w:hAnsi="Courier New" w:cs="Courier New" w:eastAsiaTheme="minorEastAsia"/>
          <w:color w:val="auto"/>
          <w:sz w:val="24"/>
          <w:szCs w:val="21"/>
          <w:highlight w:val="none"/>
          <w:lang w:val="en-US" w:eastAsia="zh-CN" w:bidi="ar-SA"/>
        </w:rPr>
        <w:br w:type="page"/>
      </w:r>
    </w:p>
    <w:p>
      <w:pPr>
        <w:keepNext/>
        <w:keepLines/>
        <w:widowControl w:val="0"/>
        <w:numPr>
          <w:ilvl w:val="0"/>
          <w:numId w:val="0"/>
        </w:numPr>
        <w:spacing w:before="0" w:after="0" w:afterAutospacing="0" w:line="360" w:lineRule="auto"/>
        <w:ind w:left="0" w:right="0" w:firstLine="0"/>
        <w:jc w:val="left"/>
        <w:outlineLvl w:val="0"/>
        <w:rPr>
          <w:rFonts w:cs="黑体" w:asciiTheme="minorEastAsia" w:hAnsiTheme="minorEastAsia" w:eastAsiaTheme="minorEastAsia"/>
          <w:color w:val="auto"/>
          <w:kern w:val="2"/>
          <w:sz w:val="21"/>
          <w:szCs w:val="21"/>
          <w:highlight w:val="none"/>
          <w:lang w:val="en-US" w:eastAsia="zh-CN" w:bidi="ar-SA"/>
        </w:rPr>
      </w:pPr>
      <w:bookmarkStart w:id="2285" w:name="_Toc27236_WPSOffice_Level1"/>
      <w:bookmarkStart w:id="2286" w:name="_Toc7964"/>
      <w:bookmarkStart w:id="2287" w:name="_Toc32414_WPSOffice_Level2"/>
      <w:bookmarkStart w:id="2288" w:name="_Toc4123"/>
      <w:bookmarkStart w:id="2289" w:name="_Toc30821"/>
      <w:bookmarkStart w:id="2290" w:name="_Toc29740"/>
      <w:bookmarkStart w:id="2291" w:name="_Toc14754"/>
      <w:bookmarkStart w:id="2292" w:name="_Toc32007_WPSOffice_Level2"/>
      <w:bookmarkStart w:id="2293" w:name="_Toc12567"/>
      <w:bookmarkStart w:id="2294" w:name="_Toc30617"/>
      <w:bookmarkStart w:id="2295" w:name="_Toc6224"/>
      <w:bookmarkStart w:id="2296" w:name="_Toc17911"/>
      <w:r>
        <w:rPr>
          <w:rFonts w:hint="eastAsia" w:cs="黑体" w:asciiTheme="minorEastAsia" w:hAnsiTheme="minorEastAsia" w:eastAsiaTheme="minorEastAsia"/>
          <w:color w:val="auto"/>
          <w:kern w:val="2"/>
          <w:sz w:val="21"/>
          <w:szCs w:val="21"/>
          <w:highlight w:val="none"/>
          <w:lang w:val="en-US" w:eastAsia="zh-CN" w:bidi="ar-SA"/>
        </w:rPr>
        <w:t>附件3.合同违约处理通知单</w:t>
      </w:r>
      <w:bookmarkEnd w:id="2285"/>
      <w:bookmarkEnd w:id="2286"/>
      <w:bookmarkEnd w:id="2287"/>
      <w:bookmarkEnd w:id="2288"/>
      <w:bookmarkEnd w:id="2289"/>
      <w:bookmarkEnd w:id="2290"/>
      <w:bookmarkEnd w:id="2291"/>
      <w:bookmarkEnd w:id="2292"/>
      <w:bookmarkEnd w:id="2293"/>
      <w:bookmarkEnd w:id="2294"/>
      <w:bookmarkEnd w:id="2295"/>
      <w:bookmarkEnd w:id="2296"/>
    </w:p>
    <w:p>
      <w:pPr>
        <w:widowControl w:val="0"/>
        <w:spacing w:before="0" w:after="0" w:afterAutospacing="0" w:line="240" w:lineRule="auto"/>
        <w:ind w:left="0" w:right="0" w:firstLine="0"/>
        <w:jc w:val="center"/>
        <w:rPr>
          <w:rFonts w:ascii="黑体" w:hAnsi="Times New Roman" w:eastAsia="黑体" w:cs="黑体"/>
          <w:b/>
          <w:color w:val="auto"/>
          <w:sz w:val="24"/>
          <w:szCs w:val="21"/>
          <w:highlight w:val="none"/>
        </w:rPr>
      </w:pPr>
      <w:bookmarkStart w:id="2297" w:name="_Toc27679_WPSOffice_Level2"/>
      <w:r>
        <w:rPr>
          <w:rFonts w:hint="eastAsia" w:ascii="宋体" w:hAnsi="宋体" w:eastAsia="宋体" w:cs="宋体"/>
          <w:b/>
          <w:color w:val="auto"/>
          <w:sz w:val="32"/>
          <w:szCs w:val="32"/>
          <w:highlight w:val="none"/>
        </w:rPr>
        <w:t>合同违约</w:t>
      </w:r>
      <w:r>
        <w:rPr>
          <w:rFonts w:hint="eastAsia" w:ascii="宋体" w:hAnsi="宋体" w:eastAsia="宋体" w:cs="宋体"/>
          <w:b/>
          <w:color w:val="auto"/>
          <w:sz w:val="32"/>
          <w:szCs w:val="32"/>
          <w:highlight w:val="none"/>
          <w:lang w:val="en-US" w:eastAsia="zh-CN"/>
        </w:rPr>
        <w:t>处理</w:t>
      </w:r>
      <w:r>
        <w:rPr>
          <w:rFonts w:hint="eastAsia" w:ascii="宋体" w:hAnsi="宋体" w:eastAsia="宋体" w:cs="宋体"/>
          <w:b/>
          <w:color w:val="auto"/>
          <w:sz w:val="32"/>
          <w:szCs w:val="32"/>
          <w:highlight w:val="none"/>
        </w:rPr>
        <w:t>通知单</w:t>
      </w:r>
      <w:bookmarkEnd w:id="2297"/>
    </w:p>
    <w:tbl>
      <w:tblPr>
        <w:tblStyle w:val="31"/>
        <w:tblpPr w:leftFromText="180" w:rightFromText="180" w:vertAnchor="text" w:horzAnchor="page" w:tblpX="867" w:tblpY="535"/>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2904"/>
        <w:gridCol w:w="815"/>
        <w:gridCol w:w="1969"/>
        <w:gridCol w:w="72"/>
        <w:gridCol w:w="511"/>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752" w:type="dxa"/>
            <w:tcBorders>
              <w:top w:val="thinThickSmallGap" w:color="auto" w:sz="18"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Times New Roman" w:eastAsia="宋体" w:cstheme="minorBidi"/>
                <w:b/>
                <w:color w:val="auto"/>
                <w:sz w:val="24"/>
                <w:szCs w:val="21"/>
                <w:highlight w:val="none"/>
              </w:rPr>
            </w:pPr>
            <w:r>
              <w:rPr>
                <w:rFonts w:hint="eastAsia" w:ascii="宋体" w:hAnsi="宋体" w:eastAsia="宋体" w:cs="宋体"/>
                <w:b/>
                <w:color w:val="auto"/>
                <w:sz w:val="24"/>
                <w:szCs w:val="21"/>
                <w:highlight w:val="none"/>
              </w:rPr>
              <w:t>项目名称</w:t>
            </w:r>
          </w:p>
        </w:tc>
        <w:tc>
          <w:tcPr>
            <w:tcW w:w="3719" w:type="dxa"/>
            <w:gridSpan w:val="2"/>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p>
        </w:tc>
        <w:tc>
          <w:tcPr>
            <w:tcW w:w="2552" w:type="dxa"/>
            <w:gridSpan w:val="3"/>
            <w:tcBorders>
              <w:top w:val="thinThickSmallGap" w:color="auto" w:sz="18"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合同编号</w:t>
            </w:r>
          </w:p>
        </w:tc>
        <w:tc>
          <w:tcPr>
            <w:tcW w:w="2512" w:type="dxa"/>
            <w:tcBorders>
              <w:top w:val="thinThickSmallGap" w:color="auto" w:sz="18"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承包商</w:t>
            </w:r>
          </w:p>
        </w:tc>
        <w:tc>
          <w:tcPr>
            <w:tcW w:w="3719"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color w:val="auto"/>
                <w:sz w:val="24"/>
                <w:szCs w:val="21"/>
                <w:highlight w:val="none"/>
              </w:rPr>
            </w:pPr>
          </w:p>
        </w:tc>
        <w:tc>
          <w:tcPr>
            <w:tcW w:w="2552" w:type="dxa"/>
            <w:gridSpan w:val="3"/>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业主主办部门</w:t>
            </w:r>
          </w:p>
        </w:tc>
        <w:tc>
          <w:tcPr>
            <w:tcW w:w="2512" w:type="dxa"/>
            <w:tcBorders>
              <w:top w:val="single" w:color="auto" w:sz="4"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违</w:t>
            </w:r>
          </w:p>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约</w:t>
            </w:r>
          </w:p>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情</w:t>
            </w:r>
          </w:p>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况</w:t>
            </w:r>
          </w:p>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及</w:t>
            </w:r>
          </w:p>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处</w:t>
            </w:r>
          </w:p>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理</w:t>
            </w:r>
          </w:p>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意</w:t>
            </w:r>
          </w:p>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向</w:t>
            </w:r>
          </w:p>
        </w:tc>
        <w:tc>
          <w:tcPr>
            <w:tcW w:w="8783" w:type="dxa"/>
            <w:gridSpan w:val="6"/>
            <w:tcBorders>
              <w:top w:val="single" w:color="auto" w:sz="4" w:space="0"/>
              <w:left w:val="single" w:color="auto" w:sz="4" w:space="0"/>
              <w:bottom w:val="single" w:color="auto" w:sz="4" w:space="0"/>
              <w:right w:val="thinThickSmallGap" w:color="auto" w:sz="18" w:space="0"/>
            </w:tcBorders>
            <w:vAlign w:val="center"/>
          </w:tcPr>
          <w:p>
            <w:pPr>
              <w:widowControl w:val="0"/>
              <w:spacing w:before="0" w:after="0" w:afterAutospacing="0" w:line="240" w:lineRule="auto"/>
              <w:ind w:left="0" w:right="0" w:firstLine="0"/>
              <w:rPr>
                <w:rFonts w:ascii="Times New Roman" w:hAnsi="Times New Roman" w:eastAsia="Times New Roman" w:cs="Times New Roman"/>
                <w:color w:val="auto"/>
                <w:sz w:val="24"/>
                <w:szCs w:val="21"/>
                <w:highlight w:val="none"/>
              </w:rPr>
            </w:pPr>
          </w:p>
          <w:p>
            <w:pPr>
              <w:widowControl w:val="0"/>
              <w:spacing w:before="0" w:after="0" w:afterAutospacing="0" w:line="240" w:lineRule="auto"/>
              <w:ind w:left="0" w:right="0" w:firstLine="0"/>
              <w:jc w:val="both"/>
              <w:rPr>
                <w:rFonts w:ascii="宋体" w:hAnsi="Courier New" w:eastAsia="Times New Roman" w:cs="Courier New"/>
                <w:color w:val="auto"/>
                <w:sz w:val="24"/>
                <w:szCs w:val="21"/>
                <w:highlight w:val="none"/>
                <w:lang w:val="en-US" w:eastAsia="zh-CN" w:bidi="ar-SA"/>
              </w:rPr>
            </w:pPr>
          </w:p>
          <w:p>
            <w:pPr>
              <w:widowControl w:val="0"/>
              <w:spacing w:before="0" w:after="0" w:afterAutospacing="0" w:line="240" w:lineRule="auto"/>
              <w:ind w:left="0" w:right="0" w:firstLine="0"/>
              <w:jc w:val="both"/>
              <w:rPr>
                <w:rFonts w:ascii="宋体" w:hAnsi="Courier New" w:eastAsia="Times New Roman" w:cs="Courier New"/>
                <w:color w:val="auto"/>
                <w:sz w:val="24"/>
                <w:szCs w:val="21"/>
                <w:highlight w:val="none"/>
                <w:lang w:val="en-US" w:eastAsia="zh-CN" w:bidi="ar-SA"/>
              </w:rPr>
            </w:pPr>
          </w:p>
          <w:p>
            <w:pPr>
              <w:widowControl w:val="0"/>
              <w:spacing w:before="0" w:after="0" w:afterAutospacing="0" w:line="240" w:lineRule="auto"/>
              <w:ind w:left="0" w:right="0" w:firstLine="0"/>
              <w:rPr>
                <w:rFonts w:ascii="Times New Roman" w:hAnsi="Times New Roman" w:eastAsia="Times New Roman" w:cs="Times New Roman"/>
                <w:color w:val="auto"/>
                <w:sz w:val="24"/>
                <w:szCs w:val="21"/>
                <w:highlight w:val="none"/>
              </w:rPr>
            </w:pPr>
            <w:r>
              <w:rPr>
                <w:rFonts w:hint="eastAsia" w:ascii="Times New Roman" w:hAnsi="Times New Roman" w:eastAsia="Times New Roman" w:cs="Times New Roman"/>
                <w:color w:val="auto"/>
                <w:sz w:val="24"/>
                <w:szCs w:val="21"/>
                <w:highlight w:val="none"/>
              </w:rPr>
              <w:t xml:space="preserve">                                     </w:t>
            </w:r>
            <w:r>
              <w:rPr>
                <w:rFonts w:hint="eastAsia" w:ascii="宋体" w:hAnsi="宋体" w:eastAsia="宋体" w:cs="宋体"/>
                <w:color w:val="auto"/>
                <w:sz w:val="24"/>
                <w:szCs w:val="21"/>
                <w:highlight w:val="none"/>
              </w:rPr>
              <w:t>业主（公章）：</w:t>
            </w:r>
            <w:r>
              <w:rPr>
                <w:rFonts w:hint="eastAsia" w:ascii="Times New Roman" w:hAnsi="Times New Roman" w:eastAsia="Times New Roman" w:cs="Times New Roman"/>
                <w:color w:val="auto"/>
                <w:sz w:val="24"/>
                <w:szCs w:val="21"/>
                <w:highlight w:val="none"/>
              </w:rPr>
              <w:t xml:space="preserve">       </w:t>
            </w:r>
            <w:r>
              <w:rPr>
                <w:rFonts w:hint="eastAsia" w:ascii="宋体" w:hAnsi="宋体" w:eastAsia="宋体" w:cs="宋体"/>
                <w:color w:val="auto"/>
                <w:sz w:val="24"/>
                <w:szCs w:val="21"/>
                <w:highlight w:val="none"/>
              </w:rPr>
              <w:t>年</w:t>
            </w:r>
            <w:r>
              <w:rPr>
                <w:rFonts w:hint="eastAsia" w:ascii="Times New Roman" w:hAnsi="Times New Roman" w:eastAsia="Times New Roman" w:cs="Times New Roman"/>
                <w:color w:val="auto"/>
                <w:sz w:val="24"/>
                <w:szCs w:val="21"/>
                <w:highlight w:val="none"/>
              </w:rPr>
              <w:t xml:space="preserve">     </w:t>
            </w:r>
            <w:r>
              <w:rPr>
                <w:rFonts w:hint="eastAsia" w:ascii="宋体" w:hAnsi="宋体" w:eastAsia="宋体" w:cs="宋体"/>
                <w:color w:val="auto"/>
                <w:sz w:val="24"/>
                <w:szCs w:val="21"/>
                <w:highlight w:val="none"/>
              </w:rPr>
              <w:t>月</w:t>
            </w:r>
            <w:r>
              <w:rPr>
                <w:rFonts w:hint="eastAsia" w:ascii="Times New Roman" w:hAnsi="Times New Roman" w:eastAsia="Times New Roman" w:cs="Times New Roman"/>
                <w:color w:val="auto"/>
                <w:sz w:val="24"/>
                <w:szCs w:val="21"/>
                <w:highlight w:val="none"/>
              </w:rPr>
              <w:t xml:space="preserve">     </w:t>
            </w:r>
            <w:r>
              <w:rPr>
                <w:rFonts w:hint="eastAsia" w:ascii="宋体" w:hAnsi="宋体" w:eastAsia="宋体" w:cs="宋体"/>
                <w:color w:val="auto"/>
                <w:sz w:val="24"/>
                <w:szCs w:val="21"/>
                <w:highlight w:val="none"/>
              </w:rPr>
              <w:t>日</w:t>
            </w:r>
          </w:p>
          <w:p>
            <w:pPr>
              <w:widowControl w:val="0"/>
              <w:spacing w:before="0" w:after="0" w:afterAutospacing="0" w:line="240" w:lineRule="auto"/>
              <w:ind w:left="0" w:right="0" w:firstLine="0"/>
              <w:jc w:val="both"/>
              <w:rPr>
                <w:rFonts w:ascii="宋体" w:hAnsi="Courier New" w:eastAsia="Times New Roman" w:cs="Courier New"/>
                <w:color w:val="auto"/>
                <w:sz w:val="24"/>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2" w:hRule="atLeast"/>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主办部门审核意见</w:t>
            </w:r>
          </w:p>
        </w:tc>
        <w:tc>
          <w:tcPr>
            <w:tcW w:w="2904" w:type="dxa"/>
            <w:tcBorders>
              <w:top w:val="single" w:color="auto" w:sz="4" w:space="0"/>
              <w:left w:val="single" w:color="auto" w:sz="4" w:space="0"/>
              <w:bottom w:val="single" w:color="auto" w:sz="4" w:space="0"/>
              <w:right w:val="single" w:color="auto" w:sz="4" w:space="0"/>
            </w:tcBorders>
          </w:tcPr>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r>
              <w:rPr>
                <w:rFonts w:hint="eastAsia" w:ascii="宋体" w:hAnsi="宋体" w:eastAsia="宋体" w:cs="宋体"/>
                <w:color w:val="auto"/>
                <w:sz w:val="24"/>
                <w:szCs w:val="21"/>
                <w:highlight w:val="none"/>
              </w:rPr>
              <w:t>分中心：</w:t>
            </w:r>
          </w:p>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p>
          <w:p>
            <w:pPr>
              <w:widowControl w:val="0"/>
              <w:spacing w:before="0" w:after="0" w:afterAutospacing="0" w:line="240" w:lineRule="auto"/>
              <w:ind w:left="0" w:right="0" w:firstLine="0"/>
              <w:rPr>
                <w:rFonts w:ascii="Times New Roman" w:hAnsi="Times New Roman" w:eastAsia="Times New Roman" w:cstheme="minorBidi"/>
                <w:color w:val="auto"/>
                <w:sz w:val="24"/>
                <w:szCs w:val="21"/>
                <w:highlight w:val="none"/>
              </w:rPr>
            </w:pPr>
          </w:p>
        </w:tc>
        <w:tc>
          <w:tcPr>
            <w:tcW w:w="2856" w:type="dxa"/>
            <w:gridSpan w:val="3"/>
            <w:tcBorders>
              <w:top w:val="single" w:color="auto" w:sz="4" w:space="0"/>
              <w:left w:val="single" w:color="auto" w:sz="4" w:space="0"/>
              <w:bottom w:val="single" w:color="auto" w:sz="4" w:space="0"/>
              <w:right w:val="single" w:color="auto" w:sz="4" w:space="0"/>
            </w:tcBorders>
          </w:tcPr>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r>
              <w:rPr>
                <w:rFonts w:hint="eastAsia" w:ascii="宋体" w:hAnsi="宋体" w:eastAsia="宋体" w:cs="宋体"/>
                <w:color w:val="auto"/>
                <w:sz w:val="24"/>
                <w:szCs w:val="21"/>
                <w:highlight w:val="none"/>
              </w:rPr>
              <w:t>技术室：</w:t>
            </w:r>
          </w:p>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p>
          <w:p>
            <w:pPr>
              <w:widowControl w:val="0"/>
              <w:spacing w:before="0" w:after="0" w:afterAutospacing="0" w:line="240" w:lineRule="auto"/>
              <w:ind w:left="0" w:right="0" w:firstLine="0"/>
              <w:rPr>
                <w:rFonts w:ascii="Times New Roman" w:hAnsi="Times New Roman" w:eastAsia="Times New Roman" w:cstheme="minorBidi"/>
                <w:color w:val="auto"/>
                <w:sz w:val="24"/>
                <w:szCs w:val="21"/>
                <w:highlight w:val="none"/>
              </w:rPr>
            </w:pPr>
          </w:p>
        </w:tc>
        <w:tc>
          <w:tcPr>
            <w:tcW w:w="3023" w:type="dxa"/>
            <w:gridSpan w:val="2"/>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r>
              <w:rPr>
                <w:rFonts w:hint="eastAsia" w:ascii="宋体" w:hAnsi="宋体" w:eastAsia="宋体" w:cs="宋体"/>
                <w:color w:val="auto"/>
                <w:sz w:val="24"/>
                <w:szCs w:val="21"/>
                <w:highlight w:val="none"/>
              </w:rPr>
              <w:t>中心负责人：</w:t>
            </w:r>
          </w:p>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p>
          <w:p>
            <w:pPr>
              <w:widowControl w:val="0"/>
              <w:spacing w:before="0" w:after="0" w:afterAutospacing="0" w:line="240" w:lineRule="auto"/>
              <w:ind w:left="0" w:right="0" w:firstLine="0"/>
              <w:rPr>
                <w:rFonts w:ascii="Times New Roman" w:hAnsi="Times New Roman" w:eastAsia="Times New Roman" w:cstheme="minorBidi"/>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相关部门</w:t>
            </w:r>
          </w:p>
        </w:tc>
        <w:tc>
          <w:tcPr>
            <w:tcW w:w="8783" w:type="dxa"/>
            <w:gridSpan w:val="6"/>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0" w:firstLine="0"/>
              <w:jc w:val="center"/>
              <w:rPr>
                <w:rFonts w:ascii="Times New Roman" w:hAnsi="Times New Roman" w:eastAsia="Times New Roman" w:cs="宋体"/>
                <w:color w:val="auto"/>
                <w:sz w:val="24"/>
                <w:szCs w:val="21"/>
                <w:highlight w:val="none"/>
              </w:rPr>
            </w:pPr>
          </w:p>
          <w:p>
            <w:pPr>
              <w:widowControl w:val="0"/>
              <w:spacing w:before="0" w:after="0" w:afterAutospacing="0" w:line="240" w:lineRule="auto"/>
              <w:ind w:left="0" w:right="0" w:firstLine="0"/>
              <w:jc w:val="center"/>
              <w:rPr>
                <w:rFonts w:ascii="Times New Roman" w:hAnsi="Times New Roman" w:eastAsia="Times New Roman" w:cstheme="minorBidi"/>
                <w:b/>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分公司分管领导</w:t>
            </w:r>
          </w:p>
        </w:tc>
        <w:tc>
          <w:tcPr>
            <w:tcW w:w="8783" w:type="dxa"/>
            <w:gridSpan w:val="6"/>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0" w:firstLine="0"/>
              <w:jc w:val="center"/>
              <w:rPr>
                <w:rFonts w:ascii="Times New Roman" w:hAnsi="Times New Roman" w:eastAsia="Times New Roman" w:cs="宋体"/>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rPr>
        <w:tc>
          <w:tcPr>
            <w:tcW w:w="1752" w:type="dxa"/>
            <w:tcBorders>
              <w:top w:val="single" w:color="auto" w:sz="4" w:space="0"/>
              <w:left w:val="thinThickSmallGap" w:color="auto" w:sz="18" w:space="0"/>
              <w:bottom w:val="thinThickSmallGap" w:color="auto" w:sz="18"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heme="minorBidi"/>
                <w:b/>
                <w:color w:val="auto"/>
                <w:sz w:val="24"/>
                <w:szCs w:val="21"/>
                <w:highlight w:val="none"/>
              </w:rPr>
            </w:pPr>
            <w:r>
              <w:rPr>
                <w:rFonts w:hint="eastAsia" w:ascii="宋体" w:hAnsi="宋体" w:eastAsia="宋体" w:cs="宋体"/>
                <w:b/>
                <w:color w:val="auto"/>
                <w:sz w:val="24"/>
                <w:szCs w:val="21"/>
                <w:highlight w:val="none"/>
              </w:rPr>
              <w:t>分公司总经理</w:t>
            </w:r>
          </w:p>
        </w:tc>
        <w:tc>
          <w:tcPr>
            <w:tcW w:w="8783" w:type="dxa"/>
            <w:gridSpan w:val="6"/>
            <w:tcBorders>
              <w:top w:val="single" w:color="auto" w:sz="4" w:space="0"/>
              <w:left w:val="single" w:color="auto" w:sz="4" w:space="0"/>
              <w:bottom w:val="thinThickSmallGap" w:color="auto" w:sz="18" w:space="0"/>
              <w:right w:val="thinThickSmallGap" w:color="auto" w:sz="18" w:space="0"/>
            </w:tcBorders>
          </w:tcPr>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p>
          <w:p>
            <w:pPr>
              <w:widowControl w:val="0"/>
              <w:spacing w:before="0" w:after="0" w:afterAutospacing="0" w:line="240" w:lineRule="auto"/>
              <w:ind w:left="0" w:right="0" w:firstLine="0"/>
              <w:rPr>
                <w:rFonts w:ascii="Times New Roman" w:hAnsi="Times New Roman" w:eastAsia="Times New Roman" w:cstheme="minorBidi"/>
                <w:bCs/>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6" w:hRule="atLeast"/>
        </w:trPr>
        <w:tc>
          <w:tcPr>
            <w:tcW w:w="1752" w:type="dxa"/>
            <w:tcBorders>
              <w:top w:val="thinThickSmallGap" w:color="auto" w:sz="18" w:space="0"/>
              <w:left w:val="thinThickSmallGap" w:color="auto" w:sz="18" w:space="0"/>
              <w:bottom w:val="thinThickSmallGap" w:color="auto" w:sz="18"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申诉意见</w:t>
            </w:r>
          </w:p>
        </w:tc>
        <w:tc>
          <w:tcPr>
            <w:tcW w:w="8783" w:type="dxa"/>
            <w:gridSpan w:val="6"/>
            <w:tcBorders>
              <w:top w:val="thinThickSmallGap" w:color="auto" w:sz="18" w:space="0"/>
              <w:left w:val="single" w:color="auto" w:sz="4" w:space="0"/>
              <w:bottom w:val="thinThickSmallGap" w:color="auto" w:sz="18" w:space="0"/>
              <w:right w:val="thinThickSmallGap" w:color="auto" w:sz="18" w:space="0"/>
            </w:tcBorders>
          </w:tcPr>
          <w:p>
            <w:pPr>
              <w:widowControl w:val="0"/>
              <w:spacing w:before="0" w:after="0" w:afterAutospacing="0" w:line="240" w:lineRule="auto"/>
              <w:ind w:left="0" w:right="0" w:firstLine="0"/>
              <w:jc w:val="both"/>
              <w:rPr>
                <w:rFonts w:ascii="宋体" w:hAnsi="Courier New" w:eastAsia="Times New Roman" w:cs="Courier New"/>
                <w:color w:val="auto"/>
                <w:sz w:val="24"/>
                <w:szCs w:val="21"/>
                <w:highlight w:val="none"/>
                <w:lang w:val="en-US" w:eastAsia="zh-CN" w:bidi="ar-SA"/>
              </w:rPr>
            </w:pPr>
          </w:p>
          <w:p>
            <w:pPr>
              <w:widowControl/>
              <w:spacing w:before="0" w:after="0" w:afterAutospacing="0" w:line="240" w:lineRule="auto"/>
              <w:ind w:left="0" w:right="0" w:firstLine="0"/>
              <w:rPr>
                <w:rFonts w:ascii="Times New Roman" w:hAnsi="Times New Roman" w:eastAsia="Times New Roman" w:cs="Times New Roman"/>
                <w:bCs/>
                <w:color w:val="auto"/>
                <w:sz w:val="24"/>
                <w:szCs w:val="21"/>
                <w:highlight w:val="none"/>
              </w:rPr>
            </w:pPr>
          </w:p>
          <w:p>
            <w:pPr>
              <w:widowControl/>
              <w:spacing w:before="0" w:after="0" w:afterAutospacing="0" w:line="240" w:lineRule="auto"/>
              <w:ind w:left="0" w:right="0" w:firstLine="0"/>
              <w:rPr>
                <w:rFonts w:ascii="Times New Roman" w:hAnsi="Times New Roman" w:eastAsia="Times New Roman" w:cs="Times New Roman"/>
                <w:b/>
                <w:color w:val="auto"/>
                <w:sz w:val="24"/>
                <w:szCs w:val="21"/>
                <w:highlight w:val="none"/>
              </w:rPr>
            </w:pPr>
            <w:r>
              <w:rPr>
                <w:rFonts w:hint="eastAsia" w:ascii="宋体" w:hAnsi="宋体" w:eastAsia="宋体" w:cs="宋体"/>
                <w:bCs/>
                <w:color w:val="auto"/>
                <w:sz w:val="24"/>
                <w:szCs w:val="21"/>
                <w:highlight w:val="none"/>
              </w:rPr>
              <w:t>承包商项目负责人（签章）：</w:t>
            </w:r>
            <w:r>
              <w:rPr>
                <w:rFonts w:hint="eastAsia" w:ascii="Times New Roman" w:hAnsi="Times New Roman" w:eastAsia="Times New Roman" w:cs="Times New Roman"/>
                <w:bCs/>
                <w:color w:val="auto"/>
                <w:sz w:val="24"/>
                <w:szCs w:val="21"/>
                <w:highlight w:val="none"/>
              </w:rPr>
              <w:t xml:space="preserve">                  </w:t>
            </w:r>
            <w:r>
              <w:rPr>
                <w:rFonts w:hint="eastAsia" w:ascii="宋体" w:hAnsi="宋体" w:eastAsia="宋体" w:cs="宋体"/>
                <w:bCs/>
                <w:color w:val="auto"/>
                <w:sz w:val="24"/>
                <w:szCs w:val="21"/>
                <w:highlight w:val="none"/>
              </w:rPr>
              <w:t>承包商（公章）：</w:t>
            </w:r>
            <w:r>
              <w:rPr>
                <w:rFonts w:hint="eastAsia" w:ascii="Times New Roman" w:hAnsi="Times New Roman" w:eastAsia="Times New Roman" w:cs="Times New Roman"/>
                <w:bCs/>
                <w:color w:val="auto"/>
                <w:sz w:val="24"/>
                <w:szCs w:val="21"/>
                <w:highlight w:val="none"/>
              </w:rPr>
              <w:t xml:space="preserve">     </w:t>
            </w:r>
            <w:r>
              <w:rPr>
                <w:rFonts w:hint="eastAsia" w:ascii="宋体" w:hAnsi="宋体" w:eastAsia="宋体" w:cs="宋体"/>
                <w:bCs/>
                <w:color w:val="auto"/>
                <w:sz w:val="24"/>
                <w:szCs w:val="21"/>
                <w:highlight w:val="none"/>
              </w:rPr>
              <w:t>年</w:t>
            </w:r>
            <w:r>
              <w:rPr>
                <w:rFonts w:hint="eastAsia" w:ascii="Times New Roman" w:hAnsi="Times New Roman" w:eastAsia="Times New Roman" w:cs="Times New Roman"/>
                <w:bCs/>
                <w:color w:val="auto"/>
                <w:sz w:val="24"/>
                <w:szCs w:val="21"/>
                <w:highlight w:val="none"/>
              </w:rPr>
              <w:t xml:space="preserve">  </w:t>
            </w:r>
            <w:r>
              <w:rPr>
                <w:rFonts w:hint="eastAsia" w:ascii="宋体" w:hAnsi="宋体" w:eastAsia="宋体" w:cs="宋体"/>
                <w:bCs/>
                <w:color w:val="auto"/>
                <w:sz w:val="24"/>
                <w:szCs w:val="21"/>
                <w:highlight w:val="none"/>
              </w:rPr>
              <w:t>月</w:t>
            </w:r>
            <w:r>
              <w:rPr>
                <w:rFonts w:hint="eastAsia" w:ascii="Times New Roman" w:hAnsi="Times New Roman" w:eastAsia="Times New Roman" w:cs="Times New Roman"/>
                <w:bCs/>
                <w:color w:val="auto"/>
                <w:sz w:val="24"/>
                <w:szCs w:val="21"/>
                <w:highlight w:val="none"/>
              </w:rPr>
              <w:t xml:space="preserve">  </w:t>
            </w:r>
            <w:r>
              <w:rPr>
                <w:rFonts w:hint="eastAsia" w:ascii="宋体" w:hAnsi="宋体" w:eastAsia="宋体" w:cs="宋体"/>
                <w:bCs/>
                <w:color w:val="auto"/>
                <w:sz w:val="24"/>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3" w:hRule="atLeast"/>
        </w:trPr>
        <w:tc>
          <w:tcPr>
            <w:tcW w:w="1752" w:type="dxa"/>
            <w:tcBorders>
              <w:top w:val="thinThickSmallGap" w:color="auto" w:sz="18"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违约处理决定</w:t>
            </w:r>
          </w:p>
        </w:tc>
        <w:tc>
          <w:tcPr>
            <w:tcW w:w="8783" w:type="dxa"/>
            <w:gridSpan w:val="6"/>
            <w:tcBorders>
              <w:top w:val="thinThickSmallGap" w:color="auto" w:sz="18" w:space="0"/>
              <w:left w:val="single" w:color="auto" w:sz="4" w:space="0"/>
              <w:bottom w:val="single" w:color="auto" w:sz="4" w:space="0"/>
              <w:right w:val="thinThickSmallGap" w:color="auto" w:sz="18" w:space="0"/>
            </w:tcBorders>
          </w:tcPr>
          <w:p>
            <w:pPr>
              <w:widowControl w:val="0"/>
              <w:spacing w:before="0" w:after="0" w:afterAutospacing="0" w:line="240" w:lineRule="auto"/>
              <w:ind w:left="0" w:right="0" w:firstLine="0"/>
              <w:jc w:val="both"/>
              <w:rPr>
                <w:rFonts w:ascii="宋体" w:hAnsi="Courier New" w:eastAsia="Times New Roman" w:cs="Courier New"/>
                <w:color w:val="auto"/>
                <w:sz w:val="24"/>
                <w:szCs w:val="21"/>
                <w:highlight w:val="none"/>
                <w:lang w:val="en-US" w:eastAsia="zh-CN" w:bidi="ar-SA"/>
              </w:rPr>
            </w:pPr>
          </w:p>
          <w:p>
            <w:pPr>
              <w:widowControl w:val="0"/>
              <w:spacing w:before="0" w:after="0" w:afterAutospacing="0" w:line="240" w:lineRule="auto"/>
              <w:ind w:left="0" w:right="0" w:firstLine="0"/>
              <w:jc w:val="both"/>
              <w:rPr>
                <w:rFonts w:ascii="宋体" w:hAnsi="Courier New" w:eastAsia="Times New Roman" w:cs="Courier New"/>
                <w:color w:val="auto"/>
                <w:sz w:val="24"/>
                <w:szCs w:val="21"/>
                <w:highlight w:val="none"/>
                <w:lang w:val="en-US" w:eastAsia="zh-CN" w:bidi="ar-SA"/>
              </w:rPr>
            </w:pPr>
          </w:p>
          <w:p>
            <w:pPr>
              <w:widowControl w:val="0"/>
              <w:spacing w:before="0" w:after="0" w:afterAutospacing="0" w:line="240" w:lineRule="auto"/>
              <w:ind w:left="0" w:right="0" w:firstLine="0"/>
              <w:jc w:val="both"/>
              <w:rPr>
                <w:rFonts w:ascii="宋体" w:hAnsi="Courier New" w:eastAsia="Times New Roman" w:cs="Courier New"/>
                <w:color w:val="auto"/>
                <w:sz w:val="24"/>
                <w:szCs w:val="21"/>
                <w:highlight w:val="none"/>
                <w:lang w:val="en-US" w:eastAsia="zh-CN" w:bidi="ar-SA"/>
              </w:rPr>
            </w:pPr>
          </w:p>
          <w:p>
            <w:pPr>
              <w:widowControl/>
              <w:spacing w:before="0" w:after="0" w:afterAutospacing="0" w:line="240" w:lineRule="auto"/>
              <w:ind w:left="0" w:right="0" w:firstLine="0"/>
              <w:rPr>
                <w:rFonts w:ascii="Times New Roman" w:hAnsi="Times New Roman" w:eastAsia="Times New Roman" w:cs="Times New Roman"/>
                <w:color w:val="auto"/>
                <w:sz w:val="24"/>
                <w:szCs w:val="21"/>
                <w:highlight w:val="none"/>
              </w:rPr>
            </w:pPr>
            <w:r>
              <w:rPr>
                <w:rFonts w:hint="eastAsia" w:ascii="宋体" w:hAnsi="宋体" w:eastAsia="宋体" w:cs="宋体"/>
                <w:color w:val="auto"/>
                <w:sz w:val="24"/>
                <w:szCs w:val="21"/>
                <w:highlight w:val="none"/>
              </w:rPr>
              <w:t>业主审批领导（签章）：</w:t>
            </w:r>
            <w:r>
              <w:rPr>
                <w:rFonts w:hint="eastAsia" w:ascii="Times New Roman" w:hAnsi="Times New Roman" w:eastAsia="Times New Roman" w:cs="Times New Roman"/>
                <w:color w:val="auto"/>
                <w:sz w:val="24"/>
                <w:szCs w:val="21"/>
                <w:highlight w:val="none"/>
              </w:rPr>
              <w:t xml:space="preserve">                 </w:t>
            </w:r>
            <w:r>
              <w:rPr>
                <w:rFonts w:hint="eastAsia" w:ascii="宋体" w:hAnsi="宋体" w:eastAsia="宋体" w:cs="宋体"/>
                <w:color w:val="auto"/>
                <w:sz w:val="24"/>
                <w:szCs w:val="21"/>
                <w:highlight w:val="none"/>
              </w:rPr>
              <w:t>业主（公章）</w:t>
            </w:r>
            <w:r>
              <w:rPr>
                <w:rFonts w:hint="eastAsia" w:ascii="Times New Roman" w:hAnsi="Times New Roman" w:eastAsia="Times New Roman" w:cs="Times New Roman"/>
                <w:color w:val="auto"/>
                <w:sz w:val="24"/>
                <w:szCs w:val="21"/>
                <w:highlight w:val="none"/>
              </w:rPr>
              <w:t xml:space="preserve">     </w:t>
            </w:r>
            <w:r>
              <w:rPr>
                <w:rFonts w:hint="eastAsia" w:ascii="宋体" w:hAnsi="宋体" w:eastAsia="宋体" w:cs="宋体"/>
                <w:color w:val="auto"/>
                <w:sz w:val="24"/>
                <w:szCs w:val="21"/>
                <w:highlight w:val="none"/>
              </w:rPr>
              <w:t>年</w:t>
            </w:r>
            <w:r>
              <w:rPr>
                <w:rFonts w:hint="eastAsia" w:ascii="Times New Roman" w:hAnsi="Times New Roman" w:eastAsia="Times New Roman" w:cs="Times New Roman"/>
                <w:color w:val="auto"/>
                <w:sz w:val="24"/>
                <w:szCs w:val="21"/>
                <w:highlight w:val="none"/>
              </w:rPr>
              <w:t xml:space="preserve">     </w:t>
            </w:r>
            <w:r>
              <w:rPr>
                <w:rFonts w:hint="eastAsia" w:ascii="宋体" w:hAnsi="宋体" w:eastAsia="宋体" w:cs="宋体"/>
                <w:color w:val="auto"/>
                <w:sz w:val="24"/>
                <w:szCs w:val="21"/>
                <w:highlight w:val="none"/>
              </w:rPr>
              <w:t>月</w:t>
            </w:r>
            <w:r>
              <w:rPr>
                <w:rFonts w:hint="eastAsia" w:ascii="Times New Roman" w:hAnsi="Times New Roman" w:eastAsia="Times New Roman" w:cs="Times New Roman"/>
                <w:color w:val="auto"/>
                <w:sz w:val="24"/>
                <w:szCs w:val="21"/>
                <w:highlight w:val="none"/>
              </w:rPr>
              <w:t xml:space="preserve">     </w:t>
            </w:r>
            <w:r>
              <w:rPr>
                <w:rFonts w:hint="eastAsia" w:ascii="宋体" w:hAnsi="宋体" w:eastAsia="宋体" w:cs="宋体"/>
                <w:color w:val="auto"/>
                <w:sz w:val="24"/>
                <w:szCs w:val="21"/>
                <w:highlight w:val="none"/>
              </w:rPr>
              <w:t>日</w:t>
            </w:r>
          </w:p>
          <w:p>
            <w:pPr>
              <w:widowControl w:val="0"/>
              <w:spacing w:before="0" w:after="0" w:afterAutospacing="0" w:line="240" w:lineRule="auto"/>
              <w:ind w:left="0" w:right="0" w:firstLine="0"/>
              <w:jc w:val="both"/>
              <w:rPr>
                <w:rFonts w:ascii="宋体" w:hAnsi="Courier New" w:eastAsia="Times New Roman" w:cs="Courier New"/>
                <w:color w:val="auto"/>
                <w:sz w:val="24"/>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0" w:hRule="atLeast"/>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主办部门审核意见</w:t>
            </w:r>
          </w:p>
        </w:tc>
        <w:tc>
          <w:tcPr>
            <w:tcW w:w="2904" w:type="dxa"/>
            <w:tcBorders>
              <w:top w:val="single" w:color="auto" w:sz="4" w:space="0"/>
              <w:left w:val="single" w:color="auto" w:sz="4" w:space="0"/>
              <w:bottom w:val="single" w:color="auto" w:sz="4" w:space="0"/>
              <w:right w:val="single" w:color="auto" w:sz="6" w:space="0"/>
            </w:tcBorders>
          </w:tcPr>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r>
              <w:rPr>
                <w:rFonts w:hint="eastAsia" w:ascii="宋体" w:hAnsi="宋体" w:eastAsia="宋体" w:cs="宋体"/>
                <w:color w:val="auto"/>
                <w:sz w:val="24"/>
                <w:szCs w:val="21"/>
                <w:highlight w:val="none"/>
              </w:rPr>
              <w:t>分中心：</w:t>
            </w:r>
          </w:p>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p>
        </w:tc>
        <w:tc>
          <w:tcPr>
            <w:tcW w:w="2784" w:type="dxa"/>
            <w:gridSpan w:val="2"/>
            <w:tcBorders>
              <w:top w:val="single" w:color="auto" w:sz="4" w:space="0"/>
              <w:left w:val="single" w:color="auto" w:sz="6" w:space="0"/>
              <w:bottom w:val="single" w:color="auto" w:sz="4" w:space="0"/>
              <w:right w:val="single" w:color="auto" w:sz="4" w:space="0"/>
            </w:tcBorders>
          </w:tcPr>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r>
              <w:rPr>
                <w:rFonts w:hint="eastAsia" w:ascii="宋体" w:hAnsi="宋体" w:eastAsia="宋体" w:cs="宋体"/>
                <w:color w:val="auto"/>
                <w:sz w:val="24"/>
                <w:szCs w:val="21"/>
                <w:highlight w:val="none"/>
              </w:rPr>
              <w:t>技术室：</w:t>
            </w:r>
          </w:p>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p>
        </w:tc>
        <w:tc>
          <w:tcPr>
            <w:tcW w:w="3095" w:type="dxa"/>
            <w:gridSpan w:val="3"/>
            <w:tcBorders>
              <w:top w:val="single" w:color="auto" w:sz="4" w:space="0"/>
              <w:left w:val="single" w:color="auto" w:sz="4" w:space="0"/>
              <w:bottom w:val="single" w:color="auto" w:sz="4" w:space="0"/>
              <w:right w:val="thinThickSmallGap" w:color="auto" w:sz="18" w:space="0"/>
            </w:tcBorders>
          </w:tcPr>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r>
              <w:rPr>
                <w:rFonts w:hint="eastAsia" w:ascii="宋体" w:hAnsi="宋体" w:eastAsia="宋体" w:cs="宋体"/>
                <w:color w:val="auto"/>
                <w:sz w:val="24"/>
                <w:szCs w:val="21"/>
                <w:highlight w:val="none"/>
              </w:rPr>
              <w:t>中心负责人：</w:t>
            </w:r>
          </w:p>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heme="minorBidi"/>
                <w:b/>
                <w:color w:val="auto"/>
                <w:sz w:val="24"/>
                <w:szCs w:val="21"/>
                <w:highlight w:val="none"/>
              </w:rPr>
            </w:pPr>
            <w:r>
              <w:rPr>
                <w:rFonts w:hint="eastAsia" w:ascii="宋体" w:hAnsi="宋体" w:eastAsia="宋体" w:cs="宋体"/>
                <w:b/>
                <w:color w:val="auto"/>
                <w:sz w:val="24"/>
                <w:szCs w:val="21"/>
                <w:highlight w:val="none"/>
              </w:rPr>
              <w:t>相关部门</w:t>
            </w:r>
          </w:p>
        </w:tc>
        <w:tc>
          <w:tcPr>
            <w:tcW w:w="8783" w:type="dxa"/>
            <w:gridSpan w:val="6"/>
            <w:tcBorders>
              <w:top w:val="nil"/>
              <w:left w:val="single" w:color="auto" w:sz="4" w:space="0"/>
              <w:bottom w:val="single" w:color="auto" w:sz="4" w:space="0"/>
              <w:right w:val="thinThickSmallGap" w:color="auto" w:sz="18" w:space="0"/>
            </w:tcBorders>
          </w:tcPr>
          <w:p>
            <w:pPr>
              <w:widowControl w:val="0"/>
              <w:spacing w:before="0" w:after="0" w:afterAutospacing="0" w:line="240" w:lineRule="auto"/>
              <w:ind w:left="0" w:right="0" w:firstLine="0"/>
              <w:rPr>
                <w:rFonts w:ascii="Times New Roman" w:hAnsi="Times New Roman" w:eastAsia="Times New Roman" w:cs="宋体"/>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52" w:type="dxa"/>
            <w:tcBorders>
              <w:top w:val="single" w:color="auto" w:sz="4" w:space="0"/>
              <w:left w:val="thinThickSmallGap" w:color="auto" w:sz="18"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heme="minorBidi"/>
                <w:b/>
                <w:color w:val="auto"/>
                <w:sz w:val="24"/>
                <w:szCs w:val="21"/>
                <w:highlight w:val="none"/>
              </w:rPr>
            </w:pPr>
            <w:r>
              <w:rPr>
                <w:rFonts w:hint="eastAsia" w:ascii="宋体" w:hAnsi="宋体" w:eastAsia="宋体" w:cs="宋体"/>
                <w:b/>
                <w:color w:val="auto"/>
                <w:sz w:val="24"/>
                <w:szCs w:val="21"/>
                <w:highlight w:val="none"/>
              </w:rPr>
              <w:t>分公司分管领导</w:t>
            </w:r>
          </w:p>
        </w:tc>
        <w:tc>
          <w:tcPr>
            <w:tcW w:w="8783" w:type="dxa"/>
            <w:gridSpan w:val="6"/>
            <w:tcBorders>
              <w:top w:val="single" w:color="auto" w:sz="4" w:space="0"/>
              <w:left w:val="single" w:color="auto" w:sz="4" w:space="0"/>
              <w:bottom w:val="single" w:color="auto" w:sz="4" w:space="0"/>
              <w:right w:val="thinThickSmallGap" w:color="auto" w:sz="18" w:space="0"/>
            </w:tcBorders>
          </w:tcPr>
          <w:p>
            <w:pPr>
              <w:widowControl/>
              <w:spacing w:before="0" w:after="0" w:afterAutospacing="0" w:line="240" w:lineRule="auto"/>
              <w:ind w:left="0" w:right="0" w:firstLine="0"/>
              <w:rPr>
                <w:rFonts w:ascii="Times New Roman" w:hAnsi="Times New Roman" w:eastAsia="Times New Roman" w:cs="宋体"/>
                <w:color w:val="auto"/>
                <w:sz w:val="24"/>
                <w:szCs w:val="21"/>
                <w:highlight w:val="none"/>
              </w:rPr>
            </w:pPr>
          </w:p>
          <w:p>
            <w:pPr>
              <w:widowControl/>
              <w:spacing w:before="0" w:after="0" w:afterAutospacing="0" w:line="240" w:lineRule="auto"/>
              <w:ind w:left="0" w:right="0" w:firstLine="0"/>
              <w:rPr>
                <w:rFonts w:ascii="Times New Roman" w:hAnsi="Times New Roman" w:eastAsia="Times New Roman" w:cstheme="minorBidi"/>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52" w:type="dxa"/>
            <w:tcBorders>
              <w:top w:val="single" w:color="auto" w:sz="4" w:space="0"/>
              <w:left w:val="thinThickSmallGap" w:color="auto" w:sz="18" w:space="0"/>
              <w:bottom w:val="thinThickSmallGap" w:color="auto" w:sz="18" w:space="0"/>
              <w:right w:val="single" w:color="auto" w:sz="4" w:space="0"/>
            </w:tcBorders>
            <w:vAlign w:val="center"/>
          </w:tcPr>
          <w:p>
            <w:pPr>
              <w:widowControl w:val="0"/>
              <w:spacing w:before="0" w:after="0" w:afterAutospacing="0" w:line="240" w:lineRule="auto"/>
              <w:ind w:left="0" w:right="0" w:firstLine="0"/>
              <w:jc w:val="center"/>
              <w:rPr>
                <w:rFonts w:ascii="Times New Roman" w:hAnsi="Times New Roman" w:eastAsia="Times New Roman" w:cs="Times New Roman"/>
                <w:b/>
                <w:color w:val="auto"/>
                <w:sz w:val="24"/>
                <w:szCs w:val="21"/>
                <w:highlight w:val="none"/>
              </w:rPr>
            </w:pPr>
            <w:r>
              <w:rPr>
                <w:rFonts w:hint="eastAsia" w:ascii="宋体" w:hAnsi="宋体" w:eastAsia="宋体" w:cs="宋体"/>
                <w:b/>
                <w:color w:val="auto"/>
                <w:sz w:val="24"/>
                <w:szCs w:val="21"/>
                <w:highlight w:val="none"/>
              </w:rPr>
              <w:t>分公司总经理</w:t>
            </w:r>
          </w:p>
        </w:tc>
        <w:tc>
          <w:tcPr>
            <w:tcW w:w="8783" w:type="dxa"/>
            <w:gridSpan w:val="6"/>
            <w:tcBorders>
              <w:top w:val="single" w:color="auto" w:sz="4" w:space="0"/>
              <w:left w:val="single" w:color="auto" w:sz="4" w:space="0"/>
              <w:bottom w:val="thinThickSmallGap" w:color="auto" w:sz="18" w:space="0"/>
              <w:right w:val="thinThickSmallGap" w:color="auto" w:sz="18" w:space="0"/>
            </w:tcBorders>
          </w:tcPr>
          <w:p>
            <w:pPr>
              <w:widowControl/>
              <w:spacing w:before="0" w:after="0" w:afterAutospacing="0" w:line="240" w:lineRule="auto"/>
              <w:ind w:left="0" w:right="0" w:firstLine="0"/>
              <w:rPr>
                <w:rFonts w:ascii="Times New Roman" w:hAnsi="Times New Roman" w:eastAsia="Times New Roman" w:cs="宋体"/>
                <w:color w:val="auto"/>
                <w:sz w:val="24"/>
                <w:szCs w:val="21"/>
                <w:highlight w:val="none"/>
              </w:rPr>
            </w:pPr>
          </w:p>
          <w:p>
            <w:pPr>
              <w:widowControl/>
              <w:spacing w:before="0" w:after="0" w:afterAutospacing="0" w:line="240" w:lineRule="auto"/>
              <w:ind w:left="0" w:right="0" w:firstLine="0"/>
              <w:rPr>
                <w:rFonts w:ascii="Times New Roman" w:hAnsi="Times New Roman" w:eastAsia="Times New Roman" w:cstheme="minorBidi"/>
                <w:color w:val="auto"/>
                <w:sz w:val="24"/>
                <w:szCs w:val="21"/>
                <w:highlight w:val="none"/>
              </w:rPr>
            </w:pPr>
          </w:p>
        </w:tc>
      </w:tr>
    </w:tbl>
    <w:p>
      <w:pPr>
        <w:widowControl w:val="0"/>
        <w:spacing w:before="0" w:after="0" w:afterAutospacing="0" w:line="240" w:lineRule="exact"/>
        <w:ind w:left="0" w:right="0" w:firstLine="0"/>
        <w:rPr>
          <w:rFonts w:ascii="宋体" w:hAnsi="宋体" w:eastAsia="宋体" w:cs="宋体"/>
          <w:b/>
          <w:bCs/>
          <w:color w:val="auto"/>
          <w:sz w:val="24"/>
          <w:szCs w:val="21"/>
          <w:highlight w:val="none"/>
        </w:rPr>
      </w:pPr>
    </w:p>
    <w:p>
      <w:pPr>
        <w:widowControl w:val="0"/>
        <w:spacing w:before="0" w:after="0" w:afterAutospacing="0" w:line="240" w:lineRule="exact"/>
        <w:ind w:left="0" w:right="0" w:firstLine="0"/>
        <w:rPr>
          <w:rFonts w:hint="eastAsia" w:ascii="宋体" w:hAnsi="宋体" w:eastAsia="宋体" w:cs="宋体"/>
          <w:b/>
          <w:bCs/>
          <w:color w:val="auto"/>
          <w:sz w:val="24"/>
          <w:szCs w:val="21"/>
          <w:highlight w:val="none"/>
        </w:rPr>
      </w:pPr>
      <w:bookmarkStart w:id="2298" w:name="_Toc28821_WPSOffice_Level2"/>
    </w:p>
    <w:p>
      <w:pPr>
        <w:widowControl w:val="0"/>
        <w:spacing w:before="0" w:after="0" w:afterAutospacing="0" w:line="240" w:lineRule="exact"/>
        <w:ind w:left="0" w:right="0" w:firstLine="0"/>
        <w:rPr>
          <w:rFonts w:hint="eastAsia" w:ascii="宋体" w:hAnsi="宋体" w:eastAsia="宋体" w:cs="宋体"/>
          <w:b/>
          <w:bCs/>
          <w:color w:val="auto"/>
          <w:sz w:val="24"/>
          <w:szCs w:val="21"/>
          <w:highlight w:val="none"/>
        </w:rPr>
      </w:pPr>
    </w:p>
    <w:p>
      <w:pPr>
        <w:widowControl w:val="0"/>
        <w:spacing w:before="0" w:after="0" w:afterAutospacing="0" w:line="240" w:lineRule="exact"/>
        <w:ind w:left="0" w:right="0" w:firstLine="0"/>
        <w:rPr>
          <w:rFonts w:ascii="Times New Roman" w:hAnsi="Times New Roman" w:eastAsia="Times New Roman" w:cstheme="minorBidi"/>
          <w:b/>
          <w:bCs/>
          <w:color w:val="auto"/>
          <w:sz w:val="21"/>
          <w:szCs w:val="21"/>
          <w:highlight w:val="none"/>
        </w:rPr>
      </w:pPr>
      <w:r>
        <w:rPr>
          <w:rFonts w:hint="eastAsia" w:ascii="宋体" w:hAnsi="宋体" w:eastAsia="宋体" w:cs="宋体"/>
          <w:b/>
          <w:bCs/>
          <w:color w:val="auto"/>
          <w:sz w:val="24"/>
          <w:szCs w:val="21"/>
          <w:highlight w:val="none"/>
        </w:rPr>
        <w:t>送达回执：</w:t>
      </w:r>
      <w:bookmarkEnd w:id="2298"/>
    </w:p>
    <w:p>
      <w:pPr>
        <w:widowControl w:val="0"/>
        <w:spacing w:before="0" w:after="0" w:afterAutospacing="0" w:line="240" w:lineRule="exact"/>
        <w:ind w:left="0" w:right="0" w:firstLine="0"/>
        <w:rPr>
          <w:rFonts w:ascii="Times New Roman" w:hAnsi="Times New Roman" w:eastAsia="Times New Roman" w:cs="Times New Roman"/>
          <w:bCs/>
          <w:color w:val="auto"/>
          <w:sz w:val="24"/>
          <w:szCs w:val="21"/>
          <w:highlight w:val="none"/>
        </w:rPr>
      </w:pPr>
    </w:p>
    <w:p>
      <w:pPr>
        <w:widowControl w:val="0"/>
        <w:spacing w:before="0" w:after="0" w:afterAutospacing="0" w:line="240" w:lineRule="exact"/>
        <w:ind w:left="0" w:right="0" w:firstLine="0"/>
        <w:jc w:val="right"/>
        <w:rPr>
          <w:rFonts w:ascii="Times New Roman" w:hAnsi="Times New Roman" w:eastAsia="Times New Roman" w:cs="Times New Roman"/>
          <w:bCs/>
          <w:color w:val="auto"/>
          <w:sz w:val="24"/>
          <w:szCs w:val="21"/>
          <w:highlight w:val="none"/>
        </w:rPr>
      </w:pPr>
      <w:bookmarkStart w:id="2299" w:name="_Toc28898_WPSOffice_Level2"/>
      <w:r>
        <w:rPr>
          <w:rFonts w:hint="eastAsia" w:ascii="宋体" w:hAnsi="宋体" w:eastAsia="宋体" w:cs="宋体"/>
          <w:bCs/>
          <w:color w:val="auto"/>
          <w:sz w:val="24"/>
          <w:szCs w:val="21"/>
          <w:highlight w:val="none"/>
        </w:rPr>
        <w:t>承包商签收（签章）</w:t>
      </w:r>
      <w:r>
        <w:rPr>
          <w:rFonts w:hint="eastAsia" w:ascii="Times New Roman" w:hAnsi="Times New Roman" w:eastAsia="Times New Roman" w:cs="Times New Roman"/>
          <w:bCs/>
          <w:color w:val="auto"/>
          <w:sz w:val="24"/>
          <w:szCs w:val="21"/>
          <w:highlight w:val="none"/>
        </w:rPr>
        <w:t xml:space="preserve">                </w:t>
      </w:r>
      <w:r>
        <w:rPr>
          <w:rFonts w:hint="eastAsia" w:ascii="宋体" w:hAnsi="宋体" w:eastAsia="宋体" w:cs="宋体"/>
          <w:bCs/>
          <w:color w:val="auto"/>
          <w:sz w:val="24"/>
          <w:szCs w:val="21"/>
          <w:highlight w:val="none"/>
        </w:rPr>
        <w:t>年</w:t>
      </w:r>
      <w:r>
        <w:rPr>
          <w:rFonts w:hint="eastAsia" w:ascii="Times New Roman" w:hAnsi="Times New Roman" w:eastAsia="Times New Roman" w:cs="Times New Roman"/>
          <w:bCs/>
          <w:color w:val="auto"/>
          <w:sz w:val="24"/>
          <w:szCs w:val="21"/>
          <w:highlight w:val="none"/>
        </w:rPr>
        <w:t xml:space="preserve">      </w:t>
      </w:r>
      <w:r>
        <w:rPr>
          <w:rFonts w:hint="eastAsia" w:ascii="宋体" w:hAnsi="宋体" w:eastAsia="宋体" w:cs="宋体"/>
          <w:bCs/>
          <w:color w:val="auto"/>
          <w:sz w:val="24"/>
          <w:szCs w:val="21"/>
          <w:highlight w:val="none"/>
        </w:rPr>
        <w:t>月</w:t>
      </w:r>
      <w:r>
        <w:rPr>
          <w:rFonts w:hint="eastAsia" w:ascii="Times New Roman" w:hAnsi="Times New Roman" w:eastAsia="Times New Roman" w:cs="Times New Roman"/>
          <w:bCs/>
          <w:color w:val="auto"/>
          <w:sz w:val="24"/>
          <w:szCs w:val="21"/>
          <w:highlight w:val="none"/>
        </w:rPr>
        <w:t xml:space="preserve">       </w:t>
      </w:r>
      <w:r>
        <w:rPr>
          <w:rFonts w:hint="eastAsia" w:ascii="宋体" w:hAnsi="宋体" w:eastAsia="宋体" w:cs="宋体"/>
          <w:bCs/>
          <w:color w:val="auto"/>
          <w:sz w:val="24"/>
          <w:szCs w:val="21"/>
          <w:highlight w:val="none"/>
        </w:rPr>
        <w:t>日</w:t>
      </w:r>
      <w:bookmarkEnd w:id="2299"/>
      <w:r>
        <w:rPr>
          <w:rFonts w:hint="eastAsia" w:ascii="Times New Roman" w:hAnsi="Times New Roman" w:eastAsia="Times New Roman" w:cs="Times New Roman"/>
          <w:bCs/>
          <w:color w:val="auto"/>
          <w:sz w:val="24"/>
          <w:szCs w:val="21"/>
          <w:highlight w:val="none"/>
        </w:rPr>
        <w:t xml:space="preserve"> </w:t>
      </w:r>
    </w:p>
    <w:p>
      <w:pPr>
        <w:widowControl w:val="0"/>
        <w:spacing w:before="0" w:after="0" w:afterAutospacing="0" w:line="240" w:lineRule="exact"/>
        <w:ind w:left="0" w:right="0" w:firstLine="0"/>
        <w:rPr>
          <w:rFonts w:ascii="Times New Roman" w:hAnsi="Times New Roman" w:eastAsia="Times New Roman" w:cs="Times New Roman"/>
          <w:b/>
          <w:bCs/>
          <w:color w:val="auto"/>
          <w:sz w:val="18"/>
          <w:szCs w:val="18"/>
          <w:highlight w:val="none"/>
        </w:rPr>
      </w:pPr>
    </w:p>
    <w:p>
      <w:pPr>
        <w:widowControl w:val="0"/>
        <w:spacing w:before="0" w:after="0" w:afterAutospacing="0" w:line="240" w:lineRule="exact"/>
        <w:ind w:left="0" w:right="0" w:firstLine="0"/>
        <w:rPr>
          <w:rFonts w:ascii="Times New Roman" w:hAnsi="Times New Roman" w:eastAsia="Times New Roman" w:cs="Times New Roman"/>
          <w:color w:val="auto"/>
          <w:sz w:val="18"/>
          <w:szCs w:val="18"/>
          <w:highlight w:val="none"/>
        </w:rPr>
      </w:pPr>
      <w:bookmarkStart w:id="2300" w:name="_Toc26467_WPSOffice_Level2"/>
      <w:r>
        <w:rPr>
          <w:rFonts w:hint="eastAsia" w:ascii="宋体" w:hAnsi="宋体" w:eastAsia="宋体" w:cs="宋体"/>
          <w:color w:val="auto"/>
          <w:sz w:val="18"/>
          <w:szCs w:val="18"/>
          <w:highlight w:val="none"/>
        </w:rPr>
        <w:t>说明：</w:t>
      </w:r>
      <w:bookmarkEnd w:id="2300"/>
    </w:p>
    <w:p>
      <w:pPr>
        <w:widowControl w:val="0"/>
        <w:spacing w:before="0" w:after="0" w:afterAutospacing="0" w:line="240" w:lineRule="exact"/>
        <w:ind w:left="0" w:right="0" w:firstLine="360" w:firstLineChars="200"/>
        <w:rPr>
          <w:rFonts w:ascii="Times New Roman" w:hAnsi="Times New Roman" w:eastAsia="Times New Roman" w:cs="Times New Roman"/>
          <w:color w:val="auto"/>
          <w:sz w:val="18"/>
          <w:szCs w:val="18"/>
          <w:highlight w:val="none"/>
        </w:rPr>
      </w:pPr>
      <w:r>
        <w:rPr>
          <w:rFonts w:hint="eastAsia" w:ascii="Times New Roman" w:hAnsi="Times New Roman" w:eastAsia="Times New Roman" w:cs="Times New Roman"/>
          <w:color w:val="auto"/>
          <w:sz w:val="18"/>
          <w:szCs w:val="18"/>
          <w:highlight w:val="none"/>
        </w:rPr>
        <w:t>1.</w:t>
      </w:r>
      <w:r>
        <w:rPr>
          <w:rFonts w:hint="eastAsia" w:ascii="宋体" w:hAnsi="宋体" w:eastAsia="宋体" w:cs="宋体"/>
          <w:color w:val="auto"/>
          <w:sz w:val="18"/>
          <w:szCs w:val="18"/>
          <w:highlight w:val="none"/>
        </w:rPr>
        <w:t>本通知单一式三份，业主执两份，承包商执一份；业主在合同执行过程中发现问题时填写；业主主办部门及合同预算部各保存一份，第三份交承包商；</w:t>
      </w:r>
    </w:p>
    <w:p>
      <w:pPr>
        <w:widowControl w:val="0"/>
        <w:spacing w:before="0" w:after="0" w:afterAutospacing="0" w:line="240" w:lineRule="exact"/>
        <w:ind w:left="0" w:right="0" w:firstLine="360" w:firstLineChars="200"/>
        <w:rPr>
          <w:rFonts w:ascii="Times New Roman" w:hAnsi="Times New Roman" w:eastAsia="Times New Roman" w:cs="Times New Roman"/>
          <w:color w:val="auto"/>
          <w:sz w:val="18"/>
          <w:szCs w:val="18"/>
          <w:highlight w:val="none"/>
        </w:rPr>
      </w:pPr>
      <w:r>
        <w:rPr>
          <w:rFonts w:hint="eastAsia" w:ascii="Times New Roman" w:hAnsi="Times New Roman" w:eastAsia="Times New Roman" w:cs="Times New Roman"/>
          <w:color w:val="auto"/>
          <w:sz w:val="18"/>
          <w:szCs w:val="18"/>
          <w:highlight w:val="none"/>
        </w:rPr>
        <w:t>2.</w:t>
      </w:r>
      <w:r>
        <w:rPr>
          <w:rFonts w:hint="eastAsia" w:ascii="宋体" w:hAnsi="宋体" w:eastAsia="宋体" w:cs="宋体"/>
          <w:color w:val="auto"/>
          <w:sz w:val="18"/>
          <w:szCs w:val="18"/>
          <w:highlight w:val="none"/>
        </w:rPr>
        <w:t>承包商若对本合同执行考核处理有意见，则须在收到本通知后</w:t>
      </w:r>
      <w:r>
        <w:rPr>
          <w:rFonts w:hint="eastAsia" w:ascii="Times New Roman" w:hAnsi="Times New Roman" w:eastAsia="Times New Roman" w:cs="Times New Roman"/>
          <w:color w:val="auto"/>
          <w:sz w:val="18"/>
          <w:szCs w:val="18"/>
          <w:highlight w:val="none"/>
        </w:rPr>
        <w:t>2</w:t>
      </w:r>
      <w:r>
        <w:rPr>
          <w:rFonts w:hint="eastAsia" w:ascii="宋体" w:hAnsi="宋体" w:eastAsia="宋体" w:cs="宋体"/>
          <w:color w:val="auto"/>
          <w:sz w:val="18"/>
          <w:szCs w:val="18"/>
          <w:highlight w:val="none"/>
        </w:rPr>
        <w:t>个工作日内，在本通知上填写申诉意见向业主主办部门提出申诉，否则视为接受违约处理意见，业主主办部门在收到申诉意见后须在</w:t>
      </w:r>
      <w:r>
        <w:rPr>
          <w:rFonts w:hint="eastAsia" w:ascii="Times New Roman" w:hAnsi="Times New Roman" w:eastAsia="Times New Roman" w:cs="Times New Roman"/>
          <w:color w:val="auto"/>
          <w:sz w:val="18"/>
          <w:szCs w:val="18"/>
          <w:highlight w:val="none"/>
        </w:rPr>
        <w:t>5</w:t>
      </w:r>
      <w:r>
        <w:rPr>
          <w:rFonts w:hint="eastAsia" w:ascii="宋体" w:hAnsi="宋体" w:eastAsia="宋体" w:cs="宋体"/>
          <w:color w:val="auto"/>
          <w:sz w:val="18"/>
          <w:szCs w:val="18"/>
          <w:highlight w:val="none"/>
        </w:rPr>
        <w:t>个工作日给予回复；</w:t>
      </w:r>
    </w:p>
    <w:p>
      <w:pPr>
        <w:widowControl w:val="0"/>
        <w:spacing w:before="0" w:after="0" w:afterAutospacing="0" w:line="240" w:lineRule="exact"/>
        <w:ind w:left="0" w:right="0" w:firstLine="360" w:firstLineChars="200"/>
        <w:rPr>
          <w:rFonts w:ascii="Times New Roman" w:hAnsi="Times New Roman" w:eastAsia="Times New Roman" w:cs="Times New Roman"/>
          <w:color w:val="auto"/>
          <w:sz w:val="18"/>
          <w:szCs w:val="18"/>
          <w:highlight w:val="none"/>
        </w:rPr>
      </w:pPr>
      <w:r>
        <w:rPr>
          <w:rFonts w:hint="eastAsia" w:ascii="Times New Roman" w:hAnsi="Times New Roman" w:eastAsia="Times New Roman" w:cs="Times New Roman"/>
          <w:color w:val="auto"/>
          <w:sz w:val="18"/>
          <w:szCs w:val="18"/>
          <w:highlight w:val="none"/>
        </w:rPr>
        <w:t>3.</w:t>
      </w:r>
      <w:r>
        <w:rPr>
          <w:rFonts w:hint="eastAsia" w:ascii="宋体" w:hAnsi="宋体" w:eastAsia="宋体" w:cs="宋体"/>
          <w:color w:val="auto"/>
          <w:sz w:val="18"/>
          <w:szCs w:val="18"/>
          <w:highlight w:val="none"/>
        </w:rPr>
        <w:t>本通知单自送达之日起生效。</w:t>
      </w:r>
    </w:p>
    <w:p>
      <w:pPr>
        <w:widowControl w:val="0"/>
        <w:spacing w:before="0" w:after="0" w:afterAutospacing="0" w:line="240" w:lineRule="auto"/>
        <w:ind w:left="0" w:right="0" w:firstLine="640" w:firstLineChars="200"/>
        <w:jc w:val="center"/>
        <w:rPr>
          <w:rFonts w:ascii="Times New Roman" w:hAnsi="Times New Roman" w:eastAsia="Times New Roman" w:cs="宋体"/>
          <w:b/>
          <w:color w:val="auto"/>
          <w:sz w:val="32"/>
          <w:szCs w:val="32"/>
          <w:highlight w:val="none"/>
        </w:rPr>
      </w:pPr>
    </w:p>
    <w:p>
      <w:pPr>
        <w:widowControl w:val="0"/>
        <w:spacing w:before="0" w:after="0" w:afterAutospacing="0" w:line="240" w:lineRule="auto"/>
        <w:ind w:left="0" w:right="0" w:firstLine="0"/>
        <w:jc w:val="both"/>
        <w:rPr>
          <w:rFonts w:ascii="宋体" w:hAnsi="Courier New" w:eastAsia="Times New Roman" w:cs="Courier New"/>
          <w:color w:val="auto"/>
          <w:sz w:val="21"/>
          <w:szCs w:val="21"/>
          <w:highlight w:val="none"/>
          <w:lang w:val="en-US" w:eastAsia="zh-CN" w:bidi="ar-SA"/>
        </w:rPr>
      </w:pPr>
      <w:r>
        <w:rPr>
          <w:rFonts w:ascii="宋体" w:hAnsi="Courier New" w:eastAsia="Times New Roman" w:cs="Courier New"/>
          <w:color w:val="auto"/>
          <w:sz w:val="21"/>
          <w:szCs w:val="21"/>
          <w:highlight w:val="none"/>
          <w:lang w:val="en-US" w:eastAsia="zh-CN" w:bidi="ar-SA"/>
        </w:rPr>
        <w:br w:type="page"/>
      </w:r>
    </w:p>
    <w:p>
      <w:pPr>
        <w:keepNext/>
        <w:keepLines/>
        <w:widowControl w:val="0"/>
        <w:numPr>
          <w:ilvl w:val="0"/>
          <w:numId w:val="0"/>
        </w:numPr>
        <w:spacing w:before="0" w:after="0" w:afterAutospacing="0" w:line="360" w:lineRule="auto"/>
        <w:ind w:left="0" w:right="0" w:firstLine="0"/>
        <w:jc w:val="left"/>
        <w:outlineLvl w:val="0"/>
        <w:rPr>
          <w:rFonts w:hint="eastAsia" w:cs="黑体" w:asciiTheme="minorEastAsia" w:hAnsiTheme="minorEastAsia" w:eastAsiaTheme="minorEastAsia"/>
          <w:color w:val="auto"/>
          <w:kern w:val="2"/>
          <w:sz w:val="21"/>
          <w:szCs w:val="21"/>
          <w:highlight w:val="none"/>
          <w:lang w:val="en-US" w:eastAsia="zh-CN" w:bidi="ar-SA"/>
        </w:rPr>
      </w:pPr>
      <w:bookmarkStart w:id="2301" w:name="_Toc1084"/>
      <w:bookmarkStart w:id="2302" w:name="_Toc18351"/>
      <w:bookmarkStart w:id="2303" w:name="_Toc32058"/>
      <w:bookmarkStart w:id="2304" w:name="_Toc20223_WPSOffice_Level2"/>
      <w:bookmarkStart w:id="2305" w:name="_Toc30439"/>
      <w:bookmarkStart w:id="2306" w:name="_Toc24817_WPSOffice_Level2"/>
      <w:bookmarkStart w:id="2307" w:name="_Toc24130"/>
      <w:bookmarkStart w:id="2308" w:name="_Toc23097"/>
      <w:bookmarkStart w:id="2309" w:name="_Toc10733"/>
      <w:bookmarkStart w:id="2310" w:name="_Toc15670"/>
      <w:bookmarkStart w:id="2311" w:name="_Toc2880_WPSOffice_Level1"/>
      <w:bookmarkStart w:id="2312" w:name="_Toc5566"/>
      <w:r>
        <w:rPr>
          <w:rFonts w:hint="eastAsia" w:cs="黑体" w:asciiTheme="minorEastAsia" w:hAnsiTheme="minorEastAsia" w:eastAsiaTheme="minorEastAsia"/>
          <w:color w:val="auto"/>
          <w:kern w:val="2"/>
          <w:sz w:val="21"/>
          <w:szCs w:val="21"/>
          <w:highlight w:val="none"/>
          <w:lang w:val="en-US" w:eastAsia="zh-CN" w:bidi="ar-SA"/>
        </w:rPr>
        <w:t>附件4.安装质量验收验收单</w:t>
      </w:r>
      <w:bookmarkEnd w:id="2301"/>
      <w:bookmarkEnd w:id="2302"/>
      <w:bookmarkEnd w:id="2303"/>
      <w:bookmarkEnd w:id="2304"/>
      <w:bookmarkEnd w:id="2305"/>
      <w:bookmarkEnd w:id="2306"/>
      <w:bookmarkEnd w:id="2307"/>
      <w:bookmarkEnd w:id="2308"/>
      <w:bookmarkEnd w:id="2309"/>
      <w:bookmarkEnd w:id="2310"/>
      <w:bookmarkEnd w:id="2311"/>
      <w:bookmarkEnd w:id="2312"/>
    </w:p>
    <w:tbl>
      <w:tblPr>
        <w:tblStyle w:val="32"/>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161"/>
        <w:gridCol w:w="4243"/>
        <w:gridCol w:w="1016"/>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07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验收名称</w:t>
            </w:r>
          </w:p>
        </w:tc>
        <w:tc>
          <w:tcPr>
            <w:tcW w:w="11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验收内容</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验收标准</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验收结果</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restart"/>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r>
              <w:rPr>
                <w:rFonts w:hint="eastAsia" w:cs="Courier New" w:asciiTheme="minorEastAsia" w:hAnsiTheme="minorEastAsia" w:eastAsiaTheme="minorEastAsia"/>
                <w:color w:val="auto"/>
                <w:sz w:val="21"/>
                <w:szCs w:val="21"/>
                <w:highlight w:val="none"/>
                <w:lang w:val="en-US" w:eastAsia="zh-CN"/>
              </w:rPr>
              <w:t>安装质量验收</w:t>
            </w:r>
          </w:p>
        </w:tc>
        <w:tc>
          <w:tcPr>
            <w:tcW w:w="1161" w:type="dxa"/>
            <w:vMerge w:val="restart"/>
            <w:tcBorders>
              <w:left w:val="single" w:color="auto" w:sz="4" w:space="0"/>
              <w:right w:val="single" w:color="auto" w:sz="4" w:space="0"/>
            </w:tcBorders>
            <w:vAlign w:val="center"/>
          </w:tcPr>
          <w:p>
            <w:pPr>
              <w:widowControl w:val="0"/>
              <w:spacing w:before="0" w:after="0" w:afterAutospacing="0" w:line="360" w:lineRule="auto"/>
              <w:ind w:left="0" w:right="0" w:firstLine="0"/>
              <w:rPr>
                <w:rFonts w:hint="default" w:cs="Courier New" w:asciiTheme="minorEastAsia" w:hAnsiTheme="minorEastAsia" w:eastAsiaTheme="minorEastAsia"/>
                <w:color w:val="auto"/>
                <w:sz w:val="21"/>
                <w:szCs w:val="21"/>
                <w:highlight w:val="none"/>
                <w:lang w:val="en-US" w:eastAsia="zh-CN"/>
              </w:rPr>
            </w:pPr>
            <w:r>
              <w:rPr>
                <w:rFonts w:hint="eastAsia" w:cs="Courier New" w:asciiTheme="minorEastAsia" w:hAnsiTheme="minorEastAsia" w:eastAsiaTheme="minorEastAsia"/>
                <w:color w:val="auto"/>
                <w:sz w:val="21"/>
                <w:szCs w:val="21"/>
                <w:highlight w:val="none"/>
                <w:lang w:val="en-US" w:eastAsia="zh-CN"/>
              </w:rPr>
              <w:t>CCTV设备安装验收</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2"/>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摄像机数量、规格型号、安装位置、安装高度、质量、材质须满足设计要求。</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cs="Courier New" w:asciiTheme="minorEastAsia" w:hAnsiTheme="minorEastAsia" w:eastAsiaTheme="minorEastAsia"/>
                <w:color w:val="auto"/>
                <w:sz w:val="21"/>
                <w:szCs w:val="21"/>
                <w:highlight w:val="none"/>
                <w:lang w:val="en-US" w:eastAsia="zh-CN"/>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2"/>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摄像机安装位置要合理，避免安装在上方有风口、出水口等位置。摄像机点位部署时应避免其它终端设备等遮挡，避开强光源直射。</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cs="Courier New" w:asciiTheme="minorEastAsia" w:hAnsiTheme="minorEastAsia" w:eastAsiaTheme="minorEastAsia"/>
                <w:color w:val="auto"/>
                <w:sz w:val="21"/>
                <w:szCs w:val="21"/>
                <w:highlight w:val="none"/>
                <w:lang w:val="en-US" w:eastAsia="zh-CN"/>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2"/>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摄像机吊杆须使用热镀锌膨胀螺栓固定在吊顶上，室外摄像机需要安装防雷装置。</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cs="Courier New" w:asciiTheme="minorEastAsia" w:hAnsiTheme="minorEastAsia" w:eastAsiaTheme="minorEastAsia"/>
                <w:color w:val="auto"/>
                <w:sz w:val="21"/>
                <w:szCs w:val="21"/>
                <w:highlight w:val="none"/>
                <w:lang w:val="en-US" w:eastAsia="zh-CN"/>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2"/>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保护设备空气开关容量符合设计要求，下级空开容量不应大于上级空开容量，空开级别须与设计要求一致，输出的每路电源须有独立控制开关。</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cs="Courier New" w:asciiTheme="minorEastAsia" w:hAnsiTheme="minorEastAsia" w:eastAsiaTheme="minorEastAsia"/>
                <w:color w:val="auto"/>
                <w:sz w:val="21"/>
                <w:szCs w:val="21"/>
                <w:highlight w:val="none"/>
                <w:lang w:val="en-US" w:eastAsia="zh-CN"/>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2"/>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接插件、连接器的组装须符合相应的工艺要求。配件齐全、线位正确、装配可靠、连接牢固，标识齐全、清晰。</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hint="eastAsia" w:cs="Courier New" w:asciiTheme="minorEastAsia" w:hAnsiTheme="minorEastAsia" w:eastAsiaTheme="minorEastAsia"/>
                <w:color w:val="auto"/>
                <w:sz w:val="21"/>
                <w:szCs w:val="21"/>
                <w:highlight w:val="none"/>
                <w:lang w:val="en-US" w:eastAsia="zh-CN"/>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2"/>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各尾纤、数据电缆排列整齐、不紧绷，尾纤采取保护套管防护，并固定在机柜理线器上。</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restart"/>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Courier New" w:asciiTheme="minorEastAsia" w:hAnsiTheme="minorEastAsia" w:eastAsiaTheme="minorEastAsia"/>
                <w:b/>
                <w:bCs/>
                <w:color w:val="auto"/>
                <w:sz w:val="21"/>
                <w:szCs w:val="21"/>
                <w:highlight w:val="none"/>
              </w:rPr>
            </w:pPr>
            <w:r>
              <w:rPr>
                <w:rFonts w:hint="eastAsia" w:cs="Courier New" w:asciiTheme="minorEastAsia" w:hAnsiTheme="minorEastAsia" w:eastAsiaTheme="minorEastAsia"/>
                <w:b w:val="0"/>
                <w:bCs w:val="0"/>
                <w:color w:val="auto"/>
                <w:sz w:val="21"/>
                <w:szCs w:val="21"/>
                <w:highlight w:val="none"/>
              </w:rPr>
              <w:t>线缆敷设</w:t>
            </w:r>
            <w:r>
              <w:rPr>
                <w:rFonts w:hint="eastAsia" w:cs="Courier New" w:asciiTheme="minorEastAsia" w:hAnsiTheme="minorEastAsia" w:eastAsiaTheme="minorEastAsia"/>
                <w:b w:val="0"/>
                <w:bCs w:val="0"/>
                <w:color w:val="auto"/>
                <w:sz w:val="21"/>
                <w:szCs w:val="21"/>
                <w:highlight w:val="none"/>
                <w:lang w:val="en-US" w:eastAsia="zh-CN"/>
              </w:rPr>
              <w:t>验收</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所有孔洞使用防火泥、水泥封堵完好。防火封堵材料满足耐水、耐油、耐腐蚀、使用寿命长等要求。</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线缆无破损、受潮、扭曲、折皱，线缆的型号、规格、材质及数量须符合设计要求，其低烟无卤阻燃防潮性能须符合设计要求。</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线槽内线缆敷设平直，无扭绞、打圈、表面护层划伤、断裂等现象，线缆在线槽内无接头。</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对于明敷线槽，敷设于水平线槽内的线缆，每隔3</w:t>
            </w:r>
            <w:r>
              <w:rPr>
                <w:rFonts w:hint="eastAsia" w:cs="Courier New" w:asciiTheme="minorEastAsia" w:hAnsiTheme="minorEastAsia" w:eastAsiaTheme="minorEastAsia"/>
                <w:color w:val="auto"/>
                <w:sz w:val="21"/>
                <w:szCs w:val="21"/>
                <w:highlight w:val="none"/>
                <w:u w:val="none"/>
                <w:lang w:val="en-US" w:eastAsia="zh-CN" w:bidi="ar-SA"/>
              </w:rPr>
              <w:t>米</w:t>
            </w:r>
            <w:r>
              <w:rPr>
                <w:rFonts w:hint="eastAsia" w:cs="Courier New" w:asciiTheme="minorEastAsia" w:hAnsiTheme="minorEastAsia" w:eastAsiaTheme="minorEastAsia"/>
                <w:color w:val="auto"/>
                <w:sz w:val="21"/>
                <w:szCs w:val="21"/>
                <w:highlight w:val="none"/>
                <w:lang w:val="en-US" w:eastAsia="zh-CN" w:bidi="ar-SA"/>
              </w:rPr>
              <w:t>须绑扎固定，敷设于垂直线槽内的线缆，每隔2米须绑扎固定。</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线缆两端及经过分线盒、分向盒、检修口处须有标识和标签，并标明线缆的类型、型号、起点、终点和用途，标识和标签齐全、清晰、准确、牢固，标签须选用防水、防霉、防刮、防锈和防撕材料，字迹清晰。</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CCTV设备的室内配线高度须一致，当与其他管线交叉或穿越墙壁或楼板时，线缆布放完成后须采用防火密闭材料封堵，要求不含卤族元素、石棉等物质，不会挥发有害气体。</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光缆布线须符合下列规定：</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（1）光缆绝缘外护套无损伤、变形、背扣。</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（2）光缆敷设时的弯曲半径不得小于光缆外直径的15倍，光纤收容时其弯曲半径不小于40MM。</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（3）光缆敷设两端预留量不小于2米。光缆经过建筑伸缩缝的余量不小于其最大伸缩量。</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（4）光缆垂直敷设时，当高度超过4米时，中间每2米须设光缆固定装置，减少光缆的受力。</w:t>
            </w:r>
          </w:p>
          <w:p>
            <w:pPr>
              <w:widowControl w:val="0"/>
              <w:numPr>
                <w:ilvl w:val="0"/>
                <w:numId w:val="0"/>
              </w:numPr>
              <w:spacing w:before="0" w:after="0" w:afterAutospacing="0" w:line="360" w:lineRule="auto"/>
              <w:ind w:left="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（5）光缆在敷设完毕时，为防止其因为不能立即熔接而受潮，及时采用热缩帽进行热缩防潮封头处理。</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电源线缆布线须符合下列规定：</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（1）交流电源线缆和直流电源线缆须分开布放，不得绑在同一线束内。</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（2）电源线缆须采用整段线料，整段线料中不得有接头，布线不受外力挤压，线料无损伤。</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（3）不同电压等级的线缆须分类布置，并分别单独设线槽或管敷设，在同一线槽内另采用隔板隔开。</w:t>
            </w:r>
          </w:p>
          <w:p>
            <w:pPr>
              <w:widowControl w:val="0"/>
              <w:numPr>
                <w:ilvl w:val="0"/>
                <w:numId w:val="0"/>
              </w:numPr>
              <w:spacing w:before="0" w:after="0" w:afterAutospacing="0" w:line="360" w:lineRule="auto"/>
              <w:ind w:left="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（4）电源线缆与数据线缆交叉敷设时宜成直角，当平行敷设时，电源线缆与数据线缆的间距须符合设计要求。</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线缆引入时，引入口处须采取棱边保护措施，防止线缆磨损、刮蹭。</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所有线缆引出点、引入点均需预留不少于1.5米的线长，预留线缆整齐盘于线槽内，线缆出入口处须进行密封处理。</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3"/>
              </w:numPr>
              <w:spacing w:before="0" w:after="0" w:afterAutospacing="0" w:line="360" w:lineRule="auto"/>
              <w:ind w:left="360" w:right="0" w:hanging="36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配线设备端子跳线排列须整齐顺直，配线箱底孔引进电缆后采用防火密闭材料封堵，要求不含卤族元素、石棉等物质，不会挥发有害气体。</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restart"/>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r>
              <w:rPr>
                <w:rFonts w:hint="eastAsia" w:cs="Courier New" w:asciiTheme="minorEastAsia" w:hAnsiTheme="minorEastAsia" w:eastAsiaTheme="minorEastAsia"/>
                <w:b w:val="0"/>
                <w:bCs w:val="0"/>
                <w:color w:val="auto"/>
                <w:sz w:val="21"/>
                <w:szCs w:val="21"/>
                <w:highlight w:val="none"/>
              </w:rPr>
              <w:t>线缆</w:t>
            </w:r>
            <w:r>
              <w:rPr>
                <w:rFonts w:hint="eastAsia" w:cs="Courier New" w:asciiTheme="minorEastAsia" w:hAnsiTheme="minorEastAsia" w:eastAsiaTheme="minorEastAsia"/>
                <w:b w:val="0"/>
                <w:bCs w:val="0"/>
                <w:color w:val="auto"/>
                <w:sz w:val="21"/>
                <w:szCs w:val="21"/>
                <w:highlight w:val="none"/>
                <w:lang w:val="en-US" w:eastAsia="zh-CN"/>
              </w:rPr>
              <w:t>接续验收</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4"/>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光缆芯线须按光纤色谱排列顺序对应接续，光纤接续部位须采用热缩加强管保护，加强管收缩均匀、无气泡。</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4"/>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光缆接头盒盒体安装牢固、密封良好。</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4"/>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光缆的金属外护套和加强芯须紧固在接头盒内，同一侧的金属外护套与金属加强芯在电气上连通，两侧的金属外护套、金属加强芯须绝缘。</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4"/>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光缆接续须符合下列规定：</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（1）光缆接续材料的型号、规格、质量须符合设计要求。</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（2）光缆芯线按光纤色谱排列顺序对应接续，光纤接续部位采用接续盒防护。</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（3）在所有防护管中、暗埋管线、隐蔽性工程中等不方便检查和维护的地方，敷设的光缆中不允许出现任何形式的接续。</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（4）在光缆穿越站台区域内的地方不得进行地下接续。</w:t>
            </w:r>
          </w:p>
          <w:p>
            <w:pPr>
              <w:widowControl w:val="0"/>
              <w:numPr>
                <w:ilvl w:val="0"/>
                <w:numId w:val="0"/>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（5）光缆接续后，每根单模光纤接头平均损耗不大于0.08dB，多模光纤接头平均损耗不大于0.2dB。</w:t>
            </w:r>
          </w:p>
          <w:p>
            <w:pPr>
              <w:widowControl w:val="0"/>
              <w:numPr>
                <w:ilvl w:val="0"/>
                <w:numId w:val="0"/>
              </w:numPr>
              <w:spacing w:before="0" w:after="0" w:afterAutospacing="0" w:line="360" w:lineRule="auto"/>
              <w:ind w:left="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（6）光缆接续点位置须在竣工图纸上标明。</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4"/>
              </w:numPr>
              <w:spacing w:before="0" w:after="0" w:afterAutospacing="0" w:line="360" w:lineRule="auto"/>
              <w:ind w:left="360" w:leftChars="0" w:right="0" w:hanging="360" w:firstLineChars="0"/>
              <w:jc w:val="left"/>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数据电缆中间不得有接头，线缆终接处连接牢固，电气连通。</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4"/>
              </w:numPr>
              <w:spacing w:before="0" w:after="0" w:afterAutospacing="0" w:line="360" w:lineRule="auto"/>
              <w:ind w:left="360" w:leftChars="0" w:right="0" w:hanging="360" w:firstLineChars="0"/>
              <w:jc w:val="left"/>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网络线缆须采用屏蔽式水晶头。</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4"/>
              </w:numPr>
              <w:spacing w:before="0" w:after="0" w:afterAutospacing="0" w:line="360" w:lineRule="auto"/>
              <w:ind w:left="360" w:leftChars="0" w:right="0" w:hanging="360" w:firstLineChars="0"/>
              <w:jc w:val="left"/>
              <w:rPr>
                <w:rFonts w:hint="eastAsia" w:cs="Courier New" w:asciiTheme="minorEastAsia" w:hAnsiTheme="minorEastAsia" w:eastAsiaTheme="minorEastAsia"/>
                <w:color w:val="auto"/>
                <w:sz w:val="21"/>
                <w:szCs w:val="24"/>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电源电缆接续以线色区分，不得错接与短路。</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4"/>
              </w:numPr>
              <w:spacing w:before="0" w:after="0" w:afterAutospacing="0" w:line="360" w:lineRule="auto"/>
              <w:ind w:left="210" w:leftChars="100" w:right="0" w:firstLine="0" w:firstLineChars="0"/>
              <w:jc w:val="left"/>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电源电缆的芯线与电气设备的连接须符合下列规定：</w:t>
            </w:r>
          </w:p>
          <w:p>
            <w:pPr>
              <w:widowControl w:val="0"/>
              <w:numPr>
                <w:ilvl w:val="0"/>
                <w:numId w:val="0"/>
              </w:numPr>
              <w:spacing w:before="0" w:after="0" w:afterAutospacing="0" w:line="360" w:lineRule="auto"/>
              <w:ind w:left="210" w:leftChars="100" w:right="0" w:firstLine="0"/>
              <w:jc w:val="left"/>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（1）对截面面积在10mm²及以下的单股铜芯线，直接与设备的端子连接。</w:t>
            </w:r>
          </w:p>
          <w:p>
            <w:pPr>
              <w:widowControl w:val="0"/>
              <w:numPr>
                <w:ilvl w:val="0"/>
                <w:numId w:val="0"/>
              </w:numPr>
              <w:spacing w:before="0" w:after="0" w:afterAutospacing="0" w:line="360" w:lineRule="auto"/>
              <w:ind w:left="210" w:leftChars="100" w:right="0" w:firstLine="0"/>
              <w:jc w:val="left"/>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（2）对截面面积在2.5mm²及以下的多股铜芯线，须拧紧搪锡或压接端子后再与设备端子连接。</w:t>
            </w:r>
          </w:p>
          <w:p>
            <w:pPr>
              <w:widowControl w:val="0"/>
              <w:numPr>
                <w:ilvl w:val="0"/>
                <w:numId w:val="0"/>
              </w:numPr>
              <w:spacing w:before="0" w:after="0" w:afterAutospacing="0" w:line="360" w:lineRule="auto"/>
              <w:ind w:left="210" w:leftChars="100" w:right="0" w:firstLine="0" w:firstLineChars="0"/>
              <w:jc w:val="left"/>
              <w:rPr>
                <w:rFonts w:hint="eastAsia" w:cs="Courier New" w:asciiTheme="minorEastAsia" w:hAnsiTheme="minorEastAsia" w:eastAsiaTheme="minorEastAsia"/>
                <w:color w:val="auto"/>
                <w:sz w:val="21"/>
                <w:szCs w:val="24"/>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（3）对截面面积大于2.5mm²的多股铜芯线，除设备自带插接式端子外，须焊接或压接端子后再与设备端子连接，多股铜芯线与插接式端子连接前，端部须拧紧搪锡。</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4"/>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4"/>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电源电缆的芯线连接管和端子规格须与芯线的规格适配，且不得采用开口端子。</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4"/>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4"/>
                <w:highlight w:val="none"/>
                <w:lang w:val="en-US" w:eastAsia="zh-CN" w:bidi="ar-SA"/>
              </w:rPr>
            </w:pPr>
            <w:r>
              <w:rPr>
                <w:rFonts w:hint="eastAsia" w:cs="Courier New" w:asciiTheme="minorEastAsia" w:hAnsiTheme="minorEastAsia" w:eastAsiaTheme="minorEastAsia"/>
                <w:color w:val="auto"/>
                <w:sz w:val="21"/>
                <w:szCs w:val="21"/>
                <w:highlight w:val="none"/>
                <w:shd w:val="clear" w:color="auto" w:fill="FFFFFF"/>
                <w:lang w:val="en-US" w:eastAsia="zh-CN" w:bidi="ar-SA"/>
              </w:rPr>
              <w:t>电源电缆线间绝缘电阻不小于500MΩ，综合扭绞电缆线间绝缘电阻不小于3000MΩ，内屏蔽数据电缆线间绝缘电阻不小于10000MΩ。</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restart"/>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r>
              <w:rPr>
                <w:rFonts w:hint="eastAsia" w:cs="Courier New" w:asciiTheme="minorEastAsia" w:hAnsiTheme="minorEastAsia" w:eastAsiaTheme="minorEastAsia"/>
                <w:color w:val="auto"/>
                <w:sz w:val="21"/>
                <w:szCs w:val="21"/>
                <w:highlight w:val="none"/>
              </w:rPr>
              <w:t>接地装置安装</w:t>
            </w: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5"/>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接地装置及材料数量、型号、规格和质量须符合设计要求。</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5"/>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4"/>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接地装置的安装位置、安装方式及引入方式须符合设计要求。</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5"/>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4"/>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接地装置母线线径须大于或等于50mm²，子线线径须大于或等于16mm²。</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079"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hint="eastAsia" w:cs="Times New Roman" w:asciiTheme="minorEastAsia" w:hAnsiTheme="minorEastAsia" w:eastAsiaTheme="minorEastAsia"/>
                <w:color w:val="auto"/>
                <w:sz w:val="21"/>
                <w:szCs w:val="24"/>
                <w:highlight w:val="none"/>
              </w:rPr>
            </w:pPr>
          </w:p>
        </w:tc>
        <w:tc>
          <w:tcPr>
            <w:tcW w:w="1161"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243"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5"/>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4"/>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各车站、车辆段/停车场、培训中心等室内设备的各种地线均接入综合接地网。机柜设安全工作地线，各机柜体须采用横截面积大于等于16mm²的黄绿双色绝缘地线连接至接地母排。</w:t>
            </w: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1" w:hRule="atLeast"/>
        </w:trPr>
        <w:tc>
          <w:tcPr>
            <w:tcW w:w="6483" w:type="dxa"/>
            <w:gridSpan w:val="3"/>
            <w:tcBorders>
              <w:top w:val="single" w:color="auto" w:sz="4" w:space="0"/>
              <w:left w:val="single" w:color="auto" w:sz="4" w:space="0"/>
              <w:bottom w:val="single" w:color="auto" w:sz="4" w:space="0"/>
              <w:right w:val="single" w:color="auto" w:sz="4" w:space="0"/>
            </w:tcBorders>
            <w:vAlign w:val="top"/>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验收人员：</w:t>
            </w:r>
          </w:p>
        </w:tc>
        <w:tc>
          <w:tcPr>
            <w:tcW w:w="2032" w:type="dxa"/>
            <w:gridSpan w:val="2"/>
            <w:tcBorders>
              <w:top w:val="single" w:color="auto" w:sz="4" w:space="0"/>
              <w:left w:val="single" w:color="auto" w:sz="4" w:space="0"/>
              <w:bottom w:val="single" w:color="auto" w:sz="4" w:space="0"/>
              <w:right w:val="single" w:color="auto" w:sz="4" w:space="0"/>
            </w:tcBorders>
            <w:vAlign w:val="top"/>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r>
              <w:rPr>
                <w:rFonts w:cs="Courier New" w:asciiTheme="minorEastAsia" w:hAnsiTheme="minorEastAsia" w:eastAsiaTheme="minorEastAsia"/>
                <w:color w:val="auto"/>
                <w:sz w:val="21"/>
                <w:szCs w:val="21"/>
                <w:highlight w:val="none"/>
                <w:lang w:val="en-US" w:eastAsia="zh-CN" w:bidi="ar-SA"/>
              </w:rPr>
              <w:t>日期：</w:t>
            </w:r>
          </w:p>
        </w:tc>
      </w:tr>
    </w:tbl>
    <w:p>
      <w:pPr>
        <w:widowControl w:val="0"/>
        <w:spacing w:before="0" w:after="0" w:afterAutospacing="0" w:line="240" w:lineRule="auto"/>
        <w:ind w:left="0" w:right="0" w:firstLine="0"/>
        <w:rPr>
          <w:rFonts w:ascii="Times New Roman" w:hAnsi="Times New Roman" w:eastAsia="Times New Roman" w:cs="Times New Roman"/>
          <w:color w:val="auto"/>
          <w:sz w:val="24"/>
          <w:szCs w:val="24"/>
          <w:highlight w:val="none"/>
        </w:rPr>
      </w:pPr>
    </w:p>
    <w:p>
      <w:pPr>
        <w:widowControl w:val="0"/>
        <w:spacing w:before="0" w:after="0" w:afterAutospacing="0" w:line="240" w:lineRule="auto"/>
        <w:ind w:left="0" w:right="0" w:firstLine="0"/>
        <w:rPr>
          <w:rFonts w:hint="eastAsia" w:cs="Times New Roman" w:asciiTheme="minorEastAsia" w:hAnsiTheme="minorEastAsia" w:eastAsiaTheme="minorEastAsia"/>
          <w:color w:val="auto"/>
          <w:sz w:val="21"/>
          <w:szCs w:val="21"/>
          <w:highlight w:val="none"/>
        </w:rPr>
      </w:pPr>
      <w:r>
        <w:rPr>
          <w:rFonts w:hint="eastAsia" w:cs="Times New Roman" w:asciiTheme="minorEastAsia" w:hAnsiTheme="minorEastAsia" w:eastAsiaTheme="minorEastAsia"/>
          <w:color w:val="auto"/>
          <w:sz w:val="21"/>
          <w:szCs w:val="21"/>
          <w:highlight w:val="none"/>
        </w:rPr>
        <w:br w:type="page"/>
      </w:r>
    </w:p>
    <w:p>
      <w:pPr>
        <w:keepNext/>
        <w:keepLines/>
        <w:widowControl w:val="0"/>
        <w:numPr>
          <w:ilvl w:val="0"/>
          <w:numId w:val="0"/>
        </w:numPr>
        <w:spacing w:before="0" w:after="0" w:afterAutospacing="0" w:line="360" w:lineRule="auto"/>
        <w:ind w:left="0" w:right="0" w:firstLine="0"/>
        <w:jc w:val="left"/>
        <w:outlineLvl w:val="0"/>
        <w:rPr>
          <w:rFonts w:hint="eastAsia" w:cs="黑体" w:asciiTheme="minorEastAsia" w:hAnsiTheme="minorEastAsia" w:eastAsiaTheme="minorEastAsia"/>
          <w:color w:val="auto"/>
          <w:kern w:val="2"/>
          <w:sz w:val="21"/>
          <w:szCs w:val="21"/>
          <w:highlight w:val="none"/>
          <w:lang w:val="en-US" w:eastAsia="zh-CN" w:bidi="ar-SA"/>
        </w:rPr>
      </w:pPr>
      <w:bookmarkStart w:id="2313" w:name="_Toc24202_WPSOffice_Level2"/>
      <w:bookmarkStart w:id="2314" w:name="_Toc24479"/>
      <w:bookmarkStart w:id="2315" w:name="_Toc26209_WPSOffice_Level2"/>
      <w:bookmarkStart w:id="2316" w:name="_Toc30231"/>
      <w:bookmarkStart w:id="2317" w:name="_Toc13075"/>
      <w:bookmarkStart w:id="2318" w:name="_Toc16951"/>
      <w:bookmarkStart w:id="2319" w:name="_Toc29364"/>
      <w:bookmarkStart w:id="2320" w:name="_Toc31255"/>
      <w:bookmarkStart w:id="2321" w:name="_Toc11903"/>
      <w:bookmarkStart w:id="2322" w:name="_Toc21848"/>
      <w:bookmarkStart w:id="2323" w:name="_Toc9171_WPSOffice_Level1"/>
      <w:bookmarkStart w:id="2324" w:name="_Toc18260"/>
      <w:r>
        <w:rPr>
          <w:rFonts w:hint="eastAsia" w:cs="黑体" w:asciiTheme="minorEastAsia" w:hAnsiTheme="minorEastAsia" w:eastAsiaTheme="minorEastAsia"/>
          <w:color w:val="auto"/>
          <w:kern w:val="2"/>
          <w:sz w:val="21"/>
          <w:szCs w:val="21"/>
          <w:highlight w:val="none"/>
          <w:lang w:val="en-US" w:eastAsia="zh-CN" w:bidi="ar-SA"/>
        </w:rPr>
        <w:t>附件5.功能验收单</w:t>
      </w:r>
      <w:bookmarkEnd w:id="2313"/>
      <w:bookmarkEnd w:id="2314"/>
      <w:bookmarkEnd w:id="2315"/>
      <w:bookmarkEnd w:id="2316"/>
      <w:bookmarkEnd w:id="2317"/>
      <w:bookmarkEnd w:id="2318"/>
      <w:bookmarkEnd w:id="2319"/>
      <w:bookmarkEnd w:id="2320"/>
      <w:bookmarkEnd w:id="2321"/>
      <w:bookmarkEnd w:id="2322"/>
      <w:bookmarkEnd w:id="2323"/>
      <w:bookmarkEnd w:id="2324"/>
    </w:p>
    <w:tbl>
      <w:tblPr>
        <w:tblStyle w:val="32"/>
        <w:tblW w:w="8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203"/>
        <w:gridCol w:w="4189"/>
        <w:gridCol w:w="123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验收名称</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验收内容</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验收标准</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验收结果</w:t>
            </w:r>
          </w:p>
        </w:tc>
        <w:tc>
          <w:tcPr>
            <w:tcW w:w="830"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center"/>
              <w:rPr>
                <w:rFonts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134" w:type="dxa"/>
            <w:vMerge w:val="restart"/>
            <w:tcBorders>
              <w:left w:val="single" w:color="auto" w:sz="4" w:space="0"/>
              <w:right w:val="single" w:color="auto" w:sz="4" w:space="0"/>
            </w:tcBorders>
            <w:vAlign w:val="center"/>
          </w:tcPr>
          <w:p>
            <w:pPr>
              <w:widowControl w:val="0"/>
              <w:spacing w:before="0" w:after="0" w:afterAutospacing="0" w:line="360" w:lineRule="auto"/>
              <w:ind w:left="0" w:right="0" w:firstLine="0"/>
              <w:jc w:val="center"/>
              <w:rPr>
                <w:rFonts w:hint="default" w:cs="Courier New" w:asciiTheme="minorEastAsia" w:hAnsiTheme="minorEastAsia" w:eastAsiaTheme="minorEastAsia"/>
                <w:color w:val="auto"/>
                <w:sz w:val="21"/>
                <w:szCs w:val="21"/>
                <w:highlight w:val="none"/>
                <w:lang w:val="en-US" w:eastAsia="zh-CN"/>
              </w:rPr>
            </w:pPr>
            <w:r>
              <w:rPr>
                <w:rFonts w:hint="eastAsia" w:cs="Courier New" w:asciiTheme="minorEastAsia" w:hAnsiTheme="minorEastAsia" w:eastAsiaTheme="minorEastAsia"/>
                <w:color w:val="auto"/>
                <w:sz w:val="21"/>
                <w:szCs w:val="21"/>
                <w:highlight w:val="none"/>
                <w:lang w:val="en-US" w:eastAsia="zh-CN"/>
              </w:rPr>
              <w:t>功能验收</w:t>
            </w:r>
          </w:p>
        </w:tc>
        <w:tc>
          <w:tcPr>
            <w:tcW w:w="1203" w:type="dxa"/>
            <w:vMerge w:val="restart"/>
            <w:tcBorders>
              <w:left w:val="single" w:color="auto" w:sz="4" w:space="0"/>
              <w:right w:val="single" w:color="auto" w:sz="4" w:space="0"/>
            </w:tcBorders>
            <w:vAlign w:val="center"/>
          </w:tcPr>
          <w:p>
            <w:pPr>
              <w:widowControl w:val="0"/>
              <w:spacing w:before="0" w:after="0" w:afterAutospacing="0" w:line="360" w:lineRule="auto"/>
              <w:ind w:left="0" w:right="0" w:firstLine="0"/>
              <w:jc w:val="center"/>
              <w:rPr>
                <w:rFonts w:hint="default"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rPr>
              <w:t>CCTV功能验收</w:t>
            </w: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6"/>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可叠加显示字符信息，包括站（段）名、摄像机位置、编号、日期及时间等。</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830"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1203"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6"/>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摄像机叠加显示的时间可自动同步时钟系统。</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830"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1203"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6"/>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与综合监控专业、TIAS系统（5号线）联动，将相应监控画面自动切换至指定监视器上的功能。</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830"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1203"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6"/>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兼容既有系统视频分析功能，实现入侵检测、逗留检测、逆行检测、客流量突变告警、人流统计、图像异常告警等。</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830"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1203"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6"/>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录像功能须符合下列要求：</w:t>
            </w:r>
          </w:p>
          <w:p>
            <w:pPr>
              <w:widowControl w:val="0"/>
              <w:numPr>
                <w:ilvl w:val="0"/>
                <w:numId w:val="77"/>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可实现实时图像连续存储功能。</w:t>
            </w:r>
          </w:p>
          <w:p>
            <w:pPr>
              <w:widowControl w:val="0"/>
              <w:numPr>
                <w:ilvl w:val="0"/>
                <w:numId w:val="77"/>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按根据不同的安全等级采用不同图像分辨率进行存储。</w:t>
            </w:r>
          </w:p>
          <w:p>
            <w:pPr>
              <w:widowControl w:val="0"/>
              <w:numPr>
                <w:ilvl w:val="0"/>
                <w:numId w:val="77"/>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存储图像内容完整。</w:t>
            </w:r>
          </w:p>
          <w:p>
            <w:pPr>
              <w:widowControl w:val="0"/>
              <w:numPr>
                <w:ilvl w:val="0"/>
                <w:numId w:val="77"/>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存储容量或时间符合设计要求。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830"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1134"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1203" w:type="dxa"/>
            <w:vMerge w:val="continue"/>
            <w:tcBorders>
              <w:left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c>
          <w:tcPr>
            <w:tcW w:w="418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76"/>
              </w:numPr>
              <w:spacing w:before="0" w:after="0" w:afterAutospacing="0" w:line="360" w:lineRule="auto"/>
              <w:ind w:left="360" w:leftChars="0" w:right="0" w:hanging="360" w:firstLineChars="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录像回放功能须符合下列要求：</w:t>
            </w:r>
          </w:p>
          <w:p>
            <w:pPr>
              <w:widowControl w:val="0"/>
              <w:numPr>
                <w:ilvl w:val="0"/>
                <w:numId w:val="78"/>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支持用户根据时间、地点、事件等多种条件进行检索和回放。</w:t>
            </w:r>
          </w:p>
          <w:p>
            <w:pPr>
              <w:widowControl w:val="0"/>
              <w:numPr>
                <w:ilvl w:val="0"/>
                <w:numId w:val="78"/>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支持多用户同时调用和检索历史图像。</w:t>
            </w:r>
          </w:p>
          <w:p>
            <w:pPr>
              <w:widowControl w:val="0"/>
              <w:numPr>
                <w:ilvl w:val="0"/>
                <w:numId w:val="78"/>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支持本地回放历史图像和远程直接回放历史图像。</w:t>
            </w:r>
          </w:p>
          <w:p>
            <w:pPr>
              <w:widowControl w:val="0"/>
              <w:numPr>
                <w:ilvl w:val="0"/>
                <w:numId w:val="78"/>
              </w:numPr>
              <w:spacing w:before="0" w:after="0" w:afterAutospacing="0" w:line="360" w:lineRule="auto"/>
              <w:ind w:left="0" w:leftChars="0" w:right="0" w:firstLine="0"/>
              <w:jc w:val="both"/>
              <w:rPr>
                <w:rFonts w:hint="eastAsia"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回放时播放、倒放、快进、快退、拖曳、暂停等操作正常。</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p>
        </w:tc>
        <w:tc>
          <w:tcPr>
            <w:tcW w:w="830"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360" w:lineRule="auto"/>
              <w:ind w:left="0" w:right="0" w:firstLine="0"/>
              <w:rPr>
                <w:rFonts w:cs="Courier New" w:asciiTheme="minorEastAsia" w:hAnsiTheme="minorEastAsia" w:eastAsiaTheme="minorEastAsia"/>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1" w:hRule="atLeast"/>
        </w:trPr>
        <w:tc>
          <w:tcPr>
            <w:tcW w:w="6526" w:type="dxa"/>
            <w:gridSpan w:val="3"/>
            <w:tcBorders>
              <w:top w:val="single" w:color="auto" w:sz="4" w:space="0"/>
              <w:left w:val="single" w:color="auto" w:sz="4" w:space="0"/>
              <w:bottom w:val="single" w:color="auto" w:sz="4" w:space="0"/>
              <w:right w:val="single" w:color="auto" w:sz="4" w:space="0"/>
            </w:tcBorders>
            <w:vAlign w:val="top"/>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r>
              <w:rPr>
                <w:rFonts w:hint="eastAsia" w:cs="Courier New" w:asciiTheme="minorEastAsia" w:hAnsiTheme="minorEastAsia" w:eastAsiaTheme="minorEastAsia"/>
                <w:color w:val="auto"/>
                <w:sz w:val="21"/>
                <w:szCs w:val="21"/>
                <w:highlight w:val="none"/>
                <w:lang w:val="en-US" w:eastAsia="zh-CN" w:bidi="ar-SA"/>
              </w:rPr>
              <w:t>验收人员：</w:t>
            </w:r>
          </w:p>
        </w:tc>
        <w:tc>
          <w:tcPr>
            <w:tcW w:w="2069" w:type="dxa"/>
            <w:gridSpan w:val="2"/>
            <w:tcBorders>
              <w:top w:val="single" w:color="auto" w:sz="4" w:space="0"/>
              <w:left w:val="single" w:color="auto" w:sz="4" w:space="0"/>
              <w:bottom w:val="single" w:color="auto" w:sz="4" w:space="0"/>
              <w:right w:val="single" w:color="auto" w:sz="4" w:space="0"/>
            </w:tcBorders>
            <w:vAlign w:val="top"/>
          </w:tcPr>
          <w:p>
            <w:pPr>
              <w:widowControl w:val="0"/>
              <w:spacing w:before="0" w:after="0" w:afterAutospacing="0" w:line="360" w:lineRule="auto"/>
              <w:ind w:left="0" w:right="0" w:firstLine="0"/>
              <w:jc w:val="both"/>
              <w:rPr>
                <w:rFonts w:cs="Courier New" w:asciiTheme="minorEastAsia" w:hAnsiTheme="minorEastAsia" w:eastAsiaTheme="minorEastAsia"/>
                <w:color w:val="auto"/>
                <w:sz w:val="21"/>
                <w:szCs w:val="21"/>
                <w:highlight w:val="none"/>
                <w:lang w:val="en-US" w:eastAsia="zh-CN" w:bidi="ar-SA"/>
              </w:rPr>
            </w:pPr>
            <w:r>
              <w:rPr>
                <w:rFonts w:cs="Courier New" w:asciiTheme="minorEastAsia" w:hAnsiTheme="minorEastAsia" w:eastAsiaTheme="minorEastAsia"/>
                <w:color w:val="auto"/>
                <w:sz w:val="21"/>
                <w:szCs w:val="21"/>
                <w:highlight w:val="none"/>
                <w:lang w:val="en-US" w:eastAsia="zh-CN" w:bidi="ar-SA"/>
              </w:rPr>
              <w:t>日期：</w:t>
            </w:r>
          </w:p>
        </w:tc>
      </w:tr>
    </w:tbl>
    <w:p>
      <w:pPr>
        <w:widowControl w:val="0"/>
        <w:spacing w:before="0" w:after="0" w:afterAutospacing="0" w:line="240" w:lineRule="auto"/>
        <w:ind w:left="0" w:right="0" w:firstLine="0"/>
        <w:rPr>
          <w:rFonts w:ascii="Times New Roman" w:hAnsi="Times New Roman" w:eastAsia="Times New Roman" w:cs="Times New Roman"/>
          <w:color w:val="auto"/>
          <w:sz w:val="24"/>
          <w:szCs w:val="24"/>
          <w:highlight w:val="none"/>
        </w:rPr>
      </w:pPr>
    </w:p>
    <w:p>
      <w:pPr>
        <w:widowControl w:val="0"/>
        <w:spacing w:before="0" w:after="0" w:afterAutospacing="0" w:line="240" w:lineRule="auto"/>
        <w:ind w:left="0" w:right="0" w:firstLine="0"/>
        <w:rPr>
          <w:rFonts w:ascii="Times New Roman" w:hAnsi="Times New Roman" w:eastAsia="Times New Roman" w:cs="Times New Roman"/>
          <w:color w:val="auto"/>
          <w:sz w:val="24"/>
          <w:szCs w:val="24"/>
          <w:highlight w:val="none"/>
        </w:rPr>
      </w:pPr>
    </w:p>
    <w:p>
      <w:pPr>
        <w:widowControl w:val="0"/>
        <w:spacing w:before="0" w:after="0" w:afterAutospacing="0" w:line="240" w:lineRule="auto"/>
        <w:ind w:left="0" w:right="0" w:firstLine="0"/>
        <w:rPr>
          <w:rFonts w:ascii="Times New Roman" w:hAnsi="Times New Roman" w:eastAsia="Times New Roman" w:cs="Times New Roman"/>
          <w:color w:val="auto"/>
          <w:sz w:val="24"/>
          <w:szCs w:val="24"/>
          <w:highlight w:val="none"/>
        </w:rPr>
      </w:pPr>
    </w:p>
    <w:p>
      <w:pPr>
        <w:widowControl w:val="0"/>
        <w:spacing w:before="0" w:after="0" w:afterAutospacing="0" w:line="240" w:lineRule="auto"/>
        <w:ind w:left="0" w:right="0" w:firstLine="0"/>
        <w:rPr>
          <w:rFonts w:ascii="Times New Roman" w:hAnsi="Times New Roman" w:eastAsia="Times New Roman" w:cs="Times New Roman"/>
          <w:color w:val="auto"/>
          <w:sz w:val="24"/>
          <w:szCs w:val="24"/>
          <w:highlight w:val="none"/>
        </w:rPr>
      </w:pPr>
    </w:p>
    <w:p>
      <w:pPr>
        <w:widowControl w:val="0"/>
        <w:spacing w:before="0" w:after="0" w:afterAutospacing="0" w:line="240" w:lineRule="auto"/>
        <w:ind w:left="0" w:right="0" w:firstLine="0"/>
        <w:rPr>
          <w:rFonts w:ascii="Calibri" w:hAnsi="Calibri" w:eastAsia="宋体"/>
          <w:color w:val="auto"/>
          <w:kern w:val="2"/>
          <w:sz w:val="24"/>
          <w:szCs w:val="24"/>
          <w:highlight w:val="none"/>
        </w:rPr>
      </w:pPr>
    </w:p>
    <w:p>
      <w:pPr>
        <w:keepNext/>
        <w:keepLines/>
        <w:widowControl w:val="0"/>
        <w:numPr>
          <w:ilvl w:val="0"/>
          <w:numId w:val="0"/>
        </w:numPr>
        <w:spacing w:line="360" w:lineRule="auto"/>
        <w:jc w:val="left"/>
        <w:outlineLvl w:val="0"/>
        <w:rPr>
          <w:rFonts w:hint="eastAsia" w:cs="黑体" w:asciiTheme="minorEastAsia" w:hAnsiTheme="minorEastAsia" w:eastAsiaTheme="minorEastAsia"/>
          <w:color w:val="auto"/>
          <w:kern w:val="2"/>
          <w:sz w:val="21"/>
          <w:szCs w:val="21"/>
          <w:highlight w:val="none"/>
          <w:lang w:val="en-US" w:eastAsia="zh-CN" w:bidi="ar-SA"/>
        </w:rPr>
        <w:sectPr>
          <w:pgSz w:w="11905" w:h="16838"/>
          <w:pgMar w:top="1440" w:right="1803" w:bottom="1440" w:left="1803" w:header="850"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keepNext/>
        <w:keepLines/>
        <w:widowControl w:val="0"/>
        <w:numPr>
          <w:ilvl w:val="0"/>
          <w:numId w:val="0"/>
        </w:numPr>
        <w:spacing w:before="0" w:after="0" w:afterAutospacing="0" w:line="360" w:lineRule="auto"/>
        <w:ind w:left="0" w:right="0" w:firstLine="0"/>
        <w:jc w:val="left"/>
        <w:outlineLvl w:val="0"/>
        <w:rPr>
          <w:rFonts w:hint="default" w:cs="黑体" w:asciiTheme="minorEastAsia" w:hAnsiTheme="minorEastAsia" w:eastAsiaTheme="minorEastAsia"/>
          <w:color w:val="auto"/>
          <w:kern w:val="2"/>
          <w:sz w:val="21"/>
          <w:szCs w:val="21"/>
          <w:highlight w:val="none"/>
          <w:lang w:val="en-US" w:eastAsia="zh-CN" w:bidi="ar-SA"/>
        </w:rPr>
      </w:pPr>
      <w:bookmarkStart w:id="2325" w:name="_Toc19226"/>
      <w:bookmarkStart w:id="2326" w:name="_Toc29345"/>
      <w:bookmarkStart w:id="2327" w:name="_Toc3779_WPSOffice_Level2"/>
      <w:bookmarkStart w:id="2328" w:name="_Toc30918_WPSOffice_Level2"/>
      <w:bookmarkStart w:id="2329" w:name="_Toc7139"/>
      <w:bookmarkStart w:id="2330" w:name="_Toc31634_WPSOffice_Level1"/>
      <w:bookmarkStart w:id="2331" w:name="_Toc22419"/>
      <w:bookmarkStart w:id="2332" w:name="_Toc10386"/>
      <w:bookmarkStart w:id="2333" w:name="_Toc27150"/>
      <w:bookmarkStart w:id="2334" w:name="_Toc22190"/>
      <w:r>
        <w:rPr>
          <w:rFonts w:hint="eastAsia" w:cs="黑体" w:asciiTheme="minorEastAsia" w:hAnsiTheme="minorEastAsia" w:eastAsiaTheme="minorEastAsia"/>
          <w:color w:val="auto"/>
          <w:kern w:val="2"/>
          <w:sz w:val="21"/>
          <w:szCs w:val="21"/>
          <w:highlight w:val="none"/>
          <w:lang w:val="en-US" w:eastAsia="zh-CN" w:bidi="ar-SA"/>
        </w:rPr>
        <w:t>附图1.补盲改造拓补图</w:t>
      </w:r>
      <w:bookmarkEnd w:id="2325"/>
      <w:bookmarkEnd w:id="2326"/>
      <w:bookmarkEnd w:id="2327"/>
      <w:bookmarkEnd w:id="2328"/>
      <w:bookmarkEnd w:id="2329"/>
      <w:bookmarkEnd w:id="2330"/>
      <w:bookmarkEnd w:id="2331"/>
      <w:bookmarkEnd w:id="2332"/>
      <w:bookmarkEnd w:id="2333"/>
      <w:bookmarkEnd w:id="2334"/>
    </w:p>
    <w:p>
      <w:pPr>
        <w:widowControl w:val="0"/>
        <w:spacing w:before="0" w:after="0" w:afterAutospacing="0" w:line="240" w:lineRule="auto"/>
        <w:ind w:left="0" w:right="0" w:firstLine="0"/>
        <w:rPr>
          <w:rFonts w:eastAsia="Times New Roman"/>
          <w:sz w:val="24"/>
          <w:szCs w:val="24"/>
          <w:highlight w:val="none"/>
        </w:rPr>
      </w:pPr>
      <w:r>
        <w:rPr>
          <w:rFonts w:eastAsia="Times New Roman"/>
          <w:sz w:val="24"/>
          <w:szCs w:val="24"/>
          <w:highlight w:val="none"/>
        </w:rPr>
        <w:drawing>
          <wp:inline distT="0" distB="0" distL="114300" distR="114300">
            <wp:extent cx="8858250" cy="4785360"/>
            <wp:effectExtent l="0" t="0" r="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8858250" cy="4785360"/>
                    </a:xfrm>
                    <a:prstGeom prst="rect">
                      <a:avLst/>
                    </a:prstGeom>
                    <a:noFill/>
                    <a:ln>
                      <a:noFill/>
                    </a:ln>
                  </pic:spPr>
                </pic:pic>
              </a:graphicData>
            </a:graphic>
          </wp:inline>
        </w:drawing>
      </w:r>
    </w:p>
    <w:p>
      <w:pPr>
        <w:keepNext w:val="0"/>
        <w:keepLines w:val="0"/>
        <w:pageBreakBefore/>
        <w:widowControl w:val="0"/>
        <w:kinsoku/>
        <w:wordWrap/>
        <w:overflowPunct/>
        <w:topLinePunct w:val="0"/>
        <w:autoSpaceDE/>
        <w:autoSpaceDN/>
        <w:bidi w:val="0"/>
        <w:adjustRightInd/>
        <w:snapToGrid/>
        <w:ind w:right="-57"/>
        <w:jc w:val="both"/>
        <w:textAlignment w:val="auto"/>
        <w:outlineLvl w:val="0"/>
        <w:rPr>
          <w:rStyle w:val="44"/>
          <w:rFonts w:hint="eastAsia" w:ascii="宋体" w:hAnsi="宋体" w:eastAsia="宋体"/>
          <w:color w:val="auto"/>
          <w:highlight w:val="none"/>
        </w:rPr>
        <w:sectPr>
          <w:footerReference r:id="rId12" w:type="default"/>
          <w:pgSz w:w="16838" w:h="11905" w:orient="landscape"/>
          <w:pgMar w:top="1803" w:right="1440" w:bottom="1803" w:left="1440" w:header="850" w:footer="992" w:gutter="0"/>
          <w:pgNumType w:fmt="decimal"/>
          <w:cols w:space="0" w:num="1"/>
          <w:rtlGutter w:val="0"/>
          <w:docGrid w:type="lines" w:linePitch="319" w:charSpace="0"/>
        </w:sectPr>
      </w:pPr>
      <w:bookmarkStart w:id="2335" w:name="_Toc10084"/>
      <w:r>
        <w:rPr>
          <w:rFonts w:ascii="宋体" w:hAnsi="Courier New" w:eastAsia="Times New Roman" w:cs="Courier New"/>
          <w:sz w:val="24"/>
          <w:szCs w:val="21"/>
          <w:highlight w:val="none"/>
          <w:lang w:val="en-US" w:eastAsia="zh-CN" w:bidi="ar-SA"/>
        </w:rPr>
        <w:drawing>
          <wp:inline distT="0" distB="0" distL="114300" distR="114300">
            <wp:extent cx="8860155" cy="5296535"/>
            <wp:effectExtent l="0" t="0" r="17145"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0"/>
                    <a:stretch>
                      <a:fillRect/>
                    </a:stretch>
                  </pic:blipFill>
                  <pic:spPr>
                    <a:xfrm>
                      <a:off x="0" y="0"/>
                      <a:ext cx="8860155" cy="5296535"/>
                    </a:xfrm>
                    <a:prstGeom prst="rect">
                      <a:avLst/>
                    </a:prstGeom>
                    <a:noFill/>
                    <a:ln>
                      <a:noFill/>
                    </a:ln>
                  </pic:spPr>
                </pic:pic>
              </a:graphicData>
            </a:graphic>
          </wp:inline>
        </w:drawing>
      </w:r>
      <w:bookmarkEnd w:id="2335"/>
      <w:bookmarkStart w:id="2336" w:name="_Toc22547"/>
      <w:bookmarkStart w:id="2337" w:name="_Toc5008"/>
      <w:bookmarkStart w:id="2338" w:name="_Toc9329"/>
      <w:bookmarkStart w:id="2339" w:name="_Toc1777"/>
      <w:bookmarkStart w:id="2340" w:name="_Toc14738"/>
      <w:bookmarkStart w:id="2341" w:name="_Toc3551"/>
      <w:bookmarkStart w:id="2342" w:name="_Toc3174"/>
      <w:bookmarkStart w:id="2343" w:name="_Toc1104"/>
      <w:bookmarkStart w:id="2344" w:name="_Toc17976"/>
      <w:bookmarkStart w:id="2345" w:name="_Toc26286"/>
      <w:bookmarkStart w:id="2346" w:name="_Toc25908"/>
      <w:bookmarkStart w:id="2347" w:name="_Toc4284"/>
      <w:bookmarkStart w:id="2348" w:name="_Toc17186"/>
      <w:bookmarkStart w:id="2349" w:name="_Toc14104"/>
      <w:bookmarkStart w:id="2350" w:name="_Toc25750691"/>
      <w:bookmarkStart w:id="2351" w:name="_Toc6090"/>
      <w:bookmarkStart w:id="2352" w:name="_Toc147"/>
      <w:bookmarkStart w:id="2353" w:name="_Toc21231"/>
      <w:bookmarkStart w:id="2354" w:name="_Toc531"/>
    </w:p>
    <w:p>
      <w:pPr>
        <w:pStyle w:val="15"/>
        <w:keepNext w:val="0"/>
        <w:keepLines w:val="0"/>
        <w:pageBreakBefore/>
        <w:widowControl/>
        <w:kinsoku/>
        <w:wordWrap/>
        <w:overflowPunct/>
        <w:topLinePunct w:val="0"/>
        <w:autoSpaceDE/>
        <w:autoSpaceDN/>
        <w:bidi w:val="0"/>
        <w:adjustRightInd/>
        <w:snapToGrid/>
        <w:ind w:right="-57"/>
        <w:jc w:val="center"/>
        <w:textAlignment w:val="auto"/>
        <w:outlineLvl w:val="0"/>
        <w:rPr>
          <w:rStyle w:val="44"/>
          <w:rFonts w:ascii="宋体" w:hAnsi="宋体" w:eastAsia="宋体"/>
          <w:color w:val="auto"/>
          <w:highlight w:val="none"/>
        </w:rPr>
      </w:pPr>
      <w:bookmarkStart w:id="2355" w:name="_Toc7775"/>
      <w:bookmarkStart w:id="2356" w:name="_Toc31558"/>
      <w:bookmarkStart w:id="2357" w:name="_Toc24439"/>
      <w:bookmarkStart w:id="2358" w:name="_Toc10294"/>
      <w:bookmarkStart w:id="2359" w:name="_Toc23643_WPSOffice_Level1"/>
      <w:bookmarkStart w:id="2360" w:name="_Toc29853"/>
      <w:bookmarkStart w:id="2361" w:name="_Toc13195"/>
      <w:bookmarkStart w:id="2362" w:name="_Toc16555_WPSOffice_Level2"/>
      <w:bookmarkStart w:id="2363" w:name="_Toc26656"/>
      <w:bookmarkStart w:id="2364" w:name="_Toc5917_WPSOffice_Level1"/>
      <w:bookmarkStart w:id="2365" w:name="_Toc2673_WPSOffice_Level1"/>
      <w:r>
        <w:rPr>
          <w:rStyle w:val="44"/>
          <w:rFonts w:hint="eastAsia" w:ascii="宋体" w:hAnsi="宋体" w:eastAsia="宋体"/>
          <w:color w:val="auto"/>
          <w:highlight w:val="none"/>
        </w:rPr>
        <w:t>第六章评分办法</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keepNext w:val="0"/>
        <w:keepLines w:val="0"/>
        <w:widowControl/>
        <w:kinsoku/>
        <w:wordWrap/>
        <w:overflowPunct/>
        <w:topLinePunct w:val="0"/>
        <w:autoSpaceDE/>
        <w:autoSpaceDN/>
        <w:bidi w:val="0"/>
        <w:adjustRightInd/>
        <w:snapToGrid/>
        <w:spacing w:before="0" w:after="0" w:afterAutospacing="0"/>
        <w:ind w:left="0" w:right="0" w:firstLine="562" w:firstLineChars="200"/>
        <w:textAlignment w:val="auto"/>
        <w:outlineLvl w:val="1"/>
        <w:rPr>
          <w:rFonts w:ascii="宋体" w:hAnsi="宋体" w:cs="Arial"/>
          <w:b/>
          <w:bCs/>
          <w:color w:val="auto"/>
          <w:sz w:val="28"/>
          <w:szCs w:val="28"/>
          <w:highlight w:val="none"/>
        </w:rPr>
      </w:pPr>
      <w:bookmarkStart w:id="2366" w:name="_Toc8452"/>
      <w:bookmarkStart w:id="2367" w:name="_Toc31846"/>
      <w:bookmarkStart w:id="2368" w:name="_Toc3630"/>
      <w:bookmarkStart w:id="2369" w:name="_Toc31832_WPSOffice_Level2"/>
      <w:bookmarkStart w:id="2370" w:name="_Toc2473"/>
      <w:bookmarkStart w:id="2371" w:name="_Toc18587"/>
      <w:bookmarkStart w:id="2372" w:name="_Toc25750692"/>
      <w:bookmarkStart w:id="2373" w:name="_Toc28153"/>
      <w:bookmarkStart w:id="2374" w:name="_Toc14813"/>
      <w:bookmarkStart w:id="2375" w:name="_Toc21498_WPSOffice_Level2"/>
      <w:r>
        <w:rPr>
          <w:rFonts w:hint="eastAsia" w:ascii="宋体" w:hAnsi="宋体" w:cs="Arial"/>
          <w:b/>
          <w:bCs/>
          <w:color w:val="auto"/>
          <w:sz w:val="28"/>
          <w:szCs w:val="28"/>
          <w:highlight w:val="none"/>
        </w:rPr>
        <w:t>一、评审原则</w:t>
      </w:r>
      <w:bookmarkEnd w:id="2366"/>
      <w:bookmarkEnd w:id="2367"/>
      <w:bookmarkEnd w:id="2368"/>
      <w:bookmarkEnd w:id="2369"/>
      <w:bookmarkEnd w:id="2370"/>
      <w:bookmarkEnd w:id="2371"/>
      <w:bookmarkEnd w:id="2372"/>
      <w:bookmarkEnd w:id="2373"/>
      <w:bookmarkEnd w:id="2374"/>
      <w:bookmarkEnd w:id="2375"/>
    </w:p>
    <w:p>
      <w:pPr>
        <w:keepNext w:val="0"/>
        <w:keepLines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w:t>
      </w:r>
      <w:r>
        <w:rPr>
          <w:rFonts w:hint="eastAsia" w:ascii="宋体" w:hAnsi="宋体" w:cs="Arial"/>
          <w:bCs/>
          <w:color w:val="auto"/>
          <w:highlight w:val="none"/>
          <w:lang w:eastAsia="zh-CN"/>
        </w:rPr>
        <w:t>南宁轨道交通运营有限公司</w:t>
      </w:r>
      <w:r>
        <w:rPr>
          <w:rFonts w:hint="eastAsia" w:ascii="宋体" w:hAnsi="宋体" w:cs="Arial"/>
          <w:bCs/>
          <w:color w:val="auto"/>
          <w:highlight w:val="none"/>
          <w:lang w:val="en-US" w:eastAsia="zh-CN"/>
        </w:rPr>
        <w:t>3</w:t>
      </w:r>
      <w:r>
        <w:rPr>
          <w:rFonts w:hint="eastAsia" w:ascii="宋体" w:hAnsi="宋体" w:cs="Arial"/>
          <w:bCs/>
          <w:color w:val="auto"/>
          <w:highlight w:val="none"/>
        </w:rPr>
        <w:t>人及以上单数组成评审小组，对比选申请文件按评审标准进行评审；由</w:t>
      </w:r>
      <w:r>
        <w:rPr>
          <w:rFonts w:hint="eastAsia" w:ascii="宋体" w:hAnsi="宋体" w:cs="Arial"/>
          <w:bCs/>
          <w:color w:val="auto"/>
          <w:highlight w:val="none"/>
          <w:lang w:eastAsia="zh-CN"/>
        </w:rPr>
        <w:t>南宁轨道交通运营有限公司</w:t>
      </w:r>
      <w:r>
        <w:rPr>
          <w:rFonts w:hint="eastAsia" w:ascii="宋体" w:hAnsi="宋体" w:cs="Arial"/>
          <w:bCs/>
          <w:color w:val="auto"/>
          <w:highlight w:val="none"/>
        </w:rPr>
        <w:t>纪检监察部门进行监督。</w:t>
      </w:r>
    </w:p>
    <w:p>
      <w:pPr>
        <w:keepNext w:val="0"/>
        <w:keepLines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keepNext w:val="0"/>
        <w:keepLines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keepNext w:val="0"/>
        <w:keepLines w:val="0"/>
        <w:widowControl/>
        <w:kinsoku/>
        <w:wordWrap/>
        <w:overflowPunct/>
        <w:topLinePunct w:val="0"/>
        <w:autoSpaceDE/>
        <w:autoSpaceDN/>
        <w:bidi w:val="0"/>
        <w:adjustRightInd/>
        <w:snapToGrid/>
        <w:spacing w:before="0" w:after="0" w:afterAutospacing="0"/>
        <w:ind w:left="0" w:right="0" w:firstLine="562" w:firstLineChars="200"/>
        <w:textAlignment w:val="auto"/>
        <w:outlineLvl w:val="1"/>
        <w:rPr>
          <w:rFonts w:ascii="宋体" w:hAnsi="宋体" w:cs="Arial"/>
          <w:b/>
          <w:color w:val="auto"/>
          <w:highlight w:val="none"/>
        </w:rPr>
      </w:pPr>
      <w:bookmarkStart w:id="2376" w:name="_Toc30719_WPSOffice_Level2"/>
      <w:bookmarkStart w:id="2377" w:name="_Toc1102"/>
      <w:bookmarkStart w:id="2378" w:name="_Toc5136"/>
      <w:bookmarkStart w:id="2379" w:name="_Toc15880"/>
      <w:bookmarkStart w:id="2380" w:name="_Toc11240"/>
      <w:bookmarkStart w:id="2381" w:name="_Toc26646"/>
      <w:bookmarkStart w:id="2382" w:name="_Toc11031"/>
      <w:bookmarkStart w:id="2383" w:name="_Toc10270"/>
      <w:bookmarkStart w:id="2384" w:name="_Toc478566177"/>
      <w:bookmarkStart w:id="2385" w:name="_Toc29000"/>
      <w:bookmarkStart w:id="2386" w:name="_Toc11611"/>
      <w:bookmarkStart w:id="2387" w:name="_Toc12174"/>
      <w:bookmarkStart w:id="2388" w:name="_Toc25750693"/>
      <w:bookmarkStart w:id="2389" w:name="_Toc25191"/>
      <w:bookmarkStart w:id="2390" w:name="_Toc27487_WPSOffice_Level2"/>
      <w:r>
        <w:rPr>
          <w:rFonts w:hint="eastAsia" w:ascii="宋体" w:hAnsi="宋体" w:cs="Arial"/>
          <w:b/>
          <w:bCs/>
          <w:color w:val="auto"/>
          <w:sz w:val="28"/>
          <w:szCs w:val="28"/>
          <w:highlight w:val="none"/>
        </w:rPr>
        <w:t>二、评定方法</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keepNext w:val="0"/>
        <w:keepLines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Arial"/>
          <w:color w:val="auto"/>
          <w:highlight w:val="none"/>
          <w:lang w:eastAsia="zh-CN"/>
        </w:rPr>
      </w:pPr>
      <w:r>
        <w:rPr>
          <w:rFonts w:hint="eastAsia" w:ascii="宋体" w:hAnsi="宋体" w:cs="Arial"/>
          <w:color w:val="auto"/>
          <w:highlight w:val="none"/>
        </w:rPr>
        <w:t>2.1对资格性和符合性检查合格的比选申请文件，采用</w:t>
      </w:r>
      <w:r>
        <w:rPr>
          <w:rFonts w:hint="eastAsia" w:ascii="宋体" w:hAnsi="宋体" w:cs="Arial"/>
          <w:color w:val="auto"/>
          <w:highlight w:val="none"/>
          <w:lang w:eastAsia="zh-CN"/>
        </w:rPr>
        <w:t>综合评分法</w:t>
      </w:r>
      <w:r>
        <w:rPr>
          <w:rFonts w:hint="eastAsia" w:ascii="宋体" w:hAnsi="宋体" w:cs="Arial"/>
          <w:color w:val="auto"/>
          <w:highlight w:val="none"/>
        </w:rPr>
        <w:t>进行评审</w:t>
      </w:r>
      <w:r>
        <w:rPr>
          <w:rFonts w:hint="eastAsia" w:ascii="宋体" w:hAnsi="宋体" w:cs="Arial"/>
          <w:color w:val="auto"/>
          <w:highlight w:val="none"/>
          <w:lang w:eastAsia="zh-CN"/>
        </w:rPr>
        <w:t>；</w:t>
      </w:r>
      <w:r>
        <w:rPr>
          <w:rFonts w:hint="eastAsia"/>
          <w:highlight w:val="none"/>
          <w:lang w:eastAsia="zh-CN"/>
        </w:rPr>
        <w:t>满分100分，其中技术满分</w:t>
      </w:r>
      <w:r>
        <w:rPr>
          <w:rFonts w:hint="eastAsia"/>
          <w:highlight w:val="none"/>
          <w:lang w:val="en-US" w:eastAsia="zh-CN"/>
        </w:rPr>
        <w:t>6</w:t>
      </w:r>
      <w:r>
        <w:rPr>
          <w:rFonts w:hint="eastAsia"/>
          <w:highlight w:val="none"/>
          <w:lang w:eastAsia="zh-CN"/>
        </w:rPr>
        <w:t>0分，价格满分</w:t>
      </w:r>
      <w:r>
        <w:rPr>
          <w:rFonts w:hint="eastAsia"/>
          <w:highlight w:val="none"/>
          <w:lang w:val="en-US" w:eastAsia="zh-CN"/>
        </w:rPr>
        <w:t>4</w:t>
      </w:r>
      <w:r>
        <w:rPr>
          <w:rFonts w:hint="eastAsia"/>
          <w:highlight w:val="none"/>
          <w:lang w:eastAsia="zh-CN"/>
        </w:rPr>
        <w:t>0分。</w:t>
      </w:r>
    </w:p>
    <w:p>
      <w:pPr>
        <w:keepNext w:val="0"/>
        <w:keepLines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s="Arial"/>
          <w:color w:val="auto"/>
          <w:highlight w:val="none"/>
        </w:rPr>
      </w:pPr>
      <w:r>
        <w:rPr>
          <w:rFonts w:hint="eastAsia" w:ascii="宋体" w:hAnsi="宋体" w:cs="Arial"/>
          <w:color w:val="auto"/>
          <w:highlight w:val="none"/>
        </w:rPr>
        <w:t>2.2</w:t>
      </w:r>
      <w:r>
        <w:rPr>
          <w:rFonts w:hint="eastAsia" w:ascii="宋体" w:hAnsi="宋体" w:cs="Arial"/>
          <w:highlight w:val="none"/>
        </w:rPr>
        <w:t>评审委员会将依照本比选文件相关要求，</w:t>
      </w:r>
      <w:r>
        <w:rPr>
          <w:rFonts w:hint="eastAsia" w:ascii="宋体" w:hAnsi="宋体" w:cs="Arial"/>
          <w:sz w:val="21"/>
          <w:szCs w:val="21"/>
          <w:highlight w:val="none"/>
        </w:rPr>
        <w:t>对照比选申请文件的应答进行比较，并对各比选申请文件的技术、</w:t>
      </w:r>
      <w:r>
        <w:rPr>
          <w:rFonts w:hint="eastAsia" w:ascii="宋体" w:hAnsi="宋体" w:cs="Arial"/>
          <w:sz w:val="21"/>
          <w:szCs w:val="21"/>
          <w:highlight w:val="none"/>
          <w:lang w:eastAsia="zh-CN"/>
        </w:rPr>
        <w:t>价格</w:t>
      </w:r>
      <w:r>
        <w:rPr>
          <w:rFonts w:hint="eastAsia" w:ascii="宋体" w:hAnsi="宋体" w:cs="Arial"/>
          <w:sz w:val="21"/>
          <w:szCs w:val="21"/>
          <w:highlight w:val="none"/>
        </w:rPr>
        <w:t>内容进行评审打分</w:t>
      </w:r>
      <w:r>
        <w:rPr>
          <w:rFonts w:hint="eastAsia" w:ascii="宋体" w:hAnsi="宋体" w:cs="Arial"/>
          <w:highlight w:val="none"/>
        </w:rPr>
        <w:t>。</w:t>
      </w:r>
    </w:p>
    <w:p>
      <w:pPr>
        <w:keepNext w:val="0"/>
        <w:keepLines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highlight w:val="none"/>
          <w:lang w:val="en-US" w:eastAsia="zh-CN"/>
        </w:rPr>
      </w:pPr>
      <w:r>
        <w:rPr>
          <w:rFonts w:hint="eastAsia" w:ascii="宋体" w:hAnsi="宋体" w:cs="Arial"/>
          <w:color w:val="auto"/>
          <w:highlight w:val="none"/>
        </w:rPr>
        <w:t>2.3</w:t>
      </w:r>
      <w:r>
        <w:rPr>
          <w:rFonts w:hint="eastAsia"/>
          <w:highlight w:val="none"/>
          <w:lang w:val="en-US" w:eastAsia="zh-CN"/>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keepNext w:val="0"/>
        <w:keepLines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cs="Arial"/>
          <w:color w:val="auto"/>
          <w:highlight w:val="none"/>
        </w:rPr>
      </w:pPr>
      <w:r>
        <w:rPr>
          <w:rFonts w:hint="eastAsia" w:ascii="宋体" w:hAnsi="宋体" w:eastAsia="宋体" w:cs="宋体"/>
          <w:highlight w:val="none"/>
          <w:lang w:val="en-US" w:eastAsia="zh-CN"/>
        </w:rPr>
        <w:t>2.4总分=技术得分</w:t>
      </w:r>
      <w:r>
        <w:rPr>
          <w:rFonts w:hint="eastAsia"/>
          <w:highlight w:val="none"/>
          <w:lang w:val="en-US" w:eastAsia="zh-CN"/>
        </w:rPr>
        <w:t>+价格得分。各项指标的分数计算四舍五入，取小数点后两位。计算比选申请人综合评分，并按照总分（综合得分）由高到低的顺序提出1-3名中选候选人，并编写评审报告。</w:t>
      </w:r>
      <w:r>
        <w:rPr>
          <w:rFonts w:hint="eastAsia" w:ascii="宋体" w:hAnsi="宋体" w:cs="Arial"/>
          <w:color w:val="auto"/>
          <w:highlight w:val="none"/>
        </w:rPr>
        <w:t>若比选申请人的综合得分相等时，技术评分高者优先；技术评分也相等的，比选报价评分高者优先，比选报价评分也相等的，以评审委</w:t>
      </w:r>
      <w:r>
        <w:rPr>
          <w:rFonts w:hint="eastAsia" w:ascii="宋体" w:hAnsi="宋体"/>
          <w:color w:val="auto"/>
          <w:highlight w:val="none"/>
        </w:rPr>
        <w:t>员会记名投票的方式按少数服从多数的原则决定其排名顺序。</w:t>
      </w:r>
    </w:p>
    <w:p>
      <w:pPr>
        <w:spacing w:before="0" w:after="0" w:afterAutospacing="0"/>
        <w:ind w:left="0" w:leftChars="0" w:right="0" w:firstLine="562" w:firstLineChars="200"/>
        <w:outlineLvl w:val="1"/>
        <w:rPr>
          <w:rFonts w:hint="eastAsia" w:ascii="宋体" w:hAnsi="宋体" w:cs="Arial"/>
          <w:b/>
          <w:bCs/>
          <w:color w:val="auto"/>
          <w:sz w:val="28"/>
          <w:szCs w:val="28"/>
          <w:highlight w:val="none"/>
        </w:rPr>
      </w:pPr>
      <w:bookmarkStart w:id="2391" w:name="_Toc17241"/>
      <w:bookmarkStart w:id="2392" w:name="_Toc10661_WPSOffice_Level2"/>
      <w:bookmarkStart w:id="2393" w:name="_Toc31331"/>
      <w:bookmarkStart w:id="2394" w:name="_Toc20336"/>
      <w:bookmarkStart w:id="2395" w:name="_Toc10520"/>
      <w:bookmarkStart w:id="2396" w:name="_Toc30212_WPSOffice_Level2"/>
      <w:bookmarkStart w:id="2397" w:name="_Toc18906"/>
      <w:bookmarkStart w:id="2398" w:name="_Toc20387"/>
      <w:r>
        <w:rPr>
          <w:rFonts w:hint="eastAsia" w:ascii="宋体" w:hAnsi="宋体" w:cs="Arial"/>
          <w:b/>
          <w:bCs/>
          <w:color w:val="auto"/>
          <w:sz w:val="28"/>
          <w:szCs w:val="28"/>
          <w:highlight w:val="none"/>
        </w:rPr>
        <w:t>三、评审流程</w:t>
      </w:r>
      <w:bookmarkEnd w:id="2391"/>
      <w:bookmarkEnd w:id="2392"/>
      <w:bookmarkEnd w:id="2393"/>
      <w:bookmarkEnd w:id="2394"/>
      <w:bookmarkEnd w:id="2395"/>
      <w:bookmarkEnd w:id="2396"/>
      <w:bookmarkEnd w:id="2397"/>
      <w:bookmarkEnd w:id="2398"/>
    </w:p>
    <w:p>
      <w:pPr>
        <w:tabs>
          <w:tab w:val="left" w:pos="567"/>
        </w:tabs>
        <w:spacing w:before="0" w:after="0" w:afterAutospacing="0"/>
        <w:ind w:left="422" w:right="0" w:firstLine="0"/>
        <w:rPr>
          <w:rFonts w:ascii="宋体" w:hAnsi="宋体"/>
          <w:b/>
          <w:highlight w:val="none"/>
        </w:rPr>
      </w:pPr>
      <w:bookmarkStart w:id="2399" w:name="_Toc10661_WPSOffice_Level3"/>
      <w:r>
        <w:rPr>
          <w:rFonts w:hint="eastAsia" w:ascii="宋体" w:hAnsi="宋体"/>
          <w:b/>
          <w:highlight w:val="none"/>
        </w:rPr>
        <w:t>3.1资格审查</w:t>
      </w:r>
      <w:bookmarkEnd w:id="2399"/>
    </w:p>
    <w:p>
      <w:pPr>
        <w:spacing w:before="0" w:after="0" w:afterAutospacing="0"/>
        <w:ind w:left="0" w:right="0" w:firstLine="420" w:firstLineChars="200"/>
        <w:rPr>
          <w:rFonts w:ascii="宋体" w:hAnsi="宋体"/>
          <w:highlight w:val="none"/>
        </w:rPr>
      </w:pPr>
      <w:r>
        <w:rPr>
          <w:rFonts w:hint="eastAsia" w:ascii="宋体" w:hAnsi="宋体"/>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highlight w:val="none"/>
        </w:rPr>
      </w:pPr>
      <w:r>
        <w:rPr>
          <w:rFonts w:hint="eastAsia" w:ascii="宋体" w:hAnsi="宋体"/>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highlight w:val="none"/>
        </w:rPr>
      </w:pPr>
      <w:bookmarkStart w:id="2400" w:name="_Toc27221_WPSOffice_Level3"/>
      <w:r>
        <w:rPr>
          <w:rFonts w:hint="eastAsia" w:ascii="宋体" w:hAnsi="宋体"/>
          <w:b/>
          <w:highlight w:val="none"/>
        </w:rPr>
        <w:t>3.2初步评审</w:t>
      </w:r>
      <w:bookmarkEnd w:id="2400"/>
    </w:p>
    <w:p>
      <w:pPr>
        <w:tabs>
          <w:tab w:val="left" w:pos="851"/>
        </w:tabs>
        <w:spacing w:before="0" w:after="0" w:afterAutospacing="0"/>
        <w:ind w:left="0" w:right="0" w:firstLine="420" w:firstLineChars="200"/>
        <w:rPr>
          <w:rFonts w:hAnsi="宋体"/>
          <w:highlight w:val="none"/>
        </w:rPr>
      </w:pPr>
      <w:r>
        <w:rPr>
          <w:rFonts w:hint="eastAsia" w:hAnsi="宋体"/>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highlight w:val="none"/>
        </w:rPr>
      </w:pPr>
      <w:r>
        <w:rPr>
          <w:rFonts w:hint="eastAsia" w:hAnsi="宋体"/>
          <w:highlight w:val="none"/>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highlight w:val="none"/>
        </w:rPr>
      </w:pPr>
      <w:r>
        <w:rPr>
          <w:rFonts w:hint="eastAsia" w:hAnsi="宋体"/>
          <w:highlight w:val="none"/>
        </w:rPr>
        <w:t>（3）</w:t>
      </w:r>
      <w:r>
        <w:rPr>
          <w:highlight w:val="none"/>
        </w:rPr>
        <w:t>评审委员会</w:t>
      </w:r>
      <w:r>
        <w:rPr>
          <w:rFonts w:hAnsi="宋体"/>
          <w:highlight w:val="none"/>
        </w:rPr>
        <w:t>根据</w:t>
      </w:r>
      <w:r>
        <w:rPr>
          <w:rFonts w:hint="eastAsia" w:hAnsi="宋体"/>
          <w:highlight w:val="none"/>
        </w:rPr>
        <w:t>比选</w:t>
      </w:r>
      <w:r>
        <w:rPr>
          <w:rFonts w:hAnsi="宋体"/>
          <w:highlight w:val="none"/>
        </w:rPr>
        <w:t>文件的要求对</w:t>
      </w:r>
      <w:r>
        <w:rPr>
          <w:rFonts w:hint="eastAsia" w:hAnsi="宋体"/>
          <w:highlight w:val="none"/>
        </w:rPr>
        <w:t>比选申请</w:t>
      </w:r>
      <w:r>
        <w:rPr>
          <w:rFonts w:hAnsi="宋体"/>
          <w:highlight w:val="none"/>
        </w:rPr>
        <w:t>人进行</w:t>
      </w:r>
      <w:r>
        <w:rPr>
          <w:rFonts w:hint="eastAsia" w:hAnsi="宋体"/>
          <w:highlight w:val="none"/>
        </w:rPr>
        <w:t>符合性</w:t>
      </w:r>
      <w:r>
        <w:rPr>
          <w:rFonts w:hAnsi="宋体"/>
          <w:highlight w:val="none"/>
        </w:rPr>
        <w:t>评审，未通过</w:t>
      </w:r>
      <w:r>
        <w:rPr>
          <w:rFonts w:hint="eastAsia" w:hAnsi="宋体"/>
          <w:highlight w:val="none"/>
        </w:rPr>
        <w:t>符合性</w:t>
      </w:r>
      <w:r>
        <w:rPr>
          <w:rFonts w:hAnsi="宋体"/>
          <w:highlight w:val="none"/>
        </w:rPr>
        <w:t>评审的</w:t>
      </w:r>
      <w:r>
        <w:rPr>
          <w:rFonts w:hint="eastAsia" w:hAnsi="宋体"/>
          <w:highlight w:val="none"/>
        </w:rPr>
        <w:t>比选申请</w:t>
      </w:r>
      <w:r>
        <w:rPr>
          <w:rFonts w:hAnsi="宋体"/>
          <w:highlight w:val="none"/>
        </w:rPr>
        <w:t>人不得进入下一阶段的评审。评审</w:t>
      </w:r>
      <w:r>
        <w:rPr>
          <w:rFonts w:hint="eastAsia" w:hAnsi="宋体"/>
          <w:highlight w:val="none"/>
        </w:rPr>
        <w:t>标准</w:t>
      </w:r>
      <w:r>
        <w:rPr>
          <w:rFonts w:hAnsi="宋体"/>
          <w:highlight w:val="none"/>
        </w:rPr>
        <w:t>见附表二《</w:t>
      </w:r>
      <w:r>
        <w:rPr>
          <w:rFonts w:hint="eastAsia" w:hAnsi="宋体"/>
          <w:highlight w:val="none"/>
        </w:rPr>
        <w:t>符合性</w:t>
      </w:r>
      <w:r>
        <w:rPr>
          <w:rFonts w:hAnsi="宋体"/>
          <w:highlight w:val="none"/>
        </w:rPr>
        <w:t>评审表》。</w:t>
      </w:r>
    </w:p>
    <w:p>
      <w:pPr>
        <w:tabs>
          <w:tab w:val="left" w:pos="851"/>
          <w:tab w:val="left" w:pos="1134"/>
        </w:tabs>
        <w:spacing w:before="0" w:after="0" w:afterAutospacing="0"/>
        <w:ind w:left="422" w:right="0" w:firstLine="0"/>
        <w:rPr>
          <w:rFonts w:ascii="宋体" w:hAnsi="宋体"/>
          <w:b/>
          <w:highlight w:val="none"/>
        </w:rPr>
      </w:pPr>
      <w:bookmarkStart w:id="2401" w:name="_Toc7439_WPSOffice_Level3"/>
      <w:r>
        <w:rPr>
          <w:rFonts w:hint="eastAsia" w:ascii="宋体" w:hAnsi="宋体"/>
          <w:b/>
          <w:highlight w:val="none"/>
        </w:rPr>
        <w:t>3.3详细评审</w:t>
      </w:r>
      <w:bookmarkEnd w:id="2401"/>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3.3.1评审委员会对通过初步评审的投标文件的资信文件和技术文件进行详细评审。</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highlight w:val="none"/>
        </w:rPr>
        <w:t>3.3.2</w:t>
      </w:r>
      <w:r>
        <w:rPr>
          <w:rFonts w:hint="eastAsia" w:ascii="宋体" w:hAnsi="宋体"/>
          <w:highlight w:val="none"/>
          <w:lang w:eastAsia="zh-CN"/>
        </w:rPr>
        <w:t>评</w:t>
      </w:r>
      <w:r>
        <w:rPr>
          <w:rFonts w:hint="eastAsia" w:ascii="宋体" w:hAnsi="宋体"/>
          <w:color w:val="auto"/>
          <w:highlight w:val="none"/>
          <w:lang w:eastAsia="zh-CN"/>
        </w:rPr>
        <w:t>审委员会按照附表三《技术文件评分表》规定的量化因素和分值，对各比选申请人技术部分评审。各评委对比选申请人的各评分项评分累加后得出各评委的总得分。比选申请人技术得分取所有评委总得分的算术平均值（得分出现小数点，保留小数点后二位，第三位小数四舍五入）。</w:t>
      </w:r>
    </w:p>
    <w:p>
      <w:pPr>
        <w:tabs>
          <w:tab w:val="left" w:pos="851"/>
          <w:tab w:val="left" w:pos="1134"/>
        </w:tabs>
        <w:spacing w:before="0" w:after="0" w:afterAutospacing="0"/>
        <w:ind w:left="420" w:right="0" w:firstLine="0"/>
        <w:rPr>
          <w:rFonts w:hint="default" w:ascii="宋体" w:hAnsi="宋体" w:eastAsia="宋体"/>
          <w:color w:val="auto"/>
          <w:highlight w:val="none"/>
          <w:lang w:val="en-US" w:eastAsia="zh-CN"/>
        </w:rPr>
      </w:pPr>
      <w:r>
        <w:rPr>
          <w:rFonts w:hint="eastAsia" w:ascii="宋体" w:hAnsi="宋体"/>
          <w:color w:val="auto"/>
          <w:highlight w:val="none"/>
        </w:rPr>
        <w:t>3.3.3</w:t>
      </w:r>
      <w:r>
        <w:rPr>
          <w:rFonts w:hint="eastAsia" w:ascii="宋体" w:hAnsi="宋体"/>
          <w:color w:val="auto"/>
          <w:highlight w:val="none"/>
          <w:lang w:val="en-US" w:eastAsia="zh-CN"/>
        </w:rPr>
        <w:t>价格评审</w:t>
      </w:r>
    </w:p>
    <w:p>
      <w:pPr>
        <w:tabs>
          <w:tab w:val="left" w:pos="851"/>
        </w:tabs>
        <w:spacing w:before="0" w:after="0" w:afterAutospacing="0"/>
        <w:ind w:left="0" w:right="0" w:firstLine="420" w:firstLineChars="200"/>
        <w:rPr>
          <w:rFonts w:hAnsi="宋体"/>
          <w:color w:val="auto"/>
          <w:highlight w:val="none"/>
        </w:rPr>
      </w:pPr>
      <w:r>
        <w:rPr>
          <w:rFonts w:hint="eastAsia" w:ascii="宋体" w:hAnsi="宋体" w:eastAsia="宋体" w:cs="宋体"/>
          <w:color w:val="auto"/>
          <w:highlight w:val="none"/>
        </w:rPr>
        <w:t>3.3.</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w:t>
      </w:r>
      <w:r>
        <w:rPr>
          <w:rFonts w:hint="eastAsia" w:hAnsi="宋体"/>
          <w:color w:val="auto"/>
          <w:highlight w:val="none"/>
        </w:rPr>
        <w:t>评审委员会对通过初步评审的投标文件的报价文件进行详细评审。</w:t>
      </w:r>
    </w:p>
    <w:p>
      <w:pPr>
        <w:tabs>
          <w:tab w:val="left" w:pos="851"/>
        </w:tabs>
        <w:spacing w:before="0" w:after="0" w:afterAutospacing="0"/>
        <w:ind w:left="0" w:right="0" w:firstLine="420" w:firstLineChars="200"/>
        <w:rPr>
          <w:rFonts w:hAnsi="宋体"/>
          <w:color w:val="auto"/>
          <w:highlight w:val="none"/>
        </w:rPr>
      </w:pPr>
      <w:r>
        <w:rPr>
          <w:rFonts w:hint="eastAsia" w:ascii="宋体" w:hAnsi="宋体" w:eastAsia="宋体" w:cs="宋体"/>
          <w:color w:val="auto"/>
          <w:highlight w:val="none"/>
        </w:rPr>
        <w:t>3.3.</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w:t>
      </w:r>
      <w:r>
        <w:rPr>
          <w:rFonts w:hint="eastAsia" w:hAnsi="宋体"/>
          <w:color w:val="auto"/>
          <w:highlight w:val="none"/>
        </w:rPr>
        <w:t>投标报价有算术错误的，评标委员会按以下原则对投标报价进行修正，修正的价格经</w:t>
      </w:r>
      <w:r>
        <w:rPr>
          <w:rFonts w:hint="eastAsia" w:hAnsi="宋体"/>
          <w:color w:val="auto"/>
          <w:highlight w:val="none"/>
          <w:lang w:eastAsia="zh-CN"/>
        </w:rPr>
        <w:t>比选申请人</w:t>
      </w:r>
      <w:r>
        <w:rPr>
          <w:rFonts w:hint="eastAsia" w:hAnsi="宋体"/>
          <w:color w:val="auto"/>
          <w:highlight w:val="none"/>
        </w:rPr>
        <w:t>书面确认后具有约束力。</w:t>
      </w:r>
      <w:r>
        <w:rPr>
          <w:rFonts w:hint="eastAsia" w:hAnsi="宋体"/>
          <w:color w:val="auto"/>
          <w:highlight w:val="none"/>
          <w:lang w:eastAsia="zh-CN"/>
        </w:rPr>
        <w:t>比选申请人</w:t>
      </w:r>
      <w:r>
        <w:rPr>
          <w:rFonts w:hint="eastAsia" w:hAnsi="宋体"/>
          <w:color w:val="auto"/>
          <w:highlight w:val="none"/>
        </w:rPr>
        <w:t>不接受修正价格的，其投标作否决投标处理：</w:t>
      </w:r>
    </w:p>
    <w:p>
      <w:pPr>
        <w:keepNext w:val="0"/>
        <w:keepLines w:val="0"/>
        <w:pageBreakBefore w:val="0"/>
        <w:widowControl/>
        <w:numPr>
          <w:ilvl w:val="0"/>
          <w:numId w:val="79"/>
        </w:numPr>
        <w:tabs>
          <w:tab w:val="left" w:pos="851"/>
          <w:tab w:val="left" w:pos="1134"/>
        </w:tabs>
        <w:kinsoku/>
        <w:wordWrap/>
        <w:overflowPunct/>
        <w:topLinePunct w:val="0"/>
        <w:autoSpaceDE/>
        <w:autoSpaceDN/>
        <w:bidi w:val="0"/>
        <w:adjustRightInd/>
        <w:snapToGrid/>
        <w:spacing w:before="0" w:after="0" w:afterAutospacing="0"/>
        <w:ind w:left="0" w:leftChars="0" w:right="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比选申请文件中的大写金额与小写金额不一致的，以大写金额为准；</w:t>
      </w:r>
    </w:p>
    <w:p>
      <w:pPr>
        <w:keepNext w:val="0"/>
        <w:keepLines w:val="0"/>
        <w:pageBreakBefore w:val="0"/>
        <w:widowControl/>
        <w:numPr>
          <w:ilvl w:val="0"/>
          <w:numId w:val="0"/>
        </w:numPr>
        <w:tabs>
          <w:tab w:val="left" w:pos="851"/>
          <w:tab w:val="left" w:pos="1134"/>
        </w:tabs>
        <w:kinsoku/>
        <w:wordWrap/>
        <w:overflowPunct/>
        <w:topLinePunct w:val="0"/>
        <w:autoSpaceDE/>
        <w:autoSpaceDN/>
        <w:bidi w:val="0"/>
        <w:adjustRightInd/>
        <w:snapToGrid/>
        <w:spacing w:before="0" w:after="0" w:afterAutospacing="0"/>
        <w:ind w:leftChars="0" w:right="0" w:righ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总价金额与依据单价计算出的结果不一致的，以单价金额为准修正总价，但单价金额小数点有明显错误的除外；</w:t>
      </w:r>
    </w:p>
    <w:p>
      <w:pPr>
        <w:keepNext w:val="0"/>
        <w:keepLines w:val="0"/>
        <w:pageBreakBefore w:val="0"/>
        <w:widowControl/>
        <w:tabs>
          <w:tab w:val="left" w:pos="851"/>
          <w:tab w:val="left" w:pos="1134"/>
        </w:tabs>
        <w:kinsoku/>
        <w:wordWrap/>
        <w:overflowPunct/>
        <w:topLinePunct w:val="0"/>
        <w:autoSpaceDE/>
        <w:autoSpaceDN/>
        <w:bidi w:val="0"/>
        <w:adjustRightInd/>
        <w:snapToGrid/>
        <w:spacing w:before="0" w:after="0" w:afterAutospacing="0"/>
        <w:ind w:left="0" w:leftChars="0" w:right="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修正后的最终比选申请报价超过上限控制价的比选申请文件作否决投标处理。修正后的分项报价超过分项控制价的比选申请文件作否决投标处理。如项目设有综合单价控制价的，修正后的综合单价超过综合单价控制价的比选申请文件作否决投标处理；</w:t>
      </w:r>
    </w:p>
    <w:p>
      <w:pPr>
        <w:keepNext w:val="0"/>
        <w:keepLines w:val="0"/>
        <w:pageBreakBefore w:val="0"/>
        <w:widowControl/>
        <w:tabs>
          <w:tab w:val="left" w:pos="851"/>
          <w:tab w:val="left" w:pos="1134"/>
        </w:tabs>
        <w:kinsoku/>
        <w:wordWrap/>
        <w:overflowPunct/>
        <w:topLinePunct w:val="0"/>
        <w:autoSpaceDE/>
        <w:autoSpaceDN/>
        <w:bidi w:val="0"/>
        <w:adjustRightInd/>
        <w:snapToGrid/>
        <w:spacing w:before="0" w:after="0" w:afterAutospacing="0"/>
        <w:ind w:left="0" w:leftChars="0" w:right="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若修正后的总价与投标报价不相等，则评标总价和中标价均以修正后的总价为准，如投人不接受按以上规则确定的评标总价和中标价，则其投标将被拒绝。</w:t>
      </w:r>
    </w:p>
    <w:p>
      <w:pPr>
        <w:keepNext w:val="0"/>
        <w:keepLines w:val="0"/>
        <w:pageBreakBefore w:val="0"/>
        <w:widowControl/>
        <w:tabs>
          <w:tab w:val="left" w:pos="851"/>
          <w:tab w:val="left" w:pos="1134"/>
        </w:tabs>
        <w:kinsoku/>
        <w:wordWrap/>
        <w:overflowPunct/>
        <w:topLinePunct w:val="0"/>
        <w:autoSpaceDE/>
        <w:autoSpaceDN/>
        <w:bidi w:val="0"/>
        <w:adjustRightInd/>
        <w:snapToGrid/>
        <w:spacing w:before="0" w:after="0" w:afterAutospacing="0"/>
        <w:ind w:left="0" w:leftChars="0" w:right="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3.3.</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.3出现下列情况的比选申请文件将予以否决：</w:t>
      </w:r>
    </w:p>
    <w:p>
      <w:pPr>
        <w:keepNext w:val="0"/>
        <w:keepLines w:val="0"/>
        <w:pageBreakBefore w:val="0"/>
        <w:widowControl/>
        <w:tabs>
          <w:tab w:val="left" w:pos="851"/>
          <w:tab w:val="left" w:pos="1134"/>
        </w:tabs>
        <w:kinsoku/>
        <w:wordWrap/>
        <w:overflowPunct/>
        <w:topLinePunct w:val="0"/>
        <w:autoSpaceDE/>
        <w:autoSpaceDN/>
        <w:bidi w:val="0"/>
        <w:adjustRightInd/>
        <w:snapToGrid/>
        <w:spacing w:before="0" w:after="0" w:afterAutospacing="0"/>
        <w:ind w:left="0" w:leftChars="0" w:right="0" w:firstLine="420" w:firstLineChars="200"/>
        <w:jc w:val="left"/>
        <w:textAlignment w:val="auto"/>
        <w:rPr>
          <w:rFonts w:hint="eastAsia" w:ascii="宋体" w:hAnsi="宋体" w:eastAsia="宋体" w:cs="宋体"/>
          <w:bCs/>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评审委员会</w:t>
      </w:r>
      <w:r>
        <w:rPr>
          <w:rFonts w:hint="eastAsia" w:ascii="宋体" w:hAnsi="宋体" w:eastAsia="宋体" w:cs="宋体"/>
          <w:bCs/>
          <w:color w:val="auto"/>
          <w:highlight w:val="none"/>
        </w:rPr>
        <w:t>发现比选申请人的报价明显低于其他比选申请报价，使得其投标报价可能低于其个别成本的，应当要求该比选申请人作出书面说明并提供相应的证明材料。比选申请人不能合理说明或者不能提供相应证明材料的，</w:t>
      </w:r>
      <w:r>
        <w:rPr>
          <w:rFonts w:hint="eastAsia" w:ascii="宋体" w:hAnsi="宋体" w:eastAsia="宋体" w:cs="宋体"/>
          <w:color w:val="auto"/>
          <w:highlight w:val="none"/>
        </w:rPr>
        <w:t>评审</w:t>
      </w:r>
      <w:r>
        <w:rPr>
          <w:rFonts w:hint="eastAsia" w:ascii="宋体" w:hAnsi="宋体" w:eastAsia="宋体" w:cs="宋体"/>
          <w:bCs/>
          <w:color w:val="auto"/>
          <w:highlight w:val="none"/>
        </w:rPr>
        <w:t>委员会应当认定该比选申请人以低于成本报价投标，否决其投标。</w:t>
      </w:r>
    </w:p>
    <w:p>
      <w:pPr>
        <w:keepNext w:val="0"/>
        <w:keepLines w:val="0"/>
        <w:pageBreakBefore w:val="0"/>
        <w:widowControl/>
        <w:tabs>
          <w:tab w:val="left" w:pos="851"/>
          <w:tab w:val="left" w:pos="1134"/>
        </w:tabs>
        <w:kinsoku/>
        <w:wordWrap/>
        <w:overflowPunct/>
        <w:topLinePunct w:val="0"/>
        <w:autoSpaceDE/>
        <w:autoSpaceDN/>
        <w:bidi w:val="0"/>
        <w:adjustRightInd/>
        <w:snapToGrid/>
        <w:spacing w:before="0" w:after="0" w:afterAutospacing="0"/>
        <w:ind w:left="0" w:leftChars="0" w:right="0" w:firstLine="420" w:firstLineChars="200"/>
        <w:jc w:val="left"/>
        <w:textAlignment w:val="auto"/>
        <w:rPr>
          <w:rFonts w:hint="eastAsia" w:ascii="宋体" w:hAnsi="宋体" w:eastAsia="宋体" w:cs="宋体"/>
          <w:b/>
          <w:bCs/>
          <w:color w:val="auto"/>
          <w:highlight w:val="none"/>
        </w:rPr>
      </w:pPr>
      <w:bookmarkStart w:id="2402" w:name="_Hlk36511445"/>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lang w:val="en-US" w:eastAsia="zh-CN"/>
        </w:rPr>
        <w:t>2</w:t>
      </w:r>
      <w:r>
        <w:rPr>
          <w:rFonts w:hint="eastAsia" w:ascii="宋体" w:hAnsi="宋体" w:eastAsia="宋体" w:cs="宋体"/>
          <w:bCs/>
          <w:color w:val="auto"/>
          <w:highlight w:val="none"/>
          <w:lang w:eastAsia="zh-CN"/>
        </w:rPr>
        <w:t>）</w:t>
      </w:r>
      <w:r>
        <w:rPr>
          <w:rFonts w:hint="eastAsia" w:ascii="宋体" w:hAnsi="宋体" w:eastAsia="宋体" w:cs="宋体"/>
          <w:b/>
          <w:bCs/>
          <w:color w:val="auto"/>
          <w:highlight w:val="none"/>
        </w:rPr>
        <w:t>投标报价清单如有漏项的投标文件，将予以否决。</w:t>
      </w:r>
      <w:bookmarkEnd w:id="2402"/>
    </w:p>
    <w:p>
      <w:pPr>
        <w:keepNext w:val="0"/>
        <w:keepLines w:val="0"/>
        <w:pageBreakBefore w:val="0"/>
        <w:widowControl/>
        <w:tabs>
          <w:tab w:val="left" w:pos="851"/>
        </w:tabs>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eastAsia="宋体" w:cs="宋体"/>
          <w:highlight w:val="none"/>
        </w:rPr>
      </w:pPr>
      <w:r>
        <w:rPr>
          <w:rFonts w:hint="eastAsia" w:ascii="宋体" w:hAnsi="宋体" w:eastAsia="宋体" w:cs="宋体"/>
          <w:bCs/>
          <w:color w:val="auto"/>
          <w:highlight w:val="none"/>
        </w:rPr>
        <w:t>3.3.4.4</w:t>
      </w:r>
      <w:r>
        <w:rPr>
          <w:rFonts w:hint="eastAsia" w:ascii="宋体" w:hAnsi="宋体" w:eastAsia="宋体" w:cs="宋体"/>
          <w:color w:val="auto"/>
          <w:highlight w:val="none"/>
        </w:rPr>
        <w:t>评审委员会按照附表</w:t>
      </w:r>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《比选报价评分表》规定的量化因素和分值，对各</w:t>
      </w:r>
      <w:r>
        <w:rPr>
          <w:rFonts w:hint="eastAsia" w:ascii="宋体" w:hAnsi="宋体" w:eastAsia="宋体" w:cs="宋体"/>
          <w:color w:val="auto"/>
          <w:highlight w:val="none"/>
          <w:lang w:eastAsia="zh-CN"/>
        </w:rPr>
        <w:t>比选申请人</w:t>
      </w:r>
      <w:r>
        <w:rPr>
          <w:rFonts w:hint="eastAsia" w:ascii="宋体" w:hAnsi="宋体" w:eastAsia="宋体" w:cs="宋体"/>
          <w:color w:val="auto"/>
          <w:highlight w:val="none"/>
        </w:rPr>
        <w:t>的投标报价评审，并计算出价格得分（得分出现小数点，保留小数点后</w:t>
      </w:r>
      <w:r>
        <w:rPr>
          <w:rFonts w:hint="eastAsia" w:ascii="宋体" w:hAnsi="宋体" w:eastAsia="宋体" w:cs="宋体"/>
          <w:highlight w:val="none"/>
        </w:rPr>
        <w:t>二位，第三位小数四舍五入）。</w:t>
      </w:r>
    </w:p>
    <w:p>
      <w:pPr>
        <w:tabs>
          <w:tab w:val="left" w:pos="851"/>
          <w:tab w:val="left" w:pos="1134"/>
        </w:tabs>
        <w:spacing w:before="0" w:after="0" w:afterAutospacing="0"/>
        <w:ind w:left="422" w:right="0" w:firstLine="0"/>
        <w:rPr>
          <w:rFonts w:ascii="宋体" w:hAnsi="宋体"/>
          <w:b/>
          <w:highlight w:val="none"/>
        </w:rPr>
      </w:pPr>
      <w:r>
        <w:rPr>
          <w:rFonts w:hint="eastAsia" w:ascii="宋体" w:hAnsi="宋体"/>
          <w:b/>
          <w:highlight w:val="none"/>
        </w:rPr>
        <w:t>3.3.</w:t>
      </w:r>
      <w:r>
        <w:rPr>
          <w:rFonts w:hint="eastAsia" w:ascii="宋体" w:hAnsi="宋体"/>
          <w:b/>
          <w:highlight w:val="none"/>
          <w:lang w:val="en-US" w:eastAsia="zh-CN"/>
        </w:rPr>
        <w:t>5</w:t>
      </w:r>
      <w:r>
        <w:rPr>
          <w:rFonts w:hint="eastAsia" w:ascii="宋体" w:hAnsi="宋体"/>
          <w:b/>
          <w:highlight w:val="none"/>
        </w:rPr>
        <w:t>评审结果</w:t>
      </w:r>
    </w:p>
    <w:p>
      <w:pPr>
        <w:tabs>
          <w:tab w:val="left" w:pos="851"/>
        </w:tabs>
        <w:spacing w:before="0" w:after="0" w:afterAutospacing="0"/>
        <w:ind w:left="0" w:right="0" w:firstLine="420" w:firstLineChars="200"/>
        <w:rPr>
          <w:rFonts w:hint="eastAsia" w:ascii="宋体" w:hAnsi="宋体" w:eastAsia="宋体"/>
          <w:highlight w:val="none"/>
          <w:lang w:eastAsia="zh-CN"/>
        </w:rPr>
      </w:pPr>
      <w:r>
        <w:rPr>
          <w:rFonts w:hint="eastAsia" w:ascii="宋体" w:hAnsi="宋体"/>
          <w:highlight w:val="none"/>
        </w:rPr>
        <w:t>通过价格评审计算出比选申请人的实际评审总价，填写《比选申请评审表》（见附表六），由评审委员会根据通过资格审查及符合性评审的比选申请人</w:t>
      </w:r>
      <w:r>
        <w:rPr>
          <w:rFonts w:ascii="宋体" w:hAnsi="宋体"/>
          <w:highlight w:val="none"/>
        </w:rPr>
        <w:t>综合评分按照由高到低的顺序进行排序</w:t>
      </w:r>
      <w:r>
        <w:rPr>
          <w:rFonts w:hint="eastAsia" w:ascii="宋体" w:hAnsi="宋体" w:cs="Arial"/>
          <w:highlight w:val="none"/>
        </w:rPr>
        <w:t>提出</w:t>
      </w:r>
      <w:r>
        <w:rPr>
          <w:rFonts w:ascii="宋体" w:hAnsi="宋体" w:cs="Arial"/>
          <w:highlight w:val="none"/>
        </w:rPr>
        <w:t>1-3</w:t>
      </w:r>
      <w:r>
        <w:rPr>
          <w:rFonts w:hint="eastAsia" w:ascii="宋体" w:hAnsi="宋体" w:cs="Arial"/>
          <w:highlight w:val="none"/>
        </w:rPr>
        <w:t>名中选候选人，并编写评审报告。</w:t>
      </w:r>
    </w:p>
    <w:p>
      <w:pPr>
        <w:tabs>
          <w:tab w:val="left" w:pos="567"/>
        </w:tabs>
        <w:spacing w:before="0" w:after="0" w:afterAutospacing="0"/>
        <w:ind w:left="422" w:right="0" w:firstLine="0"/>
        <w:rPr>
          <w:rFonts w:ascii="宋体" w:hAnsi="宋体"/>
          <w:b/>
          <w:highlight w:val="none"/>
        </w:rPr>
      </w:pPr>
      <w:bookmarkStart w:id="2403" w:name="_Toc1392_WPSOffice_Level3"/>
      <w:r>
        <w:rPr>
          <w:rFonts w:hint="eastAsia" w:ascii="宋体" w:hAnsi="宋体"/>
          <w:b/>
          <w:highlight w:val="none"/>
        </w:rPr>
        <w:t>3.4</w:t>
      </w:r>
      <w:r>
        <w:rPr>
          <w:rFonts w:ascii="宋体" w:hAnsi="宋体"/>
          <w:b/>
          <w:highlight w:val="none"/>
        </w:rPr>
        <w:t>澄清或补正</w:t>
      </w:r>
      <w:bookmarkEnd w:id="2403"/>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3.4.2</w:t>
      </w:r>
      <w:r>
        <w:rPr>
          <w:rFonts w:ascii="宋体" w:hAnsi="宋体"/>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3.4.3</w:t>
      </w:r>
      <w:r>
        <w:rPr>
          <w:rFonts w:ascii="宋体" w:hAnsi="宋体"/>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3.4.4</w:t>
      </w:r>
      <w:r>
        <w:rPr>
          <w:rFonts w:ascii="宋体" w:hAnsi="宋体"/>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highlight w:val="none"/>
        </w:rPr>
      </w:pPr>
      <w:r>
        <w:rPr>
          <w:rFonts w:hint="eastAsia" w:ascii="宋体" w:hAnsi="宋体"/>
          <w:highlight w:val="none"/>
        </w:rPr>
        <w:t>3.4.5</w:t>
      </w:r>
      <w:r>
        <w:rPr>
          <w:rFonts w:ascii="宋体" w:hAnsi="宋体"/>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highlight w:val="none"/>
        </w:rPr>
      </w:pPr>
      <w:bookmarkStart w:id="2404" w:name="_Toc28111_WPSOffice_Level3"/>
      <w:r>
        <w:rPr>
          <w:rFonts w:hint="eastAsia" w:ascii="宋体" w:hAnsi="宋体"/>
          <w:b/>
          <w:highlight w:val="none"/>
        </w:rPr>
        <w:t>3.5</w:t>
      </w:r>
      <w:r>
        <w:rPr>
          <w:rFonts w:ascii="宋体" w:hAnsi="宋体"/>
          <w:b/>
          <w:highlight w:val="none"/>
        </w:rPr>
        <w:t>评审报告</w:t>
      </w:r>
      <w:bookmarkEnd w:id="2404"/>
    </w:p>
    <w:p>
      <w:pPr>
        <w:tabs>
          <w:tab w:val="left" w:pos="993"/>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highlight w:val="none"/>
        </w:rPr>
        <w:t>。</w:t>
      </w:r>
    </w:p>
    <w:p>
      <w:pPr>
        <w:tabs>
          <w:tab w:val="left" w:pos="851"/>
          <w:tab w:val="left" w:pos="993"/>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）评审委员会根据综合评分由高到低顺序推荐中选候选人。综合评分相同时，则技术得分较高的排名靠前；如技术得分也相同，则价格得分较高的排名靠前；如价格得分也相同，</w:t>
      </w:r>
      <w:bookmarkStart w:id="2405" w:name="_Hlk31877730"/>
      <w:r>
        <w:rPr>
          <w:rFonts w:hint="eastAsia" w:ascii="宋体" w:hAnsi="宋体"/>
          <w:highlight w:val="none"/>
        </w:rPr>
        <w:t>则由</w:t>
      </w:r>
      <w:bookmarkEnd w:id="2405"/>
      <w:r>
        <w:rPr>
          <w:rFonts w:hint="eastAsia" w:ascii="宋体" w:hAnsi="宋体"/>
          <w:highlight w:val="none"/>
        </w:rPr>
        <w:t>评审委员会记名投票的方式按少数服从多数的原则决定其排名顺序。</w:t>
      </w:r>
    </w:p>
    <w:p>
      <w:pPr>
        <w:spacing w:before="0" w:after="0" w:afterAutospacing="0"/>
        <w:ind w:left="0" w:right="0" w:firstLine="422" w:firstLineChars="200"/>
        <w:rPr>
          <w:rFonts w:ascii="宋体" w:hAnsi="宋体"/>
          <w:b/>
          <w:highlight w:val="none"/>
        </w:rPr>
      </w:pPr>
      <w:bookmarkStart w:id="2406" w:name="_Toc9883_WPSOffice_Level3"/>
      <w:r>
        <w:rPr>
          <w:rFonts w:hint="eastAsia" w:ascii="宋体" w:hAnsi="宋体"/>
          <w:b/>
          <w:highlight w:val="none"/>
        </w:rPr>
        <w:t>3.6</w:t>
      </w:r>
      <w:r>
        <w:rPr>
          <w:rFonts w:ascii="宋体" w:hAnsi="宋体"/>
          <w:b/>
          <w:highlight w:val="none"/>
        </w:rPr>
        <w:t>否决比选申请条件</w:t>
      </w:r>
      <w:bookmarkEnd w:id="2406"/>
    </w:p>
    <w:p>
      <w:pPr>
        <w:spacing w:before="0" w:after="0" w:afterAutospacing="0"/>
        <w:ind w:left="0" w:right="0" w:firstLine="420" w:firstLineChars="200"/>
        <w:rPr>
          <w:rFonts w:ascii="宋体" w:hAnsi="宋体"/>
          <w:highlight w:val="none"/>
        </w:rPr>
      </w:pPr>
      <w:r>
        <w:rPr>
          <w:rFonts w:ascii="宋体" w:hAnsi="宋体"/>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（1）不符合附表一《资格审查表》规定的；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（5）比选申请文件中附有比选人不能接受的条件；</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（6）比选申请文件实质上不响应比选文件的要求的；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（8）比选申请人扰乱会场秩序，经劝阻仍然无理取闹的；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highlight w:val="none"/>
        </w:rPr>
      </w:pPr>
      <w:r>
        <w:rPr>
          <w:rFonts w:hint="eastAsia" w:ascii="宋体" w:hAnsi="宋体"/>
          <w:b/>
          <w:highlight w:val="none"/>
        </w:rPr>
        <w:t>（</w:t>
      </w:r>
      <w:r>
        <w:rPr>
          <w:rFonts w:hint="eastAsia" w:ascii="宋体" w:hAnsi="宋体"/>
          <w:b/>
          <w:highlight w:val="none"/>
          <w:lang w:val="en-US" w:eastAsia="zh-CN"/>
        </w:rPr>
        <w:t>10</w:t>
      </w:r>
      <w:r>
        <w:rPr>
          <w:rFonts w:hint="eastAsia" w:ascii="宋体" w:hAnsi="宋体"/>
          <w:b/>
          <w:highlight w:val="none"/>
        </w:rPr>
        <w:t>）比选申请人以他人的名义比选申请、串通比选申请、以行贿手段谋取中选或者以其他弄虚作假方式比选申请的。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highlight w:val="none"/>
        </w:rPr>
        <w:sectPr>
          <w:pgSz w:w="11905" w:h="16838"/>
          <w:pgMar w:top="1440" w:right="1803" w:bottom="1440" w:left="1803" w:header="850" w:footer="992" w:gutter="0"/>
          <w:pgNumType w:fmt="decimal"/>
          <w:cols w:space="0" w:num="1"/>
          <w:rtlGutter w:val="0"/>
          <w:docGrid w:type="lines" w:linePitch="319" w:charSpace="0"/>
        </w:sectPr>
      </w:pPr>
    </w:p>
    <w:p>
      <w:pPr>
        <w:pStyle w:val="4"/>
        <w:spacing w:after="0" w:line="360" w:lineRule="auto"/>
        <w:ind w:right="-57" w:firstLine="0"/>
        <w:rPr>
          <w:color w:val="auto"/>
          <w:sz w:val="21"/>
          <w:szCs w:val="21"/>
          <w:highlight w:val="none"/>
        </w:rPr>
      </w:pPr>
      <w:bookmarkStart w:id="2407" w:name="_Toc414290583"/>
      <w:bookmarkStart w:id="2408" w:name="_Toc25750694"/>
      <w:bookmarkStart w:id="2409" w:name="_Toc22464"/>
      <w:bookmarkStart w:id="2410" w:name="_Toc492478849"/>
      <w:bookmarkStart w:id="2411" w:name="_Toc15073"/>
      <w:bookmarkStart w:id="2412" w:name="_Toc21113"/>
      <w:bookmarkStart w:id="2413" w:name="_Toc12639"/>
      <w:bookmarkStart w:id="2414" w:name="_Toc15435_WPSOffice_Level1"/>
      <w:bookmarkStart w:id="2415" w:name="_Toc19950_WPSOffice_Level1"/>
      <w:bookmarkStart w:id="2416" w:name="_Toc8139"/>
      <w:bookmarkStart w:id="2417" w:name="_Toc29190"/>
      <w:bookmarkStart w:id="2418" w:name="_Toc10968"/>
      <w:bookmarkStart w:id="2419" w:name="_Toc17692_WPSOffice_Level1"/>
      <w:bookmarkStart w:id="2420" w:name="_Toc31611"/>
      <w:bookmarkStart w:id="2421" w:name="_Toc1286_WPSOffice_Level1"/>
      <w:bookmarkStart w:id="2422" w:name="_Toc9588"/>
      <w:bookmarkStart w:id="2423" w:name="_Toc29245"/>
      <w:bookmarkStart w:id="2424" w:name="_Toc16364"/>
      <w:bookmarkStart w:id="2425" w:name="_Toc20294"/>
      <w:bookmarkStart w:id="2426" w:name="_Toc29923"/>
      <w:bookmarkStart w:id="2427" w:name="_Toc32279"/>
      <w:bookmarkStart w:id="2428" w:name="_Toc23314"/>
      <w:bookmarkStart w:id="2429" w:name="_Toc27271"/>
      <w:bookmarkStart w:id="2430" w:name="_Toc9189"/>
      <w:bookmarkStart w:id="2431" w:name="_Toc20237"/>
      <w:bookmarkStart w:id="2432" w:name="_Toc19557"/>
      <w:bookmarkStart w:id="2433" w:name="_Toc15224"/>
      <w:bookmarkStart w:id="2434" w:name="_Toc29642"/>
      <w:bookmarkStart w:id="2435" w:name="_Toc9730"/>
      <w:bookmarkStart w:id="2436" w:name="_Toc28500"/>
      <w:bookmarkStart w:id="2437" w:name="_Toc28404"/>
      <w:bookmarkStart w:id="2438" w:name="_Toc18096"/>
      <w:bookmarkStart w:id="2439" w:name="_Toc1685_WPSOffice_Level1"/>
      <w:bookmarkStart w:id="2440" w:name="_Toc434"/>
      <w:r>
        <w:rPr>
          <w:rFonts w:hint="eastAsia"/>
          <w:color w:val="auto"/>
          <w:sz w:val="21"/>
          <w:szCs w:val="21"/>
          <w:highlight w:val="none"/>
        </w:rPr>
        <w:t>附表一 资格审查表</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snapToGrid w:val="0"/>
        <w:spacing w:before="0" w:line="360" w:lineRule="exact"/>
        <w:ind w:left="420" w:right="240" w:firstLine="0"/>
        <w:jc w:val="center"/>
        <w:rPr>
          <w:rFonts w:ascii="宋体" w:hAnsi="宋体"/>
          <w:b/>
          <w:color w:val="auto"/>
          <w:sz w:val="24"/>
          <w:szCs w:val="24"/>
          <w:highlight w:val="none"/>
        </w:rPr>
      </w:pPr>
      <w:bookmarkStart w:id="2441" w:name="_Toc29364_WPSOffice_Level2"/>
      <w:bookmarkStart w:id="2442" w:name="_Toc27221_WPSOffice_Level2"/>
      <w:bookmarkStart w:id="2443" w:name="_Toc4549_WPSOffice_Level2"/>
      <w:bookmarkStart w:id="2444" w:name="_Toc22586_WPSOffice_Level2"/>
      <w:r>
        <w:rPr>
          <w:rFonts w:hint="eastAsia" w:ascii="宋体" w:hAnsi="宋体"/>
          <w:b/>
          <w:color w:val="auto"/>
          <w:sz w:val="24"/>
          <w:szCs w:val="24"/>
          <w:highlight w:val="none"/>
        </w:rPr>
        <w:t>资格审查表</w:t>
      </w:r>
      <w:bookmarkEnd w:id="2441"/>
      <w:bookmarkEnd w:id="2442"/>
      <w:bookmarkEnd w:id="2443"/>
      <w:bookmarkEnd w:id="2444"/>
    </w:p>
    <w:tbl>
      <w:tblPr>
        <w:tblStyle w:val="31"/>
        <w:tblW w:w="9580"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820"/>
        <w:gridCol w:w="3129"/>
        <w:gridCol w:w="1379"/>
        <w:gridCol w:w="1094"/>
        <w:gridCol w:w="27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序号</w:t>
            </w:r>
          </w:p>
        </w:tc>
        <w:tc>
          <w:tcPr>
            <w:tcW w:w="820"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项目内容</w:t>
            </w:r>
          </w:p>
        </w:tc>
        <w:tc>
          <w:tcPr>
            <w:tcW w:w="3129"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合格条件标准</w:t>
            </w:r>
          </w:p>
        </w:tc>
        <w:tc>
          <w:tcPr>
            <w:tcW w:w="1379"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评审依据</w:t>
            </w:r>
          </w:p>
        </w:tc>
        <w:tc>
          <w:tcPr>
            <w:tcW w:w="1094"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评审结果（合格</w:t>
            </w:r>
            <w:r>
              <w:rPr>
                <w:rFonts w:ascii="宋体" w:hAnsi="宋体"/>
                <w:highlight w:val="none"/>
              </w:rPr>
              <w:t>/</w:t>
            </w:r>
            <w:r>
              <w:rPr>
                <w:rFonts w:hint="eastAsia" w:ascii="宋体" w:hAnsi="宋体"/>
                <w:highlight w:val="none"/>
              </w:rPr>
              <w:t>不合格）</w:t>
            </w:r>
          </w:p>
        </w:tc>
        <w:tc>
          <w:tcPr>
            <w:tcW w:w="2721"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82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身份证明材料</w:t>
            </w:r>
          </w:p>
        </w:tc>
        <w:tc>
          <w:tcPr>
            <w:tcW w:w="312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72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82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比选申请人资格</w:t>
            </w:r>
          </w:p>
        </w:tc>
        <w:tc>
          <w:tcPr>
            <w:tcW w:w="312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72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216" w:hRule="atLeast"/>
          <w:jc w:val="center"/>
        </w:trPr>
        <w:tc>
          <w:tcPr>
            <w:tcW w:w="437" w:type="dxa"/>
            <w:vAlign w:val="center"/>
          </w:tcPr>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color w:val="auto"/>
                <w:highlight w:val="none"/>
                <w:lang w:val="en-US" w:eastAsia="zh-CN"/>
              </w:rPr>
              <w:t>3</w:t>
            </w:r>
          </w:p>
        </w:tc>
        <w:tc>
          <w:tcPr>
            <w:tcW w:w="820" w:type="dxa"/>
            <w:vAlign w:val="center"/>
          </w:tcPr>
          <w:p>
            <w:pPr>
              <w:spacing w:before="0" w:after="0" w:afterAutospacing="0"/>
              <w:ind w:left="0" w:right="0" w:firstLine="0"/>
              <w:rPr>
                <w:rFonts w:hint="eastAsia"/>
                <w:highlight w:val="none"/>
                <w:lang w:eastAsia="zh-CN"/>
              </w:rPr>
            </w:pPr>
            <w:r>
              <w:rPr>
                <w:rFonts w:hint="eastAsia"/>
                <w:highlight w:val="none"/>
                <w:lang w:eastAsia="zh-CN"/>
              </w:rPr>
              <w:t>比选申请人资质条件</w:t>
            </w:r>
          </w:p>
        </w:tc>
        <w:tc>
          <w:tcPr>
            <w:tcW w:w="3129" w:type="dxa"/>
            <w:vAlign w:val="center"/>
          </w:tcPr>
          <w:p>
            <w:pPr>
              <w:spacing w:before="0" w:after="0" w:afterAutospacing="0"/>
              <w:ind w:left="0" w:right="0" w:firstLine="0"/>
              <w:rPr>
                <w:rFonts w:hint="default"/>
                <w:highlight w:val="none"/>
                <w:lang w:val="en-US" w:eastAsia="zh-CN"/>
              </w:rPr>
            </w:pPr>
            <w:r>
              <w:rPr>
                <w:rFonts w:hint="eastAsia"/>
                <w:highlight w:val="none"/>
                <w:lang w:val="en-US" w:eastAsia="zh-CN"/>
              </w:rPr>
              <w:t>要求比选申请人具备建设行政主管部门颁发的通信工程施工总承包二级及以上资质。</w:t>
            </w:r>
          </w:p>
        </w:tc>
        <w:tc>
          <w:tcPr>
            <w:tcW w:w="1379" w:type="dxa"/>
            <w:vAlign w:val="center"/>
          </w:tcPr>
          <w:p>
            <w:pPr>
              <w:spacing w:before="0" w:after="0" w:afterAutospacing="0"/>
              <w:ind w:left="0" w:right="0" w:firstLine="0"/>
              <w:rPr>
                <w:rFonts w:hint="default"/>
                <w:highlight w:val="none"/>
                <w:lang w:val="en-US" w:eastAsia="zh-CN"/>
              </w:rPr>
            </w:pPr>
            <w:r>
              <w:rPr>
                <w:rFonts w:hint="eastAsia"/>
                <w:highlight w:val="none"/>
                <w:lang w:val="en-US" w:eastAsia="zh-CN"/>
              </w:rPr>
              <w:t>比选申请人相应的资质证书</w:t>
            </w:r>
          </w:p>
        </w:tc>
        <w:tc>
          <w:tcPr>
            <w:tcW w:w="1094" w:type="dxa"/>
            <w:vAlign w:val="center"/>
          </w:tcPr>
          <w:p>
            <w:pPr>
              <w:spacing w:before="0" w:after="0" w:afterAutospacing="0"/>
              <w:ind w:left="0" w:right="0" w:firstLine="0"/>
              <w:rPr>
                <w:rFonts w:hint="eastAsia"/>
                <w:highlight w:val="none"/>
                <w:lang w:eastAsia="zh-CN"/>
              </w:rPr>
            </w:pPr>
          </w:p>
        </w:tc>
        <w:tc>
          <w:tcPr>
            <w:tcW w:w="2721" w:type="dxa"/>
            <w:vAlign w:val="center"/>
          </w:tcPr>
          <w:p>
            <w:pPr>
              <w:spacing w:before="0" w:after="0" w:afterAutospacing="0"/>
              <w:ind w:left="0" w:right="0" w:firstLine="0"/>
              <w:rPr>
                <w:rFonts w:hint="default"/>
                <w:highlight w:val="none"/>
                <w:lang w:val="en-US" w:eastAsia="zh-CN"/>
              </w:rPr>
            </w:pPr>
            <w:r>
              <w:rPr>
                <w:rFonts w:hint="eastAsia" w:ascii="宋体" w:hAnsi="宋体"/>
                <w:color w:val="auto"/>
                <w:highlight w:val="none"/>
              </w:rPr>
              <w:t>提供</w:t>
            </w:r>
            <w:r>
              <w:rPr>
                <w:rFonts w:hint="eastAsia"/>
                <w:highlight w:val="none"/>
                <w:lang w:val="en-US" w:eastAsia="zh-CN"/>
              </w:rPr>
              <w:t>比选申请人</w:t>
            </w:r>
            <w:r>
              <w:rPr>
                <w:rFonts w:hint="eastAsia" w:ascii="宋体" w:hAnsi="宋体"/>
                <w:color w:val="auto"/>
                <w:highlight w:val="none"/>
                <w:lang w:eastAsia="zh-CN"/>
              </w:rPr>
              <w:t>的</w:t>
            </w:r>
            <w:r>
              <w:rPr>
                <w:rFonts w:hint="eastAsia"/>
                <w:highlight w:val="none"/>
                <w:lang w:val="en-US" w:eastAsia="zh-CN"/>
              </w:rPr>
              <w:t>资质证书。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color w:val="auto"/>
                <w:highlight w:val="none"/>
                <w:lang w:val="en-US" w:eastAsia="zh-CN"/>
              </w:rPr>
              <w:t>4</w:t>
            </w:r>
          </w:p>
        </w:tc>
        <w:tc>
          <w:tcPr>
            <w:tcW w:w="82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w:t>
            </w:r>
          </w:p>
        </w:tc>
        <w:tc>
          <w:tcPr>
            <w:tcW w:w="312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r>
              <w:rPr>
                <w:rFonts w:ascii="宋体" w:hAnsi="宋体"/>
                <w:b/>
                <w:spacing w:val="1"/>
                <w:kern w:val="0"/>
                <w:position w:val="-2"/>
                <w:szCs w:val="21"/>
                <w:highlight w:val="none"/>
              </w:rPr>
              <w:t>与其他</w:t>
            </w:r>
            <w:r>
              <w:rPr>
                <w:rFonts w:hint="eastAsia" w:ascii="宋体" w:hAnsi="宋体"/>
                <w:b/>
                <w:spacing w:val="1"/>
                <w:kern w:val="0"/>
                <w:position w:val="-2"/>
                <w:szCs w:val="21"/>
                <w:highlight w:val="none"/>
                <w:lang w:eastAsia="zh-CN"/>
              </w:rPr>
              <w:t>比选申请</w:t>
            </w:r>
            <w:r>
              <w:rPr>
                <w:rFonts w:ascii="宋体" w:hAnsi="宋体"/>
                <w:b/>
                <w:spacing w:val="1"/>
                <w:kern w:val="0"/>
                <w:position w:val="-2"/>
                <w:szCs w:val="21"/>
                <w:highlight w:val="none"/>
              </w:rPr>
              <w:t>人之间不存在单位负责人为同一人或者控股、管理关系的情况。</w:t>
            </w:r>
            <w:r>
              <w:rPr>
                <w:rFonts w:hint="eastAsia" w:ascii="宋体" w:hAnsi="宋体"/>
                <w:b/>
                <w:spacing w:val="1"/>
                <w:kern w:val="0"/>
                <w:position w:val="-2"/>
                <w:szCs w:val="21"/>
                <w:highlight w:val="none"/>
                <w:lang w:eastAsia="zh-CN"/>
              </w:rPr>
              <w:t>比选申请</w:t>
            </w:r>
            <w:r>
              <w:rPr>
                <w:rFonts w:ascii="宋体" w:hAnsi="宋体"/>
                <w:b/>
                <w:spacing w:val="1"/>
                <w:kern w:val="0"/>
                <w:position w:val="-2"/>
                <w:szCs w:val="21"/>
                <w:highlight w:val="none"/>
              </w:rPr>
              <w:t>人</w:t>
            </w:r>
            <w:r>
              <w:rPr>
                <w:rFonts w:hint="eastAsia" w:ascii="宋体" w:hAnsi="宋体" w:eastAsia="宋体" w:cs="宋体"/>
                <w:b/>
                <w:bCs/>
                <w:kern w:val="2"/>
                <w:sz w:val="21"/>
                <w:szCs w:val="21"/>
                <w:highlight w:val="none"/>
                <w:lang w:val="en-US" w:eastAsia="zh-CN"/>
              </w:rPr>
              <w:t>未列入比选人不良信用名单。</w:t>
            </w:r>
          </w:p>
        </w:tc>
        <w:tc>
          <w:tcPr>
            <w:tcW w:w="1379" w:type="dxa"/>
            <w:vAlign w:val="center"/>
          </w:tcPr>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color w:val="auto"/>
                <w:highlight w:val="none"/>
              </w:rPr>
              <w:t>承诺书</w:t>
            </w:r>
            <w:r>
              <w:rPr>
                <w:rFonts w:hint="eastAsia" w:ascii="宋体" w:hAnsi="宋体"/>
                <w:color w:val="auto"/>
                <w:highlight w:val="none"/>
                <w:lang w:val="en-US" w:eastAsia="zh-CN"/>
              </w:rPr>
              <w:t>原件</w:t>
            </w:r>
          </w:p>
        </w:tc>
        <w:tc>
          <w:tcPr>
            <w:tcW w:w="1094" w:type="dxa"/>
            <w:vAlign w:val="center"/>
          </w:tcPr>
          <w:p>
            <w:pPr>
              <w:spacing w:before="0" w:after="0" w:afterAutospacing="0"/>
              <w:ind w:left="0" w:right="0" w:firstLine="0"/>
              <w:rPr>
                <w:rFonts w:ascii="宋体" w:hAnsi="宋体"/>
                <w:color w:val="auto"/>
                <w:highlight w:val="none"/>
              </w:rPr>
            </w:pPr>
          </w:p>
        </w:tc>
        <w:tc>
          <w:tcPr>
            <w:tcW w:w="272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bookmarkStart w:id="2445" w:name="_Toc25393_WPSOffice_Level3"/>
      <w:r>
        <w:rPr>
          <w:rFonts w:hint="eastAsia" w:ascii="宋体" w:hAnsi="宋体"/>
          <w:b/>
          <w:color w:val="auto"/>
          <w:highlight w:val="none"/>
        </w:rPr>
        <w:t>注：</w:t>
      </w:r>
      <w:bookmarkEnd w:id="2445"/>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4"/>
        <w:spacing w:after="0" w:line="360" w:lineRule="auto"/>
        <w:ind w:right="-57" w:firstLine="0"/>
        <w:rPr>
          <w:color w:val="auto"/>
          <w:sz w:val="24"/>
          <w:szCs w:val="24"/>
          <w:highlight w:val="none"/>
        </w:rPr>
      </w:pPr>
      <w:r>
        <w:rPr>
          <w:rFonts w:ascii="宋体" w:hAnsi="宋体"/>
          <w:color w:val="auto"/>
          <w:highlight w:val="none"/>
        </w:rPr>
        <w:br w:type="page"/>
      </w:r>
      <w:bookmarkStart w:id="2446" w:name="_Toc19120"/>
      <w:bookmarkStart w:id="2447" w:name="_Toc7500_WPSOffice_Level1"/>
      <w:bookmarkStart w:id="2448" w:name="_Toc5413"/>
      <w:bookmarkStart w:id="2449" w:name="_Toc25393_WPSOffice_Level1"/>
      <w:bookmarkStart w:id="2450" w:name="_Toc25750695"/>
      <w:bookmarkStart w:id="2451" w:name="_Toc17023"/>
      <w:bookmarkStart w:id="2452" w:name="_Toc3671"/>
      <w:bookmarkStart w:id="2453" w:name="_Toc322_WPSOffice_Level1"/>
      <w:bookmarkStart w:id="2454" w:name="_Toc2601"/>
      <w:bookmarkStart w:id="2455" w:name="_Toc21165"/>
      <w:bookmarkStart w:id="2456" w:name="_Toc12949_WPSOffice_Level1"/>
      <w:bookmarkStart w:id="2457" w:name="_Toc2812_WPSOffice_Level1"/>
      <w:bookmarkStart w:id="2458" w:name="_Toc11148"/>
      <w:bookmarkStart w:id="2459" w:name="_Toc31210"/>
      <w:bookmarkStart w:id="2460" w:name="_Toc22472"/>
      <w:bookmarkStart w:id="2461" w:name="_Toc3409"/>
      <w:bookmarkStart w:id="2462" w:name="_Toc5811"/>
      <w:bookmarkStart w:id="2463" w:name="_Toc31487"/>
      <w:bookmarkStart w:id="2464" w:name="_Toc6612"/>
      <w:bookmarkStart w:id="2465" w:name="_Toc1459"/>
      <w:bookmarkStart w:id="2466" w:name="_Toc19299"/>
      <w:bookmarkStart w:id="2467" w:name="_Toc8945"/>
      <w:bookmarkStart w:id="2468" w:name="_Toc29670"/>
      <w:bookmarkStart w:id="2469" w:name="_Toc492478850"/>
      <w:bookmarkStart w:id="2470" w:name="_Toc12983557"/>
      <w:bookmarkStart w:id="2471" w:name="_Toc22635"/>
      <w:bookmarkStart w:id="2472" w:name="_Toc20215"/>
      <w:bookmarkStart w:id="2473" w:name="_Toc5737"/>
      <w:bookmarkStart w:id="2474" w:name="_Toc15103"/>
      <w:bookmarkStart w:id="2475" w:name="_Toc25123"/>
      <w:bookmarkStart w:id="2476" w:name="_Toc191"/>
      <w:bookmarkStart w:id="2477" w:name="_Toc7852"/>
      <w:bookmarkStart w:id="2478" w:name="_Toc9343"/>
      <w:bookmarkStart w:id="2479" w:name="_Toc6102"/>
      <w:bookmarkStart w:id="2480" w:name="_Toc12984826"/>
      <w:r>
        <w:rPr>
          <w:color w:val="auto"/>
          <w:sz w:val="21"/>
          <w:szCs w:val="21"/>
          <w:highlight w:val="none"/>
        </w:rPr>
        <w:t>附表二</w:t>
      </w:r>
      <w:r>
        <w:rPr>
          <w:rFonts w:hint="eastAsia"/>
          <w:color w:val="auto"/>
          <w:sz w:val="21"/>
          <w:szCs w:val="21"/>
          <w:highlight w:val="none"/>
        </w:rPr>
        <w:t xml:space="preserve"> 符合性</w:t>
      </w:r>
      <w:r>
        <w:rPr>
          <w:color w:val="auto"/>
          <w:sz w:val="21"/>
          <w:szCs w:val="21"/>
          <w:highlight w:val="none"/>
        </w:rPr>
        <w:t>评审表</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spacing w:before="0"/>
        <w:ind w:right="0" w:firstLine="0"/>
        <w:jc w:val="center"/>
        <w:rPr>
          <w:b/>
          <w:color w:val="auto"/>
          <w:sz w:val="24"/>
          <w:szCs w:val="24"/>
          <w:highlight w:val="none"/>
        </w:rPr>
      </w:pPr>
      <w:bookmarkStart w:id="2481" w:name="_Toc15442_WPSOffice_Level2"/>
      <w:bookmarkStart w:id="2482" w:name="_Toc16614_WPSOffice_Level2"/>
      <w:bookmarkStart w:id="2483" w:name="_Toc7439_WPSOffice_Level2"/>
      <w:bookmarkStart w:id="2484" w:name="_Toc18472_WPSOffice_Level2"/>
      <w:r>
        <w:rPr>
          <w:rFonts w:hint="eastAsia" w:hAnsi="宋体"/>
          <w:b/>
          <w:color w:val="auto"/>
          <w:sz w:val="24"/>
          <w:szCs w:val="24"/>
          <w:highlight w:val="none"/>
        </w:rPr>
        <w:t>符合性</w:t>
      </w:r>
      <w:r>
        <w:rPr>
          <w:rFonts w:hAnsi="宋体"/>
          <w:b/>
          <w:color w:val="auto"/>
          <w:sz w:val="24"/>
          <w:szCs w:val="24"/>
          <w:highlight w:val="none"/>
        </w:rPr>
        <w:t>评审表</w:t>
      </w:r>
      <w:bookmarkEnd w:id="2481"/>
      <w:bookmarkEnd w:id="2482"/>
      <w:bookmarkEnd w:id="2483"/>
      <w:bookmarkEnd w:id="2484"/>
    </w:p>
    <w:tbl>
      <w:tblPr>
        <w:tblStyle w:val="31"/>
        <w:tblW w:w="9003"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highlight w:val="none"/>
              </w:rPr>
            </w:pPr>
            <w:r>
              <w:rPr>
                <w:color w:val="auto"/>
                <w:highlight w:val="none"/>
              </w:rPr>
              <w:t>序号</w:t>
            </w:r>
          </w:p>
        </w:tc>
        <w:tc>
          <w:tcPr>
            <w:tcW w:w="6096" w:type="dxa"/>
            <w:tcBorders>
              <w:top w:val="single" w:color="auto" w:sz="12" w:space="0"/>
            </w:tcBorders>
            <w:vAlign w:val="center"/>
          </w:tcPr>
          <w:p>
            <w:pPr>
              <w:ind w:left="0" w:firstLine="0"/>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比选申请文件按规定签署和盖章</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color w:val="auto"/>
                <w:highlight w:val="none"/>
              </w:rPr>
              <w:t>比选申请文件的实质性内容按规定填写、内容齐全的；（按比选文件第四章节规定格式填写的）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lang w:val="en-US" w:eastAsia="zh-CN"/>
              </w:rPr>
              <w:t>比选申请人</w:t>
            </w:r>
            <w:r>
              <w:rPr>
                <w:rFonts w:hint="eastAsia"/>
                <w:color w:val="auto"/>
                <w:highlight w:val="none"/>
              </w:rPr>
              <w:t>在资格审查文件或技术文件中未透露有关报价的信息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ind w:left="0" w:firstLine="0"/>
              <w:rPr>
                <w:color w:val="auto"/>
                <w:highlight w:val="none"/>
              </w:rPr>
            </w:pPr>
            <w:r>
              <w:rPr>
                <w:rFonts w:hint="eastAsia"/>
                <w:color w:val="auto"/>
                <w:highlight w:val="none"/>
              </w:rPr>
              <w:t>技术部分响应、偏离情况说明无负偏离的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rFonts w:hint="eastAsia" w:eastAsia="宋体"/>
                <w:color w:val="auto"/>
                <w:highlight w:val="none"/>
                <w:lang w:eastAsia="zh-CN"/>
              </w:rPr>
            </w:pPr>
            <w:r>
              <w:rPr>
                <w:rFonts w:hint="eastAsia"/>
                <w:color w:val="auto"/>
                <w:highlight w:val="none"/>
                <w:lang w:val="en-US" w:eastAsia="zh-CN"/>
              </w:rPr>
              <w:t>6</w:t>
            </w:r>
          </w:p>
        </w:tc>
        <w:tc>
          <w:tcPr>
            <w:tcW w:w="6096" w:type="dxa"/>
            <w:vAlign w:val="center"/>
          </w:tcPr>
          <w:p>
            <w:pPr>
              <w:ind w:left="0" w:firstLine="0"/>
              <w:rPr>
                <w:color w:val="auto"/>
                <w:highlight w:val="none"/>
              </w:rPr>
            </w:pPr>
            <w:r>
              <w:rPr>
                <w:rFonts w:hint="eastAsia"/>
                <w:color w:val="auto"/>
                <w:highlight w:val="none"/>
              </w:rPr>
              <w:t>商务响应表无负偏离的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hint="eastAsia" w:eastAsia="宋体"/>
                <w:color w:val="auto"/>
                <w:highlight w:val="none"/>
                <w:lang w:eastAsia="zh-CN"/>
              </w:rPr>
            </w:pPr>
            <w:r>
              <w:rPr>
                <w:rFonts w:hint="eastAsia"/>
                <w:color w:val="auto"/>
                <w:highlight w:val="none"/>
                <w:lang w:val="en-US" w:eastAsia="zh-CN"/>
              </w:rPr>
              <w:t>7</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比选申请文件按比选文件要求提供按期完成承诺书的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hint="eastAsia" w:eastAsia="宋体"/>
                <w:color w:val="auto"/>
                <w:highlight w:val="none"/>
                <w:lang w:eastAsia="zh-CN"/>
              </w:rPr>
            </w:pPr>
            <w:r>
              <w:rPr>
                <w:rFonts w:hint="eastAsia"/>
                <w:color w:val="auto"/>
                <w:highlight w:val="none"/>
                <w:lang w:val="en-US" w:eastAsia="zh-CN"/>
              </w:rPr>
              <w:t>8</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hint="eastAsia" w:eastAsia="宋体"/>
                <w:color w:val="auto"/>
                <w:highlight w:val="none"/>
                <w:lang w:eastAsia="zh-CN"/>
              </w:rPr>
            </w:pPr>
            <w:r>
              <w:rPr>
                <w:rFonts w:hint="eastAsia"/>
                <w:color w:val="auto"/>
                <w:highlight w:val="none"/>
                <w:lang w:eastAsia="zh-CN"/>
              </w:rPr>
              <w:t>9</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pPr>
    </w:p>
    <w:p>
      <w:pPr>
        <w:spacing w:before="0"/>
        <w:ind w:right="0" w:firstLine="0"/>
        <w:jc w:val="center"/>
        <w:rPr>
          <w:color w:val="auto"/>
          <w:highlight w:val="none"/>
        </w:rPr>
        <w:sectPr>
          <w:footerReference r:id="rId13" w:type="default"/>
          <w:pgSz w:w="11905" w:h="16838"/>
          <w:pgMar w:top="1440" w:right="1803" w:bottom="1440" w:left="1803" w:header="850" w:footer="992" w:gutter="0"/>
          <w:pgNumType w:fmt="decimal"/>
          <w:cols w:space="0" w:num="1"/>
          <w:rtlGutter w:val="0"/>
          <w:docGrid w:type="lines" w:linePitch="319" w:charSpace="0"/>
        </w:sectPr>
      </w:pPr>
    </w:p>
    <w:p>
      <w:pPr>
        <w:pStyle w:val="4"/>
        <w:rPr>
          <w:rFonts w:hint="eastAsia"/>
          <w:color w:val="auto"/>
          <w:sz w:val="21"/>
          <w:szCs w:val="21"/>
          <w:highlight w:val="none"/>
        </w:rPr>
      </w:pPr>
      <w:bookmarkStart w:id="2485" w:name="_Toc20730"/>
      <w:bookmarkStart w:id="2486" w:name="_Toc15696_WPSOffice_Level1"/>
      <w:bookmarkStart w:id="2487" w:name="_Toc47864324"/>
      <w:bookmarkStart w:id="2488" w:name="_Toc8707"/>
      <w:bookmarkStart w:id="2489" w:name="_Toc20344"/>
      <w:bookmarkStart w:id="2490" w:name="_Toc18642"/>
      <w:bookmarkStart w:id="2491" w:name="_Toc26828_WPSOffice_Level1"/>
      <w:bookmarkStart w:id="2492" w:name="_Toc11064"/>
      <w:bookmarkStart w:id="2493" w:name="_Toc15329_WPSOffice_Level1"/>
      <w:bookmarkStart w:id="2494" w:name="_Toc29537"/>
      <w:bookmarkStart w:id="2495" w:name="_Toc32262_WPSOffice_Level1"/>
      <w:bookmarkStart w:id="2496" w:name="_Toc28883_WPSOffice_Level1"/>
      <w:bookmarkStart w:id="2497" w:name="_Toc3838"/>
      <w:bookmarkStart w:id="2498" w:name="_Toc7056"/>
      <w:bookmarkStart w:id="2499" w:name="_Toc23073"/>
      <w:r>
        <w:rPr>
          <w:rFonts w:hint="eastAsia"/>
          <w:color w:val="auto"/>
          <w:sz w:val="21"/>
          <w:szCs w:val="21"/>
          <w:highlight w:val="none"/>
        </w:rPr>
        <w:t>附表三 技术文件评分标准表</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spacing w:line="240" w:lineRule="auto"/>
        <w:jc w:val="center"/>
        <w:rPr>
          <w:b w:val="0"/>
          <w:bCs/>
          <w:color w:val="auto"/>
          <w:highlight w:val="none"/>
        </w:rPr>
      </w:pPr>
      <w:bookmarkStart w:id="2500" w:name="_Toc19463_WPSOffice_Level2"/>
      <w:bookmarkStart w:id="2501" w:name="_Toc1392_WPSOffice_Level2"/>
      <w:bookmarkStart w:id="2502" w:name="_Toc23676_WPSOffice_Level2"/>
      <w:bookmarkStart w:id="2503" w:name="_Toc27242_WPSOffice_Level2"/>
      <w:r>
        <w:rPr>
          <w:rFonts w:hint="eastAsia"/>
          <w:b/>
          <w:bCs w:val="0"/>
          <w:color w:val="auto"/>
          <w:highlight w:val="none"/>
        </w:rPr>
        <w:t>技术文件评分标准表</w:t>
      </w:r>
      <w:bookmarkEnd w:id="2500"/>
      <w:bookmarkEnd w:id="2501"/>
      <w:bookmarkEnd w:id="2502"/>
      <w:bookmarkEnd w:id="2503"/>
    </w:p>
    <w:tbl>
      <w:tblPr>
        <w:tblStyle w:val="31"/>
        <w:tblpPr w:leftFromText="180" w:rightFromText="180" w:vertAnchor="text" w:horzAnchor="page" w:tblpX="1154" w:tblpY="680"/>
        <w:tblOverlap w:val="never"/>
        <w:tblW w:w="9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755"/>
        <w:gridCol w:w="666"/>
        <w:gridCol w:w="1250"/>
        <w:gridCol w:w="5954"/>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522"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bookmarkStart w:id="2504" w:name="_Toc47864325"/>
            <w:r>
              <w:rPr>
                <w:rFonts w:ascii="宋体" w:hAnsi="宋体"/>
                <w:b/>
                <w:bCs/>
                <w:color w:val="auto"/>
                <w:kern w:val="2"/>
                <w:highlight w:val="none"/>
              </w:rPr>
              <w:t>序号</w:t>
            </w:r>
          </w:p>
        </w:tc>
        <w:tc>
          <w:tcPr>
            <w:tcW w:w="1421" w:type="dxa"/>
            <w:gridSpan w:val="2"/>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hint="eastAsia" w:ascii="宋体" w:hAnsi="宋体"/>
                <w:b/>
                <w:bCs/>
                <w:color w:val="auto"/>
                <w:kern w:val="2"/>
                <w:highlight w:val="none"/>
              </w:rPr>
              <w:t>评审内容及分值</w:t>
            </w:r>
          </w:p>
        </w:tc>
        <w:tc>
          <w:tcPr>
            <w:tcW w:w="1250"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ascii="宋体" w:hAnsi="宋体"/>
                <w:b/>
                <w:bCs/>
                <w:color w:val="auto"/>
                <w:kern w:val="2"/>
                <w:highlight w:val="none"/>
              </w:rPr>
              <w:t>标准分</w:t>
            </w:r>
          </w:p>
        </w:tc>
        <w:tc>
          <w:tcPr>
            <w:tcW w:w="5954"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hint="eastAsia" w:ascii="宋体" w:hAnsi="宋体"/>
                <w:b/>
                <w:bCs/>
                <w:color w:val="auto"/>
                <w:kern w:val="2"/>
                <w:highlight w:val="none"/>
              </w:rPr>
              <w:t>评审标准</w:t>
            </w:r>
          </w:p>
        </w:tc>
        <w:tc>
          <w:tcPr>
            <w:tcW w:w="678" w:type="dxa"/>
            <w:vAlign w:val="center"/>
          </w:tcPr>
          <w:p>
            <w:pPr>
              <w:widowControl w:val="0"/>
              <w:spacing w:before="0" w:after="0" w:afterAutospacing="0" w:line="276" w:lineRule="auto"/>
              <w:ind w:left="0" w:right="0" w:firstLine="0"/>
              <w:jc w:val="center"/>
              <w:rPr>
                <w:rFonts w:ascii="宋体" w:hAnsi="宋体"/>
                <w:b/>
                <w:bCs/>
                <w:color w:val="auto"/>
                <w:kern w:val="2"/>
                <w:highlight w:val="none"/>
              </w:rPr>
            </w:pPr>
            <w:r>
              <w:rPr>
                <w:rFonts w:hint="eastAsia" w:ascii="宋体" w:hAnsi="宋体"/>
                <w:b/>
                <w:bCs/>
                <w:color w:val="auto"/>
                <w:kern w:val="2"/>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
                <w:bCs/>
                <w:color w:val="auto"/>
                <w:kern w:val="2"/>
                <w:highlight w:val="none"/>
                <w:lang w:val="en-US" w:eastAsia="zh-CN"/>
              </w:rPr>
            </w:pPr>
            <w:r>
              <w:rPr>
                <w:rFonts w:hint="eastAsia" w:ascii="宋体" w:hAnsi="宋体"/>
                <w:b w:val="0"/>
                <w:bCs w:val="0"/>
                <w:color w:val="auto"/>
                <w:kern w:val="2"/>
                <w:highlight w:val="none"/>
                <w:lang w:val="en-US" w:eastAsia="zh-CN"/>
              </w:rPr>
              <w:t>1</w:t>
            </w:r>
          </w:p>
        </w:tc>
        <w:tc>
          <w:tcPr>
            <w:tcW w:w="755" w:type="dxa"/>
            <w:vMerge w:val="restart"/>
            <w:vAlign w:val="center"/>
          </w:tcPr>
          <w:p>
            <w:pPr>
              <w:widowControl w:val="0"/>
              <w:spacing w:before="0" w:after="0" w:afterAutospacing="0" w:line="276" w:lineRule="auto"/>
              <w:ind w:left="0" w:right="0" w:firstLine="0"/>
              <w:jc w:val="both"/>
              <w:rPr>
                <w:rFonts w:hint="eastAsia" w:ascii="宋体" w:hAnsi="宋体"/>
                <w:b/>
                <w:bCs/>
                <w:color w:val="auto"/>
                <w:kern w:val="2"/>
                <w:highlight w:val="none"/>
              </w:rPr>
            </w:pPr>
            <w:r>
              <w:rPr>
                <w:rFonts w:hint="eastAsia"/>
                <w:highlight w:val="none"/>
                <w:lang w:eastAsia="zh-CN"/>
              </w:rPr>
              <w:t>人员配置（</w:t>
            </w:r>
            <w:r>
              <w:rPr>
                <w:rFonts w:hint="eastAsia"/>
                <w:highlight w:val="none"/>
                <w:lang w:val="en-US" w:eastAsia="zh-CN"/>
              </w:rPr>
              <w:t>满分8分</w:t>
            </w:r>
            <w:r>
              <w:rPr>
                <w:rFonts w:hint="eastAsia"/>
                <w:highlight w:val="none"/>
                <w:lang w:eastAsia="zh-CN"/>
              </w:rPr>
              <w:t>）</w:t>
            </w:r>
          </w:p>
        </w:tc>
        <w:tc>
          <w:tcPr>
            <w:tcW w:w="666" w:type="dxa"/>
            <w:vAlign w:val="center"/>
          </w:tcPr>
          <w:p>
            <w:pPr>
              <w:widowControl w:val="0"/>
              <w:spacing w:before="0" w:after="0" w:afterAutospacing="0" w:line="276" w:lineRule="auto"/>
              <w:ind w:left="0" w:right="0" w:firstLine="0"/>
              <w:jc w:val="both"/>
              <w:rPr>
                <w:rFonts w:hint="eastAsia" w:eastAsia="宋体"/>
                <w:highlight w:val="none"/>
                <w:lang w:val="en-US" w:eastAsia="zh-CN"/>
              </w:rPr>
            </w:pPr>
            <w:r>
              <w:rPr>
                <w:rFonts w:hint="eastAsia"/>
                <w:highlight w:val="none"/>
                <w:lang w:val="en-US" w:eastAsia="zh-CN"/>
              </w:rPr>
              <w:t>项目负责人</w:t>
            </w:r>
          </w:p>
        </w:tc>
        <w:tc>
          <w:tcPr>
            <w:tcW w:w="1250" w:type="dxa"/>
            <w:vAlign w:val="center"/>
          </w:tcPr>
          <w:p>
            <w:pPr>
              <w:snapToGrid w:val="0"/>
              <w:spacing w:line="288" w:lineRule="auto"/>
              <w:ind w:left="709" w:leftChars="0" w:right="-27" w:rightChars="0" w:hanging="709" w:firstLineChars="0"/>
              <w:jc w:val="center"/>
              <w:rPr>
                <w:rFonts w:ascii="宋体" w:hAnsi="宋体" w:eastAsia="宋体" w:cs="Times New Roman"/>
                <w:color w:val="auto"/>
                <w:sz w:val="21"/>
                <w:szCs w:val="21"/>
                <w:highlight w:val="none"/>
                <w:lang w:val="en-US" w:eastAsia="zh-CN" w:bidi="ar-SA"/>
              </w:rPr>
            </w:pPr>
            <w:r>
              <w:rPr>
                <w:rFonts w:hint="eastAsia" w:ascii="宋体" w:hAnsi="宋体"/>
                <w:color w:val="auto"/>
                <w:highlight w:val="none"/>
                <w:lang w:val="en-US" w:eastAsia="zh-CN"/>
              </w:rPr>
              <w:t>0</w:t>
            </w:r>
            <w:r>
              <w:rPr>
                <w:rFonts w:hint="eastAsia" w:ascii="宋体" w:hAnsi="宋体"/>
                <w:color w:val="auto"/>
                <w:highlight w:val="none"/>
              </w:rPr>
              <w:t>或</w:t>
            </w:r>
            <w:r>
              <w:rPr>
                <w:rFonts w:hint="eastAsia" w:ascii="宋体" w:hAnsi="宋体"/>
                <w:color w:val="auto"/>
                <w:highlight w:val="none"/>
                <w:lang w:val="en-US" w:eastAsia="zh-CN"/>
              </w:rPr>
              <w:t>5</w:t>
            </w:r>
            <w:r>
              <w:rPr>
                <w:rFonts w:hint="eastAsia" w:ascii="宋体" w:hAnsi="宋体"/>
                <w:color w:val="auto"/>
                <w:highlight w:val="none"/>
              </w:rPr>
              <w:t>分</w:t>
            </w:r>
          </w:p>
        </w:tc>
        <w:tc>
          <w:tcPr>
            <w:tcW w:w="5954" w:type="dxa"/>
            <w:vAlign w:val="center"/>
          </w:tcPr>
          <w:p>
            <w:pPr>
              <w:widowControl w:val="0"/>
              <w:spacing w:before="0" w:after="0" w:afterAutospacing="0" w:line="276" w:lineRule="auto"/>
              <w:ind w:left="0" w:right="0" w:firstLine="0"/>
              <w:jc w:val="both"/>
              <w:rPr>
                <w:rFonts w:hint="eastAsia" w:ascii="宋体" w:hAnsi="宋体" w:eastAsia="宋体"/>
                <w:b/>
                <w:bCs/>
                <w:color w:val="auto"/>
                <w:kern w:val="2"/>
                <w:highlight w:val="none"/>
                <w:lang w:val="en-US" w:eastAsia="zh-CN"/>
              </w:rPr>
            </w:pPr>
            <w:r>
              <w:rPr>
                <w:rFonts w:hint="eastAsia"/>
                <w:highlight w:val="none"/>
                <w:lang w:val="en-US" w:eastAsia="zh-CN"/>
              </w:rPr>
              <w:t>至少在1个通信系统或改造项目中担任过项目经理/副经理，具有8年以上弱电系统相关工作经验，得5分；其他不得分，本项满分5分。</w:t>
            </w:r>
          </w:p>
        </w:tc>
        <w:tc>
          <w:tcPr>
            <w:tcW w:w="678" w:type="dxa"/>
            <w:vMerge w:val="restart"/>
            <w:vAlign w:val="center"/>
          </w:tcPr>
          <w:p>
            <w:pPr>
              <w:widowControl w:val="0"/>
              <w:spacing w:before="0" w:after="0" w:afterAutospacing="0" w:line="276" w:lineRule="auto"/>
              <w:ind w:left="0" w:right="0" w:firstLine="0"/>
              <w:jc w:val="center"/>
              <w:rPr>
                <w:rFonts w:hint="eastAsia" w:ascii="宋体" w:hAnsi="宋体"/>
                <w:b/>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522" w:type="dxa"/>
            <w:vMerge w:val="continue"/>
            <w:vAlign w:val="center"/>
          </w:tcPr>
          <w:p>
            <w:pPr>
              <w:widowControl w:val="0"/>
              <w:spacing w:before="0" w:after="0" w:afterAutospacing="0" w:line="276" w:lineRule="auto"/>
              <w:ind w:left="0" w:right="0" w:firstLine="0"/>
              <w:jc w:val="both"/>
              <w:rPr>
                <w:highlight w:val="none"/>
              </w:rPr>
            </w:pPr>
          </w:p>
        </w:tc>
        <w:tc>
          <w:tcPr>
            <w:tcW w:w="755" w:type="dxa"/>
            <w:vMerge w:val="continue"/>
            <w:vAlign w:val="center"/>
          </w:tcPr>
          <w:p>
            <w:pPr>
              <w:widowControl w:val="0"/>
              <w:spacing w:before="0" w:after="0" w:afterAutospacing="0" w:line="276" w:lineRule="auto"/>
              <w:ind w:left="0" w:right="0" w:firstLine="0"/>
              <w:jc w:val="both"/>
              <w:rPr>
                <w:highlight w:val="none"/>
              </w:rPr>
            </w:pPr>
          </w:p>
        </w:tc>
        <w:tc>
          <w:tcPr>
            <w:tcW w:w="666" w:type="dxa"/>
            <w:vAlign w:val="center"/>
          </w:tcPr>
          <w:p>
            <w:pPr>
              <w:widowControl w:val="0"/>
              <w:spacing w:before="0" w:after="0" w:afterAutospacing="0" w:line="276" w:lineRule="auto"/>
              <w:ind w:left="0" w:right="0" w:firstLine="0"/>
              <w:jc w:val="both"/>
              <w:rPr>
                <w:rFonts w:hint="eastAsia"/>
                <w:highlight w:val="none"/>
                <w:lang w:eastAsia="zh-CN"/>
              </w:rPr>
            </w:pPr>
            <w:r>
              <w:rPr>
                <w:rFonts w:hint="eastAsia"/>
                <w:highlight w:val="none"/>
                <w:lang w:val="en-US" w:eastAsia="zh-CN"/>
              </w:rPr>
              <w:t>技术负责人</w:t>
            </w:r>
          </w:p>
        </w:tc>
        <w:tc>
          <w:tcPr>
            <w:tcW w:w="1250" w:type="dxa"/>
            <w:vAlign w:val="center"/>
          </w:tcPr>
          <w:p>
            <w:pPr>
              <w:widowControl w:val="0"/>
              <w:spacing w:before="0" w:after="0" w:afterAutospacing="0" w:line="276" w:lineRule="auto"/>
              <w:ind w:left="0" w:right="0" w:firstLine="0"/>
              <w:jc w:val="center"/>
              <w:rPr>
                <w:rFonts w:hint="eastAsia"/>
                <w:highlight w:val="none"/>
                <w:lang w:eastAsia="zh-CN"/>
              </w:rPr>
            </w:pPr>
            <w:r>
              <w:rPr>
                <w:rFonts w:hint="eastAsia" w:ascii="宋体" w:hAnsi="宋体"/>
                <w:color w:val="auto"/>
                <w:highlight w:val="none"/>
                <w:lang w:val="en-US" w:eastAsia="zh-CN"/>
              </w:rPr>
              <w:t>0或3分</w:t>
            </w:r>
          </w:p>
        </w:tc>
        <w:tc>
          <w:tcPr>
            <w:tcW w:w="5954" w:type="dxa"/>
            <w:vAlign w:val="center"/>
          </w:tcPr>
          <w:p>
            <w:pPr>
              <w:widowControl w:val="0"/>
              <w:spacing w:before="0" w:after="0" w:afterAutospacing="0" w:line="276" w:lineRule="auto"/>
              <w:ind w:left="0" w:right="0" w:firstLine="0"/>
              <w:jc w:val="both"/>
              <w:rPr>
                <w:rFonts w:hint="default"/>
                <w:highlight w:val="none"/>
                <w:lang w:val="en-US" w:eastAsia="zh-CN"/>
              </w:rPr>
            </w:pPr>
            <w:r>
              <w:rPr>
                <w:rFonts w:hint="eastAsia" w:ascii="宋体" w:hAnsi="宋体" w:eastAsia="宋体" w:cs="宋体"/>
                <w:color w:val="auto"/>
                <w:sz w:val="21"/>
                <w:szCs w:val="21"/>
                <w:highlight w:val="none"/>
                <w:lang w:val="en-US" w:eastAsia="zh-CN" w:bidi="ar-SA"/>
              </w:rPr>
              <w:t>至少在1个</w:t>
            </w:r>
            <w:r>
              <w:rPr>
                <w:rFonts w:hint="eastAsia" w:ascii="宋体" w:hAnsi="宋体" w:cs="宋体"/>
                <w:color w:val="auto"/>
                <w:sz w:val="21"/>
                <w:szCs w:val="21"/>
                <w:highlight w:val="none"/>
                <w:lang w:val="en-US" w:eastAsia="zh-CN" w:bidi="ar-SA"/>
              </w:rPr>
              <w:t>通信系统或</w:t>
            </w:r>
            <w:r>
              <w:rPr>
                <w:rFonts w:hint="eastAsia" w:ascii="宋体" w:hAnsi="宋体" w:eastAsia="宋体" w:cs="宋体"/>
                <w:color w:val="auto"/>
                <w:sz w:val="21"/>
                <w:szCs w:val="21"/>
                <w:highlight w:val="none"/>
                <w:lang w:val="en-US" w:eastAsia="zh-CN" w:bidi="ar-SA"/>
              </w:rPr>
              <w:t>改造项目中担任过技术负责人</w:t>
            </w:r>
            <w:r>
              <w:rPr>
                <w:rFonts w:hint="eastAsia" w:cs="宋体" w:asciiTheme="minorEastAsia" w:hAnsiTheme="minorEastAsia" w:eastAsiaTheme="minorEastAsia"/>
                <w:color w:val="auto"/>
                <w:sz w:val="21"/>
                <w:szCs w:val="21"/>
                <w:highlight w:val="none"/>
                <w:lang w:val="en-US" w:eastAsia="zh-CN" w:bidi="ar-SA"/>
              </w:rPr>
              <w:t>，具有5年以上</w:t>
            </w:r>
            <w:r>
              <w:rPr>
                <w:rFonts w:hint="eastAsia" w:ascii="宋体" w:hAnsi="宋体" w:eastAsia="宋体" w:cs="宋体"/>
                <w:color w:val="auto"/>
                <w:sz w:val="21"/>
                <w:szCs w:val="21"/>
                <w:highlight w:val="none"/>
                <w:lang w:val="en-US" w:eastAsia="zh-CN" w:bidi="ar-SA"/>
              </w:rPr>
              <w:t>弱电系统</w:t>
            </w:r>
            <w:r>
              <w:rPr>
                <w:rFonts w:hint="eastAsia" w:cs="宋体" w:asciiTheme="minorEastAsia" w:hAnsiTheme="minorEastAsia" w:eastAsiaTheme="minorEastAsia"/>
                <w:color w:val="auto"/>
                <w:sz w:val="21"/>
                <w:szCs w:val="21"/>
                <w:highlight w:val="none"/>
                <w:lang w:val="en-US" w:eastAsia="zh-CN" w:bidi="ar-SA"/>
              </w:rPr>
              <w:t>相关工作经验</w:t>
            </w:r>
            <w:r>
              <w:rPr>
                <w:rFonts w:hint="eastAsia"/>
                <w:highlight w:val="none"/>
                <w:lang w:val="en-US" w:eastAsia="zh-CN"/>
              </w:rPr>
              <w:t>，得3分；其他不得分，本项满分3分。</w:t>
            </w:r>
          </w:p>
        </w:tc>
        <w:tc>
          <w:tcPr>
            <w:tcW w:w="678" w:type="dxa"/>
            <w:vMerge w:val="continue"/>
            <w:vAlign w:val="center"/>
          </w:tcPr>
          <w:p>
            <w:pPr>
              <w:widowControl w:val="0"/>
              <w:spacing w:before="0" w:after="0" w:afterAutospacing="0" w:line="276" w:lineRule="auto"/>
              <w:ind w:left="0" w:right="0" w:firstLine="0"/>
              <w:jc w:val="both"/>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22" w:type="dxa"/>
            <w:vAlign w:val="center"/>
          </w:tcPr>
          <w:p>
            <w:pPr>
              <w:widowControl w:val="0"/>
              <w:spacing w:before="0" w:after="0" w:afterAutospacing="0" w:line="276" w:lineRule="auto"/>
              <w:ind w:left="0" w:right="0" w:firstLine="0"/>
              <w:jc w:val="center"/>
              <w:rPr>
                <w:rFonts w:hint="default" w:ascii="宋体" w:hAnsi="宋体"/>
                <w:bCs/>
                <w:color w:val="auto"/>
                <w:kern w:val="2"/>
                <w:highlight w:val="none"/>
                <w:lang w:val="en-US" w:eastAsia="zh-CN"/>
              </w:rPr>
            </w:pPr>
            <w:r>
              <w:rPr>
                <w:rFonts w:hint="eastAsia" w:ascii="宋体" w:hAnsi="宋体"/>
                <w:bCs/>
                <w:color w:val="auto"/>
                <w:kern w:val="2"/>
                <w:highlight w:val="none"/>
                <w:lang w:val="en-US" w:eastAsia="zh-CN"/>
              </w:rPr>
              <w:t>2</w:t>
            </w:r>
          </w:p>
        </w:tc>
        <w:tc>
          <w:tcPr>
            <w:tcW w:w="1421" w:type="dxa"/>
            <w:gridSpan w:val="2"/>
            <w:vAlign w:val="center"/>
          </w:tcPr>
          <w:p>
            <w:pPr>
              <w:widowControl w:val="0"/>
              <w:snapToGrid w:val="0"/>
              <w:spacing w:line="276" w:lineRule="auto"/>
              <w:ind w:left="0" w:leftChars="0" w:right="-27" w:rightChars="0" w:firstLine="0" w:firstLineChars="0"/>
              <w:rPr>
                <w:rFonts w:hint="eastAsia" w:ascii="宋体" w:hAnsi="宋体" w:cs="宋体"/>
                <w:color w:val="auto"/>
                <w:highlight w:val="none"/>
              </w:rPr>
            </w:pPr>
            <w:r>
              <w:rPr>
                <w:rFonts w:hint="eastAsia" w:ascii="宋体" w:hAnsi="宋体"/>
                <w:bCs/>
                <w:color w:val="auto"/>
                <w:kern w:val="2"/>
                <w:highlight w:val="none"/>
              </w:rPr>
              <w:t>企业业绩（满分</w:t>
            </w:r>
            <w:r>
              <w:rPr>
                <w:rFonts w:hint="eastAsia" w:ascii="宋体" w:hAnsi="宋体"/>
                <w:bCs/>
                <w:color w:val="auto"/>
                <w:kern w:val="2"/>
                <w:highlight w:val="none"/>
                <w:lang w:val="en-US" w:eastAsia="zh-CN"/>
              </w:rPr>
              <w:t>5</w:t>
            </w:r>
            <w:r>
              <w:rPr>
                <w:rFonts w:hint="eastAsia" w:ascii="宋体" w:hAnsi="宋体"/>
                <w:bCs/>
                <w:color w:val="auto"/>
                <w:kern w:val="2"/>
                <w:highlight w:val="none"/>
              </w:rPr>
              <w:t>分）</w:t>
            </w:r>
          </w:p>
        </w:tc>
        <w:tc>
          <w:tcPr>
            <w:tcW w:w="1250" w:type="dxa"/>
            <w:vAlign w:val="center"/>
          </w:tcPr>
          <w:p>
            <w:pPr>
              <w:widowControl w:val="0"/>
              <w:spacing w:before="0" w:after="0" w:afterAutospacing="0" w:line="276" w:lineRule="auto"/>
              <w:ind w:left="0" w:leftChars="0" w:right="0" w:rightChars="0" w:firstLine="0" w:firstLineChars="0"/>
              <w:jc w:val="center"/>
              <w:rPr>
                <w:rFonts w:hint="eastAsia" w:ascii="宋体" w:hAnsi="宋体"/>
                <w:bCs/>
                <w:color w:val="auto"/>
                <w:kern w:val="2"/>
                <w:highlight w:val="none"/>
                <w:lang w:val="en-US" w:eastAsia="zh-CN"/>
              </w:rPr>
            </w:pPr>
            <w:r>
              <w:rPr>
                <w:rFonts w:hint="eastAsia" w:ascii="宋体" w:hAnsi="宋体"/>
                <w:color w:val="auto"/>
                <w:highlight w:val="none"/>
                <w:lang w:val="en-US" w:eastAsia="zh-CN"/>
              </w:rPr>
              <w:t>2.</w:t>
            </w:r>
            <w:r>
              <w:rPr>
                <w:rFonts w:hint="eastAsia" w:ascii="宋体" w:hAnsi="宋体"/>
                <w:color w:val="auto"/>
                <w:highlight w:val="none"/>
              </w:rPr>
              <w:t>5或</w:t>
            </w:r>
            <w:r>
              <w:rPr>
                <w:rFonts w:hint="eastAsia" w:ascii="宋体" w:hAnsi="宋体"/>
                <w:color w:val="auto"/>
                <w:highlight w:val="none"/>
                <w:lang w:val="en-US" w:eastAsia="zh-CN"/>
              </w:rPr>
              <w:t>5</w:t>
            </w:r>
            <w:r>
              <w:rPr>
                <w:rFonts w:hint="eastAsia" w:ascii="宋体" w:hAnsi="宋体"/>
                <w:color w:val="auto"/>
                <w:highlight w:val="none"/>
              </w:rPr>
              <w:t>分</w:t>
            </w:r>
          </w:p>
        </w:tc>
        <w:tc>
          <w:tcPr>
            <w:tcW w:w="5954" w:type="dxa"/>
            <w:vAlign w:val="top"/>
          </w:tcPr>
          <w:p>
            <w:pPr>
              <w:widowControl w:val="0"/>
              <w:snapToGrid w:val="0"/>
              <w:spacing w:line="276" w:lineRule="auto"/>
              <w:ind w:left="0" w:leftChars="0" w:right="-27" w:rightChars="0" w:firstLine="0" w:firstLineChars="0"/>
              <w:jc w:val="both"/>
              <w:rPr>
                <w:rFonts w:hint="eastAsia" w:ascii="宋体" w:hAnsi="宋体"/>
                <w:bCs/>
                <w:color w:val="auto"/>
                <w:kern w:val="2"/>
                <w:highlight w:val="none"/>
              </w:rPr>
            </w:pPr>
            <w:r>
              <w:rPr>
                <w:rFonts w:hint="eastAsia" w:ascii="宋体" w:hAnsi="宋体"/>
                <w:bCs/>
                <w:color w:val="auto"/>
                <w:kern w:val="2"/>
                <w:highlight w:val="none"/>
              </w:rPr>
              <w:t>每提供</w:t>
            </w:r>
            <w:r>
              <w:rPr>
                <w:rFonts w:hint="eastAsia" w:ascii="宋体" w:hAnsi="宋体" w:eastAsia="宋体" w:cs="宋体"/>
                <w:color w:val="auto"/>
                <w:highlight w:val="none"/>
              </w:rPr>
              <w:t>1项</w:t>
            </w:r>
            <w:r>
              <w:rPr>
                <w:rFonts w:hint="eastAsia" w:ascii="宋体" w:hAnsi="宋体" w:cs="宋体"/>
                <w:color w:val="auto"/>
                <w:sz w:val="21"/>
                <w:szCs w:val="21"/>
                <w:highlight w:val="none"/>
                <w:lang w:val="en-US" w:eastAsia="zh-CN"/>
              </w:rPr>
              <w:t>通信系统或</w:t>
            </w:r>
            <w:r>
              <w:rPr>
                <w:rFonts w:hint="eastAsia" w:ascii="宋体" w:hAnsi="宋体" w:eastAsia="宋体" w:cs="宋体"/>
                <w:color w:val="auto"/>
                <w:sz w:val="21"/>
                <w:szCs w:val="21"/>
                <w:highlight w:val="none"/>
                <w:lang w:val="en-US" w:eastAsia="zh-CN"/>
              </w:rPr>
              <w:t>改造项目业绩</w:t>
            </w:r>
            <w:r>
              <w:rPr>
                <w:rFonts w:hint="eastAsia" w:ascii="宋体" w:hAnsi="宋体"/>
                <w:color w:val="auto"/>
                <w:highlight w:val="none"/>
              </w:rPr>
              <w:t>（近5年）</w:t>
            </w:r>
            <w:r>
              <w:rPr>
                <w:rFonts w:hint="eastAsia" w:ascii="宋体" w:hAnsi="宋体"/>
                <w:bCs/>
                <w:color w:val="auto"/>
                <w:kern w:val="2"/>
                <w:highlight w:val="none"/>
              </w:rPr>
              <w:t>得</w:t>
            </w:r>
            <w:r>
              <w:rPr>
                <w:rFonts w:hint="eastAsia" w:ascii="宋体" w:hAnsi="宋体"/>
                <w:bCs/>
                <w:color w:val="auto"/>
                <w:kern w:val="2"/>
                <w:highlight w:val="none"/>
                <w:lang w:val="en-US" w:eastAsia="zh-CN"/>
              </w:rPr>
              <w:t>2.</w:t>
            </w:r>
            <w:r>
              <w:rPr>
                <w:rFonts w:hint="eastAsia" w:ascii="宋体" w:hAnsi="宋体"/>
                <w:bCs/>
                <w:color w:val="auto"/>
                <w:kern w:val="2"/>
                <w:highlight w:val="none"/>
              </w:rPr>
              <w:t>5分，最多得</w:t>
            </w:r>
            <w:r>
              <w:rPr>
                <w:rFonts w:hint="eastAsia" w:ascii="宋体" w:hAnsi="宋体"/>
                <w:bCs/>
                <w:color w:val="auto"/>
                <w:kern w:val="2"/>
                <w:highlight w:val="none"/>
                <w:lang w:val="en-US" w:eastAsia="zh-CN"/>
              </w:rPr>
              <w:t>5</w:t>
            </w:r>
            <w:r>
              <w:rPr>
                <w:rFonts w:hint="eastAsia" w:ascii="宋体" w:hAnsi="宋体"/>
                <w:bCs/>
                <w:color w:val="auto"/>
                <w:kern w:val="2"/>
                <w:highlight w:val="none"/>
              </w:rPr>
              <w:t>分。</w:t>
            </w:r>
          </w:p>
        </w:tc>
        <w:tc>
          <w:tcPr>
            <w:tcW w:w="678" w:type="dxa"/>
            <w:vAlign w:val="center"/>
          </w:tcPr>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Cs/>
                <w:color w:val="auto"/>
                <w:kern w:val="2"/>
                <w:highlight w:val="none"/>
                <w:lang w:val="en-US" w:eastAsia="zh-CN"/>
              </w:rPr>
            </w:pPr>
            <w:r>
              <w:rPr>
                <w:rFonts w:hint="eastAsia" w:ascii="宋体" w:hAnsi="宋体"/>
                <w:bCs/>
                <w:color w:val="auto"/>
                <w:kern w:val="2"/>
                <w:highlight w:val="none"/>
                <w:lang w:val="en-US" w:eastAsia="zh-CN"/>
              </w:rPr>
              <w:t>3</w:t>
            </w:r>
          </w:p>
        </w:tc>
        <w:tc>
          <w:tcPr>
            <w:tcW w:w="1421" w:type="dxa"/>
            <w:gridSpan w:val="2"/>
            <w:vMerge w:val="restart"/>
            <w:vAlign w:val="center"/>
          </w:tcPr>
          <w:p>
            <w:pPr>
              <w:widowControl w:val="0"/>
              <w:spacing w:before="0" w:after="0" w:afterAutospacing="0" w:line="276" w:lineRule="auto"/>
              <w:ind w:left="0" w:right="0" w:firstLine="0"/>
              <w:rPr>
                <w:rFonts w:ascii="宋体" w:hAnsi="宋体"/>
                <w:bCs/>
                <w:color w:val="auto"/>
                <w:kern w:val="2"/>
                <w:highlight w:val="none"/>
              </w:rPr>
            </w:pPr>
            <w:r>
              <w:rPr>
                <w:rFonts w:hint="eastAsia" w:ascii="宋体" w:hAnsi="宋体" w:cs="宋体"/>
                <w:color w:val="auto"/>
                <w:highlight w:val="none"/>
              </w:rPr>
              <w:t>施工进度保证措施（满分</w:t>
            </w:r>
            <w:r>
              <w:rPr>
                <w:rFonts w:hint="eastAsia" w:ascii="宋体" w:hAnsi="宋体" w:cs="宋体"/>
                <w:color w:val="auto"/>
                <w:highlight w:val="none"/>
                <w:lang w:val="en-US" w:eastAsia="zh-CN"/>
              </w:rPr>
              <w:t>12</w:t>
            </w:r>
            <w:r>
              <w:rPr>
                <w:rFonts w:hint="eastAsia" w:ascii="宋体" w:hAnsi="宋体" w:cs="宋体"/>
                <w:color w:val="auto"/>
                <w:highlight w:val="none"/>
              </w:rPr>
              <w:t>分）</w:t>
            </w:r>
          </w:p>
        </w:tc>
        <w:tc>
          <w:tcPr>
            <w:tcW w:w="1250" w:type="dxa"/>
            <w:vAlign w:val="center"/>
          </w:tcPr>
          <w:p>
            <w:pPr>
              <w:snapToGrid w:val="0"/>
              <w:spacing w:line="288" w:lineRule="auto"/>
              <w:jc w:val="center"/>
              <w:rPr>
                <w:rFonts w:hint="default" w:ascii="宋体" w:hAnsi="宋体"/>
                <w:color w:val="auto"/>
                <w:highlight w:val="none"/>
                <w:lang w:val="en-US"/>
              </w:rPr>
            </w:pPr>
            <w:r>
              <w:rPr>
                <w:rFonts w:hint="eastAsia" w:ascii="宋体" w:hAnsi="宋体"/>
                <w:bCs/>
                <w:color w:val="auto"/>
                <w:kern w:val="2"/>
                <w:highlight w:val="none"/>
                <w:lang w:val="en-US" w:eastAsia="zh-CN"/>
              </w:rPr>
              <w:t>8</w:t>
            </w:r>
            <w:r>
              <w:rPr>
                <w:rFonts w:ascii="宋体" w:hAnsi="宋体"/>
                <w:bCs/>
                <w:color w:val="auto"/>
                <w:kern w:val="2"/>
                <w:highlight w:val="none"/>
              </w:rPr>
              <w:t>＜</w:t>
            </w:r>
            <w:r>
              <w:rPr>
                <w:rFonts w:hint="eastAsia" w:ascii="宋体" w:hAnsi="宋体"/>
                <w:bCs/>
                <w:color w:val="auto"/>
                <w:kern w:val="2"/>
                <w:highlight w:val="none"/>
              </w:rPr>
              <w:t>m≤</w:t>
            </w:r>
            <w:r>
              <w:rPr>
                <w:rFonts w:hint="eastAsia" w:ascii="宋体" w:hAnsi="宋体"/>
                <w:bCs/>
                <w:color w:val="auto"/>
                <w:kern w:val="2"/>
                <w:highlight w:val="none"/>
                <w:lang w:val="en-US" w:eastAsia="zh-CN"/>
              </w:rPr>
              <w:t>12</w:t>
            </w:r>
          </w:p>
        </w:tc>
        <w:tc>
          <w:tcPr>
            <w:tcW w:w="5954" w:type="dxa"/>
            <w:vAlign w:val="center"/>
          </w:tcPr>
          <w:p>
            <w:pPr>
              <w:widowControl w:val="0"/>
              <w:spacing w:before="0" w:after="0" w:afterAutospacing="0" w:line="276" w:lineRule="auto"/>
              <w:ind w:left="0" w:right="0" w:firstLine="0"/>
              <w:jc w:val="both"/>
              <w:rPr>
                <w:rFonts w:ascii="宋体" w:hAnsi="宋体"/>
                <w:bCs/>
                <w:color w:val="auto"/>
                <w:kern w:val="2"/>
                <w:highlight w:val="none"/>
              </w:rPr>
            </w:pPr>
            <w:r>
              <w:rPr>
                <w:rFonts w:hint="eastAsia" w:ascii="宋体" w:hAnsi="宋体"/>
                <w:bCs/>
                <w:color w:val="auto"/>
                <w:kern w:val="2"/>
                <w:highlight w:val="none"/>
              </w:rPr>
              <w:t>施工进度分解很准确、完整，计划编制科学、合理，关键节点控制保证措施有力、合理、可行性强，工期少于</w:t>
            </w:r>
            <w:r>
              <w:rPr>
                <w:rFonts w:hint="eastAsia" w:ascii="宋体" w:hAnsi="宋体"/>
                <w:bCs/>
                <w:color w:val="auto"/>
                <w:kern w:val="2"/>
                <w:highlight w:val="none"/>
                <w:lang w:val="en-US" w:eastAsia="zh-CN"/>
              </w:rPr>
              <w:t>45</w:t>
            </w:r>
            <w:r>
              <w:rPr>
                <w:rFonts w:hint="eastAsia" w:ascii="宋体" w:hAnsi="宋体"/>
                <w:bCs/>
                <w:color w:val="auto"/>
                <w:kern w:val="2"/>
                <w:highlight w:val="none"/>
              </w:rPr>
              <w:t>天。</w:t>
            </w:r>
          </w:p>
        </w:tc>
        <w:tc>
          <w:tcPr>
            <w:tcW w:w="678" w:type="dxa"/>
            <w:vMerge w:val="restart"/>
            <w:vAlign w:val="center"/>
          </w:tcPr>
          <w:p>
            <w:pPr>
              <w:widowControl w:val="0"/>
              <w:spacing w:before="0" w:after="0" w:afterAutospacing="0" w:line="276" w:lineRule="auto"/>
              <w:ind w:left="0" w:right="0" w:firstLine="0"/>
              <w:jc w:val="center"/>
              <w:rPr>
                <w:rFonts w:ascii="宋体" w:hAnsi="宋体"/>
                <w:color w:val="auto"/>
                <w:kern w:val="2"/>
                <w:highlight w:val="none"/>
              </w:rPr>
            </w:pPr>
          </w:p>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gridSpan w:val="2"/>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250" w:type="dxa"/>
            <w:vAlign w:val="center"/>
          </w:tcPr>
          <w:p>
            <w:pPr>
              <w:snapToGrid w:val="0"/>
              <w:spacing w:line="288" w:lineRule="auto"/>
              <w:jc w:val="center"/>
              <w:rPr>
                <w:rFonts w:hint="default" w:ascii="宋体" w:hAnsi="宋体" w:eastAsia="宋体"/>
                <w:color w:val="auto"/>
                <w:highlight w:val="none"/>
                <w:lang w:val="en-US" w:eastAsia="zh-CN"/>
              </w:rPr>
            </w:pPr>
            <w:r>
              <w:rPr>
                <w:rFonts w:hint="eastAsia" w:ascii="宋体" w:hAnsi="宋体"/>
                <w:bCs/>
                <w:color w:val="auto"/>
                <w:kern w:val="2"/>
                <w:highlight w:val="none"/>
                <w:lang w:val="en-US" w:eastAsia="zh-CN"/>
              </w:rPr>
              <w:t>4</w:t>
            </w:r>
            <w:r>
              <w:rPr>
                <w:rFonts w:ascii="宋体" w:hAnsi="宋体"/>
                <w:bCs/>
                <w:color w:val="auto"/>
                <w:kern w:val="2"/>
                <w:highlight w:val="none"/>
              </w:rPr>
              <w:t>＜</w:t>
            </w:r>
            <w:r>
              <w:rPr>
                <w:rFonts w:hint="eastAsia" w:ascii="宋体" w:hAnsi="宋体"/>
                <w:bCs/>
                <w:color w:val="auto"/>
                <w:kern w:val="2"/>
                <w:highlight w:val="none"/>
              </w:rPr>
              <w:t>m≤</w:t>
            </w:r>
            <w:r>
              <w:rPr>
                <w:rFonts w:hint="eastAsia" w:ascii="宋体" w:hAnsi="宋体"/>
                <w:bCs/>
                <w:color w:val="auto"/>
                <w:kern w:val="2"/>
                <w:highlight w:val="none"/>
                <w:lang w:val="en-US" w:eastAsia="zh-CN"/>
              </w:rPr>
              <w:t>8</w:t>
            </w:r>
          </w:p>
        </w:tc>
        <w:tc>
          <w:tcPr>
            <w:tcW w:w="5954" w:type="dxa"/>
            <w:vAlign w:val="center"/>
          </w:tcPr>
          <w:p>
            <w:pPr>
              <w:widowControl w:val="0"/>
              <w:spacing w:before="0" w:after="0" w:afterAutospacing="0" w:line="276" w:lineRule="auto"/>
              <w:ind w:left="0" w:right="0" w:firstLine="0"/>
              <w:jc w:val="both"/>
              <w:rPr>
                <w:rFonts w:ascii="宋体" w:hAnsi="宋体"/>
                <w:bCs/>
                <w:color w:val="auto"/>
                <w:kern w:val="2"/>
                <w:highlight w:val="none"/>
              </w:rPr>
            </w:pPr>
            <w:r>
              <w:rPr>
                <w:rFonts w:hint="eastAsia" w:ascii="宋体" w:hAnsi="宋体"/>
                <w:bCs/>
                <w:color w:val="auto"/>
                <w:kern w:val="2"/>
                <w:highlight w:val="none"/>
              </w:rPr>
              <w:t>施工进度分解较清晰、准确度一般、完整性一般，计划编制合理性一般，关键节点控制保证措施合理性和可行性一般，工期为</w:t>
            </w:r>
            <w:r>
              <w:rPr>
                <w:rFonts w:hint="eastAsia" w:ascii="宋体" w:hAnsi="宋体"/>
                <w:bCs/>
                <w:color w:val="auto"/>
                <w:kern w:val="2"/>
                <w:highlight w:val="none"/>
                <w:lang w:val="en-US" w:eastAsia="zh-CN"/>
              </w:rPr>
              <w:t>45</w:t>
            </w:r>
            <w:r>
              <w:rPr>
                <w:rFonts w:hint="eastAsia" w:ascii="宋体" w:hAnsi="宋体"/>
                <w:bCs/>
                <w:color w:val="auto"/>
                <w:kern w:val="2"/>
                <w:highlight w:val="none"/>
              </w:rPr>
              <w:t>天。</w:t>
            </w:r>
          </w:p>
        </w:tc>
        <w:tc>
          <w:tcPr>
            <w:tcW w:w="678" w:type="dxa"/>
            <w:vMerge w:val="continue"/>
            <w:vAlign w:val="center"/>
          </w:tcPr>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gridSpan w:val="2"/>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250" w:type="dxa"/>
            <w:vAlign w:val="center"/>
          </w:tcPr>
          <w:p>
            <w:pPr>
              <w:snapToGrid w:val="0"/>
              <w:spacing w:line="288" w:lineRule="auto"/>
              <w:jc w:val="center"/>
              <w:rPr>
                <w:rFonts w:hint="eastAsia" w:ascii="宋体" w:hAnsi="宋体" w:eastAsia="宋体"/>
                <w:color w:val="auto"/>
                <w:highlight w:val="none"/>
                <w:lang w:eastAsia="zh-CN"/>
              </w:rPr>
            </w:pPr>
            <w:r>
              <w:rPr>
                <w:rFonts w:hint="eastAsia" w:ascii="宋体" w:hAnsi="宋体"/>
                <w:bCs/>
                <w:color w:val="auto"/>
                <w:kern w:val="2"/>
                <w:highlight w:val="none"/>
              </w:rPr>
              <w:t>0≤m≤</w:t>
            </w:r>
            <w:r>
              <w:rPr>
                <w:rFonts w:hint="eastAsia" w:ascii="宋体" w:hAnsi="宋体"/>
                <w:bCs/>
                <w:color w:val="auto"/>
                <w:kern w:val="2"/>
                <w:highlight w:val="none"/>
                <w:lang w:val="en-US" w:eastAsia="zh-CN"/>
              </w:rPr>
              <w:t>4</w:t>
            </w:r>
          </w:p>
        </w:tc>
        <w:tc>
          <w:tcPr>
            <w:tcW w:w="5954" w:type="dxa"/>
            <w:vAlign w:val="center"/>
          </w:tcPr>
          <w:p>
            <w:pPr>
              <w:widowControl w:val="0"/>
              <w:spacing w:before="0" w:after="0" w:afterAutospacing="0" w:line="276" w:lineRule="auto"/>
              <w:ind w:left="0" w:right="0" w:firstLine="0"/>
              <w:jc w:val="both"/>
              <w:rPr>
                <w:rFonts w:ascii="宋体" w:hAnsi="宋体"/>
                <w:bCs/>
                <w:color w:val="auto"/>
                <w:kern w:val="2"/>
                <w:highlight w:val="none"/>
              </w:rPr>
            </w:pPr>
            <w:r>
              <w:rPr>
                <w:rFonts w:hint="eastAsia" w:ascii="宋体" w:hAnsi="宋体"/>
                <w:bCs/>
                <w:color w:val="auto"/>
                <w:kern w:val="2"/>
                <w:highlight w:val="none"/>
              </w:rPr>
              <w:t>可行性差、不准确、不完整，对本项目不了解，工期</w:t>
            </w:r>
            <w:r>
              <w:rPr>
                <w:rFonts w:hint="eastAsia" w:ascii="宋体" w:hAnsi="宋体"/>
                <w:bCs/>
                <w:color w:val="auto"/>
                <w:kern w:val="2"/>
                <w:highlight w:val="none"/>
                <w:lang w:eastAsia="zh-CN"/>
              </w:rPr>
              <w:t>为</w:t>
            </w:r>
            <w:r>
              <w:rPr>
                <w:rFonts w:hint="eastAsia" w:ascii="宋体" w:hAnsi="宋体"/>
                <w:bCs/>
                <w:color w:val="auto"/>
                <w:kern w:val="2"/>
                <w:highlight w:val="none"/>
                <w:lang w:val="en-US" w:eastAsia="zh-CN"/>
              </w:rPr>
              <w:t>45</w:t>
            </w:r>
            <w:r>
              <w:rPr>
                <w:rFonts w:hint="eastAsia" w:ascii="宋体" w:hAnsi="宋体"/>
                <w:bCs/>
                <w:color w:val="auto"/>
                <w:kern w:val="2"/>
                <w:highlight w:val="none"/>
              </w:rPr>
              <w:t>天</w:t>
            </w:r>
          </w:p>
        </w:tc>
        <w:tc>
          <w:tcPr>
            <w:tcW w:w="678"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Cs/>
                <w:color w:val="auto"/>
                <w:kern w:val="2"/>
                <w:highlight w:val="none"/>
                <w:lang w:val="en-US" w:eastAsia="zh-CN"/>
              </w:rPr>
            </w:pPr>
            <w:r>
              <w:rPr>
                <w:rFonts w:hint="eastAsia" w:ascii="宋体" w:hAnsi="宋体"/>
                <w:bCs/>
                <w:color w:val="auto"/>
                <w:kern w:val="2"/>
                <w:highlight w:val="none"/>
                <w:lang w:val="en-US" w:eastAsia="zh-CN"/>
              </w:rPr>
              <w:t>4</w:t>
            </w:r>
          </w:p>
        </w:tc>
        <w:tc>
          <w:tcPr>
            <w:tcW w:w="1421" w:type="dxa"/>
            <w:gridSpan w:val="2"/>
            <w:vMerge w:val="restart"/>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hint="eastAsia" w:ascii="宋体" w:hAnsi="宋体"/>
                <w:bCs/>
                <w:color w:val="auto"/>
                <w:kern w:val="2"/>
                <w:highlight w:val="none"/>
              </w:rPr>
              <w:t>施工质量保证措施（满分</w:t>
            </w:r>
            <w:r>
              <w:rPr>
                <w:rFonts w:hint="eastAsia" w:ascii="宋体" w:hAnsi="宋体"/>
                <w:bCs/>
                <w:color w:val="auto"/>
                <w:kern w:val="2"/>
                <w:highlight w:val="none"/>
                <w:lang w:val="en-US" w:eastAsia="zh-CN"/>
              </w:rPr>
              <w:t>15</w:t>
            </w:r>
            <w:r>
              <w:rPr>
                <w:rFonts w:hint="eastAsia" w:ascii="宋体" w:hAnsi="宋体"/>
                <w:bCs/>
                <w:color w:val="auto"/>
                <w:kern w:val="2"/>
                <w:highlight w:val="none"/>
              </w:rPr>
              <w:t>分）</w:t>
            </w:r>
          </w:p>
        </w:tc>
        <w:tc>
          <w:tcPr>
            <w:tcW w:w="1250" w:type="dxa"/>
            <w:vAlign w:val="center"/>
          </w:tcPr>
          <w:p>
            <w:pPr>
              <w:widowControl w:val="0"/>
              <w:spacing w:before="0" w:after="0" w:afterAutospacing="0" w:line="276" w:lineRule="auto"/>
              <w:ind w:left="0" w:right="0" w:firstLine="0"/>
              <w:jc w:val="center"/>
              <w:rPr>
                <w:rFonts w:hint="default" w:ascii="宋体" w:hAnsi="宋体" w:eastAsia="宋体"/>
                <w:bCs/>
                <w:color w:val="auto"/>
                <w:kern w:val="2"/>
                <w:highlight w:val="none"/>
                <w:lang w:val="en-US" w:eastAsia="zh-CN"/>
              </w:rPr>
            </w:pPr>
            <w:r>
              <w:rPr>
                <w:rFonts w:hint="eastAsia" w:ascii="宋体" w:hAnsi="宋体"/>
                <w:color w:val="auto"/>
                <w:highlight w:val="none"/>
                <w:lang w:val="en-US" w:eastAsia="zh-CN"/>
              </w:rPr>
              <w:t>12</w:t>
            </w:r>
            <w:r>
              <w:rPr>
                <w:rFonts w:ascii="宋体" w:hAnsi="宋体"/>
                <w:color w:val="auto"/>
                <w:highlight w:val="none"/>
              </w:rPr>
              <w:t>＜</w:t>
            </w:r>
            <w:r>
              <w:rPr>
                <w:rFonts w:hint="eastAsia" w:ascii="宋体" w:hAnsi="宋体"/>
                <w:color w:val="auto"/>
                <w:highlight w:val="none"/>
              </w:rPr>
              <w:t>m≤</w:t>
            </w:r>
            <w:r>
              <w:rPr>
                <w:rFonts w:hint="eastAsia" w:ascii="宋体" w:hAnsi="宋体"/>
                <w:color w:val="auto"/>
                <w:highlight w:val="none"/>
                <w:lang w:val="en-US" w:eastAsia="zh-CN"/>
              </w:rPr>
              <w:t>15</w:t>
            </w:r>
          </w:p>
        </w:tc>
        <w:tc>
          <w:tcPr>
            <w:tcW w:w="5954" w:type="dxa"/>
            <w:vAlign w:val="center"/>
          </w:tcPr>
          <w:p>
            <w:pPr>
              <w:widowControl w:val="0"/>
              <w:spacing w:before="0" w:after="0" w:afterAutospacing="0" w:line="276" w:lineRule="auto"/>
              <w:ind w:left="0" w:right="0" w:firstLine="0"/>
              <w:jc w:val="both"/>
              <w:rPr>
                <w:rFonts w:ascii="宋体" w:hAnsi="宋体"/>
                <w:bCs/>
                <w:color w:val="auto"/>
                <w:kern w:val="2"/>
                <w:highlight w:val="none"/>
              </w:rPr>
            </w:pPr>
            <w:r>
              <w:rPr>
                <w:rFonts w:hint="eastAsia" w:ascii="宋体" w:hAnsi="宋体"/>
                <w:bCs/>
                <w:color w:val="auto"/>
                <w:kern w:val="2"/>
                <w:highlight w:val="none"/>
              </w:rPr>
              <w:t>对项目关键技术、工艺有深入的表述，对重点、难点有先进合理的施工措施并有可行的安全措施，对管道支架选材、制作及管道防腐工艺等解决方案完整、经济、安全、切实可行，措施得力。</w:t>
            </w:r>
          </w:p>
        </w:tc>
        <w:tc>
          <w:tcPr>
            <w:tcW w:w="678" w:type="dxa"/>
            <w:vMerge w:val="restart"/>
            <w:vAlign w:val="center"/>
          </w:tcPr>
          <w:p>
            <w:pPr>
              <w:widowControl w:val="0"/>
              <w:spacing w:before="0" w:after="0" w:afterAutospacing="0" w:line="276" w:lineRule="auto"/>
              <w:ind w:left="0" w:right="0" w:firstLine="0"/>
              <w:jc w:val="center"/>
              <w:rPr>
                <w:rFonts w:ascii="宋体" w:hAnsi="宋体"/>
                <w:color w:val="auto"/>
                <w:kern w:val="2"/>
                <w:highlight w:val="none"/>
              </w:rPr>
            </w:pPr>
          </w:p>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gridSpan w:val="2"/>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250" w:type="dxa"/>
            <w:vAlign w:val="center"/>
          </w:tcPr>
          <w:p>
            <w:pPr>
              <w:widowControl w:val="0"/>
              <w:spacing w:before="0" w:after="0" w:afterAutospacing="0" w:line="276" w:lineRule="auto"/>
              <w:ind w:left="0" w:right="0" w:firstLine="0"/>
              <w:jc w:val="center"/>
              <w:rPr>
                <w:rFonts w:hint="default" w:ascii="宋体" w:hAnsi="宋体" w:eastAsia="宋体"/>
                <w:bCs/>
                <w:color w:val="auto"/>
                <w:kern w:val="2"/>
                <w:highlight w:val="none"/>
                <w:lang w:val="en-US" w:eastAsia="zh-CN"/>
              </w:rPr>
            </w:pPr>
            <w:r>
              <w:rPr>
                <w:rFonts w:hint="eastAsia" w:ascii="宋体" w:hAnsi="宋体"/>
                <w:color w:val="auto"/>
                <w:highlight w:val="none"/>
                <w:lang w:val="en-US" w:eastAsia="zh-CN"/>
              </w:rPr>
              <w:t>9</w:t>
            </w:r>
            <w:r>
              <w:rPr>
                <w:rFonts w:ascii="宋体" w:hAnsi="宋体"/>
                <w:color w:val="auto"/>
                <w:highlight w:val="none"/>
              </w:rPr>
              <w:t>＜</w:t>
            </w:r>
            <w:r>
              <w:rPr>
                <w:rFonts w:hint="eastAsia" w:ascii="宋体" w:hAnsi="宋体"/>
                <w:color w:val="auto"/>
                <w:highlight w:val="none"/>
              </w:rPr>
              <w:t>m≤</w:t>
            </w:r>
            <w:r>
              <w:rPr>
                <w:rFonts w:hint="eastAsia" w:ascii="宋体" w:hAnsi="宋体"/>
                <w:color w:val="auto"/>
                <w:highlight w:val="none"/>
                <w:lang w:val="en-US" w:eastAsia="zh-CN"/>
              </w:rPr>
              <w:t>12</w:t>
            </w:r>
          </w:p>
        </w:tc>
        <w:tc>
          <w:tcPr>
            <w:tcW w:w="5954" w:type="dxa"/>
            <w:vAlign w:val="center"/>
          </w:tcPr>
          <w:p>
            <w:pPr>
              <w:widowControl w:val="0"/>
              <w:spacing w:before="0" w:after="0" w:afterAutospacing="0" w:line="276" w:lineRule="auto"/>
              <w:ind w:left="0" w:right="0" w:firstLine="0"/>
              <w:jc w:val="both"/>
              <w:rPr>
                <w:rFonts w:ascii="宋体" w:hAnsi="宋体"/>
                <w:bCs/>
                <w:color w:val="auto"/>
                <w:kern w:val="2"/>
                <w:highlight w:val="none"/>
              </w:rPr>
            </w:pPr>
            <w:r>
              <w:rPr>
                <w:rFonts w:hint="eastAsia" w:ascii="宋体" w:hAnsi="宋体"/>
                <w:bCs/>
                <w:color w:val="auto"/>
                <w:kern w:val="2"/>
                <w:highlight w:val="none"/>
              </w:rPr>
              <w:t>对项目关键技术、工艺有表述，对重点、难点有合理的施工措施和可行性一般的安全措施，解决方案较完整、安全、经济性一般，可行性一般。</w:t>
            </w:r>
          </w:p>
        </w:tc>
        <w:tc>
          <w:tcPr>
            <w:tcW w:w="678" w:type="dxa"/>
            <w:vMerge w:val="continue"/>
            <w:vAlign w:val="center"/>
          </w:tcPr>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gridSpan w:val="2"/>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250" w:type="dxa"/>
            <w:vAlign w:val="center"/>
          </w:tcPr>
          <w:p>
            <w:pPr>
              <w:widowControl w:val="0"/>
              <w:spacing w:before="0" w:after="0" w:afterAutospacing="0" w:line="276" w:lineRule="auto"/>
              <w:ind w:left="0" w:right="0" w:firstLine="0"/>
              <w:jc w:val="center"/>
              <w:rPr>
                <w:rFonts w:hint="default" w:ascii="宋体" w:hAnsi="宋体" w:eastAsia="宋体"/>
                <w:bCs/>
                <w:color w:val="auto"/>
                <w:kern w:val="2"/>
                <w:highlight w:val="none"/>
                <w:lang w:val="en-US" w:eastAsia="zh-CN"/>
              </w:rPr>
            </w:pPr>
            <w:r>
              <w:rPr>
                <w:rFonts w:hint="eastAsia" w:ascii="宋体" w:hAnsi="宋体"/>
                <w:color w:val="auto"/>
                <w:highlight w:val="none"/>
              </w:rPr>
              <w:t>0</w:t>
            </w:r>
            <w:r>
              <w:rPr>
                <w:rFonts w:hint="eastAsia" w:ascii="宋体" w:hAnsi="宋体"/>
                <w:bCs/>
                <w:color w:val="auto"/>
                <w:kern w:val="2"/>
                <w:highlight w:val="none"/>
              </w:rPr>
              <w:t>≤</w:t>
            </w:r>
            <w:r>
              <w:rPr>
                <w:rFonts w:hint="eastAsia" w:ascii="宋体" w:hAnsi="宋体"/>
                <w:color w:val="auto"/>
                <w:highlight w:val="none"/>
              </w:rPr>
              <w:t>m≤</w:t>
            </w:r>
            <w:r>
              <w:rPr>
                <w:rFonts w:hint="eastAsia" w:ascii="宋体" w:hAnsi="宋体"/>
                <w:color w:val="auto"/>
                <w:highlight w:val="none"/>
                <w:lang w:val="en-US" w:eastAsia="zh-CN"/>
              </w:rPr>
              <w:t>9</w:t>
            </w:r>
          </w:p>
        </w:tc>
        <w:tc>
          <w:tcPr>
            <w:tcW w:w="5954" w:type="dxa"/>
            <w:vAlign w:val="center"/>
          </w:tcPr>
          <w:p>
            <w:pPr>
              <w:widowControl w:val="0"/>
              <w:spacing w:before="0" w:after="0" w:afterAutospacing="0" w:line="276" w:lineRule="auto"/>
              <w:ind w:left="0" w:right="0" w:firstLine="0"/>
              <w:jc w:val="both"/>
              <w:rPr>
                <w:rFonts w:ascii="宋体" w:hAnsi="宋体"/>
                <w:bCs/>
                <w:color w:val="auto"/>
                <w:kern w:val="2"/>
                <w:highlight w:val="none"/>
              </w:rPr>
            </w:pPr>
            <w:r>
              <w:rPr>
                <w:rFonts w:hint="eastAsia" w:ascii="宋体" w:hAnsi="宋体"/>
                <w:bCs/>
                <w:color w:val="auto"/>
                <w:kern w:val="2"/>
                <w:highlight w:val="none"/>
              </w:rPr>
              <w:t>可行性差、不完整、</w:t>
            </w:r>
            <w:r>
              <w:rPr>
                <w:rFonts w:ascii="宋体" w:hAnsi="宋体"/>
                <w:bCs/>
                <w:color w:val="auto"/>
                <w:kern w:val="2"/>
                <w:highlight w:val="none"/>
              </w:rPr>
              <w:t>不经济</w:t>
            </w:r>
            <w:r>
              <w:rPr>
                <w:rFonts w:hint="eastAsia" w:ascii="宋体" w:hAnsi="宋体"/>
                <w:bCs/>
                <w:color w:val="auto"/>
                <w:kern w:val="2"/>
                <w:highlight w:val="none"/>
              </w:rPr>
              <w:t>，对本项目不了解。</w:t>
            </w:r>
          </w:p>
        </w:tc>
        <w:tc>
          <w:tcPr>
            <w:tcW w:w="678"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Cs/>
                <w:color w:val="auto"/>
                <w:kern w:val="2"/>
                <w:highlight w:val="none"/>
                <w:lang w:val="en-US" w:eastAsia="zh-CN"/>
              </w:rPr>
            </w:pPr>
            <w:r>
              <w:rPr>
                <w:rFonts w:hint="eastAsia" w:ascii="宋体" w:hAnsi="宋体"/>
                <w:bCs/>
                <w:color w:val="auto"/>
                <w:kern w:val="2"/>
                <w:highlight w:val="none"/>
                <w:lang w:val="en-US" w:eastAsia="zh-CN"/>
              </w:rPr>
              <w:t>5</w:t>
            </w:r>
          </w:p>
        </w:tc>
        <w:tc>
          <w:tcPr>
            <w:tcW w:w="1421" w:type="dxa"/>
            <w:gridSpan w:val="2"/>
            <w:vMerge w:val="restart"/>
            <w:vAlign w:val="center"/>
          </w:tcPr>
          <w:p>
            <w:pPr>
              <w:widowControl w:val="0"/>
              <w:spacing w:before="0" w:after="0" w:afterAutospacing="0" w:line="276" w:lineRule="auto"/>
              <w:ind w:left="0" w:right="0" w:firstLine="0"/>
              <w:jc w:val="center"/>
              <w:rPr>
                <w:rFonts w:ascii="宋体" w:hAnsi="宋体"/>
                <w:bCs/>
                <w:color w:val="auto"/>
                <w:kern w:val="2"/>
                <w:highlight w:val="none"/>
              </w:rPr>
            </w:pPr>
            <w:r>
              <w:rPr>
                <w:rFonts w:hint="eastAsia" w:ascii="宋体" w:hAnsi="宋体" w:cs="宋体"/>
                <w:color w:val="auto"/>
                <w:highlight w:val="none"/>
              </w:rPr>
              <w:t>安全生产和文明施工保证措施（满分</w:t>
            </w:r>
            <w:r>
              <w:rPr>
                <w:rFonts w:hint="eastAsia" w:ascii="宋体" w:hAnsi="宋体" w:cs="宋体"/>
                <w:color w:val="auto"/>
                <w:highlight w:val="none"/>
                <w:lang w:val="en-US" w:eastAsia="zh-CN"/>
              </w:rPr>
              <w:t>10</w:t>
            </w:r>
            <w:r>
              <w:rPr>
                <w:rFonts w:hint="eastAsia" w:ascii="宋体" w:hAnsi="宋体" w:cs="宋体"/>
                <w:color w:val="auto"/>
                <w:highlight w:val="none"/>
              </w:rPr>
              <w:t>分）</w:t>
            </w:r>
          </w:p>
        </w:tc>
        <w:tc>
          <w:tcPr>
            <w:tcW w:w="1250" w:type="dxa"/>
            <w:vAlign w:val="center"/>
          </w:tcPr>
          <w:p>
            <w:pPr>
              <w:widowControl w:val="0"/>
              <w:spacing w:before="0" w:after="0" w:afterAutospacing="0" w:line="276" w:lineRule="auto"/>
              <w:ind w:left="0" w:right="0" w:firstLine="0"/>
              <w:jc w:val="center"/>
              <w:rPr>
                <w:rFonts w:hint="default" w:ascii="宋体" w:hAnsi="宋体" w:eastAsia="宋体"/>
                <w:bCs/>
                <w:color w:val="auto"/>
                <w:kern w:val="2"/>
                <w:highlight w:val="none"/>
                <w:lang w:val="en-US" w:eastAsia="zh-CN"/>
              </w:rPr>
            </w:pPr>
            <w:r>
              <w:rPr>
                <w:rFonts w:hint="eastAsia" w:ascii="宋体" w:hAnsi="宋体"/>
                <w:bCs/>
                <w:color w:val="auto"/>
                <w:kern w:val="2"/>
                <w:highlight w:val="none"/>
                <w:lang w:val="en-US" w:eastAsia="zh-CN"/>
              </w:rPr>
              <w:t>8</w:t>
            </w:r>
            <w:r>
              <w:rPr>
                <w:rFonts w:ascii="宋体" w:hAnsi="宋体"/>
                <w:bCs/>
                <w:color w:val="auto"/>
                <w:kern w:val="2"/>
                <w:highlight w:val="none"/>
              </w:rPr>
              <w:t>＜</w:t>
            </w:r>
            <w:r>
              <w:rPr>
                <w:rFonts w:hint="eastAsia" w:ascii="宋体" w:hAnsi="宋体"/>
                <w:bCs/>
                <w:color w:val="auto"/>
                <w:kern w:val="2"/>
                <w:highlight w:val="none"/>
              </w:rPr>
              <w:t>m≤</w:t>
            </w:r>
            <w:r>
              <w:rPr>
                <w:rFonts w:hint="eastAsia" w:ascii="宋体" w:hAnsi="宋体"/>
                <w:bCs/>
                <w:color w:val="auto"/>
                <w:kern w:val="2"/>
                <w:highlight w:val="none"/>
                <w:lang w:val="en-US" w:eastAsia="zh-CN"/>
              </w:rPr>
              <w:t>10</w:t>
            </w:r>
          </w:p>
        </w:tc>
        <w:tc>
          <w:tcPr>
            <w:tcW w:w="5954" w:type="dxa"/>
            <w:vAlign w:val="center"/>
          </w:tcPr>
          <w:p>
            <w:pPr>
              <w:widowControl w:val="0"/>
              <w:spacing w:before="0" w:after="0" w:afterAutospacing="0" w:line="276" w:lineRule="auto"/>
              <w:ind w:left="0" w:right="0" w:firstLine="0"/>
              <w:jc w:val="both"/>
              <w:rPr>
                <w:rFonts w:ascii="宋体" w:hAnsi="宋体"/>
                <w:bCs/>
                <w:color w:val="auto"/>
                <w:kern w:val="2"/>
                <w:highlight w:val="none"/>
              </w:rPr>
            </w:pPr>
            <w:r>
              <w:rPr>
                <w:rFonts w:hint="eastAsia" w:ascii="宋体" w:hAnsi="宋体"/>
                <w:bCs/>
                <w:color w:val="auto"/>
                <w:kern w:val="2"/>
                <w:highlight w:val="none"/>
              </w:rPr>
              <w:t>针对项目特点，有具体、完整、可行的安全生产和文明施工保证措施，如：涉及动火类作业</w:t>
            </w:r>
            <w:r>
              <w:rPr>
                <w:rFonts w:hint="eastAsia" w:ascii="宋体" w:hAnsi="宋体"/>
                <w:bCs/>
                <w:color w:val="auto"/>
                <w:kern w:val="2"/>
                <w:highlight w:val="none"/>
                <w:lang w:eastAsia="zh-CN"/>
              </w:rPr>
              <w:t>、</w:t>
            </w:r>
            <w:r>
              <w:rPr>
                <w:rFonts w:hint="eastAsia" w:ascii="宋体" w:hAnsi="宋体"/>
                <w:bCs/>
                <w:color w:val="auto"/>
                <w:kern w:val="2"/>
                <w:highlight w:val="none"/>
                <w:lang w:val="en-US" w:eastAsia="zh-CN"/>
              </w:rPr>
              <w:t>登高类作业</w:t>
            </w:r>
            <w:r>
              <w:rPr>
                <w:rFonts w:hint="eastAsia" w:ascii="宋体" w:hAnsi="宋体"/>
                <w:bCs/>
                <w:color w:val="auto"/>
                <w:kern w:val="2"/>
                <w:highlight w:val="none"/>
              </w:rPr>
              <w:t>的防护措施等，措施科学合理、可行性强、完整性好。</w:t>
            </w:r>
          </w:p>
        </w:tc>
        <w:tc>
          <w:tcPr>
            <w:tcW w:w="678" w:type="dxa"/>
            <w:vMerge w:val="restart"/>
            <w:vAlign w:val="center"/>
          </w:tcPr>
          <w:p>
            <w:pPr>
              <w:widowControl w:val="0"/>
              <w:spacing w:before="0" w:after="0" w:afterAutospacing="0" w:line="276" w:lineRule="auto"/>
              <w:ind w:left="0" w:right="0" w:firstLine="0"/>
              <w:jc w:val="center"/>
              <w:rPr>
                <w:rFonts w:ascii="宋体" w:hAnsi="宋体"/>
                <w:color w:val="auto"/>
                <w:kern w:val="2"/>
                <w:highlight w:val="none"/>
              </w:rPr>
            </w:pPr>
          </w:p>
          <w:p>
            <w:pPr>
              <w:widowControl w:val="0"/>
              <w:spacing w:before="0" w:after="0" w:afterAutospacing="0" w:line="276" w:lineRule="auto"/>
              <w:ind w:left="0" w:right="0" w:firstLine="0"/>
              <w:jc w:val="center"/>
              <w:rPr>
                <w:rFonts w:ascii="宋体" w:hAnsi="宋体"/>
                <w:color w:val="auto"/>
                <w:kern w:val="2"/>
                <w:highlight w:val="none"/>
              </w:rPr>
            </w:pPr>
          </w:p>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gridSpan w:val="2"/>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250" w:type="dxa"/>
            <w:vAlign w:val="center"/>
          </w:tcPr>
          <w:p>
            <w:pPr>
              <w:widowControl w:val="0"/>
              <w:spacing w:before="0" w:after="0" w:afterAutospacing="0" w:line="276" w:lineRule="auto"/>
              <w:ind w:left="0" w:right="0" w:firstLine="0"/>
              <w:jc w:val="center"/>
              <w:rPr>
                <w:rFonts w:hint="eastAsia" w:ascii="宋体" w:hAnsi="宋体" w:eastAsia="宋体"/>
                <w:bCs/>
                <w:color w:val="auto"/>
                <w:kern w:val="2"/>
                <w:highlight w:val="none"/>
                <w:lang w:eastAsia="zh-CN"/>
              </w:rPr>
            </w:pPr>
            <w:r>
              <w:rPr>
                <w:rFonts w:hint="eastAsia" w:ascii="宋体" w:hAnsi="宋体"/>
                <w:bCs/>
                <w:color w:val="auto"/>
                <w:kern w:val="2"/>
                <w:highlight w:val="none"/>
                <w:lang w:val="en-US" w:eastAsia="zh-CN"/>
              </w:rPr>
              <w:t>6</w:t>
            </w:r>
            <w:r>
              <w:rPr>
                <w:rFonts w:ascii="宋体" w:hAnsi="宋体"/>
                <w:bCs/>
                <w:color w:val="auto"/>
                <w:kern w:val="2"/>
                <w:highlight w:val="none"/>
              </w:rPr>
              <w:t>＜</w:t>
            </w:r>
            <w:r>
              <w:rPr>
                <w:rFonts w:hint="eastAsia" w:ascii="宋体" w:hAnsi="宋体"/>
                <w:bCs/>
                <w:color w:val="auto"/>
                <w:kern w:val="2"/>
                <w:highlight w:val="none"/>
              </w:rPr>
              <w:t>m≤</w:t>
            </w:r>
            <w:r>
              <w:rPr>
                <w:rFonts w:hint="eastAsia" w:ascii="宋体" w:hAnsi="宋体"/>
                <w:bCs/>
                <w:color w:val="auto"/>
                <w:kern w:val="2"/>
                <w:highlight w:val="none"/>
                <w:lang w:val="en-US" w:eastAsia="zh-CN"/>
              </w:rPr>
              <w:t>8</w:t>
            </w:r>
          </w:p>
        </w:tc>
        <w:tc>
          <w:tcPr>
            <w:tcW w:w="5954" w:type="dxa"/>
            <w:vAlign w:val="center"/>
          </w:tcPr>
          <w:p>
            <w:pPr>
              <w:keepNext w:val="0"/>
              <w:keepLines w:val="0"/>
              <w:pageBreakBefore w:val="0"/>
              <w:widowControl/>
              <w:kinsoku/>
              <w:wordWrap/>
              <w:overflowPunct/>
              <w:topLinePunct w:val="0"/>
              <w:autoSpaceDE/>
              <w:autoSpaceDN/>
              <w:bidi w:val="0"/>
              <w:adjustRightInd/>
              <w:snapToGrid w:val="0"/>
              <w:spacing w:before="0" w:line="288" w:lineRule="auto"/>
              <w:ind w:left="0" w:right="0" w:firstLine="0"/>
              <w:jc w:val="both"/>
              <w:textAlignment w:val="auto"/>
              <w:rPr>
                <w:rFonts w:ascii="宋体" w:hAnsi="宋体"/>
                <w:color w:val="auto"/>
                <w:highlight w:val="none"/>
              </w:rPr>
            </w:pPr>
            <w:r>
              <w:rPr>
                <w:rFonts w:hint="eastAsia" w:ascii="宋体" w:hAnsi="宋体"/>
                <w:color w:val="auto"/>
                <w:highlight w:val="none"/>
              </w:rPr>
              <w:t>针对项目特点，有具体、完整、可行的安全生产和文明施工保证措施，措施合理性</w:t>
            </w:r>
            <w:r>
              <w:rPr>
                <w:rFonts w:ascii="宋体" w:hAnsi="宋体"/>
                <w:color w:val="auto"/>
                <w:highlight w:val="none"/>
              </w:rPr>
              <w:t>一般</w:t>
            </w:r>
            <w:r>
              <w:rPr>
                <w:rFonts w:hint="eastAsia" w:ascii="宋体" w:hAnsi="宋体"/>
                <w:color w:val="auto"/>
                <w:highlight w:val="none"/>
              </w:rPr>
              <w:t>、可行性一般、完整性一般。</w:t>
            </w:r>
          </w:p>
        </w:tc>
        <w:tc>
          <w:tcPr>
            <w:tcW w:w="678" w:type="dxa"/>
            <w:vMerge w:val="continue"/>
            <w:vAlign w:val="center"/>
          </w:tcPr>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gridSpan w:val="2"/>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250" w:type="dxa"/>
            <w:vAlign w:val="center"/>
          </w:tcPr>
          <w:p>
            <w:pPr>
              <w:widowControl w:val="0"/>
              <w:spacing w:before="0" w:after="0" w:afterAutospacing="0" w:line="276" w:lineRule="auto"/>
              <w:ind w:left="0" w:right="0" w:firstLine="0"/>
              <w:jc w:val="center"/>
              <w:rPr>
                <w:rFonts w:hint="eastAsia" w:ascii="宋体" w:hAnsi="宋体" w:eastAsia="宋体"/>
                <w:bCs/>
                <w:color w:val="auto"/>
                <w:kern w:val="2"/>
                <w:highlight w:val="none"/>
                <w:lang w:eastAsia="zh-CN"/>
              </w:rPr>
            </w:pPr>
            <w:r>
              <w:rPr>
                <w:rFonts w:hint="eastAsia" w:ascii="宋体" w:hAnsi="宋体"/>
                <w:bCs/>
                <w:color w:val="auto"/>
                <w:kern w:val="2"/>
                <w:highlight w:val="none"/>
              </w:rPr>
              <w:t>0≤m≤</w:t>
            </w:r>
            <w:r>
              <w:rPr>
                <w:rFonts w:hint="eastAsia" w:ascii="宋体" w:hAnsi="宋体"/>
                <w:bCs/>
                <w:color w:val="auto"/>
                <w:kern w:val="2"/>
                <w:highlight w:val="none"/>
                <w:lang w:val="en-US" w:eastAsia="zh-CN"/>
              </w:rPr>
              <w:t>6</w:t>
            </w:r>
          </w:p>
        </w:tc>
        <w:tc>
          <w:tcPr>
            <w:tcW w:w="5954" w:type="dxa"/>
            <w:vAlign w:val="center"/>
          </w:tcPr>
          <w:p>
            <w:pPr>
              <w:snapToGrid w:val="0"/>
              <w:spacing w:line="288" w:lineRule="auto"/>
              <w:jc w:val="both"/>
              <w:rPr>
                <w:rFonts w:ascii="宋体" w:hAnsi="宋体"/>
                <w:color w:val="auto"/>
                <w:highlight w:val="none"/>
              </w:rPr>
            </w:pPr>
            <w:r>
              <w:rPr>
                <w:rFonts w:hint="eastAsia" w:ascii="宋体" w:hAnsi="宋体"/>
                <w:color w:val="auto"/>
                <w:highlight w:val="none"/>
              </w:rPr>
              <w:t>措施不合理、</w:t>
            </w:r>
            <w:r>
              <w:rPr>
                <w:rFonts w:hint="eastAsia" w:ascii="宋体" w:hAnsi="宋体" w:cs="Arial"/>
                <w:color w:val="auto"/>
                <w:highlight w:val="none"/>
              </w:rPr>
              <w:t>可行性差、不完整，对本项目不了解</w:t>
            </w:r>
            <w:r>
              <w:rPr>
                <w:rFonts w:hint="eastAsia" w:ascii="宋体" w:hAnsi="宋体"/>
                <w:color w:val="auto"/>
                <w:highlight w:val="none"/>
              </w:rPr>
              <w:t>。</w:t>
            </w:r>
          </w:p>
        </w:tc>
        <w:tc>
          <w:tcPr>
            <w:tcW w:w="678" w:type="dxa"/>
            <w:vMerge w:val="continue"/>
            <w:vAlign w:val="center"/>
          </w:tcPr>
          <w:p>
            <w:pPr>
              <w:widowControl w:val="0"/>
              <w:spacing w:before="0" w:after="0" w:afterAutospacing="0" w:line="276" w:lineRule="auto"/>
              <w:ind w:left="0" w:right="0" w:firstLine="0"/>
              <w:jc w:val="center"/>
              <w:rPr>
                <w:rFonts w:ascii="宋体" w:hAnsi="宋体"/>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522" w:type="dxa"/>
            <w:vMerge w:val="restart"/>
            <w:vAlign w:val="center"/>
          </w:tcPr>
          <w:p>
            <w:pPr>
              <w:widowControl w:val="0"/>
              <w:spacing w:before="0" w:after="0" w:afterAutospacing="0" w:line="276" w:lineRule="auto"/>
              <w:ind w:left="0" w:right="0" w:firstLine="0"/>
              <w:jc w:val="center"/>
              <w:rPr>
                <w:rFonts w:hint="eastAsia" w:ascii="宋体" w:hAnsi="宋体" w:eastAsia="宋体"/>
                <w:bCs/>
                <w:color w:val="auto"/>
                <w:kern w:val="2"/>
                <w:highlight w:val="none"/>
                <w:lang w:val="en-US" w:eastAsia="zh-CN"/>
              </w:rPr>
            </w:pPr>
            <w:r>
              <w:rPr>
                <w:rFonts w:hint="eastAsia" w:ascii="宋体" w:hAnsi="宋体"/>
                <w:bCs/>
                <w:color w:val="auto"/>
                <w:kern w:val="2"/>
                <w:highlight w:val="none"/>
                <w:lang w:val="en-US" w:eastAsia="zh-CN"/>
              </w:rPr>
              <w:t>6</w:t>
            </w:r>
          </w:p>
        </w:tc>
        <w:tc>
          <w:tcPr>
            <w:tcW w:w="1421" w:type="dxa"/>
            <w:gridSpan w:val="2"/>
            <w:vMerge w:val="restart"/>
            <w:vAlign w:val="center"/>
          </w:tcPr>
          <w:p>
            <w:pPr>
              <w:widowControl w:val="0"/>
              <w:spacing w:before="0" w:after="0" w:afterAutospacing="0" w:line="276" w:lineRule="auto"/>
              <w:ind w:left="0" w:right="0" w:firstLine="0"/>
              <w:rPr>
                <w:rFonts w:ascii="宋体" w:hAnsi="宋体"/>
                <w:bCs/>
                <w:color w:val="auto"/>
                <w:kern w:val="2"/>
                <w:highlight w:val="none"/>
              </w:rPr>
            </w:pPr>
            <w:r>
              <w:rPr>
                <w:rFonts w:hint="eastAsia" w:ascii="宋体" w:hAnsi="宋体"/>
                <w:color w:val="auto"/>
                <w:highlight w:val="none"/>
              </w:rPr>
              <w:t>现场管理及管理制度</w:t>
            </w:r>
            <w:r>
              <w:rPr>
                <w:rFonts w:hint="eastAsia" w:ascii="宋体" w:hAnsi="宋体" w:cs="宋体"/>
                <w:color w:val="auto"/>
                <w:highlight w:val="none"/>
              </w:rPr>
              <w:t>（满分</w:t>
            </w:r>
            <w:r>
              <w:rPr>
                <w:rFonts w:ascii="宋体" w:hAnsi="宋体" w:cs="宋体"/>
                <w:color w:val="auto"/>
                <w:highlight w:val="none"/>
              </w:rPr>
              <w:t>10</w:t>
            </w:r>
            <w:r>
              <w:rPr>
                <w:rFonts w:hint="eastAsia" w:ascii="宋体" w:hAnsi="宋体" w:cs="宋体"/>
                <w:color w:val="auto"/>
                <w:highlight w:val="none"/>
              </w:rPr>
              <w:t>分）</w:t>
            </w:r>
          </w:p>
        </w:tc>
        <w:tc>
          <w:tcPr>
            <w:tcW w:w="1250" w:type="dxa"/>
            <w:vAlign w:val="center"/>
          </w:tcPr>
          <w:p>
            <w:pPr>
              <w:snapToGrid w:val="0"/>
              <w:spacing w:line="288" w:lineRule="auto"/>
              <w:jc w:val="center"/>
              <w:rPr>
                <w:rFonts w:ascii="宋体" w:hAnsi="宋体"/>
                <w:color w:val="auto"/>
                <w:highlight w:val="none"/>
              </w:rPr>
            </w:pPr>
            <w:r>
              <w:rPr>
                <w:rFonts w:ascii="宋体" w:hAnsi="宋体"/>
                <w:color w:val="auto"/>
                <w:highlight w:val="none"/>
              </w:rPr>
              <w:t>8＜</w:t>
            </w:r>
            <w:r>
              <w:rPr>
                <w:rFonts w:hint="eastAsia" w:ascii="宋体" w:hAnsi="宋体"/>
                <w:color w:val="auto"/>
                <w:highlight w:val="none"/>
              </w:rPr>
              <w:t>m≤</w:t>
            </w:r>
            <w:r>
              <w:rPr>
                <w:rFonts w:ascii="宋体" w:hAnsi="宋体"/>
                <w:color w:val="auto"/>
                <w:highlight w:val="none"/>
              </w:rPr>
              <w:t>10</w:t>
            </w:r>
          </w:p>
        </w:tc>
        <w:tc>
          <w:tcPr>
            <w:tcW w:w="5954" w:type="dxa"/>
            <w:vAlign w:val="center"/>
          </w:tcPr>
          <w:p>
            <w:pPr>
              <w:keepNext w:val="0"/>
              <w:keepLines w:val="0"/>
              <w:pageBreakBefore w:val="0"/>
              <w:widowControl/>
              <w:kinsoku/>
              <w:wordWrap/>
              <w:overflowPunct/>
              <w:topLinePunct w:val="0"/>
              <w:autoSpaceDE/>
              <w:autoSpaceDN/>
              <w:bidi w:val="0"/>
              <w:adjustRightInd/>
              <w:snapToGrid w:val="0"/>
              <w:spacing w:line="288" w:lineRule="auto"/>
              <w:ind w:left="0" w:right="0" w:firstLine="0"/>
              <w:jc w:val="both"/>
              <w:textAlignment w:val="auto"/>
              <w:rPr>
                <w:rFonts w:ascii="宋体" w:hAnsi="宋体" w:cs="Arial"/>
                <w:color w:val="auto"/>
                <w:highlight w:val="none"/>
              </w:rPr>
            </w:pPr>
            <w:r>
              <w:rPr>
                <w:rFonts w:hint="eastAsia" w:ascii="宋体" w:hAnsi="宋体"/>
                <w:color w:val="auto"/>
                <w:highlight w:val="none"/>
              </w:rPr>
              <w:t>完善的公司管理制度、针对本项目特点制定的现场管理的保障方案、与建设单位的沟通质量控制等措施。如：材料不得堆放在场段的道路，影响正常的通行，以及成品保护措施等。</w:t>
            </w:r>
          </w:p>
        </w:tc>
        <w:tc>
          <w:tcPr>
            <w:tcW w:w="678" w:type="dxa"/>
            <w:vMerge w:val="restart"/>
            <w:vAlign w:val="center"/>
          </w:tcPr>
          <w:p>
            <w:pPr>
              <w:widowControl w:val="0"/>
              <w:spacing w:before="0" w:after="0" w:afterAutospacing="0" w:line="276" w:lineRule="auto"/>
              <w:ind w:left="0" w:right="0" w:firstLine="0"/>
              <w:jc w:val="center"/>
              <w:rPr>
                <w:rFonts w:ascii="宋体" w:hAnsi="宋体"/>
                <w:bCs/>
                <w:color w:val="auto"/>
                <w:kern w:val="2"/>
                <w:highlight w:val="none"/>
              </w:rPr>
            </w:pPr>
          </w:p>
          <w:p>
            <w:pPr>
              <w:widowControl w:val="0"/>
              <w:spacing w:before="0" w:after="0" w:afterAutospacing="0" w:line="276" w:lineRule="auto"/>
              <w:ind w:left="0" w:right="0" w:firstLine="0"/>
              <w:jc w:val="center"/>
              <w:rPr>
                <w:rFonts w:ascii="宋体" w:hAnsi="宋体"/>
                <w:bCs/>
                <w:color w:val="auto"/>
                <w:kern w:val="2"/>
                <w:highlight w:val="none"/>
              </w:rPr>
            </w:pPr>
          </w:p>
          <w:p>
            <w:pPr>
              <w:widowControl w:val="0"/>
              <w:spacing w:before="0" w:after="0" w:afterAutospacing="0" w:line="276" w:lineRule="auto"/>
              <w:ind w:left="0" w:right="0" w:firstLine="0"/>
              <w:jc w:val="center"/>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gridSpan w:val="2"/>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250" w:type="dxa"/>
            <w:vAlign w:val="center"/>
          </w:tcPr>
          <w:p>
            <w:pPr>
              <w:snapToGrid w:val="0"/>
              <w:spacing w:line="288" w:lineRule="auto"/>
              <w:jc w:val="center"/>
              <w:rPr>
                <w:rFonts w:ascii="宋体" w:hAnsi="宋体"/>
                <w:color w:val="auto"/>
                <w:highlight w:val="none"/>
              </w:rPr>
            </w:pPr>
            <w:r>
              <w:rPr>
                <w:rFonts w:ascii="宋体" w:hAnsi="宋体"/>
                <w:color w:val="auto"/>
                <w:highlight w:val="none"/>
              </w:rPr>
              <w:t>6＜</w:t>
            </w:r>
            <w:r>
              <w:rPr>
                <w:rFonts w:hint="eastAsia" w:ascii="宋体" w:hAnsi="宋体"/>
                <w:color w:val="auto"/>
                <w:highlight w:val="none"/>
              </w:rPr>
              <w:t>m≤</w:t>
            </w:r>
            <w:r>
              <w:rPr>
                <w:rFonts w:ascii="宋体" w:hAnsi="宋体"/>
                <w:color w:val="auto"/>
                <w:highlight w:val="none"/>
              </w:rPr>
              <w:t>8</w:t>
            </w:r>
          </w:p>
        </w:tc>
        <w:tc>
          <w:tcPr>
            <w:tcW w:w="5954" w:type="dxa"/>
            <w:vAlign w:val="center"/>
          </w:tcPr>
          <w:p>
            <w:pPr>
              <w:keepNext w:val="0"/>
              <w:keepLines w:val="0"/>
              <w:pageBreakBefore w:val="0"/>
              <w:widowControl/>
              <w:kinsoku/>
              <w:wordWrap/>
              <w:overflowPunct/>
              <w:topLinePunct w:val="0"/>
              <w:autoSpaceDE/>
              <w:autoSpaceDN/>
              <w:bidi w:val="0"/>
              <w:adjustRightInd/>
              <w:snapToGrid w:val="0"/>
              <w:spacing w:before="0" w:line="288" w:lineRule="auto"/>
              <w:ind w:left="0" w:right="0" w:firstLine="0"/>
              <w:jc w:val="both"/>
              <w:textAlignment w:val="auto"/>
              <w:rPr>
                <w:rFonts w:ascii="宋体" w:hAnsi="宋体" w:cs="Arial"/>
                <w:color w:val="auto"/>
                <w:highlight w:val="none"/>
              </w:rPr>
            </w:pPr>
            <w:r>
              <w:rPr>
                <w:rFonts w:hint="eastAsia" w:ascii="宋体" w:hAnsi="宋体"/>
                <w:color w:val="auto"/>
                <w:highlight w:val="none"/>
              </w:rPr>
              <w:t>有相关的公司管理制度，针对本项目特点制定的现场管理的保障方案、与建设单位的沟通质量控制等措施完整性</w:t>
            </w:r>
            <w:r>
              <w:rPr>
                <w:rFonts w:ascii="宋体" w:hAnsi="宋体"/>
                <w:color w:val="auto"/>
                <w:highlight w:val="none"/>
              </w:rPr>
              <w:t>一般</w:t>
            </w:r>
            <w:r>
              <w:rPr>
                <w:rFonts w:hint="eastAsia" w:ascii="宋体" w:hAnsi="宋体"/>
                <w:color w:val="auto"/>
                <w:highlight w:val="none"/>
              </w:rPr>
              <w:t>、可行性</w:t>
            </w:r>
            <w:r>
              <w:rPr>
                <w:rFonts w:ascii="宋体" w:hAnsi="宋体"/>
                <w:color w:val="auto"/>
                <w:highlight w:val="none"/>
              </w:rPr>
              <w:t>一般</w:t>
            </w:r>
            <w:r>
              <w:rPr>
                <w:rFonts w:hint="eastAsia" w:ascii="宋体" w:hAnsi="宋体"/>
                <w:color w:val="auto"/>
                <w:highlight w:val="none"/>
              </w:rPr>
              <w:t>。</w:t>
            </w:r>
          </w:p>
        </w:tc>
        <w:tc>
          <w:tcPr>
            <w:tcW w:w="678"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522"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421" w:type="dxa"/>
            <w:gridSpan w:val="2"/>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c>
          <w:tcPr>
            <w:tcW w:w="1250" w:type="dxa"/>
            <w:vAlign w:val="center"/>
          </w:tcPr>
          <w:p>
            <w:pPr>
              <w:snapToGrid w:val="0"/>
              <w:spacing w:line="288" w:lineRule="auto"/>
              <w:jc w:val="center"/>
              <w:rPr>
                <w:rFonts w:ascii="宋体" w:hAnsi="宋体"/>
                <w:color w:val="auto"/>
                <w:highlight w:val="none"/>
              </w:rPr>
            </w:pPr>
            <w:r>
              <w:rPr>
                <w:rFonts w:hint="eastAsia" w:ascii="宋体" w:hAnsi="宋体"/>
                <w:color w:val="auto"/>
                <w:highlight w:val="none"/>
              </w:rPr>
              <w:t>0</w:t>
            </w:r>
            <w:r>
              <w:rPr>
                <w:rFonts w:hint="eastAsia" w:ascii="宋体" w:hAnsi="宋体"/>
                <w:bCs/>
                <w:color w:val="auto"/>
                <w:kern w:val="2"/>
                <w:highlight w:val="none"/>
              </w:rPr>
              <w:t>≤</w:t>
            </w:r>
            <w:r>
              <w:rPr>
                <w:rFonts w:hint="eastAsia" w:ascii="宋体" w:hAnsi="宋体"/>
                <w:color w:val="auto"/>
                <w:highlight w:val="none"/>
              </w:rPr>
              <w:t>m≤</w:t>
            </w:r>
            <w:r>
              <w:rPr>
                <w:rFonts w:ascii="宋体" w:hAnsi="宋体"/>
                <w:color w:val="auto"/>
                <w:highlight w:val="none"/>
              </w:rPr>
              <w:t>6</w:t>
            </w:r>
          </w:p>
        </w:tc>
        <w:tc>
          <w:tcPr>
            <w:tcW w:w="5954" w:type="dxa"/>
            <w:vAlign w:val="center"/>
          </w:tcPr>
          <w:p>
            <w:pPr>
              <w:snapToGrid w:val="0"/>
              <w:spacing w:line="288" w:lineRule="auto"/>
              <w:jc w:val="both"/>
              <w:rPr>
                <w:rFonts w:ascii="宋体" w:hAnsi="宋体" w:cs="Arial"/>
                <w:color w:val="auto"/>
                <w:highlight w:val="none"/>
              </w:rPr>
            </w:pPr>
            <w:r>
              <w:rPr>
                <w:rFonts w:hint="eastAsia" w:ascii="宋体" w:hAnsi="宋体"/>
                <w:color w:val="auto"/>
                <w:highlight w:val="none"/>
              </w:rPr>
              <w:t>管理制度不完善</w:t>
            </w:r>
            <w:r>
              <w:rPr>
                <w:rFonts w:ascii="宋体" w:hAnsi="宋体"/>
                <w:color w:val="auto"/>
                <w:highlight w:val="none"/>
              </w:rPr>
              <w:t>，</w:t>
            </w:r>
            <w:r>
              <w:rPr>
                <w:rFonts w:hint="eastAsia" w:ascii="宋体" w:hAnsi="宋体"/>
                <w:color w:val="auto"/>
                <w:highlight w:val="none"/>
              </w:rPr>
              <w:t>措施不完整、</w:t>
            </w:r>
            <w:r>
              <w:rPr>
                <w:rFonts w:hint="eastAsia" w:ascii="宋体" w:hAnsi="宋体" w:cs="Arial"/>
                <w:color w:val="auto"/>
                <w:highlight w:val="none"/>
              </w:rPr>
              <w:t>可行性差，对本项目不了解</w:t>
            </w:r>
            <w:r>
              <w:rPr>
                <w:rFonts w:hint="eastAsia" w:ascii="宋体" w:hAnsi="宋体"/>
                <w:color w:val="auto"/>
                <w:highlight w:val="none"/>
              </w:rPr>
              <w:t>。</w:t>
            </w:r>
          </w:p>
        </w:tc>
        <w:tc>
          <w:tcPr>
            <w:tcW w:w="678" w:type="dxa"/>
            <w:vMerge w:val="continue"/>
            <w:vAlign w:val="center"/>
          </w:tcPr>
          <w:p>
            <w:pPr>
              <w:widowControl w:val="0"/>
              <w:spacing w:before="0" w:after="0" w:afterAutospacing="0" w:line="276" w:lineRule="auto"/>
              <w:ind w:left="0" w:right="0" w:firstLine="0"/>
              <w:jc w:val="center"/>
              <w:rPr>
                <w:rFonts w:ascii="宋体" w:hAnsi="宋体"/>
                <w:bCs/>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3" w:type="dxa"/>
            <w:gridSpan w:val="3"/>
            <w:vAlign w:val="center"/>
          </w:tcPr>
          <w:p>
            <w:pPr>
              <w:widowControl w:val="0"/>
              <w:spacing w:before="0" w:after="0" w:afterAutospacing="0" w:line="276" w:lineRule="auto"/>
              <w:ind w:left="0" w:right="0" w:firstLine="0"/>
              <w:jc w:val="center"/>
              <w:rPr>
                <w:rFonts w:ascii="宋体" w:hAnsi="宋体"/>
                <w:bCs/>
                <w:kern w:val="2"/>
                <w:highlight w:val="none"/>
              </w:rPr>
            </w:pPr>
            <w:r>
              <w:rPr>
                <w:rFonts w:ascii="宋体" w:hAnsi="宋体"/>
                <w:bCs/>
                <w:kern w:val="2"/>
                <w:highlight w:val="none"/>
              </w:rPr>
              <w:t>技术</w:t>
            </w:r>
            <w:r>
              <w:rPr>
                <w:rFonts w:hint="eastAsia" w:ascii="宋体" w:hAnsi="宋体"/>
                <w:bCs/>
                <w:kern w:val="2"/>
                <w:highlight w:val="none"/>
              </w:rPr>
              <w:t>评审总分</w:t>
            </w:r>
          </w:p>
        </w:tc>
        <w:tc>
          <w:tcPr>
            <w:tcW w:w="1250" w:type="dxa"/>
            <w:vAlign w:val="center"/>
          </w:tcPr>
          <w:p>
            <w:pPr>
              <w:widowControl w:val="0"/>
              <w:spacing w:before="0" w:after="0" w:afterAutospacing="0" w:line="276" w:lineRule="auto"/>
              <w:ind w:left="0" w:right="0" w:firstLine="0"/>
              <w:jc w:val="center"/>
              <w:rPr>
                <w:rFonts w:ascii="宋体" w:hAnsi="宋体"/>
                <w:bCs/>
                <w:kern w:val="2"/>
                <w:highlight w:val="none"/>
              </w:rPr>
            </w:pPr>
            <w:r>
              <w:rPr>
                <w:rFonts w:hint="eastAsia" w:ascii="宋体" w:hAnsi="宋体"/>
                <w:bCs/>
                <w:kern w:val="2"/>
                <w:highlight w:val="none"/>
                <w:lang w:val="en-US" w:eastAsia="zh-CN"/>
              </w:rPr>
              <w:t>6</w:t>
            </w:r>
            <w:r>
              <w:rPr>
                <w:rFonts w:hint="eastAsia" w:ascii="宋体" w:hAnsi="宋体"/>
                <w:bCs/>
                <w:kern w:val="2"/>
                <w:highlight w:val="none"/>
              </w:rPr>
              <w:t>0</w:t>
            </w:r>
            <w:r>
              <w:rPr>
                <w:rFonts w:ascii="宋体" w:hAnsi="宋体"/>
                <w:kern w:val="2"/>
                <w:highlight w:val="none"/>
              </w:rPr>
              <w:t>分</w:t>
            </w:r>
          </w:p>
        </w:tc>
        <w:tc>
          <w:tcPr>
            <w:tcW w:w="6632" w:type="dxa"/>
            <w:gridSpan w:val="2"/>
            <w:vAlign w:val="center"/>
          </w:tcPr>
          <w:p>
            <w:pPr>
              <w:widowControl w:val="0"/>
              <w:spacing w:before="0" w:after="0" w:afterAutospacing="0" w:line="276" w:lineRule="auto"/>
              <w:ind w:left="0" w:right="0" w:firstLine="0"/>
              <w:rPr>
                <w:rFonts w:ascii="宋体" w:hAnsi="宋体"/>
                <w:kern w:val="2"/>
                <w:highlight w:val="none"/>
              </w:rPr>
            </w:pPr>
          </w:p>
        </w:tc>
      </w:tr>
      <w:bookmarkEnd w:id="2504"/>
    </w:tbl>
    <w:p>
      <w:pPr>
        <w:spacing w:before="0"/>
        <w:ind w:right="0" w:firstLine="0"/>
        <w:jc w:val="center"/>
        <w:rPr>
          <w:highlight w:val="none"/>
        </w:rPr>
        <w:sectPr>
          <w:pgSz w:w="11905" w:h="16838"/>
          <w:pgMar w:top="1440" w:right="1803" w:bottom="1440" w:left="1803" w:header="850" w:footer="992" w:gutter="0"/>
          <w:pgNumType w:fmt="decimal"/>
          <w:cols w:space="0" w:num="1"/>
          <w:rtlGutter w:val="0"/>
          <w:docGrid w:type="lines" w:linePitch="319" w:charSpace="0"/>
        </w:sectPr>
      </w:pPr>
    </w:p>
    <w:p>
      <w:pPr>
        <w:pStyle w:val="4"/>
        <w:rPr>
          <w:sz w:val="21"/>
          <w:szCs w:val="21"/>
          <w:highlight w:val="none"/>
        </w:rPr>
      </w:pPr>
      <w:bookmarkStart w:id="2505" w:name="_Toc13233"/>
      <w:bookmarkStart w:id="2506" w:name="_Toc1350_WPSOffice_Level1"/>
      <w:bookmarkStart w:id="2507" w:name="_Toc47864326"/>
      <w:bookmarkStart w:id="2508" w:name="_Toc21121"/>
      <w:bookmarkStart w:id="2509" w:name="_Toc22743_WPSOffice_Level1"/>
      <w:bookmarkStart w:id="2510" w:name="_Toc18909_WPSOffice_Level1"/>
      <w:bookmarkStart w:id="2511" w:name="_Toc21963"/>
      <w:bookmarkStart w:id="2512" w:name="_Toc1073_WPSOffice_Level1"/>
      <w:bookmarkStart w:id="2513" w:name="_Toc15387"/>
      <w:bookmarkStart w:id="2514" w:name="_Toc21285"/>
      <w:bookmarkStart w:id="2515" w:name="_Toc14106_WPSOffice_Level1"/>
      <w:bookmarkStart w:id="2516" w:name="_Toc8121"/>
      <w:bookmarkStart w:id="2517" w:name="_Toc7817"/>
      <w:bookmarkStart w:id="2518" w:name="_Toc24780"/>
      <w:bookmarkStart w:id="2519" w:name="_Toc18651"/>
      <w:r>
        <w:rPr>
          <w:rFonts w:hint="eastAsia"/>
          <w:sz w:val="21"/>
          <w:szCs w:val="21"/>
          <w:highlight w:val="none"/>
        </w:rPr>
        <w:t xml:space="preserve">附表四 </w:t>
      </w:r>
      <w:r>
        <w:rPr>
          <w:sz w:val="21"/>
          <w:szCs w:val="21"/>
          <w:highlight w:val="none"/>
        </w:rPr>
        <w:t xml:space="preserve"> </w:t>
      </w:r>
      <w:r>
        <w:rPr>
          <w:rFonts w:hint="eastAsia"/>
          <w:sz w:val="21"/>
          <w:szCs w:val="21"/>
          <w:highlight w:val="none"/>
        </w:rPr>
        <w:t>比选报价评分表</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widowControl w:val="0"/>
        <w:spacing w:before="0" w:after="0" w:afterAutospacing="0"/>
        <w:ind w:left="0" w:right="0" w:firstLine="0"/>
        <w:jc w:val="center"/>
        <w:rPr>
          <w:rFonts w:ascii="宋体" w:hAnsi="宋体"/>
          <w:kern w:val="2"/>
          <w:highlight w:val="none"/>
        </w:rPr>
      </w:pPr>
      <w:bookmarkStart w:id="2520" w:name="_Toc15921_WPSOffice_Level2"/>
      <w:bookmarkStart w:id="2521" w:name="_Toc28768_WPSOffice_Level2"/>
      <w:bookmarkStart w:id="2522" w:name="_Toc28111_WPSOffice_Level2"/>
      <w:bookmarkStart w:id="2523" w:name="_Toc16906_WPSOffice_Level2"/>
      <w:r>
        <w:rPr>
          <w:rFonts w:hint="eastAsia" w:ascii="Calibri" w:hAnsi="宋体"/>
          <w:b/>
          <w:kern w:val="2"/>
          <w:sz w:val="24"/>
          <w:szCs w:val="24"/>
          <w:highlight w:val="none"/>
        </w:rPr>
        <w:t>比选报价评分表</w:t>
      </w:r>
      <w:bookmarkEnd w:id="2520"/>
      <w:bookmarkEnd w:id="2521"/>
      <w:bookmarkEnd w:id="2522"/>
      <w:bookmarkEnd w:id="2523"/>
    </w:p>
    <w:tbl>
      <w:tblPr>
        <w:tblStyle w:val="31"/>
        <w:tblpPr w:leftFromText="180" w:rightFromText="180" w:vertAnchor="page" w:horzAnchor="margin" w:tblpXSpec="center" w:tblpY="3045"/>
        <w:tblW w:w="960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4"/>
        <w:gridCol w:w="3032"/>
        <w:gridCol w:w="2977"/>
        <w:gridCol w:w="112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blHeader/>
          <w:jc w:val="center"/>
        </w:trPr>
        <w:tc>
          <w:tcPr>
            <w:tcW w:w="650" w:type="dxa"/>
            <w:vAlign w:val="center"/>
          </w:tcPr>
          <w:p>
            <w:pPr>
              <w:widowControl w:val="0"/>
              <w:spacing w:before="0" w:after="0" w:afterAutospacing="0" w:line="240" w:lineRule="auto"/>
              <w:ind w:left="0" w:right="0" w:firstLine="0"/>
              <w:jc w:val="center"/>
              <w:rPr>
                <w:rFonts w:ascii="宋体" w:hAnsi="宋体"/>
                <w:b/>
                <w:kern w:val="2"/>
                <w:highlight w:val="none"/>
              </w:rPr>
            </w:pPr>
            <w:r>
              <w:rPr>
                <w:rFonts w:ascii="宋体" w:hAnsi="宋体"/>
                <w:b/>
                <w:kern w:val="2"/>
                <w:highlight w:val="none"/>
              </w:rPr>
              <w:t>序号</w:t>
            </w:r>
          </w:p>
        </w:tc>
        <w:tc>
          <w:tcPr>
            <w:tcW w:w="1104" w:type="dxa"/>
            <w:vAlign w:val="center"/>
          </w:tcPr>
          <w:p>
            <w:pPr>
              <w:widowControl w:val="0"/>
              <w:spacing w:before="0" w:after="0" w:afterAutospacing="0" w:line="240" w:lineRule="auto"/>
              <w:ind w:left="0" w:right="0" w:firstLine="0"/>
              <w:jc w:val="center"/>
              <w:rPr>
                <w:rFonts w:ascii="宋体" w:hAnsi="宋体"/>
                <w:b/>
                <w:kern w:val="2"/>
                <w:highlight w:val="none"/>
              </w:rPr>
            </w:pPr>
            <w:r>
              <w:rPr>
                <w:rFonts w:ascii="宋体" w:hAnsi="宋体"/>
                <w:b/>
                <w:kern w:val="2"/>
                <w:highlight w:val="none"/>
              </w:rPr>
              <w:t>项目</w:t>
            </w:r>
          </w:p>
        </w:tc>
        <w:tc>
          <w:tcPr>
            <w:tcW w:w="3032" w:type="dxa"/>
            <w:vAlign w:val="center"/>
          </w:tcPr>
          <w:p>
            <w:pPr>
              <w:widowControl w:val="0"/>
              <w:spacing w:before="0" w:after="0" w:afterAutospacing="0" w:line="240" w:lineRule="auto"/>
              <w:ind w:left="0" w:right="0" w:firstLine="0"/>
              <w:jc w:val="center"/>
              <w:rPr>
                <w:rFonts w:ascii="宋体" w:hAnsi="宋体"/>
                <w:b/>
                <w:kern w:val="2"/>
                <w:highlight w:val="none"/>
              </w:rPr>
            </w:pPr>
            <w:r>
              <w:rPr>
                <w:rFonts w:hint="eastAsia" w:ascii="宋体" w:hAnsi="宋体"/>
                <w:b/>
                <w:kern w:val="2"/>
                <w:highlight w:val="none"/>
              </w:rPr>
              <w:t>基准价</w:t>
            </w:r>
          </w:p>
        </w:tc>
        <w:tc>
          <w:tcPr>
            <w:tcW w:w="2977" w:type="dxa"/>
            <w:vAlign w:val="center"/>
          </w:tcPr>
          <w:p>
            <w:pPr>
              <w:widowControl w:val="0"/>
              <w:spacing w:before="0" w:after="0" w:afterAutospacing="0" w:line="240" w:lineRule="auto"/>
              <w:ind w:left="0" w:right="0" w:firstLine="0"/>
              <w:jc w:val="center"/>
              <w:rPr>
                <w:rFonts w:ascii="宋体" w:hAnsi="宋体"/>
                <w:b/>
                <w:kern w:val="2"/>
                <w:highlight w:val="none"/>
              </w:rPr>
            </w:pPr>
            <w:r>
              <w:rPr>
                <w:rFonts w:ascii="宋体" w:hAnsi="宋体"/>
                <w:b/>
                <w:kern w:val="2"/>
                <w:highlight w:val="none"/>
              </w:rPr>
              <w:t>评分标准</w:t>
            </w:r>
          </w:p>
        </w:tc>
        <w:tc>
          <w:tcPr>
            <w:tcW w:w="1129" w:type="dxa"/>
            <w:vAlign w:val="center"/>
          </w:tcPr>
          <w:p>
            <w:pPr>
              <w:widowControl w:val="0"/>
              <w:spacing w:before="0" w:after="0" w:afterAutospacing="0" w:line="240" w:lineRule="auto"/>
              <w:ind w:left="0" w:right="0" w:firstLine="0"/>
              <w:jc w:val="center"/>
              <w:rPr>
                <w:rFonts w:ascii="宋体" w:hAnsi="宋体"/>
                <w:b/>
                <w:kern w:val="2"/>
                <w:highlight w:val="none"/>
              </w:rPr>
            </w:pPr>
            <w:r>
              <w:rPr>
                <w:rFonts w:ascii="宋体" w:hAnsi="宋体"/>
                <w:b/>
                <w:kern w:val="2"/>
                <w:highlight w:val="none"/>
              </w:rPr>
              <w:t>分值</w:t>
            </w:r>
          </w:p>
        </w:tc>
        <w:tc>
          <w:tcPr>
            <w:tcW w:w="708" w:type="dxa"/>
            <w:vAlign w:val="center"/>
          </w:tcPr>
          <w:p>
            <w:pPr>
              <w:widowControl w:val="0"/>
              <w:spacing w:before="0" w:after="0" w:afterAutospacing="0" w:line="240" w:lineRule="auto"/>
              <w:ind w:left="0" w:right="0" w:firstLine="0"/>
              <w:jc w:val="center"/>
              <w:rPr>
                <w:rFonts w:ascii="宋体" w:hAnsi="宋体"/>
                <w:b/>
                <w:kern w:val="2"/>
                <w:highlight w:val="none"/>
              </w:rPr>
            </w:pPr>
            <w:r>
              <w:rPr>
                <w:rFonts w:ascii="宋体" w:hAnsi="宋体"/>
                <w:b/>
                <w:kern w:val="2"/>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4" w:hRule="exact"/>
          <w:jc w:val="center"/>
        </w:trPr>
        <w:tc>
          <w:tcPr>
            <w:tcW w:w="650" w:type="dxa"/>
            <w:vAlign w:val="center"/>
          </w:tcPr>
          <w:p>
            <w:pPr>
              <w:widowControl w:val="0"/>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rPr>
              <w:t>1</w:t>
            </w:r>
          </w:p>
        </w:tc>
        <w:tc>
          <w:tcPr>
            <w:tcW w:w="1104" w:type="dxa"/>
            <w:vAlign w:val="center"/>
          </w:tcPr>
          <w:p>
            <w:pPr>
              <w:widowControl w:val="0"/>
              <w:spacing w:before="0" w:after="0" w:afterAutospacing="0"/>
              <w:ind w:left="0" w:right="0" w:firstLine="0"/>
              <w:jc w:val="left"/>
              <w:rPr>
                <w:rFonts w:ascii="宋体" w:hAnsi="宋体"/>
                <w:kern w:val="2"/>
                <w:highlight w:val="none"/>
              </w:rPr>
            </w:pPr>
            <w:r>
              <w:rPr>
                <w:rFonts w:hint="eastAsia" w:ascii="宋体" w:hAnsi="宋体"/>
                <w:kern w:val="2"/>
                <w:highlight w:val="none"/>
              </w:rPr>
              <w:t>比选报价</w:t>
            </w:r>
          </w:p>
        </w:tc>
        <w:tc>
          <w:tcPr>
            <w:tcW w:w="3032" w:type="dxa"/>
            <w:vAlign w:val="center"/>
          </w:tcPr>
          <w:p>
            <w:pPr>
              <w:widowControl w:val="0"/>
              <w:snapToGrid w:val="0"/>
              <w:ind w:left="0" w:firstLine="0"/>
              <w:jc w:val="left"/>
              <w:rPr>
                <w:rFonts w:hint="eastAsia" w:ascii="宋体" w:hAnsi="宋体" w:eastAsia="宋体"/>
                <w:b/>
                <w:kern w:val="2"/>
                <w:highlight w:val="none"/>
                <w:lang w:eastAsia="zh-CN"/>
              </w:rPr>
            </w:pPr>
            <w:r>
              <w:rPr>
                <w:rFonts w:hint="eastAsia" w:ascii="宋体" w:hAnsi="宋体"/>
                <w:b/>
                <w:kern w:val="2"/>
                <w:highlight w:val="none"/>
              </w:rPr>
              <w:t>进入商务文件评审的比选申请</w:t>
            </w:r>
          </w:p>
          <w:p>
            <w:pPr>
              <w:widowControl w:val="0"/>
              <w:snapToGrid w:val="0"/>
              <w:ind w:left="0" w:firstLine="0"/>
              <w:jc w:val="left"/>
              <w:rPr>
                <w:rFonts w:ascii="宋体" w:hAnsi="宋体"/>
                <w:b/>
                <w:kern w:val="2"/>
                <w:highlight w:val="none"/>
              </w:rPr>
            </w:pPr>
            <w:r>
              <w:rPr>
                <w:rFonts w:hint="eastAsia" w:ascii="宋体" w:hAnsi="宋体"/>
                <w:b/>
                <w:kern w:val="2"/>
                <w:highlight w:val="none"/>
              </w:rPr>
              <w:t>人才能进行价格分评审。</w:t>
            </w:r>
          </w:p>
          <w:p>
            <w:pPr>
              <w:widowControl w:val="0"/>
              <w:spacing w:before="0" w:after="0" w:afterAutospacing="0"/>
              <w:ind w:left="0" w:right="0" w:firstLine="420" w:firstLineChars="200"/>
              <w:jc w:val="left"/>
              <w:rPr>
                <w:rFonts w:ascii="宋体" w:hAnsi="宋体"/>
                <w:kern w:val="2"/>
                <w:highlight w:val="none"/>
              </w:rPr>
            </w:pPr>
            <w:r>
              <w:rPr>
                <w:rFonts w:hint="eastAsia" w:ascii="宋体" w:hAnsi="宋体" w:cs="宋体"/>
                <w:kern w:val="2"/>
                <w:szCs w:val="24"/>
                <w:highlight w:val="none"/>
              </w:rPr>
              <w:t>以</w:t>
            </w:r>
            <w:r>
              <w:rPr>
                <w:rFonts w:hint="eastAsia" w:ascii="宋体" w:hAnsi="宋体"/>
                <w:kern w:val="2"/>
                <w:highlight w:val="none"/>
              </w:rPr>
              <w:t>进入商务文件评审、</w:t>
            </w:r>
            <w:r>
              <w:rPr>
                <w:rFonts w:hint="eastAsia" w:ascii="宋体" w:hAnsi="宋体" w:cs="宋体"/>
                <w:kern w:val="2"/>
                <w:szCs w:val="24"/>
                <w:highlight w:val="none"/>
              </w:rPr>
              <w:t>满足比选文件要求且评比报价最低的报价为评比基准价。</w:t>
            </w:r>
          </w:p>
        </w:tc>
        <w:tc>
          <w:tcPr>
            <w:tcW w:w="2977" w:type="dxa"/>
            <w:vAlign w:val="center"/>
          </w:tcPr>
          <w:p>
            <w:pPr>
              <w:widowControl w:val="0"/>
              <w:spacing w:before="0" w:after="0" w:afterAutospacing="0"/>
              <w:ind w:left="0" w:right="0" w:firstLine="420" w:firstLineChars="200"/>
              <w:jc w:val="left"/>
              <w:rPr>
                <w:rFonts w:ascii="宋体" w:hAnsi="宋体"/>
                <w:kern w:val="2"/>
                <w:highlight w:val="none"/>
              </w:rPr>
            </w:pPr>
            <w:r>
              <w:rPr>
                <w:rFonts w:hint="eastAsia" w:ascii="宋体" w:hAnsi="宋体" w:cs="宋体"/>
                <w:kern w:val="2"/>
                <w:szCs w:val="24"/>
                <w:highlight w:val="none"/>
              </w:rPr>
              <w:t>等于评比基准价的价格分为满分</w:t>
            </w:r>
            <w:r>
              <w:rPr>
                <w:rFonts w:hint="eastAsia" w:ascii="宋体" w:hAnsi="宋体" w:cs="宋体"/>
                <w:kern w:val="2"/>
                <w:szCs w:val="24"/>
                <w:highlight w:val="none"/>
                <w:lang w:val="en-US" w:eastAsia="zh-CN"/>
              </w:rPr>
              <w:t>40</w:t>
            </w:r>
            <w:r>
              <w:rPr>
                <w:rFonts w:hint="eastAsia" w:ascii="宋体" w:hAnsi="宋体" w:cs="宋体"/>
                <w:kern w:val="2"/>
                <w:szCs w:val="24"/>
                <w:highlight w:val="none"/>
              </w:rPr>
              <w:t>分。其他</w:t>
            </w:r>
            <w:r>
              <w:rPr>
                <w:rFonts w:hint="eastAsia" w:ascii="宋体" w:hAnsi="宋体"/>
                <w:kern w:val="2"/>
                <w:highlight w:val="none"/>
              </w:rPr>
              <w:t>进入商务文件评审</w:t>
            </w:r>
            <w:r>
              <w:rPr>
                <w:rFonts w:hint="eastAsia" w:ascii="宋体" w:hAnsi="宋体" w:cs="宋体"/>
                <w:kern w:val="2"/>
                <w:szCs w:val="24"/>
                <w:highlight w:val="none"/>
              </w:rPr>
              <w:t>比选人的价格分统一按照下列公式计算：</w:t>
            </w:r>
            <w:r>
              <w:rPr>
                <w:rFonts w:hint="eastAsia" w:ascii="Calibri" w:hAnsi="宋体"/>
                <w:kern w:val="2"/>
                <w:szCs w:val="24"/>
                <w:highlight w:val="none"/>
              </w:rPr>
              <w:t>某比选人价格分＝评比基准价/</w:t>
            </w:r>
            <w:r>
              <w:rPr>
                <w:rFonts w:hint="eastAsia" w:ascii="宋体" w:hAnsi="宋体"/>
                <w:kern w:val="2"/>
                <w:highlight w:val="none"/>
              </w:rPr>
              <w:t>进入商务文件评审的</w:t>
            </w:r>
            <w:r>
              <w:rPr>
                <w:rFonts w:hint="eastAsia" w:ascii="Calibri" w:hAnsi="宋体"/>
                <w:kern w:val="2"/>
                <w:szCs w:val="24"/>
                <w:highlight w:val="none"/>
              </w:rPr>
              <w:t>某比选人评比报价×</w:t>
            </w:r>
            <w:r>
              <w:rPr>
                <w:rFonts w:hint="eastAsia" w:ascii="Calibri" w:hAnsi="宋体"/>
                <w:kern w:val="2"/>
                <w:szCs w:val="24"/>
                <w:highlight w:val="none"/>
                <w:lang w:val="en-US" w:eastAsia="zh-CN"/>
              </w:rPr>
              <w:t>40</w:t>
            </w:r>
            <w:r>
              <w:rPr>
                <w:rFonts w:hint="eastAsia" w:ascii="Calibri" w:hAnsi="宋体"/>
                <w:kern w:val="2"/>
                <w:szCs w:val="24"/>
                <w:highlight w:val="none"/>
              </w:rPr>
              <w:t>分。</w:t>
            </w:r>
          </w:p>
        </w:tc>
        <w:tc>
          <w:tcPr>
            <w:tcW w:w="1129" w:type="dxa"/>
            <w:vAlign w:val="center"/>
          </w:tcPr>
          <w:p>
            <w:pPr>
              <w:widowControl w:val="0"/>
              <w:spacing w:before="0" w:after="0" w:afterAutospacing="0"/>
              <w:ind w:left="0" w:right="0" w:firstLine="0"/>
              <w:rPr>
                <w:rFonts w:ascii="宋体" w:hAnsi="宋体"/>
                <w:kern w:val="2"/>
                <w:highlight w:val="none"/>
              </w:rPr>
            </w:pPr>
            <w:r>
              <w:rPr>
                <w:rFonts w:ascii="宋体" w:hAnsi="宋体"/>
                <w:kern w:val="2"/>
                <w:highlight w:val="none"/>
              </w:rPr>
              <w:t>0</w:t>
            </w:r>
            <w:r>
              <w:rPr>
                <w:rFonts w:hint="eastAsia" w:ascii="宋体" w:hAnsi="宋体"/>
                <w:kern w:val="2"/>
                <w:highlight w:val="none"/>
              </w:rPr>
              <w:t>≤</w:t>
            </w:r>
            <w:r>
              <w:rPr>
                <w:rFonts w:ascii="宋体" w:hAnsi="宋体"/>
                <w:kern w:val="2"/>
                <w:highlight w:val="none"/>
              </w:rPr>
              <w:t>m</w:t>
            </w:r>
            <w:r>
              <w:rPr>
                <w:rFonts w:hint="eastAsia" w:ascii="宋体" w:hAnsi="宋体"/>
                <w:kern w:val="2"/>
                <w:highlight w:val="none"/>
              </w:rPr>
              <w:t>≤</w:t>
            </w:r>
            <w:r>
              <w:rPr>
                <w:rFonts w:hint="eastAsia" w:ascii="宋体" w:hAnsi="宋体"/>
                <w:kern w:val="2"/>
                <w:highlight w:val="none"/>
                <w:lang w:val="en-US" w:eastAsia="zh-CN"/>
              </w:rPr>
              <w:t>4</w:t>
            </w:r>
            <w:r>
              <w:rPr>
                <w:rFonts w:hint="eastAsia" w:ascii="宋体" w:hAnsi="宋体"/>
                <w:kern w:val="2"/>
                <w:highlight w:val="none"/>
              </w:rPr>
              <w:t>0</w:t>
            </w:r>
          </w:p>
        </w:tc>
        <w:tc>
          <w:tcPr>
            <w:tcW w:w="708" w:type="dxa"/>
            <w:vAlign w:val="center"/>
          </w:tcPr>
          <w:p>
            <w:pPr>
              <w:widowControl w:val="0"/>
              <w:spacing w:before="0" w:after="0" w:afterAutospacing="0"/>
              <w:ind w:left="0" w:right="0" w:firstLine="420" w:firstLineChars="200"/>
              <w:rPr>
                <w:rFonts w:ascii="宋体" w:hAnsi="宋体"/>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exact"/>
          <w:jc w:val="center"/>
        </w:trPr>
        <w:tc>
          <w:tcPr>
            <w:tcW w:w="1754" w:type="dxa"/>
            <w:gridSpan w:val="2"/>
          </w:tcPr>
          <w:p>
            <w:pPr>
              <w:widowControl w:val="0"/>
              <w:spacing w:before="0" w:after="0" w:afterAutospacing="0"/>
              <w:ind w:left="0" w:right="0" w:firstLine="420" w:firstLineChars="200"/>
              <w:rPr>
                <w:rFonts w:ascii="宋体" w:hAnsi="宋体"/>
                <w:kern w:val="2"/>
                <w:highlight w:val="none"/>
              </w:rPr>
            </w:pPr>
          </w:p>
        </w:tc>
        <w:tc>
          <w:tcPr>
            <w:tcW w:w="3032" w:type="dxa"/>
          </w:tcPr>
          <w:p>
            <w:pPr>
              <w:widowControl w:val="0"/>
              <w:spacing w:before="0" w:after="0" w:afterAutospacing="0"/>
              <w:ind w:left="0" w:right="0" w:firstLine="420" w:firstLineChars="200"/>
              <w:rPr>
                <w:rFonts w:ascii="宋体" w:hAnsi="宋体"/>
                <w:kern w:val="2"/>
                <w:highlight w:val="none"/>
              </w:rPr>
            </w:pPr>
          </w:p>
        </w:tc>
        <w:tc>
          <w:tcPr>
            <w:tcW w:w="2977" w:type="dxa"/>
            <w:vAlign w:val="center"/>
          </w:tcPr>
          <w:p>
            <w:pPr>
              <w:widowControl w:val="0"/>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lang w:val="en-US" w:eastAsia="zh-CN"/>
              </w:rPr>
              <w:t>4</w:t>
            </w:r>
            <w:r>
              <w:rPr>
                <w:rFonts w:hint="eastAsia" w:ascii="宋体" w:hAnsi="宋体"/>
                <w:kern w:val="2"/>
                <w:highlight w:val="none"/>
              </w:rPr>
              <w:t>0</w:t>
            </w:r>
          </w:p>
        </w:tc>
        <w:tc>
          <w:tcPr>
            <w:tcW w:w="1129" w:type="dxa"/>
            <w:vAlign w:val="center"/>
          </w:tcPr>
          <w:p>
            <w:pPr>
              <w:widowControl w:val="0"/>
              <w:spacing w:before="0" w:after="0" w:afterAutospacing="0"/>
              <w:ind w:left="0" w:right="0" w:firstLine="420" w:firstLineChars="200"/>
              <w:jc w:val="center"/>
              <w:rPr>
                <w:rFonts w:ascii="宋体" w:hAnsi="宋体"/>
                <w:kern w:val="2"/>
                <w:highlight w:val="none"/>
              </w:rPr>
            </w:pPr>
          </w:p>
        </w:tc>
        <w:tc>
          <w:tcPr>
            <w:tcW w:w="708" w:type="dxa"/>
          </w:tcPr>
          <w:p>
            <w:pPr>
              <w:widowControl w:val="0"/>
              <w:spacing w:before="0" w:after="0" w:afterAutospacing="0"/>
              <w:ind w:left="0" w:right="0" w:firstLine="420" w:firstLineChars="200"/>
              <w:rPr>
                <w:rFonts w:ascii="宋体" w:hAnsi="宋体"/>
                <w:kern w:val="2"/>
                <w:highlight w:val="none"/>
              </w:rPr>
            </w:pPr>
          </w:p>
        </w:tc>
      </w:tr>
    </w:tbl>
    <w:p>
      <w:pPr>
        <w:widowControl w:val="0"/>
        <w:spacing w:before="0" w:after="0" w:afterAutospacing="0"/>
        <w:ind w:left="869" w:leftChars="414" w:right="0" w:firstLine="2433" w:firstLineChars="1159"/>
        <w:rPr>
          <w:rFonts w:ascii="宋体" w:hAnsi="宋体"/>
          <w:kern w:val="2"/>
          <w:highlight w:val="none"/>
        </w:rPr>
      </w:pPr>
    </w:p>
    <w:p>
      <w:pPr>
        <w:widowControl w:val="0"/>
        <w:spacing w:before="0" w:after="0" w:afterAutospacing="0"/>
        <w:ind w:left="0" w:right="0" w:firstLine="0"/>
        <w:rPr>
          <w:rFonts w:hint="eastAsia" w:ascii="Calibri" w:hAnsi="宋体"/>
          <w:bCs/>
          <w:kern w:val="2"/>
          <w:highlight w:val="none"/>
        </w:rPr>
        <w:sectPr>
          <w:headerReference r:id="rId14" w:type="default"/>
          <w:footerReference r:id="rId15" w:type="default"/>
          <w:pgSz w:w="11905" w:h="16838"/>
          <w:pgMar w:top="1440" w:right="1803" w:bottom="1440" w:left="1803" w:header="850" w:footer="992" w:gutter="0"/>
          <w:pgNumType w:fmt="decimal"/>
          <w:cols w:space="0" w:num="1"/>
          <w:rtlGutter w:val="0"/>
          <w:docGrid w:type="lines" w:linePitch="319" w:charSpace="0"/>
        </w:sectPr>
      </w:pPr>
      <w:r>
        <w:rPr>
          <w:rFonts w:hint="eastAsia" w:ascii="Calibri" w:hAnsi="宋体"/>
          <w:bCs/>
          <w:kern w:val="2"/>
          <w:highlight w:val="none"/>
        </w:rPr>
        <w:t>注：比选报价如有修正，需填写附表《比选报价修正表》并由比选人代表签字确认。</w:t>
      </w:r>
    </w:p>
    <w:p>
      <w:pPr>
        <w:widowControl w:val="0"/>
        <w:spacing w:before="0" w:after="0" w:afterAutospacing="0"/>
        <w:ind w:left="0" w:right="0" w:firstLine="0"/>
        <w:rPr>
          <w:rFonts w:ascii="Calibri" w:hAnsi="宋体"/>
          <w:bCs/>
          <w:kern w:val="2"/>
          <w:highlight w:val="none"/>
        </w:rPr>
      </w:pPr>
    </w:p>
    <w:p>
      <w:pPr>
        <w:pStyle w:val="4"/>
        <w:ind w:left="0" w:firstLine="0"/>
        <w:rPr>
          <w:sz w:val="21"/>
          <w:szCs w:val="21"/>
          <w:highlight w:val="none"/>
        </w:rPr>
      </w:pPr>
      <w:bookmarkStart w:id="2524" w:name="_Toc26936_WPSOffice_Level1"/>
      <w:bookmarkStart w:id="2525" w:name="_Toc22610"/>
      <w:bookmarkStart w:id="2526" w:name="_Toc18786"/>
      <w:bookmarkStart w:id="2527" w:name="_Toc11946_WPSOffice_Level1"/>
      <w:bookmarkStart w:id="2528" w:name="_Toc19647_WPSOffice_Level1"/>
      <w:bookmarkStart w:id="2529" w:name="_Toc3448_WPSOffice_Level1"/>
      <w:bookmarkStart w:id="2530" w:name="_Toc27484"/>
      <w:bookmarkStart w:id="2531" w:name="_Toc9598"/>
      <w:bookmarkStart w:id="2532" w:name="_Toc474847277"/>
      <w:bookmarkStart w:id="2533" w:name="_Toc47864327"/>
      <w:bookmarkStart w:id="2534" w:name="_Toc18549"/>
      <w:bookmarkStart w:id="2535" w:name="_Toc5131"/>
      <w:bookmarkStart w:id="2536" w:name="_Toc7170_WPSOffice_Level1"/>
      <w:bookmarkStart w:id="2537" w:name="_Toc20952"/>
      <w:bookmarkStart w:id="2538" w:name="_Toc19293"/>
      <w:bookmarkStart w:id="2539" w:name="_Toc28325"/>
      <w:r>
        <w:rPr>
          <w:sz w:val="21"/>
          <w:szCs w:val="21"/>
          <w:highlight w:val="none"/>
        </w:rPr>
        <w:t>附表</w:t>
      </w:r>
      <w:r>
        <w:rPr>
          <w:rFonts w:hint="eastAsia"/>
          <w:sz w:val="21"/>
          <w:szCs w:val="21"/>
          <w:highlight w:val="none"/>
        </w:rPr>
        <w:t xml:space="preserve">五 </w:t>
      </w:r>
      <w:r>
        <w:rPr>
          <w:sz w:val="21"/>
          <w:szCs w:val="21"/>
          <w:highlight w:val="none"/>
        </w:rPr>
        <w:t xml:space="preserve"> 综合</w:t>
      </w:r>
      <w:r>
        <w:rPr>
          <w:rFonts w:hint="eastAsia"/>
          <w:sz w:val="21"/>
          <w:szCs w:val="21"/>
          <w:highlight w:val="none"/>
        </w:rPr>
        <w:t>评审</w:t>
      </w:r>
      <w:r>
        <w:rPr>
          <w:sz w:val="21"/>
          <w:szCs w:val="21"/>
          <w:highlight w:val="none"/>
        </w:rPr>
        <w:t>得分表</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jc w:val="center"/>
        <w:rPr>
          <w:b/>
          <w:bCs/>
          <w:sz w:val="24"/>
          <w:szCs w:val="24"/>
          <w:highlight w:val="none"/>
        </w:rPr>
      </w:pPr>
      <w:bookmarkStart w:id="2540" w:name="_Toc9883_WPSOffice_Level2"/>
      <w:bookmarkStart w:id="2541" w:name="_Toc14079_WPSOffice_Level2"/>
      <w:bookmarkStart w:id="2542" w:name="_Toc8492_WPSOffice_Level2"/>
      <w:bookmarkStart w:id="2543" w:name="_Toc21817_WPSOffice_Level2"/>
      <w:r>
        <w:rPr>
          <w:b/>
          <w:bCs/>
          <w:sz w:val="24"/>
          <w:szCs w:val="24"/>
          <w:highlight w:val="none"/>
        </w:rPr>
        <w:t>综合</w:t>
      </w:r>
      <w:r>
        <w:rPr>
          <w:rFonts w:hint="eastAsia"/>
          <w:b/>
          <w:bCs/>
          <w:sz w:val="24"/>
          <w:szCs w:val="24"/>
          <w:highlight w:val="none"/>
        </w:rPr>
        <w:t>评审</w:t>
      </w:r>
      <w:r>
        <w:rPr>
          <w:b/>
          <w:bCs/>
          <w:sz w:val="24"/>
          <w:szCs w:val="24"/>
          <w:highlight w:val="none"/>
        </w:rPr>
        <w:t>得分表</w:t>
      </w:r>
      <w:bookmarkEnd w:id="2540"/>
      <w:bookmarkEnd w:id="2541"/>
      <w:bookmarkEnd w:id="2542"/>
      <w:bookmarkEnd w:id="2543"/>
    </w:p>
    <w:tbl>
      <w:tblPr>
        <w:tblStyle w:val="31"/>
        <w:tblW w:w="85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4"/>
        <w:gridCol w:w="2607"/>
        <w:gridCol w:w="2016"/>
        <w:gridCol w:w="2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highlight w:val="none"/>
              </w:rPr>
            </w:pPr>
            <w:r>
              <w:rPr>
                <w:rFonts w:ascii="宋体" w:hAnsi="宋体"/>
                <w:kern w:val="2"/>
                <w:highlight w:val="none"/>
              </w:rPr>
              <w:t>序号</w:t>
            </w:r>
          </w:p>
        </w:tc>
        <w:tc>
          <w:tcPr>
            <w:tcW w:w="2607" w:type="dxa"/>
            <w:vAlign w:val="center"/>
          </w:tcPr>
          <w:p>
            <w:pPr>
              <w:widowControl w:val="0"/>
              <w:spacing w:before="0" w:after="0" w:afterAutospacing="0" w:line="240" w:lineRule="auto"/>
              <w:ind w:left="0" w:right="0" w:firstLine="0"/>
              <w:jc w:val="center"/>
              <w:rPr>
                <w:rFonts w:ascii="宋体" w:hAnsi="宋体"/>
                <w:kern w:val="2"/>
                <w:highlight w:val="none"/>
              </w:rPr>
            </w:pPr>
            <w:r>
              <w:rPr>
                <w:rFonts w:ascii="宋体" w:hAnsi="宋体"/>
                <w:kern w:val="2"/>
                <w:highlight w:val="none"/>
              </w:rPr>
              <w:t>项　目</w:t>
            </w:r>
          </w:p>
        </w:tc>
        <w:tc>
          <w:tcPr>
            <w:tcW w:w="2016" w:type="dxa"/>
            <w:vAlign w:val="center"/>
          </w:tcPr>
          <w:p>
            <w:pPr>
              <w:widowControl w:val="0"/>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rPr>
              <w:t>满分</w:t>
            </w:r>
          </w:p>
        </w:tc>
        <w:tc>
          <w:tcPr>
            <w:tcW w:w="2916" w:type="dxa"/>
            <w:vAlign w:val="center"/>
          </w:tcPr>
          <w:p>
            <w:pPr>
              <w:widowControl w:val="0"/>
              <w:spacing w:before="0" w:after="0" w:afterAutospacing="0" w:line="240" w:lineRule="auto"/>
              <w:ind w:left="0" w:right="0" w:firstLine="0"/>
              <w:jc w:val="center"/>
              <w:rPr>
                <w:rFonts w:ascii="宋体" w:hAnsi="宋体"/>
                <w:kern w:val="2"/>
                <w:highlight w:val="none"/>
              </w:rPr>
            </w:pPr>
            <w:r>
              <w:rPr>
                <w:rFonts w:ascii="宋体" w:hAnsi="宋体"/>
                <w:kern w:val="2"/>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rPr>
              <w:t>1</w:t>
            </w:r>
          </w:p>
        </w:tc>
        <w:tc>
          <w:tcPr>
            <w:tcW w:w="2607" w:type="dxa"/>
            <w:vAlign w:val="center"/>
          </w:tcPr>
          <w:p>
            <w:pPr>
              <w:widowControl w:val="0"/>
              <w:spacing w:before="0" w:after="0" w:afterAutospacing="0" w:line="240" w:lineRule="auto"/>
              <w:ind w:left="0" w:right="0" w:firstLine="0"/>
              <w:jc w:val="center"/>
              <w:rPr>
                <w:rFonts w:ascii="宋体" w:hAnsi="宋体"/>
                <w:kern w:val="2"/>
                <w:highlight w:val="none"/>
              </w:rPr>
            </w:pPr>
            <w:r>
              <w:rPr>
                <w:rFonts w:ascii="宋体" w:hAnsi="宋体"/>
                <w:kern w:val="2"/>
                <w:highlight w:val="none"/>
              </w:rPr>
              <w:t>技术</w:t>
            </w:r>
            <w:r>
              <w:rPr>
                <w:rFonts w:hint="eastAsia" w:ascii="宋体" w:hAnsi="宋体"/>
                <w:kern w:val="2"/>
                <w:highlight w:val="none"/>
              </w:rPr>
              <w:t>文件</w:t>
            </w:r>
            <w:r>
              <w:rPr>
                <w:rFonts w:ascii="宋体" w:hAnsi="宋体"/>
                <w:kern w:val="2"/>
                <w:highlight w:val="none"/>
              </w:rPr>
              <w:t>得分</w:t>
            </w:r>
          </w:p>
        </w:tc>
        <w:tc>
          <w:tcPr>
            <w:tcW w:w="2016" w:type="dxa"/>
            <w:vAlign w:val="center"/>
          </w:tcPr>
          <w:p>
            <w:pPr>
              <w:widowControl w:val="0"/>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lang w:val="en-US" w:eastAsia="zh-CN"/>
              </w:rPr>
              <w:t>6</w:t>
            </w:r>
            <w:r>
              <w:rPr>
                <w:rFonts w:hint="eastAsia" w:ascii="宋体" w:hAnsi="宋体"/>
                <w:kern w:val="2"/>
                <w:highlight w:val="none"/>
              </w:rPr>
              <w:t>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3" w:hRule="atLeast"/>
          <w:jc w:val="center"/>
        </w:trPr>
        <w:tc>
          <w:tcPr>
            <w:tcW w:w="964" w:type="dxa"/>
            <w:vAlign w:val="center"/>
          </w:tcPr>
          <w:p>
            <w:pPr>
              <w:widowControl w:val="0"/>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rPr>
              <w:t>2</w:t>
            </w:r>
          </w:p>
        </w:tc>
        <w:tc>
          <w:tcPr>
            <w:tcW w:w="2607" w:type="dxa"/>
            <w:vAlign w:val="center"/>
          </w:tcPr>
          <w:p>
            <w:pPr>
              <w:widowControl w:val="0"/>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rPr>
              <w:t>比选报价得分</w:t>
            </w:r>
          </w:p>
        </w:tc>
        <w:tc>
          <w:tcPr>
            <w:tcW w:w="2016" w:type="dxa"/>
            <w:vAlign w:val="center"/>
          </w:tcPr>
          <w:p>
            <w:pPr>
              <w:widowControl w:val="0"/>
              <w:spacing w:before="0" w:after="0" w:afterAutospacing="0" w:line="240" w:lineRule="auto"/>
              <w:ind w:left="0" w:right="0" w:firstLine="0"/>
              <w:jc w:val="center"/>
              <w:rPr>
                <w:rFonts w:ascii="宋体" w:hAnsi="宋体"/>
                <w:kern w:val="2"/>
                <w:highlight w:val="none"/>
              </w:rPr>
            </w:pPr>
            <w:r>
              <w:rPr>
                <w:rFonts w:hint="eastAsia" w:ascii="宋体" w:hAnsi="宋体"/>
                <w:kern w:val="2"/>
                <w:highlight w:val="none"/>
                <w:lang w:val="en-US" w:eastAsia="zh-CN"/>
              </w:rPr>
              <w:t>4</w:t>
            </w:r>
            <w:r>
              <w:rPr>
                <w:rFonts w:hint="eastAsia" w:ascii="宋体" w:hAnsi="宋体"/>
                <w:kern w:val="2"/>
                <w:highlight w:val="none"/>
              </w:rPr>
              <w:t>0</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3" w:hRule="atLeast"/>
          <w:jc w:val="center"/>
        </w:trPr>
        <w:tc>
          <w:tcPr>
            <w:tcW w:w="5587" w:type="dxa"/>
            <w:gridSpan w:val="3"/>
            <w:vAlign w:val="center"/>
          </w:tcPr>
          <w:p>
            <w:pPr>
              <w:widowControl w:val="0"/>
              <w:spacing w:before="0" w:after="0" w:afterAutospacing="0" w:line="240" w:lineRule="auto"/>
              <w:ind w:left="0" w:right="0" w:firstLine="0"/>
              <w:jc w:val="center"/>
              <w:rPr>
                <w:rFonts w:ascii="宋体" w:hAnsi="宋体"/>
                <w:kern w:val="2"/>
                <w:highlight w:val="none"/>
              </w:rPr>
            </w:pPr>
            <w:r>
              <w:rPr>
                <w:rFonts w:ascii="宋体" w:hAnsi="宋体"/>
                <w:kern w:val="2"/>
                <w:highlight w:val="none"/>
              </w:rPr>
              <w:t>最终得分（合计）</w:t>
            </w:r>
          </w:p>
        </w:tc>
        <w:tc>
          <w:tcPr>
            <w:tcW w:w="2916" w:type="dxa"/>
            <w:vAlign w:val="center"/>
          </w:tcPr>
          <w:p>
            <w:pPr>
              <w:widowControl w:val="0"/>
              <w:spacing w:before="0" w:after="0" w:afterAutospacing="0" w:line="240" w:lineRule="auto"/>
              <w:ind w:left="0" w:right="0" w:firstLine="420" w:firstLineChars="200"/>
              <w:jc w:val="center"/>
              <w:rPr>
                <w:rFonts w:ascii="宋体" w:hAnsi="宋体"/>
                <w:kern w:val="2"/>
                <w:highlight w:val="none"/>
              </w:rPr>
            </w:pPr>
          </w:p>
        </w:tc>
      </w:tr>
    </w:tbl>
    <w:p>
      <w:pPr>
        <w:widowControl w:val="0"/>
        <w:spacing w:before="0" w:after="0" w:afterAutospacing="0"/>
        <w:ind w:left="0" w:right="0" w:firstLine="0"/>
        <w:rPr>
          <w:rFonts w:hint="eastAsia" w:ascii="Calibri" w:hAnsi="宋体"/>
          <w:bCs/>
          <w:kern w:val="2"/>
          <w:highlight w:val="none"/>
        </w:rPr>
        <w:sectPr>
          <w:pgSz w:w="11905" w:h="16838"/>
          <w:pgMar w:top="1440" w:right="1803" w:bottom="1440" w:left="1803" w:header="850" w:footer="992" w:gutter="0"/>
          <w:pgNumType w:fmt="decimal"/>
          <w:cols w:space="0" w:num="1"/>
          <w:rtlGutter w:val="0"/>
          <w:docGrid w:type="lines" w:linePitch="319" w:charSpace="0"/>
        </w:sectPr>
      </w:pPr>
    </w:p>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Pr>
        <w:pStyle w:val="4"/>
        <w:spacing w:after="0" w:line="360" w:lineRule="auto"/>
        <w:ind w:right="-57" w:firstLine="0"/>
        <w:rPr>
          <w:b w:val="0"/>
          <w:highlight w:val="none"/>
        </w:rPr>
      </w:pPr>
      <w:bookmarkStart w:id="2544" w:name="_Toc6932"/>
      <w:bookmarkStart w:id="2545" w:name="_Toc10014"/>
      <w:bookmarkStart w:id="2546" w:name="_Toc9464"/>
      <w:bookmarkStart w:id="2547" w:name="_Toc20211"/>
      <w:bookmarkStart w:id="2548" w:name="_Toc7827_WPSOffice_Level1"/>
      <w:bookmarkStart w:id="2549" w:name="_Toc9220"/>
      <w:bookmarkStart w:id="2550" w:name="_Toc21194"/>
      <w:bookmarkStart w:id="2551" w:name="_Toc15706"/>
      <w:bookmarkStart w:id="2552" w:name="_Toc4223"/>
      <w:bookmarkStart w:id="2553" w:name="_Toc11048"/>
      <w:bookmarkStart w:id="2554" w:name="_Toc32127"/>
      <w:bookmarkStart w:id="2555" w:name="_Toc1145"/>
      <w:bookmarkStart w:id="2556" w:name="_Toc1480"/>
      <w:bookmarkStart w:id="2557" w:name="_Toc414290588"/>
      <w:bookmarkStart w:id="2558" w:name="_Toc24793"/>
      <w:bookmarkStart w:id="2559" w:name="_Toc32725"/>
      <w:bookmarkStart w:id="2560" w:name="_Toc15799_WPSOffice_Level1"/>
      <w:bookmarkStart w:id="2561" w:name="_Toc8803"/>
      <w:bookmarkStart w:id="2562" w:name="_Toc492478858"/>
      <w:bookmarkStart w:id="2563" w:name="_Toc10322"/>
      <w:bookmarkStart w:id="2564" w:name="_Toc22896"/>
      <w:bookmarkStart w:id="2565" w:name="_Toc27431"/>
      <w:bookmarkStart w:id="2566" w:name="_Toc27679_WPSOffice_Level1"/>
      <w:bookmarkStart w:id="2567" w:name="_Toc10654"/>
      <w:bookmarkStart w:id="2568" w:name="_Toc21541"/>
      <w:bookmarkStart w:id="2569" w:name="_Toc14445"/>
      <w:bookmarkStart w:id="2570" w:name="_Toc6960"/>
      <w:bookmarkStart w:id="2571" w:name="_Toc3510_WPSOffice_Level1"/>
      <w:bookmarkStart w:id="2572" w:name="_Toc32287"/>
      <w:bookmarkStart w:id="2573" w:name="_Toc10414"/>
      <w:bookmarkStart w:id="2574" w:name="_Toc22594"/>
      <w:bookmarkStart w:id="2575" w:name="_Toc11134_WPSOffice_Level1"/>
      <w:bookmarkStart w:id="2576" w:name="_Toc7701"/>
      <w:r>
        <w:rPr>
          <w:rFonts w:hint="eastAsia"/>
          <w:sz w:val="21"/>
          <w:szCs w:val="21"/>
          <w:highlight w:val="none"/>
        </w:rPr>
        <w:t>附表</w:t>
      </w:r>
      <w:r>
        <w:rPr>
          <w:rFonts w:hint="eastAsia"/>
          <w:sz w:val="21"/>
          <w:szCs w:val="21"/>
          <w:highlight w:val="none"/>
          <w:lang w:val="en-US" w:eastAsia="zh-CN"/>
        </w:rPr>
        <w:t>六</w:t>
      </w:r>
      <w:r>
        <w:rPr>
          <w:sz w:val="21"/>
          <w:szCs w:val="21"/>
          <w:highlight w:val="none"/>
        </w:rPr>
        <w:t xml:space="preserve"> </w:t>
      </w:r>
      <w:r>
        <w:rPr>
          <w:rFonts w:hint="eastAsia"/>
          <w:sz w:val="21"/>
          <w:szCs w:val="21"/>
          <w:highlight w:val="none"/>
        </w:rPr>
        <w:t>比选申请价格评审表</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spacing w:before="159"/>
        <w:ind w:right="-57" w:firstLine="0"/>
        <w:jc w:val="center"/>
        <w:rPr>
          <w:rFonts w:ascii="宋体" w:hAnsi="宋体"/>
          <w:b/>
          <w:sz w:val="28"/>
          <w:szCs w:val="28"/>
          <w:highlight w:val="none"/>
        </w:rPr>
      </w:pPr>
      <w:bookmarkStart w:id="2577" w:name="_Toc15251_WPSOffice_Level2"/>
      <w:bookmarkStart w:id="2578" w:name="_Toc3087_WPSOffice_Level2"/>
      <w:bookmarkStart w:id="2579" w:name="_Toc28821_WPSOffice_Level1"/>
      <w:bookmarkStart w:id="2580" w:name="_Toc29563_WPSOffice_Level2"/>
      <w:r>
        <w:rPr>
          <w:rFonts w:hint="eastAsia" w:ascii="宋体" w:hAnsi="宋体"/>
          <w:b/>
          <w:sz w:val="28"/>
          <w:szCs w:val="28"/>
          <w:highlight w:val="none"/>
        </w:rPr>
        <w:t>比选申请价格评审表</w:t>
      </w:r>
      <w:bookmarkEnd w:id="2577"/>
      <w:bookmarkEnd w:id="2578"/>
      <w:bookmarkEnd w:id="2579"/>
      <w:bookmarkEnd w:id="2580"/>
    </w:p>
    <w:tbl>
      <w:tblPr>
        <w:tblStyle w:val="31"/>
        <w:tblW w:w="1385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370"/>
        <w:gridCol w:w="2552"/>
        <w:gridCol w:w="2410"/>
        <w:gridCol w:w="2551"/>
        <w:gridCol w:w="3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序号</w:t>
            </w: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比选申请人名称</w:t>
            </w: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修正前比选申请报价</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是否有修正</w:t>
            </w: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评审价（元）</w:t>
            </w: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highlight w:val="none"/>
              </w:rPr>
            </w:pPr>
            <w:r>
              <w:rPr>
                <w:rFonts w:hint="eastAsia" w:ascii="宋体" w:hAnsi="宋体"/>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highlight w:val="none"/>
              </w:rPr>
            </w:pPr>
          </w:p>
        </w:tc>
        <w:tc>
          <w:tcPr>
            <w:tcW w:w="2370" w:type="dxa"/>
            <w:tcBorders>
              <w:left w:val="single" w:color="auto" w:sz="4" w:space="0"/>
              <w:right w:val="single" w:color="auto" w:sz="4" w:space="0"/>
            </w:tcBorders>
            <w:vAlign w:val="center"/>
          </w:tcPr>
          <w:p>
            <w:pPr>
              <w:ind w:left="0" w:firstLine="0"/>
              <w:rPr>
                <w:rFonts w:ascii="宋体" w:hAnsi="宋体"/>
                <w:highlight w:val="none"/>
              </w:rPr>
            </w:pPr>
          </w:p>
        </w:tc>
        <w:tc>
          <w:tcPr>
            <w:tcW w:w="2552" w:type="dxa"/>
            <w:tcBorders>
              <w:left w:val="single" w:color="auto" w:sz="4" w:space="0"/>
              <w:right w:val="single" w:color="auto" w:sz="4" w:space="0"/>
            </w:tcBorders>
            <w:vAlign w:val="center"/>
          </w:tcPr>
          <w:p>
            <w:pPr>
              <w:ind w:left="0" w:firstLine="0"/>
              <w:rPr>
                <w:rFonts w:ascii="宋体" w:hAnsi="宋体"/>
                <w:highlight w:val="none"/>
              </w:rPr>
            </w:pPr>
          </w:p>
        </w:tc>
        <w:tc>
          <w:tcPr>
            <w:tcW w:w="2410" w:type="dxa"/>
            <w:tcBorders>
              <w:top w:val="single" w:color="auto" w:sz="4" w:space="0"/>
              <w:left w:val="single" w:color="auto" w:sz="4" w:space="0"/>
              <w:bottom w:val="single" w:color="auto" w:sz="4" w:space="0"/>
              <w:right w:val="single" w:color="auto" w:sz="4" w:space="0"/>
            </w:tcBorders>
          </w:tcPr>
          <w:p>
            <w:pPr>
              <w:ind w:left="0" w:firstLine="0"/>
              <w:rPr>
                <w:rFonts w:ascii="宋体" w:hAnsi="宋体"/>
                <w:highlight w:val="none"/>
              </w:rPr>
            </w:pPr>
          </w:p>
        </w:tc>
        <w:tc>
          <w:tcPr>
            <w:tcW w:w="2551" w:type="dxa"/>
            <w:tcBorders>
              <w:top w:val="single" w:color="auto" w:sz="4" w:space="0"/>
              <w:left w:val="single" w:color="auto" w:sz="4" w:space="0"/>
              <w:bottom w:val="single" w:color="auto" w:sz="4" w:space="0"/>
              <w:right w:val="single" w:color="auto" w:sz="4" w:space="0"/>
            </w:tcBorders>
          </w:tcPr>
          <w:p>
            <w:pPr>
              <w:ind w:left="0" w:firstLine="0"/>
              <w:rPr>
                <w:rFonts w:ascii="宋体" w:hAnsi="宋体"/>
                <w:highlight w:val="none"/>
              </w:rPr>
            </w:pPr>
          </w:p>
        </w:tc>
        <w:tc>
          <w:tcPr>
            <w:tcW w:w="3016" w:type="dxa"/>
            <w:tcBorders>
              <w:top w:val="single" w:color="auto" w:sz="4" w:space="0"/>
              <w:left w:val="single" w:color="auto" w:sz="4" w:space="0"/>
              <w:bottom w:val="single" w:color="auto" w:sz="4" w:space="0"/>
              <w:right w:val="single" w:color="auto" w:sz="4" w:space="0"/>
            </w:tcBorders>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highlight w:val="none"/>
              </w:rPr>
            </w:pPr>
          </w:p>
        </w:tc>
        <w:tc>
          <w:tcPr>
            <w:tcW w:w="2370" w:type="dxa"/>
            <w:tcBorders>
              <w:left w:val="single" w:color="auto" w:sz="4" w:space="0"/>
              <w:right w:val="single" w:color="auto" w:sz="4" w:space="0"/>
            </w:tcBorders>
            <w:vAlign w:val="center"/>
          </w:tcPr>
          <w:p>
            <w:pPr>
              <w:ind w:left="0" w:firstLine="0"/>
              <w:rPr>
                <w:rFonts w:ascii="宋体" w:hAnsi="宋体"/>
                <w:highlight w:val="none"/>
              </w:rPr>
            </w:pPr>
          </w:p>
        </w:tc>
        <w:tc>
          <w:tcPr>
            <w:tcW w:w="2552" w:type="dxa"/>
            <w:tcBorders>
              <w:left w:val="single" w:color="auto" w:sz="4" w:space="0"/>
              <w:right w:val="single" w:color="auto" w:sz="4" w:space="0"/>
            </w:tcBorders>
            <w:vAlign w:val="center"/>
          </w:tcPr>
          <w:p>
            <w:pPr>
              <w:ind w:left="0" w:firstLine="0"/>
              <w:rPr>
                <w:rFonts w:ascii="宋体" w:hAnsi="宋体"/>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highlight w:val="none"/>
              </w:rPr>
            </w:pPr>
          </w:p>
        </w:tc>
        <w:tc>
          <w:tcPr>
            <w:tcW w:w="2370" w:type="dxa"/>
            <w:tcBorders>
              <w:left w:val="single" w:color="auto" w:sz="4" w:space="0"/>
              <w:right w:val="single" w:color="auto" w:sz="4" w:space="0"/>
            </w:tcBorders>
            <w:vAlign w:val="center"/>
          </w:tcPr>
          <w:p>
            <w:pPr>
              <w:ind w:left="0" w:firstLine="0"/>
              <w:rPr>
                <w:rFonts w:ascii="宋体" w:hAnsi="宋体"/>
                <w:highlight w:val="none"/>
              </w:rPr>
            </w:pPr>
          </w:p>
        </w:tc>
        <w:tc>
          <w:tcPr>
            <w:tcW w:w="2552" w:type="dxa"/>
            <w:tcBorders>
              <w:left w:val="single" w:color="auto" w:sz="4" w:space="0"/>
              <w:right w:val="single" w:color="auto" w:sz="4" w:space="0"/>
            </w:tcBorders>
            <w:vAlign w:val="center"/>
          </w:tcPr>
          <w:p>
            <w:pPr>
              <w:ind w:left="0" w:firstLine="0"/>
              <w:rPr>
                <w:rFonts w:ascii="宋体" w:hAnsi="宋体"/>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highlight w:val="none"/>
              </w:rPr>
            </w:pPr>
          </w:p>
        </w:tc>
        <w:tc>
          <w:tcPr>
            <w:tcW w:w="2370" w:type="dxa"/>
            <w:tcBorders>
              <w:left w:val="single" w:color="auto" w:sz="4" w:space="0"/>
              <w:right w:val="single" w:color="auto" w:sz="4" w:space="0"/>
            </w:tcBorders>
            <w:vAlign w:val="center"/>
          </w:tcPr>
          <w:p>
            <w:pPr>
              <w:ind w:left="0" w:firstLine="0"/>
              <w:rPr>
                <w:rFonts w:ascii="宋体" w:hAnsi="宋体"/>
                <w:highlight w:val="none"/>
              </w:rPr>
            </w:pPr>
          </w:p>
        </w:tc>
        <w:tc>
          <w:tcPr>
            <w:tcW w:w="2552" w:type="dxa"/>
            <w:tcBorders>
              <w:left w:val="single" w:color="auto" w:sz="4" w:space="0"/>
              <w:right w:val="single" w:color="auto" w:sz="4" w:space="0"/>
            </w:tcBorders>
            <w:vAlign w:val="center"/>
          </w:tcPr>
          <w:p>
            <w:pPr>
              <w:ind w:left="0" w:firstLine="0"/>
              <w:rPr>
                <w:rFonts w:ascii="宋体" w:hAnsi="宋体"/>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bl>
    <w:p>
      <w:pPr>
        <w:spacing w:before="0" w:after="0" w:afterAutospacing="0"/>
        <w:ind w:left="0" w:right="0" w:firstLine="0"/>
        <w:jc w:val="left"/>
        <w:rPr>
          <w:rFonts w:ascii="宋体" w:hAnsi="宋体"/>
          <w:highlight w:val="none"/>
        </w:rPr>
      </w:pPr>
      <w:r>
        <w:rPr>
          <w:rFonts w:hint="eastAsia" w:ascii="宋体" w:hAnsi="宋体"/>
          <w:highlight w:val="none"/>
        </w:rPr>
        <w:t>注：</w:t>
      </w:r>
    </w:p>
    <w:p>
      <w:pPr>
        <w:spacing w:before="0" w:after="0" w:afterAutospacing="0"/>
        <w:ind w:left="0" w:right="0" w:firstLine="0"/>
        <w:jc w:val="left"/>
        <w:rPr>
          <w:rFonts w:ascii="宋体" w:hAnsi="宋体"/>
          <w:highlight w:val="none"/>
        </w:rPr>
      </w:pPr>
      <w:r>
        <w:rPr>
          <w:rFonts w:hint="eastAsia" w:ascii="宋体" w:hAnsi="宋体"/>
          <w:highlight w:val="none"/>
        </w:rPr>
        <w:t>1.如有修正，</w:t>
      </w:r>
      <w:r>
        <w:rPr>
          <w:rFonts w:hint="eastAsia" w:hAnsi="宋体"/>
          <w:highlight w:val="none"/>
        </w:rPr>
        <w:t>评审委员会</w:t>
      </w:r>
      <w:r>
        <w:rPr>
          <w:rFonts w:hint="eastAsia" w:ascii="宋体" w:hAnsi="宋体"/>
          <w:highlight w:val="none"/>
        </w:rPr>
        <w:t>需填写附表《比选申请报价修正表》并由比选申请人代表签字确认；如无修正，评审价=比选申请报价。</w:t>
      </w:r>
    </w:p>
    <w:p>
      <w:pPr>
        <w:spacing w:before="0" w:after="0" w:afterAutospacing="0"/>
        <w:ind w:left="0" w:right="0" w:firstLine="0"/>
        <w:jc w:val="left"/>
        <w:rPr>
          <w:rFonts w:ascii="宋体" w:hAnsi="宋体"/>
          <w:highlight w:val="none"/>
        </w:rPr>
      </w:pPr>
      <w:r>
        <w:rPr>
          <w:rFonts w:hint="eastAsia" w:ascii="宋体" w:hAnsi="宋体"/>
          <w:highlight w:val="none"/>
        </w:rPr>
        <w:t>2.若修正后的总价与投标报价不相等，则评标总价和中标价均以修正后的总价为准，如投人不接受按以上规则确定的评标总价和中标价，则其投标将被拒绝。</w:t>
      </w:r>
    </w:p>
    <w:p>
      <w:pPr>
        <w:spacing w:before="0" w:after="0"/>
        <w:ind w:left="420" w:right="0" w:firstLine="0"/>
        <w:jc w:val="left"/>
        <w:rPr>
          <w:rFonts w:ascii="宋体" w:hAnsi="宋体"/>
          <w:highlight w:val="none"/>
        </w:rPr>
      </w:pPr>
    </w:p>
    <w:p>
      <w:pPr>
        <w:spacing w:before="0" w:after="0"/>
        <w:ind w:left="420" w:right="0" w:firstLine="0"/>
        <w:jc w:val="left"/>
        <w:rPr>
          <w:rFonts w:ascii="宋体" w:hAnsi="宋体"/>
          <w:highlight w:val="none"/>
        </w:rPr>
      </w:pPr>
    </w:p>
    <w:p>
      <w:pPr>
        <w:spacing w:before="0" w:after="0"/>
        <w:ind w:left="420" w:right="0" w:firstLine="0"/>
        <w:jc w:val="left"/>
        <w:rPr>
          <w:rFonts w:ascii="宋体" w:hAnsi="宋体"/>
          <w:highlight w:val="none"/>
        </w:rPr>
      </w:pPr>
    </w:p>
    <w:p>
      <w:pPr>
        <w:spacing w:before="0" w:after="0"/>
        <w:ind w:left="0" w:right="0" w:firstLine="0"/>
        <w:jc w:val="left"/>
        <w:rPr>
          <w:rFonts w:ascii="宋体" w:hAnsi="宋体"/>
          <w:highlight w:val="none"/>
        </w:rPr>
      </w:pPr>
    </w:p>
    <w:p>
      <w:pPr>
        <w:spacing w:before="159"/>
        <w:ind w:right="-57" w:firstLine="0"/>
        <w:jc w:val="center"/>
        <w:rPr>
          <w:rFonts w:ascii="宋体" w:hAnsi="宋体"/>
          <w:b/>
          <w:sz w:val="28"/>
          <w:szCs w:val="28"/>
          <w:highlight w:val="none"/>
        </w:rPr>
      </w:pPr>
      <w:bookmarkStart w:id="2581" w:name="_Toc28898_WPSOffice_Level1"/>
      <w:bookmarkStart w:id="2582" w:name="_Toc2108_WPSOffice_Level2"/>
      <w:bookmarkStart w:id="2583" w:name="_Toc2608_WPSOffice_Level2"/>
      <w:bookmarkStart w:id="2584" w:name="_Toc8857_WPSOffice_Level2"/>
      <w:r>
        <w:rPr>
          <w:rFonts w:hint="eastAsia" w:ascii="宋体" w:hAnsi="宋体"/>
          <w:b/>
          <w:sz w:val="28"/>
          <w:szCs w:val="28"/>
          <w:highlight w:val="none"/>
        </w:rPr>
        <w:t>附表：比选申请报价修正表</w:t>
      </w:r>
      <w:bookmarkEnd w:id="2581"/>
      <w:bookmarkEnd w:id="2582"/>
      <w:bookmarkEnd w:id="2583"/>
      <w:bookmarkEnd w:id="2584"/>
    </w:p>
    <w:tbl>
      <w:tblPr>
        <w:tblStyle w:val="31"/>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sz w:val="24"/>
                <w:szCs w:val="24"/>
                <w:highlight w:val="none"/>
              </w:rPr>
            </w:pPr>
            <w:r>
              <w:rPr>
                <w:rFonts w:hint="eastAsia" w:ascii="宋体" w:hAnsi="宋体"/>
                <w:b/>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sz w:val="24"/>
                <w:szCs w:val="24"/>
                <w:highlight w:val="none"/>
              </w:rPr>
            </w:pPr>
            <w:r>
              <w:rPr>
                <w:rFonts w:hint="eastAsia" w:ascii="宋体" w:hAnsi="宋体"/>
                <w:b/>
                <w:sz w:val="24"/>
                <w:szCs w:val="24"/>
                <w:highlight w:val="none"/>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highlight w:val="none"/>
              </w:rPr>
            </w:pPr>
            <w:r>
              <w:rPr>
                <w:rFonts w:hint="eastAsia" w:ascii="宋体" w:hAnsi="宋体"/>
                <w:b/>
                <w:sz w:val="24"/>
                <w:szCs w:val="24"/>
                <w:highlight w:val="none"/>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highlight w:val="none"/>
              </w:rPr>
            </w:pPr>
            <w:r>
              <w:rPr>
                <w:rFonts w:hint="eastAsia" w:ascii="宋体" w:hAnsi="宋体"/>
                <w:b/>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highlight w:val="none"/>
              </w:rPr>
            </w:pPr>
            <w:r>
              <w:rPr>
                <w:rFonts w:hint="eastAsia" w:ascii="宋体" w:hAnsi="宋体"/>
                <w:b/>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sz w:val="24"/>
                <w:szCs w:val="24"/>
                <w:highlight w:val="none"/>
              </w:rPr>
            </w:pPr>
            <w:r>
              <w:rPr>
                <w:rFonts w:hint="eastAsia" w:ascii="宋体" w:hAnsi="宋体" w:cs="宋体"/>
                <w:b/>
                <w:sz w:val="24"/>
                <w:szCs w:val="24"/>
                <w:highlight w:val="none"/>
              </w:rPr>
              <w:t>我单位（</w:t>
            </w:r>
            <w:r>
              <w:rPr>
                <w:rFonts w:ascii="宋体" w:hAnsi="宋体"/>
                <w:b/>
                <w:sz w:val="44"/>
                <w:szCs w:val="44"/>
                <w:highlight w:val="none"/>
              </w:rPr>
              <w:t>□</w:t>
            </w:r>
            <w:r>
              <w:rPr>
                <w:rFonts w:hint="eastAsia" w:ascii="宋体" w:hAnsi="宋体" w:cs="宋体"/>
                <w:b/>
                <w:sz w:val="24"/>
                <w:szCs w:val="24"/>
                <w:highlight w:val="none"/>
              </w:rPr>
              <w:t>接受</w:t>
            </w:r>
            <w:r>
              <w:rPr>
                <w:rFonts w:ascii="宋体" w:hAnsi="宋体"/>
                <w:b/>
                <w:sz w:val="44"/>
                <w:szCs w:val="44"/>
                <w:highlight w:val="none"/>
              </w:rPr>
              <w:t>□</w:t>
            </w:r>
            <w:r>
              <w:rPr>
                <w:rFonts w:ascii="宋体" w:hAnsi="宋体"/>
                <w:b/>
                <w:sz w:val="24"/>
                <w:szCs w:val="24"/>
                <w:highlight w:val="none"/>
              </w:rPr>
              <w:t>不接受</w:t>
            </w:r>
            <w:r>
              <w:rPr>
                <w:rFonts w:hint="eastAsia" w:ascii="宋体" w:hAnsi="宋体"/>
                <w:b/>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sz w:val="24"/>
                <w:szCs w:val="24"/>
                <w:highlight w:val="none"/>
              </w:rPr>
            </w:pPr>
            <w:r>
              <w:rPr>
                <w:rFonts w:hint="eastAsia" w:ascii="宋体" w:hAnsi="宋体"/>
                <w:b/>
                <w:sz w:val="24"/>
                <w:szCs w:val="24"/>
                <w:highlight w:val="none"/>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sz w:val="24"/>
                <w:szCs w:val="24"/>
                <w:highlight w:val="none"/>
              </w:rPr>
            </w:pPr>
          </w:p>
          <w:p>
            <w:pPr>
              <w:spacing w:before="0" w:line="240" w:lineRule="auto"/>
              <w:ind w:right="0" w:firstLine="0"/>
              <w:rPr>
                <w:rFonts w:ascii="宋体" w:hAnsi="宋体" w:cs="宋体"/>
                <w:b/>
                <w:sz w:val="24"/>
                <w:szCs w:val="24"/>
                <w:highlight w:val="none"/>
              </w:rPr>
            </w:pPr>
            <w:r>
              <w:rPr>
                <w:rFonts w:hint="eastAsia" w:ascii="宋体" w:hAnsi="宋体" w:cs="宋体"/>
                <w:b/>
                <w:sz w:val="24"/>
                <w:szCs w:val="24"/>
                <w:highlight w:val="none"/>
              </w:rPr>
              <w:t xml:space="preserve">                                                                     日期：    年  月   日</w:t>
            </w:r>
          </w:p>
        </w:tc>
      </w:tr>
    </w:tbl>
    <w:p>
      <w:pPr>
        <w:spacing w:before="0" w:after="0"/>
        <w:ind w:left="420" w:right="0" w:firstLine="0"/>
        <w:jc w:val="left"/>
        <w:rPr>
          <w:rFonts w:ascii="宋体" w:hAnsi="宋体"/>
          <w:highlight w:val="none"/>
        </w:rPr>
      </w:pPr>
      <w:r>
        <w:rPr>
          <w:rFonts w:hint="eastAsia" w:ascii="宋体" w:hAnsi="宋体"/>
          <w:highlight w:val="none"/>
        </w:rPr>
        <w:t>注：若修正后的总价与投标报价不相等，则评标总价和中标价均以修正后的总价为准，如投人不接受按以上规则确定的评标总价和中标价，则其投标将被拒绝。</w:t>
      </w:r>
    </w:p>
    <w:p>
      <w:pPr>
        <w:rPr>
          <w:highlight w:val="none"/>
        </w:rPr>
      </w:pPr>
    </w:p>
    <w:sectPr>
      <w:headerReference r:id="rId16" w:type="default"/>
      <w:pgSz w:w="16838" w:h="11905" w:orient="landscape"/>
      <w:pgMar w:top="1803" w:right="1440" w:bottom="1803" w:left="1440" w:header="850" w:footer="992" w:gutter="0"/>
      <w:pgNumType w:fmt="decimal"/>
      <w:cols w:space="0" w:num="1"/>
      <w:rtlGutter w:val="0"/>
      <w:docGrid w:type="lines" w:linePitch="31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2-08-14T16:16:32Z" w:initials="">
    <w:p w14:paraId="6B765AD9">
      <w:pPr>
        <w:pStyle w:val="11"/>
        <w:rPr>
          <w:rFonts w:hint="default" w:eastAsia="宋体"/>
          <w:lang w:val="en-US" w:eastAsia="zh-CN"/>
        </w:rPr>
      </w:pPr>
      <w:r>
        <w:rPr>
          <w:rFonts w:hint="eastAsia"/>
          <w:lang w:val="en-US" w:eastAsia="zh-CN"/>
        </w:rPr>
        <w:t>是否合理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765A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s>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78750833"/>
                          </w:sdtPr>
                          <w:sdtContent>
                            <w:p>
                              <w:pPr>
                                <w:pStyle w:val="19"/>
                                <w:jc w:val="center"/>
                              </w:pP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1078750833"/>
                    </w:sdtPr>
                    <w:sdtContent>
                      <w:p>
                        <w:pPr>
                          <w:pStyle w:val="19"/>
                          <w:jc w:val="center"/>
                        </w:pPr>
                      </w:p>
                    </w:sdtContent>
                  </w:sdt>
                  <w:p/>
                </w:txbxContent>
              </v:textbox>
            </v:shape>
          </w:pict>
        </mc:Fallback>
      </mc:AlternateContent>
    </w:r>
  </w:p>
  <w:p>
    <w:pPr>
      <w:pStyle w:val="20"/>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Calibri" w:hAnsi="Calibri" w:eastAsia="宋体" w:cs="Times New Roman"/>
        <w:sz w:val="18"/>
        <w:szCs w:val="18"/>
        <w:lang w:val="en-US" w:eastAsia="zh-CN" w:bidi="ar-S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Times New Roman" w:cs="Times New Roman"/>
        <w:sz w:val="18"/>
        <w:szCs w:val="18"/>
        <w:lang w:val="en-US" w:eastAsia="zh-CN" w:bidi="ar-S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44</w:t>
                    </w:r>
                    <w:r>
                      <w:rPr>
                        <w:rFonts w:hint="eastAsia"/>
                        <w:lang w:eastAsia="zh-CN"/>
                      </w:rPr>
                      <w:fldChar w:fldCharType="end"/>
                    </w:r>
                  </w:p>
                </w:txbxContent>
              </v:textbox>
            </v:shape>
          </w:pict>
        </mc:Fallback>
      </mc:AlternateContent>
    </w:r>
    <w:r>
      <w:rPr>
        <w:rFonts w:ascii="Calibri" w:hAnsi="Calibri" w:eastAsia="Times New Roman" w:cs="Times New Roman"/>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widowControl w:val="0"/>
                            <w:snapToGrid w:val="0"/>
                            <w:jc w:val="left"/>
                            <w:rPr>
                              <w:rFonts w:ascii="Calibri" w:hAnsi="Calibri" w:eastAsia="宋体" w:cs="Times New Roman"/>
                              <w:sz w:val="18"/>
                              <w:szCs w:val="18"/>
                              <w:lang w:val="en-US" w:eastAsia="zh-CN" w:bidi="ar-SA"/>
                            </w:rPr>
                          </w:pP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MO6IbUBAABcAwAADgAAAGRycy9lMm9Eb2MueG1srVNNrtMwEN4jcQfL&#10;e5q0EqhE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1vWq5e5Q0PAhgrvA5Wm8TWMNOk5jhTMwkcdXf6S&#10;JEZ56vXp2l81JibzpfVqva4pJSk3O4RfPV4PEdMbBY5lo+WRBlj6Ko7vME2lc0l+zcOdsbYM0frf&#10;AoQ5RVTZgsvtrGRinK007saLvB10J1I30Ca03NOqcmbfemp0XprZiLOxm41DiGbfE9FlYYnh1SER&#10;pcI0vzDBksLs0AiL1su65R351S9Vjz/F9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MO6&#10;IbUBAABcAwAADgAAAAAAAAABACAAAAAeAQAAZHJzL2Uyb0RvYy54bWxQSwUGAAAAAAYABgBZAQAA&#10;RQU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sz w:val="18"/>
                        <w:szCs w:val="18"/>
                        <w:lang w:val="en-US" w:eastAsia="zh-CN" w:bidi="ar-S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grMAgAgAAIQ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sd3UTixTlibK5rIkqh3bbnjremOKJhZzrOeMtXFapa&#10;Mx8emQNJkAnEDw84pDLIbs4SJaVxn/72H+0xO2gpaUC6nGpsBSXqrcZMIz97wfXCthf0vr4zYPEI&#10;C2V5EuHggupF6Uz9EduwjDmgYpojU05DL96FjvjYJi6Wy2QEFloW1npjeXxHeLxd7gOQTYBHUDok&#10;gH58gIdpDuediUT/9Z2snjZ7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qWCswCACAAAh&#10;BAAADgAAAAAAAAABACAAAAAfAQAAZHJzL2Uyb0RvYy54bWxQSwUGAAAAAAYABgBZAQAAsQUAAAAA&#10;">
              <v:fill on="f" focussize="0,0"/>
              <v:stroke on="f" weight="0.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cente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JWO7QAAAABQEAAA8A&#10;AAAAAAAAAQAgAAAAIgAAAGRycy9kb3ducmV2LnhtbFBLAQIUABQAAAAIAIdO4kD+ZWf1HwIAACAE&#10;AAAOAAAAAAAAAAEAIAAAAB8BAABkcnMvZTJvRG9jLnhtbFBLBQYAAAAABgAGAFkBAACwBQAAAAA=&#10;">
              <v:fill on="f" focussize="0,0"/>
              <v:stroke on="f" weight="0.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ind w:firstLine="360"/>
      <w:jc w:val="center"/>
      <w:rPr>
        <w:rFonts w:ascii="Times New Roman" w:hAnsi="Times New Roman"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right="-57"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AAF2F"/>
    <w:multiLevelType w:val="singleLevel"/>
    <w:tmpl w:val="83DAAF2F"/>
    <w:lvl w:ilvl="0" w:tentative="0">
      <w:start w:val="1"/>
      <w:numFmt w:val="decimal"/>
      <w:suff w:val="nothing"/>
      <w:lvlText w:val="6.1.%1 "/>
      <w:lvlJc w:val="left"/>
      <w:pPr>
        <w:tabs>
          <w:tab w:val="left" w:pos="0"/>
        </w:tabs>
        <w:ind w:left="0" w:firstLine="397"/>
      </w:pPr>
      <w:rPr>
        <w:rFonts w:hint="default" w:ascii="宋体" w:hAnsi="宋体" w:eastAsia="宋体" w:cs="宋体"/>
      </w:rPr>
    </w:lvl>
  </w:abstractNum>
  <w:abstractNum w:abstractNumId="1">
    <w:nsid w:val="887FF8BA"/>
    <w:multiLevelType w:val="singleLevel"/>
    <w:tmpl w:val="887FF8BA"/>
    <w:lvl w:ilvl="0" w:tentative="0">
      <w:start w:val="1"/>
      <w:numFmt w:val="decimal"/>
      <w:lvlText w:val="(%1)"/>
      <w:lvlJc w:val="left"/>
      <w:pPr>
        <w:ind w:left="425" w:hanging="425"/>
      </w:pPr>
      <w:rPr>
        <w:rFonts w:hint="default"/>
      </w:rPr>
    </w:lvl>
  </w:abstractNum>
  <w:abstractNum w:abstractNumId="2">
    <w:nsid w:val="8F607470"/>
    <w:multiLevelType w:val="singleLevel"/>
    <w:tmpl w:val="8F607470"/>
    <w:lvl w:ilvl="0" w:tentative="0">
      <w:start w:val="1"/>
      <w:numFmt w:val="decimal"/>
      <w:lvlText w:val="%1."/>
      <w:lvlJc w:val="left"/>
      <w:pPr>
        <w:tabs>
          <w:tab w:val="left" w:pos="312"/>
        </w:tabs>
      </w:pPr>
    </w:lvl>
  </w:abstractNum>
  <w:abstractNum w:abstractNumId="3">
    <w:nsid w:val="9A4C0BFB"/>
    <w:multiLevelType w:val="singleLevel"/>
    <w:tmpl w:val="9A4C0BFB"/>
    <w:lvl w:ilvl="0" w:tentative="0">
      <w:start w:val="1"/>
      <w:numFmt w:val="decimal"/>
      <w:suff w:val="nothing"/>
      <w:lvlText w:val="%1."/>
      <w:lvlJc w:val="left"/>
      <w:pPr>
        <w:tabs>
          <w:tab w:val="left" w:pos="0"/>
        </w:tabs>
      </w:pPr>
      <w:rPr>
        <w:rFonts w:hint="default" w:ascii="宋体" w:hAnsi="宋体" w:eastAsia="宋体" w:cs="宋体"/>
      </w:rPr>
    </w:lvl>
  </w:abstractNum>
  <w:abstractNum w:abstractNumId="4">
    <w:nsid w:val="9AAC85BA"/>
    <w:multiLevelType w:val="singleLevel"/>
    <w:tmpl w:val="9AAC85BA"/>
    <w:lvl w:ilvl="0" w:tentative="0">
      <w:start w:val="1"/>
      <w:numFmt w:val="decimal"/>
      <w:suff w:val="nothing"/>
      <w:lvlText w:val="（%1）"/>
      <w:lvlJc w:val="left"/>
      <w:pPr>
        <w:tabs>
          <w:tab w:val="left" w:pos="0"/>
        </w:tabs>
      </w:pPr>
      <w:rPr>
        <w:rFonts w:hint="default"/>
        <w:sz w:val="21"/>
        <w:szCs w:val="21"/>
      </w:rPr>
    </w:lvl>
  </w:abstractNum>
  <w:abstractNum w:abstractNumId="5">
    <w:nsid w:val="9E775841"/>
    <w:multiLevelType w:val="multilevel"/>
    <w:tmpl w:val="9E775841"/>
    <w:lvl w:ilvl="0" w:tentative="0">
      <w:start w:val="1"/>
      <w:numFmt w:val="decimal"/>
      <w:lvlText w:val="%1）"/>
      <w:lvlJc w:val="left"/>
      <w:pPr>
        <w:ind w:left="420" w:hanging="420"/>
      </w:pPr>
      <w:rPr>
        <w:rFonts w:hint="eastAsia" w:ascii="宋体" w:hAns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9FBD6DF1"/>
    <w:multiLevelType w:val="multilevel"/>
    <w:tmpl w:val="9FBD6DF1"/>
    <w:lvl w:ilvl="0" w:tentative="0">
      <w:start w:val="1"/>
      <w:numFmt w:val="decimal"/>
      <w:suff w:val="noth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A1B8DD5D"/>
    <w:multiLevelType w:val="singleLevel"/>
    <w:tmpl w:val="A1B8DD5D"/>
    <w:lvl w:ilvl="0" w:tentative="0">
      <w:start w:val="1"/>
      <w:numFmt w:val="decimal"/>
      <w:suff w:val="nothing"/>
      <w:lvlText w:val="%1."/>
      <w:lvlJc w:val="left"/>
      <w:pPr>
        <w:tabs>
          <w:tab w:val="left" w:pos="0"/>
        </w:tabs>
      </w:pPr>
      <w:rPr>
        <w:rFonts w:hint="default" w:ascii="宋体" w:hAnsi="宋体" w:eastAsia="宋体" w:cs="宋体"/>
      </w:rPr>
    </w:lvl>
  </w:abstractNum>
  <w:abstractNum w:abstractNumId="8">
    <w:nsid w:val="A64FFF88"/>
    <w:multiLevelType w:val="singleLevel"/>
    <w:tmpl w:val="A64FFF88"/>
    <w:lvl w:ilvl="0" w:tentative="0">
      <w:start w:val="1"/>
      <w:numFmt w:val="decimal"/>
      <w:lvlText w:val="(%1)"/>
      <w:lvlJc w:val="left"/>
      <w:pPr>
        <w:tabs>
          <w:tab w:val="left" w:pos="0"/>
        </w:tabs>
        <w:ind w:left="454" w:leftChars="0" w:hanging="454" w:firstLineChars="0"/>
      </w:pPr>
      <w:rPr>
        <w:rFonts w:hint="default"/>
      </w:rPr>
    </w:lvl>
  </w:abstractNum>
  <w:abstractNum w:abstractNumId="9">
    <w:nsid w:val="A7F27D35"/>
    <w:multiLevelType w:val="singleLevel"/>
    <w:tmpl w:val="A7F27D35"/>
    <w:lvl w:ilvl="0" w:tentative="0">
      <w:start w:val="1"/>
      <w:numFmt w:val="decimal"/>
      <w:suff w:val="nothing"/>
      <w:lvlText w:val="%1."/>
      <w:lvlJc w:val="left"/>
      <w:pPr>
        <w:tabs>
          <w:tab w:val="left" w:pos="0"/>
        </w:tabs>
      </w:pPr>
      <w:rPr>
        <w:rFonts w:hint="default" w:ascii="宋体" w:hAnsi="宋体" w:eastAsia="宋体" w:cs="宋体"/>
      </w:rPr>
    </w:lvl>
  </w:abstractNum>
  <w:abstractNum w:abstractNumId="10">
    <w:nsid w:val="B0CF5918"/>
    <w:multiLevelType w:val="singleLevel"/>
    <w:tmpl w:val="B0CF5918"/>
    <w:lvl w:ilvl="0" w:tentative="0">
      <w:start w:val="1"/>
      <w:numFmt w:val="decimal"/>
      <w:suff w:val="nothing"/>
      <w:lvlText w:val="（%1）"/>
      <w:lvlJc w:val="left"/>
      <w:pPr>
        <w:ind w:left="0" w:firstLine="397"/>
      </w:pPr>
      <w:rPr>
        <w:rFonts w:hint="default"/>
      </w:rPr>
    </w:lvl>
  </w:abstractNum>
  <w:abstractNum w:abstractNumId="11">
    <w:nsid w:val="B18076B8"/>
    <w:multiLevelType w:val="singleLevel"/>
    <w:tmpl w:val="B18076B8"/>
    <w:lvl w:ilvl="0" w:tentative="0">
      <w:start w:val="1"/>
      <w:numFmt w:val="decimal"/>
      <w:suff w:val="nothing"/>
      <w:lvlText w:val="（%1）"/>
      <w:lvlJc w:val="left"/>
      <w:pPr>
        <w:tabs>
          <w:tab w:val="left" w:pos="0"/>
        </w:tabs>
      </w:pPr>
      <w:rPr>
        <w:rFonts w:hint="default"/>
        <w:sz w:val="21"/>
        <w:szCs w:val="21"/>
      </w:rPr>
    </w:lvl>
  </w:abstractNum>
  <w:abstractNum w:abstractNumId="12">
    <w:nsid w:val="B2D2BFBE"/>
    <w:multiLevelType w:val="singleLevel"/>
    <w:tmpl w:val="B2D2BFBE"/>
    <w:lvl w:ilvl="0" w:tentative="0">
      <w:start w:val="1"/>
      <w:numFmt w:val="decimal"/>
      <w:suff w:val="nothing"/>
      <w:lvlText w:val="%1."/>
      <w:lvlJc w:val="left"/>
      <w:pPr>
        <w:tabs>
          <w:tab w:val="left" w:pos="0"/>
        </w:tabs>
      </w:pPr>
      <w:rPr>
        <w:rFonts w:hint="default" w:ascii="宋体" w:hAnsi="宋体" w:eastAsia="宋体" w:cs="宋体"/>
      </w:rPr>
    </w:lvl>
  </w:abstractNum>
  <w:abstractNum w:abstractNumId="13">
    <w:nsid w:val="B5553480"/>
    <w:multiLevelType w:val="singleLevel"/>
    <w:tmpl w:val="B5553480"/>
    <w:lvl w:ilvl="0" w:tentative="0">
      <w:start w:val="1"/>
      <w:numFmt w:val="decimal"/>
      <w:suff w:val="nothing"/>
      <w:lvlText w:val="（%1）"/>
      <w:lvlJc w:val="left"/>
    </w:lvl>
  </w:abstractNum>
  <w:abstractNum w:abstractNumId="14">
    <w:nsid w:val="B61E4B49"/>
    <w:multiLevelType w:val="singleLevel"/>
    <w:tmpl w:val="B61E4B49"/>
    <w:lvl w:ilvl="0" w:tentative="0">
      <w:start w:val="1"/>
      <w:numFmt w:val="decimal"/>
      <w:lvlText w:val="%1"/>
      <w:lvlJc w:val="left"/>
      <w:pPr>
        <w:tabs>
          <w:tab w:val="left" w:pos="420"/>
        </w:tabs>
        <w:ind w:left="425" w:leftChars="0" w:hanging="425" w:firstLineChars="0"/>
      </w:pPr>
      <w:rPr>
        <w:rFonts w:hint="default"/>
      </w:rPr>
    </w:lvl>
  </w:abstractNum>
  <w:abstractNum w:abstractNumId="15">
    <w:nsid w:val="B7B63A03"/>
    <w:multiLevelType w:val="singleLevel"/>
    <w:tmpl w:val="B7B63A03"/>
    <w:lvl w:ilvl="0" w:tentative="0">
      <w:start w:val="1"/>
      <w:numFmt w:val="decimal"/>
      <w:lvlText w:val="(%1)"/>
      <w:lvlJc w:val="left"/>
    </w:lvl>
  </w:abstractNum>
  <w:abstractNum w:abstractNumId="16">
    <w:nsid w:val="BA2C55AE"/>
    <w:multiLevelType w:val="singleLevel"/>
    <w:tmpl w:val="BA2C55AE"/>
    <w:lvl w:ilvl="0" w:tentative="0">
      <w:start w:val="1"/>
      <w:numFmt w:val="decimal"/>
      <w:lvlText w:val="(%1)"/>
      <w:lvlJc w:val="left"/>
    </w:lvl>
  </w:abstractNum>
  <w:abstractNum w:abstractNumId="17">
    <w:nsid w:val="CAFD08EF"/>
    <w:multiLevelType w:val="singleLevel"/>
    <w:tmpl w:val="CAFD08EF"/>
    <w:lvl w:ilvl="0" w:tentative="0">
      <w:start w:val="1"/>
      <w:numFmt w:val="decimal"/>
      <w:suff w:val="nothing"/>
      <w:lvlText w:val="（%1）"/>
      <w:lvlJc w:val="left"/>
      <w:pPr>
        <w:ind w:left="0" w:firstLine="397"/>
      </w:pPr>
      <w:rPr>
        <w:rFonts w:hint="default"/>
      </w:rPr>
    </w:lvl>
  </w:abstractNum>
  <w:abstractNum w:abstractNumId="18">
    <w:nsid w:val="D25E25E1"/>
    <w:multiLevelType w:val="singleLevel"/>
    <w:tmpl w:val="D25E25E1"/>
    <w:lvl w:ilvl="0" w:tentative="0">
      <w:start w:val="1"/>
      <w:numFmt w:val="decimal"/>
      <w:suff w:val="nothing"/>
      <w:lvlText w:val="%1."/>
      <w:lvlJc w:val="left"/>
      <w:pPr>
        <w:tabs>
          <w:tab w:val="left" w:pos="0"/>
        </w:tabs>
      </w:pPr>
      <w:rPr>
        <w:rFonts w:hint="default" w:ascii="宋体" w:hAnsi="宋体" w:eastAsia="宋体" w:cs="宋体"/>
      </w:rPr>
    </w:lvl>
  </w:abstractNum>
  <w:abstractNum w:abstractNumId="19">
    <w:nsid w:val="D3431B80"/>
    <w:multiLevelType w:val="multilevel"/>
    <w:tmpl w:val="D3431B80"/>
    <w:lvl w:ilvl="0" w:tentative="0">
      <w:start w:val="1"/>
      <w:numFmt w:val="decimal"/>
      <w:lvlText w:val="%1）"/>
      <w:lvlJc w:val="left"/>
      <w:pPr>
        <w:ind w:left="420" w:hanging="420"/>
      </w:pPr>
      <w:rPr>
        <w:rFonts w:hint="eastAsia" w:ascii="宋体" w:hAns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D5DEBB42"/>
    <w:multiLevelType w:val="multilevel"/>
    <w:tmpl w:val="D5DEBB42"/>
    <w:lvl w:ilvl="0" w:tentative="0">
      <w:start w:val="1"/>
      <w:numFmt w:val="decimal"/>
      <w:lvlText w:val="%1）"/>
      <w:lvlJc w:val="left"/>
      <w:pPr>
        <w:ind w:left="420" w:hanging="420"/>
      </w:pPr>
      <w:rPr>
        <w:rFonts w:hint="eastAsia" w:ascii="宋体" w:hAns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DDCC3D34"/>
    <w:multiLevelType w:val="singleLevel"/>
    <w:tmpl w:val="DDCC3D34"/>
    <w:lvl w:ilvl="0" w:tentative="0">
      <w:start w:val="1"/>
      <w:numFmt w:val="decimal"/>
      <w:lvlText w:val="%1."/>
      <w:lvlJc w:val="left"/>
      <w:pPr>
        <w:tabs>
          <w:tab w:val="left" w:pos="420"/>
        </w:tabs>
        <w:ind w:left="845" w:hanging="425"/>
      </w:pPr>
      <w:rPr>
        <w:rFonts w:hint="default"/>
      </w:rPr>
    </w:lvl>
  </w:abstractNum>
  <w:abstractNum w:abstractNumId="22">
    <w:nsid w:val="DEECD395"/>
    <w:multiLevelType w:val="singleLevel"/>
    <w:tmpl w:val="DEECD395"/>
    <w:lvl w:ilvl="0" w:tentative="0">
      <w:start w:val="1"/>
      <w:numFmt w:val="decimal"/>
      <w:suff w:val="nothing"/>
      <w:lvlText w:val="（%1）"/>
      <w:lvlJc w:val="left"/>
    </w:lvl>
  </w:abstractNum>
  <w:abstractNum w:abstractNumId="23">
    <w:nsid w:val="E25B68B7"/>
    <w:multiLevelType w:val="singleLevel"/>
    <w:tmpl w:val="E25B68B7"/>
    <w:lvl w:ilvl="0" w:tentative="0">
      <w:start w:val="1"/>
      <w:numFmt w:val="decimal"/>
      <w:suff w:val="nothing"/>
      <w:lvlText w:val="%1."/>
      <w:lvlJc w:val="left"/>
      <w:pPr>
        <w:tabs>
          <w:tab w:val="left" w:pos="0"/>
        </w:tabs>
      </w:pPr>
      <w:rPr>
        <w:rFonts w:hint="default" w:ascii="宋体" w:hAnsi="宋体" w:eastAsia="宋体" w:cs="宋体"/>
      </w:rPr>
    </w:lvl>
  </w:abstractNum>
  <w:abstractNum w:abstractNumId="24">
    <w:nsid w:val="E590107A"/>
    <w:multiLevelType w:val="singleLevel"/>
    <w:tmpl w:val="E590107A"/>
    <w:lvl w:ilvl="0" w:tentative="0">
      <w:start w:val="1"/>
      <w:numFmt w:val="decimal"/>
      <w:suff w:val="nothing"/>
      <w:lvlText w:val="（%1）"/>
      <w:lvlJc w:val="left"/>
      <w:pPr>
        <w:ind w:left="0" w:firstLine="397"/>
      </w:pPr>
      <w:rPr>
        <w:rFonts w:hint="default"/>
      </w:rPr>
    </w:lvl>
  </w:abstractNum>
  <w:abstractNum w:abstractNumId="25">
    <w:nsid w:val="F01F1D84"/>
    <w:multiLevelType w:val="multilevel"/>
    <w:tmpl w:val="F01F1D84"/>
    <w:lvl w:ilvl="0" w:tentative="0">
      <w:start w:val="1"/>
      <w:numFmt w:val="decimal"/>
      <w:suff w:val="noth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F680BAF1"/>
    <w:multiLevelType w:val="singleLevel"/>
    <w:tmpl w:val="F680BAF1"/>
    <w:lvl w:ilvl="0" w:tentative="0">
      <w:start w:val="1"/>
      <w:numFmt w:val="decimal"/>
      <w:suff w:val="nothing"/>
      <w:lvlText w:val="%1."/>
      <w:lvlJc w:val="left"/>
      <w:pPr>
        <w:tabs>
          <w:tab w:val="left" w:pos="0"/>
        </w:tabs>
      </w:pPr>
      <w:rPr>
        <w:rFonts w:hint="default" w:ascii="宋体" w:hAnsi="宋体" w:eastAsia="宋体" w:cs="宋体"/>
      </w:rPr>
    </w:lvl>
  </w:abstractNum>
  <w:abstractNum w:abstractNumId="27">
    <w:nsid w:val="FA2B9EFE"/>
    <w:multiLevelType w:val="singleLevel"/>
    <w:tmpl w:val="FA2B9EFE"/>
    <w:lvl w:ilvl="0" w:tentative="0">
      <w:start w:val="1"/>
      <w:numFmt w:val="decimal"/>
      <w:suff w:val="nothing"/>
      <w:lvlText w:val="（%1）"/>
      <w:lvlJc w:val="left"/>
      <w:pPr>
        <w:ind w:left="0" w:firstLine="397"/>
      </w:pPr>
      <w:rPr>
        <w:rFonts w:hint="default"/>
      </w:rPr>
    </w:lvl>
  </w:abstractNum>
  <w:abstractNum w:abstractNumId="28">
    <w:nsid w:val="FDE23C38"/>
    <w:multiLevelType w:val="multilevel"/>
    <w:tmpl w:val="FDE23C38"/>
    <w:lvl w:ilvl="0" w:tentative="0">
      <w:start w:val="1"/>
      <w:numFmt w:val="decimal"/>
      <w:lvlText w:val="%1."/>
      <w:lvlJc w:val="left"/>
      <w:pPr>
        <w:ind w:left="420" w:hanging="420"/>
      </w:pPr>
      <w:rPr>
        <w:rFonts w:hint="eastAsia" w:ascii="宋体" w:hAnsi="黑体" w:eastAsia="宋体"/>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02462BB8"/>
    <w:multiLevelType w:val="singleLevel"/>
    <w:tmpl w:val="02462BB8"/>
    <w:lvl w:ilvl="0" w:tentative="0">
      <w:start w:val="1"/>
      <w:numFmt w:val="decimal"/>
      <w:lvlText w:val="7.3.%1"/>
      <w:lvlJc w:val="left"/>
      <w:pPr>
        <w:tabs>
          <w:tab w:val="left" w:pos="420"/>
        </w:tabs>
        <w:ind w:left="425" w:hanging="425"/>
      </w:pPr>
      <w:rPr>
        <w:rFonts w:hint="default" w:ascii="宋体" w:hAnsi="宋体" w:eastAsia="宋体" w:cs="宋体"/>
      </w:rPr>
    </w:lvl>
  </w:abstractNum>
  <w:abstractNum w:abstractNumId="30">
    <w:nsid w:val="033A032C"/>
    <w:multiLevelType w:val="singleLevel"/>
    <w:tmpl w:val="033A032C"/>
    <w:lvl w:ilvl="0" w:tentative="0">
      <w:start w:val="1"/>
      <w:numFmt w:val="decimal"/>
      <w:suff w:val="nothing"/>
      <w:lvlText w:val="（%1）"/>
      <w:lvlJc w:val="left"/>
      <w:pPr>
        <w:ind w:left="0" w:firstLine="397"/>
      </w:pPr>
      <w:rPr>
        <w:rFonts w:hint="default"/>
        <w:sz w:val="21"/>
        <w:szCs w:val="21"/>
      </w:rPr>
    </w:lvl>
  </w:abstractNum>
  <w:abstractNum w:abstractNumId="31">
    <w:nsid w:val="0C4DD623"/>
    <w:multiLevelType w:val="multilevel"/>
    <w:tmpl w:val="0C4DD623"/>
    <w:lvl w:ilvl="0" w:tentative="0">
      <w:start w:val="1"/>
      <w:numFmt w:val="decimal"/>
      <w:suff w:val="noth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0CF63A0C"/>
    <w:multiLevelType w:val="singleLevel"/>
    <w:tmpl w:val="0CF63A0C"/>
    <w:lvl w:ilvl="0" w:tentative="0">
      <w:start w:val="1"/>
      <w:numFmt w:val="decimal"/>
      <w:suff w:val="nothing"/>
      <w:lvlText w:val="%1."/>
      <w:lvlJc w:val="left"/>
      <w:pPr>
        <w:tabs>
          <w:tab w:val="left" w:pos="0"/>
        </w:tabs>
      </w:pPr>
      <w:rPr>
        <w:rFonts w:hint="default" w:ascii="宋体" w:hAnsi="宋体" w:eastAsia="宋体" w:cs="宋体"/>
      </w:rPr>
    </w:lvl>
  </w:abstractNum>
  <w:abstractNum w:abstractNumId="33">
    <w:nsid w:val="0FC13F54"/>
    <w:multiLevelType w:val="singleLevel"/>
    <w:tmpl w:val="0FC13F54"/>
    <w:lvl w:ilvl="0" w:tentative="0">
      <w:start w:val="1"/>
      <w:numFmt w:val="decimal"/>
      <w:suff w:val="nothing"/>
      <w:lvlText w:val="%1."/>
      <w:lvlJc w:val="left"/>
      <w:pPr>
        <w:tabs>
          <w:tab w:val="left" w:pos="0"/>
        </w:tabs>
      </w:pPr>
      <w:rPr>
        <w:rFonts w:hint="default" w:ascii="宋体" w:hAnsi="宋体" w:eastAsia="宋体" w:cs="宋体"/>
      </w:rPr>
    </w:lvl>
  </w:abstractNum>
  <w:abstractNum w:abstractNumId="34">
    <w:nsid w:val="199532E0"/>
    <w:multiLevelType w:val="multilevel"/>
    <w:tmpl w:val="199532E0"/>
    <w:lvl w:ilvl="0" w:tentative="0">
      <w:start w:val="1"/>
      <w:numFmt w:val="decimal"/>
      <w:lvlText w:val="%1）"/>
      <w:lvlJc w:val="left"/>
      <w:pPr>
        <w:ind w:left="420" w:hanging="420"/>
      </w:pPr>
      <w:rPr>
        <w:rFonts w:hint="eastAsia" w:ascii="宋体" w:hAns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BACBED0"/>
    <w:multiLevelType w:val="singleLevel"/>
    <w:tmpl w:val="1BACBED0"/>
    <w:lvl w:ilvl="0" w:tentative="0">
      <w:start w:val="1"/>
      <w:numFmt w:val="decimal"/>
      <w:lvlText w:val="（%1）"/>
      <w:lvlJc w:val="left"/>
      <w:pPr>
        <w:ind w:left="5098" w:hanging="420"/>
      </w:pPr>
      <w:rPr>
        <w:rFonts w:hint="default"/>
      </w:rPr>
    </w:lvl>
  </w:abstractNum>
  <w:abstractNum w:abstractNumId="36">
    <w:nsid w:val="1E2E597F"/>
    <w:multiLevelType w:val="multilevel"/>
    <w:tmpl w:val="1E2E597F"/>
    <w:lvl w:ilvl="0" w:tentative="0">
      <w:start w:val="1"/>
      <w:numFmt w:val="decimal"/>
      <w:suff w:val="noth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1F164B73"/>
    <w:multiLevelType w:val="singleLevel"/>
    <w:tmpl w:val="1F164B73"/>
    <w:lvl w:ilvl="0" w:tentative="0">
      <w:start w:val="1"/>
      <w:numFmt w:val="decimal"/>
      <w:suff w:val="nothing"/>
      <w:lvlText w:val="（%1）"/>
      <w:lvlJc w:val="left"/>
      <w:pPr>
        <w:ind w:left="0" w:firstLine="397"/>
      </w:pPr>
      <w:rPr>
        <w:rFonts w:hint="default"/>
      </w:rPr>
    </w:lvl>
  </w:abstractNum>
  <w:abstractNum w:abstractNumId="38">
    <w:nsid w:val="1FC6F8D2"/>
    <w:multiLevelType w:val="multilevel"/>
    <w:tmpl w:val="1FC6F8D2"/>
    <w:lvl w:ilvl="0" w:tentative="0">
      <w:start w:val="1"/>
      <w:numFmt w:val="decimal"/>
      <w:lvlText w:val="%1）"/>
      <w:lvlJc w:val="left"/>
      <w:pPr>
        <w:ind w:left="420" w:hanging="420"/>
      </w:pPr>
      <w:rPr>
        <w:rFonts w:hint="eastAsia" w:ascii="宋体" w:hAns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22E1BCAC"/>
    <w:multiLevelType w:val="singleLevel"/>
    <w:tmpl w:val="22E1BCAC"/>
    <w:lvl w:ilvl="0" w:tentative="0">
      <w:start w:val="1"/>
      <w:numFmt w:val="decimal"/>
      <w:lvlText w:val="(%1)"/>
      <w:lvlJc w:val="left"/>
      <w:pPr>
        <w:tabs>
          <w:tab w:val="left" w:pos="0"/>
        </w:tabs>
        <w:ind w:left="454" w:leftChars="0" w:hanging="454" w:firstLineChars="0"/>
      </w:pPr>
      <w:rPr>
        <w:rFonts w:hint="default"/>
      </w:rPr>
    </w:lvl>
  </w:abstractNum>
  <w:abstractNum w:abstractNumId="40">
    <w:nsid w:val="239C9A1F"/>
    <w:multiLevelType w:val="singleLevel"/>
    <w:tmpl w:val="239C9A1F"/>
    <w:lvl w:ilvl="0" w:tentative="0">
      <w:start w:val="1"/>
      <w:numFmt w:val="decimal"/>
      <w:suff w:val="nothing"/>
      <w:lvlText w:val="（%1）"/>
      <w:lvlJc w:val="left"/>
      <w:pPr>
        <w:ind w:left="0" w:firstLine="397"/>
      </w:pPr>
      <w:rPr>
        <w:rFonts w:hint="default"/>
      </w:rPr>
    </w:lvl>
  </w:abstractNum>
  <w:abstractNum w:abstractNumId="41">
    <w:nsid w:val="255E1FF0"/>
    <w:multiLevelType w:val="singleLevel"/>
    <w:tmpl w:val="255E1FF0"/>
    <w:lvl w:ilvl="0" w:tentative="0">
      <w:start w:val="1"/>
      <w:numFmt w:val="decimal"/>
      <w:suff w:val="nothing"/>
      <w:lvlText w:val="（%1）"/>
      <w:lvlJc w:val="left"/>
      <w:pPr>
        <w:ind w:left="0" w:firstLine="397"/>
      </w:pPr>
      <w:rPr>
        <w:rFonts w:hint="default"/>
        <w:sz w:val="21"/>
        <w:szCs w:val="21"/>
      </w:rPr>
    </w:lvl>
  </w:abstractNum>
  <w:abstractNum w:abstractNumId="4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4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4">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5">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6">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8">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9">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0">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1">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2">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53">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32040F93"/>
    <w:multiLevelType w:val="singleLevel"/>
    <w:tmpl w:val="32040F93"/>
    <w:lvl w:ilvl="0" w:tentative="0">
      <w:start w:val="1"/>
      <w:numFmt w:val="decimal"/>
      <w:suff w:val="nothing"/>
      <w:lvlText w:val="（%1）"/>
      <w:lvlJc w:val="left"/>
      <w:pPr>
        <w:ind w:left="0" w:firstLine="397"/>
      </w:pPr>
      <w:rPr>
        <w:rFonts w:hint="default"/>
        <w:sz w:val="21"/>
        <w:szCs w:val="21"/>
      </w:rPr>
    </w:lvl>
  </w:abstractNum>
  <w:abstractNum w:abstractNumId="56">
    <w:nsid w:val="32D455F1"/>
    <w:multiLevelType w:val="multilevel"/>
    <w:tmpl w:val="32D455F1"/>
    <w:lvl w:ilvl="0" w:tentative="0">
      <w:start w:val="1"/>
      <w:numFmt w:val="decimal"/>
      <w:lvlText w:val="%1）"/>
      <w:lvlJc w:val="left"/>
      <w:pPr>
        <w:ind w:left="420" w:hanging="420"/>
      </w:pPr>
      <w:rPr>
        <w:rFonts w:hint="eastAsia" w:ascii="宋体" w:hAns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33A01639"/>
    <w:multiLevelType w:val="singleLevel"/>
    <w:tmpl w:val="33A01639"/>
    <w:lvl w:ilvl="0" w:tentative="0">
      <w:start w:val="1"/>
      <w:numFmt w:val="decimal"/>
      <w:suff w:val="nothing"/>
      <w:lvlText w:val="%1."/>
      <w:lvlJc w:val="left"/>
      <w:pPr>
        <w:tabs>
          <w:tab w:val="left" w:pos="0"/>
        </w:tabs>
      </w:pPr>
      <w:rPr>
        <w:rFonts w:hint="default" w:ascii="宋体" w:hAnsi="宋体" w:eastAsia="宋体" w:cs="宋体"/>
      </w:rPr>
    </w:lvl>
  </w:abstractNum>
  <w:abstractNum w:abstractNumId="58">
    <w:nsid w:val="3BD5CBAC"/>
    <w:multiLevelType w:val="multilevel"/>
    <w:tmpl w:val="3BD5CBAC"/>
    <w:lvl w:ilvl="0" w:tentative="0">
      <w:start w:val="1"/>
      <w:numFmt w:val="decimal"/>
      <w:suff w:val="noth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3D896382"/>
    <w:multiLevelType w:val="multilevel"/>
    <w:tmpl w:val="3D896382"/>
    <w:lvl w:ilvl="0" w:tentative="0">
      <w:start w:val="1"/>
      <w:numFmt w:val="decimal"/>
      <w:lvlText w:val="%1."/>
      <w:lvlJc w:val="left"/>
      <w:pPr>
        <w:ind w:left="420" w:hanging="420"/>
      </w:pPr>
      <w:rPr>
        <w:rFonts w:hint="eastAsia" w:ascii="宋体" w:hAnsi="黑体" w:eastAsia="宋体"/>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4178128C"/>
    <w:multiLevelType w:val="multilevel"/>
    <w:tmpl w:val="4178128C"/>
    <w:lvl w:ilvl="0" w:tentative="0">
      <w:start w:val="1"/>
      <w:numFmt w:val="decimal"/>
      <w:suff w:val="space"/>
      <w:lvlText w:val="%1"/>
      <w:lvlJc w:val="left"/>
      <w:pPr>
        <w:ind w:left="0" w:firstLine="0"/>
      </w:pPr>
      <w:rPr>
        <w:rFonts w:hint="eastAsia" w:ascii="黑体" w:hAnsi="黑体" w:eastAsia="黑体"/>
        <w:b w:val="0"/>
        <w:i w:val="0"/>
        <w:sz w:val="30"/>
      </w:rPr>
    </w:lvl>
    <w:lvl w:ilvl="1" w:tentative="0">
      <w:start w:val="1"/>
      <w:numFmt w:val="decimal"/>
      <w:suff w:val="space"/>
      <w:lvlText w:val="%1.%2"/>
      <w:lvlJc w:val="left"/>
      <w:pPr>
        <w:ind w:left="0" w:firstLine="0"/>
      </w:pPr>
      <w:rPr>
        <w:rFonts w:hint="eastAsia" w:ascii="黑体" w:hAnsi="宋体" w:eastAsia="黑体" w:cs="宋体"/>
        <w:b w:val="0"/>
        <w:i w:val="0"/>
        <w:sz w:val="28"/>
        <w:szCs w:val="24"/>
      </w:rPr>
    </w:lvl>
    <w:lvl w:ilvl="2" w:tentative="0">
      <w:start w:val="1"/>
      <w:numFmt w:val="decimal"/>
      <w:suff w:val="space"/>
      <w:lvlText w:val="%1.%2.%3"/>
      <w:lvlJc w:val="left"/>
      <w:pPr>
        <w:ind w:left="0" w:firstLine="0"/>
      </w:pPr>
      <w:rPr>
        <w:rFonts w:hint="eastAsia" w:ascii="黑体" w:hAnsi="宋体" w:eastAsia="黑体" w:cs="宋体"/>
        <w:b w:val="0"/>
        <w:i w:val="0"/>
        <w:sz w:val="24"/>
      </w:rPr>
    </w:lvl>
    <w:lvl w:ilvl="3" w:tentative="0">
      <w:start w:val="1"/>
      <w:numFmt w:val="decimal"/>
      <w:pStyle w:val="7"/>
      <w:suff w:val="space"/>
      <w:lvlText w:val="%1.%2.%3.%4"/>
      <w:lvlJc w:val="left"/>
      <w:pPr>
        <w:ind w:left="0" w:firstLine="0"/>
      </w:pPr>
      <w:rPr>
        <w:rFonts w:hint="eastAsia" w:ascii="黑体" w:hAnsi="黑体" w:eastAsia="黑体"/>
        <w:b w:val="0"/>
        <w:i w:val="0"/>
        <w:sz w:val="21"/>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61">
    <w:nsid w:val="46FA2402"/>
    <w:multiLevelType w:val="singleLevel"/>
    <w:tmpl w:val="46FA2402"/>
    <w:lvl w:ilvl="0" w:tentative="0">
      <w:start w:val="1"/>
      <w:numFmt w:val="decimal"/>
      <w:suff w:val="nothing"/>
      <w:lvlText w:val="（%1）"/>
      <w:lvlJc w:val="left"/>
      <w:pPr>
        <w:ind w:left="0" w:firstLine="397"/>
      </w:pPr>
      <w:rPr>
        <w:rFonts w:hint="default"/>
      </w:rPr>
    </w:lvl>
  </w:abstractNum>
  <w:abstractNum w:abstractNumId="62">
    <w:nsid w:val="4AAA8D6E"/>
    <w:multiLevelType w:val="singleLevel"/>
    <w:tmpl w:val="4AAA8D6E"/>
    <w:lvl w:ilvl="0" w:tentative="0">
      <w:start w:val="1"/>
      <w:numFmt w:val="decimal"/>
      <w:suff w:val="nothing"/>
      <w:lvlText w:val="（%1）"/>
      <w:lvlJc w:val="left"/>
      <w:pPr>
        <w:ind w:left="0" w:firstLine="397"/>
      </w:pPr>
      <w:rPr>
        <w:rFonts w:hint="default"/>
        <w:sz w:val="21"/>
        <w:szCs w:val="21"/>
      </w:rPr>
    </w:lvl>
  </w:abstractNum>
  <w:abstractNum w:abstractNumId="63">
    <w:nsid w:val="4EE6C63A"/>
    <w:multiLevelType w:val="multilevel"/>
    <w:tmpl w:val="4EE6C63A"/>
    <w:lvl w:ilvl="0" w:tentative="0">
      <w:start w:val="1"/>
      <w:numFmt w:val="decimal"/>
      <w:lvlText w:val="%1."/>
      <w:lvlJc w:val="left"/>
      <w:pPr>
        <w:ind w:left="420" w:hanging="420"/>
      </w:pPr>
      <w:rPr>
        <w:rFonts w:hint="eastAsia" w:ascii="宋体" w:hAnsi="黑体" w:eastAsia="宋体"/>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4F4F254B"/>
    <w:multiLevelType w:val="singleLevel"/>
    <w:tmpl w:val="4F4F254B"/>
    <w:lvl w:ilvl="0" w:tentative="0">
      <w:start w:val="1"/>
      <w:numFmt w:val="decimal"/>
      <w:suff w:val="nothing"/>
      <w:lvlText w:val="（%1）"/>
      <w:lvlJc w:val="left"/>
      <w:pPr>
        <w:ind w:left="0" w:firstLine="397"/>
      </w:pPr>
      <w:rPr>
        <w:rFonts w:hint="default"/>
      </w:rPr>
    </w:lvl>
  </w:abstractNum>
  <w:abstractNum w:abstractNumId="65">
    <w:nsid w:val="4F8A1D6A"/>
    <w:multiLevelType w:val="multilevel"/>
    <w:tmpl w:val="4F8A1D6A"/>
    <w:lvl w:ilvl="0" w:tentative="0">
      <w:start w:val="1"/>
      <w:numFmt w:val="decimal"/>
      <w:lvlText w:val="（%1）"/>
      <w:lvlJc w:val="left"/>
      <w:pPr>
        <w:ind w:left="2547" w:hanging="420"/>
      </w:pPr>
      <w:rPr>
        <w:rFonts w:hint="eastAsia" w:ascii="宋体" w:hAns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4FD92031"/>
    <w:multiLevelType w:val="singleLevel"/>
    <w:tmpl w:val="4FD92031"/>
    <w:lvl w:ilvl="0" w:tentative="0">
      <w:start w:val="1"/>
      <w:numFmt w:val="decimal"/>
      <w:lvlText w:val="(%1)"/>
      <w:lvlJc w:val="left"/>
      <w:pPr>
        <w:ind w:left="425" w:hanging="425"/>
      </w:pPr>
      <w:rPr>
        <w:rFonts w:hint="default"/>
      </w:rPr>
    </w:lvl>
  </w:abstractNum>
  <w:abstractNum w:abstractNumId="67">
    <w:nsid w:val="5161BA33"/>
    <w:multiLevelType w:val="singleLevel"/>
    <w:tmpl w:val="5161BA33"/>
    <w:lvl w:ilvl="0" w:tentative="0">
      <w:start w:val="1"/>
      <w:numFmt w:val="decimal"/>
      <w:lvlText w:val="(%1)"/>
      <w:lvlJc w:val="left"/>
      <w:pPr>
        <w:ind w:left="425" w:hanging="425"/>
      </w:pPr>
      <w:rPr>
        <w:rFonts w:hint="default"/>
      </w:rPr>
    </w:lvl>
  </w:abstractNum>
  <w:abstractNum w:abstractNumId="68">
    <w:nsid w:val="54B725F2"/>
    <w:multiLevelType w:val="multilevel"/>
    <w:tmpl w:val="54B725F2"/>
    <w:lvl w:ilvl="0" w:tentative="0">
      <w:start w:val="1"/>
      <w:numFmt w:val="decimal"/>
      <w:lvlText w:val="%1）"/>
      <w:lvlJc w:val="left"/>
      <w:pPr>
        <w:ind w:left="420" w:hanging="420"/>
      </w:pPr>
      <w:rPr>
        <w:rFonts w:hint="eastAsia" w:ascii="宋体" w:hAnsi="宋体" w:eastAsia="宋体"/>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55B65CF2"/>
    <w:multiLevelType w:val="singleLevel"/>
    <w:tmpl w:val="55B65CF2"/>
    <w:lvl w:ilvl="0" w:tentative="0">
      <w:start w:val="1"/>
      <w:numFmt w:val="decimal"/>
      <w:suff w:val="nothing"/>
      <w:lvlText w:val="（%1）"/>
      <w:lvlJc w:val="left"/>
      <w:pPr>
        <w:ind w:left="0" w:firstLine="397"/>
      </w:pPr>
      <w:rPr>
        <w:rFonts w:hint="default"/>
      </w:rPr>
    </w:lvl>
  </w:abstractNum>
  <w:abstractNum w:abstractNumId="70">
    <w:nsid w:val="587D0AF0"/>
    <w:multiLevelType w:val="multilevel"/>
    <w:tmpl w:val="587D0AF0"/>
    <w:lvl w:ilvl="0" w:tentative="0">
      <w:start w:val="1"/>
      <w:numFmt w:val="decimal"/>
      <w:lvlText w:val="%1."/>
      <w:lvlJc w:val="left"/>
      <w:pPr>
        <w:ind w:left="420" w:hanging="420"/>
      </w:pPr>
      <w:rPr>
        <w:rFonts w:hint="eastAsia" w:ascii="宋体" w:hAnsi="黑体" w:eastAsia="宋体"/>
        <w:b w:val="0"/>
        <w:i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5AA9FB95"/>
    <w:multiLevelType w:val="singleLevel"/>
    <w:tmpl w:val="5AA9FB95"/>
    <w:lvl w:ilvl="0" w:tentative="0">
      <w:start w:val="1"/>
      <w:numFmt w:val="decimal"/>
      <w:suff w:val="nothing"/>
      <w:lvlText w:val="（%1）"/>
      <w:lvlJc w:val="left"/>
      <w:pPr>
        <w:ind w:left="0" w:firstLine="397"/>
      </w:pPr>
      <w:rPr>
        <w:rFonts w:hint="default"/>
      </w:rPr>
    </w:lvl>
  </w:abstractNum>
  <w:abstractNum w:abstractNumId="72">
    <w:nsid w:val="5F53923C"/>
    <w:multiLevelType w:val="singleLevel"/>
    <w:tmpl w:val="5F53923C"/>
    <w:lvl w:ilvl="0" w:tentative="0">
      <w:start w:val="1"/>
      <w:numFmt w:val="decimal"/>
      <w:suff w:val="nothing"/>
      <w:lvlText w:val="（%1）"/>
      <w:lvlJc w:val="left"/>
      <w:pPr>
        <w:ind w:left="0" w:firstLine="397"/>
      </w:pPr>
      <w:rPr>
        <w:rFonts w:hint="default"/>
      </w:rPr>
    </w:lvl>
  </w:abstractNum>
  <w:abstractNum w:abstractNumId="73">
    <w:nsid w:val="68E84BE5"/>
    <w:multiLevelType w:val="singleLevel"/>
    <w:tmpl w:val="68E84BE5"/>
    <w:lvl w:ilvl="0" w:tentative="0">
      <w:start w:val="1"/>
      <w:numFmt w:val="decimal"/>
      <w:suff w:val="nothing"/>
      <w:lvlText w:val="（%1）"/>
      <w:lvlJc w:val="left"/>
      <w:pPr>
        <w:ind w:left="0" w:firstLine="397"/>
      </w:pPr>
      <w:rPr>
        <w:rFonts w:hint="default"/>
      </w:rPr>
    </w:lvl>
  </w:abstractNum>
  <w:abstractNum w:abstractNumId="74">
    <w:nsid w:val="6BB7851D"/>
    <w:multiLevelType w:val="singleLevel"/>
    <w:tmpl w:val="6BB7851D"/>
    <w:lvl w:ilvl="0" w:tentative="0">
      <w:start w:val="1"/>
      <w:numFmt w:val="decimal"/>
      <w:lvlText w:val="%1"/>
      <w:lvlJc w:val="left"/>
      <w:pPr>
        <w:tabs>
          <w:tab w:val="left" w:pos="420"/>
        </w:tabs>
        <w:ind w:left="425" w:leftChars="0" w:hanging="425" w:firstLineChars="0"/>
      </w:pPr>
      <w:rPr>
        <w:rFonts w:hint="default"/>
      </w:rPr>
    </w:lvl>
  </w:abstractNum>
  <w:abstractNum w:abstractNumId="75">
    <w:nsid w:val="7DC06AAD"/>
    <w:multiLevelType w:val="singleLevel"/>
    <w:tmpl w:val="7DC06AAD"/>
    <w:lvl w:ilvl="0" w:tentative="0">
      <w:start w:val="1"/>
      <w:numFmt w:val="decimal"/>
      <w:suff w:val="nothing"/>
      <w:lvlText w:val="（%1）"/>
      <w:lvlJc w:val="left"/>
      <w:pPr>
        <w:ind w:left="0" w:firstLine="397"/>
      </w:pPr>
      <w:rPr>
        <w:rFonts w:hint="default"/>
        <w:sz w:val="21"/>
        <w:szCs w:val="21"/>
      </w:rPr>
    </w:lvl>
  </w:abstractNum>
  <w:abstractNum w:abstractNumId="76">
    <w:nsid w:val="7DFE5E81"/>
    <w:multiLevelType w:val="multilevel"/>
    <w:tmpl w:val="7DFE5E8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7F176A81"/>
    <w:multiLevelType w:val="singleLevel"/>
    <w:tmpl w:val="7F176A81"/>
    <w:lvl w:ilvl="0" w:tentative="0">
      <w:start w:val="1"/>
      <w:numFmt w:val="decimal"/>
      <w:suff w:val="nothing"/>
      <w:lvlText w:val="（%1）"/>
      <w:lvlJc w:val="left"/>
      <w:pPr>
        <w:ind w:left="0" w:firstLine="397"/>
      </w:pPr>
      <w:rPr>
        <w:rFonts w:hint="default"/>
      </w:rPr>
    </w:lvl>
  </w:abstractNum>
  <w:num w:numId="1">
    <w:abstractNumId w:val="60"/>
  </w:num>
  <w:num w:numId="2">
    <w:abstractNumId w:val="2"/>
  </w:num>
  <w:num w:numId="3">
    <w:abstractNumId w:val="47"/>
  </w:num>
  <w:num w:numId="4">
    <w:abstractNumId w:val="54"/>
  </w:num>
  <w:num w:numId="5">
    <w:abstractNumId w:val="43"/>
  </w:num>
  <w:num w:numId="6">
    <w:abstractNumId w:val="42"/>
  </w:num>
  <w:num w:numId="7">
    <w:abstractNumId w:val="53"/>
  </w:num>
  <w:num w:numId="8">
    <w:abstractNumId w:val="52"/>
  </w:num>
  <w:num w:numId="9">
    <w:abstractNumId w:val="45"/>
  </w:num>
  <w:num w:numId="10">
    <w:abstractNumId w:val="51"/>
  </w:num>
  <w:num w:numId="11">
    <w:abstractNumId w:val="46"/>
  </w:num>
  <w:num w:numId="12">
    <w:abstractNumId w:val="49"/>
  </w:num>
  <w:num w:numId="13">
    <w:abstractNumId w:val="44"/>
  </w:num>
  <w:num w:numId="14">
    <w:abstractNumId w:val="50"/>
  </w:num>
  <w:num w:numId="15">
    <w:abstractNumId w:val="48"/>
  </w:num>
  <w:num w:numId="16">
    <w:abstractNumId w:val="74"/>
  </w:num>
  <w:num w:numId="17">
    <w:abstractNumId w:val="22"/>
  </w:num>
  <w:num w:numId="18">
    <w:abstractNumId w:val="21"/>
  </w:num>
  <w:num w:numId="19">
    <w:abstractNumId w:val="71"/>
  </w:num>
  <w:num w:numId="20">
    <w:abstractNumId w:val="64"/>
  </w:num>
  <w:num w:numId="21">
    <w:abstractNumId w:val="8"/>
  </w:num>
  <w:num w:numId="22">
    <w:abstractNumId w:val="39"/>
  </w:num>
  <w:num w:numId="23">
    <w:abstractNumId w:val="67"/>
  </w:num>
  <w:num w:numId="24">
    <w:abstractNumId w:val="1"/>
  </w:num>
  <w:num w:numId="25">
    <w:abstractNumId w:val="66"/>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59"/>
  </w:num>
  <w:num w:numId="29">
    <w:abstractNumId w:val="70"/>
  </w:num>
  <w:num w:numId="30">
    <w:abstractNumId w:val="28"/>
  </w:num>
  <w:num w:numId="31">
    <w:abstractNumId w:val="63"/>
  </w:num>
  <w:num w:numId="32">
    <w:abstractNumId w:val="77"/>
  </w:num>
  <w:num w:numId="33">
    <w:abstractNumId w:val="0"/>
  </w:num>
  <w:num w:numId="34">
    <w:abstractNumId w:val="40"/>
  </w:num>
  <w:num w:numId="35">
    <w:abstractNumId w:val="73"/>
  </w:num>
  <w:num w:numId="36">
    <w:abstractNumId w:val="69"/>
  </w:num>
  <w:num w:numId="37">
    <w:abstractNumId w:val="72"/>
  </w:num>
  <w:num w:numId="38">
    <w:abstractNumId w:val="17"/>
  </w:num>
  <w:num w:numId="39">
    <w:abstractNumId w:val="68"/>
  </w:num>
  <w:num w:numId="40">
    <w:abstractNumId w:val="20"/>
  </w:num>
  <w:num w:numId="41">
    <w:abstractNumId w:val="10"/>
  </w:num>
  <w:num w:numId="42">
    <w:abstractNumId w:val="34"/>
  </w:num>
  <w:num w:numId="43">
    <w:abstractNumId w:val="5"/>
  </w:num>
  <w:num w:numId="44">
    <w:abstractNumId w:val="27"/>
  </w:num>
  <w:num w:numId="45">
    <w:abstractNumId w:val="24"/>
  </w:num>
  <w:num w:numId="46">
    <w:abstractNumId w:val="56"/>
  </w:num>
  <w:num w:numId="47">
    <w:abstractNumId w:val="19"/>
  </w:num>
  <w:num w:numId="48">
    <w:abstractNumId w:val="4"/>
  </w:num>
  <w:num w:numId="49">
    <w:abstractNumId w:val="11"/>
  </w:num>
  <w:num w:numId="50">
    <w:abstractNumId w:val="35"/>
  </w:num>
  <w:num w:numId="51">
    <w:abstractNumId w:val="30"/>
  </w:num>
  <w:num w:numId="52">
    <w:abstractNumId w:val="55"/>
  </w:num>
  <w:num w:numId="53">
    <w:abstractNumId w:val="62"/>
  </w:num>
  <w:num w:numId="54">
    <w:abstractNumId w:val="41"/>
  </w:num>
  <w:num w:numId="55">
    <w:abstractNumId w:val="61"/>
  </w:num>
  <w:num w:numId="56">
    <w:abstractNumId w:val="29"/>
  </w:num>
  <w:num w:numId="57">
    <w:abstractNumId w:val="76"/>
  </w:num>
  <w:num w:numId="58">
    <w:abstractNumId w:val="75"/>
  </w:num>
  <w:num w:numId="59">
    <w:abstractNumId w:val="38"/>
  </w:num>
  <w:num w:numId="60">
    <w:abstractNumId w:val="65"/>
  </w:num>
  <w:num w:numId="61">
    <w:abstractNumId w:val="14"/>
  </w:num>
  <w:num w:numId="62">
    <w:abstractNumId w:val="7"/>
  </w:num>
  <w:num w:numId="63">
    <w:abstractNumId w:val="12"/>
  </w:num>
  <w:num w:numId="64">
    <w:abstractNumId w:val="26"/>
  </w:num>
  <w:num w:numId="65">
    <w:abstractNumId w:val="3"/>
  </w:num>
  <w:num w:numId="66">
    <w:abstractNumId w:val="9"/>
  </w:num>
  <w:num w:numId="67">
    <w:abstractNumId w:val="32"/>
  </w:num>
  <w:num w:numId="68">
    <w:abstractNumId w:val="57"/>
  </w:num>
  <w:num w:numId="69">
    <w:abstractNumId w:val="18"/>
  </w:num>
  <w:num w:numId="70">
    <w:abstractNumId w:val="23"/>
  </w:num>
  <w:num w:numId="71">
    <w:abstractNumId w:val="33"/>
  </w:num>
  <w:num w:numId="72">
    <w:abstractNumId w:val="36"/>
  </w:num>
  <w:num w:numId="73">
    <w:abstractNumId w:val="6"/>
  </w:num>
  <w:num w:numId="74">
    <w:abstractNumId w:val="31"/>
  </w:num>
  <w:num w:numId="75">
    <w:abstractNumId w:val="25"/>
  </w:num>
  <w:num w:numId="76">
    <w:abstractNumId w:val="58"/>
  </w:num>
  <w:num w:numId="77">
    <w:abstractNumId w:val="16"/>
  </w:num>
  <w:num w:numId="78">
    <w:abstractNumId w:val="15"/>
  </w:num>
  <w:num w:numId="7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DAzNjFmZWQ5MGFkZTQwMDA2Y2FlNmVlNjMzODYifQ=="/>
  </w:docVars>
  <w:rsids>
    <w:rsidRoot w:val="00BA3124"/>
    <w:rsid w:val="000000F2"/>
    <w:rsid w:val="00000139"/>
    <w:rsid w:val="000045EA"/>
    <w:rsid w:val="00007C3F"/>
    <w:rsid w:val="00011781"/>
    <w:rsid w:val="000143B4"/>
    <w:rsid w:val="00015B06"/>
    <w:rsid w:val="00022F88"/>
    <w:rsid w:val="00030F30"/>
    <w:rsid w:val="000437E6"/>
    <w:rsid w:val="00043E88"/>
    <w:rsid w:val="00050898"/>
    <w:rsid w:val="0005200D"/>
    <w:rsid w:val="00070470"/>
    <w:rsid w:val="00074337"/>
    <w:rsid w:val="0008222E"/>
    <w:rsid w:val="00092270"/>
    <w:rsid w:val="0009493E"/>
    <w:rsid w:val="00095B78"/>
    <w:rsid w:val="000A0870"/>
    <w:rsid w:val="000A1767"/>
    <w:rsid w:val="000A49C9"/>
    <w:rsid w:val="000B34C7"/>
    <w:rsid w:val="000B44D3"/>
    <w:rsid w:val="000B5BA2"/>
    <w:rsid w:val="000C1668"/>
    <w:rsid w:val="000C1D2F"/>
    <w:rsid w:val="000C20C1"/>
    <w:rsid w:val="000C32A2"/>
    <w:rsid w:val="000C53FF"/>
    <w:rsid w:val="000C56A1"/>
    <w:rsid w:val="000C68D6"/>
    <w:rsid w:val="000D2B9F"/>
    <w:rsid w:val="000D3045"/>
    <w:rsid w:val="000E072A"/>
    <w:rsid w:val="000E7DA5"/>
    <w:rsid w:val="000F56F5"/>
    <w:rsid w:val="000F5E28"/>
    <w:rsid w:val="000F6EB3"/>
    <w:rsid w:val="00100517"/>
    <w:rsid w:val="0011106B"/>
    <w:rsid w:val="0011296C"/>
    <w:rsid w:val="001207B4"/>
    <w:rsid w:val="00126FBA"/>
    <w:rsid w:val="001315CE"/>
    <w:rsid w:val="00133A8C"/>
    <w:rsid w:val="00135B62"/>
    <w:rsid w:val="00135C49"/>
    <w:rsid w:val="00136FF6"/>
    <w:rsid w:val="00141670"/>
    <w:rsid w:val="001445DC"/>
    <w:rsid w:val="001520D4"/>
    <w:rsid w:val="0015296D"/>
    <w:rsid w:val="00155FD4"/>
    <w:rsid w:val="0017175E"/>
    <w:rsid w:val="00180594"/>
    <w:rsid w:val="00183519"/>
    <w:rsid w:val="00186A28"/>
    <w:rsid w:val="001A37D3"/>
    <w:rsid w:val="001A3FCA"/>
    <w:rsid w:val="001B0893"/>
    <w:rsid w:val="001C0C50"/>
    <w:rsid w:val="001E0D82"/>
    <w:rsid w:val="001E0D93"/>
    <w:rsid w:val="001E5985"/>
    <w:rsid w:val="001E5F4A"/>
    <w:rsid w:val="002041A6"/>
    <w:rsid w:val="00206D2E"/>
    <w:rsid w:val="00210D44"/>
    <w:rsid w:val="00212AF9"/>
    <w:rsid w:val="00226768"/>
    <w:rsid w:val="00226771"/>
    <w:rsid w:val="00226B2E"/>
    <w:rsid w:val="00226D0E"/>
    <w:rsid w:val="00237A98"/>
    <w:rsid w:val="0024287B"/>
    <w:rsid w:val="002441F7"/>
    <w:rsid w:val="0024741B"/>
    <w:rsid w:val="00247716"/>
    <w:rsid w:val="00261C93"/>
    <w:rsid w:val="00265564"/>
    <w:rsid w:val="00272F80"/>
    <w:rsid w:val="0027764C"/>
    <w:rsid w:val="0028366D"/>
    <w:rsid w:val="002A20A0"/>
    <w:rsid w:val="002B1394"/>
    <w:rsid w:val="002C556E"/>
    <w:rsid w:val="002C5B0F"/>
    <w:rsid w:val="002D23D9"/>
    <w:rsid w:val="002D2720"/>
    <w:rsid w:val="002D2931"/>
    <w:rsid w:val="002D6D0E"/>
    <w:rsid w:val="002E190D"/>
    <w:rsid w:val="002E6BE3"/>
    <w:rsid w:val="003166B6"/>
    <w:rsid w:val="00316E03"/>
    <w:rsid w:val="003207F4"/>
    <w:rsid w:val="00320BB7"/>
    <w:rsid w:val="00330D78"/>
    <w:rsid w:val="003354EE"/>
    <w:rsid w:val="00337C6A"/>
    <w:rsid w:val="003464E7"/>
    <w:rsid w:val="00353318"/>
    <w:rsid w:val="00354E36"/>
    <w:rsid w:val="003568E4"/>
    <w:rsid w:val="00361313"/>
    <w:rsid w:val="0036732D"/>
    <w:rsid w:val="003706A5"/>
    <w:rsid w:val="003712A4"/>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746F"/>
    <w:rsid w:val="004043A2"/>
    <w:rsid w:val="004117BD"/>
    <w:rsid w:val="00412A48"/>
    <w:rsid w:val="00414B71"/>
    <w:rsid w:val="00417574"/>
    <w:rsid w:val="004215F1"/>
    <w:rsid w:val="0042215D"/>
    <w:rsid w:val="0043285C"/>
    <w:rsid w:val="00436E82"/>
    <w:rsid w:val="00440F9A"/>
    <w:rsid w:val="00443ADE"/>
    <w:rsid w:val="0044418D"/>
    <w:rsid w:val="004518D2"/>
    <w:rsid w:val="0045479E"/>
    <w:rsid w:val="004632AA"/>
    <w:rsid w:val="00476FBE"/>
    <w:rsid w:val="00483264"/>
    <w:rsid w:val="004A0C16"/>
    <w:rsid w:val="004A0D30"/>
    <w:rsid w:val="004B1E96"/>
    <w:rsid w:val="004B508D"/>
    <w:rsid w:val="004B62C0"/>
    <w:rsid w:val="004B6350"/>
    <w:rsid w:val="004C09AF"/>
    <w:rsid w:val="004C7017"/>
    <w:rsid w:val="004D03B0"/>
    <w:rsid w:val="004D1018"/>
    <w:rsid w:val="004D449E"/>
    <w:rsid w:val="004D4C3A"/>
    <w:rsid w:val="004E12DE"/>
    <w:rsid w:val="004F6E95"/>
    <w:rsid w:val="00500C4A"/>
    <w:rsid w:val="00505261"/>
    <w:rsid w:val="00510E4D"/>
    <w:rsid w:val="00512701"/>
    <w:rsid w:val="00512A45"/>
    <w:rsid w:val="0052634A"/>
    <w:rsid w:val="00532363"/>
    <w:rsid w:val="00536377"/>
    <w:rsid w:val="00541401"/>
    <w:rsid w:val="005418DB"/>
    <w:rsid w:val="0054269C"/>
    <w:rsid w:val="005448AD"/>
    <w:rsid w:val="00545844"/>
    <w:rsid w:val="00562190"/>
    <w:rsid w:val="00564C20"/>
    <w:rsid w:val="00571D43"/>
    <w:rsid w:val="00574C3B"/>
    <w:rsid w:val="00575AB8"/>
    <w:rsid w:val="0057690D"/>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B89"/>
    <w:rsid w:val="00606397"/>
    <w:rsid w:val="006173A4"/>
    <w:rsid w:val="00622520"/>
    <w:rsid w:val="006279E7"/>
    <w:rsid w:val="00634596"/>
    <w:rsid w:val="006425FA"/>
    <w:rsid w:val="00642B95"/>
    <w:rsid w:val="00647559"/>
    <w:rsid w:val="006523EB"/>
    <w:rsid w:val="00653C14"/>
    <w:rsid w:val="0065460D"/>
    <w:rsid w:val="0066001D"/>
    <w:rsid w:val="006679DC"/>
    <w:rsid w:val="00670400"/>
    <w:rsid w:val="006724B7"/>
    <w:rsid w:val="00672F69"/>
    <w:rsid w:val="00677925"/>
    <w:rsid w:val="00677A8A"/>
    <w:rsid w:val="006922EC"/>
    <w:rsid w:val="00695EDE"/>
    <w:rsid w:val="006A23E9"/>
    <w:rsid w:val="006A2F07"/>
    <w:rsid w:val="006A4D72"/>
    <w:rsid w:val="006A543A"/>
    <w:rsid w:val="006B6F3C"/>
    <w:rsid w:val="006C2D0C"/>
    <w:rsid w:val="006C4DC3"/>
    <w:rsid w:val="006C77CD"/>
    <w:rsid w:val="006E1C8A"/>
    <w:rsid w:val="006F48AD"/>
    <w:rsid w:val="006F56A7"/>
    <w:rsid w:val="006F629E"/>
    <w:rsid w:val="007032FC"/>
    <w:rsid w:val="00703D29"/>
    <w:rsid w:val="00703F0B"/>
    <w:rsid w:val="007076B1"/>
    <w:rsid w:val="0071330B"/>
    <w:rsid w:val="00722F66"/>
    <w:rsid w:val="00722FCE"/>
    <w:rsid w:val="007258A2"/>
    <w:rsid w:val="00733600"/>
    <w:rsid w:val="007339A9"/>
    <w:rsid w:val="007345D7"/>
    <w:rsid w:val="00735BD4"/>
    <w:rsid w:val="00737A61"/>
    <w:rsid w:val="00741B8D"/>
    <w:rsid w:val="00746901"/>
    <w:rsid w:val="00750C92"/>
    <w:rsid w:val="00751CDD"/>
    <w:rsid w:val="00753178"/>
    <w:rsid w:val="00754FB0"/>
    <w:rsid w:val="00756CAA"/>
    <w:rsid w:val="00762CB8"/>
    <w:rsid w:val="0077088A"/>
    <w:rsid w:val="00785F88"/>
    <w:rsid w:val="00786B37"/>
    <w:rsid w:val="00792362"/>
    <w:rsid w:val="007A04DC"/>
    <w:rsid w:val="007A287A"/>
    <w:rsid w:val="007A2EB0"/>
    <w:rsid w:val="007B04FF"/>
    <w:rsid w:val="007B6DA0"/>
    <w:rsid w:val="007C15ED"/>
    <w:rsid w:val="007C19AE"/>
    <w:rsid w:val="007C2CCC"/>
    <w:rsid w:val="007C337F"/>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56873"/>
    <w:rsid w:val="00860F02"/>
    <w:rsid w:val="00861912"/>
    <w:rsid w:val="008657A4"/>
    <w:rsid w:val="0086730C"/>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21F6"/>
    <w:rsid w:val="00902910"/>
    <w:rsid w:val="00904592"/>
    <w:rsid w:val="00906D34"/>
    <w:rsid w:val="009120C7"/>
    <w:rsid w:val="009123C5"/>
    <w:rsid w:val="00916179"/>
    <w:rsid w:val="00917615"/>
    <w:rsid w:val="00921A28"/>
    <w:rsid w:val="00925337"/>
    <w:rsid w:val="00931174"/>
    <w:rsid w:val="00937B1F"/>
    <w:rsid w:val="0094110B"/>
    <w:rsid w:val="00944B82"/>
    <w:rsid w:val="00945006"/>
    <w:rsid w:val="00956B31"/>
    <w:rsid w:val="00956FA8"/>
    <w:rsid w:val="00957AA0"/>
    <w:rsid w:val="009604CB"/>
    <w:rsid w:val="00961F4A"/>
    <w:rsid w:val="00965538"/>
    <w:rsid w:val="0097464F"/>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249A4"/>
    <w:rsid w:val="00A2528E"/>
    <w:rsid w:val="00A34C49"/>
    <w:rsid w:val="00A461C1"/>
    <w:rsid w:val="00A54F86"/>
    <w:rsid w:val="00A63392"/>
    <w:rsid w:val="00A722C5"/>
    <w:rsid w:val="00A859DC"/>
    <w:rsid w:val="00A872DA"/>
    <w:rsid w:val="00A9122E"/>
    <w:rsid w:val="00A91F36"/>
    <w:rsid w:val="00A93A7F"/>
    <w:rsid w:val="00AA0FB3"/>
    <w:rsid w:val="00AB6B27"/>
    <w:rsid w:val="00AD6B25"/>
    <w:rsid w:val="00AD6ED0"/>
    <w:rsid w:val="00AE2C17"/>
    <w:rsid w:val="00AE5333"/>
    <w:rsid w:val="00AE6F3C"/>
    <w:rsid w:val="00AF196A"/>
    <w:rsid w:val="00AF54E1"/>
    <w:rsid w:val="00B04E81"/>
    <w:rsid w:val="00B14E6B"/>
    <w:rsid w:val="00B16089"/>
    <w:rsid w:val="00B266B6"/>
    <w:rsid w:val="00B31CA2"/>
    <w:rsid w:val="00B457D5"/>
    <w:rsid w:val="00B47764"/>
    <w:rsid w:val="00B4784E"/>
    <w:rsid w:val="00B52D63"/>
    <w:rsid w:val="00B62476"/>
    <w:rsid w:val="00B80D2F"/>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6538"/>
    <w:rsid w:val="00C46568"/>
    <w:rsid w:val="00C519A3"/>
    <w:rsid w:val="00C524FA"/>
    <w:rsid w:val="00C557E5"/>
    <w:rsid w:val="00C61DF1"/>
    <w:rsid w:val="00C636A8"/>
    <w:rsid w:val="00C649A3"/>
    <w:rsid w:val="00C64C38"/>
    <w:rsid w:val="00C64D53"/>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21E36"/>
    <w:rsid w:val="00D2321E"/>
    <w:rsid w:val="00D23492"/>
    <w:rsid w:val="00D26520"/>
    <w:rsid w:val="00D277F8"/>
    <w:rsid w:val="00D300DD"/>
    <w:rsid w:val="00D44F13"/>
    <w:rsid w:val="00D479CD"/>
    <w:rsid w:val="00D74E9C"/>
    <w:rsid w:val="00D829D0"/>
    <w:rsid w:val="00D841A1"/>
    <w:rsid w:val="00D84F11"/>
    <w:rsid w:val="00D92C17"/>
    <w:rsid w:val="00D930BB"/>
    <w:rsid w:val="00D932AD"/>
    <w:rsid w:val="00D93779"/>
    <w:rsid w:val="00D95A48"/>
    <w:rsid w:val="00D95A4C"/>
    <w:rsid w:val="00DB181C"/>
    <w:rsid w:val="00DE249D"/>
    <w:rsid w:val="00DE77B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75D0"/>
    <w:rsid w:val="00F331FE"/>
    <w:rsid w:val="00F344D6"/>
    <w:rsid w:val="00F35244"/>
    <w:rsid w:val="00F37250"/>
    <w:rsid w:val="00F3752A"/>
    <w:rsid w:val="00F40FBF"/>
    <w:rsid w:val="00F41ABA"/>
    <w:rsid w:val="00F43D41"/>
    <w:rsid w:val="00F502E0"/>
    <w:rsid w:val="00F52F5A"/>
    <w:rsid w:val="00F56501"/>
    <w:rsid w:val="00F603CC"/>
    <w:rsid w:val="00F74EBD"/>
    <w:rsid w:val="00F82ADB"/>
    <w:rsid w:val="00F831B3"/>
    <w:rsid w:val="00F86B8B"/>
    <w:rsid w:val="00F8733F"/>
    <w:rsid w:val="00F94057"/>
    <w:rsid w:val="00FB3AAB"/>
    <w:rsid w:val="00FC02B4"/>
    <w:rsid w:val="00FD1370"/>
    <w:rsid w:val="00FD5F55"/>
    <w:rsid w:val="00FE3364"/>
    <w:rsid w:val="00FE6711"/>
    <w:rsid w:val="00FF2D5E"/>
    <w:rsid w:val="00FF3FB5"/>
    <w:rsid w:val="00FF5A2F"/>
    <w:rsid w:val="017C090E"/>
    <w:rsid w:val="020164F2"/>
    <w:rsid w:val="027F6B1B"/>
    <w:rsid w:val="02A30710"/>
    <w:rsid w:val="02A340CA"/>
    <w:rsid w:val="02DA018C"/>
    <w:rsid w:val="038721C4"/>
    <w:rsid w:val="03E6553E"/>
    <w:rsid w:val="044743F3"/>
    <w:rsid w:val="044A271C"/>
    <w:rsid w:val="04AA53AF"/>
    <w:rsid w:val="04DB0CDE"/>
    <w:rsid w:val="04E47D2C"/>
    <w:rsid w:val="05777F14"/>
    <w:rsid w:val="05845150"/>
    <w:rsid w:val="05DB51F8"/>
    <w:rsid w:val="06BF620A"/>
    <w:rsid w:val="06C17CBB"/>
    <w:rsid w:val="06C9199F"/>
    <w:rsid w:val="06F573D9"/>
    <w:rsid w:val="071543CF"/>
    <w:rsid w:val="073271B4"/>
    <w:rsid w:val="07786722"/>
    <w:rsid w:val="077D2001"/>
    <w:rsid w:val="079B615C"/>
    <w:rsid w:val="07AD0554"/>
    <w:rsid w:val="07B04790"/>
    <w:rsid w:val="07D8585A"/>
    <w:rsid w:val="07E67CE7"/>
    <w:rsid w:val="08440AE6"/>
    <w:rsid w:val="088077E4"/>
    <w:rsid w:val="08826D4F"/>
    <w:rsid w:val="08B507A0"/>
    <w:rsid w:val="08D76578"/>
    <w:rsid w:val="090F4FC5"/>
    <w:rsid w:val="09395B12"/>
    <w:rsid w:val="0961688A"/>
    <w:rsid w:val="09AD78B7"/>
    <w:rsid w:val="0A695495"/>
    <w:rsid w:val="0A8A11FC"/>
    <w:rsid w:val="0A9271D9"/>
    <w:rsid w:val="0AA1085A"/>
    <w:rsid w:val="0AC36E49"/>
    <w:rsid w:val="0AF279BB"/>
    <w:rsid w:val="0AFA3A06"/>
    <w:rsid w:val="0B196315"/>
    <w:rsid w:val="0B2F3296"/>
    <w:rsid w:val="0B616AE4"/>
    <w:rsid w:val="0B924E43"/>
    <w:rsid w:val="0BA62D96"/>
    <w:rsid w:val="0C5C4E22"/>
    <w:rsid w:val="0CCA57BB"/>
    <w:rsid w:val="0D460BF6"/>
    <w:rsid w:val="0DEB1241"/>
    <w:rsid w:val="0DF23FDE"/>
    <w:rsid w:val="0ECD2B25"/>
    <w:rsid w:val="0F9F1EB0"/>
    <w:rsid w:val="0FA347B8"/>
    <w:rsid w:val="0FBB08E1"/>
    <w:rsid w:val="0FFB0A97"/>
    <w:rsid w:val="10057015"/>
    <w:rsid w:val="101D256D"/>
    <w:rsid w:val="105253A5"/>
    <w:rsid w:val="105F015B"/>
    <w:rsid w:val="107B6211"/>
    <w:rsid w:val="10CA2ED3"/>
    <w:rsid w:val="10E440C2"/>
    <w:rsid w:val="10E64929"/>
    <w:rsid w:val="113B3540"/>
    <w:rsid w:val="11630DAF"/>
    <w:rsid w:val="118F76C4"/>
    <w:rsid w:val="11954AE4"/>
    <w:rsid w:val="11A704B8"/>
    <w:rsid w:val="11AD4A82"/>
    <w:rsid w:val="11B161BA"/>
    <w:rsid w:val="11D525FA"/>
    <w:rsid w:val="11FF0A75"/>
    <w:rsid w:val="1249051A"/>
    <w:rsid w:val="1331784B"/>
    <w:rsid w:val="13421AE4"/>
    <w:rsid w:val="13496E60"/>
    <w:rsid w:val="1393476A"/>
    <w:rsid w:val="13AF5E02"/>
    <w:rsid w:val="13F66165"/>
    <w:rsid w:val="142F43C4"/>
    <w:rsid w:val="1457788F"/>
    <w:rsid w:val="14E86739"/>
    <w:rsid w:val="14EA78E4"/>
    <w:rsid w:val="158E449E"/>
    <w:rsid w:val="15D448EB"/>
    <w:rsid w:val="16361726"/>
    <w:rsid w:val="17585656"/>
    <w:rsid w:val="17E56999"/>
    <w:rsid w:val="1838227D"/>
    <w:rsid w:val="190C1E15"/>
    <w:rsid w:val="196A4DAA"/>
    <w:rsid w:val="19B36784"/>
    <w:rsid w:val="1A121912"/>
    <w:rsid w:val="1AC61B68"/>
    <w:rsid w:val="1B1E6E11"/>
    <w:rsid w:val="1B31036C"/>
    <w:rsid w:val="1B8C0C76"/>
    <w:rsid w:val="1BE737B4"/>
    <w:rsid w:val="1C220782"/>
    <w:rsid w:val="1C6208BC"/>
    <w:rsid w:val="1D132BC2"/>
    <w:rsid w:val="1D1B10E7"/>
    <w:rsid w:val="1D345293"/>
    <w:rsid w:val="1DF7203E"/>
    <w:rsid w:val="1EB13D33"/>
    <w:rsid w:val="1EC05C79"/>
    <w:rsid w:val="1F17181A"/>
    <w:rsid w:val="1F19071E"/>
    <w:rsid w:val="1F1964A1"/>
    <w:rsid w:val="1F343953"/>
    <w:rsid w:val="1FDB0EFC"/>
    <w:rsid w:val="200246A9"/>
    <w:rsid w:val="20A0720D"/>
    <w:rsid w:val="20B7513D"/>
    <w:rsid w:val="20BF47E2"/>
    <w:rsid w:val="20C50288"/>
    <w:rsid w:val="20CD34A1"/>
    <w:rsid w:val="2158329D"/>
    <w:rsid w:val="21734800"/>
    <w:rsid w:val="220B6A30"/>
    <w:rsid w:val="2244344D"/>
    <w:rsid w:val="2266696B"/>
    <w:rsid w:val="22B7201E"/>
    <w:rsid w:val="23024E6A"/>
    <w:rsid w:val="240A6BCA"/>
    <w:rsid w:val="241328D0"/>
    <w:rsid w:val="24272032"/>
    <w:rsid w:val="24376499"/>
    <w:rsid w:val="246B3E41"/>
    <w:rsid w:val="24B72351"/>
    <w:rsid w:val="24CC3412"/>
    <w:rsid w:val="25134BD5"/>
    <w:rsid w:val="262C481C"/>
    <w:rsid w:val="26492DAF"/>
    <w:rsid w:val="26671C0A"/>
    <w:rsid w:val="26866E27"/>
    <w:rsid w:val="27406608"/>
    <w:rsid w:val="27680B4D"/>
    <w:rsid w:val="277A3B68"/>
    <w:rsid w:val="281C077C"/>
    <w:rsid w:val="28DC43AF"/>
    <w:rsid w:val="29374CA2"/>
    <w:rsid w:val="2B397506"/>
    <w:rsid w:val="2B5C2949"/>
    <w:rsid w:val="2B8C5716"/>
    <w:rsid w:val="2C416A03"/>
    <w:rsid w:val="2C4E729D"/>
    <w:rsid w:val="2C6C24CC"/>
    <w:rsid w:val="2CDE3B9B"/>
    <w:rsid w:val="2D4F4BD4"/>
    <w:rsid w:val="2D9932FD"/>
    <w:rsid w:val="2E99326E"/>
    <w:rsid w:val="2E9D1C0D"/>
    <w:rsid w:val="2EB413C5"/>
    <w:rsid w:val="2ECF024A"/>
    <w:rsid w:val="2EFF75EA"/>
    <w:rsid w:val="2F010905"/>
    <w:rsid w:val="2F2E627A"/>
    <w:rsid w:val="2FF3137B"/>
    <w:rsid w:val="30952FFA"/>
    <w:rsid w:val="30BF09EC"/>
    <w:rsid w:val="30D24E4C"/>
    <w:rsid w:val="31756B67"/>
    <w:rsid w:val="31E97E74"/>
    <w:rsid w:val="322857B0"/>
    <w:rsid w:val="32316D8F"/>
    <w:rsid w:val="32A76BC1"/>
    <w:rsid w:val="32D768C7"/>
    <w:rsid w:val="33B8742F"/>
    <w:rsid w:val="33F61ED8"/>
    <w:rsid w:val="34071E01"/>
    <w:rsid w:val="342506A6"/>
    <w:rsid w:val="34296AEF"/>
    <w:rsid w:val="342C6189"/>
    <w:rsid w:val="3438403C"/>
    <w:rsid w:val="343E1A7A"/>
    <w:rsid w:val="34E611F1"/>
    <w:rsid w:val="354C4305"/>
    <w:rsid w:val="35621232"/>
    <w:rsid w:val="358A53D7"/>
    <w:rsid w:val="35AC55A3"/>
    <w:rsid w:val="35DA411D"/>
    <w:rsid w:val="35E2145D"/>
    <w:rsid w:val="366854D4"/>
    <w:rsid w:val="36FE3358"/>
    <w:rsid w:val="371C7C30"/>
    <w:rsid w:val="37215D2D"/>
    <w:rsid w:val="379E54EB"/>
    <w:rsid w:val="37A73AA7"/>
    <w:rsid w:val="37D5522B"/>
    <w:rsid w:val="387A07D1"/>
    <w:rsid w:val="388C1028"/>
    <w:rsid w:val="38DA47C9"/>
    <w:rsid w:val="39080405"/>
    <w:rsid w:val="391C699B"/>
    <w:rsid w:val="39555B04"/>
    <w:rsid w:val="39650F35"/>
    <w:rsid w:val="39BD016C"/>
    <w:rsid w:val="3A541FF7"/>
    <w:rsid w:val="3A894290"/>
    <w:rsid w:val="3AEC50AC"/>
    <w:rsid w:val="3B650A6B"/>
    <w:rsid w:val="3B6F342F"/>
    <w:rsid w:val="3B833E6B"/>
    <w:rsid w:val="3B847305"/>
    <w:rsid w:val="3BAB6F8A"/>
    <w:rsid w:val="3BCD6DA3"/>
    <w:rsid w:val="3BE06D42"/>
    <w:rsid w:val="3BFB3D3B"/>
    <w:rsid w:val="3C99629A"/>
    <w:rsid w:val="3D5B5962"/>
    <w:rsid w:val="3D6632CE"/>
    <w:rsid w:val="3D8D710B"/>
    <w:rsid w:val="3DB91846"/>
    <w:rsid w:val="3DCC213F"/>
    <w:rsid w:val="3E2B5D23"/>
    <w:rsid w:val="3E316DF3"/>
    <w:rsid w:val="3E4F63D7"/>
    <w:rsid w:val="3E88226F"/>
    <w:rsid w:val="3E9A3951"/>
    <w:rsid w:val="3ECD068F"/>
    <w:rsid w:val="3EED56EA"/>
    <w:rsid w:val="3F0A24D4"/>
    <w:rsid w:val="3FA33A67"/>
    <w:rsid w:val="40211191"/>
    <w:rsid w:val="40223D84"/>
    <w:rsid w:val="40381A73"/>
    <w:rsid w:val="4077464C"/>
    <w:rsid w:val="40A10F8E"/>
    <w:rsid w:val="40D57DED"/>
    <w:rsid w:val="40FE32B3"/>
    <w:rsid w:val="41C35F6F"/>
    <w:rsid w:val="41CD565A"/>
    <w:rsid w:val="420863C6"/>
    <w:rsid w:val="432F1177"/>
    <w:rsid w:val="438E3CAA"/>
    <w:rsid w:val="43A26E9A"/>
    <w:rsid w:val="43BF2938"/>
    <w:rsid w:val="440631D2"/>
    <w:rsid w:val="44174F5D"/>
    <w:rsid w:val="44E40569"/>
    <w:rsid w:val="44ED6C2E"/>
    <w:rsid w:val="44FF45BE"/>
    <w:rsid w:val="450979EC"/>
    <w:rsid w:val="452239BF"/>
    <w:rsid w:val="455F63DC"/>
    <w:rsid w:val="45743558"/>
    <w:rsid w:val="457C0654"/>
    <w:rsid w:val="468F5C52"/>
    <w:rsid w:val="471054F8"/>
    <w:rsid w:val="4711072F"/>
    <w:rsid w:val="47740AFF"/>
    <w:rsid w:val="48566D3E"/>
    <w:rsid w:val="48C11DB5"/>
    <w:rsid w:val="49DC546C"/>
    <w:rsid w:val="4A3B2059"/>
    <w:rsid w:val="4A6956FC"/>
    <w:rsid w:val="4A6A169B"/>
    <w:rsid w:val="4A770851"/>
    <w:rsid w:val="4A8F4381"/>
    <w:rsid w:val="4B1D1F96"/>
    <w:rsid w:val="4B252D91"/>
    <w:rsid w:val="4B3B0B98"/>
    <w:rsid w:val="4BA07F06"/>
    <w:rsid w:val="4BB26449"/>
    <w:rsid w:val="4BBC7BF0"/>
    <w:rsid w:val="4BF150D6"/>
    <w:rsid w:val="4C27769E"/>
    <w:rsid w:val="4CB16860"/>
    <w:rsid w:val="4CBF2E37"/>
    <w:rsid w:val="4D383760"/>
    <w:rsid w:val="4D453E76"/>
    <w:rsid w:val="4DAA0B52"/>
    <w:rsid w:val="4E681F96"/>
    <w:rsid w:val="4EA80241"/>
    <w:rsid w:val="4ECC54AE"/>
    <w:rsid w:val="4EE132FB"/>
    <w:rsid w:val="4EF409BA"/>
    <w:rsid w:val="4F182BFF"/>
    <w:rsid w:val="4FFB5474"/>
    <w:rsid w:val="500E6783"/>
    <w:rsid w:val="506F4756"/>
    <w:rsid w:val="50A567B0"/>
    <w:rsid w:val="50CE1D0F"/>
    <w:rsid w:val="511620BD"/>
    <w:rsid w:val="51783B1A"/>
    <w:rsid w:val="52311060"/>
    <w:rsid w:val="52551BCC"/>
    <w:rsid w:val="525E2CFD"/>
    <w:rsid w:val="529202A5"/>
    <w:rsid w:val="52D60626"/>
    <w:rsid w:val="532871F5"/>
    <w:rsid w:val="535473C0"/>
    <w:rsid w:val="536C018C"/>
    <w:rsid w:val="5393394C"/>
    <w:rsid w:val="53BF3688"/>
    <w:rsid w:val="53D955CB"/>
    <w:rsid w:val="54B12F7D"/>
    <w:rsid w:val="54D04FB3"/>
    <w:rsid w:val="55195495"/>
    <w:rsid w:val="552B1B77"/>
    <w:rsid w:val="552D1721"/>
    <w:rsid w:val="55447CDF"/>
    <w:rsid w:val="55CB6A7A"/>
    <w:rsid w:val="55E331DC"/>
    <w:rsid w:val="56042F71"/>
    <w:rsid w:val="56625F70"/>
    <w:rsid w:val="569926B2"/>
    <w:rsid w:val="57056B40"/>
    <w:rsid w:val="57D61598"/>
    <w:rsid w:val="58204E76"/>
    <w:rsid w:val="5823265B"/>
    <w:rsid w:val="5915010C"/>
    <w:rsid w:val="595B05E2"/>
    <w:rsid w:val="59987242"/>
    <w:rsid w:val="59B16A48"/>
    <w:rsid w:val="59C84F5E"/>
    <w:rsid w:val="59D230C2"/>
    <w:rsid w:val="5A5615B7"/>
    <w:rsid w:val="5A5E3B17"/>
    <w:rsid w:val="5AC51C77"/>
    <w:rsid w:val="5AD4043A"/>
    <w:rsid w:val="5B096777"/>
    <w:rsid w:val="5C5F5653"/>
    <w:rsid w:val="5C8C06C4"/>
    <w:rsid w:val="5CF33CE4"/>
    <w:rsid w:val="5D080B76"/>
    <w:rsid w:val="5D0F5F09"/>
    <w:rsid w:val="5D4E7FF6"/>
    <w:rsid w:val="5E13248A"/>
    <w:rsid w:val="5E1F1F77"/>
    <w:rsid w:val="5E5800D8"/>
    <w:rsid w:val="5EB72FB2"/>
    <w:rsid w:val="5EF268B7"/>
    <w:rsid w:val="5F65274C"/>
    <w:rsid w:val="6051475F"/>
    <w:rsid w:val="60EC6712"/>
    <w:rsid w:val="611D239D"/>
    <w:rsid w:val="61413A18"/>
    <w:rsid w:val="61505ADA"/>
    <w:rsid w:val="615C153A"/>
    <w:rsid w:val="616B08A7"/>
    <w:rsid w:val="61A80F58"/>
    <w:rsid w:val="621F12BB"/>
    <w:rsid w:val="622B4360"/>
    <w:rsid w:val="624D4042"/>
    <w:rsid w:val="62E06A7E"/>
    <w:rsid w:val="62EA23D9"/>
    <w:rsid w:val="638C4E42"/>
    <w:rsid w:val="63A96A1B"/>
    <w:rsid w:val="63FC785D"/>
    <w:rsid w:val="641C001A"/>
    <w:rsid w:val="64D54656"/>
    <w:rsid w:val="65305BAD"/>
    <w:rsid w:val="65982D92"/>
    <w:rsid w:val="66090822"/>
    <w:rsid w:val="661A5903"/>
    <w:rsid w:val="682F730D"/>
    <w:rsid w:val="68440D9C"/>
    <w:rsid w:val="6846709B"/>
    <w:rsid w:val="685D1798"/>
    <w:rsid w:val="68AA5D9D"/>
    <w:rsid w:val="692C7C16"/>
    <w:rsid w:val="69325004"/>
    <w:rsid w:val="69360264"/>
    <w:rsid w:val="69821243"/>
    <w:rsid w:val="69934E0E"/>
    <w:rsid w:val="69B47723"/>
    <w:rsid w:val="69FB7002"/>
    <w:rsid w:val="6A036190"/>
    <w:rsid w:val="6A246A40"/>
    <w:rsid w:val="6AD13E3B"/>
    <w:rsid w:val="6B0F5943"/>
    <w:rsid w:val="6BC739B0"/>
    <w:rsid w:val="6C111659"/>
    <w:rsid w:val="6C1E26D5"/>
    <w:rsid w:val="6C403F43"/>
    <w:rsid w:val="6C47040F"/>
    <w:rsid w:val="6CBB38CE"/>
    <w:rsid w:val="6CE65F04"/>
    <w:rsid w:val="6D1E5432"/>
    <w:rsid w:val="6D7A6383"/>
    <w:rsid w:val="6E1E514C"/>
    <w:rsid w:val="6E283195"/>
    <w:rsid w:val="6F815922"/>
    <w:rsid w:val="707904AF"/>
    <w:rsid w:val="7091759B"/>
    <w:rsid w:val="709B2BC7"/>
    <w:rsid w:val="70C26FB3"/>
    <w:rsid w:val="714F25C0"/>
    <w:rsid w:val="71E52F59"/>
    <w:rsid w:val="71F92EA9"/>
    <w:rsid w:val="71FC5E0C"/>
    <w:rsid w:val="72023F3B"/>
    <w:rsid w:val="726A58BA"/>
    <w:rsid w:val="734A7A5A"/>
    <w:rsid w:val="736373B0"/>
    <w:rsid w:val="737D289A"/>
    <w:rsid w:val="7393126F"/>
    <w:rsid w:val="73A000A1"/>
    <w:rsid w:val="73C03C7E"/>
    <w:rsid w:val="73E52222"/>
    <w:rsid w:val="74195CE6"/>
    <w:rsid w:val="7443040B"/>
    <w:rsid w:val="74612C1D"/>
    <w:rsid w:val="74930B93"/>
    <w:rsid w:val="74AE19FE"/>
    <w:rsid w:val="74F75CD7"/>
    <w:rsid w:val="75094617"/>
    <w:rsid w:val="751A51C6"/>
    <w:rsid w:val="754E66A1"/>
    <w:rsid w:val="75A00A2D"/>
    <w:rsid w:val="75C80A05"/>
    <w:rsid w:val="75E46227"/>
    <w:rsid w:val="761F5892"/>
    <w:rsid w:val="764C7224"/>
    <w:rsid w:val="769235C3"/>
    <w:rsid w:val="76961E6D"/>
    <w:rsid w:val="769E6F58"/>
    <w:rsid w:val="77005CCF"/>
    <w:rsid w:val="771A238B"/>
    <w:rsid w:val="776C4A05"/>
    <w:rsid w:val="77B0567C"/>
    <w:rsid w:val="77B6171C"/>
    <w:rsid w:val="77C33C69"/>
    <w:rsid w:val="78743289"/>
    <w:rsid w:val="787D2AB6"/>
    <w:rsid w:val="78935EA4"/>
    <w:rsid w:val="78A84CE1"/>
    <w:rsid w:val="78F543CA"/>
    <w:rsid w:val="792A158E"/>
    <w:rsid w:val="79654891"/>
    <w:rsid w:val="7A1D71A1"/>
    <w:rsid w:val="7BB155B8"/>
    <w:rsid w:val="7BD35900"/>
    <w:rsid w:val="7C2A0F97"/>
    <w:rsid w:val="7C37538B"/>
    <w:rsid w:val="7C4D03AB"/>
    <w:rsid w:val="7CC04D74"/>
    <w:rsid w:val="7D440197"/>
    <w:rsid w:val="7D892353"/>
    <w:rsid w:val="7DC9372F"/>
    <w:rsid w:val="7E1651F8"/>
    <w:rsid w:val="7E177DCA"/>
    <w:rsid w:val="7E492153"/>
    <w:rsid w:val="7F372EA9"/>
    <w:rsid w:val="7F8864B9"/>
    <w:rsid w:val="7F9101A9"/>
    <w:rsid w:val="7FCA244A"/>
    <w:rsid w:val="7FD50FF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7">
    <w:name w:val="heading 4"/>
    <w:basedOn w:val="1"/>
    <w:next w:val="1"/>
    <w:qFormat/>
    <w:uiPriority w:val="0"/>
    <w:pPr>
      <w:keepNext/>
      <w:keepLines/>
      <w:widowControl w:val="0"/>
      <w:numPr>
        <w:ilvl w:val="3"/>
        <w:numId w:val="1"/>
      </w:numPr>
      <w:tabs>
        <w:tab w:val="left" w:pos="0"/>
      </w:tabs>
      <w:spacing w:line="360" w:lineRule="auto"/>
      <w:jc w:val="left"/>
      <w:outlineLvl w:val="3"/>
    </w:pPr>
    <w:rPr>
      <w:rFonts w:ascii="黑体" w:hAnsi="黑体" w:eastAsia="黑体" w:cs="Times New Roman"/>
      <w:bCs/>
      <w:sz w:val="21"/>
      <w:szCs w:val="28"/>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kern w:val="0"/>
    </w:rPr>
  </w:style>
  <w:style w:type="paragraph" w:styleId="3">
    <w:name w:val="Body Text Indent"/>
    <w:basedOn w:val="1"/>
    <w:qFormat/>
    <w:uiPriority w:val="0"/>
    <w:pPr>
      <w:spacing w:line="480" w:lineRule="exact"/>
      <w:ind w:firstLine="560" w:firstLineChars="200"/>
    </w:pPr>
    <w:rPr>
      <w:sz w:val="24"/>
    </w:rPr>
  </w:style>
  <w:style w:type="paragraph" w:styleId="8">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9">
    <w:name w:val="Normal Indent"/>
    <w:basedOn w:val="1"/>
    <w:qFormat/>
    <w:uiPriority w:val="0"/>
    <w:pPr>
      <w:widowControl/>
      <w:ind w:firstLine="420"/>
      <w:jc w:val="left"/>
    </w:pPr>
    <w:rPr>
      <w:rFonts w:eastAsia="宋体"/>
      <w:kern w:val="2"/>
      <w:sz w:val="20"/>
    </w:rPr>
  </w:style>
  <w:style w:type="paragraph" w:styleId="10">
    <w:name w:val="Document Map"/>
    <w:basedOn w:val="1"/>
    <w:semiHidden/>
    <w:unhideWhenUsed/>
    <w:qFormat/>
    <w:uiPriority w:val="0"/>
    <w:rPr>
      <w:rFonts w:ascii="宋体"/>
      <w:sz w:val="18"/>
      <w:szCs w:val="18"/>
    </w:rPr>
  </w:style>
  <w:style w:type="paragraph" w:styleId="11">
    <w:name w:val="annotation text"/>
    <w:basedOn w:val="1"/>
    <w:semiHidden/>
    <w:unhideWhenUsed/>
    <w:qFormat/>
    <w:uiPriority w:val="0"/>
    <w:pPr>
      <w:jc w:val="left"/>
    </w:pPr>
  </w:style>
  <w:style w:type="paragraph" w:styleId="12">
    <w:name w:val="Body Text"/>
    <w:basedOn w:val="1"/>
    <w:link w:val="54"/>
    <w:semiHidden/>
    <w:unhideWhenUsed/>
    <w:qFormat/>
    <w:uiPriority w:val="99"/>
    <w:pPr>
      <w:spacing w:after="120"/>
    </w:pPr>
  </w:style>
  <w:style w:type="paragraph" w:styleId="13">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4">
    <w:name w:val="toc 3"/>
    <w:basedOn w:val="1"/>
    <w:next w:val="1"/>
    <w:unhideWhenUsed/>
    <w:qFormat/>
    <w:uiPriority w:val="39"/>
    <w:pPr>
      <w:ind w:left="840" w:firstLine="0"/>
    </w:pPr>
  </w:style>
  <w:style w:type="paragraph" w:styleId="15">
    <w:name w:val="Plain Text"/>
    <w:basedOn w:val="1"/>
    <w:next w:val="7"/>
    <w:link w:val="52"/>
    <w:unhideWhenUsed/>
    <w:qFormat/>
    <w:uiPriority w:val="0"/>
    <w:rPr>
      <w:rFonts w:ascii="宋体" w:hAnsi="Courier New" w:cs="宋体"/>
      <w:sz w:val="20"/>
      <w:szCs w:val="20"/>
    </w:rPr>
  </w:style>
  <w:style w:type="paragraph" w:styleId="16">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Date"/>
    <w:basedOn w:val="1"/>
    <w:next w:val="1"/>
    <w:link w:val="56"/>
    <w:semiHidden/>
    <w:unhideWhenUsed/>
    <w:qFormat/>
    <w:uiPriority w:val="99"/>
    <w:pPr>
      <w:ind w:left="100" w:leftChars="2500"/>
    </w:pPr>
  </w:style>
  <w:style w:type="paragraph" w:styleId="18">
    <w:name w:val="Balloon Text"/>
    <w:basedOn w:val="1"/>
    <w:semiHidden/>
    <w:unhideWhenUsed/>
    <w:qFormat/>
    <w:uiPriority w:val="0"/>
    <w:pPr>
      <w:spacing w:after="0" w:line="240" w:lineRule="auto"/>
    </w:pPr>
    <w:rPr>
      <w:sz w:val="18"/>
      <w:szCs w:val="18"/>
    </w:rPr>
  </w:style>
  <w:style w:type="paragraph" w:styleId="19">
    <w:name w:val="footer"/>
    <w:basedOn w:val="1"/>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3">
    <w:name w:val="footnote text"/>
    <w:basedOn w:val="1"/>
    <w:semiHidden/>
    <w:unhideWhenUsed/>
    <w:qFormat/>
    <w:uiPriority w:val="0"/>
    <w:pPr>
      <w:snapToGrid w:val="0"/>
      <w:jc w:val="left"/>
    </w:pPr>
    <w:rPr>
      <w:sz w:val="18"/>
      <w:szCs w:val="18"/>
    </w:rPr>
  </w:style>
  <w:style w:type="paragraph" w:styleId="24">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5">
    <w:name w:val="Body Text Indent 3"/>
    <w:basedOn w:val="1"/>
    <w:qFormat/>
    <w:uiPriority w:val="0"/>
    <w:pPr>
      <w:spacing w:after="120"/>
      <w:ind w:left="420" w:firstLine="0"/>
    </w:pPr>
    <w:rPr>
      <w:sz w:val="16"/>
      <w:szCs w:val="16"/>
    </w:rPr>
  </w:style>
  <w:style w:type="paragraph" w:styleId="26">
    <w:name w:val="toc 2"/>
    <w:basedOn w:val="1"/>
    <w:next w:val="1"/>
    <w:unhideWhenUsed/>
    <w:qFormat/>
    <w:uiPriority w:val="39"/>
    <w:pPr>
      <w:ind w:left="420" w:firstLine="0"/>
    </w:pPr>
  </w:style>
  <w:style w:type="paragraph" w:styleId="27">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8">
    <w:name w:val="Body Text 2"/>
    <w:basedOn w:val="1"/>
    <w:unhideWhenUsed/>
    <w:qFormat/>
    <w:uiPriority w:val="0"/>
    <w:pPr>
      <w:spacing w:after="120" w:line="480" w:lineRule="auto"/>
    </w:pPr>
  </w:style>
  <w:style w:type="paragraph" w:styleId="29">
    <w:name w:val="Normal (Web)"/>
    <w:basedOn w:val="1"/>
    <w:semiHidden/>
    <w:unhideWhenUsed/>
    <w:qFormat/>
    <w:uiPriority w:val="99"/>
    <w:rPr>
      <w:sz w:val="24"/>
    </w:rPr>
  </w:style>
  <w:style w:type="paragraph" w:styleId="30">
    <w:name w:val="annotation subject"/>
    <w:basedOn w:val="11"/>
    <w:next w:val="11"/>
    <w:semiHidden/>
    <w:unhideWhenUsed/>
    <w:qFormat/>
    <w:uiPriority w:val="0"/>
    <w:rPr>
      <w:b/>
    </w:rPr>
  </w:style>
  <w:style w:type="table" w:styleId="32">
    <w:name w:val="Table Grid"/>
    <w:basedOn w:val="3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4">
    <w:name w:val="Strong"/>
    <w:qFormat/>
    <w:uiPriority w:val="20"/>
    <w:rPr>
      <w:rFonts w:cs="Times New Roman"/>
      <w:b/>
    </w:rPr>
  </w:style>
  <w:style w:type="character" w:styleId="35">
    <w:name w:val="page number"/>
    <w:basedOn w:val="33"/>
    <w:qFormat/>
    <w:uiPriority w:val="0"/>
  </w:style>
  <w:style w:type="character" w:styleId="36">
    <w:name w:val="Hyperlink"/>
    <w:basedOn w:val="33"/>
    <w:unhideWhenUsed/>
    <w:qFormat/>
    <w:uiPriority w:val="99"/>
    <w:rPr>
      <w:color w:val="0000FF"/>
      <w:u w:val="single"/>
    </w:rPr>
  </w:style>
  <w:style w:type="character" w:styleId="37">
    <w:name w:val="annotation reference"/>
    <w:basedOn w:val="33"/>
    <w:unhideWhenUsed/>
    <w:qFormat/>
    <w:uiPriority w:val="0"/>
    <w:rPr>
      <w:sz w:val="21"/>
      <w:szCs w:val="21"/>
    </w:rPr>
  </w:style>
  <w:style w:type="character" w:styleId="38">
    <w:name w:val="footnote reference"/>
    <w:basedOn w:val="33"/>
    <w:semiHidden/>
    <w:unhideWhenUsed/>
    <w:qFormat/>
    <w:uiPriority w:val="0"/>
    <w:rPr>
      <w:vertAlign w:val="superscript"/>
    </w:rPr>
  </w:style>
  <w:style w:type="paragraph" w:styleId="39">
    <w:name w:val="List Paragraph"/>
    <w:basedOn w:val="1"/>
    <w:qFormat/>
    <w:uiPriority w:val="34"/>
    <w:pPr>
      <w:ind w:firstLine="200"/>
    </w:pPr>
    <w:rPr>
      <w:rFonts w:ascii="Calibri" w:hAnsi="Calibri"/>
    </w:rPr>
  </w:style>
  <w:style w:type="character" w:customStyle="1" w:styleId="40">
    <w:name w:val="正文文本 2 Char"/>
    <w:basedOn w:val="33"/>
    <w:qFormat/>
    <w:uiPriority w:val="0"/>
    <w:rPr>
      <w:rFonts w:ascii="Times New Roman" w:hAnsi="Times New Roman" w:eastAsia="宋体" w:cs="Times New Roman"/>
    </w:rPr>
  </w:style>
  <w:style w:type="character" w:customStyle="1" w:styleId="41">
    <w:name w:val="16"/>
    <w:basedOn w:val="33"/>
    <w:qFormat/>
    <w:uiPriority w:val="0"/>
    <w:rPr>
      <w:rFonts w:hint="default" w:ascii="Times New Roman" w:hAnsi="Times New Roman" w:cs="Times New Roman"/>
      <w:color w:val="0000FF"/>
      <w:u w:val="single"/>
    </w:rPr>
  </w:style>
  <w:style w:type="character" w:customStyle="1" w:styleId="42">
    <w:name w:val="15"/>
    <w:basedOn w:val="33"/>
    <w:qFormat/>
    <w:uiPriority w:val="0"/>
    <w:rPr>
      <w:rFonts w:hint="default" w:ascii="Times New Roman" w:hAnsi="Times New Roman" w:cs="Times New Roman"/>
      <w:color w:val="0000FF"/>
      <w:u w:val="single"/>
    </w:rPr>
  </w:style>
  <w:style w:type="character" w:customStyle="1" w:styleId="43">
    <w:name w:val="标题 3 Char"/>
    <w:qFormat/>
    <w:uiPriority w:val="0"/>
    <w:rPr>
      <w:b/>
      <w:sz w:val="24"/>
      <w:szCs w:val="24"/>
    </w:rPr>
  </w:style>
  <w:style w:type="character" w:customStyle="1" w:styleId="44">
    <w:name w:val="标题 2 Char"/>
    <w:qFormat/>
    <w:uiPriority w:val="0"/>
    <w:rPr>
      <w:rFonts w:ascii="Arial" w:hAnsi="Arial" w:eastAsia="黑体"/>
      <w:b/>
      <w:sz w:val="32"/>
      <w:szCs w:val="32"/>
    </w:rPr>
  </w:style>
  <w:style w:type="character" w:customStyle="1" w:styleId="45">
    <w:name w:val="批注框文本 Char"/>
    <w:basedOn w:val="33"/>
    <w:semiHidden/>
    <w:qFormat/>
    <w:uiPriority w:val="0"/>
    <w:rPr>
      <w:sz w:val="18"/>
      <w:szCs w:val="18"/>
    </w:rPr>
  </w:style>
  <w:style w:type="character" w:customStyle="1" w:styleId="46">
    <w:name w:val="批注文字 Char"/>
    <w:basedOn w:val="33"/>
    <w:semiHidden/>
    <w:qFormat/>
    <w:uiPriority w:val="0"/>
    <w:rPr>
      <w:sz w:val="21"/>
      <w:szCs w:val="21"/>
    </w:rPr>
  </w:style>
  <w:style w:type="character" w:customStyle="1" w:styleId="47">
    <w:name w:val="批注主题 Char"/>
    <w:basedOn w:val="46"/>
    <w:semiHidden/>
    <w:qFormat/>
    <w:uiPriority w:val="0"/>
    <w:rPr>
      <w:b/>
      <w:sz w:val="21"/>
      <w:szCs w:val="21"/>
    </w:rPr>
  </w:style>
  <w:style w:type="character" w:customStyle="1" w:styleId="48">
    <w:name w:val="文档结构图 Char"/>
    <w:basedOn w:val="33"/>
    <w:semiHidden/>
    <w:qFormat/>
    <w:uiPriority w:val="0"/>
    <w:rPr>
      <w:rFonts w:ascii="宋体"/>
      <w:sz w:val="18"/>
      <w:szCs w:val="18"/>
    </w:rPr>
  </w:style>
  <w:style w:type="character" w:customStyle="1" w:styleId="49">
    <w:name w:val="页脚 Char"/>
    <w:qFormat/>
    <w:uiPriority w:val="99"/>
    <w:rPr>
      <w:sz w:val="18"/>
      <w:szCs w:val="18"/>
    </w:rPr>
  </w:style>
  <w:style w:type="character" w:customStyle="1" w:styleId="50">
    <w:name w:val="脚注文本 Char"/>
    <w:basedOn w:val="33"/>
    <w:semiHidden/>
    <w:qFormat/>
    <w:uiPriority w:val="0"/>
    <w:rPr>
      <w:sz w:val="18"/>
      <w:szCs w:val="18"/>
    </w:rPr>
  </w:style>
  <w:style w:type="paragraph" w:customStyle="1" w:styleId="51">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2">
    <w:name w:val="纯文本 Char"/>
    <w:link w:val="15"/>
    <w:qFormat/>
    <w:locked/>
    <w:uiPriority w:val="0"/>
    <w:rPr>
      <w:rFonts w:ascii="宋体" w:hAnsi="Courier New" w:cs="宋体"/>
    </w:rPr>
  </w:style>
  <w:style w:type="paragraph" w:customStyle="1" w:styleId="53">
    <w:name w:val="修订1"/>
    <w:hidden/>
    <w:semiHidden/>
    <w:qFormat/>
    <w:uiPriority w:val="99"/>
    <w:rPr>
      <w:rFonts w:ascii="Times New Roman" w:hAnsi="Times New Roman" w:eastAsia="宋体" w:cs="Times New Roman"/>
      <w:sz w:val="21"/>
      <w:szCs w:val="21"/>
      <w:lang w:val="en-US" w:eastAsia="zh-CN" w:bidi="ar-SA"/>
    </w:rPr>
  </w:style>
  <w:style w:type="character" w:customStyle="1" w:styleId="54">
    <w:name w:val="正文文本 Char"/>
    <w:basedOn w:val="33"/>
    <w:link w:val="12"/>
    <w:semiHidden/>
    <w:qFormat/>
    <w:uiPriority w:val="99"/>
    <w:rPr>
      <w:sz w:val="21"/>
      <w:szCs w:val="21"/>
    </w:rPr>
  </w:style>
  <w:style w:type="paragraph" w:customStyle="1" w:styleId="55">
    <w:name w:val="Revision"/>
    <w:hidden/>
    <w:unhideWhenUsed/>
    <w:qFormat/>
    <w:uiPriority w:val="99"/>
    <w:rPr>
      <w:rFonts w:ascii="Times New Roman" w:hAnsi="Times New Roman" w:eastAsia="宋体" w:cs="Times New Roman"/>
      <w:sz w:val="21"/>
      <w:szCs w:val="21"/>
      <w:lang w:val="en-US" w:eastAsia="zh-CN" w:bidi="ar-SA"/>
    </w:rPr>
  </w:style>
  <w:style w:type="character" w:customStyle="1" w:styleId="56">
    <w:name w:val="日期 Char"/>
    <w:basedOn w:val="33"/>
    <w:link w:val="17"/>
    <w:semiHidden/>
    <w:qFormat/>
    <w:uiPriority w:val="99"/>
    <w:rPr>
      <w:sz w:val="21"/>
      <w:szCs w:val="21"/>
    </w:rPr>
  </w:style>
  <w:style w:type="paragraph" w:customStyle="1" w:styleId="57">
    <w:name w:val="WPSOffice手动目录 1"/>
    <w:qFormat/>
    <w:uiPriority w:val="0"/>
    <w:rPr>
      <w:rFonts w:ascii="Times New Roman" w:hAnsi="Times New Roman" w:eastAsia="宋体" w:cs="Times New Roman"/>
      <w:lang w:val="en-US" w:eastAsia="zh-CN" w:bidi="ar-SA"/>
    </w:rPr>
  </w:style>
  <w:style w:type="paragraph" w:customStyle="1" w:styleId="58">
    <w:name w:val="表格标题"/>
    <w:qFormat/>
    <w:uiPriority w:val="99"/>
    <w:pPr>
      <w:widowControl w:val="0"/>
      <w:jc w:val="center"/>
    </w:pPr>
    <w:rPr>
      <w:rFonts w:ascii="Arial" w:hAnsi="Arial" w:eastAsia="Times New Roman" w:cs="Times New Roman"/>
      <w:b/>
      <w:sz w:val="24"/>
      <w:szCs w:val="24"/>
      <w:lang w:val="en-US" w:eastAsia="zh-CN" w:bidi="ar-SA"/>
    </w:rPr>
  </w:style>
  <w:style w:type="paragraph" w:customStyle="1" w:styleId="59">
    <w:name w:val="正文1"/>
    <w:qFormat/>
    <w:uiPriority w:val="0"/>
    <w:pPr>
      <w:widowControl/>
      <w:adjustRightInd w:val="0"/>
      <w:snapToGrid w:val="0"/>
      <w:spacing w:line="360" w:lineRule="auto"/>
      <w:ind w:firstLine="480" w:firstLineChars="200"/>
      <w:jc w:val="left"/>
    </w:pPr>
    <w:rPr>
      <w:rFonts w:ascii="宋体" w:hAnsi="宋体" w:eastAsia="宋体" w:cs="Times New Roman"/>
      <w:kern w:val="2"/>
      <w:sz w:val="20"/>
      <w:szCs w:val="24"/>
      <w:lang w:val="en-US" w:eastAsia="zh-CN" w:bidi="ar-SA"/>
    </w:rPr>
  </w:style>
  <w:style w:type="paragraph" w:customStyle="1" w:styleId="60">
    <w:name w:val="WPSOffice手动目录 2"/>
    <w:qFormat/>
    <w:uiPriority w:val="0"/>
    <w:pPr>
      <w:ind w:leftChars="200"/>
    </w:pPr>
    <w:rPr>
      <w:rFonts w:asciiTheme="minorHAnsi" w:hAnsiTheme="minorHAnsi" w:eastAsiaTheme="minorEastAsia" w:cstheme="minorBidi"/>
      <w:sz w:val="20"/>
      <w:szCs w:val="20"/>
    </w:rPr>
  </w:style>
  <w:style w:type="paragraph" w:customStyle="1" w:styleId="61">
    <w:name w:val="WPSOffice手动目录 3"/>
    <w:qFormat/>
    <w:uiPriority w:val="0"/>
    <w:pPr>
      <w:ind w:leftChars="400"/>
    </w:pPr>
    <w:rPr>
      <w:rFonts w:asciiTheme="minorHAnsi" w:hAnsiTheme="minorHAnsi" w:eastAsiaTheme="minorEastAsia" w:cstheme="minorBidi"/>
      <w:sz w:val="20"/>
      <w:szCs w:val="20"/>
    </w:rPr>
  </w:style>
  <w:style w:type="paragraph" w:customStyle="1" w:styleId="6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6" Type="http://schemas.openxmlformats.org/officeDocument/2006/relationships/glossaryDocument" Target="glossary/document.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header" Target="header6.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ec31771-5e67-4727-907a-55ddad096f30}"/>
        <w:style w:val=""/>
        <w:category>
          <w:name w:val="常规"/>
          <w:gallery w:val="placeholder"/>
        </w:category>
        <w:types>
          <w:type w:val="bbPlcHdr"/>
        </w:types>
        <w:behaviors>
          <w:behavior w:val="content"/>
        </w:behaviors>
        <w:description w:val=""/>
        <w:guid w:val="{9ec31771-5e67-4727-907a-55ddad096f30}"/>
      </w:docPartPr>
      <w:docPartBody>
        <w:p>
          <w:r>
            <w:rPr>
              <w:color w:val="808080"/>
            </w:rPr>
            <w:t>单击此处输入文字。</w:t>
          </w:r>
        </w:p>
      </w:docPartBody>
    </w:docPart>
    <w:docPart>
      <w:docPartPr>
        <w:name w:val="{d162821d-6364-4c37-9f2b-c54c743259cd}"/>
        <w:style w:val=""/>
        <w:category>
          <w:name w:val="常规"/>
          <w:gallery w:val="placeholder"/>
        </w:category>
        <w:types>
          <w:type w:val="bbPlcHdr"/>
        </w:types>
        <w:behaviors>
          <w:behavior w:val="content"/>
        </w:behaviors>
        <w:description w:val=""/>
        <w:guid w:val="{d162821d-6364-4c37-9f2b-c54c743259cd}"/>
      </w:docPartPr>
      <w:docPartBody>
        <w:p>
          <w:r>
            <w:rPr>
              <w:color w:val="808080"/>
            </w:rPr>
            <w:t>单击此处输入文字。</w:t>
          </w:r>
        </w:p>
      </w:docPartBody>
    </w:docPart>
    <w:docPart>
      <w:docPartPr>
        <w:name w:val="{57e9a9ae-cc93-4d88-a2c2-3bb74606afdf}"/>
        <w:style w:val=""/>
        <w:category>
          <w:name w:val="常规"/>
          <w:gallery w:val="placeholder"/>
        </w:category>
        <w:types>
          <w:type w:val="bbPlcHdr"/>
        </w:types>
        <w:behaviors>
          <w:behavior w:val="content"/>
        </w:behaviors>
        <w:description w:val=""/>
        <w:guid w:val="{57e9a9ae-cc93-4d88-a2c2-3bb74606afdf}"/>
      </w:docPartPr>
      <w:docPartBody>
        <w:p>
          <w:r>
            <w:rPr>
              <w:color w:val="808080"/>
            </w:rPr>
            <w:t>单击此处输入文字。</w:t>
          </w:r>
        </w:p>
      </w:docPartBody>
    </w:docPart>
    <w:docPart>
      <w:docPartPr>
        <w:name w:val="{b25c4830-a4ae-47f6-a6f5-f157f87c3080}"/>
        <w:style w:val=""/>
        <w:category>
          <w:name w:val="常规"/>
          <w:gallery w:val="placeholder"/>
        </w:category>
        <w:types>
          <w:type w:val="bbPlcHdr"/>
        </w:types>
        <w:behaviors>
          <w:behavior w:val="content"/>
        </w:behaviors>
        <w:description w:val=""/>
        <w:guid w:val="{b25c4830-a4ae-47f6-a6f5-f157f87c3080}"/>
      </w:docPartPr>
      <w:docPartBody>
        <w:p>
          <w:r>
            <w:rPr>
              <w:color w:val="808080"/>
            </w:rPr>
            <w:t>单击此处输入文字。</w:t>
          </w:r>
        </w:p>
      </w:docPartBody>
    </w:docPart>
    <w:docPart>
      <w:docPartPr>
        <w:name w:val="{256bca0e-cb8f-45d5-b4b8-cacd8bb6d78c}"/>
        <w:style w:val=""/>
        <w:category>
          <w:name w:val="常规"/>
          <w:gallery w:val="placeholder"/>
        </w:category>
        <w:types>
          <w:type w:val="bbPlcHdr"/>
        </w:types>
        <w:behaviors>
          <w:behavior w:val="content"/>
        </w:behaviors>
        <w:description w:val=""/>
        <w:guid w:val="{256bca0e-cb8f-45d5-b4b8-cacd8bb6d78c}"/>
      </w:docPartPr>
      <w:docPartBody>
        <w:p>
          <w:r>
            <w:rPr>
              <w:color w:val="808080"/>
            </w:rPr>
            <w:t>单击此处输入文字。</w:t>
          </w:r>
        </w:p>
      </w:docPartBody>
    </w:docPart>
    <w:docPart>
      <w:docPartPr>
        <w:name w:val="{8a71aceb-d14a-4cfe-b242-1f477a8d60af}"/>
        <w:style w:val=""/>
        <w:category>
          <w:name w:val="常规"/>
          <w:gallery w:val="placeholder"/>
        </w:category>
        <w:types>
          <w:type w:val="bbPlcHdr"/>
        </w:types>
        <w:behaviors>
          <w:behavior w:val="content"/>
        </w:behaviors>
        <w:description w:val=""/>
        <w:guid w:val="{8a71aceb-d14a-4cfe-b242-1f477a8d60af}"/>
      </w:docPartPr>
      <w:docPartBody>
        <w:p>
          <w:r>
            <w:rPr>
              <w:color w:val="808080"/>
            </w:rPr>
            <w:t>单击此处输入文字。</w:t>
          </w:r>
        </w:p>
      </w:docPartBody>
    </w:docPart>
    <w:docPart>
      <w:docPartPr>
        <w:name w:val="{f4b54b67-0f29-4b97-8fbe-1bc5dfc51f01}"/>
        <w:style w:val=""/>
        <w:category>
          <w:name w:val="常规"/>
          <w:gallery w:val="placeholder"/>
        </w:category>
        <w:types>
          <w:type w:val="bbPlcHdr"/>
        </w:types>
        <w:behaviors>
          <w:behavior w:val="content"/>
        </w:behaviors>
        <w:description w:val=""/>
        <w:guid w:val="{f4b54b67-0f29-4b97-8fbe-1bc5dfc51f01}"/>
      </w:docPartPr>
      <w:docPartBody>
        <w:p>
          <w:r>
            <w:rPr>
              <w:color w:val="808080"/>
            </w:rPr>
            <w:t>单击此处输入文字。</w:t>
          </w:r>
        </w:p>
      </w:docPartBody>
    </w:docPart>
    <w:docPart>
      <w:docPartPr>
        <w:name w:val="{075b7fcd-ed0b-4ac1-8cac-7ca479ed4932}"/>
        <w:style w:val=""/>
        <w:category>
          <w:name w:val="常规"/>
          <w:gallery w:val="placeholder"/>
        </w:category>
        <w:types>
          <w:type w:val="bbPlcHdr"/>
        </w:types>
        <w:behaviors>
          <w:behavior w:val="content"/>
        </w:behaviors>
        <w:description w:val=""/>
        <w:guid w:val="{075b7fcd-ed0b-4ac1-8cac-7ca479ed4932}"/>
      </w:docPartPr>
      <w:docPartBody>
        <w:p>
          <w:r>
            <w:rPr>
              <w:color w:val="808080"/>
            </w:rPr>
            <w:t>单击此处输入文字。</w:t>
          </w:r>
        </w:p>
      </w:docPartBody>
    </w:docPart>
    <w:docPart>
      <w:docPartPr>
        <w:name w:val="{232ca6f8-952f-49a8-9cdf-1c05f12ee75f}"/>
        <w:style w:val=""/>
        <w:category>
          <w:name w:val="常规"/>
          <w:gallery w:val="placeholder"/>
        </w:category>
        <w:types>
          <w:type w:val="bbPlcHdr"/>
        </w:types>
        <w:behaviors>
          <w:behavior w:val="content"/>
        </w:behaviors>
        <w:description w:val=""/>
        <w:guid w:val="{232ca6f8-952f-49a8-9cdf-1c05f12ee75f}"/>
      </w:docPartPr>
      <w:docPartBody>
        <w:p>
          <w:r>
            <w:rPr>
              <w:color w:val="808080"/>
            </w:rPr>
            <w:t>单击此处输入文字。</w:t>
          </w:r>
        </w:p>
      </w:docPartBody>
    </w:docPart>
    <w:docPart>
      <w:docPartPr>
        <w:name w:val="{7ed5e59f-21ce-496c-a47f-3e762a1eae64}"/>
        <w:style w:val=""/>
        <w:category>
          <w:name w:val="常规"/>
          <w:gallery w:val="placeholder"/>
        </w:category>
        <w:types>
          <w:type w:val="bbPlcHdr"/>
        </w:types>
        <w:behaviors>
          <w:behavior w:val="content"/>
        </w:behaviors>
        <w:description w:val=""/>
        <w:guid w:val="{7ed5e59f-21ce-496c-a47f-3e762a1eae64}"/>
      </w:docPartPr>
      <w:docPartBody>
        <w:p>
          <w:r>
            <w:rPr>
              <w:color w:val="808080"/>
            </w:rPr>
            <w:t>单击此处输入文字。</w:t>
          </w:r>
        </w:p>
      </w:docPartBody>
    </w:docPart>
    <w:docPart>
      <w:docPartPr>
        <w:name w:val="{5eb1953e-c125-4a10-a379-9d428b38b50a}"/>
        <w:style w:val=""/>
        <w:category>
          <w:name w:val="常规"/>
          <w:gallery w:val="placeholder"/>
        </w:category>
        <w:types>
          <w:type w:val="bbPlcHdr"/>
        </w:types>
        <w:behaviors>
          <w:behavior w:val="content"/>
        </w:behaviors>
        <w:description w:val=""/>
        <w:guid w:val="{5eb1953e-c125-4a10-a379-9d428b38b50a}"/>
      </w:docPartPr>
      <w:docPartBody>
        <w:p>
          <w:r>
            <w:rPr>
              <w:color w:val="808080"/>
            </w:rPr>
            <w:t>单击此处输入文字。</w:t>
          </w:r>
        </w:p>
      </w:docPartBody>
    </w:docPart>
    <w:docPart>
      <w:docPartPr>
        <w:name w:val="{062d5ecb-0c6e-4693-b0ab-89f7b09baa79}"/>
        <w:style w:val=""/>
        <w:category>
          <w:name w:val="常规"/>
          <w:gallery w:val="placeholder"/>
        </w:category>
        <w:types>
          <w:type w:val="bbPlcHdr"/>
        </w:types>
        <w:behaviors>
          <w:behavior w:val="content"/>
        </w:behaviors>
        <w:description w:val=""/>
        <w:guid w:val="{062d5ecb-0c6e-4693-b0ab-89f7b09baa79}"/>
      </w:docPartPr>
      <w:docPartBody>
        <w:p>
          <w:r>
            <w:rPr>
              <w:color w:val="808080"/>
            </w:rPr>
            <w:t>单击此处输入文字。</w:t>
          </w:r>
        </w:p>
      </w:docPartBody>
    </w:docPart>
    <w:docPart>
      <w:docPartPr>
        <w:name w:val="{1cf63266-ffa6-45da-8443-94e3fcb1fab2}"/>
        <w:style w:val=""/>
        <w:category>
          <w:name w:val="常规"/>
          <w:gallery w:val="placeholder"/>
        </w:category>
        <w:types>
          <w:type w:val="bbPlcHdr"/>
        </w:types>
        <w:behaviors>
          <w:behavior w:val="content"/>
        </w:behaviors>
        <w:description w:val=""/>
        <w:guid w:val="{1cf63266-ffa6-45da-8443-94e3fcb1fab2}"/>
      </w:docPartPr>
      <w:docPartBody>
        <w:p>
          <w:r>
            <w:rPr>
              <w:color w:val="808080"/>
            </w:rPr>
            <w:t>单击此处输入文字。</w:t>
          </w:r>
        </w:p>
      </w:docPartBody>
    </w:docPart>
    <w:docPart>
      <w:docPartPr>
        <w:name w:val="{ea7d7d0a-1422-42ce-a801-5bf75ce0dc83}"/>
        <w:style w:val=""/>
        <w:category>
          <w:name w:val="常规"/>
          <w:gallery w:val="placeholder"/>
        </w:category>
        <w:types>
          <w:type w:val="bbPlcHdr"/>
        </w:types>
        <w:behaviors>
          <w:behavior w:val="content"/>
        </w:behaviors>
        <w:description w:val=""/>
        <w:guid w:val="{ea7d7d0a-1422-42ce-a801-5bf75ce0dc83}"/>
      </w:docPartPr>
      <w:docPartBody>
        <w:p>
          <w:r>
            <w:rPr>
              <w:color w:val="808080"/>
            </w:rPr>
            <w:t>单击此处输入文字。</w:t>
          </w:r>
        </w:p>
      </w:docPartBody>
    </w:docPart>
    <w:docPart>
      <w:docPartPr>
        <w:name w:val="{733eeadc-6d61-45a7-80fb-4f95234f9836}"/>
        <w:style w:val=""/>
        <w:category>
          <w:name w:val="常规"/>
          <w:gallery w:val="placeholder"/>
        </w:category>
        <w:types>
          <w:type w:val="bbPlcHdr"/>
        </w:types>
        <w:behaviors>
          <w:behavior w:val="content"/>
        </w:behaviors>
        <w:description w:val=""/>
        <w:guid w:val="{733eeadc-6d61-45a7-80fb-4f95234f9836}"/>
      </w:docPartPr>
      <w:docPartBody>
        <w:p>
          <w:r>
            <w:rPr>
              <w:color w:val="808080"/>
            </w:rPr>
            <w:t>单击此处输入文字。</w:t>
          </w:r>
        </w:p>
      </w:docPartBody>
    </w:docPart>
    <w:docPart>
      <w:docPartPr>
        <w:name w:val="{9275e379-518a-4851-a345-adad2ae37a17}"/>
        <w:style w:val=""/>
        <w:category>
          <w:name w:val="常规"/>
          <w:gallery w:val="placeholder"/>
        </w:category>
        <w:types>
          <w:type w:val="bbPlcHdr"/>
        </w:types>
        <w:behaviors>
          <w:behavior w:val="content"/>
        </w:behaviors>
        <w:description w:val=""/>
        <w:guid w:val="{9275e379-518a-4851-a345-adad2ae37a17}"/>
      </w:docPartPr>
      <w:docPartBody>
        <w:p>
          <w:r>
            <w:rPr>
              <w:color w:val="808080"/>
            </w:rPr>
            <w:t>单击此处输入文字。</w:t>
          </w:r>
        </w:p>
      </w:docPartBody>
    </w:docPart>
    <w:docPart>
      <w:docPartPr>
        <w:name w:val="{2ab8a895-8e79-4650-aa14-4e3088a2ca9b}"/>
        <w:style w:val=""/>
        <w:category>
          <w:name w:val="常规"/>
          <w:gallery w:val="placeholder"/>
        </w:category>
        <w:types>
          <w:type w:val="bbPlcHdr"/>
        </w:types>
        <w:behaviors>
          <w:behavior w:val="content"/>
        </w:behaviors>
        <w:description w:val=""/>
        <w:guid w:val="{2ab8a895-8e79-4650-aa14-4e3088a2ca9b}"/>
      </w:docPartPr>
      <w:docPartBody>
        <w:p>
          <w:r>
            <w:rPr>
              <w:color w:val="808080"/>
            </w:rPr>
            <w:t>单击此处输入文字。</w:t>
          </w:r>
        </w:p>
      </w:docPartBody>
    </w:docPart>
    <w:docPart>
      <w:docPartPr>
        <w:name w:val="{638092f2-9ce3-47ed-b7fd-0a9cdff455a8}"/>
        <w:style w:val=""/>
        <w:category>
          <w:name w:val="常规"/>
          <w:gallery w:val="placeholder"/>
        </w:category>
        <w:types>
          <w:type w:val="bbPlcHdr"/>
        </w:types>
        <w:behaviors>
          <w:behavior w:val="content"/>
        </w:behaviors>
        <w:description w:val=""/>
        <w:guid w:val="{638092f2-9ce3-47ed-b7fd-0a9cdff455a8}"/>
      </w:docPartPr>
      <w:docPartBody>
        <w:p>
          <w:r>
            <w:rPr>
              <w:color w:val="808080"/>
            </w:rPr>
            <w:t>单击此处输入文字。</w:t>
          </w:r>
        </w:p>
      </w:docPartBody>
    </w:docPart>
    <w:docPart>
      <w:docPartPr>
        <w:name w:val="{bc49a609-ac76-4c77-b806-e4f9053a42c2}"/>
        <w:style w:val=""/>
        <w:category>
          <w:name w:val="常规"/>
          <w:gallery w:val="placeholder"/>
        </w:category>
        <w:types>
          <w:type w:val="bbPlcHdr"/>
        </w:types>
        <w:behaviors>
          <w:behavior w:val="content"/>
        </w:behaviors>
        <w:description w:val=""/>
        <w:guid w:val="{bc49a609-ac76-4c77-b806-e4f9053a42c2}"/>
      </w:docPartPr>
      <w:docPartBody>
        <w:p>
          <w:r>
            <w:rPr>
              <w:color w:val="808080"/>
            </w:rPr>
            <w:t>单击此处输入文字。</w:t>
          </w:r>
        </w:p>
      </w:docPartBody>
    </w:docPart>
    <w:docPart>
      <w:docPartPr>
        <w:name w:val="{1ecb6940-e185-4fe6-b301-41c10052c6c1}"/>
        <w:style w:val=""/>
        <w:category>
          <w:name w:val="常规"/>
          <w:gallery w:val="placeholder"/>
        </w:category>
        <w:types>
          <w:type w:val="bbPlcHdr"/>
        </w:types>
        <w:behaviors>
          <w:behavior w:val="content"/>
        </w:behaviors>
        <w:description w:val=""/>
        <w:guid w:val="{1ecb6940-e185-4fe6-b301-41c10052c6c1}"/>
      </w:docPartPr>
      <w:docPartBody>
        <w:p>
          <w:r>
            <w:rPr>
              <w:color w:val="808080"/>
            </w:rPr>
            <w:t>单击此处输入文字。</w:t>
          </w:r>
        </w:p>
      </w:docPartBody>
    </w:docPart>
    <w:docPart>
      <w:docPartPr>
        <w:name w:val="{cf25de13-22c6-4ca6-95b1-84de5e998e99}"/>
        <w:style w:val=""/>
        <w:category>
          <w:name w:val="常规"/>
          <w:gallery w:val="placeholder"/>
        </w:category>
        <w:types>
          <w:type w:val="bbPlcHdr"/>
        </w:types>
        <w:behaviors>
          <w:behavior w:val="content"/>
        </w:behaviors>
        <w:description w:val=""/>
        <w:guid w:val="{cf25de13-22c6-4ca6-95b1-84de5e998e99}"/>
      </w:docPartPr>
      <w:docPartBody>
        <w:p>
          <w:r>
            <w:rPr>
              <w:color w:val="808080"/>
            </w:rPr>
            <w:t>单击此处输入文字。</w:t>
          </w:r>
        </w:p>
      </w:docPartBody>
    </w:docPart>
    <w:docPart>
      <w:docPartPr>
        <w:name w:val="{50b93cc4-7441-42b5-b658-e7b861dfb4a6}"/>
        <w:style w:val=""/>
        <w:category>
          <w:name w:val="常规"/>
          <w:gallery w:val="placeholder"/>
        </w:category>
        <w:types>
          <w:type w:val="bbPlcHdr"/>
        </w:types>
        <w:behaviors>
          <w:behavior w:val="content"/>
        </w:behaviors>
        <w:description w:val=""/>
        <w:guid w:val="{50b93cc4-7441-42b5-b658-e7b861dfb4a6}"/>
      </w:docPartPr>
      <w:docPartBody>
        <w:p>
          <w:r>
            <w:rPr>
              <w:color w:val="808080"/>
            </w:rPr>
            <w:t>单击此处输入文字。</w:t>
          </w:r>
        </w:p>
      </w:docPartBody>
    </w:docPart>
    <w:docPart>
      <w:docPartPr>
        <w:name w:val="{881339a3-2802-4411-981c-dd1a45bc586f}"/>
        <w:style w:val=""/>
        <w:category>
          <w:name w:val="常规"/>
          <w:gallery w:val="placeholder"/>
        </w:category>
        <w:types>
          <w:type w:val="bbPlcHdr"/>
        </w:types>
        <w:behaviors>
          <w:behavior w:val="content"/>
        </w:behaviors>
        <w:description w:val=""/>
        <w:guid w:val="{881339a3-2802-4411-981c-dd1a45bc586f}"/>
      </w:docPartPr>
      <w:docPartBody>
        <w:p>
          <w:r>
            <w:rPr>
              <w:color w:val="808080"/>
            </w:rPr>
            <w:t>单击此处输入文字。</w:t>
          </w:r>
        </w:p>
      </w:docPartBody>
    </w:docPart>
    <w:docPart>
      <w:docPartPr>
        <w:name w:val="{aa57aafe-6ff7-4473-9689-50e8eed158d0}"/>
        <w:style w:val=""/>
        <w:category>
          <w:name w:val="常规"/>
          <w:gallery w:val="placeholder"/>
        </w:category>
        <w:types>
          <w:type w:val="bbPlcHdr"/>
        </w:types>
        <w:behaviors>
          <w:behavior w:val="content"/>
        </w:behaviors>
        <w:description w:val=""/>
        <w:guid w:val="{aa57aafe-6ff7-4473-9689-50e8eed158d0}"/>
      </w:docPartPr>
      <w:docPartBody>
        <w:p>
          <w:r>
            <w:rPr>
              <w:color w:val="808080"/>
            </w:rPr>
            <w:t>单击此处输入文字。</w:t>
          </w:r>
        </w:p>
      </w:docPartBody>
    </w:docPart>
    <w:docPart>
      <w:docPartPr>
        <w:name w:val="{f000e6ab-29f8-4c9f-a756-00365b0ed0ab}"/>
        <w:style w:val=""/>
        <w:category>
          <w:name w:val="常规"/>
          <w:gallery w:val="placeholder"/>
        </w:category>
        <w:types>
          <w:type w:val="bbPlcHdr"/>
        </w:types>
        <w:behaviors>
          <w:behavior w:val="content"/>
        </w:behaviors>
        <w:description w:val=""/>
        <w:guid w:val="{f000e6ab-29f8-4c9f-a756-00365b0ed0ab}"/>
      </w:docPartPr>
      <w:docPartBody>
        <w:p>
          <w:r>
            <w:rPr>
              <w:color w:val="808080"/>
            </w:rPr>
            <w:t>单击此处输入文字。</w:t>
          </w:r>
        </w:p>
      </w:docPartBody>
    </w:docPart>
    <w:docPart>
      <w:docPartPr>
        <w:name w:val="{29c90874-0176-43df-ab41-a16922c7ef85}"/>
        <w:style w:val=""/>
        <w:category>
          <w:name w:val="常规"/>
          <w:gallery w:val="placeholder"/>
        </w:category>
        <w:types>
          <w:type w:val="bbPlcHdr"/>
        </w:types>
        <w:behaviors>
          <w:behavior w:val="content"/>
        </w:behaviors>
        <w:description w:val=""/>
        <w:guid w:val="{29c90874-0176-43df-ab41-a16922c7ef85}"/>
      </w:docPartPr>
      <w:docPartBody>
        <w:p>
          <w:r>
            <w:rPr>
              <w:color w:val="808080"/>
            </w:rPr>
            <w:t>单击此处输入文字。</w:t>
          </w:r>
        </w:p>
      </w:docPartBody>
    </w:docPart>
    <w:docPart>
      <w:docPartPr>
        <w:name w:val="{a608eccd-da68-4f4e-b5ba-338cd65e44ae}"/>
        <w:style w:val=""/>
        <w:category>
          <w:name w:val="常规"/>
          <w:gallery w:val="placeholder"/>
        </w:category>
        <w:types>
          <w:type w:val="bbPlcHdr"/>
        </w:types>
        <w:behaviors>
          <w:behavior w:val="content"/>
        </w:behaviors>
        <w:description w:val=""/>
        <w:guid w:val="{a608eccd-da68-4f4e-b5ba-338cd65e44ae}"/>
      </w:docPartPr>
      <w:docPartBody>
        <w:p>
          <w:r>
            <w:rPr>
              <w:color w:val="808080"/>
            </w:rPr>
            <w:t>单击此处输入文字。</w:t>
          </w:r>
        </w:p>
      </w:docPartBody>
    </w:docPart>
    <w:docPart>
      <w:docPartPr>
        <w:name w:val="{0a648429-9ebd-439c-923c-f15455546159}"/>
        <w:style w:val=""/>
        <w:category>
          <w:name w:val="常规"/>
          <w:gallery w:val="placeholder"/>
        </w:category>
        <w:types>
          <w:type w:val="bbPlcHdr"/>
        </w:types>
        <w:behaviors>
          <w:behavior w:val="content"/>
        </w:behaviors>
        <w:description w:val=""/>
        <w:guid w:val="{0a648429-9ebd-439c-923c-f15455546159}"/>
      </w:docPartPr>
      <w:docPartBody>
        <w:p>
          <w:r>
            <w:rPr>
              <w:color w:val="808080"/>
            </w:rPr>
            <w:t>单击此处输入文字。</w:t>
          </w:r>
        </w:p>
      </w:docPartBody>
    </w:docPart>
    <w:docPart>
      <w:docPartPr>
        <w:name w:val="{113be70e-7cc2-4b8c-9ed0-093a9e1a9811}"/>
        <w:style w:val=""/>
        <w:category>
          <w:name w:val="常规"/>
          <w:gallery w:val="placeholder"/>
        </w:category>
        <w:types>
          <w:type w:val="bbPlcHdr"/>
        </w:types>
        <w:behaviors>
          <w:behavior w:val="content"/>
        </w:behaviors>
        <w:description w:val=""/>
        <w:guid w:val="{113be70e-7cc2-4b8c-9ed0-093a9e1a9811}"/>
      </w:docPartPr>
      <w:docPartBody>
        <w:p>
          <w:r>
            <w:rPr>
              <w:color w:val="808080"/>
            </w:rPr>
            <w:t>单击此处输入文字。</w:t>
          </w:r>
        </w:p>
      </w:docPartBody>
    </w:docPart>
    <w:docPart>
      <w:docPartPr>
        <w:name w:val="{8be76d59-bbe2-4ba1-8850-4a40e3c33a63}"/>
        <w:style w:val=""/>
        <w:category>
          <w:name w:val="常规"/>
          <w:gallery w:val="placeholder"/>
        </w:category>
        <w:types>
          <w:type w:val="bbPlcHdr"/>
        </w:types>
        <w:behaviors>
          <w:behavior w:val="content"/>
        </w:behaviors>
        <w:description w:val=""/>
        <w:guid w:val="{8be76d59-bbe2-4ba1-8850-4a40e3c33a63}"/>
      </w:docPartPr>
      <w:docPartBody>
        <w:p>
          <w:r>
            <w:rPr>
              <w:color w:val="808080"/>
            </w:rPr>
            <w:t>单击此处输入文字。</w:t>
          </w:r>
        </w:p>
      </w:docPartBody>
    </w:docPart>
    <w:docPart>
      <w:docPartPr>
        <w:name w:val="{152e1f7d-8db2-49d2-8b89-821c7d180f35}"/>
        <w:style w:val=""/>
        <w:category>
          <w:name w:val="常规"/>
          <w:gallery w:val="placeholder"/>
        </w:category>
        <w:types>
          <w:type w:val="bbPlcHdr"/>
        </w:types>
        <w:behaviors>
          <w:behavior w:val="content"/>
        </w:behaviors>
        <w:description w:val=""/>
        <w:guid w:val="{152e1f7d-8db2-49d2-8b89-821c7d180f35}"/>
      </w:docPartPr>
      <w:docPartBody>
        <w:p>
          <w:r>
            <w:rPr>
              <w:color w:val="808080"/>
            </w:rPr>
            <w:t>单击此处输入文字。</w:t>
          </w:r>
        </w:p>
      </w:docPartBody>
    </w:docPart>
    <w:docPart>
      <w:docPartPr>
        <w:name w:val="{e8b267e4-2707-466d-b71e-df214ffd96d2}"/>
        <w:style w:val=""/>
        <w:category>
          <w:name w:val="常规"/>
          <w:gallery w:val="placeholder"/>
        </w:category>
        <w:types>
          <w:type w:val="bbPlcHdr"/>
        </w:types>
        <w:behaviors>
          <w:behavior w:val="content"/>
        </w:behaviors>
        <w:description w:val=""/>
        <w:guid w:val="{e8b267e4-2707-466d-b71e-df214ffd96d2}"/>
      </w:docPartPr>
      <w:docPartBody>
        <w:p>
          <w:r>
            <w:rPr>
              <w:color w:val="808080"/>
            </w:rPr>
            <w:t>单击此处输入文字。</w:t>
          </w:r>
        </w:p>
      </w:docPartBody>
    </w:docPart>
    <w:docPart>
      <w:docPartPr>
        <w:name w:val="{14daec14-8d1c-4d42-890a-f976c3c69fd4}"/>
        <w:style w:val=""/>
        <w:category>
          <w:name w:val="常规"/>
          <w:gallery w:val="placeholder"/>
        </w:category>
        <w:types>
          <w:type w:val="bbPlcHdr"/>
        </w:types>
        <w:behaviors>
          <w:behavior w:val="content"/>
        </w:behaviors>
        <w:description w:val=""/>
        <w:guid w:val="{14daec14-8d1c-4d42-890a-f976c3c69fd4}"/>
      </w:docPartPr>
      <w:docPartBody>
        <w:p>
          <w:r>
            <w:rPr>
              <w:color w:val="808080"/>
            </w:rPr>
            <w:t>单击此处输入文字。</w:t>
          </w:r>
        </w:p>
      </w:docPartBody>
    </w:docPart>
    <w:docPart>
      <w:docPartPr>
        <w:name w:val="{9adf52b0-3a84-4b22-81a6-5096a1269aa6}"/>
        <w:style w:val=""/>
        <w:category>
          <w:name w:val="常规"/>
          <w:gallery w:val="placeholder"/>
        </w:category>
        <w:types>
          <w:type w:val="bbPlcHdr"/>
        </w:types>
        <w:behaviors>
          <w:behavior w:val="content"/>
        </w:behaviors>
        <w:description w:val=""/>
        <w:guid w:val="{9adf52b0-3a84-4b22-81a6-5096a1269aa6}"/>
      </w:docPartPr>
      <w:docPartBody>
        <w:p>
          <w:r>
            <w:rPr>
              <w:color w:val="808080"/>
            </w:rPr>
            <w:t>单击此处输入文字。</w:t>
          </w:r>
        </w:p>
      </w:docPartBody>
    </w:docPart>
    <w:docPart>
      <w:docPartPr>
        <w:name w:val="{4236f293-b8bd-4135-9305-409f149492d0}"/>
        <w:style w:val=""/>
        <w:category>
          <w:name w:val="常规"/>
          <w:gallery w:val="placeholder"/>
        </w:category>
        <w:types>
          <w:type w:val="bbPlcHdr"/>
        </w:types>
        <w:behaviors>
          <w:behavior w:val="content"/>
        </w:behaviors>
        <w:description w:val=""/>
        <w:guid w:val="{4236f293-b8bd-4135-9305-409f149492d0}"/>
      </w:docPartPr>
      <w:docPartBody>
        <w:p>
          <w:r>
            <w:rPr>
              <w:color w:val="808080"/>
            </w:rPr>
            <w:t>单击此处输入文字。</w:t>
          </w:r>
        </w:p>
      </w:docPartBody>
    </w:docPart>
    <w:docPart>
      <w:docPartPr>
        <w:name w:val="{d45f261d-9b5e-478a-babe-8c17d6d397ed}"/>
        <w:style w:val=""/>
        <w:category>
          <w:name w:val="常规"/>
          <w:gallery w:val="placeholder"/>
        </w:category>
        <w:types>
          <w:type w:val="bbPlcHdr"/>
        </w:types>
        <w:behaviors>
          <w:behavior w:val="content"/>
        </w:behaviors>
        <w:description w:val=""/>
        <w:guid w:val="{d45f261d-9b5e-478a-babe-8c17d6d397ed}"/>
      </w:docPartPr>
      <w:docPartBody>
        <w:p>
          <w:r>
            <w:rPr>
              <w:color w:val="808080"/>
            </w:rPr>
            <w:t>单击此处输入文字。</w:t>
          </w:r>
        </w:p>
      </w:docPartBody>
    </w:docPart>
    <w:docPart>
      <w:docPartPr>
        <w:name w:val="{1c6a669b-859b-46ed-9113-6014a9018591}"/>
        <w:style w:val=""/>
        <w:category>
          <w:name w:val="常规"/>
          <w:gallery w:val="placeholder"/>
        </w:category>
        <w:types>
          <w:type w:val="bbPlcHdr"/>
        </w:types>
        <w:behaviors>
          <w:behavior w:val="content"/>
        </w:behaviors>
        <w:description w:val=""/>
        <w:guid w:val="{1c6a669b-859b-46ed-9113-6014a9018591}"/>
      </w:docPartPr>
      <w:docPartBody>
        <w:p>
          <w:r>
            <w:rPr>
              <w:color w:val="808080"/>
            </w:rPr>
            <w:t>单击此处输入文字。</w:t>
          </w:r>
        </w:p>
      </w:docPartBody>
    </w:docPart>
    <w:docPart>
      <w:docPartPr>
        <w:name w:val="{17b8c9a9-e1c3-4a56-a46e-d255b10c2dfb}"/>
        <w:style w:val=""/>
        <w:category>
          <w:name w:val="常规"/>
          <w:gallery w:val="placeholder"/>
        </w:category>
        <w:types>
          <w:type w:val="bbPlcHdr"/>
        </w:types>
        <w:behaviors>
          <w:behavior w:val="content"/>
        </w:behaviors>
        <w:description w:val=""/>
        <w:guid w:val="{17b8c9a9-e1c3-4a56-a46e-d255b10c2dfb}"/>
      </w:docPartPr>
      <w:docPartBody>
        <w:p>
          <w:r>
            <w:rPr>
              <w:color w:val="808080"/>
            </w:rPr>
            <w:t>单击此处输入文字。</w:t>
          </w:r>
        </w:p>
      </w:docPartBody>
    </w:docPart>
    <w:docPart>
      <w:docPartPr>
        <w:name w:val="{efd73315-319b-4c1d-a320-4fe98a5f3789}"/>
        <w:style w:val=""/>
        <w:category>
          <w:name w:val="常规"/>
          <w:gallery w:val="placeholder"/>
        </w:category>
        <w:types>
          <w:type w:val="bbPlcHdr"/>
        </w:types>
        <w:behaviors>
          <w:behavior w:val="content"/>
        </w:behaviors>
        <w:description w:val=""/>
        <w:guid w:val="{efd73315-319b-4c1d-a320-4fe98a5f3789}"/>
      </w:docPartPr>
      <w:docPartBody>
        <w:p>
          <w:r>
            <w:rPr>
              <w:color w:val="808080"/>
            </w:rPr>
            <w:t>单击此处输入文字。</w:t>
          </w:r>
        </w:p>
      </w:docPartBody>
    </w:docPart>
    <w:docPart>
      <w:docPartPr>
        <w:name w:val="{229d381c-19a5-4507-9677-602ec4f4df0f}"/>
        <w:style w:val=""/>
        <w:category>
          <w:name w:val="常规"/>
          <w:gallery w:val="placeholder"/>
        </w:category>
        <w:types>
          <w:type w:val="bbPlcHdr"/>
        </w:types>
        <w:behaviors>
          <w:behavior w:val="content"/>
        </w:behaviors>
        <w:description w:val=""/>
        <w:guid w:val="{229d381c-19a5-4507-9677-602ec4f4df0f}"/>
      </w:docPartPr>
      <w:docPartBody>
        <w:p>
          <w:r>
            <w:rPr>
              <w:color w:val="808080"/>
            </w:rPr>
            <w:t>单击此处输入文字。</w:t>
          </w:r>
        </w:p>
      </w:docPartBody>
    </w:docPart>
    <w:docPart>
      <w:docPartPr>
        <w:name w:val="{dd776abe-ac85-4957-9bd9-acc250c36a58}"/>
        <w:style w:val=""/>
        <w:category>
          <w:name w:val="常规"/>
          <w:gallery w:val="placeholder"/>
        </w:category>
        <w:types>
          <w:type w:val="bbPlcHdr"/>
        </w:types>
        <w:behaviors>
          <w:behavior w:val="content"/>
        </w:behaviors>
        <w:description w:val=""/>
        <w:guid w:val="{dd776abe-ac85-4957-9bd9-acc250c36a58}"/>
      </w:docPartPr>
      <w:docPartBody>
        <w:p>
          <w:r>
            <w:rPr>
              <w:color w:val="808080"/>
            </w:rPr>
            <w:t>单击此处输入文字。</w:t>
          </w:r>
        </w:p>
      </w:docPartBody>
    </w:docPart>
    <w:docPart>
      <w:docPartPr>
        <w:name w:val="{be952188-e42e-4e55-b13d-c520bd12e719}"/>
        <w:style w:val=""/>
        <w:category>
          <w:name w:val="常规"/>
          <w:gallery w:val="placeholder"/>
        </w:category>
        <w:types>
          <w:type w:val="bbPlcHdr"/>
        </w:types>
        <w:behaviors>
          <w:behavior w:val="content"/>
        </w:behaviors>
        <w:description w:val=""/>
        <w:guid w:val="{be952188-e42e-4e55-b13d-c520bd12e719}"/>
      </w:docPartPr>
      <w:docPartBody>
        <w:p>
          <w:r>
            <w:rPr>
              <w:color w:val="808080"/>
            </w:rPr>
            <w:t>单击此处输入文字。</w:t>
          </w:r>
        </w:p>
      </w:docPartBody>
    </w:docPart>
    <w:docPart>
      <w:docPartPr>
        <w:name w:val="{9b44671a-c7de-46d2-ac13-afa812fafe6f}"/>
        <w:style w:val=""/>
        <w:category>
          <w:name w:val="常规"/>
          <w:gallery w:val="placeholder"/>
        </w:category>
        <w:types>
          <w:type w:val="bbPlcHdr"/>
        </w:types>
        <w:behaviors>
          <w:behavior w:val="content"/>
        </w:behaviors>
        <w:description w:val=""/>
        <w:guid w:val="{9b44671a-c7de-46d2-ac13-afa812fafe6f}"/>
      </w:docPartPr>
      <w:docPartBody>
        <w:p>
          <w:r>
            <w:rPr>
              <w:color w:val="808080"/>
            </w:rPr>
            <w:t>单击此处输入文字。</w:t>
          </w:r>
        </w:p>
      </w:docPartBody>
    </w:docPart>
    <w:docPart>
      <w:docPartPr>
        <w:name w:val="{d572f813-31ca-476e-8686-e288d9035a75}"/>
        <w:style w:val=""/>
        <w:category>
          <w:name w:val="常规"/>
          <w:gallery w:val="placeholder"/>
        </w:category>
        <w:types>
          <w:type w:val="bbPlcHdr"/>
        </w:types>
        <w:behaviors>
          <w:behavior w:val="content"/>
        </w:behaviors>
        <w:description w:val=""/>
        <w:guid w:val="{d572f813-31ca-476e-8686-e288d9035a75}"/>
      </w:docPartPr>
      <w:docPartBody>
        <w:p>
          <w:r>
            <w:rPr>
              <w:color w:val="808080"/>
            </w:rPr>
            <w:t>单击此处输入文字。</w:t>
          </w:r>
        </w:p>
      </w:docPartBody>
    </w:docPart>
    <w:docPart>
      <w:docPartPr>
        <w:name w:val="{2aa3bd4d-a09d-4153-942b-07352bc053a4}"/>
        <w:style w:val=""/>
        <w:category>
          <w:name w:val="常规"/>
          <w:gallery w:val="placeholder"/>
        </w:category>
        <w:types>
          <w:type w:val="bbPlcHdr"/>
        </w:types>
        <w:behaviors>
          <w:behavior w:val="content"/>
        </w:behaviors>
        <w:description w:val=""/>
        <w:guid w:val="{2aa3bd4d-a09d-4153-942b-07352bc053a4}"/>
      </w:docPartPr>
      <w:docPartBody>
        <w:p>
          <w:r>
            <w:rPr>
              <w:color w:val="808080"/>
            </w:rPr>
            <w:t>单击此处输入文字。</w:t>
          </w:r>
        </w:p>
      </w:docPartBody>
    </w:docPart>
    <w:docPart>
      <w:docPartPr>
        <w:name w:val="{8ebb506a-2a33-4131-951a-fe8f6c6d5d34}"/>
        <w:style w:val=""/>
        <w:category>
          <w:name w:val="常规"/>
          <w:gallery w:val="placeholder"/>
        </w:category>
        <w:types>
          <w:type w:val="bbPlcHdr"/>
        </w:types>
        <w:behaviors>
          <w:behavior w:val="content"/>
        </w:behaviors>
        <w:description w:val=""/>
        <w:guid w:val="{8ebb506a-2a33-4131-951a-fe8f6c6d5d34}"/>
      </w:docPartPr>
      <w:docPartBody>
        <w:p>
          <w:r>
            <w:rPr>
              <w:color w:val="808080"/>
            </w:rPr>
            <w:t>单击此处输入文字。</w:t>
          </w:r>
        </w:p>
      </w:docPartBody>
    </w:docPart>
    <w:docPart>
      <w:docPartPr>
        <w:name w:val="{5be8008e-1a96-4478-b58a-10e44f50211a}"/>
        <w:style w:val=""/>
        <w:category>
          <w:name w:val="常规"/>
          <w:gallery w:val="placeholder"/>
        </w:category>
        <w:types>
          <w:type w:val="bbPlcHdr"/>
        </w:types>
        <w:behaviors>
          <w:behavior w:val="content"/>
        </w:behaviors>
        <w:description w:val=""/>
        <w:guid w:val="{5be8008e-1a96-4478-b58a-10e44f50211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C3FF0-6EBA-4C15-88D4-F03E4AA6587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132</Pages>
  <Words>66938</Words>
  <Characters>70714</Characters>
  <Lines>271</Lines>
  <Paragraphs>76</Paragraphs>
  <TotalTime>62</TotalTime>
  <ScaleCrop>false</ScaleCrop>
  <LinksUpToDate>false</LinksUpToDate>
  <CharactersWithSpaces>72624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NNRT_ZYA</cp:lastModifiedBy>
  <cp:lastPrinted>2022-09-20T00:13:00Z</cp:lastPrinted>
  <dcterms:modified xsi:type="dcterms:W3CDTF">2022-09-21T01:36:32Z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8EA8508F482D400CA180E25954BE364A</vt:lpwstr>
  </property>
  <property fmtid="{D5CDD505-2E9C-101B-9397-08002B2CF9AE}" pid="4" name="commondata">
    <vt:lpwstr>eyJoZGlkIjoiNWE4MWE4OWU4ZTc4Y2FiZDRlZDk3YTI5ZGVhMWVjYWQifQ==</vt:lpwstr>
  </property>
</Properties>
</file>