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rPr>
      </w:pPr>
    </w:p>
    <w:p>
      <w:pPr>
        <w:spacing w:before="0"/>
        <w:ind w:left="0" w:right="0" w:firstLine="0"/>
        <w:jc w:val="center"/>
        <w:rPr>
          <w:rFonts w:hint="eastAsia" w:ascii="宋体" w:hAnsi="宋体" w:eastAsiaTheme="majorEastAsia"/>
          <w:b/>
          <w:spacing w:val="-4"/>
          <w:sz w:val="44"/>
          <w:szCs w:val="44"/>
          <w:lang w:val="en-US" w:eastAsia="zh-CN"/>
        </w:rPr>
      </w:pPr>
      <w:r>
        <w:rPr>
          <w:rFonts w:hint="eastAsia" w:asciiTheme="majorEastAsia" w:hAnsiTheme="majorEastAsia" w:eastAsiaTheme="majorEastAsia" w:cstheme="majorEastAsia"/>
          <w:b/>
          <w:sz w:val="44"/>
          <w:szCs w:val="48"/>
          <w:lang w:eastAsia="zh-CN"/>
        </w:rPr>
        <w:t>南宁轨道交通运营有限公司2022年新能源汽车充电桩二期建设项目</w:t>
      </w:r>
    </w:p>
    <w:p>
      <w:pPr>
        <w:pStyle w:val="25"/>
        <w:spacing w:before="0"/>
        <w:ind w:left="0" w:right="-57" w:firstLine="0"/>
        <w:jc w:val="center"/>
        <w:rPr>
          <w:rFonts w:ascii="宋体" w:hAnsi="宋体"/>
          <w:b/>
          <w:spacing w:val="-4"/>
          <w:sz w:val="44"/>
          <w:szCs w:val="44"/>
        </w:rPr>
      </w:pPr>
    </w:p>
    <w:p>
      <w:pPr>
        <w:spacing w:before="0"/>
        <w:ind w:left="0" w:right="-57" w:firstLine="0"/>
        <w:jc w:val="center"/>
        <w:rPr>
          <w:rFonts w:ascii="宋体" w:hAnsi="宋体"/>
          <w:b/>
          <w:sz w:val="72"/>
          <w:szCs w:val="72"/>
        </w:rPr>
      </w:pPr>
      <w:r>
        <w:rPr>
          <w:rFonts w:hint="eastAsia" w:ascii="宋体" w:hAnsi="宋体"/>
          <w:b/>
          <w:sz w:val="72"/>
          <w:szCs w:val="72"/>
        </w:rPr>
        <w:t>比选</w:t>
      </w:r>
      <w:r>
        <w:rPr>
          <w:rFonts w:ascii="宋体" w:hAnsi="宋体"/>
          <w:b/>
          <w:sz w:val="72"/>
          <w:szCs w:val="72"/>
        </w:rPr>
        <w:t>文件</w:t>
      </w:r>
    </w:p>
    <w:p>
      <w:pPr>
        <w:spacing w:before="720"/>
        <w:ind w:left="1801" w:right="-57" w:hanging="180"/>
        <w:rPr>
          <w:rFonts w:ascii="宋体" w:hAnsi="宋体"/>
          <w:b/>
          <w:sz w:val="32"/>
          <w:szCs w:val="32"/>
        </w:rPr>
      </w:pPr>
    </w:p>
    <w:p>
      <w:pPr>
        <w:spacing w:before="0"/>
        <w:ind w:left="0" w:right="-57" w:firstLine="0"/>
        <w:rPr>
          <w:rFonts w:ascii="宋体" w:hAnsi="宋体"/>
        </w:rPr>
      </w:pPr>
    </w:p>
    <w:p>
      <w:pPr>
        <w:spacing w:before="0"/>
        <w:ind w:left="1801" w:right="-57" w:hanging="180"/>
        <w:rPr>
          <w:rFonts w:hint="default" w:ascii="宋体" w:hAnsi="宋体" w:eastAsia="宋体"/>
          <w:b/>
          <w:sz w:val="32"/>
          <w:szCs w:val="32"/>
          <w:u w:val="single"/>
          <w:lang w:val="en-US" w:eastAsia="zh-CN"/>
        </w:rPr>
      </w:pPr>
      <w:r>
        <w:rPr>
          <w:rFonts w:hint="eastAsia" w:ascii="宋体" w:hAnsi="宋体"/>
          <w:b/>
          <w:sz w:val="32"/>
          <w:szCs w:val="32"/>
        </w:rPr>
        <w:t>项目编号：</w:t>
      </w:r>
      <w:r>
        <w:rPr>
          <w:rFonts w:hint="eastAsia" w:ascii="宋体" w:hAnsi="宋体"/>
          <w:b/>
          <w:sz w:val="32"/>
          <w:szCs w:val="32"/>
          <w:u w:val="single"/>
        </w:rPr>
        <w:t>202209050007</w:t>
      </w:r>
    </w:p>
    <w:p>
      <w:pPr>
        <w:spacing w:before="0"/>
        <w:ind w:left="1801" w:right="-57" w:hanging="180"/>
        <w:rPr>
          <w:rFonts w:hint="eastAsia" w:ascii="宋体" w:hAnsi="宋体" w:eastAsia="宋体"/>
          <w:sz w:val="30"/>
          <w:szCs w:val="30"/>
          <w:lang w:eastAsia="zh-CN"/>
        </w:rPr>
      </w:pPr>
      <w:r>
        <w:rPr>
          <w:rFonts w:ascii="宋体" w:hAnsi="宋体"/>
          <w:b/>
          <w:sz w:val="32"/>
          <w:szCs w:val="32"/>
        </w:rPr>
        <w:t>比选人：</w:t>
      </w:r>
      <w:r>
        <w:rPr>
          <w:rFonts w:hint="eastAsia" w:ascii="宋体" w:hAnsi="宋体"/>
          <w:b/>
          <w:sz w:val="32"/>
          <w:szCs w:val="32"/>
          <w:u w:val="single"/>
          <w:lang w:eastAsia="zh-CN"/>
        </w:rPr>
        <w:t>南宁轨道交通运营有限公司</w:t>
      </w:r>
    </w:p>
    <w:p>
      <w:pPr>
        <w:spacing w:before="0"/>
        <w:ind w:right="-57"/>
        <w:jc w:val="center"/>
        <w:rPr>
          <w:rFonts w:hint="eastAsia" w:ascii="宋体" w:hAnsi="宋体"/>
          <w:b/>
          <w:sz w:val="36"/>
          <w:szCs w:val="36"/>
          <w:lang w:val="en-US" w:eastAsia="zh-CN"/>
        </w:rPr>
      </w:pPr>
    </w:p>
    <w:p>
      <w:pPr>
        <w:spacing w:before="0"/>
        <w:ind w:right="-57"/>
        <w:jc w:val="center"/>
        <w:rPr>
          <w:rFonts w:hint="eastAsia" w:ascii="宋体" w:hAnsi="宋体"/>
          <w:b/>
          <w:sz w:val="36"/>
          <w:szCs w:val="36"/>
          <w:lang w:val="en-US" w:eastAsia="zh-CN"/>
        </w:rPr>
      </w:pPr>
    </w:p>
    <w:p>
      <w:pPr>
        <w:spacing w:before="0"/>
        <w:ind w:right="-57"/>
        <w:jc w:val="center"/>
        <w:rPr>
          <w:rFonts w:hint="eastAsia" w:ascii="宋体" w:hAnsi="宋体"/>
          <w:b/>
          <w:sz w:val="36"/>
          <w:szCs w:val="36"/>
          <w:lang w:val="en-US" w:eastAsia="zh-CN"/>
        </w:rPr>
      </w:pPr>
    </w:p>
    <w:p>
      <w:pPr>
        <w:spacing w:before="0"/>
        <w:ind w:right="-57"/>
        <w:jc w:val="center"/>
        <w:rPr>
          <w:rFonts w:ascii="宋体" w:hAnsi="宋体"/>
          <w:b/>
          <w:sz w:val="36"/>
          <w:szCs w:val="36"/>
        </w:rPr>
      </w:pPr>
      <w:r>
        <w:rPr>
          <w:rFonts w:hint="eastAsia" w:ascii="宋体" w:hAnsi="宋体"/>
          <w:b/>
          <w:sz w:val="36"/>
          <w:szCs w:val="36"/>
          <w:lang w:val="en-US" w:eastAsia="zh-CN"/>
        </w:rPr>
        <w:t>2022</w:t>
      </w:r>
      <w:r>
        <w:rPr>
          <w:rFonts w:ascii="宋体" w:hAnsi="宋体"/>
          <w:b/>
          <w:sz w:val="36"/>
          <w:szCs w:val="36"/>
        </w:rPr>
        <w:t>年</w:t>
      </w:r>
      <w:r>
        <w:rPr>
          <w:rFonts w:hint="eastAsia" w:ascii="宋体" w:hAnsi="宋体"/>
          <w:b/>
          <w:sz w:val="36"/>
          <w:szCs w:val="36"/>
          <w:lang w:val="en-US" w:eastAsia="zh-CN"/>
        </w:rPr>
        <w:t>10</w:t>
      </w:r>
      <w:r>
        <w:rPr>
          <w:rFonts w:ascii="宋体" w:hAnsi="宋体"/>
          <w:b/>
          <w:sz w:val="36"/>
          <w:szCs w:val="36"/>
        </w:rPr>
        <w:t>月</w:t>
      </w:r>
    </w:p>
    <w:p>
      <w:pPr>
        <w:spacing w:line="540" w:lineRule="exact"/>
        <w:ind w:left="0" w:right="-57" w:firstLine="0"/>
        <w:jc w:val="both"/>
        <w:rPr>
          <w:rFonts w:hint="eastAsia" w:ascii="宋体" w:hAnsi="宋体" w:cs="宋体"/>
          <w:b/>
          <w:sz w:val="36"/>
          <w:szCs w:val="36"/>
        </w:rPr>
        <w:sectPr>
          <w:headerReference r:id="rId5" w:type="default"/>
          <w:footerReference r:id="rId6" w:type="default"/>
          <w:pgSz w:w="11905" w:h="16838"/>
          <w:pgMar w:top="1418" w:right="1418" w:bottom="1304" w:left="1418" w:header="454" w:footer="567" w:gutter="0"/>
          <w:pgNumType w:start="1" w:chapStyle="1"/>
          <w:cols w:space="720" w:num="1"/>
          <w:docGrid w:linePitch="312" w:charSpace="0"/>
        </w:sect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9"/>
            <w:spacing w:before="0" w:line="240" w:lineRule="auto"/>
            <w:jc w:val="center"/>
            <w:rPr>
              <w:rFonts w:ascii="宋体" w:hAnsi="宋体" w:eastAsia="宋体"/>
            </w:rPr>
          </w:pPr>
          <w:r>
            <w:rPr>
              <w:rFonts w:hint="eastAsia" w:ascii="宋体" w:hAnsi="宋体" w:eastAsia="宋体" w:cs="宋体"/>
              <w:color w:val="auto"/>
              <w:lang w:val="zh-CN"/>
            </w:rPr>
            <w:t>目</w:t>
          </w:r>
          <w:r>
            <w:rPr>
              <w:rFonts w:hint="eastAsia" w:ascii="宋体" w:hAnsi="宋体" w:eastAsia="宋体" w:cs="宋体"/>
              <w:color w:val="auto"/>
              <w:lang w:val="en-US" w:eastAsia="zh-CN"/>
            </w:rPr>
            <w:t xml:space="preserve">  </w:t>
          </w:r>
          <w:r>
            <w:rPr>
              <w:rFonts w:hint="eastAsia" w:ascii="宋体" w:hAnsi="宋体" w:eastAsia="宋体" w:cs="宋体"/>
              <w:color w:val="auto"/>
              <w:lang w:val="zh-CN"/>
            </w:rPr>
            <w:t>录</w:t>
          </w:r>
        </w:p>
        <w:p>
          <w:pPr>
            <w:pStyle w:val="18"/>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TOC \o "1-2"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_Toc27941 </w:instrText>
          </w:r>
          <w:r>
            <w:rPr>
              <w:rFonts w:hint="eastAsia" w:ascii="宋体" w:hAnsi="宋体" w:eastAsia="宋体" w:cs="宋体"/>
            </w:rPr>
            <w:fldChar w:fldCharType="separate"/>
          </w:r>
          <w:r>
            <w:rPr>
              <w:rFonts w:hint="eastAsia" w:ascii="宋体" w:hAnsi="宋体" w:eastAsia="宋体" w:cs="宋体"/>
            </w:rPr>
            <w:t>第一章比选公告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_Toc27941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8"/>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_Toc14381 </w:instrText>
          </w:r>
          <w:r>
            <w:rPr>
              <w:rFonts w:hint="eastAsia" w:ascii="宋体" w:hAnsi="宋体" w:eastAsia="宋体" w:cs="宋体"/>
            </w:rPr>
            <w:fldChar w:fldCharType="separate"/>
          </w:r>
          <w:r>
            <w:rPr>
              <w:rFonts w:hint="eastAsia" w:ascii="宋体" w:hAnsi="宋体" w:eastAsia="宋体" w:cs="宋体"/>
            </w:rPr>
            <w:t>第二章比选申请须知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_Toc14381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_Toc25102 </w:instrText>
          </w:r>
          <w:r>
            <w:rPr>
              <w:rFonts w:hint="eastAsia" w:ascii="宋体" w:hAnsi="宋体" w:eastAsia="宋体" w:cs="宋体"/>
            </w:rPr>
            <w:fldChar w:fldCharType="separate"/>
          </w:r>
          <w:r>
            <w:rPr>
              <w:rFonts w:hint="eastAsia" w:ascii="宋体" w:hAnsi="宋体" w:eastAsia="宋体" w:cs="宋体"/>
              <w:szCs w:val="24"/>
            </w:rPr>
            <w:t>一、项目概况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_Toc25102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_Toc1073 </w:instrText>
          </w:r>
          <w:r>
            <w:rPr>
              <w:rFonts w:hint="eastAsia" w:ascii="宋体" w:hAnsi="宋体" w:eastAsia="宋体" w:cs="宋体"/>
            </w:rPr>
            <w:fldChar w:fldCharType="separate"/>
          </w:r>
          <w:r>
            <w:rPr>
              <w:rFonts w:hint="eastAsia" w:ascii="宋体" w:hAnsi="宋体" w:eastAsia="宋体" w:cs="宋体"/>
              <w:szCs w:val="24"/>
            </w:rPr>
            <w:t>二、比选人资格要求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_Toc1073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_Toc15461 </w:instrText>
          </w:r>
          <w:r>
            <w:rPr>
              <w:rFonts w:hint="eastAsia" w:ascii="宋体" w:hAnsi="宋体" w:eastAsia="宋体" w:cs="宋体"/>
            </w:rPr>
            <w:fldChar w:fldCharType="separate"/>
          </w:r>
          <w:r>
            <w:rPr>
              <w:rFonts w:hint="eastAsia" w:ascii="宋体" w:hAnsi="宋体" w:eastAsia="宋体" w:cs="宋体"/>
              <w:szCs w:val="24"/>
            </w:rPr>
            <w:t>三、比选申请文件内容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_Toc15461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_Toc32293 </w:instrText>
          </w:r>
          <w:r>
            <w:rPr>
              <w:rFonts w:hint="eastAsia" w:ascii="宋体" w:hAnsi="宋体" w:eastAsia="宋体" w:cs="宋体"/>
            </w:rPr>
            <w:fldChar w:fldCharType="separate"/>
          </w:r>
          <w:r>
            <w:rPr>
              <w:rFonts w:hint="eastAsia" w:ascii="宋体" w:hAnsi="宋体" w:eastAsia="宋体" w:cs="宋体"/>
              <w:szCs w:val="24"/>
            </w:rPr>
            <w:t>四、比选申请文件签字及装订要求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_Toc32293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_Toc26432 </w:instrText>
          </w:r>
          <w:r>
            <w:rPr>
              <w:rFonts w:hint="eastAsia" w:ascii="宋体" w:hAnsi="宋体" w:eastAsia="宋体" w:cs="宋体"/>
            </w:rPr>
            <w:fldChar w:fldCharType="separate"/>
          </w:r>
          <w:r>
            <w:rPr>
              <w:rFonts w:hint="eastAsia" w:ascii="宋体" w:hAnsi="宋体" w:eastAsia="宋体" w:cs="宋体"/>
              <w:szCs w:val="24"/>
            </w:rPr>
            <w:t>五、比选申请文件的递交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_Toc26432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_Toc6287 </w:instrText>
          </w:r>
          <w:r>
            <w:rPr>
              <w:rFonts w:hint="eastAsia" w:ascii="宋体" w:hAnsi="宋体" w:eastAsia="宋体" w:cs="宋体"/>
            </w:rPr>
            <w:fldChar w:fldCharType="separate"/>
          </w:r>
          <w:r>
            <w:rPr>
              <w:rFonts w:hint="eastAsia" w:ascii="宋体" w:hAnsi="宋体" w:eastAsia="宋体" w:cs="宋体"/>
              <w:szCs w:val="24"/>
            </w:rPr>
            <w:t>六、比选申请人提出问题的截止时间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_Toc6287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_Toc6061 </w:instrText>
          </w:r>
          <w:r>
            <w:rPr>
              <w:rFonts w:hint="eastAsia" w:ascii="宋体" w:hAnsi="宋体" w:eastAsia="宋体" w:cs="宋体"/>
            </w:rPr>
            <w:fldChar w:fldCharType="separate"/>
          </w:r>
          <w:r>
            <w:rPr>
              <w:rFonts w:hint="eastAsia" w:ascii="宋体" w:hAnsi="宋体" w:eastAsia="宋体" w:cs="宋体"/>
              <w:szCs w:val="24"/>
            </w:rPr>
            <w:t>七、报价要求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_Toc6061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_Toc5730 </w:instrText>
          </w:r>
          <w:r>
            <w:rPr>
              <w:rFonts w:hint="eastAsia" w:ascii="宋体" w:hAnsi="宋体" w:eastAsia="宋体" w:cs="宋体"/>
            </w:rPr>
            <w:fldChar w:fldCharType="separate"/>
          </w:r>
          <w:r>
            <w:rPr>
              <w:rFonts w:hint="eastAsia" w:ascii="宋体" w:hAnsi="宋体" w:eastAsia="宋体" w:cs="宋体"/>
              <w:szCs w:val="24"/>
            </w:rPr>
            <w:t>八、评审规则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_Toc5730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_Toc18059 </w:instrText>
          </w:r>
          <w:r>
            <w:rPr>
              <w:rFonts w:hint="eastAsia" w:ascii="宋体" w:hAnsi="宋体" w:eastAsia="宋体" w:cs="宋体"/>
            </w:rPr>
            <w:fldChar w:fldCharType="separate"/>
          </w:r>
          <w:r>
            <w:rPr>
              <w:rFonts w:hint="eastAsia" w:ascii="宋体" w:hAnsi="宋体" w:eastAsia="宋体" w:cs="宋体"/>
              <w:szCs w:val="24"/>
            </w:rPr>
            <w:t>九、重新比选或不再比选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_Toc18059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_Toc4070 </w:instrText>
          </w:r>
          <w:r>
            <w:rPr>
              <w:rFonts w:hint="eastAsia" w:ascii="宋体" w:hAnsi="宋体" w:eastAsia="宋体" w:cs="宋体"/>
            </w:rPr>
            <w:fldChar w:fldCharType="separate"/>
          </w:r>
          <w:r>
            <w:rPr>
              <w:rFonts w:hint="eastAsia" w:ascii="宋体" w:hAnsi="宋体" w:eastAsia="宋体" w:cs="宋体"/>
              <w:szCs w:val="24"/>
            </w:rPr>
            <w:t>九、比选申请有效期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_Toc4070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_Toc19005 </w:instrText>
          </w:r>
          <w:r>
            <w:rPr>
              <w:rFonts w:hint="eastAsia" w:ascii="宋体" w:hAnsi="宋体" w:eastAsia="宋体" w:cs="宋体"/>
            </w:rPr>
            <w:fldChar w:fldCharType="separate"/>
          </w:r>
          <w:r>
            <w:rPr>
              <w:rFonts w:hint="eastAsia" w:ascii="宋体" w:hAnsi="宋体" w:eastAsia="宋体" w:cs="宋体"/>
              <w:szCs w:val="24"/>
            </w:rPr>
            <w:t>十、比选保证金</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_Toc19005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_Toc11316 </w:instrText>
          </w:r>
          <w:r>
            <w:rPr>
              <w:rFonts w:hint="eastAsia" w:ascii="宋体" w:hAnsi="宋体" w:eastAsia="宋体" w:cs="宋体"/>
            </w:rPr>
            <w:fldChar w:fldCharType="separate"/>
          </w:r>
          <w:r>
            <w:rPr>
              <w:rFonts w:hint="eastAsia" w:ascii="宋体" w:hAnsi="宋体" w:eastAsia="宋体" w:cs="宋体"/>
              <w:szCs w:val="24"/>
            </w:rPr>
            <w:t>十一、履约担保</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_Toc11316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_Toc5840 </w:instrText>
          </w:r>
          <w:r>
            <w:rPr>
              <w:rFonts w:hint="eastAsia" w:ascii="宋体" w:hAnsi="宋体" w:eastAsia="宋体" w:cs="宋体"/>
            </w:rPr>
            <w:fldChar w:fldCharType="separate"/>
          </w:r>
          <w:r>
            <w:rPr>
              <w:rFonts w:hint="eastAsia" w:ascii="宋体" w:hAnsi="宋体" w:eastAsia="宋体" w:cs="宋体"/>
              <w:szCs w:val="24"/>
            </w:rPr>
            <w:t>十二、不良信用名单条款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_Toc5840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8"/>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_Toc6949 </w:instrText>
          </w:r>
          <w:r>
            <w:rPr>
              <w:rFonts w:hint="eastAsia" w:ascii="宋体" w:hAnsi="宋体" w:eastAsia="宋体" w:cs="宋体"/>
            </w:rPr>
            <w:fldChar w:fldCharType="separate"/>
          </w:r>
          <w:r>
            <w:rPr>
              <w:rFonts w:hint="eastAsia" w:ascii="宋体" w:hAnsi="宋体" w:eastAsia="宋体" w:cs="宋体"/>
              <w:szCs w:val="44"/>
            </w:rPr>
            <w:t>第三章 合同条款及格式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_Toc6949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_Toc8342 </w:instrText>
          </w:r>
          <w:r>
            <w:rPr>
              <w:rFonts w:hint="eastAsia" w:ascii="宋体" w:hAnsi="宋体" w:eastAsia="宋体" w:cs="宋体"/>
            </w:rPr>
            <w:fldChar w:fldCharType="separate"/>
          </w:r>
          <w:r>
            <w:rPr>
              <w:rFonts w:hint="eastAsia" w:ascii="宋体" w:hAnsi="宋体" w:eastAsia="宋体" w:cs="宋体"/>
              <w:szCs w:val="24"/>
            </w:rPr>
            <w:t>第一部分 合同协议书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_Toc8342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_Toc31783 </w:instrText>
          </w:r>
          <w:r>
            <w:rPr>
              <w:rFonts w:hint="eastAsia" w:ascii="宋体" w:hAnsi="宋体" w:eastAsia="宋体" w:cs="宋体"/>
            </w:rPr>
            <w:fldChar w:fldCharType="separate"/>
          </w:r>
          <w:r>
            <w:rPr>
              <w:rFonts w:hint="eastAsia" w:ascii="宋体" w:hAnsi="宋体" w:eastAsia="宋体" w:cs="宋体"/>
            </w:rPr>
            <w:t>第二部分 中选通知书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_Toc31783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_Toc31802 </w:instrText>
          </w:r>
          <w:r>
            <w:rPr>
              <w:rFonts w:hint="eastAsia" w:ascii="宋体" w:hAnsi="宋体" w:eastAsia="宋体" w:cs="宋体"/>
            </w:rPr>
            <w:fldChar w:fldCharType="separate"/>
          </w:r>
          <w:r>
            <w:rPr>
              <w:rFonts w:hint="eastAsia" w:ascii="宋体" w:hAnsi="宋体" w:eastAsia="宋体" w:cs="宋体"/>
            </w:rPr>
            <w:t>第三部分 价格组成文件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_Toc31802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_Toc90 </w:instrText>
          </w:r>
          <w:r>
            <w:rPr>
              <w:rFonts w:hint="eastAsia" w:ascii="宋体" w:hAnsi="宋体" w:eastAsia="宋体" w:cs="宋体"/>
            </w:rPr>
            <w:fldChar w:fldCharType="separate"/>
          </w:r>
          <w:r>
            <w:rPr>
              <w:rFonts w:hint="eastAsia" w:ascii="宋体" w:hAnsi="宋体" w:eastAsia="宋体" w:cs="宋体"/>
              <w:szCs w:val="24"/>
            </w:rPr>
            <w:t>第四部分 合同条款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_Toc90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_Toc28894 </w:instrText>
          </w:r>
          <w:r>
            <w:rPr>
              <w:rFonts w:hint="eastAsia" w:ascii="宋体" w:hAnsi="宋体" w:eastAsia="宋体" w:cs="宋体"/>
            </w:rPr>
            <w:fldChar w:fldCharType="separate"/>
          </w:r>
          <w:r>
            <w:rPr>
              <w:rFonts w:hint="eastAsia" w:ascii="宋体" w:hAnsi="宋体" w:eastAsia="宋体" w:cs="宋体"/>
            </w:rPr>
            <w:t>第五部分 技术规格书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_Toc28894 \h </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_Toc19160 </w:instrText>
          </w:r>
          <w:r>
            <w:rPr>
              <w:rFonts w:hint="eastAsia" w:ascii="宋体" w:hAnsi="宋体" w:eastAsia="宋体" w:cs="宋体"/>
            </w:rPr>
            <w:fldChar w:fldCharType="separate"/>
          </w:r>
          <w:r>
            <w:rPr>
              <w:rFonts w:hint="eastAsia" w:ascii="宋体" w:hAnsi="宋体" w:eastAsia="宋体" w:cs="宋体"/>
              <w:iCs/>
            </w:rPr>
            <w:t>第六部分 合同附件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_Toc19160 \h </w:instrText>
          </w:r>
          <w:r>
            <w:rPr>
              <w:rFonts w:hint="eastAsia" w:ascii="宋体" w:hAnsi="宋体" w:eastAsia="宋体" w:cs="宋体"/>
            </w:rPr>
            <w:fldChar w:fldCharType="separate"/>
          </w:r>
          <w:r>
            <w:rPr>
              <w:rFonts w:hint="eastAsia" w:ascii="宋体" w:hAnsi="宋体" w:eastAsia="宋体" w:cs="宋体"/>
            </w:rPr>
            <w:t>41</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_Toc5060 </w:instrText>
          </w:r>
          <w:r>
            <w:rPr>
              <w:rFonts w:hint="eastAsia" w:ascii="宋体" w:hAnsi="宋体" w:eastAsia="宋体" w:cs="宋体"/>
            </w:rPr>
            <w:fldChar w:fldCharType="separate"/>
          </w:r>
          <w:r>
            <w:rPr>
              <w:rFonts w:hint="eastAsia" w:ascii="宋体" w:hAnsi="宋体" w:eastAsia="宋体" w:cs="宋体"/>
            </w:rPr>
            <w:t>第七部分 比选文件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_Toc5060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_Toc26660 </w:instrText>
          </w:r>
          <w:r>
            <w:rPr>
              <w:rFonts w:hint="eastAsia" w:ascii="宋体" w:hAnsi="宋体" w:eastAsia="宋体" w:cs="宋体"/>
            </w:rPr>
            <w:fldChar w:fldCharType="separate"/>
          </w:r>
          <w:r>
            <w:rPr>
              <w:rFonts w:hint="eastAsia" w:ascii="宋体" w:hAnsi="宋体" w:eastAsia="宋体" w:cs="宋体"/>
            </w:rPr>
            <w:t>第八部分 比选申请文件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_Toc26660 \h </w:instrText>
          </w:r>
          <w:r>
            <w:rPr>
              <w:rFonts w:hint="eastAsia" w:ascii="宋体" w:hAnsi="宋体" w:eastAsia="宋体" w:cs="宋体"/>
            </w:rPr>
            <w:fldChar w:fldCharType="separate"/>
          </w:r>
          <w:r>
            <w:rPr>
              <w:rFonts w:hint="eastAsia" w:ascii="宋体" w:hAnsi="宋体" w:eastAsia="宋体" w:cs="宋体"/>
            </w:rPr>
            <w:t>46</w:t>
          </w:r>
          <w:r>
            <w:rPr>
              <w:rFonts w:hint="eastAsia" w:ascii="宋体" w:hAnsi="宋体" w:eastAsia="宋体" w:cs="宋体"/>
            </w:rPr>
            <w:fldChar w:fldCharType="end"/>
          </w:r>
          <w:r>
            <w:rPr>
              <w:rFonts w:hint="eastAsia" w:ascii="宋体" w:hAnsi="宋体" w:eastAsia="宋体" w:cs="宋体"/>
            </w:rPr>
            <w:fldChar w:fldCharType="end"/>
          </w:r>
        </w:p>
        <w:p>
          <w:pPr>
            <w:pStyle w:val="18"/>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_Toc647 </w:instrText>
          </w:r>
          <w:r>
            <w:rPr>
              <w:rFonts w:hint="eastAsia" w:ascii="宋体" w:hAnsi="宋体" w:eastAsia="宋体" w:cs="宋体"/>
            </w:rPr>
            <w:fldChar w:fldCharType="separate"/>
          </w:r>
          <w:r>
            <w:rPr>
              <w:rFonts w:hint="eastAsia" w:ascii="宋体" w:hAnsi="宋体" w:eastAsia="宋体" w:cs="宋体"/>
              <w:szCs w:val="44"/>
            </w:rPr>
            <w:t>第四章 比选申请文件格式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_Toc647 \h </w:instrText>
          </w:r>
          <w:r>
            <w:rPr>
              <w:rFonts w:hint="eastAsia" w:ascii="宋体" w:hAnsi="宋体" w:eastAsia="宋体" w:cs="宋体"/>
            </w:rPr>
            <w:fldChar w:fldCharType="separate"/>
          </w:r>
          <w:r>
            <w:rPr>
              <w:rFonts w:hint="eastAsia" w:ascii="宋体" w:hAnsi="宋体" w:eastAsia="宋体" w:cs="宋体"/>
            </w:rPr>
            <w:t>47</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_Toc14332 </w:instrText>
          </w:r>
          <w:r>
            <w:rPr>
              <w:rFonts w:hint="eastAsia" w:ascii="宋体" w:hAnsi="宋体" w:eastAsia="宋体" w:cs="宋体"/>
            </w:rPr>
            <w:fldChar w:fldCharType="separate"/>
          </w:r>
          <w:r>
            <w:rPr>
              <w:rFonts w:hint="eastAsia" w:ascii="宋体" w:hAnsi="宋体" w:eastAsia="宋体" w:cs="宋体"/>
            </w:rPr>
            <w:t>一、比选申请函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_Toc14332 \h </w:instrText>
          </w:r>
          <w:r>
            <w:rPr>
              <w:rFonts w:hint="eastAsia" w:ascii="宋体" w:hAnsi="宋体" w:eastAsia="宋体" w:cs="宋体"/>
            </w:rPr>
            <w:fldChar w:fldCharType="separate"/>
          </w:r>
          <w:r>
            <w:rPr>
              <w:rFonts w:hint="eastAsia" w:ascii="宋体" w:hAnsi="宋体" w:eastAsia="宋体" w:cs="宋体"/>
            </w:rPr>
            <w:t>50</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_Toc8043 </w:instrText>
          </w:r>
          <w:r>
            <w:rPr>
              <w:rFonts w:hint="eastAsia" w:ascii="宋体" w:hAnsi="宋体" w:eastAsia="宋体" w:cs="宋体"/>
            </w:rPr>
            <w:fldChar w:fldCharType="separate"/>
          </w:r>
          <w:r>
            <w:rPr>
              <w:rFonts w:hint="eastAsia" w:ascii="宋体" w:hAnsi="宋体" w:eastAsia="宋体" w:cs="宋体"/>
            </w:rPr>
            <w:t>二、比选承诺函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_Toc8043 \h </w:instrText>
          </w:r>
          <w:r>
            <w:rPr>
              <w:rFonts w:hint="eastAsia" w:ascii="宋体" w:hAnsi="宋体" w:eastAsia="宋体" w:cs="宋体"/>
            </w:rPr>
            <w:fldChar w:fldCharType="separate"/>
          </w:r>
          <w:r>
            <w:rPr>
              <w:rFonts w:hint="eastAsia" w:ascii="宋体" w:hAnsi="宋体" w:eastAsia="宋体" w:cs="宋体"/>
            </w:rPr>
            <w:t>51</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_Toc6444 </w:instrText>
          </w:r>
          <w:r>
            <w:rPr>
              <w:rFonts w:hint="eastAsia" w:ascii="宋体" w:hAnsi="宋体" w:eastAsia="宋体" w:cs="宋体"/>
            </w:rPr>
            <w:fldChar w:fldCharType="separate"/>
          </w:r>
          <w:r>
            <w:rPr>
              <w:rFonts w:hint="eastAsia" w:ascii="宋体" w:hAnsi="宋体" w:eastAsia="宋体" w:cs="宋体"/>
            </w:rPr>
            <w:t>三、比选申请报价表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_Toc6444 \h </w:instrText>
          </w:r>
          <w:r>
            <w:rPr>
              <w:rFonts w:hint="eastAsia" w:ascii="宋体" w:hAnsi="宋体" w:eastAsia="宋体" w:cs="宋体"/>
            </w:rPr>
            <w:fldChar w:fldCharType="separate"/>
          </w:r>
          <w:r>
            <w:rPr>
              <w:rFonts w:hint="eastAsia" w:ascii="宋体" w:hAnsi="宋体" w:eastAsia="宋体" w:cs="宋体"/>
            </w:rPr>
            <w:t>52</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_Toc19439 </w:instrText>
          </w:r>
          <w:r>
            <w:rPr>
              <w:rFonts w:hint="eastAsia" w:ascii="宋体" w:hAnsi="宋体" w:eastAsia="宋体" w:cs="宋体"/>
            </w:rPr>
            <w:fldChar w:fldCharType="separate"/>
          </w:r>
          <w:r>
            <w:rPr>
              <w:rFonts w:hint="eastAsia" w:ascii="宋体" w:hAnsi="宋体" w:eastAsia="宋体" w:cs="宋体"/>
            </w:rPr>
            <w:t>四、法定代表人身份证明及授权书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_Toc19439 \h </w:instrText>
          </w:r>
          <w:r>
            <w:rPr>
              <w:rFonts w:hint="eastAsia" w:ascii="宋体" w:hAnsi="宋体" w:eastAsia="宋体" w:cs="宋体"/>
            </w:rPr>
            <w:fldChar w:fldCharType="separate"/>
          </w:r>
          <w:r>
            <w:rPr>
              <w:rFonts w:hint="eastAsia" w:ascii="宋体" w:hAnsi="宋体" w:eastAsia="宋体" w:cs="宋体"/>
            </w:rPr>
            <w:t>54</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_Toc774 </w:instrText>
          </w:r>
          <w:r>
            <w:rPr>
              <w:rFonts w:hint="eastAsia" w:ascii="宋体" w:hAnsi="宋体" w:eastAsia="宋体" w:cs="宋体"/>
            </w:rPr>
            <w:fldChar w:fldCharType="separate"/>
          </w:r>
          <w:r>
            <w:rPr>
              <w:rFonts w:hint="eastAsia" w:ascii="宋体" w:hAnsi="宋体" w:eastAsia="宋体" w:cs="宋体"/>
            </w:rPr>
            <w:t>五、企业证照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_Toc774 \h </w:instrText>
          </w:r>
          <w:r>
            <w:rPr>
              <w:rFonts w:hint="eastAsia" w:ascii="宋体" w:hAnsi="宋体" w:eastAsia="宋体" w:cs="宋体"/>
            </w:rPr>
            <w:fldChar w:fldCharType="separate"/>
          </w:r>
          <w:r>
            <w:rPr>
              <w:rFonts w:hint="eastAsia" w:ascii="宋体" w:hAnsi="宋体" w:eastAsia="宋体" w:cs="宋体"/>
            </w:rPr>
            <w:t>56</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_Toc8526 </w:instrText>
          </w:r>
          <w:r>
            <w:rPr>
              <w:rFonts w:hint="eastAsia" w:ascii="宋体" w:hAnsi="宋体" w:eastAsia="宋体" w:cs="宋体"/>
            </w:rPr>
            <w:fldChar w:fldCharType="separate"/>
          </w:r>
          <w:r>
            <w:rPr>
              <w:rFonts w:hint="eastAsia" w:ascii="宋体" w:hAnsi="宋体" w:eastAsia="宋体" w:cs="宋体"/>
            </w:rPr>
            <w:t>六、类似项目业绩表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_Toc8526 \h </w:instrText>
          </w:r>
          <w:r>
            <w:rPr>
              <w:rFonts w:hint="eastAsia" w:ascii="宋体" w:hAnsi="宋体" w:eastAsia="宋体" w:cs="宋体"/>
            </w:rPr>
            <w:fldChar w:fldCharType="separate"/>
          </w:r>
          <w:r>
            <w:rPr>
              <w:rFonts w:hint="eastAsia" w:ascii="宋体" w:hAnsi="宋体" w:eastAsia="宋体" w:cs="宋体"/>
            </w:rPr>
            <w:t>57</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_Toc9915 </w:instrText>
          </w:r>
          <w:r>
            <w:rPr>
              <w:rFonts w:hint="eastAsia" w:ascii="宋体" w:hAnsi="宋体" w:eastAsia="宋体" w:cs="宋体"/>
            </w:rPr>
            <w:fldChar w:fldCharType="separate"/>
          </w:r>
          <w:r>
            <w:rPr>
              <w:rFonts w:hint="eastAsia" w:ascii="宋体" w:hAnsi="宋体" w:eastAsia="宋体" w:cs="宋体"/>
            </w:rPr>
            <w:t>七、比选响应表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_Toc9915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_Toc13522 </w:instrText>
          </w:r>
          <w:r>
            <w:rPr>
              <w:rFonts w:hint="eastAsia" w:ascii="宋体" w:hAnsi="宋体" w:eastAsia="宋体" w:cs="宋体"/>
            </w:rPr>
            <w:fldChar w:fldCharType="separate"/>
          </w:r>
          <w:r>
            <w:rPr>
              <w:rFonts w:hint="eastAsia" w:ascii="宋体" w:hAnsi="宋体" w:eastAsia="宋体" w:cs="宋体"/>
            </w:rPr>
            <w:t>八、其他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_Toc13522 \h </w:instrText>
          </w:r>
          <w:r>
            <w:rPr>
              <w:rFonts w:hint="eastAsia" w:ascii="宋体" w:hAnsi="宋体" w:eastAsia="宋体" w:cs="宋体"/>
            </w:rPr>
            <w:fldChar w:fldCharType="separate"/>
          </w:r>
          <w:r>
            <w:rPr>
              <w:rFonts w:hint="eastAsia" w:ascii="宋体" w:hAnsi="宋体" w:eastAsia="宋体" w:cs="宋体"/>
            </w:rPr>
            <w:t>59</w:t>
          </w:r>
          <w:r>
            <w:rPr>
              <w:rFonts w:hint="eastAsia" w:ascii="宋体" w:hAnsi="宋体" w:eastAsia="宋体" w:cs="宋体"/>
            </w:rPr>
            <w:fldChar w:fldCharType="end"/>
          </w:r>
          <w:r>
            <w:rPr>
              <w:rFonts w:hint="eastAsia" w:ascii="宋体" w:hAnsi="宋体" w:eastAsia="宋体" w:cs="宋体"/>
            </w:rPr>
            <w:fldChar w:fldCharType="end"/>
          </w:r>
        </w:p>
        <w:p>
          <w:pPr>
            <w:pStyle w:val="18"/>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_Toc12771 </w:instrText>
          </w:r>
          <w:r>
            <w:rPr>
              <w:rFonts w:hint="eastAsia" w:ascii="宋体" w:hAnsi="宋体" w:eastAsia="宋体" w:cs="宋体"/>
            </w:rPr>
            <w:fldChar w:fldCharType="separate"/>
          </w:r>
          <w:r>
            <w:rPr>
              <w:rFonts w:hint="eastAsia" w:ascii="宋体" w:hAnsi="宋体" w:eastAsia="宋体" w:cs="宋体"/>
            </w:rPr>
            <w:t>第五章</w:t>
          </w:r>
          <w:r>
            <w:rPr>
              <w:rFonts w:hint="eastAsia" w:ascii="宋体" w:hAnsi="宋体" w:eastAsia="宋体" w:cs="宋体"/>
              <w:lang w:val="en-US" w:eastAsia="zh-CN"/>
            </w:rPr>
            <w:t xml:space="preserve"> </w:t>
          </w:r>
          <w:r>
            <w:rPr>
              <w:rFonts w:hint="eastAsia" w:ascii="宋体" w:hAnsi="宋体" w:eastAsia="宋体" w:cs="宋体"/>
            </w:rPr>
            <w:t>用户需求书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_Toc12771 \h </w:instrText>
          </w:r>
          <w:r>
            <w:rPr>
              <w:rFonts w:hint="eastAsia" w:ascii="宋体" w:hAnsi="宋体" w:eastAsia="宋体" w:cs="宋体"/>
            </w:rPr>
            <w:fldChar w:fldCharType="separate"/>
          </w:r>
          <w:r>
            <w:rPr>
              <w:rFonts w:hint="eastAsia" w:ascii="宋体" w:hAnsi="宋体" w:eastAsia="宋体" w:cs="宋体"/>
            </w:rPr>
            <w:t>61</w:t>
          </w:r>
          <w:r>
            <w:rPr>
              <w:rFonts w:hint="eastAsia" w:ascii="宋体" w:hAnsi="宋体" w:eastAsia="宋体" w:cs="宋体"/>
            </w:rPr>
            <w:fldChar w:fldCharType="end"/>
          </w:r>
          <w:r>
            <w:rPr>
              <w:rFonts w:hint="eastAsia" w:ascii="宋体" w:hAnsi="宋体" w:eastAsia="宋体" w:cs="宋体"/>
            </w:rPr>
            <w:fldChar w:fldCharType="end"/>
          </w:r>
        </w:p>
        <w:p>
          <w:pPr>
            <w:pStyle w:val="18"/>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_Toc32093 </w:instrText>
          </w:r>
          <w:r>
            <w:rPr>
              <w:rFonts w:hint="eastAsia" w:ascii="宋体" w:hAnsi="宋体" w:eastAsia="宋体" w:cs="宋体"/>
            </w:rPr>
            <w:fldChar w:fldCharType="separate"/>
          </w:r>
          <w:r>
            <w:rPr>
              <w:rFonts w:hint="eastAsia" w:ascii="宋体" w:hAnsi="宋体" w:eastAsia="宋体" w:cs="宋体"/>
            </w:rPr>
            <w:t>一、商务要求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_Toc32093 \h </w:instrText>
          </w:r>
          <w:r>
            <w:rPr>
              <w:rFonts w:hint="eastAsia" w:ascii="宋体" w:hAnsi="宋体" w:eastAsia="宋体" w:cs="宋体"/>
            </w:rPr>
            <w:fldChar w:fldCharType="separate"/>
          </w:r>
          <w:r>
            <w:rPr>
              <w:rFonts w:hint="eastAsia" w:ascii="宋体" w:hAnsi="宋体" w:eastAsia="宋体" w:cs="宋体"/>
            </w:rPr>
            <w:t>61</w:t>
          </w:r>
          <w:r>
            <w:rPr>
              <w:rFonts w:hint="eastAsia" w:ascii="宋体" w:hAnsi="宋体" w:eastAsia="宋体" w:cs="宋体"/>
            </w:rPr>
            <w:fldChar w:fldCharType="end"/>
          </w:r>
          <w:r>
            <w:rPr>
              <w:rFonts w:hint="eastAsia" w:ascii="宋体" w:hAnsi="宋体" w:eastAsia="宋体" w:cs="宋体"/>
            </w:rPr>
            <w:fldChar w:fldCharType="end"/>
          </w:r>
        </w:p>
        <w:p>
          <w:pPr>
            <w:pStyle w:val="18"/>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_Toc26841 </w:instrText>
          </w:r>
          <w:r>
            <w:rPr>
              <w:rFonts w:hint="eastAsia" w:ascii="宋体" w:hAnsi="宋体" w:eastAsia="宋体" w:cs="宋体"/>
            </w:rPr>
            <w:fldChar w:fldCharType="separate"/>
          </w:r>
          <w:r>
            <w:rPr>
              <w:rFonts w:hint="eastAsia" w:ascii="宋体" w:hAnsi="宋体" w:eastAsia="宋体" w:cs="宋体"/>
            </w:rPr>
            <w:t>二、技术需求及数量表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_Toc26841 \h </w:instrText>
          </w:r>
          <w:r>
            <w:rPr>
              <w:rFonts w:hint="eastAsia" w:ascii="宋体" w:hAnsi="宋体" w:eastAsia="宋体" w:cs="宋体"/>
            </w:rPr>
            <w:fldChar w:fldCharType="separate"/>
          </w:r>
          <w:r>
            <w:rPr>
              <w:rFonts w:hint="eastAsia" w:ascii="宋体" w:hAnsi="宋体" w:eastAsia="宋体" w:cs="宋体"/>
            </w:rPr>
            <w:t>63</w:t>
          </w:r>
          <w:r>
            <w:rPr>
              <w:rFonts w:hint="eastAsia" w:ascii="宋体" w:hAnsi="宋体" w:eastAsia="宋体" w:cs="宋体"/>
            </w:rPr>
            <w:fldChar w:fldCharType="end"/>
          </w:r>
          <w:r>
            <w:rPr>
              <w:rFonts w:hint="eastAsia" w:ascii="宋体" w:hAnsi="宋体" w:eastAsia="宋体" w:cs="宋体"/>
            </w:rPr>
            <w:fldChar w:fldCharType="end"/>
          </w:r>
        </w:p>
        <w:p>
          <w:pPr>
            <w:pStyle w:val="18"/>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_Toc15064 </w:instrText>
          </w:r>
          <w:r>
            <w:rPr>
              <w:rFonts w:hint="eastAsia" w:ascii="宋体" w:hAnsi="宋体" w:eastAsia="宋体" w:cs="宋体"/>
            </w:rPr>
            <w:fldChar w:fldCharType="separate"/>
          </w:r>
          <w:r>
            <w:rPr>
              <w:rFonts w:hint="eastAsia" w:ascii="宋体" w:hAnsi="宋体" w:eastAsia="宋体" w:cs="宋体"/>
            </w:rPr>
            <w:t>第六章评分办法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_Toc15064 \h </w:instrText>
          </w:r>
          <w:r>
            <w:rPr>
              <w:rFonts w:hint="eastAsia" w:ascii="宋体" w:hAnsi="宋体" w:eastAsia="宋体" w:cs="宋体"/>
            </w:rPr>
            <w:fldChar w:fldCharType="separate"/>
          </w:r>
          <w:r>
            <w:rPr>
              <w:rFonts w:hint="eastAsia" w:ascii="宋体" w:hAnsi="宋体" w:eastAsia="宋体" w:cs="宋体"/>
            </w:rPr>
            <w:t>65</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left="0"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_Toc19700 </w:instrText>
          </w:r>
          <w:r>
            <w:rPr>
              <w:rFonts w:hint="eastAsia" w:ascii="宋体" w:hAnsi="宋体" w:eastAsia="宋体" w:cs="宋体"/>
            </w:rPr>
            <w:fldChar w:fldCharType="separate"/>
          </w:r>
          <w:r>
            <w:rPr>
              <w:rFonts w:hint="eastAsia" w:ascii="宋体" w:hAnsi="宋体" w:eastAsia="宋体" w:cs="宋体"/>
              <w:bCs/>
              <w:szCs w:val="28"/>
            </w:rPr>
            <w:t>一、评审原则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_Toc19700 \h </w:instrText>
          </w:r>
          <w:r>
            <w:rPr>
              <w:rFonts w:hint="eastAsia" w:ascii="宋体" w:hAnsi="宋体" w:eastAsia="宋体" w:cs="宋体"/>
            </w:rPr>
            <w:fldChar w:fldCharType="separate"/>
          </w:r>
          <w:r>
            <w:rPr>
              <w:rFonts w:hint="eastAsia" w:ascii="宋体" w:hAnsi="宋体" w:eastAsia="宋体" w:cs="宋体"/>
            </w:rPr>
            <w:t>65</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9"/>
            </w:tabs>
            <w:kinsoku/>
            <w:wordWrap/>
            <w:overflowPunct/>
            <w:topLinePunct w:val="0"/>
            <w:autoSpaceDE/>
            <w:autoSpaceDN/>
            <w:bidi w:val="0"/>
            <w:adjustRightInd/>
            <w:snapToGrid/>
            <w:spacing w:line="240" w:lineRule="auto"/>
            <w:ind w:left="0"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_Toc28169 </w:instrText>
          </w:r>
          <w:r>
            <w:rPr>
              <w:rFonts w:hint="eastAsia" w:ascii="宋体" w:hAnsi="宋体" w:eastAsia="宋体" w:cs="宋体"/>
            </w:rPr>
            <w:fldChar w:fldCharType="separate"/>
          </w:r>
          <w:r>
            <w:rPr>
              <w:rFonts w:hint="eastAsia" w:ascii="宋体" w:hAnsi="宋体" w:eastAsia="宋体" w:cs="宋体"/>
              <w:bCs/>
              <w:szCs w:val="28"/>
            </w:rPr>
            <w:t>二、评定方法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_Toc28169 \h </w:instrText>
          </w:r>
          <w:r>
            <w:rPr>
              <w:rFonts w:hint="eastAsia" w:ascii="宋体" w:hAnsi="宋体" w:eastAsia="宋体" w:cs="宋体"/>
            </w:rPr>
            <w:fldChar w:fldCharType="separate"/>
          </w:r>
          <w:r>
            <w:rPr>
              <w:rFonts w:hint="eastAsia" w:ascii="宋体" w:hAnsi="宋体" w:eastAsia="宋体" w:cs="宋体"/>
            </w:rPr>
            <w:t>65</w:t>
          </w:r>
          <w:r>
            <w:rPr>
              <w:rFonts w:hint="eastAsia" w:ascii="宋体" w:hAnsi="宋体" w:eastAsia="宋体" w:cs="宋体"/>
            </w:rPr>
            <w:fldChar w:fldCharType="end"/>
          </w:r>
          <w:r>
            <w:rPr>
              <w:rFonts w:hint="eastAsia" w:ascii="宋体" w:hAnsi="宋体" w:eastAsia="宋体" w:cs="宋体"/>
            </w:rPr>
            <w:fldChar w:fldCharType="end"/>
          </w:r>
        </w:p>
        <w:p>
          <w:pPr>
            <w:pStyle w:val="18"/>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_Toc30082 </w:instrText>
          </w:r>
          <w:r>
            <w:rPr>
              <w:rFonts w:hint="eastAsia" w:ascii="宋体" w:hAnsi="宋体" w:eastAsia="宋体" w:cs="宋体"/>
            </w:rPr>
            <w:fldChar w:fldCharType="separate"/>
          </w:r>
          <w:r>
            <w:rPr>
              <w:rFonts w:hint="eastAsia" w:ascii="宋体" w:hAnsi="宋体" w:eastAsia="宋体" w:cs="宋体"/>
            </w:rPr>
            <w:t>附表一 资格审查表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_Toc30082 \h </w:instrText>
          </w:r>
          <w:r>
            <w:rPr>
              <w:rFonts w:hint="eastAsia" w:ascii="宋体" w:hAnsi="宋体" w:eastAsia="宋体" w:cs="宋体"/>
            </w:rPr>
            <w:fldChar w:fldCharType="separate"/>
          </w:r>
          <w:r>
            <w:rPr>
              <w:rFonts w:hint="eastAsia" w:ascii="宋体" w:hAnsi="宋体" w:eastAsia="宋体" w:cs="宋体"/>
            </w:rPr>
            <w:t>68</w:t>
          </w:r>
          <w:r>
            <w:rPr>
              <w:rFonts w:hint="eastAsia" w:ascii="宋体" w:hAnsi="宋体" w:eastAsia="宋体" w:cs="宋体"/>
            </w:rPr>
            <w:fldChar w:fldCharType="end"/>
          </w:r>
          <w:r>
            <w:rPr>
              <w:rFonts w:hint="eastAsia" w:ascii="宋体" w:hAnsi="宋体" w:eastAsia="宋体" w:cs="宋体"/>
            </w:rPr>
            <w:fldChar w:fldCharType="end"/>
          </w:r>
        </w:p>
        <w:p>
          <w:pPr>
            <w:pStyle w:val="18"/>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_Toc3098 </w:instrText>
          </w:r>
          <w:r>
            <w:rPr>
              <w:rFonts w:hint="eastAsia" w:ascii="宋体" w:hAnsi="宋体" w:eastAsia="宋体" w:cs="宋体"/>
            </w:rPr>
            <w:fldChar w:fldCharType="separate"/>
          </w:r>
          <w:r>
            <w:rPr>
              <w:rFonts w:hint="eastAsia" w:ascii="宋体" w:hAnsi="宋体" w:eastAsia="宋体" w:cs="宋体"/>
              <w:szCs w:val="21"/>
            </w:rPr>
            <w:t>附表二 符合性评审表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_Toc3098 \h </w:instrText>
          </w:r>
          <w:r>
            <w:rPr>
              <w:rFonts w:hint="eastAsia" w:ascii="宋体" w:hAnsi="宋体" w:eastAsia="宋体" w:cs="宋体"/>
            </w:rPr>
            <w:fldChar w:fldCharType="separate"/>
          </w:r>
          <w:r>
            <w:rPr>
              <w:rFonts w:hint="eastAsia" w:ascii="宋体" w:hAnsi="宋体" w:eastAsia="宋体" w:cs="宋体"/>
            </w:rPr>
            <w:t>70</w:t>
          </w:r>
          <w:r>
            <w:rPr>
              <w:rFonts w:hint="eastAsia" w:ascii="宋体" w:hAnsi="宋体" w:eastAsia="宋体" w:cs="宋体"/>
            </w:rPr>
            <w:fldChar w:fldCharType="end"/>
          </w:r>
          <w:r>
            <w:rPr>
              <w:rFonts w:hint="eastAsia" w:ascii="宋体" w:hAnsi="宋体" w:eastAsia="宋体" w:cs="宋体"/>
            </w:rPr>
            <w:fldChar w:fldCharType="end"/>
          </w:r>
        </w:p>
        <w:p>
          <w:pPr>
            <w:pStyle w:val="18"/>
            <w:keepNext w:val="0"/>
            <w:keepLines w:val="0"/>
            <w:pageBreakBefore w:val="0"/>
            <w:widowControl/>
            <w:tabs>
              <w:tab w:val="right" w:leader="dot" w:pos="9069"/>
            </w:tabs>
            <w:kinsoku/>
            <w:wordWrap/>
            <w:overflowPunct/>
            <w:topLinePunct w:val="0"/>
            <w:autoSpaceDE/>
            <w:autoSpaceDN/>
            <w:bidi w:val="0"/>
            <w:adjustRightInd/>
            <w:snapToGrid/>
            <w:spacing w:line="240" w:lineRule="auto"/>
            <w:ind w:right="-28"/>
            <w:textAlignment w:val="auto"/>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_Toc28476 </w:instrText>
          </w:r>
          <w:r>
            <w:rPr>
              <w:rFonts w:hint="eastAsia" w:ascii="宋体" w:hAnsi="宋体" w:eastAsia="宋体" w:cs="宋体"/>
            </w:rPr>
            <w:fldChar w:fldCharType="separate"/>
          </w:r>
          <w:r>
            <w:rPr>
              <w:rFonts w:hint="eastAsia" w:ascii="宋体" w:hAnsi="宋体" w:eastAsia="宋体" w:cs="宋体"/>
            </w:rPr>
            <w:t>附表</w:t>
          </w:r>
          <w:r>
            <w:rPr>
              <w:rFonts w:hint="eastAsia" w:ascii="宋体" w:hAnsi="宋体" w:eastAsia="宋体" w:cs="宋体"/>
              <w:lang w:eastAsia="zh-CN"/>
            </w:rPr>
            <w:t>三</w:t>
          </w:r>
          <w:r>
            <w:rPr>
              <w:rFonts w:hint="eastAsia" w:ascii="宋体" w:hAnsi="宋体" w:eastAsia="宋体" w:cs="宋体"/>
            </w:rPr>
            <w:t xml:space="preserve"> 比选申请价格评审表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_Toc28476 \h </w:instrText>
          </w:r>
          <w:r>
            <w:rPr>
              <w:rFonts w:hint="eastAsia" w:ascii="宋体" w:hAnsi="宋体" w:eastAsia="宋体" w:cs="宋体"/>
            </w:rPr>
            <w:fldChar w:fldCharType="separate"/>
          </w:r>
          <w:r>
            <w:rPr>
              <w:rFonts w:hint="eastAsia" w:ascii="宋体" w:hAnsi="宋体" w:eastAsia="宋体" w:cs="宋体"/>
            </w:rPr>
            <w:t>71</w:t>
          </w:r>
          <w:r>
            <w:rPr>
              <w:rFonts w:hint="eastAsia" w:ascii="宋体" w:hAnsi="宋体" w:eastAsia="宋体" w:cs="宋体"/>
            </w:rPr>
            <w:fldChar w:fldCharType="end"/>
          </w:r>
          <w:r>
            <w:rPr>
              <w:rFonts w:hint="eastAsia" w:ascii="宋体" w:hAnsi="宋体" w:eastAsia="宋体" w:cs="宋体"/>
            </w:rPr>
            <w:fldChar w:fldCharType="end"/>
          </w:r>
        </w:p>
        <w:p>
          <w:pPr>
            <w:pStyle w:val="23"/>
            <w:keepNext w:val="0"/>
            <w:keepLines w:val="0"/>
            <w:pageBreakBefore w:val="0"/>
            <w:widowControl/>
            <w:tabs>
              <w:tab w:val="right" w:leader="dot" w:pos="9061"/>
            </w:tabs>
            <w:kinsoku/>
            <w:wordWrap/>
            <w:overflowPunct/>
            <w:topLinePunct w:val="0"/>
            <w:autoSpaceDE/>
            <w:autoSpaceDN/>
            <w:bidi w:val="0"/>
            <w:adjustRightInd/>
            <w:snapToGrid/>
            <w:spacing w:line="240" w:lineRule="auto"/>
            <w:ind w:right="-28"/>
            <w:textAlignment w:val="auto"/>
            <w:rPr>
              <w:rFonts w:ascii="宋体" w:hAnsi="宋体"/>
            </w:rPr>
          </w:pPr>
          <w:r>
            <w:rPr>
              <w:rFonts w:hint="eastAsia" w:ascii="宋体" w:hAnsi="宋体" w:eastAsia="宋体" w:cs="宋体"/>
            </w:rPr>
            <w:fldChar w:fldCharType="end"/>
          </w:r>
        </w:p>
      </w:sdtContent>
    </w:sdt>
    <w:p>
      <w:pPr>
        <w:pStyle w:val="18"/>
        <w:tabs>
          <w:tab w:val="right" w:leader="dot" w:pos="9072"/>
        </w:tabs>
        <w:spacing w:before="0" w:after="0" w:afterAutospacing="0" w:line="240" w:lineRule="auto"/>
        <w:ind w:right="-57" w:firstLine="437"/>
        <w:jc w:val="center"/>
        <w:rPr>
          <w:rFonts w:ascii="宋体" w:hAnsi="宋体"/>
        </w:rPr>
      </w:pPr>
    </w:p>
    <w:p>
      <w:pPr>
        <w:pStyle w:val="12"/>
        <w:pageBreakBefore/>
        <w:ind w:right="-57"/>
        <w:jc w:val="center"/>
        <w:outlineLvl w:val="0"/>
        <w:rPr>
          <w:rStyle w:val="42"/>
          <w:rFonts w:hint="eastAsia" w:ascii="黑体" w:hAnsi="黑体" w:eastAsia="黑体" w:cs="黑体"/>
          <w:sz w:val="44"/>
          <w:szCs w:val="44"/>
        </w:rPr>
      </w:pPr>
      <w:bookmarkStart w:id="0" w:name="_Toc27941"/>
      <w:bookmarkStart w:id="1" w:name="_Toc26939"/>
      <w:bookmarkStart w:id="2" w:name="_Toc23476"/>
      <w:bookmarkStart w:id="3" w:name="_Toc3658"/>
      <w:bookmarkStart w:id="4" w:name="_Toc1227"/>
      <w:bookmarkStart w:id="5" w:name="_Toc30647"/>
      <w:bookmarkStart w:id="6" w:name="_Toc375039061"/>
      <w:bookmarkStart w:id="7" w:name="_Toc26192"/>
      <w:bookmarkStart w:id="8" w:name="_Toc481"/>
      <w:bookmarkStart w:id="9" w:name="_Toc237"/>
      <w:bookmarkStart w:id="10" w:name="_Toc101965673"/>
      <w:bookmarkStart w:id="11" w:name="_Toc15211"/>
      <w:bookmarkStart w:id="12" w:name="_Toc5910"/>
      <w:bookmarkStart w:id="13" w:name="_Toc23367"/>
      <w:bookmarkStart w:id="14" w:name="_Toc492478714"/>
      <w:bookmarkStart w:id="15" w:name="_Toc14762"/>
      <w:bookmarkStart w:id="16" w:name="_Toc3400"/>
      <w:bookmarkStart w:id="17" w:name="_Toc25355"/>
      <w:bookmarkStart w:id="18" w:name="_Toc1363"/>
      <w:bookmarkStart w:id="19" w:name="_Toc17906"/>
      <w:bookmarkStart w:id="20" w:name="_Toc26620"/>
      <w:r>
        <w:rPr>
          <w:rStyle w:val="42"/>
          <w:rFonts w:hint="eastAsia" w:ascii="黑体" w:hAnsi="黑体" w:eastAsia="黑体" w:cs="黑体"/>
          <w:sz w:val="44"/>
          <w:szCs w:val="44"/>
        </w:rPr>
        <w:t>第一章</w:t>
      </w:r>
      <w:r>
        <w:rPr>
          <w:rStyle w:val="42"/>
          <w:rFonts w:hint="eastAsia" w:ascii="黑体" w:hAnsi="黑体" w:eastAsia="黑体" w:cs="黑体"/>
          <w:sz w:val="44"/>
          <w:szCs w:val="44"/>
          <w:lang w:val="en-US" w:eastAsia="zh-CN"/>
        </w:rPr>
        <w:t xml:space="preserve"> </w:t>
      </w:r>
      <w:r>
        <w:rPr>
          <w:rStyle w:val="42"/>
          <w:rFonts w:hint="eastAsia" w:ascii="黑体" w:hAnsi="黑体" w:eastAsia="黑体" w:cs="黑体"/>
          <w:sz w:val="44"/>
          <w:szCs w:val="44"/>
        </w:rPr>
        <w:t>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before="0" w:after="0" w:afterAutospacing="0"/>
        <w:ind w:right="-57"/>
        <w:jc w:val="center"/>
        <w:rPr>
          <w:rFonts w:hint="eastAsia" w:ascii="宋体" w:hAnsi="宋体"/>
          <w:b/>
          <w:bCs/>
          <w:color w:val="auto"/>
          <w:sz w:val="28"/>
          <w:szCs w:val="28"/>
          <w:u w:val="single"/>
          <w:lang w:eastAsia="zh-CN"/>
        </w:rPr>
      </w:pPr>
      <w:r>
        <w:rPr>
          <w:rFonts w:hint="eastAsia" w:ascii="宋体" w:hAnsi="宋体"/>
          <w:b/>
          <w:bCs/>
          <w:color w:val="auto"/>
          <w:sz w:val="28"/>
          <w:szCs w:val="28"/>
          <w:u w:val="single"/>
          <w:lang w:eastAsia="zh-CN"/>
        </w:rPr>
        <w:t>南宁轨道交通运营有限公司2022年新能源汽车充电桩二期建设项目</w:t>
      </w:r>
    </w:p>
    <w:p>
      <w:pPr>
        <w:spacing w:before="0" w:after="0" w:afterAutospacing="0"/>
        <w:ind w:right="-57"/>
        <w:jc w:val="center"/>
        <w:rPr>
          <w:rFonts w:ascii="宋体" w:hAnsi="宋体"/>
          <w:b/>
          <w:sz w:val="28"/>
          <w:szCs w:val="28"/>
        </w:rPr>
      </w:pPr>
      <w:r>
        <w:rPr>
          <w:rFonts w:hint="eastAsia" w:ascii="宋体" w:hAnsi="宋体"/>
          <w:b/>
          <w:sz w:val="28"/>
          <w:szCs w:val="28"/>
        </w:rPr>
        <w:t>比选公告</w:t>
      </w:r>
    </w:p>
    <w:p>
      <w:pPr>
        <w:spacing w:before="0" w:after="0" w:afterAutospacing="0"/>
        <w:ind w:left="0" w:right="0" w:firstLine="422" w:firstLineChars="200"/>
        <w:rPr>
          <w:rFonts w:ascii="宋体" w:hAnsi="宋体"/>
          <w:b/>
        </w:rPr>
      </w:pPr>
      <w:bookmarkStart w:id="21" w:name="OLE_LINK4"/>
      <w:bookmarkEnd w:id="21"/>
      <w:r>
        <w:rPr>
          <w:rFonts w:hint="eastAsia" w:ascii="宋体" w:hAnsi="宋体"/>
          <w:b/>
        </w:rPr>
        <w:t>1.比选条件</w:t>
      </w:r>
    </w:p>
    <w:p>
      <w:pPr>
        <w:spacing w:before="0" w:after="0" w:afterAutospacing="0"/>
        <w:ind w:left="0" w:right="0" w:firstLine="420" w:firstLineChars="200"/>
        <w:rPr>
          <w:rFonts w:ascii="宋体" w:hAnsi="宋体"/>
        </w:rPr>
      </w:pPr>
      <w:r>
        <w:rPr>
          <w:rFonts w:hint="eastAsia" w:ascii="宋体" w:hAnsi="宋体"/>
        </w:rPr>
        <w:t>本比选项目</w:t>
      </w:r>
      <w:r>
        <w:rPr>
          <w:rFonts w:hint="eastAsia" w:ascii="宋体" w:hAnsi="宋体"/>
          <w:color w:val="auto"/>
          <w:u w:val="single"/>
          <w:lang w:eastAsia="zh-CN"/>
        </w:rPr>
        <w:t>南宁轨道交通运营有限公司2022年新能源汽车充电桩二期建设项目</w:t>
      </w:r>
      <w:r>
        <w:rPr>
          <w:rFonts w:hint="eastAsia" w:ascii="宋体" w:hAnsi="宋体"/>
        </w:rPr>
        <w:t>比选人为</w:t>
      </w:r>
      <w:r>
        <w:rPr>
          <w:rFonts w:hint="eastAsia" w:ascii="宋体" w:hAnsi="宋体" w:cs="Times New Roman"/>
          <w:u w:val="none"/>
          <w:lang w:eastAsia="zh-CN"/>
        </w:rPr>
        <w:t>南宁轨道交通运营有限公司</w:t>
      </w:r>
      <w:r>
        <w:rPr>
          <w:rFonts w:hint="eastAsia" w:ascii="宋体" w:hAnsi="宋体"/>
        </w:rPr>
        <w:t>，比选项目资金来源为企业自有资金。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hint="eastAsia" w:ascii="宋体" w:hAnsi="宋体" w:eastAsia="宋体"/>
          <w:color w:val="auto"/>
          <w:u w:val="single"/>
          <w:lang w:eastAsia="zh-CN"/>
        </w:rPr>
      </w:pPr>
      <w:r>
        <w:rPr>
          <w:rFonts w:hint="eastAsia" w:ascii="宋体" w:hAnsi="宋体"/>
          <w:color w:val="auto"/>
          <w:lang w:val="en-US" w:eastAsia="zh-CN"/>
        </w:rPr>
        <w:t>2.1</w:t>
      </w:r>
      <w:r>
        <w:rPr>
          <w:rFonts w:hint="eastAsia" w:ascii="宋体" w:hAnsi="宋体"/>
          <w:color w:val="auto"/>
        </w:rPr>
        <w:t>项目编号：</w:t>
      </w:r>
      <w:r>
        <w:rPr>
          <w:rFonts w:hint="eastAsia" w:ascii="宋体" w:hAnsi="宋体"/>
          <w:color w:val="auto"/>
          <w:highlight w:val="none"/>
          <w:u w:val="single"/>
          <w:lang w:eastAsia="zh-CN"/>
        </w:rPr>
        <w:t>202209050007</w:t>
      </w:r>
    </w:p>
    <w:p>
      <w:pPr>
        <w:spacing w:before="0" w:after="0" w:afterAutospacing="0"/>
        <w:ind w:left="0" w:right="0" w:firstLine="420" w:firstLineChars="200"/>
        <w:rPr>
          <w:rFonts w:ascii="宋体" w:hAnsi="宋体"/>
          <w:color w:val="auto"/>
          <w:u w:val="single"/>
        </w:rPr>
      </w:pPr>
      <w:r>
        <w:rPr>
          <w:rFonts w:hint="eastAsia" w:ascii="宋体" w:hAnsi="宋体"/>
          <w:color w:val="auto"/>
          <w:lang w:val="en-US" w:eastAsia="zh-CN"/>
        </w:rPr>
        <w:t>2.2</w:t>
      </w:r>
      <w:r>
        <w:rPr>
          <w:rFonts w:hint="eastAsia" w:ascii="宋体" w:hAnsi="宋体"/>
          <w:color w:val="auto"/>
        </w:rPr>
        <w:t>项目名称：</w:t>
      </w:r>
      <w:r>
        <w:rPr>
          <w:rFonts w:hint="eastAsia" w:ascii="宋体" w:hAnsi="宋体"/>
          <w:color w:val="auto"/>
          <w:u w:val="single"/>
          <w:lang w:eastAsia="zh-CN"/>
        </w:rPr>
        <w:t>南宁轨道交通运营有限公司2022年新能源汽车充电桩二期建设项目</w:t>
      </w:r>
    </w:p>
    <w:p>
      <w:pPr>
        <w:spacing w:before="0" w:after="0" w:afterAutospacing="0"/>
        <w:ind w:left="0" w:right="0" w:firstLine="420" w:firstLineChars="200"/>
        <w:rPr>
          <w:rFonts w:ascii="宋体" w:hAnsi="宋体"/>
          <w:color w:val="auto"/>
          <w:u w:val="single"/>
        </w:rPr>
      </w:pPr>
      <w:r>
        <w:rPr>
          <w:rFonts w:hint="eastAsia" w:ascii="宋体" w:hAnsi="宋体"/>
          <w:color w:val="auto"/>
          <w:lang w:val="en-US" w:eastAsia="zh-CN"/>
        </w:rPr>
        <w:t>2.3</w:t>
      </w:r>
      <w:r>
        <w:rPr>
          <w:rFonts w:hint="eastAsia" w:ascii="宋体" w:hAnsi="宋体"/>
          <w:color w:val="auto"/>
        </w:rPr>
        <w:t>上限控制价：人民币</w:t>
      </w:r>
      <w:r>
        <w:rPr>
          <w:rFonts w:hint="eastAsia" w:ascii="宋体" w:hAnsi="宋体"/>
          <w:color w:val="auto"/>
          <w:u w:val="single"/>
          <w:lang w:val="en-US" w:eastAsia="zh-CN"/>
        </w:rPr>
        <w:t>234000.00元</w:t>
      </w:r>
      <w:r>
        <w:rPr>
          <w:rFonts w:hint="eastAsia" w:ascii="宋体" w:hAnsi="宋体"/>
          <w:color w:val="auto"/>
          <w:u w:val="none"/>
          <w:lang w:val="en-US" w:eastAsia="zh-CN"/>
        </w:rPr>
        <w:t>(不含税）</w:t>
      </w:r>
      <w:r>
        <w:rPr>
          <w:rFonts w:hint="eastAsia" w:ascii="宋体" w:hAnsi="宋体"/>
          <w:color w:val="auto"/>
        </w:rPr>
        <w:t>。</w:t>
      </w:r>
    </w:p>
    <w:p>
      <w:pPr>
        <w:spacing w:before="0" w:after="0" w:afterAutospacing="0"/>
        <w:ind w:left="0" w:right="0" w:firstLine="420" w:firstLineChars="200"/>
        <w:rPr>
          <w:rFonts w:ascii="宋体" w:hAnsi="宋体"/>
          <w:u w:val="single"/>
        </w:rPr>
      </w:pPr>
      <w:r>
        <w:rPr>
          <w:rFonts w:hint="eastAsia" w:ascii="宋体" w:hAnsi="宋体"/>
          <w:lang w:val="en-US" w:eastAsia="zh-CN"/>
        </w:rPr>
        <w:t>2.4</w:t>
      </w:r>
      <w:r>
        <w:rPr>
          <w:rFonts w:hint="eastAsia" w:ascii="宋体" w:hAnsi="宋体"/>
        </w:rPr>
        <w:t>交货期/工期：</w:t>
      </w:r>
      <w:r>
        <w:rPr>
          <w:rFonts w:hint="eastAsia" w:ascii="宋体" w:hAnsi="宋体"/>
          <w:u w:val="none"/>
        </w:rPr>
        <w:t>合同签订且</w:t>
      </w:r>
      <w:r>
        <w:rPr>
          <w:rFonts w:hint="eastAsia" w:ascii="宋体" w:hAnsi="宋体"/>
          <w:u w:val="none"/>
          <w:lang w:eastAsia="zh-CN"/>
        </w:rPr>
        <w:t>开工通知书</w:t>
      </w:r>
      <w:r>
        <w:rPr>
          <w:rFonts w:ascii="宋体" w:hAnsi="宋体"/>
          <w:u w:val="none"/>
        </w:rPr>
        <w:t>发出</w:t>
      </w:r>
      <w:r>
        <w:rPr>
          <w:rFonts w:hint="eastAsia" w:ascii="宋体" w:hAnsi="宋体"/>
          <w:u w:val="none"/>
          <w:lang w:val="en-US" w:eastAsia="zh-CN"/>
        </w:rPr>
        <w:t>90</w:t>
      </w:r>
      <w:r>
        <w:rPr>
          <w:rFonts w:hint="eastAsia" w:ascii="宋体" w:hAnsi="宋体"/>
          <w:u w:val="none"/>
        </w:rPr>
        <w:t>天内</w:t>
      </w:r>
      <w:r>
        <w:rPr>
          <w:rFonts w:hint="eastAsia" w:ascii="宋体" w:hAnsi="宋体"/>
          <w:u w:val="none"/>
          <w:lang w:eastAsia="zh-CN"/>
        </w:rPr>
        <w:t>完成供货和安装</w:t>
      </w:r>
      <w:r>
        <w:rPr>
          <w:rFonts w:hint="eastAsia" w:ascii="宋体" w:hAnsi="宋体"/>
          <w:u w:val="none"/>
        </w:rPr>
        <w:t>，</w:t>
      </w:r>
      <w:r>
        <w:rPr>
          <w:rFonts w:hint="eastAsia" w:ascii="宋体" w:hAnsi="宋体"/>
        </w:rPr>
        <w:t>具体详见用户需求书。</w:t>
      </w:r>
    </w:p>
    <w:p>
      <w:pPr>
        <w:spacing w:before="0" w:after="0" w:afterAutospacing="0"/>
        <w:ind w:left="0" w:right="0" w:firstLine="420" w:firstLineChars="200"/>
        <w:rPr>
          <w:rFonts w:ascii="宋体" w:hAnsi="宋体"/>
          <w:u w:val="single"/>
        </w:rPr>
      </w:pPr>
      <w:r>
        <w:rPr>
          <w:rFonts w:hint="eastAsia" w:ascii="宋体" w:hAnsi="宋体"/>
          <w:lang w:val="en-US" w:eastAsia="zh-CN"/>
        </w:rPr>
        <w:t>2.5</w:t>
      </w:r>
      <w:r>
        <w:rPr>
          <w:rFonts w:hint="eastAsia" w:ascii="宋体" w:hAnsi="宋体"/>
        </w:rPr>
        <w:t>项目地点：</w:t>
      </w:r>
      <w:r>
        <w:rPr>
          <w:rFonts w:hint="eastAsia" w:ascii="宋体" w:hAnsi="宋体"/>
          <w:u w:val="none"/>
          <w:lang w:val="en-US" w:eastAsia="zh-CN"/>
        </w:rPr>
        <w:t>南宁地铁5号线</w:t>
      </w:r>
      <w:r>
        <w:rPr>
          <w:rFonts w:hint="eastAsia" w:asciiTheme="minorEastAsia" w:hAnsiTheme="minorEastAsia" w:eastAsiaTheme="minorEastAsia"/>
          <w:sz w:val="21"/>
          <w:szCs w:val="21"/>
          <w:u w:val="none"/>
          <w:lang w:val="en-US" w:eastAsia="zh-CN"/>
        </w:rPr>
        <w:t>那洪车辆基地</w:t>
      </w:r>
      <w:r>
        <w:rPr>
          <w:rFonts w:hint="eastAsia" w:ascii="宋体" w:hAnsi="宋体"/>
          <w:color w:val="auto"/>
          <w:u w:val="none"/>
        </w:rPr>
        <w:t>，具</w:t>
      </w:r>
      <w:r>
        <w:rPr>
          <w:rFonts w:hint="eastAsia" w:ascii="宋体" w:hAnsi="宋体"/>
        </w:rPr>
        <w:t>体详见用户需求书。</w:t>
      </w:r>
    </w:p>
    <w:p>
      <w:pPr>
        <w:spacing w:before="0" w:after="0" w:afterAutospacing="0"/>
        <w:ind w:left="0" w:right="0" w:firstLine="420" w:firstLineChars="200"/>
        <w:rPr>
          <w:rFonts w:ascii="宋体" w:hAnsi="宋体"/>
          <w:u w:val="single"/>
        </w:rPr>
      </w:pPr>
      <w:r>
        <w:rPr>
          <w:rFonts w:hint="eastAsia" w:ascii="宋体" w:hAnsi="宋体"/>
          <w:lang w:val="en-US" w:eastAsia="zh-CN"/>
        </w:rPr>
        <w:t>2.6</w:t>
      </w:r>
      <w:r>
        <w:rPr>
          <w:rFonts w:hint="eastAsia" w:ascii="宋体" w:hAnsi="宋体"/>
        </w:rPr>
        <w:t>比选范围：</w:t>
      </w:r>
      <w:r>
        <w:rPr>
          <w:rFonts w:hint="eastAsia" w:ascii="宋体" w:hAnsi="宋体"/>
          <w:u w:val="none"/>
          <w:lang w:val="en-US" w:eastAsia="zh-CN"/>
        </w:rPr>
        <w:t>南宁地铁5号线</w:t>
      </w:r>
      <w:r>
        <w:rPr>
          <w:rFonts w:hint="eastAsia" w:ascii="宋体" w:hAnsi="宋体" w:eastAsia="宋体" w:cs="宋体"/>
          <w:kern w:val="2"/>
          <w:sz w:val="21"/>
          <w:szCs w:val="21"/>
        </w:rPr>
        <w:t>那洪车辆基地区域内</w:t>
      </w:r>
      <w:r>
        <w:rPr>
          <w:rFonts w:hint="eastAsia" w:ascii="宋体" w:hAnsi="宋体" w:cs="宋体"/>
          <w:kern w:val="2"/>
          <w:sz w:val="21"/>
          <w:szCs w:val="21"/>
          <w:lang w:val="en-US" w:eastAsia="zh-CN"/>
        </w:rPr>
        <w:t>采购及</w:t>
      </w:r>
      <w:r>
        <w:rPr>
          <w:rFonts w:hint="eastAsia" w:ascii="宋体" w:hAnsi="宋体" w:eastAsia="宋体" w:cs="宋体"/>
          <w:kern w:val="2"/>
          <w:sz w:val="21"/>
          <w:szCs w:val="21"/>
        </w:rPr>
        <w:t>安装</w:t>
      </w:r>
      <w:r>
        <w:rPr>
          <w:rFonts w:hint="eastAsia" w:ascii="宋体" w:hAnsi="宋体" w:eastAsia="宋体" w:cs="宋体"/>
          <w:b/>
          <w:bCs/>
          <w:kern w:val="2"/>
          <w:sz w:val="21"/>
          <w:szCs w:val="21"/>
          <w:u w:val="single"/>
        </w:rPr>
        <w:t>16个</w:t>
      </w:r>
      <w:r>
        <w:rPr>
          <w:rFonts w:hint="eastAsia" w:ascii="宋体" w:hAnsi="宋体" w:cs="宋体"/>
          <w:b/>
          <w:bCs/>
          <w:kern w:val="2"/>
          <w:sz w:val="21"/>
          <w:szCs w:val="21"/>
          <w:u w:val="single"/>
          <w:lang w:val="en-US" w:eastAsia="zh-CN"/>
        </w:rPr>
        <w:t>7kW交流</w:t>
      </w:r>
      <w:r>
        <w:rPr>
          <w:rFonts w:hint="eastAsia" w:ascii="宋体" w:hAnsi="宋体" w:eastAsia="宋体" w:cs="宋体"/>
          <w:b/>
          <w:bCs/>
          <w:kern w:val="2"/>
          <w:sz w:val="21"/>
          <w:szCs w:val="21"/>
          <w:u w:val="single"/>
        </w:rPr>
        <w:t>充电桩，包括但不限于充电桩的施工图纸设计、运输、验收及售后维护等工作</w:t>
      </w:r>
      <w:r>
        <w:rPr>
          <w:rFonts w:hint="eastAsia" w:ascii="宋体" w:hAnsi="宋体"/>
          <w:color w:val="auto"/>
          <w:u w:val="single"/>
          <w:lang w:eastAsia="zh-CN"/>
        </w:rPr>
        <w:t>，</w:t>
      </w:r>
      <w:r>
        <w:rPr>
          <w:rFonts w:hint="eastAsia" w:ascii="宋体" w:hAnsi="宋体"/>
          <w:color w:val="auto"/>
        </w:rPr>
        <w:t>具体详见用户需求书</w:t>
      </w:r>
      <w:r>
        <w:rPr>
          <w:rFonts w:hint="eastAsia" w:ascii="宋体" w:hAnsi="宋体"/>
        </w:rPr>
        <w:t>。</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rPr>
          <w:rFonts w:ascii="宋体" w:hAnsi="宋体"/>
          <w:strike w:val="0"/>
          <w:dstrike w:val="0"/>
          <w:highlight w:val="none"/>
        </w:rPr>
      </w:pPr>
      <w:r>
        <w:rPr>
          <w:rFonts w:hint="eastAsia" w:ascii="宋体" w:hAnsi="宋体"/>
          <w:strike w:val="0"/>
          <w:dstrike w:val="0"/>
        </w:rPr>
        <w:t>3.1为中华人民共和国境内依法设立的法人或其他组织（若以分公司名义参与比选申请，必须</w:t>
      </w:r>
      <w:r>
        <w:rPr>
          <w:rFonts w:hint="eastAsia" w:ascii="宋体" w:hAnsi="宋体"/>
          <w:strike w:val="0"/>
          <w:dstrike w:val="0"/>
          <w:highlight w:val="none"/>
        </w:rPr>
        <w:t>出具总公司授权参与的证明）</w:t>
      </w:r>
      <w:r>
        <w:rPr>
          <w:rFonts w:hint="eastAsia" w:ascii="宋体" w:hAnsi="宋体"/>
          <w:strike w:val="0"/>
          <w:dstrike w:val="0"/>
          <w:highlight w:val="none"/>
          <w:lang w:eastAsia="zh-CN"/>
        </w:rPr>
        <w:t>，</w:t>
      </w:r>
      <w:r>
        <w:rPr>
          <w:rFonts w:hint="eastAsia" w:ascii="宋体" w:hAnsi="宋体"/>
          <w:strike w:val="0"/>
          <w:dstrike w:val="0"/>
          <w:highlight w:val="none"/>
        </w:rPr>
        <w:t>经营范围至少包括下列范围之一：①</w:t>
      </w:r>
      <w:r>
        <w:rPr>
          <w:rFonts w:hint="eastAsia" w:ascii="宋体" w:hAnsi="宋体"/>
          <w:strike w:val="0"/>
          <w:dstrike w:val="0"/>
          <w:highlight w:val="none"/>
          <w:lang w:val="en-US" w:eastAsia="zh-CN"/>
        </w:rPr>
        <w:t>新能源汽车充电桩或电力设备销售</w:t>
      </w:r>
      <w:r>
        <w:rPr>
          <w:rFonts w:hint="eastAsia" w:ascii="宋体" w:hAnsi="宋体"/>
          <w:strike w:val="0"/>
          <w:dstrike w:val="0"/>
          <w:highlight w:val="none"/>
        </w:rPr>
        <w:t>等类似经营范围。</w:t>
      </w:r>
    </w:p>
    <w:p>
      <w:pPr>
        <w:spacing w:before="0" w:after="0" w:afterAutospacing="0"/>
        <w:ind w:left="0" w:right="0" w:firstLine="420" w:firstLineChars="200"/>
        <w:rPr>
          <w:rFonts w:hint="eastAsia" w:ascii="宋体" w:hAnsi="宋体"/>
          <w:b w:val="0"/>
          <w:bCs w:val="0"/>
        </w:rPr>
      </w:pPr>
      <w:r>
        <w:rPr>
          <w:rFonts w:hint="eastAsia" w:ascii="宋体" w:hAnsi="宋体"/>
          <w:b w:val="0"/>
          <w:bCs w:val="0"/>
        </w:rPr>
        <w:t>3.2资质条件：</w:t>
      </w:r>
      <w:r>
        <w:rPr>
          <w:rFonts w:hint="eastAsia" w:ascii="宋体" w:hAnsi="宋体"/>
          <w:lang w:eastAsia="zh-CN"/>
        </w:rPr>
        <w:t>无要求。</w:t>
      </w:r>
    </w:p>
    <w:p>
      <w:pPr>
        <w:spacing w:before="0" w:after="0" w:afterAutospacing="0"/>
        <w:ind w:left="0" w:right="0" w:firstLine="420" w:firstLineChars="200"/>
        <w:rPr>
          <w:rFonts w:hint="eastAsia" w:ascii="宋体" w:hAnsi="宋体"/>
          <w:b w:val="0"/>
          <w:bCs w:val="0"/>
        </w:rPr>
      </w:pPr>
      <w:r>
        <w:rPr>
          <w:rFonts w:hint="eastAsia" w:ascii="宋体" w:hAnsi="宋体"/>
          <w:b w:val="0"/>
          <w:bCs w:val="0"/>
        </w:rPr>
        <w:t>3.3业绩条件：</w:t>
      </w:r>
      <w:r>
        <w:rPr>
          <w:rFonts w:hint="eastAsia" w:ascii="宋体" w:hAnsi="宋体"/>
          <w:b w:val="0"/>
          <w:bCs w:val="0"/>
          <w:color w:val="auto"/>
          <w:highlight w:val="none"/>
        </w:rPr>
        <w:t>自201</w:t>
      </w:r>
      <w:r>
        <w:rPr>
          <w:rFonts w:hint="eastAsia" w:ascii="宋体" w:hAnsi="宋体"/>
          <w:b w:val="0"/>
          <w:bCs w:val="0"/>
          <w:color w:val="auto"/>
          <w:highlight w:val="none"/>
          <w:lang w:val="en-US" w:eastAsia="zh-CN"/>
        </w:rPr>
        <w:t>9</w:t>
      </w:r>
      <w:r>
        <w:rPr>
          <w:rFonts w:hint="eastAsia" w:ascii="宋体" w:hAnsi="宋体"/>
          <w:b w:val="0"/>
          <w:bCs w:val="0"/>
          <w:color w:val="auto"/>
          <w:highlight w:val="none"/>
        </w:rPr>
        <w:t>年1月1日至截标时间前至少具有1项类似业绩，</w:t>
      </w:r>
      <w:r>
        <w:rPr>
          <w:rFonts w:hint="eastAsia" w:ascii="宋体" w:hAnsi="宋体"/>
          <w:b w:val="0"/>
          <w:bCs w:val="0"/>
          <w:color w:val="auto"/>
          <w:highlight w:val="none"/>
          <w:lang w:eastAsia="zh-CN"/>
        </w:rPr>
        <w:t>比选申请人</w:t>
      </w:r>
      <w:r>
        <w:rPr>
          <w:rFonts w:hint="eastAsia" w:ascii="宋体" w:hAnsi="宋体"/>
          <w:b w:val="0"/>
          <w:bCs w:val="0"/>
          <w:color w:val="auto"/>
          <w:highlight w:val="none"/>
        </w:rPr>
        <w:t>业绩须是其自身的，不能是其母公司或子公司的，不接受联合体、分包业绩。类似业绩是指单项合同不少于</w:t>
      </w:r>
      <w:r>
        <w:rPr>
          <w:rFonts w:hint="eastAsia" w:ascii="宋体" w:hAnsi="宋体"/>
          <w:b w:val="0"/>
          <w:bCs w:val="0"/>
          <w:color w:val="auto"/>
          <w:highlight w:val="none"/>
          <w:lang w:val="en-US" w:eastAsia="zh-CN"/>
        </w:rPr>
        <w:t>20</w:t>
      </w:r>
      <w:r>
        <w:rPr>
          <w:rFonts w:hint="eastAsia" w:ascii="宋体" w:hAnsi="宋体"/>
          <w:b w:val="0"/>
          <w:bCs w:val="0"/>
          <w:color w:val="auto"/>
          <w:highlight w:val="none"/>
        </w:rPr>
        <w:t>万元的</w:t>
      </w:r>
      <w:r>
        <w:rPr>
          <w:rFonts w:hint="eastAsia" w:ascii="宋体" w:hAnsi="宋体"/>
          <w:b w:val="0"/>
          <w:bCs w:val="0"/>
          <w:color w:val="auto"/>
          <w:highlight w:val="none"/>
          <w:lang w:val="en-US" w:eastAsia="zh-CN"/>
        </w:rPr>
        <w:t>充电桩采购及安装类</w:t>
      </w:r>
      <w:r>
        <w:rPr>
          <w:rFonts w:hint="eastAsia" w:ascii="宋体" w:hAnsi="宋体"/>
          <w:b w:val="0"/>
          <w:bCs w:val="0"/>
          <w:color w:val="auto"/>
          <w:highlight w:val="none"/>
        </w:rPr>
        <w:t>项目</w:t>
      </w:r>
      <w:r>
        <w:rPr>
          <w:rFonts w:hint="eastAsia" w:ascii="宋体" w:hAnsi="宋体"/>
          <w:b w:val="0"/>
          <w:bCs w:val="0"/>
        </w:rPr>
        <w:t>。</w:t>
      </w:r>
    </w:p>
    <w:p>
      <w:pPr>
        <w:spacing w:before="0" w:after="0" w:afterAutospacing="0"/>
        <w:ind w:left="0" w:right="0" w:firstLine="420" w:firstLineChars="200"/>
        <w:rPr>
          <w:rFonts w:hint="eastAsia" w:ascii="宋体" w:hAnsi="宋体"/>
          <w:b w:val="0"/>
          <w:bCs w:val="0"/>
        </w:rPr>
      </w:pPr>
      <w:r>
        <w:rPr>
          <w:rFonts w:hint="eastAsia" w:ascii="宋体" w:hAnsi="宋体"/>
          <w:b w:val="0"/>
          <w:bCs w:val="0"/>
        </w:rPr>
        <w:t>3.4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hint="eastAsia" w:ascii="宋体" w:hAnsi="宋体"/>
          <w:b w:val="0"/>
          <w:bCs w:val="0"/>
        </w:rPr>
      </w:pPr>
      <w:r>
        <w:rPr>
          <w:rFonts w:hint="eastAsia" w:ascii="宋体" w:hAnsi="宋体"/>
          <w:b w:val="0"/>
          <w:bCs w:val="0"/>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ascii="宋体" w:hAnsi="宋体"/>
          <w:b w:val="0"/>
          <w:bCs w:val="0"/>
        </w:rPr>
      </w:pPr>
      <w:r>
        <w:rPr>
          <w:rFonts w:hint="eastAsia" w:ascii="宋体" w:hAnsi="宋体"/>
          <w:b w:val="0"/>
          <w:bCs w:val="0"/>
        </w:rPr>
        <w:t>3.6本项目不接受联合体比选申请。</w:t>
      </w:r>
    </w:p>
    <w:p>
      <w:pPr>
        <w:spacing w:before="0" w:after="0" w:afterAutospacing="0"/>
        <w:ind w:left="0" w:right="0" w:firstLine="420" w:firstLineChars="200"/>
        <w:rPr>
          <w:rFonts w:hint="eastAsia" w:ascii="宋体" w:hAnsi="宋体"/>
          <w:b w:val="0"/>
          <w:bCs w:val="0"/>
        </w:rPr>
      </w:pPr>
      <w:r>
        <w:rPr>
          <w:rFonts w:hint="eastAsia" w:ascii="宋体" w:hAnsi="宋体"/>
          <w:b w:val="0"/>
          <w:bCs w:val="0"/>
        </w:rPr>
        <w:t>3.7未列入比选人不良信用名单的。</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color w:val="FF0000"/>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w:t>
      </w:r>
      <w:r>
        <w:rPr>
          <w:rFonts w:hint="eastAsia" w:ascii="宋体" w:hAnsi="宋体"/>
          <w:lang w:eastAsia="zh-CN"/>
        </w:rPr>
        <w:t>南宁轨道交通集团有限责任公司</w:t>
      </w:r>
      <w:r>
        <w:rPr>
          <w:rFonts w:hint="eastAsia" w:ascii="宋体" w:hAnsi="宋体"/>
        </w:rPr>
        <w:t>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w:t>
      </w:r>
      <w:r>
        <w:rPr>
          <w:rFonts w:hint="eastAsia" w:ascii="宋体" w:hAnsi="宋体"/>
          <w:b/>
          <w:lang w:eastAsia="zh-CN"/>
        </w:rPr>
        <w:t>文件递交及截止</w:t>
      </w:r>
      <w:r>
        <w:rPr>
          <w:rFonts w:ascii="宋体" w:hAnsi="宋体"/>
          <w:b/>
        </w:rPr>
        <w:t>时间</w:t>
      </w:r>
      <w:r>
        <w:rPr>
          <w:rFonts w:hint="eastAsia" w:ascii="宋体" w:hAnsi="宋体"/>
          <w:b/>
        </w:rPr>
        <w:t>和</w:t>
      </w:r>
      <w:r>
        <w:rPr>
          <w:rFonts w:ascii="宋体" w:hAnsi="宋体"/>
          <w:b/>
        </w:rPr>
        <w:t>地点</w:t>
      </w:r>
    </w:p>
    <w:p>
      <w:pPr>
        <w:spacing w:before="0" w:after="0" w:afterAutospacing="0"/>
        <w:ind w:left="0" w:right="0" w:firstLine="420" w:firstLineChars="200"/>
        <w:rPr>
          <w:rFonts w:hint="eastAsia" w:ascii="宋体" w:hAnsi="宋体" w:eastAsia="宋体"/>
          <w:lang w:eastAsia="zh-CN"/>
        </w:rPr>
      </w:pPr>
      <w:r>
        <w:rPr>
          <w:rFonts w:hint="eastAsia" w:ascii="宋体" w:hAnsi="宋体"/>
        </w:rPr>
        <w:t>6.1比选申请文件须密封后于</w:t>
      </w:r>
      <w:r>
        <w:rPr>
          <w:rFonts w:hint="eastAsia" w:ascii="宋体" w:hAnsi="宋体"/>
          <w:color w:val="FF0000"/>
          <w:u w:val="single"/>
          <w:lang w:val="en-US" w:eastAsia="zh-CN"/>
        </w:rPr>
        <w:t>2022</w:t>
      </w:r>
      <w:r>
        <w:rPr>
          <w:rFonts w:hint="eastAsia" w:ascii="宋体" w:hAnsi="宋体"/>
        </w:rPr>
        <w:t>年</w:t>
      </w:r>
      <w:r>
        <w:rPr>
          <w:rFonts w:hint="eastAsia" w:ascii="宋体" w:hAnsi="宋体"/>
          <w:color w:val="FF0000"/>
          <w:u w:val="single"/>
          <w:lang w:val="en-US" w:eastAsia="zh-CN"/>
        </w:rPr>
        <w:t>11</w:t>
      </w:r>
      <w:r>
        <w:rPr>
          <w:rFonts w:hint="eastAsia" w:ascii="宋体" w:hAnsi="宋体"/>
        </w:rPr>
        <w:t>月</w:t>
      </w:r>
      <w:r>
        <w:rPr>
          <w:rFonts w:hint="eastAsia" w:ascii="宋体" w:hAnsi="宋体"/>
          <w:color w:val="FF0000"/>
          <w:u w:val="single"/>
          <w:lang w:val="en-US" w:eastAsia="zh-CN"/>
        </w:rPr>
        <w:t>04</w:t>
      </w:r>
      <w:r>
        <w:rPr>
          <w:rFonts w:hint="eastAsia" w:ascii="宋体" w:hAnsi="宋体"/>
        </w:rPr>
        <w:t>日</w:t>
      </w:r>
      <w:r>
        <w:rPr>
          <w:rFonts w:hint="eastAsia" w:ascii="宋体" w:hAnsi="宋体"/>
          <w:color w:val="FF0000"/>
          <w:u w:val="single"/>
          <w:lang w:val="en-US" w:eastAsia="zh-CN"/>
        </w:rPr>
        <w:t>09</w:t>
      </w:r>
      <w:r>
        <w:rPr>
          <w:rFonts w:hint="eastAsia" w:ascii="宋体" w:hAnsi="宋体"/>
        </w:rPr>
        <w:t>时</w:t>
      </w:r>
      <w:r>
        <w:rPr>
          <w:rFonts w:hint="eastAsia" w:ascii="宋体" w:hAnsi="宋体"/>
          <w:color w:val="FF0000"/>
          <w:u w:val="single"/>
          <w:lang w:val="en-US" w:eastAsia="zh-CN"/>
        </w:rPr>
        <w:t>00</w:t>
      </w:r>
      <w:r>
        <w:rPr>
          <w:rFonts w:hint="eastAsia" w:ascii="宋体" w:hAnsi="宋体"/>
        </w:rPr>
        <w:t>分</w:t>
      </w:r>
      <w:r>
        <w:rPr>
          <w:rFonts w:hint="eastAsia" w:ascii="宋体" w:hAnsi="宋体"/>
          <w:lang w:eastAsia="zh-CN"/>
        </w:rPr>
        <w:t>至</w:t>
      </w:r>
      <w:r>
        <w:rPr>
          <w:rFonts w:hint="eastAsia" w:ascii="宋体" w:hAnsi="宋体"/>
          <w:color w:val="FF0000"/>
          <w:u w:val="single"/>
          <w:lang w:val="en-US" w:eastAsia="zh-CN"/>
        </w:rPr>
        <w:t>09</w:t>
      </w:r>
      <w:r>
        <w:rPr>
          <w:rFonts w:hint="eastAsia" w:ascii="宋体" w:hAnsi="宋体"/>
        </w:rPr>
        <w:t>时</w:t>
      </w:r>
      <w:r>
        <w:rPr>
          <w:rFonts w:hint="eastAsia" w:ascii="宋体" w:hAnsi="宋体"/>
          <w:color w:val="FF0000"/>
          <w:u w:val="single"/>
          <w:lang w:val="en-US" w:eastAsia="zh-CN"/>
        </w:rPr>
        <w:t>30</w:t>
      </w:r>
      <w:r>
        <w:rPr>
          <w:rFonts w:hint="eastAsia" w:ascii="宋体" w:hAnsi="宋体"/>
        </w:rPr>
        <w:t>分（北京时间）递</w:t>
      </w:r>
      <w:r>
        <w:rPr>
          <w:rFonts w:hint="eastAsia" w:ascii="宋体" w:hAnsi="宋体"/>
          <w:color w:val="auto"/>
        </w:rPr>
        <w:t>交</w:t>
      </w:r>
      <w:r>
        <w:rPr>
          <w:rFonts w:hint="eastAsia" w:ascii="宋体" w:hAnsi="宋体"/>
          <w:color w:val="auto"/>
          <w:u w:val="none"/>
          <w:lang w:eastAsia="zh-CN"/>
        </w:rPr>
        <w:t>。</w:t>
      </w:r>
    </w:p>
    <w:p>
      <w:pPr>
        <w:spacing w:before="0" w:after="0" w:afterAutospacing="0"/>
        <w:ind w:left="0" w:right="0" w:firstLine="420" w:firstLineChars="200"/>
        <w:rPr>
          <w:rFonts w:hint="eastAsia" w:ascii="宋体" w:hAnsi="宋体" w:eastAsia="宋体"/>
          <w:lang w:eastAsia="zh-CN"/>
        </w:rPr>
      </w:pPr>
      <w:r>
        <w:rPr>
          <w:rFonts w:hint="eastAsia" w:ascii="宋体" w:hAnsi="宋体"/>
          <w:lang w:val="en-US" w:eastAsia="zh-CN"/>
        </w:rPr>
        <w:t>6.2</w:t>
      </w:r>
      <w:r>
        <w:rPr>
          <w:rFonts w:hint="eastAsia" w:ascii="宋体" w:hAnsi="宋体"/>
          <w:lang w:eastAsia="zh-CN"/>
        </w:rPr>
        <w:t>递交截止时间为</w:t>
      </w:r>
      <w:r>
        <w:rPr>
          <w:rFonts w:hint="eastAsia" w:ascii="宋体" w:hAnsi="宋体"/>
          <w:color w:val="FF0000"/>
          <w:u w:val="single"/>
          <w:lang w:val="en-US" w:eastAsia="zh-CN"/>
        </w:rPr>
        <w:t>2022</w:t>
      </w:r>
      <w:r>
        <w:rPr>
          <w:rFonts w:hint="eastAsia" w:ascii="宋体" w:hAnsi="宋体"/>
        </w:rPr>
        <w:t>年</w:t>
      </w:r>
      <w:r>
        <w:rPr>
          <w:rFonts w:hint="eastAsia" w:ascii="宋体" w:hAnsi="宋体"/>
          <w:color w:val="FF0000"/>
          <w:u w:val="single"/>
          <w:lang w:val="en-US" w:eastAsia="zh-CN"/>
        </w:rPr>
        <w:t>11</w:t>
      </w:r>
      <w:r>
        <w:rPr>
          <w:rFonts w:hint="eastAsia" w:ascii="宋体" w:hAnsi="宋体"/>
        </w:rPr>
        <w:t>月</w:t>
      </w:r>
      <w:r>
        <w:rPr>
          <w:rFonts w:hint="eastAsia" w:ascii="宋体" w:hAnsi="宋体"/>
          <w:color w:val="FF0000"/>
          <w:u w:val="single"/>
          <w:lang w:val="en-US" w:eastAsia="zh-CN"/>
        </w:rPr>
        <w:t>04</w:t>
      </w:r>
      <w:r>
        <w:rPr>
          <w:rFonts w:hint="eastAsia" w:ascii="宋体" w:hAnsi="宋体"/>
        </w:rPr>
        <w:t>日</w:t>
      </w:r>
      <w:r>
        <w:rPr>
          <w:rFonts w:hint="eastAsia" w:ascii="宋体" w:hAnsi="宋体"/>
          <w:color w:val="FF0000"/>
          <w:u w:val="single"/>
          <w:lang w:val="en-US" w:eastAsia="zh-CN"/>
        </w:rPr>
        <w:t>09</w:t>
      </w:r>
      <w:r>
        <w:rPr>
          <w:rFonts w:hint="eastAsia" w:ascii="宋体" w:hAnsi="宋体"/>
        </w:rPr>
        <w:t>时</w:t>
      </w:r>
      <w:r>
        <w:rPr>
          <w:rFonts w:hint="eastAsia" w:ascii="宋体" w:hAnsi="宋体"/>
          <w:color w:val="FF0000"/>
          <w:u w:val="single"/>
          <w:lang w:val="en-US" w:eastAsia="zh-CN"/>
        </w:rPr>
        <w:t>30</w:t>
      </w:r>
      <w:r>
        <w:rPr>
          <w:rFonts w:hint="eastAsia" w:ascii="宋体" w:hAnsi="宋体"/>
        </w:rPr>
        <w:t>分（北京时间）</w:t>
      </w:r>
      <w:r>
        <w:rPr>
          <w:rFonts w:hint="eastAsia" w:ascii="宋体" w:hAnsi="宋体"/>
          <w:lang w:eastAsia="zh-CN"/>
        </w:rPr>
        <w:t>。</w:t>
      </w:r>
    </w:p>
    <w:p>
      <w:pPr>
        <w:spacing w:before="0" w:after="0" w:afterAutospacing="0"/>
        <w:ind w:left="0" w:right="0" w:firstLine="420" w:firstLineChars="200"/>
        <w:rPr>
          <w:rFonts w:ascii="宋体" w:hAnsi="宋体"/>
        </w:rPr>
      </w:pPr>
      <w:r>
        <w:rPr>
          <w:rFonts w:hint="eastAsia" w:ascii="宋体" w:hAnsi="宋体"/>
          <w:lang w:val="en-US" w:eastAsia="zh-CN"/>
        </w:rPr>
        <w:t>6.3</w:t>
      </w:r>
      <w:r>
        <w:rPr>
          <w:rFonts w:hint="eastAsia" w:ascii="宋体" w:hAnsi="宋体"/>
        </w:rPr>
        <w:t>递交地点在</w:t>
      </w:r>
      <w:r>
        <w:rPr>
          <w:rFonts w:hint="eastAsia" w:ascii="宋体" w:hAnsi="宋体"/>
          <w:color w:val="FF0000"/>
          <w:u w:val="single"/>
          <w:lang w:eastAsia="zh-CN"/>
        </w:rPr>
        <w:t>南宁市青秀区云景路</w:t>
      </w:r>
      <w:r>
        <w:rPr>
          <w:rFonts w:hint="eastAsia" w:ascii="宋体" w:hAnsi="宋体"/>
          <w:color w:val="FF0000"/>
          <w:u w:val="single"/>
          <w:lang w:val="en-US" w:eastAsia="zh-CN"/>
        </w:rPr>
        <w:t>83号屯里车辆段综合楼205会议室</w:t>
      </w:r>
      <w:bookmarkStart w:id="1579" w:name="_GoBack"/>
      <w:bookmarkEnd w:id="1579"/>
    </w:p>
    <w:p>
      <w:pPr>
        <w:spacing w:before="0" w:after="0" w:afterAutospacing="0"/>
        <w:ind w:left="0" w:right="0" w:firstLine="420" w:firstLineChars="200"/>
        <w:rPr>
          <w:rFonts w:ascii="宋体" w:hAnsi="宋体"/>
        </w:rPr>
      </w:pPr>
      <w:r>
        <w:rPr>
          <w:rFonts w:hint="eastAsia" w:ascii="宋体" w:hAnsi="宋体"/>
        </w:rPr>
        <w:t>6.</w:t>
      </w:r>
      <w:r>
        <w:rPr>
          <w:rFonts w:hint="eastAsia" w:ascii="宋体" w:hAnsi="宋体"/>
          <w:lang w:val="en-US" w:eastAsia="zh-CN"/>
        </w:rPr>
        <w:t>4</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hint="eastAsia" w:ascii="宋体" w:hAnsi="宋体"/>
          <w:lang w:val="en-US" w:eastAsia="zh-CN"/>
        </w:rPr>
        <w:t>5</w:t>
      </w:r>
      <w:r>
        <w:rPr>
          <w:rFonts w:hint="eastAsia" w:ascii="宋体" w:hAnsi="宋体"/>
        </w:rPr>
        <w:t>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本次比选公告同时在</w:t>
      </w:r>
      <w:r>
        <w:rPr>
          <w:rFonts w:hint="eastAsia" w:ascii="宋体" w:hAnsi="宋体"/>
          <w:lang w:eastAsia="zh-CN"/>
        </w:rPr>
        <w:t>南宁轨道交通集团有限责任公司</w:t>
      </w:r>
      <w:r>
        <w:rPr>
          <w:rFonts w:hint="eastAsia" w:ascii="宋体" w:hAnsi="宋体"/>
        </w:rPr>
        <w:t>官网(http://www.nngdjt.com)、中国e车网(http://www.ecrrc.com)发布。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u w:val="single"/>
        </w:rPr>
      </w:pPr>
      <w:r>
        <w:rPr>
          <w:rFonts w:hint="eastAsia" w:ascii="宋体" w:hAnsi="宋体"/>
        </w:rPr>
        <w:t>比选 人：</w:t>
      </w:r>
      <w:r>
        <w:rPr>
          <w:rFonts w:hint="eastAsia" w:ascii="宋体" w:hAnsi="宋体"/>
          <w:lang w:eastAsia="zh-CN"/>
        </w:rPr>
        <w:t>南宁轨道交通运营有限公司</w:t>
      </w:r>
      <w:r>
        <w:rPr>
          <w:rFonts w:hint="eastAsia" w:ascii="宋体" w:hAnsi="宋体"/>
        </w:rPr>
        <w:t xml:space="preserve">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址：南宁市青秀区云景路83号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宋体" w:hAnsi="宋体"/>
          <w:u w:val="single"/>
        </w:rPr>
      </w:pPr>
      <w:r>
        <w:rPr>
          <w:rFonts w:hint="eastAsia" w:ascii="宋体" w:hAnsi="宋体"/>
        </w:rPr>
        <w:t>联 系 人：</w:t>
      </w:r>
      <w:r>
        <w:rPr>
          <w:rFonts w:hint="eastAsia" w:ascii="宋体" w:hAnsi="宋体"/>
          <w:color w:val="auto"/>
          <w:u w:val="none"/>
          <w:lang w:val="en-US" w:eastAsia="zh-CN"/>
        </w:rPr>
        <w:t>梁工</w:t>
      </w:r>
      <w:r>
        <w:rPr>
          <w:rFonts w:hint="eastAsia" w:ascii="宋体" w:hAnsi="宋体"/>
          <w:color w:val="auto"/>
          <w:u w:val="none"/>
        </w:rPr>
        <w:t>、</w:t>
      </w:r>
      <w:r>
        <w:rPr>
          <w:rFonts w:hint="eastAsia" w:ascii="宋体" w:hAnsi="宋体"/>
          <w:color w:val="auto"/>
          <w:u w:val="none"/>
          <w:lang w:val="en-US" w:eastAsia="zh-CN"/>
        </w:rPr>
        <w:t>熊工</w:t>
      </w:r>
      <w:r>
        <w:rPr>
          <w:rFonts w:hint="eastAsia" w:ascii="宋体" w:hAnsi="宋体"/>
          <w:color w:val="FF0000"/>
          <w:u w:val="none"/>
        </w:rPr>
        <w:t xml:space="preserve">  </w:t>
      </w:r>
    </w:p>
    <w:p>
      <w:pPr>
        <w:spacing w:before="0" w:after="0" w:afterAutospacing="0"/>
        <w:ind w:left="0" w:right="0" w:firstLine="420" w:firstLineChars="200"/>
        <w:rPr>
          <w:rFonts w:hint="default" w:ascii="宋体" w:hAnsi="宋体" w:eastAsia="宋体"/>
          <w:u w:val="single"/>
          <w:lang w:val="en-US" w:eastAsia="zh-CN"/>
        </w:rPr>
      </w:pPr>
      <w:r>
        <w:rPr>
          <w:rFonts w:hint="eastAsia" w:ascii="宋体" w:hAnsi="宋体"/>
        </w:rPr>
        <w:t>电    话：</w:t>
      </w:r>
      <w:r>
        <w:rPr>
          <w:rFonts w:hint="eastAsia" w:ascii="宋体" w:hAnsi="宋体"/>
          <w:lang w:val="en-US" w:eastAsia="zh-CN"/>
        </w:rPr>
        <w:t>0771-2227022、0771-2778972</w:t>
      </w:r>
    </w:p>
    <w:p>
      <w:pPr>
        <w:spacing w:before="0" w:after="0" w:afterAutospacing="0"/>
        <w:ind w:left="0" w:right="0" w:firstLine="420" w:firstLineChars="200"/>
        <w:rPr>
          <w:rFonts w:ascii="宋体" w:hAnsi="宋体"/>
          <w:u w:val="single"/>
        </w:rPr>
      </w:pPr>
      <w:r>
        <w:rPr>
          <w:rFonts w:hint="eastAsia" w:ascii="宋体" w:hAnsi="宋体"/>
        </w:rPr>
        <w:t>传    真：</w:t>
      </w:r>
    </w:p>
    <w:p>
      <w:pPr>
        <w:spacing w:before="0" w:after="0" w:afterAutospacing="0"/>
        <w:ind w:left="0" w:right="0" w:firstLine="420" w:firstLineChars="200"/>
        <w:rPr>
          <w:rFonts w:ascii="宋体" w:hAnsi="宋体"/>
          <w:u w:val="single"/>
        </w:rPr>
      </w:pPr>
      <w:r>
        <w:rPr>
          <w:rFonts w:hint="eastAsia" w:ascii="宋体" w:hAnsi="宋体"/>
        </w:rPr>
        <w:t>电子邮件：</w:t>
      </w:r>
    </w:p>
    <w:p>
      <w:pPr>
        <w:spacing w:before="0" w:after="120" w:line="380" w:lineRule="exact"/>
        <w:ind w:left="430" w:right="-57" w:firstLine="200"/>
        <w:rPr>
          <w:rFonts w:ascii="宋体" w:hAnsi="宋体"/>
        </w:rPr>
      </w:pPr>
    </w:p>
    <w:p>
      <w:pPr>
        <w:spacing w:before="0" w:after="120" w:line="380" w:lineRule="exact"/>
        <w:ind w:left="430" w:right="-57" w:firstLine="200"/>
        <w:rPr>
          <w:rFonts w:ascii="宋体" w:hAnsi="宋体"/>
        </w:rPr>
      </w:pPr>
    </w:p>
    <w:p>
      <w:pPr>
        <w:pStyle w:val="12"/>
        <w:pageBreakBefore/>
        <w:ind w:left="0" w:right="-57" w:firstLine="0"/>
        <w:jc w:val="center"/>
        <w:outlineLvl w:val="0"/>
        <w:rPr>
          <w:rStyle w:val="42"/>
          <w:rFonts w:hint="eastAsia" w:ascii="黑体" w:hAnsi="黑体" w:eastAsia="黑体" w:cs="黑体"/>
          <w:sz w:val="44"/>
          <w:szCs w:val="44"/>
        </w:rPr>
      </w:pPr>
      <w:bookmarkStart w:id="22" w:name="_Toc322528192"/>
      <w:bookmarkEnd w:id="22"/>
      <w:bookmarkStart w:id="23" w:name="_Toc512357502"/>
      <w:bookmarkStart w:id="24" w:name="_Toc22273"/>
      <w:bookmarkStart w:id="25" w:name="_Toc17735"/>
      <w:bookmarkStart w:id="26" w:name="_Toc30725"/>
      <w:bookmarkStart w:id="27" w:name="_Toc101965674"/>
      <w:bookmarkStart w:id="28" w:name="_Toc21830"/>
      <w:bookmarkStart w:id="29" w:name="_Toc30950"/>
      <w:bookmarkStart w:id="30" w:name="_Toc17594"/>
      <w:bookmarkStart w:id="31" w:name="_Toc15976"/>
      <w:bookmarkStart w:id="32" w:name="_Toc12635"/>
      <w:bookmarkStart w:id="33" w:name="_Toc30883"/>
      <w:bookmarkStart w:id="34" w:name="_Toc18454"/>
      <w:bookmarkStart w:id="35" w:name="_Toc24972"/>
      <w:bookmarkStart w:id="36" w:name="_Toc3495"/>
      <w:bookmarkStart w:id="37" w:name="_Toc14381"/>
      <w:bookmarkStart w:id="38" w:name="_Toc17240"/>
      <w:bookmarkStart w:id="39" w:name="_Toc1230"/>
      <w:bookmarkStart w:id="40" w:name="_Toc29836"/>
      <w:bookmarkStart w:id="41" w:name="_Toc20201"/>
      <w:bookmarkStart w:id="42" w:name="_Toc24390"/>
      <w:r>
        <w:rPr>
          <w:rStyle w:val="42"/>
          <w:rFonts w:hint="eastAsia" w:ascii="黑体" w:hAnsi="黑体" w:eastAsia="黑体" w:cs="黑体"/>
          <w:sz w:val="44"/>
          <w:szCs w:val="44"/>
        </w:rPr>
        <w:t>第二章</w:t>
      </w:r>
      <w:bookmarkEnd w:id="23"/>
      <w:r>
        <w:rPr>
          <w:rStyle w:val="42"/>
          <w:rFonts w:hint="eastAsia" w:ascii="黑体" w:hAnsi="黑体" w:eastAsia="黑体" w:cs="黑体"/>
          <w:sz w:val="44"/>
          <w:szCs w:val="44"/>
          <w:lang w:val="en-US" w:eastAsia="zh-CN"/>
        </w:rPr>
        <w:t xml:space="preserve"> </w:t>
      </w:r>
      <w:r>
        <w:rPr>
          <w:rStyle w:val="42"/>
          <w:rFonts w:hint="eastAsia" w:ascii="黑体" w:hAnsi="黑体" w:eastAsia="黑体" w:cs="黑体"/>
          <w:sz w:val="44"/>
          <w:szCs w:val="44"/>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4"/>
        <w:spacing w:after="0" w:afterAutospacing="0" w:line="360" w:lineRule="auto"/>
        <w:ind w:left="468" w:leftChars="200" w:right="0" w:hanging="48" w:hangingChars="20"/>
        <w:rPr>
          <w:rFonts w:ascii="宋体" w:hAnsi="宋体" w:eastAsia="宋体"/>
          <w:sz w:val="24"/>
          <w:szCs w:val="24"/>
        </w:rPr>
      </w:pPr>
      <w:bookmarkStart w:id="43" w:name="_Toc322528193"/>
      <w:bookmarkEnd w:id="43"/>
      <w:bookmarkStart w:id="44" w:name="_Toc101965675"/>
      <w:bookmarkStart w:id="45" w:name="_Toc25102"/>
      <w:r>
        <w:rPr>
          <w:rFonts w:hint="eastAsia" w:ascii="宋体" w:hAnsi="宋体" w:eastAsia="宋体"/>
          <w:sz w:val="24"/>
          <w:szCs w:val="24"/>
        </w:rPr>
        <w:t>一、项目概况</w:t>
      </w:r>
      <w:bookmarkEnd w:id="44"/>
      <w:bookmarkEnd w:id="45"/>
    </w:p>
    <w:p>
      <w:pPr>
        <w:spacing w:before="0" w:after="0" w:afterAutospacing="0"/>
        <w:ind w:left="0" w:right="0" w:firstLine="420" w:firstLineChars="200"/>
        <w:rPr>
          <w:rFonts w:hint="eastAsia" w:ascii="宋体" w:hAnsi="宋体" w:eastAsia="宋体"/>
          <w:color w:val="auto"/>
          <w:u w:val="single"/>
          <w:lang w:eastAsia="zh-CN"/>
        </w:rPr>
      </w:pPr>
      <w:r>
        <w:rPr>
          <w:rFonts w:hint="eastAsia" w:ascii="宋体" w:hAnsi="宋体"/>
          <w:lang w:val="en-US" w:eastAsia="zh-CN"/>
        </w:rPr>
        <w:t>1.1</w:t>
      </w:r>
      <w:r>
        <w:rPr>
          <w:rFonts w:hint="eastAsia" w:ascii="宋体" w:hAnsi="宋体"/>
        </w:rPr>
        <w:t>项目编号：</w:t>
      </w:r>
      <w:r>
        <w:rPr>
          <w:rFonts w:hint="eastAsia" w:ascii="宋体" w:hAnsi="宋体"/>
          <w:color w:val="auto"/>
          <w:highlight w:val="none"/>
          <w:u w:val="single"/>
          <w:lang w:eastAsia="zh-CN"/>
        </w:rPr>
        <w:t>202209050007</w:t>
      </w:r>
    </w:p>
    <w:p>
      <w:pPr>
        <w:spacing w:before="0" w:after="0" w:afterAutospacing="0"/>
        <w:ind w:left="0" w:right="0" w:firstLine="420" w:firstLineChars="200"/>
        <w:rPr>
          <w:rFonts w:ascii="宋体" w:hAnsi="宋体"/>
          <w:u w:val="single"/>
        </w:rPr>
      </w:pPr>
      <w:r>
        <w:rPr>
          <w:rFonts w:hint="eastAsia" w:ascii="宋体" w:hAnsi="宋体"/>
          <w:lang w:val="en-US" w:eastAsia="zh-CN"/>
        </w:rPr>
        <w:t>1.2</w:t>
      </w:r>
      <w:r>
        <w:rPr>
          <w:rFonts w:hint="eastAsia" w:ascii="宋体" w:hAnsi="宋体"/>
        </w:rPr>
        <w:t>项目名称：</w:t>
      </w:r>
      <w:r>
        <w:rPr>
          <w:rFonts w:hint="eastAsia" w:ascii="宋体" w:hAnsi="宋体"/>
          <w:color w:val="auto"/>
          <w:u w:val="single"/>
          <w:lang w:eastAsia="zh-CN"/>
        </w:rPr>
        <w:t>南宁轨道交通运营有限公司2022年新能源汽车充电桩二期建设项目</w:t>
      </w:r>
    </w:p>
    <w:p>
      <w:pPr>
        <w:spacing w:before="0" w:after="0" w:afterAutospacing="0"/>
        <w:ind w:left="0" w:right="0" w:firstLine="420" w:firstLineChars="200"/>
        <w:rPr>
          <w:rFonts w:ascii="宋体" w:hAnsi="宋体"/>
          <w:u w:val="single"/>
        </w:rPr>
      </w:pPr>
      <w:r>
        <w:rPr>
          <w:rFonts w:hint="eastAsia" w:ascii="宋体" w:hAnsi="宋体"/>
          <w:lang w:val="en-US" w:eastAsia="zh-CN"/>
        </w:rPr>
        <w:t>1.3</w:t>
      </w:r>
      <w:r>
        <w:rPr>
          <w:rFonts w:hint="eastAsia" w:ascii="宋体" w:hAnsi="宋体"/>
        </w:rPr>
        <w:t>上限控制价：</w:t>
      </w:r>
      <w:r>
        <w:rPr>
          <w:rFonts w:hint="eastAsia" w:ascii="宋体" w:hAnsi="宋体"/>
          <w:color w:val="auto"/>
        </w:rPr>
        <w:t>人民币</w:t>
      </w:r>
      <w:r>
        <w:rPr>
          <w:rFonts w:hint="eastAsia" w:ascii="宋体" w:hAnsi="宋体"/>
          <w:color w:val="auto"/>
          <w:u w:val="single"/>
          <w:lang w:val="en-US" w:eastAsia="zh-CN"/>
        </w:rPr>
        <w:t>234000.00元</w:t>
      </w:r>
      <w:r>
        <w:rPr>
          <w:rFonts w:hint="eastAsia" w:ascii="宋体" w:hAnsi="宋体"/>
          <w:color w:val="auto"/>
          <w:u w:val="none"/>
          <w:lang w:val="en-US" w:eastAsia="zh-CN"/>
        </w:rPr>
        <w:t>(不含税）</w:t>
      </w:r>
      <w:r>
        <w:rPr>
          <w:rFonts w:hint="eastAsia" w:ascii="宋体" w:hAnsi="宋体"/>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lang w:val="en-US" w:eastAsia="zh-CN"/>
        </w:rPr>
        <w:t>1.4</w:t>
      </w:r>
      <w:r>
        <w:rPr>
          <w:rFonts w:hint="eastAsia" w:ascii="宋体" w:hAnsi="宋体"/>
        </w:rPr>
        <w:t>交货期/工期：</w:t>
      </w:r>
      <w:r>
        <w:rPr>
          <w:rFonts w:hint="eastAsia" w:ascii="宋体" w:hAnsi="宋体"/>
          <w:u w:val="none"/>
        </w:rPr>
        <w:t>合同签订且</w:t>
      </w:r>
      <w:r>
        <w:rPr>
          <w:rFonts w:hint="eastAsia" w:ascii="宋体" w:hAnsi="宋体"/>
          <w:u w:val="none"/>
          <w:lang w:val="en-US" w:eastAsia="zh-CN"/>
        </w:rPr>
        <w:t>供货</w:t>
      </w:r>
      <w:r>
        <w:rPr>
          <w:rFonts w:hint="eastAsia" w:ascii="宋体" w:hAnsi="宋体"/>
          <w:u w:val="none"/>
          <w:lang w:eastAsia="zh-CN"/>
        </w:rPr>
        <w:t>通知书</w:t>
      </w:r>
      <w:r>
        <w:rPr>
          <w:rFonts w:ascii="宋体" w:hAnsi="宋体"/>
          <w:u w:val="none"/>
        </w:rPr>
        <w:t>发出后</w:t>
      </w:r>
      <w:r>
        <w:rPr>
          <w:rFonts w:hint="eastAsia" w:ascii="宋体" w:hAnsi="宋体"/>
          <w:u w:val="none"/>
          <w:lang w:val="en-US" w:eastAsia="zh-CN"/>
        </w:rPr>
        <w:t>90</w:t>
      </w:r>
      <w:r>
        <w:rPr>
          <w:rFonts w:hint="eastAsia" w:ascii="宋体" w:hAnsi="宋体"/>
          <w:u w:val="none"/>
        </w:rPr>
        <w:t>天内</w:t>
      </w:r>
      <w:r>
        <w:rPr>
          <w:rFonts w:hint="eastAsia" w:ascii="宋体" w:hAnsi="宋体"/>
          <w:u w:val="none"/>
          <w:lang w:eastAsia="zh-CN"/>
        </w:rPr>
        <w:t>完成</w:t>
      </w:r>
      <w:r>
        <w:rPr>
          <w:rFonts w:hint="eastAsia" w:ascii="宋体" w:hAnsi="宋体"/>
          <w:u w:val="none"/>
        </w:rPr>
        <w:t>交货</w:t>
      </w:r>
      <w:r>
        <w:rPr>
          <w:rFonts w:hint="eastAsia" w:ascii="宋体" w:hAnsi="宋体"/>
          <w:u w:val="none"/>
          <w:lang w:eastAsia="zh-CN"/>
        </w:rPr>
        <w:t>和安装</w:t>
      </w:r>
      <w:r>
        <w:rPr>
          <w:rFonts w:hint="eastAsia" w:ascii="宋体" w:hAnsi="宋体"/>
          <w:u w:val="none"/>
        </w:rPr>
        <w:t>，</w:t>
      </w:r>
      <w:r>
        <w:rPr>
          <w:rFonts w:hint="eastAsia" w:ascii="宋体" w:hAnsi="宋体"/>
        </w:rPr>
        <w:t>具体详见用户需求书。</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u w:val="single"/>
        </w:rPr>
      </w:pPr>
      <w:r>
        <w:rPr>
          <w:rFonts w:hint="eastAsia" w:ascii="宋体" w:hAnsi="宋体"/>
          <w:lang w:val="en-US" w:eastAsia="zh-CN"/>
        </w:rPr>
        <w:t>1.5</w:t>
      </w:r>
      <w:r>
        <w:rPr>
          <w:rFonts w:hint="eastAsia" w:ascii="宋体" w:hAnsi="宋体"/>
        </w:rPr>
        <w:t>项目地点：</w:t>
      </w:r>
      <w:r>
        <w:rPr>
          <w:rFonts w:hint="eastAsia" w:ascii="宋体" w:hAnsi="宋体"/>
          <w:u w:val="none"/>
          <w:lang w:val="en-US" w:eastAsia="zh-CN"/>
        </w:rPr>
        <w:t>南宁地铁5号线</w:t>
      </w:r>
      <w:r>
        <w:rPr>
          <w:rFonts w:hint="eastAsia" w:asciiTheme="minorEastAsia" w:hAnsiTheme="minorEastAsia" w:eastAsiaTheme="minorEastAsia"/>
          <w:sz w:val="21"/>
          <w:szCs w:val="21"/>
          <w:u w:val="none"/>
          <w:lang w:val="en-US" w:eastAsia="zh-CN"/>
        </w:rPr>
        <w:t>那洪车</w:t>
      </w:r>
      <w:r>
        <w:rPr>
          <w:rFonts w:hint="eastAsia" w:asciiTheme="minorEastAsia" w:hAnsiTheme="minorEastAsia" w:eastAsiaTheme="minorEastAsia"/>
          <w:color w:val="auto"/>
          <w:sz w:val="21"/>
          <w:szCs w:val="21"/>
          <w:u w:val="none"/>
          <w:lang w:val="en-US" w:eastAsia="zh-CN"/>
        </w:rPr>
        <w:t>辆基地</w:t>
      </w:r>
      <w:r>
        <w:rPr>
          <w:rFonts w:hint="eastAsia" w:ascii="宋体" w:hAnsi="宋体"/>
          <w:color w:val="auto"/>
          <w:u w:val="single"/>
        </w:rPr>
        <w:t>，</w:t>
      </w:r>
      <w:r>
        <w:rPr>
          <w:rFonts w:hint="eastAsia" w:ascii="宋体" w:hAnsi="宋体"/>
          <w:color w:val="auto"/>
        </w:rPr>
        <w:t>具体详见用户需求书。</w:t>
      </w:r>
    </w:p>
    <w:p>
      <w:pPr>
        <w:spacing w:before="0" w:after="0" w:afterAutospacing="0"/>
        <w:ind w:left="0" w:right="0" w:firstLine="420" w:firstLineChars="200"/>
        <w:rPr>
          <w:rFonts w:ascii="宋体" w:hAnsi="宋体"/>
          <w:color w:val="auto"/>
          <w:u w:val="single"/>
        </w:rPr>
      </w:pPr>
      <w:r>
        <w:rPr>
          <w:rFonts w:hint="eastAsia" w:ascii="宋体" w:hAnsi="宋体"/>
          <w:lang w:val="en-US" w:eastAsia="zh-CN"/>
        </w:rPr>
        <w:t>1.6</w:t>
      </w:r>
      <w:r>
        <w:rPr>
          <w:rFonts w:hint="eastAsia" w:ascii="宋体" w:hAnsi="宋体"/>
        </w:rPr>
        <w:t>比选范围：</w:t>
      </w:r>
      <w:r>
        <w:rPr>
          <w:rFonts w:hint="eastAsia" w:ascii="宋体" w:hAnsi="宋体"/>
          <w:u w:val="none"/>
          <w:lang w:val="en-US" w:eastAsia="zh-CN"/>
        </w:rPr>
        <w:t>南宁地铁5号线</w:t>
      </w:r>
      <w:r>
        <w:rPr>
          <w:rFonts w:hint="eastAsia" w:ascii="宋体" w:hAnsi="宋体" w:eastAsia="宋体" w:cs="宋体"/>
          <w:kern w:val="2"/>
          <w:sz w:val="21"/>
          <w:szCs w:val="21"/>
        </w:rPr>
        <w:t>那洪车辆基地区域内</w:t>
      </w:r>
      <w:r>
        <w:rPr>
          <w:rFonts w:hint="eastAsia" w:ascii="宋体" w:hAnsi="宋体" w:cs="宋体"/>
          <w:kern w:val="2"/>
          <w:sz w:val="21"/>
          <w:szCs w:val="21"/>
          <w:lang w:val="en-US" w:eastAsia="zh-CN"/>
        </w:rPr>
        <w:t>采购及</w:t>
      </w:r>
      <w:r>
        <w:rPr>
          <w:rFonts w:hint="eastAsia" w:ascii="宋体" w:hAnsi="宋体" w:eastAsia="宋体" w:cs="宋体"/>
          <w:kern w:val="2"/>
          <w:sz w:val="21"/>
          <w:szCs w:val="21"/>
        </w:rPr>
        <w:t>安装</w:t>
      </w:r>
      <w:r>
        <w:rPr>
          <w:rFonts w:hint="eastAsia" w:ascii="宋体" w:hAnsi="宋体" w:eastAsia="宋体" w:cs="宋体"/>
          <w:b/>
          <w:bCs/>
          <w:kern w:val="2"/>
          <w:sz w:val="21"/>
          <w:szCs w:val="21"/>
          <w:u w:val="single"/>
        </w:rPr>
        <w:t>16个</w:t>
      </w:r>
      <w:r>
        <w:rPr>
          <w:rFonts w:hint="eastAsia" w:ascii="宋体" w:hAnsi="宋体" w:cs="宋体"/>
          <w:b/>
          <w:bCs/>
          <w:kern w:val="2"/>
          <w:sz w:val="21"/>
          <w:szCs w:val="21"/>
          <w:u w:val="single"/>
          <w:lang w:val="en-US" w:eastAsia="zh-CN"/>
        </w:rPr>
        <w:t>7kW交流</w:t>
      </w:r>
      <w:r>
        <w:rPr>
          <w:rFonts w:hint="eastAsia" w:ascii="宋体" w:hAnsi="宋体" w:eastAsia="宋体" w:cs="宋体"/>
          <w:b/>
          <w:bCs/>
          <w:kern w:val="2"/>
          <w:sz w:val="21"/>
          <w:szCs w:val="21"/>
          <w:u w:val="single"/>
        </w:rPr>
        <w:t>充电桩，包括但不限于充电桩的施工图纸设计、运输、验收及售后维护等工作</w:t>
      </w:r>
      <w:r>
        <w:rPr>
          <w:rFonts w:hint="eastAsia" w:ascii="宋体" w:hAnsi="宋体"/>
          <w:color w:val="auto"/>
          <w:u w:val="single"/>
          <w:lang w:eastAsia="zh-CN"/>
        </w:rPr>
        <w:t>，</w:t>
      </w:r>
      <w:r>
        <w:rPr>
          <w:rFonts w:hint="eastAsia" w:ascii="宋体" w:hAnsi="宋体"/>
          <w:color w:val="auto"/>
        </w:rPr>
        <w:t>具体详见用户需求书。</w:t>
      </w:r>
    </w:p>
    <w:p>
      <w:pPr>
        <w:pStyle w:val="4"/>
        <w:spacing w:after="0" w:afterAutospacing="0" w:line="360" w:lineRule="auto"/>
        <w:ind w:left="0" w:right="0" w:firstLine="482" w:firstLineChars="200"/>
        <w:rPr>
          <w:rFonts w:ascii="宋体" w:hAnsi="宋体" w:eastAsia="宋体"/>
          <w:sz w:val="24"/>
          <w:szCs w:val="24"/>
        </w:rPr>
      </w:pPr>
      <w:bookmarkStart w:id="46" w:name="_Toc6528"/>
      <w:bookmarkStart w:id="47" w:name="_Toc2986"/>
      <w:bookmarkStart w:id="48" w:name="_Toc9677"/>
      <w:bookmarkStart w:id="49" w:name="_Toc5160"/>
      <w:bookmarkStart w:id="50" w:name="_Toc28220"/>
      <w:bookmarkStart w:id="51" w:name="_Toc3854"/>
      <w:bookmarkStart w:id="52" w:name="_Toc15763"/>
      <w:bookmarkStart w:id="53" w:name="_Toc2609"/>
      <w:bookmarkStart w:id="54" w:name="_Toc29160"/>
      <w:bookmarkStart w:id="55" w:name="_Toc5487"/>
      <w:bookmarkStart w:id="56" w:name="_Toc385427797"/>
      <w:bookmarkStart w:id="57" w:name="_Toc12983509"/>
      <w:bookmarkStart w:id="58" w:name="_Toc390098423"/>
      <w:bookmarkStart w:id="59" w:name="_Toc16131"/>
      <w:bookmarkStart w:id="60" w:name="_Toc375039068"/>
      <w:bookmarkStart w:id="61" w:name="_Toc383891172"/>
      <w:bookmarkStart w:id="62" w:name="_Toc19617"/>
      <w:bookmarkStart w:id="63" w:name="_Toc8562"/>
      <w:bookmarkStart w:id="64" w:name="_Toc7339"/>
      <w:bookmarkStart w:id="65" w:name="_Toc492478722"/>
      <w:bookmarkStart w:id="66" w:name="_Toc16530"/>
      <w:bookmarkStart w:id="67" w:name="_Toc16608"/>
      <w:bookmarkStart w:id="68" w:name="_Toc18528"/>
      <w:bookmarkStart w:id="69" w:name="_Toc101965676"/>
      <w:bookmarkStart w:id="70" w:name="_Toc1073"/>
      <w:r>
        <w:rPr>
          <w:rFonts w:hint="eastAsia" w:ascii="宋体" w:hAnsi="宋体" w:eastAsia="宋体"/>
          <w:sz w:val="24"/>
          <w:szCs w:val="24"/>
        </w:rPr>
        <w:t>二、</w:t>
      </w:r>
      <w:r>
        <w:rPr>
          <w:rFonts w:ascii="宋体" w:hAnsi="宋体" w:eastAsia="宋体"/>
          <w:sz w:val="24"/>
          <w:szCs w:val="24"/>
        </w:rPr>
        <w:t>比选</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hint="eastAsia" w:ascii="宋体" w:hAnsi="宋体" w:eastAsia="宋体"/>
          <w:sz w:val="24"/>
          <w:szCs w:val="24"/>
        </w:rPr>
        <w:t>人资格要求</w:t>
      </w:r>
      <w:bookmarkEnd w:id="69"/>
      <w:bookmarkEnd w:id="70"/>
    </w:p>
    <w:p>
      <w:pPr>
        <w:spacing w:before="0" w:after="0" w:afterAutospacing="0"/>
        <w:ind w:left="0" w:right="0" w:firstLine="420" w:firstLineChars="200"/>
        <w:rPr>
          <w:rFonts w:ascii="宋体" w:hAnsi="宋体"/>
          <w:strike w:val="0"/>
          <w:dstrike w:val="0"/>
          <w:highlight w:val="none"/>
        </w:rPr>
      </w:pPr>
      <w:bookmarkStart w:id="71" w:name="_Toc95"/>
      <w:bookmarkStart w:id="72" w:name="_Toc28044"/>
      <w:bookmarkStart w:id="73" w:name="_Toc5805"/>
      <w:bookmarkStart w:id="74" w:name="_Toc17335"/>
      <w:bookmarkStart w:id="75" w:name="_Toc12983513"/>
      <w:bookmarkStart w:id="76" w:name="_Toc4718"/>
      <w:bookmarkStart w:id="77" w:name="_Toc2902"/>
      <w:bookmarkStart w:id="78" w:name="_Toc24557"/>
      <w:bookmarkStart w:id="79" w:name="_Toc17692"/>
      <w:bookmarkStart w:id="80" w:name="_Toc385427801"/>
      <w:bookmarkStart w:id="81" w:name="_Toc383891176"/>
      <w:bookmarkStart w:id="82" w:name="_Toc375039072"/>
      <w:bookmarkStart w:id="83" w:name="_Toc30363"/>
      <w:bookmarkStart w:id="84" w:name="_Toc27913"/>
      <w:bookmarkStart w:id="85" w:name="_Toc25361"/>
      <w:bookmarkStart w:id="86" w:name="_Toc10869"/>
      <w:bookmarkStart w:id="87" w:name="_Toc24759"/>
      <w:bookmarkStart w:id="88" w:name="_Toc14185"/>
      <w:bookmarkStart w:id="89" w:name="_Toc390098427"/>
      <w:bookmarkStart w:id="90" w:name="_Toc492478726"/>
      <w:bookmarkStart w:id="91" w:name="_Toc7604"/>
      <w:bookmarkStart w:id="92" w:name="_Toc16406"/>
      <w:bookmarkStart w:id="93" w:name="_Toc18679"/>
      <w:r>
        <w:rPr>
          <w:rFonts w:hint="eastAsia" w:ascii="宋体" w:hAnsi="宋体"/>
        </w:rPr>
        <w:t>2.1为中华人民共和国境内依法设立的法人或其他组织（若以分公司名义参与比选申请，必须出具总公司授权参与的证明）</w:t>
      </w:r>
      <w:r>
        <w:rPr>
          <w:rFonts w:hint="eastAsia" w:ascii="宋体" w:hAnsi="宋体"/>
          <w:strike w:val="0"/>
          <w:dstrike w:val="0"/>
          <w:highlight w:val="none"/>
          <w:lang w:eastAsia="zh-CN"/>
        </w:rPr>
        <w:t>，</w:t>
      </w:r>
      <w:r>
        <w:rPr>
          <w:rFonts w:hint="eastAsia" w:ascii="宋体" w:hAnsi="宋体"/>
          <w:strike w:val="0"/>
          <w:dstrike w:val="0"/>
          <w:highlight w:val="none"/>
        </w:rPr>
        <w:t>经营范围至少包括下列范围之一：①</w:t>
      </w:r>
      <w:r>
        <w:rPr>
          <w:rFonts w:hint="eastAsia" w:ascii="宋体" w:hAnsi="宋体"/>
          <w:strike w:val="0"/>
          <w:dstrike w:val="0"/>
          <w:highlight w:val="none"/>
          <w:lang w:val="en-US" w:eastAsia="zh-CN"/>
        </w:rPr>
        <w:t>新能源汽车充电桩或电力设备销售</w:t>
      </w:r>
      <w:r>
        <w:rPr>
          <w:rFonts w:hint="eastAsia" w:ascii="宋体" w:hAnsi="宋体"/>
          <w:strike w:val="0"/>
          <w:dstrike w:val="0"/>
          <w:highlight w:val="none"/>
        </w:rPr>
        <w:t>等类似经营范围。</w:t>
      </w:r>
    </w:p>
    <w:p>
      <w:pPr>
        <w:spacing w:before="0" w:after="0" w:afterAutospacing="0"/>
        <w:ind w:left="0" w:right="0" w:firstLine="420" w:firstLineChars="200"/>
        <w:rPr>
          <w:rFonts w:hint="eastAsia" w:ascii="宋体" w:hAnsi="宋体" w:eastAsia="宋体"/>
          <w:lang w:eastAsia="zh-CN"/>
        </w:rPr>
      </w:pPr>
      <w:r>
        <w:rPr>
          <w:rFonts w:hint="eastAsia" w:ascii="宋体" w:hAnsi="宋体"/>
        </w:rPr>
        <w:t>2.2资质条</w:t>
      </w:r>
      <w:r>
        <w:rPr>
          <w:rFonts w:hint="eastAsia" w:ascii="宋体" w:hAnsi="宋体"/>
          <w:highlight w:val="none"/>
        </w:rPr>
        <w:t>件：</w:t>
      </w:r>
      <w:r>
        <w:rPr>
          <w:rFonts w:hint="eastAsia" w:ascii="宋体" w:hAnsi="宋体"/>
          <w:highlight w:val="none"/>
          <w:lang w:eastAsia="zh-CN"/>
        </w:rPr>
        <w:t>无要求。</w:t>
      </w:r>
    </w:p>
    <w:p>
      <w:pPr>
        <w:spacing w:before="0" w:after="0" w:afterAutospacing="0"/>
        <w:ind w:left="0" w:right="0" w:firstLine="420" w:firstLineChars="200"/>
        <w:rPr>
          <w:rFonts w:hint="eastAsia" w:ascii="宋体" w:hAnsi="宋体"/>
          <w:b w:val="0"/>
          <w:bCs w:val="0"/>
        </w:rPr>
      </w:pPr>
      <w:r>
        <w:rPr>
          <w:rFonts w:hint="eastAsia" w:ascii="宋体" w:hAnsi="宋体"/>
        </w:rPr>
        <w:t>2.3业绩条件：</w:t>
      </w:r>
      <w:r>
        <w:rPr>
          <w:rFonts w:hint="eastAsia" w:ascii="宋体" w:hAnsi="宋体"/>
          <w:color w:val="auto"/>
          <w:highlight w:val="none"/>
        </w:rPr>
        <w:t>自201</w:t>
      </w:r>
      <w:r>
        <w:rPr>
          <w:rFonts w:hint="eastAsia" w:ascii="宋体" w:hAnsi="宋体"/>
          <w:color w:val="auto"/>
          <w:highlight w:val="none"/>
          <w:lang w:val="en-US" w:eastAsia="zh-CN"/>
        </w:rPr>
        <w:t>9</w:t>
      </w:r>
      <w:r>
        <w:rPr>
          <w:rFonts w:hint="eastAsia" w:ascii="宋体" w:hAnsi="宋体"/>
          <w:color w:val="auto"/>
          <w:highlight w:val="none"/>
        </w:rPr>
        <w:t>年1月1日至截标时间前至少具有1项类似业绩，</w:t>
      </w:r>
      <w:r>
        <w:rPr>
          <w:rFonts w:hint="eastAsia" w:ascii="宋体" w:hAnsi="宋体"/>
          <w:color w:val="auto"/>
          <w:highlight w:val="none"/>
          <w:lang w:eastAsia="zh-CN"/>
        </w:rPr>
        <w:t>比选申请人</w:t>
      </w:r>
      <w:r>
        <w:rPr>
          <w:rFonts w:hint="eastAsia" w:ascii="宋体" w:hAnsi="宋体"/>
          <w:color w:val="auto"/>
          <w:highlight w:val="none"/>
        </w:rPr>
        <w:t>业绩须是其自身的，不能是其母公司或子公司的，不接受联合体、分包业绩。</w:t>
      </w:r>
      <w:r>
        <w:rPr>
          <w:rFonts w:hint="eastAsia" w:ascii="宋体" w:hAnsi="宋体"/>
          <w:b w:val="0"/>
          <w:bCs w:val="0"/>
          <w:color w:val="auto"/>
          <w:highlight w:val="none"/>
        </w:rPr>
        <w:t>类似业绩是指单项合同不少于</w:t>
      </w:r>
      <w:r>
        <w:rPr>
          <w:rFonts w:hint="eastAsia" w:ascii="宋体" w:hAnsi="宋体"/>
          <w:b w:val="0"/>
          <w:bCs w:val="0"/>
          <w:color w:val="auto"/>
          <w:highlight w:val="none"/>
          <w:lang w:val="en-US" w:eastAsia="zh-CN"/>
        </w:rPr>
        <w:t>20</w:t>
      </w:r>
      <w:r>
        <w:rPr>
          <w:rFonts w:hint="eastAsia" w:ascii="宋体" w:hAnsi="宋体"/>
          <w:b w:val="0"/>
          <w:bCs w:val="0"/>
          <w:color w:val="auto"/>
          <w:highlight w:val="none"/>
        </w:rPr>
        <w:t>万元的</w:t>
      </w:r>
      <w:r>
        <w:rPr>
          <w:rFonts w:hint="eastAsia" w:ascii="宋体" w:hAnsi="宋体"/>
          <w:b w:val="0"/>
          <w:bCs w:val="0"/>
          <w:color w:val="auto"/>
          <w:highlight w:val="none"/>
          <w:lang w:val="en-US" w:eastAsia="zh-CN"/>
        </w:rPr>
        <w:t>充电桩采购及安装类</w:t>
      </w:r>
      <w:r>
        <w:rPr>
          <w:rFonts w:hint="eastAsia" w:ascii="宋体" w:hAnsi="宋体"/>
          <w:b w:val="0"/>
          <w:bCs w:val="0"/>
          <w:color w:val="auto"/>
          <w:highlight w:val="none"/>
        </w:rPr>
        <w:t>项目</w:t>
      </w:r>
      <w:r>
        <w:rPr>
          <w:rFonts w:hint="eastAsia" w:ascii="宋体" w:hAnsi="宋体"/>
          <w:b w:val="0"/>
          <w:bCs w:val="0"/>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hint="eastAsia" w:ascii="宋体" w:hAnsi="宋体"/>
        </w:rPr>
        <w:t>2.4比选申请人没有处于被行政主管部门或业主取消比选申请资格的处罚期内，且没有处于被责令停业，财产被接管、破产状态；比选申请截止时间前3年内没有骗取中选、严重违约或重大质量安全责任事故的情况。</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hint="eastAsia" w:ascii="宋体" w:hAnsi="宋体"/>
        </w:rPr>
        <w:t>2.5单位负责人为同一人或者存在控股、管理关系的不同单位，不得参加同一标段比选申请或者未划分标段的同一比选项目比选申请。</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hint="eastAsia" w:ascii="宋体" w:hAnsi="宋体"/>
        </w:rPr>
        <w:t>2.6本项目不接受联合体比选申请。</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2.7未列入比选人不良信用名单的。</w:t>
      </w:r>
    </w:p>
    <w:p>
      <w:pPr>
        <w:pStyle w:val="4"/>
        <w:spacing w:after="0" w:afterAutospacing="0" w:line="360" w:lineRule="auto"/>
        <w:ind w:left="0" w:right="0" w:firstLine="482" w:firstLineChars="200"/>
        <w:rPr>
          <w:rFonts w:ascii="宋体" w:hAnsi="宋体" w:eastAsia="宋体"/>
          <w:sz w:val="24"/>
          <w:szCs w:val="24"/>
        </w:rPr>
      </w:pPr>
      <w:bookmarkStart w:id="94" w:name="_Toc15461"/>
      <w:bookmarkStart w:id="95" w:name="_Toc101965677"/>
      <w:r>
        <w:rPr>
          <w:rFonts w:hint="eastAsia" w:ascii="宋体" w:hAnsi="宋体" w:eastAsia="宋体"/>
          <w:sz w:val="24"/>
          <w:szCs w:val="24"/>
        </w:rPr>
        <w:t>三、</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hint="eastAsia" w:ascii="宋体" w:hAnsi="宋体" w:eastAsia="宋体"/>
          <w:sz w:val="24"/>
          <w:szCs w:val="24"/>
        </w:rPr>
        <w:t>比选申请文件内容</w:t>
      </w:r>
      <w:bookmarkEnd w:id="94"/>
      <w:bookmarkEnd w:id="95"/>
    </w:p>
    <w:p>
      <w:pPr>
        <w:spacing w:before="0" w:after="0" w:afterAutospacing="0"/>
        <w:ind w:left="0" w:right="0" w:firstLine="420" w:firstLineChars="200"/>
        <w:rPr>
          <w:rFonts w:ascii="宋体" w:hAnsi="宋体"/>
        </w:rPr>
      </w:pPr>
      <w:r>
        <w:rPr>
          <w:rFonts w:hint="eastAsia" w:ascii="宋体" w:hAnsi="宋体"/>
        </w:rPr>
        <w:t>（1）比选申请函</w:t>
      </w:r>
    </w:p>
    <w:p>
      <w:pPr>
        <w:spacing w:before="0" w:after="0" w:afterAutospacing="0"/>
        <w:ind w:left="0" w:right="0" w:firstLine="420" w:firstLineChars="200"/>
        <w:rPr>
          <w:rFonts w:ascii="宋体" w:hAnsi="宋体"/>
        </w:rPr>
      </w:pPr>
      <w:r>
        <w:rPr>
          <w:rFonts w:hint="eastAsia" w:ascii="宋体" w:hAnsi="宋体"/>
        </w:rPr>
        <w:t>（2）比选承诺函</w:t>
      </w:r>
    </w:p>
    <w:p>
      <w:pPr>
        <w:spacing w:before="0" w:after="0" w:afterAutospacing="0"/>
        <w:ind w:left="0" w:right="0" w:firstLine="420" w:firstLineChars="200"/>
        <w:rPr>
          <w:rFonts w:ascii="宋体" w:hAnsi="宋体"/>
        </w:rPr>
      </w:pPr>
      <w:r>
        <w:rPr>
          <w:rFonts w:hint="eastAsia" w:ascii="宋体" w:hAnsi="宋体"/>
        </w:rPr>
        <w:t>（3）比选申请报价表</w:t>
      </w:r>
    </w:p>
    <w:p>
      <w:pPr>
        <w:spacing w:before="0" w:after="0" w:afterAutospacing="0"/>
        <w:ind w:left="0" w:right="0" w:firstLine="420" w:firstLineChars="200"/>
        <w:rPr>
          <w:rFonts w:ascii="宋体" w:hAnsi="宋体"/>
        </w:rPr>
      </w:pPr>
      <w:r>
        <w:rPr>
          <w:rFonts w:hint="eastAsia" w:ascii="宋体" w:hAnsi="宋体"/>
        </w:rPr>
        <w:t>（4）法定代表人身份证明及授权书</w:t>
      </w:r>
    </w:p>
    <w:p>
      <w:pPr>
        <w:spacing w:before="0" w:after="0" w:afterAutospacing="0"/>
        <w:ind w:left="0" w:right="0" w:firstLine="420" w:firstLineChars="200"/>
        <w:rPr>
          <w:rFonts w:ascii="宋体" w:hAnsi="宋体"/>
        </w:rPr>
      </w:pPr>
      <w:r>
        <w:rPr>
          <w:rFonts w:hint="eastAsia" w:ascii="宋体" w:hAnsi="宋体"/>
        </w:rPr>
        <w:t>（5）企业证照</w:t>
      </w:r>
    </w:p>
    <w:p>
      <w:pPr>
        <w:spacing w:before="0" w:after="0" w:afterAutospacing="0"/>
        <w:ind w:left="0" w:right="0" w:firstLine="420" w:firstLineChars="200"/>
        <w:rPr>
          <w:rFonts w:ascii="宋体" w:hAnsi="宋体"/>
        </w:rPr>
      </w:pPr>
      <w:r>
        <w:rPr>
          <w:rFonts w:hint="eastAsia" w:ascii="宋体" w:hAnsi="宋体"/>
        </w:rPr>
        <w:t>（6）类似项目业绩表</w:t>
      </w:r>
    </w:p>
    <w:p>
      <w:pPr>
        <w:spacing w:before="0" w:after="0" w:afterAutospacing="0"/>
        <w:ind w:left="0" w:right="0" w:firstLine="420" w:firstLineChars="200"/>
        <w:rPr>
          <w:rFonts w:hint="eastAsia" w:ascii="宋体" w:hAnsi="宋体"/>
        </w:rPr>
      </w:pPr>
      <w:r>
        <w:rPr>
          <w:rFonts w:hint="eastAsia" w:ascii="宋体" w:hAnsi="宋体"/>
        </w:rPr>
        <w:t>（7）比选响应表</w:t>
      </w:r>
    </w:p>
    <w:p>
      <w:pPr>
        <w:spacing w:before="0" w:after="0" w:afterAutospacing="0"/>
        <w:ind w:left="0" w:right="0" w:firstLine="420" w:firstLineChars="200"/>
        <w:rPr>
          <w:rFonts w:ascii="宋体" w:hAnsi="宋体"/>
        </w:rPr>
      </w:pPr>
      <w:r>
        <w:rPr>
          <w:rFonts w:hint="eastAsia" w:ascii="宋体" w:hAnsi="宋体"/>
        </w:rPr>
        <w:t>（</w:t>
      </w:r>
      <w:r>
        <w:rPr>
          <w:rFonts w:hint="eastAsia" w:ascii="宋体" w:hAnsi="宋体"/>
          <w:lang w:val="en-US" w:eastAsia="zh-CN"/>
        </w:rPr>
        <w:t>8</w:t>
      </w:r>
      <w:r>
        <w:rPr>
          <w:rFonts w:hint="eastAsia" w:ascii="宋体" w:hAnsi="宋体"/>
        </w:rPr>
        <w:t>）其他（</w:t>
      </w:r>
      <w:r>
        <w:rPr>
          <w:rFonts w:hint="eastAsia" w:ascii="宋体" w:hAnsi="宋体"/>
          <w:lang w:eastAsia="zh-CN"/>
        </w:rPr>
        <w:t>如比选文件需要提供的其他材料</w:t>
      </w:r>
      <w:r>
        <w:rPr>
          <w:rFonts w:hint="eastAsia" w:ascii="宋体" w:hAnsi="宋体"/>
        </w:rPr>
        <w:t>等）</w:t>
      </w:r>
    </w:p>
    <w:p>
      <w:pPr>
        <w:pStyle w:val="4"/>
        <w:spacing w:after="0" w:afterAutospacing="0" w:line="360" w:lineRule="auto"/>
        <w:ind w:left="0" w:right="0" w:firstLine="482" w:firstLineChars="200"/>
        <w:rPr>
          <w:rFonts w:ascii="宋体" w:hAnsi="宋体" w:eastAsia="宋体"/>
          <w:sz w:val="24"/>
          <w:szCs w:val="24"/>
        </w:rPr>
      </w:pPr>
      <w:bookmarkStart w:id="96" w:name="_Toc101965678"/>
      <w:bookmarkStart w:id="97" w:name="_Toc32293"/>
      <w:r>
        <w:rPr>
          <w:rFonts w:hint="eastAsia" w:ascii="宋体" w:hAnsi="宋体" w:eastAsia="宋体"/>
          <w:sz w:val="24"/>
          <w:szCs w:val="24"/>
        </w:rPr>
        <w:t>四、比选申请文件装订</w:t>
      </w:r>
      <w:r>
        <w:rPr>
          <w:rFonts w:hint="eastAsia" w:ascii="宋体" w:hAnsi="宋体" w:eastAsia="宋体"/>
          <w:sz w:val="24"/>
          <w:szCs w:val="24"/>
          <w:lang w:eastAsia="zh-CN"/>
        </w:rPr>
        <w:t>、</w:t>
      </w:r>
      <w:r>
        <w:rPr>
          <w:rFonts w:hint="eastAsia" w:ascii="宋体" w:hAnsi="宋体" w:eastAsia="宋体"/>
          <w:sz w:val="24"/>
          <w:szCs w:val="24"/>
        </w:rPr>
        <w:t>签字</w:t>
      </w:r>
      <w:r>
        <w:rPr>
          <w:rFonts w:hint="eastAsia" w:ascii="宋体" w:hAnsi="宋体" w:eastAsia="宋体"/>
          <w:sz w:val="24"/>
          <w:szCs w:val="24"/>
          <w:lang w:eastAsia="zh-CN"/>
        </w:rPr>
        <w:t>及包装</w:t>
      </w:r>
      <w:r>
        <w:rPr>
          <w:rFonts w:hint="eastAsia" w:ascii="宋体" w:hAnsi="宋体" w:eastAsia="宋体"/>
          <w:sz w:val="24"/>
          <w:szCs w:val="24"/>
        </w:rPr>
        <w:t>要求</w:t>
      </w:r>
      <w:bookmarkEnd w:id="96"/>
      <w:bookmarkEnd w:id="97"/>
    </w:p>
    <w:p>
      <w:pPr>
        <w:spacing w:before="0" w:after="0" w:afterAutospacing="0"/>
        <w:ind w:left="0" w:right="0" w:firstLine="420" w:firstLineChars="200"/>
        <w:rPr>
          <w:rFonts w:ascii="宋体" w:hAnsi="宋体"/>
        </w:rPr>
      </w:pPr>
      <w:bookmarkStart w:id="98" w:name="_Toc23794"/>
      <w:bookmarkStart w:id="99" w:name="_Toc2819"/>
      <w:bookmarkStart w:id="100" w:name="_Toc12983514"/>
      <w:bookmarkStart w:id="101" w:name="_Toc492478727"/>
      <w:bookmarkStart w:id="102" w:name="_Toc390098428"/>
      <w:bookmarkStart w:id="103" w:name="_Toc383891177"/>
      <w:bookmarkStart w:id="104" w:name="_Toc16186"/>
      <w:bookmarkStart w:id="105" w:name="_Toc25750600"/>
      <w:bookmarkStart w:id="106" w:name="_Toc385427802"/>
      <w:bookmarkStart w:id="107" w:name="_Toc9592"/>
      <w:bookmarkStart w:id="108" w:name="_Toc1733"/>
      <w:bookmarkStart w:id="109" w:name="_Toc26680"/>
      <w:bookmarkStart w:id="110" w:name="_Toc13418"/>
      <w:bookmarkStart w:id="111" w:name="_Toc29862"/>
      <w:bookmarkStart w:id="112" w:name="_Toc18350"/>
      <w:bookmarkStart w:id="113" w:name="_Toc4384"/>
      <w:bookmarkStart w:id="114" w:name="_Toc12074"/>
      <w:bookmarkStart w:id="115" w:name="_Toc20025"/>
      <w:bookmarkStart w:id="116" w:name="_Toc26150"/>
      <w:bookmarkStart w:id="117" w:name="_Toc11259"/>
      <w:bookmarkStart w:id="118" w:name="_Toc16435"/>
      <w:bookmarkStart w:id="119" w:name="_Toc375039073"/>
      <w:bookmarkStart w:id="120" w:name="_Toc21673"/>
      <w:bookmarkStart w:id="121" w:name="_Toc12456"/>
      <w:r>
        <w:rPr>
          <w:rFonts w:hint="eastAsia" w:ascii="宋体" w:hAnsi="宋体"/>
        </w:rPr>
        <w:t>4.1比选申请文件应提交纸质版5份（正本1份，副本4份）、U盘电子版1份（</w:t>
      </w:r>
      <w:r>
        <w:rPr>
          <w:rFonts w:hint="eastAsia" w:ascii="宋体" w:hAnsi="宋体"/>
          <w:highlight w:val="none"/>
        </w:rPr>
        <w:t>内含比选申请文件正本全本扫描件及</w:t>
      </w:r>
      <w:r>
        <w:rPr>
          <w:rFonts w:ascii="宋体" w:hAnsi="宋体"/>
          <w:highlight w:val="none"/>
        </w:rPr>
        <w:t>office</w:t>
      </w:r>
      <w:r>
        <w:rPr>
          <w:rFonts w:hint="eastAsia" w:ascii="宋体" w:hAnsi="宋体"/>
          <w:highlight w:val="none"/>
        </w:rPr>
        <w:t>或WPS版本）。</w:t>
      </w:r>
      <w:r>
        <w:rPr>
          <w:rFonts w:hint="eastAsia" w:ascii="宋体" w:hAnsi="宋体"/>
        </w:rPr>
        <w:t>副本可使用正本复印件。</w:t>
      </w:r>
      <w:r>
        <w:rPr>
          <w:rFonts w:ascii="宋体" w:hAnsi="宋体"/>
        </w:rPr>
        <w:t>若正本和副本</w:t>
      </w:r>
      <w:r>
        <w:rPr>
          <w:rFonts w:hint="eastAsia" w:ascii="宋体" w:hAnsi="宋体"/>
        </w:rPr>
        <w:t>不一致时</w:t>
      </w:r>
      <w:r>
        <w:rPr>
          <w:rFonts w:ascii="宋体" w:hAnsi="宋体"/>
        </w:rPr>
        <w:t>，以正本为准</w:t>
      </w:r>
      <w:r>
        <w:rPr>
          <w:rFonts w:hint="eastAsia" w:ascii="宋体" w:hAnsi="宋体"/>
        </w:rPr>
        <w:t>；</w:t>
      </w:r>
      <w:r>
        <w:rPr>
          <w:rFonts w:ascii="宋体" w:hAnsi="宋体"/>
        </w:rPr>
        <w:t>电子版与纸</w:t>
      </w:r>
      <w:r>
        <w:rPr>
          <w:rFonts w:hint="eastAsia" w:ascii="宋体" w:hAnsi="宋体"/>
        </w:rPr>
        <w:t>质</w:t>
      </w:r>
      <w:r>
        <w:rPr>
          <w:rFonts w:ascii="宋体" w:hAnsi="宋体"/>
        </w:rPr>
        <w:t>文件</w:t>
      </w:r>
      <w:r>
        <w:rPr>
          <w:rFonts w:hint="eastAsia" w:ascii="宋体" w:hAnsi="宋体"/>
        </w:rPr>
        <w:t>不一致时，</w:t>
      </w:r>
      <w:r>
        <w:rPr>
          <w:rFonts w:ascii="宋体" w:hAnsi="宋体"/>
        </w:rPr>
        <w:t>以纸</w:t>
      </w:r>
      <w:r>
        <w:rPr>
          <w:rFonts w:hint="eastAsia" w:ascii="宋体" w:hAnsi="宋体"/>
        </w:rPr>
        <w:t>质</w:t>
      </w:r>
      <w:r>
        <w:rPr>
          <w:rFonts w:ascii="宋体" w:hAnsi="宋体"/>
        </w:rPr>
        <w:t>文件为准</w:t>
      </w:r>
      <w:r>
        <w:rPr>
          <w:rFonts w:hint="eastAsia" w:ascii="宋体" w:hAnsi="宋体"/>
        </w:rPr>
        <w:t>。但由此不一致造成的评标差错由比选申请人自形承担。</w:t>
      </w:r>
    </w:p>
    <w:p>
      <w:pPr>
        <w:spacing w:before="0" w:after="0" w:afterAutospacing="0"/>
        <w:ind w:left="0" w:right="0" w:firstLine="420" w:firstLineChars="200"/>
        <w:rPr>
          <w:rFonts w:ascii="宋体" w:hAnsi="宋体"/>
        </w:rPr>
      </w:pPr>
      <w:r>
        <w:rPr>
          <w:rFonts w:hint="eastAsia" w:ascii="宋体" w:hAnsi="宋体"/>
        </w:rPr>
        <w:t>4.2</w:t>
      </w:r>
      <w:r>
        <w:rPr>
          <w:rFonts w:ascii="宋体" w:hAnsi="宋体"/>
        </w:rPr>
        <w:t xml:space="preserve"> </w:t>
      </w:r>
      <w:r>
        <w:rPr>
          <w:rFonts w:hint="eastAsia" w:ascii="宋体" w:hAnsi="宋体"/>
          <w:b/>
        </w:rPr>
        <w:t>比选申请</w:t>
      </w:r>
      <w:r>
        <w:rPr>
          <w:rFonts w:ascii="宋体" w:hAnsi="宋体"/>
          <w:b/>
        </w:rPr>
        <w:t>文件的正本需打印，并由比选申请人法定代表人或其授权委托人</w:t>
      </w:r>
      <w:r>
        <w:rPr>
          <w:rFonts w:hint="eastAsia" w:ascii="宋体" w:hAnsi="宋体"/>
          <w:b/>
        </w:rPr>
        <w:t>在比选文件规定的相关位置</w:t>
      </w:r>
      <w:r>
        <w:rPr>
          <w:rFonts w:ascii="宋体" w:hAnsi="宋体"/>
          <w:b/>
        </w:rPr>
        <w:t>签字并加盖公章。</w:t>
      </w:r>
      <w:r>
        <w:rPr>
          <w:rFonts w:ascii="宋体" w:hAnsi="宋体"/>
        </w:rPr>
        <w:t xml:space="preserve"> “</w:t>
      </w:r>
      <w:r>
        <w:rPr>
          <w:rFonts w:hint="eastAsia" w:ascii="宋体" w:hAnsi="宋体"/>
        </w:rPr>
        <w:t>公章</w:t>
      </w:r>
      <w:r>
        <w:rPr>
          <w:rFonts w:ascii="宋体" w:hAnsi="宋体"/>
        </w:rPr>
        <w:t>”</w:t>
      </w:r>
      <w:r>
        <w:rPr>
          <w:rFonts w:hint="eastAsia" w:ascii="宋体" w:hAnsi="宋体"/>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p>
      <w:pPr>
        <w:spacing w:before="0" w:after="0" w:afterAutospacing="0"/>
        <w:ind w:left="0" w:right="0" w:firstLine="420" w:firstLineChars="200"/>
        <w:rPr>
          <w:rFonts w:ascii="宋体" w:hAnsi="宋体"/>
        </w:rPr>
      </w:pPr>
      <w:r>
        <w:rPr>
          <w:rFonts w:hint="eastAsia" w:ascii="宋体" w:hAnsi="宋体"/>
        </w:rPr>
        <w:t>4.3</w:t>
      </w:r>
      <w:r>
        <w:rPr>
          <w:rFonts w:ascii="宋体" w:hAnsi="宋体"/>
        </w:rPr>
        <w:t xml:space="preserve"> </w:t>
      </w:r>
      <w:r>
        <w:rPr>
          <w:rFonts w:hint="eastAsia" w:ascii="宋体" w:hAnsi="宋体"/>
        </w:rPr>
        <w:t>比选申请文件</w:t>
      </w:r>
      <w:r>
        <w:rPr>
          <w:rFonts w:ascii="宋体" w:hAnsi="宋体"/>
        </w:rPr>
        <w:t>统一为A4</w:t>
      </w:r>
      <w:r>
        <w:rPr>
          <w:rFonts w:hint="eastAsia" w:ascii="宋体" w:hAnsi="宋体"/>
        </w:rPr>
        <w:t>版大小（图、表及证件等可折叠成A4大小）</w:t>
      </w:r>
      <w:r>
        <w:rPr>
          <w:rFonts w:ascii="宋体" w:hAnsi="宋体"/>
        </w:rPr>
        <w:t>，纸质封面，装订</w:t>
      </w:r>
      <w:r>
        <w:rPr>
          <w:rFonts w:hint="eastAsia" w:ascii="宋体" w:hAnsi="宋体"/>
        </w:rPr>
        <w:t>成册，不得有零散页</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4.4响应文件需密封包装，且封面注明：</w:t>
      </w:r>
    </w:p>
    <w:p>
      <w:pPr>
        <w:tabs>
          <w:tab w:val="left" w:pos="1155"/>
        </w:tabs>
        <w:spacing w:before="0" w:after="0" w:afterAutospacing="0"/>
        <w:ind w:left="0" w:right="0" w:firstLine="525" w:firstLineChars="250"/>
        <w:rPr>
          <w:rFonts w:ascii="宋体" w:hAnsi="宋体"/>
        </w:rPr>
      </w:pPr>
      <w:r>
        <w:rPr>
          <w:rFonts w:ascii="宋体" w:hAnsi="宋体"/>
        </w:rPr>
        <w:t>项目名称：</w:t>
      </w:r>
      <w:r>
        <w:rPr>
          <w:rFonts w:hint="eastAsia" w:ascii="宋体" w:hAnsi="宋体"/>
          <w:color w:val="auto"/>
          <w:u w:val="single"/>
          <w:lang w:eastAsia="zh-CN"/>
        </w:rPr>
        <w:t>南宁轨道交通运营有限公司2022年新能源汽车充电桩二期建设项目</w:t>
      </w:r>
    </w:p>
    <w:p>
      <w:pPr>
        <w:tabs>
          <w:tab w:val="left" w:pos="420"/>
          <w:tab w:val="left" w:pos="720"/>
          <w:tab w:val="left" w:pos="1134"/>
        </w:tabs>
        <w:spacing w:before="0" w:after="0" w:afterAutospacing="0"/>
        <w:ind w:left="0" w:right="0" w:firstLine="525" w:firstLineChars="250"/>
        <w:rPr>
          <w:rFonts w:hint="eastAsia" w:ascii="宋体" w:hAnsi="宋体" w:eastAsia="宋体"/>
          <w:color w:val="FF0000"/>
          <w:u w:val="single"/>
          <w:lang w:eastAsia="zh-CN"/>
        </w:rPr>
      </w:pPr>
      <w:r>
        <w:rPr>
          <w:rFonts w:ascii="宋体" w:hAnsi="宋体"/>
        </w:rPr>
        <w:t>项目编号：</w:t>
      </w:r>
      <w:r>
        <w:rPr>
          <w:rFonts w:hint="eastAsia" w:ascii="宋体" w:hAnsi="宋体"/>
          <w:color w:val="auto"/>
          <w:highlight w:val="none"/>
          <w:u w:val="single"/>
          <w:lang w:eastAsia="zh-CN"/>
        </w:rPr>
        <w:t>202209050007</w:t>
      </w:r>
    </w:p>
    <w:p>
      <w:pPr>
        <w:tabs>
          <w:tab w:val="left" w:pos="420"/>
          <w:tab w:val="left" w:pos="720"/>
          <w:tab w:val="left" w:pos="1134"/>
        </w:tabs>
        <w:spacing w:before="0" w:after="0" w:afterAutospacing="0"/>
        <w:ind w:left="0" w:right="0" w:firstLine="525" w:firstLineChars="250"/>
        <w:rPr>
          <w:rFonts w:ascii="宋体" w:hAnsi="宋体"/>
          <w:color w:val="FF0000"/>
          <w:u w:val="single"/>
        </w:rPr>
      </w:pPr>
      <w:r>
        <w:rPr>
          <w:rFonts w:hint="eastAsia" w:ascii="宋体" w:hAnsi="宋体"/>
        </w:rPr>
        <w:t>比选申请人名称：</w:t>
      </w:r>
      <w:r>
        <w:rPr>
          <w:rFonts w:hint="eastAsia" w:ascii="宋体" w:hAnsi="宋体"/>
          <w:color w:val="FF0000"/>
          <w:u w:val="single"/>
        </w:rPr>
        <w:t xml:space="preserve">  </w:t>
      </w:r>
      <w:r>
        <w:rPr>
          <w:rFonts w:ascii="宋体" w:hAnsi="宋体"/>
          <w:color w:val="FF0000"/>
          <w:u w:val="single"/>
        </w:rPr>
        <w:t>（</w:t>
      </w:r>
      <w:r>
        <w:rPr>
          <w:rFonts w:hint="eastAsia" w:ascii="宋体" w:hAnsi="宋体"/>
          <w:color w:val="FF0000"/>
          <w:u w:val="single"/>
        </w:rPr>
        <w:t>填写</w:t>
      </w:r>
      <w:r>
        <w:rPr>
          <w:rFonts w:ascii="宋体" w:hAnsi="宋体"/>
          <w:color w:val="FF0000"/>
          <w:u w:val="single"/>
        </w:rPr>
        <w:t>）</w:t>
      </w:r>
      <w:r>
        <w:rPr>
          <w:rFonts w:hint="eastAsia" w:ascii="宋体" w:hAnsi="宋体"/>
          <w:color w:val="FF0000"/>
          <w:u w:val="single"/>
        </w:rPr>
        <w:t xml:space="preserve">  </w:t>
      </w:r>
    </w:p>
    <w:p>
      <w:pPr>
        <w:tabs>
          <w:tab w:val="left" w:pos="420"/>
          <w:tab w:val="left" w:pos="720"/>
          <w:tab w:val="left" w:pos="1134"/>
        </w:tabs>
        <w:spacing w:before="0" w:after="0" w:afterAutospacing="0"/>
        <w:ind w:left="0" w:right="0" w:firstLine="525" w:firstLineChars="250"/>
        <w:rPr>
          <w:rFonts w:hint="eastAsia" w:ascii="宋体" w:hAnsi="宋体"/>
          <w:color w:val="FF0000"/>
          <w:u w:val="single"/>
        </w:rPr>
      </w:pPr>
      <w:r>
        <w:rPr>
          <w:rFonts w:hint="eastAsia" w:ascii="宋体" w:hAnsi="宋体"/>
        </w:rPr>
        <w:t>比选申请人电话：</w:t>
      </w:r>
      <w:r>
        <w:rPr>
          <w:rFonts w:hint="eastAsia" w:ascii="宋体" w:hAnsi="宋体"/>
          <w:color w:val="FF0000"/>
          <w:u w:val="single"/>
        </w:rPr>
        <w:t xml:space="preserve">  </w:t>
      </w:r>
      <w:r>
        <w:rPr>
          <w:rFonts w:ascii="宋体" w:hAnsi="宋体"/>
          <w:color w:val="FF0000"/>
          <w:u w:val="single"/>
        </w:rPr>
        <w:t>（</w:t>
      </w:r>
      <w:r>
        <w:rPr>
          <w:rFonts w:hint="eastAsia" w:ascii="宋体" w:hAnsi="宋体"/>
          <w:color w:val="FF0000"/>
          <w:u w:val="single"/>
        </w:rPr>
        <w:t>填写</w:t>
      </w:r>
      <w:r>
        <w:rPr>
          <w:rFonts w:ascii="宋体" w:hAnsi="宋体"/>
          <w:color w:val="FF0000"/>
          <w:u w:val="single"/>
        </w:rPr>
        <w:t>）</w:t>
      </w:r>
      <w:r>
        <w:rPr>
          <w:rFonts w:hint="eastAsia" w:ascii="宋体" w:hAnsi="宋体"/>
          <w:color w:val="FF0000"/>
          <w:u w:val="single"/>
        </w:rPr>
        <w:t xml:space="preserve">  </w:t>
      </w:r>
    </w:p>
    <w:p>
      <w:pPr>
        <w:pStyle w:val="4"/>
        <w:spacing w:after="0" w:afterAutospacing="0" w:line="360" w:lineRule="auto"/>
        <w:ind w:left="0" w:right="0" w:firstLine="482" w:firstLineChars="200"/>
        <w:rPr>
          <w:rFonts w:ascii="宋体" w:hAnsi="宋体" w:eastAsia="宋体"/>
          <w:sz w:val="24"/>
          <w:szCs w:val="24"/>
        </w:rPr>
      </w:pPr>
      <w:bookmarkStart w:id="122" w:name="_Toc101965679"/>
      <w:bookmarkStart w:id="123" w:name="_Toc26432"/>
      <w:r>
        <w:rPr>
          <w:rFonts w:hint="eastAsia" w:ascii="宋体" w:hAnsi="宋体" w:eastAsia="宋体"/>
          <w:sz w:val="24"/>
          <w:szCs w:val="24"/>
        </w:rPr>
        <w:t>五、比选申请文件</w:t>
      </w:r>
      <w:r>
        <w:rPr>
          <w:rFonts w:hint="eastAsia" w:ascii="宋体" w:hAnsi="宋体" w:eastAsia="宋体"/>
          <w:b/>
          <w:sz w:val="24"/>
          <w:szCs w:val="24"/>
          <w:lang w:eastAsia="zh-CN"/>
        </w:rPr>
        <w:t>递交及截止</w:t>
      </w:r>
      <w:r>
        <w:rPr>
          <w:rFonts w:hint="eastAsia" w:ascii="宋体" w:hAnsi="宋体" w:eastAsia="宋体"/>
          <w:b/>
          <w:sz w:val="24"/>
          <w:szCs w:val="24"/>
        </w:rPr>
        <w:t>时间和地点</w:t>
      </w:r>
      <w:bookmarkEnd w:id="122"/>
      <w:bookmarkEnd w:id="123"/>
    </w:p>
    <w:p>
      <w:pPr>
        <w:spacing w:before="0" w:after="0" w:afterAutospacing="0"/>
        <w:ind w:left="0" w:right="0" w:firstLine="420" w:firstLineChars="200"/>
        <w:rPr>
          <w:rFonts w:ascii="宋体" w:hAnsi="宋体"/>
        </w:rPr>
      </w:pPr>
      <w:r>
        <w:rPr>
          <w:rFonts w:hint="eastAsia" w:ascii="宋体" w:hAnsi="宋体"/>
          <w:lang w:eastAsia="zh-CN"/>
        </w:rPr>
        <w:t>详见比选公告。</w:t>
      </w:r>
    </w:p>
    <w:p>
      <w:pPr>
        <w:pStyle w:val="4"/>
        <w:spacing w:after="0" w:afterAutospacing="0" w:line="360" w:lineRule="auto"/>
        <w:ind w:left="0" w:right="0" w:firstLine="482" w:firstLineChars="200"/>
        <w:rPr>
          <w:rFonts w:ascii="宋体" w:hAnsi="宋体" w:eastAsia="宋体"/>
          <w:sz w:val="24"/>
          <w:szCs w:val="24"/>
        </w:rPr>
      </w:pPr>
      <w:bookmarkStart w:id="124" w:name="_Toc101965680"/>
      <w:bookmarkStart w:id="125" w:name="_Toc6287"/>
      <w:r>
        <w:rPr>
          <w:rFonts w:hint="eastAsia" w:ascii="宋体" w:hAnsi="宋体" w:eastAsia="宋体"/>
          <w:sz w:val="24"/>
          <w:szCs w:val="24"/>
        </w:rPr>
        <w:t>六、比选申请人提出问题的截止时间</w:t>
      </w:r>
      <w:bookmarkEnd w:id="124"/>
      <w:bookmarkEnd w:id="125"/>
    </w:p>
    <w:p>
      <w:pPr>
        <w:spacing w:before="0" w:after="0" w:afterAutospacing="0"/>
        <w:ind w:left="0" w:right="0" w:firstLine="420" w:firstLineChars="200"/>
        <w:rPr>
          <w:rFonts w:hint="eastAsia" w:ascii="宋体" w:hAnsi="宋体"/>
        </w:rPr>
      </w:pPr>
      <w:r>
        <w:rPr>
          <w:rFonts w:hint="eastAsia" w:ascii="宋体" w:hAnsi="宋体"/>
        </w:rPr>
        <w:t>6.1比选申请人提出问题的截止时间为</w:t>
      </w:r>
      <w:r>
        <w:rPr>
          <w:rFonts w:hint="eastAsia" w:ascii="宋体" w:hAnsi="宋体"/>
          <w:color w:val="FF0000"/>
          <w:u w:val="single"/>
          <w:lang w:val="en-US" w:eastAsia="zh-CN"/>
        </w:rPr>
        <w:t>2022</w:t>
      </w:r>
      <w:r>
        <w:rPr>
          <w:rFonts w:hint="eastAsia" w:ascii="宋体" w:hAnsi="宋体"/>
        </w:rPr>
        <w:t>年</w:t>
      </w:r>
      <w:r>
        <w:rPr>
          <w:rFonts w:hint="eastAsia" w:ascii="宋体" w:hAnsi="宋体"/>
          <w:color w:val="FF0000"/>
          <w:u w:val="single"/>
          <w:lang w:val="en-US" w:eastAsia="zh-CN"/>
        </w:rPr>
        <w:t>10</w:t>
      </w:r>
      <w:r>
        <w:rPr>
          <w:rFonts w:hint="eastAsia" w:ascii="宋体" w:hAnsi="宋体"/>
        </w:rPr>
        <w:t>月</w:t>
      </w:r>
      <w:r>
        <w:rPr>
          <w:rFonts w:hint="eastAsia" w:ascii="宋体" w:hAnsi="宋体"/>
          <w:color w:val="FF0000"/>
          <w:u w:val="single"/>
          <w:lang w:val="en-US" w:eastAsia="zh-CN"/>
        </w:rPr>
        <w:t>27</w:t>
      </w:r>
      <w:r>
        <w:rPr>
          <w:rFonts w:hint="eastAsia" w:ascii="宋体" w:hAnsi="宋体"/>
        </w:rPr>
        <w:t>日</w:t>
      </w:r>
      <w:r>
        <w:rPr>
          <w:rFonts w:hint="eastAsia" w:ascii="宋体" w:hAnsi="宋体"/>
          <w:color w:val="FF0000"/>
          <w:u w:val="single"/>
          <w:lang w:val="en-US" w:eastAsia="zh-CN"/>
        </w:rPr>
        <w:t>18</w:t>
      </w:r>
      <w:r>
        <w:rPr>
          <w:rFonts w:hint="eastAsia" w:ascii="宋体" w:hAnsi="宋体"/>
        </w:rPr>
        <w:t>时</w:t>
      </w:r>
      <w:r>
        <w:rPr>
          <w:rFonts w:hint="eastAsia" w:ascii="宋体" w:hAnsi="宋体"/>
          <w:color w:val="FF0000"/>
          <w:u w:val="single"/>
          <w:lang w:val="en-US" w:eastAsia="zh-CN"/>
        </w:rPr>
        <w:t>00</w:t>
      </w:r>
      <w:r>
        <w:rPr>
          <w:rFonts w:hint="eastAsia" w:ascii="宋体" w:hAnsi="宋体"/>
        </w:rPr>
        <w:t>分。</w:t>
      </w:r>
    </w:p>
    <w:p>
      <w:pPr>
        <w:spacing w:before="0" w:after="0" w:afterAutospacing="0"/>
        <w:ind w:left="0" w:right="0" w:firstLine="420" w:firstLineChars="200"/>
        <w:rPr>
          <w:rFonts w:ascii="宋体" w:hAnsi="宋体"/>
        </w:rPr>
      </w:pPr>
      <w:r>
        <w:rPr>
          <w:rFonts w:hint="eastAsia" w:ascii="宋体" w:hAnsi="宋体"/>
        </w:rPr>
        <w:t>6.2需澄清的问题需以书面形式于上述提出问题截止时间前将加盖法人公章的电子版扫描件发到</w:t>
      </w:r>
      <w:r>
        <w:rPr>
          <w:rFonts w:hint="eastAsia" w:ascii="宋体" w:hAnsi="宋体"/>
          <w:b/>
          <w:bCs/>
          <w:color w:val="auto"/>
          <w:u w:val="single"/>
          <w:lang w:val="en-US" w:eastAsia="zh-CN"/>
        </w:rPr>
        <w:t>278015906@qq.com</w:t>
      </w:r>
      <w:r>
        <w:rPr>
          <w:rFonts w:hint="eastAsia" w:ascii="宋体" w:hAnsi="宋体"/>
        </w:rPr>
        <w:t>邮箱。</w:t>
      </w:r>
    </w:p>
    <w:p>
      <w:pPr>
        <w:spacing w:before="0" w:after="0" w:afterAutospacing="0"/>
        <w:ind w:left="0" w:right="0" w:firstLine="420" w:firstLineChars="200"/>
        <w:rPr>
          <w:rFonts w:ascii="宋体" w:hAnsi="宋体"/>
        </w:rPr>
      </w:pPr>
      <w:r>
        <w:rPr>
          <w:rFonts w:hint="eastAsia" w:ascii="宋体" w:hAnsi="宋体"/>
        </w:rPr>
        <w:t>6.3比选申请人不在规定期限内提出，比选人有权不予答复。答复后比选申请截止时间由比选人确定是否顺延。</w:t>
      </w:r>
    </w:p>
    <w:p>
      <w:pPr>
        <w:pStyle w:val="4"/>
        <w:spacing w:after="0" w:afterAutospacing="0" w:line="360" w:lineRule="auto"/>
        <w:ind w:left="0" w:right="0" w:firstLine="482" w:firstLineChars="200"/>
        <w:rPr>
          <w:rFonts w:ascii="宋体" w:hAnsi="宋体" w:eastAsia="宋体"/>
          <w:sz w:val="24"/>
          <w:szCs w:val="24"/>
        </w:rPr>
      </w:pPr>
      <w:bookmarkStart w:id="126" w:name="_Toc101965681"/>
      <w:bookmarkStart w:id="127" w:name="_Toc6061"/>
      <w:r>
        <w:rPr>
          <w:rFonts w:hint="eastAsia" w:ascii="宋体" w:hAnsi="宋体" w:eastAsia="宋体"/>
          <w:sz w:val="24"/>
          <w:szCs w:val="24"/>
        </w:rPr>
        <w:t>七、报价要求</w:t>
      </w:r>
      <w:bookmarkEnd w:id="126"/>
      <w:bookmarkEnd w:id="12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7.1本项目合同价格形式采用以下方式：</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lang w:eastAsia="zh-CN"/>
        </w:rPr>
        <w:t>单价合同，</w:t>
      </w:r>
      <w:r>
        <w:rPr>
          <w:rFonts w:hint="eastAsia" w:ascii="宋体" w:hAnsi="宋体"/>
          <w:b/>
          <w:lang w:val="en-US" w:eastAsia="zh-CN"/>
        </w:rPr>
        <w:t>暂定总价</w:t>
      </w:r>
      <w:r>
        <w:rPr>
          <w:rFonts w:hint="eastAsia" w:ascii="宋体" w:hAnsi="宋体"/>
        </w:rPr>
        <w:t>。根据实际完成的供货数量据实结算。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7.2</w:t>
      </w:r>
      <w:r>
        <w:t>本项目采用不含税报价，在签订本项目合同时，</w:t>
      </w:r>
      <w:r>
        <w:rPr>
          <w:rFonts w:hint="eastAsia"/>
        </w:rPr>
        <w:t>遵循国家现行税法的相关规定</w:t>
      </w:r>
      <w:r>
        <w:t>在中标人不含税</w:t>
      </w:r>
      <w:r>
        <w:rPr>
          <w:rFonts w:hint="eastAsia"/>
        </w:rPr>
        <w:t>单</w:t>
      </w:r>
      <w:r>
        <w:t>价的基础上</w:t>
      </w:r>
      <w:r>
        <w:rPr>
          <w:rFonts w:hint="eastAsia"/>
        </w:rPr>
        <w:t>逐项增加税费，并</w:t>
      </w:r>
      <w:r>
        <w:t>明确相应税率和税金</w:t>
      </w:r>
      <w:r>
        <w:rPr>
          <w:rFonts w:hint="eastAsia"/>
        </w:rPr>
        <w:t>，</w:t>
      </w:r>
      <w:r>
        <w:rPr>
          <w:rFonts w:hint="eastAsia" w:ascii="宋体" w:hAnsi="宋体"/>
        </w:rPr>
        <w:t>含税价格计算保留小数点后两位，含税合价为单价与数量的乘积，合同总价为分项合价之和。</w:t>
      </w:r>
    </w:p>
    <w:p>
      <w:pPr>
        <w:tabs>
          <w:tab w:val="left" w:pos="8364"/>
        </w:tabs>
        <w:spacing w:before="0" w:after="0" w:afterAutospacing="0"/>
        <w:ind w:left="0" w:right="0" w:firstLine="420" w:firstLineChars="200"/>
        <w:rPr>
          <w:rFonts w:ascii="宋体" w:hAnsi="宋体"/>
        </w:rPr>
      </w:pPr>
      <w:r>
        <w:rPr>
          <w:rFonts w:hint="eastAsia" w:ascii="宋体" w:hAnsi="宋体"/>
        </w:rPr>
        <w:t>7.3比选申请人须按第五章《用户需求书》中的技术需求及数量表的顺序填报投标报价表，不允许打乱顺序。比选申请人应完整地填写比选文件中提供的“比选申请报价一览表”及“比选申请报价明细表”。</w:t>
      </w:r>
      <w:r>
        <w:rPr>
          <w:rFonts w:hint="eastAsia" w:ascii="宋体" w:hAnsi="宋体"/>
          <w:lang w:val="en-US" w:eastAsia="zh-CN"/>
        </w:rPr>
        <w:t>比选申请</w:t>
      </w:r>
      <w:r>
        <w:rPr>
          <w:rFonts w:hint="eastAsia" w:ascii="宋体" w:hAnsi="宋体"/>
        </w:rPr>
        <w:t>人在“比选申请报价一览表”及“比选申请报价明细表”内所填报的总价应相一致。</w:t>
      </w:r>
    </w:p>
    <w:p>
      <w:pPr>
        <w:tabs>
          <w:tab w:val="left" w:pos="8364"/>
        </w:tabs>
        <w:spacing w:before="0" w:after="0" w:afterAutospacing="0"/>
        <w:ind w:left="0" w:right="0" w:firstLine="420" w:firstLineChars="200"/>
        <w:rPr>
          <w:rFonts w:hint="eastAsia" w:ascii="宋体" w:hAnsi="宋体"/>
        </w:rPr>
      </w:pPr>
      <w:r>
        <w:rPr>
          <w:rFonts w:hint="eastAsia" w:ascii="宋体" w:hAnsi="宋体"/>
        </w:rPr>
        <w:t>7.4</w:t>
      </w:r>
      <w:r>
        <w:rPr>
          <w:rFonts w:ascii="宋体" w:hAnsi="宋体"/>
        </w:rPr>
        <w:t xml:space="preserve"> </w:t>
      </w:r>
      <w:r>
        <w:rPr>
          <w:rFonts w:hint="eastAsia" w:ascii="宋体" w:hAnsi="宋体"/>
        </w:rPr>
        <w:t>比选申请</w:t>
      </w:r>
      <w:r>
        <w:rPr>
          <w:rFonts w:hint="eastAsia" w:ascii="宋体" w:hAnsi="宋体"/>
          <w:lang w:eastAsia="zh-CN"/>
        </w:rPr>
        <w:t>总</w:t>
      </w:r>
      <w:r>
        <w:rPr>
          <w:rFonts w:hint="eastAsia" w:ascii="宋体" w:hAnsi="宋体"/>
        </w:rPr>
        <w:t>报价应包括货物价款、</w:t>
      </w:r>
      <w:r>
        <w:rPr>
          <w:rFonts w:hint="eastAsia" w:ascii="宋体" w:hAnsi="宋体"/>
          <w:lang w:eastAsia="zh-CN"/>
        </w:rPr>
        <w:t>安装、</w:t>
      </w:r>
      <w:r>
        <w:rPr>
          <w:rFonts w:hint="eastAsia" w:ascii="宋体" w:hAnsi="宋体"/>
        </w:rPr>
        <w:t>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校准报告检测费、质量保证期服务、培训、人工工资、管理费、利润、保险等一切履行合同标的全过程产生的除增值税外所有费用。</w:t>
      </w:r>
    </w:p>
    <w:p>
      <w:pPr>
        <w:tabs>
          <w:tab w:val="left" w:pos="8364"/>
        </w:tabs>
        <w:spacing w:before="0" w:after="0" w:afterAutospacing="0"/>
        <w:ind w:left="0" w:right="0" w:firstLine="420" w:firstLineChars="200"/>
        <w:rPr>
          <w:rFonts w:ascii="宋体" w:hAnsi="宋体"/>
        </w:rPr>
      </w:pPr>
      <w:r>
        <w:rPr>
          <w:rFonts w:hint="eastAsia" w:ascii="宋体" w:hAnsi="宋体"/>
        </w:rPr>
        <w:t>7.5比选申请</w:t>
      </w:r>
      <w:r>
        <w:rPr>
          <w:rFonts w:ascii="宋体" w:hAnsi="宋体"/>
        </w:rPr>
        <w:t>报价已包括所有应支付的，对专利权、著作权、注册商标专有使用权、计算机软件登记或其他知识产权而需要向其他方支付各项等费用</w:t>
      </w:r>
      <w:r>
        <w:rPr>
          <w:rFonts w:hint="eastAsia"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7.6 比选申请人应根据比选文件第五章《用户需求书》的要求及项目的实际需要自行考虑并完善供货、服务和施工安装内容。比选申请报价应将所有内容考虑在内，不得漏项或缺项。</w:t>
      </w:r>
      <w:r>
        <w:rPr>
          <w:rFonts w:hint="eastAsia" w:ascii="宋体" w:hAnsi="宋体"/>
          <w:b/>
        </w:rPr>
        <w:t>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7.7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7.8比选申请人报价有计算错误的，可按下述原则对报价进行修正：</w:t>
      </w:r>
    </w:p>
    <w:p>
      <w:pPr>
        <w:tabs>
          <w:tab w:val="left" w:pos="4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）评标价以不含税总报价为基准。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7"/>
        <w:tabs>
          <w:tab w:val="left" w:pos="851"/>
        </w:tabs>
        <w:spacing w:before="0" w:after="0" w:afterAutospacing="0"/>
        <w:ind w:left="0" w:right="0" w:firstLine="420" w:firstLineChars="200"/>
        <w:rPr>
          <w:rFonts w:ascii="宋体" w:hAnsi="宋体"/>
        </w:rPr>
      </w:pPr>
      <w:r>
        <w:rPr>
          <w:rFonts w:hint="eastAsia" w:ascii="宋体" w:hAnsi="宋体"/>
        </w:rPr>
        <w:t>（3）同一规格、型号的货物、材料在各分项报价中应为同一单价。比选申请人对每种货物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（4）当单价与数量相乘不等于合价时，以单价计算为准，如果单价有明显的小数点位置差错，应以标出的合价为准，同时对单价予以修正。</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（5）当各子目的合价累计不等于总价时，应以各子目合价累计数为准，修正总价。</w:t>
      </w:r>
    </w:p>
    <w:p>
      <w:pPr>
        <w:pStyle w:val="37"/>
        <w:tabs>
          <w:tab w:val="left" w:pos="567"/>
        </w:tabs>
        <w:spacing w:before="0" w:after="0" w:afterAutospacing="0"/>
        <w:ind w:left="0" w:right="0" w:firstLine="420" w:firstLineChars="200"/>
        <w:rPr>
          <w:rFonts w:ascii="宋体" w:hAnsi="宋体"/>
        </w:rPr>
      </w:pPr>
      <w:r>
        <w:rPr>
          <w:rFonts w:hint="eastAsia" w:ascii="宋体" w:hAnsi="宋体"/>
        </w:rPr>
        <w:t>（6）按上述（2）-（5）规则对比选申请报价进行修正。</w:t>
      </w:r>
      <w:r>
        <w:rPr>
          <w:rFonts w:hint="eastAsia" w:ascii="宋体" w:hAnsi="宋体" w:cs="Arial"/>
        </w:rPr>
        <w:t>评标价格及中标价均以修正后的报价为准。</w:t>
      </w:r>
      <w:r>
        <w:rPr>
          <w:rFonts w:hint="eastAsia" w:ascii="宋体" w:hAnsi="宋体"/>
        </w:rPr>
        <w:t>如比选申请人不接受按以上规则确定的评标价格和中标价，则其比选申请将被拒绝。</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7.9报价保留小数点后两位。</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7.10比选申请人只允许有一个报价，比选人不接受任何选择性报价，否则比选申请将被否决。</w:t>
      </w:r>
    </w:p>
    <w:p>
      <w:pPr>
        <w:pStyle w:val="4"/>
        <w:spacing w:after="0" w:afterAutospacing="0" w:line="360" w:lineRule="auto"/>
        <w:ind w:left="0" w:right="0" w:firstLine="482" w:firstLineChars="200"/>
        <w:rPr>
          <w:rFonts w:ascii="宋体" w:hAnsi="宋体" w:eastAsia="宋体"/>
          <w:sz w:val="24"/>
          <w:szCs w:val="24"/>
        </w:rPr>
      </w:pPr>
      <w:bookmarkStart w:id="128" w:name="_Toc5730"/>
      <w:bookmarkStart w:id="129" w:name="_Toc101965682"/>
      <w:r>
        <w:rPr>
          <w:rFonts w:hint="eastAsia" w:ascii="宋体" w:hAnsi="宋体" w:eastAsia="宋体"/>
          <w:sz w:val="24"/>
          <w:szCs w:val="24"/>
        </w:rPr>
        <w:t>八、评审规则</w:t>
      </w:r>
      <w:bookmarkEnd w:id="128"/>
      <w:bookmarkEnd w:id="129"/>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8.1本项目评标办法采用以下方式：</w:t>
      </w:r>
      <w:r>
        <w:rPr>
          <w:rFonts w:ascii="宋体" w:hAnsi="宋体" w:eastAsia="宋体" w:cs="Times New Roman"/>
          <w:color w:val="auto"/>
          <w:kern w:val="0"/>
          <w:szCs w:val="21"/>
          <w:highlight w:val="none"/>
        </w:rPr>
        <w:t xml:space="preserve"> </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最低评审价法</w:t>
      </w:r>
      <w:r>
        <w:rPr>
          <w:rFonts w:hint="eastAsia" w:ascii="宋体" w:hAnsi="宋体" w:eastAsia="宋体" w:cs="Times New Roman"/>
          <w:color w:val="auto"/>
          <w:kern w:val="0"/>
          <w:szCs w:val="21"/>
          <w:highlight w:val="none"/>
        </w:rPr>
        <w:t>。最低的有效报价作为推荐中选候选人依据。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8.2比选申请人有下述情况之一的，其比选申请将被否决：</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（1）不满足比选人资格要求的。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（2）未按本文件要求签字、盖章、打印、装订或封装的。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（3）比选申请实质性内容未按本文件规定格式填写且内容不齐全的。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w:t>
      </w:r>
      <w:r>
        <w:rPr>
          <w:rFonts w:hint="eastAsia" w:ascii="宋体" w:hAnsi="宋体" w:eastAsia="宋体" w:cs="Times New Roman"/>
          <w:color w:val="auto"/>
          <w:kern w:val="0"/>
          <w:szCs w:val="21"/>
          <w:highlight w:val="none"/>
          <w:lang w:val="en-US" w:eastAsia="zh-CN"/>
        </w:rPr>
        <w:t>符合性审查</w:t>
      </w:r>
      <w:r>
        <w:rPr>
          <w:rFonts w:hint="eastAsia" w:ascii="宋体" w:hAnsi="宋体" w:eastAsia="宋体" w:cs="Times New Roman"/>
          <w:color w:val="auto"/>
          <w:kern w:val="0"/>
          <w:szCs w:val="21"/>
          <w:highlight w:val="none"/>
        </w:rPr>
        <w:t>表</w:t>
      </w:r>
      <w:r>
        <w:rPr>
          <w:rFonts w:hint="eastAsia" w:ascii="宋体" w:hAnsi="宋体" w:eastAsia="宋体" w:cs="Times New Roman"/>
          <w:color w:val="auto"/>
          <w:kern w:val="0"/>
          <w:szCs w:val="21"/>
          <w:highlight w:val="none"/>
          <w:lang w:val="en-US" w:eastAsia="zh-CN"/>
        </w:rPr>
        <w:t>不通过的</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（5）在比选申请文件中出现虚假文件或资料的。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（6）评标价超出本项目控制价的。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（7）出现比选文件、法律法规规定的其他否决比选申请条件的。</w:t>
      </w:r>
    </w:p>
    <w:p>
      <w:pPr>
        <w:pStyle w:val="4"/>
        <w:spacing w:after="0" w:afterAutospacing="0" w:line="360" w:lineRule="auto"/>
        <w:ind w:left="0" w:right="0" w:firstLine="482" w:firstLineChars="200"/>
        <w:rPr>
          <w:rFonts w:ascii="宋体" w:hAnsi="宋体" w:eastAsia="宋体"/>
          <w:sz w:val="24"/>
          <w:szCs w:val="24"/>
        </w:rPr>
      </w:pPr>
      <w:bookmarkStart w:id="130" w:name="_Toc101965683"/>
      <w:bookmarkStart w:id="131" w:name="_Toc18059"/>
      <w:r>
        <w:rPr>
          <w:rFonts w:hint="eastAsia" w:ascii="宋体" w:hAnsi="宋体" w:eastAsia="宋体"/>
          <w:sz w:val="24"/>
          <w:szCs w:val="24"/>
        </w:rPr>
        <w:t>九、重新比选或不再比选</w:t>
      </w:r>
      <w:bookmarkEnd w:id="130"/>
      <w:bookmarkEnd w:id="131"/>
    </w:p>
    <w:p>
      <w:pPr>
        <w:spacing w:before="0" w:after="0" w:afterAutospacing="0"/>
        <w:ind w:left="0" w:right="0" w:firstLine="422" w:firstLineChars="200"/>
        <w:rPr>
          <w:rFonts w:ascii="宋体" w:hAnsi="宋体"/>
          <w:b/>
        </w:rPr>
      </w:pPr>
      <w:r>
        <w:rPr>
          <w:rFonts w:hint="eastAsia" w:ascii="宋体" w:hAnsi="宋体"/>
          <w:b/>
        </w:rPr>
        <w:t>9.1比选申请人</w:t>
      </w:r>
      <w:r>
        <w:rPr>
          <w:rFonts w:ascii="宋体" w:hAnsi="宋体"/>
          <w:b/>
        </w:rPr>
        <w:t>出现下列特殊情况之一时，可重新</w:t>
      </w:r>
      <w:r>
        <w:rPr>
          <w:rFonts w:hint="eastAsia" w:ascii="宋体" w:hAnsi="宋体"/>
          <w:b/>
        </w:rPr>
        <w:t>比选：</w:t>
      </w:r>
    </w:p>
    <w:p>
      <w:pPr>
        <w:spacing w:before="0" w:after="0" w:afterAutospacing="0"/>
        <w:ind w:left="0" w:right="0" w:firstLine="420" w:firstLineChars="200"/>
        <w:rPr>
          <w:rFonts w:ascii="宋体" w:hAnsi="宋体"/>
        </w:rPr>
      </w:pPr>
      <w:r>
        <w:rPr>
          <w:rFonts w:hint="eastAsia" w:ascii="宋体" w:hAnsi="宋体"/>
        </w:rPr>
        <w:t>（1）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w:t>
      </w:r>
      <w:r>
        <w:rPr>
          <w:rFonts w:hint="eastAsia" w:ascii="宋体" w:hAnsi="宋体"/>
        </w:rPr>
        <w:t>只剩余两家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（5）比选文件中规定的其他情况。</w:t>
      </w:r>
    </w:p>
    <w:p>
      <w:pPr>
        <w:spacing w:before="0" w:after="0" w:afterAutospacing="0"/>
        <w:ind w:left="0" w:right="0" w:firstLine="422" w:firstLineChars="200"/>
        <w:rPr>
          <w:rFonts w:ascii="宋体" w:hAnsi="宋体"/>
          <w:b/>
        </w:rPr>
      </w:pPr>
      <w:r>
        <w:rPr>
          <w:rFonts w:hint="eastAsia" w:ascii="宋体" w:hAnsi="宋体"/>
          <w:b/>
        </w:rPr>
        <w:t>9.2不再比选</w:t>
      </w:r>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132" w:name="_Toc4070"/>
      <w:bookmarkStart w:id="133" w:name="_Toc101965684"/>
      <w:r>
        <w:rPr>
          <w:rFonts w:hint="eastAsia" w:ascii="宋体" w:hAnsi="宋体" w:eastAsia="宋体"/>
          <w:sz w:val="24"/>
          <w:szCs w:val="24"/>
          <w:lang w:val="en-US" w:eastAsia="zh-CN"/>
        </w:rPr>
        <w:t>十</w:t>
      </w:r>
      <w:r>
        <w:rPr>
          <w:rFonts w:hint="eastAsia" w:ascii="宋体" w:hAnsi="宋体" w:eastAsia="宋体"/>
          <w:sz w:val="24"/>
          <w:szCs w:val="24"/>
        </w:rPr>
        <w:t>、比选申请有效期</w:t>
      </w:r>
      <w:bookmarkEnd w:id="132"/>
      <w:bookmarkEnd w:id="13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自比选申请截止时间起90天。</w:t>
      </w:r>
    </w:p>
    <w:p>
      <w:pPr>
        <w:pStyle w:val="4"/>
        <w:spacing w:after="0" w:afterAutospacing="0" w:line="360" w:lineRule="auto"/>
        <w:ind w:left="0" w:right="0" w:firstLine="482" w:firstLineChars="200"/>
        <w:rPr>
          <w:rFonts w:ascii="宋体" w:hAnsi="宋体" w:eastAsia="宋体"/>
          <w:sz w:val="24"/>
          <w:szCs w:val="24"/>
        </w:rPr>
      </w:pPr>
      <w:bookmarkStart w:id="134" w:name="_Toc101965685"/>
      <w:bookmarkStart w:id="135" w:name="_Toc19005"/>
      <w:r>
        <w:rPr>
          <w:rFonts w:hint="eastAsia" w:ascii="宋体" w:hAnsi="宋体" w:eastAsia="宋体"/>
          <w:sz w:val="24"/>
          <w:szCs w:val="24"/>
        </w:rPr>
        <w:t>十</w:t>
      </w:r>
      <w:r>
        <w:rPr>
          <w:rFonts w:hint="eastAsia" w:ascii="宋体" w:hAnsi="宋体" w:eastAsia="宋体"/>
          <w:sz w:val="24"/>
          <w:szCs w:val="24"/>
          <w:lang w:val="en-US" w:eastAsia="zh-CN"/>
        </w:rPr>
        <w:t>一</w:t>
      </w:r>
      <w:r>
        <w:rPr>
          <w:rFonts w:hint="eastAsia" w:ascii="宋体" w:hAnsi="宋体" w:eastAsia="宋体"/>
          <w:sz w:val="24"/>
          <w:szCs w:val="24"/>
        </w:rPr>
        <w:t>、比选保证金</w:t>
      </w:r>
      <w:bookmarkEnd w:id="134"/>
      <w:bookmarkEnd w:id="13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本项目不要求递交比选保证金。</w:t>
      </w:r>
    </w:p>
    <w:p>
      <w:pPr>
        <w:pStyle w:val="4"/>
        <w:spacing w:after="0" w:afterAutospacing="0" w:line="360" w:lineRule="auto"/>
        <w:ind w:left="0" w:right="0" w:firstLine="482" w:firstLineChars="200"/>
        <w:rPr>
          <w:rFonts w:ascii="宋体" w:hAnsi="宋体"/>
        </w:rPr>
      </w:pPr>
      <w:bookmarkStart w:id="136" w:name="_Toc11316"/>
      <w:bookmarkStart w:id="137" w:name="_Toc101965686"/>
      <w:r>
        <w:rPr>
          <w:rFonts w:hint="eastAsia" w:ascii="宋体" w:hAnsi="宋体" w:eastAsia="宋体"/>
          <w:sz w:val="24"/>
          <w:szCs w:val="24"/>
        </w:rPr>
        <w:t>十</w:t>
      </w:r>
      <w:r>
        <w:rPr>
          <w:rFonts w:hint="eastAsia" w:ascii="宋体" w:hAnsi="宋体" w:eastAsia="宋体"/>
          <w:sz w:val="24"/>
          <w:szCs w:val="24"/>
          <w:lang w:val="en-US" w:eastAsia="zh-CN"/>
        </w:rPr>
        <w:t>二</w:t>
      </w:r>
      <w:r>
        <w:rPr>
          <w:rFonts w:hint="eastAsia" w:ascii="宋体" w:hAnsi="宋体" w:eastAsia="宋体"/>
          <w:sz w:val="24"/>
          <w:szCs w:val="24"/>
        </w:rPr>
        <w:t>、履约担保</w:t>
      </w:r>
      <w:bookmarkEnd w:id="136"/>
      <w:bookmarkEnd w:id="137"/>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.1履约担保的金额：合同价格的</w:t>
      </w:r>
      <w:r>
        <w:rPr>
          <w:rFonts w:ascii="宋体" w:hAnsi="宋体" w:eastAsia="宋体" w:cs="Times New Roman"/>
          <w:color w:val="auto"/>
          <w:kern w:val="0"/>
          <w:szCs w:val="21"/>
          <w:highlight w:val="none"/>
        </w:rPr>
        <w:t>5%</w:t>
      </w:r>
      <w:r>
        <w:rPr>
          <w:rFonts w:hint="eastAsia"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.2履约担保的形式：转账或电汇或银行保函。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.3银行保函由中国境内各商业银行支行及其以上的银行开具的银行保函。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.4递交地点：南宁市青秀区云景路</w:t>
      </w:r>
      <w:r>
        <w:rPr>
          <w:rFonts w:hint="eastAsia" w:ascii="宋体" w:hAnsi="宋体" w:eastAsia="宋体" w:cs="Times New Roman"/>
          <w:color w:val="auto"/>
          <w:kern w:val="0"/>
          <w:szCs w:val="21"/>
          <w:highlight w:val="none"/>
          <w:lang w:val="en-US" w:eastAsia="zh-CN"/>
        </w:rPr>
        <w:t>83</w:t>
      </w:r>
      <w:r>
        <w:rPr>
          <w:rFonts w:hint="eastAsia" w:ascii="宋体" w:hAnsi="宋体" w:eastAsia="宋体" w:cs="Times New Roman"/>
          <w:color w:val="auto"/>
          <w:kern w:val="0"/>
          <w:szCs w:val="21"/>
          <w:highlight w:val="none"/>
        </w:rPr>
        <w:t>号；</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.5提交履约担保的时间：应在合同签订前、且最迟应在中选通知书发出之日起</w:t>
      </w:r>
      <w:r>
        <w:rPr>
          <w:rFonts w:ascii="宋体" w:hAnsi="宋体" w:eastAsia="宋体" w:cs="Times New Roman"/>
          <w:color w:val="auto"/>
          <w:kern w:val="0"/>
          <w:szCs w:val="21"/>
          <w:highlight w:val="none"/>
        </w:rPr>
        <w:t>20</w:t>
      </w:r>
      <w:r>
        <w:rPr>
          <w:rFonts w:hint="eastAsia" w:ascii="宋体" w:hAnsi="宋体" w:eastAsia="宋体" w:cs="Times New Roman"/>
          <w:color w:val="auto"/>
          <w:kern w:val="0"/>
          <w:szCs w:val="21"/>
          <w:highlight w:val="none"/>
        </w:rPr>
        <w:t>日内。</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.6若中选人未在规定时间内足额缴纳履约担保，比选人有权取消其中选资格。</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.7履约保函应采用合同规定格式，其开具银行应为中国境内商业银行地市级以上支行（含地市级支行），并须是以甲方为受益人，见索即付无条件付款的、不可撤销的银行保函。</w:t>
      </w:r>
    </w:p>
    <w:p>
      <w:pPr>
        <w:pStyle w:val="4"/>
        <w:spacing w:after="0" w:afterAutospacing="0" w:line="360" w:lineRule="auto"/>
        <w:ind w:left="0" w:right="0" w:firstLine="482" w:firstLineChars="200"/>
        <w:rPr>
          <w:rFonts w:ascii="宋体" w:hAnsi="宋体" w:eastAsia="宋体"/>
          <w:sz w:val="24"/>
          <w:szCs w:val="24"/>
        </w:rPr>
      </w:pPr>
      <w:bookmarkStart w:id="138" w:name="_Toc101965687"/>
      <w:bookmarkStart w:id="139" w:name="_Toc5840"/>
      <w:r>
        <w:rPr>
          <w:rFonts w:hint="eastAsia" w:ascii="宋体" w:hAnsi="宋体" w:eastAsia="宋体"/>
          <w:sz w:val="24"/>
          <w:szCs w:val="24"/>
        </w:rPr>
        <w:t>十</w:t>
      </w:r>
      <w:r>
        <w:rPr>
          <w:rFonts w:hint="eastAsia" w:ascii="宋体" w:hAnsi="宋体" w:eastAsia="宋体"/>
          <w:sz w:val="24"/>
          <w:szCs w:val="24"/>
          <w:lang w:val="en-US" w:eastAsia="zh-CN"/>
        </w:rPr>
        <w:t>三</w:t>
      </w:r>
      <w:r>
        <w:rPr>
          <w:rFonts w:hint="eastAsia" w:ascii="宋体" w:hAnsi="宋体" w:eastAsia="宋体"/>
          <w:sz w:val="24"/>
          <w:szCs w:val="24"/>
        </w:rPr>
        <w:t>、不良信用名单条款</w:t>
      </w:r>
      <w:bookmarkEnd w:id="138"/>
      <w:bookmarkEnd w:id="13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本项目采购及合同执行的任何阶段，如果比选人发现比选申请人存在下述行为之一的，比选人有权取消其比选申请/中选资格，且比选申请/中选无效。情节严重的，报同级或上级监管部门依法进行处理；同时将其列入</w:t>
      </w:r>
      <w:r>
        <w:rPr>
          <w:rFonts w:hint="eastAsia" w:ascii="宋体" w:hAnsi="宋体"/>
          <w:lang w:val="en-US" w:eastAsia="zh-CN"/>
        </w:rPr>
        <w:t>比选人</w:t>
      </w:r>
      <w:r>
        <w:rPr>
          <w:rFonts w:hint="eastAsia" w:ascii="宋体" w:hAnsi="宋体"/>
        </w:rPr>
        <w:t>的不良信用名单：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（1）比选申请人在比选申请截止期后撤回其比选申请的。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（2）提供虚假材料谋取中选的。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（5）中选后无正当理由拒不与比选人签订合同的。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（6）未照比选、比选申请文件确定的事项签订合同的。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（7）将合同转包的。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（8）提供假冒伪劣产品的。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（9）擅自变更、中止或者终止合同的。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（11）中选</w:t>
      </w:r>
      <w:r>
        <w:rPr>
          <w:rFonts w:ascii="宋体" w:hAnsi="宋体"/>
        </w:rPr>
        <w:t>人未按</w:t>
      </w:r>
      <w:r>
        <w:rPr>
          <w:rFonts w:hint="eastAsia" w:ascii="宋体" w:hAnsi="宋体"/>
        </w:rPr>
        <w:t>比选申请须知</w:t>
      </w:r>
      <w:r>
        <w:rPr>
          <w:rFonts w:ascii="宋体" w:hAnsi="宋体"/>
        </w:rPr>
        <w:t>要求</w:t>
      </w:r>
      <w:r>
        <w:rPr>
          <w:rFonts w:hint="eastAsia" w:ascii="宋体" w:hAnsi="宋体"/>
        </w:rPr>
        <w:t>在比选申请阶段</w:t>
      </w:r>
      <w:r>
        <w:rPr>
          <w:rFonts w:ascii="宋体" w:hAnsi="宋体"/>
        </w:rPr>
        <w:t>提出</w:t>
      </w:r>
      <w:r>
        <w:rPr>
          <w:rFonts w:hint="eastAsia" w:ascii="宋体" w:hAnsi="宋体"/>
        </w:rPr>
        <w:t>异议或疑问</w:t>
      </w:r>
      <w:r>
        <w:rPr>
          <w:rFonts w:ascii="宋体" w:hAnsi="宋体"/>
        </w:rPr>
        <w:t>，在成交后无法满足采购需求被认定为无效报价或主动放弃成交资格的。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（12）中选人在成交后无正当理由放弃成交资格的。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（13）比选文件、法律、法规规定的其他情形。</w:t>
      </w:r>
    </w:p>
    <w:p>
      <w:pPr>
        <w:spacing w:before="0" w:after="0" w:afterAutospacing="0"/>
        <w:ind w:left="0" w:right="0" w:firstLine="420" w:firstLineChars="200"/>
        <w:rPr>
          <w:rFonts w:ascii="宋体" w:hAnsi="宋体"/>
        </w:rPr>
      </w:pPr>
    </w:p>
    <w:p>
      <w:pPr>
        <w:spacing w:before="0" w:after="0" w:afterAutospacing="0"/>
        <w:ind w:left="0" w:right="0" w:firstLine="420" w:firstLineChars="200"/>
        <w:rPr>
          <w:rFonts w:ascii="宋体" w:hAnsi="宋体"/>
        </w:rPr>
      </w:pPr>
    </w:p>
    <w:p>
      <w:pPr>
        <w:spacing w:line="300" w:lineRule="exact"/>
        <w:jc w:val="center"/>
        <w:rPr>
          <w:rFonts w:ascii="宋体"/>
          <w:b/>
          <w:color w:val="000000"/>
          <w:sz w:val="28"/>
          <w:szCs w:val="30"/>
        </w:rPr>
      </w:pPr>
      <w:bookmarkStart w:id="140" w:name="_Toc32432"/>
    </w:p>
    <w:p>
      <w:pPr>
        <w:pStyle w:val="12"/>
      </w:pPr>
    </w:p>
    <w:p>
      <w:pPr>
        <w:pStyle w:val="12"/>
      </w:pPr>
    </w:p>
    <w:p>
      <w:pPr>
        <w:pStyle w:val="12"/>
        <w:ind w:right="-57" w:firstLine="0"/>
        <w:jc w:val="center"/>
        <w:outlineLvl w:val="0"/>
        <w:rPr>
          <w:rStyle w:val="42"/>
          <w:rFonts w:hint="eastAsia" w:hAnsi="宋体"/>
          <w:sz w:val="44"/>
          <w:szCs w:val="44"/>
        </w:rPr>
      </w:pPr>
      <w:bookmarkStart w:id="141" w:name="_Toc6949"/>
      <w:bookmarkStart w:id="142" w:name="_Toc101965688"/>
    </w:p>
    <w:p>
      <w:pPr>
        <w:pStyle w:val="12"/>
        <w:ind w:right="-57" w:firstLine="0"/>
        <w:jc w:val="center"/>
        <w:outlineLvl w:val="0"/>
        <w:rPr>
          <w:rStyle w:val="42"/>
          <w:rFonts w:hint="eastAsia" w:hAnsi="宋体"/>
          <w:sz w:val="44"/>
          <w:szCs w:val="44"/>
        </w:rPr>
      </w:pPr>
    </w:p>
    <w:p>
      <w:pPr>
        <w:pStyle w:val="12"/>
        <w:ind w:left="0" w:leftChars="0" w:right="-57" w:firstLine="0" w:firstLineChars="0"/>
        <w:jc w:val="center"/>
        <w:outlineLvl w:val="0"/>
        <w:rPr>
          <w:rStyle w:val="42"/>
          <w:rFonts w:hAnsi="宋体"/>
          <w:sz w:val="44"/>
          <w:szCs w:val="44"/>
        </w:rPr>
      </w:pPr>
      <w:r>
        <w:rPr>
          <w:rStyle w:val="42"/>
          <w:rFonts w:hint="eastAsia" w:hAnsi="宋体"/>
          <w:sz w:val="44"/>
          <w:szCs w:val="44"/>
        </w:rPr>
        <w:t>第三章 合同条款及格式</w:t>
      </w:r>
      <w:bookmarkEnd w:id="140"/>
      <w:bookmarkEnd w:id="141"/>
      <w:bookmarkEnd w:id="142"/>
    </w:p>
    <w:p>
      <w:pPr>
        <w:spacing w:after="120" w:afterLines="50"/>
        <w:jc w:val="center"/>
        <w:rPr>
          <w:b/>
          <w:color w:val="000000"/>
          <w:sz w:val="44"/>
          <w:szCs w:val="44"/>
        </w:rPr>
      </w:pPr>
    </w:p>
    <w:p>
      <w:pPr>
        <w:spacing w:after="120" w:afterLines="50"/>
        <w:jc w:val="center"/>
        <w:rPr>
          <w:b/>
          <w:color w:val="000000"/>
          <w:sz w:val="44"/>
          <w:szCs w:val="44"/>
        </w:rPr>
      </w:pPr>
    </w:p>
    <w:p>
      <w:pPr>
        <w:spacing w:after="120" w:afterLines="50"/>
        <w:ind w:right="448"/>
        <w:jc w:val="right"/>
        <w:rPr>
          <w:rFonts w:ascii="宋体" w:hAnsi="宋体"/>
          <w:color w:val="000000"/>
          <w:sz w:val="30"/>
          <w:szCs w:val="30"/>
        </w:rPr>
      </w:pPr>
      <w:bookmarkStart w:id="143" w:name="_Toc114052336"/>
      <w:bookmarkStart w:id="144" w:name="_Toc286386830"/>
      <w:bookmarkStart w:id="145" w:name="_Toc114052410"/>
    </w:p>
    <w:p>
      <w:pPr>
        <w:spacing w:after="120" w:afterLines="50"/>
        <w:ind w:right="448"/>
        <w:jc w:val="right"/>
        <w:rPr>
          <w:rFonts w:hint="eastAsia" w:ascii="宋体" w:hAnsi="宋体"/>
          <w:color w:val="000000"/>
          <w:sz w:val="30"/>
          <w:szCs w:val="30"/>
        </w:rPr>
      </w:pPr>
    </w:p>
    <w:p>
      <w:pPr>
        <w:spacing w:after="120" w:afterLines="50"/>
        <w:ind w:right="448"/>
        <w:jc w:val="right"/>
        <w:rPr>
          <w:rFonts w:hint="eastAsia" w:ascii="宋体" w:hAnsi="宋体"/>
          <w:color w:val="000000"/>
          <w:sz w:val="30"/>
          <w:szCs w:val="30"/>
        </w:rPr>
      </w:pPr>
    </w:p>
    <w:p>
      <w:pPr>
        <w:spacing w:after="120" w:afterLines="50"/>
        <w:ind w:right="448"/>
        <w:jc w:val="right"/>
        <w:rPr>
          <w:rFonts w:hint="eastAsia" w:ascii="宋体" w:hAnsi="宋体"/>
          <w:color w:val="000000"/>
          <w:sz w:val="30"/>
          <w:szCs w:val="30"/>
        </w:rPr>
      </w:pPr>
    </w:p>
    <w:p>
      <w:pPr>
        <w:spacing w:after="120" w:afterLines="50"/>
        <w:ind w:right="448"/>
        <w:jc w:val="right"/>
        <w:rPr>
          <w:rFonts w:hint="eastAsia" w:ascii="宋体" w:hAnsi="宋体"/>
          <w:color w:val="000000"/>
          <w:sz w:val="30"/>
          <w:szCs w:val="30"/>
        </w:rPr>
      </w:pPr>
    </w:p>
    <w:p>
      <w:pPr>
        <w:spacing w:after="120" w:afterLines="50"/>
        <w:ind w:right="448"/>
        <w:jc w:val="right"/>
        <w:rPr>
          <w:rFonts w:hint="eastAsia" w:ascii="宋体" w:hAnsi="宋体"/>
          <w:color w:val="000000"/>
          <w:sz w:val="30"/>
          <w:szCs w:val="30"/>
        </w:rPr>
      </w:pPr>
    </w:p>
    <w:p>
      <w:pPr>
        <w:spacing w:after="120" w:afterLines="50"/>
        <w:ind w:right="448"/>
        <w:jc w:val="right"/>
        <w:rPr>
          <w:rFonts w:hint="eastAsia" w:ascii="宋体" w:hAnsi="宋体"/>
          <w:color w:val="000000"/>
          <w:sz w:val="30"/>
          <w:szCs w:val="30"/>
        </w:rPr>
      </w:pPr>
    </w:p>
    <w:p>
      <w:pPr>
        <w:spacing w:after="120" w:afterLines="50"/>
        <w:ind w:right="448"/>
        <w:jc w:val="right"/>
        <w:rPr>
          <w:rFonts w:hint="eastAsia" w:ascii="宋体" w:hAnsi="宋体"/>
          <w:color w:val="000000"/>
          <w:sz w:val="30"/>
          <w:szCs w:val="30"/>
        </w:rPr>
      </w:pPr>
    </w:p>
    <w:p>
      <w:pPr>
        <w:spacing w:after="120" w:afterLines="50"/>
        <w:ind w:right="448"/>
        <w:jc w:val="right"/>
        <w:rPr>
          <w:rFonts w:hint="eastAsia" w:ascii="宋体" w:hAnsi="宋体"/>
          <w:color w:val="000000"/>
          <w:sz w:val="30"/>
          <w:szCs w:val="30"/>
        </w:rPr>
      </w:pPr>
    </w:p>
    <w:p>
      <w:pPr>
        <w:spacing w:after="120" w:afterLines="50"/>
        <w:ind w:right="448"/>
        <w:jc w:val="right"/>
        <w:rPr>
          <w:rFonts w:hint="eastAsia" w:ascii="宋体" w:hAnsi="宋体"/>
          <w:color w:val="000000"/>
          <w:sz w:val="30"/>
          <w:szCs w:val="30"/>
        </w:rPr>
      </w:pPr>
    </w:p>
    <w:p>
      <w:pPr>
        <w:spacing w:after="120" w:afterLines="50"/>
        <w:ind w:right="448"/>
        <w:jc w:val="right"/>
        <w:rPr>
          <w:rFonts w:hint="eastAsia" w:ascii="宋体" w:hAnsi="宋体"/>
          <w:color w:val="000000"/>
          <w:sz w:val="30"/>
          <w:szCs w:val="30"/>
        </w:rPr>
      </w:pPr>
    </w:p>
    <w:p>
      <w:pPr>
        <w:spacing w:after="120" w:afterLines="50"/>
        <w:ind w:right="448"/>
        <w:jc w:val="right"/>
        <w:rPr>
          <w:rFonts w:hint="eastAsia" w:ascii="宋体" w:hAnsi="宋体"/>
          <w:color w:val="000000"/>
          <w:sz w:val="30"/>
          <w:szCs w:val="30"/>
        </w:rPr>
      </w:pPr>
    </w:p>
    <w:p>
      <w:pPr>
        <w:spacing w:after="120" w:afterLines="50"/>
        <w:ind w:right="448"/>
        <w:jc w:val="right"/>
        <w:rPr>
          <w:rFonts w:ascii="宋体" w:hAnsi="宋体"/>
          <w:color w:val="000000"/>
          <w:sz w:val="30"/>
          <w:szCs w:val="30"/>
        </w:rPr>
      </w:pPr>
      <w:r>
        <w:rPr>
          <w:rFonts w:hint="eastAsia" w:ascii="宋体" w:hAnsi="宋体"/>
          <w:color w:val="000000"/>
          <w:sz w:val="30"/>
          <w:szCs w:val="30"/>
        </w:rPr>
        <w:t>【</w:t>
      </w:r>
      <w:r>
        <w:rPr>
          <w:rFonts w:hint="eastAsia" w:ascii="宋体" w:hAnsi="宋体"/>
          <w:color w:val="FF0000"/>
          <w:sz w:val="30"/>
          <w:szCs w:val="30"/>
        </w:rPr>
        <w:t>×</w:t>
      </w:r>
      <w:r>
        <w:rPr>
          <w:rFonts w:hint="eastAsia" w:ascii="宋体" w:hAnsi="宋体"/>
          <w:color w:val="000000"/>
          <w:sz w:val="30"/>
          <w:szCs w:val="30"/>
        </w:rPr>
        <w:t>本】</w:t>
      </w:r>
    </w:p>
    <w:bookmarkEnd w:id="143"/>
    <w:bookmarkEnd w:id="144"/>
    <w:bookmarkEnd w:id="145"/>
    <w:p>
      <w:pPr>
        <w:keepNext w:val="0"/>
        <w:keepLines w:val="0"/>
        <w:pageBreakBefore w:val="0"/>
        <w:widowControl/>
        <w:kinsoku/>
        <w:wordWrap/>
        <w:overflowPunct/>
        <w:topLinePunct w:val="0"/>
        <w:autoSpaceDE/>
        <w:autoSpaceDN/>
        <w:bidi w:val="0"/>
        <w:adjustRightInd/>
        <w:snapToGrid w:val="0"/>
        <w:spacing w:before="0" w:line="800" w:lineRule="exact"/>
        <w:ind w:left="0" w:right="-28" w:firstLine="0" w:firstLineChars="0"/>
        <w:jc w:val="center"/>
        <w:textAlignment w:val="auto"/>
        <w:rPr>
          <w:rFonts w:hint="eastAsia"/>
          <w:b/>
          <w:color w:val="000000"/>
          <w:sz w:val="44"/>
          <w:szCs w:val="44"/>
          <w:lang w:eastAsia="zh-CN"/>
        </w:rPr>
      </w:pPr>
      <w:r>
        <w:rPr>
          <w:rFonts w:hint="eastAsia"/>
          <w:b/>
          <w:color w:val="000000"/>
          <w:sz w:val="44"/>
          <w:szCs w:val="44"/>
          <w:lang w:eastAsia="zh-CN"/>
        </w:rPr>
        <w:t>南宁轨道交通运营有限公司2022年新能源汽车充电桩二期建设项目</w:t>
      </w:r>
    </w:p>
    <w:p>
      <w:pPr>
        <w:pStyle w:val="2"/>
        <w:rPr>
          <w:rFonts w:hint="eastAsia"/>
          <w:lang w:eastAsia="zh-CN"/>
        </w:rPr>
      </w:pPr>
    </w:p>
    <w:tbl>
      <w:tblPr>
        <w:tblStyle w:val="2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宋体" w:hAnsi="宋体"/>
                <w:color w:val="000000"/>
                <w:sz w:val="28"/>
                <w:szCs w:val="30"/>
              </w:rPr>
            </w:pPr>
            <w:r>
              <w:rPr>
                <w:rFonts w:hint="eastAsia" w:ascii="宋体" w:hAnsi="宋体"/>
                <w:color w:val="000000"/>
                <w:sz w:val="28"/>
                <w:szCs w:val="30"/>
              </w:rPr>
              <w:t>项目编号：</w:t>
            </w:r>
          </w:p>
        </w:tc>
        <w:tc>
          <w:tcPr>
            <w:tcW w:w="4761" w:type="dxa"/>
          </w:tcPr>
          <w:p>
            <w:pPr>
              <w:spacing w:line="300" w:lineRule="exact"/>
              <w:jc w:val="left"/>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000000"/>
                <w:sz w:val="28"/>
                <w:szCs w:val="30"/>
              </w:rPr>
            </w:pPr>
            <w:r>
              <w:rPr>
                <w:rFonts w:hint="eastAsia" w:ascii="宋体" w:hAnsi="宋体"/>
                <w:color w:val="000000"/>
                <w:sz w:val="28"/>
                <w:szCs w:val="30"/>
              </w:rPr>
              <w:t>合同编号：</w:t>
            </w:r>
          </w:p>
        </w:tc>
        <w:tc>
          <w:tcPr>
            <w:tcW w:w="4761" w:type="dxa"/>
          </w:tcPr>
          <w:p>
            <w:pPr>
              <w:spacing w:line="300" w:lineRule="exact"/>
              <w:jc w:val="left"/>
              <w:rPr>
                <w:rFonts w:ascii="宋体" w:hAnsi="宋体"/>
                <w:color w:val="000000"/>
                <w:sz w:val="28"/>
                <w:szCs w:val="30"/>
              </w:rPr>
            </w:pPr>
          </w:p>
        </w:tc>
      </w:tr>
    </w:tbl>
    <w:p>
      <w:pPr>
        <w:spacing w:line="800" w:lineRule="exact"/>
        <w:ind w:left="2443" w:right="-28" w:hanging="2443" w:hangingChars="338"/>
        <w:jc w:val="center"/>
        <w:rPr>
          <w:rFonts w:ascii="楷体_GB2312" w:eastAsia="楷体_GB2312"/>
          <w:b/>
          <w:color w:val="000000"/>
          <w:sz w:val="72"/>
          <w:szCs w:val="52"/>
        </w:rPr>
      </w:pPr>
      <w:r>
        <w:rPr>
          <w:rFonts w:hint="eastAsia"/>
          <w:b/>
          <w:color w:val="000000"/>
          <w:sz w:val="72"/>
          <w:szCs w:val="52"/>
        </w:rPr>
        <w:t>合</w:t>
      </w:r>
    </w:p>
    <w:p>
      <w:pPr>
        <w:spacing w:line="800" w:lineRule="exact"/>
        <w:ind w:left="2443" w:right="-28" w:hanging="2443" w:hangingChars="338"/>
        <w:jc w:val="center"/>
        <w:rPr>
          <w:rFonts w:ascii="宋体" w:hAnsi="宋体"/>
          <w:b/>
          <w:color w:val="000000"/>
          <w:sz w:val="72"/>
          <w:szCs w:val="52"/>
        </w:rPr>
      </w:pPr>
      <w:r>
        <w:rPr>
          <w:rFonts w:hint="eastAsia"/>
          <w:b/>
          <w:color w:val="000000"/>
          <w:sz w:val="72"/>
          <w:szCs w:val="52"/>
        </w:rPr>
        <w:t>同</w:t>
      </w:r>
    </w:p>
    <w:p>
      <w:pPr>
        <w:spacing w:line="800" w:lineRule="exact"/>
        <w:ind w:left="2443" w:right="-28" w:hanging="2443" w:hangingChars="338"/>
        <w:jc w:val="center"/>
        <w:rPr>
          <w:b/>
          <w:color w:val="000000"/>
          <w:sz w:val="72"/>
          <w:szCs w:val="52"/>
        </w:rPr>
      </w:pPr>
      <w:r>
        <w:rPr>
          <w:rFonts w:hint="eastAsia"/>
          <w:b/>
          <w:color w:val="000000"/>
          <w:sz w:val="72"/>
          <w:szCs w:val="52"/>
        </w:rPr>
        <w:t>书</w:t>
      </w:r>
    </w:p>
    <w:p>
      <w:pPr>
        <w:jc w:val="center"/>
        <w:rPr>
          <w:rFonts w:ascii="宋体" w:hAnsi="宋体"/>
          <w:b/>
          <w:color w:val="000000"/>
          <w:sz w:val="52"/>
        </w:rPr>
      </w:pPr>
      <w:r>
        <w:rPr>
          <w:rFonts w:hint="eastAsia" w:ascii="宋体" w:hAnsi="宋体"/>
          <w:b/>
          <w:color w:val="000000"/>
          <w:sz w:val="52"/>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rFonts w:hint="eastAsia" w:ascii="宋体" w:hAnsi="宋体" w:eastAsia="宋体"/>
          <w:b/>
          <w:color w:val="000000"/>
          <w:sz w:val="28"/>
          <w:szCs w:val="28"/>
          <w:lang w:eastAsia="zh-CN"/>
        </w:rPr>
      </w:pPr>
      <w:r>
        <w:rPr>
          <w:rFonts w:hint="eastAsia" w:ascii="宋体" w:hAnsi="宋体"/>
          <w:b/>
          <w:color w:val="000000"/>
          <w:sz w:val="28"/>
          <w:szCs w:val="28"/>
        </w:rPr>
        <w:t>甲    方：</w:t>
      </w:r>
      <w:r>
        <w:rPr>
          <w:rFonts w:hint="eastAsia"/>
          <w:color w:val="000000"/>
          <w:sz w:val="28"/>
          <w:szCs w:val="28"/>
          <w:lang w:eastAsia="zh-CN"/>
        </w:rPr>
        <w:t>南宁轨道交通运营有限公司</w:t>
      </w:r>
    </w:p>
    <w:p>
      <w:pPr>
        <w:snapToGrid w:val="0"/>
        <w:spacing w:before="0" w:line="400" w:lineRule="exact"/>
        <w:ind w:firstLine="1405" w:firstLineChars="500"/>
        <w:rPr>
          <w:color w:val="000000"/>
          <w:sz w:val="28"/>
          <w:szCs w:val="28"/>
        </w:rPr>
      </w:pPr>
      <w:r>
        <w:rPr>
          <w:rFonts w:hint="eastAsia" w:ascii="宋体" w:hAnsi="宋体"/>
          <w:b/>
          <w:color w:val="000000"/>
          <w:sz w:val="28"/>
          <w:szCs w:val="28"/>
        </w:rPr>
        <w:t>乙    方：</w:t>
      </w:r>
      <w:r>
        <w:rPr>
          <w:color w:val="000000"/>
          <w:sz w:val="28"/>
          <w:szCs w:val="28"/>
        </w:rPr>
        <w:t xml:space="preserve"> </w:t>
      </w:r>
    </w:p>
    <w:p>
      <w:pPr>
        <w:snapToGrid w:val="0"/>
        <w:spacing w:before="0" w:line="400" w:lineRule="exact"/>
        <w:ind w:firstLine="1405" w:firstLineChars="500"/>
        <w:rPr>
          <w:rFonts w:ascii="宋体" w:hAnsi="宋体"/>
          <w:b/>
          <w:color w:val="000000"/>
          <w:sz w:val="28"/>
          <w:szCs w:val="28"/>
        </w:rPr>
      </w:pPr>
      <w:r>
        <w:rPr>
          <w:rFonts w:hint="eastAsia" w:ascii="宋体" w:hAnsi="宋体"/>
          <w:b/>
          <w:color w:val="000000"/>
          <w:sz w:val="28"/>
          <w:szCs w:val="28"/>
        </w:rPr>
        <w:t>签约日期：</w:t>
      </w:r>
      <w:r>
        <w:rPr>
          <w:rFonts w:hint="eastAsia" w:ascii="宋体" w:hAnsi="宋体"/>
          <w:b/>
          <w:color w:val="000000"/>
          <w:sz w:val="28"/>
          <w:szCs w:val="28"/>
          <w:u w:val="single"/>
        </w:rPr>
        <w:t xml:space="preserve">       </w:t>
      </w:r>
      <w:r>
        <w:rPr>
          <w:rFonts w:hint="eastAsia" w:ascii="宋体" w:hAnsi="宋体"/>
          <w:color w:val="000000"/>
          <w:sz w:val="28"/>
          <w:szCs w:val="28"/>
        </w:rPr>
        <w:t>年</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color w:val="000000"/>
          <w:sz w:val="28"/>
          <w:szCs w:val="28"/>
          <w:u w:val="single"/>
        </w:rPr>
        <w:t>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snapToGrid w:val="0"/>
        <w:spacing w:before="0" w:line="400" w:lineRule="exact"/>
        <w:ind w:right="-86" w:rightChars="-41" w:firstLine="1405" w:firstLineChars="500"/>
        <w:rPr>
          <w:rFonts w:ascii="宋体" w:hAnsi="宋体"/>
          <w:b/>
          <w:bCs/>
          <w:sz w:val="28"/>
          <w:szCs w:val="28"/>
        </w:rPr>
      </w:pPr>
      <w:r>
        <w:rPr>
          <w:rFonts w:hint="eastAsia" w:ascii="宋体" w:hAnsi="宋体"/>
          <w:b/>
          <w:color w:val="000000"/>
          <w:sz w:val="28"/>
          <w:szCs w:val="28"/>
        </w:rPr>
        <w:t>签约</w:t>
      </w:r>
      <w:r>
        <w:rPr>
          <w:rFonts w:hint="eastAsia" w:ascii="宋体" w:hAnsi="宋体"/>
          <w:b/>
          <w:bCs/>
          <w:color w:val="000000"/>
          <w:sz w:val="28"/>
          <w:szCs w:val="28"/>
        </w:rPr>
        <w:t>地点：</w:t>
      </w:r>
      <w:r>
        <w:rPr>
          <w:rFonts w:hint="eastAsia" w:ascii="宋体" w:hAnsi="宋体"/>
          <w:color w:val="000000"/>
          <w:sz w:val="28"/>
          <w:szCs w:val="28"/>
        </w:rPr>
        <w:t>广西壮族自治区南宁市</w:t>
      </w:r>
      <w:bookmarkStart w:id="146" w:name="_Toc369787000"/>
      <w:bookmarkEnd w:id="146"/>
    </w:p>
    <w:p>
      <w:pPr>
        <w:pStyle w:val="23"/>
        <w:pageBreakBefore/>
        <w:tabs>
          <w:tab w:val="right" w:leader="dot" w:pos="9069"/>
        </w:tabs>
        <w:snapToGrid w:val="0"/>
        <w:spacing w:line="240" w:lineRule="auto"/>
        <w:ind w:right="-28"/>
        <w:jc w:val="center"/>
        <w:rPr>
          <w:rFonts w:ascii="宋体" w:hAnsi="宋体"/>
          <w:b/>
          <w:bCs/>
          <w:sz w:val="28"/>
          <w:szCs w:val="28"/>
        </w:rPr>
      </w:pPr>
      <w:r>
        <w:rPr>
          <w:rFonts w:hint="eastAsia" w:ascii="宋体" w:hAnsi="宋体"/>
          <w:b/>
          <w:bCs/>
          <w:sz w:val="28"/>
          <w:szCs w:val="28"/>
        </w:rPr>
        <w:t>合同目录</w:t>
      </w:r>
    </w:p>
    <w:p>
      <w:pPr>
        <w:pStyle w:val="23"/>
        <w:tabs>
          <w:tab w:val="right" w:leader="dot" w:pos="9069"/>
        </w:tabs>
        <w:snapToGrid w:val="0"/>
        <w:spacing w:line="240" w:lineRule="auto"/>
        <w:ind w:right="-28"/>
        <w:rPr>
          <w:b/>
          <w:bCs/>
        </w:rPr>
      </w:pPr>
      <w:r>
        <w:fldChar w:fldCharType="begin"/>
      </w:r>
      <w:r>
        <w:instrText xml:space="preserve"> HYPERLINK \l "_Toc7011" </w:instrText>
      </w:r>
      <w:r>
        <w:fldChar w:fldCharType="separate"/>
      </w:r>
      <w:r>
        <w:rPr>
          <w:rFonts w:hint="eastAsia" w:ascii="宋体" w:hAnsi="宋体"/>
          <w:b/>
          <w:bCs/>
          <w:szCs w:val="24"/>
        </w:rPr>
        <w:t>第一部分 合同协议书</w:t>
      </w:r>
      <w:r>
        <w:rPr>
          <w:b/>
          <w:bCs/>
        </w:rPr>
        <w:tab/>
      </w:r>
      <w:r>
        <w:rPr>
          <w:b/>
          <w:bCs/>
        </w:rPr>
        <w:fldChar w:fldCharType="end"/>
      </w:r>
    </w:p>
    <w:p>
      <w:pPr>
        <w:pStyle w:val="23"/>
        <w:tabs>
          <w:tab w:val="right" w:leader="dot" w:pos="9069"/>
        </w:tabs>
        <w:snapToGrid w:val="0"/>
        <w:spacing w:line="240" w:lineRule="auto"/>
        <w:ind w:right="-28"/>
        <w:rPr>
          <w:b/>
          <w:bCs/>
        </w:rPr>
      </w:pPr>
      <w:r>
        <w:fldChar w:fldCharType="begin"/>
      </w:r>
      <w:r>
        <w:instrText xml:space="preserve"> HYPERLINK \l "_Toc29350" </w:instrText>
      </w:r>
      <w:r>
        <w:fldChar w:fldCharType="separate"/>
      </w:r>
      <w:r>
        <w:rPr>
          <w:b/>
          <w:bCs/>
        </w:rPr>
        <w:t>第二部分</w:t>
      </w:r>
      <w:r>
        <w:rPr>
          <w:rFonts w:hint="eastAsia"/>
          <w:b/>
          <w:bCs/>
        </w:rPr>
        <w:t xml:space="preserve"> 中标通知书</w:t>
      </w:r>
      <w:r>
        <w:rPr>
          <w:b/>
          <w:bCs/>
        </w:rPr>
        <w:tab/>
      </w:r>
      <w:r>
        <w:rPr>
          <w:b/>
          <w:bCs/>
        </w:rPr>
        <w:fldChar w:fldCharType="end"/>
      </w:r>
    </w:p>
    <w:p>
      <w:pPr>
        <w:pStyle w:val="23"/>
        <w:tabs>
          <w:tab w:val="right" w:leader="dot" w:pos="9069"/>
        </w:tabs>
        <w:snapToGrid w:val="0"/>
        <w:spacing w:line="240" w:lineRule="auto"/>
        <w:ind w:right="-28"/>
        <w:rPr>
          <w:b/>
          <w:bCs/>
        </w:rPr>
      </w:pPr>
      <w:r>
        <w:fldChar w:fldCharType="begin"/>
      </w:r>
      <w:r>
        <w:instrText xml:space="preserve"> HYPERLINK \l "_Toc9690" </w:instrText>
      </w:r>
      <w:r>
        <w:fldChar w:fldCharType="separate"/>
      </w:r>
      <w:r>
        <w:rPr>
          <w:b/>
          <w:bCs/>
        </w:rPr>
        <w:t>第</w:t>
      </w:r>
      <w:r>
        <w:rPr>
          <w:rFonts w:hint="eastAsia"/>
          <w:b/>
          <w:bCs/>
        </w:rPr>
        <w:t>三</w:t>
      </w:r>
      <w:r>
        <w:rPr>
          <w:b/>
          <w:bCs/>
        </w:rPr>
        <w:t>部分</w:t>
      </w:r>
      <w:r>
        <w:rPr>
          <w:rFonts w:hint="eastAsia"/>
          <w:b/>
          <w:bCs/>
        </w:rPr>
        <w:t xml:space="preserve"> 价格组成文件</w:t>
      </w:r>
      <w:r>
        <w:rPr>
          <w:b/>
          <w:bCs/>
        </w:rPr>
        <w:tab/>
      </w:r>
      <w:r>
        <w:rPr>
          <w:b/>
          <w:bCs/>
        </w:rPr>
        <w:fldChar w:fldCharType="end"/>
      </w:r>
    </w:p>
    <w:p>
      <w:pPr>
        <w:pStyle w:val="11"/>
        <w:tabs>
          <w:tab w:val="right" w:leader="dot" w:pos="9069"/>
        </w:tabs>
        <w:snapToGrid w:val="0"/>
        <w:spacing w:line="240" w:lineRule="auto"/>
        <w:ind w:right="-28"/>
      </w:pPr>
      <w:r>
        <w:fldChar w:fldCharType="begin"/>
      </w:r>
      <w:r>
        <w:instrText xml:space="preserve"> HYPERLINK \l "_Toc22195" </w:instrText>
      </w:r>
      <w:r>
        <w:fldChar w:fldCharType="separate"/>
      </w:r>
      <w:r>
        <w:rPr>
          <w:rFonts w:ascii="宋体" w:hAnsi="宋体"/>
          <w:szCs w:val="24"/>
        </w:rPr>
        <w:t>1</w:t>
      </w:r>
      <w:r>
        <w:rPr>
          <w:rFonts w:hint="eastAsia" w:ascii="宋体" w:hAnsi="宋体"/>
          <w:szCs w:val="24"/>
        </w:rPr>
        <w:t>.税率确认函</w:t>
      </w:r>
      <w:r>
        <w:tab/>
      </w:r>
      <w:r>
        <w:fldChar w:fldCharType="end"/>
      </w:r>
    </w:p>
    <w:p>
      <w:pPr>
        <w:pStyle w:val="11"/>
        <w:tabs>
          <w:tab w:val="right" w:leader="dot" w:pos="9069"/>
        </w:tabs>
        <w:snapToGrid w:val="0"/>
        <w:spacing w:line="240" w:lineRule="auto"/>
        <w:ind w:right="-28"/>
      </w:pPr>
      <w:r>
        <w:fldChar w:fldCharType="begin"/>
      </w:r>
      <w:r>
        <w:instrText xml:space="preserve"> HYPERLINK \l "_Toc17532" </w:instrText>
      </w:r>
      <w:r>
        <w:fldChar w:fldCharType="separate"/>
      </w:r>
      <w:r>
        <w:rPr>
          <w:rFonts w:hint="eastAsia" w:ascii="宋体" w:hAnsi="宋体"/>
          <w:szCs w:val="24"/>
        </w:rPr>
        <w:t>2.中标文件分项报价表</w:t>
      </w:r>
      <w:r>
        <w:tab/>
      </w:r>
      <w:r>
        <w:fldChar w:fldCharType="end"/>
      </w:r>
    </w:p>
    <w:p>
      <w:pPr>
        <w:pStyle w:val="11"/>
        <w:tabs>
          <w:tab w:val="right" w:leader="dot" w:pos="9069"/>
        </w:tabs>
        <w:snapToGrid w:val="0"/>
        <w:spacing w:line="240" w:lineRule="auto"/>
        <w:ind w:right="-28"/>
        <w:rPr>
          <w:rFonts w:ascii="宋体" w:hAnsi="宋体"/>
        </w:rPr>
      </w:pPr>
      <w:r>
        <w:fldChar w:fldCharType="begin"/>
      </w:r>
      <w:r>
        <w:instrText xml:space="preserve"> HYPERLINK \l "_Toc6933" </w:instrText>
      </w:r>
      <w:r>
        <w:fldChar w:fldCharType="separate"/>
      </w:r>
      <w:r>
        <w:rPr>
          <w:rFonts w:hint="eastAsia" w:ascii="宋体" w:hAnsi="宋体"/>
          <w:szCs w:val="24"/>
        </w:rPr>
        <w:t>3.含税分项报价汇总表</w:t>
      </w:r>
      <w:r>
        <w:tab/>
      </w:r>
      <w:r>
        <w:fldChar w:fldCharType="end"/>
      </w:r>
    </w:p>
    <w:p>
      <w:pPr>
        <w:pStyle w:val="11"/>
        <w:tabs>
          <w:tab w:val="right" w:leader="dot" w:pos="9069"/>
        </w:tabs>
        <w:snapToGrid w:val="0"/>
        <w:spacing w:line="240" w:lineRule="auto"/>
        <w:ind w:right="-28"/>
        <w:rPr>
          <w:rFonts w:ascii="宋体" w:hAnsi="宋体"/>
        </w:rPr>
      </w:pPr>
      <w:r>
        <w:fldChar w:fldCharType="begin"/>
      </w:r>
      <w:r>
        <w:instrText xml:space="preserve"> HYPERLINK \l "_Toc6933" </w:instrText>
      </w:r>
      <w:r>
        <w:fldChar w:fldCharType="separate"/>
      </w:r>
      <w:r>
        <w:rPr>
          <w:rFonts w:hint="eastAsia" w:ascii="宋体" w:hAnsi="宋体"/>
          <w:szCs w:val="24"/>
        </w:rPr>
        <w:t>4.含税分项分线报价表</w:t>
      </w:r>
      <w:r>
        <w:tab/>
      </w:r>
      <w:r>
        <w:fldChar w:fldCharType="end"/>
      </w:r>
    </w:p>
    <w:p>
      <w:pPr>
        <w:pStyle w:val="11"/>
        <w:tabs>
          <w:tab w:val="right" w:leader="dot" w:pos="9069"/>
        </w:tabs>
        <w:snapToGrid w:val="0"/>
        <w:spacing w:line="240" w:lineRule="auto"/>
        <w:ind w:right="-28"/>
      </w:pPr>
      <w:r>
        <w:fldChar w:fldCharType="begin"/>
      </w:r>
      <w:r>
        <w:instrText xml:space="preserve"> HYPERLINK \l "_Toc5274" </w:instrText>
      </w:r>
      <w:r>
        <w:fldChar w:fldCharType="separate"/>
      </w:r>
      <w:r>
        <w:rPr>
          <w:rFonts w:hint="eastAsia" w:ascii="宋体" w:hAnsi="宋体"/>
          <w:szCs w:val="24"/>
        </w:rPr>
        <w:t>附件3.1 含税分项报价汇总表</w:t>
      </w:r>
      <w:r>
        <w:tab/>
      </w:r>
      <w:r>
        <w:fldChar w:fldCharType="end"/>
      </w:r>
    </w:p>
    <w:p>
      <w:pPr>
        <w:pStyle w:val="11"/>
        <w:tabs>
          <w:tab w:val="right" w:leader="dot" w:pos="9069"/>
        </w:tabs>
        <w:snapToGrid w:val="0"/>
        <w:spacing w:line="240" w:lineRule="auto"/>
        <w:ind w:right="-28"/>
      </w:pPr>
      <w:r>
        <w:fldChar w:fldCharType="begin"/>
      </w:r>
      <w:r>
        <w:instrText xml:space="preserve"> HYPERLINK \l "_Toc22670" </w:instrText>
      </w:r>
      <w:r>
        <w:fldChar w:fldCharType="separate"/>
      </w:r>
      <w:r>
        <w:rPr>
          <w:rFonts w:hint="eastAsia" w:ascii="宋体" w:hAnsi="宋体"/>
          <w:szCs w:val="24"/>
        </w:rPr>
        <w:t>附件3.2 含税分项分线报价表</w:t>
      </w:r>
      <w:r>
        <w:tab/>
      </w:r>
      <w:r>
        <w:fldChar w:fldCharType="end"/>
      </w:r>
    </w:p>
    <w:p>
      <w:pPr>
        <w:pStyle w:val="23"/>
        <w:tabs>
          <w:tab w:val="right" w:leader="dot" w:pos="9069"/>
        </w:tabs>
        <w:snapToGrid w:val="0"/>
        <w:spacing w:line="240" w:lineRule="auto"/>
        <w:ind w:right="-28"/>
        <w:rPr>
          <w:b/>
          <w:bCs/>
        </w:rPr>
      </w:pPr>
      <w:r>
        <w:fldChar w:fldCharType="begin"/>
      </w:r>
      <w:r>
        <w:instrText xml:space="preserve"> HYPERLINK \l "_Toc16859" </w:instrText>
      </w:r>
      <w:r>
        <w:fldChar w:fldCharType="separate"/>
      </w:r>
      <w:r>
        <w:rPr>
          <w:rFonts w:hint="eastAsia" w:ascii="宋体" w:hAnsi="宋体"/>
          <w:b/>
          <w:bCs/>
          <w:szCs w:val="24"/>
        </w:rPr>
        <w:t>第四部分 合同条款</w:t>
      </w:r>
      <w:r>
        <w:rPr>
          <w:b/>
          <w:bCs/>
        </w:rPr>
        <w:tab/>
      </w:r>
      <w:r>
        <w:rPr>
          <w:b/>
          <w:bCs/>
        </w:rPr>
        <w:fldChar w:fldCharType="end"/>
      </w:r>
    </w:p>
    <w:p>
      <w:pPr>
        <w:pStyle w:val="11"/>
        <w:tabs>
          <w:tab w:val="right" w:leader="dot" w:pos="9069"/>
        </w:tabs>
        <w:snapToGrid w:val="0"/>
        <w:spacing w:line="240" w:lineRule="auto"/>
        <w:ind w:right="-28"/>
      </w:pPr>
      <w:r>
        <w:fldChar w:fldCharType="begin"/>
      </w:r>
      <w:r>
        <w:instrText xml:space="preserve"> HYPERLINK \l "_Toc21094" </w:instrText>
      </w:r>
      <w:r>
        <w:fldChar w:fldCharType="separate"/>
      </w:r>
      <w:r>
        <w:rPr>
          <w:rFonts w:hint="eastAsia" w:ascii="宋体" w:hAnsi="宋体"/>
        </w:rPr>
        <w:t>1.定义及解释</w:t>
      </w:r>
      <w:r>
        <w:tab/>
      </w:r>
      <w:r>
        <w:fldChar w:fldCharType="end"/>
      </w:r>
    </w:p>
    <w:p>
      <w:pPr>
        <w:pStyle w:val="11"/>
        <w:tabs>
          <w:tab w:val="right" w:leader="dot" w:pos="9069"/>
        </w:tabs>
        <w:snapToGrid w:val="0"/>
        <w:spacing w:line="240" w:lineRule="auto"/>
        <w:ind w:right="-28"/>
      </w:pPr>
      <w:r>
        <w:fldChar w:fldCharType="begin"/>
      </w:r>
      <w:r>
        <w:instrText xml:space="preserve"> HYPERLINK \l "_Toc14242" </w:instrText>
      </w:r>
      <w:r>
        <w:fldChar w:fldCharType="separate"/>
      </w:r>
      <w:r>
        <w:rPr>
          <w:rFonts w:hint="eastAsia" w:ascii="宋体" w:hAnsi="宋体"/>
        </w:rPr>
        <w:t>2.适用性</w:t>
      </w:r>
      <w:r>
        <w:tab/>
      </w:r>
      <w:r>
        <w:fldChar w:fldCharType="end"/>
      </w:r>
    </w:p>
    <w:p>
      <w:pPr>
        <w:pStyle w:val="11"/>
        <w:tabs>
          <w:tab w:val="right" w:leader="dot" w:pos="9069"/>
        </w:tabs>
        <w:snapToGrid w:val="0"/>
        <w:spacing w:line="240" w:lineRule="auto"/>
        <w:ind w:right="-28"/>
      </w:pPr>
      <w:r>
        <w:fldChar w:fldCharType="begin"/>
      </w:r>
      <w:r>
        <w:instrText xml:space="preserve"> HYPERLINK \l "_Toc3784" </w:instrText>
      </w:r>
      <w:r>
        <w:fldChar w:fldCharType="separate"/>
      </w:r>
      <w:r>
        <w:rPr>
          <w:rFonts w:hint="eastAsia" w:ascii="宋体" w:hAnsi="宋体"/>
        </w:rPr>
        <w:t>3.语言文字</w:t>
      </w:r>
      <w:r>
        <w:tab/>
      </w:r>
      <w:r>
        <w:fldChar w:fldCharType="end"/>
      </w:r>
    </w:p>
    <w:p>
      <w:pPr>
        <w:pStyle w:val="11"/>
        <w:tabs>
          <w:tab w:val="right" w:leader="dot" w:pos="9069"/>
        </w:tabs>
        <w:snapToGrid w:val="0"/>
        <w:spacing w:line="240" w:lineRule="auto"/>
        <w:ind w:right="-28"/>
      </w:pPr>
      <w:r>
        <w:fldChar w:fldCharType="begin"/>
      </w:r>
      <w:r>
        <w:instrText xml:space="preserve"> HYPERLINK \l "_Toc21254" </w:instrText>
      </w:r>
      <w:r>
        <w:fldChar w:fldCharType="separate"/>
      </w:r>
      <w:r>
        <w:rPr>
          <w:rFonts w:hint="eastAsia" w:ascii="宋体" w:hAnsi="宋体"/>
        </w:rPr>
        <w:t>4.适用法律、标准和规范</w:t>
      </w:r>
      <w:r>
        <w:tab/>
      </w:r>
      <w:r>
        <w:fldChar w:fldCharType="end"/>
      </w:r>
    </w:p>
    <w:p>
      <w:pPr>
        <w:pStyle w:val="11"/>
        <w:tabs>
          <w:tab w:val="right" w:leader="dot" w:pos="9069"/>
        </w:tabs>
        <w:snapToGrid w:val="0"/>
        <w:spacing w:line="240" w:lineRule="auto"/>
        <w:ind w:right="-28"/>
      </w:pPr>
      <w:r>
        <w:fldChar w:fldCharType="begin"/>
      </w:r>
      <w:r>
        <w:instrText xml:space="preserve"> HYPERLINK \l "_Toc14774" </w:instrText>
      </w:r>
      <w:r>
        <w:fldChar w:fldCharType="separate"/>
      </w:r>
      <w:r>
        <w:rPr>
          <w:rFonts w:hint="eastAsia" w:ascii="宋体" w:hAnsi="宋体"/>
        </w:rPr>
        <w:t>5.合同文件、资料及使用</w:t>
      </w:r>
      <w:r>
        <w:tab/>
      </w:r>
      <w:r>
        <w:fldChar w:fldCharType="end"/>
      </w:r>
    </w:p>
    <w:p>
      <w:pPr>
        <w:pStyle w:val="11"/>
        <w:tabs>
          <w:tab w:val="right" w:leader="dot" w:pos="9069"/>
        </w:tabs>
        <w:snapToGrid w:val="0"/>
        <w:spacing w:line="240" w:lineRule="auto"/>
        <w:ind w:right="-28"/>
      </w:pPr>
      <w:r>
        <w:fldChar w:fldCharType="begin"/>
      </w:r>
      <w:r>
        <w:instrText xml:space="preserve"> HYPERLINK \l "_Toc10985" </w:instrText>
      </w:r>
      <w:r>
        <w:fldChar w:fldCharType="separate"/>
      </w:r>
      <w:r>
        <w:rPr>
          <w:rFonts w:hint="eastAsia" w:ascii="宋体" w:hAnsi="宋体"/>
        </w:rPr>
        <w:t>6.知识产权</w:t>
      </w:r>
      <w:r>
        <w:tab/>
      </w:r>
      <w:r>
        <w:fldChar w:fldCharType="end"/>
      </w:r>
    </w:p>
    <w:p>
      <w:pPr>
        <w:pStyle w:val="11"/>
        <w:tabs>
          <w:tab w:val="right" w:leader="dot" w:pos="9069"/>
        </w:tabs>
        <w:snapToGrid w:val="0"/>
        <w:spacing w:line="240" w:lineRule="auto"/>
        <w:ind w:right="-28"/>
      </w:pPr>
      <w:r>
        <w:fldChar w:fldCharType="begin"/>
      </w:r>
      <w:r>
        <w:instrText xml:space="preserve"> HYPERLINK \l "_Toc10985" </w:instrText>
      </w:r>
      <w:r>
        <w:fldChar w:fldCharType="separate"/>
      </w:r>
      <w:r>
        <w:rPr>
          <w:rFonts w:hint="eastAsia" w:ascii="宋体" w:hAnsi="宋体"/>
        </w:rPr>
        <w:t>7.履约担保</w:t>
      </w:r>
      <w:r>
        <w:tab/>
      </w:r>
      <w:r>
        <w:fldChar w:fldCharType="end"/>
      </w:r>
    </w:p>
    <w:p>
      <w:pPr>
        <w:pStyle w:val="11"/>
        <w:tabs>
          <w:tab w:val="right" w:leader="dot" w:pos="9069"/>
        </w:tabs>
        <w:snapToGrid w:val="0"/>
        <w:spacing w:line="240" w:lineRule="auto"/>
        <w:ind w:right="-28"/>
      </w:pPr>
      <w:r>
        <w:fldChar w:fldCharType="begin"/>
      </w:r>
      <w:r>
        <w:instrText xml:space="preserve"> HYPERLINK \l "_Toc3133" </w:instrText>
      </w:r>
      <w:r>
        <w:fldChar w:fldCharType="separate"/>
      </w:r>
      <w:r>
        <w:rPr>
          <w:rFonts w:hint="eastAsia" w:ascii="宋体" w:hAnsi="宋体"/>
        </w:rPr>
        <w:t>8.合同价格</w:t>
      </w:r>
      <w:r>
        <w:tab/>
      </w:r>
      <w:r>
        <w:fldChar w:fldCharType="end"/>
      </w:r>
    </w:p>
    <w:p>
      <w:pPr>
        <w:pStyle w:val="11"/>
        <w:tabs>
          <w:tab w:val="right" w:leader="dot" w:pos="9069"/>
        </w:tabs>
        <w:snapToGrid w:val="0"/>
        <w:spacing w:line="240" w:lineRule="auto"/>
        <w:ind w:right="-28"/>
      </w:pPr>
      <w:r>
        <w:fldChar w:fldCharType="begin"/>
      </w:r>
      <w:r>
        <w:instrText xml:space="preserve"> HYPERLINK \l "_Toc7020" </w:instrText>
      </w:r>
      <w:r>
        <w:fldChar w:fldCharType="separate"/>
      </w:r>
      <w:r>
        <w:rPr>
          <w:rFonts w:hint="eastAsia" w:ascii="宋体" w:hAnsi="宋体"/>
        </w:rPr>
        <w:t>9.合同有效期</w:t>
      </w:r>
      <w:r>
        <w:tab/>
      </w:r>
      <w:r>
        <w:fldChar w:fldCharType="end"/>
      </w:r>
    </w:p>
    <w:p>
      <w:pPr>
        <w:pStyle w:val="11"/>
        <w:tabs>
          <w:tab w:val="right" w:leader="dot" w:pos="9069"/>
        </w:tabs>
        <w:snapToGrid w:val="0"/>
        <w:spacing w:line="240" w:lineRule="auto"/>
        <w:ind w:right="-28"/>
      </w:pPr>
      <w:r>
        <w:fldChar w:fldCharType="begin"/>
      </w:r>
      <w:r>
        <w:instrText xml:space="preserve"> HYPERLINK \l "_Toc7816" </w:instrText>
      </w:r>
      <w:r>
        <w:fldChar w:fldCharType="separate"/>
      </w:r>
      <w:r>
        <w:rPr>
          <w:rFonts w:hint="eastAsia" w:ascii="宋体" w:hAnsi="宋体"/>
        </w:rPr>
        <w:t>10.合同价款支付方式</w:t>
      </w:r>
      <w:r>
        <w:tab/>
      </w:r>
      <w:r>
        <w:fldChar w:fldCharType="end"/>
      </w:r>
    </w:p>
    <w:p>
      <w:pPr>
        <w:pStyle w:val="11"/>
        <w:tabs>
          <w:tab w:val="right" w:leader="dot" w:pos="9069"/>
        </w:tabs>
        <w:snapToGrid w:val="0"/>
        <w:spacing w:line="240" w:lineRule="auto"/>
        <w:ind w:right="-28"/>
      </w:pPr>
      <w:r>
        <w:fldChar w:fldCharType="begin"/>
      </w:r>
      <w:r>
        <w:instrText xml:space="preserve"> HYPERLINK \l "_Toc16282" </w:instrText>
      </w:r>
      <w:r>
        <w:fldChar w:fldCharType="separate"/>
      </w:r>
      <w:r>
        <w:rPr>
          <w:rFonts w:hint="eastAsia" w:ascii="宋体" w:hAnsi="宋体"/>
        </w:rPr>
        <w:t>11.合同变更与修改</w:t>
      </w:r>
      <w:r>
        <w:tab/>
      </w:r>
      <w:r>
        <w:fldChar w:fldCharType="end"/>
      </w:r>
    </w:p>
    <w:p>
      <w:pPr>
        <w:pStyle w:val="11"/>
        <w:tabs>
          <w:tab w:val="right" w:leader="dot" w:pos="9069"/>
        </w:tabs>
        <w:snapToGrid w:val="0"/>
        <w:spacing w:line="240" w:lineRule="auto"/>
        <w:ind w:right="-28"/>
      </w:pPr>
      <w:r>
        <w:fldChar w:fldCharType="begin"/>
      </w:r>
      <w:r>
        <w:instrText xml:space="preserve"> HYPERLINK \l "_Toc5045" </w:instrText>
      </w:r>
      <w:r>
        <w:fldChar w:fldCharType="separate"/>
      </w:r>
      <w:r>
        <w:rPr>
          <w:rFonts w:hint="eastAsia" w:ascii="宋体" w:hAnsi="宋体"/>
        </w:rPr>
        <w:t>11.违约责任</w:t>
      </w:r>
      <w:r>
        <w:tab/>
      </w:r>
      <w:r>
        <w:fldChar w:fldCharType="end"/>
      </w:r>
    </w:p>
    <w:p>
      <w:pPr>
        <w:pStyle w:val="11"/>
        <w:tabs>
          <w:tab w:val="right" w:leader="dot" w:pos="9069"/>
        </w:tabs>
        <w:snapToGrid w:val="0"/>
        <w:spacing w:line="240" w:lineRule="auto"/>
        <w:ind w:right="-28"/>
      </w:pPr>
      <w:r>
        <w:fldChar w:fldCharType="begin"/>
      </w:r>
      <w:r>
        <w:instrText xml:space="preserve"> HYPERLINK \l "_Toc25037" </w:instrText>
      </w:r>
      <w:r>
        <w:fldChar w:fldCharType="separate"/>
      </w:r>
      <w:r>
        <w:rPr>
          <w:rFonts w:hint="eastAsia" w:ascii="宋体" w:hAnsi="宋体"/>
        </w:rPr>
        <w:t>13.索赔与赔偿</w:t>
      </w:r>
      <w:r>
        <w:tab/>
      </w:r>
      <w:r>
        <w:fldChar w:fldCharType="end"/>
      </w:r>
    </w:p>
    <w:p>
      <w:pPr>
        <w:pStyle w:val="11"/>
        <w:tabs>
          <w:tab w:val="right" w:leader="dot" w:pos="9069"/>
        </w:tabs>
        <w:snapToGrid w:val="0"/>
        <w:spacing w:line="240" w:lineRule="auto"/>
        <w:ind w:right="-28"/>
      </w:pPr>
      <w:r>
        <w:fldChar w:fldCharType="begin"/>
      </w:r>
      <w:r>
        <w:instrText xml:space="preserve"> HYPERLINK \l "_Toc27831" </w:instrText>
      </w:r>
      <w:r>
        <w:fldChar w:fldCharType="separate"/>
      </w:r>
      <w:r>
        <w:rPr>
          <w:rFonts w:hint="eastAsia" w:ascii="宋体" w:hAnsi="宋体"/>
        </w:rPr>
        <w:t>14.合同转让、分包和中止</w:t>
      </w:r>
      <w:r>
        <w:tab/>
      </w:r>
      <w:r>
        <w:fldChar w:fldCharType="end"/>
      </w:r>
    </w:p>
    <w:p>
      <w:pPr>
        <w:pStyle w:val="11"/>
        <w:tabs>
          <w:tab w:val="right" w:leader="dot" w:pos="9069"/>
        </w:tabs>
        <w:snapToGrid w:val="0"/>
        <w:spacing w:line="240" w:lineRule="auto"/>
        <w:ind w:right="-28"/>
      </w:pPr>
      <w:r>
        <w:fldChar w:fldCharType="begin"/>
      </w:r>
      <w:r>
        <w:instrText xml:space="preserve"> HYPERLINK \l "_Toc12056" </w:instrText>
      </w:r>
      <w:r>
        <w:fldChar w:fldCharType="separate"/>
      </w:r>
      <w:r>
        <w:rPr>
          <w:rFonts w:hint="eastAsia" w:ascii="宋体" w:hAnsi="宋体"/>
        </w:rPr>
        <w:t>15.合同终止</w:t>
      </w:r>
      <w:r>
        <w:tab/>
      </w:r>
      <w:r>
        <w:fldChar w:fldCharType="end"/>
      </w:r>
    </w:p>
    <w:p>
      <w:pPr>
        <w:pStyle w:val="11"/>
        <w:tabs>
          <w:tab w:val="right" w:leader="dot" w:pos="9069"/>
        </w:tabs>
        <w:snapToGrid w:val="0"/>
        <w:spacing w:line="240" w:lineRule="auto"/>
        <w:ind w:right="-28"/>
      </w:pPr>
      <w:r>
        <w:fldChar w:fldCharType="begin"/>
      </w:r>
      <w:r>
        <w:instrText xml:space="preserve"> HYPERLINK \l "_Toc13964" </w:instrText>
      </w:r>
      <w:r>
        <w:fldChar w:fldCharType="separate"/>
      </w:r>
      <w:r>
        <w:rPr>
          <w:rFonts w:hint="eastAsia" w:ascii="宋体" w:hAnsi="宋体"/>
        </w:rPr>
        <w:t>16.不可抗力</w:t>
      </w:r>
      <w:r>
        <w:tab/>
      </w:r>
      <w:r>
        <w:fldChar w:fldCharType="end"/>
      </w:r>
    </w:p>
    <w:p>
      <w:pPr>
        <w:pStyle w:val="11"/>
        <w:tabs>
          <w:tab w:val="right" w:leader="dot" w:pos="9069"/>
        </w:tabs>
        <w:snapToGrid w:val="0"/>
        <w:spacing w:line="240" w:lineRule="auto"/>
        <w:ind w:right="-28"/>
      </w:pPr>
      <w:r>
        <w:fldChar w:fldCharType="begin"/>
      </w:r>
      <w:r>
        <w:instrText xml:space="preserve"> HYPERLINK \l "_Toc864" </w:instrText>
      </w:r>
      <w:r>
        <w:fldChar w:fldCharType="separate"/>
      </w:r>
      <w:r>
        <w:rPr>
          <w:rFonts w:hint="eastAsia" w:ascii="宋体" w:hAnsi="宋体"/>
        </w:rPr>
        <w:t>17.通知</w:t>
      </w:r>
      <w:r>
        <w:tab/>
      </w:r>
      <w:r>
        <w:fldChar w:fldCharType="end"/>
      </w:r>
    </w:p>
    <w:p>
      <w:pPr>
        <w:pStyle w:val="11"/>
        <w:tabs>
          <w:tab w:val="right" w:leader="dot" w:pos="9069"/>
        </w:tabs>
        <w:snapToGrid w:val="0"/>
        <w:spacing w:line="240" w:lineRule="auto"/>
        <w:ind w:right="-28"/>
      </w:pPr>
      <w:r>
        <w:fldChar w:fldCharType="begin"/>
      </w:r>
      <w:r>
        <w:instrText xml:space="preserve"> HYPERLINK \l "_Toc1293" </w:instrText>
      </w:r>
      <w:r>
        <w:fldChar w:fldCharType="separate"/>
      </w:r>
      <w:r>
        <w:rPr>
          <w:rFonts w:hint="eastAsia" w:ascii="宋体" w:hAnsi="宋体"/>
        </w:rPr>
        <w:t>18.争端的解决</w:t>
      </w:r>
      <w:r>
        <w:tab/>
      </w:r>
      <w:r>
        <w:fldChar w:fldCharType="end"/>
      </w:r>
    </w:p>
    <w:p>
      <w:pPr>
        <w:pStyle w:val="11"/>
        <w:tabs>
          <w:tab w:val="right" w:leader="dot" w:pos="9069"/>
        </w:tabs>
        <w:snapToGrid w:val="0"/>
        <w:spacing w:line="240" w:lineRule="auto"/>
        <w:ind w:right="-28"/>
      </w:pPr>
      <w:r>
        <w:fldChar w:fldCharType="begin"/>
      </w:r>
      <w:r>
        <w:instrText xml:space="preserve"> HYPERLINK \l "_Toc30322" </w:instrText>
      </w:r>
      <w:r>
        <w:fldChar w:fldCharType="separate"/>
      </w:r>
      <w:r>
        <w:rPr>
          <w:rFonts w:hint="eastAsia" w:ascii="宋体" w:hAnsi="宋体"/>
        </w:rPr>
        <w:t>19.适用法律</w:t>
      </w:r>
      <w:r>
        <w:tab/>
      </w:r>
      <w:r>
        <w:fldChar w:fldCharType="end"/>
      </w:r>
    </w:p>
    <w:p>
      <w:pPr>
        <w:pStyle w:val="11"/>
        <w:tabs>
          <w:tab w:val="right" w:leader="dot" w:pos="9069"/>
        </w:tabs>
        <w:snapToGrid w:val="0"/>
        <w:spacing w:line="240" w:lineRule="auto"/>
        <w:ind w:right="-28"/>
      </w:pPr>
      <w:r>
        <w:fldChar w:fldCharType="begin"/>
      </w:r>
      <w:r>
        <w:instrText xml:space="preserve"> HYPERLINK \l "_Toc2284" </w:instrText>
      </w:r>
      <w:r>
        <w:fldChar w:fldCharType="separate"/>
      </w:r>
      <w:r>
        <w:rPr>
          <w:rFonts w:hint="eastAsia" w:ascii="宋体" w:hAnsi="宋体"/>
        </w:rPr>
        <w:t>20.其他</w:t>
      </w:r>
      <w:r>
        <w:tab/>
      </w:r>
      <w:r>
        <w:fldChar w:fldCharType="end"/>
      </w:r>
    </w:p>
    <w:p>
      <w:pPr>
        <w:pStyle w:val="11"/>
        <w:tabs>
          <w:tab w:val="right" w:leader="dot" w:pos="9069"/>
        </w:tabs>
        <w:snapToGrid w:val="0"/>
        <w:spacing w:line="240" w:lineRule="auto"/>
        <w:ind w:right="-28"/>
      </w:pPr>
      <w:r>
        <w:fldChar w:fldCharType="begin"/>
      </w:r>
      <w:r>
        <w:instrText xml:space="preserve"> HYPERLINK \l "_Toc2284" </w:instrText>
      </w:r>
      <w:r>
        <w:fldChar w:fldCharType="separate"/>
      </w:r>
      <w:r>
        <w:rPr>
          <w:rFonts w:hint="eastAsia" w:ascii="宋体" w:hAnsi="宋体"/>
        </w:rPr>
        <w:t>21.廉洁条款特别约定</w:t>
      </w:r>
      <w:r>
        <w:tab/>
      </w:r>
      <w:r>
        <w:fldChar w:fldCharType="end"/>
      </w:r>
    </w:p>
    <w:p>
      <w:pPr>
        <w:pStyle w:val="11"/>
        <w:tabs>
          <w:tab w:val="right" w:leader="dot" w:pos="9069"/>
        </w:tabs>
        <w:snapToGrid w:val="0"/>
        <w:spacing w:line="240" w:lineRule="auto"/>
        <w:ind w:right="-28"/>
      </w:pPr>
      <w:r>
        <w:fldChar w:fldCharType="begin"/>
      </w:r>
      <w:r>
        <w:instrText xml:space="preserve"> HYPERLINK \l "_Toc11519" </w:instrText>
      </w:r>
      <w:r>
        <w:fldChar w:fldCharType="separate"/>
      </w:r>
      <w:r>
        <w:rPr>
          <w:rFonts w:hint="eastAsia" w:ascii="宋体" w:hAnsi="宋体"/>
        </w:rPr>
        <w:t>32.合同生效和签约地</w:t>
      </w:r>
      <w:r>
        <w:tab/>
      </w:r>
      <w:r>
        <w:fldChar w:fldCharType="end"/>
      </w:r>
    </w:p>
    <w:p>
      <w:pPr>
        <w:pStyle w:val="23"/>
        <w:tabs>
          <w:tab w:val="right" w:leader="dot" w:pos="9069"/>
        </w:tabs>
        <w:snapToGrid w:val="0"/>
        <w:spacing w:line="240" w:lineRule="auto"/>
        <w:ind w:right="-28"/>
        <w:rPr>
          <w:b/>
          <w:bCs/>
        </w:rPr>
      </w:pPr>
      <w:r>
        <w:rPr>
          <w:b/>
          <w:bCs/>
        </w:rPr>
        <w:t>第</w:t>
      </w:r>
      <w:r>
        <w:rPr>
          <w:rFonts w:hint="eastAsia"/>
          <w:b/>
          <w:bCs/>
        </w:rPr>
        <w:t>五</w:t>
      </w:r>
      <w:r>
        <w:rPr>
          <w:b/>
          <w:bCs/>
        </w:rPr>
        <w:t>部分</w:t>
      </w:r>
      <w:r>
        <w:rPr>
          <w:rFonts w:hint="eastAsia"/>
          <w:b/>
          <w:bCs/>
        </w:rPr>
        <w:t xml:space="preserve"> 技术规格书</w:t>
      </w:r>
      <w:r>
        <w:fldChar w:fldCharType="begin"/>
      </w:r>
      <w:r>
        <w:instrText xml:space="preserve"> HYPERLINK \l "_Toc25207" </w:instrText>
      </w:r>
      <w:r>
        <w:fldChar w:fldCharType="separate"/>
      </w:r>
      <w:r>
        <w:rPr>
          <w:b/>
          <w:bCs/>
        </w:rPr>
        <w:tab/>
      </w:r>
      <w:r>
        <w:rPr>
          <w:b/>
          <w:bCs/>
        </w:rPr>
        <w:fldChar w:fldCharType="end"/>
      </w:r>
    </w:p>
    <w:p>
      <w:pPr>
        <w:pStyle w:val="23"/>
        <w:tabs>
          <w:tab w:val="right" w:leader="dot" w:pos="9069"/>
        </w:tabs>
        <w:snapToGrid w:val="0"/>
        <w:spacing w:line="240" w:lineRule="auto"/>
        <w:ind w:right="-28"/>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六</w:t>
      </w:r>
      <w:r>
        <w:rPr>
          <w:rFonts w:ascii="宋体" w:hAnsi="宋体"/>
          <w:b/>
          <w:bCs/>
          <w:iCs/>
        </w:rPr>
        <w:t>部分</w:t>
      </w:r>
      <w:r>
        <w:rPr>
          <w:rFonts w:hint="eastAsia" w:ascii="宋体" w:hAnsi="宋体"/>
          <w:b/>
          <w:bCs/>
          <w:iCs/>
        </w:rPr>
        <w:t xml:space="preserve"> </w:t>
      </w:r>
      <w:r>
        <w:rPr>
          <w:rFonts w:ascii="宋体" w:hAnsi="宋体"/>
          <w:b/>
          <w:bCs/>
          <w:iCs/>
        </w:rPr>
        <w:t>合同附件</w:t>
      </w:r>
      <w:r>
        <w:rPr>
          <w:b/>
          <w:bCs/>
        </w:rPr>
        <w:tab/>
      </w:r>
      <w:r>
        <w:rPr>
          <w:b/>
          <w:bCs/>
        </w:rPr>
        <w:fldChar w:fldCharType="end"/>
      </w:r>
    </w:p>
    <w:p>
      <w:pPr>
        <w:pStyle w:val="11"/>
        <w:tabs>
          <w:tab w:val="right" w:leader="dot" w:pos="9069"/>
        </w:tabs>
        <w:snapToGrid w:val="0"/>
        <w:spacing w:line="240" w:lineRule="auto"/>
        <w:ind w:right="-28"/>
      </w:pPr>
      <w:r>
        <w:fldChar w:fldCharType="begin"/>
      </w:r>
      <w:r>
        <w:instrText xml:space="preserve"> HYPERLINK \l "_Toc16698" </w:instrText>
      </w:r>
      <w:r>
        <w:fldChar w:fldCharType="separate"/>
      </w:r>
      <w:r>
        <w:rPr>
          <w:rFonts w:hint="eastAsia" w:ascii="宋体" w:hAnsi="宋体"/>
          <w:szCs w:val="24"/>
        </w:rPr>
        <w:t>1.履约保证金缴纳凭证（履约保函格式附后）</w:t>
      </w:r>
      <w:r>
        <w:tab/>
      </w:r>
      <w:r>
        <w:fldChar w:fldCharType="end"/>
      </w:r>
    </w:p>
    <w:p>
      <w:pPr>
        <w:pStyle w:val="11"/>
        <w:tabs>
          <w:tab w:val="right" w:leader="dot" w:pos="9069"/>
        </w:tabs>
        <w:snapToGrid w:val="0"/>
        <w:spacing w:line="240" w:lineRule="auto"/>
        <w:ind w:right="-28"/>
        <w:rPr>
          <w:rFonts w:ascii="宋体" w:hAnsi="宋体"/>
          <w:szCs w:val="24"/>
        </w:rPr>
      </w:pPr>
      <w:r>
        <w:rPr>
          <w:rFonts w:ascii="宋体" w:hAnsi="宋体"/>
          <w:szCs w:val="24"/>
        </w:rPr>
        <w:fldChar w:fldCharType="begin"/>
      </w:r>
      <w:r>
        <w:rPr>
          <w:rFonts w:ascii="宋体" w:hAnsi="宋体"/>
          <w:szCs w:val="24"/>
        </w:rPr>
        <w:instrText xml:space="preserve"> HYPERLINK \l "_Toc16698" </w:instrText>
      </w:r>
      <w:r>
        <w:rPr>
          <w:rFonts w:ascii="宋体" w:hAnsi="宋体"/>
          <w:szCs w:val="24"/>
        </w:rPr>
        <w:fldChar w:fldCharType="separate"/>
      </w:r>
      <w:r>
        <w:rPr>
          <w:rFonts w:hint="eastAsia" w:ascii="宋体" w:hAnsi="宋体"/>
          <w:szCs w:val="24"/>
        </w:rPr>
        <w:t>2.乙方营业执照或资质证书等</w:t>
      </w:r>
      <w:r>
        <w:tab/>
      </w:r>
    </w:p>
    <w:p>
      <w:pPr>
        <w:pStyle w:val="11"/>
        <w:tabs>
          <w:tab w:val="right" w:leader="dot" w:pos="9069"/>
        </w:tabs>
        <w:snapToGrid w:val="0"/>
        <w:spacing w:line="240" w:lineRule="auto"/>
        <w:ind w:right="-28"/>
        <w:rPr>
          <w:rFonts w:ascii="宋体" w:hAnsi="宋体"/>
          <w:szCs w:val="24"/>
        </w:rPr>
      </w:pPr>
      <w:r>
        <w:rPr>
          <w:rFonts w:hint="eastAsia" w:ascii="宋体" w:hAnsi="宋体"/>
          <w:szCs w:val="24"/>
        </w:rPr>
        <w:t>3.乙方法人授权委托书（如有）</w:t>
      </w:r>
      <w:r>
        <w:tab/>
      </w:r>
      <w:r>
        <w:rPr>
          <w:rFonts w:ascii="宋体" w:hAnsi="宋体"/>
          <w:szCs w:val="24"/>
        </w:rPr>
        <w:fldChar w:fldCharType="end"/>
      </w:r>
    </w:p>
    <w:p>
      <w:pPr>
        <w:pStyle w:val="11"/>
        <w:tabs>
          <w:tab w:val="right" w:leader="dot" w:pos="9069"/>
        </w:tabs>
        <w:snapToGrid w:val="0"/>
        <w:spacing w:line="240" w:lineRule="auto"/>
        <w:ind w:right="-28"/>
      </w:pPr>
      <w:r>
        <w:fldChar w:fldCharType="begin"/>
      </w:r>
      <w:r>
        <w:instrText xml:space="preserve"> HYPERLINK \l "_Toc28104" </w:instrText>
      </w:r>
      <w:r>
        <w:fldChar w:fldCharType="separate"/>
      </w:r>
      <w:r>
        <w:rPr>
          <w:rFonts w:hint="eastAsia" w:ascii="宋体" w:hAnsi="宋体"/>
          <w:szCs w:val="24"/>
        </w:rPr>
        <w:t>4.原厂授权证明（如有）</w:t>
      </w:r>
      <w:r>
        <w:tab/>
      </w:r>
      <w:r>
        <w:fldChar w:fldCharType="end"/>
      </w:r>
    </w:p>
    <w:p>
      <w:pPr>
        <w:pStyle w:val="11"/>
        <w:tabs>
          <w:tab w:val="right" w:leader="dot" w:pos="9069"/>
        </w:tabs>
        <w:snapToGrid w:val="0"/>
        <w:spacing w:line="240" w:lineRule="auto"/>
        <w:ind w:right="-28"/>
      </w:pPr>
      <w:r>
        <w:fldChar w:fldCharType="begin"/>
      </w:r>
      <w:r>
        <w:instrText xml:space="preserve"> HYPERLINK \l "_Toc7738" </w:instrText>
      </w:r>
      <w:r>
        <w:fldChar w:fldCharType="separate"/>
      </w:r>
      <w:r>
        <w:rPr>
          <w:rFonts w:hint="eastAsia" w:ascii="宋体" w:hAnsi="宋体"/>
          <w:szCs w:val="24"/>
        </w:rPr>
        <w:t>5.供货证明格式</w:t>
      </w:r>
      <w:r>
        <w:tab/>
      </w:r>
      <w:r>
        <w:fldChar w:fldCharType="end"/>
      </w:r>
    </w:p>
    <w:p>
      <w:pPr>
        <w:pStyle w:val="11"/>
        <w:tabs>
          <w:tab w:val="right" w:leader="dot" w:pos="9069"/>
        </w:tabs>
        <w:snapToGrid w:val="0"/>
        <w:spacing w:line="240" w:lineRule="auto"/>
        <w:ind w:right="-28"/>
      </w:pPr>
      <w:r>
        <w:fldChar w:fldCharType="begin"/>
      </w:r>
      <w:r>
        <w:instrText xml:space="preserve"> HYPERLINK \l "_Toc8452" </w:instrText>
      </w:r>
      <w:r>
        <w:fldChar w:fldCharType="separate"/>
      </w:r>
      <w:r>
        <w:rPr>
          <w:rFonts w:hint="eastAsia" w:ascii="宋体" w:hAnsi="宋体"/>
          <w:szCs w:val="24"/>
        </w:rPr>
        <w:t>6.</w:t>
      </w:r>
      <w:r>
        <w:rPr>
          <w:rFonts w:hint="eastAsia" w:ascii="宋体" w:hAnsi="宋体"/>
          <w:szCs w:val="24"/>
          <w:lang w:val="en-US" w:eastAsia="zh-CN"/>
        </w:rPr>
        <w:t>供货</w:t>
      </w:r>
      <w:r>
        <w:rPr>
          <w:rFonts w:hint="eastAsia" w:ascii="宋体" w:hAnsi="宋体"/>
          <w:szCs w:val="24"/>
          <w:lang w:eastAsia="zh-CN"/>
        </w:rPr>
        <w:t>通知</w:t>
      </w:r>
      <w:r>
        <w:rPr>
          <w:rFonts w:hint="eastAsia" w:ascii="宋体" w:hAnsi="宋体"/>
          <w:szCs w:val="24"/>
        </w:rPr>
        <w:t>格式</w:t>
      </w:r>
      <w:r>
        <w:tab/>
      </w:r>
      <w:r>
        <w:fldChar w:fldCharType="end"/>
      </w:r>
    </w:p>
    <w:p>
      <w:pPr>
        <w:pStyle w:val="11"/>
        <w:tabs>
          <w:tab w:val="right" w:leader="dot" w:pos="9069"/>
        </w:tabs>
        <w:snapToGrid w:val="0"/>
        <w:spacing w:line="240" w:lineRule="auto"/>
        <w:ind w:right="-28"/>
        <w:rPr>
          <w:rFonts w:ascii="宋体" w:hAnsi="宋体"/>
          <w:szCs w:val="24"/>
        </w:rPr>
      </w:pPr>
      <w:r>
        <w:fldChar w:fldCharType="begin"/>
      </w:r>
      <w:r>
        <w:instrText xml:space="preserve"> HYPERLINK \l "_Toc30967" </w:instrText>
      </w:r>
      <w:r>
        <w:fldChar w:fldCharType="separate"/>
      </w:r>
      <w:r>
        <w:rPr>
          <w:rFonts w:hint="eastAsia" w:ascii="宋体" w:hAnsi="宋体"/>
          <w:szCs w:val="24"/>
        </w:rPr>
        <w:t>7.送货单格式</w:t>
      </w:r>
      <w:r>
        <w:tab/>
      </w:r>
      <w:r>
        <w:fldChar w:fldCharType="end"/>
      </w:r>
    </w:p>
    <w:p>
      <w:pPr>
        <w:pStyle w:val="23"/>
        <w:tabs>
          <w:tab w:val="right" w:leader="dot" w:pos="9069"/>
        </w:tabs>
        <w:snapToGrid w:val="0"/>
        <w:spacing w:line="240" w:lineRule="auto"/>
        <w:ind w:right="-28"/>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七</w:t>
      </w:r>
      <w:r>
        <w:rPr>
          <w:rFonts w:ascii="宋体" w:hAnsi="宋体"/>
          <w:b/>
          <w:bCs/>
          <w:iCs/>
        </w:rPr>
        <w:t>部分</w:t>
      </w:r>
      <w:r>
        <w:rPr>
          <w:rFonts w:hint="eastAsia" w:ascii="宋体" w:hAnsi="宋体"/>
          <w:b/>
          <w:bCs/>
          <w:iCs/>
        </w:rPr>
        <w:t xml:space="preserve"> 比选文件</w:t>
      </w:r>
      <w:r>
        <w:rPr>
          <w:b/>
          <w:bCs/>
        </w:rPr>
        <w:tab/>
      </w:r>
      <w:r>
        <w:rPr>
          <w:b/>
          <w:bCs/>
        </w:rPr>
        <w:fldChar w:fldCharType="end"/>
      </w:r>
    </w:p>
    <w:p>
      <w:pPr>
        <w:pStyle w:val="23"/>
        <w:tabs>
          <w:tab w:val="right" w:leader="dot" w:pos="9069"/>
        </w:tabs>
        <w:snapToGrid w:val="0"/>
        <w:spacing w:line="240" w:lineRule="auto"/>
        <w:ind w:right="-28"/>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八</w:t>
      </w:r>
      <w:r>
        <w:rPr>
          <w:rFonts w:ascii="宋体" w:hAnsi="宋体"/>
          <w:b/>
          <w:bCs/>
          <w:iCs/>
        </w:rPr>
        <w:t>部分</w:t>
      </w:r>
      <w:r>
        <w:rPr>
          <w:rFonts w:hint="eastAsia" w:ascii="宋体" w:hAnsi="宋体"/>
          <w:b/>
          <w:bCs/>
          <w:iCs/>
        </w:rPr>
        <w:t xml:space="preserve"> 比选申请文件</w:t>
      </w:r>
      <w:r>
        <w:rPr>
          <w:b/>
          <w:bCs/>
        </w:rPr>
        <w:tab/>
      </w:r>
      <w:r>
        <w:rPr>
          <w:b/>
          <w:bCs/>
        </w:rPr>
        <w:fldChar w:fldCharType="end"/>
      </w:r>
    </w:p>
    <w:p>
      <w:pPr>
        <w:spacing w:before="0" w:after="0" w:afterAutospacing="0"/>
        <w:ind w:left="0" w:right="0" w:firstLine="420" w:firstLineChars="200"/>
        <w:rPr>
          <w:rFonts w:ascii="宋体" w:hAnsi="宋体"/>
        </w:rPr>
      </w:pP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Pr>
        <w:pageBreakBefore/>
        <w:spacing w:before="0"/>
        <w:ind w:right="0"/>
        <w:jc w:val="center"/>
        <w:outlineLvl w:val="1"/>
        <w:rPr>
          <w:rFonts w:ascii="宋体" w:hAnsi="宋体"/>
          <w:b/>
          <w:bCs/>
          <w:sz w:val="32"/>
          <w:szCs w:val="32"/>
        </w:rPr>
      </w:pPr>
      <w:bookmarkStart w:id="147" w:name="_Toc22286"/>
      <w:bookmarkStart w:id="148" w:name="_Toc101965689"/>
      <w:bookmarkStart w:id="149" w:name="_Toc8342"/>
      <w:r>
        <w:rPr>
          <w:rFonts w:hint="eastAsia" w:ascii="宋体" w:hAnsi="宋体"/>
          <w:b/>
          <w:bCs/>
          <w:sz w:val="32"/>
          <w:szCs w:val="32"/>
        </w:rPr>
        <w:t>第一部分 合同协议书</w:t>
      </w:r>
      <w:bookmarkEnd w:id="147"/>
      <w:bookmarkEnd w:id="148"/>
      <w:bookmarkEnd w:id="149"/>
    </w:p>
    <w:p>
      <w:pPr>
        <w:spacing w:before="0" w:after="0" w:afterAutospacing="0"/>
        <w:ind w:left="0" w:right="0" w:firstLine="420" w:firstLineChars="200"/>
        <w:jc w:val="left"/>
        <w:rPr>
          <w:rFonts w:hint="eastAsia" w:ascii="宋体" w:hAnsi="宋体" w:eastAsia="宋体"/>
          <w:u w:val="single"/>
          <w:lang w:eastAsia="zh-CN"/>
        </w:rPr>
      </w:pPr>
      <w:r>
        <w:rPr>
          <w:rFonts w:hint="eastAsia" w:ascii="宋体" w:hAnsi="宋体"/>
        </w:rPr>
        <w:t>甲方：</w:t>
      </w:r>
      <w:r>
        <w:rPr>
          <w:rFonts w:hint="eastAsia" w:ascii="宋体" w:hAnsi="宋体"/>
          <w:lang w:eastAsia="zh-CN"/>
        </w:rPr>
        <w:t>南宁轨道交通运营有限公司</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jc w:val="left"/>
        <w:rPr>
          <w:rFonts w:ascii="宋体" w:hAnsi="宋体"/>
        </w:rPr>
      </w:pPr>
      <w:r>
        <w:rPr>
          <w:rFonts w:hint="eastAsia" w:ascii="宋体" w:hAnsi="宋体"/>
        </w:rPr>
        <w:t>本协议由</w:t>
      </w:r>
      <w:r>
        <w:rPr>
          <w:rFonts w:hint="eastAsia" w:ascii="宋体" w:hAnsi="宋体"/>
          <w:lang w:eastAsia="zh-CN"/>
        </w:rPr>
        <w:t>南宁轨道交通运营有限公司</w:t>
      </w:r>
      <w:r>
        <w:rPr>
          <w:rFonts w:hint="eastAsia" w:ascii="宋体" w:hAnsi="宋体"/>
        </w:rPr>
        <w:t>（下称“甲方”或 “业主</w:t>
      </w:r>
      <w:r>
        <w:rPr>
          <w:rFonts w:ascii="宋体" w:hAnsi="宋体"/>
        </w:rPr>
        <w:t>”</w:t>
      </w:r>
      <w:r>
        <w:rPr>
          <w:rFonts w:hint="eastAsia" w:ascii="宋体" w:hAnsi="宋体"/>
        </w:rPr>
        <w:t>）与（下称“乙方”），双方根据</w:t>
      </w:r>
      <w:r>
        <w:rPr>
          <w:rFonts w:hint="eastAsia" w:ascii="宋体" w:hAnsi="宋体"/>
          <w:color w:val="auto"/>
          <w:u w:val="single"/>
          <w:lang w:eastAsia="zh-CN"/>
        </w:rPr>
        <w:t>南宁轨道交通运营有限公司2022年新能源汽车充电桩二期建设项目</w:t>
      </w:r>
      <w:r>
        <w:rPr>
          <w:rFonts w:hint="eastAsia" w:ascii="宋体" w:hAnsi="宋体"/>
        </w:rPr>
        <w:t>（项目编号：</w:t>
      </w:r>
      <w:r>
        <w:rPr>
          <w:rFonts w:hint="eastAsia" w:ascii="宋体" w:hAnsi="宋体"/>
          <w:color w:val="FF0000"/>
          <w:u w:val="single"/>
        </w:rPr>
        <w:t xml:space="preserve"> </w:t>
      </w:r>
      <w:r>
        <w:rPr>
          <w:rFonts w:hint="eastAsia" w:ascii="宋体" w:hAnsi="宋体"/>
          <w:color w:val="FF0000"/>
          <w:u w:val="single"/>
          <w:lang w:val="en-US" w:eastAsia="zh-CN"/>
        </w:rPr>
        <w:t xml:space="preserve">      </w:t>
      </w:r>
      <w:r>
        <w:rPr>
          <w:rFonts w:hint="eastAsia" w:ascii="宋体" w:hAnsi="宋体"/>
          <w:color w:val="FF0000"/>
          <w:u w:val="single"/>
        </w:rPr>
        <w:t>（填写）</w:t>
      </w:r>
      <w:r>
        <w:rPr>
          <w:rFonts w:hint="eastAsia" w:ascii="宋体" w:hAnsi="宋体"/>
        </w:rPr>
        <w:t>）比选结果，依据《中华人民共和国民法典》的规定，签订协议。具体内容如下：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rPr>
      </w:pPr>
      <w:r>
        <w:rPr>
          <w:rFonts w:ascii="宋体" w:hAnsi="宋体" w:cs="Arial"/>
          <w:b/>
        </w:rPr>
        <w:t>1、</w:t>
      </w:r>
      <w:r>
        <w:rPr>
          <w:rFonts w:hint="eastAsia" w:ascii="宋体" w:hAnsi="宋体" w:cs="Arial"/>
          <w:b/>
        </w:rPr>
        <w:t>项目概况</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1.1 项目名称：</w:t>
      </w:r>
      <w:r>
        <w:rPr>
          <w:rFonts w:hint="eastAsia" w:ascii="宋体" w:hAnsi="宋体"/>
          <w:color w:val="auto"/>
          <w:u w:val="single"/>
          <w:lang w:eastAsia="zh-CN"/>
        </w:rPr>
        <w:t>南宁轨道交通运营有限公司2022年新能源汽车充电桩二期建设项目</w:t>
      </w:r>
    </w:p>
    <w:p>
      <w:pPr>
        <w:spacing w:before="0" w:after="0" w:afterAutospacing="0"/>
        <w:ind w:left="0" w:right="0" w:firstLine="420" w:firstLineChars="200"/>
        <w:rPr>
          <w:rFonts w:ascii="宋体" w:hAnsi="宋体" w:cs="Arial"/>
        </w:rPr>
      </w:pPr>
      <w:r>
        <w:rPr>
          <w:rFonts w:hint="eastAsia" w:ascii="宋体" w:hAnsi="宋体" w:cs="Arial"/>
        </w:rPr>
        <w:t>1.2项目实施地点：</w:t>
      </w:r>
      <w:r>
        <w:rPr>
          <w:rFonts w:hint="eastAsia" w:ascii="宋体" w:hAnsi="宋体"/>
          <w:u w:val="none"/>
          <w:lang w:val="en-US" w:eastAsia="zh-CN"/>
        </w:rPr>
        <w:t>南宁地铁5号线</w:t>
      </w:r>
      <w:r>
        <w:rPr>
          <w:rFonts w:hint="eastAsia" w:asciiTheme="minorEastAsia" w:hAnsiTheme="minorEastAsia" w:eastAsiaTheme="minorEastAsia"/>
          <w:sz w:val="21"/>
          <w:szCs w:val="21"/>
          <w:u w:val="none"/>
          <w:lang w:val="en-US" w:eastAsia="zh-CN"/>
        </w:rPr>
        <w:t>那洪车</w:t>
      </w:r>
      <w:r>
        <w:rPr>
          <w:rFonts w:hint="eastAsia" w:asciiTheme="minorEastAsia" w:hAnsiTheme="minorEastAsia" w:eastAsiaTheme="minorEastAsia"/>
          <w:color w:val="auto"/>
          <w:sz w:val="21"/>
          <w:szCs w:val="21"/>
          <w:u w:val="none"/>
          <w:lang w:val="en-US" w:eastAsia="zh-CN"/>
        </w:rPr>
        <w:t>辆基地</w:t>
      </w:r>
      <w:r>
        <w:rPr>
          <w:rFonts w:hint="eastAsia" w:ascii="宋体" w:hAnsi="宋体"/>
          <w:color w:val="auto"/>
          <w:u w:val="none"/>
        </w:rPr>
        <w:t>，</w:t>
      </w:r>
      <w:r>
        <w:rPr>
          <w:rFonts w:hint="eastAsia" w:ascii="宋体" w:hAnsi="宋体"/>
          <w:color w:val="auto"/>
        </w:rPr>
        <w:t>具体详见用户需求书</w:t>
      </w:r>
      <w:r>
        <w:rPr>
          <w:rFonts w:hint="eastAsia" w:ascii="宋体" w:hAnsi="宋体"/>
        </w:rPr>
        <w:t>。</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1.3项目范围：</w:t>
      </w:r>
      <w:r>
        <w:rPr>
          <w:rFonts w:hint="eastAsia" w:ascii="宋体" w:hAnsi="宋体"/>
          <w:u w:val="none"/>
          <w:lang w:val="en-US" w:eastAsia="zh-CN"/>
        </w:rPr>
        <w:t>南宁地铁5号线</w:t>
      </w:r>
      <w:r>
        <w:rPr>
          <w:rFonts w:hint="eastAsia" w:ascii="宋体" w:hAnsi="宋体" w:eastAsia="宋体" w:cs="宋体"/>
          <w:kern w:val="2"/>
          <w:sz w:val="21"/>
          <w:szCs w:val="21"/>
        </w:rPr>
        <w:t>那洪车辆基地区域内</w:t>
      </w:r>
      <w:r>
        <w:rPr>
          <w:rFonts w:hint="eastAsia" w:ascii="宋体" w:hAnsi="宋体" w:cs="宋体"/>
          <w:kern w:val="2"/>
          <w:sz w:val="21"/>
          <w:szCs w:val="21"/>
          <w:lang w:val="en-US" w:eastAsia="zh-CN"/>
        </w:rPr>
        <w:t>采购及</w:t>
      </w:r>
      <w:r>
        <w:rPr>
          <w:rFonts w:hint="eastAsia" w:ascii="宋体" w:hAnsi="宋体" w:eastAsia="宋体" w:cs="宋体"/>
          <w:kern w:val="2"/>
          <w:sz w:val="21"/>
          <w:szCs w:val="21"/>
        </w:rPr>
        <w:t>安装</w:t>
      </w:r>
      <w:r>
        <w:rPr>
          <w:rFonts w:hint="eastAsia" w:ascii="宋体" w:hAnsi="宋体" w:eastAsia="宋体" w:cs="宋体"/>
          <w:b/>
          <w:bCs/>
          <w:kern w:val="2"/>
          <w:sz w:val="21"/>
          <w:szCs w:val="21"/>
          <w:u w:val="single"/>
        </w:rPr>
        <w:t>16个</w:t>
      </w:r>
      <w:r>
        <w:rPr>
          <w:rFonts w:hint="eastAsia" w:ascii="宋体" w:hAnsi="宋体" w:cs="宋体"/>
          <w:b/>
          <w:bCs/>
          <w:kern w:val="2"/>
          <w:sz w:val="21"/>
          <w:szCs w:val="21"/>
          <w:u w:val="single"/>
          <w:lang w:val="en-US" w:eastAsia="zh-CN"/>
        </w:rPr>
        <w:t>7kW交流</w:t>
      </w:r>
      <w:r>
        <w:rPr>
          <w:rFonts w:hint="eastAsia" w:ascii="宋体" w:hAnsi="宋体" w:eastAsia="宋体" w:cs="宋体"/>
          <w:b/>
          <w:bCs/>
          <w:kern w:val="2"/>
          <w:sz w:val="21"/>
          <w:szCs w:val="21"/>
          <w:u w:val="single"/>
        </w:rPr>
        <w:t>充电桩，包括但不限于充电桩的施工图纸设计、运输、验收及售后维护等工作</w:t>
      </w:r>
      <w:r>
        <w:rPr>
          <w:rFonts w:hint="eastAsia" w:ascii="宋体" w:hAnsi="宋体"/>
          <w:color w:val="auto"/>
          <w:u w:val="single"/>
          <w:lang w:eastAsia="zh-CN"/>
        </w:rPr>
        <w:t>，</w:t>
      </w:r>
      <w:r>
        <w:rPr>
          <w:rFonts w:hint="eastAsia" w:ascii="宋体" w:hAnsi="宋体"/>
          <w:color w:val="auto"/>
        </w:rPr>
        <w:t>具体详见用户需求书</w:t>
      </w:r>
      <w:r>
        <w:rPr>
          <w:rFonts w:hint="eastAsia" w:ascii="宋体" w:hAnsi="宋体"/>
        </w:rPr>
        <w:t>。</w:t>
      </w:r>
    </w:p>
    <w:p>
      <w:pPr>
        <w:tabs>
          <w:tab w:val="left" w:pos="1134"/>
          <w:tab w:val="left" w:pos="1680"/>
        </w:tabs>
        <w:spacing w:before="0" w:after="0" w:afterAutospacing="0"/>
        <w:ind w:left="0" w:right="0" w:firstLine="422"/>
        <w:rPr>
          <w:rFonts w:ascii="宋体" w:hAnsi="宋体" w:cs="Arial"/>
          <w:b/>
          <w:bCs w:val="0"/>
        </w:rPr>
      </w:pPr>
      <w:r>
        <w:rPr>
          <w:rFonts w:ascii="宋体" w:hAnsi="宋体" w:cs="Arial"/>
          <w:b/>
          <w:bCs w:val="0"/>
        </w:rPr>
        <w:t>2、</w:t>
      </w:r>
      <w:r>
        <w:rPr>
          <w:rFonts w:hint="eastAsia" w:ascii="宋体" w:hAnsi="宋体" w:cs="Arial"/>
          <w:b/>
          <w:bCs w:val="0"/>
        </w:rPr>
        <w:t>合同标的</w:t>
      </w:r>
    </w:p>
    <w:p>
      <w:pPr>
        <w:tabs>
          <w:tab w:val="left" w:pos="1134"/>
          <w:tab w:val="left" w:pos="1680"/>
        </w:tabs>
        <w:spacing w:before="0" w:after="0" w:afterAutospacing="0"/>
        <w:ind w:left="0" w:right="0" w:firstLine="420"/>
      </w:pPr>
      <w:r>
        <w:rPr>
          <w:rFonts w:hint="eastAsia"/>
        </w:rPr>
        <w:t>甲方同意接受，乙方同意作为中选方并以下列第3条所述价格提供</w:t>
      </w:r>
      <w:r>
        <w:rPr>
          <w:rFonts w:hint="eastAsia"/>
          <w:lang w:eastAsia="zh-CN"/>
        </w:rPr>
        <w:t>本合同项目</w:t>
      </w:r>
      <w:r>
        <w:rPr>
          <w:rFonts w:hint="eastAsia"/>
        </w:rPr>
        <w:t>下的</w:t>
      </w:r>
      <w:r>
        <w:rPr>
          <w:rFonts w:hint="eastAsia"/>
          <w:color w:val="auto"/>
          <w:u w:val="none"/>
          <w:lang w:val="en-US" w:eastAsia="zh-CN"/>
        </w:rPr>
        <w:t>新能源汽车充电桩</w:t>
      </w:r>
      <w:r>
        <w:rPr>
          <w:rFonts w:hint="eastAsia"/>
          <w:i w:val="0"/>
          <w:u w:val="none"/>
          <w:lang w:eastAsia="zh-CN"/>
        </w:rPr>
        <w:t>的供货和安装，具体详见</w:t>
      </w:r>
      <w:r>
        <w:rPr>
          <w:rFonts w:hint="eastAsia" w:ascii="宋体" w:hAnsi="宋体"/>
        </w:rPr>
        <w:t>技术规格书</w:t>
      </w:r>
      <w:r>
        <w:rPr>
          <w:rFonts w:hint="eastAsia" w:ascii="宋体" w:hAnsi="宋体"/>
          <w:lang w:eastAsia="zh-CN"/>
        </w:rPr>
        <w:t>。</w:t>
      </w:r>
    </w:p>
    <w:p>
      <w:pPr>
        <w:tabs>
          <w:tab w:val="left" w:pos="567"/>
        </w:tabs>
        <w:spacing w:before="0" w:after="0" w:afterAutospacing="0"/>
        <w:ind w:left="0" w:right="0" w:firstLine="422" w:firstLineChars="200"/>
        <w:rPr>
          <w:rFonts w:ascii="宋体" w:hAnsi="宋体"/>
          <w:b/>
        </w:rPr>
      </w:pPr>
      <w:r>
        <w:rPr>
          <w:rFonts w:ascii="宋体" w:hAnsi="宋体"/>
          <w:b/>
        </w:rPr>
        <w:t>3、合同</w:t>
      </w:r>
      <w:r>
        <w:rPr>
          <w:rFonts w:hint="eastAsia" w:ascii="宋体" w:hAnsi="宋体"/>
          <w:b/>
        </w:rPr>
        <w:t>价格</w:t>
      </w:r>
    </w:p>
    <w:p>
      <w:pPr>
        <w:tabs>
          <w:tab w:val="left" w:pos="567"/>
        </w:tabs>
        <w:spacing w:before="0" w:after="0" w:afterAutospacing="0"/>
        <w:ind w:left="0" w:right="0" w:firstLine="420" w:firstLineChars="200"/>
        <w:rPr>
          <w:rFonts w:ascii="宋体" w:hAnsi="宋体"/>
          <w:b/>
        </w:rPr>
      </w:pPr>
      <w:r>
        <w:rPr>
          <w:rFonts w:hint="eastAsia" w:ascii="宋体" w:hAnsi="宋体"/>
        </w:rPr>
        <w:t>（1）本合同总价为：不含税人民币</w:t>
      </w:r>
      <w:r>
        <w:rPr>
          <w:rFonts w:hint="eastAsia" w:ascii="宋体" w:hAnsi="宋体"/>
          <w:u w:val="single"/>
        </w:rPr>
        <w:t xml:space="preserve"> </w:t>
      </w:r>
      <w:r>
        <w:rPr>
          <w:rFonts w:hint="eastAsia" w:ascii="宋体" w:hAnsi="宋体"/>
          <w:color w:val="FF0000"/>
          <w:u w:val="single"/>
        </w:rPr>
        <w:t>（填写）</w:t>
      </w:r>
      <w:r>
        <w:rPr>
          <w:rFonts w:hint="eastAsia" w:ascii="宋体" w:hAnsi="宋体"/>
          <w:u w:val="single"/>
        </w:rPr>
        <w:t xml:space="preserve"> (¥  )</w:t>
      </w:r>
      <w:r>
        <w:rPr>
          <w:rFonts w:hint="eastAsia" w:ascii="宋体" w:hAnsi="宋体"/>
        </w:rPr>
        <w:t>；税费人民币</w:t>
      </w:r>
      <w:r>
        <w:rPr>
          <w:rFonts w:hint="eastAsia" w:ascii="宋体" w:hAnsi="宋体"/>
          <w:color w:val="FF0000"/>
          <w:u w:val="single"/>
        </w:rPr>
        <w:t>（填写）</w:t>
      </w:r>
      <w:r>
        <w:rPr>
          <w:rFonts w:hint="eastAsia" w:ascii="宋体" w:hAnsi="宋体"/>
          <w:u w:val="single"/>
        </w:rPr>
        <w:t>(¥  )</w:t>
      </w:r>
      <w:r>
        <w:rPr>
          <w:rFonts w:hint="eastAsia" w:ascii="宋体" w:hAnsi="宋体"/>
        </w:rPr>
        <w:t>；税率</w:t>
      </w:r>
      <w:r>
        <w:rPr>
          <w:rFonts w:hint="eastAsia" w:ascii="宋体" w:hAnsi="宋体"/>
          <w:color w:val="FF0000"/>
          <w:u w:val="single"/>
        </w:rPr>
        <w:t>（填写）</w:t>
      </w:r>
      <w:r>
        <w:rPr>
          <w:rFonts w:hint="eastAsia" w:ascii="宋体" w:hAnsi="宋体"/>
          <w:u w:val="single"/>
        </w:rPr>
        <w:t>%</w:t>
      </w:r>
      <w:r>
        <w:rPr>
          <w:rFonts w:hint="eastAsia" w:ascii="宋体" w:hAnsi="宋体"/>
        </w:rPr>
        <w:t>；含税总价：人民币</w:t>
      </w:r>
      <w:r>
        <w:rPr>
          <w:rFonts w:hint="eastAsia" w:ascii="宋体" w:hAnsi="宋体"/>
          <w:u w:val="single"/>
        </w:rPr>
        <w:t xml:space="preserve"> </w:t>
      </w:r>
      <w:r>
        <w:rPr>
          <w:rFonts w:hint="eastAsia" w:ascii="宋体" w:hAnsi="宋体"/>
          <w:color w:val="FF0000"/>
          <w:u w:val="single"/>
        </w:rPr>
        <w:t>（填写）</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在合同履约过程中，本合同税率将遵照国家现行税法执行，最终税金在结算阶段，按实际产生的税金进行核算</w:t>
      </w:r>
      <w:r>
        <w:rPr>
          <w:rFonts w:hint="eastAsia" w:ascii="宋体" w:hAnsi="宋体"/>
          <w:b/>
          <w:lang w:eastAsia="zh-CN"/>
        </w:rPr>
        <w:t>，</w:t>
      </w:r>
      <w:r>
        <w:rPr>
          <w:rFonts w:hint="eastAsia" w:ascii="宋体" w:hAnsi="宋体"/>
        </w:rPr>
        <w:t>合同不含税价格不因国家税率调整而调整。</w:t>
      </w:r>
    </w:p>
    <w:p>
      <w:pPr>
        <w:tabs>
          <w:tab w:val="left" w:pos="567"/>
        </w:tabs>
        <w:spacing w:before="0" w:after="0" w:afterAutospacing="0"/>
        <w:ind w:left="0" w:right="0" w:firstLine="420" w:firstLineChars="200"/>
        <w:rPr>
          <w:rFonts w:hint="eastAsia" w:ascii="宋体" w:hAnsi="宋体"/>
        </w:rPr>
      </w:pPr>
      <w:r>
        <w:rPr>
          <w:rFonts w:hint="eastAsia" w:ascii="宋体" w:hAnsi="宋体"/>
        </w:rPr>
        <w:t>（2）</w:t>
      </w:r>
      <w:r>
        <w:rPr>
          <w:rFonts w:hint="eastAsia" w:ascii="宋体" w:hAnsi="宋体" w:eastAsia="宋体" w:cs="Times New Roman"/>
          <w:color w:val="auto"/>
          <w:kern w:val="0"/>
          <w:szCs w:val="21"/>
          <w:highlight w:val="none"/>
        </w:rPr>
        <w:t>合同价格形式：</w:t>
      </w:r>
      <w:r>
        <w:rPr>
          <w:rFonts w:hint="eastAsia" w:ascii="宋体" w:hAnsi="宋体" w:eastAsia="宋体" w:cs="Times New Roman"/>
          <w:b/>
          <w:color w:val="auto"/>
          <w:kern w:val="0"/>
          <w:szCs w:val="21"/>
          <w:highlight w:val="none"/>
        </w:rPr>
        <w:t>单价合同，暂定总价</w:t>
      </w:r>
      <w:r>
        <w:rPr>
          <w:rFonts w:hint="eastAsia" w:ascii="宋体" w:hAnsi="宋体" w:eastAsia="宋体" w:cs="Times New Roman"/>
          <w:color w:val="auto"/>
          <w:kern w:val="0"/>
          <w:szCs w:val="21"/>
          <w:highlight w:val="none"/>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pPr>
        <w:tabs>
          <w:tab w:val="left" w:pos="567"/>
        </w:tabs>
        <w:spacing w:before="0" w:after="0" w:afterAutospacing="0"/>
        <w:ind w:left="0" w:right="0" w:firstLine="422" w:firstLineChars="200"/>
        <w:rPr>
          <w:rFonts w:ascii="宋体" w:hAnsi="宋体"/>
        </w:rPr>
      </w:pPr>
      <w:r>
        <w:rPr>
          <w:rFonts w:hint="eastAsia" w:ascii="宋体" w:hAnsi="宋体"/>
          <w:b/>
          <w:bCs/>
        </w:rPr>
        <w:t>4.交货期/工期</w:t>
      </w:r>
      <w:r>
        <w:rPr>
          <w:rFonts w:hint="eastAsia" w:ascii="宋体" w:hAnsi="宋体"/>
        </w:rPr>
        <w:t>：</w:t>
      </w:r>
      <w:r>
        <w:rPr>
          <w:rFonts w:hint="eastAsia" w:ascii="宋体" w:hAnsi="宋体"/>
          <w:u w:val="none"/>
        </w:rPr>
        <w:t>合同签订且</w:t>
      </w:r>
      <w:r>
        <w:rPr>
          <w:rFonts w:hint="eastAsia" w:ascii="宋体" w:hAnsi="宋体"/>
          <w:u w:val="none"/>
          <w:lang w:val="en-US" w:eastAsia="zh-CN"/>
        </w:rPr>
        <w:t>供货</w:t>
      </w:r>
      <w:r>
        <w:rPr>
          <w:rFonts w:hint="eastAsia" w:ascii="宋体" w:hAnsi="宋体"/>
          <w:u w:val="none"/>
          <w:lang w:eastAsia="zh-CN"/>
        </w:rPr>
        <w:t>通知书</w:t>
      </w:r>
      <w:r>
        <w:rPr>
          <w:rFonts w:ascii="宋体" w:hAnsi="宋体"/>
          <w:u w:val="none"/>
        </w:rPr>
        <w:t>发出后</w:t>
      </w:r>
      <w:r>
        <w:rPr>
          <w:rFonts w:hint="eastAsia" w:ascii="宋体" w:hAnsi="宋体"/>
          <w:u w:val="none"/>
          <w:lang w:val="en-US" w:eastAsia="zh-CN"/>
        </w:rPr>
        <w:t>90</w:t>
      </w:r>
      <w:r>
        <w:rPr>
          <w:rFonts w:hint="eastAsia" w:ascii="宋体" w:hAnsi="宋体"/>
          <w:u w:val="none"/>
        </w:rPr>
        <w:t>天内</w:t>
      </w:r>
      <w:r>
        <w:rPr>
          <w:rFonts w:hint="eastAsia" w:ascii="宋体" w:hAnsi="宋体"/>
          <w:u w:val="none"/>
          <w:lang w:eastAsia="zh-CN"/>
        </w:rPr>
        <w:t>完成供货和安装。</w:t>
      </w:r>
    </w:p>
    <w:p>
      <w:pPr>
        <w:spacing w:before="0" w:after="0" w:afterAutospacing="0"/>
        <w:ind w:left="0" w:right="0" w:firstLine="422" w:firstLineChars="200"/>
        <w:rPr>
          <w:rFonts w:ascii="宋体" w:hAnsi="宋体"/>
        </w:rPr>
      </w:pPr>
      <w:r>
        <w:rPr>
          <w:rFonts w:hint="eastAsia" w:ascii="宋体" w:hAnsi="宋体"/>
          <w:b/>
        </w:rPr>
        <w:t>5</w:t>
      </w:r>
      <w:r>
        <w:rPr>
          <w:rFonts w:ascii="宋体" w:hAnsi="宋体"/>
          <w:b/>
        </w:rPr>
        <w:t>.本合同由下列文件构成</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（7）比选文件（含比选补充文件）；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cs="宋体"/>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0" w:firstLine="420" w:firstLineChars="200"/>
        <w:rPr>
          <w:rFonts w:hint="eastAsia" w:ascii="宋体" w:hAnsi="宋体" w:eastAsia="宋体" w:cs="宋体"/>
          <w:b w:val="0"/>
          <w:bCs w:val="0"/>
        </w:rPr>
      </w:pPr>
      <w:r>
        <w:rPr>
          <w:rFonts w:hint="eastAsia" w:ascii="宋体" w:hAnsi="宋体" w:eastAsia="宋体" w:cs="宋体"/>
          <w:b w:val="0"/>
          <w:bCs w:val="0"/>
        </w:rPr>
        <w:t>6.甲乙双方依据本次</w:t>
      </w:r>
      <w:r>
        <w:rPr>
          <w:rFonts w:hint="eastAsia" w:ascii="宋体" w:hAnsi="宋体" w:cs="宋体"/>
          <w:b w:val="0"/>
          <w:bCs w:val="0"/>
          <w:lang w:val="en-US" w:eastAsia="zh-CN"/>
        </w:rPr>
        <w:t>比选</w:t>
      </w:r>
      <w:r>
        <w:rPr>
          <w:rFonts w:hint="eastAsia" w:ascii="宋体" w:hAnsi="宋体" w:eastAsia="宋体" w:cs="宋体"/>
          <w:b w:val="0"/>
          <w:bCs w:val="0"/>
        </w:rPr>
        <w:t>文件中的用户需求书、乙方</w:t>
      </w:r>
      <w:r>
        <w:rPr>
          <w:rFonts w:hint="eastAsia" w:ascii="宋体" w:hAnsi="宋体" w:cs="宋体"/>
          <w:b w:val="0"/>
          <w:bCs w:val="0"/>
          <w:lang w:val="en-US" w:eastAsia="zh-CN"/>
        </w:rPr>
        <w:t>比选申请</w:t>
      </w:r>
      <w:r>
        <w:rPr>
          <w:rFonts w:hint="eastAsia" w:ascii="宋体" w:hAnsi="宋体" w:eastAsia="宋体" w:cs="宋体"/>
          <w:b w:val="0"/>
          <w:bCs w:val="0"/>
        </w:rPr>
        <w:t>文件（如技术响应表、技术文件等），按照二者较优值形成技术规格书。并经双方确认后构成本合同的有效组成部分。在本合同执行中的物资技术指标以技术规格书为准。</w:t>
      </w:r>
    </w:p>
    <w:p>
      <w:pPr>
        <w:spacing w:before="0" w:after="0" w:afterAutospacing="0"/>
        <w:ind w:left="0" w:right="0" w:firstLine="420" w:firstLineChars="200"/>
        <w:rPr>
          <w:rFonts w:hint="eastAsia" w:ascii="宋体" w:hAnsi="宋体" w:eastAsia="宋体" w:cs="宋体"/>
          <w:b w:val="0"/>
          <w:bCs w:val="0"/>
        </w:rPr>
      </w:pPr>
      <w:r>
        <w:rPr>
          <w:rFonts w:hint="eastAsia" w:ascii="宋体" w:hAnsi="宋体" w:eastAsia="宋体" w:cs="宋体"/>
          <w:b w:val="0"/>
          <w:bCs w:val="0"/>
        </w:rPr>
        <w:t>7.甲方向乙方承诺按合同条款约定的条件、时间和方式支付合同价款。</w:t>
      </w:r>
    </w:p>
    <w:p>
      <w:pPr>
        <w:spacing w:before="0" w:after="0" w:afterAutospacing="0"/>
        <w:ind w:left="0" w:right="0" w:firstLine="420" w:firstLineChars="200"/>
        <w:rPr>
          <w:rFonts w:hint="eastAsia" w:ascii="宋体" w:hAnsi="宋体" w:eastAsia="宋体" w:cs="宋体"/>
          <w:b w:val="0"/>
          <w:bCs w:val="0"/>
        </w:rPr>
      </w:pPr>
      <w:r>
        <w:rPr>
          <w:rFonts w:hint="eastAsia" w:ascii="宋体" w:hAnsi="宋体" w:eastAsia="宋体" w:cs="宋体"/>
          <w:b w:val="0"/>
          <w:bCs w:val="0"/>
        </w:rPr>
        <w:t>8.甲方、乙方承诺按照合同条款约定的违约责任和解决争议方式履行合同。</w:t>
      </w:r>
    </w:p>
    <w:p>
      <w:pPr>
        <w:spacing w:before="0" w:after="0" w:afterAutospacing="0"/>
        <w:ind w:left="0" w:right="0" w:firstLine="420" w:firstLineChars="200"/>
        <w:rPr>
          <w:rFonts w:hint="eastAsia" w:ascii="宋体" w:hAnsi="宋体" w:eastAsia="宋体" w:cs="宋体"/>
          <w:b w:val="0"/>
          <w:bCs w:val="0"/>
        </w:rPr>
      </w:pPr>
      <w:r>
        <w:rPr>
          <w:rFonts w:hint="eastAsia" w:ascii="宋体" w:hAnsi="宋体" w:eastAsia="宋体" w:cs="宋体"/>
          <w:b w:val="0"/>
          <w:bCs w:val="0"/>
        </w:rPr>
        <w:t>9.本合同协议书中有关词语含义与本合同《合同条款》中分别赋予它们的定义相同，合同协议书与《合同条款》共同组成完整的合同文本。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hint="eastAsia" w:ascii="宋体" w:hAnsi="宋体" w:eastAsia="宋体" w:cs="宋体"/>
          <w:b w:val="0"/>
          <w:bCs w:val="0"/>
        </w:rPr>
      </w:pPr>
      <w:r>
        <w:rPr>
          <w:rFonts w:hint="eastAsia" w:ascii="宋体" w:hAnsi="宋体" w:eastAsia="宋体" w:cs="宋体"/>
          <w:b w:val="0"/>
          <w:bCs w:val="0"/>
        </w:rPr>
        <w:t>10.本合同用中文书写，正本</w:t>
      </w:r>
      <w:r>
        <w:rPr>
          <w:rFonts w:hint="eastAsia" w:ascii="宋体" w:hAnsi="宋体" w:eastAsia="宋体" w:cs="宋体"/>
          <w:b w:val="0"/>
          <w:bCs w:val="0"/>
          <w:u w:val="single"/>
        </w:rPr>
        <w:t>2</w:t>
      </w:r>
      <w:r>
        <w:rPr>
          <w:rFonts w:hint="eastAsia" w:ascii="宋体" w:hAnsi="宋体" w:eastAsia="宋体" w:cs="宋体"/>
          <w:b w:val="0"/>
          <w:bCs w:val="0"/>
        </w:rPr>
        <w:t>份，甲乙方各</w:t>
      </w:r>
      <w:r>
        <w:rPr>
          <w:rFonts w:hint="eastAsia" w:ascii="宋体" w:hAnsi="宋体" w:eastAsia="宋体" w:cs="宋体"/>
          <w:b w:val="0"/>
          <w:bCs w:val="0"/>
          <w:u w:val="single"/>
        </w:rPr>
        <w:t>1</w:t>
      </w:r>
      <w:r>
        <w:rPr>
          <w:rFonts w:hint="eastAsia" w:ascii="宋体" w:hAnsi="宋体" w:eastAsia="宋体" w:cs="宋体"/>
          <w:b w:val="0"/>
          <w:bCs w:val="0"/>
        </w:rPr>
        <w:t>份；副本</w:t>
      </w:r>
      <w:r>
        <w:rPr>
          <w:rFonts w:hint="eastAsia" w:ascii="宋体" w:hAnsi="宋体" w:eastAsia="宋体" w:cs="宋体"/>
          <w:b w:val="0"/>
          <w:bCs w:val="0"/>
          <w:color w:val="FF0000"/>
          <w:u w:val="single"/>
          <w:lang w:val="en-US" w:eastAsia="zh-CN"/>
        </w:rPr>
        <w:t>8</w:t>
      </w:r>
      <w:r>
        <w:rPr>
          <w:rFonts w:hint="eastAsia" w:ascii="宋体" w:hAnsi="宋体" w:eastAsia="宋体" w:cs="宋体"/>
          <w:b w:val="0"/>
          <w:bCs w:val="0"/>
        </w:rPr>
        <w:t>份，甲方持</w:t>
      </w:r>
      <w:r>
        <w:rPr>
          <w:rFonts w:hint="eastAsia" w:ascii="宋体" w:hAnsi="宋体" w:eastAsia="宋体" w:cs="宋体"/>
          <w:b w:val="0"/>
          <w:bCs w:val="0"/>
          <w:lang w:val="en-US" w:eastAsia="zh-CN"/>
        </w:rPr>
        <w:t>6</w:t>
      </w:r>
      <w:r>
        <w:rPr>
          <w:rFonts w:hint="eastAsia" w:ascii="宋体" w:hAnsi="宋体" w:eastAsia="宋体" w:cs="宋体"/>
          <w:b w:val="0"/>
          <w:bCs w:val="0"/>
        </w:rPr>
        <w:t>份，乙方持</w:t>
      </w:r>
      <w:r>
        <w:rPr>
          <w:rFonts w:hint="eastAsia" w:ascii="宋体" w:hAnsi="宋体" w:eastAsia="宋体" w:cs="宋体"/>
          <w:b w:val="0"/>
          <w:bCs w:val="0"/>
          <w:color w:val="FF0000"/>
          <w:u w:val="single"/>
          <w:lang w:val="en-US" w:eastAsia="zh-CN"/>
        </w:rPr>
        <w:t>2</w:t>
      </w:r>
      <w:r>
        <w:rPr>
          <w:rFonts w:hint="eastAsia" w:ascii="宋体" w:hAnsi="宋体" w:eastAsia="宋体" w:cs="宋体"/>
          <w:b w:val="0"/>
          <w:bCs w:val="0"/>
        </w:rPr>
        <w:t>份。</w:t>
      </w:r>
    </w:p>
    <w:p>
      <w:pPr>
        <w:spacing w:before="0" w:after="0" w:afterAutospacing="0"/>
        <w:ind w:left="0" w:right="0" w:firstLine="420" w:firstLineChars="200"/>
        <w:rPr>
          <w:rFonts w:hint="eastAsia" w:ascii="宋体" w:hAnsi="宋体" w:eastAsia="宋体" w:cs="宋体"/>
          <w:b w:val="0"/>
          <w:bCs w:val="0"/>
        </w:rPr>
      </w:pPr>
      <w:r>
        <w:rPr>
          <w:rFonts w:hint="eastAsia" w:ascii="宋体" w:hAnsi="宋体" w:eastAsia="宋体" w:cs="宋体"/>
          <w:b w:val="0"/>
          <w:bCs w:val="0"/>
        </w:rPr>
        <w:t>11.本合同协议书经双方法定代表人或授权代表签字并加盖单位公章后生效。</w:t>
      </w:r>
    </w:p>
    <w:p>
      <w:pPr>
        <w:spacing w:before="0" w:after="0" w:afterAutospacing="0"/>
        <w:ind w:left="0" w:right="0" w:firstLine="420" w:firstLineChars="200"/>
        <w:rPr>
          <w:rFonts w:hint="eastAsia" w:ascii="宋体" w:hAnsi="宋体" w:eastAsia="宋体" w:cs="宋体"/>
          <w:b w:val="0"/>
          <w:bCs w:val="0"/>
        </w:rPr>
      </w:pPr>
      <w:r>
        <w:rPr>
          <w:rFonts w:hint="eastAsia" w:ascii="宋体" w:hAnsi="宋体" w:eastAsia="宋体" w:cs="宋体"/>
          <w:b w:val="0"/>
          <w:bCs w:val="0"/>
        </w:rPr>
        <w:t>12.合同未尽事宜，双方另行签订补充协议。</w:t>
      </w:r>
    </w:p>
    <w:p>
      <w:pPr>
        <w:spacing w:before="0" w:after="0" w:afterAutospacing="0"/>
        <w:ind w:left="0" w:right="0" w:firstLine="420" w:firstLineChars="200"/>
        <w:rPr>
          <w:rFonts w:ascii="宋体" w:hAnsi="宋体" w:cs="Arial"/>
        </w:rPr>
      </w:pPr>
    </w:p>
    <w:tbl>
      <w:tblPr>
        <w:tblStyle w:val="28"/>
        <w:tblW w:w="0" w:type="auto"/>
        <w:jc w:val="center"/>
        <w:tblLayout w:type="autofit"/>
        <w:tblCellMar>
          <w:top w:w="0" w:type="dxa"/>
          <w:left w:w="108" w:type="dxa"/>
          <w:bottom w:w="0" w:type="dxa"/>
          <w:right w:w="108" w:type="dxa"/>
        </w:tblCellMar>
      </w:tblPr>
      <w:tblGrid>
        <w:gridCol w:w="4218"/>
        <w:gridCol w:w="4500"/>
      </w:tblGrid>
      <w:tr>
        <w:trPr>
          <w:trHeight w:val="340" w:hRule="atLeast"/>
          <w:jc w:val="center"/>
        </w:trPr>
        <w:tc>
          <w:tcPr>
            <w:tcW w:w="4218" w:type="dxa"/>
            <w:vAlign w:val="top"/>
          </w:tcPr>
          <w:p>
            <w:pPr>
              <w:pStyle w:val="12"/>
              <w:spacing w:before="0" w:after="0"/>
              <w:ind w:right="0"/>
              <w:rPr>
                <w:rFonts w:hAnsi="宋体" w:cs="Courier New"/>
                <w:sz w:val="21"/>
                <w:szCs w:val="21"/>
              </w:rPr>
            </w:pPr>
            <w:r>
              <w:rPr>
                <w:rFonts w:hint="eastAsia" w:hAnsi="宋体" w:cs="Courier New"/>
                <w:sz w:val="21"/>
                <w:szCs w:val="21"/>
              </w:rPr>
              <w:t xml:space="preserve">甲方：    </w:t>
            </w:r>
          </w:p>
          <w:p>
            <w:pPr>
              <w:pStyle w:val="12"/>
              <w:spacing w:before="0" w:after="0"/>
              <w:ind w:right="0"/>
              <w:rPr>
                <w:rFonts w:hAnsi="宋体" w:cs="Courier New"/>
                <w:sz w:val="21"/>
                <w:szCs w:val="21"/>
              </w:rPr>
            </w:pPr>
            <w:r>
              <w:rPr>
                <w:rFonts w:hint="eastAsia" w:hAnsi="宋体" w:cs="Courier New"/>
                <w:sz w:val="21"/>
                <w:szCs w:val="21"/>
              </w:rPr>
              <w:t xml:space="preserve">法定代表人或授权人：  </w:t>
            </w:r>
          </w:p>
          <w:p>
            <w:pPr>
              <w:pStyle w:val="12"/>
              <w:spacing w:before="0" w:after="0"/>
              <w:ind w:right="0"/>
              <w:rPr>
                <w:rFonts w:hAnsi="宋体" w:cs="Courier New"/>
                <w:sz w:val="21"/>
                <w:szCs w:val="21"/>
              </w:rPr>
            </w:pPr>
            <w:r>
              <w:rPr>
                <w:rFonts w:hint="eastAsia" w:hAnsi="宋体" w:cs="Courier New"/>
                <w:sz w:val="21"/>
                <w:szCs w:val="21"/>
              </w:rPr>
              <w:t xml:space="preserve">地址： </w:t>
            </w:r>
          </w:p>
          <w:p>
            <w:pPr>
              <w:pStyle w:val="12"/>
              <w:spacing w:before="0" w:after="0"/>
              <w:ind w:right="0"/>
              <w:rPr>
                <w:rFonts w:hAnsi="宋体" w:cs="Courier New"/>
                <w:sz w:val="21"/>
                <w:szCs w:val="21"/>
              </w:rPr>
            </w:pPr>
            <w:r>
              <w:rPr>
                <w:rFonts w:hint="eastAsia" w:hAnsi="宋体" w:cs="Courier New"/>
                <w:sz w:val="21"/>
                <w:szCs w:val="21"/>
              </w:rPr>
              <w:t>邮政编码：</w:t>
            </w:r>
          </w:p>
          <w:p>
            <w:pPr>
              <w:pStyle w:val="12"/>
              <w:spacing w:before="0" w:after="0"/>
              <w:ind w:right="0"/>
              <w:rPr>
                <w:rFonts w:hAnsi="宋体" w:cs="Courier New"/>
                <w:sz w:val="21"/>
                <w:szCs w:val="21"/>
              </w:rPr>
            </w:pPr>
            <w:r>
              <w:rPr>
                <w:rFonts w:hint="eastAsia" w:hAnsi="宋体" w:cs="Courier New"/>
                <w:sz w:val="21"/>
                <w:szCs w:val="21"/>
              </w:rPr>
              <w:t>联系人：</w:t>
            </w:r>
          </w:p>
          <w:p>
            <w:pPr>
              <w:pStyle w:val="12"/>
              <w:spacing w:before="0" w:after="0"/>
              <w:ind w:right="0"/>
              <w:rPr>
                <w:rFonts w:hAnsi="宋体" w:cs="Courier New"/>
                <w:sz w:val="21"/>
                <w:szCs w:val="21"/>
              </w:rPr>
            </w:pPr>
            <w:r>
              <w:rPr>
                <w:rFonts w:hint="eastAsia" w:hAnsi="宋体" w:cs="Courier New"/>
                <w:sz w:val="21"/>
                <w:szCs w:val="21"/>
              </w:rPr>
              <w:t>联系电话：</w:t>
            </w:r>
          </w:p>
          <w:p>
            <w:pPr>
              <w:pStyle w:val="12"/>
              <w:spacing w:before="0" w:after="0"/>
              <w:ind w:right="0"/>
              <w:rPr>
                <w:rFonts w:hAnsi="宋体" w:cs="Courier New"/>
                <w:sz w:val="21"/>
                <w:szCs w:val="21"/>
              </w:rPr>
            </w:pPr>
            <w:r>
              <w:rPr>
                <w:rFonts w:hint="eastAsia" w:hAnsi="宋体" w:cs="Courier New"/>
                <w:sz w:val="21"/>
                <w:szCs w:val="21"/>
              </w:rPr>
              <w:t>传真：</w:t>
            </w:r>
          </w:p>
          <w:p>
            <w:pPr>
              <w:pStyle w:val="12"/>
              <w:spacing w:before="0" w:after="0"/>
              <w:ind w:right="0"/>
              <w:rPr>
                <w:rFonts w:hAnsi="宋体" w:cs="Courier New"/>
                <w:sz w:val="21"/>
                <w:szCs w:val="21"/>
              </w:rPr>
            </w:pPr>
            <w:r>
              <w:rPr>
                <w:rFonts w:hint="eastAsia" w:hAnsi="宋体" w:cs="Courier New"/>
                <w:sz w:val="21"/>
                <w:szCs w:val="21"/>
              </w:rPr>
              <w:t>开户银行：</w:t>
            </w:r>
          </w:p>
          <w:p>
            <w:pPr>
              <w:pStyle w:val="12"/>
              <w:spacing w:before="0" w:after="0"/>
              <w:ind w:right="0"/>
              <w:rPr>
                <w:rFonts w:hAnsi="宋体" w:cs="Courier New"/>
                <w:sz w:val="21"/>
                <w:szCs w:val="21"/>
              </w:rPr>
            </w:pPr>
            <w:r>
              <w:rPr>
                <w:rFonts w:hint="eastAsia" w:hAnsi="宋体" w:cs="Courier New"/>
                <w:sz w:val="21"/>
                <w:szCs w:val="21"/>
              </w:rPr>
              <w:t>纳税人识别号：</w:t>
            </w:r>
          </w:p>
        </w:tc>
        <w:tc>
          <w:tcPr>
            <w:tcW w:w="4500" w:type="dxa"/>
            <w:vAlign w:val="top"/>
          </w:tcPr>
          <w:p>
            <w:pPr>
              <w:pStyle w:val="12"/>
              <w:spacing w:before="0" w:after="0"/>
              <w:ind w:left="1228" w:right="0" w:firstLine="0"/>
              <w:rPr>
                <w:rFonts w:hAnsi="宋体" w:cs="Courier New"/>
                <w:sz w:val="21"/>
                <w:szCs w:val="21"/>
              </w:rPr>
            </w:pPr>
            <w:r>
              <w:rPr>
                <w:rFonts w:hint="eastAsia" w:hAnsi="宋体" w:cs="Courier New"/>
                <w:sz w:val="21"/>
                <w:szCs w:val="21"/>
              </w:rPr>
              <w:t>乙方：</w:t>
            </w:r>
          </w:p>
          <w:p>
            <w:pPr>
              <w:pStyle w:val="12"/>
              <w:spacing w:before="0" w:after="0"/>
              <w:ind w:left="1228" w:right="0" w:firstLine="0"/>
              <w:rPr>
                <w:rFonts w:hAnsi="宋体" w:cs="Courier New"/>
                <w:sz w:val="21"/>
                <w:szCs w:val="21"/>
              </w:rPr>
            </w:pPr>
            <w:r>
              <w:rPr>
                <w:rFonts w:hint="eastAsia" w:hAnsi="宋体" w:cs="Courier New"/>
                <w:sz w:val="21"/>
                <w:szCs w:val="21"/>
              </w:rPr>
              <w:t>法定代表人或授权人：</w:t>
            </w:r>
          </w:p>
          <w:p>
            <w:pPr>
              <w:pStyle w:val="12"/>
              <w:spacing w:before="0" w:after="0"/>
              <w:ind w:left="1228" w:right="0" w:firstLine="0"/>
              <w:rPr>
                <w:rFonts w:hAnsi="宋体" w:cs="Courier New"/>
                <w:sz w:val="21"/>
                <w:szCs w:val="21"/>
              </w:rPr>
            </w:pPr>
            <w:r>
              <w:rPr>
                <w:rFonts w:hint="eastAsia" w:hAnsi="宋体" w:cs="Courier New"/>
                <w:sz w:val="21"/>
                <w:szCs w:val="21"/>
              </w:rPr>
              <w:t>地址：</w:t>
            </w:r>
          </w:p>
          <w:p>
            <w:pPr>
              <w:pStyle w:val="12"/>
              <w:spacing w:before="0" w:after="0"/>
              <w:ind w:left="1228" w:right="0" w:firstLine="0"/>
              <w:rPr>
                <w:rFonts w:hAnsi="宋体" w:cs="Courier New"/>
                <w:sz w:val="21"/>
                <w:szCs w:val="21"/>
              </w:rPr>
            </w:pPr>
            <w:r>
              <w:rPr>
                <w:rFonts w:hint="eastAsia" w:hAnsi="宋体" w:cs="Courier New"/>
                <w:sz w:val="21"/>
                <w:szCs w:val="21"/>
              </w:rPr>
              <w:t>邮政编码：</w:t>
            </w:r>
          </w:p>
          <w:p>
            <w:pPr>
              <w:pStyle w:val="12"/>
              <w:spacing w:before="0" w:after="0"/>
              <w:ind w:left="1228" w:right="0" w:firstLine="0"/>
              <w:rPr>
                <w:rFonts w:hAnsi="宋体" w:cs="Courier New"/>
                <w:sz w:val="21"/>
                <w:szCs w:val="21"/>
              </w:rPr>
            </w:pPr>
            <w:r>
              <w:rPr>
                <w:rFonts w:hint="eastAsia" w:hAnsi="宋体" w:cs="Courier New"/>
                <w:sz w:val="21"/>
                <w:szCs w:val="21"/>
              </w:rPr>
              <w:t>联系人：</w:t>
            </w:r>
          </w:p>
          <w:p>
            <w:pPr>
              <w:pStyle w:val="12"/>
              <w:spacing w:before="0" w:after="0"/>
              <w:ind w:left="1228" w:right="0" w:firstLine="0"/>
              <w:rPr>
                <w:rFonts w:hAnsi="宋体" w:cs="Courier New"/>
                <w:sz w:val="21"/>
                <w:szCs w:val="21"/>
              </w:rPr>
            </w:pPr>
            <w:r>
              <w:rPr>
                <w:rFonts w:hint="eastAsia" w:hAnsi="宋体" w:cs="Courier New"/>
                <w:sz w:val="21"/>
                <w:szCs w:val="21"/>
              </w:rPr>
              <w:t>联系电话：</w:t>
            </w:r>
          </w:p>
          <w:p>
            <w:pPr>
              <w:pStyle w:val="12"/>
              <w:spacing w:before="0" w:after="0"/>
              <w:ind w:left="1228" w:right="0" w:firstLine="0"/>
              <w:rPr>
                <w:rFonts w:hAnsi="宋体" w:cs="Courier New"/>
                <w:sz w:val="21"/>
                <w:szCs w:val="21"/>
              </w:rPr>
            </w:pPr>
            <w:r>
              <w:rPr>
                <w:rFonts w:hint="eastAsia" w:hAnsi="宋体" w:cs="Courier New"/>
                <w:sz w:val="21"/>
                <w:szCs w:val="21"/>
              </w:rPr>
              <w:t>传真：</w:t>
            </w:r>
          </w:p>
          <w:p>
            <w:pPr>
              <w:pStyle w:val="12"/>
              <w:spacing w:before="0" w:after="0"/>
              <w:ind w:left="1228" w:right="0" w:firstLine="0"/>
              <w:rPr>
                <w:rFonts w:hint="eastAsia" w:hAnsi="宋体" w:cs="Courier New"/>
                <w:sz w:val="21"/>
                <w:szCs w:val="21"/>
              </w:rPr>
            </w:pPr>
            <w:r>
              <w:rPr>
                <w:rFonts w:hint="eastAsia" w:hAnsi="宋体" w:cs="Courier New"/>
                <w:sz w:val="21"/>
                <w:szCs w:val="21"/>
              </w:rPr>
              <w:t>开户银行：</w:t>
            </w:r>
          </w:p>
          <w:p>
            <w:pPr>
              <w:pStyle w:val="12"/>
              <w:spacing w:before="0" w:after="0"/>
              <w:ind w:left="1228" w:right="0" w:firstLine="0"/>
              <w:rPr>
                <w:rFonts w:hAnsi="宋体" w:cs="Courier New"/>
                <w:sz w:val="21"/>
                <w:szCs w:val="21"/>
              </w:rPr>
            </w:pPr>
            <w:r>
              <w:rPr>
                <w:rFonts w:hint="eastAsia" w:hAnsi="宋体" w:cs="Courier New"/>
                <w:sz w:val="21"/>
                <w:szCs w:val="21"/>
              </w:rPr>
              <w:t>纳税人识别号：</w:t>
            </w:r>
          </w:p>
        </w:tc>
      </w:tr>
      <w:tr>
        <w:tblPrEx>
          <w:tblCellMar>
            <w:top w:w="0" w:type="dxa"/>
            <w:left w:w="108" w:type="dxa"/>
            <w:bottom w:w="0" w:type="dxa"/>
            <w:right w:w="108" w:type="dxa"/>
          </w:tblCellMar>
        </w:tblPrEx>
        <w:trPr>
          <w:trHeight w:val="340" w:hRule="atLeast"/>
          <w:jc w:val="center"/>
        </w:trPr>
        <w:tc>
          <w:tcPr>
            <w:tcW w:w="4218" w:type="dxa"/>
            <w:vAlign w:val="top"/>
          </w:tcPr>
          <w:p>
            <w:pPr>
              <w:pStyle w:val="12"/>
              <w:spacing w:before="0" w:after="0"/>
              <w:ind w:right="0"/>
              <w:rPr>
                <w:rFonts w:hAnsi="宋体" w:cs="Courier New"/>
                <w:sz w:val="21"/>
                <w:szCs w:val="21"/>
              </w:rPr>
            </w:pPr>
          </w:p>
        </w:tc>
        <w:tc>
          <w:tcPr>
            <w:tcW w:w="4500" w:type="dxa"/>
            <w:vAlign w:val="top"/>
          </w:tcPr>
          <w:p>
            <w:pPr>
              <w:pStyle w:val="12"/>
              <w:spacing w:before="0" w:after="0"/>
              <w:ind w:left="708" w:right="0" w:hanging="707"/>
              <w:rPr>
                <w:rFonts w:hAnsi="宋体" w:cs="Courier New"/>
                <w:sz w:val="21"/>
                <w:szCs w:val="21"/>
              </w:rPr>
            </w:pPr>
          </w:p>
        </w:tc>
      </w:tr>
    </w:tbl>
    <w:p>
      <w:pPr>
        <w:spacing w:before="0" w:after="0"/>
        <w:ind w:left="0" w:leftChars="0" w:right="0" w:firstLine="0" w:firstLineChars="0"/>
        <w:jc w:val="center"/>
        <w:rPr>
          <w:rFonts w:ascii="宋体" w:hAnsi="宋体"/>
          <w:sz w:val="21"/>
          <w:szCs w:val="21"/>
        </w:rPr>
      </w:pPr>
      <w:r>
        <w:rPr>
          <w:rFonts w:hint="eastAsia" w:ascii="宋体" w:hAnsi="宋体"/>
          <w:b/>
        </w:rPr>
        <w:t>签订时间：     年   月   日</w:t>
      </w:r>
    </w:p>
    <w:p>
      <w:pPr>
        <w:pStyle w:val="4"/>
        <w:spacing w:before="40" w:after="40" w:line="240" w:lineRule="auto"/>
        <w:jc w:val="center"/>
        <w:rPr>
          <w:rFonts w:ascii="Times New Roman" w:hAnsi="Times New Roman" w:eastAsia="宋体"/>
        </w:rPr>
        <w:sectPr>
          <w:pgSz w:w="11905" w:h="16838"/>
          <w:pgMar w:top="1418" w:right="1418" w:bottom="1304" w:left="1418" w:header="454" w:footer="567" w:gutter="0"/>
          <w:cols w:space="720" w:num="1"/>
          <w:docGrid w:linePitch="312" w:charSpace="0"/>
        </w:sectPr>
      </w:pPr>
      <w:bookmarkStart w:id="150" w:name="_Toc4837"/>
      <w:bookmarkStart w:id="151" w:name="_Toc92268619"/>
      <w:bookmarkStart w:id="152" w:name="_Toc101965690"/>
    </w:p>
    <w:p>
      <w:pPr>
        <w:pStyle w:val="4"/>
        <w:spacing w:before="40" w:after="40" w:line="240" w:lineRule="auto"/>
        <w:jc w:val="center"/>
        <w:rPr>
          <w:rFonts w:ascii="Times New Roman" w:hAnsi="Times New Roman" w:eastAsia="宋体"/>
        </w:rPr>
      </w:pPr>
      <w:bookmarkStart w:id="153" w:name="_Toc31783"/>
      <w:r>
        <w:rPr>
          <w:rFonts w:ascii="Times New Roman" w:hAnsi="Times New Roman" w:eastAsia="宋体"/>
        </w:rPr>
        <w:t>第二部分</w:t>
      </w:r>
      <w:r>
        <w:rPr>
          <w:rFonts w:hint="eastAsia" w:ascii="Times New Roman" w:hAnsi="Times New Roman" w:eastAsia="宋体"/>
        </w:rPr>
        <w:t xml:space="preserve"> 中选通知书</w:t>
      </w:r>
      <w:bookmarkEnd w:id="150"/>
      <w:bookmarkEnd w:id="151"/>
      <w:bookmarkEnd w:id="152"/>
      <w:bookmarkEnd w:id="153"/>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4"/>
        <w:pageBreakBefore/>
        <w:spacing w:before="40" w:after="40" w:line="240" w:lineRule="auto"/>
        <w:jc w:val="center"/>
        <w:rPr>
          <w:rFonts w:ascii="Times New Roman" w:hAnsi="Times New Roman" w:eastAsia="宋体"/>
        </w:rPr>
      </w:pPr>
      <w:bookmarkStart w:id="154" w:name="_Toc92268620"/>
      <w:bookmarkStart w:id="155" w:name="_Toc101965691"/>
      <w:bookmarkStart w:id="156" w:name="_Toc31802"/>
      <w:bookmarkStart w:id="157" w:name="_Toc12606"/>
      <w:r>
        <w:rPr>
          <w:rFonts w:ascii="Times New Roman" w:hAnsi="Times New Roman" w:eastAsia="宋体"/>
        </w:rPr>
        <w:t>第</w:t>
      </w:r>
      <w:r>
        <w:rPr>
          <w:rFonts w:hint="eastAsia" w:ascii="Times New Roman" w:hAnsi="Times New Roman" w:eastAsia="宋体"/>
        </w:rPr>
        <w:t>三</w:t>
      </w:r>
      <w:r>
        <w:rPr>
          <w:rFonts w:ascii="Times New Roman" w:hAnsi="Times New Roman" w:eastAsia="宋体"/>
        </w:rPr>
        <w:t>部分</w:t>
      </w:r>
      <w:r>
        <w:rPr>
          <w:rFonts w:hint="eastAsia" w:ascii="Times New Roman" w:hAnsi="Times New Roman" w:eastAsia="宋体"/>
        </w:rPr>
        <w:t xml:space="preserve"> 价格组成文件</w:t>
      </w:r>
      <w:bookmarkEnd w:id="154"/>
      <w:bookmarkEnd w:id="155"/>
      <w:bookmarkEnd w:id="156"/>
      <w:bookmarkEnd w:id="157"/>
    </w:p>
    <w:p>
      <w:pPr>
        <w:pStyle w:val="55"/>
        <w:adjustRightInd/>
        <w:spacing w:before="0" w:after="0" w:line="360" w:lineRule="auto"/>
        <w:ind w:left="0" w:right="0"/>
        <w:rPr>
          <w:rFonts w:ascii="宋体" w:hAnsi="宋体"/>
          <w:sz w:val="21"/>
          <w:szCs w:val="21"/>
        </w:rPr>
      </w:pPr>
    </w:p>
    <w:p>
      <w:pPr>
        <w:spacing w:before="0" w:after="0" w:afterAutospacing="0"/>
        <w:ind w:left="0" w:right="0" w:firstLine="420" w:firstLineChars="200"/>
        <w:jc w:val="left"/>
        <w:rPr>
          <w:rFonts w:hint="eastAsia" w:ascii="宋体" w:hAnsi="宋体"/>
        </w:rPr>
      </w:pPr>
      <w:bookmarkStart w:id="158" w:name="_Toc92268621"/>
      <w:r>
        <w:rPr>
          <w:rFonts w:hint="eastAsia" w:ascii="宋体" w:hAnsi="宋体"/>
        </w:rPr>
        <w:t>1.税率确认函</w:t>
      </w:r>
      <w:bookmarkEnd w:id="158"/>
    </w:p>
    <w:p>
      <w:pPr>
        <w:spacing w:before="0" w:after="0" w:afterAutospacing="0"/>
        <w:ind w:left="0" w:right="0" w:firstLine="420" w:firstLineChars="200"/>
        <w:jc w:val="left"/>
        <w:rPr>
          <w:rFonts w:hint="eastAsia" w:ascii="宋体" w:hAnsi="宋体"/>
        </w:rPr>
      </w:pPr>
      <w:bookmarkStart w:id="159" w:name="_Toc92268622"/>
      <w:r>
        <w:rPr>
          <w:rFonts w:hint="eastAsia" w:ascii="宋体" w:hAnsi="宋体"/>
        </w:rPr>
        <w:t>2.中选文件分项报价表</w:t>
      </w:r>
      <w:bookmarkEnd w:id="159"/>
    </w:p>
    <w:p>
      <w:pPr>
        <w:spacing w:before="0" w:after="0" w:afterAutospacing="0"/>
        <w:ind w:left="0" w:right="0" w:firstLine="420" w:firstLineChars="200"/>
        <w:jc w:val="left"/>
        <w:rPr>
          <w:rFonts w:hint="eastAsia" w:ascii="宋体" w:hAnsi="宋体"/>
        </w:rPr>
      </w:pPr>
      <w:bookmarkStart w:id="160" w:name="_Toc92268623"/>
      <w:r>
        <w:rPr>
          <w:rFonts w:hint="eastAsia" w:ascii="宋体" w:hAnsi="宋体"/>
        </w:rPr>
        <w:t>3.含税分项报价汇总表</w:t>
      </w:r>
      <w:bookmarkEnd w:id="160"/>
    </w:p>
    <w:p>
      <w:pPr>
        <w:pStyle w:val="55"/>
        <w:adjustRightInd/>
        <w:spacing w:before="0" w:after="0" w:line="360" w:lineRule="auto"/>
        <w:ind w:left="0" w:right="0"/>
        <w:rPr>
          <w:rFonts w:ascii="宋体" w:hAnsi="宋体"/>
          <w:sz w:val="21"/>
          <w:szCs w:val="21"/>
        </w:rPr>
      </w:pPr>
    </w:p>
    <w:p>
      <w:pPr>
        <w:pageBreakBefore/>
        <w:spacing w:before="0" w:after="0" w:afterAutospacing="0"/>
        <w:ind w:right="0"/>
        <w:outlineLvl w:val="2"/>
        <w:rPr>
          <w:rFonts w:ascii="宋体" w:hAnsi="宋体"/>
          <w:b/>
          <w:sz w:val="21"/>
          <w:szCs w:val="21"/>
        </w:rPr>
      </w:pPr>
      <w:r>
        <w:rPr>
          <w:rFonts w:hint="eastAsia" w:ascii="宋体" w:hAnsi="宋体"/>
          <w:b/>
          <w:sz w:val="21"/>
          <w:szCs w:val="21"/>
        </w:rPr>
        <w:t xml:space="preserve">附件3 </w:t>
      </w:r>
      <w:r>
        <w:rPr>
          <w:rFonts w:hint="eastAsia" w:ascii="宋体" w:hAnsi="宋体"/>
          <w:b/>
          <w:sz w:val="21"/>
          <w:szCs w:val="21"/>
          <w:lang w:val="en-US" w:eastAsia="zh-CN"/>
        </w:rPr>
        <w:t xml:space="preserve"> </w:t>
      </w:r>
      <w:r>
        <w:rPr>
          <w:rFonts w:hint="eastAsia" w:ascii="宋体" w:hAnsi="宋体"/>
          <w:b/>
          <w:sz w:val="21"/>
          <w:szCs w:val="21"/>
        </w:rPr>
        <w:t>含税分项报价汇总表</w:t>
      </w:r>
    </w:p>
    <w:p>
      <w:pPr>
        <w:spacing w:before="0" w:after="0" w:afterAutospacing="0"/>
        <w:ind w:right="0"/>
        <w:jc w:val="center"/>
        <w:rPr>
          <w:rFonts w:ascii="宋体" w:hAnsi="宋体"/>
          <w:b/>
          <w:sz w:val="24"/>
          <w:szCs w:val="24"/>
        </w:rPr>
      </w:pPr>
      <w:r>
        <w:rPr>
          <w:rFonts w:hint="eastAsia" w:ascii="宋体" w:hAnsi="宋体"/>
          <w:b/>
          <w:sz w:val="24"/>
          <w:szCs w:val="24"/>
        </w:rPr>
        <w:t>含税分项报价汇总表</w:t>
      </w:r>
    </w:p>
    <w:tbl>
      <w:tblPr>
        <w:tblStyle w:val="28"/>
        <w:tblW w:w="5756" w:type="pct"/>
        <w:jc w:val="center"/>
        <w:shd w:val="clear" w:color="auto" w:fill="auto"/>
        <w:tblLayout w:type="fixed"/>
        <w:tblCellMar>
          <w:top w:w="0" w:type="dxa"/>
          <w:left w:w="108" w:type="dxa"/>
          <w:bottom w:w="0" w:type="dxa"/>
          <w:right w:w="108" w:type="dxa"/>
        </w:tblCellMar>
      </w:tblPr>
      <w:tblGrid>
        <w:gridCol w:w="699"/>
        <w:gridCol w:w="1074"/>
        <w:gridCol w:w="1020"/>
        <w:gridCol w:w="2606"/>
        <w:gridCol w:w="795"/>
        <w:gridCol w:w="795"/>
        <w:gridCol w:w="840"/>
        <w:gridCol w:w="825"/>
        <w:gridCol w:w="585"/>
        <w:gridCol w:w="720"/>
        <w:gridCol w:w="731"/>
      </w:tblGrid>
      <w:tr>
        <w:tblPrEx>
          <w:shd w:val="clear" w:color="auto" w:fill="auto"/>
          <w:tblCellMar>
            <w:top w:w="0" w:type="dxa"/>
            <w:left w:w="108" w:type="dxa"/>
            <w:bottom w:w="0" w:type="dxa"/>
            <w:right w:w="108" w:type="dxa"/>
          </w:tblCellMar>
        </w:tblPrEx>
        <w:trPr>
          <w:trHeight w:val="23"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cs="宋体"/>
                <w:b/>
                <w:bCs/>
                <w:i w:val="0"/>
                <w:iCs w:val="0"/>
                <w:color w:val="000000"/>
                <w:kern w:val="0"/>
                <w:sz w:val="18"/>
                <w:szCs w:val="18"/>
                <w:u w:val="none"/>
                <w:lang w:val="en-US" w:eastAsia="zh-CN" w:bidi="ar"/>
              </w:rPr>
              <w:t>设备名称</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品牌</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性能参数</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不含税单价</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不含税合价</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税率</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含税单价</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含税合价</w:t>
            </w:r>
          </w:p>
        </w:tc>
      </w:tr>
      <w:tr>
        <w:tblPrEx>
          <w:shd w:val="clear" w:color="auto" w:fill="auto"/>
          <w:tblCellMar>
            <w:top w:w="0" w:type="dxa"/>
            <w:left w:w="108" w:type="dxa"/>
            <w:bottom w:w="0" w:type="dxa"/>
            <w:right w:w="108" w:type="dxa"/>
          </w:tblCellMar>
        </w:tblPrEx>
        <w:trPr>
          <w:trHeight w:val="23"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default" w:ascii="宋体" w:hAnsi="宋体" w:eastAsia="宋体" w:cs="宋体"/>
                <w:i w:val="0"/>
                <w:iCs w:val="0"/>
                <w:color w:val="000000"/>
                <w:sz w:val="20"/>
                <w:szCs w:val="20"/>
                <w:u w:val="none"/>
                <w:lang w:val="en-US"/>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left"/>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both"/>
              <w:textAlignment w:val="center"/>
              <w:rPr>
                <w:rFonts w:hint="eastAsia" w:ascii="宋体" w:hAnsi="宋体" w:eastAsia="宋体" w:cs="宋体"/>
                <w:i w:val="0"/>
                <w:iCs w:val="0"/>
                <w:color w:val="000000"/>
                <w:sz w:val="20"/>
                <w:szCs w:val="20"/>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both"/>
              <w:textAlignment w:val="center"/>
              <w:rPr>
                <w:rFonts w:hint="eastAsia" w:ascii="宋体" w:hAnsi="宋体" w:eastAsia="宋体" w:cs="宋体"/>
                <w:i w:val="0"/>
                <w:iCs w:val="0"/>
                <w:color w:val="000000"/>
                <w:sz w:val="20"/>
                <w:szCs w:val="20"/>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left"/>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both"/>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both"/>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both"/>
              <w:rPr>
                <w:rFonts w:hint="eastAsia" w:ascii="宋体" w:hAnsi="宋体" w:eastAsia="宋体" w:cs="宋体"/>
                <w:i w:val="0"/>
                <w:iCs w:val="0"/>
                <w:color w:val="000000"/>
                <w:sz w:val="20"/>
                <w:szCs w:val="20"/>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both"/>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both"/>
              <w:rPr>
                <w:rFonts w:hint="eastAsia" w:ascii="宋体" w:hAnsi="宋体" w:eastAsia="宋体" w:cs="宋体"/>
                <w:i w:val="0"/>
                <w:iCs w:val="0"/>
                <w:color w:val="000000"/>
                <w:sz w:val="20"/>
                <w:szCs w:val="20"/>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left"/>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left"/>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3"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default" w:ascii="宋体" w:hAnsi="宋体" w:eastAsia="宋体" w:cs="宋体"/>
                <w:i w:val="0"/>
                <w:iCs w:val="0"/>
                <w:color w:val="000000"/>
                <w:sz w:val="20"/>
                <w:szCs w:val="20"/>
                <w:u w:val="none"/>
                <w:lang w:val="en-US"/>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left"/>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3"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left"/>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left"/>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3"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left"/>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3"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left"/>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default" w:ascii="宋体" w:hAnsi="宋体" w:eastAsia="宋体" w:cs="宋体"/>
                <w:i w:val="0"/>
                <w:iCs w:val="0"/>
                <w:color w:val="000000"/>
                <w:sz w:val="20"/>
                <w:szCs w:val="20"/>
                <w:u w:val="none"/>
                <w:lang w:val="en-US"/>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left"/>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kern w:val="0"/>
                <w:sz w:val="20"/>
                <w:szCs w:val="20"/>
                <w:u w:val="none"/>
                <w:lang w:val="en-US" w:eastAsia="zh-CN" w:bidi="ar"/>
              </w:rPr>
            </w:pPr>
            <w:r>
              <w:rPr>
                <w:rFonts w:ascii="宋体" w:hAnsi="宋体"/>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default" w:ascii="宋体" w:hAnsi="宋体" w:eastAsia="宋体" w:cs="宋体"/>
                <w:i w:val="0"/>
                <w:iCs w:val="0"/>
                <w:color w:val="000000"/>
                <w:sz w:val="20"/>
                <w:szCs w:val="20"/>
                <w:u w:val="none"/>
                <w:lang w:val="en-US"/>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sz w:val="20"/>
                <w:szCs w:val="20"/>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left"/>
              <w:textAlignment w:val="center"/>
              <w:rPr>
                <w:rFonts w:hint="eastAsia" w:ascii="宋体" w:hAnsi="宋体" w:eastAsia="宋体" w:cs="宋体"/>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60" w:lineRule="auto"/>
              <w:ind w:left="0" w:right="0" w:firstLine="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18"/>
                <w:szCs w:val="18"/>
                <w:u w:val="none"/>
                <w:lang w:val="en-US" w:eastAsia="zh-CN" w:bidi="ar"/>
              </w:rPr>
              <w:t>合计</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b/>
                <w:bCs/>
                <w:i w:val="0"/>
                <w:iCs w:val="0"/>
                <w:color w:val="000000"/>
                <w:sz w:val="20"/>
                <w:szCs w:val="20"/>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0.00</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0.00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b/>
                <w:bCs/>
                <w:i w:val="0"/>
                <w:iCs w:val="0"/>
                <w:color w:val="000000"/>
                <w:sz w:val="20"/>
                <w:szCs w:val="20"/>
                <w:u w:val="none"/>
                <w:lang w:val="en-US" w:eastAsia="zh-CN"/>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0.00</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0.00</w:t>
            </w: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同一规格、型号的货物、材料在各分项报价中应为同一单价。</w:t>
      </w:r>
      <w:r>
        <w:rPr>
          <w:rFonts w:hint="eastAsia" w:ascii="宋体" w:hAnsi="宋体"/>
          <w:lang w:val="en-US" w:eastAsia="zh-CN"/>
        </w:rPr>
        <w:t>比选申请</w:t>
      </w:r>
      <w:r>
        <w:rPr>
          <w:rFonts w:hint="eastAsia" w:ascii="宋体" w:hAnsi="宋体"/>
        </w:rPr>
        <w:t>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numPr>
          <w:ilvl w:val="0"/>
          <w:numId w:val="2"/>
        </w:numPr>
        <w:spacing w:before="0" w:after="0" w:afterAutospacing="0"/>
        <w:ind w:left="0" w:right="0" w:firstLine="0"/>
        <w:rPr>
          <w:rFonts w:ascii="宋体" w:hAnsi="宋体"/>
        </w:rPr>
      </w:pPr>
      <w:r>
        <w:rPr>
          <w:rFonts w:hint="eastAsia" w:ascii="宋体" w:hAnsi="宋体"/>
        </w:rPr>
        <w:t>含税价格计算保留小数点后两位，含税合价为单价与数量的乘积，合同总价为分项合价之和。</w:t>
      </w:r>
    </w:p>
    <w:p>
      <w:pPr>
        <w:numPr>
          <w:ilvl w:val="0"/>
          <w:numId w:val="2"/>
        </w:numPr>
        <w:spacing w:before="0" w:after="0" w:afterAutospacing="0"/>
        <w:ind w:left="0" w:right="0" w:firstLine="0"/>
        <w:rPr>
          <w:rFonts w:ascii="宋体" w:hAnsi="宋体"/>
        </w:rPr>
      </w:pPr>
      <w:r>
        <w:rPr>
          <w:rFonts w:hint="eastAsia" w:ascii="宋体" w:hAnsi="宋体"/>
        </w:rPr>
        <w:t>本表仅依据中标不含税价格及乙方《税率确认函》内容补充了含税价格，其他内容按中标人中标文件的分项报价表执行。</w:t>
      </w:r>
    </w:p>
    <w:p>
      <w:pPr>
        <w:spacing w:before="0" w:after="0" w:afterAutospacing="0"/>
        <w:ind w:right="0" w:firstLine="0"/>
        <w:jc w:val="center"/>
        <w:rPr>
          <w:rFonts w:ascii="宋体" w:hAnsi="宋体"/>
          <w:b/>
          <w:sz w:val="24"/>
          <w:szCs w:val="24"/>
        </w:rPr>
      </w:pPr>
    </w:p>
    <w:p>
      <w:pPr>
        <w:spacing w:before="0" w:after="0" w:afterAutospacing="0"/>
        <w:ind w:right="0"/>
        <w:rPr>
          <w:rFonts w:ascii="宋体" w:hAnsi="宋体"/>
        </w:rPr>
      </w:pPr>
    </w:p>
    <w:p>
      <w:pPr>
        <w:spacing w:before="0" w:after="0"/>
        <w:ind w:left="699" w:leftChars="333" w:right="0" w:firstLine="930" w:firstLineChars="441"/>
        <w:rPr>
          <w:rFonts w:ascii="宋体" w:hAnsi="宋体"/>
          <w:b/>
        </w:rPr>
      </w:pPr>
    </w:p>
    <w:p>
      <w:pPr>
        <w:spacing w:before="0" w:after="0"/>
        <w:ind w:left="699" w:leftChars="333" w:right="0" w:firstLine="930" w:firstLineChars="441"/>
        <w:rPr>
          <w:rFonts w:ascii="宋体" w:hAnsi="宋体"/>
          <w:b/>
          <w:u w:val="single"/>
        </w:rPr>
      </w:pPr>
    </w:p>
    <w:p>
      <w:pPr>
        <w:pStyle w:val="4"/>
        <w:pageBreakBefore/>
        <w:spacing w:before="40" w:after="40" w:line="240" w:lineRule="auto"/>
        <w:jc w:val="center"/>
        <w:rPr>
          <w:rFonts w:ascii="Times New Roman" w:hAnsi="Times New Roman" w:eastAsia="宋体"/>
        </w:rPr>
      </w:pPr>
      <w:bookmarkStart w:id="161" w:name="_Toc101965692"/>
      <w:bookmarkStart w:id="162" w:name="_Toc16006"/>
      <w:bookmarkStart w:id="163" w:name="_Toc90"/>
      <w:bookmarkStart w:id="164" w:name="_Toc2614"/>
      <w:bookmarkStart w:id="165" w:name="_Toc31691"/>
      <w:bookmarkStart w:id="166" w:name="_Toc29932"/>
      <w:bookmarkStart w:id="167" w:name="_Toc28024"/>
      <w:bookmarkStart w:id="168" w:name="_Toc25750635"/>
      <w:bookmarkStart w:id="169" w:name="_Toc25643"/>
      <w:bookmarkStart w:id="170" w:name="_Toc18727"/>
      <w:bookmarkStart w:id="171" w:name="_Toc370933855"/>
      <w:bookmarkStart w:id="172" w:name="_Toc378514952"/>
      <w:bookmarkStart w:id="173" w:name="_Toc390098464"/>
      <w:bookmarkStart w:id="174" w:name="_Toc22880"/>
      <w:bookmarkStart w:id="175" w:name="_Toc10730"/>
      <w:bookmarkStart w:id="176" w:name="_Toc14287"/>
      <w:bookmarkStart w:id="177" w:name="_Toc20484"/>
      <w:bookmarkStart w:id="178" w:name="_Toc15707"/>
      <w:bookmarkStart w:id="179" w:name="_Toc492478763"/>
      <w:bookmarkStart w:id="180" w:name="_Toc385427838"/>
      <w:bookmarkStart w:id="181" w:name="_Toc7961"/>
      <w:bookmarkStart w:id="182" w:name="_Toc4032"/>
      <w:bookmarkStart w:id="183" w:name="_Toc43"/>
      <w:bookmarkStart w:id="184" w:name="_Toc6054"/>
      <w:bookmarkStart w:id="185" w:name="_Toc19920"/>
      <w:bookmarkStart w:id="186" w:name="_Toc12080"/>
      <w:bookmarkStart w:id="187" w:name="_Toc12256"/>
      <w:r>
        <w:rPr>
          <w:rFonts w:hint="eastAsia" w:ascii="Times New Roman" w:hAnsi="Times New Roman" w:eastAsia="宋体"/>
        </w:rPr>
        <w:t>第四部分 合同条款</w:t>
      </w:r>
      <w:bookmarkEnd w:id="161"/>
      <w:bookmarkEnd w:id="162"/>
      <w:bookmarkEnd w:id="163"/>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1.定义及解释</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w:t>
      </w:r>
      <w:r>
        <w:rPr>
          <w:rFonts w:hint="eastAsia" w:ascii="宋体" w:hAnsi="宋体"/>
          <w:lang w:eastAsia="zh-CN"/>
        </w:rPr>
        <w:t>南宁轨道交通运营有限公司</w:t>
      </w:r>
      <w:r>
        <w:rPr>
          <w:rFonts w:hint="eastAsia" w:ascii="宋体" w:hAnsi="宋体"/>
        </w:rPr>
        <w:t>。</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“货物”系指乙方按招合同规定向甲方提供的货物、材料、机械、仪器仪表、工具、软件、手册及其它有关资料等。</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w:t>
      </w:r>
      <w:r>
        <w:rPr>
          <w:rFonts w:hint="eastAsia" w:ascii="宋体" w:hAnsi="宋体"/>
          <w:lang w:val="en-US" w:eastAsia="zh-CN"/>
        </w:rPr>
        <w:t>比选申请</w:t>
      </w:r>
      <w:r>
        <w:rPr>
          <w:rFonts w:hint="eastAsia" w:ascii="宋体" w:hAnsi="宋体"/>
        </w:rPr>
        <w:t>人须向</w:t>
      </w:r>
      <w:r>
        <w:rPr>
          <w:rFonts w:hint="eastAsia" w:ascii="宋体" w:hAnsi="宋体"/>
          <w:lang w:val="en-US" w:eastAsia="zh-CN"/>
        </w:rPr>
        <w:t>比选</w:t>
      </w:r>
      <w:r>
        <w:rPr>
          <w:rFonts w:hint="eastAsia" w:ascii="宋体" w:hAnsi="宋体"/>
        </w:rPr>
        <w:t>人提供的用于系统维护、更换、修复的零部件、材料。</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“专用工具及仪器仪表”系指乙方人须向甲方提供的用于系统维护、更换、修复的专用工具及仪器仪表。</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“服务</w:t>
      </w:r>
      <w:r>
        <w:rPr>
          <w:rFonts w:ascii="宋体" w:hAnsi="宋体"/>
        </w:rPr>
        <w:t>”</w:t>
      </w:r>
      <w:r>
        <w:rPr>
          <w:rFonts w:hint="eastAsia" w:ascii="宋体" w:hAnsi="宋体"/>
        </w:rPr>
        <w:t>系指</w:t>
      </w:r>
      <w:r>
        <w:rPr>
          <w:rFonts w:hint="eastAsia" w:ascii="宋体" w:hAnsi="宋体"/>
          <w:lang w:val="en-US" w:eastAsia="zh-CN"/>
        </w:rPr>
        <w:t>比选</w:t>
      </w:r>
      <w:r>
        <w:rPr>
          <w:rFonts w:hint="eastAsia" w:ascii="宋体" w:hAnsi="宋体"/>
        </w:rPr>
        <w:t>文件规定乙方须承担的与供货有关的辅助服务，包括但不限于详细设计、设计联络、设备及材料的软硬件开发与制造、深化设计、</w:t>
      </w:r>
      <w:r>
        <w:rPr>
          <w:rFonts w:hint="eastAsia" w:ascii="宋体" w:hAnsi="宋体" w:cs="Arial"/>
        </w:rPr>
        <w:t>系统集成、生产监造、</w:t>
      </w:r>
      <w:r>
        <w:rPr>
          <w:rFonts w:hint="eastAsia" w:ascii="宋体" w:hAnsi="宋体"/>
        </w:rPr>
        <w:t>采购、供货</w:t>
      </w:r>
      <w:r>
        <w:rPr>
          <w:rFonts w:hint="eastAsia" w:ascii="宋体" w:hAnsi="宋体" w:cs="宋体"/>
        </w:rPr>
        <w:t>、</w:t>
      </w:r>
      <w:r>
        <w:rPr>
          <w:rFonts w:hint="eastAsia" w:ascii="宋体" w:hAnsi="宋体" w:cs="Arial"/>
        </w:rPr>
        <w:t>工厂测试、出厂检验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消防验收、</w:t>
      </w:r>
      <w:r>
        <w:rPr>
          <w:rFonts w:hint="eastAsia" w:ascii="宋体" w:hAnsi="宋体"/>
        </w:rPr>
        <w:t>试运行、竣工验收、试运营、最终验收、提供技术援助、项目管理、培训、质量保证期服务、备品备件和专用工具及仪器仪表的提供、质量保证期内的系统缺陷的纠正和维护、</w:t>
      </w:r>
      <w:r>
        <w:rPr>
          <w:rFonts w:hint="eastAsia" w:ascii="宋体" w:hAnsi="宋体" w:cs="宋体"/>
        </w:rPr>
        <w:t>并确保系统通过验收及按要求时间节点开通、</w:t>
      </w:r>
      <w:r>
        <w:rPr>
          <w:rFonts w:hint="eastAsia" w:ascii="宋体" w:hAnsi="宋体"/>
        </w:rPr>
        <w:t>其他伴随服务和</w:t>
      </w:r>
      <w:r>
        <w:rPr>
          <w:rFonts w:hint="eastAsia" w:ascii="宋体" w:hAnsi="宋体"/>
          <w:lang w:val="en-US" w:eastAsia="zh-CN"/>
        </w:rPr>
        <w:t>比选申请</w:t>
      </w:r>
      <w:r>
        <w:rPr>
          <w:rFonts w:hint="eastAsia" w:ascii="宋体" w:hAnsi="宋体"/>
        </w:rPr>
        <w:t>人应承担的其它义务。</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3"/>
        </w:numPr>
        <w:spacing w:before="0" w:after="0" w:afterAutospacing="0"/>
        <w:ind w:left="0" w:right="0" w:firstLine="420" w:firstLineChars="200"/>
        <w:rPr>
          <w:rFonts w:ascii="宋体" w:hAnsi="宋体"/>
        </w:rPr>
      </w:pPr>
      <w:r>
        <w:rPr>
          <w:rFonts w:hint="eastAsia" w:ascii="宋体" w:hAnsi="宋体"/>
        </w:rPr>
        <w:t xml:space="preserve"> “税费”仅指增值税。其他税费应包含在不含税价格内。</w:t>
      </w:r>
    </w:p>
    <w:p>
      <w:pPr>
        <w:numPr>
          <w:ilvl w:val="2"/>
          <w:numId w:val="3"/>
        </w:numPr>
        <w:spacing w:before="0" w:after="0" w:afterAutospacing="0"/>
        <w:ind w:left="0" w:right="0" w:firstLine="420" w:firstLineChars="200"/>
        <w:rPr>
          <w:rFonts w:ascii="宋体" w:hAnsi="宋体"/>
        </w:rPr>
      </w:pPr>
      <w:r>
        <w:rPr>
          <w:rFonts w:hint="eastAsia" w:ascii="宋体" w:hAnsi="宋体"/>
        </w:rPr>
        <w:t xml:space="preserve"> “质量保证期”指合同货物验收合格后，乙方按合同约定保证合同货物正常使用，并负责解决合同货物存在的任何质量问题的期限。</w:t>
      </w:r>
    </w:p>
    <w:p>
      <w:pPr>
        <w:numPr>
          <w:ilvl w:val="2"/>
          <w:numId w:val="3"/>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3"/>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3"/>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w:t>
      </w:r>
      <w:r>
        <w:rPr>
          <w:rFonts w:hint="eastAsia" w:ascii="宋体" w:hAnsi="宋体" w:cs="Arial"/>
          <w:b/>
          <w:lang w:eastAsia="zh-CN"/>
        </w:rPr>
        <w:t>南宁轨道交通运营有限公司</w:t>
      </w:r>
      <w:r>
        <w:rPr>
          <w:rFonts w:ascii="宋体" w:hAnsi="宋体" w:cs="Arial"/>
          <w:b/>
        </w:rPr>
        <w:t>），相关费用包含在乙方的合同价款中，甲方不再另行支付。中华人民共和国强制检定的工作计量器具明细目录内的仪器仪表必须出具第三方计量检定报告。</w:t>
      </w:r>
    </w:p>
    <w:p>
      <w:pPr>
        <w:numPr>
          <w:ilvl w:val="2"/>
          <w:numId w:val="3"/>
        </w:numPr>
        <w:spacing w:before="0" w:after="0" w:afterAutospacing="0"/>
        <w:ind w:left="0" w:right="0" w:firstLine="420" w:firstLineChars="200"/>
        <w:rPr>
          <w:rFonts w:ascii="宋体" w:hAnsi="宋体" w:cs="Arial"/>
        </w:rPr>
      </w:pPr>
      <w:r>
        <w:rPr>
          <w:rFonts w:hint="eastAsia" w:ascii="宋体" w:hAnsi="宋体" w:cs="Arial"/>
        </w:rPr>
        <w:t>“质保期”系指质量三包的期限。</w:t>
      </w:r>
    </w:p>
    <w:p>
      <w:pPr>
        <w:numPr>
          <w:ilvl w:val="2"/>
          <w:numId w:val="3"/>
        </w:numPr>
        <w:spacing w:before="0" w:after="0" w:afterAutospacing="0"/>
        <w:ind w:left="0" w:right="0" w:firstLine="420" w:firstLineChars="200"/>
        <w:rPr>
          <w:rFonts w:ascii="宋体" w:hAnsi="宋体" w:cs="Arial"/>
        </w:rPr>
      </w:pPr>
      <w:r>
        <w:rPr>
          <w:rFonts w:hint="eastAsia" w:ascii="宋体" w:hAnsi="宋体" w:cs="Arial"/>
        </w:rPr>
        <w:t>“保质期”系指在特定的的贮存条件下，保持品质的期限。</w:t>
      </w:r>
    </w:p>
    <w:p>
      <w:pPr>
        <w:spacing w:before="0" w:after="0" w:afterAutospacing="0"/>
        <w:ind w:left="0" w:right="0" w:firstLine="420" w:firstLineChars="200"/>
        <w:rPr>
          <w:rFonts w:ascii="宋体" w:hAnsi="宋体"/>
        </w:rPr>
      </w:pPr>
      <w:r>
        <w:rPr>
          <w:rFonts w:hint="eastAsia" w:ascii="宋体" w:hAnsi="宋体"/>
        </w:rPr>
        <w:t>1.1.23</w:t>
      </w:r>
      <w:r>
        <w:rPr>
          <w:rFonts w:hint="eastAsia" w:ascii="宋体" w:hAnsi="宋体"/>
          <w:lang w:val="en-US" w:eastAsia="zh-CN"/>
        </w:rPr>
        <w:t xml:space="preserve"> </w:t>
      </w:r>
      <w:r>
        <w:rPr>
          <w:rFonts w:hint="eastAsia" w:ascii="宋体" w:hAnsi="宋体"/>
        </w:rPr>
        <w:t>“腐败行为”是指提供、给予、接受或索取任何有价值的物品来影响公共官员在采购过程或合同实施过程中的行为；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rPr>
      </w:pPr>
      <w:r>
        <w:rPr>
          <w:rFonts w:hint="eastAsia" w:ascii="宋体" w:hAnsi="宋体"/>
        </w:rPr>
        <w:t>1.1.24</w:t>
      </w:r>
      <w:r>
        <w:rPr>
          <w:rFonts w:hint="eastAsia" w:ascii="宋体" w:hAnsi="宋体"/>
          <w:lang w:val="en-US" w:eastAsia="zh-CN"/>
        </w:rPr>
        <w:t xml:space="preserve"> </w:t>
      </w:r>
      <w:r>
        <w:rPr>
          <w:rFonts w:hint="eastAsia" w:ascii="宋体" w:hAnsi="宋体"/>
        </w:rPr>
        <w:t>“欺诈行为”是指为了影响采购过程或合同实施过程而谎报事实的行为。</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2.适用性</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3.来源地</w:t>
      </w:r>
    </w:p>
    <w:p>
      <w:pPr>
        <w:numPr>
          <w:ilvl w:val="1"/>
          <w:numId w:val="5"/>
        </w:numPr>
        <w:tabs>
          <w:tab w:val="left" w:pos="840"/>
          <w:tab w:val="clear" w:pos="1560"/>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5"/>
        </w:numPr>
        <w:tabs>
          <w:tab w:val="left" w:pos="840"/>
          <w:tab w:val="clear" w:pos="1560"/>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5"/>
        </w:numPr>
        <w:tabs>
          <w:tab w:val="left" w:pos="840"/>
          <w:tab w:val="clear" w:pos="1560"/>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4.标准</w:t>
      </w:r>
    </w:p>
    <w:p>
      <w:pPr>
        <w:numPr>
          <w:ilvl w:val="1"/>
          <w:numId w:val="6"/>
        </w:numPr>
        <w:tabs>
          <w:tab w:val="left" w:pos="840"/>
          <w:tab w:val="clear" w:pos="1560"/>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6"/>
        </w:numPr>
        <w:tabs>
          <w:tab w:val="left" w:pos="840"/>
          <w:tab w:val="clear" w:pos="1560"/>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6"/>
        </w:numPr>
        <w:tabs>
          <w:tab w:val="left" w:pos="840"/>
          <w:tab w:val="clear" w:pos="1560"/>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5.合同文件、资料及使用</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w:t>
      </w:r>
      <w:r>
        <w:rPr>
          <w:rFonts w:hint="eastAsia" w:ascii="宋体" w:hAnsi="宋体"/>
          <w:lang w:eastAsia="zh-CN"/>
        </w:rPr>
        <w:t>南宁轨道交通运营有限公司</w:t>
      </w:r>
      <w:r>
        <w:rPr>
          <w:rFonts w:hint="eastAsia" w:ascii="宋体" w:hAnsi="宋体"/>
        </w:rPr>
        <w:t>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6.知识产权</w:t>
      </w:r>
    </w:p>
    <w:p>
      <w:pPr>
        <w:numPr>
          <w:ilvl w:val="0"/>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7.价格</w:t>
      </w:r>
    </w:p>
    <w:p>
      <w:pPr>
        <w:numPr>
          <w:ilvl w:val="255"/>
          <w:numId w:val="0"/>
        </w:numPr>
        <w:spacing w:after="0" w:afterAutospacing="0"/>
        <w:ind w:right="0" w:firstLine="420" w:firstLineChars="200"/>
        <w:rPr>
          <w:rFonts w:ascii="宋体" w:hAnsi="宋体"/>
        </w:rPr>
      </w:pPr>
      <w:r>
        <w:rPr>
          <w:rFonts w:hint="eastAsia" w:ascii="宋体" w:hAnsi="宋体"/>
        </w:rPr>
        <w:t>7.1在合同有效期内综合单价（不含增值税）固定不变，乙方根据甲方每批次</w:t>
      </w:r>
      <w:r>
        <w:rPr>
          <w:rFonts w:hint="eastAsia" w:ascii="宋体" w:hAnsi="宋体"/>
          <w:lang w:eastAsia="zh-CN"/>
        </w:rPr>
        <w:t>开工通知</w:t>
      </w:r>
      <w:r>
        <w:rPr>
          <w:rFonts w:hint="eastAsia" w:ascii="宋体" w:hAnsi="宋体"/>
        </w:rPr>
        <w:t>中要求的货物种类、数量按时供货据实结算。乙方不得以任何理由予以合同价格上浮、上调、上涨，但如属经双方协商同意变更的情况除外，</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numPr>
          <w:ilvl w:val="255"/>
          <w:numId w:val="0"/>
        </w:numPr>
        <w:spacing w:after="0" w:afterAutospacing="0"/>
        <w:ind w:right="0" w:firstLine="420" w:firstLineChars="200"/>
        <w:rPr>
          <w:rFonts w:ascii="宋体" w:hAnsi="宋体"/>
        </w:rPr>
      </w:pPr>
      <w:r>
        <w:rPr>
          <w:rFonts w:hint="eastAsia" w:ascii="宋体" w:hAnsi="宋体"/>
        </w:rPr>
        <w:t>7.2合同综合单价包括但不限于货物价格</w:t>
      </w:r>
      <w:r>
        <w:rPr>
          <w:rFonts w:hint="eastAsia" w:ascii="宋体" w:hAnsi="宋体"/>
          <w:lang w:eastAsia="zh-CN"/>
        </w:rPr>
        <w:t>、安装、</w:t>
      </w:r>
      <w:r>
        <w:rPr>
          <w:rFonts w:hint="eastAsia" w:ascii="宋体" w:hAnsi="宋体"/>
        </w:rPr>
        <w:t>出厂检验费、第三方检测费用（如有）、包装费、所供货物到甲方指定现场的运输费、装卸费、</w:t>
      </w:r>
      <w:r>
        <w:rPr>
          <w:rFonts w:hint="eastAsia" w:ascii="宋体" w:hAnsi="宋体"/>
          <w:lang w:val="en-US" w:eastAsia="zh-CN"/>
        </w:rPr>
        <w:t>安装费、调试费、</w:t>
      </w:r>
      <w:r>
        <w:rPr>
          <w:rFonts w:hint="eastAsia" w:ascii="宋体" w:hAnsi="宋体"/>
        </w:rPr>
        <w:t>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ascii="宋体" w:hAnsi="宋体"/>
        </w:rPr>
      </w:pPr>
      <w:r>
        <w:rPr>
          <w:rFonts w:hint="eastAsia" w:ascii="宋体" w:hAnsi="宋体"/>
        </w:rPr>
        <w:t>7.3合同金额：含税人民币</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），税率</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%；不含税总金额：</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rPr>
        <w:t>）。</w:t>
      </w:r>
    </w:p>
    <w:p>
      <w:pPr>
        <w:numPr>
          <w:ilvl w:val="255"/>
          <w:numId w:val="0"/>
        </w:numPr>
        <w:spacing w:after="0" w:afterAutospacing="0"/>
        <w:ind w:right="0" w:firstLine="420" w:firstLineChars="200"/>
        <w:rPr>
          <w:rFonts w:ascii="宋体" w:hAnsi="宋体"/>
        </w:rPr>
      </w:pPr>
      <w:r>
        <w:rPr>
          <w:rFonts w:hint="eastAsia" w:ascii="宋体" w:hAnsi="宋体"/>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hint="default" w:ascii="宋体" w:hAnsi="宋体" w:eastAsia="宋体"/>
          <w:b/>
          <w:lang w:val="en-US" w:eastAsia="zh-CN"/>
        </w:rPr>
      </w:pPr>
      <w:r>
        <w:rPr>
          <w:rFonts w:hint="eastAsia" w:ascii="宋体" w:hAnsi="宋体"/>
          <w:b/>
        </w:rPr>
        <w:t>8.</w:t>
      </w:r>
      <w:r>
        <w:rPr>
          <w:rFonts w:hint="eastAsia" w:ascii="宋体" w:hAnsi="宋体"/>
          <w:b/>
          <w:lang w:val="en-US" w:eastAsia="zh-CN"/>
        </w:rPr>
        <w:t>工期</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u w:val="none"/>
        </w:rPr>
        <w:t>合同签订且</w:t>
      </w:r>
      <w:r>
        <w:rPr>
          <w:rFonts w:hint="eastAsia" w:ascii="宋体" w:hAnsi="宋体"/>
          <w:u w:val="none"/>
          <w:lang w:val="en-US" w:eastAsia="zh-CN"/>
        </w:rPr>
        <w:t>供货</w:t>
      </w:r>
      <w:r>
        <w:rPr>
          <w:rFonts w:hint="eastAsia" w:ascii="宋体" w:hAnsi="宋体"/>
          <w:u w:val="none"/>
          <w:lang w:eastAsia="zh-CN"/>
        </w:rPr>
        <w:t>通知书</w:t>
      </w:r>
      <w:r>
        <w:rPr>
          <w:rFonts w:ascii="宋体" w:hAnsi="宋体"/>
          <w:u w:val="none"/>
        </w:rPr>
        <w:t>发出后</w:t>
      </w:r>
      <w:r>
        <w:rPr>
          <w:rFonts w:hint="eastAsia" w:ascii="宋体" w:hAnsi="宋体"/>
          <w:u w:val="none"/>
          <w:lang w:val="en-US" w:eastAsia="zh-CN"/>
        </w:rPr>
        <w:t>90</w:t>
      </w:r>
      <w:r>
        <w:rPr>
          <w:rFonts w:hint="eastAsia" w:ascii="宋体" w:hAnsi="宋体"/>
          <w:u w:val="none"/>
        </w:rPr>
        <w:t>天内</w:t>
      </w:r>
      <w:r>
        <w:rPr>
          <w:rFonts w:hint="eastAsia" w:ascii="宋体" w:hAnsi="宋体"/>
          <w:u w:val="none"/>
          <w:lang w:eastAsia="zh-CN"/>
        </w:rPr>
        <w:t>完成供货和安装。</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9.付款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9.1甲方在收到由乙方提供的以下合格材料后4</w:t>
      </w:r>
      <w:r>
        <w:rPr>
          <w:rFonts w:ascii="宋体" w:hAnsi="宋体" w:cs="Arial"/>
        </w:rPr>
        <w:t>5</w:t>
      </w:r>
      <w:r>
        <w:rPr>
          <w:rFonts w:hint="eastAsia" w:ascii="宋体" w:hAnsi="宋体" w:cs="Arial"/>
        </w:rPr>
        <w:t>个工作日内按该批次验收合格货物金额的</w:t>
      </w:r>
      <w:r>
        <w:rPr>
          <w:rFonts w:hint="eastAsia" w:ascii="宋体" w:hAnsi="宋体" w:cs="Arial"/>
          <w:lang w:val="en-US" w:eastAsia="zh-CN"/>
        </w:rPr>
        <w:t>60</w:t>
      </w:r>
      <w:r>
        <w:rPr>
          <w:rFonts w:hint="eastAsia" w:ascii="宋体" w:hAnsi="宋体" w:cs="Arial"/>
        </w:rPr>
        <w:t>%支付。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③该批次货物供货通知。</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fldChar w:fldCharType="begin"/>
      </w:r>
      <w:r>
        <w:rPr>
          <w:rFonts w:hint="eastAsia" w:ascii="宋体" w:hAnsi="宋体" w:cs="Arial"/>
        </w:rPr>
        <w:instrText xml:space="preserve"> = 4 \* GB3 \* MERGEFORMAT </w:instrText>
      </w:r>
      <w:r>
        <w:rPr>
          <w:rFonts w:hint="eastAsia" w:ascii="宋体" w:hAnsi="宋体" w:cs="Arial"/>
        </w:rPr>
        <w:fldChar w:fldCharType="separate"/>
      </w:r>
      <w:r>
        <w:t>④</w:t>
      </w:r>
      <w:r>
        <w:rPr>
          <w:rFonts w:hint="eastAsia" w:ascii="宋体" w:hAnsi="宋体" w:cs="Arial"/>
        </w:rPr>
        <w:fldChar w:fldCharType="end"/>
      </w:r>
      <w:r>
        <w:rPr>
          <w:rFonts w:hint="eastAsia" w:ascii="宋体" w:hAnsi="宋体" w:cs="Arial"/>
        </w:rPr>
        <w:t>该批次货物到货验收合格证明材料。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fldChar w:fldCharType="begin"/>
      </w:r>
      <w:r>
        <w:rPr>
          <w:rFonts w:hint="eastAsia" w:ascii="宋体" w:hAnsi="宋体" w:cs="Arial"/>
        </w:rPr>
        <w:instrText xml:space="preserve"> = 5 \* GB3 \* MERGEFORMAT </w:instrText>
      </w:r>
      <w:r>
        <w:rPr>
          <w:rFonts w:hint="eastAsia" w:ascii="宋体" w:hAnsi="宋体" w:cs="Arial"/>
        </w:rPr>
        <w:fldChar w:fldCharType="separate"/>
      </w:r>
      <w:r>
        <w:rPr>
          <w:rFonts w:hint="eastAsia" w:ascii="宋体" w:hAnsi="宋体" w:cs="Arial"/>
        </w:rPr>
        <w:t>⑤</w:t>
      </w:r>
      <w:r>
        <w:rPr>
          <w:rFonts w:hint="eastAsia" w:ascii="宋体" w:hAnsi="宋体" w:cs="Arial"/>
        </w:rPr>
        <w:fldChar w:fldCharType="end"/>
      </w:r>
      <w:r>
        <w:rPr>
          <w:rFonts w:hint="eastAsia" w:ascii="宋体" w:hAnsi="宋体" w:cs="Arial"/>
        </w:rPr>
        <w:t>违约情况及处理证明材料（如有）。</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③结算审定资料。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④全部货物供货通知。</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⑤全部货物到货验收合格证明。</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②双方确认的质保服务合格证明材料。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③结算审定单。</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9.5</w:t>
      </w:r>
      <w:r>
        <w:rPr>
          <w:rFonts w:hint="eastAsia" w:ascii="宋体" w:hAnsi="宋体" w:eastAsia="宋体" w:cs="Arial"/>
          <w:i w:val="0"/>
          <w:iCs w:val="0"/>
          <w:caps w:val="0"/>
          <w:color w:val="auto"/>
          <w:spacing w:val="0"/>
          <w:sz w:val="21"/>
          <w:szCs w:val="21"/>
          <w:shd w:val="clear" w:fill="auto"/>
        </w:rPr>
        <w:t>支付的货币应以人民币支付，但不限于银行转账、汇票、国内信用证、供应链金融产品等支付形式</w:t>
      </w:r>
      <w:r>
        <w:rPr>
          <w:rFonts w:hint="eastAsia" w:ascii="宋体" w:hAnsi="宋体" w:cs="Arial"/>
        </w:rPr>
        <w:t>。</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9.</w:t>
      </w:r>
      <w:r>
        <w:rPr>
          <w:rFonts w:hint="eastAsia" w:ascii="宋体" w:hAnsi="宋体" w:cs="Arial"/>
          <w:lang w:val="en-US" w:eastAsia="zh-CN"/>
        </w:rPr>
        <w:t>6</w:t>
      </w:r>
      <w:r>
        <w:rPr>
          <w:rFonts w:hint="eastAsia" w:ascii="宋体" w:hAnsi="宋体" w:cs="Arial"/>
        </w:rPr>
        <w:t>结算需满足以下条件：</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（1）达到合同第26条约定的“合同终止”条件。</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（2）乙方根据甲方要求完成项目档案归档。</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（3）本合同有效期满或供货金额累计达到合同金额的100%（含）。</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（4）乙方按照甲方的结算管理办法提供如下合格材料，并经甲方审核无误：</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①甲方管理办法规定的结算审核套表。</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②全部货物供货通知。</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③全部货物到货验收合格证明材料。</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④合同约定的其他证明资料（如违约情况及处理证明材料）。</w:t>
      </w:r>
    </w:p>
    <w:p>
      <w:pPr>
        <w:tabs>
          <w:tab w:val="left" w:pos="1134"/>
          <w:tab w:val="left" w:pos="8364"/>
        </w:tabs>
        <w:spacing w:before="0" w:after="0" w:afterAutospacing="0"/>
        <w:ind w:left="420" w:leftChars="200" w:right="0" w:firstLine="0"/>
        <w:outlineLvl w:val="2"/>
        <w:rPr>
          <w:rFonts w:ascii="宋体" w:hAnsi="宋体"/>
          <w:b/>
        </w:rPr>
      </w:pPr>
      <w:r>
        <w:rPr>
          <w:rFonts w:hint="eastAsia" w:ascii="宋体" w:hAnsi="宋体"/>
          <w:b/>
        </w:rPr>
        <w:t>10.履约担保</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10.1在合同签订前，乙方应向甲方提供履约担保，履约担保金额为中标价格的5%，履约担保可以采用转账或电汇或银行保函的形式。</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违约金。</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10.3履约担保币种应为人民币。</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10.4乙方提交履约担保所产生的费用由乙方承担。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10.5如果在有效期内乙方不能履行其在合同项下的义务，则乙方应承担相应的违约责任，同时甲方有权用履约担保的资金补偿其任何损失或有权通过银行保函追索，但其剩余的履约担保仍应满足合同价格5%，乙方应在期限内及时补足担保金额，每逾期一天，按照应补未补部分的千分之三向甲方支付违约金，甲方有权在货款中扣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10.6履约担保在本合同全部货物验收合格之日起四十五（45）天后，根据履约期间甲方的索赔情况，将剩余履约担保款项无息退还乙方。</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11.检验</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11.5技术规格书规定要求计量检定检验的物资，交货时每件货物均须提供检验报告、并粘贴检定/校准合格标签；检验报告须为有国家计量认证资质（CMA）的第三方机构出具的原件，检验委托方为“</w:t>
      </w:r>
      <w:r>
        <w:rPr>
          <w:rFonts w:hint="eastAsia" w:ascii="宋体" w:hAnsi="宋体" w:cs="Arial"/>
          <w:lang w:eastAsia="zh-CN"/>
        </w:rPr>
        <w:t>南宁轨道交通运营有限公司</w:t>
      </w:r>
      <w:r>
        <w:rPr>
          <w:rFonts w:hint="eastAsia" w:ascii="宋体" w:hAnsi="宋体" w:cs="Arial"/>
        </w:rPr>
        <w:t>”，检验产生的所有费用包含在项目报价中。中华人民共和国强制检定的工作计量器具明细目录内的仪器仪表必须出具第三方计量检定报告。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11.6技术规格书规定要求绝缘耐压检验的物资，交货时每件货物均须提供具有国家认定检验资质的第三方检验机构出具的绝缘耐压检验报告原件，检验委托方为“</w:t>
      </w:r>
      <w:r>
        <w:rPr>
          <w:rFonts w:hint="eastAsia" w:ascii="宋体" w:hAnsi="宋体" w:cs="Arial"/>
          <w:lang w:eastAsia="zh-CN"/>
        </w:rPr>
        <w:t>南宁轨道交通运营有限公司</w:t>
      </w:r>
      <w:r>
        <w:rPr>
          <w:rFonts w:hint="eastAsia" w:ascii="宋体" w:hAnsi="宋体" w:cs="Arial"/>
        </w:rPr>
        <w:t>”，检验产生的所有费用包含在项目报价中。</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11.7任何情况下均不能免除和减轻乙方在本合同项下的保证义务或其他义务。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11.8上述检验所发生的一切费用已包含在合同价格中，甲方不另行支付。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11.9乙方负责的部分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11.10甲方负责的部分</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甲方参加到货检查、开箱检验等工作直至全部货物验收合格。</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11.11凡合同规定在乙方和/或其零部件供应商所在地进行检验时，乙方应提供为有效地进行检验所必需的帮助、装置和仪器。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11.12检验和验收过程中涉及的赔偿条款在合同条款第25条中规定。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11.13在任何情况下，任何检验和验收的结果均不免除乙方的合同责任。</w:t>
      </w:r>
    </w:p>
    <w:p>
      <w:pPr>
        <w:tabs>
          <w:tab w:val="left" w:pos="1134"/>
          <w:tab w:val="left" w:pos="8364"/>
        </w:tabs>
        <w:spacing w:before="0" w:after="0" w:afterAutospacing="0"/>
        <w:ind w:left="0" w:right="0" w:firstLine="420" w:firstLineChars="200"/>
        <w:rPr>
          <w:rFonts w:ascii="宋体" w:hAnsi="宋体"/>
          <w:b/>
        </w:rPr>
      </w:pPr>
      <w:r>
        <w:rPr>
          <w:rFonts w:hint="eastAsia" w:ascii="宋体" w:hAnsi="宋体" w:cs="Arial"/>
        </w:rPr>
        <w:t>1</w:t>
      </w:r>
      <w:r>
        <w:rPr>
          <w:rFonts w:hint="eastAsia" w:ascii="宋体" w:hAnsi="宋体"/>
          <w:b/>
        </w:rPr>
        <w:t>2.包装</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12.1乙方应在每一包装箱的适当位置作出下列标记：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a.收货人；</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b.货物名称、件数；</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c.毛重、净重；</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d.体积（长×宽×高，用毫米表示）。</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12.2乙方应按照货物的特点及装卸和运输上的不同要求，包装箱上应明显印刷有“轻放”、“勿倒置”和“防雨”等字样，危险品包装应有警示标志。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12.6乙方在包装货物时应考虑甲方现场实际条件。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12.7各种货物的松散零部件应采用好的包装方式，装入尺寸适当的箱内。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12.8对于裸装货物，乙方应采取特殊措施保护货物及方便搬运。</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13.交货和单据</w:t>
      </w:r>
    </w:p>
    <w:p>
      <w:pPr>
        <w:tabs>
          <w:tab w:val="left" w:pos="1134"/>
          <w:tab w:val="left" w:pos="8364"/>
        </w:tabs>
        <w:spacing w:before="0" w:after="0" w:afterAutospacing="0"/>
        <w:ind w:left="0" w:right="0" w:firstLine="420" w:firstLineChars="200"/>
        <w:rPr>
          <w:rFonts w:hint="eastAsia" w:ascii="宋体" w:hAnsi="宋体" w:cs="Arial"/>
        </w:rPr>
      </w:pPr>
      <w:r>
        <w:rPr>
          <w:rFonts w:hint="eastAsia" w:ascii="宋体" w:hAnsi="宋体" w:cs="Arial"/>
        </w:rPr>
        <w:t>13.1交货期：</w:t>
      </w:r>
      <w:r>
        <w:rPr>
          <w:rFonts w:hint="eastAsia" w:ascii="宋体" w:hAnsi="宋体"/>
          <w:color w:val="auto"/>
          <w:u w:val="none"/>
        </w:rPr>
        <w:t>合同签订且</w:t>
      </w:r>
      <w:r>
        <w:rPr>
          <w:rFonts w:hint="eastAsia" w:ascii="宋体" w:hAnsi="宋体"/>
          <w:color w:val="auto"/>
          <w:u w:val="none"/>
          <w:lang w:val="en-US" w:eastAsia="zh-CN"/>
        </w:rPr>
        <w:t>供货</w:t>
      </w:r>
      <w:r>
        <w:rPr>
          <w:rFonts w:hint="eastAsia" w:ascii="宋体" w:hAnsi="宋体"/>
          <w:color w:val="auto"/>
          <w:u w:val="none"/>
          <w:lang w:eastAsia="zh-CN"/>
        </w:rPr>
        <w:t>通知书</w:t>
      </w:r>
      <w:r>
        <w:rPr>
          <w:rFonts w:ascii="宋体" w:hAnsi="宋体"/>
          <w:color w:val="auto"/>
          <w:u w:val="none"/>
        </w:rPr>
        <w:t>发出后</w:t>
      </w:r>
      <w:r>
        <w:rPr>
          <w:rFonts w:hint="eastAsia" w:ascii="宋体" w:hAnsi="宋体"/>
          <w:color w:val="auto"/>
          <w:u w:val="none"/>
          <w:lang w:val="en-US" w:eastAsia="zh-CN"/>
        </w:rPr>
        <w:t>30</w:t>
      </w:r>
      <w:r>
        <w:rPr>
          <w:rFonts w:hint="eastAsia" w:ascii="宋体" w:hAnsi="宋体"/>
          <w:color w:val="auto"/>
          <w:u w:val="none"/>
        </w:rPr>
        <w:t>天内交货，</w:t>
      </w:r>
      <w:r>
        <w:rPr>
          <w:rFonts w:hint="eastAsia" w:ascii="宋体" w:hAnsi="宋体" w:cs="Arial"/>
        </w:rPr>
        <w:t>以</w:t>
      </w:r>
      <w:r>
        <w:rPr>
          <w:rFonts w:hint="eastAsia" w:ascii="宋体" w:hAnsi="宋体" w:cs="Arial"/>
          <w:lang w:val="en-US" w:eastAsia="zh-CN"/>
        </w:rPr>
        <w:t>供货</w:t>
      </w:r>
      <w:r>
        <w:rPr>
          <w:rFonts w:hint="eastAsia" w:ascii="宋体" w:hAnsi="宋体" w:cs="Arial"/>
          <w:lang w:eastAsia="zh-CN"/>
        </w:rPr>
        <w:t>通知</w:t>
      </w:r>
      <w:r>
        <w:rPr>
          <w:rFonts w:hint="eastAsia" w:ascii="宋体" w:hAnsi="宋体" w:cs="Arial"/>
        </w:rPr>
        <w:t>发出起算。</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13.2甲方在交货前，向乙方发出</w:t>
      </w:r>
      <w:r>
        <w:rPr>
          <w:rFonts w:hint="eastAsia" w:ascii="宋体" w:hAnsi="宋体" w:cs="Arial"/>
          <w:lang w:val="en-US" w:eastAsia="zh-CN"/>
        </w:rPr>
        <w:t>供货</w:t>
      </w:r>
      <w:r>
        <w:rPr>
          <w:rFonts w:hint="eastAsia" w:ascii="宋体" w:hAnsi="宋体" w:cs="Arial"/>
          <w:lang w:eastAsia="zh-CN"/>
        </w:rPr>
        <w:t>通知</w:t>
      </w:r>
      <w:r>
        <w:rPr>
          <w:rFonts w:hint="eastAsia" w:ascii="宋体" w:hAnsi="宋体" w:cs="Arial"/>
        </w:rPr>
        <w:t>。</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13.3乙方应负责将合同货物在双方约定的交货期内运抵甲方指定地点。乙方负责交货地点的卸货和现场存放点的就位。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13.4乙方应负责将货物交到合同规定的交货地点并负责货物交到交货地点的一切费用，包括运输、装卸、保险、仓储等费用。乙方应提供的装运细节和/或其他单据执行合同条款的具体规定。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13.5如果甲方采购的货物不能按计划进行现场交接，乙方应将货物在其南宁市仓储场所内进行临时保管。乙方应提交的单据执行合同条款的具体规定。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14.所有权与风险转移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14.3在拒收情况下，或者解除合同的，货物毁损、灭失的风险由乙方承担。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15.运输</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15.1乙方应在任何货物运送至甲方指定现场日期前7天通知甲方。</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15.2乙方按照甲方的要求负责将货物运至甲方指定地点，并负责办理货物运至前述交货地点全过程中的所有事项，包括保险、中转、装卸和在货物开箱验收合格前的仓储，上述费用已包括在合同价中。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640"/>
          <w:tab w:val="left" w:pos="1843"/>
        </w:tabs>
        <w:spacing w:before="0" w:after="0" w:afterAutospacing="0"/>
        <w:ind w:left="420" w:right="0" w:firstLine="0"/>
        <w:outlineLvl w:val="2"/>
        <w:rPr>
          <w:rFonts w:hint="eastAsia" w:ascii="宋体" w:hAnsi="宋体" w:eastAsia="宋体"/>
          <w:b/>
          <w:lang w:eastAsia="zh-CN"/>
        </w:rPr>
      </w:pPr>
      <w:r>
        <w:rPr>
          <w:rFonts w:hint="eastAsia" w:ascii="宋体" w:hAnsi="宋体"/>
          <w:b/>
        </w:rPr>
        <w:t>16.</w:t>
      </w:r>
      <w:r>
        <w:rPr>
          <w:rFonts w:hint="eastAsia" w:ascii="宋体" w:hAnsi="宋体"/>
          <w:b/>
          <w:lang w:eastAsia="zh-CN"/>
        </w:rPr>
        <w:t>安装及</w:t>
      </w:r>
      <w:r>
        <w:rPr>
          <w:rFonts w:hint="eastAsia" w:ascii="宋体" w:hAnsi="宋体"/>
          <w:b/>
        </w:rPr>
        <w:t>服务</w:t>
      </w:r>
      <w:r>
        <w:rPr>
          <w:rFonts w:hint="eastAsia" w:ascii="宋体" w:hAnsi="宋体"/>
          <w:b/>
          <w:lang w:eastAsia="zh-CN"/>
        </w:rPr>
        <w:t>要求</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16.1乙方提供的服务的费用已含在合同价格中。</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（1）提供货物组装和维修所需的专用工具和软件。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（2）为所供货物提供详细的操作和维护手册。</w:t>
      </w:r>
    </w:p>
    <w:p>
      <w:pPr>
        <w:tabs>
          <w:tab w:val="left" w:pos="1134"/>
          <w:tab w:val="left" w:pos="8364"/>
        </w:tabs>
        <w:spacing w:before="0" w:after="0" w:afterAutospacing="0"/>
        <w:ind w:left="0" w:right="0" w:firstLine="420" w:firstLineChars="200"/>
        <w:rPr>
          <w:rFonts w:hint="eastAsia" w:ascii="宋体" w:hAnsi="宋体" w:cs="Arial"/>
        </w:rPr>
      </w:pPr>
      <w:r>
        <w:rPr>
          <w:rFonts w:hint="eastAsia" w:ascii="宋体" w:hAnsi="宋体" w:cs="Arial"/>
        </w:rPr>
        <w:t>（3）合同条款第二部分1.1.10所提及的所有服务内容，但前提条件是该服务并不能免除乙方在合同有效期内所承担的义务。</w:t>
      </w:r>
    </w:p>
    <w:p>
      <w:pPr>
        <w:tabs>
          <w:tab w:val="left" w:pos="1134"/>
          <w:tab w:val="left" w:pos="8364"/>
        </w:tabs>
        <w:spacing w:before="0" w:after="0" w:afterAutospacing="0"/>
        <w:ind w:left="0" w:right="0" w:firstLine="420" w:firstLineChars="200"/>
        <w:rPr>
          <w:rFonts w:hint="default" w:eastAsia="宋体"/>
          <w:lang w:val="en-US" w:eastAsia="zh-CN"/>
        </w:rPr>
      </w:pPr>
      <w:r>
        <w:rPr>
          <w:rFonts w:hint="eastAsia" w:ascii="宋体" w:hAnsi="宋体" w:cs="Arial"/>
        </w:rPr>
        <w:t>（</w:t>
      </w:r>
      <w:r>
        <w:rPr>
          <w:rFonts w:hint="eastAsia" w:ascii="宋体" w:hAnsi="宋体" w:cs="Arial"/>
          <w:lang w:val="en-US" w:eastAsia="zh-CN"/>
        </w:rPr>
        <w:t>4</w:t>
      </w:r>
      <w:r>
        <w:rPr>
          <w:rFonts w:hint="eastAsia" w:ascii="宋体" w:hAnsi="宋体" w:cs="Arial"/>
        </w:rPr>
        <w:t>）</w:t>
      </w:r>
      <w:r>
        <w:rPr>
          <w:rFonts w:hint="eastAsia" w:ascii="宋体" w:hAnsi="宋体" w:cs="Arial"/>
          <w:lang w:eastAsia="zh-CN"/>
        </w:rPr>
        <w:t>现场</w:t>
      </w:r>
      <w:r>
        <w:rPr>
          <w:rFonts w:hint="eastAsia" w:ascii="宋体" w:hAnsi="宋体" w:cs="Arial"/>
          <w:lang w:val="en-US" w:eastAsia="zh-CN"/>
        </w:rPr>
        <w:t>安装要求：具体安装要求详见用户需求书</w:t>
      </w:r>
      <w:r>
        <w:rPr>
          <w:rFonts w:hint="eastAsia" w:ascii="宋体" w:hAnsi="宋体" w:cs="Arial"/>
        </w:rPr>
        <w:t>。</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17.保证</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17.3.1乙方在收到通知后按合同规定期限免费维修或更换有缺陷的货物或部件；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17.3.2如果乙方在收到通知后未按合同规定期限弥补缺陷，甲方可采取必要的补救措施，但其风险和费用将由乙方承担，甲方根据合同规定对乙方行使的其它权利不受影响。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17.4乙方保证给予甲方人员在制造商工厂检查其质保体系和生产流程的任一环节提供方便。</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17.5质量保证期</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17.5.1正常质量保证期</w:t>
      </w:r>
    </w:p>
    <w:p>
      <w:pPr>
        <w:tabs>
          <w:tab w:val="left" w:pos="840"/>
        </w:tabs>
        <w:spacing w:before="0" w:after="0" w:afterAutospacing="0"/>
        <w:ind w:left="0" w:right="0" w:firstLine="422" w:firstLineChars="200"/>
        <w:rPr>
          <w:rFonts w:ascii="宋体" w:hAnsi="宋体"/>
        </w:rPr>
      </w:pPr>
      <w:r>
        <w:rPr>
          <w:rFonts w:ascii="宋体" w:hAnsi="宋体"/>
          <w:b/>
        </w:rPr>
        <w:t>1</w:t>
      </w:r>
      <w:r>
        <w:rPr>
          <w:rFonts w:hint="eastAsia" w:ascii="宋体" w:hAnsi="宋体"/>
          <w:b/>
        </w:rPr>
        <w:t>7</w:t>
      </w:r>
      <w:r>
        <w:rPr>
          <w:rFonts w:ascii="宋体" w:hAnsi="宋体"/>
          <w:b/>
        </w:rPr>
        <w:t xml:space="preserve">.5.1.1 </w:t>
      </w:r>
      <w:r>
        <w:rPr>
          <w:rFonts w:hint="eastAsia" w:ascii="宋体" w:hAnsi="宋体"/>
          <w:b/>
        </w:rPr>
        <w:t>正常质量保证期为：自验收合格之日起</w:t>
      </w:r>
      <w:r>
        <w:rPr>
          <w:rFonts w:hint="eastAsia" w:ascii="宋体" w:hAnsi="宋体"/>
          <w:color w:val="FF0000"/>
          <w:u w:val="single"/>
        </w:rPr>
        <w:t xml:space="preserve"> </w:t>
      </w:r>
      <w:r>
        <w:rPr>
          <w:rFonts w:hint="eastAsia" w:ascii="宋体" w:hAnsi="宋体"/>
          <w:color w:val="FF0000"/>
          <w:u w:val="single"/>
          <w:lang w:val="en-US" w:eastAsia="zh-CN"/>
        </w:rPr>
        <w:t>24</w:t>
      </w:r>
      <w:r>
        <w:rPr>
          <w:rFonts w:hint="eastAsia" w:ascii="宋体" w:hAnsi="宋体"/>
          <w:b/>
        </w:rPr>
        <w:t>个月</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2在正常质量保证期内，乙方应对在合同规定时间内出现或产生的缺陷或项目任何部分的损害，根据合同</w:t>
      </w:r>
      <w:r>
        <w:rPr>
          <w:rFonts w:ascii="宋体" w:hAnsi="宋体"/>
        </w:rPr>
        <w:t>的规定向甲方承担责任，并满足甲方的要求。</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FF0000"/>
          <w:u w:val="single"/>
        </w:rPr>
        <w:t>（</w:t>
      </w:r>
      <w:r>
        <w:rPr>
          <w:rFonts w:hint="eastAsia" w:ascii="宋体" w:hAnsi="宋体"/>
          <w:color w:val="FF0000"/>
          <w:u w:val="single"/>
          <w:lang w:val="en-US" w:eastAsia="zh-CN"/>
        </w:rPr>
        <w:t>24</w:t>
      </w:r>
      <w:r>
        <w:rPr>
          <w:rFonts w:hint="eastAsia" w:ascii="宋体" w:hAnsi="宋体"/>
          <w:color w:val="FF0000"/>
          <w:u w:val="single"/>
        </w:rPr>
        <w:t>）</w:t>
      </w:r>
      <w:r>
        <w:rPr>
          <w:rFonts w:hint="eastAsia" w:ascii="宋体" w:hAnsi="宋体"/>
        </w:rPr>
        <w:t>个月的质量保证期。</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4本合同项下的货物（包含所有零部件）正常质量保证期</w:t>
      </w:r>
      <w:r>
        <w:rPr>
          <w:rFonts w:hint="eastAsia" w:ascii="宋体" w:hAnsi="宋体"/>
          <w:color w:val="FF0000"/>
          <w:u w:val="single"/>
        </w:rPr>
        <w:t>（</w:t>
      </w:r>
      <w:r>
        <w:rPr>
          <w:rFonts w:hint="eastAsia" w:ascii="宋体" w:hAnsi="宋体"/>
          <w:color w:val="FF0000"/>
          <w:u w:val="single"/>
          <w:lang w:val="en-US" w:eastAsia="zh-CN"/>
        </w:rPr>
        <w:t>24</w:t>
      </w:r>
      <w:r>
        <w:rPr>
          <w:rFonts w:hint="eastAsia" w:ascii="宋体" w:hAnsi="宋体"/>
          <w:color w:val="FF0000"/>
          <w:u w:val="single"/>
        </w:rPr>
        <w:t>）</w:t>
      </w:r>
      <w:r>
        <w:rPr>
          <w:rFonts w:hint="eastAsia" w:ascii="宋体" w:hAnsi="宋体"/>
        </w:rPr>
        <w:t>个月，自验收合格之日起计算；提供免费上门维修（包含所有配件的更换及服务）及保养服务，正常质量保证期内至少每季度巡检一次。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 xml:space="preserve">.5.1.5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6质量保证期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17.10乙方还应保证合同项下所提供的服务包括设计、培训、调试和试验等，应按合同规定方式进行并保证不存在因乙方或其零部件供应商、代理商或代表或工作人员的过失、错误或疏忽而产生的缺陷。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18.合同变更与修改</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18.4.1合同项下提供的货物是专为甲方制造时，变更图纸、设计或规格；</w:t>
      </w:r>
    </w:p>
    <w:p>
      <w:pPr>
        <w:tabs>
          <w:tab w:val="left" w:pos="540"/>
        </w:tabs>
        <w:adjustRightInd w:val="0"/>
        <w:spacing w:before="0" w:after="0" w:afterAutospacing="0"/>
        <w:ind w:left="0" w:right="0" w:firstLine="420" w:firstLineChars="200"/>
        <w:rPr>
          <w:rFonts w:ascii="宋体" w:hAnsi="宋体"/>
        </w:rPr>
      </w:pPr>
      <w:r>
        <w:rPr>
          <w:rFonts w:hint="eastAsia" w:ascii="宋体" w:hAnsi="宋体"/>
        </w:rPr>
        <w:t>18.4.2乙方提供的货物数量；</w:t>
      </w:r>
    </w:p>
    <w:p>
      <w:pPr>
        <w:tabs>
          <w:tab w:val="left" w:pos="540"/>
        </w:tabs>
        <w:adjustRightInd w:val="0"/>
        <w:spacing w:before="0" w:after="0" w:afterAutospacing="0"/>
        <w:ind w:left="0" w:right="0" w:firstLine="420" w:firstLineChars="200"/>
        <w:rPr>
          <w:rFonts w:ascii="宋体" w:hAnsi="宋体"/>
        </w:rPr>
      </w:pPr>
      <w:r>
        <w:rPr>
          <w:rFonts w:hint="eastAsia" w:ascii="宋体" w:hAnsi="宋体"/>
        </w:rPr>
        <w:t>18.4.3因原填报品牌型号在合同签订后停产或升级，且市场已采购不到的。需变更的品牌型号需提供原厂出具的其品牌型号停产证明或型号升级证明。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18.6合同变更时，买卖双方按下述方式确定调整货物合同价格：</w:t>
      </w:r>
    </w:p>
    <w:p>
      <w:pPr>
        <w:adjustRightInd w:val="0"/>
        <w:spacing w:before="0" w:after="0" w:afterAutospacing="0"/>
        <w:ind w:left="0" w:right="0" w:firstLine="420" w:firstLineChars="200"/>
        <w:rPr>
          <w:rFonts w:ascii="宋体" w:hAnsi="宋体"/>
        </w:rPr>
      </w:pPr>
      <w:r>
        <w:rPr>
          <w:rFonts w:hint="eastAsia" w:ascii="宋体" w:hAnsi="宋体"/>
        </w:rPr>
        <w:t>18.6.1对合同中已有项目的增加或删除，按合同已列明的货物单价计算调整合同价格；</w:t>
      </w:r>
    </w:p>
    <w:p>
      <w:pPr>
        <w:adjustRightInd w:val="0"/>
        <w:spacing w:before="0" w:after="0" w:afterAutospacing="0"/>
        <w:ind w:left="0" w:right="0" w:firstLine="420" w:firstLineChars="200"/>
        <w:rPr>
          <w:rFonts w:ascii="宋体" w:hAnsi="宋体"/>
        </w:rPr>
      </w:pPr>
      <w:r>
        <w:rPr>
          <w:rFonts w:hint="eastAsia" w:ascii="宋体" w:hAnsi="宋体"/>
        </w:rPr>
        <w:t>18.6.2对合同中已明确并有定价的选项及替代方案，按合同列明的相应的货物单价金额计算；</w:t>
      </w:r>
    </w:p>
    <w:p>
      <w:pPr>
        <w:adjustRightInd w:val="0"/>
        <w:spacing w:before="0" w:after="0" w:afterAutospacing="0"/>
        <w:ind w:left="0" w:right="0" w:firstLine="420" w:firstLineChars="200"/>
        <w:rPr>
          <w:rFonts w:ascii="宋体" w:hAnsi="宋体"/>
        </w:rPr>
      </w:pPr>
      <w:r>
        <w:rPr>
          <w:rFonts w:hint="eastAsia" w:ascii="宋体" w:hAnsi="宋体"/>
        </w:rPr>
        <w:t>18.6.3对合同中尚未明确和定价的选项及替代方案，其金额须由合同双方按以下一种或多种方法协商确定，但乙方应保证确定的价格为最优惠价格：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18.6.3.1 根据合同规定的原则计出总价；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18.6.3.2 根据合同中类似货物单价和</w:t>
      </w:r>
      <w:r>
        <w:rPr>
          <w:rFonts w:ascii="宋体" w:hAnsi="宋体"/>
        </w:rPr>
        <w:t>/</w:t>
      </w:r>
      <w:r>
        <w:rPr>
          <w:rFonts w:hint="eastAsia" w:ascii="宋体" w:hAnsi="宋体"/>
        </w:rPr>
        <w:t>或单位费率计算而计出总价；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18.6.3.3 根据合同价格类推和</w:t>
      </w:r>
      <w:r>
        <w:rPr>
          <w:rFonts w:ascii="宋体" w:hAnsi="宋体"/>
        </w:rPr>
        <w:t>/</w:t>
      </w:r>
      <w:r>
        <w:rPr>
          <w:rFonts w:hint="eastAsia" w:ascii="宋体" w:hAnsi="宋体"/>
        </w:rPr>
        <w:t>或按比例计算而计出总价；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18.6.3.4 根据合同规定的相应成本确定；</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18.6.3.5 根据当时的市场价格计算。</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18.7变更费用的确认：</w:t>
      </w:r>
    </w:p>
    <w:p>
      <w:pPr>
        <w:tabs>
          <w:tab w:val="left" w:pos="820"/>
        </w:tabs>
        <w:adjustRightInd w:val="0"/>
        <w:spacing w:before="0" w:after="0" w:afterAutospacing="0"/>
        <w:ind w:left="0" w:right="0" w:firstLine="420" w:firstLineChars="200"/>
      </w:pPr>
      <w:r>
        <w:rPr>
          <w:rFonts w:hint="eastAsia" w:ascii="宋体" w:hAnsi="宋体"/>
        </w:rPr>
        <w:t>18.7.1变更后的费用经甲乙双方协商确认后，如低于原合同价格，则按照变更后的费用</w:t>
      </w:r>
      <w:r>
        <w:rPr>
          <w:rFonts w:hint="eastAsia"/>
        </w:rPr>
        <w:t>来执行；</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18.8乙方必须在甲方按</w:t>
      </w:r>
      <w:r>
        <w:rPr>
          <w:rFonts w:ascii="宋体" w:hAnsi="宋体"/>
        </w:rPr>
        <w:t>1</w:t>
      </w:r>
      <w:r>
        <w:rPr>
          <w:rFonts w:hint="eastAsia" w:ascii="宋体" w:hAnsi="宋体"/>
        </w:rPr>
        <w:t>8</w:t>
      </w:r>
      <w:r>
        <w:rPr>
          <w:rFonts w:ascii="宋体" w:hAnsi="宋体"/>
        </w:rPr>
        <w:t>.</w:t>
      </w:r>
      <w:r>
        <w:rPr>
          <w:rFonts w:hint="eastAsia" w:ascii="宋体" w:hAnsi="宋体"/>
        </w:rPr>
        <w:t>5的预算为依据提出正式书面修改后才能开始实施这种变更。</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18.9除非甲方书面提出，乙方不得对本项目进行任何变更。</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18.10.2对进度计划或对本合同项下的乙方义务进行任何必要的修改建议；</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18.10.3乙方对合同价格调整的建议及相关依据。</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19.转让、分包和中止</w:t>
      </w:r>
    </w:p>
    <w:p>
      <w:pPr>
        <w:tabs>
          <w:tab w:val="left" w:pos="1120"/>
        </w:tabs>
        <w:spacing w:before="0" w:after="0" w:afterAutospacing="0"/>
        <w:ind w:left="0" w:right="0" w:firstLine="420" w:firstLineChars="200"/>
        <w:rPr>
          <w:rFonts w:ascii="宋体" w:hAnsi="宋体"/>
        </w:rPr>
      </w:pPr>
      <w:r>
        <w:rPr>
          <w:rFonts w:hint="eastAsia" w:ascii="宋体" w:hAnsi="宋体"/>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rPr>
      </w:pPr>
      <w:r>
        <w:rPr>
          <w:rFonts w:hint="eastAsia" w:ascii="宋体" w:hAnsi="宋体"/>
        </w:rPr>
        <w:t>19.2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pStyle w:val="55"/>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19.3如乙方具有以下情形的，甲方可以中止合同履行:</w:t>
      </w:r>
    </w:p>
    <w:p>
      <w:pPr>
        <w:pStyle w:val="55"/>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(1)经营状况严重恶化；</w:t>
      </w:r>
    </w:p>
    <w:p>
      <w:pPr>
        <w:pStyle w:val="55"/>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(2)转移财产、抽逃资金以逃避债务；</w:t>
      </w:r>
    </w:p>
    <w:p>
      <w:pPr>
        <w:pStyle w:val="55"/>
        <w:adjustRightInd/>
        <w:spacing w:before="0" w:after="0" w:line="360" w:lineRule="auto"/>
        <w:ind w:left="0" w:right="0" w:firstLine="420" w:firstLineChars="200"/>
        <w:rPr>
          <w:rFonts w:ascii="宋体" w:hAnsi="宋体"/>
          <w:sz w:val="21"/>
          <w:szCs w:val="21"/>
        </w:rPr>
      </w:pPr>
      <w:r>
        <w:rPr>
          <w:rFonts w:hint="eastAsia" w:ascii="宋体" w:hAnsi="宋体"/>
          <w:sz w:val="21"/>
          <w:szCs w:val="21"/>
        </w:rPr>
        <w:t>(3)丧失商业信誉；</w:t>
      </w:r>
    </w:p>
    <w:p>
      <w:pPr>
        <w:pStyle w:val="55"/>
        <w:adjustRightInd/>
        <w:spacing w:before="0" w:after="0" w:line="360" w:lineRule="auto"/>
        <w:ind w:left="0" w:right="0" w:firstLine="420" w:firstLineChars="200"/>
        <w:rPr>
          <w:rFonts w:ascii="宋体" w:hAnsi="宋体"/>
          <w:sz w:val="21"/>
          <w:szCs w:val="21"/>
        </w:rPr>
      </w:pPr>
      <w:r>
        <w:rPr>
          <w:rFonts w:hint="eastAsia" w:ascii="宋体" w:hAnsi="宋体"/>
          <w:sz w:val="21"/>
          <w:szCs w:val="21"/>
        </w:rPr>
        <w:t>(4)有丧失或者可能丧失履行债务能力的其他情形。</w:t>
      </w:r>
    </w:p>
    <w:p>
      <w:pPr>
        <w:pStyle w:val="55"/>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20.不可抗力</w:t>
      </w:r>
    </w:p>
    <w:p>
      <w:pPr>
        <w:tabs>
          <w:tab w:val="left" w:pos="1120"/>
        </w:tabs>
        <w:spacing w:before="0" w:after="0" w:afterAutospacing="0"/>
        <w:ind w:left="0" w:right="0" w:firstLine="420" w:firstLineChars="200"/>
        <w:rPr>
          <w:rFonts w:ascii="宋体" w:hAnsi="宋体"/>
        </w:rPr>
      </w:pPr>
      <w:r>
        <w:rPr>
          <w:rFonts w:hint="eastAsia" w:ascii="宋体" w:hAnsi="宋体"/>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rPr>
      </w:pPr>
      <w:r>
        <w:rPr>
          <w:rFonts w:hint="eastAsia" w:ascii="宋体" w:hAnsi="宋体"/>
        </w:rPr>
        <w:t>20.2若不可抗力发生使合同执行受阻，则合同执行时间根据受影响的时间相应延长，但合同价格不得调整。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rPr>
      </w:pPr>
      <w:r>
        <w:rPr>
          <w:rFonts w:hint="eastAsia" w:ascii="宋体" w:hAnsi="宋体"/>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rPr>
      </w:pPr>
      <w:r>
        <w:rPr>
          <w:rFonts w:hint="eastAsia" w:ascii="宋体" w:hAnsi="宋体"/>
        </w:rPr>
        <w:t>20.4任何因不可抗力所导致延误履行合同或不能履行合同，受阻方将不因此而构成违约。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rPr>
      </w:pPr>
      <w:r>
        <w:rPr>
          <w:rFonts w:hint="eastAsia" w:ascii="宋体" w:hAnsi="宋体"/>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rPr>
      </w:pPr>
      <w:r>
        <w:rPr>
          <w:rFonts w:hint="eastAsia" w:ascii="宋体" w:hAnsi="宋体"/>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rPr>
      </w:pPr>
      <w:r>
        <w:rPr>
          <w:rFonts w:hint="eastAsia" w:ascii="宋体" w:hAnsi="宋体"/>
        </w:rPr>
        <w:t>20.7如果不可抗力的情况发生并因此根据合同法双方均被解除进一步履行合同，乙方的履约担保不被没收。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21.乙方履约展期</w:t>
      </w:r>
    </w:p>
    <w:p>
      <w:pPr>
        <w:tabs>
          <w:tab w:val="left" w:pos="1120"/>
        </w:tabs>
        <w:spacing w:before="0" w:after="0" w:afterAutospacing="0"/>
        <w:ind w:left="0" w:right="0" w:firstLine="420" w:firstLineChars="200"/>
        <w:rPr>
          <w:rFonts w:ascii="宋体" w:hAnsi="宋体"/>
        </w:rPr>
      </w:pPr>
      <w:r>
        <w:rPr>
          <w:rFonts w:hint="eastAsia" w:ascii="宋体" w:hAnsi="宋体"/>
        </w:rPr>
        <w:t>21.1乙方应按合同条款中规定的交货计划交货。</w:t>
      </w:r>
    </w:p>
    <w:p>
      <w:pPr>
        <w:tabs>
          <w:tab w:val="left" w:pos="1120"/>
        </w:tabs>
        <w:spacing w:before="0" w:after="0" w:afterAutospacing="0"/>
        <w:ind w:left="0" w:right="0" w:firstLine="420" w:firstLineChars="200"/>
        <w:rPr>
          <w:rFonts w:ascii="宋体" w:hAnsi="宋体"/>
        </w:rPr>
      </w:pPr>
      <w:r>
        <w:rPr>
          <w:rFonts w:hint="eastAsia" w:ascii="宋体" w:hAnsi="宋体"/>
        </w:rPr>
        <w:t>21.2乙方在下列情况下可要求延期交货：</w:t>
      </w:r>
    </w:p>
    <w:p>
      <w:pPr>
        <w:tabs>
          <w:tab w:val="left" w:pos="1120"/>
        </w:tabs>
        <w:spacing w:before="0" w:after="0" w:afterAutospacing="0"/>
        <w:ind w:left="0" w:right="0" w:firstLine="420" w:firstLineChars="200"/>
        <w:rPr>
          <w:rFonts w:ascii="宋体" w:hAnsi="宋体"/>
        </w:rPr>
      </w:pPr>
      <w:r>
        <w:rPr>
          <w:rFonts w:hint="eastAsia" w:ascii="宋体" w:hAnsi="宋体"/>
        </w:rPr>
        <w:t>（1）第18条中的变更；</w:t>
      </w:r>
    </w:p>
    <w:p>
      <w:pPr>
        <w:tabs>
          <w:tab w:val="left" w:pos="1120"/>
        </w:tabs>
        <w:spacing w:before="0" w:after="0" w:afterAutospacing="0"/>
        <w:ind w:left="0" w:right="0" w:firstLine="420" w:firstLineChars="200"/>
        <w:rPr>
          <w:rFonts w:ascii="宋体" w:hAnsi="宋体"/>
        </w:rPr>
      </w:pPr>
      <w:r>
        <w:rPr>
          <w:rFonts w:hint="eastAsia" w:ascii="宋体" w:hAnsi="宋体"/>
        </w:rPr>
        <w:t>（2）第20条所述之不可抗力；</w:t>
      </w:r>
    </w:p>
    <w:p>
      <w:pPr>
        <w:tabs>
          <w:tab w:val="left" w:pos="1120"/>
        </w:tabs>
        <w:spacing w:before="0" w:after="0" w:afterAutospacing="0"/>
        <w:ind w:left="0" w:right="0" w:firstLine="420" w:firstLineChars="200"/>
        <w:rPr>
          <w:rFonts w:ascii="宋体" w:hAnsi="宋体"/>
        </w:rPr>
      </w:pPr>
      <w:r>
        <w:rPr>
          <w:rFonts w:hint="eastAsia" w:ascii="宋体" w:hAnsi="宋体"/>
        </w:rPr>
        <w:t>（3）甲方签发的延期执行合同的指令；</w:t>
      </w:r>
    </w:p>
    <w:p>
      <w:pPr>
        <w:pStyle w:val="22"/>
        <w:spacing w:before="0" w:after="0" w:afterAutospacing="0"/>
        <w:ind w:left="0" w:right="0" w:firstLine="420" w:firstLineChars="200"/>
        <w:rPr>
          <w:rFonts w:ascii="宋体" w:hAnsi="宋体"/>
          <w:sz w:val="21"/>
          <w:szCs w:val="21"/>
        </w:rPr>
      </w:pPr>
      <w:r>
        <w:rPr>
          <w:rFonts w:hint="eastAsia" w:ascii="宋体" w:hAnsi="宋体"/>
          <w:sz w:val="21"/>
          <w:szCs w:val="21"/>
        </w:rPr>
        <w:t>21.3乙方应努力避免或克服造成延迟的原因，双方应对克服延迟的补救措施达成共识。</w:t>
      </w:r>
    </w:p>
    <w:p>
      <w:pPr>
        <w:pStyle w:val="22"/>
        <w:spacing w:before="0" w:after="0" w:afterAutospacing="0"/>
        <w:ind w:left="0" w:right="0" w:firstLine="420" w:firstLineChars="200"/>
        <w:rPr>
          <w:rFonts w:ascii="宋体" w:hAnsi="宋体"/>
          <w:sz w:val="21"/>
          <w:szCs w:val="21"/>
        </w:rPr>
      </w:pPr>
      <w:r>
        <w:rPr>
          <w:rFonts w:hint="eastAsia" w:ascii="宋体" w:hAnsi="宋体"/>
          <w:sz w:val="21"/>
          <w:szCs w:val="21"/>
        </w:rPr>
        <w:t>21.4除非乙方立即书面通知甲方因第20.2条的情况可能造成延期，乙方无权延期；乙方要证实延迟非乙方造成。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22.通知</w:t>
      </w:r>
    </w:p>
    <w:p>
      <w:pPr>
        <w:tabs>
          <w:tab w:val="left" w:pos="1120"/>
        </w:tabs>
        <w:spacing w:before="0" w:after="0" w:afterAutospacing="0"/>
        <w:ind w:left="0" w:right="0" w:firstLine="420" w:firstLineChars="200"/>
        <w:rPr>
          <w:rFonts w:ascii="宋体" w:hAnsi="宋体"/>
        </w:rPr>
      </w:pPr>
      <w:r>
        <w:rPr>
          <w:rFonts w:hint="eastAsia" w:ascii="宋体" w:hAnsi="宋体"/>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1120"/>
        </w:tabs>
        <w:spacing w:before="0" w:after="0" w:afterAutospacing="0"/>
        <w:ind w:left="0" w:right="0" w:firstLine="420" w:firstLineChars="200"/>
        <w:rPr>
          <w:rFonts w:ascii="宋体" w:hAnsi="宋体"/>
        </w:rPr>
      </w:pPr>
      <w:r>
        <w:rPr>
          <w:rFonts w:hint="eastAsia" w:ascii="宋体" w:hAnsi="宋体"/>
        </w:rPr>
        <w:t>22.2通知的内容包括合同项下的批复、意见、指令、说明和证据。</w:t>
      </w:r>
    </w:p>
    <w:p>
      <w:pPr>
        <w:tabs>
          <w:tab w:val="left" w:pos="1120"/>
        </w:tabs>
        <w:spacing w:before="0" w:after="0" w:afterAutospacing="0"/>
        <w:ind w:left="0" w:right="0" w:firstLine="420" w:firstLineChars="200"/>
        <w:rPr>
          <w:rFonts w:ascii="宋体" w:hAnsi="宋体"/>
        </w:rPr>
      </w:pPr>
      <w:r>
        <w:rPr>
          <w:rFonts w:hint="eastAsia" w:ascii="宋体" w:hAnsi="宋体"/>
        </w:rPr>
        <w:t>22.3通知以送到日期或通知书的生效日期为生效日期，两者中以晚的一个日期为准。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23.合同标的</w:t>
      </w:r>
    </w:p>
    <w:p>
      <w:pPr>
        <w:tabs>
          <w:tab w:val="left" w:pos="960"/>
        </w:tabs>
        <w:spacing w:before="0" w:after="0" w:afterAutospacing="0"/>
        <w:ind w:left="420" w:right="0" w:firstLine="0"/>
        <w:rPr>
          <w:rFonts w:ascii="宋体" w:hAnsi="宋体"/>
        </w:rPr>
      </w:pPr>
      <w:r>
        <w:rPr>
          <w:rFonts w:hint="eastAsia" w:ascii="宋体" w:hAnsi="宋体"/>
        </w:rPr>
        <w:t>23.1合同生效后，买卖双方按合同约定提供本项目物资</w:t>
      </w:r>
      <w:r>
        <w:rPr>
          <w:rFonts w:hint="eastAsia" w:ascii="宋体" w:hAnsi="宋体"/>
          <w:lang w:eastAsia="zh-CN"/>
        </w:rPr>
        <w:t>及完成安装</w:t>
      </w:r>
      <w:r>
        <w:rPr>
          <w:rFonts w:hint="eastAsia" w:ascii="宋体" w:hAnsi="宋体"/>
        </w:rPr>
        <w:t>。</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23.5乙方应对本合同项下其承担的全部工作实施有效管理。</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24.验收</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24.</w:t>
      </w:r>
      <w:r>
        <w:rPr>
          <w:rFonts w:hint="eastAsia" w:ascii="宋体" w:hAnsi="宋体"/>
          <w:lang w:val="en-US" w:eastAsia="zh-CN"/>
        </w:rPr>
        <w:t>1</w:t>
      </w:r>
      <w:r>
        <w:rPr>
          <w:rFonts w:hint="eastAsia" w:ascii="宋体" w:hAnsi="宋体"/>
        </w:rPr>
        <w:t>甲方将在</w:t>
      </w:r>
      <w:r>
        <w:rPr>
          <w:rFonts w:hint="eastAsia" w:ascii="宋体" w:hAnsi="宋体"/>
          <w:lang w:eastAsia="zh-CN"/>
        </w:rPr>
        <w:t>货物安装完成</w:t>
      </w:r>
      <w:r>
        <w:rPr>
          <w:rFonts w:hint="eastAsia" w:ascii="宋体" w:hAnsi="宋体"/>
        </w:rPr>
        <w:t>后</w:t>
      </w:r>
      <w:r>
        <w:rPr>
          <w:rFonts w:hint="eastAsia" w:ascii="宋体" w:hAnsi="宋体"/>
          <w:color w:val="FF0000"/>
          <w:u w:val="single"/>
          <w:lang w:val="en-US" w:eastAsia="zh-CN"/>
        </w:rPr>
        <w:t>10</w:t>
      </w:r>
      <w:r>
        <w:rPr>
          <w:rFonts w:hint="eastAsia" w:ascii="宋体" w:hAnsi="宋体"/>
        </w:rPr>
        <w:t>个工作日内组织验收。</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24.</w:t>
      </w:r>
      <w:r>
        <w:rPr>
          <w:rFonts w:hint="eastAsia" w:ascii="宋体" w:hAnsi="宋体"/>
          <w:lang w:val="en-US" w:eastAsia="zh-CN"/>
        </w:rPr>
        <w:t>2</w:t>
      </w:r>
      <w:r>
        <w:rPr>
          <w:rFonts w:hint="eastAsia" w:ascii="宋体" w:hAnsi="宋体"/>
        </w:rPr>
        <w:t>乙方负责实施本合同条款所述事项并负担其产生的全部费用。</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3</w:t>
      </w:r>
      <w:r>
        <w:rPr>
          <w:rFonts w:hint="eastAsia" w:ascii="宋体" w:hAnsi="宋体"/>
        </w:rPr>
        <w:t>乙方应于</w:t>
      </w:r>
      <w:r>
        <w:rPr>
          <w:rFonts w:hint="eastAsia" w:ascii="宋体" w:hAnsi="宋体"/>
          <w:lang w:eastAsia="zh-CN"/>
        </w:rPr>
        <w:t>验收</w:t>
      </w:r>
      <w:r>
        <w:rPr>
          <w:rFonts w:hint="eastAsia" w:ascii="宋体" w:hAnsi="宋体"/>
        </w:rPr>
        <w:t>前7日书面通知甲方，根据双方协定时间地点进行验收，验收合格之日起计算质量保证期。如需由乙方负责</w:t>
      </w:r>
      <w:r>
        <w:rPr>
          <w:rFonts w:hint="eastAsia" w:ascii="宋体" w:hAnsi="宋体"/>
          <w:lang w:eastAsia="zh-CN"/>
        </w:rPr>
        <w:t>不合格部分的重新安装</w:t>
      </w:r>
      <w:r>
        <w:rPr>
          <w:rFonts w:hint="eastAsia" w:ascii="宋体" w:hAnsi="宋体"/>
        </w:rPr>
        <w:t>的，验收时间顺延至</w:t>
      </w:r>
      <w:r>
        <w:rPr>
          <w:rFonts w:hint="eastAsia" w:ascii="宋体" w:hAnsi="宋体"/>
          <w:lang w:eastAsia="zh-CN"/>
        </w:rPr>
        <w:t>最终</w:t>
      </w:r>
      <w:r>
        <w:rPr>
          <w:rFonts w:hint="eastAsia" w:ascii="宋体" w:hAnsi="宋体"/>
        </w:rPr>
        <w:t>通过验收之日。</w:t>
      </w:r>
    </w:p>
    <w:p>
      <w:pPr>
        <w:tabs>
          <w:tab w:val="left" w:pos="420"/>
          <w:tab w:val="left" w:pos="1040"/>
        </w:tabs>
        <w:spacing w:before="0" w:after="0" w:afterAutospacing="0"/>
        <w:ind w:left="0" w:right="0" w:firstLine="424" w:firstLineChars="202"/>
        <w:rPr>
          <w:rFonts w:hint="eastAsia" w:ascii="宋体" w:hAnsi="宋体"/>
        </w:rPr>
      </w:pPr>
      <w:r>
        <w:rPr>
          <w:rFonts w:hint="eastAsia" w:ascii="宋体" w:hAnsi="宋体"/>
        </w:rPr>
        <w:t>24.4验收时须同时满足以下各项标准及要求方为合格：</w:t>
      </w:r>
    </w:p>
    <w:p>
      <w:pPr>
        <w:tabs>
          <w:tab w:val="left" w:pos="420"/>
          <w:tab w:val="left" w:pos="1040"/>
        </w:tabs>
        <w:spacing w:before="0" w:after="0" w:afterAutospacing="0"/>
        <w:ind w:left="0" w:right="0" w:firstLine="424" w:firstLineChars="202"/>
        <w:rPr>
          <w:rFonts w:hint="eastAsia" w:ascii="宋体" w:hAnsi="宋体"/>
        </w:rPr>
      </w:pPr>
      <w:r>
        <w:rPr>
          <w:rFonts w:hint="eastAsia" w:ascii="宋体" w:hAnsi="宋体"/>
        </w:rPr>
        <w:t>（1）供货清单、质量合格证书（如有）、甲方要求格式的原厂供货证明（如有）及其他应随产品一同装箱的技术资料；</w:t>
      </w:r>
    </w:p>
    <w:p>
      <w:pPr>
        <w:tabs>
          <w:tab w:val="left" w:pos="420"/>
          <w:tab w:val="left" w:pos="1040"/>
        </w:tabs>
        <w:spacing w:before="0" w:after="0" w:afterAutospacing="0"/>
        <w:ind w:left="0" w:right="0" w:firstLine="424" w:firstLineChars="202"/>
        <w:rPr>
          <w:rFonts w:hint="eastAsia" w:ascii="宋体" w:hAnsi="宋体"/>
        </w:rPr>
      </w:pPr>
      <w:r>
        <w:rPr>
          <w:rFonts w:hint="eastAsia" w:ascii="宋体" w:hAnsi="宋体"/>
        </w:rPr>
        <w:t>（2）该批次货物采购文件及本合同附件所涉及的质量、技术、服务及验收的相关内容。</w:t>
      </w:r>
    </w:p>
    <w:p>
      <w:pPr>
        <w:tabs>
          <w:tab w:val="left" w:pos="420"/>
          <w:tab w:val="left" w:pos="1040"/>
        </w:tabs>
        <w:spacing w:before="0" w:after="0" w:afterAutospacing="0"/>
        <w:ind w:left="0" w:right="0" w:firstLine="424" w:firstLineChars="202"/>
        <w:rPr>
          <w:rFonts w:hint="default" w:ascii="宋体" w:hAnsi="宋体"/>
          <w:lang w:val="en-US" w:eastAsia="zh-CN"/>
        </w:rPr>
      </w:pPr>
      <w:r>
        <w:rPr>
          <w:rFonts w:hint="eastAsia" w:ascii="宋体" w:hAnsi="宋体"/>
          <w:lang w:eastAsia="zh-CN"/>
        </w:rPr>
        <w:t>（</w:t>
      </w:r>
      <w:r>
        <w:rPr>
          <w:rFonts w:hint="eastAsia" w:ascii="宋体" w:hAnsi="宋体"/>
          <w:lang w:val="en-US" w:eastAsia="zh-CN"/>
        </w:rPr>
        <w:t>3</w:t>
      </w:r>
      <w:r>
        <w:rPr>
          <w:rFonts w:hint="eastAsia" w:ascii="宋体" w:hAnsi="宋体"/>
          <w:lang w:eastAsia="zh-CN"/>
        </w:rPr>
        <w:t>）安装质量符合国家相关规范和本合同的相关要求。</w:t>
      </w:r>
    </w:p>
    <w:p>
      <w:pPr>
        <w:tabs>
          <w:tab w:val="left" w:pos="420"/>
          <w:tab w:val="left" w:pos="1040"/>
        </w:tabs>
        <w:spacing w:before="0" w:after="0" w:afterAutospacing="0"/>
        <w:ind w:left="0" w:right="0" w:firstLine="424" w:firstLineChars="202"/>
        <w:rPr>
          <w:rFonts w:hint="eastAsia" w:ascii="宋体" w:hAnsi="宋体"/>
        </w:rPr>
      </w:pPr>
      <w:r>
        <w:rPr>
          <w:rFonts w:hint="eastAsia" w:ascii="宋体" w:hAnsi="宋体"/>
        </w:rPr>
        <w:t>24.</w:t>
      </w:r>
      <w:r>
        <w:rPr>
          <w:rFonts w:hint="eastAsia" w:ascii="宋体" w:hAnsi="宋体"/>
          <w:lang w:val="en-US" w:eastAsia="zh-CN"/>
        </w:rPr>
        <w:t>5</w:t>
      </w:r>
      <w:r>
        <w:rPr>
          <w:rFonts w:hint="eastAsia" w:ascii="宋体" w:hAnsi="宋体"/>
        </w:rPr>
        <w:t>验收标准</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5</w:t>
      </w:r>
      <w:r>
        <w:rPr>
          <w:rFonts w:hint="eastAsia" w:ascii="宋体" w:hAnsi="宋体"/>
        </w:rPr>
        <w:t>.1甲方对货物制订的检验标准。</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5</w:t>
      </w:r>
      <w:r>
        <w:rPr>
          <w:rFonts w:hint="eastAsia" w:ascii="宋体" w:hAnsi="宋体"/>
        </w:rPr>
        <w:t>.2以合格证书、技术性能参数、质量参数和国家质量标准作为对货物的检验标准。</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5</w:t>
      </w:r>
      <w:r>
        <w:rPr>
          <w:rFonts w:hint="eastAsia" w:ascii="宋体" w:hAnsi="宋体"/>
        </w:rPr>
        <w:t>.3验收时，乙方需保证交付货物满足技术需求和验收标准，否则甲方可以拒收，并要求乙方提供符合要求的货物。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5</w:t>
      </w:r>
      <w:r>
        <w:rPr>
          <w:rFonts w:hint="eastAsia" w:ascii="宋体" w:hAnsi="宋体"/>
        </w:rPr>
        <w:t>.4乙方负责安装，按技术规格书要求安装合格。</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6</w:t>
      </w:r>
      <w:r>
        <w:rPr>
          <w:rFonts w:hint="eastAsia" w:ascii="宋体" w:hAnsi="宋体"/>
        </w:rPr>
        <w:t>若因乙方交付的货物</w:t>
      </w:r>
      <w:r>
        <w:rPr>
          <w:rFonts w:hint="eastAsia" w:ascii="宋体" w:hAnsi="宋体"/>
          <w:lang w:eastAsia="zh-CN"/>
        </w:rPr>
        <w:t>及安装</w:t>
      </w:r>
      <w:r>
        <w:rPr>
          <w:rFonts w:hint="eastAsia" w:ascii="宋体" w:hAnsi="宋体"/>
        </w:rPr>
        <w:t>不满足技术需求，并拒绝更换符合甲方技术需求的货物，甲方有权根据合同追究乙方违约责任。</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7</w:t>
      </w:r>
      <w:r>
        <w:rPr>
          <w:rFonts w:hint="eastAsia" w:ascii="宋体" w:hAnsi="宋体"/>
        </w:rPr>
        <w:t>甲方验收不合格的货物，乙方须于接到甲方通知之日起15个工作日内</w:t>
      </w:r>
      <w:r>
        <w:rPr>
          <w:rFonts w:hint="eastAsia" w:ascii="宋体" w:hAnsi="宋体"/>
          <w:lang w:eastAsia="zh-CN"/>
        </w:rPr>
        <w:t>重新安装符合要求的货物</w:t>
      </w:r>
      <w:r>
        <w:rPr>
          <w:rFonts w:hint="eastAsia" w:ascii="宋体" w:hAnsi="宋体"/>
        </w:rPr>
        <w:t>；逾期</w:t>
      </w:r>
      <w:r>
        <w:rPr>
          <w:rFonts w:hint="eastAsia" w:ascii="宋体" w:hAnsi="宋体"/>
          <w:lang w:eastAsia="zh-CN"/>
        </w:rPr>
        <w:t>安装完成</w:t>
      </w:r>
      <w:r>
        <w:rPr>
          <w:rFonts w:hint="eastAsia" w:ascii="宋体" w:hAnsi="宋体"/>
        </w:rPr>
        <w:t>的，每逾期一天，乙方按逾期货物总价格的0.5%向甲方支付违约金；逾期超过20</w:t>
      </w:r>
      <w:r>
        <w:rPr>
          <w:rFonts w:hint="eastAsia" w:ascii="宋体" w:hAnsi="宋体"/>
          <w:lang w:eastAsia="zh-CN"/>
        </w:rPr>
        <w:t>天</w:t>
      </w:r>
      <w:r>
        <w:rPr>
          <w:rFonts w:hint="eastAsia" w:ascii="宋体" w:hAnsi="宋体"/>
        </w:rPr>
        <w:t>的，视为乙方同意放弃这些不合格货物的所有权利，并委托甲方全权处置这些货物，处置费用由乙方承担。</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25</w:t>
      </w:r>
      <w:r>
        <w:rPr>
          <w:rFonts w:ascii="宋体" w:hAnsi="宋体"/>
          <w:b/>
        </w:rPr>
        <w:t>.</w:t>
      </w:r>
      <w:r>
        <w:rPr>
          <w:rFonts w:hint="eastAsia" w:ascii="宋体" w:hAnsi="宋体"/>
          <w:b/>
        </w:rPr>
        <w:t>索赔与赔偿</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25.1短装索赔</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25.1.3若索赔属于保险赔偿范围，则乙方应自行处理保险索赔，且不应影响本合同条款第25.1.2的执行.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25.2质量索赔</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25.2.3修理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25.2.4替换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25.2.5退货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25.3违约通知</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25.4延迟违约金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spacing w:before="0" w:after="0" w:afterAutospacing="0"/>
        <w:ind w:left="0" w:right="0" w:firstLine="420" w:firstLineChars="200"/>
        <w:rPr>
          <w:rFonts w:ascii="宋体" w:hAnsi="宋体"/>
        </w:rPr>
      </w:pPr>
      <w:r>
        <w:rPr>
          <w:rFonts w:ascii="宋体" w:hAnsi="宋体"/>
        </w:rPr>
        <w:t>2</w:t>
      </w:r>
      <w:r>
        <w:rPr>
          <w:rFonts w:hint="eastAsia" w:ascii="宋体" w:hAnsi="宋体"/>
        </w:rPr>
        <w:t>5.4.1甲方不得无正当理由拒收货物、拒付货款，若未按合同规定的期限向乙方支付货款，每逾期</w:t>
      </w:r>
      <w:r>
        <w:rPr>
          <w:rFonts w:ascii="宋体" w:hAnsi="宋体"/>
        </w:rPr>
        <w:t>1天甲方向乙方偿付逾期付款部分总额的</w:t>
      </w:r>
      <w:r>
        <w:rPr>
          <w:rFonts w:hint="eastAsia" w:ascii="宋体" w:hAnsi="宋体"/>
        </w:rPr>
        <w:t>0.1%/天的违约金。但累计违约金总额不超过逾期付款部分总额的</w:t>
      </w:r>
      <w:r>
        <w:rPr>
          <w:rFonts w:ascii="宋体" w:hAnsi="宋体"/>
        </w:rPr>
        <w:t>5</w:t>
      </w:r>
      <w:r>
        <w:rPr>
          <w:rFonts w:hint="eastAsia" w:ascii="宋体" w:hAnsi="宋体"/>
        </w:rPr>
        <w:t>%</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25.4</w:t>
      </w:r>
      <w:r>
        <w:rPr>
          <w:rFonts w:ascii="宋体" w:hAnsi="宋体"/>
        </w:rPr>
        <w:t>.2</w:t>
      </w:r>
      <w:r>
        <w:rPr>
          <w:rFonts w:hint="eastAsia" w:ascii="宋体" w:hAnsi="宋体"/>
        </w:rPr>
        <w:t>鉴于甲方属地铁运营单位，对货物的使用时间及效能均有特殊要求，乙方逾期交付货物</w:t>
      </w:r>
      <w:r>
        <w:rPr>
          <w:rFonts w:ascii="宋体" w:hAnsi="宋体"/>
        </w:rPr>
        <w:t>15天内（含15天），每逾期1天乙方向甲方偿付逾期交货部分总额的</w:t>
      </w:r>
      <w:r>
        <w:rPr>
          <w:rFonts w:hint="eastAsia" w:ascii="宋体" w:hAnsi="宋体"/>
        </w:rPr>
        <w:t>0.1%/天违约金。逾期交货超过</w:t>
      </w:r>
      <w:r>
        <w:rPr>
          <w:rFonts w:ascii="宋体" w:hAnsi="宋体"/>
        </w:rPr>
        <w:t>15天，乙方给予甲方逾期货物总价10%的赔偿，同时甲方有权选择解除合同</w:t>
      </w:r>
      <w:r>
        <w:rPr>
          <w:rFonts w:hint="eastAsia" w:ascii="宋体" w:hAnsi="宋体"/>
        </w:rPr>
        <w:t>，履约保证金不予退还；甲方也有权选择合同继续履行，乙方给予甲方逾期货物总价</w:t>
      </w:r>
      <w:r>
        <w:rPr>
          <w:rFonts w:ascii="宋体" w:hAnsi="宋体"/>
        </w:rPr>
        <w:t>10%的赔偿金，并且按</w:t>
      </w:r>
      <w:r>
        <w:rPr>
          <w:rFonts w:hint="eastAsia" w:ascii="宋体" w:hAnsi="宋体"/>
        </w:rPr>
        <w:t>10</w:t>
      </w:r>
      <w:r>
        <w:rPr>
          <w:rFonts w:ascii="宋体" w:hAnsi="宋体"/>
        </w:rPr>
        <w:t>条</w:t>
      </w:r>
      <w:r>
        <w:rPr>
          <w:rFonts w:hint="eastAsia" w:ascii="宋体" w:hAnsi="宋体"/>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pPr>
        <w:tabs>
          <w:tab w:val="left" w:pos="1134"/>
          <w:tab w:val="left" w:pos="1440"/>
        </w:tabs>
        <w:spacing w:before="0" w:after="0" w:afterAutospacing="0"/>
        <w:ind w:left="0" w:right="0" w:firstLine="424" w:firstLineChars="202"/>
        <w:rPr>
          <w:rFonts w:ascii="宋体" w:hAnsi="宋体"/>
        </w:rPr>
      </w:pPr>
      <w:r>
        <w:rPr>
          <w:rFonts w:hint="eastAsia" w:ascii="宋体" w:hAnsi="宋体"/>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25.5若因乙方提供的货物不满足验收标准和技术需求，并拒绝更换符合甲方技术需求的货物，乙方须支付本批次货物的20%的违约金，同时甲方重新采购因价格差所造成的损失由乙方承担。</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25.6验收时，乙方需保证交付货物满足技术需求和验收标准，否则甲方可以拒收，并要求乙方提供符合要求的货物。</w:t>
      </w:r>
    </w:p>
    <w:p>
      <w:pPr>
        <w:pStyle w:val="37"/>
        <w:numPr>
          <w:ilvl w:val="255"/>
          <w:numId w:val="0"/>
        </w:numPr>
        <w:tabs>
          <w:tab w:val="left" w:pos="980"/>
          <w:tab w:val="left" w:pos="1440"/>
        </w:tabs>
        <w:spacing w:before="0" w:after="0" w:afterAutospacing="0"/>
        <w:ind w:right="0" w:firstLine="420" w:firstLineChars="200"/>
        <w:rPr>
          <w:rFonts w:ascii="宋体" w:hAnsi="宋体"/>
        </w:rPr>
      </w:pPr>
      <w:r>
        <w:rPr>
          <w:rFonts w:hint="eastAsia" w:ascii="宋体" w:hAnsi="宋体"/>
        </w:rPr>
        <w:t>25.7若因乙方交付的货物不满足技术需求，并拒绝更换符合甲方技术需求的货物，甲方有权追究乙方违约责任。</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25.8文件提交延误违约金</w:t>
      </w:r>
    </w:p>
    <w:p>
      <w:pPr>
        <w:pStyle w:val="37"/>
        <w:numPr>
          <w:ilvl w:val="255"/>
          <w:numId w:val="0"/>
        </w:numPr>
        <w:tabs>
          <w:tab w:val="left" w:pos="1134"/>
          <w:tab w:val="left" w:pos="1440"/>
        </w:tabs>
        <w:spacing w:before="0" w:after="0" w:afterAutospacing="0"/>
        <w:ind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25.9质量保证期赔偿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25.10乙方在中标文件中承诺的响应要求，而在项目实施阶段未能实现，视为乙方违约，甲方向乙方收取违约金1000元/项。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25.11违约金与赔偿金额计算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25.12违约金与赔偿金的支付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25.14乙方对其产品质量引起的人身伤亡的责任受有关适用法律的制约。</w:t>
      </w:r>
      <w:r>
        <w:rPr>
          <w:rFonts w:hint="eastAsia" w:ascii="宋体" w:hAnsi="宋体"/>
        </w:rPr>
        <w:tab/>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25.15所有违约金和赔偿金的支付不减轻乙方合同项下的任何责任和义务。如果甲方所遭受的损失超过违约金，乙方应对超出违约金部分的损失给予赔偿。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25.17本合同条款规定的乙方处理货物质量问题的时间如果与合同规定的关键节点时间有冲突，应首先满足该关键节点时间。</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26.合同终止</w:t>
      </w:r>
    </w:p>
    <w:p>
      <w:pPr>
        <w:pStyle w:val="55"/>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26.1对合同条件所做出的任何修改、补充，须经双方协商达成一致意见后，签订书面协议。</w:t>
      </w:r>
    </w:p>
    <w:p>
      <w:pPr>
        <w:pStyle w:val="55"/>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26.2合同自然终止</w:t>
      </w:r>
    </w:p>
    <w:p>
      <w:pPr>
        <w:pStyle w:val="55"/>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26.2.1甲方、乙方双方各自完成合同规定的责任和义务，合同自然终止。</w:t>
      </w:r>
    </w:p>
    <w:p>
      <w:pPr>
        <w:spacing w:before="0" w:after="0" w:afterAutospacing="0"/>
        <w:ind w:left="0" w:right="0" w:firstLine="420" w:firstLineChars="200"/>
        <w:rPr>
          <w:rFonts w:ascii="宋体" w:hAnsi="宋体"/>
        </w:rPr>
      </w:pPr>
      <w:r>
        <w:rPr>
          <w:rFonts w:hint="eastAsia" w:ascii="宋体" w:hAnsi="宋体"/>
        </w:rPr>
        <w:t>26.2.2本合同有效期满或在合同有效期内，本合同供货金额累计达到合同暂定金额的100%（含），本合同自行终止。</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26.3乙方违约时的终止</w:t>
      </w:r>
    </w:p>
    <w:p>
      <w:pPr>
        <w:tabs>
          <w:tab w:val="left" w:pos="1020"/>
        </w:tabs>
        <w:spacing w:before="0" w:after="0" w:afterAutospacing="0"/>
        <w:ind w:left="420" w:right="0" w:firstLine="0"/>
        <w:rPr>
          <w:rFonts w:ascii="宋体" w:hAnsi="宋体"/>
        </w:rPr>
      </w:pPr>
      <w:r>
        <w:rPr>
          <w:rFonts w:hint="eastAsia" w:ascii="宋体" w:hAnsi="宋体"/>
        </w:rPr>
        <w:t>如果乙方有以下情形之一，甲方有权以书面形式通知部分或全部终止合同：</w:t>
      </w:r>
    </w:p>
    <w:p>
      <w:pPr>
        <w:spacing w:before="0" w:after="0" w:afterAutospacing="0"/>
        <w:ind w:left="0" w:right="0" w:firstLine="420" w:firstLineChars="200"/>
        <w:rPr>
          <w:rFonts w:ascii="宋体" w:hAnsi="宋体"/>
        </w:rPr>
      </w:pPr>
      <w:r>
        <w:rPr>
          <w:rFonts w:hint="eastAsia" w:ascii="宋体" w:hAnsi="宋体"/>
        </w:rPr>
        <w:t>26.3.1 在收到本合同条款规定情形下的违约通知后二十八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26.3.2没有甲方的书面同意转让合同或将项目的全部或部分分包出去。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26.3.3</w:t>
      </w:r>
      <w:r>
        <w:t>在履行期限届满之前，</w:t>
      </w:r>
      <w:r>
        <w:rPr>
          <w:rFonts w:hint="eastAsia"/>
        </w:rPr>
        <w:t>乙</w:t>
      </w:r>
      <w:r>
        <w:t>方明确表示或者以自己的行为表明不履行主要债务</w:t>
      </w:r>
      <w:r>
        <w:rPr>
          <w:rFonts w:hint="eastAsia"/>
        </w:rPr>
        <w:t>。</w:t>
      </w:r>
    </w:p>
    <w:p>
      <w:pPr>
        <w:spacing w:before="0" w:after="0" w:afterAutospacing="0"/>
        <w:ind w:left="0" w:right="0" w:firstLine="420" w:firstLineChars="200"/>
        <w:rPr>
          <w:rFonts w:ascii="宋体" w:hAnsi="宋体"/>
        </w:rPr>
      </w:pPr>
      <w:r>
        <w:rPr>
          <w:rFonts w:hint="eastAsia" w:ascii="宋体" w:hAnsi="宋体"/>
        </w:rPr>
        <w:t>26.3.4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26.3.6如果乙方不能履行合同项下其他义务。</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26.3.7如果乙方在上述情况下不能在接到甲方通知后十（</w:t>
      </w:r>
      <w:r>
        <w:rPr>
          <w:rFonts w:ascii="宋体" w:hAnsi="宋体"/>
        </w:rPr>
        <w:t>10</w:t>
      </w:r>
      <w:r>
        <w:rPr>
          <w:rFonts w:hint="eastAsia" w:ascii="宋体" w:hAnsi="宋体"/>
        </w:rPr>
        <w:t>）天之内（或甲方同意的更长的时间内）补救过失。</w:t>
      </w:r>
    </w:p>
    <w:p>
      <w:pPr>
        <w:tabs>
          <w:tab w:val="left" w:pos="1020"/>
        </w:tabs>
        <w:spacing w:before="0" w:after="0" w:afterAutospacing="0"/>
        <w:ind w:left="420" w:right="0" w:firstLine="0"/>
        <w:rPr>
          <w:rFonts w:ascii="宋体" w:hAnsi="宋体"/>
        </w:rPr>
      </w:pPr>
      <w:r>
        <w:rPr>
          <w:rFonts w:hint="eastAsia" w:ascii="宋体" w:hAnsi="宋体"/>
        </w:rPr>
        <w:t>26.4 甲方违约时的终止</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rPr>
      </w:pPr>
      <w:r>
        <w:rPr>
          <w:rFonts w:hint="eastAsia" w:ascii="宋体" w:hAnsi="宋体"/>
        </w:rPr>
        <w:t>26.4.2任何此类终止均不应损害本合同项下甲方的任何其它权利。</w:t>
      </w:r>
    </w:p>
    <w:p>
      <w:pPr>
        <w:tabs>
          <w:tab w:val="left" w:pos="640"/>
          <w:tab w:val="left" w:pos="1843"/>
        </w:tabs>
        <w:spacing w:before="0" w:after="0" w:afterAutospacing="0"/>
        <w:ind w:left="420" w:right="0" w:firstLine="0"/>
        <w:rPr>
          <w:rFonts w:ascii="宋体" w:hAnsi="宋体"/>
          <w:b/>
        </w:rPr>
      </w:pPr>
      <w:r>
        <w:rPr>
          <w:rFonts w:hint="eastAsia" w:ascii="宋体" w:hAnsi="宋体"/>
          <w:b/>
        </w:rPr>
        <w:t>26.5其他约定</w:t>
      </w:r>
    </w:p>
    <w:p>
      <w:pPr>
        <w:tabs>
          <w:tab w:val="left" w:pos="420"/>
          <w:tab w:val="left" w:pos="980"/>
        </w:tabs>
        <w:spacing w:before="0" w:after="0" w:afterAutospacing="0"/>
        <w:ind w:left="0" w:right="0" w:firstLine="424" w:firstLineChars="202"/>
        <w:rPr>
          <w:rFonts w:ascii="宋体" w:hAnsi="宋体"/>
        </w:rPr>
      </w:pPr>
      <w:r>
        <w:rPr>
          <w:rFonts w:hint="eastAsia" w:ascii="宋体" w:hAnsi="宋体"/>
        </w:rPr>
        <w:t>26.5.1</w:t>
      </w:r>
      <w:r>
        <w:rPr>
          <w:rFonts w:ascii="宋体" w:hAnsi="宋体"/>
        </w:rPr>
        <w:t>如乙方破产，甲方有权可以在任意时间，以书面形式通知终止合同，且不必补偿</w:t>
      </w:r>
      <w:r>
        <w:rPr>
          <w:rFonts w:hint="eastAsia" w:ascii="宋体" w:hAnsi="宋体"/>
        </w:rPr>
        <w:t>乙方损失。</w:t>
      </w:r>
    </w:p>
    <w:p>
      <w:pPr>
        <w:tabs>
          <w:tab w:val="left" w:pos="420"/>
          <w:tab w:val="left" w:pos="980"/>
        </w:tabs>
        <w:spacing w:before="0" w:after="0" w:afterAutospacing="0"/>
        <w:ind w:left="0" w:right="0" w:firstLine="424" w:firstLineChars="202"/>
        <w:rPr>
          <w:rFonts w:ascii="宋体" w:hAnsi="宋体"/>
        </w:rPr>
      </w:pPr>
      <w:r>
        <w:rPr>
          <w:rFonts w:hint="eastAsia" w:ascii="宋体" w:hAnsi="宋体"/>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rPr>
      </w:pPr>
      <w:r>
        <w:rPr>
          <w:rFonts w:hint="eastAsia" w:ascii="宋体" w:hAnsi="宋体"/>
        </w:rPr>
        <w:t>26.5.5 按本合同条款26条之26</w:t>
      </w:r>
      <w:r>
        <w:rPr>
          <w:rFonts w:ascii="宋体" w:hAnsi="宋体"/>
        </w:rPr>
        <w:t>.</w:t>
      </w:r>
      <w:r>
        <w:rPr>
          <w:rFonts w:hint="eastAsia" w:ascii="宋体" w:hAnsi="宋体"/>
        </w:rPr>
        <w:t>2</w:t>
      </w:r>
      <w:r>
        <w:rPr>
          <w:rFonts w:ascii="宋体" w:hAnsi="宋体"/>
        </w:rPr>
        <w:t>.1</w:t>
      </w:r>
      <w:r>
        <w:rPr>
          <w:rFonts w:hint="eastAsia" w:ascii="宋体" w:hAnsi="宋体"/>
        </w:rPr>
        <w:t>、26</w:t>
      </w:r>
      <w:r>
        <w:rPr>
          <w:rFonts w:ascii="宋体" w:hAnsi="宋体"/>
        </w:rPr>
        <w:t>.</w:t>
      </w:r>
      <w:r>
        <w:rPr>
          <w:rFonts w:hint="eastAsia" w:ascii="宋体" w:hAnsi="宋体"/>
        </w:rPr>
        <w:t>2</w:t>
      </w:r>
      <w:r>
        <w:rPr>
          <w:rFonts w:ascii="宋体" w:hAnsi="宋体"/>
        </w:rPr>
        <w:t>.2</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rPr>
        <w:t>(</w:t>
      </w:r>
      <w:r>
        <w:rPr>
          <w:rFonts w:hint="eastAsia" w:ascii="宋体" w:hAnsi="宋体"/>
        </w:rPr>
        <w:t>若有</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26.5.6如果甲方按合同条款26.3条终止合同，甲方可以不给乙方任何补偿，且该终止合同将不损害或影响甲方已经采取或将要采取的任何行动或补救措施的权利。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27.争端的解决</w:t>
      </w:r>
    </w:p>
    <w:p>
      <w:pPr>
        <w:pStyle w:val="55"/>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27.1因本合同引起的或与本合同有关的合同争议，由买卖双方协商解决，协商不成的，可向甲方住所地有管辖权的人民法院提起诉讼。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rPr>
      </w:pPr>
      <w:r>
        <w:rPr>
          <w:rFonts w:hint="eastAsia" w:ascii="宋体" w:hAnsi="宋体"/>
        </w:rPr>
        <w:t>27.2除非各方另有约定，诉讼语言应为汉语。</w:t>
      </w:r>
    </w:p>
    <w:p>
      <w:pPr>
        <w:tabs>
          <w:tab w:val="left" w:pos="1020"/>
        </w:tabs>
        <w:spacing w:before="0" w:after="0" w:afterAutospacing="0"/>
        <w:ind w:left="420" w:right="0" w:firstLine="0"/>
        <w:rPr>
          <w:rFonts w:ascii="宋体" w:hAnsi="宋体"/>
        </w:rPr>
      </w:pPr>
      <w:r>
        <w:rPr>
          <w:rFonts w:hint="eastAsia" w:ascii="宋体" w:hAnsi="宋体"/>
        </w:rPr>
        <w:t>27.3法院判决应为最终裁决，对双方均具有约束力。</w:t>
      </w:r>
    </w:p>
    <w:p>
      <w:pPr>
        <w:tabs>
          <w:tab w:val="left" w:pos="1020"/>
        </w:tabs>
        <w:spacing w:before="0" w:after="0" w:afterAutospacing="0"/>
        <w:ind w:left="420" w:right="0" w:firstLine="0"/>
        <w:rPr>
          <w:rFonts w:ascii="宋体" w:hAnsi="宋体"/>
        </w:rPr>
      </w:pPr>
      <w:r>
        <w:rPr>
          <w:rFonts w:hint="eastAsia" w:ascii="宋体" w:hAnsi="宋体"/>
        </w:rPr>
        <w:t>27.4诉讼费应由败诉方负担。</w:t>
      </w:r>
    </w:p>
    <w:p>
      <w:pPr>
        <w:tabs>
          <w:tab w:val="left" w:pos="1020"/>
        </w:tabs>
        <w:spacing w:before="0" w:after="0" w:afterAutospacing="0"/>
        <w:ind w:left="420" w:right="0" w:firstLine="0"/>
        <w:rPr>
          <w:rFonts w:ascii="宋体" w:hAnsi="宋体"/>
        </w:rPr>
      </w:pPr>
      <w:r>
        <w:rPr>
          <w:rFonts w:hint="eastAsia" w:ascii="宋体" w:hAnsi="宋体"/>
        </w:rPr>
        <w:t>27.5协商、调解和诉讼期间，合同应继续执行，合同双方不得以争议为由拒绝执行。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28.语言</w:t>
      </w:r>
    </w:p>
    <w:p>
      <w:pPr>
        <w:tabs>
          <w:tab w:val="left" w:pos="1020"/>
        </w:tabs>
        <w:spacing w:before="0" w:after="0" w:afterAutospacing="0"/>
        <w:ind w:left="420" w:right="0" w:firstLine="0"/>
        <w:rPr>
          <w:rFonts w:ascii="宋体" w:hAnsi="宋体"/>
        </w:rPr>
      </w:pPr>
      <w:r>
        <w:rPr>
          <w:rFonts w:hint="eastAsia" w:ascii="宋体" w:hAnsi="宋体"/>
        </w:rPr>
        <w:t>28.1本合同语言为中文。</w:t>
      </w:r>
    </w:p>
    <w:p>
      <w:pPr>
        <w:spacing w:before="0" w:after="0" w:afterAutospacing="0"/>
        <w:ind w:left="0" w:right="0" w:firstLine="420" w:firstLineChars="200"/>
        <w:rPr>
          <w:rFonts w:ascii="宋体" w:hAnsi="宋体"/>
        </w:rPr>
      </w:pPr>
      <w:r>
        <w:rPr>
          <w:rFonts w:hint="eastAsia" w:ascii="宋体" w:hAnsi="宋体"/>
        </w:rPr>
        <w:t>28.2合同文本可以同时附有英文版本作为参考文本，两种文本若有矛盾之处或合同双方发生争议时，以中文文本为准。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ascii="宋体" w:hAnsi="宋体"/>
        </w:rPr>
      </w:pPr>
      <w:r>
        <w:rPr>
          <w:rFonts w:hint="eastAsia" w:ascii="宋体" w:hAnsi="宋体"/>
        </w:rPr>
        <w:t>28.3乙方应负责将非中文文件翻译成中文并负责准确性。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29.适用法律</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30.其它</w:t>
      </w:r>
    </w:p>
    <w:p>
      <w:pPr>
        <w:spacing w:before="0" w:after="0" w:afterAutospacing="0"/>
        <w:ind w:left="0" w:right="0" w:firstLine="420" w:firstLineChars="200"/>
        <w:rPr>
          <w:rFonts w:ascii="宋体" w:hAnsi="宋体"/>
        </w:rPr>
      </w:pPr>
      <w:r>
        <w:rPr>
          <w:rFonts w:hint="eastAsia" w:ascii="宋体" w:hAnsi="宋体"/>
        </w:rPr>
        <w:t>30.1乙方确认并认知：</w:t>
      </w:r>
    </w:p>
    <w:p>
      <w:pPr>
        <w:spacing w:before="0" w:after="0" w:afterAutospacing="0"/>
        <w:ind w:left="0" w:right="0" w:firstLine="420" w:firstLineChars="200"/>
        <w:rPr>
          <w:rFonts w:ascii="宋体" w:hAnsi="宋体"/>
        </w:rPr>
      </w:pPr>
      <w:r>
        <w:rPr>
          <w:rFonts w:hint="eastAsia" w:ascii="宋体" w:hAnsi="宋体"/>
        </w:rPr>
        <w:t>30.1.1其系在适当研究其所承担的风险及义务后订立合同的，为接受该等风险和义务，其已对合同价格、合同价格的任何细目所述的任何费率或金额作了充分的考虑；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rPr>
      </w:pPr>
      <w:r>
        <w:rPr>
          <w:rFonts w:hint="eastAsia" w:ascii="宋体" w:hAnsi="宋体"/>
        </w:rPr>
        <w:t>30.1.2其同意该等风险和义务，并未受到甲方方面的任何胁迫或压力；</w:t>
      </w:r>
    </w:p>
    <w:p>
      <w:pPr>
        <w:spacing w:before="0" w:after="0" w:afterAutospacing="0"/>
        <w:ind w:left="0" w:right="0" w:firstLine="420" w:firstLineChars="200"/>
        <w:rPr>
          <w:rFonts w:ascii="宋体" w:hAnsi="宋体"/>
        </w:rPr>
      </w:pPr>
      <w:r>
        <w:rPr>
          <w:rFonts w:hint="eastAsia" w:ascii="宋体" w:hAnsi="宋体"/>
        </w:rPr>
        <w:t>30.1.3其接受该等风险和义务，是甲方愿意和能够按合同约定的价格订立合同的先决条件；</w:t>
      </w:r>
    </w:p>
    <w:p>
      <w:pPr>
        <w:spacing w:before="0" w:after="0" w:afterAutospacing="0"/>
        <w:ind w:left="0" w:right="0" w:firstLine="420" w:firstLineChars="200"/>
        <w:rPr>
          <w:rFonts w:ascii="宋体" w:hAnsi="宋体"/>
        </w:rPr>
      </w:pPr>
      <w:r>
        <w:rPr>
          <w:rFonts w:hint="eastAsia" w:ascii="宋体" w:hAnsi="宋体"/>
        </w:rPr>
        <w:t>30.1.4考虑到本交易的所有情形，合同的条款是公平合理的，乙方之后不得以任何理由寻求对合同或其任一条款的法律效力提出异议，并放弃这样做的任何权利。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rPr>
      </w:pPr>
      <w:r>
        <w:rPr>
          <w:rFonts w:hint="eastAsia" w:ascii="宋体" w:hAnsi="宋体"/>
        </w:rPr>
        <w:t>30.2合同附件的规定全部都是合同条款中相关内容的补充和/或再描述。</w:t>
      </w:r>
    </w:p>
    <w:p>
      <w:pPr>
        <w:spacing w:before="0" w:after="0" w:afterAutospacing="0"/>
        <w:ind w:left="0" w:right="0" w:firstLine="420" w:firstLineChars="200"/>
        <w:rPr>
          <w:rFonts w:ascii="宋体" w:hAnsi="宋体"/>
        </w:rPr>
      </w:pPr>
      <w:r>
        <w:rPr>
          <w:rFonts w:hint="eastAsia" w:ascii="宋体" w:hAnsi="宋体"/>
        </w:rPr>
        <w:t>30.3合同执行的文档管理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31.廉洁条款特别约定</w:t>
      </w:r>
    </w:p>
    <w:p>
      <w:pPr>
        <w:spacing w:before="0" w:after="0" w:afterAutospacing="0"/>
        <w:ind w:left="0" w:right="0" w:firstLine="420" w:firstLineChars="200"/>
        <w:rPr>
          <w:rFonts w:ascii="宋体" w:hAnsi="宋体"/>
        </w:rPr>
      </w:pPr>
      <w:r>
        <w:rPr>
          <w:rFonts w:hint="eastAsia" w:ascii="宋体" w:hAnsi="宋体"/>
        </w:rPr>
        <w:t>31.1严格遵守国家有关法律法规以及廉洁条款的有关规定。</w:t>
      </w:r>
    </w:p>
    <w:p>
      <w:pPr>
        <w:spacing w:before="0" w:after="0" w:afterAutospacing="0"/>
        <w:ind w:left="0" w:right="0" w:firstLine="420" w:firstLineChars="200"/>
        <w:rPr>
          <w:rFonts w:ascii="宋体" w:hAnsi="宋体"/>
        </w:rPr>
      </w:pPr>
      <w:r>
        <w:rPr>
          <w:rFonts w:hint="eastAsia" w:ascii="宋体" w:hAnsi="宋体"/>
        </w:rPr>
        <w:t>31.2严格遵守商业道德和市场规则，共同营造公平公正的商业交易环境。</w:t>
      </w:r>
    </w:p>
    <w:p>
      <w:pPr>
        <w:spacing w:before="0" w:after="0" w:afterAutospacing="0"/>
        <w:ind w:left="0" w:right="0" w:firstLine="420" w:firstLineChars="200"/>
        <w:rPr>
          <w:rFonts w:ascii="宋体" w:hAnsi="宋体"/>
        </w:rPr>
      </w:pPr>
      <w:r>
        <w:rPr>
          <w:rFonts w:hint="eastAsia" w:ascii="宋体" w:hAnsi="宋体"/>
        </w:rPr>
        <w:t>31.3不向甲方及其人员提供回扣、礼金、有价证券、支付凭证、贵重物品等。</w:t>
      </w:r>
    </w:p>
    <w:p>
      <w:pPr>
        <w:spacing w:before="0" w:after="0" w:afterAutospacing="0"/>
        <w:ind w:left="0" w:right="0" w:firstLine="420" w:firstLineChars="200"/>
        <w:rPr>
          <w:rFonts w:ascii="宋体" w:hAnsi="宋体"/>
        </w:rPr>
      </w:pPr>
      <w:r>
        <w:rPr>
          <w:rFonts w:hint="eastAsia" w:ascii="宋体" w:hAnsi="宋体"/>
        </w:rPr>
        <w:t>31.4不为甲方及其人员报销应由贵公司或个人支付的费用。</w:t>
      </w:r>
    </w:p>
    <w:p>
      <w:pPr>
        <w:spacing w:before="0" w:after="0" w:afterAutospacing="0"/>
        <w:ind w:left="0" w:right="0" w:firstLine="420" w:firstLineChars="200"/>
        <w:rPr>
          <w:rFonts w:ascii="宋体" w:hAnsi="宋体"/>
        </w:rPr>
      </w:pPr>
      <w:r>
        <w:rPr>
          <w:rFonts w:hint="eastAsia" w:ascii="宋体" w:hAnsi="宋体"/>
        </w:rPr>
        <w:t>31.5不为甲方人员投资入股，个人借款或买卖股票、债券等提供方便。</w:t>
      </w:r>
    </w:p>
    <w:p>
      <w:pPr>
        <w:spacing w:before="0" w:after="0" w:afterAutospacing="0"/>
        <w:ind w:left="0" w:right="0" w:firstLine="420" w:firstLineChars="200"/>
        <w:rPr>
          <w:rFonts w:ascii="宋体" w:hAnsi="宋体"/>
        </w:rPr>
      </w:pPr>
      <w:r>
        <w:rPr>
          <w:rFonts w:hint="eastAsia" w:ascii="宋体" w:hAnsi="宋体"/>
        </w:rPr>
        <w:t>31.6不为甲方人员购买或装修住房、婚丧嫁娶、配偶和子女上学或工作安排以及出国（境）、旅游等提供方便。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rPr>
      </w:pPr>
      <w:r>
        <w:rPr>
          <w:rFonts w:hint="eastAsia" w:ascii="宋体" w:hAnsi="宋体"/>
        </w:rPr>
        <w:t>31.7不为甲方人员安排的有可能影响履行合同的宴请、健身、娱乐等活动。</w:t>
      </w:r>
    </w:p>
    <w:p>
      <w:pPr>
        <w:spacing w:before="0" w:after="0" w:afterAutospacing="0"/>
        <w:ind w:left="0" w:right="0" w:firstLine="420" w:firstLineChars="200"/>
        <w:rPr>
          <w:rFonts w:ascii="宋体" w:hAnsi="宋体"/>
        </w:rPr>
      </w:pPr>
      <w:r>
        <w:rPr>
          <w:rFonts w:hint="eastAsia" w:ascii="宋体" w:hAnsi="宋体"/>
        </w:rPr>
        <w:t>31.8不为甲方及其人员购置或提供通讯工具、交通工具和高档办公用品。</w:t>
      </w:r>
    </w:p>
    <w:p>
      <w:pPr>
        <w:spacing w:before="0" w:after="0" w:afterAutospacing="0"/>
        <w:ind w:left="0" w:right="0" w:firstLine="420" w:firstLineChars="200"/>
        <w:rPr>
          <w:rFonts w:ascii="宋体" w:hAnsi="宋体"/>
        </w:rPr>
      </w:pPr>
      <w:r>
        <w:rPr>
          <w:rFonts w:hint="eastAsia" w:ascii="宋体" w:hAnsi="宋体"/>
        </w:rPr>
        <w:t>31.9不为甲方人员的配偶、子女及其他人亲属谋取不正当利益提供方便。</w:t>
      </w:r>
    </w:p>
    <w:p>
      <w:pPr>
        <w:spacing w:before="0" w:after="0" w:afterAutospacing="0"/>
        <w:ind w:left="0" w:right="0" w:firstLine="420" w:firstLineChars="200"/>
        <w:rPr>
          <w:rFonts w:ascii="宋体" w:hAnsi="宋体"/>
        </w:rPr>
      </w:pPr>
      <w:r>
        <w:rPr>
          <w:rFonts w:hint="eastAsia" w:ascii="宋体" w:hAnsi="宋体"/>
        </w:rPr>
        <w:t>31.10不违反规定安排甲方人员在乙方或乙方相关企业兼职和领取兼职工资及报酬；不得利用非法手段向甲方打探有关涉及贵公司的商业秘密、业务渠道等。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rPr>
      </w:pPr>
      <w:r>
        <w:rPr>
          <w:rFonts w:hint="eastAsia" w:ascii="宋体" w:hAnsi="宋体"/>
        </w:rPr>
        <w:t>31.11甲方对涉嫌不廉洁的商业行为进行调查时，乙方应配合甲方提供证据、作证的义务。</w:t>
      </w:r>
    </w:p>
    <w:p>
      <w:pPr>
        <w:spacing w:before="0" w:after="0" w:afterAutospacing="0"/>
        <w:ind w:left="0" w:right="0" w:firstLine="420" w:firstLineChars="200"/>
        <w:rPr>
          <w:rFonts w:ascii="宋体" w:hAnsi="宋体"/>
        </w:rPr>
      </w:pPr>
      <w:r>
        <w:rPr>
          <w:rFonts w:hint="eastAsia" w:ascii="宋体" w:hAnsi="宋体"/>
        </w:rPr>
        <w:t>31.12未经甲方书面同意，乙方不得向任何新闻媒体、第三人述及有关甲方人员廉洁从业方面的评价、信息。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rPr>
      </w:pPr>
      <w:r>
        <w:rPr>
          <w:rFonts w:hint="eastAsia" w:ascii="宋体" w:hAnsi="宋体"/>
        </w:rPr>
        <w:t>31.13如有违反的，一经发现，甲方可以立即终止与乙方之间合作业务并无须承担任何经济和法律责任。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32.合同生效和签约地</w:t>
      </w:r>
    </w:p>
    <w:p>
      <w:pPr>
        <w:spacing w:before="0" w:after="0" w:afterAutospacing="0"/>
        <w:ind w:left="0" w:right="0" w:firstLine="420" w:firstLineChars="200"/>
        <w:rPr>
          <w:rFonts w:ascii="宋体" w:hAnsi="宋体"/>
        </w:rPr>
      </w:pPr>
      <w:r>
        <w:rPr>
          <w:rFonts w:hint="eastAsia" w:ascii="宋体" w:hAnsi="宋体"/>
        </w:rPr>
        <w:t>32.1本合同生效的时间以双方签署的协议书上的最后日期为准。</w:t>
      </w:r>
    </w:p>
    <w:p>
      <w:pPr>
        <w:spacing w:before="0" w:after="0" w:afterAutospacing="0"/>
        <w:ind w:left="0" w:right="0" w:firstLine="420" w:firstLineChars="200"/>
        <w:rPr>
          <w:rFonts w:ascii="宋体" w:hAnsi="宋体"/>
        </w:rPr>
      </w:pPr>
      <w:r>
        <w:rPr>
          <w:rFonts w:hint="eastAsia" w:ascii="宋体" w:hAnsi="宋体"/>
        </w:rPr>
        <w:t>32.2本合同签约地为中华人民共和国广西壮族自治区南宁市青秀区。</w:t>
      </w:r>
    </w:p>
    <w:p>
      <w:pPr>
        <w:spacing w:before="0" w:after="0" w:afterAutospacing="0"/>
        <w:ind w:left="0" w:right="0" w:firstLine="420" w:firstLineChars="200"/>
        <w:rPr>
          <w:rFonts w:ascii="宋体" w:hAnsi="宋体"/>
        </w:rPr>
      </w:pPr>
      <w:r>
        <w:rPr>
          <w:rFonts w:hint="eastAsia" w:ascii="宋体" w:hAnsi="宋体"/>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ind w:left="0" w:right="0" w:firstLine="420" w:firstLineChars="200"/>
        <w:rPr>
          <w:rFonts w:ascii="宋体" w:hAnsi="宋体"/>
        </w:rPr>
      </w:pPr>
    </w:p>
    <w:p>
      <w:pPr>
        <w:pStyle w:val="55"/>
        <w:adjustRightInd/>
        <w:spacing w:before="0" w:after="0" w:line="360" w:lineRule="auto"/>
        <w:ind w:left="0" w:right="0"/>
        <w:rPr>
          <w:rFonts w:ascii="宋体" w:hAnsi="宋体"/>
          <w:sz w:val="21"/>
          <w:szCs w:val="21"/>
        </w:rPr>
      </w:pPr>
      <w:bookmarkStart w:id="188" w:name="_Toc12983548"/>
      <w:bookmarkStart w:id="189" w:name="_Toc5644"/>
      <w:bookmarkStart w:id="190" w:name="_Toc29249"/>
      <w:bookmarkStart w:id="191" w:name="_Toc16443"/>
      <w:bookmarkStart w:id="192" w:name="_Toc27258"/>
      <w:bookmarkStart w:id="193" w:name="_Toc21033"/>
      <w:bookmarkStart w:id="194" w:name="_Toc16716"/>
      <w:bookmarkStart w:id="195" w:name="_Toc12470"/>
      <w:bookmarkStart w:id="196" w:name="_Toc2753"/>
      <w:bookmarkStart w:id="197" w:name="_Toc13288"/>
      <w:bookmarkStart w:id="198" w:name="_Toc21372"/>
      <w:bookmarkStart w:id="199" w:name="_Toc6194"/>
      <w:bookmarkStart w:id="200" w:name="_Toc21659"/>
      <w:bookmarkStart w:id="201" w:name="_Toc27316"/>
      <w:bookmarkStart w:id="202" w:name="_Toc21635"/>
      <w:bookmarkStart w:id="203" w:name="_Toc5186"/>
      <w:bookmarkStart w:id="204" w:name="_Toc19448"/>
      <w:bookmarkStart w:id="205" w:name="_Toc14997"/>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4"/>
        <w:spacing w:before="40" w:after="40" w:line="240" w:lineRule="auto"/>
        <w:jc w:val="center"/>
        <w:rPr>
          <w:rFonts w:ascii="Times New Roman" w:hAnsi="Times New Roman" w:eastAsia="宋体"/>
        </w:rPr>
      </w:pPr>
      <w:bookmarkStart w:id="206" w:name="_Toc101965693"/>
      <w:bookmarkStart w:id="207" w:name="_Toc92268646"/>
      <w:bookmarkStart w:id="208" w:name="_Toc28894"/>
      <w:bookmarkStart w:id="209" w:name="_Toc997"/>
    </w:p>
    <w:p>
      <w:pPr>
        <w:pStyle w:val="4"/>
        <w:spacing w:before="40" w:after="40" w:line="240" w:lineRule="auto"/>
        <w:jc w:val="center"/>
        <w:rPr>
          <w:rFonts w:ascii="Times New Roman" w:hAnsi="Times New Roman" w:eastAsia="宋体"/>
        </w:rPr>
      </w:pPr>
    </w:p>
    <w:p>
      <w:pPr>
        <w:pStyle w:val="4"/>
        <w:spacing w:before="40" w:after="40" w:line="240" w:lineRule="auto"/>
        <w:jc w:val="center"/>
        <w:rPr>
          <w:rFonts w:ascii="Times New Roman" w:hAnsi="Times New Roman" w:eastAsia="宋体"/>
        </w:rPr>
      </w:pPr>
    </w:p>
    <w:p>
      <w:pPr>
        <w:pStyle w:val="4"/>
        <w:spacing w:before="40" w:after="40" w:line="240" w:lineRule="auto"/>
        <w:jc w:val="center"/>
        <w:rPr>
          <w:rFonts w:ascii="Times New Roman" w:hAnsi="Times New Roman" w:eastAsia="宋体"/>
        </w:rPr>
      </w:pPr>
    </w:p>
    <w:p>
      <w:pPr>
        <w:pStyle w:val="4"/>
        <w:spacing w:before="40" w:after="40" w:line="240" w:lineRule="auto"/>
        <w:jc w:val="center"/>
        <w:rPr>
          <w:rFonts w:ascii="Times New Roman" w:hAnsi="Times New Roman" w:eastAsia="宋体"/>
        </w:rPr>
      </w:pPr>
    </w:p>
    <w:p>
      <w:pPr>
        <w:pStyle w:val="4"/>
        <w:spacing w:before="40" w:after="40" w:line="240" w:lineRule="auto"/>
        <w:jc w:val="center"/>
        <w:rPr>
          <w:rFonts w:ascii="Times New Roman" w:hAnsi="Times New Roman" w:eastAsia="宋体"/>
        </w:rPr>
      </w:pPr>
    </w:p>
    <w:p>
      <w:pPr>
        <w:pStyle w:val="4"/>
        <w:spacing w:before="40" w:after="40" w:line="240" w:lineRule="auto"/>
        <w:jc w:val="center"/>
        <w:rPr>
          <w:rFonts w:ascii="Times New Roman" w:hAnsi="Times New Roman" w:eastAsia="宋体"/>
        </w:rPr>
      </w:pPr>
    </w:p>
    <w:p>
      <w:pPr>
        <w:pStyle w:val="4"/>
        <w:spacing w:before="40" w:after="40" w:line="240" w:lineRule="auto"/>
        <w:jc w:val="center"/>
        <w:rPr>
          <w:rFonts w:ascii="Times New Roman" w:hAnsi="Times New Roman" w:eastAsia="宋体"/>
        </w:rPr>
      </w:pPr>
    </w:p>
    <w:p>
      <w:pPr>
        <w:pStyle w:val="4"/>
        <w:spacing w:before="40" w:after="40" w:line="240" w:lineRule="auto"/>
        <w:jc w:val="center"/>
        <w:rPr>
          <w:rFonts w:ascii="Times New Roman" w:hAnsi="Times New Roman" w:eastAsia="宋体"/>
        </w:rPr>
      </w:pPr>
    </w:p>
    <w:p>
      <w:pPr>
        <w:pStyle w:val="4"/>
        <w:spacing w:before="40" w:after="40" w:line="240" w:lineRule="auto"/>
        <w:jc w:val="center"/>
        <w:rPr>
          <w:rFonts w:ascii="Times New Roman" w:hAnsi="Times New Roman" w:eastAsia="宋体"/>
        </w:rPr>
      </w:pPr>
    </w:p>
    <w:p>
      <w:pPr>
        <w:pStyle w:val="4"/>
        <w:spacing w:before="40" w:after="40" w:line="240" w:lineRule="auto"/>
        <w:jc w:val="center"/>
        <w:rPr>
          <w:rFonts w:ascii="Times New Roman" w:hAnsi="Times New Roman" w:eastAsia="宋体"/>
        </w:rPr>
      </w:pPr>
      <w:r>
        <w:rPr>
          <w:rFonts w:ascii="Times New Roman" w:hAnsi="Times New Roman" w:eastAsia="宋体"/>
        </w:rPr>
        <w:t>第</w:t>
      </w:r>
      <w:r>
        <w:rPr>
          <w:rFonts w:hint="eastAsia" w:ascii="Times New Roman" w:hAnsi="Times New Roman" w:eastAsia="宋体"/>
        </w:rPr>
        <w:t>五</w:t>
      </w:r>
      <w:r>
        <w:rPr>
          <w:rFonts w:ascii="Times New Roman" w:hAnsi="Times New Roman" w:eastAsia="宋体"/>
        </w:rPr>
        <w:t>部分</w:t>
      </w:r>
      <w:r>
        <w:rPr>
          <w:rFonts w:hint="eastAsia" w:ascii="Times New Roman" w:hAnsi="Times New Roman" w:eastAsia="宋体"/>
        </w:rPr>
        <w:t xml:space="preserve"> </w:t>
      </w:r>
      <w:r>
        <w:rPr>
          <w:rFonts w:hint="eastAsia" w:ascii="Times New Roman" w:hAnsi="Times New Roman" w:eastAsia="宋体"/>
          <w:lang w:val="en-US" w:eastAsia="zh-CN"/>
        </w:rPr>
        <w:t>技术规格</w:t>
      </w:r>
      <w:r>
        <w:rPr>
          <w:rFonts w:hint="eastAsia" w:ascii="Times New Roman" w:hAnsi="Times New Roman" w:eastAsia="宋体"/>
        </w:rPr>
        <w:t>书</w:t>
      </w:r>
      <w:bookmarkEnd w:id="206"/>
      <w:bookmarkEnd w:id="207"/>
      <w:bookmarkEnd w:id="208"/>
      <w:bookmarkEnd w:id="209"/>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4"/>
        <w:spacing w:before="40" w:after="40" w:line="240" w:lineRule="auto"/>
        <w:jc w:val="center"/>
        <w:rPr>
          <w:rFonts w:ascii="宋体" w:hAnsi="宋体" w:eastAsia="宋体"/>
          <w:iCs/>
        </w:rPr>
      </w:pPr>
      <w:bookmarkStart w:id="210" w:name="_Toc101965694"/>
      <w:bookmarkStart w:id="211" w:name="_Toc14746"/>
      <w:bookmarkStart w:id="212" w:name="_Toc92268647"/>
      <w:bookmarkStart w:id="213" w:name="_Toc480908536"/>
      <w:bookmarkStart w:id="214" w:name="_Toc75963081"/>
      <w:bookmarkStart w:id="215" w:name="_Toc72769348"/>
      <w:bookmarkStart w:id="216" w:name="_Toc75264122"/>
      <w:bookmarkStart w:id="217" w:name="_Toc483608731"/>
      <w:bookmarkStart w:id="218" w:name="_Toc29924"/>
      <w:bookmarkStart w:id="219" w:name="_Toc19160"/>
      <w:bookmarkStart w:id="220" w:name="_Toc68674896"/>
      <w:bookmarkStart w:id="221" w:name="_Toc498882140"/>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p>
    <w:p>
      <w:pPr>
        <w:pStyle w:val="4"/>
        <w:spacing w:before="40" w:after="40" w:line="240" w:lineRule="auto"/>
        <w:jc w:val="center"/>
        <w:rPr>
          <w:rFonts w:ascii="宋体" w:hAnsi="宋体" w:eastAsia="宋体"/>
          <w:iCs/>
        </w:rPr>
      </w:pPr>
      <w:r>
        <w:rPr>
          <w:rFonts w:ascii="宋体" w:hAnsi="宋体" w:eastAsia="宋体"/>
          <w:iCs/>
        </w:rPr>
        <w:t>第</w:t>
      </w:r>
      <w:r>
        <w:rPr>
          <w:rFonts w:hint="eastAsia" w:ascii="宋体" w:hAnsi="宋体" w:eastAsia="宋体"/>
          <w:iCs/>
        </w:rPr>
        <w:t>六</w:t>
      </w:r>
      <w:r>
        <w:rPr>
          <w:rFonts w:ascii="宋体" w:hAnsi="宋体" w:eastAsia="宋体"/>
          <w:iCs/>
        </w:rPr>
        <w:t>部分</w:t>
      </w:r>
      <w:r>
        <w:rPr>
          <w:rFonts w:hint="eastAsia" w:ascii="宋体" w:hAnsi="宋体" w:eastAsia="宋体"/>
          <w:iCs/>
        </w:rPr>
        <w:t xml:space="preserve"> </w:t>
      </w:r>
      <w:r>
        <w:rPr>
          <w:rFonts w:ascii="宋体" w:hAnsi="宋体" w:eastAsia="宋体"/>
          <w:iCs/>
        </w:rPr>
        <w:t>合同附件</w:t>
      </w:r>
      <w:bookmarkEnd w:id="210"/>
      <w:bookmarkEnd w:id="211"/>
      <w:bookmarkEnd w:id="212"/>
      <w:bookmarkEnd w:id="213"/>
      <w:bookmarkEnd w:id="214"/>
      <w:bookmarkEnd w:id="215"/>
      <w:bookmarkEnd w:id="216"/>
      <w:bookmarkEnd w:id="217"/>
      <w:bookmarkEnd w:id="218"/>
      <w:bookmarkEnd w:id="219"/>
      <w:bookmarkEnd w:id="220"/>
      <w:bookmarkEnd w:id="221"/>
    </w:p>
    <w:p>
      <w:pPr>
        <w:ind w:firstLine="420" w:firstLineChars="200"/>
        <w:textAlignment w:val="bottom"/>
        <w:rPr>
          <w:rFonts w:ascii="宋体" w:hAnsi="宋体"/>
        </w:rPr>
      </w:pPr>
    </w:p>
    <w:p>
      <w:pPr>
        <w:spacing w:before="0" w:after="0" w:afterAutospacing="0"/>
        <w:ind w:left="0" w:right="0" w:firstLine="420" w:firstLineChars="200"/>
        <w:jc w:val="left"/>
        <w:rPr>
          <w:rFonts w:hint="eastAsia" w:ascii="宋体" w:hAnsi="宋体" w:cs="Times New Roman"/>
          <w:lang w:val="en-US" w:eastAsia="zh-CN"/>
        </w:rPr>
      </w:pPr>
      <w:r>
        <w:rPr>
          <w:rFonts w:hint="eastAsia" w:ascii="宋体" w:hAnsi="宋体" w:cs="Times New Roman"/>
          <w:lang w:val="en-US" w:eastAsia="zh-CN"/>
        </w:rPr>
        <w:t>1.履约保证金缴纳凭证（履约保函格式附后）</w:t>
      </w:r>
    </w:p>
    <w:p>
      <w:pPr>
        <w:spacing w:before="0" w:after="0" w:afterAutospacing="0"/>
        <w:ind w:left="0" w:right="0" w:firstLine="420" w:firstLineChars="200"/>
        <w:jc w:val="left"/>
        <w:rPr>
          <w:rFonts w:hint="eastAsia" w:ascii="宋体" w:hAnsi="宋体" w:cs="Times New Roman"/>
          <w:lang w:val="en-US" w:eastAsia="zh-CN"/>
        </w:rPr>
      </w:pPr>
      <w:r>
        <w:rPr>
          <w:rFonts w:hint="eastAsia" w:ascii="宋体" w:hAnsi="宋体" w:cs="Times New Roman"/>
          <w:lang w:val="en-US" w:eastAsia="zh-CN"/>
        </w:rPr>
        <w:t>2.</w:t>
      </w:r>
      <w:r>
        <w:rPr>
          <w:rFonts w:hint="eastAsia" w:ascii="宋体" w:hAnsi="宋体" w:cs="Times New Roman"/>
        </w:rPr>
        <w:t>乙方营业执照或资质</w:t>
      </w:r>
      <w:r>
        <w:rPr>
          <w:rFonts w:hint="eastAsia" w:ascii="宋体" w:hAnsi="宋体" w:cs="Times New Roman"/>
          <w:lang w:val="en-US" w:eastAsia="zh-CN"/>
        </w:rPr>
        <w:t>证书等（如有）</w:t>
      </w:r>
    </w:p>
    <w:p>
      <w:pPr>
        <w:spacing w:before="0" w:after="0" w:afterAutospacing="0"/>
        <w:ind w:left="0" w:right="0" w:firstLine="420" w:firstLineChars="200"/>
        <w:jc w:val="left"/>
        <w:rPr>
          <w:rFonts w:ascii="宋体" w:hAnsi="宋体"/>
          <w:b w:val="0"/>
          <w:sz w:val="21"/>
          <w:szCs w:val="21"/>
        </w:rPr>
      </w:pPr>
      <w:r>
        <w:rPr>
          <w:rFonts w:hint="eastAsia" w:ascii="宋体" w:hAnsi="宋体" w:cs="Times New Roman"/>
          <w:lang w:val="en-US" w:eastAsia="zh-CN"/>
        </w:rPr>
        <w:t>3.</w:t>
      </w:r>
      <w:r>
        <w:rPr>
          <w:rFonts w:hint="eastAsia" w:ascii="宋体" w:hAnsi="宋体" w:cs="Times New Roman"/>
        </w:rPr>
        <w:t>乙方</w:t>
      </w:r>
      <w:r>
        <w:rPr>
          <w:rFonts w:hint="eastAsia" w:ascii="宋体" w:hAnsi="宋体"/>
          <w:b w:val="0"/>
          <w:sz w:val="21"/>
          <w:szCs w:val="21"/>
        </w:rPr>
        <w:t>法人授权委托书（如有）</w:t>
      </w:r>
    </w:p>
    <w:p>
      <w:pPr>
        <w:spacing w:before="0" w:after="0" w:afterAutospacing="0"/>
        <w:ind w:left="0" w:right="0" w:firstLine="420" w:firstLineChars="200"/>
        <w:jc w:val="left"/>
        <w:rPr>
          <w:rFonts w:hint="eastAsia" w:ascii="宋体" w:hAnsi="宋体" w:cs="Times New Roman"/>
        </w:rPr>
      </w:pPr>
      <w:r>
        <w:rPr>
          <w:rFonts w:hint="eastAsia" w:ascii="宋体" w:hAnsi="宋体" w:cs="Times New Roman"/>
          <w:lang w:val="en-US" w:eastAsia="zh-CN"/>
        </w:rPr>
        <w:t>4.</w:t>
      </w:r>
      <w:r>
        <w:rPr>
          <w:rFonts w:hint="eastAsia" w:ascii="宋体" w:hAnsi="宋体" w:cs="Times New Roman"/>
        </w:rPr>
        <w:t>原厂授权证明（如有）</w:t>
      </w:r>
    </w:p>
    <w:p>
      <w:pPr>
        <w:spacing w:before="0" w:after="0" w:afterAutospacing="0"/>
        <w:ind w:left="0" w:right="0" w:firstLine="420" w:firstLineChars="200"/>
        <w:jc w:val="left"/>
        <w:rPr>
          <w:rFonts w:hint="eastAsia" w:ascii="宋体" w:hAnsi="宋体" w:cs="Times New Roman"/>
        </w:rPr>
      </w:pPr>
      <w:r>
        <w:rPr>
          <w:rFonts w:hint="eastAsia" w:ascii="宋体" w:hAnsi="宋体" w:cs="Times New Roman"/>
          <w:lang w:val="en-US" w:eastAsia="zh-CN"/>
        </w:rPr>
        <w:t>5.</w:t>
      </w:r>
      <w:r>
        <w:rPr>
          <w:rFonts w:hint="eastAsia" w:ascii="宋体" w:hAnsi="宋体" w:cs="Times New Roman"/>
        </w:rPr>
        <w:t>供货证明格式（如有）</w:t>
      </w:r>
    </w:p>
    <w:p>
      <w:pPr>
        <w:spacing w:before="0" w:after="0" w:afterAutospacing="0"/>
        <w:ind w:left="0" w:right="0" w:firstLine="420" w:firstLineChars="200"/>
        <w:jc w:val="left"/>
        <w:rPr>
          <w:rFonts w:hint="eastAsia" w:ascii="宋体" w:hAnsi="宋体" w:cs="Times New Roman"/>
        </w:rPr>
      </w:pPr>
      <w:r>
        <w:rPr>
          <w:rFonts w:hint="eastAsia" w:ascii="宋体" w:hAnsi="宋体" w:cs="Times New Roman"/>
          <w:lang w:val="en-US" w:eastAsia="zh-CN"/>
        </w:rPr>
        <w:t>6.</w:t>
      </w:r>
      <w:r>
        <w:rPr>
          <w:rFonts w:hint="eastAsia" w:ascii="宋体" w:hAnsi="宋体" w:cs="Times New Roman"/>
          <w:lang w:eastAsia="zh-CN"/>
        </w:rPr>
        <w:t>开工通知</w:t>
      </w:r>
      <w:r>
        <w:rPr>
          <w:rFonts w:hint="eastAsia" w:ascii="宋体" w:hAnsi="宋体" w:cs="Times New Roman"/>
        </w:rPr>
        <w:t>格式（如有）</w:t>
      </w:r>
    </w:p>
    <w:p>
      <w:pPr>
        <w:spacing w:before="0" w:after="0" w:afterAutospacing="0"/>
        <w:ind w:left="0" w:right="0" w:firstLine="420" w:firstLineChars="200"/>
        <w:jc w:val="left"/>
        <w:rPr>
          <w:rFonts w:hint="eastAsia" w:ascii="宋体" w:hAnsi="宋体" w:cs="Times New Roman"/>
        </w:rPr>
      </w:pPr>
      <w:r>
        <w:rPr>
          <w:rFonts w:hint="eastAsia" w:ascii="宋体" w:hAnsi="宋体" w:cs="Times New Roman"/>
          <w:lang w:val="en-US" w:eastAsia="zh-CN"/>
        </w:rPr>
        <w:t>7.</w:t>
      </w:r>
      <w:r>
        <w:rPr>
          <w:rFonts w:hint="eastAsia" w:ascii="宋体" w:hAnsi="宋体" w:cs="Times New Roman"/>
        </w:rPr>
        <w:t>送货单格式（如有）</w:t>
      </w:r>
    </w:p>
    <w:p>
      <w:pPr>
        <w:pStyle w:val="55"/>
        <w:adjustRightInd/>
        <w:spacing w:before="0" w:after="0" w:line="360" w:lineRule="auto"/>
        <w:ind w:left="0" w:right="0"/>
        <w:rPr>
          <w:rFonts w:ascii="宋体" w:hAnsi="宋体"/>
          <w:sz w:val="21"/>
          <w:szCs w:val="21"/>
        </w:rPr>
      </w:pPr>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Pr>
        <w:ind w:right="-57" w:firstLine="200"/>
        <w:rPr>
          <w:rFonts w:ascii="宋体" w:hAnsi="宋体"/>
          <w:b/>
          <w:i/>
        </w:rPr>
      </w:pPr>
    </w:p>
    <w:p>
      <w:pPr>
        <w:tabs>
          <w:tab w:val="left" w:pos="1134"/>
          <w:tab w:val="left" w:pos="8364"/>
        </w:tabs>
        <w:spacing w:before="0"/>
        <w:ind w:left="0" w:right="-57" w:firstLine="0"/>
        <w:rPr>
          <w:rFonts w:ascii="宋体" w:hAnsi="宋体"/>
        </w:rPr>
      </w:pPr>
    </w:p>
    <w:p>
      <w:pPr>
        <w:tabs>
          <w:tab w:val="left" w:pos="1134"/>
          <w:tab w:val="left" w:pos="8364"/>
        </w:tabs>
        <w:spacing w:before="0"/>
        <w:ind w:left="1134" w:right="-57" w:firstLine="0"/>
        <w:rPr>
          <w:rFonts w:ascii="宋体" w:hAnsi="宋体"/>
        </w:rPr>
      </w:pPr>
    </w:p>
    <w:p>
      <w:pPr>
        <w:tabs>
          <w:tab w:val="left" w:pos="1134"/>
          <w:tab w:val="left" w:pos="8364"/>
        </w:tabs>
        <w:spacing w:before="0"/>
        <w:ind w:left="1134" w:right="-57" w:firstLine="0"/>
        <w:rPr>
          <w:rFonts w:ascii="宋体" w:hAnsi="宋体"/>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p>
    <w:p>
      <w:pPr>
        <w:pageBreakBefore w:val="0"/>
        <w:widowControl/>
        <w:tabs>
          <w:tab w:val="left" w:pos="1134"/>
          <w:tab w:val="left" w:pos="8364"/>
        </w:tabs>
        <w:spacing w:before="0" w:after="0" w:afterAutospacing="0" w:line="240" w:lineRule="auto"/>
        <w:ind w:left="0" w:right="-57" w:hanging="11"/>
        <w:rPr>
          <w:rFonts w:hint="eastAsia" w:ascii="宋体" w:hAnsi="宋体" w:eastAsia="宋体" w:cs="Times New Roman"/>
          <w:b/>
          <w:color w:val="auto"/>
          <w:kern w:val="0"/>
          <w:sz w:val="21"/>
          <w:szCs w:val="21"/>
          <w:highlight w:val="none"/>
        </w:rPr>
      </w:pPr>
      <w:r>
        <w:rPr>
          <w:rFonts w:hint="eastAsia" w:ascii="宋体" w:hAnsi="宋体" w:eastAsia="宋体" w:cs="Times New Roman"/>
          <w:b/>
          <w:color w:val="auto"/>
          <w:kern w:val="0"/>
          <w:sz w:val="21"/>
          <w:szCs w:val="21"/>
          <w:highlight w:val="none"/>
        </w:rPr>
        <w:t>附件6.1 银行保函格式</w:t>
      </w:r>
    </w:p>
    <w:p>
      <w:pPr>
        <w:widowControl/>
        <w:spacing w:before="0" w:after="0" w:afterAutospacing="0" w:line="360" w:lineRule="auto"/>
        <w:ind w:left="709" w:right="-57" w:firstLine="0"/>
        <w:jc w:val="center"/>
        <w:rPr>
          <w:rFonts w:hint="eastAsia" w:ascii="宋体" w:hAnsi="宋体" w:eastAsia="宋体" w:cs="Times New Roman"/>
          <w:b/>
          <w:color w:val="auto"/>
          <w:kern w:val="0"/>
          <w:sz w:val="24"/>
          <w:szCs w:val="24"/>
          <w:highlight w:val="none"/>
        </w:rPr>
      </w:pPr>
    </w:p>
    <w:p>
      <w:pPr>
        <w:widowControl/>
        <w:spacing w:before="0" w:after="0" w:afterAutospacing="0" w:line="360" w:lineRule="auto"/>
        <w:ind w:left="709" w:right="-57" w:firstLine="0"/>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4"/>
          <w:szCs w:val="24"/>
          <w:highlight w:val="none"/>
        </w:rPr>
        <w:t>银行</w:t>
      </w:r>
      <w:r>
        <w:rPr>
          <w:rFonts w:ascii="宋体" w:hAnsi="宋体" w:eastAsia="宋体" w:cs="Times New Roman"/>
          <w:b/>
          <w:color w:val="auto"/>
          <w:kern w:val="0"/>
          <w:sz w:val="24"/>
          <w:szCs w:val="24"/>
          <w:highlight w:val="none"/>
        </w:rPr>
        <w:t>保函</w:t>
      </w:r>
      <w:r>
        <w:rPr>
          <w:rFonts w:hint="eastAsia" w:ascii="宋体" w:hAnsi="宋体" w:eastAsia="宋体" w:cs="Times New Roman"/>
          <w:b/>
          <w:color w:val="auto"/>
          <w:kern w:val="0"/>
          <w:sz w:val="24"/>
          <w:szCs w:val="24"/>
          <w:highlight w:val="none"/>
        </w:rPr>
        <w:t>（中标后提供）</w:t>
      </w:r>
    </w:p>
    <w:p>
      <w:pPr>
        <w:widowControl/>
        <w:autoSpaceDE w:val="0"/>
        <w:autoSpaceDN w:val="0"/>
        <w:spacing w:before="0" w:after="0" w:afterAutospacing="0" w:line="360" w:lineRule="auto"/>
        <w:ind w:left="0" w:right="-57"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保函编号：</w:t>
      </w:r>
    </w:p>
    <w:p>
      <w:pPr>
        <w:widowControl/>
        <w:autoSpaceDE w:val="0"/>
        <w:autoSpaceDN w:val="0"/>
        <w:spacing w:before="0" w:after="0" w:afterAutospacing="0" w:line="360" w:lineRule="auto"/>
        <w:ind w:left="0" w:right="-57" w:firstLine="420" w:firstLineChars="200"/>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致：南宁轨道交通</w:t>
      </w:r>
      <w:r>
        <w:rPr>
          <w:rFonts w:hint="eastAsia" w:ascii="宋体" w:hAnsi="宋体" w:eastAsia="宋体" w:cs="Times New Roman"/>
          <w:color w:val="auto"/>
          <w:kern w:val="0"/>
          <w:szCs w:val="21"/>
          <w:highlight w:val="none"/>
          <w:lang w:eastAsia="zh-CN"/>
        </w:rPr>
        <w:t>运营有限</w:t>
      </w:r>
      <w:r>
        <w:rPr>
          <w:rFonts w:hint="eastAsia" w:ascii="宋体" w:hAnsi="宋体" w:eastAsia="宋体" w:cs="Times New Roman"/>
          <w:color w:val="auto"/>
          <w:kern w:val="0"/>
          <w:szCs w:val="21"/>
          <w:highlight w:val="none"/>
        </w:rPr>
        <w:t>公司</w:t>
      </w:r>
    </w:p>
    <w:p>
      <w:pPr>
        <w:widowControl/>
        <w:autoSpaceDE w:val="0"/>
        <w:autoSpaceDN w:val="0"/>
        <w:spacing w:before="0" w:after="0" w:afterAutospacing="0" w:line="360" w:lineRule="auto"/>
        <w:ind w:left="0" w:right="-57" w:firstLine="420" w:firstLineChars="200"/>
        <w:jc w:val="left"/>
        <w:rPr>
          <w:rFonts w:hint="eastAsia" w:ascii="宋体" w:hAnsi="宋体" w:eastAsia="宋体" w:cs="Times New Roman"/>
          <w:color w:val="auto"/>
          <w:kern w:val="0"/>
          <w:szCs w:val="21"/>
          <w:highlight w:val="none"/>
        </w:rPr>
      </w:pPr>
    </w:p>
    <w:p>
      <w:pPr>
        <w:widowControl/>
        <w:autoSpaceDE/>
        <w:autoSpaceDN/>
        <w:spacing w:before="0" w:after="0" w:afterAutospacing="0" w:line="360" w:lineRule="auto"/>
        <w:ind w:left="0" w:right="0" w:firstLine="420" w:firstLineChars="200"/>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鉴于贵方已于年月日发出中标通知书，本保函作为贵方将与</w:t>
      </w:r>
      <w:r>
        <w:rPr>
          <w:rFonts w:hint="eastAsia" w:ascii="宋体" w:hAnsi="宋体" w:eastAsia="宋体" w:cs="Times New Roman"/>
          <w:color w:val="FF0000"/>
          <w:kern w:val="0"/>
          <w:szCs w:val="21"/>
          <w:highlight w:val="none"/>
          <w:u w:val="single"/>
        </w:rPr>
        <w:t xml:space="preserve">   </w:t>
      </w:r>
      <w:r>
        <w:rPr>
          <w:rFonts w:hint="eastAsia" w:ascii="宋体" w:hAnsi="宋体" w:cs="Times New Roman"/>
          <w:color w:val="FF0000"/>
          <w:kern w:val="0"/>
          <w:szCs w:val="21"/>
          <w:highlight w:val="none"/>
          <w:u w:val="single"/>
          <w:lang w:val="en-US" w:eastAsia="zh-CN"/>
        </w:rPr>
        <w:t xml:space="preserve">       </w:t>
      </w:r>
      <w:r>
        <w:rPr>
          <w:rFonts w:hint="eastAsia" w:ascii="宋体" w:hAnsi="宋体" w:eastAsia="宋体" w:cs="Times New Roman"/>
          <w:color w:val="FF0000"/>
          <w:kern w:val="0"/>
          <w:szCs w:val="21"/>
          <w:highlight w:val="none"/>
          <w:u w:val="none"/>
        </w:rPr>
        <w:t>（乙方名称）</w:t>
      </w:r>
      <w:r>
        <w:rPr>
          <w:rFonts w:hint="eastAsia" w:ascii="宋体" w:hAnsi="宋体" w:eastAsia="宋体" w:cs="Times New Roman"/>
          <w:color w:val="auto"/>
          <w:kern w:val="0"/>
          <w:szCs w:val="21"/>
          <w:highlight w:val="none"/>
        </w:rPr>
        <w:t>（以下简称“乙方”）签订的</w:t>
      </w:r>
      <w:r>
        <w:rPr>
          <w:rFonts w:hint="eastAsia" w:ascii="宋体" w:hAnsi="宋体" w:cs="Times New Roman"/>
          <w:color w:val="FF0000"/>
          <w:kern w:val="0"/>
          <w:szCs w:val="21"/>
          <w:highlight w:val="none"/>
          <w:u w:val="single"/>
          <w:lang w:val="en-US" w:eastAsia="zh-CN"/>
        </w:rPr>
        <w:t xml:space="preserve">          </w:t>
      </w:r>
      <w:r>
        <w:rPr>
          <w:rFonts w:hint="eastAsia" w:ascii="宋体" w:hAnsi="宋体" w:eastAsia="宋体" w:cs="Times New Roman"/>
          <w:color w:val="FF0000"/>
          <w:kern w:val="0"/>
          <w:szCs w:val="21"/>
          <w:highlight w:val="none"/>
          <w:u w:val="none"/>
        </w:rPr>
        <w:t>（项目名称）</w:t>
      </w:r>
      <w:r>
        <w:rPr>
          <w:rFonts w:hint="eastAsia" w:ascii="宋体" w:hAnsi="宋体" w:eastAsia="宋体" w:cs="Times New Roman"/>
          <w:color w:val="auto"/>
          <w:kern w:val="0"/>
          <w:szCs w:val="21"/>
          <w:highlight w:val="none"/>
        </w:rPr>
        <w:t>以下简称“本项目”）合同（中标价格￥元，大写：元）的银行保函。</w:t>
      </w:r>
    </w:p>
    <w:p>
      <w:pPr>
        <w:widowControl/>
        <w:autoSpaceDE/>
        <w:autoSpaceDN/>
        <w:spacing w:before="0" w:after="0" w:afterAutospacing="0" w:line="360" w:lineRule="auto"/>
        <w:ind w:left="0" w:right="0" w:firstLine="420" w:firstLineChars="200"/>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w:t>
      </w:r>
      <w:r>
        <w:rPr>
          <w:rFonts w:hint="eastAsia" w:ascii="宋体" w:hAnsi="宋体" w:cs="Times New Roman"/>
          <w:color w:val="FF0000"/>
          <w:kern w:val="0"/>
          <w:szCs w:val="21"/>
          <w:highlight w:val="none"/>
          <w:u w:val="single"/>
          <w:lang w:val="en-US" w:eastAsia="zh-CN"/>
        </w:rPr>
        <w:t xml:space="preserve">        </w:t>
      </w:r>
      <w:r>
        <w:rPr>
          <w:rFonts w:hint="eastAsia" w:ascii="宋体" w:hAnsi="宋体" w:eastAsia="宋体" w:cs="Times New Roman"/>
          <w:color w:val="FF0000"/>
          <w:kern w:val="0"/>
          <w:szCs w:val="21"/>
          <w:highlight w:val="none"/>
          <w:u w:val="none"/>
        </w:rPr>
        <w:t>（担保人名称）</w:t>
      </w:r>
      <w:r>
        <w:rPr>
          <w:rFonts w:hint="eastAsia" w:ascii="宋体" w:hAnsi="宋体" w:eastAsia="宋体" w:cs="Times New Roman"/>
          <w:color w:val="auto"/>
          <w:kern w:val="0"/>
          <w:szCs w:val="21"/>
          <w:highlight w:val="none"/>
        </w:rPr>
        <w:t>，受该乙方委托，为该乙方履行上述合同规定的义务做出如下无条件地和不可撤销的保证：</w:t>
      </w:r>
    </w:p>
    <w:p>
      <w:pPr>
        <w:widowControl/>
        <w:autoSpaceDE/>
        <w:autoSpaceDN/>
        <w:spacing w:before="0" w:after="0" w:afterAutospacing="0" w:line="360" w:lineRule="auto"/>
        <w:ind w:left="0" w:right="0" w:firstLine="420" w:firstLineChars="200"/>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widowControl/>
        <w:autoSpaceDE/>
        <w:autoSpaceDN/>
        <w:spacing w:before="0" w:after="0" w:afterAutospacing="0" w:line="360" w:lineRule="auto"/>
        <w:ind w:left="0" w:right="0" w:firstLine="420" w:firstLineChars="200"/>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我方同意，任何贵方与乙方之间可能对合同的修改、变更或补充，或由乙方原因导致合同解除、终止，都不能减少和免除我方按本保函所承担的责任。有关修改、变更或补充无须通知我方。</w:t>
      </w:r>
    </w:p>
    <w:p>
      <w:pPr>
        <w:widowControl/>
        <w:autoSpaceDE/>
        <w:autoSpaceDN/>
        <w:spacing w:before="0" w:after="0" w:afterAutospacing="0" w:line="360" w:lineRule="auto"/>
        <w:ind w:left="0" w:right="0" w:firstLine="420" w:firstLineChars="200"/>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本保函项下所有权利和义务均适用于中华人民共和国法律。</w:t>
      </w:r>
    </w:p>
    <w:p>
      <w:pPr>
        <w:widowControl/>
        <w:autoSpaceDE/>
        <w:autoSpaceDN/>
        <w:spacing w:before="0" w:after="0" w:afterAutospacing="0" w:line="360" w:lineRule="auto"/>
        <w:ind w:left="0" w:right="0" w:firstLine="420" w:firstLineChars="200"/>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1、本保函自</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r>
        <w:rPr>
          <w:rFonts w:hint="eastAsia" w:ascii="宋体" w:hAnsi="宋体" w:eastAsia="宋体" w:cs="Times New Roman"/>
          <w:color w:val="auto"/>
          <w:kern w:val="0"/>
          <w:szCs w:val="21"/>
          <w:highlight w:val="none"/>
        </w:rPr>
        <w:t>起生效，至</w:t>
      </w:r>
      <w:r>
        <w:rPr>
          <w:rFonts w:hint="eastAsia" w:ascii="宋体" w:hAnsi="宋体" w:eastAsia="宋体" w:cs="Times New Roman"/>
          <w:color w:val="auto"/>
          <w:kern w:val="0"/>
          <w:szCs w:val="21"/>
          <w:highlight w:val="none"/>
          <w:u w:val="none"/>
        </w:rPr>
        <w:t>全部货物验收合格之日后四十五（45）天一直</w:t>
      </w:r>
      <w:r>
        <w:rPr>
          <w:rFonts w:hint="eastAsia" w:ascii="宋体" w:hAnsi="宋体" w:eastAsia="宋体" w:cs="Times New Roman"/>
          <w:color w:val="auto"/>
          <w:kern w:val="0"/>
          <w:szCs w:val="21"/>
          <w:highlight w:val="none"/>
        </w:rPr>
        <w:t>有效，你方有权提前终止或解除本保函。保函失效后请将本保函退回我方注销。</w:t>
      </w:r>
    </w:p>
    <w:p>
      <w:pPr>
        <w:widowControl/>
        <w:autoSpaceDE/>
        <w:autoSpaceDN/>
        <w:spacing w:before="0" w:after="0" w:afterAutospacing="0" w:line="360" w:lineRule="auto"/>
        <w:ind w:left="0" w:right="0" w:firstLine="420" w:firstLineChars="200"/>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2、本保函自</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r>
        <w:rPr>
          <w:rFonts w:hint="eastAsia" w:ascii="宋体" w:hAnsi="宋体" w:eastAsia="宋体" w:cs="Times New Roman"/>
          <w:color w:val="auto"/>
          <w:kern w:val="0"/>
          <w:szCs w:val="21"/>
          <w:highlight w:val="none"/>
        </w:rPr>
        <w:t>起生效，至</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r>
        <w:rPr>
          <w:rFonts w:hint="eastAsia" w:ascii="宋体" w:hAnsi="宋体" w:eastAsia="宋体" w:cs="Arial"/>
          <w:color w:val="auto"/>
          <w:kern w:val="0"/>
          <w:szCs w:val="21"/>
          <w:highlight w:val="none"/>
        </w:rPr>
        <w:t>一直有效，</w:t>
      </w:r>
      <w:r>
        <w:rPr>
          <w:rFonts w:hint="eastAsia" w:ascii="宋体" w:hAnsi="宋体" w:eastAsia="宋体" w:cs="Times New Roman"/>
          <w:color w:val="auto"/>
          <w:kern w:val="0"/>
          <w:szCs w:val="21"/>
          <w:highlight w:val="none"/>
        </w:rPr>
        <w:t>你方有权提前终止或解除本保函。保函失效后请将本保函退回我方注销。</w:t>
      </w:r>
    </w:p>
    <w:p>
      <w:pPr>
        <w:widowControl/>
        <w:autoSpaceDE/>
        <w:autoSpaceDN/>
        <w:spacing w:before="0" w:after="0" w:afterAutospacing="0" w:line="360" w:lineRule="auto"/>
        <w:ind w:left="0" w:right="0" w:firstLine="420" w:firstLineChars="200"/>
        <w:jc w:val="left"/>
        <w:rPr>
          <w:rFonts w:hint="eastAsia" w:ascii="宋体" w:hAnsi="宋体" w:eastAsia="宋体" w:cs="Times New Roman"/>
          <w:color w:val="auto"/>
          <w:kern w:val="0"/>
          <w:szCs w:val="21"/>
          <w:highlight w:val="none"/>
        </w:rPr>
      </w:pPr>
    </w:p>
    <w:p>
      <w:pPr>
        <w:widowControl/>
        <w:autoSpaceDE/>
        <w:autoSpaceDN/>
        <w:spacing w:before="0" w:after="0" w:afterAutospacing="0" w:line="360" w:lineRule="auto"/>
        <w:ind w:left="0" w:right="0" w:firstLine="420" w:firstLineChars="200"/>
        <w:jc w:val="left"/>
        <w:rPr>
          <w:rFonts w:hint="eastAsia" w:ascii="宋体" w:hAnsi="宋体" w:eastAsia="宋体" w:cs="Times New Roman"/>
          <w:color w:val="auto"/>
          <w:kern w:val="0"/>
          <w:szCs w:val="21"/>
          <w:highlight w:val="none"/>
        </w:rPr>
      </w:pPr>
    </w:p>
    <w:p>
      <w:pPr>
        <w:widowControl/>
        <w:spacing w:before="120" w:after="0" w:afterAutospacing="0" w:line="36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b/>
          <w:i/>
          <w:color w:val="auto"/>
          <w:kern w:val="0"/>
          <w:szCs w:val="21"/>
          <w:highlight w:val="none"/>
        </w:rPr>
        <w:t>（开具保函时，以上二种方式，任选一种。）</w:t>
      </w:r>
    </w:p>
    <w:p>
      <w:pPr>
        <w:widowControl/>
        <w:spacing w:before="120" w:after="0" w:afterAutospacing="0" w:line="360" w:lineRule="auto"/>
        <w:ind w:left="709" w:right="-57" w:firstLine="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银行地址：    担保银行：</w:t>
      </w:r>
      <w:r>
        <w:rPr>
          <w:rFonts w:hint="eastAsia" w:ascii="宋体" w:hAnsi="宋体" w:eastAsia="宋体" w:cs="Times New Roman"/>
          <w:color w:val="auto"/>
          <w:kern w:val="0"/>
          <w:szCs w:val="21"/>
          <w:highlight w:val="none"/>
          <w:u w:val="single"/>
        </w:rPr>
        <w:t xml:space="preserve">（全称）    </w:t>
      </w:r>
      <w:r>
        <w:rPr>
          <w:rFonts w:hint="eastAsia" w:ascii="宋体" w:hAnsi="宋体" w:eastAsia="宋体" w:cs="Times New Roman"/>
          <w:color w:val="auto"/>
          <w:kern w:val="0"/>
          <w:szCs w:val="21"/>
          <w:highlight w:val="none"/>
        </w:rPr>
        <w:t>(盖章)</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邮编：   法定代表人或（授权代理人）：(签字)</w:t>
      </w:r>
    </w:p>
    <w:p>
      <w:pPr>
        <w:widowControl/>
        <w:spacing w:before="120" w:after="0" w:afterAutospacing="0" w:line="360" w:lineRule="auto"/>
        <w:ind w:left="709" w:right="-57" w:firstLine="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电话：</w:t>
      </w:r>
      <w:r>
        <w:rPr>
          <w:rFonts w:hint="eastAsia" w:ascii="宋体" w:hAnsi="宋体" w:eastAsia="宋体" w:cs="Times New Roman"/>
          <w:color w:val="auto"/>
          <w:kern w:val="0"/>
          <w:szCs w:val="21"/>
          <w:highlight w:val="none"/>
          <w:u w:val="single"/>
        </w:rPr>
        <w:t>（职务）   （姓名）  （签字）</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传真：           日期：</w:t>
      </w:r>
      <w:r>
        <w:rPr>
          <w:rFonts w:hint="eastAsia" w:ascii="宋体" w:hAnsi="宋体" w:cs="宋体"/>
          <w:sz w:val="21"/>
          <w:szCs w:val="21"/>
        </w:rPr>
        <w:t xml:space="preserve">     年    月    日</w:t>
      </w: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pageBreakBefore/>
        <w:tabs>
          <w:tab w:val="left" w:pos="1134"/>
          <w:tab w:val="left" w:pos="8364"/>
        </w:tabs>
        <w:spacing w:before="0" w:after="0" w:afterAutospacing="0"/>
        <w:ind w:left="0" w:right="-57" w:hanging="11"/>
        <w:rPr>
          <w:rFonts w:hint="eastAsia" w:ascii="宋体" w:hAnsi="宋体"/>
          <w:b/>
          <w:sz w:val="21"/>
          <w:szCs w:val="21"/>
          <w:lang w:val="en-US" w:eastAsia="zh-CN"/>
        </w:rPr>
      </w:pPr>
      <w:r>
        <w:rPr>
          <w:rFonts w:hint="eastAsia" w:ascii="宋体" w:hAnsi="宋体"/>
          <w:b/>
          <w:sz w:val="21"/>
          <w:szCs w:val="21"/>
        </w:rPr>
        <w:t>附件6.</w:t>
      </w:r>
      <w:r>
        <w:rPr>
          <w:rFonts w:hint="eastAsia" w:ascii="宋体" w:hAnsi="宋体"/>
          <w:b/>
          <w:sz w:val="21"/>
          <w:szCs w:val="21"/>
          <w:lang w:val="en-US" w:eastAsia="zh-CN"/>
        </w:rPr>
        <w:t>2</w:t>
      </w:r>
      <w:r>
        <w:rPr>
          <w:rFonts w:hint="eastAsia" w:ascii="宋体" w:hAnsi="宋体"/>
          <w:b/>
          <w:sz w:val="21"/>
          <w:szCs w:val="21"/>
        </w:rPr>
        <w:t xml:space="preserve"> </w:t>
      </w:r>
      <w:r>
        <w:rPr>
          <w:rFonts w:hint="eastAsia" w:ascii="宋体" w:hAnsi="宋体"/>
          <w:b/>
          <w:sz w:val="21"/>
          <w:szCs w:val="21"/>
          <w:lang w:val="en-US" w:eastAsia="zh-CN"/>
        </w:rPr>
        <w:t>承诺函</w:t>
      </w:r>
    </w:p>
    <w:p>
      <w:pPr>
        <w:pStyle w:val="2"/>
        <w:rPr>
          <w:rFonts w:hint="eastAsia"/>
          <w:lang w:val="en-US" w:eastAsia="zh-CN"/>
        </w:rPr>
      </w:pPr>
    </w:p>
    <w:p>
      <w:pPr>
        <w:widowControl/>
        <w:spacing w:before="120" w:after="100" w:afterAutospacing="1" w:line="360" w:lineRule="auto"/>
        <w:ind w:left="0" w:right="-57"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承诺函（中标后提供）</w:t>
      </w:r>
    </w:p>
    <w:p>
      <w:pPr>
        <w:widowControl/>
        <w:spacing w:before="120" w:after="100" w:afterAutospacing="1" w:line="360" w:lineRule="auto"/>
        <w:ind w:left="709" w:right="-57" w:firstLine="0"/>
        <w:rPr>
          <w:rFonts w:ascii="宋体" w:hAnsi="宋体" w:eastAsia="宋体" w:cs="Times New Roman"/>
          <w:color w:val="auto"/>
          <w:kern w:val="0"/>
          <w:szCs w:val="21"/>
          <w:highlight w:val="none"/>
        </w:rPr>
      </w:pPr>
    </w:p>
    <w:p>
      <w:pPr>
        <w:widowControl/>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南宁轨道交通</w:t>
      </w:r>
      <w:r>
        <w:rPr>
          <w:rFonts w:hint="eastAsia" w:ascii="宋体" w:hAnsi="宋体" w:eastAsia="宋体" w:cs="Times New Roman"/>
          <w:color w:val="auto"/>
          <w:kern w:val="0"/>
          <w:szCs w:val="21"/>
          <w:highlight w:val="none"/>
          <w:lang w:eastAsia="zh-CN"/>
        </w:rPr>
        <w:t>运营</w:t>
      </w:r>
      <w:r>
        <w:rPr>
          <w:rFonts w:hint="eastAsia" w:ascii="宋体" w:hAnsi="宋体" w:eastAsia="宋体" w:cs="Times New Roman"/>
          <w:color w:val="auto"/>
          <w:kern w:val="0"/>
          <w:szCs w:val="21"/>
          <w:highlight w:val="none"/>
        </w:rPr>
        <w:t>有限公司：</w:t>
      </w:r>
    </w:p>
    <w:p>
      <w:pPr>
        <w:widowControl/>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（以下称“本公司”）现已中标贵司</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的</w:t>
      </w:r>
      <w:r>
        <w:rPr>
          <w:rFonts w:hint="eastAsia" w:ascii="宋体" w:hAnsi="宋体" w:cs="Arial"/>
          <w:color w:val="FF0000"/>
          <w:u w:val="single"/>
          <w:lang w:val="en-US" w:eastAsia="zh-CN"/>
        </w:rPr>
        <w:t xml:space="preserve">         </w:t>
      </w:r>
      <w:r>
        <w:rPr>
          <w:rFonts w:hint="eastAsia" w:ascii="宋体" w:hAnsi="宋体" w:eastAsia="宋体" w:cs="Times New Roman"/>
          <w:color w:val="FF0000"/>
          <w:kern w:val="0"/>
          <w:szCs w:val="21"/>
          <w:highlight w:val="none"/>
          <w:u w:val="single"/>
        </w:rPr>
        <w:t>（项目名称）</w:t>
      </w:r>
      <w:r>
        <w:rPr>
          <w:rFonts w:hint="eastAsia" w:ascii="宋体" w:hAnsi="宋体" w:eastAsia="宋体" w:cs="Times New Roman"/>
          <w:color w:val="auto"/>
          <w:kern w:val="0"/>
          <w:szCs w:val="21"/>
          <w:highlight w:val="none"/>
        </w:rPr>
        <w:t>，并拟签订正式合同，按合同规定需向贵司提供一份履约担保金额为人民币：</w:t>
      </w:r>
      <w:r>
        <w:rPr>
          <w:rFonts w:hint="eastAsia" w:ascii="宋体" w:hAnsi="宋体" w:eastAsia="宋体" w:cs="Arial"/>
          <w:color w:val="FF0000"/>
          <w:u w:val="single"/>
          <w:lang w:val="en-US" w:eastAsia="zh-CN"/>
        </w:rPr>
        <w:t xml:space="preserve">      </w:t>
      </w:r>
      <w:r>
        <w:rPr>
          <w:rFonts w:hint="eastAsia" w:ascii="宋体" w:hAnsi="宋体" w:eastAsia="宋体" w:cs="Times New Roman"/>
          <w:color w:val="FF0000"/>
          <w:kern w:val="0"/>
          <w:szCs w:val="21"/>
          <w:highlight w:val="none"/>
          <w:u w:val="single"/>
        </w:rPr>
        <w:t>（￥</w:t>
      </w:r>
      <w:r>
        <w:rPr>
          <w:rFonts w:hint="eastAsia" w:ascii="宋体" w:hAnsi="宋体" w:eastAsia="宋体" w:cs="Arial"/>
          <w:color w:val="FF0000"/>
          <w:u w:val="single"/>
          <w:lang w:val="en-US" w:eastAsia="zh-CN"/>
        </w:rPr>
        <w:t xml:space="preserve">    </w:t>
      </w:r>
      <w:r>
        <w:rPr>
          <w:rFonts w:hint="eastAsia" w:ascii="宋体" w:hAnsi="宋体" w:eastAsia="宋体" w:cs="Times New Roman"/>
          <w:color w:val="FF0000"/>
          <w:kern w:val="0"/>
          <w:szCs w:val="21"/>
          <w:highlight w:val="none"/>
        </w:rPr>
        <w:t>）</w:t>
      </w:r>
      <w:r>
        <w:rPr>
          <w:rFonts w:hint="eastAsia" w:ascii="宋体" w:hAnsi="宋体" w:eastAsia="宋体" w:cs="Times New Roman"/>
          <w:color w:val="auto"/>
          <w:kern w:val="0"/>
          <w:szCs w:val="21"/>
          <w:highlight w:val="none"/>
        </w:rPr>
        <w:t>的银行保函（保函编号：），有效期至</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r>
        <w:rPr>
          <w:rFonts w:hint="eastAsia" w:ascii="宋体" w:hAnsi="宋体" w:eastAsia="宋体" w:cs="Times New Roman"/>
          <w:color w:val="auto"/>
          <w:kern w:val="0"/>
          <w:szCs w:val="21"/>
          <w:highlight w:val="none"/>
        </w:rPr>
        <w:t>。</w:t>
      </w:r>
    </w:p>
    <w:p>
      <w:pPr>
        <w:widowControl/>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本公司现向贵司郑重承诺，如上述保函到期日仍未到合同约定的时间（</w:t>
      </w:r>
      <w:r>
        <w:rPr>
          <w:rFonts w:hint="eastAsia" w:ascii="宋体" w:hAnsi="宋体" w:eastAsia="宋体" w:cs="Times New Roman"/>
          <w:color w:val="auto"/>
          <w:kern w:val="0"/>
          <w:szCs w:val="21"/>
          <w:highlight w:val="none"/>
          <w:u w:val="single"/>
        </w:rPr>
        <w:t>全部货物验收合格之日后四十五（45）天</w:t>
      </w:r>
      <w:r>
        <w:rPr>
          <w:rFonts w:hint="eastAsia" w:ascii="宋体" w:hAnsi="宋体" w:eastAsia="宋体" w:cs="Times New Roman"/>
          <w:color w:val="auto"/>
          <w:kern w:val="0"/>
          <w:szCs w:val="21"/>
          <w:highlight w:val="none"/>
        </w:rPr>
        <w:t>），本公司将在保函到期前60天，无条件延长保函有效期。如未及时向贵司提供符合规定的银行保函，我司承担违约责任的一切后果。</w:t>
      </w:r>
    </w:p>
    <w:p>
      <w:pPr>
        <w:widowControl/>
        <w:spacing w:before="0" w:after="0" w:afterAutospacing="0" w:line="360" w:lineRule="auto"/>
        <w:ind w:left="705"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特此承诺</w:t>
      </w:r>
    </w:p>
    <w:p>
      <w:pPr>
        <w:widowControl/>
        <w:spacing w:before="120" w:after="100" w:afterAutospacing="1" w:line="360" w:lineRule="auto"/>
        <w:ind w:left="709" w:right="-57" w:firstLine="420"/>
        <w:rPr>
          <w:rFonts w:ascii="宋体" w:hAnsi="宋体" w:eastAsia="宋体" w:cs="Times New Roman"/>
          <w:color w:val="auto"/>
          <w:kern w:val="0"/>
          <w:szCs w:val="21"/>
          <w:highlight w:val="none"/>
        </w:rPr>
      </w:pPr>
    </w:p>
    <w:p>
      <w:pPr>
        <w:pStyle w:val="2"/>
        <w:rPr>
          <w:rFonts w:ascii="宋体" w:hAnsi="宋体" w:eastAsia="宋体" w:cs="Times New Roman"/>
          <w:color w:val="auto"/>
          <w:kern w:val="0"/>
          <w:szCs w:val="21"/>
          <w:highlight w:val="none"/>
        </w:rPr>
      </w:pPr>
    </w:p>
    <w:p>
      <w:pPr>
        <w:pStyle w:val="2"/>
        <w:rPr>
          <w:rFonts w:ascii="宋体" w:hAnsi="宋体" w:eastAsia="宋体" w:cs="Times New Roman"/>
          <w:color w:val="auto"/>
          <w:kern w:val="0"/>
          <w:szCs w:val="21"/>
          <w:highlight w:val="none"/>
        </w:rPr>
      </w:pPr>
    </w:p>
    <w:p>
      <w:pPr>
        <w:widowControl/>
        <w:spacing w:before="120" w:after="100" w:afterAutospacing="1" w:line="360" w:lineRule="auto"/>
        <w:ind w:left="5040" w:right="0" w:hanging="493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承诺人：</w:t>
      </w:r>
    </w:p>
    <w:p>
      <w:pPr>
        <w:widowControl/>
        <w:spacing w:before="120" w:after="100" w:afterAutospacing="1" w:line="360" w:lineRule="auto"/>
        <w:ind w:left="4935" w:right="0" w:hanging="483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w:t>
      </w:r>
      <w:r>
        <w:rPr>
          <w:rFonts w:hint="eastAsia" w:ascii="宋体" w:hAnsi="宋体" w:cs="宋体"/>
          <w:sz w:val="21"/>
          <w:szCs w:val="21"/>
        </w:rPr>
        <w:t xml:space="preserve">     年    月    日</w:t>
      </w:r>
    </w:p>
    <w:p>
      <w:pPr>
        <w:widowControl/>
        <w:spacing w:before="120" w:after="100" w:afterAutospacing="1" w:line="360" w:lineRule="auto"/>
        <w:ind w:left="709" w:right="-57" w:firstLine="200"/>
        <w:rPr>
          <w:rFonts w:ascii="宋体" w:hAnsi="宋体" w:eastAsia="宋体" w:cs="Times New Roman"/>
          <w:b/>
          <w:i/>
          <w:color w:val="auto"/>
          <w:kern w:val="0"/>
          <w:szCs w:val="21"/>
          <w:highlight w:val="none"/>
        </w:rPr>
      </w:pPr>
    </w:p>
    <w:p>
      <w:pPr>
        <w:widowControl/>
        <w:spacing w:before="120" w:after="100" w:afterAutospacing="1" w:line="360" w:lineRule="auto"/>
        <w:ind w:left="709" w:right="-57" w:firstLine="200"/>
        <w:rPr>
          <w:rFonts w:ascii="宋体" w:hAnsi="宋体" w:eastAsia="宋体" w:cs="Times New Roman"/>
          <w:b/>
          <w:i/>
          <w:color w:val="auto"/>
          <w:kern w:val="0"/>
          <w:szCs w:val="21"/>
          <w:highlight w:val="none"/>
        </w:rPr>
      </w:pPr>
      <w:r>
        <w:rPr>
          <w:rFonts w:hint="eastAsia" w:ascii="宋体" w:hAnsi="宋体" w:eastAsia="宋体" w:cs="Times New Roman"/>
          <w:b/>
          <w:i/>
          <w:color w:val="auto"/>
          <w:kern w:val="0"/>
          <w:szCs w:val="21"/>
          <w:highlight w:val="none"/>
        </w:rPr>
        <w:t>（当选择银行保函格式第2种方式时开具银行保函的，必须提供本承诺书。）</w:t>
      </w:r>
    </w:p>
    <w:p>
      <w:pPr>
        <w:pageBreakBefore/>
        <w:tabs>
          <w:tab w:val="left" w:pos="1134"/>
          <w:tab w:val="left" w:pos="8364"/>
        </w:tabs>
        <w:spacing w:before="0" w:after="0" w:afterAutospacing="0"/>
        <w:ind w:left="0" w:right="-57" w:hanging="11"/>
        <w:rPr>
          <w:rFonts w:ascii="宋体" w:hAnsi="宋体"/>
          <w:sz w:val="21"/>
          <w:szCs w:val="21"/>
        </w:rPr>
      </w:pPr>
      <w:r>
        <w:rPr>
          <w:rFonts w:hint="eastAsia" w:ascii="宋体" w:hAnsi="宋体"/>
          <w:b/>
          <w:sz w:val="21"/>
          <w:szCs w:val="21"/>
        </w:rPr>
        <w:t>附件6.</w:t>
      </w:r>
      <w:r>
        <w:rPr>
          <w:rFonts w:hint="eastAsia" w:ascii="宋体" w:hAnsi="宋体"/>
          <w:b/>
          <w:sz w:val="21"/>
          <w:szCs w:val="21"/>
          <w:lang w:val="en-US" w:eastAsia="zh-CN"/>
        </w:rPr>
        <w:t>3</w:t>
      </w:r>
      <w:r>
        <w:rPr>
          <w:rFonts w:hint="eastAsia" w:ascii="宋体" w:hAnsi="宋体"/>
          <w:b/>
          <w:sz w:val="21"/>
          <w:szCs w:val="21"/>
        </w:rPr>
        <w:t xml:space="preserve"> 供货证明格式</w:t>
      </w:r>
    </w:p>
    <w:p>
      <w:pPr>
        <w:ind w:right="-57" w:firstLine="0"/>
        <w:jc w:val="center"/>
        <w:rPr>
          <w:rFonts w:ascii="宋体" w:hAnsi="宋体"/>
          <w:b/>
          <w:sz w:val="24"/>
          <w:szCs w:val="24"/>
        </w:rPr>
      </w:pPr>
      <w:r>
        <w:rPr>
          <w:rFonts w:hint="eastAsia" w:ascii="宋体" w:hAnsi="宋体"/>
          <w:b/>
          <w:sz w:val="24"/>
          <w:szCs w:val="24"/>
        </w:rPr>
        <w:t>供货证明（格式，供货时提供）</w:t>
      </w:r>
    </w:p>
    <w:p>
      <w:pPr>
        <w:keepNext w:val="0"/>
        <w:keepLines w:val="0"/>
        <w:pageBreakBefore w:val="0"/>
        <w:widowControl/>
        <w:kinsoku/>
        <w:wordWrap/>
        <w:overflowPunct/>
        <w:topLinePunct w:val="0"/>
        <w:autoSpaceDE/>
        <w:autoSpaceDN/>
        <w:bidi w:val="0"/>
        <w:adjustRightInd/>
        <w:snapToGrid/>
        <w:spacing w:before="0"/>
        <w:ind w:left="0" w:right="0" w:firstLine="420" w:firstLineChars="200"/>
        <w:textAlignment w:val="auto"/>
        <w:rPr>
          <w:rFonts w:ascii="宋体" w:hAnsi="宋体"/>
          <w:sz w:val="21"/>
          <w:szCs w:val="21"/>
        </w:rPr>
      </w:pPr>
      <w:r>
        <w:rPr>
          <w:rFonts w:hint="eastAsia" w:ascii="宋体" w:hAnsi="宋体"/>
          <w:sz w:val="21"/>
          <w:szCs w:val="21"/>
          <w:lang w:eastAsia="zh-CN"/>
        </w:rPr>
        <w:t>南宁轨道交通运营有限公司</w:t>
      </w:r>
      <w:r>
        <w:rPr>
          <w:rFonts w:hint="eastAsia" w:ascii="宋体" w:hAnsi="宋体"/>
          <w:sz w:val="21"/>
          <w:szCs w:val="21"/>
        </w:rPr>
        <w:t>：</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ind w:left="0" w:right="0" w:firstLine="420" w:firstLineChars="200"/>
        <w:textAlignment w:val="auto"/>
        <w:rPr>
          <w:rFonts w:ascii="宋体" w:hAnsi="宋体"/>
          <w:sz w:val="21"/>
          <w:szCs w:val="21"/>
        </w:rPr>
      </w:pPr>
      <w:r>
        <w:rPr>
          <w:rFonts w:hint="eastAsia" w:ascii="宋体" w:hAnsi="宋体"/>
          <w:sz w:val="21"/>
          <w:szCs w:val="21"/>
        </w:rPr>
        <w:t>兹证明（单位）</w:t>
      </w:r>
      <w:r>
        <w:rPr>
          <w:rFonts w:ascii="宋体" w:hAnsi="宋体"/>
          <w:sz w:val="21"/>
          <w:szCs w:val="21"/>
          <w:u w:val="single"/>
        </w:rPr>
        <w:t xml:space="preserve">          　　    </w:t>
      </w:r>
      <w:r>
        <w:rPr>
          <w:rFonts w:ascii="宋体" w:hAnsi="宋体"/>
          <w:sz w:val="21"/>
          <w:szCs w:val="21"/>
        </w:rPr>
        <w:t xml:space="preserve"> 在</w:t>
      </w:r>
      <w:r>
        <w:rPr>
          <w:rFonts w:hint="eastAsia" w:ascii="宋体" w:hAnsi="宋体"/>
          <w:sz w:val="21"/>
          <w:szCs w:val="21"/>
        </w:rPr>
        <w:t>贵公司</w:t>
      </w:r>
      <w:r>
        <w:rPr>
          <w:rFonts w:hint="eastAsia" w:ascii="宋体" w:hAnsi="宋体"/>
          <w:sz w:val="21"/>
          <w:szCs w:val="21"/>
          <w:u w:val="single"/>
        </w:rPr>
        <w:t>　　</w:t>
      </w:r>
      <w:r>
        <w:rPr>
          <w:rFonts w:hint="eastAsia" w:ascii="宋体" w:hAnsi="宋体"/>
          <w:sz w:val="21"/>
          <w:szCs w:val="21"/>
        </w:rPr>
        <w:t>采购项目（项目编号：）中，向贵方交付的以下货物为我公司生产（提供）：</w:t>
      </w:r>
    </w:p>
    <w:tbl>
      <w:tblPr>
        <w:tblStyle w:val="29"/>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96"/>
        <w:gridCol w:w="1284"/>
        <w:gridCol w:w="1516"/>
        <w:gridCol w:w="1723"/>
        <w:gridCol w:w="870"/>
        <w:gridCol w:w="837"/>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keepNext w:val="0"/>
              <w:keepLines w:val="0"/>
              <w:pageBreakBefore w:val="0"/>
              <w:widowControl/>
              <w:kinsoku/>
              <w:wordWrap/>
              <w:overflowPunct/>
              <w:topLinePunct w:val="0"/>
              <w:autoSpaceDE/>
              <w:autoSpaceDN/>
              <w:bidi w:val="0"/>
              <w:adjustRightInd/>
              <w:snapToGrid/>
              <w:spacing w:before="0" w:line="240" w:lineRule="atLeast"/>
              <w:ind w:left="0" w:right="-28" w:firstLine="0"/>
              <w:jc w:val="center"/>
              <w:textAlignment w:val="auto"/>
              <w:rPr>
                <w:rFonts w:ascii="宋体" w:hAnsi="宋体"/>
                <w:sz w:val="21"/>
                <w:szCs w:val="21"/>
              </w:rPr>
            </w:pPr>
            <w:r>
              <w:rPr>
                <w:rFonts w:hint="eastAsia" w:ascii="宋体" w:hAnsi="宋体"/>
                <w:sz w:val="21"/>
                <w:szCs w:val="21"/>
              </w:rPr>
              <w:t>序号</w:t>
            </w:r>
          </w:p>
        </w:tc>
        <w:tc>
          <w:tcPr>
            <w:tcW w:w="996" w:type="dxa"/>
            <w:vAlign w:val="center"/>
          </w:tcPr>
          <w:p>
            <w:pPr>
              <w:keepNext w:val="0"/>
              <w:keepLines w:val="0"/>
              <w:pageBreakBefore w:val="0"/>
              <w:widowControl/>
              <w:kinsoku/>
              <w:wordWrap/>
              <w:overflowPunct/>
              <w:topLinePunct w:val="0"/>
              <w:autoSpaceDE/>
              <w:autoSpaceDN/>
              <w:bidi w:val="0"/>
              <w:adjustRightInd/>
              <w:snapToGrid/>
              <w:spacing w:before="0" w:line="240" w:lineRule="atLeast"/>
              <w:ind w:left="0" w:right="-28" w:firstLine="0"/>
              <w:jc w:val="center"/>
              <w:textAlignment w:val="auto"/>
              <w:rPr>
                <w:rFonts w:ascii="宋体" w:hAnsi="宋体"/>
                <w:sz w:val="21"/>
                <w:szCs w:val="21"/>
              </w:rPr>
            </w:pPr>
            <w:r>
              <w:rPr>
                <w:rFonts w:hint="eastAsia" w:ascii="宋体" w:hAnsi="宋体"/>
                <w:sz w:val="21"/>
                <w:szCs w:val="21"/>
              </w:rPr>
              <w:t>计划</w:t>
            </w:r>
          </w:p>
        </w:tc>
        <w:tc>
          <w:tcPr>
            <w:tcW w:w="1284" w:type="dxa"/>
            <w:vAlign w:val="center"/>
          </w:tcPr>
          <w:p>
            <w:pPr>
              <w:keepNext w:val="0"/>
              <w:keepLines w:val="0"/>
              <w:pageBreakBefore w:val="0"/>
              <w:widowControl/>
              <w:kinsoku/>
              <w:wordWrap/>
              <w:overflowPunct/>
              <w:topLinePunct w:val="0"/>
              <w:autoSpaceDE/>
              <w:autoSpaceDN/>
              <w:bidi w:val="0"/>
              <w:adjustRightInd/>
              <w:snapToGrid/>
              <w:spacing w:before="0" w:line="240" w:lineRule="atLeast"/>
              <w:ind w:left="0" w:right="-28" w:firstLine="0"/>
              <w:jc w:val="center"/>
              <w:textAlignment w:val="auto"/>
              <w:rPr>
                <w:rFonts w:ascii="宋体" w:hAnsi="宋体"/>
                <w:sz w:val="21"/>
                <w:szCs w:val="21"/>
              </w:rPr>
            </w:pPr>
            <w:r>
              <w:rPr>
                <w:rFonts w:hint="eastAsia" w:ascii="宋体" w:hAnsi="宋体"/>
                <w:sz w:val="21"/>
                <w:szCs w:val="21"/>
              </w:rPr>
              <w:t>货物名称</w:t>
            </w:r>
          </w:p>
        </w:tc>
        <w:tc>
          <w:tcPr>
            <w:tcW w:w="1516" w:type="dxa"/>
            <w:vAlign w:val="center"/>
          </w:tcPr>
          <w:p>
            <w:pPr>
              <w:keepNext w:val="0"/>
              <w:keepLines w:val="0"/>
              <w:pageBreakBefore w:val="0"/>
              <w:widowControl/>
              <w:kinsoku/>
              <w:wordWrap/>
              <w:overflowPunct/>
              <w:topLinePunct w:val="0"/>
              <w:autoSpaceDE/>
              <w:autoSpaceDN/>
              <w:bidi w:val="0"/>
              <w:adjustRightInd/>
              <w:snapToGrid/>
              <w:spacing w:before="0" w:line="240" w:lineRule="atLeast"/>
              <w:ind w:left="0" w:right="-28" w:firstLine="0"/>
              <w:jc w:val="center"/>
              <w:textAlignment w:val="auto"/>
              <w:rPr>
                <w:rFonts w:ascii="宋体" w:hAnsi="宋体"/>
                <w:sz w:val="21"/>
                <w:szCs w:val="21"/>
              </w:rPr>
            </w:pPr>
            <w:r>
              <w:rPr>
                <w:rFonts w:hint="eastAsia" w:ascii="宋体" w:hAnsi="宋体"/>
                <w:sz w:val="21"/>
                <w:szCs w:val="21"/>
              </w:rPr>
              <w:t>品牌</w:t>
            </w:r>
            <w:r>
              <w:rPr>
                <w:rFonts w:ascii="宋体" w:hAnsi="宋体"/>
                <w:sz w:val="21"/>
                <w:szCs w:val="21"/>
              </w:rPr>
              <w:t>/</w:t>
            </w:r>
            <w:r>
              <w:rPr>
                <w:rFonts w:hint="eastAsia" w:ascii="宋体" w:hAnsi="宋体"/>
                <w:sz w:val="21"/>
                <w:szCs w:val="21"/>
              </w:rPr>
              <w:t>生产厂</w:t>
            </w:r>
          </w:p>
        </w:tc>
        <w:tc>
          <w:tcPr>
            <w:tcW w:w="1723" w:type="dxa"/>
            <w:vAlign w:val="center"/>
          </w:tcPr>
          <w:p>
            <w:pPr>
              <w:keepNext w:val="0"/>
              <w:keepLines w:val="0"/>
              <w:pageBreakBefore w:val="0"/>
              <w:widowControl/>
              <w:kinsoku/>
              <w:wordWrap/>
              <w:overflowPunct/>
              <w:topLinePunct w:val="0"/>
              <w:autoSpaceDE/>
              <w:autoSpaceDN/>
              <w:bidi w:val="0"/>
              <w:adjustRightInd/>
              <w:snapToGrid/>
              <w:spacing w:before="0" w:line="240" w:lineRule="atLeast"/>
              <w:ind w:left="0" w:right="-28" w:firstLine="0"/>
              <w:jc w:val="center"/>
              <w:textAlignment w:val="auto"/>
              <w:rPr>
                <w:rFonts w:ascii="宋体" w:hAnsi="宋体"/>
                <w:sz w:val="21"/>
                <w:szCs w:val="21"/>
              </w:rPr>
            </w:pPr>
            <w:r>
              <w:rPr>
                <w:rFonts w:hint="eastAsia" w:ascii="宋体" w:hAnsi="宋体"/>
                <w:sz w:val="21"/>
                <w:szCs w:val="21"/>
              </w:rPr>
              <w:t>规格型号</w:t>
            </w:r>
            <w:r>
              <w:rPr>
                <w:rFonts w:ascii="宋体" w:hAnsi="宋体"/>
                <w:sz w:val="21"/>
                <w:szCs w:val="21"/>
              </w:rPr>
              <w:t>/</w:t>
            </w:r>
            <w:r>
              <w:rPr>
                <w:rFonts w:hint="eastAsia" w:ascii="宋体" w:hAnsi="宋体"/>
                <w:sz w:val="21"/>
                <w:szCs w:val="21"/>
              </w:rPr>
              <w:t>技术参数</w:t>
            </w:r>
          </w:p>
        </w:tc>
        <w:tc>
          <w:tcPr>
            <w:tcW w:w="870" w:type="dxa"/>
            <w:vAlign w:val="center"/>
          </w:tcPr>
          <w:p>
            <w:pPr>
              <w:keepNext w:val="0"/>
              <w:keepLines w:val="0"/>
              <w:pageBreakBefore w:val="0"/>
              <w:widowControl/>
              <w:kinsoku/>
              <w:wordWrap/>
              <w:overflowPunct/>
              <w:topLinePunct w:val="0"/>
              <w:autoSpaceDE/>
              <w:autoSpaceDN/>
              <w:bidi w:val="0"/>
              <w:adjustRightInd/>
              <w:snapToGrid/>
              <w:spacing w:before="0" w:line="240" w:lineRule="atLeast"/>
              <w:ind w:left="0" w:right="-28" w:firstLine="0"/>
              <w:jc w:val="center"/>
              <w:textAlignment w:val="auto"/>
              <w:rPr>
                <w:rFonts w:ascii="宋体" w:hAnsi="宋体"/>
                <w:sz w:val="21"/>
                <w:szCs w:val="21"/>
              </w:rPr>
            </w:pPr>
            <w:r>
              <w:rPr>
                <w:rFonts w:hint="eastAsia" w:ascii="宋体" w:hAnsi="宋体"/>
                <w:sz w:val="21"/>
                <w:szCs w:val="21"/>
              </w:rPr>
              <w:t>单位</w:t>
            </w:r>
          </w:p>
        </w:tc>
        <w:tc>
          <w:tcPr>
            <w:tcW w:w="837" w:type="dxa"/>
            <w:vAlign w:val="center"/>
          </w:tcPr>
          <w:p>
            <w:pPr>
              <w:keepNext w:val="0"/>
              <w:keepLines w:val="0"/>
              <w:pageBreakBefore w:val="0"/>
              <w:widowControl/>
              <w:kinsoku/>
              <w:wordWrap/>
              <w:overflowPunct/>
              <w:topLinePunct w:val="0"/>
              <w:autoSpaceDE/>
              <w:autoSpaceDN/>
              <w:bidi w:val="0"/>
              <w:adjustRightInd/>
              <w:snapToGrid/>
              <w:spacing w:before="0" w:line="240" w:lineRule="atLeast"/>
              <w:ind w:left="0" w:right="-28" w:firstLine="0"/>
              <w:jc w:val="center"/>
              <w:textAlignment w:val="auto"/>
              <w:rPr>
                <w:rFonts w:ascii="宋体" w:hAnsi="宋体"/>
                <w:sz w:val="21"/>
                <w:szCs w:val="21"/>
              </w:rPr>
            </w:pPr>
            <w:r>
              <w:rPr>
                <w:rFonts w:hint="eastAsia" w:ascii="宋体" w:hAnsi="宋体"/>
                <w:sz w:val="21"/>
                <w:szCs w:val="21"/>
              </w:rPr>
              <w:t>数量</w:t>
            </w:r>
          </w:p>
        </w:tc>
        <w:tc>
          <w:tcPr>
            <w:tcW w:w="828" w:type="dxa"/>
            <w:vAlign w:val="center"/>
          </w:tcPr>
          <w:p>
            <w:pPr>
              <w:keepNext w:val="0"/>
              <w:keepLines w:val="0"/>
              <w:pageBreakBefore w:val="0"/>
              <w:widowControl/>
              <w:kinsoku/>
              <w:wordWrap/>
              <w:overflowPunct/>
              <w:topLinePunct w:val="0"/>
              <w:autoSpaceDE/>
              <w:autoSpaceDN/>
              <w:bidi w:val="0"/>
              <w:adjustRightInd/>
              <w:snapToGrid/>
              <w:spacing w:before="0" w:line="240" w:lineRule="atLeast"/>
              <w:ind w:left="0" w:right="-28" w:firstLine="0"/>
              <w:jc w:val="center"/>
              <w:textAlignment w:val="auto"/>
              <w:rPr>
                <w:rFonts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pStyle w:val="12"/>
              <w:rPr>
                <w:sz w:val="21"/>
                <w:szCs w:val="21"/>
              </w:rPr>
            </w:pPr>
          </w:p>
        </w:tc>
        <w:tc>
          <w:tcPr>
            <w:tcW w:w="996" w:type="dxa"/>
            <w:vAlign w:val="center"/>
          </w:tcPr>
          <w:p>
            <w:pPr>
              <w:pStyle w:val="12"/>
              <w:rPr>
                <w:sz w:val="21"/>
                <w:szCs w:val="21"/>
              </w:rPr>
            </w:pPr>
          </w:p>
        </w:tc>
        <w:tc>
          <w:tcPr>
            <w:tcW w:w="1284" w:type="dxa"/>
            <w:vAlign w:val="center"/>
          </w:tcPr>
          <w:p>
            <w:pPr>
              <w:pStyle w:val="12"/>
              <w:rPr>
                <w:sz w:val="21"/>
                <w:szCs w:val="21"/>
              </w:rPr>
            </w:pPr>
          </w:p>
        </w:tc>
        <w:tc>
          <w:tcPr>
            <w:tcW w:w="1516" w:type="dxa"/>
            <w:vAlign w:val="center"/>
          </w:tcPr>
          <w:p>
            <w:pPr>
              <w:pStyle w:val="12"/>
              <w:rPr>
                <w:sz w:val="21"/>
                <w:szCs w:val="21"/>
              </w:rPr>
            </w:pPr>
          </w:p>
        </w:tc>
        <w:tc>
          <w:tcPr>
            <w:tcW w:w="1723" w:type="dxa"/>
            <w:vAlign w:val="center"/>
          </w:tcPr>
          <w:p>
            <w:pPr>
              <w:pStyle w:val="12"/>
              <w:rPr>
                <w:sz w:val="21"/>
                <w:szCs w:val="21"/>
              </w:rPr>
            </w:pPr>
          </w:p>
        </w:tc>
        <w:tc>
          <w:tcPr>
            <w:tcW w:w="870" w:type="dxa"/>
            <w:vAlign w:val="center"/>
          </w:tcPr>
          <w:p>
            <w:pPr>
              <w:pStyle w:val="12"/>
              <w:rPr>
                <w:sz w:val="21"/>
                <w:szCs w:val="21"/>
              </w:rPr>
            </w:pPr>
          </w:p>
        </w:tc>
        <w:tc>
          <w:tcPr>
            <w:tcW w:w="837" w:type="dxa"/>
            <w:vAlign w:val="center"/>
          </w:tcPr>
          <w:p>
            <w:pPr>
              <w:pStyle w:val="12"/>
              <w:rPr>
                <w:sz w:val="21"/>
                <w:szCs w:val="21"/>
              </w:rPr>
            </w:pPr>
          </w:p>
        </w:tc>
        <w:tc>
          <w:tcPr>
            <w:tcW w:w="828" w:type="dxa"/>
            <w:vAlign w:val="center"/>
          </w:tcPr>
          <w:p>
            <w:pPr>
              <w:pStyle w:val="12"/>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pStyle w:val="12"/>
              <w:rPr>
                <w:sz w:val="21"/>
                <w:szCs w:val="21"/>
              </w:rPr>
            </w:pPr>
          </w:p>
        </w:tc>
        <w:tc>
          <w:tcPr>
            <w:tcW w:w="996" w:type="dxa"/>
            <w:vAlign w:val="center"/>
          </w:tcPr>
          <w:p>
            <w:pPr>
              <w:pStyle w:val="12"/>
              <w:rPr>
                <w:sz w:val="21"/>
                <w:szCs w:val="21"/>
              </w:rPr>
            </w:pPr>
          </w:p>
        </w:tc>
        <w:tc>
          <w:tcPr>
            <w:tcW w:w="1284" w:type="dxa"/>
            <w:vAlign w:val="center"/>
          </w:tcPr>
          <w:p>
            <w:pPr>
              <w:pStyle w:val="12"/>
              <w:rPr>
                <w:sz w:val="21"/>
                <w:szCs w:val="21"/>
              </w:rPr>
            </w:pPr>
          </w:p>
        </w:tc>
        <w:tc>
          <w:tcPr>
            <w:tcW w:w="1516" w:type="dxa"/>
            <w:vAlign w:val="center"/>
          </w:tcPr>
          <w:p>
            <w:pPr>
              <w:pStyle w:val="12"/>
              <w:rPr>
                <w:sz w:val="21"/>
                <w:szCs w:val="21"/>
              </w:rPr>
            </w:pPr>
          </w:p>
        </w:tc>
        <w:tc>
          <w:tcPr>
            <w:tcW w:w="1723" w:type="dxa"/>
            <w:vAlign w:val="center"/>
          </w:tcPr>
          <w:p>
            <w:pPr>
              <w:pStyle w:val="12"/>
              <w:rPr>
                <w:sz w:val="21"/>
                <w:szCs w:val="21"/>
              </w:rPr>
            </w:pPr>
          </w:p>
        </w:tc>
        <w:tc>
          <w:tcPr>
            <w:tcW w:w="870" w:type="dxa"/>
            <w:vAlign w:val="center"/>
          </w:tcPr>
          <w:p>
            <w:pPr>
              <w:pStyle w:val="12"/>
              <w:rPr>
                <w:sz w:val="21"/>
                <w:szCs w:val="21"/>
              </w:rPr>
            </w:pPr>
          </w:p>
        </w:tc>
        <w:tc>
          <w:tcPr>
            <w:tcW w:w="837" w:type="dxa"/>
            <w:vAlign w:val="center"/>
          </w:tcPr>
          <w:p>
            <w:pPr>
              <w:pStyle w:val="12"/>
              <w:rPr>
                <w:sz w:val="21"/>
                <w:szCs w:val="21"/>
              </w:rPr>
            </w:pPr>
          </w:p>
        </w:tc>
        <w:tc>
          <w:tcPr>
            <w:tcW w:w="828" w:type="dxa"/>
            <w:vAlign w:val="center"/>
          </w:tcPr>
          <w:p>
            <w:pPr>
              <w:pStyle w:val="12"/>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pStyle w:val="12"/>
              <w:rPr>
                <w:sz w:val="21"/>
                <w:szCs w:val="21"/>
              </w:rPr>
            </w:pPr>
          </w:p>
        </w:tc>
        <w:tc>
          <w:tcPr>
            <w:tcW w:w="996" w:type="dxa"/>
            <w:vAlign w:val="center"/>
          </w:tcPr>
          <w:p>
            <w:pPr>
              <w:pStyle w:val="12"/>
              <w:rPr>
                <w:sz w:val="21"/>
                <w:szCs w:val="21"/>
              </w:rPr>
            </w:pPr>
          </w:p>
        </w:tc>
        <w:tc>
          <w:tcPr>
            <w:tcW w:w="1284" w:type="dxa"/>
            <w:vAlign w:val="center"/>
          </w:tcPr>
          <w:p>
            <w:pPr>
              <w:pStyle w:val="12"/>
              <w:rPr>
                <w:sz w:val="21"/>
                <w:szCs w:val="21"/>
              </w:rPr>
            </w:pPr>
          </w:p>
        </w:tc>
        <w:tc>
          <w:tcPr>
            <w:tcW w:w="1516" w:type="dxa"/>
            <w:vAlign w:val="center"/>
          </w:tcPr>
          <w:p>
            <w:pPr>
              <w:pStyle w:val="12"/>
              <w:rPr>
                <w:sz w:val="21"/>
                <w:szCs w:val="21"/>
              </w:rPr>
            </w:pPr>
          </w:p>
        </w:tc>
        <w:tc>
          <w:tcPr>
            <w:tcW w:w="1723" w:type="dxa"/>
            <w:vAlign w:val="center"/>
          </w:tcPr>
          <w:p>
            <w:pPr>
              <w:pStyle w:val="12"/>
              <w:rPr>
                <w:sz w:val="21"/>
                <w:szCs w:val="21"/>
              </w:rPr>
            </w:pPr>
          </w:p>
        </w:tc>
        <w:tc>
          <w:tcPr>
            <w:tcW w:w="870" w:type="dxa"/>
            <w:vAlign w:val="center"/>
          </w:tcPr>
          <w:p>
            <w:pPr>
              <w:pStyle w:val="12"/>
              <w:rPr>
                <w:sz w:val="21"/>
                <w:szCs w:val="21"/>
              </w:rPr>
            </w:pPr>
          </w:p>
        </w:tc>
        <w:tc>
          <w:tcPr>
            <w:tcW w:w="837" w:type="dxa"/>
            <w:vAlign w:val="center"/>
          </w:tcPr>
          <w:p>
            <w:pPr>
              <w:pStyle w:val="12"/>
              <w:rPr>
                <w:sz w:val="21"/>
                <w:szCs w:val="21"/>
              </w:rPr>
            </w:pPr>
          </w:p>
        </w:tc>
        <w:tc>
          <w:tcPr>
            <w:tcW w:w="828" w:type="dxa"/>
            <w:vAlign w:val="center"/>
          </w:tcPr>
          <w:p>
            <w:pPr>
              <w:pStyle w:val="12"/>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pStyle w:val="12"/>
              <w:rPr>
                <w:sz w:val="21"/>
                <w:szCs w:val="21"/>
              </w:rPr>
            </w:pPr>
          </w:p>
        </w:tc>
        <w:tc>
          <w:tcPr>
            <w:tcW w:w="996" w:type="dxa"/>
            <w:vAlign w:val="center"/>
          </w:tcPr>
          <w:p>
            <w:pPr>
              <w:pStyle w:val="12"/>
              <w:rPr>
                <w:sz w:val="21"/>
                <w:szCs w:val="21"/>
              </w:rPr>
            </w:pPr>
          </w:p>
        </w:tc>
        <w:tc>
          <w:tcPr>
            <w:tcW w:w="1284" w:type="dxa"/>
            <w:vAlign w:val="center"/>
          </w:tcPr>
          <w:p>
            <w:pPr>
              <w:pStyle w:val="12"/>
              <w:rPr>
                <w:sz w:val="21"/>
                <w:szCs w:val="21"/>
              </w:rPr>
            </w:pPr>
          </w:p>
        </w:tc>
        <w:tc>
          <w:tcPr>
            <w:tcW w:w="1516" w:type="dxa"/>
            <w:vAlign w:val="center"/>
          </w:tcPr>
          <w:p>
            <w:pPr>
              <w:pStyle w:val="12"/>
              <w:rPr>
                <w:sz w:val="21"/>
                <w:szCs w:val="21"/>
              </w:rPr>
            </w:pPr>
          </w:p>
        </w:tc>
        <w:tc>
          <w:tcPr>
            <w:tcW w:w="1723" w:type="dxa"/>
            <w:vAlign w:val="center"/>
          </w:tcPr>
          <w:p>
            <w:pPr>
              <w:pStyle w:val="12"/>
              <w:rPr>
                <w:sz w:val="21"/>
                <w:szCs w:val="21"/>
              </w:rPr>
            </w:pPr>
          </w:p>
        </w:tc>
        <w:tc>
          <w:tcPr>
            <w:tcW w:w="870" w:type="dxa"/>
            <w:vAlign w:val="center"/>
          </w:tcPr>
          <w:p>
            <w:pPr>
              <w:pStyle w:val="12"/>
              <w:rPr>
                <w:sz w:val="21"/>
                <w:szCs w:val="21"/>
              </w:rPr>
            </w:pPr>
          </w:p>
        </w:tc>
        <w:tc>
          <w:tcPr>
            <w:tcW w:w="837" w:type="dxa"/>
            <w:vAlign w:val="center"/>
          </w:tcPr>
          <w:p>
            <w:pPr>
              <w:pStyle w:val="12"/>
              <w:rPr>
                <w:sz w:val="21"/>
                <w:szCs w:val="21"/>
              </w:rPr>
            </w:pPr>
          </w:p>
        </w:tc>
        <w:tc>
          <w:tcPr>
            <w:tcW w:w="828" w:type="dxa"/>
            <w:vAlign w:val="center"/>
          </w:tcPr>
          <w:p>
            <w:pPr>
              <w:pStyle w:val="12"/>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pStyle w:val="12"/>
              <w:rPr>
                <w:sz w:val="21"/>
                <w:szCs w:val="21"/>
              </w:rPr>
            </w:pPr>
          </w:p>
        </w:tc>
        <w:tc>
          <w:tcPr>
            <w:tcW w:w="996" w:type="dxa"/>
            <w:vAlign w:val="center"/>
          </w:tcPr>
          <w:p>
            <w:pPr>
              <w:pStyle w:val="12"/>
              <w:rPr>
                <w:sz w:val="21"/>
                <w:szCs w:val="21"/>
              </w:rPr>
            </w:pPr>
          </w:p>
        </w:tc>
        <w:tc>
          <w:tcPr>
            <w:tcW w:w="1284" w:type="dxa"/>
            <w:vAlign w:val="center"/>
          </w:tcPr>
          <w:p>
            <w:pPr>
              <w:pStyle w:val="12"/>
              <w:rPr>
                <w:sz w:val="21"/>
                <w:szCs w:val="21"/>
              </w:rPr>
            </w:pPr>
          </w:p>
        </w:tc>
        <w:tc>
          <w:tcPr>
            <w:tcW w:w="1516" w:type="dxa"/>
            <w:vAlign w:val="center"/>
          </w:tcPr>
          <w:p>
            <w:pPr>
              <w:pStyle w:val="12"/>
              <w:rPr>
                <w:sz w:val="21"/>
                <w:szCs w:val="21"/>
              </w:rPr>
            </w:pPr>
          </w:p>
        </w:tc>
        <w:tc>
          <w:tcPr>
            <w:tcW w:w="1723" w:type="dxa"/>
            <w:vAlign w:val="center"/>
          </w:tcPr>
          <w:p>
            <w:pPr>
              <w:pStyle w:val="12"/>
              <w:rPr>
                <w:sz w:val="21"/>
                <w:szCs w:val="21"/>
              </w:rPr>
            </w:pPr>
          </w:p>
        </w:tc>
        <w:tc>
          <w:tcPr>
            <w:tcW w:w="870" w:type="dxa"/>
            <w:vAlign w:val="center"/>
          </w:tcPr>
          <w:p>
            <w:pPr>
              <w:pStyle w:val="12"/>
              <w:rPr>
                <w:sz w:val="21"/>
                <w:szCs w:val="21"/>
              </w:rPr>
            </w:pPr>
          </w:p>
        </w:tc>
        <w:tc>
          <w:tcPr>
            <w:tcW w:w="837" w:type="dxa"/>
            <w:vAlign w:val="center"/>
          </w:tcPr>
          <w:p>
            <w:pPr>
              <w:pStyle w:val="12"/>
              <w:rPr>
                <w:sz w:val="21"/>
                <w:szCs w:val="21"/>
              </w:rPr>
            </w:pPr>
          </w:p>
        </w:tc>
        <w:tc>
          <w:tcPr>
            <w:tcW w:w="828" w:type="dxa"/>
            <w:vAlign w:val="center"/>
          </w:tcPr>
          <w:p>
            <w:pPr>
              <w:pStyle w:val="12"/>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pStyle w:val="12"/>
              <w:rPr>
                <w:sz w:val="21"/>
                <w:szCs w:val="21"/>
              </w:rPr>
            </w:pPr>
          </w:p>
        </w:tc>
        <w:tc>
          <w:tcPr>
            <w:tcW w:w="996" w:type="dxa"/>
            <w:vAlign w:val="center"/>
          </w:tcPr>
          <w:p>
            <w:pPr>
              <w:pStyle w:val="12"/>
              <w:rPr>
                <w:sz w:val="21"/>
                <w:szCs w:val="21"/>
              </w:rPr>
            </w:pPr>
          </w:p>
        </w:tc>
        <w:tc>
          <w:tcPr>
            <w:tcW w:w="1284" w:type="dxa"/>
            <w:vAlign w:val="center"/>
          </w:tcPr>
          <w:p>
            <w:pPr>
              <w:pStyle w:val="12"/>
              <w:rPr>
                <w:sz w:val="21"/>
                <w:szCs w:val="21"/>
              </w:rPr>
            </w:pPr>
          </w:p>
        </w:tc>
        <w:tc>
          <w:tcPr>
            <w:tcW w:w="1516" w:type="dxa"/>
            <w:vAlign w:val="center"/>
          </w:tcPr>
          <w:p>
            <w:pPr>
              <w:pStyle w:val="12"/>
              <w:rPr>
                <w:sz w:val="21"/>
                <w:szCs w:val="21"/>
              </w:rPr>
            </w:pPr>
          </w:p>
        </w:tc>
        <w:tc>
          <w:tcPr>
            <w:tcW w:w="1723" w:type="dxa"/>
            <w:vAlign w:val="center"/>
          </w:tcPr>
          <w:p>
            <w:pPr>
              <w:pStyle w:val="12"/>
              <w:rPr>
                <w:sz w:val="21"/>
                <w:szCs w:val="21"/>
              </w:rPr>
            </w:pPr>
          </w:p>
        </w:tc>
        <w:tc>
          <w:tcPr>
            <w:tcW w:w="870" w:type="dxa"/>
            <w:vAlign w:val="center"/>
          </w:tcPr>
          <w:p>
            <w:pPr>
              <w:pStyle w:val="12"/>
              <w:rPr>
                <w:sz w:val="21"/>
                <w:szCs w:val="21"/>
              </w:rPr>
            </w:pPr>
          </w:p>
        </w:tc>
        <w:tc>
          <w:tcPr>
            <w:tcW w:w="837" w:type="dxa"/>
            <w:vAlign w:val="center"/>
          </w:tcPr>
          <w:p>
            <w:pPr>
              <w:pStyle w:val="12"/>
              <w:rPr>
                <w:sz w:val="21"/>
                <w:szCs w:val="21"/>
              </w:rPr>
            </w:pPr>
          </w:p>
        </w:tc>
        <w:tc>
          <w:tcPr>
            <w:tcW w:w="828" w:type="dxa"/>
            <w:vAlign w:val="center"/>
          </w:tcPr>
          <w:p>
            <w:pPr>
              <w:pStyle w:val="12"/>
              <w:rPr>
                <w:sz w:val="21"/>
                <w:szCs w:val="21"/>
              </w:rPr>
            </w:pPr>
          </w:p>
        </w:tc>
      </w:tr>
    </w:tbl>
    <w:p>
      <w:pPr>
        <w:pStyle w:val="12"/>
        <w:spacing w:line="240" w:lineRule="auto"/>
        <w:ind w:left="708" w:leftChars="200" w:right="-28" w:hanging="288" w:hangingChars="144"/>
        <w:rPr>
          <w:rFonts w:hAnsi="宋体"/>
        </w:rPr>
      </w:pPr>
    </w:p>
    <w:p>
      <w:pPr>
        <w:pStyle w:val="12"/>
        <w:keepNext w:val="0"/>
        <w:keepLines w:val="0"/>
        <w:pageBreakBefore w:val="0"/>
        <w:widowControl/>
        <w:kinsoku/>
        <w:wordWrap/>
        <w:overflowPunct/>
        <w:topLinePunct w:val="0"/>
        <w:autoSpaceDE/>
        <w:autoSpaceDN/>
        <w:bidi w:val="0"/>
        <w:adjustRightInd/>
        <w:snapToGrid/>
        <w:spacing w:line="240" w:lineRule="auto"/>
        <w:ind w:left="420" w:leftChars="200" w:right="-28" w:firstLine="420" w:firstLineChars="200"/>
        <w:textAlignment w:val="auto"/>
        <w:rPr>
          <w:rFonts w:hAnsi="宋体" w:cs="Times New Roman"/>
          <w:sz w:val="21"/>
          <w:szCs w:val="21"/>
        </w:rPr>
      </w:pPr>
      <w:r>
        <w:rPr>
          <w:rFonts w:hint="eastAsia" w:hAnsi="宋体" w:cs="Times New Roman"/>
          <w:sz w:val="21"/>
          <w:szCs w:val="21"/>
        </w:rPr>
        <w:t xml:space="preserve">单位：（公章）                       </w:t>
      </w:r>
    </w:p>
    <w:p>
      <w:pPr>
        <w:pStyle w:val="12"/>
        <w:keepNext w:val="0"/>
        <w:keepLines w:val="0"/>
        <w:pageBreakBefore w:val="0"/>
        <w:widowControl/>
        <w:kinsoku/>
        <w:wordWrap/>
        <w:overflowPunct/>
        <w:topLinePunct w:val="0"/>
        <w:autoSpaceDE/>
        <w:autoSpaceDN/>
        <w:bidi w:val="0"/>
        <w:adjustRightInd/>
        <w:snapToGrid/>
        <w:spacing w:line="240" w:lineRule="auto"/>
        <w:ind w:left="420" w:leftChars="200" w:right="-28" w:firstLine="420" w:firstLineChars="200"/>
        <w:textAlignment w:val="auto"/>
        <w:rPr>
          <w:rFonts w:hAnsi="宋体" w:cs="Times New Roman"/>
          <w:sz w:val="21"/>
          <w:szCs w:val="21"/>
        </w:rPr>
      </w:pPr>
      <w:r>
        <w:rPr>
          <w:rFonts w:hint="eastAsia" w:hAnsi="宋体" w:cs="Times New Roman"/>
          <w:sz w:val="21"/>
          <w:szCs w:val="21"/>
        </w:rPr>
        <w:t>地址：</w:t>
      </w:r>
    </w:p>
    <w:p>
      <w:pPr>
        <w:pStyle w:val="12"/>
        <w:keepNext w:val="0"/>
        <w:keepLines w:val="0"/>
        <w:pageBreakBefore w:val="0"/>
        <w:widowControl/>
        <w:kinsoku/>
        <w:wordWrap/>
        <w:overflowPunct/>
        <w:topLinePunct w:val="0"/>
        <w:autoSpaceDE/>
        <w:autoSpaceDN/>
        <w:bidi w:val="0"/>
        <w:adjustRightInd/>
        <w:snapToGrid/>
        <w:spacing w:line="240" w:lineRule="auto"/>
        <w:ind w:left="420" w:leftChars="200" w:right="-28" w:firstLine="420" w:firstLineChars="200"/>
        <w:textAlignment w:val="auto"/>
        <w:rPr>
          <w:rFonts w:hAnsi="宋体" w:cs="Times New Roman"/>
          <w:sz w:val="21"/>
          <w:szCs w:val="21"/>
        </w:rPr>
      </w:pPr>
      <w:r>
        <w:rPr>
          <w:rFonts w:hint="eastAsia" w:hAnsi="宋体" w:cs="Times New Roman"/>
          <w:sz w:val="21"/>
          <w:szCs w:val="21"/>
        </w:rPr>
        <w:t>联系人：                部门及职务：</w:t>
      </w:r>
    </w:p>
    <w:p>
      <w:pPr>
        <w:keepNext w:val="0"/>
        <w:keepLines w:val="0"/>
        <w:pageBreakBefore w:val="0"/>
        <w:widowControl/>
        <w:kinsoku/>
        <w:wordWrap/>
        <w:overflowPunct/>
        <w:topLinePunct w:val="0"/>
        <w:autoSpaceDE/>
        <w:autoSpaceDN/>
        <w:bidi w:val="0"/>
        <w:adjustRightInd/>
        <w:snapToGrid/>
        <w:spacing w:line="240" w:lineRule="auto"/>
        <w:ind w:left="420" w:leftChars="200" w:right="-28" w:firstLine="420" w:firstLineChars="200"/>
        <w:textAlignment w:val="auto"/>
        <w:rPr>
          <w:rFonts w:ascii="宋体" w:hAnsi="宋体"/>
        </w:rPr>
      </w:pPr>
      <w:r>
        <w:rPr>
          <w:rFonts w:hint="eastAsia" w:ascii="宋体" w:hAnsi="宋体"/>
        </w:rPr>
        <w:t xml:space="preserve">联系方式:              </w:t>
      </w:r>
      <w:r>
        <w:rPr>
          <w:rFonts w:hint="eastAsia" w:ascii="宋体" w:hAnsi="宋体"/>
          <w:lang w:val="en-US" w:eastAsia="zh-CN"/>
        </w:rPr>
        <w:t xml:space="preserve"> </w:t>
      </w:r>
      <w:r>
        <w:rPr>
          <w:rFonts w:hint="eastAsia" w:ascii="宋体" w:hAnsi="宋体"/>
        </w:rPr>
        <w:t>日期：</w:t>
      </w:r>
    </w:p>
    <w:p>
      <w:pPr>
        <w:pStyle w:val="12"/>
        <w:spacing w:line="240" w:lineRule="auto"/>
        <w:ind w:left="708" w:leftChars="200" w:right="-28" w:hanging="288" w:hangingChars="144"/>
        <w:rPr>
          <w:rFonts w:hAnsi="宋体"/>
        </w:rPr>
      </w:pPr>
    </w:p>
    <w:p>
      <w:pPr>
        <w:pageBreakBefore/>
        <w:tabs>
          <w:tab w:val="left" w:pos="1134"/>
          <w:tab w:val="left" w:pos="8364"/>
        </w:tabs>
        <w:spacing w:before="0" w:after="0" w:afterAutospacing="0"/>
        <w:ind w:left="0" w:right="-57" w:hanging="11"/>
        <w:rPr>
          <w:rFonts w:ascii="宋体" w:hAnsi="宋体"/>
          <w:sz w:val="21"/>
          <w:szCs w:val="21"/>
        </w:rPr>
      </w:pPr>
      <w:r>
        <w:rPr>
          <w:rFonts w:hint="eastAsia" w:ascii="宋体" w:hAnsi="宋体"/>
          <w:b/>
          <w:sz w:val="21"/>
          <w:szCs w:val="21"/>
        </w:rPr>
        <w:t>附件6.</w:t>
      </w:r>
      <w:r>
        <w:rPr>
          <w:rFonts w:hint="eastAsia" w:ascii="宋体" w:hAnsi="宋体"/>
          <w:b/>
          <w:sz w:val="21"/>
          <w:szCs w:val="21"/>
          <w:lang w:val="en-US" w:eastAsia="zh-CN"/>
        </w:rPr>
        <w:t>4 供货</w:t>
      </w:r>
      <w:r>
        <w:rPr>
          <w:rFonts w:hint="eastAsia" w:ascii="宋体" w:hAnsi="宋体"/>
          <w:b/>
          <w:sz w:val="21"/>
          <w:szCs w:val="21"/>
          <w:lang w:eastAsia="zh-CN"/>
        </w:rPr>
        <w:t>通知</w:t>
      </w:r>
      <w:r>
        <w:rPr>
          <w:rFonts w:hint="eastAsia" w:ascii="宋体" w:hAnsi="宋体"/>
          <w:b/>
          <w:sz w:val="21"/>
          <w:szCs w:val="21"/>
        </w:rPr>
        <w:t>格式</w:t>
      </w:r>
    </w:p>
    <w:p>
      <w:pPr>
        <w:ind w:right="-57"/>
        <w:jc w:val="center"/>
        <w:rPr>
          <w:rFonts w:ascii="宋体" w:hAnsi="宋体"/>
          <w:b/>
          <w:sz w:val="24"/>
          <w:szCs w:val="24"/>
        </w:rPr>
      </w:pPr>
      <w:r>
        <w:rPr>
          <w:rFonts w:hint="eastAsia" w:ascii="宋体" w:hAnsi="宋体" w:cs="宋体"/>
          <w:b/>
          <w:kern w:val="2"/>
          <w:sz w:val="24"/>
          <w:szCs w:val="24"/>
          <w:lang w:val="en-US" w:eastAsia="zh-CN"/>
        </w:rPr>
        <w:t>供货</w:t>
      </w:r>
      <w:r>
        <w:rPr>
          <w:rFonts w:hint="eastAsia" w:ascii="宋体" w:hAnsi="宋体" w:cs="宋体"/>
          <w:b/>
          <w:kern w:val="2"/>
          <w:sz w:val="24"/>
          <w:szCs w:val="24"/>
          <w:lang w:eastAsia="zh-CN"/>
        </w:rPr>
        <w:t>通知</w:t>
      </w:r>
      <w:r>
        <w:rPr>
          <w:rFonts w:ascii="宋体" w:hAnsi="宋体" w:cs="宋体"/>
          <w:b/>
          <w:kern w:val="2"/>
          <w:sz w:val="24"/>
          <w:szCs w:val="24"/>
        </w:rPr>
        <w:t>（格式）</w:t>
      </w:r>
    </w:p>
    <w:p>
      <w:pPr>
        <w:pStyle w:val="12"/>
        <w:snapToGrid w:val="0"/>
        <w:spacing w:beforeLines="50" w:after="120" w:afterLines="50" w:afterAutospacing="0" w:line="240" w:lineRule="auto"/>
        <w:ind w:left="722" w:leftChars="200" w:right="-28" w:hanging="302" w:hangingChars="144"/>
        <w:rPr>
          <w:rFonts w:hint="eastAsia" w:hAnsi="宋体" w:cs="Times New Roman"/>
          <w:sz w:val="21"/>
          <w:szCs w:val="21"/>
        </w:rPr>
      </w:pP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供应商联系人及电话：</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lang w:eastAsia="zh-CN"/>
        </w:rPr>
        <w:t>开工通知</w:t>
      </w:r>
      <w:r>
        <w:rPr>
          <w:rFonts w:hint="eastAsia" w:hAnsi="宋体" w:cs="Times New Roman"/>
          <w:sz w:val="21"/>
          <w:szCs w:val="21"/>
        </w:rPr>
        <w:t>号：</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交货地点：</w:t>
      </w:r>
    </w:p>
    <w:p>
      <w:pPr>
        <w:pStyle w:val="12"/>
        <w:snapToGrid w:val="0"/>
        <w:spacing w:beforeLines="50" w:after="120" w:afterLines="50" w:afterAutospacing="0" w:line="240" w:lineRule="auto"/>
        <w:ind w:left="722" w:leftChars="200" w:right="-28" w:hanging="302" w:hangingChars="144"/>
        <w:rPr>
          <w:rFonts w:hint="eastAsia" w:hAnsi="宋体" w:cs="Times New Roman"/>
          <w:sz w:val="21"/>
          <w:szCs w:val="21"/>
        </w:rPr>
      </w:pPr>
      <w:r>
        <w:rPr>
          <w:rFonts w:hint="eastAsia" w:hAnsi="宋体" w:cs="Times New Roman"/>
          <w:sz w:val="21"/>
          <w:szCs w:val="21"/>
        </w:rPr>
        <w:t>收货联系人及电话：</w:t>
      </w:r>
    </w:p>
    <w:p>
      <w:pPr>
        <w:pStyle w:val="12"/>
        <w:snapToGrid w:val="0"/>
        <w:spacing w:beforeLines="50" w:after="120" w:afterLines="50" w:afterAutospacing="0" w:line="240" w:lineRule="auto"/>
        <w:ind w:left="722" w:leftChars="200" w:right="-28" w:hanging="302" w:hangingChars="144"/>
        <w:rPr>
          <w:rFonts w:hint="eastAsia" w:hAnsi="宋体" w:cs="Times New Roman"/>
          <w:sz w:val="21"/>
          <w:szCs w:val="21"/>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合同序号</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系统需求计划号</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货物名称</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单位</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合同数量</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交货数量</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交货时间</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ind w:left="0" w:right="0" w:firstLine="0"/>
              <w:jc w:val="center"/>
              <w:textAlignment w:val="center"/>
              <w:rPr>
                <w:rFonts w:ascii="宋体" w:hAnsi="宋体" w:cs="宋体"/>
                <w:b/>
                <w:kern w:val="2"/>
              </w:rPr>
            </w:pPr>
            <w:r>
              <w:rPr>
                <w:rFonts w:hint="eastAsia" w:ascii="宋体" w:hAnsi="宋体" w:cs="Calibri"/>
              </w:rPr>
              <w:t>合计</w:t>
            </w:r>
          </w:p>
        </w:tc>
        <w:tc>
          <w:tcPr>
            <w:tcW w:w="1161" w:type="dxa"/>
            <w:vAlign w:val="center"/>
          </w:tcPr>
          <w:p>
            <w:pPr>
              <w:spacing w:before="0" w:after="0" w:afterAutospacing="0"/>
              <w:ind w:left="0" w:right="0" w:firstLine="0"/>
              <w:jc w:val="center"/>
              <w:textAlignment w:val="center"/>
              <w:rPr>
                <w:rFonts w:ascii="宋体" w:hAnsi="宋体" w:cs="Calibri"/>
              </w:rPr>
            </w:pPr>
          </w:p>
        </w:tc>
        <w:tc>
          <w:tcPr>
            <w:tcW w:w="1161" w:type="dxa"/>
            <w:vAlign w:val="center"/>
          </w:tcPr>
          <w:p>
            <w:pPr>
              <w:spacing w:before="0" w:after="0" w:afterAutospacing="0"/>
              <w:ind w:right="0"/>
              <w:jc w:val="center"/>
              <w:textAlignment w:val="center"/>
              <w:rPr>
                <w:rFonts w:ascii="宋体" w:hAnsi="宋体" w:cs="Calibri"/>
              </w:rPr>
            </w:pPr>
          </w:p>
        </w:tc>
        <w:tc>
          <w:tcPr>
            <w:tcW w:w="1161" w:type="dxa"/>
            <w:vAlign w:val="center"/>
          </w:tcPr>
          <w:p>
            <w:pPr>
              <w:widowControl w:val="0"/>
              <w:spacing w:before="0" w:after="0" w:afterAutospacing="0"/>
              <w:ind w:right="0"/>
              <w:jc w:val="center"/>
              <w:rPr>
                <w:rFonts w:ascii="宋体" w:hAnsi="宋体" w:cs="Calibri"/>
              </w:rPr>
            </w:pPr>
          </w:p>
        </w:tc>
        <w:tc>
          <w:tcPr>
            <w:tcW w:w="1161" w:type="dxa"/>
            <w:vAlign w:val="center"/>
          </w:tcPr>
          <w:p>
            <w:pPr>
              <w:widowControl w:val="0"/>
              <w:spacing w:before="0" w:after="0" w:afterAutospacing="0"/>
              <w:ind w:right="0"/>
              <w:jc w:val="center"/>
              <w:rPr>
                <w:rFonts w:ascii="宋体" w:hAnsi="宋体" w:cs="Calibri"/>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c>
          <w:tcPr>
            <w:tcW w:w="1161" w:type="dxa"/>
          </w:tcPr>
          <w:p>
            <w:pPr>
              <w:pStyle w:val="12"/>
              <w:spacing w:line="240" w:lineRule="auto"/>
              <w:ind w:right="-28"/>
              <w:rPr>
                <w:rFonts w:hAnsi="宋体"/>
              </w:rPr>
            </w:pPr>
          </w:p>
        </w:tc>
      </w:tr>
    </w:tbl>
    <w:p>
      <w:pPr>
        <w:pStyle w:val="12"/>
        <w:keepNext w:val="0"/>
        <w:keepLines w:val="0"/>
        <w:pageBreakBefore w:val="0"/>
        <w:widowControl/>
        <w:kinsoku/>
        <w:wordWrap/>
        <w:overflowPunct/>
        <w:topLinePunct w:val="0"/>
        <w:autoSpaceDE/>
        <w:autoSpaceDN/>
        <w:bidi w:val="0"/>
        <w:adjustRightInd/>
        <w:snapToGrid/>
        <w:spacing w:before="0" w:line="240" w:lineRule="auto"/>
        <w:ind w:left="0" w:leftChars="0" w:right="0" w:firstLine="0" w:firstLineChars="0"/>
        <w:textAlignment w:val="auto"/>
        <w:rPr>
          <w:rFonts w:hint="eastAsia" w:hAnsi="宋体"/>
          <w:sz w:val="21"/>
          <w:szCs w:val="21"/>
        </w:rPr>
      </w:pPr>
    </w:p>
    <w:p>
      <w:pPr>
        <w:pStyle w:val="12"/>
        <w:snapToGrid w:val="0"/>
        <w:spacing w:beforeLines="50" w:after="120" w:afterLines="50" w:afterAutospacing="0" w:line="240" w:lineRule="auto"/>
        <w:ind w:left="722" w:leftChars="200" w:right="-28" w:hanging="302" w:hangingChars="144"/>
        <w:rPr>
          <w:rFonts w:hint="eastAsia" w:hAnsi="宋体" w:cs="Times New Roman"/>
          <w:sz w:val="21"/>
          <w:szCs w:val="21"/>
        </w:rPr>
      </w:pPr>
      <w:r>
        <w:rPr>
          <w:rFonts w:hint="eastAsia" w:hAnsi="宋体" w:cs="Times New Roman"/>
          <w:sz w:val="21"/>
          <w:szCs w:val="21"/>
        </w:rPr>
        <w:t>说明：</w:t>
      </w:r>
    </w:p>
    <w:p>
      <w:pPr>
        <w:pStyle w:val="12"/>
        <w:snapToGrid w:val="0"/>
        <w:spacing w:beforeLines="50" w:after="120" w:afterLines="50" w:afterAutospacing="0" w:line="240" w:lineRule="auto"/>
        <w:ind w:left="722" w:leftChars="200" w:right="-28" w:hanging="302" w:hangingChars="144"/>
        <w:rPr>
          <w:rFonts w:hint="eastAsia" w:hAnsi="宋体" w:cs="Times New Roman"/>
          <w:sz w:val="21"/>
          <w:szCs w:val="21"/>
        </w:rPr>
      </w:pPr>
      <w:r>
        <w:rPr>
          <w:rFonts w:hint="eastAsia" w:hAnsi="宋体" w:cs="Times New Roman"/>
          <w:sz w:val="21"/>
          <w:szCs w:val="21"/>
        </w:rPr>
        <w:t>1.本通知未列明的性能参数等其他要求详见合同。</w:t>
      </w:r>
    </w:p>
    <w:p>
      <w:pPr>
        <w:pStyle w:val="12"/>
        <w:snapToGrid w:val="0"/>
        <w:spacing w:beforeLines="50" w:after="120" w:afterLines="50" w:afterAutospacing="0" w:line="240" w:lineRule="auto"/>
        <w:ind w:left="722" w:leftChars="200" w:right="-28" w:hanging="302" w:hangingChars="144"/>
        <w:rPr>
          <w:rFonts w:hint="eastAsia" w:hAnsi="宋体" w:cs="Times New Roman"/>
          <w:sz w:val="21"/>
          <w:szCs w:val="21"/>
        </w:rPr>
      </w:pPr>
      <w:r>
        <w:rPr>
          <w:rFonts w:hint="eastAsia" w:hAnsi="宋体" w:cs="Times New Roman"/>
          <w:sz w:val="21"/>
          <w:szCs w:val="21"/>
        </w:rPr>
        <w:t>2.本通知加盖</w:t>
      </w:r>
      <w:r>
        <w:rPr>
          <w:rFonts w:hint="eastAsia" w:hAnsi="宋体" w:cs="Times New Roman"/>
          <w:sz w:val="21"/>
          <w:szCs w:val="21"/>
          <w:lang w:eastAsia="zh-CN"/>
        </w:rPr>
        <w:t>运营公司</w:t>
      </w:r>
      <w:r>
        <w:rPr>
          <w:rFonts w:hint="eastAsia" w:hAnsi="宋体" w:cs="Times New Roman"/>
          <w:sz w:val="21"/>
          <w:szCs w:val="21"/>
        </w:rPr>
        <w:t>XX部</w:t>
      </w:r>
      <w:r>
        <w:rPr>
          <w:rFonts w:hint="eastAsia" w:hAnsi="宋体" w:cs="Times New Roman"/>
          <w:sz w:val="21"/>
          <w:szCs w:val="21"/>
          <w:lang w:eastAsia="zh-CN"/>
        </w:rPr>
        <w:t>（</w:t>
      </w:r>
      <w:r>
        <w:rPr>
          <w:rFonts w:hint="eastAsia" w:hAnsi="宋体" w:cs="Times New Roman"/>
          <w:sz w:val="21"/>
          <w:szCs w:val="21"/>
          <w:lang w:val="en-US" w:eastAsia="zh-CN"/>
        </w:rPr>
        <w:t>中心</w:t>
      </w:r>
      <w:r>
        <w:rPr>
          <w:rFonts w:hint="eastAsia" w:hAnsi="宋体" w:cs="Times New Roman"/>
          <w:sz w:val="21"/>
          <w:szCs w:val="21"/>
          <w:lang w:eastAsia="zh-CN"/>
        </w:rPr>
        <w:t>）</w:t>
      </w:r>
      <w:r>
        <w:rPr>
          <w:rFonts w:hint="eastAsia" w:hAnsi="宋体" w:cs="Times New Roman"/>
          <w:sz w:val="21"/>
          <w:szCs w:val="21"/>
        </w:rPr>
        <w:t>公章后有效，送货时携带纸质版一份。</w:t>
      </w:r>
    </w:p>
    <w:p>
      <w:pPr>
        <w:pStyle w:val="12"/>
        <w:snapToGrid w:val="0"/>
        <w:spacing w:beforeLines="50" w:after="120" w:afterLines="50" w:afterAutospacing="0" w:line="240" w:lineRule="auto"/>
        <w:ind w:left="722" w:leftChars="200" w:right="-28" w:hanging="302" w:hangingChars="144"/>
        <w:rPr>
          <w:rFonts w:hint="eastAsia" w:hAnsi="宋体" w:cs="Times New Roman"/>
          <w:sz w:val="21"/>
          <w:szCs w:val="21"/>
        </w:rPr>
      </w:pPr>
      <w:r>
        <w:rPr>
          <w:rFonts w:hint="eastAsia" w:hAnsi="宋体" w:cs="Times New Roman"/>
          <w:sz w:val="21"/>
          <w:szCs w:val="21"/>
        </w:rPr>
        <w:t>3.本通知如有涂改须经甲方签名认可，否则无效。</w:t>
      </w:r>
    </w:p>
    <w:p>
      <w:pPr>
        <w:pStyle w:val="12"/>
        <w:spacing w:line="240" w:lineRule="auto"/>
        <w:ind w:left="722" w:leftChars="200" w:right="-28" w:hanging="302" w:hangingChars="144"/>
        <w:jc w:val="right"/>
        <w:rPr>
          <w:rFonts w:hint="eastAsia" w:hAnsi="宋体"/>
          <w:sz w:val="21"/>
          <w:szCs w:val="21"/>
        </w:rPr>
      </w:pPr>
    </w:p>
    <w:p>
      <w:pPr>
        <w:pStyle w:val="12"/>
        <w:spacing w:line="240" w:lineRule="auto"/>
        <w:ind w:left="722" w:leftChars="200" w:right="-28" w:hanging="302" w:hangingChars="144"/>
        <w:jc w:val="right"/>
        <w:rPr>
          <w:rFonts w:hint="eastAsia" w:hAnsi="宋体"/>
          <w:sz w:val="21"/>
          <w:szCs w:val="21"/>
        </w:rPr>
      </w:pPr>
    </w:p>
    <w:p>
      <w:pPr>
        <w:pStyle w:val="12"/>
        <w:spacing w:line="240" w:lineRule="auto"/>
        <w:ind w:left="722" w:leftChars="200" w:right="-28" w:hanging="302" w:hangingChars="144"/>
        <w:jc w:val="right"/>
        <w:rPr>
          <w:rFonts w:hint="eastAsia" w:hAnsi="宋体"/>
          <w:sz w:val="21"/>
          <w:szCs w:val="21"/>
        </w:rPr>
      </w:pPr>
    </w:p>
    <w:p>
      <w:pPr>
        <w:pStyle w:val="12"/>
        <w:spacing w:line="240" w:lineRule="auto"/>
        <w:ind w:left="722" w:leftChars="200" w:right="-28" w:hanging="302" w:hangingChars="144"/>
        <w:jc w:val="right"/>
        <w:rPr>
          <w:rFonts w:hint="eastAsia" w:hAnsi="宋体"/>
          <w:sz w:val="21"/>
          <w:szCs w:val="21"/>
        </w:rPr>
      </w:pPr>
    </w:p>
    <w:p>
      <w:pPr>
        <w:pStyle w:val="12"/>
        <w:spacing w:line="240" w:lineRule="auto"/>
        <w:ind w:left="722" w:leftChars="200" w:right="-28" w:hanging="302" w:hangingChars="144"/>
        <w:jc w:val="right"/>
        <w:rPr>
          <w:rFonts w:hint="eastAsia" w:hAnsi="宋体"/>
          <w:sz w:val="21"/>
          <w:szCs w:val="21"/>
        </w:rPr>
      </w:pPr>
    </w:p>
    <w:p>
      <w:pPr>
        <w:pStyle w:val="12"/>
        <w:spacing w:line="240" w:lineRule="auto"/>
        <w:ind w:left="722" w:leftChars="200" w:right="-28" w:hanging="302" w:hangingChars="144"/>
        <w:jc w:val="right"/>
        <w:rPr>
          <w:rFonts w:hint="eastAsia" w:hAnsi="宋体" w:eastAsia="宋体"/>
          <w:sz w:val="21"/>
          <w:szCs w:val="21"/>
          <w:lang w:eastAsia="zh-CN"/>
        </w:rPr>
      </w:pPr>
      <w:r>
        <w:rPr>
          <w:rFonts w:hint="eastAsia" w:hAnsi="宋体"/>
          <w:sz w:val="21"/>
          <w:szCs w:val="21"/>
        </w:rPr>
        <w:t>南宁轨道交通集团运营公司XX部</w:t>
      </w:r>
      <w:r>
        <w:rPr>
          <w:rFonts w:hint="eastAsia" w:hAnsi="宋体"/>
          <w:sz w:val="21"/>
          <w:szCs w:val="21"/>
          <w:lang w:eastAsia="zh-CN"/>
        </w:rPr>
        <w:t>（</w:t>
      </w:r>
      <w:r>
        <w:rPr>
          <w:rFonts w:hint="eastAsia" w:hAnsi="宋体"/>
          <w:sz w:val="21"/>
          <w:szCs w:val="21"/>
          <w:lang w:val="en-US" w:eastAsia="zh-CN"/>
        </w:rPr>
        <w:t>中心</w:t>
      </w:r>
      <w:r>
        <w:rPr>
          <w:rFonts w:hint="eastAsia" w:hAnsi="宋体"/>
          <w:sz w:val="21"/>
          <w:szCs w:val="21"/>
          <w:lang w:eastAsia="zh-CN"/>
        </w:rPr>
        <w:t>）</w:t>
      </w:r>
    </w:p>
    <w:p>
      <w:pPr>
        <w:spacing w:before="0" w:after="0" w:afterAutospacing="0" w:line="240" w:lineRule="auto"/>
        <w:ind w:right="-57" w:rightChars="-27"/>
        <w:jc w:val="right"/>
        <w:textAlignment w:val="center"/>
        <w:rPr>
          <w:rFonts w:ascii="宋体" w:hAnsi="宋体" w:cs="宋体"/>
          <w:sz w:val="21"/>
          <w:szCs w:val="21"/>
        </w:rPr>
      </w:pPr>
      <w:r>
        <w:rPr>
          <w:rFonts w:hint="eastAsia" w:ascii="宋体" w:hAnsi="宋体" w:cs="宋体"/>
          <w:sz w:val="21"/>
          <w:szCs w:val="21"/>
        </w:rPr>
        <w:t>通知日期：     年    月    日</w:t>
      </w:r>
    </w:p>
    <w:p>
      <w:pPr>
        <w:pStyle w:val="12"/>
        <w:spacing w:line="240" w:lineRule="auto"/>
        <w:ind w:left="708" w:leftChars="200" w:right="-28" w:hanging="288" w:hangingChars="144"/>
        <w:rPr>
          <w:rFonts w:hAnsi="宋体"/>
        </w:rPr>
      </w:pPr>
    </w:p>
    <w:p>
      <w:pPr>
        <w:pageBreakBefore/>
        <w:tabs>
          <w:tab w:val="left" w:pos="1134"/>
          <w:tab w:val="left" w:pos="8364"/>
        </w:tabs>
        <w:spacing w:before="0" w:after="0" w:afterAutospacing="0"/>
        <w:ind w:left="0" w:right="-57" w:hanging="11"/>
        <w:rPr>
          <w:rFonts w:ascii="宋体" w:hAnsi="宋体"/>
          <w:sz w:val="21"/>
          <w:szCs w:val="21"/>
        </w:rPr>
      </w:pPr>
      <w:r>
        <w:rPr>
          <w:rFonts w:hint="eastAsia" w:ascii="宋体" w:hAnsi="宋体"/>
          <w:b/>
          <w:sz w:val="21"/>
          <w:szCs w:val="21"/>
        </w:rPr>
        <w:t>附件6.</w:t>
      </w:r>
      <w:r>
        <w:rPr>
          <w:rFonts w:hint="eastAsia" w:ascii="宋体" w:hAnsi="宋体"/>
          <w:b/>
          <w:sz w:val="21"/>
          <w:szCs w:val="21"/>
          <w:lang w:val="en-US" w:eastAsia="zh-CN"/>
        </w:rPr>
        <w:t xml:space="preserve">5 </w:t>
      </w:r>
      <w:r>
        <w:rPr>
          <w:rFonts w:hint="eastAsia" w:ascii="宋体" w:hAnsi="宋体"/>
          <w:b/>
          <w:sz w:val="21"/>
          <w:szCs w:val="21"/>
        </w:rPr>
        <w:t>送货单格式</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p>
      <w:pPr>
        <w:pStyle w:val="12"/>
        <w:spacing w:line="240" w:lineRule="auto"/>
        <w:ind w:left="2526" w:right="-28" w:hanging="6"/>
        <w:jc w:val="center"/>
        <w:rPr>
          <w:rFonts w:hAnsi="宋体"/>
        </w:rPr>
      </w:pPr>
      <w:r>
        <w:rPr>
          <w:rFonts w:hint="eastAsia" w:hAnsi="宋体"/>
          <w:b/>
        </w:rPr>
        <w:t xml:space="preserve"> </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供应商(章)：</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供应商联系人及电话：</w:t>
      </w:r>
    </w:p>
    <w:p>
      <w:pPr>
        <w:pStyle w:val="1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lang w:eastAsia="zh-CN"/>
        </w:rPr>
        <w:t>开工通知</w:t>
      </w:r>
      <w:r>
        <w:rPr>
          <w:rFonts w:hint="eastAsia" w:hAnsi="宋体" w:cs="Times New Roman"/>
          <w:sz w:val="21"/>
          <w:szCs w:val="21"/>
        </w:rPr>
        <w:t>号：</w:t>
      </w:r>
    </w:p>
    <w:tbl>
      <w:tblPr>
        <w:tblStyle w:val="29"/>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368"/>
        <w:gridCol w:w="124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合同序号</w:t>
            </w:r>
          </w:p>
        </w:tc>
        <w:tc>
          <w:tcPr>
            <w:tcW w:w="1160"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系统需求计划号</w:t>
            </w:r>
          </w:p>
        </w:tc>
        <w:tc>
          <w:tcPr>
            <w:tcW w:w="116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货物名称</w:t>
            </w:r>
          </w:p>
        </w:tc>
        <w:tc>
          <w:tcPr>
            <w:tcW w:w="116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单位</w:t>
            </w:r>
          </w:p>
        </w:tc>
        <w:tc>
          <w:tcPr>
            <w:tcW w:w="116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合同数量</w:t>
            </w:r>
          </w:p>
        </w:tc>
        <w:tc>
          <w:tcPr>
            <w:tcW w:w="1368"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通知交货数量</w:t>
            </w:r>
          </w:p>
        </w:tc>
        <w:tc>
          <w:tcPr>
            <w:tcW w:w="1245"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实收数量</w:t>
            </w:r>
          </w:p>
        </w:tc>
        <w:tc>
          <w:tcPr>
            <w:tcW w:w="1170"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0"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368"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245"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70"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0"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368"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245"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70"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0"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368"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245"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70"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0"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368"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245"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70"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r>
              <w:rPr>
                <w:rFonts w:hint="eastAsia" w:hAnsi="宋体"/>
                <w:sz w:val="21"/>
                <w:szCs w:val="21"/>
              </w:rPr>
              <w:t>合计</w:t>
            </w:r>
          </w:p>
        </w:tc>
        <w:tc>
          <w:tcPr>
            <w:tcW w:w="1160"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61"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368"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245"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c>
          <w:tcPr>
            <w:tcW w:w="1170" w:type="dxa"/>
            <w:vAlign w:val="center"/>
          </w:tcPr>
          <w:p>
            <w:pPr>
              <w:pStyle w:val="12"/>
              <w:keepNext w:val="0"/>
              <w:keepLines w:val="0"/>
              <w:pageBreakBefore w:val="0"/>
              <w:widowControl/>
              <w:kinsoku/>
              <w:wordWrap/>
              <w:overflowPunct/>
              <w:topLinePunct w:val="0"/>
              <w:autoSpaceDE/>
              <w:autoSpaceDN/>
              <w:bidi w:val="0"/>
              <w:adjustRightInd/>
              <w:snapToGrid/>
              <w:spacing w:afterAutospacing="0" w:line="240" w:lineRule="auto"/>
              <w:ind w:right="-28"/>
              <w:jc w:val="center"/>
              <w:rPr>
                <w:rFonts w:hAnsi="宋体"/>
              </w:rPr>
            </w:pPr>
          </w:p>
        </w:tc>
      </w:tr>
    </w:tbl>
    <w:p>
      <w:pPr>
        <w:pStyle w:val="12"/>
        <w:keepNext w:val="0"/>
        <w:keepLines w:val="0"/>
        <w:pageBreakBefore w:val="0"/>
        <w:widowControl/>
        <w:kinsoku/>
        <w:wordWrap/>
        <w:overflowPunct/>
        <w:topLinePunct w:val="0"/>
        <w:autoSpaceDE/>
        <w:autoSpaceDN/>
        <w:bidi w:val="0"/>
        <w:adjustRightInd/>
        <w:snapToGrid/>
        <w:spacing w:before="0" w:line="240" w:lineRule="auto"/>
        <w:ind w:left="0" w:leftChars="0" w:right="0" w:firstLine="400" w:firstLineChars="200"/>
        <w:textAlignment w:val="auto"/>
        <w:rPr>
          <w:rFonts w:hint="eastAsia" w:hAnsi="宋体"/>
        </w:rPr>
      </w:pPr>
    </w:p>
    <w:p>
      <w:pPr>
        <w:pStyle w:val="12"/>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hAnsi="宋体"/>
          <w:sz w:val="21"/>
          <w:szCs w:val="21"/>
        </w:rPr>
      </w:pPr>
      <w:r>
        <w:rPr>
          <w:rFonts w:hint="eastAsia" w:hAnsi="宋体"/>
          <w:sz w:val="21"/>
          <w:szCs w:val="21"/>
        </w:rPr>
        <w:t>说明：</w:t>
      </w:r>
    </w:p>
    <w:p>
      <w:pPr>
        <w:pStyle w:val="12"/>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hAnsi="宋体"/>
          <w:sz w:val="21"/>
          <w:szCs w:val="21"/>
        </w:rPr>
      </w:pPr>
      <w:r>
        <w:rPr>
          <w:rFonts w:hAnsi="宋体" w:cs="Calibri"/>
          <w:kern w:val="2"/>
          <w:sz w:val="21"/>
          <w:szCs w:val="21"/>
        </w:rPr>
        <w:t>1.</w:t>
      </w:r>
      <w:r>
        <w:rPr>
          <w:rFonts w:hint="eastAsia" w:hAnsi="宋体"/>
          <w:sz w:val="21"/>
          <w:szCs w:val="21"/>
        </w:rPr>
        <w:t>送货时携带纸质版一式两份，仅做收货凭据，不做为验收合格和结算凭证；本单未列明的性能参数等其他要求详见合同。</w:t>
      </w:r>
    </w:p>
    <w:p>
      <w:pPr>
        <w:pStyle w:val="12"/>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Ansi="宋体"/>
          <w:sz w:val="21"/>
          <w:szCs w:val="21"/>
        </w:rPr>
      </w:pPr>
      <w:r>
        <w:rPr>
          <w:rFonts w:hAnsi="宋体" w:cs="Calibri"/>
          <w:kern w:val="2"/>
          <w:sz w:val="21"/>
          <w:szCs w:val="21"/>
        </w:rPr>
        <w:t>2.</w:t>
      </w:r>
      <w:r>
        <w:rPr>
          <w:rFonts w:hint="eastAsia" w:hAnsi="宋体"/>
          <w:sz w:val="21"/>
          <w:szCs w:val="21"/>
        </w:rPr>
        <w:t>实收数量栏不能留空，数量为“</w:t>
      </w:r>
      <w:r>
        <w:rPr>
          <w:rFonts w:hAnsi="宋体" w:cs="Calibri"/>
          <w:kern w:val="2"/>
          <w:sz w:val="21"/>
          <w:szCs w:val="21"/>
        </w:rPr>
        <w:t>0</w:t>
      </w:r>
      <w:r>
        <w:rPr>
          <w:rFonts w:hint="eastAsia" w:hAnsi="宋体"/>
          <w:sz w:val="21"/>
          <w:szCs w:val="21"/>
        </w:rPr>
        <w:t>”时用“</w:t>
      </w:r>
      <w:r>
        <w:rPr>
          <w:rFonts w:hAnsi="宋体" w:cs="Calibri"/>
          <w:kern w:val="2"/>
          <w:sz w:val="21"/>
          <w:szCs w:val="21"/>
        </w:rPr>
        <w:t>/</w:t>
      </w:r>
      <w:r>
        <w:rPr>
          <w:rFonts w:hint="eastAsia" w:hAnsi="宋体"/>
          <w:sz w:val="21"/>
          <w:szCs w:val="21"/>
        </w:rPr>
        <w:t>”表示；“合计”栏中的</w:t>
      </w:r>
      <w:r>
        <w:rPr>
          <w:rFonts w:hAnsi="宋体" w:cs="Calibri"/>
          <w:kern w:val="2"/>
          <w:sz w:val="21"/>
          <w:szCs w:val="21"/>
        </w:rPr>
        <w:t>"</w:t>
      </w:r>
      <w:r>
        <w:rPr>
          <w:rFonts w:hint="eastAsia" w:hAnsi="宋体"/>
          <w:sz w:val="21"/>
          <w:szCs w:val="21"/>
        </w:rPr>
        <w:t>实收数量</w:t>
      </w:r>
      <w:r>
        <w:rPr>
          <w:rFonts w:hAnsi="宋体" w:cs="Calibri"/>
          <w:kern w:val="2"/>
          <w:sz w:val="21"/>
          <w:szCs w:val="21"/>
        </w:rPr>
        <w:t>"</w:t>
      </w:r>
      <w:r>
        <w:rPr>
          <w:rFonts w:hint="eastAsia" w:hAnsi="宋体"/>
          <w:sz w:val="21"/>
          <w:szCs w:val="21"/>
        </w:rPr>
        <w:t>为必填项。</w:t>
      </w:r>
    </w:p>
    <w:p>
      <w:pPr>
        <w:pStyle w:val="12"/>
        <w:keepNext w:val="0"/>
        <w:keepLines w:val="0"/>
        <w:pageBreakBefore w:val="0"/>
        <w:widowControl/>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Ansi="宋体"/>
          <w:sz w:val="21"/>
          <w:szCs w:val="21"/>
        </w:rPr>
      </w:pPr>
      <w:r>
        <w:rPr>
          <w:rFonts w:hAnsi="宋体" w:cs="Calibri"/>
          <w:kern w:val="2"/>
          <w:sz w:val="21"/>
          <w:szCs w:val="21"/>
        </w:rPr>
        <w:t>3.</w:t>
      </w:r>
      <w:r>
        <w:rPr>
          <w:rFonts w:hint="eastAsia" w:hAnsi="宋体"/>
          <w:sz w:val="21"/>
          <w:szCs w:val="21"/>
        </w:rPr>
        <w:t>本清单如有涂改必须有双方签名认可，否则无效。</w:t>
      </w:r>
    </w:p>
    <w:p>
      <w:pPr>
        <w:pStyle w:val="12"/>
        <w:keepNext w:val="0"/>
        <w:keepLines w:val="0"/>
        <w:pageBreakBefore w:val="0"/>
        <w:widowControl/>
        <w:kinsoku/>
        <w:wordWrap/>
        <w:overflowPunct/>
        <w:topLinePunct w:val="0"/>
        <w:autoSpaceDE/>
        <w:autoSpaceDN/>
        <w:bidi w:val="0"/>
        <w:adjustRightInd/>
        <w:snapToGrid/>
        <w:spacing w:before="0" w:afterAutospacing="0" w:line="360" w:lineRule="auto"/>
        <w:ind w:left="0" w:leftChars="0" w:right="0" w:firstLine="420" w:firstLineChars="200"/>
        <w:textAlignment w:val="auto"/>
        <w:rPr>
          <w:rFonts w:hint="eastAsia" w:hAnsi="宋体"/>
          <w:sz w:val="21"/>
          <w:szCs w:val="21"/>
        </w:rPr>
      </w:pPr>
    </w:p>
    <w:p>
      <w:pPr>
        <w:pStyle w:val="12"/>
        <w:keepNext w:val="0"/>
        <w:keepLines w:val="0"/>
        <w:pageBreakBefore w:val="0"/>
        <w:widowControl/>
        <w:kinsoku/>
        <w:wordWrap/>
        <w:overflowPunct/>
        <w:topLinePunct w:val="0"/>
        <w:autoSpaceDE/>
        <w:autoSpaceDN/>
        <w:bidi w:val="0"/>
        <w:adjustRightInd/>
        <w:snapToGrid/>
        <w:spacing w:before="0" w:afterAutospacing="0" w:line="360" w:lineRule="auto"/>
        <w:ind w:left="0" w:leftChars="0" w:right="0" w:firstLine="420" w:firstLineChars="200"/>
        <w:textAlignment w:val="auto"/>
        <w:rPr>
          <w:rFonts w:hint="eastAsia" w:hAnsi="宋体"/>
          <w:sz w:val="21"/>
          <w:szCs w:val="21"/>
        </w:rPr>
      </w:pPr>
    </w:p>
    <w:p>
      <w:pPr>
        <w:pStyle w:val="12"/>
        <w:keepNext w:val="0"/>
        <w:keepLines w:val="0"/>
        <w:pageBreakBefore w:val="0"/>
        <w:widowControl/>
        <w:kinsoku/>
        <w:wordWrap/>
        <w:overflowPunct/>
        <w:topLinePunct w:val="0"/>
        <w:autoSpaceDE/>
        <w:autoSpaceDN/>
        <w:bidi w:val="0"/>
        <w:adjustRightInd/>
        <w:snapToGrid/>
        <w:spacing w:before="0" w:afterAutospacing="0" w:line="360" w:lineRule="auto"/>
        <w:ind w:left="0" w:leftChars="0" w:right="0" w:firstLine="420" w:firstLineChars="200"/>
        <w:textAlignment w:val="auto"/>
        <w:rPr>
          <w:rFonts w:hAnsi="宋体"/>
          <w:sz w:val="21"/>
          <w:szCs w:val="21"/>
        </w:rPr>
      </w:pPr>
      <w:r>
        <w:rPr>
          <w:rFonts w:hint="eastAsia" w:hAnsi="宋体"/>
          <w:sz w:val="21"/>
          <w:szCs w:val="21"/>
        </w:rPr>
        <w:t>送货人（签名）：　　　　　　　　　　　　　　　运输工具及车号：</w:t>
      </w:r>
    </w:p>
    <w:p>
      <w:pPr>
        <w:pStyle w:val="12"/>
        <w:keepNext w:val="0"/>
        <w:keepLines w:val="0"/>
        <w:pageBreakBefore w:val="0"/>
        <w:widowControl/>
        <w:kinsoku/>
        <w:wordWrap/>
        <w:overflowPunct/>
        <w:topLinePunct w:val="0"/>
        <w:autoSpaceDE/>
        <w:autoSpaceDN/>
        <w:bidi w:val="0"/>
        <w:adjustRightInd/>
        <w:snapToGrid/>
        <w:spacing w:before="0" w:afterAutospacing="0" w:line="360" w:lineRule="auto"/>
        <w:ind w:left="0" w:leftChars="0" w:right="0" w:firstLine="420" w:firstLineChars="200"/>
        <w:textAlignment w:val="auto"/>
        <w:rPr>
          <w:rFonts w:hAnsi="宋体"/>
          <w:sz w:val="21"/>
          <w:szCs w:val="21"/>
        </w:rPr>
      </w:pPr>
      <w:r>
        <w:rPr>
          <w:rFonts w:hint="eastAsia" w:hAnsi="宋体"/>
          <w:sz w:val="21"/>
          <w:szCs w:val="21"/>
        </w:rPr>
        <w:t>收货人（签名）：　　　　　　　　　　　　　　　收货时间：</w:t>
      </w:r>
    </w:p>
    <w:p>
      <w:pPr>
        <w:pStyle w:val="12"/>
        <w:spacing w:line="240" w:lineRule="auto"/>
        <w:ind w:left="708" w:leftChars="200" w:right="-28" w:hanging="288" w:hangingChars="144"/>
        <w:rPr>
          <w:rFonts w:hAnsi="宋体"/>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4"/>
        <w:spacing w:before="40" w:after="40" w:line="240" w:lineRule="auto"/>
        <w:jc w:val="center"/>
        <w:rPr>
          <w:rFonts w:ascii="Times New Roman" w:hAnsi="Times New Roman" w:eastAsia="宋体"/>
        </w:rPr>
      </w:pPr>
      <w:bookmarkStart w:id="222" w:name="_Toc24244"/>
      <w:bookmarkStart w:id="223" w:name="_Toc101965695"/>
      <w:bookmarkStart w:id="224" w:name="_Toc92268652"/>
      <w:bookmarkStart w:id="225" w:name="_Toc5060"/>
      <w:r>
        <w:rPr>
          <w:rFonts w:ascii="Times New Roman" w:hAnsi="Times New Roman" w:eastAsia="宋体"/>
        </w:rPr>
        <w:t>第</w:t>
      </w:r>
      <w:r>
        <w:rPr>
          <w:rFonts w:hint="eastAsia" w:ascii="Times New Roman" w:hAnsi="Times New Roman" w:eastAsia="宋体"/>
        </w:rPr>
        <w:t>七</w:t>
      </w:r>
      <w:r>
        <w:rPr>
          <w:rFonts w:ascii="Times New Roman" w:hAnsi="Times New Roman" w:eastAsia="宋体"/>
        </w:rPr>
        <w:t>部分</w:t>
      </w:r>
      <w:r>
        <w:rPr>
          <w:rFonts w:hint="eastAsia" w:ascii="Times New Roman" w:hAnsi="Times New Roman" w:eastAsia="宋体"/>
        </w:rPr>
        <w:t xml:space="preserve"> 比选文件</w:t>
      </w:r>
      <w:bookmarkEnd w:id="222"/>
      <w:bookmarkEnd w:id="223"/>
      <w:bookmarkEnd w:id="224"/>
      <w:bookmarkEnd w:id="225"/>
    </w:p>
    <w:p>
      <w:pPr>
        <w:pStyle w:val="55"/>
        <w:adjustRightInd/>
        <w:spacing w:before="0" w:after="0" w:line="360" w:lineRule="auto"/>
        <w:ind w:left="0" w:right="0"/>
        <w:rPr>
          <w:rFonts w:ascii="宋体" w:hAnsi="宋体"/>
          <w:sz w:val="21"/>
          <w:szCs w:val="21"/>
        </w:rPr>
      </w:pPr>
    </w:p>
    <w:p>
      <w:pPr>
        <w:snapToGrid w:val="0"/>
        <w:jc w:val="center"/>
        <w:rPr>
          <w:rFonts w:ascii="宋体" w:hAnsi="宋体"/>
          <w:b/>
          <w:sz w:val="28"/>
          <w:szCs w:val="28"/>
        </w:rPr>
      </w:pPr>
      <w:r>
        <w:rPr>
          <w:rFonts w:hint="eastAsia" w:ascii="宋体" w:hAnsi="宋体"/>
          <w:b/>
          <w:sz w:val="28"/>
          <w:szCs w:val="28"/>
        </w:rPr>
        <w:t>（另册）</w:t>
      </w: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4"/>
        <w:spacing w:before="40" w:after="40" w:line="240" w:lineRule="auto"/>
        <w:jc w:val="center"/>
        <w:rPr>
          <w:rFonts w:ascii="Times New Roman" w:hAnsi="Times New Roman" w:eastAsia="宋体"/>
        </w:rPr>
      </w:pPr>
      <w:bookmarkStart w:id="226" w:name="_Toc21928"/>
      <w:bookmarkStart w:id="227" w:name="_Toc26660"/>
      <w:bookmarkStart w:id="228" w:name="_Toc101965696"/>
      <w:bookmarkStart w:id="229" w:name="_Toc92268653"/>
      <w:r>
        <w:rPr>
          <w:rFonts w:ascii="Times New Roman" w:hAnsi="Times New Roman" w:eastAsia="宋体"/>
        </w:rPr>
        <w:t>第</w:t>
      </w:r>
      <w:r>
        <w:rPr>
          <w:rFonts w:hint="eastAsia" w:ascii="Times New Roman" w:hAnsi="Times New Roman" w:eastAsia="宋体"/>
        </w:rPr>
        <w:t>八</w:t>
      </w:r>
      <w:r>
        <w:rPr>
          <w:rFonts w:ascii="Times New Roman" w:hAnsi="Times New Roman" w:eastAsia="宋体"/>
        </w:rPr>
        <w:t>部分</w:t>
      </w:r>
      <w:r>
        <w:rPr>
          <w:rFonts w:hint="eastAsia" w:ascii="Times New Roman" w:hAnsi="Times New Roman" w:eastAsia="宋体"/>
        </w:rPr>
        <w:t xml:space="preserve"> 比选申请文件</w:t>
      </w:r>
      <w:bookmarkEnd w:id="226"/>
      <w:bookmarkEnd w:id="227"/>
      <w:bookmarkEnd w:id="228"/>
      <w:bookmarkEnd w:id="229"/>
    </w:p>
    <w:p>
      <w:pPr>
        <w:pStyle w:val="55"/>
        <w:adjustRightInd/>
        <w:spacing w:before="0" w:after="0" w:line="360" w:lineRule="auto"/>
        <w:ind w:left="0" w:right="0"/>
        <w:rPr>
          <w:rFonts w:ascii="宋体" w:hAnsi="宋体"/>
          <w:sz w:val="21"/>
          <w:szCs w:val="21"/>
        </w:rPr>
      </w:pPr>
    </w:p>
    <w:p>
      <w:pPr>
        <w:snapToGrid w:val="0"/>
        <w:jc w:val="center"/>
        <w:rPr>
          <w:rFonts w:ascii="宋体" w:hAnsi="宋体"/>
          <w:b/>
          <w:sz w:val="28"/>
          <w:szCs w:val="28"/>
        </w:rPr>
      </w:pPr>
      <w:r>
        <w:rPr>
          <w:rFonts w:hint="eastAsia" w:ascii="宋体" w:hAnsi="宋体"/>
          <w:b/>
          <w:sz w:val="28"/>
          <w:szCs w:val="28"/>
        </w:rPr>
        <w:t>（另册）</w:t>
      </w: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pStyle w:val="55"/>
        <w:adjustRightInd/>
        <w:spacing w:before="0" w:after="0" w:line="360" w:lineRule="auto"/>
        <w:ind w:left="0" w:right="0"/>
        <w:rPr>
          <w:rFonts w:ascii="宋体" w:hAnsi="宋体"/>
          <w:sz w:val="21"/>
          <w:szCs w:val="21"/>
        </w:rPr>
      </w:pPr>
    </w:p>
    <w:p>
      <w:pPr>
        <w:spacing w:line="300" w:lineRule="exact"/>
        <w:jc w:val="center"/>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12"/>
        <w:ind w:left="1" w:right="-57" w:firstLine="0"/>
        <w:jc w:val="center"/>
        <w:outlineLvl w:val="0"/>
        <w:rPr>
          <w:rStyle w:val="42"/>
          <w:rFonts w:hAnsi="宋体"/>
          <w:sz w:val="44"/>
          <w:szCs w:val="44"/>
        </w:rPr>
      </w:pPr>
      <w:bookmarkStart w:id="230" w:name="_Toc101965697"/>
      <w:bookmarkStart w:id="231" w:name="_Toc647"/>
      <w:r>
        <w:rPr>
          <w:rStyle w:val="42"/>
          <w:rFonts w:hint="eastAsia" w:hAnsi="宋体"/>
          <w:sz w:val="44"/>
          <w:szCs w:val="44"/>
        </w:rPr>
        <w:t>第四章 比选申请文件格式</w:t>
      </w:r>
      <w:bookmarkEnd w:id="230"/>
      <w:bookmarkEnd w:id="231"/>
    </w:p>
    <w:p>
      <w:pPr>
        <w:spacing w:after="120" w:afterLines="50"/>
        <w:jc w:val="center"/>
        <w:rPr>
          <w:b/>
          <w:color w:val="000000"/>
          <w:sz w:val="44"/>
          <w:szCs w:val="44"/>
        </w:rPr>
      </w:pPr>
    </w:p>
    <w:p>
      <w:pPr>
        <w:pStyle w:val="55"/>
        <w:adjustRightInd/>
        <w:spacing w:before="0" w:after="0" w:line="360" w:lineRule="auto"/>
        <w:ind w:left="0" w:right="0"/>
        <w:rPr>
          <w:rFonts w:ascii="宋体" w:hAnsi="宋体"/>
          <w:sz w:val="21"/>
          <w:szCs w:val="21"/>
        </w:rPr>
      </w:pPr>
    </w:p>
    <w:p>
      <w:pPr>
        <w:tabs>
          <w:tab w:val="left" w:pos="1134"/>
          <w:tab w:val="left" w:pos="8364"/>
        </w:tabs>
        <w:spacing w:before="0"/>
        <w:ind w:right="-57"/>
        <w:rPr>
          <w:rFonts w:ascii="宋体" w:hAnsi="宋体"/>
        </w:rPr>
      </w:pPr>
    </w:p>
    <w:p>
      <w:pPr>
        <w:pStyle w:val="12"/>
        <w:pageBreakBefore/>
        <w:ind w:left="0" w:right="-57" w:firstLine="0"/>
        <w:jc w:val="left"/>
        <w:rPr>
          <w:rStyle w:val="42"/>
          <w:rFonts w:ascii="宋体" w:hAnsi="宋体" w:eastAsia="宋体"/>
          <w:sz w:val="21"/>
          <w:szCs w:val="21"/>
        </w:rPr>
      </w:pPr>
      <w:r>
        <w:rPr>
          <w:rFonts w:hint="eastAsia" w:hAnsi="宋体"/>
          <w:b/>
          <w:sz w:val="21"/>
          <w:szCs w:val="21"/>
        </w:rPr>
        <mc:AlternateContent>
          <mc:Choice Requires="wps">
            <w:drawing>
              <wp:anchor distT="0" distB="0" distL="114300" distR="114300" simplePos="0" relativeHeight="251659264" behindDoc="0" locked="0" layoutInCell="1" allowOverlap="1">
                <wp:simplePos x="0" y="0"/>
                <wp:positionH relativeFrom="column">
                  <wp:posOffset>3918585</wp:posOffset>
                </wp:positionH>
                <wp:positionV relativeFrom="paragraph">
                  <wp:posOffset>242570</wp:posOffset>
                </wp:positionV>
                <wp:extent cx="1490345" cy="539750"/>
                <wp:effectExtent l="4445" t="5080" r="10160" b="7620"/>
                <wp:wrapNone/>
                <wp:docPr id="2" name="文本框 3"/>
                <wp:cNvGraphicFramePr/>
                <a:graphic xmlns:a="http://schemas.openxmlformats.org/drawingml/2006/main">
                  <a:graphicData uri="http://schemas.microsoft.com/office/word/2010/wordprocessingShape">
                    <wps:wsp>
                      <wps:cNvSpPr txBox="1"/>
                      <wps:spPr>
                        <a:xfrm>
                          <a:off x="0" y="0"/>
                          <a:ext cx="149034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firstLine="0"/>
                              <w:jc w:val="center"/>
                              <w:rPr>
                                <w:sz w:val="36"/>
                                <w:szCs w:val="36"/>
                              </w:rPr>
                            </w:pPr>
                            <w:r>
                              <w:rPr>
                                <w:rFonts w:hint="eastAsia"/>
                                <w:sz w:val="36"/>
                                <w:szCs w:val="36"/>
                              </w:rPr>
                              <w:t>正本/副本</w:t>
                            </w:r>
                          </w:p>
                        </w:txbxContent>
                      </wps:txbx>
                      <wps:bodyPr upright="1"/>
                    </wps:wsp>
                  </a:graphicData>
                </a:graphic>
              </wp:anchor>
            </w:drawing>
          </mc:Choice>
          <mc:Fallback>
            <w:pict>
              <v:shape id="文本框 3" o:spid="_x0000_s1026" o:spt="202" type="#_x0000_t202" style="position:absolute;left:0pt;margin-left:308.55pt;margin-top:19.1pt;height:42.5pt;width:117.35pt;z-index:251659264;mso-width-relative:page;mso-height-relative:page;" fillcolor="#FFFFFF" filled="t" stroked="t" coordsize="21600,21600" o:gfxdata="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O9ZtkAAAAKAQAADwAAAAAAAAABACAA&#10;AAAiAAAAZHJzL2Rvd25yZXYueG1sUEsBAhQAFAAAAAgAh07iQJkZonwMAgAANgQAAA4AAAAAAAAA&#10;AQAgAAAAKAEAAGRycy9lMm9Eb2MueG1sUEsFBgAAAAAGAAYAWQEAAKYFAAAAAA==&#10;">
                <v:fill on="t" focussize="0,0"/>
                <v:stroke color="#000000" joinstyle="miter"/>
                <v:imagedata o:title=""/>
                <o:lock v:ext="edit" aspectratio="f"/>
                <v:textbox>
                  <w:txbxContent>
                    <w:p>
                      <w:pPr>
                        <w:ind w:left="0" w:firstLine="0"/>
                        <w:jc w:val="center"/>
                        <w:rPr>
                          <w:sz w:val="36"/>
                          <w:szCs w:val="36"/>
                        </w:rPr>
                      </w:pPr>
                      <w:r>
                        <w:rPr>
                          <w:rFonts w:hint="eastAsia"/>
                          <w:sz w:val="36"/>
                          <w:szCs w:val="36"/>
                        </w:rPr>
                        <w:t>正本/副本</w:t>
                      </w:r>
                    </w:p>
                  </w:txbxContent>
                </v:textbox>
              </v:shape>
            </w:pict>
          </mc:Fallback>
        </mc:AlternateContent>
      </w:r>
      <w:r>
        <w:rPr>
          <w:rStyle w:val="42"/>
          <w:rFonts w:hint="eastAsia" w:ascii="宋体" w:hAnsi="宋体" w:eastAsia="宋体"/>
          <w:sz w:val="21"/>
          <w:szCs w:val="21"/>
        </w:rPr>
        <w:t>（比选申请文件封面格式）</w:t>
      </w:r>
    </w:p>
    <w:p>
      <w:pPr>
        <w:jc w:val="left"/>
      </w:pPr>
    </w:p>
    <w:p>
      <w:pPr>
        <w:ind w:right="840"/>
      </w:pPr>
    </w:p>
    <w:p>
      <w:pPr>
        <w:ind w:right="840"/>
      </w:pPr>
    </w:p>
    <w:p>
      <w:pPr>
        <w:keepNext w:val="0"/>
        <w:keepLines w:val="0"/>
        <w:pageBreakBefore w:val="0"/>
        <w:widowControl/>
        <w:kinsoku/>
        <w:wordWrap/>
        <w:overflowPunct/>
        <w:topLinePunct w:val="0"/>
        <w:autoSpaceDE/>
        <w:autoSpaceDN/>
        <w:bidi w:val="0"/>
        <w:adjustRightInd/>
        <w:snapToGrid/>
        <w:ind w:left="0" w:right="0" w:firstLine="0" w:firstLineChars="0"/>
        <w:jc w:val="center"/>
        <w:textAlignment w:val="auto"/>
        <w:rPr>
          <w:sz w:val="28"/>
          <w:szCs w:val="28"/>
        </w:rPr>
      </w:pPr>
      <w:r>
        <w:rPr>
          <w:rFonts w:hint="eastAsia" w:ascii="宋体" w:hAnsi="宋体"/>
          <w:b/>
          <w:spacing w:val="-4"/>
          <w:sz w:val="44"/>
          <w:szCs w:val="44"/>
          <w:lang w:eastAsia="zh-CN"/>
        </w:rPr>
        <w:t>南宁轨道交通运营有限公司2022年新能源汽车充电桩二期建设项目</w:t>
      </w:r>
    </w:p>
    <w:p>
      <w:pPr>
        <w:jc w:val="center"/>
        <w:rPr>
          <w:sz w:val="28"/>
          <w:szCs w:val="28"/>
        </w:rPr>
      </w:pPr>
    </w:p>
    <w:p>
      <w:pPr>
        <w:jc w:val="center"/>
        <w:rPr>
          <w:sz w:val="28"/>
          <w:szCs w:val="28"/>
        </w:rPr>
      </w:pPr>
    </w:p>
    <w:p>
      <w:pPr>
        <w:spacing w:before="240" w:beforeLines="100"/>
        <w:jc w:val="center"/>
        <w:rPr>
          <w:sz w:val="56"/>
          <w:szCs w:val="56"/>
        </w:rPr>
      </w:pPr>
      <w:r>
        <w:rPr>
          <w:rFonts w:hint="eastAsia"/>
          <w:sz w:val="56"/>
          <w:szCs w:val="56"/>
        </w:rPr>
        <w:t>比选申请</w:t>
      </w:r>
      <w:r>
        <w:rPr>
          <w:sz w:val="56"/>
          <w:szCs w:val="56"/>
        </w:rPr>
        <w:t>文件</w:t>
      </w:r>
    </w:p>
    <w:p>
      <w:pPr>
        <w:jc w:val="center"/>
        <w:rPr>
          <w:sz w:val="28"/>
          <w:szCs w:val="28"/>
          <w:u w:val="single"/>
        </w:rPr>
      </w:pPr>
      <w:r>
        <w:rPr>
          <w:rFonts w:hint="eastAsia"/>
          <w:sz w:val="28"/>
          <w:szCs w:val="28"/>
        </w:rPr>
        <w:t>（</w:t>
      </w:r>
      <w:r>
        <w:rPr>
          <w:sz w:val="28"/>
          <w:szCs w:val="28"/>
        </w:rPr>
        <w:t>项目编号</w:t>
      </w:r>
      <w:r>
        <w:rPr>
          <w:color w:val="auto"/>
          <w:sz w:val="28"/>
          <w:szCs w:val="28"/>
        </w:rPr>
        <w:t>：</w:t>
      </w:r>
      <w:r>
        <w:rPr>
          <w:rFonts w:hint="eastAsia" w:ascii="宋体" w:hAnsi="宋体" w:cs="宋体"/>
          <w:color w:val="auto"/>
          <w:sz w:val="28"/>
          <w:szCs w:val="28"/>
          <w:u w:val="single"/>
          <w:lang w:eastAsia="zh-CN"/>
        </w:rPr>
        <w:t>202209050007</w:t>
      </w:r>
      <w:r>
        <w:rPr>
          <w:rFonts w:hint="eastAsia"/>
          <w:sz w:val="28"/>
          <w:szCs w:val="28"/>
        </w:rPr>
        <w:t>）</w:t>
      </w:r>
    </w:p>
    <w:p>
      <w:pPr>
        <w:jc w:val="center"/>
        <w:rPr>
          <w:sz w:val="32"/>
          <w:szCs w:val="32"/>
        </w:rPr>
      </w:pPr>
    </w:p>
    <w:p>
      <w:pPr>
        <w:jc w:val="center"/>
        <w:rPr>
          <w:rFonts w:hint="eastAsia"/>
          <w:sz w:val="32"/>
          <w:szCs w:val="32"/>
        </w:rPr>
      </w:pPr>
    </w:p>
    <w:p>
      <w:pPr>
        <w:jc w:val="center"/>
        <w:rPr>
          <w:rFonts w:hint="eastAsia"/>
          <w:sz w:val="32"/>
          <w:szCs w:val="32"/>
        </w:rPr>
      </w:pPr>
    </w:p>
    <w:p>
      <w:pPr>
        <w:jc w:val="center"/>
        <w:rPr>
          <w:sz w:val="32"/>
          <w:szCs w:val="32"/>
        </w:rPr>
      </w:pPr>
    </w:p>
    <w:p>
      <w:pPr>
        <w:ind w:firstLine="1400" w:firstLineChars="500"/>
        <w:rPr>
          <w:sz w:val="28"/>
          <w:szCs w:val="28"/>
        </w:rPr>
      </w:pPr>
      <w:r>
        <w:rPr>
          <w:rFonts w:hint="eastAsia"/>
          <w:sz w:val="28"/>
          <w:szCs w:val="28"/>
        </w:rPr>
        <w:t>比选申请</w:t>
      </w:r>
      <w:r>
        <w:rPr>
          <w:sz w:val="28"/>
          <w:szCs w:val="28"/>
        </w:rPr>
        <w:t>人：（</w:t>
      </w:r>
      <w:bookmarkStart w:id="232" w:name="_Hlk70427841"/>
      <w:r>
        <w:rPr>
          <w:sz w:val="28"/>
          <w:szCs w:val="28"/>
        </w:rPr>
        <w:t>盖公章</w:t>
      </w:r>
      <w:bookmarkEnd w:id="232"/>
      <w:r>
        <w:rPr>
          <w:sz w:val="28"/>
          <w:szCs w:val="28"/>
        </w:rPr>
        <w:t>）</w:t>
      </w:r>
    </w:p>
    <w:p>
      <w:pPr>
        <w:ind w:firstLine="1400" w:firstLineChars="500"/>
        <w:rPr>
          <w:sz w:val="28"/>
          <w:szCs w:val="28"/>
        </w:rPr>
      </w:pPr>
      <w:r>
        <w:rPr>
          <w:sz w:val="28"/>
          <w:szCs w:val="28"/>
        </w:rPr>
        <w:t>法定代表人或其委托代理人：（签字或盖章）</w:t>
      </w:r>
    </w:p>
    <w:p>
      <w:pPr>
        <w:pStyle w:val="12"/>
        <w:pageBreakBefore/>
        <w:ind w:right="-57"/>
        <w:jc w:val="center"/>
        <w:rPr>
          <w:rStyle w:val="42"/>
          <w:rFonts w:hint="eastAsia" w:ascii="宋体" w:hAnsi="宋体" w:eastAsia="宋体"/>
        </w:rPr>
      </w:pPr>
      <w:r>
        <w:rPr>
          <w:rStyle w:val="42"/>
          <w:rFonts w:hint="eastAsia" w:ascii="宋体" w:hAnsi="宋体" w:eastAsia="宋体"/>
        </w:rPr>
        <w:t>目 录</w:t>
      </w:r>
    </w:p>
    <w:p>
      <w:pPr>
        <w:spacing w:before="0" w:after="0" w:afterAutospacing="0"/>
        <w:ind w:left="0" w:right="0" w:firstLine="420" w:firstLineChars="200"/>
        <w:rPr>
          <w:rFonts w:hAnsi="宋体"/>
        </w:rPr>
      </w:pPr>
      <w:bookmarkStart w:id="233" w:name="_Toc361"/>
      <w:bookmarkStart w:id="234" w:name="_Toc4027"/>
      <w:bookmarkStart w:id="235" w:name="_Toc32185"/>
      <w:bookmarkStart w:id="236" w:name="_Toc3396"/>
      <w:bookmarkStart w:id="237" w:name="_Toc4873"/>
      <w:bookmarkStart w:id="238" w:name="_Toc31535"/>
      <w:bookmarkStart w:id="239" w:name="_Toc492478802"/>
      <w:bookmarkStart w:id="240" w:name="_Toc22709"/>
      <w:bookmarkStart w:id="241" w:name="_Toc19412"/>
      <w:bookmarkStart w:id="242" w:name="_Toc23261"/>
      <w:bookmarkStart w:id="243" w:name="_Toc31624"/>
      <w:bookmarkStart w:id="244" w:name="_Toc24824"/>
      <w:bookmarkStart w:id="245" w:name="_Toc12983549"/>
      <w:bookmarkStart w:id="246" w:name="_Toc30705"/>
      <w:bookmarkStart w:id="247" w:name="_Toc24453"/>
      <w:bookmarkStart w:id="248" w:name="_Toc16671"/>
      <w:bookmarkStart w:id="249" w:name="_Toc25325"/>
      <w:bookmarkStart w:id="250" w:name="_Toc6941"/>
      <w:bookmarkStart w:id="251" w:name="_Toc12984805"/>
      <w:bookmarkStart w:id="252" w:name="_Toc21274"/>
      <w:bookmarkStart w:id="253" w:name="_Toc414290520"/>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Pr>
        <w:pStyle w:val="18"/>
        <w:rPr>
          <w:b/>
          <w:lang w:val="zh-CN"/>
        </w:rPr>
      </w:pPr>
      <w:r>
        <w:rPr>
          <w:rFonts w:hint="eastAsia"/>
          <w:b/>
        </w:rPr>
        <w:t>一、比选申请函</w:t>
      </w:r>
      <w:r>
        <w:rPr>
          <w:b/>
        </w:rPr>
        <w:ptab w:relativeTo="margin" w:alignment="right" w:leader="dot"/>
      </w:r>
    </w:p>
    <w:p>
      <w:pPr>
        <w:pStyle w:val="18"/>
        <w:rPr>
          <w:b/>
        </w:rPr>
      </w:pPr>
      <w:r>
        <w:rPr>
          <w:rFonts w:hint="eastAsia"/>
          <w:b/>
        </w:rPr>
        <w:t>二、比选承诺函</w:t>
      </w:r>
      <w:r>
        <w:rPr>
          <w:b/>
        </w:rPr>
        <w:ptab w:relativeTo="margin" w:alignment="right" w:leader="dot"/>
      </w:r>
    </w:p>
    <w:p>
      <w:pPr>
        <w:pStyle w:val="18"/>
        <w:rPr>
          <w:b/>
        </w:rPr>
      </w:pPr>
      <w:r>
        <w:rPr>
          <w:rFonts w:hint="eastAsia"/>
          <w:b/>
        </w:rPr>
        <w:t>三、比选申请报价表</w:t>
      </w:r>
      <w:r>
        <w:rPr>
          <w:b/>
        </w:rPr>
        <w:ptab w:relativeTo="margin" w:alignment="right" w:leader="dot"/>
      </w:r>
    </w:p>
    <w:p>
      <w:pPr>
        <w:pStyle w:val="23"/>
        <w:ind w:left="216" w:firstLine="210" w:firstLineChars="100"/>
        <w:rPr>
          <w:rFonts w:asciiTheme="minorEastAsia" w:hAnsiTheme="minorEastAsia" w:eastAsiaTheme="minorEastAsia"/>
          <w:lang w:val="zh-CN"/>
        </w:rPr>
      </w:pPr>
      <w:r>
        <w:rPr>
          <w:rFonts w:hint="eastAsia" w:asciiTheme="minorEastAsia" w:hAnsiTheme="minorEastAsia" w:eastAsiaTheme="minorEastAsia"/>
        </w:rPr>
        <w:t>3.1比选申请报价一览表</w:t>
      </w:r>
      <w:r>
        <w:rPr>
          <w:rFonts w:asciiTheme="minorHAnsi" w:hAnsiTheme="minorHAnsi" w:eastAsiaTheme="minorEastAsia"/>
          <w:sz w:val="22"/>
          <w:szCs w:val="22"/>
        </w:rPr>
        <w:ptab w:relativeTo="margin" w:alignment="right" w:leader="dot"/>
      </w:r>
    </w:p>
    <w:p>
      <w:pPr>
        <w:pStyle w:val="23"/>
        <w:ind w:left="216" w:firstLine="210" w:firstLineChars="100"/>
        <w:rPr>
          <w:rFonts w:asciiTheme="minorEastAsia" w:hAnsiTheme="minorEastAsia" w:eastAsiaTheme="minorEastAsia"/>
          <w:lang w:val="zh-CN"/>
        </w:rPr>
      </w:pPr>
      <w:r>
        <w:rPr>
          <w:rFonts w:hint="eastAsia" w:asciiTheme="minorEastAsia" w:hAnsiTheme="minorEastAsia" w:eastAsiaTheme="minorEastAsia"/>
        </w:rPr>
        <w:t>3.2比选申请报价明细表</w:t>
      </w:r>
      <w:r>
        <w:rPr>
          <w:rFonts w:asciiTheme="minorHAnsi" w:hAnsiTheme="minorHAnsi" w:eastAsiaTheme="minorEastAsia"/>
          <w:sz w:val="22"/>
          <w:szCs w:val="22"/>
        </w:rPr>
        <w:ptab w:relativeTo="margin" w:alignment="right" w:leader="dot"/>
      </w:r>
    </w:p>
    <w:p>
      <w:pPr>
        <w:pStyle w:val="18"/>
        <w:rPr>
          <w:rFonts w:cstheme="minorBidi"/>
          <w:b/>
          <w:sz w:val="22"/>
          <w:szCs w:val="22"/>
        </w:rPr>
      </w:pPr>
      <w:r>
        <w:rPr>
          <w:rFonts w:hint="eastAsia" w:cstheme="minorBidi"/>
          <w:b/>
          <w:sz w:val="22"/>
          <w:szCs w:val="22"/>
        </w:rPr>
        <w:t>四、法定代表人身份证明及授权书</w:t>
      </w:r>
    </w:p>
    <w:p>
      <w:pPr>
        <w:pStyle w:val="23"/>
        <w:ind w:left="216" w:firstLine="210" w:firstLineChars="100"/>
        <w:rPr>
          <w:rFonts w:asciiTheme="minorEastAsia" w:hAnsiTheme="minorEastAsia" w:eastAsiaTheme="minorEastAsia"/>
        </w:rPr>
      </w:pPr>
      <w:r>
        <w:rPr>
          <w:rFonts w:hint="eastAsia" w:asciiTheme="minorEastAsia" w:hAnsiTheme="minorEastAsia" w:eastAsiaTheme="minorEastAsia"/>
        </w:rPr>
        <w:t>4.1法定代表人资格证明书</w:t>
      </w:r>
      <w:r>
        <w:rPr>
          <w:rFonts w:asciiTheme="minorHAnsi" w:hAnsiTheme="minorHAnsi" w:eastAsiaTheme="minorEastAsia"/>
          <w:sz w:val="22"/>
          <w:szCs w:val="22"/>
        </w:rPr>
        <w:ptab w:relativeTo="margin" w:alignment="right" w:leader="dot"/>
      </w:r>
    </w:p>
    <w:p>
      <w:pPr>
        <w:pStyle w:val="23"/>
        <w:ind w:left="216" w:firstLine="210" w:firstLineChars="100"/>
        <w:rPr>
          <w:rFonts w:asciiTheme="minorEastAsia" w:hAnsiTheme="minorEastAsia" w:eastAsiaTheme="minorEastAsia"/>
        </w:rPr>
      </w:pPr>
      <w:r>
        <w:rPr>
          <w:rFonts w:hint="eastAsia" w:asciiTheme="minorEastAsia" w:hAnsiTheme="minorEastAsia" w:eastAsiaTheme="minorEastAsia"/>
        </w:rPr>
        <w:t>4.2法定代表人资格授权书</w:t>
      </w:r>
      <w:r>
        <w:rPr>
          <w:rFonts w:asciiTheme="minorHAnsi" w:hAnsiTheme="minorHAnsi" w:eastAsiaTheme="minorEastAsia"/>
          <w:sz w:val="22"/>
          <w:szCs w:val="22"/>
        </w:rPr>
        <w:ptab w:relativeTo="margin" w:alignment="right" w:leader="dot"/>
      </w:r>
    </w:p>
    <w:p>
      <w:pPr>
        <w:pStyle w:val="18"/>
        <w:rPr>
          <w:b/>
        </w:rPr>
      </w:pPr>
      <w:r>
        <w:rPr>
          <w:rFonts w:hint="eastAsia"/>
          <w:b/>
        </w:rPr>
        <w:t>五、企业证照</w:t>
      </w:r>
      <w:r>
        <w:rPr>
          <w:b/>
        </w:rPr>
        <w:ptab w:relativeTo="margin" w:alignment="right" w:leader="dot"/>
      </w:r>
    </w:p>
    <w:p>
      <w:pPr>
        <w:pStyle w:val="18"/>
        <w:rPr>
          <w:b/>
        </w:rPr>
      </w:pPr>
      <w:r>
        <w:rPr>
          <w:rFonts w:hint="eastAsia"/>
          <w:b/>
        </w:rPr>
        <w:t>六、类似项目业绩表</w:t>
      </w:r>
      <w:r>
        <w:rPr>
          <w:b/>
        </w:rPr>
        <w:ptab w:relativeTo="margin" w:alignment="right" w:leader="dot"/>
      </w:r>
    </w:p>
    <w:p>
      <w:pPr>
        <w:pStyle w:val="18"/>
        <w:rPr>
          <w:b/>
        </w:rPr>
      </w:pPr>
      <w:r>
        <w:rPr>
          <w:rFonts w:hint="eastAsia"/>
          <w:b/>
        </w:rPr>
        <w:t>七、比选响应表</w:t>
      </w:r>
      <w:r>
        <w:rPr>
          <w:b/>
        </w:rPr>
        <w:ptab w:relativeTo="margin" w:alignment="right" w:leader="dot"/>
      </w:r>
    </w:p>
    <w:p>
      <w:pPr>
        <w:pStyle w:val="18"/>
        <w:rPr>
          <w:b/>
        </w:rPr>
      </w:pPr>
      <w:r>
        <w:rPr>
          <w:rFonts w:hint="eastAsia"/>
          <w:b/>
          <w:lang w:val="en-US" w:eastAsia="zh-CN"/>
        </w:rPr>
        <w:t>八</w:t>
      </w:r>
      <w:r>
        <w:rPr>
          <w:rFonts w:hint="eastAsia"/>
          <w:b/>
          <w:lang w:eastAsia="zh-CN"/>
        </w:rPr>
        <w:t>、</w:t>
      </w:r>
      <w:r>
        <w:rPr>
          <w:rFonts w:hint="eastAsia"/>
          <w:b/>
        </w:rPr>
        <w:t>其他</w:t>
      </w:r>
      <w:r>
        <w:rPr>
          <w:b/>
        </w:rPr>
        <w:ptab w:relativeTo="margin" w:alignment="right" w:leader="dot"/>
      </w:r>
    </w:p>
    <w:p>
      <w:pPr>
        <w:spacing w:before="0" w:after="0" w:afterAutospacing="0"/>
        <w:ind w:left="0" w:right="0" w:firstLine="420" w:firstLineChars="200"/>
        <w:rPr>
          <w:rFonts w:hAnsi="宋体"/>
        </w:rPr>
      </w:pPr>
    </w:p>
    <w:p>
      <w:pPr>
        <w:spacing w:before="0" w:after="0" w:afterAutospacing="0"/>
        <w:ind w:left="0" w:right="0" w:firstLine="420" w:firstLineChars="200"/>
        <w:rPr>
          <w:rFonts w:hAnsi="宋体"/>
        </w:rPr>
      </w:pPr>
    </w:p>
    <w:p>
      <w:pPr>
        <w:pStyle w:val="4"/>
        <w:pageBreakBefore/>
        <w:widowControl w:val="0"/>
        <w:spacing w:before="40" w:after="100" w:line="240" w:lineRule="auto"/>
        <w:ind w:left="0" w:right="-28" w:firstLine="0"/>
        <w:jc w:val="center"/>
        <w:rPr>
          <w:rFonts w:ascii="Times New Roman" w:hAnsi="Times New Roman" w:eastAsia="宋体"/>
        </w:rPr>
      </w:pPr>
      <w:bookmarkStart w:id="254" w:name="_Toc101965698"/>
      <w:bookmarkStart w:id="255" w:name="_Toc14332"/>
      <w:r>
        <w:rPr>
          <w:rFonts w:hint="eastAsia" w:ascii="Times New Roman" w:hAnsi="Times New Roman" w:eastAsia="宋体"/>
        </w:rPr>
        <w:t>一、比选申请函</w:t>
      </w:r>
      <w:bookmarkEnd w:id="254"/>
      <w:bookmarkEnd w:id="255"/>
    </w:p>
    <w:p>
      <w:pPr>
        <w:spacing w:before="0" w:after="0" w:afterAutospacing="0"/>
        <w:ind w:left="0" w:right="0" w:firstLine="420" w:firstLineChars="200"/>
        <w:rPr>
          <w:rFonts w:hAnsi="宋体"/>
        </w:rPr>
      </w:pPr>
    </w:p>
    <w:p>
      <w:pPr>
        <w:snapToGrid w:val="0"/>
        <w:spacing w:before="0" w:after="0" w:afterAutospacing="0"/>
        <w:ind w:left="0" w:right="0" w:firstLine="420" w:firstLineChars="200"/>
        <w:rPr>
          <w:rFonts w:hint="eastAsia" w:hAnsi="宋体" w:eastAsia="宋体"/>
          <w:lang w:eastAsia="zh-CN"/>
        </w:rPr>
      </w:pPr>
      <w:r>
        <w:rPr>
          <w:rFonts w:hint="eastAsia" w:hAnsi="宋体"/>
        </w:rPr>
        <w:t>致：</w:t>
      </w:r>
      <w:r>
        <w:rPr>
          <w:rFonts w:hint="eastAsia" w:hAnsi="宋体"/>
          <w:lang w:eastAsia="zh-CN"/>
        </w:rPr>
        <w:t>南宁轨道交通运营有限公司</w:t>
      </w:r>
    </w:p>
    <w:p>
      <w:pPr>
        <w:snapToGrid w:val="0"/>
        <w:spacing w:before="0" w:after="0" w:afterAutospacing="0"/>
        <w:ind w:left="0" w:right="0" w:firstLine="420" w:firstLineChars="200"/>
        <w:rPr>
          <w:rFonts w:hint="eastAsia" w:asciiTheme="minorEastAsia" w:hAnsiTheme="minorEastAsia" w:eastAsiaTheme="minorEastAsia"/>
        </w:rPr>
      </w:pP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根据贵方为</w:t>
      </w:r>
      <w:r>
        <w:rPr>
          <w:rFonts w:hint="eastAsia" w:ascii="宋体" w:hAnsi="宋体"/>
          <w:u w:val="none"/>
          <w:lang w:eastAsia="zh-CN"/>
        </w:rPr>
        <w:t>南宁轨道交通运营有限公司2022年新能源汽车充电桩二期建设项目</w:t>
      </w:r>
      <w:r>
        <w:rPr>
          <w:rFonts w:hint="eastAsia" w:asciiTheme="minorEastAsia" w:hAnsiTheme="minorEastAsia" w:eastAsiaTheme="minorEastAsia"/>
        </w:rPr>
        <w:t>的比选公告（项目编号</w:t>
      </w:r>
      <w:r>
        <w:rPr>
          <w:rFonts w:hint="eastAsia" w:ascii="宋体" w:hAnsi="宋体" w:cs="Arial"/>
          <w:color w:val="FF0000"/>
          <w:u w:val="single"/>
        </w:rPr>
        <w:t>（填写）</w:t>
      </w:r>
      <w:r>
        <w:rPr>
          <w:rFonts w:hint="eastAsia" w:asciiTheme="minorEastAsia" w:hAnsiTheme="minorEastAsia" w:eastAsiaTheme="minorEastAsia"/>
        </w:rPr>
        <w:t>），签字人</w:t>
      </w:r>
      <w:r>
        <w:rPr>
          <w:rFonts w:hint="eastAsia" w:ascii="宋体" w:hAnsi="宋体" w:cs="Arial"/>
          <w:color w:val="FF0000"/>
          <w:u w:val="single"/>
        </w:rPr>
        <w:t>（填写）</w:t>
      </w:r>
      <w:r>
        <w:rPr>
          <w:rFonts w:hint="eastAsia" w:asciiTheme="minorEastAsia" w:hAnsiTheme="minorEastAsia" w:eastAsiaTheme="minorEastAsia"/>
        </w:rPr>
        <w:t>（全名、职务）经正式授权并代表我方</w:t>
      </w:r>
      <w:r>
        <w:rPr>
          <w:rFonts w:hint="eastAsia" w:ascii="宋体" w:hAnsi="宋体" w:cs="Arial"/>
          <w:color w:val="FF0000"/>
          <w:u w:val="single"/>
        </w:rPr>
        <w:t>（填写）</w:t>
      </w:r>
      <w:r>
        <w:rPr>
          <w:rFonts w:hint="eastAsia" w:asciiTheme="minorEastAsia" w:hAnsiTheme="minorEastAsia" w:eastAsiaTheme="minorEastAsia"/>
        </w:rPr>
        <w:t>（</w:t>
      </w:r>
      <w:r>
        <w:rPr>
          <w:rFonts w:hint="eastAsia" w:asciiTheme="minorEastAsia" w:hAnsiTheme="minorEastAsia" w:eastAsiaTheme="minorEastAsia"/>
          <w:lang w:val="en-US" w:eastAsia="zh-CN"/>
        </w:rPr>
        <w:t>比选申请</w:t>
      </w:r>
      <w:r>
        <w:rPr>
          <w:rFonts w:hint="eastAsia" w:asciiTheme="minorEastAsia" w:hAnsiTheme="minorEastAsia" w:eastAsiaTheme="minorEastAsia"/>
        </w:rPr>
        <w:t>人名称、地址）提交下述文件正本</w:t>
      </w:r>
      <w:r>
        <w:rPr>
          <w:rFonts w:hint="eastAsia" w:ascii="宋体" w:hAnsi="宋体" w:cs="Arial"/>
          <w:color w:val="FF0000"/>
          <w:u w:val="single"/>
        </w:rPr>
        <w:t>（填写）</w:t>
      </w:r>
      <w:r>
        <w:rPr>
          <w:rFonts w:hint="eastAsia" w:asciiTheme="minorEastAsia" w:hAnsiTheme="minorEastAsia" w:eastAsiaTheme="minorEastAsia"/>
        </w:rPr>
        <w:t>份、副本</w:t>
      </w:r>
      <w:r>
        <w:rPr>
          <w:rFonts w:hint="eastAsia" w:ascii="宋体" w:hAnsi="宋体" w:cs="Arial"/>
          <w:color w:val="FF0000"/>
          <w:u w:val="single"/>
        </w:rPr>
        <w:t>（填写）</w:t>
      </w:r>
      <w:r>
        <w:rPr>
          <w:rFonts w:hint="eastAsia" w:asciiTheme="minorEastAsia" w:hAnsiTheme="minorEastAsia" w:eastAsiaTheme="minorEastAsia"/>
        </w:rPr>
        <w:t>份及电子文件</w:t>
      </w:r>
      <w:r>
        <w:rPr>
          <w:rFonts w:hint="eastAsia" w:ascii="宋体" w:hAnsi="宋体" w:cs="Arial"/>
          <w:color w:val="FF0000"/>
          <w:u w:val="single"/>
        </w:rPr>
        <w:t>（填写）</w:t>
      </w:r>
      <w:r>
        <w:rPr>
          <w:rFonts w:hint="eastAsia" w:asciiTheme="minorEastAsia" w:hAnsiTheme="minorEastAsia" w:eastAsiaTheme="minorEastAsia"/>
        </w:rPr>
        <w:t>份（U盘</w:t>
      </w:r>
      <w:r>
        <w:rPr>
          <w:rFonts w:hint="eastAsia" w:ascii="宋体" w:hAnsi="宋体" w:cs="Arial"/>
          <w:color w:val="FF0000"/>
          <w:u w:val="single"/>
        </w:rPr>
        <w:t>（填写）</w:t>
      </w:r>
      <w:r>
        <w:rPr>
          <w:rFonts w:hint="eastAsia" w:asciiTheme="minorEastAsia" w:hAnsiTheme="minorEastAsia" w:eastAsiaTheme="minorEastAsia"/>
        </w:rPr>
        <w:t>份）。</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据此，签字人宣布同意如下：</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1. 按比选文件要求规定的应提交和交付的货物</w:t>
      </w:r>
      <w:r>
        <w:rPr>
          <w:rFonts w:hint="eastAsia" w:asciiTheme="minorEastAsia" w:hAnsiTheme="minorEastAsia" w:eastAsiaTheme="minorEastAsia"/>
          <w:lang w:eastAsia="zh-CN"/>
        </w:rPr>
        <w:t>、安装及</w:t>
      </w:r>
      <w:r>
        <w:rPr>
          <w:rFonts w:hint="eastAsia" w:asciiTheme="minorEastAsia" w:hAnsiTheme="minorEastAsia" w:eastAsiaTheme="minorEastAsia"/>
        </w:rPr>
        <w:t>服务并履行全部合同义务的比选申请总报价为不含增值税人民币（大写）</w:t>
      </w:r>
      <w:r>
        <w:rPr>
          <w:rFonts w:hint="eastAsia" w:ascii="宋体" w:hAnsi="宋体" w:cs="Arial"/>
          <w:color w:val="FF0000"/>
          <w:u w:val="single"/>
        </w:rPr>
        <w:t>（填写）</w:t>
      </w:r>
      <w:r>
        <w:rPr>
          <w:rFonts w:hint="eastAsia" w:asciiTheme="minorEastAsia" w:hAnsiTheme="minorEastAsia" w:eastAsiaTheme="minorEastAsia"/>
        </w:rPr>
        <w:t>（¥</w:t>
      </w:r>
      <w:r>
        <w:rPr>
          <w:rFonts w:hint="eastAsia" w:ascii="宋体" w:hAnsi="宋体" w:cs="Arial"/>
          <w:color w:val="FF0000"/>
          <w:u w:val="single"/>
        </w:rPr>
        <w:t>（填写）</w:t>
      </w:r>
      <w:r>
        <w:rPr>
          <w:rFonts w:hint="eastAsia" w:asciiTheme="minorEastAsia" w:hAnsiTheme="minorEastAsia" w:eastAsiaTheme="minorEastAsia"/>
        </w:rPr>
        <w:t>元），税率</w:t>
      </w:r>
      <w:r>
        <w:rPr>
          <w:rFonts w:hint="eastAsia" w:ascii="宋体" w:hAnsi="宋体" w:cs="Arial"/>
          <w:color w:val="FF0000"/>
          <w:u w:val="single"/>
        </w:rPr>
        <w:t>（填写）</w:t>
      </w:r>
      <w:r>
        <w:rPr>
          <w:rFonts w:hint="eastAsia" w:asciiTheme="minorEastAsia" w:hAnsiTheme="minorEastAsia" w:eastAsiaTheme="minorEastAsia"/>
        </w:rPr>
        <w:t>%。</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2. 交货期/服务期：按比选文件要求执行。</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3. 我方将按比选文件的规定履行合同责任和义务。</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4. 我方已详细审查全部比选文件，包括补充文件（如有）以及全部接口资料和有关附件。我们完全理解并同意放弃对这方面有不明及误解的权利。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5. 本比选有效期为递交比选申请文件的截止之日起90日历天内。</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6. 如果在规定的开标时间后，我方在比选申请有效期内撤销投标，将赔偿贵方损失。</w:t>
      </w:r>
    </w:p>
    <w:p>
      <w:pPr>
        <w:snapToGrid w:val="0"/>
        <w:spacing w:before="0" w:after="0" w:afterAutospacing="0"/>
        <w:ind w:left="0" w:right="0" w:firstLine="420" w:firstLineChars="200"/>
        <w:rPr>
          <w:rFonts w:hint="eastAsia" w:asciiTheme="minorEastAsia" w:hAnsiTheme="minorEastAsia" w:eastAsiaTheme="minorEastAsia"/>
        </w:rPr>
      </w:pPr>
      <w:r>
        <w:rPr>
          <w:rFonts w:hint="eastAsia" w:asciiTheme="minorEastAsia" w:hAnsiTheme="minorEastAsia" w:eastAsiaTheme="minorEastAsia"/>
        </w:rPr>
        <w:t>7. 我方同意按照贵方的要求提供与本比选有关的一切数据或资料。</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 如果我方中选，我方将提供金额为合同总价</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的履约担保，作为适当履行合同的担保。</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lang w:val="en-US" w:eastAsia="zh-CN"/>
        </w:rPr>
        <w:t>9</w:t>
      </w:r>
      <w:r>
        <w:rPr>
          <w:rFonts w:hint="eastAsia" w:asciiTheme="minorEastAsia" w:hAnsiTheme="minorEastAsia" w:eastAsiaTheme="minorEastAsia"/>
        </w:rPr>
        <w:t>. 如果我方中选，保证按照比选文件规定的工程进度时间表履行交货</w:t>
      </w:r>
      <w:r>
        <w:rPr>
          <w:rFonts w:hint="eastAsia" w:asciiTheme="minorEastAsia" w:hAnsiTheme="minorEastAsia" w:eastAsiaTheme="minorEastAsia"/>
          <w:lang w:eastAsia="zh-CN"/>
        </w:rPr>
        <w:t>、安装及</w:t>
      </w:r>
      <w:r>
        <w:rPr>
          <w:rFonts w:hint="eastAsia" w:asciiTheme="minorEastAsia" w:hAnsiTheme="minorEastAsia" w:eastAsiaTheme="minorEastAsia"/>
        </w:rPr>
        <w:t>服务</w:t>
      </w:r>
      <w:r>
        <w:rPr>
          <w:rFonts w:hint="eastAsia" w:asciiTheme="minorEastAsia" w:hAnsiTheme="minorEastAsia" w:eastAsiaTheme="minorEastAsia"/>
          <w:lang w:eastAsia="zh-CN"/>
        </w:rPr>
        <w:t>的</w:t>
      </w:r>
      <w:r>
        <w:rPr>
          <w:rFonts w:hint="eastAsia" w:asciiTheme="minorEastAsia" w:hAnsiTheme="minorEastAsia" w:eastAsiaTheme="minorEastAsia"/>
        </w:rPr>
        <w:t>有关义务。</w:t>
      </w:r>
    </w:p>
    <w:p>
      <w:pPr>
        <w:snapToGrid w:val="0"/>
        <w:spacing w:before="0" w:after="0" w:afterAutospacing="0"/>
        <w:ind w:left="0" w:right="0" w:firstLine="420" w:firstLineChars="200"/>
        <w:rPr>
          <w:rFonts w:asciiTheme="minorEastAsia" w:hAnsiTheme="minorEastAsia" w:eastAsiaTheme="minorEastAsia"/>
        </w:rPr>
      </w:pPr>
    </w:p>
    <w:p>
      <w:pPr>
        <w:snapToGrid w:val="0"/>
        <w:spacing w:before="0" w:after="0" w:afterAutospacing="0"/>
        <w:ind w:left="0" w:right="0" w:firstLine="420" w:firstLineChars="200"/>
        <w:rPr>
          <w:rFonts w:asciiTheme="minorEastAsia" w:hAnsiTheme="minorEastAsia" w:eastAsiaTheme="minorEastAsia"/>
        </w:rPr>
      </w:pPr>
    </w:p>
    <w:p>
      <w:pPr>
        <w:snapToGrid w:val="0"/>
        <w:spacing w:before="0" w:after="0" w:afterAutospacing="0"/>
        <w:ind w:left="0" w:right="0" w:firstLine="420" w:firstLineChars="200"/>
        <w:rPr>
          <w:rFonts w:asciiTheme="minorEastAsia" w:hAnsiTheme="minorEastAsia" w:eastAsiaTheme="minorEastAsia"/>
        </w:rPr>
      </w:pP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比选申请人名称：</w:t>
      </w:r>
      <w:r>
        <w:rPr>
          <w:rFonts w:hint="eastAsia" w:ascii="宋体" w:hAnsi="宋体" w:cs="Arial"/>
          <w:color w:val="FF0000"/>
          <w:u w:val="single"/>
        </w:rPr>
        <w:t>（填写）</w:t>
      </w:r>
      <w:r>
        <w:rPr>
          <w:rFonts w:hint="eastAsia" w:asciiTheme="minorEastAsia" w:hAnsiTheme="minorEastAsia" w:eastAsiaTheme="minorEastAsia"/>
        </w:rPr>
        <w:t xml:space="preserve"> （全称并加盖公章）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lang w:val="en-US" w:eastAsia="zh-CN"/>
        </w:rPr>
        <w:t>比选申请</w:t>
      </w:r>
      <w:r>
        <w:rPr>
          <w:rFonts w:hint="eastAsia" w:asciiTheme="minorEastAsia" w:hAnsiTheme="minorEastAsia" w:eastAsiaTheme="minorEastAsia"/>
        </w:rPr>
        <w:t>人法定代表人（或其委托代理人）签字或盖章：</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地址：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邮编：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电话/手机号码：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电子邮件：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日期：      年   </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月    日</w:t>
      </w:r>
    </w:p>
    <w:p>
      <w:pPr>
        <w:snapToGrid w:val="0"/>
        <w:spacing w:before="0" w:after="0" w:afterAutospacing="0"/>
        <w:ind w:left="0" w:right="0" w:firstLine="480" w:firstLineChars="200"/>
        <w:rPr>
          <w:rFonts w:hAnsi="宋体"/>
          <w:sz w:val="24"/>
          <w:szCs w:val="24"/>
        </w:rPr>
      </w:pPr>
    </w:p>
    <w:p>
      <w:pPr>
        <w:pStyle w:val="4"/>
        <w:pageBreakBefore/>
        <w:widowControl w:val="0"/>
        <w:spacing w:before="40" w:after="100" w:line="240" w:lineRule="auto"/>
        <w:ind w:left="0" w:right="-28" w:firstLine="0"/>
        <w:jc w:val="center"/>
        <w:rPr>
          <w:rFonts w:ascii="Times New Roman" w:hAnsi="Times New Roman" w:eastAsia="宋体"/>
        </w:rPr>
      </w:pPr>
      <w:bookmarkStart w:id="256" w:name="_Toc101965699"/>
      <w:bookmarkStart w:id="257" w:name="_Toc8043"/>
      <w:r>
        <w:rPr>
          <w:rFonts w:hint="eastAsia" w:ascii="Times New Roman" w:hAnsi="Times New Roman" w:eastAsia="宋体"/>
        </w:rPr>
        <w:t>二、比选承诺函</w:t>
      </w:r>
      <w:bookmarkEnd w:id="256"/>
      <w:bookmarkEnd w:id="257"/>
    </w:p>
    <w:p>
      <w:pPr>
        <w:spacing w:before="0" w:after="0" w:afterAutospacing="0"/>
        <w:ind w:left="0" w:right="0" w:firstLine="420" w:firstLineChars="200"/>
        <w:rPr>
          <w:rFonts w:hAnsi="宋体"/>
        </w:rPr>
      </w:pPr>
    </w:p>
    <w:p>
      <w:pPr>
        <w:snapToGrid w:val="0"/>
        <w:spacing w:before="0" w:after="0" w:afterAutospacing="0" w:line="400" w:lineRule="exact"/>
        <w:ind w:left="0" w:right="0" w:firstLine="420" w:firstLineChars="200"/>
        <w:jc w:val="left"/>
        <w:rPr>
          <w:rFonts w:ascii="宋体" w:hAnsi="宋体"/>
        </w:rPr>
      </w:pPr>
      <w:r>
        <w:rPr>
          <w:rFonts w:ascii="宋体" w:hAnsi="宋体"/>
        </w:rPr>
        <w:t>致：</w:t>
      </w:r>
      <w:r>
        <w:rPr>
          <w:rFonts w:hint="eastAsia" w:ascii="宋体" w:hAnsi="宋体"/>
          <w:lang w:eastAsia="zh-CN"/>
        </w:rPr>
        <w:t>南宁轨道交通运营有限公司</w:t>
      </w:r>
    </w:p>
    <w:p>
      <w:pPr>
        <w:snapToGrid w:val="0"/>
        <w:spacing w:before="0" w:after="0" w:afterAutospacing="0" w:line="400" w:lineRule="exact"/>
        <w:ind w:left="0" w:right="0" w:firstLine="420" w:firstLineChars="200"/>
        <w:jc w:val="left"/>
        <w:rPr>
          <w:rFonts w:ascii="宋体" w:hAnsi="宋体"/>
        </w:rPr>
      </w:pPr>
      <w:r>
        <w:rPr>
          <w:rFonts w:ascii="宋体" w:hAnsi="宋体"/>
        </w:rPr>
        <w:t>1、在认真研读</w:t>
      </w:r>
      <w:r>
        <w:rPr>
          <w:rFonts w:hint="eastAsia" w:ascii="宋体" w:hAnsi="宋体"/>
        </w:rPr>
        <w:t>本项目比选</w:t>
      </w:r>
      <w:r>
        <w:rPr>
          <w:rFonts w:ascii="宋体" w:hAnsi="宋体"/>
        </w:rPr>
        <w:t>文件后，我方经慎重考虑，郑重承诺参加</w:t>
      </w:r>
      <w:r>
        <w:rPr>
          <w:rFonts w:hint="eastAsia" w:ascii="宋体" w:hAnsi="宋体"/>
        </w:rPr>
        <w:t>项目的比选</w:t>
      </w:r>
      <w:r>
        <w:rPr>
          <w:rFonts w:ascii="宋体" w:hAnsi="宋体"/>
        </w:rPr>
        <w:t>活动。</w:t>
      </w:r>
    </w:p>
    <w:p>
      <w:pPr>
        <w:snapToGrid w:val="0"/>
        <w:spacing w:before="0" w:after="0" w:afterAutospacing="0" w:line="400" w:lineRule="exact"/>
        <w:ind w:left="0" w:right="0" w:firstLine="420" w:firstLineChars="200"/>
        <w:jc w:val="left"/>
        <w:rPr>
          <w:rFonts w:ascii="宋体" w:hAnsi="宋体"/>
        </w:rPr>
      </w:pPr>
      <w:r>
        <w:rPr>
          <w:rFonts w:ascii="宋体" w:hAnsi="宋体"/>
        </w:rPr>
        <w:t>2、我方按照贵方</w:t>
      </w:r>
      <w:r>
        <w:rPr>
          <w:rFonts w:hint="eastAsia" w:ascii="宋体" w:hAnsi="宋体"/>
        </w:rPr>
        <w:t>比选</w:t>
      </w:r>
      <w:r>
        <w:rPr>
          <w:rFonts w:ascii="宋体" w:hAnsi="宋体"/>
        </w:rPr>
        <w:t>文件要求的内容与格式，已编制完成</w:t>
      </w:r>
      <w:r>
        <w:rPr>
          <w:rFonts w:hint="eastAsia" w:ascii="宋体" w:hAnsi="宋体"/>
        </w:rPr>
        <w:t>比选申请</w:t>
      </w:r>
      <w:r>
        <w:rPr>
          <w:rFonts w:ascii="宋体" w:hAnsi="宋体"/>
        </w:rPr>
        <w:t>文件，现报上。</w:t>
      </w:r>
    </w:p>
    <w:p>
      <w:pPr>
        <w:snapToGrid w:val="0"/>
        <w:spacing w:before="0" w:after="0" w:afterAutospacing="0" w:line="400" w:lineRule="exact"/>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napToGrid w:val="0"/>
        <w:spacing w:before="0" w:after="0" w:afterAutospacing="0" w:line="400" w:lineRule="exact"/>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没有处于被责令停业，或投标资格被住建部、国家安监总局、广西区或南宁市建设行政主管部门取消，或财产被接管、破产状态</w:t>
      </w:r>
      <w:r>
        <w:rPr>
          <w:rFonts w:ascii="宋体" w:hAnsi="宋体"/>
          <w:b/>
        </w:rPr>
        <w:t>；在</w:t>
      </w:r>
      <w:r>
        <w:rPr>
          <w:rFonts w:hint="eastAsia" w:ascii="宋体" w:hAnsi="宋体"/>
          <w:b/>
        </w:rPr>
        <w:t>投标截止时间前</w:t>
      </w:r>
      <w:r>
        <w:rPr>
          <w:rFonts w:ascii="宋体" w:hAnsi="宋体"/>
          <w:b/>
        </w:rPr>
        <w:t>3年内没有骗取中标</w:t>
      </w:r>
      <w:r>
        <w:rPr>
          <w:rFonts w:hint="eastAsia" w:ascii="宋体" w:hAnsi="宋体"/>
          <w:b/>
        </w:rPr>
        <w:t>、严重违约或重大质量安全责任事故。</w:t>
      </w:r>
    </w:p>
    <w:p>
      <w:pPr>
        <w:snapToGrid w:val="0"/>
        <w:spacing w:before="0" w:after="0" w:afterAutospacing="0" w:line="400" w:lineRule="exact"/>
        <w:ind w:left="0" w:right="0" w:firstLine="420" w:firstLineChars="200"/>
        <w:jc w:val="left"/>
        <w:rPr>
          <w:rFonts w:ascii="宋体" w:hAnsi="宋体"/>
        </w:rPr>
      </w:pPr>
      <w:r>
        <w:rPr>
          <w:rFonts w:hint="eastAsia" w:ascii="宋体" w:hAnsi="宋体"/>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报名、比选申请</w:t>
      </w:r>
      <w:r>
        <w:rPr>
          <w:rFonts w:ascii="宋体" w:hAnsi="宋体"/>
        </w:rPr>
        <w:t>过程中或者在中</w:t>
      </w:r>
      <w:r>
        <w:rPr>
          <w:rFonts w:hint="eastAsia" w:ascii="宋体" w:hAnsi="宋体"/>
        </w:rPr>
        <w:t>选</w:t>
      </w:r>
      <w:r>
        <w:rPr>
          <w:rFonts w:ascii="宋体" w:hAnsi="宋体"/>
        </w:rPr>
        <w:t>后，比选人或者有管辖权的</w:t>
      </w:r>
      <w:r>
        <w:rPr>
          <w:rFonts w:hint="eastAsia" w:ascii="宋体" w:hAnsi="宋体"/>
        </w:rPr>
        <w:t>招</w:t>
      </w:r>
      <w:r>
        <w:rPr>
          <w:rFonts w:ascii="宋体" w:hAnsi="宋体"/>
        </w:rPr>
        <w:t>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w:t>
      </w:r>
      <w:r>
        <w:rPr>
          <w:rFonts w:ascii="宋体" w:hAnsi="宋体"/>
        </w:rPr>
        <w:t>文件的有效组成内容，也是我公司真实意思的表示，对我公司在与该项目有关的任何行为中始终具有优先的法律约束力。</w:t>
      </w:r>
    </w:p>
    <w:p>
      <w:pPr>
        <w:snapToGrid w:val="0"/>
        <w:spacing w:before="0" w:after="0" w:afterAutospacing="0" w:line="400" w:lineRule="exact"/>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是否中标</w:t>
      </w:r>
      <w:r>
        <w:rPr>
          <w:rFonts w:ascii="宋体" w:hAnsi="宋体"/>
        </w:rPr>
        <w:t>，我方将自行承担与</w:t>
      </w:r>
      <w:r>
        <w:rPr>
          <w:rFonts w:hint="eastAsia" w:ascii="宋体" w:hAnsi="宋体"/>
        </w:rPr>
        <w:t>比选</w:t>
      </w:r>
      <w:r>
        <w:rPr>
          <w:rFonts w:ascii="宋体" w:hAnsi="宋体"/>
        </w:rPr>
        <w:t>活动所需的一切费用。</w:t>
      </w:r>
    </w:p>
    <w:p>
      <w:pPr>
        <w:snapToGrid w:val="0"/>
        <w:spacing w:before="0" w:after="0" w:afterAutospacing="0" w:line="400" w:lineRule="exact"/>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ascii="宋体" w:hAnsi="宋体"/>
          <w:b/>
        </w:rPr>
      </w:pPr>
      <w:r>
        <w:rPr>
          <w:rFonts w:hint="eastAsia" w:ascii="宋体" w:hAnsi="宋体"/>
          <w:b/>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422" w:firstLineChars="200"/>
        <w:jc w:val="left"/>
        <w:rPr>
          <w:rFonts w:ascii="宋体" w:hAnsi="宋体"/>
        </w:rPr>
      </w:pPr>
      <w:r>
        <w:rPr>
          <w:rFonts w:hint="eastAsia" w:ascii="宋体" w:hAnsi="宋体"/>
          <w:b/>
        </w:rPr>
        <w:t>9、我单位未被列入比选人不良信用名单。</w:t>
      </w:r>
    </w:p>
    <w:p>
      <w:pPr>
        <w:snapToGrid w:val="0"/>
        <w:spacing w:before="0" w:after="0" w:afterAutospacing="0" w:line="400" w:lineRule="exact"/>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w:t>
      </w:r>
      <w:r>
        <w:rPr>
          <w:rFonts w:hint="eastAsia" w:ascii="宋体" w:hAnsi="宋体"/>
          <w:lang w:val="en-US" w:eastAsia="zh-CN"/>
        </w:rPr>
        <w:t xml:space="preserve">    </w:t>
      </w:r>
      <w:r>
        <w:rPr>
          <w:rFonts w:ascii="宋体" w:hAnsi="宋体"/>
        </w:rPr>
        <w:t>年</w:t>
      </w:r>
      <w:r>
        <w:rPr>
          <w:rFonts w:hint="eastAsia" w:ascii="宋体" w:hAnsi="宋体"/>
        </w:rPr>
        <w:t xml:space="preserve"> </w:t>
      </w:r>
      <w:r>
        <w:rPr>
          <w:rFonts w:hint="eastAsia" w:ascii="宋体" w:hAnsi="宋体"/>
          <w:lang w:val="en-US" w:eastAsia="zh-CN"/>
        </w:rPr>
        <w:t xml:space="preserve">   </w:t>
      </w:r>
      <w:r>
        <w:rPr>
          <w:rFonts w:ascii="宋体" w:hAnsi="宋体"/>
        </w:rPr>
        <w:t>月</w:t>
      </w:r>
      <w:r>
        <w:rPr>
          <w:rFonts w:hint="eastAsia" w:ascii="宋体" w:hAnsi="宋体"/>
        </w:rPr>
        <w:t xml:space="preserve"> </w:t>
      </w:r>
      <w:r>
        <w:rPr>
          <w:rFonts w:hint="eastAsia" w:ascii="宋体" w:hAnsi="宋体"/>
          <w:lang w:val="en-US" w:eastAsia="zh-CN"/>
        </w:rPr>
        <w:t xml:space="preserve">   </w:t>
      </w:r>
      <w:r>
        <w:rPr>
          <w:rFonts w:ascii="宋体" w:hAnsi="宋体"/>
        </w:rPr>
        <w:t>日</w:t>
      </w:r>
    </w:p>
    <w:p>
      <w:pPr>
        <w:spacing w:before="0" w:after="0" w:afterAutospacing="0"/>
        <w:ind w:left="0" w:right="0" w:firstLine="420" w:firstLineChars="200"/>
        <w:rPr>
          <w:rFonts w:hAnsi="宋体"/>
        </w:rPr>
      </w:pPr>
    </w:p>
    <w:p>
      <w:pPr>
        <w:pStyle w:val="4"/>
        <w:pageBreakBefore/>
        <w:widowControl w:val="0"/>
        <w:spacing w:before="40" w:after="100" w:line="240" w:lineRule="auto"/>
        <w:ind w:left="0" w:right="-28" w:firstLine="0"/>
        <w:jc w:val="center"/>
        <w:rPr>
          <w:rFonts w:ascii="Times New Roman" w:hAnsi="Times New Roman" w:eastAsia="宋体"/>
        </w:rPr>
      </w:pPr>
      <w:bookmarkStart w:id="258" w:name="_Toc101965700"/>
      <w:bookmarkStart w:id="259" w:name="_Toc6444"/>
      <w:r>
        <w:rPr>
          <w:rFonts w:hint="eastAsia" w:ascii="Times New Roman" w:hAnsi="Times New Roman" w:eastAsia="宋体"/>
        </w:rPr>
        <w:t>三、比选申请报价表</w:t>
      </w:r>
      <w:bookmarkEnd w:id="258"/>
      <w:bookmarkEnd w:id="259"/>
    </w:p>
    <w:p>
      <w:pPr>
        <w:spacing w:before="0" w:after="0" w:afterAutospacing="0"/>
        <w:ind w:left="0" w:right="0" w:firstLine="420" w:firstLineChars="200"/>
        <w:rPr>
          <w:rFonts w:hAnsi="宋体"/>
        </w:rPr>
      </w:pPr>
    </w:p>
    <w:p>
      <w:pPr>
        <w:spacing w:before="0" w:after="0" w:afterAutospacing="0"/>
        <w:ind w:left="812" w:right="0" w:hanging="812" w:hangingChars="337"/>
        <w:jc w:val="left"/>
        <w:outlineLvl w:val="2"/>
        <w:rPr>
          <w:rFonts w:asciiTheme="minorEastAsia" w:hAnsiTheme="minorEastAsia" w:eastAsiaTheme="minorEastAsia"/>
          <w:b/>
          <w:sz w:val="24"/>
          <w:szCs w:val="24"/>
        </w:rPr>
      </w:pPr>
      <w:r>
        <w:rPr>
          <w:rFonts w:hint="eastAsia" w:asciiTheme="minorEastAsia" w:hAnsiTheme="minorEastAsia" w:eastAsiaTheme="minorEastAsia"/>
          <w:b/>
          <w:sz w:val="24"/>
          <w:szCs w:val="24"/>
        </w:rPr>
        <w:t>3.1比选申请报价一览表</w:t>
      </w:r>
    </w:p>
    <w:p>
      <w:pPr>
        <w:spacing w:before="0" w:after="0" w:afterAutospacing="0"/>
        <w:ind w:left="0" w:right="0" w:firstLine="420" w:firstLineChars="200"/>
        <w:rPr>
          <w:rFonts w:hAnsi="宋体"/>
        </w:rPr>
      </w:pPr>
    </w:p>
    <w:tbl>
      <w:tblPr>
        <w:tblStyle w:val="28"/>
        <w:tblW w:w="87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jc w:val="center"/>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u w:val="single"/>
              </w:rPr>
            </w:pPr>
            <w:r>
              <w:rPr>
                <w:rFonts w:hint="eastAsia" w:ascii="宋体" w:hAnsi="宋体"/>
                <w:b/>
                <w:bCs/>
                <w:kern w:val="2"/>
              </w:rPr>
              <w:t>比选申请报价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2446" w:type="dxa"/>
            <w:vMerge w:val="restart"/>
            <w:vAlign w:val="center"/>
          </w:tcPr>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比选申请总报价</w:t>
            </w:r>
          </w:p>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(不含增值税)</w:t>
            </w:r>
          </w:p>
        </w:tc>
        <w:tc>
          <w:tcPr>
            <w:tcW w:w="513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ind w:right="-57" w:rightChars="-27"/>
              <w:jc w:val="left"/>
              <w:textAlignment w:val="auto"/>
              <w:rPr>
                <w:rFonts w:ascii="宋体" w:hAnsi="宋体"/>
                <w:b/>
                <w:kern w:val="2"/>
              </w:rPr>
            </w:pPr>
            <w:r>
              <w:rPr>
                <w:rFonts w:hint="eastAsia" w:ascii="宋体" w:hAnsi="宋体"/>
                <w:b/>
                <w:kern w:val="2"/>
              </w:rPr>
              <w:t>小写：</w:t>
            </w:r>
          </w:p>
        </w:tc>
        <w:tc>
          <w:tcPr>
            <w:tcW w:w="1178" w:type="dxa"/>
            <w:vMerge w:val="restart"/>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2446" w:type="dxa"/>
            <w:vMerge w:val="continue"/>
            <w:vAlign w:val="center"/>
          </w:tcPr>
          <w:p>
            <w:pPr>
              <w:widowControl w:val="0"/>
              <w:snapToGrid w:val="0"/>
              <w:spacing w:before="0" w:after="0" w:afterAutospacing="0"/>
              <w:ind w:right="-57" w:rightChars="-27"/>
              <w:jc w:val="center"/>
              <w:rPr>
                <w:rFonts w:ascii="宋体" w:hAnsi="宋体"/>
                <w:b/>
                <w:bCs/>
                <w:kern w:val="2"/>
              </w:rPr>
            </w:pPr>
          </w:p>
        </w:tc>
        <w:tc>
          <w:tcPr>
            <w:tcW w:w="513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ind w:left="0" w:right="-57" w:rightChars="-27" w:firstLine="0"/>
              <w:jc w:val="left"/>
              <w:textAlignment w:val="auto"/>
              <w:rPr>
                <w:rFonts w:ascii="宋体" w:hAnsi="宋体"/>
                <w:b/>
                <w:kern w:val="2"/>
              </w:rPr>
            </w:pPr>
            <w:r>
              <w:rPr>
                <w:rFonts w:hint="eastAsia" w:ascii="宋体" w:hAnsi="宋体"/>
                <w:b/>
                <w:kern w:val="2"/>
              </w:rPr>
              <w:t xml:space="preserve">大写： </w:t>
            </w:r>
          </w:p>
        </w:tc>
        <w:tc>
          <w:tcPr>
            <w:tcW w:w="1178" w:type="dxa"/>
            <w:vMerge w:val="continue"/>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2446" w:type="dxa"/>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税率</w:t>
            </w:r>
          </w:p>
        </w:tc>
        <w:tc>
          <w:tcPr>
            <w:tcW w:w="6309" w:type="dxa"/>
            <w:gridSpan w:val="2"/>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2446" w:type="dxa"/>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交货期</w:t>
            </w:r>
          </w:p>
        </w:tc>
        <w:tc>
          <w:tcPr>
            <w:tcW w:w="6309" w:type="dxa"/>
            <w:gridSpan w:val="2"/>
            <w:vAlign w:val="center"/>
          </w:tcPr>
          <w:p>
            <w:pPr>
              <w:widowControl w:val="0"/>
              <w:snapToGrid w:val="0"/>
              <w:spacing w:before="0" w:after="0" w:afterAutospacing="0"/>
              <w:ind w:right="-57" w:rightChars="-27"/>
              <w:rPr>
                <w:rFonts w:hint="eastAsia" w:ascii="宋体" w:hAnsi="宋体" w:eastAsia="宋体"/>
                <w:b/>
                <w:kern w:val="2"/>
                <w:lang w:eastAsia="zh-CN"/>
              </w:rPr>
            </w:pPr>
            <w:r>
              <w:rPr>
                <w:rFonts w:hint="eastAsia" w:ascii="宋体" w:hAnsi="宋体"/>
                <w:b/>
                <w:kern w:val="2"/>
                <w:lang w:eastAsia="zh-CN"/>
              </w:rPr>
              <w:t>按比选文件要求执行</w:t>
            </w:r>
          </w:p>
        </w:tc>
      </w:tr>
    </w:tbl>
    <w:p>
      <w:pPr>
        <w:spacing w:before="0" w:after="0" w:afterAutospacing="0"/>
        <w:ind w:left="0" w:right="0" w:firstLine="420" w:firstLineChars="200"/>
        <w:rPr>
          <w:rFonts w:hAnsi="宋体"/>
        </w:rPr>
      </w:pPr>
    </w:p>
    <w:p>
      <w:pPr>
        <w:spacing w:before="0" w:after="0" w:afterAutospacing="0"/>
        <w:ind w:left="0" w:right="0" w:firstLine="424" w:firstLineChars="202"/>
        <w:rPr>
          <w:rFonts w:ascii="宋体" w:hAnsi="宋体"/>
        </w:rPr>
      </w:pPr>
      <w:r>
        <w:rPr>
          <w:rFonts w:hint="eastAsia" w:ascii="宋体" w:hAnsi="宋体"/>
        </w:rPr>
        <w:t>注</w:t>
      </w:r>
      <w:r>
        <w:rPr>
          <w:rFonts w:ascii="宋体" w:hAnsi="宋体"/>
        </w:rPr>
        <w:t>:</w:t>
      </w:r>
      <w:r>
        <w:rPr>
          <w:rFonts w:hint="eastAsia" w:ascii="宋体" w:hAnsi="宋体"/>
        </w:rPr>
        <w:t>比选申请</w:t>
      </w:r>
      <w:r>
        <w:rPr>
          <w:rFonts w:hint="eastAsia" w:ascii="宋体" w:hAnsi="宋体"/>
          <w:lang w:eastAsia="zh-CN"/>
        </w:rPr>
        <w:t>总</w:t>
      </w:r>
      <w:r>
        <w:rPr>
          <w:rFonts w:hint="eastAsia" w:ascii="宋体" w:hAnsi="宋体"/>
        </w:rPr>
        <w:t>报价应包括货物价款、</w:t>
      </w:r>
      <w:r>
        <w:rPr>
          <w:rFonts w:hint="eastAsia" w:ascii="宋体" w:hAnsi="宋体"/>
          <w:lang w:eastAsia="zh-CN"/>
        </w:rPr>
        <w:t>安装、</w:t>
      </w:r>
      <w:r>
        <w:rPr>
          <w:rFonts w:hint="eastAsia" w:ascii="宋体" w:hAnsi="宋体"/>
        </w:rPr>
        <w:t>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校准报告检测费、质量保证期服务、培训、人工工资、管理费、利润、保险等一切履行合同标的全过程产生的除增值税外所有费用。</w:t>
      </w:r>
    </w:p>
    <w:p>
      <w:pPr>
        <w:spacing w:before="0" w:after="0" w:afterAutospacing="0"/>
        <w:ind w:left="0" w:right="0" w:firstLine="420" w:firstLineChars="200"/>
        <w:rPr>
          <w:rFonts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w:t>
      </w:r>
      <w:r>
        <w:rPr>
          <w:rFonts w:hint="eastAsia" w:ascii="宋体" w:hAnsi="宋体"/>
          <w:lang w:val="en-US" w:eastAsia="zh-CN"/>
        </w:rPr>
        <w:t xml:space="preserve">    </w:t>
      </w:r>
      <w:r>
        <w:rPr>
          <w:rFonts w:ascii="宋体" w:hAnsi="宋体"/>
        </w:rPr>
        <w:t>年</w:t>
      </w:r>
      <w:r>
        <w:rPr>
          <w:rFonts w:hint="eastAsia" w:ascii="宋体" w:hAnsi="宋体"/>
        </w:rPr>
        <w:t xml:space="preserve"> </w:t>
      </w:r>
      <w:r>
        <w:rPr>
          <w:rFonts w:hint="eastAsia" w:ascii="宋体" w:hAnsi="宋体"/>
          <w:lang w:val="en-US" w:eastAsia="zh-CN"/>
        </w:rPr>
        <w:t xml:space="preserve">   </w:t>
      </w:r>
      <w:r>
        <w:rPr>
          <w:rFonts w:ascii="宋体" w:hAnsi="宋体"/>
        </w:rPr>
        <w:t>月</w:t>
      </w:r>
      <w:r>
        <w:rPr>
          <w:rFonts w:hint="eastAsia" w:ascii="宋体" w:hAnsi="宋体"/>
        </w:rPr>
        <w:t xml:space="preserve"> </w:t>
      </w:r>
      <w:r>
        <w:rPr>
          <w:rFonts w:hint="eastAsia" w:ascii="宋体" w:hAnsi="宋体"/>
          <w:lang w:val="en-US" w:eastAsia="zh-CN"/>
        </w:rPr>
        <w:t xml:space="preserve">   </w:t>
      </w:r>
      <w:r>
        <w:rPr>
          <w:rFonts w:ascii="宋体" w:hAnsi="宋体"/>
        </w:rPr>
        <w:t>日</w:t>
      </w:r>
    </w:p>
    <w:p>
      <w:pPr>
        <w:spacing w:before="0" w:after="0" w:afterAutospacing="0"/>
        <w:ind w:left="0" w:right="0" w:firstLine="420" w:firstLineChars="200"/>
        <w:rPr>
          <w:rFonts w:hAnsi="宋体"/>
        </w:rPr>
      </w:pPr>
    </w:p>
    <w:p>
      <w:pPr>
        <w:pageBreakBefore/>
        <w:spacing w:before="0" w:after="0" w:afterAutospacing="0"/>
        <w:ind w:left="812" w:right="0" w:hanging="710" w:hangingChars="337"/>
        <w:jc w:val="left"/>
        <w:outlineLvl w:val="2"/>
        <w:rPr>
          <w:rFonts w:asciiTheme="minorEastAsia" w:hAnsiTheme="minorEastAsia" w:eastAsiaTheme="minorEastAsia"/>
          <w:b/>
          <w:sz w:val="21"/>
          <w:szCs w:val="21"/>
        </w:rPr>
      </w:pPr>
      <w:r>
        <w:rPr>
          <w:rFonts w:hint="eastAsia" w:asciiTheme="minorEastAsia" w:hAnsiTheme="minorEastAsia" w:eastAsiaTheme="minorEastAsia"/>
          <w:b/>
          <w:sz w:val="21"/>
          <w:szCs w:val="21"/>
        </w:rPr>
        <w:t>3.2比选申请报价明细表</w:t>
      </w:r>
    </w:p>
    <w:p>
      <w:pPr>
        <w:spacing w:before="0" w:after="0" w:afterAutospacing="0"/>
        <w:ind w:left="0" w:right="0" w:firstLine="420" w:firstLineChars="200"/>
        <w:rPr>
          <w:rFonts w:hAnsi="宋体"/>
        </w:rPr>
      </w:pPr>
    </w:p>
    <w:p>
      <w:pPr>
        <w:snapToGrid w:val="0"/>
        <w:spacing w:before="0" w:after="0" w:afterAutospacing="0"/>
        <w:ind w:right="-57" w:firstLine="0"/>
        <w:jc w:val="right"/>
        <w:rPr>
          <w:rFonts w:ascii="宋体" w:hAnsi="宋体"/>
        </w:rPr>
      </w:pPr>
      <w:r>
        <w:rPr>
          <w:rFonts w:ascii="宋体" w:hAnsi="宋体"/>
        </w:rPr>
        <w:t>单位：元</w:t>
      </w:r>
    </w:p>
    <w:tbl>
      <w:tblPr>
        <w:tblStyle w:val="28"/>
        <w:tblW w:w="5696" w:type="pct"/>
        <w:jc w:val="center"/>
        <w:shd w:val="clear" w:color="auto" w:fill="auto"/>
        <w:tblLayout w:type="fixed"/>
        <w:tblCellMar>
          <w:top w:w="0" w:type="dxa"/>
          <w:left w:w="108" w:type="dxa"/>
          <w:bottom w:w="0" w:type="dxa"/>
          <w:right w:w="108" w:type="dxa"/>
        </w:tblCellMar>
      </w:tblPr>
      <w:tblGrid>
        <w:gridCol w:w="693"/>
        <w:gridCol w:w="1602"/>
        <w:gridCol w:w="975"/>
        <w:gridCol w:w="4110"/>
        <w:gridCol w:w="765"/>
        <w:gridCol w:w="750"/>
        <w:gridCol w:w="795"/>
        <w:gridCol w:w="888"/>
      </w:tblGrid>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cs="宋体"/>
                <w:b/>
                <w:bCs/>
                <w:i w:val="0"/>
                <w:iCs w:val="0"/>
                <w:color w:val="000000"/>
                <w:kern w:val="0"/>
                <w:sz w:val="18"/>
                <w:szCs w:val="18"/>
                <w:u w:val="none"/>
                <w:lang w:val="en-US" w:eastAsia="zh-CN" w:bidi="ar"/>
              </w:rPr>
              <w:t>设备名称</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品牌</w:t>
            </w: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性能参数</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不含税单价</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不含税合价</w:t>
            </w: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7kW交流充电桩</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电动车充电站综合运营管理平台软件</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both"/>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both"/>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both"/>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汇聚交换机</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超五类网线</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低压动力电缆</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低压动力电缆</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低压电缆头制作</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低压电缆头制作</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PVC管&amp;安装-110</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PVC管&amp;安装-32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11</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保护专用开关</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12</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保护专用开关</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13</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保护专用开关</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14</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桩标准配电箱</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15</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电流互感器-4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16</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三相电能表-2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17</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接地扁钢采购&amp;安装-1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18</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防火封堵采购&amp;安装</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19</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电缆井</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20</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7kW桩土建基础</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21</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户外配电箱土建基础</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22</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沥青混凝土开挖及复原</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23</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车位标识牌</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24</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告示牌</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25</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水基灭火器</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iCs w:val="0"/>
                <w:color w:val="000000"/>
                <w:sz w:val="20"/>
                <w:szCs w:val="20"/>
                <w:u w:val="none"/>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left"/>
              <w:textAlignment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jc w:val="center"/>
        </w:trPr>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18"/>
                <w:szCs w:val="18"/>
                <w:u w:val="none"/>
                <w:lang w:val="en-US" w:eastAsia="zh-CN" w:bidi="ar"/>
              </w:rPr>
              <w:t>合计</w:t>
            </w:r>
          </w:p>
        </w:tc>
        <w:tc>
          <w:tcPr>
            <w:tcW w:w="7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9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b/>
                <w:bCs/>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0.00</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0.00</w:t>
            </w:r>
          </w:p>
        </w:tc>
      </w:tr>
    </w:tbl>
    <w:p>
      <w:pPr>
        <w:spacing w:before="0" w:after="0" w:afterAutospacing="0"/>
        <w:ind w:left="0" w:right="0" w:firstLine="424" w:firstLineChars="202"/>
        <w:rPr>
          <w:rFonts w:hint="eastAsia" w:ascii="宋体" w:hAnsi="宋体"/>
        </w:rPr>
      </w:pPr>
    </w:p>
    <w:p>
      <w:pPr>
        <w:spacing w:before="0" w:after="0" w:afterAutospacing="0"/>
        <w:ind w:left="0" w:right="0" w:firstLine="424" w:firstLineChars="202"/>
        <w:rPr>
          <w:rFonts w:ascii="宋体" w:hAnsi="宋体"/>
        </w:rPr>
      </w:pPr>
      <w:r>
        <w:rPr>
          <w:rFonts w:hint="eastAsia" w:ascii="宋体" w:hAnsi="宋体"/>
        </w:rPr>
        <w:t>注：</w:t>
      </w:r>
      <w:r>
        <w:rPr>
          <w:rFonts w:ascii="宋体" w:hAnsi="宋体"/>
        </w:rPr>
        <w:t>1、</w:t>
      </w:r>
      <w:r>
        <w:rPr>
          <w:rFonts w:hint="eastAsia" w:ascii="宋体" w:hAnsi="宋体"/>
        </w:rPr>
        <w:t>比选申请人须按《用户需求书》中的技术需求及数量表的顺序进行明细报价，不允许打乱顺序，不含税单价、不含税合价均精确到小数点后两位。</w:t>
      </w:r>
    </w:p>
    <w:p>
      <w:pPr>
        <w:spacing w:before="0" w:after="0" w:afterAutospacing="0"/>
        <w:ind w:left="0" w:right="0" w:firstLine="424" w:firstLineChars="202"/>
        <w:rPr>
          <w:rFonts w:ascii="宋体" w:hAnsi="宋体"/>
        </w:rPr>
      </w:pPr>
      <w:r>
        <w:rPr>
          <w:rFonts w:hint="eastAsia" w:ascii="宋体" w:hAnsi="宋体"/>
          <w:lang w:val="en-US" w:eastAsia="zh-CN"/>
        </w:rPr>
        <w:t>2</w:t>
      </w: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before="0" w:after="0" w:afterAutospacing="0"/>
        <w:ind w:left="0" w:right="0" w:firstLine="420" w:firstLineChars="200"/>
        <w:rPr>
          <w:rFonts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w:t>
      </w:r>
      <w:r>
        <w:rPr>
          <w:rFonts w:hint="eastAsia" w:ascii="宋体" w:hAnsi="宋体"/>
          <w:lang w:val="en-US" w:eastAsia="zh-CN"/>
        </w:rPr>
        <w:t xml:space="preserve">    </w:t>
      </w:r>
      <w:r>
        <w:rPr>
          <w:rFonts w:ascii="宋体" w:hAnsi="宋体"/>
        </w:rPr>
        <w:t>年</w:t>
      </w:r>
      <w:r>
        <w:rPr>
          <w:rFonts w:hint="eastAsia" w:ascii="宋体" w:hAnsi="宋体"/>
        </w:rPr>
        <w:t xml:space="preserve"> </w:t>
      </w:r>
      <w:r>
        <w:rPr>
          <w:rFonts w:hint="eastAsia" w:ascii="宋体" w:hAnsi="宋体"/>
          <w:lang w:val="en-US" w:eastAsia="zh-CN"/>
        </w:rPr>
        <w:t xml:space="preserve">   </w:t>
      </w:r>
      <w:r>
        <w:rPr>
          <w:rFonts w:ascii="宋体" w:hAnsi="宋体"/>
        </w:rPr>
        <w:t>月</w:t>
      </w:r>
      <w:r>
        <w:rPr>
          <w:rFonts w:hint="eastAsia" w:ascii="宋体" w:hAnsi="宋体"/>
        </w:rPr>
        <w:t xml:space="preserve"> </w:t>
      </w:r>
      <w:r>
        <w:rPr>
          <w:rFonts w:hint="eastAsia" w:ascii="宋体" w:hAnsi="宋体"/>
          <w:lang w:val="en-US" w:eastAsia="zh-CN"/>
        </w:rPr>
        <w:t xml:space="preserve">   </w:t>
      </w:r>
      <w:r>
        <w:rPr>
          <w:rFonts w:ascii="宋体" w:hAnsi="宋体"/>
        </w:rPr>
        <w:t>日</w:t>
      </w:r>
    </w:p>
    <w:p>
      <w:pPr>
        <w:spacing w:before="0" w:after="0" w:afterAutospacing="0"/>
        <w:ind w:left="0" w:right="0" w:firstLine="420" w:firstLineChars="200"/>
        <w:rPr>
          <w:rFonts w:hAnsi="宋体"/>
        </w:rPr>
      </w:pPr>
    </w:p>
    <w:p>
      <w:pPr>
        <w:pStyle w:val="4"/>
        <w:pageBreakBefore/>
        <w:widowControl w:val="0"/>
        <w:spacing w:before="40" w:after="100" w:line="240" w:lineRule="auto"/>
        <w:ind w:left="0" w:right="-28" w:firstLine="0"/>
        <w:jc w:val="center"/>
        <w:rPr>
          <w:rFonts w:ascii="Times New Roman" w:hAnsi="Times New Roman" w:eastAsia="宋体"/>
        </w:rPr>
      </w:pPr>
      <w:bookmarkStart w:id="260" w:name="_Toc101965701"/>
      <w:bookmarkStart w:id="261" w:name="_Toc19439"/>
      <w:r>
        <w:rPr>
          <w:rFonts w:hint="eastAsia" w:ascii="Times New Roman" w:hAnsi="Times New Roman" w:eastAsia="宋体"/>
        </w:rPr>
        <w:t>四、法定代表人身份证明及授权书</w:t>
      </w:r>
      <w:bookmarkEnd w:id="260"/>
      <w:bookmarkEnd w:id="261"/>
    </w:p>
    <w:p>
      <w:pPr>
        <w:spacing w:before="0" w:after="0" w:afterAutospacing="0"/>
        <w:ind w:left="0" w:right="0" w:firstLine="420" w:firstLineChars="200"/>
        <w:rPr>
          <w:rFonts w:hAnsi="宋体"/>
        </w:rPr>
      </w:pPr>
    </w:p>
    <w:p>
      <w:pPr>
        <w:spacing w:before="0" w:after="0" w:afterAutospacing="0"/>
        <w:ind w:left="812" w:right="0" w:hanging="710" w:hangingChars="337"/>
        <w:jc w:val="left"/>
        <w:outlineLvl w:val="2"/>
        <w:rPr>
          <w:rFonts w:asciiTheme="minorEastAsia" w:hAnsiTheme="minorEastAsia" w:eastAsiaTheme="minorEastAsia"/>
          <w:b/>
          <w:sz w:val="21"/>
          <w:szCs w:val="21"/>
        </w:rPr>
      </w:pPr>
      <w:r>
        <w:rPr>
          <w:rFonts w:hint="eastAsia" w:asciiTheme="minorEastAsia" w:hAnsiTheme="minorEastAsia" w:eastAsiaTheme="minorEastAsia"/>
          <w:b/>
          <w:sz w:val="21"/>
          <w:szCs w:val="21"/>
        </w:rPr>
        <w:t>4.1法定代表人身份证明</w:t>
      </w:r>
    </w:p>
    <w:p>
      <w:pPr>
        <w:spacing w:before="0" w:after="0" w:afterAutospacing="0"/>
        <w:ind w:left="0" w:right="0" w:firstLine="420" w:firstLineChars="200"/>
        <w:rPr>
          <w:rFonts w:hAnsi="宋体"/>
        </w:rPr>
      </w:pPr>
    </w:p>
    <w:p>
      <w:pPr>
        <w:spacing w:before="240" w:after="240"/>
        <w:ind w:right="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w:t>
      </w:r>
      <w:r>
        <w:rPr>
          <w:rFonts w:hint="eastAsia" w:ascii="宋体" w:hAnsi="宋体"/>
        </w:rPr>
        <w:t>：</w:t>
      </w:r>
      <w:r>
        <w:rPr>
          <w:rFonts w:hint="eastAsia" w:ascii="宋体" w:hAnsi="宋体"/>
          <w:color w:val="FF0000"/>
          <w:u w:val="single"/>
        </w:rPr>
        <w:t>（填写）</w:t>
      </w:r>
      <w:r>
        <w:rPr>
          <w:rFonts w:ascii="宋体" w:hAnsi="宋体"/>
        </w:rPr>
        <w:t>性别：</w:t>
      </w:r>
      <w:r>
        <w:rPr>
          <w:rFonts w:hint="eastAsia" w:ascii="宋体" w:hAnsi="宋体"/>
          <w:color w:val="FF0000"/>
          <w:u w:val="single"/>
        </w:rPr>
        <w:t>（填写）</w:t>
      </w:r>
      <w:r>
        <w:rPr>
          <w:rFonts w:ascii="宋体" w:hAnsi="宋体"/>
        </w:rPr>
        <w:t>年龄：</w:t>
      </w:r>
      <w:r>
        <w:rPr>
          <w:rFonts w:hint="eastAsia" w:ascii="宋体" w:hAnsi="宋体"/>
          <w:color w:val="FF0000"/>
          <w:u w:val="single"/>
        </w:rPr>
        <w:t>（填写）</w:t>
      </w:r>
      <w:r>
        <w:rPr>
          <w:rFonts w:ascii="宋体" w:hAnsi="宋体"/>
        </w:rPr>
        <w:t>职务：</w:t>
      </w:r>
      <w:r>
        <w:rPr>
          <w:rFonts w:hint="eastAsia" w:ascii="宋体" w:hAnsi="宋体"/>
          <w:color w:val="FF0000"/>
          <w:u w:val="single"/>
        </w:rPr>
        <w:t>（填写）</w:t>
      </w:r>
    </w:p>
    <w:p>
      <w:pPr>
        <w:ind w:right="0" w:firstLine="200"/>
        <w:rPr>
          <w:rFonts w:ascii="宋体" w:hAnsi="宋体"/>
        </w:rPr>
      </w:pPr>
      <w:r>
        <w:rPr>
          <w:rFonts w:ascii="宋体" w:hAnsi="宋体"/>
        </w:rPr>
        <w:t>系</w:t>
      </w:r>
      <w:r>
        <w:rPr>
          <w:rFonts w:hint="eastAsia" w:ascii="宋体" w:hAnsi="宋体"/>
          <w:color w:val="FF0000"/>
          <w:u w:val="single"/>
        </w:rPr>
        <w:t xml:space="preserve">   （填写）       </w:t>
      </w:r>
      <w:r>
        <w:rPr>
          <w:rFonts w:hint="eastAsia" w:ascii="宋体" w:hAnsi="宋体"/>
        </w:rPr>
        <w:t xml:space="preserve"> </w:t>
      </w:r>
      <w:r>
        <w:rPr>
          <w:rFonts w:ascii="宋体" w:hAnsi="宋体"/>
        </w:rPr>
        <w:t>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hint="eastAsia" w:ascii="宋体" w:hAnsi="宋体"/>
          <w:lang w:val="en-US" w:eastAsia="zh-CN"/>
        </w:rPr>
        <w:t>比选申请</w:t>
      </w:r>
      <w:r>
        <w:rPr>
          <w:rFonts w:ascii="宋体" w:hAnsi="宋体"/>
        </w:rPr>
        <w:t>人：</w:t>
      </w:r>
      <w:r>
        <w:rPr>
          <w:rFonts w:hint="eastAsia" w:ascii="宋体" w:hAnsi="宋体"/>
          <w:color w:val="FF0000"/>
          <w:u w:val="single"/>
        </w:rPr>
        <w:t>（填写）</w:t>
      </w:r>
      <w:r>
        <w:rPr>
          <w:rFonts w:ascii="宋体" w:hAnsi="宋体"/>
        </w:rPr>
        <w:t>（盖章）</w:t>
      </w:r>
    </w:p>
    <w:p>
      <w:pPr>
        <w:ind w:right="0"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hint="eastAsia" w:ascii="宋体" w:hAnsi="宋体"/>
          <w:lang w:val="en-US" w:eastAsia="zh-CN"/>
        </w:rPr>
        <w:t xml:space="preserve">  </w:t>
      </w:r>
      <w:r>
        <w:rPr>
          <w:rFonts w:ascii="宋体" w:hAnsi="宋体"/>
        </w:rPr>
        <w:t>月</w:t>
      </w:r>
      <w:r>
        <w:rPr>
          <w:rFonts w:hint="eastAsia" w:ascii="宋体" w:hAnsi="宋体"/>
        </w:rPr>
        <w:t xml:space="preserve">   </w:t>
      </w:r>
      <w:r>
        <w:rPr>
          <w:rFonts w:hint="eastAsia" w:ascii="宋体" w:hAnsi="宋体"/>
          <w:lang w:val="en-US" w:eastAsia="zh-CN"/>
        </w:rPr>
        <w:t xml:space="preserve"> </w:t>
      </w:r>
      <w:r>
        <w:rPr>
          <w:rFonts w:ascii="宋体" w:hAnsi="宋体"/>
        </w:rPr>
        <w:t>日</w:t>
      </w:r>
    </w:p>
    <w:p>
      <w:pPr>
        <w:spacing w:before="0"/>
        <w:ind w:right="0" w:firstLine="135"/>
        <w:rPr>
          <w:rFonts w:ascii="宋体" w:hAnsi="宋体"/>
          <w:b/>
        </w:rPr>
      </w:pPr>
      <w:r>
        <w:rPr>
          <w:rFonts w:hint="eastAsia" w:ascii="宋体" w:hAnsi="宋体"/>
          <w:b/>
        </w:rPr>
        <w:t>附</w:t>
      </w:r>
      <w:r>
        <w:rPr>
          <w:rFonts w:ascii="宋体" w:hAnsi="宋体"/>
          <w:b/>
        </w:rPr>
        <w:t xml:space="preserve">: </w:t>
      </w:r>
      <w:r>
        <w:rPr>
          <w:rFonts w:hint="eastAsia" w:ascii="宋体" w:hAnsi="宋体"/>
          <w:b/>
        </w:rPr>
        <w:t>法定代表人身份证复印件</w:t>
      </w:r>
    </w:p>
    <w:p>
      <w:pPr>
        <w:spacing w:before="0" w:after="0" w:afterAutospacing="0"/>
        <w:ind w:left="0" w:right="0" w:firstLine="420" w:firstLineChars="200"/>
        <w:rPr>
          <w:rFonts w:hAnsi="宋体"/>
        </w:rPr>
      </w:pPr>
    </w:p>
    <w:p>
      <w:pPr>
        <w:pageBreakBefore/>
        <w:spacing w:before="0" w:after="0" w:afterAutospacing="0"/>
        <w:ind w:left="812" w:right="0" w:hanging="710" w:hangingChars="337"/>
        <w:jc w:val="left"/>
        <w:outlineLvl w:val="2"/>
        <w:rPr>
          <w:rFonts w:asciiTheme="minorEastAsia" w:hAnsiTheme="minorEastAsia" w:eastAsiaTheme="minorEastAsia"/>
          <w:b/>
          <w:sz w:val="21"/>
          <w:szCs w:val="21"/>
        </w:rPr>
      </w:pPr>
      <w:r>
        <w:rPr>
          <w:rFonts w:hint="eastAsia" w:asciiTheme="minorEastAsia" w:hAnsiTheme="minorEastAsia" w:eastAsiaTheme="minorEastAsia"/>
          <w:b/>
          <w:sz w:val="21"/>
          <w:szCs w:val="21"/>
        </w:rPr>
        <w:t>4.2法定代表人授权书</w:t>
      </w:r>
    </w:p>
    <w:p>
      <w:pPr>
        <w:spacing w:before="0" w:after="0" w:afterAutospacing="0"/>
        <w:ind w:left="0" w:right="0" w:firstLine="420" w:firstLineChars="200"/>
        <w:rPr>
          <w:rFonts w:hAnsi="宋体"/>
        </w:rPr>
      </w:pPr>
    </w:p>
    <w:p>
      <w:pPr>
        <w:spacing w:before="240" w:after="240"/>
        <w:ind w:right="0"/>
        <w:jc w:val="center"/>
        <w:rPr>
          <w:rFonts w:ascii="宋体" w:hAnsi="宋体"/>
          <w:b/>
          <w:sz w:val="32"/>
          <w:szCs w:val="32"/>
        </w:rPr>
      </w:pPr>
      <w:r>
        <w:rPr>
          <w:rFonts w:ascii="宋体" w:hAnsi="宋体"/>
          <w:b/>
          <w:sz w:val="32"/>
          <w:szCs w:val="32"/>
        </w:rPr>
        <w:t>法定代表人</w:t>
      </w:r>
      <w:r>
        <w:rPr>
          <w:rFonts w:hint="eastAsia" w:ascii="宋体" w:hAnsi="宋体"/>
          <w:b/>
          <w:sz w:val="32"/>
          <w:szCs w:val="32"/>
        </w:rPr>
        <w:t>授权</w:t>
      </w:r>
      <w:r>
        <w:rPr>
          <w:rFonts w:ascii="宋体" w:hAnsi="宋体"/>
          <w:b/>
          <w:sz w:val="32"/>
          <w:szCs w:val="32"/>
        </w:rPr>
        <w:t>书</w:t>
      </w:r>
    </w:p>
    <w:p>
      <w:pPr>
        <w:spacing w:before="0" w:after="0" w:afterAutospacing="0"/>
        <w:ind w:left="0" w:right="0" w:firstLine="420" w:firstLineChars="200"/>
        <w:rPr>
          <w:rFonts w:hAnsi="宋体"/>
        </w:rPr>
      </w:pPr>
    </w:p>
    <w:p>
      <w:pPr>
        <w:tabs>
          <w:tab w:val="left" w:pos="8364"/>
        </w:tabs>
        <w:snapToGrid w:val="0"/>
        <w:ind w:left="500" w:right="0" w:hanging="499"/>
        <w:rPr>
          <w:rFonts w:ascii="宋体" w:hAnsi="宋体"/>
        </w:rPr>
      </w:pPr>
      <w:r>
        <w:rPr>
          <w:rFonts w:ascii="宋体" w:hAnsi="宋体"/>
        </w:rPr>
        <w:t>致：</w:t>
      </w:r>
      <w:r>
        <w:rPr>
          <w:rFonts w:hint="eastAsia" w:ascii="宋体" w:hAnsi="宋体" w:cs="Arial"/>
          <w:color w:val="FF0000"/>
          <w:u w:val="single"/>
        </w:rPr>
        <w:t>（比选人名称）</w:t>
      </w:r>
    </w:p>
    <w:p>
      <w:pPr>
        <w:tabs>
          <w:tab w:val="left" w:pos="8364"/>
        </w:tabs>
        <w:snapToGrid w:val="0"/>
        <w:ind w:left="0" w:right="0" w:firstLine="426"/>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w:t>
      </w:r>
      <w:r>
        <w:rPr>
          <w:rFonts w:hint="eastAsia" w:ascii="宋体" w:hAnsi="宋体"/>
          <w:u w:val="single"/>
        </w:rPr>
        <w:t>比选申请</w:t>
      </w:r>
      <w:r>
        <w:rPr>
          <w:rFonts w:ascii="宋体" w:hAnsi="宋体"/>
          <w:u w:val="single"/>
        </w:rPr>
        <w:t>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w:t>
      </w:r>
      <w:r>
        <w:rPr>
          <w:rFonts w:hint="eastAsia" w:ascii="宋体" w:hAnsi="宋体"/>
          <w:lang w:val="en-US" w:eastAsia="zh-CN"/>
        </w:rPr>
        <w:t>比选</w:t>
      </w:r>
      <w:r>
        <w:rPr>
          <w:rFonts w:ascii="宋体" w:hAnsi="宋体"/>
        </w:rPr>
        <w:t>编号为</w:t>
      </w:r>
      <w:r>
        <w:rPr>
          <w:rFonts w:hint="eastAsia" w:ascii="宋体" w:hAnsi="宋体"/>
          <w:color w:val="FF0000"/>
          <w:u w:val="single"/>
        </w:rPr>
        <w:t>（填写）</w:t>
      </w:r>
      <w:r>
        <w:rPr>
          <w:rFonts w:ascii="宋体" w:hAnsi="宋体"/>
        </w:rPr>
        <w:t>的</w:t>
      </w:r>
      <w:r>
        <w:rPr>
          <w:rFonts w:hint="eastAsia" w:ascii="宋体" w:hAnsi="宋体"/>
          <w:color w:val="FF0000"/>
          <w:u w:val="single"/>
        </w:rPr>
        <w:t>（填写）</w:t>
      </w:r>
      <w:r>
        <w:rPr>
          <w:rFonts w:ascii="宋体" w:hAnsi="宋体"/>
        </w:rPr>
        <w:t>项目的</w:t>
      </w:r>
      <w:r>
        <w:rPr>
          <w:rFonts w:hint="eastAsia" w:ascii="宋体" w:hAnsi="宋体"/>
        </w:rPr>
        <w:t>比选申请</w:t>
      </w:r>
      <w:r>
        <w:rPr>
          <w:rFonts w:ascii="宋体" w:hAnsi="宋体"/>
        </w:rPr>
        <w:t>和合同执行，作为</w:t>
      </w:r>
      <w:r>
        <w:rPr>
          <w:rFonts w:hint="eastAsia" w:ascii="宋体" w:hAnsi="宋体"/>
        </w:rPr>
        <w:t>比选申请</w:t>
      </w:r>
      <w:r>
        <w:rPr>
          <w:rFonts w:ascii="宋体" w:hAnsi="宋体"/>
        </w:rPr>
        <w:t>人代表以本公司的名义处理一切与之有关的事宜。</w:t>
      </w:r>
    </w:p>
    <w:p>
      <w:pPr>
        <w:tabs>
          <w:tab w:val="left" w:pos="8364"/>
        </w:tabs>
        <w:snapToGrid w:val="0"/>
        <w:ind w:left="0" w:right="0" w:firstLine="426"/>
        <w:rPr>
          <w:rFonts w:ascii="宋体" w:hAnsi="宋体"/>
        </w:rPr>
      </w:pPr>
      <w:r>
        <w:rPr>
          <w:rFonts w:ascii="宋体" w:hAnsi="宋体"/>
        </w:rPr>
        <w:t>本授权书于</w:t>
      </w:r>
      <w:r>
        <w:rPr>
          <w:rFonts w:hint="eastAsia" w:ascii="宋体" w:hAnsi="宋体"/>
          <w:color w:val="FF0000"/>
          <w:u w:val="single"/>
        </w:rPr>
        <w:t>（填写）</w:t>
      </w:r>
      <w:r>
        <w:rPr>
          <w:rFonts w:ascii="宋体" w:hAnsi="宋体"/>
        </w:rPr>
        <w:t>年</w:t>
      </w:r>
      <w:r>
        <w:rPr>
          <w:rFonts w:hint="eastAsia" w:ascii="宋体" w:hAnsi="宋体"/>
          <w:color w:val="FF0000"/>
          <w:u w:val="single"/>
        </w:rPr>
        <w:t>（填写）</w:t>
      </w:r>
      <w:r>
        <w:rPr>
          <w:rFonts w:ascii="宋体" w:hAnsi="宋体"/>
        </w:rPr>
        <w:t>月</w:t>
      </w:r>
      <w:r>
        <w:rPr>
          <w:rFonts w:hint="eastAsia" w:ascii="宋体" w:hAnsi="宋体"/>
          <w:color w:val="FF0000"/>
          <w:u w:val="single"/>
        </w:rPr>
        <w:t>（填写）</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spacing w:line="300" w:lineRule="exact"/>
        <w:ind w:right="0" w:firstLine="198"/>
        <w:rPr>
          <w:rFonts w:ascii="宋体" w:hAnsi="宋体"/>
          <w:u w:val="single"/>
        </w:rPr>
      </w:pPr>
      <w:r>
        <w:rPr>
          <w:rFonts w:ascii="宋体" w:hAnsi="宋体"/>
        </w:rPr>
        <w:t>法定代表人签字或盖章：</w:t>
      </w:r>
    </w:p>
    <w:p>
      <w:pPr>
        <w:tabs>
          <w:tab w:val="left" w:pos="8364"/>
        </w:tabs>
        <w:snapToGrid w:val="0"/>
        <w:spacing w:line="300" w:lineRule="exact"/>
        <w:ind w:right="0" w:firstLine="198"/>
        <w:rPr>
          <w:rFonts w:ascii="宋体" w:hAnsi="宋体"/>
          <w:u w:val="single"/>
        </w:rPr>
      </w:pPr>
      <w:r>
        <w:rPr>
          <w:rFonts w:ascii="宋体" w:hAnsi="宋体"/>
        </w:rPr>
        <w:t>职务：</w:t>
      </w:r>
    </w:p>
    <w:p>
      <w:pPr>
        <w:tabs>
          <w:tab w:val="left" w:pos="8364"/>
        </w:tabs>
        <w:snapToGrid w:val="0"/>
        <w:spacing w:line="300" w:lineRule="exact"/>
        <w:ind w:right="0" w:firstLine="198"/>
        <w:rPr>
          <w:rFonts w:ascii="宋体" w:hAnsi="宋体"/>
        </w:rPr>
      </w:pPr>
      <w:r>
        <w:rPr>
          <w:rFonts w:ascii="宋体" w:hAnsi="宋体"/>
        </w:rPr>
        <w:t>单位名称：</w:t>
      </w:r>
      <w:r>
        <w:rPr>
          <w:rFonts w:ascii="宋体" w:hAnsi="宋体"/>
          <w:u w:val="single"/>
        </w:rPr>
        <w:t>（公章）</w:t>
      </w:r>
    </w:p>
    <w:p>
      <w:pPr>
        <w:tabs>
          <w:tab w:val="left" w:pos="8364"/>
        </w:tabs>
        <w:snapToGrid w:val="0"/>
        <w:spacing w:line="300" w:lineRule="exact"/>
        <w:ind w:right="0" w:firstLine="198"/>
        <w:rPr>
          <w:rFonts w:ascii="宋体" w:hAnsi="宋体"/>
          <w:u w:val="single"/>
        </w:rPr>
      </w:pPr>
      <w:r>
        <w:rPr>
          <w:rFonts w:ascii="宋体" w:hAnsi="宋体"/>
        </w:rPr>
        <w:t>地址：</w:t>
      </w:r>
    </w:p>
    <w:p>
      <w:pPr>
        <w:tabs>
          <w:tab w:val="left" w:pos="8364"/>
        </w:tabs>
        <w:snapToGrid w:val="0"/>
        <w:spacing w:line="300" w:lineRule="exact"/>
        <w:ind w:right="0" w:firstLine="198"/>
        <w:rPr>
          <w:rFonts w:ascii="宋体" w:hAnsi="宋体"/>
        </w:rPr>
      </w:pPr>
    </w:p>
    <w:p>
      <w:pPr>
        <w:tabs>
          <w:tab w:val="left" w:pos="8364"/>
        </w:tabs>
        <w:snapToGrid w:val="0"/>
        <w:spacing w:line="300" w:lineRule="exact"/>
        <w:ind w:right="0" w:firstLine="198"/>
        <w:rPr>
          <w:rFonts w:ascii="宋体" w:hAnsi="宋体"/>
          <w:u w:val="single"/>
        </w:rPr>
      </w:pPr>
      <w:r>
        <w:rPr>
          <w:rFonts w:hint="eastAsia" w:ascii="宋体" w:hAnsi="宋体"/>
        </w:rPr>
        <w:t>比选申请</w:t>
      </w:r>
      <w:r>
        <w:rPr>
          <w:rFonts w:ascii="宋体" w:hAnsi="宋体"/>
        </w:rPr>
        <w:t>人代表（被授权人）签字或盖章：</w:t>
      </w:r>
    </w:p>
    <w:p>
      <w:pPr>
        <w:tabs>
          <w:tab w:val="left" w:pos="8364"/>
        </w:tabs>
        <w:snapToGrid w:val="0"/>
        <w:spacing w:line="300" w:lineRule="exact"/>
        <w:ind w:right="0" w:firstLine="198"/>
        <w:rPr>
          <w:rFonts w:ascii="宋体" w:hAnsi="宋体"/>
          <w:u w:val="single"/>
        </w:rPr>
      </w:pPr>
      <w:r>
        <w:rPr>
          <w:rFonts w:ascii="宋体" w:hAnsi="宋体"/>
        </w:rPr>
        <w:t>职务：</w:t>
      </w:r>
    </w:p>
    <w:p>
      <w:pPr>
        <w:tabs>
          <w:tab w:val="left" w:pos="8364"/>
        </w:tabs>
        <w:snapToGrid w:val="0"/>
        <w:spacing w:line="300" w:lineRule="exact"/>
        <w:ind w:right="0" w:firstLine="198"/>
        <w:rPr>
          <w:rFonts w:ascii="宋体" w:hAnsi="宋体"/>
        </w:rPr>
      </w:pPr>
      <w:r>
        <w:rPr>
          <w:rFonts w:ascii="宋体" w:hAnsi="宋体"/>
        </w:rPr>
        <w:t>单位名称：</w:t>
      </w:r>
      <w:r>
        <w:rPr>
          <w:rFonts w:ascii="宋体" w:hAnsi="宋体"/>
          <w:u w:val="single"/>
        </w:rPr>
        <w:t>（公章）</w:t>
      </w:r>
    </w:p>
    <w:p>
      <w:pPr>
        <w:tabs>
          <w:tab w:val="left" w:pos="8364"/>
        </w:tabs>
        <w:snapToGrid w:val="0"/>
        <w:spacing w:line="300" w:lineRule="exact"/>
        <w:ind w:right="0" w:firstLine="198"/>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pStyle w:val="4"/>
        <w:pageBreakBefore/>
        <w:widowControl w:val="0"/>
        <w:spacing w:before="40" w:after="100" w:line="240" w:lineRule="auto"/>
        <w:ind w:left="0" w:right="-28" w:firstLine="0"/>
        <w:jc w:val="center"/>
        <w:rPr>
          <w:rFonts w:ascii="Times New Roman" w:hAnsi="Times New Roman" w:eastAsia="宋体"/>
        </w:rPr>
      </w:pPr>
      <w:bookmarkStart w:id="262" w:name="_Toc101965702"/>
      <w:bookmarkStart w:id="263" w:name="_Toc774"/>
      <w:r>
        <w:rPr>
          <w:rFonts w:hint="eastAsia" w:ascii="Times New Roman" w:hAnsi="Times New Roman" w:eastAsia="宋体"/>
        </w:rPr>
        <w:t>五、企业证照</w:t>
      </w:r>
      <w:bookmarkEnd w:id="262"/>
      <w:bookmarkEnd w:id="263"/>
    </w:p>
    <w:p>
      <w:pPr>
        <w:spacing w:before="0" w:after="0" w:afterAutospacing="0"/>
        <w:ind w:left="0" w:right="0" w:firstLine="420" w:firstLineChars="200"/>
        <w:rPr>
          <w:rFonts w:hAnsi="宋体"/>
        </w:rPr>
      </w:pPr>
    </w:p>
    <w:p>
      <w:pPr>
        <w:snapToGrid w:val="0"/>
        <w:spacing w:before="0" w:after="0" w:afterAutospacing="0"/>
        <w:ind w:right="0" w:firstLine="0"/>
        <w:jc w:val="left"/>
        <w:rPr>
          <w:rFonts w:ascii="宋体" w:hAnsi="宋体"/>
          <w:b/>
          <w:color w:val="FF0000"/>
          <w:sz w:val="24"/>
          <w:szCs w:val="24"/>
        </w:rPr>
      </w:pPr>
      <w:r>
        <w:rPr>
          <w:rFonts w:hint="eastAsia" w:ascii="宋体" w:hAnsi="宋体"/>
          <w:b/>
          <w:color w:val="FF0000"/>
          <w:sz w:val="24"/>
          <w:szCs w:val="24"/>
        </w:rPr>
        <w:t>【</w:t>
      </w:r>
      <w:r>
        <w:rPr>
          <w:rFonts w:hint="eastAsia" w:ascii="宋体" w:hAnsi="宋体"/>
          <w:b/>
          <w:color w:val="FF0000"/>
          <w:sz w:val="24"/>
          <w:szCs w:val="24"/>
          <w:lang w:eastAsia="zh-CN"/>
        </w:rPr>
        <w:t>营业执照</w:t>
      </w:r>
      <w:r>
        <w:rPr>
          <w:rFonts w:hint="eastAsia" w:ascii="宋体" w:hAnsi="宋体"/>
          <w:b/>
          <w:color w:val="FF0000"/>
          <w:sz w:val="24"/>
          <w:szCs w:val="24"/>
        </w:rPr>
        <w:t>复印件并加盖公章】</w:t>
      </w:r>
    </w:p>
    <w:p>
      <w:pPr>
        <w:spacing w:before="0" w:after="0" w:afterAutospacing="0"/>
        <w:ind w:left="0" w:right="0" w:firstLine="420" w:firstLineChars="200"/>
        <w:rPr>
          <w:rFonts w:hAnsi="宋体"/>
        </w:rPr>
      </w:pPr>
    </w:p>
    <w:p>
      <w:pPr>
        <w:spacing w:before="0" w:after="0" w:afterAutospacing="0"/>
        <w:ind w:left="0" w:right="0" w:firstLine="420" w:firstLineChars="200"/>
        <w:rPr>
          <w:rFonts w:hAnsi="宋体"/>
        </w:rPr>
      </w:pPr>
    </w:p>
    <w:p>
      <w:pPr>
        <w:pStyle w:val="4"/>
        <w:pageBreakBefore/>
        <w:widowControl w:val="0"/>
        <w:spacing w:before="40" w:after="100" w:line="240" w:lineRule="auto"/>
        <w:ind w:left="0" w:right="-28" w:firstLine="0"/>
        <w:jc w:val="center"/>
        <w:rPr>
          <w:rFonts w:ascii="Times New Roman" w:hAnsi="Times New Roman" w:eastAsia="宋体"/>
        </w:rPr>
      </w:pPr>
      <w:bookmarkStart w:id="264" w:name="_Toc101965703"/>
      <w:bookmarkStart w:id="265" w:name="_Toc8526"/>
      <w:r>
        <w:rPr>
          <w:rFonts w:hint="eastAsia" w:ascii="Times New Roman" w:hAnsi="Times New Roman" w:eastAsia="宋体"/>
        </w:rPr>
        <w:t>六、类似项目业绩表</w:t>
      </w:r>
      <w:bookmarkEnd w:id="264"/>
      <w:bookmarkEnd w:id="265"/>
    </w:p>
    <w:p>
      <w:pPr>
        <w:spacing w:before="0" w:after="0" w:afterAutospacing="0"/>
        <w:ind w:left="0" w:right="0" w:firstLine="420" w:firstLineChars="200"/>
        <w:rPr>
          <w:rFonts w:hAnsi="宋体"/>
        </w:rPr>
      </w:pPr>
    </w:p>
    <w:p>
      <w:pPr>
        <w:spacing w:before="0"/>
        <w:ind w:right="-57"/>
        <w:jc w:val="center"/>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28"/>
        <w:tblW w:w="9133" w:type="dxa"/>
        <w:jc w:val="center"/>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684"/>
        <w:gridCol w:w="1339"/>
        <w:gridCol w:w="1789"/>
        <w:gridCol w:w="1352"/>
        <w:gridCol w:w="1531"/>
        <w:gridCol w:w="1275"/>
        <w:gridCol w:w="1163"/>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684" w:type="dxa"/>
            <w:vAlign w:val="center"/>
          </w:tcPr>
          <w:p>
            <w:pPr>
              <w:ind w:left="0" w:firstLine="0"/>
              <w:jc w:val="center"/>
              <w:rPr>
                <w:rFonts w:ascii="宋体" w:hAnsi="宋体"/>
              </w:rPr>
            </w:pPr>
            <w:r>
              <w:rPr>
                <w:rFonts w:hint="eastAsia" w:ascii="宋体" w:hAnsi="宋体"/>
              </w:rPr>
              <w:t>序号</w:t>
            </w:r>
          </w:p>
        </w:tc>
        <w:tc>
          <w:tcPr>
            <w:tcW w:w="1339" w:type="dxa"/>
            <w:vAlign w:val="center"/>
          </w:tcPr>
          <w:p>
            <w:pPr>
              <w:ind w:left="0" w:firstLine="0"/>
              <w:jc w:val="center"/>
              <w:rPr>
                <w:rFonts w:ascii="宋体" w:hAnsi="宋体"/>
              </w:rPr>
            </w:pPr>
            <w:r>
              <w:rPr>
                <w:rFonts w:hint="eastAsia" w:ascii="宋体" w:hAnsi="宋体"/>
              </w:rPr>
              <w:t>项目名称</w:t>
            </w:r>
          </w:p>
        </w:tc>
        <w:tc>
          <w:tcPr>
            <w:tcW w:w="1789" w:type="dxa"/>
            <w:vAlign w:val="center"/>
          </w:tcPr>
          <w:p>
            <w:pPr>
              <w:ind w:left="0" w:firstLine="0"/>
              <w:jc w:val="center"/>
              <w:rPr>
                <w:rFonts w:ascii="宋体" w:hAnsi="宋体"/>
                <w:highlight w:val="yellow"/>
              </w:rPr>
            </w:pPr>
            <w:r>
              <w:rPr>
                <w:rFonts w:hint="eastAsia" w:ascii="宋体" w:hAnsi="宋体"/>
                <w:highlight w:val="none"/>
              </w:rPr>
              <w:t>合同内容（简述）</w:t>
            </w:r>
          </w:p>
        </w:tc>
        <w:tc>
          <w:tcPr>
            <w:tcW w:w="1352" w:type="dxa"/>
            <w:vAlign w:val="center"/>
          </w:tcPr>
          <w:p>
            <w:pPr>
              <w:ind w:left="0" w:firstLine="0"/>
              <w:jc w:val="center"/>
              <w:rPr>
                <w:rFonts w:ascii="宋体" w:hAnsi="宋体"/>
              </w:rPr>
            </w:pPr>
            <w:r>
              <w:rPr>
                <w:rFonts w:hint="eastAsia" w:ascii="宋体" w:hAnsi="宋体"/>
              </w:rPr>
              <w:t>合同金额</w:t>
            </w:r>
          </w:p>
        </w:tc>
        <w:tc>
          <w:tcPr>
            <w:tcW w:w="1531" w:type="dxa"/>
            <w:vAlign w:val="center"/>
          </w:tcPr>
          <w:p>
            <w:pPr>
              <w:ind w:left="0" w:firstLine="0"/>
              <w:jc w:val="center"/>
              <w:rPr>
                <w:rFonts w:ascii="宋体" w:hAnsi="宋体"/>
              </w:rPr>
            </w:pPr>
            <w:r>
              <w:rPr>
                <w:rFonts w:hint="eastAsia" w:ascii="宋体" w:hAnsi="宋体"/>
              </w:rPr>
              <w:t>签订时间</w:t>
            </w:r>
          </w:p>
        </w:tc>
        <w:tc>
          <w:tcPr>
            <w:tcW w:w="1275" w:type="dxa"/>
            <w:vAlign w:val="center"/>
          </w:tcPr>
          <w:p>
            <w:pPr>
              <w:ind w:left="0" w:firstLine="0"/>
              <w:jc w:val="center"/>
              <w:rPr>
                <w:rFonts w:ascii="宋体" w:hAnsi="宋体"/>
              </w:rPr>
            </w:pPr>
            <w:r>
              <w:rPr>
                <w:rFonts w:hint="eastAsia" w:ascii="宋体" w:hAnsi="宋体"/>
              </w:rPr>
              <w:t>业主单位</w:t>
            </w:r>
          </w:p>
        </w:tc>
        <w:tc>
          <w:tcPr>
            <w:tcW w:w="1163" w:type="dxa"/>
            <w:vAlign w:val="center"/>
          </w:tcPr>
          <w:p>
            <w:pPr>
              <w:ind w:left="0" w:firstLine="0"/>
              <w:jc w:val="center"/>
              <w:rPr>
                <w:rFonts w:ascii="宋体" w:hAnsi="宋体"/>
              </w:rPr>
            </w:pPr>
            <w:r>
              <w:rPr>
                <w:rFonts w:hint="eastAsia" w:ascii="宋体" w:hAnsi="宋体"/>
              </w:rPr>
              <w:t>联系电话</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684" w:type="dxa"/>
          </w:tcPr>
          <w:p>
            <w:pPr>
              <w:ind w:left="0" w:firstLine="0"/>
              <w:rPr>
                <w:rFonts w:ascii="宋体" w:hAnsi="宋体"/>
              </w:rPr>
            </w:pPr>
          </w:p>
        </w:tc>
        <w:tc>
          <w:tcPr>
            <w:tcW w:w="1339" w:type="dxa"/>
          </w:tcPr>
          <w:p>
            <w:pPr>
              <w:ind w:left="0" w:firstLine="0"/>
              <w:rPr>
                <w:rFonts w:ascii="宋体" w:hAnsi="宋体"/>
              </w:rPr>
            </w:pPr>
          </w:p>
        </w:tc>
        <w:tc>
          <w:tcPr>
            <w:tcW w:w="1789" w:type="dxa"/>
          </w:tcPr>
          <w:p>
            <w:pPr>
              <w:ind w:left="0" w:firstLine="0"/>
              <w:rPr>
                <w:rFonts w:ascii="宋体" w:hAnsi="宋体"/>
              </w:rPr>
            </w:pPr>
          </w:p>
        </w:tc>
        <w:tc>
          <w:tcPr>
            <w:tcW w:w="1352" w:type="dxa"/>
          </w:tcPr>
          <w:p>
            <w:pPr>
              <w:ind w:left="0" w:firstLine="0"/>
              <w:rPr>
                <w:rFonts w:ascii="宋体" w:hAnsi="宋体"/>
              </w:rPr>
            </w:pPr>
          </w:p>
        </w:tc>
        <w:tc>
          <w:tcPr>
            <w:tcW w:w="1531" w:type="dxa"/>
          </w:tcPr>
          <w:p>
            <w:pPr>
              <w:ind w:left="0" w:firstLine="0"/>
              <w:rPr>
                <w:rFonts w:ascii="宋体" w:hAnsi="宋体"/>
              </w:rPr>
            </w:pPr>
          </w:p>
        </w:tc>
        <w:tc>
          <w:tcPr>
            <w:tcW w:w="1275" w:type="dxa"/>
          </w:tcPr>
          <w:p>
            <w:pPr>
              <w:ind w:left="0" w:firstLine="0"/>
              <w:rPr>
                <w:rFonts w:ascii="宋体" w:hAnsi="宋体"/>
              </w:rPr>
            </w:pPr>
          </w:p>
        </w:tc>
        <w:tc>
          <w:tcPr>
            <w:tcW w:w="1163" w:type="dxa"/>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bl>
    <w:p>
      <w:pPr>
        <w:spacing w:before="0"/>
        <w:ind w:left="567" w:right="-57" w:hanging="567"/>
        <w:jc w:val="left"/>
        <w:rPr>
          <w:rFonts w:ascii="宋体" w:hAnsi="宋体"/>
        </w:rPr>
      </w:pP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ascii="宋体" w:hAnsi="宋体"/>
        </w:rPr>
        <w:t>注：</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ascii="宋体" w:hAnsi="宋体"/>
        </w:rPr>
        <w:t>1.</w:t>
      </w:r>
      <w:r>
        <w:rPr>
          <w:rFonts w:hint="eastAsia" w:ascii="宋体" w:hAnsi="宋体"/>
        </w:rPr>
        <w:t>类似项目业绩：自2019年1月1日至截标时间前至少具有1项类似业绩，比选申请人业绩须是其自身的，不能是其母公司或子公司的，不接受联合体、分包业绩。类似业绩是指单项合同不少于20万元的充电桩采购及安装类项目。</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ascii="宋体" w:hAnsi="宋体"/>
        </w:rPr>
        <w:t>2.</w:t>
      </w:r>
      <w:r>
        <w:rPr>
          <w:rFonts w:hint="eastAsia" w:ascii="宋体" w:hAnsi="宋体"/>
        </w:rPr>
        <w:t>项目按照时间顺序排列，时间以合同签订时间为准。</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ascii="宋体" w:hAnsi="宋体"/>
        </w:rPr>
        <w:t>3.</w:t>
      </w:r>
      <w:r>
        <w:rPr>
          <w:rFonts w:hint="eastAsia" w:ascii="宋体" w:hAnsi="宋体"/>
        </w:rPr>
        <w:t>比选申请人须提供相应的业绩证明材料：提供下述材料之一即可：①合同文件；②业主（采购方）开具的证明材料，但所提供的材料须能明确反映类似项目特征，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ind w:left="479" w:right="-57" w:hanging="17"/>
        <w:rPr>
          <w:rFonts w:ascii="宋体" w:hAnsi="宋体"/>
        </w:rPr>
      </w:pPr>
    </w:p>
    <w:p>
      <w:pPr>
        <w:snapToGrid w:val="0"/>
        <w:spacing w:before="0" w:after="0" w:afterAutospacing="0" w:line="400" w:lineRule="exact"/>
        <w:ind w:left="0" w:right="0" w:firstLine="420" w:firstLineChars="200"/>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0" w:firstLineChars="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0" w:firstLineChars="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hint="eastAsia" w:ascii="宋体" w:hAnsi="宋体"/>
          <w:lang w:val="en-US" w:eastAsia="zh-CN"/>
        </w:rPr>
        <w:t xml:space="preserve">  </w:t>
      </w:r>
      <w:r>
        <w:rPr>
          <w:rFonts w:ascii="宋体" w:hAnsi="宋体"/>
        </w:rPr>
        <w:t>月</w:t>
      </w:r>
      <w:r>
        <w:rPr>
          <w:rFonts w:hint="eastAsia" w:ascii="宋体" w:hAnsi="宋体"/>
        </w:rPr>
        <w:t xml:space="preserve">   </w:t>
      </w:r>
      <w:r>
        <w:rPr>
          <w:rFonts w:hint="eastAsia" w:ascii="宋体" w:hAnsi="宋体"/>
          <w:lang w:val="en-US" w:eastAsia="zh-CN"/>
        </w:rPr>
        <w:t xml:space="preserve"> </w:t>
      </w:r>
      <w:r>
        <w:rPr>
          <w:rFonts w:ascii="宋体" w:hAnsi="宋体"/>
        </w:rPr>
        <w:t>日</w:t>
      </w:r>
    </w:p>
    <w:p>
      <w:pPr>
        <w:pStyle w:val="4"/>
        <w:pageBreakBefore/>
        <w:widowControl w:val="0"/>
        <w:spacing w:before="40" w:after="100" w:line="240" w:lineRule="auto"/>
        <w:ind w:left="0" w:right="-28" w:firstLine="0"/>
        <w:jc w:val="center"/>
        <w:rPr>
          <w:rFonts w:ascii="Times New Roman" w:hAnsi="Times New Roman" w:eastAsia="宋体"/>
        </w:rPr>
      </w:pPr>
      <w:bookmarkStart w:id="266" w:name="_Toc101965704"/>
      <w:bookmarkStart w:id="267" w:name="_Toc9915"/>
      <w:r>
        <w:rPr>
          <w:rFonts w:hint="eastAsia" w:ascii="Times New Roman" w:hAnsi="Times New Roman" w:eastAsia="宋体"/>
        </w:rPr>
        <w:t>七、比选响应表</w:t>
      </w:r>
      <w:bookmarkEnd w:id="266"/>
      <w:bookmarkEnd w:id="267"/>
    </w:p>
    <w:p>
      <w:pPr>
        <w:spacing w:before="0" w:after="0" w:afterAutospacing="0"/>
        <w:ind w:left="0" w:right="0" w:firstLine="420" w:firstLineChars="200"/>
        <w:rPr>
          <w:rFonts w:hAnsi="宋体"/>
        </w:rPr>
      </w:pPr>
    </w:p>
    <w:tbl>
      <w:tblPr>
        <w:tblStyle w:val="28"/>
        <w:tblW w:w="91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2178"/>
        <w:gridCol w:w="7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jc w:val="center"/>
              <w:rPr>
                <w:rFonts w:ascii="宋体" w:hAnsi="宋体"/>
              </w:rPr>
            </w:pPr>
            <w:r>
              <w:rPr>
                <w:rFonts w:hint="eastAsia" w:ascii="宋体" w:hAnsi="宋体"/>
              </w:rPr>
              <w:t>项目</w:t>
            </w:r>
          </w:p>
        </w:tc>
        <w:tc>
          <w:tcPr>
            <w:tcW w:w="2977" w:type="dxa"/>
            <w:vAlign w:val="center"/>
          </w:tcPr>
          <w:p>
            <w:pPr>
              <w:ind w:left="0" w:firstLine="0"/>
              <w:jc w:val="left"/>
              <w:rPr>
                <w:rFonts w:ascii="宋体" w:hAnsi="宋体"/>
              </w:rPr>
            </w:pPr>
            <w:r>
              <w:rPr>
                <w:rFonts w:hint="eastAsia" w:ascii="宋体" w:hAnsi="宋体"/>
              </w:rPr>
              <w:t>比选文件要求内容所在章节</w:t>
            </w:r>
          </w:p>
        </w:tc>
        <w:tc>
          <w:tcPr>
            <w:tcW w:w="2410" w:type="dxa"/>
            <w:vAlign w:val="center"/>
          </w:tcPr>
          <w:p>
            <w:pPr>
              <w:ind w:left="0" w:firstLine="0"/>
              <w:jc w:val="left"/>
              <w:rPr>
                <w:rFonts w:ascii="宋体" w:hAnsi="宋体"/>
              </w:rPr>
            </w:pPr>
            <w:r>
              <w:rPr>
                <w:rFonts w:hint="eastAsia" w:ascii="宋体" w:hAnsi="宋体"/>
              </w:rPr>
              <w:t>包含内容</w:t>
            </w:r>
          </w:p>
        </w:tc>
        <w:tc>
          <w:tcPr>
            <w:tcW w:w="2178" w:type="dxa"/>
            <w:vAlign w:val="center"/>
          </w:tcPr>
          <w:p>
            <w:pPr>
              <w:ind w:left="0" w:firstLine="0"/>
              <w:jc w:val="left"/>
              <w:rPr>
                <w:rFonts w:ascii="宋体" w:hAnsi="宋体"/>
              </w:rPr>
            </w:pPr>
            <w:r>
              <w:rPr>
                <w:rFonts w:hint="eastAsia" w:ascii="宋体" w:hAnsi="宋体"/>
              </w:rPr>
              <w:t>比选申请人承诺是否响应比选文件要求</w:t>
            </w:r>
          </w:p>
        </w:tc>
        <w:tc>
          <w:tcPr>
            <w:tcW w:w="750" w:type="dxa"/>
            <w:vAlign w:val="center"/>
          </w:tcPr>
          <w:p>
            <w:pPr>
              <w:ind w:left="0" w:firstLine="0"/>
              <w:jc w:val="center"/>
              <w:rPr>
                <w:rFonts w:ascii="宋体" w:hAns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132" w:type="dxa"/>
            <w:gridSpan w:val="5"/>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jc w:val="center"/>
              <w:rPr>
                <w:rFonts w:ascii="宋体" w:hAnsi="宋体"/>
              </w:rPr>
            </w:pPr>
            <w:r>
              <w:rPr>
                <w:rFonts w:ascii="宋体" w:hAnsi="宋体"/>
              </w:rPr>
              <w:t>1</w:t>
            </w:r>
          </w:p>
        </w:tc>
        <w:tc>
          <w:tcPr>
            <w:tcW w:w="2977" w:type="dxa"/>
            <w:vAlign w:val="center"/>
          </w:tcPr>
          <w:p>
            <w:pPr>
              <w:ind w:left="0" w:firstLine="0"/>
              <w:jc w:val="left"/>
              <w:rPr>
                <w:rFonts w:ascii="宋体" w:hAnsi="宋体"/>
              </w:rPr>
            </w:pPr>
            <w:r>
              <w:rPr>
                <w:rFonts w:hint="eastAsia" w:ascii="宋体" w:hAnsi="宋体"/>
              </w:rPr>
              <w:t>比选申请须知前附表</w:t>
            </w:r>
          </w:p>
        </w:tc>
        <w:tc>
          <w:tcPr>
            <w:tcW w:w="2410" w:type="dxa"/>
            <w:vAlign w:val="center"/>
          </w:tcPr>
          <w:p>
            <w:pPr>
              <w:ind w:left="0" w:firstLine="0"/>
              <w:jc w:val="left"/>
              <w:rPr>
                <w:rFonts w:ascii="宋体" w:hAnsi="宋体"/>
              </w:rPr>
            </w:pPr>
            <w:r>
              <w:rPr>
                <w:rFonts w:hint="eastAsia" w:ascii="宋体" w:hAnsi="宋体"/>
              </w:rPr>
              <w:t>本章节全部内容</w:t>
            </w:r>
          </w:p>
        </w:tc>
        <w:tc>
          <w:tcPr>
            <w:tcW w:w="2178" w:type="dxa"/>
            <w:vAlign w:val="center"/>
          </w:tcPr>
          <w:p>
            <w:pPr>
              <w:ind w:left="0" w:firstLine="0"/>
              <w:jc w:val="left"/>
              <w:rPr>
                <w:rFonts w:ascii="宋体" w:hAnsi="宋体"/>
              </w:rPr>
            </w:pPr>
            <w:r>
              <w:rPr>
                <w:rFonts w:hint="eastAsia" w:ascii="宋体" w:hAnsi="宋体"/>
              </w:rPr>
              <w:t>完全响应</w:t>
            </w:r>
          </w:p>
        </w:tc>
        <w:tc>
          <w:tcPr>
            <w:tcW w:w="750"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jc w:val="center"/>
              <w:rPr>
                <w:rFonts w:ascii="宋体" w:hAnsi="宋体"/>
              </w:rPr>
            </w:pPr>
            <w:r>
              <w:rPr>
                <w:rFonts w:ascii="宋体" w:hAnsi="宋体"/>
              </w:rPr>
              <w:t>2</w:t>
            </w:r>
          </w:p>
        </w:tc>
        <w:tc>
          <w:tcPr>
            <w:tcW w:w="2977" w:type="dxa"/>
            <w:vAlign w:val="center"/>
          </w:tcPr>
          <w:p>
            <w:pPr>
              <w:ind w:left="0" w:firstLine="0"/>
              <w:jc w:val="left"/>
              <w:rPr>
                <w:rFonts w:ascii="宋体" w:hAnsi="宋体"/>
              </w:rPr>
            </w:pPr>
            <w:r>
              <w:rPr>
                <w:rFonts w:hint="eastAsia" w:ascii="宋体" w:hAnsi="宋体"/>
              </w:rPr>
              <w:t>比选申请须知正文</w:t>
            </w:r>
          </w:p>
        </w:tc>
        <w:tc>
          <w:tcPr>
            <w:tcW w:w="2410" w:type="dxa"/>
            <w:vAlign w:val="center"/>
          </w:tcPr>
          <w:p>
            <w:pPr>
              <w:ind w:left="0" w:firstLine="0"/>
              <w:jc w:val="left"/>
              <w:rPr>
                <w:rFonts w:ascii="宋体" w:hAnsi="宋体"/>
              </w:rPr>
            </w:pPr>
            <w:r>
              <w:rPr>
                <w:rFonts w:hint="eastAsia" w:ascii="宋体" w:hAnsi="宋体"/>
              </w:rPr>
              <w:t>本章节全部内容</w:t>
            </w:r>
          </w:p>
        </w:tc>
        <w:tc>
          <w:tcPr>
            <w:tcW w:w="2178" w:type="dxa"/>
            <w:vAlign w:val="center"/>
          </w:tcPr>
          <w:p>
            <w:pPr>
              <w:ind w:left="0" w:firstLine="0"/>
              <w:jc w:val="left"/>
              <w:rPr>
                <w:rFonts w:ascii="宋体" w:hAnsi="宋体"/>
              </w:rPr>
            </w:pPr>
            <w:r>
              <w:rPr>
                <w:rFonts w:hint="eastAsia" w:ascii="宋体" w:hAnsi="宋体"/>
              </w:rPr>
              <w:t>完全响应</w:t>
            </w:r>
          </w:p>
        </w:tc>
        <w:tc>
          <w:tcPr>
            <w:tcW w:w="750"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132" w:type="dxa"/>
            <w:gridSpan w:val="5"/>
            <w:vAlign w:val="center"/>
          </w:tcPr>
          <w:p>
            <w:pPr>
              <w:ind w:left="0" w:firstLine="0"/>
              <w:jc w:val="left"/>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jc w:val="center"/>
              <w:rPr>
                <w:rFonts w:ascii="宋体" w:hAnsi="宋体"/>
              </w:rPr>
            </w:pPr>
            <w:r>
              <w:rPr>
                <w:rFonts w:ascii="宋体" w:hAnsi="宋体"/>
              </w:rPr>
              <w:t>1</w:t>
            </w:r>
          </w:p>
        </w:tc>
        <w:tc>
          <w:tcPr>
            <w:tcW w:w="2977" w:type="dxa"/>
            <w:vAlign w:val="center"/>
          </w:tcPr>
          <w:p>
            <w:pPr>
              <w:ind w:left="0" w:firstLine="0"/>
              <w:jc w:val="left"/>
              <w:rPr>
                <w:rFonts w:ascii="宋体" w:hAnsi="宋体"/>
              </w:rPr>
            </w:pPr>
            <w:r>
              <w:rPr>
                <w:rFonts w:hint="eastAsia" w:ascii="宋体" w:hAnsi="宋体"/>
              </w:rPr>
              <w:t>合同协议书</w:t>
            </w:r>
          </w:p>
        </w:tc>
        <w:tc>
          <w:tcPr>
            <w:tcW w:w="2410" w:type="dxa"/>
            <w:vAlign w:val="center"/>
          </w:tcPr>
          <w:p>
            <w:pPr>
              <w:ind w:left="0" w:firstLine="0"/>
              <w:jc w:val="left"/>
              <w:rPr>
                <w:rFonts w:ascii="宋体" w:hAnsi="宋体"/>
              </w:rPr>
            </w:pPr>
            <w:r>
              <w:rPr>
                <w:rFonts w:hint="eastAsia" w:ascii="宋体" w:hAnsi="宋体"/>
              </w:rPr>
              <w:t>本章节全部内容</w:t>
            </w:r>
          </w:p>
        </w:tc>
        <w:tc>
          <w:tcPr>
            <w:tcW w:w="2178" w:type="dxa"/>
            <w:vAlign w:val="center"/>
          </w:tcPr>
          <w:p>
            <w:pPr>
              <w:ind w:left="0" w:firstLine="0"/>
              <w:jc w:val="left"/>
              <w:rPr>
                <w:rFonts w:ascii="宋体" w:hAnsi="宋体"/>
              </w:rPr>
            </w:pPr>
            <w:r>
              <w:rPr>
                <w:rFonts w:hint="eastAsia" w:ascii="宋体" w:hAnsi="宋体"/>
              </w:rPr>
              <w:t>完全响应</w:t>
            </w:r>
          </w:p>
        </w:tc>
        <w:tc>
          <w:tcPr>
            <w:tcW w:w="750"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jc w:val="center"/>
              <w:rPr>
                <w:rFonts w:ascii="宋体" w:hAnsi="宋体"/>
              </w:rPr>
            </w:pPr>
            <w:r>
              <w:rPr>
                <w:rFonts w:ascii="宋体" w:hAnsi="宋体"/>
              </w:rPr>
              <w:t>2</w:t>
            </w:r>
          </w:p>
        </w:tc>
        <w:tc>
          <w:tcPr>
            <w:tcW w:w="2977" w:type="dxa"/>
            <w:vAlign w:val="center"/>
          </w:tcPr>
          <w:p>
            <w:pPr>
              <w:ind w:left="0" w:firstLine="0"/>
              <w:jc w:val="left"/>
              <w:rPr>
                <w:rFonts w:ascii="宋体" w:hAnsi="宋体"/>
              </w:rPr>
            </w:pPr>
            <w:r>
              <w:rPr>
                <w:rFonts w:hint="eastAsia" w:ascii="宋体" w:hAnsi="宋体"/>
              </w:rPr>
              <w:t>合同条款</w:t>
            </w:r>
          </w:p>
        </w:tc>
        <w:tc>
          <w:tcPr>
            <w:tcW w:w="2410" w:type="dxa"/>
            <w:vAlign w:val="center"/>
          </w:tcPr>
          <w:p>
            <w:pPr>
              <w:ind w:left="0" w:firstLine="0"/>
              <w:jc w:val="left"/>
              <w:rPr>
                <w:rFonts w:ascii="宋体" w:hAnsi="宋体"/>
              </w:rPr>
            </w:pPr>
            <w:r>
              <w:rPr>
                <w:rFonts w:hint="eastAsia" w:ascii="宋体" w:hAnsi="宋体"/>
              </w:rPr>
              <w:t>本章节全部内容</w:t>
            </w:r>
          </w:p>
        </w:tc>
        <w:tc>
          <w:tcPr>
            <w:tcW w:w="2178" w:type="dxa"/>
            <w:vAlign w:val="center"/>
          </w:tcPr>
          <w:p>
            <w:pPr>
              <w:ind w:left="0" w:firstLine="0"/>
              <w:jc w:val="left"/>
              <w:rPr>
                <w:rFonts w:ascii="宋体" w:hAnsi="宋体"/>
              </w:rPr>
            </w:pPr>
            <w:r>
              <w:rPr>
                <w:rFonts w:hint="eastAsia" w:ascii="宋体" w:hAnsi="宋体"/>
              </w:rPr>
              <w:t>完全响应</w:t>
            </w:r>
          </w:p>
        </w:tc>
        <w:tc>
          <w:tcPr>
            <w:tcW w:w="750"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132" w:type="dxa"/>
            <w:gridSpan w:val="5"/>
            <w:vAlign w:val="center"/>
          </w:tcPr>
          <w:p>
            <w:pPr>
              <w:ind w:left="0" w:firstLine="0"/>
              <w:jc w:val="left"/>
              <w:rPr>
                <w:rFonts w:ascii="宋体" w:hAnsi="宋体"/>
                <w:highlight w:val="none"/>
              </w:rPr>
            </w:pPr>
            <w:r>
              <w:rPr>
                <w:rFonts w:hint="eastAsia" w:ascii="宋体" w:hAnsi="宋体"/>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ind w:left="0" w:firstLine="0"/>
              <w:jc w:val="center"/>
              <w:rPr>
                <w:rFonts w:ascii="宋体" w:hAnsi="宋体"/>
                <w:highlight w:val="none"/>
              </w:rPr>
            </w:pPr>
            <w:r>
              <w:rPr>
                <w:rFonts w:ascii="宋体" w:hAnsi="宋体"/>
                <w:highlight w:val="none"/>
              </w:rPr>
              <w:t>1</w:t>
            </w:r>
          </w:p>
        </w:tc>
        <w:tc>
          <w:tcPr>
            <w:tcW w:w="2977" w:type="dxa"/>
            <w:vAlign w:val="center"/>
          </w:tcPr>
          <w:p>
            <w:pPr>
              <w:ind w:left="0" w:firstLine="0"/>
              <w:jc w:val="left"/>
              <w:rPr>
                <w:rFonts w:ascii="宋体" w:hAnsi="宋体"/>
                <w:highlight w:val="none"/>
              </w:rPr>
            </w:pPr>
            <w:r>
              <w:rPr>
                <w:rFonts w:hint="eastAsia" w:ascii="宋体" w:hAnsi="宋体"/>
                <w:highlight w:val="none"/>
              </w:rPr>
              <w:t>用户需求书内容</w:t>
            </w:r>
          </w:p>
        </w:tc>
        <w:tc>
          <w:tcPr>
            <w:tcW w:w="2410" w:type="dxa"/>
            <w:vAlign w:val="center"/>
          </w:tcPr>
          <w:p>
            <w:pPr>
              <w:ind w:left="0" w:firstLine="0"/>
              <w:jc w:val="left"/>
              <w:rPr>
                <w:rFonts w:ascii="宋体" w:hAnsi="宋体"/>
                <w:highlight w:val="none"/>
              </w:rPr>
            </w:pPr>
            <w:r>
              <w:rPr>
                <w:rFonts w:hint="eastAsia" w:ascii="宋体" w:hAnsi="宋体"/>
                <w:highlight w:val="none"/>
              </w:rPr>
              <w:t>本章节全部内容</w:t>
            </w:r>
          </w:p>
        </w:tc>
        <w:tc>
          <w:tcPr>
            <w:tcW w:w="2178" w:type="dxa"/>
            <w:vAlign w:val="center"/>
          </w:tcPr>
          <w:p>
            <w:pPr>
              <w:ind w:left="0" w:firstLine="0"/>
              <w:jc w:val="left"/>
              <w:rPr>
                <w:rFonts w:ascii="宋体" w:hAnsi="宋体"/>
                <w:highlight w:val="none"/>
              </w:rPr>
            </w:pPr>
            <w:r>
              <w:rPr>
                <w:rFonts w:hint="eastAsia" w:ascii="宋体" w:hAnsi="宋体"/>
                <w:highlight w:val="none"/>
              </w:rPr>
              <w:t>完全响应</w:t>
            </w:r>
          </w:p>
        </w:tc>
        <w:tc>
          <w:tcPr>
            <w:tcW w:w="750" w:type="dxa"/>
            <w:vAlign w:val="center"/>
          </w:tcPr>
          <w:p>
            <w:pPr>
              <w:ind w:left="0" w:firstLine="0"/>
              <w:rPr>
                <w:rFonts w:ascii="宋体" w:hAnsi="宋体"/>
                <w:highlight w:val="none"/>
              </w:rPr>
            </w:pPr>
          </w:p>
        </w:tc>
      </w:tr>
    </w:tbl>
    <w:p>
      <w:pPr>
        <w:snapToGrid w:val="0"/>
        <w:spacing w:after="50"/>
        <w:ind w:left="0" w:right="-57" w:firstLine="0"/>
        <w:rPr>
          <w:rFonts w:ascii="宋体" w:hAnsi="宋体"/>
          <w:b/>
        </w:rPr>
      </w:pPr>
    </w:p>
    <w:p>
      <w:pPr>
        <w:snapToGrid w:val="0"/>
        <w:spacing w:after="50"/>
        <w:ind w:left="0" w:right="-57" w:firstLine="0"/>
        <w:rPr>
          <w:rFonts w:ascii="宋体" w:hAnsi="宋体"/>
          <w:color w:val="000000" w:themeColor="text1"/>
          <w:spacing w:val="20"/>
          <w:sz w:val="24"/>
          <w:szCs w:val="24"/>
          <w14:textFill>
            <w14:solidFill>
              <w14:schemeClr w14:val="tx1"/>
            </w14:solidFill>
          </w14:textFill>
        </w:rPr>
      </w:pPr>
      <w:r>
        <w:rPr>
          <w:rFonts w:hint="eastAsia" w:ascii="宋体" w:hAnsi="宋体"/>
          <w:b/>
        </w:rPr>
        <w:t>注：上述响应要求必须全部为“完全响应”，否则，比选申请人将被视为不满足比选文件要求。</w:t>
      </w:r>
    </w:p>
    <w:p>
      <w:pPr>
        <w:snapToGrid w:val="0"/>
        <w:spacing w:before="0" w:after="0" w:afterAutospacing="0" w:line="400" w:lineRule="exact"/>
        <w:ind w:left="0" w:right="0" w:firstLine="426"/>
        <w:rPr>
          <w:rFonts w:ascii="宋体" w:hAnsi="宋体"/>
        </w:rPr>
      </w:pPr>
    </w:p>
    <w:p>
      <w:pPr>
        <w:snapToGrid w:val="0"/>
        <w:spacing w:before="0" w:after="0" w:afterAutospacing="0" w:line="400" w:lineRule="exact"/>
        <w:ind w:left="0" w:right="0" w:firstLine="426"/>
        <w:rPr>
          <w:rFonts w:ascii="宋体" w:hAnsi="宋体"/>
        </w:rPr>
      </w:pPr>
    </w:p>
    <w:p>
      <w:pPr>
        <w:snapToGrid w:val="0"/>
        <w:spacing w:before="0" w:after="0" w:afterAutospacing="0"/>
        <w:ind w:left="0" w:right="0" w:firstLine="425"/>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ind w:left="0" w:right="0" w:firstLine="425"/>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ind w:left="0" w:right="0" w:firstLine="425"/>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hint="eastAsia" w:ascii="宋体" w:hAnsi="宋体"/>
          <w:lang w:val="en-US" w:eastAsia="zh-CN"/>
        </w:rPr>
        <w:t xml:space="preserve">  </w:t>
      </w:r>
      <w:r>
        <w:rPr>
          <w:rFonts w:ascii="宋体" w:hAnsi="宋体"/>
        </w:rPr>
        <w:t>月</w:t>
      </w:r>
      <w:r>
        <w:rPr>
          <w:rFonts w:hint="eastAsia" w:ascii="宋体" w:hAnsi="宋体"/>
        </w:rPr>
        <w:t xml:space="preserve">   </w:t>
      </w:r>
      <w:r>
        <w:rPr>
          <w:rFonts w:hint="eastAsia" w:ascii="宋体" w:hAnsi="宋体"/>
          <w:lang w:val="en-US" w:eastAsia="zh-CN"/>
        </w:rPr>
        <w:t xml:space="preserve"> </w:t>
      </w:r>
      <w:r>
        <w:rPr>
          <w:rFonts w:ascii="宋体" w:hAnsi="宋体"/>
        </w:rPr>
        <w:t>日</w:t>
      </w:r>
    </w:p>
    <w:p>
      <w:pPr>
        <w:spacing w:before="0" w:after="0" w:afterAutospacing="0"/>
        <w:ind w:left="0" w:right="0" w:firstLine="420" w:firstLineChars="200"/>
        <w:rPr>
          <w:rFonts w:hAnsi="宋体"/>
        </w:rPr>
      </w:pPr>
    </w:p>
    <w:p>
      <w:pPr>
        <w:pStyle w:val="4"/>
        <w:pageBreakBefore/>
        <w:widowControl w:val="0"/>
        <w:spacing w:before="40" w:after="100" w:line="240" w:lineRule="auto"/>
        <w:ind w:left="0" w:right="-28" w:firstLine="0"/>
        <w:jc w:val="center"/>
        <w:rPr>
          <w:rFonts w:ascii="Times New Roman" w:hAnsi="Times New Roman" w:eastAsia="宋体"/>
        </w:rPr>
      </w:pPr>
      <w:bookmarkStart w:id="268" w:name="_Toc101965705"/>
      <w:bookmarkStart w:id="269" w:name="_Toc13522"/>
      <w:r>
        <w:rPr>
          <w:rFonts w:hint="eastAsia" w:ascii="Times New Roman" w:hAnsi="Times New Roman" w:eastAsia="宋体"/>
          <w:lang w:val="en-US" w:eastAsia="zh-CN"/>
        </w:rPr>
        <w:t>八</w:t>
      </w:r>
      <w:r>
        <w:rPr>
          <w:rFonts w:hint="eastAsia" w:ascii="Times New Roman" w:hAnsi="Times New Roman" w:eastAsia="宋体"/>
        </w:rPr>
        <w:t>、其他</w:t>
      </w:r>
      <w:bookmarkEnd w:id="268"/>
      <w:bookmarkEnd w:id="269"/>
    </w:p>
    <w:p>
      <w:pPr>
        <w:spacing w:before="0" w:after="0" w:afterAutospacing="0"/>
        <w:ind w:left="0" w:right="0" w:firstLine="482" w:firstLineChars="200"/>
        <w:rPr>
          <w:rFonts w:hAnsi="宋体"/>
        </w:rPr>
      </w:pPr>
      <w:r>
        <w:rPr>
          <w:rFonts w:hint="eastAsia" w:ascii="宋体" w:hAnsi="宋体"/>
          <w:b/>
          <w:color w:val="FF0000"/>
          <w:sz w:val="24"/>
          <w:szCs w:val="24"/>
        </w:rPr>
        <w:t>【</w:t>
      </w:r>
      <w:r>
        <w:rPr>
          <w:rFonts w:hint="eastAsia" w:ascii="宋体" w:hAnsi="宋体"/>
          <w:b/>
          <w:color w:val="FF0000"/>
          <w:sz w:val="24"/>
          <w:szCs w:val="24"/>
          <w:lang w:eastAsia="zh-CN"/>
        </w:rPr>
        <w:t>根据用户需求书必须提供的材料，</w:t>
      </w:r>
      <w:r>
        <w:rPr>
          <w:rFonts w:hint="eastAsia" w:ascii="宋体" w:hAnsi="宋体"/>
          <w:b/>
          <w:color w:val="FF0000"/>
          <w:sz w:val="24"/>
          <w:szCs w:val="24"/>
        </w:rPr>
        <w:t>如有，格式自拟】</w:t>
      </w:r>
    </w:p>
    <w:p>
      <w:pPr>
        <w:spacing w:before="0"/>
        <w:ind w:left="105" w:leftChars="50" w:right="-57" w:firstLine="316" w:firstLineChars="150"/>
        <w:rPr>
          <w:rFonts w:ascii="宋体" w:hAnsi="宋体"/>
          <w:b/>
        </w:rPr>
      </w:pPr>
    </w:p>
    <w:p>
      <w:pPr>
        <w:spacing w:before="0"/>
        <w:ind w:left="105" w:leftChars="50" w:right="-57" w:firstLine="316" w:firstLineChars="150"/>
        <w:rPr>
          <w:rFonts w:ascii="宋体" w:hAnsi="宋体"/>
          <w:b/>
        </w:rPr>
      </w:pPr>
    </w:p>
    <w:p>
      <w:pPr>
        <w:widowControl w:val="0"/>
        <w:spacing w:before="0" w:after="0" w:afterAutospacing="0"/>
        <w:ind w:left="0" w:right="0" w:firstLine="0"/>
        <w:jc w:val="center"/>
        <w:rPr>
          <w:rStyle w:val="42"/>
          <w:rFonts w:hint="eastAsia" w:ascii="黑体" w:hAnsi="黑体" w:eastAsia="黑体" w:cs="黑体"/>
          <w:sz w:val="44"/>
          <w:szCs w:val="44"/>
        </w:rPr>
      </w:pPr>
      <w:bookmarkStart w:id="270" w:name="_Toc21321"/>
      <w:bookmarkStart w:id="271" w:name="_Toc12771"/>
      <w:bookmarkStart w:id="272" w:name="_Toc328"/>
      <w:bookmarkStart w:id="273" w:name="_Toc6337"/>
      <w:bookmarkStart w:id="274" w:name="_Toc492478835"/>
      <w:bookmarkStart w:id="275" w:name="_Toc30897"/>
      <w:bookmarkStart w:id="276" w:name="_Toc28135"/>
      <w:bookmarkStart w:id="277" w:name="_Toc101965706"/>
      <w:bookmarkStart w:id="278" w:name="_Toc13941"/>
      <w:bookmarkStart w:id="279" w:name="_Toc26409"/>
      <w:bookmarkStart w:id="280" w:name="_Toc12695"/>
      <w:bookmarkStart w:id="281" w:name="_Toc14566"/>
      <w:bookmarkStart w:id="282" w:name="_Toc9597"/>
      <w:bookmarkStart w:id="283" w:name="_Toc16754"/>
      <w:bookmarkStart w:id="284" w:name="_Toc5010"/>
      <w:bookmarkStart w:id="285" w:name="_Toc20298"/>
      <w:bookmarkStart w:id="286" w:name="_Toc31681"/>
      <w:bookmarkStart w:id="287" w:name="_Toc28535"/>
      <w:bookmarkStart w:id="288" w:name="_Toc6454"/>
      <w:bookmarkStart w:id="289" w:name="_Toc25061"/>
    </w:p>
    <w:p>
      <w:pPr>
        <w:widowControl w:val="0"/>
        <w:spacing w:before="0" w:after="0" w:afterAutospacing="0"/>
        <w:ind w:left="0" w:right="0" w:firstLine="0"/>
        <w:jc w:val="center"/>
        <w:rPr>
          <w:rStyle w:val="42"/>
          <w:rFonts w:hint="eastAsia" w:ascii="黑体" w:hAnsi="黑体" w:eastAsia="黑体" w:cs="黑体"/>
          <w:sz w:val="44"/>
          <w:szCs w:val="44"/>
        </w:rPr>
      </w:pPr>
    </w:p>
    <w:p>
      <w:pPr>
        <w:widowControl w:val="0"/>
        <w:spacing w:before="0" w:after="0" w:afterAutospacing="0"/>
        <w:ind w:left="0" w:right="0" w:firstLine="0"/>
        <w:jc w:val="center"/>
        <w:rPr>
          <w:rStyle w:val="42"/>
          <w:rFonts w:hint="eastAsia" w:ascii="黑体" w:hAnsi="黑体" w:eastAsia="黑体" w:cs="黑体"/>
          <w:sz w:val="44"/>
          <w:szCs w:val="44"/>
        </w:rPr>
      </w:pPr>
    </w:p>
    <w:p>
      <w:pPr>
        <w:widowControl w:val="0"/>
        <w:spacing w:before="0" w:after="0" w:afterAutospacing="0"/>
        <w:ind w:left="0" w:right="0" w:firstLine="0"/>
        <w:jc w:val="center"/>
        <w:rPr>
          <w:rStyle w:val="42"/>
          <w:rFonts w:hint="eastAsia" w:ascii="黑体" w:hAnsi="黑体" w:eastAsia="黑体" w:cs="黑体"/>
          <w:sz w:val="44"/>
          <w:szCs w:val="44"/>
        </w:rPr>
      </w:pPr>
    </w:p>
    <w:p>
      <w:pPr>
        <w:widowControl w:val="0"/>
        <w:spacing w:before="0" w:after="0" w:afterAutospacing="0"/>
        <w:ind w:left="0" w:right="0" w:firstLine="0"/>
        <w:jc w:val="center"/>
        <w:rPr>
          <w:rStyle w:val="42"/>
          <w:rFonts w:hint="eastAsia" w:ascii="黑体" w:hAnsi="黑体" w:eastAsia="黑体" w:cs="黑体"/>
          <w:sz w:val="44"/>
          <w:szCs w:val="44"/>
        </w:rPr>
      </w:pPr>
    </w:p>
    <w:p>
      <w:pPr>
        <w:widowControl w:val="0"/>
        <w:spacing w:before="0" w:after="0" w:afterAutospacing="0"/>
        <w:ind w:left="0" w:right="0" w:firstLine="0"/>
        <w:jc w:val="center"/>
        <w:rPr>
          <w:rStyle w:val="42"/>
          <w:rFonts w:hint="eastAsia" w:ascii="黑体" w:hAnsi="黑体" w:eastAsia="黑体" w:cs="黑体"/>
          <w:sz w:val="44"/>
          <w:szCs w:val="44"/>
        </w:rPr>
      </w:pPr>
    </w:p>
    <w:p>
      <w:pPr>
        <w:widowControl w:val="0"/>
        <w:spacing w:before="0" w:after="0" w:afterAutospacing="0"/>
        <w:ind w:left="0" w:right="0" w:firstLine="0"/>
        <w:jc w:val="center"/>
        <w:rPr>
          <w:rStyle w:val="42"/>
          <w:rFonts w:hint="eastAsia" w:ascii="黑体" w:hAnsi="黑体" w:eastAsia="黑体" w:cs="黑体"/>
          <w:sz w:val="44"/>
          <w:szCs w:val="44"/>
        </w:rPr>
      </w:pPr>
    </w:p>
    <w:p>
      <w:pPr>
        <w:widowControl w:val="0"/>
        <w:spacing w:before="0" w:after="0" w:afterAutospacing="0"/>
        <w:ind w:left="0" w:right="0" w:firstLine="0"/>
        <w:jc w:val="center"/>
        <w:rPr>
          <w:rStyle w:val="42"/>
          <w:rFonts w:hint="eastAsia" w:ascii="黑体" w:hAnsi="黑体" w:eastAsia="黑体" w:cs="黑体"/>
          <w:sz w:val="44"/>
          <w:szCs w:val="44"/>
        </w:rPr>
      </w:pPr>
    </w:p>
    <w:p>
      <w:pPr>
        <w:widowControl w:val="0"/>
        <w:spacing w:before="0" w:after="0" w:afterAutospacing="0"/>
        <w:ind w:left="0" w:right="0" w:firstLine="0"/>
        <w:jc w:val="center"/>
        <w:rPr>
          <w:rStyle w:val="42"/>
          <w:rFonts w:hint="eastAsia" w:ascii="黑体" w:hAnsi="黑体" w:eastAsia="黑体" w:cs="黑体"/>
          <w:sz w:val="44"/>
          <w:szCs w:val="44"/>
        </w:rPr>
      </w:pPr>
    </w:p>
    <w:p>
      <w:pPr>
        <w:widowControl w:val="0"/>
        <w:spacing w:before="0" w:after="0" w:afterAutospacing="0"/>
        <w:ind w:left="0" w:right="0" w:firstLine="0"/>
        <w:jc w:val="center"/>
        <w:rPr>
          <w:rStyle w:val="42"/>
          <w:rFonts w:hint="eastAsia" w:ascii="黑体" w:hAnsi="黑体" w:eastAsia="黑体" w:cs="黑体"/>
          <w:sz w:val="44"/>
          <w:szCs w:val="44"/>
        </w:rPr>
      </w:pPr>
    </w:p>
    <w:p>
      <w:pPr>
        <w:widowControl w:val="0"/>
        <w:spacing w:before="0" w:after="0" w:afterAutospacing="0"/>
        <w:ind w:left="0" w:right="0" w:firstLine="0"/>
        <w:jc w:val="center"/>
        <w:rPr>
          <w:rStyle w:val="42"/>
          <w:rFonts w:hint="eastAsia" w:ascii="黑体" w:hAnsi="黑体" w:eastAsia="黑体" w:cs="黑体"/>
          <w:sz w:val="44"/>
          <w:szCs w:val="44"/>
        </w:rPr>
      </w:pPr>
    </w:p>
    <w:p>
      <w:pPr>
        <w:widowControl w:val="0"/>
        <w:spacing w:before="0" w:after="0" w:afterAutospacing="0"/>
        <w:ind w:left="0" w:right="0" w:firstLine="0"/>
        <w:jc w:val="center"/>
        <w:rPr>
          <w:rStyle w:val="42"/>
          <w:rFonts w:hint="eastAsia" w:ascii="黑体" w:hAnsi="黑体" w:eastAsia="黑体" w:cs="黑体"/>
          <w:sz w:val="44"/>
          <w:szCs w:val="44"/>
        </w:rPr>
      </w:pPr>
    </w:p>
    <w:p>
      <w:pPr>
        <w:widowControl w:val="0"/>
        <w:numPr>
          <w:ilvl w:val="0"/>
          <w:numId w:val="9"/>
        </w:numPr>
        <w:spacing w:before="0" w:after="0" w:afterAutospacing="0"/>
        <w:ind w:left="0" w:right="0" w:firstLine="0"/>
        <w:jc w:val="center"/>
        <w:rPr>
          <w:rStyle w:val="42"/>
          <w:rFonts w:hint="eastAsia" w:ascii="黑体" w:hAnsi="黑体" w:eastAsia="黑体" w:cs="黑体"/>
          <w:sz w:val="44"/>
          <w:szCs w:val="44"/>
        </w:rPr>
      </w:pPr>
      <w:r>
        <w:rPr>
          <w:rStyle w:val="42"/>
          <w:rFonts w:hint="eastAsia" w:ascii="黑体" w:hAnsi="黑体" w:eastAsia="黑体" w:cs="黑体"/>
          <w:sz w:val="44"/>
          <w:szCs w:val="44"/>
        </w:rPr>
        <w:t>用户需求书</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Start w:id="290" w:name="_Toc25750688"/>
    </w:p>
    <w:p>
      <w:pPr>
        <w:widowControl w:val="0"/>
        <w:numPr>
          <w:ilvl w:val="0"/>
          <w:numId w:val="0"/>
        </w:numPr>
        <w:spacing w:before="0" w:after="0" w:afterAutospacing="0"/>
        <w:ind w:leftChars="0" w:right="0" w:rightChars="0"/>
        <w:jc w:val="center"/>
        <w:rPr>
          <w:rFonts w:hint="eastAsia" w:ascii="宋体" w:hAnsi="宋体" w:eastAsia="宋体" w:cs="宋体"/>
          <w:color w:val="000000"/>
          <w:kern w:val="2"/>
          <w:sz w:val="44"/>
          <w:szCs w:val="48"/>
        </w:rPr>
      </w:pPr>
    </w:p>
    <w:p>
      <w:pPr>
        <w:widowControl w:val="0"/>
        <w:numPr>
          <w:ilvl w:val="0"/>
          <w:numId w:val="0"/>
        </w:numPr>
        <w:spacing w:before="0" w:after="0" w:afterAutospacing="0"/>
        <w:ind w:leftChars="0" w:right="0" w:rightChars="0"/>
        <w:jc w:val="center"/>
        <w:rPr>
          <w:rFonts w:hint="eastAsia" w:ascii="宋体" w:hAnsi="宋体" w:eastAsia="宋体" w:cs="宋体"/>
          <w:color w:val="000000"/>
          <w:kern w:val="2"/>
          <w:sz w:val="44"/>
          <w:szCs w:val="48"/>
        </w:rPr>
      </w:pPr>
    </w:p>
    <w:p>
      <w:pPr>
        <w:widowControl w:val="0"/>
        <w:numPr>
          <w:ilvl w:val="0"/>
          <w:numId w:val="0"/>
        </w:numPr>
        <w:spacing w:before="0" w:after="0" w:afterAutospacing="0"/>
        <w:ind w:leftChars="0" w:right="0" w:rightChars="0"/>
        <w:jc w:val="center"/>
        <w:rPr>
          <w:rFonts w:hint="eastAsia" w:ascii="宋体" w:hAnsi="宋体" w:eastAsia="宋体" w:cs="宋体"/>
          <w:color w:val="000000"/>
          <w:kern w:val="2"/>
          <w:sz w:val="44"/>
          <w:szCs w:val="48"/>
        </w:rPr>
      </w:pPr>
      <w:r>
        <w:rPr>
          <w:rFonts w:hint="eastAsia" w:ascii="宋体" w:hAnsi="宋体" w:eastAsia="宋体" w:cs="宋体"/>
          <w:color w:val="000000"/>
          <w:kern w:val="2"/>
          <w:sz w:val="44"/>
          <w:szCs w:val="48"/>
        </w:rPr>
        <w:t>南宁轨道交通运营有限公司2022年新能源</w:t>
      </w:r>
    </w:p>
    <w:p>
      <w:pPr>
        <w:widowControl w:val="0"/>
        <w:spacing w:before="0" w:after="0" w:afterAutospacing="0"/>
        <w:ind w:left="0" w:right="0" w:firstLine="0"/>
        <w:jc w:val="center"/>
        <w:rPr>
          <w:rFonts w:hint="eastAsia" w:ascii="宋体" w:hAnsi="宋体" w:eastAsia="宋体" w:cs="宋体"/>
          <w:b/>
          <w:bCs/>
          <w:kern w:val="2"/>
          <w:sz w:val="44"/>
          <w:szCs w:val="44"/>
        </w:rPr>
      </w:pPr>
      <w:r>
        <w:rPr>
          <w:rFonts w:hint="eastAsia" w:ascii="宋体" w:hAnsi="宋体" w:eastAsia="宋体" w:cs="宋体"/>
          <w:color w:val="000000"/>
          <w:kern w:val="2"/>
          <w:sz w:val="44"/>
          <w:szCs w:val="48"/>
        </w:rPr>
        <w:t>汽车充电桩二期建设项目</w:t>
      </w:r>
    </w:p>
    <w:p>
      <w:pPr>
        <w:widowControl w:val="0"/>
        <w:spacing w:before="0" w:after="0" w:afterAutospacing="0"/>
        <w:ind w:left="0" w:right="0" w:firstLine="0"/>
        <w:jc w:val="center"/>
        <w:rPr>
          <w:rFonts w:ascii="宋体" w:hAnsi="宋体" w:eastAsia="宋体" w:cs="宋体"/>
          <w:b/>
          <w:bCs/>
          <w:kern w:val="2"/>
          <w:sz w:val="44"/>
          <w:szCs w:val="44"/>
        </w:rPr>
      </w:pPr>
    </w:p>
    <w:p>
      <w:pPr>
        <w:widowControl w:val="0"/>
        <w:spacing w:before="0" w:after="0" w:afterAutospacing="0"/>
        <w:ind w:left="0" w:right="0" w:firstLine="0"/>
        <w:jc w:val="center"/>
        <w:rPr>
          <w:rFonts w:ascii="宋体" w:hAnsi="宋体" w:eastAsia="宋体" w:cs="宋体"/>
          <w:b/>
          <w:bCs/>
          <w:kern w:val="2"/>
          <w:sz w:val="44"/>
          <w:szCs w:val="44"/>
        </w:rPr>
      </w:pPr>
    </w:p>
    <w:p>
      <w:pPr>
        <w:widowControl w:val="0"/>
        <w:spacing w:before="0" w:after="0" w:afterAutospacing="0"/>
        <w:ind w:left="0" w:right="0" w:firstLine="0"/>
        <w:rPr>
          <w:rFonts w:ascii="宋体" w:hAnsi="宋体" w:eastAsia="宋体" w:cs="宋体"/>
          <w:b/>
          <w:bCs/>
          <w:kern w:val="2"/>
          <w:sz w:val="44"/>
          <w:szCs w:val="44"/>
        </w:rPr>
      </w:pPr>
    </w:p>
    <w:p>
      <w:pPr>
        <w:widowControl w:val="0"/>
        <w:spacing w:before="0" w:after="0" w:afterAutospacing="0"/>
        <w:ind w:left="0" w:right="0" w:firstLine="0"/>
        <w:jc w:val="center"/>
        <w:rPr>
          <w:rFonts w:ascii="宋体" w:hAnsi="宋体" w:eastAsia="宋体" w:cs="宋体"/>
          <w:b/>
          <w:bCs/>
          <w:kern w:val="2"/>
          <w:sz w:val="44"/>
          <w:szCs w:val="44"/>
        </w:rPr>
      </w:pPr>
    </w:p>
    <w:p>
      <w:pPr>
        <w:widowControl w:val="0"/>
        <w:spacing w:before="0" w:after="0" w:afterAutospacing="0" w:line="240" w:lineRule="auto"/>
        <w:ind w:left="0" w:right="0" w:firstLine="0"/>
        <w:jc w:val="center"/>
        <w:rPr>
          <w:rFonts w:ascii="宋体" w:hAnsi="宋体" w:eastAsia="宋体" w:cs="宋体"/>
          <w:bCs/>
          <w:kern w:val="2"/>
          <w:sz w:val="52"/>
          <w:szCs w:val="52"/>
        </w:rPr>
      </w:pPr>
      <w:r>
        <w:rPr>
          <w:rFonts w:hint="eastAsia" w:ascii="宋体" w:hAnsi="宋体" w:eastAsia="宋体" w:cs="宋体"/>
          <w:bCs/>
          <w:kern w:val="2"/>
          <w:sz w:val="52"/>
          <w:szCs w:val="52"/>
        </w:rPr>
        <w:t>用户需求书</w:t>
      </w:r>
    </w:p>
    <w:p>
      <w:pPr>
        <w:widowControl w:val="0"/>
        <w:spacing w:before="0" w:after="0" w:afterAutospacing="0"/>
        <w:ind w:left="0" w:right="0" w:firstLine="0"/>
        <w:jc w:val="center"/>
        <w:rPr>
          <w:rFonts w:ascii="宋体" w:hAnsi="宋体" w:eastAsia="宋体" w:cs="Times New Roman"/>
          <w:b/>
          <w:bCs/>
          <w:kern w:val="2"/>
          <w:sz w:val="44"/>
          <w:szCs w:val="44"/>
        </w:rPr>
      </w:pPr>
    </w:p>
    <w:p>
      <w:pPr>
        <w:widowControl w:val="0"/>
        <w:spacing w:before="0" w:after="0" w:afterAutospacing="0"/>
        <w:ind w:left="0" w:right="0" w:firstLine="0"/>
        <w:jc w:val="center"/>
        <w:rPr>
          <w:rFonts w:ascii="宋体" w:hAnsi="宋体" w:eastAsia="宋体" w:cs="Times New Roman"/>
          <w:b/>
          <w:bCs/>
          <w:kern w:val="2"/>
          <w:sz w:val="44"/>
          <w:szCs w:val="44"/>
        </w:rPr>
      </w:pPr>
    </w:p>
    <w:p>
      <w:pPr>
        <w:widowControl w:val="0"/>
        <w:spacing w:before="0" w:after="0" w:afterAutospacing="0"/>
        <w:ind w:left="0" w:right="0" w:firstLine="0"/>
        <w:jc w:val="center"/>
        <w:rPr>
          <w:rFonts w:ascii="宋体" w:hAnsi="宋体" w:eastAsia="宋体" w:cs="Times New Roman"/>
          <w:b/>
          <w:bCs/>
          <w:kern w:val="2"/>
          <w:sz w:val="44"/>
          <w:szCs w:val="44"/>
        </w:rPr>
      </w:pPr>
    </w:p>
    <w:p>
      <w:pPr>
        <w:widowControl w:val="0"/>
        <w:spacing w:before="0" w:after="0" w:afterAutospacing="0"/>
        <w:ind w:left="0" w:right="0" w:firstLine="0"/>
        <w:rPr>
          <w:rFonts w:ascii="宋体" w:hAnsi="宋体" w:eastAsia="宋体" w:cs="Times New Roman"/>
          <w:b/>
          <w:bCs/>
          <w:kern w:val="2"/>
          <w:sz w:val="44"/>
          <w:szCs w:val="44"/>
        </w:rPr>
      </w:pPr>
    </w:p>
    <w:p>
      <w:pPr>
        <w:widowControl w:val="0"/>
        <w:spacing w:before="0" w:after="0" w:afterAutospacing="0" w:line="240" w:lineRule="auto"/>
        <w:ind w:left="0" w:right="0" w:firstLine="0"/>
        <w:jc w:val="center"/>
        <w:rPr>
          <w:rFonts w:hint="eastAsia" w:ascii="宋体" w:hAnsi="宋体" w:eastAsia="宋体" w:cs="Times New Roman"/>
          <w:kern w:val="2"/>
          <w:sz w:val="32"/>
          <w:szCs w:val="32"/>
        </w:rPr>
      </w:pPr>
    </w:p>
    <w:p>
      <w:pPr>
        <w:widowControl w:val="0"/>
        <w:spacing w:before="0" w:after="0" w:afterAutospacing="0" w:line="240" w:lineRule="auto"/>
        <w:ind w:left="0" w:right="0" w:firstLine="0"/>
        <w:jc w:val="center"/>
        <w:rPr>
          <w:rFonts w:hint="eastAsia" w:ascii="宋体" w:hAnsi="宋体" w:eastAsia="宋体" w:cs="Times New Roman"/>
          <w:kern w:val="2"/>
          <w:sz w:val="32"/>
          <w:szCs w:val="32"/>
        </w:rPr>
      </w:pPr>
    </w:p>
    <w:p>
      <w:pPr>
        <w:widowControl w:val="0"/>
        <w:spacing w:before="0" w:after="0" w:afterAutospacing="0" w:line="240" w:lineRule="auto"/>
        <w:ind w:left="0" w:right="0" w:firstLine="0"/>
        <w:jc w:val="center"/>
        <w:rPr>
          <w:rFonts w:ascii="宋体" w:hAnsi="宋体" w:eastAsia="宋体" w:cs="Times New Roman"/>
          <w:kern w:val="2"/>
          <w:sz w:val="32"/>
          <w:szCs w:val="32"/>
        </w:rPr>
      </w:pPr>
      <w:r>
        <w:rPr>
          <w:rFonts w:hint="eastAsia" w:ascii="宋体" w:hAnsi="宋体" w:eastAsia="宋体" w:cs="Times New Roman"/>
          <w:kern w:val="2"/>
          <w:sz w:val="32"/>
          <w:szCs w:val="32"/>
        </w:rPr>
        <w:t>南宁轨道交通运营有限公司</w:t>
      </w:r>
    </w:p>
    <w:p>
      <w:pPr>
        <w:widowControl w:val="0"/>
        <w:spacing w:before="0" w:after="0" w:afterAutospacing="0" w:line="240" w:lineRule="auto"/>
        <w:ind w:left="0" w:right="0" w:firstLine="0"/>
        <w:rPr>
          <w:rFonts w:ascii="宋体" w:hAnsi="宋体" w:eastAsia="宋体" w:cs="Times New Roman"/>
          <w:kern w:val="2"/>
          <w:szCs w:val="24"/>
        </w:rPr>
      </w:pPr>
      <w:r>
        <w:rPr>
          <w:rFonts w:ascii="宋体" w:hAnsi="宋体" w:eastAsia="宋体" w:cs="Times New Roman"/>
          <w:kern w:val="2"/>
          <w:szCs w:val="24"/>
        </w:rPr>
        <w:br w:type="page"/>
      </w:r>
    </w:p>
    <w:p>
      <w:pPr>
        <w:widowControl w:val="0"/>
        <w:spacing w:before="0" w:after="0" w:afterAutospacing="0" w:line="240" w:lineRule="auto"/>
        <w:ind w:left="0" w:right="0" w:firstLine="0"/>
        <w:jc w:val="center"/>
        <w:rPr>
          <w:rFonts w:hint="eastAsia" w:ascii="宋体" w:hAnsi="宋体" w:eastAsia="宋体" w:cs="宋体"/>
          <w:b/>
          <w:bCs/>
          <w:kern w:val="2"/>
          <w:sz w:val="28"/>
          <w:szCs w:val="28"/>
        </w:rPr>
      </w:pPr>
      <w:r>
        <w:rPr>
          <w:rFonts w:hint="eastAsia" w:ascii="宋体" w:hAnsi="宋体" w:eastAsia="宋体" w:cs="宋体"/>
          <w:b/>
          <w:bCs/>
          <w:kern w:val="2"/>
          <w:sz w:val="28"/>
          <w:szCs w:val="28"/>
        </w:rPr>
        <w:t>目</w:t>
      </w:r>
      <w:r>
        <w:rPr>
          <w:rFonts w:hint="eastAsia" w:ascii="宋体" w:hAnsi="宋体" w:eastAsia="宋体" w:cs="宋体"/>
          <w:b/>
          <w:bCs/>
          <w:sz w:val="28"/>
          <w:szCs w:val="28"/>
          <w:highlight w:val="none"/>
        </w:rPr>
        <w:t xml:space="preserve">  </w:t>
      </w:r>
      <w:r>
        <w:rPr>
          <w:rFonts w:hint="eastAsia" w:ascii="宋体" w:hAnsi="宋体" w:eastAsia="宋体" w:cs="宋体"/>
          <w:b/>
          <w:bCs/>
          <w:kern w:val="2"/>
          <w:sz w:val="28"/>
          <w:szCs w:val="28"/>
        </w:rPr>
        <w:t>录</w:t>
      </w:r>
    </w:p>
    <w:p>
      <w:pPr>
        <w:widowControl w:val="0"/>
        <w:spacing w:before="0" w:after="0" w:afterAutospacing="0" w:line="240" w:lineRule="auto"/>
        <w:ind w:left="0" w:right="0" w:firstLine="0"/>
        <w:jc w:val="center"/>
        <w:rPr>
          <w:rFonts w:hint="eastAsia" w:ascii="宋体" w:hAnsi="宋体" w:eastAsia="宋体" w:cs="宋体"/>
          <w:b/>
          <w:bCs/>
          <w:kern w:val="2"/>
          <w:sz w:val="28"/>
          <w:szCs w:val="28"/>
        </w:rPr>
      </w:pP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0" w:right="0" w:firstLine="0"/>
        <w:textAlignment w:val="auto"/>
        <w:rPr>
          <w:rFonts w:hint="eastAsia" w:ascii="宋体" w:hAnsi="宋体" w:eastAsia="宋体" w:cs="宋体"/>
          <w:kern w:val="2"/>
          <w:szCs w:val="24"/>
        </w:rPr>
      </w:pP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TOC \o "1-2" \h \z \u </w:instrText>
      </w:r>
      <w:r>
        <w:rPr>
          <w:rFonts w:hint="eastAsia" w:ascii="宋体" w:hAnsi="宋体" w:eastAsia="宋体" w:cs="宋体"/>
          <w:kern w:val="2"/>
          <w:szCs w:val="24"/>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"_Toc11259" </w:instrText>
      </w:r>
      <w:r>
        <w:rPr>
          <w:rFonts w:hint="eastAsia" w:ascii="宋体" w:hAnsi="宋体" w:eastAsia="宋体" w:cs="宋体"/>
        </w:rPr>
        <w:fldChar w:fldCharType="separate"/>
      </w:r>
      <w:r>
        <w:rPr>
          <w:rFonts w:hint="eastAsia" w:ascii="宋体" w:hAnsi="宋体" w:eastAsia="宋体" w:cs="宋体"/>
          <w:kern w:val="2"/>
          <w:szCs w:val="44"/>
        </w:rPr>
        <w:t>1项目概况</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_Toc11259 \h </w:instrText>
      </w:r>
      <w:r>
        <w:rPr>
          <w:rFonts w:hint="eastAsia" w:ascii="宋体" w:hAnsi="宋体" w:eastAsia="宋体" w:cs="宋体"/>
          <w:kern w:val="2"/>
          <w:szCs w:val="24"/>
        </w:rPr>
        <w:fldChar w:fldCharType="separate"/>
      </w:r>
      <w:r>
        <w:rPr>
          <w:rFonts w:hint="eastAsia" w:ascii="宋体" w:hAnsi="宋体" w:eastAsia="宋体" w:cs="宋体"/>
          <w:kern w:val="2"/>
          <w:szCs w:val="24"/>
        </w:rPr>
        <w:t>1</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"_Toc22248" </w:instrText>
      </w:r>
      <w:r>
        <w:rPr>
          <w:rFonts w:hint="eastAsia" w:ascii="宋体" w:hAnsi="宋体" w:eastAsia="宋体" w:cs="宋体"/>
        </w:rPr>
        <w:fldChar w:fldCharType="separate"/>
      </w:r>
      <w:r>
        <w:rPr>
          <w:rFonts w:hint="eastAsia" w:ascii="宋体" w:hAnsi="宋体" w:eastAsia="宋体" w:cs="宋体"/>
          <w:kern w:val="2"/>
          <w:szCs w:val="24"/>
        </w:rPr>
        <w:t>1.1工程概况</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_Toc22248 \h </w:instrText>
      </w:r>
      <w:r>
        <w:rPr>
          <w:rFonts w:hint="eastAsia" w:ascii="宋体" w:hAnsi="宋体" w:eastAsia="宋体" w:cs="宋体"/>
          <w:kern w:val="2"/>
          <w:szCs w:val="24"/>
        </w:rPr>
        <w:fldChar w:fldCharType="separate"/>
      </w:r>
      <w:r>
        <w:rPr>
          <w:rFonts w:hint="eastAsia" w:ascii="宋体" w:hAnsi="宋体" w:eastAsia="宋体" w:cs="宋体"/>
          <w:kern w:val="2"/>
          <w:szCs w:val="24"/>
        </w:rPr>
        <w:t>1</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"_Toc20337" </w:instrText>
      </w:r>
      <w:r>
        <w:rPr>
          <w:rFonts w:hint="eastAsia" w:ascii="宋体" w:hAnsi="宋体" w:eastAsia="宋体" w:cs="宋体"/>
        </w:rPr>
        <w:fldChar w:fldCharType="separate"/>
      </w:r>
      <w:r>
        <w:rPr>
          <w:rFonts w:hint="eastAsia" w:ascii="宋体" w:hAnsi="宋体" w:eastAsia="宋体" w:cs="宋体"/>
          <w:kern w:val="2"/>
          <w:szCs w:val="24"/>
        </w:rPr>
        <w:t>1.2项目概况</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_Toc20337 \h </w:instrText>
      </w:r>
      <w:r>
        <w:rPr>
          <w:rFonts w:hint="eastAsia" w:ascii="宋体" w:hAnsi="宋体" w:eastAsia="宋体" w:cs="宋体"/>
          <w:kern w:val="2"/>
          <w:szCs w:val="24"/>
        </w:rPr>
        <w:fldChar w:fldCharType="separate"/>
      </w:r>
      <w:r>
        <w:rPr>
          <w:rFonts w:hint="eastAsia" w:ascii="宋体" w:hAnsi="宋体" w:eastAsia="宋体" w:cs="宋体"/>
          <w:kern w:val="2"/>
          <w:szCs w:val="24"/>
        </w:rPr>
        <w:t>1</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"_Toc3420" </w:instrText>
      </w:r>
      <w:r>
        <w:rPr>
          <w:rFonts w:hint="eastAsia" w:ascii="宋体" w:hAnsi="宋体" w:eastAsia="宋体" w:cs="宋体"/>
        </w:rPr>
        <w:fldChar w:fldCharType="separate"/>
      </w:r>
      <w:r>
        <w:rPr>
          <w:rFonts w:hint="eastAsia" w:ascii="宋体" w:hAnsi="宋体" w:eastAsia="宋体" w:cs="宋体"/>
          <w:kern w:val="2"/>
          <w:szCs w:val="24"/>
        </w:rPr>
        <w:t>1.3</w:t>
      </w:r>
      <w:r>
        <w:rPr>
          <w:rFonts w:hint="eastAsia" w:ascii="宋体" w:hAnsi="宋体" w:eastAsia="宋体" w:cs="宋体"/>
          <w:kern w:val="2"/>
          <w:szCs w:val="24"/>
          <w:lang w:eastAsia="zh-CN"/>
        </w:rPr>
        <w:t>招标人</w:t>
      </w:r>
      <w:r>
        <w:rPr>
          <w:rFonts w:hint="eastAsia" w:ascii="宋体" w:hAnsi="宋体" w:eastAsia="宋体" w:cs="宋体"/>
          <w:kern w:val="2"/>
          <w:szCs w:val="24"/>
        </w:rPr>
        <w:t>及</w:t>
      </w:r>
      <w:r>
        <w:rPr>
          <w:rFonts w:hint="eastAsia" w:ascii="宋体" w:hAnsi="宋体" w:eastAsia="宋体" w:cs="宋体"/>
          <w:kern w:val="2"/>
          <w:szCs w:val="24"/>
          <w:lang w:eastAsia="zh-CN"/>
        </w:rPr>
        <w:t>投标人</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_Toc3420 \h </w:instrText>
      </w:r>
      <w:r>
        <w:rPr>
          <w:rFonts w:hint="eastAsia" w:ascii="宋体" w:hAnsi="宋体" w:eastAsia="宋体" w:cs="宋体"/>
          <w:kern w:val="2"/>
          <w:szCs w:val="24"/>
        </w:rPr>
        <w:fldChar w:fldCharType="separate"/>
      </w:r>
      <w:r>
        <w:rPr>
          <w:rFonts w:hint="eastAsia" w:ascii="宋体" w:hAnsi="宋体" w:eastAsia="宋体" w:cs="宋体"/>
          <w:kern w:val="2"/>
          <w:szCs w:val="24"/>
        </w:rPr>
        <w:t>2</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"_Toc25274" </w:instrText>
      </w:r>
      <w:r>
        <w:rPr>
          <w:rFonts w:hint="eastAsia" w:ascii="宋体" w:hAnsi="宋体" w:eastAsia="宋体" w:cs="宋体"/>
        </w:rPr>
        <w:fldChar w:fldCharType="separate"/>
      </w:r>
      <w:r>
        <w:rPr>
          <w:rFonts w:hint="eastAsia" w:ascii="宋体" w:hAnsi="宋体" w:eastAsia="宋体" w:cs="宋体"/>
          <w:kern w:val="2"/>
          <w:szCs w:val="24"/>
        </w:rPr>
        <w:t>2项目范围、内容及要求</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_Toc25274 \h </w:instrText>
      </w:r>
      <w:r>
        <w:rPr>
          <w:rFonts w:hint="eastAsia" w:ascii="宋体" w:hAnsi="宋体" w:eastAsia="宋体" w:cs="宋体"/>
          <w:kern w:val="2"/>
          <w:szCs w:val="24"/>
        </w:rPr>
        <w:fldChar w:fldCharType="separate"/>
      </w:r>
      <w:r>
        <w:rPr>
          <w:rFonts w:hint="eastAsia" w:ascii="宋体" w:hAnsi="宋体" w:eastAsia="宋体" w:cs="宋体"/>
          <w:kern w:val="2"/>
          <w:szCs w:val="24"/>
        </w:rPr>
        <w:t>2</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"_Toc25650" </w:instrText>
      </w:r>
      <w:r>
        <w:rPr>
          <w:rFonts w:hint="eastAsia" w:ascii="宋体" w:hAnsi="宋体" w:eastAsia="宋体" w:cs="宋体"/>
        </w:rPr>
        <w:fldChar w:fldCharType="separate"/>
      </w:r>
      <w:r>
        <w:rPr>
          <w:rFonts w:hint="eastAsia" w:ascii="宋体" w:hAnsi="宋体" w:eastAsia="宋体" w:cs="宋体"/>
          <w:kern w:val="2"/>
          <w:szCs w:val="24"/>
        </w:rPr>
        <w:t>2.1项目名称</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_Toc25650 \h </w:instrText>
      </w:r>
      <w:r>
        <w:rPr>
          <w:rFonts w:hint="eastAsia" w:ascii="宋体" w:hAnsi="宋体" w:eastAsia="宋体" w:cs="宋体"/>
          <w:kern w:val="2"/>
          <w:szCs w:val="24"/>
        </w:rPr>
        <w:fldChar w:fldCharType="separate"/>
      </w:r>
      <w:r>
        <w:rPr>
          <w:rFonts w:hint="eastAsia" w:ascii="宋体" w:hAnsi="宋体" w:eastAsia="宋体" w:cs="宋体"/>
          <w:kern w:val="2"/>
          <w:szCs w:val="24"/>
        </w:rPr>
        <w:t>2</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"_Toc3649" </w:instrText>
      </w:r>
      <w:r>
        <w:rPr>
          <w:rFonts w:hint="eastAsia" w:ascii="宋体" w:hAnsi="宋体" w:eastAsia="宋体" w:cs="宋体"/>
        </w:rPr>
        <w:fldChar w:fldCharType="separate"/>
      </w:r>
      <w:r>
        <w:rPr>
          <w:rFonts w:hint="eastAsia" w:ascii="宋体" w:hAnsi="宋体" w:eastAsia="宋体" w:cs="宋体"/>
          <w:kern w:val="2"/>
          <w:szCs w:val="24"/>
        </w:rPr>
        <w:t>2.2项目范围</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_Toc3649 \h </w:instrText>
      </w:r>
      <w:r>
        <w:rPr>
          <w:rFonts w:hint="eastAsia" w:ascii="宋体" w:hAnsi="宋体" w:eastAsia="宋体" w:cs="宋体"/>
          <w:kern w:val="2"/>
          <w:szCs w:val="24"/>
        </w:rPr>
        <w:fldChar w:fldCharType="separate"/>
      </w:r>
      <w:r>
        <w:rPr>
          <w:rFonts w:hint="eastAsia" w:ascii="宋体" w:hAnsi="宋体" w:eastAsia="宋体" w:cs="宋体"/>
          <w:kern w:val="2"/>
          <w:szCs w:val="24"/>
        </w:rPr>
        <w:t>2</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"_Toc11040" </w:instrText>
      </w:r>
      <w:r>
        <w:rPr>
          <w:rFonts w:hint="eastAsia" w:ascii="宋体" w:hAnsi="宋体" w:eastAsia="宋体" w:cs="宋体"/>
        </w:rPr>
        <w:fldChar w:fldCharType="separate"/>
      </w:r>
      <w:r>
        <w:rPr>
          <w:rFonts w:hint="eastAsia" w:ascii="宋体" w:hAnsi="宋体" w:eastAsia="宋体" w:cs="宋体"/>
          <w:kern w:val="2"/>
          <w:szCs w:val="24"/>
        </w:rPr>
        <w:t>2.3项目模式</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_Toc11040 \h </w:instrText>
      </w:r>
      <w:r>
        <w:rPr>
          <w:rFonts w:hint="eastAsia" w:ascii="宋体" w:hAnsi="宋体" w:eastAsia="宋体" w:cs="宋体"/>
          <w:kern w:val="2"/>
          <w:szCs w:val="24"/>
        </w:rPr>
        <w:fldChar w:fldCharType="separate"/>
      </w:r>
      <w:r>
        <w:rPr>
          <w:rFonts w:hint="eastAsia" w:ascii="宋体" w:hAnsi="宋体" w:eastAsia="宋体" w:cs="宋体"/>
          <w:kern w:val="2"/>
          <w:szCs w:val="24"/>
        </w:rPr>
        <w:t>2</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"_Toc20495" </w:instrText>
      </w:r>
      <w:r>
        <w:rPr>
          <w:rFonts w:hint="eastAsia" w:ascii="宋体" w:hAnsi="宋体" w:eastAsia="宋体" w:cs="宋体"/>
        </w:rPr>
        <w:fldChar w:fldCharType="separate"/>
      </w:r>
      <w:r>
        <w:rPr>
          <w:rFonts w:hint="eastAsia" w:ascii="宋体" w:hAnsi="宋体" w:eastAsia="宋体" w:cs="宋体"/>
          <w:kern w:val="2"/>
          <w:szCs w:val="24"/>
        </w:rPr>
        <w:t>2.4承包方式</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_Toc20495 \h </w:instrText>
      </w:r>
      <w:r>
        <w:rPr>
          <w:rFonts w:hint="eastAsia" w:ascii="宋体" w:hAnsi="宋体" w:eastAsia="宋体" w:cs="宋体"/>
          <w:kern w:val="2"/>
          <w:szCs w:val="24"/>
        </w:rPr>
        <w:fldChar w:fldCharType="separate"/>
      </w:r>
      <w:r>
        <w:rPr>
          <w:rFonts w:hint="eastAsia" w:ascii="宋体" w:hAnsi="宋体" w:eastAsia="宋体" w:cs="宋体"/>
          <w:kern w:val="2"/>
          <w:szCs w:val="24"/>
        </w:rPr>
        <w:t>2</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"_Toc18570" </w:instrText>
      </w:r>
      <w:r>
        <w:rPr>
          <w:rFonts w:hint="eastAsia" w:ascii="宋体" w:hAnsi="宋体" w:eastAsia="宋体" w:cs="宋体"/>
        </w:rPr>
        <w:fldChar w:fldCharType="separate"/>
      </w:r>
      <w:r>
        <w:rPr>
          <w:rFonts w:hint="eastAsia" w:ascii="宋体" w:hAnsi="宋体" w:eastAsia="宋体" w:cs="宋体"/>
          <w:kern w:val="2"/>
          <w:szCs w:val="24"/>
        </w:rPr>
        <w:t>2.5项目分包</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_Toc18570 \h </w:instrText>
      </w:r>
      <w:r>
        <w:rPr>
          <w:rFonts w:hint="eastAsia" w:ascii="宋体" w:hAnsi="宋体" w:eastAsia="宋体" w:cs="宋体"/>
          <w:kern w:val="2"/>
          <w:szCs w:val="24"/>
        </w:rPr>
        <w:fldChar w:fldCharType="separate"/>
      </w:r>
      <w:r>
        <w:rPr>
          <w:rFonts w:hint="eastAsia" w:ascii="宋体" w:hAnsi="宋体" w:eastAsia="宋体" w:cs="宋体"/>
          <w:kern w:val="2"/>
          <w:szCs w:val="24"/>
        </w:rPr>
        <w:t>2</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"_Toc23413" </w:instrText>
      </w:r>
      <w:r>
        <w:rPr>
          <w:rFonts w:hint="eastAsia" w:ascii="宋体" w:hAnsi="宋体" w:eastAsia="宋体" w:cs="宋体"/>
        </w:rPr>
        <w:fldChar w:fldCharType="separate"/>
      </w:r>
      <w:r>
        <w:rPr>
          <w:rFonts w:hint="eastAsia" w:ascii="宋体" w:hAnsi="宋体" w:eastAsia="宋体" w:cs="宋体"/>
          <w:kern w:val="2"/>
          <w:szCs w:val="24"/>
        </w:rPr>
        <w:t>2.6计划工期</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_Toc23413 \h </w:instrText>
      </w:r>
      <w:r>
        <w:rPr>
          <w:rFonts w:hint="eastAsia" w:ascii="宋体" w:hAnsi="宋体" w:eastAsia="宋体" w:cs="宋体"/>
          <w:kern w:val="2"/>
          <w:szCs w:val="24"/>
        </w:rPr>
        <w:fldChar w:fldCharType="separate"/>
      </w:r>
      <w:r>
        <w:rPr>
          <w:rFonts w:hint="eastAsia" w:ascii="宋体" w:hAnsi="宋体" w:eastAsia="宋体" w:cs="宋体"/>
          <w:kern w:val="2"/>
          <w:szCs w:val="24"/>
        </w:rPr>
        <w:t>3</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"_Toc22289" </w:instrText>
      </w:r>
      <w:r>
        <w:rPr>
          <w:rFonts w:hint="eastAsia" w:ascii="宋体" w:hAnsi="宋体" w:eastAsia="宋体" w:cs="宋体"/>
        </w:rPr>
        <w:fldChar w:fldCharType="separate"/>
      </w:r>
      <w:r>
        <w:rPr>
          <w:rFonts w:hint="eastAsia" w:ascii="宋体" w:hAnsi="宋体" w:eastAsia="宋体" w:cs="宋体"/>
          <w:kern w:val="2"/>
          <w:szCs w:val="24"/>
        </w:rPr>
        <w:t>2.7补充说明</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_Toc22289 \h </w:instrText>
      </w:r>
      <w:r>
        <w:rPr>
          <w:rFonts w:hint="eastAsia" w:ascii="宋体" w:hAnsi="宋体" w:eastAsia="宋体" w:cs="宋体"/>
          <w:kern w:val="2"/>
          <w:szCs w:val="24"/>
        </w:rPr>
        <w:fldChar w:fldCharType="separate"/>
      </w:r>
      <w:r>
        <w:rPr>
          <w:rFonts w:hint="eastAsia" w:ascii="宋体" w:hAnsi="宋体" w:eastAsia="宋体" w:cs="宋体"/>
          <w:kern w:val="2"/>
          <w:szCs w:val="24"/>
        </w:rPr>
        <w:t>3</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"_Toc2775" </w:instrText>
      </w:r>
      <w:r>
        <w:rPr>
          <w:rFonts w:hint="eastAsia" w:ascii="宋体" w:hAnsi="宋体" w:eastAsia="宋体" w:cs="宋体"/>
        </w:rPr>
        <w:fldChar w:fldCharType="separate"/>
      </w:r>
      <w:r>
        <w:rPr>
          <w:rFonts w:hint="eastAsia" w:ascii="宋体" w:hAnsi="宋体" w:eastAsia="宋体" w:cs="宋体"/>
          <w:bCs/>
          <w:kern w:val="2"/>
          <w:szCs w:val="24"/>
        </w:rPr>
        <w:t>3项目技术标准及规范、施工设施清单及内容</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_Toc2775 \h </w:instrText>
      </w:r>
      <w:r>
        <w:rPr>
          <w:rFonts w:hint="eastAsia" w:ascii="宋体" w:hAnsi="宋体" w:eastAsia="宋体" w:cs="宋体"/>
          <w:kern w:val="2"/>
          <w:szCs w:val="24"/>
        </w:rPr>
        <w:fldChar w:fldCharType="separate"/>
      </w:r>
      <w:r>
        <w:rPr>
          <w:rFonts w:hint="eastAsia" w:ascii="宋体" w:hAnsi="宋体" w:eastAsia="宋体" w:cs="宋体"/>
          <w:kern w:val="2"/>
          <w:szCs w:val="24"/>
        </w:rPr>
        <w:t>3</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"_Toc28843" </w:instrText>
      </w:r>
      <w:r>
        <w:rPr>
          <w:rFonts w:hint="eastAsia" w:ascii="宋体" w:hAnsi="宋体" w:eastAsia="宋体" w:cs="宋体"/>
        </w:rPr>
        <w:fldChar w:fldCharType="separate"/>
      </w:r>
      <w:r>
        <w:rPr>
          <w:rFonts w:hint="eastAsia" w:ascii="宋体" w:hAnsi="宋体" w:eastAsia="宋体" w:cs="宋体"/>
          <w:kern w:val="2"/>
          <w:szCs w:val="24"/>
        </w:rPr>
        <w:t>3.1国家相关技术标准及规范</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_Toc28843 \h </w:instrText>
      </w:r>
      <w:r>
        <w:rPr>
          <w:rFonts w:hint="eastAsia" w:ascii="宋体" w:hAnsi="宋体" w:eastAsia="宋体" w:cs="宋体"/>
          <w:kern w:val="2"/>
          <w:szCs w:val="24"/>
        </w:rPr>
        <w:fldChar w:fldCharType="separate"/>
      </w:r>
      <w:r>
        <w:rPr>
          <w:rFonts w:hint="eastAsia" w:ascii="宋体" w:hAnsi="宋体" w:eastAsia="宋体" w:cs="宋体"/>
          <w:kern w:val="2"/>
          <w:szCs w:val="24"/>
        </w:rPr>
        <w:t>3</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"_Toc7403" </w:instrText>
      </w:r>
      <w:r>
        <w:rPr>
          <w:rFonts w:hint="eastAsia" w:ascii="宋体" w:hAnsi="宋体" w:eastAsia="宋体" w:cs="宋体"/>
        </w:rPr>
        <w:fldChar w:fldCharType="separate"/>
      </w:r>
      <w:r>
        <w:rPr>
          <w:rFonts w:hint="eastAsia" w:ascii="宋体" w:hAnsi="宋体" w:eastAsia="宋体" w:cs="宋体"/>
          <w:kern w:val="2"/>
          <w:szCs w:val="24"/>
        </w:rPr>
        <w:t>3.2充电桩施工相关规程</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_Toc7403 \h </w:instrText>
      </w:r>
      <w:r>
        <w:rPr>
          <w:rFonts w:hint="eastAsia" w:ascii="宋体" w:hAnsi="宋体" w:eastAsia="宋体" w:cs="宋体"/>
          <w:kern w:val="2"/>
          <w:szCs w:val="24"/>
        </w:rPr>
        <w:fldChar w:fldCharType="separate"/>
      </w:r>
      <w:r>
        <w:rPr>
          <w:rFonts w:hint="eastAsia" w:ascii="宋体" w:hAnsi="宋体" w:eastAsia="宋体" w:cs="宋体"/>
          <w:kern w:val="2"/>
          <w:szCs w:val="24"/>
        </w:rPr>
        <w:t>4</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"_Toc7014" </w:instrText>
      </w:r>
      <w:r>
        <w:rPr>
          <w:rFonts w:hint="eastAsia" w:ascii="宋体" w:hAnsi="宋体" w:eastAsia="宋体" w:cs="宋体"/>
        </w:rPr>
        <w:fldChar w:fldCharType="separate"/>
      </w:r>
      <w:r>
        <w:rPr>
          <w:rFonts w:hint="eastAsia" w:ascii="宋体" w:hAnsi="宋体" w:eastAsia="宋体" w:cs="宋体"/>
          <w:kern w:val="2"/>
          <w:szCs w:val="24"/>
        </w:rPr>
        <w:t>3.3充电桩设施清单及内容</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_Toc7014 \h </w:instrText>
      </w:r>
      <w:r>
        <w:rPr>
          <w:rFonts w:hint="eastAsia" w:ascii="宋体" w:hAnsi="宋体" w:eastAsia="宋体" w:cs="宋体"/>
          <w:kern w:val="2"/>
          <w:szCs w:val="24"/>
        </w:rPr>
        <w:fldChar w:fldCharType="separate"/>
      </w:r>
      <w:r>
        <w:rPr>
          <w:rFonts w:hint="eastAsia" w:ascii="宋体" w:hAnsi="宋体" w:eastAsia="宋体" w:cs="宋体"/>
          <w:kern w:val="2"/>
          <w:szCs w:val="24"/>
        </w:rPr>
        <w:t>5</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"_Toc243" </w:instrText>
      </w:r>
      <w:r>
        <w:rPr>
          <w:rFonts w:hint="eastAsia" w:ascii="宋体" w:hAnsi="宋体" w:eastAsia="宋体" w:cs="宋体"/>
        </w:rPr>
        <w:fldChar w:fldCharType="separate"/>
      </w:r>
      <w:r>
        <w:rPr>
          <w:rFonts w:hint="eastAsia" w:ascii="宋体" w:hAnsi="宋体" w:eastAsia="宋体" w:cs="宋体"/>
          <w:kern w:val="2"/>
          <w:szCs w:val="24"/>
        </w:rPr>
        <w:t>3.4实施</w:t>
      </w:r>
      <w:r>
        <w:rPr>
          <w:rFonts w:hint="eastAsia" w:ascii="宋体" w:hAnsi="宋体" w:eastAsia="宋体" w:cs="宋体"/>
          <w:kern w:val="2"/>
          <w:szCs w:val="24"/>
          <w:lang w:val="en-US" w:eastAsia="zh-CN"/>
        </w:rPr>
        <w:t>地点</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_Toc243 \h </w:instrText>
      </w:r>
      <w:r>
        <w:rPr>
          <w:rFonts w:hint="eastAsia" w:ascii="宋体" w:hAnsi="宋体" w:eastAsia="宋体" w:cs="宋体"/>
          <w:kern w:val="2"/>
          <w:szCs w:val="24"/>
        </w:rPr>
        <w:fldChar w:fldCharType="separate"/>
      </w:r>
      <w:r>
        <w:rPr>
          <w:rFonts w:hint="eastAsia" w:ascii="宋体" w:hAnsi="宋体" w:eastAsia="宋体" w:cs="宋体"/>
          <w:kern w:val="2"/>
          <w:szCs w:val="24"/>
        </w:rPr>
        <w:t>5</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kern w:val="2"/>
          <w:szCs w:val="24"/>
        </w:rPr>
        <w:t>3.5充电桩主要功能</w:t>
      </w:r>
      <w:r>
        <w:rPr>
          <w:rFonts w:hint="eastAsia" w:ascii="宋体" w:hAnsi="宋体" w:eastAsia="宋体" w:cs="宋体"/>
          <w:kern w:val="2"/>
          <w:szCs w:val="24"/>
        </w:rPr>
        <w:tab/>
      </w:r>
      <w:r>
        <w:rPr>
          <w:rFonts w:hint="eastAsia" w:ascii="宋体" w:hAnsi="宋体" w:eastAsia="宋体" w:cs="宋体"/>
          <w:kern w:val="2"/>
          <w:szCs w:val="24"/>
        </w:rPr>
        <w:t>9</w:t>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kern w:val="2"/>
          <w:szCs w:val="24"/>
        </w:rPr>
        <w:t>3.6技术要求</w:t>
      </w:r>
      <w:r>
        <w:rPr>
          <w:rFonts w:hint="eastAsia" w:ascii="宋体" w:hAnsi="宋体" w:eastAsia="宋体" w:cs="宋体"/>
          <w:kern w:val="2"/>
          <w:szCs w:val="24"/>
        </w:rPr>
        <w:tab/>
      </w:r>
      <w:r>
        <w:rPr>
          <w:rFonts w:hint="eastAsia" w:ascii="宋体" w:hAnsi="宋体" w:eastAsia="宋体" w:cs="宋体"/>
          <w:kern w:val="2"/>
          <w:szCs w:val="24"/>
        </w:rPr>
        <w:t>10</w:t>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"_Toc11582" </w:instrText>
      </w:r>
      <w:r>
        <w:rPr>
          <w:rFonts w:hint="eastAsia" w:ascii="宋体" w:hAnsi="宋体" w:eastAsia="宋体" w:cs="宋体"/>
        </w:rPr>
        <w:fldChar w:fldCharType="separate"/>
      </w:r>
      <w:r>
        <w:rPr>
          <w:rFonts w:hint="eastAsia" w:ascii="宋体" w:hAnsi="宋体" w:eastAsia="宋体" w:cs="宋体"/>
          <w:kern w:val="2"/>
          <w:szCs w:val="32"/>
        </w:rPr>
        <w:t>3.7</w:t>
      </w:r>
      <w:r>
        <w:rPr>
          <w:rFonts w:hint="eastAsia" w:ascii="宋体" w:hAnsi="宋体" w:eastAsia="宋体" w:cs="宋体"/>
          <w:kern w:val="2"/>
          <w:szCs w:val="24"/>
        </w:rPr>
        <w:t>施工工艺</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_Toc11582 \h </w:instrText>
      </w:r>
      <w:r>
        <w:rPr>
          <w:rFonts w:hint="eastAsia" w:ascii="宋体" w:hAnsi="宋体" w:eastAsia="宋体" w:cs="宋体"/>
          <w:kern w:val="2"/>
          <w:szCs w:val="24"/>
        </w:rPr>
        <w:fldChar w:fldCharType="separate"/>
      </w:r>
      <w:r>
        <w:rPr>
          <w:rFonts w:hint="eastAsia" w:ascii="宋体" w:hAnsi="宋体" w:eastAsia="宋体" w:cs="宋体"/>
          <w:kern w:val="2"/>
          <w:szCs w:val="24"/>
        </w:rPr>
        <w:t>10</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"_Toc20918" </w:instrText>
      </w:r>
      <w:r>
        <w:rPr>
          <w:rFonts w:hint="eastAsia" w:ascii="宋体" w:hAnsi="宋体" w:eastAsia="宋体" w:cs="宋体"/>
        </w:rPr>
        <w:fldChar w:fldCharType="separate"/>
      </w:r>
      <w:r>
        <w:rPr>
          <w:rFonts w:hint="eastAsia" w:ascii="宋体" w:hAnsi="宋体" w:eastAsia="宋体" w:cs="宋体"/>
          <w:kern w:val="2"/>
          <w:szCs w:val="24"/>
        </w:rPr>
        <w:t>4项目管理</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_Toc20918 \h </w:instrText>
      </w:r>
      <w:r>
        <w:rPr>
          <w:rFonts w:hint="eastAsia" w:ascii="宋体" w:hAnsi="宋体" w:eastAsia="宋体" w:cs="宋体"/>
          <w:kern w:val="2"/>
          <w:szCs w:val="24"/>
        </w:rPr>
        <w:fldChar w:fldCharType="separate"/>
      </w:r>
      <w:r>
        <w:rPr>
          <w:rFonts w:hint="eastAsia" w:ascii="宋体" w:hAnsi="宋体" w:eastAsia="宋体" w:cs="宋体"/>
          <w:kern w:val="2"/>
          <w:szCs w:val="24"/>
        </w:rPr>
        <w:t>12</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"_Toc26546" </w:instrText>
      </w:r>
      <w:r>
        <w:rPr>
          <w:rFonts w:hint="eastAsia" w:ascii="宋体" w:hAnsi="宋体" w:eastAsia="宋体" w:cs="宋体"/>
        </w:rPr>
        <w:fldChar w:fldCharType="separate"/>
      </w:r>
      <w:r>
        <w:rPr>
          <w:rFonts w:hint="eastAsia" w:ascii="宋体" w:hAnsi="宋体" w:eastAsia="宋体" w:cs="宋体"/>
          <w:kern w:val="2"/>
          <w:szCs w:val="24"/>
        </w:rPr>
        <w:t>4.1</w:t>
      </w:r>
      <w:r>
        <w:rPr>
          <w:rFonts w:hint="eastAsia" w:ascii="宋体" w:hAnsi="宋体" w:eastAsia="宋体" w:cs="宋体"/>
          <w:kern w:val="2"/>
          <w:szCs w:val="24"/>
          <w:lang w:eastAsia="zh-CN"/>
        </w:rPr>
        <w:t>投标人</w:t>
      </w:r>
      <w:r>
        <w:rPr>
          <w:rFonts w:hint="eastAsia" w:ascii="宋体" w:hAnsi="宋体" w:eastAsia="宋体" w:cs="宋体"/>
          <w:kern w:val="2"/>
          <w:szCs w:val="24"/>
        </w:rPr>
        <w:t>资质、人员要求</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_Toc26546 \h </w:instrText>
      </w:r>
      <w:r>
        <w:rPr>
          <w:rFonts w:hint="eastAsia" w:ascii="宋体" w:hAnsi="宋体" w:eastAsia="宋体" w:cs="宋体"/>
          <w:kern w:val="2"/>
          <w:szCs w:val="24"/>
        </w:rPr>
        <w:fldChar w:fldCharType="separate"/>
      </w:r>
      <w:r>
        <w:rPr>
          <w:rFonts w:hint="eastAsia" w:ascii="宋体" w:hAnsi="宋体" w:eastAsia="宋体" w:cs="宋体"/>
          <w:kern w:val="2"/>
          <w:szCs w:val="24"/>
        </w:rPr>
        <w:t>12</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"_Toc23873" </w:instrText>
      </w:r>
      <w:r>
        <w:rPr>
          <w:rFonts w:hint="eastAsia" w:ascii="宋体" w:hAnsi="宋体" w:eastAsia="宋体" w:cs="宋体"/>
        </w:rPr>
        <w:fldChar w:fldCharType="separate"/>
      </w:r>
      <w:r>
        <w:rPr>
          <w:rFonts w:hint="eastAsia" w:ascii="宋体" w:hAnsi="宋体" w:eastAsia="宋体" w:cs="宋体"/>
          <w:kern w:val="2"/>
          <w:szCs w:val="24"/>
        </w:rPr>
        <w:t>4.2项目质量管理</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_Toc23873 \h </w:instrText>
      </w:r>
      <w:r>
        <w:rPr>
          <w:rFonts w:hint="eastAsia" w:ascii="宋体" w:hAnsi="宋体" w:eastAsia="宋体" w:cs="宋体"/>
          <w:kern w:val="2"/>
          <w:szCs w:val="24"/>
        </w:rPr>
        <w:fldChar w:fldCharType="separate"/>
      </w:r>
      <w:r>
        <w:rPr>
          <w:rFonts w:hint="eastAsia" w:ascii="宋体" w:hAnsi="宋体" w:eastAsia="宋体" w:cs="宋体"/>
          <w:kern w:val="2"/>
          <w:szCs w:val="24"/>
        </w:rPr>
        <w:t>16</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"_Toc20734" </w:instrText>
      </w:r>
      <w:r>
        <w:rPr>
          <w:rFonts w:hint="eastAsia" w:ascii="宋体" w:hAnsi="宋体" w:eastAsia="宋体" w:cs="宋体"/>
        </w:rPr>
        <w:fldChar w:fldCharType="separate"/>
      </w:r>
      <w:r>
        <w:rPr>
          <w:rFonts w:hint="eastAsia" w:ascii="宋体" w:hAnsi="宋体" w:eastAsia="宋体" w:cs="宋体"/>
          <w:kern w:val="2"/>
          <w:szCs w:val="24"/>
        </w:rPr>
        <w:t>4.3项目安全管理</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_Toc20734 \h </w:instrText>
      </w:r>
      <w:r>
        <w:rPr>
          <w:rFonts w:hint="eastAsia" w:ascii="宋体" w:hAnsi="宋体" w:eastAsia="宋体" w:cs="宋体"/>
          <w:kern w:val="2"/>
          <w:szCs w:val="24"/>
        </w:rPr>
        <w:fldChar w:fldCharType="separate"/>
      </w:r>
      <w:r>
        <w:rPr>
          <w:rFonts w:hint="eastAsia" w:ascii="宋体" w:hAnsi="宋体" w:eastAsia="宋体" w:cs="宋体"/>
          <w:kern w:val="2"/>
          <w:szCs w:val="24"/>
        </w:rPr>
        <w:t>17</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"_Toc18362" </w:instrText>
      </w:r>
      <w:r>
        <w:rPr>
          <w:rFonts w:hint="eastAsia" w:ascii="宋体" w:hAnsi="宋体" w:eastAsia="宋体" w:cs="宋体"/>
        </w:rPr>
        <w:fldChar w:fldCharType="separate"/>
      </w:r>
      <w:r>
        <w:rPr>
          <w:rFonts w:hint="eastAsia" w:ascii="宋体" w:hAnsi="宋体" w:eastAsia="宋体" w:cs="宋体"/>
          <w:kern w:val="2"/>
          <w:szCs w:val="24"/>
        </w:rPr>
        <w:t>4.4文明施工管理</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_Toc18362 \h </w:instrText>
      </w:r>
      <w:r>
        <w:rPr>
          <w:rFonts w:hint="eastAsia" w:ascii="宋体" w:hAnsi="宋体" w:eastAsia="宋体" w:cs="宋体"/>
          <w:kern w:val="2"/>
          <w:szCs w:val="24"/>
        </w:rPr>
        <w:fldChar w:fldCharType="separate"/>
      </w:r>
      <w:r>
        <w:rPr>
          <w:rFonts w:hint="eastAsia" w:ascii="宋体" w:hAnsi="宋体" w:eastAsia="宋体" w:cs="宋体"/>
          <w:kern w:val="2"/>
          <w:szCs w:val="24"/>
        </w:rPr>
        <w:t>18</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"_Toc16417" </w:instrText>
      </w:r>
      <w:r>
        <w:rPr>
          <w:rFonts w:hint="eastAsia" w:ascii="宋体" w:hAnsi="宋体" w:eastAsia="宋体" w:cs="宋体"/>
        </w:rPr>
        <w:fldChar w:fldCharType="separate"/>
      </w:r>
      <w:r>
        <w:rPr>
          <w:rFonts w:hint="eastAsia" w:ascii="宋体" w:hAnsi="宋体" w:eastAsia="宋体" w:cs="宋体"/>
          <w:kern w:val="2"/>
          <w:szCs w:val="24"/>
        </w:rPr>
        <w:t>4.5疫情防控要求</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_Toc16417 \h </w:instrText>
      </w:r>
      <w:r>
        <w:rPr>
          <w:rFonts w:hint="eastAsia" w:ascii="宋体" w:hAnsi="宋体" w:eastAsia="宋体" w:cs="宋体"/>
          <w:kern w:val="2"/>
          <w:szCs w:val="24"/>
        </w:rPr>
        <w:fldChar w:fldCharType="separate"/>
      </w:r>
      <w:r>
        <w:rPr>
          <w:rFonts w:hint="eastAsia" w:ascii="宋体" w:hAnsi="宋体" w:eastAsia="宋体" w:cs="宋体"/>
          <w:kern w:val="2"/>
          <w:szCs w:val="24"/>
        </w:rPr>
        <w:t>19</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"_Toc2507" </w:instrText>
      </w:r>
      <w:r>
        <w:rPr>
          <w:rFonts w:hint="eastAsia" w:ascii="宋体" w:hAnsi="宋体" w:eastAsia="宋体" w:cs="宋体"/>
        </w:rPr>
        <w:fldChar w:fldCharType="separate"/>
      </w:r>
      <w:r>
        <w:rPr>
          <w:rFonts w:hint="eastAsia" w:ascii="宋体" w:hAnsi="宋体" w:eastAsia="宋体" w:cs="宋体"/>
          <w:kern w:val="2"/>
          <w:szCs w:val="44"/>
        </w:rPr>
        <w:t>5作业要求</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_Toc2507 \h </w:instrText>
      </w:r>
      <w:r>
        <w:rPr>
          <w:rFonts w:hint="eastAsia" w:ascii="宋体" w:hAnsi="宋体" w:eastAsia="宋体" w:cs="宋体"/>
          <w:kern w:val="2"/>
          <w:szCs w:val="24"/>
        </w:rPr>
        <w:fldChar w:fldCharType="separate"/>
      </w:r>
      <w:r>
        <w:rPr>
          <w:rFonts w:hint="eastAsia" w:ascii="宋体" w:hAnsi="宋体" w:eastAsia="宋体" w:cs="宋体"/>
          <w:kern w:val="2"/>
          <w:szCs w:val="24"/>
        </w:rPr>
        <w:t>19</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"_Toc31258" </w:instrText>
      </w:r>
      <w:r>
        <w:rPr>
          <w:rFonts w:hint="eastAsia" w:ascii="宋体" w:hAnsi="宋体" w:eastAsia="宋体" w:cs="宋体"/>
        </w:rPr>
        <w:fldChar w:fldCharType="separate"/>
      </w:r>
      <w:r>
        <w:rPr>
          <w:rFonts w:hint="eastAsia" w:ascii="宋体" w:hAnsi="宋体" w:eastAsia="宋体" w:cs="宋体"/>
          <w:kern w:val="2"/>
          <w:szCs w:val="32"/>
        </w:rPr>
        <w:t>5.1作业准备</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_Toc31258 \h </w:instrText>
      </w:r>
      <w:r>
        <w:rPr>
          <w:rFonts w:hint="eastAsia" w:ascii="宋体" w:hAnsi="宋体" w:eastAsia="宋体" w:cs="宋体"/>
          <w:kern w:val="2"/>
          <w:szCs w:val="24"/>
        </w:rPr>
        <w:fldChar w:fldCharType="separate"/>
      </w:r>
      <w:r>
        <w:rPr>
          <w:rFonts w:hint="eastAsia" w:ascii="宋体" w:hAnsi="宋体" w:eastAsia="宋体" w:cs="宋体"/>
          <w:kern w:val="2"/>
          <w:szCs w:val="24"/>
        </w:rPr>
        <w:t>19</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"_Toc20342" </w:instrText>
      </w:r>
      <w:r>
        <w:rPr>
          <w:rFonts w:hint="eastAsia" w:ascii="宋体" w:hAnsi="宋体" w:eastAsia="宋体" w:cs="宋体"/>
        </w:rPr>
        <w:fldChar w:fldCharType="separate"/>
      </w:r>
      <w:r>
        <w:rPr>
          <w:rFonts w:hint="eastAsia" w:ascii="宋体" w:hAnsi="宋体" w:eastAsia="宋体" w:cs="宋体"/>
          <w:kern w:val="2"/>
          <w:szCs w:val="24"/>
        </w:rPr>
        <w:t>5.2充电桩作业计划编制</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_Toc20342 \h </w:instrText>
      </w:r>
      <w:r>
        <w:rPr>
          <w:rFonts w:hint="eastAsia" w:ascii="宋体" w:hAnsi="宋体" w:eastAsia="宋体" w:cs="宋体"/>
          <w:kern w:val="2"/>
          <w:szCs w:val="24"/>
        </w:rPr>
        <w:fldChar w:fldCharType="separate"/>
      </w:r>
      <w:r>
        <w:rPr>
          <w:rFonts w:hint="eastAsia" w:ascii="宋体" w:hAnsi="宋体" w:eastAsia="宋体" w:cs="宋体"/>
          <w:kern w:val="2"/>
          <w:szCs w:val="24"/>
        </w:rPr>
        <w:t>23</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"_Toc29182" </w:instrText>
      </w:r>
      <w:r>
        <w:rPr>
          <w:rFonts w:hint="eastAsia" w:ascii="宋体" w:hAnsi="宋体" w:eastAsia="宋体" w:cs="宋体"/>
        </w:rPr>
        <w:fldChar w:fldCharType="separate"/>
      </w:r>
      <w:r>
        <w:rPr>
          <w:rFonts w:hint="eastAsia" w:ascii="宋体" w:hAnsi="宋体" w:eastAsia="宋体" w:cs="宋体"/>
          <w:kern w:val="2"/>
          <w:szCs w:val="24"/>
        </w:rPr>
        <w:t>5.3充电桩作业计划申报</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_Toc29182 \h </w:instrText>
      </w:r>
      <w:r>
        <w:rPr>
          <w:rFonts w:hint="eastAsia" w:ascii="宋体" w:hAnsi="宋体" w:eastAsia="宋体" w:cs="宋体"/>
          <w:kern w:val="2"/>
          <w:szCs w:val="24"/>
        </w:rPr>
        <w:fldChar w:fldCharType="separate"/>
      </w:r>
      <w:r>
        <w:rPr>
          <w:rFonts w:hint="eastAsia" w:ascii="宋体" w:hAnsi="宋体" w:eastAsia="宋体" w:cs="宋体"/>
          <w:kern w:val="2"/>
          <w:szCs w:val="24"/>
        </w:rPr>
        <w:t>24</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"_Toc8767" </w:instrText>
      </w:r>
      <w:r>
        <w:rPr>
          <w:rFonts w:hint="eastAsia" w:ascii="宋体" w:hAnsi="宋体" w:eastAsia="宋体" w:cs="宋体"/>
        </w:rPr>
        <w:fldChar w:fldCharType="separate"/>
      </w:r>
      <w:r>
        <w:rPr>
          <w:rFonts w:hint="eastAsia" w:ascii="宋体" w:hAnsi="宋体" w:eastAsia="宋体" w:cs="宋体"/>
          <w:kern w:val="2"/>
          <w:szCs w:val="24"/>
        </w:rPr>
        <w:t>5.4充电桩作业计划实施</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_Toc8767 \h </w:instrText>
      </w:r>
      <w:r>
        <w:rPr>
          <w:rFonts w:hint="eastAsia" w:ascii="宋体" w:hAnsi="宋体" w:eastAsia="宋体" w:cs="宋体"/>
          <w:kern w:val="2"/>
          <w:szCs w:val="24"/>
        </w:rPr>
        <w:fldChar w:fldCharType="separate"/>
      </w:r>
      <w:r>
        <w:rPr>
          <w:rFonts w:hint="eastAsia" w:ascii="宋体" w:hAnsi="宋体" w:eastAsia="宋体" w:cs="宋体"/>
          <w:kern w:val="2"/>
          <w:szCs w:val="24"/>
        </w:rPr>
        <w:t>24</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"_Toc2778" </w:instrText>
      </w:r>
      <w:r>
        <w:rPr>
          <w:rFonts w:hint="eastAsia" w:ascii="宋体" w:hAnsi="宋体" w:eastAsia="宋体" w:cs="宋体"/>
        </w:rPr>
        <w:fldChar w:fldCharType="separate"/>
      </w:r>
      <w:r>
        <w:rPr>
          <w:rFonts w:hint="eastAsia" w:ascii="宋体" w:hAnsi="宋体" w:eastAsia="宋体" w:cs="宋体"/>
          <w:kern w:val="2"/>
          <w:szCs w:val="24"/>
        </w:rPr>
        <w:t>5.5作业要求</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_Toc2778 \h </w:instrText>
      </w:r>
      <w:r>
        <w:rPr>
          <w:rFonts w:hint="eastAsia" w:ascii="宋体" w:hAnsi="宋体" w:eastAsia="宋体" w:cs="宋体"/>
          <w:kern w:val="2"/>
          <w:szCs w:val="24"/>
        </w:rPr>
        <w:fldChar w:fldCharType="separate"/>
      </w:r>
      <w:r>
        <w:rPr>
          <w:rFonts w:hint="eastAsia" w:ascii="宋体" w:hAnsi="宋体" w:eastAsia="宋体" w:cs="宋体"/>
          <w:kern w:val="2"/>
          <w:szCs w:val="24"/>
        </w:rPr>
        <w:t>25</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"_Toc25120" </w:instrText>
      </w:r>
      <w:r>
        <w:rPr>
          <w:rFonts w:hint="eastAsia" w:ascii="宋体" w:hAnsi="宋体" w:eastAsia="宋体" w:cs="宋体"/>
        </w:rPr>
        <w:fldChar w:fldCharType="separate"/>
      </w:r>
      <w:r>
        <w:rPr>
          <w:rFonts w:hint="eastAsia" w:ascii="宋体" w:hAnsi="宋体" w:eastAsia="宋体" w:cs="宋体"/>
          <w:kern w:val="2"/>
          <w:szCs w:val="24"/>
        </w:rPr>
        <w:t>5.6作业场地及条件</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_Toc25120 \h </w:instrText>
      </w:r>
      <w:r>
        <w:rPr>
          <w:rFonts w:hint="eastAsia" w:ascii="宋体" w:hAnsi="宋体" w:eastAsia="宋体" w:cs="宋体"/>
          <w:kern w:val="2"/>
          <w:szCs w:val="24"/>
        </w:rPr>
        <w:fldChar w:fldCharType="separate"/>
      </w:r>
      <w:r>
        <w:rPr>
          <w:rFonts w:hint="eastAsia" w:ascii="宋体" w:hAnsi="宋体" w:eastAsia="宋体" w:cs="宋体"/>
          <w:kern w:val="2"/>
          <w:szCs w:val="24"/>
        </w:rPr>
        <w:t>27</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"_Toc29049" </w:instrText>
      </w:r>
      <w:r>
        <w:rPr>
          <w:rFonts w:hint="eastAsia" w:ascii="宋体" w:hAnsi="宋体" w:eastAsia="宋体" w:cs="宋体"/>
        </w:rPr>
        <w:fldChar w:fldCharType="separate"/>
      </w:r>
      <w:r>
        <w:rPr>
          <w:rFonts w:hint="eastAsia" w:ascii="宋体" w:hAnsi="宋体" w:eastAsia="宋体" w:cs="宋体"/>
          <w:kern w:val="2"/>
          <w:szCs w:val="44"/>
        </w:rPr>
        <w:t>6考核条款</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_Toc29049 \h </w:instrText>
      </w:r>
      <w:r>
        <w:rPr>
          <w:rFonts w:hint="eastAsia" w:ascii="宋体" w:hAnsi="宋体" w:eastAsia="宋体" w:cs="宋体"/>
          <w:kern w:val="2"/>
          <w:szCs w:val="24"/>
        </w:rPr>
        <w:fldChar w:fldCharType="separate"/>
      </w:r>
      <w:r>
        <w:rPr>
          <w:rFonts w:hint="eastAsia" w:ascii="宋体" w:hAnsi="宋体" w:eastAsia="宋体" w:cs="宋体"/>
          <w:kern w:val="2"/>
          <w:szCs w:val="24"/>
        </w:rPr>
        <w:t>28</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"_Toc27296" </w:instrText>
      </w:r>
      <w:r>
        <w:rPr>
          <w:rFonts w:hint="eastAsia" w:ascii="宋体" w:hAnsi="宋体" w:eastAsia="宋体" w:cs="宋体"/>
        </w:rPr>
        <w:fldChar w:fldCharType="separate"/>
      </w:r>
      <w:r>
        <w:rPr>
          <w:rFonts w:hint="eastAsia" w:ascii="宋体" w:hAnsi="宋体" w:eastAsia="宋体" w:cs="宋体"/>
          <w:kern w:val="2"/>
          <w:szCs w:val="24"/>
        </w:rPr>
        <w:t>6.1合同期评价</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_Toc27296 \h </w:instrText>
      </w:r>
      <w:r>
        <w:rPr>
          <w:rFonts w:hint="eastAsia" w:ascii="宋体" w:hAnsi="宋体" w:eastAsia="宋体" w:cs="宋体"/>
          <w:kern w:val="2"/>
          <w:szCs w:val="24"/>
        </w:rPr>
        <w:fldChar w:fldCharType="separate"/>
      </w:r>
      <w:r>
        <w:rPr>
          <w:rFonts w:hint="eastAsia" w:ascii="宋体" w:hAnsi="宋体" w:eastAsia="宋体" w:cs="宋体"/>
          <w:kern w:val="2"/>
          <w:szCs w:val="24"/>
        </w:rPr>
        <w:t>28</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"_Toc5510" </w:instrText>
      </w:r>
      <w:r>
        <w:rPr>
          <w:rFonts w:hint="eastAsia" w:ascii="宋体" w:hAnsi="宋体" w:eastAsia="宋体" w:cs="宋体"/>
        </w:rPr>
        <w:fldChar w:fldCharType="separate"/>
      </w:r>
      <w:r>
        <w:rPr>
          <w:rFonts w:hint="eastAsia" w:ascii="宋体" w:hAnsi="宋体" w:eastAsia="宋体" w:cs="宋体"/>
          <w:kern w:val="2"/>
          <w:szCs w:val="24"/>
        </w:rPr>
        <w:t>6.2违约处理</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_Toc5510 \h </w:instrText>
      </w:r>
      <w:r>
        <w:rPr>
          <w:rFonts w:hint="eastAsia" w:ascii="宋体" w:hAnsi="宋体" w:eastAsia="宋体" w:cs="宋体"/>
          <w:kern w:val="2"/>
          <w:szCs w:val="24"/>
        </w:rPr>
        <w:fldChar w:fldCharType="separate"/>
      </w:r>
      <w:r>
        <w:rPr>
          <w:rFonts w:hint="eastAsia" w:ascii="宋体" w:hAnsi="宋体" w:eastAsia="宋体" w:cs="宋体"/>
          <w:kern w:val="2"/>
          <w:szCs w:val="24"/>
        </w:rPr>
        <w:t>29</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"_Toc28151" </w:instrText>
      </w:r>
      <w:r>
        <w:rPr>
          <w:rFonts w:hint="eastAsia" w:ascii="宋体" w:hAnsi="宋体" w:eastAsia="宋体" w:cs="宋体"/>
        </w:rPr>
        <w:fldChar w:fldCharType="separate"/>
      </w:r>
      <w:r>
        <w:rPr>
          <w:rFonts w:hint="eastAsia" w:ascii="宋体" w:hAnsi="宋体" w:eastAsia="宋体" w:cs="宋体"/>
          <w:kern w:val="2"/>
          <w:szCs w:val="44"/>
        </w:rPr>
        <w:t>7验收要求</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_Toc28151 \h </w:instrText>
      </w:r>
      <w:r>
        <w:rPr>
          <w:rFonts w:hint="eastAsia" w:ascii="宋体" w:hAnsi="宋体" w:eastAsia="宋体" w:cs="宋体"/>
          <w:kern w:val="2"/>
          <w:szCs w:val="24"/>
        </w:rPr>
        <w:fldChar w:fldCharType="separate"/>
      </w:r>
      <w:r>
        <w:rPr>
          <w:rFonts w:hint="eastAsia" w:ascii="宋体" w:hAnsi="宋体" w:eastAsia="宋体" w:cs="宋体"/>
          <w:kern w:val="2"/>
          <w:szCs w:val="24"/>
        </w:rPr>
        <w:t>30</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"_Toc17576" </w:instrText>
      </w:r>
      <w:r>
        <w:rPr>
          <w:rFonts w:hint="eastAsia" w:ascii="宋体" w:hAnsi="宋体" w:eastAsia="宋体" w:cs="宋体"/>
        </w:rPr>
        <w:fldChar w:fldCharType="separate"/>
      </w:r>
      <w:r>
        <w:rPr>
          <w:rFonts w:hint="eastAsia" w:ascii="宋体" w:hAnsi="宋体" w:eastAsia="宋体" w:cs="宋体"/>
          <w:kern w:val="2"/>
          <w:szCs w:val="24"/>
        </w:rPr>
        <w:t>7.1总体要求</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_Toc17576 \h </w:instrText>
      </w:r>
      <w:r>
        <w:rPr>
          <w:rFonts w:hint="eastAsia" w:ascii="宋体" w:hAnsi="宋体" w:eastAsia="宋体" w:cs="宋体"/>
          <w:kern w:val="2"/>
          <w:szCs w:val="24"/>
        </w:rPr>
        <w:fldChar w:fldCharType="separate"/>
      </w:r>
      <w:r>
        <w:rPr>
          <w:rFonts w:hint="eastAsia" w:ascii="宋体" w:hAnsi="宋体" w:eastAsia="宋体" w:cs="宋体"/>
          <w:kern w:val="2"/>
          <w:szCs w:val="24"/>
        </w:rPr>
        <w:t>30</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"_Toc7738" </w:instrText>
      </w:r>
      <w:r>
        <w:rPr>
          <w:rFonts w:hint="eastAsia" w:ascii="宋体" w:hAnsi="宋体" w:eastAsia="宋体" w:cs="宋体"/>
        </w:rPr>
        <w:fldChar w:fldCharType="separate"/>
      </w:r>
      <w:r>
        <w:rPr>
          <w:rFonts w:hint="eastAsia" w:ascii="宋体" w:hAnsi="宋体" w:eastAsia="宋体" w:cs="宋体"/>
          <w:kern w:val="2"/>
          <w:szCs w:val="24"/>
        </w:rPr>
        <w:t>7.2充电站验收</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_Toc7738 \h </w:instrText>
      </w:r>
      <w:r>
        <w:rPr>
          <w:rFonts w:hint="eastAsia" w:ascii="宋体" w:hAnsi="宋体" w:eastAsia="宋体" w:cs="宋体"/>
          <w:kern w:val="2"/>
          <w:szCs w:val="24"/>
        </w:rPr>
        <w:fldChar w:fldCharType="separate"/>
      </w:r>
      <w:r>
        <w:rPr>
          <w:rFonts w:hint="eastAsia" w:ascii="宋体" w:hAnsi="宋体" w:eastAsia="宋体" w:cs="宋体"/>
          <w:kern w:val="2"/>
          <w:szCs w:val="24"/>
        </w:rPr>
        <w:t>31</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"_Toc15573" </w:instrText>
      </w:r>
      <w:r>
        <w:rPr>
          <w:rFonts w:hint="eastAsia" w:ascii="宋体" w:hAnsi="宋体" w:eastAsia="宋体" w:cs="宋体"/>
        </w:rPr>
        <w:fldChar w:fldCharType="separate"/>
      </w:r>
      <w:r>
        <w:rPr>
          <w:rFonts w:hint="eastAsia" w:ascii="宋体" w:hAnsi="宋体" w:eastAsia="宋体" w:cs="宋体"/>
          <w:kern w:val="2"/>
          <w:szCs w:val="24"/>
        </w:rPr>
        <w:t>7.3充电桩技术验收</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_Toc15573 \h </w:instrText>
      </w:r>
      <w:r>
        <w:rPr>
          <w:rFonts w:hint="eastAsia" w:ascii="宋体" w:hAnsi="宋体" w:eastAsia="宋体" w:cs="宋体"/>
          <w:kern w:val="2"/>
          <w:szCs w:val="24"/>
        </w:rPr>
        <w:fldChar w:fldCharType="separate"/>
      </w:r>
      <w:r>
        <w:rPr>
          <w:rFonts w:hint="eastAsia" w:ascii="宋体" w:hAnsi="宋体" w:eastAsia="宋体" w:cs="宋体"/>
          <w:kern w:val="2"/>
          <w:szCs w:val="24"/>
        </w:rPr>
        <w:t>33</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420" w:leftChars="20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"_Toc10499" </w:instrText>
      </w:r>
      <w:r>
        <w:rPr>
          <w:rFonts w:hint="eastAsia" w:ascii="宋体" w:hAnsi="宋体" w:eastAsia="宋体" w:cs="宋体"/>
        </w:rPr>
        <w:fldChar w:fldCharType="separate"/>
      </w:r>
      <w:r>
        <w:rPr>
          <w:rFonts w:hint="eastAsia" w:ascii="宋体" w:hAnsi="宋体" w:eastAsia="宋体" w:cs="宋体"/>
          <w:kern w:val="2"/>
          <w:szCs w:val="24"/>
        </w:rPr>
        <w:t>7.4质保要求</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_Toc10499 \h </w:instrText>
      </w:r>
      <w:r>
        <w:rPr>
          <w:rFonts w:hint="eastAsia" w:ascii="宋体" w:hAnsi="宋体" w:eastAsia="宋体" w:cs="宋体"/>
          <w:kern w:val="2"/>
          <w:szCs w:val="24"/>
        </w:rPr>
        <w:fldChar w:fldCharType="separate"/>
      </w:r>
      <w:r>
        <w:rPr>
          <w:rFonts w:hint="eastAsia" w:ascii="宋体" w:hAnsi="宋体" w:eastAsia="宋体" w:cs="宋体"/>
          <w:kern w:val="2"/>
          <w:szCs w:val="24"/>
        </w:rPr>
        <w:t>35</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tabs>
          <w:tab w:val="right" w:leader="dot" w:pos="9071"/>
        </w:tabs>
        <w:kinsoku/>
        <w:wordWrap/>
        <w:overflowPunct/>
        <w:topLinePunct w:val="0"/>
        <w:autoSpaceDE/>
        <w:autoSpaceDN/>
        <w:bidi w:val="0"/>
        <w:adjustRightInd/>
        <w:snapToGrid/>
        <w:spacing w:before="0" w:after="0" w:afterAutospacing="0" w:line="360" w:lineRule="auto"/>
        <w:ind w:left="0" w:right="0" w:firstLine="0"/>
        <w:textAlignment w:val="auto"/>
        <w:rPr>
          <w:rFonts w:hint="eastAsia" w:ascii="宋体" w:hAnsi="宋体" w:eastAsia="宋体" w:cs="宋体"/>
          <w:kern w:val="2"/>
          <w:szCs w:val="24"/>
        </w:rPr>
      </w:pPr>
      <w:r>
        <w:rPr>
          <w:rFonts w:hint="eastAsia" w:ascii="宋体" w:hAnsi="宋体" w:eastAsia="宋体" w:cs="宋体"/>
        </w:rPr>
        <w:fldChar w:fldCharType="begin"/>
      </w:r>
      <w:r>
        <w:rPr>
          <w:rFonts w:hint="eastAsia" w:ascii="宋体" w:hAnsi="宋体" w:eastAsia="宋体" w:cs="宋体"/>
        </w:rPr>
        <w:instrText xml:space="preserve"> HYPERLINK \l "_Toc5844" </w:instrText>
      </w:r>
      <w:r>
        <w:rPr>
          <w:rFonts w:hint="eastAsia" w:ascii="宋体" w:hAnsi="宋体" w:eastAsia="宋体" w:cs="宋体"/>
        </w:rPr>
        <w:fldChar w:fldCharType="separate"/>
      </w:r>
      <w:r>
        <w:rPr>
          <w:rFonts w:hint="eastAsia" w:ascii="宋体" w:hAnsi="宋体" w:eastAsia="宋体" w:cs="宋体"/>
          <w:kern w:val="44"/>
          <w:szCs w:val="44"/>
        </w:rPr>
        <w:t>8附件</w:t>
      </w:r>
      <w:r>
        <w:rPr>
          <w:rFonts w:hint="eastAsia" w:ascii="宋体" w:hAnsi="宋体" w:eastAsia="宋体" w:cs="宋体"/>
          <w:kern w:val="2"/>
          <w:szCs w:val="24"/>
        </w:rPr>
        <w:tab/>
      </w:r>
      <w:r>
        <w:rPr>
          <w:rFonts w:hint="eastAsia" w:ascii="宋体" w:hAnsi="宋体" w:eastAsia="宋体" w:cs="宋体"/>
          <w:kern w:val="2"/>
          <w:szCs w:val="24"/>
        </w:rPr>
        <w:fldChar w:fldCharType="begin"/>
      </w:r>
      <w:r>
        <w:rPr>
          <w:rFonts w:hint="eastAsia" w:ascii="宋体" w:hAnsi="宋体" w:eastAsia="宋体" w:cs="宋体"/>
          <w:kern w:val="2"/>
          <w:szCs w:val="24"/>
        </w:rPr>
        <w:instrText xml:space="preserve"> PAGEREF _Toc5844 \h </w:instrText>
      </w:r>
      <w:r>
        <w:rPr>
          <w:rFonts w:hint="eastAsia" w:ascii="宋体" w:hAnsi="宋体" w:eastAsia="宋体" w:cs="宋体"/>
          <w:kern w:val="2"/>
          <w:szCs w:val="24"/>
        </w:rPr>
        <w:fldChar w:fldCharType="separate"/>
      </w:r>
      <w:r>
        <w:rPr>
          <w:rFonts w:hint="eastAsia" w:ascii="宋体" w:hAnsi="宋体" w:eastAsia="宋体" w:cs="宋体"/>
          <w:kern w:val="2"/>
          <w:szCs w:val="24"/>
        </w:rPr>
        <w:t>35</w:t>
      </w:r>
      <w:r>
        <w:rPr>
          <w:rFonts w:hint="eastAsia" w:ascii="宋体" w:hAnsi="宋体" w:eastAsia="宋体" w:cs="宋体"/>
          <w:kern w:val="2"/>
          <w:szCs w:val="24"/>
        </w:rPr>
        <w:fldChar w:fldCharType="end"/>
      </w:r>
      <w:r>
        <w:rPr>
          <w:rFonts w:hint="eastAsia" w:ascii="宋体" w:hAnsi="宋体" w:eastAsia="宋体" w:cs="宋体"/>
          <w:kern w:val="2"/>
          <w:szCs w:val="24"/>
        </w:rPr>
        <w:fldChar w:fldCharType="end"/>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right="0" w:firstLine="0"/>
        <w:jc w:val="left"/>
        <w:textAlignment w:val="auto"/>
        <w:rPr>
          <w:rFonts w:ascii="宋体" w:hAnsi="宋体" w:cs="宋体"/>
          <w:kern w:val="2"/>
          <w:sz w:val="32"/>
          <w:szCs w:val="32"/>
        </w:rPr>
        <w:sectPr>
          <w:footerReference r:id="rId9" w:type="first"/>
          <w:headerReference r:id="rId7" w:type="default"/>
          <w:footerReference r:id="rId8" w:type="default"/>
          <w:pgSz w:w="11905" w:h="16838"/>
          <w:pgMar w:top="1418" w:right="1418" w:bottom="1418" w:left="1418" w:header="851" w:footer="851" w:gutter="0"/>
          <w:cols w:space="720" w:num="1"/>
          <w:docGrid w:linePitch="312" w:charSpace="0"/>
        </w:sectPr>
      </w:pPr>
      <w:r>
        <w:rPr>
          <w:rFonts w:hint="eastAsia" w:ascii="宋体" w:hAnsi="宋体" w:eastAsia="宋体" w:cs="宋体"/>
          <w:kern w:val="2"/>
          <w:szCs w:val="24"/>
        </w:rPr>
        <w:fldChar w:fldCharType="end"/>
      </w:r>
    </w:p>
    <w:bookmarkEnd w:id="290"/>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0"/>
        <w:rPr>
          <w:rFonts w:hint="eastAsia" w:ascii="黑体" w:hAnsi="黑体" w:eastAsia="黑体" w:cs="黑体"/>
          <w:b/>
          <w:bCs/>
          <w:kern w:val="44"/>
          <w:sz w:val="24"/>
          <w:szCs w:val="24"/>
          <w:lang w:val="en-US" w:eastAsia="zh-CN" w:bidi="ar-SA"/>
        </w:rPr>
      </w:pPr>
      <w:bookmarkStart w:id="291" w:name="_Toc6729"/>
      <w:bookmarkStart w:id="292" w:name="_Toc3736"/>
      <w:bookmarkStart w:id="293" w:name="_Toc15796"/>
      <w:bookmarkStart w:id="294" w:name="_Toc10097"/>
      <w:bookmarkStart w:id="295" w:name="_Toc20338"/>
      <w:bookmarkStart w:id="296" w:name="_Toc16587"/>
      <w:bookmarkStart w:id="297" w:name="_Toc9464"/>
      <w:bookmarkStart w:id="298" w:name="_Toc17048"/>
      <w:bookmarkStart w:id="299" w:name="_Toc16611"/>
      <w:bookmarkStart w:id="300" w:name="_Toc1767"/>
      <w:bookmarkStart w:id="301" w:name="_Toc79434357"/>
      <w:bookmarkStart w:id="302" w:name="_Toc19525"/>
      <w:bookmarkStart w:id="303" w:name="_Toc9835"/>
      <w:bookmarkStart w:id="304" w:name="_Toc1014"/>
      <w:bookmarkStart w:id="305" w:name="_Toc11860"/>
      <w:bookmarkStart w:id="306" w:name="_Toc10113"/>
      <w:bookmarkStart w:id="307" w:name="_Toc25474"/>
      <w:bookmarkStart w:id="308" w:name="_Toc7230"/>
      <w:bookmarkStart w:id="309" w:name="_Toc26177"/>
      <w:bookmarkStart w:id="310" w:name="_Toc24592"/>
      <w:bookmarkStart w:id="311" w:name="_Toc19073"/>
      <w:bookmarkStart w:id="312" w:name="_Toc60212978"/>
      <w:bookmarkStart w:id="313" w:name="_Toc32445"/>
      <w:bookmarkStart w:id="314" w:name="_Toc209"/>
      <w:bookmarkStart w:id="315" w:name="_Toc5412"/>
      <w:bookmarkStart w:id="316" w:name="_Toc11480"/>
      <w:bookmarkStart w:id="317" w:name="_Toc30132"/>
      <w:bookmarkStart w:id="318" w:name="_Toc26595"/>
      <w:bookmarkStart w:id="319" w:name="_Toc27314"/>
      <w:bookmarkStart w:id="320" w:name="_Toc9546"/>
      <w:bookmarkStart w:id="321" w:name="_Toc4389"/>
      <w:bookmarkStart w:id="322" w:name="_Toc12962"/>
      <w:bookmarkStart w:id="323" w:name="_Toc14708"/>
      <w:bookmarkStart w:id="324" w:name="_Toc8552"/>
      <w:bookmarkStart w:id="325" w:name="_Toc446"/>
      <w:bookmarkStart w:id="326" w:name="_Toc5187"/>
      <w:bookmarkStart w:id="327" w:name="_Toc16331"/>
      <w:bookmarkStart w:id="328" w:name="_Toc26485"/>
      <w:bookmarkStart w:id="329" w:name="_Toc11894"/>
      <w:bookmarkStart w:id="330" w:name="_Toc24147"/>
      <w:bookmarkStart w:id="331" w:name="_Toc534969203"/>
      <w:bookmarkStart w:id="332" w:name="_Toc6013"/>
      <w:bookmarkStart w:id="333" w:name="_Toc4922"/>
      <w:bookmarkStart w:id="334" w:name="_Toc3999"/>
      <w:bookmarkStart w:id="335" w:name="_Toc4733"/>
      <w:bookmarkStart w:id="336" w:name="_Toc4415"/>
      <w:bookmarkStart w:id="337" w:name="_Toc26015"/>
      <w:r>
        <w:rPr>
          <w:rFonts w:hint="eastAsia" w:ascii="黑体" w:hAnsi="黑体" w:eastAsia="黑体" w:cs="黑体"/>
          <w:b/>
          <w:bCs/>
          <w:kern w:val="44"/>
          <w:sz w:val="24"/>
          <w:szCs w:val="24"/>
          <w:lang w:val="en-US" w:eastAsia="zh-CN" w:bidi="ar-SA"/>
        </w:rPr>
        <w:t>1项目</w:t>
      </w:r>
      <w:bookmarkEnd w:id="291"/>
      <w:bookmarkEnd w:id="292"/>
      <w:r>
        <w:rPr>
          <w:rFonts w:hint="eastAsia" w:ascii="黑体" w:hAnsi="黑体" w:eastAsia="黑体" w:cs="黑体"/>
          <w:b/>
          <w:bCs/>
          <w:kern w:val="44"/>
          <w:sz w:val="24"/>
          <w:szCs w:val="24"/>
          <w:lang w:val="en-US" w:eastAsia="zh-CN" w:bidi="ar-SA"/>
        </w:rPr>
        <w:t>概</w:t>
      </w:r>
      <w:bookmarkEnd w:id="293"/>
      <w:bookmarkEnd w:id="294"/>
      <w:r>
        <w:rPr>
          <w:rFonts w:hint="eastAsia" w:ascii="黑体" w:hAnsi="黑体" w:eastAsia="黑体" w:cs="黑体"/>
          <w:b/>
          <w:bCs/>
          <w:kern w:val="44"/>
          <w:sz w:val="24"/>
          <w:szCs w:val="24"/>
          <w:lang w:val="en-US" w:eastAsia="zh-CN" w:bidi="ar-SA"/>
        </w:rPr>
        <w:t>况</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338" w:name="_Toc30772"/>
      <w:bookmarkStart w:id="339" w:name="_Toc563"/>
      <w:bookmarkStart w:id="340" w:name="_Toc60212979"/>
      <w:bookmarkStart w:id="341" w:name="_Toc10994"/>
      <w:bookmarkStart w:id="342" w:name="_Toc19573"/>
      <w:bookmarkStart w:id="343" w:name="_Toc28393"/>
      <w:bookmarkStart w:id="344" w:name="_Toc31986"/>
      <w:bookmarkStart w:id="345" w:name="_Toc6280"/>
      <w:bookmarkStart w:id="346" w:name="_Toc9712"/>
      <w:bookmarkStart w:id="347" w:name="_Toc6916"/>
      <w:bookmarkStart w:id="348" w:name="_Toc11063"/>
      <w:bookmarkStart w:id="349" w:name="_Toc22248"/>
      <w:bookmarkStart w:id="350" w:name="_Toc31824"/>
      <w:bookmarkStart w:id="351" w:name="_Toc5578"/>
      <w:bookmarkStart w:id="352" w:name="_Toc10050"/>
      <w:bookmarkStart w:id="353" w:name="_Toc10074"/>
      <w:bookmarkStart w:id="354" w:name="_Toc5940"/>
      <w:bookmarkStart w:id="355" w:name="_Toc20192"/>
      <w:bookmarkStart w:id="356" w:name="_Toc4890"/>
      <w:bookmarkStart w:id="357" w:name="_Toc79434358"/>
      <w:bookmarkStart w:id="358" w:name="_Toc22368"/>
      <w:bookmarkStart w:id="359" w:name="_Toc2181"/>
      <w:bookmarkStart w:id="360" w:name="_Toc14303"/>
      <w:bookmarkStart w:id="361" w:name="_Toc13819"/>
      <w:bookmarkStart w:id="362" w:name="_Toc29101"/>
      <w:bookmarkStart w:id="363" w:name="_Toc14598"/>
      <w:bookmarkStart w:id="364" w:name="_Toc29142"/>
      <w:bookmarkStart w:id="365" w:name="_Toc24187"/>
      <w:bookmarkStart w:id="366" w:name="_Toc8276"/>
      <w:bookmarkStart w:id="367" w:name="_Toc17178"/>
      <w:bookmarkStart w:id="368" w:name="_Toc25815"/>
      <w:bookmarkStart w:id="369" w:name="_Toc26108"/>
      <w:bookmarkStart w:id="370" w:name="_Toc25125"/>
      <w:bookmarkStart w:id="371" w:name="_Toc24766"/>
      <w:bookmarkStart w:id="372" w:name="_Toc9154"/>
      <w:r>
        <w:rPr>
          <w:rFonts w:hint="eastAsia" w:ascii="宋体" w:hAnsi="宋体" w:eastAsia="宋体" w:cs="宋体"/>
          <w:b/>
          <w:bCs/>
          <w:kern w:val="44"/>
          <w:sz w:val="21"/>
          <w:szCs w:val="21"/>
          <w:lang w:val="en-US" w:eastAsia="zh-CN" w:bidi="ar-SA"/>
        </w:rPr>
        <w:t>1.1工程概况</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ageBreakBefore w:val="0"/>
        <w:widowControl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Times New Roman" w:hAnsi="Times New Roman" w:eastAsia="宋体" w:cs="Times New Roman"/>
        </w:rPr>
      </w:pPr>
      <w:r>
        <w:rPr>
          <w:rFonts w:hint="eastAsia" w:ascii="宋体" w:hAnsi="宋体" w:eastAsia="宋体" w:cs="宋体"/>
          <w:kern w:val="2"/>
          <w:szCs w:val="21"/>
          <w:highlight w:val="none"/>
        </w:rPr>
        <w:t>南宁市轨道交通5号线那洪车辆基地总征地面积59公顷，段围墙内用地面积为34.03公顷;那洪车辆基地段址地块位于5 号线起点站国凯大道站的东南侧，地块北侧为南宁绕城高速，东侧为国家铁路南防线，西侧为机场高速。用地现状以林地和荒地为主，丘陵地形，地形标高在94.0～145.0之间，地势起伏较大。那洪车辆基地内主要建筑有：运用库、检修组合库及物资总库、综合维修楼、司乘休息室（含餐厅及厨房）、调机及工程车库、牵引降压混合变电所、工建料棚、动态检测棚、洗车棚、杂品库、镟轮库、污水处理站、汽车库、电动车停车棚、派出所、主次门卫室（2处）、垃圾房、连廊、出入段线U型槽盖板、消防站。总建筑面积为150356.82平方米。</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373" w:name="_Toc10380"/>
      <w:bookmarkStart w:id="374" w:name="_Toc3781"/>
      <w:bookmarkStart w:id="375" w:name="_Toc916"/>
      <w:bookmarkStart w:id="376" w:name="_Toc3132"/>
      <w:bookmarkStart w:id="377" w:name="_Toc19929"/>
      <w:bookmarkStart w:id="378" w:name="_Toc24373"/>
      <w:bookmarkStart w:id="379" w:name="_Toc9236"/>
      <w:bookmarkStart w:id="380" w:name="_Toc20474"/>
      <w:bookmarkStart w:id="381" w:name="_Toc8116"/>
      <w:bookmarkStart w:id="382" w:name="_Toc29400"/>
      <w:bookmarkStart w:id="383" w:name="_Toc15422"/>
      <w:bookmarkStart w:id="384" w:name="_Toc27109"/>
      <w:bookmarkStart w:id="385" w:name="_Toc20184"/>
      <w:bookmarkStart w:id="386" w:name="_Toc25504"/>
      <w:bookmarkStart w:id="387" w:name="_Toc7839"/>
      <w:bookmarkStart w:id="388" w:name="_Toc29681"/>
      <w:bookmarkStart w:id="389" w:name="_Toc26443"/>
      <w:bookmarkStart w:id="390" w:name="_Toc29506"/>
      <w:bookmarkStart w:id="391" w:name="_Toc20337"/>
      <w:bookmarkStart w:id="392" w:name="_Toc17584"/>
      <w:bookmarkStart w:id="393" w:name="_Toc5342"/>
      <w:bookmarkStart w:id="394" w:name="_Toc21971"/>
      <w:bookmarkStart w:id="395" w:name="_Toc12894"/>
      <w:bookmarkStart w:id="396" w:name="_Toc79434359"/>
      <w:r>
        <w:rPr>
          <w:rFonts w:hint="eastAsia" w:ascii="宋体" w:hAnsi="宋体" w:eastAsia="宋体" w:cs="宋体"/>
          <w:b/>
          <w:bCs/>
          <w:kern w:val="44"/>
          <w:sz w:val="21"/>
          <w:szCs w:val="21"/>
          <w:lang w:val="en-US" w:eastAsia="zh-CN" w:bidi="ar-SA"/>
        </w:rPr>
        <w:t>1.2项目概况</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ageBreakBefore w:val="0"/>
        <w:widowControl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宋体"/>
          <w:kern w:val="2"/>
          <w:szCs w:val="21"/>
          <w:highlight w:val="none"/>
        </w:rPr>
      </w:pPr>
      <w:bookmarkStart w:id="397" w:name="_Toc60212980"/>
      <w:bookmarkStart w:id="398" w:name="_Toc14336"/>
      <w:bookmarkStart w:id="399" w:name="_Toc19117"/>
      <w:bookmarkStart w:id="400" w:name="_Toc11456"/>
      <w:bookmarkStart w:id="401" w:name="_Toc978"/>
      <w:bookmarkStart w:id="402" w:name="_Toc22998"/>
      <w:bookmarkStart w:id="403" w:name="_Toc17055"/>
      <w:bookmarkStart w:id="404" w:name="_Toc31537"/>
      <w:bookmarkStart w:id="405" w:name="_Toc24661"/>
      <w:bookmarkStart w:id="406" w:name="_Toc15145"/>
      <w:bookmarkStart w:id="407" w:name="_Toc15954"/>
      <w:bookmarkStart w:id="408" w:name="_Toc20832"/>
      <w:bookmarkStart w:id="409" w:name="_Toc9507"/>
      <w:bookmarkStart w:id="410" w:name="_Toc14867"/>
      <w:bookmarkStart w:id="411" w:name="_Toc534969204"/>
      <w:bookmarkStart w:id="412" w:name="_Toc12878"/>
      <w:bookmarkStart w:id="413" w:name="_Toc7706"/>
      <w:bookmarkStart w:id="414" w:name="_Toc1375"/>
      <w:bookmarkStart w:id="415" w:name="_Toc20020"/>
      <w:bookmarkStart w:id="416" w:name="_Toc30162"/>
      <w:bookmarkStart w:id="417" w:name="_Toc5064"/>
      <w:bookmarkStart w:id="418" w:name="_Toc26352"/>
      <w:bookmarkStart w:id="419" w:name="_Toc9647"/>
      <w:bookmarkStart w:id="420" w:name="_Toc22576"/>
      <w:bookmarkStart w:id="421" w:name="_Toc3643"/>
      <w:bookmarkStart w:id="422" w:name="_Toc29828"/>
      <w:bookmarkStart w:id="423" w:name="_Toc20057"/>
      <w:r>
        <w:rPr>
          <w:rFonts w:hint="eastAsia" w:ascii="宋体" w:hAnsi="宋体" w:eastAsia="宋体" w:cs="宋体"/>
          <w:kern w:val="2"/>
          <w:szCs w:val="21"/>
          <w:highlight w:val="none"/>
        </w:rPr>
        <w:t>为响应政府号召，完善新能源汽车应急充电设施，我司根据《南宁市国资委关于转发广西壮族自治区新能源汽车推广应用攻坚行动方案的通知》要求，拟在那洪车辆基地办公区域周边建设一批电动汽车充电桩（以下简称“充电桩”），充电桩</w:t>
      </w:r>
      <w:r>
        <w:rPr>
          <w:rFonts w:hint="eastAsia" w:ascii="宋体" w:hAnsi="宋体" w:eastAsia="宋体" w:cs="宋体"/>
          <w:kern w:val="2"/>
          <w:szCs w:val="21"/>
          <w:highlight w:val="none"/>
          <w:lang w:val="en-US" w:eastAsia="zh-CN"/>
        </w:rPr>
        <w:t>为16个7kW交流充电桩，配建地点为</w:t>
      </w:r>
      <w:r>
        <w:rPr>
          <w:rFonts w:hint="eastAsia" w:ascii="宋体" w:hAnsi="宋体" w:eastAsia="宋体" w:cs="宋体"/>
        </w:rPr>
        <w:t>那洪车辆基地综合维修楼一楼</w:t>
      </w:r>
      <w:r>
        <w:rPr>
          <w:rFonts w:hint="eastAsia" w:ascii="宋体" w:hAnsi="宋体" w:eastAsia="宋体" w:cs="宋体"/>
          <w:lang w:val="en-US" w:eastAsia="zh-CN"/>
        </w:rPr>
        <w:t>地面</w:t>
      </w:r>
      <w:r>
        <w:rPr>
          <w:rFonts w:hint="eastAsia" w:ascii="宋体" w:hAnsi="宋体" w:eastAsia="宋体" w:cs="宋体"/>
        </w:rPr>
        <w:t>停车位</w:t>
      </w:r>
      <w:r>
        <w:rPr>
          <w:rFonts w:hint="eastAsia" w:ascii="宋体" w:hAnsi="宋体" w:eastAsia="宋体" w:cs="宋体"/>
          <w:lang w:eastAsia="zh-CN"/>
        </w:rPr>
        <w:t>，</w:t>
      </w:r>
      <w:r>
        <w:rPr>
          <w:rFonts w:hint="eastAsia" w:ascii="宋体" w:hAnsi="宋体" w:eastAsia="宋体" w:cs="宋体"/>
          <w:lang w:val="en-US" w:eastAsia="zh-CN"/>
        </w:rPr>
        <w:t>充电桩安装及电缆敷设区域没有其他线缆、网络及附属工程干涉</w:t>
      </w:r>
      <w:r>
        <w:rPr>
          <w:rFonts w:hint="eastAsia" w:ascii="宋体" w:hAnsi="宋体" w:eastAsia="宋体" w:cs="宋体"/>
          <w:kern w:val="2"/>
          <w:szCs w:val="21"/>
          <w:highlight w:val="none"/>
        </w:rPr>
        <w:t>。</w:t>
      </w:r>
      <w:bookmarkEnd w:id="397"/>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default" w:ascii="宋体" w:hAnsi="宋体" w:eastAsia="宋体" w:cs="宋体"/>
          <w:b/>
          <w:bCs/>
          <w:kern w:val="44"/>
          <w:sz w:val="21"/>
          <w:szCs w:val="21"/>
          <w:lang w:val="en-US" w:eastAsia="zh-CN" w:bidi="ar-SA"/>
        </w:rPr>
      </w:pPr>
      <w:bookmarkStart w:id="424" w:name="_Toc13213"/>
      <w:bookmarkStart w:id="425" w:name="_Toc23644"/>
      <w:bookmarkStart w:id="426" w:name="_Toc17780"/>
      <w:bookmarkStart w:id="427" w:name="_Toc24543"/>
      <w:bookmarkStart w:id="428" w:name="_Toc941"/>
      <w:bookmarkStart w:id="429" w:name="_Toc11182"/>
      <w:bookmarkStart w:id="430" w:name="_Toc79434360"/>
      <w:bookmarkStart w:id="431" w:name="_Toc14641"/>
      <w:bookmarkStart w:id="432" w:name="_Toc29152"/>
      <w:bookmarkStart w:id="433" w:name="_Toc3420"/>
      <w:bookmarkStart w:id="434" w:name="_Toc4965"/>
      <w:bookmarkStart w:id="435" w:name="_Toc18426"/>
      <w:bookmarkStart w:id="436" w:name="_Toc3096"/>
      <w:bookmarkStart w:id="437" w:name="_Toc30273"/>
      <w:bookmarkStart w:id="438" w:name="_Toc14507"/>
      <w:bookmarkStart w:id="439" w:name="_Toc22727"/>
      <w:bookmarkStart w:id="440" w:name="_Toc3313"/>
      <w:bookmarkStart w:id="441" w:name="_Toc23315"/>
      <w:bookmarkStart w:id="442" w:name="_Toc24530"/>
      <w:bookmarkStart w:id="443" w:name="_Toc862"/>
      <w:bookmarkStart w:id="444" w:name="_Toc16829"/>
      <w:bookmarkStart w:id="445" w:name="_Toc4240"/>
      <w:bookmarkStart w:id="446" w:name="_Toc60212981"/>
      <w:r>
        <w:rPr>
          <w:rFonts w:hint="eastAsia" w:ascii="宋体" w:hAnsi="宋体" w:eastAsia="宋体" w:cs="宋体"/>
          <w:b/>
          <w:bCs/>
          <w:kern w:val="44"/>
          <w:sz w:val="21"/>
          <w:szCs w:val="21"/>
          <w:lang w:val="en-US" w:eastAsia="zh-CN" w:bidi="ar-SA"/>
        </w:rPr>
        <w:t>1.3</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Fonts w:hint="eastAsia" w:ascii="宋体" w:hAnsi="宋体" w:eastAsia="宋体" w:cs="宋体"/>
          <w:b/>
          <w:bCs/>
          <w:color w:val="auto"/>
          <w:kern w:val="44"/>
          <w:sz w:val="21"/>
          <w:szCs w:val="21"/>
        </w:rPr>
        <w:t>招标人及投标人</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lang w:eastAsia="zh-CN"/>
        </w:rPr>
        <w:t>招标人</w:t>
      </w:r>
      <w:r>
        <w:rPr>
          <w:rFonts w:hint="eastAsia" w:ascii="宋体" w:hAnsi="宋体" w:eastAsia="宋体" w:cs="宋体"/>
        </w:rPr>
        <w:t>：南宁轨道交通运营有限公司。</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lang w:eastAsia="zh-CN"/>
        </w:rPr>
        <w:t>投标人</w:t>
      </w:r>
      <w:r>
        <w:rPr>
          <w:rFonts w:hint="eastAsia" w:ascii="宋体" w:hAnsi="宋体" w:eastAsia="宋体" w:cs="宋体"/>
        </w:rPr>
        <w:t>：</w:t>
      </w:r>
      <w:r>
        <w:rPr>
          <w:rFonts w:hint="eastAsia" w:ascii="宋体" w:hAnsi="宋体" w:eastAsia="宋体" w:cs="宋体"/>
          <w:szCs w:val="21"/>
        </w:rPr>
        <w:t>响应招标、参加投标竞争的法人。</w:t>
      </w:r>
    </w:p>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46"/>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0"/>
        <w:rPr>
          <w:rFonts w:hint="eastAsia" w:ascii="黑体" w:hAnsi="黑体" w:eastAsia="黑体" w:cs="黑体"/>
          <w:b/>
          <w:bCs/>
          <w:kern w:val="44"/>
          <w:sz w:val="24"/>
          <w:szCs w:val="24"/>
          <w:lang w:val="en-US" w:eastAsia="zh-CN" w:bidi="ar-SA"/>
        </w:rPr>
      </w:pPr>
      <w:bookmarkStart w:id="447" w:name="_Toc7166"/>
      <w:bookmarkStart w:id="448" w:name="_Toc5982"/>
      <w:bookmarkStart w:id="449" w:name="_Toc6126"/>
      <w:bookmarkStart w:id="450" w:name="_Toc26008"/>
      <w:bookmarkStart w:id="451" w:name="_Toc481565831"/>
      <w:bookmarkStart w:id="452" w:name="_Toc13047"/>
      <w:bookmarkStart w:id="453" w:name="_Toc312"/>
      <w:bookmarkStart w:id="454" w:name="_Toc28947"/>
      <w:bookmarkStart w:id="455" w:name="_Toc1959"/>
      <w:bookmarkStart w:id="456" w:name="_Toc22375"/>
      <w:bookmarkStart w:id="457" w:name="_Toc534969205"/>
      <w:bookmarkStart w:id="458" w:name="_Toc427229175"/>
      <w:bookmarkStart w:id="459" w:name="_Toc13298"/>
      <w:bookmarkStart w:id="460" w:name="_Toc11746"/>
      <w:bookmarkStart w:id="461" w:name="_Toc24890"/>
      <w:bookmarkStart w:id="462" w:name="_Toc32247"/>
      <w:bookmarkStart w:id="463" w:name="_Toc377652889"/>
      <w:bookmarkStart w:id="464" w:name="_Toc13920"/>
      <w:bookmarkStart w:id="465" w:name="_Toc27658"/>
      <w:bookmarkStart w:id="466" w:name="_Toc497122885"/>
      <w:bookmarkStart w:id="467" w:name="_Toc25033"/>
      <w:bookmarkStart w:id="468" w:name="_Toc481482229"/>
      <w:bookmarkStart w:id="469" w:name="_Toc467076702"/>
      <w:bookmarkStart w:id="470" w:name="_Toc21285"/>
      <w:bookmarkStart w:id="471" w:name="_Toc23"/>
      <w:bookmarkStart w:id="472" w:name="_Toc22617"/>
      <w:bookmarkStart w:id="473" w:name="_Toc9308"/>
      <w:bookmarkStart w:id="474" w:name="_Toc9998"/>
      <w:bookmarkStart w:id="475" w:name="_Toc20758"/>
      <w:bookmarkStart w:id="476" w:name="_Toc25274"/>
      <w:bookmarkStart w:id="477" w:name="_Toc17117"/>
      <w:bookmarkStart w:id="478" w:name="_Toc29340"/>
      <w:bookmarkStart w:id="479" w:name="_Toc28597"/>
      <w:bookmarkStart w:id="480" w:name="_Toc26870"/>
      <w:bookmarkStart w:id="481" w:name="_Toc25385"/>
      <w:bookmarkStart w:id="482" w:name="_Toc17905"/>
      <w:bookmarkStart w:id="483" w:name="_Toc14788"/>
      <w:bookmarkStart w:id="484" w:name="_Toc79434361"/>
      <w:bookmarkStart w:id="485" w:name="_Toc17641"/>
      <w:bookmarkStart w:id="486" w:name="_Toc13032"/>
      <w:bookmarkStart w:id="487" w:name="_Toc9087"/>
      <w:bookmarkStart w:id="488" w:name="_Toc13444"/>
      <w:bookmarkStart w:id="489" w:name="_Toc2575"/>
      <w:bookmarkStart w:id="490" w:name="_Toc31853"/>
      <w:bookmarkStart w:id="491" w:name="_Toc6419"/>
      <w:bookmarkStart w:id="492" w:name="_Toc13767"/>
      <w:bookmarkStart w:id="493" w:name="_Toc23642"/>
      <w:bookmarkStart w:id="494" w:name="_Toc30424"/>
      <w:bookmarkStart w:id="495" w:name="_Toc60212982"/>
      <w:bookmarkStart w:id="496" w:name="_Toc12011"/>
      <w:bookmarkStart w:id="497" w:name="_Toc20512"/>
      <w:bookmarkStart w:id="498" w:name="_Toc6512"/>
      <w:bookmarkStart w:id="499" w:name="_Toc15550"/>
      <w:bookmarkStart w:id="500" w:name="_Toc10741"/>
      <w:bookmarkStart w:id="501" w:name="_Toc3834"/>
      <w:r>
        <w:rPr>
          <w:rFonts w:hint="eastAsia" w:ascii="黑体" w:hAnsi="黑体" w:eastAsia="黑体" w:cs="黑体"/>
          <w:b/>
          <w:bCs/>
          <w:kern w:val="44"/>
          <w:sz w:val="24"/>
          <w:szCs w:val="24"/>
          <w:lang w:val="en-US" w:eastAsia="zh-CN" w:bidi="ar-SA"/>
        </w:rPr>
        <w:t>2项目范围</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Fonts w:hint="eastAsia" w:ascii="黑体" w:hAnsi="黑体" w:eastAsia="黑体" w:cs="黑体"/>
          <w:b/>
          <w:bCs/>
          <w:kern w:val="44"/>
          <w:sz w:val="24"/>
          <w:szCs w:val="24"/>
          <w:lang w:val="en-US" w:eastAsia="zh-CN" w:bidi="ar-SA"/>
        </w:rPr>
        <w:t>、内容及要求</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502" w:name="_Toc9024"/>
      <w:bookmarkStart w:id="503" w:name="_Toc18709"/>
      <w:bookmarkStart w:id="504" w:name="_Toc8890"/>
      <w:bookmarkStart w:id="505" w:name="_Toc26208"/>
      <w:bookmarkStart w:id="506" w:name="_Toc3657"/>
      <w:bookmarkStart w:id="507" w:name="_Toc20976"/>
      <w:bookmarkStart w:id="508" w:name="_Toc1668"/>
      <w:bookmarkStart w:id="509" w:name="_Toc25650"/>
      <w:bookmarkStart w:id="510" w:name="_Toc60212983"/>
      <w:bookmarkStart w:id="511" w:name="_Toc12213"/>
      <w:bookmarkStart w:id="512" w:name="_Toc26235"/>
      <w:bookmarkStart w:id="513" w:name="_Toc79434362"/>
      <w:bookmarkStart w:id="514" w:name="_Toc3777"/>
      <w:bookmarkStart w:id="515" w:name="_Toc1320"/>
      <w:bookmarkStart w:id="516" w:name="_Toc3134"/>
      <w:bookmarkStart w:id="517" w:name="_Toc4411"/>
      <w:bookmarkStart w:id="518" w:name="_Toc16009"/>
      <w:bookmarkStart w:id="519" w:name="_Toc12258"/>
      <w:bookmarkStart w:id="520" w:name="_Toc27312"/>
      <w:bookmarkStart w:id="521" w:name="_Toc3168"/>
      <w:bookmarkStart w:id="522" w:name="_Toc8063"/>
      <w:bookmarkStart w:id="523" w:name="_Toc31091"/>
      <w:bookmarkStart w:id="524" w:name="_Toc22634"/>
      <w:bookmarkStart w:id="525" w:name="_Toc9175"/>
      <w:bookmarkStart w:id="526" w:name="_Toc13359"/>
      <w:bookmarkStart w:id="527" w:name="_Toc29523"/>
      <w:bookmarkStart w:id="528" w:name="_Toc1914"/>
      <w:bookmarkStart w:id="529" w:name="_Toc30049"/>
      <w:bookmarkStart w:id="530" w:name="_Toc6244"/>
      <w:bookmarkStart w:id="531" w:name="_Toc31358"/>
      <w:bookmarkStart w:id="532" w:name="_Toc30256"/>
      <w:bookmarkStart w:id="533" w:name="_Toc20514"/>
      <w:bookmarkStart w:id="534" w:name="_Toc28667"/>
      <w:bookmarkStart w:id="535" w:name="_Toc3398"/>
      <w:bookmarkStart w:id="536" w:name="_Toc3902"/>
      <w:r>
        <w:rPr>
          <w:rFonts w:hint="eastAsia" w:ascii="宋体" w:hAnsi="宋体" w:eastAsia="宋体" w:cs="宋体"/>
          <w:b/>
          <w:bCs/>
          <w:kern w:val="44"/>
          <w:sz w:val="21"/>
          <w:szCs w:val="21"/>
          <w:lang w:val="en-US" w:eastAsia="zh-CN" w:bidi="ar-SA"/>
        </w:rPr>
        <w:t>2.1项目名称</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ageBreakBefore w:val="0"/>
        <w:widowControl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Courier New" w:eastAsia="宋体" w:cs="Courier New"/>
          <w:kern w:val="2"/>
        </w:rPr>
      </w:pPr>
      <w:r>
        <w:rPr>
          <w:rFonts w:hint="eastAsia" w:ascii="宋体" w:hAnsi="宋体" w:eastAsia="宋体" w:cs="宋体"/>
        </w:rPr>
        <w:t>南宁轨道交通运营有限公司2022年新能源汽车充电桩二期建设项目</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537" w:name="_Toc26112"/>
      <w:bookmarkStart w:id="538" w:name="_Toc31919"/>
      <w:bookmarkStart w:id="539" w:name="_Toc21410"/>
      <w:bookmarkStart w:id="540" w:name="_Toc17423"/>
      <w:bookmarkStart w:id="541" w:name="_Toc3649"/>
      <w:bookmarkStart w:id="542" w:name="_Toc7160"/>
      <w:bookmarkStart w:id="543" w:name="_Toc4847"/>
      <w:bookmarkStart w:id="544" w:name="_Toc21761"/>
      <w:bookmarkStart w:id="545" w:name="_Toc4143"/>
      <w:bookmarkStart w:id="546" w:name="_Toc30903"/>
      <w:bookmarkStart w:id="547" w:name="_Toc14168"/>
      <w:bookmarkStart w:id="548" w:name="_Toc8131"/>
      <w:bookmarkStart w:id="549" w:name="_Toc15703"/>
      <w:bookmarkStart w:id="550" w:name="_Toc7894"/>
      <w:bookmarkStart w:id="551" w:name="_Toc60212984"/>
      <w:bookmarkStart w:id="552" w:name="_Toc14349"/>
      <w:bookmarkStart w:id="553" w:name="_Toc9816"/>
      <w:bookmarkStart w:id="554" w:name="_Toc79434363"/>
      <w:bookmarkStart w:id="555" w:name="_Toc27244"/>
      <w:bookmarkStart w:id="556" w:name="_Toc21982"/>
      <w:bookmarkStart w:id="557" w:name="_Toc20385"/>
      <w:bookmarkStart w:id="558" w:name="_Toc3263"/>
      <w:bookmarkStart w:id="559" w:name="_Toc26685"/>
      <w:bookmarkStart w:id="560" w:name="_Toc3031"/>
      <w:bookmarkStart w:id="561" w:name="_Toc13208"/>
      <w:bookmarkStart w:id="562" w:name="_Toc15041"/>
      <w:bookmarkStart w:id="563" w:name="_Toc2176"/>
      <w:bookmarkStart w:id="564" w:name="_Toc5456"/>
      <w:bookmarkStart w:id="565" w:name="_Toc24539"/>
      <w:bookmarkStart w:id="566" w:name="_Toc10386"/>
      <w:bookmarkStart w:id="567" w:name="_Toc24002"/>
      <w:bookmarkStart w:id="568" w:name="_Toc23418"/>
      <w:bookmarkStart w:id="569" w:name="_Toc3800"/>
      <w:bookmarkStart w:id="570" w:name="_Toc8705"/>
      <w:bookmarkStart w:id="571" w:name="_Toc8939"/>
      <w:r>
        <w:rPr>
          <w:rFonts w:hint="eastAsia" w:ascii="宋体" w:hAnsi="宋体" w:eastAsia="宋体" w:cs="宋体"/>
          <w:b/>
          <w:bCs/>
          <w:kern w:val="44"/>
          <w:sz w:val="21"/>
          <w:szCs w:val="21"/>
          <w:lang w:val="en-US" w:eastAsia="zh-CN" w:bidi="ar-SA"/>
        </w:rPr>
        <w:t>2.2项目范围</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hint="eastAsia" w:ascii="宋体" w:hAnsi="宋体" w:eastAsia="宋体" w:cs="宋体"/>
          <w:kern w:val="2"/>
        </w:rPr>
      </w:pPr>
      <w:bookmarkStart w:id="572" w:name="_Toc16939"/>
      <w:bookmarkStart w:id="573" w:name="_Toc5693"/>
      <w:bookmarkStart w:id="574" w:name="_Toc13503"/>
      <w:bookmarkStart w:id="575" w:name="_Toc27518"/>
      <w:bookmarkStart w:id="576" w:name="_Toc10258"/>
      <w:bookmarkStart w:id="577" w:name="_Toc26671"/>
      <w:bookmarkStart w:id="578" w:name="_Toc17076"/>
      <w:bookmarkStart w:id="579" w:name="_Toc23141"/>
      <w:bookmarkStart w:id="580" w:name="_Toc9123"/>
      <w:bookmarkStart w:id="581" w:name="_Toc4517"/>
      <w:bookmarkStart w:id="582" w:name="_Toc10938"/>
      <w:bookmarkStart w:id="583" w:name="_Toc29388"/>
      <w:bookmarkStart w:id="584" w:name="_Toc32367"/>
      <w:r>
        <w:rPr>
          <w:rFonts w:hint="eastAsia" w:ascii="宋体" w:hAnsi="宋体" w:eastAsia="宋体" w:cs="宋体"/>
        </w:rPr>
        <w:t>运营公司那洪车辆基地</w:t>
      </w:r>
      <w:r>
        <w:rPr>
          <w:rFonts w:hint="eastAsia" w:ascii="宋体" w:hAnsi="宋体" w:eastAsia="宋体" w:cs="宋体"/>
          <w:kern w:val="2"/>
        </w:rPr>
        <w:t>区域</w:t>
      </w:r>
      <w:r>
        <w:rPr>
          <w:rFonts w:hint="eastAsia" w:ascii="宋体" w:hAnsi="宋体" w:eastAsia="宋体" w:cs="宋体"/>
        </w:rPr>
        <w:t>内安装16个</w:t>
      </w:r>
      <w:r>
        <w:rPr>
          <w:rFonts w:hint="eastAsia" w:ascii="宋体" w:hAnsi="宋体" w:eastAsia="宋体" w:cs="宋体"/>
          <w:kern w:val="2"/>
        </w:rPr>
        <w:t>地面停车位充电桩，包括但不限于充电桩的施工图纸设计、运输、安装、验收及售后维护等工作。</w:t>
      </w:r>
      <w:bookmarkEnd w:id="572"/>
      <w:bookmarkEnd w:id="573"/>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2.3项目模式</w:t>
      </w:r>
    </w:p>
    <w:p>
      <w:pPr>
        <w:pageBreakBefore w:val="0"/>
        <w:widowControl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rPr>
        <w:t>本项目为外单位设备采购及安装模式。</w:t>
      </w:r>
    </w:p>
    <w:bookmarkEnd w:id="567"/>
    <w:bookmarkEnd w:id="568"/>
    <w:bookmarkEnd w:id="569"/>
    <w:bookmarkEnd w:id="570"/>
    <w:bookmarkEnd w:id="571"/>
    <w:bookmarkEnd w:id="574"/>
    <w:bookmarkEnd w:id="575"/>
    <w:bookmarkEnd w:id="576"/>
    <w:bookmarkEnd w:id="577"/>
    <w:bookmarkEnd w:id="578"/>
    <w:bookmarkEnd w:id="579"/>
    <w:bookmarkEnd w:id="580"/>
    <w:bookmarkEnd w:id="581"/>
    <w:bookmarkEnd w:id="582"/>
    <w:bookmarkEnd w:id="583"/>
    <w:bookmarkEnd w:id="584"/>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585" w:name="_Toc7935"/>
      <w:bookmarkStart w:id="586" w:name="_Toc27018"/>
      <w:bookmarkStart w:id="587" w:name="_Toc18371"/>
      <w:bookmarkStart w:id="588" w:name="_Toc11336"/>
      <w:bookmarkStart w:id="589" w:name="_Toc26355"/>
      <w:bookmarkStart w:id="590" w:name="_Toc9122"/>
      <w:bookmarkStart w:id="591" w:name="_Toc19544"/>
      <w:bookmarkStart w:id="592" w:name="_Toc15933"/>
      <w:bookmarkStart w:id="593" w:name="_Toc79434367"/>
      <w:bookmarkStart w:id="594" w:name="_Toc1126"/>
      <w:bookmarkStart w:id="595" w:name="_Toc12936"/>
      <w:bookmarkStart w:id="596" w:name="_Toc2742"/>
      <w:bookmarkStart w:id="597" w:name="_Toc25308"/>
      <w:bookmarkStart w:id="598" w:name="_Toc29943"/>
      <w:bookmarkStart w:id="599" w:name="_Toc60212989"/>
      <w:bookmarkStart w:id="600" w:name="_Toc11643"/>
      <w:bookmarkStart w:id="601" w:name="_Toc23413"/>
      <w:bookmarkStart w:id="602" w:name="_Toc6372"/>
      <w:bookmarkStart w:id="603" w:name="_Toc16650"/>
      <w:bookmarkStart w:id="604" w:name="_Toc17636"/>
      <w:bookmarkStart w:id="605" w:name="_Toc17988"/>
      <w:bookmarkStart w:id="606" w:name="_Toc2079"/>
      <w:bookmarkStart w:id="607" w:name="_Toc924"/>
      <w:bookmarkStart w:id="608" w:name="_Toc21966"/>
      <w:bookmarkStart w:id="609" w:name="_Toc27158"/>
      <w:bookmarkStart w:id="610" w:name="_Toc18075"/>
      <w:bookmarkStart w:id="611" w:name="_Toc3306"/>
      <w:bookmarkStart w:id="612" w:name="_Toc5625"/>
      <w:bookmarkStart w:id="613" w:name="_Toc7720"/>
      <w:bookmarkStart w:id="614" w:name="_Toc21171"/>
      <w:bookmarkStart w:id="615" w:name="_Toc13304"/>
      <w:r>
        <w:rPr>
          <w:rFonts w:hint="eastAsia" w:ascii="宋体" w:hAnsi="宋体" w:eastAsia="宋体" w:cs="宋体"/>
          <w:b/>
          <w:bCs/>
          <w:kern w:val="44"/>
          <w:sz w:val="21"/>
          <w:szCs w:val="21"/>
          <w:lang w:val="en-US" w:eastAsia="zh-CN" w:bidi="ar-SA"/>
        </w:rPr>
        <w:t>2.4计划工期</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ageBreakBefore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Calibri" w:hAnsi="Calibri" w:eastAsia="宋体" w:cs="Times New Roman"/>
          <w:kern w:val="2"/>
          <w:szCs w:val="24"/>
        </w:rPr>
      </w:pPr>
      <w:r>
        <w:rPr>
          <w:rFonts w:hint="eastAsia" w:ascii="宋体" w:hAnsi="宋体" w:eastAsia="宋体" w:cs="宋体"/>
        </w:rPr>
        <w:t>计划</w:t>
      </w:r>
      <w:r>
        <w:rPr>
          <w:rFonts w:ascii="宋体" w:hAnsi="宋体" w:eastAsia="宋体" w:cs="宋体"/>
        </w:rPr>
        <w:t>202</w:t>
      </w:r>
      <w:r>
        <w:rPr>
          <w:rFonts w:hint="eastAsia" w:ascii="宋体" w:hAnsi="宋体" w:eastAsia="宋体" w:cs="宋体"/>
        </w:rPr>
        <w:t>3</w:t>
      </w:r>
      <w:r>
        <w:rPr>
          <w:rFonts w:ascii="宋体" w:hAnsi="宋体" w:eastAsia="宋体" w:cs="宋体"/>
        </w:rPr>
        <w:t xml:space="preserve">年 </w:t>
      </w:r>
      <w:r>
        <w:rPr>
          <w:rFonts w:hint="eastAsia" w:ascii="宋体" w:hAnsi="宋体" w:eastAsia="宋体" w:cs="宋体"/>
        </w:rPr>
        <w:t>1月1</w:t>
      </w:r>
      <w:r>
        <w:rPr>
          <w:rFonts w:ascii="宋体" w:hAnsi="宋体" w:eastAsia="宋体" w:cs="宋体"/>
        </w:rPr>
        <w:t>日至202</w:t>
      </w:r>
      <w:r>
        <w:rPr>
          <w:rFonts w:hint="eastAsia" w:ascii="宋体" w:hAnsi="宋体" w:eastAsia="宋体" w:cs="宋体"/>
        </w:rPr>
        <w:t>3</w:t>
      </w:r>
      <w:r>
        <w:rPr>
          <w:rFonts w:ascii="宋体" w:hAnsi="宋体" w:eastAsia="宋体" w:cs="宋体"/>
        </w:rPr>
        <w:t>年</w:t>
      </w:r>
      <w:r>
        <w:rPr>
          <w:rFonts w:hint="eastAsia" w:ascii="宋体" w:hAnsi="宋体" w:eastAsia="宋体" w:cs="宋体"/>
        </w:rPr>
        <w:t>3</w:t>
      </w:r>
      <w:r>
        <w:rPr>
          <w:rFonts w:ascii="宋体" w:hAnsi="宋体" w:eastAsia="宋体" w:cs="宋体"/>
        </w:rPr>
        <w:t>月</w:t>
      </w:r>
      <w:r>
        <w:rPr>
          <w:rFonts w:hint="eastAsia" w:ascii="宋体" w:hAnsi="宋体" w:eastAsia="宋体" w:cs="宋体"/>
        </w:rPr>
        <w:t>31</w:t>
      </w:r>
      <w:r>
        <w:rPr>
          <w:rFonts w:ascii="宋体" w:hAnsi="宋体" w:eastAsia="宋体" w:cs="宋体"/>
        </w:rPr>
        <w:t>日</w:t>
      </w:r>
      <w:r>
        <w:rPr>
          <w:rFonts w:hint="eastAsia" w:ascii="宋体" w:hAnsi="宋体" w:eastAsia="宋体" w:cs="宋体"/>
        </w:rPr>
        <w:t>，</w:t>
      </w:r>
      <w:r>
        <w:rPr>
          <w:rFonts w:hint="eastAsia" w:ascii="宋体" w:hAnsi="宋体" w:eastAsia="宋体" w:cs="Times New Roman"/>
        </w:rPr>
        <w:t>发出供货通知后90天内完成安装交付</w:t>
      </w:r>
      <w:r>
        <w:rPr>
          <w:rFonts w:hint="eastAsia" w:ascii="宋体" w:hAnsi="宋体" w:eastAsia="宋体" w:cs="宋体"/>
        </w:rPr>
        <w:t>。</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616" w:name="_Toc21466"/>
      <w:bookmarkStart w:id="617" w:name="_Toc22289"/>
      <w:bookmarkStart w:id="618" w:name="_Toc27080"/>
      <w:bookmarkStart w:id="619" w:name="_Toc16227"/>
      <w:bookmarkStart w:id="620" w:name="_Toc9539"/>
      <w:bookmarkStart w:id="621" w:name="_Toc28455"/>
      <w:bookmarkStart w:id="622" w:name="_Toc79434368"/>
      <w:bookmarkStart w:id="623" w:name="_Toc6071"/>
      <w:bookmarkStart w:id="624" w:name="_Toc21030"/>
      <w:bookmarkStart w:id="625" w:name="_Toc2909"/>
      <w:bookmarkStart w:id="626" w:name="_Toc31185"/>
      <w:bookmarkStart w:id="627" w:name="_Toc13732"/>
      <w:bookmarkStart w:id="628" w:name="_Toc60212990"/>
      <w:bookmarkStart w:id="629" w:name="_Toc25500"/>
      <w:bookmarkStart w:id="630" w:name="_Toc22043"/>
      <w:bookmarkStart w:id="631" w:name="_Toc7938"/>
      <w:bookmarkStart w:id="632" w:name="_Toc15688"/>
      <w:bookmarkStart w:id="633" w:name="_Toc17061"/>
      <w:bookmarkStart w:id="634" w:name="_Toc5454"/>
      <w:bookmarkStart w:id="635" w:name="_Toc7665"/>
      <w:r>
        <w:rPr>
          <w:rFonts w:hint="eastAsia" w:ascii="宋体" w:hAnsi="宋体" w:eastAsia="宋体" w:cs="宋体"/>
          <w:b/>
          <w:bCs/>
          <w:kern w:val="44"/>
          <w:sz w:val="21"/>
          <w:szCs w:val="21"/>
          <w:lang w:val="en-US" w:eastAsia="zh-CN" w:bidi="ar-SA"/>
        </w:rPr>
        <w:t>2.5补充说明</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ageBreakBefore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rPr>
        <w:t>2.</w:t>
      </w:r>
      <w:r>
        <w:rPr>
          <w:rFonts w:hint="eastAsia" w:ascii="宋体" w:hAnsi="宋体" w:eastAsia="宋体" w:cs="宋体"/>
          <w:lang w:val="en-US" w:eastAsia="zh-CN"/>
        </w:rPr>
        <w:t>5</w:t>
      </w:r>
      <w:r>
        <w:rPr>
          <w:rFonts w:hint="eastAsia" w:ascii="宋体" w:hAnsi="宋体" w:eastAsia="宋体" w:cs="宋体"/>
        </w:rPr>
        <w:t>.1在合同履行期间，</w:t>
      </w:r>
      <w:r>
        <w:rPr>
          <w:rFonts w:hint="eastAsia" w:ascii="宋体" w:hAnsi="宋体" w:eastAsia="宋体" w:cs="宋体"/>
          <w:lang w:eastAsia="zh-CN"/>
        </w:rPr>
        <w:t>投标人</w:t>
      </w:r>
      <w:r>
        <w:rPr>
          <w:rFonts w:hint="eastAsia" w:ascii="宋体" w:hAnsi="宋体" w:eastAsia="宋体" w:cs="宋体"/>
        </w:rPr>
        <w:t>从</w:t>
      </w:r>
      <w:r>
        <w:rPr>
          <w:rFonts w:hint="eastAsia" w:ascii="宋体" w:hAnsi="宋体" w:eastAsia="宋体" w:cs="宋体"/>
          <w:lang w:eastAsia="zh-CN"/>
        </w:rPr>
        <w:t>招标人</w:t>
      </w:r>
      <w:r>
        <w:rPr>
          <w:rFonts w:hint="eastAsia" w:ascii="宋体" w:hAnsi="宋体" w:eastAsia="宋体" w:cs="宋体"/>
        </w:rPr>
        <w:t>获得的一切与工程有关的原始资料及与履行合同有关的</w:t>
      </w:r>
      <w:r>
        <w:rPr>
          <w:rFonts w:hint="eastAsia" w:ascii="宋体" w:hAnsi="宋体" w:eastAsia="宋体" w:cs="宋体"/>
          <w:lang w:eastAsia="zh-CN"/>
        </w:rPr>
        <w:t>招标人</w:t>
      </w:r>
      <w:r>
        <w:rPr>
          <w:rFonts w:hint="eastAsia" w:ascii="宋体" w:hAnsi="宋体" w:eastAsia="宋体" w:cs="宋体"/>
        </w:rPr>
        <w:t>既有工作成果及相关资料，</w:t>
      </w:r>
      <w:r>
        <w:rPr>
          <w:rFonts w:hint="eastAsia" w:ascii="宋体" w:hAnsi="宋体" w:eastAsia="宋体" w:cs="宋体"/>
          <w:lang w:eastAsia="zh-CN"/>
        </w:rPr>
        <w:t>投标人</w:t>
      </w:r>
      <w:r>
        <w:rPr>
          <w:rFonts w:hint="eastAsia" w:ascii="宋体" w:hAnsi="宋体" w:eastAsia="宋体" w:cs="宋体"/>
        </w:rPr>
        <w:t>有保密义务。未经</w:t>
      </w:r>
      <w:r>
        <w:rPr>
          <w:rFonts w:hint="eastAsia" w:ascii="宋体" w:hAnsi="宋体" w:eastAsia="宋体" w:cs="宋体"/>
          <w:lang w:eastAsia="zh-CN"/>
        </w:rPr>
        <w:t>招标人</w:t>
      </w:r>
      <w:r>
        <w:rPr>
          <w:rFonts w:hint="eastAsia" w:ascii="宋体" w:hAnsi="宋体" w:eastAsia="宋体" w:cs="宋体"/>
        </w:rPr>
        <w:t>书面同意</w:t>
      </w:r>
      <w:r>
        <w:rPr>
          <w:rFonts w:hint="eastAsia" w:ascii="宋体" w:hAnsi="宋体" w:eastAsia="宋体" w:cs="宋体"/>
          <w:lang w:eastAsia="zh-CN"/>
        </w:rPr>
        <w:t>投标人</w:t>
      </w:r>
      <w:r>
        <w:rPr>
          <w:rFonts w:hint="eastAsia" w:ascii="宋体" w:hAnsi="宋体" w:eastAsia="宋体" w:cs="宋体"/>
        </w:rPr>
        <w:t>不得以任何方式泄漏给任何第三方。</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eastAsia="宋体" w:cs="宋体"/>
        </w:rPr>
      </w:pPr>
      <w:bookmarkStart w:id="636" w:name="_Toc534969206"/>
      <w:bookmarkStart w:id="637" w:name="_Toc6749"/>
      <w:bookmarkStart w:id="638" w:name="_Toc28575"/>
      <w:bookmarkStart w:id="639" w:name="_Toc26644"/>
      <w:bookmarkStart w:id="640" w:name="_Toc6057"/>
      <w:bookmarkStart w:id="641" w:name="_Toc1510"/>
      <w:bookmarkStart w:id="642" w:name="_Toc19695"/>
      <w:bookmarkStart w:id="643" w:name="_Toc30375"/>
      <w:bookmarkStart w:id="644" w:name="_Toc5704"/>
      <w:bookmarkStart w:id="645" w:name="_Toc30221"/>
      <w:bookmarkStart w:id="646" w:name="_Toc28471"/>
      <w:bookmarkStart w:id="647" w:name="_Toc30281"/>
      <w:bookmarkStart w:id="648" w:name="_Toc6157"/>
      <w:bookmarkStart w:id="649" w:name="_Toc3460"/>
      <w:bookmarkStart w:id="650" w:name="_Toc30737"/>
      <w:r>
        <w:rPr>
          <w:rFonts w:ascii="宋体" w:hAnsi="宋体" w:eastAsia="宋体" w:cs="宋体"/>
        </w:rPr>
        <w:t>2.</w:t>
      </w:r>
      <w:r>
        <w:rPr>
          <w:rFonts w:hint="eastAsia" w:ascii="宋体" w:hAnsi="宋体" w:eastAsia="宋体" w:cs="宋体"/>
          <w:lang w:val="en-US" w:eastAsia="zh-CN"/>
        </w:rPr>
        <w:t>5</w:t>
      </w:r>
      <w:r>
        <w:rPr>
          <w:rFonts w:ascii="宋体" w:hAnsi="宋体" w:eastAsia="宋体" w:cs="宋体"/>
        </w:rPr>
        <w:t>.2用于本项目的所有</w:t>
      </w:r>
      <w:r>
        <w:rPr>
          <w:rFonts w:hint="eastAsia" w:ascii="宋体" w:hAnsi="宋体" w:eastAsia="宋体" w:cs="宋体"/>
        </w:rPr>
        <w:t>设备、</w:t>
      </w:r>
      <w:r>
        <w:rPr>
          <w:rFonts w:ascii="宋体" w:hAnsi="宋体" w:eastAsia="宋体" w:cs="宋体"/>
        </w:rPr>
        <w:t>材料，必须符合国家标准与行业规范，确保其达到质量、安全、环保等要求，其规格、型号、材质、颜色、档次等</w:t>
      </w:r>
      <w:r>
        <w:rPr>
          <w:rFonts w:hint="eastAsia" w:ascii="宋体" w:hAnsi="宋体" w:eastAsia="宋体" w:cs="宋体"/>
        </w:rPr>
        <w:t>满足</w:t>
      </w:r>
      <w:r>
        <w:rPr>
          <w:rFonts w:hint="eastAsia" w:ascii="宋体" w:hAnsi="宋体" w:eastAsia="宋体" w:cs="宋体"/>
          <w:lang w:eastAsia="zh-CN"/>
        </w:rPr>
        <w:t>招标人</w:t>
      </w:r>
      <w:r>
        <w:rPr>
          <w:rFonts w:ascii="宋体" w:hAnsi="宋体" w:eastAsia="宋体" w:cs="宋体"/>
        </w:rPr>
        <w:t>要求方可进场。如需更换材料材质、型号，改变原有结构等必须征得</w:t>
      </w:r>
      <w:r>
        <w:rPr>
          <w:rFonts w:hint="eastAsia" w:ascii="宋体" w:hAnsi="宋体" w:eastAsia="宋体" w:cs="宋体"/>
          <w:lang w:eastAsia="zh-CN"/>
        </w:rPr>
        <w:t>招标人</w:t>
      </w:r>
      <w:r>
        <w:rPr>
          <w:rFonts w:ascii="宋体" w:hAnsi="宋体" w:eastAsia="宋体" w:cs="宋体"/>
        </w:rPr>
        <w:t>同意后方可实施。</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ascii="宋体" w:hAnsi="宋体" w:eastAsia="宋体" w:cs="宋体"/>
        </w:rPr>
        <w:t>2.</w:t>
      </w:r>
      <w:r>
        <w:rPr>
          <w:rFonts w:hint="eastAsia" w:ascii="宋体" w:hAnsi="宋体" w:eastAsia="宋体" w:cs="宋体"/>
          <w:lang w:val="en-US" w:eastAsia="zh-CN"/>
        </w:rPr>
        <w:t>5</w:t>
      </w:r>
      <w:r>
        <w:rPr>
          <w:rFonts w:ascii="宋体" w:hAnsi="宋体" w:eastAsia="宋体" w:cs="宋体"/>
        </w:rPr>
        <w:t>.3拆卸或更换的材料必须按</w:t>
      </w:r>
      <w:r>
        <w:rPr>
          <w:rFonts w:hint="eastAsia" w:ascii="宋体" w:hAnsi="宋体" w:eastAsia="宋体" w:cs="宋体"/>
          <w:lang w:eastAsia="zh-CN"/>
        </w:rPr>
        <w:t>招标人</w:t>
      </w:r>
      <w:r>
        <w:rPr>
          <w:rFonts w:ascii="宋体" w:hAnsi="宋体" w:eastAsia="宋体" w:cs="宋体"/>
        </w:rPr>
        <w:t>相关规定进行回收或报废处理。</w:t>
      </w:r>
    </w:p>
    <w:p>
      <w:pPr>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ascii="宋体" w:hAnsi="宋体" w:eastAsia="宋体" w:cs="宋体"/>
        </w:rPr>
        <w:t>2.</w:t>
      </w:r>
      <w:r>
        <w:rPr>
          <w:rFonts w:hint="eastAsia" w:ascii="宋体" w:hAnsi="宋体" w:eastAsia="宋体" w:cs="宋体"/>
          <w:lang w:val="en-US" w:eastAsia="zh-CN"/>
        </w:rPr>
        <w:t>5</w:t>
      </w:r>
      <w:r>
        <w:rPr>
          <w:rFonts w:ascii="宋体" w:hAnsi="宋体" w:eastAsia="宋体" w:cs="宋体"/>
        </w:rPr>
        <w:t>.4</w:t>
      </w:r>
      <w:r>
        <w:rPr>
          <w:rFonts w:hint="eastAsia" w:ascii="宋体" w:hAnsi="宋体" w:eastAsia="宋体" w:cs="宋体"/>
        </w:rPr>
        <w:t>合同执行期间，</w:t>
      </w:r>
      <w:r>
        <w:rPr>
          <w:rFonts w:hint="eastAsia" w:ascii="宋体" w:hAnsi="宋体" w:eastAsia="宋体" w:cs="宋体"/>
          <w:lang w:eastAsia="zh-CN"/>
        </w:rPr>
        <w:t>投标人</w:t>
      </w:r>
      <w:r>
        <w:rPr>
          <w:rFonts w:hint="eastAsia" w:ascii="宋体" w:hAnsi="宋体" w:eastAsia="宋体" w:cs="宋体"/>
        </w:rPr>
        <w:t>需根据项目实施情况，如需调整项目的工作内容，应经</w:t>
      </w:r>
      <w:r>
        <w:rPr>
          <w:rFonts w:hint="eastAsia" w:ascii="宋体" w:hAnsi="宋体" w:eastAsia="宋体" w:cs="宋体"/>
          <w:lang w:eastAsia="zh-CN"/>
        </w:rPr>
        <w:t>招标人</w:t>
      </w:r>
      <w:r>
        <w:rPr>
          <w:rFonts w:hint="eastAsia" w:ascii="宋体" w:hAnsi="宋体" w:eastAsia="宋体" w:cs="宋体"/>
        </w:rPr>
        <w:t>同意后，</w:t>
      </w:r>
      <w:r>
        <w:rPr>
          <w:rFonts w:hint="eastAsia" w:ascii="宋体" w:hAnsi="宋体" w:eastAsia="宋体" w:cs="宋体"/>
          <w:lang w:eastAsia="zh-CN"/>
        </w:rPr>
        <w:t>投标人</w:t>
      </w:r>
      <w:r>
        <w:rPr>
          <w:rFonts w:hint="eastAsia" w:ascii="宋体" w:hAnsi="宋体" w:eastAsia="宋体" w:cs="宋体"/>
        </w:rPr>
        <w:t>方可执行，并根据项目变更工程量核算相应的费用，按相关流程办理合同变更手续</w:t>
      </w:r>
      <w:r>
        <w:rPr>
          <w:rFonts w:ascii="宋体" w:hAnsi="宋体" w:eastAsia="宋体" w:cs="宋体"/>
        </w:rPr>
        <w:t>。</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0"/>
        <w:rPr>
          <w:rFonts w:hint="eastAsia" w:ascii="黑体" w:hAnsi="黑体" w:eastAsia="黑体" w:cs="黑体"/>
          <w:b/>
          <w:bCs/>
          <w:kern w:val="44"/>
          <w:sz w:val="24"/>
          <w:szCs w:val="24"/>
          <w:lang w:val="en-US" w:eastAsia="zh-CN" w:bidi="ar-SA"/>
        </w:rPr>
      </w:pPr>
      <w:bookmarkStart w:id="651" w:name="_Toc13203"/>
      <w:bookmarkStart w:id="652" w:name="_Toc23086"/>
      <w:bookmarkStart w:id="653" w:name="_Toc79434369"/>
      <w:bookmarkStart w:id="654" w:name="_Toc5021"/>
      <w:bookmarkStart w:id="655" w:name="_Toc29870"/>
      <w:bookmarkStart w:id="656" w:name="_Toc17627"/>
      <w:bookmarkStart w:id="657" w:name="_Toc1374"/>
      <w:bookmarkStart w:id="658" w:name="_Toc12681"/>
      <w:bookmarkStart w:id="659" w:name="_Toc2775"/>
      <w:bookmarkStart w:id="660" w:name="_Toc19180"/>
      <w:bookmarkStart w:id="661" w:name="_Toc60212991"/>
      <w:bookmarkStart w:id="662" w:name="_Toc25561"/>
      <w:bookmarkStart w:id="663" w:name="_Toc31045"/>
      <w:bookmarkStart w:id="664" w:name="_Toc19347"/>
      <w:bookmarkStart w:id="665" w:name="_Toc7849"/>
      <w:bookmarkStart w:id="666" w:name="_Toc6924"/>
      <w:bookmarkStart w:id="667" w:name="_Toc9813"/>
      <w:bookmarkStart w:id="668" w:name="_Toc19856"/>
      <w:bookmarkStart w:id="669" w:name="_Toc11294"/>
      <w:bookmarkStart w:id="670" w:name="_Toc16816"/>
      <w:bookmarkStart w:id="671" w:name="_Toc25584"/>
      <w:bookmarkStart w:id="672" w:name="_Toc17828"/>
      <w:bookmarkStart w:id="673" w:name="_Toc26148"/>
      <w:bookmarkStart w:id="674" w:name="_Toc24617"/>
      <w:bookmarkStart w:id="675" w:name="_Toc15544"/>
      <w:bookmarkStart w:id="676" w:name="_Toc10404"/>
      <w:bookmarkStart w:id="677" w:name="_Toc32388"/>
      <w:bookmarkStart w:id="678" w:name="_Toc6891"/>
      <w:bookmarkStart w:id="679" w:name="_Toc26896"/>
      <w:bookmarkStart w:id="680" w:name="_Toc17622"/>
      <w:bookmarkStart w:id="681" w:name="_Toc14072"/>
      <w:bookmarkStart w:id="682" w:name="_Toc10468"/>
      <w:bookmarkStart w:id="683" w:name="_Toc29381"/>
      <w:r>
        <w:rPr>
          <w:rFonts w:hint="eastAsia" w:ascii="黑体" w:hAnsi="黑体" w:eastAsia="黑体" w:cs="黑体"/>
          <w:b/>
          <w:bCs/>
          <w:kern w:val="44"/>
          <w:sz w:val="24"/>
          <w:szCs w:val="24"/>
          <w:lang w:val="en-US" w:eastAsia="zh-CN" w:bidi="ar-SA"/>
        </w:rPr>
        <w:t>3项目技术标准及规范、施工设施清单及</w:t>
      </w:r>
      <w:bookmarkEnd w:id="636"/>
      <w:bookmarkEnd w:id="637"/>
      <w:bookmarkStart w:id="684" w:name="_Toc20818"/>
      <w:bookmarkStart w:id="685" w:name="_Toc534969207"/>
      <w:r>
        <w:rPr>
          <w:rFonts w:hint="eastAsia" w:ascii="黑体" w:hAnsi="黑体" w:eastAsia="黑体" w:cs="黑体"/>
          <w:b/>
          <w:bCs/>
          <w:kern w:val="44"/>
          <w:sz w:val="24"/>
          <w:szCs w:val="24"/>
          <w:lang w:val="en-US" w:eastAsia="zh-CN" w:bidi="ar-SA"/>
        </w:rPr>
        <w:t>内容</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686" w:name="_Toc16638"/>
      <w:bookmarkStart w:id="687" w:name="_Toc14088"/>
      <w:bookmarkStart w:id="688" w:name="_Toc16128"/>
      <w:bookmarkStart w:id="689" w:name="_Toc15203"/>
      <w:bookmarkStart w:id="690" w:name="_Toc25181"/>
      <w:bookmarkStart w:id="691" w:name="_Toc28446"/>
      <w:bookmarkStart w:id="692" w:name="_Toc16999"/>
      <w:bookmarkStart w:id="693" w:name="_Toc18364"/>
      <w:bookmarkStart w:id="694" w:name="_Toc6463"/>
      <w:bookmarkStart w:id="695" w:name="_Toc30968"/>
      <w:bookmarkStart w:id="696" w:name="_Toc11961"/>
      <w:bookmarkStart w:id="697" w:name="_Toc4830"/>
      <w:bookmarkStart w:id="698" w:name="_Toc11311"/>
      <w:bookmarkStart w:id="699" w:name="_Toc6359"/>
      <w:bookmarkStart w:id="700" w:name="_Toc26923"/>
      <w:bookmarkStart w:id="701" w:name="_Toc30122"/>
      <w:bookmarkStart w:id="702" w:name="_Toc27706"/>
      <w:bookmarkStart w:id="703" w:name="_Toc17179"/>
      <w:bookmarkStart w:id="704" w:name="_Toc30447"/>
      <w:bookmarkStart w:id="705" w:name="_Toc24757"/>
      <w:bookmarkStart w:id="706" w:name="_Toc27353"/>
      <w:bookmarkStart w:id="707" w:name="_Toc32639"/>
      <w:bookmarkStart w:id="708" w:name="_Toc26147"/>
      <w:bookmarkStart w:id="709" w:name="_Toc5416"/>
      <w:bookmarkStart w:id="710" w:name="_Toc5555"/>
      <w:bookmarkStart w:id="711" w:name="_Toc79434370"/>
      <w:bookmarkStart w:id="712" w:name="_Toc3666"/>
      <w:bookmarkStart w:id="713" w:name="_Toc32144"/>
      <w:bookmarkStart w:id="714" w:name="_Toc20472"/>
      <w:bookmarkStart w:id="715" w:name="_Toc21600"/>
      <w:bookmarkStart w:id="716" w:name="_Toc17316"/>
      <w:bookmarkStart w:id="717" w:name="_Toc1978"/>
      <w:bookmarkStart w:id="718" w:name="_Toc27049"/>
      <w:bookmarkStart w:id="719" w:name="_Toc20582"/>
      <w:bookmarkStart w:id="720" w:name="_Toc19296"/>
      <w:bookmarkStart w:id="721" w:name="_Toc2961"/>
      <w:bookmarkStart w:id="722" w:name="_Toc28891"/>
      <w:bookmarkStart w:id="723" w:name="_Toc2089"/>
      <w:bookmarkStart w:id="724" w:name="_Toc25001"/>
      <w:bookmarkStart w:id="725" w:name="_Toc60212992"/>
      <w:bookmarkStart w:id="726" w:name="_Toc26067"/>
      <w:bookmarkStart w:id="727" w:name="_Toc8375"/>
      <w:bookmarkStart w:id="728" w:name="_Toc18146"/>
      <w:bookmarkStart w:id="729" w:name="_Toc7391"/>
      <w:bookmarkStart w:id="730" w:name="_Toc9972"/>
      <w:bookmarkStart w:id="731" w:name="_Toc18758"/>
      <w:r>
        <w:rPr>
          <w:rFonts w:hint="eastAsia" w:ascii="宋体" w:hAnsi="宋体" w:eastAsia="宋体" w:cs="宋体"/>
          <w:b/>
          <w:bCs/>
          <w:kern w:val="44"/>
          <w:sz w:val="21"/>
          <w:szCs w:val="21"/>
          <w:lang w:val="en-US" w:eastAsia="zh-CN" w:bidi="ar-SA"/>
        </w:rPr>
        <w:t>3.1国家相关技术标准及规范</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Start w:id="732" w:name="_Toc25015"/>
      <w:bookmarkStart w:id="733" w:name="_Toc534969208"/>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各类标准即国家及行业相关标准，</w:t>
      </w:r>
      <w:r>
        <w:rPr>
          <w:rFonts w:hint="eastAsia" w:ascii="宋体" w:hAnsi="宋体" w:eastAsia="宋体" w:cs="宋体"/>
          <w:lang w:eastAsia="zh-CN"/>
        </w:rPr>
        <w:t>招标人</w:t>
      </w:r>
      <w:r>
        <w:rPr>
          <w:rFonts w:hint="eastAsia" w:ascii="宋体" w:hAnsi="宋体" w:eastAsia="宋体" w:cs="宋体"/>
        </w:rPr>
        <w:t>相关标准，满足下列标准或要求，如有最新版本，按新版本执行。</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734" w:name="_Toc27163"/>
      <w:bookmarkStart w:id="735" w:name="_Toc27055"/>
      <w:bookmarkStart w:id="736" w:name="_Toc25085"/>
      <w:bookmarkStart w:id="737" w:name="_Toc26869"/>
      <w:bookmarkStart w:id="738" w:name="_Toc28083"/>
      <w:bookmarkStart w:id="739" w:name="_Toc22952"/>
      <w:bookmarkStart w:id="740" w:name="_Toc8365"/>
      <w:bookmarkStart w:id="741" w:name="_Toc20179"/>
      <w:bookmarkStart w:id="742" w:name="_Toc4093"/>
      <w:bookmarkStart w:id="743" w:name="_Toc10390"/>
      <w:r>
        <w:rPr>
          <w:rFonts w:hint="eastAsia" w:ascii="宋体" w:hAnsi="宋体" w:eastAsia="宋体" w:cs="宋体"/>
        </w:rPr>
        <w:t>3.1.1国家相关规范、地铁行业标准，包括不限于:</w:t>
      </w:r>
      <w:bookmarkEnd w:id="734"/>
      <w:bookmarkEnd w:id="735"/>
      <w:bookmarkEnd w:id="736"/>
      <w:bookmarkEnd w:id="737"/>
      <w:bookmarkEnd w:id="738"/>
      <w:bookmarkEnd w:id="739"/>
      <w:bookmarkEnd w:id="740"/>
      <w:bookmarkEnd w:id="741"/>
      <w:bookmarkEnd w:id="742"/>
      <w:bookmarkEnd w:id="743"/>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ascii="宋体" w:hAnsi="宋体" w:eastAsia="宋体" w:cs="宋体"/>
        </w:rPr>
        <w:t>《低压配电设计规范》（GB 50054-2011）</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w:t>
      </w:r>
      <w:r>
        <w:rPr>
          <w:rFonts w:hint="eastAsia" w:ascii="宋体" w:hAnsi="宋体" w:eastAsia="宋体" w:cs="宋体"/>
          <w:color w:val="000000"/>
          <w:kern w:val="2"/>
        </w:rPr>
        <w:t>电力工程电缆设计规范</w:t>
      </w:r>
      <w:r>
        <w:rPr>
          <w:rFonts w:hint="eastAsia" w:ascii="宋体" w:hAnsi="宋体" w:eastAsia="宋体" w:cs="宋体"/>
        </w:rPr>
        <w:t>》（</w:t>
      </w:r>
      <w:r>
        <w:rPr>
          <w:rFonts w:hint="eastAsia" w:ascii="宋体" w:hAnsi="宋体" w:eastAsia="宋体" w:cs="宋体"/>
          <w:color w:val="000000"/>
          <w:kern w:val="2"/>
        </w:rPr>
        <w:t>GB 50217-2007</w:t>
      </w:r>
      <w:r>
        <w:rPr>
          <w:rFonts w:hint="eastAsia" w:ascii="宋体" w:hAnsi="宋体" w:eastAsia="宋体" w:cs="宋体"/>
        </w:rPr>
        <w:t>）</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w:t>
      </w:r>
      <w:r>
        <w:rPr>
          <w:rFonts w:hint="eastAsia" w:ascii="宋体" w:hAnsi="宋体" w:eastAsia="宋体" w:cs="宋体"/>
          <w:color w:val="000000"/>
          <w:kern w:val="2"/>
        </w:rPr>
        <w:t>工业与民用电力装置的接地设计规范</w:t>
      </w:r>
      <w:r>
        <w:rPr>
          <w:rFonts w:hint="eastAsia" w:ascii="宋体" w:hAnsi="宋体" w:eastAsia="宋体" w:cs="宋体"/>
        </w:rPr>
        <w:t>》（</w:t>
      </w:r>
      <w:r>
        <w:rPr>
          <w:rFonts w:hint="eastAsia" w:ascii="宋体" w:hAnsi="宋体" w:eastAsia="宋体" w:cs="宋体"/>
          <w:color w:val="000000"/>
          <w:kern w:val="2"/>
        </w:rPr>
        <w:t>GBJ65-83</w:t>
      </w:r>
      <w:r>
        <w:rPr>
          <w:rFonts w:hint="eastAsia" w:ascii="宋体" w:hAnsi="宋体" w:eastAsia="宋体" w:cs="宋体"/>
        </w:rPr>
        <w:t>）</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w:t>
      </w:r>
      <w:r>
        <w:rPr>
          <w:rFonts w:hint="eastAsia" w:ascii="宋体" w:hAnsi="宋体" w:eastAsia="宋体" w:cs="宋体"/>
          <w:color w:val="000000"/>
          <w:kern w:val="2"/>
        </w:rPr>
        <w:t>供配电系统设计规范</w:t>
      </w:r>
      <w:r>
        <w:rPr>
          <w:rFonts w:hint="eastAsia" w:ascii="宋体" w:hAnsi="宋体" w:eastAsia="宋体" w:cs="宋体"/>
        </w:rPr>
        <w:t>》（</w:t>
      </w:r>
      <w:r>
        <w:rPr>
          <w:rFonts w:hint="eastAsia" w:ascii="宋体" w:hAnsi="宋体" w:eastAsia="宋体" w:cs="宋体"/>
          <w:color w:val="000000"/>
          <w:kern w:val="2"/>
        </w:rPr>
        <w:t>GB 50052-2009</w:t>
      </w:r>
      <w:r>
        <w:rPr>
          <w:rFonts w:hint="eastAsia" w:ascii="宋体" w:hAnsi="宋体" w:eastAsia="宋体" w:cs="宋体"/>
        </w:rPr>
        <w:t>）</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w:t>
      </w:r>
      <w:r>
        <w:rPr>
          <w:rFonts w:hint="eastAsia" w:ascii="宋体" w:hAnsi="宋体" w:eastAsia="宋体" w:cs="宋体"/>
          <w:color w:val="000000"/>
          <w:kern w:val="2"/>
        </w:rPr>
        <w:t>电动汽车充电站设计规范</w:t>
      </w:r>
      <w:r>
        <w:rPr>
          <w:rFonts w:hint="eastAsia" w:ascii="宋体" w:hAnsi="宋体" w:eastAsia="宋体" w:cs="宋体"/>
        </w:rPr>
        <w:t>》（</w:t>
      </w:r>
      <w:r>
        <w:rPr>
          <w:rFonts w:hint="eastAsia" w:ascii="宋体" w:hAnsi="宋体" w:eastAsia="宋体" w:cs="宋体"/>
          <w:color w:val="000000"/>
          <w:kern w:val="2"/>
        </w:rPr>
        <w:t>GB 50966-2014</w:t>
      </w:r>
      <w:r>
        <w:rPr>
          <w:rFonts w:hint="eastAsia" w:ascii="宋体" w:hAnsi="宋体" w:eastAsia="宋体" w:cs="宋体"/>
        </w:rPr>
        <w:t>）</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《工业建筑防腐蚀设计规范》（GB50046-20</w:t>
      </w:r>
      <w:r>
        <w:rPr>
          <w:rFonts w:ascii="宋体" w:hAnsi="宋体" w:eastAsia="宋体" w:cs="宋体"/>
        </w:rPr>
        <w:t>1</w:t>
      </w:r>
      <w:r>
        <w:rPr>
          <w:rFonts w:hint="eastAsia" w:ascii="宋体" w:hAnsi="宋体" w:eastAsia="宋体" w:cs="宋体"/>
        </w:rPr>
        <w:t>8）</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《建筑工程施工质量验收统一标准》（GB50300-2013）</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《轨道交通装饰装修工程施工质量验收标准》（QGD-015-2005）</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744" w:name="_Toc14659"/>
      <w:bookmarkStart w:id="745" w:name="_Toc28348"/>
      <w:bookmarkStart w:id="746" w:name="_Toc16630"/>
      <w:bookmarkStart w:id="747" w:name="_Toc272"/>
      <w:bookmarkStart w:id="748" w:name="_Toc22798"/>
      <w:bookmarkStart w:id="749" w:name="_Toc12667"/>
      <w:bookmarkStart w:id="750" w:name="_Toc6557"/>
      <w:bookmarkStart w:id="751" w:name="_Toc8080"/>
      <w:bookmarkStart w:id="752" w:name="_Toc2405"/>
      <w:bookmarkStart w:id="753" w:name="_Toc16398"/>
      <w:r>
        <w:rPr>
          <w:rFonts w:hint="eastAsia" w:ascii="宋体" w:hAnsi="宋体" w:eastAsia="宋体" w:cs="宋体"/>
        </w:rPr>
        <w:t>3.1.2标准适用原则</w:t>
      </w:r>
      <w:bookmarkEnd w:id="744"/>
      <w:bookmarkEnd w:id="745"/>
      <w:bookmarkEnd w:id="746"/>
      <w:bookmarkEnd w:id="747"/>
      <w:bookmarkEnd w:id="748"/>
      <w:bookmarkEnd w:id="749"/>
      <w:bookmarkEnd w:id="750"/>
      <w:bookmarkEnd w:id="751"/>
      <w:bookmarkEnd w:id="752"/>
      <w:bookmarkEnd w:id="753"/>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满足下列标准或要求，如有最新版本，按新版本执行：</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lang w:eastAsia="zh-CN"/>
        </w:rPr>
        <w:t>招标人</w:t>
      </w:r>
      <w:r>
        <w:rPr>
          <w:rFonts w:hint="eastAsia" w:ascii="宋体" w:hAnsi="宋体" w:eastAsia="宋体" w:cs="宋体"/>
        </w:rPr>
        <w:t>的各种会议纪要、决议、通知等；</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lang w:eastAsia="zh-CN"/>
        </w:rPr>
        <w:t>招标人</w:t>
      </w:r>
      <w:r>
        <w:rPr>
          <w:rFonts w:hint="eastAsia" w:ascii="宋体" w:hAnsi="宋体" w:eastAsia="宋体" w:cs="宋体"/>
        </w:rPr>
        <w:t>的企业标准；</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lang w:eastAsia="zh-CN"/>
        </w:rPr>
        <w:t>招标人</w:t>
      </w:r>
      <w:r>
        <w:rPr>
          <w:rFonts w:hint="eastAsia" w:ascii="宋体" w:hAnsi="宋体" w:eastAsia="宋体" w:cs="宋体"/>
        </w:rPr>
        <w:t>的规章制度；</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地铁行业规范；</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相关行业出版的专业书籍、文献、教材等；</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以上均未涉及的，由</w:t>
      </w:r>
      <w:r>
        <w:rPr>
          <w:rFonts w:hint="eastAsia" w:ascii="宋体" w:hAnsi="宋体" w:eastAsia="宋体" w:cs="宋体"/>
          <w:lang w:eastAsia="zh-CN"/>
        </w:rPr>
        <w:t>招标人</w:t>
      </w:r>
      <w:r>
        <w:rPr>
          <w:rFonts w:hint="eastAsia" w:ascii="宋体" w:hAnsi="宋体" w:eastAsia="宋体" w:cs="宋体"/>
        </w:rPr>
        <w:t>与</w:t>
      </w:r>
      <w:r>
        <w:rPr>
          <w:rFonts w:hint="eastAsia" w:ascii="宋体" w:hAnsi="宋体" w:eastAsia="宋体" w:cs="宋体"/>
          <w:lang w:eastAsia="zh-CN"/>
        </w:rPr>
        <w:t>投标人</w:t>
      </w:r>
      <w:r>
        <w:rPr>
          <w:rFonts w:hint="eastAsia" w:ascii="宋体" w:hAnsi="宋体" w:eastAsia="宋体" w:cs="宋体"/>
        </w:rPr>
        <w:t>共同商定。</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754" w:name="_Toc20704"/>
      <w:bookmarkStart w:id="755" w:name="_Toc8047"/>
      <w:bookmarkStart w:id="756" w:name="_Toc12922"/>
      <w:bookmarkStart w:id="757" w:name="_Toc16203"/>
      <w:bookmarkStart w:id="758" w:name="_Toc16260"/>
      <w:bookmarkStart w:id="759" w:name="_Toc16322"/>
      <w:bookmarkStart w:id="760" w:name="_Toc27304"/>
      <w:bookmarkStart w:id="761" w:name="_Toc24807"/>
      <w:bookmarkStart w:id="762" w:name="_Toc25492"/>
      <w:bookmarkStart w:id="763" w:name="_Toc17435"/>
      <w:bookmarkStart w:id="764" w:name="_Toc4043"/>
      <w:bookmarkStart w:id="765" w:name="_Toc5624"/>
      <w:bookmarkStart w:id="766" w:name="_Toc3680"/>
      <w:bookmarkStart w:id="767" w:name="_Toc15072"/>
      <w:bookmarkStart w:id="768" w:name="_Toc23091"/>
      <w:bookmarkStart w:id="769" w:name="_Toc16572"/>
      <w:bookmarkStart w:id="770" w:name="_Toc5643"/>
      <w:bookmarkStart w:id="771" w:name="_Toc790"/>
      <w:bookmarkStart w:id="772" w:name="_Toc24180"/>
      <w:bookmarkStart w:id="773" w:name="_Toc21633"/>
      <w:bookmarkStart w:id="774" w:name="_Toc8535"/>
      <w:bookmarkStart w:id="775" w:name="_Toc12638"/>
      <w:bookmarkStart w:id="776" w:name="_Toc11861"/>
      <w:bookmarkStart w:id="777" w:name="_Toc14764"/>
      <w:bookmarkStart w:id="778" w:name="_Toc18838"/>
      <w:bookmarkStart w:id="779" w:name="_Toc31019"/>
      <w:bookmarkStart w:id="780" w:name="_Toc7403"/>
      <w:bookmarkStart w:id="781" w:name="_Toc10691"/>
      <w:bookmarkStart w:id="782" w:name="_Toc29199"/>
      <w:bookmarkStart w:id="783" w:name="_Toc5829"/>
      <w:bookmarkStart w:id="784" w:name="_Toc17238"/>
      <w:bookmarkStart w:id="785" w:name="_Toc31381"/>
      <w:bookmarkStart w:id="786" w:name="_Toc30882"/>
      <w:bookmarkStart w:id="787" w:name="_Toc2364"/>
      <w:bookmarkStart w:id="788" w:name="_Toc13251"/>
      <w:bookmarkStart w:id="789" w:name="_Toc13393"/>
      <w:bookmarkStart w:id="790" w:name="_Toc480"/>
      <w:bookmarkStart w:id="791" w:name="_Toc13876"/>
      <w:bookmarkStart w:id="792" w:name="_Toc14833"/>
      <w:bookmarkStart w:id="793" w:name="_Toc10601"/>
      <w:bookmarkStart w:id="794" w:name="_Toc28827"/>
      <w:bookmarkStart w:id="795" w:name="_Toc24529"/>
      <w:bookmarkStart w:id="796" w:name="_Toc10934"/>
      <w:bookmarkStart w:id="797" w:name="_Toc7929"/>
      <w:bookmarkStart w:id="798" w:name="_Toc79434371"/>
      <w:bookmarkStart w:id="799" w:name="_Toc60212993"/>
      <w:bookmarkStart w:id="800" w:name="_Toc12111"/>
      <w:bookmarkStart w:id="801" w:name="_Toc6188"/>
      <w:r>
        <w:rPr>
          <w:rFonts w:hint="eastAsia" w:ascii="宋体" w:hAnsi="宋体" w:eastAsia="宋体" w:cs="宋体"/>
          <w:b/>
          <w:bCs/>
          <w:kern w:val="44"/>
          <w:sz w:val="21"/>
          <w:szCs w:val="21"/>
          <w:lang w:val="en-US" w:eastAsia="zh-CN" w:bidi="ar-SA"/>
        </w:rPr>
        <w:t>3.2充电桩施工相关规程</w:t>
      </w:r>
      <w:bookmarkEnd w:id="732"/>
      <w:bookmarkEnd w:id="73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ageBreakBefore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宋体"/>
          <w:lang w:eastAsia="zh-CN"/>
        </w:rPr>
      </w:pPr>
      <w:r>
        <w:rPr>
          <w:rFonts w:hint="eastAsia" w:ascii="宋体" w:hAnsi="宋体" w:eastAsia="宋体" w:cs="宋体"/>
          <w:lang w:eastAsia="zh-CN"/>
        </w:rPr>
        <w:t>招标人</w:t>
      </w:r>
      <w:r>
        <w:rPr>
          <w:rFonts w:ascii="宋体" w:hAnsi="宋体" w:eastAsia="宋体" w:cs="宋体"/>
        </w:rPr>
        <w:t>内部标准《运营公司建设施工安全管理实施细则》</w:t>
      </w:r>
      <w:r>
        <w:rPr>
          <w:rFonts w:hint="eastAsia" w:ascii="宋体" w:hAnsi="宋体" w:eastAsia="宋体" w:cs="宋体"/>
          <w:lang w:eastAsia="zh-CN"/>
        </w:rPr>
        <w:t>；</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宋体"/>
          <w:lang w:eastAsia="zh-CN"/>
        </w:rPr>
      </w:pPr>
      <w:r>
        <w:rPr>
          <w:rFonts w:hint="eastAsia" w:ascii="宋体" w:hAnsi="宋体" w:eastAsia="宋体" w:cs="宋体"/>
          <w:lang w:eastAsia="zh-CN"/>
        </w:rPr>
        <w:t>招标人</w:t>
      </w:r>
      <w:r>
        <w:rPr>
          <w:rFonts w:hint="eastAsia" w:ascii="宋体" w:hAnsi="宋体" w:eastAsia="宋体" w:cs="宋体"/>
        </w:rPr>
        <w:t>内部标准《运营公司施工管理规定》</w:t>
      </w:r>
      <w:r>
        <w:rPr>
          <w:rFonts w:hint="eastAsia" w:ascii="宋体" w:hAnsi="宋体" w:eastAsia="宋体" w:cs="宋体"/>
          <w:lang w:eastAsia="zh-CN"/>
        </w:rPr>
        <w:t>；</w:t>
      </w:r>
    </w:p>
    <w:p>
      <w:pPr>
        <w:pageBreakBefore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lang w:eastAsia="zh-CN"/>
        </w:rPr>
        <w:t>招标人</w:t>
      </w:r>
      <w:r>
        <w:rPr>
          <w:rFonts w:hint="eastAsia" w:ascii="宋体" w:hAnsi="宋体" w:eastAsia="宋体" w:cs="宋体"/>
        </w:rPr>
        <w:t>设备安装</w:t>
      </w:r>
      <w:r>
        <w:rPr>
          <w:rFonts w:ascii="宋体" w:hAnsi="宋体" w:eastAsia="宋体" w:cs="宋体"/>
        </w:rPr>
        <w:t>施工</w:t>
      </w:r>
      <w:r>
        <w:rPr>
          <w:rFonts w:hint="eastAsia" w:ascii="宋体" w:hAnsi="宋体" w:eastAsia="宋体" w:cs="宋体"/>
        </w:rPr>
        <w:t>相关规程，</w:t>
      </w:r>
      <w:r>
        <w:rPr>
          <w:rFonts w:ascii="宋体" w:hAnsi="宋体" w:eastAsia="宋体" w:cs="宋体"/>
        </w:rPr>
        <w:t>中标</w:t>
      </w:r>
      <w:r>
        <w:rPr>
          <w:rFonts w:hint="eastAsia" w:ascii="宋体" w:hAnsi="宋体" w:eastAsia="宋体" w:cs="宋体"/>
        </w:rPr>
        <w:t>后由</w:t>
      </w:r>
      <w:r>
        <w:rPr>
          <w:rFonts w:hint="eastAsia" w:ascii="宋体" w:hAnsi="宋体" w:eastAsia="宋体" w:cs="宋体"/>
          <w:lang w:eastAsia="zh-CN"/>
        </w:rPr>
        <w:t>招标人</w:t>
      </w:r>
      <w:r>
        <w:rPr>
          <w:rFonts w:hint="eastAsia" w:ascii="宋体" w:hAnsi="宋体" w:eastAsia="宋体" w:cs="宋体"/>
        </w:rPr>
        <w:t>提供。</w:t>
      </w:r>
      <w:r>
        <w:rPr>
          <w:rFonts w:hint="eastAsia" w:ascii="宋体" w:hAnsi="宋体" w:eastAsia="宋体" w:cs="宋体"/>
          <w:lang w:eastAsia="zh-CN"/>
        </w:rPr>
        <w:t>投标人</w:t>
      </w:r>
      <w:r>
        <w:rPr>
          <w:rFonts w:hint="eastAsia" w:ascii="宋体" w:hAnsi="宋体" w:eastAsia="宋体" w:cs="宋体"/>
        </w:rPr>
        <w:t>应按照</w:t>
      </w:r>
      <w:r>
        <w:rPr>
          <w:rFonts w:hint="eastAsia" w:ascii="宋体" w:hAnsi="宋体" w:eastAsia="宋体" w:cs="宋体"/>
          <w:lang w:eastAsia="zh-CN"/>
        </w:rPr>
        <w:t>招标人</w:t>
      </w:r>
      <w:r>
        <w:rPr>
          <w:rFonts w:hint="eastAsia" w:ascii="宋体" w:hAnsi="宋体" w:eastAsia="宋体" w:cs="宋体"/>
        </w:rPr>
        <w:t>发布的安全、生产管理规章制度等相关要求进行作业。当</w:t>
      </w:r>
      <w:r>
        <w:rPr>
          <w:rFonts w:hint="eastAsia" w:ascii="宋体" w:hAnsi="宋体" w:eastAsia="宋体" w:cs="宋体"/>
          <w:lang w:eastAsia="zh-CN"/>
        </w:rPr>
        <w:t>招标人</w:t>
      </w:r>
      <w:r>
        <w:rPr>
          <w:rFonts w:hint="eastAsia" w:ascii="宋体" w:hAnsi="宋体" w:eastAsia="宋体" w:cs="宋体"/>
        </w:rPr>
        <w:t>对以上标准、规程等进行修订后，均以最新发布文本为准，</w:t>
      </w:r>
      <w:r>
        <w:rPr>
          <w:rFonts w:ascii="宋体" w:hAnsi="宋体" w:eastAsia="宋体" w:cs="宋体"/>
        </w:rPr>
        <w:t>中标人</w:t>
      </w:r>
      <w:r>
        <w:rPr>
          <w:rFonts w:hint="eastAsia" w:ascii="宋体" w:hAnsi="宋体" w:eastAsia="宋体" w:cs="宋体"/>
        </w:rPr>
        <w:t>必须严格遵从。</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802" w:name="_Toc534969209"/>
      <w:bookmarkStart w:id="803" w:name="_Toc7024"/>
      <w:bookmarkStart w:id="804" w:name="_Toc9618"/>
      <w:bookmarkStart w:id="805" w:name="_Toc25054"/>
      <w:bookmarkStart w:id="806" w:name="_Toc8972"/>
      <w:bookmarkStart w:id="807" w:name="_Toc12323"/>
      <w:bookmarkStart w:id="808" w:name="_Toc60212994"/>
      <w:bookmarkStart w:id="809" w:name="_Toc79434372"/>
      <w:bookmarkStart w:id="810" w:name="_Toc32648"/>
      <w:bookmarkStart w:id="811" w:name="_Toc17408"/>
      <w:bookmarkStart w:id="812" w:name="_Toc31566"/>
      <w:bookmarkStart w:id="813" w:name="_Toc21909"/>
      <w:bookmarkStart w:id="814" w:name="_Toc24582"/>
      <w:bookmarkStart w:id="815" w:name="_Toc13525"/>
      <w:bookmarkStart w:id="816" w:name="_Toc18670"/>
      <w:bookmarkStart w:id="817" w:name="_Toc11743"/>
      <w:bookmarkStart w:id="818" w:name="_Toc31710"/>
      <w:bookmarkStart w:id="819" w:name="_Toc2981"/>
      <w:bookmarkStart w:id="820" w:name="_Toc17054"/>
      <w:bookmarkStart w:id="821" w:name="_Toc4640"/>
      <w:bookmarkStart w:id="822" w:name="_Toc28824"/>
      <w:bookmarkStart w:id="823" w:name="_Toc3970"/>
      <w:bookmarkStart w:id="824" w:name="_Toc23484"/>
      <w:bookmarkStart w:id="825" w:name="_Toc19547"/>
      <w:bookmarkStart w:id="826" w:name="_Toc21576"/>
      <w:bookmarkStart w:id="827" w:name="_Toc13737"/>
      <w:bookmarkStart w:id="828" w:name="_Toc15161"/>
      <w:bookmarkStart w:id="829" w:name="_Toc5898"/>
      <w:bookmarkStart w:id="830" w:name="_Toc11111"/>
      <w:bookmarkStart w:id="831" w:name="_Toc4832"/>
      <w:bookmarkStart w:id="832" w:name="_Toc15039"/>
      <w:bookmarkStart w:id="833" w:name="_Toc13907"/>
      <w:bookmarkStart w:id="834" w:name="_Toc4869"/>
      <w:bookmarkStart w:id="835" w:name="_Toc4539"/>
      <w:bookmarkStart w:id="836" w:name="_Toc7014"/>
      <w:bookmarkStart w:id="837" w:name="_Toc12975"/>
      <w:bookmarkStart w:id="838" w:name="_Toc8313"/>
      <w:bookmarkStart w:id="839" w:name="_Toc20616"/>
      <w:bookmarkStart w:id="840" w:name="_Toc7729"/>
      <w:bookmarkStart w:id="841" w:name="_Toc18186"/>
      <w:bookmarkStart w:id="842" w:name="_Toc21772"/>
      <w:bookmarkStart w:id="843" w:name="_Toc31439"/>
      <w:bookmarkStart w:id="844" w:name="_Toc3456"/>
      <w:bookmarkStart w:id="845" w:name="_Toc2541"/>
      <w:bookmarkStart w:id="846" w:name="_Toc17309"/>
      <w:bookmarkStart w:id="847" w:name="_Toc2385"/>
      <w:bookmarkStart w:id="848" w:name="_Toc11997"/>
      <w:bookmarkStart w:id="849" w:name="_Toc15054"/>
      <w:r>
        <w:rPr>
          <w:rFonts w:hint="eastAsia" w:ascii="宋体" w:hAnsi="宋体" w:eastAsia="宋体" w:cs="宋体"/>
          <w:b/>
          <w:bCs/>
          <w:kern w:val="44"/>
          <w:sz w:val="21"/>
          <w:szCs w:val="21"/>
          <w:lang w:val="en-US" w:eastAsia="zh-CN" w:bidi="ar-SA"/>
        </w:rPr>
        <w:t>3.3</w:t>
      </w:r>
      <w:bookmarkEnd w:id="802"/>
      <w:bookmarkEnd w:id="803"/>
      <w:r>
        <w:rPr>
          <w:rFonts w:hint="eastAsia" w:ascii="宋体" w:hAnsi="宋体" w:eastAsia="宋体" w:cs="宋体"/>
          <w:b/>
          <w:bCs/>
          <w:kern w:val="44"/>
          <w:sz w:val="21"/>
          <w:szCs w:val="21"/>
          <w:lang w:val="en-US" w:eastAsia="zh-CN" w:bidi="ar-SA"/>
        </w:rPr>
        <w:t>充电桩设施清单及内容</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850" w:name="_Toc534969210"/>
      <w:bookmarkStart w:id="851" w:name="_Toc19839"/>
      <w:r>
        <w:rPr>
          <w:rFonts w:hint="eastAsia" w:ascii="宋体" w:hAnsi="宋体" w:eastAsia="宋体" w:cs="宋体"/>
        </w:rPr>
        <w:t>南宁轨道交通运营有限公司2022年新能源汽车充电桩二期建设项目</w:t>
      </w:r>
      <w:r>
        <w:rPr>
          <w:rFonts w:ascii="宋体" w:hAnsi="宋体" w:eastAsia="宋体" w:cs="宋体"/>
        </w:rPr>
        <w:t>实施方案具体</w:t>
      </w:r>
      <w:r>
        <w:rPr>
          <w:rFonts w:hint="eastAsia" w:ascii="宋体" w:hAnsi="宋体" w:eastAsia="宋体" w:cs="宋体"/>
        </w:rPr>
        <w:t>安装</w:t>
      </w:r>
      <w:r>
        <w:rPr>
          <w:rFonts w:ascii="宋体" w:hAnsi="宋体" w:eastAsia="宋体" w:cs="宋体"/>
        </w:rPr>
        <w:t>设施清单</w:t>
      </w:r>
      <w:r>
        <w:rPr>
          <w:rFonts w:hint="eastAsia" w:ascii="宋体" w:hAnsi="宋体" w:eastAsia="宋体" w:cs="宋体"/>
        </w:rPr>
        <w:t>及内容</w:t>
      </w:r>
      <w:r>
        <w:rPr>
          <w:rFonts w:ascii="宋体" w:hAnsi="宋体" w:eastAsia="宋体" w:cs="宋体"/>
        </w:rPr>
        <w:t>详见</w:t>
      </w:r>
      <w:r>
        <w:rPr>
          <w:rFonts w:hint="eastAsia" w:ascii="宋体" w:hAnsi="宋体" w:eastAsia="宋体" w:cs="宋体"/>
        </w:rPr>
        <w:t>附件1</w:t>
      </w:r>
      <w:r>
        <w:rPr>
          <w:rFonts w:ascii="宋体" w:hAnsi="宋体" w:eastAsia="宋体" w:cs="宋体"/>
        </w:rPr>
        <w:t>。</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852" w:name="_Toc3392"/>
      <w:bookmarkStart w:id="853" w:name="_Toc7710"/>
      <w:bookmarkStart w:id="854" w:name="_Toc29050"/>
      <w:bookmarkStart w:id="855" w:name="_Toc29013"/>
      <w:bookmarkStart w:id="856" w:name="_Toc5285"/>
      <w:bookmarkStart w:id="857" w:name="_Toc8668"/>
      <w:bookmarkStart w:id="858" w:name="_Toc657"/>
      <w:bookmarkStart w:id="859" w:name="_Toc10392"/>
      <w:bookmarkStart w:id="860" w:name="_Toc31668"/>
      <w:bookmarkStart w:id="861" w:name="_Toc79434373"/>
      <w:bookmarkStart w:id="862" w:name="_Toc20990"/>
      <w:bookmarkStart w:id="863" w:name="_Toc4565"/>
      <w:bookmarkStart w:id="864" w:name="_Toc4731"/>
      <w:bookmarkStart w:id="865" w:name="_Toc7003"/>
      <w:bookmarkStart w:id="866" w:name="_Toc26513"/>
      <w:bookmarkStart w:id="867" w:name="_Toc30097"/>
      <w:bookmarkStart w:id="868" w:name="_Toc30695"/>
      <w:bookmarkStart w:id="869" w:name="_Toc6515"/>
      <w:r>
        <w:rPr>
          <w:rFonts w:hint="eastAsia" w:ascii="宋体" w:hAnsi="宋体" w:eastAsia="宋体" w:cs="宋体"/>
          <w:b/>
          <w:bCs/>
          <w:kern w:val="44"/>
          <w:sz w:val="21"/>
          <w:szCs w:val="21"/>
          <w:lang w:val="en-US" w:eastAsia="zh-CN" w:bidi="ar-SA"/>
        </w:rPr>
        <w:t>3.</w:t>
      </w:r>
      <w:r>
        <w:rPr>
          <w:rFonts w:hint="eastAsia" w:ascii="宋体" w:hAnsi="宋体" w:eastAsia="宋体" w:cs="宋体"/>
          <w:b/>
          <w:bCs/>
          <w:kern w:val="44"/>
          <w:sz w:val="21"/>
          <w:szCs w:val="21"/>
          <w:highlight w:val="none"/>
          <w:lang w:val="en-US" w:eastAsia="zh-CN" w:bidi="ar-SA"/>
        </w:rPr>
        <w:t>4实施</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Fonts w:hint="eastAsia" w:ascii="宋体" w:hAnsi="宋体" w:eastAsia="宋体" w:cs="宋体"/>
          <w:b/>
          <w:bCs/>
          <w:kern w:val="44"/>
          <w:sz w:val="21"/>
          <w:szCs w:val="21"/>
          <w:highlight w:val="none"/>
          <w:lang w:val="en-US" w:eastAsia="zh-CN" w:bidi="ar-SA"/>
        </w:rPr>
        <w:t>地点</w:t>
      </w:r>
    </w:p>
    <w:p>
      <w:pPr>
        <w:pageBreakBefore w:val="0"/>
        <w:numPr>
          <w:ilvl w:val="255"/>
          <w:numId w:val="0"/>
        </w:numPr>
        <w:kinsoku/>
        <w:wordWrap/>
        <w:overflowPunct/>
        <w:topLinePunct w:val="0"/>
        <w:autoSpaceDE/>
        <w:autoSpaceDN/>
        <w:bidi w:val="0"/>
        <w:adjustRightInd/>
        <w:snapToGrid/>
        <w:spacing w:before="0" w:after="0" w:afterAutospacing="0" w:line="360" w:lineRule="auto"/>
        <w:ind w:right="0" w:firstLine="420" w:firstLineChars="200"/>
        <w:jc w:val="left"/>
        <w:textAlignment w:val="auto"/>
        <w:rPr>
          <w:rFonts w:ascii="宋体" w:hAnsi="宋体" w:eastAsia="宋体" w:cs="宋体"/>
          <w:sz w:val="24"/>
          <w:szCs w:val="24"/>
        </w:rPr>
      </w:pPr>
      <w:r>
        <w:rPr>
          <w:rFonts w:hint="eastAsia" w:ascii="宋体" w:hAnsi="宋体" w:eastAsia="宋体" w:cs="宋体"/>
        </w:rPr>
        <w:t>3.4.1那洪车辆基地综合维修楼一楼停车位充电桩配置平面图。</w:t>
      </w:r>
      <w:r>
        <w:rPr>
          <w:rFonts w:ascii="宋体" w:hAnsi="宋体" w:eastAsia="宋体" w:cs="宋体"/>
          <w:sz w:val="24"/>
          <w:szCs w:val="24"/>
        </w:rPr>
        <w:drawing>
          <wp:inline distT="0" distB="0" distL="114300" distR="114300">
            <wp:extent cx="6479540" cy="4358005"/>
            <wp:effectExtent l="0" t="0" r="16510" b="4445"/>
            <wp:docPr id="4" name="图片 4" descr="C:\Users\Anime\Desktop\微信截图_20220809102920.png微信截图_2022080910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nime\Desktop\微信截图_20220809102920.png微信截图_20220809102920"/>
                    <pic:cNvPicPr>
                      <a:picLocks noChangeAspect="1"/>
                    </pic:cNvPicPr>
                  </pic:nvPicPr>
                  <pic:blipFill>
                    <a:blip r:embed="rId17"/>
                    <a:srcRect/>
                    <a:stretch>
                      <a:fillRect/>
                    </a:stretch>
                  </pic:blipFill>
                  <pic:spPr>
                    <a:xfrm>
                      <a:off x="0" y="0"/>
                      <a:ext cx="6479540" cy="4358005"/>
                    </a:xfrm>
                    <a:prstGeom prst="rect">
                      <a:avLst/>
                    </a:prstGeom>
                  </pic:spPr>
                </pic:pic>
              </a:graphicData>
            </a:graphic>
          </wp:inline>
        </w:drawing>
      </w:r>
    </w:p>
    <w:p>
      <w:pPr>
        <w:keepNext w:val="0"/>
        <w:keepLines w:val="0"/>
        <w:pageBreakBefore w:val="0"/>
        <w:numPr>
          <w:ilvl w:val="255"/>
          <w:numId w:val="0"/>
        </w:numPr>
        <w:kinsoku/>
        <w:wordWrap/>
        <w:overflowPunct/>
        <w:topLinePunct w:val="0"/>
        <w:autoSpaceDE/>
        <w:autoSpaceDN/>
        <w:bidi w:val="0"/>
        <w:adjustRightInd/>
        <w:snapToGrid/>
        <w:spacing w:before="0" w:after="0" w:afterAutospacing="0" w:line="360" w:lineRule="auto"/>
        <w:ind w:right="0" w:firstLine="420" w:firstLineChars="200"/>
        <w:jc w:val="left"/>
        <w:textAlignment w:val="auto"/>
        <w:rPr>
          <w:rFonts w:ascii="宋体" w:hAnsi="宋体" w:eastAsia="宋体" w:cs="宋体"/>
          <w:sz w:val="24"/>
          <w:szCs w:val="24"/>
        </w:rPr>
      </w:pPr>
      <w:r>
        <w:rPr>
          <w:rFonts w:hint="eastAsia" w:ascii="宋体" w:hAnsi="宋体" w:eastAsia="宋体" w:cs="宋体"/>
        </w:rPr>
        <w:t>3.4.2电源从综合维修楼400V开关室接1个400A开关，敷设ZR-YJV22-0.6/1KV-4*70+1*35mm²电缆约135米，在综合维修楼一楼地面停车位安装16个7kw</w:t>
      </w:r>
      <w:r>
        <w:rPr>
          <w:rFonts w:hint="eastAsia" w:ascii="宋体" w:hAnsi="宋体" w:eastAsia="宋体" w:cs="宋体"/>
          <w:lang w:val="en-US" w:eastAsia="zh-CN"/>
        </w:rPr>
        <w:t>交流</w:t>
      </w:r>
      <w:r>
        <w:rPr>
          <w:rFonts w:hint="eastAsia" w:ascii="宋体" w:hAnsi="宋体" w:eastAsia="宋体" w:cs="宋体"/>
        </w:rPr>
        <w:t>充电桩。</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870" w:name="_Toc16616"/>
      <w:bookmarkStart w:id="871" w:name="_Toc8129"/>
      <w:bookmarkStart w:id="872" w:name="_Toc11955"/>
      <w:bookmarkStart w:id="873" w:name="_Toc27301"/>
      <w:bookmarkStart w:id="874" w:name="_Toc12239"/>
      <w:bookmarkStart w:id="875" w:name="_Toc25307"/>
      <w:bookmarkStart w:id="876" w:name="_Toc21705"/>
      <w:bookmarkStart w:id="877" w:name="_Toc28635"/>
      <w:bookmarkStart w:id="878" w:name="_Toc13380"/>
      <w:bookmarkStart w:id="879" w:name="_Toc4229"/>
      <w:bookmarkStart w:id="880" w:name="_Toc11727"/>
      <w:bookmarkStart w:id="881" w:name="_Toc24233"/>
      <w:bookmarkStart w:id="882" w:name="_Toc21582"/>
      <w:bookmarkStart w:id="883" w:name="_Toc32538"/>
      <w:bookmarkStart w:id="884" w:name="_Toc4901"/>
      <w:bookmarkStart w:id="885" w:name="_Toc32050"/>
      <w:bookmarkStart w:id="886" w:name="_Toc11930"/>
      <w:r>
        <w:rPr>
          <w:rFonts w:hint="eastAsia" w:ascii="宋体" w:hAnsi="宋体" w:eastAsia="宋体" w:cs="宋体"/>
          <w:b/>
          <w:bCs/>
          <w:kern w:val="44"/>
          <w:sz w:val="21"/>
          <w:szCs w:val="21"/>
          <w:lang w:val="en-US" w:eastAsia="zh-CN" w:bidi="ar-SA"/>
        </w:rPr>
        <w:t>3.5充电桩主要功能</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充电桩及相关配件需要满足以下要求的同时也需要满足技术需求清单里的相关参数（详见附件1）。</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3.5.1产品功能</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满足所有国标电动车充电使用，充电桩应至少包括（但不限于）以下功能，并在</w:t>
      </w:r>
      <w:r>
        <w:rPr>
          <w:rFonts w:hint="eastAsia" w:ascii="宋体" w:hAnsi="宋体" w:eastAsia="宋体" w:cs="宋体"/>
          <w:lang w:val="en-US" w:eastAsia="zh-CN"/>
        </w:rPr>
        <w:t>投标</w:t>
      </w:r>
      <w:r>
        <w:rPr>
          <w:rFonts w:hint="eastAsia" w:ascii="宋体" w:hAnsi="宋体" w:eastAsia="宋体" w:cs="宋体"/>
        </w:rPr>
        <w:t>申请文件中予以详细说明。</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3.5.1.1充电桩应具备输出侧漏电保护、输出侧过流保护以及短路、过压、欠压等保护功能，具备急停开关、阻燃等安全防护功能。同时，直流充电桩还应具备充电接口的连接状态判断、控制导引等完善的安全保护控制逻辑，以确保充电桩安全可靠运行。</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3.5.1.2充电桩具备充电控制功能，可通过手机APP、车辆人机界面启动和停止充电，也可设置为扫码启动充电、插枪自动启动充电、预约启动和停止充电等控制方式。</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3.5.1.3充电桩具有与电动汽车BMS或车辆控制器通信的功能，判断充电桩是否与电动汽车动力蓄电池系统正确连接，获得电动汽车BMS或车辆控制器充电参数和充电实时数据。</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ascii="宋体" w:hAnsi="宋体" w:eastAsia="宋体" w:cs="宋体"/>
        </w:rPr>
        <w:t>3.5.1.4充电</w:t>
      </w:r>
      <w:r>
        <w:rPr>
          <w:rFonts w:hint="eastAsia" w:ascii="宋体" w:hAnsi="宋体" w:eastAsia="宋体" w:cs="宋体"/>
        </w:rPr>
        <w:t>桩具有通过</w:t>
      </w:r>
      <w:r>
        <w:rPr>
          <w:rFonts w:ascii="宋体" w:hAnsi="宋体" w:eastAsia="宋体" w:cs="宋体"/>
        </w:rPr>
        <w:t>4G与云端运营管理系统通信的功能。</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3.5.1.5充电桩具有通过蓝牙与手机通信的功能。</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right="0" w:firstLine="420"/>
        <w:textAlignment w:val="auto"/>
        <w:rPr>
          <w:rFonts w:ascii="宋体" w:hAnsi="宋体" w:eastAsia="宋体" w:cs="宋体"/>
          <w:kern w:val="21"/>
        </w:rPr>
      </w:pPr>
      <w:r>
        <w:rPr>
          <w:rFonts w:hint="eastAsia" w:ascii="宋体" w:hAnsi="宋体" w:eastAsia="宋体" w:cs="宋体"/>
        </w:rPr>
        <w:t>3.5.1.6</w:t>
      </w:r>
      <w:r>
        <w:rPr>
          <w:rFonts w:hint="eastAsia" w:ascii="宋体" w:hAnsi="宋体" w:eastAsia="宋体" w:cs="宋体"/>
          <w:kern w:val="21"/>
        </w:rPr>
        <w:t>充电桩具备对直流输出回路进行绝缘检测的功能，并且充电桩的绝缘检测功能与车辆绝缘检测功能相配合。</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right="0" w:firstLine="420"/>
        <w:textAlignment w:val="auto"/>
        <w:rPr>
          <w:rFonts w:ascii="宋体" w:hAnsi="宋体" w:eastAsia="宋体" w:cs="宋体"/>
          <w:kern w:val="21"/>
        </w:rPr>
      </w:pPr>
      <w:r>
        <w:rPr>
          <w:rFonts w:hint="eastAsia" w:ascii="宋体" w:hAnsi="宋体" w:eastAsia="宋体" w:cs="宋体"/>
        </w:rPr>
        <w:t>3.5.1.7</w:t>
      </w:r>
      <w:r>
        <w:rPr>
          <w:rFonts w:hint="eastAsia" w:ascii="宋体" w:hAnsi="宋体" w:eastAsia="宋体" w:cs="宋体"/>
          <w:kern w:val="21"/>
        </w:rPr>
        <w:t>充电桩具备对直流输出回路进行短路检测的功能。当直流输出回路出现短路故障时，将停止充电过程并发出告警信息。</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right="0" w:firstLine="420"/>
        <w:textAlignment w:val="auto"/>
        <w:rPr>
          <w:rFonts w:ascii="宋体" w:hAnsi="宋体" w:eastAsia="宋体" w:cs="宋体"/>
          <w:kern w:val="21"/>
        </w:rPr>
      </w:pPr>
      <w:r>
        <w:rPr>
          <w:rFonts w:hint="eastAsia" w:ascii="宋体" w:hAnsi="宋体" w:eastAsia="宋体" w:cs="宋体"/>
        </w:rPr>
        <w:t>3.5.1.8</w:t>
      </w:r>
      <w:r>
        <w:rPr>
          <w:rFonts w:hint="eastAsia" w:ascii="宋体" w:hAnsi="宋体" w:eastAsia="宋体" w:cs="宋体"/>
          <w:kern w:val="21"/>
        </w:rPr>
        <w:t>充电枪具有锁止功能，与车辆充电插座匹配，防止充电过程中的意外断开。当充电枪未可靠锁止时，充电桩将停止充电或不启动充电。</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right="0" w:firstLine="420"/>
        <w:textAlignment w:val="auto"/>
        <w:rPr>
          <w:rFonts w:ascii="宋体" w:hAnsi="宋体" w:eastAsia="宋体" w:cs="宋体"/>
          <w:kern w:val="21"/>
        </w:rPr>
      </w:pPr>
      <w:r>
        <w:rPr>
          <w:rFonts w:hint="eastAsia" w:ascii="宋体" w:hAnsi="宋体" w:eastAsia="宋体" w:cs="宋体"/>
        </w:rPr>
        <w:t>3.5.1.9</w:t>
      </w:r>
      <w:r>
        <w:rPr>
          <w:rFonts w:hint="eastAsia" w:ascii="宋体" w:hAnsi="宋体" w:eastAsia="宋体" w:cs="宋体"/>
          <w:kern w:val="21"/>
        </w:rPr>
        <w:t>充电桩具备预充电功能，当充电桩检测到电池电压正常后，将输出电压调整到接近当前电池电压，再闭合充电桩侧的直流输出接触器。</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ascii="宋体" w:hAnsi="宋体" w:eastAsia="宋体" w:cs="宋体"/>
        </w:rPr>
        <w:t>3.5.1.10通过APP，可控制启动和停止充电，显示充电电压、电流、功率和电量、车辆电池SOC，提示故障、告警和操作指导信息，并可设置鉴权、预约、静音等配置项。</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right="0" w:firstLine="420"/>
        <w:textAlignment w:val="auto"/>
        <w:rPr>
          <w:rFonts w:ascii="宋体" w:hAnsi="宋体" w:eastAsia="宋体" w:cs="宋体"/>
          <w:kern w:val="2"/>
          <w:szCs w:val="24"/>
        </w:rPr>
      </w:pPr>
      <w:r>
        <w:rPr>
          <w:rFonts w:ascii="宋体" w:hAnsi="宋体" w:eastAsia="宋体" w:cs="宋体"/>
        </w:rPr>
        <w:t>3.5.1.11</w:t>
      </w:r>
      <w:r>
        <w:rPr>
          <w:rFonts w:hint="eastAsia" w:ascii="宋体" w:hAnsi="宋体" w:eastAsia="宋体" w:cs="宋体"/>
          <w:kern w:val="21"/>
        </w:rPr>
        <w:t>充电桩具有充电电能量进行计量的功能，计量电量可用于显示和计费。</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3.5.1.12充电桩应满足技术先进、性能稳定、可靠性高、符合环保和节能要求。</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3.5.1.13充电桩外观喷涂可按</w:t>
      </w:r>
      <w:r>
        <w:rPr>
          <w:rFonts w:hint="eastAsia" w:ascii="宋体" w:hAnsi="宋体" w:eastAsia="宋体" w:cs="宋体"/>
          <w:lang w:eastAsia="zh-CN"/>
        </w:rPr>
        <w:t>招标人</w:t>
      </w:r>
      <w:r>
        <w:rPr>
          <w:rFonts w:hint="eastAsia" w:ascii="宋体" w:hAnsi="宋体" w:eastAsia="宋体" w:cs="宋体"/>
        </w:rPr>
        <w:t>要求进行设计，充电桩体上的图案、标识和文字说明应采用丝印的形式，且颜色不易褪色和脱落，设备采购方会提供企业VI标识以进行设计。</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eastAsia="宋体" w:cs="宋体"/>
          <w:color w:val="000000"/>
          <w:kern w:val="2"/>
          <w:szCs w:val="20"/>
        </w:rPr>
      </w:pPr>
      <w:r>
        <w:rPr>
          <w:rFonts w:ascii="宋体" w:hAnsi="宋体" w:eastAsia="宋体" w:cs="宋体"/>
        </w:rPr>
        <w:t>3.5.1.14</w:t>
      </w:r>
      <w:r>
        <w:rPr>
          <w:rFonts w:hint="eastAsia" w:ascii="宋体" w:hAnsi="宋体" w:eastAsia="宋体" w:cs="宋体"/>
          <w:color w:val="000000"/>
          <w:kern w:val="2"/>
          <w:szCs w:val="20"/>
        </w:rPr>
        <w:t>支持以太网、</w:t>
      </w:r>
      <w:r>
        <w:rPr>
          <w:rFonts w:ascii="宋体" w:hAnsi="宋体" w:eastAsia="宋体" w:cs="宋体"/>
          <w:color w:val="000000"/>
          <w:kern w:val="2"/>
          <w:szCs w:val="20"/>
        </w:rPr>
        <w:t xml:space="preserve">4G/5G </w:t>
      </w:r>
      <w:r>
        <w:rPr>
          <w:rFonts w:hint="eastAsia" w:ascii="宋体" w:hAnsi="宋体" w:eastAsia="宋体" w:cs="宋体"/>
          <w:color w:val="000000"/>
          <w:kern w:val="2"/>
          <w:szCs w:val="20"/>
        </w:rPr>
        <w:t>等通信方式，可根据需要上传充电桩的运行状态参数、监测故障类型、</w:t>
      </w:r>
      <w:r>
        <w:rPr>
          <w:rFonts w:hint="eastAsia" w:ascii="宋体" w:hAnsi="宋体" w:eastAsia="宋体" w:cs="宋体"/>
        </w:rPr>
        <w:t>远程监控、远程升级等</w:t>
      </w:r>
      <w:r>
        <w:rPr>
          <w:rFonts w:hint="eastAsia" w:ascii="宋体" w:hAnsi="宋体" w:eastAsia="宋体" w:cs="宋体"/>
          <w:color w:val="000000"/>
          <w:kern w:val="2"/>
          <w:szCs w:val="20"/>
        </w:rPr>
        <w:t>，方便充电站的运行监控及智能互动平台服务。</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color w:val="000000"/>
          <w:kern w:val="2"/>
          <w:szCs w:val="20"/>
        </w:rPr>
      </w:pPr>
      <w:r>
        <w:rPr>
          <w:rFonts w:hint="eastAsia" w:ascii="宋体" w:hAnsi="宋体" w:eastAsia="宋体" w:cs="宋体"/>
        </w:rPr>
        <w:t>3.5.1.15</w:t>
      </w:r>
      <w:r>
        <w:rPr>
          <w:rFonts w:hint="eastAsia" w:ascii="宋体" w:hAnsi="宋体" w:eastAsia="宋体" w:cs="宋体"/>
          <w:color w:val="000000"/>
          <w:kern w:val="2"/>
          <w:szCs w:val="20"/>
        </w:rPr>
        <w:t>充电桩须能接入采购单位现有平台进行管理及收费，并具备与南宁轨道公司现有员工卡系统无缝对接功能。</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3.5.2安全性能</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color w:val="000000"/>
          <w:kern w:val="2"/>
          <w:szCs w:val="20"/>
        </w:rPr>
      </w:pPr>
      <w:r>
        <w:rPr>
          <w:rFonts w:hint="eastAsia" w:ascii="宋体" w:hAnsi="宋体" w:eastAsia="宋体" w:cs="宋体"/>
        </w:rPr>
        <w:t>3.5.2.1</w:t>
      </w:r>
      <w:r>
        <w:rPr>
          <w:rFonts w:hint="eastAsia" w:ascii="宋体" w:hAnsi="宋体" w:eastAsia="宋体" w:cs="宋体"/>
          <w:color w:val="000000"/>
          <w:kern w:val="2"/>
          <w:szCs w:val="20"/>
        </w:rPr>
        <w:t>采用基本绝缘作为基本防护措施，采用保护联结作为故障防护措施，危险带电部件被封闭在满足基本绝缘的接地金属外壳内；具备输出接触器粘连监测和告警功能。</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3.5.2.2非电气连接的各带电回路之间、各独立带电回路与地（金属外壳）之间，施1000Vdc、1min测试电压，绝缘电阻≥10MΩ。</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3.5.2.3非电气连接的各带电回路之间、各独立带电回路与地（金属外壳）之间，能承受历时1min的直流3360V电压；试验过程中，泄漏电流值≤10mA，试验部位未出现绝缘击穿和闪络现象。</w:t>
      </w:r>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eastAsia="宋体" w:cs="宋体"/>
          <w:color w:val="000000"/>
          <w:kern w:val="2"/>
          <w:szCs w:val="20"/>
        </w:rPr>
      </w:pPr>
      <w:r>
        <w:rPr>
          <w:rFonts w:hint="eastAsia" w:ascii="宋体" w:hAnsi="宋体" w:eastAsia="宋体" w:cs="宋体"/>
        </w:rPr>
        <w:t>3.5.2.4各带电回路、各带电电路对地（金属外壳）之间，能承受±6kV标准雷电波的短时冲击电压试验，试验过程中无击穿放电。</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3.6技术要求</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keepNext w:val="0"/>
        <w:keepLines w:val="0"/>
        <w:pageBreakBefore w:val="0"/>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rPr>
        <w:t>3.6.1</w:t>
      </w:r>
      <w:r>
        <w:rPr>
          <w:rFonts w:hint="eastAsia" w:ascii="宋体" w:hAnsi="宋体" w:eastAsia="宋体" w:cs="宋体"/>
          <w:bCs/>
          <w:kern w:val="2"/>
        </w:rPr>
        <w:t>产品要求规格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3074"/>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b/>
                <w:bCs/>
                <w:kern w:val="2"/>
                <w:sz w:val="18"/>
                <w:szCs w:val="18"/>
              </w:rPr>
            </w:pPr>
            <w:r>
              <w:rPr>
                <w:rFonts w:hint="eastAsia" w:ascii="宋体" w:hAnsi="宋体" w:eastAsia="宋体" w:cs="宋体"/>
                <w:b/>
                <w:bCs/>
                <w:kern w:val="2"/>
                <w:sz w:val="18"/>
                <w:szCs w:val="18"/>
              </w:rPr>
              <w:t>项目</w:t>
            </w:r>
          </w:p>
        </w:tc>
        <w:tc>
          <w:tcPr>
            <w:tcW w:w="307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b/>
                <w:bCs/>
                <w:kern w:val="2"/>
                <w:sz w:val="18"/>
                <w:szCs w:val="18"/>
              </w:rPr>
            </w:pPr>
            <w:r>
              <w:rPr>
                <w:rFonts w:hint="eastAsia" w:ascii="宋体" w:hAnsi="宋体" w:eastAsia="宋体" w:cs="宋体"/>
                <w:b/>
                <w:bCs/>
                <w:kern w:val="2"/>
                <w:sz w:val="18"/>
                <w:szCs w:val="18"/>
              </w:rPr>
              <w:t>参数</w:t>
            </w:r>
          </w:p>
        </w:tc>
        <w:tc>
          <w:tcPr>
            <w:tcW w:w="2844" w:type="dxa"/>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b/>
                <w:bCs/>
                <w:kern w:val="2"/>
                <w:sz w:val="18"/>
                <w:szCs w:val="18"/>
              </w:rPr>
            </w:pPr>
            <w:r>
              <w:rPr>
                <w:rFonts w:hint="eastAsia" w:ascii="宋体" w:hAnsi="宋体" w:eastAsia="宋体" w:cs="宋体"/>
                <w:b/>
                <w:bCs/>
                <w:kern w:val="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输入电压</w:t>
            </w:r>
          </w:p>
        </w:tc>
        <w:tc>
          <w:tcPr>
            <w:tcW w:w="307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单相交流220V</w:t>
            </w:r>
          </w:p>
        </w:tc>
        <w:tc>
          <w:tcPr>
            <w:tcW w:w="284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额定功率</w:t>
            </w:r>
          </w:p>
        </w:tc>
        <w:tc>
          <w:tcPr>
            <w:tcW w:w="307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ascii="宋体" w:hAnsi="宋体" w:eastAsia="宋体" w:cs="宋体"/>
                <w:kern w:val="2"/>
                <w:sz w:val="18"/>
                <w:szCs w:val="18"/>
              </w:rPr>
              <w:t>7kW</w:t>
            </w:r>
          </w:p>
        </w:tc>
        <w:tc>
          <w:tcPr>
            <w:tcW w:w="284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符合国标的电动车辆均可充电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最大输出电流</w:t>
            </w:r>
          </w:p>
        </w:tc>
        <w:tc>
          <w:tcPr>
            <w:tcW w:w="307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32A</w:t>
            </w:r>
          </w:p>
        </w:tc>
        <w:tc>
          <w:tcPr>
            <w:tcW w:w="284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使用环境温度</w:t>
            </w:r>
          </w:p>
        </w:tc>
        <w:tc>
          <w:tcPr>
            <w:tcW w:w="307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-30℃～+55℃</w:t>
            </w:r>
          </w:p>
        </w:tc>
        <w:tc>
          <w:tcPr>
            <w:tcW w:w="284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枪线长度</w:t>
            </w:r>
          </w:p>
        </w:tc>
        <w:tc>
          <w:tcPr>
            <w:tcW w:w="307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≥4</w:t>
            </w:r>
            <w:r>
              <w:rPr>
                <w:rFonts w:ascii="宋体" w:hAnsi="宋体" w:eastAsia="宋体" w:cs="宋体"/>
                <w:kern w:val="2"/>
                <w:sz w:val="18"/>
                <w:szCs w:val="18"/>
              </w:rPr>
              <w:t>.</w:t>
            </w:r>
            <w:r>
              <w:rPr>
                <w:rFonts w:hint="eastAsia" w:ascii="宋体" w:hAnsi="宋体" w:eastAsia="宋体" w:cs="宋体"/>
                <w:kern w:val="2"/>
                <w:sz w:val="18"/>
                <w:szCs w:val="18"/>
              </w:rPr>
              <w:t>5m</w:t>
            </w:r>
          </w:p>
        </w:tc>
        <w:tc>
          <w:tcPr>
            <w:tcW w:w="284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外壳防护等级</w:t>
            </w:r>
          </w:p>
        </w:tc>
        <w:tc>
          <w:tcPr>
            <w:tcW w:w="307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IP55</w:t>
            </w:r>
          </w:p>
        </w:tc>
        <w:tc>
          <w:tcPr>
            <w:tcW w:w="284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雨雪天气可室外使用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预留输入电源线长度</w:t>
            </w:r>
          </w:p>
        </w:tc>
        <w:tc>
          <w:tcPr>
            <w:tcW w:w="307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1.2m</w:t>
            </w:r>
          </w:p>
        </w:tc>
        <w:tc>
          <w:tcPr>
            <w:tcW w:w="284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主体尺寸</w:t>
            </w:r>
          </w:p>
        </w:tc>
        <w:tc>
          <w:tcPr>
            <w:tcW w:w="307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tc>
        <w:tc>
          <w:tcPr>
            <w:tcW w:w="284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体型纤薄，方便安装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鉴权方式</w:t>
            </w:r>
          </w:p>
        </w:tc>
        <w:tc>
          <w:tcPr>
            <w:tcW w:w="307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扫码充电</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即插即充</w:t>
            </w:r>
          </w:p>
        </w:tc>
        <w:tc>
          <w:tcPr>
            <w:tcW w:w="284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Calibri" w:hAnsi="Calibri" w:eastAsia="宋体" w:cs="Times New Roman"/>
                <w:kern w:val="2"/>
                <w:sz w:val="18"/>
                <w:szCs w:val="18"/>
              </w:rPr>
            </w:pPr>
            <w:r>
              <w:rPr>
                <w:rFonts w:hint="eastAsia" w:ascii="Calibri" w:hAnsi="Calibri" w:eastAsia="宋体" w:cs="Times New Roman"/>
                <w:kern w:val="2"/>
                <w:sz w:val="18"/>
                <w:szCs w:val="18"/>
              </w:rPr>
              <w:t>运营使用</w:t>
            </w:r>
          </w:p>
        </w:tc>
      </w:tr>
    </w:tbl>
    <w:p>
      <w:pPr>
        <w:pageBreakBefore w:val="0"/>
        <w:kinsoku/>
        <w:wordWrap/>
        <w:overflowPunct/>
        <w:topLinePunct w:val="0"/>
        <w:autoSpaceDE/>
        <w:autoSpaceDN/>
        <w:bidi w:val="0"/>
        <w:adjustRightInd w:val="0"/>
        <w:snapToGrid/>
        <w:spacing w:before="0" w:after="0" w:afterAutospacing="0" w:line="360" w:lineRule="auto"/>
        <w:ind w:left="0" w:right="0" w:firstLine="420" w:firstLineChars="200"/>
        <w:textAlignment w:val="auto"/>
        <w:rPr>
          <w:rFonts w:ascii="宋体" w:hAnsi="宋体" w:eastAsia="宋体" w:cs="宋体"/>
          <w:bCs/>
          <w:kern w:val="2"/>
        </w:rPr>
      </w:pPr>
      <w:r>
        <w:rPr>
          <w:rFonts w:hint="eastAsia" w:ascii="宋体" w:hAnsi="宋体" w:eastAsia="宋体" w:cs="宋体"/>
          <w:bCs/>
          <w:kern w:val="2"/>
        </w:rPr>
        <w:t>备注：投标单位需出具符合要求充电桩厂家相关检验报告。</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887" w:name="_Toc10221"/>
      <w:bookmarkStart w:id="888" w:name="_Toc10287"/>
      <w:bookmarkStart w:id="889" w:name="_Toc29181"/>
      <w:bookmarkStart w:id="890" w:name="_Toc9805"/>
      <w:bookmarkStart w:id="891" w:name="_Toc22316"/>
      <w:bookmarkStart w:id="892" w:name="_Toc4239"/>
      <w:bookmarkStart w:id="893" w:name="_Toc29042"/>
      <w:bookmarkStart w:id="894" w:name="_Toc10449"/>
      <w:bookmarkStart w:id="895" w:name="_Toc27774"/>
      <w:bookmarkStart w:id="896" w:name="_Toc25159"/>
      <w:bookmarkStart w:id="897" w:name="_Toc19814"/>
      <w:bookmarkStart w:id="898" w:name="_Toc20030"/>
      <w:bookmarkStart w:id="899" w:name="_Toc19111"/>
      <w:bookmarkStart w:id="900" w:name="_Toc30432"/>
      <w:bookmarkStart w:id="901" w:name="_Toc4341"/>
      <w:bookmarkStart w:id="902" w:name="_Toc14073"/>
      <w:bookmarkStart w:id="903" w:name="_Toc18382"/>
      <w:bookmarkStart w:id="904" w:name="_Toc79434374"/>
      <w:bookmarkStart w:id="905" w:name="_Toc18510"/>
      <w:bookmarkStart w:id="906" w:name="_Toc26011"/>
      <w:r>
        <w:rPr>
          <w:rFonts w:hint="eastAsia" w:ascii="宋体" w:hAnsi="宋体" w:eastAsia="宋体" w:cs="宋体"/>
          <w:b/>
          <w:bCs/>
          <w:kern w:val="44"/>
          <w:sz w:val="21"/>
          <w:szCs w:val="21"/>
          <w:lang w:val="en-US" w:eastAsia="zh-CN" w:bidi="ar-SA"/>
        </w:rPr>
        <w:t>3.7施工工艺</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3.7.1充电桩安装工艺要求</w:t>
      </w:r>
    </w:p>
    <w:p>
      <w:pPr>
        <w:pageBreakBefore w:val="0"/>
        <w:widowControl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Courier New" w:eastAsia="宋体" w:cs="Courier New"/>
          <w:kern w:val="2"/>
        </w:rPr>
      </w:pPr>
      <w:r>
        <w:rPr>
          <w:rFonts w:ascii="宋体" w:hAnsi="Courier New" w:eastAsia="宋体" w:cs="Courier New"/>
          <w:kern w:val="2"/>
        </w:rPr>
        <w:t>本工程所用材料、规格、施工要求及施工验收标准等，均</w:t>
      </w:r>
      <w:r>
        <w:rPr>
          <w:rFonts w:hint="eastAsia" w:ascii="宋体" w:hAnsi="Courier New" w:eastAsia="宋体" w:cs="Courier New"/>
          <w:kern w:val="2"/>
        </w:rPr>
        <w:t>须</w:t>
      </w:r>
      <w:r>
        <w:rPr>
          <w:rFonts w:ascii="宋体" w:hAnsi="Courier New" w:eastAsia="宋体" w:cs="Courier New"/>
          <w:kern w:val="2"/>
        </w:rPr>
        <w:t>按照现行国家标准、规范、规程执行</w:t>
      </w:r>
      <w:r>
        <w:rPr>
          <w:rFonts w:hint="eastAsia" w:ascii="宋体" w:hAnsi="Courier New" w:eastAsia="宋体" w:cs="Courier New"/>
          <w:kern w:val="2"/>
        </w:rPr>
        <w:t>。</w:t>
      </w:r>
    </w:p>
    <w:p>
      <w:pPr>
        <w:pageBreakBefore w:val="0"/>
        <w:widowControl w:val="0"/>
        <w:kinsoku/>
        <w:wordWrap/>
        <w:overflowPunct/>
        <w:topLinePunct w:val="0"/>
        <w:autoSpaceDE/>
        <w:autoSpaceDN/>
        <w:bidi w:val="0"/>
        <w:adjustRightInd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rPr>
        <w:t>3.7.1.1</w:t>
      </w:r>
      <w:r>
        <w:rPr>
          <w:rFonts w:hint="eastAsia" w:ascii="宋体" w:hAnsi="宋体" w:eastAsia="宋体" w:cs="宋体"/>
          <w:color w:val="000000"/>
          <w:kern w:val="2"/>
        </w:rPr>
        <w:t xml:space="preserve">电缆桥架水平敷设时距地面高度不低于2.5m，桥架上布局顶板或其他障碍物不应小于0.3m，电力电缆桥架间距不应小于0.3m。 </w:t>
      </w:r>
    </w:p>
    <w:p>
      <w:pPr>
        <w:pageBreakBefore w:val="0"/>
        <w:widowControl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rPr>
        <w:t>3.7.1.2</w:t>
      </w:r>
      <w:r>
        <w:rPr>
          <w:rFonts w:hint="eastAsia" w:ascii="宋体" w:hAnsi="宋体" w:eastAsia="宋体" w:cs="宋体"/>
          <w:color w:val="000000"/>
          <w:kern w:val="2"/>
        </w:rPr>
        <w:t>电缆桥架水平敷设时，支承跨距一般为1.5-3m，垂直敷设时，固定点间距不大于2m。桥架弯曲半径不小于300mm时，应在距弯曲段与直线段间合处300-600mm的直线段侧设一个支撑，当弯曲半径大于300mm时，还应在弯曲段中部增设一个支吊架，缆桥架在穿过墙及 楼板时，应采取防火隔离措施。</w:t>
      </w:r>
    </w:p>
    <w:p>
      <w:pPr>
        <w:pageBreakBefore w:val="0"/>
        <w:widowControl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rPr>
        <w:t>3.7.1.3</w:t>
      </w:r>
      <w:r>
        <w:rPr>
          <w:rFonts w:hint="eastAsia" w:ascii="宋体" w:hAnsi="宋体" w:eastAsia="宋体" w:cs="宋体"/>
          <w:color w:val="000000"/>
          <w:kern w:val="2"/>
        </w:rPr>
        <w:t>线路安装完毕应采用不低于楼板耐火极限的不燃烧材料或防火封堵材料将各层竖井内的孔洞和线管穿楼板孔洞做好防火封堵处理。进出变电所和通过不同防火分区的桥架。管线在电缆敷设后应做防火分隔处理、防火封堵处理。电缆引至配电箱、柜或控制屏、台的开孔部位做防火封堵处理。电气管道穿过楼板和墙体时，孔洞周边应采取密封隔声措施。</w:t>
      </w:r>
    </w:p>
    <w:p>
      <w:pPr>
        <w:pageBreakBefore w:val="0"/>
        <w:widowControl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rPr>
        <w:t>3.7.1.4</w:t>
      </w:r>
      <w:r>
        <w:rPr>
          <w:rFonts w:hint="eastAsia" w:ascii="宋体" w:hAnsi="宋体" w:eastAsia="宋体" w:cs="宋体"/>
          <w:color w:val="000000"/>
          <w:kern w:val="2"/>
        </w:rPr>
        <w:t>电缆设施防火 电缆进入建筑物、电缆沟、穿楼板、墙壁、竖井、盘柜底部均用防火材料进行封堵。电缆的安装敷设应严格按照相关电缆防火规范要求执行；施工时应按施工验收规范实施封堵。</w:t>
      </w:r>
    </w:p>
    <w:p>
      <w:pPr>
        <w:pageBreakBefore w:val="0"/>
        <w:widowControl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rPr>
        <w:t>3.7.1.5</w:t>
      </w:r>
      <w:r>
        <w:rPr>
          <w:rFonts w:hint="eastAsia" w:ascii="宋体" w:hAnsi="宋体" w:eastAsia="宋体" w:cs="宋体"/>
          <w:color w:val="000000"/>
          <w:kern w:val="2"/>
        </w:rPr>
        <w:t>电缆的首端、末端和分支处应设置标志牌。</w:t>
      </w:r>
    </w:p>
    <w:p>
      <w:pPr>
        <w:pageBreakBefore w:val="0"/>
        <w:widowControl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rPr>
        <w:t>3.7.1.6</w:t>
      </w:r>
      <w:r>
        <w:rPr>
          <w:rFonts w:hint="eastAsia" w:ascii="宋体" w:hAnsi="宋体" w:eastAsia="宋体" w:cs="宋体"/>
          <w:color w:val="000000"/>
          <w:kern w:val="2"/>
        </w:rPr>
        <w:t>施工单位现场施工时应注意用电安全，满足《建设工程施工现场供电安全规范》GB50194及《施工现场临时用电安全技术规范》JGJ46的要求。</w:t>
      </w:r>
    </w:p>
    <w:p>
      <w:pPr>
        <w:pageBreakBefore w:val="0"/>
        <w:widowControl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rPr>
        <w:t>3.7.1.7</w:t>
      </w:r>
      <w:r>
        <w:rPr>
          <w:rFonts w:hint="eastAsia" w:ascii="宋体" w:hAnsi="宋体" w:eastAsia="宋体" w:cs="宋体"/>
          <w:color w:val="000000"/>
          <w:kern w:val="2"/>
        </w:rPr>
        <w:t>设备安装基础表面要平整，平整度小于4mm，基础混凝土强度等级C</w:t>
      </w:r>
      <w:r>
        <w:rPr>
          <w:rFonts w:hint="eastAsia" w:ascii="宋体" w:hAnsi="宋体" w:eastAsia="宋体" w:cs="宋体"/>
          <w:color w:val="000000"/>
          <w:kern w:val="2"/>
          <w:lang w:val="en-US" w:eastAsia="zh-CN"/>
        </w:rPr>
        <w:t>25</w:t>
      </w:r>
      <w:r>
        <w:rPr>
          <w:rFonts w:hint="eastAsia" w:ascii="宋体" w:hAnsi="宋体" w:eastAsia="宋体" w:cs="宋体"/>
          <w:color w:val="000000"/>
          <w:kern w:val="2"/>
        </w:rPr>
        <w:t>；垫层混凝土强度等级C15．所有基础必须坐落在原状实土层上，如遇回填土或腐殖土，必须挖除后用砂石垫层分层夯实至基础垫层底部，确保基础持力层压实系数≥0.92。基础四周回填土应采用素土回填，分层夯实，每层厚度≤200mm，压实系数应≥0.92。</w:t>
      </w:r>
    </w:p>
    <w:p>
      <w:pPr>
        <w:pageBreakBefore w:val="0"/>
        <w:widowControl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rPr>
        <w:t>3.7.1.8</w:t>
      </w:r>
      <w:r>
        <w:rPr>
          <w:rFonts w:hint="eastAsia" w:ascii="宋体" w:hAnsi="宋体" w:eastAsia="宋体" w:cs="宋体"/>
          <w:color w:val="000000"/>
          <w:kern w:val="2"/>
        </w:rPr>
        <w:t>配电箱落地后应与预埋槽钢焊接，基础应高出地面200mm，基础尺寸以配电箱实际尺寸为准，并应做好预埋镀锌钢管。</w:t>
      </w:r>
    </w:p>
    <w:p>
      <w:pPr>
        <w:pageBreakBefore w:val="0"/>
        <w:widowControl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rPr>
        <w:t>3.7.1.9</w:t>
      </w:r>
      <w:r>
        <w:rPr>
          <w:rFonts w:hint="eastAsia" w:ascii="宋体" w:hAnsi="宋体" w:eastAsia="宋体" w:cs="宋体"/>
          <w:color w:val="000000"/>
          <w:kern w:val="2"/>
        </w:rPr>
        <w:t>充电桩安装根据设备安装指导书进行，优先采用厂家配套螺栓，当厂家无配套螺栓时，也可采用M12不锈钢膨胀螺栓代替。</w:t>
      </w:r>
    </w:p>
    <w:p>
      <w:pPr>
        <w:pageBreakBefore w:val="0"/>
        <w:widowControl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rPr>
        <w:t>3.7.1.10</w:t>
      </w:r>
      <w:r>
        <w:rPr>
          <w:rFonts w:hint="eastAsia" w:ascii="宋体" w:hAnsi="宋体" w:eastAsia="宋体" w:cs="宋体"/>
          <w:color w:val="000000"/>
          <w:kern w:val="2"/>
        </w:rPr>
        <w:t>设备做好就近接地，接地电阻小于4欧，当不满足时，要补打接地装置或采取其他措施。</w:t>
      </w:r>
    </w:p>
    <w:p>
      <w:pPr>
        <w:pageBreakBefore w:val="0"/>
        <w:widowControl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rPr>
        <w:t>3.7.1.11</w:t>
      </w:r>
      <w:r>
        <w:rPr>
          <w:rFonts w:hint="eastAsia" w:ascii="宋体" w:hAnsi="宋体" w:eastAsia="宋体" w:cs="宋体"/>
          <w:color w:val="000000"/>
          <w:kern w:val="2"/>
        </w:rPr>
        <w:t>充电桩车位应按要求喷涂标记。</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0"/>
        <w:rPr>
          <w:rFonts w:hint="eastAsia" w:ascii="黑体" w:hAnsi="黑体" w:eastAsia="黑体" w:cs="黑体"/>
          <w:b/>
          <w:bCs/>
          <w:kern w:val="44"/>
          <w:sz w:val="24"/>
          <w:szCs w:val="24"/>
          <w:lang w:val="en-US" w:eastAsia="zh-CN" w:bidi="ar-SA"/>
        </w:rPr>
      </w:pPr>
      <w:bookmarkStart w:id="907" w:name="_Toc20650"/>
      <w:bookmarkStart w:id="908" w:name="_Toc20918"/>
      <w:bookmarkStart w:id="909" w:name="_Toc6320"/>
      <w:bookmarkStart w:id="910" w:name="_Toc3748"/>
      <w:bookmarkStart w:id="911" w:name="_Toc3846"/>
      <w:bookmarkStart w:id="912" w:name="_Toc79434375"/>
      <w:bookmarkStart w:id="913" w:name="_Toc9144"/>
      <w:bookmarkStart w:id="914" w:name="_Toc13597"/>
      <w:r>
        <w:rPr>
          <w:rFonts w:hint="eastAsia" w:ascii="黑体" w:hAnsi="黑体" w:eastAsia="黑体" w:cs="黑体"/>
          <w:b/>
          <w:bCs/>
          <w:kern w:val="44"/>
          <w:sz w:val="24"/>
          <w:szCs w:val="24"/>
          <w:lang w:val="en-US" w:eastAsia="zh-CN" w:bidi="ar-SA"/>
        </w:rPr>
        <w:t>4项目管理</w:t>
      </w:r>
      <w:bookmarkEnd w:id="907"/>
      <w:bookmarkEnd w:id="908"/>
      <w:bookmarkEnd w:id="909"/>
      <w:bookmarkEnd w:id="910"/>
      <w:bookmarkEnd w:id="911"/>
      <w:bookmarkEnd w:id="912"/>
      <w:bookmarkEnd w:id="913"/>
      <w:bookmarkEnd w:id="914"/>
    </w:p>
    <w:bookmarkEnd w:id="850"/>
    <w:bookmarkEnd w:id="851"/>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915" w:name="_Toc11407"/>
      <w:bookmarkStart w:id="916" w:name="_Toc9279"/>
      <w:bookmarkStart w:id="917" w:name="_Toc24564"/>
      <w:bookmarkStart w:id="918" w:name="_Toc1168"/>
      <w:bookmarkStart w:id="919" w:name="_Toc11102"/>
      <w:bookmarkStart w:id="920" w:name="_Toc534969211"/>
      <w:bookmarkStart w:id="921" w:name="_Toc24389"/>
      <w:bookmarkStart w:id="922" w:name="_Toc29627"/>
      <w:bookmarkStart w:id="923" w:name="_Toc27729"/>
      <w:bookmarkStart w:id="924" w:name="_Toc2784"/>
      <w:bookmarkStart w:id="925" w:name="_Toc31187"/>
      <w:bookmarkStart w:id="926" w:name="_Toc17593"/>
      <w:bookmarkStart w:id="927" w:name="_Toc18064"/>
      <w:bookmarkStart w:id="928" w:name="_Toc19844_WPSOffice_Level2"/>
      <w:bookmarkStart w:id="929" w:name="_Toc21932_WPSOffice_Level2"/>
      <w:bookmarkStart w:id="930" w:name="_Toc5809"/>
      <w:bookmarkStart w:id="931" w:name="_Toc3856"/>
      <w:bookmarkStart w:id="932" w:name="_Toc4052"/>
      <w:bookmarkStart w:id="933" w:name="_Toc25136"/>
      <w:bookmarkStart w:id="934" w:name="_Toc31333_WPSOffice_Level2"/>
      <w:bookmarkStart w:id="935" w:name="_Toc18492"/>
      <w:bookmarkStart w:id="936" w:name="_Toc6176"/>
      <w:bookmarkStart w:id="937" w:name="_Toc21793"/>
      <w:bookmarkStart w:id="938" w:name="_Toc18886"/>
      <w:bookmarkStart w:id="939" w:name="_Toc25725"/>
      <w:bookmarkStart w:id="940" w:name="_Toc25950"/>
      <w:bookmarkStart w:id="941" w:name="_Toc30110"/>
      <w:bookmarkStart w:id="942" w:name="_Toc9206"/>
      <w:bookmarkStart w:id="943" w:name="_Toc19586"/>
      <w:bookmarkStart w:id="944" w:name="_Toc18352"/>
      <w:bookmarkStart w:id="945" w:name="_Toc19298"/>
      <w:bookmarkStart w:id="946" w:name="_Toc79434376"/>
      <w:bookmarkStart w:id="947" w:name="_Toc7050"/>
      <w:bookmarkStart w:id="948" w:name="_Toc60212996"/>
      <w:bookmarkStart w:id="949" w:name="_Toc4763"/>
      <w:bookmarkStart w:id="950" w:name="_Toc1244"/>
      <w:bookmarkStart w:id="951" w:name="_Toc8219"/>
      <w:bookmarkStart w:id="952" w:name="_Toc27611"/>
      <w:bookmarkStart w:id="953" w:name="_Toc28350"/>
      <w:bookmarkStart w:id="954" w:name="_Toc8030"/>
      <w:bookmarkStart w:id="955" w:name="_Toc28543"/>
      <w:bookmarkStart w:id="956" w:name="_Toc28561"/>
      <w:bookmarkStart w:id="957" w:name="_Toc10856"/>
      <w:bookmarkStart w:id="958" w:name="_Toc26546"/>
      <w:bookmarkStart w:id="959" w:name="_Toc18740"/>
      <w:bookmarkStart w:id="960" w:name="_Toc11532"/>
      <w:r>
        <w:rPr>
          <w:rFonts w:hint="eastAsia" w:ascii="宋体" w:hAnsi="宋体" w:eastAsia="宋体" w:cs="宋体"/>
          <w:b/>
          <w:bCs/>
          <w:kern w:val="44"/>
          <w:sz w:val="21"/>
          <w:szCs w:val="21"/>
          <w:lang w:val="en-US" w:eastAsia="zh-CN" w:bidi="ar-SA"/>
        </w:rPr>
        <w:t>4.1</w:t>
      </w:r>
      <w:bookmarkEnd w:id="915"/>
      <w:bookmarkEnd w:id="916"/>
      <w:bookmarkEnd w:id="917"/>
      <w:bookmarkEnd w:id="918"/>
      <w:bookmarkEnd w:id="919"/>
      <w:bookmarkEnd w:id="920"/>
      <w:bookmarkEnd w:id="921"/>
      <w:bookmarkEnd w:id="922"/>
      <w:bookmarkEnd w:id="923"/>
      <w:bookmarkEnd w:id="924"/>
      <w:bookmarkEnd w:id="925"/>
      <w:bookmarkEnd w:id="926"/>
      <w:r>
        <w:rPr>
          <w:rFonts w:hint="eastAsia" w:ascii="宋体" w:hAnsi="宋体" w:eastAsia="宋体" w:cs="宋体"/>
          <w:b/>
          <w:bCs/>
          <w:kern w:val="44"/>
          <w:sz w:val="21"/>
          <w:szCs w:val="21"/>
          <w:lang w:val="en-US" w:eastAsia="zh-CN" w:bidi="ar-SA"/>
        </w:rPr>
        <w:t>投标人资质</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Fonts w:hint="eastAsia" w:ascii="宋体" w:hAnsi="宋体" w:eastAsia="宋体" w:cs="宋体"/>
          <w:b/>
          <w:bCs/>
          <w:kern w:val="44"/>
          <w:sz w:val="21"/>
          <w:szCs w:val="21"/>
          <w:lang w:val="en-US" w:eastAsia="zh-CN" w:bidi="ar-SA"/>
        </w:rPr>
        <w:t>、人员要求</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4.1.1投标人单位资质要求</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rPr>
      </w:pPr>
      <w:r>
        <w:rPr>
          <w:rFonts w:ascii="宋体" w:hAnsi="宋体" w:eastAsia="宋体" w:cs="宋体"/>
        </w:rPr>
        <w:t>4.1.1</w:t>
      </w:r>
      <w:r>
        <w:rPr>
          <w:rFonts w:hint="eastAsia" w:ascii="宋体" w:hAnsi="宋体" w:eastAsia="宋体" w:cs="宋体"/>
        </w:rPr>
        <w:t>.1</w:t>
      </w:r>
      <w:r>
        <w:rPr>
          <w:rFonts w:hint="eastAsia" w:ascii="宋体" w:hAnsi="宋体" w:eastAsia="宋体" w:cs="宋体"/>
          <w:lang w:eastAsia="zh-CN"/>
        </w:rPr>
        <w:t>投标人</w:t>
      </w:r>
      <w:r>
        <w:rPr>
          <w:rFonts w:ascii="宋体" w:hAnsi="宋体" w:eastAsia="宋体" w:cs="宋体"/>
        </w:rPr>
        <w:t>为中华人民共和国境内依法设立的法人或其他组织（若以分公司名义参与</w:t>
      </w:r>
      <w:r>
        <w:rPr>
          <w:rFonts w:hint="eastAsia" w:ascii="宋体" w:hAnsi="宋体" w:eastAsia="宋体" w:cs="宋体"/>
        </w:rPr>
        <w:t>招标</w:t>
      </w:r>
      <w:r>
        <w:rPr>
          <w:rFonts w:ascii="宋体" w:hAnsi="宋体" w:eastAsia="宋体" w:cs="宋体"/>
        </w:rPr>
        <w:t>申请，必须出具总公司授权参与的证明）</w:t>
      </w:r>
      <w:r>
        <w:rPr>
          <w:rFonts w:hint="eastAsia" w:ascii="宋体" w:hAnsi="宋体" w:eastAsia="宋体" w:cs="宋体"/>
        </w:rPr>
        <w:t>。</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rPr>
      </w:pPr>
      <w:r>
        <w:rPr>
          <w:rFonts w:ascii="宋体" w:hAnsi="宋体" w:eastAsia="宋体" w:cs="宋体"/>
        </w:rPr>
        <w:t>4.1.</w:t>
      </w:r>
      <w:r>
        <w:rPr>
          <w:rFonts w:hint="eastAsia" w:ascii="宋体" w:hAnsi="宋体" w:eastAsia="宋体" w:cs="宋体"/>
        </w:rPr>
        <w:t>1.</w:t>
      </w:r>
      <w:r>
        <w:rPr>
          <w:rFonts w:ascii="宋体" w:hAnsi="宋体" w:eastAsia="宋体" w:cs="宋体"/>
        </w:rPr>
        <w:t>2</w:t>
      </w:r>
      <w:r>
        <w:rPr>
          <w:rFonts w:hint="eastAsia" w:ascii="宋体" w:hAnsi="宋体" w:eastAsia="宋体" w:cs="宋体"/>
          <w:lang w:eastAsia="zh-CN"/>
        </w:rPr>
        <w:t>投标人</w:t>
      </w:r>
      <w:r>
        <w:rPr>
          <w:rFonts w:ascii="宋体" w:hAnsi="宋体" w:eastAsia="宋体" w:cs="宋体"/>
        </w:rPr>
        <w:t>没有处于被行政主管部门或业主取消投标资格的处罚期内，且没有处于被责令停业，财产被接管、冻结、破产状态；自201</w:t>
      </w:r>
      <w:r>
        <w:rPr>
          <w:rFonts w:hint="eastAsia" w:ascii="宋体" w:hAnsi="宋体" w:eastAsia="宋体" w:cs="宋体"/>
        </w:rPr>
        <w:t>9</w:t>
      </w:r>
      <w:r>
        <w:rPr>
          <w:rFonts w:ascii="宋体" w:hAnsi="宋体" w:eastAsia="宋体" w:cs="宋体"/>
        </w:rPr>
        <w:t>年至开标时间内没有骗取中标、严重违约或重大质量安全责任事故的情况</w:t>
      </w:r>
      <w:r>
        <w:rPr>
          <w:rFonts w:hint="eastAsia" w:ascii="宋体" w:hAnsi="宋体" w:eastAsia="宋体" w:cs="宋体"/>
        </w:rPr>
        <w:t>。</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Calibri" w:hAnsi="Calibri" w:eastAsia="宋体" w:cs="Times New Roman"/>
          <w:kern w:val="2"/>
        </w:rPr>
      </w:pPr>
      <w:r>
        <w:rPr>
          <w:rFonts w:hint="eastAsia" w:ascii="宋体" w:hAnsi="宋体" w:eastAsia="宋体" w:cs="宋体"/>
        </w:rPr>
        <w:t>4.1.1.3</w:t>
      </w:r>
      <w:r>
        <w:rPr>
          <w:rFonts w:ascii="宋体" w:hAnsi="宋体" w:eastAsia="宋体" w:cs="宋体"/>
        </w:rPr>
        <w:t>单位负责人为同一人或者存在控股、管理关系的不同单位，不得参加同一标段投标或者未划分标段的同一招标项目投标</w:t>
      </w:r>
      <w:r>
        <w:rPr>
          <w:rFonts w:hint="eastAsia" w:ascii="宋体" w:hAnsi="宋体" w:eastAsia="宋体" w:cs="宋体"/>
        </w:rPr>
        <w:t>。</w:t>
      </w:r>
    </w:p>
    <w:p>
      <w:pPr>
        <w:pageBreakBefore w:val="0"/>
        <w:widowControl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rPr>
        <w:t>4.1.1.4本项目不允许联合体投标，不允许任何形式的转包或分包。</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4.1.2投标人须配置的人员要求</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rPr>
        <w:t>4.1.2.1</w:t>
      </w:r>
      <w:r>
        <w:rPr>
          <w:rFonts w:hint="eastAsia" w:ascii="宋体" w:hAnsi="宋体" w:eastAsia="宋体" w:cs="宋体"/>
          <w:kern w:val="2"/>
        </w:rPr>
        <w:t>为保证本项目安全、顺利、高效、可靠地实施，</w:t>
      </w:r>
      <w:r>
        <w:rPr>
          <w:rFonts w:hint="eastAsia" w:ascii="宋体" w:hAnsi="宋体" w:eastAsia="宋体" w:cs="宋体"/>
          <w:kern w:val="2"/>
          <w:lang w:eastAsia="zh-CN"/>
        </w:rPr>
        <w:t>投标人</w:t>
      </w:r>
      <w:r>
        <w:rPr>
          <w:rFonts w:hint="eastAsia" w:ascii="宋体" w:hAnsi="宋体" w:eastAsia="宋体" w:cs="宋体"/>
          <w:kern w:val="2"/>
        </w:rPr>
        <w:t>需针对本项目配置专门的充电桩安装人员。</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4.1.2.2</w:t>
      </w:r>
      <w:r>
        <w:rPr>
          <w:rFonts w:hint="eastAsia" w:ascii="宋体" w:hAnsi="宋体" w:eastAsia="宋体" w:cs="宋体"/>
          <w:kern w:val="2"/>
          <w:lang w:eastAsia="zh-CN"/>
        </w:rPr>
        <w:t>投标人</w:t>
      </w:r>
      <w:r>
        <w:rPr>
          <w:rFonts w:hint="eastAsia" w:ascii="宋体" w:hAnsi="宋体" w:eastAsia="宋体" w:cs="宋体"/>
          <w:kern w:val="2"/>
        </w:rPr>
        <w:t>须如实地将参与本项目的所有人员的名单、工作资历、相关证件及身份证明等信息报送</w:t>
      </w:r>
      <w:r>
        <w:rPr>
          <w:rFonts w:hint="eastAsia" w:ascii="宋体" w:hAnsi="宋体" w:eastAsia="宋体" w:cs="宋体"/>
          <w:kern w:val="2"/>
          <w:lang w:eastAsia="zh-CN"/>
        </w:rPr>
        <w:t>招标人</w:t>
      </w:r>
      <w:r>
        <w:rPr>
          <w:rFonts w:hint="eastAsia" w:ascii="宋体" w:hAnsi="宋体" w:eastAsia="宋体" w:cs="宋体"/>
          <w:kern w:val="2"/>
        </w:rPr>
        <w:t>审查备案。</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4.1.2.3特种设备及特种作业人员（如涉及电工作业、登高作业等），必须持有政府相关部门颁发的特种作业操作证方可上岗作业，并按照相关要求佩戴配套的防护劳保用品进行作业，严禁无证或有证不按照要求佩戴防护、劳保用品人员上岗作业。</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4.1.2.4</w:t>
      </w:r>
      <w:r>
        <w:rPr>
          <w:rFonts w:hint="eastAsia" w:ascii="宋体" w:hAnsi="宋体" w:eastAsia="宋体" w:cs="宋体"/>
          <w:kern w:val="2"/>
          <w:lang w:eastAsia="zh-CN"/>
        </w:rPr>
        <w:t>投标人</w:t>
      </w:r>
      <w:r>
        <w:rPr>
          <w:rFonts w:hint="eastAsia" w:ascii="宋体" w:hAnsi="宋体" w:eastAsia="宋体" w:cs="宋体"/>
          <w:kern w:val="2"/>
        </w:rPr>
        <w:t>所有人员必须身体健康，按</w:t>
      </w:r>
      <w:r>
        <w:rPr>
          <w:rFonts w:hint="eastAsia" w:ascii="宋体" w:hAnsi="宋体" w:eastAsia="宋体" w:cs="宋体"/>
          <w:kern w:val="2"/>
          <w:lang w:eastAsia="zh-CN"/>
        </w:rPr>
        <w:t>招标人</w:t>
      </w:r>
      <w:r>
        <w:rPr>
          <w:rFonts w:hint="eastAsia" w:ascii="宋体" w:hAnsi="宋体" w:eastAsia="宋体" w:cs="宋体"/>
          <w:kern w:val="2"/>
        </w:rPr>
        <w:t>要求体检合格后方可上岗。</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4.1.2.5</w:t>
      </w:r>
      <w:r>
        <w:rPr>
          <w:rFonts w:hint="eastAsia" w:ascii="宋体" w:hAnsi="宋体" w:eastAsia="宋体" w:cs="宋体"/>
          <w:kern w:val="2"/>
          <w:lang w:eastAsia="zh-CN"/>
        </w:rPr>
        <w:t>投标人</w:t>
      </w:r>
      <w:r>
        <w:rPr>
          <w:rFonts w:hint="eastAsia" w:ascii="宋体" w:hAnsi="宋体" w:eastAsia="宋体" w:cs="宋体"/>
          <w:kern w:val="2"/>
        </w:rPr>
        <w:t>项目负责人的资格证件及身份证件的复印件必须交</w:t>
      </w:r>
      <w:r>
        <w:rPr>
          <w:rFonts w:hint="eastAsia" w:ascii="宋体" w:hAnsi="宋体" w:eastAsia="宋体" w:cs="宋体"/>
          <w:kern w:val="2"/>
          <w:lang w:eastAsia="zh-CN"/>
        </w:rPr>
        <w:t>招标人</w:t>
      </w:r>
      <w:r>
        <w:rPr>
          <w:rFonts w:hint="eastAsia" w:ascii="宋体" w:hAnsi="宋体" w:eastAsia="宋体" w:cs="宋体"/>
          <w:kern w:val="2"/>
        </w:rPr>
        <w:t>相关部门备案，含学历（学位）证书复印件、身份证复印件、技术资格证件复印件、技能等级证复印件等。</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4.1.2.6</w:t>
      </w:r>
      <w:r>
        <w:rPr>
          <w:rFonts w:hint="eastAsia" w:ascii="宋体" w:hAnsi="宋体" w:eastAsia="宋体" w:cs="宋体"/>
          <w:kern w:val="2"/>
          <w:lang w:eastAsia="zh-CN"/>
        </w:rPr>
        <w:t>投标人</w:t>
      </w:r>
      <w:r>
        <w:rPr>
          <w:rFonts w:hint="eastAsia" w:ascii="宋体" w:hAnsi="宋体" w:eastAsia="宋体" w:cs="宋体"/>
          <w:kern w:val="2"/>
        </w:rPr>
        <w:t>从事本项目的人员，必须提供与</w:t>
      </w:r>
      <w:r>
        <w:rPr>
          <w:rFonts w:hint="eastAsia" w:ascii="宋体" w:hAnsi="宋体" w:eastAsia="宋体" w:cs="宋体"/>
          <w:kern w:val="2"/>
          <w:lang w:eastAsia="zh-CN"/>
        </w:rPr>
        <w:t>投标人</w:t>
      </w:r>
      <w:r>
        <w:rPr>
          <w:rFonts w:hint="eastAsia" w:ascii="宋体" w:hAnsi="宋体" w:eastAsia="宋体" w:cs="宋体"/>
          <w:kern w:val="2"/>
        </w:rPr>
        <w:t>的劳动关系证明，并持有相关专业上岗证（或资格证书）。</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4.1.2.7</w:t>
      </w:r>
      <w:r>
        <w:rPr>
          <w:rFonts w:hint="eastAsia" w:ascii="宋体" w:hAnsi="宋体" w:eastAsia="宋体" w:cs="宋体"/>
          <w:kern w:val="2"/>
          <w:lang w:eastAsia="zh-CN"/>
        </w:rPr>
        <w:t>招标人</w:t>
      </w:r>
      <w:r>
        <w:rPr>
          <w:rFonts w:hint="eastAsia" w:ascii="宋体" w:hAnsi="宋体" w:eastAsia="宋体" w:cs="宋体"/>
          <w:kern w:val="2"/>
        </w:rPr>
        <w:t>可根据现场工作需求，有权要求</w:t>
      </w:r>
      <w:r>
        <w:rPr>
          <w:rFonts w:hint="eastAsia" w:ascii="宋体" w:hAnsi="宋体" w:eastAsia="宋体" w:cs="宋体"/>
          <w:kern w:val="2"/>
          <w:lang w:eastAsia="zh-CN"/>
        </w:rPr>
        <w:t>投标人</w:t>
      </w:r>
      <w:r>
        <w:rPr>
          <w:rFonts w:hint="eastAsia" w:ascii="宋体" w:hAnsi="宋体" w:eastAsia="宋体" w:cs="宋体"/>
          <w:kern w:val="2"/>
        </w:rPr>
        <w:t>更换不符合要求的人员。</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4.1.2.8所有人员不得兼职，且工作时间须在现场服务。</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4.1.2.9</w:t>
      </w:r>
      <w:r>
        <w:rPr>
          <w:rFonts w:hint="eastAsia" w:ascii="宋体" w:hAnsi="宋体" w:eastAsia="宋体" w:cs="宋体"/>
          <w:kern w:val="2"/>
          <w:lang w:eastAsia="zh-CN"/>
        </w:rPr>
        <w:t>投标人</w:t>
      </w:r>
      <w:r>
        <w:rPr>
          <w:rFonts w:hint="eastAsia" w:ascii="宋体" w:hAnsi="宋体" w:eastAsia="宋体" w:cs="宋体"/>
          <w:kern w:val="2"/>
        </w:rPr>
        <w:t>人员食宿及生产交通工具需自行解决。</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4.1.3培训要求</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Times New Roman"/>
          <w:kern w:val="2"/>
        </w:rPr>
      </w:pPr>
      <w:r>
        <w:rPr>
          <w:rFonts w:hint="eastAsia" w:ascii="宋体" w:hAnsi="宋体" w:eastAsia="宋体" w:cs="Times New Roman"/>
          <w:kern w:val="2"/>
        </w:rPr>
        <w:t>4.1.3.1</w:t>
      </w:r>
      <w:r>
        <w:rPr>
          <w:rFonts w:hint="eastAsia" w:ascii="宋体" w:hAnsi="宋体" w:eastAsia="宋体" w:cs="Times New Roman"/>
          <w:kern w:val="2"/>
          <w:lang w:eastAsia="zh-CN"/>
        </w:rPr>
        <w:t>投标人</w:t>
      </w:r>
      <w:r>
        <w:rPr>
          <w:rFonts w:hint="eastAsia" w:ascii="宋体" w:hAnsi="宋体" w:eastAsia="宋体" w:cs="Times New Roman"/>
          <w:kern w:val="2"/>
        </w:rPr>
        <w:t>充电桩施工作业应遵守</w:t>
      </w:r>
      <w:r>
        <w:rPr>
          <w:rFonts w:hint="eastAsia" w:ascii="宋体" w:hAnsi="宋体" w:eastAsia="宋体" w:cs="Times New Roman"/>
          <w:kern w:val="2"/>
          <w:lang w:eastAsia="zh-CN"/>
        </w:rPr>
        <w:t>招标人</w:t>
      </w:r>
      <w:r>
        <w:rPr>
          <w:rFonts w:hint="eastAsia" w:ascii="宋体" w:hAnsi="宋体" w:eastAsia="宋体" w:cs="Times New Roman"/>
          <w:kern w:val="2"/>
        </w:rPr>
        <w:t>的企业标准《运营公司施工管理规定》等相关施工管理规定，并必须按照施工规范、方案和各项安全操作规程进行作业。</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Times New Roman"/>
          <w:kern w:val="2"/>
        </w:rPr>
      </w:pPr>
      <w:r>
        <w:rPr>
          <w:rFonts w:hint="eastAsia" w:ascii="宋体" w:hAnsi="宋体" w:eastAsia="宋体" w:cs="Times New Roman"/>
          <w:kern w:val="2"/>
        </w:rPr>
        <w:t>4.1.3.2</w:t>
      </w:r>
      <w:r>
        <w:rPr>
          <w:rFonts w:hint="eastAsia" w:ascii="宋体" w:hAnsi="宋体" w:eastAsia="宋体" w:cs="Times New Roman"/>
          <w:kern w:val="2"/>
          <w:lang w:eastAsia="zh-CN"/>
        </w:rPr>
        <w:t>投标人</w:t>
      </w:r>
      <w:r>
        <w:rPr>
          <w:rFonts w:hint="eastAsia" w:ascii="宋体" w:hAnsi="宋体" w:eastAsia="宋体" w:cs="Times New Roman"/>
          <w:kern w:val="2"/>
        </w:rPr>
        <w:t>应该强化人员技能培训以及对</w:t>
      </w:r>
      <w:r>
        <w:rPr>
          <w:rFonts w:hint="eastAsia" w:ascii="宋体" w:hAnsi="宋体" w:eastAsia="宋体" w:cs="Times New Roman"/>
          <w:kern w:val="2"/>
          <w:lang w:eastAsia="zh-CN"/>
        </w:rPr>
        <w:t>招标人</w:t>
      </w:r>
      <w:r>
        <w:rPr>
          <w:rFonts w:hint="eastAsia" w:ascii="宋体" w:hAnsi="宋体" w:eastAsia="宋体" w:cs="Times New Roman"/>
          <w:kern w:val="2"/>
        </w:rPr>
        <w:t>规章制度及文本的学习，强化危险源学习。</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Times New Roman"/>
          <w:kern w:val="2"/>
        </w:rPr>
      </w:pPr>
      <w:r>
        <w:rPr>
          <w:rFonts w:hint="eastAsia" w:ascii="宋体" w:hAnsi="宋体" w:eastAsia="宋体" w:cs="Times New Roman"/>
          <w:kern w:val="2"/>
        </w:rPr>
        <w:t>4.1.3.3</w:t>
      </w:r>
      <w:r>
        <w:rPr>
          <w:rFonts w:hint="eastAsia" w:ascii="宋体" w:hAnsi="宋体" w:eastAsia="宋体" w:cs="Times New Roman"/>
          <w:kern w:val="2"/>
          <w:lang w:eastAsia="zh-CN"/>
        </w:rPr>
        <w:t>投标人</w:t>
      </w:r>
      <w:r>
        <w:rPr>
          <w:rFonts w:hint="eastAsia" w:ascii="宋体" w:hAnsi="宋体" w:eastAsia="宋体" w:cs="Times New Roman"/>
          <w:kern w:val="2"/>
        </w:rPr>
        <w:t>须重视对充电桩施工人员的安全教育工作，日常开展各类安全培训，提高安装人员的安全责任意识。</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Times New Roman"/>
          <w:kern w:val="2"/>
        </w:rPr>
      </w:pPr>
      <w:r>
        <w:rPr>
          <w:rFonts w:hint="eastAsia" w:ascii="宋体" w:hAnsi="宋体" w:eastAsia="宋体" w:cs="Times New Roman"/>
          <w:kern w:val="2"/>
        </w:rPr>
        <w:t>4.1.3.4</w:t>
      </w:r>
      <w:r>
        <w:rPr>
          <w:rFonts w:hint="eastAsia" w:ascii="宋体" w:hAnsi="宋体" w:eastAsia="宋体" w:cs="Times New Roman"/>
          <w:kern w:val="2"/>
          <w:lang w:eastAsia="zh-CN"/>
        </w:rPr>
        <w:t>投标人</w:t>
      </w:r>
      <w:r>
        <w:rPr>
          <w:rFonts w:hint="eastAsia" w:ascii="宋体" w:hAnsi="宋体" w:eastAsia="宋体" w:cs="Times New Roman"/>
          <w:kern w:val="2"/>
        </w:rPr>
        <w:t>充电桩施工人员进场后，</w:t>
      </w:r>
      <w:r>
        <w:rPr>
          <w:rFonts w:hint="eastAsia" w:ascii="宋体" w:hAnsi="宋体" w:eastAsia="宋体" w:cs="Times New Roman"/>
          <w:kern w:val="2"/>
          <w:lang w:eastAsia="zh-CN"/>
        </w:rPr>
        <w:t>招标人</w:t>
      </w:r>
      <w:r>
        <w:rPr>
          <w:rFonts w:hint="eastAsia" w:ascii="宋体" w:hAnsi="宋体" w:eastAsia="宋体" w:cs="Times New Roman"/>
          <w:kern w:val="2"/>
        </w:rPr>
        <w:t>可提供安全培训，该培训不能代替</w:t>
      </w:r>
      <w:r>
        <w:rPr>
          <w:rFonts w:hint="eastAsia" w:ascii="宋体" w:hAnsi="宋体" w:eastAsia="宋体" w:cs="Times New Roman"/>
          <w:kern w:val="2"/>
          <w:lang w:eastAsia="zh-CN"/>
        </w:rPr>
        <w:t>投标人</w:t>
      </w:r>
      <w:r>
        <w:rPr>
          <w:rFonts w:hint="eastAsia" w:ascii="宋体" w:hAnsi="宋体" w:eastAsia="宋体" w:cs="Times New Roman"/>
          <w:kern w:val="2"/>
        </w:rPr>
        <w:t>自身对充电桩施工人员的安全及技能培训。</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4.1.4劳动纪律</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Times New Roman"/>
          <w:kern w:val="2"/>
        </w:rPr>
      </w:pPr>
      <w:r>
        <w:rPr>
          <w:rFonts w:hint="eastAsia" w:ascii="宋体" w:hAnsi="宋体" w:eastAsia="宋体" w:cs="Times New Roman"/>
          <w:kern w:val="2"/>
        </w:rPr>
        <w:t>4.1.4.1</w:t>
      </w:r>
      <w:r>
        <w:rPr>
          <w:rFonts w:hint="eastAsia" w:ascii="宋体" w:hAnsi="宋体" w:eastAsia="宋体" w:cs="Times New Roman"/>
          <w:kern w:val="2"/>
          <w:lang w:eastAsia="zh-CN"/>
        </w:rPr>
        <w:t>投标人</w:t>
      </w:r>
      <w:r>
        <w:rPr>
          <w:rFonts w:hint="eastAsia" w:ascii="宋体" w:hAnsi="宋体" w:eastAsia="宋体" w:cs="Times New Roman"/>
          <w:kern w:val="2"/>
        </w:rPr>
        <w:t>充电桩施工人员在工作现场须统一着装，按要求佩戴相关证件。</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Times New Roman"/>
          <w:kern w:val="2"/>
        </w:rPr>
      </w:pPr>
      <w:r>
        <w:rPr>
          <w:rFonts w:hint="eastAsia" w:ascii="宋体" w:hAnsi="宋体" w:eastAsia="宋体" w:cs="Times New Roman"/>
          <w:kern w:val="2"/>
        </w:rPr>
        <w:t>4.1.4.2</w:t>
      </w:r>
      <w:r>
        <w:rPr>
          <w:rFonts w:hint="eastAsia" w:ascii="宋体" w:hAnsi="宋体" w:eastAsia="宋体" w:cs="Times New Roman"/>
          <w:kern w:val="2"/>
          <w:lang w:eastAsia="zh-CN"/>
        </w:rPr>
        <w:t>投标人</w:t>
      </w:r>
      <w:r>
        <w:rPr>
          <w:rFonts w:hint="eastAsia" w:ascii="宋体" w:hAnsi="宋体" w:eastAsia="宋体" w:cs="Times New Roman"/>
          <w:kern w:val="2"/>
        </w:rPr>
        <w:t>充电桩施工人员须服从</w:t>
      </w:r>
      <w:r>
        <w:rPr>
          <w:rFonts w:hint="eastAsia" w:ascii="宋体" w:hAnsi="宋体" w:eastAsia="宋体" w:cs="Times New Roman"/>
          <w:kern w:val="2"/>
          <w:lang w:eastAsia="zh-CN"/>
        </w:rPr>
        <w:t>招标人</w:t>
      </w:r>
      <w:r>
        <w:rPr>
          <w:rFonts w:hint="eastAsia" w:ascii="宋体" w:hAnsi="宋体" w:eastAsia="宋体" w:cs="Times New Roman"/>
          <w:kern w:val="2"/>
        </w:rPr>
        <w:t>人员的指挥，严禁在施工场地睡觉、嬉戏。</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Times New Roman"/>
          <w:kern w:val="2"/>
        </w:rPr>
      </w:pPr>
      <w:r>
        <w:rPr>
          <w:rFonts w:hint="eastAsia" w:ascii="宋体" w:hAnsi="宋体" w:eastAsia="宋体" w:cs="Times New Roman"/>
          <w:kern w:val="2"/>
        </w:rPr>
        <w:t>4.1.4.3</w:t>
      </w:r>
      <w:r>
        <w:rPr>
          <w:rFonts w:hint="eastAsia" w:ascii="宋体" w:hAnsi="宋体" w:eastAsia="宋体" w:cs="Times New Roman"/>
          <w:kern w:val="2"/>
          <w:lang w:eastAsia="zh-CN"/>
        </w:rPr>
        <w:t>投标人</w:t>
      </w:r>
      <w:r>
        <w:rPr>
          <w:rFonts w:hint="eastAsia" w:ascii="宋体" w:hAnsi="宋体" w:eastAsia="宋体" w:cs="Times New Roman"/>
          <w:kern w:val="2"/>
        </w:rPr>
        <w:t>充电桩施工人员严禁在作业场所内吸烟。</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Times New Roman"/>
          <w:kern w:val="2"/>
        </w:rPr>
      </w:pPr>
      <w:r>
        <w:rPr>
          <w:rFonts w:hint="eastAsia" w:ascii="宋体" w:hAnsi="宋体" w:eastAsia="宋体" w:cs="Times New Roman"/>
          <w:kern w:val="2"/>
        </w:rPr>
        <w:t>4.1.4.4未经</w:t>
      </w:r>
      <w:r>
        <w:rPr>
          <w:rFonts w:hint="eastAsia" w:ascii="宋体" w:hAnsi="宋体" w:eastAsia="宋体" w:cs="Times New Roman"/>
          <w:kern w:val="2"/>
          <w:lang w:eastAsia="zh-CN"/>
        </w:rPr>
        <w:t>招标人</w:t>
      </w:r>
      <w:r>
        <w:rPr>
          <w:rFonts w:hint="eastAsia" w:ascii="宋体" w:hAnsi="宋体" w:eastAsia="宋体" w:cs="Times New Roman"/>
          <w:kern w:val="2"/>
        </w:rPr>
        <w:t>允许不得私自外传相关资料、信息。</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Times New Roman"/>
          <w:kern w:val="2"/>
        </w:rPr>
      </w:pPr>
      <w:r>
        <w:rPr>
          <w:rFonts w:hint="eastAsia" w:ascii="宋体" w:hAnsi="宋体" w:eastAsia="宋体" w:cs="Times New Roman"/>
          <w:kern w:val="2"/>
        </w:rPr>
        <w:t>4.1.4.5</w:t>
      </w:r>
      <w:r>
        <w:rPr>
          <w:rFonts w:hint="eastAsia" w:ascii="宋体" w:hAnsi="宋体" w:eastAsia="宋体" w:cs="Times New Roman"/>
          <w:kern w:val="2"/>
          <w:lang w:eastAsia="zh-CN"/>
        </w:rPr>
        <w:t>投标人</w:t>
      </w:r>
      <w:r>
        <w:rPr>
          <w:rFonts w:hint="eastAsia" w:ascii="宋体" w:hAnsi="宋体" w:eastAsia="宋体" w:cs="Times New Roman"/>
          <w:kern w:val="2"/>
        </w:rPr>
        <w:t>须加强驻地管理及人员管理，避免发生赌博、酗酒、斗殴等恶性事件，杜绝发生违纪、纠纷、民事、治安、刑事等事件，若发生上述事件，由</w:t>
      </w:r>
      <w:r>
        <w:rPr>
          <w:rFonts w:hint="eastAsia" w:ascii="宋体" w:hAnsi="宋体" w:eastAsia="宋体" w:cs="Times New Roman"/>
          <w:kern w:val="2"/>
          <w:lang w:eastAsia="zh-CN"/>
        </w:rPr>
        <w:t>投标人</w:t>
      </w:r>
      <w:r>
        <w:rPr>
          <w:rFonts w:hint="eastAsia" w:ascii="宋体" w:hAnsi="宋体" w:eastAsia="宋体" w:cs="Times New Roman"/>
          <w:kern w:val="2"/>
        </w:rPr>
        <w:t>承担由此带来的全部后果。</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Times New Roman"/>
          <w:kern w:val="2"/>
        </w:rPr>
      </w:pPr>
      <w:r>
        <w:rPr>
          <w:rFonts w:hint="eastAsia" w:ascii="宋体" w:hAnsi="宋体" w:eastAsia="宋体" w:cs="Times New Roman"/>
          <w:kern w:val="2"/>
        </w:rPr>
        <w:t>4.1.4.6防护、劳保用品到位，</w:t>
      </w:r>
      <w:r>
        <w:rPr>
          <w:rFonts w:hint="eastAsia" w:ascii="宋体" w:hAnsi="宋体" w:eastAsia="宋体" w:cs="Times New Roman"/>
          <w:kern w:val="2"/>
          <w:lang w:eastAsia="zh-CN"/>
        </w:rPr>
        <w:t>投标人</w:t>
      </w:r>
      <w:r>
        <w:rPr>
          <w:rFonts w:hint="eastAsia" w:ascii="宋体" w:hAnsi="宋体" w:eastAsia="宋体" w:cs="Times New Roman"/>
          <w:kern w:val="2"/>
        </w:rPr>
        <w:t>进场的制服到位，报</w:t>
      </w:r>
      <w:r>
        <w:rPr>
          <w:rFonts w:hint="eastAsia" w:ascii="宋体" w:hAnsi="宋体" w:eastAsia="宋体" w:cs="Times New Roman"/>
          <w:kern w:val="2"/>
          <w:lang w:eastAsia="zh-CN"/>
        </w:rPr>
        <w:t>招标人</w:t>
      </w:r>
      <w:r>
        <w:rPr>
          <w:rFonts w:hint="eastAsia" w:ascii="宋体" w:hAnsi="宋体" w:eastAsia="宋体" w:cs="Times New Roman"/>
          <w:kern w:val="2"/>
        </w:rPr>
        <w:t>备案。</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Times New Roman"/>
          <w:kern w:val="2"/>
        </w:rPr>
      </w:pPr>
      <w:r>
        <w:rPr>
          <w:rFonts w:hint="eastAsia" w:ascii="宋体" w:hAnsi="宋体" w:eastAsia="宋体" w:cs="Times New Roman"/>
          <w:kern w:val="2"/>
        </w:rPr>
        <w:t>4.1.4.7</w:t>
      </w:r>
      <w:r>
        <w:rPr>
          <w:rFonts w:hint="eastAsia" w:ascii="宋体" w:hAnsi="宋体" w:eastAsia="宋体" w:cs="Times New Roman"/>
          <w:kern w:val="2"/>
          <w:lang w:eastAsia="zh-CN"/>
        </w:rPr>
        <w:t>投标人</w:t>
      </w:r>
      <w:r>
        <w:rPr>
          <w:rFonts w:hint="eastAsia" w:ascii="宋体" w:hAnsi="宋体" w:eastAsia="宋体" w:cs="Times New Roman"/>
          <w:kern w:val="2"/>
        </w:rPr>
        <w:t>应按照</w:t>
      </w:r>
      <w:r>
        <w:rPr>
          <w:rFonts w:hint="eastAsia" w:ascii="宋体" w:hAnsi="宋体" w:eastAsia="宋体" w:cs="Times New Roman"/>
          <w:kern w:val="2"/>
          <w:lang w:eastAsia="zh-CN"/>
        </w:rPr>
        <w:t>招标人</w:t>
      </w:r>
      <w:r>
        <w:rPr>
          <w:rFonts w:hint="eastAsia" w:ascii="宋体" w:hAnsi="宋体" w:eastAsia="宋体" w:cs="Times New Roman"/>
          <w:kern w:val="2"/>
        </w:rPr>
        <w:t>要求组织项目全员签订保密协议，报</w:t>
      </w:r>
      <w:r>
        <w:rPr>
          <w:rFonts w:hint="eastAsia" w:ascii="宋体" w:hAnsi="宋体" w:eastAsia="宋体" w:cs="Times New Roman"/>
          <w:kern w:val="2"/>
          <w:lang w:eastAsia="zh-CN"/>
        </w:rPr>
        <w:t>招标人</w:t>
      </w:r>
      <w:r>
        <w:rPr>
          <w:rFonts w:hint="eastAsia" w:ascii="宋体" w:hAnsi="宋体" w:eastAsia="宋体" w:cs="Times New Roman"/>
          <w:kern w:val="2"/>
        </w:rPr>
        <w:t>备案。</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4.1.5投标人须配置的组织架构及人员要求</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rPr>
        <w:t>4.1.5.1为保证本项目安全、顺利、高效、可靠地实施，</w:t>
      </w:r>
      <w:r>
        <w:rPr>
          <w:rFonts w:hint="eastAsia" w:ascii="宋体" w:hAnsi="宋体" w:eastAsia="宋体" w:cs="宋体"/>
          <w:lang w:eastAsia="zh-CN"/>
        </w:rPr>
        <w:t>投标人</w:t>
      </w:r>
      <w:r>
        <w:rPr>
          <w:rFonts w:hint="eastAsia" w:ascii="宋体" w:hAnsi="宋体" w:eastAsia="宋体" w:cs="宋体"/>
        </w:rPr>
        <w:t>需配设项目负责人及施工班组，具体组织架构详见表1，岗位要求及岗位职责详见表2。</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表1项目人员组织架构表</w:t>
      </w:r>
    </w:p>
    <w:p>
      <w:pPr>
        <w:pageBreakBefore w:val="0"/>
        <w:kinsoku/>
        <w:wordWrap/>
        <w:overflowPunct/>
        <w:topLinePunct w:val="0"/>
        <w:autoSpaceDE/>
        <w:autoSpaceDN/>
        <w:bidi w:val="0"/>
        <w:snapToGrid/>
        <w:spacing w:before="0" w:after="0" w:afterAutospacing="0" w:line="360" w:lineRule="auto"/>
        <w:ind w:left="0" w:right="0" w:firstLine="0"/>
        <w:textAlignment w:val="auto"/>
        <w:rPr>
          <w:rFonts w:ascii="宋体" w:hAnsi="Courier New" w:eastAsia="宋体" w:cs="Courier New"/>
          <w:kern w:val="2"/>
        </w:rPr>
      </w:pPr>
      <w:r>
        <w:rPr>
          <w:rFonts w:ascii="Calibri" w:hAnsi="宋体" w:eastAsia="宋体" w:cs="宋体"/>
          <w:kern w:val="2"/>
          <w:szCs w:val="24"/>
        </w:rPr>
        <w:drawing>
          <wp:inline distT="0" distB="0" distL="114300" distR="114300">
            <wp:extent cx="5534660" cy="1337945"/>
            <wp:effectExtent l="0" t="0" r="8890" b="14605"/>
            <wp:docPr id="5" name="图片 5" descr="Dingtalk_2021072117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ingtalk_20210721175217"/>
                    <pic:cNvPicPr>
                      <a:picLocks noChangeAspect="1"/>
                    </pic:cNvPicPr>
                  </pic:nvPicPr>
                  <pic:blipFill>
                    <a:blip r:embed="rId18"/>
                    <a:stretch>
                      <a:fillRect/>
                    </a:stretch>
                  </pic:blipFill>
                  <pic:spPr>
                    <a:xfrm>
                      <a:off x="0" y="0"/>
                      <a:ext cx="5534660" cy="1337945"/>
                    </a:xfrm>
                    <a:prstGeom prst="rect">
                      <a:avLst/>
                    </a:prstGeom>
                  </pic:spPr>
                </pic:pic>
              </a:graphicData>
            </a:graphic>
          </wp:inline>
        </w:drawing>
      </w:r>
    </w:p>
    <w:p>
      <w:pPr>
        <w:pageBreakBefore w:val="0"/>
        <w:widowControl w:val="0"/>
        <w:kinsoku/>
        <w:wordWrap/>
        <w:overflowPunct/>
        <w:topLinePunct w:val="0"/>
        <w:autoSpaceDE/>
        <w:autoSpaceDN/>
        <w:bidi w:val="0"/>
        <w:snapToGrid/>
        <w:spacing w:before="0" w:after="0" w:afterAutospacing="0" w:line="360" w:lineRule="auto"/>
        <w:ind w:left="0" w:right="0" w:firstLine="420" w:firstLineChars="200"/>
        <w:textAlignment w:val="auto"/>
        <w:rPr>
          <w:rFonts w:ascii="宋体" w:hAnsi="Courier New" w:eastAsia="宋体" w:cs="Courier New"/>
          <w:kern w:val="2"/>
        </w:rPr>
      </w:pPr>
      <w:r>
        <w:rPr>
          <w:rFonts w:hint="eastAsia" w:ascii="宋体" w:hAnsi="Courier New" w:eastAsia="宋体" w:cs="Courier New"/>
          <w:kern w:val="2"/>
        </w:rPr>
        <w:t>表2项目人员岗位要求及岗位职责</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630"/>
        <w:gridCol w:w="2560"/>
        <w:gridCol w:w="3954"/>
        <w:gridCol w:w="749"/>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31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b/>
                <w:bCs/>
                <w:kern w:val="2"/>
                <w:sz w:val="18"/>
                <w:szCs w:val="18"/>
              </w:rPr>
            </w:pPr>
            <w:r>
              <w:rPr>
                <w:rFonts w:hint="eastAsia" w:ascii="宋体" w:hAnsi="宋体" w:eastAsia="宋体" w:cs="宋体"/>
                <w:b/>
                <w:bCs/>
                <w:kern w:val="2"/>
                <w:sz w:val="18"/>
                <w:szCs w:val="18"/>
              </w:rPr>
              <w:t>类别</w:t>
            </w:r>
          </w:p>
        </w:tc>
        <w:tc>
          <w:tcPr>
            <w:tcW w:w="3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b/>
                <w:bCs/>
                <w:kern w:val="2"/>
                <w:sz w:val="18"/>
                <w:szCs w:val="18"/>
              </w:rPr>
            </w:pPr>
            <w:r>
              <w:rPr>
                <w:rFonts w:hint="eastAsia" w:ascii="宋体" w:hAnsi="宋体" w:eastAsia="宋体" w:cs="宋体"/>
                <w:b/>
                <w:bCs/>
                <w:kern w:val="2"/>
                <w:sz w:val="18"/>
                <w:szCs w:val="18"/>
              </w:rPr>
              <w:t>岗位</w:t>
            </w:r>
          </w:p>
        </w:tc>
        <w:tc>
          <w:tcPr>
            <w:tcW w:w="142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b/>
                <w:bCs/>
                <w:kern w:val="2"/>
                <w:sz w:val="18"/>
                <w:szCs w:val="18"/>
              </w:rPr>
            </w:pPr>
            <w:r>
              <w:rPr>
                <w:rFonts w:hint="eastAsia" w:ascii="宋体" w:hAnsi="宋体" w:eastAsia="宋体" w:cs="宋体"/>
                <w:b/>
                <w:bCs/>
                <w:kern w:val="2"/>
                <w:sz w:val="18"/>
                <w:szCs w:val="18"/>
              </w:rPr>
              <w:t>岗位要求</w:t>
            </w:r>
          </w:p>
        </w:tc>
        <w:tc>
          <w:tcPr>
            <w:tcW w:w="219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b/>
                <w:bCs/>
                <w:kern w:val="2"/>
                <w:sz w:val="18"/>
                <w:szCs w:val="18"/>
              </w:rPr>
            </w:pPr>
            <w:r>
              <w:rPr>
                <w:rFonts w:hint="eastAsia" w:ascii="宋体" w:hAnsi="宋体" w:eastAsia="宋体" w:cs="宋体"/>
                <w:b/>
                <w:bCs/>
                <w:kern w:val="2"/>
                <w:sz w:val="18"/>
                <w:szCs w:val="18"/>
              </w:rPr>
              <w:t>岗位职责</w:t>
            </w:r>
          </w:p>
        </w:tc>
        <w:tc>
          <w:tcPr>
            <w:tcW w:w="416" w:type="pct"/>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b/>
                <w:bCs/>
                <w:kern w:val="2"/>
                <w:sz w:val="18"/>
                <w:szCs w:val="18"/>
              </w:rPr>
            </w:pPr>
            <w:r>
              <w:rPr>
                <w:rFonts w:hint="eastAsia" w:ascii="宋体" w:hAnsi="宋体" w:eastAsia="宋体" w:cs="宋体"/>
                <w:b/>
                <w:bCs/>
                <w:kern w:val="2"/>
                <w:sz w:val="18"/>
                <w:szCs w:val="18"/>
              </w:rPr>
              <w:t>人数要求</w:t>
            </w:r>
          </w:p>
        </w:tc>
        <w:tc>
          <w:tcPr>
            <w:tcW w:w="30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b/>
                <w:bCs/>
                <w:kern w:val="2"/>
                <w:sz w:val="18"/>
                <w:szCs w:val="18"/>
              </w:rPr>
            </w:pPr>
            <w:r>
              <w:rPr>
                <w:rFonts w:hint="eastAsia" w:ascii="宋体" w:hAnsi="宋体" w:eastAsia="宋体" w:cs="宋体"/>
                <w:b/>
                <w:bCs/>
                <w:kern w:val="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 w:hRule="atLeast"/>
          <w:jc w:val="center"/>
        </w:trPr>
        <w:tc>
          <w:tcPr>
            <w:tcW w:w="31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项目</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负责人</w:t>
            </w:r>
          </w:p>
        </w:tc>
        <w:tc>
          <w:tcPr>
            <w:tcW w:w="3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项目经理</w:t>
            </w:r>
          </w:p>
        </w:tc>
        <w:tc>
          <w:tcPr>
            <w:tcW w:w="142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auto"/>
              <w:rPr>
                <w:rFonts w:ascii="宋体" w:hAnsi="宋体" w:eastAsia="宋体" w:cs="宋体"/>
                <w:kern w:val="2"/>
                <w:sz w:val="18"/>
                <w:szCs w:val="18"/>
              </w:rPr>
            </w:pPr>
            <w:r>
              <w:rPr>
                <w:rFonts w:hint="eastAsia" w:ascii="宋体" w:hAnsi="宋体" w:eastAsia="宋体" w:cs="宋体"/>
                <w:kern w:val="2"/>
                <w:sz w:val="18"/>
                <w:szCs w:val="18"/>
              </w:rPr>
              <w:t>1.为</w:t>
            </w:r>
            <w:r>
              <w:rPr>
                <w:rFonts w:hint="eastAsia" w:ascii="宋体" w:hAnsi="宋体" w:eastAsia="宋体" w:cs="宋体"/>
                <w:kern w:val="2"/>
                <w:sz w:val="18"/>
                <w:szCs w:val="18"/>
                <w:lang w:eastAsia="zh-CN"/>
              </w:rPr>
              <w:t>投标人</w:t>
            </w:r>
            <w:r>
              <w:rPr>
                <w:rFonts w:hint="eastAsia" w:ascii="宋体" w:hAnsi="宋体" w:eastAsia="宋体" w:cs="宋体"/>
                <w:kern w:val="2"/>
                <w:sz w:val="18"/>
                <w:szCs w:val="18"/>
              </w:rPr>
              <w:t>在职正式员工，与</w:t>
            </w:r>
            <w:r>
              <w:rPr>
                <w:rFonts w:hint="eastAsia" w:ascii="宋体" w:hAnsi="宋体" w:eastAsia="宋体" w:cs="宋体"/>
                <w:kern w:val="2"/>
                <w:sz w:val="18"/>
                <w:szCs w:val="18"/>
                <w:lang w:eastAsia="zh-CN"/>
              </w:rPr>
              <w:t>投标人</w:t>
            </w:r>
            <w:r>
              <w:rPr>
                <w:rFonts w:hint="eastAsia" w:ascii="宋体" w:hAnsi="宋体" w:eastAsia="宋体" w:cs="宋体"/>
                <w:kern w:val="2"/>
                <w:sz w:val="18"/>
                <w:szCs w:val="18"/>
              </w:rPr>
              <w:t>签订了劳动合同、</w:t>
            </w:r>
            <w:r>
              <w:rPr>
                <w:rFonts w:hint="eastAsia" w:ascii="宋体" w:hAnsi="宋体" w:eastAsia="宋体" w:cs="宋体"/>
                <w:kern w:val="2"/>
                <w:sz w:val="18"/>
                <w:szCs w:val="18"/>
                <w:lang w:eastAsia="zh-CN"/>
              </w:rPr>
              <w:t>投标人</w:t>
            </w:r>
            <w:r>
              <w:rPr>
                <w:rFonts w:hint="eastAsia" w:ascii="宋体" w:hAnsi="宋体" w:eastAsia="宋体" w:cs="宋体"/>
                <w:kern w:val="2"/>
                <w:sz w:val="18"/>
                <w:szCs w:val="18"/>
              </w:rPr>
              <w:t>为其依法缴纳</w:t>
            </w:r>
            <w:r>
              <w:rPr>
                <w:rFonts w:hint="eastAsia" w:ascii="宋体" w:hAnsi="宋体" w:eastAsia="宋体" w:cs="宋体"/>
                <w:kern w:val="2"/>
                <w:sz w:val="18"/>
                <w:szCs w:val="18"/>
                <w:lang w:val="en-US" w:eastAsia="zh-CN"/>
              </w:rPr>
              <w:t>投标</w:t>
            </w:r>
            <w:r>
              <w:rPr>
                <w:rFonts w:hint="eastAsia" w:ascii="宋体" w:hAnsi="宋体" w:eastAsia="宋体" w:cs="宋体"/>
                <w:kern w:val="2"/>
                <w:sz w:val="18"/>
                <w:szCs w:val="18"/>
              </w:rPr>
              <w:t>申请文件递交截止日前半年内任意连续三个月的社保。</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auto"/>
              <w:rPr>
                <w:rFonts w:ascii="宋体" w:hAnsi="宋体" w:eastAsia="宋体" w:cs="宋体"/>
                <w:kern w:val="2"/>
                <w:sz w:val="18"/>
                <w:szCs w:val="18"/>
              </w:rPr>
            </w:pPr>
            <w:r>
              <w:rPr>
                <w:rFonts w:hint="eastAsia" w:ascii="宋体" w:hAnsi="宋体" w:eastAsia="宋体" w:cs="宋体"/>
                <w:kern w:val="2"/>
                <w:sz w:val="18"/>
                <w:szCs w:val="18"/>
              </w:rPr>
              <w:t>2.具有良好的沟通、团结协作的能力。</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auto"/>
              <w:rPr>
                <w:rFonts w:ascii="宋体" w:hAnsi="宋体" w:eastAsia="宋体" w:cs="宋体"/>
                <w:kern w:val="2"/>
                <w:sz w:val="18"/>
                <w:szCs w:val="18"/>
              </w:rPr>
            </w:pPr>
          </w:p>
        </w:tc>
        <w:tc>
          <w:tcPr>
            <w:tcW w:w="219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auto"/>
              <w:rPr>
                <w:rFonts w:ascii="宋体" w:hAnsi="宋体" w:eastAsia="宋体" w:cs="宋体"/>
                <w:kern w:val="2"/>
                <w:sz w:val="18"/>
                <w:szCs w:val="18"/>
              </w:rPr>
            </w:pPr>
            <w:r>
              <w:rPr>
                <w:rFonts w:hint="eastAsia" w:ascii="宋体" w:hAnsi="宋体" w:eastAsia="宋体" w:cs="宋体"/>
                <w:kern w:val="2"/>
                <w:sz w:val="18"/>
                <w:szCs w:val="18"/>
              </w:rPr>
              <w:t>1.受项目</w:t>
            </w:r>
            <w:r>
              <w:rPr>
                <w:rFonts w:hint="eastAsia" w:ascii="宋体" w:hAnsi="宋体" w:eastAsia="宋体" w:cs="宋体"/>
                <w:kern w:val="2"/>
                <w:sz w:val="18"/>
                <w:szCs w:val="18"/>
                <w:lang w:eastAsia="zh-CN"/>
              </w:rPr>
              <w:t>招标人</w:t>
            </w:r>
            <w:r>
              <w:rPr>
                <w:rFonts w:hint="eastAsia" w:ascii="宋体" w:hAnsi="宋体" w:eastAsia="宋体" w:cs="宋体"/>
                <w:kern w:val="2"/>
                <w:sz w:val="18"/>
                <w:szCs w:val="18"/>
              </w:rPr>
              <w:t>的领导，负责项目施工现场全面生产管理工作。对施工安装质量、安全生产和环境保护负有直接的领导责任。</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auto"/>
              <w:rPr>
                <w:rFonts w:ascii="宋体" w:hAnsi="宋体" w:eastAsia="宋体" w:cs="宋体"/>
                <w:kern w:val="2"/>
                <w:sz w:val="18"/>
                <w:szCs w:val="18"/>
              </w:rPr>
            </w:pPr>
            <w:r>
              <w:rPr>
                <w:rFonts w:hint="eastAsia" w:ascii="宋体" w:hAnsi="宋体" w:eastAsia="宋体" w:cs="宋体"/>
                <w:kern w:val="2"/>
                <w:sz w:val="18"/>
                <w:szCs w:val="18"/>
              </w:rPr>
              <w:t>2.负责协调现场工作。</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auto"/>
              <w:rPr>
                <w:rFonts w:ascii="宋体" w:hAnsi="宋体" w:eastAsia="宋体" w:cs="宋体"/>
                <w:kern w:val="2"/>
                <w:sz w:val="18"/>
                <w:szCs w:val="18"/>
              </w:rPr>
            </w:pPr>
            <w:r>
              <w:rPr>
                <w:rFonts w:hint="eastAsia" w:ascii="宋体" w:hAnsi="宋体" w:eastAsia="宋体" w:cs="宋体"/>
                <w:kern w:val="2"/>
                <w:sz w:val="18"/>
                <w:szCs w:val="18"/>
              </w:rPr>
              <w:t>3.参加</w:t>
            </w:r>
            <w:r>
              <w:rPr>
                <w:rFonts w:hint="eastAsia" w:ascii="宋体" w:hAnsi="宋体" w:eastAsia="宋体" w:cs="宋体"/>
                <w:kern w:val="2"/>
                <w:sz w:val="18"/>
                <w:szCs w:val="18"/>
                <w:lang w:eastAsia="zh-CN"/>
              </w:rPr>
              <w:t>招标人</w:t>
            </w:r>
            <w:r>
              <w:rPr>
                <w:rFonts w:hint="eastAsia" w:ascii="宋体" w:hAnsi="宋体" w:eastAsia="宋体" w:cs="宋体"/>
                <w:kern w:val="2"/>
                <w:sz w:val="18"/>
                <w:szCs w:val="18"/>
              </w:rPr>
              <w:t>召开的工作例会，协调解决</w:t>
            </w:r>
            <w:r>
              <w:rPr>
                <w:rFonts w:hint="eastAsia" w:ascii="宋体" w:hAnsi="宋体" w:eastAsia="宋体" w:cs="宋体"/>
                <w:kern w:val="2"/>
                <w:sz w:val="18"/>
                <w:szCs w:val="18"/>
                <w:lang w:eastAsia="zh-CN"/>
              </w:rPr>
              <w:t>招标人</w:t>
            </w:r>
            <w:r>
              <w:rPr>
                <w:rFonts w:hint="eastAsia" w:ascii="宋体" w:hAnsi="宋体" w:eastAsia="宋体" w:cs="宋体"/>
                <w:kern w:val="2"/>
                <w:sz w:val="18"/>
                <w:szCs w:val="18"/>
              </w:rPr>
              <w:t>和施工过程中各相关方反映的问题与矛盾，达到统一指挥、协调配合的目的。</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auto"/>
              <w:rPr>
                <w:rFonts w:ascii="宋体" w:hAnsi="宋体" w:eastAsia="宋体" w:cs="宋体"/>
                <w:kern w:val="2"/>
                <w:sz w:val="18"/>
                <w:szCs w:val="18"/>
              </w:rPr>
            </w:pPr>
            <w:r>
              <w:rPr>
                <w:rFonts w:hint="eastAsia" w:ascii="宋体" w:hAnsi="宋体" w:eastAsia="宋体" w:cs="宋体"/>
                <w:kern w:val="2"/>
                <w:sz w:val="18"/>
                <w:szCs w:val="18"/>
              </w:rPr>
              <w:t>4.主持本项目的相关会议，落实项目施工生产计划和完成情况。</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auto"/>
              <w:rPr>
                <w:rFonts w:ascii="宋体" w:hAnsi="宋体" w:eastAsia="宋体" w:cs="宋体"/>
                <w:kern w:val="2"/>
                <w:sz w:val="18"/>
                <w:szCs w:val="18"/>
              </w:rPr>
            </w:pPr>
            <w:r>
              <w:rPr>
                <w:rFonts w:hint="eastAsia" w:ascii="宋体" w:hAnsi="宋体" w:eastAsia="宋体" w:cs="宋体"/>
                <w:kern w:val="2"/>
                <w:sz w:val="18"/>
                <w:szCs w:val="18"/>
              </w:rPr>
              <w:t>5.配置现场施工人员人数按项目计划、进度进行配置，服从招标方及监理的领导，如有必要增加相应施工工种人数需无条件服从。</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eastAsia="宋体" w:cs="宋体"/>
                <w:kern w:val="2"/>
                <w:sz w:val="18"/>
                <w:szCs w:val="18"/>
              </w:rPr>
            </w:pPr>
            <w:r>
              <w:rPr>
                <w:rFonts w:hint="eastAsia" w:ascii="宋体" w:hAnsi="宋体" w:eastAsia="宋体" w:cs="宋体"/>
                <w:kern w:val="2"/>
                <w:sz w:val="18"/>
                <w:szCs w:val="18"/>
              </w:rPr>
              <w:t>6.兼任施工现场负责人，要求驻点南宁本地。</w:t>
            </w:r>
          </w:p>
        </w:tc>
        <w:tc>
          <w:tcPr>
            <w:tcW w:w="416" w:type="pct"/>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1</w:t>
            </w:r>
          </w:p>
        </w:tc>
        <w:tc>
          <w:tcPr>
            <w:tcW w:w="30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1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施工工班</w:t>
            </w:r>
          </w:p>
        </w:tc>
        <w:tc>
          <w:tcPr>
            <w:tcW w:w="350"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施工人员</w:t>
            </w:r>
          </w:p>
        </w:tc>
        <w:tc>
          <w:tcPr>
            <w:tcW w:w="142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eastAsia="宋体" w:cs="宋体"/>
                <w:kern w:val="2"/>
                <w:sz w:val="18"/>
                <w:szCs w:val="18"/>
              </w:rPr>
            </w:pPr>
            <w:r>
              <w:rPr>
                <w:rFonts w:ascii="宋体" w:hAnsi="宋体" w:eastAsia="宋体" w:cs="宋体"/>
                <w:kern w:val="2"/>
                <w:sz w:val="18"/>
                <w:szCs w:val="18"/>
              </w:rPr>
              <w:t>施工人员需具有包括电工作业证等相对应的有效专业资格证</w:t>
            </w:r>
            <w:r>
              <w:rPr>
                <w:rFonts w:hint="eastAsia" w:ascii="宋体" w:hAnsi="宋体" w:eastAsia="宋体" w:cs="宋体"/>
                <w:kern w:val="2"/>
                <w:sz w:val="18"/>
                <w:szCs w:val="18"/>
              </w:rPr>
              <w:t>（至少提供1名具有电工作业证的施工人员）</w:t>
            </w:r>
            <w:r>
              <w:rPr>
                <w:rFonts w:ascii="宋体" w:hAnsi="宋体" w:eastAsia="宋体" w:cs="宋体"/>
                <w:kern w:val="2"/>
                <w:sz w:val="18"/>
                <w:szCs w:val="18"/>
              </w:rPr>
              <w:t>。</w:t>
            </w:r>
          </w:p>
        </w:tc>
        <w:tc>
          <w:tcPr>
            <w:tcW w:w="219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auto"/>
              <w:rPr>
                <w:rFonts w:ascii="宋体" w:hAnsi="宋体" w:eastAsia="宋体" w:cs="宋体"/>
                <w:kern w:val="2"/>
                <w:sz w:val="18"/>
                <w:szCs w:val="18"/>
              </w:rPr>
            </w:pPr>
            <w:r>
              <w:rPr>
                <w:rFonts w:hint="eastAsia" w:ascii="宋体" w:hAnsi="宋体" w:eastAsia="宋体" w:cs="宋体"/>
                <w:kern w:val="2"/>
                <w:sz w:val="18"/>
                <w:szCs w:val="18"/>
              </w:rPr>
              <w:t>1.包括但不限于需求书中所涉及到的充电桩基础、电缆井改造、电气电缆线路改造、设施设备的安装调试等工作。</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auto"/>
              <w:rPr>
                <w:rFonts w:ascii="宋体" w:hAnsi="宋体" w:eastAsia="宋体" w:cs="宋体"/>
                <w:kern w:val="2"/>
                <w:sz w:val="18"/>
                <w:szCs w:val="18"/>
              </w:rPr>
            </w:pPr>
            <w:r>
              <w:rPr>
                <w:rFonts w:hint="eastAsia" w:ascii="宋体" w:hAnsi="宋体" w:eastAsia="宋体" w:cs="宋体"/>
                <w:kern w:val="2"/>
                <w:sz w:val="18"/>
                <w:szCs w:val="18"/>
              </w:rPr>
              <w:t>2.涉及专业设施设备需配合招标方相关部门中心方可执行。</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auto"/>
              <w:rPr>
                <w:rFonts w:ascii="宋体" w:hAnsi="宋体" w:eastAsia="宋体" w:cs="宋体"/>
                <w:kern w:val="2"/>
                <w:sz w:val="18"/>
                <w:szCs w:val="18"/>
              </w:rPr>
            </w:pPr>
            <w:r>
              <w:rPr>
                <w:rFonts w:hint="eastAsia" w:ascii="宋体" w:hAnsi="宋体" w:eastAsia="宋体" w:cs="宋体"/>
                <w:kern w:val="2"/>
                <w:sz w:val="18"/>
                <w:szCs w:val="18"/>
              </w:rPr>
              <w:t>3.配置人数比例按项目计划、进度进行配置，听从招标方、项目负责人及施工现场负责人的工作安排。</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eastAsia="宋体" w:cs="宋体"/>
                <w:kern w:val="2"/>
                <w:sz w:val="18"/>
                <w:szCs w:val="18"/>
              </w:rPr>
            </w:pPr>
            <w:r>
              <w:rPr>
                <w:rFonts w:hint="eastAsia" w:ascii="宋体" w:hAnsi="宋体" w:eastAsia="宋体" w:cs="宋体"/>
                <w:kern w:val="2"/>
                <w:sz w:val="18"/>
                <w:szCs w:val="18"/>
              </w:rPr>
              <w:t>4.以上为最低要求标准，包括但不限于以上工种，实际配置人数以签订合同为准。</w:t>
            </w:r>
          </w:p>
        </w:tc>
        <w:tc>
          <w:tcPr>
            <w:tcW w:w="416" w:type="pct"/>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r>
              <w:rPr>
                <w:rFonts w:hint="eastAsia" w:ascii="宋体" w:hAnsi="宋体" w:eastAsia="宋体" w:cs="宋体"/>
                <w:kern w:val="2"/>
                <w:sz w:val="18"/>
                <w:szCs w:val="18"/>
              </w:rPr>
              <w:t>5</w:t>
            </w:r>
          </w:p>
        </w:tc>
        <w:tc>
          <w:tcPr>
            <w:tcW w:w="30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宋体"/>
                <w:kern w:val="2"/>
                <w:sz w:val="18"/>
                <w:szCs w:val="18"/>
              </w:rPr>
            </w:pPr>
          </w:p>
        </w:tc>
      </w:tr>
    </w:tbl>
    <w:p>
      <w:pPr>
        <w:pageBreakBefore w:val="0"/>
        <w:widowControl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备注：</w:t>
      </w:r>
    </w:p>
    <w:p>
      <w:pPr>
        <w:pageBreakBefore w:val="0"/>
        <w:widowControl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（1）以上人员配备为合同期内现场需求的最低标准，中标方须根据现场实际需要或业主临时任务安排适当增加人员，人数增加时费用不做调整。</w:t>
      </w:r>
    </w:p>
    <w:p>
      <w:pPr>
        <w:pageBreakBefore w:val="0"/>
        <w:widowControl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（2）所有人员均应专业对口或具有与其岗位工作相适应的工作经历，身体健康。</w:t>
      </w:r>
    </w:p>
    <w:p>
      <w:pPr>
        <w:pageBreakBefore w:val="0"/>
        <w:widowControl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w:t>
      </w:r>
      <w:r>
        <w:rPr>
          <w:rFonts w:ascii="宋体" w:hAnsi="宋体" w:eastAsia="宋体" w:cs="宋体"/>
          <w:kern w:val="2"/>
        </w:rPr>
        <w:t>3</w:t>
      </w:r>
      <w:r>
        <w:rPr>
          <w:rFonts w:hint="eastAsia" w:ascii="宋体" w:hAnsi="宋体" w:eastAsia="宋体" w:cs="宋体"/>
          <w:kern w:val="2"/>
        </w:rPr>
        <w:t>）人员到岗要求：从下达开工令之日起，人员到岗要求须严格按照上表规定执行。</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4.1.5.</w:t>
      </w:r>
      <w:r>
        <w:rPr>
          <w:rFonts w:ascii="宋体" w:hAnsi="宋体" w:eastAsia="宋体" w:cs="宋体"/>
          <w:kern w:val="2"/>
        </w:rPr>
        <w:t>2</w:t>
      </w:r>
      <w:r>
        <w:rPr>
          <w:rFonts w:hint="eastAsia" w:ascii="宋体" w:hAnsi="宋体" w:eastAsia="宋体" w:cs="宋体"/>
          <w:kern w:val="2"/>
        </w:rPr>
        <w:t>特种设备及特种作业人员（如电工作业等），必须持有政府相关部门颁发的特种作业操作证方可上岗作业，并按照相关要求佩戴配套的防护劳保用品进行作业，严禁无证或有证不按照要求佩戴防护、劳保用品人员上岗作业。</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4.1.5.</w:t>
      </w:r>
      <w:r>
        <w:rPr>
          <w:rFonts w:ascii="宋体" w:hAnsi="宋体" w:eastAsia="宋体" w:cs="宋体"/>
          <w:kern w:val="2"/>
        </w:rPr>
        <w:t>3</w:t>
      </w:r>
      <w:r>
        <w:rPr>
          <w:rFonts w:hint="eastAsia" w:ascii="宋体" w:hAnsi="宋体" w:eastAsia="宋体" w:cs="宋体"/>
          <w:kern w:val="2"/>
          <w:lang w:eastAsia="zh-CN"/>
        </w:rPr>
        <w:t>投标人</w:t>
      </w:r>
      <w:r>
        <w:rPr>
          <w:rFonts w:hint="eastAsia" w:ascii="宋体" w:hAnsi="宋体" w:eastAsia="宋体" w:cs="宋体"/>
          <w:kern w:val="2"/>
        </w:rPr>
        <w:t>所有人员必须身体健康，按</w:t>
      </w:r>
      <w:r>
        <w:rPr>
          <w:rFonts w:hint="eastAsia" w:ascii="宋体" w:hAnsi="宋体" w:eastAsia="宋体" w:cs="宋体"/>
          <w:kern w:val="2"/>
          <w:lang w:eastAsia="zh-CN"/>
        </w:rPr>
        <w:t>招标人</w:t>
      </w:r>
      <w:r>
        <w:rPr>
          <w:rFonts w:hint="eastAsia" w:ascii="宋体" w:hAnsi="宋体" w:eastAsia="宋体" w:cs="宋体"/>
          <w:kern w:val="2"/>
        </w:rPr>
        <w:t>要求体检合格后方可上岗。</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4.1.5.</w:t>
      </w:r>
      <w:r>
        <w:rPr>
          <w:rFonts w:ascii="宋体" w:hAnsi="宋体" w:eastAsia="宋体" w:cs="宋体"/>
          <w:kern w:val="2"/>
        </w:rPr>
        <w:t>4</w:t>
      </w:r>
      <w:r>
        <w:rPr>
          <w:rFonts w:hint="eastAsia" w:ascii="宋体" w:hAnsi="宋体" w:eastAsia="宋体" w:cs="宋体"/>
          <w:kern w:val="2"/>
          <w:lang w:eastAsia="zh-CN"/>
        </w:rPr>
        <w:t>投标人</w:t>
      </w:r>
      <w:r>
        <w:rPr>
          <w:rFonts w:hint="eastAsia" w:ascii="宋体" w:hAnsi="宋体" w:eastAsia="宋体" w:cs="宋体"/>
          <w:kern w:val="2"/>
        </w:rPr>
        <w:t>所有人员的资格证件及身份证件的复印件必须交</w:t>
      </w:r>
      <w:r>
        <w:rPr>
          <w:rFonts w:hint="eastAsia" w:ascii="宋体" w:hAnsi="宋体" w:eastAsia="宋体" w:cs="宋体"/>
          <w:kern w:val="2"/>
          <w:lang w:eastAsia="zh-CN"/>
        </w:rPr>
        <w:t>招标人</w:t>
      </w:r>
      <w:r>
        <w:rPr>
          <w:rFonts w:hint="eastAsia" w:ascii="宋体" w:hAnsi="宋体" w:eastAsia="宋体" w:cs="宋体"/>
          <w:kern w:val="2"/>
        </w:rPr>
        <w:t>相关部门备案，含学历（学位）证书复印件、身份证复印件、技术资格证件复印件、技能等级证复印件、体检报告等。</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4.1.5.</w:t>
      </w:r>
      <w:r>
        <w:rPr>
          <w:rFonts w:ascii="宋体" w:hAnsi="宋体" w:eastAsia="宋体" w:cs="宋体"/>
          <w:kern w:val="2"/>
        </w:rPr>
        <w:t>5</w:t>
      </w:r>
      <w:r>
        <w:rPr>
          <w:rFonts w:hint="eastAsia" w:ascii="宋体" w:hAnsi="宋体" w:eastAsia="宋体" w:cs="宋体"/>
          <w:kern w:val="2"/>
          <w:lang w:eastAsia="zh-CN"/>
        </w:rPr>
        <w:t>招标人</w:t>
      </w:r>
      <w:r>
        <w:rPr>
          <w:rFonts w:hint="eastAsia" w:ascii="宋体" w:hAnsi="宋体" w:eastAsia="宋体" w:cs="宋体"/>
          <w:kern w:val="2"/>
        </w:rPr>
        <w:t>可根据现场工作需求，有权要求</w:t>
      </w:r>
      <w:r>
        <w:rPr>
          <w:rFonts w:hint="eastAsia" w:ascii="宋体" w:hAnsi="宋体" w:eastAsia="宋体" w:cs="宋体"/>
          <w:kern w:val="2"/>
          <w:lang w:eastAsia="zh-CN"/>
        </w:rPr>
        <w:t>投标人</w:t>
      </w:r>
      <w:r>
        <w:rPr>
          <w:rFonts w:hint="eastAsia" w:ascii="宋体" w:hAnsi="宋体" w:eastAsia="宋体" w:cs="宋体"/>
          <w:kern w:val="2"/>
        </w:rPr>
        <w:t>更换不符合要求的人员。</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4.1.5.</w:t>
      </w:r>
      <w:r>
        <w:rPr>
          <w:rFonts w:ascii="宋体" w:hAnsi="宋体" w:eastAsia="宋体" w:cs="宋体"/>
          <w:kern w:val="2"/>
        </w:rPr>
        <w:t>6</w:t>
      </w:r>
      <w:r>
        <w:rPr>
          <w:rFonts w:hint="eastAsia" w:ascii="宋体" w:hAnsi="宋体" w:eastAsia="宋体" w:cs="宋体"/>
          <w:kern w:val="2"/>
        </w:rPr>
        <w:t>所有人员不得兼职，且工作时间须在现场服务。</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kern w:val="2"/>
        </w:rPr>
      </w:pPr>
      <w:r>
        <w:rPr>
          <w:rFonts w:hint="eastAsia" w:ascii="宋体" w:hAnsi="宋体" w:eastAsia="宋体" w:cs="宋体"/>
          <w:kern w:val="2"/>
        </w:rPr>
        <w:t>4.1.5.</w:t>
      </w:r>
      <w:r>
        <w:rPr>
          <w:rFonts w:ascii="宋体" w:hAnsi="宋体" w:eastAsia="宋体" w:cs="宋体"/>
          <w:kern w:val="2"/>
        </w:rPr>
        <w:t>7</w:t>
      </w:r>
      <w:r>
        <w:rPr>
          <w:rFonts w:hint="eastAsia" w:ascii="宋体" w:hAnsi="宋体" w:eastAsia="宋体" w:cs="宋体"/>
          <w:kern w:val="2"/>
          <w:lang w:eastAsia="zh-CN"/>
        </w:rPr>
        <w:t>投标人</w:t>
      </w:r>
      <w:r>
        <w:rPr>
          <w:rFonts w:hint="eastAsia" w:ascii="宋体" w:hAnsi="宋体" w:eastAsia="宋体" w:cs="宋体"/>
          <w:kern w:val="2"/>
        </w:rPr>
        <w:t>人员食宿及生产交通工具需自行解决。</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961" w:name="_Toc15750"/>
      <w:bookmarkStart w:id="962" w:name="_Toc238"/>
      <w:bookmarkStart w:id="963" w:name="_Toc1505"/>
      <w:bookmarkStart w:id="964" w:name="_Toc12022"/>
      <w:bookmarkStart w:id="965" w:name="_Toc29794"/>
      <w:bookmarkStart w:id="966" w:name="_Toc5849"/>
      <w:bookmarkStart w:id="967" w:name="_Toc16911"/>
      <w:bookmarkStart w:id="968" w:name="_Toc11085"/>
      <w:bookmarkStart w:id="969" w:name="_Toc30180"/>
      <w:bookmarkStart w:id="970" w:name="_Toc20822"/>
      <w:bookmarkStart w:id="971" w:name="_Toc4786"/>
      <w:bookmarkStart w:id="972" w:name="_Toc23873"/>
      <w:bookmarkStart w:id="973" w:name="_Toc24600"/>
      <w:bookmarkStart w:id="974" w:name="_Toc60212997"/>
      <w:bookmarkStart w:id="975" w:name="_Toc1328"/>
      <w:bookmarkStart w:id="976" w:name="_Toc26059"/>
      <w:bookmarkStart w:id="977" w:name="_Toc11482"/>
      <w:bookmarkStart w:id="978" w:name="_Toc6918"/>
      <w:bookmarkStart w:id="979" w:name="_Toc11131"/>
      <w:bookmarkStart w:id="980" w:name="_Toc79434377"/>
      <w:r>
        <w:rPr>
          <w:rFonts w:hint="eastAsia" w:ascii="宋体" w:hAnsi="宋体" w:eastAsia="宋体" w:cs="宋体"/>
          <w:b/>
          <w:bCs/>
          <w:kern w:val="44"/>
          <w:sz w:val="21"/>
          <w:szCs w:val="21"/>
          <w:lang w:val="en-US" w:eastAsia="zh-CN" w:bidi="ar-SA"/>
        </w:rPr>
        <w:t>4.2项目质量管理</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981" w:name="_Toc9165"/>
      <w:bookmarkStart w:id="982" w:name="_Toc9615"/>
      <w:r>
        <w:rPr>
          <w:rFonts w:hint="eastAsia" w:ascii="宋体" w:hAnsi="宋体" w:eastAsia="宋体" w:cs="宋体"/>
          <w:b/>
          <w:bCs/>
          <w:kern w:val="44"/>
          <w:sz w:val="21"/>
          <w:szCs w:val="21"/>
          <w:lang w:val="en-US" w:eastAsia="zh-CN" w:bidi="ar-SA"/>
        </w:rPr>
        <w:t>4.2.1项目工作内容</w:t>
      </w:r>
      <w:bookmarkEnd w:id="981"/>
      <w:bookmarkEnd w:id="982"/>
    </w:p>
    <w:p>
      <w:pPr>
        <w:pageBreakBefore w:val="0"/>
        <w:widowControl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lang w:eastAsia="zh-CN"/>
        </w:rPr>
        <w:t>投标人</w:t>
      </w:r>
      <w:r>
        <w:rPr>
          <w:rFonts w:ascii="宋体" w:hAnsi="宋体" w:eastAsia="宋体" w:cs="宋体"/>
        </w:rPr>
        <w:t>根据</w:t>
      </w:r>
      <w:r>
        <w:rPr>
          <w:rFonts w:hint="eastAsia" w:ascii="宋体" w:hAnsi="宋体" w:eastAsia="宋体" w:cs="宋体"/>
          <w:lang w:eastAsia="zh-CN"/>
        </w:rPr>
        <w:t>招标人</w:t>
      </w:r>
      <w:r>
        <w:rPr>
          <w:rFonts w:ascii="宋体" w:hAnsi="宋体" w:eastAsia="宋体" w:cs="宋体"/>
        </w:rPr>
        <w:t>的</w:t>
      </w:r>
      <w:r>
        <w:rPr>
          <w:rFonts w:hint="eastAsia" w:ascii="宋体" w:hAnsi="宋体" w:eastAsia="宋体" w:cs="宋体"/>
          <w:color w:val="000000"/>
          <w:kern w:val="2"/>
        </w:rPr>
        <w:t>南宁轨道交通运营有限公司2022年新能源汽车充电桩二期建设项目用户需求书进行充电桩的采购及安装，包括</w:t>
      </w:r>
      <w:r>
        <w:rPr>
          <w:rFonts w:hint="eastAsia" w:ascii="宋体" w:hAnsi="宋体" w:eastAsia="宋体" w:cs="宋体"/>
          <w:kern w:val="2"/>
        </w:rPr>
        <w:t>但不限于充电桩的施工图纸设计、运输、安装、验收及售后维护等工作。</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rPr>
        <w:t>4.2.1.1</w:t>
      </w:r>
      <w:r>
        <w:rPr>
          <w:rFonts w:ascii="宋体" w:hAnsi="宋体" w:eastAsia="宋体" w:cs="宋体"/>
        </w:rPr>
        <w:t>完成</w:t>
      </w:r>
      <w:r>
        <w:rPr>
          <w:rFonts w:hint="eastAsia" w:ascii="宋体" w:hAnsi="宋体" w:eastAsia="宋体" w:cs="宋体"/>
        </w:rPr>
        <w:t>那洪车辆基地场段内充电桩</w:t>
      </w:r>
      <w:r>
        <w:rPr>
          <w:rFonts w:ascii="宋体" w:hAnsi="宋体" w:eastAsia="宋体" w:cs="宋体"/>
        </w:rPr>
        <w:t>的采购及安装。</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rPr>
        <w:t>4.2.2.1基本要求</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rPr>
        <w:t>（1）</w:t>
      </w:r>
      <w:r>
        <w:rPr>
          <w:rFonts w:hint="eastAsia" w:ascii="宋体" w:hAnsi="宋体" w:eastAsia="宋体" w:cs="宋体"/>
          <w:lang w:eastAsia="zh-CN"/>
        </w:rPr>
        <w:t>投标人</w:t>
      </w:r>
      <w:r>
        <w:rPr>
          <w:rFonts w:ascii="宋体" w:hAnsi="宋体" w:eastAsia="宋体" w:cs="宋体"/>
        </w:rPr>
        <w:t>必须自行配备满足本项目要求的材料、工机具设备、交通工具等，其费用含在相关报价中。</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rPr>
        <w:t>（2）</w:t>
      </w:r>
      <w:r>
        <w:rPr>
          <w:rFonts w:hint="eastAsia" w:ascii="宋体" w:hAnsi="宋体" w:eastAsia="宋体" w:cs="宋体"/>
          <w:lang w:eastAsia="zh-CN"/>
        </w:rPr>
        <w:t>投标人</w:t>
      </w:r>
      <w:r>
        <w:rPr>
          <w:rFonts w:ascii="宋体" w:hAnsi="宋体" w:eastAsia="宋体" w:cs="宋体"/>
        </w:rPr>
        <w:t>在投标报价和</w:t>
      </w:r>
      <w:r>
        <w:rPr>
          <w:rFonts w:hint="eastAsia" w:ascii="宋体" w:hAnsi="宋体" w:eastAsia="宋体" w:cs="宋体"/>
        </w:rPr>
        <w:t>实施</w:t>
      </w:r>
      <w:r>
        <w:rPr>
          <w:rFonts w:ascii="宋体" w:hAnsi="宋体" w:eastAsia="宋体" w:cs="宋体"/>
        </w:rPr>
        <w:t>方案设计时应充分考虑技术条件的要求，对本项目的投标报价应被认为己充分理解本项目的技术条件。</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Times New Roman"/>
          <w:kern w:val="2"/>
          <w:szCs w:val="24"/>
        </w:rPr>
      </w:pPr>
      <w:r>
        <w:rPr>
          <w:rFonts w:hint="eastAsia" w:ascii="宋体" w:hAnsi="宋体" w:eastAsia="宋体" w:cs="宋体"/>
        </w:rPr>
        <w:t>（3）</w:t>
      </w:r>
      <w:r>
        <w:rPr>
          <w:rFonts w:hint="eastAsia" w:ascii="宋体" w:hAnsi="宋体" w:eastAsia="宋体" w:cs="宋体"/>
          <w:lang w:eastAsia="zh-CN"/>
        </w:rPr>
        <w:t>投标人</w:t>
      </w:r>
      <w:r>
        <w:rPr>
          <w:rFonts w:ascii="宋体" w:hAnsi="宋体" w:eastAsia="宋体" w:cs="宋体"/>
        </w:rPr>
        <w:t>应负责办理开展工作所需的证件、批件和其它必要的申请批准手续，</w:t>
      </w:r>
      <w:r>
        <w:rPr>
          <w:rFonts w:hint="eastAsia" w:ascii="宋体" w:hAnsi="宋体" w:eastAsia="宋体" w:cs="宋体"/>
          <w:lang w:eastAsia="zh-CN"/>
        </w:rPr>
        <w:t>招标人</w:t>
      </w:r>
      <w:r>
        <w:rPr>
          <w:rFonts w:ascii="宋体" w:hAnsi="宋体" w:eastAsia="宋体" w:cs="宋体"/>
        </w:rPr>
        <w:t>在必要时予以配合。</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rPr>
        <w:t>（4）</w:t>
      </w:r>
      <w:r>
        <w:rPr>
          <w:rFonts w:hint="eastAsia" w:ascii="宋体" w:hAnsi="宋体" w:eastAsia="宋体" w:cs="宋体"/>
          <w:lang w:eastAsia="zh-CN"/>
        </w:rPr>
        <w:t>投标人</w:t>
      </w:r>
      <w:r>
        <w:rPr>
          <w:rFonts w:ascii="宋体" w:hAnsi="宋体" w:eastAsia="宋体" w:cs="宋体"/>
        </w:rPr>
        <w:t>如对招标文件或合同文件有不同意见应在投标时及合同签订前提出，否则</w:t>
      </w:r>
      <w:r>
        <w:rPr>
          <w:rFonts w:hint="eastAsia" w:ascii="宋体" w:hAnsi="宋体" w:eastAsia="宋体" w:cs="宋体"/>
          <w:lang w:eastAsia="zh-CN"/>
        </w:rPr>
        <w:t>招标人</w:t>
      </w:r>
      <w:r>
        <w:rPr>
          <w:rFonts w:ascii="宋体" w:hAnsi="宋体" w:eastAsia="宋体" w:cs="宋体"/>
        </w:rPr>
        <w:t>视同认可。</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szCs w:val="24"/>
        </w:rPr>
      </w:pPr>
      <w:r>
        <w:rPr>
          <w:rFonts w:hint="eastAsia" w:ascii="宋体" w:hAnsi="宋体" w:eastAsia="宋体" w:cs="宋体"/>
          <w:szCs w:val="24"/>
        </w:rPr>
        <w:t>4.2.2.2项目要求</w:t>
      </w:r>
    </w:p>
    <w:p>
      <w:pPr>
        <w:pageBreakBefore w:val="0"/>
        <w:kinsoku/>
        <w:wordWrap/>
        <w:overflowPunct/>
        <w:topLinePunct w:val="0"/>
        <w:autoSpaceDN/>
        <w:bidi w:val="0"/>
        <w:adjustRightInd/>
        <w:snapToGrid/>
        <w:spacing w:before="0" w:after="0" w:afterAutospacing="0" w:line="360" w:lineRule="auto"/>
        <w:ind w:left="0" w:right="0" w:firstLine="420" w:firstLineChars="200"/>
        <w:textAlignment w:val="auto"/>
        <w:rPr>
          <w:rFonts w:ascii="宋体" w:hAnsi="宋体" w:eastAsia="宋体" w:cs="宋体"/>
        </w:rPr>
      </w:pPr>
      <w:r>
        <w:rPr>
          <w:rFonts w:hint="eastAsia" w:ascii="宋体" w:hAnsi="宋体" w:eastAsia="宋体" w:cs="宋体"/>
          <w:szCs w:val="24"/>
        </w:rPr>
        <w:t>对运营公司</w:t>
      </w:r>
      <w:r>
        <w:rPr>
          <w:rFonts w:hint="eastAsia" w:ascii="宋体" w:hAnsi="宋体" w:eastAsia="宋体" w:cs="宋体"/>
          <w:kern w:val="2"/>
        </w:rPr>
        <w:t>那洪车辆基地综合维修楼区域周边建设一批电动汽车充电桩（以下简称“充电桩”）</w:t>
      </w:r>
      <w:r>
        <w:rPr>
          <w:rFonts w:hint="eastAsia" w:ascii="仿宋" w:hAnsi="仿宋" w:eastAsia="仿宋" w:cs="Times New Roman"/>
          <w:kern w:val="2"/>
        </w:rPr>
        <w:t>，</w:t>
      </w:r>
      <w:r>
        <w:rPr>
          <w:rFonts w:hint="eastAsia" w:ascii="宋体" w:hAnsi="宋体" w:eastAsia="宋体" w:cs="宋体"/>
          <w:szCs w:val="24"/>
        </w:rPr>
        <w:t>作为给新能源汽车充电使用。</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983" w:name="_Toc7358"/>
      <w:bookmarkStart w:id="984" w:name="_Toc5259"/>
      <w:bookmarkStart w:id="985" w:name="_Toc19328"/>
      <w:bookmarkStart w:id="986" w:name="_Toc23579"/>
      <w:bookmarkStart w:id="987" w:name="_Toc20734"/>
      <w:bookmarkStart w:id="988" w:name="_Toc14261"/>
      <w:bookmarkStart w:id="989" w:name="_Toc23133"/>
      <w:bookmarkStart w:id="990" w:name="_Toc60212998"/>
      <w:bookmarkStart w:id="991" w:name="_Toc1248"/>
      <w:bookmarkStart w:id="992" w:name="_Toc262"/>
      <w:bookmarkStart w:id="993" w:name="_Toc19129"/>
      <w:bookmarkStart w:id="994" w:name="_Toc6798"/>
      <w:bookmarkStart w:id="995" w:name="_Toc20417"/>
      <w:bookmarkStart w:id="996" w:name="_Toc3557"/>
      <w:bookmarkStart w:id="997" w:name="_Toc20160"/>
      <w:bookmarkStart w:id="998" w:name="_Toc29897"/>
      <w:bookmarkStart w:id="999" w:name="_Toc6478"/>
      <w:bookmarkStart w:id="1000" w:name="_Toc10189"/>
      <w:bookmarkStart w:id="1001" w:name="_Toc18774"/>
      <w:bookmarkStart w:id="1002" w:name="_Toc16996"/>
      <w:bookmarkStart w:id="1003" w:name="_Toc30938"/>
      <w:bookmarkStart w:id="1004" w:name="_Toc15218"/>
      <w:bookmarkStart w:id="1005" w:name="_Toc27061"/>
      <w:bookmarkStart w:id="1006" w:name="_Toc1818"/>
      <w:bookmarkStart w:id="1007" w:name="_Toc27829"/>
      <w:bookmarkStart w:id="1008" w:name="_Toc27220"/>
      <w:bookmarkStart w:id="1009" w:name="_Toc18238"/>
      <w:bookmarkStart w:id="1010" w:name="_Toc20756"/>
      <w:bookmarkStart w:id="1011" w:name="_Toc79434378"/>
      <w:bookmarkStart w:id="1012" w:name="_Toc23684"/>
      <w:bookmarkStart w:id="1013" w:name="_Toc13955"/>
      <w:bookmarkStart w:id="1014" w:name="_Toc21682"/>
      <w:r>
        <w:rPr>
          <w:rFonts w:hint="eastAsia" w:ascii="宋体" w:hAnsi="宋体" w:eastAsia="宋体" w:cs="宋体"/>
          <w:b/>
          <w:bCs/>
          <w:kern w:val="44"/>
          <w:sz w:val="21"/>
          <w:szCs w:val="21"/>
          <w:lang w:val="en-US" w:eastAsia="zh-CN" w:bidi="ar-SA"/>
        </w:rPr>
        <w:t>4.3项目安全管理</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1015" w:name="_Toc7446"/>
      <w:r>
        <w:rPr>
          <w:rFonts w:hint="eastAsia" w:ascii="宋体" w:hAnsi="宋体" w:eastAsia="宋体" w:cs="宋体"/>
        </w:rPr>
        <w:t>4.3.1</w:t>
      </w:r>
      <w:r>
        <w:rPr>
          <w:rFonts w:ascii="宋体" w:hAnsi="宋体" w:eastAsia="宋体" w:cs="宋体"/>
        </w:rPr>
        <w:t>严格遵守执行国家、地方、行业的相关法律、法规、规范、规程。遵守</w:t>
      </w:r>
      <w:r>
        <w:rPr>
          <w:rFonts w:hint="eastAsia" w:ascii="宋体" w:hAnsi="宋体" w:eastAsia="宋体" w:cs="宋体"/>
          <w:lang w:eastAsia="zh-CN"/>
        </w:rPr>
        <w:t>招标人</w:t>
      </w:r>
      <w:r>
        <w:rPr>
          <w:rFonts w:ascii="宋体" w:hAnsi="宋体" w:eastAsia="宋体" w:cs="宋体"/>
        </w:rPr>
        <w:t>安全管理相关规章制度，并按安全管理架构要求组建安全管理体系。</w:t>
      </w:r>
      <w:bookmarkEnd w:id="1015"/>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1016" w:name="_Toc2686"/>
      <w:r>
        <w:rPr>
          <w:rFonts w:hint="eastAsia" w:ascii="宋体" w:hAnsi="宋体" w:eastAsia="宋体" w:cs="宋体"/>
        </w:rPr>
        <w:t>4.3.2</w:t>
      </w:r>
      <w:r>
        <w:rPr>
          <w:rFonts w:hint="eastAsia" w:ascii="宋体" w:hAnsi="宋体" w:eastAsia="宋体" w:cs="宋体"/>
          <w:lang w:eastAsia="zh-CN"/>
        </w:rPr>
        <w:t>投标人</w:t>
      </w:r>
      <w:r>
        <w:rPr>
          <w:rFonts w:ascii="宋体" w:hAnsi="宋体" w:eastAsia="宋体" w:cs="宋体"/>
        </w:rPr>
        <w:t>与</w:t>
      </w:r>
      <w:r>
        <w:rPr>
          <w:rFonts w:hint="eastAsia" w:ascii="宋体" w:hAnsi="宋体" w:eastAsia="宋体" w:cs="宋体"/>
          <w:lang w:eastAsia="zh-CN"/>
        </w:rPr>
        <w:t>招标人</w:t>
      </w:r>
      <w:r>
        <w:rPr>
          <w:rFonts w:ascii="宋体" w:hAnsi="宋体" w:eastAsia="宋体" w:cs="宋体"/>
        </w:rPr>
        <w:t>签订安全协议。</w:t>
      </w:r>
      <w:bookmarkEnd w:id="1016"/>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1017" w:name="_Toc14977"/>
      <w:r>
        <w:rPr>
          <w:rFonts w:hint="eastAsia" w:ascii="宋体" w:hAnsi="宋体" w:eastAsia="宋体" w:cs="宋体"/>
        </w:rPr>
        <w:t>4.3.3</w:t>
      </w:r>
      <w:r>
        <w:rPr>
          <w:rFonts w:ascii="宋体" w:hAnsi="宋体" w:eastAsia="宋体" w:cs="宋体"/>
        </w:rPr>
        <w:t>在正常作业过程中凡</w:t>
      </w:r>
      <w:r>
        <w:rPr>
          <w:rFonts w:hint="eastAsia" w:ascii="宋体" w:hAnsi="宋体" w:eastAsia="宋体" w:cs="宋体"/>
          <w:lang w:eastAsia="zh-CN"/>
        </w:rPr>
        <w:t>投标人</w:t>
      </w:r>
      <w:r>
        <w:rPr>
          <w:rFonts w:ascii="宋体" w:hAnsi="宋体" w:eastAsia="宋体" w:cs="宋体"/>
        </w:rPr>
        <w:t>人员出现伤亡情况及因此导致的所有损失均由</w:t>
      </w:r>
      <w:r>
        <w:rPr>
          <w:rFonts w:hint="eastAsia" w:ascii="宋体" w:hAnsi="宋体" w:eastAsia="宋体" w:cs="宋体"/>
          <w:lang w:eastAsia="zh-CN"/>
        </w:rPr>
        <w:t>投标人</w:t>
      </w:r>
      <w:r>
        <w:rPr>
          <w:rFonts w:ascii="宋体" w:hAnsi="宋体" w:eastAsia="宋体" w:cs="宋体"/>
        </w:rPr>
        <w:t>自行负责。由于事故造成</w:t>
      </w:r>
      <w:r>
        <w:rPr>
          <w:rFonts w:hint="eastAsia" w:ascii="宋体" w:hAnsi="宋体" w:eastAsia="宋体" w:cs="宋体"/>
          <w:lang w:eastAsia="zh-CN"/>
        </w:rPr>
        <w:t>招标人</w:t>
      </w:r>
      <w:r>
        <w:rPr>
          <w:rFonts w:ascii="宋体" w:hAnsi="宋体" w:eastAsia="宋体" w:cs="宋体"/>
        </w:rPr>
        <w:t>或第三方人身伤亡或财产损失，可能引发争议，由</w:t>
      </w:r>
      <w:r>
        <w:rPr>
          <w:rFonts w:hint="eastAsia" w:ascii="宋体" w:hAnsi="宋体" w:eastAsia="宋体" w:cs="宋体"/>
          <w:lang w:eastAsia="zh-CN"/>
        </w:rPr>
        <w:t>投标人</w:t>
      </w:r>
      <w:r>
        <w:rPr>
          <w:rFonts w:ascii="宋体" w:hAnsi="宋体" w:eastAsia="宋体" w:cs="宋体"/>
        </w:rPr>
        <w:t>承担责任。产生诉讼的，</w:t>
      </w:r>
      <w:r>
        <w:rPr>
          <w:rFonts w:hint="eastAsia" w:ascii="宋体" w:hAnsi="宋体" w:eastAsia="宋体" w:cs="宋体"/>
          <w:lang w:eastAsia="zh-CN"/>
        </w:rPr>
        <w:t>投标人</w:t>
      </w:r>
      <w:r>
        <w:rPr>
          <w:rFonts w:ascii="宋体" w:hAnsi="宋体" w:eastAsia="宋体" w:cs="宋体"/>
        </w:rPr>
        <w:t>应独立应诉，承担一切诉讼后果。</w:t>
      </w:r>
      <w:bookmarkEnd w:id="1017"/>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1018" w:name="_Toc27445"/>
      <w:r>
        <w:rPr>
          <w:rFonts w:hint="eastAsia" w:ascii="宋体" w:hAnsi="宋体" w:eastAsia="宋体" w:cs="宋体"/>
        </w:rPr>
        <w:t>4.3.4</w:t>
      </w:r>
      <w:r>
        <w:rPr>
          <w:rFonts w:hint="eastAsia" w:ascii="宋体" w:hAnsi="宋体" w:eastAsia="宋体" w:cs="宋体"/>
          <w:lang w:eastAsia="zh-CN"/>
        </w:rPr>
        <w:t>投标人</w:t>
      </w:r>
      <w:r>
        <w:rPr>
          <w:rFonts w:ascii="宋体" w:hAnsi="宋体" w:eastAsia="宋体" w:cs="宋体"/>
        </w:rPr>
        <w:t>对合同范围内的</w:t>
      </w:r>
      <w:r>
        <w:rPr>
          <w:rFonts w:hint="eastAsia" w:ascii="宋体" w:hAnsi="宋体" w:eastAsia="宋体" w:cs="宋体"/>
        </w:rPr>
        <w:t>充电桩施工</w:t>
      </w:r>
      <w:r>
        <w:rPr>
          <w:rFonts w:ascii="宋体" w:hAnsi="宋体" w:eastAsia="宋体" w:cs="宋体"/>
        </w:rPr>
        <w:t>工作有失误或渎职而引发的事故/事件，由</w:t>
      </w:r>
      <w:r>
        <w:rPr>
          <w:rFonts w:hint="eastAsia" w:ascii="宋体" w:hAnsi="宋体" w:eastAsia="宋体" w:cs="宋体"/>
          <w:lang w:eastAsia="zh-CN"/>
        </w:rPr>
        <w:t>投标人</w:t>
      </w:r>
      <w:r>
        <w:rPr>
          <w:rFonts w:ascii="宋体" w:hAnsi="宋体" w:eastAsia="宋体" w:cs="宋体"/>
        </w:rPr>
        <w:t>负全部责任，承担因此给</w:t>
      </w:r>
      <w:r>
        <w:rPr>
          <w:rFonts w:hint="eastAsia" w:ascii="宋体" w:hAnsi="宋体" w:eastAsia="宋体" w:cs="宋体"/>
          <w:lang w:eastAsia="zh-CN"/>
        </w:rPr>
        <w:t>招标人</w:t>
      </w:r>
      <w:r>
        <w:rPr>
          <w:rFonts w:ascii="宋体" w:hAnsi="宋体" w:eastAsia="宋体" w:cs="宋体"/>
        </w:rPr>
        <w:t>造成的直接和间接经济损失。</w:t>
      </w:r>
      <w:bookmarkEnd w:id="1018"/>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1019" w:name="_Toc23184"/>
      <w:r>
        <w:rPr>
          <w:rFonts w:hint="eastAsia" w:ascii="宋体" w:hAnsi="宋体" w:eastAsia="宋体" w:cs="宋体"/>
        </w:rPr>
        <w:t>4.3.5</w:t>
      </w:r>
      <w:r>
        <w:rPr>
          <w:rFonts w:ascii="宋体" w:hAnsi="宋体" w:eastAsia="宋体" w:cs="宋体"/>
        </w:rPr>
        <w:t>所有作业的施工人员应遵守</w:t>
      </w:r>
      <w:r>
        <w:rPr>
          <w:rFonts w:hint="eastAsia" w:ascii="宋体" w:hAnsi="宋体" w:eastAsia="宋体" w:cs="宋体"/>
          <w:lang w:eastAsia="zh-CN"/>
        </w:rPr>
        <w:t>招标人</w:t>
      </w:r>
      <w:r>
        <w:rPr>
          <w:rFonts w:ascii="宋体" w:hAnsi="宋体" w:eastAsia="宋体" w:cs="宋体"/>
        </w:rPr>
        <w:t>的企业标准《</w:t>
      </w:r>
      <w:r>
        <w:rPr>
          <w:rFonts w:hint="eastAsia" w:ascii="宋体" w:hAnsi="宋体" w:eastAsia="宋体" w:cs="宋体"/>
        </w:rPr>
        <w:t>运营公司</w:t>
      </w:r>
      <w:r>
        <w:rPr>
          <w:rFonts w:ascii="宋体" w:hAnsi="宋体" w:eastAsia="宋体" w:cs="宋体"/>
        </w:rPr>
        <w:t>施工管理规定》，全员持证上岗，按照施工规范、方案和各项安全操作规程进行作业。</w:t>
      </w:r>
      <w:r>
        <w:rPr>
          <w:rFonts w:hint="eastAsia" w:ascii="宋体" w:hAnsi="宋体" w:eastAsia="宋体" w:cs="宋体"/>
          <w:lang w:eastAsia="zh-CN"/>
        </w:rPr>
        <w:t>投标人</w:t>
      </w:r>
      <w:r>
        <w:rPr>
          <w:rFonts w:ascii="宋体" w:hAnsi="宋体" w:eastAsia="宋体" w:cs="宋体"/>
        </w:rPr>
        <w:t>施工负责人上岗前必须经过</w:t>
      </w:r>
      <w:r>
        <w:rPr>
          <w:rFonts w:hint="eastAsia" w:ascii="宋体" w:hAnsi="宋体" w:eastAsia="宋体" w:cs="宋体"/>
          <w:lang w:eastAsia="zh-CN"/>
        </w:rPr>
        <w:t>招标人</w:t>
      </w:r>
      <w:r>
        <w:rPr>
          <w:rFonts w:ascii="宋体" w:hAnsi="宋体" w:eastAsia="宋体" w:cs="宋体"/>
        </w:rPr>
        <w:t>的三级安全培训。</w:t>
      </w:r>
      <w:bookmarkEnd w:id="1019"/>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1020" w:name="_Toc32007"/>
      <w:r>
        <w:rPr>
          <w:rFonts w:hint="eastAsia" w:ascii="宋体" w:hAnsi="宋体" w:eastAsia="宋体" w:cs="宋体"/>
        </w:rPr>
        <w:t>4.3.6</w:t>
      </w:r>
      <w:r>
        <w:rPr>
          <w:rFonts w:hint="eastAsia" w:ascii="宋体" w:hAnsi="宋体" w:eastAsia="宋体" w:cs="宋体"/>
          <w:lang w:eastAsia="zh-CN"/>
        </w:rPr>
        <w:t>投标人</w:t>
      </w:r>
      <w:r>
        <w:rPr>
          <w:rFonts w:ascii="宋体" w:hAnsi="宋体" w:eastAsia="宋体" w:cs="宋体"/>
        </w:rPr>
        <w:t>须定期组织人员进行行业内安全性培训教育，并建立员工培训档案。</w:t>
      </w:r>
      <w:bookmarkEnd w:id="1020"/>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1021" w:name="_Toc9534"/>
      <w:r>
        <w:rPr>
          <w:rFonts w:hint="eastAsia" w:ascii="宋体" w:hAnsi="宋体" w:eastAsia="宋体" w:cs="宋体"/>
        </w:rPr>
        <w:t>4.3.7</w:t>
      </w:r>
      <w:r>
        <w:rPr>
          <w:rFonts w:ascii="宋体" w:hAnsi="宋体" w:eastAsia="宋体" w:cs="宋体"/>
        </w:rPr>
        <w:t>在施工现场，实行每次班前15分钟安全交底会，由施工负责人负责，签施工确认书，并完成签字手续及保存资料。</w:t>
      </w:r>
      <w:bookmarkEnd w:id="1021"/>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1022" w:name="_Toc23857"/>
      <w:r>
        <w:rPr>
          <w:rFonts w:hint="eastAsia" w:ascii="宋体" w:hAnsi="宋体" w:eastAsia="宋体" w:cs="宋体"/>
        </w:rPr>
        <w:t>4.3.</w:t>
      </w:r>
      <w:r>
        <w:rPr>
          <w:rFonts w:ascii="宋体" w:hAnsi="宋体" w:eastAsia="宋体" w:cs="宋体"/>
        </w:rPr>
        <w:t>8所有施工人员和管理人员要熟悉掌握消防设施的性能和使用方法，非火灾情况不得触碰消防器材。除动火作业外施工现场严禁烟火（吸烟）。</w:t>
      </w:r>
      <w:bookmarkEnd w:id="1022"/>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1023" w:name="_Toc11916"/>
      <w:r>
        <w:rPr>
          <w:rFonts w:hint="eastAsia" w:ascii="宋体" w:hAnsi="宋体" w:eastAsia="宋体" w:cs="宋体"/>
        </w:rPr>
        <w:t>4.3.</w:t>
      </w:r>
      <w:r>
        <w:rPr>
          <w:rFonts w:ascii="宋体" w:hAnsi="宋体" w:eastAsia="宋体" w:cs="宋体"/>
        </w:rPr>
        <w:t>9在</w:t>
      </w:r>
      <w:r>
        <w:rPr>
          <w:rFonts w:hint="eastAsia" w:ascii="宋体" w:hAnsi="宋体" w:eastAsia="宋体" w:cs="宋体"/>
        </w:rPr>
        <w:t>充电桩</w:t>
      </w:r>
      <w:r>
        <w:rPr>
          <w:rFonts w:ascii="宋体" w:hAnsi="宋体" w:eastAsia="宋体" w:cs="宋体"/>
        </w:rPr>
        <w:t>施工中如有动火作业、登高作业等特种作业，必须提前向</w:t>
      </w:r>
      <w:r>
        <w:rPr>
          <w:rFonts w:hint="eastAsia" w:ascii="宋体" w:hAnsi="宋体" w:eastAsia="宋体" w:cs="宋体"/>
          <w:lang w:eastAsia="zh-CN"/>
        </w:rPr>
        <w:t>招标人</w:t>
      </w:r>
      <w:r>
        <w:rPr>
          <w:rFonts w:ascii="宋体" w:hAnsi="宋体" w:eastAsia="宋体" w:cs="宋体"/>
        </w:rPr>
        <w:t>办理特种作业审批手续，作业人员必须持特种作业操作证上岗，严禁违规操作。同时建立特种操作证件相关台帐和记录。</w:t>
      </w:r>
      <w:bookmarkEnd w:id="1023"/>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1024" w:name="_Toc11187"/>
      <w:r>
        <w:rPr>
          <w:rFonts w:hint="eastAsia" w:ascii="宋体" w:hAnsi="宋体" w:eastAsia="宋体" w:cs="宋体"/>
        </w:rPr>
        <w:t>4.3</w:t>
      </w:r>
      <w:r>
        <w:rPr>
          <w:rFonts w:ascii="宋体" w:hAnsi="宋体" w:eastAsia="宋体" w:cs="宋体"/>
        </w:rPr>
        <w:t>.10</w:t>
      </w:r>
      <w:r>
        <w:rPr>
          <w:rFonts w:hint="eastAsia" w:ascii="宋体" w:hAnsi="宋体" w:eastAsia="宋体" w:cs="宋体"/>
          <w:lang w:eastAsia="zh-CN"/>
        </w:rPr>
        <w:t>投标人</w:t>
      </w:r>
      <w:r>
        <w:rPr>
          <w:rFonts w:hint="eastAsia" w:ascii="宋体" w:hAnsi="宋体" w:eastAsia="宋体" w:cs="宋体"/>
        </w:rPr>
        <w:t>充电桩施工</w:t>
      </w:r>
      <w:r>
        <w:rPr>
          <w:rFonts w:ascii="宋体" w:hAnsi="宋体" w:eastAsia="宋体" w:cs="宋体"/>
        </w:rPr>
        <w:t>人员在施工现场必须全程穿工作服和劳保鞋、戴安全帽、遵守劳动纪律，服从安全人员的指挥，严禁在施工场地睡觉、嬉戏，赤脚、穿拖鞋、着装不整、不听劝告者不得进入施工现场。</w:t>
      </w:r>
      <w:bookmarkEnd w:id="1024"/>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1025" w:name="_Toc24579"/>
      <w:r>
        <w:rPr>
          <w:rFonts w:hint="eastAsia" w:ascii="宋体" w:hAnsi="宋体" w:eastAsia="宋体" w:cs="宋体"/>
        </w:rPr>
        <w:t>4.3.</w:t>
      </w:r>
      <w:r>
        <w:rPr>
          <w:rFonts w:ascii="宋体" w:hAnsi="宋体" w:eastAsia="宋体" w:cs="宋体"/>
        </w:rPr>
        <w:t>11高空作业应采取安全可靠的措施，严格按照规范要求搭设脚手架，搭设完成经安全验收合格后方可使用，并定期进行检查维修。高空作业必须系安全带，不得穿硬底或带钉的鞋，不得往下投掷物料。</w:t>
      </w:r>
      <w:bookmarkEnd w:id="1025"/>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1026" w:name="_Toc374"/>
      <w:r>
        <w:rPr>
          <w:rFonts w:hint="eastAsia" w:ascii="宋体" w:hAnsi="宋体" w:eastAsia="宋体" w:cs="宋体"/>
        </w:rPr>
        <w:t>4.3</w:t>
      </w:r>
      <w:r>
        <w:rPr>
          <w:rFonts w:ascii="宋体" w:hAnsi="宋体" w:eastAsia="宋体" w:cs="宋体"/>
        </w:rPr>
        <w:t>.12施工前应对</w:t>
      </w:r>
      <w:r>
        <w:rPr>
          <w:rFonts w:hint="eastAsia" w:ascii="宋体" w:hAnsi="宋体" w:eastAsia="宋体" w:cs="宋体"/>
        </w:rPr>
        <w:t>周边办公楼</w:t>
      </w:r>
      <w:r>
        <w:rPr>
          <w:rFonts w:ascii="宋体" w:hAnsi="宋体" w:eastAsia="宋体" w:cs="宋体"/>
        </w:rPr>
        <w:t>的</w:t>
      </w:r>
      <w:r>
        <w:rPr>
          <w:rFonts w:hint="eastAsia" w:ascii="宋体" w:hAnsi="宋体" w:eastAsia="宋体" w:cs="宋体"/>
        </w:rPr>
        <w:t>原有的</w:t>
      </w:r>
      <w:r>
        <w:rPr>
          <w:rFonts w:ascii="宋体" w:hAnsi="宋体" w:eastAsia="宋体" w:cs="宋体"/>
        </w:rPr>
        <w:t>设施</w:t>
      </w:r>
      <w:r>
        <w:rPr>
          <w:rFonts w:hint="eastAsia" w:ascii="宋体" w:hAnsi="宋体" w:eastAsia="宋体" w:cs="宋体"/>
        </w:rPr>
        <w:t>设备</w:t>
      </w:r>
      <w:r>
        <w:rPr>
          <w:rFonts w:ascii="宋体" w:hAnsi="宋体" w:eastAsia="宋体" w:cs="宋体"/>
        </w:rPr>
        <w:t>做好保护措施</w:t>
      </w:r>
      <w:r>
        <w:rPr>
          <w:rFonts w:hint="eastAsia" w:ascii="宋体" w:hAnsi="宋体" w:eastAsia="宋体" w:cs="宋体"/>
        </w:rPr>
        <w:t>，特别是涉及消防烟感、火灾报警等</w:t>
      </w:r>
      <w:r>
        <w:rPr>
          <w:rFonts w:ascii="宋体" w:hAnsi="宋体" w:eastAsia="宋体" w:cs="宋体"/>
        </w:rPr>
        <w:t>，不得损坏</w:t>
      </w:r>
      <w:r>
        <w:rPr>
          <w:rFonts w:hint="eastAsia" w:ascii="宋体" w:hAnsi="宋体" w:eastAsia="宋体" w:cs="宋体"/>
        </w:rPr>
        <w:t>场段内原有的</w:t>
      </w:r>
      <w:r>
        <w:rPr>
          <w:rFonts w:ascii="宋体" w:hAnsi="宋体" w:eastAsia="宋体" w:cs="宋体"/>
        </w:rPr>
        <w:t>设施</w:t>
      </w:r>
      <w:r>
        <w:rPr>
          <w:rFonts w:hint="eastAsia" w:ascii="宋体" w:hAnsi="宋体" w:eastAsia="宋体" w:cs="宋体"/>
        </w:rPr>
        <w:t>设备</w:t>
      </w:r>
      <w:r>
        <w:rPr>
          <w:rFonts w:ascii="宋体" w:hAnsi="宋体" w:eastAsia="宋体" w:cs="宋体"/>
        </w:rPr>
        <w:t>，如发生意外应及时向</w:t>
      </w:r>
      <w:r>
        <w:rPr>
          <w:rFonts w:hint="eastAsia" w:ascii="宋体" w:hAnsi="宋体" w:eastAsia="宋体" w:cs="宋体"/>
          <w:lang w:eastAsia="zh-CN"/>
        </w:rPr>
        <w:t>招标人</w:t>
      </w:r>
      <w:r>
        <w:rPr>
          <w:rFonts w:ascii="宋体" w:hAnsi="宋体" w:eastAsia="宋体" w:cs="宋体"/>
        </w:rPr>
        <w:t>有关部门反映并采取措施。</w:t>
      </w:r>
      <w:bookmarkEnd w:id="1026"/>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bookmarkStart w:id="1027" w:name="_Toc23784"/>
      <w:r>
        <w:rPr>
          <w:rFonts w:hint="eastAsia" w:ascii="宋体" w:hAnsi="宋体" w:eastAsia="宋体" w:cs="宋体"/>
        </w:rPr>
        <w:t>4.3</w:t>
      </w:r>
      <w:r>
        <w:rPr>
          <w:rFonts w:ascii="宋体" w:hAnsi="宋体" w:eastAsia="宋体" w:cs="宋体"/>
        </w:rPr>
        <w:t>.13</w:t>
      </w:r>
      <w:r>
        <w:rPr>
          <w:rFonts w:hint="eastAsia" w:ascii="宋体" w:hAnsi="宋体" w:eastAsia="宋体" w:cs="宋体"/>
          <w:lang w:eastAsia="zh-CN"/>
        </w:rPr>
        <w:t>投标人</w:t>
      </w:r>
      <w:r>
        <w:rPr>
          <w:rFonts w:ascii="宋体" w:hAnsi="宋体" w:eastAsia="宋体" w:cs="宋体"/>
        </w:rPr>
        <w:t>施工人员只能在合同约定的作业范围内使用临时出入证，如违规使用则按照</w:t>
      </w:r>
      <w:r>
        <w:rPr>
          <w:rFonts w:hint="eastAsia" w:ascii="宋体" w:hAnsi="宋体" w:eastAsia="宋体" w:cs="宋体"/>
          <w:lang w:eastAsia="zh-CN"/>
        </w:rPr>
        <w:t>招标人</w:t>
      </w:r>
      <w:r>
        <w:rPr>
          <w:rFonts w:ascii="宋体" w:hAnsi="宋体" w:eastAsia="宋体" w:cs="宋体"/>
        </w:rPr>
        <w:t>相关规定处理。</w:t>
      </w:r>
      <w:bookmarkEnd w:id="1027"/>
      <w:bookmarkStart w:id="1028" w:name="_Toc1263"/>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4.3.14</w:t>
      </w:r>
      <w:r>
        <w:rPr>
          <w:rFonts w:hint="eastAsia" w:ascii="宋体" w:hAnsi="宋体" w:eastAsia="宋体" w:cs="宋体"/>
          <w:lang w:eastAsia="zh-CN"/>
        </w:rPr>
        <w:t>投标人</w:t>
      </w:r>
      <w:r>
        <w:rPr>
          <w:rFonts w:hint="eastAsia" w:ascii="宋体" w:hAnsi="宋体" w:eastAsia="宋体" w:cs="宋体"/>
        </w:rPr>
        <w:t>施工人员在工程开工前，应充分考察现场环境，并就电源接入、电缆敷设、设备安装位置及公共车位位置与</w:t>
      </w:r>
      <w:r>
        <w:rPr>
          <w:rFonts w:hint="eastAsia" w:ascii="宋体" w:hAnsi="宋体" w:eastAsia="宋体" w:cs="宋体"/>
          <w:lang w:eastAsia="zh-CN"/>
        </w:rPr>
        <w:t>招标人</w:t>
      </w:r>
      <w:r>
        <w:rPr>
          <w:rFonts w:hint="eastAsia" w:ascii="宋体" w:hAnsi="宋体" w:eastAsia="宋体" w:cs="宋体"/>
        </w:rPr>
        <w:t>进行充分沟通并确认。</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4.3.15施工方需做好现场的成品保护措施，施工过程中如造成现场设备设施的损坏，施工方需按原价赔偿，并复原损坏的设备设施。</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4.3.16施工过程中如有动火、切割类作业，施工方需办理动火令后才能进行施工作业，同时现场需配置灭火器，并做好相应的防护措施。</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rPr>
        <w:t>4.3</w:t>
      </w:r>
      <w:r>
        <w:rPr>
          <w:rFonts w:ascii="宋体" w:hAnsi="宋体" w:eastAsia="宋体" w:cs="宋体"/>
        </w:rPr>
        <w:t>.1</w:t>
      </w:r>
      <w:r>
        <w:rPr>
          <w:rFonts w:hint="eastAsia" w:ascii="宋体" w:hAnsi="宋体" w:eastAsia="宋体" w:cs="宋体"/>
        </w:rPr>
        <w:t>7</w:t>
      </w:r>
      <w:r>
        <w:rPr>
          <w:rFonts w:ascii="宋体" w:hAnsi="宋体" w:eastAsia="宋体" w:cs="宋体"/>
        </w:rPr>
        <w:t xml:space="preserve"> </w:t>
      </w:r>
      <w:r>
        <w:rPr>
          <w:rFonts w:hint="eastAsia" w:ascii="宋体" w:hAnsi="宋体" w:eastAsia="宋体" w:cs="宋体"/>
          <w:lang w:eastAsia="zh-CN"/>
        </w:rPr>
        <w:t>招标人</w:t>
      </w:r>
      <w:r>
        <w:rPr>
          <w:rFonts w:ascii="宋体" w:hAnsi="宋体" w:eastAsia="宋体" w:cs="宋体"/>
        </w:rPr>
        <w:t>为</w:t>
      </w:r>
      <w:r>
        <w:rPr>
          <w:rFonts w:hint="eastAsia" w:ascii="宋体" w:hAnsi="宋体" w:eastAsia="宋体" w:cs="宋体"/>
          <w:lang w:eastAsia="zh-CN"/>
        </w:rPr>
        <w:t>投标人</w:t>
      </w:r>
      <w:r>
        <w:rPr>
          <w:rFonts w:ascii="宋体" w:hAnsi="宋体" w:eastAsia="宋体" w:cs="宋体"/>
        </w:rPr>
        <w:t>提供的相关规章和制度文本资料，</w:t>
      </w:r>
      <w:r>
        <w:rPr>
          <w:rFonts w:hint="eastAsia" w:ascii="宋体" w:hAnsi="宋体" w:eastAsia="宋体" w:cs="宋体"/>
          <w:lang w:eastAsia="zh-CN"/>
        </w:rPr>
        <w:t>投标人</w:t>
      </w:r>
      <w:r>
        <w:rPr>
          <w:rFonts w:ascii="宋体" w:hAnsi="宋体" w:eastAsia="宋体" w:cs="宋体"/>
        </w:rPr>
        <w:t>不得外泄。</w:t>
      </w:r>
      <w:r>
        <w:rPr>
          <w:rFonts w:hint="eastAsia" w:ascii="宋体" w:hAnsi="宋体" w:eastAsia="宋体" w:cs="宋体"/>
          <w:lang w:eastAsia="zh-CN"/>
        </w:rPr>
        <w:t>投标人</w:t>
      </w:r>
      <w:r>
        <w:rPr>
          <w:rFonts w:ascii="宋体" w:hAnsi="宋体" w:eastAsia="宋体" w:cs="宋体"/>
        </w:rPr>
        <w:t>造成资料外泄的应承担全部责任。</w:t>
      </w:r>
      <w:bookmarkEnd w:id="1028"/>
      <w:bookmarkStart w:id="1029" w:name="_Toc22066"/>
      <w:bookmarkStart w:id="1030" w:name="_Toc29110"/>
      <w:bookmarkStart w:id="1031" w:name="_Toc13741"/>
      <w:bookmarkStart w:id="1032" w:name="_Toc16985"/>
      <w:bookmarkStart w:id="1033" w:name="_Toc18669"/>
      <w:bookmarkStart w:id="1034" w:name="_Toc9069"/>
      <w:bookmarkStart w:id="1035" w:name="_Toc26411"/>
      <w:bookmarkStart w:id="1036" w:name="_Toc26317"/>
    </w:p>
    <w:bookmarkEnd w:id="1029"/>
    <w:bookmarkEnd w:id="1030"/>
    <w:bookmarkEnd w:id="1031"/>
    <w:bookmarkEnd w:id="1032"/>
    <w:bookmarkEnd w:id="1033"/>
    <w:bookmarkEnd w:id="1034"/>
    <w:bookmarkEnd w:id="1035"/>
    <w:bookmarkEnd w:id="1036"/>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037" w:name="_Toc79434379"/>
      <w:bookmarkStart w:id="1038" w:name="_Toc25097"/>
      <w:bookmarkStart w:id="1039" w:name="_Toc19310"/>
      <w:bookmarkStart w:id="1040" w:name="_Toc18362"/>
      <w:bookmarkStart w:id="1041" w:name="_Toc11401"/>
      <w:bookmarkStart w:id="1042" w:name="_Toc404"/>
      <w:bookmarkStart w:id="1043" w:name="_Toc7903"/>
      <w:bookmarkStart w:id="1044" w:name="_Toc20688"/>
      <w:bookmarkStart w:id="1045" w:name="_Toc10825"/>
      <w:bookmarkStart w:id="1046" w:name="_Toc30259"/>
      <w:bookmarkStart w:id="1047" w:name="_Toc6148"/>
      <w:bookmarkStart w:id="1048" w:name="_Toc23393"/>
      <w:bookmarkStart w:id="1049" w:name="_Toc9596"/>
      <w:bookmarkStart w:id="1050" w:name="_Toc19786"/>
      <w:bookmarkStart w:id="1051" w:name="_Toc27916"/>
      <w:bookmarkStart w:id="1052" w:name="_Toc861"/>
      <w:bookmarkStart w:id="1053" w:name="_Toc15162"/>
      <w:bookmarkStart w:id="1054" w:name="_Toc2857"/>
      <w:bookmarkStart w:id="1055" w:name="_Toc6955"/>
      <w:bookmarkStart w:id="1056" w:name="_Toc60212999"/>
      <w:r>
        <w:rPr>
          <w:rFonts w:hint="eastAsia" w:ascii="宋体" w:hAnsi="宋体" w:eastAsia="宋体" w:cs="宋体"/>
          <w:b/>
          <w:bCs/>
          <w:kern w:val="44"/>
          <w:sz w:val="21"/>
          <w:szCs w:val="21"/>
          <w:lang w:val="en-US" w:eastAsia="zh-CN" w:bidi="ar-SA"/>
        </w:rPr>
        <w:t>4.4文明施工管理</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color w:val="000000"/>
        </w:rPr>
      </w:pPr>
      <w:r>
        <w:rPr>
          <w:rFonts w:hint="eastAsia" w:ascii="宋体" w:hAnsi="宋体" w:eastAsia="宋体" w:cs="宋体"/>
        </w:rPr>
        <w:t>4.4</w:t>
      </w:r>
      <w:r>
        <w:rPr>
          <w:rFonts w:ascii="宋体" w:hAnsi="宋体" w:eastAsia="宋体" w:cs="宋体"/>
          <w:color w:val="000000"/>
        </w:rPr>
        <w:t>.1施工过程中，严格按照“规范化管理、标准化作业”规定要求，实施文明施工管理。</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color w:val="000000"/>
        </w:rPr>
      </w:pPr>
      <w:r>
        <w:rPr>
          <w:rFonts w:hint="eastAsia" w:ascii="宋体" w:hAnsi="宋体" w:eastAsia="宋体" w:cs="宋体"/>
        </w:rPr>
        <w:t>4.4</w:t>
      </w:r>
      <w:r>
        <w:rPr>
          <w:rFonts w:ascii="宋体" w:hAnsi="宋体" w:eastAsia="宋体" w:cs="宋体"/>
          <w:color w:val="000000"/>
        </w:rPr>
        <w:t>.2作业过程中，</w:t>
      </w:r>
      <w:r>
        <w:rPr>
          <w:rFonts w:hint="eastAsia" w:ascii="宋体" w:hAnsi="宋体" w:eastAsia="宋体" w:cs="宋体"/>
          <w:color w:val="000000"/>
          <w:lang w:eastAsia="zh-CN"/>
        </w:rPr>
        <w:t>投标人</w:t>
      </w:r>
      <w:r>
        <w:rPr>
          <w:rFonts w:ascii="宋体" w:hAnsi="宋体" w:eastAsia="宋体" w:cs="宋体"/>
          <w:color w:val="000000"/>
        </w:rPr>
        <w:t>应合理地保持作业现场,严禁出现不必要的障碍，处置好作业设备及多余材料，保持现场整洁和道路通畅。</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color w:val="000000"/>
        </w:rPr>
      </w:pPr>
      <w:r>
        <w:rPr>
          <w:rFonts w:hint="eastAsia" w:ascii="宋体" w:hAnsi="宋体" w:eastAsia="宋体" w:cs="宋体"/>
        </w:rPr>
        <w:t>4.4</w:t>
      </w:r>
      <w:r>
        <w:rPr>
          <w:rFonts w:ascii="宋体" w:hAnsi="宋体" w:eastAsia="宋体" w:cs="宋体"/>
          <w:color w:val="000000"/>
        </w:rPr>
        <w:t>.3</w:t>
      </w:r>
      <w:r>
        <w:rPr>
          <w:rFonts w:hint="eastAsia" w:ascii="宋体" w:hAnsi="宋体" w:eastAsia="宋体" w:cs="宋体"/>
          <w:color w:val="000000"/>
          <w:lang w:eastAsia="zh-CN"/>
        </w:rPr>
        <w:t>投标人</w:t>
      </w:r>
      <w:r>
        <w:rPr>
          <w:rFonts w:ascii="宋体" w:hAnsi="宋体" w:eastAsia="宋体" w:cs="宋体"/>
          <w:color w:val="000000"/>
        </w:rPr>
        <w:t>应做好作业区域内的设备设施成品保护</w:t>
      </w:r>
      <w:r>
        <w:rPr>
          <w:rFonts w:hint="eastAsia" w:ascii="宋体" w:hAnsi="宋体" w:eastAsia="宋体" w:cs="宋体"/>
          <w:color w:val="000000"/>
        </w:rPr>
        <w:t>（特别是涉及消防设施、烟感报警等）</w:t>
      </w:r>
      <w:r>
        <w:rPr>
          <w:rFonts w:ascii="宋体" w:hAnsi="宋体" w:eastAsia="宋体" w:cs="宋体"/>
          <w:color w:val="000000"/>
        </w:rPr>
        <w:t>，严禁随意破坏、操作、占用。如与其他作业发生冲突，应事先通知</w:t>
      </w:r>
      <w:r>
        <w:rPr>
          <w:rFonts w:hint="eastAsia" w:ascii="宋体" w:hAnsi="宋体" w:eastAsia="宋体" w:cs="宋体"/>
          <w:color w:val="000000"/>
          <w:lang w:eastAsia="zh-CN"/>
        </w:rPr>
        <w:t>招标人</w:t>
      </w:r>
      <w:r>
        <w:rPr>
          <w:rFonts w:ascii="宋体" w:hAnsi="宋体" w:eastAsia="宋体" w:cs="宋体"/>
          <w:color w:val="000000"/>
        </w:rPr>
        <w:t>，在得到</w:t>
      </w:r>
      <w:r>
        <w:rPr>
          <w:rFonts w:hint="eastAsia" w:ascii="宋体" w:hAnsi="宋体" w:eastAsia="宋体" w:cs="宋体"/>
          <w:color w:val="000000"/>
          <w:lang w:eastAsia="zh-CN"/>
        </w:rPr>
        <w:t>招标人</w:t>
      </w:r>
      <w:r>
        <w:rPr>
          <w:rFonts w:ascii="宋体" w:hAnsi="宋体" w:eastAsia="宋体" w:cs="宋体"/>
          <w:color w:val="000000"/>
        </w:rPr>
        <w:t>同意后方可按要求执行，发现未经请示同意擅自行事，将视其具体情况予以处罚。</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color w:val="000000"/>
        </w:rPr>
      </w:pPr>
      <w:r>
        <w:rPr>
          <w:rFonts w:hint="eastAsia" w:ascii="宋体" w:hAnsi="宋体" w:eastAsia="宋体" w:cs="宋体"/>
        </w:rPr>
        <w:t>4.4</w:t>
      </w:r>
      <w:r>
        <w:rPr>
          <w:rFonts w:ascii="宋体" w:hAnsi="宋体" w:eastAsia="宋体" w:cs="宋体"/>
          <w:color w:val="000000"/>
        </w:rPr>
        <w:t>.4施工现场讲文明，讲礼貌，遇事商量解决，严禁打架斗殴。</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color w:val="000000"/>
        </w:rPr>
      </w:pPr>
      <w:r>
        <w:rPr>
          <w:rFonts w:hint="eastAsia" w:ascii="宋体" w:hAnsi="宋体" w:eastAsia="宋体" w:cs="宋体"/>
          <w:color w:val="000000"/>
        </w:rPr>
        <w:t>4.4</w:t>
      </w:r>
      <w:r>
        <w:rPr>
          <w:rFonts w:ascii="宋体" w:hAnsi="宋体" w:eastAsia="宋体" w:cs="宋体"/>
          <w:color w:val="000000"/>
        </w:rPr>
        <w:t>.5</w:t>
      </w:r>
      <w:r>
        <w:rPr>
          <w:rFonts w:hint="eastAsia" w:ascii="宋体" w:hAnsi="宋体" w:eastAsia="宋体" w:cs="宋体"/>
          <w:color w:val="000000"/>
          <w:lang w:eastAsia="zh-CN"/>
        </w:rPr>
        <w:t>投标人</w:t>
      </w:r>
      <w:r>
        <w:rPr>
          <w:rFonts w:ascii="宋体" w:hAnsi="宋体" w:eastAsia="宋体" w:cs="宋体"/>
          <w:color w:val="000000"/>
        </w:rPr>
        <w:t>在</w:t>
      </w:r>
      <w:r>
        <w:rPr>
          <w:rFonts w:hint="eastAsia" w:ascii="宋体" w:hAnsi="宋体" w:eastAsia="宋体" w:cs="宋体"/>
          <w:color w:val="000000"/>
        </w:rPr>
        <w:t>办公时段</w:t>
      </w:r>
      <w:r>
        <w:rPr>
          <w:rFonts w:ascii="宋体" w:hAnsi="宋体" w:eastAsia="宋体" w:cs="宋体"/>
          <w:color w:val="000000"/>
        </w:rPr>
        <w:t>进行施工时，应充分考虑施工产生的影响，尽可能的减小对</w:t>
      </w:r>
      <w:r>
        <w:rPr>
          <w:rFonts w:hint="eastAsia" w:ascii="宋体" w:hAnsi="宋体" w:eastAsia="宋体" w:cs="宋体"/>
          <w:color w:val="000000"/>
        </w:rPr>
        <w:t>办公楼人员及周边办公环境</w:t>
      </w:r>
      <w:r>
        <w:rPr>
          <w:rFonts w:ascii="宋体" w:hAnsi="宋体" w:eastAsia="宋体" w:cs="宋体"/>
          <w:color w:val="000000"/>
        </w:rPr>
        <w:t>的影响。</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057" w:name="_Toc4172"/>
      <w:bookmarkStart w:id="1058" w:name="_Toc10685"/>
      <w:bookmarkStart w:id="1059" w:name="_Toc12694"/>
      <w:bookmarkStart w:id="1060" w:name="_Toc9946"/>
      <w:bookmarkStart w:id="1061" w:name="_Toc7001"/>
      <w:bookmarkStart w:id="1062" w:name="_Toc26364"/>
      <w:bookmarkStart w:id="1063" w:name="_Toc17456"/>
      <w:bookmarkStart w:id="1064" w:name="_Toc79434380"/>
      <w:bookmarkStart w:id="1065" w:name="_Toc28168"/>
      <w:bookmarkStart w:id="1066" w:name="_Toc10267"/>
      <w:bookmarkStart w:id="1067" w:name="_Toc900"/>
      <w:bookmarkStart w:id="1068" w:name="_Toc11368"/>
      <w:bookmarkStart w:id="1069" w:name="_Toc18142"/>
      <w:bookmarkStart w:id="1070" w:name="_Toc19217"/>
      <w:bookmarkStart w:id="1071" w:name="_Toc25023"/>
      <w:bookmarkStart w:id="1072" w:name="_Toc1231"/>
      <w:bookmarkStart w:id="1073" w:name="_Toc16417"/>
      <w:bookmarkStart w:id="1074" w:name="_Toc9586"/>
      <w:bookmarkStart w:id="1075" w:name="_Toc22209"/>
      <w:bookmarkStart w:id="1076" w:name="_Toc23665"/>
      <w:r>
        <w:rPr>
          <w:rFonts w:hint="eastAsia" w:ascii="宋体" w:hAnsi="宋体" w:eastAsia="宋体" w:cs="宋体"/>
          <w:b/>
          <w:bCs/>
          <w:kern w:val="44"/>
          <w:sz w:val="21"/>
          <w:szCs w:val="21"/>
          <w:lang w:val="en-US" w:eastAsia="zh-CN" w:bidi="ar-SA"/>
        </w:rPr>
        <w:t>4.5疫情防控要求</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color w:val="000000"/>
        </w:rPr>
      </w:pPr>
      <w:r>
        <w:rPr>
          <w:rFonts w:ascii="宋体" w:hAnsi="宋体" w:eastAsia="宋体" w:cs="宋体"/>
          <w:color w:val="000000"/>
        </w:rPr>
        <w:t>4.5.1严格执行广西壮族自治区及南宁市人员管控要求，依托全国一体化政务服务平台及建筑工地实名制管理系统等信息化手段，核实项目人员身份及健康信息，不私招乱雇，不使用零散工和无健康信息的劳务人员，不得在项目之间无组织调配使用劳务人员，不得使用按照有关规定需要隔离观察的劳务人员。</w:t>
      </w:r>
      <w:r>
        <w:rPr>
          <w:rFonts w:hint="eastAsia" w:ascii="宋体" w:hAnsi="宋体" w:eastAsia="宋体" w:cs="宋体"/>
          <w:color w:val="000000"/>
          <w:lang w:eastAsia="zh-CN"/>
        </w:rPr>
        <w:t>投标人</w:t>
      </w:r>
      <w:r>
        <w:rPr>
          <w:rFonts w:ascii="宋体" w:hAnsi="宋体" w:eastAsia="宋体" w:cs="宋体"/>
          <w:color w:val="000000"/>
        </w:rPr>
        <w:t>应按照疫情防控要求，对参建各方聘用的所有人员进行健康管理，建立“一人一档”制度，准确掌握人员健康和流动情况。</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color w:val="000000"/>
        </w:rPr>
      </w:pPr>
      <w:r>
        <w:rPr>
          <w:rFonts w:ascii="宋体" w:hAnsi="宋体" w:eastAsia="宋体" w:cs="宋体"/>
          <w:color w:val="000000"/>
        </w:rPr>
        <w:t>4.5.2</w:t>
      </w:r>
      <w:r>
        <w:rPr>
          <w:rFonts w:hint="eastAsia" w:ascii="宋体" w:hAnsi="宋体" w:eastAsia="宋体" w:cs="宋体"/>
          <w:color w:val="000000"/>
          <w:lang w:eastAsia="zh-CN"/>
        </w:rPr>
        <w:t>投标人</w:t>
      </w:r>
      <w:r>
        <w:rPr>
          <w:rFonts w:ascii="宋体" w:hAnsi="宋体" w:eastAsia="宋体" w:cs="宋体"/>
          <w:color w:val="000000"/>
        </w:rPr>
        <w:t>应遵守</w:t>
      </w:r>
      <w:r>
        <w:rPr>
          <w:rFonts w:hint="eastAsia" w:ascii="宋体" w:hAnsi="宋体" w:eastAsia="宋体" w:cs="宋体"/>
          <w:color w:val="000000"/>
          <w:lang w:eastAsia="zh-CN"/>
        </w:rPr>
        <w:t>招标人</w:t>
      </w:r>
      <w:r>
        <w:rPr>
          <w:rFonts w:ascii="宋体" w:hAnsi="宋体" w:eastAsia="宋体" w:cs="宋体"/>
          <w:color w:val="000000"/>
        </w:rPr>
        <w:t>相应的健康管理制度，对所有进入施工现场人员进行体温检测和“健康码”</w:t>
      </w:r>
      <w:r>
        <w:rPr>
          <w:rFonts w:hint="eastAsia" w:ascii="宋体" w:hAnsi="宋体" w:eastAsia="宋体" w:cs="宋体"/>
          <w:color w:val="000000"/>
        </w:rPr>
        <w:t>、“行程码”、“核酸报告”</w:t>
      </w:r>
      <w:r>
        <w:rPr>
          <w:rFonts w:ascii="宋体" w:hAnsi="宋体" w:eastAsia="宋体" w:cs="宋体"/>
          <w:color w:val="000000"/>
        </w:rPr>
        <w:t>查验，核对人员身份和健康状况。凡有发热、干咳等症状的，</w:t>
      </w:r>
      <w:r>
        <w:rPr>
          <w:rFonts w:hint="eastAsia" w:ascii="宋体" w:hAnsi="宋体" w:eastAsia="宋体" w:cs="宋体"/>
          <w:color w:val="000000"/>
          <w:lang w:eastAsia="zh-CN"/>
        </w:rPr>
        <w:t>投标人</w:t>
      </w:r>
      <w:r>
        <w:rPr>
          <w:rFonts w:ascii="宋体" w:hAnsi="宋体" w:eastAsia="宋体" w:cs="宋体"/>
          <w:color w:val="000000"/>
        </w:rPr>
        <w:t>应及时报告和妥善处置，</w:t>
      </w:r>
      <w:r>
        <w:rPr>
          <w:rFonts w:hint="eastAsia" w:ascii="宋体" w:hAnsi="宋体" w:eastAsia="宋体" w:cs="宋体"/>
          <w:color w:val="000000"/>
          <w:lang w:eastAsia="zh-CN"/>
        </w:rPr>
        <w:t>招标人</w:t>
      </w:r>
      <w:r>
        <w:rPr>
          <w:rFonts w:ascii="宋体" w:hAnsi="宋体" w:eastAsia="宋体" w:cs="宋体"/>
          <w:color w:val="000000"/>
        </w:rPr>
        <w:t>有权禁止其进入。</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color w:val="000000"/>
        </w:rPr>
      </w:pPr>
      <w:r>
        <w:rPr>
          <w:rFonts w:ascii="宋体" w:hAnsi="宋体" w:eastAsia="宋体" w:cs="宋体"/>
          <w:color w:val="000000"/>
        </w:rPr>
        <w:t>4.5.</w:t>
      </w:r>
      <w:r>
        <w:rPr>
          <w:rFonts w:hint="eastAsia" w:ascii="宋体" w:hAnsi="宋体" w:eastAsia="宋体" w:cs="宋体"/>
          <w:color w:val="000000"/>
        </w:rPr>
        <w:t>3</w:t>
      </w:r>
      <w:r>
        <w:rPr>
          <w:rFonts w:ascii="宋体" w:hAnsi="宋体" w:eastAsia="宋体" w:cs="宋体"/>
          <w:color w:val="000000"/>
        </w:rPr>
        <w:t>入境人员、中高风险地区人员、密切接触者及确诊治愈出院患者等确需返回施工现场的重点人群，应在严格执行完项目所在地有关规定，经核实“健康码”</w:t>
      </w:r>
      <w:r>
        <w:rPr>
          <w:rFonts w:hint="eastAsia" w:ascii="宋体" w:hAnsi="宋体" w:eastAsia="宋体" w:cs="宋体"/>
          <w:color w:val="000000"/>
        </w:rPr>
        <w:t>、“行程码”、“核酸报告”</w:t>
      </w:r>
      <w:r>
        <w:rPr>
          <w:rFonts w:ascii="宋体" w:hAnsi="宋体" w:eastAsia="宋体" w:cs="宋体"/>
          <w:color w:val="000000"/>
        </w:rPr>
        <w:t>无误后，方可返回施工现场，并</w:t>
      </w:r>
      <w:r>
        <w:rPr>
          <w:rFonts w:hint="eastAsia" w:ascii="宋体" w:hAnsi="宋体" w:eastAsia="宋体" w:cs="宋体"/>
          <w:color w:val="000000"/>
        </w:rPr>
        <w:t>根据国家及自治区最新疫情防控要求做好</w:t>
      </w:r>
      <w:r>
        <w:rPr>
          <w:rFonts w:ascii="宋体" w:hAnsi="宋体" w:eastAsia="宋体" w:cs="宋体"/>
          <w:color w:val="000000"/>
        </w:rPr>
        <w:t>健康监测和跟踪随访。</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color w:val="000000"/>
        </w:rPr>
      </w:pPr>
      <w:r>
        <w:rPr>
          <w:rFonts w:ascii="宋体" w:hAnsi="宋体" w:eastAsia="宋体" w:cs="宋体"/>
          <w:color w:val="000000"/>
        </w:rPr>
        <w:t>4.5.</w:t>
      </w:r>
      <w:r>
        <w:rPr>
          <w:rFonts w:hint="eastAsia" w:ascii="宋体" w:hAnsi="宋体" w:eastAsia="宋体" w:cs="宋体"/>
          <w:color w:val="000000"/>
        </w:rPr>
        <w:t>4</w:t>
      </w:r>
      <w:r>
        <w:rPr>
          <w:rFonts w:hint="eastAsia" w:ascii="宋体" w:hAnsi="宋体" w:eastAsia="宋体" w:cs="宋体"/>
          <w:color w:val="000000"/>
          <w:lang w:eastAsia="zh-CN"/>
        </w:rPr>
        <w:t>投标人</w:t>
      </w:r>
      <w:r>
        <w:rPr>
          <w:rFonts w:ascii="宋体" w:hAnsi="宋体" w:eastAsia="宋体" w:cs="宋体"/>
          <w:color w:val="000000"/>
        </w:rPr>
        <w:t>应按照疫情常态化防控需要为员工配发防护用品，并建立物资台账。施工人员在人员密集的封闭场所、与他人小于1米距离接触时需要佩戴口罩。</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0"/>
        <w:rPr>
          <w:rFonts w:hint="eastAsia" w:ascii="黑体" w:hAnsi="黑体" w:eastAsia="黑体" w:cs="黑体"/>
          <w:b/>
          <w:bCs/>
          <w:kern w:val="44"/>
          <w:sz w:val="24"/>
          <w:szCs w:val="24"/>
          <w:lang w:val="en-US" w:eastAsia="zh-CN" w:bidi="ar-SA"/>
        </w:rPr>
      </w:pPr>
      <w:bookmarkStart w:id="1077" w:name="_Toc2030"/>
      <w:bookmarkStart w:id="1078" w:name="_Toc10180"/>
      <w:bookmarkStart w:id="1079" w:name="_Toc60213000"/>
      <w:bookmarkStart w:id="1080" w:name="_Toc1626"/>
      <w:bookmarkStart w:id="1081" w:name="_Toc13995"/>
      <w:bookmarkStart w:id="1082" w:name="_Toc4078"/>
      <w:bookmarkStart w:id="1083" w:name="_Toc12523"/>
      <w:bookmarkStart w:id="1084" w:name="_Toc18957"/>
      <w:bookmarkStart w:id="1085" w:name="_Toc12596"/>
      <w:bookmarkStart w:id="1086" w:name="_Toc3491"/>
      <w:bookmarkStart w:id="1087" w:name="_Toc13246"/>
      <w:bookmarkStart w:id="1088" w:name="_Toc6554"/>
      <w:bookmarkStart w:id="1089" w:name="_Toc12518"/>
      <w:bookmarkStart w:id="1090" w:name="_Toc2507"/>
      <w:bookmarkStart w:id="1091" w:name="_Toc79434381"/>
      <w:bookmarkStart w:id="1092" w:name="_Toc32554"/>
      <w:bookmarkStart w:id="1093" w:name="_Toc10053"/>
      <w:bookmarkStart w:id="1094" w:name="_Toc5185"/>
      <w:bookmarkStart w:id="1095" w:name="_Toc2658"/>
      <w:bookmarkStart w:id="1096" w:name="_Toc32508"/>
      <w:bookmarkStart w:id="1097" w:name="_Toc11117"/>
      <w:bookmarkStart w:id="1098" w:name="_Toc1786"/>
      <w:bookmarkStart w:id="1099" w:name="_Toc12302"/>
      <w:r>
        <w:rPr>
          <w:rFonts w:hint="eastAsia" w:ascii="黑体" w:hAnsi="黑体" w:eastAsia="黑体" w:cs="黑体"/>
          <w:b/>
          <w:bCs/>
          <w:kern w:val="44"/>
          <w:sz w:val="24"/>
          <w:szCs w:val="24"/>
          <w:lang w:val="en-US" w:eastAsia="zh-CN" w:bidi="ar-SA"/>
        </w:rPr>
        <w:t>5作业</w:t>
      </w:r>
      <w:bookmarkEnd w:id="1077"/>
      <w:r>
        <w:rPr>
          <w:rFonts w:hint="eastAsia" w:ascii="黑体" w:hAnsi="黑体" w:eastAsia="黑体" w:cs="黑体"/>
          <w:b/>
          <w:bCs/>
          <w:kern w:val="44"/>
          <w:sz w:val="24"/>
          <w:szCs w:val="24"/>
          <w:lang w:val="en-US" w:eastAsia="zh-CN" w:bidi="ar-SA"/>
        </w:rPr>
        <w:t>要求</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100" w:name="_Toc30637"/>
      <w:bookmarkStart w:id="1101" w:name="_Toc18181"/>
      <w:bookmarkStart w:id="1102" w:name="_Toc4989"/>
      <w:bookmarkStart w:id="1103" w:name="_Toc20097"/>
      <w:bookmarkStart w:id="1104" w:name="_Toc5"/>
      <w:bookmarkStart w:id="1105" w:name="_Toc12818"/>
      <w:bookmarkStart w:id="1106" w:name="_Toc2457"/>
      <w:bookmarkStart w:id="1107" w:name="_Toc25654"/>
      <w:bookmarkStart w:id="1108" w:name="_Toc31258"/>
      <w:bookmarkStart w:id="1109" w:name="_Toc11332"/>
      <w:bookmarkStart w:id="1110" w:name="_Toc23338"/>
      <w:bookmarkStart w:id="1111" w:name="_Toc79434382"/>
      <w:bookmarkStart w:id="1112" w:name="_Toc60213001"/>
      <w:bookmarkStart w:id="1113" w:name="_Toc20297"/>
      <w:bookmarkStart w:id="1114" w:name="_Toc2504"/>
      <w:bookmarkStart w:id="1115" w:name="_Toc6358"/>
      <w:bookmarkStart w:id="1116" w:name="_Toc31722"/>
      <w:bookmarkStart w:id="1117" w:name="_Toc32304"/>
      <w:bookmarkStart w:id="1118" w:name="_Toc27264"/>
      <w:bookmarkStart w:id="1119" w:name="_Toc8663"/>
      <w:bookmarkStart w:id="1120" w:name="_Toc27770"/>
      <w:r>
        <w:rPr>
          <w:rFonts w:hint="eastAsia" w:ascii="宋体" w:hAnsi="宋体" w:eastAsia="宋体" w:cs="宋体"/>
          <w:b/>
          <w:bCs/>
          <w:kern w:val="44"/>
          <w:sz w:val="21"/>
          <w:szCs w:val="21"/>
          <w:lang w:val="en-US" w:eastAsia="zh-CN" w:bidi="ar-SA"/>
        </w:rPr>
        <w:t>5.1作业准备</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121" w:name="_Toc21155"/>
      <w:bookmarkStart w:id="1122" w:name="_Toc14379"/>
      <w:bookmarkStart w:id="1123" w:name="_Toc31915"/>
      <w:bookmarkStart w:id="1124" w:name="_Toc19234"/>
      <w:bookmarkStart w:id="1125" w:name="_Toc14910"/>
      <w:r>
        <w:rPr>
          <w:rFonts w:hint="eastAsia" w:ascii="宋体" w:hAnsi="宋体" w:eastAsia="宋体" w:cs="宋体"/>
          <w:b/>
          <w:bCs/>
          <w:kern w:val="44"/>
          <w:sz w:val="21"/>
          <w:szCs w:val="21"/>
          <w:lang w:val="en-US" w:eastAsia="zh-CN" w:bidi="ar-SA"/>
        </w:rPr>
        <w:t>5.1.1基本要求</w:t>
      </w:r>
      <w:bookmarkEnd w:id="1121"/>
      <w:bookmarkEnd w:id="1122"/>
      <w:bookmarkEnd w:id="1123"/>
      <w:bookmarkEnd w:id="1124"/>
      <w:bookmarkEnd w:id="1125"/>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szCs w:val="24"/>
        </w:rPr>
      </w:pPr>
      <w:r>
        <w:rPr>
          <w:rFonts w:ascii="宋体" w:hAnsi="宋体" w:eastAsia="宋体" w:cs="宋体"/>
          <w:szCs w:val="24"/>
        </w:rPr>
        <w:t>5.1.1.1</w:t>
      </w:r>
      <w:r>
        <w:rPr>
          <w:rFonts w:hint="eastAsia" w:ascii="宋体" w:hAnsi="宋体" w:eastAsia="宋体" w:cs="宋体"/>
          <w:szCs w:val="24"/>
          <w:lang w:eastAsia="zh-CN"/>
        </w:rPr>
        <w:t>招标人</w:t>
      </w:r>
      <w:r>
        <w:rPr>
          <w:rFonts w:ascii="宋体" w:hAnsi="宋体" w:eastAsia="宋体" w:cs="宋体"/>
          <w:szCs w:val="24"/>
        </w:rPr>
        <w:t>负责采购的设备清单进行描述，由</w:t>
      </w:r>
      <w:r>
        <w:rPr>
          <w:rFonts w:hint="eastAsia" w:ascii="宋体" w:hAnsi="宋体" w:eastAsia="宋体" w:cs="宋体"/>
          <w:szCs w:val="24"/>
          <w:lang w:eastAsia="zh-CN"/>
        </w:rPr>
        <w:t>投标人</w:t>
      </w:r>
      <w:r>
        <w:rPr>
          <w:rFonts w:ascii="宋体" w:hAnsi="宋体" w:eastAsia="宋体" w:cs="宋体"/>
          <w:szCs w:val="24"/>
        </w:rPr>
        <w:t>负责采购设备及材料提出详细的技术要求。</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szCs w:val="24"/>
        </w:rPr>
      </w:pPr>
      <w:r>
        <w:rPr>
          <w:rFonts w:ascii="宋体" w:hAnsi="宋体" w:eastAsia="宋体" w:cs="宋体"/>
          <w:szCs w:val="24"/>
        </w:rPr>
        <w:t>5.1.1.2若承包商提供的</w:t>
      </w:r>
      <w:r>
        <w:rPr>
          <w:rFonts w:hint="eastAsia" w:ascii="宋体" w:hAnsi="宋体" w:eastAsia="宋体" w:cs="宋体"/>
          <w:szCs w:val="24"/>
        </w:rPr>
        <w:t>施工工艺</w:t>
      </w:r>
      <w:r>
        <w:rPr>
          <w:rFonts w:ascii="宋体" w:hAnsi="宋体" w:eastAsia="宋体" w:cs="宋体"/>
          <w:szCs w:val="24"/>
        </w:rPr>
        <w:t>及材料被认定不能满足要求，</w:t>
      </w:r>
      <w:r>
        <w:rPr>
          <w:rFonts w:hint="eastAsia" w:ascii="宋体" w:hAnsi="宋体" w:eastAsia="宋体" w:cs="宋体"/>
          <w:szCs w:val="24"/>
          <w:lang w:eastAsia="zh-CN"/>
        </w:rPr>
        <w:t>招标人</w:t>
      </w:r>
      <w:r>
        <w:rPr>
          <w:rFonts w:ascii="宋体" w:hAnsi="宋体" w:eastAsia="宋体" w:cs="宋体"/>
          <w:szCs w:val="24"/>
        </w:rPr>
        <w:t>将对所选用的产品进行调研复核，并保留更换供货品牌或产品的权利。</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szCs w:val="24"/>
        </w:rPr>
      </w:pPr>
      <w:r>
        <w:rPr>
          <w:rFonts w:ascii="宋体" w:hAnsi="宋体" w:eastAsia="宋体" w:cs="宋体"/>
          <w:szCs w:val="24"/>
        </w:rPr>
        <w:t>5.1.1.3</w:t>
      </w:r>
      <w:r>
        <w:rPr>
          <w:rFonts w:hint="eastAsia" w:ascii="宋体" w:hAnsi="宋体" w:eastAsia="宋体" w:cs="宋体"/>
          <w:szCs w:val="24"/>
          <w:lang w:eastAsia="zh-CN"/>
        </w:rPr>
        <w:t>投标人</w:t>
      </w:r>
      <w:r>
        <w:rPr>
          <w:rFonts w:ascii="宋体" w:hAnsi="宋体" w:eastAsia="宋体" w:cs="宋体"/>
          <w:szCs w:val="24"/>
        </w:rPr>
        <w:t>所使用的专用类工器具必须是合格品且具有使用说明书；</w:t>
      </w:r>
      <w:r>
        <w:rPr>
          <w:rFonts w:hint="eastAsia" w:ascii="宋体" w:hAnsi="宋体" w:eastAsia="宋体" w:cs="宋体"/>
          <w:szCs w:val="24"/>
          <w:lang w:eastAsia="zh-CN"/>
        </w:rPr>
        <w:t>投标人</w:t>
      </w:r>
      <w:r>
        <w:rPr>
          <w:rFonts w:ascii="宋体" w:hAnsi="宋体" w:eastAsia="宋体" w:cs="宋体"/>
          <w:szCs w:val="24"/>
        </w:rPr>
        <w:t>所使用的通用工具必须为合格品且具有使用说明书。</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szCs w:val="24"/>
        </w:rPr>
      </w:pPr>
      <w:r>
        <w:rPr>
          <w:rFonts w:ascii="宋体" w:hAnsi="宋体" w:eastAsia="宋体" w:cs="宋体"/>
          <w:szCs w:val="24"/>
        </w:rPr>
        <w:t>5.1.1.4</w:t>
      </w:r>
      <w:r>
        <w:rPr>
          <w:rFonts w:hint="eastAsia" w:ascii="宋体" w:hAnsi="宋体" w:eastAsia="宋体" w:cs="宋体"/>
          <w:szCs w:val="24"/>
          <w:lang w:eastAsia="zh-CN"/>
        </w:rPr>
        <w:t>投标人</w:t>
      </w:r>
      <w:r>
        <w:rPr>
          <w:rFonts w:ascii="宋体" w:hAnsi="宋体" w:eastAsia="宋体" w:cs="宋体"/>
          <w:szCs w:val="24"/>
        </w:rPr>
        <w:t>所使用的计量、测量类工器具应在首次使用前按照</w:t>
      </w:r>
      <w:r>
        <w:rPr>
          <w:rFonts w:hint="eastAsia" w:ascii="宋体" w:hAnsi="宋体" w:eastAsia="宋体" w:cs="宋体"/>
          <w:szCs w:val="24"/>
          <w:lang w:eastAsia="zh-CN"/>
        </w:rPr>
        <w:t>招标人</w:t>
      </w:r>
      <w:r>
        <w:rPr>
          <w:rFonts w:ascii="宋体" w:hAnsi="宋体" w:eastAsia="宋体" w:cs="宋体"/>
          <w:szCs w:val="24"/>
        </w:rPr>
        <w:t>的要求送相关部门进行检定，待检定合格且经过</w:t>
      </w:r>
      <w:r>
        <w:rPr>
          <w:rFonts w:hint="eastAsia" w:ascii="宋体" w:hAnsi="宋体" w:eastAsia="宋体" w:cs="宋体"/>
          <w:szCs w:val="24"/>
          <w:lang w:eastAsia="zh-CN"/>
        </w:rPr>
        <w:t>招标人</w:t>
      </w:r>
      <w:r>
        <w:rPr>
          <w:rFonts w:ascii="宋体" w:hAnsi="宋体" w:eastAsia="宋体" w:cs="宋体"/>
          <w:szCs w:val="24"/>
        </w:rPr>
        <w:t>相关部门认可，方可以进场使用。严禁使用未检定的、不合格的计量、测量类工器具，进场后计量、测量类工器具送检周期以</w:t>
      </w:r>
      <w:r>
        <w:rPr>
          <w:rFonts w:hint="eastAsia" w:ascii="宋体" w:hAnsi="宋体" w:eastAsia="宋体" w:cs="宋体"/>
          <w:szCs w:val="24"/>
          <w:lang w:eastAsia="zh-CN"/>
        </w:rPr>
        <w:t>招标人</w:t>
      </w:r>
      <w:r>
        <w:rPr>
          <w:rFonts w:ascii="宋体" w:hAnsi="宋体" w:eastAsia="宋体" w:cs="宋体"/>
          <w:szCs w:val="24"/>
        </w:rPr>
        <w:t>相关规定为准，检定费用由</w:t>
      </w:r>
      <w:r>
        <w:rPr>
          <w:rFonts w:hint="eastAsia" w:ascii="宋体" w:hAnsi="宋体" w:eastAsia="宋体" w:cs="宋体"/>
          <w:szCs w:val="24"/>
          <w:lang w:eastAsia="zh-CN"/>
        </w:rPr>
        <w:t>投标人</w:t>
      </w:r>
      <w:r>
        <w:rPr>
          <w:rFonts w:ascii="宋体" w:hAnsi="宋体" w:eastAsia="宋体" w:cs="宋体"/>
          <w:szCs w:val="24"/>
        </w:rPr>
        <w:t>负责。</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szCs w:val="24"/>
        </w:rPr>
      </w:pPr>
      <w:r>
        <w:rPr>
          <w:rFonts w:ascii="宋体" w:hAnsi="宋体" w:eastAsia="宋体" w:cs="宋体"/>
          <w:szCs w:val="24"/>
        </w:rPr>
        <w:t>5.1.1.5</w:t>
      </w:r>
      <w:r>
        <w:rPr>
          <w:rFonts w:hint="eastAsia" w:ascii="宋体" w:hAnsi="宋体" w:eastAsia="宋体" w:cs="宋体"/>
          <w:szCs w:val="24"/>
          <w:lang w:eastAsia="zh-CN"/>
        </w:rPr>
        <w:t>投标人</w:t>
      </w:r>
      <w:r>
        <w:rPr>
          <w:rFonts w:ascii="宋体" w:hAnsi="宋体" w:eastAsia="宋体" w:cs="宋体"/>
          <w:szCs w:val="24"/>
        </w:rPr>
        <w:t>进场的计量、测量类工器具应按照</w:t>
      </w:r>
      <w:r>
        <w:rPr>
          <w:rFonts w:hint="eastAsia" w:ascii="宋体" w:hAnsi="宋体" w:eastAsia="宋体" w:cs="宋体"/>
          <w:szCs w:val="24"/>
          <w:lang w:eastAsia="zh-CN"/>
        </w:rPr>
        <w:t>招标人</w:t>
      </w:r>
      <w:r>
        <w:rPr>
          <w:rFonts w:ascii="宋体" w:hAnsi="宋体" w:eastAsia="宋体" w:cs="宋体"/>
          <w:szCs w:val="24"/>
        </w:rPr>
        <w:t>的相关规定定期进行检定工作；对工器具、机械设备等定期进行保养，确保良好的状态投入使用。</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szCs w:val="24"/>
        </w:rPr>
      </w:pPr>
      <w:r>
        <w:rPr>
          <w:rFonts w:ascii="宋体" w:hAnsi="宋体" w:eastAsia="宋体" w:cs="宋体"/>
          <w:szCs w:val="24"/>
        </w:rPr>
        <w:t>5.1.1.6</w:t>
      </w:r>
      <w:r>
        <w:rPr>
          <w:rFonts w:hint="eastAsia" w:ascii="宋体" w:hAnsi="宋体" w:eastAsia="宋体" w:cs="宋体"/>
          <w:szCs w:val="24"/>
        </w:rPr>
        <w:t>安装及施工</w:t>
      </w:r>
      <w:r>
        <w:rPr>
          <w:rFonts w:ascii="宋体" w:hAnsi="宋体" w:eastAsia="宋体" w:cs="宋体"/>
          <w:szCs w:val="24"/>
        </w:rPr>
        <w:t>所用的电动工器具须考虑与可供电源的匹配性，并不得对配电线路构成危害。</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szCs w:val="24"/>
        </w:rPr>
      </w:pPr>
      <w:r>
        <w:rPr>
          <w:rFonts w:ascii="宋体" w:hAnsi="宋体" w:eastAsia="宋体" w:cs="宋体"/>
          <w:szCs w:val="24"/>
        </w:rPr>
        <w:t>5.1.1.7项目结束后，中标人须将</w:t>
      </w:r>
      <w:r>
        <w:rPr>
          <w:rFonts w:hint="eastAsia" w:ascii="宋体" w:hAnsi="宋体" w:eastAsia="宋体" w:cs="宋体"/>
          <w:szCs w:val="24"/>
          <w:lang w:eastAsia="zh-CN"/>
        </w:rPr>
        <w:t>招标人</w:t>
      </w:r>
      <w:r>
        <w:rPr>
          <w:rFonts w:ascii="宋体" w:hAnsi="宋体" w:eastAsia="宋体" w:cs="宋体"/>
          <w:szCs w:val="24"/>
        </w:rPr>
        <w:t>提供的设备、工器具如数归还</w:t>
      </w:r>
      <w:r>
        <w:rPr>
          <w:rFonts w:hint="eastAsia" w:ascii="宋体" w:hAnsi="宋体" w:eastAsia="宋体" w:cs="宋体"/>
          <w:szCs w:val="24"/>
        </w:rPr>
        <w:t>（如有）</w:t>
      </w:r>
      <w:r>
        <w:rPr>
          <w:rFonts w:ascii="宋体" w:hAnsi="宋体" w:eastAsia="宋体" w:cs="宋体"/>
          <w:szCs w:val="24"/>
        </w:rPr>
        <w:t>。</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5.1.2劳保用品配置要求</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textAlignment w:val="auto"/>
        <w:rPr>
          <w:rFonts w:ascii="宋体" w:hAnsi="宋体" w:eastAsia="宋体" w:cs="宋体"/>
        </w:rPr>
      </w:pPr>
      <w:r>
        <w:rPr>
          <w:rFonts w:hint="eastAsia" w:ascii="宋体" w:hAnsi="宋体" w:eastAsia="宋体" w:cs="宋体"/>
          <w:lang w:eastAsia="zh-CN"/>
        </w:rPr>
        <w:t>投标人</w:t>
      </w:r>
      <w:r>
        <w:rPr>
          <w:rFonts w:ascii="宋体" w:hAnsi="宋体" w:eastAsia="宋体" w:cs="宋体"/>
        </w:rPr>
        <w:t>应为施工人员配置劳保防护用品，劳保防护用品须满足国家、行业标准，劳保防护用品配置数量与使用期限按照</w:t>
      </w:r>
      <w:r>
        <w:rPr>
          <w:rFonts w:hint="eastAsia" w:ascii="宋体" w:hAnsi="宋体" w:eastAsia="宋体" w:cs="宋体"/>
          <w:lang w:eastAsia="zh-CN"/>
        </w:rPr>
        <w:t>招标人</w:t>
      </w:r>
      <w:r>
        <w:rPr>
          <w:rFonts w:ascii="宋体" w:hAnsi="宋体" w:eastAsia="宋体" w:cs="宋体"/>
        </w:rPr>
        <w:t>相关要求执行，劳保配置要求包括但不限于表2中的内容。</w:t>
      </w:r>
    </w:p>
    <w:p>
      <w:pPr>
        <w:pageBreakBefore w:val="0"/>
        <w:kinsoku/>
        <w:wordWrap/>
        <w:overflowPunct/>
        <w:topLinePunct w:val="0"/>
        <w:autoSpaceDE w:val="0"/>
        <w:autoSpaceDN/>
        <w:bidi w:val="0"/>
        <w:adjustRightInd/>
        <w:snapToGrid/>
        <w:spacing w:before="0" w:after="0" w:afterAutospacing="0" w:line="360" w:lineRule="auto"/>
        <w:ind w:left="0" w:right="0" w:firstLine="422" w:firstLineChars="200"/>
        <w:jc w:val="center"/>
        <w:textAlignment w:val="auto"/>
        <w:rPr>
          <w:rFonts w:ascii="宋体" w:hAnsi="宋体" w:eastAsia="宋体" w:cs="宋体"/>
          <w:b/>
        </w:rPr>
      </w:pPr>
      <w:r>
        <w:rPr>
          <w:rFonts w:hint="eastAsia" w:ascii="宋体" w:hAnsi="宋体" w:eastAsia="宋体" w:cs="宋体"/>
          <w:b/>
        </w:rPr>
        <w:t>表3 劳保防护用品配置清单</w:t>
      </w:r>
    </w:p>
    <w:tbl>
      <w:tblPr>
        <w:tblStyle w:val="28"/>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700"/>
        <w:gridCol w:w="762"/>
        <w:gridCol w:w="825"/>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b/>
                <w:sz w:val="18"/>
                <w:szCs w:val="18"/>
              </w:rPr>
            </w:pPr>
            <w:r>
              <w:rPr>
                <w:rFonts w:hint="eastAsia" w:ascii="宋体" w:hAnsi="宋体" w:eastAsia="宋体" w:cs="宋体"/>
                <w:b/>
                <w:sz w:val="18"/>
                <w:szCs w:val="18"/>
              </w:rPr>
              <w:t>序号</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b/>
                <w:sz w:val="18"/>
                <w:szCs w:val="18"/>
              </w:rPr>
            </w:pPr>
            <w:r>
              <w:rPr>
                <w:rFonts w:hint="eastAsia" w:ascii="宋体" w:hAnsi="宋体" w:eastAsia="宋体" w:cs="宋体"/>
                <w:b/>
                <w:sz w:val="18"/>
                <w:szCs w:val="18"/>
              </w:rPr>
              <w:t>名称</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b/>
                <w:sz w:val="18"/>
                <w:szCs w:val="18"/>
              </w:rPr>
            </w:pPr>
            <w:r>
              <w:rPr>
                <w:rFonts w:hint="eastAsia" w:ascii="宋体" w:hAnsi="宋体" w:eastAsia="宋体" w:cs="宋体"/>
                <w:b/>
                <w:sz w:val="18"/>
                <w:szCs w:val="18"/>
              </w:rPr>
              <w:t>单位</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b/>
                <w:sz w:val="18"/>
                <w:szCs w:val="18"/>
              </w:rPr>
            </w:pPr>
            <w:r>
              <w:rPr>
                <w:rFonts w:hint="eastAsia" w:ascii="宋体" w:hAnsi="宋体" w:eastAsia="宋体" w:cs="宋体"/>
                <w:b/>
                <w:sz w:val="18"/>
                <w:szCs w:val="18"/>
              </w:rPr>
              <w:t>数量</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b/>
                <w:sz w:val="18"/>
                <w:szCs w:val="18"/>
              </w:rPr>
            </w:pPr>
            <w:r>
              <w:rPr>
                <w:rFonts w:hint="eastAsia" w:ascii="宋体" w:hAnsi="宋体" w:eastAsia="宋体" w:cs="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1</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安全帽</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顶</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1/人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符合GB2811-2007《安全帽》标准和EN397标准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2</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劳保鞋</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双</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1/人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符合GB21148-2007、GB12011-2009标准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3</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荧光衣</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件</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1/人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身长60公分，胸围110公分，两横款式设计，前开襟搭扣与V形领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4</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棉手套</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双</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2/人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5</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工作服</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套</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r>
              <w:rPr>
                <w:rFonts w:hint="eastAsia" w:ascii="宋体" w:hAnsi="宋体" w:eastAsia="宋体" w:cs="宋体"/>
                <w:sz w:val="18"/>
                <w:szCs w:val="18"/>
              </w:rPr>
              <w:t>1套</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spacing w:before="0" w:after="0" w:afterAutospacing="0" w:line="240" w:lineRule="auto"/>
              <w:ind w:left="0" w:right="0" w:firstLine="0"/>
              <w:jc w:val="center"/>
              <w:textAlignment w:val="auto"/>
              <w:rPr>
                <w:rFonts w:ascii="宋体" w:hAnsi="宋体" w:eastAsia="宋体" w:cs="宋体"/>
                <w:sz w:val="18"/>
                <w:szCs w:val="18"/>
              </w:rPr>
            </w:pPr>
          </w:p>
        </w:tc>
      </w:tr>
    </w:tbl>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5.1.3进场要求</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.1严格遵守执行国家、地方、行业的相关法律、法规、规范、规程、标准及</w:t>
      </w:r>
      <w:r>
        <w:rPr>
          <w:rFonts w:hint="eastAsia" w:ascii="宋体" w:hAnsi="宋体" w:eastAsia="宋体" w:cs="宋体"/>
          <w:lang w:eastAsia="zh-CN"/>
        </w:rPr>
        <w:t>招标人</w:t>
      </w:r>
      <w:r>
        <w:rPr>
          <w:rFonts w:ascii="宋体" w:hAnsi="宋体" w:eastAsia="宋体" w:cs="宋体"/>
        </w:rPr>
        <w:t>规章制度等各项管理制度和规定。</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.2严格遵守合同协议，组织足够力量的</w:t>
      </w:r>
      <w:r>
        <w:rPr>
          <w:rFonts w:hint="eastAsia" w:ascii="宋体" w:hAnsi="宋体" w:eastAsia="宋体" w:cs="宋体"/>
        </w:rPr>
        <w:t>安装及施工</w:t>
      </w:r>
      <w:r>
        <w:rPr>
          <w:rFonts w:ascii="宋体" w:hAnsi="宋体" w:eastAsia="宋体" w:cs="宋体"/>
        </w:rPr>
        <w:t>人员完成日常工作。</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.3对组织架构定岗、定员。队伍人员素质、专业技术满足各项</w:t>
      </w:r>
      <w:r>
        <w:rPr>
          <w:rFonts w:hint="eastAsia" w:ascii="宋体" w:hAnsi="宋体" w:eastAsia="宋体" w:cs="宋体"/>
        </w:rPr>
        <w:t>充电桩施工</w:t>
      </w:r>
      <w:r>
        <w:rPr>
          <w:rFonts w:ascii="宋体" w:hAnsi="宋体" w:eastAsia="宋体" w:cs="宋体"/>
        </w:rPr>
        <w:t>要求，并保证参与作业的人员相对稳定。</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.4</w:t>
      </w:r>
      <w:r>
        <w:rPr>
          <w:rFonts w:hint="eastAsia" w:ascii="宋体" w:hAnsi="宋体" w:eastAsia="宋体" w:cs="宋体"/>
          <w:lang w:eastAsia="zh-CN"/>
        </w:rPr>
        <w:t>投标人</w:t>
      </w:r>
      <w:r>
        <w:rPr>
          <w:rFonts w:ascii="宋体" w:hAnsi="宋体" w:eastAsia="宋体" w:cs="宋体"/>
        </w:rPr>
        <w:t>人员应完成项目安全培训及</w:t>
      </w:r>
      <w:r>
        <w:rPr>
          <w:rFonts w:hint="eastAsia" w:ascii="宋体" w:hAnsi="宋体" w:eastAsia="宋体" w:cs="宋体"/>
          <w:lang w:eastAsia="zh-CN"/>
        </w:rPr>
        <w:t>招标人</w:t>
      </w:r>
      <w:r>
        <w:rPr>
          <w:rFonts w:ascii="宋体" w:hAnsi="宋体" w:eastAsia="宋体" w:cs="宋体"/>
        </w:rPr>
        <w:t>的三级安全教育。</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.5</w:t>
      </w:r>
      <w:r>
        <w:rPr>
          <w:rFonts w:hint="eastAsia" w:ascii="宋体" w:hAnsi="宋体" w:eastAsia="宋体" w:cs="宋体"/>
          <w:lang w:eastAsia="zh-CN"/>
        </w:rPr>
        <w:t>投标人</w:t>
      </w:r>
      <w:r>
        <w:rPr>
          <w:rFonts w:ascii="宋体" w:hAnsi="宋体" w:eastAsia="宋体" w:cs="宋体"/>
        </w:rPr>
        <w:t>与</w:t>
      </w:r>
      <w:r>
        <w:rPr>
          <w:rFonts w:hint="eastAsia" w:ascii="宋体" w:hAnsi="宋体" w:eastAsia="宋体" w:cs="宋体"/>
          <w:lang w:eastAsia="zh-CN"/>
        </w:rPr>
        <w:t>招标人</w:t>
      </w:r>
      <w:r>
        <w:rPr>
          <w:rFonts w:ascii="宋体" w:hAnsi="宋体" w:eastAsia="宋体" w:cs="宋体"/>
        </w:rPr>
        <w:t>签订安全协议，办理施工开工令。</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.6准备工作就序（</w:t>
      </w:r>
      <w:r>
        <w:rPr>
          <w:rFonts w:hint="eastAsia" w:ascii="宋体" w:hAnsi="宋体" w:eastAsia="宋体" w:cs="宋体"/>
          <w:lang w:eastAsia="zh-CN"/>
        </w:rPr>
        <w:t>投标人</w:t>
      </w:r>
      <w:r>
        <w:rPr>
          <w:rFonts w:ascii="宋体" w:hAnsi="宋体" w:eastAsia="宋体" w:cs="宋体"/>
        </w:rPr>
        <w:t>必须在合同正式签订时已完成全部开工准备），双方协调认可满足开工条件，将施工准备情况及进场影响通报</w:t>
      </w:r>
      <w:r>
        <w:rPr>
          <w:rFonts w:hint="eastAsia" w:ascii="宋体" w:hAnsi="宋体" w:eastAsia="宋体" w:cs="宋体"/>
          <w:lang w:eastAsia="zh-CN"/>
        </w:rPr>
        <w:t>招标人</w:t>
      </w:r>
      <w:r>
        <w:rPr>
          <w:rFonts w:ascii="宋体" w:hAnsi="宋体" w:eastAsia="宋体" w:cs="宋体"/>
        </w:rPr>
        <w:t>相关部门，如生产技术部、安全监察部</w:t>
      </w:r>
      <w:r>
        <w:rPr>
          <w:rFonts w:hint="eastAsia" w:ascii="宋体" w:hAnsi="宋体" w:eastAsia="宋体" w:cs="宋体"/>
        </w:rPr>
        <w:t>、</w:t>
      </w:r>
      <w:r>
        <w:rPr>
          <w:rFonts w:ascii="宋体" w:hAnsi="宋体" w:eastAsia="宋体" w:cs="宋体"/>
        </w:rPr>
        <w:t>通号中心、</w:t>
      </w:r>
      <w:r>
        <w:rPr>
          <w:rFonts w:hint="eastAsia" w:ascii="宋体" w:hAnsi="宋体" w:eastAsia="宋体" w:cs="宋体"/>
        </w:rPr>
        <w:t>车辆中心、</w:t>
      </w:r>
      <w:r>
        <w:rPr>
          <w:rFonts w:ascii="宋体" w:hAnsi="宋体" w:eastAsia="宋体" w:cs="宋体"/>
        </w:rPr>
        <w:t>维修中心等，</w:t>
      </w:r>
      <w:r>
        <w:rPr>
          <w:rFonts w:hint="eastAsia" w:ascii="宋体" w:hAnsi="宋体" w:eastAsia="宋体" w:cs="宋体"/>
          <w:lang w:eastAsia="zh-CN"/>
        </w:rPr>
        <w:t>招标人</w:t>
      </w:r>
      <w:r>
        <w:rPr>
          <w:rFonts w:ascii="宋体" w:hAnsi="宋体" w:eastAsia="宋体" w:cs="宋体"/>
        </w:rPr>
        <w:t>签发开工令后方可进行正式项目实施。</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.7</w:t>
      </w:r>
      <w:r>
        <w:rPr>
          <w:rFonts w:hint="eastAsia" w:ascii="宋体" w:hAnsi="宋体" w:eastAsia="宋体" w:cs="宋体"/>
          <w:lang w:eastAsia="zh-CN"/>
        </w:rPr>
        <w:t>投标人</w:t>
      </w:r>
      <w:r>
        <w:rPr>
          <w:rFonts w:ascii="宋体" w:hAnsi="宋体" w:eastAsia="宋体" w:cs="宋体"/>
        </w:rPr>
        <w:t>须做好设施状态普查、技术交底。</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.8所有</w:t>
      </w:r>
      <w:r>
        <w:rPr>
          <w:rFonts w:hint="eastAsia" w:ascii="宋体" w:hAnsi="宋体" w:eastAsia="宋体" w:cs="宋体"/>
        </w:rPr>
        <w:t>充电桩施工</w:t>
      </w:r>
      <w:r>
        <w:rPr>
          <w:rFonts w:ascii="宋体" w:hAnsi="宋体" w:eastAsia="宋体" w:cs="宋体"/>
        </w:rPr>
        <w:t>人员要遵守</w:t>
      </w:r>
      <w:r>
        <w:rPr>
          <w:rFonts w:hint="eastAsia" w:ascii="宋体" w:hAnsi="宋体" w:eastAsia="宋体" w:cs="宋体"/>
          <w:lang w:eastAsia="zh-CN"/>
        </w:rPr>
        <w:t>招标人</w:t>
      </w:r>
      <w:r>
        <w:rPr>
          <w:rFonts w:ascii="宋体" w:hAnsi="宋体" w:eastAsia="宋体" w:cs="宋体"/>
        </w:rPr>
        <w:t>的企业标准《</w:t>
      </w:r>
      <w:r>
        <w:rPr>
          <w:rFonts w:hint="eastAsia" w:ascii="宋体" w:hAnsi="宋体" w:eastAsia="宋体" w:cs="宋体"/>
        </w:rPr>
        <w:t>运营公司</w:t>
      </w:r>
      <w:r>
        <w:rPr>
          <w:rFonts w:ascii="宋体" w:hAnsi="宋体" w:eastAsia="宋体" w:cs="宋体"/>
        </w:rPr>
        <w:t>施工管理规定》，并必须按照施工规范、方案和各项安全操作规程进行作业。全体人员必须持证上岗，</w:t>
      </w:r>
      <w:r>
        <w:rPr>
          <w:rFonts w:hint="eastAsia" w:ascii="宋体" w:hAnsi="宋体" w:eastAsia="宋体" w:cs="宋体"/>
          <w:lang w:eastAsia="zh-CN"/>
        </w:rPr>
        <w:t>投标人</w:t>
      </w:r>
      <w:r>
        <w:rPr>
          <w:rFonts w:ascii="宋体" w:hAnsi="宋体" w:eastAsia="宋体" w:cs="宋体"/>
        </w:rPr>
        <w:t>项目相关人员须通过</w:t>
      </w:r>
      <w:r>
        <w:rPr>
          <w:rFonts w:hint="eastAsia" w:ascii="宋体" w:hAnsi="宋体" w:eastAsia="宋体" w:cs="宋体"/>
          <w:lang w:eastAsia="zh-CN"/>
        </w:rPr>
        <w:t>招标人</w:t>
      </w:r>
      <w:r>
        <w:rPr>
          <w:rFonts w:ascii="宋体" w:hAnsi="宋体" w:eastAsia="宋体" w:cs="宋体"/>
        </w:rPr>
        <w:t>组织的相关考试。</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.9</w:t>
      </w:r>
      <w:r>
        <w:rPr>
          <w:rFonts w:hint="eastAsia" w:ascii="宋体" w:hAnsi="宋体" w:eastAsia="宋体" w:cs="宋体"/>
          <w:lang w:eastAsia="zh-CN"/>
        </w:rPr>
        <w:t>投标人</w:t>
      </w:r>
      <w:r>
        <w:rPr>
          <w:rFonts w:ascii="宋体" w:hAnsi="宋体" w:eastAsia="宋体" w:cs="宋体"/>
        </w:rPr>
        <w:t>人员须在合同执行之日前完成相关证件的取证工作，提交复印件（有效期内），并按照</w:t>
      </w:r>
      <w:r>
        <w:rPr>
          <w:rFonts w:hint="eastAsia" w:ascii="宋体" w:hAnsi="宋体" w:eastAsia="宋体" w:cs="宋体"/>
          <w:lang w:eastAsia="zh-CN"/>
        </w:rPr>
        <w:t>招标人</w:t>
      </w:r>
      <w:r>
        <w:rPr>
          <w:rFonts w:ascii="宋体" w:hAnsi="宋体" w:eastAsia="宋体" w:cs="宋体"/>
        </w:rPr>
        <w:t>要求对相关证件进行复审。</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.10防护、劳保用品到位，</w:t>
      </w:r>
      <w:r>
        <w:rPr>
          <w:rFonts w:hint="eastAsia" w:ascii="宋体" w:hAnsi="宋体" w:eastAsia="宋体" w:cs="宋体"/>
          <w:lang w:eastAsia="zh-CN"/>
        </w:rPr>
        <w:t>投标人</w:t>
      </w:r>
      <w:r>
        <w:rPr>
          <w:rFonts w:ascii="宋体" w:hAnsi="宋体" w:eastAsia="宋体" w:cs="宋体"/>
        </w:rPr>
        <w:t>进场的制服到位，报</w:t>
      </w:r>
      <w:r>
        <w:rPr>
          <w:rFonts w:hint="eastAsia" w:ascii="宋体" w:hAnsi="宋体" w:eastAsia="宋体" w:cs="宋体"/>
          <w:lang w:eastAsia="zh-CN"/>
        </w:rPr>
        <w:t>招标人</w:t>
      </w:r>
      <w:r>
        <w:rPr>
          <w:rFonts w:ascii="宋体" w:hAnsi="宋体" w:eastAsia="宋体" w:cs="宋体"/>
        </w:rPr>
        <w:t>备案。</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.11作业程序、内容符合</w:t>
      </w:r>
      <w:r>
        <w:rPr>
          <w:rFonts w:hint="eastAsia" w:ascii="宋体" w:hAnsi="宋体" w:eastAsia="宋体" w:cs="宋体"/>
          <w:lang w:eastAsia="zh-CN"/>
        </w:rPr>
        <w:t>招标人</w:t>
      </w:r>
      <w:r>
        <w:rPr>
          <w:rFonts w:ascii="宋体" w:hAnsi="宋体" w:eastAsia="宋体" w:cs="宋体"/>
        </w:rPr>
        <w:t>要求，通过</w:t>
      </w:r>
      <w:r>
        <w:rPr>
          <w:rFonts w:hint="eastAsia" w:ascii="宋体" w:hAnsi="宋体" w:eastAsia="宋体" w:cs="宋体"/>
          <w:lang w:eastAsia="zh-CN"/>
        </w:rPr>
        <w:t>招标人</w:t>
      </w:r>
      <w:r>
        <w:rPr>
          <w:rFonts w:ascii="宋体" w:hAnsi="宋体" w:eastAsia="宋体" w:cs="宋体"/>
        </w:rPr>
        <w:t>审核确认。</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.12</w:t>
      </w:r>
      <w:r>
        <w:rPr>
          <w:rFonts w:hint="eastAsia" w:ascii="宋体" w:hAnsi="宋体" w:eastAsia="宋体" w:cs="宋体"/>
        </w:rPr>
        <w:t>充电桩所需</w:t>
      </w:r>
      <w:r>
        <w:rPr>
          <w:rFonts w:ascii="宋体" w:hAnsi="宋体" w:eastAsia="宋体" w:cs="宋体"/>
        </w:rPr>
        <w:t>材料和设备设施供应计划并做好供应，</w:t>
      </w:r>
      <w:r>
        <w:rPr>
          <w:rFonts w:hint="eastAsia" w:ascii="宋体" w:hAnsi="宋体" w:eastAsia="宋体" w:cs="宋体"/>
          <w:lang w:eastAsia="zh-CN"/>
        </w:rPr>
        <w:t>投标人</w:t>
      </w:r>
      <w:r>
        <w:rPr>
          <w:rFonts w:ascii="宋体" w:hAnsi="宋体" w:eastAsia="宋体" w:cs="宋体"/>
        </w:rPr>
        <w:t>个人工器具、班组工器具通过</w:t>
      </w:r>
      <w:r>
        <w:rPr>
          <w:rFonts w:hint="eastAsia" w:ascii="宋体" w:hAnsi="宋体" w:eastAsia="宋体" w:cs="宋体"/>
          <w:lang w:eastAsia="zh-CN"/>
        </w:rPr>
        <w:t>招标人</w:t>
      </w:r>
      <w:r>
        <w:rPr>
          <w:rFonts w:ascii="宋体" w:hAnsi="宋体" w:eastAsia="宋体" w:cs="宋体"/>
        </w:rPr>
        <w:t>审核确认。</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.13合同期内作业人员原则上不许替换，更换</w:t>
      </w:r>
      <w:r>
        <w:rPr>
          <w:rFonts w:hint="eastAsia" w:ascii="宋体" w:hAnsi="宋体" w:eastAsia="宋体" w:cs="宋体"/>
        </w:rPr>
        <w:t>充电桩施工</w:t>
      </w:r>
      <w:r>
        <w:rPr>
          <w:rFonts w:ascii="宋体" w:hAnsi="宋体" w:eastAsia="宋体" w:cs="宋体"/>
        </w:rPr>
        <w:t>人员必须通知</w:t>
      </w:r>
      <w:r>
        <w:rPr>
          <w:rFonts w:hint="eastAsia" w:ascii="宋体" w:hAnsi="宋体" w:eastAsia="宋体" w:cs="宋体"/>
          <w:lang w:eastAsia="zh-CN"/>
        </w:rPr>
        <w:t>招标人</w:t>
      </w:r>
      <w:r>
        <w:rPr>
          <w:rFonts w:ascii="宋体" w:hAnsi="宋体" w:eastAsia="宋体" w:cs="宋体"/>
        </w:rPr>
        <w:t>并提交有关人员资料，必须确保替换人员的资历、经验不低于原来被替换的人员，并提供相关内部或送外的培训书面证明，并由</w:t>
      </w:r>
      <w:r>
        <w:rPr>
          <w:rFonts w:hint="eastAsia" w:ascii="宋体" w:hAnsi="宋体" w:eastAsia="宋体" w:cs="宋体"/>
          <w:lang w:eastAsia="zh-CN"/>
        </w:rPr>
        <w:t>招标人</w:t>
      </w:r>
      <w:r>
        <w:rPr>
          <w:rFonts w:ascii="宋体" w:hAnsi="宋体" w:eastAsia="宋体" w:cs="宋体"/>
        </w:rPr>
        <w:t>组织资料审核，未经</w:t>
      </w:r>
      <w:r>
        <w:rPr>
          <w:rFonts w:hint="eastAsia" w:ascii="宋体" w:hAnsi="宋体" w:eastAsia="宋体" w:cs="宋体"/>
          <w:lang w:eastAsia="zh-CN"/>
        </w:rPr>
        <w:t>招标人</w:t>
      </w:r>
      <w:r>
        <w:rPr>
          <w:rFonts w:ascii="宋体" w:hAnsi="宋体" w:eastAsia="宋体" w:cs="宋体"/>
        </w:rPr>
        <w:t>书面许可不得更换</w:t>
      </w:r>
      <w:r>
        <w:rPr>
          <w:rFonts w:hint="eastAsia" w:ascii="宋体" w:hAnsi="宋体" w:eastAsia="宋体" w:cs="宋体"/>
        </w:rPr>
        <w:t>充电桩施工</w:t>
      </w:r>
      <w:r>
        <w:rPr>
          <w:rFonts w:ascii="宋体" w:hAnsi="宋体" w:eastAsia="宋体" w:cs="宋体"/>
        </w:rPr>
        <w:t>人员。</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.14所有人员不得兼职，且工作时间须在现场服务。</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5.1.3</w:t>
      </w:r>
      <w:r>
        <w:rPr>
          <w:rFonts w:ascii="宋体" w:hAnsi="宋体" w:eastAsia="宋体" w:cs="宋体"/>
        </w:rPr>
        <w:t>.15</w:t>
      </w:r>
      <w:r>
        <w:rPr>
          <w:rFonts w:hint="eastAsia" w:ascii="宋体" w:hAnsi="宋体" w:eastAsia="宋体" w:cs="宋体"/>
          <w:lang w:eastAsia="zh-CN"/>
        </w:rPr>
        <w:t>投标人</w:t>
      </w:r>
      <w:r>
        <w:rPr>
          <w:rFonts w:ascii="宋体" w:hAnsi="宋体" w:eastAsia="宋体" w:cs="宋体"/>
        </w:rPr>
        <w:t>内部应建立完整有效的管理方案，包括但不限于以下要求：</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（1）</w:t>
      </w:r>
      <w:r>
        <w:rPr>
          <w:rFonts w:ascii="宋体" w:hAnsi="宋体" w:eastAsia="宋体" w:cs="宋体"/>
        </w:rPr>
        <w:t>人员管理制度：</w:t>
      </w:r>
      <w:r>
        <w:rPr>
          <w:rFonts w:hint="eastAsia" w:ascii="宋体" w:hAnsi="宋体" w:eastAsia="宋体" w:cs="宋体"/>
          <w:lang w:eastAsia="zh-CN"/>
        </w:rPr>
        <w:t>投标人</w:t>
      </w:r>
      <w:r>
        <w:rPr>
          <w:rFonts w:ascii="宋体" w:hAnsi="宋体" w:eastAsia="宋体" w:cs="宋体"/>
        </w:rPr>
        <w:t>应对管理项目做出具体响应，包括但不限于考勤管理、内部调动管理、自查自纠制度、员工奖惩管理等方案。</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（2）</w:t>
      </w:r>
      <w:r>
        <w:rPr>
          <w:rFonts w:ascii="宋体" w:hAnsi="宋体" w:eastAsia="宋体" w:cs="宋体"/>
        </w:rPr>
        <w:t>安全管理制度：</w:t>
      </w:r>
      <w:r>
        <w:rPr>
          <w:rFonts w:hint="eastAsia" w:ascii="宋体" w:hAnsi="宋体" w:eastAsia="宋体" w:cs="宋体"/>
          <w:lang w:eastAsia="zh-CN"/>
        </w:rPr>
        <w:t>投标人</w:t>
      </w:r>
      <w:r>
        <w:rPr>
          <w:rFonts w:ascii="宋体" w:hAnsi="宋体" w:eastAsia="宋体" w:cs="宋体"/>
        </w:rPr>
        <w:t>应对安全管理方案做出具体响应，包括但不限于安全组织架构、安全培训、安全物品使用与管理、劳动防护用品配置与检测等方案。</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（3）</w:t>
      </w:r>
      <w:r>
        <w:rPr>
          <w:rFonts w:ascii="宋体" w:hAnsi="宋体" w:eastAsia="宋体" w:cs="宋体"/>
        </w:rPr>
        <w:t>物资管理制度：</w:t>
      </w:r>
      <w:r>
        <w:rPr>
          <w:rFonts w:hint="eastAsia" w:ascii="宋体" w:hAnsi="宋体" w:eastAsia="宋体" w:cs="宋体"/>
          <w:lang w:eastAsia="zh-CN"/>
        </w:rPr>
        <w:t>投标人</w:t>
      </w:r>
      <w:r>
        <w:rPr>
          <w:rFonts w:ascii="宋体" w:hAnsi="宋体" w:eastAsia="宋体" w:cs="宋体"/>
        </w:rPr>
        <w:t>为了响应合同技术部分要求，应对涉及的物资、仪器、工器具等相关的配置与管理方案做出具体响应。</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5.1.4知识产权</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5.1.4</w:t>
      </w:r>
      <w:r>
        <w:rPr>
          <w:rFonts w:ascii="宋体" w:hAnsi="宋体" w:eastAsia="宋体" w:cs="宋体"/>
        </w:rPr>
        <w:t>.1因</w:t>
      </w:r>
      <w:r>
        <w:rPr>
          <w:rFonts w:hint="eastAsia" w:ascii="宋体" w:hAnsi="宋体" w:eastAsia="宋体" w:cs="宋体"/>
          <w:lang w:eastAsia="zh-CN"/>
        </w:rPr>
        <w:t>投标人</w:t>
      </w:r>
      <w:r>
        <w:rPr>
          <w:rFonts w:ascii="宋体" w:hAnsi="宋体" w:eastAsia="宋体" w:cs="宋体"/>
        </w:rPr>
        <w:t>为实施本合同而向</w:t>
      </w:r>
      <w:r>
        <w:rPr>
          <w:rFonts w:hint="eastAsia" w:ascii="宋体" w:hAnsi="宋体" w:eastAsia="宋体" w:cs="宋体"/>
          <w:lang w:eastAsia="zh-CN"/>
        </w:rPr>
        <w:t>招标人</w:t>
      </w:r>
      <w:r>
        <w:rPr>
          <w:rFonts w:ascii="宋体" w:hAnsi="宋体" w:eastAsia="宋体" w:cs="宋体"/>
        </w:rPr>
        <w:t>提供的任何产品、资料、物件及服务引起的知识产权纠纷，由</w:t>
      </w:r>
      <w:r>
        <w:rPr>
          <w:rFonts w:hint="eastAsia" w:ascii="宋体" w:hAnsi="宋体" w:eastAsia="宋体" w:cs="宋体"/>
          <w:lang w:eastAsia="zh-CN"/>
        </w:rPr>
        <w:t>投标人</w:t>
      </w:r>
      <w:r>
        <w:rPr>
          <w:rFonts w:ascii="宋体" w:hAnsi="宋体" w:eastAsia="宋体" w:cs="宋体"/>
        </w:rPr>
        <w:t>承担由此引起的一切法律和经济上的责任。</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5.1.4</w:t>
      </w:r>
      <w:r>
        <w:rPr>
          <w:rFonts w:ascii="宋体" w:hAnsi="宋体" w:eastAsia="宋体" w:cs="宋体"/>
        </w:rPr>
        <w:t>.2</w:t>
      </w:r>
      <w:r>
        <w:rPr>
          <w:rFonts w:hint="eastAsia" w:ascii="宋体" w:hAnsi="宋体" w:eastAsia="宋体" w:cs="宋体"/>
          <w:lang w:eastAsia="zh-CN"/>
        </w:rPr>
        <w:t>投标人</w:t>
      </w:r>
      <w:r>
        <w:rPr>
          <w:rFonts w:ascii="宋体" w:hAnsi="宋体" w:eastAsia="宋体" w:cs="宋体"/>
        </w:rPr>
        <w:t>保证依据本合同所提供的任何产品、资料、物件及服务均不构成对第三方合法权益的侵犯，包括但不限于知识产权。即</w:t>
      </w:r>
      <w:r>
        <w:rPr>
          <w:rFonts w:hint="eastAsia" w:ascii="宋体" w:hAnsi="宋体" w:eastAsia="宋体" w:cs="宋体"/>
          <w:lang w:eastAsia="zh-CN"/>
        </w:rPr>
        <w:t>招标人</w:t>
      </w:r>
      <w:r>
        <w:rPr>
          <w:rFonts w:ascii="宋体" w:hAnsi="宋体" w:eastAsia="宋体" w:cs="宋体"/>
        </w:rPr>
        <w:t>在中国使用</w:t>
      </w:r>
      <w:r>
        <w:rPr>
          <w:rFonts w:hint="eastAsia" w:ascii="宋体" w:hAnsi="宋体" w:eastAsia="宋体" w:cs="宋体"/>
          <w:lang w:eastAsia="zh-CN"/>
        </w:rPr>
        <w:t>投标人</w:t>
      </w:r>
      <w:r>
        <w:rPr>
          <w:rFonts w:ascii="宋体" w:hAnsi="宋体" w:eastAsia="宋体" w:cs="宋体"/>
        </w:rPr>
        <w:t>提供的产品、产品的任何一部分，资料或服务时，免受第三方提出的侵犯其专利权、商标权、工业设计权和其他知识产权的起诉。</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5.1.4</w:t>
      </w:r>
      <w:r>
        <w:rPr>
          <w:rFonts w:ascii="宋体" w:hAnsi="宋体" w:eastAsia="宋体" w:cs="宋体"/>
        </w:rPr>
        <w:t>.3</w:t>
      </w:r>
      <w:r>
        <w:rPr>
          <w:rFonts w:hint="eastAsia" w:ascii="宋体" w:hAnsi="宋体" w:eastAsia="宋体" w:cs="宋体"/>
          <w:lang w:eastAsia="zh-CN"/>
        </w:rPr>
        <w:t>投标人</w:t>
      </w:r>
      <w:r>
        <w:rPr>
          <w:rFonts w:ascii="宋体" w:hAnsi="宋体" w:eastAsia="宋体" w:cs="宋体"/>
        </w:rPr>
        <w:t>为实施本合同及其缺陷修补，需使用第三人专利，专有技术、技术秘密、商业秘密、著作权、商标权等知识产权的，在签订合同时，应向</w:t>
      </w:r>
      <w:r>
        <w:rPr>
          <w:rFonts w:hint="eastAsia" w:ascii="宋体" w:hAnsi="宋体" w:eastAsia="宋体" w:cs="宋体"/>
          <w:lang w:eastAsia="zh-CN"/>
        </w:rPr>
        <w:t>招标人</w:t>
      </w:r>
      <w:r>
        <w:rPr>
          <w:rFonts w:ascii="宋体" w:hAnsi="宋体" w:eastAsia="宋体" w:cs="宋体"/>
        </w:rPr>
        <w:t>说明知识产权的权利人，名称等权利状况，相应知识产权使用费由</w:t>
      </w:r>
      <w:r>
        <w:rPr>
          <w:rFonts w:hint="eastAsia" w:ascii="宋体" w:hAnsi="宋体" w:eastAsia="宋体" w:cs="宋体"/>
          <w:lang w:eastAsia="zh-CN"/>
        </w:rPr>
        <w:t>投标人</w:t>
      </w:r>
      <w:r>
        <w:rPr>
          <w:rFonts w:ascii="宋体" w:hAnsi="宋体" w:eastAsia="宋体" w:cs="宋体"/>
        </w:rPr>
        <w:t>负责支付。</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5.1.4</w:t>
      </w:r>
      <w:r>
        <w:rPr>
          <w:rFonts w:ascii="宋体" w:hAnsi="宋体" w:eastAsia="宋体" w:cs="宋体"/>
        </w:rPr>
        <w:t>.4在</w:t>
      </w:r>
      <w:r>
        <w:rPr>
          <w:rFonts w:hint="eastAsia" w:ascii="宋体" w:hAnsi="宋体" w:eastAsia="宋体" w:cs="宋体"/>
          <w:lang w:eastAsia="zh-CN"/>
        </w:rPr>
        <w:t>投标人</w:t>
      </w:r>
      <w:r>
        <w:rPr>
          <w:rFonts w:ascii="宋体" w:hAnsi="宋体" w:eastAsia="宋体" w:cs="宋体"/>
        </w:rPr>
        <w:t>履行合同过程中，需增加使用第三人专利、专有技术、技术秘密、商业秘密、著作权、商标权等知识产权的，</w:t>
      </w:r>
      <w:r>
        <w:rPr>
          <w:rFonts w:hint="eastAsia" w:ascii="宋体" w:hAnsi="宋体" w:eastAsia="宋体" w:cs="宋体"/>
          <w:lang w:eastAsia="zh-CN"/>
        </w:rPr>
        <w:t>投标人</w:t>
      </w:r>
      <w:r>
        <w:rPr>
          <w:rFonts w:ascii="宋体" w:hAnsi="宋体" w:eastAsia="宋体" w:cs="宋体"/>
        </w:rPr>
        <w:t>应取得</w:t>
      </w:r>
      <w:r>
        <w:rPr>
          <w:rFonts w:hint="eastAsia" w:ascii="宋体" w:hAnsi="宋体" w:eastAsia="宋体" w:cs="宋体"/>
          <w:lang w:eastAsia="zh-CN"/>
        </w:rPr>
        <w:t>招标人</w:t>
      </w:r>
      <w:r>
        <w:rPr>
          <w:rFonts w:ascii="宋体" w:hAnsi="宋体" w:eastAsia="宋体" w:cs="宋体"/>
        </w:rPr>
        <w:t>同意，所使用的知识产权应支付的费用由</w:t>
      </w:r>
      <w:r>
        <w:rPr>
          <w:rFonts w:hint="eastAsia" w:ascii="宋体" w:hAnsi="宋体" w:eastAsia="宋体" w:cs="宋体"/>
          <w:lang w:eastAsia="zh-CN"/>
        </w:rPr>
        <w:t>投标人</w:t>
      </w:r>
      <w:r>
        <w:rPr>
          <w:rFonts w:ascii="宋体" w:hAnsi="宋体" w:eastAsia="宋体" w:cs="宋体"/>
        </w:rPr>
        <w:t>承担。</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5.1.4</w:t>
      </w:r>
      <w:r>
        <w:rPr>
          <w:rFonts w:ascii="宋体" w:hAnsi="宋体" w:eastAsia="宋体" w:cs="宋体"/>
        </w:rPr>
        <w:t>.5因</w:t>
      </w:r>
      <w:r>
        <w:rPr>
          <w:rFonts w:hint="eastAsia" w:ascii="宋体" w:hAnsi="宋体" w:eastAsia="宋体" w:cs="宋体"/>
          <w:lang w:eastAsia="zh-CN"/>
        </w:rPr>
        <w:t>投标人</w:t>
      </w:r>
      <w:r>
        <w:rPr>
          <w:rFonts w:ascii="宋体" w:hAnsi="宋体" w:eastAsia="宋体" w:cs="宋体"/>
        </w:rPr>
        <w:t>提供的任何产品、资料、物件及服务引起的知识产权纠纷，由</w:t>
      </w:r>
      <w:r>
        <w:rPr>
          <w:rFonts w:hint="eastAsia" w:ascii="宋体" w:hAnsi="宋体" w:eastAsia="宋体" w:cs="宋体"/>
          <w:lang w:eastAsia="zh-CN"/>
        </w:rPr>
        <w:t>投标人</w:t>
      </w:r>
      <w:r>
        <w:rPr>
          <w:rFonts w:ascii="宋体" w:hAnsi="宋体" w:eastAsia="宋体" w:cs="宋体"/>
        </w:rPr>
        <w:t>负责与第三人交涉、参加诉讼、进行辩护，并承担由此引起的一切法律和经济上的责任。上述纠纷包括但不限于因</w:t>
      </w:r>
      <w:r>
        <w:rPr>
          <w:rFonts w:hint="eastAsia" w:ascii="宋体" w:hAnsi="宋体" w:eastAsia="宋体" w:cs="宋体"/>
          <w:lang w:eastAsia="zh-CN"/>
        </w:rPr>
        <w:t>投标人</w:t>
      </w:r>
      <w:r>
        <w:rPr>
          <w:rFonts w:ascii="宋体" w:hAnsi="宋体" w:eastAsia="宋体" w:cs="宋体"/>
        </w:rPr>
        <w:t>拥有或者有权许可的知识产权存在瑕疵导致产品瑕疵引起的索赔、诉讼或损失，因上述知识产权未在中国申请知识产权保护或海关备案而引起的侵权纠纷。</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5.1.4</w:t>
      </w:r>
      <w:r>
        <w:rPr>
          <w:rFonts w:ascii="宋体" w:hAnsi="宋体" w:eastAsia="宋体" w:cs="宋体"/>
        </w:rPr>
        <w:t>.6如</w:t>
      </w:r>
      <w:r>
        <w:rPr>
          <w:rFonts w:hint="eastAsia" w:ascii="宋体" w:hAnsi="宋体" w:eastAsia="宋体" w:cs="宋体"/>
          <w:lang w:eastAsia="zh-CN"/>
        </w:rPr>
        <w:t>投标人</w:t>
      </w:r>
      <w:r>
        <w:rPr>
          <w:rFonts w:ascii="宋体" w:hAnsi="宋体" w:eastAsia="宋体" w:cs="宋体"/>
        </w:rPr>
        <w:t>拒绝或怠于履行上述义务的，</w:t>
      </w:r>
      <w:r>
        <w:rPr>
          <w:rFonts w:hint="eastAsia" w:ascii="宋体" w:hAnsi="宋体" w:eastAsia="宋体" w:cs="宋体"/>
          <w:lang w:eastAsia="zh-CN"/>
        </w:rPr>
        <w:t>招标人</w:t>
      </w:r>
      <w:r>
        <w:rPr>
          <w:rFonts w:ascii="宋体" w:hAnsi="宋体" w:eastAsia="宋体" w:cs="宋体"/>
        </w:rPr>
        <w:t>有权解除合同。</w:t>
      </w:r>
      <w:r>
        <w:rPr>
          <w:rFonts w:hint="eastAsia" w:ascii="宋体" w:hAnsi="宋体" w:eastAsia="宋体" w:cs="宋体"/>
          <w:lang w:eastAsia="zh-CN"/>
        </w:rPr>
        <w:t>招标人</w:t>
      </w:r>
      <w:r>
        <w:rPr>
          <w:rFonts w:ascii="宋体" w:hAnsi="宋体" w:eastAsia="宋体" w:cs="宋体"/>
        </w:rPr>
        <w:t>被第三方起诉或以其它方式追究责任，</w:t>
      </w:r>
      <w:r>
        <w:rPr>
          <w:rFonts w:hint="eastAsia" w:ascii="宋体" w:hAnsi="宋体" w:eastAsia="宋体" w:cs="宋体"/>
          <w:lang w:eastAsia="zh-CN"/>
        </w:rPr>
        <w:t>投标人</w:t>
      </w:r>
      <w:r>
        <w:rPr>
          <w:rFonts w:ascii="宋体" w:hAnsi="宋体" w:eastAsia="宋体" w:cs="宋体"/>
        </w:rPr>
        <w:t>应赔偿因</w:t>
      </w:r>
      <w:r>
        <w:rPr>
          <w:rFonts w:hint="eastAsia" w:ascii="宋体" w:hAnsi="宋体" w:eastAsia="宋体" w:cs="宋体"/>
          <w:lang w:eastAsia="zh-CN"/>
        </w:rPr>
        <w:t>招标人</w:t>
      </w:r>
      <w:r>
        <w:rPr>
          <w:rFonts w:ascii="宋体" w:hAnsi="宋体" w:eastAsia="宋体" w:cs="宋体"/>
        </w:rPr>
        <w:t>被第三方索赔所引起的一切损失，包括但不限于</w:t>
      </w:r>
      <w:r>
        <w:rPr>
          <w:rFonts w:hint="eastAsia" w:ascii="宋体" w:hAnsi="宋体" w:eastAsia="宋体" w:cs="宋体"/>
          <w:lang w:eastAsia="zh-CN"/>
        </w:rPr>
        <w:t>招标人</w:t>
      </w:r>
      <w:r>
        <w:rPr>
          <w:rFonts w:ascii="宋体" w:hAnsi="宋体" w:eastAsia="宋体" w:cs="宋体"/>
        </w:rPr>
        <w:t>所支付的侵权损害赔偿费、律师费、诉讼费、仲裁费、办案差旅费等因应诉、沟通协调所发的一切费用。</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5.1.4</w:t>
      </w:r>
      <w:r>
        <w:rPr>
          <w:rFonts w:ascii="宋体" w:hAnsi="宋体" w:eastAsia="宋体" w:cs="宋体"/>
        </w:rPr>
        <w:t>.7对</w:t>
      </w:r>
      <w:r>
        <w:rPr>
          <w:rFonts w:hint="eastAsia" w:ascii="宋体" w:hAnsi="宋体" w:eastAsia="宋体" w:cs="宋体"/>
          <w:lang w:eastAsia="zh-CN"/>
        </w:rPr>
        <w:t>招标人</w:t>
      </w:r>
      <w:r>
        <w:rPr>
          <w:rFonts w:ascii="宋体" w:hAnsi="宋体" w:eastAsia="宋体" w:cs="宋体"/>
        </w:rPr>
        <w:t>提供的一切资料，以及项目执行生成的各种记录、会议纪要、现场影像资料等做好保密，未经</w:t>
      </w:r>
      <w:r>
        <w:rPr>
          <w:rFonts w:hint="eastAsia" w:ascii="宋体" w:hAnsi="宋体" w:eastAsia="宋体" w:cs="宋体"/>
          <w:lang w:eastAsia="zh-CN"/>
        </w:rPr>
        <w:t>招标人</w:t>
      </w:r>
      <w:r>
        <w:rPr>
          <w:rFonts w:ascii="宋体" w:hAnsi="宋体" w:eastAsia="宋体" w:cs="宋体"/>
        </w:rPr>
        <w:t>授权不得外传。</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5.1.4</w:t>
      </w:r>
      <w:r>
        <w:rPr>
          <w:rFonts w:ascii="宋体" w:hAnsi="宋体" w:eastAsia="宋体" w:cs="宋体"/>
        </w:rPr>
        <w:t>.8未经</w:t>
      </w:r>
      <w:r>
        <w:rPr>
          <w:rFonts w:hint="eastAsia" w:ascii="宋体" w:hAnsi="宋体" w:eastAsia="宋体" w:cs="宋体"/>
          <w:lang w:eastAsia="zh-CN"/>
        </w:rPr>
        <w:t>招标人</w:t>
      </w:r>
      <w:r>
        <w:rPr>
          <w:rFonts w:ascii="宋体" w:hAnsi="宋体" w:eastAsia="宋体" w:cs="宋体"/>
        </w:rPr>
        <w:t>允许不得在网络、论坛、博客、微博、微信等媒体传播有关的照片、视频等影像资料，所造成的损失由</w:t>
      </w:r>
      <w:r>
        <w:rPr>
          <w:rFonts w:hint="eastAsia" w:ascii="宋体" w:hAnsi="宋体" w:eastAsia="宋体" w:cs="宋体"/>
          <w:lang w:eastAsia="zh-CN"/>
        </w:rPr>
        <w:t>投标人</w:t>
      </w:r>
      <w:r>
        <w:rPr>
          <w:rFonts w:ascii="宋体" w:hAnsi="宋体" w:eastAsia="宋体" w:cs="宋体"/>
        </w:rPr>
        <w:t>承担。</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126" w:name="_Toc29301"/>
      <w:bookmarkStart w:id="1127" w:name="_Toc30090"/>
      <w:bookmarkStart w:id="1128" w:name="_Toc79434383"/>
      <w:bookmarkStart w:id="1129" w:name="_Toc16517"/>
      <w:bookmarkStart w:id="1130" w:name="_Toc26732"/>
      <w:bookmarkStart w:id="1131" w:name="_Toc30443"/>
      <w:bookmarkStart w:id="1132" w:name="_Toc16127"/>
      <w:bookmarkStart w:id="1133" w:name="_Toc6317"/>
      <w:bookmarkStart w:id="1134" w:name="_Toc25150"/>
      <w:bookmarkStart w:id="1135" w:name="_Toc18564"/>
      <w:bookmarkStart w:id="1136" w:name="_Toc29542"/>
      <w:bookmarkStart w:id="1137" w:name="_Toc28650"/>
      <w:bookmarkStart w:id="1138" w:name="_Toc18602"/>
      <w:bookmarkStart w:id="1139" w:name="_Toc20342"/>
      <w:bookmarkStart w:id="1140" w:name="_Toc4630"/>
      <w:bookmarkStart w:id="1141" w:name="_Toc8653"/>
      <w:bookmarkStart w:id="1142" w:name="_Toc16117"/>
      <w:bookmarkStart w:id="1143" w:name="_Toc16874"/>
      <w:bookmarkStart w:id="1144" w:name="_Toc23533"/>
      <w:bookmarkStart w:id="1145" w:name="_Toc19440"/>
      <w:bookmarkStart w:id="1146" w:name="_Toc60213002"/>
      <w:r>
        <w:rPr>
          <w:rFonts w:hint="eastAsia" w:ascii="宋体" w:hAnsi="宋体" w:eastAsia="宋体" w:cs="宋体"/>
          <w:b/>
          <w:bCs/>
          <w:kern w:val="44"/>
          <w:sz w:val="21"/>
          <w:szCs w:val="21"/>
          <w:lang w:val="en-US" w:eastAsia="zh-CN" w:bidi="ar-SA"/>
        </w:rPr>
        <w:t>5.2充电桩作业计划编制</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rPr>
      </w:pPr>
      <w:r>
        <w:rPr>
          <w:rFonts w:hint="eastAsia" w:ascii="宋体" w:hAnsi="宋体" w:eastAsia="宋体" w:cs="宋体"/>
        </w:rPr>
        <w:t>5.2.1</w:t>
      </w:r>
      <w:r>
        <w:rPr>
          <w:rFonts w:hint="eastAsia" w:ascii="宋体" w:hAnsi="宋体" w:eastAsia="宋体" w:cs="宋体"/>
          <w:lang w:eastAsia="zh-CN"/>
        </w:rPr>
        <w:t>投标人</w:t>
      </w:r>
      <w:r>
        <w:rPr>
          <w:rFonts w:hint="eastAsia" w:ascii="宋体" w:hAnsi="宋体" w:eastAsia="宋体" w:cs="宋体"/>
        </w:rPr>
        <w:t>根据</w:t>
      </w:r>
      <w:r>
        <w:rPr>
          <w:rFonts w:hint="eastAsia" w:ascii="宋体" w:hAnsi="宋体" w:eastAsia="宋体" w:cs="宋体"/>
          <w:lang w:eastAsia="zh-CN"/>
        </w:rPr>
        <w:t>招标人</w:t>
      </w:r>
      <w:r>
        <w:rPr>
          <w:rFonts w:hint="eastAsia" w:ascii="宋体" w:hAnsi="宋体" w:eastAsia="宋体" w:cs="宋体"/>
        </w:rPr>
        <w:t>提供的工程范围及工程量完成充电桩施工计划的编制，报</w:t>
      </w:r>
      <w:r>
        <w:rPr>
          <w:rFonts w:hint="eastAsia" w:ascii="宋体" w:hAnsi="宋体" w:eastAsia="宋体" w:cs="宋体"/>
          <w:lang w:eastAsia="zh-CN"/>
        </w:rPr>
        <w:t>招标人</w:t>
      </w:r>
      <w:r>
        <w:rPr>
          <w:rFonts w:hint="eastAsia" w:ascii="宋体" w:hAnsi="宋体" w:eastAsia="宋体" w:cs="宋体"/>
        </w:rPr>
        <w:t>主管部门审核，由主管部门按照《运营公司施工管理规定》相关规定与流程报运营相关部门审批。</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rPr>
      </w:pPr>
      <w:r>
        <w:rPr>
          <w:rFonts w:hint="eastAsia" w:ascii="宋体" w:hAnsi="宋体" w:eastAsia="宋体" w:cs="宋体"/>
        </w:rPr>
        <w:t>5.2.2</w:t>
      </w:r>
      <w:r>
        <w:rPr>
          <w:rFonts w:hint="eastAsia" w:ascii="宋体" w:hAnsi="宋体" w:eastAsia="宋体" w:cs="宋体"/>
          <w:lang w:eastAsia="zh-CN"/>
        </w:rPr>
        <w:t>投标人</w:t>
      </w:r>
      <w:r>
        <w:rPr>
          <w:rFonts w:hint="eastAsia" w:ascii="宋体" w:hAnsi="宋体" w:eastAsia="宋体" w:cs="宋体"/>
        </w:rPr>
        <w:t>根据</w:t>
      </w:r>
      <w:r>
        <w:rPr>
          <w:rFonts w:hint="eastAsia" w:ascii="宋体" w:hAnsi="宋体" w:eastAsia="宋体" w:cs="宋体"/>
          <w:lang w:eastAsia="zh-CN"/>
        </w:rPr>
        <w:t>招标人</w:t>
      </w:r>
      <w:r>
        <w:rPr>
          <w:rFonts w:hint="eastAsia" w:ascii="宋体" w:hAnsi="宋体" w:eastAsia="宋体" w:cs="宋体"/>
        </w:rPr>
        <w:t>审批后的安装及施工计划，分解为周安装计划，经</w:t>
      </w:r>
      <w:r>
        <w:rPr>
          <w:rFonts w:hint="eastAsia" w:ascii="宋体" w:hAnsi="宋体" w:eastAsia="宋体" w:cs="宋体"/>
          <w:lang w:eastAsia="zh-CN"/>
        </w:rPr>
        <w:t>招标人</w:t>
      </w:r>
      <w:r>
        <w:rPr>
          <w:rFonts w:hint="eastAsia" w:ascii="宋体" w:hAnsi="宋体" w:eastAsia="宋体" w:cs="宋体"/>
        </w:rPr>
        <w:t>主管部门审核后，由主管部门按照《运营公司施工管理规定》相关规定与流程报运营相关部门审批。由主管部门向运营生产管理组申报施工作业计划，以便</w:t>
      </w:r>
      <w:r>
        <w:rPr>
          <w:rFonts w:hint="eastAsia" w:ascii="宋体" w:hAnsi="宋体" w:eastAsia="宋体" w:cs="宋体"/>
          <w:lang w:eastAsia="zh-CN"/>
        </w:rPr>
        <w:t>招标人</w:t>
      </w:r>
      <w:r>
        <w:rPr>
          <w:rFonts w:hint="eastAsia" w:ascii="宋体" w:hAnsi="宋体" w:eastAsia="宋体" w:cs="宋体"/>
        </w:rPr>
        <w:t>掌握与监控作业。</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147" w:name="_Toc23568"/>
      <w:bookmarkStart w:id="1148" w:name="_Toc27796"/>
      <w:bookmarkStart w:id="1149" w:name="_Toc29182"/>
      <w:bookmarkStart w:id="1150" w:name="_Toc6212"/>
      <w:bookmarkStart w:id="1151" w:name="_Toc23759"/>
      <w:bookmarkStart w:id="1152" w:name="_Toc32426"/>
      <w:bookmarkStart w:id="1153" w:name="_Toc17756"/>
      <w:bookmarkStart w:id="1154" w:name="_Toc20944"/>
      <w:bookmarkStart w:id="1155" w:name="_Toc79434384"/>
      <w:bookmarkStart w:id="1156" w:name="_Toc7098"/>
      <w:bookmarkStart w:id="1157" w:name="_Toc11848"/>
      <w:bookmarkStart w:id="1158" w:name="_Toc28534"/>
      <w:bookmarkStart w:id="1159" w:name="_Toc5594"/>
      <w:bookmarkStart w:id="1160" w:name="_Toc20885"/>
      <w:bookmarkStart w:id="1161" w:name="_Toc22544"/>
      <w:bookmarkStart w:id="1162" w:name="_Toc27031"/>
      <w:bookmarkStart w:id="1163" w:name="_Toc60213003"/>
      <w:bookmarkStart w:id="1164" w:name="_Toc9244"/>
      <w:bookmarkStart w:id="1165" w:name="_Toc21281"/>
      <w:bookmarkStart w:id="1166" w:name="_Toc11430"/>
      <w:bookmarkStart w:id="1167" w:name="_Toc8182"/>
      <w:bookmarkStart w:id="1168" w:name="_Toc19330"/>
      <w:r>
        <w:rPr>
          <w:rFonts w:hint="eastAsia" w:ascii="宋体" w:hAnsi="宋体" w:eastAsia="宋体" w:cs="宋体"/>
          <w:b/>
          <w:bCs/>
          <w:kern w:val="44"/>
          <w:sz w:val="21"/>
          <w:szCs w:val="21"/>
          <w:lang w:val="en-US" w:eastAsia="zh-CN" w:bidi="ar-SA"/>
        </w:rPr>
        <w:t>5.3充电桩作业计划申报</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rPr>
      </w:pPr>
      <w:r>
        <w:rPr>
          <w:rFonts w:hint="eastAsia" w:ascii="宋体" w:hAnsi="宋体" w:eastAsia="宋体" w:cs="宋体"/>
        </w:rPr>
        <w:t>5.3.1</w:t>
      </w:r>
      <w:r>
        <w:rPr>
          <w:rFonts w:hint="eastAsia" w:ascii="宋体" w:hAnsi="宋体" w:eastAsia="宋体" w:cs="宋体"/>
          <w:lang w:eastAsia="zh-CN"/>
        </w:rPr>
        <w:t>投标人</w:t>
      </w:r>
      <w:r>
        <w:rPr>
          <w:rFonts w:hint="eastAsia" w:ascii="宋体" w:hAnsi="宋体" w:eastAsia="宋体" w:cs="宋体"/>
        </w:rPr>
        <w:t>根据编制的施工计划，按照《运营公司施工管理规定》及《施工前安全事项交底及作业工器具清点制度》等相关规定编制作业计划，规定填写配合要求等，并按照《运营公司施工管理规定》相关规定与流程申报作业计划，审批后取得《施工作业令》，取得施工作业令或进场施工许可单等相关资料，以便</w:t>
      </w:r>
      <w:r>
        <w:rPr>
          <w:rFonts w:hint="eastAsia" w:ascii="宋体" w:hAnsi="宋体" w:eastAsia="宋体" w:cs="宋体"/>
          <w:lang w:eastAsia="zh-CN"/>
        </w:rPr>
        <w:t>招标人</w:t>
      </w:r>
      <w:r>
        <w:rPr>
          <w:rFonts w:hint="eastAsia" w:ascii="宋体" w:hAnsi="宋体" w:eastAsia="宋体" w:cs="宋体"/>
        </w:rPr>
        <w:t>掌握与监控作业。</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rPr>
      </w:pPr>
      <w:r>
        <w:rPr>
          <w:rFonts w:hint="eastAsia" w:ascii="宋体" w:hAnsi="宋体" w:eastAsia="宋体" w:cs="宋体"/>
        </w:rPr>
        <w:t>5.3.2《施工作业令》一经签发，不得无故做任何调整，如因特殊原因必须做出调整时，应由</w:t>
      </w:r>
      <w:r>
        <w:rPr>
          <w:rFonts w:hint="eastAsia" w:ascii="宋体" w:hAnsi="宋体" w:eastAsia="宋体" w:cs="宋体"/>
          <w:lang w:eastAsia="zh-CN"/>
        </w:rPr>
        <w:t>投标人</w:t>
      </w:r>
      <w:r>
        <w:rPr>
          <w:rFonts w:hint="eastAsia" w:ascii="宋体" w:hAnsi="宋体" w:eastAsia="宋体" w:cs="宋体"/>
        </w:rPr>
        <w:t>向</w:t>
      </w:r>
      <w:r>
        <w:rPr>
          <w:rFonts w:hint="eastAsia" w:ascii="宋体" w:hAnsi="宋体" w:eastAsia="宋体" w:cs="宋体"/>
          <w:lang w:eastAsia="zh-CN"/>
        </w:rPr>
        <w:t>招标人</w:t>
      </w:r>
      <w:r>
        <w:rPr>
          <w:rFonts w:hint="eastAsia" w:ascii="宋体" w:hAnsi="宋体" w:eastAsia="宋体" w:cs="宋体"/>
        </w:rPr>
        <w:t>在施工开始前6个小时提出调整或取消的建议，并注明原因。若</w:t>
      </w:r>
      <w:r>
        <w:rPr>
          <w:rFonts w:hint="eastAsia" w:ascii="宋体" w:hAnsi="宋体" w:eastAsia="宋体" w:cs="宋体"/>
          <w:lang w:eastAsia="zh-CN"/>
        </w:rPr>
        <w:t>招标人</w:t>
      </w:r>
      <w:r>
        <w:rPr>
          <w:rFonts w:hint="eastAsia" w:ascii="宋体" w:hAnsi="宋体" w:eastAsia="宋体" w:cs="宋体"/>
        </w:rPr>
        <w:t>不同意调整，则必须照令执行。</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169" w:name="_Toc20439"/>
      <w:bookmarkStart w:id="1170" w:name="_Toc20272"/>
      <w:bookmarkStart w:id="1171" w:name="_Toc1054"/>
      <w:bookmarkStart w:id="1172" w:name="_Toc5972"/>
      <w:bookmarkStart w:id="1173" w:name="_Toc27410"/>
      <w:bookmarkStart w:id="1174" w:name="_Toc17104"/>
      <w:bookmarkStart w:id="1175" w:name="_Toc8767"/>
      <w:bookmarkStart w:id="1176" w:name="_Toc13219"/>
      <w:bookmarkStart w:id="1177" w:name="_Toc27951"/>
      <w:bookmarkStart w:id="1178" w:name="_Toc20015"/>
      <w:bookmarkStart w:id="1179" w:name="_Toc7435"/>
      <w:bookmarkStart w:id="1180" w:name="_Toc2725"/>
      <w:bookmarkStart w:id="1181" w:name="_Toc20778"/>
      <w:bookmarkStart w:id="1182" w:name="_Toc21736"/>
      <w:bookmarkStart w:id="1183" w:name="_Toc16116"/>
      <w:bookmarkStart w:id="1184" w:name="_Toc60213004"/>
      <w:bookmarkStart w:id="1185" w:name="_Toc29453"/>
      <w:bookmarkStart w:id="1186" w:name="_Toc79434385"/>
      <w:bookmarkStart w:id="1187" w:name="_Toc16305"/>
      <w:bookmarkStart w:id="1188" w:name="_Toc32516"/>
      <w:bookmarkStart w:id="1189" w:name="_Toc30966"/>
      <w:r>
        <w:rPr>
          <w:rFonts w:hint="eastAsia" w:ascii="宋体" w:hAnsi="宋体" w:eastAsia="宋体" w:cs="宋体"/>
          <w:b/>
          <w:bCs/>
          <w:kern w:val="44"/>
          <w:sz w:val="21"/>
          <w:szCs w:val="21"/>
          <w:lang w:val="en-US" w:eastAsia="zh-CN" w:bidi="ar-SA"/>
        </w:rPr>
        <w:t>5.4充电桩作业计划实施</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5.4.1作业计划的实施</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rPr>
        <w:t>5.4.1.1</w:t>
      </w:r>
      <w:r>
        <w:rPr>
          <w:rFonts w:hint="eastAsia" w:ascii="宋体" w:hAnsi="宋体" w:eastAsia="宋体" w:cs="宋体"/>
          <w:color w:val="000000"/>
          <w:lang w:eastAsia="zh-CN"/>
        </w:rPr>
        <w:t>投标人</w:t>
      </w:r>
      <w:r>
        <w:rPr>
          <w:rFonts w:hint="eastAsia" w:ascii="宋体" w:hAnsi="宋体" w:eastAsia="宋体" w:cs="宋体"/>
          <w:color w:val="000000"/>
        </w:rPr>
        <w:t>根据</w:t>
      </w:r>
      <w:r>
        <w:rPr>
          <w:rFonts w:hint="eastAsia" w:ascii="宋体" w:hAnsi="宋体" w:eastAsia="宋体" w:cs="宋体"/>
          <w:color w:val="000000"/>
          <w:lang w:eastAsia="zh-CN"/>
        </w:rPr>
        <w:t>招标人</w:t>
      </w:r>
      <w:r>
        <w:rPr>
          <w:rFonts w:hint="eastAsia" w:ascii="宋体" w:hAnsi="宋体" w:eastAsia="宋体" w:cs="宋体"/>
          <w:color w:val="000000"/>
        </w:rPr>
        <w:t>作业计划管理部门签发的施工作业令，组织</w:t>
      </w:r>
      <w:r>
        <w:rPr>
          <w:rFonts w:hint="eastAsia" w:ascii="宋体" w:hAnsi="宋体" w:eastAsia="宋体" w:cs="宋体"/>
          <w:bCs/>
          <w:kern w:val="2"/>
        </w:rPr>
        <w:t>充电桩</w:t>
      </w:r>
      <w:r>
        <w:rPr>
          <w:rFonts w:hint="eastAsia" w:ascii="宋体" w:hAnsi="宋体" w:eastAsia="宋体" w:cs="宋体"/>
          <w:color w:val="000000"/>
        </w:rPr>
        <w:t>人员在</w:t>
      </w:r>
      <w:r>
        <w:rPr>
          <w:rFonts w:hint="eastAsia" w:ascii="宋体" w:hAnsi="宋体" w:eastAsia="宋体" w:cs="宋体"/>
          <w:color w:val="000000"/>
          <w:lang w:eastAsia="zh-CN"/>
        </w:rPr>
        <w:t>招标人</w:t>
      </w:r>
      <w:r>
        <w:rPr>
          <w:rFonts w:hint="eastAsia" w:ascii="宋体" w:hAnsi="宋体" w:eastAsia="宋体" w:cs="宋体"/>
          <w:color w:val="000000"/>
        </w:rPr>
        <w:t>的配合下，按照相关规定实施作业。</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5.4.1.</w:t>
      </w:r>
      <w:r>
        <w:rPr>
          <w:rFonts w:hint="eastAsia" w:ascii="宋体" w:hAnsi="宋体" w:eastAsia="宋体" w:cs="宋体"/>
        </w:rPr>
        <w:t>2</w:t>
      </w:r>
      <w:r>
        <w:rPr>
          <w:rFonts w:hint="eastAsia" w:ascii="宋体" w:hAnsi="宋体" w:eastAsia="宋体" w:cs="宋体"/>
          <w:color w:val="000000"/>
        </w:rPr>
        <w:t>对已经批准的施工作业，</w:t>
      </w:r>
      <w:r>
        <w:rPr>
          <w:rFonts w:hint="eastAsia" w:ascii="宋体" w:hAnsi="宋体" w:eastAsia="宋体" w:cs="宋体"/>
          <w:color w:val="000000"/>
          <w:lang w:eastAsia="zh-CN"/>
        </w:rPr>
        <w:t>投标人</w:t>
      </w:r>
      <w:r>
        <w:rPr>
          <w:rFonts w:hint="eastAsia" w:ascii="宋体" w:hAnsi="宋体" w:eastAsia="宋体" w:cs="宋体"/>
          <w:color w:val="000000"/>
        </w:rPr>
        <w:t>应按照作业要求安排相应人员及工器具，准时到场进行作业。</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5.4.2作业过程的控制</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为保证作业安全与质量，</w:t>
      </w:r>
      <w:r>
        <w:rPr>
          <w:rFonts w:hint="eastAsia" w:ascii="宋体" w:hAnsi="宋体" w:eastAsia="宋体" w:cs="宋体"/>
          <w:color w:val="000000"/>
          <w:lang w:eastAsia="zh-CN"/>
        </w:rPr>
        <w:t>投标人</w:t>
      </w:r>
      <w:r>
        <w:rPr>
          <w:rFonts w:hint="eastAsia" w:ascii="宋体" w:hAnsi="宋体" w:eastAsia="宋体" w:cs="宋体"/>
          <w:color w:val="000000"/>
        </w:rPr>
        <w:t>应采取有效措施及预案确保自身作业安全与质量；</w:t>
      </w:r>
      <w:r>
        <w:rPr>
          <w:rFonts w:hint="eastAsia" w:ascii="宋体" w:hAnsi="宋体" w:eastAsia="宋体" w:cs="宋体"/>
          <w:color w:val="000000"/>
          <w:lang w:eastAsia="zh-CN"/>
        </w:rPr>
        <w:t>招标人</w:t>
      </w:r>
      <w:r>
        <w:rPr>
          <w:rFonts w:hint="eastAsia" w:ascii="宋体" w:hAnsi="宋体" w:eastAsia="宋体" w:cs="宋体"/>
          <w:color w:val="000000"/>
        </w:rPr>
        <w:t>将以过程现场监控与事后监控两种形式对</w:t>
      </w:r>
      <w:r>
        <w:rPr>
          <w:rFonts w:hint="eastAsia" w:ascii="宋体" w:hAnsi="宋体" w:eastAsia="宋体" w:cs="宋体"/>
          <w:color w:val="000000"/>
          <w:lang w:eastAsia="zh-CN"/>
        </w:rPr>
        <w:t>投标人</w:t>
      </w:r>
      <w:r>
        <w:rPr>
          <w:rFonts w:hint="eastAsia" w:ascii="宋体" w:hAnsi="宋体" w:eastAsia="宋体" w:cs="宋体"/>
          <w:color w:val="000000"/>
        </w:rPr>
        <w:t>的作业安全进行控制，但并不因此而免除</w:t>
      </w:r>
      <w:r>
        <w:rPr>
          <w:rFonts w:hint="eastAsia" w:ascii="宋体" w:hAnsi="宋体" w:eastAsia="宋体" w:cs="宋体"/>
          <w:color w:val="000000"/>
          <w:lang w:eastAsia="zh-CN"/>
        </w:rPr>
        <w:t>投标人</w:t>
      </w:r>
      <w:r>
        <w:rPr>
          <w:rFonts w:hint="eastAsia" w:ascii="宋体" w:hAnsi="宋体" w:eastAsia="宋体" w:cs="宋体"/>
          <w:color w:val="000000"/>
        </w:rPr>
        <w:t>的安全与质量的职责。</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5.4.2.1</w:t>
      </w:r>
      <w:r>
        <w:rPr>
          <w:rFonts w:hint="eastAsia" w:ascii="宋体" w:hAnsi="宋体" w:eastAsia="宋体" w:cs="宋体"/>
          <w:color w:val="000000"/>
          <w:lang w:eastAsia="zh-CN"/>
        </w:rPr>
        <w:t>投标人</w:t>
      </w:r>
      <w:r>
        <w:rPr>
          <w:rFonts w:hint="eastAsia" w:ascii="宋体" w:hAnsi="宋体" w:eastAsia="宋体" w:cs="宋体"/>
          <w:color w:val="000000"/>
        </w:rPr>
        <w:t>收到《施工作业令》后，确认作业内容、作业时间及集结地点；</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5.4.2.2</w:t>
      </w:r>
      <w:r>
        <w:rPr>
          <w:rFonts w:hint="eastAsia" w:ascii="宋体" w:hAnsi="宋体" w:eastAsia="宋体" w:cs="宋体"/>
          <w:color w:val="000000"/>
          <w:lang w:eastAsia="zh-CN"/>
        </w:rPr>
        <w:t>投标人</w:t>
      </w:r>
      <w:r>
        <w:rPr>
          <w:rFonts w:hint="eastAsia" w:ascii="宋体" w:hAnsi="宋体" w:eastAsia="宋体" w:cs="宋体"/>
          <w:color w:val="000000"/>
        </w:rPr>
        <w:t>根据作业内容及要求，准备好人员、材料、工器具，并向</w:t>
      </w:r>
      <w:r>
        <w:rPr>
          <w:rFonts w:hint="eastAsia" w:ascii="宋体" w:hAnsi="宋体" w:eastAsia="宋体" w:cs="宋体"/>
          <w:color w:val="000000"/>
          <w:lang w:eastAsia="zh-CN"/>
        </w:rPr>
        <w:t>招标人</w:t>
      </w:r>
      <w:r>
        <w:rPr>
          <w:rFonts w:hint="eastAsia" w:ascii="宋体" w:hAnsi="宋体" w:eastAsia="宋体" w:cs="宋体"/>
          <w:color w:val="000000"/>
        </w:rPr>
        <w:t>报备；</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5.4.2.3</w:t>
      </w:r>
      <w:r>
        <w:rPr>
          <w:rFonts w:hint="eastAsia" w:ascii="宋体" w:hAnsi="宋体" w:eastAsia="宋体" w:cs="宋体"/>
          <w:color w:val="000000"/>
          <w:lang w:eastAsia="zh-CN"/>
        </w:rPr>
        <w:t>投标人</w:t>
      </w:r>
      <w:r>
        <w:rPr>
          <w:rFonts w:hint="eastAsia" w:ascii="宋体" w:hAnsi="宋体" w:eastAsia="宋体" w:cs="宋体"/>
          <w:color w:val="000000"/>
        </w:rPr>
        <w:t>组织召开作业班前会，做好相关施工作业任务布置及安全措施；</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5.4.2.4</w:t>
      </w:r>
      <w:r>
        <w:rPr>
          <w:rFonts w:hint="eastAsia" w:ascii="宋体" w:hAnsi="宋体" w:eastAsia="宋体" w:cs="宋体"/>
          <w:color w:val="000000"/>
          <w:lang w:eastAsia="zh-CN"/>
        </w:rPr>
        <w:t>投标人</w:t>
      </w:r>
      <w:r>
        <w:rPr>
          <w:rFonts w:hint="eastAsia" w:ascii="宋体" w:hAnsi="宋体" w:eastAsia="宋体" w:cs="宋体"/>
          <w:color w:val="000000"/>
        </w:rPr>
        <w:t>作业前严格执行请点登记制度，清点人员、材料、工器具；</w:t>
      </w:r>
      <w:r>
        <w:rPr>
          <w:rFonts w:hint="eastAsia" w:ascii="宋体" w:hAnsi="宋体" w:eastAsia="宋体" w:cs="宋体"/>
          <w:color w:val="000000"/>
          <w:lang w:eastAsia="zh-CN"/>
        </w:rPr>
        <w:t>投标人</w:t>
      </w:r>
      <w:r>
        <w:rPr>
          <w:rFonts w:hint="eastAsia" w:ascii="宋体" w:hAnsi="宋体" w:eastAsia="宋体" w:cs="宋体"/>
          <w:color w:val="000000"/>
        </w:rPr>
        <w:t>按照相关工艺、材料及作业安全措施，掌握、跟踪作业进度，确保当日作业完成或阶段性作业结果不对场段入住人员、办公环境产生不良后果；</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5.4.2.5作业结束后，由</w:t>
      </w:r>
      <w:r>
        <w:rPr>
          <w:rFonts w:hint="eastAsia" w:ascii="宋体" w:hAnsi="宋体" w:eastAsia="宋体" w:cs="宋体"/>
          <w:color w:val="000000"/>
          <w:lang w:eastAsia="zh-CN"/>
        </w:rPr>
        <w:t>投标人</w:t>
      </w:r>
      <w:r>
        <w:rPr>
          <w:rFonts w:hint="eastAsia" w:ascii="宋体" w:hAnsi="宋体" w:eastAsia="宋体" w:cs="宋体"/>
          <w:color w:val="000000"/>
        </w:rPr>
        <w:t>自检施工质量、填写及标记工程量、拍照、出清现场及销点等；</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5.4.2.6</w:t>
      </w:r>
      <w:r>
        <w:rPr>
          <w:rFonts w:hint="eastAsia" w:ascii="宋体" w:hAnsi="宋体" w:eastAsia="宋体" w:cs="宋体"/>
          <w:color w:val="000000"/>
          <w:lang w:eastAsia="zh-CN"/>
        </w:rPr>
        <w:t>投标人</w:t>
      </w:r>
      <w:r>
        <w:rPr>
          <w:rFonts w:hint="eastAsia" w:ascii="宋体" w:hAnsi="宋体" w:eastAsia="宋体" w:cs="宋体"/>
          <w:color w:val="000000"/>
        </w:rPr>
        <w:t>组织召开作业班后会，进行作业过程及作业完成情况总结。</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190" w:name="_Toc14587"/>
      <w:bookmarkStart w:id="1191" w:name="_Toc6121"/>
      <w:bookmarkStart w:id="1192" w:name="_Toc7328"/>
      <w:bookmarkStart w:id="1193" w:name="_Toc3143"/>
      <w:bookmarkStart w:id="1194" w:name="_Toc25260"/>
      <w:bookmarkStart w:id="1195" w:name="_Toc27924"/>
      <w:bookmarkStart w:id="1196" w:name="_Toc12110"/>
      <w:bookmarkStart w:id="1197" w:name="_Toc29229"/>
      <w:bookmarkStart w:id="1198" w:name="_Toc16287"/>
      <w:bookmarkStart w:id="1199" w:name="_Toc2778"/>
      <w:bookmarkStart w:id="1200" w:name="_Toc10243"/>
      <w:bookmarkStart w:id="1201" w:name="_Toc32322"/>
      <w:bookmarkStart w:id="1202" w:name="_Toc17767"/>
      <w:bookmarkStart w:id="1203" w:name="_Toc79434386"/>
      <w:bookmarkStart w:id="1204" w:name="_Toc6035"/>
      <w:bookmarkStart w:id="1205" w:name="_Toc18663"/>
      <w:bookmarkStart w:id="1206" w:name="_Toc20797"/>
      <w:bookmarkStart w:id="1207" w:name="_Toc21253"/>
      <w:bookmarkStart w:id="1208" w:name="_Toc1613"/>
      <w:bookmarkStart w:id="1209" w:name="_Toc60213005"/>
      <w:bookmarkStart w:id="1210" w:name="_Toc13245"/>
      <w:bookmarkStart w:id="1211" w:name="_Toc15037"/>
      <w:r>
        <w:rPr>
          <w:rFonts w:hint="eastAsia" w:ascii="宋体" w:hAnsi="宋体" w:eastAsia="宋体" w:cs="宋体"/>
          <w:b/>
          <w:bCs/>
          <w:kern w:val="44"/>
          <w:sz w:val="21"/>
          <w:szCs w:val="21"/>
          <w:lang w:val="en-US" w:eastAsia="zh-CN" w:bidi="ar-SA"/>
        </w:rPr>
        <w:t>5.5作业要求</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.1</w:t>
      </w:r>
      <w:r>
        <w:rPr>
          <w:rFonts w:hint="eastAsia" w:ascii="宋体" w:hAnsi="宋体" w:eastAsia="宋体" w:cs="宋体"/>
          <w:color w:val="000000"/>
          <w:lang w:eastAsia="zh-CN"/>
        </w:rPr>
        <w:t>投标人</w:t>
      </w:r>
      <w:r>
        <w:rPr>
          <w:rFonts w:ascii="宋体" w:hAnsi="宋体" w:eastAsia="宋体" w:cs="宋体"/>
          <w:color w:val="000000"/>
        </w:rPr>
        <w:t>必须牢固树立“安全第一、预防为主”的思想，不断地加强员工的安全生产教育，将安全生产贯彻到日常的工作中。严格按照</w:t>
      </w:r>
      <w:r>
        <w:rPr>
          <w:rFonts w:hint="eastAsia" w:ascii="宋体" w:hAnsi="宋体" w:eastAsia="宋体" w:cs="宋体"/>
          <w:color w:val="000000"/>
          <w:lang w:eastAsia="zh-CN"/>
        </w:rPr>
        <w:t>招标人</w:t>
      </w:r>
      <w:r>
        <w:rPr>
          <w:rFonts w:ascii="宋体" w:hAnsi="宋体" w:eastAsia="宋体" w:cs="宋体"/>
          <w:color w:val="000000"/>
        </w:rPr>
        <w:t>《</w:t>
      </w:r>
      <w:r>
        <w:rPr>
          <w:rFonts w:hint="eastAsia" w:ascii="宋体" w:hAnsi="宋体" w:eastAsia="宋体" w:cs="宋体"/>
          <w:color w:val="000000"/>
        </w:rPr>
        <w:t>运营公司</w:t>
      </w:r>
      <w:r>
        <w:rPr>
          <w:rFonts w:ascii="宋体" w:hAnsi="宋体" w:eastAsia="宋体" w:cs="宋体"/>
          <w:color w:val="000000"/>
        </w:rPr>
        <w:t>施工管理规定》《</w:t>
      </w:r>
      <w:r>
        <w:rPr>
          <w:rFonts w:hint="eastAsia" w:ascii="宋体" w:hAnsi="宋体" w:eastAsia="宋体" w:cs="宋体"/>
          <w:color w:val="000000"/>
          <w:lang w:eastAsia="zh-CN"/>
        </w:rPr>
        <w:t>招标人</w:t>
      </w:r>
      <w:r>
        <w:rPr>
          <w:rFonts w:ascii="宋体" w:hAnsi="宋体" w:eastAsia="宋体" w:cs="宋体"/>
          <w:color w:val="000000"/>
        </w:rPr>
        <w:t>作业通用安全实施守则》等文件的要求进行施工及检修作业，掌握、严守</w:t>
      </w:r>
      <w:r>
        <w:rPr>
          <w:rFonts w:hint="eastAsia" w:ascii="宋体" w:hAnsi="宋体" w:eastAsia="宋体" w:cs="宋体"/>
          <w:color w:val="000000"/>
          <w:lang w:eastAsia="zh-CN"/>
        </w:rPr>
        <w:t>招标人</w:t>
      </w:r>
      <w:r>
        <w:rPr>
          <w:rFonts w:ascii="宋体" w:hAnsi="宋体" w:eastAsia="宋体" w:cs="宋体"/>
          <w:color w:val="000000"/>
        </w:rPr>
        <w:t>制定的相关安全生产规章制度及员工安全守则等各项规章制度。</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.2</w:t>
      </w:r>
      <w:r>
        <w:rPr>
          <w:rFonts w:hint="eastAsia" w:ascii="宋体" w:hAnsi="宋体" w:eastAsia="宋体" w:cs="宋体"/>
          <w:color w:val="000000"/>
          <w:lang w:eastAsia="zh-CN"/>
        </w:rPr>
        <w:t>投标人</w:t>
      </w:r>
      <w:r>
        <w:rPr>
          <w:rFonts w:ascii="宋体" w:hAnsi="宋体" w:eastAsia="宋体" w:cs="宋体"/>
          <w:color w:val="000000"/>
        </w:rPr>
        <w:t>必须服从</w:t>
      </w:r>
      <w:r>
        <w:rPr>
          <w:rFonts w:hint="eastAsia" w:ascii="宋体" w:hAnsi="宋体" w:eastAsia="宋体" w:cs="宋体"/>
          <w:color w:val="000000"/>
          <w:lang w:eastAsia="zh-CN"/>
        </w:rPr>
        <w:t>招标人</w:t>
      </w:r>
      <w:r>
        <w:rPr>
          <w:rFonts w:ascii="宋体" w:hAnsi="宋体" w:eastAsia="宋体" w:cs="宋体"/>
          <w:color w:val="000000"/>
        </w:rPr>
        <w:t>的管理，按照南宁轨道交通的相关要求进行施工，确保按质、按量地完成工作。</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.3</w:t>
      </w:r>
      <w:r>
        <w:rPr>
          <w:rFonts w:hint="eastAsia" w:ascii="宋体" w:hAnsi="宋体" w:eastAsia="宋体" w:cs="宋体"/>
          <w:color w:val="000000"/>
          <w:lang w:eastAsia="zh-CN"/>
        </w:rPr>
        <w:t>投标人</w:t>
      </w:r>
      <w:r>
        <w:rPr>
          <w:rFonts w:ascii="宋体" w:hAnsi="宋体" w:eastAsia="宋体" w:cs="宋体"/>
          <w:color w:val="000000"/>
        </w:rPr>
        <w:t>应本着“实事求是、节约成本”的原则和态度进行</w:t>
      </w:r>
      <w:r>
        <w:rPr>
          <w:rFonts w:hint="eastAsia" w:ascii="宋体" w:hAnsi="宋体" w:eastAsia="宋体" w:cs="宋体"/>
          <w:color w:val="000000"/>
        </w:rPr>
        <w:t>施工</w:t>
      </w:r>
      <w:r>
        <w:rPr>
          <w:rFonts w:ascii="宋体" w:hAnsi="宋体" w:eastAsia="宋体" w:cs="宋体"/>
          <w:color w:val="000000"/>
        </w:rPr>
        <w:t>工作。针对具体的情况，采取切实可行的办法进行处理，坚决杜绝夸大故障、浪费成本、敷衍了事现象的出现，切实维护合同双方的利益。</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.4</w:t>
      </w:r>
      <w:r>
        <w:rPr>
          <w:rFonts w:hint="eastAsia" w:ascii="宋体" w:hAnsi="宋体" w:eastAsia="宋体" w:cs="宋体"/>
          <w:color w:val="000000"/>
          <w:lang w:eastAsia="zh-CN"/>
        </w:rPr>
        <w:t>投标人</w:t>
      </w:r>
      <w:r>
        <w:rPr>
          <w:rFonts w:ascii="宋体" w:hAnsi="宋体" w:eastAsia="宋体" w:cs="宋体"/>
          <w:color w:val="000000"/>
        </w:rPr>
        <w:t>针对该项目所投入的所有施工人员必须经过</w:t>
      </w:r>
      <w:r>
        <w:rPr>
          <w:rFonts w:hint="eastAsia" w:ascii="宋体" w:hAnsi="宋体" w:eastAsia="宋体" w:cs="宋体"/>
          <w:color w:val="000000"/>
          <w:lang w:eastAsia="zh-CN"/>
        </w:rPr>
        <w:t>招标人</w:t>
      </w:r>
      <w:r>
        <w:rPr>
          <w:rFonts w:ascii="宋体" w:hAnsi="宋体" w:eastAsia="宋体" w:cs="宋体"/>
          <w:color w:val="000000"/>
        </w:rPr>
        <w:t xml:space="preserve">相关部门所组织的安全培训并通过合格考试后方可进场作业，严禁任何未参加安全培训以及未通过合格考试的人员进场作业。 </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.5对于</w:t>
      </w:r>
      <w:r>
        <w:rPr>
          <w:rFonts w:hint="eastAsia" w:ascii="宋体" w:hAnsi="宋体" w:eastAsia="宋体" w:cs="宋体"/>
          <w:color w:val="000000"/>
          <w:lang w:eastAsia="zh-CN"/>
        </w:rPr>
        <w:t>招标人</w:t>
      </w:r>
      <w:r>
        <w:rPr>
          <w:rFonts w:ascii="宋体" w:hAnsi="宋体" w:eastAsia="宋体" w:cs="宋体"/>
          <w:color w:val="000000"/>
        </w:rPr>
        <w:t>规定必须申报施工作业令的作业项目，</w:t>
      </w:r>
      <w:r>
        <w:rPr>
          <w:rFonts w:hint="eastAsia" w:ascii="宋体" w:hAnsi="宋体" w:eastAsia="宋体" w:cs="宋体"/>
          <w:color w:val="000000"/>
          <w:lang w:eastAsia="zh-CN"/>
        </w:rPr>
        <w:t>投标人</w:t>
      </w:r>
      <w:r>
        <w:rPr>
          <w:rFonts w:ascii="宋体" w:hAnsi="宋体" w:eastAsia="宋体" w:cs="宋体"/>
          <w:color w:val="000000"/>
        </w:rPr>
        <w:t>必须按照</w:t>
      </w:r>
      <w:r>
        <w:rPr>
          <w:rFonts w:hint="eastAsia" w:ascii="宋体" w:hAnsi="宋体" w:eastAsia="宋体" w:cs="宋体"/>
          <w:color w:val="000000"/>
          <w:lang w:eastAsia="zh-CN"/>
        </w:rPr>
        <w:t>招标人</w:t>
      </w:r>
      <w:r>
        <w:rPr>
          <w:rFonts w:ascii="宋体" w:hAnsi="宋体" w:eastAsia="宋体" w:cs="宋体"/>
          <w:color w:val="000000"/>
        </w:rPr>
        <w:t>相关进场作业的规定申报施工作业令，持施工作业令进行请点作业后，方可进场作业，在作业后必须办理相关销点手续并确认现场出清后方可撤离现场；对于</w:t>
      </w:r>
      <w:r>
        <w:rPr>
          <w:rFonts w:hint="eastAsia" w:ascii="宋体" w:hAnsi="宋体" w:eastAsia="宋体" w:cs="宋体"/>
          <w:color w:val="000000"/>
          <w:lang w:eastAsia="zh-CN"/>
        </w:rPr>
        <w:t>招标人</w:t>
      </w:r>
      <w:r>
        <w:rPr>
          <w:rFonts w:ascii="宋体" w:hAnsi="宋体" w:eastAsia="宋体" w:cs="宋体"/>
          <w:color w:val="000000"/>
        </w:rPr>
        <w:t>规定需要办理特种作业手续（如站/库内焊接、切割、登高作业等）方可进行的作业，</w:t>
      </w:r>
      <w:r>
        <w:rPr>
          <w:rFonts w:hint="eastAsia" w:ascii="宋体" w:hAnsi="宋体" w:eastAsia="宋体" w:cs="宋体"/>
          <w:color w:val="000000"/>
          <w:lang w:eastAsia="zh-CN"/>
        </w:rPr>
        <w:t>投标人</w:t>
      </w:r>
      <w:r>
        <w:rPr>
          <w:rFonts w:ascii="宋体" w:hAnsi="宋体" w:eastAsia="宋体" w:cs="宋体"/>
          <w:color w:val="000000"/>
        </w:rPr>
        <w:t>应该按照要求办理特种作业施工许可证，严禁违规操作；对于施工作业令要求其它部门配合方可进行的作业，</w:t>
      </w:r>
      <w:r>
        <w:rPr>
          <w:rFonts w:hint="eastAsia" w:ascii="宋体" w:hAnsi="宋体" w:eastAsia="宋体" w:cs="宋体"/>
          <w:color w:val="000000"/>
          <w:lang w:eastAsia="zh-CN"/>
        </w:rPr>
        <w:t>投标人</w:t>
      </w:r>
      <w:r>
        <w:rPr>
          <w:rFonts w:ascii="宋体" w:hAnsi="宋体" w:eastAsia="宋体" w:cs="宋体"/>
          <w:color w:val="000000"/>
        </w:rPr>
        <w:t>应严格按照施工作业令执行，在没有设施所属部门人员配合（或授权使用）的情况下，严禁动用其它部门所辖设施。</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6特种作业人员（如金属焊接切割、低压电工、登高等作业），必须持有政府等相关部门颁发的特种作业操作证方可上岗作业，并按照相关要求佩戴配套的防护劳保用品进行作业。严禁无证或不按照要求佩戴证件、防护、劳保用品人员上岗作业。</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.7在作业中，</w:t>
      </w:r>
      <w:r>
        <w:rPr>
          <w:rFonts w:hint="eastAsia" w:ascii="宋体" w:hAnsi="宋体" w:eastAsia="宋体" w:cs="宋体"/>
          <w:color w:val="000000"/>
          <w:lang w:eastAsia="zh-CN"/>
        </w:rPr>
        <w:t>投标人</w:t>
      </w:r>
      <w:r>
        <w:rPr>
          <w:rFonts w:ascii="宋体" w:hAnsi="宋体" w:eastAsia="宋体" w:cs="宋体"/>
          <w:color w:val="000000"/>
        </w:rPr>
        <w:t>人员只负责施工区域内的</w:t>
      </w:r>
      <w:r>
        <w:rPr>
          <w:rFonts w:hint="eastAsia" w:ascii="宋体" w:hAnsi="宋体" w:eastAsia="宋体" w:cs="宋体"/>
          <w:bCs/>
          <w:kern w:val="2"/>
        </w:rPr>
        <w:t>充电桩安装</w:t>
      </w:r>
      <w:r>
        <w:rPr>
          <w:rFonts w:ascii="宋体" w:hAnsi="宋体" w:eastAsia="宋体" w:cs="宋体"/>
          <w:color w:val="000000"/>
        </w:rPr>
        <w:t>工作，严禁超范围施工。未经允许严禁对施工区域内的设备设施进行操纵。</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.8</w:t>
      </w:r>
      <w:r>
        <w:rPr>
          <w:rFonts w:hint="eastAsia" w:ascii="宋体" w:hAnsi="宋体" w:eastAsia="宋体" w:cs="宋体"/>
          <w:color w:val="000000"/>
          <w:lang w:eastAsia="zh-CN"/>
        </w:rPr>
        <w:t>投标人</w:t>
      </w:r>
      <w:r>
        <w:rPr>
          <w:rFonts w:ascii="宋体" w:hAnsi="宋体" w:eastAsia="宋体" w:cs="宋体"/>
          <w:color w:val="000000"/>
        </w:rPr>
        <w:t>应对本方人员进行文明生产教育，当</w:t>
      </w:r>
      <w:r>
        <w:rPr>
          <w:rFonts w:hint="eastAsia" w:ascii="宋体" w:hAnsi="宋体" w:eastAsia="宋体" w:cs="宋体"/>
          <w:color w:val="000000"/>
          <w:lang w:eastAsia="zh-CN"/>
        </w:rPr>
        <w:t>投标人</w:t>
      </w:r>
      <w:r>
        <w:rPr>
          <w:rFonts w:ascii="宋体" w:hAnsi="宋体" w:eastAsia="宋体" w:cs="宋体"/>
          <w:color w:val="000000"/>
        </w:rPr>
        <w:t>人员发现</w:t>
      </w:r>
      <w:r>
        <w:rPr>
          <w:rFonts w:hint="eastAsia" w:ascii="宋体" w:hAnsi="宋体" w:eastAsia="宋体" w:cs="宋体"/>
          <w:color w:val="000000"/>
          <w:lang w:eastAsia="zh-CN"/>
        </w:rPr>
        <w:t>招标人</w:t>
      </w:r>
      <w:r>
        <w:rPr>
          <w:rFonts w:ascii="宋体" w:hAnsi="宋体" w:eastAsia="宋体" w:cs="宋体"/>
          <w:color w:val="000000"/>
        </w:rPr>
        <w:t>要求存在差异时，应及时向相关负责人员反映，寻求解决；</w:t>
      </w:r>
      <w:r>
        <w:rPr>
          <w:rFonts w:hint="eastAsia" w:ascii="宋体" w:hAnsi="宋体" w:eastAsia="宋体" w:cs="宋体"/>
          <w:color w:val="000000"/>
          <w:lang w:eastAsia="zh-CN"/>
        </w:rPr>
        <w:t>投标人</w:t>
      </w:r>
      <w:r>
        <w:rPr>
          <w:rFonts w:ascii="宋体" w:hAnsi="宋体" w:eastAsia="宋体" w:cs="宋体"/>
          <w:color w:val="000000"/>
        </w:rPr>
        <w:t>作业人员不得与任何人进行争执。</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.9</w:t>
      </w:r>
      <w:r>
        <w:rPr>
          <w:rFonts w:hint="eastAsia" w:ascii="宋体" w:hAnsi="宋体" w:eastAsia="宋体" w:cs="宋体"/>
          <w:color w:val="000000"/>
          <w:lang w:eastAsia="zh-CN"/>
        </w:rPr>
        <w:t>投标人</w:t>
      </w:r>
      <w:r>
        <w:rPr>
          <w:rFonts w:ascii="宋体" w:hAnsi="宋体" w:eastAsia="宋体" w:cs="宋体"/>
          <w:color w:val="000000"/>
        </w:rPr>
        <w:t>应该严格按照“安全第一、预防为主”的思想，不断地加强员工的安全生产教育，将安全生产贯彻到日常的工作中；对于</w:t>
      </w:r>
      <w:r>
        <w:rPr>
          <w:rFonts w:hint="eastAsia" w:ascii="宋体" w:hAnsi="宋体" w:eastAsia="宋体" w:cs="宋体"/>
          <w:color w:val="000000"/>
          <w:lang w:eastAsia="zh-CN"/>
        </w:rPr>
        <w:t>招标人</w:t>
      </w:r>
      <w:r>
        <w:rPr>
          <w:rFonts w:ascii="宋体" w:hAnsi="宋体" w:eastAsia="宋体" w:cs="宋体"/>
          <w:color w:val="000000"/>
        </w:rPr>
        <w:t>要求参加的安全生产会议，</w:t>
      </w:r>
      <w:r>
        <w:rPr>
          <w:rFonts w:hint="eastAsia" w:ascii="宋体" w:hAnsi="宋体" w:eastAsia="宋体" w:cs="宋体"/>
          <w:color w:val="000000"/>
          <w:lang w:eastAsia="zh-CN"/>
        </w:rPr>
        <w:t>投标人</w:t>
      </w:r>
      <w:r>
        <w:rPr>
          <w:rFonts w:ascii="宋体" w:hAnsi="宋体" w:eastAsia="宋体" w:cs="宋体"/>
          <w:color w:val="000000"/>
        </w:rPr>
        <w:t>应该认真的组织相关人员参加；对于</w:t>
      </w:r>
      <w:r>
        <w:rPr>
          <w:rFonts w:hint="eastAsia" w:ascii="宋体" w:hAnsi="宋体" w:eastAsia="宋体" w:cs="宋体"/>
          <w:color w:val="000000"/>
          <w:lang w:eastAsia="zh-CN"/>
        </w:rPr>
        <w:t>招标人</w:t>
      </w:r>
      <w:r>
        <w:rPr>
          <w:rFonts w:ascii="宋体" w:hAnsi="宋体" w:eastAsia="宋体" w:cs="宋体"/>
          <w:color w:val="000000"/>
        </w:rPr>
        <w:t>颁布的安全生产规定，</w:t>
      </w:r>
      <w:r>
        <w:rPr>
          <w:rFonts w:hint="eastAsia" w:ascii="宋体" w:hAnsi="宋体" w:eastAsia="宋体" w:cs="宋体"/>
          <w:color w:val="000000"/>
          <w:lang w:eastAsia="zh-CN"/>
        </w:rPr>
        <w:t>投标人</w:t>
      </w:r>
      <w:r>
        <w:rPr>
          <w:rFonts w:ascii="宋体" w:hAnsi="宋体" w:eastAsia="宋体" w:cs="宋体"/>
          <w:color w:val="000000"/>
        </w:rPr>
        <w:t>应不折不扣的执行；对于因</w:t>
      </w:r>
      <w:r>
        <w:rPr>
          <w:rFonts w:hint="eastAsia" w:ascii="宋体" w:hAnsi="宋体" w:eastAsia="宋体" w:cs="宋体"/>
          <w:color w:val="000000"/>
          <w:lang w:eastAsia="zh-CN"/>
        </w:rPr>
        <w:t>投标人</w:t>
      </w:r>
      <w:r>
        <w:rPr>
          <w:rFonts w:ascii="宋体" w:hAnsi="宋体" w:eastAsia="宋体" w:cs="宋体"/>
          <w:color w:val="000000"/>
        </w:rPr>
        <w:t>不按照相关安全规定进行作业所引发的损失、事故，</w:t>
      </w:r>
      <w:r>
        <w:rPr>
          <w:rFonts w:hint="eastAsia" w:ascii="宋体" w:hAnsi="宋体" w:eastAsia="宋体" w:cs="宋体"/>
          <w:color w:val="000000"/>
          <w:lang w:eastAsia="zh-CN"/>
        </w:rPr>
        <w:t>投标人</w:t>
      </w:r>
      <w:r>
        <w:rPr>
          <w:rFonts w:ascii="宋体" w:hAnsi="宋体" w:eastAsia="宋体" w:cs="宋体"/>
          <w:color w:val="000000"/>
        </w:rPr>
        <w:t>负全部责任。</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.10</w:t>
      </w:r>
      <w:r>
        <w:rPr>
          <w:rFonts w:hint="eastAsia" w:ascii="宋体" w:hAnsi="宋体" w:eastAsia="宋体" w:cs="宋体"/>
          <w:color w:val="000000"/>
          <w:lang w:eastAsia="zh-CN"/>
        </w:rPr>
        <w:t>投标人</w:t>
      </w:r>
      <w:r>
        <w:rPr>
          <w:rFonts w:ascii="宋体" w:hAnsi="宋体" w:eastAsia="宋体" w:cs="宋体"/>
          <w:color w:val="000000"/>
        </w:rPr>
        <w:t>在施工过程中所发生的事故，</w:t>
      </w:r>
      <w:r>
        <w:rPr>
          <w:rFonts w:hint="eastAsia" w:ascii="宋体" w:hAnsi="宋体" w:eastAsia="宋体" w:cs="宋体"/>
          <w:color w:val="000000"/>
          <w:lang w:eastAsia="zh-CN"/>
        </w:rPr>
        <w:t>投标人</w:t>
      </w:r>
      <w:r>
        <w:rPr>
          <w:rFonts w:ascii="宋体" w:hAnsi="宋体" w:eastAsia="宋体" w:cs="宋体"/>
          <w:color w:val="000000"/>
        </w:rPr>
        <w:t>应本着“诚实、合作、及时”的思想及时通知</w:t>
      </w:r>
      <w:r>
        <w:rPr>
          <w:rFonts w:hint="eastAsia" w:ascii="宋体" w:hAnsi="宋体" w:eastAsia="宋体" w:cs="宋体"/>
          <w:color w:val="000000"/>
          <w:lang w:eastAsia="zh-CN"/>
        </w:rPr>
        <w:t>招标人</w:t>
      </w:r>
      <w:r>
        <w:rPr>
          <w:rFonts w:ascii="宋体" w:hAnsi="宋体" w:eastAsia="宋体" w:cs="宋体"/>
          <w:color w:val="000000"/>
        </w:rPr>
        <w:t>，配合</w:t>
      </w:r>
      <w:r>
        <w:rPr>
          <w:rFonts w:hint="eastAsia" w:ascii="宋体" w:hAnsi="宋体" w:eastAsia="宋体" w:cs="宋体"/>
          <w:color w:val="000000"/>
          <w:lang w:eastAsia="zh-CN"/>
        </w:rPr>
        <w:t>招标人</w:t>
      </w:r>
      <w:r>
        <w:rPr>
          <w:rFonts w:ascii="宋体" w:hAnsi="宋体" w:eastAsia="宋体" w:cs="宋体"/>
          <w:color w:val="000000"/>
        </w:rPr>
        <w:t>做好事故的调查和分析工作，不得隐瞒或推卸责任。</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.11施工负责人必须做好作业人员、工器具作业前后清点、拍照工作，在作业结束前30分钟做好场地清理。</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.12</w:t>
      </w:r>
      <w:r>
        <w:rPr>
          <w:rFonts w:hint="eastAsia" w:ascii="宋体" w:hAnsi="宋体" w:eastAsia="宋体" w:cs="宋体"/>
          <w:color w:val="000000"/>
        </w:rPr>
        <w:t>施工</w:t>
      </w:r>
      <w:r>
        <w:rPr>
          <w:rFonts w:ascii="宋体" w:hAnsi="宋体" w:eastAsia="宋体" w:cs="宋体"/>
          <w:color w:val="000000"/>
        </w:rPr>
        <w:t>过程中涉及其他专业重要设备设施</w:t>
      </w:r>
      <w:r>
        <w:rPr>
          <w:rFonts w:hint="eastAsia" w:ascii="宋体" w:hAnsi="宋体" w:eastAsia="宋体" w:cs="宋体"/>
          <w:color w:val="000000"/>
        </w:rPr>
        <w:t>，特别是消防设施设备、烟感火灾报警设施等</w:t>
      </w:r>
      <w:r>
        <w:rPr>
          <w:rFonts w:ascii="宋体" w:hAnsi="宋体" w:eastAsia="宋体" w:cs="宋体"/>
          <w:color w:val="000000"/>
        </w:rPr>
        <w:t>，由设备设施所属专业提供配合并负责恢复，配合过程中因</w:t>
      </w:r>
      <w:r>
        <w:rPr>
          <w:rFonts w:hint="eastAsia" w:ascii="宋体" w:hAnsi="宋体" w:eastAsia="宋体" w:cs="宋体"/>
          <w:color w:val="000000"/>
          <w:lang w:eastAsia="zh-CN"/>
        </w:rPr>
        <w:t>投标人</w:t>
      </w:r>
      <w:r>
        <w:rPr>
          <w:rFonts w:ascii="宋体" w:hAnsi="宋体" w:eastAsia="宋体" w:cs="宋体"/>
          <w:color w:val="000000"/>
        </w:rPr>
        <w:t>所导致的直接及间接经济损失由</w:t>
      </w:r>
      <w:r>
        <w:rPr>
          <w:rFonts w:hint="eastAsia" w:ascii="宋体" w:hAnsi="宋体" w:eastAsia="宋体" w:cs="宋体"/>
          <w:color w:val="000000"/>
          <w:lang w:eastAsia="zh-CN"/>
        </w:rPr>
        <w:t>投标人</w:t>
      </w:r>
      <w:r>
        <w:rPr>
          <w:rFonts w:ascii="宋体" w:hAnsi="宋体" w:eastAsia="宋体" w:cs="宋体"/>
          <w:color w:val="000000"/>
        </w:rPr>
        <w:t>承担。</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13施工前要由负责人员向施工人员进行技术交底及安全要求交底，未经教育者不得进入施工现场，凡参加安全技术交底的人员要履行签字手续，并保存资料。项目中安排专职安全检查，对安全技术措施的执行情况，进行监督检查，并做好记录。对违反质量安全要求者，应及时上报并依据制度进行处罚。</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.14实行作业前一次十五分钟班前会，主要包括生产任务安排及安全教育，由施工负责人负责，并做会议记录。</w:t>
      </w:r>
    </w:p>
    <w:p>
      <w:pPr>
        <w:pageBreakBefore w:val="0"/>
        <w:kinsoku/>
        <w:wordWrap/>
        <w:overflowPunct/>
        <w:topLinePunct w:val="0"/>
        <w:autoSpaceDE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5.5</w:t>
      </w:r>
      <w:r>
        <w:rPr>
          <w:rFonts w:ascii="宋体" w:hAnsi="宋体" w:eastAsia="宋体" w:cs="宋体"/>
          <w:color w:val="000000"/>
        </w:rPr>
        <w:t>.15过程中涉及其他专业重要设施的，由设施所属专业提供配合并负责恢复，配合过程中因</w:t>
      </w:r>
      <w:r>
        <w:rPr>
          <w:rFonts w:hint="eastAsia" w:ascii="宋体" w:hAnsi="宋体" w:eastAsia="宋体" w:cs="宋体"/>
          <w:color w:val="000000"/>
          <w:lang w:eastAsia="zh-CN"/>
        </w:rPr>
        <w:t>投标人</w:t>
      </w:r>
      <w:r>
        <w:rPr>
          <w:rFonts w:ascii="宋体" w:hAnsi="宋体" w:eastAsia="宋体" w:cs="宋体"/>
          <w:color w:val="000000"/>
        </w:rPr>
        <w:t>所导致的经济损失由</w:t>
      </w:r>
      <w:r>
        <w:rPr>
          <w:rFonts w:hint="eastAsia" w:ascii="宋体" w:hAnsi="宋体" w:eastAsia="宋体" w:cs="宋体"/>
          <w:color w:val="000000"/>
          <w:lang w:eastAsia="zh-CN"/>
        </w:rPr>
        <w:t>投标人</w:t>
      </w:r>
      <w:r>
        <w:rPr>
          <w:rFonts w:ascii="宋体" w:hAnsi="宋体" w:eastAsia="宋体" w:cs="宋体"/>
          <w:color w:val="000000"/>
        </w:rPr>
        <w:t>承担</w:t>
      </w:r>
      <w:r>
        <w:rPr>
          <w:rFonts w:hint="eastAsia" w:ascii="宋体" w:hAnsi="宋体" w:eastAsia="宋体" w:cs="宋体"/>
          <w:color w:val="000000"/>
        </w:rPr>
        <w:t>。</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212" w:name="_Toc60213006"/>
      <w:bookmarkStart w:id="1213" w:name="_Toc25120"/>
      <w:bookmarkStart w:id="1214" w:name="_Toc20766"/>
      <w:bookmarkStart w:id="1215" w:name="_Toc12586"/>
      <w:bookmarkStart w:id="1216" w:name="_Toc16182"/>
      <w:bookmarkStart w:id="1217" w:name="_Toc7599"/>
      <w:bookmarkStart w:id="1218" w:name="_Toc4819"/>
      <w:bookmarkStart w:id="1219" w:name="_Toc17639"/>
      <w:bookmarkStart w:id="1220" w:name="_Toc29315"/>
      <w:bookmarkStart w:id="1221" w:name="_Toc79434387"/>
      <w:bookmarkStart w:id="1222" w:name="_Toc3807"/>
      <w:bookmarkStart w:id="1223" w:name="_Toc2049"/>
      <w:bookmarkStart w:id="1224" w:name="_Toc19406"/>
      <w:bookmarkStart w:id="1225" w:name="_Toc15999"/>
      <w:bookmarkStart w:id="1226" w:name="_Toc2883"/>
      <w:bookmarkStart w:id="1227" w:name="_Toc1880"/>
      <w:bookmarkStart w:id="1228" w:name="_Toc18927"/>
      <w:bookmarkStart w:id="1229" w:name="_Toc16013"/>
      <w:bookmarkStart w:id="1230" w:name="_Toc24835"/>
      <w:bookmarkStart w:id="1231" w:name="_Toc15615"/>
      <w:bookmarkStart w:id="1232" w:name="_Toc21900"/>
      <w:bookmarkStart w:id="1233" w:name="_Toc10257"/>
      <w:bookmarkStart w:id="1234" w:name="_Toc29135"/>
      <w:r>
        <w:rPr>
          <w:rFonts w:hint="eastAsia" w:ascii="宋体" w:hAnsi="宋体" w:eastAsia="宋体" w:cs="宋体"/>
          <w:b/>
          <w:bCs/>
          <w:kern w:val="44"/>
          <w:sz w:val="21"/>
          <w:szCs w:val="21"/>
          <w:lang w:val="en-US" w:eastAsia="zh-CN" w:bidi="ar-SA"/>
        </w:rPr>
        <w:t>5.6作业场地及条件</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235" w:name="_Toc18770"/>
      <w:bookmarkStart w:id="1236" w:name="_Toc15046"/>
      <w:r>
        <w:rPr>
          <w:rFonts w:hint="eastAsia" w:ascii="宋体" w:hAnsi="宋体" w:eastAsia="宋体" w:cs="宋体"/>
          <w:b/>
          <w:bCs/>
          <w:kern w:val="44"/>
          <w:sz w:val="21"/>
          <w:szCs w:val="21"/>
          <w:lang w:val="en-US" w:eastAsia="zh-CN" w:bidi="ar-SA"/>
        </w:rPr>
        <w:t>5.6.1作业场地</w:t>
      </w:r>
      <w:bookmarkEnd w:id="1235"/>
      <w:bookmarkEnd w:id="1236"/>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hint="eastAsia" w:ascii="宋体" w:hAnsi="宋体" w:eastAsia="宋体" w:cs="宋体"/>
        </w:rPr>
        <w:t>充电桩安装</w:t>
      </w:r>
      <w:r>
        <w:rPr>
          <w:rFonts w:ascii="宋体" w:hAnsi="宋体" w:eastAsia="宋体" w:cs="宋体"/>
        </w:rPr>
        <w:t>项目作业地点为</w:t>
      </w:r>
      <w:r>
        <w:rPr>
          <w:rFonts w:hint="eastAsia" w:ascii="宋体" w:hAnsi="宋体" w:eastAsia="宋体" w:cs="宋体"/>
          <w:kern w:val="2"/>
        </w:rPr>
        <w:t>那洪车辆基地综合维修楼一楼地面停车场。</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237" w:name="_Toc7557"/>
      <w:bookmarkStart w:id="1238" w:name="_Toc26447"/>
      <w:r>
        <w:rPr>
          <w:rFonts w:hint="eastAsia" w:ascii="宋体" w:hAnsi="宋体" w:eastAsia="宋体" w:cs="宋体"/>
          <w:b/>
          <w:bCs/>
          <w:kern w:val="44"/>
          <w:sz w:val="21"/>
          <w:szCs w:val="21"/>
          <w:lang w:val="en-US" w:eastAsia="zh-CN" w:bidi="ar-SA"/>
        </w:rPr>
        <w:t>5.6.2作业时间</w:t>
      </w:r>
      <w:bookmarkEnd w:id="1237"/>
      <w:bookmarkEnd w:id="1238"/>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ascii="宋体" w:hAnsi="宋体" w:eastAsia="宋体" w:cs="宋体"/>
        </w:rPr>
        <w:t>5.6.2.1</w:t>
      </w:r>
      <w:r>
        <w:rPr>
          <w:rFonts w:hint="eastAsia" w:ascii="宋体" w:hAnsi="宋体" w:eastAsia="宋体" w:cs="宋体"/>
        </w:rPr>
        <w:t>在不影响办公人员工作及休息的情况下进行。（与相关部门中心协同确认具体作业时间）</w:t>
      </w:r>
      <w:r>
        <w:rPr>
          <w:rFonts w:ascii="宋体" w:hAnsi="宋体" w:eastAsia="宋体" w:cs="宋体"/>
        </w:rPr>
        <w:t>。</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ascii="宋体" w:hAnsi="宋体" w:eastAsia="宋体" w:cs="宋体"/>
        </w:rPr>
        <w:t>5.6.2.2若作业可能影响</w:t>
      </w:r>
      <w:r>
        <w:rPr>
          <w:rFonts w:hint="eastAsia" w:ascii="宋体" w:hAnsi="宋体" w:eastAsia="宋体" w:cs="宋体"/>
        </w:rPr>
        <w:t>周边办公楼人员休息的情况需与招标方协调具体作业时间</w:t>
      </w:r>
      <w:r>
        <w:rPr>
          <w:rFonts w:ascii="宋体" w:hAnsi="宋体" w:eastAsia="宋体" w:cs="宋体"/>
        </w:rPr>
        <w:t>。（具体作业时间以批复的施工作业令为准）。</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ascii="宋体" w:hAnsi="宋体" w:eastAsia="宋体" w:cs="宋体"/>
        </w:rPr>
        <w:t>5.6.2.3上述作业时间均包括施工前准备、请销点、工器具搬运、进出场以及作业出清时间。</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239" w:name="_Toc652"/>
      <w:bookmarkStart w:id="1240" w:name="_Toc3445"/>
      <w:r>
        <w:rPr>
          <w:rFonts w:hint="eastAsia" w:ascii="宋体" w:hAnsi="宋体" w:eastAsia="宋体" w:cs="宋体"/>
          <w:b/>
          <w:bCs/>
          <w:kern w:val="44"/>
          <w:sz w:val="21"/>
          <w:szCs w:val="21"/>
          <w:lang w:val="en-US" w:eastAsia="zh-CN" w:bidi="ar-SA"/>
        </w:rPr>
        <w:t>5.6.3限制条件</w:t>
      </w:r>
      <w:bookmarkEnd w:id="1239"/>
      <w:bookmarkEnd w:id="1240"/>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ascii="宋体" w:hAnsi="宋体" w:eastAsia="宋体" w:cs="宋体"/>
        </w:rPr>
        <w:t>5.6.3.1</w:t>
      </w:r>
      <w:r>
        <w:rPr>
          <w:rFonts w:hint="eastAsia" w:ascii="宋体" w:hAnsi="宋体" w:eastAsia="宋体" w:cs="宋体"/>
          <w:lang w:eastAsia="zh-CN"/>
        </w:rPr>
        <w:t>投标人</w:t>
      </w:r>
      <w:r>
        <w:rPr>
          <w:rFonts w:ascii="宋体" w:hAnsi="宋体" w:eastAsia="宋体" w:cs="宋体"/>
        </w:rPr>
        <w:t>须自行考虑工器具的运输问题。</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hint="eastAsia" w:ascii="宋体" w:hAnsi="宋体" w:eastAsia="宋体" w:cs="宋体"/>
        </w:rPr>
        <w:t>5.6.3.2</w:t>
      </w:r>
      <w:r>
        <w:rPr>
          <w:rFonts w:hint="eastAsia" w:ascii="宋体" w:hAnsi="宋体" w:eastAsia="宋体" w:cs="宋体"/>
          <w:lang w:eastAsia="zh-CN"/>
        </w:rPr>
        <w:t>投标人</w:t>
      </w:r>
      <w:r>
        <w:rPr>
          <w:rFonts w:hint="eastAsia" w:ascii="宋体" w:hAnsi="宋体" w:eastAsia="宋体" w:cs="宋体"/>
        </w:rPr>
        <w:t>须提前</w:t>
      </w:r>
      <w:r>
        <w:rPr>
          <w:rFonts w:ascii="宋体" w:hAnsi="宋体" w:eastAsia="宋体" w:cs="宋体"/>
        </w:rPr>
        <w:t>制定</w:t>
      </w:r>
      <w:r>
        <w:rPr>
          <w:rFonts w:hint="eastAsia" w:ascii="宋体" w:hAnsi="宋体" w:eastAsia="宋体" w:cs="宋体"/>
        </w:rPr>
        <w:t>详细的运输计划，必须服从场段相关部门的管理，避免</w:t>
      </w:r>
      <w:r>
        <w:rPr>
          <w:rFonts w:ascii="宋体" w:hAnsi="宋体" w:eastAsia="宋体" w:cs="宋体"/>
        </w:rPr>
        <w:t>施工过程中</w:t>
      </w:r>
      <w:r>
        <w:rPr>
          <w:rFonts w:hint="eastAsia" w:ascii="宋体" w:hAnsi="宋体" w:eastAsia="宋体" w:cs="宋体"/>
        </w:rPr>
        <w:t>对办公区域、入住人员造成的干扰。</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ascii="宋体" w:hAnsi="宋体" w:eastAsia="宋体" w:cs="宋体"/>
        </w:rPr>
        <w:t>5.6.3.3每次施工作业均需要按照</w:t>
      </w:r>
      <w:r>
        <w:rPr>
          <w:rFonts w:hint="eastAsia" w:ascii="宋体" w:hAnsi="宋体" w:eastAsia="宋体" w:cs="宋体"/>
          <w:lang w:eastAsia="zh-CN"/>
        </w:rPr>
        <w:t>招标人</w:t>
      </w:r>
      <w:r>
        <w:rPr>
          <w:rFonts w:ascii="宋体" w:hAnsi="宋体" w:eastAsia="宋体" w:cs="宋体"/>
        </w:rPr>
        <w:t>施工管理相关规定，提前申报作业计划，办理请销点手续。</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241" w:name="_Toc7503"/>
      <w:bookmarkStart w:id="1242" w:name="_Toc11879"/>
      <w:r>
        <w:rPr>
          <w:rFonts w:hint="eastAsia" w:ascii="宋体" w:hAnsi="宋体" w:eastAsia="宋体" w:cs="宋体"/>
          <w:b/>
          <w:bCs/>
          <w:kern w:val="44"/>
          <w:sz w:val="21"/>
          <w:szCs w:val="21"/>
          <w:lang w:val="en-US" w:eastAsia="zh-CN" w:bidi="ar-SA"/>
        </w:rPr>
        <w:t>5.6.4招标人提供的条件</w:t>
      </w:r>
      <w:bookmarkEnd w:id="1241"/>
      <w:bookmarkEnd w:id="1242"/>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ascii="宋体" w:hAnsi="宋体" w:eastAsia="宋体" w:cs="宋体"/>
        </w:rPr>
        <w:t>5.6.4.1按已有的水电接口免费提供检修作业用电、用水。</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ascii="宋体" w:hAnsi="宋体" w:eastAsia="宋体" w:cs="宋体"/>
        </w:rPr>
        <w:t>5.6.4.2对作业人员进行安全培训，但这些培训不能代替</w:t>
      </w:r>
      <w:r>
        <w:rPr>
          <w:rFonts w:hint="eastAsia" w:ascii="宋体" w:hAnsi="宋体" w:eastAsia="宋体" w:cs="宋体"/>
          <w:lang w:eastAsia="zh-CN"/>
        </w:rPr>
        <w:t>投标人</w:t>
      </w:r>
      <w:r>
        <w:rPr>
          <w:rFonts w:ascii="宋体" w:hAnsi="宋体" w:eastAsia="宋体" w:cs="宋体"/>
        </w:rPr>
        <w:t>自身对作业人员的安全培训。</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ascii="宋体" w:hAnsi="宋体" w:eastAsia="宋体" w:cs="宋体"/>
        </w:rPr>
        <w:t>5.6.4.3协调</w:t>
      </w:r>
      <w:r>
        <w:rPr>
          <w:rFonts w:hint="eastAsia" w:ascii="宋体" w:hAnsi="宋体" w:eastAsia="宋体" w:cs="宋体"/>
          <w:lang w:eastAsia="zh-CN"/>
        </w:rPr>
        <w:t>招标人</w:t>
      </w:r>
      <w:r>
        <w:rPr>
          <w:rFonts w:ascii="宋体" w:hAnsi="宋体" w:eastAsia="宋体" w:cs="宋体"/>
        </w:rPr>
        <w:t>内部各部门之间的工作。</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ascii="宋体" w:hAnsi="宋体" w:eastAsia="宋体" w:cs="宋体"/>
        </w:rPr>
        <w:t>5.6.4.4办理有关施工作业的审批手续。</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ascii="宋体" w:hAnsi="宋体" w:eastAsia="宋体" w:cs="宋体"/>
        </w:rPr>
        <w:t>5.6.4.5提供项目执行必须的技术资料和规章制度</w:t>
      </w:r>
      <w:r>
        <w:rPr>
          <w:rFonts w:hint="eastAsia" w:ascii="宋体" w:hAnsi="宋体" w:eastAsia="宋体" w:cs="宋体"/>
        </w:rPr>
        <w:t>。</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0"/>
        <w:rPr>
          <w:rFonts w:hint="eastAsia" w:ascii="黑体" w:hAnsi="黑体" w:eastAsia="黑体" w:cs="黑体"/>
          <w:b/>
          <w:bCs/>
          <w:kern w:val="44"/>
          <w:sz w:val="24"/>
          <w:szCs w:val="24"/>
          <w:lang w:val="en-US" w:eastAsia="zh-CN" w:bidi="ar-SA"/>
        </w:rPr>
      </w:pPr>
      <w:bookmarkStart w:id="1243" w:name="_Toc3975"/>
      <w:bookmarkStart w:id="1244" w:name="_Toc6535"/>
      <w:bookmarkStart w:id="1245" w:name="_Toc21211"/>
      <w:bookmarkStart w:id="1246" w:name="_Toc28719"/>
      <w:bookmarkStart w:id="1247" w:name="_Toc5632"/>
      <w:bookmarkStart w:id="1248" w:name="_Toc21760"/>
      <w:bookmarkStart w:id="1249" w:name="_Toc30809"/>
      <w:bookmarkStart w:id="1250" w:name="_Toc18637"/>
      <w:bookmarkStart w:id="1251" w:name="_Toc22466"/>
      <w:bookmarkStart w:id="1252" w:name="_Toc19872"/>
      <w:bookmarkStart w:id="1253" w:name="_Toc13771"/>
      <w:bookmarkStart w:id="1254" w:name="_Toc60213007"/>
      <w:bookmarkStart w:id="1255" w:name="_Toc29907"/>
      <w:bookmarkStart w:id="1256" w:name="_Toc29049"/>
      <w:bookmarkStart w:id="1257" w:name="_Toc12424"/>
      <w:bookmarkStart w:id="1258" w:name="_Toc22787"/>
      <w:bookmarkStart w:id="1259" w:name="_Toc4030"/>
      <w:bookmarkStart w:id="1260" w:name="_Toc24936"/>
      <w:bookmarkStart w:id="1261" w:name="_Toc761"/>
      <w:bookmarkStart w:id="1262" w:name="_Toc79434388"/>
      <w:bookmarkStart w:id="1263" w:name="_Toc27878"/>
      <w:bookmarkStart w:id="1264" w:name="_Toc4657"/>
      <w:bookmarkStart w:id="1265" w:name="_Toc2641"/>
      <w:r>
        <w:rPr>
          <w:rFonts w:hint="eastAsia" w:ascii="黑体" w:hAnsi="黑体" w:eastAsia="黑体" w:cs="黑体"/>
          <w:b/>
          <w:bCs/>
          <w:kern w:val="44"/>
          <w:sz w:val="24"/>
          <w:szCs w:val="24"/>
          <w:lang w:val="en-US" w:eastAsia="zh-CN" w:bidi="ar-SA"/>
        </w:rPr>
        <w:t>6考核条款</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266" w:name="_Toc31146"/>
      <w:bookmarkStart w:id="1267" w:name="_Toc79434389"/>
      <w:bookmarkStart w:id="1268" w:name="_Toc28982"/>
      <w:bookmarkStart w:id="1269" w:name="_Toc60213008"/>
      <w:bookmarkStart w:id="1270" w:name="_Toc8407"/>
      <w:bookmarkStart w:id="1271" w:name="_Toc27296"/>
      <w:bookmarkStart w:id="1272" w:name="_Toc29633"/>
      <w:bookmarkStart w:id="1273" w:name="_Toc19933"/>
      <w:bookmarkStart w:id="1274" w:name="_Toc30431"/>
      <w:bookmarkStart w:id="1275" w:name="_Toc10485"/>
      <w:bookmarkStart w:id="1276" w:name="_Toc5562"/>
      <w:bookmarkStart w:id="1277" w:name="_Toc1822"/>
      <w:bookmarkStart w:id="1278" w:name="_Toc589"/>
      <w:bookmarkStart w:id="1279" w:name="_Toc10553"/>
      <w:bookmarkStart w:id="1280" w:name="_Toc6551"/>
      <w:bookmarkStart w:id="1281" w:name="_Toc16581"/>
      <w:bookmarkStart w:id="1282" w:name="_Toc3795"/>
      <w:bookmarkStart w:id="1283" w:name="_Toc15201"/>
      <w:bookmarkStart w:id="1284" w:name="_Toc6579"/>
      <w:bookmarkStart w:id="1285" w:name="_Toc13156"/>
      <w:bookmarkStart w:id="1286" w:name="_Toc16031"/>
      <w:r>
        <w:rPr>
          <w:rFonts w:hint="eastAsia" w:ascii="宋体" w:hAnsi="宋体" w:eastAsia="宋体" w:cs="宋体"/>
          <w:b/>
          <w:bCs/>
          <w:kern w:val="44"/>
          <w:sz w:val="21"/>
          <w:szCs w:val="21"/>
          <w:lang w:val="en-US" w:eastAsia="zh-CN" w:bidi="ar-SA"/>
        </w:rPr>
        <w:t>6.1合同期评价</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ascii="宋体" w:hAnsi="宋体" w:eastAsia="宋体" w:cs="宋体"/>
        </w:rPr>
        <w:t>凡涉及以下任一条款，则</w:t>
      </w:r>
      <w:r>
        <w:rPr>
          <w:rFonts w:hint="eastAsia" w:ascii="宋体" w:hAnsi="宋体" w:eastAsia="宋体" w:cs="宋体"/>
          <w:lang w:eastAsia="zh-CN"/>
        </w:rPr>
        <w:t>招标人</w:t>
      </w:r>
      <w:r>
        <w:rPr>
          <w:rFonts w:ascii="宋体" w:hAnsi="宋体" w:eastAsia="宋体" w:cs="宋体"/>
        </w:rPr>
        <w:t>有权行使一票否决制，考核评定不合格</w:t>
      </w:r>
      <w:r>
        <w:rPr>
          <w:rFonts w:hint="eastAsia" w:ascii="宋体" w:hAnsi="宋体" w:eastAsia="宋体" w:cs="宋体"/>
        </w:rPr>
        <w:t>，</w:t>
      </w:r>
      <w:r>
        <w:rPr>
          <w:rFonts w:hint="eastAsia" w:ascii="宋体" w:hAnsi="宋体" w:eastAsia="宋体" w:cs="宋体"/>
          <w:lang w:eastAsia="zh-CN"/>
        </w:rPr>
        <w:t>招标人</w:t>
      </w:r>
      <w:r>
        <w:rPr>
          <w:rFonts w:hint="eastAsia" w:ascii="宋体" w:hAnsi="宋体" w:eastAsia="宋体" w:cs="宋体"/>
        </w:rPr>
        <w:t>有权随时终止合同</w:t>
      </w:r>
      <w:r>
        <w:rPr>
          <w:rFonts w:ascii="宋体" w:hAnsi="宋体" w:eastAsia="宋体" w:cs="宋体"/>
        </w:rPr>
        <w:t>。</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hint="eastAsia" w:ascii="宋体" w:hAnsi="宋体" w:eastAsia="宋体" w:cs="宋体"/>
        </w:rPr>
        <w:t>6</w:t>
      </w:r>
      <w:r>
        <w:rPr>
          <w:rFonts w:ascii="宋体" w:hAnsi="宋体" w:eastAsia="宋体" w:cs="宋体"/>
        </w:rPr>
        <w:t>.1</w:t>
      </w:r>
      <w:r>
        <w:rPr>
          <w:rFonts w:hint="eastAsia" w:ascii="宋体" w:hAnsi="宋体" w:eastAsia="宋体" w:cs="宋体"/>
        </w:rPr>
        <w:t>.1</w:t>
      </w:r>
      <w:r>
        <w:rPr>
          <w:rFonts w:ascii="宋体" w:hAnsi="宋体" w:eastAsia="宋体" w:cs="宋体"/>
        </w:rPr>
        <w:t>对外透露保密性的信息，情节严重。</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hint="eastAsia" w:ascii="宋体" w:hAnsi="宋体" w:eastAsia="宋体" w:cs="宋体"/>
        </w:rPr>
        <w:t>6</w:t>
      </w:r>
      <w:r>
        <w:rPr>
          <w:rFonts w:ascii="宋体" w:hAnsi="宋体" w:eastAsia="宋体" w:cs="宋体"/>
        </w:rPr>
        <w:t>.</w:t>
      </w:r>
      <w:r>
        <w:rPr>
          <w:rFonts w:hint="eastAsia" w:ascii="宋体" w:hAnsi="宋体" w:eastAsia="宋体" w:cs="宋体"/>
        </w:rPr>
        <w:t>1.</w:t>
      </w:r>
      <w:r>
        <w:rPr>
          <w:rFonts w:ascii="宋体" w:hAnsi="宋体" w:eastAsia="宋体" w:cs="宋体"/>
        </w:rPr>
        <w:t>2因</w:t>
      </w:r>
      <w:r>
        <w:rPr>
          <w:rFonts w:hint="eastAsia" w:ascii="宋体" w:hAnsi="宋体" w:eastAsia="宋体" w:cs="宋体"/>
          <w:lang w:eastAsia="zh-CN"/>
        </w:rPr>
        <w:t>投标人</w:t>
      </w:r>
      <w:r>
        <w:rPr>
          <w:rFonts w:ascii="宋体" w:hAnsi="宋体" w:eastAsia="宋体" w:cs="宋体"/>
        </w:rPr>
        <w:t>原因，造成发生一般事件C类及以上事故、事件。</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hint="eastAsia" w:ascii="宋体" w:hAnsi="宋体" w:eastAsia="宋体" w:cs="宋体"/>
        </w:rPr>
        <w:t>6</w:t>
      </w:r>
      <w:r>
        <w:rPr>
          <w:rFonts w:ascii="宋体" w:hAnsi="宋体" w:eastAsia="宋体" w:cs="宋体"/>
        </w:rPr>
        <w:t>.</w:t>
      </w:r>
      <w:r>
        <w:rPr>
          <w:rFonts w:hint="eastAsia" w:ascii="宋体" w:hAnsi="宋体" w:eastAsia="宋体" w:cs="宋体"/>
        </w:rPr>
        <w:t>1.</w:t>
      </w:r>
      <w:r>
        <w:rPr>
          <w:rFonts w:ascii="宋体" w:hAnsi="宋体" w:eastAsia="宋体" w:cs="宋体"/>
        </w:rPr>
        <w:t>3发生责任员工轻伤及以上。</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hint="eastAsia" w:ascii="宋体" w:hAnsi="宋体" w:eastAsia="宋体" w:cs="宋体"/>
        </w:rPr>
        <w:t>6</w:t>
      </w:r>
      <w:r>
        <w:rPr>
          <w:rFonts w:ascii="宋体" w:hAnsi="宋体" w:eastAsia="宋体" w:cs="宋体"/>
        </w:rPr>
        <w:t>.</w:t>
      </w:r>
      <w:r>
        <w:rPr>
          <w:rFonts w:hint="eastAsia" w:ascii="宋体" w:hAnsi="宋体" w:eastAsia="宋体" w:cs="宋体"/>
        </w:rPr>
        <w:t>1.</w:t>
      </w:r>
      <w:r>
        <w:rPr>
          <w:rFonts w:ascii="宋体" w:hAnsi="宋体" w:eastAsia="宋体" w:cs="宋体"/>
        </w:rPr>
        <w:t>4施工作业完成后，未按</w:t>
      </w:r>
      <w:r>
        <w:rPr>
          <w:rFonts w:hint="eastAsia" w:ascii="宋体" w:hAnsi="宋体" w:eastAsia="宋体" w:cs="宋体"/>
          <w:lang w:eastAsia="zh-CN"/>
        </w:rPr>
        <w:t>招标人</w:t>
      </w:r>
      <w:r>
        <w:rPr>
          <w:rFonts w:ascii="宋体" w:hAnsi="宋体" w:eastAsia="宋体" w:cs="宋体"/>
        </w:rPr>
        <w:t>相关施工管理规定进行出清或跨区域、跨范围作业。</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hint="eastAsia" w:ascii="宋体" w:hAnsi="宋体" w:eastAsia="宋体" w:cs="宋体"/>
        </w:rPr>
        <w:t>6</w:t>
      </w:r>
      <w:r>
        <w:rPr>
          <w:rFonts w:ascii="宋体" w:hAnsi="宋体" w:eastAsia="宋体" w:cs="宋体"/>
        </w:rPr>
        <w:t>.</w:t>
      </w:r>
      <w:r>
        <w:rPr>
          <w:rFonts w:hint="eastAsia" w:ascii="宋体" w:hAnsi="宋体" w:eastAsia="宋体" w:cs="宋体"/>
        </w:rPr>
        <w:t>1.</w:t>
      </w:r>
      <w:r>
        <w:rPr>
          <w:rFonts w:ascii="宋体" w:hAnsi="宋体" w:eastAsia="宋体" w:cs="宋体"/>
        </w:rPr>
        <w:t>5因</w:t>
      </w:r>
      <w:r>
        <w:rPr>
          <w:rFonts w:hint="eastAsia" w:ascii="宋体" w:hAnsi="宋体" w:eastAsia="宋体" w:cs="宋体"/>
          <w:lang w:eastAsia="zh-CN"/>
        </w:rPr>
        <w:t>投标人</w:t>
      </w:r>
      <w:r>
        <w:rPr>
          <w:rFonts w:ascii="宋体" w:hAnsi="宋体" w:eastAsia="宋体" w:cs="宋体"/>
        </w:rPr>
        <w:t>责任造成解除合同的，由</w:t>
      </w:r>
      <w:r>
        <w:rPr>
          <w:rFonts w:hint="eastAsia" w:ascii="宋体" w:hAnsi="宋体" w:eastAsia="宋体" w:cs="宋体"/>
          <w:lang w:eastAsia="zh-CN"/>
        </w:rPr>
        <w:t>投标人</w:t>
      </w:r>
      <w:r>
        <w:rPr>
          <w:rFonts w:ascii="宋体" w:hAnsi="宋体" w:eastAsia="宋体" w:cs="宋体"/>
        </w:rPr>
        <w:t>承担相应的责任, 并赔偿相应损失。</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6</w:t>
      </w:r>
      <w:r>
        <w:rPr>
          <w:rFonts w:ascii="宋体" w:hAnsi="宋体" w:eastAsia="宋体" w:cs="宋体"/>
        </w:rPr>
        <w:t>.</w:t>
      </w:r>
      <w:r>
        <w:rPr>
          <w:rFonts w:hint="eastAsia" w:ascii="宋体" w:hAnsi="宋体" w:eastAsia="宋体" w:cs="宋体"/>
        </w:rPr>
        <w:t>1.</w:t>
      </w:r>
      <w:r>
        <w:rPr>
          <w:rFonts w:ascii="宋体" w:hAnsi="宋体" w:eastAsia="宋体" w:cs="宋体"/>
        </w:rPr>
        <w:t>6</w:t>
      </w:r>
      <w:r>
        <w:rPr>
          <w:rFonts w:hint="eastAsia" w:ascii="宋体" w:hAnsi="宋体" w:eastAsia="宋体" w:cs="宋体"/>
          <w:lang w:eastAsia="zh-CN"/>
        </w:rPr>
        <w:t>投标人</w:t>
      </w:r>
      <w:r>
        <w:rPr>
          <w:rFonts w:ascii="宋体" w:hAnsi="宋体" w:eastAsia="宋体" w:cs="宋体"/>
        </w:rPr>
        <w:t>有责任保证</w:t>
      </w:r>
      <w:r>
        <w:rPr>
          <w:rFonts w:hint="eastAsia" w:ascii="宋体" w:hAnsi="宋体" w:eastAsia="宋体" w:cs="宋体"/>
        </w:rPr>
        <w:t>安装及施工</w:t>
      </w:r>
      <w:r>
        <w:rPr>
          <w:rFonts w:ascii="宋体" w:hAnsi="宋体" w:eastAsia="宋体" w:cs="宋体"/>
        </w:rPr>
        <w:t>质量达到国家相关质量标准，并在合同执行过程中严格遵守</w:t>
      </w:r>
      <w:r>
        <w:rPr>
          <w:rFonts w:hint="eastAsia" w:ascii="宋体" w:hAnsi="宋体" w:eastAsia="宋体" w:cs="宋体"/>
          <w:lang w:eastAsia="zh-CN"/>
        </w:rPr>
        <w:t>招标人</w:t>
      </w:r>
      <w:r>
        <w:rPr>
          <w:rFonts w:ascii="宋体" w:hAnsi="宋体" w:eastAsia="宋体" w:cs="宋体"/>
        </w:rPr>
        <w:t>各项管理规定、要求。</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6</w:t>
      </w:r>
      <w:r>
        <w:rPr>
          <w:rFonts w:ascii="宋体" w:hAnsi="宋体" w:eastAsia="宋体" w:cs="宋体"/>
        </w:rPr>
        <w:t>.</w:t>
      </w:r>
      <w:r>
        <w:rPr>
          <w:rFonts w:hint="eastAsia" w:ascii="宋体" w:hAnsi="宋体" w:eastAsia="宋体" w:cs="宋体"/>
        </w:rPr>
        <w:t>1.</w:t>
      </w:r>
      <w:r>
        <w:rPr>
          <w:rFonts w:ascii="宋体" w:hAnsi="宋体" w:eastAsia="宋体" w:cs="宋体"/>
        </w:rPr>
        <w:t>7</w:t>
      </w:r>
      <w:r>
        <w:rPr>
          <w:rFonts w:hint="eastAsia" w:ascii="宋体" w:hAnsi="宋体" w:eastAsia="宋体" w:cs="宋体"/>
          <w:lang w:eastAsia="zh-CN"/>
        </w:rPr>
        <w:t>投标人</w:t>
      </w:r>
      <w:r>
        <w:rPr>
          <w:rFonts w:ascii="宋体" w:hAnsi="宋体" w:eastAsia="宋体" w:cs="宋体"/>
        </w:rPr>
        <w:t>在收到考核单后，如有意见，在三个工作日可提出申诉，</w:t>
      </w:r>
      <w:r>
        <w:rPr>
          <w:rFonts w:hint="eastAsia" w:ascii="宋体" w:hAnsi="宋体" w:eastAsia="宋体" w:cs="宋体"/>
          <w:lang w:eastAsia="zh-CN"/>
        </w:rPr>
        <w:t>招标人</w:t>
      </w:r>
      <w:r>
        <w:rPr>
          <w:rFonts w:ascii="宋体" w:hAnsi="宋体" w:eastAsia="宋体" w:cs="宋体"/>
        </w:rPr>
        <w:t>在收到申诉后三个工作日答复，</w:t>
      </w:r>
      <w:r>
        <w:rPr>
          <w:rFonts w:hint="eastAsia" w:ascii="宋体" w:hAnsi="宋体" w:eastAsia="宋体" w:cs="宋体"/>
          <w:lang w:eastAsia="zh-CN"/>
        </w:rPr>
        <w:t>投标人</w:t>
      </w:r>
      <w:r>
        <w:rPr>
          <w:rFonts w:ascii="宋体" w:hAnsi="宋体" w:eastAsia="宋体" w:cs="宋体"/>
        </w:rPr>
        <w:t>在三个工作日内必须签字盖章返回，若因此导致</w:t>
      </w:r>
      <w:r>
        <w:rPr>
          <w:rFonts w:hint="eastAsia" w:ascii="宋体" w:hAnsi="宋体" w:eastAsia="宋体" w:cs="宋体"/>
          <w:lang w:eastAsia="zh-CN"/>
        </w:rPr>
        <w:t>招标人</w:t>
      </w:r>
      <w:r>
        <w:rPr>
          <w:rFonts w:ascii="宋体" w:hAnsi="宋体" w:eastAsia="宋体" w:cs="宋体"/>
        </w:rPr>
        <w:t>支付款项延时，责任由</w:t>
      </w:r>
      <w:r>
        <w:rPr>
          <w:rFonts w:hint="eastAsia" w:ascii="宋体" w:hAnsi="宋体" w:eastAsia="宋体" w:cs="宋体"/>
          <w:lang w:eastAsia="zh-CN"/>
        </w:rPr>
        <w:t>投标人</w:t>
      </w:r>
      <w:r>
        <w:rPr>
          <w:rFonts w:ascii="宋体" w:hAnsi="宋体" w:eastAsia="宋体" w:cs="宋体"/>
        </w:rPr>
        <w:t>自行承担</w:t>
      </w:r>
      <w:r>
        <w:rPr>
          <w:rFonts w:hint="eastAsia" w:ascii="宋体" w:hAnsi="宋体" w:eastAsia="宋体" w:cs="宋体"/>
        </w:rPr>
        <w:t>。</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287" w:name="_Toc12388"/>
      <w:bookmarkStart w:id="1288" w:name="_Toc22413"/>
      <w:bookmarkStart w:id="1289" w:name="_Toc16363"/>
      <w:bookmarkStart w:id="1290" w:name="_Toc17659"/>
      <w:bookmarkStart w:id="1291" w:name="_Toc29348"/>
      <w:bookmarkStart w:id="1292" w:name="_Toc19191"/>
      <w:bookmarkStart w:id="1293" w:name="_Toc30037"/>
      <w:bookmarkStart w:id="1294" w:name="_Toc18052"/>
      <w:bookmarkStart w:id="1295" w:name="_Toc5510"/>
      <w:bookmarkStart w:id="1296" w:name="_Toc8440"/>
      <w:bookmarkStart w:id="1297" w:name="_Toc1443"/>
      <w:bookmarkStart w:id="1298" w:name="_Toc27732"/>
      <w:bookmarkStart w:id="1299" w:name="_Toc79434390"/>
      <w:bookmarkStart w:id="1300" w:name="_Toc23887"/>
      <w:bookmarkStart w:id="1301" w:name="_Toc60213009"/>
      <w:bookmarkStart w:id="1302" w:name="_Toc14635"/>
      <w:bookmarkStart w:id="1303" w:name="_Toc24439"/>
      <w:bookmarkStart w:id="1304" w:name="_Toc31779"/>
      <w:bookmarkStart w:id="1305" w:name="_Toc16685"/>
      <w:bookmarkStart w:id="1306" w:name="_Toc31342"/>
      <w:bookmarkStart w:id="1307" w:name="_Toc5103"/>
      <w:r>
        <w:rPr>
          <w:rFonts w:hint="eastAsia" w:ascii="宋体" w:hAnsi="宋体" w:eastAsia="宋体" w:cs="宋体"/>
          <w:b/>
          <w:bCs/>
          <w:kern w:val="44"/>
          <w:sz w:val="21"/>
          <w:szCs w:val="21"/>
          <w:lang w:val="en-US" w:eastAsia="zh-CN" w:bidi="ar-SA"/>
        </w:rPr>
        <w:t>6.2违约处理</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6.2.1合同签订之后，未经</w:t>
      </w:r>
      <w:r>
        <w:rPr>
          <w:rFonts w:hint="eastAsia" w:ascii="宋体" w:hAnsi="宋体" w:eastAsia="宋体" w:cs="宋体"/>
          <w:lang w:eastAsia="zh-CN"/>
        </w:rPr>
        <w:t>招标人</w:t>
      </w:r>
      <w:r>
        <w:rPr>
          <w:rFonts w:hint="eastAsia" w:ascii="宋体" w:hAnsi="宋体" w:eastAsia="宋体" w:cs="宋体"/>
        </w:rPr>
        <w:t>书面同意，</w:t>
      </w:r>
      <w:r>
        <w:rPr>
          <w:rFonts w:hint="eastAsia" w:ascii="宋体" w:hAnsi="宋体" w:eastAsia="宋体" w:cs="宋体"/>
          <w:lang w:eastAsia="zh-CN"/>
        </w:rPr>
        <w:t>投标人</w:t>
      </w:r>
      <w:r>
        <w:rPr>
          <w:rFonts w:hint="eastAsia" w:ascii="宋体" w:hAnsi="宋体" w:eastAsia="宋体" w:cs="宋体"/>
        </w:rPr>
        <w:t>擅自更换项目负责人</w:t>
      </w:r>
      <w:r>
        <w:rPr>
          <w:rFonts w:ascii="宋体" w:hAnsi="宋体" w:eastAsia="宋体" w:cs="宋体"/>
        </w:rPr>
        <w:t>或施工负责人</w:t>
      </w:r>
      <w:r>
        <w:rPr>
          <w:rFonts w:hint="eastAsia" w:ascii="宋体" w:hAnsi="宋体" w:eastAsia="宋体" w:cs="宋体"/>
        </w:rPr>
        <w:t>的，视为</w:t>
      </w:r>
      <w:r>
        <w:rPr>
          <w:rFonts w:hint="eastAsia" w:ascii="宋体" w:hAnsi="宋体" w:eastAsia="宋体" w:cs="宋体"/>
          <w:lang w:eastAsia="zh-CN"/>
        </w:rPr>
        <w:t>投标人</w:t>
      </w:r>
      <w:r>
        <w:rPr>
          <w:rFonts w:hint="eastAsia" w:ascii="宋体" w:hAnsi="宋体" w:eastAsia="宋体" w:cs="宋体"/>
        </w:rPr>
        <w:t>违约，并课以违约金5000元/人次。</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6.2.2</w:t>
      </w:r>
      <w:r>
        <w:rPr>
          <w:rFonts w:hint="eastAsia" w:ascii="宋体" w:hAnsi="宋体" w:eastAsia="宋体" w:cs="宋体"/>
          <w:lang w:eastAsia="zh-CN"/>
        </w:rPr>
        <w:t>投标人</w:t>
      </w:r>
      <w:r>
        <w:rPr>
          <w:rFonts w:hint="eastAsia" w:ascii="宋体" w:hAnsi="宋体" w:eastAsia="宋体" w:cs="宋体"/>
        </w:rPr>
        <w:t>人员在禁止抽烟区域内抽烟，工作期间喝酒或与其他部门/单位发生争执或打架斗殴等不文明现象的，课以违约金200元/次，造成不良影响的加倍处罚。</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6.2.3</w:t>
      </w:r>
      <w:r>
        <w:rPr>
          <w:rFonts w:hint="eastAsia" w:ascii="宋体" w:hAnsi="宋体" w:eastAsia="宋体" w:cs="宋体"/>
          <w:lang w:eastAsia="zh-CN"/>
        </w:rPr>
        <w:t>投标人</w:t>
      </w:r>
      <w:r>
        <w:rPr>
          <w:rFonts w:hint="eastAsia" w:ascii="宋体" w:hAnsi="宋体" w:eastAsia="宋体" w:cs="宋体"/>
        </w:rPr>
        <w:t>不服从</w:t>
      </w:r>
      <w:r>
        <w:rPr>
          <w:rFonts w:hint="eastAsia" w:ascii="宋体" w:hAnsi="宋体" w:eastAsia="宋体" w:cs="宋体"/>
          <w:lang w:eastAsia="zh-CN"/>
        </w:rPr>
        <w:t>招标人</w:t>
      </w:r>
      <w:r>
        <w:rPr>
          <w:rFonts w:hint="eastAsia" w:ascii="宋体" w:hAnsi="宋体" w:eastAsia="宋体" w:cs="宋体"/>
        </w:rPr>
        <w:t>现场管理，课以违约金200元/次，此外造成</w:t>
      </w:r>
      <w:r>
        <w:rPr>
          <w:rFonts w:hint="eastAsia" w:ascii="宋体" w:hAnsi="宋体" w:eastAsia="宋体" w:cs="宋体"/>
          <w:lang w:eastAsia="zh-CN"/>
        </w:rPr>
        <w:t>招标人</w:t>
      </w:r>
      <w:r>
        <w:rPr>
          <w:rFonts w:hint="eastAsia" w:ascii="宋体" w:hAnsi="宋体" w:eastAsia="宋体" w:cs="宋体"/>
        </w:rPr>
        <w:t>的损失，</w:t>
      </w:r>
      <w:r>
        <w:rPr>
          <w:rFonts w:hint="eastAsia" w:ascii="宋体" w:hAnsi="宋体" w:eastAsia="宋体" w:cs="宋体"/>
          <w:lang w:eastAsia="zh-CN"/>
        </w:rPr>
        <w:t>招标人</w:t>
      </w:r>
      <w:r>
        <w:rPr>
          <w:rFonts w:hint="eastAsia" w:ascii="宋体" w:hAnsi="宋体" w:eastAsia="宋体" w:cs="宋体"/>
        </w:rPr>
        <w:t>有权向</w:t>
      </w:r>
      <w:r>
        <w:rPr>
          <w:rFonts w:hint="eastAsia" w:ascii="宋体" w:hAnsi="宋体" w:eastAsia="宋体" w:cs="宋体"/>
          <w:lang w:eastAsia="zh-CN"/>
        </w:rPr>
        <w:t>投标人</w:t>
      </w:r>
      <w:r>
        <w:rPr>
          <w:rFonts w:hint="eastAsia" w:ascii="宋体" w:hAnsi="宋体" w:eastAsia="宋体" w:cs="宋体"/>
        </w:rPr>
        <w:t>索赔。</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6.2.4未经许可携带危化品进入作业现场的；作业结束后危化品处置不当，课以违约金500元/件。</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6.2.5未经</w:t>
      </w:r>
      <w:r>
        <w:rPr>
          <w:rFonts w:hint="eastAsia" w:ascii="宋体" w:hAnsi="宋体" w:eastAsia="宋体" w:cs="宋体"/>
          <w:lang w:eastAsia="zh-CN"/>
        </w:rPr>
        <w:t>招标人</w:t>
      </w:r>
      <w:r>
        <w:rPr>
          <w:rFonts w:hint="eastAsia" w:ascii="宋体" w:hAnsi="宋体" w:eastAsia="宋体" w:cs="宋体"/>
        </w:rPr>
        <w:t>同意，</w:t>
      </w:r>
      <w:r>
        <w:rPr>
          <w:rFonts w:hint="eastAsia" w:ascii="宋体" w:hAnsi="宋体" w:eastAsia="宋体" w:cs="宋体"/>
          <w:lang w:eastAsia="zh-CN"/>
        </w:rPr>
        <w:t>投标人</w:t>
      </w:r>
      <w:r>
        <w:rPr>
          <w:rFonts w:hint="eastAsia" w:ascii="宋体" w:hAnsi="宋体" w:eastAsia="宋体" w:cs="宋体"/>
        </w:rPr>
        <w:t>带与工作无关人员进入场段作业区域的，课以违约金1000元/次，因此造成其他经济损失由</w:t>
      </w:r>
      <w:r>
        <w:rPr>
          <w:rFonts w:hint="eastAsia" w:ascii="宋体" w:hAnsi="宋体" w:eastAsia="宋体" w:cs="宋体"/>
          <w:lang w:eastAsia="zh-CN"/>
        </w:rPr>
        <w:t>投标人</w:t>
      </w:r>
      <w:r>
        <w:rPr>
          <w:rFonts w:hint="eastAsia" w:ascii="宋体" w:hAnsi="宋体" w:eastAsia="宋体" w:cs="宋体"/>
        </w:rPr>
        <w:t>负责。</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6.2.6</w:t>
      </w:r>
      <w:r>
        <w:rPr>
          <w:rFonts w:hint="eastAsia" w:ascii="宋体" w:hAnsi="宋体" w:eastAsia="宋体" w:cs="宋体"/>
          <w:lang w:eastAsia="zh-CN"/>
        </w:rPr>
        <w:t>投标人</w:t>
      </w:r>
      <w:r>
        <w:rPr>
          <w:rFonts w:hint="eastAsia" w:ascii="宋体" w:hAnsi="宋体" w:eastAsia="宋体" w:cs="宋体"/>
        </w:rPr>
        <w:t>逾期完成施工的，每逾期一天，</w:t>
      </w:r>
      <w:r>
        <w:rPr>
          <w:rFonts w:hint="eastAsia" w:ascii="宋体" w:hAnsi="宋体" w:eastAsia="宋体" w:cs="宋体"/>
          <w:lang w:eastAsia="zh-CN"/>
        </w:rPr>
        <w:t>投标人</w:t>
      </w:r>
      <w:r>
        <w:rPr>
          <w:rFonts w:hint="eastAsia" w:ascii="宋体" w:hAnsi="宋体" w:eastAsia="宋体" w:cs="宋体"/>
        </w:rPr>
        <w:t>向</w:t>
      </w:r>
      <w:r>
        <w:rPr>
          <w:rFonts w:hint="eastAsia" w:ascii="宋体" w:hAnsi="宋体" w:eastAsia="宋体" w:cs="宋体"/>
          <w:lang w:eastAsia="zh-CN"/>
        </w:rPr>
        <w:t>招标人</w:t>
      </w:r>
      <w:r>
        <w:rPr>
          <w:rFonts w:hint="eastAsia" w:ascii="宋体" w:hAnsi="宋体" w:eastAsia="宋体" w:cs="宋体"/>
        </w:rPr>
        <w:t>支付合同价款的0.5%的违约金，逾期一个月的，</w:t>
      </w:r>
      <w:r>
        <w:rPr>
          <w:rFonts w:hint="eastAsia" w:ascii="宋体" w:hAnsi="宋体" w:eastAsia="宋体" w:cs="宋体"/>
          <w:lang w:eastAsia="zh-CN"/>
        </w:rPr>
        <w:t>招标人</w:t>
      </w:r>
      <w:r>
        <w:rPr>
          <w:rFonts w:hint="eastAsia" w:ascii="宋体" w:hAnsi="宋体" w:eastAsia="宋体" w:cs="宋体"/>
        </w:rPr>
        <w:t>有权解除合同。</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6.2.7因</w:t>
      </w:r>
      <w:r>
        <w:rPr>
          <w:rFonts w:hint="eastAsia" w:ascii="宋体" w:hAnsi="宋体" w:eastAsia="宋体" w:cs="宋体"/>
          <w:lang w:eastAsia="zh-CN"/>
        </w:rPr>
        <w:t>投标人</w:t>
      </w:r>
      <w:r>
        <w:rPr>
          <w:rFonts w:hint="eastAsia" w:ascii="宋体" w:hAnsi="宋体" w:eastAsia="宋体" w:cs="宋体"/>
        </w:rPr>
        <w:t>原因造成一般事件C类及以上的，课以</w:t>
      </w:r>
      <w:r>
        <w:rPr>
          <w:rFonts w:hint="eastAsia" w:ascii="宋体" w:hAnsi="宋体" w:eastAsia="宋体" w:cs="宋体"/>
          <w:lang w:eastAsia="zh-CN"/>
        </w:rPr>
        <w:t>招标人</w:t>
      </w:r>
      <w:r>
        <w:rPr>
          <w:rFonts w:hint="eastAsia" w:ascii="宋体" w:hAnsi="宋体" w:eastAsia="宋体" w:cs="宋体"/>
        </w:rPr>
        <w:t>受考核的金额或者合同总价款的5%作为违约金，以两者考核金额大的进行考核；且</w:t>
      </w:r>
      <w:r>
        <w:rPr>
          <w:rFonts w:hint="eastAsia" w:ascii="宋体" w:hAnsi="宋体" w:eastAsia="宋体" w:cs="宋体"/>
          <w:lang w:eastAsia="zh-CN"/>
        </w:rPr>
        <w:t>招标人</w:t>
      </w:r>
      <w:r>
        <w:rPr>
          <w:rFonts w:hint="eastAsia" w:ascii="宋体" w:hAnsi="宋体" w:eastAsia="宋体" w:cs="宋体"/>
        </w:rPr>
        <w:t>有权根据影响程度追加考核，因此造成的其他损失</w:t>
      </w:r>
      <w:r>
        <w:rPr>
          <w:rFonts w:hint="eastAsia" w:ascii="宋体" w:hAnsi="宋体" w:eastAsia="宋体" w:cs="宋体"/>
          <w:lang w:eastAsia="zh-CN"/>
        </w:rPr>
        <w:t>招标人</w:t>
      </w:r>
      <w:r>
        <w:rPr>
          <w:rFonts w:hint="eastAsia" w:ascii="宋体" w:hAnsi="宋体" w:eastAsia="宋体" w:cs="宋体"/>
        </w:rPr>
        <w:t>有权向</w:t>
      </w:r>
      <w:r>
        <w:rPr>
          <w:rFonts w:hint="eastAsia" w:ascii="宋体" w:hAnsi="宋体" w:eastAsia="宋体" w:cs="宋体"/>
          <w:lang w:eastAsia="zh-CN"/>
        </w:rPr>
        <w:t>投标人</w:t>
      </w:r>
      <w:r>
        <w:rPr>
          <w:rFonts w:hint="eastAsia" w:ascii="宋体" w:hAnsi="宋体" w:eastAsia="宋体" w:cs="宋体"/>
        </w:rPr>
        <w:t>索赔。因</w:t>
      </w:r>
      <w:r>
        <w:rPr>
          <w:rFonts w:hint="eastAsia" w:ascii="宋体" w:hAnsi="宋体" w:eastAsia="宋体" w:cs="宋体"/>
          <w:lang w:eastAsia="zh-CN"/>
        </w:rPr>
        <w:t>投标人</w:t>
      </w:r>
      <w:r>
        <w:rPr>
          <w:rFonts w:hint="eastAsia" w:ascii="宋体" w:hAnsi="宋体" w:eastAsia="宋体" w:cs="宋体"/>
        </w:rPr>
        <w:t>原因造成一般事件C类以上事件的，</w:t>
      </w:r>
      <w:r>
        <w:rPr>
          <w:rFonts w:hint="eastAsia" w:ascii="宋体" w:hAnsi="宋体" w:eastAsia="宋体" w:cs="宋体"/>
          <w:lang w:eastAsia="zh-CN"/>
        </w:rPr>
        <w:t>招标人</w:t>
      </w:r>
      <w:r>
        <w:rPr>
          <w:rFonts w:hint="eastAsia" w:ascii="宋体" w:hAnsi="宋体" w:eastAsia="宋体" w:cs="宋体"/>
        </w:rPr>
        <w:t>有权终止合同。</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6.2.8因</w:t>
      </w:r>
      <w:r>
        <w:rPr>
          <w:rFonts w:hint="eastAsia" w:ascii="宋体" w:hAnsi="宋体" w:eastAsia="宋体" w:cs="宋体"/>
          <w:lang w:eastAsia="zh-CN"/>
        </w:rPr>
        <w:t>投标人</w:t>
      </w:r>
      <w:r>
        <w:rPr>
          <w:rFonts w:hint="eastAsia" w:ascii="宋体" w:hAnsi="宋体" w:eastAsia="宋体" w:cs="宋体"/>
        </w:rPr>
        <w:t>原因造成</w:t>
      </w:r>
      <w:r>
        <w:rPr>
          <w:rFonts w:hint="eastAsia" w:ascii="宋体" w:hAnsi="宋体" w:eastAsia="宋体" w:cs="宋体"/>
          <w:lang w:eastAsia="zh-CN"/>
        </w:rPr>
        <w:t>招标人</w:t>
      </w:r>
      <w:r>
        <w:rPr>
          <w:rFonts w:hint="eastAsia" w:ascii="宋体" w:hAnsi="宋体" w:eastAsia="宋体" w:cs="宋体"/>
        </w:rPr>
        <w:t>、第三方财产或人身损害的，</w:t>
      </w:r>
      <w:r>
        <w:rPr>
          <w:rFonts w:hint="eastAsia" w:ascii="宋体" w:hAnsi="宋体" w:eastAsia="宋体" w:cs="宋体"/>
          <w:lang w:eastAsia="zh-CN"/>
        </w:rPr>
        <w:t>投标人</w:t>
      </w:r>
      <w:r>
        <w:rPr>
          <w:rFonts w:hint="eastAsia" w:ascii="宋体" w:hAnsi="宋体" w:eastAsia="宋体" w:cs="宋体"/>
        </w:rPr>
        <w:t>除负责赔偿责任外，尚需向</w:t>
      </w:r>
      <w:r>
        <w:rPr>
          <w:rFonts w:hint="eastAsia" w:ascii="宋体" w:hAnsi="宋体" w:eastAsia="宋体" w:cs="宋体"/>
          <w:lang w:eastAsia="zh-CN"/>
        </w:rPr>
        <w:t>招标人</w:t>
      </w:r>
      <w:r>
        <w:rPr>
          <w:rFonts w:hint="eastAsia" w:ascii="宋体" w:hAnsi="宋体" w:eastAsia="宋体" w:cs="宋体"/>
        </w:rPr>
        <w:t>赔付由</w:t>
      </w:r>
      <w:r>
        <w:rPr>
          <w:rFonts w:hint="eastAsia" w:ascii="宋体" w:hAnsi="宋体" w:eastAsia="宋体" w:cs="宋体"/>
          <w:lang w:eastAsia="zh-CN"/>
        </w:rPr>
        <w:t>招标人</w:t>
      </w:r>
      <w:r>
        <w:rPr>
          <w:rFonts w:hint="eastAsia" w:ascii="宋体" w:hAnsi="宋体" w:eastAsia="宋体" w:cs="宋体"/>
        </w:rPr>
        <w:t>依据安全事故的性质，设备受损的程度以及</w:t>
      </w:r>
      <w:r>
        <w:rPr>
          <w:rFonts w:hint="eastAsia" w:ascii="宋体" w:hAnsi="宋体" w:eastAsia="宋体" w:cs="宋体"/>
          <w:lang w:eastAsia="zh-CN"/>
        </w:rPr>
        <w:t>招标人</w:t>
      </w:r>
      <w:r>
        <w:rPr>
          <w:rFonts w:hint="eastAsia" w:ascii="宋体" w:hAnsi="宋体" w:eastAsia="宋体" w:cs="宋体"/>
        </w:rPr>
        <w:t>的名誉、形象受损的范围和程度等确定的费用，并承担</w:t>
      </w:r>
      <w:r>
        <w:rPr>
          <w:rFonts w:hint="eastAsia" w:ascii="宋体" w:hAnsi="宋体" w:eastAsia="宋体" w:cs="宋体"/>
          <w:lang w:eastAsia="zh-CN"/>
        </w:rPr>
        <w:t>招标人</w:t>
      </w:r>
      <w:r>
        <w:rPr>
          <w:rFonts w:hint="eastAsia" w:ascii="宋体" w:hAnsi="宋体" w:eastAsia="宋体" w:cs="宋体"/>
        </w:rPr>
        <w:t>因该事件发生的诉讼费、律师费等一切费用。</w:t>
      </w:r>
    </w:p>
    <w:p>
      <w:pPr>
        <w:pageBreakBefore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6.2.9</w:t>
      </w:r>
      <w:r>
        <w:rPr>
          <w:rFonts w:hint="eastAsia" w:ascii="宋体" w:hAnsi="宋体" w:eastAsia="宋体" w:cs="宋体"/>
          <w:lang w:eastAsia="zh-CN"/>
        </w:rPr>
        <w:t>投标人</w:t>
      </w:r>
      <w:r>
        <w:rPr>
          <w:rFonts w:hint="eastAsia" w:ascii="宋体" w:hAnsi="宋体" w:eastAsia="宋体" w:cs="宋体"/>
        </w:rPr>
        <w:t>在施工作业时未按要求穿戴劳保用品（荧光衣、劳保鞋、安全帽等）或使用过期的劳保用品，课以违约金800元/次。</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0"/>
        <w:rPr>
          <w:rFonts w:hint="eastAsia" w:ascii="黑体" w:hAnsi="黑体" w:eastAsia="黑体" w:cs="黑体"/>
          <w:b/>
          <w:bCs/>
          <w:kern w:val="44"/>
          <w:sz w:val="24"/>
          <w:szCs w:val="24"/>
          <w:lang w:val="en-US" w:eastAsia="zh-CN" w:bidi="ar-SA"/>
        </w:rPr>
      </w:pPr>
      <w:bookmarkStart w:id="1308" w:name="_Toc29663"/>
      <w:bookmarkStart w:id="1309" w:name="_Toc16464"/>
      <w:bookmarkStart w:id="1310" w:name="_Toc79434391"/>
      <w:bookmarkStart w:id="1311" w:name="_Toc5432"/>
      <w:bookmarkStart w:id="1312" w:name="_Toc60213010"/>
      <w:bookmarkStart w:id="1313" w:name="_Toc2420"/>
      <w:bookmarkStart w:id="1314" w:name="_Toc12347"/>
      <w:bookmarkStart w:id="1315" w:name="_Toc171"/>
      <w:bookmarkStart w:id="1316" w:name="_Toc8344"/>
      <w:bookmarkStart w:id="1317" w:name="_Toc28151"/>
      <w:bookmarkStart w:id="1318" w:name="_Toc15920"/>
      <w:bookmarkStart w:id="1319" w:name="_Toc12668"/>
      <w:bookmarkStart w:id="1320" w:name="_Toc24555"/>
      <w:bookmarkStart w:id="1321" w:name="_Toc24127"/>
      <w:bookmarkStart w:id="1322" w:name="_Toc14052"/>
      <w:bookmarkStart w:id="1323" w:name="_Toc21691"/>
      <w:bookmarkStart w:id="1324" w:name="_Toc4932"/>
      <w:bookmarkStart w:id="1325" w:name="_Toc13207"/>
      <w:bookmarkStart w:id="1326" w:name="_Toc26740"/>
      <w:bookmarkStart w:id="1327" w:name="_Toc27417"/>
      <w:bookmarkStart w:id="1328" w:name="_Toc5478"/>
      <w:bookmarkStart w:id="1329" w:name="_Toc15698"/>
      <w:bookmarkStart w:id="1330" w:name="_Toc25196"/>
      <w:r>
        <w:rPr>
          <w:rFonts w:hint="eastAsia" w:ascii="黑体" w:hAnsi="黑体" w:eastAsia="黑体" w:cs="黑体"/>
          <w:b/>
          <w:bCs/>
          <w:kern w:val="44"/>
          <w:sz w:val="24"/>
          <w:szCs w:val="24"/>
          <w:lang w:val="en-US" w:eastAsia="zh-CN" w:bidi="ar-SA"/>
        </w:rPr>
        <w:t>7验收要求</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331" w:name="_Toc7821"/>
      <w:bookmarkStart w:id="1332" w:name="_Toc27185"/>
      <w:bookmarkStart w:id="1333" w:name="_Toc79434392"/>
      <w:bookmarkStart w:id="1334" w:name="_Toc12616"/>
      <w:bookmarkStart w:id="1335" w:name="_Toc21456"/>
      <w:bookmarkStart w:id="1336" w:name="_Toc31701"/>
      <w:bookmarkStart w:id="1337" w:name="_Toc18109"/>
      <w:bookmarkStart w:id="1338" w:name="_Toc5570"/>
      <w:bookmarkStart w:id="1339" w:name="_Toc30321"/>
      <w:bookmarkStart w:id="1340" w:name="_Toc24852"/>
      <w:bookmarkStart w:id="1341" w:name="_Toc17576"/>
      <w:bookmarkStart w:id="1342" w:name="_Toc8765"/>
      <w:r>
        <w:rPr>
          <w:rFonts w:hint="eastAsia" w:ascii="宋体" w:hAnsi="宋体" w:eastAsia="宋体" w:cs="宋体"/>
          <w:b/>
          <w:bCs/>
          <w:kern w:val="44"/>
          <w:sz w:val="21"/>
          <w:szCs w:val="21"/>
          <w:lang w:val="en-US" w:eastAsia="zh-CN" w:bidi="ar-SA"/>
        </w:rPr>
        <w:t>7.1总体要求</w:t>
      </w:r>
      <w:bookmarkEnd w:id="1331"/>
      <w:bookmarkEnd w:id="1332"/>
      <w:bookmarkEnd w:id="1333"/>
      <w:bookmarkEnd w:id="1334"/>
      <w:bookmarkEnd w:id="1335"/>
      <w:bookmarkEnd w:id="1336"/>
      <w:bookmarkEnd w:id="1337"/>
      <w:bookmarkEnd w:id="1338"/>
      <w:bookmarkEnd w:id="1339"/>
      <w:bookmarkEnd w:id="1340"/>
      <w:bookmarkEnd w:id="1341"/>
      <w:bookmarkEnd w:id="1342"/>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7</w:t>
      </w:r>
      <w:r>
        <w:rPr>
          <w:rFonts w:ascii="宋体" w:hAnsi="宋体" w:eastAsia="宋体" w:cs="宋体"/>
          <w:color w:val="000000"/>
        </w:rPr>
        <w:t>.1.1</w:t>
      </w:r>
      <w:r>
        <w:rPr>
          <w:rFonts w:hint="eastAsia" w:ascii="宋体" w:hAnsi="宋体" w:eastAsia="宋体" w:cs="宋体"/>
          <w:color w:val="000000"/>
        </w:rPr>
        <w:t>施工过程中必须保证建筑物的结构安全和主要使用功能。当涉及主体和承重结构改动或增加荷载时，必须由原结构设计单位或具备相应资质的设计单位核查有关原始资料，对既有建筑物结构的安全性进行核验、确认</w:t>
      </w:r>
      <w:r>
        <w:rPr>
          <w:rFonts w:ascii="宋体" w:hAnsi="宋体" w:eastAsia="宋体" w:cs="宋体"/>
          <w:color w:val="000000"/>
        </w:rPr>
        <w:t>。</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7</w:t>
      </w:r>
      <w:r>
        <w:rPr>
          <w:rFonts w:ascii="宋体" w:hAnsi="宋体" w:eastAsia="宋体" w:cs="宋体"/>
          <w:color w:val="000000"/>
        </w:rPr>
        <w:t xml:space="preserve">.1.2 </w:t>
      </w:r>
      <w:r>
        <w:rPr>
          <w:rFonts w:hint="eastAsia" w:ascii="宋体" w:hAnsi="宋体" w:eastAsia="宋体" w:cs="宋体"/>
        </w:rPr>
        <w:t>施工</w:t>
      </w:r>
      <w:r>
        <w:rPr>
          <w:rFonts w:ascii="宋体" w:hAnsi="宋体" w:eastAsia="宋体" w:cs="宋体"/>
        </w:rPr>
        <w:t>所使用材料的规格型号、施工工艺及成品质量等均应不低于设计要求和国家现行有关标准的规定</w:t>
      </w:r>
      <w:r>
        <w:rPr>
          <w:rFonts w:ascii="宋体" w:hAnsi="宋体" w:eastAsia="宋体" w:cs="宋体"/>
          <w:color w:val="000000"/>
        </w:rPr>
        <w:t>。</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7</w:t>
      </w:r>
      <w:r>
        <w:rPr>
          <w:rFonts w:ascii="宋体" w:hAnsi="宋体" w:eastAsia="宋体" w:cs="宋体"/>
          <w:color w:val="000000"/>
        </w:rPr>
        <w:t xml:space="preserve">.1.3 </w:t>
      </w:r>
      <w:r>
        <w:rPr>
          <w:rFonts w:hint="eastAsia" w:ascii="宋体" w:hAnsi="宋体" w:eastAsia="宋体" w:cs="宋体"/>
        </w:rPr>
        <w:t>充电桩</w:t>
      </w:r>
      <w:r>
        <w:rPr>
          <w:rFonts w:ascii="宋体" w:hAnsi="宋体" w:eastAsia="宋体" w:cs="宋体"/>
        </w:rPr>
        <w:t>所使用的材料均须满足</w:t>
      </w:r>
      <w:r>
        <w:rPr>
          <w:rFonts w:hint="eastAsia" w:ascii="宋体" w:hAnsi="宋体" w:eastAsia="宋体" w:cs="宋体"/>
        </w:rPr>
        <w:t>设备所需功率、</w:t>
      </w:r>
      <w:r>
        <w:rPr>
          <w:rFonts w:ascii="宋体" w:hAnsi="宋体" w:eastAsia="宋体" w:cs="宋体"/>
        </w:rPr>
        <w:t>防火、防潮、防蚀、耐久、无毒、等要求，其放射性指标均应满足设计要求和国家现行有关标准的规定，便于施工、维修及清洁</w:t>
      </w:r>
      <w:r>
        <w:rPr>
          <w:rFonts w:ascii="宋体" w:hAnsi="宋体" w:eastAsia="宋体" w:cs="宋体"/>
          <w:color w:val="000000"/>
        </w:rPr>
        <w:t>。</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宋体"/>
          <w:color w:val="000000"/>
        </w:rPr>
        <w:t>7</w:t>
      </w:r>
      <w:r>
        <w:rPr>
          <w:rFonts w:ascii="宋体" w:hAnsi="宋体" w:eastAsia="宋体" w:cs="宋体"/>
          <w:color w:val="000000"/>
        </w:rPr>
        <w:t xml:space="preserve">.1.4 </w:t>
      </w:r>
      <w:r>
        <w:rPr>
          <w:rFonts w:ascii="宋体" w:hAnsi="宋体" w:eastAsia="宋体" w:cs="宋体"/>
        </w:rPr>
        <w:t>所有表面</w:t>
      </w:r>
      <w:r>
        <w:rPr>
          <w:rFonts w:hint="eastAsia" w:ascii="宋体" w:hAnsi="宋体" w:eastAsia="宋体" w:cs="宋体"/>
        </w:rPr>
        <w:t>施工</w:t>
      </w:r>
      <w:r>
        <w:rPr>
          <w:rFonts w:ascii="宋体" w:hAnsi="宋体" w:eastAsia="宋体" w:cs="宋体"/>
        </w:rPr>
        <w:t>材料竣工后均应横平竖直、表面平整、色彩均匀，同类材料色彩不得出现色差，表面不得出现污渍、坑洼等缺陷</w:t>
      </w:r>
      <w:r>
        <w:rPr>
          <w:rFonts w:ascii="宋体" w:hAnsi="宋体" w:eastAsia="宋体" w:cs="宋体"/>
          <w:color w:val="000000"/>
        </w:rPr>
        <w:t>。</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rPr>
      </w:pPr>
      <w:r>
        <w:rPr>
          <w:rFonts w:hint="eastAsia" w:ascii="宋体" w:hAnsi="宋体" w:eastAsia="宋体" w:cs="宋体"/>
          <w:color w:val="000000"/>
        </w:rPr>
        <w:t>7</w:t>
      </w:r>
      <w:r>
        <w:rPr>
          <w:rFonts w:ascii="宋体" w:hAnsi="宋体" w:eastAsia="宋体" w:cs="宋体"/>
          <w:color w:val="000000"/>
        </w:rPr>
        <w:t>.1.5</w:t>
      </w:r>
      <w:r>
        <w:rPr>
          <w:rFonts w:ascii="宋体" w:hAnsi="宋体" w:eastAsia="宋体" w:cs="宋体"/>
        </w:rPr>
        <w:t>养护维修验收应在</w:t>
      </w:r>
      <w:r>
        <w:rPr>
          <w:rFonts w:hint="eastAsia" w:ascii="宋体" w:hAnsi="宋体" w:eastAsia="宋体" w:cs="宋体"/>
          <w:lang w:eastAsia="zh-CN"/>
        </w:rPr>
        <w:t>投标人</w:t>
      </w:r>
      <w:r>
        <w:rPr>
          <w:rFonts w:ascii="宋体" w:hAnsi="宋体" w:eastAsia="宋体" w:cs="宋体"/>
        </w:rPr>
        <w:t>自检合格的基础上进行。</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7.1.6充电站、充电桩设施验收必须执行国家、行业及公司有关法律、法规、技术标准，符合电力建设施工、验收及质量验评标准、规范的有关要求，确保充电站、充电桩投运后安全、可靠。</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7.1.7验收前，相关单位应完成工作并递交申请文件，满足如下验收条件，方可进入验收流程：</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420" w:leftChars="200" w:right="0" w:firstLine="0"/>
        <w:rPr>
          <w:rFonts w:ascii="宋体" w:hAnsi="宋体" w:eastAsia="宋体" w:cs="Times New Roman"/>
          <w:kern w:val="2"/>
          <w:szCs w:val="24"/>
        </w:rPr>
      </w:pPr>
      <w:r>
        <w:rPr>
          <w:rFonts w:hint="eastAsia" w:ascii="宋体" w:hAnsi="宋体" w:eastAsia="宋体" w:cs="Times New Roman"/>
          <w:kern w:val="2"/>
          <w:szCs w:val="24"/>
        </w:rPr>
        <w:t>（1）制造单位已向建设单位提供产品说明书、试验记录、合格证件以及装配图等技术文件。</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420" w:leftChars="200" w:right="0" w:firstLine="0"/>
        <w:rPr>
          <w:rFonts w:ascii="宋体" w:hAnsi="宋体" w:eastAsia="宋体" w:cs="Times New Roman"/>
          <w:kern w:val="2"/>
          <w:szCs w:val="24"/>
        </w:rPr>
      </w:pPr>
      <w:r>
        <w:rPr>
          <w:rFonts w:hint="eastAsia" w:ascii="宋体" w:hAnsi="宋体" w:eastAsia="宋体" w:cs="Times New Roman"/>
          <w:kern w:val="2"/>
          <w:szCs w:val="24"/>
        </w:rPr>
        <w:t>（2）制造单位已向建设单位提交设备工厂验收报告。</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420" w:leftChars="200" w:right="0" w:firstLine="0"/>
        <w:rPr>
          <w:rFonts w:ascii="宋体" w:hAnsi="宋体" w:eastAsia="宋体" w:cs="Times New Roman"/>
          <w:kern w:val="2"/>
          <w:szCs w:val="24"/>
        </w:rPr>
      </w:pPr>
      <w:r>
        <w:rPr>
          <w:rFonts w:hint="eastAsia" w:ascii="宋体" w:hAnsi="宋体" w:eastAsia="宋体" w:cs="Times New Roman"/>
          <w:kern w:val="2"/>
          <w:szCs w:val="24"/>
        </w:rPr>
        <w:t>（3）施工单位完成充电桩全部设施、安键环设施的现场安装工作及调试传动试验工作，完成“三检”工作，并已向建设单位提交安装记录、安装调试报告及其他验收所要求的工程资料。</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420" w:leftChars="200" w:right="0" w:firstLine="0"/>
        <w:rPr>
          <w:rFonts w:ascii="宋体" w:hAnsi="宋体" w:eastAsia="宋体" w:cs="Times New Roman"/>
          <w:kern w:val="2"/>
          <w:szCs w:val="24"/>
        </w:rPr>
      </w:pPr>
      <w:r>
        <w:rPr>
          <w:rFonts w:hint="eastAsia" w:ascii="宋体" w:hAnsi="宋体" w:eastAsia="宋体" w:cs="Times New Roman"/>
          <w:kern w:val="2"/>
          <w:szCs w:val="24"/>
        </w:rPr>
        <w:t>（4）施工单位向建设单位提交验收申请报告。</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7.1.8验收条件具备后，建设单位应按附件2所示进入验收流程。</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7.1.9在验收过程中，验收工作组应按照验收大纲和验收流程进行该阶段的验收工作，并在验收测试工作结束后完成验收报告的编制、上报和审批工作。</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宋体"/>
          <w:color w:val="000000"/>
        </w:rPr>
      </w:pPr>
      <w:r>
        <w:rPr>
          <w:rFonts w:hint="eastAsia" w:ascii="宋体" w:hAnsi="宋体" w:eastAsia="宋体" w:cs="Times New Roman"/>
          <w:kern w:val="2"/>
          <w:szCs w:val="24"/>
        </w:rPr>
        <w:t>7.1.10验收完成后，验收工作组对发现的问题应发出整改通知书，提出限期整改意见，并对整改情况进行跟踪和反馈，根据需要再次组织验收，直至整改合格。</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343" w:name="_Toc8329"/>
      <w:bookmarkStart w:id="1344" w:name="_Toc16109"/>
      <w:bookmarkStart w:id="1345" w:name="_Toc23949"/>
      <w:bookmarkStart w:id="1346" w:name="_Toc79434393"/>
      <w:bookmarkStart w:id="1347" w:name="_Toc7738"/>
      <w:bookmarkStart w:id="1348" w:name="_Toc31380"/>
      <w:bookmarkStart w:id="1349" w:name="_Toc27256"/>
      <w:bookmarkStart w:id="1350" w:name="_Toc16623"/>
      <w:bookmarkStart w:id="1351" w:name="_Toc12599"/>
      <w:bookmarkStart w:id="1352" w:name="_Toc9993"/>
      <w:bookmarkStart w:id="1353" w:name="_Toc17749"/>
      <w:bookmarkStart w:id="1354" w:name="_Toc28096"/>
      <w:bookmarkStart w:id="1355" w:name="_Toc12444"/>
      <w:bookmarkStart w:id="1356" w:name="_Toc4058"/>
      <w:bookmarkStart w:id="1357" w:name="_Toc60213013"/>
      <w:bookmarkStart w:id="1358" w:name="_Toc2074"/>
      <w:r>
        <w:rPr>
          <w:rFonts w:hint="eastAsia" w:ascii="宋体" w:hAnsi="宋体" w:eastAsia="宋体" w:cs="宋体"/>
          <w:b/>
          <w:bCs/>
          <w:kern w:val="44"/>
          <w:sz w:val="21"/>
          <w:szCs w:val="21"/>
          <w:lang w:val="en-US" w:eastAsia="zh-CN" w:bidi="ar-SA"/>
        </w:rPr>
        <w:t>7.2充电站验收</w:t>
      </w:r>
      <w:bookmarkEnd w:id="1343"/>
      <w:bookmarkEnd w:id="1344"/>
      <w:bookmarkEnd w:id="1345"/>
      <w:bookmarkEnd w:id="1346"/>
      <w:bookmarkEnd w:id="1347"/>
      <w:bookmarkEnd w:id="1348"/>
      <w:bookmarkEnd w:id="1349"/>
      <w:bookmarkEnd w:id="1350"/>
      <w:bookmarkEnd w:id="1351"/>
      <w:bookmarkEnd w:id="1352"/>
      <w:bookmarkEnd w:id="1353"/>
      <w:bookmarkEnd w:id="1354"/>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outlineLvl w:val="2"/>
        <w:rPr>
          <w:rFonts w:ascii="宋体" w:hAnsi="宋体" w:eastAsia="宋体" w:cs="Times New Roman"/>
          <w:kern w:val="2"/>
          <w:szCs w:val="24"/>
        </w:rPr>
      </w:pPr>
      <w:bookmarkStart w:id="1359" w:name="_Toc79434394"/>
      <w:r>
        <w:rPr>
          <w:rFonts w:hint="eastAsia" w:ascii="宋体" w:hAnsi="宋体" w:eastAsia="宋体" w:cs="Times New Roman"/>
          <w:kern w:val="2"/>
          <w:szCs w:val="24"/>
        </w:rPr>
        <w:t>7.2.1验收内容及要求</w:t>
      </w:r>
      <w:bookmarkEnd w:id="1355"/>
      <w:bookmarkEnd w:id="1356"/>
      <w:r>
        <w:rPr>
          <w:rFonts w:hint="eastAsia" w:ascii="宋体" w:hAnsi="宋体" w:eastAsia="宋体" w:cs="Times New Roman"/>
          <w:kern w:val="2"/>
          <w:szCs w:val="24"/>
        </w:rPr>
        <w:t>和充电桩验收</w:t>
      </w:r>
      <w:bookmarkEnd w:id="1359"/>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Times New Roman"/>
          <w:kern w:val="2"/>
          <w:szCs w:val="24"/>
        </w:rPr>
      </w:pPr>
      <w:r>
        <w:rPr>
          <w:rFonts w:hint="eastAsia" w:ascii="宋体" w:hAnsi="宋体" w:eastAsia="宋体" w:cs="Times New Roman"/>
          <w:kern w:val="2"/>
          <w:szCs w:val="24"/>
        </w:rPr>
        <w:t>具体试验方法与要求参见附件2。</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outlineLvl w:val="2"/>
        <w:rPr>
          <w:rFonts w:ascii="宋体" w:hAnsi="宋体" w:eastAsia="宋体" w:cs="Times New Roman"/>
          <w:kern w:val="2"/>
          <w:szCs w:val="24"/>
        </w:rPr>
      </w:pPr>
      <w:bookmarkStart w:id="1360" w:name="_Toc79434395"/>
      <w:r>
        <w:rPr>
          <w:rFonts w:hint="eastAsia" w:ascii="宋体" w:hAnsi="宋体" w:eastAsia="宋体" w:cs="Times New Roman"/>
          <w:kern w:val="2"/>
          <w:szCs w:val="24"/>
        </w:rPr>
        <w:t>7.2.2供配电设施验收</w:t>
      </w:r>
      <w:bookmarkEnd w:id="1360"/>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Times New Roman"/>
          <w:kern w:val="2"/>
          <w:szCs w:val="24"/>
        </w:rPr>
      </w:pPr>
      <w:r>
        <w:rPr>
          <w:rFonts w:hint="eastAsia" w:ascii="宋体" w:hAnsi="宋体" w:eastAsia="宋体" w:cs="Times New Roman"/>
          <w:kern w:val="2"/>
          <w:szCs w:val="24"/>
        </w:rPr>
        <w:t>本部分所有试验应符合《电气装置安装工程电气设备交接试验标准》（GB50150-2006）。供配电设施验收由以下部分组成：</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textAlignment w:val="baseline"/>
        <w:outlineLvl w:val="3"/>
        <w:rPr>
          <w:rFonts w:ascii="宋体" w:hAnsi="宋体" w:eastAsia="宋体" w:cs="Times New Roman"/>
          <w:kern w:val="2"/>
          <w:szCs w:val="24"/>
        </w:rPr>
      </w:pPr>
      <w:r>
        <w:rPr>
          <w:rFonts w:hint="eastAsia" w:ascii="宋体" w:hAnsi="宋体" w:eastAsia="宋体" w:cs="Times New Roman"/>
          <w:kern w:val="2"/>
          <w:szCs w:val="24"/>
        </w:rPr>
        <w:t>（1）电缆应符合《电气装置安装工程电缆线路施工及验收规范》（GB50168-2006）。</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textAlignment w:val="baseline"/>
        <w:outlineLvl w:val="3"/>
        <w:rPr>
          <w:rFonts w:ascii="宋体" w:hAnsi="宋体" w:eastAsia="宋体" w:cs="Times New Roman"/>
          <w:kern w:val="2"/>
          <w:szCs w:val="24"/>
        </w:rPr>
      </w:pPr>
      <w:r>
        <w:rPr>
          <w:rFonts w:hint="eastAsia" w:ascii="宋体" w:hAnsi="宋体" w:eastAsia="宋体" w:cs="Times New Roman"/>
          <w:kern w:val="2"/>
          <w:szCs w:val="24"/>
        </w:rPr>
        <w:t>（2）变压器应符合《电气装置安装工程电力变压器、油浸电抗器、互感器施工及验收规范》（GBJ148）。</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textAlignment w:val="baseline"/>
        <w:outlineLvl w:val="3"/>
        <w:rPr>
          <w:rFonts w:ascii="宋体" w:hAnsi="宋体" w:eastAsia="宋体" w:cs="Times New Roman"/>
          <w:kern w:val="2"/>
          <w:szCs w:val="24"/>
        </w:rPr>
      </w:pPr>
      <w:r>
        <w:rPr>
          <w:rFonts w:hint="eastAsia" w:ascii="宋体" w:hAnsi="宋体" w:eastAsia="宋体" w:cs="Times New Roman"/>
          <w:kern w:val="2"/>
          <w:szCs w:val="24"/>
        </w:rPr>
        <w:t>（3）高压开关柜应符合《电气装置安装工程盘、柜及二次回路结线施工及验收规范》（GB50171）。</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textAlignment w:val="baseline"/>
        <w:outlineLvl w:val="3"/>
        <w:rPr>
          <w:rFonts w:ascii="宋体" w:hAnsi="宋体" w:eastAsia="宋体" w:cs="Times New Roman"/>
          <w:kern w:val="2"/>
          <w:szCs w:val="24"/>
        </w:rPr>
      </w:pPr>
      <w:r>
        <w:rPr>
          <w:rFonts w:hint="eastAsia" w:ascii="宋体" w:hAnsi="宋体" w:eastAsia="宋体" w:cs="Times New Roman"/>
          <w:kern w:val="2"/>
          <w:szCs w:val="24"/>
        </w:rPr>
        <w:t>（4）低压开关柜应符合《电气装置安装工程盘、柜及二次回路结线施工及验收规范》（GB50171）。</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textAlignment w:val="baseline"/>
        <w:outlineLvl w:val="3"/>
        <w:rPr>
          <w:rFonts w:ascii="宋体" w:hAnsi="宋体" w:eastAsia="宋体" w:cs="Times New Roman"/>
          <w:kern w:val="2"/>
          <w:szCs w:val="24"/>
        </w:rPr>
      </w:pPr>
      <w:r>
        <w:rPr>
          <w:rFonts w:hint="eastAsia" w:ascii="宋体" w:hAnsi="宋体" w:eastAsia="宋体" w:cs="Times New Roman"/>
          <w:kern w:val="2"/>
          <w:szCs w:val="24"/>
        </w:rPr>
        <w:t>（5）低压母线应符合《电气装置安装工程母线装置施工及验收规范》（GBJ149）。</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textAlignment w:val="baseline"/>
        <w:outlineLvl w:val="3"/>
        <w:rPr>
          <w:rFonts w:ascii="宋体" w:hAnsi="宋体" w:eastAsia="宋体" w:cs="Times New Roman"/>
          <w:kern w:val="2"/>
          <w:szCs w:val="24"/>
        </w:rPr>
      </w:pPr>
      <w:r>
        <w:rPr>
          <w:rFonts w:hint="eastAsia" w:ascii="宋体" w:hAnsi="宋体" w:eastAsia="宋体" w:cs="Times New Roman"/>
          <w:kern w:val="2"/>
          <w:szCs w:val="24"/>
        </w:rPr>
        <w:t>（6）开关柜及二次回路结线应符合《电气装置安装工程盘、柜及二次回路结线施工及验收规范》（GB50171）。</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textAlignment w:val="baseline"/>
        <w:outlineLvl w:val="3"/>
        <w:rPr>
          <w:rFonts w:ascii="宋体" w:hAnsi="宋体" w:eastAsia="宋体" w:cs="Times New Roman"/>
          <w:kern w:val="2"/>
          <w:szCs w:val="24"/>
        </w:rPr>
      </w:pPr>
      <w:r>
        <w:rPr>
          <w:rFonts w:hint="eastAsia" w:ascii="宋体" w:hAnsi="宋体" w:eastAsia="宋体" w:cs="Times New Roman"/>
          <w:kern w:val="2"/>
          <w:szCs w:val="24"/>
        </w:rPr>
        <w:t>（7）低压配线应符合《1kV及以下配线工程施工及验收规范》（GB 50258）。</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outlineLvl w:val="2"/>
        <w:rPr>
          <w:rFonts w:ascii="宋体" w:hAnsi="宋体" w:eastAsia="宋体" w:cs="Times New Roman"/>
          <w:kern w:val="2"/>
          <w:szCs w:val="24"/>
        </w:rPr>
      </w:pPr>
      <w:bookmarkStart w:id="1361" w:name="_Toc79434396"/>
      <w:r>
        <w:rPr>
          <w:rFonts w:hint="eastAsia" w:ascii="宋体" w:hAnsi="宋体" w:eastAsia="宋体" w:cs="Times New Roman"/>
          <w:kern w:val="2"/>
          <w:szCs w:val="24"/>
        </w:rPr>
        <w:t>7.2.3其它部分验收</w:t>
      </w:r>
      <w:bookmarkEnd w:id="1361"/>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textAlignment w:val="baseline"/>
        <w:outlineLvl w:val="3"/>
        <w:rPr>
          <w:rFonts w:ascii="宋体" w:hAnsi="宋体" w:eastAsia="宋体" w:cs="Times New Roman"/>
          <w:kern w:val="2"/>
          <w:szCs w:val="24"/>
        </w:rPr>
      </w:pPr>
      <w:r>
        <w:rPr>
          <w:rFonts w:hint="eastAsia" w:ascii="宋体" w:hAnsi="宋体" w:eastAsia="宋体" w:cs="Times New Roman"/>
          <w:kern w:val="2"/>
          <w:szCs w:val="24"/>
        </w:rPr>
        <w:t>7.2.3.1防雷接地装置应符合《电气装置安装工程 接地装置施工及验收规范》（GB50169）。</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textAlignment w:val="baseline"/>
        <w:outlineLvl w:val="3"/>
        <w:rPr>
          <w:rFonts w:ascii="宋体" w:hAnsi="宋体" w:eastAsia="宋体" w:cs="Times New Roman"/>
          <w:kern w:val="2"/>
          <w:szCs w:val="24"/>
        </w:rPr>
      </w:pPr>
      <w:r>
        <w:rPr>
          <w:rFonts w:hint="eastAsia" w:ascii="宋体" w:hAnsi="宋体" w:eastAsia="宋体" w:cs="Times New Roman"/>
          <w:kern w:val="2"/>
          <w:szCs w:val="24"/>
        </w:rPr>
        <w:t>7.2.3.2照明灯具及配线应符合《电气照明装置施工及验收规范》（GB 50259）。</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textAlignment w:val="baseline"/>
        <w:outlineLvl w:val="3"/>
        <w:rPr>
          <w:rFonts w:ascii="宋体" w:hAnsi="宋体" w:eastAsia="宋体" w:cs="Times New Roman"/>
          <w:kern w:val="2"/>
          <w:szCs w:val="24"/>
        </w:rPr>
      </w:pPr>
      <w:r>
        <w:rPr>
          <w:rFonts w:hint="eastAsia" w:ascii="宋体" w:hAnsi="宋体" w:eastAsia="宋体" w:cs="Times New Roman"/>
          <w:kern w:val="2"/>
          <w:szCs w:val="24"/>
        </w:rPr>
        <w:t>7.2.3.3土建工程应符合《建筑地面工程施工质量验收规范》（GB 50209—2002）、《建筑地基基础工程施工质量验收规范》（GB 50202—2002）、《混凝土结构工程施工质量验收规范》（GB 50204-2002）、《屋面工程质量验收规范》（GB（50207—2002）。当充电站内有装饰设计内容时，还应符合《建筑装饰装修工程施工质量验收规范》（GB 50210—2001）。</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textAlignment w:val="baseline"/>
        <w:outlineLvl w:val="3"/>
        <w:rPr>
          <w:rFonts w:ascii="宋体" w:hAnsi="宋体" w:eastAsia="宋体" w:cs="Times New Roman"/>
          <w:kern w:val="2"/>
          <w:szCs w:val="24"/>
        </w:rPr>
      </w:pPr>
      <w:r>
        <w:rPr>
          <w:rFonts w:hint="eastAsia" w:ascii="宋体" w:hAnsi="宋体" w:eastAsia="宋体" w:cs="Times New Roman"/>
          <w:kern w:val="2"/>
          <w:szCs w:val="24"/>
        </w:rPr>
        <w:t>7.2.3.4安键环设施应符合《变电站安键环设施标准》（Q/CSG 1 0001－2004）。</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outlineLvl w:val="2"/>
        <w:rPr>
          <w:rFonts w:ascii="宋体" w:hAnsi="宋体" w:eastAsia="宋体" w:cs="Times New Roman"/>
          <w:kern w:val="2"/>
          <w:szCs w:val="24"/>
        </w:rPr>
      </w:pPr>
      <w:bookmarkStart w:id="1362" w:name="_Toc79434397"/>
      <w:r>
        <w:rPr>
          <w:rFonts w:hint="eastAsia" w:ascii="宋体" w:hAnsi="宋体" w:eastAsia="宋体" w:cs="Times New Roman"/>
          <w:kern w:val="2"/>
          <w:szCs w:val="24"/>
        </w:rPr>
        <w:t>7.2.3.5系统整体性能验收</w:t>
      </w:r>
      <w:bookmarkEnd w:id="1362"/>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Times New Roman"/>
          <w:kern w:val="2"/>
          <w:szCs w:val="24"/>
        </w:rPr>
      </w:pPr>
      <w:r>
        <w:rPr>
          <w:rFonts w:hint="eastAsia" w:ascii="宋体" w:hAnsi="宋体" w:eastAsia="宋体" w:cs="Times New Roman"/>
          <w:kern w:val="2"/>
          <w:szCs w:val="24"/>
        </w:rPr>
        <w:t>具体试验方法与要求参见附件。</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Times New Roman"/>
          <w:kern w:val="2"/>
          <w:szCs w:val="24"/>
        </w:rPr>
      </w:pPr>
      <w:bookmarkStart w:id="1363" w:name="_Toc252062842"/>
      <w:bookmarkStart w:id="1364" w:name="_Toc15432"/>
      <w:bookmarkStart w:id="1365" w:name="_Toc31589"/>
      <w:bookmarkStart w:id="1366" w:name="_Toc18603"/>
      <w:r>
        <w:rPr>
          <w:rFonts w:hint="eastAsia" w:ascii="宋体" w:hAnsi="宋体" w:eastAsia="宋体" w:cs="Times New Roman"/>
          <w:kern w:val="2"/>
          <w:szCs w:val="24"/>
        </w:rPr>
        <w:t>7.2.4验收</w:t>
      </w:r>
      <w:bookmarkEnd w:id="1363"/>
      <w:bookmarkEnd w:id="1364"/>
      <w:r>
        <w:rPr>
          <w:rFonts w:hint="eastAsia" w:ascii="宋体" w:hAnsi="宋体" w:eastAsia="宋体" w:cs="Times New Roman"/>
          <w:kern w:val="2"/>
          <w:szCs w:val="24"/>
        </w:rPr>
        <w:t>合格标准</w:t>
      </w:r>
      <w:bookmarkEnd w:id="1365"/>
      <w:bookmarkEnd w:id="1366"/>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Times New Roman"/>
          <w:kern w:val="2"/>
          <w:szCs w:val="24"/>
        </w:rPr>
      </w:pPr>
      <w:r>
        <w:rPr>
          <w:rFonts w:hint="eastAsia" w:ascii="宋体" w:hAnsi="宋体" w:eastAsia="宋体" w:cs="Times New Roman"/>
          <w:kern w:val="2"/>
          <w:szCs w:val="24"/>
        </w:rPr>
        <w:t>满足以下要求时，可认为验收合格：</w:t>
      </w:r>
    </w:p>
    <w:p>
      <w:pPr>
        <w:pageBreakBefore w:val="0"/>
        <w:widowControl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jc w:val="left"/>
        <w:rPr>
          <w:rFonts w:ascii="宋体" w:hAnsi="宋体" w:eastAsia="宋体" w:cs="Times New Roman"/>
          <w:kern w:val="2"/>
          <w:szCs w:val="24"/>
        </w:rPr>
      </w:pPr>
      <w:r>
        <w:rPr>
          <w:rFonts w:hint="eastAsia" w:ascii="宋体" w:hAnsi="宋体" w:eastAsia="宋体" w:cs="Times New Roman"/>
          <w:kern w:val="2"/>
          <w:szCs w:val="24"/>
        </w:rPr>
        <w:t>（1）系统文件及资料齐全。</w:t>
      </w:r>
    </w:p>
    <w:p>
      <w:pPr>
        <w:pageBreakBefore w:val="0"/>
        <w:widowControl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jc w:val="left"/>
        <w:rPr>
          <w:rFonts w:ascii="宋体" w:hAnsi="宋体" w:eastAsia="宋体" w:cs="Times New Roman"/>
          <w:kern w:val="2"/>
          <w:szCs w:val="24"/>
        </w:rPr>
      </w:pPr>
      <w:r>
        <w:rPr>
          <w:rFonts w:hint="eastAsia" w:ascii="宋体" w:hAnsi="宋体" w:eastAsia="宋体" w:cs="Times New Roman"/>
          <w:kern w:val="2"/>
          <w:szCs w:val="24"/>
        </w:rPr>
        <w:t>（2）所有软、硬件设备型号、数量、配置均符合项目合同技术协议的要求。</w:t>
      </w:r>
    </w:p>
    <w:p>
      <w:pPr>
        <w:pageBreakBefore w:val="0"/>
        <w:widowControl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jc w:val="left"/>
        <w:rPr>
          <w:rFonts w:ascii="宋体" w:hAnsi="宋体" w:eastAsia="宋体" w:cs="Times New Roman"/>
          <w:kern w:val="2"/>
          <w:szCs w:val="24"/>
        </w:rPr>
      </w:pPr>
      <w:r>
        <w:rPr>
          <w:rFonts w:hint="eastAsia" w:ascii="宋体" w:hAnsi="宋体" w:eastAsia="宋体" w:cs="Times New Roman"/>
          <w:kern w:val="2"/>
          <w:szCs w:val="24"/>
        </w:rPr>
        <w:t>（3）验收必须满足本规范附件的验收内容、要求及方法、项目技术文件和本规范要求，且无缺陷项目，验收结果偏差项目总数不得超过2%。</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Times New Roman"/>
          <w:kern w:val="2"/>
          <w:szCs w:val="24"/>
        </w:rPr>
      </w:pPr>
      <w:bookmarkStart w:id="1367" w:name="_Toc31446"/>
      <w:bookmarkStart w:id="1368" w:name="_Toc21834"/>
      <w:bookmarkStart w:id="1369" w:name="_Toc16964"/>
      <w:bookmarkStart w:id="1370" w:name="_Toc8431"/>
      <w:bookmarkStart w:id="1371" w:name="_Toc29179"/>
      <w:bookmarkStart w:id="1372" w:name="_Toc17546"/>
      <w:bookmarkStart w:id="1373" w:name="_Toc252062843"/>
      <w:bookmarkStart w:id="1374" w:name="_Toc13560"/>
      <w:bookmarkStart w:id="1375" w:name="_Toc30347"/>
      <w:bookmarkStart w:id="1376" w:name="_Toc30291"/>
      <w:bookmarkStart w:id="1377" w:name="_Toc4442"/>
      <w:r>
        <w:rPr>
          <w:rFonts w:hint="eastAsia" w:ascii="宋体" w:hAnsi="宋体" w:eastAsia="宋体" w:cs="Times New Roman"/>
          <w:kern w:val="2"/>
          <w:szCs w:val="24"/>
        </w:rPr>
        <w:t>7.2.5验收文档资料</w:t>
      </w:r>
      <w:bookmarkEnd w:id="1367"/>
      <w:bookmarkEnd w:id="1368"/>
      <w:bookmarkEnd w:id="1369"/>
      <w:bookmarkEnd w:id="1370"/>
      <w:bookmarkEnd w:id="1371"/>
      <w:bookmarkEnd w:id="1372"/>
      <w:bookmarkEnd w:id="1373"/>
      <w:bookmarkEnd w:id="1374"/>
      <w:bookmarkEnd w:id="1375"/>
      <w:bookmarkEnd w:id="1376"/>
      <w:bookmarkEnd w:id="1377"/>
    </w:p>
    <w:p>
      <w:pPr>
        <w:pageBreakBefore w:val="0"/>
        <w:tabs>
          <w:tab w:val="left" w:pos="630"/>
        </w:tabs>
        <w:kinsoku/>
        <w:wordWrap/>
        <w:overflowPunct/>
        <w:topLinePunct w:val="0"/>
        <w:autoSpaceDN/>
        <w:bidi w:val="0"/>
        <w:adjustRightInd/>
        <w:snapToGrid/>
        <w:spacing w:before="0" w:after="0" w:afterAutospacing="0" w:line="360" w:lineRule="auto"/>
        <w:ind w:left="0" w:right="0" w:firstLine="420" w:firstLineChars="200"/>
        <w:textAlignment w:val="baseline"/>
        <w:rPr>
          <w:rFonts w:ascii="宋体" w:hAnsi="宋体" w:eastAsia="宋体" w:cs="Times New Roman"/>
          <w:kern w:val="2"/>
          <w:szCs w:val="24"/>
        </w:rPr>
      </w:pPr>
      <w:bookmarkStart w:id="1378" w:name="OLE_LINK3"/>
      <w:r>
        <w:rPr>
          <w:rFonts w:hint="eastAsia" w:ascii="宋体" w:hAnsi="宋体" w:eastAsia="宋体" w:cs="Times New Roman"/>
          <w:kern w:val="2"/>
          <w:szCs w:val="24"/>
        </w:rPr>
        <w:t>7.2.5.1验收申请文件</w:t>
      </w:r>
      <w:bookmarkEnd w:id="1378"/>
      <w:r>
        <w:rPr>
          <w:rFonts w:hint="eastAsia" w:ascii="宋体" w:hAnsi="宋体" w:eastAsia="宋体" w:cs="Times New Roman"/>
          <w:kern w:val="2"/>
          <w:szCs w:val="24"/>
        </w:rPr>
        <w:t>,内容包括：</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（1）制造厂提供的产品说明书、试验记录、合格证件以及装配图等技术文件。</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（2）相关设备的工厂验收报告，要求验收合格。</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（3）安装记录。</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（4）现场安装调试报告。</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（5）自检报告。</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（6）施工、调试、监理单位的资质及人员资质材料。</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（7）验收申请报告。</w:t>
      </w:r>
    </w:p>
    <w:p>
      <w:pPr>
        <w:pageBreakBefore w:val="0"/>
        <w:tabs>
          <w:tab w:val="left" w:pos="630"/>
        </w:tabs>
        <w:kinsoku/>
        <w:wordWrap/>
        <w:overflowPunct/>
        <w:topLinePunct w:val="0"/>
        <w:autoSpaceDN/>
        <w:bidi w:val="0"/>
        <w:adjustRightInd/>
        <w:snapToGrid/>
        <w:spacing w:before="0" w:after="0" w:afterAutospacing="0" w:line="360" w:lineRule="auto"/>
        <w:ind w:left="0" w:right="0" w:firstLine="420" w:firstLineChars="200"/>
        <w:textAlignment w:val="baseline"/>
        <w:rPr>
          <w:rFonts w:ascii="宋体" w:hAnsi="宋体" w:eastAsia="宋体" w:cs="Times New Roman"/>
          <w:kern w:val="2"/>
          <w:szCs w:val="24"/>
        </w:rPr>
      </w:pPr>
      <w:r>
        <w:rPr>
          <w:rFonts w:hint="eastAsia" w:ascii="宋体" w:hAnsi="宋体" w:eastAsia="宋体" w:cs="Times New Roman"/>
          <w:kern w:val="2"/>
          <w:szCs w:val="24"/>
        </w:rPr>
        <w:t>7.2.6.2验收技术文件,内容包括：</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（1）技术联络会纪要。</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（2）由设计单位出具的设计变更书。</w:t>
      </w:r>
    </w:p>
    <w:p>
      <w:pPr>
        <w:pageBreakBefore w:val="0"/>
        <w:tabs>
          <w:tab w:val="left" w:pos="630"/>
        </w:tabs>
        <w:kinsoku/>
        <w:wordWrap/>
        <w:overflowPunct/>
        <w:topLinePunct w:val="0"/>
        <w:autoSpaceDN/>
        <w:bidi w:val="0"/>
        <w:adjustRightInd/>
        <w:snapToGrid/>
        <w:spacing w:before="0" w:after="0" w:afterAutospacing="0" w:line="360" w:lineRule="auto"/>
        <w:ind w:left="0" w:right="0" w:firstLine="420" w:firstLineChars="200"/>
        <w:textAlignment w:val="baseline"/>
        <w:rPr>
          <w:rFonts w:ascii="宋体" w:hAnsi="宋体" w:eastAsia="宋体" w:cs="Times New Roman"/>
          <w:kern w:val="2"/>
          <w:szCs w:val="24"/>
        </w:rPr>
      </w:pPr>
      <w:r>
        <w:rPr>
          <w:rFonts w:hint="eastAsia" w:ascii="宋体" w:hAnsi="宋体" w:eastAsia="宋体" w:cs="Times New Roman"/>
          <w:kern w:val="2"/>
          <w:szCs w:val="24"/>
        </w:rPr>
        <w:t>7.2.5.3验收阶段项目建设文件,内容为项目阶段性工作报告。</w:t>
      </w:r>
    </w:p>
    <w:p>
      <w:pPr>
        <w:pageBreakBefore w:val="0"/>
        <w:tabs>
          <w:tab w:val="left" w:pos="630"/>
        </w:tabs>
        <w:kinsoku/>
        <w:wordWrap/>
        <w:overflowPunct/>
        <w:topLinePunct w:val="0"/>
        <w:autoSpaceDN/>
        <w:bidi w:val="0"/>
        <w:adjustRightInd/>
        <w:snapToGrid/>
        <w:spacing w:before="0" w:after="0" w:afterAutospacing="0" w:line="360" w:lineRule="auto"/>
        <w:ind w:left="0" w:right="0" w:firstLine="420" w:firstLineChars="200"/>
        <w:textAlignment w:val="baseline"/>
        <w:rPr>
          <w:rFonts w:ascii="宋体" w:hAnsi="宋体" w:eastAsia="宋体" w:cs="Times New Roman"/>
          <w:kern w:val="2"/>
          <w:szCs w:val="24"/>
        </w:rPr>
      </w:pPr>
      <w:r>
        <w:rPr>
          <w:rFonts w:hint="eastAsia" w:ascii="宋体" w:hAnsi="宋体" w:eastAsia="宋体" w:cs="Times New Roman"/>
          <w:kern w:val="2"/>
          <w:szCs w:val="24"/>
        </w:rPr>
        <w:t>7.2.5.4验收报告文件,内容包括：</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（1）验收结论。</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（2）验收报告（含测试大纲）。</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（3）验收差异汇总报告（同时作为验收遗留问题备忘录；制造单位、施工单位、调试单位等应对每一项差异提出解决方法和预计解决时间，限期处理完成）。</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（4）现场设备验收及文件资料现场核查报告（附现场设备验收清单和文件资料清单）。</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（5）验收测试统计及分析报告。</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lang w:val="en-US" w:eastAsia="zh-CN" w:bidi="ar-SA"/>
        </w:rPr>
      </w:pPr>
      <w:bookmarkStart w:id="1379" w:name="_Toc79434398"/>
      <w:bookmarkStart w:id="1380" w:name="_Toc3536"/>
      <w:bookmarkStart w:id="1381" w:name="_Toc24109"/>
      <w:bookmarkStart w:id="1382" w:name="_Toc8776"/>
      <w:bookmarkStart w:id="1383" w:name="_Toc15033"/>
      <w:bookmarkStart w:id="1384" w:name="_Toc22253"/>
      <w:bookmarkStart w:id="1385" w:name="_Toc17415"/>
      <w:bookmarkStart w:id="1386" w:name="_Toc20073"/>
      <w:bookmarkStart w:id="1387" w:name="_Toc18131"/>
      <w:bookmarkStart w:id="1388" w:name="_Toc2399"/>
      <w:bookmarkStart w:id="1389" w:name="_Toc15573"/>
      <w:bookmarkStart w:id="1390" w:name="_Toc10313"/>
      <w:r>
        <w:rPr>
          <w:rFonts w:hint="eastAsia" w:ascii="宋体" w:hAnsi="宋体" w:eastAsia="宋体" w:cs="宋体"/>
          <w:b/>
          <w:bCs/>
          <w:kern w:val="44"/>
          <w:sz w:val="21"/>
          <w:szCs w:val="21"/>
          <w:lang w:val="en-US" w:eastAsia="zh-CN" w:bidi="ar-SA"/>
        </w:rPr>
        <w:t>7.3充电桩技术验收</w:t>
      </w:r>
      <w:bookmarkEnd w:id="1379"/>
      <w:bookmarkEnd w:id="1380"/>
      <w:bookmarkEnd w:id="1381"/>
      <w:bookmarkEnd w:id="1382"/>
      <w:bookmarkEnd w:id="1383"/>
      <w:bookmarkEnd w:id="1384"/>
      <w:bookmarkEnd w:id="1385"/>
      <w:bookmarkEnd w:id="1386"/>
      <w:bookmarkEnd w:id="1387"/>
      <w:bookmarkEnd w:id="1388"/>
      <w:bookmarkEnd w:id="1389"/>
      <w:bookmarkEnd w:id="1390"/>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outlineLvl w:val="1"/>
        <w:rPr>
          <w:rFonts w:ascii="宋体" w:hAnsi="宋体" w:eastAsia="宋体" w:cs="Times New Roman"/>
          <w:kern w:val="2"/>
          <w:szCs w:val="24"/>
        </w:rPr>
      </w:pPr>
      <w:bookmarkStart w:id="1391" w:name="_Toc252062845"/>
      <w:bookmarkStart w:id="1392" w:name="_Toc27817"/>
      <w:bookmarkStart w:id="1393" w:name="_Toc79434399"/>
      <w:bookmarkStart w:id="1394" w:name="_Toc8139"/>
      <w:bookmarkStart w:id="1395" w:name="_Toc21407"/>
      <w:bookmarkStart w:id="1396" w:name="_Toc30789"/>
      <w:r>
        <w:rPr>
          <w:rFonts w:hint="eastAsia" w:ascii="宋体" w:hAnsi="宋体" w:eastAsia="宋体" w:cs="Times New Roman"/>
          <w:kern w:val="2"/>
          <w:szCs w:val="24"/>
        </w:rPr>
        <w:t>7.3.1 验收内容及</w:t>
      </w:r>
      <w:bookmarkEnd w:id="1391"/>
      <w:bookmarkEnd w:id="1392"/>
      <w:r>
        <w:rPr>
          <w:rFonts w:hint="eastAsia" w:ascii="宋体" w:hAnsi="宋体" w:eastAsia="宋体" w:cs="Times New Roman"/>
          <w:kern w:val="2"/>
          <w:szCs w:val="24"/>
        </w:rPr>
        <w:t>要求</w:t>
      </w:r>
      <w:bookmarkEnd w:id="1393"/>
      <w:bookmarkEnd w:id="1394"/>
      <w:bookmarkEnd w:id="1395"/>
      <w:bookmarkEnd w:id="1396"/>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验收的技术要求参见《电动汽车交流充电桩技术规范》（Q/CSG 11516.4-2010）。</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outlineLvl w:val="1"/>
        <w:rPr>
          <w:rFonts w:ascii="宋体" w:hAnsi="宋体" w:eastAsia="宋体" w:cs="Times New Roman"/>
          <w:kern w:val="2"/>
          <w:szCs w:val="24"/>
        </w:rPr>
      </w:pPr>
      <w:bookmarkStart w:id="1397" w:name="_Toc1305"/>
      <w:bookmarkStart w:id="1398" w:name="_Toc252062846"/>
      <w:bookmarkStart w:id="1399" w:name="_Toc79434400"/>
      <w:bookmarkStart w:id="1400" w:name="_Toc10971"/>
      <w:bookmarkStart w:id="1401" w:name="_Toc21970"/>
      <w:r>
        <w:rPr>
          <w:rFonts w:hint="eastAsia" w:ascii="宋体" w:hAnsi="宋体" w:eastAsia="宋体" w:cs="Times New Roman"/>
          <w:kern w:val="2"/>
          <w:szCs w:val="24"/>
        </w:rPr>
        <w:t>7.3.2 验收合格</w:t>
      </w:r>
      <w:bookmarkEnd w:id="1397"/>
      <w:bookmarkEnd w:id="1398"/>
      <w:r>
        <w:rPr>
          <w:rFonts w:hint="eastAsia" w:ascii="宋体" w:hAnsi="宋体" w:eastAsia="宋体" w:cs="Times New Roman"/>
          <w:kern w:val="2"/>
          <w:szCs w:val="24"/>
        </w:rPr>
        <w:t>标准</w:t>
      </w:r>
      <w:bookmarkEnd w:id="1399"/>
      <w:bookmarkEnd w:id="1400"/>
      <w:bookmarkEnd w:id="1401"/>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满足以下要求时，可认为验收合格：</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（1）系统文件及资料齐全。</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（2）所有软、硬件设备型号、数量、配置均符合项目合同技术协议的要求。</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（3）验收结果必须满足验收大纲要求、项目技术文件和本规范要求。</w:t>
      </w:r>
    </w:p>
    <w:p>
      <w:pPr>
        <w:pageBreakBefore w:val="0"/>
        <w:numPr>
          <w:ilvl w:val="255"/>
          <w:numId w:val="0"/>
        </w:numPr>
        <w:tabs>
          <w:tab w:val="left" w:pos="0"/>
          <w:tab w:val="left" w:pos="420"/>
        </w:tabs>
        <w:kinsoku/>
        <w:wordWrap/>
        <w:overflowPunct/>
        <w:topLinePunct w:val="0"/>
        <w:autoSpaceDN/>
        <w:bidi w:val="0"/>
        <w:adjustRightInd/>
        <w:snapToGrid/>
        <w:spacing w:before="0" w:after="0" w:afterAutospacing="0" w:line="360" w:lineRule="auto"/>
        <w:ind w:right="0" w:firstLine="420" w:firstLineChars="200"/>
        <w:rPr>
          <w:rFonts w:ascii="宋体" w:hAnsi="宋体" w:eastAsia="宋体" w:cs="Times New Roman"/>
          <w:kern w:val="2"/>
          <w:szCs w:val="24"/>
        </w:rPr>
      </w:pPr>
      <w:r>
        <w:rPr>
          <w:rFonts w:hint="eastAsia" w:ascii="宋体" w:hAnsi="宋体" w:eastAsia="宋体" w:cs="Times New Roman"/>
          <w:kern w:val="2"/>
          <w:szCs w:val="24"/>
        </w:rPr>
        <w:t>（4）无缺陷项目，偏差项目总数不得超过2%。</w:t>
      </w:r>
    </w:p>
    <w:p>
      <w:pPr>
        <w:pageBreakBefore w:val="0"/>
        <w:widowControl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outlineLvl w:val="1"/>
        <w:rPr>
          <w:rFonts w:ascii="宋体" w:hAnsi="宋体" w:eastAsia="宋体" w:cs="Times New Roman"/>
          <w:kern w:val="2"/>
          <w:szCs w:val="24"/>
        </w:rPr>
      </w:pPr>
      <w:bookmarkStart w:id="1402" w:name="_Toc28957"/>
      <w:bookmarkStart w:id="1403" w:name="_Toc252062847"/>
      <w:bookmarkStart w:id="1404" w:name="_Toc10866"/>
      <w:bookmarkStart w:id="1405" w:name="_Toc79434401"/>
      <w:bookmarkStart w:id="1406" w:name="_Toc30931"/>
      <w:bookmarkStart w:id="1407" w:name="_Toc24512"/>
      <w:r>
        <w:rPr>
          <w:rFonts w:hint="eastAsia" w:ascii="宋体" w:hAnsi="宋体" w:eastAsia="宋体" w:cs="Times New Roman"/>
          <w:kern w:val="2"/>
          <w:szCs w:val="24"/>
        </w:rPr>
        <w:t>7.3.3 验收文档资料</w:t>
      </w:r>
      <w:bookmarkEnd w:id="1402"/>
      <w:bookmarkEnd w:id="1403"/>
      <w:bookmarkEnd w:id="1404"/>
      <w:bookmarkEnd w:id="1405"/>
      <w:bookmarkEnd w:id="1406"/>
      <w:bookmarkEnd w:id="1407"/>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7.3.3.1验收申请文件,内容包括：</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（1）制造厂提供的产品说明书、试验记录、合格证件以及装配图等技术文件。</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（2）相关设备的工厂验收报告，要求验收合格。</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（3）安装记录。</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（4）现场安装调试报告。</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（5）自检报告。</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（6）施工、调试、监理单位的资质及人员资质材料。</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（7）验收申请报告。</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7.3.3.2验收技术文件,内容包括：</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（1）技术联络会纪要。</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（2）设计变更书（系统设计有变动的情况下有效，设计单位提交）。</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7.3.3.3验收阶段项目建设文件,内容为项目阶段性工作报告。</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7.3.3.4验收报告文件,内容包括：</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（1）验收结论。</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（2）验收报告（含测试大纲）。</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（3）验收差异汇总报告（同时作为验收遗留问题备忘录；制造单位应对每一项差异提出解决方法和预计解决时间，限期处理完成）。</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rPr>
      </w:pPr>
      <w:r>
        <w:rPr>
          <w:rFonts w:hint="eastAsia" w:ascii="宋体" w:hAnsi="宋体" w:eastAsia="宋体" w:cs="Times New Roman"/>
          <w:kern w:val="2"/>
          <w:szCs w:val="24"/>
        </w:rPr>
        <w:t>（4）现场设备验收及文件资料现场核查报告（附现场设备验收清单和文件资料清单）。</w:t>
      </w:r>
    </w:p>
    <w:p>
      <w:pPr>
        <w:pageBreakBefore w:val="0"/>
        <w:tabs>
          <w:tab w:val="left" w:pos="0"/>
          <w:tab w:val="left" w:pos="420"/>
        </w:tabs>
        <w:kinsoku/>
        <w:wordWrap/>
        <w:overflowPunct/>
        <w:topLinePunct w:val="0"/>
        <w:autoSpaceDN/>
        <w:bidi w:val="0"/>
        <w:adjustRightInd/>
        <w:snapToGrid/>
        <w:spacing w:before="0" w:after="0" w:afterAutospacing="0" w:line="360" w:lineRule="auto"/>
        <w:ind w:left="0" w:right="0" w:firstLine="420" w:firstLineChars="200"/>
        <w:rPr>
          <w:rFonts w:ascii="宋体" w:hAnsi="宋体" w:eastAsia="宋体" w:cs="Times New Roman"/>
          <w:kern w:val="2"/>
          <w:szCs w:val="24"/>
          <w:highlight w:val="none"/>
        </w:rPr>
      </w:pPr>
      <w:r>
        <w:rPr>
          <w:rFonts w:hint="eastAsia" w:ascii="宋体" w:hAnsi="宋体" w:eastAsia="宋体" w:cs="Times New Roman"/>
          <w:kern w:val="2"/>
          <w:szCs w:val="24"/>
          <w:highlight w:val="none"/>
        </w:rPr>
        <w:t>（5）验收测试统计及分析报告。</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1"/>
        <w:rPr>
          <w:rFonts w:hint="eastAsia" w:ascii="宋体" w:hAnsi="宋体" w:eastAsia="宋体" w:cs="宋体"/>
          <w:b/>
          <w:bCs/>
          <w:kern w:val="44"/>
          <w:sz w:val="21"/>
          <w:szCs w:val="21"/>
          <w:highlight w:val="none"/>
          <w:lang w:val="en-US" w:eastAsia="zh-CN" w:bidi="ar-SA"/>
        </w:rPr>
      </w:pPr>
      <w:bookmarkStart w:id="1408" w:name="标准附录"/>
      <w:bookmarkEnd w:id="1408"/>
      <w:bookmarkStart w:id="1409" w:name="_Toc15565"/>
      <w:bookmarkStart w:id="1410" w:name="_Toc21360"/>
      <w:bookmarkStart w:id="1411" w:name="_Toc11906"/>
      <w:bookmarkStart w:id="1412" w:name="_Toc10167"/>
      <w:bookmarkStart w:id="1413" w:name="_Toc28441"/>
      <w:bookmarkStart w:id="1414" w:name="_Toc10499"/>
      <w:bookmarkStart w:id="1415" w:name="_Toc28633"/>
      <w:bookmarkStart w:id="1416" w:name="_Toc22722"/>
      <w:bookmarkStart w:id="1417" w:name="_Toc300"/>
      <w:bookmarkStart w:id="1418" w:name="_Toc17783"/>
      <w:bookmarkStart w:id="1419" w:name="_Toc79434402"/>
      <w:bookmarkStart w:id="1420" w:name="_Toc12620"/>
      <w:bookmarkStart w:id="1421" w:name="_Toc9004"/>
      <w:bookmarkStart w:id="1422" w:name="_Toc12090"/>
      <w:bookmarkStart w:id="1423" w:name="_Toc19646"/>
      <w:bookmarkStart w:id="1424" w:name="_Toc11828"/>
      <w:bookmarkStart w:id="1425" w:name="_Toc7034"/>
      <w:bookmarkStart w:id="1426" w:name="_Toc8029"/>
      <w:bookmarkStart w:id="1427" w:name="_Toc26856"/>
      <w:bookmarkStart w:id="1428" w:name="_Toc3219"/>
      <w:r>
        <w:rPr>
          <w:rFonts w:hint="eastAsia" w:ascii="宋体" w:hAnsi="宋体" w:eastAsia="宋体" w:cs="宋体"/>
          <w:b/>
          <w:bCs/>
          <w:kern w:val="44"/>
          <w:sz w:val="21"/>
          <w:szCs w:val="21"/>
          <w:highlight w:val="none"/>
          <w:lang w:val="en-US" w:eastAsia="zh-CN" w:bidi="ar-SA"/>
        </w:rPr>
        <w:t>7.4质保要求</w:t>
      </w:r>
      <w:bookmarkEnd w:id="1357"/>
      <w:bookmarkEnd w:id="135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ageBreakBefore w:val="0"/>
        <w:kinsoku/>
        <w:wordWrap/>
        <w:overflowPunct/>
        <w:topLinePunct w:val="0"/>
        <w:autoSpaceDN/>
        <w:bidi w:val="0"/>
        <w:adjustRightInd/>
        <w:snapToGrid/>
        <w:spacing w:before="0" w:after="0" w:afterAutospacing="0" w:line="360" w:lineRule="auto"/>
        <w:ind w:left="0" w:right="0" w:firstLine="420" w:firstLineChars="200"/>
        <w:rPr>
          <w:rFonts w:hint="eastAsia" w:ascii="宋体" w:hAnsi="宋体" w:eastAsia="宋体" w:cs="宋体"/>
          <w:highlight w:val="none"/>
        </w:rPr>
      </w:pPr>
      <w:r>
        <w:rPr>
          <w:rFonts w:hint="eastAsia" w:ascii="宋体" w:hAnsi="宋体" w:eastAsia="宋体" w:cs="宋体"/>
          <w:highlight w:val="none"/>
          <w:lang w:val="en-US" w:eastAsia="zh-CN"/>
        </w:rPr>
        <w:t>7.4.1质保期</w:t>
      </w:r>
      <w:r>
        <w:rPr>
          <w:rFonts w:hint="eastAsia" w:ascii="宋体" w:hAnsi="宋体" w:eastAsia="宋体" w:cs="宋体"/>
          <w:highlight w:val="none"/>
        </w:rPr>
        <w:t>不少于24个月</w:t>
      </w:r>
      <w:r>
        <w:rPr>
          <w:rFonts w:hint="eastAsia" w:ascii="宋体" w:hAnsi="宋体" w:eastAsia="宋体" w:cs="宋体"/>
          <w:highlight w:val="none"/>
          <w:lang w:eastAsia="zh-CN"/>
        </w:rPr>
        <w:t>（</w:t>
      </w:r>
      <w:r>
        <w:rPr>
          <w:rFonts w:hint="eastAsia" w:ascii="宋体" w:hAnsi="宋体" w:eastAsia="宋体" w:cs="宋体"/>
          <w:highlight w:val="none"/>
          <w:lang w:val="en-US" w:eastAsia="zh-CN"/>
        </w:rPr>
        <w:t>含</w:t>
      </w:r>
      <w:r>
        <w:rPr>
          <w:rFonts w:hint="eastAsia" w:ascii="宋体" w:hAnsi="宋体" w:eastAsia="宋体" w:cs="宋体"/>
          <w:highlight w:val="none"/>
          <w:lang w:eastAsia="zh-CN"/>
        </w:rPr>
        <w:t>）</w:t>
      </w:r>
      <w:r>
        <w:rPr>
          <w:rFonts w:hint="eastAsia" w:ascii="宋体" w:hAnsi="宋体" w:eastAsia="宋体" w:cs="宋体"/>
          <w:highlight w:val="none"/>
        </w:rPr>
        <w:t>，自验收合格之日起计算；</w:t>
      </w:r>
      <w:r>
        <w:rPr>
          <w:rFonts w:hint="eastAsia" w:ascii="宋体" w:hAnsi="宋体" w:eastAsia="宋体" w:cs="宋体"/>
          <w:highlight w:val="none"/>
          <w:lang w:val="en-US" w:eastAsia="zh-CN"/>
        </w:rPr>
        <w:t>质保期</w:t>
      </w:r>
      <w:r>
        <w:rPr>
          <w:rFonts w:hint="eastAsia" w:ascii="宋体" w:hAnsi="宋体" w:eastAsia="宋体" w:cs="宋体"/>
          <w:highlight w:val="none"/>
        </w:rPr>
        <w:t>内</w:t>
      </w:r>
      <w:r>
        <w:rPr>
          <w:rFonts w:hint="eastAsia" w:ascii="宋体" w:hAnsi="宋体" w:eastAsia="宋体" w:cs="宋体"/>
          <w:highlight w:val="none"/>
          <w:lang w:eastAsia="zh-CN"/>
        </w:rPr>
        <w:t>投标人</w:t>
      </w:r>
      <w:r>
        <w:rPr>
          <w:rFonts w:hint="eastAsia" w:ascii="宋体" w:hAnsi="宋体" w:eastAsia="宋体" w:cs="宋体"/>
          <w:highlight w:val="none"/>
        </w:rPr>
        <w:t>需提供免费上门维修（包含所有配件的更换及服务）及保养服务。</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7.4.2处理问题响应时间：接到招标人处理问题通知后48小时到达维修现场。一般问题应在10天内解决，重大问题或其它无法迅速解决的问题应在20天内解决。</w:t>
      </w:r>
    </w:p>
    <w:p>
      <w:pPr>
        <w:pageBreakBefore w:val="0"/>
        <w:kinsoku/>
        <w:wordWrap/>
        <w:overflowPunct/>
        <w:topLinePunct w:val="0"/>
        <w:autoSpaceDN/>
        <w:bidi w:val="0"/>
        <w:adjustRightInd/>
        <w:snapToGrid/>
        <w:spacing w:before="0" w:after="0" w:afterAutospacing="0" w:line="360" w:lineRule="auto"/>
        <w:ind w:left="0" w:right="0"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7.4.3质保期内，投标人应在南宁市有常驻工作人员。</w:t>
      </w:r>
    </w:p>
    <w:p>
      <w:pPr>
        <w:keepNext/>
        <w:keepLines/>
        <w:pageBreakBefore w:val="0"/>
        <w:kinsoku/>
        <w:wordWrap/>
        <w:overflowPunct/>
        <w:topLinePunct w:val="0"/>
        <w:autoSpaceDE/>
        <w:autoSpaceDN/>
        <w:bidi w:val="0"/>
        <w:adjustRightInd/>
        <w:snapToGrid/>
        <w:spacing w:before="0" w:after="0" w:afterAutospacing="0" w:line="360" w:lineRule="auto"/>
        <w:ind w:left="0" w:right="0" w:firstLine="0"/>
        <w:textAlignment w:val="auto"/>
        <w:outlineLvl w:val="0"/>
        <w:rPr>
          <w:rFonts w:hint="eastAsia" w:ascii="黑体" w:hAnsi="黑体" w:eastAsia="黑体" w:cs="黑体"/>
          <w:b/>
          <w:bCs/>
          <w:kern w:val="44"/>
          <w:sz w:val="24"/>
          <w:szCs w:val="24"/>
          <w:lang w:val="en-US" w:eastAsia="zh-CN" w:bidi="ar-SA"/>
        </w:rPr>
      </w:pPr>
      <w:bookmarkStart w:id="1429" w:name="_Toc23277"/>
      <w:bookmarkStart w:id="1430" w:name="_Toc23000"/>
      <w:bookmarkStart w:id="1431" w:name="_Toc30177"/>
      <w:bookmarkStart w:id="1432" w:name="_Toc6388"/>
      <w:bookmarkStart w:id="1433" w:name="_Toc21350"/>
      <w:bookmarkStart w:id="1434" w:name="_Toc25099"/>
      <w:bookmarkStart w:id="1435" w:name="_Toc26875"/>
      <w:bookmarkStart w:id="1436" w:name="_Toc79434403"/>
      <w:bookmarkStart w:id="1437" w:name="_Toc2285"/>
      <w:bookmarkStart w:id="1438" w:name="_Toc1037"/>
      <w:bookmarkStart w:id="1439" w:name="_Toc32599"/>
      <w:bookmarkStart w:id="1440" w:name="_Toc25834"/>
      <w:bookmarkStart w:id="1441" w:name="_Toc1529"/>
      <w:bookmarkStart w:id="1442" w:name="_Toc26991"/>
      <w:bookmarkStart w:id="1443" w:name="_Toc2867"/>
      <w:bookmarkStart w:id="1444" w:name="_Toc5844"/>
      <w:bookmarkStart w:id="1445" w:name="_Toc31866"/>
      <w:bookmarkStart w:id="1446" w:name="_Toc28734"/>
      <w:r>
        <w:rPr>
          <w:rFonts w:hint="eastAsia" w:ascii="黑体" w:hAnsi="黑体" w:eastAsia="黑体" w:cs="黑体"/>
          <w:b/>
          <w:bCs/>
          <w:kern w:val="44"/>
          <w:sz w:val="24"/>
          <w:szCs w:val="24"/>
          <w:lang w:val="en-US" w:eastAsia="zh-CN" w:bidi="ar-SA"/>
        </w:rPr>
        <w:t>8附件</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ageBreakBefore w:val="0"/>
        <w:widowControl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附件1：技术需求清单</w:t>
      </w:r>
    </w:p>
    <w:p>
      <w:pPr>
        <w:pageBreakBefore w:val="0"/>
        <w:widowControl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附件2：充电桩验收流程</w:t>
      </w:r>
    </w:p>
    <w:p>
      <w:pPr>
        <w:pageBreakBefore w:val="0"/>
        <w:widowControl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附件3：充电桩验收大纲</w:t>
      </w:r>
    </w:p>
    <w:p>
      <w:pPr>
        <w:pageBreakBefore w:val="0"/>
        <w:widowControl w:val="0"/>
        <w:kinsoku/>
        <w:wordWrap/>
        <w:overflowPunct/>
        <w:topLinePunct w:val="0"/>
        <w:autoSpaceDN/>
        <w:bidi w:val="0"/>
        <w:adjustRightInd/>
        <w:snapToGrid/>
        <w:spacing w:before="0" w:after="0" w:afterAutospacing="0" w:line="360" w:lineRule="auto"/>
        <w:ind w:left="0" w:right="0" w:firstLine="420" w:firstLineChars="200"/>
        <w:jc w:val="left"/>
        <w:rPr>
          <w:rFonts w:ascii="宋体" w:hAnsi="宋体" w:eastAsia="宋体" w:cs="宋体"/>
        </w:rPr>
      </w:pPr>
      <w:r>
        <w:rPr>
          <w:rFonts w:hint="eastAsia" w:ascii="宋体" w:hAnsi="宋体" w:eastAsia="宋体" w:cs="宋体"/>
        </w:rPr>
        <w:t>附件4：合同违约处理通知单</w:t>
      </w:r>
    </w:p>
    <w:p>
      <w:pPr>
        <w:pageBreakBefore w:val="0"/>
        <w:widowControl w:val="0"/>
        <w:kinsoku/>
        <w:wordWrap/>
        <w:overflowPunct/>
        <w:topLinePunct w:val="0"/>
        <w:autoSpaceDN/>
        <w:bidi w:val="0"/>
        <w:adjustRightInd/>
        <w:snapToGrid/>
        <w:spacing w:before="0" w:after="0" w:afterAutospacing="0" w:line="360" w:lineRule="auto"/>
        <w:ind w:left="0" w:right="0" w:firstLine="420" w:firstLineChars="200"/>
        <w:jc w:val="left"/>
        <w:outlineLvl w:val="0"/>
        <w:rPr>
          <w:rFonts w:ascii="宋体" w:hAnsi="宋体" w:cs="宋体"/>
        </w:rPr>
        <w:sectPr>
          <w:headerReference r:id="rId10" w:type="default"/>
          <w:pgSz w:w="11905" w:h="16838"/>
          <w:pgMar w:top="1418" w:right="1418" w:bottom="1418" w:left="1701" w:header="851" w:footer="992" w:gutter="0"/>
          <w:cols w:space="425" w:num="1"/>
          <w:docGrid w:linePitch="312" w:charSpace="0"/>
        </w:sectPr>
      </w:pPr>
    </w:p>
    <w:p>
      <w:pPr>
        <w:widowControl w:val="0"/>
        <w:spacing w:before="0" w:after="0" w:afterAutospacing="0"/>
        <w:ind w:left="0" w:right="0" w:firstLine="0"/>
        <w:jc w:val="left"/>
        <w:outlineLvl w:val="0"/>
        <w:rPr>
          <w:rFonts w:ascii="宋体" w:hAnsi="宋体" w:eastAsia="宋体" w:cs="宋体"/>
          <w:b/>
          <w:kern w:val="2"/>
          <w:szCs w:val="24"/>
        </w:rPr>
      </w:pPr>
      <w:bookmarkStart w:id="1447" w:name="_Toc79434404"/>
      <w:r>
        <w:rPr>
          <w:rFonts w:hint="eastAsia" w:ascii="宋体" w:hAnsi="宋体" w:eastAsia="宋体" w:cs="宋体"/>
          <w:b/>
          <w:kern w:val="2"/>
          <w:szCs w:val="24"/>
        </w:rPr>
        <w:t>附件1：技术需求清单</w:t>
      </w:r>
      <w:bookmarkEnd w:id="1447"/>
    </w:p>
    <w:p>
      <w:pPr>
        <w:spacing w:before="0" w:line="240" w:lineRule="auto"/>
        <w:ind w:left="0" w:right="0" w:firstLine="0"/>
        <w:jc w:val="center"/>
        <w:rPr>
          <w:rFonts w:ascii="Times New Roman" w:hAnsi="Times New Roman" w:eastAsia="宋体" w:cs="Times New Roman"/>
          <w:b/>
          <w:bCs/>
          <w:sz w:val="36"/>
          <w:szCs w:val="24"/>
        </w:rPr>
      </w:pPr>
      <w:r>
        <w:rPr>
          <w:rFonts w:hint="eastAsia" w:ascii="Times New Roman" w:hAnsi="Times New Roman" w:eastAsia="宋体" w:cs="Times New Roman"/>
          <w:b/>
          <w:bCs/>
          <w:sz w:val="32"/>
          <w:szCs w:val="22"/>
        </w:rPr>
        <w:t>技术需求清单</w:t>
      </w:r>
    </w:p>
    <w:tbl>
      <w:tblPr>
        <w:tblStyle w:val="29"/>
        <w:tblW w:w="1459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2414"/>
        <w:gridCol w:w="8251"/>
        <w:gridCol w:w="960"/>
        <w:gridCol w:w="90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33" w:type="dxa"/>
            <w:shd w:val="clear" w:color="auto" w:fill="BEBEBE"/>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b/>
                <w:bCs/>
                <w:kern w:val="2"/>
                <w:sz w:val="20"/>
                <w:szCs w:val="20"/>
              </w:rPr>
            </w:pPr>
            <w:r>
              <w:rPr>
                <w:rFonts w:hint="eastAsia" w:ascii="宋体" w:hAnsi="宋体" w:eastAsia="宋体" w:cs="宋体"/>
                <w:b/>
                <w:bCs/>
                <w:kern w:val="2"/>
                <w:sz w:val="20"/>
                <w:szCs w:val="20"/>
              </w:rPr>
              <w:t>序号</w:t>
            </w:r>
          </w:p>
        </w:tc>
        <w:tc>
          <w:tcPr>
            <w:tcW w:w="2414" w:type="dxa"/>
            <w:shd w:val="clear" w:color="auto" w:fill="BEBEBE"/>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b/>
                <w:bCs/>
                <w:kern w:val="2"/>
                <w:sz w:val="20"/>
                <w:szCs w:val="20"/>
              </w:rPr>
            </w:pPr>
            <w:r>
              <w:rPr>
                <w:rFonts w:hint="eastAsia" w:ascii="宋体" w:hAnsi="宋体" w:eastAsia="宋体" w:cs="宋体"/>
                <w:b/>
                <w:bCs/>
                <w:kern w:val="2"/>
                <w:sz w:val="20"/>
                <w:szCs w:val="20"/>
              </w:rPr>
              <w:t>设备名称</w:t>
            </w:r>
          </w:p>
        </w:tc>
        <w:tc>
          <w:tcPr>
            <w:tcW w:w="8251" w:type="dxa"/>
            <w:shd w:val="clear" w:color="auto" w:fill="BEBEBE"/>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b/>
                <w:bCs/>
                <w:kern w:val="2"/>
                <w:sz w:val="20"/>
                <w:szCs w:val="20"/>
              </w:rPr>
            </w:pPr>
            <w:r>
              <w:rPr>
                <w:rFonts w:hint="eastAsia" w:ascii="宋体" w:hAnsi="宋体" w:eastAsia="宋体" w:cs="宋体"/>
                <w:b/>
                <w:bCs/>
                <w:kern w:val="2"/>
                <w:sz w:val="20"/>
                <w:szCs w:val="20"/>
              </w:rPr>
              <w:t>性能参数</w:t>
            </w:r>
          </w:p>
        </w:tc>
        <w:tc>
          <w:tcPr>
            <w:tcW w:w="960" w:type="dxa"/>
            <w:shd w:val="clear" w:color="auto" w:fill="BEBEBE"/>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b/>
                <w:bCs/>
                <w:kern w:val="2"/>
                <w:sz w:val="20"/>
                <w:szCs w:val="20"/>
              </w:rPr>
            </w:pPr>
            <w:r>
              <w:rPr>
                <w:rFonts w:hint="eastAsia" w:ascii="宋体" w:hAnsi="宋体" w:eastAsia="宋体" w:cs="宋体"/>
                <w:b/>
                <w:bCs/>
                <w:kern w:val="2"/>
                <w:sz w:val="20"/>
                <w:szCs w:val="20"/>
              </w:rPr>
              <w:t>数量</w:t>
            </w:r>
          </w:p>
        </w:tc>
        <w:tc>
          <w:tcPr>
            <w:tcW w:w="900" w:type="dxa"/>
            <w:shd w:val="clear" w:color="auto" w:fill="BEBEBE"/>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b/>
                <w:bCs/>
                <w:kern w:val="2"/>
                <w:sz w:val="20"/>
                <w:szCs w:val="20"/>
              </w:rPr>
            </w:pPr>
            <w:r>
              <w:rPr>
                <w:rFonts w:hint="eastAsia" w:ascii="宋体" w:hAnsi="宋体" w:eastAsia="宋体" w:cs="宋体"/>
                <w:b/>
                <w:bCs/>
                <w:kern w:val="2"/>
                <w:sz w:val="20"/>
                <w:szCs w:val="20"/>
              </w:rPr>
              <w:t>单位</w:t>
            </w:r>
          </w:p>
        </w:tc>
        <w:tc>
          <w:tcPr>
            <w:tcW w:w="1132" w:type="dxa"/>
            <w:shd w:val="clear" w:color="auto" w:fill="BEBEBE"/>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b/>
                <w:bCs/>
                <w:kern w:val="2"/>
                <w:sz w:val="20"/>
                <w:szCs w:val="20"/>
              </w:rPr>
            </w:pPr>
            <w:r>
              <w:rPr>
                <w:rFonts w:hint="eastAsia" w:ascii="宋体" w:hAnsi="宋体" w:eastAsia="宋体" w:cs="宋体"/>
                <w:b/>
                <w:bCs/>
                <w:kern w:val="2"/>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7kW交流充电桩</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1.额定功率：7kW</w:t>
            </w:r>
            <w:r>
              <w:rPr>
                <w:rFonts w:hint="eastAsia" w:ascii="宋体" w:hAnsi="宋体" w:eastAsia="宋体" w:cs="宋体"/>
                <w:color w:val="000000"/>
                <w:kern w:val="2"/>
                <w:sz w:val="20"/>
                <w:szCs w:val="20"/>
                <w:highlight w:val="none"/>
                <w:lang w:eastAsia="zh-CN"/>
              </w:rPr>
              <w:t>（</w:t>
            </w:r>
            <w:r>
              <w:rPr>
                <w:rFonts w:hint="eastAsia" w:ascii="宋体" w:hAnsi="宋体" w:eastAsia="宋体" w:cs="宋体"/>
                <w:color w:val="000000"/>
                <w:kern w:val="2"/>
                <w:sz w:val="20"/>
                <w:szCs w:val="20"/>
                <w:highlight w:val="none"/>
              </w:rPr>
              <w:t>须提供</w:t>
            </w:r>
            <w:r>
              <w:rPr>
                <w:rFonts w:hint="eastAsia" w:ascii="宋体" w:hAnsi="宋体" w:eastAsia="宋体" w:cs="宋体"/>
                <w:color w:val="000000"/>
                <w:kern w:val="2"/>
                <w:sz w:val="20"/>
                <w:szCs w:val="20"/>
                <w:highlight w:val="none"/>
                <w:lang w:val="en-US" w:eastAsia="zh-CN"/>
              </w:rPr>
              <w:t>相关检测</w:t>
            </w:r>
            <w:r>
              <w:rPr>
                <w:rFonts w:hint="eastAsia" w:ascii="宋体" w:hAnsi="宋体" w:eastAsia="宋体" w:cs="宋体"/>
                <w:color w:val="000000"/>
                <w:kern w:val="2"/>
                <w:sz w:val="20"/>
                <w:szCs w:val="20"/>
                <w:highlight w:val="none"/>
              </w:rPr>
              <w:t>报告</w:t>
            </w:r>
            <w:r>
              <w:rPr>
                <w:rFonts w:hint="eastAsia" w:ascii="宋体" w:hAnsi="宋体" w:eastAsia="宋体" w:cs="宋体"/>
                <w:color w:val="000000"/>
                <w:kern w:val="2"/>
                <w:sz w:val="20"/>
                <w:szCs w:val="20"/>
                <w:highlight w:val="none"/>
                <w:lang w:eastAsia="zh-CN"/>
              </w:rPr>
              <w:t>）</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2.使用条件</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工作温度范围：-30°C～+55°C</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工作环境湿度：5%～95%无凝露。</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工作海拔高度：2000m,当海拔超过2000 m超过最高限值时，GB/T3859.2-1993中5.11.2规定降额使用。</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抗震能力：满足NB/T33002-2017中的7.12要求</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外壳防护等级：IP55，适用于室内、室外环境。</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3.输入输出要求</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交流供电模式：单相三线制</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最大功率：7kW</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交流输入电压：220VAC±15%</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交流输入频率：45-65 Hz</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输入冲击电流：≤110%额定输入电流</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连接方式：模式三Type C</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充电模式: 立即充电模式、预约充电模式</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待机功耗：≤5W</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充电枪线长度：4.5m</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4.噪声和电磁兼容</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噪声：正常模式下，环境温度为25℃时噪声≤50dB,环境温度为40℃时噪声≤56dB；</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静音模式下，噪声≤51dB。</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电磁兼容：满足GB/T 18487.2-2017对住宅和非住宅环境骚扰和抗扰度限值的要求。</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5.保护防护：过压、欠压、过流、短路、防雷、漏电、急停等。</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6.充电桩具有通过4G与云端运营管理系统通信的功能。</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7.充电桩具有通过蓝牙与手机通信的功能。</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8.通过APP，可控制启动和停止充电，显示充电电压、电流、功率和电量、车辆电池SOC，提示故障、告警和操作指导信息，并可设置鉴权、预约、静音等配置项。</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9.充电桩具有充电电能量进行计量的功能，计量电量可用于显示和计费。</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10.支持以太网、4G/5G 等通信方式，可根据需要上传充电桩的运行状态参数、监测故障类型、远程监控、远程升级等，方便充电站的运行监控及智能互动平台服务。</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16</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台</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rPr>
                <w:rFonts w:ascii="宋体" w:hAnsi="宋体" w:eastAsia="宋体" w:cs="宋体"/>
                <w:sz w:val="20"/>
                <w:szCs w:val="20"/>
              </w:rPr>
            </w:pPr>
            <w:r>
              <w:rPr>
                <w:rFonts w:hint="eastAsia" w:ascii="宋体" w:hAnsi="宋体" w:eastAsia="宋体" w:cs="宋体"/>
                <w:sz w:val="20"/>
                <w:szCs w:val="20"/>
              </w:rPr>
              <w:t>品牌参考：瑞华、科士达、合康</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rPr>
                <w:rFonts w:ascii="宋体" w:hAnsi="宋体" w:eastAsia="宋体" w:cs="宋体"/>
                <w:kern w:val="2"/>
                <w:sz w:val="20"/>
                <w:szCs w:val="20"/>
              </w:rPr>
            </w:pPr>
            <w:r>
              <w:rPr>
                <w:rFonts w:hint="eastAsia" w:ascii="宋体" w:hAnsi="宋体" w:eastAsia="宋体" w:cs="宋体"/>
                <w:sz w:val="20"/>
                <w:szCs w:val="20"/>
              </w:rPr>
              <w:t>（该项为重点设备，交货时须提供原厂供货证明）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color w:val="000000"/>
                <w:kern w:val="2"/>
                <w:sz w:val="20"/>
                <w:szCs w:val="20"/>
              </w:rPr>
              <w:t>电动车充电站综合运营管理平台软件</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1.技术要求</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（1）支持SAAS运营平台，实现全方位智能运营，集成企业级用户产品与服务全套解决方案，实现OSS高性能物联网，事实全局监控智能调度；</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（2）多种支付方式：充电用户可以通过APP，微信小程序扫码充电并进行支付充电费用。免费提供系统同步升级。</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2.基本功能要求</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通过系统，可以查看充电桩的总数、充电枪的总数、正在充电的枪数、会员信息、充值金额等信息；可以查看每天的充电电量及充电金额曲线图；可以查看充电桩的故障数量及站点的位置。</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(1)会员管理:可以进行会员的添加、充值等操作，消费记录及充值记录的查询。</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(2)运营管理:可查看正在使用的充电桩的充电信息。</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(3)财务计费:可以对每台充电桩的计费规则进行设置；点击计费设置，可以对每台桩不同时段的收费标准进行设置。</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(4)运营统计报表:统计分析，可以查看充电桩的充电记录，充电金额记录等信息。</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(5)营收报表:通过营收报表，可以查看每个月的营收统计图、每个月的充电金额及收入情况；可以按月筛选查询；</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(6)财务报表:通过财务报表，可以查看每次充电的信息，包含充电时间、充电金额、充电电量等信息；也可以按照时间进行筛选查询；</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(7)充电统计报表:可以查看每台充电桩的每把枪的累计充电电量等信息；</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(8)充电桩管理:可以将新增加的充电桩纳入到此监控系统中；</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(9)充电站管理:可以对多个充电站进行管理，也可以增加新的充电站或删除旧的充电站；</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(10)充电站点详情查看:通过详情查看，可以查看每台桩每把枪的运行情况；</w:t>
            </w:r>
            <w:r>
              <w:rPr>
                <w:rFonts w:hint="eastAsia" w:ascii="宋体" w:hAnsi="宋体" w:eastAsia="宋体" w:cs="宋体"/>
                <w:color w:val="000000"/>
                <w:kern w:val="2"/>
                <w:sz w:val="20"/>
                <w:szCs w:val="20"/>
              </w:rPr>
              <w:br w:type="textWrapping"/>
            </w:r>
            <w:r>
              <w:rPr>
                <w:rFonts w:hint="eastAsia" w:ascii="宋体" w:hAnsi="宋体" w:eastAsia="宋体" w:cs="宋体"/>
                <w:color w:val="000000"/>
                <w:kern w:val="2"/>
                <w:sz w:val="20"/>
                <w:szCs w:val="20"/>
              </w:rPr>
              <w:t>(11)为确保数据统计进行统一管理，并减少后续管理、运维成本，所投用电动车充电站综合运营管理平台软件，须能够实现员工账户统一管理授权。为保证中标人所提供的硬件设备及软件平台能达到招标文件的要求，采购单位在交货时有权对中标人提供的硬件设备及软件平台进行测试和现场演示，以供确认是否达到招标文件中所规定的技术功能要求，中标人未提供的则视为虚假应标，所有损失由中标人承担，采购单位有权索赔。</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项</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rPr>
                <w:rFonts w:ascii="宋体" w:hAnsi="宋体" w:eastAsia="宋体" w:cs="宋体"/>
                <w:kern w:val="2"/>
                <w:sz w:val="20"/>
                <w:szCs w:val="20"/>
              </w:rPr>
            </w:pPr>
            <w:r>
              <w:rPr>
                <w:rFonts w:hint="eastAsia" w:ascii="宋体" w:hAnsi="宋体" w:eastAsia="宋体" w:cs="宋体"/>
                <w:kern w:val="2"/>
                <w:sz w:val="20"/>
                <w:szCs w:val="20"/>
              </w:rPr>
              <w:t>16台7kW充电桩需接入一期项目充电桩管理平台（蔚景云）及我司充电桩微信小程序（运营智能充）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汇聚交换机</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highlight w:val="none"/>
              </w:rPr>
            </w:pPr>
            <w:r>
              <w:rPr>
                <w:rFonts w:hint="eastAsia" w:ascii="宋体" w:hAnsi="宋体" w:eastAsia="宋体" w:cs="宋体"/>
                <w:color w:val="000000"/>
                <w:kern w:val="2"/>
                <w:sz w:val="20"/>
                <w:szCs w:val="20"/>
              </w:rPr>
              <w:t>1.单机固化10/100/1000M以太网端口24，复用千兆光口1个，非复用万兆光口1个，最大可用千兆口</w:t>
            </w:r>
            <w:r>
              <w:rPr>
                <w:rFonts w:hint="eastAsia" w:ascii="宋体" w:hAnsi="宋体" w:eastAsia="宋体" w:cs="宋体"/>
                <w:color w:val="000000"/>
                <w:kern w:val="2"/>
                <w:sz w:val="20"/>
                <w:szCs w:val="20"/>
                <w:highlight w:val="none"/>
              </w:rPr>
              <w:t>26个</w:t>
            </w:r>
            <w:r>
              <w:rPr>
                <w:rFonts w:hint="eastAsia" w:ascii="宋体" w:hAnsi="宋体" w:eastAsia="宋体" w:cs="宋体"/>
                <w:color w:val="000000"/>
                <w:kern w:val="2"/>
                <w:sz w:val="20"/>
                <w:szCs w:val="20"/>
                <w:highlight w:val="none"/>
                <w:lang w:eastAsia="zh-CN"/>
              </w:rPr>
              <w:t>（</w:t>
            </w:r>
            <w:r>
              <w:rPr>
                <w:rFonts w:hint="eastAsia" w:ascii="宋体" w:hAnsi="宋体" w:eastAsia="宋体" w:cs="宋体"/>
                <w:color w:val="000000"/>
                <w:kern w:val="2"/>
                <w:sz w:val="20"/>
                <w:szCs w:val="20"/>
                <w:highlight w:val="none"/>
              </w:rPr>
              <w:t>须提供</w:t>
            </w:r>
            <w:r>
              <w:rPr>
                <w:rFonts w:hint="eastAsia" w:ascii="宋体" w:hAnsi="宋体" w:eastAsia="宋体" w:cs="宋体"/>
                <w:color w:val="000000"/>
                <w:kern w:val="2"/>
                <w:sz w:val="20"/>
                <w:szCs w:val="20"/>
                <w:highlight w:val="none"/>
                <w:lang w:val="en-US" w:eastAsia="zh-CN"/>
              </w:rPr>
              <w:t>相关检测</w:t>
            </w:r>
            <w:r>
              <w:rPr>
                <w:rFonts w:hint="eastAsia" w:ascii="宋体" w:hAnsi="宋体" w:eastAsia="宋体" w:cs="宋体"/>
                <w:color w:val="000000"/>
                <w:kern w:val="2"/>
                <w:sz w:val="20"/>
                <w:szCs w:val="20"/>
                <w:highlight w:val="none"/>
              </w:rPr>
              <w:t>报告</w:t>
            </w:r>
            <w:r>
              <w:rPr>
                <w:rFonts w:hint="eastAsia" w:ascii="宋体" w:hAnsi="宋体" w:eastAsia="宋体" w:cs="宋体"/>
                <w:color w:val="000000"/>
                <w:kern w:val="2"/>
                <w:sz w:val="20"/>
                <w:szCs w:val="20"/>
                <w:highlight w:val="none"/>
                <w:lang w:eastAsia="zh-CN"/>
              </w:rPr>
              <w:t>）</w:t>
            </w:r>
            <w:r>
              <w:rPr>
                <w:rFonts w:hint="eastAsia" w:ascii="宋体" w:hAnsi="宋体" w:eastAsia="宋体" w:cs="宋体"/>
                <w:color w:val="000000"/>
                <w:kern w:val="2"/>
                <w:sz w:val="20"/>
                <w:szCs w:val="20"/>
                <w:highlight w:val="none"/>
              </w:rPr>
              <w:t>。</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highlight w:val="none"/>
              </w:rPr>
            </w:pPr>
            <w:r>
              <w:rPr>
                <w:rFonts w:hint="eastAsia" w:ascii="宋体" w:hAnsi="宋体" w:eastAsia="宋体" w:cs="宋体"/>
                <w:color w:val="000000"/>
                <w:kern w:val="2"/>
                <w:sz w:val="20"/>
                <w:szCs w:val="20"/>
                <w:highlight w:val="none"/>
              </w:rPr>
              <w:t>技术参数要求：</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highlight w:val="none"/>
              </w:rPr>
            </w:pPr>
            <w:r>
              <w:rPr>
                <w:rFonts w:hint="eastAsia" w:ascii="宋体" w:hAnsi="宋体" w:eastAsia="宋体" w:cs="宋体"/>
                <w:color w:val="000000"/>
                <w:kern w:val="2"/>
                <w:sz w:val="20"/>
                <w:szCs w:val="20"/>
                <w:highlight w:val="none"/>
              </w:rPr>
              <w:t>2.交换容量240Gbps，包转发率120Mpps。</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highlight w:val="none"/>
              </w:rPr>
              <w:t>3.整机采用绿色环保设计，满负荷情况下功</w:t>
            </w:r>
            <w:r>
              <w:rPr>
                <w:rFonts w:hint="eastAsia" w:ascii="宋体" w:hAnsi="宋体" w:eastAsia="宋体" w:cs="宋体"/>
                <w:color w:val="000000"/>
                <w:kern w:val="2"/>
                <w:sz w:val="20"/>
                <w:szCs w:val="20"/>
              </w:rPr>
              <w:t>耗≤30W。</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4.支持虚拟化技术，通过固化万兆或四万兆端口即可实现虚拟化功能多台设备虚拟成一台设备，无需单独配置支持虚拟化板卡。</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5.所投产品所有GT接口要求符合6KV防。</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6.所投产品噪声等级符合国家0类噪声标准。</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7.要求设备支持标准的以太网OAM功能。</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8.要求设备提供断电告警功能。</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9.要求设备支持生成树快速收敛，要求广播收敛时间小于30ms，须提供权威部门测试报告。</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10.要求设备支持增强型多VLAN子网流量工程,实现非环网条件下的快速收敛。</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11.要求设备支持防Dos攻击、CPU安全防护等安全特性。</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台</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rPr>
                <w:rFonts w:ascii="宋体" w:hAnsi="宋体" w:eastAsia="宋体" w:cs="宋体"/>
                <w:kern w:val="2"/>
                <w:sz w:val="20"/>
                <w:szCs w:val="20"/>
              </w:rPr>
            </w:pPr>
            <w:r>
              <w:rPr>
                <w:rFonts w:hint="eastAsia" w:ascii="宋体" w:hAnsi="宋体" w:eastAsia="宋体" w:cs="宋体"/>
                <w:kern w:val="2"/>
                <w:sz w:val="20"/>
                <w:szCs w:val="20"/>
              </w:rPr>
              <w:t>品牌参考：神州数码、锐捷、华为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超五类网线</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1.支持千兆以太网信号传输。</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2.无氧铜芯，直流电阻小，信号衰减小。</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3.PVC护套，耐磨、抗拉强度高。</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rPr>
              <w:t>4</w:t>
            </w:r>
            <w:r>
              <w:rPr>
                <w:rFonts w:hint="eastAsia" w:ascii="宋体" w:hAnsi="宋体" w:eastAsia="宋体" w:cs="宋体"/>
                <w:color w:val="000000"/>
                <w:kern w:val="2"/>
                <w:sz w:val="20"/>
                <w:szCs w:val="20"/>
              </w:rPr>
              <w:t>.均匀双绞结构，有效降低干扰，确保信号传输质量。</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箱</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rPr>
                <w:rFonts w:ascii="宋体" w:hAnsi="宋体" w:eastAsia="宋体" w:cs="宋体"/>
                <w:kern w:val="2"/>
                <w:sz w:val="20"/>
                <w:szCs w:val="20"/>
              </w:rPr>
            </w:pPr>
            <w:r>
              <w:rPr>
                <w:rFonts w:hint="eastAsia" w:ascii="宋体" w:hAnsi="宋体" w:eastAsia="宋体" w:cs="宋体"/>
                <w:kern w:val="2"/>
                <w:sz w:val="20"/>
                <w:szCs w:val="20"/>
              </w:rPr>
              <w:t>品牌参考：海康威视、绿联、一舟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5</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低压动力电缆</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ZR-YJV22-0.6/</w:t>
            </w:r>
            <w:r>
              <w:rPr>
                <w:rFonts w:hint="eastAsia" w:ascii="宋体" w:hAnsi="宋体" w:eastAsia="宋体" w:cs="宋体"/>
                <w:sz w:val="20"/>
                <w:szCs w:val="20"/>
              </w:rPr>
              <w:t>1KV-4*70</w:t>
            </w:r>
            <w:r>
              <w:rPr>
                <w:rFonts w:hint="eastAsia" w:ascii="宋体" w:hAnsi="宋体" w:eastAsia="宋体" w:cs="宋体"/>
                <w:color w:val="000000"/>
                <w:kern w:val="2"/>
                <w:sz w:val="20"/>
                <w:szCs w:val="20"/>
              </w:rPr>
              <w:t>+1*35mm²</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135</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米</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品牌参考：</w:t>
            </w:r>
            <w:r>
              <w:rPr>
                <w:rFonts w:hint="eastAsia" w:ascii="宋体" w:hAnsi="宋体" w:eastAsia="宋体" w:cs="宋体"/>
                <w:color w:val="000000"/>
                <w:sz w:val="20"/>
                <w:szCs w:val="20"/>
                <w:lang w:eastAsia="zh-CN"/>
              </w:rPr>
              <w:t>精工</w:t>
            </w:r>
            <w:r>
              <w:rPr>
                <w:rFonts w:hint="eastAsia" w:ascii="宋体" w:hAnsi="宋体" w:eastAsia="宋体" w:cs="宋体"/>
                <w:color w:val="000000"/>
                <w:sz w:val="20"/>
                <w:szCs w:val="20"/>
              </w:rPr>
              <w:t>，阳工，桂昌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6</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低压动力电缆</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ZR-YJV22-0.6/1KV-3*10mm²</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485</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米</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品牌参考：</w:t>
            </w:r>
            <w:r>
              <w:rPr>
                <w:rFonts w:hint="eastAsia" w:ascii="宋体" w:hAnsi="宋体" w:eastAsia="宋体" w:cs="宋体"/>
                <w:color w:val="000000"/>
                <w:sz w:val="20"/>
                <w:szCs w:val="20"/>
                <w:lang w:eastAsia="zh-CN"/>
              </w:rPr>
              <w:t>精工</w:t>
            </w:r>
            <w:r>
              <w:rPr>
                <w:rFonts w:hint="eastAsia" w:ascii="宋体" w:hAnsi="宋体" w:eastAsia="宋体" w:cs="宋体"/>
                <w:color w:val="000000"/>
                <w:sz w:val="20"/>
                <w:szCs w:val="20"/>
              </w:rPr>
              <w:t>，阳工，桂昌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7</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低压电缆头制作</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sz w:val="20"/>
                <w:szCs w:val="20"/>
              </w:rPr>
              <w:t>4*70</w:t>
            </w:r>
            <w:r>
              <w:rPr>
                <w:rFonts w:hint="eastAsia" w:ascii="宋体" w:hAnsi="宋体" w:eastAsia="宋体" w:cs="宋体"/>
                <w:color w:val="000000"/>
                <w:kern w:val="2"/>
                <w:sz w:val="20"/>
                <w:szCs w:val="20"/>
              </w:rPr>
              <w:t>+1*35mm²</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2</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包含铜鼻子、人工/安装等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8</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低压电缆头制作</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3*10mm²</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18</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包含铜鼻子、人工/安装等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9</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PVC管&amp;安装-110</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 xml:space="preserve">CPVCΦ110 </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60</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米</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国标标准厚度,含材料费、人工/安装费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10</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PVC管&amp;安装-32</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CPVCΦ32</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305</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米</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国标标准厚度,含材料费、人工/安装费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11</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保护专用开关</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刀开关，315A</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只</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品牌参考：德力西，正泰，天正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12</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保护专用开关</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断路器，250A</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只</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品牌参考：德力西，正泰，天正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13</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保护专用开关</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断路器，63A</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16</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只</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品牌参考：德力西，正泰，天正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14</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桩标准配电箱</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配电箱安装尺寸：1500（H)*700（W)*400(D)元器件配置包含：箱体、NXB-125/3P C80*1、NXB-63H/3P 、 D63A*1/NXMLE-125S/2P/YQA/20*1/NU6-II-100KA/4P*1指示灯*3、接线端子若干、内部接线若干，报价不包含iDPNN-C40A/2P+VEA30mA断路器（由交流桩随机附带），配电箱预留安装空间，现场进行组装。</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kern w:val="2"/>
                <w:sz w:val="20"/>
                <w:szCs w:val="20"/>
              </w:rPr>
            </w:pPr>
            <w:r>
              <w:rPr>
                <w:rFonts w:hint="eastAsia" w:ascii="宋体" w:hAnsi="宋体" w:eastAsia="宋体" w:cs="宋体"/>
                <w:color w:val="000000"/>
                <w:sz w:val="20"/>
                <w:szCs w:val="20"/>
              </w:rPr>
              <w:t>适配16-20根交流桩场景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15</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电流互感器-4</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150/5</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4</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只</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品牌参考：德力西，正泰，天正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16</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三相电能表-2</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三相四线电子式多费率电能表DTSD1352，0.2S</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块</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品牌参考：德力西，正泰，天正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17</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接地扁钢采购&amp;安装-1</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50*5</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70</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米</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包含</w:t>
            </w:r>
            <w:r>
              <w:rPr>
                <w:rFonts w:hint="eastAsia" w:ascii="宋体" w:hAnsi="宋体" w:eastAsia="宋体" w:cs="宋体"/>
                <w:color w:val="000000"/>
                <w:sz w:val="20"/>
                <w:szCs w:val="20"/>
                <w:lang w:val="en-US" w:eastAsia="zh-CN"/>
              </w:rPr>
              <w:t>：</w:t>
            </w:r>
            <w:r>
              <w:rPr>
                <w:rFonts w:hint="eastAsia" w:ascii="宋体" w:hAnsi="宋体" w:eastAsia="宋体" w:cs="宋体"/>
                <w:color w:val="000000"/>
                <w:sz w:val="20"/>
                <w:szCs w:val="20"/>
              </w:rPr>
              <w:t>主材、安装辅材及机具、人工等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18</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防火封堵采购&amp;安装</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主材：FHS型堵料</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10</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kg</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包含：主材、安装辅材及机具、注油、人工等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19</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电缆井</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hint="eastAsia" w:ascii="宋体" w:hAnsi="宋体" w:eastAsia="宋体" w:cs="宋体"/>
                <w:color w:val="000000"/>
                <w:kern w:val="2"/>
                <w:sz w:val="20"/>
                <w:szCs w:val="20"/>
                <w:lang w:eastAsia="zh-CN"/>
              </w:rPr>
            </w:pPr>
            <w:r>
              <w:rPr>
                <w:rFonts w:hint="eastAsia" w:ascii="宋体" w:hAnsi="宋体" w:eastAsia="宋体" w:cs="宋体"/>
                <w:color w:val="000000"/>
                <w:kern w:val="2"/>
                <w:sz w:val="20"/>
                <w:szCs w:val="20"/>
              </w:rPr>
              <w:t>砖砌井；直径1米，深度1米</w:t>
            </w:r>
            <w:r>
              <w:rPr>
                <w:rFonts w:hint="eastAsia" w:ascii="宋体" w:hAnsi="宋体" w:eastAsia="宋体" w:cs="宋体"/>
                <w:color w:val="000000"/>
                <w:kern w:val="2"/>
                <w:sz w:val="20"/>
                <w:szCs w:val="20"/>
                <w:lang w:eastAsia="zh-CN"/>
              </w:rPr>
              <w:t>；</w:t>
            </w:r>
            <w:r>
              <w:rPr>
                <w:rFonts w:hint="eastAsia" w:ascii="宋体" w:hAnsi="宋体" w:eastAsia="宋体" w:cs="宋体"/>
                <w:color w:val="000000"/>
                <w:sz w:val="20"/>
                <w:szCs w:val="20"/>
              </w:rPr>
              <w:t>水泥砌质</w:t>
            </w:r>
            <w:r>
              <w:rPr>
                <w:rFonts w:hint="eastAsia" w:ascii="宋体" w:hAnsi="宋体" w:eastAsia="宋体" w:cs="宋体"/>
                <w:color w:val="000000"/>
                <w:sz w:val="20"/>
                <w:szCs w:val="20"/>
                <w:lang w:eastAsia="zh-CN"/>
              </w:rPr>
              <w:t>；钢筋混凝土盖板</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3</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包含：主材、安装辅材及人工等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20</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7kW桩土建基础</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hint="default" w:ascii="宋体" w:hAnsi="宋体" w:eastAsia="宋体" w:cs="宋体"/>
                <w:color w:val="000000"/>
                <w:kern w:val="2"/>
                <w:sz w:val="20"/>
                <w:szCs w:val="20"/>
                <w:lang w:val="en-US" w:eastAsia="zh-CN"/>
              </w:rPr>
            </w:pPr>
            <w:r>
              <w:rPr>
                <w:rFonts w:hint="eastAsia" w:ascii="宋体" w:hAnsi="宋体" w:eastAsia="宋体" w:cs="宋体"/>
                <w:color w:val="000000"/>
                <w:kern w:val="2"/>
                <w:sz w:val="20"/>
                <w:szCs w:val="20"/>
              </w:rPr>
              <w:t>350W×350H×400/600Dmm，材质：混凝土</w:t>
            </w:r>
            <w:r>
              <w:rPr>
                <w:rFonts w:hint="eastAsia" w:ascii="宋体" w:hAnsi="宋体" w:eastAsia="宋体" w:cs="宋体"/>
                <w:color w:val="000000"/>
                <w:kern w:val="2"/>
                <w:sz w:val="20"/>
                <w:szCs w:val="20"/>
                <w:lang w:val="en-US" w:eastAsia="zh-CN"/>
              </w:rPr>
              <w:t>C25</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16</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包含基础制作、预埋件或膨胀螺栓等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21</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户外配电箱土建基础</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hint="default" w:ascii="宋体" w:hAnsi="宋体" w:eastAsia="宋体" w:cs="宋体"/>
                <w:color w:val="000000"/>
                <w:kern w:val="2"/>
                <w:sz w:val="20"/>
                <w:szCs w:val="20"/>
                <w:lang w:val="en-US" w:eastAsia="zh-CN"/>
              </w:rPr>
            </w:pPr>
            <w:r>
              <w:rPr>
                <w:rFonts w:hint="eastAsia" w:ascii="宋体" w:hAnsi="宋体" w:eastAsia="宋体" w:cs="宋体"/>
                <w:color w:val="000000"/>
                <w:kern w:val="2"/>
                <w:sz w:val="20"/>
                <w:szCs w:val="20"/>
              </w:rPr>
              <w:t>安装尺寸：700(W)*400(D)，落地式，下埋尺寸：600mm，材质：混凝土</w:t>
            </w:r>
            <w:r>
              <w:rPr>
                <w:rFonts w:hint="eastAsia" w:ascii="宋体" w:hAnsi="宋体" w:eastAsia="宋体" w:cs="宋体"/>
                <w:color w:val="000000"/>
                <w:kern w:val="2"/>
                <w:sz w:val="20"/>
                <w:szCs w:val="20"/>
                <w:lang w:val="en-US" w:eastAsia="zh-CN"/>
              </w:rPr>
              <w:t>C25</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个</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r>
              <w:rPr>
                <w:rFonts w:hint="eastAsia" w:ascii="宋体" w:hAnsi="宋体" w:eastAsia="宋体" w:cs="宋体"/>
                <w:color w:val="000000"/>
                <w:sz w:val="20"/>
                <w:szCs w:val="20"/>
              </w:rPr>
              <w:t>包含基础制作、预埋件或膨胀螺栓等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22</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沥青混凝土开挖及复原</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 xml:space="preserve">电缆沟开挖600mm*600mm，电缆敷设、设备安装施工中对道路和绿化带破坏的地方进行恢复      </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35</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ascii="宋体" w:hAnsi="宋体" w:eastAsia="宋体" w:cs="宋体"/>
                <w:kern w:val="2"/>
                <w:sz w:val="20"/>
                <w:szCs w:val="20"/>
              </w:rPr>
            </w:pPr>
            <w:r>
              <w:rPr>
                <w:rFonts w:hint="eastAsia" w:ascii="宋体" w:hAnsi="宋体" w:eastAsia="宋体" w:cs="宋体"/>
                <w:kern w:val="2"/>
                <w:sz w:val="20"/>
                <w:szCs w:val="20"/>
              </w:rPr>
              <w:t>米</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textAlignment w:val="center"/>
              <w:rPr>
                <w:rFonts w:ascii="宋体" w:hAnsi="宋体" w:eastAsia="宋体" w:cs="宋体"/>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23</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车位标识牌</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rPr>
                <w:rFonts w:ascii="宋体" w:hAnsi="宋体" w:eastAsia="宋体" w:cs="宋体"/>
                <w:color w:val="000000"/>
                <w:kern w:val="2"/>
                <w:sz w:val="20"/>
                <w:szCs w:val="20"/>
              </w:rPr>
            </w:pPr>
            <w:r>
              <w:rPr>
                <w:rFonts w:hint="eastAsia" w:ascii="宋体" w:hAnsi="宋体" w:eastAsia="宋体" w:cs="宋体"/>
                <w:color w:val="000000"/>
                <w:kern w:val="2"/>
                <w:sz w:val="20"/>
                <w:szCs w:val="20"/>
              </w:rPr>
              <w:t>1.立柱式不锈钢材质，含基础 直径</w:t>
            </w:r>
            <w:r>
              <w:rPr>
                <w:rFonts w:hint="eastAsia" w:ascii="宋体" w:hAnsi="宋体" w:eastAsia="宋体" w:cs="宋体"/>
                <w:color w:val="000000"/>
                <w:sz w:val="20"/>
                <w:szCs w:val="20"/>
              </w:rPr>
              <w:t>100mm，地面高度：2200mm  下埋深度：600mm</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rPr>
                <w:rFonts w:ascii="宋体" w:hAnsi="宋体" w:eastAsia="宋体" w:cs="宋体"/>
                <w:color w:val="000000"/>
                <w:kern w:val="2"/>
                <w:sz w:val="20"/>
                <w:szCs w:val="20"/>
              </w:rPr>
            </w:pPr>
            <w:r>
              <w:rPr>
                <w:rFonts w:hint="eastAsia" w:ascii="宋体" w:hAnsi="宋体" w:eastAsia="宋体" w:cs="宋体"/>
                <w:color w:val="000000"/>
                <w:kern w:val="2"/>
                <w:sz w:val="20"/>
                <w:szCs w:val="20"/>
              </w:rPr>
              <w:t>2.标识牌材质：1.5厚铝板</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rPr>
                <w:rFonts w:ascii="宋体" w:hAnsi="宋体" w:eastAsia="宋体" w:cs="宋体"/>
                <w:color w:val="000000"/>
                <w:kern w:val="2"/>
                <w:sz w:val="20"/>
                <w:szCs w:val="20"/>
              </w:rPr>
            </w:pPr>
            <w:r>
              <w:rPr>
                <w:rFonts w:hint="eastAsia" w:ascii="宋体" w:hAnsi="宋体" w:eastAsia="宋体" w:cs="宋体"/>
                <w:color w:val="000000"/>
                <w:kern w:val="2"/>
                <w:sz w:val="20"/>
                <w:szCs w:val="20"/>
              </w:rPr>
              <w:t>3.标识牌尺寸：600mm*600mm</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rPr>
                <w:rFonts w:ascii="宋体" w:hAnsi="宋体" w:eastAsia="宋体" w:cs="宋体"/>
                <w:color w:val="000000"/>
                <w:kern w:val="2"/>
                <w:sz w:val="20"/>
                <w:szCs w:val="20"/>
              </w:rPr>
            </w:pPr>
            <w:r>
              <w:rPr>
                <w:rFonts w:hint="eastAsia" w:ascii="宋体" w:hAnsi="宋体" w:eastAsia="宋体" w:cs="宋体"/>
                <w:color w:val="000000"/>
                <w:kern w:val="2"/>
                <w:sz w:val="20"/>
                <w:szCs w:val="20"/>
              </w:rPr>
              <w:t>4.标识牌反光膜防水、防晒，经久耐用</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rPr>
                <w:rFonts w:ascii="宋体" w:hAnsi="宋体" w:eastAsia="宋体" w:cs="宋体"/>
                <w:kern w:val="2"/>
                <w:sz w:val="20"/>
                <w:szCs w:val="20"/>
              </w:rPr>
            </w:pPr>
            <w:r>
              <w:rPr>
                <w:rFonts w:hint="eastAsia" w:ascii="宋体" w:hAnsi="宋体" w:eastAsia="宋体" w:cs="宋体"/>
                <w:color w:val="000000"/>
                <w:sz w:val="20"/>
                <w:szCs w:val="20"/>
              </w:rPr>
              <w:t>包含：主材、安装辅材及人工等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24</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告示牌</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rPr>
                <w:rFonts w:ascii="宋体" w:hAnsi="宋体" w:eastAsia="宋体" w:cs="宋体"/>
                <w:color w:val="000000"/>
                <w:kern w:val="2"/>
                <w:sz w:val="20"/>
                <w:szCs w:val="20"/>
              </w:rPr>
            </w:pPr>
            <w:r>
              <w:rPr>
                <w:rFonts w:hint="eastAsia" w:ascii="宋体" w:hAnsi="宋体" w:eastAsia="宋体" w:cs="宋体"/>
                <w:color w:val="000000"/>
                <w:kern w:val="2"/>
                <w:sz w:val="20"/>
                <w:szCs w:val="20"/>
              </w:rPr>
              <w:t>1.立柱式不锈钢材质，含基础 直径</w:t>
            </w:r>
            <w:r>
              <w:rPr>
                <w:rFonts w:hint="eastAsia" w:ascii="宋体" w:hAnsi="宋体" w:eastAsia="宋体" w:cs="宋体"/>
                <w:color w:val="000000"/>
                <w:sz w:val="20"/>
                <w:szCs w:val="20"/>
              </w:rPr>
              <w:t>100mm，地面高度：1800mm  下埋深度：600mm</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rPr>
                <w:rFonts w:ascii="宋体" w:hAnsi="宋体" w:eastAsia="宋体" w:cs="宋体"/>
                <w:color w:val="000000"/>
                <w:kern w:val="2"/>
                <w:sz w:val="20"/>
                <w:szCs w:val="20"/>
              </w:rPr>
            </w:pPr>
            <w:r>
              <w:rPr>
                <w:rFonts w:hint="eastAsia" w:ascii="宋体" w:hAnsi="宋体" w:eastAsia="宋体" w:cs="宋体"/>
                <w:color w:val="000000"/>
                <w:kern w:val="2"/>
                <w:sz w:val="20"/>
                <w:szCs w:val="20"/>
              </w:rPr>
              <w:t>2.标识牌材质：1.5厚铝板</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rPr>
                <w:rFonts w:ascii="宋体" w:hAnsi="宋体" w:eastAsia="宋体" w:cs="宋体"/>
                <w:color w:val="000000"/>
                <w:kern w:val="2"/>
                <w:sz w:val="20"/>
                <w:szCs w:val="20"/>
              </w:rPr>
            </w:pPr>
            <w:r>
              <w:rPr>
                <w:rFonts w:hint="eastAsia" w:ascii="宋体" w:hAnsi="宋体" w:eastAsia="宋体" w:cs="宋体"/>
                <w:color w:val="000000"/>
                <w:kern w:val="2"/>
                <w:sz w:val="20"/>
                <w:szCs w:val="20"/>
              </w:rPr>
              <w:t>3.标识牌尺寸：900mm*1200mm</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rPr>
                <w:rFonts w:ascii="宋体" w:hAnsi="宋体" w:eastAsia="宋体" w:cs="宋体"/>
                <w:color w:val="000000"/>
                <w:kern w:val="2"/>
                <w:sz w:val="20"/>
                <w:szCs w:val="20"/>
              </w:rPr>
            </w:pPr>
            <w:r>
              <w:rPr>
                <w:rFonts w:hint="eastAsia" w:ascii="宋体" w:hAnsi="宋体" w:eastAsia="宋体" w:cs="宋体"/>
                <w:color w:val="000000"/>
                <w:kern w:val="2"/>
                <w:sz w:val="20"/>
                <w:szCs w:val="20"/>
              </w:rPr>
              <w:t>4.标识牌反光膜防水、防晒，经久耐用</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kern w:val="2"/>
                <w:sz w:val="20"/>
                <w:szCs w:val="20"/>
                <w:lang w:eastAsia="zh-CN"/>
              </w:rPr>
            </w:pPr>
            <w:r>
              <w:rPr>
                <w:rFonts w:hint="eastAsia" w:ascii="宋体" w:hAnsi="宋体" w:eastAsia="宋体" w:cs="宋体"/>
                <w:kern w:val="2"/>
                <w:sz w:val="20"/>
                <w:szCs w:val="20"/>
                <w:lang w:val="en-US" w:eastAsia="zh-CN"/>
              </w:rPr>
              <w:t>6</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套</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rPr>
                <w:rFonts w:hint="default" w:ascii="宋体" w:hAnsi="宋体" w:eastAsia="宋体" w:cs="宋体"/>
                <w:kern w:val="2"/>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3"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25</w:t>
            </w:r>
          </w:p>
        </w:tc>
        <w:tc>
          <w:tcPr>
            <w:tcW w:w="2414"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color w:val="000000"/>
                <w:kern w:val="2"/>
                <w:sz w:val="20"/>
                <w:szCs w:val="20"/>
              </w:rPr>
            </w:pPr>
            <w:r>
              <w:rPr>
                <w:rFonts w:hint="eastAsia" w:ascii="宋体" w:hAnsi="宋体" w:eastAsia="宋体" w:cs="宋体"/>
                <w:color w:val="000000"/>
                <w:kern w:val="2"/>
                <w:sz w:val="20"/>
                <w:szCs w:val="20"/>
              </w:rPr>
              <w:t>水基灭火器</w:t>
            </w:r>
          </w:p>
        </w:tc>
        <w:tc>
          <w:tcPr>
            <w:tcW w:w="8251"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rPr>
                <w:rFonts w:ascii="宋体" w:hAnsi="宋体" w:eastAsia="宋体" w:cs="宋体"/>
                <w:color w:val="000000"/>
                <w:kern w:val="2"/>
                <w:sz w:val="20"/>
                <w:szCs w:val="20"/>
              </w:rPr>
            </w:pPr>
            <w:r>
              <w:rPr>
                <w:rFonts w:hint="eastAsia" w:ascii="宋体" w:hAnsi="宋体" w:eastAsia="宋体" w:cs="宋体"/>
                <w:color w:val="000000"/>
                <w:kern w:val="2"/>
                <w:sz w:val="20"/>
                <w:szCs w:val="20"/>
              </w:rPr>
              <w:t>1.容量：</w:t>
            </w:r>
            <w:r>
              <w:rPr>
                <w:rFonts w:hint="eastAsia" w:ascii="宋体" w:hAnsi="宋体" w:eastAsia="宋体" w:cs="宋体"/>
                <w:color w:val="000000"/>
                <w:kern w:val="2"/>
                <w:sz w:val="20"/>
                <w:szCs w:val="20"/>
                <w:lang w:val="en-US" w:eastAsia="zh-CN"/>
              </w:rPr>
              <w:t>3</w:t>
            </w:r>
            <w:r>
              <w:rPr>
                <w:rFonts w:hint="eastAsia" w:ascii="宋体" w:hAnsi="宋体" w:eastAsia="宋体" w:cs="宋体"/>
                <w:color w:val="000000"/>
                <w:kern w:val="2"/>
                <w:sz w:val="20"/>
                <w:szCs w:val="20"/>
              </w:rPr>
              <w:t>L</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rPr>
                <w:rFonts w:ascii="宋体" w:hAnsi="宋体" w:eastAsia="宋体" w:cs="宋体"/>
                <w:color w:val="000000"/>
                <w:kern w:val="2"/>
                <w:sz w:val="20"/>
                <w:szCs w:val="20"/>
              </w:rPr>
            </w:pPr>
            <w:r>
              <w:rPr>
                <w:rFonts w:hint="eastAsia" w:ascii="宋体" w:hAnsi="宋体" w:eastAsia="宋体" w:cs="宋体"/>
                <w:color w:val="000000"/>
                <w:kern w:val="2"/>
                <w:sz w:val="20"/>
                <w:szCs w:val="20"/>
              </w:rPr>
              <w:t>2.喷射距离：2-3米</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rPr>
                <w:rFonts w:ascii="宋体" w:hAnsi="宋体" w:eastAsia="宋体" w:cs="宋体"/>
                <w:color w:val="000000"/>
                <w:kern w:val="2"/>
                <w:sz w:val="20"/>
                <w:szCs w:val="20"/>
              </w:rPr>
            </w:pPr>
            <w:r>
              <w:rPr>
                <w:rFonts w:hint="eastAsia" w:ascii="宋体" w:hAnsi="宋体" w:eastAsia="宋体" w:cs="宋体"/>
                <w:color w:val="000000"/>
                <w:kern w:val="2"/>
                <w:sz w:val="20"/>
                <w:szCs w:val="20"/>
              </w:rPr>
              <w:t>3.驱动气体：氮气1.0MPa-1.2MPa</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rPr>
                <w:rFonts w:ascii="宋体" w:hAnsi="宋体" w:eastAsia="宋体" w:cs="宋体"/>
                <w:color w:val="000000"/>
                <w:kern w:val="2"/>
                <w:sz w:val="20"/>
                <w:szCs w:val="20"/>
              </w:rPr>
            </w:pPr>
            <w:r>
              <w:rPr>
                <w:rFonts w:hint="eastAsia" w:ascii="宋体" w:hAnsi="宋体" w:eastAsia="宋体" w:cs="宋体"/>
                <w:color w:val="000000"/>
                <w:kern w:val="2"/>
                <w:sz w:val="20"/>
                <w:szCs w:val="20"/>
              </w:rPr>
              <w:t>4.变形测试压力：1.3MPa-2.1MPa</w:t>
            </w:r>
          </w:p>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left"/>
              <w:rPr>
                <w:rFonts w:ascii="宋体" w:hAnsi="宋体" w:eastAsia="宋体" w:cs="宋体"/>
                <w:color w:val="000000"/>
                <w:kern w:val="2"/>
                <w:sz w:val="20"/>
                <w:szCs w:val="20"/>
              </w:rPr>
            </w:pPr>
            <w:r>
              <w:rPr>
                <w:rFonts w:hint="eastAsia" w:ascii="宋体" w:hAnsi="宋体" w:eastAsia="宋体" w:cs="宋体"/>
                <w:color w:val="000000"/>
                <w:kern w:val="2"/>
                <w:sz w:val="20"/>
                <w:szCs w:val="20"/>
              </w:rPr>
              <w:t>5.304</w:t>
            </w:r>
            <w:r>
              <w:rPr>
                <w:rFonts w:hint="eastAsia" w:ascii="Tahoma" w:hAnsi="Tahoma" w:eastAsia="Tahoma" w:cs="Tahoma"/>
                <w:color w:val="000000"/>
                <w:sz w:val="18"/>
                <w:szCs w:val="18"/>
                <w:shd w:val="clear" w:color="auto" w:fill="FFFFFF"/>
              </w:rPr>
              <w:t>不锈钢款</w:t>
            </w:r>
            <w:r>
              <w:rPr>
                <w:rFonts w:hint="eastAsia" w:ascii="Tahoma" w:hAnsi="Tahoma" w:eastAsia="宋体" w:cs="Tahoma"/>
                <w:color w:val="000000"/>
                <w:sz w:val="18"/>
                <w:szCs w:val="18"/>
                <w:shd w:val="clear" w:color="auto" w:fill="FFFFFF"/>
              </w:rPr>
              <w:t>外体，</w:t>
            </w:r>
            <w:r>
              <w:rPr>
                <w:rFonts w:hint="eastAsia" w:ascii="宋体" w:hAnsi="宋体" w:eastAsia="宋体" w:cs="宋体"/>
                <w:color w:val="000000"/>
                <w:kern w:val="2"/>
                <w:sz w:val="20"/>
                <w:szCs w:val="20"/>
              </w:rPr>
              <w:t>耐高温、防爆</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10</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jc w:val="center"/>
              <w:rPr>
                <w:rFonts w:ascii="宋体" w:hAnsi="宋体" w:eastAsia="宋体" w:cs="宋体"/>
                <w:kern w:val="2"/>
                <w:sz w:val="20"/>
                <w:szCs w:val="20"/>
              </w:rPr>
            </w:pPr>
            <w:r>
              <w:rPr>
                <w:rFonts w:hint="eastAsia" w:ascii="宋体" w:hAnsi="宋体" w:eastAsia="宋体" w:cs="宋体"/>
                <w:kern w:val="2"/>
                <w:sz w:val="20"/>
                <w:szCs w:val="20"/>
              </w:rPr>
              <w:t>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before="0" w:after="0" w:afterAutospacing="0" w:line="240" w:lineRule="auto"/>
              <w:ind w:left="0" w:right="0" w:firstLine="0"/>
              <w:rPr>
                <w:rFonts w:ascii="宋体" w:hAnsi="宋体" w:eastAsia="宋体" w:cs="宋体"/>
                <w:kern w:val="2"/>
                <w:sz w:val="20"/>
                <w:szCs w:val="20"/>
              </w:rPr>
            </w:pPr>
          </w:p>
        </w:tc>
      </w:tr>
    </w:tbl>
    <w:p>
      <w:pPr>
        <w:widowControl w:val="0"/>
        <w:spacing w:before="0" w:after="0" w:afterAutospacing="0" w:line="240" w:lineRule="auto"/>
        <w:ind w:left="0" w:right="0" w:firstLine="0"/>
        <w:jc w:val="left"/>
        <w:rPr>
          <w:rFonts w:ascii="宋体" w:hAnsi="宋体" w:eastAsia="宋体" w:cs="宋体"/>
          <w:b/>
          <w:bCs/>
        </w:rPr>
      </w:pPr>
    </w:p>
    <w:p>
      <w:pPr>
        <w:widowControl w:val="0"/>
        <w:spacing w:before="0" w:after="0" w:afterAutospacing="0" w:line="240" w:lineRule="auto"/>
        <w:ind w:left="0" w:right="0" w:firstLine="0"/>
        <w:jc w:val="left"/>
        <w:rPr>
          <w:rFonts w:ascii="宋体" w:hAnsi="宋体" w:eastAsia="宋体" w:cs="宋体"/>
          <w:b/>
          <w:bCs/>
        </w:rPr>
      </w:pPr>
    </w:p>
    <w:p>
      <w:pPr>
        <w:widowControl w:val="0"/>
        <w:spacing w:before="0" w:after="0" w:afterAutospacing="0" w:line="240" w:lineRule="auto"/>
        <w:ind w:left="0" w:right="0" w:firstLine="0"/>
        <w:jc w:val="left"/>
        <w:rPr>
          <w:rFonts w:ascii="宋体" w:hAnsi="宋体" w:eastAsia="宋体" w:cs="宋体"/>
          <w:b/>
          <w:bCs/>
        </w:rPr>
      </w:pPr>
    </w:p>
    <w:p>
      <w:pPr>
        <w:widowControl w:val="0"/>
        <w:spacing w:before="0" w:after="0" w:afterAutospacing="0" w:line="240" w:lineRule="auto"/>
        <w:ind w:left="0" w:right="0" w:firstLine="0"/>
        <w:jc w:val="left"/>
        <w:rPr>
          <w:rFonts w:ascii="宋体" w:hAnsi="宋体" w:eastAsia="宋体" w:cs="宋体"/>
          <w:b/>
          <w:bCs/>
        </w:rPr>
      </w:pPr>
    </w:p>
    <w:p>
      <w:pPr>
        <w:widowControl w:val="0"/>
        <w:spacing w:before="0" w:after="0" w:afterAutospacing="0" w:line="240" w:lineRule="auto"/>
        <w:ind w:left="0" w:right="0" w:firstLine="0"/>
        <w:jc w:val="left"/>
        <w:rPr>
          <w:rFonts w:ascii="宋体" w:hAnsi="宋体" w:eastAsia="宋体" w:cs="宋体"/>
          <w:b/>
          <w:bCs/>
        </w:rPr>
      </w:pPr>
    </w:p>
    <w:p>
      <w:pPr>
        <w:widowControl w:val="0"/>
        <w:spacing w:before="0" w:after="0" w:afterAutospacing="0" w:line="240" w:lineRule="auto"/>
        <w:ind w:left="0" w:right="0" w:firstLine="0"/>
        <w:jc w:val="left"/>
        <w:rPr>
          <w:rFonts w:ascii="宋体" w:hAnsi="宋体" w:cs="宋体"/>
          <w:b/>
          <w:bCs/>
        </w:rPr>
        <w:sectPr>
          <w:pgSz w:w="16838" w:h="11905" w:orient="landscape"/>
          <w:pgMar w:top="1418" w:right="1418" w:bottom="1418" w:left="1418" w:header="851" w:footer="992" w:gutter="0"/>
          <w:cols w:space="425" w:num="1"/>
          <w:docGrid w:linePitch="312" w:charSpace="0"/>
        </w:sectPr>
      </w:pPr>
    </w:p>
    <w:p>
      <w:pPr>
        <w:spacing w:before="0" w:after="0" w:afterAutospacing="0"/>
        <w:ind w:left="0" w:right="0" w:firstLine="0"/>
        <w:jc w:val="left"/>
        <w:outlineLvl w:val="0"/>
        <w:rPr>
          <w:rFonts w:ascii="宋体" w:hAnsi="宋体" w:eastAsia="宋体" w:cs="Times New Roman"/>
          <w:b/>
          <w:kern w:val="2"/>
          <w:szCs w:val="20"/>
        </w:rPr>
      </w:pPr>
      <w:bookmarkStart w:id="1448" w:name="_Toc29508"/>
      <w:bookmarkStart w:id="1449" w:name="_Toc2391"/>
      <w:bookmarkStart w:id="1450" w:name="_Toc17361"/>
      <w:bookmarkStart w:id="1451" w:name="_Toc6343"/>
      <w:bookmarkStart w:id="1452" w:name="_Toc79434405"/>
      <w:bookmarkStart w:id="1453" w:name="_Toc31385"/>
      <w:bookmarkStart w:id="1454" w:name="_Toc19993"/>
      <w:bookmarkStart w:id="1455" w:name="_Toc22614"/>
      <w:bookmarkStart w:id="1456" w:name="_Toc23633"/>
      <w:bookmarkStart w:id="1457" w:name="_Toc12350"/>
      <w:bookmarkStart w:id="1458" w:name="_Toc11815"/>
      <w:bookmarkStart w:id="1459" w:name="_Toc3084"/>
      <w:bookmarkStart w:id="1460" w:name="_Toc6687"/>
      <w:bookmarkStart w:id="1461" w:name="_Toc2529"/>
      <w:bookmarkStart w:id="1462" w:name="_Toc23565"/>
      <w:bookmarkStart w:id="1463" w:name="_Toc23386"/>
      <w:bookmarkStart w:id="1464" w:name="_Toc15799"/>
      <w:bookmarkStart w:id="1465" w:name="_Toc13140"/>
      <w:bookmarkStart w:id="1466" w:name="_Toc30075"/>
      <w:r>
        <w:rPr>
          <w:rFonts w:ascii="宋体" w:hAnsi="Times New Roman" w:eastAsia="宋体" w:cs="Times New Roman"/>
          <w:szCs w:val="20"/>
        </w:rPr>
        <w:drawing>
          <wp:anchor distT="0" distB="0" distL="114300" distR="114300" simplePos="0" relativeHeight="251661312" behindDoc="0" locked="0" layoutInCell="1" allowOverlap="1">
            <wp:simplePos x="0" y="0"/>
            <wp:positionH relativeFrom="page">
              <wp:posOffset>795655</wp:posOffset>
            </wp:positionH>
            <wp:positionV relativeFrom="page">
              <wp:posOffset>1395730</wp:posOffset>
            </wp:positionV>
            <wp:extent cx="5905500" cy="6524625"/>
            <wp:effectExtent l="0" t="0" r="0" b="9525"/>
            <wp:wrapTopAndBottom/>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9"/>
                    <a:srcRect l="13414"/>
                    <a:stretch>
                      <a:fillRect/>
                    </a:stretch>
                  </pic:blipFill>
                  <pic:spPr>
                    <a:xfrm>
                      <a:off x="0" y="0"/>
                      <a:ext cx="5905500" cy="6524625"/>
                    </a:xfrm>
                    <a:prstGeom prst="rect">
                      <a:avLst/>
                    </a:prstGeom>
                    <a:noFill/>
                    <a:ln>
                      <a:noFill/>
                    </a:ln>
                  </pic:spPr>
                </pic:pic>
              </a:graphicData>
            </a:graphic>
          </wp:anchor>
        </w:drawing>
      </w:r>
      <w:r>
        <w:rPr>
          <w:rFonts w:hint="eastAsia" w:ascii="宋体" w:hAnsi="宋体" w:eastAsia="宋体" w:cs="Times New Roman"/>
          <w:b/>
          <w:kern w:val="2"/>
          <w:szCs w:val="20"/>
        </w:rPr>
        <w:t>附件2</w:t>
      </w:r>
      <w:r>
        <w:rPr>
          <w:rFonts w:hint="eastAsia" w:ascii="宋体" w:hAnsi="宋体" w:eastAsia="宋体" w:cs="宋体"/>
          <w:b/>
          <w:kern w:val="2"/>
          <w:szCs w:val="24"/>
        </w:rPr>
        <w:t>：</w:t>
      </w:r>
      <w:r>
        <w:rPr>
          <w:rFonts w:hint="eastAsia" w:ascii="宋体" w:hAnsi="宋体" w:eastAsia="宋体" w:cs="Times New Roman"/>
          <w:b/>
          <w:kern w:val="2"/>
          <w:szCs w:val="20"/>
        </w:rPr>
        <w:t>充电桩验收流程</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widowControl w:val="0"/>
        <w:spacing w:before="0" w:after="0" w:afterAutospacing="0"/>
        <w:ind w:left="0" w:right="0" w:firstLine="0"/>
        <w:jc w:val="center"/>
        <w:rPr>
          <w:rFonts w:ascii="宋体" w:hAnsi="宋体" w:eastAsia="宋体" w:cs="Times New Roman"/>
          <w:b/>
          <w:kern w:val="2"/>
          <w:szCs w:val="24"/>
        </w:rPr>
      </w:pPr>
    </w:p>
    <w:p>
      <w:pPr>
        <w:widowControl w:val="0"/>
        <w:spacing w:before="0" w:after="0" w:afterAutospacing="0"/>
        <w:ind w:left="0" w:right="0" w:firstLine="0"/>
        <w:jc w:val="center"/>
        <w:rPr>
          <w:rFonts w:ascii="宋体" w:hAnsi="宋体" w:eastAsia="宋体" w:cs="Times New Roman"/>
          <w:b/>
          <w:kern w:val="2"/>
          <w:szCs w:val="24"/>
        </w:rPr>
      </w:pPr>
    </w:p>
    <w:p>
      <w:pPr>
        <w:widowControl w:val="0"/>
        <w:spacing w:before="0" w:after="0" w:afterAutospacing="0"/>
        <w:ind w:left="0" w:right="0" w:firstLine="0"/>
        <w:jc w:val="center"/>
        <w:rPr>
          <w:rFonts w:ascii="宋体" w:hAnsi="宋体" w:eastAsia="宋体" w:cs="Times New Roman"/>
          <w:b/>
          <w:kern w:val="2"/>
          <w:szCs w:val="24"/>
        </w:rPr>
      </w:pPr>
    </w:p>
    <w:p>
      <w:pPr>
        <w:spacing w:before="0" w:after="0" w:afterAutospacing="0" w:line="240" w:lineRule="auto"/>
        <w:ind w:left="0" w:right="0" w:firstLine="0"/>
        <w:jc w:val="left"/>
        <w:rPr>
          <w:rFonts w:ascii="宋体" w:hAnsi="宋体" w:eastAsia="宋体" w:cs="宋体"/>
          <w:b/>
          <w:kern w:val="2"/>
          <w:szCs w:val="24"/>
        </w:rPr>
      </w:pPr>
      <w:bookmarkStart w:id="1467" w:name="_Toc637"/>
      <w:bookmarkStart w:id="1468" w:name="_Toc12487"/>
      <w:bookmarkStart w:id="1469" w:name="_Toc9983"/>
      <w:bookmarkStart w:id="1470" w:name="_Toc5202"/>
      <w:bookmarkStart w:id="1471" w:name="_Toc5678"/>
      <w:bookmarkStart w:id="1472" w:name="_Toc27940"/>
      <w:bookmarkStart w:id="1473" w:name="_Toc19930"/>
      <w:bookmarkStart w:id="1474" w:name="_Toc18520"/>
      <w:bookmarkStart w:id="1475" w:name="_Toc19230"/>
      <w:bookmarkStart w:id="1476" w:name="_Toc27479"/>
      <w:bookmarkStart w:id="1477" w:name="_Toc3363"/>
      <w:bookmarkStart w:id="1478" w:name="_Toc23844"/>
      <w:bookmarkStart w:id="1479" w:name="_Toc23405"/>
      <w:bookmarkStart w:id="1480" w:name="_Toc1475"/>
      <w:bookmarkStart w:id="1481" w:name="_Toc14681"/>
      <w:bookmarkStart w:id="1482" w:name="_Toc32095"/>
      <w:bookmarkStart w:id="1483" w:name="_Toc23030"/>
      <w:bookmarkStart w:id="1484" w:name="_Toc20051"/>
      <w:bookmarkStart w:id="1485" w:name="_Toc29572"/>
      <w:r>
        <w:rPr>
          <w:rFonts w:ascii="宋体" w:hAnsi="宋体" w:eastAsia="宋体" w:cs="宋体"/>
          <w:b/>
          <w:kern w:val="2"/>
          <w:szCs w:val="24"/>
        </w:rPr>
        <w:br w:type="page"/>
      </w:r>
    </w:p>
    <w:p>
      <w:pPr>
        <w:widowControl w:val="0"/>
        <w:spacing w:before="0" w:after="0" w:afterAutospacing="0"/>
        <w:ind w:left="0" w:right="0" w:firstLine="0"/>
        <w:jc w:val="left"/>
        <w:outlineLvl w:val="0"/>
        <w:rPr>
          <w:rFonts w:ascii="宋体" w:hAnsi="宋体" w:eastAsia="宋体" w:cs="宋体"/>
          <w:b/>
          <w:kern w:val="2"/>
          <w:szCs w:val="24"/>
        </w:rPr>
      </w:pPr>
      <w:bookmarkStart w:id="1486" w:name="_Toc79434406"/>
      <w:r>
        <w:rPr>
          <w:rFonts w:hint="eastAsia" w:ascii="宋体" w:hAnsi="宋体" w:eastAsia="宋体" w:cs="宋体"/>
          <w:b/>
          <w:kern w:val="2"/>
          <w:szCs w:val="24"/>
        </w:rPr>
        <w:t>附件3：充电桩验收大纲</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widowControl w:val="0"/>
        <w:spacing w:before="0" w:after="0" w:afterAutospacing="0"/>
        <w:ind w:left="0" w:right="0" w:firstLine="0"/>
        <w:jc w:val="center"/>
        <w:rPr>
          <w:rFonts w:ascii="宋体" w:hAnsi="宋体" w:eastAsia="宋体" w:cs="Times New Roman"/>
          <w:b/>
          <w:kern w:val="2"/>
          <w:szCs w:val="24"/>
        </w:rPr>
      </w:pPr>
      <w:r>
        <w:rPr>
          <w:rFonts w:hint="eastAsia" w:ascii="宋体" w:hAnsi="宋体" w:eastAsia="宋体" w:cs="Times New Roman"/>
          <w:b/>
          <w:kern w:val="2"/>
          <w:szCs w:val="24"/>
        </w:rPr>
        <w:t>表1 充电桩安装工程验收测试表</w:t>
      </w:r>
    </w:p>
    <w:tbl>
      <w:tblPr>
        <w:tblStyle w:val="28"/>
        <w:tblW w:w="0" w:type="auto"/>
        <w:jc w:val="center"/>
        <w:tblLayout w:type="fixed"/>
        <w:tblCellMar>
          <w:top w:w="0" w:type="dxa"/>
          <w:left w:w="108" w:type="dxa"/>
          <w:bottom w:w="0" w:type="dxa"/>
          <w:right w:w="108" w:type="dxa"/>
        </w:tblCellMar>
      </w:tblPr>
      <w:tblGrid>
        <w:gridCol w:w="590"/>
        <w:gridCol w:w="446"/>
        <w:gridCol w:w="4215"/>
        <w:gridCol w:w="1155"/>
        <w:gridCol w:w="1305"/>
        <w:gridCol w:w="934"/>
      </w:tblGrid>
      <w:tr>
        <w:tblPrEx>
          <w:tblCellMar>
            <w:top w:w="0" w:type="dxa"/>
            <w:left w:w="108" w:type="dxa"/>
            <w:bottom w:w="0" w:type="dxa"/>
            <w:right w:w="108" w:type="dxa"/>
          </w:tblCellMar>
        </w:tblPrEx>
        <w:trPr>
          <w:trHeight w:val="790"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Cs/>
                <w:color w:val="000000"/>
                <w:kern w:val="2"/>
                <w:sz w:val="18"/>
                <w:szCs w:val="24"/>
              </w:rPr>
            </w:pPr>
            <w:r>
              <w:rPr>
                <w:rFonts w:ascii="宋体" w:hAnsi="宋体" w:eastAsia="宋体" w:cs="Times New Roman"/>
                <w:bCs/>
                <w:color w:val="000000"/>
                <w:kern w:val="2"/>
                <w:sz w:val="18"/>
                <w:szCs w:val="24"/>
              </w:rPr>
              <w:t>编号</w:t>
            </w: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Cs/>
                <w:color w:val="000000"/>
                <w:kern w:val="2"/>
                <w:sz w:val="18"/>
                <w:szCs w:val="24"/>
              </w:rPr>
            </w:pPr>
            <w:r>
              <w:rPr>
                <w:rFonts w:ascii="宋体" w:hAnsi="宋体" w:eastAsia="宋体" w:cs="Times New Roman"/>
                <w:bCs/>
                <w:color w:val="000000"/>
                <w:kern w:val="2"/>
                <w:sz w:val="18"/>
                <w:szCs w:val="24"/>
              </w:rPr>
              <w:t>序号</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Cs/>
                <w:color w:val="000000"/>
                <w:kern w:val="2"/>
                <w:sz w:val="18"/>
                <w:szCs w:val="24"/>
              </w:rPr>
            </w:pPr>
            <w:r>
              <w:rPr>
                <w:rFonts w:ascii="宋体" w:hAnsi="宋体" w:eastAsia="宋体" w:cs="Times New Roman"/>
                <w:bCs/>
                <w:color w:val="000000"/>
                <w:kern w:val="2"/>
                <w:sz w:val="18"/>
                <w:szCs w:val="24"/>
              </w:rPr>
              <w:t>测试项目</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Cs/>
                <w:color w:val="000000"/>
                <w:kern w:val="2"/>
                <w:sz w:val="18"/>
                <w:szCs w:val="24"/>
              </w:rPr>
            </w:pPr>
            <w:r>
              <w:rPr>
                <w:rFonts w:ascii="宋体" w:hAnsi="宋体" w:eastAsia="宋体" w:cs="Times New Roman"/>
                <w:bCs/>
                <w:color w:val="000000"/>
                <w:kern w:val="2"/>
                <w:sz w:val="18"/>
                <w:szCs w:val="24"/>
              </w:rPr>
              <w:t>测试方式</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Cs/>
                <w:color w:val="000000"/>
                <w:kern w:val="2"/>
                <w:sz w:val="18"/>
                <w:szCs w:val="24"/>
              </w:rPr>
            </w:pPr>
            <w:r>
              <w:rPr>
                <w:rFonts w:ascii="宋体" w:hAnsi="宋体" w:eastAsia="宋体" w:cs="Times New Roman"/>
                <w:bCs/>
                <w:color w:val="000000"/>
                <w:kern w:val="2"/>
                <w:sz w:val="18"/>
                <w:szCs w:val="24"/>
              </w:rPr>
              <w:t>测试记录</w:t>
            </w: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Cs/>
                <w:color w:val="000000"/>
                <w:kern w:val="2"/>
                <w:sz w:val="18"/>
                <w:szCs w:val="24"/>
              </w:rPr>
            </w:pPr>
            <w:r>
              <w:rPr>
                <w:rFonts w:ascii="宋体" w:hAnsi="宋体" w:eastAsia="宋体" w:cs="Times New Roman"/>
                <w:bCs/>
                <w:color w:val="000000"/>
                <w:kern w:val="2"/>
                <w:sz w:val="18"/>
                <w:szCs w:val="24"/>
              </w:rPr>
              <w:t>单项测试结论</w:t>
            </w: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1.1</w:t>
            </w: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
                <w:color w:val="000000"/>
                <w:kern w:val="2"/>
                <w:sz w:val="18"/>
                <w:szCs w:val="24"/>
              </w:rPr>
            </w:pP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r>
              <w:rPr>
                <w:rFonts w:hint="eastAsia" w:ascii="宋体" w:hAnsi="宋体" w:eastAsia="宋体" w:cs="Times New Roman"/>
                <w:b/>
                <w:color w:val="000000"/>
                <w:kern w:val="2"/>
                <w:sz w:val="18"/>
                <w:szCs w:val="24"/>
              </w:rPr>
              <w:t>外观</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
                <w:color w:val="000000"/>
                <w:kern w:val="2"/>
                <w:sz w:val="18"/>
                <w:szCs w:val="24"/>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1</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w:t>
            </w:r>
            <w:r>
              <w:rPr>
                <w:rFonts w:hint="eastAsia" w:ascii="宋体" w:hAnsi="宋体" w:eastAsia="宋体" w:cs="Times New Roman"/>
                <w:color w:val="000000"/>
                <w:kern w:val="2"/>
                <w:sz w:val="18"/>
                <w:szCs w:val="24"/>
              </w:rPr>
              <w:t>充电桩</w:t>
            </w:r>
            <w:r>
              <w:rPr>
                <w:rFonts w:ascii="宋体" w:hAnsi="宋体" w:eastAsia="宋体" w:cs="Times New Roman"/>
                <w:color w:val="000000"/>
                <w:kern w:val="2"/>
                <w:sz w:val="18"/>
                <w:szCs w:val="24"/>
              </w:rPr>
              <w:t>铭牌、合格证、型号规格是否符合要求。</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510"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ascii="宋体" w:hAnsi="宋体" w:eastAsia="宋体" w:cs="Times New Roman"/>
                <w:kern w:val="2"/>
                <w:sz w:val="18"/>
                <w:szCs w:val="24"/>
              </w:rPr>
              <w:t>2</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kern w:val="2"/>
                <w:sz w:val="18"/>
                <w:szCs w:val="24"/>
              </w:rPr>
            </w:pPr>
            <w:r>
              <w:rPr>
                <w:rFonts w:ascii="宋体" w:hAnsi="宋体" w:eastAsia="宋体" w:cs="Times New Roman"/>
                <w:kern w:val="2"/>
                <w:sz w:val="18"/>
                <w:szCs w:val="24"/>
              </w:rPr>
              <w:t>检查外壳是否采用金属，壳体坚固，结构上防止</w:t>
            </w:r>
            <w:r>
              <w:rPr>
                <w:rFonts w:hint="eastAsia" w:ascii="宋体" w:hAnsi="宋体" w:eastAsia="宋体" w:cs="Times New Roman"/>
                <w:kern w:val="2"/>
                <w:sz w:val="18"/>
                <w:szCs w:val="24"/>
              </w:rPr>
              <w:t>人体</w:t>
            </w:r>
            <w:r>
              <w:rPr>
                <w:rFonts w:ascii="宋体" w:hAnsi="宋体" w:eastAsia="宋体" w:cs="Times New Roman"/>
                <w:kern w:val="2"/>
                <w:sz w:val="18"/>
                <w:szCs w:val="24"/>
              </w:rPr>
              <w:t>轻易触及露电部分。</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3</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检查柜体安装是否整齐，固定可靠，框架无变形。</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06"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4</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检查柜体的漆层是否清洁无损。</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56"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5</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检查柜体接地是否牢固良好。</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601"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6</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检查开启门是否</w:t>
            </w:r>
            <w:r>
              <w:rPr>
                <w:rFonts w:ascii="宋体" w:hAnsi="宋体" w:eastAsia="宋体" w:cs="Times New Roman"/>
                <w:kern w:val="2"/>
                <w:sz w:val="18"/>
                <w:szCs w:val="24"/>
              </w:rPr>
              <w:t>用裸铜线</w:t>
            </w:r>
            <w:r>
              <w:rPr>
                <w:rFonts w:ascii="宋体" w:hAnsi="宋体" w:eastAsia="宋体" w:cs="Times New Roman"/>
                <w:color w:val="000000"/>
                <w:kern w:val="2"/>
                <w:sz w:val="18"/>
                <w:szCs w:val="24"/>
              </w:rPr>
              <w:t>与接地金属构架可靠连接。</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510"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7</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检查基础型钢允许偏差，成列安装允许偏差是否满足要求，检查柜间连接是否牢固。</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21"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8</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w:t>
            </w:r>
            <w:r>
              <w:rPr>
                <w:rFonts w:hint="eastAsia" w:ascii="宋体" w:hAnsi="宋体" w:eastAsia="宋体" w:cs="Times New Roman"/>
                <w:color w:val="000000"/>
                <w:kern w:val="2"/>
                <w:sz w:val="18"/>
                <w:szCs w:val="24"/>
              </w:rPr>
              <w:t>充电桩</w:t>
            </w:r>
            <w:r>
              <w:rPr>
                <w:rFonts w:ascii="宋体" w:hAnsi="宋体" w:eastAsia="宋体" w:cs="Times New Roman"/>
                <w:color w:val="000000"/>
                <w:kern w:val="2"/>
                <w:sz w:val="18"/>
                <w:szCs w:val="24"/>
              </w:rPr>
              <w:t>安装垂直倾斜度不超过5%。</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测量查看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21"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9</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kern w:val="2"/>
                <w:sz w:val="18"/>
                <w:szCs w:val="24"/>
              </w:rPr>
            </w:pPr>
            <w:r>
              <w:rPr>
                <w:rFonts w:ascii="宋体" w:hAnsi="宋体" w:eastAsia="宋体" w:cs="Times New Roman"/>
                <w:kern w:val="2"/>
                <w:sz w:val="18"/>
                <w:szCs w:val="24"/>
              </w:rPr>
              <w:t>防锈（防氧化）:</w:t>
            </w:r>
            <w:r>
              <w:rPr>
                <w:rFonts w:hint="eastAsia" w:ascii="宋体" w:hAnsi="宋体" w:eastAsia="宋体" w:cs="Times New Roman"/>
                <w:kern w:val="2"/>
                <w:sz w:val="18"/>
                <w:szCs w:val="24"/>
              </w:rPr>
              <w:t>充电桩</w:t>
            </w:r>
            <w:r>
              <w:rPr>
                <w:rFonts w:ascii="宋体" w:hAnsi="宋体" w:eastAsia="宋体" w:cs="Times New Roman"/>
                <w:kern w:val="2"/>
                <w:sz w:val="18"/>
                <w:szCs w:val="24"/>
              </w:rPr>
              <w:t>铁质外壳和暴露在外的铁质支架、零件应采取双层防锈措施，非铁质的金属外壳也应具有防氧化保护膜或进行防氧化处理。</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21"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10</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防盗保护：室外充电桩外壳门应装防盗锁，固定充电桩的螺栓必须是在打开外壳的门后才能安装或拆卸。</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18"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1.2</w:t>
            </w: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
                <w:color w:val="000000"/>
                <w:kern w:val="2"/>
                <w:sz w:val="18"/>
                <w:szCs w:val="24"/>
              </w:rPr>
            </w:pP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r>
              <w:rPr>
                <w:rFonts w:ascii="宋体" w:hAnsi="宋体" w:eastAsia="宋体" w:cs="Times New Roman"/>
                <w:b/>
                <w:color w:val="000000"/>
                <w:kern w:val="2"/>
                <w:sz w:val="18"/>
                <w:szCs w:val="24"/>
              </w:rPr>
              <w:t>机屏电器</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
                <w:kern w:val="2"/>
                <w:sz w:val="18"/>
                <w:szCs w:val="24"/>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r>
      <w:tr>
        <w:tblPrEx>
          <w:tblCellMar>
            <w:top w:w="0" w:type="dxa"/>
            <w:left w:w="108" w:type="dxa"/>
            <w:bottom w:w="0" w:type="dxa"/>
            <w:right w:w="108" w:type="dxa"/>
          </w:tblCellMar>
        </w:tblPrEx>
        <w:trPr>
          <w:trHeight w:val="510"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w:t>
            </w:r>
            <w:r>
              <w:rPr>
                <w:rFonts w:hint="eastAsia" w:ascii="宋体" w:hAnsi="宋体" w:eastAsia="宋体" w:cs="Times New Roman"/>
                <w:color w:val="000000"/>
                <w:kern w:val="2"/>
                <w:sz w:val="18"/>
                <w:szCs w:val="24"/>
              </w:rPr>
              <w:t>充电桩</w:t>
            </w:r>
            <w:r>
              <w:rPr>
                <w:rFonts w:ascii="宋体" w:hAnsi="宋体" w:eastAsia="宋体" w:cs="Times New Roman"/>
                <w:color w:val="000000"/>
                <w:kern w:val="2"/>
                <w:sz w:val="18"/>
                <w:szCs w:val="24"/>
              </w:rPr>
              <w:t>屏上各电器的名称、型号以及运行标志是否齐全、清晰。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2</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充电桩</w:t>
            </w:r>
            <w:r>
              <w:rPr>
                <w:rFonts w:ascii="宋体" w:hAnsi="宋体" w:eastAsia="宋体" w:cs="Times New Roman"/>
                <w:color w:val="000000"/>
                <w:kern w:val="2"/>
                <w:sz w:val="18"/>
                <w:szCs w:val="24"/>
              </w:rPr>
              <w:t>屏上各个元器件应拆装方便。</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3</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充电桩</w:t>
            </w:r>
            <w:r>
              <w:rPr>
                <w:rFonts w:ascii="宋体" w:hAnsi="宋体" w:eastAsia="宋体" w:cs="Times New Roman"/>
                <w:color w:val="000000"/>
                <w:kern w:val="2"/>
                <w:sz w:val="18"/>
                <w:szCs w:val="24"/>
              </w:rPr>
              <w:t>屏的发热器件应安装在散热良好的地方。</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510"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4</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检查熔断器规格，自动开关整定值是否符合设计要求, 检查开关是否操作灵活，有无较大振动和噪声。</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21"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5</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w:t>
            </w:r>
            <w:r>
              <w:rPr>
                <w:rFonts w:hint="eastAsia" w:ascii="宋体" w:hAnsi="宋体" w:eastAsia="宋体" w:cs="Times New Roman"/>
                <w:color w:val="000000"/>
                <w:kern w:val="2"/>
                <w:sz w:val="18"/>
                <w:szCs w:val="24"/>
              </w:rPr>
              <w:t>充电桩</w:t>
            </w:r>
            <w:r>
              <w:rPr>
                <w:rFonts w:ascii="宋体" w:hAnsi="宋体" w:eastAsia="宋体" w:cs="Times New Roman"/>
                <w:color w:val="000000"/>
                <w:kern w:val="2"/>
                <w:sz w:val="18"/>
                <w:szCs w:val="24"/>
              </w:rPr>
              <w:t>屏上信号是否显示正确。</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76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6</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检查直流母线排尺寸是否符合要求，正负母线标识及相色是否正确，是否连接牢固，固定可靠，是否与导线连接牢固可靠，是否采用阻燃绝缘铜母线。</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1.3</w:t>
            </w: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
                <w:color w:val="000000"/>
                <w:kern w:val="2"/>
                <w:sz w:val="18"/>
                <w:szCs w:val="24"/>
              </w:rPr>
            </w:pP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r>
              <w:rPr>
                <w:rFonts w:ascii="宋体" w:hAnsi="宋体" w:eastAsia="宋体" w:cs="Times New Roman"/>
                <w:b/>
                <w:color w:val="000000"/>
                <w:kern w:val="2"/>
                <w:sz w:val="18"/>
                <w:szCs w:val="24"/>
              </w:rPr>
              <w:t>机屏二次回路及端子排</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二次回路应按图纸施工，接线正确。</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2</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导线与电气元件应连接牢固可靠。</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3</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屏、柜内的导线不应有接头，导线芯线应无损伤。</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510"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4</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检查线芯标识正确、规范，二次回路的编号是否满足要求。</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510"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5</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配线应整齐、清晰、美观，导线绝缘应良好，无损伤。二次回路接地应设专用螺栓。</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6</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检查电流回路和其它回路导线的截面是否满足要求。</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7</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检查可动部位导线的安装是否符合要求。</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8</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端子排应无损坏，固定牢固，绝缘良好。</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9</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端子应有序号，端子排应便于更换且接线方便。</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10</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端子排离地高度宜大于350mm。</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639"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11</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交流回路电压超过400V者，端子板应有足够的绝缘强度。</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12</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检查端子与导线截面是否匹配。</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510"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13</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连接件应采用铜质制品，绝缘件应采用自熄性阻燃材料。</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510"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14</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端子牌应标明编号、名称，其标明的字迹应清晰、工整，且不易褪色。</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510"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15</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同一个端子并接的线芯不超过两根，不同线芯的导线不并接入同一个端子。</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360"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1.4</w:t>
            </w: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
                <w:color w:val="000000"/>
                <w:kern w:val="2"/>
                <w:sz w:val="18"/>
                <w:szCs w:val="24"/>
              </w:rPr>
            </w:pP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r>
              <w:rPr>
                <w:rFonts w:ascii="宋体" w:hAnsi="宋体" w:eastAsia="宋体" w:cs="Times New Roman"/>
                <w:b/>
                <w:color w:val="000000"/>
                <w:kern w:val="2"/>
                <w:sz w:val="18"/>
                <w:szCs w:val="24"/>
              </w:rPr>
              <w:t>机屏电缆接线</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
                <w:color w:val="000000"/>
                <w:kern w:val="2"/>
                <w:sz w:val="18"/>
                <w:szCs w:val="24"/>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检查线径是否符合设计标准。</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测量查看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2</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线耳与导线要压接搪锡焊牢，接头部分热缩包牢。</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3</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检查引入柜电缆和铠装电缆的安装是否</w:t>
            </w:r>
            <w:r>
              <w:rPr>
                <w:rFonts w:hint="eastAsia" w:ascii="宋体" w:hAnsi="宋体" w:eastAsia="宋体" w:cs="Times New Roman"/>
                <w:color w:val="000000"/>
                <w:kern w:val="2"/>
                <w:sz w:val="18"/>
                <w:szCs w:val="24"/>
              </w:rPr>
              <w:t>牢固</w:t>
            </w:r>
            <w:r>
              <w:rPr>
                <w:rFonts w:ascii="宋体" w:hAnsi="宋体" w:eastAsia="宋体" w:cs="Times New Roman"/>
                <w:color w:val="000000"/>
                <w:kern w:val="2"/>
                <w:sz w:val="18"/>
                <w:szCs w:val="24"/>
              </w:rPr>
              <w:t>。</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4</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柜内电缆芯线应水平或垂直配置。</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5</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强弱电回路不应使用同一根电缆。</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6</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电缆接头无锈蚀，电缆孔密封。</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510"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7</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直流母线及接头应满足长期通过设计电流的要求，屏间引线应满足长期通过设计电流的要求。</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28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8</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w:t>
            </w:r>
            <w:r>
              <w:rPr>
                <w:rFonts w:hint="eastAsia" w:ascii="宋体" w:hAnsi="宋体" w:eastAsia="宋体" w:cs="Times New Roman"/>
                <w:color w:val="000000"/>
                <w:kern w:val="2"/>
                <w:sz w:val="18"/>
                <w:szCs w:val="24"/>
              </w:rPr>
              <w:t>充电桩</w:t>
            </w:r>
            <w:r>
              <w:rPr>
                <w:rFonts w:ascii="宋体" w:hAnsi="宋体" w:eastAsia="宋体" w:cs="Times New Roman"/>
                <w:color w:val="000000"/>
                <w:kern w:val="2"/>
                <w:sz w:val="18"/>
                <w:szCs w:val="24"/>
              </w:rPr>
              <w:t>屏内所有电缆牌的标记是否</w:t>
            </w:r>
            <w:r>
              <w:rPr>
                <w:rFonts w:hint="eastAsia" w:ascii="宋体" w:hAnsi="宋体" w:eastAsia="宋体" w:cs="Times New Roman"/>
                <w:color w:val="000000"/>
                <w:kern w:val="2"/>
                <w:sz w:val="18"/>
                <w:szCs w:val="24"/>
              </w:rPr>
              <w:t>清楚</w:t>
            </w:r>
            <w:r>
              <w:rPr>
                <w:rFonts w:ascii="宋体" w:hAnsi="宋体" w:eastAsia="宋体" w:cs="Times New Roman"/>
                <w:color w:val="000000"/>
                <w:kern w:val="2"/>
                <w:sz w:val="18"/>
                <w:szCs w:val="24"/>
              </w:rPr>
              <w:t>。</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390"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1.5</w:t>
            </w: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
                <w:color w:val="000000"/>
                <w:kern w:val="2"/>
                <w:sz w:val="18"/>
                <w:szCs w:val="24"/>
              </w:rPr>
            </w:pP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r>
              <w:rPr>
                <w:rFonts w:ascii="宋体" w:hAnsi="宋体" w:eastAsia="宋体" w:cs="Times New Roman"/>
                <w:b/>
                <w:color w:val="000000"/>
                <w:kern w:val="2"/>
                <w:sz w:val="18"/>
                <w:szCs w:val="24"/>
              </w:rPr>
              <w:t>机屏表计</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
                <w:kern w:val="2"/>
                <w:sz w:val="18"/>
                <w:szCs w:val="24"/>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宋体" w:hAnsi="宋体" w:eastAsia="宋体" w:cs="Times New Roman"/>
                <w:color w:val="000000"/>
                <w:kern w:val="2"/>
                <w:sz w:val="18"/>
                <w:szCs w:val="24"/>
              </w:rPr>
              <w:t>检查所配表计</w:t>
            </w:r>
            <w:r>
              <w:rPr>
                <w:rFonts w:hint="eastAsia" w:ascii="宋体" w:hAnsi="宋体" w:eastAsia="宋体" w:cs="Times New Roman"/>
                <w:color w:val="000000"/>
                <w:kern w:val="2"/>
                <w:sz w:val="18"/>
                <w:szCs w:val="24"/>
              </w:rPr>
              <w:t>数字</w:t>
            </w:r>
            <w:r>
              <w:rPr>
                <w:rFonts w:ascii="宋体" w:hAnsi="宋体" w:eastAsia="宋体" w:cs="Times New Roman"/>
                <w:color w:val="000000"/>
                <w:kern w:val="2"/>
                <w:sz w:val="18"/>
                <w:szCs w:val="24"/>
              </w:rPr>
              <w:t>显示是否</w:t>
            </w:r>
            <w:r>
              <w:rPr>
                <w:rFonts w:hint="eastAsia" w:ascii="宋体" w:hAnsi="宋体" w:eastAsia="宋体" w:cs="Times New Roman"/>
                <w:color w:val="000000"/>
                <w:kern w:val="2"/>
                <w:sz w:val="18"/>
                <w:szCs w:val="24"/>
              </w:rPr>
              <w:t>清晰</w:t>
            </w:r>
            <w:r>
              <w:rPr>
                <w:rFonts w:ascii="宋体" w:hAnsi="宋体" w:eastAsia="宋体" w:cs="Times New Roman"/>
                <w:color w:val="000000"/>
                <w:kern w:val="2"/>
                <w:sz w:val="18"/>
                <w:szCs w:val="24"/>
              </w:rPr>
              <w:t>。</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1.6</w:t>
            </w: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b/>
                <w:color w:val="000000"/>
                <w:kern w:val="2"/>
                <w:sz w:val="18"/>
                <w:szCs w:val="24"/>
              </w:rPr>
            </w:pP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r>
              <w:rPr>
                <w:rFonts w:hint="eastAsia" w:ascii="宋体" w:hAnsi="宋体" w:eastAsia="宋体" w:cs="Times New Roman"/>
                <w:b/>
                <w:color w:val="000000"/>
                <w:kern w:val="2"/>
                <w:sz w:val="18"/>
                <w:szCs w:val="24"/>
              </w:rPr>
              <w:t>人机界面与操作</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检查人机界面的菜单切换功能和定值设置是否符合设计要求。</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现场操作</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306"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2</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改变人机界面定值时，充电桩仍应能够正常工作。</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现场操作</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76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3</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充电桩开停机操作正常，急停开关是否工作正常，充电桩启动和停电恢复是否由人工确认后才能</w:t>
            </w:r>
            <w:r>
              <w:rPr>
                <w:rFonts w:ascii="宋体" w:hAnsi="宋体" w:eastAsia="宋体" w:cs="Times New Roman"/>
                <w:color w:val="000000"/>
                <w:kern w:val="2"/>
                <w:sz w:val="18"/>
                <w:szCs w:val="24"/>
              </w:rPr>
              <w:t>恢复</w:t>
            </w:r>
            <w:r>
              <w:rPr>
                <w:rFonts w:hint="eastAsia" w:ascii="宋体" w:hAnsi="宋体" w:eastAsia="宋体" w:cs="Times New Roman"/>
                <w:color w:val="000000"/>
                <w:kern w:val="2"/>
                <w:sz w:val="18"/>
                <w:szCs w:val="24"/>
              </w:rPr>
              <w:t>。</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现场操作</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4</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检查人机界面的模拟量采集及显示数据是否正确，功能是否正常。</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5</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检查人机界面是否符合《电动汽车非车载充电桩技术规范》（Q/CSG11516.3-2010）中6.7.3规定的要求。</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6</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检查GPS对时功能是否正常。</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kern w:val="2"/>
                <w:sz w:val="18"/>
                <w:szCs w:val="24"/>
              </w:rPr>
            </w:pPr>
            <w:r>
              <w:rPr>
                <w:rFonts w:hint="eastAsia" w:ascii="宋体" w:hAnsi="宋体" w:eastAsia="宋体" w:cs="Times New Roman"/>
                <w:kern w:val="2"/>
                <w:sz w:val="18"/>
                <w:szCs w:val="24"/>
              </w:rPr>
              <w:t>现场查看</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1.7</w:t>
            </w: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315"/>
              </w:tabs>
              <w:kinsoku/>
              <w:wordWrap/>
              <w:overflowPunct/>
              <w:topLinePunct w:val="0"/>
              <w:bidi w:val="0"/>
              <w:snapToGrid/>
              <w:spacing w:before="0" w:after="0" w:afterAutospacing="0" w:line="240" w:lineRule="auto"/>
              <w:ind w:left="316" w:right="0" w:hanging="316" w:hangingChars="175"/>
              <w:jc w:val="left"/>
              <w:rPr>
                <w:rFonts w:ascii="宋体" w:hAnsi="宋体" w:eastAsia="宋体" w:cs="Times New Roman"/>
                <w:color w:val="000000"/>
                <w:sz w:val="18"/>
                <w:szCs w:val="20"/>
              </w:rPr>
            </w:pPr>
            <w:r>
              <w:rPr>
                <w:rFonts w:hint="eastAsia" w:ascii="宋体" w:hAnsi="宋体" w:eastAsia="宋体" w:cs="Times New Roman"/>
                <w:b/>
                <w:color w:val="000000"/>
                <w:kern w:val="2"/>
                <w:sz w:val="18"/>
                <w:szCs w:val="20"/>
              </w:rPr>
              <w:t>充电桩重要功能、性能指标</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三遥测试：充电桩“遥测、遥信、遥控”功能的检查按照《电动汽车非车载充电桩技术规范》（Q/CSG11516.3-2010）附录A，对照主站充电桩人机界面及操作，进行对比测试。</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现场操作</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2</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充电桩输入/输出电流电压值指标测试：在单个充电任务与全站满负荷充电任务时测试各项指标，按照《电动汽车非车载充电桩技术规范》（Q/CSG11516.3-2010）指标范围进行对比。</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现场操作</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3</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低压辅助电源指标测试</w:t>
            </w:r>
            <w:r>
              <w:rPr>
                <w:rFonts w:hint="eastAsia" w:ascii="Calibri" w:hAnsi="Calibri" w:eastAsia="宋体" w:cs="Times New Roman"/>
                <w:kern w:val="2"/>
                <w:sz w:val="18"/>
                <w:szCs w:val="24"/>
              </w:rPr>
              <w:t>：</w:t>
            </w:r>
            <w:r>
              <w:rPr>
                <w:rFonts w:hint="eastAsia" w:ascii="宋体" w:hAnsi="宋体" w:eastAsia="宋体" w:cs="Times New Roman"/>
                <w:color w:val="000000"/>
                <w:kern w:val="2"/>
                <w:sz w:val="18"/>
                <w:szCs w:val="24"/>
              </w:rPr>
              <w:t>在单个充电任务与全站满负荷充电任务时测试各项指标，测试结果是否满足《电动汽车非车载充电桩技术规范》（Q/CSG11516.3-2010）。</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现场操作</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4</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Calibri" w:hAnsi="Calibri" w:eastAsia="宋体" w:cs="Times New Roman"/>
                <w:kern w:val="2"/>
                <w:sz w:val="18"/>
              </w:rPr>
              <w:t>电气绝缘性能</w:t>
            </w:r>
            <w:r>
              <w:rPr>
                <w:rFonts w:hint="eastAsia" w:ascii="宋体" w:hAnsi="宋体" w:eastAsia="宋体" w:cs="Times New Roman"/>
                <w:color w:val="000000"/>
                <w:kern w:val="2"/>
                <w:sz w:val="18"/>
                <w:szCs w:val="24"/>
              </w:rPr>
              <w:t>测试：在单个充电任务与全站满负荷充电任务时测试绝缘电阻和漏电流指标，测试结果是否满足《电动汽车非车载充电桩技术规范》（Q/CSG11516.3-2010）。</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现场操作</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5</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ascii="Calibri" w:hAnsi="Calibri" w:eastAsia="宋体" w:cs="Times New Roman"/>
                <w:sz w:val="18"/>
                <w:szCs w:val="24"/>
              </w:rPr>
              <w:t>噪声</w:t>
            </w:r>
            <w:r>
              <w:rPr>
                <w:rFonts w:hint="eastAsia" w:ascii="宋体" w:hAnsi="宋体" w:eastAsia="宋体" w:cs="Times New Roman"/>
                <w:color w:val="000000"/>
                <w:kern w:val="2"/>
                <w:sz w:val="18"/>
                <w:szCs w:val="24"/>
              </w:rPr>
              <w:t>测试：在单个充电任务与全站满负荷充电任务时测试各项指标，测试结果是否满足《电动汽车非车载充电桩技术规范》（Q/CSG11516.3-2010）。</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现场操作</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1.8</w:t>
            </w: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Calibri" w:hAnsi="Calibri" w:eastAsia="宋体" w:cs="Times New Roman"/>
                <w:sz w:val="18"/>
                <w:szCs w:val="24"/>
              </w:rPr>
            </w:pPr>
            <w:r>
              <w:rPr>
                <w:rFonts w:hint="eastAsia" w:ascii="Calibri" w:hAnsi="Calibri" w:eastAsia="宋体" w:cs="Times New Roman"/>
                <w:sz w:val="18"/>
                <w:szCs w:val="24"/>
              </w:rPr>
              <w:t>充电桩连接器</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531"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1</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1245"/>
              </w:tabs>
              <w:kinsoku/>
              <w:wordWrap/>
              <w:overflowPunct/>
              <w:topLinePunct w:val="0"/>
              <w:autoSpaceDN w:val="0"/>
              <w:bidi w:val="0"/>
              <w:snapToGrid/>
              <w:spacing w:before="0" w:after="0" w:afterAutospacing="0" w:line="240" w:lineRule="auto"/>
              <w:ind w:left="0" w:right="0" w:firstLine="0"/>
              <w:textAlignment w:val="center"/>
              <w:rPr>
                <w:rFonts w:ascii="Calibri" w:hAnsi="Calibri" w:eastAsia="宋体" w:cs="Times New Roman"/>
                <w:sz w:val="18"/>
                <w:szCs w:val="24"/>
              </w:rPr>
            </w:pPr>
            <w:r>
              <w:rPr>
                <w:rFonts w:hint="eastAsia" w:ascii="Calibri" w:hAnsi="Calibri" w:eastAsia="宋体" w:cs="Times New Roman"/>
                <w:sz w:val="18"/>
                <w:szCs w:val="24"/>
              </w:rPr>
              <w:t>功能测试：能够通过各项充电测试，BMS系统能正确响应充电过程。</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现场操作</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2</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before="0" w:after="0" w:afterAutospacing="0" w:line="240" w:lineRule="auto"/>
              <w:ind w:left="0" w:right="0" w:firstLine="0"/>
              <w:rPr>
                <w:rFonts w:ascii="Calibri" w:hAnsi="Calibri" w:eastAsia="宋体" w:cs="Times New Roman"/>
                <w:sz w:val="18"/>
                <w:szCs w:val="24"/>
              </w:rPr>
            </w:pPr>
            <w:r>
              <w:rPr>
                <w:rFonts w:hint="eastAsia" w:ascii="Calibri" w:hAnsi="Calibri" w:eastAsia="宋体" w:cs="Times New Roman"/>
                <w:kern w:val="2"/>
                <w:sz w:val="18"/>
                <w:szCs w:val="24"/>
              </w:rPr>
              <w:t>内部绝缘体应无裂纹或伤痕。</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查看现场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r>
        <w:tblPrEx>
          <w:tblCellMar>
            <w:top w:w="0" w:type="dxa"/>
            <w:left w:w="108" w:type="dxa"/>
            <w:bottom w:w="0" w:type="dxa"/>
            <w:right w:w="108" w:type="dxa"/>
          </w:tblCellMar>
        </w:tblPrEx>
        <w:trPr>
          <w:trHeight w:val="435" w:hRule="atLeast"/>
          <w:jc w:val="center"/>
        </w:trPr>
        <w:tc>
          <w:tcPr>
            <w:tcW w:w="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b/>
                <w:color w:val="000000"/>
                <w:kern w:val="2"/>
                <w:sz w:val="18"/>
                <w:szCs w:val="24"/>
              </w:rPr>
            </w:pPr>
          </w:p>
        </w:tc>
        <w:tc>
          <w:tcPr>
            <w:tcW w:w="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3</w:t>
            </w:r>
          </w:p>
        </w:tc>
        <w:tc>
          <w:tcPr>
            <w:tcW w:w="4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before="0" w:after="0" w:afterAutospacing="0" w:line="240" w:lineRule="auto"/>
              <w:ind w:left="0" w:right="0" w:firstLine="0"/>
              <w:rPr>
                <w:rFonts w:ascii="Calibri" w:hAnsi="Calibri" w:eastAsia="宋体" w:cs="Times New Roman"/>
                <w:sz w:val="18"/>
                <w:szCs w:val="24"/>
              </w:rPr>
            </w:pPr>
            <w:r>
              <w:rPr>
                <w:rFonts w:hint="eastAsia" w:ascii="Calibri" w:hAnsi="Calibri" w:eastAsia="宋体" w:cs="Times New Roman"/>
                <w:kern w:val="2"/>
                <w:sz w:val="18"/>
                <w:szCs w:val="24"/>
              </w:rPr>
              <w:t>外壳、手柄及电缆应无损伤或变形</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jc w:val="center"/>
              <w:textAlignment w:val="center"/>
              <w:rPr>
                <w:rFonts w:ascii="宋体" w:hAnsi="宋体" w:eastAsia="宋体" w:cs="Times New Roman"/>
                <w:color w:val="000000"/>
                <w:kern w:val="2"/>
                <w:sz w:val="18"/>
                <w:szCs w:val="24"/>
              </w:rPr>
            </w:pPr>
            <w:r>
              <w:rPr>
                <w:rFonts w:hint="eastAsia" w:ascii="宋体" w:hAnsi="宋体" w:eastAsia="宋体" w:cs="Times New Roman"/>
                <w:color w:val="000000"/>
                <w:kern w:val="2"/>
                <w:sz w:val="18"/>
                <w:szCs w:val="24"/>
              </w:rPr>
              <w:t>查看现场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c>
          <w:tcPr>
            <w:tcW w:w="9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N w:val="0"/>
              <w:bidi w:val="0"/>
              <w:snapToGrid/>
              <w:spacing w:before="0" w:after="0" w:afterAutospacing="0" w:line="240" w:lineRule="auto"/>
              <w:ind w:left="0" w:right="0" w:firstLine="0"/>
              <w:textAlignment w:val="center"/>
              <w:rPr>
                <w:rFonts w:ascii="宋体" w:hAnsi="宋体" w:eastAsia="宋体" w:cs="Times New Roman"/>
                <w:color w:val="000000"/>
                <w:kern w:val="2"/>
                <w:sz w:val="18"/>
                <w:szCs w:val="24"/>
              </w:rPr>
            </w:pPr>
          </w:p>
        </w:tc>
      </w:tr>
    </w:tbl>
    <w:p>
      <w:pPr>
        <w:widowControl w:val="0"/>
        <w:autoSpaceDE w:val="0"/>
        <w:autoSpaceDN w:val="0"/>
        <w:snapToGrid w:val="0"/>
        <w:spacing w:before="0" w:after="0" w:afterAutospacing="0"/>
        <w:ind w:left="0" w:right="0" w:firstLine="0"/>
        <w:textAlignment w:val="baseline"/>
        <w:rPr>
          <w:rFonts w:ascii="Calibri" w:hAnsi="Calibri" w:eastAsia="宋体" w:cs="Times New Roman"/>
          <w:kern w:val="2"/>
          <w:szCs w:val="24"/>
        </w:rPr>
      </w:pPr>
    </w:p>
    <w:p>
      <w:pPr>
        <w:widowControl w:val="0"/>
        <w:autoSpaceDE w:val="0"/>
        <w:autoSpaceDN w:val="0"/>
        <w:snapToGrid w:val="0"/>
        <w:spacing w:before="0" w:after="0" w:afterAutospacing="0"/>
        <w:ind w:left="0" w:right="0" w:firstLine="315" w:firstLineChars="150"/>
        <w:textAlignment w:val="baseline"/>
        <w:rPr>
          <w:rFonts w:ascii="Calibri" w:hAnsi="Calibri" w:eastAsia="宋体" w:cs="Times New Roman"/>
          <w:kern w:val="2"/>
          <w:szCs w:val="24"/>
        </w:rPr>
      </w:pPr>
      <w:r>
        <w:rPr>
          <w:rFonts w:hint="eastAsia" w:ascii="Calibri" w:hAnsi="Calibri" w:eastAsia="宋体" w:cs="Times New Roman"/>
          <w:kern w:val="2"/>
          <w:szCs w:val="24"/>
        </w:rPr>
        <w:t>测试结论：合格□/ 不合格□             测试人员：</w:t>
      </w:r>
    </w:p>
    <w:p>
      <w:pPr>
        <w:widowControl w:val="0"/>
        <w:spacing w:before="0" w:after="0" w:afterAutospacing="0" w:line="240" w:lineRule="auto"/>
        <w:ind w:left="0" w:right="0" w:firstLine="422" w:firstLineChars="200"/>
        <w:jc w:val="left"/>
        <w:rPr>
          <w:rFonts w:ascii="宋体" w:hAnsi="宋体" w:eastAsia="宋体" w:cs="宋体"/>
          <w:b/>
          <w:kern w:val="2"/>
          <w:szCs w:val="24"/>
        </w:rPr>
      </w:pPr>
    </w:p>
    <w:p>
      <w:pPr>
        <w:widowControl w:val="0"/>
        <w:spacing w:before="0" w:after="0" w:afterAutospacing="0" w:line="240" w:lineRule="auto"/>
        <w:ind w:left="0" w:right="0" w:firstLine="422" w:firstLineChars="200"/>
        <w:jc w:val="left"/>
        <w:rPr>
          <w:rFonts w:ascii="宋体" w:hAnsi="宋体" w:eastAsia="宋体" w:cs="宋体"/>
          <w:b/>
          <w:kern w:val="2"/>
          <w:szCs w:val="24"/>
        </w:rPr>
      </w:pPr>
    </w:p>
    <w:p>
      <w:pPr>
        <w:widowControl w:val="0"/>
        <w:spacing w:before="0" w:after="0" w:afterAutospacing="0" w:line="240" w:lineRule="auto"/>
        <w:ind w:left="0" w:right="0" w:firstLine="422" w:firstLineChars="200"/>
        <w:jc w:val="left"/>
        <w:rPr>
          <w:rFonts w:ascii="宋体" w:hAnsi="宋体" w:eastAsia="宋体" w:cs="宋体"/>
          <w:b/>
          <w:kern w:val="2"/>
          <w:szCs w:val="24"/>
        </w:rPr>
      </w:pPr>
    </w:p>
    <w:p>
      <w:pPr>
        <w:spacing w:before="0" w:after="0" w:afterAutospacing="0" w:line="240" w:lineRule="auto"/>
        <w:ind w:left="0" w:right="0" w:firstLine="0"/>
        <w:jc w:val="left"/>
        <w:rPr>
          <w:rFonts w:ascii="宋体" w:hAnsi="宋体" w:eastAsia="宋体" w:cs="宋体"/>
          <w:b/>
          <w:kern w:val="2"/>
          <w:szCs w:val="24"/>
        </w:rPr>
      </w:pPr>
      <w:r>
        <w:rPr>
          <w:rFonts w:ascii="宋体" w:hAnsi="宋体" w:eastAsia="宋体" w:cs="宋体"/>
          <w:b/>
          <w:kern w:val="2"/>
          <w:szCs w:val="24"/>
        </w:rPr>
        <w:br w:type="page"/>
      </w:r>
    </w:p>
    <w:p>
      <w:pPr>
        <w:widowControl w:val="0"/>
        <w:spacing w:before="0" w:after="0" w:afterAutospacing="0"/>
        <w:ind w:left="0" w:right="0" w:firstLine="0"/>
        <w:jc w:val="left"/>
        <w:outlineLvl w:val="0"/>
        <w:rPr>
          <w:rFonts w:ascii="宋体" w:hAnsi="宋体" w:eastAsia="宋体" w:cs="宋体"/>
          <w:b/>
          <w:kern w:val="2"/>
          <w:szCs w:val="24"/>
        </w:rPr>
      </w:pPr>
      <w:bookmarkStart w:id="1487" w:name="_Toc79434407"/>
      <w:r>
        <w:rPr>
          <w:rFonts w:hint="eastAsia" w:ascii="宋体" w:hAnsi="宋体" w:eastAsia="宋体" w:cs="宋体"/>
          <w:b/>
          <w:kern w:val="2"/>
          <w:szCs w:val="24"/>
        </w:rPr>
        <w:t>附件4：合同违约处理通知单</w:t>
      </w:r>
      <w:bookmarkEnd w:id="1487"/>
    </w:p>
    <w:p>
      <w:pPr>
        <w:widowControl w:val="0"/>
        <w:spacing w:before="0" w:after="0" w:afterAutospacing="0"/>
        <w:ind w:left="0" w:right="0" w:firstLine="0"/>
        <w:jc w:val="center"/>
        <w:rPr>
          <w:rFonts w:ascii="黑体" w:hAnsi="黑体" w:eastAsia="黑体" w:cs="宋体"/>
          <w:sz w:val="32"/>
          <w:szCs w:val="32"/>
        </w:rPr>
      </w:pPr>
      <w:r>
        <w:rPr>
          <w:rFonts w:hint="eastAsia" w:ascii="黑体" w:hAnsi="黑体" w:eastAsia="黑体" w:cs="宋体"/>
          <w:sz w:val="32"/>
          <w:szCs w:val="32"/>
        </w:rPr>
        <w:t>合同违约处理通知单</w:t>
      </w:r>
    </w:p>
    <w:p>
      <w:pPr>
        <w:widowControl w:val="0"/>
        <w:spacing w:before="0" w:after="0" w:afterAutospacing="0" w:line="240" w:lineRule="auto"/>
        <w:ind w:left="0" w:right="0" w:firstLine="0"/>
        <w:rPr>
          <w:rFonts w:ascii="宋体" w:hAnsi="Courier New" w:eastAsia="宋体" w:cs="Courier New"/>
          <w:bCs/>
          <w:kern w:val="2"/>
        </w:rPr>
      </w:pPr>
      <w:r>
        <w:rPr>
          <w:rFonts w:hint="eastAsia" w:ascii="宋体" w:hAnsi="宋体" w:eastAsia="宋体" w:cs="Courier New"/>
          <w:b/>
          <w:kern w:val="2"/>
        </w:rPr>
        <w:t>编号：</w:t>
      </w:r>
      <w:r>
        <w:rPr>
          <w:rFonts w:hint="eastAsia" w:ascii="宋体" w:hAnsi="宋体" w:eastAsia="宋体" w:cs="Courier New"/>
          <w:bCs/>
          <w:kern w:val="2"/>
        </w:rPr>
        <w:t>合同编号-年月-两位数</w:t>
      </w:r>
    </w:p>
    <w:tbl>
      <w:tblPr>
        <w:tblStyle w:val="28"/>
        <w:tblpPr w:leftFromText="180" w:rightFromText="180" w:vertAnchor="text" w:horzAnchor="page" w:tblpXSpec="center" w:tblpY="212"/>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475"/>
        <w:gridCol w:w="1876"/>
        <w:gridCol w:w="907"/>
        <w:gridCol w:w="376"/>
        <w:gridCol w:w="175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003" w:type="dxa"/>
            <w:gridSpan w:val="2"/>
            <w:tcBorders>
              <w:top w:val="thinThickSmallGap" w:color="auto" w:sz="18"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 w:val="24"/>
                <w:szCs w:val="24"/>
              </w:rPr>
            </w:pPr>
            <w:r>
              <w:rPr>
                <w:rFonts w:hint="eastAsia" w:ascii="宋体" w:hAnsi="宋体" w:eastAsia="宋体" w:cs="Times New Roman"/>
                <w:b/>
                <w:kern w:val="2"/>
              </w:rPr>
              <w:t>项目名称</w:t>
            </w:r>
          </w:p>
        </w:tc>
        <w:tc>
          <w:tcPr>
            <w:tcW w:w="2783" w:type="dxa"/>
            <w:gridSpan w:val="2"/>
            <w:tcBorders>
              <w:top w:val="thinThickSmallGap" w:color="auto" w:sz="18"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Cs w:val="24"/>
              </w:rPr>
            </w:pPr>
          </w:p>
        </w:tc>
        <w:tc>
          <w:tcPr>
            <w:tcW w:w="2126" w:type="dxa"/>
            <w:gridSpan w:val="2"/>
            <w:tcBorders>
              <w:top w:val="thinThickSmallGap" w:color="auto" w:sz="18"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 w:val="24"/>
                <w:szCs w:val="24"/>
              </w:rPr>
            </w:pPr>
            <w:r>
              <w:rPr>
                <w:rFonts w:hint="eastAsia" w:ascii="宋体" w:hAnsi="宋体" w:eastAsia="宋体" w:cs="Times New Roman"/>
                <w:b/>
                <w:kern w:val="2"/>
              </w:rPr>
              <w:t>合同编号</w:t>
            </w:r>
          </w:p>
        </w:tc>
        <w:tc>
          <w:tcPr>
            <w:tcW w:w="2835" w:type="dxa"/>
            <w:tcBorders>
              <w:top w:val="thinThickSmallGap" w:color="auto" w:sz="18" w:space="0"/>
              <w:left w:val="single" w:color="auto" w:sz="4" w:space="0"/>
              <w:bottom w:val="single" w:color="auto" w:sz="4" w:space="0"/>
              <w:right w:val="thinThickSmallGap" w:color="auto" w:sz="18" w:space="0"/>
            </w:tcBorders>
            <w:vAlign w:val="center"/>
          </w:tcPr>
          <w:p>
            <w:pPr>
              <w:widowControl w:val="0"/>
              <w:spacing w:before="0" w:after="0" w:afterAutospacing="0" w:line="240" w:lineRule="auto"/>
              <w:ind w:left="0" w:right="0" w:firstLine="0"/>
              <w:jc w:val="center"/>
              <w:rPr>
                <w:rFonts w:ascii="宋体" w:hAnsi="宋体"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003"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 w:val="24"/>
                <w:szCs w:val="24"/>
              </w:rPr>
            </w:pPr>
            <w:r>
              <w:rPr>
                <w:rFonts w:hint="eastAsia" w:ascii="宋体" w:hAnsi="宋体" w:eastAsia="宋体" w:cs="Times New Roman"/>
                <w:b/>
                <w:kern w:val="2"/>
              </w:rPr>
              <w:t>承包商</w:t>
            </w:r>
          </w:p>
        </w:tc>
        <w:tc>
          <w:tcPr>
            <w:tcW w:w="2783"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kern w:val="2"/>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 w:val="24"/>
                <w:szCs w:val="24"/>
              </w:rPr>
            </w:pPr>
            <w:r>
              <w:rPr>
                <w:rFonts w:hint="eastAsia" w:ascii="宋体" w:hAnsi="宋体" w:eastAsia="宋体" w:cs="Times New Roman"/>
                <w:b/>
                <w:kern w:val="2"/>
              </w:rPr>
              <w:t>业主主办部门</w:t>
            </w:r>
          </w:p>
        </w:tc>
        <w:tc>
          <w:tcPr>
            <w:tcW w:w="2835" w:type="dxa"/>
            <w:tcBorders>
              <w:top w:val="single" w:color="auto" w:sz="4" w:space="0"/>
              <w:left w:val="single" w:color="auto" w:sz="4" w:space="0"/>
              <w:bottom w:val="single" w:color="auto" w:sz="4" w:space="0"/>
              <w:right w:val="thinThickSmallGap" w:color="auto" w:sz="18" w:space="0"/>
            </w:tcBorders>
            <w:vAlign w:val="center"/>
          </w:tcPr>
          <w:p>
            <w:pPr>
              <w:widowControl w:val="0"/>
              <w:spacing w:before="0" w:after="0" w:afterAutospacing="0" w:line="240" w:lineRule="auto"/>
              <w:ind w:left="0" w:right="0" w:firstLine="0"/>
              <w:jc w:val="center"/>
              <w:rPr>
                <w:rFonts w:ascii="宋体" w:hAnsi="宋体"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2003"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Cs w:val="24"/>
              </w:rPr>
            </w:pPr>
            <w:r>
              <w:rPr>
                <w:rFonts w:hint="eastAsia" w:ascii="宋体" w:hAnsi="宋体" w:eastAsia="宋体" w:cs="Times New Roman"/>
                <w:b/>
                <w:kern w:val="2"/>
                <w:szCs w:val="24"/>
              </w:rPr>
              <w:t>合同违约情况</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300" w:lineRule="exact"/>
              <w:ind w:left="0" w:right="0" w:firstLine="0"/>
              <w:rPr>
                <w:rFonts w:ascii="宋体" w:hAnsi="宋体" w:eastAsia="宋体" w:cs="Times New Roman"/>
                <w:bCs/>
                <w:kern w:val="2"/>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2003"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Cs w:val="24"/>
              </w:rPr>
            </w:pPr>
            <w:r>
              <w:rPr>
                <w:rFonts w:hint="eastAsia" w:ascii="宋体" w:hAnsi="宋体" w:eastAsia="宋体" w:cs="Times New Roman"/>
                <w:b/>
                <w:kern w:val="2"/>
                <w:szCs w:val="24"/>
              </w:rPr>
              <w:t>违约处理意向</w:t>
            </w:r>
          </w:p>
        </w:tc>
        <w:tc>
          <w:tcPr>
            <w:tcW w:w="7744" w:type="dxa"/>
            <w:gridSpan w:val="5"/>
            <w:tcBorders>
              <w:top w:val="single" w:color="auto" w:sz="4" w:space="0"/>
              <w:left w:val="single" w:color="auto" w:sz="4" w:space="0"/>
              <w:bottom w:val="single" w:color="auto" w:sz="4" w:space="0"/>
              <w:right w:val="thinThickSmallGap" w:color="auto" w:sz="18" w:space="0"/>
            </w:tcBorders>
          </w:tcPr>
          <w:p>
            <w:pPr>
              <w:snapToGrid w:val="0"/>
              <w:spacing w:before="0" w:after="0" w:afterAutospacing="0" w:line="240" w:lineRule="auto"/>
              <w:ind w:left="0" w:right="0" w:firstLine="0"/>
              <w:rPr>
                <w:rFonts w:ascii="宋体" w:hAnsi="宋体" w:eastAsia="宋体" w:cs="Times New Roman"/>
                <w:kern w:val="2"/>
                <w:sz w:val="18"/>
                <w:szCs w:val="18"/>
              </w:rPr>
            </w:pPr>
          </w:p>
          <w:p>
            <w:pPr>
              <w:widowControl w:val="0"/>
              <w:spacing w:before="0" w:after="0" w:afterAutospacing="0" w:line="300" w:lineRule="exact"/>
              <w:ind w:left="0" w:right="0" w:firstLine="0"/>
              <w:rPr>
                <w:rFonts w:ascii="宋体" w:hAnsi="宋体" w:eastAsia="宋体"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528" w:type="dxa"/>
            <w:vMerge w:val="restart"/>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Cs w:val="24"/>
              </w:rPr>
            </w:pPr>
            <w:r>
              <w:rPr>
                <w:rFonts w:hint="eastAsia" w:ascii="宋体" w:hAnsi="宋体" w:eastAsia="宋体" w:cs="Times New Roman"/>
                <w:b/>
                <w:kern w:val="2"/>
                <w:szCs w:val="24"/>
              </w:rPr>
              <w:t>业主审批意见</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Cs w:val="24"/>
              </w:rPr>
            </w:pPr>
            <w:r>
              <w:rPr>
                <w:rFonts w:hint="eastAsia" w:ascii="宋体" w:hAnsi="宋体" w:eastAsia="宋体" w:cs="Times New Roman"/>
                <w:b/>
                <w:kern w:val="2"/>
                <w:szCs w:val="24"/>
              </w:rPr>
              <w:t>主办部门</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113" w:firstLine="0"/>
              <w:rPr>
                <w:rFonts w:ascii="宋体" w:hAnsi="宋体" w:eastAsia="宋体" w:cs="宋体"/>
                <w:kern w:val="2"/>
              </w:rPr>
            </w:pPr>
          </w:p>
          <w:p>
            <w:pPr>
              <w:widowControl w:val="0"/>
              <w:spacing w:before="0" w:after="0" w:afterAutospacing="0" w:line="240" w:lineRule="auto"/>
              <w:ind w:left="0" w:right="113" w:firstLine="0"/>
              <w:rPr>
                <w:rFonts w:ascii="宋体" w:hAnsi="宋体" w:eastAsia="宋体" w:cs="Times New Roman"/>
                <w:kern w:val="2"/>
                <w:szCs w:val="24"/>
              </w:rPr>
            </w:pPr>
          </w:p>
          <w:p>
            <w:pPr>
              <w:widowControl w:val="0"/>
              <w:spacing w:before="0" w:after="0" w:afterAutospacing="0" w:line="240" w:lineRule="auto"/>
              <w:ind w:left="0" w:right="113" w:firstLine="0"/>
              <w:rPr>
                <w:rFonts w:ascii="宋体" w:hAnsi="宋体"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Cs w:val="24"/>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Cs w:val="24"/>
              </w:rPr>
            </w:pPr>
            <w:r>
              <w:rPr>
                <w:rFonts w:hint="eastAsia" w:ascii="宋体" w:hAnsi="宋体" w:eastAsia="宋体" w:cs="Times New Roman"/>
                <w:b/>
                <w:kern w:val="2"/>
                <w:szCs w:val="24"/>
              </w:rPr>
              <w:t>相关部门</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113" w:right="113" w:firstLine="0"/>
              <w:jc w:val="center"/>
              <w:rPr>
                <w:rFonts w:ascii="宋体" w:hAnsi="宋体" w:eastAsia="宋体" w:cs="宋体"/>
                <w:kern w:val="2"/>
              </w:rPr>
            </w:pPr>
          </w:p>
          <w:p>
            <w:pPr>
              <w:widowControl w:val="0"/>
              <w:spacing w:before="0" w:after="0" w:afterAutospacing="0" w:line="240" w:lineRule="auto"/>
              <w:ind w:left="0" w:right="113" w:firstLine="0"/>
              <w:rPr>
                <w:rFonts w:ascii="宋体" w:hAnsi="宋体"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jc w:val="center"/>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Cs w:val="24"/>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Cs w:val="24"/>
              </w:rPr>
            </w:pPr>
            <w:r>
              <w:rPr>
                <w:rFonts w:hint="eastAsia" w:ascii="宋体" w:hAnsi="宋体" w:eastAsia="宋体" w:cs="Times New Roman"/>
                <w:b/>
                <w:kern w:val="2"/>
                <w:szCs w:val="24"/>
              </w:rPr>
              <w:t>运营公司分管领导</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113" w:firstLine="840" w:firstLineChars="400"/>
              <w:rPr>
                <w:rFonts w:ascii="Calibri" w:hAnsi="Calibri" w:eastAsia="宋体" w:cs="Times New Roman"/>
                <w:kern w:val="2"/>
                <w:szCs w:val="24"/>
              </w:rPr>
            </w:pPr>
          </w:p>
          <w:p>
            <w:pPr>
              <w:widowControl w:val="0"/>
              <w:spacing w:before="0" w:after="0" w:afterAutospacing="0" w:line="240" w:lineRule="auto"/>
              <w:ind w:left="0" w:right="0" w:firstLine="0"/>
              <w:rPr>
                <w:rFonts w:ascii="宋体" w:hAnsi="Courier New" w:eastAsia="宋体" w:cs="Courier New"/>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Cs w:val="24"/>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Cs w:val="24"/>
              </w:rPr>
            </w:pPr>
            <w:r>
              <w:rPr>
                <w:rFonts w:hint="eastAsia" w:ascii="宋体" w:hAnsi="宋体" w:eastAsia="宋体" w:cs="Times New Roman"/>
                <w:b/>
                <w:kern w:val="2"/>
                <w:szCs w:val="24"/>
              </w:rPr>
              <w:t>运营公司</w:t>
            </w:r>
          </w:p>
          <w:p>
            <w:pPr>
              <w:widowControl w:val="0"/>
              <w:spacing w:before="0" w:after="0" w:afterAutospacing="0" w:line="240" w:lineRule="auto"/>
              <w:ind w:left="0" w:right="0" w:firstLine="0"/>
              <w:jc w:val="center"/>
              <w:rPr>
                <w:rFonts w:ascii="宋体" w:hAnsi="宋体" w:eastAsia="宋体" w:cs="Times New Roman"/>
                <w:b/>
                <w:kern w:val="2"/>
                <w:szCs w:val="24"/>
              </w:rPr>
            </w:pPr>
            <w:r>
              <w:rPr>
                <w:rFonts w:hint="eastAsia" w:ascii="宋体" w:hAnsi="宋体" w:eastAsia="宋体" w:cs="Times New Roman"/>
                <w:b/>
                <w:kern w:val="2"/>
                <w:szCs w:val="24"/>
              </w:rPr>
              <w:t>总经理</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0" w:firstLine="0"/>
              <w:rPr>
                <w:rFonts w:ascii="宋体" w:hAnsi="宋体" w:eastAsia="宋体" w:cs="宋体"/>
                <w:kern w:val="2"/>
              </w:rPr>
            </w:pPr>
          </w:p>
          <w:p>
            <w:pPr>
              <w:widowControl w:val="0"/>
              <w:spacing w:before="0" w:after="0" w:afterAutospacing="0" w:line="240" w:lineRule="auto"/>
              <w:ind w:left="0" w:right="113" w:firstLine="0"/>
              <w:rPr>
                <w:rFonts w:ascii="宋体" w:hAnsi="宋体" w:eastAsia="宋体" w:cs="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2003" w:type="dxa"/>
            <w:gridSpan w:val="2"/>
            <w:tcBorders>
              <w:top w:val="single" w:color="auto" w:sz="4" w:space="0"/>
              <w:left w:val="thinThickSmallGap" w:color="auto" w:sz="18" w:space="0"/>
              <w:bottom w:val="thinThickSmallGap" w:color="auto" w:sz="18" w:space="0"/>
              <w:right w:val="single" w:color="auto" w:sz="4" w:space="0"/>
            </w:tcBorders>
            <w:vAlign w:val="center"/>
          </w:tcPr>
          <w:p>
            <w:pPr>
              <w:widowControl w:val="0"/>
              <w:spacing w:before="0" w:after="0" w:afterAutospacing="0" w:line="240" w:lineRule="auto"/>
              <w:ind w:left="0" w:right="0" w:firstLine="0"/>
              <w:jc w:val="center"/>
              <w:rPr>
                <w:rFonts w:ascii="宋体" w:hAnsi="宋体" w:eastAsia="宋体" w:cs="Times New Roman"/>
                <w:b/>
                <w:kern w:val="2"/>
                <w:szCs w:val="24"/>
              </w:rPr>
            </w:pPr>
            <w:r>
              <w:rPr>
                <w:rFonts w:hint="eastAsia" w:ascii="宋体" w:hAnsi="宋体" w:eastAsia="宋体" w:cs="Times New Roman"/>
                <w:b/>
                <w:kern w:val="2"/>
                <w:szCs w:val="24"/>
              </w:rPr>
              <w:t>送达日期</w:t>
            </w:r>
          </w:p>
        </w:tc>
        <w:tc>
          <w:tcPr>
            <w:tcW w:w="1876" w:type="dxa"/>
            <w:tcBorders>
              <w:top w:val="single" w:color="auto" w:sz="4" w:space="0"/>
              <w:left w:val="single" w:color="auto" w:sz="4" w:space="0"/>
              <w:bottom w:val="thinThickSmallGap" w:color="auto" w:sz="18" w:space="0"/>
              <w:right w:val="single" w:color="auto" w:sz="4" w:space="0"/>
            </w:tcBorders>
          </w:tcPr>
          <w:p>
            <w:pPr>
              <w:spacing w:before="0" w:after="0" w:afterAutospacing="0" w:line="240" w:lineRule="auto"/>
              <w:ind w:left="0" w:right="0" w:firstLine="0"/>
              <w:rPr>
                <w:rFonts w:ascii="宋体" w:hAnsi="宋体" w:eastAsia="宋体" w:cs="Times New Roman"/>
                <w:b/>
                <w:kern w:val="2"/>
                <w:szCs w:val="24"/>
              </w:rPr>
            </w:pPr>
          </w:p>
        </w:tc>
        <w:tc>
          <w:tcPr>
            <w:tcW w:w="1283" w:type="dxa"/>
            <w:gridSpan w:val="2"/>
            <w:tcBorders>
              <w:top w:val="single" w:color="auto" w:sz="4" w:space="0"/>
              <w:left w:val="single" w:color="auto" w:sz="4" w:space="0"/>
              <w:bottom w:val="thinThickSmallGap" w:color="auto" w:sz="18" w:space="0"/>
              <w:right w:val="single" w:color="auto" w:sz="4" w:space="0"/>
            </w:tcBorders>
            <w:vAlign w:val="center"/>
          </w:tcPr>
          <w:p>
            <w:pPr>
              <w:spacing w:before="0" w:after="0" w:afterAutospacing="0" w:line="240" w:lineRule="auto"/>
              <w:ind w:left="0" w:right="0" w:firstLine="0"/>
              <w:jc w:val="center"/>
              <w:rPr>
                <w:rFonts w:ascii="宋体" w:hAnsi="宋体" w:eastAsia="宋体" w:cs="Times New Roman"/>
                <w:bCs/>
                <w:kern w:val="2"/>
              </w:rPr>
            </w:pPr>
            <w:r>
              <w:rPr>
                <w:rFonts w:hint="eastAsia" w:ascii="宋体" w:hAnsi="宋体" w:eastAsia="宋体" w:cs="Times New Roman"/>
                <w:b/>
                <w:kern w:val="2"/>
              </w:rPr>
              <w:t>送达方式</w:t>
            </w:r>
          </w:p>
        </w:tc>
        <w:tc>
          <w:tcPr>
            <w:tcW w:w="4585" w:type="dxa"/>
            <w:gridSpan w:val="2"/>
            <w:tcBorders>
              <w:top w:val="single" w:color="auto" w:sz="4" w:space="0"/>
              <w:left w:val="single" w:color="auto" w:sz="4" w:space="0"/>
              <w:bottom w:val="thinThickSmallGap" w:color="auto" w:sz="18" w:space="0"/>
              <w:right w:val="thinThickSmallGap" w:color="auto" w:sz="18" w:space="0"/>
            </w:tcBorders>
          </w:tcPr>
          <w:p>
            <w:pPr>
              <w:spacing w:before="0" w:after="0" w:afterAutospacing="0" w:line="240" w:lineRule="auto"/>
              <w:ind w:left="0" w:right="0" w:firstLine="210" w:firstLineChars="100"/>
              <w:rPr>
                <w:rFonts w:ascii="Calibri" w:hAnsi="Calibri" w:eastAsia="宋体" w:cs="Times New Roman"/>
                <w:kern w:val="2"/>
                <w:szCs w:val="24"/>
              </w:rPr>
            </w:pPr>
            <w:r>
              <w:rPr>
                <w:rFonts w:hint="eastAsia" w:ascii="Calibri" w:hAnsi="Calibri" w:eastAsia="宋体" w:cs="Times New Roman"/>
                <w:kern w:val="2"/>
                <w:szCs w:val="24"/>
              </w:rPr>
              <w:t>直接送达</w:t>
            </w:r>
            <w:r>
              <w:rPr>
                <w:rFonts w:hint="eastAsia" w:ascii="Calibri" w:hAnsi="Calibri" w:eastAsia="宋体" w:cs="Times New Roman"/>
                <w:kern w:val="2"/>
                <w:szCs w:val="24"/>
              </w:rPr>
              <w:sym w:font="Times New Roman" w:char="0000"/>
            </w:r>
            <w:r>
              <w:rPr>
                <w:rFonts w:hint="eastAsia" w:ascii="Calibri" w:hAnsi="Calibri" w:eastAsia="宋体" w:cs="Times New Roman"/>
                <w:kern w:val="2"/>
                <w:szCs w:val="24"/>
              </w:rPr>
              <w:t>签收人：</w:t>
            </w:r>
          </w:p>
          <w:p>
            <w:pPr>
              <w:widowControl w:val="0"/>
              <w:spacing w:before="0" w:after="0" w:afterAutospacing="0" w:line="240" w:lineRule="auto"/>
              <w:ind w:left="0" w:right="0" w:firstLine="0"/>
              <w:rPr>
                <w:rFonts w:ascii="宋体" w:hAnsi="Courier New" w:eastAsia="宋体" w:cs="Courier New"/>
                <w:kern w:val="2"/>
              </w:rPr>
            </w:pPr>
            <w:r>
              <w:rPr>
                <w:rFonts w:hint="eastAsia" w:ascii="宋体" w:hAnsi="Courier New" w:eastAsia="宋体" w:cs="Courier New"/>
                <w:kern w:val="2"/>
              </w:rPr>
              <w:t xml:space="preserve">  留置送达</w:t>
            </w:r>
            <w:r>
              <w:rPr>
                <w:rFonts w:hint="eastAsia" w:ascii="宋体" w:hAnsi="Courier New" w:eastAsia="宋体" w:cs="Courier New"/>
                <w:kern w:val="2"/>
              </w:rPr>
              <w:sym w:font="Times New Roman" w:char="0000"/>
            </w:r>
            <w:r>
              <w:rPr>
                <w:rFonts w:hint="eastAsia" w:ascii="宋体" w:hAnsi="Courier New" w:eastAsia="宋体" w:cs="Courier New"/>
                <w:kern w:val="2"/>
              </w:rPr>
              <w:t xml:space="preserve">  送达地址：                    </w:t>
            </w:r>
          </w:p>
          <w:p>
            <w:pPr>
              <w:widowControl w:val="0"/>
              <w:spacing w:before="0" w:after="0" w:afterAutospacing="0" w:line="240" w:lineRule="auto"/>
              <w:ind w:left="0" w:right="0" w:firstLine="0"/>
              <w:rPr>
                <w:rFonts w:ascii="宋体" w:hAnsi="Courier New" w:eastAsia="宋体" w:cs="Courier New"/>
                <w:kern w:val="2"/>
              </w:rPr>
            </w:pPr>
            <w:r>
              <w:rPr>
                <w:rFonts w:hint="eastAsia" w:ascii="宋体" w:hAnsi="Courier New" w:eastAsia="宋体" w:cs="Courier New"/>
                <w:kern w:val="2"/>
              </w:rPr>
              <w:t xml:space="preserve">              情况说明：（举例：XXX拒签）</w:t>
            </w:r>
          </w:p>
          <w:p>
            <w:pPr>
              <w:widowControl w:val="0"/>
              <w:spacing w:before="0" w:after="0" w:afterAutospacing="0" w:line="240" w:lineRule="auto"/>
              <w:ind w:left="0" w:right="0" w:firstLine="0"/>
              <w:rPr>
                <w:rFonts w:ascii="宋体" w:hAnsi="Courier New" w:eastAsia="宋体" w:cs="Courier New"/>
                <w:kern w:val="2"/>
              </w:rPr>
            </w:pPr>
            <w:r>
              <w:rPr>
                <w:rFonts w:hint="eastAsia" w:ascii="宋体" w:hAnsi="Courier New" w:eastAsia="宋体" w:cs="Courier New"/>
                <w:kern w:val="2"/>
              </w:rPr>
              <w:t xml:space="preserve">  电子送达</w:t>
            </w:r>
            <w:r>
              <w:rPr>
                <w:rFonts w:hint="eastAsia" w:ascii="宋体" w:hAnsi="Courier New" w:eastAsia="宋体" w:cs="Courier New"/>
                <w:kern w:val="2"/>
              </w:rPr>
              <w:sym w:font="Times New Roman" w:char="0000"/>
            </w:r>
            <w:r>
              <w:rPr>
                <w:rFonts w:hint="eastAsia" w:ascii="宋体" w:hAnsi="Courier New" w:eastAsia="宋体" w:cs="Courier New"/>
                <w:kern w:val="2"/>
              </w:rPr>
              <w:t xml:space="preserve">  （网络通讯工具账号、电子邮箱地址等）</w:t>
            </w:r>
          </w:p>
        </w:tc>
      </w:tr>
    </w:tbl>
    <w:p>
      <w:pPr>
        <w:widowControl w:val="0"/>
        <w:spacing w:before="0" w:after="0" w:afterAutospacing="0" w:line="240" w:lineRule="exact"/>
        <w:ind w:left="0" w:right="-779" w:rightChars="-371" w:firstLine="0"/>
        <w:rPr>
          <w:rFonts w:ascii="宋体" w:hAnsi="宋体" w:eastAsia="宋体" w:cs="Times New Roman"/>
          <w:kern w:val="2"/>
          <w:sz w:val="18"/>
          <w:szCs w:val="18"/>
        </w:rPr>
      </w:pPr>
    </w:p>
    <w:p>
      <w:pPr>
        <w:widowControl w:val="0"/>
        <w:spacing w:before="0" w:after="0" w:afterAutospacing="0" w:line="240" w:lineRule="exact"/>
        <w:ind w:left="0" w:right="0" w:firstLine="0"/>
        <w:jc w:val="left"/>
        <w:rPr>
          <w:rFonts w:ascii="宋体" w:hAnsi="宋体" w:eastAsia="宋体" w:cs="Times New Roman"/>
          <w:kern w:val="2"/>
          <w:sz w:val="18"/>
          <w:szCs w:val="18"/>
        </w:rPr>
      </w:pPr>
      <w:r>
        <w:rPr>
          <w:rFonts w:hint="eastAsia" w:ascii="宋体" w:hAnsi="宋体" w:eastAsia="宋体" w:cs="Times New Roman"/>
          <w:kern w:val="2"/>
          <w:sz w:val="18"/>
          <w:szCs w:val="18"/>
        </w:rPr>
        <w:t>说明：</w:t>
      </w:r>
      <w:r>
        <w:rPr>
          <w:rFonts w:ascii="宋体" w:hAnsi="宋体" w:eastAsia="宋体" w:cs="Times New Roman"/>
          <w:kern w:val="2"/>
          <w:sz w:val="18"/>
          <w:szCs w:val="18"/>
        </w:rPr>
        <w:t>1</w:t>
      </w:r>
      <w:r>
        <w:rPr>
          <w:rFonts w:hint="eastAsia" w:ascii="宋体" w:hAnsi="宋体" w:eastAsia="宋体" w:cs="Times New Roman"/>
          <w:kern w:val="2"/>
          <w:sz w:val="18"/>
          <w:szCs w:val="18"/>
        </w:rPr>
        <w:t>.本通知单一式三份，承包商执一份，业主执两份，由业主在合同执行过程中发现问题时填写；</w:t>
      </w:r>
    </w:p>
    <w:p>
      <w:pPr>
        <w:widowControl w:val="0"/>
        <w:spacing w:before="0" w:after="0" w:afterAutospacing="0" w:line="240" w:lineRule="exact"/>
        <w:ind w:left="0" w:right="0" w:firstLine="540" w:firstLineChars="300"/>
        <w:jc w:val="left"/>
        <w:rPr>
          <w:rFonts w:ascii="宋体" w:hAnsi="宋体" w:eastAsia="宋体" w:cs="Times New Roman"/>
          <w:kern w:val="2"/>
          <w:sz w:val="18"/>
          <w:szCs w:val="18"/>
        </w:rPr>
      </w:pPr>
      <w:r>
        <w:rPr>
          <w:rFonts w:hint="eastAsia" w:ascii="宋体" w:hAnsi="宋体" w:eastAsia="宋体" w:cs="Times New Roman"/>
          <w:kern w:val="2"/>
          <w:sz w:val="18"/>
          <w:szCs w:val="18"/>
        </w:rPr>
        <w:t>2.承包商若对本次违约处理有意见，须在《违约处理通知单》送达后2个工作日内向项目主办部门提交正式申诉材料提出申诉，否则视为接受违约处理意见，项目主办部门在收到申诉材料后须在5个工作日给予回复；</w:t>
      </w:r>
    </w:p>
    <w:p>
      <w:pPr>
        <w:widowControl w:val="0"/>
        <w:spacing w:before="0" w:after="0" w:afterAutospacing="0" w:line="240" w:lineRule="exact"/>
        <w:ind w:left="0" w:right="0" w:firstLine="540" w:firstLineChars="30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3.《合同违约处理通知单》按照违约处理决定的金额和授权方案逐级签批或用印，不超过5000元由主办部门签批，5000（不含）-10000元运营公司分管领导签批并用运营公司印，10000元以上由公司总经理签批并用运营公司印；</w:t>
      </w:r>
    </w:p>
    <w:p>
      <w:pPr>
        <w:widowControl w:val="0"/>
        <w:spacing w:before="0" w:after="0" w:afterAutospacing="0" w:line="240" w:lineRule="exact"/>
        <w:ind w:left="0" w:right="0" w:firstLine="540" w:firstLineChars="300"/>
        <w:jc w:val="left"/>
        <w:rPr>
          <w:rStyle w:val="42"/>
          <w:rFonts w:hint="default" w:ascii="黑体" w:hAnsi="黑体" w:eastAsia="黑体" w:cs="黑体"/>
          <w:sz w:val="44"/>
          <w:szCs w:val="44"/>
          <w:lang w:val="en-US" w:eastAsia="zh-CN"/>
        </w:rPr>
        <w:sectPr>
          <w:pgSz w:w="11905" w:h="16838"/>
          <w:pgMar w:top="1418" w:right="1418" w:bottom="1304" w:left="1418" w:header="454" w:footer="567" w:gutter="0"/>
          <w:cols w:space="720" w:num="1"/>
          <w:docGrid w:linePitch="312" w:charSpace="0"/>
        </w:sectPr>
      </w:pPr>
      <w:r>
        <w:rPr>
          <w:rFonts w:hint="eastAsia" w:ascii="宋体" w:hAnsi="宋体" w:eastAsia="宋体" w:cs="Times New Roman"/>
          <w:kern w:val="2"/>
          <w:sz w:val="18"/>
          <w:szCs w:val="18"/>
        </w:rPr>
        <w:t>4.本通知单自送达之日起生效。送达时间基准为:(1)直接送达以签收人签收时间为准；（2）留置送达以通知单送达指定地点时间为准（如出现拒签情况，以通知单送达指定地点时派送人现场照片或物流信息显示送达时间为准）；（3）电子送达以发送人发出通知单时间为准。</w:t>
      </w:r>
    </w:p>
    <w:p>
      <w:pPr>
        <w:pStyle w:val="12"/>
        <w:pageBreakBefore/>
        <w:ind w:right="-57"/>
        <w:jc w:val="center"/>
        <w:outlineLvl w:val="0"/>
        <w:rPr>
          <w:rStyle w:val="42"/>
          <w:rFonts w:hint="eastAsia" w:ascii="黑体" w:hAnsi="黑体" w:eastAsia="黑体" w:cs="黑体"/>
          <w:sz w:val="44"/>
          <w:szCs w:val="44"/>
        </w:rPr>
      </w:pPr>
      <w:bookmarkStart w:id="1488" w:name="_Toc14104"/>
      <w:bookmarkStart w:id="1489" w:name="_Toc17186"/>
      <w:bookmarkStart w:id="1490" w:name="_Toc25908"/>
      <w:bookmarkStart w:id="1491" w:name="_Toc14738"/>
      <w:bookmarkStart w:id="1492" w:name="_Toc6090"/>
      <w:bookmarkStart w:id="1493" w:name="_Toc3174"/>
      <w:bookmarkStart w:id="1494" w:name="_Toc26286"/>
      <w:bookmarkStart w:id="1495" w:name="_Toc21231"/>
      <w:bookmarkStart w:id="1496" w:name="_Toc9329"/>
      <w:bookmarkStart w:id="1497" w:name="_Toc147"/>
      <w:bookmarkStart w:id="1498" w:name="_Toc1777"/>
      <w:bookmarkStart w:id="1499" w:name="_Toc3551"/>
      <w:bookmarkStart w:id="1500" w:name="_Toc1104"/>
      <w:bookmarkStart w:id="1501" w:name="_Toc22547"/>
      <w:bookmarkStart w:id="1502" w:name="_Toc531"/>
      <w:bookmarkStart w:id="1503" w:name="_Toc75429177"/>
      <w:bookmarkStart w:id="1504" w:name="_Toc15064"/>
      <w:bookmarkStart w:id="1505" w:name="_Toc5008"/>
      <w:bookmarkStart w:id="1506" w:name="_Toc4284"/>
      <w:r>
        <w:rPr>
          <w:rStyle w:val="42"/>
          <w:rFonts w:hint="eastAsia" w:ascii="黑体" w:hAnsi="黑体" w:eastAsia="黑体" w:cs="黑体"/>
          <w:sz w:val="44"/>
          <w:szCs w:val="44"/>
        </w:rPr>
        <w:t>第六章</w:t>
      </w:r>
      <w:r>
        <w:rPr>
          <w:rStyle w:val="42"/>
          <w:rFonts w:hint="eastAsia" w:ascii="黑体" w:hAnsi="黑体" w:eastAsia="黑体" w:cs="黑体"/>
          <w:sz w:val="44"/>
          <w:szCs w:val="44"/>
          <w:lang w:val="en-US" w:eastAsia="zh-CN"/>
        </w:rPr>
        <w:t xml:space="preserve"> </w:t>
      </w:r>
      <w:r>
        <w:rPr>
          <w:rStyle w:val="42"/>
          <w:rFonts w:hint="eastAsia" w:ascii="黑体" w:hAnsi="黑体" w:eastAsia="黑体" w:cs="黑体"/>
          <w:sz w:val="44"/>
          <w:szCs w:val="44"/>
        </w:rPr>
        <w:t>评分办法</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spacing w:before="0" w:after="0" w:afterAutospacing="0"/>
        <w:ind w:left="0" w:right="0" w:firstLine="562" w:firstLineChars="200"/>
        <w:outlineLvl w:val="1"/>
        <w:rPr>
          <w:rFonts w:hint="eastAsia" w:ascii="宋体" w:hAnsi="宋体" w:eastAsia="宋体" w:cs="宋体"/>
          <w:b/>
          <w:bCs/>
          <w:sz w:val="28"/>
          <w:szCs w:val="28"/>
        </w:rPr>
      </w:pPr>
      <w:bookmarkStart w:id="1507" w:name="_Toc75429178"/>
      <w:bookmarkStart w:id="1508" w:name="_Toc19700"/>
      <w:r>
        <w:rPr>
          <w:rFonts w:hint="eastAsia" w:ascii="宋体" w:hAnsi="宋体" w:eastAsia="宋体" w:cs="宋体"/>
          <w:b/>
          <w:bCs/>
          <w:sz w:val="28"/>
          <w:szCs w:val="28"/>
        </w:rPr>
        <w:t>一、评审原则</w:t>
      </w:r>
      <w:bookmarkEnd w:id="1507"/>
      <w:bookmarkEnd w:id="1508"/>
    </w:p>
    <w:p>
      <w:pPr>
        <w:spacing w:before="0" w:after="0" w:afterAutospacing="0"/>
        <w:ind w:left="0" w:right="0" w:firstLine="420" w:firstLineChars="200"/>
        <w:rPr>
          <w:rFonts w:hint="eastAsia" w:ascii="宋体" w:hAnsi="宋体" w:eastAsia="宋体" w:cs="宋体"/>
        </w:rPr>
      </w:pPr>
      <w:r>
        <w:rPr>
          <w:rFonts w:hint="eastAsia" w:ascii="宋体" w:hAnsi="宋体" w:eastAsia="宋体" w:cs="宋体"/>
        </w:rPr>
        <w:t>1.1</w:t>
      </w:r>
      <w:r>
        <w:rPr>
          <w:rFonts w:hint="eastAsia" w:ascii="宋体" w:hAnsi="宋体" w:eastAsia="宋体" w:cs="宋体"/>
          <w:bCs/>
        </w:rPr>
        <w:t>评标委员会成员构成：本项目由</w:t>
      </w:r>
      <w:r>
        <w:rPr>
          <w:rFonts w:hint="eastAsia" w:ascii="宋体" w:hAnsi="宋体" w:eastAsia="宋体" w:cs="宋体"/>
        </w:rPr>
        <w:t>南宁轨道交通</w:t>
      </w:r>
      <w:r>
        <w:rPr>
          <w:rFonts w:hint="eastAsia" w:ascii="宋体" w:hAnsi="宋体" w:eastAsia="宋体" w:cs="宋体"/>
          <w:lang w:val="en-US" w:eastAsia="zh-CN"/>
        </w:rPr>
        <w:t>运营有限</w:t>
      </w:r>
      <w:r>
        <w:rPr>
          <w:rFonts w:hint="eastAsia" w:ascii="宋体" w:hAnsi="宋体" w:eastAsia="宋体" w:cs="宋体"/>
        </w:rPr>
        <w:t>公司</w:t>
      </w:r>
      <w:r>
        <w:rPr>
          <w:rFonts w:hint="eastAsia" w:ascii="宋体" w:hAnsi="宋体" w:eastAsia="宋体" w:cs="宋体"/>
          <w:bCs/>
          <w:lang w:val="en-US" w:eastAsia="zh-CN"/>
        </w:rPr>
        <w:t>3</w:t>
      </w:r>
      <w:r>
        <w:rPr>
          <w:rFonts w:hint="eastAsia" w:ascii="宋体" w:hAnsi="宋体" w:eastAsia="宋体" w:cs="宋体"/>
          <w:bCs/>
        </w:rPr>
        <w:t>人及以上单数组成评审小组，对比选申请文件按评审标准进行评审；纪检监察</w:t>
      </w:r>
      <w:r>
        <w:rPr>
          <w:rFonts w:hint="eastAsia" w:ascii="宋体" w:hAnsi="宋体" w:eastAsia="宋体" w:cs="宋体"/>
          <w:bCs/>
          <w:lang w:eastAsia="zh-CN"/>
        </w:rPr>
        <w:t>室</w:t>
      </w:r>
      <w:r>
        <w:rPr>
          <w:rFonts w:hint="eastAsia" w:ascii="宋体" w:hAnsi="宋体" w:eastAsia="宋体" w:cs="宋体"/>
          <w:bCs/>
        </w:rPr>
        <w:t>进行监督。</w:t>
      </w:r>
    </w:p>
    <w:p>
      <w:pPr>
        <w:spacing w:before="0" w:after="0" w:afterAutospacing="0"/>
        <w:ind w:left="0" w:right="0" w:firstLine="420" w:firstLineChars="200"/>
        <w:rPr>
          <w:rFonts w:hint="eastAsia" w:ascii="宋体" w:hAnsi="宋体" w:eastAsia="宋体" w:cs="宋体"/>
        </w:rPr>
      </w:pPr>
      <w:r>
        <w:rPr>
          <w:rFonts w:hint="eastAsia" w:ascii="宋体" w:hAnsi="宋体" w:eastAsia="宋体" w:cs="宋体"/>
        </w:rPr>
        <w:t>1.2</w:t>
      </w:r>
      <w:r>
        <w:rPr>
          <w:rFonts w:hint="eastAsia" w:ascii="宋体" w:hAnsi="宋体" w:eastAsia="宋体" w:cs="宋体"/>
          <w:bCs/>
        </w:rPr>
        <w:t>评审依据：评标委员会以比选文件、比选申请文件为评审依据。</w:t>
      </w:r>
    </w:p>
    <w:p>
      <w:pPr>
        <w:spacing w:before="0" w:after="0" w:afterAutospacing="0"/>
        <w:ind w:left="0" w:right="0" w:firstLine="420" w:firstLineChars="200"/>
        <w:rPr>
          <w:rFonts w:hint="eastAsia" w:ascii="宋体" w:hAnsi="宋体" w:eastAsia="宋体" w:cs="宋体"/>
          <w:bCs/>
        </w:rPr>
      </w:pPr>
      <w:r>
        <w:rPr>
          <w:rFonts w:hint="eastAsia" w:ascii="宋体" w:hAnsi="宋体" w:eastAsia="宋体" w:cs="宋体"/>
        </w:rPr>
        <w:t>1.3</w:t>
      </w:r>
      <w:r>
        <w:rPr>
          <w:rFonts w:hint="eastAsia" w:ascii="宋体" w:hAnsi="宋体" w:eastAsia="宋体" w:cs="宋体"/>
          <w:bCs/>
        </w:rPr>
        <w:t>评审方式：以封闭方式进行。</w:t>
      </w:r>
    </w:p>
    <w:p>
      <w:pPr>
        <w:spacing w:before="0" w:after="0" w:afterAutospacing="0"/>
        <w:ind w:left="0" w:right="0" w:firstLine="562" w:firstLineChars="200"/>
        <w:outlineLvl w:val="1"/>
        <w:rPr>
          <w:rFonts w:hint="eastAsia" w:ascii="宋体" w:hAnsi="宋体" w:eastAsia="宋体" w:cs="宋体"/>
          <w:b/>
        </w:rPr>
      </w:pPr>
      <w:bookmarkStart w:id="1509" w:name="_Toc75429179"/>
      <w:bookmarkStart w:id="1510" w:name="_Toc5136"/>
      <w:bookmarkStart w:id="1511" w:name="_Toc28169"/>
      <w:bookmarkStart w:id="1512" w:name="_Toc11240"/>
      <w:bookmarkStart w:id="1513" w:name="_Toc478566177"/>
      <w:bookmarkStart w:id="1514" w:name="_Toc15880"/>
      <w:bookmarkStart w:id="1515" w:name="_Toc29000"/>
      <w:r>
        <w:rPr>
          <w:rFonts w:hint="eastAsia" w:ascii="宋体" w:hAnsi="宋体" w:eastAsia="宋体" w:cs="宋体"/>
          <w:b/>
          <w:bCs/>
          <w:sz w:val="28"/>
          <w:szCs w:val="28"/>
        </w:rPr>
        <w:t>二、评定方法</w:t>
      </w:r>
      <w:bookmarkEnd w:id="1509"/>
      <w:bookmarkEnd w:id="1510"/>
      <w:bookmarkEnd w:id="1511"/>
      <w:bookmarkEnd w:id="1512"/>
      <w:bookmarkEnd w:id="1513"/>
      <w:bookmarkEnd w:id="1514"/>
      <w:bookmarkEnd w:id="1515"/>
    </w:p>
    <w:p>
      <w:pPr>
        <w:spacing w:before="0" w:after="0" w:afterAutospacing="0"/>
        <w:ind w:left="0" w:right="0" w:firstLine="420" w:firstLineChars="200"/>
        <w:rPr>
          <w:rFonts w:hint="eastAsia" w:ascii="宋体" w:hAnsi="宋体" w:eastAsia="宋体" w:cs="宋体"/>
        </w:rPr>
      </w:pPr>
      <w:r>
        <w:rPr>
          <w:rFonts w:hint="eastAsia" w:ascii="宋体" w:hAnsi="宋体" w:eastAsia="宋体" w:cs="宋体"/>
        </w:rPr>
        <w:t>2.1对资格性和符合性检查合格的</w:t>
      </w:r>
      <w:r>
        <w:rPr>
          <w:rFonts w:hint="eastAsia" w:ascii="宋体" w:hAnsi="宋体" w:eastAsia="宋体" w:cs="宋体"/>
          <w:lang w:val="en-US" w:eastAsia="zh-CN"/>
        </w:rPr>
        <w:t>比选</w:t>
      </w:r>
      <w:r>
        <w:rPr>
          <w:rFonts w:hint="eastAsia" w:ascii="宋体" w:hAnsi="宋体" w:eastAsia="宋体" w:cs="宋体"/>
        </w:rPr>
        <w:t>文件，采用</w:t>
      </w:r>
      <w:r>
        <w:rPr>
          <w:rFonts w:hint="eastAsia" w:ascii="宋体" w:hAnsi="宋体" w:eastAsia="宋体" w:cs="宋体"/>
          <w:b/>
          <w:bCs/>
          <w:lang w:eastAsia="zh-CN"/>
        </w:rPr>
        <w:t>最低评审价法</w:t>
      </w:r>
      <w:r>
        <w:rPr>
          <w:rFonts w:hint="eastAsia" w:ascii="宋体" w:hAnsi="宋体" w:eastAsia="宋体" w:cs="宋体"/>
        </w:rPr>
        <w:t>进行评审。</w:t>
      </w:r>
    </w:p>
    <w:p>
      <w:pPr>
        <w:spacing w:before="0" w:after="0" w:afterAutospacing="0"/>
        <w:ind w:left="0" w:right="0" w:firstLine="420" w:firstLineChars="200"/>
        <w:rPr>
          <w:rFonts w:hint="eastAsia" w:ascii="宋体" w:hAnsi="宋体" w:eastAsia="宋体" w:cs="宋体"/>
        </w:rPr>
      </w:pPr>
      <w:r>
        <w:rPr>
          <w:rFonts w:hint="eastAsia" w:ascii="宋体" w:hAnsi="宋体" w:eastAsia="宋体" w:cs="宋体"/>
        </w:rPr>
        <w:t>2.2评标委员会将依照本</w:t>
      </w:r>
      <w:r>
        <w:rPr>
          <w:rFonts w:hint="eastAsia" w:ascii="宋体" w:hAnsi="宋体" w:eastAsia="宋体" w:cs="宋体"/>
          <w:lang w:val="en-US" w:eastAsia="zh-CN"/>
        </w:rPr>
        <w:t>比选</w:t>
      </w:r>
      <w:r>
        <w:rPr>
          <w:rFonts w:hint="eastAsia" w:ascii="宋体" w:hAnsi="宋体" w:eastAsia="宋体" w:cs="宋体"/>
        </w:rPr>
        <w:t>文件相关规定对质量和服务均能满足实质性响应要求的比选申请人所提交的报价按照由低到高的顺序提出1-3名中标候选人，并编写评审报告。</w:t>
      </w:r>
    </w:p>
    <w:p>
      <w:pPr>
        <w:spacing w:before="0" w:after="0" w:afterAutospacing="0"/>
        <w:ind w:left="0" w:right="0" w:firstLine="420" w:firstLineChars="200"/>
        <w:rPr>
          <w:rFonts w:hint="eastAsia" w:ascii="宋体" w:hAnsi="宋体" w:eastAsia="宋体" w:cs="宋体"/>
        </w:rPr>
      </w:pPr>
      <w:r>
        <w:rPr>
          <w:rFonts w:hint="eastAsia" w:ascii="宋体" w:hAnsi="宋体" w:eastAsia="宋体" w:cs="宋体"/>
        </w:rPr>
        <w:t>2.3若比选申请人的报价相同，以评标委员会记名投票的方式按少数服从多数的原则决定其排名顺序。</w:t>
      </w:r>
    </w:p>
    <w:p>
      <w:pPr>
        <w:spacing w:before="0" w:after="0" w:afterAutospacing="0"/>
        <w:ind w:left="707" w:leftChars="267" w:right="0" w:hanging="146" w:hangingChars="52"/>
        <w:rPr>
          <w:rFonts w:hint="eastAsia" w:ascii="宋体" w:hAnsi="宋体" w:eastAsia="宋体" w:cs="宋体"/>
          <w:b/>
          <w:bCs/>
          <w:sz w:val="28"/>
          <w:szCs w:val="28"/>
        </w:rPr>
      </w:pPr>
      <w:r>
        <w:rPr>
          <w:rFonts w:hint="eastAsia" w:ascii="宋体" w:hAnsi="宋体" w:eastAsia="宋体" w:cs="宋体"/>
          <w:b/>
          <w:bCs/>
          <w:sz w:val="28"/>
          <w:szCs w:val="28"/>
        </w:rPr>
        <w:t>三、评审流程</w:t>
      </w:r>
    </w:p>
    <w:p>
      <w:pPr>
        <w:tabs>
          <w:tab w:val="left" w:pos="567"/>
        </w:tabs>
        <w:spacing w:before="0" w:after="0" w:afterAutospacing="0"/>
        <w:ind w:left="422" w:right="0" w:firstLine="0"/>
        <w:rPr>
          <w:rFonts w:hint="eastAsia" w:ascii="宋体" w:hAnsi="宋体" w:eastAsia="宋体" w:cs="宋体"/>
          <w:b/>
        </w:rPr>
      </w:pPr>
      <w:r>
        <w:rPr>
          <w:rFonts w:hint="eastAsia" w:ascii="宋体" w:hAnsi="宋体" w:eastAsia="宋体" w:cs="宋体"/>
          <w:b/>
        </w:rPr>
        <w:t>3.1资格审查</w:t>
      </w:r>
    </w:p>
    <w:p>
      <w:pPr>
        <w:spacing w:before="0" w:after="0" w:afterAutospacing="0"/>
        <w:ind w:left="0" w:right="0" w:firstLine="420" w:firstLineChars="200"/>
        <w:rPr>
          <w:rFonts w:hint="eastAsia" w:ascii="宋体" w:hAnsi="宋体" w:eastAsia="宋体" w:cs="宋体"/>
        </w:rPr>
      </w:pPr>
      <w:r>
        <w:rPr>
          <w:rFonts w:hint="eastAsia" w:ascii="宋体" w:hAnsi="宋体" w:eastAsia="宋体" w:cs="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hint="eastAsia" w:ascii="宋体" w:hAnsi="宋体" w:eastAsia="宋体" w:cs="宋体"/>
        </w:rPr>
      </w:pPr>
      <w:r>
        <w:rPr>
          <w:rFonts w:hint="eastAsia" w:ascii="宋体" w:hAnsi="宋体" w:eastAsia="宋体" w:cs="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hint="eastAsia" w:ascii="宋体" w:hAnsi="宋体" w:eastAsia="宋体" w:cs="宋体"/>
          <w:b/>
        </w:rPr>
      </w:pPr>
      <w:r>
        <w:rPr>
          <w:rFonts w:hint="eastAsia" w:ascii="宋体" w:hAnsi="宋体" w:eastAsia="宋体" w:cs="宋体"/>
          <w:b/>
        </w:rPr>
        <w:t>3.2</w:t>
      </w:r>
      <w:r>
        <w:rPr>
          <w:rFonts w:hint="eastAsia" w:ascii="宋体" w:hAnsi="宋体" w:eastAsia="宋体" w:cs="宋体"/>
          <w:b/>
          <w:lang w:val="en-US" w:eastAsia="zh-CN"/>
        </w:rPr>
        <w:t>符合性</w:t>
      </w:r>
      <w:r>
        <w:rPr>
          <w:rFonts w:hint="eastAsia" w:ascii="宋体" w:hAnsi="宋体" w:eastAsia="宋体" w:cs="宋体"/>
          <w:b/>
        </w:rPr>
        <w:t>评审</w:t>
      </w:r>
    </w:p>
    <w:p>
      <w:pPr>
        <w:tabs>
          <w:tab w:val="left" w:pos="851"/>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3.2.1评审委员会将对比选申请文件的实质性内容进行</w:t>
      </w:r>
      <w:r>
        <w:rPr>
          <w:rFonts w:hint="eastAsia" w:ascii="宋体" w:hAnsi="宋体" w:eastAsia="宋体" w:cs="宋体"/>
          <w:lang w:eastAsia="zh-CN"/>
        </w:rPr>
        <w:t>符合性评审</w:t>
      </w:r>
      <w:r>
        <w:rPr>
          <w:rFonts w:hint="eastAsia" w:ascii="宋体" w:hAnsi="宋体" w:eastAsia="宋体" w:cs="宋体"/>
        </w:rPr>
        <w:t>，判定其内容是否真实、完整，是否满足比选文件要求并在实质性内容上予以响应。</w:t>
      </w:r>
    </w:p>
    <w:p>
      <w:pPr>
        <w:tabs>
          <w:tab w:val="left" w:pos="851"/>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3.2.3评审委员会根据比选文件的要求对比选申请人进行符合性评审，未通过符合性评审的比选申请人不得进入下一阶段的评审。评审标准见附表二《符合性评审表》。</w:t>
      </w:r>
    </w:p>
    <w:p>
      <w:pPr>
        <w:tabs>
          <w:tab w:val="left" w:pos="567"/>
        </w:tabs>
        <w:spacing w:before="0" w:after="0" w:afterAutospacing="0"/>
        <w:ind w:left="422" w:right="0" w:firstLine="0"/>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3.</w:t>
      </w:r>
      <w:r>
        <w:rPr>
          <w:rFonts w:hint="eastAsia" w:ascii="宋体" w:hAnsi="宋体" w:eastAsia="宋体" w:cs="宋体"/>
          <w:b/>
          <w:color w:val="000000" w:themeColor="text1"/>
          <w:highlight w:val="none"/>
          <w:lang w:val="en-US" w:eastAsia="zh-CN"/>
          <w14:textFill>
            <w14:solidFill>
              <w14:schemeClr w14:val="tx1"/>
            </w14:solidFill>
          </w14:textFill>
        </w:rPr>
        <w:t>3价格</w:t>
      </w:r>
      <w:r>
        <w:rPr>
          <w:rFonts w:hint="eastAsia" w:ascii="宋体" w:hAnsi="宋体" w:eastAsia="宋体" w:cs="宋体"/>
          <w:b/>
          <w:color w:val="000000" w:themeColor="text1"/>
          <w:highlight w:val="none"/>
          <w14:textFill>
            <w14:solidFill>
              <w14:schemeClr w14:val="tx1"/>
            </w14:solidFill>
          </w14:textFill>
        </w:rPr>
        <w:t>评审</w:t>
      </w:r>
    </w:p>
    <w:p>
      <w:pPr>
        <w:tabs>
          <w:tab w:val="left" w:pos="851"/>
        </w:tabs>
        <w:spacing w:before="0" w:after="0" w:afterAutospacing="0"/>
        <w:ind w:left="0" w:leftChars="0" w:right="0" w:firstLine="420" w:firstLineChars="200"/>
        <w:rPr>
          <w:rFonts w:hint="eastAsia" w:ascii="宋体" w:hAnsi="宋体" w:eastAsia="宋体" w:cs="宋体"/>
          <w:lang w:eastAsia="zh-CN"/>
        </w:rPr>
      </w:pPr>
      <w:r>
        <w:rPr>
          <w:rFonts w:hint="eastAsia" w:ascii="宋体" w:hAnsi="宋体" w:eastAsia="宋体" w:cs="宋体"/>
        </w:rPr>
        <w:t>3.</w:t>
      </w:r>
      <w:r>
        <w:rPr>
          <w:rFonts w:hint="eastAsia" w:ascii="宋体" w:hAnsi="宋体" w:eastAsia="宋体" w:cs="宋体"/>
          <w:lang w:val="en-US" w:eastAsia="zh-CN"/>
        </w:rPr>
        <w:t>3.1</w:t>
      </w:r>
      <w:r>
        <w:rPr>
          <w:rFonts w:hint="eastAsia" w:ascii="宋体" w:hAnsi="宋体" w:eastAsia="宋体" w:cs="宋体"/>
        </w:rPr>
        <w:t>评审委员会对</w:t>
      </w:r>
      <w:r>
        <w:rPr>
          <w:rFonts w:hint="eastAsia" w:ascii="宋体" w:hAnsi="宋体" w:eastAsia="宋体" w:cs="宋体"/>
          <w:lang w:eastAsia="zh-CN"/>
        </w:rPr>
        <w:t>通过</w:t>
      </w:r>
      <w:r>
        <w:rPr>
          <w:rFonts w:hint="eastAsia" w:ascii="宋体" w:hAnsi="宋体" w:eastAsia="宋体" w:cs="宋体"/>
        </w:rPr>
        <w:t>资格审查</w:t>
      </w:r>
      <w:r>
        <w:rPr>
          <w:rFonts w:hint="eastAsia" w:ascii="宋体" w:hAnsi="宋体" w:eastAsia="宋体" w:cs="宋体"/>
          <w:lang w:eastAsia="zh-CN"/>
        </w:rPr>
        <w:t>、符合性</w:t>
      </w:r>
      <w:r>
        <w:rPr>
          <w:rFonts w:hint="eastAsia" w:ascii="宋体" w:hAnsi="宋体" w:eastAsia="宋体" w:cs="宋体"/>
        </w:rPr>
        <w:t>评审的比选申请人</w:t>
      </w:r>
      <w:r>
        <w:rPr>
          <w:rFonts w:hint="eastAsia" w:ascii="宋体" w:hAnsi="宋体" w:eastAsia="宋体" w:cs="宋体"/>
          <w:lang w:eastAsia="zh-CN"/>
        </w:rPr>
        <w:t>的</w:t>
      </w:r>
      <w:r>
        <w:rPr>
          <w:rFonts w:hint="eastAsia" w:ascii="宋体" w:hAnsi="宋体" w:eastAsia="宋体" w:cs="宋体"/>
        </w:rPr>
        <w:t>比选申请报价进行</w:t>
      </w:r>
      <w:r>
        <w:rPr>
          <w:rFonts w:hint="eastAsia" w:ascii="宋体" w:hAnsi="宋体" w:eastAsia="宋体" w:cs="宋体"/>
          <w:lang w:eastAsia="zh-CN"/>
        </w:rPr>
        <w:t>价格评审。</w:t>
      </w:r>
    </w:p>
    <w:p>
      <w:pPr>
        <w:tabs>
          <w:tab w:val="left" w:pos="851"/>
        </w:tabs>
        <w:spacing w:before="0" w:after="0" w:afterAutospacing="0"/>
        <w:ind w:left="0" w:leftChars="0" w:right="0" w:firstLine="420" w:firstLineChars="200"/>
        <w:rPr>
          <w:rFonts w:hint="eastAsia" w:ascii="宋体" w:hAnsi="宋体" w:eastAsia="宋体" w:cs="宋体"/>
        </w:rPr>
      </w:pPr>
      <w:r>
        <w:rPr>
          <w:rFonts w:hint="eastAsia" w:ascii="宋体" w:hAnsi="宋体" w:eastAsia="宋体" w:cs="宋体"/>
          <w:lang w:val="en-US" w:eastAsia="zh-CN"/>
        </w:rPr>
        <w:t>3.3.2比选申请人报价如需要</w:t>
      </w:r>
      <w:r>
        <w:rPr>
          <w:rFonts w:hint="eastAsia" w:ascii="宋体" w:hAnsi="宋体" w:eastAsia="宋体" w:cs="宋体"/>
        </w:rPr>
        <w:t>算术修正</w:t>
      </w:r>
      <w:r>
        <w:rPr>
          <w:rFonts w:hint="eastAsia" w:ascii="宋体" w:hAnsi="宋体" w:eastAsia="宋体" w:cs="宋体"/>
          <w:lang w:eastAsia="zh-CN"/>
        </w:rPr>
        <w:t>的</w:t>
      </w:r>
      <w:r>
        <w:rPr>
          <w:rFonts w:hint="eastAsia" w:ascii="宋体" w:hAnsi="宋体" w:eastAsia="宋体" w:cs="宋体"/>
        </w:rPr>
        <w:t>，计算出评审总价。算术修正的原则如下：</w:t>
      </w:r>
    </w:p>
    <w:p>
      <w:pPr>
        <w:tabs>
          <w:tab w:val="left" w:pos="851"/>
        </w:tabs>
        <w:spacing w:before="0" w:after="0" w:afterAutospacing="0"/>
        <w:ind w:left="1060" w:leftChars="218" w:right="0" w:hanging="602" w:hangingChars="287"/>
        <w:rPr>
          <w:rFonts w:hint="eastAsia" w:ascii="宋体" w:hAnsi="宋体" w:eastAsia="宋体" w:cs="宋体"/>
        </w:rPr>
      </w:pPr>
      <w:r>
        <w:rPr>
          <w:rFonts w:hint="eastAsia" w:ascii="宋体" w:hAnsi="宋体" w:eastAsia="宋体" w:cs="宋体"/>
        </w:rPr>
        <w:t>（1）评审价以不含税总报价为基准；</w:t>
      </w:r>
    </w:p>
    <w:p>
      <w:pPr>
        <w:tabs>
          <w:tab w:val="left" w:pos="420"/>
          <w:tab w:val="left" w:pos="1134"/>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（2）比选申请报价大写金额与小写金额不一致的，以大写金额为准；总价金额与单价乘以数量的合计计算出的结果不一致的，以单价为准修正总价，但单价金额小数点有明显错误的除外。</w:t>
      </w:r>
    </w:p>
    <w:p>
      <w:pPr>
        <w:pStyle w:val="37"/>
        <w:tabs>
          <w:tab w:val="left" w:pos="851"/>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（3）同一规格、型号的设备、材料在各分项报价中单价不一致的，以最低的单价调整；</w:t>
      </w:r>
    </w:p>
    <w:p>
      <w:pPr>
        <w:pStyle w:val="37"/>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（4）按上述（2）、（3）条规则对比选申请报价进行修正。评标价格及中</w:t>
      </w:r>
      <w:r>
        <w:rPr>
          <w:rFonts w:hint="eastAsia" w:ascii="宋体" w:hAnsi="宋体" w:eastAsia="宋体" w:cs="宋体"/>
          <w:lang w:eastAsia="zh-CN"/>
        </w:rPr>
        <w:t>选</w:t>
      </w:r>
      <w:r>
        <w:rPr>
          <w:rFonts w:hint="eastAsia" w:ascii="宋体" w:hAnsi="宋体" w:eastAsia="宋体" w:cs="宋体"/>
        </w:rPr>
        <w:t>价均以修正后的</w:t>
      </w:r>
      <w:r>
        <w:rPr>
          <w:rFonts w:hint="eastAsia" w:ascii="宋体" w:hAnsi="宋体" w:eastAsia="宋体" w:cs="宋体"/>
          <w:lang w:eastAsia="zh-CN"/>
        </w:rPr>
        <w:t>比选申请</w:t>
      </w:r>
      <w:r>
        <w:rPr>
          <w:rFonts w:hint="eastAsia" w:ascii="宋体" w:hAnsi="宋体" w:eastAsia="宋体" w:cs="宋体"/>
        </w:rPr>
        <w:t>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3</w:t>
      </w:r>
      <w:r>
        <w:rPr>
          <w:rFonts w:hint="eastAsia" w:ascii="宋体" w:hAnsi="宋体" w:eastAsia="宋体" w:cs="宋体"/>
        </w:rPr>
        <w:t>.3出现下列情况的将不通过</w:t>
      </w:r>
      <w:r>
        <w:rPr>
          <w:rFonts w:hint="eastAsia" w:ascii="宋体" w:hAnsi="宋体" w:eastAsia="宋体" w:cs="宋体"/>
          <w:lang w:eastAsia="zh-CN"/>
        </w:rPr>
        <w:t>价格</w:t>
      </w:r>
      <w:r>
        <w:rPr>
          <w:rFonts w:hint="eastAsia" w:ascii="宋体" w:hAnsi="宋体" w:eastAsia="宋体" w:cs="宋体"/>
        </w:rPr>
        <w:t>评审：</w:t>
      </w:r>
    </w:p>
    <w:p>
      <w:pPr>
        <w:pStyle w:val="37"/>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pStyle w:val="37"/>
        <w:tabs>
          <w:tab w:val="left" w:pos="567"/>
        </w:tabs>
        <w:spacing w:before="0" w:after="0" w:afterAutospacing="0" w:line="360" w:lineRule="auto"/>
        <w:ind w:left="0" w:right="0" w:firstLine="42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3</w:t>
      </w:r>
      <w:r>
        <w:rPr>
          <w:rFonts w:hint="eastAsia" w:ascii="宋体" w:hAnsi="宋体" w:eastAsia="宋体" w:cs="宋体"/>
        </w:rPr>
        <w:t>.</w:t>
      </w:r>
      <w:r>
        <w:rPr>
          <w:rFonts w:hint="eastAsia" w:ascii="宋体" w:hAnsi="宋体" w:eastAsia="宋体" w:cs="宋体"/>
          <w:lang w:val="en-US" w:eastAsia="zh-CN"/>
        </w:rPr>
        <w:t>4</w:t>
      </w:r>
      <w:r>
        <w:rPr>
          <w:rFonts w:hint="eastAsia" w:ascii="宋体" w:hAnsi="宋体" w:eastAsia="宋体" w:cs="宋体"/>
        </w:rPr>
        <w:t>评审委员会评审比选申请人的各项报价和清单是否清楚、完整，对报价和清单有重大偏差或缺漏项或不清晰而又不能做出合理解释的，其比选申请作否决比选申请处理。</w:t>
      </w:r>
    </w:p>
    <w:p>
      <w:pPr>
        <w:pStyle w:val="37"/>
        <w:tabs>
          <w:tab w:val="left" w:pos="567"/>
        </w:tabs>
        <w:spacing w:before="0" w:after="0" w:afterAutospacing="0"/>
        <w:ind w:left="0" w:right="0" w:firstLine="0" w:firstLineChars="0"/>
        <w:rPr>
          <w:rFonts w:hint="eastAsia" w:ascii="宋体" w:hAnsi="宋体" w:eastAsia="宋体" w:cs="宋体"/>
          <w:b w:val="0"/>
        </w:rPr>
      </w:pPr>
      <w:r>
        <w:rPr>
          <w:rFonts w:hint="eastAsia" w:ascii="宋体" w:hAnsi="宋体" w:eastAsia="宋体" w:cs="宋体"/>
          <w:lang w:val="en-US" w:eastAsia="zh-CN"/>
        </w:rPr>
        <w:t xml:space="preserve">    </w:t>
      </w:r>
      <w:r>
        <w:rPr>
          <w:rFonts w:hint="eastAsia" w:ascii="宋体" w:hAnsi="宋体" w:eastAsia="宋体" w:cs="宋体"/>
          <w:b w:val="0"/>
        </w:rPr>
        <w:t>3.</w:t>
      </w:r>
      <w:r>
        <w:rPr>
          <w:rFonts w:hint="eastAsia" w:ascii="宋体" w:hAnsi="宋体" w:eastAsia="宋体" w:cs="宋体"/>
          <w:b w:val="0"/>
          <w:lang w:val="en-US" w:eastAsia="zh-CN"/>
        </w:rPr>
        <w:t>3</w:t>
      </w:r>
      <w:r>
        <w:rPr>
          <w:rFonts w:hint="eastAsia" w:ascii="宋体" w:hAnsi="宋体" w:eastAsia="宋体" w:cs="宋体"/>
          <w:b w:val="0"/>
        </w:rPr>
        <w:t>.</w:t>
      </w:r>
      <w:r>
        <w:rPr>
          <w:rFonts w:hint="eastAsia" w:ascii="宋体" w:hAnsi="宋体" w:eastAsia="宋体" w:cs="宋体"/>
          <w:b w:val="0"/>
          <w:lang w:val="en-US" w:eastAsia="zh-CN"/>
        </w:rPr>
        <w:t>5</w:t>
      </w:r>
      <w:r>
        <w:rPr>
          <w:rFonts w:hint="eastAsia" w:ascii="宋体" w:hAnsi="宋体" w:eastAsia="宋体" w:cs="宋体"/>
          <w:b w:val="0"/>
        </w:rPr>
        <w:t>价格评审结果</w:t>
      </w:r>
    </w:p>
    <w:p>
      <w:pPr>
        <w:tabs>
          <w:tab w:val="left" w:pos="851"/>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通过价格评审计算出比选申请人的实际评审总价，填写《比选申请价格评审表》（见附表四），由评审委员根据通过资格审查</w:t>
      </w:r>
      <w:r>
        <w:rPr>
          <w:rFonts w:hint="eastAsia" w:ascii="宋体" w:hAnsi="宋体" w:eastAsia="宋体" w:cs="宋体"/>
          <w:lang w:eastAsia="zh-CN"/>
        </w:rPr>
        <w:t>、</w:t>
      </w:r>
      <w:r>
        <w:rPr>
          <w:rFonts w:hint="eastAsia" w:ascii="宋体" w:hAnsi="宋体" w:eastAsia="宋体" w:cs="宋体"/>
        </w:rPr>
        <w:t>符合性评审的比选申请人报价按照由低到高的顺序提出1-3名中选候选人，并编写评审报告。</w:t>
      </w:r>
    </w:p>
    <w:p>
      <w:pPr>
        <w:tabs>
          <w:tab w:val="left" w:pos="567"/>
        </w:tabs>
        <w:spacing w:before="0" w:after="0" w:afterAutospacing="0"/>
        <w:ind w:left="422" w:right="0" w:firstLine="0"/>
        <w:rPr>
          <w:rFonts w:hint="eastAsia" w:ascii="宋体" w:hAnsi="宋体" w:eastAsia="宋体" w:cs="宋体"/>
          <w:b/>
        </w:rPr>
      </w:pPr>
      <w:r>
        <w:rPr>
          <w:rFonts w:hint="eastAsia" w:ascii="宋体" w:hAnsi="宋体" w:eastAsia="宋体" w:cs="宋体"/>
          <w:b/>
        </w:rPr>
        <w:t>3.</w:t>
      </w:r>
      <w:r>
        <w:rPr>
          <w:rFonts w:hint="eastAsia" w:ascii="宋体" w:hAnsi="宋体" w:eastAsia="宋体" w:cs="宋体"/>
          <w:b/>
          <w:lang w:val="en-US" w:eastAsia="zh-CN"/>
        </w:rPr>
        <w:t>4</w:t>
      </w:r>
      <w:r>
        <w:rPr>
          <w:rFonts w:hint="eastAsia" w:ascii="宋体" w:hAnsi="宋体" w:eastAsia="宋体" w:cs="宋体"/>
          <w:b/>
        </w:rPr>
        <w:t>澄清或补正</w:t>
      </w:r>
    </w:p>
    <w:p>
      <w:pPr>
        <w:tabs>
          <w:tab w:val="left" w:pos="851"/>
          <w:tab w:val="left" w:pos="1134"/>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4</w:t>
      </w:r>
      <w:r>
        <w:rPr>
          <w:rFonts w:hint="eastAsia" w:ascii="宋体" w:hAnsi="宋体" w:eastAsia="宋体" w:cs="宋体"/>
        </w:rPr>
        <w:t>.1</w:t>
      </w:r>
      <w:r>
        <w:rPr>
          <w:rFonts w:hint="eastAsia" w:ascii="宋体" w:hAnsi="宋体" w:eastAsia="宋体" w:cs="宋体"/>
          <w:shd w:val="clear" w:color="auto" w:fill="FFFFFF"/>
        </w:rPr>
        <w:t>在评审阶段，评审委员会认为必要时，</w:t>
      </w:r>
      <w:r>
        <w:rPr>
          <w:rFonts w:hint="eastAsia" w:ascii="宋体" w:hAnsi="宋体" w:eastAsia="宋体" w:cs="宋体"/>
        </w:rPr>
        <w:t>可书面通知比选申请人要求其澄清或补正比选申请文件中的问题</w:t>
      </w:r>
      <w:r>
        <w:rPr>
          <w:rFonts w:hint="eastAsia" w:ascii="宋体" w:hAnsi="宋体" w:eastAsia="宋体" w:cs="宋体"/>
          <w:shd w:val="clear" w:color="auto" w:fill="FFFFFF"/>
        </w:rPr>
        <w:t>，或者要求其补充某些资料。对此，比选申请人不得拒绝</w:t>
      </w:r>
      <w:r>
        <w:rPr>
          <w:rFonts w:hint="eastAsia" w:ascii="宋体" w:hAnsi="宋体" w:eastAsia="宋体" w:cs="宋体"/>
        </w:rPr>
        <w:t>。</w:t>
      </w:r>
    </w:p>
    <w:p>
      <w:pPr>
        <w:tabs>
          <w:tab w:val="left" w:pos="851"/>
          <w:tab w:val="left" w:pos="1134"/>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4</w:t>
      </w:r>
      <w:r>
        <w:rPr>
          <w:rFonts w:hint="eastAsia" w:ascii="宋体" w:hAnsi="宋体" w:eastAsia="宋体" w:cs="宋体"/>
        </w:rPr>
        <w:t>.2</w:t>
      </w:r>
      <w:r>
        <w:rPr>
          <w:rFonts w:hint="eastAsia" w:ascii="宋体" w:hAnsi="宋体" w:eastAsia="宋体" w:cs="宋体"/>
          <w:shd w:val="clear" w:color="auto" w:fill="FFFFFF"/>
        </w:rPr>
        <w:t>比选申请人须以书面形式提供澄清或补正文件，经评审委员会确认方可作为比选申请文件的组成部分</w:t>
      </w:r>
      <w:r>
        <w:rPr>
          <w:rFonts w:hint="eastAsia" w:ascii="宋体" w:hAnsi="宋体" w:eastAsia="宋体" w:cs="宋体"/>
        </w:rPr>
        <w:t>。</w:t>
      </w:r>
    </w:p>
    <w:p>
      <w:pPr>
        <w:tabs>
          <w:tab w:val="left" w:pos="851"/>
          <w:tab w:val="left" w:pos="1134"/>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4</w:t>
      </w:r>
      <w:r>
        <w:rPr>
          <w:rFonts w:hint="eastAsia" w:ascii="宋体" w:hAnsi="宋体" w:eastAsia="宋体" w:cs="宋体"/>
        </w:rPr>
        <w:t>.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4</w:t>
      </w:r>
      <w:r>
        <w:rPr>
          <w:rFonts w:hint="eastAsia" w:ascii="宋体" w:hAnsi="宋体" w:eastAsia="宋体" w:cs="宋体"/>
        </w:rPr>
        <w:t>.4如果评审委员会对比选申请人提交的澄清、说明或补正依然存有疑问，可以对比选申请人进一步质疑。比选申请人应当相应地进一步澄清、说明或补正，直至评审委员会认为全部质疑得到解答。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4</w:t>
      </w:r>
      <w:r>
        <w:rPr>
          <w:rFonts w:hint="eastAsia" w:ascii="宋体" w:hAnsi="宋体" w:eastAsia="宋体" w:cs="宋体"/>
        </w:rPr>
        <w:t>.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hint="eastAsia" w:ascii="宋体" w:hAnsi="宋体" w:eastAsia="宋体" w:cs="宋体"/>
          <w:b/>
        </w:rPr>
      </w:pPr>
      <w:r>
        <w:rPr>
          <w:rFonts w:hint="eastAsia" w:ascii="宋体" w:hAnsi="宋体" w:eastAsia="宋体" w:cs="宋体"/>
          <w:b/>
        </w:rPr>
        <w:t>3.</w:t>
      </w:r>
      <w:r>
        <w:rPr>
          <w:rFonts w:hint="eastAsia" w:ascii="宋体" w:hAnsi="宋体" w:eastAsia="宋体" w:cs="宋体"/>
          <w:b/>
          <w:lang w:val="en-US" w:eastAsia="zh-CN"/>
        </w:rPr>
        <w:t>5</w:t>
      </w:r>
      <w:r>
        <w:rPr>
          <w:rFonts w:hint="eastAsia" w:ascii="宋体" w:hAnsi="宋体" w:eastAsia="宋体" w:cs="宋体"/>
          <w:b/>
        </w:rPr>
        <w:t>评</w:t>
      </w:r>
      <w:r>
        <w:rPr>
          <w:rFonts w:hint="eastAsia" w:ascii="宋体" w:hAnsi="宋体" w:eastAsia="宋体" w:cs="宋体"/>
          <w:b/>
          <w:lang w:val="en-US" w:eastAsia="zh-CN"/>
        </w:rPr>
        <w:t>审</w:t>
      </w:r>
      <w:r>
        <w:rPr>
          <w:rFonts w:hint="eastAsia" w:ascii="宋体" w:hAnsi="宋体" w:eastAsia="宋体" w:cs="宋体"/>
          <w:b/>
        </w:rPr>
        <w:t>报告</w:t>
      </w:r>
    </w:p>
    <w:p>
      <w:pPr>
        <w:tabs>
          <w:tab w:val="left" w:pos="993"/>
          <w:tab w:val="left" w:pos="1134"/>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1）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p>
    <w:p>
      <w:pPr>
        <w:tabs>
          <w:tab w:val="left" w:pos="851"/>
          <w:tab w:val="left" w:pos="993"/>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2）评审委员会根据报价按由低到高的顺序进行排序。并在评审报告中推荐报价最低的比选申请人为第一中选候选人，推荐第二低者为第二中选候选人，第三低者为第三中选候选人。如果有2个或2个以上的比选申请人报价相同的，以评审委员会记名投票的方式按少数服从多数的原则决定其排名顺序。</w:t>
      </w:r>
    </w:p>
    <w:p>
      <w:pPr>
        <w:spacing w:before="0" w:after="0" w:afterAutospacing="0"/>
        <w:ind w:left="0" w:right="0" w:firstLine="422" w:firstLineChars="200"/>
        <w:rPr>
          <w:rFonts w:hint="eastAsia" w:ascii="宋体" w:hAnsi="宋体" w:eastAsia="宋体" w:cs="宋体"/>
          <w:b/>
        </w:rPr>
      </w:pPr>
      <w:r>
        <w:rPr>
          <w:rFonts w:hint="eastAsia" w:ascii="宋体" w:hAnsi="宋体" w:eastAsia="宋体" w:cs="宋体"/>
          <w:b/>
        </w:rPr>
        <w:t>3.</w:t>
      </w:r>
      <w:r>
        <w:rPr>
          <w:rFonts w:hint="eastAsia" w:ascii="宋体" w:hAnsi="宋体" w:eastAsia="宋体" w:cs="宋体"/>
          <w:b/>
          <w:lang w:val="en-US" w:eastAsia="zh-CN"/>
        </w:rPr>
        <w:t>6</w:t>
      </w:r>
      <w:r>
        <w:rPr>
          <w:rFonts w:hint="eastAsia" w:ascii="宋体" w:hAnsi="宋体" w:eastAsia="宋体" w:cs="宋体"/>
          <w:b/>
        </w:rPr>
        <w:t>否决投标条件</w:t>
      </w:r>
    </w:p>
    <w:p>
      <w:pPr>
        <w:spacing w:before="0" w:after="0" w:afterAutospacing="0"/>
        <w:ind w:left="0" w:right="0" w:firstLine="420" w:firstLineChars="200"/>
        <w:rPr>
          <w:rFonts w:hint="eastAsia" w:ascii="宋体" w:hAnsi="宋体" w:eastAsia="宋体" w:cs="宋体"/>
        </w:rPr>
      </w:pPr>
      <w:r>
        <w:rPr>
          <w:rFonts w:hint="eastAsia" w:ascii="宋体" w:hAnsi="宋体" w:eastAsia="宋体" w:cs="宋体"/>
        </w:rPr>
        <w:t>投标文件有下列情形之一的，评标委员会应按否决投标处理：</w:t>
      </w:r>
    </w:p>
    <w:p>
      <w:pPr>
        <w:tabs>
          <w:tab w:val="left" w:pos="1276"/>
        </w:tabs>
        <w:spacing w:before="0" w:after="0" w:afterAutospacing="0" w:line="360" w:lineRule="auto"/>
        <w:ind w:left="0" w:right="0" w:firstLine="422" w:firstLineChars="200"/>
        <w:jc w:val="left"/>
        <w:rPr>
          <w:rFonts w:hint="eastAsia" w:ascii="宋体" w:hAnsi="宋体" w:eastAsia="宋体" w:cs="宋体"/>
          <w:b/>
        </w:rPr>
      </w:pPr>
      <w:r>
        <w:rPr>
          <w:rFonts w:hint="eastAsia" w:ascii="宋体" w:hAnsi="宋体" w:eastAsia="宋体" w:cs="宋体"/>
          <w:b/>
        </w:rPr>
        <w:t>（1）不符合附表一《资格审查表》规定的；</w:t>
      </w:r>
    </w:p>
    <w:p>
      <w:pPr>
        <w:tabs>
          <w:tab w:val="left" w:pos="1276"/>
        </w:tabs>
        <w:spacing w:before="0" w:after="0" w:afterAutospacing="0" w:line="360" w:lineRule="auto"/>
        <w:ind w:left="0" w:right="0" w:firstLine="422" w:firstLineChars="200"/>
        <w:jc w:val="left"/>
        <w:rPr>
          <w:rFonts w:hint="eastAsia" w:ascii="宋体" w:hAnsi="宋体" w:eastAsia="宋体" w:cs="宋体"/>
          <w:lang w:val="en-US" w:eastAsia="zh-CN"/>
        </w:rPr>
      </w:pPr>
      <w:r>
        <w:rPr>
          <w:rFonts w:hint="eastAsia" w:ascii="宋体" w:hAnsi="宋体" w:eastAsia="宋体" w:cs="宋体"/>
          <w:b/>
        </w:rPr>
        <w:t>（2）不符合附表二《符合性评审表》规定的；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3</w:t>
      </w:r>
      <w:r>
        <w:rPr>
          <w:rFonts w:hint="eastAsia" w:ascii="宋体" w:hAnsi="宋体" w:eastAsia="宋体" w:cs="宋体"/>
          <w:b/>
        </w:rPr>
        <w:t>）法定代表人未按规定出具授权委托书的(采用委托代理人形式的)；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4</w:t>
      </w:r>
      <w:r>
        <w:rPr>
          <w:rFonts w:hint="eastAsia" w:ascii="宋体" w:hAnsi="宋体" w:eastAsia="宋体" w:cs="宋体"/>
          <w:b/>
        </w:rPr>
        <w:t>）在比选申请文件中有虚假文件和/或资料的；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5</w:t>
      </w:r>
      <w:r>
        <w:rPr>
          <w:rFonts w:hint="eastAsia" w:ascii="宋体" w:hAnsi="宋体" w:eastAsia="宋体" w:cs="宋体"/>
          <w:b/>
        </w:rPr>
        <w:t>）比选申请文件中附有比选人不能接受的条件；</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6</w:t>
      </w:r>
      <w:r>
        <w:rPr>
          <w:rFonts w:hint="eastAsia" w:ascii="宋体" w:hAnsi="宋体" w:eastAsia="宋体" w:cs="宋体"/>
          <w:b/>
        </w:rPr>
        <w:t>）比选申请文件实质上不响应比选文件的要求的；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7</w:t>
      </w:r>
      <w:r>
        <w:rPr>
          <w:rFonts w:hint="eastAsia" w:ascii="宋体" w:hAnsi="宋体" w:eastAsia="宋体" w:cs="宋体"/>
          <w:b/>
        </w:rPr>
        <w:t xml:space="preserve">）比选申请人以经评审委员会评审认定为低于成本的报价竞标； </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8</w:t>
      </w:r>
      <w:r>
        <w:rPr>
          <w:rFonts w:hint="eastAsia" w:ascii="宋体" w:hAnsi="宋体" w:eastAsia="宋体" w:cs="宋体"/>
          <w:b/>
        </w:rPr>
        <w:t>）比选申请人扰乱会场秩序，经劝阻仍然无理取闹的；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9</w:t>
      </w:r>
      <w:r>
        <w:rPr>
          <w:rFonts w:hint="eastAsia" w:ascii="宋体" w:hAnsi="宋体" w:eastAsia="宋体" w:cs="宋体"/>
          <w:b/>
        </w:rPr>
        <w:t>）比选申请人未能按照评审委员会要求，对其比选申请文件进行澄清、说明和补正的；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10</w:t>
      </w:r>
      <w:r>
        <w:rPr>
          <w:rFonts w:hint="eastAsia" w:ascii="宋体" w:hAnsi="宋体" w:eastAsia="宋体" w:cs="宋体"/>
          <w:b/>
        </w:rPr>
        <w:t>）比选申请人以他人的名义比选申请、串通比选申请、以行贿手段谋取中选或者以其他弄虚作假方式比选申请的。</w:t>
      </w:r>
    </w:p>
    <w:p>
      <w:pPr>
        <w:tabs>
          <w:tab w:val="left" w:pos="1276"/>
        </w:tabs>
        <w:spacing w:before="0" w:after="0" w:afterAutospacing="0"/>
        <w:ind w:left="0" w:right="0" w:firstLine="420" w:firstLineChars="200"/>
        <w:jc w:val="left"/>
      </w:pPr>
    </w:p>
    <w:p>
      <w:pPr>
        <w:spacing w:before="0" w:line="578" w:lineRule="auto"/>
        <w:ind w:right="0" w:firstLine="0"/>
        <w:rPr>
          <w:rFonts w:hint="eastAsia" w:ascii="宋体" w:hAnsi="宋体"/>
          <w:b/>
        </w:rPr>
        <w:sectPr>
          <w:headerReference r:id="rId11" w:type="default"/>
          <w:footerReference r:id="rId12" w:type="default"/>
          <w:pgSz w:w="11905" w:h="16838"/>
          <w:pgMar w:top="1418" w:right="1418" w:bottom="1418" w:left="1418" w:header="454" w:footer="567" w:gutter="0"/>
          <w:cols w:space="720" w:num="1"/>
          <w:docGrid w:linePitch="319" w:charSpace="0"/>
        </w:sectPr>
      </w:pPr>
      <w:bookmarkStart w:id="1516" w:name="_Toc29923"/>
      <w:bookmarkStart w:id="1517" w:name="_Toc23314"/>
      <w:bookmarkStart w:id="1518" w:name="_Toc28404"/>
      <w:bookmarkStart w:id="1519" w:name="_Toc31611"/>
      <w:bookmarkStart w:id="1520" w:name="_Toc15224"/>
      <w:bookmarkStart w:id="1521" w:name="_Toc16364"/>
      <w:bookmarkStart w:id="1522" w:name="_Toc9588"/>
      <w:bookmarkStart w:id="1523" w:name="_Toc18096"/>
      <w:bookmarkStart w:id="1524" w:name="_Toc9730"/>
      <w:bookmarkStart w:id="1525" w:name="_Toc19557"/>
      <w:bookmarkStart w:id="1526" w:name="_Toc29245"/>
      <w:bookmarkStart w:id="1527" w:name="_Toc15073"/>
      <w:bookmarkStart w:id="1528" w:name="_Toc22464"/>
      <w:bookmarkStart w:id="1529" w:name="_Toc492478849"/>
      <w:bookmarkStart w:id="1530" w:name="_Toc27271"/>
      <w:bookmarkStart w:id="1531" w:name="_Toc414290583"/>
      <w:bookmarkStart w:id="1532" w:name="_Toc434"/>
      <w:bookmarkStart w:id="1533" w:name="_Toc10968"/>
      <w:bookmarkStart w:id="1534" w:name="_Toc9189"/>
    </w:p>
    <w:p>
      <w:pPr>
        <w:spacing w:before="0" w:line="578" w:lineRule="auto"/>
        <w:ind w:right="0"/>
        <w:outlineLvl w:val="0"/>
        <w:rPr>
          <w:rFonts w:ascii="宋体" w:hAnsi="宋体"/>
          <w:b/>
        </w:rPr>
      </w:pPr>
      <w:bookmarkStart w:id="1535" w:name="_Toc30082"/>
      <w:r>
        <w:rPr>
          <w:rFonts w:hint="eastAsia" w:ascii="宋体" w:hAnsi="宋体"/>
          <w:b/>
        </w:rPr>
        <w:t>附表一 资格审查表</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snapToGrid w:val="0"/>
        <w:spacing w:before="0" w:line="360" w:lineRule="exact"/>
        <w:ind w:right="240"/>
        <w:jc w:val="center"/>
        <w:rPr>
          <w:rFonts w:ascii="宋体" w:hAnsi="宋体"/>
          <w:b/>
          <w:sz w:val="24"/>
          <w:szCs w:val="24"/>
        </w:rPr>
      </w:pPr>
      <w:r>
        <w:rPr>
          <w:rFonts w:hint="eastAsia" w:ascii="宋体" w:hAnsi="宋体"/>
          <w:b/>
          <w:sz w:val="24"/>
          <w:szCs w:val="24"/>
        </w:rPr>
        <w:t>资格审查表</w:t>
      </w:r>
    </w:p>
    <w:tbl>
      <w:tblPr>
        <w:tblStyle w:val="28"/>
        <w:tblW w:w="948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58"/>
        <w:gridCol w:w="1076"/>
        <w:gridCol w:w="3086"/>
        <w:gridCol w:w="1166"/>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658"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b/>
                <w:bCs/>
              </w:rPr>
            </w:pPr>
            <w:r>
              <w:rPr>
                <w:rFonts w:hint="eastAsia" w:ascii="宋体" w:hAnsi="宋体"/>
                <w:b/>
                <w:bCs/>
              </w:rPr>
              <w:t>序号</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b/>
                <w:bCs/>
              </w:rPr>
            </w:pPr>
            <w:r>
              <w:rPr>
                <w:rFonts w:hint="eastAsia" w:ascii="宋体" w:hAnsi="宋体"/>
                <w:b/>
                <w:bCs/>
              </w:rPr>
              <w:t>项目内容</w:t>
            </w:r>
          </w:p>
        </w:tc>
        <w:tc>
          <w:tcPr>
            <w:tcW w:w="308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b/>
                <w:bCs/>
              </w:rPr>
            </w:pPr>
            <w:r>
              <w:rPr>
                <w:rFonts w:hint="eastAsia" w:ascii="宋体" w:hAnsi="宋体"/>
                <w:b/>
                <w:bCs/>
              </w:rPr>
              <w:t>合格条件标准</w:t>
            </w:r>
          </w:p>
        </w:tc>
        <w:tc>
          <w:tcPr>
            <w:tcW w:w="116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b/>
                <w:bCs/>
              </w:rPr>
            </w:pPr>
            <w:r>
              <w:rPr>
                <w:rFonts w:hint="eastAsia" w:ascii="宋体" w:hAnsi="宋体"/>
                <w:b/>
                <w:bCs/>
              </w:rPr>
              <w:t>评审依据</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b/>
                <w:bCs/>
              </w:rPr>
            </w:pPr>
            <w:r>
              <w:rPr>
                <w:rFonts w:hint="eastAsia" w:ascii="宋体" w:hAnsi="宋体"/>
                <w:b/>
                <w:bCs/>
              </w:rPr>
              <w:t>评审结果（合格</w:t>
            </w:r>
            <w:r>
              <w:rPr>
                <w:rFonts w:ascii="宋体" w:hAnsi="宋体"/>
                <w:b/>
                <w:bCs/>
              </w:rPr>
              <w:t>/</w:t>
            </w:r>
            <w:r>
              <w:rPr>
                <w:rFonts w:hint="eastAsia" w:ascii="宋体" w:hAnsi="宋体"/>
                <w:b/>
                <w:bCs/>
              </w:rPr>
              <w:t>不合格）</w:t>
            </w: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b/>
                <w:bCs/>
              </w:rPr>
            </w:pPr>
            <w:r>
              <w:rPr>
                <w:rFonts w:hint="eastAsia" w:ascii="宋体" w:hAnsi="宋体"/>
                <w:b/>
                <w:bCs/>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58"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rPr>
            </w:pPr>
            <w:r>
              <w:rPr>
                <w:rFonts w:ascii="宋体" w:hAnsi="宋体"/>
              </w:rPr>
              <w:t>1</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rPr>
            </w:pPr>
            <w:r>
              <w:rPr>
                <w:rFonts w:hint="eastAsia" w:ascii="宋体" w:hAnsi="宋体"/>
              </w:rPr>
              <w:t>身份证明材料</w:t>
            </w:r>
          </w:p>
        </w:tc>
        <w:tc>
          <w:tcPr>
            <w:tcW w:w="308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16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rPr>
            </w:pPr>
            <w:r>
              <w:rPr>
                <w:rFonts w:hint="eastAsia" w:ascii="宋体" w:hAnsi="宋体"/>
              </w:rPr>
              <w:t>法定代表人授权书，法定代表人资格证明书和身份证复印件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58"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rPr>
            </w:pPr>
            <w:r>
              <w:rPr>
                <w:rFonts w:ascii="宋体" w:hAnsi="宋体"/>
              </w:rPr>
              <w:t>2</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rPr>
            </w:pPr>
            <w:r>
              <w:rPr>
                <w:rFonts w:hint="eastAsia" w:ascii="宋体" w:hAnsi="宋体"/>
              </w:rPr>
              <w:t>比选申请人资格</w:t>
            </w:r>
          </w:p>
        </w:tc>
        <w:tc>
          <w:tcPr>
            <w:tcW w:w="308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eastAsia="宋体"/>
                <w:lang w:eastAsia="zh-CN"/>
              </w:rPr>
            </w:pPr>
            <w:r>
              <w:rPr>
                <w:rFonts w:hint="eastAsia" w:ascii="宋体" w:hAnsi="宋体"/>
              </w:rPr>
              <w:t>比选申请人为中华人民共和国境内依法设立的法人或其他组织（若以分公司名义参与比选申请，必须出具总公司授权参与的证明</w:t>
            </w:r>
            <w:r>
              <w:rPr>
                <w:rFonts w:hint="eastAsia" w:ascii="宋体" w:hAnsi="宋体"/>
                <w:lang w:eastAsia="zh-CN"/>
              </w:rPr>
              <w:t>），经营范围至少包括下列范围之一：①</w:t>
            </w:r>
            <w:r>
              <w:rPr>
                <w:rFonts w:hint="eastAsia" w:ascii="宋体" w:hAnsi="宋体" w:eastAsia="宋体" w:cs="Times New Roman"/>
                <w:sz w:val="21"/>
                <w:szCs w:val="21"/>
                <w:highlight w:val="none"/>
                <w:lang w:val="en-US" w:eastAsia="zh-CN"/>
              </w:rPr>
              <w:t>新能源汽车充电桩或电力设备销售</w:t>
            </w:r>
            <w:r>
              <w:rPr>
                <w:rFonts w:hint="eastAsia" w:ascii="宋体" w:hAnsi="宋体" w:eastAsia="宋体" w:cs="Times New Roman"/>
                <w:sz w:val="21"/>
                <w:szCs w:val="21"/>
                <w:highlight w:val="none"/>
                <w:lang w:eastAsia="zh-CN"/>
              </w:rPr>
              <w:t>等</w:t>
            </w:r>
            <w:r>
              <w:rPr>
                <w:rFonts w:hint="eastAsia" w:ascii="宋体" w:hAnsi="宋体"/>
                <w:lang w:eastAsia="zh-CN"/>
              </w:rPr>
              <w:t>类似经营范围。</w:t>
            </w:r>
          </w:p>
        </w:tc>
        <w:tc>
          <w:tcPr>
            <w:tcW w:w="116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rPr>
            </w:pPr>
            <w:r>
              <w:rPr>
                <w:rFonts w:hint="eastAsia" w:ascii="宋体" w:hAnsi="宋体"/>
              </w:rPr>
              <w:t>营业执照副本或事业单位法人证书等证明文件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58"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rPr>
            </w:pPr>
            <w:r>
              <w:rPr>
                <w:rFonts w:hint="eastAsia" w:ascii="宋体" w:hAnsi="宋体"/>
              </w:rPr>
              <w:t>3</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rPr>
            </w:pPr>
            <w:r>
              <w:rPr>
                <w:rFonts w:hint="eastAsia" w:ascii="宋体" w:hAnsi="宋体"/>
              </w:rPr>
              <w:t>承诺书</w:t>
            </w:r>
          </w:p>
        </w:tc>
        <w:tc>
          <w:tcPr>
            <w:tcW w:w="3086" w:type="dxa"/>
            <w:vAlign w:val="center"/>
          </w:tcPr>
          <w:p>
            <w:pPr>
              <w:keepNext w:val="0"/>
              <w:keepLines w:val="0"/>
              <w:pageBreakBefore w:val="0"/>
              <w:widowControl/>
              <w:numPr>
                <w:ilvl w:val="0"/>
                <w:numId w:val="10"/>
              </w:numPr>
              <w:kinsoku/>
              <w:wordWrap/>
              <w:overflowPunct/>
              <w:topLinePunct w:val="0"/>
              <w:autoSpaceDE/>
              <w:autoSpaceDN/>
              <w:bidi w:val="0"/>
              <w:adjustRightInd/>
              <w:snapToGrid/>
              <w:spacing w:before="0" w:after="0" w:afterAutospacing="0" w:line="240" w:lineRule="atLeast"/>
              <w:ind w:left="0" w:right="0" w:firstLine="0"/>
              <w:textAlignment w:val="auto"/>
              <w:rPr>
                <w:rFonts w:hint="eastAsia"/>
              </w:rPr>
            </w:pPr>
            <w:r>
              <w:rPr>
                <w:rFonts w:hint="eastAsia"/>
              </w:rPr>
              <w:t>比选申请人没有处于行政主管部门或业主取消比选申请资格的处罚期内，且没有被责令停业，财产被接管、破产状态；比选申请截止日前</w:t>
            </w:r>
            <w:r>
              <w:t>3</w:t>
            </w:r>
            <w:r>
              <w:rPr>
                <w:rFonts w:hint="eastAsia"/>
              </w:rPr>
              <w:t>年内没有骗取中选、严重违约或重大质量安全责任事故的情况。</w:t>
            </w:r>
          </w:p>
          <w:p>
            <w:pPr>
              <w:keepNext w:val="0"/>
              <w:keepLines w:val="0"/>
              <w:pageBreakBefore w:val="0"/>
              <w:widowControl/>
              <w:numPr>
                <w:ilvl w:val="0"/>
                <w:numId w:val="10"/>
              </w:numPr>
              <w:kinsoku/>
              <w:wordWrap/>
              <w:overflowPunct/>
              <w:topLinePunct w:val="0"/>
              <w:autoSpaceDE/>
              <w:autoSpaceDN/>
              <w:bidi w:val="0"/>
              <w:adjustRightInd/>
              <w:snapToGrid/>
              <w:spacing w:before="0" w:after="0" w:afterAutospacing="0" w:line="240" w:lineRule="atLeast"/>
              <w:ind w:left="0" w:right="0" w:firstLine="0"/>
              <w:textAlignment w:val="auto"/>
              <w:rPr>
                <w:bCs/>
              </w:rPr>
            </w:pPr>
            <w:r>
              <w:rPr>
                <w:rFonts w:hint="eastAsia" w:ascii="宋体" w:hAnsi="宋体"/>
                <w:b w:val="0"/>
                <w:bCs/>
                <w:lang w:eastAsia="zh-CN"/>
              </w:rPr>
              <w:t>比选申请人</w:t>
            </w:r>
            <w:r>
              <w:rPr>
                <w:rFonts w:hint="eastAsia" w:ascii="宋体" w:hAnsi="宋体"/>
                <w:b w:val="0"/>
                <w:bCs/>
              </w:rPr>
              <w:t>的单位负责人为同一人或者存在控股、管理关系的不同单位未同时参加同一标段比选申请或者未划分标段的同一比选项目比选申请。</w:t>
            </w:r>
          </w:p>
          <w:p>
            <w:pPr>
              <w:keepNext w:val="0"/>
              <w:keepLines w:val="0"/>
              <w:pageBreakBefore w:val="0"/>
              <w:widowControl/>
              <w:numPr>
                <w:ilvl w:val="0"/>
                <w:numId w:val="10"/>
              </w:numPr>
              <w:kinsoku/>
              <w:wordWrap/>
              <w:overflowPunct/>
              <w:topLinePunct w:val="0"/>
              <w:autoSpaceDE/>
              <w:autoSpaceDN/>
              <w:bidi w:val="0"/>
              <w:adjustRightInd/>
              <w:snapToGrid/>
              <w:spacing w:before="0" w:after="0" w:afterAutospacing="0" w:line="240" w:lineRule="atLeast"/>
              <w:ind w:left="0" w:right="0" w:firstLine="0"/>
              <w:textAlignment w:val="auto"/>
            </w:pPr>
            <w:r>
              <w:rPr>
                <w:rFonts w:hint="eastAsia" w:ascii="宋体" w:hAnsi="宋体"/>
                <w:b w:val="0"/>
                <w:bCs/>
              </w:rPr>
              <w:t>未被列入比选人不良信用名单。</w:t>
            </w:r>
          </w:p>
        </w:tc>
        <w:tc>
          <w:tcPr>
            <w:tcW w:w="116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rPr>
            </w:pPr>
            <w:r>
              <w:rPr>
                <w:rFonts w:hint="eastAsia" w:ascii="宋体" w:hAnsi="宋体"/>
                <w:lang w:eastAsia="zh-CN"/>
              </w:rPr>
              <w:t>比选</w:t>
            </w:r>
            <w:r>
              <w:rPr>
                <w:rFonts w:hint="eastAsia" w:ascii="宋体" w:hAnsi="宋体"/>
              </w:rPr>
              <w:t>承诺</w:t>
            </w:r>
            <w:r>
              <w:rPr>
                <w:rFonts w:hint="eastAsia" w:ascii="宋体" w:hAnsi="宋体"/>
                <w:lang w:eastAsia="zh-CN"/>
              </w:rPr>
              <w:t>函</w:t>
            </w:r>
            <w:r>
              <w:rPr>
                <w:rFonts w:hint="eastAsia" w:ascii="宋体" w:hAnsi="宋体"/>
              </w:rPr>
              <w:t>原件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rPr>
            </w:pPr>
            <w:r>
              <w:rPr>
                <w:rFonts w:hint="eastAsia" w:ascii="宋体" w:hAnsi="宋体"/>
              </w:rPr>
              <w:t>按规定格式提供</w:t>
            </w:r>
            <w:r>
              <w:rPr>
                <w:rFonts w:hint="eastAsia" w:ascii="宋体" w:hAnsi="宋体"/>
                <w:lang w:eastAsia="zh-CN"/>
              </w:rPr>
              <w:t>比选</w:t>
            </w:r>
            <w:r>
              <w:rPr>
                <w:rFonts w:hint="eastAsia" w:ascii="宋体" w:hAnsi="宋体"/>
              </w:rPr>
              <w:t>承诺</w:t>
            </w:r>
            <w:r>
              <w:rPr>
                <w:rFonts w:hint="eastAsia" w:ascii="宋体" w:hAnsi="宋体"/>
                <w:lang w:eastAsia="zh-CN"/>
              </w:rPr>
              <w:t>函</w:t>
            </w:r>
          </w:p>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58"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hint="eastAsia" w:ascii="宋体" w:hAnsi="宋体" w:eastAsia="宋体"/>
                <w:lang w:val="en-US" w:eastAsia="zh-CN"/>
              </w:rPr>
            </w:pPr>
            <w:r>
              <w:rPr>
                <w:rFonts w:hint="eastAsia" w:ascii="宋体" w:hAnsi="宋体"/>
                <w:lang w:val="en-US" w:eastAsia="zh-CN"/>
              </w:rPr>
              <w:t>4</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hint="default" w:ascii="宋体" w:hAnsi="宋体" w:eastAsia="宋体"/>
                <w:lang w:val="en-US" w:eastAsia="zh-CN"/>
              </w:rPr>
            </w:pPr>
            <w:r>
              <w:rPr>
                <w:rFonts w:hint="eastAsia" w:ascii="宋体" w:hAnsi="宋体"/>
                <w:lang w:eastAsia="zh-CN"/>
              </w:rPr>
              <w:t>业绩</w:t>
            </w:r>
            <w:r>
              <w:rPr>
                <w:rFonts w:hint="eastAsia" w:ascii="宋体" w:hAnsi="宋体"/>
                <w:lang w:val="en-US" w:eastAsia="zh-CN"/>
              </w:rPr>
              <w:t>证明材料</w:t>
            </w:r>
          </w:p>
        </w:tc>
        <w:tc>
          <w:tcPr>
            <w:tcW w:w="308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rPr>
            </w:pPr>
            <w:r>
              <w:rPr>
                <w:rFonts w:hint="eastAsia" w:asciiTheme="minorEastAsia" w:hAnsiTheme="minorEastAsia" w:eastAsiaTheme="minorEastAsia"/>
                <w:sz w:val="21"/>
                <w:szCs w:val="21"/>
                <w:highlight w:val="none"/>
                <w:lang w:eastAsia="zh-CN"/>
              </w:rPr>
              <w:t>比选申请人</w:t>
            </w:r>
            <w:r>
              <w:rPr>
                <w:rFonts w:hint="eastAsia" w:ascii="宋体" w:hAnsi="宋体"/>
                <w:color w:val="auto"/>
                <w:highlight w:val="none"/>
              </w:rPr>
              <w:t>自201</w:t>
            </w:r>
            <w:r>
              <w:rPr>
                <w:rFonts w:hint="eastAsia" w:ascii="宋体" w:hAnsi="宋体"/>
                <w:color w:val="auto"/>
                <w:highlight w:val="none"/>
                <w:lang w:val="en-US" w:eastAsia="zh-CN"/>
              </w:rPr>
              <w:t>9</w:t>
            </w:r>
            <w:r>
              <w:rPr>
                <w:rFonts w:hint="eastAsia" w:ascii="宋体" w:hAnsi="宋体"/>
                <w:color w:val="auto"/>
                <w:highlight w:val="none"/>
              </w:rPr>
              <w:t>年1月1日至截标时间前至少具有1项类似业绩，</w:t>
            </w:r>
            <w:r>
              <w:rPr>
                <w:rFonts w:hint="eastAsia" w:ascii="宋体" w:hAnsi="宋体"/>
                <w:color w:val="auto"/>
                <w:highlight w:val="none"/>
                <w:lang w:eastAsia="zh-CN"/>
              </w:rPr>
              <w:t>比选申请人</w:t>
            </w:r>
            <w:r>
              <w:rPr>
                <w:rFonts w:hint="eastAsia" w:ascii="宋体" w:hAnsi="宋体"/>
                <w:color w:val="auto"/>
                <w:highlight w:val="none"/>
              </w:rPr>
              <w:t>业绩须是其自身的，不能是其母公司或子公司的，不接受联合体、分包业绩。类似业绩是指单项合同不少于20万元的充电桩采购及安装类项目。</w:t>
            </w:r>
          </w:p>
        </w:tc>
        <w:tc>
          <w:tcPr>
            <w:tcW w:w="116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rPr>
            </w:pPr>
            <w:r>
              <w:rPr>
                <w:rFonts w:hint="eastAsia" w:hAnsi="宋体"/>
                <w:highlight w:val="none"/>
              </w:rPr>
              <w:t>合同文件或用户证明复印件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eastAsia="宋体"/>
                <w:lang w:eastAsia="zh-CN"/>
              </w:rPr>
            </w:pPr>
            <w:r>
              <w:rPr>
                <w:rFonts w:hint="eastAsia" w:ascii="宋体" w:hAnsi="宋体"/>
                <w:highlight w:val="none"/>
              </w:rPr>
              <w:t>业绩证明材料：合同文件或用户证明，证明文件中应能体现出合同买方、合同签订时间、合同金额、合同服务内容等，否则视为无效证明文件</w:t>
            </w:r>
            <w:r>
              <w:rPr>
                <w:rFonts w:hint="eastAsia" w:ascii="宋体" w:hAnsi="宋体"/>
                <w:highlight w:val="none"/>
                <w:lang w:eastAsia="zh-CN"/>
              </w:rPr>
              <w:t>。</w:t>
            </w:r>
          </w:p>
        </w:tc>
      </w:tr>
    </w:tbl>
    <w:p>
      <w:pPr>
        <w:snapToGrid w:val="0"/>
        <w:spacing w:before="0" w:after="0" w:afterAutospacing="0" w:line="240" w:lineRule="auto"/>
        <w:ind w:left="0" w:right="0" w:firstLine="0"/>
        <w:rPr>
          <w:rFonts w:hint="eastAsia" w:ascii="宋体" w:hAnsi="宋体"/>
          <w:b/>
        </w:rPr>
      </w:pPr>
    </w:p>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422" w:firstLineChars="200"/>
        <w:rPr>
          <w:rFonts w:ascii="宋体" w:hAnsi="宋体"/>
          <w:b/>
        </w:rPr>
      </w:pPr>
      <w:r>
        <w:rPr>
          <w:rFonts w:hint="eastAsia" w:ascii="宋体" w:hAnsi="宋体"/>
          <w:b/>
        </w:rPr>
        <w:t>2.比选申请人如未通过上述资格审查，则作比选申请被否决处理并不得进入下一阶段评审。</w:t>
      </w:r>
    </w:p>
    <w:p>
      <w:pPr>
        <w:pStyle w:val="3"/>
        <w:spacing w:after="0" w:line="360" w:lineRule="auto"/>
        <w:ind w:right="-57"/>
        <w:rPr>
          <w:rFonts w:hint="eastAsia"/>
          <w:sz w:val="21"/>
          <w:szCs w:val="21"/>
        </w:rPr>
      </w:pPr>
      <w:r>
        <w:rPr>
          <w:rFonts w:ascii="宋体" w:hAnsi="宋体"/>
        </w:rPr>
        <w:br w:type="page"/>
      </w:r>
      <w:bookmarkStart w:id="1536" w:name="_Toc25750695"/>
      <w:bookmarkStart w:id="1537" w:name="_Toc3098"/>
      <w:bookmarkStart w:id="1538" w:name="_Toc371"/>
      <w:bookmarkStart w:id="1539" w:name="_Toc3409"/>
      <w:bookmarkStart w:id="1540" w:name="_Toc12983557"/>
      <w:bookmarkStart w:id="1541" w:name="_Toc7852"/>
      <w:bookmarkStart w:id="1542" w:name="_Toc1459"/>
      <w:bookmarkStart w:id="1543" w:name="_Toc492478850"/>
      <w:bookmarkStart w:id="1544" w:name="_Toc15103"/>
      <w:bookmarkStart w:id="1545" w:name="_Toc25123"/>
      <w:bookmarkStart w:id="1546" w:name="_Toc6102"/>
      <w:bookmarkStart w:id="1547" w:name="_Toc8945"/>
      <w:bookmarkStart w:id="1548" w:name="_Toc9343"/>
      <w:bookmarkStart w:id="1549" w:name="_Toc31487"/>
      <w:bookmarkStart w:id="1550" w:name="_Toc6612"/>
      <w:bookmarkStart w:id="1551" w:name="_Toc19299"/>
      <w:bookmarkStart w:id="1552" w:name="_Toc22635"/>
      <w:bookmarkStart w:id="1553" w:name="_Toc29670"/>
      <w:bookmarkStart w:id="1554" w:name="_Toc20215"/>
      <w:bookmarkStart w:id="1555" w:name="_Toc5737"/>
      <w:bookmarkStart w:id="1556" w:name="_Toc12984826"/>
      <w:bookmarkStart w:id="1557" w:name="_Toc191"/>
      <w:bookmarkStart w:id="1558" w:name="_Toc5811"/>
      <w:r>
        <w:rPr>
          <w:sz w:val="21"/>
          <w:szCs w:val="21"/>
        </w:rPr>
        <w:t xml:space="preserve">附表二 </w:t>
      </w:r>
      <w:bookmarkEnd w:id="1536"/>
      <w:r>
        <w:rPr>
          <w:rFonts w:hint="eastAsia"/>
          <w:sz w:val="21"/>
          <w:szCs w:val="21"/>
        </w:rPr>
        <w:t>符合性评审表</w:t>
      </w:r>
      <w:bookmarkEnd w:id="1537"/>
      <w:bookmarkEnd w:id="1538"/>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lang w:val="en-US" w:eastAsia="zh-CN"/>
        </w:rPr>
        <w:t>符合性</w:t>
      </w:r>
      <w:r>
        <w:rPr>
          <w:rFonts w:hint="eastAsia" w:ascii="宋体" w:hAnsi="宋体"/>
          <w:b/>
          <w:sz w:val="24"/>
          <w:szCs w:val="24"/>
        </w:rPr>
        <w:t>审查表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b/>
                <w:bCs/>
              </w:rPr>
            </w:pPr>
            <w:r>
              <w:rPr>
                <w:b/>
                <w:bCs/>
              </w:rPr>
              <w:t>序号</w:t>
            </w:r>
          </w:p>
        </w:tc>
        <w:tc>
          <w:tcPr>
            <w:tcW w:w="6096" w:type="dxa"/>
            <w:tcBorders>
              <w:top w:val="single" w:color="auto" w:sz="12" w:space="0"/>
            </w:tcBorders>
            <w:vAlign w:val="center"/>
          </w:tcPr>
          <w:p>
            <w:pPr>
              <w:ind w:left="0" w:firstLine="0"/>
              <w:jc w:val="center"/>
              <w:rPr>
                <w:b/>
                <w:bCs/>
              </w:rPr>
            </w:pPr>
            <w:r>
              <w:rPr>
                <w:rFonts w:hint="eastAsia"/>
                <w:b/>
                <w:bCs/>
              </w:rPr>
              <w:t>评审项目</w:t>
            </w:r>
          </w:p>
        </w:tc>
        <w:tc>
          <w:tcPr>
            <w:tcW w:w="1134" w:type="dxa"/>
            <w:tcBorders>
              <w:top w:val="single" w:color="auto" w:sz="12" w:space="0"/>
            </w:tcBorders>
          </w:tcPr>
          <w:p>
            <w:pPr>
              <w:ind w:left="0" w:firstLine="0"/>
              <w:jc w:val="center"/>
              <w:rPr>
                <w:b/>
                <w:bCs/>
              </w:rPr>
            </w:pPr>
            <w:r>
              <w:rPr>
                <w:rFonts w:hint="eastAsia"/>
                <w:b/>
                <w:bCs/>
              </w:rPr>
              <w:t>评审结果</w:t>
            </w:r>
          </w:p>
        </w:tc>
        <w:tc>
          <w:tcPr>
            <w:tcW w:w="1098" w:type="dxa"/>
            <w:tcBorders>
              <w:top w:val="single" w:color="auto" w:sz="12" w:space="0"/>
            </w:tcBorders>
            <w:vAlign w:val="center"/>
          </w:tcPr>
          <w:p>
            <w:pPr>
              <w:ind w:left="0" w:firstLine="0"/>
              <w:jc w:val="center"/>
              <w:rPr>
                <w:b/>
                <w:bCs/>
              </w:rPr>
            </w:pPr>
            <w:r>
              <w:rPr>
                <w:rFonts w:hint="eastAsia"/>
                <w:b/>
                <w:bCs/>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rFonts w:hint="eastAsia" w:ascii="宋体" w:hAnsi="宋体" w:eastAsia="宋体" w:cs="宋体"/>
              </w:rPr>
            </w:pPr>
            <w:r>
              <w:rPr>
                <w:rFonts w:hint="eastAsia" w:ascii="宋体" w:hAnsi="宋体" w:eastAsia="宋体" w:cs="宋体"/>
              </w:rPr>
              <w:t>1</w:t>
            </w:r>
          </w:p>
        </w:tc>
        <w:tc>
          <w:tcPr>
            <w:tcW w:w="6096" w:type="dxa"/>
            <w:vAlign w:val="center"/>
          </w:tcPr>
          <w:p>
            <w:pPr>
              <w:ind w:left="0" w:firstLine="0"/>
              <w:rPr>
                <w:rFonts w:hint="eastAsia" w:eastAsia="宋体"/>
                <w:lang w:eastAsia="zh-CN"/>
              </w:rPr>
            </w:pPr>
            <w:r>
              <w:rPr>
                <w:rFonts w:hint="eastAsia"/>
              </w:rPr>
              <w:t>比选申请文件按要求签字（或盖章）并加盖比选申请人单位公章的</w:t>
            </w:r>
            <w:r>
              <w:rPr>
                <w:rFonts w:hint="eastAsia"/>
                <w:lang w:eastAsia="zh-CN"/>
              </w:rPr>
              <w:t>。</w:t>
            </w:r>
          </w:p>
        </w:tc>
        <w:tc>
          <w:tcPr>
            <w:tcW w:w="1134" w:type="dxa"/>
          </w:tcPr>
          <w:p>
            <w:pPr>
              <w:ind w:left="0" w:firstLine="0"/>
            </w:pPr>
          </w:p>
        </w:tc>
        <w:tc>
          <w:tcPr>
            <w:tcW w:w="1098" w:type="dxa"/>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rFonts w:hint="eastAsia" w:ascii="宋体" w:hAnsi="宋体" w:eastAsia="宋体" w:cs="宋体"/>
              </w:rPr>
            </w:pPr>
            <w:r>
              <w:rPr>
                <w:rFonts w:hint="eastAsia" w:ascii="宋体" w:hAnsi="宋体" w:eastAsia="宋体" w:cs="宋体"/>
              </w:rPr>
              <w:t>2</w:t>
            </w:r>
          </w:p>
        </w:tc>
        <w:tc>
          <w:tcPr>
            <w:tcW w:w="6096" w:type="dxa"/>
            <w:vAlign w:val="center"/>
          </w:tcPr>
          <w:p>
            <w:pPr>
              <w:ind w:left="0" w:firstLine="0"/>
              <w:rPr>
                <w:rFonts w:hint="eastAsia" w:eastAsia="宋体"/>
                <w:lang w:eastAsia="zh-CN"/>
              </w:rPr>
            </w:pPr>
            <w:r>
              <w:rPr>
                <w:rFonts w:hint="eastAsia"/>
                <w:snapToGrid w:val="0"/>
              </w:rPr>
              <w:t>比选申请文件按规定的格式填写，内容齐全；</w:t>
            </w:r>
            <w:r>
              <w:rPr>
                <w:rFonts w:hint="eastAsia"/>
              </w:rPr>
              <w:t>比选申请函</w:t>
            </w:r>
            <w:r>
              <w:rPr>
                <w:rFonts w:hint="eastAsia"/>
                <w:snapToGrid w:val="0"/>
              </w:rPr>
              <w:t>中没有关键字迹模糊、无法辨认或含义不明确的（应按照比选文件规定第四章比选文件格式填写）</w:t>
            </w:r>
            <w:r>
              <w:rPr>
                <w:rFonts w:hint="eastAsia"/>
                <w:snapToGrid w:val="0"/>
                <w:lang w:eastAsia="zh-CN"/>
              </w:rPr>
              <w:t>。</w:t>
            </w:r>
          </w:p>
        </w:tc>
        <w:tc>
          <w:tcPr>
            <w:tcW w:w="1134" w:type="dxa"/>
          </w:tcPr>
          <w:p>
            <w:pPr>
              <w:ind w:left="0" w:firstLine="0"/>
            </w:pPr>
          </w:p>
        </w:tc>
        <w:tc>
          <w:tcPr>
            <w:tcW w:w="1098" w:type="dxa"/>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hint="eastAsia" w:ascii="宋体" w:hAnsi="宋体" w:eastAsia="宋体" w:cs="宋体"/>
              </w:rPr>
            </w:pPr>
            <w:r>
              <w:rPr>
                <w:rFonts w:hint="eastAsia" w:ascii="宋体" w:hAnsi="宋体" w:eastAsia="宋体" w:cs="宋体"/>
              </w:rPr>
              <w:t>3</w:t>
            </w:r>
          </w:p>
        </w:tc>
        <w:tc>
          <w:tcPr>
            <w:tcW w:w="6096" w:type="dxa"/>
            <w:vAlign w:val="center"/>
          </w:tcPr>
          <w:p>
            <w:pPr>
              <w:ind w:left="0" w:firstLine="0"/>
              <w:rPr>
                <w:rFonts w:hint="eastAsia" w:eastAsia="宋体"/>
                <w:lang w:eastAsia="zh-CN"/>
              </w:rPr>
            </w:pPr>
            <w:r>
              <w:rPr>
                <w:rFonts w:hint="eastAsia"/>
              </w:rPr>
              <w:t>在比选申请文件中无虚假文件或资料的</w:t>
            </w:r>
            <w:r>
              <w:rPr>
                <w:rFonts w:hint="eastAsia"/>
                <w:lang w:eastAsia="zh-CN"/>
              </w:rPr>
              <w:t>。</w:t>
            </w:r>
          </w:p>
        </w:tc>
        <w:tc>
          <w:tcPr>
            <w:tcW w:w="1134" w:type="dxa"/>
          </w:tcPr>
          <w:p>
            <w:pPr>
              <w:ind w:left="0" w:firstLine="0"/>
            </w:pPr>
          </w:p>
        </w:tc>
        <w:tc>
          <w:tcPr>
            <w:tcW w:w="1098" w:type="dxa"/>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rFonts w:hint="eastAsia" w:ascii="宋体" w:hAnsi="宋体" w:eastAsia="宋体" w:cs="宋体"/>
              </w:rPr>
            </w:pPr>
            <w:r>
              <w:rPr>
                <w:rFonts w:hint="eastAsia" w:ascii="宋体" w:hAnsi="宋体" w:eastAsia="宋体" w:cs="宋体"/>
              </w:rPr>
              <w:t>4</w:t>
            </w:r>
          </w:p>
        </w:tc>
        <w:tc>
          <w:tcPr>
            <w:tcW w:w="6096" w:type="dxa"/>
            <w:vAlign w:val="center"/>
          </w:tcPr>
          <w:p>
            <w:pPr>
              <w:ind w:left="0" w:firstLine="0"/>
              <w:rPr>
                <w:rFonts w:hint="eastAsia" w:eastAsia="宋体"/>
                <w:lang w:eastAsia="zh-CN"/>
              </w:rPr>
            </w:pPr>
            <w:r>
              <w:rPr>
                <w:rFonts w:hint="eastAsia"/>
                <w:strike w:val="0"/>
                <w:lang w:eastAsia="zh-CN"/>
              </w:rPr>
              <w:t>比选</w:t>
            </w:r>
            <w:r>
              <w:rPr>
                <w:rFonts w:hint="eastAsia"/>
                <w:strike w:val="0"/>
              </w:rPr>
              <w:t>响应</w:t>
            </w:r>
            <w:r>
              <w:rPr>
                <w:rFonts w:hint="eastAsia"/>
                <w:strike w:val="0"/>
                <w:lang w:eastAsia="zh-CN"/>
              </w:rPr>
              <w:t>表</w:t>
            </w:r>
            <w:r>
              <w:rPr>
                <w:rFonts w:hint="eastAsia"/>
                <w:strike w:val="0"/>
              </w:rPr>
              <w:t>无任意一项负偏离的</w:t>
            </w:r>
            <w:r>
              <w:rPr>
                <w:rFonts w:hint="eastAsia"/>
                <w:strike w:val="0"/>
                <w:lang w:eastAsia="zh-CN"/>
              </w:rPr>
              <w:t>。</w:t>
            </w:r>
          </w:p>
        </w:tc>
        <w:tc>
          <w:tcPr>
            <w:tcW w:w="1134" w:type="dxa"/>
            <w:tcBorders>
              <w:bottom w:val="single" w:color="auto" w:sz="4" w:space="0"/>
            </w:tcBorders>
          </w:tcPr>
          <w:p>
            <w:pPr>
              <w:ind w:left="0" w:firstLine="0"/>
            </w:pPr>
          </w:p>
        </w:tc>
        <w:tc>
          <w:tcPr>
            <w:tcW w:w="1098" w:type="dxa"/>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rFonts w:hint="eastAsia" w:ascii="宋体" w:hAnsi="宋体" w:eastAsia="宋体" w:cs="宋体"/>
              </w:rPr>
            </w:pPr>
            <w:r>
              <w:rPr>
                <w:rFonts w:hint="eastAsia" w:ascii="宋体" w:hAnsi="宋体" w:eastAsia="宋体" w:cs="宋体"/>
              </w:rPr>
              <w:t>5</w:t>
            </w:r>
          </w:p>
        </w:tc>
        <w:tc>
          <w:tcPr>
            <w:tcW w:w="6096" w:type="dxa"/>
            <w:vAlign w:val="center"/>
          </w:tcPr>
          <w:p>
            <w:pPr>
              <w:rPr>
                <w:rFonts w:hint="eastAsia" w:eastAsia="宋体"/>
                <w:lang w:eastAsia="zh-CN"/>
              </w:rPr>
            </w:pPr>
            <w:r>
              <w:rPr>
                <w:strike w:val="0"/>
              </w:rPr>
              <w:t>满足或</w:t>
            </w:r>
            <w:r>
              <w:rPr>
                <w:rFonts w:hint="eastAsia"/>
                <w:strike w:val="0"/>
              </w:rPr>
              <w:t>正</w:t>
            </w:r>
            <w:r>
              <w:rPr>
                <w:strike w:val="0"/>
              </w:rPr>
              <w:t>偏离《用户需求书》中实质性条款</w:t>
            </w:r>
            <w:r>
              <w:rPr>
                <w:rFonts w:hint="eastAsia"/>
                <w:strike w:val="0"/>
                <w:lang w:eastAsia="zh-CN"/>
              </w:rPr>
              <w:t>。</w:t>
            </w:r>
          </w:p>
        </w:tc>
        <w:tc>
          <w:tcPr>
            <w:tcW w:w="1134" w:type="dxa"/>
            <w:tcBorders>
              <w:bottom w:val="single" w:color="auto" w:sz="4" w:space="0"/>
            </w:tcBorders>
          </w:tcPr>
          <w:p>
            <w:pPr>
              <w:ind w:left="0" w:firstLine="0"/>
            </w:pPr>
          </w:p>
        </w:tc>
        <w:tc>
          <w:tcPr>
            <w:tcW w:w="1098" w:type="dxa"/>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rFonts w:hint="eastAsia" w:ascii="宋体" w:hAnsi="宋体" w:eastAsia="宋体" w:cs="宋体"/>
              </w:rPr>
            </w:pPr>
            <w:r>
              <w:rPr>
                <w:rFonts w:hint="eastAsia" w:ascii="宋体" w:hAnsi="宋体" w:eastAsia="宋体" w:cs="宋体"/>
              </w:rPr>
              <w:t>6</w:t>
            </w:r>
          </w:p>
        </w:tc>
        <w:tc>
          <w:tcPr>
            <w:tcW w:w="6096" w:type="dxa"/>
            <w:vAlign w:val="center"/>
          </w:tcPr>
          <w:p>
            <w:pPr>
              <w:ind w:left="0" w:firstLine="0"/>
              <w:rPr>
                <w:rFonts w:hint="eastAsia" w:eastAsia="宋体"/>
                <w:lang w:eastAsia="zh-CN"/>
              </w:rPr>
            </w:pPr>
            <w:r>
              <w:rPr>
                <w:rFonts w:hint="eastAsia"/>
                <w:strike w:val="0"/>
              </w:rPr>
              <w:t>比选报价清单无缺、漏项</w:t>
            </w:r>
            <w:r>
              <w:rPr>
                <w:rFonts w:hint="eastAsia"/>
                <w:strike w:val="0"/>
                <w:lang w:eastAsia="zh-CN"/>
              </w:rPr>
              <w:t>。</w:t>
            </w:r>
          </w:p>
        </w:tc>
        <w:tc>
          <w:tcPr>
            <w:tcW w:w="1134" w:type="dxa"/>
            <w:tcBorders>
              <w:bottom w:val="single" w:color="auto" w:sz="4" w:space="0"/>
            </w:tcBorders>
          </w:tcPr>
          <w:p>
            <w:pPr>
              <w:ind w:left="0" w:firstLine="0"/>
            </w:pPr>
          </w:p>
        </w:tc>
        <w:tc>
          <w:tcPr>
            <w:tcW w:w="1098" w:type="dxa"/>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hint="eastAsia" w:ascii="宋体" w:hAnsi="宋体" w:eastAsia="宋体" w:cs="宋体"/>
              </w:rPr>
            </w:pPr>
            <w:r>
              <w:rPr>
                <w:rFonts w:hint="eastAsia" w:ascii="宋体" w:hAnsi="宋体" w:eastAsia="宋体" w:cs="宋体"/>
              </w:rPr>
              <w:t>7</w:t>
            </w:r>
          </w:p>
        </w:tc>
        <w:tc>
          <w:tcPr>
            <w:tcW w:w="6096" w:type="dxa"/>
            <w:vAlign w:val="center"/>
          </w:tcPr>
          <w:p>
            <w:pPr>
              <w:ind w:left="0" w:firstLine="0"/>
            </w:pPr>
            <w:r>
              <w:rPr>
                <w:rFonts w:hint="eastAsia"/>
                <w:snapToGrid w:val="0"/>
              </w:rPr>
              <w:t>比选申请有效期满足比选文件要求。</w:t>
            </w:r>
          </w:p>
        </w:tc>
        <w:tc>
          <w:tcPr>
            <w:tcW w:w="1134" w:type="dxa"/>
          </w:tcPr>
          <w:p>
            <w:pPr>
              <w:ind w:left="0" w:firstLine="0"/>
            </w:pPr>
          </w:p>
        </w:tc>
        <w:tc>
          <w:tcPr>
            <w:tcW w:w="1098" w:type="dxa"/>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hint="eastAsia" w:ascii="宋体" w:hAnsi="宋体" w:eastAsia="宋体" w:cs="宋体"/>
                <w:lang w:val="en-US" w:eastAsia="zh-CN"/>
              </w:rPr>
            </w:pPr>
            <w:r>
              <w:rPr>
                <w:rFonts w:hint="eastAsia" w:ascii="宋体" w:hAnsi="宋体" w:eastAsia="宋体" w:cs="宋体"/>
                <w:lang w:val="en-US" w:eastAsia="zh-CN"/>
              </w:rPr>
              <w:t>8</w:t>
            </w:r>
          </w:p>
        </w:tc>
        <w:tc>
          <w:tcPr>
            <w:tcW w:w="6096" w:type="dxa"/>
            <w:vAlign w:val="center"/>
          </w:tcPr>
          <w:p>
            <w:pPr>
              <w:ind w:left="0" w:firstLine="0"/>
              <w:rPr>
                <w:rFonts w:hint="eastAsia"/>
              </w:rPr>
            </w:pPr>
            <w:r>
              <w:rPr>
                <w:rFonts w:hint="eastAsia"/>
                <w:snapToGrid w:val="0"/>
              </w:rPr>
              <w:t>比选</w:t>
            </w:r>
            <w:r>
              <w:rPr>
                <w:snapToGrid w:val="0"/>
              </w:rPr>
              <w:t>报价</w:t>
            </w:r>
            <w:r>
              <w:rPr>
                <w:rFonts w:hint="eastAsia"/>
                <w:snapToGrid w:val="0"/>
              </w:rPr>
              <w:t>未</w:t>
            </w:r>
            <w:r>
              <w:rPr>
                <w:snapToGrid w:val="0"/>
              </w:rPr>
              <w:t>超过</w:t>
            </w:r>
            <w:r>
              <w:rPr>
                <w:rFonts w:hint="eastAsia"/>
                <w:snapToGrid w:val="0"/>
              </w:rPr>
              <w:t>上限控制价或分项上限控制价的。</w:t>
            </w:r>
          </w:p>
        </w:tc>
        <w:tc>
          <w:tcPr>
            <w:tcW w:w="1134" w:type="dxa"/>
          </w:tcPr>
          <w:p>
            <w:pPr>
              <w:ind w:left="0" w:firstLine="0"/>
            </w:pPr>
          </w:p>
        </w:tc>
        <w:tc>
          <w:tcPr>
            <w:tcW w:w="1098" w:type="dxa"/>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hint="eastAsia" w:ascii="宋体" w:hAnsi="宋体" w:eastAsia="宋体" w:cs="宋体"/>
                <w:lang w:val="en-US" w:eastAsia="zh-CN"/>
              </w:rPr>
            </w:pPr>
            <w:r>
              <w:rPr>
                <w:rFonts w:hint="eastAsia" w:ascii="宋体" w:hAnsi="宋体" w:eastAsia="宋体" w:cs="宋体"/>
                <w:lang w:val="en-US" w:eastAsia="zh-CN"/>
              </w:rPr>
              <w:t>9</w:t>
            </w:r>
          </w:p>
        </w:tc>
        <w:tc>
          <w:tcPr>
            <w:tcW w:w="6096" w:type="dxa"/>
            <w:vAlign w:val="center"/>
          </w:tcPr>
          <w:p>
            <w:pPr>
              <w:ind w:left="0" w:firstLine="0"/>
              <w:rPr>
                <w:rFonts w:hint="eastAsia" w:eastAsia="宋体"/>
                <w:lang w:eastAsia="zh-CN"/>
              </w:rPr>
            </w:pPr>
            <w:r>
              <w:rPr>
                <w:rFonts w:hint="eastAsia"/>
                <w:snapToGrid w:val="0"/>
              </w:rPr>
              <w:t>比选申请人没有递交两份或多份内容不同的比选申请文件</w:t>
            </w:r>
            <w:r>
              <w:rPr>
                <w:rFonts w:hint="eastAsia"/>
                <w:snapToGrid w:val="0"/>
                <w:lang w:eastAsia="zh-CN"/>
              </w:rPr>
              <w:t>。</w:t>
            </w:r>
          </w:p>
        </w:tc>
        <w:tc>
          <w:tcPr>
            <w:tcW w:w="1134" w:type="dxa"/>
          </w:tcPr>
          <w:p>
            <w:pPr>
              <w:ind w:left="0" w:firstLine="0"/>
            </w:pPr>
          </w:p>
        </w:tc>
        <w:tc>
          <w:tcPr>
            <w:tcW w:w="1098" w:type="dxa"/>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hint="eastAsia" w:ascii="宋体" w:hAnsi="宋体" w:eastAsia="宋体" w:cs="宋体"/>
                <w:lang w:val="en-US" w:eastAsia="zh-CN"/>
              </w:rPr>
            </w:pPr>
            <w:r>
              <w:rPr>
                <w:rFonts w:hint="eastAsia" w:ascii="宋体" w:hAnsi="宋体" w:eastAsia="宋体" w:cs="宋体"/>
                <w:lang w:val="en-US" w:eastAsia="zh-CN"/>
              </w:rPr>
              <w:t>10</w:t>
            </w:r>
          </w:p>
        </w:tc>
        <w:tc>
          <w:tcPr>
            <w:tcW w:w="6096" w:type="dxa"/>
            <w:vAlign w:val="center"/>
          </w:tcPr>
          <w:p>
            <w:pPr>
              <w:ind w:left="0" w:firstLine="0"/>
              <w:rPr>
                <w:rFonts w:hint="eastAsia" w:eastAsia="宋体"/>
                <w:lang w:eastAsia="zh-CN"/>
              </w:rPr>
            </w:pPr>
            <w:r>
              <w:rPr>
                <w:rFonts w:hint="eastAsia"/>
              </w:rPr>
              <w:t>无比选文件、法律、法规规定的其他否决比选申请条件</w:t>
            </w:r>
            <w:r>
              <w:rPr>
                <w:rFonts w:hint="eastAsia"/>
                <w:lang w:eastAsia="zh-CN"/>
              </w:rPr>
              <w:t>。</w:t>
            </w:r>
          </w:p>
        </w:tc>
        <w:tc>
          <w:tcPr>
            <w:tcW w:w="1134" w:type="dxa"/>
          </w:tcPr>
          <w:p>
            <w:pPr>
              <w:ind w:left="0" w:firstLine="0"/>
            </w:pPr>
          </w:p>
        </w:tc>
        <w:tc>
          <w:tcPr>
            <w:tcW w:w="1098" w:type="dxa"/>
            <w:vAlign w:val="center"/>
          </w:tcPr>
          <w:p>
            <w:pPr>
              <w:ind w:left="0" w:firstLine="0"/>
            </w:pPr>
          </w:p>
        </w:tc>
      </w:tr>
    </w:tbl>
    <w:p>
      <w:pPr>
        <w:spacing w:before="0" w:after="0" w:afterAutospacing="0" w:line="360" w:lineRule="auto"/>
        <w:ind w:left="0" w:right="0" w:firstLine="0"/>
        <w:rPr>
          <w:rFonts w:hAnsi="宋体"/>
        </w:rPr>
      </w:pPr>
    </w:p>
    <w:p>
      <w:pPr>
        <w:spacing w:before="0" w:after="0" w:afterAutospacing="0" w:line="360" w:lineRule="auto"/>
        <w:ind w:left="0" w:right="0" w:firstLine="0"/>
        <w:rPr>
          <w:rFonts w:hAnsi="宋体"/>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pStyle w:val="2"/>
        <w:ind w:left="705" w:leftChars="200" w:hanging="285" w:hangingChars="136"/>
        <w:rPr>
          <w:rFonts w:hint="eastAsia" w:eastAsia="宋体"/>
          <w:lang w:eastAsia="zh-CN"/>
        </w:rPr>
        <w:sectPr>
          <w:pgSz w:w="11905" w:h="16838"/>
          <w:pgMar w:top="1418" w:right="1418" w:bottom="1418" w:left="1418" w:header="454" w:footer="567" w:gutter="0"/>
          <w:cols w:space="720" w:num="1"/>
          <w:docGrid w:linePitch="319" w:charSpace="0"/>
        </w:sectPr>
      </w:pPr>
      <w:r>
        <w:rPr>
          <w:rFonts w:hAnsi="宋体"/>
        </w:rPr>
        <w:t>2.</w:t>
      </w:r>
      <w:r>
        <w:rPr>
          <w:rFonts w:hint="eastAsia" w:hAnsi="宋体"/>
        </w:rPr>
        <w:t>“缺、漏项”是指比选申请人未按照招标人提供的</w:t>
      </w:r>
      <w:r>
        <w:rPr>
          <w:rFonts w:hint="eastAsia" w:hAnsi="宋体"/>
          <w:lang w:eastAsia="zh-CN"/>
        </w:rPr>
        <w:t>分</w:t>
      </w:r>
      <w:r>
        <w:rPr>
          <w:rFonts w:hint="eastAsia" w:hAnsi="宋体"/>
        </w:rPr>
        <w:t>项进行报价，比选申请人的报价清单中缺少某项清单或报价</w:t>
      </w:r>
      <w:r>
        <w:rPr>
          <w:rFonts w:hint="eastAsia" w:hAnsi="宋体"/>
          <w:lang w:eastAsia="zh-CN"/>
        </w:rPr>
        <w:t>。</w:t>
      </w:r>
    </w:p>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Pr>
        <w:spacing w:before="0"/>
        <w:ind w:left="0" w:right="0" w:firstLine="0"/>
        <w:outlineLvl w:val="0"/>
        <w:rPr>
          <w:rFonts w:ascii="宋体" w:hAnsi="宋体"/>
          <w:b/>
        </w:rPr>
      </w:pPr>
      <w:bookmarkStart w:id="1559" w:name="_Toc8803"/>
      <w:bookmarkStart w:id="1560" w:name="_Toc492478858"/>
      <w:bookmarkStart w:id="1561" w:name="_Toc6960"/>
      <w:bookmarkStart w:id="1562" w:name="_Toc10414"/>
      <w:bookmarkStart w:id="1563" w:name="_Toc10654"/>
      <w:bookmarkStart w:id="1564" w:name="_Toc4223"/>
      <w:bookmarkStart w:id="1565" w:name="_Toc20211"/>
      <w:bookmarkStart w:id="1566" w:name="_Toc11048"/>
      <w:bookmarkStart w:id="1567" w:name="_Toc22594"/>
      <w:bookmarkStart w:id="1568" w:name="_Toc414290588"/>
      <w:bookmarkStart w:id="1569" w:name="_Toc9220"/>
      <w:bookmarkStart w:id="1570" w:name="_Toc1480"/>
      <w:bookmarkStart w:id="1571" w:name="_Toc32725"/>
      <w:bookmarkStart w:id="1572" w:name="_Toc27431"/>
      <w:bookmarkStart w:id="1573" w:name="_Toc24793"/>
      <w:bookmarkStart w:id="1574" w:name="_Toc6932"/>
      <w:bookmarkStart w:id="1575" w:name="_Toc22896"/>
      <w:bookmarkStart w:id="1576" w:name="_Toc21541"/>
      <w:bookmarkStart w:id="1577" w:name="_Toc28476"/>
      <w:bookmarkStart w:id="1578" w:name="_Toc1145"/>
      <w:r>
        <w:rPr>
          <w:rFonts w:hint="eastAsia" w:ascii="宋体" w:hAnsi="宋体"/>
          <w:b/>
        </w:rPr>
        <w:t>附表</w:t>
      </w:r>
      <w:r>
        <w:rPr>
          <w:rFonts w:hint="eastAsia" w:ascii="宋体" w:hAnsi="宋体"/>
          <w:b/>
          <w:lang w:eastAsia="zh-CN"/>
        </w:rPr>
        <w:t>三</w:t>
      </w:r>
      <w:r>
        <w:rPr>
          <w:rFonts w:hint="eastAsia" w:ascii="宋体" w:hAnsi="宋体"/>
          <w:b/>
        </w:rPr>
        <w:t xml:space="preserve"> 比选申请价格评审表</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spacing w:before="159"/>
        <w:ind w:right="-57"/>
        <w:jc w:val="center"/>
        <w:rPr>
          <w:rFonts w:ascii="宋体" w:hAnsi="宋体"/>
          <w:b/>
          <w:sz w:val="28"/>
          <w:szCs w:val="28"/>
        </w:rPr>
      </w:pPr>
      <w:r>
        <w:rPr>
          <w:rFonts w:hint="eastAsia" w:ascii="宋体" w:hAnsi="宋体"/>
          <w:b/>
          <w:sz w:val="28"/>
          <w:szCs w:val="28"/>
        </w:rPr>
        <w:t>比选申请价格评审表</w:t>
      </w:r>
    </w:p>
    <w:tbl>
      <w:tblPr>
        <w:tblStyle w:val="28"/>
        <w:tblW w:w="13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hint="eastAsia" w:ascii="宋体" w:hAnsi="宋体"/>
        </w:rPr>
      </w:pP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jc w:val="left"/>
        <w:textAlignment w:val="auto"/>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159"/>
        <w:ind w:right="-57" w:firstLine="0"/>
        <w:jc w:val="center"/>
        <w:rPr>
          <w:rFonts w:hint="eastAsia" w:ascii="宋体" w:hAnsi="宋体"/>
          <w:b/>
          <w:sz w:val="28"/>
          <w:szCs w:val="28"/>
        </w:rPr>
      </w:pPr>
    </w:p>
    <w:p>
      <w:pPr>
        <w:spacing w:before="159"/>
        <w:ind w:right="-57" w:firstLine="0"/>
        <w:jc w:val="center"/>
        <w:rPr>
          <w:rFonts w:hint="eastAsia" w:ascii="宋体" w:hAnsi="宋体"/>
          <w:b/>
          <w:sz w:val="28"/>
          <w:szCs w:val="28"/>
        </w:rPr>
      </w:pPr>
    </w:p>
    <w:p>
      <w:pPr>
        <w:spacing w:before="159"/>
        <w:ind w:right="-57"/>
        <w:jc w:val="both"/>
        <w:rPr>
          <w:rFonts w:ascii="宋体" w:hAnsi="宋体"/>
          <w:b/>
          <w:sz w:val="21"/>
          <w:szCs w:val="21"/>
        </w:rPr>
      </w:pPr>
      <w:r>
        <w:rPr>
          <w:rFonts w:hint="eastAsia" w:ascii="宋体" w:hAnsi="宋体"/>
          <w:b/>
          <w:sz w:val="21"/>
          <w:szCs w:val="21"/>
        </w:rPr>
        <w:t>附表：比选申请报价修正表</w:t>
      </w:r>
    </w:p>
    <w:tbl>
      <w:tblPr>
        <w:tblStyle w:val="28"/>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w:t>
            </w:r>
            <w:r>
              <w:rPr>
                <w:rFonts w:hint="eastAsia" w:ascii="宋体" w:hAnsi="宋体" w:cs="宋体"/>
                <w:b/>
                <w:sz w:val="24"/>
                <w:szCs w:val="24"/>
                <w:lang w:val="en-US" w:eastAsia="zh-CN"/>
              </w:rPr>
              <w:t xml:space="preserve">  </w:t>
            </w:r>
            <w:r>
              <w:rPr>
                <w:rFonts w:hint="eastAsia" w:ascii="宋体" w:hAnsi="宋体" w:cs="宋体"/>
                <w:b/>
                <w:sz w:val="24"/>
                <w:szCs w:val="24"/>
              </w:rPr>
              <w:t xml:space="preserve">月   </w:t>
            </w:r>
            <w:r>
              <w:rPr>
                <w:rFonts w:hint="eastAsia" w:ascii="宋体" w:hAnsi="宋体" w:cs="宋体"/>
                <w:b/>
                <w:sz w:val="24"/>
                <w:szCs w:val="24"/>
                <w:lang w:val="en-US" w:eastAsia="zh-CN"/>
              </w:rPr>
              <w:t xml:space="preserve"> </w:t>
            </w:r>
            <w:r>
              <w:rPr>
                <w:rFonts w:hint="eastAsia" w:ascii="宋体" w:hAnsi="宋体" w:cs="宋体"/>
                <w:b/>
                <w:sz w:val="24"/>
                <w:szCs w:val="24"/>
              </w:rPr>
              <w:t>日</w:t>
            </w:r>
          </w:p>
        </w:tc>
      </w:tr>
    </w:tbl>
    <w:p>
      <w:pPr>
        <w:ind w:left="0" w:leftChars="0" w:firstLine="0" w:firstLineChars="0"/>
        <w:rPr>
          <w:rFonts w:ascii="宋体" w:hAnsi="宋体"/>
          <w:b/>
        </w:rPr>
      </w:pPr>
    </w:p>
    <w:sectPr>
      <w:headerReference r:id="rId13" w:type="default"/>
      <w:footerReference r:id="rId14" w:type="default"/>
      <w:pgSz w:w="16838" w:h="11905" w:orient="landscape"/>
      <w:pgMar w:top="1418" w:right="1418" w:bottom="1418" w:left="1304"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848186"/>
      <w:docPartObj>
        <w:docPartGallery w:val="autotext"/>
      </w:docPartObj>
    </w:sdtPr>
    <w:sdtContent>
      <w:sdt>
        <w:sdtPr>
          <w:id w:val="-1669238322"/>
          <w:docPartObj>
            <w:docPartGallery w:val="autotext"/>
          </w:docPartObj>
        </w:sdtPr>
        <w:sdtContent>
          <w:p>
            <w:pPr>
              <w:pStyle w:val="1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sdtContent>
      </w:sdt>
    </w:sdtContent>
  </w:sdt>
  <w:p>
    <w:pPr>
      <w:pStyle w:val="16"/>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1"/>
        <w:szCs w:val="21"/>
        <w:lang w:val="en-US" w:eastAsia="zh-CN" w:bidi="ar-SA"/>
      </w:rPr>
      <w:id w:val="-1078750833"/>
    </w:sdtPr>
    <w:sdtEndPr>
      <w:rPr>
        <w:rFonts w:ascii="Times New Roman" w:hAnsi="Times New Roman" w:eastAsia="宋体" w:cs="Times New Roman"/>
        <w:sz w:val="18"/>
        <w:szCs w:val="18"/>
        <w:lang w:val="en-US" w:eastAsia="zh-CN" w:bidi="ar-SA"/>
      </w:rPr>
    </w:sdtEndPr>
    <w:sdtContent>
      <w:p>
        <w:pPr>
          <w:snapToGrid w:val="0"/>
          <w:spacing w:before="120" w:after="100" w:afterAutospacing="1" w:line="360" w:lineRule="auto"/>
          <w:ind w:left="709" w:right="-27" w:hanging="709"/>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fldChar w:fldCharType="begin"/>
        </w:r>
        <w:r>
          <w:rPr>
            <w:rFonts w:ascii="Times New Roman" w:hAnsi="Times New Roman" w:eastAsia="宋体" w:cs="Times New Roman"/>
            <w:sz w:val="18"/>
            <w:szCs w:val="18"/>
            <w:lang w:val="en-US" w:eastAsia="zh-CN" w:bidi="ar-SA"/>
          </w:rPr>
          <w:instrText xml:space="preserve">PAGE   \* MERGEFORMAT</w:instrText>
        </w:r>
        <w:r>
          <w:rPr>
            <w:rFonts w:ascii="Times New Roman" w:hAnsi="Times New Roman" w:eastAsia="宋体" w:cs="Times New Roman"/>
            <w:sz w:val="18"/>
            <w:szCs w:val="18"/>
            <w:lang w:val="en-US" w:eastAsia="zh-CN" w:bidi="ar-SA"/>
          </w:rPr>
          <w:fldChar w:fldCharType="separate"/>
        </w:r>
        <w:r>
          <w:rPr>
            <w:rFonts w:ascii="Times New Roman" w:hAnsi="Times New Roman" w:eastAsia="宋体" w:cs="Times New Roman"/>
            <w:sz w:val="18"/>
            <w:szCs w:val="18"/>
            <w:lang w:val="zh-CN" w:eastAsia="zh-CN" w:bidi="ar-SA"/>
          </w:rPr>
          <w:t>24</w:t>
        </w:r>
        <w:r>
          <w:rPr>
            <w:rFonts w:ascii="Times New Roman" w:hAnsi="Times New Roman" w:eastAsia="宋体" w:cs="Times New Roman"/>
            <w:sz w:val="18"/>
            <w:szCs w:val="18"/>
            <w:lang w:val="zh-CN" w:eastAsia="zh-CN" w:bidi="ar-SA"/>
          </w:rPr>
          <w:fldChar w:fldCharType="end"/>
        </w:r>
      </w:p>
    </w:sdtContent>
  </w:sdt>
  <w:p>
    <w:pPr>
      <w:pBdr>
        <w:bottom w:val="none" w:color="auto" w:sz="0" w:space="0"/>
      </w:pBdr>
      <w:tabs>
        <w:tab w:val="right" w:pos="8728"/>
        <w:tab w:val="left" w:pos="10800"/>
      </w:tabs>
      <w:snapToGrid w:val="0"/>
      <w:spacing w:before="120" w:after="100" w:afterAutospacing="1" w:line="360" w:lineRule="auto"/>
      <w:ind w:left="0" w:right="343" w:firstLine="0"/>
      <w:jc w:val="both"/>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tab/>
    </w:r>
    <w:r>
      <w:rPr>
        <w:rFonts w:ascii="Times New Roman" w:hAnsi="Times New Roman" w:eastAsia="宋体" w:cs="Times New Roman"/>
        <w:sz w:val="18"/>
        <w:szCs w:val="18"/>
        <w:lang w:val="en-US" w:eastAsia="zh-CN" w:bidi="ar-S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after="100" w:afterAutospacing="1" w:line="360" w:lineRule="auto"/>
      <w:ind w:left="709" w:right="-27" w:hanging="709"/>
      <w:jc w:val="center"/>
      <w:rPr>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fldChar w:fldCharType="begin"/>
    </w:r>
    <w:r>
      <w:rPr>
        <w:rFonts w:ascii="Times New Roman" w:hAnsi="Times New Roman" w:eastAsia="宋体" w:cs="Times New Roman"/>
        <w:sz w:val="18"/>
        <w:szCs w:val="18"/>
        <w:lang w:val="en-US" w:eastAsia="zh-CN" w:bidi="ar-SA"/>
      </w:rPr>
      <w:instrText xml:space="preserve"> PAGE   \* MERGEFORMAT </w:instrText>
    </w:r>
    <w:r>
      <w:rPr>
        <w:rFonts w:ascii="Times New Roman" w:hAnsi="Times New Roman" w:eastAsia="宋体" w:cs="Times New Roman"/>
        <w:sz w:val="18"/>
        <w:szCs w:val="18"/>
        <w:lang w:val="en-US" w:eastAsia="zh-CN" w:bidi="ar-SA"/>
      </w:rPr>
      <w:fldChar w:fldCharType="separate"/>
    </w:r>
    <w:r>
      <w:rPr>
        <w:rFonts w:ascii="Times New Roman" w:hAnsi="Times New Roman" w:eastAsia="宋体" w:cs="Times New Roman"/>
        <w:sz w:val="18"/>
        <w:szCs w:val="18"/>
        <w:lang w:val="zh-CN" w:eastAsia="zh-CN" w:bidi="ar-SA"/>
      </w:rPr>
      <w:t>129</w:t>
    </w:r>
    <w:r>
      <w:rPr>
        <w:rFonts w:ascii="Times New Roman" w:hAnsi="Times New Roman" w:eastAsia="宋体" w:cs="Times New Roman"/>
        <w:sz w:val="18"/>
        <w:szCs w:val="18"/>
        <w:lang w:val="zh-CN" w:eastAsia="zh-CN" w:bidi="ar-SA"/>
      </w:rPr>
      <w:fldChar w:fldCharType="end"/>
    </w:r>
  </w:p>
  <w:p>
    <w:pPr>
      <w:snapToGrid w:val="0"/>
      <w:spacing w:before="120" w:after="100" w:afterAutospacing="1" w:line="360" w:lineRule="auto"/>
      <w:ind w:left="709" w:right="-27" w:hanging="709"/>
      <w:jc w:val="left"/>
      <w:rPr>
        <w:rFonts w:ascii="Times New Roman" w:hAnsi="Times New Roman" w:eastAsia="宋体" w:cs="Times New Roman"/>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139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0lY7tAAAAAFAQAADwAAAAAAAAABACAAAAAiAAAAZHJzL2Rvd25yZXYu&#10;eG1sUEsBAhQAFAAAAAgAh07iQLB1bAc8AgAAbQQAAA4AAAAAAAAAAQAgAAAAHwEAAGRycy9lMm9E&#10;b2MueG1sUEsFBgAAAAAGAAYAWQEAAM0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139</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txbx>
                      <w:txbxContent>
                        <w:p>
                          <w:r>
                            <w:rPr>
                              <w:rFonts w:hint="eastAsia"/>
                            </w:rPr>
                            <w:fldChar w:fldCharType="begin"/>
                          </w:r>
                          <w:r>
                            <w:rPr>
                              <w:rFonts w:hint="eastAsia"/>
                            </w:rPr>
                            <w:instrText xml:space="preserve">PAGE  \* MERGEFORMAT</w:instrText>
                          </w:r>
                          <w:r>
                            <w:rPr>
                              <w:rFonts w:hint="eastAsia"/>
                            </w:rPr>
                            <w:fldChar w:fldCharType="separate"/>
                          </w:r>
                          <w:r>
                            <w:t>75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vF3EPQIAAG8EAAAOAAAAAAAAAAEAIAAAAB8BAABkcnMvZTJv&#10;RG9jLnhtbFBLBQYAAAAABgAGAFkBAADOBQ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75</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napToGrid w:val="0"/>
      <w:spacing w:before="0" w:after="100" w:afterAutospacing="1" w:line="360" w:lineRule="auto"/>
      <w:ind w:left="709" w:right="-57" w:firstLine="0"/>
      <w:jc w:val="both"/>
      <w:rPr>
        <w:rFonts w:ascii="宋体" w:hAnsi="宋体" w:eastAsia="宋体" w:cs="Times New Roman"/>
        <w:color w:val="000000"/>
        <w:sz w:val="15"/>
        <w:szCs w:val="15"/>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snapToGrid w:val="0"/>
      <w:spacing w:before="120" w:after="100" w:afterAutospacing="1" w:line="360" w:lineRule="auto"/>
      <w:ind w:left="709" w:right="-27" w:hanging="709"/>
      <w:jc w:val="center"/>
      <w:rPr>
        <w:rFonts w:ascii="Times New Roman" w:hAnsi="Times New Roman" w:eastAsia="宋体" w:cs="Times New Roman"/>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B2E7AC"/>
    <w:multiLevelType w:val="singleLevel"/>
    <w:tmpl w:val="A9B2E7AC"/>
    <w:lvl w:ilvl="0" w:tentative="0">
      <w:start w:val="1"/>
      <w:numFmt w:val="decimal"/>
      <w:suff w:val="nothing"/>
      <w:lvlText w:val="%1、"/>
      <w:lvlJc w:val="left"/>
    </w:lvl>
  </w:abstractNum>
  <w:abstractNum w:abstractNumId="1">
    <w:nsid w:val="F3B13665"/>
    <w:multiLevelType w:val="singleLevel"/>
    <w:tmpl w:val="F3B13665"/>
    <w:lvl w:ilvl="0" w:tentative="0">
      <w:start w:val="5"/>
      <w:numFmt w:val="chineseCounting"/>
      <w:suff w:val="space"/>
      <w:lvlText w:val="第%1章"/>
      <w:lvlJc w:val="left"/>
      <w:rPr>
        <w:rFonts w:hint="eastAsia"/>
      </w:rPr>
    </w:lvl>
  </w:abstractNum>
  <w:abstractNum w:abstractNumId="2">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582BA484"/>
    <w:multiLevelType w:val="multilevel"/>
    <w:tmpl w:val="582BA484"/>
    <w:lvl w:ilvl="0" w:tentative="0">
      <w:start w:val="1"/>
      <w:numFmt w:val="decimal"/>
      <w:lvlText w:val="%1"/>
      <w:lvlJc w:val="left"/>
      <w:pPr>
        <w:ind w:left="432" w:hanging="432"/>
      </w:pPr>
      <w:rPr>
        <w:rFonts w:hint="default" w:ascii="Times New Roman" w:hAnsi="Times New Roman" w:eastAsia="宋体" w:cs="宋体"/>
        <w:b/>
      </w:rPr>
    </w:lvl>
    <w:lvl w:ilvl="1" w:tentative="0">
      <w:start w:val="1"/>
      <w:numFmt w:val="decimal"/>
      <w:lvlText w:val="%1.%2"/>
      <w:lvlJc w:val="left"/>
      <w:pPr>
        <w:ind w:left="575" w:hanging="575"/>
      </w:pPr>
      <w:rPr>
        <w:rFonts w:hint="default" w:ascii="宋体" w:hAnsi="宋体" w:eastAsia="宋体" w:cs="宋体"/>
        <w:b/>
        <w:sz w:val="21"/>
        <w:szCs w:val="21"/>
      </w:rPr>
    </w:lvl>
    <w:lvl w:ilvl="2" w:tentative="0">
      <w:start w:val="1"/>
      <w:numFmt w:val="decimal"/>
      <w:lvlText w:val="%1.%2.%3"/>
      <w:lvlJc w:val="left"/>
      <w:pPr>
        <w:ind w:left="720" w:hanging="720"/>
      </w:pPr>
      <w:rPr>
        <w:rFonts w:hint="default" w:ascii="宋体" w:hAnsi="宋体" w:eastAsia="宋体" w:cs="宋体"/>
        <w:b w:val="0"/>
        <w:bCs/>
        <w:sz w:val="21"/>
        <w:szCs w:val="21"/>
      </w:rPr>
    </w:lvl>
    <w:lvl w:ilvl="3" w:tentative="0">
      <w:start w:val="1"/>
      <w:numFmt w:val="decimal"/>
      <w:pStyle w:val="6"/>
      <w:lvlText w:val="%1.%2.%3.%4"/>
      <w:lvlJc w:val="left"/>
      <w:pPr>
        <w:ind w:left="864" w:hanging="864"/>
      </w:pPr>
      <w:rPr>
        <w:rFonts w:hint="default" w:ascii="Times New Roman" w:hAnsi="Times New Roman" w:eastAsia="宋体" w:cs="Times New Roman"/>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9"/>
  </w:num>
  <w:num w:numId="2">
    <w:abstractNumId w:val="2"/>
  </w:num>
  <w:num w:numId="3">
    <w:abstractNumId w:val="4"/>
  </w:num>
  <w:num w:numId="4">
    <w:abstractNumId w:val="8"/>
  </w:num>
  <w:num w:numId="5">
    <w:abstractNumId w:val="5"/>
  </w:num>
  <w:num w:numId="6">
    <w:abstractNumId w:val="6"/>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ZDllMTA5NjhhYWMxZGMyZjFiM2U3NGU0ZGI0NzUifQ=="/>
  </w:docVars>
  <w:rsids>
    <w:rsidRoot w:val="00BA3124"/>
    <w:rsid w:val="000000F2"/>
    <w:rsid w:val="00000139"/>
    <w:rsid w:val="00003CE2"/>
    <w:rsid w:val="000045EA"/>
    <w:rsid w:val="00007C3F"/>
    <w:rsid w:val="000143B4"/>
    <w:rsid w:val="000156A5"/>
    <w:rsid w:val="00015B06"/>
    <w:rsid w:val="00022F88"/>
    <w:rsid w:val="00030F30"/>
    <w:rsid w:val="0003642A"/>
    <w:rsid w:val="000428F8"/>
    <w:rsid w:val="000437E6"/>
    <w:rsid w:val="00043E88"/>
    <w:rsid w:val="00050898"/>
    <w:rsid w:val="0005200D"/>
    <w:rsid w:val="00061B21"/>
    <w:rsid w:val="00063942"/>
    <w:rsid w:val="000674D5"/>
    <w:rsid w:val="00070470"/>
    <w:rsid w:val="00074337"/>
    <w:rsid w:val="0008222E"/>
    <w:rsid w:val="00092270"/>
    <w:rsid w:val="0009493E"/>
    <w:rsid w:val="00095B78"/>
    <w:rsid w:val="000A0870"/>
    <w:rsid w:val="000A167C"/>
    <w:rsid w:val="000A1767"/>
    <w:rsid w:val="000A3331"/>
    <w:rsid w:val="000A49C9"/>
    <w:rsid w:val="000B34C7"/>
    <w:rsid w:val="000B5BA2"/>
    <w:rsid w:val="000C1668"/>
    <w:rsid w:val="000C1D2F"/>
    <w:rsid w:val="000C20C1"/>
    <w:rsid w:val="000C32A2"/>
    <w:rsid w:val="000C4529"/>
    <w:rsid w:val="000C53FF"/>
    <w:rsid w:val="000C56A1"/>
    <w:rsid w:val="000C61D1"/>
    <w:rsid w:val="000C68D6"/>
    <w:rsid w:val="000D2B9F"/>
    <w:rsid w:val="000D3045"/>
    <w:rsid w:val="000E072A"/>
    <w:rsid w:val="000E3B0A"/>
    <w:rsid w:val="000E7DA5"/>
    <w:rsid w:val="000F56F5"/>
    <w:rsid w:val="000F5E28"/>
    <w:rsid w:val="000F6EB3"/>
    <w:rsid w:val="00100517"/>
    <w:rsid w:val="00100EE1"/>
    <w:rsid w:val="00107359"/>
    <w:rsid w:val="0011106B"/>
    <w:rsid w:val="0011296C"/>
    <w:rsid w:val="001147FC"/>
    <w:rsid w:val="001207B4"/>
    <w:rsid w:val="00126FBA"/>
    <w:rsid w:val="001315CE"/>
    <w:rsid w:val="00133A8C"/>
    <w:rsid w:val="001345CE"/>
    <w:rsid w:val="00135B62"/>
    <w:rsid w:val="00135C49"/>
    <w:rsid w:val="00136FF6"/>
    <w:rsid w:val="00141670"/>
    <w:rsid w:val="001445DC"/>
    <w:rsid w:val="001477B8"/>
    <w:rsid w:val="001520D4"/>
    <w:rsid w:val="0015296D"/>
    <w:rsid w:val="00155FD4"/>
    <w:rsid w:val="00157047"/>
    <w:rsid w:val="00157417"/>
    <w:rsid w:val="0017175E"/>
    <w:rsid w:val="00180594"/>
    <w:rsid w:val="00183519"/>
    <w:rsid w:val="00186A28"/>
    <w:rsid w:val="001A37D3"/>
    <w:rsid w:val="001A3FCA"/>
    <w:rsid w:val="001A4AD0"/>
    <w:rsid w:val="001B0893"/>
    <w:rsid w:val="001C0C50"/>
    <w:rsid w:val="001E0D82"/>
    <w:rsid w:val="001E0D93"/>
    <w:rsid w:val="001E5985"/>
    <w:rsid w:val="001E5F4A"/>
    <w:rsid w:val="002041A6"/>
    <w:rsid w:val="002065F4"/>
    <w:rsid w:val="00206D2E"/>
    <w:rsid w:val="00210D44"/>
    <w:rsid w:val="00212AF9"/>
    <w:rsid w:val="00226768"/>
    <w:rsid w:val="00226771"/>
    <w:rsid w:val="00226B2E"/>
    <w:rsid w:val="00226D0E"/>
    <w:rsid w:val="00227511"/>
    <w:rsid w:val="00237A98"/>
    <w:rsid w:val="0024287B"/>
    <w:rsid w:val="002441F7"/>
    <w:rsid w:val="0024741B"/>
    <w:rsid w:val="00261C93"/>
    <w:rsid w:val="00265564"/>
    <w:rsid w:val="00272F80"/>
    <w:rsid w:val="0027764C"/>
    <w:rsid w:val="00280E7F"/>
    <w:rsid w:val="0028366D"/>
    <w:rsid w:val="00292853"/>
    <w:rsid w:val="002A20A0"/>
    <w:rsid w:val="002A7A9A"/>
    <w:rsid w:val="002B1394"/>
    <w:rsid w:val="002C556E"/>
    <w:rsid w:val="002C5B0F"/>
    <w:rsid w:val="002D23D9"/>
    <w:rsid w:val="002D2720"/>
    <w:rsid w:val="002D2931"/>
    <w:rsid w:val="002D6A78"/>
    <w:rsid w:val="002D6D0E"/>
    <w:rsid w:val="002D770F"/>
    <w:rsid w:val="002E190D"/>
    <w:rsid w:val="002E6BE3"/>
    <w:rsid w:val="003044E3"/>
    <w:rsid w:val="003149DC"/>
    <w:rsid w:val="003166B6"/>
    <w:rsid w:val="00316E03"/>
    <w:rsid w:val="003207F4"/>
    <w:rsid w:val="00320BB7"/>
    <w:rsid w:val="00330D78"/>
    <w:rsid w:val="003354EE"/>
    <w:rsid w:val="00337C6A"/>
    <w:rsid w:val="003464E7"/>
    <w:rsid w:val="00353318"/>
    <w:rsid w:val="00354E36"/>
    <w:rsid w:val="003568E4"/>
    <w:rsid w:val="00361313"/>
    <w:rsid w:val="003632A7"/>
    <w:rsid w:val="00365CC3"/>
    <w:rsid w:val="0036732D"/>
    <w:rsid w:val="003706A5"/>
    <w:rsid w:val="003712A4"/>
    <w:rsid w:val="003756AE"/>
    <w:rsid w:val="003777EC"/>
    <w:rsid w:val="00383573"/>
    <w:rsid w:val="00384B9C"/>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672B"/>
    <w:rsid w:val="003F746F"/>
    <w:rsid w:val="0040286B"/>
    <w:rsid w:val="004043A2"/>
    <w:rsid w:val="004117BD"/>
    <w:rsid w:val="00412A48"/>
    <w:rsid w:val="00414B71"/>
    <w:rsid w:val="00417574"/>
    <w:rsid w:val="004215F1"/>
    <w:rsid w:val="0042215D"/>
    <w:rsid w:val="0043285C"/>
    <w:rsid w:val="004357B9"/>
    <w:rsid w:val="00436E82"/>
    <w:rsid w:val="00440133"/>
    <w:rsid w:val="00440F9A"/>
    <w:rsid w:val="00443ADE"/>
    <w:rsid w:val="0044418D"/>
    <w:rsid w:val="004518D2"/>
    <w:rsid w:val="0045479E"/>
    <w:rsid w:val="004608EF"/>
    <w:rsid w:val="004632AA"/>
    <w:rsid w:val="00476FBE"/>
    <w:rsid w:val="00483264"/>
    <w:rsid w:val="004A0C16"/>
    <w:rsid w:val="004A0D30"/>
    <w:rsid w:val="004B1E96"/>
    <w:rsid w:val="004B508D"/>
    <w:rsid w:val="004B62C0"/>
    <w:rsid w:val="004B6350"/>
    <w:rsid w:val="004B6F1C"/>
    <w:rsid w:val="004C09AF"/>
    <w:rsid w:val="004C6241"/>
    <w:rsid w:val="004C7017"/>
    <w:rsid w:val="004D03B0"/>
    <w:rsid w:val="004D1018"/>
    <w:rsid w:val="004D449E"/>
    <w:rsid w:val="004D4C3A"/>
    <w:rsid w:val="004E12DE"/>
    <w:rsid w:val="004F148B"/>
    <w:rsid w:val="004F6E95"/>
    <w:rsid w:val="00500C4A"/>
    <w:rsid w:val="00505261"/>
    <w:rsid w:val="00510E4D"/>
    <w:rsid w:val="00512701"/>
    <w:rsid w:val="00512A45"/>
    <w:rsid w:val="00516B22"/>
    <w:rsid w:val="00523A8C"/>
    <w:rsid w:val="0052634A"/>
    <w:rsid w:val="00532363"/>
    <w:rsid w:val="00532575"/>
    <w:rsid w:val="00541401"/>
    <w:rsid w:val="005418DB"/>
    <w:rsid w:val="0054269C"/>
    <w:rsid w:val="005448AD"/>
    <w:rsid w:val="00545844"/>
    <w:rsid w:val="00562190"/>
    <w:rsid w:val="00562E44"/>
    <w:rsid w:val="005648F8"/>
    <w:rsid w:val="00564C20"/>
    <w:rsid w:val="00565FD9"/>
    <w:rsid w:val="00571D43"/>
    <w:rsid w:val="00574C3B"/>
    <w:rsid w:val="00575AB8"/>
    <w:rsid w:val="0057690D"/>
    <w:rsid w:val="0058087F"/>
    <w:rsid w:val="00583A7E"/>
    <w:rsid w:val="00587B70"/>
    <w:rsid w:val="005A1A6A"/>
    <w:rsid w:val="005A2E67"/>
    <w:rsid w:val="005A5B47"/>
    <w:rsid w:val="005B01E0"/>
    <w:rsid w:val="005B2E43"/>
    <w:rsid w:val="005B439E"/>
    <w:rsid w:val="005C0AA6"/>
    <w:rsid w:val="005C5B0E"/>
    <w:rsid w:val="005D0BB2"/>
    <w:rsid w:val="005D30DE"/>
    <w:rsid w:val="005E5912"/>
    <w:rsid w:val="005F2A05"/>
    <w:rsid w:val="005F2C46"/>
    <w:rsid w:val="005F57D6"/>
    <w:rsid w:val="005F5B89"/>
    <w:rsid w:val="00606397"/>
    <w:rsid w:val="006173A4"/>
    <w:rsid w:val="00622520"/>
    <w:rsid w:val="00622A7C"/>
    <w:rsid w:val="006279E7"/>
    <w:rsid w:val="00634596"/>
    <w:rsid w:val="0064043C"/>
    <w:rsid w:val="006425FA"/>
    <w:rsid w:val="00642B95"/>
    <w:rsid w:val="00647559"/>
    <w:rsid w:val="006523EB"/>
    <w:rsid w:val="00653C14"/>
    <w:rsid w:val="0065460D"/>
    <w:rsid w:val="0065720F"/>
    <w:rsid w:val="00657269"/>
    <w:rsid w:val="0066001D"/>
    <w:rsid w:val="0066558F"/>
    <w:rsid w:val="006679DC"/>
    <w:rsid w:val="00670400"/>
    <w:rsid w:val="006724B7"/>
    <w:rsid w:val="00672716"/>
    <w:rsid w:val="00672F69"/>
    <w:rsid w:val="00677925"/>
    <w:rsid w:val="00677A8A"/>
    <w:rsid w:val="006922EC"/>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2588"/>
    <w:rsid w:val="007032FC"/>
    <w:rsid w:val="00703D29"/>
    <w:rsid w:val="00703F0B"/>
    <w:rsid w:val="007076B1"/>
    <w:rsid w:val="0071330B"/>
    <w:rsid w:val="00722F66"/>
    <w:rsid w:val="00722FCE"/>
    <w:rsid w:val="00724317"/>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4D8"/>
    <w:rsid w:val="00762CB8"/>
    <w:rsid w:val="0077088A"/>
    <w:rsid w:val="00771B6D"/>
    <w:rsid w:val="00785F88"/>
    <w:rsid w:val="00786B37"/>
    <w:rsid w:val="00790C82"/>
    <w:rsid w:val="00792362"/>
    <w:rsid w:val="007A04DC"/>
    <w:rsid w:val="007A287A"/>
    <w:rsid w:val="007A2EB0"/>
    <w:rsid w:val="007A4490"/>
    <w:rsid w:val="007B04FF"/>
    <w:rsid w:val="007B1635"/>
    <w:rsid w:val="007B194A"/>
    <w:rsid w:val="007B6DA0"/>
    <w:rsid w:val="007C15ED"/>
    <w:rsid w:val="007C19AE"/>
    <w:rsid w:val="007C283D"/>
    <w:rsid w:val="007C2CCC"/>
    <w:rsid w:val="007C337F"/>
    <w:rsid w:val="007D0888"/>
    <w:rsid w:val="007D2FAE"/>
    <w:rsid w:val="007D399D"/>
    <w:rsid w:val="007D59AF"/>
    <w:rsid w:val="007D7DEB"/>
    <w:rsid w:val="007E7AA0"/>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47E90"/>
    <w:rsid w:val="00856873"/>
    <w:rsid w:val="00856E35"/>
    <w:rsid w:val="0086037E"/>
    <w:rsid w:val="00860F02"/>
    <w:rsid w:val="00861912"/>
    <w:rsid w:val="008657A4"/>
    <w:rsid w:val="00865FB6"/>
    <w:rsid w:val="0086730C"/>
    <w:rsid w:val="00876D84"/>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E500C"/>
    <w:rsid w:val="008F2A48"/>
    <w:rsid w:val="008F720F"/>
    <w:rsid w:val="00900496"/>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6B31"/>
    <w:rsid w:val="00956FA8"/>
    <w:rsid w:val="00957AA0"/>
    <w:rsid w:val="009604CB"/>
    <w:rsid w:val="00961F4A"/>
    <w:rsid w:val="00965538"/>
    <w:rsid w:val="0097464F"/>
    <w:rsid w:val="00974EBD"/>
    <w:rsid w:val="0098272D"/>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16DB9"/>
    <w:rsid w:val="00A249A4"/>
    <w:rsid w:val="00A2528E"/>
    <w:rsid w:val="00A31A3F"/>
    <w:rsid w:val="00A34C49"/>
    <w:rsid w:val="00A461C1"/>
    <w:rsid w:val="00A535D7"/>
    <w:rsid w:val="00A54F86"/>
    <w:rsid w:val="00A63392"/>
    <w:rsid w:val="00A722C5"/>
    <w:rsid w:val="00A859DC"/>
    <w:rsid w:val="00A872DA"/>
    <w:rsid w:val="00A9122E"/>
    <w:rsid w:val="00A91F36"/>
    <w:rsid w:val="00A93A7F"/>
    <w:rsid w:val="00A975BC"/>
    <w:rsid w:val="00AA0FB3"/>
    <w:rsid w:val="00AB6B27"/>
    <w:rsid w:val="00AD6B25"/>
    <w:rsid w:val="00AD6ED0"/>
    <w:rsid w:val="00AE2C17"/>
    <w:rsid w:val="00AE5333"/>
    <w:rsid w:val="00AE6F3C"/>
    <w:rsid w:val="00AF196A"/>
    <w:rsid w:val="00AF54E1"/>
    <w:rsid w:val="00B00C09"/>
    <w:rsid w:val="00B04E81"/>
    <w:rsid w:val="00B12244"/>
    <w:rsid w:val="00B14E6B"/>
    <w:rsid w:val="00B16089"/>
    <w:rsid w:val="00B204D2"/>
    <w:rsid w:val="00B25BF3"/>
    <w:rsid w:val="00B266B6"/>
    <w:rsid w:val="00B31CA2"/>
    <w:rsid w:val="00B457D5"/>
    <w:rsid w:val="00B47764"/>
    <w:rsid w:val="00B4784E"/>
    <w:rsid w:val="00B52D63"/>
    <w:rsid w:val="00B56B83"/>
    <w:rsid w:val="00B6108C"/>
    <w:rsid w:val="00B62476"/>
    <w:rsid w:val="00B6303A"/>
    <w:rsid w:val="00B75E61"/>
    <w:rsid w:val="00B76717"/>
    <w:rsid w:val="00B80D2F"/>
    <w:rsid w:val="00B825E7"/>
    <w:rsid w:val="00B82E58"/>
    <w:rsid w:val="00B863CD"/>
    <w:rsid w:val="00B90EB4"/>
    <w:rsid w:val="00B97802"/>
    <w:rsid w:val="00BA0E5D"/>
    <w:rsid w:val="00BA3124"/>
    <w:rsid w:val="00BA37AA"/>
    <w:rsid w:val="00BA55B3"/>
    <w:rsid w:val="00BB2B84"/>
    <w:rsid w:val="00BD389A"/>
    <w:rsid w:val="00BE2F9C"/>
    <w:rsid w:val="00BE3C13"/>
    <w:rsid w:val="00BF3812"/>
    <w:rsid w:val="00BF4099"/>
    <w:rsid w:val="00C07A4F"/>
    <w:rsid w:val="00C13489"/>
    <w:rsid w:val="00C244BA"/>
    <w:rsid w:val="00C254EC"/>
    <w:rsid w:val="00C25AD7"/>
    <w:rsid w:val="00C31620"/>
    <w:rsid w:val="00C3605A"/>
    <w:rsid w:val="00C4070E"/>
    <w:rsid w:val="00C421CD"/>
    <w:rsid w:val="00C45A1F"/>
    <w:rsid w:val="00C46538"/>
    <w:rsid w:val="00C46568"/>
    <w:rsid w:val="00C519A3"/>
    <w:rsid w:val="00C524FA"/>
    <w:rsid w:val="00C557E5"/>
    <w:rsid w:val="00C61DF1"/>
    <w:rsid w:val="00C636A8"/>
    <w:rsid w:val="00C649A3"/>
    <w:rsid w:val="00C64C38"/>
    <w:rsid w:val="00C64D53"/>
    <w:rsid w:val="00C709CA"/>
    <w:rsid w:val="00C716E6"/>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04154"/>
    <w:rsid w:val="00D14665"/>
    <w:rsid w:val="00D14E99"/>
    <w:rsid w:val="00D1571D"/>
    <w:rsid w:val="00D21E36"/>
    <w:rsid w:val="00D2321E"/>
    <w:rsid w:val="00D23492"/>
    <w:rsid w:val="00D26520"/>
    <w:rsid w:val="00D277F8"/>
    <w:rsid w:val="00D300DD"/>
    <w:rsid w:val="00D37B6A"/>
    <w:rsid w:val="00D44F13"/>
    <w:rsid w:val="00D479CD"/>
    <w:rsid w:val="00D55758"/>
    <w:rsid w:val="00D74E9C"/>
    <w:rsid w:val="00D829D0"/>
    <w:rsid w:val="00D841A1"/>
    <w:rsid w:val="00D84F11"/>
    <w:rsid w:val="00D92C17"/>
    <w:rsid w:val="00D930BB"/>
    <w:rsid w:val="00D932AD"/>
    <w:rsid w:val="00D93779"/>
    <w:rsid w:val="00D95A48"/>
    <w:rsid w:val="00D95A4C"/>
    <w:rsid w:val="00DA4D68"/>
    <w:rsid w:val="00DB181C"/>
    <w:rsid w:val="00DB2E0D"/>
    <w:rsid w:val="00DC7E00"/>
    <w:rsid w:val="00DE249D"/>
    <w:rsid w:val="00DE77B9"/>
    <w:rsid w:val="00E02431"/>
    <w:rsid w:val="00E03C51"/>
    <w:rsid w:val="00E11081"/>
    <w:rsid w:val="00E22781"/>
    <w:rsid w:val="00E255AC"/>
    <w:rsid w:val="00E26053"/>
    <w:rsid w:val="00E27434"/>
    <w:rsid w:val="00E312D2"/>
    <w:rsid w:val="00E33009"/>
    <w:rsid w:val="00E3415B"/>
    <w:rsid w:val="00E42EAA"/>
    <w:rsid w:val="00E43660"/>
    <w:rsid w:val="00E449D8"/>
    <w:rsid w:val="00E45D74"/>
    <w:rsid w:val="00E51F99"/>
    <w:rsid w:val="00E52414"/>
    <w:rsid w:val="00E55177"/>
    <w:rsid w:val="00E57591"/>
    <w:rsid w:val="00E62BB3"/>
    <w:rsid w:val="00E653F5"/>
    <w:rsid w:val="00E72F1F"/>
    <w:rsid w:val="00E763ED"/>
    <w:rsid w:val="00E86025"/>
    <w:rsid w:val="00E8709E"/>
    <w:rsid w:val="00E93BCC"/>
    <w:rsid w:val="00E9439E"/>
    <w:rsid w:val="00E96E54"/>
    <w:rsid w:val="00EA11E5"/>
    <w:rsid w:val="00EA1ED7"/>
    <w:rsid w:val="00EA49B9"/>
    <w:rsid w:val="00EA5C66"/>
    <w:rsid w:val="00EB0C24"/>
    <w:rsid w:val="00EC2D7B"/>
    <w:rsid w:val="00EC7653"/>
    <w:rsid w:val="00ED5241"/>
    <w:rsid w:val="00ED64CD"/>
    <w:rsid w:val="00ED7DBB"/>
    <w:rsid w:val="00EE5896"/>
    <w:rsid w:val="00EE6E83"/>
    <w:rsid w:val="00EF20F4"/>
    <w:rsid w:val="00EF2D43"/>
    <w:rsid w:val="00EF2D68"/>
    <w:rsid w:val="00EF5BD9"/>
    <w:rsid w:val="00EF6456"/>
    <w:rsid w:val="00F06631"/>
    <w:rsid w:val="00F115E5"/>
    <w:rsid w:val="00F121C0"/>
    <w:rsid w:val="00F1492D"/>
    <w:rsid w:val="00F2140E"/>
    <w:rsid w:val="00F2195D"/>
    <w:rsid w:val="00F275D0"/>
    <w:rsid w:val="00F331FE"/>
    <w:rsid w:val="00F344D6"/>
    <w:rsid w:val="00F35244"/>
    <w:rsid w:val="00F359C1"/>
    <w:rsid w:val="00F37250"/>
    <w:rsid w:val="00F3752A"/>
    <w:rsid w:val="00F40FBF"/>
    <w:rsid w:val="00F41ABA"/>
    <w:rsid w:val="00F43D41"/>
    <w:rsid w:val="00F466A5"/>
    <w:rsid w:val="00F502E0"/>
    <w:rsid w:val="00F52F5A"/>
    <w:rsid w:val="00F5512B"/>
    <w:rsid w:val="00F56501"/>
    <w:rsid w:val="00F57BAB"/>
    <w:rsid w:val="00F603CC"/>
    <w:rsid w:val="00F72D49"/>
    <w:rsid w:val="00F74EBD"/>
    <w:rsid w:val="00F82ADB"/>
    <w:rsid w:val="00F831B3"/>
    <w:rsid w:val="00F85E17"/>
    <w:rsid w:val="00F86B8B"/>
    <w:rsid w:val="00F8733F"/>
    <w:rsid w:val="00F94057"/>
    <w:rsid w:val="00F95B86"/>
    <w:rsid w:val="00FB3AAB"/>
    <w:rsid w:val="00FC02B4"/>
    <w:rsid w:val="00FD1370"/>
    <w:rsid w:val="00FD5129"/>
    <w:rsid w:val="00FD5F55"/>
    <w:rsid w:val="00FE3364"/>
    <w:rsid w:val="00FE4C53"/>
    <w:rsid w:val="00FE6711"/>
    <w:rsid w:val="00FF2D5E"/>
    <w:rsid w:val="00FF3FB5"/>
    <w:rsid w:val="00FF5A2F"/>
    <w:rsid w:val="00FF6546"/>
    <w:rsid w:val="0119565C"/>
    <w:rsid w:val="015123B9"/>
    <w:rsid w:val="01626374"/>
    <w:rsid w:val="016A5229"/>
    <w:rsid w:val="017E0CD4"/>
    <w:rsid w:val="018207C5"/>
    <w:rsid w:val="019378B8"/>
    <w:rsid w:val="01BB3CD7"/>
    <w:rsid w:val="01C71782"/>
    <w:rsid w:val="01E70628"/>
    <w:rsid w:val="02082CEA"/>
    <w:rsid w:val="023D0846"/>
    <w:rsid w:val="02411E6F"/>
    <w:rsid w:val="02A5557E"/>
    <w:rsid w:val="02C24BF1"/>
    <w:rsid w:val="02C646E1"/>
    <w:rsid w:val="02D17E3E"/>
    <w:rsid w:val="02FE3E7B"/>
    <w:rsid w:val="030D5A87"/>
    <w:rsid w:val="03165668"/>
    <w:rsid w:val="03315841"/>
    <w:rsid w:val="03A34C59"/>
    <w:rsid w:val="03AF33C7"/>
    <w:rsid w:val="03B95FF4"/>
    <w:rsid w:val="03BB1D6C"/>
    <w:rsid w:val="03C03826"/>
    <w:rsid w:val="03C36E72"/>
    <w:rsid w:val="03D34A61"/>
    <w:rsid w:val="03F11C32"/>
    <w:rsid w:val="04191B32"/>
    <w:rsid w:val="043B5B50"/>
    <w:rsid w:val="04504BAA"/>
    <w:rsid w:val="047168CE"/>
    <w:rsid w:val="049251C3"/>
    <w:rsid w:val="04C3537C"/>
    <w:rsid w:val="04F76DD4"/>
    <w:rsid w:val="05330EC1"/>
    <w:rsid w:val="055E65E3"/>
    <w:rsid w:val="05C70E9C"/>
    <w:rsid w:val="05D709B3"/>
    <w:rsid w:val="06155A61"/>
    <w:rsid w:val="06746CFB"/>
    <w:rsid w:val="06C04B42"/>
    <w:rsid w:val="07A5520D"/>
    <w:rsid w:val="07C16458"/>
    <w:rsid w:val="081B727D"/>
    <w:rsid w:val="08261316"/>
    <w:rsid w:val="08363C9D"/>
    <w:rsid w:val="086230FE"/>
    <w:rsid w:val="0889068B"/>
    <w:rsid w:val="08C568EA"/>
    <w:rsid w:val="092C7268"/>
    <w:rsid w:val="09A52FE6"/>
    <w:rsid w:val="0A050E07"/>
    <w:rsid w:val="0A075BF1"/>
    <w:rsid w:val="0A311283"/>
    <w:rsid w:val="0A3D797F"/>
    <w:rsid w:val="0A595E3B"/>
    <w:rsid w:val="0A6C2012"/>
    <w:rsid w:val="0AA7129C"/>
    <w:rsid w:val="0AC94A31"/>
    <w:rsid w:val="0AE37DDF"/>
    <w:rsid w:val="0AE71698"/>
    <w:rsid w:val="0B2226D0"/>
    <w:rsid w:val="0B3F3282"/>
    <w:rsid w:val="0B7A69B0"/>
    <w:rsid w:val="0BA608AF"/>
    <w:rsid w:val="0BDE2A9B"/>
    <w:rsid w:val="0C007752"/>
    <w:rsid w:val="0C3E178C"/>
    <w:rsid w:val="0C782EF0"/>
    <w:rsid w:val="0CD63EF4"/>
    <w:rsid w:val="0CE83016"/>
    <w:rsid w:val="0D0C188A"/>
    <w:rsid w:val="0D4508F8"/>
    <w:rsid w:val="0D460BF6"/>
    <w:rsid w:val="0D501777"/>
    <w:rsid w:val="0D60461B"/>
    <w:rsid w:val="0D8D1D96"/>
    <w:rsid w:val="0D931D58"/>
    <w:rsid w:val="0D9F26FE"/>
    <w:rsid w:val="0DAD75F8"/>
    <w:rsid w:val="0DB61E15"/>
    <w:rsid w:val="0DBC6E0C"/>
    <w:rsid w:val="0DC10DA5"/>
    <w:rsid w:val="0DC31AF9"/>
    <w:rsid w:val="0DFF4F4B"/>
    <w:rsid w:val="0E0A401C"/>
    <w:rsid w:val="0E9E6512"/>
    <w:rsid w:val="0EA96F15"/>
    <w:rsid w:val="0EE22F28"/>
    <w:rsid w:val="0EE26D46"/>
    <w:rsid w:val="0EE303C9"/>
    <w:rsid w:val="0F474DFC"/>
    <w:rsid w:val="0F6B0FF3"/>
    <w:rsid w:val="0F7B634E"/>
    <w:rsid w:val="0F841BAC"/>
    <w:rsid w:val="0FE663C2"/>
    <w:rsid w:val="0FEC0641"/>
    <w:rsid w:val="10025CC6"/>
    <w:rsid w:val="102313C5"/>
    <w:rsid w:val="104B4477"/>
    <w:rsid w:val="104D6442"/>
    <w:rsid w:val="105E064F"/>
    <w:rsid w:val="10BD35C7"/>
    <w:rsid w:val="10C55FD8"/>
    <w:rsid w:val="10C83D1A"/>
    <w:rsid w:val="10E1374D"/>
    <w:rsid w:val="10E548CC"/>
    <w:rsid w:val="113D64B6"/>
    <w:rsid w:val="1142587A"/>
    <w:rsid w:val="117D4EFC"/>
    <w:rsid w:val="118B2237"/>
    <w:rsid w:val="11A0017C"/>
    <w:rsid w:val="11DF756D"/>
    <w:rsid w:val="11E248BC"/>
    <w:rsid w:val="11E81ABA"/>
    <w:rsid w:val="123A0C48"/>
    <w:rsid w:val="123D1F9F"/>
    <w:rsid w:val="12483364"/>
    <w:rsid w:val="126B3142"/>
    <w:rsid w:val="12951F0D"/>
    <w:rsid w:val="12A44DFA"/>
    <w:rsid w:val="12AC38F3"/>
    <w:rsid w:val="1323348A"/>
    <w:rsid w:val="1363353B"/>
    <w:rsid w:val="138A52B7"/>
    <w:rsid w:val="13B660AC"/>
    <w:rsid w:val="13D53DAE"/>
    <w:rsid w:val="142F43C4"/>
    <w:rsid w:val="14524026"/>
    <w:rsid w:val="145E0C1D"/>
    <w:rsid w:val="14612B95"/>
    <w:rsid w:val="1461426A"/>
    <w:rsid w:val="151C5693"/>
    <w:rsid w:val="152F3C74"/>
    <w:rsid w:val="159E5049"/>
    <w:rsid w:val="15E57946"/>
    <w:rsid w:val="16300728"/>
    <w:rsid w:val="16322361"/>
    <w:rsid w:val="16425DD6"/>
    <w:rsid w:val="164E6403"/>
    <w:rsid w:val="16610551"/>
    <w:rsid w:val="168340B4"/>
    <w:rsid w:val="16FC64CC"/>
    <w:rsid w:val="16FE3FF2"/>
    <w:rsid w:val="172A4DE7"/>
    <w:rsid w:val="175B7696"/>
    <w:rsid w:val="179962B6"/>
    <w:rsid w:val="17FA6EAF"/>
    <w:rsid w:val="18787DD4"/>
    <w:rsid w:val="18876269"/>
    <w:rsid w:val="18B024DA"/>
    <w:rsid w:val="18FE652B"/>
    <w:rsid w:val="193A6737"/>
    <w:rsid w:val="193C3C97"/>
    <w:rsid w:val="19755131"/>
    <w:rsid w:val="199C5D44"/>
    <w:rsid w:val="19A07745"/>
    <w:rsid w:val="19AA0461"/>
    <w:rsid w:val="19C9617A"/>
    <w:rsid w:val="19D023F9"/>
    <w:rsid w:val="19D61256"/>
    <w:rsid w:val="1A0319B0"/>
    <w:rsid w:val="1A424B3D"/>
    <w:rsid w:val="1A6C1BBA"/>
    <w:rsid w:val="1A952EBF"/>
    <w:rsid w:val="1AAF4FD3"/>
    <w:rsid w:val="1AC63445"/>
    <w:rsid w:val="1AC75042"/>
    <w:rsid w:val="1ACB01B9"/>
    <w:rsid w:val="1AE17EB2"/>
    <w:rsid w:val="1AFC1190"/>
    <w:rsid w:val="1B1070B3"/>
    <w:rsid w:val="1B222279"/>
    <w:rsid w:val="1B410951"/>
    <w:rsid w:val="1B64488E"/>
    <w:rsid w:val="1BAF362A"/>
    <w:rsid w:val="1BD7587A"/>
    <w:rsid w:val="1BF807B0"/>
    <w:rsid w:val="1C0F0CFE"/>
    <w:rsid w:val="1C361F39"/>
    <w:rsid w:val="1CD00D9F"/>
    <w:rsid w:val="1CED6FE2"/>
    <w:rsid w:val="1D5A3F4C"/>
    <w:rsid w:val="1D6152DA"/>
    <w:rsid w:val="1D756FD8"/>
    <w:rsid w:val="1DA63611"/>
    <w:rsid w:val="1E036392"/>
    <w:rsid w:val="1E285DD4"/>
    <w:rsid w:val="1E2A03FB"/>
    <w:rsid w:val="1E335D2E"/>
    <w:rsid w:val="1EE44415"/>
    <w:rsid w:val="1F06438B"/>
    <w:rsid w:val="1F0D0FC0"/>
    <w:rsid w:val="1F220A99"/>
    <w:rsid w:val="1F4153C3"/>
    <w:rsid w:val="1F884DA0"/>
    <w:rsid w:val="1FC6467C"/>
    <w:rsid w:val="200C6CE6"/>
    <w:rsid w:val="20385E50"/>
    <w:rsid w:val="209A67D6"/>
    <w:rsid w:val="20FC4784"/>
    <w:rsid w:val="210466A8"/>
    <w:rsid w:val="21324CF7"/>
    <w:rsid w:val="213F1DD6"/>
    <w:rsid w:val="21613AFB"/>
    <w:rsid w:val="21837F15"/>
    <w:rsid w:val="219263AA"/>
    <w:rsid w:val="21A67760"/>
    <w:rsid w:val="21B34338"/>
    <w:rsid w:val="220124C7"/>
    <w:rsid w:val="2201708C"/>
    <w:rsid w:val="222B0586"/>
    <w:rsid w:val="222C235B"/>
    <w:rsid w:val="226E2205"/>
    <w:rsid w:val="228A7AA3"/>
    <w:rsid w:val="22A56758"/>
    <w:rsid w:val="22AC7CDC"/>
    <w:rsid w:val="232E3EB1"/>
    <w:rsid w:val="23411E36"/>
    <w:rsid w:val="235D1AA7"/>
    <w:rsid w:val="238C519F"/>
    <w:rsid w:val="23940028"/>
    <w:rsid w:val="23E04F9B"/>
    <w:rsid w:val="24023FC6"/>
    <w:rsid w:val="240F3CE2"/>
    <w:rsid w:val="24125580"/>
    <w:rsid w:val="24323E67"/>
    <w:rsid w:val="24343749"/>
    <w:rsid w:val="246A0F18"/>
    <w:rsid w:val="24C22B02"/>
    <w:rsid w:val="24C85C3F"/>
    <w:rsid w:val="24DD63C0"/>
    <w:rsid w:val="24FA6740"/>
    <w:rsid w:val="25290DD3"/>
    <w:rsid w:val="2540611D"/>
    <w:rsid w:val="256C2A6E"/>
    <w:rsid w:val="256E7B84"/>
    <w:rsid w:val="25B05051"/>
    <w:rsid w:val="26793695"/>
    <w:rsid w:val="26C16619"/>
    <w:rsid w:val="26F70A5D"/>
    <w:rsid w:val="27135897"/>
    <w:rsid w:val="271D0240"/>
    <w:rsid w:val="272A2BE1"/>
    <w:rsid w:val="276C31F9"/>
    <w:rsid w:val="276D7AF2"/>
    <w:rsid w:val="27743684"/>
    <w:rsid w:val="278247CB"/>
    <w:rsid w:val="27E47234"/>
    <w:rsid w:val="286A42FF"/>
    <w:rsid w:val="28700AC7"/>
    <w:rsid w:val="28777A3E"/>
    <w:rsid w:val="288D78CB"/>
    <w:rsid w:val="28A013AD"/>
    <w:rsid w:val="28EC2844"/>
    <w:rsid w:val="291122AA"/>
    <w:rsid w:val="291D326E"/>
    <w:rsid w:val="29890E80"/>
    <w:rsid w:val="2A3F4BF5"/>
    <w:rsid w:val="2A675833"/>
    <w:rsid w:val="2A970351"/>
    <w:rsid w:val="2AB56C65"/>
    <w:rsid w:val="2AD16DE9"/>
    <w:rsid w:val="2ADC2444"/>
    <w:rsid w:val="2B310521"/>
    <w:rsid w:val="2B795EE5"/>
    <w:rsid w:val="2B9E594C"/>
    <w:rsid w:val="2BBB64FD"/>
    <w:rsid w:val="2BBD2276"/>
    <w:rsid w:val="2C1A3C52"/>
    <w:rsid w:val="2C3265B4"/>
    <w:rsid w:val="2C564223"/>
    <w:rsid w:val="2C59354C"/>
    <w:rsid w:val="2C6721E1"/>
    <w:rsid w:val="2C680433"/>
    <w:rsid w:val="2C9F5E1F"/>
    <w:rsid w:val="2CA62D0A"/>
    <w:rsid w:val="2CD75F02"/>
    <w:rsid w:val="2CE850D0"/>
    <w:rsid w:val="2D5C161A"/>
    <w:rsid w:val="2DF80288"/>
    <w:rsid w:val="2E0777D8"/>
    <w:rsid w:val="2E4474FE"/>
    <w:rsid w:val="2ECD27D0"/>
    <w:rsid w:val="2F2443BA"/>
    <w:rsid w:val="2F2B5748"/>
    <w:rsid w:val="2F37233F"/>
    <w:rsid w:val="2F3E36CD"/>
    <w:rsid w:val="2F47449B"/>
    <w:rsid w:val="2F4B4BBE"/>
    <w:rsid w:val="2F904459"/>
    <w:rsid w:val="2FD47B8E"/>
    <w:rsid w:val="2FEC137B"/>
    <w:rsid w:val="303348B4"/>
    <w:rsid w:val="30354AD0"/>
    <w:rsid w:val="30425274"/>
    <w:rsid w:val="304A0D65"/>
    <w:rsid w:val="304F71B0"/>
    <w:rsid w:val="30565752"/>
    <w:rsid w:val="30D14C7E"/>
    <w:rsid w:val="312468F3"/>
    <w:rsid w:val="3138414C"/>
    <w:rsid w:val="3141044E"/>
    <w:rsid w:val="31666F0B"/>
    <w:rsid w:val="318E3914"/>
    <w:rsid w:val="31A32590"/>
    <w:rsid w:val="31B71515"/>
    <w:rsid w:val="31E63BA8"/>
    <w:rsid w:val="31ED71F9"/>
    <w:rsid w:val="323D5479"/>
    <w:rsid w:val="32707A1D"/>
    <w:rsid w:val="329A02C4"/>
    <w:rsid w:val="33024A12"/>
    <w:rsid w:val="33136C1F"/>
    <w:rsid w:val="33263C60"/>
    <w:rsid w:val="335039CF"/>
    <w:rsid w:val="33720B0C"/>
    <w:rsid w:val="337C6572"/>
    <w:rsid w:val="339E5D33"/>
    <w:rsid w:val="342B5F2F"/>
    <w:rsid w:val="343230D5"/>
    <w:rsid w:val="34433534"/>
    <w:rsid w:val="3468088D"/>
    <w:rsid w:val="34AC2E87"/>
    <w:rsid w:val="34B561E0"/>
    <w:rsid w:val="34B63D06"/>
    <w:rsid w:val="34B75360"/>
    <w:rsid w:val="35006858"/>
    <w:rsid w:val="35030ECC"/>
    <w:rsid w:val="35303AB8"/>
    <w:rsid w:val="358579E3"/>
    <w:rsid w:val="358B0CEF"/>
    <w:rsid w:val="359B14D8"/>
    <w:rsid w:val="35BA15D4"/>
    <w:rsid w:val="36032F7B"/>
    <w:rsid w:val="36437163"/>
    <w:rsid w:val="365C268B"/>
    <w:rsid w:val="366652B8"/>
    <w:rsid w:val="36F01AF3"/>
    <w:rsid w:val="37037476"/>
    <w:rsid w:val="37757EA8"/>
    <w:rsid w:val="38303DCF"/>
    <w:rsid w:val="38476234"/>
    <w:rsid w:val="38523D46"/>
    <w:rsid w:val="38532DA5"/>
    <w:rsid w:val="38561A88"/>
    <w:rsid w:val="388F0AF6"/>
    <w:rsid w:val="38BD6007"/>
    <w:rsid w:val="38F8669B"/>
    <w:rsid w:val="3962073A"/>
    <w:rsid w:val="39CD5D7A"/>
    <w:rsid w:val="3A1C285D"/>
    <w:rsid w:val="3A396AC3"/>
    <w:rsid w:val="3A4E0A72"/>
    <w:rsid w:val="3A7E7E4B"/>
    <w:rsid w:val="3A8F74D3"/>
    <w:rsid w:val="3AA82343"/>
    <w:rsid w:val="3ABA199E"/>
    <w:rsid w:val="3AC34131"/>
    <w:rsid w:val="3AD879F7"/>
    <w:rsid w:val="3AEC50AC"/>
    <w:rsid w:val="3AEE2598"/>
    <w:rsid w:val="3B0466C6"/>
    <w:rsid w:val="3B0C490C"/>
    <w:rsid w:val="3B4007CD"/>
    <w:rsid w:val="3B4E4C98"/>
    <w:rsid w:val="3B5F17EC"/>
    <w:rsid w:val="3B644E9E"/>
    <w:rsid w:val="3B8B1A48"/>
    <w:rsid w:val="3B955524"/>
    <w:rsid w:val="3B9A04C3"/>
    <w:rsid w:val="3BEC625F"/>
    <w:rsid w:val="3BFA097C"/>
    <w:rsid w:val="3C00772C"/>
    <w:rsid w:val="3C381D3D"/>
    <w:rsid w:val="3C3B7168"/>
    <w:rsid w:val="3C4C72C3"/>
    <w:rsid w:val="3C740F54"/>
    <w:rsid w:val="3D0777F5"/>
    <w:rsid w:val="3D1859B4"/>
    <w:rsid w:val="3D3954D4"/>
    <w:rsid w:val="3D7E738B"/>
    <w:rsid w:val="3D892237"/>
    <w:rsid w:val="3D8A3F82"/>
    <w:rsid w:val="3D9418CB"/>
    <w:rsid w:val="3D9C35B0"/>
    <w:rsid w:val="3D9D5A63"/>
    <w:rsid w:val="3DA94408"/>
    <w:rsid w:val="3DB57251"/>
    <w:rsid w:val="3DBE75AD"/>
    <w:rsid w:val="3DFF52D4"/>
    <w:rsid w:val="3E0C2BE9"/>
    <w:rsid w:val="3E1D0D4C"/>
    <w:rsid w:val="3E4C37AA"/>
    <w:rsid w:val="3E786B8F"/>
    <w:rsid w:val="3E7F33BB"/>
    <w:rsid w:val="3EDA5F2B"/>
    <w:rsid w:val="3EDC6A5F"/>
    <w:rsid w:val="3F0B4C4E"/>
    <w:rsid w:val="3F5D194E"/>
    <w:rsid w:val="3F656A54"/>
    <w:rsid w:val="3FC63852"/>
    <w:rsid w:val="3FD80FD4"/>
    <w:rsid w:val="40183AC7"/>
    <w:rsid w:val="402E5098"/>
    <w:rsid w:val="403A3A3D"/>
    <w:rsid w:val="40874AB9"/>
    <w:rsid w:val="408B24EB"/>
    <w:rsid w:val="408B4299"/>
    <w:rsid w:val="40925627"/>
    <w:rsid w:val="409A44DC"/>
    <w:rsid w:val="40CB28E7"/>
    <w:rsid w:val="40D55514"/>
    <w:rsid w:val="40D57DED"/>
    <w:rsid w:val="40D83B2F"/>
    <w:rsid w:val="40DE086C"/>
    <w:rsid w:val="410858E9"/>
    <w:rsid w:val="410E7A96"/>
    <w:rsid w:val="41172BC2"/>
    <w:rsid w:val="411E3FD2"/>
    <w:rsid w:val="41433D8D"/>
    <w:rsid w:val="419A2026"/>
    <w:rsid w:val="41BE244C"/>
    <w:rsid w:val="41D1217F"/>
    <w:rsid w:val="41E9396D"/>
    <w:rsid w:val="41F675CD"/>
    <w:rsid w:val="421502BE"/>
    <w:rsid w:val="427C033D"/>
    <w:rsid w:val="42907DEC"/>
    <w:rsid w:val="42C13FA2"/>
    <w:rsid w:val="42E12896"/>
    <w:rsid w:val="42EA799C"/>
    <w:rsid w:val="433C5426"/>
    <w:rsid w:val="4344504E"/>
    <w:rsid w:val="436540BC"/>
    <w:rsid w:val="4398158D"/>
    <w:rsid w:val="43BF2BD7"/>
    <w:rsid w:val="43D87DEF"/>
    <w:rsid w:val="44476729"/>
    <w:rsid w:val="445138C5"/>
    <w:rsid w:val="44550E45"/>
    <w:rsid w:val="455B7A11"/>
    <w:rsid w:val="4575344E"/>
    <w:rsid w:val="45C857B5"/>
    <w:rsid w:val="45CC10BF"/>
    <w:rsid w:val="45D608E4"/>
    <w:rsid w:val="45EF7078"/>
    <w:rsid w:val="46244F73"/>
    <w:rsid w:val="46271521"/>
    <w:rsid w:val="46EB494F"/>
    <w:rsid w:val="475A49C5"/>
    <w:rsid w:val="47F06B9F"/>
    <w:rsid w:val="48084421"/>
    <w:rsid w:val="48194880"/>
    <w:rsid w:val="485762B0"/>
    <w:rsid w:val="486E0731"/>
    <w:rsid w:val="487321E2"/>
    <w:rsid w:val="487565D5"/>
    <w:rsid w:val="488E0DCA"/>
    <w:rsid w:val="489309F4"/>
    <w:rsid w:val="48AF2AEE"/>
    <w:rsid w:val="48B14AB8"/>
    <w:rsid w:val="48CC7892"/>
    <w:rsid w:val="48E21379"/>
    <w:rsid w:val="490873BF"/>
    <w:rsid w:val="490C7859"/>
    <w:rsid w:val="49521DF7"/>
    <w:rsid w:val="49777AB0"/>
    <w:rsid w:val="498D72D3"/>
    <w:rsid w:val="49BA799D"/>
    <w:rsid w:val="4A443E36"/>
    <w:rsid w:val="4A521FEE"/>
    <w:rsid w:val="4A5D4FF6"/>
    <w:rsid w:val="4ABB2762"/>
    <w:rsid w:val="4AD64A28"/>
    <w:rsid w:val="4B622B05"/>
    <w:rsid w:val="4B8A7B2D"/>
    <w:rsid w:val="4BBC79FC"/>
    <w:rsid w:val="4BCE35B9"/>
    <w:rsid w:val="4C0F3FD0"/>
    <w:rsid w:val="4C193AAC"/>
    <w:rsid w:val="4C4B0188"/>
    <w:rsid w:val="4C690190"/>
    <w:rsid w:val="4C6D0CF6"/>
    <w:rsid w:val="4C856040"/>
    <w:rsid w:val="4C86327D"/>
    <w:rsid w:val="4C9B1D07"/>
    <w:rsid w:val="4CF11927"/>
    <w:rsid w:val="4CF51418"/>
    <w:rsid w:val="4D330192"/>
    <w:rsid w:val="4D63008D"/>
    <w:rsid w:val="4D636575"/>
    <w:rsid w:val="4D730311"/>
    <w:rsid w:val="4DA25BC4"/>
    <w:rsid w:val="4DBB394A"/>
    <w:rsid w:val="4DFA3302"/>
    <w:rsid w:val="4E017FF9"/>
    <w:rsid w:val="4E04568A"/>
    <w:rsid w:val="4E1B78BF"/>
    <w:rsid w:val="4E2B0D64"/>
    <w:rsid w:val="4E2C7191"/>
    <w:rsid w:val="4E6B0257"/>
    <w:rsid w:val="4E9764FE"/>
    <w:rsid w:val="4EB15812"/>
    <w:rsid w:val="4F552641"/>
    <w:rsid w:val="4F611D5C"/>
    <w:rsid w:val="4F686F20"/>
    <w:rsid w:val="4FB37368"/>
    <w:rsid w:val="4FBB03E3"/>
    <w:rsid w:val="500F4044"/>
    <w:rsid w:val="504F52E3"/>
    <w:rsid w:val="50632B3C"/>
    <w:rsid w:val="50827466"/>
    <w:rsid w:val="515F1555"/>
    <w:rsid w:val="519B00B4"/>
    <w:rsid w:val="52081BED"/>
    <w:rsid w:val="52100AA2"/>
    <w:rsid w:val="522406AF"/>
    <w:rsid w:val="522956BF"/>
    <w:rsid w:val="52AF3E17"/>
    <w:rsid w:val="530E2837"/>
    <w:rsid w:val="535B1C8C"/>
    <w:rsid w:val="53AE0572"/>
    <w:rsid w:val="53B316E5"/>
    <w:rsid w:val="53BB7956"/>
    <w:rsid w:val="53C13532"/>
    <w:rsid w:val="53F80A47"/>
    <w:rsid w:val="541A79B6"/>
    <w:rsid w:val="543F11CA"/>
    <w:rsid w:val="544607AB"/>
    <w:rsid w:val="54471B54"/>
    <w:rsid w:val="547215A0"/>
    <w:rsid w:val="54972DB4"/>
    <w:rsid w:val="54C10DED"/>
    <w:rsid w:val="54D47B64"/>
    <w:rsid w:val="54F507E9"/>
    <w:rsid w:val="550F3BDA"/>
    <w:rsid w:val="55200E06"/>
    <w:rsid w:val="552B51BC"/>
    <w:rsid w:val="553F6091"/>
    <w:rsid w:val="555B2034"/>
    <w:rsid w:val="55674A3D"/>
    <w:rsid w:val="55CC4DD3"/>
    <w:rsid w:val="55E93AE3"/>
    <w:rsid w:val="56777341"/>
    <w:rsid w:val="56C34335"/>
    <w:rsid w:val="56C365FF"/>
    <w:rsid w:val="56D93B58"/>
    <w:rsid w:val="570D55B0"/>
    <w:rsid w:val="57831D16"/>
    <w:rsid w:val="578D6F52"/>
    <w:rsid w:val="579E7EE7"/>
    <w:rsid w:val="57C2639A"/>
    <w:rsid w:val="57C82BCC"/>
    <w:rsid w:val="57E36310"/>
    <w:rsid w:val="57F14ED1"/>
    <w:rsid w:val="580E15DF"/>
    <w:rsid w:val="58256929"/>
    <w:rsid w:val="58296419"/>
    <w:rsid w:val="583F058A"/>
    <w:rsid w:val="5854244B"/>
    <w:rsid w:val="586E6522"/>
    <w:rsid w:val="589E2133"/>
    <w:rsid w:val="58BA52C3"/>
    <w:rsid w:val="58BE3005"/>
    <w:rsid w:val="58CF0F0C"/>
    <w:rsid w:val="58DF4D2A"/>
    <w:rsid w:val="58EF0200"/>
    <w:rsid w:val="58F07DDC"/>
    <w:rsid w:val="58FA45CC"/>
    <w:rsid w:val="59034EBC"/>
    <w:rsid w:val="595E20F3"/>
    <w:rsid w:val="59BC506B"/>
    <w:rsid w:val="59C7413C"/>
    <w:rsid w:val="59CA59DA"/>
    <w:rsid w:val="59F73968"/>
    <w:rsid w:val="5A4E03B9"/>
    <w:rsid w:val="5AA505A9"/>
    <w:rsid w:val="5AA91A93"/>
    <w:rsid w:val="5AA955EF"/>
    <w:rsid w:val="5ADC7773"/>
    <w:rsid w:val="5B096777"/>
    <w:rsid w:val="5B15752A"/>
    <w:rsid w:val="5B417F1E"/>
    <w:rsid w:val="5B5A4B3C"/>
    <w:rsid w:val="5B7A6B65"/>
    <w:rsid w:val="5B84070B"/>
    <w:rsid w:val="5BA1276A"/>
    <w:rsid w:val="5BA33419"/>
    <w:rsid w:val="5BAA161F"/>
    <w:rsid w:val="5BB6648A"/>
    <w:rsid w:val="5BCF1086"/>
    <w:rsid w:val="5BD40151"/>
    <w:rsid w:val="5BE74621"/>
    <w:rsid w:val="5C541826"/>
    <w:rsid w:val="5C8C51C9"/>
    <w:rsid w:val="5CC04303"/>
    <w:rsid w:val="5CE9261B"/>
    <w:rsid w:val="5CEB5ABA"/>
    <w:rsid w:val="5D0E7C47"/>
    <w:rsid w:val="5D320BE3"/>
    <w:rsid w:val="5D4D6706"/>
    <w:rsid w:val="5D9B1B67"/>
    <w:rsid w:val="5DA86032"/>
    <w:rsid w:val="5DB37655"/>
    <w:rsid w:val="5DC12509"/>
    <w:rsid w:val="5DDD79E4"/>
    <w:rsid w:val="5E272E68"/>
    <w:rsid w:val="5E346B7F"/>
    <w:rsid w:val="5E8F2D4E"/>
    <w:rsid w:val="5EE508FF"/>
    <w:rsid w:val="5F4E49B7"/>
    <w:rsid w:val="602F47E9"/>
    <w:rsid w:val="604C539B"/>
    <w:rsid w:val="606B2BD5"/>
    <w:rsid w:val="60791F08"/>
    <w:rsid w:val="608E7761"/>
    <w:rsid w:val="60AE3960"/>
    <w:rsid w:val="60FD0443"/>
    <w:rsid w:val="61774699"/>
    <w:rsid w:val="619A3EE4"/>
    <w:rsid w:val="61FC06FB"/>
    <w:rsid w:val="61FE79E0"/>
    <w:rsid w:val="621912AD"/>
    <w:rsid w:val="62206160"/>
    <w:rsid w:val="625D3D34"/>
    <w:rsid w:val="628250A4"/>
    <w:rsid w:val="6293100D"/>
    <w:rsid w:val="62BF00A6"/>
    <w:rsid w:val="62C521A6"/>
    <w:rsid w:val="62E0626A"/>
    <w:rsid w:val="62FD48F9"/>
    <w:rsid w:val="62FE04A2"/>
    <w:rsid w:val="632443AD"/>
    <w:rsid w:val="63755831"/>
    <w:rsid w:val="637B1AF3"/>
    <w:rsid w:val="639E7C98"/>
    <w:rsid w:val="63A035DF"/>
    <w:rsid w:val="63C60C88"/>
    <w:rsid w:val="63E241AA"/>
    <w:rsid w:val="63EA2A8D"/>
    <w:rsid w:val="63F27EFF"/>
    <w:rsid w:val="63F35B2D"/>
    <w:rsid w:val="63FA7227"/>
    <w:rsid w:val="64060298"/>
    <w:rsid w:val="641066DF"/>
    <w:rsid w:val="641A755E"/>
    <w:rsid w:val="646802C9"/>
    <w:rsid w:val="646A5DEF"/>
    <w:rsid w:val="64D21BE7"/>
    <w:rsid w:val="64E05BEF"/>
    <w:rsid w:val="64E831B8"/>
    <w:rsid w:val="64EF4547"/>
    <w:rsid w:val="65387C9C"/>
    <w:rsid w:val="658A426F"/>
    <w:rsid w:val="65B22148"/>
    <w:rsid w:val="65B752FD"/>
    <w:rsid w:val="65BA2DA7"/>
    <w:rsid w:val="65E25E59"/>
    <w:rsid w:val="66067D9A"/>
    <w:rsid w:val="662B2E29"/>
    <w:rsid w:val="66754F1F"/>
    <w:rsid w:val="66756CCD"/>
    <w:rsid w:val="66B23A7E"/>
    <w:rsid w:val="66E7017B"/>
    <w:rsid w:val="6705401D"/>
    <w:rsid w:val="67A27F96"/>
    <w:rsid w:val="67B53825"/>
    <w:rsid w:val="67CB129B"/>
    <w:rsid w:val="681F5143"/>
    <w:rsid w:val="68662D72"/>
    <w:rsid w:val="68B235C0"/>
    <w:rsid w:val="68BE2BAE"/>
    <w:rsid w:val="694F1010"/>
    <w:rsid w:val="698069BA"/>
    <w:rsid w:val="69995197"/>
    <w:rsid w:val="69AE677E"/>
    <w:rsid w:val="69C266CE"/>
    <w:rsid w:val="69D51D0C"/>
    <w:rsid w:val="69EE0E90"/>
    <w:rsid w:val="6A0665BA"/>
    <w:rsid w:val="6A160C17"/>
    <w:rsid w:val="6A4B09E3"/>
    <w:rsid w:val="6A574619"/>
    <w:rsid w:val="6AB41186"/>
    <w:rsid w:val="6AE03CDE"/>
    <w:rsid w:val="6AE23527"/>
    <w:rsid w:val="6AED32D6"/>
    <w:rsid w:val="6B022C2C"/>
    <w:rsid w:val="6B19056F"/>
    <w:rsid w:val="6B340F05"/>
    <w:rsid w:val="6B4C0C26"/>
    <w:rsid w:val="6B955C0E"/>
    <w:rsid w:val="6BA77929"/>
    <w:rsid w:val="6BBD3D7B"/>
    <w:rsid w:val="6BD61FBC"/>
    <w:rsid w:val="6BD66460"/>
    <w:rsid w:val="6BFC0D3F"/>
    <w:rsid w:val="6C5B5AE9"/>
    <w:rsid w:val="6C68355C"/>
    <w:rsid w:val="6C7F2654"/>
    <w:rsid w:val="6CE340A9"/>
    <w:rsid w:val="6CED562C"/>
    <w:rsid w:val="6D2B458A"/>
    <w:rsid w:val="6D4A4A10"/>
    <w:rsid w:val="6D4B2536"/>
    <w:rsid w:val="6D940200"/>
    <w:rsid w:val="6DAC7479"/>
    <w:rsid w:val="6DE309C1"/>
    <w:rsid w:val="6E00321F"/>
    <w:rsid w:val="6E7A30D3"/>
    <w:rsid w:val="6E9D2886"/>
    <w:rsid w:val="6EA2262A"/>
    <w:rsid w:val="6ED85A05"/>
    <w:rsid w:val="6EF356D9"/>
    <w:rsid w:val="6F0F157E"/>
    <w:rsid w:val="6F26325B"/>
    <w:rsid w:val="6FAE34AD"/>
    <w:rsid w:val="6FB22D40"/>
    <w:rsid w:val="6FDF3F24"/>
    <w:rsid w:val="6FFD4D9E"/>
    <w:rsid w:val="70025A76"/>
    <w:rsid w:val="701632CF"/>
    <w:rsid w:val="704F155E"/>
    <w:rsid w:val="705D2CAC"/>
    <w:rsid w:val="70A15996"/>
    <w:rsid w:val="70E47485"/>
    <w:rsid w:val="711D243B"/>
    <w:rsid w:val="71327C95"/>
    <w:rsid w:val="7196718A"/>
    <w:rsid w:val="71D1092D"/>
    <w:rsid w:val="71E847F7"/>
    <w:rsid w:val="71FB5066"/>
    <w:rsid w:val="728A03E9"/>
    <w:rsid w:val="729D47C4"/>
    <w:rsid w:val="72A93F87"/>
    <w:rsid w:val="72AC1CC9"/>
    <w:rsid w:val="72C47B32"/>
    <w:rsid w:val="72CB03A1"/>
    <w:rsid w:val="730438B3"/>
    <w:rsid w:val="731A4A45"/>
    <w:rsid w:val="73A750C7"/>
    <w:rsid w:val="73CF2C80"/>
    <w:rsid w:val="7416243F"/>
    <w:rsid w:val="74165ABB"/>
    <w:rsid w:val="745F3497"/>
    <w:rsid w:val="745F5036"/>
    <w:rsid w:val="746565D3"/>
    <w:rsid w:val="746635D8"/>
    <w:rsid w:val="7499627D"/>
    <w:rsid w:val="74BD1F6B"/>
    <w:rsid w:val="750E0C64"/>
    <w:rsid w:val="751A116C"/>
    <w:rsid w:val="75630D65"/>
    <w:rsid w:val="76257DC8"/>
    <w:rsid w:val="763B583E"/>
    <w:rsid w:val="766A7ED1"/>
    <w:rsid w:val="7683197E"/>
    <w:rsid w:val="774E15A1"/>
    <w:rsid w:val="776808B4"/>
    <w:rsid w:val="77A25D4E"/>
    <w:rsid w:val="77C35AEB"/>
    <w:rsid w:val="77F12CFC"/>
    <w:rsid w:val="786D7E5E"/>
    <w:rsid w:val="78BC253A"/>
    <w:rsid w:val="78E71CAD"/>
    <w:rsid w:val="79036994"/>
    <w:rsid w:val="79075EAB"/>
    <w:rsid w:val="790F4D60"/>
    <w:rsid w:val="79202AC9"/>
    <w:rsid w:val="793F3DFB"/>
    <w:rsid w:val="795766F4"/>
    <w:rsid w:val="799F7224"/>
    <w:rsid w:val="79B64E99"/>
    <w:rsid w:val="7A3766FE"/>
    <w:rsid w:val="7A5769BE"/>
    <w:rsid w:val="7A5C3FD5"/>
    <w:rsid w:val="7A763E93"/>
    <w:rsid w:val="7A8D2BB1"/>
    <w:rsid w:val="7AC322A6"/>
    <w:rsid w:val="7ACB29FF"/>
    <w:rsid w:val="7AF72E69"/>
    <w:rsid w:val="7B0B3EAF"/>
    <w:rsid w:val="7B5178B1"/>
    <w:rsid w:val="7BA23C69"/>
    <w:rsid w:val="7BA67BFD"/>
    <w:rsid w:val="7BBA5457"/>
    <w:rsid w:val="7BC45D53"/>
    <w:rsid w:val="7BD52290"/>
    <w:rsid w:val="7BFD27E5"/>
    <w:rsid w:val="7C32323F"/>
    <w:rsid w:val="7C720232"/>
    <w:rsid w:val="7C785F7F"/>
    <w:rsid w:val="7C9E6B26"/>
    <w:rsid w:val="7CC43EF5"/>
    <w:rsid w:val="7CE87DA1"/>
    <w:rsid w:val="7D1A5320"/>
    <w:rsid w:val="7D3A16E9"/>
    <w:rsid w:val="7D3F20B7"/>
    <w:rsid w:val="7D902913"/>
    <w:rsid w:val="7DA0067C"/>
    <w:rsid w:val="7DB7626F"/>
    <w:rsid w:val="7DD24CD9"/>
    <w:rsid w:val="7DDF73F6"/>
    <w:rsid w:val="7E064983"/>
    <w:rsid w:val="7E1626C8"/>
    <w:rsid w:val="7E3A462D"/>
    <w:rsid w:val="7E40364D"/>
    <w:rsid w:val="7E480907"/>
    <w:rsid w:val="7E4F1A1E"/>
    <w:rsid w:val="7E8603E1"/>
    <w:rsid w:val="7EC5039A"/>
    <w:rsid w:val="7F25708B"/>
    <w:rsid w:val="7F405C73"/>
    <w:rsid w:val="7F857B2A"/>
    <w:rsid w:val="7FBD328D"/>
    <w:rsid w:val="7FE231CE"/>
    <w:rsid w:val="7FFD5912"/>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paragraph" w:styleId="6">
    <w:name w:val="heading 4"/>
    <w:next w:val="1"/>
    <w:qFormat/>
    <w:uiPriority w:val="0"/>
    <w:pPr>
      <w:keepNext/>
      <w:keepLines/>
      <w:numPr>
        <w:ilvl w:val="3"/>
        <w:numId w:val="1"/>
      </w:numPr>
      <w:spacing w:before="120" w:beforeLines="0" w:after="100" w:afterLines="0" w:afterAutospacing="1" w:line="360" w:lineRule="auto"/>
      <w:ind w:left="864" w:right="-27" w:hanging="864" w:firstLineChars="0"/>
      <w:jc w:val="left"/>
      <w:outlineLvl w:val="3"/>
    </w:pPr>
    <w:rPr>
      <w:rFonts w:ascii="Times New Roman" w:hAnsi="Times New Roman" w:eastAsia="宋体" w:cs="Times New Roman"/>
      <w:b/>
      <w:bCs/>
      <w:sz w:val="21"/>
      <w:szCs w:val="28"/>
      <w:lang w:val="en-US" w:eastAsia="zh-CN" w:bidi="ar-SA"/>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2"/>
    <w:semiHidden/>
    <w:unhideWhenUsed/>
    <w:qFormat/>
    <w:uiPriority w:val="99"/>
    <w:pPr>
      <w:spacing w:after="120"/>
    </w:p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Plain Text"/>
    <w:basedOn w:val="1"/>
    <w:next w:val="6"/>
    <w:link w:val="50"/>
    <w:unhideWhenUsed/>
    <w:qFormat/>
    <w:uiPriority w:val="0"/>
    <w:rPr>
      <w:rFonts w:ascii="宋体" w:hAnsi="Courier New" w:cs="宋体"/>
      <w:sz w:val="20"/>
      <w:szCs w:val="20"/>
    </w:r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Date"/>
    <w:basedOn w:val="1"/>
    <w:next w:val="1"/>
    <w:link w:val="54"/>
    <w:semiHidden/>
    <w:unhideWhenUsed/>
    <w:qFormat/>
    <w:uiPriority w:val="99"/>
    <w:pPr>
      <w:ind w:left="100" w:leftChars="2500"/>
    </w:p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semiHidden/>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link w:val="57"/>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7">
    <w:name w:val="annotation subject"/>
    <w:basedOn w:val="9"/>
    <w:next w:val="9"/>
    <w:semiHidden/>
    <w:unhideWhenUsed/>
    <w:qFormat/>
    <w:uiPriority w:val="0"/>
    <w:rPr>
      <w:b/>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FollowedHyperlink"/>
    <w:basedOn w:val="30"/>
    <w:semiHidden/>
    <w:unhideWhenUsed/>
    <w:qFormat/>
    <w:uiPriority w:val="99"/>
    <w:rPr>
      <w:color w:val="800080"/>
      <w:u w:val="none"/>
    </w:rPr>
  </w:style>
  <w:style w:type="character" w:styleId="34">
    <w:name w:val="Hyperlink"/>
    <w:basedOn w:val="30"/>
    <w:unhideWhenUsed/>
    <w:qFormat/>
    <w:uiPriority w:val="99"/>
    <w:rPr>
      <w:color w:val="0000FF"/>
      <w:u w:val="single"/>
    </w:rPr>
  </w:style>
  <w:style w:type="character" w:styleId="35">
    <w:name w:val="annotation reference"/>
    <w:basedOn w:val="30"/>
    <w:semiHidden/>
    <w:unhideWhenUsed/>
    <w:qFormat/>
    <w:uiPriority w:val="0"/>
    <w:rPr>
      <w:sz w:val="21"/>
      <w:szCs w:val="21"/>
    </w:rPr>
  </w:style>
  <w:style w:type="character" w:styleId="36">
    <w:name w:val="footnote reference"/>
    <w:basedOn w:val="30"/>
    <w:semiHidden/>
    <w:unhideWhenUsed/>
    <w:qFormat/>
    <w:uiPriority w:val="0"/>
    <w:rPr>
      <w:vertAlign w:val="superscript"/>
    </w:rPr>
  </w:style>
  <w:style w:type="paragraph" w:styleId="37">
    <w:name w:val="List Paragraph"/>
    <w:basedOn w:val="1"/>
    <w:qFormat/>
    <w:uiPriority w:val="34"/>
    <w:pPr>
      <w:ind w:firstLine="200"/>
    </w:pPr>
    <w:rPr>
      <w:rFonts w:ascii="Calibri" w:hAnsi="Calibri"/>
    </w:rPr>
  </w:style>
  <w:style w:type="character" w:customStyle="1" w:styleId="38">
    <w:name w:val="正文文本 2 Char"/>
    <w:basedOn w:val="30"/>
    <w:qFormat/>
    <w:uiPriority w:val="0"/>
    <w:rPr>
      <w:rFonts w:ascii="Times New Roman" w:hAnsi="Times New Roman" w:eastAsia="宋体" w:cs="Times New Roman"/>
    </w:rPr>
  </w:style>
  <w:style w:type="character" w:customStyle="1" w:styleId="39">
    <w:name w:val="16"/>
    <w:basedOn w:val="30"/>
    <w:qFormat/>
    <w:uiPriority w:val="0"/>
    <w:rPr>
      <w:rFonts w:hint="default" w:ascii="Times New Roman" w:hAnsi="Times New Roman" w:cs="Times New Roman"/>
      <w:color w:val="0000FF"/>
      <w:u w:val="single"/>
    </w:rPr>
  </w:style>
  <w:style w:type="character" w:customStyle="1" w:styleId="40">
    <w:name w:val="15"/>
    <w:basedOn w:val="30"/>
    <w:qFormat/>
    <w:uiPriority w:val="0"/>
    <w:rPr>
      <w:rFonts w:hint="default" w:ascii="Times New Roman" w:hAnsi="Times New Roman" w:cs="Times New Roman"/>
      <w:color w:val="0000FF"/>
      <w:u w:val="single"/>
    </w:rPr>
  </w:style>
  <w:style w:type="character" w:customStyle="1" w:styleId="41">
    <w:name w:val="标题 3 Char"/>
    <w:qFormat/>
    <w:uiPriority w:val="0"/>
    <w:rPr>
      <w:b/>
      <w:sz w:val="24"/>
      <w:szCs w:val="24"/>
    </w:rPr>
  </w:style>
  <w:style w:type="character" w:customStyle="1" w:styleId="42">
    <w:name w:val="标题 2 Char"/>
    <w:qFormat/>
    <w:uiPriority w:val="8"/>
    <w:rPr>
      <w:rFonts w:ascii="Arial" w:hAnsi="Arial" w:eastAsia="黑体"/>
      <w:b/>
      <w:sz w:val="32"/>
      <w:szCs w:val="32"/>
    </w:rPr>
  </w:style>
  <w:style w:type="character" w:customStyle="1" w:styleId="43">
    <w:name w:val="批注框文本 Char"/>
    <w:basedOn w:val="30"/>
    <w:semiHidden/>
    <w:qFormat/>
    <w:uiPriority w:val="0"/>
    <w:rPr>
      <w:sz w:val="18"/>
      <w:szCs w:val="18"/>
    </w:rPr>
  </w:style>
  <w:style w:type="character" w:customStyle="1" w:styleId="44">
    <w:name w:val="批注文字 Char"/>
    <w:basedOn w:val="30"/>
    <w:semiHidden/>
    <w:qFormat/>
    <w:uiPriority w:val="0"/>
    <w:rPr>
      <w:sz w:val="21"/>
      <w:szCs w:val="21"/>
    </w:rPr>
  </w:style>
  <w:style w:type="character" w:customStyle="1" w:styleId="45">
    <w:name w:val="批注主题 Char"/>
    <w:basedOn w:val="44"/>
    <w:semiHidden/>
    <w:qFormat/>
    <w:uiPriority w:val="0"/>
    <w:rPr>
      <w:b/>
      <w:sz w:val="21"/>
      <w:szCs w:val="21"/>
    </w:rPr>
  </w:style>
  <w:style w:type="character" w:customStyle="1" w:styleId="46">
    <w:name w:val="文档结构图 Char"/>
    <w:basedOn w:val="30"/>
    <w:semiHidden/>
    <w:qFormat/>
    <w:uiPriority w:val="0"/>
    <w:rPr>
      <w:rFonts w:ascii="宋体"/>
      <w:sz w:val="18"/>
      <w:szCs w:val="18"/>
    </w:rPr>
  </w:style>
  <w:style w:type="character" w:customStyle="1" w:styleId="47">
    <w:name w:val="页脚 Char"/>
    <w:qFormat/>
    <w:uiPriority w:val="99"/>
    <w:rPr>
      <w:sz w:val="18"/>
      <w:szCs w:val="18"/>
    </w:rPr>
  </w:style>
  <w:style w:type="character" w:customStyle="1" w:styleId="48">
    <w:name w:val="脚注文本 Char"/>
    <w:basedOn w:val="30"/>
    <w:semiHidden/>
    <w:qFormat/>
    <w:uiPriority w:val="0"/>
    <w:rPr>
      <w:sz w:val="18"/>
      <w:szCs w:val="18"/>
    </w:rPr>
  </w:style>
  <w:style w:type="paragraph" w:customStyle="1" w:styleId="49">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0">
    <w:name w:val="纯文本 Char"/>
    <w:link w:val="12"/>
    <w:qFormat/>
    <w:locked/>
    <w:uiPriority w:val="0"/>
    <w:rPr>
      <w:rFonts w:ascii="宋体" w:hAnsi="Courier New" w:cs="宋体"/>
    </w:rPr>
  </w:style>
  <w:style w:type="paragraph" w:customStyle="1" w:styleId="51">
    <w:name w:val="修订1"/>
    <w:hidden/>
    <w:semiHidden/>
    <w:qFormat/>
    <w:uiPriority w:val="99"/>
    <w:rPr>
      <w:rFonts w:ascii="Times New Roman" w:hAnsi="Times New Roman" w:eastAsia="宋体" w:cs="Times New Roman"/>
      <w:sz w:val="21"/>
      <w:szCs w:val="21"/>
      <w:lang w:val="en-US" w:eastAsia="zh-CN" w:bidi="ar-SA"/>
    </w:rPr>
  </w:style>
  <w:style w:type="character" w:customStyle="1" w:styleId="52">
    <w:name w:val="正文文本 Char"/>
    <w:basedOn w:val="30"/>
    <w:link w:val="2"/>
    <w:semiHidden/>
    <w:qFormat/>
    <w:uiPriority w:val="99"/>
    <w:rPr>
      <w:sz w:val="21"/>
      <w:szCs w:val="21"/>
    </w:rPr>
  </w:style>
  <w:style w:type="paragraph" w:customStyle="1" w:styleId="53">
    <w:name w:val="Revision"/>
    <w:hidden/>
    <w:unhideWhenUsed/>
    <w:qFormat/>
    <w:uiPriority w:val="99"/>
    <w:rPr>
      <w:rFonts w:ascii="Times New Roman" w:hAnsi="Times New Roman" w:eastAsia="宋体" w:cs="Times New Roman"/>
      <w:sz w:val="21"/>
      <w:szCs w:val="21"/>
      <w:lang w:val="en-US" w:eastAsia="zh-CN" w:bidi="ar-SA"/>
    </w:rPr>
  </w:style>
  <w:style w:type="character" w:customStyle="1" w:styleId="54">
    <w:name w:val="日期 Char"/>
    <w:basedOn w:val="30"/>
    <w:link w:val="14"/>
    <w:semiHidden/>
    <w:qFormat/>
    <w:uiPriority w:val="99"/>
    <w:rPr>
      <w:sz w:val="21"/>
      <w:szCs w:val="21"/>
    </w:rPr>
  </w:style>
  <w:style w:type="paragraph" w:customStyle="1" w:styleId="55">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56">
    <w:name w:val="TOC Heading"/>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7">
    <w:name w:val="正文文本缩进 3 Char"/>
    <w:basedOn w:val="30"/>
    <w:link w:val="22"/>
    <w:qFormat/>
    <w:uiPriority w:val="0"/>
    <w:rPr>
      <w:sz w:val="16"/>
      <w:szCs w:val="16"/>
    </w:rPr>
  </w:style>
  <w:style w:type="character" w:customStyle="1" w:styleId="58">
    <w:name w:val="font01"/>
    <w:basedOn w:val="30"/>
    <w:qFormat/>
    <w:uiPriority w:val="0"/>
    <w:rPr>
      <w:rFonts w:hint="eastAsia" w:ascii="宋体" w:hAnsi="宋体" w:eastAsia="宋体" w:cs="宋体"/>
      <w:color w:val="000000"/>
      <w:sz w:val="22"/>
      <w:szCs w:val="22"/>
      <w:u w:val="none"/>
    </w:rPr>
  </w:style>
  <w:style w:type="character" w:customStyle="1" w:styleId="59">
    <w:name w:val="font41"/>
    <w:basedOn w:val="30"/>
    <w:qFormat/>
    <w:uiPriority w:val="0"/>
    <w:rPr>
      <w:rFonts w:hint="eastAsia" w:ascii="宋体" w:hAnsi="宋体" w:eastAsia="宋体" w:cs="宋体"/>
      <w:b/>
      <w:bCs/>
      <w:color w:val="000000"/>
      <w:sz w:val="22"/>
      <w:szCs w:val="22"/>
      <w:u w:val="none"/>
    </w:rPr>
  </w:style>
  <w:style w:type="character" w:customStyle="1" w:styleId="60">
    <w:name w:val="font31"/>
    <w:basedOn w:val="30"/>
    <w:qFormat/>
    <w:uiPriority w:val="0"/>
    <w:rPr>
      <w:rFonts w:ascii="Calibri" w:hAnsi="Calibri" w:cs="Calibri"/>
      <w:color w:val="000000"/>
      <w:sz w:val="22"/>
      <w:szCs w:val="22"/>
      <w:u w:val="none"/>
    </w:rPr>
  </w:style>
  <w:style w:type="character" w:customStyle="1" w:styleId="61">
    <w:name w:val="font11"/>
    <w:basedOn w:val="30"/>
    <w:qFormat/>
    <w:uiPriority w:val="0"/>
    <w:rPr>
      <w:rFonts w:ascii="Calibri" w:hAnsi="Calibri" w:cs="Calibri"/>
      <w:color w:val="000000"/>
      <w:sz w:val="22"/>
      <w:szCs w:val="22"/>
      <w:u w:val="none"/>
    </w:rPr>
  </w:style>
  <w:style w:type="table" w:customStyle="1" w:styleId="62">
    <w:name w:val="网格型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image" Target="media/image3.jpeg"/><Relationship Id="rId17" Type="http://schemas.openxmlformats.org/officeDocument/2006/relationships/image" Target="media/image2.pn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E71F15-7C19-4332-9FD5-2867706C603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105</Pages>
  <Words>54892</Words>
  <Characters>59338</Characters>
  <Lines>815</Lines>
  <Paragraphs>955</Paragraphs>
  <TotalTime>2</TotalTime>
  <ScaleCrop>false</ScaleCrop>
  <LinksUpToDate>false</LinksUpToDate>
  <CharactersWithSpaces>60507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Z</cp:lastModifiedBy>
  <cp:lastPrinted>2022-08-30T03:03:00Z</cp:lastPrinted>
  <dcterms:modified xsi:type="dcterms:W3CDTF">2022-10-20T01:06:19Z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0177C4672F464335B5170C7E43C17ECA</vt:lpwstr>
  </property>
</Properties>
</file>