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highlight w:val="none"/>
        </w:rPr>
      </w:pPr>
    </w:p>
    <w:p>
      <w:pPr>
        <w:pStyle w:val="28"/>
        <w:spacing w:before="0"/>
        <w:ind w:right="0" w:firstLine="0"/>
        <w:jc w:val="center"/>
        <w:rPr>
          <w:rFonts w:ascii="宋体" w:hAnsi="宋体"/>
          <w:b/>
          <w:spacing w:val="-4"/>
          <w:sz w:val="44"/>
          <w:szCs w:val="44"/>
          <w:highlight w:val="none"/>
        </w:rPr>
      </w:pPr>
      <w:r>
        <w:rPr>
          <w:rFonts w:hint="eastAsia" w:ascii="宋体" w:hAnsi="宋体"/>
          <w:b/>
          <w:spacing w:val="-4"/>
          <w:sz w:val="44"/>
          <w:szCs w:val="44"/>
          <w:highlight w:val="none"/>
          <w:lang w:val="zh-CN"/>
        </w:rPr>
        <w:t>轨道御水上寓、剧场公寓、南宁市心圩车辆段配套租赁用房（一期）、御水江岸项目第三方工程质量安全评估采购</w:t>
      </w:r>
    </w:p>
    <w:p>
      <w:pPr>
        <w:pStyle w:val="28"/>
        <w:spacing w:before="0"/>
        <w:ind w:right="-57" w:firstLine="0"/>
        <w:jc w:val="center"/>
        <w:rPr>
          <w:rFonts w:ascii="宋体" w:hAnsi="宋体"/>
          <w:b/>
          <w:spacing w:val="-4"/>
          <w:sz w:val="44"/>
          <w:szCs w:val="44"/>
          <w:highlight w:val="none"/>
        </w:rPr>
      </w:pPr>
    </w:p>
    <w:p>
      <w:pPr>
        <w:spacing w:before="0"/>
        <w:ind w:right="-57" w:firstLine="0"/>
        <w:jc w:val="center"/>
        <w:rPr>
          <w:rFonts w:ascii="宋体" w:hAnsi="宋体"/>
          <w:sz w:val="72"/>
          <w:szCs w:val="72"/>
          <w:highlight w:val="none"/>
        </w:rPr>
      </w:pPr>
      <w:r>
        <w:rPr>
          <w:rFonts w:hint="eastAsia" w:ascii="宋体" w:hAnsi="宋体"/>
          <w:sz w:val="72"/>
          <w:szCs w:val="72"/>
          <w:highlight w:val="none"/>
        </w:rPr>
        <w:t>比选</w:t>
      </w:r>
      <w:r>
        <w:rPr>
          <w:rFonts w:ascii="宋体" w:hAnsi="宋体"/>
          <w:sz w:val="72"/>
          <w:szCs w:val="72"/>
          <w:highlight w:val="none"/>
        </w:rPr>
        <w:t>文件</w:t>
      </w:r>
    </w:p>
    <w:p>
      <w:pPr>
        <w:spacing w:before="720"/>
        <w:ind w:left="1801" w:right="-57" w:hanging="180"/>
        <w:rPr>
          <w:rFonts w:ascii="宋体" w:hAnsi="宋体"/>
          <w:b/>
          <w:sz w:val="32"/>
          <w:szCs w:val="32"/>
          <w:highlight w:val="none"/>
        </w:rPr>
      </w:pPr>
    </w:p>
    <w:p>
      <w:pPr>
        <w:spacing w:before="0"/>
        <w:ind w:left="0" w:right="-57" w:firstLine="0"/>
        <w:rPr>
          <w:rFonts w:ascii="宋体" w:hAnsi="宋体"/>
          <w:highlight w:val="none"/>
        </w:rPr>
      </w:pPr>
    </w:p>
    <w:p>
      <w:pPr>
        <w:spacing w:before="0"/>
        <w:ind w:left="1801" w:right="-57" w:hanging="180"/>
        <w:rPr>
          <w:rFonts w:ascii="宋体" w:hAnsi="宋体"/>
          <w:sz w:val="30"/>
          <w:szCs w:val="30"/>
          <w:highlight w:val="none"/>
        </w:rPr>
      </w:pPr>
      <w:r>
        <w:rPr>
          <w:rFonts w:ascii="宋体" w:hAnsi="宋体"/>
          <w:b/>
          <w:sz w:val="32"/>
          <w:szCs w:val="32"/>
          <w:highlight w:val="none"/>
        </w:rPr>
        <w:t>比选人：</w:t>
      </w:r>
      <w:r>
        <w:rPr>
          <w:rFonts w:hint="eastAsia" w:ascii="宋体" w:hAnsi="宋体"/>
          <w:b/>
          <w:sz w:val="32"/>
          <w:szCs w:val="32"/>
          <w:highlight w:val="none"/>
          <w:u w:val="single"/>
        </w:rPr>
        <w:t>南宁轨道交通集团有限责任公司</w:t>
      </w:r>
    </w:p>
    <w:p>
      <w:pPr>
        <w:spacing w:before="0"/>
        <w:ind w:right="-57" w:firstLine="0"/>
        <w:jc w:val="center"/>
        <w:rPr>
          <w:rFonts w:ascii="宋体" w:hAnsi="宋体"/>
          <w:highlight w:val="none"/>
        </w:rPr>
      </w:pPr>
      <w:r>
        <w:rPr>
          <w:rFonts w:hint="eastAsia" w:ascii="宋体" w:hAnsi="宋体"/>
          <w:b/>
          <w:sz w:val="36"/>
          <w:szCs w:val="36"/>
          <w:highlight w:val="none"/>
        </w:rPr>
        <w:t>2022</w:t>
      </w:r>
      <w:r>
        <w:rPr>
          <w:rFonts w:ascii="宋体" w:hAnsi="宋体"/>
          <w:b/>
          <w:sz w:val="36"/>
          <w:szCs w:val="36"/>
          <w:highlight w:val="none"/>
        </w:rPr>
        <w:t>年</w:t>
      </w:r>
      <w:r>
        <w:rPr>
          <w:rFonts w:hint="eastAsia" w:ascii="宋体" w:hAnsi="宋体"/>
          <w:b/>
          <w:sz w:val="36"/>
          <w:szCs w:val="36"/>
          <w:highlight w:val="none"/>
          <w:lang w:val="en-US" w:eastAsia="zh-CN"/>
        </w:rPr>
        <w:t>11</w:t>
      </w:r>
      <w:r>
        <w:rPr>
          <w:rFonts w:ascii="宋体" w:hAnsi="宋体"/>
          <w:b/>
          <w:sz w:val="36"/>
          <w:szCs w:val="36"/>
          <w:highlight w:val="none"/>
        </w:rPr>
        <w:t>月</w:t>
      </w:r>
    </w:p>
    <w:p>
      <w:pPr>
        <w:spacing w:before="0"/>
        <w:ind w:right="-57" w:firstLine="0"/>
        <w:jc w:val="center"/>
        <w:rPr>
          <w:rFonts w:ascii="宋体" w:hAnsi="宋体" w:cs="宋体"/>
          <w:b/>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spacing w:before="0" w:after="0" w:afterAutospacing="0"/>
        <w:ind w:left="0" w:right="0" w:firstLine="0"/>
        <w:rPr>
          <w:rFonts w:ascii="宋体" w:hAnsi="宋体"/>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56"/>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21"/>
            <w:tabs>
              <w:tab w:val="right" w:leader="dot" w:pos="9061"/>
            </w:tabs>
            <w:rPr>
              <w:rFonts w:asciiTheme="minorHAnsi" w:hAnsiTheme="minorHAnsi" w:eastAsiaTheme="minorEastAsia" w:cstheme="minorBidi"/>
              <w:kern w:val="2"/>
              <w:szCs w:val="22"/>
              <w:highlight w:val="none"/>
            </w:rPr>
          </w:pPr>
          <w:r>
            <w:rPr>
              <w:rFonts w:ascii="宋体" w:hAnsi="宋体"/>
              <w:highlight w:val="none"/>
            </w:rPr>
            <w:fldChar w:fldCharType="begin"/>
          </w:r>
          <w:r>
            <w:rPr>
              <w:rFonts w:ascii="宋体" w:hAnsi="宋体"/>
              <w:highlight w:val="none"/>
            </w:rPr>
            <w:instrText xml:space="preserve"> TOC \o "1-3" \h \z \u </w:instrText>
          </w:r>
          <w:r>
            <w:rPr>
              <w:rFonts w:ascii="宋体" w:hAnsi="宋体"/>
              <w:highlight w:val="none"/>
            </w:rPr>
            <w:fldChar w:fldCharType="separate"/>
          </w:r>
          <w:r>
            <w:rPr>
              <w:highlight w:val="none"/>
            </w:rPr>
            <w:fldChar w:fldCharType="begin"/>
          </w:r>
          <w:r>
            <w:rPr>
              <w:highlight w:val="none"/>
            </w:rPr>
            <w:instrText xml:space="preserve"> HYPERLINK \l "_Toc114134605" </w:instrText>
          </w:r>
          <w:r>
            <w:rPr>
              <w:highlight w:val="none"/>
            </w:rPr>
            <w:fldChar w:fldCharType="separate"/>
          </w:r>
          <w:r>
            <w:rPr>
              <w:rStyle w:val="38"/>
              <w:rFonts w:hint="eastAsia" w:hAnsi="宋体"/>
              <w:b/>
              <w:highlight w:val="none"/>
            </w:rPr>
            <w:t>第一章比选公告</w:t>
          </w:r>
          <w:r>
            <w:rPr>
              <w:highlight w:val="none"/>
            </w:rPr>
            <w:tab/>
          </w:r>
          <w:r>
            <w:rPr>
              <w:highlight w:val="none"/>
            </w:rPr>
            <w:fldChar w:fldCharType="begin"/>
          </w:r>
          <w:r>
            <w:rPr>
              <w:highlight w:val="none"/>
            </w:rPr>
            <w:instrText xml:space="preserve"> PAGEREF _Toc114134605 \h </w:instrText>
          </w:r>
          <w:r>
            <w:rPr>
              <w:highlight w:val="none"/>
            </w:rPr>
            <w:fldChar w:fldCharType="separate"/>
          </w:r>
          <w:r>
            <w:rPr>
              <w:highlight w:val="none"/>
            </w:rPr>
            <w:t>7</w:t>
          </w:r>
          <w:r>
            <w:rPr>
              <w:highlight w:val="none"/>
            </w:rPr>
            <w:fldChar w:fldCharType="end"/>
          </w:r>
          <w:r>
            <w:rPr>
              <w:highlight w:val="none"/>
            </w:rPr>
            <w:fldChar w:fldCharType="end"/>
          </w:r>
        </w:p>
        <w:p>
          <w:pPr>
            <w:pStyle w:val="2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"_Toc114134606" </w:instrText>
          </w:r>
          <w:r>
            <w:rPr>
              <w:highlight w:val="none"/>
            </w:rPr>
            <w:fldChar w:fldCharType="separate"/>
          </w:r>
          <w:r>
            <w:rPr>
              <w:rStyle w:val="38"/>
              <w:rFonts w:hint="eastAsia" w:hAnsi="宋体"/>
              <w:b/>
              <w:highlight w:val="none"/>
            </w:rPr>
            <w:t>第二章比选申请须知</w:t>
          </w:r>
          <w:r>
            <w:rPr>
              <w:highlight w:val="none"/>
            </w:rPr>
            <w:tab/>
          </w:r>
          <w:r>
            <w:rPr>
              <w:highlight w:val="none"/>
            </w:rPr>
            <w:fldChar w:fldCharType="begin"/>
          </w:r>
          <w:r>
            <w:rPr>
              <w:highlight w:val="none"/>
            </w:rPr>
            <w:instrText xml:space="preserve"> PAGEREF _Toc114134606 \h </w:instrText>
          </w:r>
          <w:r>
            <w:rPr>
              <w:highlight w:val="none"/>
            </w:rPr>
            <w:fldChar w:fldCharType="separate"/>
          </w:r>
          <w:r>
            <w:rPr>
              <w:highlight w:val="none"/>
            </w:rPr>
            <w:t>9</w:t>
          </w:r>
          <w:r>
            <w:rPr>
              <w:highlight w:val="none"/>
            </w:rPr>
            <w:fldChar w:fldCharType="end"/>
          </w:r>
          <w:r>
            <w:rPr>
              <w:highlight w:val="none"/>
            </w:rPr>
            <w:fldChar w:fldCharType="end"/>
          </w:r>
        </w:p>
        <w:p>
          <w:pPr>
            <w:pStyle w:val="2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"_Toc114134648" </w:instrText>
          </w:r>
          <w:r>
            <w:rPr>
              <w:highlight w:val="none"/>
            </w:rPr>
            <w:fldChar w:fldCharType="separate"/>
          </w:r>
          <w:r>
            <w:rPr>
              <w:rStyle w:val="38"/>
              <w:rFonts w:hint="eastAsia" w:hAnsi="宋体"/>
              <w:b/>
              <w:highlight w:val="none"/>
            </w:rPr>
            <w:t>第三章合同条款及格式</w:t>
          </w:r>
          <w:r>
            <w:rPr>
              <w:highlight w:val="none"/>
            </w:rPr>
            <w:tab/>
          </w:r>
          <w:r>
            <w:rPr>
              <w:highlight w:val="none"/>
            </w:rPr>
            <w:fldChar w:fldCharType="begin"/>
          </w:r>
          <w:r>
            <w:rPr>
              <w:highlight w:val="none"/>
            </w:rPr>
            <w:instrText xml:space="preserve"> PAGEREF _Toc114134648 \h </w:instrText>
          </w:r>
          <w:r>
            <w:rPr>
              <w:highlight w:val="none"/>
            </w:rPr>
            <w:fldChar w:fldCharType="separate"/>
          </w:r>
          <w:r>
            <w:rPr>
              <w:highlight w:val="none"/>
            </w:rPr>
            <w:t>24</w:t>
          </w:r>
          <w:r>
            <w:rPr>
              <w:highlight w:val="none"/>
            </w:rPr>
            <w:fldChar w:fldCharType="end"/>
          </w:r>
          <w:r>
            <w:rPr>
              <w:highlight w:val="none"/>
            </w:rPr>
            <w:fldChar w:fldCharType="end"/>
          </w:r>
        </w:p>
        <w:p>
          <w:pPr>
            <w:pStyle w:val="2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"_Toc114134661" </w:instrText>
          </w:r>
          <w:r>
            <w:rPr>
              <w:highlight w:val="none"/>
            </w:rPr>
            <w:fldChar w:fldCharType="separate"/>
          </w:r>
          <w:r>
            <w:rPr>
              <w:rStyle w:val="38"/>
              <w:rFonts w:hint="eastAsia" w:ascii="宋体" w:hAnsi="宋体"/>
              <w:b/>
              <w:highlight w:val="none"/>
            </w:rPr>
            <w:t>第四章比选申请文件格式</w:t>
          </w:r>
          <w:r>
            <w:rPr>
              <w:highlight w:val="none"/>
            </w:rPr>
            <w:tab/>
          </w:r>
          <w:r>
            <w:rPr>
              <w:highlight w:val="none"/>
            </w:rPr>
            <w:fldChar w:fldCharType="begin"/>
          </w:r>
          <w:r>
            <w:rPr>
              <w:highlight w:val="none"/>
            </w:rPr>
            <w:instrText xml:space="preserve"> PAGEREF _Toc114134661 \h </w:instrText>
          </w:r>
          <w:r>
            <w:rPr>
              <w:highlight w:val="none"/>
            </w:rPr>
            <w:fldChar w:fldCharType="separate"/>
          </w:r>
          <w:r>
            <w:rPr>
              <w:highlight w:val="none"/>
            </w:rPr>
            <w:t>81</w:t>
          </w:r>
          <w:r>
            <w:rPr>
              <w:highlight w:val="none"/>
            </w:rPr>
            <w:fldChar w:fldCharType="end"/>
          </w:r>
          <w:r>
            <w:rPr>
              <w:highlight w:val="none"/>
            </w:rPr>
            <w:fldChar w:fldCharType="end"/>
          </w:r>
        </w:p>
        <w:p>
          <w:pPr>
            <w:pStyle w:val="2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"_Toc114134675" </w:instrText>
          </w:r>
          <w:r>
            <w:rPr>
              <w:highlight w:val="none"/>
            </w:rPr>
            <w:fldChar w:fldCharType="separate"/>
          </w:r>
          <w:r>
            <w:rPr>
              <w:rStyle w:val="38"/>
              <w:rFonts w:hint="eastAsia" w:ascii="黑体" w:hAnsi="黑体"/>
              <w:b/>
              <w:highlight w:val="none"/>
            </w:rPr>
            <w:t>第五章发包人要求</w:t>
          </w:r>
          <w:r>
            <w:rPr>
              <w:highlight w:val="none"/>
            </w:rPr>
            <w:tab/>
          </w:r>
          <w:r>
            <w:rPr>
              <w:highlight w:val="none"/>
            </w:rPr>
            <w:fldChar w:fldCharType="begin"/>
          </w:r>
          <w:r>
            <w:rPr>
              <w:highlight w:val="none"/>
            </w:rPr>
            <w:instrText xml:space="preserve"> PAGEREF _Toc114134675 \h </w:instrText>
          </w:r>
          <w:r>
            <w:rPr>
              <w:highlight w:val="none"/>
            </w:rPr>
            <w:fldChar w:fldCharType="separate"/>
          </w:r>
          <w:r>
            <w:rPr>
              <w:highlight w:val="none"/>
            </w:rPr>
            <w:t>99</w:t>
          </w:r>
          <w:r>
            <w:rPr>
              <w:highlight w:val="none"/>
            </w:rPr>
            <w:fldChar w:fldCharType="end"/>
          </w:r>
          <w:r>
            <w:rPr>
              <w:highlight w:val="none"/>
            </w:rPr>
            <w:fldChar w:fldCharType="end"/>
          </w:r>
        </w:p>
        <w:p>
          <w:pPr>
            <w:pStyle w:val="2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"_Toc114134683" </w:instrText>
          </w:r>
          <w:r>
            <w:rPr>
              <w:highlight w:val="none"/>
            </w:rPr>
            <w:fldChar w:fldCharType="separate"/>
          </w:r>
          <w:r>
            <w:rPr>
              <w:rStyle w:val="38"/>
              <w:rFonts w:hint="eastAsia" w:hAnsi="宋体"/>
              <w:b/>
              <w:highlight w:val="none"/>
            </w:rPr>
            <w:t>第六章评分办法</w:t>
          </w:r>
          <w:r>
            <w:rPr>
              <w:highlight w:val="none"/>
            </w:rPr>
            <w:tab/>
          </w:r>
          <w:r>
            <w:rPr>
              <w:highlight w:val="none"/>
            </w:rPr>
            <w:fldChar w:fldCharType="begin"/>
          </w:r>
          <w:r>
            <w:rPr>
              <w:highlight w:val="none"/>
            </w:rPr>
            <w:instrText xml:space="preserve"> PAGEREF _Toc114134683 \h </w:instrText>
          </w:r>
          <w:r>
            <w:rPr>
              <w:highlight w:val="none"/>
            </w:rPr>
            <w:fldChar w:fldCharType="separate"/>
          </w:r>
          <w:r>
            <w:rPr>
              <w:highlight w:val="none"/>
            </w:rPr>
            <w:t>110</w:t>
          </w:r>
          <w:r>
            <w:rPr>
              <w:highlight w:val="none"/>
            </w:rPr>
            <w:fldChar w:fldCharType="end"/>
          </w:r>
          <w:r>
            <w:rPr>
              <w:highlight w:val="none"/>
            </w:rPr>
            <w:fldChar w:fldCharType="end"/>
          </w:r>
        </w:p>
        <w:p>
          <w:pPr>
            <w:pStyle w:val="26"/>
            <w:tabs>
              <w:tab w:val="right" w:leader="dot" w:pos="9061"/>
            </w:tabs>
            <w:spacing w:line="240" w:lineRule="auto"/>
            <w:ind w:left="0"/>
            <w:rPr>
              <w:rFonts w:ascii="宋体" w:hAnsi="宋体"/>
              <w:highlight w:val="none"/>
            </w:rPr>
          </w:pPr>
          <w:r>
            <w:rPr>
              <w:rFonts w:ascii="宋体" w:hAnsi="宋体"/>
              <w:b/>
              <w:bCs/>
              <w:highlight w:val="none"/>
              <w:lang w:val="zh-CN"/>
            </w:rPr>
            <w:fldChar w:fldCharType="end"/>
          </w:r>
        </w:p>
      </w:sdtContent>
    </w:sdt>
    <w:p>
      <w:pPr>
        <w:rPr>
          <w:rStyle w:val="49"/>
          <w:rFonts w:ascii="宋体" w:hAnsi="宋体" w:eastAsia="宋体"/>
          <w:highlight w:val="none"/>
        </w:rPr>
      </w:pPr>
      <w:bookmarkStart w:id="0" w:name="_Toc3658"/>
      <w:bookmarkStart w:id="1" w:name="_Toc25355"/>
      <w:bookmarkStart w:id="2" w:name="_Toc23476"/>
      <w:bookmarkStart w:id="3" w:name="_Toc26620"/>
      <w:bookmarkStart w:id="4" w:name="_Toc481"/>
      <w:bookmarkStart w:id="5" w:name="_Toc1363"/>
      <w:bookmarkStart w:id="6" w:name="_Toc14762"/>
      <w:bookmarkStart w:id="7" w:name="_Toc23367"/>
      <w:bookmarkStart w:id="8" w:name="_Toc30647"/>
      <w:bookmarkStart w:id="9" w:name="_Toc1227"/>
      <w:bookmarkStart w:id="10" w:name="_Toc15211"/>
      <w:bookmarkStart w:id="11" w:name="_Toc26939"/>
      <w:bookmarkStart w:id="12" w:name="_Toc5910"/>
      <w:bookmarkStart w:id="13" w:name="_Toc17906"/>
      <w:bookmarkStart w:id="14" w:name="_Toc26192"/>
      <w:bookmarkStart w:id="15" w:name="_Toc237"/>
      <w:bookmarkStart w:id="16" w:name="_Toc375039061"/>
      <w:bookmarkStart w:id="17" w:name="_Toc492478714"/>
      <w:bookmarkStart w:id="18" w:name="_Toc3400"/>
      <w:r>
        <w:rPr>
          <w:rStyle w:val="49"/>
          <w:rFonts w:hint="eastAsia" w:ascii="宋体" w:hAnsi="宋体" w:eastAsia="宋体"/>
          <w:highlight w:val="none"/>
        </w:rPr>
        <w:br w:type="page"/>
      </w:r>
    </w:p>
    <w:p>
      <w:pPr>
        <w:pStyle w:val="15"/>
        <w:pageBreakBefore/>
        <w:ind w:right="-57"/>
        <w:outlineLvl w:val="0"/>
        <w:rPr>
          <w:rStyle w:val="49"/>
          <w:rFonts w:ascii="宋体" w:hAnsi="宋体" w:eastAsia="宋体"/>
          <w:highlight w:val="none"/>
        </w:rPr>
        <w:sectPr>
          <w:footerReference r:id="rId7" w:type="default"/>
          <w:pgSz w:w="11905" w:h="16838"/>
          <w:pgMar w:top="1417" w:right="1417" w:bottom="1417" w:left="1417" w:header="454" w:footer="567" w:gutter="0"/>
          <w:cols w:space="720" w:num="1"/>
          <w:docGrid w:linePitch="312" w:charSpace="0"/>
        </w:sectPr>
      </w:pPr>
    </w:p>
    <w:p>
      <w:pPr>
        <w:pStyle w:val="15"/>
        <w:pageBreakBefore/>
        <w:ind w:right="-57"/>
        <w:jc w:val="center"/>
        <w:outlineLvl w:val="0"/>
        <w:rPr>
          <w:rStyle w:val="49"/>
          <w:rFonts w:ascii="宋体" w:hAnsi="宋体" w:eastAsia="宋体"/>
          <w:highlight w:val="none"/>
        </w:rPr>
      </w:pPr>
      <w:bookmarkStart w:id="19" w:name="_Toc114134605"/>
      <w:r>
        <w:rPr>
          <w:rStyle w:val="49"/>
          <w:rFonts w:hint="eastAsia" w:ascii="宋体" w:hAnsi="宋体" w:eastAsia="宋体"/>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sz w:val="28"/>
          <w:szCs w:val="28"/>
          <w:highlight w:val="none"/>
        </w:rPr>
      </w:pPr>
      <w:r>
        <w:rPr>
          <w:rFonts w:hint="eastAsia" w:ascii="宋体" w:hAnsi="宋体"/>
          <w:b/>
          <w:sz w:val="28"/>
          <w:szCs w:val="28"/>
          <w:highlight w:val="none"/>
          <w:lang w:val="zh-CN"/>
        </w:rPr>
        <w:t>轨道御水上寓、剧场公寓、南宁市心圩车辆段配套租赁用房（一期）、御水江岸项目第三方工程质量安全评估采购</w:t>
      </w:r>
      <w:r>
        <w:rPr>
          <w:rFonts w:hint="eastAsia" w:ascii="宋体" w:hAnsi="宋体"/>
          <w:b/>
          <w:sz w:val="28"/>
          <w:szCs w:val="28"/>
          <w:highlight w:val="none"/>
        </w:rPr>
        <w:t>比选公告</w:t>
      </w:r>
    </w:p>
    <w:p>
      <w:pPr>
        <w:spacing w:before="0" w:after="0" w:afterAutospacing="0"/>
        <w:ind w:left="0" w:right="0" w:firstLine="422" w:firstLineChars="200"/>
        <w:rPr>
          <w:rFonts w:ascii="宋体" w:hAnsi="宋体"/>
          <w:b/>
          <w:highlight w:val="none"/>
        </w:rPr>
      </w:pPr>
      <w:bookmarkStart w:id="20" w:name="OLE_LINK4"/>
      <w:bookmarkEnd w:id="20"/>
      <w:r>
        <w:rPr>
          <w:rFonts w:hint="eastAsia" w:ascii="宋体" w:hAnsi="宋体"/>
          <w:b/>
          <w:highlight w:val="none"/>
        </w:rPr>
        <w:t>1.比选条件</w:t>
      </w:r>
    </w:p>
    <w:p>
      <w:pPr>
        <w:spacing w:before="0" w:after="0" w:afterAutospacing="0"/>
        <w:ind w:left="0" w:right="0" w:firstLine="420" w:firstLineChars="200"/>
        <w:rPr>
          <w:rFonts w:ascii="宋体" w:hAnsi="宋体"/>
          <w:highlight w:val="none"/>
        </w:rPr>
      </w:pPr>
      <w:r>
        <w:rPr>
          <w:rFonts w:hint="eastAsia" w:ascii="宋体" w:hAnsi="宋体"/>
          <w:highlight w:val="none"/>
        </w:rPr>
        <w:t>本比选项目</w:t>
      </w:r>
      <w:r>
        <w:rPr>
          <w:rFonts w:hint="eastAsia" w:ascii="宋体" w:hAnsi="宋体"/>
          <w:highlight w:val="none"/>
          <w:u w:val="single"/>
          <w:lang w:val="zh-CN"/>
        </w:rPr>
        <w:t>轨道御水上寓、剧场公寓、南宁市心圩车辆段配套租赁用房（一期）、御水江岸项目第三方工程质量安全评估采购</w:t>
      </w:r>
      <w:r>
        <w:rPr>
          <w:rFonts w:hint="eastAsia" w:ascii="宋体" w:hAnsi="宋体"/>
          <w:highlight w:val="none"/>
        </w:rPr>
        <w:t>比选人为</w:t>
      </w:r>
      <w:r>
        <w:rPr>
          <w:rFonts w:hint="eastAsia" w:ascii="宋体" w:hAnsi="宋体"/>
          <w:highlight w:val="none"/>
          <w:u w:val="single"/>
        </w:rPr>
        <w:t>南宁轨道交通集团有限责任公司</w:t>
      </w:r>
      <w:r>
        <w:rPr>
          <w:rFonts w:hint="eastAsia" w:ascii="宋体" w:hAnsi="宋体"/>
          <w:highlight w:val="none"/>
        </w:rPr>
        <w:t>，比选项目资金来源为企业自有资金。</w:t>
      </w:r>
    </w:p>
    <w:p>
      <w:pPr>
        <w:spacing w:before="0" w:after="0" w:afterAutospacing="0"/>
        <w:ind w:left="0" w:right="0" w:firstLine="422" w:firstLineChars="200"/>
        <w:rPr>
          <w:rFonts w:ascii="宋体" w:hAnsi="宋体"/>
          <w:b/>
          <w:highlight w:val="none"/>
        </w:rPr>
      </w:pPr>
      <w:r>
        <w:rPr>
          <w:rFonts w:hint="eastAsia" w:ascii="宋体" w:hAnsi="宋体"/>
          <w:b/>
          <w:highlight w:val="none"/>
        </w:rPr>
        <w:t>2.项目概况与比选范围</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项目名称：</w:t>
      </w:r>
      <w:r>
        <w:rPr>
          <w:rFonts w:hint="eastAsia" w:ascii="宋体" w:hAnsi="宋体"/>
          <w:highlight w:val="none"/>
          <w:u w:val="single"/>
        </w:rPr>
        <w:t>轨道御水上寓、剧场公寓、南宁市心圩车辆段配套租赁用房（一期）、御水江岸项目第三方工程质量安全评估采购</w:t>
      </w:r>
    </w:p>
    <w:p>
      <w:pPr>
        <w:spacing w:before="0" w:after="0" w:afterAutospacing="0"/>
        <w:ind w:left="0" w:right="0" w:firstLine="420" w:firstLineChars="200"/>
        <w:rPr>
          <w:rFonts w:ascii="宋体" w:hAnsi="宋体"/>
          <w:highlight w:val="none"/>
        </w:rPr>
      </w:pPr>
      <w:r>
        <w:rPr>
          <w:rFonts w:hint="eastAsia" w:ascii="宋体" w:hAnsi="宋体"/>
          <w:highlight w:val="none"/>
        </w:rPr>
        <w:t>含增值税上限控制价：</w:t>
      </w:r>
      <w:r>
        <w:rPr>
          <w:rFonts w:hint="eastAsia" w:ascii="宋体" w:hAnsi="宋体"/>
          <w:highlight w:val="none"/>
          <w:lang w:val="en-US" w:eastAsia="zh-CN"/>
        </w:rPr>
        <w:t>含税</w:t>
      </w:r>
      <w:r>
        <w:rPr>
          <w:rFonts w:hint="eastAsia" w:ascii="宋体" w:hAnsi="宋体"/>
          <w:highlight w:val="none"/>
        </w:rPr>
        <w:t>人民币8</w:t>
      </w:r>
      <w:r>
        <w:rPr>
          <w:rFonts w:ascii="宋体" w:hAnsi="宋体"/>
          <w:highlight w:val="none"/>
        </w:rPr>
        <w:t>0</w:t>
      </w:r>
      <w:r>
        <w:rPr>
          <w:rFonts w:hint="eastAsia" w:ascii="宋体" w:hAnsi="宋体"/>
          <w:highlight w:val="none"/>
        </w:rPr>
        <w:t>万元；其中轨道御水上寓项目</w:t>
      </w:r>
      <w:r>
        <w:rPr>
          <w:rFonts w:hint="eastAsia" w:ascii="宋体" w:hAnsi="宋体"/>
          <w:highlight w:val="none"/>
          <w:lang w:val="en-US" w:eastAsia="zh-CN"/>
        </w:rPr>
        <w:t>含税</w:t>
      </w:r>
      <w:r>
        <w:rPr>
          <w:rFonts w:hint="eastAsia" w:ascii="宋体" w:hAnsi="宋体"/>
          <w:highlight w:val="none"/>
        </w:rPr>
        <w:t>16万元；剧场公寓项目</w:t>
      </w:r>
      <w:r>
        <w:rPr>
          <w:rFonts w:hint="eastAsia" w:ascii="宋体" w:hAnsi="宋体"/>
          <w:highlight w:val="none"/>
          <w:lang w:val="en-US" w:eastAsia="zh-CN"/>
        </w:rPr>
        <w:t>含税</w:t>
      </w:r>
      <w:r>
        <w:rPr>
          <w:rFonts w:hint="eastAsia" w:ascii="宋体" w:hAnsi="宋体"/>
          <w:highlight w:val="none"/>
        </w:rPr>
        <w:t>16万元；心圩车辆段项目</w:t>
      </w:r>
      <w:r>
        <w:rPr>
          <w:rFonts w:hint="eastAsia" w:ascii="宋体" w:hAnsi="宋体"/>
          <w:highlight w:val="none"/>
          <w:lang w:val="en-US" w:eastAsia="zh-CN"/>
        </w:rPr>
        <w:t>含税</w:t>
      </w:r>
      <w:r>
        <w:rPr>
          <w:rFonts w:hint="eastAsia" w:ascii="宋体" w:hAnsi="宋体"/>
          <w:highlight w:val="none"/>
        </w:rPr>
        <w:t>16万元；轨道御水江岸项目</w:t>
      </w:r>
      <w:r>
        <w:rPr>
          <w:rFonts w:hint="eastAsia" w:ascii="宋体" w:hAnsi="宋体"/>
          <w:highlight w:val="none"/>
          <w:lang w:val="en-US" w:eastAsia="zh-CN"/>
        </w:rPr>
        <w:t>含税</w:t>
      </w:r>
      <w:r>
        <w:rPr>
          <w:rFonts w:hint="eastAsia" w:ascii="宋体" w:hAnsi="宋体"/>
          <w:highlight w:val="none"/>
        </w:rPr>
        <w:t>32万元。</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服务期：</w:t>
      </w:r>
      <w:r>
        <w:rPr>
          <w:rFonts w:hint="eastAsia" w:ascii="宋体" w:hAnsi="宋体"/>
          <w:highlight w:val="none"/>
          <w:u w:val="single"/>
        </w:rPr>
        <w:t xml:space="preserve">   </w:t>
      </w:r>
      <w:r>
        <w:rPr>
          <w:rFonts w:ascii="宋体" w:hAnsi="宋体"/>
          <w:highlight w:val="none"/>
          <w:u w:val="single"/>
        </w:rPr>
        <w:t>2</w:t>
      </w:r>
      <w:r>
        <w:rPr>
          <w:rFonts w:hint="eastAsia" w:ascii="宋体" w:hAnsi="宋体"/>
          <w:highlight w:val="none"/>
          <w:u w:val="single"/>
        </w:rPr>
        <w:t>年   ，</w:t>
      </w:r>
      <w:r>
        <w:rPr>
          <w:rFonts w:hint="eastAsia" w:ascii="宋体" w:hAnsi="宋体"/>
          <w:highlight w:val="none"/>
        </w:rPr>
        <w:t>自比选人发出通知开始之日起算。</w:t>
      </w:r>
    </w:p>
    <w:p>
      <w:pPr>
        <w:spacing w:after="0" w:afterAutospacing="0"/>
        <w:ind w:left="0" w:right="0" w:firstLine="420" w:firstLineChars="200"/>
        <w:rPr>
          <w:rFonts w:ascii="宋体" w:hAnsi="宋体"/>
          <w:highlight w:val="none"/>
        </w:rPr>
      </w:pPr>
      <w:r>
        <w:rPr>
          <w:rFonts w:hint="eastAsia" w:ascii="宋体" w:hAnsi="宋体"/>
          <w:highlight w:val="none"/>
        </w:rPr>
        <w:t>项目地点：南宁市区内，具体详见第五章</w:t>
      </w:r>
      <w:r>
        <w:rPr>
          <w:rFonts w:hint="eastAsia" w:ascii="宋体" w:hAnsi="宋体"/>
          <w:highlight w:val="none"/>
          <w:lang w:val="en-US" w:eastAsia="zh-CN"/>
        </w:rPr>
        <w:t>发包人要求</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比选范围：具体详见第五章</w:t>
      </w:r>
      <w:r>
        <w:rPr>
          <w:rFonts w:hint="eastAsia" w:ascii="宋体" w:hAnsi="宋体"/>
          <w:highlight w:val="none"/>
          <w:lang w:val="en-US" w:eastAsia="zh-CN"/>
        </w:rPr>
        <w:t>发包人要求</w:t>
      </w:r>
      <w:r>
        <w:rPr>
          <w:rFonts w:hint="eastAsia" w:ascii="宋体" w:hAnsi="宋体"/>
          <w:highlight w:val="none"/>
        </w:rPr>
        <w:t>。</w:t>
      </w:r>
    </w:p>
    <w:p>
      <w:pPr>
        <w:spacing w:after="0" w:afterAutospacing="0"/>
        <w:ind w:left="0" w:right="0" w:firstLine="420" w:firstLineChars="200"/>
        <w:rPr>
          <w:rFonts w:ascii="宋体" w:hAnsi="宋体"/>
          <w:highlight w:val="none"/>
        </w:rPr>
      </w:pPr>
      <w:r>
        <w:rPr>
          <w:rFonts w:hint="eastAsia" w:ascii="宋体" w:hAnsi="宋体"/>
          <w:highlight w:val="none"/>
        </w:rPr>
        <w:t>项目概况：</w:t>
      </w:r>
    </w:p>
    <w:p>
      <w:pPr>
        <w:spacing w:after="0" w:afterAutospacing="0"/>
        <w:ind w:left="0" w:right="0" w:firstLine="420" w:firstLineChars="200"/>
        <w:rPr>
          <w:rFonts w:ascii="宋体" w:hAnsi="宋体"/>
          <w:highlight w:val="none"/>
        </w:rPr>
      </w:pPr>
      <w:r>
        <w:rPr>
          <w:rFonts w:hint="eastAsia" w:ascii="宋体" w:hAnsi="宋体"/>
          <w:highlight w:val="none"/>
        </w:rPr>
        <w:t>（1）轨道御水上寓项目：新建一栋商业建筑，其中地上15层，地下2层，总用地面积4163.98平方米，总建筑面积：18637.49平方米。地上建筑面积13144.51平方米，其中零售商业建筑面积：12302.71平方米，配套服务用房建筑面积：189.23平方米；地下建筑面积：5492.98平方米，总计容建筑面积：12491.94平方米。</w:t>
      </w:r>
    </w:p>
    <w:p>
      <w:pPr>
        <w:spacing w:after="0" w:afterAutospacing="0"/>
        <w:ind w:left="0" w:right="0" w:firstLine="420" w:firstLineChars="200"/>
        <w:rPr>
          <w:rFonts w:ascii="宋体" w:hAnsi="宋体"/>
          <w:highlight w:val="none"/>
        </w:rPr>
      </w:pPr>
      <w:r>
        <w:rPr>
          <w:rFonts w:hint="eastAsia" w:ascii="宋体" w:hAnsi="宋体"/>
          <w:highlight w:val="none"/>
        </w:rPr>
        <w:t>（2）剧场公寓项目：本项目用地面积10830.03平方米，总建筑面积24841.93方米。共7栋楼，其中公寓建筑面积为22285.69平方米，商业服务用房1184.45平方米，社区居委会用房89.58平方米，物业管理用房109.36平方米，公厕54.60平方米，地下室建筑面积460.87平方米。</w:t>
      </w:r>
    </w:p>
    <w:p>
      <w:pPr>
        <w:spacing w:after="0" w:afterAutospacing="0"/>
        <w:ind w:left="0" w:right="0" w:firstLine="420" w:firstLineChars="200"/>
        <w:rPr>
          <w:rFonts w:ascii="宋体" w:hAnsi="宋体"/>
          <w:highlight w:val="none"/>
        </w:rPr>
      </w:pPr>
      <w:r>
        <w:rPr>
          <w:rFonts w:hint="eastAsia" w:ascii="宋体" w:hAnsi="宋体"/>
          <w:highlight w:val="none"/>
        </w:rPr>
        <w:t>（3）心圩车辆段项目：本项目用地面积29026.26平方米，总建筑面积94734.09平方米。其中租赁用房85198.52平方米，配套服务用房1038.97平方米，杂物房832.29平方米，门卫室9.00平方米，架空层1289.11平方米，地下室面积6375.20平方米。</w:t>
      </w:r>
    </w:p>
    <w:p>
      <w:pPr>
        <w:spacing w:after="0" w:afterAutospacing="0"/>
        <w:ind w:left="0" w:right="0" w:firstLine="420" w:firstLineChars="200"/>
        <w:rPr>
          <w:rFonts w:ascii="宋体" w:hAnsi="宋体"/>
          <w:highlight w:val="none"/>
        </w:rPr>
      </w:pPr>
      <w:r>
        <w:rPr>
          <w:rFonts w:hint="eastAsia" w:ascii="宋体" w:hAnsi="宋体"/>
          <w:highlight w:val="none"/>
        </w:rPr>
        <w:t>（4）轨道御水江岸项目：总建筑面积为347267.60平方米，总用地面积116,261.81平方米，共有41栋住宅及地下室。</w:t>
      </w:r>
    </w:p>
    <w:p>
      <w:pPr>
        <w:spacing w:after="0" w:afterAutospacing="0"/>
        <w:ind w:left="0" w:right="0" w:firstLine="420" w:firstLineChars="200"/>
        <w:rPr>
          <w:rFonts w:ascii="宋体" w:hAnsi="宋体"/>
          <w:highlight w:val="none"/>
        </w:rPr>
      </w:pPr>
      <w:r>
        <w:rPr>
          <w:rFonts w:hint="eastAsia" w:ascii="宋体" w:hAnsi="宋体"/>
          <w:highlight w:val="none"/>
        </w:rPr>
        <w:t>项目标段划分：共计5个标段</w:t>
      </w:r>
    </w:p>
    <w:tbl>
      <w:tblPr>
        <w:tblStyle w:val="32"/>
        <w:tblW w:w="9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252"/>
        <w:gridCol w:w="1276"/>
        <w:gridCol w:w="1295"/>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序号</w:t>
            </w:r>
          </w:p>
        </w:tc>
        <w:tc>
          <w:tcPr>
            <w:tcW w:w="4252"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项目名称</w:t>
            </w:r>
          </w:p>
        </w:tc>
        <w:tc>
          <w:tcPr>
            <w:tcW w:w="1276"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标段数量</w:t>
            </w:r>
          </w:p>
        </w:tc>
        <w:tc>
          <w:tcPr>
            <w:tcW w:w="1295" w:type="dxa"/>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单个标段每年评估次数（暂定）</w:t>
            </w:r>
          </w:p>
        </w:tc>
        <w:tc>
          <w:tcPr>
            <w:tcW w:w="1909" w:type="dxa"/>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合计评估次数（暂定，最终以比选人确定的次数为准）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p>
        </w:tc>
        <w:tc>
          <w:tcPr>
            <w:tcW w:w="4252"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轨道御水上寓</w:t>
            </w:r>
          </w:p>
        </w:tc>
        <w:tc>
          <w:tcPr>
            <w:tcW w:w="1276" w:type="dxa"/>
            <w:vAlign w:val="center"/>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p>
        </w:tc>
        <w:tc>
          <w:tcPr>
            <w:tcW w:w="1295"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r>
              <w:rPr>
                <w:rFonts w:ascii="宋体" w:hAnsi="宋体" w:eastAsia="宋体"/>
                <w:sz w:val="21"/>
                <w:highlight w:val="none"/>
              </w:rPr>
              <w:t>0</w:t>
            </w:r>
          </w:p>
        </w:tc>
        <w:tc>
          <w:tcPr>
            <w:tcW w:w="1909"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2</w:t>
            </w:r>
            <w:r>
              <w:rPr>
                <w:rFonts w:ascii="宋体" w:hAnsi="宋体" w:eastAsia="宋体"/>
                <w:sz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2</w:t>
            </w:r>
          </w:p>
        </w:tc>
        <w:tc>
          <w:tcPr>
            <w:tcW w:w="4252"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剧场公寓</w:t>
            </w:r>
          </w:p>
        </w:tc>
        <w:tc>
          <w:tcPr>
            <w:tcW w:w="1276" w:type="dxa"/>
            <w:vAlign w:val="center"/>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p>
        </w:tc>
        <w:tc>
          <w:tcPr>
            <w:tcW w:w="1295"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r>
              <w:rPr>
                <w:rFonts w:ascii="宋体" w:hAnsi="宋体" w:eastAsia="宋体"/>
                <w:sz w:val="21"/>
                <w:highlight w:val="none"/>
              </w:rPr>
              <w:t>0</w:t>
            </w:r>
          </w:p>
        </w:tc>
        <w:tc>
          <w:tcPr>
            <w:tcW w:w="1909"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2</w:t>
            </w:r>
            <w:r>
              <w:rPr>
                <w:rFonts w:ascii="宋体" w:hAnsi="宋体" w:eastAsia="宋体"/>
                <w:sz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3</w:t>
            </w:r>
          </w:p>
        </w:tc>
        <w:tc>
          <w:tcPr>
            <w:tcW w:w="4252"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南宁市心圩车辆段配套租赁用房（一期）</w:t>
            </w:r>
          </w:p>
        </w:tc>
        <w:tc>
          <w:tcPr>
            <w:tcW w:w="1276" w:type="dxa"/>
            <w:vAlign w:val="center"/>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p>
        </w:tc>
        <w:tc>
          <w:tcPr>
            <w:tcW w:w="1295"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r>
              <w:rPr>
                <w:rFonts w:ascii="宋体" w:hAnsi="宋体" w:eastAsia="宋体"/>
                <w:sz w:val="21"/>
                <w:highlight w:val="none"/>
              </w:rPr>
              <w:t>0</w:t>
            </w:r>
          </w:p>
        </w:tc>
        <w:tc>
          <w:tcPr>
            <w:tcW w:w="1909"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2</w:t>
            </w:r>
            <w:r>
              <w:rPr>
                <w:rFonts w:ascii="宋体" w:hAnsi="宋体" w:eastAsia="宋体"/>
                <w:sz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4</w:t>
            </w:r>
          </w:p>
        </w:tc>
        <w:tc>
          <w:tcPr>
            <w:tcW w:w="4252"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御水江岸</w:t>
            </w:r>
          </w:p>
        </w:tc>
        <w:tc>
          <w:tcPr>
            <w:tcW w:w="1276" w:type="dxa"/>
            <w:vAlign w:val="center"/>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2</w:t>
            </w:r>
          </w:p>
        </w:tc>
        <w:tc>
          <w:tcPr>
            <w:tcW w:w="1295"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r>
              <w:rPr>
                <w:rFonts w:ascii="宋体" w:hAnsi="宋体" w:eastAsia="宋体"/>
                <w:sz w:val="21"/>
                <w:highlight w:val="none"/>
              </w:rPr>
              <w:t>0</w:t>
            </w:r>
          </w:p>
        </w:tc>
        <w:tc>
          <w:tcPr>
            <w:tcW w:w="1909"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4</w:t>
            </w:r>
            <w:r>
              <w:rPr>
                <w:rFonts w:ascii="宋体" w:hAnsi="宋体" w:eastAsia="宋体"/>
                <w:sz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2"/>
              <w:ind w:left="0" w:leftChars="0" w:firstLine="0" w:firstLineChars="0"/>
              <w:jc w:val="center"/>
              <w:rPr>
                <w:rFonts w:ascii="宋体" w:hAnsi="宋体" w:eastAsia="宋体"/>
                <w:sz w:val="21"/>
                <w:highlight w:val="none"/>
              </w:rPr>
            </w:pPr>
          </w:p>
        </w:tc>
        <w:tc>
          <w:tcPr>
            <w:tcW w:w="4252" w:type="dxa"/>
            <w:vAlign w:val="center"/>
          </w:tcPr>
          <w:p>
            <w:pPr>
              <w:pStyle w:val="2"/>
              <w:ind w:left="0" w:leftChars="0" w:firstLine="0" w:firstLineChars="0"/>
              <w:jc w:val="center"/>
              <w:rPr>
                <w:rFonts w:ascii="宋体" w:hAnsi="宋体" w:eastAsia="宋体"/>
                <w:sz w:val="21"/>
                <w:highlight w:val="none"/>
              </w:rPr>
            </w:pPr>
            <w:r>
              <w:rPr>
                <w:rFonts w:hint="eastAsia" w:ascii="宋体" w:hAnsi="宋体" w:eastAsia="宋体"/>
                <w:sz w:val="21"/>
                <w:highlight w:val="none"/>
              </w:rPr>
              <w:t>合计</w:t>
            </w:r>
          </w:p>
        </w:tc>
        <w:tc>
          <w:tcPr>
            <w:tcW w:w="1276" w:type="dxa"/>
            <w:vAlign w:val="center"/>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5</w:t>
            </w:r>
          </w:p>
        </w:tc>
        <w:tc>
          <w:tcPr>
            <w:tcW w:w="1295" w:type="dxa"/>
          </w:tcPr>
          <w:p>
            <w:pPr>
              <w:pStyle w:val="2"/>
              <w:spacing w:after="100"/>
              <w:ind w:left="0" w:leftChars="0" w:firstLine="0" w:firstLineChars="0"/>
              <w:jc w:val="center"/>
              <w:rPr>
                <w:rFonts w:ascii="宋体" w:hAnsi="宋体" w:eastAsia="宋体"/>
                <w:sz w:val="21"/>
                <w:highlight w:val="none"/>
              </w:rPr>
            </w:pPr>
          </w:p>
        </w:tc>
        <w:tc>
          <w:tcPr>
            <w:tcW w:w="1909" w:type="dxa"/>
          </w:tcPr>
          <w:p>
            <w:pPr>
              <w:pStyle w:val="2"/>
              <w:spacing w:after="100"/>
              <w:ind w:left="0" w:leftChars="0" w:firstLine="0" w:firstLineChars="0"/>
              <w:jc w:val="center"/>
              <w:rPr>
                <w:rFonts w:ascii="宋体" w:hAnsi="宋体" w:eastAsia="宋体"/>
                <w:sz w:val="21"/>
                <w:highlight w:val="none"/>
              </w:rPr>
            </w:pPr>
            <w:r>
              <w:rPr>
                <w:rFonts w:hint="eastAsia" w:ascii="宋体" w:hAnsi="宋体" w:eastAsia="宋体"/>
                <w:sz w:val="21"/>
                <w:highlight w:val="none"/>
              </w:rPr>
              <w:t>1</w:t>
            </w:r>
            <w:r>
              <w:rPr>
                <w:rFonts w:ascii="宋体" w:hAnsi="宋体" w:eastAsia="宋体"/>
                <w:sz w:val="21"/>
                <w:highlight w:val="none"/>
              </w:rPr>
              <w:t>00</w:t>
            </w:r>
          </w:p>
        </w:tc>
      </w:tr>
    </w:tbl>
    <w:p>
      <w:pPr>
        <w:pStyle w:val="2"/>
        <w:ind w:left="0" w:leftChars="0" w:firstLine="0" w:firstLineChars="0"/>
        <w:rPr>
          <w:rFonts w:eastAsiaTheme="minorEastAsia"/>
          <w:highlight w:val="none"/>
        </w:rPr>
      </w:pPr>
    </w:p>
    <w:p>
      <w:pPr>
        <w:spacing w:before="0" w:after="0" w:afterAutospacing="0"/>
        <w:ind w:left="0" w:right="0" w:firstLine="422" w:firstLineChars="200"/>
        <w:rPr>
          <w:rFonts w:ascii="宋体" w:hAnsi="宋体"/>
          <w:highlight w:val="none"/>
        </w:rPr>
      </w:pPr>
      <w:r>
        <w:rPr>
          <w:rFonts w:hint="eastAsia" w:ascii="宋体" w:hAnsi="宋体"/>
          <w:b/>
          <w:highlight w:val="none"/>
        </w:rPr>
        <w:t>3.比选申请人资格要求</w:t>
      </w:r>
    </w:p>
    <w:p>
      <w:pPr>
        <w:spacing w:before="0" w:after="0" w:afterAutospacing="0"/>
        <w:ind w:left="0" w:right="0" w:firstLine="420" w:firstLineChars="200"/>
        <w:rPr>
          <w:rFonts w:ascii="宋体" w:hAnsi="宋体"/>
          <w:highlight w:val="none"/>
        </w:rPr>
      </w:pPr>
      <w:r>
        <w:rPr>
          <w:rFonts w:hint="eastAsia" w:ascii="宋体" w:hAnsi="宋体"/>
          <w:highlight w:val="none"/>
        </w:rPr>
        <w:t>3.1为中华人民共和国境内依法设立的法人或其他组织（若以分支机构参与投标，必须出具上级公司授权参与证明。）</w:t>
      </w:r>
    </w:p>
    <w:p>
      <w:pPr>
        <w:spacing w:before="0" w:after="0" w:afterAutospacing="0"/>
        <w:ind w:left="0" w:right="0" w:firstLine="420" w:firstLineChars="200"/>
        <w:rPr>
          <w:rFonts w:ascii="宋体" w:hAnsi="宋体"/>
          <w:highlight w:val="none"/>
        </w:rPr>
      </w:pPr>
      <w:r>
        <w:rPr>
          <w:rFonts w:hint="eastAsia" w:ascii="宋体" w:hAnsi="宋体"/>
          <w:highlight w:val="none"/>
        </w:rPr>
        <w:t>3.2 项目负责人条件：需要有中级工程师及以上职称或有一级建造师资格,8年（含）相关工作经验以上；</w:t>
      </w:r>
      <w:bookmarkStart w:id="1416" w:name="_GoBack"/>
      <w:bookmarkEnd w:id="1416"/>
    </w:p>
    <w:p>
      <w:pPr>
        <w:spacing w:before="0" w:after="0" w:afterAutospacing="0"/>
        <w:ind w:left="0" w:right="0" w:firstLine="420" w:firstLineChars="200"/>
        <w:rPr>
          <w:rFonts w:ascii="宋体" w:hAnsi="宋体" w:cs="宋体"/>
          <w:szCs w:val="24"/>
          <w:highlight w:val="none"/>
        </w:rPr>
      </w:pPr>
      <w:r>
        <w:rPr>
          <w:rFonts w:hint="eastAsia" w:ascii="宋体" w:hAnsi="宋体"/>
          <w:highlight w:val="none"/>
        </w:rPr>
        <w:t>3.3业绩条件：</w:t>
      </w:r>
      <w:r>
        <w:rPr>
          <w:rFonts w:hint="eastAsia" w:ascii="宋体" w:hAnsi="宋体" w:cs="宋体"/>
          <w:szCs w:val="24"/>
          <w:highlight w:val="none"/>
        </w:rPr>
        <w:t>自2019年1月1日至比选申请截止时间内完成过或正在实施的5个及以上</w:t>
      </w:r>
      <w:r>
        <w:rPr>
          <w:rFonts w:hint="eastAsia" w:ascii="宋体" w:hAnsi="宋体" w:cs="宋体"/>
          <w:szCs w:val="24"/>
          <w:highlight w:val="none"/>
          <w:lang w:val="en-US" w:eastAsia="zh-CN"/>
        </w:rPr>
        <w:t>单项</w:t>
      </w:r>
      <w:r>
        <w:rPr>
          <w:rFonts w:hint="eastAsia" w:ascii="宋体" w:hAnsi="宋体" w:cs="宋体"/>
          <w:szCs w:val="24"/>
          <w:highlight w:val="none"/>
        </w:rPr>
        <w:t>合同金额大于60万的房地产楼盘项目质量安全评估业绩；</w:t>
      </w:r>
    </w:p>
    <w:p>
      <w:pPr>
        <w:spacing w:before="0" w:after="0" w:afterAutospacing="0"/>
        <w:ind w:left="0" w:right="0" w:firstLine="420" w:firstLineChars="200"/>
        <w:rPr>
          <w:rFonts w:ascii="宋体" w:hAnsi="宋体"/>
          <w:highlight w:val="none"/>
        </w:rPr>
      </w:pPr>
      <w:r>
        <w:rPr>
          <w:rFonts w:hint="eastAsia" w:ascii="宋体" w:hAnsi="宋体"/>
          <w:highlight w:val="none"/>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highlight w:val="none"/>
        </w:rPr>
      </w:pPr>
      <w:r>
        <w:rPr>
          <w:rFonts w:hint="eastAsia" w:ascii="宋体" w:hAnsi="宋体"/>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3.6本项目不接受联合体比选申请。</w:t>
      </w:r>
    </w:p>
    <w:p>
      <w:pPr>
        <w:spacing w:before="0" w:after="0" w:afterAutospacing="0"/>
        <w:ind w:left="0" w:right="0" w:firstLine="420" w:firstLineChars="200"/>
        <w:rPr>
          <w:rFonts w:ascii="宋体" w:hAnsi="宋体"/>
          <w:highlight w:val="none"/>
        </w:rPr>
      </w:pPr>
      <w:r>
        <w:rPr>
          <w:rFonts w:hint="eastAsia" w:ascii="宋体" w:hAnsi="宋体"/>
          <w:highlight w:val="none"/>
        </w:rPr>
        <w:t>3.7未列入比选人不良信用名单的。</w:t>
      </w:r>
    </w:p>
    <w:p>
      <w:pPr>
        <w:spacing w:before="0" w:after="0" w:afterAutospacing="0"/>
        <w:ind w:left="0" w:right="0" w:firstLine="422" w:firstLineChars="200"/>
        <w:rPr>
          <w:rFonts w:ascii="宋体" w:hAnsi="宋体"/>
          <w:b/>
          <w:highlight w:val="none"/>
        </w:rPr>
      </w:pPr>
      <w:r>
        <w:rPr>
          <w:rFonts w:hint="eastAsia" w:ascii="宋体" w:hAnsi="宋体"/>
          <w:b/>
          <w:highlight w:val="none"/>
        </w:rPr>
        <w:t>4.资格审查方式</w:t>
      </w:r>
    </w:p>
    <w:p>
      <w:pPr>
        <w:spacing w:before="0" w:after="0" w:afterAutospacing="0"/>
        <w:ind w:left="0" w:right="0" w:firstLine="420" w:firstLineChars="200"/>
        <w:rPr>
          <w:rFonts w:ascii="宋体" w:hAnsi="宋体"/>
          <w:highlight w:val="none"/>
        </w:rPr>
      </w:pPr>
      <w:r>
        <w:rPr>
          <w:rFonts w:hint="eastAsia" w:ascii="宋体" w:hAnsi="宋体"/>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highlight w:val="none"/>
        </w:rPr>
      </w:pPr>
      <w:r>
        <w:rPr>
          <w:rFonts w:hint="eastAsia" w:ascii="宋体" w:hAnsi="宋体"/>
          <w:b/>
          <w:highlight w:val="none"/>
        </w:rPr>
        <w:t>5.比选文件的获取</w:t>
      </w:r>
    </w:p>
    <w:p>
      <w:pPr>
        <w:spacing w:before="0" w:after="0" w:afterAutospacing="0"/>
        <w:ind w:left="0" w:right="0" w:firstLine="420" w:firstLineChars="200"/>
        <w:rPr>
          <w:rFonts w:ascii="宋体" w:hAnsi="宋体"/>
          <w:highlight w:val="none"/>
        </w:rPr>
      </w:pPr>
      <w:r>
        <w:rPr>
          <w:rFonts w:hint="eastAsia" w:ascii="宋体" w:hAnsi="宋体"/>
          <w:highlight w:val="none"/>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w:t>
      </w:r>
      <w:r>
        <w:rPr>
          <w:rFonts w:hint="eastAsia" w:ascii="宋体" w:hAnsi="宋体"/>
          <w:highlight w:val="none"/>
          <w:lang w:eastAsia="zh-CN"/>
        </w:rPr>
        <w:t>，</w:t>
      </w:r>
      <w:r>
        <w:rPr>
          <w:rFonts w:hint="eastAsia" w:ascii="宋体" w:hAnsi="宋体"/>
          <w:highlight w:val="none"/>
        </w:rPr>
        <w:t>南宁轨道地产集团有限责任公司官网(http://www.nngddc.com)，中国采购与招标网（www.chinabidding.com.cn）</w:t>
      </w:r>
      <w:r>
        <w:rPr>
          <w:rFonts w:hint="eastAsia" w:ascii="宋体" w:hAnsi="宋体"/>
          <w:highlight w:val="none"/>
          <w:lang w:eastAsia="zh-CN"/>
        </w:rPr>
        <w:t>。</w:t>
      </w:r>
    </w:p>
    <w:p>
      <w:pP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highlight w:val="none"/>
        </w:rPr>
      </w:pPr>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b/>
          <w:highlight w:val="none"/>
          <w:lang w:val="en-US" w:eastAsia="zh-CN"/>
        </w:rPr>
        <w:t>2022</w:t>
      </w:r>
      <w:r>
        <w:rPr>
          <w:rFonts w:hint="eastAsia" w:ascii="宋体" w:hAnsi="宋体"/>
          <w:b/>
          <w:highlight w:val="none"/>
        </w:rPr>
        <w:t>年</w:t>
      </w:r>
      <w:r>
        <w:rPr>
          <w:rFonts w:hint="eastAsia" w:ascii="宋体" w:hAnsi="宋体"/>
          <w:b/>
          <w:highlight w:val="none"/>
          <w:lang w:val="en-US" w:eastAsia="zh-CN"/>
        </w:rPr>
        <w:t>11</w:t>
      </w:r>
      <w:r>
        <w:rPr>
          <w:rFonts w:hint="eastAsia" w:ascii="宋体" w:hAnsi="宋体"/>
          <w:b/>
          <w:highlight w:val="none"/>
        </w:rPr>
        <w:t xml:space="preserve">月 </w:t>
      </w:r>
      <w:r>
        <w:rPr>
          <w:rFonts w:hint="eastAsia" w:ascii="宋体" w:hAnsi="宋体"/>
          <w:b/>
          <w:highlight w:val="none"/>
          <w:lang w:val="en-US" w:eastAsia="zh-CN"/>
        </w:rPr>
        <w:t>11</w:t>
      </w:r>
      <w:r>
        <w:rPr>
          <w:rFonts w:hint="eastAsia" w:ascii="宋体" w:hAnsi="宋体"/>
          <w:b/>
          <w:highlight w:val="none"/>
        </w:rPr>
        <w:t>日</w:t>
      </w:r>
      <w:r>
        <w:rPr>
          <w:rFonts w:hint="eastAsia" w:ascii="宋体" w:hAnsi="宋体"/>
          <w:b/>
          <w:highlight w:val="none"/>
          <w:lang w:val="en-US" w:eastAsia="zh-CN"/>
        </w:rPr>
        <w:t>9</w:t>
      </w:r>
      <w:r>
        <w:rPr>
          <w:rFonts w:hint="eastAsia" w:ascii="宋体" w:hAnsi="宋体"/>
          <w:b/>
          <w:highlight w:val="none"/>
        </w:rPr>
        <w:t>时</w:t>
      </w:r>
      <w:r>
        <w:rPr>
          <w:rFonts w:hint="eastAsia" w:ascii="宋体" w:hAnsi="宋体"/>
          <w:b/>
          <w:highlight w:val="none"/>
          <w:lang w:val="en-US" w:eastAsia="zh-CN"/>
        </w:rPr>
        <w:t>30</w:t>
      </w:r>
      <w:r>
        <w:rPr>
          <w:rFonts w:hint="eastAsia" w:ascii="宋体" w:hAnsi="宋体"/>
          <w:b/>
          <w:highlight w:val="none"/>
        </w:rPr>
        <w:t>分</w:t>
      </w:r>
      <w:r>
        <w:rPr>
          <w:rFonts w:hint="eastAsia" w:ascii="宋体" w:hAnsi="宋体"/>
          <w:highlight w:val="none"/>
        </w:rPr>
        <w:t>（北京时间）前递交，递交地点在广西南宁市青秀区凤岭北路111号南宁国际旅游中心A座1011合约法规部；</w:t>
      </w:r>
    </w:p>
    <w:p>
      <w:pP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pacing w:before="0" w:after="0" w:afterAutospacing="0"/>
        <w:ind w:left="0" w:right="0" w:firstLine="422" w:firstLineChars="200"/>
        <w:rPr>
          <w:rFonts w:ascii="宋体" w:hAnsi="宋体"/>
          <w:b/>
          <w:highlight w:val="none"/>
        </w:rPr>
      </w:pPr>
      <w:r>
        <w:rPr>
          <w:rFonts w:hint="eastAsia" w:ascii="宋体" w:hAnsi="宋体"/>
          <w:b/>
          <w:highlight w:val="none"/>
        </w:rPr>
        <w:t>7.发布公告的媒介</w:t>
      </w:r>
    </w:p>
    <w:p>
      <w:pPr>
        <w:spacing w:before="0" w:after="0" w:afterAutospacing="0"/>
        <w:ind w:left="0" w:right="0" w:firstLine="420" w:firstLineChars="200"/>
        <w:rPr>
          <w:rFonts w:ascii="宋体" w:hAnsi="宋体"/>
          <w:highlight w:val="none"/>
        </w:rPr>
      </w:pPr>
      <w:r>
        <w:rPr>
          <w:rFonts w:hint="eastAsia" w:ascii="宋体" w:hAnsi="宋体"/>
          <w:highlight w:val="none"/>
        </w:rPr>
        <w:t>本次比选公告在南宁轨道交通集团有限责任公司官网（http://www.nngdjt.com）</w:t>
      </w:r>
      <w:r>
        <w:rPr>
          <w:rFonts w:hint="eastAsia" w:ascii="宋体" w:hAnsi="宋体"/>
          <w:highlight w:val="none"/>
          <w:lang w:eastAsia="zh-CN"/>
        </w:rPr>
        <w:t>，</w:t>
      </w:r>
      <w:r>
        <w:rPr>
          <w:rFonts w:hint="eastAsia" w:ascii="宋体" w:hAnsi="宋体"/>
          <w:highlight w:val="none"/>
        </w:rPr>
        <w:t>南宁轨道地产集团有限责任公司官网(http://www.nngddc.com)，中国采购与招标网（www.chinabidding.com.cn）发布。</w:t>
      </w:r>
    </w:p>
    <w:p>
      <w:pPr>
        <w:spacing w:before="0" w:after="0" w:afterAutospacing="0"/>
        <w:ind w:left="0" w:right="0" w:firstLine="422" w:firstLineChars="200"/>
        <w:rPr>
          <w:rFonts w:ascii="宋体" w:hAnsi="宋体"/>
          <w:b/>
          <w:highlight w:val="none"/>
        </w:rPr>
      </w:pPr>
      <w:r>
        <w:rPr>
          <w:rFonts w:hint="eastAsia" w:ascii="宋体" w:hAnsi="宋体"/>
          <w:b/>
          <w:highlight w:val="none"/>
        </w:rPr>
        <w:t>8.联系方式</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比选 人：南宁轨道交通集团有限责任公司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地    址：南宁市青秀区凤岭北路111号</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邮    编：530022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联 系 人：</w:t>
      </w:r>
      <w:r>
        <w:rPr>
          <w:rFonts w:hint="eastAsia" w:ascii="宋体" w:hAnsi="宋体"/>
          <w:highlight w:val="none"/>
          <w:u w:val="single"/>
        </w:rPr>
        <w:t xml:space="preserve">罗女士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    话：：</w:t>
      </w:r>
      <w:r>
        <w:rPr>
          <w:rFonts w:hint="eastAsia" w:ascii="宋体" w:hAnsi="宋体"/>
          <w:highlight w:val="none"/>
          <w:u w:val="single"/>
        </w:rPr>
        <w:t>0771-</w:t>
      </w:r>
      <w:r>
        <w:rPr>
          <w:highlight w:val="none"/>
        </w:rPr>
        <w:t xml:space="preserve"> </w:t>
      </w:r>
      <w:r>
        <w:rPr>
          <w:rFonts w:ascii="宋体" w:hAnsi="宋体"/>
          <w:highlight w:val="none"/>
          <w:u w:val="single"/>
        </w:rPr>
        <w:t>4732949</w:t>
      </w:r>
    </w:p>
    <w:p>
      <w:pPr>
        <w:spacing w:before="0" w:after="0" w:afterAutospacing="0"/>
        <w:ind w:left="0" w:right="0" w:firstLine="420" w:firstLineChars="200"/>
        <w:rPr>
          <w:rFonts w:hint="eastAsia" w:ascii="宋体" w:hAnsi="宋体" w:eastAsia="宋体"/>
          <w:highlight w:val="none"/>
          <w:u w:val="single"/>
          <w:lang w:val="en-US" w:eastAsia="zh-CN"/>
        </w:rPr>
      </w:pPr>
      <w:r>
        <w:rPr>
          <w:rFonts w:hint="eastAsia" w:ascii="宋体" w:hAnsi="宋体"/>
          <w:highlight w:val="none"/>
        </w:rPr>
        <w:t>传真：</w:t>
      </w:r>
      <w:r>
        <w:rPr>
          <w:rFonts w:hint="eastAsia" w:ascii="宋体" w:hAnsi="宋体"/>
          <w:highlight w:val="none"/>
          <w:lang w:val="en-US" w:eastAsia="zh-CN"/>
        </w:rPr>
        <w:t>/</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电子邮件：nngddchyfgb@163.com</w:t>
      </w:r>
    </w:p>
    <w:p>
      <w:pPr>
        <w:pStyle w:val="15"/>
        <w:pageBreakBefore/>
        <w:ind w:right="-57" w:firstLine="0"/>
        <w:jc w:val="center"/>
        <w:outlineLvl w:val="0"/>
        <w:rPr>
          <w:rStyle w:val="49"/>
          <w:rFonts w:ascii="宋体" w:hAnsi="宋体" w:eastAsia="宋体"/>
          <w:highlight w:val="none"/>
        </w:rPr>
      </w:pPr>
      <w:bookmarkStart w:id="21" w:name="_Toc322528192"/>
      <w:bookmarkEnd w:id="21"/>
      <w:bookmarkStart w:id="22" w:name="_Toc512357502"/>
      <w:bookmarkStart w:id="23" w:name="_Toc22273"/>
      <w:bookmarkStart w:id="24" w:name="_Toc30883"/>
      <w:bookmarkStart w:id="25" w:name="_Toc29836"/>
      <w:bookmarkStart w:id="26" w:name="_Toc20201"/>
      <w:bookmarkStart w:id="27" w:name="_Toc30725"/>
      <w:bookmarkStart w:id="28" w:name="_Toc21830"/>
      <w:bookmarkStart w:id="29" w:name="_Toc15976"/>
      <w:bookmarkStart w:id="30" w:name="_Toc17240"/>
      <w:bookmarkStart w:id="31" w:name="_Toc30950"/>
      <w:bookmarkStart w:id="32" w:name="_Toc17735"/>
      <w:bookmarkStart w:id="33" w:name="_Toc24390"/>
      <w:bookmarkStart w:id="34" w:name="_Toc1230"/>
      <w:bookmarkStart w:id="35" w:name="_Toc17594"/>
      <w:bookmarkStart w:id="36" w:name="_Toc3495"/>
      <w:bookmarkStart w:id="37" w:name="_Toc24972"/>
      <w:bookmarkStart w:id="38" w:name="_Toc12635"/>
      <w:bookmarkStart w:id="39" w:name="_Toc18454"/>
      <w:bookmarkStart w:id="40" w:name="_Toc114134606"/>
      <w:r>
        <w:rPr>
          <w:rStyle w:val="49"/>
          <w:rFonts w:hint="eastAsia" w:ascii="宋体" w:hAnsi="宋体" w:eastAsia="宋体"/>
          <w:highlight w:val="none"/>
        </w:rPr>
        <w:t>第二章</w:t>
      </w:r>
      <w:bookmarkEnd w:id="22"/>
      <w:r>
        <w:rPr>
          <w:rStyle w:val="49"/>
          <w:rFonts w:hint="eastAsia" w:ascii="宋体" w:hAnsi="宋体" w:eastAsia="宋体"/>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5"/>
        <w:spacing w:before="0" w:after="0"/>
        <w:ind w:right="0" w:firstLine="0"/>
        <w:jc w:val="center"/>
        <w:rPr>
          <w:rFonts w:hAnsi="宋体"/>
          <w:b/>
          <w:sz w:val="30"/>
          <w:szCs w:val="30"/>
          <w:highlight w:val="none"/>
        </w:rPr>
      </w:pPr>
      <w:r>
        <w:rPr>
          <w:rFonts w:hint="eastAsia" w:hAnsi="宋体"/>
          <w:b/>
          <w:sz w:val="30"/>
          <w:szCs w:val="30"/>
          <w:highlight w:val="none"/>
        </w:rPr>
        <w:t>比选申请须知前附表</w:t>
      </w:r>
    </w:p>
    <w:tbl>
      <w:tblPr>
        <w:tblStyle w:val="31"/>
        <w:tblW w:w="9117" w:type="dxa"/>
        <w:tblInd w:w="112" w:type="dxa"/>
        <w:tblLayout w:type="fixed"/>
        <w:tblCellMar>
          <w:top w:w="0" w:type="dxa"/>
          <w:left w:w="108" w:type="dxa"/>
          <w:bottom w:w="0" w:type="dxa"/>
          <w:right w:w="108" w:type="dxa"/>
        </w:tblCellMar>
      </w:tblPr>
      <w:tblGrid>
        <w:gridCol w:w="847"/>
        <w:gridCol w:w="1559"/>
        <w:gridCol w:w="6711"/>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条款号</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比选人</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名称：南宁轨道交通集团有限责任公司</w:t>
            </w:r>
          </w:p>
          <w:p>
            <w:pPr>
              <w:spacing w:before="0" w:after="0" w:afterAutospacing="0"/>
              <w:ind w:left="0" w:right="0" w:firstLine="0"/>
              <w:rPr>
                <w:rFonts w:ascii="宋体" w:hAnsi="宋体"/>
                <w:highlight w:val="none"/>
              </w:rPr>
            </w:pPr>
            <w:r>
              <w:rPr>
                <w:rFonts w:hint="eastAsia" w:ascii="宋体" w:hAnsi="宋体"/>
                <w:highlight w:val="none"/>
              </w:rPr>
              <w:t>地址：南宁市青秀区凤岭北路111号</w:t>
            </w:r>
          </w:p>
          <w:p>
            <w:pPr>
              <w:spacing w:before="0" w:after="0" w:afterAutospacing="0"/>
              <w:ind w:left="0" w:right="0" w:firstLine="0"/>
              <w:rPr>
                <w:rFonts w:ascii="宋体" w:hAnsi="宋体"/>
                <w:highlight w:val="none"/>
              </w:rPr>
            </w:pPr>
            <w:r>
              <w:rPr>
                <w:rFonts w:hint="eastAsia" w:ascii="宋体" w:hAnsi="宋体"/>
                <w:highlight w:val="none"/>
              </w:rPr>
              <w:t>联系人：罗女士</w:t>
            </w:r>
          </w:p>
          <w:p>
            <w:pPr>
              <w:spacing w:before="0" w:after="0" w:afterAutospacing="0"/>
              <w:ind w:left="0" w:right="0" w:firstLine="0"/>
              <w:rPr>
                <w:rFonts w:ascii="宋体" w:hAnsi="宋体"/>
                <w:highlight w:val="none"/>
              </w:rPr>
            </w:pPr>
            <w:r>
              <w:rPr>
                <w:rFonts w:hint="eastAsia" w:ascii="宋体" w:hAnsi="宋体"/>
                <w:highlight w:val="none"/>
              </w:rPr>
              <w:t>联系电话：0771-</w:t>
            </w:r>
            <w:r>
              <w:rPr>
                <w:highlight w:val="none"/>
              </w:rPr>
              <w:t xml:space="preserve"> </w:t>
            </w:r>
            <w:r>
              <w:rPr>
                <w:rFonts w:ascii="宋体" w:hAnsi="宋体"/>
                <w:highlight w:val="none"/>
              </w:rPr>
              <w:t>4732949</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项目名称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lang w:val="zh-CN"/>
              </w:rPr>
              <w:t>轨道御水上寓、剧场公寓、南宁市心圩车辆段配套租赁用房（一期）、御水江岸项目第三方工程质量安全评估采购</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项目编号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无</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w:t>
            </w:r>
            <w:r>
              <w:rPr>
                <w:rFonts w:ascii="宋体" w:hAnsi="宋体"/>
                <w:highlight w:val="none"/>
              </w:rPr>
              <w:t>范围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highlight w:val="none"/>
              </w:rPr>
            </w:pPr>
            <w:r>
              <w:rPr>
                <w:rFonts w:hint="eastAsia" w:ascii="宋体" w:hAnsi="宋体"/>
                <w:highlight w:val="none"/>
              </w:rPr>
              <w:t>轨道御水上寓、剧场公寓、南宁市心圩车辆段配套租赁用房（一期）、御水江岸项目第三方工程质量安全评估采购</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合同</w:t>
            </w:r>
            <w:r>
              <w:rPr>
                <w:rFonts w:ascii="宋体" w:hAnsi="宋体"/>
                <w:highlight w:val="none"/>
              </w:rPr>
              <w:t>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2年。</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资金来源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企业自有资金</w:t>
            </w:r>
          </w:p>
        </w:tc>
      </w:tr>
      <w:tr>
        <w:tblPrEx>
          <w:tblCellMar>
            <w:top w:w="0" w:type="dxa"/>
            <w:left w:w="108" w:type="dxa"/>
            <w:bottom w:w="0" w:type="dxa"/>
            <w:right w:w="108" w:type="dxa"/>
          </w:tblCellMar>
        </w:tblPrEx>
        <w:trPr>
          <w:trHeight w:val="172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1.7</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上限控制价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上限控制价：人民币</w:t>
            </w:r>
            <w:r>
              <w:rPr>
                <w:rFonts w:hint="eastAsia" w:ascii="宋体" w:hAnsi="宋体"/>
                <w:highlight w:val="none"/>
                <w:lang w:val="en-US" w:eastAsia="zh-CN"/>
              </w:rPr>
              <w:t>含税</w:t>
            </w:r>
            <w:r>
              <w:rPr>
                <w:rFonts w:hint="eastAsia" w:ascii="宋体" w:hAnsi="宋体"/>
                <w:highlight w:val="none"/>
              </w:rPr>
              <w:t>80万元；其中轨道御水上寓项目</w:t>
            </w:r>
            <w:r>
              <w:rPr>
                <w:rFonts w:hint="eastAsia" w:ascii="宋体" w:hAnsi="宋体"/>
                <w:highlight w:val="none"/>
                <w:lang w:val="en-US" w:eastAsia="zh-CN"/>
              </w:rPr>
              <w:t>含税</w:t>
            </w:r>
            <w:r>
              <w:rPr>
                <w:rFonts w:hint="eastAsia" w:ascii="宋体" w:hAnsi="宋体"/>
                <w:highlight w:val="none"/>
              </w:rPr>
              <w:t>16万元；剧场公寓项目</w:t>
            </w:r>
            <w:r>
              <w:rPr>
                <w:rFonts w:hint="eastAsia" w:ascii="宋体" w:hAnsi="宋体"/>
                <w:highlight w:val="none"/>
                <w:lang w:val="en-US" w:eastAsia="zh-CN"/>
              </w:rPr>
              <w:t>含税</w:t>
            </w:r>
            <w:r>
              <w:rPr>
                <w:rFonts w:hint="eastAsia" w:ascii="宋体" w:hAnsi="宋体"/>
                <w:highlight w:val="none"/>
              </w:rPr>
              <w:t>16万元；心圩车辆段项目</w:t>
            </w:r>
            <w:r>
              <w:rPr>
                <w:rFonts w:hint="eastAsia" w:ascii="宋体" w:hAnsi="宋体"/>
                <w:highlight w:val="none"/>
                <w:lang w:val="en-US" w:eastAsia="zh-CN"/>
              </w:rPr>
              <w:t>含税</w:t>
            </w:r>
            <w:r>
              <w:rPr>
                <w:rFonts w:hint="eastAsia" w:ascii="宋体" w:hAnsi="宋体"/>
                <w:highlight w:val="none"/>
              </w:rPr>
              <w:t>16万元；轨道御水江岸项目</w:t>
            </w:r>
            <w:r>
              <w:rPr>
                <w:rFonts w:hint="eastAsia" w:ascii="宋体" w:hAnsi="宋体"/>
                <w:highlight w:val="none"/>
                <w:lang w:val="en-US" w:eastAsia="zh-CN"/>
              </w:rPr>
              <w:t>含税</w:t>
            </w:r>
            <w:r>
              <w:rPr>
                <w:rFonts w:hint="eastAsia" w:ascii="宋体" w:hAnsi="宋体"/>
                <w:highlight w:val="none"/>
              </w:rPr>
              <w:t>32万元。比选申请报价高于上限控制价（或分项上限控制价）的比选申请文件将按否决比选申请处理。</w:t>
            </w:r>
          </w:p>
        </w:tc>
      </w:tr>
      <w:tr>
        <w:tblPrEx>
          <w:tblCellMar>
            <w:top w:w="0" w:type="dxa"/>
            <w:left w:w="108" w:type="dxa"/>
            <w:bottom w:w="0" w:type="dxa"/>
            <w:right w:w="108" w:type="dxa"/>
          </w:tblCellMar>
        </w:tblPrEx>
        <w:trPr>
          <w:trHeight w:val="27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比选申请人应具备的资格条件</w:t>
            </w:r>
          </w:p>
        </w:tc>
        <w:tc>
          <w:tcPr>
            <w:tcW w:w="6711" w:type="dxa"/>
            <w:tcBorders>
              <w:top w:val="single" w:color="auto" w:sz="4" w:space="0"/>
              <w:left w:val="nil"/>
              <w:bottom w:val="single" w:color="auto" w:sz="4" w:space="0"/>
              <w:right w:val="single" w:color="auto" w:sz="4" w:space="0"/>
            </w:tcBorders>
            <w:vAlign w:val="center"/>
          </w:tcPr>
          <w:p>
            <w:pPr>
              <w:numPr>
                <w:ilvl w:val="0"/>
                <w:numId w:val="1"/>
              </w:numPr>
              <w:spacing w:before="0" w:after="0" w:afterAutospacing="0"/>
              <w:ind w:right="0"/>
              <w:rPr>
                <w:rFonts w:ascii="宋体" w:hAnsi="宋体"/>
                <w:highlight w:val="none"/>
              </w:rPr>
            </w:pPr>
            <w:r>
              <w:rPr>
                <w:rFonts w:hint="eastAsia" w:ascii="宋体" w:hAnsi="宋体"/>
                <w:highlight w:val="none"/>
              </w:rPr>
              <w:t>为中华人民共和国境内依法设立的法人或其他组织（若以分支机构参与投标，必须出具总部授权参与证明。）</w:t>
            </w:r>
          </w:p>
          <w:p>
            <w:pPr>
              <w:numPr>
                <w:ilvl w:val="0"/>
                <w:numId w:val="1"/>
              </w:numPr>
              <w:spacing w:before="0" w:after="0" w:afterAutospacing="0"/>
              <w:ind w:right="0"/>
              <w:rPr>
                <w:rFonts w:ascii="宋体" w:hAnsi="宋体"/>
                <w:highlight w:val="none"/>
              </w:rPr>
            </w:pPr>
            <w:r>
              <w:rPr>
                <w:rFonts w:hint="eastAsia" w:ascii="宋体" w:hAnsi="宋体"/>
                <w:highlight w:val="none"/>
              </w:rPr>
              <w:t xml:space="preserve"> 项目负责人条件：项目负责人条件：需要有中级工程师及以上职称或有一级建造师资格,8年（含）相关工作经验以上；</w:t>
            </w:r>
          </w:p>
          <w:p>
            <w:pPr>
              <w:numPr>
                <w:ilvl w:val="0"/>
                <w:numId w:val="1"/>
              </w:numPr>
              <w:spacing w:before="0" w:after="0" w:afterAutospacing="0"/>
              <w:ind w:right="0"/>
              <w:rPr>
                <w:rFonts w:ascii="宋体" w:hAnsi="宋体"/>
                <w:highlight w:val="none"/>
              </w:rPr>
            </w:pPr>
            <w:r>
              <w:rPr>
                <w:rFonts w:hint="eastAsia" w:ascii="宋体" w:hAnsi="宋体"/>
                <w:highlight w:val="none"/>
              </w:rPr>
              <w:t>业绩条件：自2019年1月1日至比选申请截止时间内完成过或正在实施的5个及以上</w:t>
            </w:r>
            <w:r>
              <w:rPr>
                <w:rFonts w:hint="eastAsia" w:ascii="宋体" w:hAnsi="宋体"/>
                <w:highlight w:val="none"/>
                <w:lang w:val="en-US" w:eastAsia="zh-CN"/>
              </w:rPr>
              <w:t>单项</w:t>
            </w:r>
            <w:r>
              <w:rPr>
                <w:rFonts w:hint="eastAsia" w:ascii="宋体" w:hAnsi="宋体"/>
                <w:highlight w:val="none"/>
              </w:rPr>
              <w:t>合同金额大于</w:t>
            </w:r>
            <w:r>
              <w:rPr>
                <w:rFonts w:ascii="宋体" w:hAnsi="宋体"/>
                <w:highlight w:val="none"/>
              </w:rPr>
              <w:t>60</w:t>
            </w:r>
            <w:r>
              <w:rPr>
                <w:rFonts w:hint="eastAsia" w:ascii="宋体" w:hAnsi="宋体"/>
                <w:highlight w:val="none"/>
              </w:rPr>
              <w:t>万的房地产楼盘项目质量安全评估业绩；</w:t>
            </w:r>
          </w:p>
          <w:p>
            <w:pPr>
              <w:numPr>
                <w:ilvl w:val="0"/>
                <w:numId w:val="1"/>
              </w:numPr>
              <w:spacing w:before="0" w:after="0" w:afterAutospacing="0"/>
              <w:ind w:right="0"/>
              <w:rPr>
                <w:rFonts w:ascii="宋体" w:hAnsi="宋体"/>
                <w:highlight w:val="none"/>
              </w:rPr>
            </w:pPr>
            <w:r>
              <w:rPr>
                <w:rFonts w:hint="eastAsia" w:ascii="宋体" w:hAnsi="宋体"/>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numPr>
                <w:ilvl w:val="0"/>
                <w:numId w:val="1"/>
              </w:numPr>
              <w:spacing w:before="0" w:after="0" w:afterAutospacing="0"/>
              <w:ind w:right="0"/>
              <w:rPr>
                <w:rFonts w:ascii="宋体" w:hAnsi="宋体"/>
                <w:highlight w:val="none"/>
              </w:rPr>
            </w:pPr>
            <w:r>
              <w:rPr>
                <w:rFonts w:hint="eastAsia" w:ascii="宋体" w:hAnsi="宋体"/>
                <w:highlight w:val="none"/>
              </w:rPr>
              <w:t>单位负责人为同一人或者存在控股、管理关系的不同单位，不得参加同一标段比选申请或者未划分标段的同一比选项目比选申请。</w:t>
            </w:r>
          </w:p>
          <w:p>
            <w:pPr>
              <w:numPr>
                <w:ilvl w:val="0"/>
                <w:numId w:val="1"/>
              </w:numPr>
              <w:spacing w:before="0" w:after="0" w:afterAutospacing="0"/>
              <w:ind w:right="0"/>
              <w:rPr>
                <w:rFonts w:ascii="宋体" w:hAnsi="宋体"/>
                <w:highlight w:val="none"/>
              </w:rPr>
            </w:pPr>
            <w:r>
              <w:rPr>
                <w:rFonts w:hint="eastAsia" w:ascii="宋体" w:hAnsi="宋体"/>
                <w:highlight w:val="none"/>
              </w:rPr>
              <w:t>本项目不接受联合体比选申请。</w:t>
            </w:r>
          </w:p>
          <w:p>
            <w:pPr>
              <w:numPr>
                <w:ilvl w:val="0"/>
                <w:numId w:val="1"/>
              </w:numPr>
              <w:spacing w:before="0" w:after="0" w:afterAutospacing="0"/>
              <w:ind w:left="0" w:right="0" w:firstLine="0"/>
              <w:rPr>
                <w:rFonts w:ascii="宋体" w:hAnsi="宋体"/>
                <w:highlight w:val="none"/>
              </w:rPr>
            </w:pPr>
            <w:r>
              <w:rPr>
                <w:rFonts w:hint="eastAsia" w:ascii="宋体" w:hAnsi="宋体"/>
                <w:highlight w:val="none"/>
              </w:rPr>
              <w:t>未列入比选人不良信用名单的。</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比选申请人要求澄清比选文件</w:t>
            </w:r>
          </w:p>
          <w:p>
            <w:pPr>
              <w:spacing w:before="0" w:after="0" w:afterAutospacing="0"/>
              <w:ind w:left="0" w:right="0" w:firstLine="0"/>
              <w:rPr>
                <w:rFonts w:ascii="宋体" w:hAnsi="宋体"/>
                <w:highlight w:val="none"/>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对比选文件提出疑问的截止时间：</w:t>
            </w:r>
            <w:r>
              <w:rPr>
                <w:rFonts w:hint="eastAsia" w:ascii="宋体" w:hAnsi="宋体"/>
                <w:b/>
                <w:highlight w:val="none"/>
                <w:lang w:val="en-US" w:eastAsia="zh-CN"/>
              </w:rPr>
              <w:t>2022</w:t>
            </w:r>
            <w:r>
              <w:rPr>
                <w:rFonts w:hint="eastAsia" w:ascii="宋体" w:hAnsi="宋体"/>
                <w:b/>
                <w:highlight w:val="none"/>
              </w:rPr>
              <w:t>年</w:t>
            </w:r>
            <w:r>
              <w:rPr>
                <w:rFonts w:hint="eastAsia" w:ascii="宋体" w:hAnsi="宋体"/>
                <w:b/>
                <w:highlight w:val="none"/>
                <w:lang w:val="en-US" w:eastAsia="zh-CN"/>
              </w:rPr>
              <w:t>11</w:t>
            </w:r>
            <w:r>
              <w:rPr>
                <w:rFonts w:hint="eastAsia" w:ascii="宋体" w:hAnsi="宋体"/>
                <w:b/>
                <w:highlight w:val="none"/>
              </w:rPr>
              <w:t>月</w:t>
            </w:r>
            <w:r>
              <w:rPr>
                <w:rFonts w:hint="eastAsia" w:ascii="宋体" w:hAnsi="宋体"/>
                <w:b/>
                <w:highlight w:val="none"/>
                <w:lang w:val="en-US" w:eastAsia="zh-CN"/>
              </w:rPr>
              <w:t>5</w:t>
            </w:r>
            <w:r>
              <w:rPr>
                <w:rFonts w:hint="eastAsia" w:ascii="宋体" w:hAnsi="宋体"/>
                <w:b/>
                <w:highlight w:val="none"/>
              </w:rPr>
              <w:t>日前。</w:t>
            </w:r>
            <w:r>
              <w:rPr>
                <w:rFonts w:hint="eastAsia" w:ascii="宋体" w:hAnsi="宋体"/>
                <w:highlight w:val="none"/>
              </w:rPr>
              <w:t>比选申请人不在规定期限内提出，比选人有权不予答复，或答复后比选申请截止时间由比选人确定是否顺延。</w:t>
            </w:r>
          </w:p>
          <w:p>
            <w:pPr>
              <w:spacing w:before="0" w:after="0" w:afterAutospacing="0"/>
              <w:ind w:left="0" w:right="0" w:firstLine="0"/>
              <w:rPr>
                <w:rFonts w:ascii="宋体" w:hAnsi="宋体"/>
                <w:highlight w:val="none"/>
                <w:u w:val="single"/>
              </w:rPr>
            </w:pPr>
            <w:r>
              <w:rPr>
                <w:rFonts w:hint="eastAsia" w:ascii="宋体" w:hAnsi="宋体"/>
                <w:highlight w:val="none"/>
              </w:rPr>
              <w:t>形式：书面为准（加盖比选申请人法人单位公章，电子扫描件有效）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比选文件澄清发布方式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kern w:val="2"/>
                <w:highlight w:val="none"/>
              </w:rPr>
              <w:t>南宁轨道地产集团有限责任公司官网发布(http://www.nngddc.com)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比选申请人确认收到澄清的方式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5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10.1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构成比选申请文件的组成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比选申请文件组成部分：</w:t>
            </w:r>
            <w:r>
              <w:rPr>
                <w:rFonts w:hint="eastAsia"/>
                <w:highlight w:val="none"/>
              </w:rPr>
              <w:t>资格审查文件、价格文件、技术文件</w:t>
            </w:r>
          </w:p>
          <w:p>
            <w:pPr>
              <w:spacing w:before="0" w:after="0" w:afterAutospacing="0" w:line="276" w:lineRule="auto"/>
              <w:ind w:left="0" w:right="0" w:firstLine="0"/>
              <w:rPr>
                <w:b/>
                <w:highlight w:val="none"/>
              </w:rPr>
            </w:pPr>
            <w:r>
              <w:rPr>
                <w:rFonts w:hint="eastAsia"/>
                <w:b/>
                <w:highlight w:val="none"/>
              </w:rPr>
              <w:t>资格审查文件</w:t>
            </w:r>
          </w:p>
          <w:p>
            <w:pPr>
              <w:spacing w:before="0" w:after="0" w:afterAutospacing="0" w:line="276" w:lineRule="auto"/>
              <w:ind w:left="0" w:right="0" w:firstLine="0"/>
              <w:rPr>
                <w:highlight w:val="none"/>
              </w:rPr>
            </w:pPr>
            <w:r>
              <w:rPr>
                <w:rFonts w:hint="eastAsia"/>
                <w:highlight w:val="none"/>
              </w:rPr>
              <w:t>（</w:t>
            </w:r>
            <w:r>
              <w:rPr>
                <w:highlight w:val="none"/>
              </w:rPr>
              <w:t>1</w:t>
            </w:r>
            <w:r>
              <w:rPr>
                <w:rFonts w:hint="eastAsia"/>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highlight w:val="none"/>
              </w:rPr>
            </w:pPr>
            <w:r>
              <w:rPr>
                <w:rFonts w:hint="eastAsia"/>
                <w:highlight w:val="none"/>
              </w:rPr>
              <w:t>（</w:t>
            </w:r>
            <w:r>
              <w:rPr>
                <w:highlight w:val="none"/>
              </w:rPr>
              <w:t>2</w:t>
            </w:r>
            <w:r>
              <w:rPr>
                <w:rFonts w:hint="eastAsia"/>
                <w:highlight w:val="none"/>
              </w:rPr>
              <w:t>）比选申请人有效的营业执照及资质证书复印件；</w:t>
            </w:r>
          </w:p>
          <w:p>
            <w:pPr>
              <w:spacing w:before="0" w:after="0" w:afterAutospacing="0" w:line="276" w:lineRule="auto"/>
              <w:ind w:left="0" w:right="0" w:firstLine="0"/>
              <w:rPr>
                <w:highlight w:val="none"/>
              </w:rPr>
            </w:pPr>
            <w:r>
              <w:rPr>
                <w:rFonts w:hint="eastAsia"/>
                <w:highlight w:val="none"/>
              </w:rPr>
              <w:t>（</w:t>
            </w:r>
            <w:r>
              <w:rPr>
                <w:highlight w:val="none"/>
              </w:rPr>
              <w:t>3</w:t>
            </w:r>
            <w:r>
              <w:rPr>
                <w:rFonts w:hint="eastAsia"/>
                <w:highlight w:val="none"/>
              </w:rPr>
              <w:t>）承诺书（格式见A3）；</w:t>
            </w:r>
          </w:p>
          <w:p>
            <w:pPr>
              <w:spacing w:before="0" w:after="0" w:afterAutospacing="0" w:line="276" w:lineRule="auto"/>
              <w:ind w:left="0" w:right="0" w:firstLine="0"/>
              <w:rPr>
                <w:highlight w:val="none"/>
              </w:rPr>
            </w:pPr>
            <w:r>
              <w:rPr>
                <w:rFonts w:hint="eastAsia"/>
                <w:highlight w:val="none"/>
              </w:rPr>
              <w:t>（4）</w:t>
            </w:r>
            <w:r>
              <w:rPr>
                <w:rFonts w:hint="eastAsia" w:hAnsi="宋体"/>
                <w:highlight w:val="none"/>
              </w:rPr>
              <w:t>类似项目业绩表（A4）；</w:t>
            </w:r>
          </w:p>
          <w:p>
            <w:pPr>
              <w:spacing w:before="0" w:after="0" w:afterAutospacing="0"/>
              <w:ind w:left="0" w:right="0" w:firstLine="0"/>
              <w:rPr>
                <w:highlight w:val="none"/>
              </w:rPr>
            </w:pPr>
            <w:r>
              <w:rPr>
                <w:rFonts w:hint="eastAsia"/>
                <w:highlight w:val="none"/>
              </w:rPr>
              <w:t>（5）比选申请人认为应提交的其他比选申请资料（如有）。</w:t>
            </w:r>
          </w:p>
          <w:p>
            <w:pPr>
              <w:spacing w:before="0" w:after="0" w:afterAutospacing="0" w:line="276" w:lineRule="auto"/>
              <w:ind w:left="0" w:right="0" w:firstLine="0"/>
              <w:rPr>
                <w:b/>
                <w:highlight w:val="none"/>
              </w:rPr>
            </w:pPr>
            <w:r>
              <w:rPr>
                <w:rFonts w:hint="eastAsia"/>
                <w:b/>
                <w:highlight w:val="none"/>
              </w:rPr>
              <w:t>价格文件</w:t>
            </w:r>
          </w:p>
          <w:p>
            <w:pPr>
              <w:spacing w:before="0" w:after="0" w:afterAutospacing="0" w:line="276" w:lineRule="auto"/>
              <w:ind w:left="0" w:right="0" w:firstLine="0"/>
              <w:rPr>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line="276" w:lineRule="auto"/>
              <w:ind w:left="0" w:right="0" w:firstLine="0"/>
              <w:rPr>
                <w:highlight w:val="none"/>
              </w:rPr>
            </w:pPr>
            <w:r>
              <w:rPr>
                <w:rFonts w:hint="eastAsia"/>
                <w:highlight w:val="none"/>
              </w:rPr>
              <w:t>（</w:t>
            </w:r>
            <w:r>
              <w:rPr>
                <w:highlight w:val="none"/>
              </w:rPr>
              <w:t>2</w:t>
            </w:r>
            <w:r>
              <w:rPr>
                <w:rFonts w:hint="eastAsia"/>
                <w:highlight w:val="none"/>
              </w:rPr>
              <w:t>）比选申请函（格式见B2）；</w:t>
            </w:r>
          </w:p>
          <w:p>
            <w:pPr>
              <w:spacing w:before="0" w:after="0" w:afterAutospacing="0" w:line="276" w:lineRule="auto"/>
              <w:ind w:left="0" w:right="0" w:firstLine="0"/>
              <w:rPr>
                <w:highlight w:val="none"/>
              </w:rPr>
            </w:pPr>
            <w:r>
              <w:rPr>
                <w:rFonts w:hint="eastAsia"/>
                <w:highlight w:val="none"/>
              </w:rPr>
              <w:t>（3）比选申请人认为应提交的其他比选申请资料（如有）。</w:t>
            </w:r>
          </w:p>
          <w:p>
            <w:pPr>
              <w:spacing w:before="0" w:after="0" w:afterAutospacing="0" w:line="276" w:lineRule="auto"/>
              <w:ind w:left="0" w:right="0" w:firstLine="0"/>
              <w:rPr>
                <w:b/>
                <w:highlight w:val="none"/>
              </w:rPr>
            </w:pPr>
            <w:r>
              <w:rPr>
                <w:rFonts w:hint="eastAsia"/>
                <w:b/>
                <w:highlight w:val="none"/>
              </w:rPr>
              <w:t>技术文件</w:t>
            </w:r>
          </w:p>
          <w:p>
            <w:pPr>
              <w:spacing w:before="0" w:after="0" w:afterAutospacing="0" w:line="276" w:lineRule="auto"/>
              <w:ind w:left="0" w:right="0" w:firstLine="0"/>
              <w:rPr>
                <w:highlight w:val="none"/>
              </w:rPr>
            </w:pPr>
            <w:r>
              <w:rPr>
                <w:rFonts w:hint="eastAsia"/>
                <w:highlight w:val="none"/>
              </w:rPr>
              <w:t>（1）技术响应表（格式见C1）；</w:t>
            </w:r>
          </w:p>
          <w:p>
            <w:pPr>
              <w:spacing w:before="0" w:after="0" w:afterAutospacing="0" w:line="276" w:lineRule="auto"/>
              <w:ind w:left="0" w:right="0" w:firstLine="0"/>
              <w:rPr>
                <w:highlight w:val="none"/>
              </w:rPr>
            </w:pPr>
            <w:r>
              <w:rPr>
                <w:rFonts w:hint="eastAsia"/>
                <w:highlight w:val="none"/>
              </w:rPr>
              <w:t>（2）商务响应表（格式见C2）；</w:t>
            </w:r>
          </w:p>
          <w:p>
            <w:pPr>
              <w:spacing w:before="0" w:after="0" w:afterAutospacing="0" w:line="276" w:lineRule="auto"/>
              <w:ind w:left="0" w:right="0" w:firstLine="0"/>
              <w:rPr>
                <w:highlight w:val="none"/>
              </w:rPr>
            </w:pPr>
            <w:r>
              <w:rPr>
                <w:rFonts w:hint="eastAsia"/>
                <w:highlight w:val="none"/>
              </w:rPr>
              <w:t>（3）项目技术服务方案（格式自拟，工期格式见C3）；</w:t>
            </w:r>
          </w:p>
          <w:p>
            <w:pPr>
              <w:spacing w:before="0" w:after="0" w:afterAutospacing="0" w:line="276" w:lineRule="auto"/>
              <w:ind w:left="0" w:right="0" w:firstLine="0"/>
              <w:rPr>
                <w:highlight w:val="none"/>
              </w:rPr>
            </w:pPr>
            <w:r>
              <w:rPr>
                <w:rFonts w:hint="eastAsia"/>
                <w:highlight w:val="none"/>
              </w:rPr>
              <w:t>（4）项目人员配置（格式见C4）；</w:t>
            </w:r>
          </w:p>
          <w:p>
            <w:pPr>
              <w:spacing w:before="0" w:after="0" w:afterAutospacing="0" w:line="276" w:lineRule="auto"/>
              <w:ind w:left="0" w:right="0" w:firstLine="0"/>
              <w:rPr>
                <w:highlight w:val="none"/>
              </w:rPr>
            </w:pPr>
            <w:r>
              <w:rPr>
                <w:rFonts w:hint="eastAsia"/>
                <w:highlight w:val="none"/>
              </w:rPr>
              <w:t>（5）业绩：5个及以上自2019年1月1日至比选申请截止时间内完成过或正在实施的</w:t>
            </w:r>
            <w:r>
              <w:rPr>
                <w:rFonts w:hint="eastAsia"/>
                <w:highlight w:val="none"/>
                <w:lang w:val="en-US" w:eastAsia="zh-CN"/>
              </w:rPr>
              <w:t>单项</w:t>
            </w:r>
            <w:r>
              <w:rPr>
                <w:rFonts w:hint="eastAsia"/>
                <w:highlight w:val="none"/>
              </w:rPr>
              <w:t>合同金额大于60万的房地产楼盘项目质量安全评估业绩，提供下述材料之一即可：①合同文件；②中标通知书。</w:t>
            </w:r>
          </w:p>
          <w:p>
            <w:pPr>
              <w:spacing w:before="0" w:after="0" w:afterAutospacing="0" w:line="276" w:lineRule="auto"/>
              <w:ind w:left="0" w:right="0" w:firstLine="0"/>
              <w:rPr>
                <w:highlight w:val="none"/>
              </w:rPr>
            </w:pPr>
            <w:r>
              <w:rPr>
                <w:rFonts w:hint="eastAsia"/>
                <w:highlight w:val="none"/>
              </w:rPr>
              <w:t>所提供的材料须能明确反映类似项目特征，复印件加盖比选申请人公章（格式见C5）。</w:t>
            </w:r>
          </w:p>
          <w:p>
            <w:pPr>
              <w:spacing w:before="0" w:after="0" w:afterAutospacing="0" w:line="276" w:lineRule="auto"/>
              <w:ind w:left="0" w:right="0" w:firstLine="0"/>
              <w:rPr>
                <w:highlight w:val="none"/>
              </w:rPr>
            </w:pPr>
            <w:r>
              <w:rPr>
                <w:rFonts w:hint="eastAsia"/>
                <w:highlight w:val="none"/>
              </w:rPr>
              <w:t>（6）企业综合实力相关证明材料（格式自拟）</w:t>
            </w:r>
          </w:p>
          <w:p>
            <w:pPr>
              <w:spacing w:before="0" w:after="0" w:afterAutospacing="0" w:line="276" w:lineRule="auto"/>
              <w:ind w:left="0" w:right="0" w:firstLine="0"/>
              <w:rPr>
                <w:highlight w:val="none"/>
              </w:rPr>
            </w:pPr>
            <w:r>
              <w:rPr>
                <w:rFonts w:hint="eastAsia"/>
                <w:highlight w:val="none"/>
              </w:rPr>
              <w:t>（7）企业高新技术相关证明材料（格式自拟）</w:t>
            </w:r>
          </w:p>
          <w:p>
            <w:pPr>
              <w:spacing w:before="0" w:after="0" w:afterAutospacing="0" w:line="276" w:lineRule="auto"/>
              <w:ind w:left="0" w:right="0" w:firstLine="0"/>
              <w:rPr>
                <w:highlight w:val="none"/>
              </w:rPr>
            </w:pPr>
            <w:r>
              <w:rPr>
                <w:rFonts w:hint="eastAsia"/>
                <w:highlight w:val="none"/>
              </w:rPr>
              <w:t>（8）比选申请人认为应提交的其他比选申请资料（如有）。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比选申请报价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w:t>
            </w:r>
            <w:r>
              <w:rPr>
                <w:rFonts w:ascii="宋体" w:hAnsi="宋体"/>
                <w:b/>
                <w:highlight w:val="none"/>
              </w:rPr>
              <w:t>本项目采用含税报价，</w:t>
            </w:r>
            <w:r>
              <w:rPr>
                <w:rFonts w:hint="eastAsia" w:ascii="宋体" w:hAnsi="宋体"/>
                <w:b/>
                <w:highlight w:val="none"/>
              </w:rPr>
              <w:t>含税报价为合同暂定价，本合同最终税金在结算阶段，按实际产生的税金进行核算，但合同不含税价格不因国家税率调整而调整。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比选申请保证金</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15.1</w:t>
            </w:r>
          </w:p>
        </w:tc>
        <w:tc>
          <w:tcPr>
            <w:tcW w:w="1559" w:type="dxa"/>
            <w:tcBorders>
              <w:top w:val="single" w:color="auto" w:sz="4" w:space="0"/>
              <w:left w:val="nil"/>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比选申请有效期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比选申请文件副本份数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纸质版正本1份，副本4份。比选申请人在递交纸质比选申请文件时，应同时递交比选申请文件电子版（具体要求见本表第3</w:t>
            </w:r>
            <w:r>
              <w:rPr>
                <w:rFonts w:ascii="宋体" w:hAnsi="宋体"/>
                <w:highlight w:val="none"/>
              </w:rPr>
              <w:t>7</w:t>
            </w:r>
            <w:r>
              <w:rPr>
                <w:rFonts w:hint="eastAsia" w:ascii="宋体" w:hAnsi="宋体"/>
                <w:highlight w:val="none"/>
              </w:rPr>
              <w:t>.</w:t>
            </w:r>
            <w:r>
              <w:rPr>
                <w:rFonts w:ascii="宋体" w:hAnsi="宋体"/>
                <w:highlight w:val="none"/>
              </w:rPr>
              <w:t>5</w:t>
            </w:r>
            <w:r>
              <w:rPr>
                <w:rFonts w:hint="eastAsia" w:ascii="宋体" w:hAnsi="宋体"/>
                <w:highlight w:val="none"/>
              </w:rPr>
              <w:t>项）。</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28.1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比选申请截止时间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b/>
                <w:highlight w:val="none"/>
              </w:rPr>
            </w:pPr>
            <w:bookmarkStart w:id="41" w:name="CgwjmbEntity：KBSJ3_0"/>
            <w:r>
              <w:rPr>
                <w:rFonts w:hint="eastAsia" w:ascii="宋体" w:hAnsi="宋体"/>
                <w:b/>
                <w:highlight w:val="none"/>
                <w:lang w:val="en-US" w:eastAsia="zh-CN"/>
              </w:rPr>
              <w:t>2022</w:t>
            </w:r>
            <w:r>
              <w:rPr>
                <w:rFonts w:hint="eastAsia" w:ascii="宋体" w:hAnsi="宋体"/>
                <w:b/>
                <w:highlight w:val="none"/>
              </w:rPr>
              <w:t>年</w:t>
            </w:r>
            <w:bookmarkEnd w:id="41"/>
            <w:r>
              <w:rPr>
                <w:rFonts w:hint="eastAsia" w:ascii="宋体" w:hAnsi="宋体"/>
                <w:b/>
                <w:highlight w:val="none"/>
                <w:lang w:val="en-US" w:eastAsia="zh-CN"/>
              </w:rPr>
              <w:t>11</w:t>
            </w:r>
            <w:r>
              <w:rPr>
                <w:rFonts w:hint="eastAsia" w:ascii="宋体" w:hAnsi="宋体"/>
                <w:b/>
                <w:highlight w:val="none"/>
              </w:rPr>
              <w:t>月</w:t>
            </w:r>
            <w:r>
              <w:rPr>
                <w:rFonts w:hint="eastAsia" w:ascii="宋体" w:hAnsi="宋体"/>
                <w:b/>
                <w:highlight w:val="none"/>
                <w:lang w:val="en-US" w:eastAsia="zh-CN"/>
              </w:rPr>
              <w:t>11</w:t>
            </w:r>
            <w:r>
              <w:rPr>
                <w:rFonts w:hint="eastAsia" w:ascii="宋体" w:hAnsi="宋体"/>
                <w:b/>
                <w:highlight w:val="none"/>
              </w:rPr>
              <w:t>日</w:t>
            </w:r>
            <w:r>
              <w:rPr>
                <w:rFonts w:hint="eastAsia" w:ascii="宋体" w:hAnsi="宋体"/>
                <w:b/>
                <w:highlight w:val="none"/>
                <w:lang w:val="en-US" w:eastAsia="zh-CN"/>
              </w:rPr>
              <w:t>9</w:t>
            </w:r>
            <w:r>
              <w:rPr>
                <w:rFonts w:hint="eastAsia" w:ascii="宋体" w:hAnsi="宋体"/>
                <w:b/>
                <w:highlight w:val="none"/>
              </w:rPr>
              <w:t>时</w:t>
            </w:r>
            <w:r>
              <w:rPr>
                <w:rFonts w:hint="eastAsia" w:ascii="宋体" w:hAnsi="宋体"/>
                <w:b/>
                <w:highlight w:val="none"/>
                <w:lang w:val="en-US" w:eastAsia="zh-CN"/>
              </w:rPr>
              <w:t>30</w:t>
            </w:r>
            <w:r>
              <w:rPr>
                <w:rFonts w:hint="eastAsia" w:ascii="宋体" w:hAnsi="宋体"/>
                <w:b/>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递交比选申请文件地点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单位：</w:t>
            </w:r>
            <w:r>
              <w:rPr>
                <w:rFonts w:ascii="宋体" w:hAnsi="宋体"/>
                <w:highlight w:val="none"/>
              </w:rPr>
              <w:t>南宁轨道</w:t>
            </w:r>
            <w:r>
              <w:rPr>
                <w:rFonts w:hint="eastAsia" w:ascii="宋体" w:hAnsi="宋体"/>
                <w:highlight w:val="none"/>
              </w:rPr>
              <w:t>地产</w:t>
            </w:r>
            <w:r>
              <w:rPr>
                <w:rFonts w:ascii="宋体" w:hAnsi="宋体"/>
                <w:highlight w:val="none"/>
              </w:rPr>
              <w:t>集团有限责任公司</w:t>
            </w:r>
          </w:p>
          <w:p>
            <w:pPr>
              <w:spacing w:before="0" w:after="0" w:afterAutospacing="0"/>
              <w:ind w:left="0" w:right="0" w:firstLine="0"/>
              <w:rPr>
                <w:rFonts w:ascii="宋体" w:hAnsi="宋体"/>
                <w:highlight w:val="none"/>
              </w:rPr>
            </w:pPr>
            <w:r>
              <w:rPr>
                <w:rFonts w:hint="eastAsia" w:ascii="宋体" w:hAnsi="宋体"/>
                <w:highlight w:val="none"/>
              </w:rPr>
              <w:t>地址：</w:t>
            </w:r>
            <w:r>
              <w:rPr>
                <w:rFonts w:ascii="宋体" w:hAnsi="宋体"/>
                <w:highlight w:val="none"/>
              </w:rPr>
              <w:t>南宁市青秀区</w:t>
            </w:r>
            <w:r>
              <w:rPr>
                <w:rFonts w:hint="eastAsia" w:ascii="宋体" w:hAnsi="宋体"/>
                <w:highlight w:val="none"/>
              </w:rPr>
              <w:t>凤岭北路111号南宁国际旅游中心A座1011合约法规部</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评审方法</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综合评分法</w:t>
            </w:r>
            <w:r>
              <w:rPr>
                <w:rFonts w:ascii="宋体" w:hAnsi="宋体"/>
                <w:highlight w:val="none"/>
              </w:rPr>
              <w:t>（评审价以含税总报价为基准）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34.4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放弃中选人资格</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15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履约担保</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履约担保的金额：</w:t>
            </w:r>
            <w:r>
              <w:rPr>
                <w:rFonts w:hint="eastAsia" w:ascii="宋体" w:hAnsi="宋体" w:cs="Arial"/>
                <w:highlight w:val="none"/>
              </w:rPr>
              <w:t>合同价格</w:t>
            </w:r>
            <w:r>
              <w:rPr>
                <w:rFonts w:hint="eastAsia" w:ascii="宋体" w:hAnsi="宋体"/>
                <w:highlight w:val="none"/>
              </w:rPr>
              <w:t>金额的</w:t>
            </w:r>
            <w:r>
              <w:rPr>
                <w:rFonts w:hint="eastAsia" w:ascii="宋体" w:hAnsi="宋体"/>
                <w:highlight w:val="none"/>
                <w:lang w:val="en-US" w:eastAsia="zh-CN"/>
              </w:rPr>
              <w:t>10</w:t>
            </w:r>
            <w:r>
              <w:rPr>
                <w:rFonts w:ascii="宋体" w:hAnsi="宋体"/>
                <w:highlight w:val="none"/>
              </w:rPr>
              <w:t>%</w:t>
            </w:r>
            <w:r>
              <w:rPr>
                <w:rFonts w:hint="eastAsia" w:ascii="宋体" w:hAnsi="宋体"/>
                <w:highlight w:val="none"/>
              </w:rPr>
              <w:t>；</w:t>
            </w:r>
          </w:p>
          <w:p>
            <w:pPr>
              <w:spacing w:before="0" w:after="0" w:afterAutospacing="0"/>
              <w:ind w:left="0" w:right="0" w:firstLine="0"/>
              <w:rPr>
                <w:rFonts w:ascii="宋体" w:hAnsi="宋体"/>
                <w:highlight w:val="none"/>
              </w:rPr>
            </w:pPr>
            <w:r>
              <w:rPr>
                <w:rFonts w:hint="eastAsia" w:ascii="宋体" w:hAnsi="宋体"/>
                <w:highlight w:val="none"/>
              </w:rPr>
              <w:t>履约担保的形式：转账或电汇或银行保函；</w:t>
            </w:r>
          </w:p>
          <w:p>
            <w:pPr>
              <w:spacing w:before="0" w:after="0" w:afterAutospacing="0"/>
              <w:ind w:left="0" w:right="0" w:firstLine="0"/>
              <w:rPr>
                <w:rFonts w:ascii="宋体" w:hAnsi="宋体"/>
                <w:highlight w:val="none"/>
              </w:rPr>
            </w:pPr>
            <w:r>
              <w:rPr>
                <w:rFonts w:hint="eastAsia" w:ascii="宋体" w:hAnsi="宋体"/>
                <w:highlight w:val="none"/>
              </w:rPr>
              <w:t>银行保函由中国境内各商业银行支行及其以上的银行开具的银行保函，格式符合第四章“合同文件格式”；</w:t>
            </w:r>
          </w:p>
          <w:p>
            <w:pPr>
              <w:spacing w:before="0" w:after="0" w:afterAutospacing="0"/>
              <w:ind w:left="0" w:right="0" w:firstLine="0"/>
              <w:rPr>
                <w:rFonts w:ascii="宋体" w:hAnsi="宋体"/>
                <w:highlight w:val="none"/>
              </w:rPr>
            </w:pPr>
            <w:r>
              <w:rPr>
                <w:rFonts w:hint="eastAsia" w:ascii="宋体" w:hAnsi="宋体"/>
                <w:highlight w:val="none"/>
              </w:rPr>
              <w:t>递交地点：</w:t>
            </w:r>
            <w:r>
              <w:rPr>
                <w:rFonts w:ascii="宋体" w:hAnsi="宋体"/>
                <w:highlight w:val="none"/>
              </w:rPr>
              <w:t>南宁市青秀区</w:t>
            </w:r>
            <w:r>
              <w:rPr>
                <w:rFonts w:hint="eastAsia" w:ascii="宋体" w:hAnsi="宋体"/>
                <w:highlight w:val="none"/>
              </w:rPr>
              <w:t>凤岭北路111号；</w:t>
            </w:r>
          </w:p>
          <w:p>
            <w:pPr>
              <w:spacing w:before="0" w:after="0" w:afterAutospacing="0"/>
              <w:ind w:left="0" w:right="0" w:firstLine="0"/>
              <w:rPr>
                <w:rFonts w:ascii="宋体" w:hAnsi="宋体"/>
                <w:highlight w:val="none"/>
              </w:rPr>
            </w:pPr>
            <w:r>
              <w:rPr>
                <w:rFonts w:hint="eastAsia" w:ascii="宋体" w:hAnsi="宋体"/>
                <w:highlight w:val="none"/>
              </w:rPr>
              <w:t>提交履约担保的时间：应在合同签订前、且最迟应在中选通知书发出之日起</w:t>
            </w:r>
            <w:r>
              <w:rPr>
                <w:rFonts w:ascii="宋体" w:hAnsi="宋体"/>
                <w:highlight w:val="none"/>
              </w:rPr>
              <w:t>20</w:t>
            </w:r>
            <w:r>
              <w:rPr>
                <w:rFonts w:hint="eastAsia" w:ascii="宋体" w:hAnsi="宋体"/>
                <w:highlight w:val="none"/>
              </w:rPr>
              <w:t>日内；</w:t>
            </w:r>
          </w:p>
          <w:p>
            <w:pPr>
              <w:spacing w:before="0" w:after="0" w:afterAutospacing="0"/>
              <w:ind w:left="0" w:right="0" w:firstLine="0"/>
              <w:rPr>
                <w:rFonts w:ascii="宋体" w:hAnsi="宋体"/>
                <w:highlight w:val="none"/>
              </w:rPr>
            </w:pPr>
            <w:r>
              <w:rPr>
                <w:rFonts w:hint="eastAsia" w:ascii="宋体" w:hAnsi="宋体"/>
                <w:highlight w:val="none"/>
              </w:rPr>
              <w:t>备注：若中选人未在规定时间内足额缴纳履约担保，比选人有权取消其中选资格；</w:t>
            </w:r>
          </w:p>
          <w:p>
            <w:pPr>
              <w:spacing w:before="0" w:after="0" w:afterAutospacing="0"/>
              <w:ind w:left="0" w:right="0" w:firstLine="0"/>
              <w:rPr>
                <w:rFonts w:ascii="宋体" w:hAnsi="宋体"/>
                <w:highlight w:val="none"/>
              </w:rPr>
            </w:pPr>
            <w:r>
              <w:rPr>
                <w:rFonts w:hint="eastAsia" w:ascii="宋体" w:hAnsi="宋体"/>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37.5</w:t>
            </w:r>
          </w:p>
        </w:tc>
        <w:tc>
          <w:tcPr>
            <w:tcW w:w="1559"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需要补充的其他内容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1.比选申请人在递交纸质版比选申请文件时，应同时递交比选申请文件电子版。</w:t>
            </w:r>
          </w:p>
          <w:p>
            <w:pPr>
              <w:spacing w:before="0" w:after="0" w:afterAutospacing="0"/>
              <w:ind w:left="0" w:right="0" w:firstLine="0"/>
              <w:rPr>
                <w:rFonts w:ascii="宋体" w:hAnsi="宋体"/>
                <w:highlight w:val="none"/>
              </w:rPr>
            </w:pPr>
            <w:r>
              <w:rPr>
                <w:rFonts w:hint="eastAsia" w:ascii="宋体" w:hAnsi="宋体"/>
                <w:highlight w:val="none"/>
              </w:rPr>
              <w:t>2.比选申请文件电子版内容：</w:t>
            </w:r>
            <w:r>
              <w:rPr>
                <w:rFonts w:hint="eastAsia" w:ascii="宋体" w:hAnsi="宋体" w:cs="Arial"/>
                <w:highlight w:val="none"/>
              </w:rPr>
              <w:t>资格审查文件、价格文件和技术文件</w:t>
            </w:r>
          </w:p>
          <w:p>
            <w:pPr>
              <w:spacing w:before="0" w:after="0" w:afterAutospacing="0"/>
              <w:ind w:left="0" w:right="0" w:firstLine="0"/>
              <w:rPr>
                <w:rFonts w:ascii="宋体" w:hAnsi="宋体"/>
                <w:highlight w:val="none"/>
              </w:rPr>
            </w:pPr>
            <w:r>
              <w:rPr>
                <w:rFonts w:ascii="宋体" w:hAnsi="宋体"/>
                <w:highlight w:val="none"/>
              </w:rPr>
              <w:t>3.</w:t>
            </w:r>
            <w:r>
              <w:rPr>
                <w:rFonts w:hint="eastAsia" w:ascii="宋体" w:hAnsi="宋体"/>
                <w:highlight w:val="none"/>
              </w:rPr>
              <w:t>比选申请文件电子版份数：1份。</w:t>
            </w:r>
          </w:p>
          <w:p>
            <w:pPr>
              <w:spacing w:before="0" w:after="0" w:afterAutospacing="0"/>
              <w:ind w:left="0" w:right="0" w:firstLine="0"/>
              <w:rPr>
                <w:rFonts w:ascii="宋体" w:hAnsi="宋体"/>
                <w:highlight w:val="none"/>
              </w:rPr>
            </w:pPr>
            <w:r>
              <w:rPr>
                <w:rFonts w:hint="eastAsia" w:ascii="宋体" w:hAnsi="宋体"/>
                <w:highlight w:val="none"/>
              </w:rPr>
              <w:t>4.比选申请文件电子版形式：每份包括office版本或WPS版本的全套比选申请文件(资格审查文件、价格文件和技术文件)和盖章后的全套比选申请文件(资格审查文件、价格文件和技术文件)正本的PDF版本扫描件。保存介质：U盘。</w:t>
            </w:r>
          </w:p>
          <w:p>
            <w:pPr>
              <w:spacing w:before="0" w:after="0" w:afterAutospacing="0"/>
              <w:ind w:left="0" w:right="0" w:firstLine="0"/>
              <w:rPr>
                <w:rFonts w:ascii="宋体" w:hAnsi="宋体"/>
                <w:highlight w:val="none"/>
              </w:rPr>
            </w:pPr>
            <w:r>
              <w:rPr>
                <w:rFonts w:ascii="宋体" w:hAnsi="宋体"/>
                <w:highlight w:val="none"/>
              </w:rPr>
              <w:t>5</w:t>
            </w:r>
            <w:r>
              <w:rPr>
                <w:rFonts w:hint="eastAsia" w:ascii="宋体" w:hAnsi="宋体"/>
                <w:highlight w:val="none"/>
              </w:rPr>
              <w:t>.</w:t>
            </w:r>
            <w:r>
              <w:rPr>
                <w:rFonts w:ascii="宋体" w:hAnsi="宋体"/>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559" w:type="dxa"/>
            <w:vMerge w:val="continue"/>
            <w:tcBorders>
              <w:left w:val="nil"/>
              <w:right w:val="single" w:color="auto" w:sz="4" w:space="0"/>
            </w:tcBorders>
            <w:vAlign w:val="center"/>
          </w:tcPr>
          <w:p>
            <w:pPr>
              <w:spacing w:before="0" w:after="0" w:afterAutospacing="0"/>
              <w:ind w:left="0" w:right="0" w:firstLine="0"/>
              <w:rPr>
                <w:rFonts w:ascii="宋体" w:hAnsi="宋体"/>
                <w:highlight w:val="none"/>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1.本比选文件中描述比选申请人的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highlight w:val="none"/>
              </w:rPr>
            </w:pPr>
            <w:r>
              <w:rPr>
                <w:rFonts w:hint="eastAsia" w:ascii="宋体" w:hAnsi="宋体"/>
                <w:highlight w:val="none"/>
              </w:rPr>
              <w:t>2.本比选文件中描述比选申请人的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559"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42" w:name="_Toc322528193"/>
      <w:bookmarkEnd w:id="42"/>
      <w:bookmarkStart w:id="43" w:name="_Toc114134607"/>
      <w:r>
        <w:rPr>
          <w:rFonts w:hint="eastAsia" w:ascii="宋体" w:hAnsi="宋体" w:eastAsia="宋体"/>
          <w:sz w:val="24"/>
          <w:szCs w:val="24"/>
          <w:highlight w:val="none"/>
        </w:rPr>
        <w:t>一、</w:t>
      </w:r>
      <w:r>
        <w:rPr>
          <w:rFonts w:ascii="宋体" w:hAnsi="宋体" w:eastAsia="宋体"/>
          <w:sz w:val="24"/>
          <w:szCs w:val="24"/>
          <w:highlight w:val="none"/>
        </w:rPr>
        <w:t>说明</w:t>
      </w:r>
      <w:bookmarkEnd w:id="43"/>
    </w:p>
    <w:p>
      <w:pPr>
        <w:pStyle w:val="7"/>
        <w:spacing w:before="0" w:after="0" w:afterAutospacing="0"/>
        <w:ind w:left="0" w:right="0" w:firstLine="422" w:firstLineChars="200"/>
        <w:rPr>
          <w:rFonts w:ascii="宋体" w:hAnsi="宋体"/>
          <w:sz w:val="21"/>
          <w:szCs w:val="21"/>
          <w:highlight w:val="none"/>
        </w:rPr>
      </w:pPr>
      <w:bookmarkStart w:id="44" w:name="_Toc383891168"/>
      <w:bookmarkStart w:id="45" w:name="_Toc114134608"/>
      <w:bookmarkStart w:id="46" w:name="_Toc27079"/>
      <w:bookmarkStart w:id="47" w:name="_Toc25750591"/>
      <w:bookmarkStart w:id="48" w:name="_Toc8166"/>
      <w:bookmarkStart w:id="49" w:name="_Toc28326"/>
      <w:bookmarkStart w:id="50" w:name="_Toc385427793"/>
      <w:bookmarkStart w:id="51" w:name="_Toc21139"/>
      <w:bookmarkStart w:id="52" w:name="_Toc7778"/>
      <w:bookmarkStart w:id="53" w:name="_Toc12526"/>
      <w:bookmarkStart w:id="54" w:name="_Toc463"/>
      <w:bookmarkStart w:id="55" w:name="_Toc3364"/>
      <w:bookmarkStart w:id="56" w:name="_Toc14066"/>
      <w:bookmarkStart w:id="57" w:name="_Toc12983505"/>
      <w:bookmarkStart w:id="58" w:name="_Toc5495"/>
      <w:bookmarkStart w:id="59" w:name="_Toc492478718"/>
      <w:bookmarkStart w:id="60" w:name="_Toc375039064"/>
      <w:bookmarkStart w:id="61" w:name="_Toc11224"/>
      <w:bookmarkStart w:id="62" w:name="_Toc9366"/>
      <w:bookmarkStart w:id="63" w:name="_Toc17845"/>
      <w:bookmarkStart w:id="64" w:name="_Toc3804"/>
      <w:bookmarkStart w:id="65" w:name="_Toc6861"/>
      <w:bookmarkStart w:id="66" w:name="_Toc30570"/>
      <w:bookmarkStart w:id="67" w:name="_Toc31563"/>
      <w:bookmarkStart w:id="68" w:name="_Toc390098419"/>
      <w:r>
        <w:rPr>
          <w:rFonts w:hint="eastAsia" w:ascii="宋体" w:hAnsi="宋体"/>
          <w:sz w:val="21"/>
          <w:szCs w:val="21"/>
          <w:highlight w:val="none"/>
        </w:rPr>
        <w:t xml:space="preserve">1. </w:t>
      </w:r>
      <w:r>
        <w:rPr>
          <w:rFonts w:ascii="宋体" w:hAnsi="宋体"/>
          <w:sz w:val="21"/>
          <w:szCs w:val="21"/>
          <w:highlight w:val="none"/>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1.5合同期：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1.7上限控制价</w:t>
      </w:r>
      <w:r>
        <w:rPr>
          <w:rFonts w:ascii="宋体" w:hAnsi="宋体"/>
          <w:highlight w:val="none"/>
        </w:rPr>
        <w:t>：详见比选申请须知前附表。</w:t>
      </w:r>
    </w:p>
    <w:p>
      <w:pPr>
        <w:pStyle w:val="7"/>
        <w:spacing w:before="0" w:after="0" w:afterAutospacing="0"/>
        <w:ind w:left="0" w:right="0" w:firstLine="422" w:firstLineChars="200"/>
        <w:rPr>
          <w:rFonts w:ascii="宋体" w:hAnsi="宋体"/>
          <w:sz w:val="21"/>
          <w:szCs w:val="21"/>
          <w:highlight w:val="none"/>
        </w:rPr>
      </w:pPr>
      <w:bookmarkStart w:id="69" w:name="_Toc1552"/>
      <w:bookmarkStart w:id="70" w:name="_Toc12983506"/>
      <w:bookmarkStart w:id="71" w:name="_Toc27845"/>
      <w:bookmarkStart w:id="72" w:name="_Toc4780"/>
      <w:bookmarkStart w:id="73" w:name="_Toc24429"/>
      <w:bookmarkStart w:id="74" w:name="_Toc10907"/>
      <w:bookmarkStart w:id="75" w:name="_Toc16860"/>
      <w:bookmarkStart w:id="76" w:name="_Toc114134609"/>
      <w:bookmarkStart w:id="77" w:name="_Toc6985"/>
      <w:bookmarkStart w:id="78" w:name="_Toc21874"/>
      <w:bookmarkStart w:id="79" w:name="_Toc375039065"/>
      <w:bookmarkStart w:id="80" w:name="_Toc390098420"/>
      <w:bookmarkStart w:id="81" w:name="_Toc25750592"/>
      <w:bookmarkStart w:id="82" w:name="_Toc31314"/>
      <w:bookmarkStart w:id="83" w:name="_Toc492478719"/>
      <w:bookmarkStart w:id="84" w:name="_Toc385427794"/>
      <w:bookmarkStart w:id="85" w:name="_Toc22987"/>
      <w:bookmarkStart w:id="86" w:name="_Toc8052"/>
      <w:bookmarkStart w:id="87" w:name="_Toc383891169"/>
      <w:bookmarkStart w:id="88" w:name="_Toc27847"/>
      <w:bookmarkStart w:id="89" w:name="_Toc6038"/>
      <w:r>
        <w:rPr>
          <w:rFonts w:hint="eastAsia" w:ascii="宋体" w:hAnsi="宋体"/>
          <w:sz w:val="21"/>
          <w:szCs w:val="21"/>
          <w:highlight w:val="none"/>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hint="eastAsia" w:ascii="宋体" w:hAnsi="宋体"/>
          <w:b/>
          <w:highlight w:val="none"/>
        </w:rPr>
      </w:pPr>
      <w:r>
        <w:rPr>
          <w:rFonts w:hint="eastAsia" w:ascii="宋体" w:hAnsi="宋体"/>
          <w:highlight w:val="none"/>
        </w:rPr>
        <w:t xml:space="preserve">2.1 </w:t>
      </w:r>
      <w:r>
        <w:rPr>
          <w:rFonts w:ascii="宋体" w:hAnsi="宋体"/>
          <w:highlight w:val="none"/>
        </w:rPr>
        <w:t>“比选人”系指提出</w:t>
      </w:r>
      <w:r>
        <w:rPr>
          <w:rFonts w:hint="eastAsia" w:ascii="宋体" w:hAnsi="宋体"/>
          <w:highlight w:val="none"/>
        </w:rPr>
        <w:t>比选</w:t>
      </w:r>
      <w:r>
        <w:rPr>
          <w:rFonts w:ascii="宋体" w:hAnsi="宋体"/>
          <w:highlight w:val="none"/>
        </w:rPr>
        <w:t>采购</w:t>
      </w:r>
      <w:r>
        <w:rPr>
          <w:rFonts w:hint="eastAsia" w:ascii="宋体" w:hAnsi="宋体"/>
          <w:highlight w:val="none"/>
        </w:rPr>
        <w:t>项目</w:t>
      </w:r>
      <w:r>
        <w:rPr>
          <w:rFonts w:ascii="宋体" w:hAnsi="宋体"/>
          <w:highlight w:val="none"/>
        </w:rPr>
        <w:t>的国家机关、企业、事业单位或其它组织。本比选文件中比选人是指</w:t>
      </w:r>
      <w:r>
        <w:rPr>
          <w:rFonts w:hint="eastAsia" w:ascii="宋体" w:hAnsi="宋体"/>
          <w:b/>
          <w:bCs/>
          <w:highlight w:val="none"/>
        </w:rPr>
        <w:t>南宁轨道交通集团有限责任公司</w:t>
      </w:r>
      <w:r>
        <w:rPr>
          <w:rFonts w:ascii="宋体" w:hAnsi="宋体"/>
          <w:highlight w:val="none"/>
        </w:rPr>
        <w:t>如无特别说明本比选文件中的“发包人、业主、甲方和比选人”均指：</w:t>
      </w:r>
      <w:r>
        <w:rPr>
          <w:rFonts w:hint="eastAsia" w:ascii="宋体" w:hAnsi="宋体"/>
          <w:b/>
          <w:highlight w:val="none"/>
        </w:rPr>
        <w:t>南宁轨道交通集团有限责任公司</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系指响应比选、参加比选申请竞争的法人或其他组织</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2.3</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系指比选文件规定比选申请人须承担的一切合同标的内容及配套工作。</w:t>
      </w:r>
    </w:p>
    <w:p>
      <w:pPr>
        <w:spacing w:before="0" w:after="0" w:afterAutospacing="0"/>
        <w:ind w:left="0" w:right="0" w:firstLine="420" w:firstLineChars="200"/>
        <w:rPr>
          <w:rFonts w:ascii="宋体" w:hAnsi="宋体"/>
          <w:highlight w:val="none"/>
        </w:rPr>
      </w:pPr>
      <w:r>
        <w:rPr>
          <w:rFonts w:hint="eastAsia" w:ascii="宋体" w:hAnsi="宋体"/>
          <w:highlight w:val="none"/>
        </w:rPr>
        <w:t>2.4比选申请文件电子版形式：每份包括office版本或WPS版本的全套比选申请文件(资格审查文件、价格文件和技术文件)和盖章后的全套比选申请文件(资格审查文件、价格文件和技术文件)正本的PDF版本扫描件。保存介质：U盘</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2.5</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2.6</w:t>
      </w:r>
      <w:r>
        <w:rPr>
          <w:rFonts w:ascii="宋体" w:hAnsi="宋体"/>
          <w:highlight w:val="none"/>
        </w:rPr>
        <w:t>“日”、“天”系指日历天。</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2.7“保质期”系指质量三包的期限。</w:t>
      </w:r>
    </w:p>
    <w:p>
      <w:pPr>
        <w:pStyle w:val="7"/>
        <w:spacing w:before="0" w:after="0" w:afterAutospacing="0"/>
        <w:ind w:left="0" w:right="0" w:firstLine="422" w:firstLineChars="200"/>
        <w:rPr>
          <w:rFonts w:ascii="宋体" w:hAnsi="宋体"/>
          <w:sz w:val="21"/>
          <w:szCs w:val="21"/>
          <w:highlight w:val="none"/>
        </w:rPr>
      </w:pPr>
      <w:bookmarkStart w:id="90" w:name="_Toc385427795"/>
      <w:bookmarkStart w:id="91" w:name="_Toc383891170"/>
      <w:bookmarkStart w:id="92" w:name="_Toc390098421"/>
      <w:bookmarkStart w:id="93" w:name="_Toc375039066"/>
      <w:bookmarkStart w:id="94" w:name="_Toc492478720"/>
      <w:bookmarkStart w:id="95" w:name="_Toc9929"/>
      <w:bookmarkStart w:id="96" w:name="_Toc24844"/>
      <w:bookmarkStart w:id="97" w:name="_Toc12983507"/>
      <w:bookmarkStart w:id="98" w:name="_Toc25750593"/>
      <w:bookmarkStart w:id="99" w:name="_Toc17075"/>
      <w:bookmarkStart w:id="100" w:name="_Toc29401"/>
      <w:bookmarkStart w:id="101" w:name="_Toc22115"/>
      <w:bookmarkStart w:id="102" w:name="_Toc29859"/>
      <w:bookmarkStart w:id="103" w:name="_Toc7797"/>
      <w:bookmarkStart w:id="104" w:name="_Toc12940"/>
      <w:bookmarkStart w:id="105" w:name="_Toc30498"/>
      <w:bookmarkStart w:id="106" w:name="_Toc17568"/>
      <w:bookmarkStart w:id="107" w:name="_Toc10653"/>
      <w:bookmarkStart w:id="108" w:name="_Toc25786"/>
      <w:bookmarkStart w:id="109" w:name="_Toc22845"/>
      <w:bookmarkStart w:id="110" w:name="_Toc114134610"/>
      <w:bookmarkStart w:id="111" w:name="_Toc307"/>
      <w:bookmarkStart w:id="112" w:name="_Toc31477"/>
      <w:bookmarkStart w:id="113" w:name="_Toc8288"/>
      <w:bookmarkStart w:id="114" w:name="_Toc7306"/>
      <w:r>
        <w:rPr>
          <w:rFonts w:ascii="宋体" w:hAnsi="宋体"/>
          <w:sz w:val="21"/>
          <w:szCs w:val="21"/>
          <w:highlight w:val="none"/>
        </w:rPr>
        <w:t>3. 比选申请人</w:t>
      </w:r>
      <w:bookmarkEnd w:id="90"/>
      <w:bookmarkEnd w:id="91"/>
      <w:bookmarkEnd w:id="92"/>
      <w:bookmarkEnd w:id="93"/>
      <w:bookmarkEnd w:id="94"/>
      <w:r>
        <w:rPr>
          <w:rFonts w:hint="eastAsia" w:ascii="宋体" w:hAnsi="宋体"/>
          <w:sz w:val="21"/>
          <w:szCs w:val="21"/>
          <w:highlight w:val="none"/>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（5）比选申请人向比选人或评审委员会成员以行贿的手段谋取中选的；</w:t>
      </w:r>
    </w:p>
    <w:p>
      <w:pP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（7）在比选申请文件中提供虚假文件或资料的。</w:t>
      </w:r>
    </w:p>
    <w:p>
      <w:pPr>
        <w:pStyle w:val="7"/>
        <w:spacing w:before="0" w:after="0" w:afterAutospacing="0"/>
        <w:ind w:left="0" w:right="0" w:firstLine="422" w:firstLineChars="200"/>
        <w:rPr>
          <w:rFonts w:ascii="宋体" w:hAnsi="宋体"/>
          <w:sz w:val="21"/>
          <w:szCs w:val="21"/>
          <w:highlight w:val="none"/>
        </w:rPr>
      </w:pPr>
      <w:bookmarkStart w:id="115" w:name="_Toc114134611"/>
      <w:bookmarkStart w:id="116" w:name="_Toc492478721"/>
      <w:bookmarkStart w:id="117" w:name="_Toc4438"/>
      <w:bookmarkStart w:id="118" w:name="_Toc31789"/>
      <w:bookmarkStart w:id="119" w:name="_Toc21215"/>
      <w:bookmarkStart w:id="120" w:name="_Toc25914"/>
      <w:bookmarkStart w:id="121" w:name="_Toc375039067"/>
      <w:bookmarkStart w:id="122" w:name="_Toc24103"/>
      <w:bookmarkStart w:id="123" w:name="_Toc21602"/>
      <w:bookmarkStart w:id="124" w:name="_Toc385427796"/>
      <w:bookmarkStart w:id="125" w:name="_Toc616"/>
      <w:bookmarkStart w:id="126" w:name="_Toc7103"/>
      <w:bookmarkStart w:id="127" w:name="_Toc25750594"/>
      <w:bookmarkStart w:id="128" w:name="_Toc7832"/>
      <w:bookmarkStart w:id="129" w:name="_Toc19709"/>
      <w:bookmarkStart w:id="130" w:name="_Toc383891171"/>
      <w:bookmarkStart w:id="131" w:name="_Toc18668"/>
      <w:bookmarkStart w:id="132" w:name="_Toc1125"/>
      <w:bookmarkStart w:id="133" w:name="_Toc30752"/>
      <w:bookmarkStart w:id="134" w:name="_Toc3292"/>
      <w:bookmarkStart w:id="135" w:name="_Toc390098422"/>
      <w:bookmarkStart w:id="136" w:name="_Toc12983508"/>
      <w:bookmarkStart w:id="137" w:name="_Toc23146"/>
      <w:bookmarkStart w:id="138" w:name="_Toc1737"/>
      <w:bookmarkStart w:id="139" w:name="_Toc19081"/>
      <w:r>
        <w:rPr>
          <w:rFonts w:hint="eastAsia" w:ascii="宋体" w:hAnsi="宋体"/>
          <w:sz w:val="21"/>
          <w:szCs w:val="21"/>
          <w:highlight w:val="none"/>
        </w:rPr>
        <w:t xml:space="preserve">4. </w:t>
      </w:r>
      <w:r>
        <w:rPr>
          <w:rFonts w:ascii="宋体" w:hAnsi="宋体"/>
          <w:sz w:val="21"/>
          <w:szCs w:val="21"/>
          <w:highlight w:val="none"/>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140" w:name="_Toc390098423"/>
      <w:bookmarkStart w:id="141" w:name="_Toc12983509"/>
      <w:bookmarkStart w:id="142" w:name="_Toc16131"/>
      <w:bookmarkStart w:id="143" w:name="_Toc15763"/>
      <w:bookmarkStart w:id="144" w:name="_Toc375039068"/>
      <w:bookmarkStart w:id="145" w:name="_Toc19617"/>
      <w:bookmarkStart w:id="146" w:name="_Toc16530"/>
      <w:bookmarkStart w:id="147" w:name="_Toc2986"/>
      <w:bookmarkStart w:id="148" w:name="_Toc9677"/>
      <w:bookmarkStart w:id="149" w:name="_Toc8562"/>
      <w:bookmarkStart w:id="150" w:name="_Toc385427797"/>
      <w:bookmarkStart w:id="151" w:name="_Toc114134612"/>
      <w:bookmarkStart w:id="152" w:name="_Toc492478722"/>
      <w:bookmarkStart w:id="153" w:name="_Toc2609"/>
      <w:bookmarkStart w:id="154" w:name="_Toc3854"/>
      <w:bookmarkStart w:id="155" w:name="_Toc28220"/>
      <w:bookmarkStart w:id="156" w:name="_Toc18528"/>
      <w:bookmarkStart w:id="157" w:name="_Toc383891172"/>
      <w:bookmarkStart w:id="158" w:name="_Toc5160"/>
      <w:bookmarkStart w:id="159" w:name="_Toc16608"/>
      <w:bookmarkStart w:id="160" w:name="_Toc6528"/>
      <w:bookmarkStart w:id="161" w:name="_Toc29160"/>
      <w:bookmarkStart w:id="162" w:name="_Toc5487"/>
      <w:bookmarkStart w:id="163" w:name="_Toc7339"/>
      <w:r>
        <w:rPr>
          <w:rFonts w:hint="eastAsia" w:ascii="宋体" w:hAnsi="宋体" w:eastAsia="宋体"/>
          <w:sz w:val="24"/>
          <w:szCs w:val="24"/>
          <w:highlight w:val="none"/>
        </w:rPr>
        <w:t>二、</w:t>
      </w:r>
      <w:r>
        <w:rPr>
          <w:rFonts w:ascii="宋体" w:hAnsi="宋体" w:eastAsia="宋体"/>
          <w:sz w:val="24"/>
          <w:szCs w:val="24"/>
          <w:highlight w:val="none"/>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7"/>
        <w:spacing w:before="0" w:after="0" w:afterAutospacing="0"/>
        <w:ind w:left="0" w:right="0" w:firstLine="422" w:firstLineChars="200"/>
        <w:rPr>
          <w:rFonts w:ascii="宋体" w:hAnsi="宋体"/>
          <w:sz w:val="21"/>
          <w:szCs w:val="21"/>
          <w:highlight w:val="none"/>
        </w:rPr>
      </w:pPr>
      <w:bookmarkStart w:id="164" w:name="_Toc385427798"/>
      <w:bookmarkStart w:id="165" w:name="_Toc21811"/>
      <w:bookmarkStart w:id="166" w:name="_Toc29225"/>
      <w:bookmarkStart w:id="167" w:name="_Toc383891173"/>
      <w:bookmarkStart w:id="168" w:name="_Toc30401"/>
      <w:bookmarkStart w:id="169" w:name="_Toc4157"/>
      <w:bookmarkStart w:id="170" w:name="_Toc27870"/>
      <w:bookmarkStart w:id="171" w:name="_Toc32710"/>
      <w:bookmarkStart w:id="172" w:name="_Toc839"/>
      <w:bookmarkStart w:id="173" w:name="_Toc19561"/>
      <w:bookmarkStart w:id="174" w:name="_Toc6637"/>
      <w:bookmarkStart w:id="175" w:name="_Toc25750596"/>
      <w:bookmarkStart w:id="176" w:name="_Toc492478723"/>
      <w:bookmarkStart w:id="177" w:name="_Toc29472"/>
      <w:bookmarkStart w:id="178" w:name="_Toc25378"/>
      <w:bookmarkStart w:id="179" w:name="_Toc18436"/>
      <w:bookmarkStart w:id="180" w:name="_Toc9756"/>
      <w:bookmarkStart w:id="181" w:name="_Toc114134613"/>
      <w:bookmarkStart w:id="182" w:name="_Toc6764"/>
      <w:bookmarkStart w:id="183" w:name="_Toc375039069"/>
      <w:bookmarkStart w:id="184" w:name="_Toc12983510"/>
      <w:bookmarkStart w:id="185" w:name="_Toc13114"/>
      <w:bookmarkStart w:id="186" w:name="_Toc390098424"/>
      <w:bookmarkStart w:id="187" w:name="_Toc26333"/>
      <w:bookmarkStart w:id="188" w:name="_Toc5877"/>
      <w:r>
        <w:rPr>
          <w:rFonts w:hint="eastAsia" w:ascii="宋体" w:hAnsi="宋体"/>
          <w:sz w:val="21"/>
          <w:szCs w:val="21"/>
          <w:highlight w:val="none"/>
        </w:rPr>
        <w:t xml:space="preserve">5. </w:t>
      </w:r>
      <w:r>
        <w:rPr>
          <w:rFonts w:ascii="宋体" w:hAnsi="宋体"/>
          <w:sz w:val="21"/>
          <w:szCs w:val="21"/>
          <w:highlight w:val="none"/>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numPr>
          <w:ilvl w:val="0"/>
          <w:numId w:val="2"/>
        </w:numPr>
        <w:spacing w:before="0"/>
        <w:ind w:right="0" w:firstLine="200"/>
        <w:rPr>
          <w:rFonts w:ascii="宋体" w:hAnsi="宋体"/>
          <w:highlight w:val="none"/>
        </w:rPr>
      </w:pPr>
      <w:r>
        <w:rPr>
          <w:rFonts w:ascii="宋体" w:hAnsi="宋体"/>
          <w:highlight w:val="none"/>
        </w:rPr>
        <w:t>比选公告</w:t>
      </w:r>
    </w:p>
    <w:p>
      <w:pPr>
        <w:numPr>
          <w:ilvl w:val="0"/>
          <w:numId w:val="2"/>
        </w:numPr>
        <w:spacing w:before="0"/>
        <w:ind w:right="0" w:firstLine="200"/>
        <w:rPr>
          <w:rFonts w:ascii="宋体" w:hAnsi="宋体"/>
          <w:highlight w:val="none"/>
        </w:rPr>
      </w:pPr>
      <w:r>
        <w:rPr>
          <w:rFonts w:ascii="宋体" w:hAnsi="宋体"/>
          <w:highlight w:val="none"/>
        </w:rPr>
        <w:t>比选申请人须知</w:t>
      </w:r>
    </w:p>
    <w:p>
      <w:pPr>
        <w:numPr>
          <w:ilvl w:val="0"/>
          <w:numId w:val="2"/>
        </w:numPr>
        <w:spacing w:before="0"/>
        <w:ind w:right="0" w:firstLine="200"/>
        <w:rPr>
          <w:rFonts w:ascii="宋体" w:hAnsi="宋体"/>
          <w:highlight w:val="none"/>
        </w:rPr>
      </w:pPr>
      <w:r>
        <w:rPr>
          <w:rFonts w:ascii="宋体" w:hAnsi="宋体"/>
          <w:highlight w:val="none"/>
        </w:rPr>
        <w:t>合同条款</w:t>
      </w:r>
      <w:r>
        <w:rPr>
          <w:rFonts w:hint="eastAsia" w:ascii="宋体" w:hAnsi="宋体"/>
          <w:highlight w:val="none"/>
        </w:rPr>
        <w:t>及格式</w:t>
      </w:r>
    </w:p>
    <w:p>
      <w:pPr>
        <w:numPr>
          <w:ilvl w:val="0"/>
          <w:numId w:val="2"/>
        </w:numPr>
        <w:spacing w:before="0"/>
        <w:ind w:right="0" w:firstLine="200"/>
        <w:rPr>
          <w:rFonts w:ascii="宋体" w:hAnsi="宋体"/>
          <w:highlight w:val="none"/>
        </w:rPr>
      </w:pPr>
      <w:r>
        <w:rPr>
          <w:rFonts w:ascii="宋体" w:hAnsi="宋体"/>
          <w:highlight w:val="none"/>
        </w:rPr>
        <w:t>比选申请文件格式</w:t>
      </w:r>
    </w:p>
    <w:p>
      <w:pPr>
        <w:numPr>
          <w:ilvl w:val="0"/>
          <w:numId w:val="2"/>
        </w:numPr>
        <w:spacing w:before="0"/>
        <w:ind w:right="0" w:firstLine="200"/>
        <w:rPr>
          <w:rFonts w:ascii="宋体" w:hAnsi="宋体"/>
          <w:highlight w:val="none"/>
        </w:rPr>
      </w:pPr>
      <w:r>
        <w:rPr>
          <w:rFonts w:hint="eastAsia" w:ascii="宋体" w:hAnsi="宋体"/>
          <w:highlight w:val="none"/>
        </w:rPr>
        <w:t>发包人要求</w:t>
      </w:r>
    </w:p>
    <w:p>
      <w:pPr>
        <w:numPr>
          <w:ilvl w:val="0"/>
          <w:numId w:val="2"/>
        </w:numPr>
        <w:spacing w:before="0" w:after="0" w:afterAutospacing="0"/>
        <w:ind w:right="0" w:firstLine="198"/>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7"/>
        <w:spacing w:before="0" w:after="0" w:afterAutospacing="0"/>
        <w:ind w:left="0" w:right="0" w:firstLine="422" w:firstLineChars="200"/>
        <w:rPr>
          <w:rFonts w:ascii="宋体" w:hAnsi="宋体"/>
          <w:sz w:val="21"/>
          <w:szCs w:val="21"/>
          <w:highlight w:val="none"/>
        </w:rPr>
      </w:pPr>
      <w:bookmarkStart w:id="189" w:name="_Toc383891174"/>
      <w:bookmarkStart w:id="190" w:name="_Toc26909"/>
      <w:bookmarkStart w:id="191" w:name="_Toc26811"/>
      <w:bookmarkStart w:id="192" w:name="_Toc28270"/>
      <w:bookmarkStart w:id="193" w:name="_Toc31386"/>
      <w:bookmarkStart w:id="194" w:name="_Toc375039070"/>
      <w:bookmarkStart w:id="195" w:name="_Toc15154"/>
      <w:bookmarkStart w:id="196" w:name="_Toc31848"/>
      <w:bookmarkStart w:id="197" w:name="_Toc17279"/>
      <w:bookmarkStart w:id="198" w:name="_Toc12983511"/>
      <w:bookmarkStart w:id="199" w:name="_Toc25750597"/>
      <w:bookmarkStart w:id="200" w:name="_Toc385427799"/>
      <w:bookmarkStart w:id="201" w:name="_Toc10162"/>
      <w:bookmarkStart w:id="202" w:name="_Toc390098425"/>
      <w:bookmarkStart w:id="203" w:name="_Toc2664"/>
      <w:bookmarkStart w:id="204" w:name="_Toc14426"/>
      <w:bookmarkStart w:id="205" w:name="_Toc29001"/>
      <w:bookmarkStart w:id="206" w:name="_Toc2789"/>
      <w:bookmarkStart w:id="207" w:name="_Toc2489"/>
      <w:bookmarkStart w:id="208" w:name="_Toc18631"/>
      <w:bookmarkStart w:id="209" w:name="_Toc20903"/>
      <w:bookmarkStart w:id="210" w:name="_Toc114134614"/>
      <w:bookmarkStart w:id="211" w:name="_Toc11896"/>
      <w:bookmarkStart w:id="212" w:name="_Toc21365"/>
      <w:bookmarkStart w:id="213" w:name="_Toc492478724"/>
      <w:r>
        <w:rPr>
          <w:rFonts w:hint="eastAsia" w:ascii="宋体" w:hAnsi="宋体"/>
          <w:sz w:val="21"/>
          <w:szCs w:val="21"/>
          <w:highlight w:val="none"/>
        </w:rPr>
        <w:t>6.</w:t>
      </w:r>
      <w:r>
        <w:rPr>
          <w:rFonts w:ascii="宋体" w:hAnsi="宋体"/>
          <w:sz w:val="21"/>
          <w:szCs w:val="21"/>
          <w:highlight w:val="none"/>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pStyle w:val="7"/>
        <w:spacing w:before="0" w:after="0" w:afterAutospacing="0"/>
        <w:ind w:left="0" w:right="0" w:firstLine="422" w:firstLineChars="200"/>
        <w:rPr>
          <w:rFonts w:ascii="宋体" w:hAnsi="宋体"/>
          <w:sz w:val="21"/>
          <w:szCs w:val="21"/>
          <w:highlight w:val="none"/>
        </w:rPr>
      </w:pPr>
      <w:bookmarkStart w:id="214" w:name="_Toc375039071"/>
      <w:bookmarkStart w:id="215" w:name="_Toc492478725"/>
      <w:bookmarkStart w:id="216" w:name="_Toc22529"/>
      <w:bookmarkStart w:id="217" w:name="_Toc15498"/>
      <w:bookmarkStart w:id="218" w:name="_Toc24191"/>
      <w:bookmarkStart w:id="219" w:name="_Toc390098426"/>
      <w:bookmarkStart w:id="220" w:name="_Toc24583"/>
      <w:bookmarkStart w:id="221" w:name="_Toc14181"/>
      <w:bookmarkStart w:id="222" w:name="_Toc25750598"/>
      <w:bookmarkStart w:id="223" w:name="_Toc383891175"/>
      <w:bookmarkStart w:id="224" w:name="_Toc385427800"/>
      <w:bookmarkStart w:id="225" w:name="_Toc26952"/>
      <w:bookmarkStart w:id="226" w:name="_Toc19345"/>
      <w:bookmarkStart w:id="227" w:name="_Toc27124"/>
      <w:bookmarkStart w:id="228" w:name="_Toc2976"/>
      <w:bookmarkStart w:id="229" w:name="_Toc5364"/>
      <w:bookmarkStart w:id="230" w:name="_Toc12983512"/>
      <w:bookmarkStart w:id="231" w:name="_Toc24128"/>
      <w:bookmarkStart w:id="232" w:name="_Toc2072"/>
      <w:bookmarkStart w:id="233" w:name="_Toc114134615"/>
      <w:bookmarkStart w:id="234" w:name="_Toc7063"/>
      <w:bookmarkStart w:id="235" w:name="_Toc30378"/>
      <w:bookmarkStart w:id="236" w:name="_Toc15674"/>
      <w:bookmarkStart w:id="237" w:name="_Toc15137"/>
      <w:bookmarkStart w:id="238" w:name="_Toc29795"/>
      <w:r>
        <w:rPr>
          <w:rFonts w:hint="eastAsia" w:ascii="宋体" w:hAnsi="宋体"/>
          <w:sz w:val="21"/>
          <w:szCs w:val="21"/>
          <w:highlight w:val="none"/>
        </w:rPr>
        <w:t xml:space="preserve">7. </w:t>
      </w:r>
      <w:r>
        <w:rPr>
          <w:rFonts w:ascii="宋体" w:hAnsi="宋体"/>
          <w:sz w:val="21"/>
          <w:szCs w:val="21"/>
          <w:highlight w:val="none"/>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7.2 </w:t>
      </w:r>
      <w:r>
        <w:rPr>
          <w:rFonts w:ascii="宋体" w:hAnsi="宋体"/>
          <w:highlight w:val="none"/>
        </w:rPr>
        <w:t>比选文件的补遗或修改通知是比选文件的组成部分，补充比选文件在</w:t>
      </w:r>
      <w:r>
        <w:rPr>
          <w:rFonts w:hint="eastAsia" w:ascii="宋体" w:hAnsi="宋体"/>
          <w:highlight w:val="none"/>
        </w:rPr>
        <w:t>南宁轨道地产集团有限责任公司官网</w:t>
      </w:r>
      <w:r>
        <w:rPr>
          <w:rFonts w:ascii="宋体" w:hAnsi="宋体"/>
          <w:highlight w:val="none"/>
        </w:rPr>
        <w:t>上发布之日起，视为比选申请人已收到该补充比选文件。比选申请人未及时关注</w:t>
      </w:r>
      <w:r>
        <w:rPr>
          <w:rFonts w:hint="eastAsia" w:ascii="宋体" w:hAnsi="宋体"/>
          <w:highlight w:val="none"/>
        </w:rPr>
        <w:t>南宁轨道地产集团有限责任公司官网</w:t>
      </w:r>
      <w:r>
        <w:rPr>
          <w:rFonts w:ascii="宋体" w:hAnsi="宋体"/>
          <w:highlight w:val="none"/>
        </w:rPr>
        <w:t>上发布的补充比选文件造成的损失，由比选申请人自行负责。</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239" w:name="_Toc114134616"/>
      <w:bookmarkStart w:id="240" w:name="_Toc7604"/>
      <w:bookmarkStart w:id="241" w:name="_Toc95"/>
      <w:bookmarkStart w:id="242" w:name="_Toc390098427"/>
      <w:bookmarkStart w:id="243" w:name="_Toc14185"/>
      <w:bookmarkStart w:id="244" w:name="_Toc12983513"/>
      <w:bookmarkStart w:id="245" w:name="_Toc30363"/>
      <w:bookmarkStart w:id="246" w:name="_Toc17335"/>
      <w:bookmarkStart w:id="247" w:name="_Toc10869"/>
      <w:bookmarkStart w:id="248" w:name="_Toc18679"/>
      <w:bookmarkStart w:id="249" w:name="_Toc16406"/>
      <w:bookmarkStart w:id="250" w:name="_Toc4718"/>
      <w:bookmarkStart w:id="251" w:name="_Toc5805"/>
      <w:bookmarkStart w:id="252" w:name="_Toc17692"/>
      <w:bookmarkStart w:id="253" w:name="_Toc25361"/>
      <w:bookmarkStart w:id="254" w:name="_Toc2902"/>
      <w:bookmarkStart w:id="255" w:name="_Toc492478726"/>
      <w:bookmarkStart w:id="256" w:name="_Toc375039072"/>
      <w:bookmarkStart w:id="257" w:name="_Toc27913"/>
      <w:bookmarkStart w:id="258" w:name="_Toc383891176"/>
      <w:bookmarkStart w:id="259" w:name="_Toc24759"/>
      <w:bookmarkStart w:id="260" w:name="_Toc28044"/>
      <w:bookmarkStart w:id="261" w:name="_Toc24557"/>
      <w:bookmarkStart w:id="262" w:name="_Toc385427801"/>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7"/>
        <w:spacing w:before="0" w:after="0" w:afterAutospacing="0"/>
        <w:ind w:left="0" w:right="0" w:firstLine="422" w:firstLineChars="200"/>
        <w:rPr>
          <w:rFonts w:ascii="宋体" w:hAnsi="宋体"/>
          <w:sz w:val="21"/>
          <w:szCs w:val="21"/>
          <w:highlight w:val="none"/>
        </w:rPr>
      </w:pPr>
      <w:bookmarkStart w:id="263" w:name="_Toc12983514"/>
      <w:bookmarkStart w:id="264" w:name="_Toc23794"/>
      <w:bookmarkStart w:id="265" w:name="_Toc16186"/>
      <w:bookmarkStart w:id="266" w:name="_Toc20025"/>
      <w:bookmarkStart w:id="267" w:name="_Toc4384"/>
      <w:bookmarkStart w:id="268" w:name="_Toc29862"/>
      <w:bookmarkStart w:id="269" w:name="_Toc12456"/>
      <w:bookmarkStart w:id="270" w:name="_Toc375039073"/>
      <w:bookmarkStart w:id="271" w:name="_Toc21673"/>
      <w:bookmarkStart w:id="272" w:name="_Toc2819"/>
      <w:bookmarkStart w:id="273" w:name="_Toc13418"/>
      <w:bookmarkStart w:id="274" w:name="_Toc26680"/>
      <w:bookmarkStart w:id="275" w:name="_Toc26150"/>
      <w:bookmarkStart w:id="276" w:name="_Toc390098428"/>
      <w:bookmarkStart w:id="277" w:name="_Toc114134617"/>
      <w:bookmarkStart w:id="278" w:name="_Toc25750600"/>
      <w:bookmarkStart w:id="279" w:name="_Toc12074"/>
      <w:bookmarkStart w:id="280" w:name="_Toc492478727"/>
      <w:bookmarkStart w:id="281" w:name="_Toc9592"/>
      <w:bookmarkStart w:id="282" w:name="_Toc18350"/>
      <w:bookmarkStart w:id="283" w:name="_Toc11259"/>
      <w:bookmarkStart w:id="284" w:name="_Toc16435"/>
      <w:bookmarkStart w:id="285" w:name="_Toc1733"/>
      <w:bookmarkStart w:id="286" w:name="_Toc385427802"/>
      <w:bookmarkStart w:id="287" w:name="_Toc383891177"/>
      <w:r>
        <w:rPr>
          <w:rFonts w:hint="eastAsia" w:ascii="宋体" w:hAnsi="宋体"/>
          <w:sz w:val="21"/>
          <w:szCs w:val="21"/>
          <w:highlight w:val="none"/>
        </w:rPr>
        <w:t xml:space="preserve">8. </w:t>
      </w:r>
      <w:r>
        <w:rPr>
          <w:rFonts w:ascii="宋体" w:hAnsi="宋体"/>
          <w:sz w:val="21"/>
          <w:szCs w:val="21"/>
          <w:highlight w:val="none"/>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7"/>
        <w:numPr>
          <w:ilvl w:val="0"/>
          <w:numId w:val="3"/>
        </w:numPr>
        <w:spacing w:before="0" w:after="0" w:afterAutospacing="0"/>
        <w:ind w:left="0" w:right="0" w:firstLine="422" w:firstLineChars="200"/>
        <w:rPr>
          <w:rFonts w:ascii="宋体" w:hAnsi="宋体"/>
          <w:sz w:val="21"/>
          <w:szCs w:val="21"/>
          <w:highlight w:val="none"/>
        </w:rPr>
      </w:pPr>
      <w:bookmarkStart w:id="288" w:name="_Toc114134618"/>
      <w:bookmarkStart w:id="289" w:name="_Toc385427803"/>
      <w:bookmarkStart w:id="290" w:name="_Toc25750601"/>
      <w:bookmarkStart w:id="291" w:name="_Toc28065"/>
      <w:bookmarkStart w:id="292" w:name="_Toc11040"/>
      <w:bookmarkStart w:id="293" w:name="_Toc28296"/>
      <w:bookmarkStart w:id="294" w:name="_Toc375039074"/>
      <w:bookmarkStart w:id="295" w:name="_Toc3492"/>
      <w:bookmarkStart w:id="296" w:name="_Toc16237"/>
      <w:bookmarkStart w:id="297" w:name="_Toc11161"/>
      <w:bookmarkStart w:id="298" w:name="_Toc9887"/>
      <w:bookmarkStart w:id="299" w:name="_Toc24857"/>
      <w:bookmarkStart w:id="300" w:name="_Toc492478728"/>
      <w:bookmarkStart w:id="301" w:name="_Toc15570"/>
      <w:bookmarkStart w:id="302" w:name="_Toc26753"/>
      <w:bookmarkStart w:id="303" w:name="_Toc19885"/>
      <w:bookmarkStart w:id="304" w:name="_Toc22026"/>
      <w:bookmarkStart w:id="305" w:name="_Toc6261"/>
      <w:bookmarkStart w:id="306" w:name="_Toc390098429"/>
      <w:bookmarkStart w:id="307" w:name="_Toc383891178"/>
      <w:bookmarkStart w:id="308" w:name="_Toc12983515"/>
      <w:bookmarkStart w:id="309" w:name="_Toc12207"/>
      <w:bookmarkStart w:id="310" w:name="_Toc24935"/>
      <w:bookmarkStart w:id="311" w:name="_Toc1047"/>
      <w:bookmarkStart w:id="312" w:name="_Toc25770"/>
      <w:r>
        <w:rPr>
          <w:rFonts w:ascii="宋体" w:hAnsi="宋体"/>
          <w:sz w:val="21"/>
          <w:szCs w:val="21"/>
          <w:highlight w:val="none"/>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pStyle w:val="7"/>
        <w:numPr>
          <w:ilvl w:val="0"/>
          <w:numId w:val="3"/>
        </w:numPr>
        <w:spacing w:before="0" w:after="0" w:afterAutospacing="0"/>
        <w:ind w:left="0" w:right="0" w:firstLine="422" w:firstLineChars="200"/>
        <w:rPr>
          <w:rFonts w:ascii="宋体" w:hAnsi="宋体"/>
          <w:sz w:val="21"/>
          <w:szCs w:val="21"/>
          <w:highlight w:val="none"/>
        </w:rPr>
      </w:pPr>
      <w:bookmarkStart w:id="313" w:name="_Toc23364"/>
      <w:bookmarkStart w:id="314" w:name="_Toc383891179"/>
      <w:bookmarkStart w:id="315" w:name="_Toc375039075"/>
      <w:bookmarkStart w:id="316" w:name="_Toc19681"/>
      <w:bookmarkStart w:id="317" w:name="_Toc3877"/>
      <w:bookmarkStart w:id="318" w:name="_Toc22476"/>
      <w:bookmarkStart w:id="319" w:name="_Toc16307"/>
      <w:bookmarkStart w:id="320" w:name="_Toc29881"/>
      <w:bookmarkStart w:id="321" w:name="_Toc53"/>
      <w:bookmarkStart w:id="322" w:name="_Toc390098430"/>
      <w:bookmarkStart w:id="323" w:name="_Toc18149"/>
      <w:bookmarkStart w:id="324" w:name="_Toc385427804"/>
      <w:bookmarkStart w:id="325" w:name="_Toc15809"/>
      <w:bookmarkStart w:id="326" w:name="_Toc23229"/>
      <w:bookmarkStart w:id="327" w:name="_Toc30356"/>
      <w:bookmarkStart w:id="328" w:name="_Toc3464"/>
      <w:bookmarkStart w:id="329" w:name="_Toc30991"/>
      <w:bookmarkStart w:id="330" w:name="_Toc114134619"/>
      <w:bookmarkStart w:id="331" w:name="_Toc24760"/>
      <w:bookmarkStart w:id="332" w:name="_Toc28164"/>
      <w:bookmarkStart w:id="333" w:name="_Toc12983516"/>
      <w:bookmarkStart w:id="334" w:name="_Toc3411"/>
      <w:bookmarkStart w:id="335" w:name="_Toc25750602"/>
      <w:bookmarkStart w:id="336" w:name="_Toc14323"/>
      <w:bookmarkStart w:id="337" w:name="_Toc492478729"/>
      <w:r>
        <w:rPr>
          <w:rFonts w:ascii="宋体" w:hAnsi="宋体"/>
          <w:sz w:val="21"/>
          <w:szCs w:val="21"/>
          <w:highlight w:val="none"/>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10.2资格审查文件和技术文件不得透露有关报价的任何信息，否则其比选申请将被否决。</w:t>
      </w:r>
    </w:p>
    <w:p>
      <w:pPr>
        <w:pStyle w:val="7"/>
        <w:spacing w:before="0" w:after="0" w:afterAutospacing="0"/>
        <w:ind w:left="0" w:right="0" w:firstLine="422" w:firstLineChars="200"/>
        <w:rPr>
          <w:rFonts w:ascii="宋体" w:hAnsi="宋体"/>
          <w:sz w:val="21"/>
          <w:szCs w:val="21"/>
          <w:highlight w:val="none"/>
        </w:rPr>
      </w:pPr>
      <w:bookmarkStart w:id="338" w:name="_Toc375039076"/>
      <w:bookmarkStart w:id="339" w:name="_Toc12983517"/>
      <w:bookmarkStart w:id="340" w:name="_Toc15919"/>
      <w:bookmarkStart w:id="341" w:name="_Toc15448"/>
      <w:bookmarkStart w:id="342" w:name="_Toc383891180"/>
      <w:bookmarkStart w:id="343" w:name="_Toc11211"/>
      <w:bookmarkStart w:id="344" w:name="_Toc14630"/>
      <w:bookmarkStart w:id="345" w:name="_Toc16783"/>
      <w:bookmarkStart w:id="346" w:name="_Toc3670"/>
      <w:bookmarkStart w:id="347" w:name="_Toc8151"/>
      <w:bookmarkStart w:id="348" w:name="_Toc390098431"/>
      <w:bookmarkStart w:id="349" w:name="_Toc385427805"/>
      <w:bookmarkStart w:id="350" w:name="_Toc7608"/>
      <w:bookmarkStart w:id="351" w:name="_Toc675"/>
      <w:bookmarkStart w:id="352" w:name="_Toc492478730"/>
      <w:bookmarkStart w:id="353" w:name="_Toc114134620"/>
      <w:bookmarkStart w:id="354" w:name="_Toc20248"/>
      <w:bookmarkStart w:id="355" w:name="_Toc20490"/>
      <w:bookmarkStart w:id="356" w:name="_Toc25750603"/>
      <w:bookmarkStart w:id="357" w:name="_Toc27019"/>
      <w:bookmarkStart w:id="358" w:name="_Toc27194"/>
      <w:bookmarkStart w:id="359" w:name="_Toc14308"/>
      <w:bookmarkStart w:id="360" w:name="_Toc2395"/>
      <w:bookmarkStart w:id="361" w:name="_Toc21144"/>
      <w:bookmarkStart w:id="362" w:name="_Toc23002"/>
      <w:r>
        <w:rPr>
          <w:rFonts w:hint="eastAsia" w:ascii="宋体" w:hAnsi="宋体"/>
          <w:sz w:val="21"/>
          <w:szCs w:val="21"/>
          <w:highlight w:val="none"/>
        </w:rPr>
        <w:t xml:space="preserve">11. </w:t>
      </w:r>
      <w:r>
        <w:rPr>
          <w:rFonts w:ascii="宋体" w:hAnsi="宋体"/>
          <w:sz w:val="21"/>
          <w:szCs w:val="21"/>
          <w:highlight w:val="none"/>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7"/>
        <w:spacing w:before="0" w:after="0" w:afterAutospacing="0"/>
        <w:ind w:left="0" w:right="0" w:firstLine="422" w:firstLineChars="200"/>
        <w:rPr>
          <w:rFonts w:ascii="宋体" w:hAnsi="宋体"/>
          <w:sz w:val="21"/>
          <w:szCs w:val="21"/>
          <w:highlight w:val="none"/>
        </w:rPr>
      </w:pPr>
      <w:bookmarkStart w:id="363" w:name="_Toc375039077"/>
      <w:bookmarkStart w:id="364" w:name="_Toc31743"/>
      <w:bookmarkStart w:id="365" w:name="_Toc3813"/>
      <w:bookmarkStart w:id="366" w:name="_Toc17379"/>
      <w:bookmarkStart w:id="367" w:name="_Toc383891181"/>
      <w:bookmarkStart w:id="368" w:name="_Toc20685"/>
      <w:bookmarkStart w:id="369" w:name="_Toc22295"/>
      <w:bookmarkStart w:id="370" w:name="_Toc16653"/>
      <w:bookmarkStart w:id="371" w:name="_Toc17338"/>
      <w:bookmarkStart w:id="372" w:name="_Toc385427806"/>
      <w:bookmarkStart w:id="373" w:name="_Toc12983518"/>
      <w:bookmarkStart w:id="374" w:name="_Toc6671"/>
      <w:bookmarkStart w:id="375" w:name="_Toc24264"/>
      <w:bookmarkStart w:id="376" w:name="_Toc7857"/>
      <w:bookmarkStart w:id="377" w:name="_Toc14123"/>
      <w:bookmarkStart w:id="378" w:name="_Toc114134621"/>
      <w:bookmarkStart w:id="379" w:name="_Toc26974"/>
      <w:bookmarkStart w:id="380" w:name="_Toc390098432"/>
      <w:bookmarkStart w:id="381" w:name="_Toc9416"/>
      <w:bookmarkStart w:id="382" w:name="_Toc17526"/>
      <w:bookmarkStart w:id="383" w:name="_Toc21084"/>
      <w:bookmarkStart w:id="384" w:name="_Toc25750604"/>
      <w:bookmarkStart w:id="385" w:name="_Toc492478731"/>
      <w:bookmarkStart w:id="386" w:name="_Toc3799"/>
      <w:bookmarkStart w:id="387" w:name="_Toc26482"/>
      <w:r>
        <w:rPr>
          <w:rFonts w:hint="eastAsia" w:ascii="宋体" w:hAnsi="宋体"/>
          <w:sz w:val="21"/>
          <w:szCs w:val="21"/>
          <w:highlight w:val="none"/>
        </w:rPr>
        <w:t xml:space="preserve">12. </w:t>
      </w:r>
      <w:r>
        <w:rPr>
          <w:rFonts w:ascii="宋体" w:hAnsi="宋体"/>
          <w:sz w:val="21"/>
          <w:szCs w:val="21"/>
          <w:highlight w:val="none"/>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12.1 </w:t>
      </w:r>
      <w:r>
        <w:rPr>
          <w:rFonts w:hint="eastAsia" w:ascii="宋体" w:hAnsi="宋体"/>
          <w:highlight w:val="none"/>
        </w:rPr>
        <w:t>本项目采用含税报价。</w:t>
      </w:r>
      <w:r>
        <w:rPr>
          <w:rFonts w:ascii="宋体" w:hAnsi="宋体"/>
          <w:b/>
          <w:bCs/>
          <w:highlight w:val="none"/>
        </w:rPr>
        <w:t>含税报价为合同暂定价</w:t>
      </w:r>
      <w:r>
        <w:rPr>
          <w:rFonts w:ascii="宋体" w:hAnsi="宋体"/>
          <w:highlight w:val="none"/>
        </w:rPr>
        <w:t>，</w:t>
      </w:r>
      <w:r>
        <w:rPr>
          <w:rFonts w:hint="eastAsia" w:ascii="宋体" w:hAnsi="宋体"/>
          <w:highlight w:val="none"/>
        </w:rPr>
        <w:t>本项目合同最终税金在结算阶段，按实际产生的税金进行核算</w:t>
      </w:r>
      <w:r>
        <w:rPr>
          <w:rFonts w:ascii="宋体" w:hAnsi="宋体"/>
          <w:highlight w:val="none"/>
        </w:rPr>
        <w:t>，但合同不含税价格不因国家税率调整而调整</w:t>
      </w:r>
      <w:r>
        <w:rPr>
          <w:rFonts w:hint="eastAsia" w:ascii="宋体" w:hAnsi="宋体"/>
          <w:highlight w:val="none"/>
        </w:rPr>
        <w:t>。比选申请人应</w:t>
      </w:r>
      <w:r>
        <w:rPr>
          <w:rFonts w:ascii="宋体" w:hAnsi="宋体"/>
          <w:highlight w:val="none"/>
        </w:rPr>
        <w:t>完整</w:t>
      </w:r>
      <w:r>
        <w:rPr>
          <w:rFonts w:hint="eastAsia" w:ascii="宋体" w:hAnsi="宋体"/>
          <w:highlight w:val="none"/>
        </w:rPr>
        <w:t>地填写比选文件中提供的“比选申请报价一览表”。比选申请人在 “比选申请报价一览表”内所填报的总价应相一致。如大写金额与小写金额不一致，以大写金额为准。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比选申请报价应包括比选申请人完成所有项目内容及质量保证期服务等履行合同标的全过程产生的所有成本、利润及其他费用等全部费用以及比选申请人应承担的费用。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12.3 比选申请人应根据比选文件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w:t>
      </w:r>
      <w:r>
        <w:rPr>
          <w:rFonts w:ascii="宋体" w:hAnsi="宋体"/>
          <w:highlight w:val="none"/>
        </w:rPr>
        <w:t>4</w:t>
      </w:r>
      <w:r>
        <w:rPr>
          <w:rFonts w:hint="eastAsia" w:ascii="宋体" w:hAnsi="宋体"/>
          <w:highlight w:val="none"/>
        </w:rPr>
        <w:t xml:space="preserve">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12.5</w:t>
      </w:r>
      <w:r>
        <w:rPr>
          <w:rFonts w:hint="eastAsia" w:ascii="宋体" w:hAnsi="宋体"/>
          <w:highlight w:val="none"/>
        </w:rPr>
        <w:t>项目不接受</w:t>
      </w:r>
      <w:r>
        <w:rPr>
          <w:rFonts w:ascii="宋体" w:hAnsi="宋体"/>
          <w:highlight w:val="none"/>
        </w:rPr>
        <w:t>比选申请人免费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w:t>
      </w:r>
      <w:r>
        <w:rPr>
          <w:rFonts w:ascii="宋体" w:hAnsi="宋体"/>
          <w:highlight w:val="none"/>
        </w:rPr>
        <w:t>产品、部件</w:t>
      </w:r>
      <w:r>
        <w:rPr>
          <w:rFonts w:hint="eastAsia" w:ascii="宋体" w:hAnsi="宋体"/>
          <w:highlight w:val="none"/>
        </w:rPr>
        <w:t>和服务。</w:t>
      </w:r>
    </w:p>
    <w:p>
      <w:pPr>
        <w:tabs>
          <w:tab w:val="left" w:pos="8364"/>
        </w:tabs>
        <w:spacing w:before="0" w:after="0" w:afterAutospacing="0"/>
        <w:ind w:left="0" w:right="0" w:firstLine="420" w:firstLineChars="200"/>
        <w:rPr>
          <w:rFonts w:ascii="宋体" w:hAnsi="宋体" w:cs="宋体"/>
          <w:highlight w:val="none"/>
        </w:rPr>
      </w:pPr>
      <w:r>
        <w:rPr>
          <w:rFonts w:ascii="宋体" w:hAnsi="宋体"/>
          <w:highlight w:val="none"/>
        </w:rPr>
        <w:t>12.6比选申请人在编制比选申请报价时应考虑包括但不限于合同实施期间政策、法规变化以及汇率浮动、物价指数浮动等对价格的影响，以可调整的价</w:t>
      </w:r>
      <w:r>
        <w:rPr>
          <w:rFonts w:ascii="宋体" w:hAnsi="宋体" w:cs="宋体"/>
          <w:highlight w:val="none"/>
        </w:rPr>
        <w:t xml:space="preserve">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highlight w:val="none"/>
        </w:rPr>
      </w:pPr>
      <w:r>
        <w:rPr>
          <w:rFonts w:ascii="宋体" w:hAnsi="宋体"/>
          <w:highlight w:val="none"/>
        </w:rPr>
        <w:t>12.</w:t>
      </w:r>
      <w:r>
        <w:rPr>
          <w:rFonts w:hint="eastAsia" w:ascii="宋体" w:hAnsi="宋体"/>
          <w:highlight w:val="none"/>
        </w:rPr>
        <w:t>7</w:t>
      </w:r>
      <w:r>
        <w:rPr>
          <w:rFonts w:hint="eastAsia" w:ascii="宋体" w:hAnsi="宋体"/>
          <w:b/>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12.8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12.9 比选申请人不得在价格文件之外的比选申请文件中出现任何有关本项目的报价信息。</w:t>
      </w:r>
    </w:p>
    <w:p>
      <w:pPr>
        <w:pStyle w:val="7"/>
        <w:numPr>
          <w:ilvl w:val="0"/>
          <w:numId w:val="4"/>
        </w:numPr>
        <w:spacing w:before="0" w:after="0" w:afterAutospacing="0"/>
        <w:ind w:left="0" w:right="0" w:firstLine="422" w:firstLineChars="200"/>
        <w:rPr>
          <w:rFonts w:ascii="宋体" w:hAnsi="宋体"/>
          <w:sz w:val="21"/>
          <w:szCs w:val="21"/>
          <w:highlight w:val="none"/>
        </w:rPr>
      </w:pPr>
      <w:bookmarkStart w:id="388" w:name="_Toc18875"/>
      <w:bookmarkStart w:id="389" w:name="_Toc21448"/>
      <w:bookmarkStart w:id="390" w:name="_Toc21706"/>
      <w:bookmarkStart w:id="391" w:name="_Toc28880"/>
      <w:bookmarkStart w:id="392" w:name="_Toc15940"/>
      <w:bookmarkStart w:id="393" w:name="_Toc12947"/>
      <w:bookmarkStart w:id="394" w:name="_Toc25750605"/>
      <w:bookmarkStart w:id="395" w:name="_Toc5836"/>
      <w:bookmarkStart w:id="396" w:name="_Toc114134622"/>
      <w:bookmarkStart w:id="397" w:name="_Toc12762"/>
      <w:bookmarkStart w:id="398" w:name="_Toc10220"/>
      <w:bookmarkStart w:id="399" w:name="_Toc12983519"/>
      <w:bookmarkStart w:id="400" w:name="_Toc21430"/>
      <w:bookmarkStart w:id="401" w:name="_Toc383891182"/>
      <w:bookmarkStart w:id="402" w:name="_Toc375039078"/>
      <w:bookmarkStart w:id="403" w:name="_Toc385427807"/>
      <w:bookmarkStart w:id="404" w:name="_Toc26064"/>
      <w:bookmarkStart w:id="405" w:name="_Toc28476"/>
      <w:bookmarkStart w:id="406" w:name="_Toc7428"/>
      <w:bookmarkStart w:id="407" w:name="_Toc390098433"/>
      <w:bookmarkStart w:id="408" w:name="_Toc1664"/>
      <w:bookmarkStart w:id="409" w:name="_Toc20156"/>
      <w:bookmarkStart w:id="410" w:name="_Toc2710"/>
      <w:bookmarkStart w:id="411" w:name="_Toc492478732"/>
      <w:bookmarkStart w:id="412" w:name="_Toc25459"/>
      <w:r>
        <w:rPr>
          <w:rFonts w:ascii="宋体" w:hAnsi="宋体"/>
          <w:sz w:val="21"/>
          <w:szCs w:val="21"/>
          <w:highlight w:val="none"/>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highlight w:val="none"/>
        </w:rPr>
      </w:pPr>
      <w:r>
        <w:rPr>
          <w:rFonts w:hint="eastAsia" w:ascii="宋体" w:hAnsi="宋体"/>
          <w:highlight w:val="none"/>
        </w:rPr>
        <w:t>13.1</w:t>
      </w:r>
      <w:r>
        <w:rPr>
          <w:rFonts w:ascii="宋体" w:hAnsi="宋体"/>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highlight w:val="none"/>
        </w:rPr>
      </w:pPr>
      <w:r>
        <w:rPr>
          <w:rFonts w:hint="eastAsia" w:ascii="宋体" w:hAnsi="宋体"/>
          <w:highlight w:val="none"/>
        </w:rPr>
        <w:t>13.2</w:t>
      </w:r>
      <w:r>
        <w:rPr>
          <w:rFonts w:ascii="宋体" w:hAnsi="宋体"/>
          <w:highlight w:val="none"/>
        </w:rPr>
        <w:t>比选人将以人民币与中选的比选申请人签订合同。</w:t>
      </w:r>
    </w:p>
    <w:p>
      <w:pPr>
        <w:pStyle w:val="7"/>
        <w:numPr>
          <w:ilvl w:val="0"/>
          <w:numId w:val="4"/>
        </w:numPr>
        <w:spacing w:before="0" w:after="0" w:afterAutospacing="0"/>
        <w:ind w:left="0" w:right="0" w:firstLine="422" w:firstLineChars="200"/>
        <w:rPr>
          <w:rFonts w:ascii="宋体" w:hAnsi="宋体"/>
          <w:sz w:val="21"/>
          <w:szCs w:val="21"/>
          <w:highlight w:val="none"/>
        </w:rPr>
      </w:pPr>
      <w:bookmarkStart w:id="413" w:name="_Toc390098436"/>
      <w:bookmarkStart w:id="414" w:name="_Toc28665"/>
      <w:bookmarkStart w:id="415" w:name="_Toc16314"/>
      <w:bookmarkStart w:id="416" w:name="_Toc14309"/>
      <w:bookmarkStart w:id="417" w:name="_Toc385427810"/>
      <w:bookmarkStart w:id="418" w:name="_Toc30606"/>
      <w:bookmarkStart w:id="419" w:name="_Toc114134623"/>
      <w:bookmarkStart w:id="420" w:name="_Toc492478735"/>
      <w:bookmarkStart w:id="421" w:name="_Toc30848"/>
      <w:bookmarkStart w:id="422" w:name="_Toc14922"/>
      <w:bookmarkStart w:id="423" w:name="_Toc5974"/>
      <w:bookmarkStart w:id="424" w:name="_Toc30040"/>
      <w:bookmarkStart w:id="425" w:name="_Toc25750606"/>
      <w:bookmarkStart w:id="426" w:name="_Toc27508"/>
      <w:bookmarkStart w:id="427" w:name="_Toc9237"/>
      <w:bookmarkStart w:id="428" w:name="_Toc24199"/>
      <w:bookmarkStart w:id="429" w:name="_Toc383891185"/>
      <w:bookmarkStart w:id="430" w:name="_Toc11690"/>
      <w:bookmarkStart w:id="431" w:name="_Toc22051"/>
      <w:bookmarkStart w:id="432" w:name="_Toc7417"/>
      <w:bookmarkStart w:id="433" w:name="_Toc1530"/>
      <w:bookmarkStart w:id="434" w:name="_Toc12049"/>
      <w:bookmarkStart w:id="435" w:name="_Toc1624"/>
      <w:bookmarkStart w:id="436" w:name="_Toc12983520"/>
      <w:bookmarkStart w:id="437" w:name="_Toc375039081"/>
      <w:r>
        <w:rPr>
          <w:rFonts w:ascii="宋体" w:hAnsi="宋体"/>
          <w:sz w:val="21"/>
          <w:szCs w:val="21"/>
          <w:highlight w:val="none"/>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15"/>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7"/>
        <w:spacing w:before="0" w:after="0" w:afterAutospacing="0"/>
        <w:ind w:left="0" w:right="0" w:firstLine="422" w:firstLineChars="200"/>
        <w:rPr>
          <w:rFonts w:ascii="宋体" w:hAnsi="宋体"/>
          <w:sz w:val="21"/>
          <w:szCs w:val="21"/>
          <w:highlight w:val="none"/>
        </w:rPr>
      </w:pPr>
      <w:bookmarkStart w:id="438" w:name="_Toc492478736"/>
      <w:bookmarkStart w:id="439" w:name="_Toc5690"/>
      <w:bookmarkStart w:id="440" w:name="_Toc114134624"/>
      <w:bookmarkStart w:id="441" w:name="_Toc375039082"/>
      <w:bookmarkStart w:id="442" w:name="_Toc9117"/>
      <w:bookmarkStart w:id="443" w:name="_Toc20643"/>
      <w:bookmarkStart w:id="444" w:name="_Toc23114"/>
      <w:bookmarkStart w:id="445" w:name="_Toc25750607"/>
      <w:bookmarkStart w:id="446" w:name="_Toc691"/>
      <w:bookmarkStart w:id="447" w:name="_Toc7808"/>
      <w:bookmarkStart w:id="448" w:name="_Toc24656"/>
      <w:bookmarkStart w:id="449" w:name="_Toc28555"/>
      <w:bookmarkStart w:id="450" w:name="_Toc2268"/>
      <w:bookmarkStart w:id="451" w:name="_Toc383891186"/>
      <w:bookmarkStart w:id="452" w:name="_Toc390098437"/>
      <w:bookmarkStart w:id="453" w:name="_Toc10918"/>
      <w:bookmarkStart w:id="454" w:name="_Toc4433"/>
      <w:bookmarkStart w:id="455" w:name="_Toc28997"/>
      <w:bookmarkStart w:id="456" w:name="_Toc1604"/>
      <w:bookmarkStart w:id="457" w:name="_Toc12983521"/>
      <w:bookmarkStart w:id="458" w:name="_Toc20493"/>
      <w:bookmarkStart w:id="459" w:name="_Toc385427811"/>
      <w:bookmarkStart w:id="460" w:name="_Toc845"/>
      <w:bookmarkStart w:id="461" w:name="_Toc30499"/>
      <w:bookmarkStart w:id="462" w:name="_Toc20070"/>
      <w:r>
        <w:rPr>
          <w:rFonts w:hint="eastAsia" w:ascii="宋体" w:hAnsi="宋体"/>
          <w:sz w:val="21"/>
          <w:szCs w:val="21"/>
          <w:highlight w:val="none"/>
        </w:rPr>
        <w:t xml:space="preserve">15. </w:t>
      </w:r>
      <w:r>
        <w:rPr>
          <w:rFonts w:ascii="宋体" w:hAnsi="宋体"/>
          <w:sz w:val="21"/>
          <w:szCs w:val="21"/>
          <w:highlight w:val="none"/>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p>
    <w:p>
      <w:pPr>
        <w:tabs>
          <w:tab w:val="left" w:pos="1134"/>
          <w:tab w:val="left" w:pos="8364"/>
        </w:tabs>
        <w:spacing w:before="0" w:after="0" w:afterAutospacing="0"/>
        <w:ind w:left="0" w:right="0" w:firstLine="422" w:firstLineChars="200"/>
        <w:rPr>
          <w:rFonts w:ascii="宋体" w:hAnsi="宋体"/>
          <w:b/>
          <w:bCs/>
          <w:highlight w:val="none"/>
        </w:rPr>
      </w:pPr>
      <w:bookmarkStart w:id="463" w:name="_Toc492478737"/>
      <w:bookmarkStart w:id="464" w:name="_Toc29108"/>
      <w:bookmarkStart w:id="465" w:name="_Toc390098438"/>
      <w:bookmarkStart w:id="466" w:name="_Toc32020"/>
      <w:bookmarkStart w:id="467" w:name="_Toc12983522"/>
      <w:bookmarkStart w:id="468" w:name="_Toc8100"/>
      <w:bookmarkStart w:id="469" w:name="_Toc12435"/>
      <w:bookmarkStart w:id="470" w:name="_Toc12506"/>
      <w:bookmarkStart w:id="471" w:name="_Toc19603"/>
      <w:bookmarkStart w:id="472" w:name="_Toc25684"/>
      <w:bookmarkStart w:id="473" w:name="_Toc4216"/>
      <w:bookmarkStart w:id="474" w:name="_Toc6065"/>
      <w:bookmarkStart w:id="475" w:name="_Toc3414"/>
      <w:bookmarkStart w:id="476" w:name="_Toc375039083"/>
      <w:bookmarkStart w:id="477" w:name="_Toc14672"/>
      <w:bookmarkStart w:id="478" w:name="_Toc24922"/>
      <w:bookmarkStart w:id="479" w:name="_Toc32525"/>
      <w:bookmarkStart w:id="480" w:name="_Toc383891187"/>
      <w:bookmarkStart w:id="481" w:name="_Toc301"/>
      <w:bookmarkStart w:id="482" w:name="_Toc385427812"/>
      <w:bookmarkStart w:id="483" w:name="_Toc25468"/>
      <w:bookmarkStart w:id="484" w:name="_Toc19044"/>
      <w:bookmarkStart w:id="485" w:name="_Toc27730"/>
      <w:r>
        <w:rPr>
          <w:rFonts w:hint="eastAsia" w:ascii="宋体" w:hAnsi="宋体"/>
          <w:b/>
          <w:bCs/>
          <w:highlight w:val="none"/>
        </w:rPr>
        <w:t xml:space="preserve">16. </w:t>
      </w:r>
      <w:r>
        <w:rPr>
          <w:rFonts w:ascii="宋体" w:hAnsi="宋体"/>
          <w:b/>
          <w:bCs/>
          <w:highlight w:val="none"/>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比选申请文件的正本需打印，并由比选申请人法定代表人或其授权委托人</w:t>
      </w:r>
      <w:r>
        <w:rPr>
          <w:rFonts w:hint="eastAsia" w:ascii="宋体" w:hAnsi="宋体"/>
          <w:b/>
          <w:highlight w:val="none"/>
        </w:rPr>
        <w:t>在比选文件规定的相关位置</w:t>
      </w:r>
      <w:r>
        <w:rPr>
          <w:rFonts w:ascii="宋体" w:hAnsi="宋体"/>
          <w:b/>
          <w:highlight w:val="none"/>
        </w:rPr>
        <w:t>签字并加盖公章。授权委托人应将以书面形式出具的“法定代表人授权书”附在比选申请文件中。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16.4 </w:t>
      </w:r>
      <w:r>
        <w:rPr>
          <w:rFonts w:ascii="宋体" w:hAnsi="宋体"/>
          <w:highlight w:val="none"/>
        </w:rPr>
        <w:t>比选人拒绝接受以</w:t>
      </w:r>
      <w:r>
        <w:rPr>
          <w:rFonts w:hint="eastAsia" w:ascii="宋体" w:hAnsi="宋体"/>
          <w:highlight w:val="none"/>
        </w:rPr>
        <w:t>邮寄、</w:t>
      </w:r>
      <w:r>
        <w:rPr>
          <w:rFonts w:ascii="宋体" w:hAnsi="宋体"/>
          <w:highlight w:val="none"/>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highlight w:val="none"/>
        </w:rPr>
      </w:pPr>
      <w:bookmarkStart w:id="486" w:name="_Toc390098439"/>
      <w:bookmarkStart w:id="487" w:name="_Toc383891188"/>
      <w:bookmarkStart w:id="488" w:name="_Toc385427813"/>
      <w:bookmarkStart w:id="489" w:name="_Toc375039084"/>
      <w:bookmarkStart w:id="490" w:name="_Toc18322"/>
      <w:bookmarkStart w:id="491" w:name="_Toc10234"/>
      <w:bookmarkStart w:id="492" w:name="_Toc30962"/>
      <w:bookmarkStart w:id="493" w:name="_Toc2975"/>
      <w:bookmarkStart w:id="494" w:name="_Toc12983523"/>
      <w:bookmarkStart w:id="495" w:name="_Toc15116"/>
      <w:bookmarkStart w:id="496" w:name="_Toc23177"/>
      <w:bookmarkStart w:id="497" w:name="_Toc759"/>
      <w:bookmarkStart w:id="498" w:name="_Toc492478738"/>
      <w:bookmarkStart w:id="499" w:name="_Toc1315"/>
      <w:bookmarkStart w:id="500" w:name="_Toc26776"/>
      <w:bookmarkStart w:id="501" w:name="_Toc2113"/>
      <w:bookmarkStart w:id="502" w:name="_Toc30452"/>
      <w:bookmarkStart w:id="503" w:name="_Toc1952"/>
      <w:bookmarkStart w:id="504" w:name="_Toc16409"/>
      <w:bookmarkStart w:id="505" w:name="_Toc6101"/>
      <w:bookmarkStart w:id="506" w:name="_Toc114134625"/>
      <w:bookmarkStart w:id="507" w:name="_Toc26551"/>
      <w:bookmarkStart w:id="508" w:name="_Toc32054"/>
      <w:bookmarkStart w:id="509" w:name="_Toc30187"/>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486"/>
      <w:bookmarkEnd w:id="487"/>
      <w:bookmarkEnd w:id="488"/>
      <w:bookmarkEnd w:id="489"/>
      <w:r>
        <w:rPr>
          <w:rFonts w:hint="eastAsia" w:ascii="宋体" w:hAnsi="宋体" w:eastAsia="宋体"/>
          <w:sz w:val="24"/>
          <w:szCs w:val="24"/>
          <w:highlight w:val="none"/>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7"/>
        <w:spacing w:before="0" w:after="0" w:afterAutospacing="0"/>
        <w:ind w:left="0" w:right="0" w:firstLine="422" w:firstLineChars="200"/>
        <w:rPr>
          <w:rFonts w:ascii="宋体" w:hAnsi="宋体"/>
          <w:sz w:val="21"/>
          <w:szCs w:val="21"/>
          <w:highlight w:val="none"/>
        </w:rPr>
      </w:pPr>
      <w:bookmarkStart w:id="510" w:name="_Toc30196"/>
      <w:bookmarkStart w:id="511" w:name="_Toc26249"/>
      <w:bookmarkStart w:id="512" w:name="_Toc12329"/>
      <w:bookmarkStart w:id="513" w:name="_Toc5922"/>
      <w:bookmarkStart w:id="514" w:name="_Toc25750609"/>
      <w:bookmarkStart w:id="515" w:name="_Toc15650"/>
      <w:bookmarkStart w:id="516" w:name="_Toc15663"/>
      <w:bookmarkStart w:id="517" w:name="_Toc19495"/>
      <w:bookmarkStart w:id="518" w:name="_Toc114134626"/>
      <w:bookmarkStart w:id="519" w:name="_Toc13829"/>
      <w:bookmarkStart w:id="520" w:name="_Toc12983524"/>
      <w:bookmarkStart w:id="521" w:name="_Toc15735"/>
      <w:bookmarkStart w:id="522" w:name="_Toc9307"/>
      <w:bookmarkStart w:id="523" w:name="_Toc385427814"/>
      <w:bookmarkStart w:id="524" w:name="_Toc15071"/>
      <w:bookmarkStart w:id="525" w:name="_Toc17200"/>
      <w:bookmarkStart w:id="526" w:name="_Toc390098440"/>
      <w:bookmarkStart w:id="527" w:name="_Toc375039085"/>
      <w:bookmarkStart w:id="528" w:name="_Toc13875"/>
      <w:bookmarkStart w:id="529" w:name="_Toc12117"/>
      <w:bookmarkStart w:id="530" w:name="_Toc383891189"/>
      <w:bookmarkStart w:id="531" w:name="_Toc24648"/>
      <w:bookmarkStart w:id="532" w:name="_Toc492478739"/>
      <w:bookmarkStart w:id="533" w:name="_Toc18616"/>
      <w:bookmarkStart w:id="534" w:name="_Toc13621"/>
      <w:r>
        <w:rPr>
          <w:rFonts w:hint="eastAsia" w:ascii="宋体" w:hAnsi="宋体"/>
          <w:sz w:val="21"/>
          <w:szCs w:val="21"/>
          <w:highlight w:val="none"/>
        </w:rPr>
        <w:t xml:space="preserve">17. </w:t>
      </w:r>
      <w:r>
        <w:rPr>
          <w:rFonts w:ascii="宋体" w:hAnsi="宋体"/>
          <w:sz w:val="21"/>
          <w:szCs w:val="21"/>
          <w:highlight w:val="none"/>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highlight w:val="none"/>
        </w:rPr>
      </w:pPr>
      <w:bookmarkStart w:id="535" w:name="_Toc385427815"/>
      <w:bookmarkStart w:id="536" w:name="_Toc390098441"/>
      <w:bookmarkStart w:id="537" w:name="_Toc375039086"/>
      <w:bookmarkStart w:id="538" w:name="_Toc383891190"/>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）比选申请人可将比选申请文件封装为</w:t>
      </w:r>
      <w:r>
        <w:rPr>
          <w:rFonts w:ascii="宋体" w:hAnsi="宋体"/>
          <w:highlight w:val="none"/>
        </w:rPr>
        <w:t>1</w:t>
      </w:r>
      <w:r>
        <w:rPr>
          <w:rFonts w:hint="eastAsia" w:ascii="宋体" w:hAnsi="宋体"/>
          <w:highlight w:val="none"/>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项目名称：</w:t>
      </w:r>
      <w:r>
        <w:rPr>
          <w:rFonts w:hint="eastAsia" w:ascii="宋体" w:hAnsi="宋体"/>
          <w:highlight w:val="none"/>
          <w:u w:val="single"/>
          <w:lang w:val="zh-CN"/>
        </w:rPr>
        <w:t>轨道御水上寓、剧场公寓、南宁市心圩车辆段配套租赁用房（一期）、御水江岸项目第三方工程质量安全评估采购</w:t>
      </w:r>
      <w:r>
        <w:rPr>
          <w:rFonts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项目编号：</w:t>
      </w:r>
      <w:r>
        <w:rPr>
          <w:rFonts w:hint="eastAsia" w:ascii="宋体" w:hAnsi="宋体"/>
          <w:highlight w:val="none"/>
        </w:rPr>
        <w:t>无</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袋上没有按上述规定密封并加写标志，比选人将不承担比选申请文件错放或提前开封的责任，由此造成的提前开封的比选申请文件，比选人将予以拒绝，并退还给比选申请人。</w:t>
      </w:r>
    </w:p>
    <w:p>
      <w:pPr>
        <w:pStyle w:val="7"/>
        <w:numPr>
          <w:ilvl w:val="0"/>
          <w:numId w:val="5"/>
        </w:numPr>
        <w:spacing w:before="0" w:after="0" w:afterAutospacing="0"/>
        <w:ind w:left="0" w:right="0" w:firstLine="422" w:firstLineChars="200"/>
        <w:rPr>
          <w:rFonts w:ascii="宋体" w:hAnsi="宋体"/>
          <w:sz w:val="21"/>
          <w:szCs w:val="21"/>
          <w:highlight w:val="none"/>
        </w:rPr>
      </w:pPr>
      <w:bookmarkStart w:id="539" w:name="_Toc11255"/>
      <w:bookmarkStart w:id="540" w:name="_Toc6339"/>
      <w:bookmarkStart w:id="541" w:name="_Toc642"/>
      <w:bookmarkStart w:id="542" w:name="_Toc28071"/>
      <w:bookmarkStart w:id="543" w:name="_Toc22445"/>
      <w:bookmarkStart w:id="544" w:name="_Toc16755"/>
      <w:bookmarkStart w:id="545" w:name="_Toc32760"/>
      <w:bookmarkStart w:id="546" w:name="_Toc2337"/>
      <w:bookmarkStart w:id="547" w:name="_Toc23859"/>
      <w:bookmarkStart w:id="548" w:name="_Toc22180"/>
      <w:bookmarkStart w:id="549" w:name="_Toc11096"/>
      <w:bookmarkStart w:id="550" w:name="_Toc16266"/>
      <w:bookmarkStart w:id="551" w:name="_Toc492478740"/>
      <w:bookmarkStart w:id="552" w:name="_Toc4735"/>
      <w:bookmarkStart w:id="553" w:name="_Toc11039"/>
      <w:bookmarkStart w:id="554" w:name="_Toc13883"/>
      <w:bookmarkStart w:id="555" w:name="_Toc114134627"/>
      <w:bookmarkStart w:id="556" w:name="_Toc12983525"/>
      <w:bookmarkStart w:id="557" w:name="_Toc25750610"/>
      <w:bookmarkStart w:id="558" w:name="_Toc6482"/>
      <w:bookmarkStart w:id="559" w:name="_Toc16818"/>
      <w:r>
        <w:rPr>
          <w:rFonts w:ascii="宋体" w:hAnsi="宋体"/>
          <w:sz w:val="21"/>
          <w:szCs w:val="21"/>
          <w:highlight w:val="none"/>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7"/>
        <w:numPr>
          <w:ilvl w:val="0"/>
          <w:numId w:val="5"/>
        </w:numPr>
        <w:spacing w:before="0" w:after="0" w:afterAutospacing="0"/>
        <w:ind w:left="0" w:right="0" w:firstLine="422" w:firstLineChars="200"/>
        <w:rPr>
          <w:rFonts w:ascii="宋体" w:hAnsi="宋体"/>
          <w:sz w:val="21"/>
          <w:szCs w:val="21"/>
          <w:highlight w:val="none"/>
        </w:rPr>
      </w:pPr>
      <w:bookmarkStart w:id="560" w:name="_Toc21960"/>
      <w:bookmarkStart w:id="561" w:name="_Toc385427816"/>
      <w:bookmarkStart w:id="562" w:name="_Toc492478741"/>
      <w:bookmarkStart w:id="563" w:name="_Toc324"/>
      <w:bookmarkStart w:id="564" w:name="_Toc3597"/>
      <w:bookmarkStart w:id="565" w:name="_Toc32621"/>
      <w:bookmarkStart w:id="566" w:name="_Toc29473"/>
      <w:bookmarkStart w:id="567" w:name="_Toc114134628"/>
      <w:bookmarkStart w:id="568" w:name="_Toc29066"/>
      <w:bookmarkStart w:id="569" w:name="_Toc383891191"/>
      <w:bookmarkStart w:id="570" w:name="_Toc375039087"/>
      <w:bookmarkStart w:id="571" w:name="_Toc2226"/>
      <w:bookmarkStart w:id="572" w:name="_Toc13581"/>
      <w:bookmarkStart w:id="573" w:name="_Toc14239"/>
      <w:bookmarkStart w:id="574" w:name="_Toc9522"/>
      <w:bookmarkStart w:id="575" w:name="_Toc390098442"/>
      <w:bookmarkStart w:id="576" w:name="_Toc32252"/>
      <w:bookmarkStart w:id="577" w:name="_Toc12983526"/>
      <w:bookmarkStart w:id="578" w:name="_Toc10818"/>
      <w:bookmarkStart w:id="579" w:name="_Toc23404"/>
      <w:bookmarkStart w:id="580" w:name="_Toc22945"/>
      <w:bookmarkStart w:id="581" w:name="_Toc15252"/>
      <w:bookmarkStart w:id="582" w:name="_Toc26431"/>
      <w:bookmarkStart w:id="583" w:name="_Toc11373"/>
      <w:bookmarkStart w:id="584" w:name="_Toc25750611"/>
      <w:r>
        <w:rPr>
          <w:rFonts w:ascii="宋体" w:hAnsi="宋体"/>
          <w:sz w:val="21"/>
          <w:szCs w:val="21"/>
          <w:highlight w:val="none"/>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w:t>
      </w:r>
      <w:r>
        <w:rPr>
          <w:rFonts w:ascii="宋体" w:hAnsi="宋体"/>
          <w:highlight w:val="none"/>
        </w:rPr>
        <w:t>18.1</w:t>
      </w:r>
      <w:r>
        <w:rPr>
          <w:rFonts w:hint="eastAsia" w:ascii="宋体" w:hAnsi="宋体"/>
          <w:highlight w:val="none"/>
        </w:rPr>
        <w:t>条</w:t>
      </w:r>
      <w:r>
        <w:rPr>
          <w:rFonts w:ascii="宋体" w:hAnsi="宋体"/>
          <w:highlight w:val="none"/>
        </w:rPr>
        <w:t>规定的比选申请截止时间后收到的任何比选申请文件。</w:t>
      </w:r>
    </w:p>
    <w:p>
      <w:pPr>
        <w:pStyle w:val="7"/>
        <w:numPr>
          <w:ilvl w:val="0"/>
          <w:numId w:val="5"/>
        </w:numPr>
        <w:spacing w:before="0" w:after="0" w:afterAutospacing="0"/>
        <w:ind w:left="0" w:right="0" w:firstLine="422" w:firstLineChars="200"/>
        <w:rPr>
          <w:rFonts w:ascii="宋体" w:hAnsi="宋体"/>
          <w:sz w:val="21"/>
          <w:szCs w:val="21"/>
          <w:highlight w:val="none"/>
        </w:rPr>
      </w:pPr>
      <w:bookmarkStart w:id="585" w:name="_Toc27195"/>
      <w:bookmarkStart w:id="586" w:name="_Toc14411"/>
      <w:bookmarkStart w:id="587" w:name="_Toc390098443"/>
      <w:bookmarkStart w:id="588" w:name="_Toc28452"/>
      <w:bookmarkStart w:id="589" w:name="_Toc243"/>
      <w:bookmarkStart w:id="590" w:name="_Toc31033"/>
      <w:bookmarkStart w:id="591" w:name="_Toc21796"/>
      <w:bookmarkStart w:id="592" w:name="_Toc9706"/>
      <w:bookmarkStart w:id="593" w:name="_Toc383891192"/>
      <w:bookmarkStart w:id="594" w:name="_Toc25427"/>
      <w:bookmarkStart w:id="595" w:name="_Toc24030"/>
      <w:bookmarkStart w:id="596" w:name="_Toc8636"/>
      <w:bookmarkStart w:id="597" w:name="_Toc23449"/>
      <w:bookmarkStart w:id="598" w:name="_Toc375039088"/>
      <w:bookmarkStart w:id="599" w:name="_Toc12983527"/>
      <w:bookmarkStart w:id="600" w:name="_Toc26282"/>
      <w:bookmarkStart w:id="601" w:name="_Toc12682"/>
      <w:bookmarkStart w:id="602" w:name="_Toc25750612"/>
      <w:bookmarkStart w:id="603" w:name="_Toc492478742"/>
      <w:bookmarkStart w:id="604" w:name="_Toc385427817"/>
      <w:bookmarkStart w:id="605" w:name="_Toc14522"/>
      <w:bookmarkStart w:id="606" w:name="_Toc4605"/>
      <w:bookmarkStart w:id="607" w:name="_Toc114134629"/>
      <w:bookmarkStart w:id="608" w:name="_Toc17797"/>
      <w:bookmarkStart w:id="609" w:name="_Toc29208"/>
      <w:r>
        <w:rPr>
          <w:rFonts w:ascii="宋体" w:hAnsi="宋体"/>
          <w:sz w:val="21"/>
          <w:szCs w:val="21"/>
          <w:highlight w:val="none"/>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比选申请人对比选申请文件修改的书面材料或撤回的通知应按本比选申请须知</w:t>
      </w:r>
      <w:r>
        <w:rPr>
          <w:rFonts w:hint="eastAsia" w:ascii="宋体" w:hAnsi="宋体"/>
          <w:highlight w:val="none"/>
        </w:rPr>
        <w:t>第16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pStyle w:val="5"/>
        <w:spacing w:after="0" w:afterAutospacing="0" w:line="360" w:lineRule="auto"/>
        <w:ind w:left="0" w:right="0" w:firstLine="482" w:firstLineChars="200"/>
        <w:rPr>
          <w:rFonts w:ascii="宋体" w:hAnsi="宋体" w:eastAsia="宋体"/>
          <w:sz w:val="24"/>
          <w:szCs w:val="24"/>
          <w:highlight w:val="none"/>
        </w:rPr>
      </w:pPr>
      <w:bookmarkStart w:id="610" w:name="_Toc29264"/>
      <w:bookmarkStart w:id="611" w:name="_Toc25433"/>
      <w:bookmarkStart w:id="612" w:name="_Toc492478743"/>
      <w:bookmarkStart w:id="613" w:name="_Toc5592"/>
      <w:bookmarkStart w:id="614" w:name="_Toc383891193"/>
      <w:bookmarkStart w:id="615" w:name="_Toc9549"/>
      <w:bookmarkStart w:id="616" w:name="_Toc375039089"/>
      <w:bookmarkStart w:id="617" w:name="_Toc10325"/>
      <w:bookmarkStart w:id="618" w:name="_Toc4291"/>
      <w:bookmarkStart w:id="619" w:name="_Toc18076"/>
      <w:bookmarkStart w:id="620" w:name="_Toc3006"/>
      <w:bookmarkStart w:id="621" w:name="_Toc390098444"/>
      <w:bookmarkStart w:id="622" w:name="_Toc31978"/>
      <w:bookmarkStart w:id="623" w:name="_Toc24485"/>
      <w:bookmarkStart w:id="624" w:name="_Toc12983528"/>
      <w:bookmarkStart w:id="625" w:name="_Toc12182"/>
      <w:bookmarkStart w:id="626" w:name="_Toc11529"/>
      <w:bookmarkStart w:id="627" w:name="_Toc16856"/>
      <w:bookmarkStart w:id="628" w:name="_Toc9728"/>
      <w:bookmarkStart w:id="629" w:name="_Toc385427818"/>
      <w:bookmarkStart w:id="630" w:name="_Toc2306"/>
      <w:bookmarkStart w:id="631" w:name="_Toc28694"/>
      <w:bookmarkStart w:id="632" w:name="_Toc22587"/>
      <w:bookmarkStart w:id="633" w:name="_Toc114134630"/>
      <w:r>
        <w:rPr>
          <w:rFonts w:hint="eastAsia" w:ascii="宋体" w:hAnsi="宋体" w:eastAsia="宋体"/>
          <w:sz w:val="24"/>
          <w:szCs w:val="24"/>
          <w:highlight w:val="none"/>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highlight w:val="none"/>
        </w:rPr>
        <w:t>比选申请文件递交与评审</w:t>
      </w:r>
      <w:bookmarkEnd w:id="633"/>
    </w:p>
    <w:p>
      <w:pPr>
        <w:pStyle w:val="7"/>
        <w:spacing w:before="0" w:after="0" w:afterAutospacing="0"/>
        <w:ind w:left="0" w:right="0" w:firstLine="422" w:firstLineChars="200"/>
        <w:rPr>
          <w:rFonts w:ascii="宋体" w:hAnsi="宋体"/>
          <w:sz w:val="21"/>
          <w:szCs w:val="21"/>
          <w:highlight w:val="none"/>
        </w:rPr>
      </w:pPr>
      <w:bookmarkStart w:id="634" w:name="_Toc385427819"/>
      <w:bookmarkStart w:id="635" w:name="_Toc24196"/>
      <w:bookmarkStart w:id="636" w:name="_Toc4825"/>
      <w:bookmarkStart w:id="637" w:name="_Toc4674"/>
      <w:bookmarkStart w:id="638" w:name="_Toc492478744"/>
      <w:bookmarkStart w:id="639" w:name="_Toc6839"/>
      <w:bookmarkStart w:id="640" w:name="_Toc9309"/>
      <w:bookmarkStart w:id="641" w:name="_Toc18919"/>
      <w:bookmarkStart w:id="642" w:name="_Toc5182"/>
      <w:bookmarkStart w:id="643" w:name="_Toc12983529"/>
      <w:bookmarkStart w:id="644" w:name="_Toc9264"/>
      <w:bookmarkStart w:id="645" w:name="_Toc25116"/>
      <w:bookmarkStart w:id="646" w:name="_Toc895"/>
      <w:bookmarkStart w:id="647" w:name="_Toc383891194"/>
      <w:bookmarkStart w:id="648" w:name="_Toc375039090"/>
      <w:bookmarkStart w:id="649" w:name="_Toc6974"/>
      <w:bookmarkStart w:id="650" w:name="_Toc23705"/>
      <w:bookmarkStart w:id="651" w:name="_Toc390098445"/>
      <w:bookmarkStart w:id="652" w:name="_Toc4638"/>
      <w:bookmarkStart w:id="653" w:name="_Toc10292"/>
      <w:bookmarkStart w:id="654" w:name="_Toc10883"/>
      <w:bookmarkStart w:id="655" w:name="_Toc4365"/>
      <w:bookmarkStart w:id="656" w:name="_Toc6377"/>
      <w:bookmarkStart w:id="657" w:name="_Toc25750614"/>
      <w:bookmarkStart w:id="658" w:name="_Toc114134631"/>
      <w:r>
        <w:rPr>
          <w:rFonts w:hint="eastAsia" w:ascii="宋体" w:hAnsi="宋体"/>
          <w:sz w:val="21"/>
          <w:szCs w:val="21"/>
          <w:highlight w:val="none"/>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highlight w:val="none"/>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21.1 比选人将按本须知第</w:t>
      </w:r>
      <w:r>
        <w:rPr>
          <w:rFonts w:ascii="宋体" w:hAnsi="宋体"/>
          <w:highlight w:val="none"/>
        </w:rPr>
        <w:t>18.1</w:t>
      </w:r>
      <w:r>
        <w:rPr>
          <w:rFonts w:hint="eastAsia" w:ascii="宋体" w:hAnsi="宋体"/>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比选申请文件外包封</w:t>
      </w:r>
      <w:r>
        <w:rPr>
          <w:rFonts w:ascii="宋体" w:hAnsi="宋体"/>
          <w:b/>
          <w:highlight w:val="none"/>
        </w:rPr>
        <w:t>未按比选文件要求密封的</w:t>
      </w:r>
      <w:r>
        <w:rPr>
          <w:rFonts w:hint="eastAsia" w:ascii="宋体" w:hAnsi="宋体"/>
          <w:b/>
          <w:highlight w:val="none"/>
        </w:rPr>
        <w:t>。</w:t>
      </w:r>
    </w:p>
    <w:p>
      <w:pPr>
        <w:pStyle w:val="7"/>
        <w:spacing w:before="0" w:after="0" w:afterAutospacing="0"/>
        <w:ind w:left="0" w:right="0" w:firstLine="422" w:firstLineChars="200"/>
        <w:rPr>
          <w:rFonts w:ascii="宋体" w:hAnsi="宋体"/>
          <w:sz w:val="21"/>
          <w:szCs w:val="21"/>
          <w:highlight w:val="none"/>
        </w:rPr>
      </w:pPr>
      <w:bookmarkStart w:id="659" w:name="_Toc375039091"/>
      <w:bookmarkStart w:id="660" w:name="_Toc383891195"/>
      <w:bookmarkStart w:id="661" w:name="_Toc390098446"/>
      <w:bookmarkStart w:id="662" w:name="_Toc385427820"/>
      <w:bookmarkStart w:id="663" w:name="_Toc23699"/>
      <w:bookmarkStart w:id="664" w:name="_Toc25750615"/>
      <w:bookmarkStart w:id="665" w:name="_Toc15466"/>
      <w:bookmarkStart w:id="666" w:name="_Toc12983530"/>
      <w:bookmarkStart w:id="667" w:name="_Toc27636"/>
      <w:bookmarkStart w:id="668" w:name="_Toc17785"/>
      <w:bookmarkStart w:id="669" w:name="_Toc5267"/>
      <w:bookmarkStart w:id="670" w:name="_Toc24630"/>
      <w:bookmarkStart w:id="671" w:name="_Toc16068"/>
      <w:bookmarkStart w:id="672" w:name="_Toc16601"/>
      <w:bookmarkStart w:id="673" w:name="_Toc21819"/>
      <w:bookmarkStart w:id="674" w:name="_Toc1920"/>
      <w:bookmarkStart w:id="675" w:name="_Toc114134632"/>
      <w:bookmarkStart w:id="676" w:name="_Toc25270"/>
      <w:bookmarkStart w:id="677" w:name="_Toc13202"/>
      <w:bookmarkStart w:id="678" w:name="_Toc9391"/>
      <w:bookmarkStart w:id="679" w:name="_Toc24687"/>
      <w:bookmarkStart w:id="680" w:name="_Toc30671"/>
      <w:bookmarkStart w:id="681" w:name="_Toc492478745"/>
      <w:bookmarkStart w:id="682" w:name="_Toc11263"/>
      <w:bookmarkStart w:id="683" w:name="_Toc11013"/>
      <w:r>
        <w:rPr>
          <w:rFonts w:hint="eastAsia" w:ascii="宋体" w:hAnsi="宋体"/>
          <w:sz w:val="21"/>
          <w:szCs w:val="21"/>
          <w:highlight w:val="none"/>
        </w:rPr>
        <w:t>22.</w:t>
      </w:r>
      <w:r>
        <w:rPr>
          <w:rFonts w:ascii="宋体" w:hAnsi="宋体"/>
          <w:sz w:val="21"/>
          <w:szCs w:val="21"/>
          <w:highlight w:val="none"/>
        </w:rPr>
        <w:t>评审</w:t>
      </w:r>
      <w:bookmarkEnd w:id="659"/>
      <w:bookmarkEnd w:id="660"/>
      <w:bookmarkEnd w:id="661"/>
      <w:bookmarkEnd w:id="662"/>
      <w:r>
        <w:rPr>
          <w:rFonts w:ascii="宋体" w:hAnsi="宋体"/>
          <w:sz w:val="21"/>
          <w:szCs w:val="21"/>
          <w:highlight w:val="none"/>
        </w:rPr>
        <w:t>程序</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tabs>
          <w:tab w:val="left" w:pos="8364"/>
        </w:tabs>
        <w:spacing w:before="0" w:after="0" w:afterAutospacing="0"/>
        <w:ind w:left="0" w:right="0" w:firstLine="420" w:firstLineChars="200"/>
        <w:rPr>
          <w:rFonts w:ascii="宋体" w:hAnsi="宋体"/>
          <w:b/>
          <w:highlight w:val="none"/>
        </w:rPr>
      </w:pPr>
      <w:bookmarkStart w:id="684" w:name="_Toc375039092"/>
      <w:r>
        <w:rPr>
          <w:rFonts w:hint="eastAsia" w:ascii="宋体" w:hAnsi="宋体"/>
          <w:highlight w:val="none"/>
        </w:rPr>
        <w:t>详见第六章《评分办法》。</w:t>
      </w:r>
      <w:bookmarkEnd w:id="684"/>
    </w:p>
    <w:p>
      <w:pPr>
        <w:pStyle w:val="7"/>
        <w:numPr>
          <w:ilvl w:val="0"/>
          <w:numId w:val="6"/>
        </w:numPr>
        <w:spacing w:before="0" w:after="0" w:afterAutospacing="0"/>
        <w:ind w:left="0" w:right="0" w:firstLine="422" w:firstLineChars="200"/>
        <w:rPr>
          <w:rFonts w:ascii="宋体" w:hAnsi="宋体"/>
          <w:sz w:val="21"/>
          <w:szCs w:val="21"/>
          <w:highlight w:val="none"/>
        </w:rPr>
      </w:pPr>
      <w:bookmarkStart w:id="685" w:name="_Toc385427821"/>
      <w:bookmarkStart w:id="686" w:name="_Toc1456"/>
      <w:bookmarkStart w:id="687" w:name="_Toc390098447"/>
      <w:bookmarkStart w:id="688" w:name="_Toc5386"/>
      <w:bookmarkStart w:id="689" w:name="_Toc29929"/>
      <w:bookmarkStart w:id="690" w:name="_Toc14719"/>
      <w:bookmarkStart w:id="691" w:name="_Toc8295"/>
      <w:bookmarkStart w:id="692" w:name="_Toc13421"/>
      <w:bookmarkStart w:id="693" w:name="_Toc11716"/>
      <w:bookmarkStart w:id="694" w:name="_Toc492478746"/>
      <w:bookmarkStart w:id="695" w:name="_Toc27570"/>
      <w:bookmarkStart w:id="696" w:name="_Toc17980"/>
      <w:bookmarkStart w:id="697" w:name="_Toc18063"/>
      <w:bookmarkStart w:id="698" w:name="_Toc12983531"/>
      <w:bookmarkStart w:id="699" w:name="_Toc18803"/>
      <w:bookmarkStart w:id="700" w:name="_Toc26137"/>
      <w:bookmarkStart w:id="701" w:name="_Toc25750616"/>
      <w:bookmarkStart w:id="702" w:name="_Toc375039093"/>
      <w:bookmarkStart w:id="703" w:name="_Toc114134633"/>
      <w:bookmarkStart w:id="704" w:name="_Toc383891196"/>
      <w:bookmarkStart w:id="705" w:name="_Toc25047"/>
      <w:bookmarkStart w:id="706" w:name="_Toc833"/>
      <w:bookmarkStart w:id="707" w:name="_Toc24755"/>
      <w:bookmarkStart w:id="708" w:name="_Toc15"/>
      <w:bookmarkStart w:id="709" w:name="_Toc16072"/>
      <w:r>
        <w:rPr>
          <w:rFonts w:ascii="宋体" w:hAnsi="宋体"/>
          <w:sz w:val="21"/>
          <w:szCs w:val="21"/>
          <w:highlight w:val="none"/>
        </w:rPr>
        <w:t>与比选人和评审委员会的接触</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比选申请人不得以任何方式干扰比选人的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pStyle w:val="7"/>
        <w:numPr>
          <w:ilvl w:val="0"/>
          <w:numId w:val="6"/>
        </w:numPr>
        <w:spacing w:before="0" w:after="0" w:afterAutospacing="0"/>
        <w:ind w:left="0" w:right="0" w:firstLine="422" w:firstLineChars="200"/>
        <w:rPr>
          <w:rFonts w:ascii="宋体" w:hAnsi="宋体"/>
          <w:sz w:val="21"/>
          <w:szCs w:val="21"/>
          <w:highlight w:val="none"/>
        </w:rPr>
      </w:pPr>
      <w:bookmarkStart w:id="710" w:name="_Toc7858"/>
      <w:bookmarkStart w:id="711" w:name="_Toc390098448"/>
      <w:bookmarkStart w:id="712" w:name="_Toc19810"/>
      <w:bookmarkStart w:id="713" w:name="_Toc114134634"/>
      <w:bookmarkStart w:id="714" w:name="_Toc25734"/>
      <w:bookmarkStart w:id="715" w:name="_Toc12983532"/>
      <w:bookmarkStart w:id="716" w:name="_Toc385427822"/>
      <w:bookmarkStart w:id="717" w:name="_Toc15988"/>
      <w:bookmarkStart w:id="718" w:name="_Toc9602"/>
      <w:bookmarkStart w:id="719" w:name="_Toc492478747"/>
      <w:bookmarkStart w:id="720" w:name="_Toc30207"/>
      <w:bookmarkStart w:id="721" w:name="_Toc12671"/>
      <w:bookmarkStart w:id="722" w:name="_Toc21167"/>
      <w:bookmarkStart w:id="723" w:name="_Toc9941"/>
      <w:bookmarkStart w:id="724" w:name="_Toc18515"/>
      <w:bookmarkStart w:id="725" w:name="_Toc12555"/>
      <w:bookmarkStart w:id="726" w:name="_Toc12909"/>
      <w:bookmarkStart w:id="727" w:name="_Toc12960"/>
      <w:bookmarkStart w:id="728" w:name="_Toc25750617"/>
      <w:bookmarkStart w:id="729" w:name="_Toc16963"/>
      <w:bookmarkStart w:id="730" w:name="_Toc29504"/>
      <w:bookmarkStart w:id="731" w:name="_Toc654"/>
      <w:bookmarkStart w:id="732" w:name="_Toc20523"/>
      <w:bookmarkStart w:id="733" w:name="_Toc383891197"/>
      <w:bookmarkStart w:id="734" w:name="_Toc378514937"/>
      <w:bookmarkStart w:id="735" w:name="_Toc294723156"/>
      <w:bookmarkStart w:id="736" w:name="_Toc375039094"/>
      <w:r>
        <w:rPr>
          <w:rFonts w:hint="eastAsia" w:ascii="宋体" w:hAnsi="宋体"/>
          <w:sz w:val="21"/>
          <w:szCs w:val="21"/>
          <w:highlight w:val="none"/>
        </w:rPr>
        <w:t>评审过程保密</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24.2 比选申请人在比选申请文件的审查、澄清、评价和比较以及授予合同的过程中，对比选人和评审专家施加影响的任何行为，都将导致取消比选申请资格。</w:t>
      </w:r>
    </w:p>
    <w:p>
      <w:pPr>
        <w:pStyle w:val="7"/>
        <w:numPr>
          <w:ilvl w:val="0"/>
          <w:numId w:val="6"/>
        </w:numPr>
        <w:spacing w:before="0" w:after="0" w:afterAutospacing="0"/>
        <w:ind w:left="0" w:right="0" w:firstLine="422" w:firstLineChars="200"/>
        <w:rPr>
          <w:rFonts w:ascii="宋体" w:hAnsi="宋体"/>
          <w:sz w:val="21"/>
          <w:szCs w:val="21"/>
          <w:highlight w:val="none"/>
        </w:rPr>
      </w:pPr>
      <w:bookmarkStart w:id="737" w:name="_Toc28701"/>
      <w:bookmarkStart w:id="738" w:name="_Toc11077"/>
      <w:bookmarkStart w:id="739" w:name="_Toc492478748"/>
      <w:bookmarkStart w:id="740" w:name="_Toc385427823"/>
      <w:bookmarkStart w:id="741" w:name="_Toc27670"/>
      <w:bookmarkStart w:id="742" w:name="_Toc13743"/>
      <w:bookmarkStart w:id="743" w:name="_Toc12983533"/>
      <w:bookmarkStart w:id="744" w:name="_Toc24327"/>
      <w:bookmarkStart w:id="745" w:name="_Toc14860"/>
      <w:bookmarkStart w:id="746" w:name="_Toc383891198"/>
      <w:bookmarkStart w:id="747" w:name="_Toc6624"/>
      <w:bookmarkStart w:id="748" w:name="_Toc1983"/>
      <w:bookmarkStart w:id="749" w:name="_Toc114134635"/>
      <w:bookmarkStart w:id="750" w:name="_Toc5983"/>
      <w:bookmarkStart w:id="751" w:name="_Toc390098449"/>
      <w:bookmarkStart w:id="752" w:name="_Toc8827"/>
      <w:bookmarkStart w:id="753" w:name="_Toc23267"/>
      <w:bookmarkStart w:id="754" w:name="_Toc30429"/>
      <w:bookmarkStart w:id="755" w:name="_Toc14799"/>
      <w:bookmarkStart w:id="756" w:name="_Toc28843"/>
      <w:bookmarkStart w:id="757" w:name="_Toc22510"/>
      <w:bookmarkStart w:id="758" w:name="_Toc25750618"/>
      <w:bookmarkStart w:id="759" w:name="_Toc28898"/>
      <w:bookmarkStart w:id="760" w:name="_Toc13768"/>
      <w:r>
        <w:rPr>
          <w:rFonts w:hint="eastAsia" w:ascii="宋体" w:hAnsi="宋体"/>
          <w:sz w:val="21"/>
          <w:szCs w:val="21"/>
          <w:highlight w:val="none"/>
        </w:rPr>
        <w:t>比选申请文件的澄清</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7"/>
        <w:numPr>
          <w:ilvl w:val="0"/>
          <w:numId w:val="6"/>
        </w:numPr>
        <w:spacing w:before="0" w:after="0" w:afterAutospacing="0"/>
        <w:ind w:left="0" w:right="0" w:firstLine="422" w:firstLineChars="200"/>
        <w:rPr>
          <w:rFonts w:ascii="宋体" w:hAnsi="宋体"/>
          <w:sz w:val="21"/>
          <w:szCs w:val="21"/>
          <w:highlight w:val="none"/>
        </w:rPr>
      </w:pPr>
      <w:bookmarkStart w:id="761" w:name="_Toc29146"/>
      <w:bookmarkStart w:id="762" w:name="_Toc16884"/>
      <w:bookmarkStart w:id="763" w:name="_Toc5926"/>
      <w:bookmarkStart w:id="764" w:name="_Toc30017"/>
      <w:bookmarkStart w:id="765" w:name="_Toc1915"/>
      <w:bookmarkStart w:id="766" w:name="_Toc492478749"/>
      <w:bookmarkStart w:id="767" w:name="_Toc4397"/>
      <w:bookmarkStart w:id="768" w:name="_Toc28992"/>
      <w:bookmarkStart w:id="769" w:name="_Toc26070"/>
      <w:bookmarkStart w:id="770" w:name="_Toc5437"/>
      <w:bookmarkStart w:id="771" w:name="_Toc20519"/>
      <w:bookmarkStart w:id="772" w:name="_Toc385427824"/>
      <w:bookmarkStart w:id="773" w:name="_Toc383891199"/>
      <w:bookmarkStart w:id="774" w:name="_Toc6908"/>
      <w:bookmarkStart w:id="775" w:name="_Toc25750619"/>
      <w:bookmarkStart w:id="776" w:name="_Toc12795"/>
      <w:bookmarkStart w:id="777" w:name="_Toc26318"/>
      <w:bookmarkStart w:id="778" w:name="_Toc22681"/>
      <w:bookmarkStart w:id="779" w:name="_Toc12983534"/>
      <w:bookmarkStart w:id="780" w:name="_Toc390098450"/>
      <w:bookmarkStart w:id="781" w:name="_Toc5607"/>
      <w:bookmarkStart w:id="782" w:name="_Toc114134636"/>
      <w:bookmarkStart w:id="783" w:name="_Toc9040"/>
      <w:bookmarkStart w:id="784" w:name="_Toc18093"/>
      <w:r>
        <w:rPr>
          <w:rFonts w:hint="eastAsia" w:ascii="宋体" w:hAnsi="宋体"/>
          <w:sz w:val="21"/>
          <w:szCs w:val="21"/>
          <w:highlight w:val="none"/>
        </w:rPr>
        <w:t>比选申请文件响应性的确定</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如果比选申请文件实质上不响应比选文件的要求，比选人将予以拒绝，并且不允许比选申请人通过修正或撤销其不符要求的差异或保留使之成为具有响应性的比选申请。</w:t>
      </w:r>
    </w:p>
    <w:p>
      <w:pPr>
        <w:pStyle w:val="7"/>
        <w:numPr>
          <w:ilvl w:val="0"/>
          <w:numId w:val="6"/>
        </w:numPr>
        <w:spacing w:before="0" w:after="0" w:afterAutospacing="0"/>
        <w:ind w:left="0" w:right="0" w:firstLine="422" w:firstLineChars="200"/>
        <w:rPr>
          <w:rFonts w:ascii="宋体" w:hAnsi="宋体"/>
          <w:sz w:val="21"/>
          <w:szCs w:val="21"/>
          <w:highlight w:val="none"/>
        </w:rPr>
      </w:pPr>
      <w:bookmarkStart w:id="785" w:name="_Toc21468"/>
      <w:bookmarkStart w:id="786" w:name="_Toc492478750"/>
      <w:bookmarkStart w:id="787" w:name="_Toc23956"/>
      <w:bookmarkStart w:id="788" w:name="_Toc383891200"/>
      <w:bookmarkStart w:id="789" w:name="_Toc1027"/>
      <w:bookmarkStart w:id="790" w:name="_Toc26239"/>
      <w:bookmarkStart w:id="791" w:name="_Toc12983535"/>
      <w:bookmarkStart w:id="792" w:name="_Toc20874"/>
      <w:bookmarkStart w:id="793" w:name="_Toc23999"/>
      <w:bookmarkStart w:id="794" w:name="_Toc22146"/>
      <w:bookmarkStart w:id="795" w:name="_Toc22063"/>
      <w:bookmarkStart w:id="796" w:name="_Toc17236"/>
      <w:bookmarkStart w:id="797" w:name="_Toc20912"/>
      <w:bookmarkStart w:id="798" w:name="_Toc25750620"/>
      <w:bookmarkStart w:id="799" w:name="_Toc20810"/>
      <w:bookmarkStart w:id="800" w:name="_Toc31646"/>
      <w:bookmarkStart w:id="801" w:name="_Toc12167"/>
      <w:bookmarkStart w:id="802" w:name="_Toc19477"/>
      <w:bookmarkStart w:id="803" w:name="_Toc23808"/>
      <w:bookmarkStart w:id="804" w:name="_Toc114134637"/>
      <w:bookmarkStart w:id="805" w:name="_Toc15051"/>
      <w:bookmarkStart w:id="806" w:name="_Toc29398"/>
      <w:bookmarkStart w:id="807" w:name="_Toc385427825"/>
      <w:bookmarkStart w:id="808" w:name="_Toc390098451"/>
      <w:r>
        <w:rPr>
          <w:rFonts w:hint="eastAsia" w:ascii="宋体" w:hAnsi="宋体"/>
          <w:sz w:val="21"/>
          <w:szCs w:val="21"/>
          <w:highlight w:val="none"/>
        </w:rPr>
        <w:t>比选申请文件计算错误的修正</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27.2 </w:t>
      </w:r>
      <w:r>
        <w:rPr>
          <w:rFonts w:hint="eastAsia"/>
          <w:highlight w:val="none"/>
        </w:rPr>
        <w:t>若</w:t>
      </w:r>
      <w:r>
        <w:rPr>
          <w:highlight w:val="none"/>
        </w:rPr>
        <w:t>修正后的总价</w:t>
      </w:r>
      <w:r>
        <w:rPr>
          <w:rFonts w:hint="eastAsia"/>
          <w:highlight w:val="none"/>
        </w:rPr>
        <w:t>与</w:t>
      </w:r>
      <w:r>
        <w:rPr>
          <w:highlight w:val="none"/>
        </w:rPr>
        <w:t>投标报价</w:t>
      </w:r>
      <w:r>
        <w:rPr>
          <w:rFonts w:hint="eastAsia"/>
          <w:highlight w:val="none"/>
        </w:rPr>
        <w:t>不相等</w:t>
      </w:r>
      <w:r>
        <w:rPr>
          <w:highlight w:val="none"/>
        </w:rPr>
        <w:t>，则</w:t>
      </w:r>
      <w:r>
        <w:rPr>
          <w:rFonts w:hint="eastAsia"/>
          <w:highlight w:val="none"/>
        </w:rPr>
        <w:t>评标总价和</w:t>
      </w:r>
      <w:r>
        <w:rPr>
          <w:highlight w:val="none"/>
        </w:rPr>
        <w:t>中标价</w:t>
      </w:r>
      <w:r>
        <w:rPr>
          <w:rFonts w:hint="eastAsia"/>
          <w:highlight w:val="none"/>
        </w:rPr>
        <w:t>均</w:t>
      </w:r>
      <w:r>
        <w:rPr>
          <w:highlight w:val="none"/>
        </w:rPr>
        <w:t>以</w:t>
      </w:r>
      <w:r>
        <w:rPr>
          <w:rFonts w:hint="eastAsia"/>
          <w:highlight w:val="none"/>
        </w:rPr>
        <w:t>修正后的总价</w:t>
      </w:r>
      <w:r>
        <w:rPr>
          <w:highlight w:val="none"/>
        </w:rPr>
        <w:t>为准，</w:t>
      </w:r>
      <w:r>
        <w:rPr>
          <w:rFonts w:hint="eastAsia"/>
          <w:highlight w:val="none"/>
        </w:rPr>
        <w:t>如比选申请人不接受按以上规则确定的评标总价和中标价，则其投标将被拒绝。</w:t>
      </w:r>
    </w:p>
    <w:p>
      <w:pPr>
        <w:pStyle w:val="7"/>
        <w:numPr>
          <w:ilvl w:val="0"/>
          <w:numId w:val="6"/>
        </w:numPr>
        <w:spacing w:before="0" w:after="0" w:afterAutospacing="0"/>
        <w:ind w:left="0" w:right="0" w:firstLine="422" w:firstLineChars="200"/>
        <w:rPr>
          <w:rFonts w:ascii="宋体" w:hAnsi="宋体"/>
          <w:sz w:val="21"/>
          <w:szCs w:val="21"/>
          <w:highlight w:val="none"/>
        </w:rPr>
      </w:pPr>
      <w:bookmarkStart w:id="809" w:name="_Toc20444"/>
      <w:bookmarkStart w:id="810" w:name="_Toc20881"/>
      <w:bookmarkStart w:id="811" w:name="_Toc27112"/>
      <w:bookmarkStart w:id="812" w:name="_Toc9737"/>
      <w:bookmarkStart w:id="813" w:name="_Toc1004"/>
      <w:bookmarkStart w:id="814" w:name="_Toc3258"/>
      <w:bookmarkStart w:id="815" w:name="_Toc492478751"/>
      <w:bookmarkStart w:id="816" w:name="_Toc19936"/>
      <w:bookmarkStart w:id="817" w:name="_Toc4958"/>
      <w:bookmarkStart w:id="818" w:name="_Toc25750621"/>
      <w:bookmarkStart w:id="819" w:name="_Toc383891201"/>
      <w:bookmarkStart w:id="820" w:name="_Toc385427826"/>
      <w:bookmarkStart w:id="821" w:name="_Toc5319"/>
      <w:bookmarkStart w:id="822" w:name="_Toc16418"/>
      <w:bookmarkStart w:id="823" w:name="_Toc8959"/>
      <w:bookmarkStart w:id="824" w:name="_Toc22994"/>
      <w:bookmarkStart w:id="825" w:name="_Toc12983536"/>
      <w:bookmarkStart w:id="826" w:name="_Toc24176"/>
      <w:bookmarkStart w:id="827" w:name="_Toc23907"/>
      <w:bookmarkStart w:id="828" w:name="_Toc9812"/>
      <w:bookmarkStart w:id="829" w:name="_Toc114134638"/>
      <w:bookmarkStart w:id="830" w:name="_Toc20854"/>
      <w:bookmarkStart w:id="831" w:name="_Toc29276"/>
      <w:bookmarkStart w:id="832" w:name="_Toc390098452"/>
      <w:r>
        <w:rPr>
          <w:rFonts w:hint="eastAsia" w:ascii="宋体" w:hAnsi="宋体"/>
          <w:sz w:val="21"/>
          <w:szCs w:val="21"/>
          <w:highlight w:val="none"/>
        </w:rPr>
        <w:t>比选申请文件的评价与比较</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28.2 评审将按《评审办法》规定执行。</w:t>
      </w:r>
      <w:bookmarkEnd w:id="734"/>
    </w:p>
    <w:p>
      <w:pPr>
        <w:pStyle w:val="7"/>
        <w:numPr>
          <w:ilvl w:val="0"/>
          <w:numId w:val="6"/>
        </w:numPr>
        <w:spacing w:before="0" w:after="0" w:afterAutospacing="0"/>
        <w:ind w:left="0" w:right="0" w:firstLine="422" w:firstLineChars="200"/>
        <w:rPr>
          <w:rFonts w:ascii="宋体" w:hAnsi="宋体"/>
          <w:sz w:val="21"/>
          <w:szCs w:val="21"/>
          <w:highlight w:val="none"/>
        </w:rPr>
      </w:pPr>
      <w:bookmarkStart w:id="833" w:name="_Toc383891202"/>
      <w:bookmarkStart w:id="834" w:name="_Toc1450"/>
      <w:bookmarkStart w:id="835" w:name="_Toc11657"/>
      <w:bookmarkStart w:id="836" w:name="_Toc8074"/>
      <w:bookmarkStart w:id="837" w:name="_Toc12983537"/>
      <w:bookmarkStart w:id="838" w:name="_Toc507"/>
      <w:bookmarkStart w:id="839" w:name="_Toc31774"/>
      <w:bookmarkStart w:id="840" w:name="_Toc22500"/>
      <w:bookmarkStart w:id="841" w:name="_Toc19322"/>
      <w:bookmarkStart w:id="842" w:name="_Toc385427827"/>
      <w:bookmarkStart w:id="843" w:name="_Toc17460"/>
      <w:bookmarkStart w:id="844" w:name="_Toc28489"/>
      <w:bookmarkStart w:id="845" w:name="_Toc14300"/>
      <w:bookmarkStart w:id="846" w:name="_Toc3358"/>
      <w:bookmarkStart w:id="847" w:name="_Toc8845"/>
      <w:bookmarkStart w:id="848" w:name="_Toc390098453"/>
      <w:bookmarkStart w:id="849" w:name="_Toc32344"/>
      <w:bookmarkStart w:id="850" w:name="_Toc27289"/>
      <w:bookmarkStart w:id="851" w:name="_Toc492478752"/>
      <w:bookmarkStart w:id="852" w:name="_Toc114134639"/>
      <w:bookmarkStart w:id="853" w:name="_Toc27803"/>
      <w:bookmarkStart w:id="854" w:name="_Toc25750622"/>
      <w:bookmarkStart w:id="855" w:name="_Toc11010"/>
      <w:bookmarkStart w:id="856" w:name="_Toc15146"/>
      <w:r>
        <w:rPr>
          <w:rFonts w:hint="eastAsia" w:ascii="宋体" w:hAnsi="宋体"/>
          <w:sz w:val="21"/>
          <w:szCs w:val="21"/>
          <w:highlight w:val="none"/>
        </w:rPr>
        <w:t>定标</w:t>
      </w:r>
      <w:bookmarkEnd w:id="735"/>
      <w:bookmarkEnd w:id="73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29.1</w:t>
      </w:r>
      <w:r>
        <w:rPr>
          <w:rFonts w:hint="eastAsia"/>
          <w:highlight w:val="none"/>
        </w:rPr>
        <w:t>评标委员会根据综合评分排名情况，推荐3名中标候选人（当中标候选人不足3名时按实际数量推荐），并标明排序</w:t>
      </w:r>
      <w:r>
        <w:rPr>
          <w:rFonts w:hint="eastAsia" w:ascii="宋体" w:hAnsi="宋体" w:cs="Arial"/>
          <w:highlight w:val="none"/>
        </w:rPr>
        <w:t>。</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29.2</w:t>
      </w:r>
      <w:r>
        <w:rPr>
          <w:rFonts w:hint="eastAsia" w:ascii="宋体" w:hAnsi="宋体" w:cs="Arial"/>
          <w:highlight w:val="none"/>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29.3</w:t>
      </w:r>
      <w:r>
        <w:rPr>
          <w:rFonts w:hint="eastAsia" w:ascii="宋体" w:hAnsi="宋体" w:cs="Arial"/>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29.4</w:t>
      </w:r>
      <w:r>
        <w:rPr>
          <w:rFonts w:hint="eastAsia" w:ascii="宋体" w:hAnsi="宋体" w:cs="Arial"/>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29.5</w:t>
      </w:r>
      <w:r>
        <w:rPr>
          <w:rFonts w:hint="eastAsia" w:ascii="宋体" w:hAnsi="宋体" w:cs="Arial"/>
          <w:highlight w:val="none"/>
        </w:rPr>
        <w:t>评审委员会评审结束后，比选人经审查发现评审过程中有明显错误，可以组织原评审委员会进行复评。</w:t>
      </w:r>
    </w:p>
    <w:p>
      <w:pPr>
        <w:pStyle w:val="7"/>
        <w:numPr>
          <w:ilvl w:val="0"/>
          <w:numId w:val="6"/>
        </w:numPr>
        <w:spacing w:before="0" w:after="0" w:afterAutospacing="0"/>
        <w:ind w:left="0" w:right="0" w:firstLine="422" w:firstLineChars="200"/>
        <w:rPr>
          <w:rFonts w:ascii="宋体" w:hAnsi="宋体"/>
          <w:sz w:val="21"/>
          <w:szCs w:val="21"/>
          <w:highlight w:val="none"/>
        </w:rPr>
      </w:pPr>
      <w:bookmarkStart w:id="857" w:name="_Toc15932"/>
      <w:bookmarkStart w:id="858" w:name="_Toc18192"/>
      <w:bookmarkStart w:id="859" w:name="_Toc19634"/>
      <w:bookmarkStart w:id="860" w:name="_Toc385427828"/>
      <w:bookmarkStart w:id="861" w:name="_Toc375039095"/>
      <w:bookmarkStart w:id="862" w:name="_Toc1215"/>
      <w:bookmarkStart w:id="863" w:name="_Toc17823"/>
      <w:bookmarkStart w:id="864" w:name="_Toc26470"/>
      <w:bookmarkStart w:id="865" w:name="_Toc3761"/>
      <w:bookmarkStart w:id="866" w:name="_Toc16732"/>
      <w:bookmarkStart w:id="867" w:name="_Toc14042"/>
      <w:bookmarkStart w:id="868" w:name="_Toc390098454"/>
      <w:bookmarkStart w:id="869" w:name="_Toc37"/>
      <w:bookmarkStart w:id="870" w:name="_Toc22182"/>
      <w:bookmarkStart w:id="871" w:name="_Toc12983538"/>
      <w:bookmarkStart w:id="872" w:name="_Toc383891203"/>
      <w:bookmarkStart w:id="873" w:name="_Toc27664"/>
      <w:bookmarkStart w:id="874" w:name="_Toc13986"/>
      <w:bookmarkStart w:id="875" w:name="_Toc492478753"/>
      <w:bookmarkStart w:id="876" w:name="_Toc21142"/>
      <w:bookmarkStart w:id="877" w:name="_Toc5172"/>
      <w:bookmarkStart w:id="878" w:name="_Toc5257"/>
      <w:bookmarkStart w:id="879" w:name="_Toc21947"/>
      <w:bookmarkStart w:id="880" w:name="_Toc25750623"/>
      <w:bookmarkStart w:id="881" w:name="_Toc114134640"/>
      <w:r>
        <w:rPr>
          <w:rFonts w:hint="eastAsia" w:ascii="宋体" w:hAnsi="宋体"/>
          <w:sz w:val="21"/>
          <w:szCs w:val="21"/>
          <w:highlight w:val="none"/>
        </w:rPr>
        <w:t>重新</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Fonts w:hint="eastAsia" w:ascii="宋体" w:hAnsi="宋体"/>
          <w:sz w:val="21"/>
          <w:szCs w:val="21"/>
          <w:highlight w:val="none"/>
        </w:rPr>
        <w:t>比选</w:t>
      </w:r>
      <w:bookmarkEnd w:id="880"/>
      <w:bookmarkEnd w:id="881"/>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出现下列特殊情况之一时，可重新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30.1</w:t>
      </w:r>
      <w:r>
        <w:rPr>
          <w:rFonts w:ascii="宋体" w:hAnsi="宋体"/>
          <w:highlight w:val="none"/>
        </w:rPr>
        <w:t>在比选申请截止时间到达时提交比选申请文件的比选申请人</w:t>
      </w:r>
      <w:r>
        <w:rPr>
          <w:rFonts w:hint="eastAsia" w:ascii="宋体" w:hAnsi="宋体"/>
          <w:highlight w:val="none"/>
        </w:rPr>
        <w:t>不足3家</w:t>
      </w:r>
      <w:r>
        <w:rPr>
          <w:rFonts w:ascii="宋体" w:hAnsi="宋体"/>
          <w:highlight w:val="none"/>
        </w:rPr>
        <w:t>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30.2</w:t>
      </w:r>
      <w:r>
        <w:rPr>
          <w:rFonts w:ascii="宋体" w:hAnsi="宋体"/>
          <w:highlight w:val="none"/>
        </w:rPr>
        <w:t>评审委员会否决不合格比选申请或者界定为否决比选申请后，因有效比选申请不足三</w:t>
      </w:r>
      <w:r>
        <w:rPr>
          <w:rFonts w:hint="eastAsia" w:ascii="宋体" w:hAnsi="宋体"/>
          <w:highlight w:val="none"/>
        </w:rPr>
        <w:t>家</w:t>
      </w:r>
      <w:r>
        <w:rPr>
          <w:rFonts w:ascii="宋体" w:hAnsi="宋体"/>
          <w:highlight w:val="none"/>
        </w:rPr>
        <w:t>使得比选申请明显缺乏竞争性的（当有效比选申请不足三</w:t>
      </w:r>
      <w:r>
        <w:rPr>
          <w:rFonts w:hint="eastAsia" w:ascii="宋体" w:hAnsi="宋体"/>
          <w:highlight w:val="none"/>
        </w:rPr>
        <w:t>家但还有两家</w:t>
      </w:r>
      <w:r>
        <w:rPr>
          <w:rFonts w:ascii="宋体" w:hAnsi="宋体"/>
          <w:highlight w:val="none"/>
        </w:rPr>
        <w:t>时，评审委员会认为剩余</w:t>
      </w:r>
      <w:r>
        <w:rPr>
          <w:rFonts w:hint="eastAsia" w:ascii="宋体" w:hAnsi="宋体"/>
          <w:highlight w:val="none"/>
        </w:rPr>
        <w:t>两家</w:t>
      </w:r>
      <w:r>
        <w:rPr>
          <w:rFonts w:ascii="宋体" w:hAnsi="宋体"/>
          <w:highlight w:val="none"/>
        </w:rPr>
        <w:t>的比选申请文件仍具有竞争性的，应继续评审）；</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30.</w:t>
      </w:r>
      <w:r>
        <w:rPr>
          <w:rFonts w:hint="eastAsia" w:ascii="宋体" w:hAnsi="宋体"/>
          <w:highlight w:val="none"/>
        </w:rPr>
        <w:t>3</w:t>
      </w:r>
      <w:r>
        <w:rPr>
          <w:rFonts w:ascii="宋体" w:hAnsi="宋体"/>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30.4</w:t>
      </w:r>
      <w:r>
        <w:rPr>
          <w:rFonts w:ascii="宋体" w:hAnsi="宋体"/>
          <w:highlight w:val="none"/>
        </w:rPr>
        <w:t>中选候选人均放弃中选资格</w:t>
      </w:r>
      <w:r>
        <w:rPr>
          <w:rFonts w:hint="eastAsia" w:ascii="宋体" w:hAnsi="宋体"/>
          <w:highlight w:val="none"/>
        </w:rPr>
        <w:t>的</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30.5</w:t>
      </w:r>
      <w:r>
        <w:rPr>
          <w:rFonts w:ascii="宋体" w:hAnsi="宋体"/>
          <w:highlight w:val="none"/>
        </w:rPr>
        <w:t>根据本须知</w:t>
      </w:r>
      <w:r>
        <w:rPr>
          <w:rFonts w:hint="eastAsia" w:ascii="宋体" w:hAnsi="宋体"/>
          <w:highlight w:val="none"/>
        </w:rPr>
        <w:t>第</w:t>
      </w:r>
      <w:r>
        <w:rPr>
          <w:rFonts w:ascii="宋体" w:hAnsi="宋体"/>
          <w:highlight w:val="none"/>
        </w:rPr>
        <w:t>15</w:t>
      </w:r>
      <w:r>
        <w:rPr>
          <w:rFonts w:hint="eastAsia" w:ascii="宋体" w:hAnsi="宋体"/>
          <w:highlight w:val="none"/>
        </w:rPr>
        <w:t>.2</w:t>
      </w:r>
      <w:r>
        <w:rPr>
          <w:rFonts w:ascii="宋体" w:hAnsi="宋体"/>
          <w:highlight w:val="none"/>
        </w:rPr>
        <w:t>条规定，</w:t>
      </w:r>
      <w:r>
        <w:rPr>
          <w:rFonts w:hint="eastAsia" w:ascii="宋体" w:hAnsi="宋体"/>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30.6比选文件中规定的其他情况。</w:t>
      </w:r>
    </w:p>
    <w:p>
      <w:pPr>
        <w:pStyle w:val="7"/>
        <w:numPr>
          <w:ilvl w:val="0"/>
          <w:numId w:val="6"/>
        </w:numPr>
        <w:spacing w:before="0" w:after="0" w:afterAutospacing="0"/>
        <w:ind w:left="0" w:right="0" w:firstLine="422" w:firstLineChars="200"/>
        <w:rPr>
          <w:rFonts w:ascii="宋体" w:hAnsi="宋体"/>
          <w:sz w:val="21"/>
          <w:szCs w:val="21"/>
          <w:highlight w:val="none"/>
        </w:rPr>
      </w:pPr>
      <w:bookmarkStart w:id="882" w:name="_Toc1116"/>
      <w:bookmarkStart w:id="883" w:name="_Toc10962"/>
      <w:bookmarkStart w:id="884" w:name="_Toc3769"/>
      <w:bookmarkStart w:id="885" w:name="_Toc5959"/>
      <w:bookmarkStart w:id="886" w:name="_Toc12031"/>
      <w:bookmarkStart w:id="887" w:name="_Toc14235"/>
      <w:bookmarkStart w:id="888" w:name="_Toc375039096"/>
      <w:bookmarkStart w:id="889" w:name="_Toc383891204"/>
      <w:bookmarkStart w:id="890" w:name="_Toc12983539"/>
      <w:bookmarkStart w:id="891" w:name="_Toc17042"/>
      <w:bookmarkStart w:id="892" w:name="_Toc11126"/>
      <w:bookmarkStart w:id="893" w:name="_Toc25257"/>
      <w:bookmarkStart w:id="894" w:name="_Toc26954"/>
      <w:bookmarkStart w:id="895" w:name="_Toc6886"/>
      <w:bookmarkStart w:id="896" w:name="_Toc385427829"/>
      <w:bookmarkStart w:id="897" w:name="_Toc20979"/>
      <w:bookmarkStart w:id="898" w:name="_Toc14454"/>
      <w:bookmarkStart w:id="899" w:name="_Toc26919"/>
      <w:bookmarkStart w:id="900" w:name="_Toc2422"/>
      <w:bookmarkStart w:id="901" w:name="_Toc31757"/>
      <w:bookmarkStart w:id="902" w:name="_Toc492478754"/>
      <w:bookmarkStart w:id="903" w:name="_Toc1945"/>
      <w:bookmarkStart w:id="904" w:name="_Toc390098455"/>
      <w:bookmarkStart w:id="905" w:name="_Toc114134641"/>
      <w:bookmarkStart w:id="906" w:name="_Toc25750624"/>
      <w:r>
        <w:rPr>
          <w:rFonts w:hint="eastAsia" w:ascii="宋体" w:hAnsi="宋体"/>
          <w:sz w:val="21"/>
          <w:szCs w:val="21"/>
          <w:highlight w:val="none"/>
        </w:rPr>
        <w:t>不再</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Fonts w:hint="eastAsia" w:ascii="宋体" w:hAnsi="宋体"/>
          <w:sz w:val="21"/>
          <w:szCs w:val="21"/>
          <w:highlight w:val="none"/>
        </w:rPr>
        <w:t>比选</w:t>
      </w:r>
      <w:bookmarkEnd w:id="905"/>
      <w:bookmarkEnd w:id="906"/>
    </w:p>
    <w:p>
      <w:pPr>
        <w:tabs>
          <w:tab w:val="left" w:pos="1155"/>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本</w:t>
      </w:r>
      <w:r>
        <w:rPr>
          <w:rFonts w:ascii="宋体" w:hAnsi="宋体"/>
          <w:highlight w:val="none"/>
        </w:rPr>
        <w:t>项目</w:t>
      </w:r>
      <w:r>
        <w:rPr>
          <w:rFonts w:hint="eastAsia" w:ascii="宋体" w:hAnsi="宋体"/>
          <w:highlight w:val="none"/>
        </w:rPr>
        <w:t>比选</w:t>
      </w:r>
      <w:r>
        <w:rPr>
          <w:rFonts w:ascii="宋体" w:hAnsi="宋体"/>
          <w:highlight w:val="none"/>
        </w:rPr>
        <w:t>经两次发布信息后比选申请人仍少于三个或重新</w:t>
      </w:r>
      <w:r>
        <w:rPr>
          <w:rFonts w:hint="eastAsia" w:ascii="宋体" w:hAnsi="宋体"/>
          <w:highlight w:val="none"/>
        </w:rPr>
        <w:t>比选</w:t>
      </w:r>
      <w:r>
        <w:rPr>
          <w:rFonts w:ascii="宋体" w:hAnsi="宋体"/>
          <w:highlight w:val="none"/>
        </w:rPr>
        <w:t>后有效比选申请人仍少于三个或者所有比选申请被否决的，比选人可不再进行</w:t>
      </w:r>
      <w:r>
        <w:rPr>
          <w:rFonts w:hint="eastAsia" w:ascii="宋体" w:hAnsi="宋体"/>
          <w:highlight w:val="none"/>
        </w:rPr>
        <w:t>比选</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907" w:name="_Toc114134642"/>
      <w:bookmarkStart w:id="908" w:name="_Toc8834"/>
      <w:bookmarkStart w:id="909" w:name="_Toc27839"/>
      <w:bookmarkStart w:id="910" w:name="_Toc22975"/>
      <w:bookmarkStart w:id="911" w:name="_Toc12983540"/>
      <w:bookmarkStart w:id="912" w:name="_Toc4743"/>
      <w:bookmarkStart w:id="913" w:name="_Toc21516"/>
      <w:bookmarkStart w:id="914" w:name="_Toc383891205"/>
      <w:bookmarkStart w:id="915" w:name="_Toc12421"/>
      <w:bookmarkStart w:id="916" w:name="_Toc9113"/>
      <w:bookmarkStart w:id="917" w:name="_Toc18800"/>
      <w:bookmarkStart w:id="918" w:name="_Toc19952"/>
      <w:bookmarkStart w:id="919" w:name="_Toc2326"/>
      <w:bookmarkStart w:id="920" w:name="_Toc31958"/>
      <w:bookmarkStart w:id="921" w:name="_Toc375039097"/>
      <w:bookmarkStart w:id="922" w:name="_Toc6000"/>
      <w:bookmarkStart w:id="923" w:name="_Toc25431"/>
      <w:bookmarkStart w:id="924" w:name="_Toc492478755"/>
      <w:bookmarkStart w:id="925" w:name="_Toc26653"/>
      <w:bookmarkStart w:id="926" w:name="_Toc385427830"/>
      <w:bookmarkStart w:id="927" w:name="_Toc30278"/>
      <w:bookmarkStart w:id="928" w:name="_Toc24681"/>
      <w:bookmarkStart w:id="929" w:name="_Toc24580"/>
      <w:bookmarkStart w:id="930" w:name="_Toc390098456"/>
      <w:r>
        <w:rPr>
          <w:rFonts w:hint="eastAsia" w:ascii="宋体" w:hAnsi="宋体" w:eastAsia="宋体"/>
          <w:sz w:val="24"/>
          <w:szCs w:val="24"/>
          <w:highlight w:val="none"/>
        </w:rPr>
        <w:t>六、</w:t>
      </w:r>
      <w:r>
        <w:rPr>
          <w:rFonts w:ascii="宋体" w:hAnsi="宋体" w:eastAsia="宋体"/>
          <w:sz w:val="24"/>
          <w:szCs w:val="24"/>
          <w:highlight w:val="none"/>
        </w:rPr>
        <w:t>授予合同</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7"/>
        <w:spacing w:before="0" w:after="0" w:afterAutospacing="0"/>
        <w:ind w:left="0" w:right="0" w:firstLine="422" w:firstLineChars="200"/>
        <w:rPr>
          <w:rFonts w:ascii="宋体" w:hAnsi="宋体"/>
          <w:sz w:val="21"/>
          <w:szCs w:val="21"/>
          <w:highlight w:val="none"/>
        </w:rPr>
      </w:pPr>
      <w:bookmarkStart w:id="931" w:name="_Toc26143"/>
      <w:bookmarkStart w:id="932" w:name="_Toc18878"/>
      <w:bookmarkStart w:id="933" w:name="_Toc21728"/>
      <w:bookmarkStart w:id="934" w:name="_Toc30026"/>
      <w:bookmarkStart w:id="935" w:name="_Toc28661"/>
      <w:bookmarkStart w:id="936" w:name="_Toc22323"/>
      <w:bookmarkStart w:id="937" w:name="_Toc390098457"/>
      <w:bookmarkStart w:id="938" w:name="_Toc20642"/>
      <w:bookmarkStart w:id="939" w:name="_Toc12983541"/>
      <w:bookmarkStart w:id="940" w:name="_Toc13914"/>
      <w:bookmarkStart w:id="941" w:name="_Toc383891206"/>
      <w:bookmarkStart w:id="942" w:name="_Toc492478756"/>
      <w:bookmarkStart w:id="943" w:name="_Toc25750626"/>
      <w:bookmarkStart w:id="944" w:name="_Toc1269"/>
      <w:bookmarkStart w:id="945" w:name="_Toc10522"/>
      <w:bookmarkStart w:id="946" w:name="_Toc11795"/>
      <w:bookmarkStart w:id="947" w:name="_Toc30743"/>
      <w:bookmarkStart w:id="948" w:name="_Toc22688"/>
      <w:bookmarkStart w:id="949" w:name="_Toc21975"/>
      <w:bookmarkStart w:id="950" w:name="_Toc8938"/>
      <w:bookmarkStart w:id="951" w:name="_Toc114134643"/>
      <w:bookmarkStart w:id="952" w:name="_Toc26525"/>
      <w:bookmarkStart w:id="953" w:name="_Toc31011"/>
      <w:bookmarkStart w:id="954" w:name="_Toc385427831"/>
      <w:bookmarkStart w:id="955" w:name="_Toc375039098"/>
      <w:r>
        <w:rPr>
          <w:rFonts w:hint="eastAsia" w:ascii="宋体" w:hAnsi="宋体"/>
          <w:sz w:val="21"/>
          <w:szCs w:val="21"/>
          <w:highlight w:val="none"/>
        </w:rPr>
        <w:t>32. 合同授予标准</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32.1 </w:t>
      </w:r>
      <w:r>
        <w:rPr>
          <w:rFonts w:ascii="宋体" w:hAnsi="宋体"/>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32.2 </w:t>
      </w:r>
      <w:r>
        <w:rPr>
          <w:rFonts w:ascii="宋体" w:hAnsi="宋体"/>
          <w:highlight w:val="none"/>
        </w:rPr>
        <w:t>如果</w:t>
      </w:r>
      <w:r>
        <w:rPr>
          <w:rFonts w:hint="eastAsia" w:ascii="宋体" w:hAnsi="宋体"/>
          <w:highlight w:val="none"/>
        </w:rPr>
        <w:t>中选候选人放弃中选候选人资格或</w:t>
      </w:r>
      <w:r>
        <w:rPr>
          <w:rFonts w:ascii="宋体" w:hAnsi="宋体"/>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7"/>
        <w:spacing w:before="0" w:after="0" w:afterAutospacing="0"/>
        <w:ind w:left="0" w:right="0" w:firstLine="422" w:firstLineChars="200"/>
        <w:rPr>
          <w:rFonts w:ascii="宋体" w:hAnsi="宋体"/>
          <w:sz w:val="21"/>
          <w:szCs w:val="21"/>
          <w:highlight w:val="none"/>
        </w:rPr>
      </w:pPr>
      <w:bookmarkStart w:id="956" w:name="_Toc390098458"/>
      <w:bookmarkStart w:id="957" w:name="_Toc14301"/>
      <w:bookmarkStart w:id="958" w:name="_Toc492478757"/>
      <w:bookmarkStart w:id="959" w:name="_Toc23649"/>
      <w:bookmarkStart w:id="960" w:name="_Toc383891207"/>
      <w:bookmarkStart w:id="961" w:name="_Toc11913"/>
      <w:bookmarkStart w:id="962" w:name="_Toc14325"/>
      <w:bookmarkStart w:id="963" w:name="_Toc25797"/>
      <w:bookmarkStart w:id="964" w:name="_Toc14832"/>
      <w:bookmarkStart w:id="965" w:name="_Toc375039099"/>
      <w:bookmarkStart w:id="966" w:name="_Toc16111"/>
      <w:bookmarkStart w:id="967" w:name="_Toc385427832"/>
      <w:bookmarkStart w:id="968" w:name="_Toc17153"/>
      <w:bookmarkStart w:id="969" w:name="_Toc24183"/>
      <w:bookmarkStart w:id="970" w:name="_Toc13417"/>
      <w:bookmarkStart w:id="971" w:name="_Toc377"/>
      <w:bookmarkStart w:id="972" w:name="_Toc18977"/>
      <w:bookmarkStart w:id="973" w:name="_Toc19128"/>
      <w:bookmarkStart w:id="974" w:name="_Toc19774"/>
      <w:bookmarkStart w:id="975" w:name="_Toc1873"/>
      <w:bookmarkStart w:id="976" w:name="_Toc114134644"/>
      <w:bookmarkStart w:id="977" w:name="_Toc17818"/>
      <w:bookmarkStart w:id="978" w:name="_Toc12983542"/>
      <w:bookmarkStart w:id="979" w:name="_Toc25750627"/>
      <w:bookmarkStart w:id="980" w:name="_Toc31336"/>
      <w:r>
        <w:rPr>
          <w:rFonts w:hint="eastAsia" w:ascii="宋体" w:hAnsi="宋体"/>
          <w:sz w:val="21"/>
          <w:szCs w:val="21"/>
          <w:highlight w:val="none"/>
        </w:rPr>
        <w:t>33. 接受和否决任何或所有比选申请的权力</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7"/>
        <w:numPr>
          <w:ilvl w:val="0"/>
          <w:numId w:val="7"/>
        </w:numPr>
        <w:spacing w:before="0" w:after="0" w:afterAutospacing="0"/>
        <w:ind w:left="0" w:right="0" w:firstLine="422" w:firstLineChars="200"/>
        <w:rPr>
          <w:rFonts w:ascii="宋体" w:hAnsi="宋体"/>
          <w:sz w:val="21"/>
          <w:szCs w:val="21"/>
          <w:highlight w:val="none"/>
        </w:rPr>
      </w:pPr>
      <w:bookmarkStart w:id="981" w:name="_Toc12065"/>
      <w:bookmarkStart w:id="982" w:name="_Toc21798"/>
      <w:bookmarkStart w:id="983" w:name="_Toc13605"/>
      <w:bookmarkStart w:id="984" w:name="_Toc9636"/>
      <w:bookmarkStart w:id="985" w:name="_Toc12983543"/>
      <w:bookmarkStart w:id="986" w:name="_Toc32424"/>
      <w:bookmarkStart w:id="987" w:name="_Toc114134645"/>
      <w:bookmarkStart w:id="988" w:name="_Toc19943"/>
      <w:bookmarkStart w:id="989" w:name="_Toc19556"/>
      <w:bookmarkStart w:id="990" w:name="_Toc383891208"/>
      <w:bookmarkStart w:id="991" w:name="_Toc10348"/>
      <w:bookmarkStart w:id="992" w:name="_Toc25750628"/>
      <w:bookmarkStart w:id="993" w:name="_Toc2061"/>
      <w:bookmarkStart w:id="994" w:name="_Toc5061"/>
      <w:bookmarkStart w:id="995" w:name="_Toc921"/>
      <w:bookmarkStart w:id="996" w:name="_Toc27683"/>
      <w:bookmarkStart w:id="997" w:name="_Toc17953"/>
      <w:bookmarkStart w:id="998" w:name="_Toc673"/>
      <w:bookmarkStart w:id="999" w:name="_Toc385427833"/>
      <w:bookmarkStart w:id="1000" w:name="_Toc375039100"/>
      <w:bookmarkStart w:id="1001" w:name="_Toc20680"/>
      <w:bookmarkStart w:id="1002" w:name="_Toc492478758"/>
      <w:bookmarkStart w:id="1003" w:name="_Toc13596"/>
      <w:bookmarkStart w:id="1004" w:name="_Toc22657"/>
      <w:bookmarkStart w:id="1005" w:name="_Toc390098459"/>
      <w:r>
        <w:rPr>
          <w:rFonts w:hint="eastAsia" w:ascii="宋体" w:hAnsi="宋体"/>
          <w:sz w:val="21"/>
          <w:szCs w:val="21"/>
          <w:highlight w:val="none"/>
        </w:rPr>
        <w:t>中选通知书</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34.4放弃中选人资格的处罚详见前附表。</w:t>
      </w:r>
    </w:p>
    <w:p>
      <w:pPr>
        <w:pStyle w:val="7"/>
        <w:numPr>
          <w:ilvl w:val="0"/>
          <w:numId w:val="7"/>
        </w:numPr>
        <w:spacing w:before="0" w:after="0" w:afterAutospacing="0"/>
        <w:ind w:left="0" w:right="0" w:firstLine="422" w:firstLineChars="200"/>
        <w:rPr>
          <w:rFonts w:ascii="宋体" w:hAnsi="宋体"/>
          <w:sz w:val="21"/>
          <w:szCs w:val="21"/>
          <w:highlight w:val="none"/>
        </w:rPr>
      </w:pPr>
      <w:bookmarkStart w:id="1006" w:name="_Toc28815"/>
      <w:bookmarkStart w:id="1007" w:name="_Toc12983544"/>
      <w:bookmarkStart w:id="1008" w:name="_Toc5617"/>
      <w:bookmarkStart w:id="1009" w:name="_Toc385427834"/>
      <w:bookmarkStart w:id="1010" w:name="_Toc4190"/>
      <w:bookmarkStart w:id="1011" w:name="_Toc1862"/>
      <w:bookmarkStart w:id="1012" w:name="_Toc18694"/>
      <w:bookmarkStart w:id="1013" w:name="_Toc24885"/>
      <w:bookmarkStart w:id="1014" w:name="_Toc5767"/>
      <w:bookmarkStart w:id="1015" w:name="_Toc24240"/>
      <w:bookmarkStart w:id="1016" w:name="_Toc492478759"/>
      <w:bookmarkStart w:id="1017" w:name="_Toc22442"/>
      <w:bookmarkStart w:id="1018" w:name="_Toc29993"/>
      <w:bookmarkStart w:id="1019" w:name="_Toc30862"/>
      <w:bookmarkStart w:id="1020" w:name="_Toc25208"/>
      <w:bookmarkStart w:id="1021" w:name="_Toc1780"/>
      <w:bookmarkStart w:id="1022" w:name="_Toc8628"/>
      <w:bookmarkStart w:id="1023" w:name="_Toc15048"/>
      <w:bookmarkStart w:id="1024" w:name="_Toc114134646"/>
      <w:bookmarkStart w:id="1025" w:name="_Toc25750629"/>
      <w:bookmarkStart w:id="1026" w:name="_Toc383891209"/>
      <w:bookmarkStart w:id="1027" w:name="_Toc375039101"/>
      <w:bookmarkStart w:id="1028" w:name="_Toc21217"/>
      <w:bookmarkStart w:id="1029" w:name="_Toc21570"/>
      <w:bookmarkStart w:id="1030" w:name="_Toc390098460"/>
      <w:r>
        <w:rPr>
          <w:rFonts w:hint="eastAsia" w:ascii="宋体" w:hAnsi="宋体"/>
          <w:sz w:val="21"/>
          <w:szCs w:val="21"/>
          <w:highlight w:val="none"/>
        </w:rPr>
        <w:t>签订合同</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35.1 中选人在收到中选通知书后3</w:t>
      </w:r>
      <w:r>
        <w:rPr>
          <w:rFonts w:ascii="宋体" w:hAnsi="宋体"/>
          <w:highlight w:val="none"/>
        </w:rPr>
        <w:t>0</w:t>
      </w:r>
      <w:r>
        <w:rPr>
          <w:rFonts w:hint="eastAsia" w:ascii="宋体" w:hAnsi="宋体"/>
          <w:highlight w:val="none"/>
        </w:rPr>
        <w:t>日内，按比选文件的要求与比选人签订合同</w:t>
      </w:r>
      <w:r>
        <w:rPr>
          <w:rFonts w:ascii="宋体" w:hAnsi="宋体"/>
          <w:highlight w:val="none"/>
        </w:rPr>
        <w:t>。</w:t>
      </w:r>
      <w:r>
        <w:rPr>
          <w:rFonts w:hint="eastAsia" w:ascii="宋体" w:hAnsi="宋体"/>
          <w:highlight w:val="none"/>
        </w:rPr>
        <w:t>如中选人未在上述期限内与比选人签订合同的，比选人将取消其中选。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35.2 </w:t>
      </w:r>
      <w:r>
        <w:rPr>
          <w:rFonts w:ascii="宋体" w:hAnsi="宋体"/>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35.3 </w:t>
      </w:r>
      <w:r>
        <w:rPr>
          <w:rFonts w:ascii="宋体" w:hAnsi="宋体"/>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7"/>
        <w:numPr>
          <w:ilvl w:val="0"/>
          <w:numId w:val="7"/>
        </w:numPr>
        <w:spacing w:before="0" w:after="0" w:afterAutospacing="0"/>
        <w:ind w:left="0" w:right="0" w:firstLine="422" w:firstLineChars="200"/>
        <w:rPr>
          <w:rFonts w:ascii="宋体" w:hAnsi="宋体"/>
          <w:sz w:val="21"/>
          <w:szCs w:val="21"/>
          <w:highlight w:val="none"/>
        </w:rPr>
      </w:pPr>
      <w:bookmarkStart w:id="1031" w:name="_Toc31814"/>
      <w:bookmarkStart w:id="1032" w:name="_Toc6599"/>
      <w:bookmarkStart w:id="1033" w:name="_Toc25483"/>
      <w:bookmarkStart w:id="1034" w:name="_Toc8104"/>
      <w:bookmarkStart w:id="1035" w:name="_Toc9433"/>
      <w:bookmarkStart w:id="1036" w:name="_Toc5576"/>
      <w:bookmarkStart w:id="1037" w:name="_Toc375039102"/>
      <w:bookmarkStart w:id="1038" w:name="_Toc11412"/>
      <w:bookmarkStart w:id="1039" w:name="_Toc390098461"/>
      <w:bookmarkStart w:id="1040" w:name="_Toc114134647"/>
      <w:bookmarkStart w:id="1041" w:name="_Toc11079"/>
      <w:bookmarkStart w:id="1042" w:name="_Toc20178"/>
      <w:bookmarkStart w:id="1043" w:name="_Toc385427835"/>
      <w:bookmarkStart w:id="1044" w:name="_Toc9981"/>
      <w:bookmarkStart w:id="1045" w:name="_Toc12983545"/>
      <w:bookmarkStart w:id="1046" w:name="_Toc17281"/>
      <w:bookmarkStart w:id="1047" w:name="_Toc24750"/>
      <w:bookmarkStart w:id="1048" w:name="_Toc492478760"/>
      <w:bookmarkStart w:id="1049" w:name="_Toc25632"/>
      <w:bookmarkStart w:id="1050" w:name="_Toc25750630"/>
      <w:bookmarkStart w:id="1051" w:name="_Toc29857"/>
      <w:bookmarkStart w:id="1052" w:name="_Toc23817"/>
      <w:bookmarkStart w:id="1053" w:name="_Toc16371"/>
      <w:bookmarkStart w:id="1054" w:name="_Toc383891210"/>
      <w:bookmarkStart w:id="1055" w:name="_Toc16589"/>
      <w:r>
        <w:rPr>
          <w:rFonts w:hint="eastAsia" w:ascii="宋体" w:hAnsi="宋体"/>
          <w:sz w:val="21"/>
          <w:szCs w:val="21"/>
          <w:highlight w:val="none"/>
        </w:rPr>
        <w:t>履约担保</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 </w:t>
      </w:r>
      <w:r>
        <w:rPr>
          <w:rFonts w:ascii="宋体" w:hAnsi="宋体"/>
          <w:highlight w:val="none"/>
        </w:rPr>
        <w:t>在签订合同前，</w:t>
      </w:r>
      <w:r>
        <w:rPr>
          <w:rFonts w:hint="eastAsia" w:ascii="宋体" w:hAnsi="宋体"/>
          <w:highlight w:val="none"/>
        </w:rPr>
        <w:t>中选人应按</w:t>
      </w:r>
      <w:r>
        <w:rPr>
          <w:rFonts w:ascii="宋体" w:hAnsi="宋体"/>
          <w:highlight w:val="none"/>
        </w:rPr>
        <w:t>比选申请须知前附表中所示履约担保形式、金额及提交时间向比选人提交履约担保。（如为银行保函形式应按比选文件中提供的银行保函格式开具</w:t>
      </w:r>
      <w:r>
        <w:rPr>
          <w:rFonts w:hint="eastAsia"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 </w:t>
      </w:r>
      <w:r>
        <w:rPr>
          <w:rFonts w:ascii="宋体" w:hAnsi="宋体"/>
          <w:highlight w:val="none"/>
        </w:rPr>
        <w:t>如果中选人没有按照上述第35或</w:t>
      </w:r>
      <w:r>
        <w:rPr>
          <w:rFonts w:hint="eastAsia" w:ascii="宋体" w:hAnsi="宋体"/>
          <w:highlight w:val="none"/>
        </w:rPr>
        <w:t>第</w:t>
      </w:r>
      <w:r>
        <w:rPr>
          <w:rFonts w:ascii="宋体" w:hAnsi="宋体"/>
          <w:highlight w:val="none"/>
        </w:rPr>
        <w:t>36.1条以及本比选文件中有关章节中规定执行，比选人将有充分理由取消该中选决定。在此情况下，比选人可将合同授予排名第二的比选申请人，或重新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36.3 履约担保应从生效之日起至</w:t>
      </w:r>
      <w:r>
        <w:rPr>
          <w:rFonts w:hint="eastAsia" w:ascii="宋体" w:hAnsi="宋体"/>
          <w:highlight w:val="none"/>
        </w:rPr>
        <w:t>全部项目内容验收合格</w:t>
      </w:r>
      <w:r>
        <w:rPr>
          <w:rFonts w:ascii="宋体" w:hAnsi="宋体"/>
          <w:highlight w:val="none"/>
        </w:rPr>
        <w:t>之日有效</w:t>
      </w:r>
      <w:r>
        <w:rPr>
          <w:rFonts w:hint="eastAsia" w:ascii="宋体" w:hAnsi="宋体"/>
          <w:highlight w:val="none"/>
        </w:rPr>
        <w:t>（最终验收证书签署之日后四十五（</w:t>
      </w:r>
      <w:r>
        <w:rPr>
          <w:rFonts w:ascii="宋体" w:hAnsi="宋体"/>
          <w:highlight w:val="none"/>
        </w:rPr>
        <w:t>45</w:t>
      </w:r>
      <w:r>
        <w:rPr>
          <w:rFonts w:hint="eastAsia" w:ascii="宋体" w:hAnsi="宋体"/>
          <w:highlight w:val="none"/>
        </w:rPr>
        <w:t>）天一直有效）</w:t>
      </w:r>
      <w:r>
        <w:rPr>
          <w:rFonts w:ascii="宋体" w:hAnsi="宋体"/>
          <w:highlight w:val="none"/>
        </w:rPr>
        <w:t>。如本项目实际</w:t>
      </w:r>
      <w:r>
        <w:rPr>
          <w:rFonts w:hint="eastAsia" w:ascii="宋体" w:hAnsi="宋体"/>
          <w:highlight w:val="none"/>
        </w:rPr>
        <w:t>全部项目内容验收合格</w:t>
      </w:r>
      <w:r>
        <w:rPr>
          <w:rFonts w:ascii="宋体" w:hAnsi="宋体"/>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36.4 </w:t>
      </w:r>
      <w:r>
        <w:rPr>
          <w:rFonts w:ascii="宋体" w:hAnsi="宋体"/>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36.5 </w:t>
      </w:r>
      <w:r>
        <w:rPr>
          <w:rFonts w:ascii="宋体" w:hAnsi="宋体"/>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36.6 </w:t>
      </w:r>
      <w:r>
        <w:rPr>
          <w:rFonts w:ascii="宋体" w:hAnsi="宋体"/>
          <w:highlight w:val="none"/>
        </w:rPr>
        <w:t>以履约保证金形式提交履约担保的，中选人应通过银行电汇或转账的形式，从基本账户中递交至比选人</w:t>
      </w:r>
      <w:r>
        <w:rPr>
          <w:rFonts w:hint="eastAsia" w:ascii="宋体" w:hAnsi="宋体"/>
          <w:highlight w:val="none"/>
        </w:rPr>
        <w:t>指定账户</w:t>
      </w:r>
      <w:r>
        <w:rPr>
          <w:rFonts w:ascii="宋体" w:hAnsi="宋体"/>
          <w:highlight w:val="none"/>
        </w:rPr>
        <w:t>。</w:t>
      </w:r>
    </w:p>
    <w:p>
      <w:pPr>
        <w:tabs>
          <w:tab w:val="left" w:pos="1134"/>
          <w:tab w:val="left" w:pos="8364"/>
        </w:tabs>
        <w:spacing w:before="0" w:after="0" w:afterAutospacing="0"/>
        <w:ind w:left="0" w:right="0" w:firstLine="422" w:firstLineChars="200"/>
        <w:rPr>
          <w:rFonts w:ascii="宋体" w:hAnsi="宋体"/>
          <w:b/>
          <w:bCs/>
          <w:highlight w:val="none"/>
        </w:rPr>
      </w:pPr>
      <w:r>
        <w:rPr>
          <w:rFonts w:hint="eastAsia" w:ascii="宋体" w:hAnsi="宋体"/>
          <w:b/>
          <w:bCs/>
          <w:highlight w:val="none"/>
        </w:rPr>
        <w:t xml:space="preserve">37 </w:t>
      </w:r>
      <w:r>
        <w:rPr>
          <w:rFonts w:ascii="宋体" w:hAnsi="宋体"/>
          <w:b/>
          <w:bCs/>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37.1 </w:t>
      </w:r>
      <w:r>
        <w:rPr>
          <w:rFonts w:ascii="宋体" w:hAnsi="宋体"/>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2" w:firstLineChars="200"/>
        <w:rPr>
          <w:rFonts w:ascii="宋体" w:hAnsi="宋体"/>
          <w:b/>
          <w:bCs/>
          <w:highlight w:val="none"/>
        </w:rPr>
      </w:pPr>
      <w:r>
        <w:rPr>
          <w:rFonts w:hint="eastAsia" w:ascii="宋体" w:hAnsi="宋体"/>
          <w:b/>
          <w:bCs/>
          <w:highlight w:val="none"/>
        </w:rPr>
        <w:t>38</w:t>
      </w:r>
      <w:r>
        <w:rPr>
          <w:rFonts w:ascii="宋体" w:hAnsi="宋体"/>
          <w:b/>
          <w:bCs/>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38.1 </w:t>
      </w:r>
      <w:r>
        <w:rPr>
          <w:rFonts w:ascii="宋体" w:hAnsi="宋体"/>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38.2 </w:t>
      </w:r>
      <w:r>
        <w:rPr>
          <w:rFonts w:ascii="宋体" w:hAnsi="宋体"/>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2" w:firstLineChars="200"/>
        <w:rPr>
          <w:rFonts w:ascii="宋体" w:hAnsi="宋体"/>
          <w:b/>
          <w:bCs/>
          <w:highlight w:val="none"/>
        </w:rPr>
      </w:pPr>
      <w:r>
        <w:rPr>
          <w:rFonts w:hint="eastAsia" w:ascii="宋体" w:hAnsi="宋体"/>
          <w:b/>
          <w:bCs/>
          <w:highlight w:val="none"/>
        </w:rPr>
        <w:t>39</w:t>
      </w:r>
      <w:r>
        <w:rPr>
          <w:rFonts w:ascii="宋体" w:hAnsi="宋体"/>
          <w:b/>
          <w:bCs/>
          <w:highlight w:val="none"/>
        </w:rPr>
        <w:t>比选申请人知悉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39.1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39.2 </w:t>
      </w:r>
      <w:r>
        <w:rPr>
          <w:rFonts w:ascii="宋体" w:hAnsi="宋体"/>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39.3 分包：本项目不允许分包、禁止转包。</w:t>
      </w:r>
    </w:p>
    <w:p>
      <w:pPr>
        <w:pStyle w:val="15"/>
        <w:spacing w:before="0" w:after="0" w:afterAutospacing="0"/>
        <w:ind w:left="0" w:right="0" w:firstLine="400" w:firstLineChars="200"/>
        <w:rPr>
          <w:rFonts w:hAnsi="宋体"/>
          <w:highlight w:val="none"/>
        </w:rPr>
      </w:pPr>
      <w:r>
        <w:rPr>
          <w:rFonts w:hint="eastAsia" w:hAnsi="宋体"/>
          <w:highlight w:val="none"/>
        </w:rPr>
        <w:t>39.4需要补充的其他内容：详见比选申请须知前附表</w:t>
      </w:r>
    </w:p>
    <w:p>
      <w:pPr>
        <w:tabs>
          <w:tab w:val="left" w:pos="425"/>
          <w:tab w:val="left" w:pos="1134"/>
          <w:tab w:val="left" w:pos="8364"/>
        </w:tabs>
        <w:spacing w:before="0" w:after="0" w:afterAutospacing="0" w:line="240" w:lineRule="auto"/>
        <w:ind w:left="0" w:right="0" w:firstLine="422" w:firstLineChars="200"/>
        <w:rPr>
          <w:rFonts w:ascii="宋体" w:hAnsi="宋体"/>
          <w:b/>
          <w:bCs/>
          <w:highlight w:val="none"/>
        </w:rPr>
      </w:pPr>
      <w:r>
        <w:rPr>
          <w:rFonts w:hint="eastAsia" w:ascii="宋体" w:hAnsi="宋体"/>
          <w:b/>
          <w:bCs/>
          <w:highlight w:val="none"/>
        </w:rPr>
        <w:t>40其他</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人的不良信用名单：</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40.1比选申请人在投标截止期后撤回其比选申请的。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40.2提供虚假材料谋取中选的。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40.3采取不正当手段诋毁、排挤其他供应商的。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40.4恶意串通等不正当竞争行为的。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40.5中</w:t>
      </w:r>
      <w:r>
        <w:rPr>
          <w:rFonts w:hint="eastAsia" w:ascii="宋体" w:hAnsi="宋体"/>
          <w:highlight w:val="none"/>
        </w:rPr>
        <w:t>选</w:t>
      </w:r>
      <w:r>
        <w:rPr>
          <w:rFonts w:ascii="宋体" w:hAnsi="宋体"/>
          <w:highlight w:val="none"/>
        </w:rPr>
        <w:t>后无正当理由拒不与采购人签订合同的。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40.6未照比选、比选申请文件确定的事项签订合同的。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40.7将合同转包的。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40.8提供假冒伪劣产品的。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40.9擅自变更、中止或者终止合同的。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40.10中选人签订合同后，不能履约或无故拖延履约期的。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40.11 中选人未按比选申请须知要求在比选申请阶段提出异议或疑问，在成交后无法满足</w:t>
      </w:r>
      <w:r>
        <w:rPr>
          <w:rFonts w:hint="eastAsia" w:ascii="宋体" w:hAnsi="宋体"/>
          <w:highlight w:val="none"/>
        </w:rPr>
        <w:t>比选需求</w:t>
      </w:r>
      <w:r>
        <w:rPr>
          <w:rFonts w:ascii="宋体" w:hAnsi="宋体"/>
          <w:highlight w:val="none"/>
        </w:rPr>
        <w:t>被认定为无效报价或主动放弃成交资格的。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40.12 中选人在成交后无正当理由放弃成交资格的。</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40.13比选文件、法律、法规规定的其他情形。</w:t>
      </w:r>
    </w:p>
    <w:p>
      <w:pPr>
        <w:tabs>
          <w:tab w:val="left" w:pos="1134"/>
          <w:tab w:val="left" w:pos="8364"/>
        </w:tabs>
        <w:spacing w:before="0" w:after="0" w:afterAutospacing="0"/>
        <w:ind w:left="0" w:right="0" w:firstLine="420" w:firstLineChars="200"/>
        <w:rPr>
          <w:rFonts w:ascii="宋体" w:hAnsi="宋体"/>
          <w:highlight w:val="none"/>
        </w:rPr>
      </w:pPr>
    </w:p>
    <w:p>
      <w:pPr>
        <w:pStyle w:val="15"/>
        <w:pageBreakBefore/>
        <w:ind w:right="-57" w:firstLine="0"/>
        <w:jc w:val="center"/>
        <w:outlineLvl w:val="0"/>
        <w:rPr>
          <w:rStyle w:val="49"/>
          <w:rFonts w:ascii="宋体" w:hAnsi="宋体" w:eastAsia="宋体"/>
          <w:highlight w:val="none"/>
        </w:rPr>
      </w:pPr>
      <w:bookmarkStart w:id="1056" w:name="_Toc4003"/>
      <w:bookmarkStart w:id="1057" w:name="_Toc21919"/>
      <w:bookmarkStart w:id="1058" w:name="_Toc14991"/>
      <w:bookmarkStart w:id="1059" w:name="_Toc9458"/>
      <w:bookmarkStart w:id="1060" w:name="_Toc16340"/>
      <w:bookmarkStart w:id="1061" w:name="_Toc28464"/>
      <w:bookmarkStart w:id="1062" w:name="_Toc12281"/>
      <w:bookmarkStart w:id="1063" w:name="_Toc7547"/>
      <w:bookmarkStart w:id="1064" w:name="_Toc13323"/>
      <w:bookmarkStart w:id="1065" w:name="_Toc23292"/>
      <w:bookmarkStart w:id="1066" w:name="_Toc11424"/>
      <w:bookmarkStart w:id="1067" w:name="_Toc1179"/>
      <w:bookmarkStart w:id="1068" w:name="_Toc9991"/>
      <w:bookmarkStart w:id="1069" w:name="_Toc9725"/>
      <w:bookmarkStart w:id="1070" w:name="_Toc114134648"/>
      <w:bookmarkStart w:id="1071" w:name="_Toc17022"/>
      <w:bookmarkStart w:id="1072" w:name="_Toc15740"/>
      <w:bookmarkStart w:id="1073" w:name="_Toc25920"/>
      <w:r>
        <w:rPr>
          <w:rStyle w:val="49"/>
          <w:rFonts w:hint="eastAsia" w:ascii="宋体" w:hAnsi="宋体" w:eastAsia="宋体"/>
          <w:highlight w:val="none"/>
        </w:rPr>
        <w:t>第三章合同条款及格式</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Start w:id="1074" w:name="_Toc13288"/>
      <w:bookmarkStart w:id="1075" w:name="_Toc19448"/>
      <w:bookmarkStart w:id="1076" w:name="_Toc5644"/>
      <w:bookmarkStart w:id="1077" w:name="_Toc27258"/>
      <w:bookmarkStart w:id="1078" w:name="_Toc14997"/>
      <w:bookmarkStart w:id="1079" w:name="_Toc2753"/>
      <w:bookmarkStart w:id="1080" w:name="_Toc6194"/>
      <w:bookmarkStart w:id="1081" w:name="_Toc12470"/>
      <w:bookmarkStart w:id="1082" w:name="_Toc21033"/>
      <w:bookmarkStart w:id="1083" w:name="_Toc21659"/>
      <w:bookmarkStart w:id="1084" w:name="_Toc29249"/>
      <w:bookmarkStart w:id="1085" w:name="_Toc27316"/>
      <w:bookmarkStart w:id="1086" w:name="_Toc21635"/>
      <w:bookmarkStart w:id="1087" w:name="_Toc12983548"/>
      <w:bookmarkStart w:id="1088" w:name="_Toc5186"/>
      <w:bookmarkStart w:id="1089" w:name="_Toc16443"/>
      <w:bookmarkStart w:id="1090" w:name="_Toc21372"/>
      <w:bookmarkStart w:id="1091" w:name="_Toc16716"/>
    </w:p>
    <w:p>
      <w:pPr>
        <w:jc w:val="left"/>
        <w:rPr>
          <w:rFonts w:ascii="宋体" w:hAnsi="宋体" w:cs="宋体"/>
          <w:color w:val="000000"/>
          <w:highlight w:val="none"/>
        </w:rPr>
      </w:pPr>
      <w:r>
        <w:rPr>
          <w:rFonts w:hint="eastAsia" w:ascii="宋体" w:hAnsi="宋体" w:cs="宋体"/>
          <w:color w:val="000000"/>
          <w:highlight w:val="none"/>
        </w:rPr>
        <w:t xml:space="preserve">合同编号： </w:t>
      </w:r>
    </w:p>
    <w:p>
      <w:pPr>
        <w:pStyle w:val="69"/>
        <w:ind w:firstLine="480"/>
        <w:rPr>
          <w:highlight w:val="none"/>
        </w:rPr>
      </w:pPr>
    </w:p>
    <w:p>
      <w:pPr>
        <w:pStyle w:val="69"/>
        <w:ind w:firstLine="480"/>
        <w:rPr>
          <w:highlight w:val="none"/>
        </w:rPr>
      </w:pPr>
    </w:p>
    <w:p>
      <w:pPr>
        <w:pStyle w:val="69"/>
        <w:ind w:firstLine="480"/>
        <w:rPr>
          <w:highlight w:val="none"/>
        </w:rPr>
      </w:pPr>
    </w:p>
    <w:p>
      <w:pPr>
        <w:spacing w:line="500" w:lineRule="exact"/>
        <w:jc w:val="center"/>
        <w:rPr>
          <w:rFonts w:ascii="宋体" w:hAnsi="宋体" w:cs="宋体"/>
          <w:b/>
          <w:bCs/>
          <w:color w:val="000000"/>
          <w:sz w:val="36"/>
          <w:szCs w:val="36"/>
          <w:highlight w:val="none"/>
        </w:rPr>
      </w:pPr>
      <w:r>
        <w:rPr>
          <w:rFonts w:hint="eastAsia" w:ascii="宋体" w:hAnsi="宋体" w:cs="宋体"/>
          <w:b/>
          <w:bCs/>
          <w:color w:val="000000"/>
          <w:sz w:val="36"/>
          <w:szCs w:val="36"/>
          <w:highlight w:val="none"/>
        </w:rPr>
        <w:t>XX项目第三方质量安全评估服务委托合同</w:t>
      </w:r>
    </w:p>
    <w:p>
      <w:pPr>
        <w:pStyle w:val="69"/>
        <w:ind w:firstLine="480"/>
        <w:rPr>
          <w:color w:val="000000"/>
          <w:highlight w:val="none"/>
        </w:rPr>
      </w:pPr>
    </w:p>
    <w:p>
      <w:pPr>
        <w:pStyle w:val="69"/>
        <w:rPr>
          <w:rFonts w:ascii="宋体" w:hAnsi="宋体" w:cs="宋体"/>
          <w:color w:val="000000"/>
          <w:sz w:val="21"/>
          <w:szCs w:val="21"/>
          <w:highlight w:val="none"/>
        </w:rPr>
      </w:pPr>
    </w:p>
    <w:p>
      <w:pPr>
        <w:pStyle w:val="69"/>
        <w:rPr>
          <w:rFonts w:ascii="宋体" w:hAnsi="宋体" w:cs="宋体"/>
          <w:color w:val="000000"/>
          <w:sz w:val="21"/>
          <w:szCs w:val="21"/>
          <w:highlight w:val="none"/>
        </w:rPr>
      </w:pPr>
    </w:p>
    <w:p>
      <w:pPr>
        <w:pStyle w:val="69"/>
        <w:rPr>
          <w:rFonts w:ascii="宋体" w:hAnsi="宋体" w:cs="宋体"/>
          <w:color w:val="000000"/>
          <w:sz w:val="21"/>
          <w:szCs w:val="21"/>
          <w:highlight w:val="none"/>
        </w:rPr>
      </w:pPr>
    </w:p>
    <w:p>
      <w:pPr>
        <w:spacing w:line="500" w:lineRule="exact"/>
        <w:ind w:firstLine="420" w:firstLineChars="200"/>
        <w:jc w:val="left"/>
        <w:rPr>
          <w:rFonts w:ascii="宋体" w:hAnsi="宋体" w:cs="宋体"/>
          <w:bCs/>
          <w:color w:val="000000"/>
          <w:highlight w:val="none"/>
        </w:rPr>
      </w:pPr>
      <w:r>
        <w:rPr>
          <w:rFonts w:hint="eastAsia" w:ascii="宋体" w:hAnsi="宋体" w:cs="宋体"/>
          <w:bCs/>
          <w:color w:val="000000"/>
          <w:highlight w:val="none"/>
        </w:rPr>
        <w:t>委托方：</w:t>
      </w:r>
      <w:r>
        <w:rPr>
          <w:rFonts w:hint="eastAsia" w:ascii="宋体" w:hAnsi="宋体" w:cs="宋体"/>
          <w:bCs/>
          <w:color w:val="000000"/>
          <w:highlight w:val="none"/>
          <w:u w:val="single"/>
        </w:rPr>
        <w:t>南宁轨道交通集团有限责任公司</w:t>
      </w:r>
    </w:p>
    <w:p>
      <w:pPr>
        <w:spacing w:line="500" w:lineRule="exact"/>
        <w:ind w:firstLine="420" w:firstLineChars="200"/>
        <w:jc w:val="left"/>
        <w:rPr>
          <w:rFonts w:ascii="宋体" w:hAnsi="宋体" w:cs="宋体"/>
          <w:color w:val="000000"/>
          <w:highlight w:val="none"/>
        </w:rPr>
      </w:pPr>
      <w:r>
        <w:rPr>
          <w:rFonts w:hint="eastAsia" w:ascii="宋体" w:hAnsi="宋体" w:cs="宋体"/>
          <w:bCs/>
          <w:color w:val="000000"/>
          <w:highlight w:val="none"/>
        </w:rPr>
        <w:t>受托方：</w:t>
      </w:r>
      <w:r>
        <w:rPr>
          <w:rFonts w:hint="eastAsia" w:ascii="宋体" w:hAnsi="宋体" w:cs="宋体"/>
          <w:bCs/>
          <w:color w:val="000000"/>
          <w:highlight w:val="none"/>
          <w:u w:val="single"/>
        </w:rPr>
        <w:t xml:space="preserve"> </w:t>
      </w:r>
      <w:r>
        <w:rPr>
          <w:rFonts w:ascii="宋体" w:hAnsi="宋体" w:cs="宋体"/>
          <w:bCs/>
          <w:color w:val="000000"/>
          <w:highlight w:val="none"/>
          <w:u w:val="single"/>
        </w:rPr>
        <w:t xml:space="preserve">                           </w:t>
      </w:r>
      <w:r>
        <w:rPr>
          <w:rFonts w:ascii="宋体" w:hAnsi="宋体" w:cs="宋体"/>
          <w:color w:val="000000"/>
          <w:highlight w:val="none"/>
        </w:rPr>
        <w:t xml:space="preserve"> </w:t>
      </w:r>
    </w:p>
    <w:p>
      <w:pPr>
        <w:spacing w:line="500" w:lineRule="exact"/>
        <w:ind w:firstLine="420" w:firstLineChars="200"/>
        <w:jc w:val="left"/>
        <w:rPr>
          <w:rFonts w:ascii="宋体" w:hAnsi="宋体" w:cs="宋体"/>
          <w:bCs/>
          <w:color w:val="000000"/>
          <w:highlight w:val="none"/>
        </w:rPr>
      </w:pPr>
      <w:r>
        <w:rPr>
          <w:rFonts w:hint="eastAsia" w:ascii="宋体" w:hAnsi="宋体" w:cs="宋体"/>
          <w:color w:val="000000"/>
          <w:highlight w:val="none"/>
        </w:rPr>
        <w:t>签订日期：2</w:t>
      </w:r>
      <w:r>
        <w:rPr>
          <w:rFonts w:ascii="宋体" w:hAnsi="宋体" w:cs="宋体"/>
          <w:color w:val="000000"/>
          <w:highlight w:val="none"/>
        </w:rPr>
        <w:t>022</w:t>
      </w:r>
      <w:r>
        <w:rPr>
          <w:rFonts w:hint="eastAsia" w:ascii="宋体" w:hAnsi="宋体" w:cs="宋体"/>
          <w:color w:val="000000"/>
          <w:highlight w:val="none"/>
        </w:rPr>
        <w:t xml:space="preserve">年 </w:t>
      </w:r>
      <w:r>
        <w:rPr>
          <w:rFonts w:ascii="宋体" w:hAnsi="宋体" w:cs="宋体"/>
          <w:color w:val="000000"/>
          <w:highlight w:val="none"/>
        </w:rPr>
        <w:t xml:space="preserve"> </w:t>
      </w:r>
      <w:r>
        <w:rPr>
          <w:rFonts w:hint="eastAsia" w:ascii="宋体" w:hAnsi="宋体" w:cs="宋体"/>
          <w:color w:val="000000"/>
          <w:highlight w:val="none"/>
        </w:rPr>
        <w:t>月</w:t>
      </w:r>
    </w:p>
    <w:p>
      <w:pPr>
        <w:pStyle w:val="69"/>
        <w:rPr>
          <w:rFonts w:ascii="宋体" w:hAnsi="宋体" w:cs="宋体"/>
          <w:color w:val="000000"/>
          <w:sz w:val="21"/>
          <w:szCs w:val="21"/>
          <w:highlight w:val="none"/>
        </w:rPr>
      </w:pPr>
    </w:p>
    <w:p>
      <w:pPr>
        <w:pStyle w:val="69"/>
        <w:rPr>
          <w:rFonts w:ascii="宋体" w:hAnsi="宋体" w:cs="宋体"/>
          <w:color w:val="000000"/>
          <w:sz w:val="21"/>
          <w:szCs w:val="21"/>
          <w:highlight w:val="none"/>
        </w:rPr>
      </w:pPr>
    </w:p>
    <w:p>
      <w:pPr>
        <w:pStyle w:val="69"/>
        <w:rPr>
          <w:rFonts w:ascii="宋体" w:hAnsi="宋体" w:cs="宋体"/>
          <w:color w:val="000000"/>
          <w:sz w:val="21"/>
          <w:szCs w:val="21"/>
          <w:highlight w:val="none"/>
        </w:rPr>
      </w:pPr>
    </w:p>
    <w:p>
      <w:pPr>
        <w:pStyle w:val="69"/>
        <w:rPr>
          <w:rFonts w:ascii="宋体" w:hAnsi="宋体" w:cs="宋体"/>
          <w:color w:val="000000"/>
          <w:sz w:val="21"/>
          <w:szCs w:val="21"/>
          <w:highlight w:val="none"/>
        </w:rPr>
      </w:pPr>
    </w:p>
    <w:p>
      <w:pPr>
        <w:pStyle w:val="69"/>
        <w:rPr>
          <w:rFonts w:ascii="宋体" w:hAnsi="宋体" w:cs="宋体"/>
          <w:color w:val="000000"/>
          <w:sz w:val="21"/>
          <w:szCs w:val="21"/>
          <w:highlight w:val="none"/>
        </w:rPr>
      </w:pPr>
    </w:p>
    <w:p>
      <w:pPr>
        <w:pStyle w:val="69"/>
        <w:rPr>
          <w:rFonts w:ascii="宋体" w:hAnsi="宋体" w:cs="宋体"/>
          <w:color w:val="000000"/>
          <w:sz w:val="21"/>
          <w:szCs w:val="21"/>
          <w:highlight w:val="none"/>
        </w:rPr>
      </w:pPr>
    </w:p>
    <w:p>
      <w:pPr>
        <w:spacing w:line="500" w:lineRule="exact"/>
        <w:ind w:firstLine="420" w:firstLineChars="200"/>
        <w:rPr>
          <w:rFonts w:ascii="宋体" w:hAnsi="宋体" w:cs="宋体"/>
          <w:bCs/>
          <w:color w:val="000000"/>
          <w:highlight w:val="none"/>
        </w:rPr>
      </w:pPr>
      <w:r>
        <w:rPr>
          <w:rFonts w:hint="eastAsia" w:ascii="宋体" w:hAnsi="宋体" w:cs="宋体"/>
          <w:bCs/>
          <w:color w:val="000000"/>
          <w:highlight w:val="none"/>
        </w:rPr>
        <w:t>委托方：</w:t>
      </w:r>
      <w:r>
        <w:rPr>
          <w:rFonts w:hint="eastAsia" w:ascii="宋体" w:hAnsi="宋体" w:cs="宋体"/>
          <w:bCs/>
          <w:color w:val="000000"/>
          <w:highlight w:val="none"/>
          <w:u w:val="single"/>
        </w:rPr>
        <w:t>南宁轨道交通集团有限责任公司</w:t>
      </w:r>
      <w:r>
        <w:rPr>
          <w:rFonts w:hint="eastAsia" w:ascii="宋体" w:hAnsi="宋体" w:cs="宋体"/>
          <w:bCs/>
          <w:color w:val="000000"/>
          <w:highlight w:val="none"/>
        </w:rPr>
        <w:t>（以下简称“甲方”）</w:t>
      </w:r>
    </w:p>
    <w:p>
      <w:pPr>
        <w:spacing w:line="500" w:lineRule="exact"/>
        <w:ind w:firstLine="420" w:firstLineChars="200"/>
        <w:rPr>
          <w:rFonts w:ascii="宋体" w:hAnsi="宋体" w:cs="宋体"/>
          <w:bCs/>
          <w:color w:val="000000"/>
          <w:highlight w:val="none"/>
        </w:rPr>
      </w:pPr>
      <w:r>
        <w:rPr>
          <w:rFonts w:hint="eastAsia" w:ascii="宋体" w:hAnsi="宋体" w:cs="宋体"/>
          <w:bCs/>
          <w:color w:val="000000"/>
          <w:highlight w:val="none"/>
        </w:rPr>
        <w:t>受托方：</w:t>
      </w:r>
      <w:r>
        <w:rPr>
          <w:rFonts w:hint="eastAsia" w:ascii="宋体" w:hAnsi="宋体" w:cs="宋体"/>
          <w:bCs/>
          <w:color w:val="000000"/>
          <w:highlight w:val="none"/>
          <w:u w:val="single"/>
        </w:rPr>
        <w:t xml:space="preserve">                            </w:t>
      </w:r>
      <w:r>
        <w:rPr>
          <w:rFonts w:hint="eastAsia" w:ascii="宋体" w:hAnsi="宋体" w:cs="宋体"/>
          <w:bCs/>
          <w:color w:val="000000"/>
          <w:highlight w:val="none"/>
        </w:rPr>
        <w:t>（以下简称“乙方”）</w:t>
      </w:r>
    </w:p>
    <w:p>
      <w:pPr>
        <w:spacing w:line="500" w:lineRule="exact"/>
        <w:rPr>
          <w:rFonts w:ascii="宋体" w:hAnsi="宋体" w:cs="宋体"/>
          <w:bCs/>
          <w:color w:val="000000"/>
          <w:highlight w:val="none"/>
        </w:rPr>
      </w:pP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甲方委托乙方作为质量安全评估考核机构对</w:t>
      </w:r>
      <w:r>
        <w:rPr>
          <w:rFonts w:hint="eastAsia" w:ascii="宋体" w:hAnsi="宋体" w:cs="宋体"/>
          <w:bCs/>
          <w:color w:val="000000"/>
          <w:highlight w:val="none"/>
          <w:u w:val="single"/>
        </w:rPr>
        <w:t>XX项目</w:t>
      </w:r>
      <w:r>
        <w:rPr>
          <w:rFonts w:hint="eastAsia" w:ascii="宋体" w:hAnsi="宋体" w:cs="宋体"/>
          <w:bCs/>
          <w:color w:val="000000"/>
          <w:highlight w:val="none"/>
        </w:rPr>
        <w:t>进行工程质量安全评估考核，乙方同意接受甲方委托。甲、乙双方遵照国家有关法律规定，经协商一致，订立本合同。</w:t>
      </w:r>
    </w:p>
    <w:p>
      <w:pPr>
        <w:spacing w:line="460" w:lineRule="exact"/>
        <w:ind w:firstLine="422" w:firstLineChars="200"/>
        <w:rPr>
          <w:rFonts w:ascii="宋体" w:hAnsi="宋体" w:cs="宋体"/>
          <w:b/>
          <w:bCs/>
          <w:color w:val="000000"/>
          <w:highlight w:val="none"/>
        </w:rPr>
      </w:pPr>
      <w:r>
        <w:rPr>
          <w:rFonts w:hint="eastAsia" w:ascii="宋体" w:hAnsi="宋体" w:cs="宋体"/>
          <w:b/>
          <w:bCs/>
          <w:color w:val="000000"/>
          <w:highlight w:val="none"/>
        </w:rPr>
        <w:t>一、检验项目概况</w:t>
      </w:r>
    </w:p>
    <w:p>
      <w:pPr>
        <w:spacing w:line="460" w:lineRule="exact"/>
        <w:ind w:firstLine="420" w:firstLineChars="200"/>
        <w:rPr>
          <w:rFonts w:ascii="宋体" w:hAnsi="宋体" w:cs="宋体"/>
          <w:bCs/>
          <w:color w:val="000000"/>
          <w:highlight w:val="none"/>
          <w:u w:val="single"/>
        </w:rPr>
      </w:pPr>
      <w:r>
        <w:rPr>
          <w:rFonts w:hint="eastAsia" w:ascii="宋体" w:hAnsi="宋体" w:cs="宋体"/>
          <w:bCs/>
          <w:color w:val="000000"/>
          <w:highlight w:val="none"/>
        </w:rPr>
        <w:t>项目名称：</w:t>
      </w:r>
      <w:r>
        <w:rPr>
          <w:rFonts w:hint="eastAsia" w:ascii="宋体" w:hAnsi="宋体" w:cs="宋体"/>
          <w:bCs/>
          <w:color w:val="000000"/>
          <w:highlight w:val="none"/>
          <w:u w:val="single"/>
        </w:rPr>
        <w:t>XX项目；</w:t>
      </w:r>
    </w:p>
    <w:p>
      <w:pPr>
        <w:spacing w:line="460" w:lineRule="exact"/>
        <w:ind w:firstLine="420" w:firstLineChars="200"/>
        <w:rPr>
          <w:rFonts w:ascii="宋体" w:hAnsi="宋体" w:cs="宋体"/>
          <w:bCs/>
          <w:color w:val="000000"/>
          <w:highlight w:val="none"/>
          <w:u w:val="single"/>
        </w:rPr>
      </w:pPr>
      <w:r>
        <w:rPr>
          <w:rFonts w:hint="eastAsia" w:ascii="宋体" w:hAnsi="宋体" w:cs="宋体"/>
          <w:bCs/>
          <w:color w:val="000000"/>
          <w:highlight w:val="none"/>
        </w:rPr>
        <w:t>项目地址：</w:t>
      </w:r>
      <w:r>
        <w:rPr>
          <w:rFonts w:hint="eastAsia" w:ascii="宋体" w:hAnsi="宋体" w:cs="宋体"/>
          <w:bCs/>
          <w:color w:val="000000"/>
          <w:highlight w:val="none"/>
          <w:u w:val="single"/>
        </w:rPr>
        <w:t xml:space="preserve">               ；</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 xml:space="preserve">建筑规模： </w:t>
      </w:r>
      <w:r>
        <w:rPr>
          <w:rFonts w:hint="eastAsia" w:ascii="宋体" w:hAnsi="宋体" w:cs="宋体"/>
          <w:bCs/>
          <w:color w:val="000000"/>
          <w:highlight w:val="none"/>
          <w:u w:val="single"/>
        </w:rPr>
        <w:t xml:space="preserve">               </w:t>
      </w:r>
      <w:r>
        <w:rPr>
          <w:rFonts w:hint="eastAsia" w:ascii="宋体" w:hAnsi="宋体" w:cs="宋体"/>
          <w:bCs/>
          <w:color w:val="000000"/>
          <w:highlight w:val="none"/>
        </w:rPr>
        <w:t xml:space="preserve"> 。</w:t>
      </w:r>
    </w:p>
    <w:p>
      <w:pPr>
        <w:spacing w:line="460" w:lineRule="exact"/>
        <w:ind w:firstLine="422" w:firstLineChars="200"/>
        <w:rPr>
          <w:rFonts w:ascii="宋体" w:hAnsi="宋体" w:cs="宋体"/>
          <w:b/>
          <w:bCs/>
          <w:color w:val="000000"/>
          <w:highlight w:val="none"/>
        </w:rPr>
      </w:pPr>
      <w:r>
        <w:rPr>
          <w:rFonts w:hint="eastAsia" w:ascii="宋体" w:hAnsi="宋体" w:cs="宋体"/>
          <w:b/>
          <w:bCs/>
          <w:color w:val="000000"/>
          <w:highlight w:val="none"/>
        </w:rPr>
        <w:t>二、服务时间</w:t>
      </w:r>
    </w:p>
    <w:p>
      <w:pPr>
        <w:spacing w:line="460" w:lineRule="exact"/>
        <w:ind w:firstLine="420" w:firstLineChars="200"/>
        <w:rPr>
          <w:rFonts w:ascii="宋体" w:hAnsi="宋体" w:cs="宋体"/>
          <w:color w:val="000000"/>
          <w:kern w:val="2"/>
          <w:highlight w:val="none"/>
        </w:rPr>
      </w:pPr>
      <w:r>
        <w:rPr>
          <w:rFonts w:hint="eastAsia" w:ascii="宋体" w:hAnsi="宋体" w:cs="宋体"/>
          <w:color w:val="000000"/>
          <w:kern w:val="2"/>
          <w:highlight w:val="none"/>
        </w:rPr>
        <w:t>自合同签订之日起，为期两年。评估考核暂定为单月度考核，</w:t>
      </w:r>
      <w:r>
        <w:rPr>
          <w:rFonts w:ascii="宋体" w:hAnsi="宋体" w:cs="宋体"/>
          <w:color w:val="000000"/>
          <w:kern w:val="2"/>
          <w:highlight w:val="none"/>
        </w:rPr>
        <w:t>10</w:t>
      </w:r>
      <w:r>
        <w:rPr>
          <w:rFonts w:hint="eastAsia" w:ascii="宋体" w:hAnsi="宋体" w:cs="宋体"/>
          <w:color w:val="000000"/>
          <w:kern w:val="2"/>
          <w:highlight w:val="none"/>
        </w:rPr>
        <w:t>次/年，具体以实际考核次数为准。</w:t>
      </w:r>
    </w:p>
    <w:p>
      <w:pPr>
        <w:spacing w:line="460" w:lineRule="exact"/>
        <w:ind w:firstLine="422" w:firstLineChars="200"/>
        <w:rPr>
          <w:rFonts w:ascii="宋体" w:hAnsi="宋体" w:cs="宋体"/>
          <w:b/>
          <w:bCs/>
          <w:color w:val="000000"/>
          <w:highlight w:val="none"/>
        </w:rPr>
      </w:pPr>
      <w:r>
        <w:rPr>
          <w:rFonts w:hint="eastAsia" w:ascii="宋体" w:hAnsi="宋体" w:cs="宋体"/>
          <w:b/>
          <w:bCs/>
          <w:color w:val="000000"/>
          <w:highlight w:val="none"/>
        </w:rPr>
        <w:t>三、服务内容</w:t>
      </w:r>
    </w:p>
    <w:p>
      <w:pPr>
        <w:spacing w:line="460" w:lineRule="exact"/>
        <w:ind w:firstLine="420" w:firstLineChars="200"/>
        <w:rPr>
          <w:rFonts w:ascii="宋体" w:hAnsi="宋体" w:cs="宋体"/>
          <w:bCs/>
          <w:color w:val="000000"/>
          <w:highlight w:val="none"/>
        </w:rPr>
      </w:pPr>
      <w:r>
        <w:rPr>
          <w:rFonts w:hint="eastAsia" w:ascii="宋体" w:hAnsi="宋体" w:cs="宋体"/>
          <w:color w:val="000000"/>
          <w:kern w:val="2"/>
          <w:highlight w:val="none"/>
        </w:rPr>
        <w:t>通过工程实测实量、工程观感评估进行项目</w:t>
      </w:r>
      <w:r>
        <w:rPr>
          <w:rFonts w:hint="eastAsia" w:ascii="宋体" w:hAnsi="宋体" w:cs="宋体"/>
          <w:bCs/>
          <w:color w:val="000000"/>
          <w:highlight w:val="none"/>
        </w:rPr>
        <w:t>质量安全评估考核</w:t>
      </w:r>
      <w:r>
        <w:rPr>
          <w:rFonts w:hint="eastAsia" w:ascii="宋体" w:hAnsi="宋体" w:cs="宋体"/>
          <w:color w:val="000000"/>
          <w:kern w:val="2"/>
          <w:highlight w:val="none"/>
        </w:rPr>
        <w:t>服务。乙方可依据工作需要运用乙方大数据平台为甲方提供第三方评估技术服务。</w:t>
      </w:r>
    </w:p>
    <w:p>
      <w:pPr>
        <w:pStyle w:val="70"/>
        <w:spacing w:line="400" w:lineRule="exact"/>
        <w:ind w:firstLine="373" w:firstLineChars="177"/>
        <w:rPr>
          <w:rFonts w:hint="default" w:hAnsi="宋体" w:cs="宋体"/>
          <w:b/>
          <w:bCs/>
          <w:sz w:val="21"/>
          <w:szCs w:val="21"/>
          <w:highlight w:val="none"/>
        </w:rPr>
      </w:pPr>
      <w:r>
        <w:rPr>
          <w:rFonts w:hAnsi="宋体" w:cs="宋体"/>
          <w:b/>
          <w:bCs/>
          <w:sz w:val="21"/>
          <w:szCs w:val="21"/>
          <w:highlight w:val="none"/>
        </w:rPr>
        <w:t xml:space="preserve">四、评估依据 </w:t>
      </w:r>
    </w:p>
    <w:p>
      <w:pPr>
        <w:pStyle w:val="70"/>
        <w:spacing w:line="400" w:lineRule="exact"/>
        <w:ind w:firstLine="420" w:firstLineChars="200"/>
        <w:rPr>
          <w:rFonts w:hint="default" w:hAnsi="宋体" w:cs="宋体"/>
          <w:kern w:val="2"/>
          <w:sz w:val="21"/>
          <w:szCs w:val="21"/>
          <w:highlight w:val="none"/>
        </w:rPr>
      </w:pPr>
      <w:r>
        <w:rPr>
          <w:rFonts w:hAnsi="宋体" w:cs="宋体"/>
          <w:kern w:val="2"/>
          <w:sz w:val="21"/>
          <w:szCs w:val="21"/>
          <w:highlight w:val="none"/>
        </w:rPr>
        <w:t xml:space="preserve">1、 国家及广西、南宁市有关工程质量安全评估考核工作的规定。 </w:t>
      </w:r>
    </w:p>
    <w:p>
      <w:pPr>
        <w:pStyle w:val="70"/>
        <w:spacing w:line="400" w:lineRule="exact"/>
        <w:ind w:firstLine="420" w:firstLineChars="200"/>
        <w:rPr>
          <w:rFonts w:hint="default" w:hAnsi="宋体" w:cs="宋体"/>
          <w:kern w:val="2"/>
          <w:sz w:val="21"/>
          <w:szCs w:val="21"/>
          <w:highlight w:val="none"/>
        </w:rPr>
      </w:pPr>
      <w:r>
        <w:rPr>
          <w:rFonts w:hAnsi="宋体" w:cs="宋体"/>
          <w:kern w:val="2"/>
          <w:sz w:val="21"/>
          <w:szCs w:val="21"/>
          <w:highlight w:val="none"/>
        </w:rPr>
        <w:t>2、 国家及广西、南宁市相关的工程建设法律、法规、验收规范与标准。</w:t>
      </w:r>
    </w:p>
    <w:p>
      <w:pPr>
        <w:spacing w:line="460" w:lineRule="exact"/>
        <w:ind w:firstLine="422" w:firstLineChars="200"/>
        <w:rPr>
          <w:rFonts w:ascii="宋体" w:hAnsi="宋体" w:cs="宋体"/>
          <w:b/>
          <w:bCs/>
          <w:color w:val="000000"/>
          <w:highlight w:val="none"/>
        </w:rPr>
      </w:pPr>
      <w:r>
        <w:rPr>
          <w:rFonts w:hint="eastAsia" w:ascii="宋体" w:hAnsi="宋体" w:cs="宋体"/>
          <w:b/>
          <w:bCs/>
          <w:color w:val="000000"/>
          <w:highlight w:val="none"/>
        </w:rPr>
        <w:t>五、合同价款</w:t>
      </w:r>
    </w:p>
    <w:p>
      <w:pPr>
        <w:spacing w:line="400" w:lineRule="exact"/>
        <w:ind w:firstLine="420" w:firstLineChars="200"/>
        <w:rPr>
          <w:rFonts w:ascii="宋体" w:hAnsi="宋体" w:cs="宋体"/>
          <w:bCs/>
          <w:color w:val="000000"/>
          <w:highlight w:val="none"/>
        </w:rPr>
      </w:pPr>
      <w:r>
        <w:rPr>
          <w:rFonts w:hint="eastAsia" w:ascii="宋体" w:hAnsi="宋体" w:cs="宋体"/>
          <w:bCs/>
          <w:color w:val="000000"/>
          <w:highlight w:val="none"/>
        </w:rPr>
        <w:t>固定综合单价包干，</w:t>
      </w:r>
      <w:r>
        <w:rPr>
          <w:rFonts w:hint="eastAsia" w:ascii="宋体" w:hAnsi="宋体" w:cs="宋体"/>
          <w:bCs/>
          <w:color w:val="000000"/>
          <w:highlight w:val="none"/>
          <w:lang w:val="en-US" w:eastAsia="zh-CN"/>
        </w:rPr>
        <w:t>含税</w:t>
      </w:r>
      <w:r>
        <w:rPr>
          <w:rFonts w:hint="eastAsia" w:ascii="宋体" w:hAnsi="宋体" w:cs="宋体"/>
          <w:bCs/>
          <w:color w:val="000000"/>
          <w:highlight w:val="none"/>
          <w:u w:val="single"/>
        </w:rPr>
        <w:t xml:space="preserve">   </w:t>
      </w:r>
      <w:r>
        <w:rPr>
          <w:rFonts w:hint="eastAsia" w:ascii="宋体" w:hAnsi="宋体" w:cs="宋体"/>
          <w:bCs/>
          <w:color w:val="000000"/>
          <w:highlight w:val="none"/>
        </w:rPr>
        <w:t xml:space="preserve"> 元/标/次，暂定（含税）总评估服务费为</w:t>
      </w:r>
      <w:r>
        <w:rPr>
          <w:rFonts w:hint="eastAsia" w:ascii="宋体" w:hAnsi="宋体" w:cs="宋体"/>
          <w:color w:val="000000"/>
          <w:highlight w:val="none"/>
          <w:u w:val="single"/>
        </w:rPr>
        <w:t>人民币(大写)（￥    ）</w:t>
      </w:r>
      <w:r>
        <w:rPr>
          <w:rFonts w:hint="eastAsia" w:ascii="宋体" w:hAnsi="宋体" w:cs="宋体"/>
          <w:color w:val="000000"/>
          <w:highlight w:val="none"/>
        </w:rPr>
        <w:t>，税金（￥     元）。</w:t>
      </w:r>
      <w:r>
        <w:rPr>
          <w:rFonts w:hint="eastAsia" w:ascii="宋体" w:hAnsi="宋体" w:cs="宋体"/>
          <w:bCs/>
          <w:color w:val="000000"/>
          <w:highlight w:val="none"/>
        </w:rPr>
        <w:t>评估服务费用包括根据国家税法规定应收取的增值税、人工费、辅料费用等全部费用。最终结算以</w:t>
      </w:r>
      <w:r>
        <w:rPr>
          <w:rFonts w:hint="eastAsia" w:ascii="宋体" w:hAnsi="宋体" w:cs="宋体"/>
          <w:color w:val="000000"/>
          <w:kern w:val="2"/>
          <w:highlight w:val="none"/>
        </w:rPr>
        <w:t>考核次数</w:t>
      </w:r>
      <w:r>
        <w:rPr>
          <w:rFonts w:hint="eastAsia" w:ascii="宋体" w:hAnsi="宋体" w:cs="宋体"/>
          <w:bCs/>
          <w:color w:val="000000"/>
          <w:highlight w:val="none"/>
        </w:rPr>
        <w:t>为准进行结算。</w:t>
      </w:r>
    </w:p>
    <w:p>
      <w:pPr>
        <w:spacing w:line="400" w:lineRule="exact"/>
        <w:ind w:firstLine="420" w:firstLineChars="200"/>
        <w:rPr>
          <w:rFonts w:ascii="宋体" w:hAnsi="宋体" w:cs="宋体"/>
          <w:bCs/>
          <w:color w:val="000000"/>
          <w:highlight w:val="none"/>
        </w:rPr>
      </w:pPr>
      <w:r>
        <w:rPr>
          <w:rFonts w:hint="eastAsia" w:ascii="宋体" w:hAnsi="宋体" w:cs="宋体"/>
          <w:bCs/>
          <w:color w:val="000000"/>
          <w:highlight w:val="none"/>
        </w:rPr>
        <w:t>在合同履约过程中，本合同税率必须遵照国家现行税法执行。本合同最终税金在结算阶段，按实际产生的税金进行核算，但合同不含税价格不因国家税率调整而调整。</w:t>
      </w:r>
    </w:p>
    <w:p>
      <w:pPr>
        <w:widowControl w:val="0"/>
        <w:numPr>
          <w:ilvl w:val="0"/>
          <w:numId w:val="8"/>
        </w:numPr>
        <w:adjustRightInd w:val="0"/>
        <w:spacing w:before="0" w:after="0" w:afterAutospacing="0" w:line="460" w:lineRule="exact"/>
        <w:ind w:left="0" w:right="0" w:firstLine="422" w:firstLineChars="200"/>
        <w:textAlignment w:val="baseline"/>
        <w:rPr>
          <w:rFonts w:ascii="宋体" w:hAnsi="宋体" w:cs="宋体"/>
          <w:b/>
          <w:bCs/>
          <w:color w:val="000000"/>
          <w:highlight w:val="none"/>
        </w:rPr>
      </w:pPr>
      <w:r>
        <w:rPr>
          <w:rFonts w:hint="eastAsia" w:ascii="宋体" w:hAnsi="宋体" w:cs="宋体"/>
          <w:b/>
          <w:bCs/>
          <w:color w:val="000000"/>
          <w:highlight w:val="none"/>
        </w:rPr>
        <w:t>合同价款支付方式</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1</w:t>
      </w:r>
      <w:r>
        <w:rPr>
          <w:rFonts w:hint="eastAsia" w:ascii="宋体" w:hAnsi="宋体" w:cs="宋体"/>
          <w:bCs/>
          <w:color w:val="000000"/>
          <w:highlight w:val="none"/>
        </w:rPr>
        <w:t>、 按次收费。甲方应在乙方完成项目的单次评估且收到乙方递交的该次项目评估报告之日起</w:t>
      </w:r>
      <w:r>
        <w:rPr>
          <w:rFonts w:hint="eastAsia" w:ascii="宋体" w:hAnsi="宋体" w:cs="宋体"/>
          <w:bCs/>
          <w:color w:val="000000"/>
          <w:highlight w:val="none"/>
          <w:lang w:val="en-US" w:eastAsia="zh-CN"/>
        </w:rPr>
        <w:t>30</w:t>
      </w:r>
      <w:r>
        <w:rPr>
          <w:rFonts w:hint="eastAsia" w:ascii="宋体" w:hAnsi="宋体" w:cs="宋体"/>
          <w:bCs/>
          <w:color w:val="000000"/>
          <w:highlight w:val="none"/>
        </w:rPr>
        <w:t xml:space="preserve">个工作日内，向乙方支付该次评估服务费用的90%。    </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注：自乙方按照合同约定履行完毕之日起</w:t>
      </w:r>
      <w:r>
        <w:rPr>
          <w:rFonts w:hint="eastAsia" w:ascii="宋体" w:hAnsi="宋体" w:cs="宋体"/>
          <w:bCs/>
          <w:color w:val="000000"/>
          <w:highlight w:val="none"/>
          <w:lang w:val="en-US" w:eastAsia="zh-CN"/>
        </w:rPr>
        <w:t>30</w:t>
      </w:r>
      <w:r>
        <w:rPr>
          <w:rFonts w:hint="eastAsia" w:ascii="宋体" w:hAnsi="宋体" w:cs="宋体"/>
          <w:bCs/>
          <w:color w:val="000000"/>
          <w:highlight w:val="none"/>
        </w:rPr>
        <w:t>日内，甲、乙双方应按照实际工作量完成全部结算。甲方应按照实际结算的款项在结算完成之日起</w:t>
      </w:r>
      <w:r>
        <w:rPr>
          <w:rFonts w:hint="eastAsia" w:ascii="宋体" w:hAnsi="宋体" w:cs="宋体"/>
          <w:bCs/>
          <w:color w:val="000000"/>
          <w:highlight w:val="none"/>
          <w:lang w:val="en-US" w:eastAsia="zh-CN"/>
        </w:rPr>
        <w:t>30</w:t>
      </w:r>
      <w:r>
        <w:rPr>
          <w:rFonts w:hint="eastAsia" w:ascii="宋体" w:hAnsi="宋体" w:cs="宋体"/>
          <w:bCs/>
          <w:color w:val="000000"/>
          <w:highlight w:val="none"/>
        </w:rPr>
        <w:t>个工作日向乙方支付1</w:t>
      </w:r>
      <w:r>
        <w:rPr>
          <w:rFonts w:ascii="宋体" w:hAnsi="宋体" w:cs="宋体"/>
          <w:bCs/>
          <w:color w:val="000000"/>
          <w:highlight w:val="none"/>
        </w:rPr>
        <w:t>0</w:t>
      </w:r>
      <w:r>
        <w:rPr>
          <w:rFonts w:hint="eastAsia" w:ascii="宋体" w:hAnsi="宋体" w:cs="宋体"/>
          <w:bCs/>
          <w:color w:val="000000"/>
          <w:highlight w:val="none"/>
        </w:rPr>
        <w:t>%结算款。</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2</w:t>
      </w:r>
      <w:r>
        <w:rPr>
          <w:rFonts w:hint="eastAsia" w:ascii="宋体" w:hAnsi="宋体" w:cs="宋体"/>
          <w:bCs/>
          <w:color w:val="000000"/>
          <w:highlight w:val="none"/>
        </w:rPr>
        <w:t>、甲方支付每批款项前乙方须开具与付款金额等额的增值税专用发票（  %税率），否则甲方有权拒付款项且无须承担违约责任。</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3</w:t>
      </w:r>
      <w:r>
        <w:rPr>
          <w:rFonts w:hint="eastAsia" w:ascii="宋体" w:hAnsi="宋体" w:cs="宋体"/>
          <w:bCs/>
          <w:color w:val="000000"/>
          <w:highlight w:val="none"/>
        </w:rPr>
        <w:t>、乙方因违约等须向甲方支付的违约金、赔偿金等款项，甲方有权从应支付给乙方的任意一笔款项项进行抵销，不足部分甲方有权继续向乙方追索。</w:t>
      </w:r>
    </w:p>
    <w:p>
      <w:pPr>
        <w:spacing w:line="400" w:lineRule="exact"/>
        <w:ind w:firstLine="422" w:firstLineChars="200"/>
        <w:rPr>
          <w:rFonts w:ascii="宋体" w:hAnsi="宋体"/>
          <w:b/>
          <w:color w:val="000000"/>
          <w:highlight w:val="none"/>
        </w:rPr>
      </w:pPr>
      <w:r>
        <w:rPr>
          <w:rFonts w:hint="eastAsia" w:ascii="宋体" w:hAnsi="宋体"/>
          <w:b/>
          <w:color w:val="000000"/>
          <w:highlight w:val="none"/>
        </w:rPr>
        <w:t>七、本合同履约保证金按照下列的</w:t>
      </w:r>
      <w:r>
        <w:rPr>
          <w:rFonts w:hint="eastAsia" w:ascii="宋体" w:hAnsi="宋体"/>
          <w:b/>
          <w:color w:val="000000"/>
          <w:highlight w:val="none"/>
          <w:u w:val="single"/>
        </w:rPr>
        <w:t>2、3</w:t>
      </w:r>
      <w:r>
        <w:rPr>
          <w:rFonts w:hint="eastAsia" w:ascii="宋体" w:hAnsi="宋体"/>
          <w:b/>
          <w:color w:val="000000"/>
          <w:highlight w:val="none"/>
        </w:rPr>
        <w:t>约定执行：</w:t>
      </w:r>
    </w:p>
    <w:p>
      <w:pPr>
        <w:spacing w:line="400" w:lineRule="exact"/>
        <w:ind w:firstLine="420" w:firstLineChars="200"/>
        <w:rPr>
          <w:rFonts w:ascii="宋体" w:hAnsi="宋体"/>
          <w:color w:val="000000"/>
          <w:highlight w:val="none"/>
        </w:rPr>
      </w:pPr>
      <w:r>
        <w:rPr>
          <w:rFonts w:hint="eastAsia" w:ascii="宋体" w:hAnsi="宋体"/>
          <w:color w:val="000000"/>
          <w:highlight w:val="none"/>
        </w:rPr>
        <w:t>1、本合同乙方未缴纳履约保证金；</w:t>
      </w:r>
    </w:p>
    <w:p>
      <w:pPr>
        <w:spacing w:line="400" w:lineRule="exact"/>
        <w:ind w:firstLine="420" w:firstLineChars="200"/>
        <w:jc w:val="left"/>
        <w:rPr>
          <w:rFonts w:ascii="宋体" w:hAnsi="宋体"/>
          <w:color w:val="000000"/>
          <w:highlight w:val="none"/>
        </w:rPr>
      </w:pPr>
      <w:r>
        <w:rPr>
          <w:rFonts w:hint="eastAsia" w:ascii="宋体" w:hAnsi="宋体"/>
          <w:color w:val="000000"/>
          <w:highlight w:val="none"/>
        </w:rPr>
        <w:t>2、乙方应在签订本合同之同时向甲方交纳</w:t>
      </w:r>
      <w:r>
        <w:rPr>
          <w:rFonts w:hint="eastAsia" w:ascii="宋体" w:hAnsi="宋体"/>
          <w:bCs/>
          <w:color w:val="000000"/>
          <w:highlight w:val="none"/>
        </w:rPr>
        <w:t>合同暂</w:t>
      </w:r>
      <w:r>
        <w:rPr>
          <w:rFonts w:hint="eastAsia" w:ascii="宋体" w:hAnsi="宋体"/>
          <w:color w:val="000000"/>
          <w:highlight w:val="none"/>
        </w:rPr>
        <w:t>定总价款的</w:t>
      </w:r>
      <w:r>
        <w:rPr>
          <w:rFonts w:hint="eastAsia" w:ascii="宋体" w:hAnsi="宋体"/>
          <w:color w:val="000000"/>
          <w:highlight w:val="none"/>
          <w:lang w:val="en-US" w:eastAsia="zh-CN"/>
        </w:rPr>
        <w:t>10</w:t>
      </w:r>
      <w:r>
        <w:rPr>
          <w:rFonts w:hint="eastAsia" w:ascii="宋体" w:hAnsi="宋体"/>
          <w:color w:val="000000"/>
          <w:highlight w:val="none"/>
        </w:rPr>
        <w:t>%人民币（大写）</w:t>
      </w:r>
      <w:r>
        <w:rPr>
          <w:rFonts w:hint="eastAsia" w:ascii="宋体" w:hAnsi="宋体"/>
          <w:color w:val="000000"/>
          <w:highlight w:val="none"/>
          <w:u w:val="single"/>
        </w:rPr>
        <w:t xml:space="preserve">      </w:t>
      </w:r>
      <w:r>
        <w:rPr>
          <w:rFonts w:hint="eastAsia" w:ascii="宋体" w:hAnsi="宋体"/>
          <w:color w:val="000000"/>
          <w:highlight w:val="none"/>
        </w:rPr>
        <w:t>（￥   元）或同等金额的银行履约保函作为履约保证金。如乙方在合同履行过程中出现违约行为的，甲方有权以履约保证金直接抵扣乙方应承担的违约金或应赔偿的损失，或直接向担保银行进行索赔，如履约保证金不足以弥补乙方应向甲方支付的违约金及赔偿损失的，乙方还应另行赔付。</w:t>
      </w:r>
    </w:p>
    <w:p>
      <w:pPr>
        <w:spacing w:line="400" w:lineRule="exact"/>
        <w:ind w:firstLine="420" w:firstLineChars="200"/>
        <w:rPr>
          <w:rFonts w:ascii="宋体" w:hAnsi="宋体"/>
          <w:b/>
          <w:bCs/>
          <w:color w:val="000000"/>
          <w:highlight w:val="none"/>
        </w:rPr>
      </w:pPr>
      <w:r>
        <w:rPr>
          <w:rFonts w:hint="eastAsia" w:ascii="宋体" w:hAnsi="宋体"/>
          <w:color w:val="000000"/>
          <w:highlight w:val="none"/>
        </w:rPr>
        <w:t>3、履约保证金抵扣或甲方向担保银行索赔后，乙方应在五个工作日内补足履约保证金或提供新的同等金额的银行履约保函，逾期未补足或</w:t>
      </w:r>
      <w:bookmarkStart w:id="1092" w:name="_Hlk116885089"/>
      <w:r>
        <w:rPr>
          <w:rFonts w:hint="eastAsia" w:ascii="宋体" w:hAnsi="宋体"/>
          <w:color w:val="000000"/>
          <w:highlight w:val="none"/>
        </w:rPr>
        <w:t>未提供新的银行履约保函</w:t>
      </w:r>
      <w:bookmarkEnd w:id="1092"/>
      <w:r>
        <w:rPr>
          <w:rFonts w:hint="eastAsia" w:ascii="宋体" w:hAnsi="宋体"/>
          <w:color w:val="000000"/>
          <w:highlight w:val="none"/>
        </w:rPr>
        <w:t>的，每逾期一日按未补足履约保证金未提供新的银行履约保函金额的</w:t>
      </w:r>
      <w:r>
        <w:rPr>
          <w:rFonts w:ascii="宋体" w:hAnsi="宋体"/>
          <w:color w:val="000000"/>
          <w:highlight w:val="none"/>
        </w:rPr>
        <w:t>0.2</w:t>
      </w:r>
      <w:r>
        <w:rPr>
          <w:rFonts w:hint="eastAsia" w:ascii="宋体" w:hAnsi="宋体"/>
          <w:color w:val="000000"/>
          <w:highlight w:val="none"/>
        </w:rPr>
        <w:t xml:space="preserve">‰向甲方支付违约金。逾期超过 </w:t>
      </w:r>
      <w:r>
        <w:rPr>
          <w:rFonts w:ascii="宋体" w:hAnsi="宋体"/>
          <w:color w:val="000000"/>
          <w:highlight w:val="none"/>
        </w:rPr>
        <w:t xml:space="preserve"> </w:t>
      </w:r>
      <w:r>
        <w:rPr>
          <w:rFonts w:hint="eastAsia" w:ascii="宋体" w:hAnsi="宋体"/>
          <w:color w:val="000000"/>
          <w:highlight w:val="none"/>
        </w:rPr>
        <w:t>日的，甲方有权解除本合同。如甲方行使合同解除权的，有权不支付未付款项，并有权按本合同约定再另行追究合同解除时乙方应承担的其他违约责任。</w:t>
      </w:r>
    </w:p>
    <w:p>
      <w:pPr>
        <w:spacing w:line="400" w:lineRule="exact"/>
        <w:ind w:firstLine="422" w:firstLineChars="200"/>
        <w:rPr>
          <w:rFonts w:ascii="宋体" w:hAnsi="宋体"/>
          <w:b/>
          <w:color w:val="000000"/>
          <w:highlight w:val="none"/>
        </w:rPr>
      </w:pPr>
      <w:r>
        <w:rPr>
          <w:rFonts w:hint="eastAsia" w:ascii="宋体" w:hAnsi="宋体"/>
          <w:b/>
          <w:color w:val="000000"/>
          <w:highlight w:val="none"/>
        </w:rPr>
        <w:t>八、评估技术成果</w:t>
      </w:r>
    </w:p>
    <w:p>
      <w:pPr>
        <w:spacing w:line="400" w:lineRule="exact"/>
        <w:ind w:firstLine="420" w:firstLineChars="200"/>
        <w:rPr>
          <w:rFonts w:ascii="宋体" w:hAnsi="宋体"/>
          <w:color w:val="000000"/>
          <w:highlight w:val="none"/>
        </w:rPr>
      </w:pPr>
      <w:r>
        <w:rPr>
          <w:rFonts w:hint="eastAsia" w:ascii="宋体" w:hAnsi="宋体"/>
          <w:color w:val="000000"/>
          <w:highlight w:val="none"/>
        </w:rPr>
        <w:t>1、完成在建项目的现场评估当日，现场向甲方项目联系人通报当天评估的基本情况，包括但不限于以下内容：实测数据中的明显偏差项、各质量风险指标风险状况、现场主要质量问题、上期质量整改封闭情况等。</w:t>
      </w:r>
    </w:p>
    <w:p>
      <w:pPr>
        <w:spacing w:line="400" w:lineRule="exact"/>
        <w:ind w:firstLine="420" w:firstLineChars="200"/>
        <w:rPr>
          <w:rFonts w:ascii="宋体" w:hAnsi="宋体"/>
          <w:color w:val="000000"/>
          <w:highlight w:val="none"/>
        </w:rPr>
      </w:pPr>
      <w:r>
        <w:rPr>
          <w:rFonts w:hint="eastAsia" w:ascii="宋体" w:hAnsi="宋体"/>
          <w:color w:val="000000"/>
          <w:highlight w:val="none"/>
        </w:rPr>
        <w:t>2、项目现场评估完成后7日内，乙方应向甲方提供被评项目的评估简报，报告形式为电子版，邮件发送。</w:t>
      </w:r>
    </w:p>
    <w:p>
      <w:pPr>
        <w:spacing w:line="400" w:lineRule="exact"/>
        <w:ind w:firstLine="420" w:firstLineChars="200"/>
        <w:rPr>
          <w:rFonts w:ascii="宋体" w:hAnsi="宋体"/>
          <w:color w:val="000000"/>
          <w:highlight w:val="none"/>
        </w:rPr>
      </w:pPr>
      <w:r>
        <w:rPr>
          <w:rFonts w:hint="eastAsia" w:ascii="宋体" w:hAnsi="宋体"/>
          <w:color w:val="000000"/>
          <w:highlight w:val="none"/>
        </w:rPr>
        <w:t xml:space="preserve">3、甲方项目现场全部评估工作结束后7日内，乙方应向甲方提交项目工程评估总报告及相关评估过程资料，报告形式为电子版，邮件发送。  </w:t>
      </w:r>
    </w:p>
    <w:p>
      <w:pPr>
        <w:spacing w:line="400" w:lineRule="exact"/>
        <w:ind w:firstLine="420" w:firstLineChars="200"/>
        <w:rPr>
          <w:rFonts w:ascii="宋体" w:hAnsi="宋体"/>
          <w:color w:val="000000"/>
          <w:highlight w:val="none"/>
        </w:rPr>
      </w:pPr>
      <w:r>
        <w:rPr>
          <w:rFonts w:hint="eastAsia" w:ascii="宋体" w:hAnsi="宋体"/>
          <w:color w:val="000000"/>
          <w:highlight w:val="none"/>
        </w:rPr>
        <w:t>4、对于发现的重大风险或较为严重的系统性质量安全问题，乙方应在发现问题后立即向甲方项目联系人电话通报质量风险情况，并将风险报告于当天以电子邮件形式邮件发送至甲方。</w:t>
      </w:r>
    </w:p>
    <w:p>
      <w:pPr>
        <w:spacing w:line="400" w:lineRule="exact"/>
        <w:ind w:firstLine="420" w:firstLineChars="200"/>
        <w:rPr>
          <w:rFonts w:ascii="宋体" w:hAnsi="宋体"/>
          <w:color w:val="000000"/>
          <w:highlight w:val="none"/>
        </w:rPr>
      </w:pPr>
      <w:r>
        <w:rPr>
          <w:rFonts w:ascii="宋体" w:hAnsi="宋体"/>
          <w:color w:val="000000"/>
          <w:highlight w:val="none"/>
        </w:rPr>
        <w:t>5</w:t>
      </w:r>
      <w:r>
        <w:rPr>
          <w:rFonts w:hint="eastAsia" w:ascii="宋体" w:hAnsi="宋体"/>
          <w:color w:val="000000"/>
          <w:highlight w:val="none"/>
        </w:rPr>
        <w:t>、乙方工作成果验收合格标准：以统一标准、尺度，对被评项目进行评估。按甲方要求及本合同约定及时编制评估成果，反馈质量评估结果。评估成果要求数据准确、内容完整，做到公示各项目质量合格率并揭示主要质量风险及相关工程管理问题等。</w:t>
      </w:r>
    </w:p>
    <w:p>
      <w:pPr>
        <w:spacing w:line="460" w:lineRule="exact"/>
        <w:ind w:firstLine="420" w:firstLineChars="200"/>
        <w:rPr>
          <w:rFonts w:ascii="宋体" w:hAnsi="宋体" w:cs="宋体"/>
          <w:bCs/>
          <w:color w:val="000000"/>
          <w:highlight w:val="none"/>
        </w:rPr>
      </w:pPr>
      <w:r>
        <w:rPr>
          <w:rFonts w:eastAsiaTheme="minorEastAsia"/>
          <w:highlight w:val="none"/>
        </w:rPr>
        <w:t>6</w:t>
      </w:r>
      <w:r>
        <w:rPr>
          <w:rFonts w:hint="eastAsia" w:eastAsiaTheme="minorEastAsia"/>
          <w:highlight w:val="none"/>
        </w:rPr>
        <w:t>、</w:t>
      </w:r>
      <w:r>
        <w:rPr>
          <w:rFonts w:hint="eastAsia" w:ascii="宋体" w:hAnsi="宋体" w:cs="宋体"/>
          <w:bCs/>
          <w:color w:val="000000"/>
          <w:highlight w:val="none"/>
        </w:rPr>
        <w:t>乙方应对合同履行过程中所知悉的甲方及项目信息保密，未经甲方书面同意不能向第三方进行披露。如乙方违反本条约定的，应按本合同暂定含税总评估服务费的</w:t>
      </w:r>
      <w:r>
        <w:rPr>
          <w:rFonts w:hint="eastAsia" w:ascii="宋体" w:hAnsi="宋体" w:cs="宋体"/>
          <w:bCs/>
          <w:color w:val="000000"/>
          <w:highlight w:val="none"/>
          <w:lang w:val="en-US" w:eastAsia="zh-CN"/>
        </w:rPr>
        <w:t>20</w:t>
      </w:r>
      <w:r>
        <w:rPr>
          <w:rFonts w:ascii="宋体" w:hAnsi="宋体" w:cs="宋体"/>
          <w:bCs/>
          <w:color w:val="000000"/>
          <w:highlight w:val="none"/>
        </w:rPr>
        <w:t>%</w:t>
      </w:r>
      <w:r>
        <w:rPr>
          <w:rFonts w:hint="eastAsia" w:ascii="宋体" w:hAnsi="宋体" w:cs="宋体"/>
          <w:bCs/>
          <w:color w:val="000000"/>
          <w:highlight w:val="none"/>
        </w:rPr>
        <w:t>向甲方支付违约金，甲方有权解除本合同，不支付未付款项。如甲方行使合同解除权的，乙方除按上述约定支付违约金外，还应赔偿甲方所受损失。</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7</w:t>
      </w:r>
      <w:r>
        <w:rPr>
          <w:rFonts w:hint="eastAsia" w:ascii="宋体" w:hAnsi="宋体" w:cs="宋体"/>
          <w:bCs/>
          <w:color w:val="000000"/>
          <w:highlight w:val="none"/>
        </w:rPr>
        <w:t>、乙方应亲自完成本合同约定的各项工作，未经甲方书面同意不能委托第三方进行。如乙方违反本条约定的，应按本合同暂定含税总评估服务费的</w:t>
      </w:r>
      <w:r>
        <w:rPr>
          <w:rFonts w:hint="eastAsia" w:ascii="宋体" w:hAnsi="宋体" w:cs="宋体"/>
          <w:bCs/>
          <w:color w:val="000000"/>
          <w:highlight w:val="none"/>
          <w:lang w:val="en-US" w:eastAsia="zh-CN"/>
        </w:rPr>
        <w:t>20</w:t>
      </w:r>
      <w:r>
        <w:rPr>
          <w:rFonts w:hint="eastAsia" w:ascii="宋体" w:hAnsi="宋体" w:cs="宋体"/>
          <w:bCs/>
          <w:color w:val="000000"/>
          <w:highlight w:val="none"/>
        </w:rPr>
        <w:t>%向甲方支付违约金，甲方有权解除本合同，不支付未付款项。如甲方行使合同解除权的，乙方除按上述约定支付违约金外，还应赔偿甲方所受损失。</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8</w:t>
      </w:r>
      <w:r>
        <w:rPr>
          <w:rFonts w:hint="eastAsia" w:ascii="宋体" w:hAnsi="宋体" w:cs="宋体"/>
          <w:bCs/>
          <w:color w:val="000000"/>
          <w:highlight w:val="none"/>
        </w:rPr>
        <w:t>、乙方向甲方提供的评估成果之知识产权归甲方所有，未经甲方书面同意乙方不得擅自使用或将评估成果及资料向第三方进行披露。如乙方违反本条约定的，应按本合同暂定含税总评估服务费的</w:t>
      </w:r>
      <w:r>
        <w:rPr>
          <w:rFonts w:hint="eastAsia" w:ascii="宋体" w:hAnsi="宋体" w:cs="宋体"/>
          <w:bCs/>
          <w:color w:val="000000"/>
          <w:highlight w:val="none"/>
          <w:lang w:val="en-US" w:eastAsia="zh-CN"/>
        </w:rPr>
        <w:t>20</w:t>
      </w:r>
      <w:r>
        <w:rPr>
          <w:rFonts w:hint="eastAsia" w:ascii="宋体" w:hAnsi="宋体" w:cs="宋体"/>
          <w:bCs/>
          <w:color w:val="000000"/>
          <w:highlight w:val="none"/>
        </w:rPr>
        <w:t>%向甲方支付违约金，甲方有权解除本合同，不支付未付款项。如甲方行使合同解除权的，乙方除按上述约定支付违约金外，还应赔偿甲方所受损失。</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9</w:t>
      </w:r>
      <w:r>
        <w:rPr>
          <w:rFonts w:hint="eastAsia" w:ascii="宋体" w:hAnsi="宋体" w:cs="宋体"/>
          <w:bCs/>
          <w:color w:val="000000"/>
          <w:highlight w:val="none"/>
        </w:rPr>
        <w:t>、除上述约定外，乙方不履行合同义务或不按合同约定履行义务的，每出现一起应向甲方支付违约金</w:t>
      </w:r>
      <w:r>
        <w:rPr>
          <w:rFonts w:ascii="宋体" w:hAnsi="宋体" w:cs="宋体"/>
          <w:bCs/>
          <w:color w:val="000000"/>
          <w:highlight w:val="none"/>
        </w:rPr>
        <w:t>10000</w:t>
      </w:r>
      <w:r>
        <w:rPr>
          <w:rFonts w:hint="eastAsia" w:ascii="宋体" w:hAnsi="宋体" w:cs="宋体"/>
          <w:bCs/>
          <w:color w:val="000000"/>
          <w:highlight w:val="none"/>
        </w:rPr>
        <w:t>元，并赔偿甲方所受损失。</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1</w:t>
      </w:r>
      <w:r>
        <w:rPr>
          <w:rFonts w:ascii="宋体" w:hAnsi="宋体" w:cs="宋体"/>
          <w:bCs/>
          <w:color w:val="000000"/>
          <w:highlight w:val="none"/>
        </w:rPr>
        <w:t>0</w:t>
      </w:r>
      <w:r>
        <w:rPr>
          <w:rFonts w:hint="eastAsia" w:ascii="宋体" w:hAnsi="宋体" w:cs="宋体"/>
          <w:bCs/>
          <w:color w:val="000000"/>
          <w:highlight w:val="none"/>
        </w:rPr>
        <w:t>、因乙方违约而应向甲方赔偿损失的范围包括但不限于诉讼费、保全费、保全保险费、甲方聘请律师的费用、差旅费、鉴定费、公证费、甲方向第三方赔偿的款项、行政罚款、补开发票产生的税款等。</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1</w:t>
      </w:r>
      <w:r>
        <w:rPr>
          <w:rFonts w:ascii="宋体" w:hAnsi="宋体" w:cs="宋体"/>
          <w:bCs/>
          <w:color w:val="000000"/>
          <w:highlight w:val="none"/>
        </w:rPr>
        <w:t>1</w:t>
      </w:r>
      <w:r>
        <w:rPr>
          <w:rFonts w:hint="eastAsia" w:ascii="宋体" w:hAnsi="宋体" w:cs="宋体"/>
          <w:bCs/>
          <w:color w:val="000000"/>
          <w:highlight w:val="none"/>
        </w:rPr>
        <w:t>、对于乙方应向甲方支付的违约金、赔偿金等款项，甲方有权与应付乙方的款项进行抵销，不足部分甲方有权继续向乙方追索。</w:t>
      </w:r>
    </w:p>
    <w:p>
      <w:pPr>
        <w:pStyle w:val="69"/>
        <w:ind w:left="0" w:firstLine="0"/>
        <w:rPr>
          <w:rFonts w:hint="eastAsia" w:ascii="宋体" w:hAnsi="宋体"/>
          <w:color w:val="000000"/>
          <w:szCs w:val="21"/>
          <w:highlight w:val="none"/>
        </w:rPr>
      </w:pPr>
    </w:p>
    <w:p>
      <w:pPr>
        <w:pStyle w:val="44"/>
        <w:numPr>
          <w:ilvl w:val="0"/>
          <w:numId w:val="9"/>
        </w:numPr>
        <w:spacing w:line="460" w:lineRule="exact"/>
        <w:rPr>
          <w:color w:val="000000"/>
          <w:highlight w:val="none"/>
        </w:rPr>
      </w:pPr>
      <w:r>
        <w:rPr>
          <w:rFonts w:hint="eastAsia" w:ascii="宋体" w:hAnsi="宋体" w:cs="宋体"/>
          <w:b/>
          <w:bCs/>
          <w:color w:val="000000"/>
          <w:highlight w:val="none"/>
        </w:rPr>
        <w:t>甲方的权利和义务</w:t>
      </w:r>
    </w:p>
    <w:p>
      <w:pPr>
        <w:spacing w:line="400" w:lineRule="exact"/>
        <w:ind w:firstLine="420" w:firstLineChars="200"/>
        <w:rPr>
          <w:rFonts w:ascii="宋体" w:hAnsi="宋体"/>
          <w:color w:val="000000"/>
          <w:highlight w:val="none"/>
        </w:rPr>
      </w:pPr>
      <w:r>
        <w:rPr>
          <w:rFonts w:hint="eastAsia" w:ascii="宋体" w:hAnsi="宋体"/>
          <w:color w:val="000000"/>
          <w:highlight w:val="none"/>
        </w:rPr>
        <w:t>1、甲方应在评估工作开始七日前通知乙方，以便乙方有充分的准备时间。</w:t>
      </w:r>
    </w:p>
    <w:p>
      <w:pPr>
        <w:spacing w:line="400" w:lineRule="exact"/>
        <w:ind w:firstLine="420" w:firstLineChars="200"/>
        <w:rPr>
          <w:rFonts w:ascii="宋体" w:hAnsi="宋体"/>
          <w:color w:val="000000"/>
          <w:highlight w:val="none"/>
        </w:rPr>
      </w:pPr>
      <w:r>
        <w:rPr>
          <w:rFonts w:hint="eastAsia" w:ascii="宋体" w:hAnsi="宋体"/>
          <w:color w:val="000000"/>
          <w:highlight w:val="none"/>
        </w:rPr>
        <w:t>2、甲方应在项目评估工作开始七日前，将与本项目工程质量安全评估有关的除国家规定工程质量安全评估标准以外的特别要求（或其它标准），全部提供给乙方。</w:t>
      </w:r>
    </w:p>
    <w:p>
      <w:pPr>
        <w:spacing w:line="400" w:lineRule="exact"/>
        <w:ind w:firstLine="420" w:firstLineChars="200"/>
        <w:rPr>
          <w:rFonts w:ascii="宋体" w:hAnsi="宋体"/>
          <w:color w:val="000000"/>
          <w:highlight w:val="none"/>
        </w:rPr>
      </w:pPr>
      <w:r>
        <w:rPr>
          <w:rFonts w:hint="eastAsia" w:ascii="宋体" w:hAnsi="宋体"/>
          <w:color w:val="000000"/>
          <w:highlight w:val="none"/>
        </w:rPr>
        <w:t xml:space="preserve">3、协助提供项目现场评估所需相关资料（包括但不限于项目图纸、施工方案、设计变更等），以确保乙方现场评估工作顺利开展； </w:t>
      </w:r>
    </w:p>
    <w:p>
      <w:pPr>
        <w:spacing w:line="400" w:lineRule="exact"/>
        <w:ind w:firstLine="420" w:firstLineChars="200"/>
        <w:rPr>
          <w:rFonts w:ascii="宋体" w:hAnsi="宋体"/>
          <w:color w:val="000000"/>
          <w:highlight w:val="none"/>
        </w:rPr>
      </w:pPr>
      <w:r>
        <w:rPr>
          <w:rFonts w:ascii="宋体" w:hAnsi="宋体"/>
          <w:color w:val="000000"/>
          <w:highlight w:val="none"/>
        </w:rPr>
        <w:t>4</w:t>
      </w:r>
      <w:r>
        <w:rPr>
          <w:rFonts w:hint="eastAsia" w:ascii="宋体" w:hAnsi="宋体"/>
          <w:color w:val="000000"/>
          <w:highlight w:val="none"/>
        </w:rPr>
        <w:t>、甲方应当为乙方工作人员提供安全的工作环境及必要的安全防护设备。</w:t>
      </w:r>
    </w:p>
    <w:p>
      <w:pPr>
        <w:spacing w:line="400" w:lineRule="exact"/>
        <w:ind w:firstLine="420" w:firstLineChars="200"/>
        <w:rPr>
          <w:rFonts w:ascii="宋体" w:hAnsi="宋体"/>
          <w:color w:val="000000"/>
          <w:highlight w:val="none"/>
        </w:rPr>
      </w:pPr>
      <w:r>
        <w:rPr>
          <w:rFonts w:ascii="宋体" w:hAnsi="宋体"/>
          <w:color w:val="000000"/>
          <w:highlight w:val="none"/>
        </w:rPr>
        <w:t>5</w:t>
      </w:r>
      <w:r>
        <w:rPr>
          <w:rFonts w:hint="eastAsia" w:ascii="宋体" w:hAnsi="宋体"/>
          <w:color w:val="000000"/>
          <w:highlight w:val="none"/>
        </w:rPr>
        <w:t>、甲方项目联系人：    （联系方式：        ），其权限为：负责本合同执行过程中的协调工作及往来文件签收。如甲方项目联系人发生变动的，须在三日内书面通知乙方。</w:t>
      </w:r>
    </w:p>
    <w:p>
      <w:pPr>
        <w:spacing w:line="460" w:lineRule="exact"/>
        <w:ind w:firstLine="422" w:firstLineChars="200"/>
        <w:rPr>
          <w:rFonts w:ascii="宋体" w:hAnsi="宋体" w:cs="宋体"/>
          <w:b/>
          <w:bCs/>
          <w:color w:val="000000"/>
          <w:highlight w:val="none"/>
        </w:rPr>
      </w:pPr>
      <w:r>
        <w:rPr>
          <w:rFonts w:hint="eastAsia" w:ascii="宋体" w:hAnsi="宋体" w:cs="宋体"/>
          <w:b/>
          <w:bCs/>
          <w:color w:val="000000"/>
          <w:highlight w:val="none"/>
        </w:rPr>
        <w:t>十、乙方的权利和义务</w:t>
      </w:r>
    </w:p>
    <w:p>
      <w:pPr>
        <w:spacing w:line="400" w:lineRule="exact"/>
        <w:ind w:firstLine="420" w:firstLineChars="200"/>
        <w:rPr>
          <w:rFonts w:ascii="宋体" w:hAnsi="宋体" w:cs="宋体"/>
          <w:bCs/>
          <w:color w:val="000000"/>
          <w:highlight w:val="none"/>
        </w:rPr>
      </w:pPr>
      <w:r>
        <w:rPr>
          <w:rFonts w:hint="eastAsia" w:ascii="宋体" w:hAnsi="宋体" w:cs="宋体"/>
          <w:bCs/>
          <w:color w:val="000000"/>
          <w:highlight w:val="none"/>
        </w:rPr>
        <w:t>1、乙方必须按合同约定完成项目质量安全评估考核工作，并按时提交评估技术成果。</w:t>
      </w:r>
    </w:p>
    <w:p>
      <w:pPr>
        <w:spacing w:line="400" w:lineRule="exact"/>
        <w:ind w:firstLine="420" w:firstLineChars="200"/>
        <w:rPr>
          <w:rFonts w:ascii="宋体" w:hAnsi="宋体" w:cs="宋体"/>
          <w:bCs/>
          <w:color w:val="000000"/>
          <w:highlight w:val="none"/>
        </w:rPr>
      </w:pPr>
      <w:r>
        <w:rPr>
          <w:rFonts w:hint="eastAsia" w:ascii="宋体" w:hAnsi="宋体" w:cs="宋体"/>
          <w:bCs/>
          <w:color w:val="000000"/>
          <w:highlight w:val="none"/>
        </w:rPr>
        <w:t>2、乙方应自带所有质量安全评估所需要的检测工具、测量仪器和其他所需用品。</w:t>
      </w:r>
    </w:p>
    <w:p>
      <w:pPr>
        <w:spacing w:line="400" w:lineRule="exact"/>
        <w:ind w:firstLine="420" w:firstLineChars="200"/>
        <w:rPr>
          <w:rFonts w:ascii="宋体" w:hAnsi="宋体" w:cs="宋体"/>
          <w:bCs/>
          <w:color w:val="000000"/>
          <w:highlight w:val="none"/>
        </w:rPr>
      </w:pPr>
      <w:r>
        <w:rPr>
          <w:rFonts w:hint="eastAsia" w:ascii="宋体" w:hAnsi="宋体" w:cs="宋体"/>
          <w:bCs/>
          <w:color w:val="000000"/>
          <w:highlight w:val="none"/>
        </w:rPr>
        <w:t>3、乙方应当负责其委派的评估技术服务人员在本合同履行期限内的食宿、交通、人身、财产责任安全，负责为乙方人员购买意外伤害保险，并对因其评估人员的操作不当而造成的甲方或第三方的人身、财产责任安全负责并承担由此产生的赔偿责任。</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4、乙方项目负责人：</w:t>
      </w:r>
      <w:r>
        <w:rPr>
          <w:rFonts w:hint="eastAsia" w:ascii="宋体" w:hAnsi="宋体" w:cs="宋体"/>
          <w:bCs/>
          <w:color w:val="000000"/>
          <w:highlight w:val="none"/>
          <w:u w:val="single"/>
        </w:rPr>
        <w:t xml:space="preserve">   </w:t>
      </w:r>
      <w:r>
        <w:rPr>
          <w:rFonts w:hint="eastAsia" w:ascii="宋体" w:hAnsi="宋体" w:cs="宋体"/>
          <w:bCs/>
          <w:color w:val="000000"/>
          <w:highlight w:val="none"/>
        </w:rPr>
        <w:t>（联系方式：      ），其权限为：负责本合同执行过程中的与甲方协调工作及往来文件签收。如乙方项目负责人发生变动的，须在三日内书面通知甲方。</w:t>
      </w:r>
    </w:p>
    <w:p>
      <w:pPr>
        <w:pStyle w:val="69"/>
        <w:ind w:firstLine="330" w:firstLineChars="150"/>
        <w:rPr>
          <w:rFonts w:ascii="宋体" w:hAnsi="宋体" w:cs="宋体"/>
          <w:bCs/>
          <w:color w:val="000000"/>
          <w:sz w:val="21"/>
          <w:szCs w:val="21"/>
          <w:highlight w:val="none"/>
        </w:rPr>
      </w:pPr>
      <w:r>
        <w:rPr>
          <w:rFonts w:hint="eastAsia"/>
          <w:color w:val="000000"/>
          <w:sz w:val="22"/>
          <w:szCs w:val="22"/>
          <w:highlight w:val="none"/>
        </w:rPr>
        <w:t>5、</w:t>
      </w:r>
      <w:r>
        <w:rPr>
          <w:rFonts w:hint="eastAsia" w:ascii="宋体" w:hAnsi="宋体" w:cs="宋体"/>
          <w:bCs/>
          <w:color w:val="000000"/>
          <w:sz w:val="21"/>
          <w:szCs w:val="21"/>
          <w:highlight w:val="none"/>
        </w:rPr>
        <w:t>乙方无正当理由，不得随意更换评估技术服务人员，确需更换人员，需与甲方沟通确认，除人员离职等特殊原因外。</w:t>
      </w:r>
    </w:p>
    <w:p>
      <w:pPr>
        <w:spacing w:line="460" w:lineRule="exact"/>
        <w:ind w:firstLine="422" w:firstLineChars="200"/>
        <w:rPr>
          <w:rFonts w:ascii="宋体" w:hAnsi="宋体" w:cs="宋体"/>
          <w:b/>
          <w:bCs/>
          <w:color w:val="000000"/>
          <w:highlight w:val="none"/>
        </w:rPr>
      </w:pPr>
      <w:r>
        <w:rPr>
          <w:rFonts w:hint="eastAsia" w:ascii="宋体" w:hAnsi="宋体" w:cs="宋体"/>
          <w:b/>
          <w:bCs/>
          <w:color w:val="000000"/>
          <w:highlight w:val="none"/>
        </w:rPr>
        <w:t>十一、违约责任</w:t>
      </w:r>
    </w:p>
    <w:p>
      <w:pPr>
        <w:spacing w:line="460" w:lineRule="exact"/>
        <w:ind w:firstLine="420" w:firstLineChars="200"/>
        <w:rPr>
          <w:rFonts w:ascii="宋体" w:hAnsi="宋体" w:cs="宋体"/>
          <w:bCs/>
          <w:color w:val="000000"/>
          <w:highlight w:val="none"/>
        </w:rPr>
      </w:pPr>
      <w:r>
        <w:rPr>
          <w:highlight w:val="none"/>
        </w:rPr>
        <w:pict>
          <v:line id="直接连接符 2" o:spid="_x0000_s2051" o:spt="20" style="position:absolute;left:0pt;margin-left:18pt;margin-top:54.6pt;height:0pt;width:0.05pt;z-index:25166028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">
            <v:path arrowok="t"/>
            <v:fill focussize="0,0"/>
            <v:stroke/>
            <v:imagedata o:title=""/>
            <o:lock v:ext="edit"/>
          </v:line>
        </w:pict>
      </w:r>
      <w:r>
        <w:rPr>
          <w:rFonts w:hint="eastAsia" w:ascii="宋体" w:hAnsi="宋体" w:cs="宋体"/>
          <w:bCs/>
          <w:color w:val="000000"/>
          <w:highlight w:val="none"/>
        </w:rPr>
        <w:t>1、如甲方逾期支付评估服务费的，则甲方从应付款日起每天按应付款金额的</w:t>
      </w:r>
      <w:r>
        <w:rPr>
          <w:rFonts w:ascii="宋体" w:hAnsi="宋体" w:cs="宋体"/>
          <w:bCs/>
          <w:color w:val="000000"/>
          <w:highlight w:val="none"/>
        </w:rPr>
        <w:t>0.2</w:t>
      </w:r>
      <w:r>
        <w:rPr>
          <w:rFonts w:hint="eastAsia" w:ascii="宋体" w:hAnsi="宋体" w:cs="宋体"/>
          <w:bCs/>
          <w:color w:val="000000"/>
          <w:highlight w:val="none"/>
        </w:rPr>
        <w:t xml:space="preserve">‰向乙方支付违约金，但该项违约金最高不超过合同暂定含税总评估服务费的 </w:t>
      </w:r>
      <w:r>
        <w:rPr>
          <w:rFonts w:ascii="宋体" w:hAnsi="宋体" w:cs="宋体"/>
          <w:bCs/>
          <w:color w:val="000000"/>
          <w:highlight w:val="none"/>
        </w:rPr>
        <w:t xml:space="preserve"> </w:t>
      </w:r>
      <w:r>
        <w:rPr>
          <w:rFonts w:hint="eastAsia" w:ascii="宋体" w:hAnsi="宋体" w:cs="宋体"/>
          <w:bCs/>
          <w:color w:val="000000"/>
          <w:highlight w:val="none"/>
        </w:rPr>
        <w:t>%。</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2、如由于甲方变更计划，或未及时提供检验所需全部资料（或工作条件）而造成乙方返工、窝工或修改报告，乙方可相应延期出具评估技术成果。如因此导致本合同解除的，甲方应根据乙方实际完成的评估工作量及本合同约定的固定综合单价向乙方支付相应费用。</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3、如因乙方自身原因未能按时按质向甲方提交各阶段评估意见或评估技术成果的，甲方有权从乙方延期提交评估意见或评估技术成果之日起每天按照本合同暂定含税总评估服务费的</w:t>
      </w:r>
      <w:r>
        <w:rPr>
          <w:rFonts w:ascii="宋体" w:hAnsi="宋体" w:cs="宋体"/>
          <w:bCs/>
          <w:color w:val="000000"/>
          <w:highlight w:val="none"/>
        </w:rPr>
        <w:t>0.2</w:t>
      </w:r>
      <w:r>
        <w:rPr>
          <w:rFonts w:hint="eastAsia" w:ascii="宋体" w:hAnsi="宋体" w:cs="宋体"/>
          <w:bCs/>
          <w:color w:val="000000"/>
          <w:highlight w:val="none"/>
        </w:rPr>
        <w:t>‰向乙方索取违约金。延期超过三十天的，甲方有权解除本合同。如甲方行使合同解除权的，有权不再支付未付款项，乙方除须按上述约定支付延期违约金外，还应再按合同暂定含税总评估服务费的20%向甲方支付解约违约金，并赔偿甲方所受损失。</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4</w:t>
      </w:r>
      <w:r>
        <w:rPr>
          <w:rFonts w:hint="eastAsia" w:ascii="宋体" w:hAnsi="宋体" w:cs="宋体"/>
          <w:bCs/>
          <w:color w:val="000000"/>
          <w:highlight w:val="none"/>
        </w:rPr>
        <w:t>、除因甲方原因以外，乙方未能在合同约定期限内向甲方提交各阶段评估意见或评估技术成果的，在乙方延期期间甲方可以拒绝支付评估服务费用。</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5</w:t>
      </w:r>
      <w:r>
        <w:rPr>
          <w:rFonts w:hint="eastAsia" w:ascii="宋体" w:hAnsi="宋体" w:cs="宋体"/>
          <w:bCs/>
          <w:color w:val="000000"/>
          <w:highlight w:val="none"/>
        </w:rPr>
        <w:t>、如乙方在本项目中存在较大延误或工作缺陷，或乙方项目组人员经验欠缺无法达到甲方项目评估考核要求的，甲方有权解除本合同。如甲方行使合同解除权的，有权不支付未付款项。</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6、如乙方无故终止履行本合同的，所收评估服务费用及利息（利息按全国银行间同行业拆借中心公布的贷款市场报价利率计算）应在甲方通知后三日内退还甲方，如逾期退还的，每逾期一日乙方应按未退还金额的</w:t>
      </w:r>
      <w:r>
        <w:rPr>
          <w:rFonts w:ascii="宋体" w:hAnsi="宋体" w:cs="宋体"/>
          <w:bCs/>
          <w:color w:val="000000"/>
          <w:highlight w:val="none"/>
        </w:rPr>
        <w:t>0.2</w:t>
      </w:r>
      <w:r>
        <w:rPr>
          <w:rFonts w:hint="eastAsia" w:ascii="宋体" w:hAnsi="宋体" w:cs="宋体"/>
          <w:bCs/>
          <w:color w:val="000000"/>
          <w:highlight w:val="none"/>
        </w:rPr>
        <w:t>‰向甲方支付违约金；如甲方无故造成评估业务终止，乙方有权不退还已收取的评估服务费用，并有权要求甲方按照已实际完成的评估工作量及本合同约定的固定综合单价支付相应的评估服务费。</w:t>
      </w:r>
    </w:p>
    <w:p>
      <w:pPr>
        <w:spacing w:line="460" w:lineRule="exact"/>
        <w:ind w:firstLine="420" w:firstLineChars="200"/>
        <w:rPr>
          <w:rFonts w:ascii="宋体" w:hAnsi="宋体" w:cs="宋体"/>
          <w:bCs/>
          <w:color w:val="000000"/>
          <w:highlight w:val="none"/>
        </w:rPr>
      </w:pPr>
      <w:r>
        <w:rPr>
          <w:rFonts w:hint="eastAsia" w:eastAsiaTheme="minorEastAsia"/>
          <w:highlight w:val="none"/>
        </w:rPr>
        <w:t>7、</w:t>
      </w:r>
      <w:r>
        <w:rPr>
          <w:rFonts w:hint="eastAsia" w:ascii="宋体" w:hAnsi="宋体" w:cs="宋体"/>
          <w:bCs/>
          <w:color w:val="000000"/>
          <w:highlight w:val="none"/>
        </w:rPr>
        <w:t>乙方应对合同履行过程中所知悉的甲方及项目信息保密，未经甲方书面同意不能向第三方进行披露。如乙方违反本条约定的，应按本合同暂定含税总评估服务费的</w:t>
      </w:r>
      <w:r>
        <w:rPr>
          <w:rFonts w:hint="eastAsia" w:ascii="宋体" w:hAnsi="宋体" w:cs="宋体"/>
          <w:bCs/>
          <w:color w:val="000000"/>
          <w:highlight w:val="none"/>
          <w:lang w:val="en-US" w:eastAsia="zh-CN"/>
        </w:rPr>
        <w:t>20</w:t>
      </w:r>
      <w:r>
        <w:rPr>
          <w:rFonts w:ascii="宋体" w:hAnsi="宋体" w:cs="宋体"/>
          <w:bCs/>
          <w:color w:val="000000"/>
          <w:highlight w:val="none"/>
        </w:rPr>
        <w:t xml:space="preserve"> %</w:t>
      </w:r>
      <w:r>
        <w:rPr>
          <w:rFonts w:hint="eastAsia" w:ascii="宋体" w:hAnsi="宋体" w:cs="宋体"/>
          <w:bCs/>
          <w:color w:val="000000"/>
          <w:highlight w:val="none"/>
        </w:rPr>
        <w:t>向甲方支付违约金，甲方有权解除本合同，不支付未付款项。如甲方行使合同解除权的，乙方除按上述约定支付违约金外，还应赔偿甲方所受损失。</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8、乙方应亲自完成本合同约定的各项工作，未经甲方书面同意不能委托第三方进行。如乙方违反本条约定的，应按本合同暂定含税总评估服务费的</w:t>
      </w:r>
      <w:r>
        <w:rPr>
          <w:rFonts w:hint="eastAsia" w:ascii="宋体" w:hAnsi="宋体" w:cs="宋体"/>
          <w:bCs/>
          <w:color w:val="000000"/>
          <w:highlight w:val="none"/>
          <w:lang w:val="en-US" w:eastAsia="zh-CN"/>
        </w:rPr>
        <w:t>20</w:t>
      </w:r>
      <w:r>
        <w:rPr>
          <w:rFonts w:hint="eastAsia" w:ascii="宋体" w:hAnsi="宋体" w:cs="宋体"/>
          <w:bCs/>
          <w:color w:val="000000"/>
          <w:highlight w:val="none"/>
        </w:rPr>
        <w:t>%向甲方支付违约金，甲方有权解除本合同，不支付未付款项。如甲方行使合同解除权的，乙方除按上述约定支付违约金外，还应赔偿甲方所受损失。</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9</w:t>
      </w:r>
      <w:r>
        <w:rPr>
          <w:rFonts w:hint="eastAsia" w:ascii="宋体" w:hAnsi="宋体" w:cs="宋体"/>
          <w:bCs/>
          <w:color w:val="000000"/>
          <w:highlight w:val="none"/>
        </w:rPr>
        <w:t>、乙方向甲方提供的评估成果之知识产权归甲方所有，未经甲方书面同意乙方不得擅自使用或将评估成果及资料向第三方进行披露。如乙方违反本条约定的，应按本合同暂定含税总评估服务费的</w:t>
      </w:r>
      <w:r>
        <w:rPr>
          <w:rFonts w:hint="eastAsia" w:ascii="宋体" w:hAnsi="宋体" w:cs="宋体"/>
          <w:bCs/>
          <w:color w:val="000000"/>
          <w:highlight w:val="none"/>
          <w:lang w:val="en-US" w:eastAsia="zh-CN"/>
        </w:rPr>
        <w:t>20</w:t>
      </w:r>
      <w:r>
        <w:rPr>
          <w:rFonts w:hint="eastAsia" w:ascii="宋体" w:hAnsi="宋体" w:cs="宋体"/>
          <w:bCs/>
          <w:color w:val="000000"/>
          <w:highlight w:val="none"/>
        </w:rPr>
        <w:t>%向甲方支付违约金，甲方有权解除本合同，不支付未付款项。如甲方行使合同解除权的，乙方除按上述约定支付违约金外，还应赔偿甲方所受损失。</w:t>
      </w:r>
    </w:p>
    <w:p>
      <w:pPr>
        <w:spacing w:line="460" w:lineRule="exact"/>
        <w:ind w:firstLine="420" w:firstLineChars="200"/>
        <w:rPr>
          <w:rFonts w:ascii="宋体" w:hAnsi="宋体" w:cs="宋体"/>
          <w:bCs/>
          <w:color w:val="000000"/>
          <w:highlight w:val="none"/>
        </w:rPr>
      </w:pPr>
      <w:r>
        <w:rPr>
          <w:rFonts w:ascii="宋体" w:hAnsi="宋体" w:cs="宋体"/>
          <w:bCs/>
          <w:color w:val="000000"/>
          <w:highlight w:val="none"/>
        </w:rPr>
        <w:t>10</w:t>
      </w:r>
      <w:r>
        <w:rPr>
          <w:rFonts w:hint="eastAsia" w:ascii="宋体" w:hAnsi="宋体" w:cs="宋体"/>
          <w:bCs/>
          <w:color w:val="000000"/>
          <w:highlight w:val="none"/>
        </w:rPr>
        <w:t xml:space="preserve">、除上述约定外，乙方不履行合同义务或不按合同约定履行义务的，每出现一起应向甲方支付违约金 </w:t>
      </w:r>
      <w:r>
        <w:rPr>
          <w:rFonts w:ascii="宋体" w:hAnsi="宋体" w:cs="宋体"/>
          <w:bCs/>
          <w:color w:val="000000"/>
          <w:highlight w:val="none"/>
        </w:rPr>
        <w:t>10000</w:t>
      </w:r>
      <w:r>
        <w:rPr>
          <w:rFonts w:hint="eastAsia" w:ascii="宋体" w:hAnsi="宋体" w:cs="宋体"/>
          <w:bCs/>
          <w:color w:val="000000"/>
          <w:highlight w:val="none"/>
        </w:rPr>
        <w:t>元，并赔偿甲方所受损失。</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1</w:t>
      </w:r>
      <w:r>
        <w:rPr>
          <w:rFonts w:ascii="宋体" w:hAnsi="宋体" w:cs="宋体"/>
          <w:bCs/>
          <w:color w:val="000000"/>
          <w:highlight w:val="none"/>
        </w:rPr>
        <w:t>1</w:t>
      </w:r>
      <w:r>
        <w:rPr>
          <w:rFonts w:hint="eastAsia" w:ascii="宋体" w:hAnsi="宋体" w:cs="宋体"/>
          <w:bCs/>
          <w:color w:val="000000"/>
          <w:highlight w:val="none"/>
        </w:rPr>
        <w:t>、因乙方违约而应向甲方赔偿损失的范围包括但不限于诉讼费、保全费、保全保险费、甲方聘请律师的费用、差旅费、鉴定费、公证费、甲方向第三方赔偿的款项、行政罚款、补开发票产生的税款等。</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1</w:t>
      </w:r>
      <w:r>
        <w:rPr>
          <w:rFonts w:ascii="宋体" w:hAnsi="宋体" w:cs="宋体"/>
          <w:bCs/>
          <w:color w:val="000000"/>
          <w:highlight w:val="none"/>
        </w:rPr>
        <w:t>2</w:t>
      </w:r>
      <w:r>
        <w:rPr>
          <w:rFonts w:hint="eastAsia" w:ascii="宋体" w:hAnsi="宋体" w:cs="宋体"/>
          <w:bCs/>
          <w:color w:val="000000"/>
          <w:highlight w:val="none"/>
        </w:rPr>
        <w:t>、对于乙方应向甲方支付的违约金、赔偿金等款项，甲方有权与应付乙方的款项进行抵销，不足部分甲方有权继续向乙方追索。</w:t>
      </w:r>
    </w:p>
    <w:p>
      <w:pPr>
        <w:spacing w:line="460" w:lineRule="exact"/>
        <w:ind w:firstLine="420" w:firstLineChars="200"/>
        <w:rPr>
          <w:rFonts w:hint="eastAsia" w:ascii="宋体" w:hAnsi="宋体" w:cs="宋体"/>
          <w:bCs/>
          <w:color w:val="000000"/>
          <w:highlight w:val="none"/>
        </w:rPr>
      </w:pPr>
      <w:r>
        <w:rPr>
          <w:rFonts w:hint="eastAsia" w:ascii="宋体" w:hAnsi="宋体" w:eastAsia="宋体" w:cs="宋体"/>
          <w:bCs/>
          <w:color w:val="000000"/>
          <w:highlight w:val="none"/>
        </w:rPr>
        <w:t>1</w:t>
      </w:r>
      <w:r>
        <w:rPr>
          <w:rFonts w:ascii="宋体" w:hAnsi="宋体" w:eastAsia="宋体" w:cs="宋体"/>
          <w:bCs/>
          <w:color w:val="000000"/>
          <w:highlight w:val="none"/>
        </w:rPr>
        <w:t>3</w:t>
      </w:r>
      <w:r>
        <w:rPr>
          <w:rFonts w:hint="eastAsia" w:ascii="宋体" w:hAnsi="宋体" w:eastAsia="宋体" w:cs="宋体"/>
          <w:bCs/>
          <w:color w:val="000000"/>
          <w:highlight w:val="none"/>
        </w:rPr>
        <w:t>、</w:t>
      </w:r>
      <w:r>
        <w:rPr>
          <w:rFonts w:hint="eastAsia" w:ascii="宋体" w:hAnsi="宋体" w:cs="宋体"/>
          <w:bCs/>
          <w:color w:val="000000"/>
          <w:highlight w:val="none"/>
        </w:rPr>
        <w:t>乙方</w:t>
      </w:r>
      <w:r>
        <w:rPr>
          <w:rFonts w:hint="eastAsia" w:ascii="宋体" w:hAnsi="宋体" w:eastAsia="宋体" w:cs="宋体"/>
          <w:bCs/>
          <w:color w:val="000000"/>
          <w:highlight w:val="none"/>
        </w:rPr>
        <w:t>未经同意不得更换项目负责人，如</w:t>
      </w:r>
      <w:r>
        <w:rPr>
          <w:rFonts w:hint="eastAsia" w:ascii="宋体" w:hAnsi="宋体" w:cs="宋体"/>
          <w:bCs/>
          <w:color w:val="000000"/>
          <w:highlight w:val="none"/>
        </w:rPr>
        <w:t>乙方</w:t>
      </w:r>
      <w:r>
        <w:rPr>
          <w:rFonts w:hint="eastAsia" w:ascii="宋体" w:hAnsi="宋体" w:eastAsia="宋体" w:cs="宋体"/>
          <w:bCs/>
          <w:color w:val="000000"/>
          <w:highlight w:val="none"/>
        </w:rPr>
        <w:t>擅自更换将按合同违约的有关条款处理，且</w:t>
      </w:r>
      <w:r>
        <w:rPr>
          <w:rFonts w:hint="eastAsia" w:ascii="宋体" w:hAnsi="宋体" w:cs="宋体"/>
          <w:bCs/>
          <w:color w:val="000000"/>
          <w:highlight w:val="none"/>
        </w:rPr>
        <w:t>甲方</w:t>
      </w:r>
      <w:r>
        <w:rPr>
          <w:rFonts w:hint="eastAsia" w:ascii="宋体" w:hAnsi="宋体" w:eastAsia="宋体" w:cs="宋体"/>
          <w:bCs/>
          <w:color w:val="000000"/>
          <w:highlight w:val="none"/>
        </w:rPr>
        <w:t>有权解除合同</w:t>
      </w:r>
    </w:p>
    <w:p>
      <w:pPr>
        <w:spacing w:line="460" w:lineRule="exact"/>
        <w:ind w:firstLine="422" w:firstLineChars="200"/>
        <w:rPr>
          <w:rFonts w:ascii="宋体" w:hAnsi="宋体" w:cs="宋体"/>
          <w:b/>
          <w:bCs/>
          <w:color w:val="000000"/>
          <w:highlight w:val="none"/>
        </w:rPr>
      </w:pPr>
      <w:r>
        <w:rPr>
          <w:rFonts w:hint="eastAsia" w:ascii="宋体" w:hAnsi="宋体" w:cs="宋体"/>
          <w:b/>
          <w:bCs/>
          <w:color w:val="000000"/>
          <w:highlight w:val="none"/>
        </w:rPr>
        <w:t>十二、保密义务</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双方确定因履行本合同应遵守的保密义务如下：</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1、保密内容：包括但不限于项目规划设计指标、施工图纸、销售数据、施工信息、总分包信息、质量实测数据、项目质量风险等级、项目现场图片、测评技术，测评技术数据分析、技术手段、专业技术资料等尚未对外公开的、任何合同内容及因履行本合同获取的信息。</w:t>
      </w:r>
    </w:p>
    <w:p>
      <w:pPr>
        <w:spacing w:line="460" w:lineRule="exact"/>
        <w:ind w:firstLine="420" w:firstLineChars="200"/>
        <w:rPr>
          <w:rFonts w:ascii="宋体" w:hAnsi="宋体" w:cs="宋体"/>
          <w:bCs/>
          <w:color w:val="000000"/>
          <w:highlight w:val="none"/>
          <w:lang w:val="zh-CN"/>
        </w:rPr>
      </w:pPr>
      <w:r>
        <w:rPr>
          <w:rFonts w:hint="eastAsia" w:ascii="宋体" w:hAnsi="宋体" w:cs="宋体"/>
          <w:bCs/>
          <w:color w:val="000000"/>
          <w:highlight w:val="none"/>
        </w:rPr>
        <w:t>2、</w:t>
      </w:r>
      <w:r>
        <w:rPr>
          <w:rFonts w:hint="eastAsia" w:ascii="宋体" w:hAnsi="宋体" w:cs="宋体"/>
          <w:bCs/>
          <w:color w:val="000000"/>
          <w:highlight w:val="none"/>
          <w:lang w:val="zh-CN"/>
        </w:rPr>
        <w:t>甲、乙双方中的任何一方均应对合同签订及履行过程中所知悉的对方的信息、知识产权、商业秘密等进行保密，未经对方书面同意，不得将对方的信息、资料及文件擅自修改或向第三方披露、转让，亦不得用于本合同项目外的项目。如发生以上情况的，违约方应承担由此引起的一切法律与经济赔偿责任。</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3、本条款不因本合同的无效、解除、终止、期满或不具操作性而失效。</w:t>
      </w:r>
    </w:p>
    <w:p>
      <w:pPr>
        <w:spacing w:line="460" w:lineRule="exact"/>
        <w:ind w:firstLine="422" w:firstLineChars="200"/>
        <w:rPr>
          <w:rFonts w:ascii="宋体" w:hAnsi="宋体" w:cs="宋体"/>
          <w:b/>
          <w:color w:val="000000"/>
          <w:highlight w:val="none"/>
        </w:rPr>
      </w:pPr>
      <w:r>
        <w:rPr>
          <w:rFonts w:hint="eastAsia" w:ascii="宋体" w:hAnsi="宋体" w:cs="宋体"/>
          <w:b/>
          <w:color w:val="000000"/>
          <w:highlight w:val="none"/>
        </w:rPr>
        <w:t>十三、知识产权</w:t>
      </w:r>
    </w:p>
    <w:p>
      <w:pPr>
        <w:spacing w:line="460" w:lineRule="exact"/>
        <w:ind w:firstLine="420" w:firstLineChars="200"/>
        <w:rPr>
          <w:rFonts w:ascii="宋体" w:hAnsi="宋体" w:cs="宋体"/>
          <w:bCs/>
          <w:color w:val="000000"/>
          <w:highlight w:val="none"/>
        </w:rPr>
      </w:pPr>
      <w:r>
        <w:rPr>
          <w:rFonts w:hint="eastAsia" w:ascii="宋体" w:hAnsi="宋体" w:cs="宋体"/>
          <w:bCs/>
          <w:color w:val="000000"/>
          <w:highlight w:val="none"/>
        </w:rPr>
        <w:t>乙方履行本合同不得损害甲方及第三方依法享有的知识产权，乙方为履行本合同而完成的一切工作成果（含过程资料、工程数据，但乙方根据自身检测经验总结的、用于第三方检测的实用新型专利、发明专利、计算机软件著作权等除外）之权利归甲方所有，乙方享有署名权。未经甲方书面同意，乙方不得向第三方提供本合同涉及之一切资料和成果。乙方违反本条相关规定的，应按本合同约定承担违约责任。</w:t>
      </w:r>
    </w:p>
    <w:p>
      <w:pPr>
        <w:spacing w:line="460" w:lineRule="exact"/>
        <w:ind w:firstLine="422" w:firstLineChars="200"/>
        <w:rPr>
          <w:rFonts w:ascii="宋体" w:hAnsi="宋体" w:cs="宋体"/>
          <w:b/>
          <w:color w:val="000000"/>
          <w:highlight w:val="none"/>
        </w:rPr>
      </w:pPr>
      <w:r>
        <w:rPr>
          <w:rFonts w:hint="eastAsia" w:ascii="宋体" w:hAnsi="宋体" w:cs="宋体"/>
          <w:b/>
          <w:color w:val="000000"/>
          <w:highlight w:val="none"/>
        </w:rPr>
        <w:t>十四、通知和送达</w:t>
      </w:r>
    </w:p>
    <w:p>
      <w:pPr>
        <w:spacing w:line="480" w:lineRule="exact"/>
        <w:ind w:firstLine="420" w:firstLineChars="200"/>
        <w:rPr>
          <w:rFonts w:ascii="宋体" w:hAnsi="宋体" w:cs="仿宋_GB2312"/>
          <w:color w:val="000000"/>
          <w:highlight w:val="none"/>
          <w:lang w:val="zh-CN"/>
        </w:rPr>
      </w:pPr>
      <w:r>
        <w:rPr>
          <w:rFonts w:hint="eastAsia" w:ascii="宋体" w:hAnsi="宋体" w:cs="仿宋_GB2312"/>
          <w:color w:val="000000"/>
          <w:highlight w:val="none"/>
        </w:rPr>
        <w:t>1、</w:t>
      </w:r>
      <w:r>
        <w:rPr>
          <w:rFonts w:hint="eastAsia" w:ascii="宋体" w:hAnsi="宋体" w:cs="仿宋_GB2312"/>
          <w:color w:val="000000"/>
          <w:highlight w:val="none"/>
          <w:lang w:val="zh-CN"/>
        </w:rPr>
        <w:t>各方通讯方式如下：</w:t>
      </w:r>
    </w:p>
    <w:p>
      <w:pPr>
        <w:spacing w:line="480" w:lineRule="exact"/>
        <w:ind w:firstLine="420" w:firstLineChars="200"/>
        <w:rPr>
          <w:rFonts w:ascii="宋体" w:hAnsi="宋体" w:cs="仿宋_GB2312"/>
          <w:color w:val="000000"/>
          <w:highlight w:val="none"/>
          <w:lang w:val="zh-CN"/>
        </w:rPr>
      </w:pPr>
      <w:r>
        <w:rPr>
          <w:rFonts w:hint="eastAsia" w:ascii="宋体" w:hAnsi="宋体" w:cs="仿宋_GB2312"/>
          <w:color w:val="000000"/>
          <w:highlight w:val="none"/>
          <w:lang w:val="zh-CN"/>
        </w:rPr>
        <w:t>甲方的通讯地址为：</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；邮编：</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；联系人：</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；传真号：</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；电子邮箱地址：</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 xml:space="preserve"> ；手机号码： </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w:t>
      </w:r>
    </w:p>
    <w:p>
      <w:pPr>
        <w:spacing w:line="480" w:lineRule="exact"/>
        <w:ind w:firstLine="420" w:firstLineChars="200"/>
        <w:rPr>
          <w:rFonts w:ascii="宋体" w:hAnsi="宋体" w:cs="仿宋_GB2312"/>
          <w:color w:val="000000"/>
          <w:highlight w:val="none"/>
          <w:lang w:val="zh-CN"/>
        </w:rPr>
      </w:pPr>
      <w:r>
        <w:rPr>
          <w:rFonts w:hint="eastAsia" w:ascii="宋体" w:hAnsi="宋体" w:cs="仿宋_GB2312"/>
          <w:color w:val="000000"/>
          <w:highlight w:val="none"/>
          <w:lang w:val="zh-CN"/>
        </w:rPr>
        <w:t>乙方的通讯地址为：</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；邮编：</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；联系人：</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；传真号：</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；电子邮箱地址：</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 xml:space="preserve"> ；手机号码： </w:t>
      </w:r>
      <w:r>
        <w:rPr>
          <w:rFonts w:hint="eastAsia" w:ascii="宋体" w:hAnsi="宋体" w:cs="仿宋_GB2312"/>
          <w:color w:val="000000"/>
          <w:highlight w:val="none"/>
          <w:u w:val="single"/>
          <w:lang w:val="zh-CN"/>
        </w:rPr>
        <w:t xml:space="preserve">         </w:t>
      </w:r>
      <w:r>
        <w:rPr>
          <w:rFonts w:hint="eastAsia" w:ascii="宋体" w:hAnsi="宋体" w:cs="仿宋_GB2312"/>
          <w:color w:val="000000"/>
          <w:highlight w:val="none"/>
          <w:lang w:val="zh-CN"/>
        </w:rPr>
        <w:t>。</w:t>
      </w:r>
    </w:p>
    <w:p>
      <w:pPr>
        <w:spacing w:line="480" w:lineRule="exact"/>
        <w:ind w:firstLine="420" w:firstLineChars="200"/>
        <w:rPr>
          <w:rFonts w:ascii="宋体" w:hAnsi="宋体" w:cs="仿宋_GB2312"/>
          <w:color w:val="000000"/>
          <w:highlight w:val="none"/>
          <w:lang w:val="zh-CN"/>
        </w:rPr>
      </w:pPr>
      <w:r>
        <w:rPr>
          <w:rFonts w:hint="eastAsia" w:ascii="宋体" w:hAnsi="宋体" w:cs="仿宋_GB2312"/>
          <w:color w:val="000000"/>
          <w:highlight w:val="none"/>
        </w:rPr>
        <w:t>2、</w:t>
      </w:r>
      <w:r>
        <w:rPr>
          <w:rFonts w:hint="eastAsia" w:ascii="宋体" w:hAnsi="宋体" w:cs="仿宋_GB2312"/>
          <w:color w:val="000000"/>
          <w:highlight w:val="none"/>
          <w:lang w:val="zh-CN"/>
        </w:rPr>
        <w:t>任何一方改变上述列明的通讯地址、联系人、传真号码、电子邮箱地址、手机号码的，应该提前5个工作日内书面通知对方。否则对方向原通讯地址、联系人、传真号码、电子邮箱地址、手机号码发出的通知视为有效送达。</w:t>
      </w:r>
    </w:p>
    <w:p>
      <w:pPr>
        <w:spacing w:line="480" w:lineRule="exact"/>
        <w:ind w:firstLine="420" w:firstLineChars="200"/>
        <w:rPr>
          <w:rFonts w:ascii="宋体" w:hAnsi="宋体" w:cs="仿宋_GB2312"/>
          <w:color w:val="000000"/>
          <w:highlight w:val="none"/>
          <w:lang w:val="zh-CN"/>
        </w:rPr>
      </w:pPr>
      <w:r>
        <w:rPr>
          <w:rFonts w:hint="eastAsia" w:ascii="宋体" w:hAnsi="宋体" w:cs="仿宋_GB2312"/>
          <w:color w:val="000000"/>
          <w:highlight w:val="none"/>
        </w:rPr>
        <w:t>3、</w:t>
      </w:r>
      <w:r>
        <w:rPr>
          <w:rFonts w:hint="eastAsia" w:ascii="宋体" w:hAnsi="宋体" w:cs="仿宋_GB2312"/>
          <w:color w:val="000000"/>
          <w:highlight w:val="none"/>
          <w:lang w:val="zh-CN"/>
        </w:rPr>
        <w:t xml:space="preserve">任何一方发出通知，可以采取邮寄、快递寄送或者传真、发送电子邮件、手机短信等合法方式送达给对方。如通过邮寄或快递送达的，发出之日起届满5日的当日视为送达；如通过传真、发送电子邮件、手机短信送达的，发出之日的当日视为送达。 </w:t>
      </w:r>
    </w:p>
    <w:p>
      <w:pPr>
        <w:spacing w:line="480" w:lineRule="exact"/>
        <w:ind w:firstLine="420" w:firstLineChars="200"/>
        <w:rPr>
          <w:rFonts w:ascii="宋体" w:hAnsi="宋体" w:cs="仿宋_GB2312"/>
          <w:color w:val="000000"/>
          <w:highlight w:val="none"/>
          <w:lang w:val="zh-CN"/>
        </w:rPr>
      </w:pPr>
      <w:r>
        <w:rPr>
          <w:rFonts w:hint="eastAsia" w:ascii="宋体" w:hAnsi="宋体" w:cs="仿宋_GB2312"/>
          <w:color w:val="000000"/>
          <w:highlight w:val="none"/>
        </w:rPr>
        <w:t>4、</w:t>
      </w:r>
      <w:r>
        <w:rPr>
          <w:rFonts w:hint="eastAsia" w:ascii="宋体" w:hAnsi="宋体" w:cs="仿宋_GB2312"/>
          <w:color w:val="000000"/>
          <w:highlight w:val="none"/>
          <w:lang w:val="zh-CN"/>
        </w:rPr>
        <w:t>除上述通知方式外，甲方还有权以报纸公告形式通知乙方，公告媒体为《南国早报》或《南宁晚报》。如以报纸公告形式通知的，则报纸公开发行之日即视为送达乙方。</w:t>
      </w:r>
    </w:p>
    <w:p>
      <w:pPr>
        <w:spacing w:line="480" w:lineRule="exact"/>
        <w:ind w:firstLine="422" w:firstLineChars="200"/>
        <w:rPr>
          <w:rFonts w:ascii="宋体" w:hAnsi="宋体" w:cs="仿宋_GB2312"/>
          <w:b/>
          <w:color w:val="000000"/>
          <w:highlight w:val="none"/>
        </w:rPr>
      </w:pPr>
      <w:r>
        <w:rPr>
          <w:rFonts w:hint="eastAsia" w:ascii="宋体" w:hAnsi="宋体" w:cs="仿宋_GB2312"/>
          <w:b/>
          <w:color w:val="000000"/>
          <w:highlight w:val="none"/>
        </w:rPr>
        <w:t>十五、不可抗力</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1、</w:t>
      </w:r>
      <w:r>
        <w:rPr>
          <w:rFonts w:ascii="宋体" w:hAnsi="宋体" w:cs="仿宋_GB2312"/>
          <w:color w:val="000000"/>
          <w:highlight w:val="none"/>
        </w:rPr>
        <w:t>本合同所指不可抗力，是指不能预见、不能避免并不能克服的客观情况，包括但不限于：自然灾害（地震、洪水、雷击、火灾等）、战争或</w:t>
      </w:r>
      <w:r>
        <w:rPr>
          <w:rFonts w:hint="eastAsia" w:ascii="宋体" w:hAnsi="宋体" w:cs="仿宋_GB2312"/>
          <w:color w:val="000000"/>
          <w:highlight w:val="none"/>
        </w:rPr>
        <w:t>准战争状态、恐怖活动、戒严等公认的不可抗力事件。</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2、</w:t>
      </w:r>
      <w:r>
        <w:rPr>
          <w:rFonts w:ascii="宋体" w:hAnsi="宋体" w:cs="仿宋_GB2312"/>
          <w:color w:val="000000"/>
          <w:highlight w:val="none"/>
        </w:rPr>
        <w:t>受不可抗力影响的一方应在遇到不可抗力之时起</w:t>
      </w:r>
      <w:r>
        <w:rPr>
          <w:rFonts w:hint="eastAsia" w:ascii="宋体" w:hAnsi="宋体" w:cs="仿宋_GB2312"/>
          <w:color w:val="000000"/>
          <w:highlight w:val="none"/>
        </w:rPr>
        <w:t>二</w:t>
      </w:r>
      <w:r>
        <w:rPr>
          <w:rFonts w:ascii="宋体" w:hAnsi="宋体" w:cs="仿宋_GB2312"/>
          <w:color w:val="000000"/>
          <w:highlight w:val="none"/>
        </w:rPr>
        <w:t>十四小时内，将所发生的不可抗力事件情况以电邮、传真等形式通知对方，并在事件发生之日起</w:t>
      </w:r>
      <w:r>
        <w:rPr>
          <w:rFonts w:hint="eastAsia" w:ascii="宋体" w:hAnsi="宋体" w:cs="仿宋_GB2312"/>
          <w:color w:val="000000"/>
          <w:highlight w:val="none"/>
        </w:rPr>
        <w:t>十</w:t>
      </w:r>
      <w:r>
        <w:rPr>
          <w:rFonts w:ascii="宋体" w:hAnsi="宋体" w:cs="仿宋_GB2312"/>
          <w:color w:val="000000"/>
          <w:highlight w:val="none"/>
        </w:rPr>
        <w:t>日内以特快专递或挂号信件将不可抗力发生地政府部门/机构出具的证明文件</w:t>
      </w:r>
      <w:r>
        <w:rPr>
          <w:rFonts w:hint="eastAsia" w:ascii="宋体" w:hAnsi="宋体" w:cs="仿宋_GB2312"/>
          <w:color w:val="000000"/>
          <w:highlight w:val="none"/>
        </w:rPr>
        <w:t>交对方确认。</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3、</w:t>
      </w:r>
      <w:r>
        <w:rPr>
          <w:rFonts w:ascii="宋体" w:hAnsi="宋体" w:cs="仿宋_GB2312"/>
          <w:color w:val="000000"/>
          <w:highlight w:val="none"/>
        </w:rPr>
        <w:t>当不可抗力停止或消除后，受不可抗力影响的一方应在</w:t>
      </w:r>
      <w:r>
        <w:rPr>
          <w:rFonts w:hint="eastAsia" w:ascii="宋体" w:hAnsi="宋体" w:cs="仿宋_GB2312"/>
          <w:color w:val="000000"/>
          <w:highlight w:val="none"/>
        </w:rPr>
        <w:t>二</w:t>
      </w:r>
      <w:r>
        <w:rPr>
          <w:rFonts w:ascii="宋体" w:hAnsi="宋体" w:cs="仿宋_GB2312"/>
          <w:color w:val="000000"/>
          <w:highlight w:val="none"/>
        </w:rPr>
        <w:t>十四小时内以电子邮件、传真等形式通知对方，并在</w:t>
      </w:r>
      <w:r>
        <w:rPr>
          <w:rFonts w:hint="eastAsia" w:ascii="宋体" w:hAnsi="宋体" w:cs="仿宋_GB2312"/>
          <w:color w:val="000000"/>
          <w:highlight w:val="none"/>
        </w:rPr>
        <w:t>三</w:t>
      </w:r>
      <w:r>
        <w:rPr>
          <w:rFonts w:ascii="宋体" w:hAnsi="宋体" w:cs="仿宋_GB2312"/>
          <w:color w:val="000000"/>
          <w:highlight w:val="none"/>
        </w:rPr>
        <w:t>日内以特快专递或挂号信证实。</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4、</w:t>
      </w:r>
      <w:r>
        <w:rPr>
          <w:rFonts w:ascii="宋体" w:hAnsi="宋体" w:cs="仿宋_GB2312"/>
          <w:color w:val="000000"/>
          <w:highlight w:val="none"/>
        </w:rPr>
        <w:t>合同生效后，合同各方的任何一方由于不可抗力事件而影响到本合同履行时，则</w:t>
      </w:r>
      <w:r>
        <w:rPr>
          <w:rFonts w:hint="eastAsia" w:ascii="宋体" w:hAnsi="宋体" w:cs="仿宋_GB2312"/>
          <w:color w:val="000000"/>
          <w:highlight w:val="none"/>
        </w:rPr>
        <w:t>延长履行合同的期限，这一期限应相当于不可抗力所影响的时间，并可根据情况部分或全部免予承担违约责任，但一方延误履约后发生不可抗力的，不能免除责任。</w:t>
      </w:r>
    </w:p>
    <w:p>
      <w:pPr>
        <w:spacing w:line="480" w:lineRule="exact"/>
        <w:ind w:firstLine="420" w:firstLineChars="200"/>
        <w:rPr>
          <w:rFonts w:ascii="宋体" w:hAnsi="宋体" w:cs="仿宋_GB2312"/>
          <w:b/>
          <w:color w:val="000000"/>
          <w:highlight w:val="none"/>
        </w:rPr>
      </w:pPr>
      <w:r>
        <w:rPr>
          <w:rFonts w:hint="eastAsia" w:ascii="宋体" w:hAnsi="宋体" w:cs="仿宋_GB2312"/>
          <w:color w:val="000000"/>
          <w:highlight w:val="none"/>
        </w:rPr>
        <w:t>5、</w:t>
      </w:r>
      <w:r>
        <w:rPr>
          <w:rFonts w:ascii="宋体" w:hAnsi="宋体" w:cs="仿宋_GB2312"/>
          <w:color w:val="000000"/>
          <w:highlight w:val="none"/>
        </w:rPr>
        <w:t>如果不可抗力的影响持续达</w:t>
      </w:r>
      <w:r>
        <w:rPr>
          <w:rFonts w:hint="eastAsia" w:ascii="宋体" w:hAnsi="宋体" w:cs="仿宋_GB2312"/>
          <w:color w:val="000000"/>
          <w:highlight w:val="none"/>
        </w:rPr>
        <w:t>三</w:t>
      </w:r>
      <w:r>
        <w:rPr>
          <w:rFonts w:ascii="宋体" w:hAnsi="宋体" w:cs="仿宋_GB2312"/>
          <w:color w:val="000000"/>
          <w:highlight w:val="none"/>
        </w:rPr>
        <w:t>十日或以上时，双方应根据该事件对本合同履行的影响程度协商对本合同的修改或终止。</w:t>
      </w:r>
    </w:p>
    <w:p>
      <w:pPr>
        <w:spacing w:line="480" w:lineRule="exact"/>
        <w:ind w:firstLine="422" w:firstLineChars="200"/>
        <w:rPr>
          <w:rFonts w:ascii="宋体" w:hAnsi="宋体" w:cs="仿宋_GB2312"/>
          <w:b/>
          <w:color w:val="000000"/>
          <w:highlight w:val="none"/>
        </w:rPr>
      </w:pPr>
      <w:r>
        <w:rPr>
          <w:rFonts w:hint="eastAsia" w:ascii="宋体" w:hAnsi="宋体" w:cs="仿宋_GB2312"/>
          <w:b/>
          <w:color w:val="000000"/>
          <w:highlight w:val="none"/>
        </w:rPr>
        <w:t>十六、 争议解决</w:t>
      </w:r>
    </w:p>
    <w:p>
      <w:pPr>
        <w:spacing w:line="480" w:lineRule="exact"/>
        <w:ind w:firstLine="420" w:firstLineChars="200"/>
        <w:rPr>
          <w:rFonts w:ascii="宋体" w:hAnsi="宋体" w:cs="仿宋_GB2312"/>
          <w:b/>
          <w:color w:val="000000"/>
          <w:highlight w:val="none"/>
        </w:rPr>
      </w:pPr>
      <w:r>
        <w:rPr>
          <w:rFonts w:hint="eastAsia" w:ascii="宋体" w:hAnsi="宋体" w:cs="仿宋_GB2312"/>
          <w:color w:val="000000"/>
          <w:highlight w:val="none"/>
        </w:rPr>
        <w:t>在履行本合同过程中如发生争议，甲、乙双方可协商解决；如协商不成需提起诉讼的，应向甲方营业执照记载的住所地有管辖权的人民法院提起。</w:t>
      </w:r>
    </w:p>
    <w:p>
      <w:pPr>
        <w:spacing w:line="480" w:lineRule="exact"/>
        <w:ind w:firstLine="422" w:firstLineChars="200"/>
        <w:rPr>
          <w:rFonts w:ascii="宋体" w:hAnsi="宋体" w:cs="仿宋_GB2312"/>
          <w:b/>
          <w:color w:val="000000"/>
          <w:highlight w:val="none"/>
        </w:rPr>
      </w:pPr>
      <w:r>
        <w:rPr>
          <w:rFonts w:hint="eastAsia" w:ascii="宋体" w:hAnsi="宋体" w:cs="仿宋_GB2312"/>
          <w:b/>
          <w:color w:val="000000"/>
          <w:highlight w:val="none"/>
        </w:rPr>
        <w:t>十七、 其他</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1、</w:t>
      </w:r>
      <w:r>
        <w:rPr>
          <w:rFonts w:ascii="宋体" w:hAnsi="宋体" w:cs="仿宋_GB2312"/>
          <w:color w:val="000000"/>
          <w:highlight w:val="none"/>
        </w:rPr>
        <w:t>本合同未尽事宜，甲</w:t>
      </w:r>
      <w:r>
        <w:rPr>
          <w:rFonts w:hint="eastAsia" w:ascii="宋体" w:hAnsi="宋体" w:cs="仿宋_GB2312"/>
          <w:color w:val="000000"/>
          <w:highlight w:val="none"/>
        </w:rPr>
        <w:t>、</w:t>
      </w:r>
      <w:r>
        <w:rPr>
          <w:rFonts w:ascii="宋体" w:hAnsi="宋体" w:cs="仿宋_GB2312"/>
          <w:color w:val="000000"/>
          <w:highlight w:val="none"/>
        </w:rPr>
        <w:t>乙双方可协商另签补充协议。</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2、经甲、乙双方盖章认可的合同附件、传真、会议纪要等均为本合同组成部分，与本合同具有同等法律效力。如上述文件与本合同条款内容存在冲突的，以本合同条款内容约定为准。</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3、合同组成文件及解释顺序：</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（1）</w:t>
      </w:r>
      <w:r>
        <w:rPr>
          <w:rFonts w:ascii="宋体" w:hAnsi="宋体" w:cs="仿宋_GB2312"/>
          <w:color w:val="000000"/>
          <w:highlight w:val="none"/>
        </w:rPr>
        <w:t xml:space="preserve"> 本合同条款；</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（2）</w:t>
      </w:r>
      <w:r>
        <w:rPr>
          <w:rFonts w:ascii="宋体" w:hAnsi="宋体" w:cs="仿宋_GB2312"/>
          <w:color w:val="000000"/>
          <w:highlight w:val="none"/>
        </w:rPr>
        <w:t xml:space="preserve"> </w:t>
      </w:r>
      <w:r>
        <w:rPr>
          <w:rFonts w:hint="eastAsia" w:ascii="宋体" w:hAnsi="宋体"/>
          <w:color w:val="000000"/>
          <w:highlight w:val="none"/>
        </w:rPr>
        <w:t>标准、规范及有关技术文件</w:t>
      </w:r>
      <w:r>
        <w:rPr>
          <w:rFonts w:hint="eastAsia" w:ascii="宋体" w:hAnsi="宋体" w:cs="仿宋_GB2312"/>
          <w:color w:val="000000"/>
          <w:highlight w:val="none"/>
        </w:rPr>
        <w:t>；</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（3）</w:t>
      </w:r>
      <w:r>
        <w:rPr>
          <w:rFonts w:ascii="宋体" w:hAnsi="宋体" w:cs="仿宋_GB2312"/>
          <w:color w:val="000000"/>
          <w:highlight w:val="none"/>
        </w:rPr>
        <w:t xml:space="preserve"> </w:t>
      </w:r>
      <w:r>
        <w:rPr>
          <w:rFonts w:hint="eastAsia" w:ascii="宋体" w:hAnsi="宋体" w:cs="仿宋_GB2312"/>
          <w:color w:val="000000"/>
          <w:highlight w:val="none"/>
        </w:rPr>
        <w:t>响应文件；</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（4）比选文件；</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（5）</w:t>
      </w:r>
      <w:r>
        <w:rPr>
          <w:rFonts w:ascii="宋体" w:hAnsi="宋体" w:cs="仿宋_GB2312"/>
          <w:color w:val="000000"/>
          <w:highlight w:val="none"/>
        </w:rPr>
        <w:t xml:space="preserve"> </w:t>
      </w:r>
      <w:r>
        <w:rPr>
          <w:rFonts w:hint="eastAsia" w:ascii="宋体" w:hAnsi="宋体" w:cs="仿宋_GB2312"/>
          <w:color w:val="000000"/>
          <w:highlight w:val="none"/>
        </w:rPr>
        <w:t>双方另行约定的其他文件。</w:t>
      </w:r>
    </w:p>
    <w:p>
      <w:pPr>
        <w:spacing w:line="480" w:lineRule="exact"/>
        <w:ind w:firstLine="420" w:firstLineChars="200"/>
        <w:rPr>
          <w:rFonts w:ascii="宋体" w:hAnsi="宋体"/>
          <w:color w:val="000000"/>
          <w:highlight w:val="none"/>
        </w:rPr>
      </w:pPr>
      <w:r>
        <w:rPr>
          <w:rFonts w:hint="eastAsia" w:ascii="宋体" w:hAnsi="宋体" w:cs="仿宋_GB2312"/>
          <w:color w:val="000000"/>
          <w:highlight w:val="none"/>
        </w:rPr>
        <w:t>4、</w:t>
      </w:r>
      <w:r>
        <w:rPr>
          <w:rFonts w:hint="eastAsia" w:ascii="宋体" w:hAnsi="宋体"/>
          <w:color w:val="000000"/>
          <w:highlight w:val="none"/>
        </w:rPr>
        <w:t>合同经双方代表签字（或盖章）并加盖双方企业公章（或合同专用章）后生效。</w:t>
      </w: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5、本合同一式陆份，甲方持肆份，乙方持贰份，均具同等法律效力。</w:t>
      </w:r>
    </w:p>
    <w:p>
      <w:pPr>
        <w:spacing w:line="480" w:lineRule="exact"/>
        <w:ind w:firstLine="420" w:firstLineChars="200"/>
        <w:rPr>
          <w:rFonts w:ascii="宋体" w:hAnsi="宋体" w:cs="仿宋_GB2312"/>
          <w:color w:val="000000"/>
          <w:highlight w:val="none"/>
        </w:rPr>
      </w:pPr>
    </w:p>
    <w:p>
      <w:pPr>
        <w:spacing w:line="480" w:lineRule="exact"/>
        <w:ind w:firstLine="420" w:firstLineChars="200"/>
        <w:rPr>
          <w:rFonts w:ascii="宋体" w:hAnsi="宋体" w:cs="仿宋_GB2312"/>
          <w:color w:val="000000"/>
          <w:highlight w:val="none"/>
        </w:rPr>
      </w:pPr>
      <w:r>
        <w:rPr>
          <w:rFonts w:hint="eastAsia" w:ascii="宋体" w:hAnsi="宋体" w:cs="仿宋_GB2312"/>
          <w:color w:val="000000"/>
          <w:highlight w:val="none"/>
        </w:rPr>
        <w:t>（以下无正文）</w:t>
      </w:r>
    </w:p>
    <w:p>
      <w:pPr>
        <w:spacing w:before="0" w:after="0" w:afterAutospacing="0" w:line="240" w:lineRule="auto"/>
        <w:ind w:left="0" w:right="0" w:firstLine="0"/>
        <w:jc w:val="left"/>
        <w:rPr>
          <w:rFonts w:ascii="宋体" w:hAnsi="宋体" w:cs="仿宋_GB2312"/>
          <w:color w:val="000000"/>
          <w:highlight w:val="none"/>
        </w:rPr>
      </w:pPr>
      <w:r>
        <w:rPr>
          <w:rFonts w:ascii="宋体" w:hAnsi="宋体" w:cs="仿宋_GB2312"/>
          <w:color w:val="000000"/>
          <w:highlight w:val="none"/>
        </w:rPr>
        <w:br w:type="page"/>
      </w:r>
    </w:p>
    <w:p>
      <w:pPr>
        <w:spacing w:line="480" w:lineRule="exact"/>
        <w:ind w:firstLine="420" w:firstLineChars="200"/>
        <w:rPr>
          <w:rFonts w:ascii="宋体" w:hAnsi="宋体" w:cs="仿宋_GB2312"/>
          <w:color w:val="000000"/>
          <w:highlight w:val="none"/>
        </w:rPr>
      </w:pPr>
    </w:p>
    <w:tbl>
      <w:tblPr>
        <w:tblStyle w:val="32"/>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8522" w:type="dxa"/>
            <w:gridSpan w:val="2"/>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（本页为签章页）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甲方：南宁轨道交通集团有限责任公司</w:t>
            </w:r>
          </w:p>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(公章)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乙方：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法定代表人或其委托代理人：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法定代表人或其委托代理人：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地址：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法定代表人：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法定代表人：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委托代理人：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委托代理人：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电话：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传真：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传真：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电子信箱：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电子信箱：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开户银行：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账号：                                            </w:t>
            </w:r>
          </w:p>
        </w:tc>
        <w:tc>
          <w:tcPr>
            <w:tcW w:w="4261" w:type="dxa"/>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 xml:space="preserve">账号：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522" w:type="dxa"/>
            <w:gridSpan w:val="2"/>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签订时间：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522" w:type="dxa"/>
            <w:gridSpan w:val="2"/>
          </w:tcPr>
          <w:p>
            <w:pPr>
              <w:pStyle w:val="72"/>
              <w:spacing w:line="360" w:lineRule="auto"/>
              <w:rPr>
                <w:rFonts w:ascii="宋体" w:hAnsi="宋体" w:cs="仿宋_GB2312"/>
                <w:color w:val="000000"/>
                <w:kern w:val="0"/>
                <w:szCs w:val="21"/>
                <w:highlight w:val="none"/>
              </w:rPr>
            </w:pPr>
            <w:r>
              <w:rPr>
                <w:rFonts w:hint="eastAsia" w:ascii="宋体" w:hAnsi="宋体" w:cs="仿宋_GB2312"/>
                <w:color w:val="000000"/>
                <w:kern w:val="0"/>
                <w:szCs w:val="21"/>
                <w:highlight w:val="none"/>
              </w:rPr>
              <w:t>合同签订地点：广西南宁市青秀区</w:t>
            </w:r>
          </w:p>
        </w:tc>
      </w:tr>
    </w:tbl>
    <w:p>
      <w:pPr>
        <w:pStyle w:val="69"/>
        <w:ind w:firstLine="480"/>
        <w:rPr>
          <w:rFonts w:ascii="宋体" w:hAnsi="宋体" w:cs="宋体"/>
          <w:bCs/>
          <w:color w:val="000000"/>
          <w:szCs w:val="21"/>
          <w:highlight w:val="none"/>
        </w:rPr>
      </w:pPr>
    </w:p>
    <w:p>
      <w:pPr>
        <w:pStyle w:val="15"/>
        <w:pageBreakBefore w:val="0"/>
        <w:ind w:left="0" w:right="-57" w:firstLine="0"/>
        <w:jc w:val="both"/>
        <w:outlineLvl w:val="0"/>
        <w:rPr>
          <w:rFonts w:hAnsi="宋体"/>
          <w:b/>
          <w:sz w:val="32"/>
          <w:szCs w:val="32"/>
          <w:highlight w:val="none"/>
        </w:rPr>
      </w:pPr>
    </w:p>
    <w:p>
      <w:pPr>
        <w:tabs>
          <w:tab w:val="left" w:pos="840"/>
          <w:tab w:val="left" w:pos="1843"/>
        </w:tabs>
        <w:spacing w:before="0" w:after="0" w:afterAutospacing="0"/>
        <w:ind w:left="422" w:right="0" w:firstLine="0"/>
        <w:jc w:val="center"/>
        <w:outlineLvl w:val="1"/>
        <w:rPr>
          <w:rFonts w:ascii="宋体" w:hAnsi="宋体"/>
          <w:b/>
          <w:highlight w:val="none"/>
        </w:rPr>
      </w:pPr>
      <w:bookmarkStart w:id="1093" w:name="_Toc114134660"/>
      <w:r>
        <w:rPr>
          <w:rFonts w:hint="eastAsia" w:ascii="宋体" w:hAnsi="宋体"/>
          <w:b/>
          <w:highlight w:val="none"/>
        </w:rPr>
        <w:t>一、合同附件及格式</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3"/>
    </w:p>
    <w:p>
      <w:pPr>
        <w:spacing w:before="0" w:after="0" w:afterAutospacing="0"/>
        <w:ind w:right="-57" w:firstLine="0"/>
        <w:rPr>
          <w:rFonts w:ascii="宋体" w:hAnsi="宋体"/>
          <w:b/>
          <w:sz w:val="24"/>
          <w:szCs w:val="24"/>
          <w:highlight w:val="none"/>
        </w:rPr>
      </w:pPr>
      <w:r>
        <w:rPr>
          <w:rFonts w:hint="eastAsia" w:ascii="宋体" w:hAnsi="宋体"/>
          <w:b/>
          <w:sz w:val="24"/>
          <w:szCs w:val="24"/>
          <w:highlight w:val="none"/>
        </w:rPr>
        <w:t>附件1：</w:t>
      </w:r>
    </w:p>
    <w:p>
      <w:pPr>
        <w:spacing w:before="0" w:after="0" w:afterAutospacing="0"/>
        <w:ind w:right="-57" w:firstLine="0"/>
        <w:jc w:val="center"/>
        <w:rPr>
          <w:rFonts w:ascii="宋体" w:hAnsi="宋体"/>
          <w:b/>
          <w:sz w:val="28"/>
          <w:szCs w:val="28"/>
          <w:highlight w:val="none"/>
        </w:rPr>
      </w:pPr>
      <w:r>
        <w:rPr>
          <w:rFonts w:hint="eastAsia" w:ascii="宋体" w:hAnsi="宋体"/>
          <w:b/>
          <w:sz w:val="24"/>
          <w:szCs w:val="24"/>
          <w:highlight w:val="none"/>
        </w:rPr>
        <w:t>银行</w:t>
      </w:r>
      <w:r>
        <w:rPr>
          <w:rFonts w:ascii="宋体" w:hAnsi="宋体"/>
          <w:b/>
          <w:sz w:val="24"/>
          <w:szCs w:val="24"/>
          <w:highlight w:val="none"/>
        </w:rPr>
        <w:t>保函</w:t>
      </w:r>
      <w:r>
        <w:rPr>
          <w:rFonts w:hint="eastAsia" w:ascii="宋体" w:hAnsi="宋体"/>
          <w:b/>
          <w:sz w:val="24"/>
          <w:szCs w:val="24"/>
          <w:highlight w:val="none"/>
        </w:rPr>
        <w:t>（中选后提供）</w:t>
      </w:r>
    </w:p>
    <w:p>
      <w:pPr>
        <w:pStyle w:val="15"/>
        <w:ind w:right="-57" w:firstLine="0"/>
        <w:rPr>
          <w:rFonts w:hAnsi="宋体"/>
          <w:spacing w:val="20"/>
          <w:highlight w:val="none"/>
        </w:rPr>
      </w:pPr>
      <w:r>
        <w:rPr>
          <w:rFonts w:hint="eastAsia" w:hAnsi="宋体"/>
          <w:spacing w:val="20"/>
          <w:highlight w:val="none"/>
        </w:rPr>
        <w:t>保函编号：</w:t>
      </w:r>
    </w:p>
    <w:p>
      <w:pPr>
        <w:autoSpaceDE w:val="0"/>
        <w:autoSpaceDN w:val="0"/>
        <w:ind w:right="-57" w:firstLine="0"/>
        <w:jc w:val="left"/>
        <w:rPr>
          <w:rFonts w:ascii="宋体" w:hAnsi="宋体"/>
          <w:highlight w:val="none"/>
        </w:rPr>
      </w:pPr>
      <w:r>
        <w:rPr>
          <w:rFonts w:hint="eastAsia" w:ascii="宋体" w:hAnsi="宋体"/>
          <w:highlight w:val="none"/>
        </w:rPr>
        <w:t>致：南宁轨道交通集团有限责任公司</w:t>
      </w:r>
    </w:p>
    <w:p>
      <w:pPr>
        <w:autoSpaceDE w:val="0"/>
        <w:autoSpaceDN w:val="0"/>
        <w:ind w:left="710" w:leftChars="338" w:right="-57" w:firstLine="210" w:firstLineChars="100"/>
        <w:jc w:val="left"/>
        <w:rPr>
          <w:rFonts w:ascii="宋体" w:hAnsi="宋体"/>
          <w:highlight w:val="none"/>
        </w:rPr>
      </w:pPr>
      <w:r>
        <w:rPr>
          <w:rFonts w:hint="eastAsia" w:ascii="宋体" w:hAnsi="宋体"/>
          <w:highlight w:val="none"/>
        </w:rPr>
        <w:t>鉴于贵方已于202 年  月  日发出中选通知书，本保函作为贵方将与</w:t>
      </w:r>
      <w:r>
        <w:rPr>
          <w:rFonts w:hint="eastAsia" w:ascii="宋体" w:hAnsi="宋体"/>
          <w:highlight w:val="none"/>
          <w:u w:val="single"/>
        </w:rPr>
        <w:t xml:space="preserve">   （乙方名称） </w:t>
      </w:r>
      <w:r>
        <w:rPr>
          <w:rFonts w:hint="eastAsia" w:ascii="宋体" w:hAnsi="宋体"/>
          <w:highlight w:val="none"/>
        </w:rPr>
        <w:t>（以下简称“乙方”）签订的</w:t>
      </w:r>
      <w:r>
        <w:rPr>
          <w:rFonts w:hint="eastAsia" w:ascii="宋体" w:hAnsi="宋体"/>
          <w:highlight w:val="none"/>
          <w:u w:val="single"/>
        </w:rPr>
        <w:t xml:space="preserve">  （项目名称）   </w:t>
      </w:r>
      <w:r>
        <w:rPr>
          <w:rFonts w:hint="eastAsia" w:ascii="宋体" w:hAnsi="宋体"/>
          <w:highlight w:val="none"/>
        </w:rPr>
        <w:t>以下简称“本项目”）合同（中选价格￥元，大写：元）的银行保函。</w:t>
      </w:r>
    </w:p>
    <w:p>
      <w:pPr>
        <w:autoSpaceDE w:val="0"/>
        <w:autoSpaceDN w:val="0"/>
        <w:spacing w:before="0" w:after="0"/>
        <w:ind w:right="0" w:firstLine="200"/>
        <w:jc w:val="left"/>
        <w:rPr>
          <w:rFonts w:ascii="宋体" w:hAnsi="宋体"/>
          <w:highlight w:val="none"/>
        </w:rPr>
      </w:pPr>
      <w:r>
        <w:rPr>
          <w:rFonts w:hint="eastAsia" w:ascii="宋体" w:hAnsi="宋体"/>
          <w:highlight w:val="none"/>
        </w:rPr>
        <w:t>我方</w:t>
      </w:r>
      <w:r>
        <w:rPr>
          <w:rFonts w:hint="eastAsia" w:ascii="宋体" w:hAnsi="宋体"/>
          <w:highlight w:val="none"/>
          <w:u w:val="single"/>
        </w:rPr>
        <w:t>（担保人名称    ）</w:t>
      </w:r>
      <w:r>
        <w:rPr>
          <w:rFonts w:hint="eastAsia" w:ascii="宋体" w:hAnsi="宋体"/>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highlight w:val="none"/>
        </w:rPr>
      </w:pPr>
      <w:r>
        <w:rPr>
          <w:rFonts w:hint="eastAsia" w:ascii="宋体" w:hAnsi="宋体"/>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highlight w:val="none"/>
        </w:rPr>
      </w:pPr>
      <w:r>
        <w:rPr>
          <w:rFonts w:hint="eastAsia" w:ascii="宋体" w:hAnsi="宋体"/>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highlight w:val="none"/>
        </w:rPr>
      </w:pPr>
      <w:r>
        <w:rPr>
          <w:rFonts w:hint="eastAsia" w:ascii="宋体" w:hAnsi="宋体"/>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highlight w:val="none"/>
        </w:rPr>
      </w:pPr>
      <w:r>
        <w:rPr>
          <w:rFonts w:hint="eastAsia" w:ascii="宋体" w:hAnsi="宋体"/>
          <w:highlight w:val="none"/>
        </w:rPr>
        <w:t>1.本保函自</w:t>
      </w:r>
      <w:r>
        <w:rPr>
          <w:rFonts w:hint="eastAsia" w:ascii="宋体" w:hAnsi="宋体"/>
          <w:highlight w:val="none"/>
          <w:u w:val="single"/>
        </w:rPr>
        <w:t>X年X月X日</w:t>
      </w:r>
      <w:r>
        <w:rPr>
          <w:rFonts w:hint="eastAsia" w:ascii="宋体" w:hAnsi="宋体"/>
          <w:highlight w:val="none"/>
        </w:rPr>
        <w:t>起生效，至</w:t>
      </w:r>
      <w:r>
        <w:rPr>
          <w:rFonts w:hint="eastAsia" w:ascii="宋体" w:hAnsi="宋体"/>
          <w:highlight w:val="none"/>
          <w:u w:val="single"/>
        </w:rPr>
        <w:t>全部合同项目验收合格之日后四十五（45）天一直</w:t>
      </w:r>
      <w:r>
        <w:rPr>
          <w:rFonts w:hint="eastAsia" w:ascii="宋体" w:hAnsi="宋体" w:cs="Arial"/>
          <w:highlight w:val="none"/>
        </w:rPr>
        <w:t>有效</w:t>
      </w:r>
      <w:r>
        <w:rPr>
          <w:rFonts w:hint="eastAsia" w:ascii="宋体" w:hAnsi="宋体"/>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highlight w:val="none"/>
        </w:rPr>
      </w:pPr>
      <w:r>
        <w:rPr>
          <w:rFonts w:hint="eastAsia" w:ascii="宋体" w:hAnsi="宋体"/>
          <w:highlight w:val="none"/>
        </w:rPr>
        <w:t>2.本保函自</w:t>
      </w:r>
      <w:r>
        <w:rPr>
          <w:rFonts w:hint="eastAsia" w:ascii="宋体" w:hAnsi="宋体"/>
          <w:highlight w:val="none"/>
          <w:u w:val="single"/>
        </w:rPr>
        <w:t>X年X月X日</w:t>
      </w:r>
      <w:r>
        <w:rPr>
          <w:rFonts w:hint="eastAsia" w:ascii="宋体" w:hAnsi="宋体"/>
          <w:highlight w:val="none"/>
        </w:rPr>
        <w:t>起生效，至</w:t>
      </w:r>
      <w:r>
        <w:rPr>
          <w:rFonts w:hint="eastAsia" w:ascii="宋体" w:hAnsi="宋体"/>
          <w:highlight w:val="none"/>
          <w:u w:val="single"/>
        </w:rPr>
        <w:t>X年X月X日</w:t>
      </w:r>
      <w:r>
        <w:rPr>
          <w:rFonts w:hint="eastAsia" w:ascii="宋体" w:hAnsi="宋体" w:cs="Arial"/>
          <w:highlight w:val="none"/>
        </w:rPr>
        <w:t>一直有效，</w:t>
      </w:r>
      <w:r>
        <w:rPr>
          <w:rFonts w:hint="eastAsia" w:ascii="宋体" w:hAnsi="宋体"/>
          <w:highlight w:val="none"/>
        </w:rPr>
        <w:t>你方有权提前终止或解除本保函。保函失效后请将本保函退回我方注销。</w:t>
      </w:r>
    </w:p>
    <w:p>
      <w:pPr>
        <w:spacing w:after="0" w:afterAutospacing="0"/>
        <w:ind w:right="-57" w:firstLine="200"/>
        <w:rPr>
          <w:rFonts w:ascii="宋体" w:hAnsi="宋体"/>
          <w:highlight w:val="none"/>
        </w:rPr>
      </w:pPr>
      <w:r>
        <w:rPr>
          <w:rFonts w:hint="eastAsia" w:ascii="宋体" w:hAnsi="宋体"/>
          <w:b/>
          <w:highlight w:val="none"/>
        </w:rPr>
        <w:t>（开具保函时，以上二种方式，任选一种。）</w:t>
      </w:r>
    </w:p>
    <w:p>
      <w:pPr>
        <w:spacing w:after="0" w:afterAutospacing="0"/>
        <w:ind w:right="-57" w:firstLine="0"/>
        <w:rPr>
          <w:rFonts w:ascii="宋体" w:hAnsi="宋体" w:cs="Arial"/>
          <w:highlight w:val="none"/>
        </w:rPr>
      </w:pPr>
      <w:r>
        <w:rPr>
          <w:rFonts w:hint="eastAsia" w:ascii="宋体" w:hAnsi="宋体"/>
          <w:highlight w:val="none"/>
        </w:rPr>
        <w:t>银行地址：    担保银行：</w:t>
      </w:r>
      <w:r>
        <w:rPr>
          <w:rFonts w:hint="eastAsia" w:ascii="宋体" w:hAnsi="宋体"/>
          <w:highlight w:val="none"/>
          <w:u w:val="single"/>
        </w:rPr>
        <w:t xml:space="preserve">（全称）    </w:t>
      </w:r>
      <w:r>
        <w:rPr>
          <w:rFonts w:hint="eastAsia" w:ascii="宋体" w:hAnsi="宋体"/>
          <w:highlight w:val="none"/>
        </w:rPr>
        <w:t>(盖章)</w:t>
      </w:r>
    </w:p>
    <w:p>
      <w:pPr>
        <w:spacing w:after="0" w:afterAutospacing="0"/>
        <w:ind w:right="-57" w:firstLine="0"/>
        <w:rPr>
          <w:rFonts w:ascii="宋体" w:hAnsi="宋体"/>
          <w:highlight w:val="none"/>
        </w:rPr>
      </w:pPr>
      <w:r>
        <w:rPr>
          <w:rFonts w:hint="eastAsia" w:ascii="宋体" w:hAnsi="宋体"/>
          <w:highlight w:val="none"/>
        </w:rPr>
        <w:t>邮编：   法定代表人或（授权代理人）：(签字)</w:t>
      </w:r>
    </w:p>
    <w:p>
      <w:pPr>
        <w:spacing w:after="0" w:afterAutospacing="0"/>
        <w:ind w:right="-57" w:firstLine="0"/>
        <w:rPr>
          <w:rFonts w:ascii="宋体" w:hAnsi="宋体"/>
          <w:highlight w:val="none"/>
          <w:u w:val="single"/>
        </w:rPr>
      </w:pPr>
      <w:r>
        <w:rPr>
          <w:rFonts w:hint="eastAsia" w:ascii="宋体" w:hAnsi="宋体"/>
          <w:highlight w:val="none"/>
        </w:rPr>
        <w:t>电话：</w:t>
      </w:r>
      <w:r>
        <w:rPr>
          <w:rFonts w:hint="eastAsia" w:ascii="宋体" w:hAnsi="宋体"/>
          <w:highlight w:val="none"/>
          <w:u w:val="single"/>
        </w:rPr>
        <w:t>（职务）   （姓名）  （签字）</w:t>
      </w:r>
    </w:p>
    <w:p>
      <w:pPr>
        <w:spacing w:after="0" w:afterAutospacing="0"/>
        <w:ind w:right="-57" w:firstLine="0"/>
        <w:rPr>
          <w:rFonts w:ascii="宋体" w:hAnsi="宋体"/>
          <w:highlight w:val="none"/>
        </w:rPr>
      </w:pPr>
      <w:r>
        <w:rPr>
          <w:rFonts w:hint="eastAsia" w:ascii="宋体" w:hAnsi="宋体"/>
          <w:highlight w:val="none"/>
        </w:rPr>
        <w:t>传真：           日期  ：   年   月  日</w:t>
      </w:r>
    </w:p>
    <w:p>
      <w:pPr>
        <w:ind w:right="-57" w:firstLine="0"/>
        <w:jc w:val="center"/>
        <w:rPr>
          <w:rFonts w:ascii="宋体" w:hAnsi="宋体"/>
          <w:b/>
          <w:sz w:val="24"/>
          <w:szCs w:val="24"/>
          <w:highlight w:val="none"/>
        </w:rPr>
      </w:pPr>
    </w:p>
    <w:p>
      <w:pPr>
        <w:ind w:right="-57" w:firstLine="0"/>
        <w:jc w:val="center"/>
        <w:rPr>
          <w:rFonts w:ascii="宋体" w:hAnsi="宋体"/>
          <w:b/>
          <w:sz w:val="24"/>
          <w:szCs w:val="24"/>
          <w:highlight w:val="none"/>
        </w:rPr>
      </w:pPr>
      <w:r>
        <w:rPr>
          <w:rFonts w:hint="eastAsia" w:ascii="宋体" w:hAnsi="宋体"/>
          <w:b/>
          <w:sz w:val="24"/>
          <w:szCs w:val="24"/>
          <w:highlight w:val="none"/>
        </w:rPr>
        <w:t>承诺函（中选后提供）</w:t>
      </w:r>
    </w:p>
    <w:p>
      <w:pPr>
        <w:ind w:right="-57" w:firstLine="0"/>
        <w:rPr>
          <w:rFonts w:ascii="宋体" w:hAnsi="宋体"/>
          <w:highlight w:val="none"/>
        </w:rPr>
      </w:pPr>
    </w:p>
    <w:p>
      <w:pPr>
        <w:spacing w:line="480" w:lineRule="auto"/>
        <w:ind w:right="-57" w:firstLine="0"/>
        <w:rPr>
          <w:rFonts w:ascii="宋体" w:hAnsi="宋体"/>
          <w:highlight w:val="none"/>
        </w:rPr>
      </w:pPr>
      <w:r>
        <w:rPr>
          <w:rFonts w:hint="eastAsia" w:ascii="宋体" w:hAnsi="宋体"/>
          <w:highlight w:val="none"/>
        </w:rPr>
        <w:t>南宁轨道交通集团有限责任公司：</w:t>
      </w:r>
    </w:p>
    <w:p>
      <w:pPr>
        <w:spacing w:line="480" w:lineRule="auto"/>
        <w:ind w:right="-57" w:firstLine="200"/>
        <w:rPr>
          <w:rFonts w:ascii="宋体" w:hAnsi="宋体"/>
          <w:highlight w:val="none"/>
        </w:rPr>
      </w:pPr>
      <w:r>
        <w:rPr>
          <w:rFonts w:hint="eastAsia" w:ascii="宋体" w:hAnsi="宋体"/>
          <w:highlight w:val="none"/>
        </w:rPr>
        <w:t>（以下称“本公司”）现已中选贵司比选的</w:t>
      </w:r>
      <w:r>
        <w:rPr>
          <w:rFonts w:hint="eastAsia" w:ascii="宋体" w:hAnsi="宋体"/>
          <w:highlight w:val="none"/>
          <w:u w:val="single"/>
        </w:rPr>
        <w:t xml:space="preserve">      （项目名称）</w:t>
      </w:r>
      <w:r>
        <w:rPr>
          <w:rFonts w:hint="eastAsia" w:ascii="宋体" w:hAnsi="宋体"/>
          <w:highlight w:val="none"/>
        </w:rPr>
        <w:t>，并拟签订正式合同，按合同规定需向贵司提供一份履约担保金额为人民币：</w:t>
      </w:r>
      <w:r>
        <w:rPr>
          <w:rFonts w:hint="eastAsia" w:ascii="宋体" w:hAnsi="宋体"/>
          <w:highlight w:val="none"/>
          <w:u w:val="single"/>
        </w:rPr>
        <w:t xml:space="preserve">         （￥   </w:t>
      </w:r>
      <w:r>
        <w:rPr>
          <w:rFonts w:hint="eastAsia" w:ascii="宋体" w:hAnsi="宋体"/>
          <w:highlight w:val="none"/>
        </w:rPr>
        <w:t>）的银行保函（保函编号：），有效期至X年X月X日。</w:t>
      </w:r>
    </w:p>
    <w:p>
      <w:pPr>
        <w:spacing w:line="480" w:lineRule="auto"/>
        <w:ind w:right="-57" w:firstLine="200"/>
        <w:rPr>
          <w:rFonts w:ascii="宋体" w:hAnsi="宋体"/>
          <w:highlight w:val="none"/>
        </w:rPr>
      </w:pPr>
      <w:r>
        <w:rPr>
          <w:rFonts w:hint="eastAsia" w:ascii="宋体" w:hAnsi="宋体"/>
          <w:highlight w:val="none"/>
        </w:rPr>
        <w:t>本公司现向贵司郑重承诺，如上述保函到期日仍未到合同约定的时间（</w:t>
      </w:r>
      <w:r>
        <w:rPr>
          <w:rFonts w:hint="eastAsia" w:ascii="宋体" w:hAnsi="宋体"/>
          <w:highlight w:val="none"/>
          <w:u w:val="single"/>
        </w:rPr>
        <w:t>项目验收合格之日后四十五（45）天</w:t>
      </w:r>
      <w:r>
        <w:rPr>
          <w:rFonts w:hint="eastAsia" w:ascii="宋体" w:hAnsi="宋体"/>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highlight w:val="none"/>
        </w:rPr>
      </w:pPr>
      <w:r>
        <w:rPr>
          <w:rFonts w:hint="eastAsia" w:ascii="宋体" w:hAnsi="宋体"/>
          <w:highlight w:val="none"/>
        </w:rPr>
        <w:t>特此承诺</w:t>
      </w:r>
    </w:p>
    <w:p>
      <w:pPr>
        <w:ind w:right="-57" w:firstLine="420"/>
        <w:rPr>
          <w:rFonts w:ascii="宋体" w:hAnsi="宋体"/>
          <w:highlight w:val="none"/>
        </w:rPr>
      </w:pPr>
    </w:p>
    <w:p>
      <w:pPr>
        <w:ind w:left="5040" w:right="-57" w:hanging="4935"/>
        <w:rPr>
          <w:rFonts w:ascii="宋体" w:hAnsi="宋体"/>
          <w:highlight w:val="none"/>
        </w:rPr>
      </w:pPr>
      <w:r>
        <w:rPr>
          <w:rFonts w:hint="eastAsia" w:ascii="宋体" w:hAnsi="宋体"/>
          <w:highlight w:val="none"/>
        </w:rPr>
        <w:t xml:space="preserve">                                                                                     承诺人：</w:t>
      </w:r>
    </w:p>
    <w:p>
      <w:pPr>
        <w:ind w:left="4935" w:right="-57" w:hanging="4830"/>
        <w:rPr>
          <w:rFonts w:ascii="宋体" w:hAnsi="宋体"/>
          <w:highlight w:val="none"/>
        </w:rPr>
      </w:pPr>
      <w:r>
        <w:rPr>
          <w:rFonts w:hint="eastAsia" w:ascii="宋体" w:hAnsi="宋体"/>
          <w:highlight w:val="none"/>
        </w:rPr>
        <w:t xml:space="preserve">                                                                                      X年X月X日</w:t>
      </w:r>
    </w:p>
    <w:p>
      <w:pPr>
        <w:ind w:right="-57" w:firstLine="0"/>
        <w:rPr>
          <w:rFonts w:ascii="宋体" w:hAnsi="宋体"/>
          <w:highlight w:val="none"/>
        </w:rPr>
      </w:pPr>
    </w:p>
    <w:p>
      <w:pPr>
        <w:ind w:right="-57" w:firstLine="200"/>
        <w:rPr>
          <w:rFonts w:ascii="宋体" w:hAnsi="宋体"/>
          <w:b/>
          <w:highlight w:val="none"/>
        </w:rPr>
      </w:pPr>
    </w:p>
    <w:p>
      <w:pPr>
        <w:ind w:right="-57" w:firstLine="200"/>
        <w:rPr>
          <w:rFonts w:ascii="宋体" w:hAnsi="宋体"/>
          <w:b/>
          <w:highlight w:val="none"/>
        </w:rPr>
      </w:pPr>
      <w:r>
        <w:rPr>
          <w:rFonts w:hint="eastAsia" w:ascii="宋体" w:hAnsi="宋体"/>
          <w:b/>
          <w:highlight w:val="none"/>
        </w:rPr>
        <w:t>（当选择银行保函格式第2种方式时开具银行保函的，必须提供本承诺书。）</w:t>
      </w:r>
    </w:p>
    <w:p>
      <w:pPr>
        <w:tabs>
          <w:tab w:val="left" w:pos="1134"/>
          <w:tab w:val="left" w:pos="8364"/>
        </w:tabs>
        <w:spacing w:before="0"/>
        <w:ind w:left="0" w:right="-57" w:firstLine="0"/>
        <w:rPr>
          <w:rFonts w:ascii="宋体" w:hAnsi="宋体"/>
          <w:highlight w:val="none"/>
        </w:rPr>
      </w:pPr>
    </w:p>
    <w:p>
      <w:pPr>
        <w:pStyle w:val="4"/>
        <w:pageBreakBefore/>
        <w:ind w:right="-57" w:firstLine="0"/>
        <w:jc w:val="center"/>
        <w:rPr>
          <w:rStyle w:val="49"/>
          <w:rFonts w:ascii="宋体" w:hAnsi="宋体" w:eastAsia="宋体"/>
          <w:b w:val="0"/>
          <w:highlight w:val="none"/>
        </w:rPr>
      </w:pPr>
      <w:bookmarkStart w:id="1094" w:name="_Toc6151"/>
      <w:bookmarkStart w:id="1095" w:name="_Toc29546"/>
      <w:bookmarkStart w:id="1096" w:name="_Toc14790"/>
      <w:bookmarkStart w:id="1097" w:name="_Toc31873"/>
      <w:bookmarkStart w:id="1098" w:name="_Toc25306"/>
      <w:bookmarkStart w:id="1099" w:name="_Toc31574"/>
      <w:bookmarkStart w:id="1100" w:name="_Toc27263"/>
      <w:bookmarkStart w:id="1101" w:name="_Toc17396"/>
      <w:bookmarkStart w:id="1102" w:name="_Toc32011"/>
      <w:bookmarkStart w:id="1103" w:name="_Toc17261"/>
      <w:bookmarkStart w:id="1104" w:name="_Toc11320"/>
      <w:bookmarkStart w:id="1105" w:name="_Toc28285"/>
      <w:bookmarkStart w:id="1106" w:name="_Toc114134661"/>
      <w:bookmarkStart w:id="1107" w:name="_Toc13167"/>
      <w:bookmarkStart w:id="1108" w:name="_Toc30920"/>
      <w:bookmarkStart w:id="1109" w:name="_Toc28677"/>
      <w:bookmarkStart w:id="1110" w:name="_Toc21689"/>
      <w:bookmarkStart w:id="1111" w:name="_Toc4374"/>
      <w:r>
        <w:rPr>
          <w:rStyle w:val="49"/>
          <w:rFonts w:hint="eastAsia" w:ascii="宋体" w:hAnsi="宋体" w:eastAsia="宋体"/>
          <w:b w:val="0"/>
          <w:highlight w:val="none"/>
        </w:rPr>
        <w:t>第四章比选申请文件格式</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4"/>
        <w:spacing w:after="100"/>
        <w:ind w:right="-57" w:firstLine="0"/>
        <w:jc w:val="center"/>
        <w:rPr>
          <w:sz w:val="24"/>
          <w:szCs w:val="24"/>
          <w:highlight w:val="none"/>
        </w:rPr>
      </w:pPr>
      <w:bookmarkStart w:id="1112" w:name="_Toc114134662"/>
      <w:bookmarkStart w:id="1113" w:name="_Toc31535"/>
      <w:bookmarkStart w:id="1114" w:name="_Toc492478802"/>
      <w:bookmarkStart w:id="1115" w:name="_Toc30705"/>
      <w:bookmarkStart w:id="1116" w:name="_Toc4873"/>
      <w:bookmarkStart w:id="1117" w:name="_Toc19412"/>
      <w:bookmarkStart w:id="1118" w:name="_Toc31624"/>
      <w:bookmarkStart w:id="1119" w:name="_Toc24453"/>
      <w:bookmarkStart w:id="1120" w:name="_Toc16671"/>
      <w:bookmarkStart w:id="1121" w:name="_Toc3396"/>
      <w:bookmarkStart w:id="1122" w:name="_Toc23261"/>
      <w:bookmarkStart w:id="1123" w:name="_Toc24824"/>
      <w:bookmarkStart w:id="1124" w:name="_Toc414290520"/>
      <w:bookmarkStart w:id="1125" w:name="_Toc22709"/>
      <w:bookmarkStart w:id="1126" w:name="_Toc4027"/>
      <w:bookmarkStart w:id="1127" w:name="_Toc12984805"/>
      <w:bookmarkStart w:id="1128" w:name="_Toc25325"/>
      <w:bookmarkStart w:id="1129" w:name="_Toc361"/>
      <w:bookmarkStart w:id="1130" w:name="_Toc6941"/>
      <w:bookmarkStart w:id="1131" w:name="_Toc12983549"/>
      <w:bookmarkStart w:id="1132" w:name="_Toc21274"/>
      <w:bookmarkStart w:id="1133" w:name="_Toc32185"/>
      <w:r>
        <w:rPr>
          <w:sz w:val="24"/>
          <w:szCs w:val="24"/>
          <w:highlight w:val="none"/>
        </w:rPr>
        <w:t>A  资格审查</w:t>
      </w:r>
      <w:r>
        <w:rPr>
          <w:rFonts w:hint="eastAsia"/>
          <w:sz w:val="24"/>
          <w:szCs w:val="24"/>
          <w:highlight w:val="none"/>
        </w:rPr>
        <w:t>文件</w:t>
      </w:r>
      <w:bookmarkEnd w:id="1112"/>
    </w:p>
    <w:p>
      <w:pPr>
        <w:spacing w:before="0" w:after="0" w:afterAutospacing="0"/>
        <w:ind w:left="0" w:right="0" w:firstLine="422" w:firstLineChars="200"/>
        <w:jc w:val="left"/>
        <w:rPr>
          <w:rFonts w:ascii="宋体" w:hAnsi="宋体"/>
          <w:b/>
          <w:highlight w:val="none"/>
        </w:rPr>
      </w:pPr>
      <w:r>
        <w:rPr>
          <w:rFonts w:ascii="宋体" w:hAnsi="宋体"/>
          <w:b/>
          <w:highlight w:val="none"/>
        </w:rPr>
        <w:t>资格审查文件格式</w:t>
      </w:r>
    </w:p>
    <w:p>
      <w:pPr>
        <w:tabs>
          <w:tab w:val="left" w:pos="1134"/>
        </w:tabs>
        <w:spacing w:before="0" w:after="0" w:afterAutospacing="0"/>
        <w:ind w:left="0" w:right="0" w:firstLine="420" w:firstLineChars="200"/>
        <w:rPr>
          <w:highlight w:val="none"/>
        </w:rPr>
      </w:pPr>
      <w:r>
        <w:rPr>
          <w:rFonts w:hint="eastAsia" w:hAnsi="宋体"/>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highlight w:val="none"/>
        </w:rPr>
      </w:pPr>
      <w:r>
        <w:rPr>
          <w:rFonts w:hint="eastAsia" w:hAnsi="宋体"/>
          <w:highlight w:val="none"/>
        </w:rPr>
        <w:t>（2）比选申请人有效的营业执照副本复印件及资质证书复印件；</w:t>
      </w:r>
    </w:p>
    <w:p>
      <w:pPr>
        <w:spacing w:before="0" w:after="0" w:afterAutospacing="0"/>
        <w:ind w:left="0" w:right="0" w:firstLine="420" w:firstLineChars="200"/>
        <w:rPr>
          <w:rFonts w:hAnsi="宋体"/>
          <w:highlight w:val="none"/>
        </w:rPr>
      </w:pPr>
      <w:r>
        <w:rPr>
          <w:rFonts w:hint="eastAsia" w:hAnsi="宋体"/>
          <w:highlight w:val="none"/>
        </w:rPr>
        <w:t>（3）</w:t>
      </w:r>
      <w:r>
        <w:rPr>
          <w:rFonts w:hAnsi="宋体"/>
          <w:highlight w:val="none"/>
        </w:rPr>
        <w:t>承诺书（格式见</w:t>
      </w:r>
      <w:r>
        <w:rPr>
          <w:highlight w:val="none"/>
        </w:rPr>
        <w:t>A</w:t>
      </w:r>
      <w:r>
        <w:rPr>
          <w:rFonts w:hint="eastAsia"/>
          <w:highlight w:val="none"/>
        </w:rPr>
        <w:t>3</w:t>
      </w:r>
      <w:r>
        <w:rPr>
          <w:rFonts w:hAnsi="宋体"/>
          <w:highlight w:val="none"/>
        </w:rPr>
        <w:t>）；</w:t>
      </w:r>
    </w:p>
    <w:p>
      <w:pPr>
        <w:spacing w:before="0" w:after="0" w:afterAutospacing="0"/>
        <w:ind w:left="0" w:right="0" w:firstLine="420" w:firstLineChars="200"/>
        <w:rPr>
          <w:highlight w:val="none"/>
        </w:rPr>
      </w:pPr>
      <w:r>
        <w:rPr>
          <w:rFonts w:hint="eastAsia" w:hAnsi="宋体"/>
          <w:highlight w:val="none"/>
        </w:rPr>
        <w:t>（4）类似项目业绩表（A4）；</w:t>
      </w:r>
    </w:p>
    <w:p>
      <w:pPr>
        <w:spacing w:before="0" w:after="0" w:afterAutospacing="0"/>
        <w:ind w:left="0" w:right="0" w:firstLine="420" w:firstLineChars="200"/>
        <w:rPr>
          <w:highlight w:val="none"/>
        </w:rPr>
      </w:pPr>
      <w:r>
        <w:rPr>
          <w:rFonts w:hint="eastAsia" w:hAnsi="宋体"/>
          <w:highlight w:val="none"/>
        </w:rPr>
        <w:t>（5）比选申请人认为应提交的其他比选申请资料（如有）。</w:t>
      </w:r>
    </w:p>
    <w:p>
      <w:pPr>
        <w:spacing w:before="0" w:after="0" w:afterAutospacing="0"/>
        <w:ind w:left="0" w:right="0" w:firstLine="420" w:firstLineChars="200"/>
        <w:rPr>
          <w:rFonts w:hAnsi="宋体"/>
          <w:highlight w:val="none"/>
        </w:rPr>
      </w:pPr>
      <w:r>
        <w:rPr>
          <w:rFonts w:hint="eastAsia" w:hAnsi="宋体"/>
          <w:highlight w:val="none"/>
        </w:rPr>
        <w:t>注：</w:t>
      </w:r>
      <w:r>
        <w:rPr>
          <w:rFonts w:hAnsi="宋体"/>
          <w:highlight w:val="none"/>
        </w:rPr>
        <w:t>以上提供的复印件必须加盖比选申请人公章。</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spacing w:before="0" w:after="0" w:afterAutospacing="0"/>
        <w:ind w:left="0" w:right="0" w:firstLine="420" w:firstLineChars="200"/>
        <w:rPr>
          <w:rFonts w:hAnsi="宋体"/>
          <w:highlight w:val="none"/>
        </w:rPr>
        <w:sectPr>
          <w:footerReference r:id="rId8" w:type="default"/>
          <w:pgSz w:w="11905" w:h="16838"/>
          <w:pgMar w:top="1417" w:right="1417" w:bottom="1417" w:left="1417" w:header="454" w:footer="567" w:gutter="0"/>
          <w:cols w:space="720" w:num="1"/>
          <w:docGrid w:linePitch="312" w:charSpace="0"/>
        </w:sectPr>
      </w:pPr>
    </w:p>
    <w:p>
      <w:pPr>
        <w:numPr>
          <w:ilvl w:val="1"/>
          <w:numId w:val="10"/>
        </w:numPr>
        <w:snapToGrid w:val="0"/>
        <w:spacing w:before="0" w:line="240" w:lineRule="auto"/>
        <w:ind w:right="0" w:firstLine="0"/>
        <w:jc w:val="left"/>
        <w:outlineLvl w:val="0"/>
        <w:rPr>
          <w:rFonts w:ascii="宋体" w:hAnsi="宋体"/>
          <w:b/>
          <w:highlight w:val="none"/>
        </w:rPr>
      </w:pPr>
      <w:bookmarkStart w:id="1134" w:name="_Toc3499"/>
      <w:bookmarkStart w:id="1135" w:name="_Toc32455"/>
      <w:bookmarkStart w:id="1136" w:name="_Toc9658"/>
      <w:bookmarkStart w:id="1137" w:name="_Toc16089"/>
      <w:bookmarkStart w:id="1138" w:name="_Toc20671"/>
      <w:bookmarkStart w:id="1139" w:name="_Toc956"/>
      <w:bookmarkStart w:id="1140" w:name="_Toc25750675"/>
      <w:bookmarkStart w:id="1141" w:name="_Toc20029"/>
      <w:bookmarkStart w:id="1142" w:name="_Toc20283"/>
      <w:bookmarkStart w:id="1143" w:name="_Toc4125"/>
      <w:bookmarkStart w:id="1144" w:name="_Toc10789"/>
      <w:bookmarkStart w:id="1145" w:name="_Toc13389"/>
      <w:bookmarkStart w:id="1146" w:name="_Toc22533"/>
      <w:bookmarkStart w:id="1147" w:name="_Toc15696"/>
      <w:bookmarkStart w:id="1148" w:name="_Toc375564351"/>
      <w:bookmarkStart w:id="1149" w:name="_Toc114134663"/>
      <w:bookmarkStart w:id="1150" w:name="_Toc414290522"/>
      <w:bookmarkStart w:id="1151" w:name="_Toc24436"/>
      <w:bookmarkStart w:id="1152" w:name="_Toc10238"/>
      <w:bookmarkStart w:id="1153" w:name="_Toc7057"/>
      <w:bookmarkStart w:id="1154" w:name="_Toc8868"/>
      <w:bookmarkStart w:id="1155" w:name="_Toc492478804"/>
      <w:bookmarkStart w:id="1156" w:name="_Toc10433"/>
      <w:bookmarkStart w:id="1157" w:name="_Toc12984807"/>
      <w:r>
        <w:rPr>
          <w:rFonts w:ascii="宋体" w:hAnsi="宋体"/>
          <w:b/>
          <w:highlight w:val="none"/>
        </w:rPr>
        <w:t>法定代表人授权书格式</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spacing w:before="240" w:after="240"/>
        <w:ind w:right="0" w:firstLine="0"/>
        <w:jc w:val="center"/>
        <w:rPr>
          <w:rFonts w:ascii="宋体" w:hAnsi="宋体"/>
          <w:b/>
          <w:sz w:val="32"/>
          <w:szCs w:val="32"/>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ascii="宋体" w:hAnsi="宋体"/>
          <w:highlight w:val="none"/>
        </w:rPr>
      </w:pPr>
      <w:r>
        <w:rPr>
          <w:rFonts w:ascii="宋体" w:hAnsi="宋体"/>
          <w:highlight w:val="none"/>
        </w:rPr>
        <w:t>致：</w:t>
      </w:r>
      <w:r>
        <w:rPr>
          <w:rFonts w:hint="eastAsia" w:ascii="宋体" w:hAnsi="宋体"/>
          <w:highlight w:val="none"/>
        </w:rPr>
        <w:t>南宁轨道交通集团有限责任公司</w:t>
      </w:r>
    </w:p>
    <w:p>
      <w:pPr>
        <w:tabs>
          <w:tab w:val="left" w:pos="8364"/>
        </w:tabs>
        <w:snapToGrid w:val="0"/>
        <w:ind w:left="497" w:leftChars="200" w:right="0" w:hanging="77" w:hangingChars="37"/>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w:t>
      </w:r>
      <w:r>
        <w:rPr>
          <w:rFonts w:ascii="宋体" w:hAnsi="宋体"/>
          <w:highlight w:val="none"/>
          <w:u w:val="single"/>
        </w:rPr>
        <w:t>XXXX</w:t>
      </w:r>
      <w:r>
        <w:rPr>
          <w:rFonts w:ascii="宋体" w:hAnsi="宋体"/>
          <w:highlight w:val="none"/>
        </w:rPr>
        <w:t>项目的比选申请和合同执行，作为比选申请人代表以本公司的名义处理一切与之有关的事宜。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本授权书于年月日签字生效，特此声明。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spacing w:before="0"/>
        <w:ind w:right="0" w:firstLine="135"/>
        <w:rPr>
          <w:rFonts w:ascii="宋体" w:hAnsi="宋体"/>
          <w:b/>
          <w:highlight w:val="none"/>
        </w:rPr>
      </w:pPr>
      <w:r>
        <w:rPr>
          <w:rFonts w:hint="eastAsia" w:ascii="宋体" w:hAnsi="宋体"/>
          <w:b/>
          <w:highlight w:val="none"/>
        </w:rPr>
        <w:t>附：授权代理人身份证复印件</w:t>
      </w:r>
    </w:p>
    <w:p>
      <w:pPr>
        <w:tabs>
          <w:tab w:val="left" w:pos="8364"/>
        </w:tabs>
        <w:snapToGrid w:val="0"/>
        <w:ind w:right="0" w:firstLine="200"/>
        <w:rPr>
          <w:rFonts w:ascii="宋体" w:hAnsi="宋体"/>
          <w:highlight w:val="none"/>
          <w:u w:val="single"/>
        </w:rPr>
      </w:pPr>
    </w:p>
    <w:p>
      <w:pPr>
        <w:numPr>
          <w:ilvl w:val="1"/>
          <w:numId w:val="10"/>
        </w:numPr>
        <w:snapToGrid w:val="0"/>
        <w:spacing w:before="0" w:line="240" w:lineRule="auto"/>
        <w:ind w:right="0" w:firstLine="0"/>
        <w:jc w:val="left"/>
        <w:outlineLvl w:val="0"/>
        <w:rPr>
          <w:rFonts w:ascii="宋体" w:hAnsi="宋体"/>
          <w:b/>
          <w:highlight w:val="none"/>
        </w:rPr>
      </w:pPr>
      <w:bookmarkStart w:id="1158" w:name="_Toc19744"/>
      <w:bookmarkStart w:id="1159" w:name="_Toc114134664"/>
      <w:bookmarkStart w:id="1160" w:name="_Toc7753"/>
      <w:bookmarkStart w:id="1161" w:name="_Toc26713"/>
      <w:bookmarkStart w:id="1162" w:name="_Toc9583"/>
      <w:bookmarkStart w:id="1163" w:name="_Toc17964"/>
      <w:bookmarkStart w:id="1164" w:name="_Toc20436"/>
      <w:bookmarkStart w:id="1165" w:name="_Toc13634"/>
      <w:bookmarkStart w:id="1166" w:name="_Toc13798"/>
      <w:bookmarkStart w:id="1167" w:name="_Toc414290523"/>
      <w:bookmarkStart w:id="1168" w:name="_Toc12984808"/>
      <w:bookmarkStart w:id="1169" w:name="_Toc9757"/>
      <w:bookmarkStart w:id="1170" w:name="_Toc27722"/>
      <w:bookmarkStart w:id="1171" w:name="_Toc15572"/>
      <w:bookmarkStart w:id="1172" w:name="_Toc8654"/>
      <w:bookmarkStart w:id="1173" w:name="_Toc15980"/>
      <w:bookmarkStart w:id="1174" w:name="_Toc24322"/>
      <w:bookmarkStart w:id="1175" w:name="_Toc31808"/>
      <w:bookmarkStart w:id="1176" w:name="_Toc492478805"/>
      <w:bookmarkStart w:id="1177" w:name="_Toc13606"/>
      <w:bookmarkStart w:id="1178" w:name="_Toc375564352"/>
      <w:bookmarkStart w:id="1179" w:name="_Toc25750676"/>
      <w:bookmarkStart w:id="1180" w:name="_Toc27657"/>
      <w:bookmarkStart w:id="1181" w:name="_Toc7273"/>
      <w:r>
        <w:rPr>
          <w:rFonts w:ascii="宋体" w:hAnsi="宋体"/>
          <w:b/>
          <w:highlight w:val="none"/>
        </w:rPr>
        <w:t>法定代表人资格证明书格式</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ind w:right="0" w:firstLine="200"/>
        <w:rPr>
          <w:rFonts w:ascii="宋体" w:hAnsi="宋体"/>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p>
    <w:p>
      <w:pPr>
        <w:ind w:right="0" w:firstLine="200"/>
        <w:rPr>
          <w:rFonts w:ascii="宋体" w:hAnsi="宋体"/>
          <w:highlight w:val="none"/>
          <w:u w:val="single"/>
        </w:rPr>
      </w:pPr>
      <w:r>
        <w:rPr>
          <w:rFonts w:ascii="宋体" w:hAnsi="宋体"/>
          <w:highlight w:val="none"/>
        </w:rPr>
        <w:t>地址：</w:t>
      </w:r>
    </w:p>
    <w:p>
      <w:pPr>
        <w:ind w:right="0" w:firstLine="200"/>
        <w:rPr>
          <w:rFonts w:ascii="宋体" w:hAnsi="宋体"/>
          <w:highlight w:val="none"/>
          <w:u w:val="single"/>
        </w:rPr>
      </w:pPr>
      <w:r>
        <w:rPr>
          <w:rFonts w:ascii="宋体" w:hAnsi="宋体"/>
          <w:highlight w:val="none"/>
        </w:rPr>
        <w:t>姓名：性别：年龄：职务：</w:t>
      </w:r>
    </w:p>
    <w:p>
      <w:pPr>
        <w:ind w:right="0" w:firstLine="200"/>
        <w:rPr>
          <w:rFonts w:ascii="宋体" w:hAnsi="宋体"/>
          <w:highlight w:val="none"/>
        </w:rPr>
      </w:pPr>
      <w:r>
        <w:rPr>
          <w:rFonts w:ascii="宋体" w:hAnsi="宋体"/>
          <w:highlight w:val="none"/>
        </w:rPr>
        <w:t>系的法定代表人。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p>
    <w:p>
      <w:pPr>
        <w:ind w:right="0" w:firstLine="200"/>
        <w:rPr>
          <w:rFonts w:ascii="宋体" w:hAnsi="宋体"/>
          <w:highlight w:val="none"/>
        </w:rPr>
      </w:pPr>
      <w:r>
        <w:rPr>
          <w:rFonts w:ascii="宋体" w:hAnsi="宋体"/>
          <w:highlight w:val="none"/>
        </w:rPr>
        <w:t>日期：年月日</w:t>
      </w:r>
    </w:p>
    <w:p>
      <w:pPr>
        <w:rPr>
          <w:rFonts w:ascii="宋体" w:hAnsi="宋体"/>
          <w:b/>
          <w:highlight w:val="none"/>
        </w:rPr>
      </w:pPr>
      <w:bookmarkStart w:id="1182"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pageBreakBefore/>
        <w:snapToGrid w:val="0"/>
        <w:ind w:right="0" w:firstLine="0"/>
        <w:jc w:val="left"/>
        <w:outlineLvl w:val="0"/>
        <w:rPr>
          <w:rFonts w:ascii="宋体" w:hAnsi="宋体"/>
          <w:b/>
          <w:highlight w:val="none"/>
        </w:rPr>
      </w:pPr>
      <w:bookmarkStart w:id="1183" w:name="_Toc4894"/>
      <w:bookmarkStart w:id="1184" w:name="_Toc15609"/>
      <w:bookmarkStart w:id="1185" w:name="_Toc114134665"/>
      <w:bookmarkStart w:id="1186" w:name="_Toc26907"/>
      <w:bookmarkStart w:id="1187" w:name="_Toc7712"/>
      <w:bookmarkStart w:id="1188" w:name="_Toc31448"/>
      <w:bookmarkStart w:id="1189" w:name="_Toc26097"/>
      <w:bookmarkStart w:id="1190" w:name="_Toc21307"/>
      <w:bookmarkStart w:id="1191" w:name="_Toc1932"/>
      <w:bookmarkStart w:id="1192" w:name="_Toc29246"/>
      <w:bookmarkStart w:id="1193" w:name="_Toc492478806"/>
      <w:bookmarkStart w:id="1194" w:name="_Toc17745"/>
      <w:bookmarkStart w:id="1195" w:name="_Toc6033"/>
      <w:bookmarkStart w:id="1196" w:name="_Toc25750677"/>
      <w:bookmarkStart w:id="1197" w:name="_Toc3426"/>
      <w:bookmarkStart w:id="1198" w:name="_Toc15394"/>
      <w:bookmarkStart w:id="1199" w:name="_Toc11425"/>
      <w:bookmarkStart w:id="1200" w:name="_Toc414290524"/>
      <w:bookmarkStart w:id="1201" w:name="_Toc16467"/>
      <w:bookmarkStart w:id="1202" w:name="_Toc24848"/>
      <w:bookmarkStart w:id="1203" w:name="_Toc375564353"/>
      <w:bookmarkStart w:id="1204" w:name="_Toc19721"/>
      <w:bookmarkStart w:id="1205" w:name="_Toc32062"/>
      <w:r>
        <w:rPr>
          <w:rFonts w:hint="eastAsia" w:ascii="宋体" w:hAnsi="宋体"/>
          <w:b/>
          <w:highlight w:val="none"/>
        </w:rPr>
        <w:t xml:space="preserve">A3 </w:t>
      </w:r>
      <w:r>
        <w:rPr>
          <w:rFonts w:ascii="宋体" w:hAnsi="宋体"/>
          <w:b/>
          <w:highlight w:val="none"/>
        </w:rPr>
        <w:t>承诺书格式</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pacing w:before="0" w:after="0" w:afterAutospacing="0"/>
        <w:ind w:left="0" w:right="0" w:firstLine="420" w:firstLineChars="200"/>
        <w:jc w:val="left"/>
        <w:rPr>
          <w:rFonts w:ascii="宋体" w:hAnsi="宋体"/>
          <w:highlight w:val="none"/>
          <w:u w:val="single"/>
        </w:rPr>
      </w:pPr>
      <w:r>
        <w:rPr>
          <w:rFonts w:ascii="宋体" w:hAnsi="宋体"/>
          <w:highlight w:val="none"/>
        </w:rPr>
        <w:t>致：</w:t>
      </w:r>
      <w:r>
        <w:rPr>
          <w:rFonts w:hint="eastAsia" w:ascii="宋体" w:hAnsi="宋体"/>
          <w:highlight w:val="none"/>
          <w:u w:val="single"/>
        </w:rPr>
        <w:t>南宁轨道交通集团有限责任公司</w:t>
      </w:r>
    </w:p>
    <w:p>
      <w:pPr>
        <w:spacing w:before="0" w:after="0" w:afterAutospacing="0"/>
        <w:ind w:left="0" w:right="0" w:firstLine="420" w:firstLineChars="200"/>
        <w:jc w:val="left"/>
        <w:rPr>
          <w:rFonts w:ascii="宋体" w:hAnsi="宋体"/>
          <w:highlight w:val="none"/>
        </w:rPr>
      </w:pPr>
      <w:r>
        <w:rPr>
          <w:rFonts w:ascii="宋体" w:hAnsi="宋体"/>
          <w:highlight w:val="none"/>
        </w:rPr>
        <w:t>1</w:t>
      </w:r>
      <w:r>
        <w:rPr>
          <w:rFonts w:hint="eastAsia" w:ascii="宋体" w:hAnsi="宋体"/>
          <w:highlight w:val="none"/>
        </w:rPr>
        <w:t>.</w:t>
      </w:r>
      <w:r>
        <w:rPr>
          <w:rFonts w:ascii="宋体" w:hAnsi="宋体"/>
          <w:highlight w:val="none"/>
        </w:rPr>
        <w:t>在认真研读南宁轨道交通</w:t>
      </w:r>
      <w:r>
        <w:rPr>
          <w:rFonts w:hint="eastAsia" w:ascii="宋体" w:hAnsi="宋体"/>
          <w:highlight w:val="none"/>
        </w:rPr>
        <w:t>集团</w:t>
      </w:r>
      <w:r>
        <w:rPr>
          <w:rFonts w:ascii="宋体" w:hAnsi="宋体"/>
          <w:highlight w:val="none"/>
        </w:rPr>
        <w:t>有限责任公司</w:t>
      </w:r>
      <w:r>
        <w:rPr>
          <w:rFonts w:hint="eastAsia" w:ascii="宋体" w:hAnsi="宋体"/>
          <w:highlight w:val="none"/>
        </w:rPr>
        <w:t>的比选文件</w:t>
      </w:r>
      <w:r>
        <w:rPr>
          <w:rFonts w:ascii="宋体" w:hAnsi="宋体"/>
          <w:highlight w:val="none"/>
        </w:rPr>
        <w:t>后，我方经慎重考虑，郑重承诺参加</w:t>
      </w:r>
      <w:r>
        <w:rPr>
          <w:rFonts w:hint="eastAsia" w:ascii="宋体" w:hAnsi="宋体"/>
          <w:highlight w:val="none"/>
        </w:rPr>
        <w:t>项目的招比选申请</w:t>
      </w:r>
      <w:r>
        <w:rPr>
          <w:rFonts w:ascii="宋体" w:hAnsi="宋体"/>
          <w:highlight w:val="none"/>
        </w:rPr>
        <w:t>活动。</w:t>
      </w:r>
    </w:p>
    <w:p>
      <w:pPr>
        <w:spacing w:before="0" w:after="0" w:afterAutospacing="0"/>
        <w:ind w:left="0" w:right="0" w:firstLine="420" w:firstLineChars="200"/>
        <w:jc w:val="left"/>
        <w:rPr>
          <w:rFonts w:ascii="宋体" w:hAnsi="宋体"/>
          <w:highlight w:val="none"/>
        </w:rPr>
      </w:pPr>
      <w:r>
        <w:rPr>
          <w:rFonts w:ascii="宋体" w:hAnsi="宋体"/>
          <w:highlight w:val="none"/>
        </w:rPr>
        <w:t>2</w:t>
      </w:r>
      <w:r>
        <w:rPr>
          <w:rFonts w:hint="eastAsia" w:ascii="宋体" w:hAnsi="宋体"/>
          <w:highlight w:val="none"/>
        </w:rPr>
        <w:t>.</w:t>
      </w:r>
      <w:r>
        <w:rPr>
          <w:rFonts w:ascii="宋体" w:hAnsi="宋体"/>
          <w:highlight w:val="none"/>
        </w:rPr>
        <w:t>我方按照贵方</w:t>
      </w:r>
      <w:r>
        <w:rPr>
          <w:rFonts w:hint="eastAsia" w:ascii="宋体" w:hAnsi="宋体"/>
          <w:highlight w:val="none"/>
        </w:rPr>
        <w:t>比选文件</w:t>
      </w:r>
      <w:r>
        <w:rPr>
          <w:rFonts w:ascii="宋体" w:hAnsi="宋体"/>
          <w:highlight w:val="none"/>
        </w:rPr>
        <w:t>要求的内容与格式，已编制完成</w:t>
      </w:r>
      <w:r>
        <w:rPr>
          <w:rFonts w:hint="eastAsia" w:ascii="宋体" w:hAnsi="宋体"/>
          <w:highlight w:val="none"/>
        </w:rPr>
        <w:t>比选申请文件</w:t>
      </w:r>
      <w:r>
        <w:rPr>
          <w:rFonts w:ascii="宋体" w:hAnsi="宋体"/>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3.我方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2" w:firstLineChars="200"/>
        <w:jc w:val="left"/>
        <w:rPr>
          <w:rFonts w:ascii="宋体" w:hAnsi="宋体"/>
          <w:highlight w:val="none"/>
        </w:rPr>
      </w:pPr>
      <w:r>
        <w:rPr>
          <w:rFonts w:hint="eastAsia" w:ascii="宋体" w:hAnsi="宋体"/>
          <w:b/>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比选申请过程中或者在中选后，比选人或者有管辖权的行政监管机构发现并查实我公司在所填报的该项目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w:t>
      </w:r>
      <w:r>
        <w:rPr>
          <w:rFonts w:ascii="宋体" w:hAnsi="宋体"/>
          <w:highlight w:val="none"/>
        </w:rPr>
        <w:t>比选人或有管辖权的监管机构的处罚；如果我公司已</w:t>
      </w:r>
      <w:r>
        <w:rPr>
          <w:rFonts w:hint="eastAsia" w:ascii="宋体" w:hAnsi="宋体"/>
          <w:highlight w:val="none"/>
        </w:rPr>
        <w:t>与比选人签订合同，则视为我公司违约，履约保证金由比选人没收</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招比选申请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比选申请人</w:t>
      </w:r>
      <w:r>
        <w:rPr>
          <w:rFonts w:ascii="宋体" w:hAnsi="宋体"/>
          <w:highlight w:val="none"/>
        </w:rPr>
        <w:t>地址：</w:t>
      </w:r>
    </w:p>
    <w:p>
      <w:pPr>
        <w:spacing w:before="0" w:after="0" w:afterAutospacing="0" w:line="480" w:lineRule="auto"/>
        <w:ind w:left="0" w:right="0" w:firstLine="200"/>
        <w:rPr>
          <w:rFonts w:ascii="宋体" w:hAnsi="宋体"/>
          <w:highlight w:val="none"/>
        </w:rPr>
      </w:pPr>
      <w:r>
        <w:rPr>
          <w:rFonts w:hint="eastAsia" w:ascii="宋体" w:hAnsi="宋体"/>
          <w:highlight w:val="none"/>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邮政编码：</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法定代表人（或委托代理人）：</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电话：</w:t>
      </w:r>
      <w:r>
        <w:rPr>
          <w:rFonts w:ascii="宋体" w:hAnsi="宋体"/>
          <w:highlight w:val="none"/>
          <w:u w:val="single"/>
        </w:rPr>
        <w:t>　　</w:t>
      </w:r>
    </w:p>
    <w:p>
      <w:pPr>
        <w:spacing w:before="0" w:after="0" w:afterAutospacing="0" w:line="480" w:lineRule="auto"/>
        <w:ind w:left="0" w:right="0" w:firstLine="200"/>
        <w:rPr>
          <w:rFonts w:ascii="宋体" w:hAnsi="宋体"/>
          <w:highlight w:val="none"/>
          <w:u w:val="single"/>
        </w:rPr>
      </w:pPr>
      <w:r>
        <w:rPr>
          <w:rFonts w:ascii="宋体" w:hAnsi="宋体"/>
          <w:highlight w:val="none"/>
        </w:rPr>
        <w:t>传真：</w:t>
      </w:r>
    </w:p>
    <w:p>
      <w:pPr>
        <w:spacing w:before="0" w:after="0" w:afterAutospacing="0" w:line="480" w:lineRule="auto"/>
        <w:ind w:left="0" w:right="0" w:firstLine="200"/>
        <w:rPr>
          <w:rFonts w:ascii="宋体" w:hAnsi="宋体"/>
          <w:highlight w:val="none"/>
        </w:rPr>
      </w:pPr>
      <w:r>
        <w:rPr>
          <w:rFonts w:ascii="宋体" w:hAnsi="宋体"/>
          <w:highlight w:val="none"/>
        </w:rPr>
        <w:t>日期：年月日</w:t>
      </w:r>
    </w:p>
    <w:p>
      <w:pPr>
        <w:pageBreakBefore/>
        <w:snapToGrid w:val="0"/>
        <w:ind w:right="0" w:firstLine="0"/>
        <w:jc w:val="left"/>
        <w:outlineLvl w:val="0"/>
        <w:rPr>
          <w:rFonts w:ascii="宋体" w:hAnsi="宋体"/>
          <w:b/>
          <w:highlight w:val="none"/>
        </w:rPr>
      </w:pPr>
      <w:bookmarkStart w:id="1206" w:name="_Toc25750678"/>
      <w:bookmarkStart w:id="1207" w:name="_Toc114134666"/>
      <w:r>
        <w:rPr>
          <w:rFonts w:ascii="宋体" w:hAnsi="宋体"/>
          <w:b/>
          <w:highlight w:val="none"/>
        </w:rPr>
        <w:t>A</w:t>
      </w:r>
      <w:r>
        <w:rPr>
          <w:rFonts w:hint="eastAsia" w:ascii="宋体" w:hAnsi="宋体"/>
          <w:b/>
          <w:highlight w:val="none"/>
        </w:rPr>
        <w:t>4  类似项目</w:t>
      </w:r>
      <w:r>
        <w:rPr>
          <w:rFonts w:ascii="宋体" w:hAnsi="宋体"/>
          <w:b/>
          <w:highlight w:val="none"/>
        </w:rPr>
        <w:t>业绩表格式</w:t>
      </w:r>
      <w:bookmarkEnd w:id="1206"/>
      <w:bookmarkEnd w:id="1207"/>
    </w:p>
    <w:p>
      <w:pPr>
        <w:spacing w:before="0"/>
        <w:ind w:right="-57" w:firstLine="0"/>
        <w:jc w:val="center"/>
        <w:rPr>
          <w:rFonts w:ascii="宋体" w:hAnsi="宋体"/>
          <w:b/>
          <w:spacing w:val="20"/>
          <w:highlight w:val="none"/>
        </w:rPr>
      </w:pPr>
      <w:r>
        <w:rPr>
          <w:rFonts w:hint="eastAsia" w:ascii="宋体" w:hAnsi="宋体"/>
          <w:b/>
          <w:spacing w:val="20"/>
          <w:highlight w:val="none"/>
        </w:rPr>
        <w:t>类似项目</w:t>
      </w:r>
      <w:r>
        <w:rPr>
          <w:rFonts w:ascii="宋体" w:hAnsi="宋体"/>
          <w:b/>
          <w:spacing w:val="20"/>
          <w:highlight w:val="none"/>
        </w:rPr>
        <w:t>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序号</w:t>
            </w:r>
          </w:p>
        </w:tc>
        <w:tc>
          <w:tcPr>
            <w:tcW w:w="1092"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项目名称</w:t>
            </w:r>
          </w:p>
        </w:tc>
        <w:tc>
          <w:tcPr>
            <w:tcW w:w="178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合同内容（简述）</w:t>
            </w:r>
          </w:p>
        </w:tc>
        <w:tc>
          <w:tcPr>
            <w:tcW w:w="992"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合同</w:t>
            </w:r>
            <w:r>
              <w:rPr>
                <w:rFonts w:ascii="宋体" w:hAnsi="宋体"/>
                <w:highlight w:val="none"/>
              </w:rPr>
              <w:br w:type="textWrapping"/>
            </w:r>
            <w:r>
              <w:rPr>
                <w:rFonts w:hint="eastAsia" w:ascii="宋体" w:hAnsi="宋体"/>
                <w:highlight w:val="none"/>
              </w:rPr>
              <w:t>金额</w:t>
            </w:r>
          </w:p>
        </w:tc>
        <w:tc>
          <w:tcPr>
            <w:tcW w:w="993"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签订</w:t>
            </w:r>
            <w:r>
              <w:rPr>
                <w:rFonts w:ascii="宋体" w:hAnsi="宋体"/>
                <w:highlight w:val="none"/>
              </w:rPr>
              <w:br w:type="textWrapping"/>
            </w:r>
            <w:r>
              <w:rPr>
                <w:rFonts w:hint="eastAsia" w:ascii="宋体" w:hAnsi="宋体"/>
                <w:highlight w:val="none"/>
              </w:rPr>
              <w:t>时间</w:t>
            </w:r>
          </w:p>
        </w:tc>
        <w:tc>
          <w:tcPr>
            <w:tcW w:w="1388"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供货、</w:t>
            </w:r>
            <w:r>
              <w:rPr>
                <w:rFonts w:hint="eastAsia"/>
                <w:highlight w:val="none"/>
              </w:rPr>
              <w:t>工期或服务</w:t>
            </w:r>
            <w:r>
              <w:rPr>
                <w:rFonts w:hint="eastAsia" w:ascii="宋体" w:hAnsi="宋体"/>
                <w:highlight w:val="none"/>
              </w:rPr>
              <w:t>时间</w:t>
            </w:r>
          </w:p>
        </w:tc>
        <w:tc>
          <w:tcPr>
            <w:tcW w:w="1044"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业主单位</w:t>
            </w:r>
          </w:p>
        </w:tc>
        <w:tc>
          <w:tcPr>
            <w:tcW w:w="1043"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highlight w:val="none"/>
              </w:rPr>
            </w:pPr>
          </w:p>
        </w:tc>
        <w:tc>
          <w:tcPr>
            <w:tcW w:w="1092" w:type="dxa"/>
          </w:tcPr>
          <w:p>
            <w:pPr>
              <w:ind w:left="0" w:firstLine="0"/>
              <w:rPr>
                <w:rFonts w:ascii="宋体" w:hAnsi="宋体"/>
                <w:highlight w:val="none"/>
              </w:rPr>
            </w:pPr>
          </w:p>
        </w:tc>
        <w:tc>
          <w:tcPr>
            <w:tcW w:w="1789" w:type="dxa"/>
          </w:tcPr>
          <w:p>
            <w:pPr>
              <w:ind w:left="0" w:firstLine="0"/>
              <w:rPr>
                <w:rFonts w:ascii="宋体" w:hAnsi="宋体"/>
                <w:highlight w:val="none"/>
              </w:rPr>
            </w:pPr>
          </w:p>
        </w:tc>
        <w:tc>
          <w:tcPr>
            <w:tcW w:w="992" w:type="dxa"/>
          </w:tcPr>
          <w:p>
            <w:pPr>
              <w:ind w:left="0" w:firstLine="0"/>
              <w:rPr>
                <w:rFonts w:ascii="宋体" w:hAnsi="宋体"/>
                <w:highlight w:val="none"/>
              </w:rPr>
            </w:pPr>
          </w:p>
        </w:tc>
        <w:tc>
          <w:tcPr>
            <w:tcW w:w="993" w:type="dxa"/>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tcPr>
          <w:p>
            <w:pPr>
              <w:ind w:left="0" w:firstLine="0"/>
              <w:rPr>
                <w:rFonts w:ascii="宋体" w:hAnsi="宋体"/>
                <w:highlight w:val="none"/>
              </w:rPr>
            </w:pPr>
          </w:p>
        </w:tc>
        <w:tc>
          <w:tcPr>
            <w:tcW w:w="1043" w:type="dxa"/>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bl>
    <w:p>
      <w:pPr>
        <w:spacing w:before="0"/>
        <w:ind w:left="567" w:right="-57" w:hanging="567"/>
        <w:jc w:val="left"/>
        <w:rPr>
          <w:rFonts w:ascii="宋体" w:hAnsi="宋体"/>
          <w:highlight w:val="none"/>
        </w:rPr>
      </w:pPr>
    </w:p>
    <w:p>
      <w:pPr>
        <w:spacing w:before="0" w:after="0" w:afterAutospacing="0"/>
        <w:ind w:left="0" w:right="0" w:firstLine="420" w:firstLineChars="200"/>
        <w:rPr>
          <w:rFonts w:ascii="宋体" w:hAnsi="宋体"/>
          <w:highlight w:val="none"/>
        </w:rPr>
      </w:pPr>
      <w:r>
        <w:rPr>
          <w:rFonts w:ascii="宋体" w:hAnsi="宋体"/>
          <w:highlight w:val="none"/>
        </w:rPr>
        <w:t>注：1.</w:t>
      </w:r>
      <w:r>
        <w:rPr>
          <w:rFonts w:hint="eastAsia" w:ascii="宋体" w:hAnsi="宋体"/>
          <w:highlight w:val="none"/>
        </w:rPr>
        <w:t>类似项目业绩：5个及以上自2019年1月1日至比选申请截止时间内完成过或正在实施的</w:t>
      </w:r>
      <w:r>
        <w:rPr>
          <w:rFonts w:hint="eastAsia" w:ascii="宋体" w:hAnsi="宋体"/>
          <w:highlight w:val="none"/>
          <w:lang w:val="en-US" w:eastAsia="zh-CN"/>
        </w:rPr>
        <w:t>单向</w:t>
      </w:r>
      <w:r>
        <w:rPr>
          <w:rFonts w:hint="eastAsia" w:ascii="宋体" w:hAnsi="宋体"/>
          <w:highlight w:val="none"/>
        </w:rPr>
        <w:t>合同金额大于</w:t>
      </w:r>
      <w:r>
        <w:rPr>
          <w:rFonts w:ascii="宋体" w:hAnsi="宋体"/>
          <w:highlight w:val="none"/>
        </w:rPr>
        <w:t>60</w:t>
      </w:r>
      <w:r>
        <w:rPr>
          <w:rFonts w:hint="eastAsia" w:ascii="宋体" w:hAnsi="宋体"/>
          <w:highlight w:val="none"/>
        </w:rPr>
        <w:t>万的房地产楼盘项目质量安全评估业绩。</w:t>
      </w:r>
    </w:p>
    <w:p>
      <w:pPr>
        <w:spacing w:before="0" w:after="0" w:afterAutospacing="0"/>
        <w:ind w:left="0" w:right="0" w:firstLine="0"/>
        <w:rPr>
          <w:rFonts w:ascii="宋体" w:hAnsi="宋体"/>
          <w:highlight w:val="none"/>
        </w:rPr>
      </w:pPr>
      <w:r>
        <w:rPr>
          <w:rFonts w:ascii="宋体" w:hAnsi="宋体"/>
          <w:highlight w:val="none"/>
        </w:rPr>
        <w:t>2.</w:t>
      </w:r>
      <w:r>
        <w:rPr>
          <w:rFonts w:hint="eastAsia" w:ascii="宋体" w:hAnsi="宋体"/>
          <w:highlight w:val="none"/>
        </w:rPr>
        <w:t>项目按照时间顺序排列，时间以合同签订时间为准。</w:t>
      </w:r>
    </w:p>
    <w:p>
      <w:pPr>
        <w:spacing w:before="0" w:after="0" w:afterAutospacing="0"/>
        <w:ind w:left="0" w:right="0" w:firstLine="0"/>
        <w:rPr>
          <w:rFonts w:ascii="宋体" w:hAnsi="宋体"/>
          <w:highlight w:val="none"/>
        </w:rPr>
      </w:pPr>
      <w:r>
        <w:rPr>
          <w:rFonts w:ascii="宋体" w:hAnsi="宋体"/>
          <w:highlight w:val="none"/>
        </w:rPr>
        <w:t>3.</w:t>
      </w:r>
      <w:r>
        <w:rPr>
          <w:rFonts w:hint="eastAsia" w:ascii="宋体" w:hAnsi="宋体"/>
          <w:highlight w:val="none"/>
        </w:rPr>
        <w:t>比选申请人须提供相应的业绩证明材料：提供下述材料之一即可：①合同文件；②中标通知书。</w:t>
      </w:r>
    </w:p>
    <w:p>
      <w:pPr>
        <w:spacing w:before="0" w:after="0" w:afterAutospacing="0"/>
        <w:ind w:left="0" w:right="0" w:firstLine="0"/>
        <w:rPr>
          <w:rFonts w:ascii="宋体" w:hAnsi="宋体"/>
          <w:highlight w:val="none"/>
        </w:rPr>
      </w:pPr>
      <w:r>
        <w:rPr>
          <w:rFonts w:hint="eastAsia" w:ascii="宋体" w:hAnsi="宋体"/>
          <w:highlight w:val="none"/>
        </w:rPr>
        <w:t>所提供的材料须能明确反映类似项目特征，</w:t>
      </w:r>
      <w:r>
        <w:rPr>
          <w:rFonts w:ascii="宋体" w:hAnsi="宋体"/>
          <w:highlight w:val="none"/>
        </w:rPr>
        <w:t>复印件加盖比选申请人公章</w:t>
      </w:r>
      <w:r>
        <w:rPr>
          <w:rFonts w:hint="eastAsia" w:ascii="宋体" w:hAnsi="宋体"/>
          <w:highlight w:val="none"/>
        </w:rPr>
        <w:t>。</w:t>
      </w:r>
    </w:p>
    <w:p>
      <w:pPr>
        <w:snapToGrid w:val="0"/>
        <w:spacing w:after="50" w:line="280" w:lineRule="exact"/>
        <w:ind w:left="955" w:right="-817" w:firstLine="2520" w:firstLineChars="1200"/>
        <w:rPr>
          <w:rFonts w:ascii="宋体" w:hAnsi="宋体"/>
          <w:highlight w:val="none"/>
        </w:rPr>
      </w:pPr>
    </w:p>
    <w:p>
      <w:pPr>
        <w:snapToGrid w:val="0"/>
        <w:spacing w:after="50" w:line="280" w:lineRule="exact"/>
        <w:ind w:left="955" w:right="-817" w:firstLine="2520" w:firstLineChars="1200"/>
        <w:rPr>
          <w:rFonts w:ascii="宋体" w:hAnsi="宋体"/>
          <w:highlight w:val="none"/>
          <w:u w:val="single"/>
        </w:rPr>
      </w:pPr>
      <w:r>
        <w:rPr>
          <w:rFonts w:hint="eastAsia" w:ascii="宋体" w:hAnsi="宋体"/>
          <w:highlight w:val="none"/>
        </w:rPr>
        <w:t>比选申请人名称（盖章）：</w:t>
      </w:r>
    </w:p>
    <w:p>
      <w:pPr>
        <w:snapToGrid w:val="0"/>
        <w:spacing w:after="50" w:line="280" w:lineRule="exact"/>
        <w:ind w:right="-817" w:firstLine="2625" w:firstLineChars="1250"/>
        <w:rPr>
          <w:rFonts w:ascii="宋体" w:hAnsi="宋体"/>
          <w:highlight w:val="none"/>
          <w:u w:val="single"/>
        </w:rPr>
      </w:pPr>
      <w:r>
        <w:rPr>
          <w:rFonts w:hint="eastAsia" w:ascii="宋体" w:hAnsi="宋体"/>
          <w:highlight w:val="none"/>
        </w:rPr>
        <w:t xml:space="preserve"> 法定代表人或被授权人（签字）：</w:t>
      </w:r>
    </w:p>
    <w:p>
      <w:pPr>
        <w:ind w:left="710" w:leftChars="338" w:right="-57" w:firstLine="3234" w:firstLineChars="1540"/>
        <w:jc w:val="left"/>
        <w:rPr>
          <w:rFonts w:ascii="宋体" w:hAnsi="宋体"/>
          <w:highlight w:val="none"/>
        </w:rPr>
      </w:pPr>
      <w:r>
        <w:rPr>
          <w:rFonts w:hint="eastAsia" w:ascii="宋体" w:hAnsi="宋体"/>
          <w:highlight w:val="none"/>
        </w:rPr>
        <w:t>日  期：年月日</w:t>
      </w:r>
    </w:p>
    <w:p>
      <w:pPr>
        <w:pStyle w:val="4"/>
        <w:pageBreakBefore/>
        <w:spacing w:after="100"/>
        <w:ind w:left="0" w:right="-57" w:firstLine="0"/>
        <w:jc w:val="center"/>
        <w:rPr>
          <w:rFonts w:ascii="宋体" w:hAnsi="宋体"/>
          <w:sz w:val="24"/>
          <w:szCs w:val="24"/>
          <w:highlight w:val="none"/>
        </w:rPr>
      </w:pPr>
      <w:bookmarkStart w:id="1208" w:name="_Toc8451"/>
      <w:bookmarkStart w:id="1209" w:name="_Toc28662"/>
      <w:bookmarkStart w:id="1210" w:name="_Toc11582"/>
      <w:bookmarkStart w:id="1211" w:name="_Toc13328"/>
      <w:bookmarkStart w:id="1212" w:name="_Toc14988"/>
      <w:bookmarkStart w:id="1213" w:name="_Toc24971"/>
      <w:bookmarkStart w:id="1214" w:name="_Toc12983551"/>
      <w:bookmarkStart w:id="1215" w:name="_Toc8874"/>
      <w:bookmarkStart w:id="1216" w:name="_Toc12677"/>
      <w:bookmarkStart w:id="1217" w:name="_Toc14586"/>
      <w:bookmarkStart w:id="1218" w:name="_Toc12984811"/>
      <w:bookmarkStart w:id="1219" w:name="_Toc414290525"/>
      <w:bookmarkStart w:id="1220" w:name="_Toc492478807"/>
      <w:bookmarkStart w:id="1221" w:name="_Toc10812"/>
      <w:bookmarkStart w:id="1222" w:name="_Toc18876"/>
      <w:bookmarkStart w:id="1223" w:name="_Toc17687"/>
      <w:bookmarkStart w:id="1224" w:name="_Toc29358"/>
      <w:bookmarkStart w:id="1225" w:name="_Toc8914"/>
      <w:bookmarkStart w:id="1226" w:name="_Toc16676"/>
      <w:bookmarkStart w:id="1227" w:name="_Toc23770"/>
      <w:bookmarkStart w:id="1228" w:name="_Toc27820"/>
      <w:bookmarkStart w:id="1229" w:name="_Toc114134667"/>
      <w:r>
        <w:rPr>
          <w:rFonts w:ascii="宋体" w:hAnsi="宋体"/>
          <w:sz w:val="24"/>
          <w:szCs w:val="24"/>
          <w:highlight w:val="none"/>
        </w:rPr>
        <w:t xml:space="preserve">B </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Fonts w:hint="eastAsia" w:ascii="宋体" w:hAnsi="宋体"/>
          <w:sz w:val="24"/>
          <w:szCs w:val="24"/>
          <w:highlight w:val="none"/>
        </w:rPr>
        <w:t>价格文件</w:t>
      </w:r>
      <w:bookmarkEnd w:id="1229"/>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价格文件格式</w:t>
      </w:r>
    </w:p>
    <w:p>
      <w:pPr>
        <w:spacing w:before="0" w:after="0" w:afterAutospacing="0" w:line="276" w:lineRule="auto"/>
        <w:ind w:left="0" w:right="0" w:firstLine="420" w:firstLineChars="200"/>
        <w:rPr>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line="276" w:lineRule="auto"/>
        <w:ind w:left="0" w:right="0" w:firstLine="420" w:firstLineChars="200"/>
        <w:rPr>
          <w:highlight w:val="none"/>
        </w:rPr>
      </w:pPr>
      <w:r>
        <w:rPr>
          <w:rFonts w:hint="eastAsia"/>
          <w:highlight w:val="none"/>
        </w:rPr>
        <w:t>（</w:t>
      </w:r>
      <w:r>
        <w:rPr>
          <w:highlight w:val="none"/>
        </w:rPr>
        <w:t>2</w:t>
      </w:r>
      <w:r>
        <w:rPr>
          <w:rFonts w:hint="eastAsia"/>
          <w:highlight w:val="none"/>
        </w:rPr>
        <w:t>）比选申请函（格式见B2）；</w:t>
      </w:r>
    </w:p>
    <w:p>
      <w:pPr>
        <w:spacing w:before="0" w:after="0" w:afterAutospacing="0"/>
        <w:ind w:left="0" w:right="0" w:firstLine="420" w:firstLineChars="200"/>
        <w:rPr>
          <w:rFonts w:ascii="宋体" w:hAnsi="宋体" w:cs="Arial"/>
          <w:highlight w:val="none"/>
        </w:rPr>
      </w:pPr>
      <w:r>
        <w:rPr>
          <w:rFonts w:hint="eastAsia"/>
          <w:highlight w:val="none"/>
        </w:rPr>
        <w:t>（3）比选申请人认为应提交的其他比选申请资料（如有）。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sz w:val="21"/>
          <w:szCs w:val="21"/>
          <w:highlight w:val="none"/>
        </w:rPr>
      </w:pPr>
      <w:r>
        <w:rPr>
          <w:rFonts w:ascii="宋体" w:hAnsi="宋体" w:eastAsia="宋体"/>
          <w:highlight w:val="none"/>
        </w:rPr>
        <w:br w:type="page"/>
      </w:r>
      <w:bookmarkStart w:id="1230" w:name="_Toc25419"/>
      <w:bookmarkStart w:id="1231" w:name="_Toc7004"/>
      <w:bookmarkStart w:id="1232" w:name="_Toc24487"/>
      <w:bookmarkStart w:id="1233" w:name="_Toc492478808"/>
      <w:bookmarkStart w:id="1234" w:name="_Toc16489"/>
      <w:bookmarkStart w:id="1235" w:name="_Toc9560"/>
      <w:bookmarkStart w:id="1236" w:name="_Toc375564355"/>
      <w:bookmarkStart w:id="1237" w:name="_Toc414290526"/>
      <w:bookmarkStart w:id="1238" w:name="_Toc12951"/>
      <w:bookmarkStart w:id="1239" w:name="_Toc13980"/>
      <w:bookmarkStart w:id="1240" w:name="_Toc23615"/>
      <w:bookmarkStart w:id="1241" w:name="_Toc9861"/>
      <w:bookmarkStart w:id="1242" w:name="_Toc27610"/>
      <w:bookmarkStart w:id="1243" w:name="_Toc12984812"/>
      <w:bookmarkStart w:id="1244" w:name="_Toc25750680"/>
      <w:bookmarkStart w:id="1245" w:name="_Toc18340"/>
      <w:bookmarkStart w:id="1246" w:name="_Toc12983552"/>
      <w:bookmarkStart w:id="1247" w:name="_Toc1158"/>
      <w:bookmarkStart w:id="1248" w:name="_Toc10991"/>
      <w:bookmarkStart w:id="1249" w:name="_Toc18516"/>
      <w:bookmarkStart w:id="1250" w:name="_Toc29688"/>
      <w:bookmarkStart w:id="1251" w:name="_Toc29231"/>
      <w:bookmarkStart w:id="1252" w:name="_Toc6992"/>
      <w:bookmarkStart w:id="1253" w:name="_Toc114134668"/>
      <w:bookmarkStart w:id="1254" w:name="_Toc24326"/>
      <w:r>
        <w:rPr>
          <w:rFonts w:ascii="宋体" w:hAnsi="宋体" w:eastAsia="宋体"/>
          <w:sz w:val="21"/>
          <w:szCs w:val="21"/>
          <w:highlight w:val="none"/>
        </w:rPr>
        <w:t>B1比选申请报价一览表</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snapToGrid w:val="0"/>
        <w:spacing w:after="50"/>
        <w:ind w:right="-57" w:firstLine="0"/>
        <w:jc w:val="center"/>
        <w:rPr>
          <w:rFonts w:ascii="宋体" w:hAnsi="宋体"/>
          <w:b/>
          <w:sz w:val="24"/>
          <w:szCs w:val="24"/>
          <w:highlight w:val="none"/>
        </w:rPr>
      </w:pPr>
      <w:r>
        <w:rPr>
          <w:rFonts w:hint="eastAsia" w:ascii="宋体" w:hAnsi="宋体"/>
          <w:b/>
          <w:sz w:val="24"/>
          <w:szCs w:val="24"/>
          <w:highlight w:val="none"/>
        </w:rPr>
        <w:t>比选申请报价一览表</w:t>
      </w:r>
    </w:p>
    <w:p>
      <w:pPr>
        <w:widowControl w:val="0"/>
        <w:snapToGrid w:val="0"/>
        <w:spacing w:before="0" w:after="0" w:afterAutospacing="0"/>
        <w:ind w:left="0" w:right="-57" w:rightChars="-27" w:firstLine="0"/>
        <w:rPr>
          <w:rFonts w:ascii="宋体" w:hAnsi="宋体"/>
          <w:highlight w:val="none"/>
          <w:u w:val="single"/>
        </w:rPr>
      </w:pPr>
      <w:r>
        <w:rPr>
          <w:rFonts w:hint="eastAsia" w:ascii="宋体" w:hAnsi="宋体"/>
          <w:kern w:val="2"/>
          <w:highlight w:val="none"/>
        </w:rPr>
        <w:t>项目名称：</w:t>
      </w:r>
      <w:r>
        <w:rPr>
          <w:rFonts w:hint="eastAsia" w:ascii="宋体" w:hAnsi="宋体"/>
          <w:highlight w:val="none"/>
          <w:u w:val="single"/>
        </w:rPr>
        <w:t>轨道御水上寓、剧场公寓、南宁市心圩车辆段配套租赁用房（一期）、御水江岸项目第三方工程质量安全评估采购</w:t>
      </w:r>
    </w:p>
    <w:p>
      <w:pPr>
        <w:widowControl w:val="0"/>
        <w:snapToGrid w:val="0"/>
        <w:spacing w:before="0" w:after="0" w:afterAutospacing="0"/>
        <w:ind w:right="-57" w:rightChars="-27"/>
        <w:rPr>
          <w:rFonts w:ascii="宋体" w:hAnsi="宋体"/>
          <w:kern w:val="2"/>
          <w:highlight w:val="none"/>
        </w:rPr>
      </w:pPr>
      <w:r>
        <w:rPr>
          <w:rFonts w:hint="eastAsia" w:ascii="宋体" w:hAnsi="宋体"/>
          <w:kern w:val="2"/>
          <w:highlight w:val="none"/>
        </w:rPr>
        <w:t>比选申请人名称：</w:t>
      </w:r>
    </w:p>
    <w:p>
      <w:pPr>
        <w:widowControl w:val="0"/>
        <w:snapToGrid w:val="0"/>
        <w:spacing w:before="0" w:after="0" w:afterAutospacing="0"/>
        <w:ind w:right="-57" w:rightChars="-27"/>
        <w:jc w:val="left"/>
        <w:rPr>
          <w:rFonts w:ascii="宋体" w:hAnsi="宋体"/>
          <w:kern w:val="2"/>
          <w:highlight w:val="none"/>
        </w:rPr>
      </w:pPr>
      <w:r>
        <w:rPr>
          <w:rFonts w:hint="eastAsia" w:ascii="宋体" w:hAnsi="宋体"/>
          <w:kern w:val="2"/>
          <w:highlight w:val="none"/>
        </w:rPr>
        <w:t>比选申请含税总报价为人民币(大写)（填写）（￥（填写）元），税率（填写） %。</w:t>
      </w:r>
    </w:p>
    <w:tbl>
      <w:tblPr>
        <w:tblStyle w:val="32"/>
        <w:tblW w:w="986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2420"/>
        <w:gridCol w:w="2086"/>
        <w:gridCol w:w="1628"/>
        <w:gridCol w:w="137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58" w:type="dxa"/>
            <w:vAlign w:val="center"/>
          </w:tcPr>
          <w:p>
            <w:pPr>
              <w:pStyle w:val="69"/>
              <w:ind w:left="0" w:firstLine="0"/>
              <w:rPr>
                <w:rFonts w:ascii="宋体" w:hAnsi="宋体" w:cs="宋体"/>
                <w:bCs/>
                <w:sz w:val="21"/>
                <w:szCs w:val="21"/>
                <w:highlight w:val="none"/>
              </w:rPr>
            </w:pPr>
            <w:r>
              <w:rPr>
                <w:rFonts w:ascii="宋体" w:hAnsi="宋体" w:cs="宋体"/>
                <w:bCs/>
                <w:sz w:val="21"/>
                <w:szCs w:val="21"/>
                <w:highlight w:val="none"/>
              </w:rPr>
              <w:t>序</w:t>
            </w:r>
            <w:r>
              <w:rPr>
                <w:rFonts w:hint="eastAsia" w:ascii="宋体" w:hAnsi="宋体" w:cs="宋体"/>
                <w:bCs/>
                <w:sz w:val="21"/>
                <w:szCs w:val="21"/>
                <w:highlight w:val="none"/>
              </w:rPr>
              <w:t>号</w:t>
            </w:r>
          </w:p>
        </w:tc>
        <w:tc>
          <w:tcPr>
            <w:tcW w:w="2420" w:type="dxa"/>
            <w:vAlign w:val="center"/>
          </w:tcPr>
          <w:p>
            <w:pPr>
              <w:pStyle w:val="69"/>
              <w:ind w:left="0" w:firstLine="0"/>
              <w:rPr>
                <w:rFonts w:ascii="宋体" w:hAnsi="宋体" w:cs="宋体"/>
                <w:bCs/>
                <w:sz w:val="21"/>
                <w:szCs w:val="21"/>
                <w:highlight w:val="none"/>
              </w:rPr>
            </w:pPr>
            <w:r>
              <w:rPr>
                <w:rFonts w:hint="eastAsia" w:ascii="宋体" w:hAnsi="宋体" w:cs="宋体"/>
                <w:bCs/>
                <w:sz w:val="21"/>
                <w:szCs w:val="21"/>
                <w:highlight w:val="none"/>
              </w:rPr>
              <w:t>项目名称</w:t>
            </w:r>
          </w:p>
        </w:tc>
        <w:tc>
          <w:tcPr>
            <w:tcW w:w="2086" w:type="dxa"/>
            <w:vAlign w:val="center"/>
          </w:tcPr>
          <w:p>
            <w:pPr>
              <w:pStyle w:val="69"/>
              <w:ind w:left="0" w:firstLine="0"/>
              <w:rPr>
                <w:rFonts w:ascii="宋体" w:hAnsi="宋体" w:cs="宋体"/>
                <w:bCs/>
                <w:sz w:val="21"/>
                <w:szCs w:val="21"/>
                <w:highlight w:val="none"/>
              </w:rPr>
            </w:pPr>
            <w:r>
              <w:rPr>
                <w:rFonts w:ascii="宋体" w:hAnsi="宋体" w:cs="宋体"/>
                <w:bCs/>
                <w:sz w:val="21"/>
                <w:szCs w:val="21"/>
                <w:highlight w:val="none"/>
              </w:rPr>
              <w:t>单标段单次评估费用含税报价</w:t>
            </w:r>
            <w:r>
              <w:rPr>
                <w:rFonts w:hint="eastAsia" w:ascii="宋体" w:hAnsi="宋体" w:cs="宋体"/>
                <w:bCs/>
                <w:sz w:val="21"/>
                <w:szCs w:val="21"/>
                <w:highlight w:val="none"/>
              </w:rPr>
              <w:t>/元</w:t>
            </w:r>
          </w:p>
        </w:tc>
        <w:tc>
          <w:tcPr>
            <w:tcW w:w="1628" w:type="dxa"/>
            <w:vAlign w:val="center"/>
          </w:tcPr>
          <w:p>
            <w:pPr>
              <w:pStyle w:val="69"/>
              <w:ind w:left="0" w:firstLine="0"/>
              <w:jc w:val="both"/>
              <w:rPr>
                <w:rFonts w:ascii="宋体" w:hAnsi="宋体" w:cs="宋体"/>
                <w:bCs/>
                <w:sz w:val="21"/>
                <w:szCs w:val="21"/>
                <w:highlight w:val="none"/>
              </w:rPr>
            </w:pPr>
            <w:r>
              <w:rPr>
                <w:rFonts w:hint="eastAsia" w:ascii="宋体" w:hAnsi="宋体" w:cs="宋体"/>
                <w:bCs/>
                <w:sz w:val="21"/>
                <w:szCs w:val="21"/>
                <w:highlight w:val="none"/>
                <w:lang w:val="en-US" w:eastAsia="zh-CN"/>
              </w:rPr>
              <w:t>标段数量（个）</w:t>
            </w:r>
          </w:p>
        </w:tc>
        <w:tc>
          <w:tcPr>
            <w:tcW w:w="1372" w:type="dxa"/>
            <w:vAlign w:val="center"/>
          </w:tcPr>
          <w:p>
            <w:pPr>
              <w:pStyle w:val="69"/>
              <w:ind w:left="0" w:firstLine="0"/>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暂定评估数/次</w:t>
            </w:r>
          </w:p>
        </w:tc>
        <w:tc>
          <w:tcPr>
            <w:tcW w:w="1600" w:type="dxa"/>
            <w:vAlign w:val="center"/>
          </w:tcPr>
          <w:p>
            <w:pPr>
              <w:pStyle w:val="69"/>
              <w:ind w:left="0" w:firstLine="0"/>
              <w:jc w:val="center"/>
              <w:rPr>
                <w:rFonts w:ascii="宋体" w:hAnsi="宋体" w:cs="宋体"/>
                <w:bCs/>
                <w:sz w:val="21"/>
                <w:szCs w:val="21"/>
                <w:highlight w:val="none"/>
              </w:rPr>
            </w:pPr>
            <w:r>
              <w:rPr>
                <w:rFonts w:ascii="宋体" w:hAnsi="宋体" w:cs="宋体"/>
                <w:bCs/>
                <w:sz w:val="21"/>
                <w:szCs w:val="21"/>
                <w:highlight w:val="none"/>
              </w:rPr>
              <w:t>含税总报价</w:t>
            </w:r>
            <w:r>
              <w:rPr>
                <w:rFonts w:hint="eastAsia" w:ascii="宋体" w:hAnsi="宋体" w:cs="宋体"/>
                <w:bCs/>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58" w:type="dxa"/>
            <w:vAlign w:val="center"/>
          </w:tcPr>
          <w:p>
            <w:pPr>
              <w:pStyle w:val="69"/>
              <w:ind w:left="0" w:firstLine="0"/>
              <w:jc w:val="center"/>
              <w:rPr>
                <w:rFonts w:ascii="宋体" w:hAnsi="宋体" w:cs="宋体"/>
                <w:bCs/>
                <w:sz w:val="21"/>
                <w:szCs w:val="21"/>
                <w:highlight w:val="none"/>
              </w:rPr>
            </w:pPr>
            <w:r>
              <w:rPr>
                <w:rFonts w:hint="eastAsia" w:ascii="宋体" w:hAnsi="宋体" w:cs="宋体"/>
                <w:bCs/>
                <w:sz w:val="21"/>
                <w:szCs w:val="21"/>
                <w:highlight w:val="none"/>
              </w:rPr>
              <w:t>1</w:t>
            </w:r>
          </w:p>
        </w:tc>
        <w:tc>
          <w:tcPr>
            <w:tcW w:w="2420" w:type="dxa"/>
            <w:vAlign w:val="center"/>
          </w:tcPr>
          <w:p>
            <w:pPr>
              <w:pStyle w:val="69"/>
              <w:ind w:left="0" w:firstLine="0"/>
              <w:rPr>
                <w:rFonts w:ascii="宋体" w:hAnsi="宋体" w:cs="宋体"/>
                <w:bCs/>
                <w:sz w:val="21"/>
                <w:szCs w:val="21"/>
                <w:highlight w:val="none"/>
              </w:rPr>
            </w:pPr>
            <w:r>
              <w:rPr>
                <w:rFonts w:hint="eastAsia" w:ascii="宋体" w:hAnsi="宋体" w:cs="宋体"/>
                <w:bCs/>
                <w:sz w:val="21"/>
                <w:szCs w:val="21"/>
                <w:highlight w:val="none"/>
              </w:rPr>
              <w:t>轨道御水上寓</w:t>
            </w:r>
          </w:p>
        </w:tc>
        <w:tc>
          <w:tcPr>
            <w:tcW w:w="2086" w:type="dxa"/>
            <w:vAlign w:val="center"/>
          </w:tcPr>
          <w:p>
            <w:pPr>
              <w:pStyle w:val="69"/>
              <w:ind w:left="420" w:firstLine="480"/>
              <w:jc w:val="center"/>
              <w:rPr>
                <w:highlight w:val="none"/>
              </w:rPr>
            </w:pPr>
          </w:p>
        </w:tc>
        <w:tc>
          <w:tcPr>
            <w:tcW w:w="1628" w:type="dxa"/>
            <w:vAlign w:val="center"/>
          </w:tcPr>
          <w:p>
            <w:pPr>
              <w:pStyle w:val="69"/>
              <w:ind w:left="420" w:firstLine="480"/>
              <w:jc w:val="both"/>
              <w:rPr>
                <w:rFonts w:hint="eastAsia" w:eastAsia="宋体"/>
                <w:highlight w:val="none"/>
                <w:lang w:val="en-US" w:eastAsia="zh-CN"/>
              </w:rPr>
            </w:pPr>
            <w:r>
              <w:rPr>
                <w:rFonts w:hint="eastAsia"/>
                <w:highlight w:val="none"/>
                <w:lang w:val="en-US" w:eastAsia="zh-CN"/>
              </w:rPr>
              <w:t>1</w:t>
            </w:r>
          </w:p>
        </w:tc>
        <w:tc>
          <w:tcPr>
            <w:tcW w:w="1372" w:type="dxa"/>
            <w:vAlign w:val="center"/>
          </w:tcPr>
          <w:p>
            <w:pPr>
              <w:pStyle w:val="69"/>
              <w:ind w:left="420" w:firstLine="480"/>
              <w:jc w:val="both"/>
              <w:rPr>
                <w:rFonts w:hint="default" w:eastAsia="宋体"/>
                <w:highlight w:val="none"/>
                <w:lang w:val="en-US" w:eastAsia="zh-CN"/>
              </w:rPr>
            </w:pPr>
            <w:r>
              <w:rPr>
                <w:rFonts w:hint="eastAsia"/>
                <w:highlight w:val="none"/>
                <w:lang w:val="en-US" w:eastAsia="zh-CN"/>
              </w:rPr>
              <w:t>20</w:t>
            </w:r>
          </w:p>
        </w:tc>
        <w:tc>
          <w:tcPr>
            <w:tcW w:w="1600" w:type="dxa"/>
            <w:vAlign w:val="center"/>
          </w:tcPr>
          <w:p>
            <w:pPr>
              <w:pStyle w:val="69"/>
              <w:ind w:left="420" w:firstLine="48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58" w:type="dxa"/>
            <w:vAlign w:val="center"/>
          </w:tcPr>
          <w:p>
            <w:pPr>
              <w:pStyle w:val="69"/>
              <w:ind w:left="0" w:firstLine="0"/>
              <w:jc w:val="center"/>
              <w:rPr>
                <w:rFonts w:ascii="宋体" w:hAnsi="宋体" w:cs="宋体"/>
                <w:bCs/>
                <w:sz w:val="21"/>
                <w:szCs w:val="21"/>
                <w:highlight w:val="none"/>
              </w:rPr>
            </w:pPr>
            <w:r>
              <w:rPr>
                <w:rFonts w:hint="eastAsia" w:ascii="宋体" w:hAnsi="宋体" w:cs="宋体"/>
                <w:bCs/>
                <w:sz w:val="21"/>
                <w:szCs w:val="21"/>
                <w:highlight w:val="none"/>
              </w:rPr>
              <w:t>2</w:t>
            </w:r>
          </w:p>
        </w:tc>
        <w:tc>
          <w:tcPr>
            <w:tcW w:w="2420" w:type="dxa"/>
            <w:vAlign w:val="center"/>
          </w:tcPr>
          <w:p>
            <w:pPr>
              <w:pStyle w:val="69"/>
              <w:ind w:left="0" w:firstLine="0"/>
              <w:rPr>
                <w:rFonts w:ascii="宋体" w:hAnsi="宋体" w:cs="宋体"/>
                <w:bCs/>
                <w:sz w:val="21"/>
                <w:szCs w:val="21"/>
                <w:highlight w:val="none"/>
              </w:rPr>
            </w:pPr>
            <w:r>
              <w:rPr>
                <w:rFonts w:hint="eastAsia" w:ascii="宋体" w:hAnsi="宋体" w:cs="宋体"/>
                <w:bCs/>
                <w:sz w:val="21"/>
                <w:szCs w:val="21"/>
                <w:highlight w:val="none"/>
              </w:rPr>
              <w:t>剧场公寓</w:t>
            </w:r>
          </w:p>
        </w:tc>
        <w:tc>
          <w:tcPr>
            <w:tcW w:w="2086" w:type="dxa"/>
            <w:vAlign w:val="center"/>
          </w:tcPr>
          <w:p>
            <w:pPr>
              <w:pStyle w:val="69"/>
              <w:ind w:left="420" w:firstLine="480"/>
              <w:jc w:val="center"/>
              <w:rPr>
                <w:highlight w:val="none"/>
              </w:rPr>
            </w:pPr>
          </w:p>
        </w:tc>
        <w:tc>
          <w:tcPr>
            <w:tcW w:w="1628" w:type="dxa"/>
            <w:vAlign w:val="center"/>
          </w:tcPr>
          <w:p>
            <w:pPr>
              <w:pStyle w:val="69"/>
              <w:ind w:left="420" w:firstLine="480"/>
              <w:jc w:val="both"/>
              <w:rPr>
                <w:rFonts w:hint="eastAsia" w:eastAsia="宋体"/>
                <w:highlight w:val="none"/>
                <w:lang w:val="en-US" w:eastAsia="zh-CN"/>
              </w:rPr>
            </w:pPr>
            <w:r>
              <w:rPr>
                <w:rFonts w:hint="eastAsia"/>
                <w:highlight w:val="none"/>
                <w:lang w:val="en-US" w:eastAsia="zh-CN"/>
              </w:rPr>
              <w:t>1</w:t>
            </w:r>
          </w:p>
        </w:tc>
        <w:tc>
          <w:tcPr>
            <w:tcW w:w="1372" w:type="dxa"/>
            <w:vAlign w:val="center"/>
          </w:tcPr>
          <w:p>
            <w:pPr>
              <w:pStyle w:val="69"/>
              <w:ind w:left="420" w:firstLine="480"/>
              <w:jc w:val="both"/>
              <w:rPr>
                <w:rFonts w:hint="default" w:eastAsia="宋体"/>
                <w:highlight w:val="none"/>
                <w:lang w:val="en-US" w:eastAsia="zh-CN"/>
              </w:rPr>
            </w:pPr>
            <w:r>
              <w:rPr>
                <w:rFonts w:hint="eastAsia"/>
                <w:highlight w:val="none"/>
                <w:lang w:val="en-US" w:eastAsia="zh-CN"/>
              </w:rPr>
              <w:t>20</w:t>
            </w:r>
          </w:p>
        </w:tc>
        <w:tc>
          <w:tcPr>
            <w:tcW w:w="1600" w:type="dxa"/>
            <w:vAlign w:val="center"/>
          </w:tcPr>
          <w:p>
            <w:pPr>
              <w:pStyle w:val="69"/>
              <w:ind w:left="420" w:firstLine="48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58" w:type="dxa"/>
            <w:vAlign w:val="center"/>
          </w:tcPr>
          <w:p>
            <w:pPr>
              <w:pStyle w:val="69"/>
              <w:ind w:left="0" w:firstLine="0"/>
              <w:jc w:val="center"/>
              <w:rPr>
                <w:rFonts w:ascii="宋体" w:hAnsi="宋体" w:cs="宋体"/>
                <w:bCs/>
                <w:sz w:val="21"/>
                <w:szCs w:val="21"/>
                <w:highlight w:val="none"/>
              </w:rPr>
            </w:pPr>
            <w:r>
              <w:rPr>
                <w:rFonts w:hint="eastAsia" w:ascii="宋体" w:hAnsi="宋体" w:cs="宋体"/>
                <w:bCs/>
                <w:sz w:val="21"/>
                <w:szCs w:val="21"/>
                <w:highlight w:val="none"/>
              </w:rPr>
              <w:t>3</w:t>
            </w:r>
          </w:p>
        </w:tc>
        <w:tc>
          <w:tcPr>
            <w:tcW w:w="2420" w:type="dxa"/>
            <w:vAlign w:val="center"/>
          </w:tcPr>
          <w:p>
            <w:pPr>
              <w:pStyle w:val="69"/>
              <w:jc w:val="left"/>
              <w:rPr>
                <w:rFonts w:ascii="宋体" w:hAnsi="宋体" w:cs="宋体"/>
                <w:bCs/>
                <w:sz w:val="21"/>
                <w:szCs w:val="21"/>
                <w:highlight w:val="none"/>
              </w:rPr>
            </w:pPr>
            <w:r>
              <w:rPr>
                <w:rFonts w:hint="eastAsia" w:ascii="宋体" w:hAnsi="宋体" w:cs="宋体"/>
                <w:bCs/>
                <w:sz w:val="21"/>
                <w:szCs w:val="21"/>
                <w:highlight w:val="none"/>
                <w:lang w:val="en-US" w:eastAsia="zh-CN"/>
              </w:rPr>
              <w:t>南宁心圩车辆段配套租赁用房（一期）</w:t>
            </w:r>
          </w:p>
        </w:tc>
        <w:tc>
          <w:tcPr>
            <w:tcW w:w="2086" w:type="dxa"/>
            <w:vAlign w:val="center"/>
          </w:tcPr>
          <w:p>
            <w:pPr>
              <w:pStyle w:val="69"/>
              <w:ind w:left="420" w:firstLine="480"/>
              <w:jc w:val="center"/>
              <w:rPr>
                <w:highlight w:val="none"/>
              </w:rPr>
            </w:pPr>
          </w:p>
        </w:tc>
        <w:tc>
          <w:tcPr>
            <w:tcW w:w="1628" w:type="dxa"/>
            <w:vAlign w:val="center"/>
          </w:tcPr>
          <w:p>
            <w:pPr>
              <w:pStyle w:val="69"/>
              <w:ind w:left="420" w:firstLine="480"/>
              <w:jc w:val="both"/>
              <w:rPr>
                <w:rFonts w:hint="eastAsia" w:eastAsia="宋体"/>
                <w:highlight w:val="none"/>
                <w:lang w:val="en-US" w:eastAsia="zh-CN"/>
              </w:rPr>
            </w:pPr>
            <w:r>
              <w:rPr>
                <w:rFonts w:hint="eastAsia"/>
                <w:highlight w:val="none"/>
                <w:lang w:val="en-US" w:eastAsia="zh-CN"/>
              </w:rPr>
              <w:t>1</w:t>
            </w:r>
          </w:p>
        </w:tc>
        <w:tc>
          <w:tcPr>
            <w:tcW w:w="1372" w:type="dxa"/>
            <w:vAlign w:val="center"/>
          </w:tcPr>
          <w:p>
            <w:pPr>
              <w:pStyle w:val="69"/>
              <w:ind w:left="420" w:firstLine="480"/>
              <w:jc w:val="both"/>
              <w:rPr>
                <w:rFonts w:hint="default" w:eastAsia="宋体"/>
                <w:highlight w:val="none"/>
                <w:lang w:val="en-US" w:eastAsia="zh-CN"/>
              </w:rPr>
            </w:pPr>
            <w:r>
              <w:rPr>
                <w:rFonts w:hint="eastAsia"/>
                <w:highlight w:val="none"/>
                <w:lang w:val="en-US" w:eastAsia="zh-CN"/>
              </w:rPr>
              <w:t>20</w:t>
            </w:r>
          </w:p>
        </w:tc>
        <w:tc>
          <w:tcPr>
            <w:tcW w:w="1600" w:type="dxa"/>
            <w:vAlign w:val="center"/>
          </w:tcPr>
          <w:p>
            <w:pPr>
              <w:pStyle w:val="69"/>
              <w:ind w:left="420" w:firstLine="48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58" w:type="dxa"/>
            <w:vAlign w:val="center"/>
          </w:tcPr>
          <w:p>
            <w:pPr>
              <w:pStyle w:val="69"/>
              <w:ind w:left="0" w:firstLine="0"/>
              <w:jc w:val="center"/>
              <w:rPr>
                <w:rFonts w:ascii="宋体" w:hAnsi="宋体" w:cs="宋体"/>
                <w:bCs/>
                <w:sz w:val="21"/>
                <w:szCs w:val="21"/>
                <w:highlight w:val="none"/>
              </w:rPr>
            </w:pPr>
            <w:r>
              <w:rPr>
                <w:rFonts w:hint="eastAsia" w:ascii="宋体" w:hAnsi="宋体" w:cs="宋体"/>
                <w:bCs/>
                <w:sz w:val="21"/>
                <w:szCs w:val="21"/>
                <w:highlight w:val="none"/>
              </w:rPr>
              <w:t>4</w:t>
            </w:r>
          </w:p>
        </w:tc>
        <w:tc>
          <w:tcPr>
            <w:tcW w:w="2420" w:type="dxa"/>
            <w:vAlign w:val="center"/>
          </w:tcPr>
          <w:p>
            <w:pPr>
              <w:pStyle w:val="69"/>
              <w:ind w:left="0" w:firstLine="0"/>
              <w:rPr>
                <w:rFonts w:ascii="宋体" w:hAnsi="宋体" w:cs="宋体"/>
                <w:bCs/>
                <w:sz w:val="21"/>
                <w:szCs w:val="21"/>
                <w:highlight w:val="none"/>
              </w:rPr>
            </w:pPr>
            <w:r>
              <w:rPr>
                <w:rFonts w:hint="eastAsia" w:ascii="宋体" w:hAnsi="宋体" w:cs="宋体"/>
                <w:bCs/>
                <w:sz w:val="21"/>
                <w:szCs w:val="21"/>
                <w:highlight w:val="none"/>
              </w:rPr>
              <w:t>御水江岸项目</w:t>
            </w:r>
          </w:p>
        </w:tc>
        <w:tc>
          <w:tcPr>
            <w:tcW w:w="2086" w:type="dxa"/>
            <w:vAlign w:val="center"/>
          </w:tcPr>
          <w:p>
            <w:pPr>
              <w:pStyle w:val="69"/>
              <w:ind w:left="420" w:firstLine="480"/>
              <w:jc w:val="center"/>
              <w:rPr>
                <w:highlight w:val="none"/>
              </w:rPr>
            </w:pPr>
          </w:p>
        </w:tc>
        <w:tc>
          <w:tcPr>
            <w:tcW w:w="1628" w:type="dxa"/>
            <w:vAlign w:val="center"/>
          </w:tcPr>
          <w:p>
            <w:pPr>
              <w:pStyle w:val="69"/>
              <w:ind w:left="420" w:firstLine="480"/>
              <w:jc w:val="both"/>
              <w:rPr>
                <w:rFonts w:hint="eastAsia" w:eastAsia="宋体"/>
                <w:highlight w:val="none"/>
                <w:lang w:val="en-US" w:eastAsia="zh-CN"/>
              </w:rPr>
            </w:pPr>
            <w:r>
              <w:rPr>
                <w:rFonts w:hint="eastAsia"/>
                <w:highlight w:val="none"/>
                <w:lang w:val="en-US" w:eastAsia="zh-CN"/>
              </w:rPr>
              <w:t>2</w:t>
            </w:r>
          </w:p>
        </w:tc>
        <w:tc>
          <w:tcPr>
            <w:tcW w:w="1372" w:type="dxa"/>
            <w:vAlign w:val="center"/>
          </w:tcPr>
          <w:p>
            <w:pPr>
              <w:pStyle w:val="69"/>
              <w:ind w:left="420" w:firstLine="480"/>
              <w:jc w:val="both"/>
              <w:rPr>
                <w:rFonts w:hint="default" w:eastAsia="宋体"/>
                <w:highlight w:val="none"/>
                <w:lang w:val="en-US" w:eastAsia="zh-CN"/>
              </w:rPr>
            </w:pPr>
            <w:r>
              <w:rPr>
                <w:rFonts w:hint="eastAsia"/>
                <w:highlight w:val="none"/>
                <w:lang w:val="en-US" w:eastAsia="zh-CN"/>
              </w:rPr>
              <w:t>20</w:t>
            </w:r>
          </w:p>
        </w:tc>
        <w:tc>
          <w:tcPr>
            <w:tcW w:w="1600" w:type="dxa"/>
            <w:vAlign w:val="center"/>
          </w:tcPr>
          <w:p>
            <w:pPr>
              <w:pStyle w:val="69"/>
              <w:ind w:left="420" w:firstLine="48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58" w:type="dxa"/>
            <w:vAlign w:val="center"/>
          </w:tcPr>
          <w:p>
            <w:pPr>
              <w:pStyle w:val="69"/>
              <w:ind w:left="420" w:firstLine="420"/>
              <w:jc w:val="center"/>
              <w:rPr>
                <w:rFonts w:ascii="宋体" w:hAnsi="宋体" w:cs="宋体"/>
                <w:bCs/>
                <w:sz w:val="21"/>
                <w:szCs w:val="21"/>
                <w:highlight w:val="none"/>
              </w:rPr>
            </w:pPr>
          </w:p>
        </w:tc>
        <w:tc>
          <w:tcPr>
            <w:tcW w:w="2420" w:type="dxa"/>
            <w:vAlign w:val="center"/>
          </w:tcPr>
          <w:p>
            <w:pPr>
              <w:pStyle w:val="69"/>
              <w:ind w:left="0" w:firstLine="0"/>
              <w:rPr>
                <w:rFonts w:ascii="宋体" w:hAnsi="宋体" w:cs="宋体"/>
                <w:bCs/>
                <w:sz w:val="21"/>
                <w:szCs w:val="21"/>
                <w:highlight w:val="none"/>
              </w:rPr>
            </w:pPr>
            <w:r>
              <w:rPr>
                <w:rFonts w:hint="eastAsia" w:ascii="宋体" w:hAnsi="宋体" w:cs="宋体"/>
                <w:bCs/>
                <w:sz w:val="21"/>
                <w:szCs w:val="21"/>
                <w:highlight w:val="none"/>
              </w:rPr>
              <w:t>合计</w:t>
            </w:r>
          </w:p>
        </w:tc>
        <w:tc>
          <w:tcPr>
            <w:tcW w:w="2086" w:type="dxa"/>
            <w:vAlign w:val="center"/>
          </w:tcPr>
          <w:p>
            <w:pPr>
              <w:pStyle w:val="69"/>
              <w:ind w:left="420" w:firstLine="480"/>
              <w:jc w:val="center"/>
              <w:rPr>
                <w:highlight w:val="none"/>
              </w:rPr>
            </w:pPr>
            <w:r>
              <w:rPr>
                <w:rFonts w:hint="eastAsia"/>
                <w:highlight w:val="none"/>
              </w:rPr>
              <w:t>/</w:t>
            </w:r>
          </w:p>
        </w:tc>
        <w:tc>
          <w:tcPr>
            <w:tcW w:w="1628" w:type="dxa"/>
            <w:vAlign w:val="center"/>
          </w:tcPr>
          <w:p>
            <w:pPr>
              <w:pStyle w:val="69"/>
              <w:ind w:left="420" w:firstLine="480"/>
              <w:jc w:val="both"/>
              <w:rPr>
                <w:highlight w:val="none"/>
              </w:rPr>
            </w:pPr>
          </w:p>
        </w:tc>
        <w:tc>
          <w:tcPr>
            <w:tcW w:w="1372" w:type="dxa"/>
            <w:vAlign w:val="center"/>
          </w:tcPr>
          <w:p>
            <w:pPr>
              <w:pStyle w:val="69"/>
              <w:ind w:left="420" w:firstLine="480"/>
              <w:jc w:val="center"/>
              <w:rPr>
                <w:highlight w:val="none"/>
              </w:rPr>
            </w:pPr>
          </w:p>
        </w:tc>
        <w:tc>
          <w:tcPr>
            <w:tcW w:w="1600" w:type="dxa"/>
            <w:vAlign w:val="center"/>
          </w:tcPr>
          <w:p>
            <w:pPr>
              <w:pStyle w:val="69"/>
              <w:ind w:left="420" w:firstLine="480"/>
              <w:jc w:val="center"/>
              <w:rPr>
                <w:highlight w:val="none"/>
              </w:rPr>
            </w:pPr>
          </w:p>
        </w:tc>
      </w:tr>
    </w:tbl>
    <w:p>
      <w:pPr>
        <w:pStyle w:val="2"/>
        <w:ind w:firstLine="480"/>
        <w:rPr>
          <w:rFonts w:eastAsiaTheme="minorEastAsia"/>
          <w:highlight w:val="none"/>
        </w:rPr>
      </w:pPr>
    </w:p>
    <w:p>
      <w:pPr>
        <w:pStyle w:val="15"/>
        <w:rPr>
          <w:rFonts w:hAnsi="宋体"/>
          <w:highlight w:val="none"/>
        </w:rPr>
      </w:pPr>
    </w:p>
    <w:p>
      <w:pPr>
        <w:snapToGrid w:val="0"/>
        <w:spacing w:after="50" w:line="280" w:lineRule="exact"/>
        <w:ind w:left="955" w:right="-817" w:firstLine="2625" w:firstLineChars="12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2835" w:firstLineChars="1350"/>
        <w:rPr>
          <w:rFonts w:ascii="宋体" w:hAnsi="宋体"/>
          <w:highlight w:val="none"/>
          <w:u w:val="single"/>
        </w:rPr>
      </w:pPr>
      <w:r>
        <w:rPr>
          <w:rFonts w:hint="eastAsia" w:ascii="宋体" w:hAnsi="宋体"/>
          <w:highlight w:val="none"/>
        </w:rPr>
        <w:t>法定代表人或被授权人（签字）：</w:t>
      </w:r>
    </w:p>
    <w:p>
      <w:pPr>
        <w:spacing w:before="0"/>
        <w:ind w:right="-57" w:firstLine="0"/>
        <w:jc w:val="center"/>
        <w:rPr>
          <w:rFonts w:ascii="宋体" w:hAnsi="宋体"/>
          <w:highlight w:val="none"/>
        </w:rPr>
      </w:pPr>
      <w:r>
        <w:rPr>
          <w:rFonts w:hint="eastAsia" w:ascii="宋体" w:hAnsi="宋体"/>
          <w:highlight w:val="none"/>
        </w:rPr>
        <w:t>日  期：     年  月  日</w:t>
      </w:r>
    </w:p>
    <w:p>
      <w:pPr>
        <w:pStyle w:val="5"/>
        <w:tabs>
          <w:tab w:val="left" w:pos="567"/>
          <w:tab w:val="left" w:pos="720"/>
        </w:tabs>
        <w:snapToGrid w:val="0"/>
        <w:spacing w:after="0" w:line="360" w:lineRule="auto"/>
        <w:ind w:right="0" w:firstLine="0"/>
        <w:jc w:val="left"/>
        <w:rPr>
          <w:rFonts w:ascii="宋体" w:hAnsi="宋体" w:eastAsia="宋体" w:cs="Arial"/>
          <w:highlight w:val="none"/>
        </w:rPr>
      </w:pPr>
      <w:r>
        <w:rPr>
          <w:rFonts w:ascii="宋体" w:hAnsi="宋体" w:eastAsia="宋体"/>
          <w:highlight w:val="none"/>
        </w:rPr>
        <w:br w:type="page"/>
      </w:r>
      <w:bookmarkStart w:id="1255" w:name="_Toc68859063"/>
      <w:bookmarkStart w:id="1256" w:name="_Toc110413986"/>
      <w:bookmarkStart w:id="1257" w:name="_Toc58124833"/>
      <w:bookmarkStart w:id="1258" w:name="_Toc61680485"/>
      <w:bookmarkStart w:id="1259" w:name="_Toc12983553"/>
      <w:bookmarkStart w:id="1260" w:name="_Toc14859"/>
      <w:bookmarkStart w:id="1261" w:name="_Toc6270"/>
      <w:bookmarkStart w:id="1262" w:name="_Toc20864"/>
      <w:bookmarkStart w:id="1263" w:name="_Toc25750681"/>
      <w:bookmarkStart w:id="1264" w:name="_Toc32224"/>
      <w:bookmarkStart w:id="1265" w:name="_Toc10260"/>
      <w:bookmarkStart w:id="1266" w:name="_Toc14503"/>
      <w:bookmarkStart w:id="1267" w:name="_Toc2585"/>
      <w:bookmarkStart w:id="1268" w:name="_Toc11065"/>
      <w:bookmarkStart w:id="1269" w:name="_Toc20737"/>
      <w:bookmarkStart w:id="1270" w:name="_Toc6833"/>
      <w:bookmarkStart w:id="1271" w:name="_Toc15419"/>
      <w:bookmarkStart w:id="1272" w:name="_Toc375564356"/>
      <w:bookmarkStart w:id="1273" w:name="_Toc21109"/>
      <w:bookmarkStart w:id="1274" w:name="_Toc25869"/>
      <w:bookmarkStart w:id="1275" w:name="_Toc17112"/>
      <w:bookmarkStart w:id="1276" w:name="_Toc8713"/>
      <w:bookmarkStart w:id="1277" w:name="_Toc414290527"/>
      <w:bookmarkStart w:id="1278" w:name="_Toc29702"/>
      <w:bookmarkStart w:id="1279" w:name="_Toc12984813"/>
      <w:bookmarkStart w:id="1280" w:name="_Toc241920153"/>
      <w:bookmarkStart w:id="1281" w:name="_Toc2257"/>
      <w:bookmarkStart w:id="1282" w:name="_Toc114134669"/>
      <w:bookmarkStart w:id="1283" w:name="_Toc492478809"/>
      <w:bookmarkStart w:id="1284" w:name="_Toc4976"/>
      <w:r>
        <w:rPr>
          <w:rFonts w:ascii="宋体" w:hAnsi="宋体" w:eastAsia="宋体"/>
          <w:sz w:val="21"/>
          <w:szCs w:val="21"/>
          <w:highlight w:val="none"/>
        </w:rPr>
        <w:t>B2比选申请</w:t>
      </w:r>
      <w:bookmarkEnd w:id="1255"/>
      <w:bookmarkEnd w:id="1256"/>
      <w:bookmarkEnd w:id="1257"/>
      <w:bookmarkEnd w:id="1258"/>
      <w:r>
        <w:rPr>
          <w:rFonts w:ascii="宋体" w:hAnsi="宋体" w:eastAsia="宋体"/>
          <w:sz w:val="21"/>
          <w:szCs w:val="21"/>
          <w:highlight w:val="none"/>
        </w:rPr>
        <w:t>函格式</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spacing w:before="0" w:after="0" w:afterAutospacing="0"/>
        <w:ind w:right="0" w:firstLine="0"/>
        <w:jc w:val="center"/>
        <w:rPr>
          <w:rFonts w:ascii="宋体" w:hAnsi="宋体"/>
          <w:b/>
          <w:sz w:val="32"/>
          <w:szCs w:val="32"/>
          <w:highlight w:val="none"/>
        </w:rPr>
      </w:pPr>
      <w:r>
        <w:rPr>
          <w:rFonts w:ascii="宋体" w:hAnsi="宋体"/>
          <w:b/>
          <w:sz w:val="32"/>
          <w:szCs w:val="32"/>
          <w:highlight w:val="none"/>
        </w:rPr>
        <w:t>比选申请函</w:t>
      </w:r>
    </w:p>
    <w:p>
      <w:pPr>
        <w:spacing w:before="0" w:after="0" w:afterAutospacing="0"/>
        <w:ind w:left="0" w:right="0" w:firstLine="0"/>
        <w:rPr>
          <w:rFonts w:ascii="宋体" w:hAnsi="宋体"/>
          <w:highlight w:val="none"/>
        </w:rPr>
      </w:pPr>
      <w:r>
        <w:rPr>
          <w:rFonts w:ascii="宋体" w:hAnsi="宋体"/>
          <w:highlight w:val="none"/>
        </w:rPr>
        <w:t>致：</w:t>
      </w:r>
      <w:r>
        <w:rPr>
          <w:rFonts w:hint="eastAsia" w:ascii="宋体" w:hAnsi="宋体"/>
          <w:highlight w:val="none"/>
        </w:rPr>
        <w:t>南宁轨道交通集团有限责任公司</w:t>
      </w:r>
    </w:p>
    <w:p>
      <w:pPr>
        <w:spacing w:before="0" w:after="0" w:afterAutospacing="0"/>
        <w:ind w:left="0" w:right="0" w:firstLine="420" w:firstLineChars="200"/>
        <w:rPr>
          <w:rFonts w:ascii="宋体" w:hAnsi="宋体"/>
          <w:highlight w:val="none"/>
        </w:rPr>
      </w:pPr>
      <w:r>
        <w:rPr>
          <w:rFonts w:ascii="宋体" w:hAnsi="宋体"/>
          <w:highlight w:val="none"/>
        </w:rPr>
        <w:t>根据贵方为</w:t>
      </w:r>
      <w:r>
        <w:rPr>
          <w:rFonts w:hint="eastAsia" w:ascii="宋体" w:hAnsi="宋体"/>
          <w:highlight w:val="none"/>
        </w:rPr>
        <w:t>采购项目</w:t>
      </w:r>
      <w:r>
        <w:rPr>
          <w:rFonts w:ascii="宋体" w:hAnsi="宋体"/>
          <w:highlight w:val="none"/>
        </w:rPr>
        <w:t>比选申请邀请，签字人</w:t>
      </w:r>
      <w:r>
        <w:rPr>
          <w:rFonts w:ascii="宋体" w:hAnsi="宋体"/>
          <w:highlight w:val="none"/>
          <w:u w:val="single"/>
        </w:rPr>
        <w:t>(全名、职务)</w:t>
      </w:r>
      <w:r>
        <w:rPr>
          <w:rFonts w:ascii="宋体" w:hAnsi="宋体"/>
          <w:highlight w:val="none"/>
        </w:rPr>
        <w:t>经正式授权并代表比选申请人</w:t>
      </w:r>
      <w:r>
        <w:rPr>
          <w:rFonts w:ascii="宋体" w:hAnsi="宋体"/>
          <w:highlight w:val="none"/>
          <w:u w:val="single"/>
        </w:rPr>
        <w:t>（比选申请人名称、地址）</w:t>
      </w:r>
      <w:r>
        <w:rPr>
          <w:rFonts w:ascii="宋体" w:hAnsi="宋体"/>
          <w:highlight w:val="none"/>
        </w:rPr>
        <w:t>提交</w:t>
      </w:r>
      <w:r>
        <w:rPr>
          <w:rFonts w:hint="eastAsia" w:ascii="宋体" w:hAnsi="宋体"/>
          <w:highlight w:val="none"/>
        </w:rPr>
        <w:t>比选申请文件</w:t>
      </w:r>
      <w:r>
        <w:rPr>
          <w:rFonts w:ascii="宋体" w:hAnsi="宋体"/>
          <w:highlight w:val="none"/>
        </w:rPr>
        <w:t>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2 </w:t>
      </w:r>
      <w:r>
        <w:rPr>
          <w:rFonts w:ascii="宋体" w:hAnsi="宋体"/>
          <w:highlight w:val="none"/>
        </w:rPr>
        <w:t>份（U盘）。</w:t>
      </w:r>
    </w:p>
    <w:p>
      <w:pP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pacing w:before="0" w:after="0" w:afterAutospacing="0"/>
        <w:ind w:left="0" w:right="0" w:firstLine="420" w:firstLineChars="200"/>
        <w:rPr>
          <w:rFonts w:ascii="宋体" w:hAnsi="宋体"/>
          <w:highlight w:val="none"/>
        </w:rPr>
      </w:pPr>
      <w:bookmarkStart w:id="1285" w:name="_Toc375564357"/>
      <w:r>
        <w:rPr>
          <w:rFonts w:ascii="宋体" w:hAnsi="宋体"/>
          <w:highlight w:val="none"/>
        </w:rPr>
        <w:t>1. 按比选文件要求规定的应提交和交付的服务并履行全部合同义务的比选申请</w:t>
      </w:r>
      <w:r>
        <w:rPr>
          <w:rFonts w:hint="eastAsia" w:ascii="宋体" w:hAnsi="宋体"/>
          <w:highlight w:val="none"/>
        </w:rPr>
        <w:t>，</w:t>
      </w:r>
      <w:r>
        <w:rPr>
          <w:rFonts w:ascii="宋体" w:hAnsi="宋体"/>
          <w:highlight w:val="none"/>
        </w:rPr>
        <w:t>总价如本比选申请文件</w:t>
      </w:r>
      <w:r>
        <w:rPr>
          <w:rFonts w:hint="eastAsia" w:ascii="宋体" w:hAnsi="宋体"/>
          <w:highlight w:val="none"/>
        </w:rPr>
        <w:t>价格文件</w:t>
      </w:r>
      <w:r>
        <w:rPr>
          <w:rFonts w:ascii="宋体" w:hAnsi="宋体"/>
          <w:highlight w:val="none"/>
        </w:rPr>
        <w:t>“比选申请报价一览表”所述。</w:t>
      </w:r>
      <w:bookmarkEnd w:id="1285"/>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.按比选文件的规定履行合同责任和义务。</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.本比选申请有效期为比选申请截止日起</w:t>
      </w:r>
      <w:r>
        <w:rPr>
          <w:rFonts w:hint="eastAsia" w:ascii="宋体" w:hAnsi="宋体"/>
          <w:b/>
          <w:highlight w:val="none"/>
          <w:u w:val="single"/>
        </w:rPr>
        <w:t>（备注：与前附表一致）</w:t>
      </w:r>
      <w:r>
        <w:rPr>
          <w:rFonts w:ascii="宋体" w:hAnsi="宋体"/>
          <w:highlight w:val="none"/>
        </w:rPr>
        <w:t>日历天内。</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我公司</w:t>
      </w:r>
      <w:r>
        <w:rPr>
          <w:rFonts w:ascii="宋体" w:hAnsi="宋体"/>
          <w:highlight w:val="none"/>
        </w:rPr>
        <w:t>在比选申请有效期内撤销比选申请，</w:t>
      </w:r>
      <w:r>
        <w:rPr>
          <w:rFonts w:hint="eastAsia" w:ascii="宋体" w:hAnsi="宋体"/>
          <w:highlight w:val="none"/>
        </w:rPr>
        <w:t>所造成的损失我公司承担</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ascii="宋体" w:hAnsi="宋体"/>
          <w:highlight w:val="none"/>
        </w:rPr>
        <w:t xml:space="preserve">. </w:t>
      </w:r>
      <w:r>
        <w:rPr>
          <w:rFonts w:ascii="宋体" w:hAnsi="宋体"/>
          <w:b/>
          <w:highlight w:val="none"/>
        </w:rPr>
        <w:t>本项目采用含税报价</w:t>
      </w:r>
      <w:r>
        <w:rPr>
          <w:rFonts w:hint="eastAsia" w:ascii="宋体" w:hAnsi="宋体"/>
          <w:b/>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8</w:t>
      </w:r>
      <w:r>
        <w:rPr>
          <w:rFonts w:ascii="宋体" w:hAnsi="宋体"/>
          <w:highlight w:val="none"/>
        </w:rPr>
        <w:t>.与本比选申请有关的一切正式往来通讯请发往：</w:t>
      </w:r>
      <w:r>
        <w:rPr>
          <w:rFonts w:ascii="宋体" w:hAnsi="宋体"/>
          <w:highlight w:val="none"/>
        </w:rPr>
        <w:tab/>
      </w:r>
    </w:p>
    <w:p>
      <w:pPr>
        <w:spacing w:before="0" w:after="0" w:afterAutospacing="0"/>
        <w:ind w:left="0" w:right="0" w:firstLine="420" w:firstLineChars="200"/>
        <w:rPr>
          <w:rFonts w:ascii="宋体" w:hAnsi="宋体"/>
          <w:highlight w:val="none"/>
          <w:u w:val="single"/>
        </w:rPr>
      </w:pPr>
      <w:r>
        <w:rPr>
          <w:rFonts w:ascii="宋体" w:hAnsi="宋体"/>
          <w:highlight w:val="none"/>
        </w:rPr>
        <w:t>地址：</w:t>
      </w:r>
    </w:p>
    <w:p>
      <w:pPr>
        <w:spacing w:before="0" w:after="0" w:afterAutospacing="0"/>
        <w:ind w:left="0" w:right="0" w:firstLine="420" w:firstLineChars="200"/>
        <w:rPr>
          <w:rFonts w:ascii="宋体" w:hAnsi="宋体"/>
          <w:highlight w:val="none"/>
        </w:rPr>
      </w:pPr>
      <w:r>
        <w:rPr>
          <w:rFonts w:ascii="宋体" w:hAnsi="宋体"/>
          <w:highlight w:val="none"/>
        </w:rPr>
        <w:t>邮编：传真：</w:t>
      </w:r>
    </w:p>
    <w:p>
      <w:pPr>
        <w:spacing w:before="0" w:after="0" w:afterAutospacing="0"/>
        <w:ind w:left="0" w:right="0" w:firstLine="420" w:firstLineChars="200"/>
        <w:rPr>
          <w:rFonts w:ascii="宋体" w:hAnsi="宋体"/>
          <w:highlight w:val="none"/>
        </w:rPr>
      </w:pPr>
      <w:r>
        <w:rPr>
          <w:rFonts w:ascii="宋体" w:hAnsi="宋体"/>
          <w:highlight w:val="none"/>
        </w:rPr>
        <w:t>电话：电子邮件：</w:t>
      </w:r>
    </w:p>
    <w:p>
      <w:pPr>
        <w:spacing w:before="0" w:after="0" w:afterAutospacing="0"/>
        <w:ind w:left="0" w:right="0" w:firstLine="420" w:firstLineChars="200"/>
        <w:rPr>
          <w:rFonts w:ascii="宋体" w:hAnsi="宋体"/>
          <w:highlight w:val="none"/>
          <w:u w:val="single"/>
        </w:rPr>
      </w:pPr>
      <w:r>
        <w:rPr>
          <w:rFonts w:ascii="宋体" w:hAnsi="宋体"/>
          <w:highlight w:val="none"/>
        </w:rPr>
        <w:t>比选申请人名称：</w:t>
      </w:r>
      <w:r>
        <w:rPr>
          <w:rFonts w:ascii="宋体" w:hAnsi="宋体"/>
          <w:highlight w:val="none"/>
          <w:u w:val="single"/>
        </w:rPr>
        <w:t>（全称并加盖公章）</w:t>
      </w:r>
    </w:p>
    <w:p>
      <w:pPr>
        <w:spacing w:before="0" w:after="0" w:afterAutospacing="0"/>
        <w:ind w:left="0" w:right="0" w:firstLine="420" w:firstLineChars="200"/>
        <w:rPr>
          <w:rFonts w:ascii="宋体" w:hAnsi="宋体" w:cs="Arial"/>
          <w:highlight w:val="none"/>
        </w:rPr>
      </w:pPr>
      <w:r>
        <w:rPr>
          <w:rFonts w:ascii="宋体" w:hAnsi="宋体"/>
          <w:highlight w:val="none"/>
        </w:rPr>
        <w:t>比选申请人法定代表人（或其委托代理人）签字</w:t>
      </w:r>
      <w:r>
        <w:rPr>
          <w:rFonts w:hint="eastAsia" w:ascii="宋体" w:hAnsi="宋体"/>
          <w:highlight w:val="none"/>
        </w:rPr>
        <w:t>或盖章</w:t>
      </w:r>
      <w:r>
        <w:rPr>
          <w:rFonts w:hint="eastAsia" w:ascii="宋体" w:hAnsi="宋体" w:cs="Arial"/>
          <w:highlight w:val="none"/>
        </w:rPr>
        <w:t>：</w:t>
      </w:r>
    </w:p>
    <w:p>
      <w:pPr>
        <w:spacing w:before="0" w:after="0" w:afterAutospacing="0"/>
        <w:ind w:left="0" w:right="0" w:firstLine="420" w:firstLineChars="200"/>
        <w:rPr>
          <w:rFonts w:ascii="宋体" w:hAnsi="宋体"/>
          <w:highlight w:val="none"/>
        </w:rPr>
      </w:pPr>
      <w:r>
        <w:rPr>
          <w:rFonts w:hint="eastAsia" w:ascii="宋体" w:hAnsi="宋体" w:cs="Arial"/>
          <w:highlight w:val="none"/>
        </w:rPr>
        <w:t xml:space="preserve">日期：   </w:t>
      </w:r>
      <w:r>
        <w:rPr>
          <w:rFonts w:ascii="宋体" w:hAnsi="宋体"/>
          <w:highlight w:val="none"/>
        </w:rPr>
        <w:t>年月日</w:t>
      </w:r>
    </w:p>
    <w:p>
      <w:pPr>
        <w:rPr>
          <w:rFonts w:ascii="宋体" w:hAnsi="宋体"/>
          <w:highlight w:val="none"/>
        </w:rPr>
      </w:pPr>
    </w:p>
    <w:p>
      <w:pPr>
        <w:rPr>
          <w:rFonts w:ascii="宋体" w:hAnsi="宋体"/>
          <w:highlight w:val="none"/>
        </w:rPr>
        <w:sectPr>
          <w:headerReference r:id="rId10" w:type="first"/>
          <w:headerReference r:id="rId9" w:type="default"/>
          <w:pgSz w:w="11905" w:h="16838"/>
          <w:pgMar w:top="1418" w:right="1418" w:bottom="1304" w:left="1418" w:header="454" w:footer="567" w:gutter="0"/>
          <w:cols w:space="720" w:num="1"/>
          <w:docGrid w:linePitch="312" w:charSpace="0"/>
        </w:sectPr>
      </w:pPr>
    </w:p>
    <w:p>
      <w:pPr>
        <w:pStyle w:val="4"/>
        <w:pageBreakBefore/>
        <w:spacing w:after="100"/>
        <w:ind w:right="-57" w:firstLine="0"/>
        <w:jc w:val="center"/>
        <w:rPr>
          <w:rFonts w:hAnsi="宋体"/>
          <w:b w:val="0"/>
          <w:sz w:val="24"/>
          <w:szCs w:val="24"/>
          <w:highlight w:val="none"/>
        </w:rPr>
      </w:pPr>
      <w:bookmarkStart w:id="1286" w:name="_Toc492478827"/>
      <w:bookmarkStart w:id="1287" w:name="_Toc19107"/>
      <w:bookmarkStart w:id="1288" w:name="_Toc414290562"/>
      <w:bookmarkStart w:id="1289" w:name="_Toc17664"/>
      <w:bookmarkStart w:id="1290" w:name="_Toc9876"/>
      <w:bookmarkStart w:id="1291" w:name="_Toc15451"/>
      <w:bookmarkStart w:id="1292" w:name="_Toc25635"/>
      <w:bookmarkStart w:id="1293" w:name="_Toc2327"/>
      <w:bookmarkStart w:id="1294" w:name="_Toc32381"/>
      <w:bookmarkStart w:id="1295" w:name="_Toc6034"/>
      <w:bookmarkStart w:id="1296" w:name="_Toc19413"/>
      <w:bookmarkStart w:id="1297" w:name="_Toc30812"/>
      <w:bookmarkStart w:id="1298" w:name="_Toc25220"/>
      <w:bookmarkStart w:id="1299" w:name="_Toc22423"/>
      <w:bookmarkStart w:id="1300" w:name="_Toc13870"/>
      <w:bookmarkStart w:id="1301" w:name="_Toc29577"/>
      <w:bookmarkStart w:id="1302" w:name="_Toc8563"/>
      <w:bookmarkStart w:id="1303" w:name="_Toc14091"/>
      <w:bookmarkStart w:id="1304" w:name="_Toc3307"/>
      <w:bookmarkStart w:id="1305" w:name="_Toc114134670"/>
      <w:r>
        <w:rPr>
          <w:rFonts w:hint="eastAsia"/>
          <w:sz w:val="24"/>
          <w:szCs w:val="24"/>
          <w:highlight w:val="none"/>
        </w:rPr>
        <w:t>C</w:t>
      </w:r>
      <w:r>
        <w:rPr>
          <w:rFonts w:hAnsi="宋体"/>
          <w:sz w:val="24"/>
          <w:szCs w:val="24"/>
          <w:highlight w:val="none"/>
        </w:rPr>
        <w:t>技术</w:t>
      </w:r>
      <w:bookmarkEnd w:id="1286"/>
      <w:bookmarkEnd w:id="1287"/>
      <w:bookmarkEnd w:id="1288"/>
      <w:bookmarkStart w:id="1306" w:name="_Toc18770050"/>
      <w:bookmarkStart w:id="1307" w:name="_Toc224010320"/>
      <w:bookmarkStart w:id="1308" w:name="_Toc99697927"/>
      <w:bookmarkStart w:id="1309" w:name="_Toc74938308"/>
      <w:bookmarkStart w:id="1310" w:name="_Toc17887241"/>
      <w:r>
        <w:rPr>
          <w:rFonts w:hint="eastAsia" w:hAnsi="宋体"/>
          <w:sz w:val="24"/>
          <w:szCs w:val="24"/>
          <w:highlight w:val="none"/>
        </w:rPr>
        <w:t>文件</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spacing w:before="0" w:after="0" w:afterAutospacing="0"/>
        <w:ind w:left="0" w:right="0" w:firstLine="422" w:firstLineChars="200"/>
        <w:jc w:val="left"/>
        <w:rPr>
          <w:rFonts w:hAnsi="宋体"/>
          <w:b/>
          <w:sz w:val="44"/>
          <w:szCs w:val="44"/>
          <w:highlight w:val="none"/>
        </w:rPr>
      </w:pPr>
      <w:r>
        <w:rPr>
          <w:rFonts w:hint="eastAsia" w:hAnsi="宋体"/>
          <w:b/>
          <w:highlight w:val="none"/>
        </w:rPr>
        <w:t>技术文件格式</w:t>
      </w:r>
    </w:p>
    <w:p>
      <w:pPr>
        <w:spacing w:before="0" w:after="0" w:afterAutospacing="0"/>
        <w:ind w:left="0" w:right="0" w:firstLine="315" w:firstLineChars="150"/>
        <w:rPr>
          <w:highlight w:val="none"/>
        </w:rPr>
      </w:pPr>
      <w:r>
        <w:rPr>
          <w:rFonts w:hint="eastAsia"/>
          <w:highlight w:val="none"/>
        </w:rPr>
        <w:t>（1）技术响应表（格式见C1）；</w:t>
      </w:r>
    </w:p>
    <w:p>
      <w:pPr>
        <w:spacing w:before="0" w:after="0" w:afterAutospacing="0"/>
        <w:ind w:left="0" w:right="0" w:firstLine="315" w:firstLineChars="150"/>
        <w:rPr>
          <w:highlight w:val="none"/>
        </w:rPr>
      </w:pPr>
      <w:r>
        <w:rPr>
          <w:rFonts w:hint="eastAsia"/>
          <w:highlight w:val="none"/>
        </w:rPr>
        <w:t>（2）商务响应表（格式见C2）；</w:t>
      </w:r>
    </w:p>
    <w:p>
      <w:pPr>
        <w:spacing w:before="0" w:after="0" w:afterAutospacing="0"/>
        <w:ind w:left="0" w:right="0" w:firstLine="315" w:firstLineChars="150"/>
        <w:rPr>
          <w:highlight w:val="none"/>
        </w:rPr>
      </w:pPr>
      <w:r>
        <w:rPr>
          <w:rFonts w:hint="eastAsia"/>
          <w:highlight w:val="none"/>
        </w:rPr>
        <w:t>（3）项目技术服务方案（格式自拟，工期格式见C3）；</w:t>
      </w:r>
    </w:p>
    <w:p>
      <w:pPr>
        <w:spacing w:before="0" w:after="0" w:afterAutospacing="0"/>
        <w:ind w:left="0" w:right="0" w:firstLine="315" w:firstLineChars="150"/>
        <w:rPr>
          <w:highlight w:val="none"/>
        </w:rPr>
      </w:pPr>
      <w:r>
        <w:rPr>
          <w:rFonts w:hint="eastAsia"/>
          <w:highlight w:val="none"/>
        </w:rPr>
        <w:t>（4）项目人员配置（格式见C4）；</w:t>
      </w:r>
    </w:p>
    <w:p>
      <w:pPr>
        <w:spacing w:before="0" w:after="0" w:afterAutospacing="0"/>
        <w:ind w:left="0" w:right="0" w:firstLine="315" w:firstLineChars="150"/>
        <w:rPr>
          <w:highlight w:val="none"/>
        </w:rPr>
      </w:pPr>
      <w:r>
        <w:rPr>
          <w:rFonts w:hint="eastAsia"/>
          <w:highlight w:val="none"/>
        </w:rPr>
        <w:t>（5）业绩：5个及以上自2019年1月1日至比选申请截止时间内完成过或正在实施的</w:t>
      </w:r>
      <w:r>
        <w:rPr>
          <w:rFonts w:hint="eastAsia"/>
          <w:highlight w:val="none"/>
          <w:lang w:val="en-US" w:eastAsia="zh-CN"/>
        </w:rPr>
        <w:t>单向</w:t>
      </w:r>
      <w:r>
        <w:rPr>
          <w:rFonts w:hint="eastAsia"/>
          <w:highlight w:val="none"/>
        </w:rPr>
        <w:t>合同金额大于60万的房地产楼盘项目质量安全评估业绩，提供下述材料之一即可：①合同文件；②中标通知书。</w:t>
      </w:r>
    </w:p>
    <w:p>
      <w:pPr>
        <w:spacing w:before="0" w:after="0" w:afterAutospacing="0"/>
        <w:ind w:left="0" w:right="0" w:firstLine="315" w:firstLineChars="150"/>
        <w:rPr>
          <w:highlight w:val="none"/>
        </w:rPr>
      </w:pPr>
      <w:r>
        <w:rPr>
          <w:rFonts w:hint="eastAsia"/>
          <w:highlight w:val="none"/>
        </w:rPr>
        <w:t>所提供的材料须能明确反映类似项目特征，复印件加盖比选申请人公章（格式见C5）。</w:t>
      </w:r>
    </w:p>
    <w:p>
      <w:pPr>
        <w:spacing w:before="0" w:after="0" w:afterAutospacing="0"/>
        <w:ind w:left="0" w:right="0" w:firstLine="315" w:firstLineChars="150"/>
        <w:rPr>
          <w:highlight w:val="none"/>
        </w:rPr>
      </w:pPr>
      <w:r>
        <w:rPr>
          <w:rFonts w:hint="eastAsia"/>
          <w:highlight w:val="none"/>
        </w:rPr>
        <w:t>（</w:t>
      </w:r>
      <w:r>
        <w:rPr>
          <w:highlight w:val="none"/>
        </w:rPr>
        <w:t>6</w:t>
      </w:r>
      <w:r>
        <w:rPr>
          <w:rFonts w:hint="eastAsia"/>
          <w:highlight w:val="none"/>
        </w:rPr>
        <w:t>）企业综合实力相关证明材料（格式自拟）</w:t>
      </w:r>
    </w:p>
    <w:p>
      <w:pPr>
        <w:spacing w:before="0" w:after="0" w:afterAutospacing="0"/>
        <w:ind w:left="0" w:right="0" w:firstLine="315" w:firstLineChars="150"/>
        <w:rPr>
          <w:highlight w:val="none"/>
        </w:rPr>
      </w:pPr>
      <w:r>
        <w:rPr>
          <w:rFonts w:hint="eastAsia"/>
          <w:highlight w:val="none"/>
        </w:rPr>
        <w:t>（</w:t>
      </w:r>
      <w:r>
        <w:rPr>
          <w:highlight w:val="none"/>
        </w:rPr>
        <w:t>7</w:t>
      </w:r>
      <w:r>
        <w:rPr>
          <w:rFonts w:hint="eastAsia"/>
          <w:highlight w:val="none"/>
        </w:rPr>
        <w:t>）企业高新技术相关证明材料（格式自拟）</w:t>
      </w:r>
    </w:p>
    <w:p>
      <w:pPr>
        <w:spacing w:before="0" w:after="0" w:afterAutospacing="0"/>
        <w:ind w:left="0" w:right="0" w:firstLine="315" w:firstLineChars="150"/>
        <w:rPr>
          <w:highlight w:val="none"/>
        </w:rPr>
      </w:pPr>
      <w:r>
        <w:rPr>
          <w:rFonts w:hint="eastAsia"/>
          <w:highlight w:val="none"/>
        </w:rPr>
        <w:t>（</w:t>
      </w:r>
      <w:r>
        <w:rPr>
          <w:highlight w:val="none"/>
        </w:rPr>
        <w:t>8</w:t>
      </w:r>
      <w:r>
        <w:rPr>
          <w:rFonts w:hint="eastAsia"/>
          <w:highlight w:val="none"/>
        </w:rPr>
        <w:t>）比选申请人认为应提交的其他比选申请资料（如有）。</w:t>
      </w:r>
      <w:bookmarkEnd w:id="1306"/>
      <w:bookmarkEnd w:id="1307"/>
      <w:bookmarkEnd w:id="1308"/>
      <w:bookmarkEnd w:id="1309"/>
      <w:bookmarkEnd w:id="1310"/>
      <w:bookmarkStart w:id="1311" w:name="_Toc25750684"/>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6"/>
        <w:rPr>
          <w:rFonts w:ascii="宋体" w:hAnsi="宋体"/>
          <w:highlight w:val="none"/>
        </w:rPr>
      </w:pPr>
    </w:p>
    <w:p>
      <w:pPr>
        <w:pStyle w:val="6"/>
        <w:rPr>
          <w:rFonts w:ascii="宋体" w:hAnsi="宋体"/>
          <w:highlight w:val="none"/>
        </w:rPr>
      </w:pPr>
    </w:p>
    <w:p>
      <w:pPr>
        <w:pStyle w:val="6"/>
        <w:rPr>
          <w:rFonts w:ascii="宋体" w:hAnsi="宋体"/>
          <w:highlight w:val="none"/>
        </w:rPr>
      </w:pPr>
    </w:p>
    <w:p>
      <w:pPr>
        <w:pStyle w:val="6"/>
        <w:rPr>
          <w:rFonts w:ascii="宋体" w:hAnsi="宋体"/>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6"/>
        <w:rPr>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bookmarkStart w:id="1312" w:name="_Toc114134671"/>
      <w:r>
        <w:rPr>
          <w:rFonts w:hint="eastAsia" w:ascii="宋体" w:hAnsi="宋体" w:eastAsia="宋体"/>
          <w:sz w:val="21"/>
          <w:szCs w:val="21"/>
          <w:highlight w:val="none"/>
        </w:rPr>
        <w:t xml:space="preserve">C1 </w:t>
      </w:r>
      <w:r>
        <w:rPr>
          <w:rFonts w:ascii="宋体" w:hAnsi="宋体" w:eastAsia="宋体"/>
          <w:sz w:val="21"/>
          <w:szCs w:val="21"/>
          <w:highlight w:val="none"/>
        </w:rPr>
        <w:t>技术响应表</w:t>
      </w:r>
      <w:r>
        <w:rPr>
          <w:rFonts w:hint="eastAsia" w:ascii="宋体" w:hAnsi="宋体" w:eastAsia="宋体"/>
          <w:sz w:val="21"/>
          <w:szCs w:val="21"/>
          <w:highlight w:val="none"/>
        </w:rPr>
        <w:t>格式</w:t>
      </w:r>
      <w:bookmarkEnd w:id="1311"/>
      <w:bookmarkEnd w:id="1312"/>
    </w:p>
    <w:p>
      <w:pPr>
        <w:spacing w:before="0"/>
        <w:ind w:right="-57" w:firstLine="0"/>
        <w:jc w:val="center"/>
        <w:rPr>
          <w:rFonts w:ascii="宋体" w:hAnsi="宋体"/>
          <w:b/>
          <w:sz w:val="28"/>
          <w:szCs w:val="28"/>
          <w:highlight w:val="none"/>
        </w:rPr>
      </w:pPr>
      <w:r>
        <w:rPr>
          <w:rFonts w:hint="eastAsia" w:ascii="宋体" w:hAnsi="宋体"/>
          <w:b/>
          <w:highlight w:val="none"/>
        </w:rPr>
        <w:t>技术响应表</w:t>
      </w:r>
      <w:r>
        <w:rPr>
          <w:rFonts w:hint="eastAsia" w:ascii="宋体" w:hAnsi="宋体" w:cs="宋体"/>
          <w:sz w:val="16"/>
          <w:szCs w:val="16"/>
          <w:highlight w:val="none"/>
        </w:rPr>
        <w:t>（不论有无偏离，均须逐项填写偏离情况）</w:t>
      </w:r>
    </w:p>
    <w:p>
      <w:pPr>
        <w:spacing w:before="0" w:after="0" w:afterAutospacing="0"/>
        <w:ind w:right="0"/>
        <w:rPr>
          <w:rFonts w:ascii="宋体" w:hAnsi="宋体"/>
          <w:highlight w:val="none"/>
          <w:u w:val="single"/>
        </w:rPr>
      </w:pPr>
      <w:r>
        <w:rPr>
          <w:rFonts w:ascii="宋体" w:hAnsi="宋体"/>
          <w:highlight w:val="none"/>
        </w:rPr>
        <w:t>比选申请人名称：</w:t>
      </w:r>
    </w:p>
    <w:tbl>
      <w:tblPr>
        <w:tblStyle w:val="3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0"/>
        <w:gridCol w:w="1593"/>
        <w:gridCol w:w="1961"/>
        <w:gridCol w:w="2201"/>
        <w:gridCol w:w="141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highlight w:val="none"/>
              </w:rPr>
            </w:pPr>
            <w:r>
              <w:rPr>
                <w:rFonts w:hint="eastAsia" w:ascii="宋体" w:hAnsi="宋体"/>
                <w:highlight w:val="none"/>
              </w:rPr>
              <w:t>比选文件条目号</w:t>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比选文件要求</w:t>
            </w:r>
          </w:p>
        </w:tc>
        <w:tc>
          <w:tcPr>
            <w:tcW w:w="220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highlight w:val="none"/>
              </w:rPr>
            </w:pPr>
            <w:r>
              <w:rPr>
                <w:rFonts w:hint="eastAsia" w:ascii="宋体" w:hAnsi="宋体"/>
                <w:highlight w:val="none"/>
              </w:rPr>
              <w:t>比选申请文件响应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偏离</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cs="Arial"/>
                <w:kern w:val="2"/>
                <w:highlight w:val="none"/>
                <w:u w:val="single"/>
              </w:rPr>
              <w:t>1</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highlight w:val="none"/>
              </w:rPr>
              <w:fldChar w:fldCharType="begin"/>
            </w:r>
            <w:r>
              <w:rPr>
                <w:highlight w:val="none"/>
              </w:rPr>
              <w:instrText xml:space="preserve"> HYPERLINK \l "_Toc25750588" </w:instrText>
            </w:r>
            <w:r>
              <w:rPr>
                <w:highlight w:val="none"/>
              </w:rPr>
              <w:fldChar w:fldCharType="separate"/>
            </w:r>
            <w:r>
              <w:rPr>
                <w:rFonts w:hint="eastAsia" w:ascii="宋体" w:hAnsi="宋体"/>
                <w:highlight w:val="none"/>
              </w:rPr>
              <w:t>第一章</w:t>
            </w:r>
            <w:r>
              <w:rPr>
                <w:rFonts w:hint="eastAsia" w:ascii="宋体" w:hAnsi="宋体"/>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比选公告</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cs="Arial"/>
                <w:kern w:val="2"/>
                <w:highlight w:val="none"/>
                <w:u w:val="single"/>
              </w:rPr>
              <w:t>2</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highlight w:val="none"/>
              </w:rPr>
              <w:fldChar w:fldCharType="begin"/>
            </w:r>
            <w:r>
              <w:rPr>
                <w:highlight w:val="none"/>
              </w:rPr>
              <w:instrText xml:space="preserve"> HYPERLINK \l "_Toc25750588" </w:instrText>
            </w:r>
            <w:r>
              <w:rPr>
                <w:highlight w:val="none"/>
              </w:rPr>
              <w:fldChar w:fldCharType="separate"/>
            </w:r>
            <w:r>
              <w:rPr>
                <w:rFonts w:hint="eastAsia" w:ascii="宋体" w:hAnsi="宋体"/>
                <w:highlight w:val="none"/>
              </w:rPr>
              <w:t>第二章</w:t>
            </w:r>
            <w:r>
              <w:rPr>
                <w:rFonts w:hint="eastAsia" w:ascii="宋体" w:hAnsi="宋体"/>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比选申请须知</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cs="Arial"/>
                <w:kern w:val="2"/>
                <w:highlight w:val="none"/>
                <w:u w:val="single"/>
              </w:rPr>
              <w:t>3</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highlight w:val="none"/>
              </w:rPr>
              <w:fldChar w:fldCharType="begin"/>
            </w:r>
            <w:r>
              <w:rPr>
                <w:highlight w:val="none"/>
              </w:rPr>
              <w:instrText xml:space="preserve"> HYPERLINK \l "_Toc25750588" </w:instrText>
            </w:r>
            <w:r>
              <w:rPr>
                <w:highlight w:val="none"/>
              </w:rPr>
              <w:fldChar w:fldCharType="separate"/>
            </w:r>
            <w:r>
              <w:rPr>
                <w:rFonts w:hint="eastAsia" w:ascii="宋体" w:hAnsi="宋体"/>
                <w:highlight w:val="none"/>
              </w:rPr>
              <w:t>第三章</w:t>
            </w:r>
            <w:r>
              <w:rPr>
                <w:rFonts w:hint="eastAsia" w:ascii="宋体" w:hAnsi="宋体"/>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合同条款及格式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cs="Arial"/>
                <w:kern w:val="2"/>
                <w:highlight w:val="none"/>
                <w:u w:val="single"/>
              </w:rPr>
              <w:t>4</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highlight w:val="none"/>
              </w:rPr>
              <w:fldChar w:fldCharType="begin"/>
            </w:r>
            <w:r>
              <w:rPr>
                <w:highlight w:val="none"/>
              </w:rPr>
              <w:instrText xml:space="preserve"> HYPERLINK \l "_Toc25750588" </w:instrText>
            </w:r>
            <w:r>
              <w:rPr>
                <w:highlight w:val="none"/>
              </w:rPr>
              <w:fldChar w:fldCharType="separate"/>
            </w:r>
            <w:r>
              <w:rPr>
                <w:rFonts w:hint="eastAsia" w:ascii="宋体" w:hAnsi="宋体"/>
                <w:highlight w:val="none"/>
              </w:rPr>
              <w:t>第四章</w:t>
            </w:r>
            <w:r>
              <w:rPr>
                <w:rFonts w:hint="eastAsia" w:ascii="宋体" w:hAnsi="宋体"/>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比选申请文件格式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hint="eastAsia" w:eastAsia="宋体" w:cs="Arial"/>
                <w:kern w:val="2"/>
                <w:highlight w:val="none"/>
                <w:u w:val="single"/>
                <w:lang w:val="en-US" w:eastAsia="zh-CN"/>
              </w:rPr>
            </w:pPr>
            <w:r>
              <w:rPr>
                <w:rFonts w:hint="eastAsia" w:cs="Arial"/>
                <w:kern w:val="2"/>
                <w:highlight w:val="none"/>
                <w:u w:val="single"/>
                <w:lang w:val="en-US" w:eastAsia="zh-CN"/>
              </w:rPr>
              <w:t>5</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hint="eastAsia" w:eastAsia="宋体"/>
                <w:highlight w:val="none"/>
                <w:lang w:val="en-US" w:eastAsia="zh-CN"/>
              </w:rPr>
            </w:pPr>
            <w:r>
              <w:rPr>
                <w:rFonts w:hint="eastAsia"/>
                <w:highlight w:val="none"/>
                <w:lang w:val="en-US" w:eastAsia="zh-CN"/>
              </w:rPr>
              <w:t>第五章</w:t>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hint="default" w:ascii="宋体" w:hAnsi="宋体" w:eastAsia="宋体"/>
                <w:highlight w:val="none"/>
                <w:lang w:val="en-US" w:eastAsia="zh-CN"/>
              </w:rPr>
            </w:pPr>
            <w:r>
              <w:rPr>
                <w:rFonts w:hint="eastAsia" w:ascii="宋体" w:hAnsi="宋体"/>
                <w:highlight w:val="none"/>
                <w:lang w:val="en-US" w:eastAsia="zh-CN"/>
              </w:rPr>
              <w:t>发包人要求</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widowControl w:val="0"/>
              <w:rPr>
                <w:rFonts w:cs="Arial"/>
                <w:kern w:val="2"/>
                <w:highlight w:val="none"/>
              </w:rPr>
            </w:pPr>
            <w:r>
              <w:rPr>
                <w:rFonts w:hint="eastAsia" w:cs="Arial"/>
                <w:highlight w:val="none"/>
              </w:rPr>
              <w:t>我方确认：除了表中所列的条款外，我方的比选申请函将依从比选文件对于技术的全部要求和规定。</w:t>
            </w:r>
          </w:p>
        </w:tc>
      </w:tr>
    </w:tbl>
    <w:p>
      <w:pPr>
        <w:snapToGrid w:val="0"/>
        <w:spacing w:after="50" w:line="280" w:lineRule="exact"/>
        <w:ind w:left="955" w:leftChars="455" w:right="-817" w:firstLine="2832" w:firstLineChars="1349"/>
        <w:rPr>
          <w:rFonts w:ascii="宋体" w:hAnsi="宋体"/>
          <w:highlight w:val="none"/>
        </w:rPr>
      </w:pPr>
    </w:p>
    <w:p>
      <w:pPr>
        <w:snapToGrid w:val="0"/>
        <w:spacing w:after="50" w:line="280" w:lineRule="exact"/>
        <w:ind w:left="955" w:leftChars="455" w:right="-817" w:firstLine="2832" w:firstLineChars="1349"/>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hint="eastAsia" w:ascii="宋体" w:hAnsi="宋体"/>
          <w:highlight w:val="none"/>
        </w:rPr>
        <w:t xml:space="preserve"> 法定代表人或被授权人（签字）：</w:t>
      </w:r>
    </w:p>
    <w:p>
      <w:pPr>
        <w:spacing w:before="0"/>
        <w:ind w:right="-57" w:firstLine="0"/>
        <w:jc w:val="center"/>
        <w:rPr>
          <w:rFonts w:ascii="宋体" w:hAnsi="宋体"/>
          <w:highlight w:val="none"/>
        </w:rPr>
      </w:pPr>
      <w:r>
        <w:rPr>
          <w:rFonts w:hint="eastAsia" w:ascii="宋体" w:hAnsi="宋体"/>
          <w:highlight w:val="none"/>
        </w:rPr>
        <w:t>日  期：  年  月  日</w:t>
      </w:r>
    </w:p>
    <w:p>
      <w:pPr>
        <w:spacing w:before="0" w:after="0" w:afterAutospacing="0"/>
        <w:ind w:left="607" w:right="0" w:hanging="607" w:hangingChars="336"/>
        <w:rPr>
          <w:rFonts w:ascii="宋体" w:hAnsi="宋体"/>
          <w:b/>
          <w:sz w:val="18"/>
          <w:szCs w:val="18"/>
          <w:highlight w:val="none"/>
        </w:rPr>
      </w:pPr>
      <w:r>
        <w:rPr>
          <w:rFonts w:ascii="宋体" w:hAnsi="宋体"/>
          <w:b/>
          <w:sz w:val="18"/>
          <w:szCs w:val="18"/>
          <w:highlight w:val="none"/>
        </w:rPr>
        <w:t>说明：</w:t>
      </w:r>
    </w:p>
    <w:p>
      <w:pPr>
        <w:pStyle w:val="44"/>
        <w:tabs>
          <w:tab w:val="left" w:pos="720"/>
        </w:tabs>
        <w:spacing w:before="0" w:after="0" w:afterAutospacing="0"/>
        <w:ind w:left="0" w:right="0" w:firstLine="360" w:firstLineChars="200"/>
        <w:rPr>
          <w:rFonts w:ascii="宋体" w:hAnsi="宋体"/>
          <w:sz w:val="18"/>
          <w:szCs w:val="18"/>
          <w:highlight w:val="none"/>
        </w:rPr>
      </w:pPr>
      <w:r>
        <w:rPr>
          <w:rFonts w:hint="eastAsia" w:ascii="宋体" w:hAnsi="宋体"/>
          <w:sz w:val="18"/>
          <w:szCs w:val="18"/>
          <w:highlight w:val="none"/>
        </w:rPr>
        <w:t>1.对完全响应的条目在本表“偏离情况”列中选注“完全响应”。对有偏离的条目在本表“偏离情况”列中选注“正偏离”或“负偏离”，并对“正偏离”或“负偏离”加以说明。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360" w:firstLineChars="200"/>
        <w:rPr>
          <w:rFonts w:ascii="宋体" w:hAnsi="宋体"/>
          <w:sz w:val="18"/>
          <w:szCs w:val="18"/>
          <w:highlight w:val="none"/>
        </w:rPr>
      </w:pPr>
      <w:r>
        <w:rPr>
          <w:rFonts w:hint="eastAsia" w:ascii="宋体" w:hAnsi="宋体"/>
          <w:sz w:val="18"/>
          <w:szCs w:val="18"/>
          <w:highlight w:val="none"/>
        </w:rPr>
        <w:t>2.</w:t>
      </w:r>
      <w:r>
        <w:rPr>
          <w:rFonts w:ascii="宋体" w:hAnsi="宋体"/>
          <w:sz w:val="18"/>
          <w:szCs w:val="18"/>
          <w:highlight w:val="none"/>
        </w:rPr>
        <w:t>正偏离是指应答的条件高于比选文件要求，负偏离是指应答的条件低于比选文件要求。</w:t>
      </w:r>
    </w:p>
    <w:p>
      <w:pPr>
        <w:tabs>
          <w:tab w:val="left" w:pos="720"/>
        </w:tabs>
        <w:spacing w:before="0" w:after="0" w:afterAutospacing="0"/>
        <w:ind w:left="0" w:right="0" w:firstLine="360" w:firstLineChars="200"/>
        <w:rPr>
          <w:rFonts w:ascii="宋体" w:hAnsi="宋体"/>
          <w:sz w:val="18"/>
          <w:szCs w:val="18"/>
          <w:highlight w:val="none"/>
        </w:rPr>
      </w:pPr>
      <w:r>
        <w:rPr>
          <w:rFonts w:hint="eastAsia" w:ascii="宋体" w:hAnsi="宋体"/>
          <w:sz w:val="18"/>
          <w:szCs w:val="18"/>
          <w:highlight w:val="none"/>
        </w:rPr>
        <w:t>3.</w:t>
      </w:r>
      <w:r>
        <w:rPr>
          <w:rFonts w:ascii="宋体" w:hAnsi="宋体"/>
          <w:sz w:val="18"/>
          <w:szCs w:val="18"/>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sz w:val="18"/>
          <w:szCs w:val="18"/>
          <w:highlight w:val="none"/>
        </w:rPr>
        <w:t xml:space="preserve">。     </w:t>
      </w:r>
    </w:p>
    <w:p>
      <w:pPr>
        <w:spacing w:before="0"/>
        <w:ind w:left="105" w:leftChars="50" w:right="-57" w:firstLine="271" w:firstLineChars="150"/>
        <w:rPr>
          <w:rFonts w:ascii="宋体" w:hAnsi="宋体"/>
          <w:b/>
          <w:sz w:val="18"/>
          <w:szCs w:val="18"/>
          <w:highlight w:val="none"/>
        </w:rPr>
      </w:pPr>
      <w:r>
        <w:rPr>
          <w:rFonts w:hint="eastAsia" w:ascii="宋体" w:hAnsi="宋体"/>
          <w:b/>
          <w:sz w:val="18"/>
          <w:szCs w:val="18"/>
          <w:highlight w:val="none"/>
        </w:rPr>
        <w:t>6.如有任意一项负偏离，比选申请人将不能通过符合性评审。</w:t>
      </w:r>
    </w:p>
    <w:p>
      <w:pPr>
        <w:pStyle w:val="5"/>
        <w:tabs>
          <w:tab w:val="left" w:pos="567"/>
          <w:tab w:val="left" w:pos="720"/>
        </w:tabs>
        <w:snapToGrid w:val="0"/>
        <w:spacing w:after="100" w:line="360" w:lineRule="auto"/>
        <w:ind w:right="-57" w:firstLine="0"/>
        <w:jc w:val="left"/>
        <w:rPr>
          <w:rFonts w:ascii="宋体" w:hAnsi="宋体" w:eastAsia="宋体"/>
          <w:sz w:val="18"/>
          <w:szCs w:val="18"/>
          <w:highlight w:val="none"/>
        </w:rPr>
        <w:sectPr>
          <w:pgSz w:w="11905" w:h="16838"/>
          <w:pgMar w:top="1418" w:right="1418" w:bottom="1304" w:left="1418" w:header="454" w:footer="567" w:gutter="0"/>
          <w:cols w:space="720" w:num="1"/>
          <w:docGrid w:linePitch="312" w:charSpace="0"/>
        </w:sectPr>
      </w:pPr>
      <w:bookmarkStart w:id="1313" w:name="_Toc25750685"/>
    </w:p>
    <w:bookmarkEnd w:id="1313"/>
    <w:p>
      <w:pPr>
        <w:pStyle w:val="5"/>
        <w:tabs>
          <w:tab w:val="left" w:pos="567"/>
          <w:tab w:val="left" w:pos="720"/>
        </w:tabs>
        <w:snapToGrid w:val="0"/>
        <w:spacing w:before="120" w:after="0" w:line="360" w:lineRule="auto"/>
        <w:ind w:right="-57" w:firstLine="0"/>
        <w:jc w:val="left"/>
        <w:rPr>
          <w:rFonts w:ascii="宋体" w:hAnsi="宋体" w:eastAsia="宋体"/>
          <w:sz w:val="21"/>
          <w:szCs w:val="21"/>
          <w:highlight w:val="none"/>
        </w:rPr>
      </w:pPr>
      <w:bookmarkStart w:id="1314" w:name="_Toc114134672"/>
      <w:bookmarkStart w:id="1315" w:name="_Toc25750687"/>
      <w:r>
        <w:rPr>
          <w:rFonts w:hint="eastAsia" w:ascii="宋体" w:hAnsi="宋体" w:eastAsia="宋体"/>
          <w:sz w:val="21"/>
          <w:szCs w:val="21"/>
          <w:highlight w:val="none"/>
        </w:rPr>
        <w:t>C2商务响应表</w:t>
      </w:r>
      <w:r>
        <w:rPr>
          <w:rFonts w:ascii="宋体" w:hAnsi="宋体" w:eastAsia="宋体"/>
          <w:sz w:val="21"/>
          <w:szCs w:val="21"/>
          <w:highlight w:val="none"/>
        </w:rPr>
        <w:t>格式</w:t>
      </w:r>
      <w:bookmarkEnd w:id="1314"/>
      <w:bookmarkEnd w:id="1315"/>
    </w:p>
    <w:p>
      <w:pPr>
        <w:ind w:right="-57" w:firstLine="0"/>
        <w:jc w:val="center"/>
        <w:rPr>
          <w:rFonts w:ascii="宋体" w:hAnsi="宋体"/>
          <w:b/>
          <w:highlight w:val="none"/>
        </w:rPr>
      </w:pPr>
      <w:r>
        <w:rPr>
          <w:rFonts w:hint="eastAsia" w:ascii="宋体" w:hAnsi="宋体"/>
          <w:b/>
          <w:highlight w:val="none"/>
        </w:rPr>
        <w:t>商务响应表</w:t>
      </w:r>
    </w:p>
    <w:p>
      <w:pPr>
        <w:spacing w:before="0" w:after="0" w:afterAutospacing="0"/>
        <w:ind w:right="-57" w:firstLine="0"/>
        <w:jc w:val="left"/>
        <w:rPr>
          <w:rFonts w:ascii="宋体" w:hAnsi="宋体"/>
          <w:highlight w:val="none"/>
          <w:u w:val="single"/>
        </w:rPr>
      </w:pPr>
      <w:r>
        <w:rPr>
          <w:rFonts w:hint="eastAsia" w:ascii="宋体" w:hAnsi="宋体"/>
          <w:highlight w:val="none"/>
        </w:rPr>
        <w:t>项目名称：</w:t>
      </w:r>
    </w:p>
    <w:tbl>
      <w:tblPr>
        <w:tblStyle w:val="31"/>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napToGrid w:val="0"/>
        <w:spacing w:after="50"/>
        <w:ind w:right="-57" w:firstLine="0"/>
        <w:rPr>
          <w:rFonts w:ascii="宋体" w:hAnsi="宋体"/>
          <w:spacing w:val="20"/>
          <w:sz w:val="24"/>
          <w:szCs w:val="24"/>
          <w:highlight w:val="none"/>
        </w:rPr>
      </w:pPr>
      <w:r>
        <w:rPr>
          <w:rFonts w:hint="eastAsia" w:ascii="宋体" w:hAnsi="宋体"/>
          <w:b/>
          <w:highlight w:val="none"/>
        </w:rPr>
        <w:t>注：上述响应要求必须全部为“完全响应”，否则，比选申请人将不能通过符合性评审。</w:t>
      </w:r>
    </w:p>
    <w:p>
      <w:pPr>
        <w:snapToGrid w:val="0"/>
        <w:spacing w:after="50"/>
        <w:ind w:right="-57" w:firstLine="0"/>
        <w:rPr>
          <w:rFonts w:ascii="宋体" w:hAnsi="宋体"/>
          <w:spacing w:val="20"/>
          <w:sz w:val="24"/>
          <w:szCs w:val="24"/>
          <w:highlight w:val="none"/>
        </w:rPr>
      </w:pPr>
    </w:p>
    <w:p>
      <w:pPr>
        <w:snapToGrid w:val="0"/>
        <w:spacing w:after="50" w:line="280" w:lineRule="exact"/>
        <w:ind w:left="953" w:right="-817" w:firstLine="1443"/>
        <w:rPr>
          <w:rFonts w:ascii="宋体" w:hAnsi="宋体"/>
          <w:sz w:val="24"/>
          <w:szCs w:val="24"/>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法定代表人或被授权人（签字）：</w:t>
      </w:r>
    </w:p>
    <w:p>
      <w:pPr>
        <w:spacing w:before="0"/>
        <w:ind w:right="-57" w:firstLine="0"/>
        <w:jc w:val="center"/>
        <w:rPr>
          <w:rFonts w:ascii="宋体" w:hAnsi="宋体"/>
          <w:highlight w:val="none"/>
        </w:rPr>
      </w:pPr>
      <w:r>
        <w:rPr>
          <w:rFonts w:hint="eastAsia" w:ascii="宋体" w:hAnsi="宋体"/>
          <w:highlight w:val="none"/>
        </w:rPr>
        <w:t>日期：年月日</w:t>
      </w:r>
    </w:p>
    <w:p>
      <w:pPr>
        <w:spacing w:before="0"/>
        <w:ind w:left="105" w:leftChars="50" w:right="-57" w:firstLine="316" w:firstLineChars="150"/>
        <w:rPr>
          <w:rFonts w:ascii="宋体" w:hAnsi="宋体"/>
          <w:b/>
          <w:highlight w:val="none"/>
        </w:rPr>
      </w:pPr>
    </w:p>
    <w:p>
      <w:pPr>
        <w:spacing w:before="0" w:after="0" w:afterAutospacing="0" w:line="240" w:lineRule="auto"/>
        <w:ind w:left="0" w:right="0" w:firstLine="0"/>
        <w:jc w:val="left"/>
        <w:rPr>
          <w:rStyle w:val="49"/>
          <w:rFonts w:ascii="宋体" w:hAnsi="宋体" w:eastAsia="宋体" w:cs="宋体"/>
          <w:highlight w:val="none"/>
        </w:rPr>
      </w:pPr>
      <w:bookmarkStart w:id="1316" w:name="_Toc16754"/>
      <w:bookmarkStart w:id="1317" w:name="_Toc5010"/>
      <w:bookmarkStart w:id="1318" w:name="_Toc492478835"/>
      <w:bookmarkStart w:id="1319" w:name="_Toc14566"/>
      <w:bookmarkStart w:id="1320" w:name="_Toc13941"/>
      <w:bookmarkStart w:id="1321" w:name="_Toc30897"/>
      <w:bookmarkStart w:id="1322" w:name="_Toc25061"/>
      <w:bookmarkStart w:id="1323" w:name="_Toc6337"/>
      <w:bookmarkStart w:id="1324" w:name="_Toc6454"/>
      <w:bookmarkStart w:id="1325" w:name="_Toc25750688"/>
      <w:bookmarkStart w:id="1326" w:name="_Toc26409"/>
      <w:bookmarkStart w:id="1327" w:name="_Toc21321"/>
      <w:bookmarkStart w:id="1328" w:name="_Toc20298"/>
      <w:bookmarkStart w:id="1329" w:name="_Toc328"/>
      <w:bookmarkStart w:id="1330" w:name="_Toc28535"/>
      <w:bookmarkStart w:id="1331" w:name="_Toc31681"/>
      <w:bookmarkStart w:id="1332" w:name="_Toc9597"/>
      <w:bookmarkStart w:id="1333" w:name="_Toc28135"/>
      <w:bookmarkStart w:id="1334" w:name="_Toc12695"/>
      <w:r>
        <w:rPr>
          <w:rStyle w:val="49"/>
          <w:rFonts w:ascii="宋体" w:hAnsi="宋体" w:eastAsia="宋体"/>
          <w:highlight w:val="none"/>
        </w:rPr>
        <w:br w:type="page"/>
      </w:r>
    </w:p>
    <w:p>
      <w:pPr>
        <w:pStyle w:val="5"/>
        <w:tabs>
          <w:tab w:val="left" w:pos="567"/>
          <w:tab w:val="left" w:pos="720"/>
        </w:tabs>
        <w:snapToGrid w:val="0"/>
        <w:spacing w:before="120" w:after="0" w:line="360" w:lineRule="auto"/>
        <w:ind w:right="-57"/>
        <w:jc w:val="left"/>
        <w:rPr>
          <w:rFonts w:ascii="宋体" w:hAnsi="宋体" w:eastAsia="宋体"/>
          <w:sz w:val="21"/>
          <w:szCs w:val="21"/>
          <w:highlight w:val="none"/>
        </w:rPr>
      </w:pPr>
      <w:bookmarkStart w:id="1335" w:name="_Toc114134673"/>
      <w:r>
        <w:rPr>
          <w:rFonts w:hint="eastAsia" w:ascii="宋体" w:hAnsi="宋体" w:eastAsia="宋体"/>
          <w:sz w:val="21"/>
          <w:szCs w:val="21"/>
          <w:highlight w:val="none"/>
        </w:rPr>
        <w:t>C4 项目人员配置</w:t>
      </w:r>
      <w:bookmarkEnd w:id="1335"/>
      <w:bookmarkStart w:id="1336" w:name="_Toc100643473"/>
      <w:bookmarkStart w:id="1337" w:name="_Toc30537"/>
      <w:bookmarkStart w:id="1338" w:name="_Toc115251132"/>
      <w:bookmarkStart w:id="1339" w:name="_Toc21515"/>
    </w:p>
    <w:p>
      <w:pPr>
        <w:numPr>
          <w:ilvl w:val="255"/>
          <w:numId w:val="0"/>
        </w:numPr>
        <w:rPr>
          <w:b/>
          <w:bCs/>
          <w:sz w:val="24"/>
          <w:szCs w:val="24"/>
          <w:highlight w:val="none"/>
        </w:rPr>
      </w:pPr>
      <w:r>
        <w:rPr>
          <w:rFonts w:hint="eastAsia"/>
          <w:b/>
          <w:bCs/>
          <w:sz w:val="24"/>
          <w:szCs w:val="24"/>
          <w:highlight w:val="none"/>
        </w:rPr>
        <w:t>C</w:t>
      </w:r>
      <w:r>
        <w:rPr>
          <w:b/>
          <w:bCs/>
          <w:sz w:val="24"/>
          <w:szCs w:val="24"/>
          <w:highlight w:val="none"/>
        </w:rPr>
        <w:t>4</w:t>
      </w:r>
      <w:r>
        <w:rPr>
          <w:rFonts w:hint="eastAsia"/>
          <w:b/>
          <w:bCs/>
          <w:sz w:val="24"/>
          <w:szCs w:val="24"/>
          <w:highlight w:val="none"/>
        </w:rPr>
        <w:t>-</w:t>
      </w:r>
      <w:r>
        <w:rPr>
          <w:b/>
          <w:bCs/>
          <w:sz w:val="24"/>
          <w:szCs w:val="24"/>
          <w:highlight w:val="none"/>
        </w:rPr>
        <w:t>1</w:t>
      </w:r>
      <w:r>
        <w:rPr>
          <w:rFonts w:hint="eastAsia"/>
          <w:b/>
          <w:bCs/>
          <w:sz w:val="24"/>
          <w:szCs w:val="24"/>
          <w:highlight w:val="none"/>
        </w:rPr>
        <w:t>项目负责人简历及资质证书复印件</w:t>
      </w:r>
      <w:bookmarkEnd w:id="1336"/>
      <w:bookmarkEnd w:id="1337"/>
      <w:bookmarkEnd w:id="1338"/>
      <w:bookmarkEnd w:id="1339"/>
    </w:p>
    <w:p>
      <w:pPr>
        <w:numPr>
          <w:ilvl w:val="255"/>
          <w:numId w:val="0"/>
        </w:numPr>
        <w:rPr>
          <w:highlight w:val="none"/>
        </w:rPr>
      </w:pPr>
      <w:r>
        <w:rPr>
          <w:rFonts w:hint="eastAsia"/>
          <w:highlight w:val="none"/>
        </w:rPr>
        <w:t>项目名称：轨道御水上寓、剧场公寓、南宁市心圩车辆段配套租赁用房（一期）、御水江岸项目第三方工程质量安全评估采购</w:t>
      </w:r>
    </w:p>
    <w:tbl>
      <w:tblPr>
        <w:tblStyle w:val="31"/>
        <w:tblW w:w="9098"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308"/>
        <w:gridCol w:w="232"/>
        <w:gridCol w:w="1140"/>
        <w:gridCol w:w="435"/>
        <w:gridCol w:w="645"/>
        <w:gridCol w:w="92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姓名</w:t>
            </w:r>
          </w:p>
        </w:tc>
        <w:tc>
          <w:tcPr>
            <w:tcW w:w="26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性别</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年龄</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职务</w:t>
            </w:r>
          </w:p>
        </w:tc>
        <w:tc>
          <w:tcPr>
            <w:tcW w:w="26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职称</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学历</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参加工作时间</w:t>
            </w:r>
          </w:p>
        </w:tc>
        <w:tc>
          <w:tcPr>
            <w:tcW w:w="189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31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担任项目负责人年限</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执业或职业资格证明</w:t>
            </w:r>
          </w:p>
        </w:tc>
        <w:tc>
          <w:tcPr>
            <w:tcW w:w="626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98"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在建和已完项目情况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建设单位</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项目名称</w:t>
            </w: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项目规模</w:t>
            </w:r>
          </w:p>
        </w:tc>
        <w:tc>
          <w:tcPr>
            <w:tcW w:w="18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开、竣工</w:t>
            </w:r>
          </w:p>
          <w:p>
            <w:pPr>
              <w:jc w:val="center"/>
              <w:rPr>
                <w:rFonts w:ascii="宋体" w:hAnsi="宋体"/>
                <w:color w:val="000000"/>
                <w:highlight w:val="none"/>
              </w:rPr>
            </w:pPr>
            <w:r>
              <w:rPr>
                <w:rFonts w:hint="eastAsia" w:ascii="宋体" w:hAnsi="宋体"/>
                <w:color w:val="000000"/>
                <w:highlight w:val="none"/>
              </w:rPr>
              <w:t>日期</w:t>
            </w: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在建或已完</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r>
              <w:rPr>
                <w:rFonts w:hint="eastAsia" w:ascii="宋体" w:hAnsi="宋体"/>
                <w:color w:val="000000"/>
                <w:highlight w:val="none"/>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8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8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8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8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highlight w:val="none"/>
              </w:rPr>
            </w:pPr>
          </w:p>
        </w:tc>
      </w:tr>
    </w:tbl>
    <w:p>
      <w:pPr>
        <w:spacing w:before="0"/>
        <w:ind w:left="105" w:leftChars="50" w:right="-57" w:firstLine="316" w:firstLineChars="150"/>
        <w:rPr>
          <w:rFonts w:ascii="宋体" w:hAnsi="宋体"/>
          <w:b/>
          <w:highlight w:val="none"/>
        </w:rPr>
      </w:pPr>
      <w:r>
        <w:rPr>
          <w:rFonts w:hint="eastAsia" w:ascii="宋体" w:hAnsi="宋体"/>
          <w:b/>
          <w:highlight w:val="none"/>
        </w:rPr>
        <w:t>注：</w:t>
      </w:r>
    </w:p>
    <w:p>
      <w:pPr>
        <w:spacing w:before="0"/>
        <w:ind w:left="105" w:leftChars="50" w:right="-57" w:firstLine="316" w:firstLineChars="150"/>
        <w:rPr>
          <w:rFonts w:ascii="宋体" w:hAnsi="宋体"/>
          <w:b/>
          <w:highlight w:val="none"/>
        </w:rPr>
      </w:pPr>
      <w:r>
        <w:rPr>
          <w:rFonts w:hint="eastAsia" w:ascii="宋体" w:hAnsi="宋体"/>
          <w:b/>
          <w:highlight w:val="none"/>
        </w:rPr>
        <w:t>1、上诉项目负责人填报内容必须真实，若不真实，比价人有权追究申请比价人的责任；</w:t>
      </w:r>
    </w:p>
    <w:p>
      <w:pPr>
        <w:spacing w:before="0"/>
        <w:ind w:left="105" w:leftChars="50" w:right="-57" w:firstLine="316" w:firstLineChars="150"/>
        <w:rPr>
          <w:rFonts w:ascii="宋体" w:hAnsi="宋体"/>
          <w:b/>
          <w:highlight w:val="none"/>
        </w:rPr>
      </w:pPr>
      <w:r>
        <w:rPr>
          <w:rFonts w:hint="eastAsia" w:ascii="宋体" w:hAnsi="宋体"/>
          <w:b/>
          <w:highlight w:val="none"/>
        </w:rPr>
        <w:t>2、需附负责人相关执业或职业资格证书复印件证明材料；</w:t>
      </w:r>
    </w:p>
    <w:p>
      <w:pPr>
        <w:spacing w:before="0"/>
        <w:ind w:left="105" w:leftChars="50" w:right="-57" w:firstLine="316" w:firstLineChars="150"/>
        <w:rPr>
          <w:rFonts w:ascii="宋体" w:hAnsi="宋体"/>
          <w:b/>
          <w:highlight w:val="none"/>
        </w:rPr>
      </w:pPr>
      <w:r>
        <w:rPr>
          <w:rFonts w:hint="eastAsia" w:ascii="宋体" w:hAnsi="宋体"/>
          <w:b/>
          <w:highlight w:val="none"/>
        </w:rPr>
        <w:t>3、如确定为中选人，中选人未经比价人同意不得更换项目负责人，如中选人擅自更换将按合同违约的有关条款处理，且比价人有权解除合同。</w:t>
      </w:r>
    </w:p>
    <w:p>
      <w:pPr>
        <w:snapToGrid w:val="0"/>
        <w:spacing w:before="0" w:after="0" w:afterAutospacing="0" w:line="400" w:lineRule="exact"/>
        <w:ind w:left="0" w:right="0" w:firstLine="426"/>
        <w:rPr>
          <w:rFonts w:ascii="宋体" w:hAnsi="宋体"/>
          <w:highlight w:val="none"/>
        </w:rPr>
      </w:pPr>
      <w:r>
        <w:rPr>
          <w:rFonts w:hint="eastAsia" w:ascii="宋体" w:hAnsi="宋体"/>
          <w:highlight w:val="none"/>
        </w:rPr>
        <w:t>比选申请</w:t>
      </w:r>
      <w:r>
        <w:rPr>
          <w:rFonts w:ascii="宋体" w:hAnsi="宋体"/>
          <w:highlight w:val="none"/>
        </w:rPr>
        <w:t>人</w:t>
      </w:r>
      <w:r>
        <w:rPr>
          <w:rFonts w:hint="eastAsia" w:ascii="宋体" w:hAnsi="宋体"/>
          <w:highlight w:val="none"/>
        </w:rPr>
        <w:t>：</w:t>
      </w:r>
      <w:r>
        <w:rPr>
          <w:rFonts w:ascii="宋体" w:hAnsi="宋体"/>
          <w:highlight w:val="none"/>
          <w:u w:val="single"/>
        </w:rPr>
        <w:t xml:space="preserve"> </w:t>
      </w:r>
      <w:r>
        <w:rPr>
          <w:rFonts w:hint="eastAsia" w:ascii="宋体" w:hAnsi="宋体" w:cs="Arial"/>
          <w:color w:val="FF0000"/>
          <w:highlight w:val="none"/>
          <w:u w:val="single"/>
        </w:rPr>
        <w:t>（填写）</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p>
    <w:p>
      <w:pPr>
        <w:snapToGrid w:val="0"/>
        <w:spacing w:before="0" w:after="0" w:afterAutospacing="0" w:line="400" w:lineRule="exact"/>
        <w:ind w:left="0" w:right="0" w:firstLine="426"/>
        <w:rPr>
          <w:rFonts w:ascii="宋体" w:hAnsi="宋体"/>
          <w:highlight w:val="none"/>
          <w:u w:val="single"/>
        </w:rPr>
      </w:pPr>
      <w:r>
        <w:rPr>
          <w:rFonts w:hint="eastAsia" w:ascii="宋体" w:hAnsi="宋体"/>
          <w:highlight w:val="none"/>
        </w:rPr>
        <w:t>法定代表人（或委托代理人）：</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napToGrid w:val="0"/>
        <w:spacing w:before="0" w:after="0" w:afterAutospacing="0" w:line="400" w:lineRule="exact"/>
        <w:ind w:left="0" w:right="0" w:firstLine="426"/>
        <w:rPr>
          <w:rFonts w:ascii="宋体" w:hAnsi="宋体"/>
          <w:highlight w:val="none"/>
        </w:rPr>
      </w:pPr>
      <w:r>
        <w:rPr>
          <w:rFonts w:ascii="宋体" w:hAnsi="宋体"/>
          <w:highlight w:val="none"/>
        </w:rPr>
        <w:t>日期：年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pStyle w:val="2"/>
        <w:ind w:firstLine="480"/>
        <w:rPr>
          <w:highlight w:val="none"/>
        </w:rPr>
      </w:pPr>
      <w:r>
        <w:rPr>
          <w:highlight w:val="none"/>
        </w:rPr>
        <w:br w:type="page"/>
      </w:r>
    </w:p>
    <w:p>
      <w:pPr>
        <w:snapToGrid w:val="0"/>
        <w:spacing w:before="0" w:after="0" w:afterAutospacing="0" w:line="400" w:lineRule="exact"/>
        <w:ind w:left="0" w:right="0" w:firstLine="426"/>
        <w:rPr>
          <w:rFonts w:ascii="宋体" w:hAnsi="宋体"/>
          <w:highlight w:val="none"/>
        </w:rPr>
      </w:pPr>
    </w:p>
    <w:p>
      <w:pPr>
        <w:numPr>
          <w:ilvl w:val="255"/>
          <w:numId w:val="0"/>
        </w:numPr>
        <w:rPr>
          <w:b/>
          <w:bCs/>
          <w:sz w:val="24"/>
          <w:szCs w:val="24"/>
          <w:highlight w:val="none"/>
        </w:rPr>
      </w:pPr>
      <w:bookmarkStart w:id="1340" w:name="_Toc115251133"/>
      <w:r>
        <w:rPr>
          <w:rFonts w:hint="eastAsia"/>
          <w:b/>
          <w:bCs/>
          <w:sz w:val="24"/>
          <w:szCs w:val="24"/>
          <w:highlight w:val="none"/>
        </w:rPr>
        <w:t>C</w:t>
      </w:r>
      <w:r>
        <w:rPr>
          <w:b/>
          <w:bCs/>
          <w:sz w:val="24"/>
          <w:szCs w:val="24"/>
          <w:highlight w:val="none"/>
        </w:rPr>
        <w:t>4</w:t>
      </w:r>
      <w:r>
        <w:rPr>
          <w:rFonts w:hint="eastAsia"/>
          <w:b/>
          <w:bCs/>
          <w:sz w:val="24"/>
          <w:szCs w:val="24"/>
          <w:highlight w:val="none"/>
        </w:rPr>
        <w:t>-</w:t>
      </w:r>
      <w:r>
        <w:rPr>
          <w:b/>
          <w:bCs/>
          <w:sz w:val="24"/>
          <w:szCs w:val="24"/>
          <w:highlight w:val="none"/>
        </w:rPr>
        <w:t>2</w:t>
      </w:r>
      <w:bookmarkEnd w:id="1340"/>
      <w:r>
        <w:rPr>
          <w:rFonts w:hint="eastAsia"/>
          <w:b/>
          <w:bCs/>
          <w:sz w:val="24"/>
          <w:szCs w:val="24"/>
          <w:highlight w:val="none"/>
        </w:rPr>
        <w:t>除项目负责人外其他成员简历及资质证书复印件</w:t>
      </w:r>
    </w:p>
    <w:p>
      <w:pPr>
        <w:numPr>
          <w:ilvl w:val="255"/>
          <w:numId w:val="0"/>
        </w:numPr>
        <w:rPr>
          <w:highlight w:val="none"/>
        </w:rPr>
      </w:pPr>
      <w:r>
        <w:rPr>
          <w:rFonts w:hint="eastAsia"/>
          <w:highlight w:val="none"/>
        </w:rPr>
        <w:t>项目名称：轨道御水上寓、剧场公寓、南宁市心圩车辆段配套租赁用房（一期）、御水江岸项目第三方工程质量安全评估采购</w:t>
      </w:r>
    </w:p>
    <w:tbl>
      <w:tblPr>
        <w:tblStyle w:val="32"/>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73"/>
        <w:gridCol w:w="1855"/>
        <w:gridCol w:w="1964"/>
        <w:gridCol w:w="154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69"/>
              <w:ind w:left="0" w:firstLine="0"/>
              <w:jc w:val="center"/>
              <w:rPr>
                <w:rFonts w:hint="eastAsia" w:ascii="宋体" w:hAnsi="宋体"/>
                <w:color w:val="000000"/>
                <w:sz w:val="21"/>
                <w:szCs w:val="21"/>
                <w:highlight w:val="none"/>
              </w:rPr>
            </w:pPr>
            <w:r>
              <w:rPr>
                <w:rFonts w:hint="eastAsia" w:ascii="宋体" w:hAnsi="宋体"/>
                <w:color w:val="000000"/>
                <w:sz w:val="21"/>
                <w:szCs w:val="21"/>
                <w:highlight w:val="none"/>
              </w:rPr>
              <w:t>序号</w:t>
            </w:r>
          </w:p>
        </w:tc>
        <w:tc>
          <w:tcPr>
            <w:tcW w:w="873" w:type="dxa"/>
            <w:vAlign w:val="center"/>
          </w:tcPr>
          <w:p>
            <w:pPr>
              <w:pStyle w:val="69"/>
              <w:ind w:left="0" w:firstLine="0"/>
              <w:jc w:val="center"/>
              <w:rPr>
                <w:rFonts w:hint="eastAsia" w:ascii="宋体" w:hAnsi="宋体"/>
                <w:color w:val="000000"/>
                <w:sz w:val="21"/>
                <w:szCs w:val="21"/>
                <w:highlight w:val="none"/>
              </w:rPr>
            </w:pPr>
            <w:r>
              <w:rPr>
                <w:rFonts w:hint="eastAsia" w:ascii="宋体" w:hAnsi="宋体"/>
                <w:color w:val="000000"/>
                <w:sz w:val="21"/>
                <w:szCs w:val="21"/>
                <w:highlight w:val="none"/>
              </w:rPr>
              <w:t>姓名</w:t>
            </w:r>
          </w:p>
        </w:tc>
        <w:tc>
          <w:tcPr>
            <w:tcW w:w="1855" w:type="dxa"/>
            <w:vAlign w:val="center"/>
          </w:tcPr>
          <w:p>
            <w:pPr>
              <w:pStyle w:val="69"/>
              <w:ind w:left="0" w:firstLine="0"/>
              <w:jc w:val="center"/>
              <w:rPr>
                <w:rFonts w:hint="eastAsia" w:ascii="宋体" w:hAnsi="宋体"/>
                <w:color w:val="000000"/>
                <w:sz w:val="21"/>
                <w:szCs w:val="21"/>
                <w:highlight w:val="none"/>
              </w:rPr>
            </w:pPr>
            <w:r>
              <w:rPr>
                <w:rFonts w:hint="eastAsia" w:ascii="宋体" w:hAnsi="宋体"/>
                <w:color w:val="000000"/>
                <w:sz w:val="21"/>
                <w:szCs w:val="21"/>
                <w:highlight w:val="none"/>
              </w:rPr>
              <w:t>性别</w:t>
            </w:r>
          </w:p>
        </w:tc>
        <w:tc>
          <w:tcPr>
            <w:tcW w:w="1964" w:type="dxa"/>
            <w:vAlign w:val="center"/>
          </w:tcPr>
          <w:p>
            <w:pPr>
              <w:pStyle w:val="69"/>
              <w:ind w:left="0" w:firstLine="0"/>
              <w:jc w:val="center"/>
              <w:rPr>
                <w:rFonts w:hint="eastAsia" w:ascii="宋体" w:hAnsi="宋体"/>
                <w:color w:val="000000"/>
                <w:sz w:val="21"/>
                <w:szCs w:val="21"/>
                <w:highlight w:val="none"/>
              </w:rPr>
            </w:pPr>
            <w:r>
              <w:rPr>
                <w:rFonts w:hint="eastAsia" w:ascii="宋体" w:hAnsi="宋体"/>
                <w:color w:val="000000"/>
                <w:sz w:val="21"/>
                <w:szCs w:val="21"/>
                <w:highlight w:val="none"/>
              </w:rPr>
              <w:t>职称</w:t>
            </w:r>
          </w:p>
        </w:tc>
        <w:tc>
          <w:tcPr>
            <w:tcW w:w="1545" w:type="dxa"/>
            <w:vAlign w:val="center"/>
          </w:tcPr>
          <w:p>
            <w:pPr>
              <w:pStyle w:val="69"/>
              <w:jc w:val="center"/>
              <w:rPr>
                <w:rFonts w:hint="eastAsia" w:ascii="宋体" w:hAnsi="宋体"/>
                <w:color w:val="000000"/>
                <w:sz w:val="21"/>
                <w:szCs w:val="21"/>
                <w:highlight w:val="none"/>
              </w:rPr>
            </w:pPr>
            <w:r>
              <w:rPr>
                <w:rFonts w:hint="eastAsia" w:ascii="宋体" w:hAnsi="宋体"/>
                <w:color w:val="000000"/>
                <w:sz w:val="21"/>
                <w:szCs w:val="21"/>
                <w:highlight w:val="none"/>
              </w:rPr>
              <w:t>工作年限</w:t>
            </w:r>
          </w:p>
        </w:tc>
        <w:tc>
          <w:tcPr>
            <w:tcW w:w="2977" w:type="dxa"/>
            <w:vAlign w:val="center"/>
          </w:tcPr>
          <w:p>
            <w:pPr>
              <w:pStyle w:val="69"/>
              <w:ind w:left="0" w:firstLine="0"/>
              <w:jc w:val="center"/>
              <w:rPr>
                <w:rFonts w:hint="eastAsia" w:ascii="宋体" w:hAnsi="宋体"/>
                <w:color w:val="000000"/>
                <w:sz w:val="21"/>
                <w:szCs w:val="21"/>
                <w:highlight w:val="none"/>
              </w:rPr>
            </w:pPr>
            <w:r>
              <w:rPr>
                <w:rFonts w:hint="eastAsia" w:ascii="宋体" w:hAnsi="宋体"/>
                <w:color w:val="000000"/>
                <w:sz w:val="21"/>
                <w:szCs w:val="21"/>
                <w:highlight w:val="none"/>
              </w:rPr>
              <w:t>负责质量安全评估的在建和已完成项目名称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69"/>
              <w:ind w:left="420" w:firstLine="480"/>
              <w:jc w:val="center"/>
              <w:rPr>
                <w:highlight w:val="none"/>
              </w:rPr>
            </w:pPr>
          </w:p>
        </w:tc>
        <w:tc>
          <w:tcPr>
            <w:tcW w:w="873" w:type="dxa"/>
            <w:vAlign w:val="center"/>
          </w:tcPr>
          <w:p>
            <w:pPr>
              <w:pStyle w:val="69"/>
              <w:ind w:left="420" w:firstLine="480"/>
              <w:jc w:val="center"/>
              <w:rPr>
                <w:highlight w:val="none"/>
              </w:rPr>
            </w:pPr>
          </w:p>
        </w:tc>
        <w:tc>
          <w:tcPr>
            <w:tcW w:w="1855" w:type="dxa"/>
            <w:vAlign w:val="center"/>
          </w:tcPr>
          <w:p>
            <w:pPr>
              <w:pStyle w:val="69"/>
              <w:ind w:left="420" w:firstLine="480"/>
              <w:jc w:val="center"/>
              <w:rPr>
                <w:highlight w:val="none"/>
              </w:rPr>
            </w:pPr>
          </w:p>
        </w:tc>
        <w:tc>
          <w:tcPr>
            <w:tcW w:w="1964" w:type="dxa"/>
            <w:vAlign w:val="center"/>
          </w:tcPr>
          <w:p>
            <w:pPr>
              <w:pStyle w:val="69"/>
              <w:ind w:left="420" w:firstLine="480"/>
              <w:jc w:val="center"/>
              <w:rPr>
                <w:highlight w:val="none"/>
              </w:rPr>
            </w:pPr>
          </w:p>
        </w:tc>
        <w:tc>
          <w:tcPr>
            <w:tcW w:w="1545" w:type="dxa"/>
            <w:vAlign w:val="center"/>
          </w:tcPr>
          <w:p>
            <w:pPr>
              <w:pStyle w:val="69"/>
              <w:ind w:left="420" w:firstLine="480"/>
              <w:jc w:val="center"/>
              <w:rPr>
                <w:highlight w:val="none"/>
              </w:rPr>
            </w:pPr>
          </w:p>
        </w:tc>
        <w:tc>
          <w:tcPr>
            <w:tcW w:w="2977" w:type="dxa"/>
            <w:vAlign w:val="center"/>
          </w:tcPr>
          <w:p>
            <w:pPr>
              <w:pStyle w:val="69"/>
              <w:ind w:left="420" w:firstLine="48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69"/>
              <w:ind w:left="420" w:firstLine="480"/>
              <w:rPr>
                <w:highlight w:val="none"/>
              </w:rPr>
            </w:pPr>
          </w:p>
        </w:tc>
        <w:tc>
          <w:tcPr>
            <w:tcW w:w="873" w:type="dxa"/>
          </w:tcPr>
          <w:p>
            <w:pPr>
              <w:pStyle w:val="69"/>
              <w:ind w:left="420" w:firstLine="480"/>
              <w:rPr>
                <w:highlight w:val="none"/>
              </w:rPr>
            </w:pPr>
          </w:p>
        </w:tc>
        <w:tc>
          <w:tcPr>
            <w:tcW w:w="1855" w:type="dxa"/>
          </w:tcPr>
          <w:p>
            <w:pPr>
              <w:pStyle w:val="69"/>
              <w:ind w:left="420" w:firstLine="480"/>
              <w:rPr>
                <w:highlight w:val="none"/>
              </w:rPr>
            </w:pPr>
          </w:p>
        </w:tc>
        <w:tc>
          <w:tcPr>
            <w:tcW w:w="1964" w:type="dxa"/>
          </w:tcPr>
          <w:p>
            <w:pPr>
              <w:pStyle w:val="69"/>
              <w:ind w:left="420" w:firstLine="480"/>
              <w:rPr>
                <w:highlight w:val="none"/>
              </w:rPr>
            </w:pPr>
          </w:p>
        </w:tc>
        <w:tc>
          <w:tcPr>
            <w:tcW w:w="1545" w:type="dxa"/>
          </w:tcPr>
          <w:p>
            <w:pPr>
              <w:pStyle w:val="69"/>
              <w:ind w:left="420" w:firstLine="480"/>
              <w:rPr>
                <w:highlight w:val="none"/>
              </w:rPr>
            </w:pPr>
          </w:p>
        </w:tc>
        <w:tc>
          <w:tcPr>
            <w:tcW w:w="2977" w:type="dxa"/>
          </w:tcPr>
          <w:p>
            <w:pPr>
              <w:pStyle w:val="69"/>
              <w:ind w:left="420" w:firstLine="48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69"/>
              <w:ind w:left="420" w:firstLine="480"/>
              <w:rPr>
                <w:highlight w:val="none"/>
              </w:rPr>
            </w:pPr>
          </w:p>
        </w:tc>
        <w:tc>
          <w:tcPr>
            <w:tcW w:w="873" w:type="dxa"/>
          </w:tcPr>
          <w:p>
            <w:pPr>
              <w:pStyle w:val="69"/>
              <w:ind w:left="420" w:firstLine="480"/>
              <w:rPr>
                <w:highlight w:val="none"/>
              </w:rPr>
            </w:pPr>
          </w:p>
        </w:tc>
        <w:tc>
          <w:tcPr>
            <w:tcW w:w="1855" w:type="dxa"/>
          </w:tcPr>
          <w:p>
            <w:pPr>
              <w:pStyle w:val="69"/>
              <w:ind w:left="420" w:firstLine="480"/>
              <w:rPr>
                <w:highlight w:val="none"/>
              </w:rPr>
            </w:pPr>
          </w:p>
        </w:tc>
        <w:tc>
          <w:tcPr>
            <w:tcW w:w="1964" w:type="dxa"/>
          </w:tcPr>
          <w:p>
            <w:pPr>
              <w:pStyle w:val="69"/>
              <w:ind w:left="420" w:firstLine="480"/>
              <w:rPr>
                <w:highlight w:val="none"/>
              </w:rPr>
            </w:pPr>
          </w:p>
        </w:tc>
        <w:tc>
          <w:tcPr>
            <w:tcW w:w="1545" w:type="dxa"/>
          </w:tcPr>
          <w:p>
            <w:pPr>
              <w:pStyle w:val="69"/>
              <w:ind w:left="420" w:firstLine="480"/>
              <w:rPr>
                <w:highlight w:val="none"/>
              </w:rPr>
            </w:pPr>
          </w:p>
        </w:tc>
        <w:tc>
          <w:tcPr>
            <w:tcW w:w="2977" w:type="dxa"/>
          </w:tcPr>
          <w:p>
            <w:pPr>
              <w:pStyle w:val="69"/>
              <w:ind w:left="420" w:firstLine="48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69"/>
              <w:ind w:left="420" w:firstLine="480"/>
              <w:rPr>
                <w:highlight w:val="none"/>
              </w:rPr>
            </w:pPr>
          </w:p>
        </w:tc>
        <w:tc>
          <w:tcPr>
            <w:tcW w:w="873" w:type="dxa"/>
          </w:tcPr>
          <w:p>
            <w:pPr>
              <w:pStyle w:val="69"/>
              <w:ind w:left="420" w:firstLine="480"/>
              <w:rPr>
                <w:highlight w:val="none"/>
              </w:rPr>
            </w:pPr>
          </w:p>
        </w:tc>
        <w:tc>
          <w:tcPr>
            <w:tcW w:w="1855" w:type="dxa"/>
          </w:tcPr>
          <w:p>
            <w:pPr>
              <w:pStyle w:val="69"/>
              <w:ind w:left="420" w:firstLine="480"/>
              <w:rPr>
                <w:highlight w:val="none"/>
              </w:rPr>
            </w:pPr>
          </w:p>
        </w:tc>
        <w:tc>
          <w:tcPr>
            <w:tcW w:w="1964" w:type="dxa"/>
          </w:tcPr>
          <w:p>
            <w:pPr>
              <w:pStyle w:val="69"/>
              <w:ind w:left="420" w:firstLine="480"/>
              <w:rPr>
                <w:highlight w:val="none"/>
              </w:rPr>
            </w:pPr>
          </w:p>
        </w:tc>
        <w:tc>
          <w:tcPr>
            <w:tcW w:w="1545" w:type="dxa"/>
          </w:tcPr>
          <w:p>
            <w:pPr>
              <w:pStyle w:val="69"/>
              <w:ind w:left="420" w:firstLine="480"/>
              <w:rPr>
                <w:highlight w:val="none"/>
              </w:rPr>
            </w:pPr>
          </w:p>
        </w:tc>
        <w:tc>
          <w:tcPr>
            <w:tcW w:w="2977" w:type="dxa"/>
          </w:tcPr>
          <w:p>
            <w:pPr>
              <w:pStyle w:val="69"/>
              <w:ind w:left="420" w:firstLine="48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69"/>
              <w:ind w:left="420" w:firstLine="480"/>
              <w:rPr>
                <w:highlight w:val="none"/>
              </w:rPr>
            </w:pPr>
          </w:p>
        </w:tc>
        <w:tc>
          <w:tcPr>
            <w:tcW w:w="873" w:type="dxa"/>
          </w:tcPr>
          <w:p>
            <w:pPr>
              <w:pStyle w:val="69"/>
              <w:ind w:left="420" w:firstLine="480"/>
              <w:rPr>
                <w:highlight w:val="none"/>
              </w:rPr>
            </w:pPr>
          </w:p>
        </w:tc>
        <w:tc>
          <w:tcPr>
            <w:tcW w:w="1855" w:type="dxa"/>
          </w:tcPr>
          <w:p>
            <w:pPr>
              <w:pStyle w:val="69"/>
              <w:ind w:left="420" w:firstLine="480"/>
              <w:rPr>
                <w:highlight w:val="none"/>
              </w:rPr>
            </w:pPr>
          </w:p>
        </w:tc>
        <w:tc>
          <w:tcPr>
            <w:tcW w:w="1964" w:type="dxa"/>
          </w:tcPr>
          <w:p>
            <w:pPr>
              <w:pStyle w:val="69"/>
              <w:ind w:left="420" w:firstLine="480"/>
              <w:rPr>
                <w:highlight w:val="none"/>
              </w:rPr>
            </w:pPr>
          </w:p>
        </w:tc>
        <w:tc>
          <w:tcPr>
            <w:tcW w:w="1545" w:type="dxa"/>
          </w:tcPr>
          <w:p>
            <w:pPr>
              <w:pStyle w:val="69"/>
              <w:ind w:left="420" w:firstLine="480"/>
              <w:rPr>
                <w:highlight w:val="none"/>
              </w:rPr>
            </w:pPr>
          </w:p>
        </w:tc>
        <w:tc>
          <w:tcPr>
            <w:tcW w:w="2977" w:type="dxa"/>
          </w:tcPr>
          <w:p>
            <w:pPr>
              <w:pStyle w:val="69"/>
              <w:ind w:left="420" w:firstLine="48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69"/>
              <w:ind w:left="420" w:firstLine="480"/>
              <w:rPr>
                <w:highlight w:val="none"/>
              </w:rPr>
            </w:pPr>
          </w:p>
        </w:tc>
        <w:tc>
          <w:tcPr>
            <w:tcW w:w="873" w:type="dxa"/>
          </w:tcPr>
          <w:p>
            <w:pPr>
              <w:pStyle w:val="69"/>
              <w:ind w:left="420" w:firstLine="480"/>
              <w:rPr>
                <w:highlight w:val="none"/>
              </w:rPr>
            </w:pPr>
          </w:p>
        </w:tc>
        <w:tc>
          <w:tcPr>
            <w:tcW w:w="1855" w:type="dxa"/>
          </w:tcPr>
          <w:p>
            <w:pPr>
              <w:pStyle w:val="69"/>
              <w:ind w:left="420" w:firstLine="480"/>
              <w:rPr>
                <w:highlight w:val="none"/>
              </w:rPr>
            </w:pPr>
          </w:p>
        </w:tc>
        <w:tc>
          <w:tcPr>
            <w:tcW w:w="1964" w:type="dxa"/>
          </w:tcPr>
          <w:p>
            <w:pPr>
              <w:pStyle w:val="69"/>
              <w:ind w:left="420" w:firstLine="480"/>
              <w:rPr>
                <w:highlight w:val="none"/>
              </w:rPr>
            </w:pPr>
          </w:p>
        </w:tc>
        <w:tc>
          <w:tcPr>
            <w:tcW w:w="1545" w:type="dxa"/>
          </w:tcPr>
          <w:p>
            <w:pPr>
              <w:pStyle w:val="69"/>
              <w:ind w:left="420" w:firstLine="480"/>
              <w:rPr>
                <w:highlight w:val="none"/>
              </w:rPr>
            </w:pPr>
          </w:p>
        </w:tc>
        <w:tc>
          <w:tcPr>
            <w:tcW w:w="2977" w:type="dxa"/>
          </w:tcPr>
          <w:p>
            <w:pPr>
              <w:pStyle w:val="69"/>
              <w:ind w:left="420" w:firstLine="48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69"/>
              <w:ind w:left="420" w:firstLine="480"/>
              <w:rPr>
                <w:highlight w:val="none"/>
              </w:rPr>
            </w:pPr>
          </w:p>
        </w:tc>
        <w:tc>
          <w:tcPr>
            <w:tcW w:w="873" w:type="dxa"/>
          </w:tcPr>
          <w:p>
            <w:pPr>
              <w:pStyle w:val="69"/>
              <w:ind w:left="420" w:firstLine="480"/>
              <w:rPr>
                <w:highlight w:val="none"/>
              </w:rPr>
            </w:pPr>
          </w:p>
        </w:tc>
        <w:tc>
          <w:tcPr>
            <w:tcW w:w="1855" w:type="dxa"/>
          </w:tcPr>
          <w:p>
            <w:pPr>
              <w:pStyle w:val="69"/>
              <w:ind w:left="420" w:firstLine="480"/>
              <w:rPr>
                <w:highlight w:val="none"/>
              </w:rPr>
            </w:pPr>
          </w:p>
        </w:tc>
        <w:tc>
          <w:tcPr>
            <w:tcW w:w="1964" w:type="dxa"/>
          </w:tcPr>
          <w:p>
            <w:pPr>
              <w:pStyle w:val="69"/>
              <w:ind w:left="420" w:firstLine="480"/>
              <w:rPr>
                <w:highlight w:val="none"/>
              </w:rPr>
            </w:pPr>
          </w:p>
        </w:tc>
        <w:tc>
          <w:tcPr>
            <w:tcW w:w="1545" w:type="dxa"/>
          </w:tcPr>
          <w:p>
            <w:pPr>
              <w:pStyle w:val="69"/>
              <w:ind w:left="420" w:firstLine="480"/>
              <w:rPr>
                <w:highlight w:val="none"/>
              </w:rPr>
            </w:pPr>
          </w:p>
        </w:tc>
        <w:tc>
          <w:tcPr>
            <w:tcW w:w="2977" w:type="dxa"/>
          </w:tcPr>
          <w:p>
            <w:pPr>
              <w:pStyle w:val="69"/>
              <w:ind w:left="420" w:firstLine="480"/>
              <w:rPr>
                <w:highlight w:val="none"/>
              </w:rPr>
            </w:pPr>
          </w:p>
        </w:tc>
      </w:tr>
    </w:tbl>
    <w:p>
      <w:pPr>
        <w:pStyle w:val="69"/>
        <w:ind w:left="420" w:firstLine="480"/>
        <w:rPr>
          <w:highlight w:val="none"/>
        </w:rPr>
      </w:pPr>
    </w:p>
    <w:p>
      <w:pPr>
        <w:spacing w:before="0" w:after="0" w:afterAutospacing="0" w:line="240" w:lineRule="auto"/>
        <w:ind w:left="0" w:right="0" w:firstLine="0"/>
        <w:jc w:val="left"/>
        <w:rPr>
          <w:highlight w:val="none"/>
        </w:rPr>
      </w:pPr>
      <w:r>
        <w:rPr>
          <w:highlight w:val="none"/>
        </w:rPr>
        <w:br w:type="page"/>
      </w:r>
    </w:p>
    <w:p>
      <w:pPr>
        <w:pStyle w:val="6"/>
        <w:rPr>
          <w:highlight w:val="none"/>
        </w:rPr>
      </w:pPr>
    </w:p>
    <w:p>
      <w:pPr>
        <w:pStyle w:val="5"/>
        <w:tabs>
          <w:tab w:val="left" w:pos="567"/>
          <w:tab w:val="left" w:pos="720"/>
        </w:tabs>
        <w:snapToGrid w:val="0"/>
        <w:spacing w:before="120" w:after="0" w:line="360" w:lineRule="auto"/>
        <w:ind w:right="-57"/>
        <w:jc w:val="left"/>
        <w:rPr>
          <w:rFonts w:ascii="宋体" w:hAnsi="宋体" w:eastAsia="宋体"/>
          <w:sz w:val="21"/>
          <w:szCs w:val="21"/>
          <w:highlight w:val="none"/>
        </w:rPr>
      </w:pPr>
      <w:bookmarkStart w:id="1341" w:name="_Toc114134674"/>
      <w:r>
        <w:rPr>
          <w:rFonts w:hint="eastAsia" w:ascii="宋体" w:hAnsi="宋体" w:eastAsia="宋体"/>
          <w:sz w:val="21"/>
          <w:szCs w:val="21"/>
          <w:highlight w:val="none"/>
        </w:rPr>
        <w:t>C5业绩表</w:t>
      </w:r>
      <w:bookmarkEnd w:id="1341"/>
    </w:p>
    <w:p>
      <w:pPr>
        <w:spacing w:before="0"/>
        <w:ind w:right="-57" w:firstLine="0"/>
        <w:jc w:val="center"/>
        <w:rPr>
          <w:rFonts w:ascii="宋体" w:hAnsi="宋体"/>
          <w:b/>
          <w:spacing w:val="20"/>
          <w:highlight w:val="none"/>
        </w:rPr>
      </w:pPr>
    </w:p>
    <w:p>
      <w:pPr>
        <w:spacing w:before="0"/>
        <w:ind w:right="-57" w:firstLine="0"/>
        <w:jc w:val="center"/>
        <w:rPr>
          <w:rFonts w:ascii="宋体" w:hAnsi="宋体"/>
          <w:b/>
          <w:spacing w:val="20"/>
          <w:highlight w:val="none"/>
        </w:rPr>
      </w:pPr>
      <w:r>
        <w:rPr>
          <w:rFonts w:hint="eastAsia" w:ascii="宋体" w:hAnsi="宋体"/>
          <w:b/>
          <w:spacing w:val="20"/>
          <w:highlight w:val="none"/>
        </w:rPr>
        <w:t>类似项目</w:t>
      </w:r>
      <w:r>
        <w:rPr>
          <w:rFonts w:ascii="宋体" w:hAnsi="宋体"/>
          <w:b/>
          <w:spacing w:val="20"/>
          <w:highlight w:val="none"/>
        </w:rPr>
        <w:t>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序号</w:t>
            </w:r>
          </w:p>
        </w:tc>
        <w:tc>
          <w:tcPr>
            <w:tcW w:w="1092"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项目名称</w:t>
            </w:r>
          </w:p>
        </w:tc>
        <w:tc>
          <w:tcPr>
            <w:tcW w:w="178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合同内容（简述）</w:t>
            </w:r>
            <w:r>
              <w:rPr>
                <w:rFonts w:ascii="宋体" w:hAnsi="宋体"/>
                <w:highlight w:val="none"/>
              </w:rPr>
              <w:t xml:space="preserve"> </w:t>
            </w:r>
          </w:p>
        </w:tc>
        <w:tc>
          <w:tcPr>
            <w:tcW w:w="992"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合同</w:t>
            </w:r>
            <w:r>
              <w:rPr>
                <w:rFonts w:ascii="宋体" w:hAnsi="宋体"/>
                <w:highlight w:val="none"/>
              </w:rPr>
              <w:br w:type="textWrapping"/>
            </w:r>
            <w:r>
              <w:rPr>
                <w:rFonts w:hint="eastAsia" w:ascii="宋体" w:hAnsi="宋体"/>
                <w:highlight w:val="none"/>
              </w:rPr>
              <w:t>金额</w:t>
            </w:r>
          </w:p>
        </w:tc>
        <w:tc>
          <w:tcPr>
            <w:tcW w:w="993"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签订</w:t>
            </w:r>
            <w:r>
              <w:rPr>
                <w:rFonts w:ascii="宋体" w:hAnsi="宋体"/>
                <w:highlight w:val="none"/>
              </w:rPr>
              <w:br w:type="textWrapping"/>
            </w:r>
            <w:r>
              <w:rPr>
                <w:rFonts w:hint="eastAsia" w:ascii="宋体" w:hAnsi="宋体"/>
                <w:highlight w:val="none"/>
              </w:rPr>
              <w:t>时间</w:t>
            </w:r>
          </w:p>
        </w:tc>
        <w:tc>
          <w:tcPr>
            <w:tcW w:w="1388"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供货、</w:t>
            </w:r>
            <w:r>
              <w:rPr>
                <w:rFonts w:hint="eastAsia"/>
                <w:highlight w:val="none"/>
              </w:rPr>
              <w:t>工期或服务</w:t>
            </w:r>
            <w:r>
              <w:rPr>
                <w:rFonts w:hint="eastAsia" w:ascii="宋体" w:hAnsi="宋体"/>
                <w:highlight w:val="none"/>
              </w:rPr>
              <w:t>时间</w:t>
            </w:r>
          </w:p>
        </w:tc>
        <w:tc>
          <w:tcPr>
            <w:tcW w:w="1044"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业主单位</w:t>
            </w:r>
          </w:p>
        </w:tc>
        <w:tc>
          <w:tcPr>
            <w:tcW w:w="1043"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highlight w:val="none"/>
              </w:rPr>
            </w:pPr>
          </w:p>
        </w:tc>
        <w:tc>
          <w:tcPr>
            <w:tcW w:w="1092" w:type="dxa"/>
          </w:tcPr>
          <w:p>
            <w:pPr>
              <w:ind w:left="0" w:firstLine="0"/>
              <w:rPr>
                <w:rFonts w:ascii="宋体" w:hAnsi="宋体"/>
                <w:highlight w:val="none"/>
              </w:rPr>
            </w:pPr>
          </w:p>
        </w:tc>
        <w:tc>
          <w:tcPr>
            <w:tcW w:w="1789" w:type="dxa"/>
          </w:tcPr>
          <w:p>
            <w:pPr>
              <w:ind w:left="0" w:firstLine="0"/>
              <w:rPr>
                <w:rFonts w:ascii="宋体" w:hAnsi="宋体"/>
                <w:highlight w:val="none"/>
              </w:rPr>
            </w:pPr>
          </w:p>
        </w:tc>
        <w:tc>
          <w:tcPr>
            <w:tcW w:w="992" w:type="dxa"/>
          </w:tcPr>
          <w:p>
            <w:pPr>
              <w:ind w:left="0" w:firstLine="0"/>
              <w:rPr>
                <w:rFonts w:ascii="宋体" w:hAnsi="宋体"/>
                <w:highlight w:val="none"/>
              </w:rPr>
            </w:pPr>
          </w:p>
        </w:tc>
        <w:tc>
          <w:tcPr>
            <w:tcW w:w="993" w:type="dxa"/>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tcPr>
          <w:p>
            <w:pPr>
              <w:ind w:left="0" w:firstLine="0"/>
              <w:rPr>
                <w:rFonts w:ascii="宋体" w:hAnsi="宋体"/>
                <w:highlight w:val="none"/>
              </w:rPr>
            </w:pPr>
          </w:p>
        </w:tc>
        <w:tc>
          <w:tcPr>
            <w:tcW w:w="1043" w:type="dxa"/>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bl>
    <w:p>
      <w:pPr>
        <w:spacing w:before="0"/>
        <w:ind w:left="567" w:right="-57" w:hanging="567"/>
        <w:jc w:val="left"/>
        <w:rPr>
          <w:rFonts w:ascii="宋体" w:hAnsi="宋体"/>
          <w:highlight w:val="none"/>
        </w:rPr>
      </w:pPr>
    </w:p>
    <w:p>
      <w:pPr>
        <w:spacing w:before="0" w:after="0" w:afterAutospacing="0"/>
        <w:ind w:left="0" w:right="0" w:firstLine="0"/>
        <w:rPr>
          <w:rFonts w:ascii="宋体" w:hAnsi="宋体"/>
          <w:highlight w:val="none"/>
        </w:rPr>
      </w:pPr>
      <w:r>
        <w:rPr>
          <w:rFonts w:ascii="宋体" w:hAnsi="宋体"/>
          <w:highlight w:val="none"/>
        </w:rPr>
        <w:t>注：1.</w:t>
      </w:r>
      <w:r>
        <w:rPr>
          <w:rFonts w:hint="eastAsia" w:ascii="宋体" w:hAnsi="宋体"/>
          <w:highlight w:val="none"/>
        </w:rPr>
        <w:t xml:space="preserve"> 类似项目业绩：5个及以上自2019年1月1日至比选申请截止时间内完成过或正在实施的</w:t>
      </w:r>
      <w:r>
        <w:rPr>
          <w:rFonts w:hint="eastAsia" w:ascii="宋体" w:hAnsi="宋体"/>
          <w:highlight w:val="none"/>
          <w:lang w:val="en-US" w:eastAsia="zh-CN"/>
        </w:rPr>
        <w:t>单项</w:t>
      </w:r>
      <w:r>
        <w:rPr>
          <w:rFonts w:hint="eastAsia" w:ascii="宋体" w:hAnsi="宋体"/>
          <w:highlight w:val="none"/>
        </w:rPr>
        <w:t>合同金额大于60万的房地产楼盘项目质量安全评估业绩。</w:t>
      </w:r>
    </w:p>
    <w:p>
      <w:pPr>
        <w:spacing w:before="0" w:after="0" w:afterAutospacing="0"/>
        <w:ind w:left="0" w:right="0" w:firstLine="0"/>
        <w:rPr>
          <w:rFonts w:ascii="宋体" w:hAnsi="宋体"/>
          <w:highlight w:val="none"/>
        </w:rPr>
      </w:pPr>
      <w:r>
        <w:rPr>
          <w:rFonts w:hint="eastAsia" w:ascii="宋体" w:hAnsi="宋体"/>
          <w:highlight w:val="none"/>
        </w:rPr>
        <w:t>2.项目按照时间顺序排列，时间以合同签订时间为准。</w:t>
      </w:r>
    </w:p>
    <w:p>
      <w:pPr>
        <w:spacing w:before="0" w:after="0" w:afterAutospacing="0"/>
        <w:ind w:left="0" w:right="0" w:firstLine="0"/>
        <w:rPr>
          <w:rFonts w:ascii="宋体" w:hAnsi="宋体"/>
          <w:highlight w:val="none"/>
        </w:rPr>
      </w:pPr>
      <w:r>
        <w:rPr>
          <w:rFonts w:hint="eastAsia" w:ascii="宋体" w:hAnsi="宋体"/>
          <w:highlight w:val="none"/>
        </w:rPr>
        <w:t>3.比选申请人须提供相应的业绩证明材料：提供下述材料之一即可：①合同文件；②中标通知书。所提供的材料须能明确反映类似项目特征，复印件加盖比选申请人公章。</w:t>
      </w:r>
    </w:p>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Pr>
        <w:pStyle w:val="4"/>
        <w:jc w:val="center"/>
        <w:rPr>
          <w:rFonts w:ascii="黑体" w:hAnsi="黑体"/>
          <w:sz w:val="32"/>
          <w:szCs w:val="32"/>
          <w:highlight w:val="none"/>
        </w:rPr>
      </w:pPr>
      <w:bookmarkStart w:id="1342" w:name="_Toc6090"/>
      <w:bookmarkStart w:id="1343" w:name="_Toc5008"/>
      <w:bookmarkStart w:id="1344" w:name="_Toc9329"/>
      <w:bookmarkStart w:id="1345" w:name="_Toc14104"/>
      <w:bookmarkStart w:id="1346" w:name="_Toc25908"/>
      <w:bookmarkStart w:id="1347" w:name="_Toc531"/>
      <w:bookmarkStart w:id="1348" w:name="_Toc3551"/>
      <w:bookmarkStart w:id="1349" w:name="_Toc17186"/>
      <w:bookmarkStart w:id="1350" w:name="_Toc1777"/>
      <w:bookmarkStart w:id="1351" w:name="_Toc1104"/>
      <w:bookmarkStart w:id="1352" w:name="_Toc147"/>
      <w:bookmarkStart w:id="1353" w:name="_Toc21231"/>
      <w:bookmarkStart w:id="1354" w:name="_Toc4284"/>
      <w:bookmarkStart w:id="1355" w:name="_Toc26286"/>
      <w:bookmarkStart w:id="1356" w:name="_Toc3174"/>
      <w:bookmarkStart w:id="1357" w:name="_Toc14738"/>
      <w:bookmarkStart w:id="1358" w:name="_Toc22547"/>
      <w:r>
        <w:rPr>
          <w:rStyle w:val="49"/>
          <w:rFonts w:ascii="宋体" w:hAnsi="宋体" w:eastAsia="宋体"/>
          <w:b w:val="0"/>
          <w:highlight w:val="none"/>
        </w:rPr>
        <w:br w:type="page"/>
      </w:r>
      <w:bookmarkStart w:id="1359" w:name="_Toc114134675"/>
      <w:r>
        <w:rPr>
          <w:rFonts w:ascii="黑体" w:hAnsi="黑体"/>
          <w:sz w:val="32"/>
          <w:szCs w:val="32"/>
          <w:highlight w:val="none"/>
        </w:rPr>
        <w:t>第五章</w:t>
      </w:r>
      <w:r>
        <w:rPr>
          <w:rFonts w:hint="eastAsia" w:ascii="黑体" w:hAnsi="黑体"/>
          <w:sz w:val="32"/>
          <w:szCs w:val="32"/>
          <w:highlight w:val="none"/>
        </w:rPr>
        <w:t xml:space="preserve"> 发包人要求</w:t>
      </w:r>
      <w:bookmarkEnd w:id="1359"/>
    </w:p>
    <w:p>
      <w:pPr>
        <w:rPr>
          <w:b/>
          <w:bCs/>
          <w:highlight w:val="none"/>
        </w:rPr>
      </w:pPr>
      <w:r>
        <w:rPr>
          <w:rFonts w:hint="eastAsia"/>
          <w:b/>
          <w:bCs/>
          <w:highlight w:val="none"/>
        </w:rPr>
        <w:t>一、项目技术服务方案要求</w:t>
      </w:r>
    </w:p>
    <w:p>
      <w:pPr>
        <w:rPr>
          <w:highlight w:val="none"/>
        </w:rPr>
      </w:pPr>
      <w:r>
        <w:rPr>
          <w:rFonts w:hint="eastAsia"/>
          <w:highlight w:val="none"/>
        </w:rPr>
        <w:t>（1）响应方案（能提供详细的各类培训资料及操作指引如《实测实量操作指引》，《质量风险培训资料-空鼓开裂防渗漏等》《安全管理培训资料-脚手架，爬架，施工机械及重大危险源等》；</w:t>
      </w:r>
    </w:p>
    <w:p>
      <w:pPr>
        <w:rPr>
          <w:highlight w:val="none"/>
        </w:rPr>
      </w:pPr>
      <w:r>
        <w:rPr>
          <w:rFonts w:hint="eastAsia"/>
          <w:highlight w:val="none"/>
        </w:rPr>
        <w:t>1）提供评估启动会的详细解读文件（评估流程及人员配合要求），</w:t>
      </w:r>
    </w:p>
    <w:p>
      <w:pPr>
        <w:rPr>
          <w:highlight w:val="none"/>
        </w:rPr>
      </w:pPr>
      <w:r>
        <w:rPr>
          <w:rFonts w:hint="eastAsia"/>
          <w:highlight w:val="none"/>
        </w:rPr>
        <w:t>2）能对评估过程中发现的问题进行详细的剖析并提出建议及相应的行业全国性的优秀做法；能提供契合我司项目现状的专项提升方案、详细、完善、可实施性强</w:t>
      </w:r>
    </w:p>
    <w:p>
      <w:pPr>
        <w:rPr>
          <w:highlight w:val="none"/>
        </w:rPr>
      </w:pPr>
      <w:r>
        <w:rPr>
          <w:rFonts w:hint="eastAsia"/>
          <w:highlight w:val="none"/>
        </w:rPr>
        <w:t>（2）评估计划</w:t>
      </w:r>
    </w:p>
    <w:p>
      <w:pPr>
        <w:rPr>
          <w:highlight w:val="none"/>
        </w:rPr>
      </w:pPr>
      <w:r>
        <w:rPr>
          <w:rFonts w:hint="eastAsia"/>
          <w:highlight w:val="none"/>
        </w:rPr>
        <w:t>1）行程编排合理能在甲方的要求下配合安排好评估时间</w:t>
      </w:r>
    </w:p>
    <w:p>
      <w:pPr>
        <w:rPr>
          <w:highlight w:val="none"/>
        </w:rPr>
      </w:pPr>
      <w:r>
        <w:rPr>
          <w:rFonts w:hint="eastAsia"/>
          <w:highlight w:val="none"/>
        </w:rPr>
        <w:t>2）有人员计划保密措施</w:t>
      </w:r>
    </w:p>
    <w:p>
      <w:pPr>
        <w:rPr>
          <w:highlight w:val="none"/>
        </w:rPr>
      </w:pPr>
      <w:r>
        <w:rPr>
          <w:rFonts w:hint="eastAsia"/>
          <w:highlight w:val="none"/>
        </w:rPr>
        <w:t>3）提供廉洁工作保证措施及控制方法。</w:t>
      </w:r>
    </w:p>
    <w:p>
      <w:pPr>
        <w:rPr>
          <w:highlight w:val="none"/>
        </w:rPr>
      </w:pPr>
      <w:r>
        <w:rPr>
          <w:rFonts w:hint="eastAsia"/>
          <w:highlight w:val="none"/>
        </w:rPr>
        <w:t>（3）配备的仪器设备（仪器设备先进、数量与质量满足工作需要）</w:t>
      </w:r>
    </w:p>
    <w:p>
      <w:pPr>
        <w:rPr>
          <w:highlight w:val="none"/>
        </w:rPr>
      </w:pPr>
      <w:r>
        <w:rPr>
          <w:rFonts w:hint="eastAsia"/>
          <w:highlight w:val="none"/>
        </w:rPr>
        <w:t>（4）评估后服务</w:t>
      </w:r>
    </w:p>
    <w:p>
      <w:pPr>
        <w:rPr>
          <w:highlight w:val="none"/>
        </w:rPr>
      </w:pPr>
      <w:r>
        <w:rPr>
          <w:rFonts w:hint="eastAsia"/>
          <w:highlight w:val="none"/>
        </w:rPr>
        <w:t>1）评估当天提供完整的评估快告资料（资料含成绩及评估过程中存在的突出问题）；</w:t>
      </w:r>
    </w:p>
    <w:p>
      <w:pPr>
        <w:rPr>
          <w:highlight w:val="none"/>
        </w:rPr>
      </w:pPr>
      <w:r>
        <w:rPr>
          <w:rFonts w:hint="eastAsia"/>
          <w:highlight w:val="none"/>
        </w:rPr>
        <w:t>2）在评估后2天内提供详细评估简报（简报含详细的评估成绩、检查表格及评估过程中存发现的全部问题及相应的整改建议）；</w:t>
      </w:r>
    </w:p>
    <w:p>
      <w:pPr>
        <w:rPr>
          <w:highlight w:val="none"/>
        </w:rPr>
      </w:pPr>
      <w:r>
        <w:rPr>
          <w:rFonts w:hint="eastAsia"/>
          <w:highlight w:val="none"/>
        </w:rPr>
        <w:t>3）评估后5天内能提供本轮评估检查的详细评估总结，总结含各项目的成绩分析、问题分析及整改建议，行业成绩对比，行业全国性优秀做法</w:t>
      </w:r>
    </w:p>
    <w:p>
      <w:pPr>
        <w:rPr>
          <w:b/>
          <w:bCs/>
          <w:highlight w:val="none"/>
        </w:rPr>
      </w:pPr>
      <w:r>
        <w:rPr>
          <w:rFonts w:hint="eastAsia"/>
          <w:b/>
          <w:bCs/>
          <w:highlight w:val="none"/>
        </w:rPr>
        <w:t>二、人员要求</w:t>
      </w:r>
    </w:p>
    <w:p>
      <w:pPr>
        <w:rPr>
          <w:highlight w:val="none"/>
        </w:rPr>
      </w:pPr>
      <w:r>
        <w:rPr>
          <w:rFonts w:hint="eastAsia"/>
          <w:highlight w:val="none"/>
        </w:rPr>
        <w:t>（1）一年内评估人员不能重复，并且能按疫情防控要求来到项目所在地开展评估工作。</w:t>
      </w:r>
    </w:p>
    <w:p>
      <w:pPr>
        <w:rPr>
          <w:highlight w:val="none"/>
        </w:rPr>
      </w:pPr>
      <w:r>
        <w:rPr>
          <w:rFonts w:hint="eastAsia"/>
          <w:highlight w:val="none"/>
        </w:rPr>
        <w:t>（2）评估组长需要有中级工程师及以上职称或有一级建造师资格,8年（含）相关工作经验以上；</w:t>
      </w:r>
    </w:p>
    <w:p>
      <w:pPr>
        <w:rPr>
          <w:highlight w:val="none"/>
        </w:rPr>
      </w:pPr>
      <w:r>
        <w:rPr>
          <w:rFonts w:hint="eastAsia"/>
          <w:highlight w:val="none"/>
        </w:rPr>
        <w:t>（3）评估人员需要有初级工程师及以上职称或有二级建造师资格,3年（含）相关工作经验以上；</w:t>
      </w:r>
    </w:p>
    <w:p>
      <w:pPr>
        <w:rPr>
          <w:b/>
          <w:bCs/>
          <w:highlight w:val="none"/>
        </w:rPr>
      </w:pPr>
      <w:bookmarkStart w:id="1360" w:name="_Toc114134682"/>
      <w:r>
        <w:rPr>
          <w:rFonts w:hint="eastAsia"/>
          <w:b/>
          <w:bCs/>
          <w:highlight w:val="none"/>
        </w:rPr>
        <w:t>三、发包人的其他要求</w:t>
      </w:r>
      <w:bookmarkEnd w:id="1360"/>
    </w:p>
    <w:p>
      <w:pPr>
        <w:ind w:left="707" w:leftChars="250" w:hanging="182" w:hangingChars="87"/>
        <w:rPr>
          <w:highlight w:val="none"/>
        </w:rPr>
      </w:pPr>
      <w:r>
        <w:rPr>
          <w:rFonts w:hint="eastAsia"/>
          <w:highlight w:val="none"/>
        </w:rPr>
        <w:t>详合同条款。</w:t>
      </w:r>
    </w:p>
    <w:p>
      <w:pPr>
        <w:ind w:firstLine="420" w:firstLineChars="200"/>
        <w:rPr>
          <w:rFonts w:ascii="宋体" w:hAnsi="宋体"/>
          <w:highlight w:val="none"/>
        </w:rPr>
        <w:sectPr>
          <w:pgSz w:w="12240" w:h="15840"/>
          <w:pgMar w:top="1440" w:right="1800" w:bottom="1440" w:left="1800" w:header="720" w:footer="720" w:gutter="0"/>
          <w:cols w:space="720" w:num="1"/>
        </w:sectPr>
      </w:pPr>
    </w:p>
    <w:p>
      <w:pPr>
        <w:pStyle w:val="15"/>
        <w:pageBreakBefore/>
        <w:ind w:right="-57" w:firstLine="0"/>
        <w:jc w:val="center"/>
        <w:outlineLvl w:val="0"/>
        <w:rPr>
          <w:rStyle w:val="49"/>
          <w:rFonts w:ascii="宋体" w:hAnsi="宋体" w:eastAsia="宋体"/>
          <w:highlight w:val="none"/>
        </w:rPr>
      </w:pPr>
      <w:bookmarkStart w:id="1361" w:name="_Toc114134683"/>
      <w:r>
        <w:rPr>
          <w:rStyle w:val="49"/>
          <w:rFonts w:hint="eastAsia" w:ascii="宋体" w:hAnsi="宋体" w:eastAsia="宋体"/>
          <w:highlight w:val="none"/>
        </w:rPr>
        <w:t>第六章评分办法</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61"/>
    </w:p>
    <w:p>
      <w:pPr>
        <w:spacing w:before="0" w:after="0" w:afterAutospacing="0"/>
        <w:ind w:left="0" w:right="0" w:firstLine="562" w:firstLineChars="200"/>
        <w:outlineLvl w:val="1"/>
        <w:rPr>
          <w:rFonts w:ascii="宋体" w:hAnsi="宋体" w:cs="Arial"/>
          <w:b/>
          <w:bCs/>
          <w:sz w:val="28"/>
          <w:szCs w:val="28"/>
          <w:highlight w:val="none"/>
        </w:rPr>
      </w:pPr>
      <w:bookmarkStart w:id="1362" w:name="_Toc114134684"/>
      <w:r>
        <w:rPr>
          <w:rFonts w:hint="eastAsia" w:ascii="宋体" w:hAnsi="宋体" w:cs="Arial"/>
          <w:b/>
          <w:bCs/>
          <w:sz w:val="28"/>
          <w:szCs w:val="28"/>
          <w:highlight w:val="none"/>
        </w:rPr>
        <w:t>一、评审原则</w:t>
      </w:r>
      <w:bookmarkEnd w:id="1362"/>
    </w:p>
    <w:p>
      <w:pP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评审委员会成员构成：本项目由南宁轨道地产集团有限责任公司5人及以上单数组成评审小组，对比选申请文件按评审标准进行评审；由南宁轨道地产集团有限责任公司纪检监察部门进行监督。</w:t>
      </w:r>
    </w:p>
    <w:p>
      <w:pP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bCs/>
          <w:sz w:val="28"/>
          <w:szCs w:val="28"/>
          <w:highlight w:val="none"/>
        </w:rPr>
      </w:pPr>
      <w:bookmarkStart w:id="1363" w:name="_Toc5136"/>
      <w:bookmarkStart w:id="1364" w:name="_Toc11240"/>
      <w:bookmarkStart w:id="1365" w:name="_Toc15880"/>
      <w:bookmarkStart w:id="1366" w:name="_Toc114134685"/>
      <w:bookmarkStart w:id="1367" w:name="_Toc29000"/>
      <w:bookmarkStart w:id="1368" w:name="_Toc478566177"/>
      <w:r>
        <w:rPr>
          <w:rFonts w:hint="eastAsia" w:ascii="宋体" w:hAnsi="宋体" w:cs="Arial"/>
          <w:b/>
          <w:bCs/>
          <w:sz w:val="28"/>
          <w:szCs w:val="28"/>
          <w:highlight w:val="none"/>
        </w:rPr>
        <w:t>二、评定方法</w:t>
      </w:r>
      <w:bookmarkEnd w:id="1363"/>
      <w:bookmarkEnd w:id="1364"/>
      <w:bookmarkEnd w:id="1365"/>
      <w:bookmarkEnd w:id="1366"/>
      <w:bookmarkEnd w:id="1367"/>
      <w:bookmarkEnd w:id="1368"/>
    </w:p>
    <w:p>
      <w:pPr>
        <w:spacing w:before="0" w:after="0" w:afterAutospacing="0"/>
        <w:ind w:left="0" w:right="0" w:firstLine="420" w:firstLineChars="200"/>
        <w:outlineLvl w:val="1"/>
        <w:rPr>
          <w:rFonts w:ascii="宋体" w:hAnsi="宋体" w:cs="Arial"/>
          <w:highlight w:val="none"/>
        </w:rPr>
      </w:pPr>
      <w:bookmarkStart w:id="1369" w:name="_Toc114134686"/>
      <w:r>
        <w:rPr>
          <w:rFonts w:hint="eastAsia" w:ascii="宋体" w:hAnsi="宋体" w:cs="Arial"/>
          <w:highlight w:val="none"/>
        </w:rPr>
        <w:t>2.1对资格性和符合性检查合格的比选申请文件，进入技术、商务评审采用综合评分法进行评审。</w:t>
      </w:r>
      <w:r>
        <w:rPr>
          <w:rFonts w:hint="eastAsia"/>
          <w:highlight w:val="none"/>
        </w:rPr>
        <w:t>满分</w:t>
      </w:r>
      <w:r>
        <w:rPr>
          <w:highlight w:val="none"/>
        </w:rPr>
        <w:t>100</w:t>
      </w:r>
      <w:r>
        <w:rPr>
          <w:rFonts w:hint="eastAsia"/>
          <w:highlight w:val="none"/>
        </w:rPr>
        <w:t>分，其中</w:t>
      </w:r>
      <w:r>
        <w:rPr>
          <w:rFonts w:hint="eastAsia"/>
          <w:b/>
          <w:highlight w:val="none"/>
        </w:rPr>
        <w:t>技术得分</w:t>
      </w:r>
      <w:r>
        <w:rPr>
          <w:b/>
          <w:highlight w:val="none"/>
          <w:u w:val="single"/>
        </w:rPr>
        <w:t>60</w:t>
      </w:r>
      <w:r>
        <w:rPr>
          <w:rFonts w:hint="eastAsia"/>
          <w:b/>
          <w:highlight w:val="none"/>
        </w:rPr>
        <w:t>分，价格得分</w:t>
      </w:r>
      <w:r>
        <w:rPr>
          <w:b/>
          <w:highlight w:val="none"/>
          <w:u w:val="single"/>
        </w:rPr>
        <w:t>40</w:t>
      </w:r>
      <w:r>
        <w:rPr>
          <w:rFonts w:hint="eastAsia"/>
          <w:b/>
          <w:highlight w:val="none"/>
        </w:rPr>
        <w:t>分。</w:t>
      </w:r>
      <w:bookmarkEnd w:id="1369"/>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2.2评审委员会将依照本比选文件相关要求，对照比选申请文件的应答进行比较，并对各比选申请文件的技术、商务内容进行评审打分。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2.4总分=技术得分+价格得分。各项指标的分数计算四舍五入，取小数点后两位。计算比选申请人综合评分，并按照总分（综合得分）由高到低的顺序提出</w:t>
      </w:r>
      <w:r>
        <w:rPr>
          <w:rFonts w:ascii="宋体" w:hAnsi="宋体" w:cs="Arial"/>
          <w:highlight w:val="none"/>
        </w:rPr>
        <w:t>1-</w:t>
      </w:r>
      <w:r>
        <w:rPr>
          <w:rFonts w:hint="eastAsia" w:ascii="宋体" w:hAnsi="宋体" w:cs="Arial"/>
          <w:highlight w:val="none"/>
        </w:rPr>
        <w:t>3名中选候选人，并编写评审报告。</w:t>
      </w:r>
    </w:p>
    <w:p>
      <w:pPr>
        <w:spacing w:before="0" w:after="0" w:afterAutospacing="0"/>
        <w:ind w:left="0" w:right="0" w:firstLine="562" w:firstLineChars="200"/>
        <w:outlineLvl w:val="1"/>
        <w:rPr>
          <w:rFonts w:ascii="宋体" w:hAnsi="宋体" w:cs="Arial"/>
          <w:b/>
          <w:bCs/>
          <w:sz w:val="28"/>
          <w:szCs w:val="28"/>
          <w:highlight w:val="none"/>
        </w:rPr>
      </w:pPr>
      <w:bookmarkStart w:id="1370" w:name="_Toc114134687"/>
      <w:r>
        <w:rPr>
          <w:rFonts w:hint="eastAsia" w:ascii="宋体" w:hAnsi="宋体" w:cs="Arial"/>
          <w:b/>
          <w:bCs/>
          <w:sz w:val="28"/>
          <w:szCs w:val="28"/>
          <w:highlight w:val="none"/>
        </w:rPr>
        <w:t>三、评审流程</w:t>
      </w:r>
      <w:bookmarkEnd w:id="1370"/>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3.1资格审查</w:t>
      </w:r>
    </w:p>
    <w:p>
      <w:pPr>
        <w:spacing w:before="0" w:after="0" w:afterAutospacing="0"/>
        <w:ind w:left="0" w:right="0" w:firstLine="420" w:firstLineChars="200"/>
        <w:rPr>
          <w:rFonts w:ascii="宋体" w:hAnsi="宋体"/>
          <w:highlight w:val="none"/>
        </w:rPr>
      </w:pPr>
      <w:r>
        <w:rPr>
          <w:rFonts w:hint="eastAsia" w:ascii="宋体" w:hAnsi="宋体"/>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highlight w:val="none"/>
        </w:rPr>
      </w:pPr>
      <w:r>
        <w:rPr>
          <w:rFonts w:hint="eastAsia" w:ascii="宋体" w:hAnsi="宋体"/>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3.2初步评审</w:t>
      </w:r>
    </w:p>
    <w:p>
      <w:pPr>
        <w:tabs>
          <w:tab w:val="left" w:pos="851"/>
        </w:tabs>
        <w:spacing w:before="0" w:after="0" w:afterAutospacing="0"/>
        <w:ind w:left="0" w:right="0" w:firstLine="420" w:firstLineChars="200"/>
        <w:rPr>
          <w:rFonts w:hAnsi="宋体"/>
          <w:highlight w:val="none"/>
        </w:rPr>
      </w:pPr>
      <w:r>
        <w:rPr>
          <w:rFonts w:hint="eastAsia" w:hAnsi="宋体"/>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highlight w:val="none"/>
        </w:rPr>
      </w:pPr>
      <w:r>
        <w:rPr>
          <w:rFonts w:hint="eastAsia" w:hAnsi="宋体"/>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highlight w:val="none"/>
        </w:rPr>
      </w:pPr>
      <w:r>
        <w:rPr>
          <w:rFonts w:hint="eastAsia" w:hAnsi="宋体"/>
          <w:highlight w:val="none"/>
        </w:rPr>
        <w:t>（3）</w:t>
      </w:r>
      <w:r>
        <w:rPr>
          <w:highlight w:val="none"/>
        </w:rPr>
        <w:t>评审委员会</w:t>
      </w:r>
      <w:r>
        <w:rPr>
          <w:rFonts w:hAnsi="宋体"/>
          <w:highlight w:val="none"/>
        </w:rPr>
        <w:t>根据</w:t>
      </w:r>
      <w:r>
        <w:rPr>
          <w:rFonts w:hint="eastAsia" w:hAnsi="宋体"/>
          <w:highlight w:val="none"/>
        </w:rPr>
        <w:t>比选</w:t>
      </w:r>
      <w:r>
        <w:rPr>
          <w:rFonts w:hAnsi="宋体"/>
          <w:highlight w:val="none"/>
        </w:rPr>
        <w:t>文件的要求对</w:t>
      </w:r>
      <w:r>
        <w:rPr>
          <w:rFonts w:hint="eastAsia" w:hAnsi="宋体"/>
          <w:highlight w:val="none"/>
        </w:rPr>
        <w:t>比选申请</w:t>
      </w:r>
      <w:r>
        <w:rPr>
          <w:rFonts w:hAnsi="宋体"/>
          <w:highlight w:val="none"/>
        </w:rPr>
        <w:t>人进行</w:t>
      </w:r>
      <w:r>
        <w:rPr>
          <w:rFonts w:hint="eastAsia" w:hAnsi="宋体"/>
          <w:highlight w:val="none"/>
        </w:rPr>
        <w:t>符合性</w:t>
      </w:r>
      <w:r>
        <w:rPr>
          <w:rFonts w:hAnsi="宋体"/>
          <w:highlight w:val="none"/>
        </w:rPr>
        <w:t>评审，未通过</w:t>
      </w:r>
      <w:r>
        <w:rPr>
          <w:rFonts w:hint="eastAsia" w:hAnsi="宋体"/>
          <w:highlight w:val="none"/>
        </w:rPr>
        <w:t>符合性</w:t>
      </w:r>
      <w:r>
        <w:rPr>
          <w:rFonts w:hAnsi="宋体"/>
          <w:highlight w:val="none"/>
        </w:rPr>
        <w:t>评审的</w:t>
      </w:r>
      <w:r>
        <w:rPr>
          <w:rFonts w:hint="eastAsia" w:hAnsi="宋体"/>
          <w:highlight w:val="none"/>
        </w:rPr>
        <w:t>比选申请</w:t>
      </w:r>
      <w:r>
        <w:rPr>
          <w:rFonts w:hAnsi="宋体"/>
          <w:highlight w:val="none"/>
        </w:rPr>
        <w:t>人不得进入下一阶段的评审。评审</w:t>
      </w:r>
      <w:r>
        <w:rPr>
          <w:rFonts w:hint="eastAsia" w:hAnsi="宋体"/>
          <w:highlight w:val="none"/>
        </w:rPr>
        <w:t>标准</w:t>
      </w:r>
      <w:r>
        <w:rPr>
          <w:rFonts w:hAnsi="宋体"/>
          <w:highlight w:val="none"/>
        </w:rPr>
        <w:t>见附表二《</w:t>
      </w:r>
      <w:r>
        <w:rPr>
          <w:rFonts w:hint="eastAsia" w:hAnsi="宋体"/>
          <w:highlight w:val="none"/>
        </w:rPr>
        <w:t>符合性</w:t>
      </w:r>
      <w:r>
        <w:rPr>
          <w:rFonts w:hAnsi="宋体"/>
          <w:highlight w:val="none"/>
        </w:rPr>
        <w:t>评审表》。</w:t>
      </w:r>
    </w:p>
    <w:p>
      <w:pPr>
        <w:tabs>
          <w:tab w:val="left" w:pos="851"/>
          <w:tab w:val="left" w:pos="1134"/>
        </w:tabs>
        <w:spacing w:before="0" w:after="0" w:afterAutospacing="0"/>
        <w:ind w:left="422" w:right="0" w:firstLine="0"/>
        <w:rPr>
          <w:rFonts w:ascii="宋体" w:hAnsi="宋体"/>
          <w:b/>
          <w:highlight w:val="none"/>
        </w:rPr>
      </w:pPr>
      <w:r>
        <w:rPr>
          <w:rFonts w:hint="eastAsia" w:ascii="宋体" w:hAnsi="宋体"/>
          <w:b/>
          <w:highlight w:val="none"/>
        </w:rPr>
        <w:t>3.3详细评审</w:t>
      </w:r>
    </w:p>
    <w:p>
      <w:pPr>
        <w:tabs>
          <w:tab w:val="left" w:pos="851"/>
        </w:tabs>
        <w:spacing w:before="0" w:after="0" w:afterAutospacing="0"/>
        <w:ind w:left="0" w:right="0" w:firstLine="420" w:firstLineChars="200"/>
        <w:rPr>
          <w:rFonts w:ascii="宋体" w:hAnsi="宋体"/>
          <w:highlight w:val="none"/>
        </w:rPr>
      </w:pPr>
      <w:r>
        <w:rPr>
          <w:rFonts w:hAnsi="宋体"/>
          <w:highlight w:val="none"/>
        </w:rPr>
        <w:t>3.3.1</w:t>
      </w:r>
      <w:r>
        <w:rPr>
          <w:highlight w:val="none"/>
        </w:rPr>
        <w:t>评审委员会</w:t>
      </w:r>
      <w:r>
        <w:rPr>
          <w:rFonts w:hint="eastAsia"/>
          <w:highlight w:val="none"/>
        </w:rPr>
        <w:t>对通过初步评审的投标文件的技术文件进行详细评审</w:t>
      </w:r>
      <w:r>
        <w:rPr>
          <w:rFonts w:hint="eastAsia" w:hAnsi="宋体"/>
          <w:highlight w:val="none"/>
        </w:rPr>
        <w:t>。</w:t>
      </w:r>
    </w:p>
    <w:p>
      <w:pPr>
        <w:spacing w:before="0" w:after="0" w:afterAutospacing="0"/>
        <w:ind w:left="0" w:right="0" w:firstLine="420" w:firstLineChars="200"/>
        <w:rPr>
          <w:rFonts w:ascii="宋体" w:hAnsi="宋体"/>
          <w:highlight w:val="none"/>
        </w:rPr>
      </w:pPr>
      <w:r>
        <w:rPr>
          <w:rFonts w:hint="eastAsia" w:hAnsi="宋体"/>
          <w:highlight w:val="none"/>
        </w:rPr>
        <w:t>3.3.2</w:t>
      </w:r>
      <w:r>
        <w:rPr>
          <w:highlight w:val="none"/>
        </w:rPr>
        <w:t>评审委员会</w:t>
      </w:r>
      <w:r>
        <w:rPr>
          <w:rFonts w:hint="eastAsia"/>
          <w:highlight w:val="none"/>
        </w:rPr>
        <w:t>按照附表三《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422" w:right="0" w:firstLine="0"/>
        <w:rPr>
          <w:rFonts w:hAnsi="宋体"/>
          <w:highlight w:val="none"/>
        </w:rPr>
      </w:pPr>
      <w:r>
        <w:rPr>
          <w:rFonts w:hAnsi="宋体"/>
          <w:highlight w:val="none"/>
        </w:rPr>
        <w:t>3.3.</w:t>
      </w:r>
      <w:r>
        <w:rPr>
          <w:rFonts w:hint="eastAsia" w:hAnsi="宋体"/>
          <w:highlight w:val="none"/>
        </w:rPr>
        <w:t>3价格评审</w:t>
      </w:r>
    </w:p>
    <w:p>
      <w:pPr>
        <w:tabs>
          <w:tab w:val="left" w:pos="851"/>
          <w:tab w:val="left" w:pos="1134"/>
        </w:tabs>
        <w:spacing w:before="0" w:after="0" w:afterAutospacing="0"/>
        <w:ind w:left="942" w:leftChars="112" w:right="0" w:hanging="707" w:hangingChars="337"/>
        <w:jc w:val="left"/>
        <w:rPr>
          <w:highlight w:val="none"/>
        </w:rPr>
      </w:pPr>
      <w:r>
        <w:rPr>
          <w:rFonts w:hint="eastAsia"/>
          <w:highlight w:val="none"/>
        </w:rPr>
        <w:t>3.3.3.1</w:t>
      </w:r>
      <w:r>
        <w:rPr>
          <w:highlight w:val="none"/>
        </w:rPr>
        <w:t>评审委员会</w:t>
      </w:r>
      <w:r>
        <w:rPr>
          <w:rFonts w:hint="eastAsia"/>
          <w:highlight w:val="none"/>
        </w:rPr>
        <w:t>对通过初步评审的投标文件的报价文件进行详细评审。</w:t>
      </w:r>
    </w:p>
    <w:p>
      <w:pPr>
        <w:tabs>
          <w:tab w:val="left" w:pos="851"/>
          <w:tab w:val="left" w:pos="1134"/>
        </w:tabs>
        <w:spacing w:before="0" w:after="0" w:afterAutospacing="0"/>
        <w:ind w:left="105" w:leftChars="50" w:right="0" w:firstLine="105" w:firstLineChars="50"/>
        <w:jc w:val="left"/>
        <w:rPr>
          <w:highlight w:val="none"/>
        </w:rPr>
      </w:pPr>
      <w:r>
        <w:rPr>
          <w:rFonts w:hint="eastAsia"/>
          <w:highlight w:val="none"/>
        </w:rPr>
        <w:t>3.3.3.2投标报价有算术错误的，评标委员会按以下原则对投标报价进行修正，修正的价格经比选申请人书面确认后具有约束力。比选申请人不接受修正价格的，其投标作否决投标处理：</w:t>
      </w:r>
    </w:p>
    <w:p>
      <w:pPr>
        <w:tabs>
          <w:tab w:val="left" w:pos="851"/>
          <w:tab w:val="left" w:pos="1134"/>
        </w:tabs>
        <w:spacing w:before="0" w:after="0" w:afterAutospacing="0"/>
        <w:ind w:left="105" w:leftChars="50" w:right="0" w:firstLine="105" w:firstLineChars="50"/>
        <w:jc w:val="left"/>
        <w:rPr>
          <w:rFonts w:cs="宋体"/>
          <w:highlight w:val="none"/>
        </w:rPr>
      </w:pPr>
      <w:r>
        <w:rPr>
          <w:rFonts w:hint="eastAsia"/>
          <w:highlight w:val="none"/>
        </w:rPr>
        <w:t xml:space="preserve"> (1）比选申请</w:t>
      </w:r>
      <w:r>
        <w:rPr>
          <w:rFonts w:hint="eastAsia" w:cs="宋体"/>
          <w:highlight w:val="none"/>
        </w:rPr>
        <w:t>文件中的大写金额与小写金额不一致的，以大写金额为准；</w:t>
      </w:r>
    </w:p>
    <w:p>
      <w:pPr>
        <w:tabs>
          <w:tab w:val="left" w:pos="851"/>
          <w:tab w:val="left" w:pos="1134"/>
        </w:tabs>
        <w:spacing w:before="0" w:after="0" w:afterAutospacing="0"/>
        <w:ind w:left="105" w:leftChars="50" w:right="0" w:firstLine="105" w:firstLineChars="50"/>
        <w:jc w:val="left"/>
        <w:rPr>
          <w:rFonts w:cs="宋体"/>
          <w:highlight w:val="none"/>
        </w:rPr>
      </w:pPr>
      <w:r>
        <w:rPr>
          <w:rFonts w:hint="eastAsia"/>
          <w:highlight w:val="none"/>
        </w:rPr>
        <w:t>（2）</w:t>
      </w:r>
      <w:r>
        <w:rPr>
          <w:rFonts w:hint="eastAsia" w:cs="宋体"/>
          <w:highlight w:val="none"/>
        </w:rPr>
        <w:t>总价金额与依据单价计算出的结果不一致的，以单价金额为准修正总价，但单价金额小数点有明显错误的除外；</w:t>
      </w:r>
    </w:p>
    <w:p>
      <w:pPr>
        <w:tabs>
          <w:tab w:val="left" w:pos="851"/>
          <w:tab w:val="left" w:pos="1134"/>
        </w:tabs>
        <w:spacing w:before="0" w:after="0" w:afterAutospacing="0"/>
        <w:ind w:left="105" w:leftChars="50" w:right="0" w:firstLine="210" w:firstLineChars="100"/>
        <w:jc w:val="left"/>
        <w:rPr>
          <w:highlight w:val="none"/>
        </w:rPr>
      </w:pPr>
      <w:r>
        <w:rPr>
          <w:rFonts w:hint="eastAsia" w:cs="宋体"/>
          <w:highlight w:val="none"/>
        </w:rPr>
        <w:t>(3)</w:t>
      </w:r>
      <w:r>
        <w:rPr>
          <w:rFonts w:hint="eastAsia"/>
          <w:highlight w:val="none"/>
        </w:rPr>
        <w:t xml:space="preserve"> 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tabs>
          <w:tab w:val="left" w:pos="851"/>
          <w:tab w:val="left" w:pos="1134"/>
        </w:tabs>
        <w:spacing w:before="0" w:after="0" w:afterAutospacing="0"/>
        <w:ind w:left="105" w:leftChars="50" w:right="0" w:firstLine="105" w:firstLineChars="50"/>
        <w:jc w:val="left"/>
        <w:rPr>
          <w:rFonts w:cs="宋体"/>
          <w:highlight w:val="none"/>
        </w:rPr>
      </w:pPr>
      <w:r>
        <w:rPr>
          <w:rFonts w:hint="eastAsia"/>
          <w:highlight w:val="none"/>
        </w:rPr>
        <w:t>（4）若</w:t>
      </w:r>
      <w:r>
        <w:rPr>
          <w:highlight w:val="none"/>
        </w:rPr>
        <w:t>修正后的总价</w:t>
      </w:r>
      <w:r>
        <w:rPr>
          <w:rFonts w:hint="eastAsia"/>
          <w:highlight w:val="none"/>
        </w:rPr>
        <w:t>与</w:t>
      </w:r>
      <w:r>
        <w:rPr>
          <w:highlight w:val="none"/>
        </w:rPr>
        <w:t>投标报价</w:t>
      </w:r>
      <w:r>
        <w:rPr>
          <w:rFonts w:hint="eastAsia"/>
          <w:highlight w:val="none"/>
        </w:rPr>
        <w:t>不相等</w:t>
      </w:r>
      <w:r>
        <w:rPr>
          <w:highlight w:val="none"/>
        </w:rPr>
        <w:t>，则</w:t>
      </w:r>
      <w:r>
        <w:rPr>
          <w:rFonts w:hint="eastAsia"/>
          <w:highlight w:val="none"/>
        </w:rPr>
        <w:t>评标总价和</w:t>
      </w:r>
      <w:r>
        <w:rPr>
          <w:highlight w:val="none"/>
        </w:rPr>
        <w:t>中标价</w:t>
      </w:r>
      <w:r>
        <w:rPr>
          <w:rFonts w:hint="eastAsia"/>
          <w:highlight w:val="none"/>
        </w:rPr>
        <w:t>均</w:t>
      </w:r>
      <w:r>
        <w:rPr>
          <w:highlight w:val="none"/>
        </w:rPr>
        <w:t>以</w:t>
      </w:r>
      <w:r>
        <w:rPr>
          <w:rFonts w:hint="eastAsia"/>
          <w:highlight w:val="none"/>
        </w:rPr>
        <w:t>修正后的总价</w:t>
      </w:r>
      <w:r>
        <w:rPr>
          <w:highlight w:val="none"/>
        </w:rPr>
        <w:t>为准，</w:t>
      </w:r>
      <w:r>
        <w:rPr>
          <w:rFonts w:hint="eastAsia"/>
          <w:highlight w:val="none"/>
        </w:rPr>
        <w:t>如比选申请人不接受按以上规则确定的评标总价和中标价，则其投标将被拒绝。</w:t>
      </w:r>
    </w:p>
    <w:p>
      <w:pPr>
        <w:tabs>
          <w:tab w:val="left" w:pos="851"/>
          <w:tab w:val="left" w:pos="1134"/>
        </w:tabs>
        <w:spacing w:before="0" w:after="0" w:afterAutospacing="0"/>
        <w:ind w:left="105" w:leftChars="50" w:right="0" w:firstLine="105" w:firstLineChars="50"/>
        <w:jc w:val="left"/>
        <w:rPr>
          <w:rFonts w:cs="宋体"/>
          <w:highlight w:val="none"/>
        </w:rPr>
      </w:pPr>
      <w:r>
        <w:rPr>
          <w:rFonts w:hint="eastAsia" w:cs="宋体"/>
          <w:highlight w:val="none"/>
        </w:rPr>
        <w:t>3.3.3.3</w:t>
      </w:r>
      <w:r>
        <w:rPr>
          <w:rFonts w:hint="eastAsia"/>
          <w:highlight w:val="none"/>
        </w:rPr>
        <w:t>出现下列情况的比选申请文件将予以否决：</w:t>
      </w:r>
    </w:p>
    <w:p>
      <w:pPr>
        <w:tabs>
          <w:tab w:val="left" w:pos="851"/>
          <w:tab w:val="left" w:pos="1134"/>
        </w:tabs>
        <w:spacing w:before="0" w:after="0" w:afterAutospacing="0"/>
        <w:ind w:left="105" w:leftChars="50" w:right="0" w:firstLine="105" w:firstLineChars="50"/>
        <w:jc w:val="left"/>
        <w:rPr>
          <w:bCs/>
          <w:highlight w:val="none"/>
        </w:rPr>
      </w:pPr>
      <w:r>
        <w:rPr>
          <w:rFonts w:hint="eastAsia"/>
          <w:highlight w:val="none"/>
        </w:rPr>
        <w:t>（1）</w:t>
      </w:r>
      <w:r>
        <w:rPr>
          <w:highlight w:val="none"/>
        </w:rPr>
        <w:t>评审委员会</w:t>
      </w:r>
      <w:r>
        <w:rPr>
          <w:rFonts w:hint="eastAsia"/>
          <w:bCs/>
          <w:highlight w:val="none"/>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rPr>
          <w:highlight w:val="none"/>
        </w:rPr>
        <w:t>评审</w:t>
      </w:r>
      <w:r>
        <w:rPr>
          <w:rFonts w:hint="eastAsia"/>
          <w:bCs/>
          <w:highlight w:val="none"/>
        </w:rPr>
        <w:t>委员会应当认定该比选申请人以低于成本报价投标，否决其投标。</w:t>
      </w:r>
    </w:p>
    <w:p>
      <w:pPr>
        <w:tabs>
          <w:tab w:val="left" w:pos="851"/>
          <w:tab w:val="left" w:pos="1134"/>
        </w:tabs>
        <w:spacing w:before="0" w:after="0" w:afterAutospacing="0"/>
        <w:ind w:left="105" w:leftChars="50" w:right="0" w:firstLine="105" w:firstLineChars="50"/>
        <w:jc w:val="left"/>
        <w:rPr>
          <w:b/>
          <w:bCs/>
          <w:highlight w:val="none"/>
        </w:rPr>
      </w:pPr>
      <w:r>
        <w:rPr>
          <w:rFonts w:hint="eastAsia"/>
          <w:bCs/>
          <w:highlight w:val="none"/>
        </w:rPr>
        <w:t>（2）</w:t>
      </w:r>
      <w:bookmarkStart w:id="1371" w:name="_Hlk36511445"/>
      <w:r>
        <w:rPr>
          <w:rFonts w:hint="eastAsia"/>
          <w:b/>
          <w:bCs/>
          <w:highlight w:val="none"/>
        </w:rPr>
        <w:t>投标报价清单如有漏项的投标文件，将予以否决。</w:t>
      </w:r>
      <w:bookmarkEnd w:id="1371"/>
    </w:p>
    <w:p>
      <w:pPr>
        <w:tabs>
          <w:tab w:val="left" w:pos="851"/>
          <w:tab w:val="left" w:pos="1134"/>
        </w:tabs>
        <w:spacing w:before="0" w:after="0" w:afterAutospacing="0"/>
        <w:ind w:left="105" w:leftChars="50" w:right="0" w:firstLine="105" w:firstLineChars="50"/>
        <w:jc w:val="left"/>
        <w:rPr>
          <w:highlight w:val="none"/>
        </w:rPr>
      </w:pPr>
      <w:r>
        <w:rPr>
          <w:rFonts w:hint="eastAsia"/>
          <w:bCs/>
          <w:highlight w:val="none"/>
        </w:rPr>
        <w:t>3.3.3.4</w:t>
      </w:r>
      <w:r>
        <w:rPr>
          <w:highlight w:val="none"/>
        </w:rPr>
        <w:t>评审委员会</w:t>
      </w:r>
      <w:r>
        <w:rPr>
          <w:rFonts w:hint="eastAsia"/>
          <w:highlight w:val="none"/>
        </w:rPr>
        <w:t>按照附表四《比选报价评分表》规定的量化因素和分值，对各比选申请人的投标报价评审，并计算出价格得分（得分出现小数点，保留小数点后二位，第三位小数四舍五入）。</w:t>
      </w:r>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3.4</w:t>
      </w:r>
      <w:r>
        <w:rPr>
          <w:rFonts w:ascii="宋体" w:hAnsi="宋体"/>
          <w:b/>
          <w:highlight w:val="none"/>
        </w:rPr>
        <w:t>澄清或补正</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3.4.2</w:t>
      </w:r>
      <w:r>
        <w:rPr>
          <w:rFonts w:ascii="宋体" w:hAnsi="宋体"/>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3.4.3</w:t>
      </w:r>
      <w:r>
        <w:rPr>
          <w:rFonts w:ascii="宋体" w:hAnsi="宋体"/>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3.4.4</w:t>
      </w:r>
      <w:r>
        <w:rPr>
          <w:rFonts w:ascii="宋体" w:hAnsi="宋体"/>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3.4.5</w:t>
      </w:r>
      <w:r>
        <w:rPr>
          <w:rFonts w:ascii="宋体" w:hAnsi="宋体"/>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highlight w:val="none"/>
        </w:rPr>
      </w:pPr>
      <w:r>
        <w:rPr>
          <w:rFonts w:hint="eastAsia" w:ascii="宋体" w:hAnsi="宋体"/>
          <w:b/>
          <w:highlight w:val="none"/>
        </w:rPr>
        <w:t>3.5</w:t>
      </w:r>
      <w:r>
        <w:rPr>
          <w:rFonts w:ascii="宋体" w:hAnsi="宋体"/>
          <w:b/>
          <w:highlight w:val="none"/>
        </w:rPr>
        <w:t>评审报告</w:t>
      </w:r>
    </w:p>
    <w:p>
      <w:pPr>
        <w:tabs>
          <w:tab w:val="left" w:pos="993"/>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highlight w:val="none"/>
        </w:rPr>
        <w:t>。</w:t>
      </w:r>
    </w:p>
    <w:p>
      <w:pP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）评审委员会根据</w:t>
      </w:r>
      <w:r>
        <w:rPr>
          <w:rFonts w:hint="eastAsia" w:cs="宋体"/>
          <w:highlight w:val="none"/>
        </w:rPr>
        <w:t>综合评分由高到低顺序推荐中选候选人。综合评分相同时，则技术得分较高的排名靠前；如技术得分也相同，则价格得分较高的排名靠前；如价格得分也相同，</w:t>
      </w:r>
      <w:bookmarkStart w:id="1372" w:name="_Hlk31877730"/>
      <w:r>
        <w:rPr>
          <w:rFonts w:hint="eastAsia" w:cs="宋体"/>
          <w:highlight w:val="none"/>
        </w:rPr>
        <w:t>则由评审委员会采用记名投票方式确定</w:t>
      </w:r>
      <w:bookmarkEnd w:id="1372"/>
      <w:r>
        <w:rPr>
          <w:rFonts w:hint="eastAsia" w:ascii="宋体" w:hAnsi="宋体"/>
          <w:highlight w:val="none"/>
        </w:rPr>
        <w:t>其排名顺序。</w:t>
      </w:r>
    </w:p>
    <w:p>
      <w:pPr>
        <w:spacing w:before="0" w:after="0" w:afterAutospacing="0"/>
        <w:ind w:left="0" w:right="0" w:firstLine="422" w:firstLineChars="200"/>
        <w:rPr>
          <w:rFonts w:ascii="宋体" w:hAnsi="宋体"/>
          <w:b/>
          <w:highlight w:val="none"/>
        </w:rPr>
      </w:pPr>
      <w:r>
        <w:rPr>
          <w:rFonts w:hint="eastAsia" w:ascii="宋体" w:hAnsi="宋体"/>
          <w:b/>
          <w:highlight w:val="none"/>
        </w:rPr>
        <w:t>3.6</w:t>
      </w:r>
      <w:r>
        <w:rPr>
          <w:rFonts w:ascii="宋体" w:hAnsi="宋体"/>
          <w:b/>
          <w:highlight w:val="none"/>
        </w:rPr>
        <w:t>否决比选申请条件</w:t>
      </w:r>
    </w:p>
    <w:p>
      <w:pPr>
        <w:spacing w:before="0" w:after="0" w:afterAutospacing="0"/>
        <w:ind w:left="0" w:right="0" w:firstLine="420" w:firstLineChars="200"/>
        <w:rPr>
          <w:rFonts w:ascii="宋体" w:hAnsi="宋体"/>
          <w:highlight w:val="none"/>
        </w:rPr>
      </w:pPr>
      <w:r>
        <w:rPr>
          <w:rFonts w:ascii="宋体" w:hAnsi="宋体"/>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（1）不符合附表一《资格审查表》规定的；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highlight w:val="none"/>
        </w:rPr>
        <w:sectPr>
          <w:pgSz w:w="11905" w:h="16838"/>
          <w:pgMar w:top="1418" w:right="1418" w:bottom="1304" w:left="1418" w:header="454" w:footer="567" w:gutter="0"/>
          <w:cols w:space="720" w:num="1"/>
          <w:docGrid w:linePitch="312" w:charSpace="0"/>
        </w:sectPr>
      </w:pPr>
    </w:p>
    <w:p>
      <w:pPr>
        <w:pStyle w:val="4"/>
        <w:spacing w:after="0" w:line="360" w:lineRule="auto"/>
        <w:ind w:right="-57" w:firstLine="0"/>
        <w:rPr>
          <w:sz w:val="21"/>
          <w:szCs w:val="21"/>
          <w:highlight w:val="none"/>
        </w:rPr>
      </w:pPr>
      <w:bookmarkStart w:id="1373" w:name="_Toc29245"/>
      <w:bookmarkStart w:id="1374" w:name="_Toc114134688"/>
      <w:bookmarkStart w:id="1375" w:name="_Toc18096"/>
      <w:bookmarkStart w:id="1376" w:name="_Toc16364"/>
      <w:bookmarkStart w:id="1377" w:name="_Toc31611"/>
      <w:bookmarkStart w:id="1378" w:name="_Toc19557"/>
      <w:bookmarkStart w:id="1379" w:name="_Toc28404"/>
      <w:bookmarkStart w:id="1380" w:name="_Toc434"/>
      <w:bookmarkStart w:id="1381" w:name="_Toc9189"/>
      <w:bookmarkStart w:id="1382" w:name="_Toc29923"/>
      <w:bookmarkStart w:id="1383" w:name="_Toc414290583"/>
      <w:bookmarkStart w:id="1384" w:name="_Toc9730"/>
      <w:bookmarkStart w:id="1385" w:name="_Toc492478849"/>
      <w:bookmarkStart w:id="1386" w:name="_Toc27271"/>
      <w:bookmarkStart w:id="1387" w:name="_Toc9588"/>
      <w:bookmarkStart w:id="1388" w:name="_Toc10968"/>
      <w:bookmarkStart w:id="1389" w:name="_Toc25750694"/>
      <w:bookmarkStart w:id="1390" w:name="_Toc15073"/>
      <w:bookmarkStart w:id="1391" w:name="_Toc22464"/>
      <w:bookmarkStart w:id="1392" w:name="_Toc15224"/>
      <w:bookmarkStart w:id="1393" w:name="_Toc23314"/>
      <w:r>
        <w:rPr>
          <w:rFonts w:hint="eastAsia"/>
          <w:sz w:val="21"/>
          <w:szCs w:val="21"/>
          <w:highlight w:val="none"/>
        </w:rPr>
        <w:t>附表一 资格审查表</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snapToGrid w:val="0"/>
        <w:spacing w:before="0" w:line="360" w:lineRule="exact"/>
        <w:ind w:left="420" w:right="240" w:firstLine="0"/>
        <w:jc w:val="center"/>
        <w:rPr>
          <w:rFonts w:ascii="宋体" w:hAnsi="宋体"/>
          <w:b/>
          <w:sz w:val="24"/>
          <w:szCs w:val="24"/>
          <w:highlight w:val="none"/>
        </w:rPr>
      </w:pPr>
      <w:r>
        <w:rPr>
          <w:rFonts w:hint="eastAsia" w:ascii="宋体" w:hAnsi="宋体"/>
          <w:b/>
          <w:sz w:val="24"/>
          <w:szCs w:val="24"/>
          <w:highlight w:val="none"/>
        </w:rPr>
        <w:t>资格审查表</w:t>
      </w:r>
    </w:p>
    <w:tbl>
      <w:tblPr>
        <w:tblStyle w:val="31"/>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41"/>
        <w:gridCol w:w="3067"/>
        <w:gridCol w:w="1425"/>
        <w:gridCol w:w="1087"/>
        <w:gridCol w:w="250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序号</w:t>
            </w:r>
          </w:p>
        </w:tc>
        <w:tc>
          <w:tcPr>
            <w:tcW w:w="741"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项目内容</w:t>
            </w:r>
          </w:p>
        </w:tc>
        <w:tc>
          <w:tcPr>
            <w:tcW w:w="306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合格条件标准</w:t>
            </w:r>
          </w:p>
        </w:tc>
        <w:tc>
          <w:tcPr>
            <w:tcW w:w="1425"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评审依据</w:t>
            </w:r>
          </w:p>
        </w:tc>
        <w:tc>
          <w:tcPr>
            <w:tcW w:w="108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评审结果（合格</w:t>
            </w:r>
            <w:r>
              <w:rPr>
                <w:rFonts w:ascii="宋体" w:hAnsi="宋体"/>
                <w:highlight w:val="none"/>
              </w:rPr>
              <w:t>/</w:t>
            </w:r>
            <w:r>
              <w:rPr>
                <w:rFonts w:hint="eastAsia" w:ascii="宋体" w:hAnsi="宋体"/>
                <w:highlight w:val="none"/>
              </w:rPr>
              <w:t>不合格）</w:t>
            </w:r>
          </w:p>
        </w:tc>
        <w:tc>
          <w:tcPr>
            <w:tcW w:w="2503"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58" w:hRule="atLeast"/>
          <w:jc w:val="center"/>
        </w:trPr>
        <w:tc>
          <w:tcPr>
            <w:tcW w:w="437" w:type="dxa"/>
            <w:vAlign w:val="center"/>
          </w:tcPr>
          <w:p>
            <w:pPr>
              <w:spacing w:before="0" w:after="0" w:afterAutospacing="0"/>
              <w:ind w:left="0" w:right="0" w:firstLine="0"/>
              <w:rPr>
                <w:rFonts w:ascii="宋体" w:hAnsi="宋体"/>
                <w:highlight w:val="none"/>
              </w:rPr>
            </w:pPr>
            <w:r>
              <w:rPr>
                <w:rFonts w:ascii="宋体" w:hAnsi="宋体"/>
                <w:highlight w:val="none"/>
              </w:rPr>
              <w:t>1</w:t>
            </w:r>
          </w:p>
        </w:tc>
        <w:tc>
          <w:tcPr>
            <w:tcW w:w="741" w:type="dxa"/>
            <w:vAlign w:val="center"/>
          </w:tcPr>
          <w:p>
            <w:pPr>
              <w:spacing w:before="0" w:after="0" w:afterAutospacing="0"/>
              <w:ind w:left="0" w:right="0" w:firstLine="0"/>
              <w:rPr>
                <w:rFonts w:ascii="宋体" w:hAnsi="宋体"/>
                <w:highlight w:val="none"/>
              </w:rPr>
            </w:pPr>
            <w:r>
              <w:rPr>
                <w:rFonts w:hint="eastAsia" w:ascii="宋体" w:hAnsi="宋体"/>
                <w:highlight w:val="none"/>
              </w:rPr>
              <w:t>身份</w:t>
            </w:r>
          </w:p>
          <w:p>
            <w:pPr>
              <w:spacing w:before="0" w:after="0" w:afterAutospacing="0"/>
              <w:ind w:left="0" w:right="0" w:firstLine="0"/>
              <w:rPr>
                <w:rFonts w:ascii="宋体" w:hAnsi="宋体"/>
                <w:highlight w:val="none"/>
              </w:rPr>
            </w:pPr>
            <w:r>
              <w:rPr>
                <w:rFonts w:hint="eastAsia" w:ascii="宋体" w:hAnsi="宋体"/>
                <w:highlight w:val="none"/>
              </w:rPr>
              <w:t>证明</w:t>
            </w:r>
          </w:p>
          <w:p>
            <w:pPr>
              <w:spacing w:before="0" w:after="0" w:afterAutospacing="0"/>
              <w:ind w:left="0" w:right="0" w:firstLine="0"/>
              <w:rPr>
                <w:rFonts w:ascii="宋体" w:hAnsi="宋体"/>
                <w:highlight w:val="none"/>
              </w:rPr>
            </w:pPr>
            <w:r>
              <w:rPr>
                <w:rFonts w:hint="eastAsia" w:ascii="宋体" w:hAnsi="宋体"/>
                <w:highlight w:val="none"/>
              </w:rPr>
              <w:t>材料</w:t>
            </w:r>
          </w:p>
        </w:tc>
        <w:tc>
          <w:tcPr>
            <w:tcW w:w="3067" w:type="dxa"/>
            <w:vAlign w:val="center"/>
          </w:tcPr>
          <w:p>
            <w:pPr>
              <w:spacing w:before="0" w:after="0" w:afterAutospacing="0"/>
              <w:ind w:left="0" w:right="0" w:firstLine="0"/>
              <w:rPr>
                <w:rFonts w:ascii="宋体" w:hAnsi="宋体"/>
                <w:highlight w:val="none"/>
              </w:rPr>
            </w:pPr>
            <w:r>
              <w:rPr>
                <w:rFonts w:hint="eastAsia" w:ascii="宋体" w:hAnsi="宋体"/>
                <w:highlight w:val="none"/>
              </w:rPr>
              <w:t>法定代表人授权书及法定代表人资格证明书（如无授权时，只需提供法定代表人资格证明书）、法定代表人及被授权人身份证复印件。</w:t>
            </w:r>
          </w:p>
        </w:tc>
        <w:tc>
          <w:tcPr>
            <w:tcW w:w="1425" w:type="dxa"/>
            <w:vAlign w:val="center"/>
          </w:tcPr>
          <w:p>
            <w:pPr>
              <w:spacing w:before="0" w:after="0" w:afterAutospacing="0"/>
              <w:ind w:left="0" w:right="0" w:firstLine="0"/>
              <w:rPr>
                <w:rFonts w:ascii="宋体" w:hAnsi="宋体"/>
                <w:highlight w:val="none"/>
              </w:rPr>
            </w:pPr>
            <w:r>
              <w:rPr>
                <w:rFonts w:hint="eastAsia" w:ascii="宋体" w:hAnsi="宋体"/>
                <w:highlight w:val="none"/>
              </w:rPr>
              <w:t>法定代表人授权书，法定代表人资格证明书和身份证复印件</w:t>
            </w:r>
          </w:p>
        </w:tc>
        <w:tc>
          <w:tcPr>
            <w:tcW w:w="1087" w:type="dxa"/>
            <w:vAlign w:val="center"/>
          </w:tcPr>
          <w:p>
            <w:pPr>
              <w:spacing w:before="0" w:after="0" w:afterAutospacing="0"/>
              <w:ind w:left="0" w:right="0" w:firstLine="0"/>
              <w:rPr>
                <w:rFonts w:ascii="宋体" w:hAnsi="宋体"/>
                <w:highlight w:val="none"/>
              </w:rPr>
            </w:pPr>
          </w:p>
        </w:tc>
        <w:tc>
          <w:tcPr>
            <w:tcW w:w="2503" w:type="dxa"/>
            <w:vAlign w:val="center"/>
          </w:tcPr>
          <w:p>
            <w:pPr>
              <w:spacing w:before="0" w:after="0" w:afterAutospacing="0"/>
              <w:ind w:left="0" w:right="0" w:firstLine="0"/>
              <w:rPr>
                <w:rFonts w:ascii="宋体" w:hAnsi="宋体"/>
                <w:highlight w:val="none"/>
              </w:rPr>
            </w:pPr>
            <w:r>
              <w:rPr>
                <w:rFonts w:hint="eastAsia" w:ascii="宋体" w:hAnsi="宋体"/>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highlight w:val="none"/>
              </w:rPr>
            </w:pPr>
            <w:r>
              <w:rPr>
                <w:rFonts w:ascii="宋体" w:hAnsi="宋体"/>
                <w:highlight w:val="none"/>
              </w:rPr>
              <w:t>2</w:t>
            </w:r>
          </w:p>
        </w:tc>
        <w:tc>
          <w:tcPr>
            <w:tcW w:w="741" w:type="dxa"/>
            <w:vAlign w:val="center"/>
          </w:tcPr>
          <w:p>
            <w:pPr>
              <w:spacing w:before="0" w:after="0" w:afterAutospacing="0"/>
              <w:ind w:left="0" w:right="0" w:firstLine="0"/>
              <w:rPr>
                <w:rFonts w:ascii="宋体" w:hAnsi="宋体"/>
                <w:highlight w:val="none"/>
              </w:rPr>
            </w:pPr>
            <w:r>
              <w:rPr>
                <w:rFonts w:hint="eastAsia" w:ascii="宋体" w:hAnsi="宋体"/>
                <w:highlight w:val="none"/>
              </w:rPr>
              <w:t>比选</w:t>
            </w:r>
          </w:p>
          <w:p>
            <w:pPr>
              <w:spacing w:before="0" w:after="0" w:afterAutospacing="0"/>
              <w:ind w:left="0" w:right="0" w:firstLine="0"/>
              <w:rPr>
                <w:rFonts w:ascii="宋体" w:hAnsi="宋体"/>
                <w:highlight w:val="none"/>
              </w:rPr>
            </w:pPr>
            <w:r>
              <w:rPr>
                <w:rFonts w:hint="eastAsia" w:ascii="宋体" w:hAnsi="宋体"/>
                <w:highlight w:val="none"/>
              </w:rPr>
              <w:t>申请人</w:t>
            </w:r>
          </w:p>
          <w:p>
            <w:pPr>
              <w:spacing w:before="0" w:after="0" w:afterAutospacing="0"/>
              <w:ind w:left="0" w:right="0" w:firstLine="0"/>
              <w:rPr>
                <w:rFonts w:ascii="宋体" w:hAnsi="宋体"/>
                <w:highlight w:val="none"/>
              </w:rPr>
            </w:pPr>
            <w:r>
              <w:rPr>
                <w:rFonts w:hint="eastAsia" w:ascii="宋体" w:hAnsi="宋体"/>
                <w:highlight w:val="none"/>
              </w:rPr>
              <w:t>资格</w:t>
            </w:r>
          </w:p>
        </w:tc>
        <w:tc>
          <w:tcPr>
            <w:tcW w:w="3067" w:type="dxa"/>
            <w:vAlign w:val="center"/>
          </w:tcPr>
          <w:p>
            <w:pPr>
              <w:spacing w:before="0" w:after="0" w:afterAutospacing="0"/>
              <w:ind w:left="0" w:right="0" w:firstLine="0"/>
              <w:rPr>
                <w:rFonts w:ascii="宋体" w:hAnsi="宋体"/>
                <w:highlight w:val="none"/>
              </w:rPr>
            </w:pPr>
            <w:r>
              <w:rPr>
                <w:rFonts w:hint="eastAsia" w:ascii="宋体" w:hAnsi="宋体"/>
                <w:highlight w:val="none"/>
              </w:rPr>
              <w:t>（1）比选申请人为中华人民共和国境内依法设立的法人或其他组织。（若以分公司名义参与比选申请，必须出具总公司授权参与的证明。）</w:t>
            </w:r>
          </w:p>
        </w:tc>
        <w:tc>
          <w:tcPr>
            <w:tcW w:w="1425" w:type="dxa"/>
            <w:vAlign w:val="center"/>
          </w:tcPr>
          <w:p>
            <w:pPr>
              <w:spacing w:before="0" w:after="0" w:afterAutospacing="0"/>
              <w:ind w:left="0" w:right="0" w:firstLine="0"/>
              <w:rPr>
                <w:rFonts w:ascii="宋体" w:hAnsi="宋体"/>
                <w:highlight w:val="none"/>
              </w:rPr>
            </w:pPr>
            <w:r>
              <w:rPr>
                <w:rFonts w:hint="eastAsia" w:ascii="宋体" w:hAnsi="宋体"/>
                <w:highlight w:val="none"/>
              </w:rPr>
              <w:t>营业执照副本或事业单位法人证书等证明文件及资质证书复印件</w:t>
            </w:r>
          </w:p>
        </w:tc>
        <w:tc>
          <w:tcPr>
            <w:tcW w:w="1087" w:type="dxa"/>
            <w:vAlign w:val="center"/>
          </w:tcPr>
          <w:p>
            <w:pPr>
              <w:spacing w:before="0" w:after="0" w:afterAutospacing="0"/>
              <w:ind w:left="0" w:right="0" w:firstLine="0"/>
              <w:rPr>
                <w:rFonts w:ascii="宋体" w:hAnsi="宋体"/>
                <w:highlight w:val="none"/>
              </w:rPr>
            </w:pPr>
          </w:p>
        </w:tc>
        <w:tc>
          <w:tcPr>
            <w:tcW w:w="2503"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比选申请人有效的营业执照或事业单位法人证书复印件等证明文件及资质证书复印件，并加盖公章。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highlight w:val="none"/>
              </w:rPr>
            </w:pPr>
            <w:r>
              <w:rPr>
                <w:rFonts w:hint="eastAsia" w:ascii="宋体" w:hAnsi="宋体"/>
                <w:highlight w:val="none"/>
              </w:rPr>
              <w:t>3</w:t>
            </w:r>
          </w:p>
        </w:tc>
        <w:tc>
          <w:tcPr>
            <w:tcW w:w="741" w:type="dxa"/>
            <w:vAlign w:val="center"/>
          </w:tcPr>
          <w:p>
            <w:pPr>
              <w:spacing w:before="0" w:after="0" w:afterAutospacing="0"/>
              <w:ind w:left="0" w:right="0" w:firstLine="0"/>
              <w:rPr>
                <w:rFonts w:ascii="宋体" w:hAnsi="宋体"/>
                <w:highlight w:val="none"/>
              </w:rPr>
            </w:pPr>
            <w:r>
              <w:rPr>
                <w:rFonts w:hint="eastAsia" w:ascii="宋体" w:hAnsi="宋体"/>
                <w:highlight w:val="none"/>
              </w:rPr>
              <w:t>业绩</w:t>
            </w:r>
          </w:p>
          <w:p>
            <w:pPr>
              <w:spacing w:before="0" w:after="0" w:afterAutospacing="0"/>
              <w:ind w:left="0" w:right="0" w:firstLine="0"/>
              <w:rPr>
                <w:rFonts w:ascii="宋体" w:hAnsi="宋体"/>
                <w:highlight w:val="none"/>
              </w:rPr>
            </w:pPr>
            <w:r>
              <w:rPr>
                <w:rFonts w:hint="eastAsia" w:ascii="宋体" w:hAnsi="宋体"/>
                <w:highlight w:val="none"/>
              </w:rPr>
              <w:t>证明</w:t>
            </w:r>
          </w:p>
          <w:p>
            <w:pPr>
              <w:spacing w:before="0" w:after="0" w:afterAutospacing="0"/>
              <w:ind w:left="0" w:right="0" w:firstLine="0"/>
              <w:rPr>
                <w:rFonts w:ascii="宋体" w:hAnsi="宋体"/>
                <w:highlight w:val="none"/>
              </w:rPr>
            </w:pPr>
          </w:p>
        </w:tc>
        <w:tc>
          <w:tcPr>
            <w:tcW w:w="3067" w:type="dxa"/>
            <w:vAlign w:val="center"/>
          </w:tcPr>
          <w:p>
            <w:pPr>
              <w:spacing w:before="0" w:after="0" w:afterAutospacing="0"/>
              <w:ind w:left="0" w:right="0" w:firstLine="0"/>
              <w:rPr>
                <w:rFonts w:ascii="宋体" w:hAnsi="宋体"/>
                <w:highlight w:val="none"/>
              </w:rPr>
            </w:pPr>
            <w:r>
              <w:rPr>
                <w:rFonts w:hint="eastAsia" w:ascii="宋体" w:hAnsi="宋体"/>
                <w:highlight w:val="none"/>
              </w:rPr>
              <w:t>5个及以上自2019年1月1日至比选申请截止时间内完成过或正在实施的</w:t>
            </w:r>
            <w:r>
              <w:rPr>
                <w:rFonts w:hint="eastAsia" w:ascii="宋体" w:hAnsi="宋体"/>
                <w:highlight w:val="none"/>
                <w:lang w:val="en-US" w:eastAsia="zh-CN"/>
              </w:rPr>
              <w:t>单项</w:t>
            </w:r>
            <w:r>
              <w:rPr>
                <w:rFonts w:hint="eastAsia" w:ascii="宋体" w:hAnsi="宋体"/>
                <w:highlight w:val="none"/>
              </w:rPr>
              <w:t>合同金额大于60万的房地产楼盘项目质量安全评估业绩。</w:t>
            </w:r>
          </w:p>
        </w:tc>
        <w:tc>
          <w:tcPr>
            <w:tcW w:w="1425" w:type="dxa"/>
            <w:vAlign w:val="center"/>
          </w:tcPr>
          <w:p>
            <w:pPr>
              <w:spacing w:before="0" w:after="0" w:afterAutospacing="0"/>
              <w:ind w:left="0" w:right="0" w:firstLine="0"/>
              <w:rPr>
                <w:rFonts w:ascii="宋体" w:hAnsi="宋体"/>
                <w:highlight w:val="none"/>
              </w:rPr>
            </w:pPr>
            <w:r>
              <w:rPr>
                <w:rFonts w:hint="eastAsia" w:ascii="宋体" w:hAnsi="宋体"/>
                <w:highlight w:val="none"/>
              </w:rPr>
              <w:t>相应的业绩证明材料</w:t>
            </w:r>
          </w:p>
        </w:tc>
        <w:tc>
          <w:tcPr>
            <w:tcW w:w="1087" w:type="dxa"/>
            <w:vAlign w:val="center"/>
          </w:tcPr>
          <w:p>
            <w:pPr>
              <w:spacing w:before="0" w:after="0" w:afterAutospacing="0"/>
              <w:ind w:left="0" w:right="0" w:firstLine="0"/>
              <w:rPr>
                <w:rFonts w:ascii="宋体" w:hAnsi="宋体"/>
                <w:highlight w:val="none"/>
              </w:rPr>
            </w:pPr>
          </w:p>
        </w:tc>
        <w:tc>
          <w:tcPr>
            <w:tcW w:w="2503" w:type="dxa"/>
            <w:vAlign w:val="center"/>
          </w:tcPr>
          <w:p>
            <w:pPr>
              <w:spacing w:before="0" w:after="0" w:afterAutospacing="0"/>
              <w:ind w:left="0" w:right="0" w:firstLine="0"/>
              <w:rPr>
                <w:rFonts w:ascii="宋体" w:hAnsi="宋体"/>
                <w:highlight w:val="none"/>
              </w:rPr>
            </w:pPr>
            <w:r>
              <w:rPr>
                <w:rFonts w:hint="eastAsia" w:ascii="宋体" w:hAnsi="宋体"/>
                <w:highlight w:val="none"/>
              </w:rPr>
              <w:t>提供下述材料之一即可：①合同文件；②中标通知书。</w:t>
            </w:r>
          </w:p>
          <w:p>
            <w:pPr>
              <w:spacing w:before="0" w:after="0" w:afterAutospacing="0"/>
              <w:ind w:left="0" w:right="0" w:firstLine="0"/>
              <w:rPr>
                <w:rFonts w:ascii="宋体" w:hAnsi="宋体"/>
                <w:highlight w:val="none"/>
              </w:rPr>
            </w:pPr>
            <w:r>
              <w:rPr>
                <w:rFonts w:hint="eastAsia" w:ascii="宋体" w:hAnsi="宋体"/>
                <w:highlight w:val="none"/>
              </w:rPr>
              <w:t>所提供的材料须能明确反映类似项目特征，复印件加盖比选申请人公章。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highlight w:val="none"/>
              </w:rPr>
            </w:pPr>
            <w:r>
              <w:rPr>
                <w:rFonts w:hint="eastAsia" w:ascii="宋体" w:hAnsi="宋体"/>
                <w:highlight w:val="none"/>
              </w:rPr>
              <w:t>4</w:t>
            </w:r>
          </w:p>
        </w:tc>
        <w:tc>
          <w:tcPr>
            <w:tcW w:w="741" w:type="dxa"/>
            <w:vAlign w:val="center"/>
          </w:tcPr>
          <w:p>
            <w:pPr>
              <w:spacing w:before="0" w:after="0" w:afterAutospacing="0"/>
              <w:ind w:left="0" w:right="0" w:firstLine="0"/>
              <w:rPr>
                <w:rFonts w:ascii="宋体" w:hAnsi="宋体"/>
                <w:highlight w:val="none"/>
              </w:rPr>
            </w:pPr>
            <w:r>
              <w:rPr>
                <w:rFonts w:hint="eastAsia" w:ascii="宋体" w:hAnsi="宋体"/>
                <w:highlight w:val="none"/>
              </w:rPr>
              <w:t>承诺书</w:t>
            </w:r>
          </w:p>
        </w:tc>
        <w:tc>
          <w:tcPr>
            <w:tcW w:w="3067"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tc>
        <w:tc>
          <w:tcPr>
            <w:tcW w:w="1425" w:type="dxa"/>
            <w:vAlign w:val="center"/>
          </w:tcPr>
          <w:p>
            <w:pPr>
              <w:spacing w:before="0" w:after="0" w:afterAutospacing="0"/>
              <w:ind w:left="0" w:right="0" w:firstLine="0"/>
              <w:rPr>
                <w:rFonts w:ascii="宋体" w:hAnsi="宋体"/>
                <w:highlight w:val="none"/>
              </w:rPr>
            </w:pPr>
            <w:r>
              <w:rPr>
                <w:rFonts w:hint="eastAsia" w:ascii="宋体" w:hAnsi="宋体"/>
                <w:highlight w:val="none"/>
              </w:rPr>
              <w:t>承诺书原件</w:t>
            </w:r>
          </w:p>
        </w:tc>
        <w:tc>
          <w:tcPr>
            <w:tcW w:w="1087" w:type="dxa"/>
            <w:vAlign w:val="center"/>
          </w:tcPr>
          <w:p>
            <w:pPr>
              <w:spacing w:before="0" w:after="0" w:afterAutospacing="0"/>
              <w:ind w:left="0" w:right="0" w:firstLine="0"/>
              <w:rPr>
                <w:rFonts w:ascii="宋体" w:hAnsi="宋体"/>
                <w:highlight w:val="none"/>
              </w:rPr>
            </w:pPr>
          </w:p>
        </w:tc>
        <w:tc>
          <w:tcPr>
            <w:tcW w:w="2503" w:type="dxa"/>
            <w:vAlign w:val="center"/>
          </w:tcPr>
          <w:p>
            <w:pPr>
              <w:spacing w:before="0" w:after="0" w:afterAutospacing="0"/>
              <w:ind w:left="0" w:right="0" w:firstLine="0"/>
              <w:rPr>
                <w:rFonts w:ascii="宋体" w:hAnsi="宋体"/>
                <w:highlight w:val="none"/>
              </w:rPr>
            </w:pPr>
            <w:r>
              <w:rPr>
                <w:rFonts w:hint="eastAsia" w:ascii="宋体" w:hAnsi="宋体"/>
                <w:highlight w:val="none"/>
              </w:rPr>
              <w:t>按规定格式提供承诺书</w:t>
            </w:r>
          </w:p>
          <w:p>
            <w:pPr>
              <w:spacing w:before="0" w:after="0" w:afterAutospacing="0"/>
              <w:ind w:left="0" w:right="0" w:firstLine="0"/>
              <w:rPr>
                <w:rFonts w:ascii="宋体" w:hAnsi="宋体"/>
                <w:highlight w:val="none"/>
              </w:rPr>
            </w:pP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w:t>
      </w:r>
    </w:p>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1.以上所有证明资料原件备查。</w:t>
      </w:r>
    </w:p>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2.比选申请人如未通过上述资格审查，则作比选申请被否决处理并不得进入下一阶段评审。</w:t>
      </w:r>
    </w:p>
    <w:p>
      <w:pPr>
        <w:pStyle w:val="4"/>
        <w:spacing w:after="0" w:line="360" w:lineRule="auto"/>
        <w:ind w:right="-57" w:firstLine="0"/>
        <w:rPr>
          <w:sz w:val="24"/>
          <w:szCs w:val="24"/>
          <w:highlight w:val="none"/>
        </w:rPr>
      </w:pPr>
      <w:r>
        <w:rPr>
          <w:rFonts w:ascii="宋体" w:hAnsi="宋体"/>
          <w:highlight w:val="none"/>
        </w:rPr>
        <w:br w:type="page"/>
      </w:r>
      <w:bookmarkStart w:id="1394" w:name="_Toc114134689"/>
      <w:bookmarkStart w:id="1395" w:name="_Toc25750695"/>
      <w:bookmarkStart w:id="1396" w:name="_Toc3409"/>
      <w:bookmarkStart w:id="1397" w:name="_Toc5811"/>
      <w:bookmarkStart w:id="1398" w:name="_Toc5737"/>
      <w:bookmarkStart w:id="1399" w:name="_Toc12983557"/>
      <w:bookmarkStart w:id="1400" w:name="_Toc6102"/>
      <w:bookmarkStart w:id="1401" w:name="_Toc9343"/>
      <w:bookmarkStart w:id="1402" w:name="_Toc492478850"/>
      <w:bookmarkStart w:id="1403" w:name="_Toc7852"/>
      <w:bookmarkStart w:id="1404" w:name="_Toc31487"/>
      <w:bookmarkStart w:id="1405" w:name="_Toc191"/>
      <w:bookmarkStart w:id="1406" w:name="_Toc6612"/>
      <w:bookmarkStart w:id="1407" w:name="_Toc12984826"/>
      <w:bookmarkStart w:id="1408" w:name="_Toc22635"/>
      <w:bookmarkStart w:id="1409" w:name="_Toc20215"/>
      <w:bookmarkStart w:id="1410" w:name="_Toc15103"/>
      <w:bookmarkStart w:id="1411" w:name="_Toc25123"/>
      <w:bookmarkStart w:id="1412" w:name="_Toc19299"/>
      <w:bookmarkStart w:id="1413" w:name="_Toc8945"/>
      <w:bookmarkStart w:id="1414" w:name="_Toc29670"/>
      <w:bookmarkStart w:id="1415" w:name="_Toc1459"/>
      <w:r>
        <w:rPr>
          <w:sz w:val="21"/>
          <w:szCs w:val="21"/>
          <w:highlight w:val="none"/>
        </w:rPr>
        <w:t>附表二</w:t>
      </w:r>
      <w:r>
        <w:rPr>
          <w:rFonts w:hint="eastAsia"/>
          <w:sz w:val="21"/>
          <w:szCs w:val="21"/>
          <w:highlight w:val="none"/>
        </w:rPr>
        <w:t xml:space="preserve"> 符合性</w:t>
      </w:r>
      <w:r>
        <w:rPr>
          <w:sz w:val="21"/>
          <w:szCs w:val="21"/>
          <w:highlight w:val="none"/>
        </w:rPr>
        <w:t>评审表</w:t>
      </w:r>
      <w:bookmarkEnd w:id="1394"/>
      <w:bookmarkEnd w:id="1395"/>
    </w:p>
    <w:p>
      <w:pPr>
        <w:spacing w:before="0"/>
        <w:ind w:right="0" w:firstLine="0"/>
        <w:jc w:val="center"/>
        <w:rPr>
          <w:b/>
          <w:sz w:val="24"/>
          <w:szCs w:val="24"/>
          <w:highlight w:val="none"/>
        </w:rPr>
      </w:pPr>
      <w:r>
        <w:rPr>
          <w:rFonts w:hint="eastAsia" w:hAnsi="宋体"/>
          <w:b/>
          <w:sz w:val="24"/>
          <w:szCs w:val="24"/>
          <w:highlight w:val="none"/>
        </w:rPr>
        <w:t>符合性</w:t>
      </w:r>
      <w:r>
        <w:rPr>
          <w:rFonts w:hAnsi="宋体"/>
          <w:b/>
          <w:sz w:val="24"/>
          <w:szCs w:val="24"/>
          <w:highlight w:val="none"/>
        </w:rPr>
        <w:t>评审表</w:t>
      </w:r>
    </w:p>
    <w:tbl>
      <w:tblPr>
        <w:tblStyle w:val="3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highlight w:val="none"/>
              </w:rPr>
            </w:pPr>
            <w:r>
              <w:rPr>
                <w:highlight w:val="none"/>
              </w:rPr>
              <w:t>序号</w:t>
            </w:r>
          </w:p>
        </w:tc>
        <w:tc>
          <w:tcPr>
            <w:tcW w:w="6096" w:type="dxa"/>
            <w:tcBorders>
              <w:top w:val="single" w:color="auto" w:sz="12" w:space="0"/>
            </w:tcBorders>
            <w:vAlign w:val="center"/>
          </w:tcPr>
          <w:p>
            <w:pPr>
              <w:ind w:left="0" w:firstLine="0"/>
              <w:rPr>
                <w:highlight w:val="none"/>
              </w:rPr>
            </w:pPr>
            <w:r>
              <w:rPr>
                <w:rFonts w:hint="eastAsia"/>
                <w:highlight w:val="none"/>
              </w:rPr>
              <w:t>评审项目</w:t>
            </w:r>
          </w:p>
        </w:tc>
        <w:tc>
          <w:tcPr>
            <w:tcW w:w="1134" w:type="dxa"/>
            <w:tcBorders>
              <w:top w:val="single" w:color="auto" w:sz="12" w:space="0"/>
            </w:tcBorders>
          </w:tcPr>
          <w:p>
            <w:pPr>
              <w:ind w:left="0" w:firstLine="0"/>
              <w:rPr>
                <w:highlight w:val="none"/>
              </w:rPr>
            </w:pPr>
            <w:r>
              <w:rPr>
                <w:rFonts w:hint="eastAsia"/>
                <w:highlight w:val="none"/>
              </w:rPr>
              <w:t>评审结果</w:t>
            </w:r>
          </w:p>
        </w:tc>
        <w:tc>
          <w:tcPr>
            <w:tcW w:w="1098" w:type="dxa"/>
            <w:tcBorders>
              <w:top w:val="single" w:color="auto" w:sz="12" w:space="0"/>
            </w:tcBorders>
            <w:vAlign w:val="center"/>
          </w:tcPr>
          <w:p>
            <w:pPr>
              <w:ind w:left="0" w:firstLine="0"/>
              <w:rPr>
                <w:highlight w:val="none"/>
              </w:rPr>
            </w:pPr>
            <w:r>
              <w:rPr>
                <w:rFonts w:hint="eastAsia"/>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highlight w:val="none"/>
              </w:rPr>
            </w:pPr>
            <w:r>
              <w:rPr>
                <w:highlight w:val="none"/>
              </w:rPr>
              <w:t>1</w:t>
            </w:r>
          </w:p>
        </w:tc>
        <w:tc>
          <w:tcPr>
            <w:tcW w:w="6096" w:type="dxa"/>
            <w:vAlign w:val="center"/>
          </w:tcPr>
          <w:p>
            <w:pPr>
              <w:ind w:left="0" w:firstLine="0"/>
              <w:rPr>
                <w:highlight w:val="none"/>
              </w:rPr>
            </w:pPr>
            <w:r>
              <w:rPr>
                <w:rFonts w:hint="eastAsia"/>
                <w:highlight w:val="none"/>
              </w:rPr>
              <w:t>比选申请文件按要求在规定的位置签字（或盖章）并加盖比选申请人单位公章的</w:t>
            </w:r>
          </w:p>
        </w:tc>
        <w:tc>
          <w:tcPr>
            <w:tcW w:w="1134" w:type="dxa"/>
          </w:tcPr>
          <w:p>
            <w:pPr>
              <w:ind w:left="0" w:firstLine="0"/>
              <w:rPr>
                <w:highlight w:val="none"/>
              </w:rPr>
            </w:pPr>
          </w:p>
        </w:tc>
        <w:tc>
          <w:tcPr>
            <w:tcW w:w="1098" w:type="dxa"/>
            <w:vMerge w:val="restart"/>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highlight w:val="none"/>
              </w:rPr>
            </w:pPr>
            <w:r>
              <w:rPr>
                <w:highlight w:val="none"/>
              </w:rPr>
              <w:t>2</w:t>
            </w:r>
          </w:p>
        </w:tc>
        <w:tc>
          <w:tcPr>
            <w:tcW w:w="6096" w:type="dxa"/>
            <w:vAlign w:val="center"/>
          </w:tcPr>
          <w:p>
            <w:pPr>
              <w:ind w:left="0" w:firstLine="0"/>
              <w:rPr>
                <w:highlight w:val="none"/>
              </w:rPr>
            </w:pPr>
            <w:r>
              <w:rPr>
                <w:rFonts w:hint="eastAsia"/>
                <w:highlight w:val="none"/>
              </w:rPr>
              <w:t>比选申请文件的实质性内容按规定填写、内容齐全的；（按比选文件第四章节规定格式填写的）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highlight w:val="none"/>
              </w:rPr>
            </w:pPr>
            <w:r>
              <w:rPr>
                <w:rFonts w:hint="eastAsia"/>
                <w:highlight w:val="none"/>
              </w:rPr>
              <w:t>3</w:t>
            </w:r>
          </w:p>
        </w:tc>
        <w:tc>
          <w:tcPr>
            <w:tcW w:w="6096" w:type="dxa"/>
            <w:vAlign w:val="center"/>
          </w:tcPr>
          <w:p>
            <w:pPr>
              <w:ind w:left="0" w:firstLine="0"/>
              <w:rPr>
                <w:highlight w:val="none"/>
              </w:rPr>
            </w:pPr>
            <w:r>
              <w:rPr>
                <w:rFonts w:hint="eastAsia"/>
                <w:highlight w:val="none"/>
              </w:rPr>
              <w:t>比选申请人在资格审查文件或技术文件中未透露有关报价的信息</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highlight w:val="none"/>
              </w:rPr>
            </w:pPr>
            <w:r>
              <w:rPr>
                <w:rFonts w:hint="eastAsia"/>
                <w:highlight w:val="none"/>
              </w:rPr>
              <w:t>4</w:t>
            </w:r>
          </w:p>
        </w:tc>
        <w:tc>
          <w:tcPr>
            <w:tcW w:w="6096" w:type="dxa"/>
            <w:vAlign w:val="center"/>
          </w:tcPr>
          <w:p>
            <w:pPr>
              <w:ind w:left="0" w:firstLine="0"/>
              <w:rPr>
                <w:highlight w:val="none"/>
              </w:rPr>
            </w:pPr>
            <w:r>
              <w:rPr>
                <w:rFonts w:hint="eastAsia"/>
                <w:highlight w:val="none"/>
              </w:rPr>
              <w:t>在比选申请文件中无虚假资料的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5</w:t>
            </w:r>
          </w:p>
        </w:tc>
        <w:tc>
          <w:tcPr>
            <w:tcW w:w="6096" w:type="dxa"/>
            <w:vAlign w:val="center"/>
          </w:tcPr>
          <w:p>
            <w:pPr>
              <w:ind w:left="0" w:firstLine="0"/>
              <w:rPr>
                <w:highlight w:val="none"/>
              </w:rPr>
            </w:pPr>
            <w:r>
              <w:rPr>
                <w:rFonts w:hint="eastAsia"/>
                <w:highlight w:val="none"/>
              </w:rPr>
              <w:t>技术部分响应无负偏离的</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6</w:t>
            </w:r>
          </w:p>
        </w:tc>
        <w:tc>
          <w:tcPr>
            <w:tcW w:w="6096" w:type="dxa"/>
            <w:vAlign w:val="center"/>
          </w:tcPr>
          <w:p>
            <w:pPr>
              <w:ind w:left="0" w:firstLine="0"/>
              <w:rPr>
                <w:highlight w:val="none"/>
              </w:rPr>
            </w:pPr>
            <w:r>
              <w:rPr>
                <w:rFonts w:hint="eastAsia"/>
                <w:highlight w:val="none"/>
              </w:rPr>
              <w:t>商务响应表无负偏离的</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highlight w:val="none"/>
              </w:rPr>
            </w:pPr>
            <w:r>
              <w:rPr>
                <w:rFonts w:hint="eastAsia"/>
                <w:highlight w:val="none"/>
              </w:rPr>
              <w:t>7</w:t>
            </w:r>
          </w:p>
        </w:tc>
        <w:tc>
          <w:tcPr>
            <w:tcW w:w="6096" w:type="dxa"/>
            <w:vAlign w:val="center"/>
          </w:tcPr>
          <w:p>
            <w:pPr>
              <w:ind w:left="0" w:firstLine="0"/>
              <w:rPr>
                <w:highlight w:val="none"/>
              </w:rPr>
            </w:pPr>
            <w:r>
              <w:rPr>
                <w:rFonts w:hint="eastAsia"/>
                <w:highlight w:val="none"/>
              </w:rPr>
              <w:t>无比选文件、法律、法规规定的其他否决比选申请条件</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bl>
    <w:p>
      <w:pP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spacing w:before="0"/>
        <w:ind w:right="0" w:firstLine="0"/>
        <w:jc w:val="center"/>
        <w:rPr>
          <w:rFonts w:hAnsi="宋体"/>
          <w:b/>
          <w:sz w:val="24"/>
          <w:szCs w:val="24"/>
          <w:highlight w:val="none"/>
        </w:rPr>
      </w:pPr>
    </w:p>
    <w:p>
      <w:pPr>
        <w:spacing w:before="0"/>
        <w:ind w:right="0" w:firstLine="0"/>
        <w:jc w:val="center"/>
        <w:rPr>
          <w:rFonts w:hAnsi="宋体"/>
          <w:b/>
          <w:sz w:val="24"/>
          <w:szCs w:val="24"/>
          <w:highlight w:val="none"/>
        </w:rPr>
      </w:pPr>
      <w:r>
        <w:rPr>
          <w:highlight w:val="none"/>
        </w:rPr>
        <w:br w:type="page"/>
      </w:r>
    </w:p>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Pr>
        <w:spacing w:before="0" w:after="0" w:afterAutospacing="0" w:line="240" w:lineRule="auto"/>
        <w:ind w:left="0" w:right="0" w:firstLine="0"/>
        <w:jc w:val="left"/>
        <w:rPr>
          <w:rFonts w:ascii="宋体" w:hAnsi="宋体"/>
          <w:b/>
          <w:highlight w:val="none"/>
        </w:rPr>
        <w:sectPr>
          <w:footerReference r:id="rId11" w:type="default"/>
          <w:pgSz w:w="11905" w:h="16838"/>
          <w:pgMar w:top="1418" w:right="1418" w:bottom="1418" w:left="1418" w:header="454" w:footer="567" w:gutter="0"/>
          <w:cols w:space="720" w:num="1"/>
          <w:docGrid w:linePitch="319" w:charSpace="0"/>
        </w:sectPr>
      </w:pPr>
    </w:p>
    <w:p>
      <w:pPr>
        <w:spacing w:before="0" w:after="0"/>
        <w:ind w:left="0" w:right="0" w:firstLine="0"/>
        <w:rPr>
          <w:b/>
          <w:bCs/>
          <w:highlight w:val="none"/>
        </w:rPr>
      </w:pPr>
      <w:r>
        <w:rPr>
          <w:rFonts w:hint="eastAsia"/>
          <w:b/>
          <w:bCs/>
          <w:highlight w:val="none"/>
        </w:rPr>
        <w:t>附表三《技术文件评分表》</w:t>
      </w:r>
    </w:p>
    <w:tbl>
      <w:tblPr>
        <w:tblStyle w:val="31"/>
        <w:tblW w:w="13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543"/>
        <w:gridCol w:w="1185"/>
        <w:gridCol w:w="9602"/>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trPr>
        <w:tc>
          <w:tcPr>
            <w:tcW w:w="628" w:type="dxa"/>
            <w:tcBorders>
              <w:bottom w:val="single" w:color="auto" w:sz="4" w:space="0"/>
            </w:tcBorders>
            <w:noWrap/>
            <w:vAlign w:val="center"/>
          </w:tcPr>
          <w:p>
            <w:pPr>
              <w:jc w:val="center"/>
              <w:rPr>
                <w:rFonts w:ascii="宋体" w:hAnsi="宋体"/>
                <w:highlight w:val="none"/>
              </w:rPr>
            </w:pPr>
            <w:r>
              <w:rPr>
                <w:rFonts w:hint="eastAsia" w:ascii="宋体" w:hAnsi="宋体"/>
                <w:highlight w:val="none"/>
              </w:rPr>
              <w:t>序号</w:t>
            </w:r>
          </w:p>
        </w:tc>
        <w:tc>
          <w:tcPr>
            <w:tcW w:w="1543" w:type="dxa"/>
            <w:tcBorders>
              <w:bottom w:val="single" w:color="auto" w:sz="4" w:space="0"/>
            </w:tcBorders>
            <w:noWrap/>
            <w:vAlign w:val="center"/>
          </w:tcPr>
          <w:p>
            <w:pPr>
              <w:jc w:val="center"/>
              <w:rPr>
                <w:rFonts w:ascii="宋体" w:hAnsi="宋体"/>
                <w:highlight w:val="none"/>
              </w:rPr>
            </w:pPr>
            <w:r>
              <w:rPr>
                <w:rFonts w:hint="eastAsia" w:ascii="宋体" w:hAnsi="宋体"/>
                <w:highlight w:val="none"/>
              </w:rPr>
              <w:t>评审项目和内容</w:t>
            </w:r>
          </w:p>
        </w:tc>
        <w:tc>
          <w:tcPr>
            <w:tcW w:w="1185" w:type="dxa"/>
            <w:tcBorders>
              <w:bottom w:val="single" w:color="auto" w:sz="4" w:space="0"/>
            </w:tcBorders>
            <w:noWrap/>
            <w:vAlign w:val="center"/>
          </w:tcPr>
          <w:p>
            <w:pPr>
              <w:jc w:val="center"/>
              <w:rPr>
                <w:rFonts w:ascii="宋体" w:hAnsi="宋体"/>
                <w:bCs/>
                <w:highlight w:val="none"/>
              </w:rPr>
            </w:pPr>
            <w:r>
              <w:rPr>
                <w:rFonts w:hint="eastAsia" w:ascii="宋体" w:hAnsi="宋体"/>
                <w:bCs/>
                <w:highlight w:val="none"/>
              </w:rPr>
              <w:t>标准分</w:t>
            </w:r>
          </w:p>
        </w:tc>
        <w:tc>
          <w:tcPr>
            <w:tcW w:w="9602" w:type="dxa"/>
            <w:tcBorders>
              <w:bottom w:val="single" w:color="auto" w:sz="4" w:space="0"/>
            </w:tcBorders>
            <w:noWrap/>
            <w:vAlign w:val="center"/>
          </w:tcPr>
          <w:p>
            <w:pPr>
              <w:jc w:val="center"/>
              <w:rPr>
                <w:rFonts w:ascii="宋体" w:hAnsi="宋体"/>
                <w:bCs/>
                <w:highlight w:val="none"/>
              </w:rPr>
            </w:pPr>
            <w:r>
              <w:rPr>
                <w:rFonts w:hint="eastAsia" w:ascii="宋体" w:hAnsi="宋体"/>
                <w:bCs/>
                <w:highlight w:val="none"/>
              </w:rPr>
              <w:t>评审标准</w:t>
            </w:r>
          </w:p>
        </w:tc>
        <w:tc>
          <w:tcPr>
            <w:tcW w:w="683" w:type="dxa"/>
            <w:tcBorders>
              <w:bottom w:val="single" w:color="auto" w:sz="4" w:space="0"/>
            </w:tcBorders>
            <w:noWrap/>
            <w:vAlign w:val="center"/>
          </w:tcPr>
          <w:p>
            <w:pPr>
              <w:jc w:val="center"/>
              <w:rPr>
                <w:rFonts w:ascii="宋体" w:hAnsi="宋体"/>
                <w:bCs/>
                <w:highlight w:val="none"/>
              </w:rPr>
            </w:pPr>
            <w:r>
              <w:rPr>
                <w:rFonts w:hint="eastAsia" w:ascii="宋体" w:hAnsi="宋体"/>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28" w:type="dxa"/>
            <w:vMerge w:val="restart"/>
            <w:noWrap/>
            <w:vAlign w:val="center"/>
          </w:tcPr>
          <w:p>
            <w:pPr>
              <w:numPr>
                <w:ilvl w:val="0"/>
                <w:numId w:val="11"/>
              </w:numPr>
              <w:jc w:val="center"/>
              <w:rPr>
                <w:rFonts w:ascii="宋体" w:hAnsi="宋体" w:cs="宋体"/>
                <w:highlight w:val="none"/>
              </w:rPr>
            </w:pPr>
          </w:p>
        </w:tc>
        <w:tc>
          <w:tcPr>
            <w:tcW w:w="1543" w:type="dxa"/>
            <w:vMerge w:val="restart"/>
            <w:noWrap/>
            <w:vAlign w:val="center"/>
          </w:tcPr>
          <w:p>
            <w:pPr>
              <w:jc w:val="center"/>
              <w:rPr>
                <w:rFonts w:ascii="宋体" w:hAnsi="宋体" w:cs="宋体"/>
                <w:b/>
                <w:highlight w:val="none"/>
              </w:rPr>
            </w:pPr>
            <w:r>
              <w:rPr>
                <w:rFonts w:hint="eastAsia" w:ascii="宋体" w:hAnsi="宋体" w:cs="宋体"/>
                <w:b/>
                <w:highlight w:val="none"/>
              </w:rPr>
              <w:t>项目技术服务方案</w:t>
            </w:r>
          </w:p>
          <w:p>
            <w:pPr>
              <w:jc w:val="center"/>
              <w:rPr>
                <w:rFonts w:ascii="宋体" w:hAnsi="宋体" w:cs="宋体"/>
                <w:bCs/>
                <w:highlight w:val="none"/>
              </w:rPr>
            </w:pPr>
            <w:r>
              <w:rPr>
                <w:rFonts w:hint="eastAsia" w:ascii="宋体" w:hAnsi="宋体"/>
                <w:highlight w:val="none"/>
              </w:rPr>
              <w:t>（满分</w:t>
            </w:r>
            <w:r>
              <w:rPr>
                <w:rFonts w:ascii="宋体" w:hAnsi="宋体"/>
                <w:highlight w:val="none"/>
              </w:rPr>
              <w:t>20</w:t>
            </w:r>
            <w:r>
              <w:rPr>
                <w:rFonts w:hint="eastAsia" w:ascii="宋体" w:hAnsi="宋体"/>
                <w:highlight w:val="none"/>
              </w:rPr>
              <w:t>分）</w:t>
            </w:r>
          </w:p>
        </w:tc>
        <w:tc>
          <w:tcPr>
            <w:tcW w:w="1185" w:type="dxa"/>
            <w:noWrap/>
            <w:vAlign w:val="center"/>
          </w:tcPr>
          <w:p>
            <w:pPr>
              <w:jc w:val="center"/>
              <w:rPr>
                <w:rFonts w:ascii="宋体" w:hAnsi="宋体"/>
                <w:highlight w:val="none"/>
              </w:rPr>
            </w:pPr>
            <w:r>
              <w:rPr>
                <w:rFonts w:ascii="宋体" w:hAnsi="宋体"/>
                <w:highlight w:val="none"/>
              </w:rPr>
              <w:t>14</w:t>
            </w:r>
            <w:r>
              <w:rPr>
                <w:rFonts w:hint="eastAsia" w:ascii="宋体" w:hAnsi="宋体"/>
                <w:highlight w:val="none"/>
              </w:rPr>
              <w:t>≤m≤</w:t>
            </w:r>
            <w:r>
              <w:rPr>
                <w:rFonts w:ascii="宋体" w:hAnsi="宋体"/>
                <w:highlight w:val="none"/>
              </w:rPr>
              <w:t>20</w:t>
            </w:r>
          </w:p>
        </w:tc>
        <w:tc>
          <w:tcPr>
            <w:tcW w:w="9602" w:type="dxa"/>
            <w:noWrap/>
            <w:vAlign w:val="center"/>
          </w:tcPr>
          <w:p>
            <w:pPr>
              <w:ind w:left="0" w:firstLine="0"/>
              <w:jc w:val="left"/>
              <w:rPr>
                <w:rFonts w:ascii="宋体" w:hAnsi="宋体" w:cs="Arial"/>
                <w:highlight w:val="none"/>
              </w:rPr>
            </w:pPr>
            <w:r>
              <w:rPr>
                <w:rFonts w:hint="eastAsia" w:ascii="宋体" w:hAnsi="宋体" w:cs="Arial"/>
                <w:highlight w:val="none"/>
              </w:rPr>
              <w:t>实施方案关键线路清晰、完整、严谨、准确、完整，技术方案的描述和采购人业务需要的一致，匹配、准确；计划编制合理、可行；能够提供契合我司项目现状的专项提升方案；能够完全满足采购人的要求（详见第五章发包人要求）</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28" w:type="dxa"/>
            <w:vMerge w:val="continue"/>
            <w:noWrap/>
            <w:vAlign w:val="center"/>
          </w:tcPr>
          <w:p>
            <w:pPr>
              <w:numPr>
                <w:ilvl w:val="0"/>
                <w:numId w:val="11"/>
              </w:numPr>
              <w:jc w:val="center"/>
              <w:rPr>
                <w:rFonts w:ascii="宋体" w:hAnsi="宋体" w:cs="宋体"/>
                <w:highlight w:val="none"/>
              </w:rPr>
            </w:pPr>
          </w:p>
        </w:tc>
        <w:tc>
          <w:tcPr>
            <w:tcW w:w="1543" w:type="dxa"/>
            <w:vMerge w:val="continue"/>
            <w:noWrap/>
            <w:vAlign w:val="center"/>
          </w:tcPr>
          <w:p>
            <w:pPr>
              <w:jc w:val="center"/>
              <w:rPr>
                <w:rFonts w:ascii="宋体" w:hAnsi="宋体" w:cs="宋体"/>
                <w:highlight w:val="none"/>
              </w:rPr>
            </w:pPr>
          </w:p>
        </w:tc>
        <w:tc>
          <w:tcPr>
            <w:tcW w:w="1185" w:type="dxa"/>
            <w:noWrap/>
            <w:vAlign w:val="center"/>
          </w:tcPr>
          <w:p>
            <w:pPr>
              <w:jc w:val="center"/>
              <w:rPr>
                <w:rFonts w:ascii="宋体" w:hAnsi="宋体"/>
                <w:highlight w:val="none"/>
              </w:rPr>
            </w:pPr>
            <w:r>
              <w:rPr>
                <w:rFonts w:ascii="宋体" w:hAnsi="宋体"/>
                <w:highlight w:val="none"/>
              </w:rPr>
              <w:t>7</w:t>
            </w:r>
            <w:r>
              <w:rPr>
                <w:rFonts w:hint="eastAsia" w:ascii="宋体" w:hAnsi="宋体"/>
                <w:highlight w:val="none"/>
              </w:rPr>
              <w:t>&lt;m&lt;</w:t>
            </w:r>
            <w:r>
              <w:rPr>
                <w:rFonts w:ascii="宋体" w:hAnsi="宋体"/>
                <w:highlight w:val="none"/>
              </w:rPr>
              <w:t>14</w:t>
            </w:r>
          </w:p>
        </w:tc>
        <w:tc>
          <w:tcPr>
            <w:tcW w:w="9602" w:type="dxa"/>
            <w:noWrap/>
            <w:vAlign w:val="center"/>
          </w:tcPr>
          <w:p>
            <w:pPr>
              <w:ind w:left="0" w:firstLine="0"/>
              <w:jc w:val="left"/>
              <w:rPr>
                <w:rFonts w:ascii="宋体" w:hAnsi="宋体"/>
                <w:highlight w:val="none"/>
              </w:rPr>
            </w:pPr>
            <w:r>
              <w:rPr>
                <w:rFonts w:hint="eastAsia" w:ascii="宋体" w:hAnsi="宋体"/>
                <w:highlight w:val="none"/>
              </w:rPr>
              <w:t>提供有实施方案，实施方案表述清晰、完整、措施具体，但方案与实际需求有偏差；能够提供比较契合我司项目现状的专项提升方案；基本满足采购人的要求</w:t>
            </w:r>
            <w:r>
              <w:rPr>
                <w:rFonts w:hint="eastAsia" w:ascii="宋体" w:hAnsi="宋体" w:cs="Arial"/>
                <w:highlight w:val="none"/>
              </w:rPr>
              <w:t>（详见第五章发包人要求）</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vMerge w:val="continue"/>
            <w:noWrap/>
            <w:vAlign w:val="center"/>
          </w:tcPr>
          <w:p>
            <w:pPr>
              <w:numPr>
                <w:ilvl w:val="0"/>
                <w:numId w:val="11"/>
              </w:numPr>
              <w:jc w:val="center"/>
              <w:rPr>
                <w:rFonts w:ascii="宋体" w:hAnsi="宋体" w:cs="宋体"/>
                <w:highlight w:val="none"/>
              </w:rPr>
            </w:pPr>
          </w:p>
        </w:tc>
        <w:tc>
          <w:tcPr>
            <w:tcW w:w="1543" w:type="dxa"/>
            <w:vMerge w:val="continue"/>
            <w:noWrap/>
            <w:vAlign w:val="center"/>
          </w:tcPr>
          <w:p>
            <w:pPr>
              <w:jc w:val="center"/>
              <w:rPr>
                <w:rFonts w:ascii="宋体" w:hAnsi="宋体"/>
                <w:highlight w:val="none"/>
              </w:rPr>
            </w:pPr>
          </w:p>
        </w:tc>
        <w:tc>
          <w:tcPr>
            <w:tcW w:w="1185" w:type="dxa"/>
            <w:noWrap/>
            <w:vAlign w:val="center"/>
          </w:tcPr>
          <w:p>
            <w:pPr>
              <w:ind w:left="0" w:firstLine="0"/>
              <w:jc w:val="center"/>
              <w:rPr>
                <w:rFonts w:ascii="宋体" w:hAnsi="宋体"/>
                <w:highlight w:val="none"/>
              </w:rPr>
            </w:pPr>
            <w:r>
              <w:rPr>
                <w:rFonts w:hint="eastAsia" w:ascii="宋体" w:hAnsi="宋体"/>
                <w:highlight w:val="none"/>
              </w:rPr>
              <w:t>0&lt;m≤</w:t>
            </w:r>
            <w:r>
              <w:rPr>
                <w:rFonts w:ascii="宋体" w:hAnsi="宋体"/>
                <w:highlight w:val="none"/>
              </w:rPr>
              <w:t>7</w:t>
            </w:r>
          </w:p>
        </w:tc>
        <w:tc>
          <w:tcPr>
            <w:tcW w:w="9602" w:type="dxa"/>
            <w:noWrap/>
            <w:vAlign w:val="center"/>
          </w:tcPr>
          <w:p>
            <w:pPr>
              <w:ind w:left="0" w:firstLine="0"/>
              <w:jc w:val="left"/>
              <w:rPr>
                <w:rFonts w:ascii="宋体" w:hAnsi="宋体"/>
                <w:highlight w:val="none"/>
              </w:rPr>
            </w:pPr>
            <w:r>
              <w:rPr>
                <w:rFonts w:hint="eastAsia" w:ascii="宋体" w:hAnsi="宋体"/>
                <w:highlight w:val="none"/>
              </w:rPr>
              <w:t>提供有实施方案，但措施不具体，计划编制不合理，关键节点的控制不可行；无法提供契合我司项目现状的专项提升方案；无法满足采购人的要求（详见第五章发包人要求）</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noWrap/>
            <w:vAlign w:val="center"/>
          </w:tcPr>
          <w:p>
            <w:pPr>
              <w:numPr>
                <w:ilvl w:val="0"/>
                <w:numId w:val="11"/>
              </w:numPr>
              <w:jc w:val="center"/>
              <w:rPr>
                <w:rFonts w:ascii="宋体" w:hAnsi="宋体" w:cs="宋体"/>
                <w:highlight w:val="none"/>
              </w:rPr>
            </w:pPr>
          </w:p>
        </w:tc>
        <w:tc>
          <w:tcPr>
            <w:tcW w:w="1543" w:type="dxa"/>
            <w:vMerge w:val="restart"/>
            <w:noWrap/>
            <w:vAlign w:val="center"/>
          </w:tcPr>
          <w:p>
            <w:pPr>
              <w:jc w:val="center"/>
              <w:rPr>
                <w:rFonts w:ascii="宋体" w:hAnsi="宋体"/>
                <w:b/>
                <w:bCs/>
                <w:highlight w:val="none"/>
              </w:rPr>
            </w:pPr>
            <w:r>
              <w:rPr>
                <w:rFonts w:hint="eastAsia" w:ascii="宋体" w:hAnsi="宋体"/>
                <w:b/>
                <w:bCs/>
                <w:highlight w:val="none"/>
              </w:rPr>
              <w:t>人员配置</w:t>
            </w:r>
          </w:p>
          <w:p>
            <w:pPr>
              <w:jc w:val="center"/>
              <w:rPr>
                <w:rFonts w:ascii="宋体" w:hAnsi="宋体"/>
                <w:highlight w:val="none"/>
              </w:rPr>
            </w:pPr>
            <w:r>
              <w:rPr>
                <w:rFonts w:hint="eastAsia" w:ascii="宋体" w:hAnsi="宋体"/>
                <w:highlight w:val="none"/>
              </w:rPr>
              <w:t>（满分</w:t>
            </w:r>
            <w:r>
              <w:rPr>
                <w:rFonts w:ascii="宋体" w:hAnsi="宋体"/>
                <w:highlight w:val="none"/>
              </w:rPr>
              <w:t>15</w:t>
            </w:r>
            <w:r>
              <w:rPr>
                <w:rFonts w:hint="eastAsia" w:ascii="宋体" w:hAnsi="宋体"/>
                <w:highlight w:val="none"/>
              </w:rPr>
              <w:t>分）</w:t>
            </w:r>
          </w:p>
        </w:tc>
        <w:tc>
          <w:tcPr>
            <w:tcW w:w="1185" w:type="dxa"/>
            <w:noWrap/>
            <w:vAlign w:val="center"/>
          </w:tcPr>
          <w:p>
            <w:pPr>
              <w:jc w:val="center"/>
              <w:rPr>
                <w:rFonts w:ascii="宋体" w:hAnsi="宋体"/>
                <w:highlight w:val="none"/>
              </w:rPr>
            </w:pPr>
            <w:r>
              <w:rPr>
                <w:rFonts w:ascii="宋体" w:hAnsi="宋体"/>
                <w:highlight w:val="none"/>
              </w:rPr>
              <w:t>10</w:t>
            </w:r>
            <w:r>
              <w:rPr>
                <w:rFonts w:hint="eastAsia" w:ascii="宋体" w:hAnsi="宋体"/>
                <w:highlight w:val="none"/>
              </w:rPr>
              <w:t>≤m≤</w:t>
            </w:r>
            <w:r>
              <w:rPr>
                <w:rFonts w:ascii="宋体" w:hAnsi="宋体"/>
                <w:highlight w:val="none"/>
              </w:rPr>
              <w:t>15</w:t>
            </w:r>
          </w:p>
        </w:tc>
        <w:tc>
          <w:tcPr>
            <w:tcW w:w="9602" w:type="dxa"/>
            <w:noWrap/>
            <w:vAlign w:val="center"/>
          </w:tcPr>
          <w:p>
            <w:pPr>
              <w:ind w:left="0" w:firstLine="0"/>
              <w:jc w:val="left"/>
              <w:rPr>
                <w:rFonts w:ascii="宋体" w:hAnsi="宋体"/>
                <w:highlight w:val="none"/>
              </w:rPr>
            </w:pPr>
            <w:r>
              <w:rPr>
                <w:rFonts w:hint="eastAsia" w:ascii="宋体" w:hAnsi="宋体"/>
                <w:highlight w:val="none"/>
              </w:rPr>
              <w:t xml:space="preserve">人员配置齐全、资历丰富，能够完全满足发包人的要求 </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noWrap/>
            <w:vAlign w:val="center"/>
          </w:tcPr>
          <w:p>
            <w:pPr>
              <w:numPr>
                <w:ilvl w:val="0"/>
                <w:numId w:val="11"/>
              </w:numPr>
              <w:jc w:val="center"/>
              <w:rPr>
                <w:rFonts w:ascii="宋体" w:hAnsi="宋体" w:cs="宋体"/>
                <w:highlight w:val="none"/>
              </w:rPr>
            </w:pPr>
          </w:p>
        </w:tc>
        <w:tc>
          <w:tcPr>
            <w:tcW w:w="1543" w:type="dxa"/>
            <w:vMerge w:val="continue"/>
            <w:noWrap/>
            <w:vAlign w:val="center"/>
          </w:tcPr>
          <w:p>
            <w:pPr>
              <w:jc w:val="center"/>
              <w:rPr>
                <w:rFonts w:ascii="宋体" w:hAnsi="宋体"/>
                <w:highlight w:val="none"/>
              </w:rPr>
            </w:pPr>
          </w:p>
        </w:tc>
        <w:tc>
          <w:tcPr>
            <w:tcW w:w="1185" w:type="dxa"/>
            <w:noWrap/>
            <w:vAlign w:val="center"/>
          </w:tcPr>
          <w:p>
            <w:pPr>
              <w:jc w:val="center"/>
              <w:rPr>
                <w:rFonts w:ascii="宋体" w:hAnsi="宋体"/>
                <w:highlight w:val="none"/>
              </w:rPr>
            </w:pPr>
            <w:r>
              <w:rPr>
                <w:rFonts w:ascii="宋体" w:hAnsi="宋体"/>
                <w:highlight w:val="none"/>
              </w:rPr>
              <w:t>5</w:t>
            </w:r>
            <w:r>
              <w:rPr>
                <w:rFonts w:hint="eastAsia" w:ascii="宋体" w:hAnsi="宋体"/>
                <w:highlight w:val="none"/>
              </w:rPr>
              <w:t>&lt;m&lt;</w:t>
            </w:r>
            <w:r>
              <w:rPr>
                <w:rFonts w:ascii="宋体" w:hAnsi="宋体"/>
                <w:highlight w:val="none"/>
              </w:rPr>
              <w:t>10</w:t>
            </w:r>
          </w:p>
        </w:tc>
        <w:tc>
          <w:tcPr>
            <w:tcW w:w="9602" w:type="dxa"/>
            <w:noWrap/>
            <w:vAlign w:val="center"/>
          </w:tcPr>
          <w:p>
            <w:pPr>
              <w:ind w:left="0" w:firstLine="0"/>
              <w:jc w:val="left"/>
              <w:rPr>
                <w:rFonts w:ascii="宋体" w:hAnsi="宋体"/>
                <w:highlight w:val="none"/>
              </w:rPr>
            </w:pPr>
            <w:r>
              <w:rPr>
                <w:rFonts w:hint="eastAsia" w:ascii="宋体" w:hAnsi="宋体"/>
                <w:highlight w:val="none"/>
              </w:rPr>
              <w:t>人员配置齐全、资历较为丰富，能够基本完全满足发包人的要求</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noWrap/>
            <w:vAlign w:val="center"/>
          </w:tcPr>
          <w:p>
            <w:pPr>
              <w:numPr>
                <w:ilvl w:val="0"/>
                <w:numId w:val="11"/>
              </w:numPr>
              <w:jc w:val="center"/>
              <w:rPr>
                <w:rFonts w:ascii="宋体" w:hAnsi="宋体" w:cs="宋体"/>
                <w:highlight w:val="none"/>
              </w:rPr>
            </w:pPr>
          </w:p>
        </w:tc>
        <w:tc>
          <w:tcPr>
            <w:tcW w:w="1543" w:type="dxa"/>
            <w:vMerge w:val="continue"/>
            <w:noWrap/>
            <w:vAlign w:val="center"/>
          </w:tcPr>
          <w:p>
            <w:pPr>
              <w:jc w:val="center"/>
              <w:rPr>
                <w:rFonts w:ascii="宋体" w:hAnsi="宋体"/>
                <w:highlight w:val="none"/>
              </w:rPr>
            </w:pPr>
          </w:p>
        </w:tc>
        <w:tc>
          <w:tcPr>
            <w:tcW w:w="1185" w:type="dxa"/>
            <w:noWrap/>
            <w:vAlign w:val="center"/>
          </w:tcPr>
          <w:p>
            <w:pPr>
              <w:ind w:left="0" w:firstLine="0"/>
              <w:jc w:val="center"/>
              <w:rPr>
                <w:rFonts w:ascii="宋体" w:hAnsi="宋体"/>
                <w:highlight w:val="none"/>
              </w:rPr>
            </w:pPr>
            <w:r>
              <w:rPr>
                <w:rFonts w:hint="eastAsia" w:ascii="宋体" w:hAnsi="宋体"/>
                <w:highlight w:val="none"/>
              </w:rPr>
              <w:t>0&lt;m≤</w:t>
            </w:r>
            <w:r>
              <w:rPr>
                <w:rFonts w:ascii="宋体" w:hAnsi="宋体"/>
                <w:highlight w:val="none"/>
              </w:rPr>
              <w:t>5</w:t>
            </w:r>
          </w:p>
        </w:tc>
        <w:tc>
          <w:tcPr>
            <w:tcW w:w="9602" w:type="dxa"/>
            <w:noWrap/>
            <w:vAlign w:val="center"/>
          </w:tcPr>
          <w:p>
            <w:pPr>
              <w:ind w:left="0" w:firstLine="0"/>
              <w:jc w:val="left"/>
              <w:rPr>
                <w:rFonts w:ascii="宋体" w:hAnsi="宋体"/>
                <w:highlight w:val="none"/>
              </w:rPr>
            </w:pPr>
            <w:r>
              <w:rPr>
                <w:rFonts w:hint="eastAsia" w:ascii="宋体" w:hAnsi="宋体"/>
                <w:highlight w:val="none"/>
              </w:rPr>
              <w:t xml:space="preserve">人员配置不齐全、资历浅，无法满足发包人的要求 </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noWrap/>
            <w:vAlign w:val="center"/>
          </w:tcPr>
          <w:p>
            <w:pPr>
              <w:numPr>
                <w:ilvl w:val="0"/>
                <w:numId w:val="11"/>
              </w:numPr>
              <w:jc w:val="center"/>
              <w:rPr>
                <w:rFonts w:ascii="宋体" w:hAnsi="宋体" w:cs="宋体"/>
                <w:highlight w:val="none"/>
              </w:rPr>
            </w:pPr>
          </w:p>
        </w:tc>
        <w:tc>
          <w:tcPr>
            <w:tcW w:w="1543" w:type="dxa"/>
            <w:noWrap/>
            <w:vAlign w:val="center"/>
          </w:tcPr>
          <w:p>
            <w:pPr>
              <w:snapToGrid w:val="0"/>
              <w:jc w:val="center"/>
              <w:rPr>
                <w:rFonts w:ascii="宋体" w:hAnsi="宋体"/>
                <w:bCs/>
                <w:highlight w:val="none"/>
              </w:rPr>
            </w:pPr>
          </w:p>
          <w:p>
            <w:pPr>
              <w:snapToGrid w:val="0"/>
              <w:jc w:val="center"/>
              <w:rPr>
                <w:rFonts w:ascii="宋体" w:hAnsi="宋体"/>
                <w:bCs/>
                <w:highlight w:val="none"/>
              </w:rPr>
            </w:pPr>
          </w:p>
          <w:p>
            <w:pPr>
              <w:snapToGrid w:val="0"/>
              <w:jc w:val="center"/>
              <w:rPr>
                <w:rFonts w:ascii="宋体" w:hAnsi="宋体"/>
                <w:b/>
                <w:highlight w:val="none"/>
              </w:rPr>
            </w:pPr>
            <w:r>
              <w:rPr>
                <w:rFonts w:hint="eastAsia" w:ascii="宋体" w:hAnsi="宋体"/>
                <w:b/>
                <w:highlight w:val="none"/>
              </w:rPr>
              <w:t>综合实力</w:t>
            </w:r>
          </w:p>
          <w:p>
            <w:pPr>
              <w:snapToGrid w:val="0"/>
              <w:jc w:val="center"/>
              <w:rPr>
                <w:rFonts w:eastAsiaTheme="minorEastAsia"/>
                <w:highlight w:val="none"/>
              </w:rPr>
            </w:pPr>
            <w:r>
              <w:rPr>
                <w:rFonts w:hint="eastAsia" w:ascii="宋体" w:hAnsi="宋体"/>
                <w:bCs/>
                <w:highlight w:val="none"/>
              </w:rPr>
              <w:t>（满分1</w:t>
            </w:r>
            <w:r>
              <w:rPr>
                <w:rFonts w:ascii="宋体" w:hAnsi="宋体"/>
                <w:bCs/>
                <w:highlight w:val="none"/>
              </w:rPr>
              <w:t>4</w:t>
            </w:r>
            <w:r>
              <w:rPr>
                <w:rFonts w:hint="eastAsia" w:ascii="宋体" w:hAnsi="宋体"/>
                <w:bCs/>
                <w:highlight w:val="none"/>
              </w:rPr>
              <w:t>）</w:t>
            </w:r>
          </w:p>
        </w:tc>
        <w:tc>
          <w:tcPr>
            <w:tcW w:w="10787" w:type="dxa"/>
            <w:gridSpan w:val="2"/>
            <w:noWrap/>
            <w:vAlign w:val="center"/>
          </w:tcPr>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（1） 获表彰情况（</w:t>
            </w:r>
            <w:r>
              <w:rPr>
                <w:rFonts w:hint="eastAsia" w:ascii="宋体" w:hAnsi="宋体"/>
                <w:bCs/>
                <w:highlight w:val="none"/>
                <w:lang w:val="en-US" w:eastAsia="zh-CN"/>
              </w:rPr>
              <w:t>4</w:t>
            </w:r>
            <w:r>
              <w:rPr>
                <w:rFonts w:hint="eastAsia" w:ascii="宋体" w:hAnsi="宋体"/>
                <w:bCs/>
                <w:highlight w:val="none"/>
              </w:rPr>
              <w:t>分）</w:t>
            </w:r>
          </w:p>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响应人自2019年至今获得过政府部门颁发的第三方巡查（评估、检查）类业务相关奖牌、表扬信或证书，每提供</w:t>
            </w:r>
            <w:r>
              <w:rPr>
                <w:rFonts w:hint="eastAsia" w:ascii="宋体" w:hAnsi="宋体"/>
                <w:bCs/>
                <w:highlight w:val="none"/>
                <w:lang w:val="en-US" w:eastAsia="zh-CN"/>
              </w:rPr>
              <w:t>1</w:t>
            </w:r>
            <w:r>
              <w:rPr>
                <w:rFonts w:hint="eastAsia" w:ascii="宋体" w:hAnsi="宋体"/>
                <w:bCs/>
                <w:highlight w:val="none"/>
              </w:rPr>
              <w:t>个得</w:t>
            </w:r>
            <w:r>
              <w:rPr>
                <w:rFonts w:hint="eastAsia" w:ascii="宋体" w:hAnsi="宋体"/>
                <w:bCs/>
                <w:highlight w:val="none"/>
                <w:lang w:val="en-US" w:eastAsia="zh-CN"/>
              </w:rPr>
              <w:t>2</w:t>
            </w:r>
            <w:r>
              <w:rPr>
                <w:rFonts w:hint="eastAsia" w:ascii="宋体" w:hAnsi="宋体"/>
                <w:bCs/>
                <w:highlight w:val="none"/>
              </w:rPr>
              <w:t>分，满分</w:t>
            </w:r>
            <w:r>
              <w:rPr>
                <w:rFonts w:hint="eastAsia" w:ascii="宋体" w:hAnsi="宋体"/>
                <w:bCs/>
                <w:highlight w:val="none"/>
                <w:lang w:val="en-US" w:eastAsia="zh-CN"/>
              </w:rPr>
              <w:t>4</w:t>
            </w:r>
            <w:r>
              <w:rPr>
                <w:rFonts w:hint="eastAsia" w:ascii="宋体" w:hAnsi="宋体"/>
                <w:bCs/>
                <w:highlight w:val="none"/>
              </w:rPr>
              <w:t>分</w:t>
            </w:r>
          </w:p>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（2） 标准制定能力（2分）</w:t>
            </w:r>
          </w:p>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响应人主编或发表过与工程评估有关的团体标准，得2分，无则不得分。</w:t>
            </w:r>
          </w:p>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3.相关认证（4分）</w:t>
            </w:r>
          </w:p>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响应人获得有效期内的质量管理体系认证证书、环境管理体系认证证书、职业健康安全管理体系认证证书、反贿赂管理体系认证证书，且证书认证范围均须体现安全或质量安全第三方评估（巡查、检查）等关键内容，每个得1分，无则不得分，满分4分。</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noWrap/>
            <w:vAlign w:val="center"/>
          </w:tcPr>
          <w:p>
            <w:pPr>
              <w:jc w:val="center"/>
              <w:rPr>
                <w:rFonts w:ascii="宋体" w:hAnsi="宋体"/>
                <w:highlight w:val="none"/>
              </w:rPr>
            </w:pPr>
          </w:p>
        </w:tc>
        <w:tc>
          <w:tcPr>
            <w:tcW w:w="1543" w:type="dxa"/>
            <w:noWrap/>
            <w:vAlign w:val="center"/>
          </w:tcPr>
          <w:p>
            <w:pPr>
              <w:jc w:val="center"/>
              <w:rPr>
                <w:rFonts w:ascii="宋体" w:hAnsi="宋体"/>
                <w:b/>
                <w:bCs/>
                <w:highlight w:val="none"/>
              </w:rPr>
            </w:pPr>
            <w:r>
              <w:rPr>
                <w:rFonts w:hint="eastAsia" w:ascii="宋体" w:hAnsi="宋体"/>
                <w:b/>
                <w:bCs/>
                <w:highlight w:val="none"/>
              </w:rPr>
              <w:t>企业高新技术</w:t>
            </w:r>
          </w:p>
          <w:p>
            <w:pPr>
              <w:snapToGrid w:val="0"/>
              <w:jc w:val="center"/>
              <w:rPr>
                <w:rFonts w:ascii="宋体" w:hAnsi="宋体"/>
                <w:highlight w:val="none"/>
              </w:rPr>
            </w:pPr>
            <w:r>
              <w:rPr>
                <w:rFonts w:hint="eastAsia" w:ascii="宋体" w:hAnsi="宋体"/>
                <w:highlight w:val="none"/>
              </w:rPr>
              <w:t>（满分</w:t>
            </w:r>
            <w:r>
              <w:rPr>
                <w:rFonts w:ascii="宋体" w:hAnsi="宋体"/>
                <w:highlight w:val="none"/>
              </w:rPr>
              <w:t>4</w:t>
            </w:r>
            <w:r>
              <w:rPr>
                <w:rFonts w:hint="eastAsia" w:ascii="宋体" w:hAnsi="宋体"/>
                <w:highlight w:val="none"/>
              </w:rPr>
              <w:t>分）</w:t>
            </w:r>
          </w:p>
        </w:tc>
        <w:tc>
          <w:tcPr>
            <w:tcW w:w="10787" w:type="dxa"/>
            <w:gridSpan w:val="2"/>
            <w:noWrap/>
            <w:vAlign w:val="center"/>
          </w:tcPr>
          <w:p>
            <w:pPr>
              <w:jc w:val="left"/>
              <w:rPr>
                <w:rFonts w:ascii="宋体" w:hAnsi="宋体"/>
                <w:highlight w:val="none"/>
              </w:rPr>
            </w:pPr>
            <w:r>
              <w:rPr>
                <w:rFonts w:hint="eastAsia" w:ascii="宋体" w:hAnsi="宋体"/>
                <w:highlight w:val="none"/>
              </w:rPr>
              <w:t>响应人近三年获得省级的高新技术企业证书，且证书在有效期内的得3分；响应人近三年获得国家级的高新技术企业证书，且证书在有效期内的得</w:t>
            </w:r>
            <w:r>
              <w:rPr>
                <w:rFonts w:ascii="宋体" w:hAnsi="宋体"/>
                <w:highlight w:val="none"/>
              </w:rPr>
              <w:t>4</w:t>
            </w:r>
            <w:r>
              <w:rPr>
                <w:rFonts w:hint="eastAsia" w:ascii="宋体" w:hAnsi="宋体"/>
                <w:highlight w:val="none"/>
              </w:rPr>
              <w:t>分</w:t>
            </w:r>
            <w:r>
              <w:rPr>
                <w:rFonts w:hint="eastAsia" w:ascii="宋体" w:hAnsi="宋体"/>
                <w:highlight w:val="none"/>
                <w:lang w:eastAsia="zh-CN"/>
              </w:rPr>
              <w:t>；</w:t>
            </w:r>
            <w:r>
              <w:rPr>
                <w:rFonts w:hint="eastAsia" w:ascii="宋体" w:hAnsi="宋体"/>
                <w:highlight w:val="none"/>
              </w:rPr>
              <w:t>满分</w:t>
            </w:r>
            <w:r>
              <w:rPr>
                <w:rFonts w:ascii="宋体" w:hAnsi="宋体"/>
                <w:highlight w:val="none"/>
              </w:rPr>
              <w:t>4</w:t>
            </w:r>
            <w:r>
              <w:rPr>
                <w:rFonts w:hint="eastAsia" w:ascii="宋体" w:hAnsi="宋体"/>
                <w:highlight w:val="none"/>
              </w:rPr>
              <w:t>分；提供相关证明文件。未提供者此项不得分</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28" w:type="dxa"/>
            <w:noWrap/>
            <w:vAlign w:val="center"/>
          </w:tcPr>
          <w:p>
            <w:pPr>
              <w:numPr>
                <w:ilvl w:val="0"/>
                <w:numId w:val="11"/>
              </w:numPr>
              <w:jc w:val="center"/>
              <w:rPr>
                <w:rFonts w:ascii="宋体" w:hAnsi="宋体" w:cs="宋体"/>
                <w:highlight w:val="none"/>
              </w:rPr>
            </w:pPr>
          </w:p>
        </w:tc>
        <w:tc>
          <w:tcPr>
            <w:tcW w:w="1543" w:type="dxa"/>
            <w:noWrap/>
            <w:vAlign w:val="center"/>
          </w:tcPr>
          <w:p>
            <w:pPr>
              <w:snapToGrid w:val="0"/>
              <w:jc w:val="center"/>
              <w:rPr>
                <w:rFonts w:ascii="宋体" w:hAnsi="宋体"/>
                <w:b/>
                <w:highlight w:val="none"/>
              </w:rPr>
            </w:pPr>
            <w:r>
              <w:rPr>
                <w:rFonts w:hint="eastAsia" w:ascii="宋体" w:hAnsi="宋体"/>
                <w:b/>
                <w:highlight w:val="none"/>
              </w:rPr>
              <w:t>业绩</w:t>
            </w:r>
          </w:p>
          <w:p>
            <w:pPr>
              <w:snapToGrid w:val="0"/>
              <w:jc w:val="center"/>
              <w:rPr>
                <w:rFonts w:ascii="宋体" w:hAnsi="宋体"/>
                <w:bCs/>
                <w:highlight w:val="none"/>
              </w:rPr>
            </w:pPr>
            <w:r>
              <w:rPr>
                <w:rFonts w:ascii="宋体" w:hAnsi="宋体"/>
                <w:bCs/>
                <w:highlight w:val="none"/>
              </w:rPr>
              <w:t>（满分7分）</w:t>
            </w:r>
          </w:p>
        </w:tc>
        <w:tc>
          <w:tcPr>
            <w:tcW w:w="10787" w:type="dxa"/>
            <w:gridSpan w:val="2"/>
            <w:noWrap/>
            <w:vAlign w:val="center"/>
          </w:tcPr>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1）响应人须提供2019年至今房地产楼盘项目质量安全评估案例业绩造价在60万及以上的5个不同项目的合同复印件（以合同复印件首页、签约内容、签约金额、签约日期、双方盖章签字及加盖公章为准）；符合条件的案例一个得1分，满分</w:t>
            </w:r>
            <w:r>
              <w:rPr>
                <w:rFonts w:ascii="宋体" w:hAnsi="宋体"/>
                <w:bCs/>
                <w:highlight w:val="none"/>
              </w:rPr>
              <w:t>5</w:t>
            </w:r>
            <w:r>
              <w:rPr>
                <w:rFonts w:hint="eastAsia" w:ascii="宋体" w:hAnsi="宋体"/>
                <w:bCs/>
                <w:highlight w:val="none"/>
              </w:rPr>
              <w:t>分。</w:t>
            </w:r>
          </w:p>
          <w:p>
            <w:pPr>
              <w:widowControl w:val="0"/>
              <w:adjustRightInd w:val="0"/>
              <w:spacing w:before="0" w:after="0" w:afterAutospacing="0"/>
              <w:ind w:left="0" w:right="0" w:firstLine="0"/>
              <w:textAlignment w:val="baseline"/>
              <w:rPr>
                <w:rFonts w:ascii="宋体" w:hAnsi="宋体"/>
                <w:bCs/>
                <w:highlight w:val="none"/>
              </w:rPr>
            </w:pPr>
            <w:r>
              <w:rPr>
                <w:rFonts w:hint="eastAsia" w:ascii="宋体" w:hAnsi="宋体"/>
                <w:bCs/>
                <w:highlight w:val="none"/>
              </w:rPr>
              <w:t>（2）响应人自2019年至今具备为政府部门服务的业绩且获得履约评价为优的，每个得</w:t>
            </w:r>
            <w:r>
              <w:rPr>
                <w:rFonts w:ascii="宋体" w:hAnsi="宋体"/>
                <w:bCs/>
                <w:highlight w:val="none"/>
              </w:rPr>
              <w:t>1</w:t>
            </w:r>
            <w:r>
              <w:rPr>
                <w:rFonts w:hint="eastAsia" w:ascii="宋体" w:hAnsi="宋体"/>
                <w:bCs/>
                <w:highlight w:val="none"/>
              </w:rPr>
              <w:t>分。最高得</w:t>
            </w:r>
            <w:r>
              <w:rPr>
                <w:rFonts w:ascii="宋体" w:hAnsi="宋体"/>
                <w:bCs/>
                <w:highlight w:val="none"/>
              </w:rPr>
              <w:t>2</w:t>
            </w:r>
            <w:r>
              <w:rPr>
                <w:rFonts w:hint="eastAsia" w:ascii="宋体" w:hAnsi="宋体"/>
                <w:bCs/>
                <w:highlight w:val="none"/>
              </w:rPr>
              <w:t>分。（合同必须是第三方工程评估类，监理合同不得分</w:t>
            </w:r>
          </w:p>
        </w:tc>
        <w:tc>
          <w:tcPr>
            <w:tcW w:w="68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71" w:type="dxa"/>
            <w:gridSpan w:val="2"/>
            <w:noWrap/>
            <w:vAlign w:val="center"/>
          </w:tcPr>
          <w:p>
            <w:pPr>
              <w:jc w:val="center"/>
              <w:rPr>
                <w:rFonts w:ascii="宋体" w:hAnsi="宋体"/>
                <w:highlight w:val="none"/>
              </w:rPr>
            </w:pPr>
            <w:r>
              <w:rPr>
                <w:rFonts w:hint="eastAsia" w:ascii="宋体" w:hAnsi="宋体"/>
                <w:highlight w:val="none"/>
              </w:rPr>
              <w:t>技术</w:t>
            </w:r>
            <w:r>
              <w:rPr>
                <w:rFonts w:ascii="宋体" w:hAnsi="宋体"/>
                <w:highlight w:val="none"/>
              </w:rPr>
              <w:t>文件得分</w:t>
            </w:r>
          </w:p>
        </w:tc>
        <w:tc>
          <w:tcPr>
            <w:tcW w:w="1185" w:type="dxa"/>
            <w:noWrap/>
            <w:vAlign w:val="center"/>
          </w:tcPr>
          <w:p>
            <w:pPr>
              <w:jc w:val="center"/>
              <w:rPr>
                <w:rFonts w:ascii="宋体" w:hAnsi="宋体"/>
                <w:highlight w:val="none"/>
              </w:rPr>
            </w:pPr>
            <w:r>
              <w:rPr>
                <w:rFonts w:ascii="宋体" w:hAnsi="宋体"/>
                <w:highlight w:val="none"/>
              </w:rPr>
              <w:t>60</w:t>
            </w:r>
          </w:p>
        </w:tc>
        <w:tc>
          <w:tcPr>
            <w:tcW w:w="9602" w:type="dxa"/>
            <w:noWrap/>
            <w:vAlign w:val="center"/>
          </w:tcPr>
          <w:p>
            <w:pPr>
              <w:jc w:val="left"/>
              <w:rPr>
                <w:rFonts w:ascii="宋体" w:hAnsi="宋体"/>
                <w:bCs/>
                <w:highlight w:val="none"/>
              </w:rPr>
            </w:pPr>
          </w:p>
        </w:tc>
        <w:tc>
          <w:tcPr>
            <w:tcW w:w="683" w:type="dxa"/>
            <w:noWrap/>
            <w:vAlign w:val="center"/>
          </w:tcPr>
          <w:p>
            <w:pPr>
              <w:jc w:val="center"/>
              <w:rPr>
                <w:rFonts w:ascii="宋体" w:hAnsi="宋体"/>
                <w:highlight w:val="none"/>
              </w:rPr>
            </w:pPr>
          </w:p>
        </w:tc>
      </w:tr>
    </w:tbl>
    <w:p>
      <w:pPr>
        <w:spacing w:before="0" w:after="0"/>
        <w:ind w:left="0" w:right="0" w:firstLine="0"/>
        <w:rPr>
          <w:b/>
          <w:bCs/>
          <w:highlight w:val="none"/>
        </w:rPr>
      </w:pPr>
    </w:p>
    <w:p>
      <w:pPr>
        <w:spacing w:before="0" w:after="0" w:afterAutospacing="0" w:line="240" w:lineRule="auto"/>
        <w:ind w:left="0" w:right="0" w:firstLine="0"/>
        <w:jc w:val="left"/>
        <w:rPr>
          <w:b/>
          <w:bCs/>
          <w:highlight w:val="none"/>
        </w:rPr>
      </w:pPr>
      <w:r>
        <w:rPr>
          <w:b/>
          <w:bCs/>
          <w:highlight w:val="none"/>
        </w:rPr>
        <w:br w:type="page"/>
      </w:r>
    </w:p>
    <w:p>
      <w:pPr>
        <w:spacing w:before="0" w:after="0" w:afterAutospacing="0" w:line="240" w:lineRule="auto"/>
        <w:ind w:left="0" w:right="0" w:firstLine="0"/>
        <w:jc w:val="left"/>
        <w:rPr>
          <w:b/>
          <w:bCs/>
          <w:highlight w:val="none"/>
        </w:rPr>
      </w:pPr>
    </w:p>
    <w:p>
      <w:pPr>
        <w:spacing w:before="0" w:after="0"/>
        <w:ind w:left="0" w:right="0" w:firstLine="0"/>
        <w:jc w:val="left"/>
        <w:rPr>
          <w:b/>
          <w:bCs/>
          <w:highlight w:val="none"/>
        </w:rPr>
      </w:pPr>
      <w:r>
        <w:rPr>
          <w:rFonts w:hint="eastAsia"/>
          <w:b/>
          <w:bCs/>
          <w:highlight w:val="none"/>
        </w:rPr>
        <w:t>附表四《价格文件评分表》</w:t>
      </w:r>
    </w:p>
    <w:p>
      <w:pPr>
        <w:spacing w:before="0" w:after="0"/>
        <w:ind w:left="0" w:right="0" w:firstLine="0"/>
        <w:jc w:val="center"/>
        <w:rPr>
          <w:b/>
          <w:bCs/>
          <w:highlight w:val="none"/>
        </w:rPr>
      </w:pPr>
      <w:r>
        <w:rPr>
          <w:rFonts w:hint="eastAsia"/>
          <w:b/>
          <w:bCs/>
          <w:highlight w:val="none"/>
        </w:rPr>
        <w:t>价格文件评分表</w:t>
      </w:r>
    </w:p>
    <w:tbl>
      <w:tblPr>
        <w:tblStyle w:val="31"/>
        <w:tblW w:w="13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559"/>
        <w:gridCol w:w="4678"/>
        <w:gridCol w:w="4014"/>
        <w:gridCol w:w="107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kern w:val="2"/>
                <w:highlight w:val="none"/>
              </w:rPr>
            </w:pPr>
            <w:r>
              <w:rPr>
                <w:rFonts w:hint="eastAsia"/>
                <w:b/>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kern w:val="2"/>
                <w:highlight w:val="none"/>
              </w:rPr>
            </w:pPr>
            <w:r>
              <w:rPr>
                <w:rFonts w:hint="eastAsia"/>
                <w:highlight w:val="none"/>
              </w:rPr>
              <w:t>项目</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bCs/>
                <w:kern w:val="2"/>
                <w:highlight w:val="none"/>
              </w:rPr>
            </w:pPr>
            <w:r>
              <w:rPr>
                <w:rFonts w:hint="eastAsia"/>
                <w:highlight w:val="none"/>
              </w:rPr>
              <w:t>评审基准价</w:t>
            </w:r>
          </w:p>
        </w:tc>
        <w:tc>
          <w:tcPr>
            <w:tcW w:w="4014"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rPr>
                <w:b/>
                <w:bCs/>
                <w:kern w:val="2"/>
                <w:highlight w:val="none"/>
              </w:rPr>
            </w:pPr>
            <w:r>
              <w:rPr>
                <w:rFonts w:hint="eastAsia"/>
                <w:highlight w:val="none"/>
              </w:rPr>
              <w:t>评分标准</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rPr>
                <w:b/>
                <w:bCs/>
                <w:highlight w:val="none"/>
              </w:rPr>
            </w:pPr>
            <w:r>
              <w:rPr>
                <w:rFonts w:hint="eastAsia"/>
                <w:highlight w:val="none"/>
              </w:rPr>
              <w:t>分值</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rPr>
                <w:highlight w:val="none"/>
              </w:rPr>
            </w:pPr>
            <w:r>
              <w:rPr>
                <w:rFonts w:hint="eastAsia"/>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highlight w:val="none"/>
              </w:rPr>
            </w:pPr>
            <w:r>
              <w:rPr>
                <w:rFonts w:hint="eastAsia"/>
                <w:b/>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highlight w:val="none"/>
              </w:rPr>
            </w:pPr>
            <w:r>
              <w:rPr>
                <w:rFonts w:hint="eastAsia" w:ascii="宋体" w:hAnsi="宋体"/>
                <w:kern w:val="2"/>
                <w:highlight w:val="none"/>
              </w:rPr>
              <w:t>比选报价</w:t>
            </w:r>
          </w:p>
        </w:tc>
        <w:tc>
          <w:tcPr>
            <w:tcW w:w="4678" w:type="dxa"/>
            <w:tcBorders>
              <w:top w:val="single" w:color="auto" w:sz="4" w:space="0"/>
              <w:left w:val="single" w:color="auto" w:sz="4" w:space="0"/>
              <w:bottom w:val="single" w:color="auto" w:sz="4" w:space="0"/>
              <w:right w:val="single" w:color="auto" w:sz="4" w:space="0"/>
            </w:tcBorders>
            <w:vAlign w:val="center"/>
          </w:tcPr>
          <w:p>
            <w:pPr>
              <w:spacing w:before="0"/>
              <w:ind w:left="0" w:right="0" w:firstLine="0"/>
              <w:jc w:val="left"/>
              <w:rPr>
                <w:rFonts w:ascii="宋体" w:hAnsi="宋体"/>
                <w:b/>
                <w:sz w:val="24"/>
                <w:highlight w:val="none"/>
              </w:rPr>
            </w:pPr>
            <w:r>
              <w:rPr>
                <w:rFonts w:ascii="宋体" w:hAnsi="宋体"/>
                <w:b/>
                <w:sz w:val="24"/>
                <w:highlight w:val="none"/>
              </w:rPr>
              <w:t>进入商务文件评审的比选申请人才能进行价格分评审。</w:t>
            </w:r>
          </w:p>
          <w:p>
            <w:pPr>
              <w:spacing w:before="0"/>
              <w:ind w:left="0" w:right="0" w:firstLine="420"/>
              <w:jc w:val="left"/>
              <w:rPr>
                <w:rFonts w:ascii="宋体" w:hAnsi="宋体"/>
                <w:sz w:val="24"/>
                <w:highlight w:val="none"/>
              </w:rPr>
            </w:pPr>
            <w:r>
              <w:rPr>
                <w:rFonts w:ascii="宋体" w:hAnsi="宋体"/>
                <w:sz w:val="24"/>
                <w:highlight w:val="none"/>
              </w:rPr>
              <w:t>以进入商务文件评审、满足比选文件要求且评比报价最低的报价为评比基准价。</w:t>
            </w:r>
          </w:p>
          <w:p>
            <w:pPr>
              <w:widowControl w:val="0"/>
              <w:ind w:right="-57"/>
              <w:jc w:val="center"/>
              <w:rPr>
                <w:b/>
                <w:bCs/>
                <w:highlight w:val="none"/>
              </w:rPr>
            </w:pPr>
          </w:p>
        </w:tc>
        <w:tc>
          <w:tcPr>
            <w:tcW w:w="4014" w:type="dxa"/>
            <w:tcBorders>
              <w:top w:val="single" w:color="auto" w:sz="4" w:space="0"/>
              <w:left w:val="single" w:color="auto" w:sz="4" w:space="0"/>
              <w:bottom w:val="single" w:color="auto" w:sz="4" w:space="0"/>
              <w:right w:val="single" w:color="auto" w:sz="4" w:space="0"/>
            </w:tcBorders>
            <w:vAlign w:val="center"/>
          </w:tcPr>
          <w:p>
            <w:pPr>
              <w:pStyle w:val="15"/>
              <w:spacing w:before="0"/>
              <w:ind w:left="0" w:right="0" w:firstLine="420"/>
              <w:rPr>
                <w:highlight w:val="none"/>
              </w:rPr>
            </w:pPr>
            <w:r>
              <w:rPr>
                <w:rFonts w:hAnsi="宋体" w:cs="Times New Roman"/>
                <w:sz w:val="24"/>
                <w:szCs w:val="21"/>
                <w:highlight w:val="none"/>
              </w:rPr>
              <w:t>等于评比基准价的价格分为满分40分。其他进入商务文件评审</w:t>
            </w:r>
            <w:r>
              <w:rPr>
                <w:rFonts w:hint="eastAsia" w:hAnsi="宋体" w:cs="Times New Roman"/>
                <w:sz w:val="24"/>
                <w:szCs w:val="21"/>
                <w:highlight w:val="none"/>
              </w:rPr>
              <w:t>比选申请人</w:t>
            </w:r>
            <w:r>
              <w:rPr>
                <w:rFonts w:hAnsi="宋体" w:cs="Times New Roman"/>
                <w:sz w:val="24"/>
                <w:szCs w:val="21"/>
                <w:highlight w:val="none"/>
              </w:rPr>
              <w:t>的价格分统一按照下列公式计算：某</w:t>
            </w:r>
            <w:r>
              <w:rPr>
                <w:rFonts w:hint="eastAsia" w:hAnsi="宋体" w:cs="Times New Roman"/>
                <w:sz w:val="24"/>
                <w:szCs w:val="21"/>
                <w:highlight w:val="none"/>
              </w:rPr>
              <w:t>比选申请人</w:t>
            </w:r>
            <w:r>
              <w:rPr>
                <w:rFonts w:hAnsi="宋体" w:cs="Times New Roman"/>
                <w:sz w:val="24"/>
                <w:szCs w:val="21"/>
                <w:highlight w:val="none"/>
              </w:rPr>
              <w:t>价格分＝评比基准价/进入商务文件评审的某</w:t>
            </w:r>
            <w:r>
              <w:rPr>
                <w:rFonts w:hint="eastAsia" w:hAnsi="宋体" w:cs="Times New Roman"/>
                <w:sz w:val="24"/>
                <w:szCs w:val="21"/>
                <w:highlight w:val="none"/>
              </w:rPr>
              <w:t>比选申请人</w:t>
            </w:r>
            <w:r>
              <w:rPr>
                <w:rFonts w:hAnsi="宋体" w:cs="Times New Roman"/>
                <w:sz w:val="24"/>
                <w:szCs w:val="21"/>
                <w:highlight w:val="none"/>
              </w:rPr>
              <w:t>评比报价×40分。</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ind w:left="0" w:right="0" w:firstLine="0"/>
              <w:rPr>
                <w:rFonts w:ascii="宋体" w:hAnsi="宋体"/>
                <w:kern w:val="2"/>
                <w:highlight w:val="none"/>
              </w:rPr>
            </w:pPr>
            <w:r>
              <w:rPr>
                <w:rFonts w:ascii="宋体" w:hAnsi="宋体"/>
                <w:kern w:val="2"/>
                <w:highlight w:val="none"/>
              </w:rPr>
              <w:t>0</w:t>
            </w:r>
            <w:r>
              <w:rPr>
                <w:rFonts w:hint="eastAsia" w:ascii="宋体" w:hAnsi="宋体"/>
                <w:kern w:val="2"/>
                <w:highlight w:val="none"/>
              </w:rPr>
              <w:t>≤</w:t>
            </w:r>
            <w:r>
              <w:rPr>
                <w:rFonts w:ascii="宋体" w:hAnsi="宋体"/>
                <w:kern w:val="2"/>
                <w:highlight w:val="none"/>
              </w:rPr>
              <w:t>m</w:t>
            </w:r>
            <w:r>
              <w:rPr>
                <w:rFonts w:hint="eastAsia" w:ascii="宋体" w:hAnsi="宋体"/>
                <w:kern w:val="2"/>
                <w:highlight w:val="none"/>
              </w:rPr>
              <w:t>≤</w:t>
            </w:r>
            <w:r>
              <w:rPr>
                <w:rFonts w:ascii="宋体" w:hAnsi="宋体"/>
                <w:kern w:val="2"/>
                <w:highlight w:val="none"/>
              </w:rPr>
              <w:t>40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ind w:left="0" w:right="0" w:firstLine="0"/>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val="0"/>
              <w:ind w:right="-57"/>
              <w:jc w:val="center"/>
              <w:rPr>
                <w:highlight w:val="none"/>
              </w:rPr>
            </w:pPr>
            <w:r>
              <w:rPr>
                <w:rFonts w:hint="eastAsia"/>
                <w:highlight w:val="none"/>
              </w:rPr>
              <w:t>价格文件得分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bCs/>
                <w:highlight w:val="none"/>
              </w:rPr>
            </w:pPr>
          </w:p>
        </w:tc>
        <w:tc>
          <w:tcPr>
            <w:tcW w:w="4014"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rPr>
                <w:b/>
                <w:bCs/>
                <w:highlight w:val="none"/>
              </w:rPr>
            </w:pPr>
            <w:r>
              <w:rPr>
                <w:rFonts w:hint="eastAsia"/>
                <w:b/>
                <w:bCs/>
                <w:highlight w:val="none"/>
              </w:rPr>
              <w:t>30</w:t>
            </w:r>
          </w:p>
        </w:tc>
        <w:tc>
          <w:tcPr>
            <w:tcW w:w="1079" w:type="dxa"/>
            <w:tcBorders>
              <w:top w:val="single" w:color="auto" w:sz="4" w:space="0"/>
              <w:left w:val="single" w:color="auto" w:sz="4" w:space="0"/>
              <w:bottom w:val="single" w:color="auto" w:sz="4" w:space="0"/>
              <w:right w:val="single" w:color="auto" w:sz="4" w:space="0"/>
            </w:tcBorders>
          </w:tcPr>
          <w:p>
            <w:pPr>
              <w:widowControl w:val="0"/>
              <w:ind w:left="751" w:leftChars="20" w:right="113"/>
              <w:jc w:val="center"/>
              <w:rPr>
                <w:b/>
                <w:bCs/>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val="0"/>
              <w:ind w:left="751" w:leftChars="20" w:right="113"/>
              <w:jc w:val="center"/>
              <w:rPr>
                <w:b/>
                <w:bCs/>
                <w:highlight w:val="none"/>
              </w:rPr>
            </w:pPr>
          </w:p>
        </w:tc>
      </w:tr>
    </w:tbl>
    <w:p>
      <w:pPr>
        <w:pStyle w:val="15"/>
        <w:ind w:left="707" w:leftChars="207" w:hanging="272" w:hangingChars="136"/>
        <w:rPr>
          <w:highlight w:val="none"/>
        </w:rPr>
      </w:pPr>
      <w:r>
        <w:rPr>
          <w:rFonts w:hint="eastAsia"/>
          <w:highlight w:val="none"/>
        </w:rPr>
        <w:t>注：比选报价如有修正，需填写附表《比选报价修正表》并由比选人代表签字确认。</w:t>
      </w:r>
    </w:p>
    <w:p>
      <w:pPr>
        <w:pStyle w:val="15"/>
        <w:rPr>
          <w:b/>
          <w:bCs/>
          <w:highlight w:val="none"/>
        </w:rPr>
      </w:pPr>
    </w:p>
    <w:p>
      <w:pPr>
        <w:pStyle w:val="15"/>
        <w:rPr>
          <w:b/>
          <w:bCs/>
          <w:highlight w:val="none"/>
        </w:rPr>
      </w:pPr>
    </w:p>
    <w:p>
      <w:pPr>
        <w:pStyle w:val="15"/>
        <w:rPr>
          <w:b/>
          <w:bCs/>
          <w:highlight w:val="none"/>
        </w:rPr>
      </w:pPr>
    </w:p>
    <w:p>
      <w:pPr>
        <w:spacing w:before="0" w:after="0"/>
        <w:ind w:left="0" w:right="0" w:firstLine="0"/>
        <w:jc w:val="left"/>
        <w:rPr>
          <w:rFonts w:ascii="宋体" w:hAnsi="宋体"/>
          <w:highlight w:val="none"/>
        </w:rPr>
      </w:pPr>
    </w:p>
    <w:p>
      <w:pPr>
        <w:spacing w:before="0" w:after="0"/>
        <w:ind w:left="0" w:right="0" w:firstLine="0"/>
        <w:jc w:val="left"/>
        <w:rPr>
          <w:b/>
          <w:bCs/>
          <w:highlight w:val="none"/>
        </w:rPr>
      </w:pPr>
      <w:r>
        <w:rPr>
          <w:rFonts w:hint="eastAsia"/>
          <w:b/>
          <w:bCs/>
          <w:highlight w:val="none"/>
        </w:rPr>
        <w:t>附表五综合评审得分表</w:t>
      </w:r>
    </w:p>
    <w:p>
      <w:pPr>
        <w:pStyle w:val="15"/>
        <w:jc w:val="center"/>
        <w:rPr>
          <w:rFonts w:hAnsi="宋体" w:cs="Times New Roman"/>
          <w:b/>
          <w:sz w:val="28"/>
          <w:szCs w:val="28"/>
          <w:highlight w:val="none"/>
        </w:rPr>
      </w:pPr>
      <w:r>
        <w:rPr>
          <w:rFonts w:hint="eastAsia" w:hAnsi="宋体" w:cs="Times New Roman"/>
          <w:b/>
          <w:sz w:val="28"/>
          <w:szCs w:val="28"/>
          <w:highlight w:val="none"/>
        </w:rPr>
        <w:t>综合评审得分表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3751"/>
        <w:gridCol w:w="3663"/>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561" w:type="dxa"/>
            <w:vAlign w:val="center"/>
          </w:tcPr>
          <w:p>
            <w:pPr>
              <w:spacing w:before="0" w:line="240" w:lineRule="auto"/>
              <w:ind w:right="0"/>
              <w:jc w:val="center"/>
              <w:rPr>
                <w:rFonts w:ascii="宋体" w:hAnsi="宋体"/>
                <w:b/>
                <w:sz w:val="24"/>
                <w:szCs w:val="24"/>
                <w:highlight w:val="none"/>
              </w:rPr>
            </w:pPr>
            <w:r>
              <w:rPr>
                <w:rFonts w:hint="eastAsia" w:ascii="宋体" w:hAnsi="宋体"/>
                <w:b/>
                <w:sz w:val="24"/>
                <w:szCs w:val="24"/>
                <w:highlight w:val="none"/>
              </w:rPr>
              <w:t>序号</w:t>
            </w:r>
          </w:p>
        </w:tc>
        <w:tc>
          <w:tcPr>
            <w:tcW w:w="3751" w:type="dxa"/>
            <w:vAlign w:val="center"/>
          </w:tcPr>
          <w:p>
            <w:pPr>
              <w:spacing w:before="0" w:line="240" w:lineRule="auto"/>
              <w:ind w:left="0" w:right="0" w:firstLine="0"/>
              <w:jc w:val="center"/>
              <w:rPr>
                <w:rFonts w:ascii="宋体" w:hAnsi="宋体"/>
                <w:b/>
                <w:sz w:val="24"/>
                <w:szCs w:val="24"/>
                <w:highlight w:val="none"/>
              </w:rPr>
            </w:pPr>
            <w:r>
              <w:rPr>
                <w:rFonts w:hint="eastAsia" w:ascii="宋体" w:hAnsi="宋体"/>
                <w:b/>
                <w:sz w:val="24"/>
                <w:szCs w:val="24"/>
                <w:highlight w:val="none"/>
              </w:rPr>
              <w:t>项目</w:t>
            </w:r>
          </w:p>
        </w:tc>
        <w:tc>
          <w:tcPr>
            <w:tcW w:w="3663" w:type="dxa"/>
            <w:vAlign w:val="center"/>
          </w:tcPr>
          <w:p>
            <w:pPr>
              <w:spacing w:before="0" w:line="240" w:lineRule="auto"/>
              <w:ind w:right="0"/>
              <w:jc w:val="center"/>
              <w:rPr>
                <w:rFonts w:ascii="宋体" w:hAnsi="宋体"/>
                <w:b/>
                <w:sz w:val="24"/>
                <w:szCs w:val="24"/>
                <w:highlight w:val="none"/>
              </w:rPr>
            </w:pPr>
            <w:r>
              <w:rPr>
                <w:rFonts w:hint="eastAsia" w:ascii="宋体" w:hAnsi="宋体"/>
                <w:b/>
                <w:sz w:val="24"/>
                <w:szCs w:val="24"/>
                <w:highlight w:val="none"/>
              </w:rPr>
              <w:t>满分</w:t>
            </w:r>
          </w:p>
        </w:tc>
        <w:tc>
          <w:tcPr>
            <w:tcW w:w="3913" w:type="dxa"/>
            <w:vAlign w:val="center"/>
          </w:tcPr>
          <w:p>
            <w:pPr>
              <w:spacing w:before="0" w:line="240" w:lineRule="auto"/>
              <w:ind w:right="0"/>
              <w:jc w:val="center"/>
              <w:rPr>
                <w:rFonts w:ascii="宋体" w:hAnsi="宋体"/>
                <w:b/>
                <w:sz w:val="24"/>
                <w:szCs w:val="24"/>
                <w:highlight w:val="none"/>
              </w:rPr>
            </w:pPr>
            <w:r>
              <w:rPr>
                <w:rFonts w:hint="eastAsia" w:ascii="宋体" w:hAnsi="宋体"/>
                <w:b/>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561" w:type="dxa"/>
            <w:vAlign w:val="center"/>
          </w:tcPr>
          <w:p>
            <w:pPr>
              <w:pStyle w:val="15"/>
              <w:jc w:val="center"/>
              <w:rPr>
                <w:rFonts w:hAnsi="宋体"/>
                <w:highlight w:val="none"/>
              </w:rPr>
            </w:pPr>
            <w:r>
              <w:rPr>
                <w:rFonts w:hint="eastAsia" w:hAnsi="宋体"/>
                <w:highlight w:val="none"/>
              </w:rPr>
              <w:t>1</w:t>
            </w:r>
          </w:p>
        </w:tc>
        <w:tc>
          <w:tcPr>
            <w:tcW w:w="3751" w:type="dxa"/>
            <w:vAlign w:val="center"/>
          </w:tcPr>
          <w:p>
            <w:pPr>
              <w:pStyle w:val="15"/>
              <w:jc w:val="center"/>
              <w:rPr>
                <w:rFonts w:hAnsi="宋体"/>
                <w:highlight w:val="none"/>
              </w:rPr>
            </w:pPr>
            <w:r>
              <w:rPr>
                <w:rFonts w:hint="eastAsia" w:hAnsi="宋体"/>
                <w:highlight w:val="none"/>
              </w:rPr>
              <w:t>技术文件得分</w:t>
            </w:r>
          </w:p>
        </w:tc>
        <w:tc>
          <w:tcPr>
            <w:tcW w:w="3663" w:type="dxa"/>
            <w:vAlign w:val="center"/>
          </w:tcPr>
          <w:p>
            <w:pPr>
              <w:pStyle w:val="15"/>
              <w:jc w:val="center"/>
              <w:rPr>
                <w:rFonts w:hAnsi="宋体"/>
                <w:highlight w:val="none"/>
              </w:rPr>
            </w:pPr>
            <w:r>
              <w:rPr>
                <w:rFonts w:hAnsi="宋体"/>
                <w:highlight w:val="none"/>
              </w:rPr>
              <w:t>60</w:t>
            </w:r>
          </w:p>
        </w:tc>
        <w:tc>
          <w:tcPr>
            <w:tcW w:w="3913" w:type="dxa"/>
            <w:vAlign w:val="center"/>
          </w:tcPr>
          <w:p>
            <w:pPr>
              <w:pStyle w:val="15"/>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561" w:type="dxa"/>
            <w:vAlign w:val="center"/>
          </w:tcPr>
          <w:p>
            <w:pPr>
              <w:pStyle w:val="15"/>
              <w:jc w:val="center"/>
              <w:rPr>
                <w:rFonts w:hAnsi="宋体"/>
                <w:highlight w:val="none"/>
              </w:rPr>
            </w:pPr>
            <w:r>
              <w:rPr>
                <w:rFonts w:hint="eastAsia" w:hAnsi="宋体"/>
                <w:highlight w:val="none"/>
              </w:rPr>
              <w:t>2</w:t>
            </w:r>
          </w:p>
        </w:tc>
        <w:tc>
          <w:tcPr>
            <w:tcW w:w="3751" w:type="dxa"/>
            <w:vAlign w:val="center"/>
          </w:tcPr>
          <w:p>
            <w:pPr>
              <w:pStyle w:val="15"/>
              <w:jc w:val="center"/>
              <w:rPr>
                <w:rFonts w:hAnsi="宋体"/>
                <w:highlight w:val="none"/>
              </w:rPr>
            </w:pPr>
            <w:r>
              <w:rPr>
                <w:rFonts w:hint="eastAsia" w:hAnsi="宋体"/>
                <w:highlight w:val="none"/>
              </w:rPr>
              <w:t>比选报价得分</w:t>
            </w:r>
          </w:p>
        </w:tc>
        <w:tc>
          <w:tcPr>
            <w:tcW w:w="3663" w:type="dxa"/>
            <w:vAlign w:val="center"/>
          </w:tcPr>
          <w:p>
            <w:pPr>
              <w:pStyle w:val="15"/>
              <w:jc w:val="center"/>
              <w:rPr>
                <w:rFonts w:hAnsi="宋体"/>
                <w:highlight w:val="none"/>
              </w:rPr>
            </w:pPr>
            <w:r>
              <w:rPr>
                <w:rFonts w:hAnsi="宋体"/>
                <w:highlight w:val="none"/>
              </w:rPr>
              <w:t>40</w:t>
            </w:r>
          </w:p>
        </w:tc>
        <w:tc>
          <w:tcPr>
            <w:tcW w:w="3913" w:type="dxa"/>
            <w:vAlign w:val="center"/>
          </w:tcPr>
          <w:p>
            <w:pPr>
              <w:pStyle w:val="15"/>
              <w:ind w:left="0" w:firstLine="0"/>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975" w:type="dxa"/>
            <w:gridSpan w:val="3"/>
            <w:vAlign w:val="center"/>
          </w:tcPr>
          <w:p>
            <w:pPr>
              <w:pStyle w:val="15"/>
              <w:jc w:val="center"/>
              <w:rPr>
                <w:rFonts w:hAnsi="宋体"/>
                <w:highlight w:val="none"/>
              </w:rPr>
            </w:pPr>
            <w:r>
              <w:rPr>
                <w:rFonts w:hint="eastAsia" w:hAnsi="宋体"/>
                <w:highlight w:val="none"/>
              </w:rPr>
              <w:t>最终得分（合计）</w:t>
            </w:r>
          </w:p>
        </w:tc>
        <w:tc>
          <w:tcPr>
            <w:tcW w:w="3913" w:type="dxa"/>
            <w:vAlign w:val="center"/>
          </w:tcPr>
          <w:p>
            <w:pPr>
              <w:pStyle w:val="15"/>
              <w:jc w:val="center"/>
              <w:rPr>
                <w:rFonts w:hAnsi="宋体"/>
                <w:highlight w:val="none"/>
              </w:rPr>
            </w:pPr>
          </w:p>
        </w:tc>
      </w:tr>
    </w:tbl>
    <w:p>
      <w:pPr>
        <w:pStyle w:val="15"/>
        <w:rPr>
          <w:rFonts w:hAnsi="宋体"/>
          <w:highlight w:val="none"/>
        </w:rPr>
      </w:pPr>
    </w:p>
    <w:p>
      <w:pPr>
        <w:pStyle w:val="15"/>
        <w:rPr>
          <w:rFonts w:hAnsi="宋体"/>
          <w:highlight w:val="none"/>
        </w:rPr>
      </w:pPr>
    </w:p>
    <w:p>
      <w:pPr>
        <w:spacing w:before="159"/>
        <w:ind w:right="-57" w:firstLine="0"/>
        <w:jc w:val="center"/>
        <w:rPr>
          <w:rFonts w:ascii="宋体" w:hAnsi="宋体"/>
          <w:b/>
          <w:sz w:val="28"/>
          <w:szCs w:val="28"/>
          <w:highlight w:val="none"/>
        </w:rPr>
      </w:pPr>
    </w:p>
    <w:p>
      <w:pPr>
        <w:spacing w:before="159"/>
        <w:ind w:right="-57" w:firstLine="0"/>
        <w:jc w:val="center"/>
        <w:rPr>
          <w:rFonts w:ascii="宋体" w:hAnsi="宋体"/>
          <w:b/>
          <w:sz w:val="28"/>
          <w:szCs w:val="28"/>
          <w:highlight w:val="none"/>
        </w:rPr>
      </w:pPr>
    </w:p>
    <w:p>
      <w:pPr>
        <w:spacing w:before="159"/>
        <w:ind w:right="-57" w:firstLine="0"/>
        <w:jc w:val="center"/>
        <w:rPr>
          <w:rFonts w:ascii="宋体" w:hAnsi="宋体"/>
          <w:b/>
          <w:sz w:val="28"/>
          <w:szCs w:val="28"/>
          <w:highlight w:val="none"/>
        </w:rPr>
      </w:pPr>
    </w:p>
    <w:p>
      <w:pPr>
        <w:spacing w:before="159"/>
        <w:ind w:right="-57" w:firstLine="0"/>
        <w:jc w:val="center"/>
        <w:rPr>
          <w:rFonts w:ascii="宋体" w:hAnsi="宋体"/>
          <w:b/>
          <w:sz w:val="28"/>
          <w:szCs w:val="28"/>
          <w:highlight w:val="none"/>
        </w:rPr>
      </w:pPr>
      <w:r>
        <w:rPr>
          <w:rFonts w:hint="eastAsia" w:ascii="宋体" w:hAnsi="宋体"/>
          <w:b/>
          <w:sz w:val="28"/>
          <w:szCs w:val="28"/>
          <w:highlight w:val="none"/>
        </w:rPr>
        <w:t>附表：比选申请报价修正表</w:t>
      </w:r>
    </w:p>
    <w:tbl>
      <w:tblPr>
        <w:tblStyle w:val="31"/>
        <w:tblW w:w="13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sz w:val="24"/>
                <w:szCs w:val="24"/>
                <w:highlight w:val="none"/>
              </w:rPr>
            </w:pPr>
            <w:r>
              <w:rPr>
                <w:rFonts w:hint="eastAsia" w:ascii="宋体" w:hAnsi="宋体"/>
                <w:b/>
                <w:sz w:val="24"/>
                <w:szCs w:val="24"/>
                <w:highlight w:val="none"/>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highlight w:val="none"/>
              </w:rPr>
            </w:pPr>
            <w:r>
              <w:rPr>
                <w:rFonts w:hint="eastAsia" w:ascii="宋体" w:hAnsi="宋体" w:cs="宋体"/>
                <w:b/>
                <w:sz w:val="24"/>
                <w:szCs w:val="24"/>
                <w:highlight w:val="none"/>
              </w:rPr>
              <w:t>我单位（</w:t>
            </w:r>
            <w:r>
              <w:rPr>
                <w:rFonts w:ascii="宋体" w:hAnsi="宋体"/>
                <w:b/>
                <w:sz w:val="44"/>
                <w:szCs w:val="44"/>
                <w:highlight w:val="none"/>
              </w:rPr>
              <w:t>□</w:t>
            </w:r>
            <w:r>
              <w:rPr>
                <w:rFonts w:hint="eastAsia" w:ascii="宋体" w:hAnsi="宋体" w:cs="宋体"/>
                <w:b/>
                <w:sz w:val="24"/>
                <w:szCs w:val="24"/>
                <w:highlight w:val="none"/>
              </w:rPr>
              <w:t>接受</w:t>
            </w:r>
            <w:r>
              <w:rPr>
                <w:rFonts w:ascii="宋体" w:hAnsi="宋体"/>
                <w:b/>
                <w:sz w:val="44"/>
                <w:szCs w:val="44"/>
                <w:highlight w:val="none"/>
              </w:rPr>
              <w:t>□</w:t>
            </w:r>
            <w:r>
              <w:rPr>
                <w:rFonts w:ascii="宋体" w:hAnsi="宋体"/>
                <w:b/>
                <w:sz w:val="24"/>
                <w:szCs w:val="24"/>
                <w:highlight w:val="none"/>
              </w:rPr>
              <w:t>不接受</w:t>
            </w:r>
            <w:r>
              <w:rPr>
                <w:rFonts w:hint="eastAsia" w:ascii="宋体" w:hAnsi="宋体"/>
                <w:b/>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p>
            <w:pPr>
              <w:spacing w:before="0" w:line="240" w:lineRule="auto"/>
              <w:ind w:right="0" w:firstLine="0"/>
              <w:rPr>
                <w:rFonts w:ascii="宋体" w:hAnsi="宋体" w:cs="宋体"/>
                <w:b/>
                <w:sz w:val="24"/>
                <w:szCs w:val="24"/>
                <w:highlight w:val="none"/>
              </w:rPr>
            </w:pPr>
            <w:r>
              <w:rPr>
                <w:rFonts w:hint="eastAsia" w:ascii="宋体" w:hAnsi="宋体" w:cs="宋体"/>
                <w:b/>
                <w:sz w:val="24"/>
                <w:szCs w:val="24"/>
                <w:highlight w:val="none"/>
              </w:rPr>
              <w:t xml:space="preserve">                                                                     日期：    年  月   日</w:t>
            </w:r>
          </w:p>
        </w:tc>
      </w:tr>
    </w:tbl>
    <w:p>
      <w:pPr>
        <w:spacing w:before="0" w:after="0"/>
        <w:ind w:left="420" w:right="0" w:firstLine="0"/>
        <w:jc w:val="left"/>
        <w:rPr>
          <w:rFonts w:ascii="宋体" w:hAnsi="宋体"/>
          <w:highlight w:val="none"/>
        </w:rPr>
      </w:pPr>
      <w:r>
        <w:rPr>
          <w:rFonts w:hint="eastAsia" w:ascii="宋体" w:hAnsi="宋体"/>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2" w:type="default"/>
      <w:pgSz w:w="16838" w:h="11905" w:orient="landscape"/>
      <w:pgMar w:top="1417" w:right="1417" w:bottom="1417" w:left="1417"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w:t>
    </w:r>
    <w:r>
      <w:rPr>
        <w:lang w:val="zh-CN"/>
      </w:rPr>
      <w:fldChar w:fldCharType="end"/>
    </w:r>
  </w:p>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58471"/>
    </w:sdtPr>
    <w:sdtContent>
      <w:p>
        <w:pPr>
          <w:pStyle w:val="19"/>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20"/>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path/>
          <v:fill on="f" focussize="0,0"/>
          <v:stroke on="f" weight="0.5pt" joinstyle="miter"/>
          <v:imagedata o:title=""/>
          <o:lock v:ext="edit"/>
          <v:textbox inset="0mm,0mm,0mm,0mm" style="mso-fit-shape-to-text:t;">
            <w:txbxContent>
              <w:p>
                <w:r>
                  <w:fldChar w:fldCharType="begin"/>
                </w:r>
                <w:r>
                  <w:instrText xml:space="preserve">PAGE  \* MERGEFORMAT</w:instrText>
                </w:r>
                <w:r>
                  <w:fldChar w:fldCharType="separate"/>
                </w:r>
                <w:r>
                  <w:t>101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02466"/>
    <w:multiLevelType w:val="multilevel"/>
    <w:tmpl w:val="10802466"/>
    <w:lvl w:ilvl="0" w:tentative="0">
      <w:start w:val="9"/>
      <w:numFmt w:val="japaneseCounting"/>
      <w:lvlText w:val="%1、"/>
      <w:lvlJc w:val="left"/>
      <w:pPr>
        <w:ind w:left="870" w:hanging="450"/>
      </w:pPr>
      <w:rPr>
        <w:rFonts w:hint="default" w:ascii="宋体" w:hAnsi="宋体" w:cs="宋体"/>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7">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8">
    <w:nsid w:val="5A07045D"/>
    <w:multiLevelType w:val="singleLevel"/>
    <w:tmpl w:val="5A07045D"/>
    <w:lvl w:ilvl="0" w:tentative="0">
      <w:start w:val="6"/>
      <w:numFmt w:val="chineseCounting"/>
      <w:suff w:val="nothing"/>
      <w:lvlText w:val="%1、"/>
      <w:lvlJc w:val="left"/>
      <w:rPr>
        <w:rFonts w:hint="eastAsia"/>
      </w:rPr>
    </w:lvl>
  </w:abstractNum>
  <w:abstractNum w:abstractNumId="9">
    <w:nsid w:val="69D4410B"/>
    <w:multiLevelType w:val="multilevel"/>
    <w:tmpl w:val="69D441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5AA8A88"/>
    <w:multiLevelType w:val="singleLevel"/>
    <w:tmpl w:val="75AA8A88"/>
    <w:lvl w:ilvl="0" w:tentative="0">
      <w:start w:val="1"/>
      <w:numFmt w:val="decimal"/>
      <w:suff w:val="nothing"/>
      <w:lvlText w:val="（%1）"/>
      <w:lvlJc w:val="left"/>
    </w:lvl>
  </w:abstractNum>
  <w:num w:numId="1">
    <w:abstractNumId w:val="10"/>
  </w:num>
  <w:num w:numId="2">
    <w:abstractNumId w:val="3"/>
  </w:num>
  <w:num w:numId="3">
    <w:abstractNumId w:val="7"/>
  </w:num>
  <w:num w:numId="4">
    <w:abstractNumId w:val="2"/>
  </w:num>
  <w:num w:numId="5">
    <w:abstractNumId w:val="1"/>
  </w:num>
  <w:num w:numId="6">
    <w:abstractNumId w:val="6"/>
  </w:num>
  <w:num w:numId="7">
    <w:abstractNumId w:val="5"/>
  </w:num>
  <w:num w:numId="8">
    <w:abstractNumId w:val="8"/>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dit="trackedChanges" w:enforcement="0"/>
  <w:defaultTabStop w:val="420"/>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xMWU0ZjM2NjBhNGRiZWIyNzg4MGNjZDQ0ZTBlMjgifQ=="/>
  </w:docVars>
  <w:rsids>
    <w:rsidRoot w:val="00BA3124"/>
    <w:rsid w:val="000000F2"/>
    <w:rsid w:val="00000139"/>
    <w:rsid w:val="000015EE"/>
    <w:rsid w:val="00003D65"/>
    <w:rsid w:val="000045EA"/>
    <w:rsid w:val="00007C3F"/>
    <w:rsid w:val="000121FE"/>
    <w:rsid w:val="00012496"/>
    <w:rsid w:val="000133F6"/>
    <w:rsid w:val="000143B4"/>
    <w:rsid w:val="00015B06"/>
    <w:rsid w:val="000221CB"/>
    <w:rsid w:val="00022F88"/>
    <w:rsid w:val="000257D8"/>
    <w:rsid w:val="00030F30"/>
    <w:rsid w:val="00037F78"/>
    <w:rsid w:val="00040FCF"/>
    <w:rsid w:val="000437E6"/>
    <w:rsid w:val="00043A7E"/>
    <w:rsid w:val="00043DC9"/>
    <w:rsid w:val="00043E88"/>
    <w:rsid w:val="0004419E"/>
    <w:rsid w:val="0005200D"/>
    <w:rsid w:val="00066110"/>
    <w:rsid w:val="00070470"/>
    <w:rsid w:val="00074337"/>
    <w:rsid w:val="00075937"/>
    <w:rsid w:val="00077483"/>
    <w:rsid w:val="000811B4"/>
    <w:rsid w:val="0008222E"/>
    <w:rsid w:val="000835FB"/>
    <w:rsid w:val="0008533F"/>
    <w:rsid w:val="00086A0A"/>
    <w:rsid w:val="00092270"/>
    <w:rsid w:val="0009493E"/>
    <w:rsid w:val="00095B78"/>
    <w:rsid w:val="000A1767"/>
    <w:rsid w:val="000A49C9"/>
    <w:rsid w:val="000B0AEB"/>
    <w:rsid w:val="000B34C7"/>
    <w:rsid w:val="000B467E"/>
    <w:rsid w:val="000B5BA2"/>
    <w:rsid w:val="000C1668"/>
    <w:rsid w:val="000C1D2F"/>
    <w:rsid w:val="000C20C1"/>
    <w:rsid w:val="000C32A2"/>
    <w:rsid w:val="000C401F"/>
    <w:rsid w:val="000C48AC"/>
    <w:rsid w:val="000C53FF"/>
    <w:rsid w:val="000C56A1"/>
    <w:rsid w:val="000C68D6"/>
    <w:rsid w:val="000D2B9F"/>
    <w:rsid w:val="000D3045"/>
    <w:rsid w:val="000D349E"/>
    <w:rsid w:val="000D3933"/>
    <w:rsid w:val="000D6F83"/>
    <w:rsid w:val="000E072A"/>
    <w:rsid w:val="000E7218"/>
    <w:rsid w:val="000E7DA5"/>
    <w:rsid w:val="000F56F5"/>
    <w:rsid w:val="000F5E28"/>
    <w:rsid w:val="000F6EB3"/>
    <w:rsid w:val="00100517"/>
    <w:rsid w:val="00100A70"/>
    <w:rsid w:val="00101DB2"/>
    <w:rsid w:val="00104D2E"/>
    <w:rsid w:val="00106C71"/>
    <w:rsid w:val="0011106B"/>
    <w:rsid w:val="001118C7"/>
    <w:rsid w:val="0011296C"/>
    <w:rsid w:val="001169E8"/>
    <w:rsid w:val="001207B4"/>
    <w:rsid w:val="001209DA"/>
    <w:rsid w:val="00126FBA"/>
    <w:rsid w:val="001315CE"/>
    <w:rsid w:val="00133A8C"/>
    <w:rsid w:val="00134F25"/>
    <w:rsid w:val="00135B62"/>
    <w:rsid w:val="00136FF6"/>
    <w:rsid w:val="00141670"/>
    <w:rsid w:val="001432B2"/>
    <w:rsid w:val="001445DC"/>
    <w:rsid w:val="001456F3"/>
    <w:rsid w:val="001520D4"/>
    <w:rsid w:val="0015296D"/>
    <w:rsid w:val="0015422E"/>
    <w:rsid w:val="00155DA1"/>
    <w:rsid w:val="00155FD4"/>
    <w:rsid w:val="00157014"/>
    <w:rsid w:val="00157E71"/>
    <w:rsid w:val="00166BCD"/>
    <w:rsid w:val="001677D4"/>
    <w:rsid w:val="0017175E"/>
    <w:rsid w:val="00171822"/>
    <w:rsid w:val="00173A08"/>
    <w:rsid w:val="00180594"/>
    <w:rsid w:val="00186A28"/>
    <w:rsid w:val="00190D52"/>
    <w:rsid w:val="0019581C"/>
    <w:rsid w:val="001960F7"/>
    <w:rsid w:val="001A1DF2"/>
    <w:rsid w:val="001A37D3"/>
    <w:rsid w:val="001A3FCA"/>
    <w:rsid w:val="001A4FF1"/>
    <w:rsid w:val="001A6E81"/>
    <w:rsid w:val="001B0893"/>
    <w:rsid w:val="001B1944"/>
    <w:rsid w:val="001B2ECA"/>
    <w:rsid w:val="001B5A71"/>
    <w:rsid w:val="001B5E47"/>
    <w:rsid w:val="001C0694"/>
    <w:rsid w:val="001C0C50"/>
    <w:rsid w:val="001C638D"/>
    <w:rsid w:val="001D0502"/>
    <w:rsid w:val="001D25D7"/>
    <w:rsid w:val="001D4715"/>
    <w:rsid w:val="001E0D82"/>
    <w:rsid w:val="001E0D93"/>
    <w:rsid w:val="001E5985"/>
    <w:rsid w:val="001E598A"/>
    <w:rsid w:val="001E5B2B"/>
    <w:rsid w:val="001E5F4A"/>
    <w:rsid w:val="001F1EC3"/>
    <w:rsid w:val="001F4F93"/>
    <w:rsid w:val="001F780D"/>
    <w:rsid w:val="00200134"/>
    <w:rsid w:val="002026D7"/>
    <w:rsid w:val="002041A6"/>
    <w:rsid w:val="00206D2E"/>
    <w:rsid w:val="00210670"/>
    <w:rsid w:val="00210D44"/>
    <w:rsid w:val="002120BE"/>
    <w:rsid w:val="00212AF9"/>
    <w:rsid w:val="002140EE"/>
    <w:rsid w:val="002141C8"/>
    <w:rsid w:val="00226768"/>
    <w:rsid w:val="00226771"/>
    <w:rsid w:val="00226B2E"/>
    <w:rsid w:val="00226D0E"/>
    <w:rsid w:val="002337E3"/>
    <w:rsid w:val="00237A98"/>
    <w:rsid w:val="002413F6"/>
    <w:rsid w:val="00242818"/>
    <w:rsid w:val="0024287B"/>
    <w:rsid w:val="00242E5E"/>
    <w:rsid w:val="0024305E"/>
    <w:rsid w:val="0024384D"/>
    <w:rsid w:val="002441F7"/>
    <w:rsid w:val="00246588"/>
    <w:rsid w:val="0024741B"/>
    <w:rsid w:val="0025424F"/>
    <w:rsid w:val="00261C93"/>
    <w:rsid w:val="00262D37"/>
    <w:rsid w:val="00262F1F"/>
    <w:rsid w:val="00265564"/>
    <w:rsid w:val="00272F80"/>
    <w:rsid w:val="00275361"/>
    <w:rsid w:val="0027764C"/>
    <w:rsid w:val="002822FF"/>
    <w:rsid w:val="0028366D"/>
    <w:rsid w:val="002854ED"/>
    <w:rsid w:val="00293A15"/>
    <w:rsid w:val="002A20A0"/>
    <w:rsid w:val="002A50F8"/>
    <w:rsid w:val="002A5261"/>
    <w:rsid w:val="002B0BE3"/>
    <w:rsid w:val="002B1199"/>
    <w:rsid w:val="002B1394"/>
    <w:rsid w:val="002B33D2"/>
    <w:rsid w:val="002C0DAB"/>
    <w:rsid w:val="002C4CDE"/>
    <w:rsid w:val="002C556E"/>
    <w:rsid w:val="002C5B0F"/>
    <w:rsid w:val="002C7056"/>
    <w:rsid w:val="002D23D9"/>
    <w:rsid w:val="002D2931"/>
    <w:rsid w:val="002D4681"/>
    <w:rsid w:val="002D6C36"/>
    <w:rsid w:val="002D6D0E"/>
    <w:rsid w:val="002E190D"/>
    <w:rsid w:val="002E6BE3"/>
    <w:rsid w:val="002F6933"/>
    <w:rsid w:val="00301931"/>
    <w:rsid w:val="00301F81"/>
    <w:rsid w:val="003021FF"/>
    <w:rsid w:val="0030641C"/>
    <w:rsid w:val="00307ACC"/>
    <w:rsid w:val="00315C23"/>
    <w:rsid w:val="003166B6"/>
    <w:rsid w:val="00316E03"/>
    <w:rsid w:val="003207F4"/>
    <w:rsid w:val="00320BB7"/>
    <w:rsid w:val="00322E79"/>
    <w:rsid w:val="00330D78"/>
    <w:rsid w:val="00331CB9"/>
    <w:rsid w:val="00333ABA"/>
    <w:rsid w:val="003354EE"/>
    <w:rsid w:val="00337C6A"/>
    <w:rsid w:val="0034051F"/>
    <w:rsid w:val="0034095F"/>
    <w:rsid w:val="00344C1C"/>
    <w:rsid w:val="003464E7"/>
    <w:rsid w:val="00346854"/>
    <w:rsid w:val="003500BC"/>
    <w:rsid w:val="0035321B"/>
    <w:rsid w:val="00353318"/>
    <w:rsid w:val="00353E8A"/>
    <w:rsid w:val="00354E36"/>
    <w:rsid w:val="00355D2E"/>
    <w:rsid w:val="003568E4"/>
    <w:rsid w:val="00361313"/>
    <w:rsid w:val="00361733"/>
    <w:rsid w:val="0036732D"/>
    <w:rsid w:val="003706A5"/>
    <w:rsid w:val="003712A4"/>
    <w:rsid w:val="00373EAE"/>
    <w:rsid w:val="003767CC"/>
    <w:rsid w:val="00377206"/>
    <w:rsid w:val="00383573"/>
    <w:rsid w:val="00383BEC"/>
    <w:rsid w:val="00387AC9"/>
    <w:rsid w:val="00393EBC"/>
    <w:rsid w:val="00395A23"/>
    <w:rsid w:val="003976F0"/>
    <w:rsid w:val="003A0C71"/>
    <w:rsid w:val="003A12FF"/>
    <w:rsid w:val="003A170B"/>
    <w:rsid w:val="003A1E4C"/>
    <w:rsid w:val="003A286A"/>
    <w:rsid w:val="003A7F1A"/>
    <w:rsid w:val="003B097F"/>
    <w:rsid w:val="003B1842"/>
    <w:rsid w:val="003B2656"/>
    <w:rsid w:val="003B3099"/>
    <w:rsid w:val="003B32EC"/>
    <w:rsid w:val="003B43D3"/>
    <w:rsid w:val="003B6BE9"/>
    <w:rsid w:val="003C0FC8"/>
    <w:rsid w:val="003C2384"/>
    <w:rsid w:val="003C312A"/>
    <w:rsid w:val="003C4653"/>
    <w:rsid w:val="003D0506"/>
    <w:rsid w:val="003D2AB3"/>
    <w:rsid w:val="003D3A75"/>
    <w:rsid w:val="003D6118"/>
    <w:rsid w:val="003D7B5F"/>
    <w:rsid w:val="003E0439"/>
    <w:rsid w:val="003E148A"/>
    <w:rsid w:val="003E249E"/>
    <w:rsid w:val="003E454F"/>
    <w:rsid w:val="003E456D"/>
    <w:rsid w:val="003E6DFB"/>
    <w:rsid w:val="003E7AEB"/>
    <w:rsid w:val="003F2270"/>
    <w:rsid w:val="003F29EB"/>
    <w:rsid w:val="003F3AAC"/>
    <w:rsid w:val="003F66A7"/>
    <w:rsid w:val="003F746F"/>
    <w:rsid w:val="00403D28"/>
    <w:rsid w:val="004043A2"/>
    <w:rsid w:val="0040617E"/>
    <w:rsid w:val="00410FCA"/>
    <w:rsid w:val="004117BD"/>
    <w:rsid w:val="004126B4"/>
    <w:rsid w:val="00412A48"/>
    <w:rsid w:val="00414B71"/>
    <w:rsid w:val="004151CE"/>
    <w:rsid w:val="00417574"/>
    <w:rsid w:val="004215F1"/>
    <w:rsid w:val="0042215D"/>
    <w:rsid w:val="0043285C"/>
    <w:rsid w:val="00436E82"/>
    <w:rsid w:val="00440F9A"/>
    <w:rsid w:val="00443ADE"/>
    <w:rsid w:val="0044418D"/>
    <w:rsid w:val="0044699B"/>
    <w:rsid w:val="004510F6"/>
    <w:rsid w:val="004518D2"/>
    <w:rsid w:val="004537A0"/>
    <w:rsid w:val="0045479E"/>
    <w:rsid w:val="0045655F"/>
    <w:rsid w:val="004619A4"/>
    <w:rsid w:val="004632AA"/>
    <w:rsid w:val="00463CFE"/>
    <w:rsid w:val="00474EDC"/>
    <w:rsid w:val="00474FAA"/>
    <w:rsid w:val="00476B58"/>
    <w:rsid w:val="00476FBE"/>
    <w:rsid w:val="004810F7"/>
    <w:rsid w:val="00483264"/>
    <w:rsid w:val="004853B9"/>
    <w:rsid w:val="0048558F"/>
    <w:rsid w:val="00487AE6"/>
    <w:rsid w:val="00496E09"/>
    <w:rsid w:val="004A0C16"/>
    <w:rsid w:val="004A0D30"/>
    <w:rsid w:val="004A15D9"/>
    <w:rsid w:val="004A5884"/>
    <w:rsid w:val="004B1E96"/>
    <w:rsid w:val="004B249C"/>
    <w:rsid w:val="004B508D"/>
    <w:rsid w:val="004B51A8"/>
    <w:rsid w:val="004B62C0"/>
    <w:rsid w:val="004B6350"/>
    <w:rsid w:val="004B6AEB"/>
    <w:rsid w:val="004C0462"/>
    <w:rsid w:val="004C09AF"/>
    <w:rsid w:val="004C26E5"/>
    <w:rsid w:val="004C7017"/>
    <w:rsid w:val="004C7456"/>
    <w:rsid w:val="004D03B0"/>
    <w:rsid w:val="004D0D9C"/>
    <w:rsid w:val="004D1018"/>
    <w:rsid w:val="004D1DC8"/>
    <w:rsid w:val="004D1DC9"/>
    <w:rsid w:val="004D2987"/>
    <w:rsid w:val="004D449E"/>
    <w:rsid w:val="004D54B9"/>
    <w:rsid w:val="004D5FD7"/>
    <w:rsid w:val="004E1101"/>
    <w:rsid w:val="004E12DE"/>
    <w:rsid w:val="004E33AC"/>
    <w:rsid w:val="004E565B"/>
    <w:rsid w:val="004E6FB9"/>
    <w:rsid w:val="004E71AB"/>
    <w:rsid w:val="004F1783"/>
    <w:rsid w:val="004F6E95"/>
    <w:rsid w:val="00500C4A"/>
    <w:rsid w:val="00505261"/>
    <w:rsid w:val="00510E4D"/>
    <w:rsid w:val="00512A45"/>
    <w:rsid w:val="00513EB4"/>
    <w:rsid w:val="0052410E"/>
    <w:rsid w:val="00524A56"/>
    <w:rsid w:val="0052634A"/>
    <w:rsid w:val="005266E9"/>
    <w:rsid w:val="00532363"/>
    <w:rsid w:val="005335D1"/>
    <w:rsid w:val="005342D7"/>
    <w:rsid w:val="00537677"/>
    <w:rsid w:val="00540EA2"/>
    <w:rsid w:val="00541401"/>
    <w:rsid w:val="005418DB"/>
    <w:rsid w:val="0054269C"/>
    <w:rsid w:val="005448AD"/>
    <w:rsid w:val="00545594"/>
    <w:rsid w:val="00545844"/>
    <w:rsid w:val="00547F73"/>
    <w:rsid w:val="00550F16"/>
    <w:rsid w:val="005523E4"/>
    <w:rsid w:val="00552AC0"/>
    <w:rsid w:val="00554AE7"/>
    <w:rsid w:val="005565A7"/>
    <w:rsid w:val="005604D4"/>
    <w:rsid w:val="005649E5"/>
    <w:rsid w:val="00564C20"/>
    <w:rsid w:val="00565889"/>
    <w:rsid w:val="00566C98"/>
    <w:rsid w:val="00571D43"/>
    <w:rsid w:val="005740F5"/>
    <w:rsid w:val="00574C3B"/>
    <w:rsid w:val="00575AB8"/>
    <w:rsid w:val="0057690D"/>
    <w:rsid w:val="00576BFE"/>
    <w:rsid w:val="0058368C"/>
    <w:rsid w:val="00584B5D"/>
    <w:rsid w:val="00587B70"/>
    <w:rsid w:val="00587D80"/>
    <w:rsid w:val="005A059C"/>
    <w:rsid w:val="005A1A6A"/>
    <w:rsid w:val="005A2E67"/>
    <w:rsid w:val="005A304F"/>
    <w:rsid w:val="005A3B95"/>
    <w:rsid w:val="005A5B47"/>
    <w:rsid w:val="005A62DF"/>
    <w:rsid w:val="005A6F6A"/>
    <w:rsid w:val="005B01E0"/>
    <w:rsid w:val="005B2E43"/>
    <w:rsid w:val="005B439E"/>
    <w:rsid w:val="005B54A3"/>
    <w:rsid w:val="005B64BA"/>
    <w:rsid w:val="005B7D92"/>
    <w:rsid w:val="005C1C4F"/>
    <w:rsid w:val="005C1FB7"/>
    <w:rsid w:val="005C5B0E"/>
    <w:rsid w:val="005D0BB2"/>
    <w:rsid w:val="005D10F7"/>
    <w:rsid w:val="005D30DE"/>
    <w:rsid w:val="005D7942"/>
    <w:rsid w:val="005D7FBA"/>
    <w:rsid w:val="005E5912"/>
    <w:rsid w:val="005E6316"/>
    <w:rsid w:val="005F1E31"/>
    <w:rsid w:val="005F2A05"/>
    <w:rsid w:val="005F2C46"/>
    <w:rsid w:val="005F5B89"/>
    <w:rsid w:val="005F7685"/>
    <w:rsid w:val="00602F5C"/>
    <w:rsid w:val="00604364"/>
    <w:rsid w:val="00606397"/>
    <w:rsid w:val="00610D6D"/>
    <w:rsid w:val="00613971"/>
    <w:rsid w:val="006141A3"/>
    <w:rsid w:val="00615A0F"/>
    <w:rsid w:val="006173A4"/>
    <w:rsid w:val="00620F1A"/>
    <w:rsid w:val="00621A28"/>
    <w:rsid w:val="00622520"/>
    <w:rsid w:val="006279E7"/>
    <w:rsid w:val="00630C4B"/>
    <w:rsid w:val="00634596"/>
    <w:rsid w:val="00636916"/>
    <w:rsid w:val="00637EA1"/>
    <w:rsid w:val="006425FA"/>
    <w:rsid w:val="00642B95"/>
    <w:rsid w:val="00646B7B"/>
    <w:rsid w:val="00647559"/>
    <w:rsid w:val="00651DD9"/>
    <w:rsid w:val="006523EB"/>
    <w:rsid w:val="0065265C"/>
    <w:rsid w:val="00653A34"/>
    <w:rsid w:val="00653C14"/>
    <w:rsid w:val="0065460D"/>
    <w:rsid w:val="00657FF9"/>
    <w:rsid w:val="0066001D"/>
    <w:rsid w:val="00660994"/>
    <w:rsid w:val="006679DC"/>
    <w:rsid w:val="006701AC"/>
    <w:rsid w:val="00670400"/>
    <w:rsid w:val="006724B7"/>
    <w:rsid w:val="00677925"/>
    <w:rsid w:val="00677A8A"/>
    <w:rsid w:val="006804FA"/>
    <w:rsid w:val="00680AD6"/>
    <w:rsid w:val="00681B00"/>
    <w:rsid w:val="006870F1"/>
    <w:rsid w:val="006904B2"/>
    <w:rsid w:val="006922EC"/>
    <w:rsid w:val="00692720"/>
    <w:rsid w:val="00692F7F"/>
    <w:rsid w:val="00695BD6"/>
    <w:rsid w:val="00695EDE"/>
    <w:rsid w:val="006A09D0"/>
    <w:rsid w:val="006A23E9"/>
    <w:rsid w:val="006A2F07"/>
    <w:rsid w:val="006A341C"/>
    <w:rsid w:val="006A4439"/>
    <w:rsid w:val="006A4D72"/>
    <w:rsid w:val="006A543A"/>
    <w:rsid w:val="006B37C7"/>
    <w:rsid w:val="006B6F3C"/>
    <w:rsid w:val="006C21DA"/>
    <w:rsid w:val="006C27BF"/>
    <w:rsid w:val="006C2D0C"/>
    <w:rsid w:val="006C3847"/>
    <w:rsid w:val="006C4DC3"/>
    <w:rsid w:val="006C5D44"/>
    <w:rsid w:val="006C77CD"/>
    <w:rsid w:val="006D0072"/>
    <w:rsid w:val="006D1255"/>
    <w:rsid w:val="006D2C2B"/>
    <w:rsid w:val="006D3513"/>
    <w:rsid w:val="006D5D9F"/>
    <w:rsid w:val="006D7949"/>
    <w:rsid w:val="006D7DA1"/>
    <w:rsid w:val="006E1C8A"/>
    <w:rsid w:val="006E32D8"/>
    <w:rsid w:val="006E35EC"/>
    <w:rsid w:val="006E37AD"/>
    <w:rsid w:val="006E5308"/>
    <w:rsid w:val="006F0669"/>
    <w:rsid w:val="006F1293"/>
    <w:rsid w:val="006F41CD"/>
    <w:rsid w:val="006F48AD"/>
    <w:rsid w:val="006F56A7"/>
    <w:rsid w:val="006F601F"/>
    <w:rsid w:val="006F629E"/>
    <w:rsid w:val="00702CEF"/>
    <w:rsid w:val="007032FC"/>
    <w:rsid w:val="00703D29"/>
    <w:rsid w:val="00703F0B"/>
    <w:rsid w:val="00705C65"/>
    <w:rsid w:val="007076B1"/>
    <w:rsid w:val="007112CA"/>
    <w:rsid w:val="0071236E"/>
    <w:rsid w:val="0071264D"/>
    <w:rsid w:val="00712F48"/>
    <w:rsid w:val="0071330B"/>
    <w:rsid w:val="00717494"/>
    <w:rsid w:val="0072051F"/>
    <w:rsid w:val="00722F66"/>
    <w:rsid w:val="00722FCE"/>
    <w:rsid w:val="007230D0"/>
    <w:rsid w:val="007258A2"/>
    <w:rsid w:val="00725977"/>
    <w:rsid w:val="00733600"/>
    <w:rsid w:val="007339A9"/>
    <w:rsid w:val="007345D7"/>
    <w:rsid w:val="00735BD4"/>
    <w:rsid w:val="007373DD"/>
    <w:rsid w:val="00737A61"/>
    <w:rsid w:val="00741B8D"/>
    <w:rsid w:val="00746901"/>
    <w:rsid w:val="007469E7"/>
    <w:rsid w:val="00746D36"/>
    <w:rsid w:val="00750C92"/>
    <w:rsid w:val="00751CDD"/>
    <w:rsid w:val="00753178"/>
    <w:rsid w:val="007534CB"/>
    <w:rsid w:val="00754FB0"/>
    <w:rsid w:val="00756CAA"/>
    <w:rsid w:val="00756D14"/>
    <w:rsid w:val="00762BE0"/>
    <w:rsid w:val="00762CB8"/>
    <w:rsid w:val="0076576D"/>
    <w:rsid w:val="0077088A"/>
    <w:rsid w:val="007751E3"/>
    <w:rsid w:val="00781FE4"/>
    <w:rsid w:val="007838E8"/>
    <w:rsid w:val="00785F88"/>
    <w:rsid w:val="00786B37"/>
    <w:rsid w:val="007877D5"/>
    <w:rsid w:val="00792362"/>
    <w:rsid w:val="0079519C"/>
    <w:rsid w:val="00796180"/>
    <w:rsid w:val="007A04DC"/>
    <w:rsid w:val="007A287A"/>
    <w:rsid w:val="007A2EB0"/>
    <w:rsid w:val="007A5556"/>
    <w:rsid w:val="007B04FF"/>
    <w:rsid w:val="007B22CC"/>
    <w:rsid w:val="007B6DA0"/>
    <w:rsid w:val="007C0A8F"/>
    <w:rsid w:val="007C15ED"/>
    <w:rsid w:val="007C19AE"/>
    <w:rsid w:val="007C2BBC"/>
    <w:rsid w:val="007C2CCC"/>
    <w:rsid w:val="007C337F"/>
    <w:rsid w:val="007D02A8"/>
    <w:rsid w:val="007D04F4"/>
    <w:rsid w:val="007D0888"/>
    <w:rsid w:val="007D2179"/>
    <w:rsid w:val="007D2FAE"/>
    <w:rsid w:val="007D399D"/>
    <w:rsid w:val="007D441B"/>
    <w:rsid w:val="007D59AF"/>
    <w:rsid w:val="007D7DEB"/>
    <w:rsid w:val="007E1BA9"/>
    <w:rsid w:val="007E201C"/>
    <w:rsid w:val="007E381F"/>
    <w:rsid w:val="007E74A7"/>
    <w:rsid w:val="007E7F03"/>
    <w:rsid w:val="007F0619"/>
    <w:rsid w:val="007F0AAA"/>
    <w:rsid w:val="007F28DB"/>
    <w:rsid w:val="007F4345"/>
    <w:rsid w:val="007F7B34"/>
    <w:rsid w:val="00803C1E"/>
    <w:rsid w:val="00804954"/>
    <w:rsid w:val="00810B98"/>
    <w:rsid w:val="0081164E"/>
    <w:rsid w:val="00816129"/>
    <w:rsid w:val="008176A7"/>
    <w:rsid w:val="008177BD"/>
    <w:rsid w:val="00817D86"/>
    <w:rsid w:val="00824189"/>
    <w:rsid w:val="008252F0"/>
    <w:rsid w:val="008269AE"/>
    <w:rsid w:val="00826C39"/>
    <w:rsid w:val="00826EBD"/>
    <w:rsid w:val="00836417"/>
    <w:rsid w:val="0083668C"/>
    <w:rsid w:val="00836E69"/>
    <w:rsid w:val="00840E0D"/>
    <w:rsid w:val="0084277A"/>
    <w:rsid w:val="008461E9"/>
    <w:rsid w:val="008475AA"/>
    <w:rsid w:val="00855A4E"/>
    <w:rsid w:val="00855D0E"/>
    <w:rsid w:val="00856676"/>
    <w:rsid w:val="00856873"/>
    <w:rsid w:val="00860F02"/>
    <w:rsid w:val="00861912"/>
    <w:rsid w:val="0086365B"/>
    <w:rsid w:val="008657A4"/>
    <w:rsid w:val="0086730C"/>
    <w:rsid w:val="008750C5"/>
    <w:rsid w:val="008761A0"/>
    <w:rsid w:val="008777EC"/>
    <w:rsid w:val="0088026D"/>
    <w:rsid w:val="00881EB7"/>
    <w:rsid w:val="0088203D"/>
    <w:rsid w:val="00884596"/>
    <w:rsid w:val="00884884"/>
    <w:rsid w:val="0088570D"/>
    <w:rsid w:val="00887902"/>
    <w:rsid w:val="00891420"/>
    <w:rsid w:val="00894CB4"/>
    <w:rsid w:val="00895FBB"/>
    <w:rsid w:val="008973E6"/>
    <w:rsid w:val="008A0C18"/>
    <w:rsid w:val="008A1E1B"/>
    <w:rsid w:val="008A5FBB"/>
    <w:rsid w:val="008B0302"/>
    <w:rsid w:val="008B09E8"/>
    <w:rsid w:val="008B0AE8"/>
    <w:rsid w:val="008B224C"/>
    <w:rsid w:val="008C05CF"/>
    <w:rsid w:val="008C1461"/>
    <w:rsid w:val="008C1FAF"/>
    <w:rsid w:val="008C2226"/>
    <w:rsid w:val="008C4276"/>
    <w:rsid w:val="008C5153"/>
    <w:rsid w:val="008C534F"/>
    <w:rsid w:val="008C77F8"/>
    <w:rsid w:val="008D2976"/>
    <w:rsid w:val="008D55B2"/>
    <w:rsid w:val="008D6D95"/>
    <w:rsid w:val="008E500C"/>
    <w:rsid w:val="008F2A48"/>
    <w:rsid w:val="008F720F"/>
    <w:rsid w:val="009021F6"/>
    <w:rsid w:val="009028BF"/>
    <w:rsid w:val="00902910"/>
    <w:rsid w:val="00904592"/>
    <w:rsid w:val="00905412"/>
    <w:rsid w:val="009060CB"/>
    <w:rsid w:val="00906D34"/>
    <w:rsid w:val="0091169E"/>
    <w:rsid w:val="009120C7"/>
    <w:rsid w:val="009123C5"/>
    <w:rsid w:val="00916179"/>
    <w:rsid w:val="00917615"/>
    <w:rsid w:val="00921481"/>
    <w:rsid w:val="00921A28"/>
    <w:rsid w:val="00925337"/>
    <w:rsid w:val="00930239"/>
    <w:rsid w:val="00931174"/>
    <w:rsid w:val="009336C8"/>
    <w:rsid w:val="00937B1F"/>
    <w:rsid w:val="0094110B"/>
    <w:rsid w:val="009423A4"/>
    <w:rsid w:val="00944B82"/>
    <w:rsid w:val="00945006"/>
    <w:rsid w:val="00952E15"/>
    <w:rsid w:val="00955F7B"/>
    <w:rsid w:val="00956B31"/>
    <w:rsid w:val="00956FA8"/>
    <w:rsid w:val="00957AA0"/>
    <w:rsid w:val="009604CB"/>
    <w:rsid w:val="00962C11"/>
    <w:rsid w:val="00965538"/>
    <w:rsid w:val="00967371"/>
    <w:rsid w:val="00971F0D"/>
    <w:rsid w:val="0097464F"/>
    <w:rsid w:val="00975B33"/>
    <w:rsid w:val="009772EB"/>
    <w:rsid w:val="00984BFB"/>
    <w:rsid w:val="00991B49"/>
    <w:rsid w:val="00991D05"/>
    <w:rsid w:val="009939D0"/>
    <w:rsid w:val="00995A55"/>
    <w:rsid w:val="009964B6"/>
    <w:rsid w:val="00997A87"/>
    <w:rsid w:val="009A1C5B"/>
    <w:rsid w:val="009A1FFC"/>
    <w:rsid w:val="009A7B76"/>
    <w:rsid w:val="009B0988"/>
    <w:rsid w:val="009B1B5B"/>
    <w:rsid w:val="009B1BFA"/>
    <w:rsid w:val="009B2B4B"/>
    <w:rsid w:val="009B68EE"/>
    <w:rsid w:val="009C320E"/>
    <w:rsid w:val="009C5DF4"/>
    <w:rsid w:val="009C5EBB"/>
    <w:rsid w:val="009C6064"/>
    <w:rsid w:val="009C6E1B"/>
    <w:rsid w:val="009D30BB"/>
    <w:rsid w:val="009D3453"/>
    <w:rsid w:val="009D431A"/>
    <w:rsid w:val="009D5237"/>
    <w:rsid w:val="009E1329"/>
    <w:rsid w:val="009E28E5"/>
    <w:rsid w:val="009E3318"/>
    <w:rsid w:val="009E4CE3"/>
    <w:rsid w:val="009F214A"/>
    <w:rsid w:val="009F374F"/>
    <w:rsid w:val="009F588C"/>
    <w:rsid w:val="00A02C14"/>
    <w:rsid w:val="00A03373"/>
    <w:rsid w:val="00A05ECF"/>
    <w:rsid w:val="00A100F7"/>
    <w:rsid w:val="00A116B0"/>
    <w:rsid w:val="00A11C51"/>
    <w:rsid w:val="00A126E5"/>
    <w:rsid w:val="00A12C63"/>
    <w:rsid w:val="00A1337E"/>
    <w:rsid w:val="00A22A35"/>
    <w:rsid w:val="00A24133"/>
    <w:rsid w:val="00A249A4"/>
    <w:rsid w:val="00A24D71"/>
    <w:rsid w:val="00A2528E"/>
    <w:rsid w:val="00A261D2"/>
    <w:rsid w:val="00A2643C"/>
    <w:rsid w:val="00A33F45"/>
    <w:rsid w:val="00A34C49"/>
    <w:rsid w:val="00A4068C"/>
    <w:rsid w:val="00A421CE"/>
    <w:rsid w:val="00A44467"/>
    <w:rsid w:val="00A44C24"/>
    <w:rsid w:val="00A51022"/>
    <w:rsid w:val="00A529C6"/>
    <w:rsid w:val="00A54F86"/>
    <w:rsid w:val="00A5671B"/>
    <w:rsid w:val="00A63392"/>
    <w:rsid w:val="00A67971"/>
    <w:rsid w:val="00A722C5"/>
    <w:rsid w:val="00A74D68"/>
    <w:rsid w:val="00A80044"/>
    <w:rsid w:val="00A80406"/>
    <w:rsid w:val="00A83992"/>
    <w:rsid w:val="00A859DC"/>
    <w:rsid w:val="00A85D7D"/>
    <w:rsid w:val="00A85EAD"/>
    <w:rsid w:val="00A86417"/>
    <w:rsid w:val="00A872DA"/>
    <w:rsid w:val="00A90B9F"/>
    <w:rsid w:val="00A9122E"/>
    <w:rsid w:val="00A91F36"/>
    <w:rsid w:val="00A923BF"/>
    <w:rsid w:val="00A93A7F"/>
    <w:rsid w:val="00A97B0B"/>
    <w:rsid w:val="00AA4795"/>
    <w:rsid w:val="00AA63BA"/>
    <w:rsid w:val="00AB029B"/>
    <w:rsid w:val="00AB19DA"/>
    <w:rsid w:val="00AB4FA3"/>
    <w:rsid w:val="00AB52C3"/>
    <w:rsid w:val="00AB675B"/>
    <w:rsid w:val="00AB6B27"/>
    <w:rsid w:val="00AC4375"/>
    <w:rsid w:val="00AD122B"/>
    <w:rsid w:val="00AD629B"/>
    <w:rsid w:val="00AD649B"/>
    <w:rsid w:val="00AD6B25"/>
    <w:rsid w:val="00AD6ED0"/>
    <w:rsid w:val="00AE13A9"/>
    <w:rsid w:val="00AE2C17"/>
    <w:rsid w:val="00AE5333"/>
    <w:rsid w:val="00AE61ED"/>
    <w:rsid w:val="00AE6F3C"/>
    <w:rsid w:val="00AE73B7"/>
    <w:rsid w:val="00AF196A"/>
    <w:rsid w:val="00AF54E1"/>
    <w:rsid w:val="00B0080D"/>
    <w:rsid w:val="00B04E81"/>
    <w:rsid w:val="00B054A7"/>
    <w:rsid w:val="00B054BE"/>
    <w:rsid w:val="00B0579A"/>
    <w:rsid w:val="00B05F20"/>
    <w:rsid w:val="00B062CE"/>
    <w:rsid w:val="00B14E6B"/>
    <w:rsid w:val="00B16089"/>
    <w:rsid w:val="00B16411"/>
    <w:rsid w:val="00B2097B"/>
    <w:rsid w:val="00B2125F"/>
    <w:rsid w:val="00B2407B"/>
    <w:rsid w:val="00B25923"/>
    <w:rsid w:val="00B26432"/>
    <w:rsid w:val="00B266B6"/>
    <w:rsid w:val="00B33E2B"/>
    <w:rsid w:val="00B34D24"/>
    <w:rsid w:val="00B36CB6"/>
    <w:rsid w:val="00B36FD6"/>
    <w:rsid w:val="00B412B9"/>
    <w:rsid w:val="00B457D5"/>
    <w:rsid w:val="00B46611"/>
    <w:rsid w:val="00B47764"/>
    <w:rsid w:val="00B4784E"/>
    <w:rsid w:val="00B52D63"/>
    <w:rsid w:val="00B565D4"/>
    <w:rsid w:val="00B56BC4"/>
    <w:rsid w:val="00B60368"/>
    <w:rsid w:val="00B62476"/>
    <w:rsid w:val="00B626BB"/>
    <w:rsid w:val="00B724FE"/>
    <w:rsid w:val="00B80D2F"/>
    <w:rsid w:val="00B82E58"/>
    <w:rsid w:val="00B863CD"/>
    <w:rsid w:val="00B8685E"/>
    <w:rsid w:val="00B90995"/>
    <w:rsid w:val="00B90EB4"/>
    <w:rsid w:val="00B96041"/>
    <w:rsid w:val="00B97802"/>
    <w:rsid w:val="00BA0E5D"/>
    <w:rsid w:val="00BA3124"/>
    <w:rsid w:val="00BA37AA"/>
    <w:rsid w:val="00BA4879"/>
    <w:rsid w:val="00BA4EF2"/>
    <w:rsid w:val="00BA540E"/>
    <w:rsid w:val="00BA55B3"/>
    <w:rsid w:val="00BA7E0C"/>
    <w:rsid w:val="00BB0CCB"/>
    <w:rsid w:val="00BB2465"/>
    <w:rsid w:val="00BB2B84"/>
    <w:rsid w:val="00BB4575"/>
    <w:rsid w:val="00BB7304"/>
    <w:rsid w:val="00BC12CD"/>
    <w:rsid w:val="00BC175F"/>
    <w:rsid w:val="00BC34E9"/>
    <w:rsid w:val="00BC4999"/>
    <w:rsid w:val="00BD048A"/>
    <w:rsid w:val="00BD389A"/>
    <w:rsid w:val="00BD636E"/>
    <w:rsid w:val="00BD6F90"/>
    <w:rsid w:val="00BE060F"/>
    <w:rsid w:val="00BE1F58"/>
    <w:rsid w:val="00BE2F9C"/>
    <w:rsid w:val="00BE392B"/>
    <w:rsid w:val="00BE3C13"/>
    <w:rsid w:val="00BF13B2"/>
    <w:rsid w:val="00BF3812"/>
    <w:rsid w:val="00BF4099"/>
    <w:rsid w:val="00C00F71"/>
    <w:rsid w:val="00C031A5"/>
    <w:rsid w:val="00C03FB6"/>
    <w:rsid w:val="00C06587"/>
    <w:rsid w:val="00C07A4F"/>
    <w:rsid w:val="00C13489"/>
    <w:rsid w:val="00C158E3"/>
    <w:rsid w:val="00C244BA"/>
    <w:rsid w:val="00C2519C"/>
    <w:rsid w:val="00C25425"/>
    <w:rsid w:val="00C254EC"/>
    <w:rsid w:val="00C25AD7"/>
    <w:rsid w:val="00C31620"/>
    <w:rsid w:val="00C3532B"/>
    <w:rsid w:val="00C3605A"/>
    <w:rsid w:val="00C3769F"/>
    <w:rsid w:val="00C4070E"/>
    <w:rsid w:val="00C46538"/>
    <w:rsid w:val="00C46568"/>
    <w:rsid w:val="00C475B3"/>
    <w:rsid w:val="00C50F38"/>
    <w:rsid w:val="00C519A3"/>
    <w:rsid w:val="00C524FA"/>
    <w:rsid w:val="00C54866"/>
    <w:rsid w:val="00C557E5"/>
    <w:rsid w:val="00C55E92"/>
    <w:rsid w:val="00C56715"/>
    <w:rsid w:val="00C61DF1"/>
    <w:rsid w:val="00C636A8"/>
    <w:rsid w:val="00C649A3"/>
    <w:rsid w:val="00C64C38"/>
    <w:rsid w:val="00C65FA0"/>
    <w:rsid w:val="00C6606A"/>
    <w:rsid w:val="00C716E6"/>
    <w:rsid w:val="00C72A24"/>
    <w:rsid w:val="00C736D2"/>
    <w:rsid w:val="00C7432E"/>
    <w:rsid w:val="00C75571"/>
    <w:rsid w:val="00C76FE6"/>
    <w:rsid w:val="00C80245"/>
    <w:rsid w:val="00C8124B"/>
    <w:rsid w:val="00C8178E"/>
    <w:rsid w:val="00C834F6"/>
    <w:rsid w:val="00C84A36"/>
    <w:rsid w:val="00C84FEE"/>
    <w:rsid w:val="00C85D99"/>
    <w:rsid w:val="00C91707"/>
    <w:rsid w:val="00C91765"/>
    <w:rsid w:val="00C96612"/>
    <w:rsid w:val="00C976A1"/>
    <w:rsid w:val="00CA0E6A"/>
    <w:rsid w:val="00CA115B"/>
    <w:rsid w:val="00CA3F44"/>
    <w:rsid w:val="00CA4DB7"/>
    <w:rsid w:val="00CA4EDA"/>
    <w:rsid w:val="00CA6144"/>
    <w:rsid w:val="00CA6CAC"/>
    <w:rsid w:val="00CB103A"/>
    <w:rsid w:val="00CB3033"/>
    <w:rsid w:val="00CB3C9F"/>
    <w:rsid w:val="00CB5F47"/>
    <w:rsid w:val="00CC0FA9"/>
    <w:rsid w:val="00CC18DB"/>
    <w:rsid w:val="00CC1C15"/>
    <w:rsid w:val="00CC375D"/>
    <w:rsid w:val="00CC46A2"/>
    <w:rsid w:val="00CC4FB0"/>
    <w:rsid w:val="00CC5B47"/>
    <w:rsid w:val="00CC6D92"/>
    <w:rsid w:val="00CD04A5"/>
    <w:rsid w:val="00CD66D6"/>
    <w:rsid w:val="00CD7D67"/>
    <w:rsid w:val="00CE01EF"/>
    <w:rsid w:val="00CE5CF4"/>
    <w:rsid w:val="00CF001A"/>
    <w:rsid w:val="00CF0250"/>
    <w:rsid w:val="00CF355D"/>
    <w:rsid w:val="00D0134F"/>
    <w:rsid w:val="00D0202D"/>
    <w:rsid w:val="00D043AD"/>
    <w:rsid w:val="00D06C66"/>
    <w:rsid w:val="00D072A1"/>
    <w:rsid w:val="00D10D67"/>
    <w:rsid w:val="00D124B6"/>
    <w:rsid w:val="00D14919"/>
    <w:rsid w:val="00D14E99"/>
    <w:rsid w:val="00D1571D"/>
    <w:rsid w:val="00D21E36"/>
    <w:rsid w:val="00D22BAB"/>
    <w:rsid w:val="00D22CA2"/>
    <w:rsid w:val="00D2321E"/>
    <w:rsid w:val="00D23492"/>
    <w:rsid w:val="00D26520"/>
    <w:rsid w:val="00D277F8"/>
    <w:rsid w:val="00D300DD"/>
    <w:rsid w:val="00D311AE"/>
    <w:rsid w:val="00D31A84"/>
    <w:rsid w:val="00D33C92"/>
    <w:rsid w:val="00D34371"/>
    <w:rsid w:val="00D353F0"/>
    <w:rsid w:val="00D44F13"/>
    <w:rsid w:val="00D45385"/>
    <w:rsid w:val="00D479CD"/>
    <w:rsid w:val="00D50D2A"/>
    <w:rsid w:val="00D52ED9"/>
    <w:rsid w:val="00D55A38"/>
    <w:rsid w:val="00D57C1D"/>
    <w:rsid w:val="00D6016D"/>
    <w:rsid w:val="00D60576"/>
    <w:rsid w:val="00D66AB0"/>
    <w:rsid w:val="00D7231B"/>
    <w:rsid w:val="00D73829"/>
    <w:rsid w:val="00D77BCE"/>
    <w:rsid w:val="00D812C8"/>
    <w:rsid w:val="00D816BB"/>
    <w:rsid w:val="00D829D0"/>
    <w:rsid w:val="00D831E8"/>
    <w:rsid w:val="00D841A1"/>
    <w:rsid w:val="00D84F11"/>
    <w:rsid w:val="00D90303"/>
    <w:rsid w:val="00D91030"/>
    <w:rsid w:val="00D91940"/>
    <w:rsid w:val="00D92C17"/>
    <w:rsid w:val="00D930BB"/>
    <w:rsid w:val="00D932AD"/>
    <w:rsid w:val="00D93779"/>
    <w:rsid w:val="00D95A48"/>
    <w:rsid w:val="00D95A4C"/>
    <w:rsid w:val="00D95BD7"/>
    <w:rsid w:val="00D97F97"/>
    <w:rsid w:val="00DA12F0"/>
    <w:rsid w:val="00DB181C"/>
    <w:rsid w:val="00DB2200"/>
    <w:rsid w:val="00DB58CB"/>
    <w:rsid w:val="00DC3C79"/>
    <w:rsid w:val="00DC5EB5"/>
    <w:rsid w:val="00DC5F38"/>
    <w:rsid w:val="00DD132F"/>
    <w:rsid w:val="00DD78E6"/>
    <w:rsid w:val="00DE249D"/>
    <w:rsid w:val="00DE3825"/>
    <w:rsid w:val="00DE49ED"/>
    <w:rsid w:val="00DE7E18"/>
    <w:rsid w:val="00DF439B"/>
    <w:rsid w:val="00DF5814"/>
    <w:rsid w:val="00DF6C21"/>
    <w:rsid w:val="00DF6C36"/>
    <w:rsid w:val="00DF7BB9"/>
    <w:rsid w:val="00E02431"/>
    <w:rsid w:val="00E02BE5"/>
    <w:rsid w:val="00E03C51"/>
    <w:rsid w:val="00E11081"/>
    <w:rsid w:val="00E13C8A"/>
    <w:rsid w:val="00E148F4"/>
    <w:rsid w:val="00E2004A"/>
    <w:rsid w:val="00E22781"/>
    <w:rsid w:val="00E245D0"/>
    <w:rsid w:val="00E255AC"/>
    <w:rsid w:val="00E26053"/>
    <w:rsid w:val="00E312D2"/>
    <w:rsid w:val="00E33009"/>
    <w:rsid w:val="00E3415B"/>
    <w:rsid w:val="00E4207D"/>
    <w:rsid w:val="00E42EAA"/>
    <w:rsid w:val="00E43660"/>
    <w:rsid w:val="00E449D8"/>
    <w:rsid w:val="00E45D74"/>
    <w:rsid w:val="00E51F99"/>
    <w:rsid w:val="00E52414"/>
    <w:rsid w:val="00E55177"/>
    <w:rsid w:val="00E57591"/>
    <w:rsid w:val="00E653F5"/>
    <w:rsid w:val="00E667FC"/>
    <w:rsid w:val="00E72F1F"/>
    <w:rsid w:val="00E763ED"/>
    <w:rsid w:val="00E80A9B"/>
    <w:rsid w:val="00E85B31"/>
    <w:rsid w:val="00E86025"/>
    <w:rsid w:val="00E8709E"/>
    <w:rsid w:val="00E91C8A"/>
    <w:rsid w:val="00E93BCC"/>
    <w:rsid w:val="00E9439E"/>
    <w:rsid w:val="00E94474"/>
    <w:rsid w:val="00E945F9"/>
    <w:rsid w:val="00E9526F"/>
    <w:rsid w:val="00E96E54"/>
    <w:rsid w:val="00EA0F86"/>
    <w:rsid w:val="00EA1145"/>
    <w:rsid w:val="00EA11E5"/>
    <w:rsid w:val="00EA1ED7"/>
    <w:rsid w:val="00EA3FDA"/>
    <w:rsid w:val="00EA5C66"/>
    <w:rsid w:val="00EA6F6A"/>
    <w:rsid w:val="00EB09CB"/>
    <w:rsid w:val="00EB0C24"/>
    <w:rsid w:val="00EB13EB"/>
    <w:rsid w:val="00EC0728"/>
    <w:rsid w:val="00EC1617"/>
    <w:rsid w:val="00EC2752"/>
    <w:rsid w:val="00EC2D7B"/>
    <w:rsid w:val="00EC3475"/>
    <w:rsid w:val="00EC7653"/>
    <w:rsid w:val="00ED4554"/>
    <w:rsid w:val="00ED5241"/>
    <w:rsid w:val="00ED64CD"/>
    <w:rsid w:val="00ED7DBB"/>
    <w:rsid w:val="00EE19D7"/>
    <w:rsid w:val="00EE5896"/>
    <w:rsid w:val="00EE6E83"/>
    <w:rsid w:val="00EE6FF6"/>
    <w:rsid w:val="00EF20F4"/>
    <w:rsid w:val="00EF2D43"/>
    <w:rsid w:val="00EF2D68"/>
    <w:rsid w:val="00EF4BB5"/>
    <w:rsid w:val="00EF5BD9"/>
    <w:rsid w:val="00EF6456"/>
    <w:rsid w:val="00F00891"/>
    <w:rsid w:val="00F02662"/>
    <w:rsid w:val="00F06631"/>
    <w:rsid w:val="00F0794E"/>
    <w:rsid w:val="00F102B2"/>
    <w:rsid w:val="00F105FA"/>
    <w:rsid w:val="00F115E5"/>
    <w:rsid w:val="00F121C0"/>
    <w:rsid w:val="00F143F6"/>
    <w:rsid w:val="00F1492D"/>
    <w:rsid w:val="00F160B7"/>
    <w:rsid w:val="00F1690F"/>
    <w:rsid w:val="00F2140E"/>
    <w:rsid w:val="00F23B65"/>
    <w:rsid w:val="00F275D0"/>
    <w:rsid w:val="00F27C97"/>
    <w:rsid w:val="00F321F7"/>
    <w:rsid w:val="00F331FE"/>
    <w:rsid w:val="00F344A6"/>
    <w:rsid w:val="00F344D6"/>
    <w:rsid w:val="00F3485E"/>
    <w:rsid w:val="00F35244"/>
    <w:rsid w:val="00F37250"/>
    <w:rsid w:val="00F3752A"/>
    <w:rsid w:val="00F401AB"/>
    <w:rsid w:val="00F40FBF"/>
    <w:rsid w:val="00F4149C"/>
    <w:rsid w:val="00F414D7"/>
    <w:rsid w:val="00F4165C"/>
    <w:rsid w:val="00F41ABA"/>
    <w:rsid w:val="00F4368E"/>
    <w:rsid w:val="00F43D41"/>
    <w:rsid w:val="00F502E0"/>
    <w:rsid w:val="00F52C3C"/>
    <w:rsid w:val="00F52F5A"/>
    <w:rsid w:val="00F54E34"/>
    <w:rsid w:val="00F55CCE"/>
    <w:rsid w:val="00F56501"/>
    <w:rsid w:val="00F57034"/>
    <w:rsid w:val="00F5705E"/>
    <w:rsid w:val="00F603CC"/>
    <w:rsid w:val="00F64A9E"/>
    <w:rsid w:val="00F64F57"/>
    <w:rsid w:val="00F70167"/>
    <w:rsid w:val="00F705AE"/>
    <w:rsid w:val="00F74EBD"/>
    <w:rsid w:val="00F82ADB"/>
    <w:rsid w:val="00F831B3"/>
    <w:rsid w:val="00F86B8B"/>
    <w:rsid w:val="00F8733F"/>
    <w:rsid w:val="00F910EF"/>
    <w:rsid w:val="00F91562"/>
    <w:rsid w:val="00F921B4"/>
    <w:rsid w:val="00F94057"/>
    <w:rsid w:val="00F962CD"/>
    <w:rsid w:val="00F96524"/>
    <w:rsid w:val="00FA25D3"/>
    <w:rsid w:val="00FA3D6B"/>
    <w:rsid w:val="00FA4022"/>
    <w:rsid w:val="00FA6493"/>
    <w:rsid w:val="00FA65E2"/>
    <w:rsid w:val="00FA7DC3"/>
    <w:rsid w:val="00FB255F"/>
    <w:rsid w:val="00FB3AAB"/>
    <w:rsid w:val="00FB6924"/>
    <w:rsid w:val="00FB7E37"/>
    <w:rsid w:val="00FC02B4"/>
    <w:rsid w:val="00FC4D62"/>
    <w:rsid w:val="00FC4DC3"/>
    <w:rsid w:val="00FD1370"/>
    <w:rsid w:val="00FD5F55"/>
    <w:rsid w:val="00FE0D6B"/>
    <w:rsid w:val="00FE2042"/>
    <w:rsid w:val="00FE3364"/>
    <w:rsid w:val="00FE34A0"/>
    <w:rsid w:val="00FE4EC0"/>
    <w:rsid w:val="00FE63D6"/>
    <w:rsid w:val="00FE6711"/>
    <w:rsid w:val="00FF2D5E"/>
    <w:rsid w:val="00FF3FB5"/>
    <w:rsid w:val="00FF5A2F"/>
    <w:rsid w:val="014464BB"/>
    <w:rsid w:val="018A2DD6"/>
    <w:rsid w:val="021B48C8"/>
    <w:rsid w:val="022F6BC7"/>
    <w:rsid w:val="037E7B55"/>
    <w:rsid w:val="058A5177"/>
    <w:rsid w:val="06B46DF4"/>
    <w:rsid w:val="07C30DC0"/>
    <w:rsid w:val="08E92ED7"/>
    <w:rsid w:val="0A7A508D"/>
    <w:rsid w:val="0AB623B0"/>
    <w:rsid w:val="0ABC2E87"/>
    <w:rsid w:val="0B6357F2"/>
    <w:rsid w:val="0C3279E8"/>
    <w:rsid w:val="0C6D2071"/>
    <w:rsid w:val="0D460BF6"/>
    <w:rsid w:val="0DA96558"/>
    <w:rsid w:val="0DF742E8"/>
    <w:rsid w:val="0E9A16A0"/>
    <w:rsid w:val="0EA83860"/>
    <w:rsid w:val="0F334EAC"/>
    <w:rsid w:val="0F482EAC"/>
    <w:rsid w:val="0FAE47D0"/>
    <w:rsid w:val="10394744"/>
    <w:rsid w:val="11790C53"/>
    <w:rsid w:val="11D87F8D"/>
    <w:rsid w:val="133176F4"/>
    <w:rsid w:val="142F2909"/>
    <w:rsid w:val="142F43C4"/>
    <w:rsid w:val="16244BA5"/>
    <w:rsid w:val="17451FF2"/>
    <w:rsid w:val="180F4F9D"/>
    <w:rsid w:val="1A4A65D3"/>
    <w:rsid w:val="1A82366D"/>
    <w:rsid w:val="1AE82C29"/>
    <w:rsid w:val="1AE84762"/>
    <w:rsid w:val="1E5A0411"/>
    <w:rsid w:val="1FD85D63"/>
    <w:rsid w:val="1FF05C03"/>
    <w:rsid w:val="23865A00"/>
    <w:rsid w:val="243E1570"/>
    <w:rsid w:val="24DD4E1D"/>
    <w:rsid w:val="24ED56A6"/>
    <w:rsid w:val="25397845"/>
    <w:rsid w:val="25C744D7"/>
    <w:rsid w:val="26522EA8"/>
    <w:rsid w:val="26CC0950"/>
    <w:rsid w:val="27D8263D"/>
    <w:rsid w:val="27D85BC0"/>
    <w:rsid w:val="2846681B"/>
    <w:rsid w:val="29235B3A"/>
    <w:rsid w:val="2D511C5B"/>
    <w:rsid w:val="2DA72A14"/>
    <w:rsid w:val="2DDF2633"/>
    <w:rsid w:val="2E11065B"/>
    <w:rsid w:val="2E361093"/>
    <w:rsid w:val="2F6011C4"/>
    <w:rsid w:val="2FB05DB2"/>
    <w:rsid w:val="310314D0"/>
    <w:rsid w:val="31253DE5"/>
    <w:rsid w:val="313E7737"/>
    <w:rsid w:val="318A5C8E"/>
    <w:rsid w:val="323D23EA"/>
    <w:rsid w:val="3363332D"/>
    <w:rsid w:val="338A111E"/>
    <w:rsid w:val="34A22009"/>
    <w:rsid w:val="351A46E3"/>
    <w:rsid w:val="369860BB"/>
    <w:rsid w:val="39376BFA"/>
    <w:rsid w:val="395E25D9"/>
    <w:rsid w:val="39A66FFB"/>
    <w:rsid w:val="39B90520"/>
    <w:rsid w:val="3A46626E"/>
    <w:rsid w:val="3A6C4287"/>
    <w:rsid w:val="3A6F280E"/>
    <w:rsid w:val="3AA7642C"/>
    <w:rsid w:val="3AEC50AC"/>
    <w:rsid w:val="3B963CA8"/>
    <w:rsid w:val="3DBD54FE"/>
    <w:rsid w:val="3E2F3C47"/>
    <w:rsid w:val="3E4E45BF"/>
    <w:rsid w:val="3E781559"/>
    <w:rsid w:val="3EAC4F9B"/>
    <w:rsid w:val="3FA25898"/>
    <w:rsid w:val="400D5119"/>
    <w:rsid w:val="40D57DED"/>
    <w:rsid w:val="419B4CF5"/>
    <w:rsid w:val="41D43789"/>
    <w:rsid w:val="42C1415E"/>
    <w:rsid w:val="43621CD6"/>
    <w:rsid w:val="47107740"/>
    <w:rsid w:val="479C1380"/>
    <w:rsid w:val="480F3C80"/>
    <w:rsid w:val="486149D1"/>
    <w:rsid w:val="487E214D"/>
    <w:rsid w:val="4989523E"/>
    <w:rsid w:val="49CD639A"/>
    <w:rsid w:val="4B4834B2"/>
    <w:rsid w:val="4DCA28A4"/>
    <w:rsid w:val="4F810626"/>
    <w:rsid w:val="513C1084"/>
    <w:rsid w:val="51652390"/>
    <w:rsid w:val="51726460"/>
    <w:rsid w:val="51C54122"/>
    <w:rsid w:val="532042F0"/>
    <w:rsid w:val="54595F7A"/>
    <w:rsid w:val="550A5C7C"/>
    <w:rsid w:val="5553766F"/>
    <w:rsid w:val="56144228"/>
    <w:rsid w:val="56B011F9"/>
    <w:rsid w:val="573619C6"/>
    <w:rsid w:val="59B9352D"/>
    <w:rsid w:val="5B096777"/>
    <w:rsid w:val="5C675762"/>
    <w:rsid w:val="5D120A4A"/>
    <w:rsid w:val="5DBC03E8"/>
    <w:rsid w:val="5FE054D2"/>
    <w:rsid w:val="604D26C1"/>
    <w:rsid w:val="6161547F"/>
    <w:rsid w:val="61640AD8"/>
    <w:rsid w:val="61B31E2C"/>
    <w:rsid w:val="63053144"/>
    <w:rsid w:val="64827BC4"/>
    <w:rsid w:val="64DA3F5C"/>
    <w:rsid w:val="6587291F"/>
    <w:rsid w:val="65E511F4"/>
    <w:rsid w:val="65E83187"/>
    <w:rsid w:val="660D267B"/>
    <w:rsid w:val="662C2DFD"/>
    <w:rsid w:val="66A94529"/>
    <w:rsid w:val="66F940CB"/>
    <w:rsid w:val="697002F0"/>
    <w:rsid w:val="6AB50D72"/>
    <w:rsid w:val="6BF749E6"/>
    <w:rsid w:val="6C2E1DA3"/>
    <w:rsid w:val="6CF21078"/>
    <w:rsid w:val="6F783FDF"/>
    <w:rsid w:val="70642C7D"/>
    <w:rsid w:val="707E79EA"/>
    <w:rsid w:val="717A29A8"/>
    <w:rsid w:val="72941D3D"/>
    <w:rsid w:val="733E7D2A"/>
    <w:rsid w:val="74D77E17"/>
    <w:rsid w:val="75120E16"/>
    <w:rsid w:val="756F34FD"/>
    <w:rsid w:val="75B9739F"/>
    <w:rsid w:val="77275DC2"/>
    <w:rsid w:val="77513D79"/>
    <w:rsid w:val="77D45F4A"/>
    <w:rsid w:val="785C257D"/>
    <w:rsid w:val="7A6F61AA"/>
    <w:rsid w:val="7AEF6BF7"/>
    <w:rsid w:val="7C341A17"/>
    <w:rsid w:val="7DD52CF4"/>
    <w:rsid w:val="7EE37EAA"/>
    <w:rsid w:val="7FC5392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6"/>
    <w:qFormat/>
    <w:uiPriority w:val="8"/>
    <w:pPr>
      <w:spacing w:before="0" w:after="260" w:line="415" w:lineRule="auto"/>
      <w:outlineLvl w:val="1"/>
    </w:pPr>
    <w:rPr>
      <w:rFonts w:ascii="Arial" w:hAnsi="Arial" w:eastAsia="黑体"/>
      <w:b/>
      <w:sz w:val="32"/>
      <w:szCs w:val="32"/>
    </w:rPr>
  </w:style>
  <w:style w:type="paragraph" w:styleId="7">
    <w:name w:val="heading 3"/>
    <w:basedOn w:val="1"/>
    <w:next w:val="1"/>
    <w:qFormat/>
    <w:uiPriority w:val="9"/>
    <w:pPr>
      <w:outlineLvl w:val="2"/>
    </w:pPr>
    <w:rPr>
      <w:b/>
      <w:sz w:val="24"/>
      <w:szCs w:val="24"/>
    </w:rPr>
  </w:style>
  <w:style w:type="paragraph" w:styleId="8">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7"/>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link w:val="66"/>
    <w:qFormat/>
    <w:uiPriority w:val="99"/>
    <w:pPr>
      <w:spacing w:line="480" w:lineRule="exact"/>
      <w:ind w:firstLine="560" w:firstLineChars="200"/>
    </w:pPr>
    <w:rPr>
      <w:sz w:val="24"/>
    </w:rPr>
  </w:style>
  <w:style w:type="paragraph" w:styleId="6">
    <w:name w:val="Body Text"/>
    <w:basedOn w:val="1"/>
    <w:link w:val="59"/>
    <w:unhideWhenUsed/>
    <w:qFormat/>
    <w:uiPriority w:val="99"/>
    <w:pPr>
      <w:spacing w:after="120"/>
    </w:pPr>
  </w:style>
  <w:style w:type="paragraph" w:styleId="9">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10">
    <w:name w:val="caption"/>
    <w:basedOn w:val="1"/>
    <w:next w:val="1"/>
    <w:qFormat/>
    <w:uiPriority w:val="99"/>
    <w:pPr>
      <w:widowControl w:val="0"/>
      <w:spacing w:before="152" w:after="160" w:afterAutospacing="0" w:line="240" w:lineRule="auto"/>
      <w:ind w:left="0" w:right="0" w:firstLine="0"/>
    </w:pPr>
    <w:rPr>
      <w:rFonts w:ascii="Arial" w:hAnsi="Arial" w:eastAsia="黑体" w:cs="Arial"/>
      <w:kern w:val="2"/>
      <w:sz w:val="20"/>
      <w:szCs w:val="20"/>
    </w:rPr>
  </w:style>
  <w:style w:type="paragraph" w:styleId="11">
    <w:name w:val="Document Map"/>
    <w:basedOn w:val="1"/>
    <w:semiHidden/>
    <w:unhideWhenUsed/>
    <w:qFormat/>
    <w:uiPriority w:val="0"/>
    <w:rPr>
      <w:rFonts w:ascii="宋体"/>
      <w:sz w:val="18"/>
      <w:szCs w:val="18"/>
    </w:rPr>
  </w:style>
  <w:style w:type="paragraph" w:styleId="12">
    <w:name w:val="annotation text"/>
    <w:basedOn w:val="1"/>
    <w:semiHidden/>
    <w:unhideWhenUsed/>
    <w:qFormat/>
    <w:uiPriority w:val="0"/>
    <w:pPr>
      <w:jc w:val="left"/>
    </w:p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Plain Text"/>
    <w:basedOn w:val="1"/>
    <w:link w:val="57"/>
    <w:unhideWhenUsed/>
    <w:qFormat/>
    <w:uiPriority w:val="99"/>
    <w:rPr>
      <w:rFonts w:ascii="宋体" w:hAnsi="Courier New" w:cs="宋体"/>
      <w:sz w:val="20"/>
      <w:szCs w:val="20"/>
    </w:r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61"/>
    <w:semiHidden/>
    <w:unhideWhenUsed/>
    <w:qFormat/>
    <w:uiPriority w:val="99"/>
    <w:pPr>
      <w:ind w:left="100" w:leftChars="2500"/>
    </w:pPr>
  </w:style>
  <w:style w:type="paragraph" w:styleId="18">
    <w:name w:val="Balloon Text"/>
    <w:basedOn w:val="1"/>
    <w:semiHidden/>
    <w:unhideWhenUsed/>
    <w:qFormat/>
    <w:uiPriority w:val="0"/>
    <w:pPr>
      <w:spacing w:after="0" w:line="240" w:lineRule="auto"/>
    </w:pPr>
    <w:rPr>
      <w:sz w:val="18"/>
      <w:szCs w:val="18"/>
    </w:rPr>
  </w:style>
  <w:style w:type="paragraph" w:styleId="19">
    <w:name w:val="footer"/>
    <w:basedOn w:val="1"/>
    <w:qFormat/>
    <w:uiPriority w:val="99"/>
    <w:pPr>
      <w:tabs>
        <w:tab w:val="center" w:pos="4153"/>
        <w:tab w:val="right" w:pos="8306"/>
      </w:tabs>
      <w:snapToGrid w:val="0"/>
      <w:jc w:val="left"/>
    </w:pPr>
    <w:rPr>
      <w:sz w:val="18"/>
      <w:szCs w:val="18"/>
    </w:rPr>
  </w:style>
  <w:style w:type="paragraph" w:styleId="20">
    <w:name w:val="header"/>
    <w:basedOn w:val="1"/>
    <w:link w:val="68"/>
    <w:qFormat/>
    <w:uiPriority w:val="99"/>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semiHidden/>
    <w:unhideWhenUsed/>
    <w:qFormat/>
    <w:uiPriority w:val="0"/>
    <w:pPr>
      <w:snapToGrid w:val="0"/>
      <w:jc w:val="left"/>
    </w:pPr>
    <w:rPr>
      <w:sz w:val="18"/>
      <w:szCs w:val="18"/>
    </w:rPr>
  </w:style>
  <w:style w:type="paragraph" w:styleId="24">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qFormat/>
    <w:uiPriority w:val="0"/>
    <w:pPr>
      <w:spacing w:after="120"/>
      <w:ind w:left="420" w:firstLine="0"/>
    </w:pPr>
    <w:rPr>
      <w:sz w:val="16"/>
      <w:szCs w:val="16"/>
    </w:rPr>
  </w:style>
  <w:style w:type="paragraph" w:styleId="26">
    <w:name w:val="toc 2"/>
    <w:basedOn w:val="1"/>
    <w:next w:val="1"/>
    <w:unhideWhenUsed/>
    <w:qFormat/>
    <w:uiPriority w:val="39"/>
    <w:pPr>
      <w:ind w:left="420" w:firstLine="0"/>
    </w:pPr>
  </w:style>
  <w:style w:type="paragraph" w:styleId="27">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unhideWhenUsed/>
    <w:qFormat/>
    <w:uiPriority w:val="0"/>
    <w:pPr>
      <w:spacing w:after="120" w:line="480" w:lineRule="auto"/>
    </w:pPr>
  </w:style>
  <w:style w:type="paragraph" w:styleId="29">
    <w:name w:val="Normal (Web)"/>
    <w:basedOn w:val="1"/>
    <w:unhideWhenUsed/>
    <w:qFormat/>
    <w:uiPriority w:val="99"/>
    <w:pPr>
      <w:spacing w:before="100" w:beforeAutospacing="1" w:line="240" w:lineRule="auto"/>
      <w:ind w:left="0" w:right="0" w:firstLine="0"/>
      <w:jc w:val="left"/>
    </w:pPr>
    <w:rPr>
      <w:rFonts w:ascii="Arial Unicode MS" w:hAnsi="Arial Unicode MS" w:eastAsia="Arial Unicode MS" w:cs="Arial Unicode MS"/>
      <w:sz w:val="24"/>
      <w:szCs w:val="24"/>
    </w:rPr>
  </w:style>
  <w:style w:type="paragraph" w:styleId="30">
    <w:name w:val="annotation subject"/>
    <w:basedOn w:val="12"/>
    <w:next w:val="12"/>
    <w:semiHidden/>
    <w:unhideWhenUsed/>
    <w:qFormat/>
    <w:uiPriority w:val="0"/>
    <w:rPr>
      <w:b/>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FollowedHyperlink"/>
    <w:basedOn w:val="33"/>
    <w:semiHidden/>
    <w:unhideWhenUsed/>
    <w:qFormat/>
    <w:uiPriority w:val="99"/>
    <w:rPr>
      <w:color w:val="666666"/>
      <w:u w:val="none"/>
    </w:rPr>
  </w:style>
  <w:style w:type="character" w:styleId="37">
    <w:name w:val="HTML Definition"/>
    <w:basedOn w:val="33"/>
    <w:semiHidden/>
    <w:unhideWhenUsed/>
    <w:qFormat/>
    <w:uiPriority w:val="99"/>
    <w:rPr>
      <w:i/>
      <w:iCs/>
    </w:rPr>
  </w:style>
  <w:style w:type="character" w:styleId="38">
    <w:name w:val="Hyperlink"/>
    <w:basedOn w:val="33"/>
    <w:unhideWhenUsed/>
    <w:qFormat/>
    <w:uiPriority w:val="99"/>
    <w:rPr>
      <w:color w:val="0000FF"/>
      <w:u w:val="single"/>
    </w:rPr>
  </w:style>
  <w:style w:type="character" w:styleId="39">
    <w:name w:val="HTML Code"/>
    <w:basedOn w:val="33"/>
    <w:semiHidden/>
    <w:unhideWhenUsed/>
    <w:qFormat/>
    <w:uiPriority w:val="99"/>
    <w:rPr>
      <w:rFonts w:ascii="Consolas" w:hAnsi="Consolas" w:eastAsia="Consolas" w:cs="Consolas"/>
      <w:color w:val="C7254E"/>
      <w:sz w:val="21"/>
      <w:szCs w:val="21"/>
      <w:shd w:val="clear" w:color="auto" w:fill="F9F2F4"/>
    </w:rPr>
  </w:style>
  <w:style w:type="character" w:styleId="40">
    <w:name w:val="annotation reference"/>
    <w:basedOn w:val="33"/>
    <w:semiHidden/>
    <w:unhideWhenUsed/>
    <w:qFormat/>
    <w:uiPriority w:val="0"/>
    <w:rPr>
      <w:sz w:val="21"/>
      <w:szCs w:val="21"/>
    </w:rPr>
  </w:style>
  <w:style w:type="character" w:styleId="41">
    <w:name w:val="footnote reference"/>
    <w:basedOn w:val="33"/>
    <w:semiHidden/>
    <w:unhideWhenUsed/>
    <w:qFormat/>
    <w:uiPriority w:val="0"/>
    <w:rPr>
      <w:vertAlign w:val="superscript"/>
    </w:rPr>
  </w:style>
  <w:style w:type="character" w:styleId="42">
    <w:name w:val="HTML Keyboard"/>
    <w:basedOn w:val="33"/>
    <w:semiHidden/>
    <w:unhideWhenUsed/>
    <w:qFormat/>
    <w:uiPriority w:val="99"/>
    <w:rPr>
      <w:rFonts w:hint="default" w:ascii="Consolas" w:hAnsi="Consolas" w:eastAsia="Consolas" w:cs="Consolas"/>
      <w:color w:val="FFFFFF"/>
      <w:sz w:val="21"/>
      <w:szCs w:val="21"/>
      <w:shd w:val="clear" w:color="auto" w:fill="333333"/>
    </w:rPr>
  </w:style>
  <w:style w:type="character" w:styleId="43">
    <w:name w:val="HTML Sample"/>
    <w:basedOn w:val="33"/>
    <w:semiHidden/>
    <w:unhideWhenUsed/>
    <w:qFormat/>
    <w:uiPriority w:val="99"/>
    <w:rPr>
      <w:rFonts w:hint="default" w:ascii="Consolas" w:hAnsi="Consolas" w:eastAsia="Consolas" w:cs="Consolas"/>
      <w:sz w:val="21"/>
      <w:szCs w:val="21"/>
    </w:rPr>
  </w:style>
  <w:style w:type="paragraph" w:styleId="44">
    <w:name w:val="List Paragraph"/>
    <w:basedOn w:val="1"/>
    <w:qFormat/>
    <w:uiPriority w:val="34"/>
    <w:pPr>
      <w:ind w:firstLine="200"/>
    </w:pPr>
    <w:rPr>
      <w:rFonts w:ascii="Calibri" w:hAnsi="Calibri"/>
    </w:rPr>
  </w:style>
  <w:style w:type="character" w:customStyle="1" w:styleId="45">
    <w:name w:val="正文文本 2 Char"/>
    <w:basedOn w:val="33"/>
    <w:qFormat/>
    <w:uiPriority w:val="0"/>
    <w:rPr>
      <w:rFonts w:ascii="Times New Roman" w:hAnsi="Times New Roman" w:eastAsia="宋体" w:cs="Times New Roman"/>
    </w:rPr>
  </w:style>
  <w:style w:type="character" w:customStyle="1" w:styleId="46">
    <w:name w:val="16"/>
    <w:basedOn w:val="33"/>
    <w:qFormat/>
    <w:uiPriority w:val="0"/>
    <w:rPr>
      <w:rFonts w:hint="default" w:ascii="Times New Roman" w:hAnsi="Times New Roman" w:cs="Times New Roman"/>
      <w:color w:val="0000FF"/>
      <w:u w:val="single"/>
    </w:rPr>
  </w:style>
  <w:style w:type="character" w:customStyle="1" w:styleId="47">
    <w:name w:val="15"/>
    <w:basedOn w:val="33"/>
    <w:qFormat/>
    <w:uiPriority w:val="0"/>
    <w:rPr>
      <w:rFonts w:hint="default" w:ascii="Times New Roman" w:hAnsi="Times New Roman" w:cs="Times New Roman"/>
      <w:color w:val="0000FF"/>
      <w:u w:val="single"/>
    </w:rPr>
  </w:style>
  <w:style w:type="character" w:customStyle="1" w:styleId="48">
    <w:name w:val="标题 3 Char"/>
    <w:qFormat/>
    <w:uiPriority w:val="0"/>
    <w:rPr>
      <w:b/>
      <w:sz w:val="24"/>
      <w:szCs w:val="24"/>
    </w:rPr>
  </w:style>
  <w:style w:type="character" w:customStyle="1" w:styleId="49">
    <w:name w:val="标题 2 Char"/>
    <w:qFormat/>
    <w:uiPriority w:val="0"/>
    <w:rPr>
      <w:rFonts w:ascii="Arial" w:hAnsi="Arial" w:eastAsia="黑体"/>
      <w:b/>
      <w:sz w:val="32"/>
      <w:szCs w:val="32"/>
    </w:rPr>
  </w:style>
  <w:style w:type="character" w:customStyle="1" w:styleId="50">
    <w:name w:val="批注框文本 Char"/>
    <w:basedOn w:val="33"/>
    <w:semiHidden/>
    <w:qFormat/>
    <w:uiPriority w:val="0"/>
    <w:rPr>
      <w:sz w:val="18"/>
      <w:szCs w:val="18"/>
    </w:rPr>
  </w:style>
  <w:style w:type="character" w:customStyle="1" w:styleId="51">
    <w:name w:val="批注文字 Char"/>
    <w:basedOn w:val="33"/>
    <w:semiHidden/>
    <w:qFormat/>
    <w:uiPriority w:val="0"/>
    <w:rPr>
      <w:sz w:val="21"/>
      <w:szCs w:val="21"/>
    </w:rPr>
  </w:style>
  <w:style w:type="character" w:customStyle="1" w:styleId="52">
    <w:name w:val="批注主题 Char"/>
    <w:basedOn w:val="51"/>
    <w:semiHidden/>
    <w:qFormat/>
    <w:uiPriority w:val="0"/>
    <w:rPr>
      <w:b/>
      <w:sz w:val="21"/>
      <w:szCs w:val="21"/>
    </w:rPr>
  </w:style>
  <w:style w:type="character" w:customStyle="1" w:styleId="53">
    <w:name w:val="文档结构图 Char"/>
    <w:basedOn w:val="33"/>
    <w:semiHidden/>
    <w:qFormat/>
    <w:uiPriority w:val="0"/>
    <w:rPr>
      <w:rFonts w:ascii="宋体"/>
      <w:sz w:val="18"/>
      <w:szCs w:val="18"/>
    </w:rPr>
  </w:style>
  <w:style w:type="character" w:customStyle="1" w:styleId="54">
    <w:name w:val="页脚 Char"/>
    <w:qFormat/>
    <w:uiPriority w:val="99"/>
    <w:rPr>
      <w:sz w:val="18"/>
      <w:szCs w:val="18"/>
    </w:rPr>
  </w:style>
  <w:style w:type="character" w:customStyle="1" w:styleId="55">
    <w:name w:val="脚注文本 Char"/>
    <w:basedOn w:val="33"/>
    <w:semiHidden/>
    <w:qFormat/>
    <w:uiPriority w:val="0"/>
    <w:rPr>
      <w:sz w:val="18"/>
      <w:szCs w:val="18"/>
    </w:rPr>
  </w:style>
  <w:style w:type="paragraph" w:customStyle="1" w:styleId="56">
    <w:name w:val="TOC 标题1"/>
    <w:basedOn w:val="4"/>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7">
    <w:name w:val="纯文本 字符"/>
    <w:link w:val="15"/>
    <w:qFormat/>
    <w:locked/>
    <w:uiPriority w:val="99"/>
    <w:rPr>
      <w:rFonts w:ascii="宋体" w:hAnsi="Courier New" w:cs="宋体"/>
    </w:rPr>
  </w:style>
  <w:style w:type="paragraph" w:customStyle="1" w:styleId="58">
    <w:name w:val="修订1"/>
    <w:hidden/>
    <w:semiHidden/>
    <w:qFormat/>
    <w:uiPriority w:val="99"/>
    <w:rPr>
      <w:rFonts w:ascii="Times New Roman" w:hAnsi="Times New Roman" w:eastAsia="宋体" w:cs="Times New Roman"/>
      <w:sz w:val="21"/>
      <w:szCs w:val="21"/>
      <w:lang w:val="en-US" w:eastAsia="zh-CN" w:bidi="ar-SA"/>
    </w:rPr>
  </w:style>
  <w:style w:type="character" w:customStyle="1" w:styleId="59">
    <w:name w:val="正文文本 字符"/>
    <w:basedOn w:val="33"/>
    <w:link w:val="6"/>
    <w:qFormat/>
    <w:uiPriority w:val="99"/>
    <w:rPr>
      <w:sz w:val="21"/>
      <w:szCs w:val="21"/>
    </w:rPr>
  </w:style>
  <w:style w:type="paragraph" w:customStyle="1" w:styleId="6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61">
    <w:name w:val="日期 字符"/>
    <w:basedOn w:val="33"/>
    <w:link w:val="17"/>
    <w:semiHidden/>
    <w:qFormat/>
    <w:uiPriority w:val="99"/>
    <w:rPr>
      <w:sz w:val="21"/>
      <w:szCs w:val="21"/>
    </w:rPr>
  </w:style>
  <w:style w:type="paragraph" w:customStyle="1" w:styleId="62">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63">
    <w:name w:val="disabled1"/>
    <w:basedOn w:val="33"/>
    <w:qFormat/>
    <w:uiPriority w:val="0"/>
  </w:style>
  <w:style w:type="character" w:customStyle="1" w:styleId="64">
    <w:name w:val="layui-layer-tabnow"/>
    <w:basedOn w:val="33"/>
    <w:qFormat/>
    <w:uiPriority w:val="0"/>
    <w:rPr>
      <w:bdr w:val="single" w:color="CCCCCC" w:sz="4" w:space="0"/>
      <w:shd w:val="clear" w:color="auto" w:fill="FFFFFF"/>
    </w:rPr>
  </w:style>
  <w:style w:type="character" w:customStyle="1" w:styleId="65">
    <w:name w:val="first-child"/>
    <w:basedOn w:val="33"/>
    <w:qFormat/>
    <w:uiPriority w:val="0"/>
  </w:style>
  <w:style w:type="character" w:customStyle="1" w:styleId="66">
    <w:name w:val="正文文本缩进 字符"/>
    <w:basedOn w:val="33"/>
    <w:link w:val="3"/>
    <w:qFormat/>
    <w:uiPriority w:val="99"/>
    <w:rPr>
      <w:sz w:val="24"/>
      <w:szCs w:val="21"/>
    </w:rPr>
  </w:style>
  <w:style w:type="character" w:customStyle="1" w:styleId="67">
    <w:name w:val="正文文本首行缩进 2 字符"/>
    <w:basedOn w:val="66"/>
    <w:link w:val="2"/>
    <w:qFormat/>
    <w:uiPriority w:val="99"/>
    <w:rPr>
      <w:rFonts w:ascii="Calibri" w:hAnsi="Calibri" w:eastAsia="Times New Roman"/>
      <w:sz w:val="24"/>
      <w:szCs w:val="21"/>
    </w:rPr>
  </w:style>
  <w:style w:type="character" w:customStyle="1" w:styleId="68">
    <w:name w:val="页眉 字符"/>
    <w:basedOn w:val="33"/>
    <w:link w:val="20"/>
    <w:qFormat/>
    <w:uiPriority w:val="99"/>
    <w:rPr>
      <w:sz w:val="18"/>
      <w:szCs w:val="18"/>
    </w:rPr>
  </w:style>
  <w:style w:type="paragraph" w:customStyle="1" w:styleId="69">
    <w:name w:val="样式 行距: 1.5 倍行距 首行缩进:  2 字符"/>
    <w:basedOn w:val="1"/>
    <w:qFormat/>
    <w:uiPriority w:val="0"/>
    <w:pPr>
      <w:snapToGrid w:val="0"/>
      <w:spacing w:line="460" w:lineRule="exact"/>
    </w:pPr>
    <w:rPr>
      <w:sz w:val="24"/>
      <w:szCs w:val="24"/>
    </w:rPr>
  </w:style>
  <w:style w:type="paragraph" w:customStyle="1" w:styleId="70">
    <w:name w:val="Default"/>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customStyle="1" w:styleId="71">
    <w:name w:val="列出段落3"/>
    <w:basedOn w:val="1"/>
    <w:qFormat/>
    <w:uiPriority w:val="99"/>
    <w:pPr>
      <w:widowControl w:val="0"/>
      <w:adjustRightInd w:val="0"/>
      <w:spacing w:before="0" w:after="0" w:afterAutospacing="0" w:line="312" w:lineRule="atLeast"/>
      <w:ind w:left="0" w:right="0" w:firstLine="420" w:firstLineChars="200"/>
      <w:textAlignment w:val="baseline"/>
    </w:pPr>
    <w:rPr>
      <w:szCs w:val="20"/>
    </w:rPr>
  </w:style>
  <w:style w:type="paragraph" w:customStyle="1" w:styleId="72">
    <w:name w:val="正文_3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Revision"/>
    <w:hidden/>
    <w:semiHidden/>
    <w:qFormat/>
    <w:uiPriority w:val="99"/>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205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7FC0-CBF2-4294-8332-34214648AF0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62</Pages>
  <Words>5290</Words>
  <Characters>30159</Characters>
  <Lines>251</Lines>
  <Paragraphs>70</Paragraphs>
  <TotalTime>2</TotalTime>
  <ScaleCrop>false</ScaleCrop>
  <LinksUpToDate>false</LinksUpToDate>
  <CharactersWithSpaces>35379</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2020-06-14T10:47:00Z</dcterms:created>
  <dc:creator>NTKO</dc:creator>
  <cp:lastModifiedBy>罗娴舒,luoxianshu</cp:lastModifiedBy>
  <cp:lastPrinted>2022-09-13T09:35:00Z</cp:lastPrinted>
  <dcterms:modified xsi:type="dcterms:W3CDTF">2022-11-01T01:41:00Z</dcterms:modified>
  <cp:revision>623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23BBAB2DCA494FB7B63C2D65276E958B</vt:lpwstr>
  </property>
</Properties>
</file>