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2" w:rightChars="-1"/>
        <w:jc w:val="center"/>
        <w:rPr>
          <w:rFonts w:hint="eastAsia" w:ascii="宋体" w:hAnsi="宋体" w:eastAsia="宋体"/>
          <w:b/>
          <w:bCs/>
          <w:sz w:val="44"/>
          <w:szCs w:val="44"/>
          <w:lang w:val="en-US" w:eastAsia="zh-CN"/>
        </w:rPr>
      </w:pPr>
      <w:r>
        <w:rPr>
          <w:rFonts w:hint="eastAsia" w:ascii="宋体" w:hAnsi="宋体"/>
          <w:b/>
          <w:bCs/>
          <w:sz w:val="44"/>
          <w:szCs w:val="44"/>
          <w:lang w:val="en-US" w:eastAsia="zh-CN"/>
        </w:rPr>
        <w:t xml:space="preserve"> </w:t>
      </w:r>
    </w:p>
    <w:p>
      <w:pPr>
        <w:spacing w:line="500" w:lineRule="exact"/>
        <w:ind w:right="-2" w:rightChars="-1"/>
        <w:jc w:val="center"/>
        <w:rPr>
          <w:rFonts w:ascii="宋体" w:hAnsi="宋体"/>
          <w:b/>
          <w:bCs/>
          <w:sz w:val="44"/>
          <w:szCs w:val="44"/>
        </w:rPr>
      </w:pPr>
    </w:p>
    <w:p>
      <w:pPr>
        <w:jc w:val="center"/>
        <w:outlineLvl w:val="0"/>
      </w:pPr>
      <w:bookmarkStart w:id="0" w:name="_Toc22222"/>
      <w:bookmarkStart w:id="1" w:name="_Toc20564"/>
      <w:r>
        <w:rPr>
          <w:rFonts w:hint="eastAsia" w:ascii="Cambria" w:hAnsi="Cambria"/>
          <w:b/>
          <w:bCs/>
          <w:sz w:val="52"/>
          <w:szCs w:val="52"/>
          <w:lang w:val="zh-CN"/>
        </w:rPr>
        <w:t>轨道</w:t>
      </w:r>
      <w:r>
        <w:rPr>
          <w:rFonts w:hint="eastAsia" w:ascii="Cambria" w:hAnsi="Cambria"/>
          <w:b/>
          <w:bCs/>
          <w:sz w:val="52"/>
          <w:szCs w:val="52"/>
          <w:lang w:val="en-US" w:eastAsia="zh-CN"/>
        </w:rPr>
        <w:t>西悦</w:t>
      </w:r>
      <w:r>
        <w:rPr>
          <w:rFonts w:hint="eastAsia" w:ascii="Cambria" w:hAnsi="Cambria"/>
          <w:b/>
          <w:bCs/>
          <w:sz w:val="52"/>
          <w:szCs w:val="52"/>
          <w:lang w:val="zh-CN"/>
        </w:rPr>
        <w:t>项目基建变</w:t>
      </w:r>
      <w:r>
        <w:rPr>
          <w:rFonts w:hint="eastAsia" w:ascii="Cambria" w:hAnsi="Cambria"/>
          <w:b/>
          <w:bCs/>
          <w:sz w:val="52"/>
          <w:szCs w:val="52"/>
        </w:rPr>
        <w:t>工程</w:t>
      </w:r>
      <w:bookmarkEnd w:id="0"/>
      <w:bookmarkEnd w:id="1"/>
    </w:p>
    <w:p/>
    <w:p/>
    <w:p/>
    <w:p/>
    <w:p/>
    <w:p/>
    <w:p/>
    <w:p/>
    <w:p>
      <w:pPr>
        <w:pStyle w:val="13"/>
        <w:rPr>
          <w:rFonts w:ascii="宋体"/>
          <w:sz w:val="52"/>
          <w:szCs w:val="52"/>
        </w:rPr>
      </w:pPr>
      <w:bookmarkStart w:id="2" w:name="_Toc516067337"/>
      <w:bookmarkStart w:id="3" w:name="_Toc3460"/>
      <w:bookmarkStart w:id="4" w:name="_Toc32000"/>
      <w:r>
        <w:rPr>
          <w:rFonts w:hint="eastAsia" w:ascii="宋体"/>
          <w:sz w:val="52"/>
          <w:szCs w:val="52"/>
        </w:rPr>
        <w:t>采 购 文 件</w:t>
      </w:r>
      <w:bookmarkEnd w:id="2"/>
      <w:bookmarkEnd w:id="3"/>
      <w:bookmarkEnd w:id="4"/>
    </w:p>
    <w:p>
      <w:pPr>
        <w:jc w:val="center"/>
        <w:rPr>
          <w:b/>
          <w:sz w:val="36"/>
          <w:szCs w:val="36"/>
        </w:rPr>
      </w:pPr>
    </w:p>
    <w:p>
      <w:pPr>
        <w:spacing w:line="360" w:lineRule="auto"/>
        <w:jc w:val="center"/>
        <w:rPr>
          <w:rFonts w:ascii="宋体" w:hAnsi="宋体"/>
          <w:color w:val="000000"/>
          <w:sz w:val="24"/>
          <w:szCs w:val="24"/>
        </w:rPr>
      </w:pPr>
    </w:p>
    <w:p>
      <w:pPr>
        <w:spacing w:line="360" w:lineRule="auto"/>
        <w:jc w:val="center"/>
        <w:rPr>
          <w:b/>
          <w:color w:val="000000"/>
          <w:sz w:val="24"/>
          <w:szCs w:val="24"/>
        </w:rPr>
      </w:pPr>
    </w:p>
    <w:p>
      <w:pPr>
        <w:tabs>
          <w:tab w:val="left" w:pos="7920"/>
        </w:tabs>
        <w:spacing w:line="360" w:lineRule="auto"/>
        <w:ind w:right="-2" w:rightChars="-1"/>
        <w:rPr>
          <w:b/>
          <w:color w:val="000000"/>
          <w:sz w:val="32"/>
          <w:szCs w:val="32"/>
        </w:rPr>
      </w:pPr>
    </w:p>
    <w:p>
      <w:pPr>
        <w:tabs>
          <w:tab w:val="left" w:pos="7920"/>
        </w:tabs>
        <w:spacing w:line="360" w:lineRule="auto"/>
        <w:ind w:right="-2" w:rightChars="-1"/>
        <w:rPr>
          <w:b/>
          <w:color w:val="000000"/>
          <w:sz w:val="32"/>
          <w:szCs w:val="32"/>
        </w:rPr>
      </w:pPr>
    </w:p>
    <w:p>
      <w:pPr>
        <w:tabs>
          <w:tab w:val="left" w:pos="7920"/>
        </w:tabs>
        <w:spacing w:line="360" w:lineRule="auto"/>
        <w:ind w:right="-2" w:rightChars="-1"/>
        <w:rPr>
          <w:b/>
          <w:color w:val="000000"/>
          <w:sz w:val="32"/>
          <w:szCs w:val="32"/>
        </w:rPr>
      </w:pPr>
    </w:p>
    <w:p>
      <w:pPr>
        <w:tabs>
          <w:tab w:val="left" w:pos="7920"/>
        </w:tabs>
        <w:spacing w:line="360" w:lineRule="auto"/>
        <w:ind w:right="-2" w:rightChars="-1"/>
        <w:rPr>
          <w:b/>
          <w:color w:val="000000"/>
          <w:sz w:val="32"/>
          <w:szCs w:val="32"/>
        </w:rPr>
      </w:pPr>
    </w:p>
    <w:p>
      <w:pPr>
        <w:tabs>
          <w:tab w:val="left" w:pos="7920"/>
        </w:tabs>
        <w:spacing w:line="360" w:lineRule="auto"/>
        <w:ind w:right="-2" w:rightChars="-1"/>
        <w:rPr>
          <w:b/>
          <w:color w:val="000000"/>
          <w:sz w:val="32"/>
          <w:szCs w:val="32"/>
        </w:rPr>
      </w:pPr>
    </w:p>
    <w:p>
      <w:pPr>
        <w:tabs>
          <w:tab w:val="left" w:pos="7920"/>
        </w:tabs>
        <w:spacing w:line="360" w:lineRule="auto"/>
        <w:ind w:right="-2" w:rightChars="-1"/>
        <w:rPr>
          <w:b/>
          <w:color w:val="000000"/>
          <w:sz w:val="32"/>
          <w:szCs w:val="32"/>
        </w:rPr>
      </w:pPr>
    </w:p>
    <w:p>
      <w:pPr>
        <w:tabs>
          <w:tab w:val="left" w:pos="7920"/>
        </w:tabs>
        <w:spacing w:line="360" w:lineRule="auto"/>
        <w:ind w:right="-2" w:rightChars="-1"/>
        <w:rPr>
          <w:b/>
          <w:color w:val="000000"/>
          <w:sz w:val="32"/>
          <w:szCs w:val="32"/>
        </w:rPr>
      </w:pPr>
    </w:p>
    <w:p>
      <w:pPr>
        <w:spacing w:line="460" w:lineRule="atLeast"/>
        <w:jc w:val="center"/>
        <w:rPr>
          <w:rFonts w:hint="eastAsia" w:eastAsia="宋体"/>
          <w:sz w:val="32"/>
          <w:szCs w:val="30"/>
          <w:lang w:eastAsia="zh-CN"/>
        </w:rPr>
      </w:pPr>
      <w:r>
        <w:rPr>
          <w:rFonts w:hint="eastAsia"/>
          <w:sz w:val="32"/>
          <w:szCs w:val="30"/>
        </w:rPr>
        <w:t>采购单位（盖章）：</w:t>
      </w:r>
      <w:r>
        <w:rPr>
          <w:rFonts w:hint="eastAsia" w:hAnsi="宋体" w:cs="宋体"/>
          <w:color w:val="000000"/>
          <w:spacing w:val="-10"/>
          <w:sz w:val="32"/>
          <w:szCs w:val="32"/>
          <w:lang w:eastAsia="zh-CN"/>
        </w:rPr>
        <w:t>南宁轨道锦绣中尧房地产有限公司</w:t>
      </w:r>
    </w:p>
    <w:p>
      <w:pPr>
        <w:spacing w:line="460" w:lineRule="atLeast"/>
        <w:jc w:val="center"/>
        <w:rPr>
          <w:rFonts w:hint="eastAsia" w:eastAsia="宋体"/>
          <w:sz w:val="32"/>
          <w:szCs w:val="30"/>
          <w:lang w:val="en-US" w:eastAsia="zh-CN"/>
        </w:rPr>
      </w:pPr>
      <w:r>
        <w:rPr>
          <w:rFonts w:hint="eastAsia"/>
          <w:sz w:val="32"/>
          <w:szCs w:val="30"/>
        </w:rPr>
        <w:t>日期：202</w:t>
      </w:r>
      <w:r>
        <w:rPr>
          <w:rFonts w:hint="eastAsia"/>
          <w:sz w:val="32"/>
          <w:szCs w:val="30"/>
          <w:lang w:val="en-US" w:eastAsia="zh-CN"/>
        </w:rPr>
        <w:t>2</w:t>
      </w:r>
      <w:r>
        <w:rPr>
          <w:rFonts w:hint="eastAsia"/>
          <w:sz w:val="32"/>
          <w:szCs w:val="30"/>
        </w:rPr>
        <w:t>年</w:t>
      </w:r>
      <w:r>
        <w:rPr>
          <w:rFonts w:hint="eastAsia"/>
          <w:sz w:val="32"/>
          <w:szCs w:val="30"/>
          <w:lang w:val="en-US" w:eastAsia="zh-CN"/>
        </w:rPr>
        <w:t>10</w:t>
      </w:r>
      <w:r>
        <w:rPr>
          <w:rFonts w:hint="eastAsia"/>
          <w:sz w:val="32"/>
          <w:szCs w:val="30"/>
        </w:rPr>
        <w:t>月</w:t>
      </w:r>
    </w:p>
    <w:p>
      <w:pPr>
        <w:jc w:val="center"/>
        <w:rPr>
          <w:rFonts w:hint="eastAsia"/>
        </w:rPr>
      </w:pPr>
      <w:r>
        <w:rPr>
          <w:rFonts w:ascii="宋体" w:hAnsi="宋体"/>
          <w:b/>
          <w:sz w:val="32"/>
          <w:szCs w:val="32"/>
        </w:rPr>
        <w:br w:type="page"/>
      </w:r>
    </w:p>
    <w:sdt>
      <w:sdtPr>
        <w:rPr>
          <w:rFonts w:ascii="宋体" w:hAnsi="宋体" w:eastAsia="宋体" w:cs="Times New Roman"/>
          <w:kern w:val="0"/>
          <w:sz w:val="24"/>
          <w:szCs w:val="24"/>
          <w:lang w:val="en-US" w:eastAsia="zh-CN" w:bidi="ar-SA"/>
        </w:rPr>
        <w:id w:val="147456209"/>
        <w15:color w:val="DBDBDB"/>
        <w:docPartObj>
          <w:docPartGallery w:val="Table of Contents"/>
          <w:docPartUnique/>
        </w:docPartObj>
      </w:sdtPr>
      <w:sdtEndPr>
        <w:rPr>
          <w:rFonts w:ascii="宋体" w:hAnsi="宋体" w:eastAsia="宋体" w:cs="Times New Roman"/>
          <w:kern w:val="0"/>
          <w:sz w:val="24"/>
          <w:szCs w:val="24"/>
          <w:lang w:val="en-US" w:eastAsia="zh-CN" w:bidi="ar-SA"/>
        </w:rPr>
      </w:sdtEndPr>
      <w:sdtContent>
        <w:p>
          <w:pPr>
            <w:spacing w:before="0" w:beforeLines="0" w:after="0" w:afterLines="0" w:line="240" w:lineRule="auto"/>
            <w:ind w:left="0" w:leftChars="0" w:right="0" w:rightChars="0" w:firstLine="0" w:firstLineChars="0"/>
            <w:jc w:val="center"/>
            <w:rPr>
              <w:sz w:val="24"/>
              <w:szCs w:val="24"/>
            </w:rPr>
          </w:pPr>
          <w:r>
            <w:rPr>
              <w:rFonts w:ascii="宋体" w:hAnsi="宋体" w:eastAsia="宋体"/>
              <w:sz w:val="24"/>
              <w:szCs w:val="24"/>
            </w:rPr>
            <w:t>目录</w:t>
          </w:r>
        </w:p>
        <w:p>
          <w:pPr>
            <w:pStyle w:val="10"/>
            <w:tabs>
              <w:tab w:val="right" w:leader="dot" w:pos="9212"/>
            </w:tabs>
          </w:pPr>
          <w:r>
            <w:rPr>
              <w:sz w:val="24"/>
              <w:szCs w:val="24"/>
            </w:rPr>
            <w:fldChar w:fldCharType="begin"/>
          </w:r>
          <w:r>
            <w:rPr>
              <w:sz w:val="24"/>
              <w:szCs w:val="24"/>
            </w:rPr>
            <w:instrText xml:space="preserve">TOC \o "1-1" \h \u </w:instrText>
          </w:r>
          <w:r>
            <w:rPr>
              <w:sz w:val="24"/>
              <w:szCs w:val="24"/>
            </w:rPr>
            <w:fldChar w:fldCharType="separate"/>
          </w:r>
          <w:r>
            <w:rPr>
              <w:szCs w:val="24"/>
            </w:rPr>
            <w:fldChar w:fldCharType="begin"/>
          </w:r>
          <w:r>
            <w:rPr>
              <w:szCs w:val="24"/>
            </w:rPr>
            <w:instrText xml:space="preserve"> HYPERLINK \l _Toc22222 </w:instrText>
          </w:r>
          <w:r>
            <w:rPr>
              <w:szCs w:val="24"/>
            </w:rPr>
            <w:fldChar w:fldCharType="separate"/>
          </w:r>
          <w:r>
            <w:rPr>
              <w:rFonts w:hint="eastAsia" w:ascii="Cambria" w:hAnsi="Cambria"/>
              <w:bCs/>
              <w:szCs w:val="52"/>
              <w:lang w:val="zh-CN"/>
            </w:rPr>
            <w:t>轨道西悦项目基建变工程</w:t>
          </w:r>
          <w:r>
            <w:tab/>
          </w:r>
          <w:r>
            <w:fldChar w:fldCharType="begin"/>
          </w:r>
          <w:r>
            <w:instrText xml:space="preserve"> PAGEREF _Toc22222 \h </w:instrText>
          </w:r>
          <w:r>
            <w:fldChar w:fldCharType="separate"/>
          </w:r>
          <w:r>
            <w:t>1</w:t>
          </w:r>
          <w:r>
            <w:fldChar w:fldCharType="end"/>
          </w:r>
          <w:r>
            <w:rPr>
              <w:szCs w:val="24"/>
            </w:rPr>
            <w:fldChar w:fldCharType="end"/>
          </w:r>
        </w:p>
        <w:p>
          <w:pPr>
            <w:pStyle w:val="10"/>
            <w:tabs>
              <w:tab w:val="right" w:leader="dot" w:pos="9212"/>
            </w:tabs>
          </w:pPr>
          <w:r>
            <w:rPr>
              <w:szCs w:val="24"/>
            </w:rPr>
            <w:fldChar w:fldCharType="begin"/>
          </w:r>
          <w:r>
            <w:rPr>
              <w:szCs w:val="24"/>
            </w:rPr>
            <w:instrText xml:space="preserve"> HYPERLINK \l _Toc32000 </w:instrText>
          </w:r>
          <w:r>
            <w:rPr>
              <w:szCs w:val="24"/>
            </w:rPr>
            <w:fldChar w:fldCharType="separate"/>
          </w:r>
          <w:r>
            <w:rPr>
              <w:rFonts w:hint="eastAsia" w:ascii="宋体"/>
              <w:szCs w:val="52"/>
            </w:rPr>
            <w:t>采 购 文 件</w:t>
          </w:r>
          <w:r>
            <w:tab/>
          </w:r>
          <w:r>
            <w:fldChar w:fldCharType="begin"/>
          </w:r>
          <w:r>
            <w:instrText xml:space="preserve"> PAGEREF _Toc32000 \h </w:instrText>
          </w:r>
          <w:r>
            <w:fldChar w:fldCharType="separate"/>
          </w:r>
          <w:r>
            <w:t>1</w:t>
          </w:r>
          <w:r>
            <w:fldChar w:fldCharType="end"/>
          </w:r>
          <w:r>
            <w:rPr>
              <w:szCs w:val="24"/>
            </w:rPr>
            <w:fldChar w:fldCharType="end"/>
          </w:r>
        </w:p>
        <w:p>
          <w:pPr>
            <w:pStyle w:val="10"/>
            <w:tabs>
              <w:tab w:val="right" w:leader="dot" w:pos="9212"/>
            </w:tabs>
          </w:pPr>
          <w:r>
            <w:rPr>
              <w:szCs w:val="24"/>
            </w:rPr>
            <w:fldChar w:fldCharType="begin"/>
          </w:r>
          <w:r>
            <w:rPr>
              <w:szCs w:val="24"/>
            </w:rPr>
            <w:instrText xml:space="preserve"> HYPERLINK \l _Toc4585 </w:instrText>
          </w:r>
          <w:r>
            <w:rPr>
              <w:szCs w:val="24"/>
            </w:rPr>
            <w:fldChar w:fldCharType="separate"/>
          </w:r>
          <w:r>
            <w:rPr>
              <w:rFonts w:hint="eastAsia" w:ascii="宋体" w:hAnsi="宋体" w:eastAsia="宋体"/>
              <w:szCs w:val="28"/>
            </w:rPr>
            <w:t>第一章 比选公告</w:t>
          </w:r>
          <w:r>
            <w:tab/>
          </w:r>
          <w:r>
            <w:fldChar w:fldCharType="begin"/>
          </w:r>
          <w:r>
            <w:instrText xml:space="preserve"> PAGEREF _Toc4585 \h </w:instrText>
          </w:r>
          <w:r>
            <w:fldChar w:fldCharType="separate"/>
          </w:r>
          <w:r>
            <w:t>3</w:t>
          </w:r>
          <w:r>
            <w:fldChar w:fldCharType="end"/>
          </w:r>
          <w:r>
            <w:rPr>
              <w:szCs w:val="24"/>
            </w:rPr>
            <w:fldChar w:fldCharType="end"/>
          </w:r>
        </w:p>
        <w:p>
          <w:pPr>
            <w:pStyle w:val="10"/>
            <w:tabs>
              <w:tab w:val="right" w:leader="dot" w:pos="9212"/>
            </w:tabs>
          </w:pPr>
          <w:r>
            <w:rPr>
              <w:szCs w:val="24"/>
            </w:rPr>
            <w:fldChar w:fldCharType="begin"/>
          </w:r>
          <w:r>
            <w:rPr>
              <w:szCs w:val="24"/>
            </w:rPr>
            <w:instrText xml:space="preserve"> HYPERLINK \l _Toc28253 </w:instrText>
          </w:r>
          <w:r>
            <w:rPr>
              <w:szCs w:val="24"/>
            </w:rPr>
            <w:fldChar w:fldCharType="separate"/>
          </w:r>
          <w:r>
            <w:rPr>
              <w:rFonts w:hint="eastAsia"/>
              <w:szCs w:val="28"/>
            </w:rPr>
            <w:t>第二章 响应人</w:t>
          </w:r>
          <w:r>
            <w:rPr>
              <w:szCs w:val="28"/>
            </w:rPr>
            <w:t>须知</w:t>
          </w:r>
          <w:r>
            <w:tab/>
          </w:r>
          <w:r>
            <w:fldChar w:fldCharType="begin"/>
          </w:r>
          <w:r>
            <w:instrText xml:space="preserve"> PAGEREF _Toc28253 \h </w:instrText>
          </w:r>
          <w:r>
            <w:fldChar w:fldCharType="separate"/>
          </w:r>
          <w:r>
            <w:t>5</w:t>
          </w:r>
          <w:r>
            <w:fldChar w:fldCharType="end"/>
          </w:r>
          <w:r>
            <w:rPr>
              <w:szCs w:val="24"/>
            </w:rPr>
            <w:fldChar w:fldCharType="end"/>
          </w:r>
        </w:p>
        <w:p>
          <w:pPr>
            <w:pStyle w:val="10"/>
            <w:tabs>
              <w:tab w:val="right" w:leader="dot" w:pos="9212"/>
            </w:tabs>
          </w:pPr>
          <w:r>
            <w:rPr>
              <w:szCs w:val="24"/>
            </w:rPr>
            <w:fldChar w:fldCharType="begin"/>
          </w:r>
          <w:r>
            <w:rPr>
              <w:szCs w:val="24"/>
            </w:rPr>
            <w:instrText xml:space="preserve"> HYPERLINK \l _Toc12903 </w:instrText>
          </w:r>
          <w:r>
            <w:rPr>
              <w:szCs w:val="24"/>
            </w:rPr>
            <w:fldChar w:fldCharType="separate"/>
          </w:r>
          <w:r>
            <w:rPr>
              <w:szCs w:val="28"/>
            </w:rPr>
            <w:t>第</w:t>
          </w:r>
          <w:r>
            <w:rPr>
              <w:rFonts w:hint="eastAsia"/>
              <w:szCs w:val="28"/>
              <w:lang w:val="en-US" w:eastAsia="zh-CN"/>
            </w:rPr>
            <w:t>三</w:t>
          </w:r>
          <w:r>
            <w:rPr>
              <w:szCs w:val="28"/>
            </w:rPr>
            <w:t>章</w:t>
          </w:r>
          <w:r>
            <w:rPr>
              <w:rFonts w:hint="eastAsia"/>
              <w:szCs w:val="28"/>
            </w:rPr>
            <w:t xml:space="preserve">  </w:t>
          </w:r>
          <w:r>
            <w:rPr>
              <w:szCs w:val="28"/>
            </w:rPr>
            <w:t>合同格式</w:t>
          </w:r>
          <w:r>
            <w:tab/>
          </w:r>
          <w:r>
            <w:fldChar w:fldCharType="begin"/>
          </w:r>
          <w:r>
            <w:instrText xml:space="preserve"> PAGEREF _Toc12903 \h </w:instrText>
          </w:r>
          <w:r>
            <w:fldChar w:fldCharType="separate"/>
          </w:r>
          <w:r>
            <w:t>16</w:t>
          </w:r>
          <w:r>
            <w:fldChar w:fldCharType="end"/>
          </w:r>
          <w:r>
            <w:rPr>
              <w:szCs w:val="24"/>
            </w:rPr>
            <w:fldChar w:fldCharType="end"/>
          </w:r>
        </w:p>
        <w:p>
          <w:pPr>
            <w:pStyle w:val="10"/>
            <w:tabs>
              <w:tab w:val="right" w:leader="dot" w:pos="9212"/>
            </w:tabs>
          </w:pPr>
          <w:r>
            <w:rPr>
              <w:szCs w:val="24"/>
            </w:rPr>
            <w:fldChar w:fldCharType="begin"/>
          </w:r>
          <w:r>
            <w:rPr>
              <w:szCs w:val="24"/>
            </w:rPr>
            <w:instrText xml:space="preserve"> HYPERLINK \l _Toc6472 </w:instrText>
          </w:r>
          <w:r>
            <w:rPr>
              <w:szCs w:val="24"/>
            </w:rPr>
            <w:fldChar w:fldCharType="separate"/>
          </w:r>
          <w:r>
            <w:rPr>
              <w:rFonts w:hint="eastAsia" w:ascii="宋体" w:hAnsi="宋体"/>
              <w:szCs w:val="28"/>
            </w:rPr>
            <w:t>第</w:t>
          </w:r>
          <w:r>
            <w:rPr>
              <w:rFonts w:hint="eastAsia" w:ascii="宋体" w:hAnsi="宋体"/>
              <w:szCs w:val="28"/>
              <w:lang w:val="en-US" w:eastAsia="zh-CN"/>
            </w:rPr>
            <w:t>四</w:t>
          </w:r>
          <w:r>
            <w:rPr>
              <w:rFonts w:hint="eastAsia" w:ascii="宋体" w:hAnsi="宋体"/>
              <w:szCs w:val="28"/>
            </w:rPr>
            <w:t>章  图纸及</w:t>
          </w:r>
          <w:r>
            <w:rPr>
              <w:rFonts w:ascii="宋体" w:hAnsi="宋体"/>
              <w:szCs w:val="28"/>
            </w:rPr>
            <w:t>工程量清单</w:t>
          </w:r>
          <w:r>
            <w:tab/>
          </w:r>
          <w:r>
            <w:fldChar w:fldCharType="begin"/>
          </w:r>
          <w:r>
            <w:instrText xml:space="preserve"> PAGEREF _Toc6472 \h </w:instrText>
          </w:r>
          <w:r>
            <w:fldChar w:fldCharType="separate"/>
          </w:r>
          <w:r>
            <w:t>36</w:t>
          </w:r>
          <w:r>
            <w:fldChar w:fldCharType="end"/>
          </w:r>
          <w:r>
            <w:rPr>
              <w:szCs w:val="24"/>
            </w:rPr>
            <w:fldChar w:fldCharType="end"/>
          </w:r>
        </w:p>
        <w:p>
          <w:pPr>
            <w:pStyle w:val="10"/>
            <w:tabs>
              <w:tab w:val="right" w:leader="dot" w:pos="9212"/>
            </w:tabs>
          </w:pPr>
          <w:r>
            <w:rPr>
              <w:szCs w:val="24"/>
            </w:rPr>
            <w:fldChar w:fldCharType="begin"/>
          </w:r>
          <w:r>
            <w:rPr>
              <w:szCs w:val="24"/>
            </w:rPr>
            <w:instrText xml:space="preserve"> HYPERLINK \l _Toc19995 </w:instrText>
          </w:r>
          <w:r>
            <w:rPr>
              <w:szCs w:val="24"/>
            </w:rPr>
            <w:fldChar w:fldCharType="separate"/>
          </w:r>
          <w:r>
            <w:rPr>
              <w:szCs w:val="28"/>
            </w:rPr>
            <w:t>第</w:t>
          </w:r>
          <w:r>
            <w:rPr>
              <w:rFonts w:hint="eastAsia"/>
              <w:szCs w:val="28"/>
              <w:lang w:val="en-US" w:eastAsia="zh-CN"/>
            </w:rPr>
            <w:t>五</w:t>
          </w:r>
          <w:r>
            <w:rPr>
              <w:szCs w:val="28"/>
            </w:rPr>
            <w:t>章</w:t>
          </w:r>
          <w:r>
            <w:rPr>
              <w:rFonts w:hint="eastAsia"/>
              <w:szCs w:val="28"/>
            </w:rPr>
            <w:t xml:space="preserve">  </w:t>
          </w:r>
          <w:r>
            <w:rPr>
              <w:szCs w:val="28"/>
            </w:rPr>
            <w:t>技术规范</w:t>
          </w:r>
          <w:r>
            <w:tab/>
          </w:r>
          <w:r>
            <w:fldChar w:fldCharType="begin"/>
          </w:r>
          <w:r>
            <w:instrText xml:space="preserve"> PAGEREF _Toc19995 \h </w:instrText>
          </w:r>
          <w:r>
            <w:fldChar w:fldCharType="separate"/>
          </w:r>
          <w:r>
            <w:t>36</w:t>
          </w:r>
          <w:r>
            <w:fldChar w:fldCharType="end"/>
          </w:r>
          <w:r>
            <w:rPr>
              <w:szCs w:val="24"/>
            </w:rPr>
            <w:fldChar w:fldCharType="end"/>
          </w:r>
        </w:p>
        <w:p>
          <w:pPr>
            <w:pStyle w:val="10"/>
            <w:tabs>
              <w:tab w:val="right" w:leader="dot" w:pos="9212"/>
            </w:tabs>
          </w:pPr>
          <w:r>
            <w:rPr>
              <w:szCs w:val="24"/>
            </w:rPr>
            <w:fldChar w:fldCharType="begin"/>
          </w:r>
          <w:r>
            <w:rPr>
              <w:szCs w:val="24"/>
            </w:rPr>
            <w:instrText xml:space="preserve"> HYPERLINK \l _Toc13180 </w:instrText>
          </w:r>
          <w:r>
            <w:rPr>
              <w:szCs w:val="24"/>
            </w:rPr>
            <w:fldChar w:fldCharType="separate"/>
          </w:r>
          <w:r>
            <w:rPr>
              <w:szCs w:val="28"/>
              <w:highlight w:val="none"/>
            </w:rPr>
            <w:t>第</w:t>
          </w:r>
          <w:r>
            <w:rPr>
              <w:rFonts w:hint="eastAsia"/>
              <w:szCs w:val="28"/>
              <w:highlight w:val="none"/>
              <w:lang w:val="en-US" w:eastAsia="zh-CN"/>
            </w:rPr>
            <w:t>六</w:t>
          </w:r>
          <w:r>
            <w:rPr>
              <w:szCs w:val="28"/>
              <w:highlight w:val="none"/>
            </w:rPr>
            <w:t>章</w:t>
          </w:r>
          <w:r>
            <w:rPr>
              <w:rFonts w:hint="eastAsia"/>
              <w:szCs w:val="28"/>
              <w:highlight w:val="none"/>
            </w:rPr>
            <w:t xml:space="preserve">  </w:t>
          </w:r>
          <w:r>
            <w:rPr>
              <w:szCs w:val="28"/>
              <w:highlight w:val="none"/>
            </w:rPr>
            <w:t>工程量清单报价说明</w:t>
          </w:r>
          <w:r>
            <w:tab/>
          </w:r>
          <w:r>
            <w:fldChar w:fldCharType="begin"/>
          </w:r>
          <w:r>
            <w:instrText xml:space="preserve"> PAGEREF _Toc13180 \h </w:instrText>
          </w:r>
          <w:r>
            <w:fldChar w:fldCharType="separate"/>
          </w:r>
          <w:r>
            <w:t>37</w:t>
          </w:r>
          <w:r>
            <w:fldChar w:fldCharType="end"/>
          </w:r>
          <w:r>
            <w:rPr>
              <w:szCs w:val="24"/>
            </w:rPr>
            <w:fldChar w:fldCharType="end"/>
          </w:r>
        </w:p>
        <w:p>
          <w:pPr>
            <w:pStyle w:val="10"/>
            <w:tabs>
              <w:tab w:val="right" w:leader="dot" w:pos="9212"/>
            </w:tabs>
          </w:pPr>
          <w:r>
            <w:rPr>
              <w:szCs w:val="24"/>
            </w:rPr>
            <w:fldChar w:fldCharType="begin"/>
          </w:r>
          <w:r>
            <w:rPr>
              <w:szCs w:val="24"/>
            </w:rPr>
            <w:instrText xml:space="preserve"> HYPERLINK \l _Toc14312 </w:instrText>
          </w:r>
          <w:r>
            <w:rPr>
              <w:szCs w:val="24"/>
            </w:rPr>
            <w:fldChar w:fldCharType="separate"/>
          </w:r>
          <w:r>
            <w:rPr>
              <w:rFonts w:hint="eastAsia" w:ascii="宋体" w:hAnsi="宋体" w:eastAsia="宋体" w:cs="宋体"/>
              <w:kern w:val="0"/>
              <w:szCs w:val="30"/>
              <w:lang w:val="en-US" w:eastAsia="zh-CN" w:bidi="ar-SA"/>
            </w:rPr>
            <w:t>第七章  响应文件格式</w:t>
          </w:r>
          <w:r>
            <w:tab/>
          </w:r>
          <w:r>
            <w:fldChar w:fldCharType="begin"/>
          </w:r>
          <w:r>
            <w:instrText xml:space="preserve"> PAGEREF _Toc14312 \h </w:instrText>
          </w:r>
          <w:r>
            <w:fldChar w:fldCharType="separate"/>
          </w:r>
          <w:r>
            <w:t>37</w:t>
          </w:r>
          <w:r>
            <w:fldChar w:fldCharType="end"/>
          </w:r>
          <w:r>
            <w:rPr>
              <w:szCs w:val="24"/>
            </w:rPr>
            <w:fldChar w:fldCharType="end"/>
          </w:r>
        </w:p>
        <w:p>
          <w:pPr>
            <w:pStyle w:val="10"/>
            <w:tabs>
              <w:tab w:val="right" w:leader="dot" w:pos="9212"/>
            </w:tabs>
          </w:pPr>
          <w:r>
            <w:rPr>
              <w:szCs w:val="24"/>
            </w:rPr>
            <w:fldChar w:fldCharType="begin"/>
          </w:r>
          <w:r>
            <w:rPr>
              <w:szCs w:val="24"/>
            </w:rPr>
            <w:instrText xml:space="preserve"> HYPERLINK \l _Toc7901 </w:instrText>
          </w:r>
          <w:r>
            <w:rPr>
              <w:szCs w:val="24"/>
            </w:rPr>
            <w:fldChar w:fldCharType="separate"/>
          </w:r>
          <w:r>
            <w:rPr>
              <w:rFonts w:hint="eastAsia" w:ascii="宋体" w:hAnsi="宋体" w:eastAsia="宋体" w:cs="宋体"/>
              <w:kern w:val="0"/>
              <w:szCs w:val="30"/>
              <w:lang w:val="en-US" w:eastAsia="zh-CN" w:bidi="ar-SA"/>
            </w:rPr>
            <w:t>第八章 比选评审细则</w:t>
          </w:r>
          <w:r>
            <w:tab/>
          </w:r>
          <w:r>
            <w:fldChar w:fldCharType="begin"/>
          </w:r>
          <w:r>
            <w:instrText xml:space="preserve"> PAGEREF _Toc7901 \h </w:instrText>
          </w:r>
          <w:r>
            <w:fldChar w:fldCharType="separate"/>
          </w:r>
          <w:r>
            <w:t>49</w:t>
          </w:r>
          <w:r>
            <w:fldChar w:fldCharType="end"/>
          </w:r>
          <w:r>
            <w:rPr>
              <w:szCs w:val="24"/>
            </w:rPr>
            <w:fldChar w:fldCharType="end"/>
          </w:r>
        </w:p>
        <w:p>
          <w:pPr>
            <w:pStyle w:val="10"/>
            <w:tabs>
              <w:tab w:val="right" w:leader="dot" w:pos="9212"/>
            </w:tabs>
          </w:pPr>
          <w:r>
            <w:rPr>
              <w:szCs w:val="24"/>
            </w:rPr>
            <w:fldChar w:fldCharType="begin"/>
          </w:r>
          <w:r>
            <w:rPr>
              <w:szCs w:val="24"/>
            </w:rPr>
            <w:instrText xml:space="preserve"> HYPERLINK \l _Toc32004 </w:instrText>
          </w:r>
          <w:r>
            <w:rPr>
              <w:szCs w:val="24"/>
            </w:rPr>
            <w:fldChar w:fldCharType="separate"/>
          </w:r>
          <w:r>
            <w:rPr>
              <w:rFonts w:hint="eastAsia" w:ascii="宋体" w:hAnsi="宋体" w:cs="宋体"/>
              <w:kern w:val="0"/>
              <w:szCs w:val="30"/>
              <w:lang w:val="en-US" w:eastAsia="zh-CN" w:bidi="ar-SA"/>
            </w:rPr>
            <w:t xml:space="preserve">第九章 </w:t>
          </w:r>
          <w:r>
            <w:rPr>
              <w:rFonts w:hint="eastAsia" w:ascii="宋体" w:hAnsi="宋体" w:eastAsia="宋体" w:cs="宋体"/>
              <w:kern w:val="0"/>
              <w:szCs w:val="30"/>
              <w:lang w:val="en-US" w:eastAsia="zh-CN" w:bidi="ar-SA"/>
            </w:rPr>
            <w:t>采购技术要求</w:t>
          </w:r>
          <w:r>
            <w:tab/>
          </w:r>
          <w:r>
            <w:fldChar w:fldCharType="begin"/>
          </w:r>
          <w:r>
            <w:instrText xml:space="preserve"> PAGEREF _Toc32004 \h </w:instrText>
          </w:r>
          <w:r>
            <w:fldChar w:fldCharType="separate"/>
          </w:r>
          <w:r>
            <w:t>52</w:t>
          </w:r>
          <w:r>
            <w:fldChar w:fldCharType="end"/>
          </w:r>
          <w:r>
            <w:rPr>
              <w:szCs w:val="24"/>
            </w:rPr>
            <w:fldChar w:fldCharType="end"/>
          </w:r>
        </w:p>
        <w:p>
          <w:r>
            <w:rPr>
              <w:szCs w:val="24"/>
            </w:rPr>
            <w:fldChar w:fldCharType="end"/>
          </w:r>
        </w:p>
      </w:sdtContent>
    </w:sdt>
    <w:p>
      <w:pPr>
        <w:rPr>
          <w:rStyle w:val="18"/>
          <w:rFonts w:hint="eastAsia" w:ascii="宋体" w:hAnsi="宋体" w:eastAsia="宋体"/>
          <w:sz w:val="28"/>
          <w:szCs w:val="28"/>
        </w:rPr>
      </w:pPr>
      <w:r>
        <w:rPr>
          <w:rStyle w:val="18"/>
          <w:rFonts w:hint="eastAsia" w:ascii="宋体" w:hAnsi="宋体" w:eastAsia="宋体"/>
          <w:sz w:val="28"/>
          <w:szCs w:val="28"/>
        </w:rPr>
        <w:br w:type="page"/>
      </w:r>
    </w:p>
    <w:p>
      <w:pPr>
        <w:numPr>
          <w:ilvl w:val="0"/>
          <w:numId w:val="1"/>
        </w:numPr>
        <w:spacing w:line="360" w:lineRule="auto"/>
        <w:jc w:val="center"/>
        <w:outlineLvl w:val="0"/>
        <w:rPr>
          <w:rStyle w:val="18"/>
          <w:rFonts w:hint="eastAsia" w:ascii="宋体" w:hAnsi="宋体" w:eastAsia="宋体"/>
          <w:sz w:val="28"/>
          <w:szCs w:val="28"/>
        </w:rPr>
      </w:pPr>
      <w:bookmarkStart w:id="5" w:name="_Toc4585"/>
      <w:r>
        <w:rPr>
          <w:rStyle w:val="18"/>
          <w:rFonts w:hint="eastAsia" w:ascii="宋体" w:hAnsi="宋体" w:eastAsia="宋体"/>
          <w:sz w:val="28"/>
          <w:szCs w:val="28"/>
        </w:rPr>
        <w:t>比选公告</w:t>
      </w:r>
      <w:bookmarkEnd w:id="5"/>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b/>
          <w:sz w:val="21"/>
          <w:szCs w:val="21"/>
        </w:rPr>
      </w:pPr>
      <w:r>
        <w:rPr>
          <w:rFonts w:hint="eastAsia" w:ascii="宋体" w:hAnsi="宋体" w:cs="Arial"/>
          <w:b/>
          <w:sz w:val="21"/>
          <w:szCs w:val="21"/>
        </w:rPr>
        <w:t>一、工程</w:t>
      </w:r>
      <w:r>
        <w:rPr>
          <w:rFonts w:ascii="宋体" w:hAnsi="宋体" w:cs="Arial"/>
          <w:b/>
          <w:sz w:val="21"/>
          <w:szCs w:val="21"/>
        </w:rPr>
        <w:t>概况</w:t>
      </w:r>
    </w:p>
    <w:p>
      <w:pPr>
        <w:pStyle w:val="19"/>
        <w:keepNext w:val="0"/>
        <w:keepLines w:val="0"/>
        <w:pageBreakBefore w:val="0"/>
        <w:widowControl w:val="0"/>
        <w:kinsoku/>
        <w:wordWrap/>
        <w:overflowPunct/>
        <w:topLinePunct w:val="0"/>
        <w:autoSpaceDE/>
        <w:autoSpaceDN/>
        <w:bidi w:val="0"/>
        <w:adjustRightInd/>
        <w:snapToGrid/>
        <w:spacing w:line="480" w:lineRule="auto"/>
        <w:ind w:firstLine="420" w:firstLineChars="0"/>
        <w:textAlignment w:val="auto"/>
        <w:rPr>
          <w:rFonts w:hint="eastAsia" w:ascii="宋体" w:hAnsi="宋体"/>
          <w:sz w:val="21"/>
          <w:szCs w:val="21"/>
        </w:rPr>
      </w:pPr>
      <w:r>
        <w:rPr>
          <w:rFonts w:hint="eastAsia" w:ascii="宋体" w:hAnsi="宋体" w:cs="Arial"/>
          <w:sz w:val="21"/>
          <w:szCs w:val="21"/>
        </w:rPr>
        <w:t>我</w:t>
      </w:r>
      <w:r>
        <w:rPr>
          <w:rFonts w:ascii="宋体" w:hAnsi="宋体" w:cs="Arial"/>
          <w:sz w:val="21"/>
          <w:szCs w:val="21"/>
        </w:rPr>
        <w:t>公司</w:t>
      </w:r>
      <w:r>
        <w:rPr>
          <w:rFonts w:hint="eastAsia" w:ascii="宋体" w:hAnsi="宋体" w:cs="Arial"/>
          <w:sz w:val="21"/>
          <w:szCs w:val="21"/>
        </w:rPr>
        <w:t>现拟对</w:t>
      </w:r>
      <w:r>
        <w:rPr>
          <w:rFonts w:hint="eastAsia" w:ascii="宋体" w:hAnsi="宋体" w:cs="Arial"/>
          <w:color w:val="0000FF"/>
          <w:sz w:val="21"/>
          <w:szCs w:val="21"/>
          <w:lang w:eastAsia="zh-CN"/>
        </w:rPr>
        <w:t>轨道西悦项目基建变工程</w:t>
      </w:r>
      <w:r>
        <w:rPr>
          <w:rFonts w:hint="eastAsia" w:ascii="宋体" w:hAnsi="宋体" w:cs="Arial"/>
          <w:sz w:val="21"/>
          <w:szCs w:val="21"/>
        </w:rPr>
        <w:t>进行</w:t>
      </w:r>
      <w:r>
        <w:rPr>
          <w:rFonts w:hint="eastAsia" w:ascii="宋体" w:hAnsi="宋体" w:cs="Arial"/>
          <w:sz w:val="21"/>
          <w:szCs w:val="21"/>
          <w:lang w:val="en-US" w:eastAsia="zh-CN"/>
        </w:rPr>
        <w:t>采购</w:t>
      </w:r>
      <w:r>
        <w:rPr>
          <w:rFonts w:hint="eastAsia" w:ascii="宋体" w:hAnsi="宋体" w:cs="Arial"/>
          <w:sz w:val="21"/>
          <w:szCs w:val="21"/>
        </w:rPr>
        <w:t>，项目情况如下：</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textAlignment w:val="auto"/>
        <w:rPr>
          <w:rFonts w:hint="eastAsia" w:ascii="宋体" w:hAnsi="宋体" w:cs="Arial"/>
          <w:sz w:val="21"/>
          <w:szCs w:val="21"/>
          <w:lang w:val="en-US" w:eastAsia="zh-CN"/>
        </w:rPr>
      </w:pPr>
      <w:r>
        <w:rPr>
          <w:rFonts w:hint="eastAsia" w:ascii="宋体" w:hAnsi="宋体" w:cs="Arial"/>
          <w:b/>
          <w:sz w:val="21"/>
          <w:szCs w:val="21"/>
          <w:lang w:val="en-US" w:eastAsia="zh-CN"/>
        </w:rPr>
        <w:t>采购范围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firstLine="367" w:firstLineChars="175"/>
        <w:textAlignment w:val="auto"/>
        <w:rPr>
          <w:rFonts w:hint="eastAsia" w:ascii="宋体" w:hAnsi="宋体" w:cs="Arial"/>
          <w:sz w:val="21"/>
          <w:szCs w:val="21"/>
          <w:lang w:val="en-US" w:eastAsia="zh-CN"/>
        </w:rPr>
      </w:pPr>
      <w:r>
        <w:rPr>
          <w:rFonts w:hint="eastAsia" w:ascii="宋体" w:hAnsi="宋体" w:cs="Arial"/>
          <w:sz w:val="21"/>
          <w:szCs w:val="21"/>
          <w:lang w:val="en-US" w:eastAsia="zh-CN"/>
        </w:rPr>
        <w:t>基建变工程：（1）工程施工范围包含设施基础、设备吊运、翻新及管道安装、电缆敷设、电杆架设、系统调试以及按施工图中的内容及做法进行施工的所有内容。</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textAlignment w:val="auto"/>
        <w:rPr>
          <w:rFonts w:hint="eastAsia" w:ascii="宋体" w:hAnsi="宋体" w:cs="Arial"/>
          <w:sz w:val="21"/>
          <w:szCs w:val="21"/>
          <w:lang w:val="en-US" w:eastAsia="zh-CN"/>
        </w:rPr>
      </w:pPr>
      <w:r>
        <w:rPr>
          <w:rFonts w:hint="eastAsia" w:ascii="宋体" w:hAnsi="宋体" w:cs="Arial"/>
          <w:sz w:val="21"/>
          <w:szCs w:val="21"/>
          <w:lang w:val="en-US" w:eastAsia="zh-CN"/>
        </w:rPr>
        <w:t>具体以采购人提供的图纸、工程量清单、答疑纪要及最后发出的澄清或修改为准</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textAlignment w:val="auto"/>
        <w:rPr>
          <w:rFonts w:hint="eastAsia" w:ascii="宋体" w:hAnsi="宋体" w:eastAsia="宋体" w:cs="Arial"/>
          <w:b/>
          <w:sz w:val="21"/>
          <w:szCs w:val="21"/>
          <w:lang w:val="en-US" w:eastAsia="zh-CN"/>
        </w:rPr>
      </w:pPr>
      <w:r>
        <w:rPr>
          <w:rFonts w:hint="eastAsia" w:ascii="宋体" w:hAnsi="宋体" w:eastAsia="宋体" w:cs="Arial"/>
          <w:b/>
          <w:sz w:val="21"/>
          <w:szCs w:val="21"/>
          <w:lang w:val="en-US" w:eastAsia="zh-CN"/>
        </w:rPr>
        <w:t>工期要求</w:t>
      </w:r>
    </w:p>
    <w:p>
      <w:pPr>
        <w:keepNext w:val="0"/>
        <w:keepLines w:val="0"/>
        <w:pageBreakBefore w:val="0"/>
        <w:widowControl w:val="0"/>
        <w:kinsoku/>
        <w:wordWrap/>
        <w:overflowPunct/>
        <w:topLinePunct w:val="0"/>
        <w:autoSpaceDE/>
        <w:autoSpaceDN/>
        <w:bidi w:val="0"/>
        <w:snapToGrid/>
        <w:spacing w:line="480" w:lineRule="auto"/>
        <w:ind w:firstLine="420" w:firstLineChars="200"/>
        <w:textAlignment w:val="baseline"/>
        <w:rPr>
          <w:rFonts w:hint="eastAsia" w:ascii="宋体" w:hAnsi="宋体" w:eastAsia="宋体"/>
          <w:lang w:eastAsia="zh-CN"/>
        </w:rPr>
      </w:pPr>
      <w:r>
        <w:rPr>
          <w:rFonts w:hint="eastAsia" w:ascii="宋体" w:hAnsi="宋体"/>
        </w:rPr>
        <w:t>总工期</w:t>
      </w:r>
      <w:r>
        <w:rPr>
          <w:rFonts w:ascii="宋体" w:hAnsi="宋体"/>
        </w:rPr>
        <w:t>60</w:t>
      </w:r>
      <w:r>
        <w:rPr>
          <w:rFonts w:hint="eastAsia" w:ascii="宋体" w:hAnsi="宋体"/>
        </w:rPr>
        <w:t>天，</w:t>
      </w:r>
      <w:r>
        <w:rPr>
          <w:rFonts w:hint="eastAsia"/>
        </w:rPr>
        <w:t>具体为</w:t>
      </w:r>
      <w:r>
        <w:rPr>
          <w:b/>
          <w:u w:val="single"/>
        </w:rPr>
        <w:t>40</w:t>
      </w:r>
      <w:r>
        <w:rPr>
          <w:rFonts w:hint="eastAsia"/>
        </w:rPr>
        <w:t>天内完成竣工验收，从竣工合格之日起算，</w:t>
      </w:r>
      <w:r>
        <w:rPr>
          <w:rFonts w:hint="eastAsia"/>
          <w:b/>
          <w:u w:val="single"/>
        </w:rPr>
        <w:t>5</w:t>
      </w:r>
      <w:r>
        <w:rPr>
          <w:rFonts w:hint="eastAsia"/>
        </w:rPr>
        <w:t>天内通过供电部门验收，然后</w:t>
      </w:r>
      <w:r>
        <w:rPr>
          <w:rFonts w:hint="eastAsia"/>
          <w:b/>
          <w:u w:val="single"/>
        </w:rPr>
        <w:t xml:space="preserve"> </w:t>
      </w:r>
      <w:r>
        <w:rPr>
          <w:b/>
          <w:u w:val="single"/>
        </w:rPr>
        <w:t>15</w:t>
      </w:r>
      <w:r>
        <w:rPr>
          <w:rFonts w:hint="eastAsia"/>
          <w:b/>
          <w:u w:val="single"/>
        </w:rPr>
        <w:t xml:space="preserve"> </w:t>
      </w:r>
      <w:r>
        <w:rPr>
          <w:rFonts w:hint="eastAsia"/>
        </w:rPr>
        <w:t>天内完成接火通电</w:t>
      </w:r>
      <w:r>
        <w:rPr>
          <w:rFonts w:hint="eastAsia"/>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textAlignment w:val="auto"/>
        <w:rPr>
          <w:rFonts w:ascii="宋体" w:hAnsi="宋体" w:cs="Arial"/>
          <w:b/>
          <w:sz w:val="21"/>
          <w:szCs w:val="21"/>
        </w:rPr>
      </w:pPr>
      <w:r>
        <w:rPr>
          <w:rFonts w:hint="eastAsia" w:ascii="宋体" w:hAnsi="宋体" w:cs="Arial"/>
          <w:b/>
          <w:sz w:val="21"/>
          <w:szCs w:val="21"/>
          <w:lang w:val="en-US" w:eastAsia="zh-CN"/>
        </w:rPr>
        <w:t>采购</w:t>
      </w:r>
      <w:r>
        <w:rPr>
          <w:rFonts w:hint="eastAsia" w:ascii="宋体" w:hAnsi="宋体" w:cs="Arial"/>
          <w:b/>
          <w:sz w:val="21"/>
          <w:szCs w:val="21"/>
        </w:rPr>
        <w:t>方式</w:t>
      </w:r>
    </w:p>
    <w:p>
      <w:pPr>
        <w:pStyle w:val="19"/>
        <w:keepNext w:val="0"/>
        <w:keepLines w:val="0"/>
        <w:pageBreakBefore w:val="0"/>
        <w:widowControl w:val="0"/>
        <w:kinsoku/>
        <w:wordWrap/>
        <w:overflowPunct/>
        <w:topLinePunct w:val="0"/>
        <w:autoSpaceDE/>
        <w:autoSpaceDN/>
        <w:bidi w:val="0"/>
        <w:adjustRightInd/>
        <w:snapToGrid/>
        <w:spacing w:line="480" w:lineRule="auto"/>
        <w:ind w:firstLineChars="0"/>
        <w:jc w:val="left"/>
        <w:textAlignment w:val="auto"/>
        <w:rPr>
          <w:rFonts w:ascii="宋体" w:hAnsi="宋体" w:cs="Arial"/>
          <w:sz w:val="21"/>
          <w:szCs w:val="21"/>
        </w:rPr>
      </w:pPr>
      <w:r>
        <w:rPr>
          <w:rFonts w:ascii="宋体" w:hAnsi="宋体" w:cs="Arial"/>
          <w:sz w:val="21"/>
          <w:szCs w:val="21"/>
        </w:rPr>
        <w:t>本次</w:t>
      </w:r>
      <w:r>
        <w:rPr>
          <w:rFonts w:hint="eastAsia" w:ascii="宋体" w:hAnsi="宋体" w:cs="Arial"/>
          <w:sz w:val="21"/>
          <w:szCs w:val="21"/>
          <w:lang w:eastAsia="zh-CN"/>
        </w:rPr>
        <w:t>采购</w:t>
      </w:r>
      <w:r>
        <w:rPr>
          <w:rFonts w:ascii="宋体" w:hAnsi="宋体" w:cs="Arial"/>
          <w:sz w:val="21"/>
          <w:szCs w:val="21"/>
        </w:rPr>
        <w:t>采用</w:t>
      </w:r>
      <w:r>
        <w:rPr>
          <w:rFonts w:hint="eastAsia" w:ascii="宋体" w:hAnsi="宋体" w:cs="Arial"/>
          <w:sz w:val="21"/>
          <w:szCs w:val="21"/>
        </w:rPr>
        <w:t>公开</w:t>
      </w:r>
      <w:r>
        <w:rPr>
          <w:rFonts w:hint="eastAsia" w:ascii="宋体" w:hAnsi="宋体" w:cs="Arial"/>
          <w:sz w:val="21"/>
          <w:szCs w:val="21"/>
          <w:lang w:val="en-US" w:eastAsia="zh-CN"/>
        </w:rPr>
        <w:t>比选</w:t>
      </w:r>
      <w:r>
        <w:rPr>
          <w:rFonts w:ascii="宋体" w:hAnsi="宋体" w:cs="Arial"/>
          <w:sz w:val="21"/>
          <w:szCs w:val="21"/>
        </w:rPr>
        <w:t>方式</w:t>
      </w:r>
      <w:r>
        <w:rPr>
          <w:rFonts w:hint="eastAsia" w:ascii="宋体" w:hAnsi="宋体" w:cs="Arial"/>
          <w:sz w:val="21"/>
          <w:szCs w:val="21"/>
        </w:rPr>
        <w:t>。</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480" w:lineRule="auto"/>
        <w:ind w:left="0" w:leftChars="0" w:firstLine="0" w:firstLineChars="0"/>
        <w:textAlignment w:val="auto"/>
        <w:rPr>
          <w:rFonts w:ascii="宋体" w:hAnsi="宋体" w:cs="Arial"/>
          <w:b/>
          <w:sz w:val="21"/>
          <w:szCs w:val="21"/>
        </w:rPr>
      </w:pPr>
      <w:r>
        <w:rPr>
          <w:rFonts w:hint="eastAsia" w:ascii="宋体" w:hAnsi="宋体" w:cs="Arial"/>
          <w:b/>
          <w:sz w:val="21"/>
          <w:szCs w:val="21"/>
          <w:lang w:eastAsia="zh-CN"/>
        </w:rPr>
        <w:t>响应人</w:t>
      </w:r>
      <w:r>
        <w:rPr>
          <w:rFonts w:ascii="宋体" w:hAnsi="宋体" w:cs="Arial"/>
          <w:b/>
          <w:sz w:val="21"/>
          <w:szCs w:val="21"/>
        </w:rPr>
        <w:t>资格</w:t>
      </w:r>
    </w:p>
    <w:p>
      <w:pPr>
        <w:pStyle w:val="19"/>
        <w:keepNext w:val="0"/>
        <w:keepLines w:val="0"/>
        <w:pageBreakBefore w:val="0"/>
        <w:widowControl w:val="0"/>
        <w:kinsoku/>
        <w:wordWrap/>
        <w:overflowPunct/>
        <w:topLinePunct w:val="0"/>
        <w:autoSpaceDE/>
        <w:autoSpaceDN/>
        <w:bidi w:val="0"/>
        <w:adjustRightInd/>
        <w:snapToGrid/>
        <w:spacing w:line="480" w:lineRule="auto"/>
        <w:ind w:firstLineChars="0"/>
        <w:jc w:val="left"/>
        <w:textAlignment w:val="auto"/>
        <w:rPr>
          <w:rFonts w:hint="eastAsia" w:ascii="宋体" w:hAnsi="宋体" w:eastAsia="宋体" w:cs="Arial"/>
          <w:sz w:val="21"/>
          <w:szCs w:val="21"/>
          <w:lang w:val="en-US" w:eastAsia="zh-CN"/>
        </w:rPr>
      </w:pPr>
      <w:r>
        <w:rPr>
          <w:rFonts w:hint="eastAsia" w:ascii="宋体" w:hAnsi="宋体" w:cs="Arial"/>
          <w:sz w:val="21"/>
          <w:szCs w:val="21"/>
          <w:lang w:val="en-US" w:eastAsia="zh-CN"/>
        </w:rPr>
        <w:t>要求具备电力工程施工总承包资质三级与承装（修、试）电力设施资质五级及以上，省外企业须在广西电网备案，具有成熟的配电工程施工经验及实力。</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cs="Arial"/>
          <w:b/>
          <w:sz w:val="21"/>
          <w:szCs w:val="21"/>
        </w:rPr>
      </w:pPr>
      <w:r>
        <w:rPr>
          <w:rFonts w:hint="eastAsia" w:ascii="宋体" w:hAnsi="宋体" w:cs="Arial"/>
          <w:b/>
          <w:sz w:val="21"/>
          <w:szCs w:val="21"/>
          <w:lang w:val="en-US" w:eastAsia="zh-CN"/>
        </w:rPr>
        <w:t>六</w:t>
      </w:r>
      <w:r>
        <w:rPr>
          <w:rFonts w:hint="eastAsia" w:ascii="宋体" w:hAnsi="宋体" w:cs="Arial"/>
          <w:b/>
          <w:sz w:val="21"/>
          <w:szCs w:val="21"/>
        </w:rPr>
        <w:t>、</w:t>
      </w:r>
      <w:r>
        <w:rPr>
          <w:rFonts w:hint="eastAsia" w:ascii="宋体" w:hAnsi="宋体" w:cs="Arial"/>
          <w:b/>
          <w:sz w:val="21"/>
          <w:szCs w:val="21"/>
          <w:lang w:val="en-US" w:eastAsia="zh-CN"/>
        </w:rPr>
        <w:t>采购</w:t>
      </w:r>
      <w:r>
        <w:rPr>
          <w:rFonts w:hint="eastAsia" w:ascii="宋体" w:hAnsi="宋体" w:cs="Arial"/>
          <w:b/>
          <w:sz w:val="21"/>
          <w:szCs w:val="21"/>
        </w:rPr>
        <w:t>上限控制价</w:t>
      </w:r>
    </w:p>
    <w:p>
      <w:pPr>
        <w:pStyle w:val="19"/>
        <w:keepNext w:val="0"/>
        <w:keepLines w:val="0"/>
        <w:pageBreakBefore w:val="0"/>
        <w:widowControl w:val="0"/>
        <w:kinsoku/>
        <w:wordWrap/>
        <w:overflowPunct/>
        <w:topLinePunct w:val="0"/>
        <w:autoSpaceDE/>
        <w:autoSpaceDN/>
        <w:bidi w:val="0"/>
        <w:adjustRightInd/>
        <w:snapToGrid/>
        <w:spacing w:line="480" w:lineRule="auto"/>
        <w:ind w:firstLineChars="0"/>
        <w:jc w:val="left"/>
        <w:textAlignment w:val="auto"/>
        <w:rPr>
          <w:rFonts w:ascii="宋体" w:hAnsi="宋体" w:cs="Arial"/>
          <w:sz w:val="21"/>
          <w:szCs w:val="21"/>
        </w:rPr>
      </w:pPr>
      <w:r>
        <w:rPr>
          <w:rFonts w:hint="eastAsia" w:ascii="宋体" w:hAnsi="宋体" w:cs="Arial"/>
          <w:sz w:val="21"/>
          <w:szCs w:val="21"/>
        </w:rPr>
        <w:t>本项目上限控制价为人民币：</w:t>
      </w:r>
      <w:r>
        <w:rPr>
          <w:rFonts w:hint="eastAsia" w:ascii="宋体" w:hAnsi="宋体" w:cs="Arial"/>
          <w:sz w:val="21"/>
          <w:szCs w:val="21"/>
          <w:highlight w:val="none"/>
          <w:lang w:eastAsia="zh-CN"/>
        </w:rPr>
        <w:t>￥1006237.25</w:t>
      </w:r>
      <w:r>
        <w:rPr>
          <w:rFonts w:hint="eastAsia" w:ascii="宋体" w:hAnsi="宋体"/>
          <w:sz w:val="21"/>
          <w:szCs w:val="21"/>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cs="Arial"/>
          <w:b/>
          <w:sz w:val="21"/>
          <w:szCs w:val="21"/>
        </w:rPr>
      </w:pPr>
      <w:r>
        <w:rPr>
          <w:rFonts w:hint="eastAsia" w:ascii="宋体" w:hAnsi="宋体" w:cs="Arial"/>
          <w:b/>
          <w:sz w:val="21"/>
          <w:szCs w:val="21"/>
          <w:lang w:val="en-US" w:eastAsia="zh-CN"/>
        </w:rPr>
        <w:t>七</w:t>
      </w:r>
      <w:r>
        <w:rPr>
          <w:rFonts w:hint="eastAsia" w:ascii="宋体" w:hAnsi="宋体" w:cs="Arial"/>
          <w:b/>
          <w:sz w:val="21"/>
          <w:szCs w:val="21"/>
        </w:rPr>
        <w:t>、报价方式</w:t>
      </w:r>
    </w:p>
    <w:p>
      <w:pPr>
        <w:pStyle w:val="19"/>
        <w:keepNext w:val="0"/>
        <w:keepLines w:val="0"/>
        <w:pageBreakBefore w:val="0"/>
        <w:widowControl w:val="0"/>
        <w:kinsoku/>
        <w:wordWrap/>
        <w:overflowPunct/>
        <w:topLinePunct w:val="0"/>
        <w:autoSpaceDE/>
        <w:autoSpaceDN/>
        <w:bidi w:val="0"/>
        <w:adjustRightInd/>
        <w:snapToGrid/>
        <w:spacing w:line="480" w:lineRule="auto"/>
        <w:ind w:firstLineChars="0"/>
        <w:jc w:val="left"/>
        <w:textAlignment w:val="auto"/>
        <w:rPr>
          <w:rFonts w:hint="eastAsia" w:ascii="宋体" w:hAnsi="宋体" w:cs="Arial"/>
          <w:sz w:val="21"/>
          <w:szCs w:val="21"/>
        </w:rPr>
      </w:pPr>
      <w:r>
        <w:rPr>
          <w:rFonts w:hint="eastAsia" w:ascii="宋体" w:hAnsi="宋体" w:cs="Arial"/>
          <w:sz w:val="21"/>
          <w:szCs w:val="21"/>
        </w:rPr>
        <w:t>以</w:t>
      </w:r>
      <w:r>
        <w:rPr>
          <w:rFonts w:hint="eastAsia" w:ascii="宋体" w:hAnsi="宋体" w:cs="Arial"/>
          <w:sz w:val="21"/>
          <w:szCs w:val="21"/>
          <w:lang w:val="en-US" w:eastAsia="zh-CN"/>
        </w:rPr>
        <w:t>清单报价</w:t>
      </w:r>
      <w:r>
        <w:rPr>
          <w:rFonts w:hint="eastAsia" w:ascii="宋体" w:hAnsi="宋体" w:cs="Arial"/>
          <w:sz w:val="21"/>
          <w:szCs w:val="21"/>
        </w:rPr>
        <w:t>方式计取</w:t>
      </w:r>
      <w:r>
        <w:rPr>
          <w:rFonts w:hint="eastAsia" w:ascii="宋体" w:hAnsi="宋体" w:cs="Arial"/>
          <w:sz w:val="21"/>
          <w:szCs w:val="21"/>
          <w:lang w:eastAsia="zh-CN"/>
        </w:rPr>
        <w:t>（</w:t>
      </w:r>
      <w:r>
        <w:rPr>
          <w:rFonts w:hint="eastAsia" w:ascii="宋体" w:hAnsi="宋体" w:cs="Arial"/>
          <w:sz w:val="21"/>
          <w:szCs w:val="21"/>
          <w:lang w:val="en-US" w:eastAsia="zh-CN"/>
        </w:rPr>
        <w:t>清单另附</w:t>
      </w:r>
      <w:r>
        <w:rPr>
          <w:rFonts w:hint="eastAsia" w:ascii="宋体" w:hAnsi="宋体" w:cs="Arial"/>
          <w:sz w:val="21"/>
          <w:szCs w:val="21"/>
          <w:lang w:eastAsia="zh-CN"/>
        </w:rPr>
        <w:t>），本项目采用含税报价，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pStyle w:val="19"/>
        <w:keepNext w:val="0"/>
        <w:keepLines w:val="0"/>
        <w:pageBreakBefore w:val="0"/>
        <w:widowControl w:val="0"/>
        <w:numPr>
          <w:ilvl w:val="0"/>
          <w:numId w:val="4"/>
        </w:numPr>
        <w:kinsoku/>
        <w:wordWrap/>
        <w:overflowPunct/>
        <w:topLinePunct w:val="0"/>
        <w:autoSpaceDE/>
        <w:autoSpaceDN/>
        <w:bidi w:val="0"/>
        <w:adjustRightInd/>
        <w:snapToGrid/>
        <w:spacing w:line="480" w:lineRule="auto"/>
        <w:ind w:firstLine="0" w:firstLineChars="0"/>
        <w:textAlignment w:val="auto"/>
        <w:rPr>
          <w:rFonts w:hint="eastAsia" w:ascii="宋体" w:hAnsi="宋体" w:cs="Arial"/>
          <w:b/>
          <w:sz w:val="21"/>
          <w:szCs w:val="21"/>
          <w:lang w:val="en-US" w:eastAsia="zh-CN"/>
        </w:rPr>
      </w:pPr>
      <w:r>
        <w:rPr>
          <w:rFonts w:hint="eastAsia" w:ascii="宋体" w:hAnsi="宋体" w:cs="Arial"/>
          <w:b/>
          <w:sz w:val="21"/>
          <w:szCs w:val="21"/>
          <w:lang w:val="en-US" w:eastAsia="zh-CN"/>
        </w:rPr>
        <w:t>履约保证金</w:t>
      </w:r>
    </w:p>
    <w:p>
      <w:pPr>
        <w:keepNext w:val="0"/>
        <w:keepLines w:val="0"/>
        <w:pageBreakBefore w:val="0"/>
        <w:widowControl w:val="0"/>
        <w:kinsoku/>
        <w:wordWrap/>
        <w:overflowPunct/>
        <w:topLinePunct w:val="0"/>
        <w:autoSpaceDE/>
        <w:autoSpaceDN/>
        <w:bidi w:val="0"/>
        <w:adjustRightInd/>
        <w:snapToGrid/>
        <w:spacing w:line="480" w:lineRule="auto"/>
        <w:ind w:left="0" w:leftChars="0" w:firstLine="367" w:firstLineChars="175"/>
        <w:textAlignment w:val="auto"/>
        <w:rPr>
          <w:rFonts w:hint="default"/>
          <w:sz w:val="21"/>
          <w:szCs w:val="21"/>
          <w:highlight w:val="yellow"/>
          <w:u w:val="single"/>
          <w:lang w:val="en-US"/>
        </w:rPr>
      </w:pPr>
      <w:r>
        <w:rPr>
          <w:rFonts w:hint="eastAsia" w:ascii="宋体" w:hAnsi="宋体" w:cs="Arial" w:eastAsiaTheme="minorEastAsia"/>
          <w:kern w:val="2"/>
          <w:sz w:val="21"/>
          <w:szCs w:val="21"/>
          <w:lang w:val="en-US" w:eastAsia="zh-CN" w:bidi="ar-SA"/>
        </w:rPr>
        <w:t>履约保证</w:t>
      </w:r>
      <w:r>
        <w:rPr>
          <w:rFonts w:hint="eastAsia" w:ascii="宋体" w:hAnsi="宋体" w:eastAsiaTheme="minorEastAsia" w:cstheme="minorBidi"/>
          <w:kern w:val="2"/>
          <w:sz w:val="21"/>
          <w:szCs w:val="21"/>
          <w:highlight w:val="none"/>
          <w:lang w:val="en-US" w:eastAsia="zh-CN" w:bidi="ar-SA"/>
        </w:rPr>
        <w:t>金的金额：合同价款的</w:t>
      </w:r>
      <w:r>
        <w:rPr>
          <w:rFonts w:hint="eastAsia" w:ascii="宋体" w:hAnsi="宋体" w:cstheme="minorBidi"/>
          <w:kern w:val="2"/>
          <w:sz w:val="21"/>
          <w:szCs w:val="21"/>
          <w:highlight w:val="none"/>
          <w:lang w:val="en-US" w:eastAsia="zh-CN" w:bidi="ar-SA"/>
        </w:rPr>
        <w:t>5</w:t>
      </w:r>
      <w:r>
        <w:rPr>
          <w:rFonts w:hint="eastAsia" w:ascii="宋体" w:hAnsi="宋体" w:eastAsiaTheme="minorEastAsia" w:cstheme="minorBidi"/>
          <w:kern w:val="2"/>
          <w:sz w:val="21"/>
          <w:szCs w:val="21"/>
          <w:highlight w:val="none"/>
          <w:lang w:val="en-US" w:eastAsia="zh-CN" w:bidi="ar-SA"/>
        </w:rPr>
        <w:t xml:space="preserve">% </w:t>
      </w:r>
      <w:r>
        <w:rPr>
          <w:rFonts w:hint="eastAsia" w:ascii="宋体" w:hAnsi="宋体" w:cstheme="minorBidi"/>
          <w:kern w:val="2"/>
          <w:sz w:val="21"/>
          <w:szCs w:val="21"/>
          <w:highlight w:val="none"/>
          <w:lang w:val="en-US" w:eastAsia="zh-CN" w:bidi="ar-SA"/>
        </w:rPr>
        <w:t>，在收到最终成交通知书后，最终成交单位须在合同签订前向采购人提交履约保证金。缴纳形式可以银行保函、现金转账等形式。</w:t>
      </w:r>
    </w:p>
    <w:p>
      <w:pPr>
        <w:pStyle w:val="19"/>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ascii="宋体" w:hAnsi="宋体" w:cs="Arial"/>
          <w:b/>
          <w:sz w:val="21"/>
          <w:szCs w:val="21"/>
        </w:rPr>
      </w:pPr>
      <w:r>
        <w:rPr>
          <w:rFonts w:hint="eastAsia" w:ascii="宋体" w:hAnsi="宋体" w:cs="Arial"/>
          <w:b/>
          <w:sz w:val="21"/>
          <w:szCs w:val="21"/>
          <w:lang w:val="en-US" w:eastAsia="zh-CN"/>
        </w:rPr>
        <w:t>九</w:t>
      </w:r>
      <w:r>
        <w:rPr>
          <w:rFonts w:hint="eastAsia" w:ascii="宋体" w:hAnsi="宋体" w:cs="Arial"/>
          <w:b/>
          <w:sz w:val="21"/>
          <w:szCs w:val="21"/>
        </w:rPr>
        <w:t>、</w:t>
      </w:r>
      <w:r>
        <w:rPr>
          <w:rFonts w:hint="eastAsia" w:ascii="宋体" w:hAnsi="宋体" w:cs="Arial"/>
          <w:b/>
          <w:sz w:val="21"/>
          <w:szCs w:val="21"/>
          <w:lang w:eastAsia="zh-CN"/>
        </w:rPr>
        <w:t>采购文件</w:t>
      </w:r>
      <w:r>
        <w:rPr>
          <w:rFonts w:hint="eastAsia" w:ascii="宋体" w:hAnsi="宋体" w:cs="Arial"/>
          <w:b/>
          <w:sz w:val="21"/>
          <w:szCs w:val="21"/>
        </w:rPr>
        <w:t>领取及</w:t>
      </w:r>
      <w:r>
        <w:rPr>
          <w:rFonts w:hint="eastAsia" w:ascii="宋体" w:hAnsi="宋体" w:cs="Arial"/>
          <w:b/>
          <w:sz w:val="21"/>
          <w:szCs w:val="21"/>
          <w:lang w:eastAsia="zh-CN"/>
        </w:rPr>
        <w:t>响应文件</w:t>
      </w:r>
      <w:r>
        <w:rPr>
          <w:rFonts w:hint="eastAsia" w:ascii="宋体" w:hAnsi="宋体" w:cs="Arial"/>
          <w:b/>
          <w:sz w:val="21"/>
          <w:szCs w:val="21"/>
        </w:rPr>
        <w:t>提交</w:t>
      </w:r>
    </w:p>
    <w:p>
      <w:pPr>
        <w:pStyle w:val="3"/>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rFonts w:ascii="宋体" w:hAnsi="宋体"/>
          <w:sz w:val="21"/>
          <w:szCs w:val="21"/>
        </w:rPr>
      </w:pPr>
      <w:r>
        <w:rPr>
          <w:rFonts w:hint="eastAsia" w:ascii="宋体" w:hAnsi="宋体"/>
          <w:sz w:val="21"/>
          <w:szCs w:val="21"/>
          <w:lang w:eastAsia="zh-CN"/>
        </w:rPr>
        <w:t>采购文件</w:t>
      </w:r>
      <w:r>
        <w:rPr>
          <w:rFonts w:hint="eastAsia" w:ascii="宋体" w:hAnsi="宋体"/>
          <w:sz w:val="21"/>
          <w:szCs w:val="21"/>
          <w:lang w:val="en-US" w:eastAsia="zh-CN"/>
        </w:rPr>
        <w:t>获取</w:t>
      </w:r>
      <w:r>
        <w:rPr>
          <w:rFonts w:hint="eastAsia" w:ascii="宋体" w:hAnsi="宋体"/>
          <w:sz w:val="21"/>
          <w:szCs w:val="21"/>
        </w:rPr>
        <w:t>：</w:t>
      </w:r>
    </w:p>
    <w:p>
      <w:pPr>
        <w:pStyle w:val="3"/>
        <w:keepNext w:val="0"/>
        <w:keepLines w:val="0"/>
        <w:pageBreakBefore w:val="0"/>
        <w:widowControl w:val="0"/>
        <w:kinsoku/>
        <w:wordWrap/>
        <w:overflowPunct/>
        <w:topLinePunct w:val="0"/>
        <w:autoSpaceDE/>
        <w:autoSpaceDN/>
        <w:bidi w:val="0"/>
        <w:adjustRightInd/>
        <w:snapToGrid/>
        <w:spacing w:line="480" w:lineRule="auto"/>
        <w:ind w:left="0" w:leftChars="0" w:firstLine="367" w:firstLineChars="175"/>
        <w:textAlignment w:val="auto"/>
        <w:rPr>
          <w:rFonts w:hint="default" w:ascii="宋体" w:hAnsi="宋体"/>
          <w:sz w:val="21"/>
          <w:szCs w:val="21"/>
          <w:highlight w:val="none"/>
          <w:lang w:val="en-US" w:eastAsia="zh-CN"/>
        </w:rPr>
      </w:pPr>
      <w:r>
        <w:rPr>
          <w:rFonts w:hint="eastAsia" w:hAnsi="宋体"/>
          <w:sz w:val="21"/>
          <w:szCs w:val="21"/>
          <w:highlight w:val="none"/>
          <w:lang w:val="en-US" w:eastAsia="zh-CN"/>
        </w:rPr>
        <w:t>在中国采购与招标网官网：https://www.chinabidding.cn/；南宁轨道交通集团有限责公司官网：http://www.nngdjt.com/；南宁轨道地产</w:t>
      </w:r>
      <w:r>
        <w:rPr>
          <w:rFonts w:hint="eastAsia" w:ascii="宋体" w:hAnsi="宋体"/>
          <w:sz w:val="21"/>
          <w:szCs w:val="21"/>
          <w:highlight w:val="none"/>
          <w:lang w:val="en-US" w:eastAsia="zh-CN"/>
        </w:rPr>
        <w:t>集团有限责公司官网：</w:t>
      </w:r>
      <w:r>
        <w:rPr>
          <w:rFonts w:hint="eastAsia" w:ascii="宋体" w:hAnsi="宋体"/>
          <w:sz w:val="21"/>
          <w:szCs w:val="21"/>
          <w:highlight w:val="none"/>
          <w:lang w:val="en-US" w:eastAsia="zh-CN"/>
        </w:rPr>
        <w:fldChar w:fldCharType="begin"/>
      </w:r>
      <w:r>
        <w:rPr>
          <w:rFonts w:hint="eastAsia" w:ascii="宋体" w:hAnsi="宋体"/>
          <w:sz w:val="21"/>
          <w:szCs w:val="21"/>
          <w:highlight w:val="none"/>
          <w:lang w:val="en-US" w:eastAsia="zh-CN"/>
        </w:rPr>
        <w:instrText xml:space="preserve"> HYPERLINK "http://www.nngddc.com/" </w:instrText>
      </w:r>
      <w:r>
        <w:rPr>
          <w:rFonts w:hint="eastAsia" w:ascii="宋体" w:hAnsi="宋体"/>
          <w:sz w:val="21"/>
          <w:szCs w:val="21"/>
          <w:highlight w:val="none"/>
          <w:lang w:val="en-US" w:eastAsia="zh-CN"/>
        </w:rPr>
        <w:fldChar w:fldCharType="separate"/>
      </w:r>
      <w:r>
        <w:rPr>
          <w:rStyle w:val="17"/>
          <w:rFonts w:hint="eastAsia" w:ascii="宋体" w:hAnsi="宋体"/>
          <w:sz w:val="21"/>
          <w:szCs w:val="21"/>
          <w:highlight w:val="none"/>
          <w:lang w:val="en-US" w:eastAsia="zh-CN"/>
        </w:rPr>
        <w:t>http://www.nngddc.com/</w:t>
      </w:r>
      <w:r>
        <w:rPr>
          <w:rFonts w:hint="eastAsia" w:ascii="宋体" w:hAnsi="宋体"/>
          <w:sz w:val="21"/>
          <w:szCs w:val="21"/>
          <w:highlight w:val="none"/>
          <w:lang w:val="en-US" w:eastAsia="zh-CN"/>
        </w:rPr>
        <w:fldChar w:fldCharType="end"/>
      </w:r>
      <w:r>
        <w:rPr>
          <w:rFonts w:hint="eastAsia" w:ascii="宋体" w:hAnsi="宋体"/>
          <w:sz w:val="21"/>
          <w:szCs w:val="21"/>
          <w:highlight w:val="none"/>
          <w:lang w:val="en-US" w:eastAsia="zh-CN"/>
        </w:rPr>
        <w:t xml:space="preserve"> 下载。采购文件及澄清文件在发布公告的网站上发布之日起，视为响应人已收到该文件。响应人未及时关注采购人在网站上发布的文件造成的损失，由响应人自行负责。</w:t>
      </w:r>
    </w:p>
    <w:p>
      <w:pPr>
        <w:pStyle w:val="3"/>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rFonts w:ascii="宋体" w:hAnsi="宋体"/>
          <w:sz w:val="21"/>
          <w:szCs w:val="21"/>
        </w:rPr>
      </w:pPr>
      <w:r>
        <w:rPr>
          <w:rFonts w:hint="eastAsia" w:ascii="宋体" w:hAnsi="宋体"/>
          <w:sz w:val="21"/>
          <w:szCs w:val="21"/>
          <w:lang w:eastAsia="zh-CN"/>
        </w:rPr>
        <w:t>响应文件</w:t>
      </w:r>
      <w:r>
        <w:rPr>
          <w:rFonts w:hint="eastAsia" w:ascii="宋体" w:hAnsi="宋体"/>
          <w:sz w:val="21"/>
          <w:szCs w:val="21"/>
        </w:rPr>
        <w:t>提交：</w:t>
      </w:r>
    </w:p>
    <w:p>
      <w:pPr>
        <w:pStyle w:val="3"/>
        <w:keepNext w:val="0"/>
        <w:keepLines w:val="0"/>
        <w:pageBreakBefore w:val="0"/>
        <w:widowControl w:val="0"/>
        <w:kinsoku/>
        <w:wordWrap/>
        <w:overflowPunct/>
        <w:topLinePunct w:val="0"/>
        <w:autoSpaceDE/>
        <w:autoSpaceDN/>
        <w:bidi w:val="0"/>
        <w:adjustRightInd/>
        <w:snapToGrid/>
        <w:spacing w:line="480" w:lineRule="auto"/>
        <w:ind w:left="0" w:leftChars="0" w:firstLine="367" w:firstLineChars="175"/>
        <w:textAlignment w:val="auto"/>
        <w:rPr>
          <w:rFonts w:hint="eastAsia" w:ascii="宋体" w:hAnsi="宋体"/>
          <w:sz w:val="21"/>
          <w:szCs w:val="21"/>
          <w:highlight w:val="none"/>
          <w:lang w:val="en-US" w:eastAsia="zh-CN"/>
        </w:rPr>
      </w:pPr>
      <w:r>
        <w:rPr>
          <w:rFonts w:hint="eastAsia" w:hAnsi="宋体"/>
          <w:sz w:val="21"/>
          <w:szCs w:val="21"/>
          <w:highlight w:val="none"/>
          <w:lang w:val="en-US" w:eastAsia="zh-CN"/>
        </w:rPr>
        <w:t>纸质</w:t>
      </w:r>
      <w:r>
        <w:rPr>
          <w:rFonts w:hint="eastAsia" w:ascii="宋体" w:hAnsi="宋体"/>
          <w:sz w:val="21"/>
          <w:szCs w:val="21"/>
          <w:highlight w:val="none"/>
          <w:lang w:val="en-US" w:eastAsia="zh-CN"/>
        </w:rPr>
        <w:t>响应文件</w:t>
      </w:r>
      <w:r>
        <w:rPr>
          <w:rFonts w:hint="eastAsia" w:hAnsi="宋体"/>
          <w:sz w:val="21"/>
          <w:szCs w:val="21"/>
          <w:highlight w:val="none"/>
          <w:lang w:val="en-US" w:eastAsia="zh-CN"/>
        </w:rPr>
        <w:t>统一</w:t>
      </w:r>
      <w:r>
        <w:rPr>
          <w:rFonts w:hint="eastAsia" w:ascii="宋体" w:hAnsi="宋体"/>
          <w:sz w:val="21"/>
          <w:szCs w:val="21"/>
          <w:highlight w:val="none"/>
          <w:lang w:val="en-US" w:eastAsia="zh-CN"/>
        </w:rPr>
        <w:t>装订，一正四副，分别密封装订在一个内袋，然后再将两个内袋统一密封在一个外袋中，内、外袋均须加盖响应人公章。</w:t>
      </w:r>
    </w:p>
    <w:p>
      <w:pPr>
        <w:pStyle w:val="3"/>
        <w:keepNext w:val="0"/>
        <w:keepLines w:val="0"/>
        <w:pageBreakBefore w:val="0"/>
        <w:widowControl w:val="0"/>
        <w:kinsoku/>
        <w:wordWrap/>
        <w:overflowPunct/>
        <w:topLinePunct w:val="0"/>
        <w:autoSpaceDE/>
        <w:autoSpaceDN/>
        <w:bidi w:val="0"/>
        <w:adjustRightInd/>
        <w:snapToGrid/>
        <w:spacing w:line="480" w:lineRule="auto"/>
        <w:ind w:left="0" w:leftChars="0" w:firstLine="367" w:firstLineChars="175"/>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电子响应文件以U盘形式储存，单独密封提交。</w:t>
      </w:r>
    </w:p>
    <w:p>
      <w:pPr>
        <w:pStyle w:val="3"/>
        <w:keepNext w:val="0"/>
        <w:keepLines w:val="0"/>
        <w:pageBreakBefore w:val="0"/>
        <w:widowControl w:val="0"/>
        <w:kinsoku/>
        <w:wordWrap/>
        <w:overflowPunct/>
        <w:topLinePunct w:val="0"/>
        <w:autoSpaceDE/>
        <w:autoSpaceDN/>
        <w:bidi w:val="0"/>
        <w:adjustRightInd/>
        <w:snapToGrid/>
        <w:spacing w:line="480" w:lineRule="auto"/>
        <w:ind w:left="0" w:leftChars="0" w:firstLine="367" w:firstLineChars="175"/>
        <w:textAlignment w:val="auto"/>
        <w:rPr>
          <w:rFonts w:hint="eastAsia" w:ascii="宋体" w:hAnsi="宋体"/>
          <w:color w:val="0000FF"/>
          <w:sz w:val="21"/>
          <w:szCs w:val="21"/>
          <w:highlight w:val="yellow"/>
          <w:lang w:val="en-US" w:eastAsia="zh-CN"/>
        </w:rPr>
      </w:pPr>
      <w:r>
        <w:rPr>
          <w:rFonts w:hint="eastAsia" w:ascii="宋体" w:hAnsi="宋体"/>
          <w:sz w:val="21"/>
          <w:szCs w:val="21"/>
          <w:highlight w:val="none"/>
          <w:lang w:val="en-US" w:eastAsia="zh-CN"/>
        </w:rPr>
        <w:t>截止时间</w:t>
      </w:r>
      <w:r>
        <w:rPr>
          <w:rFonts w:hint="eastAsia" w:ascii="宋体" w:hAnsi="宋体"/>
          <w:color w:val="0000FF"/>
          <w:sz w:val="21"/>
          <w:szCs w:val="21"/>
          <w:highlight w:val="none"/>
          <w:lang w:val="en-US" w:eastAsia="zh-CN"/>
        </w:rPr>
        <w:t xml:space="preserve"> 2022年1</w:t>
      </w:r>
      <w:r>
        <w:rPr>
          <w:rFonts w:hint="eastAsia" w:hAnsi="宋体"/>
          <w:color w:val="0000FF"/>
          <w:sz w:val="21"/>
          <w:szCs w:val="21"/>
          <w:highlight w:val="none"/>
          <w:lang w:val="en-US" w:eastAsia="zh-CN"/>
        </w:rPr>
        <w:t>1</w:t>
      </w:r>
      <w:r>
        <w:rPr>
          <w:rFonts w:hint="eastAsia" w:ascii="宋体" w:hAnsi="宋体"/>
          <w:color w:val="0000FF"/>
          <w:sz w:val="21"/>
          <w:szCs w:val="21"/>
          <w:highlight w:val="none"/>
          <w:lang w:val="en-US" w:eastAsia="zh-CN"/>
        </w:rPr>
        <w:t xml:space="preserve"> 月</w:t>
      </w:r>
      <w:r>
        <w:rPr>
          <w:rFonts w:hint="eastAsia" w:hAnsi="宋体"/>
          <w:color w:val="0000FF"/>
          <w:sz w:val="21"/>
          <w:szCs w:val="21"/>
          <w:highlight w:val="yellow"/>
          <w:lang w:val="en-US" w:eastAsia="zh-CN"/>
        </w:rPr>
        <w:t>10</w:t>
      </w:r>
      <w:r>
        <w:rPr>
          <w:rFonts w:hint="eastAsia" w:ascii="宋体" w:hAnsi="宋体"/>
          <w:color w:val="0000FF"/>
          <w:sz w:val="21"/>
          <w:szCs w:val="21"/>
          <w:highlight w:val="yellow"/>
          <w:lang w:val="en-US" w:eastAsia="zh-CN"/>
        </w:rPr>
        <w:t>日上午9：30(北京时间)前</w:t>
      </w:r>
    </w:p>
    <w:p>
      <w:pPr>
        <w:pStyle w:val="3"/>
        <w:keepNext w:val="0"/>
        <w:keepLines w:val="0"/>
        <w:pageBreakBefore w:val="0"/>
        <w:widowControl w:val="0"/>
        <w:kinsoku/>
        <w:wordWrap/>
        <w:overflowPunct/>
        <w:topLinePunct w:val="0"/>
        <w:autoSpaceDE/>
        <w:autoSpaceDN/>
        <w:bidi w:val="0"/>
        <w:adjustRightInd/>
        <w:snapToGrid/>
        <w:spacing w:line="480" w:lineRule="auto"/>
        <w:ind w:left="0" w:leftChars="0" w:firstLine="367" w:firstLineChars="175"/>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联系人：张工，电话：0771-5522035</w:t>
      </w:r>
    </w:p>
    <w:p>
      <w:pPr>
        <w:pStyle w:val="3"/>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rFonts w:hint="default" w:ascii="宋体" w:hAnsi="宋体" w:eastAsiaTheme="minorEastAsia"/>
          <w:sz w:val="21"/>
          <w:szCs w:val="21"/>
          <w:lang w:val="en-US" w:eastAsia="zh-CN"/>
        </w:rPr>
      </w:pPr>
      <w:r>
        <w:rPr>
          <w:rFonts w:hint="eastAsia" w:ascii="宋体" w:hAnsi="宋体"/>
          <w:sz w:val="21"/>
          <w:szCs w:val="21"/>
          <w:lang w:eastAsia="zh-CN"/>
        </w:rPr>
        <w:t>响应文件</w:t>
      </w:r>
      <w:r>
        <w:rPr>
          <w:rFonts w:hint="eastAsia" w:ascii="宋体" w:hAnsi="宋体"/>
          <w:sz w:val="21"/>
          <w:szCs w:val="21"/>
        </w:rPr>
        <w:t>提交</w:t>
      </w:r>
      <w:r>
        <w:rPr>
          <w:rFonts w:hint="eastAsia" w:ascii="宋体" w:hAnsi="宋体"/>
          <w:sz w:val="21"/>
          <w:szCs w:val="21"/>
          <w:lang w:val="en-US" w:eastAsia="zh-CN"/>
        </w:rPr>
        <w:t>地址</w:t>
      </w:r>
      <w:r>
        <w:rPr>
          <w:rFonts w:hint="eastAsia" w:ascii="宋体" w:hAnsi="宋体"/>
          <w:sz w:val="21"/>
          <w:szCs w:val="21"/>
        </w:rPr>
        <w:t>：</w:t>
      </w:r>
      <w:r>
        <w:rPr>
          <w:rFonts w:hint="eastAsia" w:ascii="宋体" w:hAnsi="宋体"/>
          <w:sz w:val="21"/>
          <w:szCs w:val="21"/>
          <w:lang w:val="en-US" w:eastAsia="zh-CN"/>
        </w:rPr>
        <w:t>南宁市凤岭北路111号南宁国际旅游中心A座1011室</w:t>
      </w:r>
    </w:p>
    <w:p>
      <w:pPr>
        <w:pStyle w:val="19"/>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ascii="宋体" w:hAnsi="宋体" w:cs="Arial"/>
          <w:b/>
          <w:sz w:val="21"/>
          <w:szCs w:val="21"/>
          <w:highlight w:val="darkRed"/>
        </w:rPr>
      </w:pPr>
      <w:r>
        <w:rPr>
          <w:rFonts w:hint="eastAsia" w:ascii="宋体" w:hAnsi="宋体" w:cs="Arial"/>
          <w:b/>
          <w:sz w:val="21"/>
          <w:szCs w:val="21"/>
          <w:lang w:val="en-US" w:eastAsia="zh-CN"/>
        </w:rPr>
        <w:t>十</w:t>
      </w:r>
      <w:r>
        <w:rPr>
          <w:rFonts w:hint="eastAsia" w:ascii="宋体" w:hAnsi="宋体" w:cs="Arial"/>
          <w:b/>
          <w:sz w:val="21"/>
          <w:szCs w:val="21"/>
        </w:rPr>
        <w:t>、</w:t>
      </w:r>
      <w:r>
        <w:rPr>
          <w:rFonts w:hint="eastAsia" w:ascii="宋体" w:hAnsi="宋体" w:cs="Arial"/>
          <w:b/>
          <w:sz w:val="21"/>
          <w:szCs w:val="21"/>
          <w:highlight w:val="none"/>
          <w:lang w:eastAsia="zh-CN"/>
        </w:rPr>
        <w:t>响应文件</w:t>
      </w:r>
      <w:r>
        <w:rPr>
          <w:rFonts w:hint="eastAsia" w:ascii="宋体" w:hAnsi="宋体" w:cs="Arial"/>
          <w:b/>
          <w:sz w:val="21"/>
          <w:szCs w:val="21"/>
          <w:highlight w:val="none"/>
        </w:rPr>
        <w:t>内容编制</w:t>
      </w:r>
    </w:p>
    <w:p>
      <w:pPr>
        <w:pStyle w:val="19"/>
        <w:keepNext w:val="0"/>
        <w:keepLines w:val="0"/>
        <w:pageBreakBefore w:val="0"/>
        <w:widowControl w:val="0"/>
        <w:numPr>
          <w:ilvl w:val="0"/>
          <w:numId w:val="5"/>
        </w:numPr>
        <w:kinsoku/>
        <w:wordWrap/>
        <w:overflowPunct/>
        <w:topLinePunct w:val="0"/>
        <w:autoSpaceDE/>
        <w:autoSpaceDN/>
        <w:bidi w:val="0"/>
        <w:adjustRightInd/>
        <w:snapToGrid/>
        <w:spacing w:line="480" w:lineRule="auto"/>
        <w:ind w:left="420" w:leftChars="200" w:firstLine="0" w:firstLineChars="0"/>
        <w:textAlignment w:val="auto"/>
        <w:rPr>
          <w:sz w:val="21"/>
          <w:szCs w:val="21"/>
        </w:rPr>
      </w:pPr>
      <w:r>
        <w:rPr>
          <w:rFonts w:hint="eastAsia"/>
          <w:sz w:val="21"/>
          <w:szCs w:val="21"/>
        </w:rPr>
        <w:t>法定代表人授权委托书及身份证复印件</w:t>
      </w:r>
    </w:p>
    <w:p>
      <w:pPr>
        <w:pStyle w:val="19"/>
        <w:keepNext w:val="0"/>
        <w:keepLines w:val="0"/>
        <w:pageBreakBefore w:val="0"/>
        <w:widowControl w:val="0"/>
        <w:numPr>
          <w:ilvl w:val="0"/>
          <w:numId w:val="5"/>
        </w:numPr>
        <w:kinsoku/>
        <w:wordWrap/>
        <w:overflowPunct/>
        <w:topLinePunct w:val="0"/>
        <w:autoSpaceDE/>
        <w:autoSpaceDN/>
        <w:bidi w:val="0"/>
        <w:adjustRightInd/>
        <w:snapToGrid/>
        <w:spacing w:line="480" w:lineRule="auto"/>
        <w:ind w:left="420" w:leftChars="200" w:firstLine="0" w:firstLineChars="0"/>
        <w:textAlignment w:val="auto"/>
        <w:rPr>
          <w:sz w:val="21"/>
          <w:szCs w:val="21"/>
        </w:rPr>
      </w:pPr>
      <w:r>
        <w:rPr>
          <w:rFonts w:hint="eastAsia"/>
          <w:sz w:val="21"/>
          <w:szCs w:val="21"/>
          <w:lang w:val="en-US" w:eastAsia="zh-CN"/>
        </w:rPr>
        <w:t>投标</w:t>
      </w:r>
      <w:r>
        <w:rPr>
          <w:rFonts w:hint="eastAsia"/>
          <w:sz w:val="21"/>
          <w:szCs w:val="21"/>
        </w:rPr>
        <w:t>函；</w:t>
      </w:r>
    </w:p>
    <w:p>
      <w:pPr>
        <w:pStyle w:val="19"/>
        <w:keepNext w:val="0"/>
        <w:keepLines w:val="0"/>
        <w:pageBreakBefore w:val="0"/>
        <w:widowControl w:val="0"/>
        <w:numPr>
          <w:ilvl w:val="0"/>
          <w:numId w:val="5"/>
        </w:numPr>
        <w:kinsoku/>
        <w:wordWrap/>
        <w:overflowPunct/>
        <w:topLinePunct w:val="0"/>
        <w:autoSpaceDE/>
        <w:autoSpaceDN/>
        <w:bidi w:val="0"/>
        <w:adjustRightInd/>
        <w:snapToGrid/>
        <w:spacing w:line="480" w:lineRule="auto"/>
        <w:ind w:left="420" w:leftChars="200" w:firstLine="0" w:firstLineChars="0"/>
        <w:textAlignment w:val="auto"/>
        <w:rPr>
          <w:rFonts w:hint="eastAsia"/>
          <w:sz w:val="21"/>
          <w:szCs w:val="21"/>
        </w:rPr>
      </w:pPr>
      <w:r>
        <w:rPr>
          <w:rFonts w:hint="eastAsia"/>
          <w:sz w:val="21"/>
          <w:szCs w:val="21"/>
        </w:rPr>
        <w:t>报价</w:t>
      </w:r>
      <w:r>
        <w:rPr>
          <w:rFonts w:hint="eastAsia"/>
          <w:sz w:val="21"/>
          <w:szCs w:val="21"/>
          <w:lang w:val="en-US" w:eastAsia="zh-CN"/>
        </w:rPr>
        <w:t>汇总表；</w:t>
      </w:r>
    </w:p>
    <w:p>
      <w:pPr>
        <w:pStyle w:val="19"/>
        <w:keepNext w:val="0"/>
        <w:keepLines w:val="0"/>
        <w:pageBreakBefore w:val="0"/>
        <w:widowControl w:val="0"/>
        <w:numPr>
          <w:ilvl w:val="0"/>
          <w:numId w:val="5"/>
        </w:numPr>
        <w:kinsoku/>
        <w:wordWrap/>
        <w:overflowPunct/>
        <w:topLinePunct w:val="0"/>
        <w:autoSpaceDE/>
        <w:autoSpaceDN/>
        <w:bidi w:val="0"/>
        <w:adjustRightInd/>
        <w:snapToGrid/>
        <w:spacing w:line="480" w:lineRule="auto"/>
        <w:ind w:left="420" w:leftChars="200" w:firstLine="0" w:firstLineChars="0"/>
        <w:textAlignment w:val="auto"/>
        <w:rPr>
          <w:rFonts w:hint="eastAsia"/>
          <w:sz w:val="21"/>
          <w:szCs w:val="21"/>
        </w:rPr>
      </w:pPr>
      <w:r>
        <w:rPr>
          <w:rFonts w:hint="eastAsia"/>
          <w:sz w:val="21"/>
          <w:szCs w:val="21"/>
        </w:rPr>
        <w:t>一般纳税人证明</w:t>
      </w:r>
    </w:p>
    <w:p>
      <w:pPr>
        <w:pStyle w:val="19"/>
        <w:keepNext w:val="0"/>
        <w:keepLines w:val="0"/>
        <w:pageBreakBefore w:val="0"/>
        <w:widowControl w:val="0"/>
        <w:numPr>
          <w:ilvl w:val="0"/>
          <w:numId w:val="5"/>
        </w:numPr>
        <w:kinsoku/>
        <w:wordWrap/>
        <w:overflowPunct/>
        <w:topLinePunct w:val="0"/>
        <w:autoSpaceDE/>
        <w:autoSpaceDN/>
        <w:bidi w:val="0"/>
        <w:adjustRightInd/>
        <w:snapToGrid/>
        <w:spacing w:line="480" w:lineRule="auto"/>
        <w:ind w:left="420" w:leftChars="200" w:firstLine="0" w:firstLineChars="0"/>
        <w:textAlignment w:val="auto"/>
        <w:rPr>
          <w:rFonts w:hint="eastAsia"/>
          <w:sz w:val="21"/>
          <w:szCs w:val="21"/>
        </w:rPr>
      </w:pPr>
      <w:r>
        <w:rPr>
          <w:rFonts w:hint="eastAsia"/>
          <w:sz w:val="21"/>
          <w:szCs w:val="21"/>
          <w:lang w:val="en-US" w:eastAsia="zh-CN"/>
        </w:rPr>
        <w:t>承诺书</w:t>
      </w:r>
    </w:p>
    <w:p>
      <w:pPr>
        <w:pStyle w:val="19"/>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sz w:val="21"/>
          <w:szCs w:val="21"/>
          <w:highlight w:val="none"/>
        </w:rPr>
      </w:pPr>
      <w:r>
        <w:rPr>
          <w:rFonts w:hint="eastAsia"/>
          <w:sz w:val="21"/>
          <w:szCs w:val="21"/>
          <w:highlight w:val="none"/>
          <w:lang w:val="en-US" w:eastAsia="zh-CN"/>
        </w:rPr>
        <w:t>6</w:t>
      </w:r>
      <w:r>
        <w:rPr>
          <w:rFonts w:hint="eastAsia"/>
          <w:sz w:val="21"/>
          <w:szCs w:val="21"/>
          <w:highlight w:val="none"/>
        </w:rPr>
        <w:t>、检测服务质量保证</w:t>
      </w:r>
    </w:p>
    <w:p>
      <w:pPr>
        <w:pStyle w:val="19"/>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rFonts w:hint="eastAsia"/>
          <w:sz w:val="21"/>
          <w:szCs w:val="21"/>
          <w:highlight w:val="none"/>
        </w:rPr>
      </w:pPr>
      <w:r>
        <w:rPr>
          <w:rFonts w:hint="eastAsia"/>
          <w:sz w:val="21"/>
          <w:szCs w:val="21"/>
          <w:highlight w:val="none"/>
          <w:lang w:val="en-US" w:eastAsia="zh-CN"/>
        </w:rPr>
        <w:t>7</w:t>
      </w:r>
      <w:r>
        <w:rPr>
          <w:rFonts w:hint="eastAsia"/>
          <w:sz w:val="21"/>
          <w:szCs w:val="21"/>
          <w:highlight w:val="none"/>
        </w:rPr>
        <w:t>、</w:t>
      </w:r>
      <w:r>
        <w:rPr>
          <w:rFonts w:hint="eastAsia"/>
          <w:sz w:val="21"/>
          <w:szCs w:val="21"/>
          <w:highlight w:val="none"/>
          <w:lang w:val="en-US" w:eastAsia="zh-CN"/>
        </w:rPr>
        <w:t>类似</w:t>
      </w:r>
      <w:r>
        <w:rPr>
          <w:rFonts w:hint="eastAsia"/>
          <w:sz w:val="21"/>
          <w:szCs w:val="21"/>
          <w:highlight w:val="none"/>
        </w:rPr>
        <w:t>业绩</w:t>
      </w:r>
    </w:p>
    <w:p>
      <w:pPr>
        <w:pStyle w:val="19"/>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rFonts w:hint="eastAsia" w:eastAsiaTheme="minorEastAsia"/>
          <w:sz w:val="21"/>
          <w:szCs w:val="21"/>
          <w:highlight w:val="none"/>
          <w:lang w:val="en-US" w:eastAsia="zh-CN"/>
        </w:rPr>
      </w:pPr>
      <w:r>
        <w:rPr>
          <w:rFonts w:hint="eastAsia"/>
          <w:sz w:val="21"/>
          <w:szCs w:val="21"/>
          <w:highlight w:val="none"/>
          <w:lang w:val="en-US" w:eastAsia="zh-CN"/>
        </w:rPr>
        <w:t>8、技术要求响应表</w:t>
      </w:r>
    </w:p>
    <w:p>
      <w:pPr>
        <w:pStyle w:val="19"/>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default" w:ascii="宋体" w:hAnsi="宋体" w:cs="Arial" w:eastAsiaTheme="minorEastAsia"/>
          <w:b/>
          <w:sz w:val="21"/>
          <w:szCs w:val="21"/>
          <w:highlight w:val="none"/>
          <w:lang w:val="en-US" w:eastAsia="zh-CN"/>
        </w:rPr>
      </w:pPr>
      <w:r>
        <w:rPr>
          <w:rFonts w:hint="eastAsia" w:ascii="宋体" w:hAnsi="宋体" w:cs="Arial"/>
          <w:b/>
          <w:sz w:val="21"/>
          <w:szCs w:val="21"/>
          <w:highlight w:val="none"/>
          <w:lang w:val="en-US" w:eastAsia="zh-CN"/>
        </w:rPr>
        <w:t>十一</w:t>
      </w:r>
      <w:r>
        <w:rPr>
          <w:rFonts w:hint="eastAsia" w:ascii="宋体" w:hAnsi="宋体" w:cs="Arial"/>
          <w:b/>
          <w:sz w:val="21"/>
          <w:szCs w:val="21"/>
          <w:highlight w:val="none"/>
        </w:rPr>
        <w:t>、评</w:t>
      </w:r>
      <w:r>
        <w:rPr>
          <w:rFonts w:hint="eastAsia" w:ascii="宋体" w:hAnsi="宋体" w:cs="Arial"/>
          <w:b/>
          <w:sz w:val="21"/>
          <w:szCs w:val="21"/>
          <w:highlight w:val="none"/>
          <w:lang w:val="en-US" w:eastAsia="zh-CN"/>
        </w:rPr>
        <w:t>审方式</w:t>
      </w:r>
    </w:p>
    <w:p>
      <w:pPr>
        <w:pStyle w:val="19"/>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rFonts w:hint="eastAsia"/>
          <w:sz w:val="21"/>
          <w:szCs w:val="21"/>
          <w:lang w:val="en-US" w:eastAsia="zh-CN"/>
        </w:rPr>
      </w:pPr>
      <w:r>
        <w:rPr>
          <w:rFonts w:hint="eastAsia"/>
          <w:sz w:val="21"/>
          <w:szCs w:val="21"/>
          <w:lang w:val="en-US" w:eastAsia="zh-CN"/>
        </w:rPr>
        <w:t>1、本项目先对响应文件的资格性和符合性检查，合格的响应人进入价格评审环节，本项目采用最低评审价法进行评审。</w:t>
      </w:r>
    </w:p>
    <w:p>
      <w:pPr>
        <w:pStyle w:val="19"/>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rFonts w:hint="eastAsia"/>
          <w:sz w:val="21"/>
          <w:szCs w:val="21"/>
          <w:lang w:val="en-US" w:eastAsia="zh-CN"/>
        </w:rPr>
      </w:pPr>
      <w:r>
        <w:rPr>
          <w:rFonts w:hint="eastAsia"/>
          <w:sz w:val="21"/>
          <w:szCs w:val="21"/>
          <w:lang w:val="en-US" w:eastAsia="zh-CN"/>
        </w:rPr>
        <w:t>2、评审委员会将依照本采购文件相关规定对质量和服务均能满足实质性响应要求的响应人所提交的报价，按照由低到高的顺序提出1-3名中标候选人，采用最低价法评审出最终成交供应商。并编写评审报告。</w:t>
      </w:r>
    </w:p>
    <w:p>
      <w:pPr>
        <w:pStyle w:val="19"/>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rFonts w:ascii="宋体" w:hAnsi="宋体" w:cs="Arial"/>
          <w:b/>
          <w:sz w:val="21"/>
          <w:szCs w:val="21"/>
        </w:rPr>
      </w:pPr>
      <w:r>
        <w:rPr>
          <w:rFonts w:hint="eastAsia"/>
          <w:sz w:val="21"/>
          <w:szCs w:val="21"/>
          <w:lang w:val="en-US" w:eastAsia="zh-CN"/>
        </w:rPr>
        <w:t>3、若响应人的报价相同，以评审委员会记名投票的方式按少数服从多数的原则决定其排名顺序。</w:t>
      </w:r>
    </w:p>
    <w:p>
      <w:pPr>
        <w:spacing w:line="360" w:lineRule="auto"/>
        <w:ind w:firstLine="3780" w:firstLineChars="1800"/>
        <w:rPr>
          <w:rFonts w:ascii="宋体" w:hAnsi="宋体" w:cs="Arial"/>
          <w:sz w:val="21"/>
          <w:szCs w:val="21"/>
        </w:rPr>
      </w:pPr>
    </w:p>
    <w:p>
      <w:pPr>
        <w:spacing w:line="360" w:lineRule="auto"/>
        <w:jc w:val="right"/>
        <w:rPr>
          <w:rFonts w:hint="eastAsia" w:ascii="宋体" w:hAnsi="宋体" w:cs="Arial" w:eastAsiaTheme="minorEastAsia"/>
          <w:sz w:val="21"/>
          <w:szCs w:val="21"/>
          <w:lang w:eastAsia="zh-CN"/>
        </w:rPr>
      </w:pPr>
      <w:r>
        <w:rPr>
          <w:rFonts w:hint="eastAsia" w:ascii="宋体" w:hAnsi="宋体" w:cs="Arial"/>
          <w:sz w:val="21"/>
          <w:szCs w:val="21"/>
          <w:lang w:eastAsia="zh-CN"/>
        </w:rPr>
        <w:t>采购人</w:t>
      </w:r>
      <w:r>
        <w:rPr>
          <w:rFonts w:hint="eastAsia" w:ascii="宋体" w:hAnsi="宋体" w:cs="Arial"/>
          <w:sz w:val="21"/>
          <w:szCs w:val="21"/>
        </w:rPr>
        <w:t>：</w:t>
      </w:r>
      <w:r>
        <w:rPr>
          <w:rFonts w:hint="eastAsia" w:ascii="宋体" w:hAnsi="宋体" w:cs="Arial"/>
          <w:sz w:val="21"/>
          <w:szCs w:val="21"/>
          <w:lang w:eastAsia="zh-CN"/>
        </w:rPr>
        <w:t>南宁轨道锦绣中尧房地产有限公司</w:t>
      </w:r>
    </w:p>
    <w:p>
      <w:pPr>
        <w:spacing w:line="360" w:lineRule="auto"/>
        <w:ind w:left="420"/>
        <w:jc w:val="right"/>
        <w:rPr>
          <w:rFonts w:ascii="宋体" w:hAnsi="宋体" w:cs="Arial"/>
          <w:sz w:val="21"/>
          <w:szCs w:val="21"/>
        </w:rPr>
      </w:pPr>
      <w:r>
        <w:rPr>
          <w:rFonts w:hint="eastAsia" w:ascii="宋体" w:hAnsi="宋体" w:cs="Arial"/>
          <w:sz w:val="21"/>
          <w:szCs w:val="21"/>
        </w:rPr>
        <w:t xml:space="preserve">                                                20</w:t>
      </w:r>
      <w:r>
        <w:rPr>
          <w:rFonts w:hint="eastAsia" w:ascii="宋体" w:hAnsi="宋体" w:cs="Arial"/>
          <w:sz w:val="21"/>
          <w:szCs w:val="21"/>
          <w:lang w:val="en-US" w:eastAsia="zh-CN"/>
        </w:rPr>
        <w:t>22</w:t>
      </w:r>
      <w:r>
        <w:rPr>
          <w:rFonts w:hint="eastAsia" w:ascii="宋体" w:hAnsi="宋体" w:cs="Arial"/>
          <w:sz w:val="21"/>
          <w:szCs w:val="21"/>
        </w:rPr>
        <w:t>年</w:t>
      </w:r>
      <w:r>
        <w:rPr>
          <w:rFonts w:hint="eastAsia" w:ascii="宋体" w:hAnsi="宋体" w:cs="Arial"/>
          <w:sz w:val="21"/>
          <w:szCs w:val="21"/>
          <w:lang w:val="en-US" w:eastAsia="zh-CN"/>
        </w:rPr>
        <w:t>10</w:t>
      </w:r>
      <w:r>
        <w:rPr>
          <w:rFonts w:hint="eastAsia" w:ascii="宋体" w:hAnsi="宋体" w:cs="Arial"/>
          <w:sz w:val="21"/>
          <w:szCs w:val="21"/>
        </w:rPr>
        <w:t>月</w:t>
      </w:r>
    </w:p>
    <w:p>
      <w:pPr>
        <w:numPr>
          <w:ilvl w:val="0"/>
          <w:numId w:val="1"/>
        </w:numPr>
        <w:spacing w:line="360" w:lineRule="auto"/>
        <w:jc w:val="center"/>
        <w:outlineLvl w:val="0"/>
        <w:rPr>
          <w:b/>
          <w:sz w:val="28"/>
          <w:szCs w:val="28"/>
        </w:rPr>
      </w:pPr>
      <w:r>
        <w:rPr>
          <w:rFonts w:ascii="宋体" w:hAnsi="宋体"/>
          <w:b/>
          <w:sz w:val="32"/>
          <w:szCs w:val="32"/>
        </w:rPr>
        <w:br w:type="page"/>
      </w:r>
      <w:bookmarkStart w:id="6" w:name="_Toc516067338"/>
      <w:r>
        <w:rPr>
          <w:rFonts w:hint="eastAsia"/>
          <w:b/>
          <w:sz w:val="28"/>
          <w:szCs w:val="28"/>
        </w:rPr>
        <w:t xml:space="preserve"> </w:t>
      </w:r>
      <w:bookmarkStart w:id="7" w:name="_Toc28253"/>
      <w:r>
        <w:rPr>
          <w:rFonts w:hint="eastAsia"/>
          <w:b/>
          <w:sz w:val="28"/>
          <w:szCs w:val="28"/>
        </w:rPr>
        <w:t>响应人</w:t>
      </w:r>
      <w:r>
        <w:rPr>
          <w:b/>
          <w:sz w:val="28"/>
          <w:szCs w:val="28"/>
        </w:rPr>
        <w:t>须知</w:t>
      </w:r>
      <w:bookmarkEnd w:id="6"/>
      <w:bookmarkEnd w:id="7"/>
    </w:p>
    <w:p>
      <w:pPr>
        <w:jc w:val="center"/>
        <w:rPr>
          <w:b/>
          <w:sz w:val="28"/>
          <w:szCs w:val="28"/>
        </w:rPr>
      </w:pPr>
      <w:bookmarkStart w:id="8" w:name="_Toc516067339"/>
      <w:bookmarkStart w:id="9" w:name="_Toc104710549"/>
      <w:r>
        <w:rPr>
          <w:rFonts w:hint="eastAsia"/>
          <w:b/>
          <w:sz w:val="28"/>
          <w:szCs w:val="28"/>
        </w:rPr>
        <w:t>响应人</w:t>
      </w:r>
      <w:r>
        <w:rPr>
          <w:b/>
          <w:sz w:val="28"/>
          <w:szCs w:val="28"/>
        </w:rPr>
        <w:t>须知前附表</w:t>
      </w:r>
      <w:bookmarkEnd w:id="8"/>
      <w:bookmarkEnd w:id="9"/>
    </w:p>
    <w:tbl>
      <w:tblPr>
        <w:tblStyle w:val="14"/>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843"/>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09" w:type="dxa"/>
            <w:vAlign w:val="center"/>
          </w:tcPr>
          <w:p>
            <w:r>
              <w:rPr>
                <w:rFonts w:hint="eastAsia"/>
              </w:rPr>
              <w:t>序号</w:t>
            </w:r>
          </w:p>
        </w:tc>
        <w:tc>
          <w:tcPr>
            <w:tcW w:w="1843" w:type="dxa"/>
            <w:vAlign w:val="center"/>
          </w:tcPr>
          <w:p>
            <w:r>
              <w:rPr>
                <w:rFonts w:hint="eastAsia"/>
              </w:rPr>
              <w:t>内容</w:t>
            </w:r>
          </w:p>
        </w:tc>
        <w:tc>
          <w:tcPr>
            <w:tcW w:w="7229"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9" w:type="dxa"/>
            <w:vAlign w:val="center"/>
          </w:tcPr>
          <w:p>
            <w:pPr>
              <w:jc w:val="center"/>
            </w:pPr>
            <w:r>
              <w:t>1</w:t>
            </w:r>
          </w:p>
        </w:tc>
        <w:tc>
          <w:tcPr>
            <w:tcW w:w="1843" w:type="dxa"/>
            <w:vAlign w:val="center"/>
          </w:tcPr>
          <w:p>
            <w:r>
              <w:rPr>
                <w:rFonts w:hint="eastAsia"/>
              </w:rPr>
              <w:t>工程名称</w:t>
            </w:r>
          </w:p>
        </w:tc>
        <w:tc>
          <w:tcPr>
            <w:tcW w:w="7229" w:type="dxa"/>
            <w:vAlign w:val="center"/>
          </w:tcPr>
          <w:p>
            <w:pPr>
              <w:rPr>
                <w:rFonts w:asciiTheme="minorEastAsia" w:hAnsiTheme="minorEastAsia" w:eastAsiaTheme="minorEastAsia"/>
                <w:bCs/>
                <w:szCs w:val="21"/>
              </w:rPr>
            </w:pPr>
            <w:r>
              <w:rPr>
                <w:rFonts w:hint="eastAsia" w:asciiTheme="minorEastAsia" w:hAnsiTheme="minorEastAsia" w:eastAsiaTheme="minorEastAsia"/>
                <w:bCs/>
                <w:szCs w:val="21"/>
                <w:lang w:val="zh-CN"/>
              </w:rPr>
              <w:t>轨道西悦项目基建变工程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09" w:type="dxa"/>
            <w:vAlign w:val="center"/>
          </w:tcPr>
          <w:p>
            <w:pPr>
              <w:jc w:val="center"/>
            </w:pPr>
            <w:r>
              <w:rPr>
                <w:rFonts w:hint="eastAsia"/>
              </w:rPr>
              <w:t>2</w:t>
            </w:r>
          </w:p>
        </w:tc>
        <w:tc>
          <w:tcPr>
            <w:tcW w:w="1843" w:type="dxa"/>
            <w:vAlign w:val="center"/>
          </w:tcPr>
          <w:p>
            <w:r>
              <w:rPr>
                <w:rFonts w:hint="eastAsia"/>
              </w:rPr>
              <w:t>建设地点</w:t>
            </w:r>
          </w:p>
        </w:tc>
        <w:tc>
          <w:tcPr>
            <w:tcW w:w="7229" w:type="dxa"/>
            <w:vAlign w:val="center"/>
          </w:tcPr>
          <w:p>
            <w:pPr>
              <w:rPr>
                <w:rFonts w:asciiTheme="minorEastAsia" w:hAnsiTheme="minorEastAsia" w:eastAsiaTheme="minorEastAsia"/>
                <w:bCs/>
                <w:szCs w:val="21"/>
              </w:rPr>
            </w:pPr>
            <w:r>
              <w:rPr>
                <w:rFonts w:hint="eastAsia" w:ascii="宋体" w:hAnsi="宋体"/>
              </w:rPr>
              <w:t>南宁市西乡塘区中尧南路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09" w:type="dxa"/>
            <w:vAlign w:val="center"/>
          </w:tcPr>
          <w:p>
            <w:pPr>
              <w:jc w:val="center"/>
            </w:pPr>
            <w:r>
              <w:rPr>
                <w:rFonts w:hint="eastAsia"/>
              </w:rPr>
              <w:t>3</w:t>
            </w:r>
          </w:p>
        </w:tc>
        <w:tc>
          <w:tcPr>
            <w:tcW w:w="1843" w:type="dxa"/>
            <w:vAlign w:val="center"/>
          </w:tcPr>
          <w:p>
            <w:r>
              <w:rPr>
                <w:rFonts w:hint="eastAsia"/>
              </w:rPr>
              <w:t>设计单位</w:t>
            </w:r>
          </w:p>
        </w:tc>
        <w:tc>
          <w:tcPr>
            <w:tcW w:w="7229"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广西</w:t>
            </w:r>
            <w:r>
              <w:rPr>
                <w:rFonts w:hint="eastAsia" w:asciiTheme="minorEastAsia" w:hAnsiTheme="minorEastAsia" w:eastAsiaTheme="minorEastAsia"/>
                <w:szCs w:val="21"/>
                <w:lang w:val="en-US" w:eastAsia="zh-CN"/>
              </w:rPr>
              <w:t>聚源供电设计</w:t>
            </w:r>
            <w:r>
              <w:rPr>
                <w:rFonts w:hint="eastAsia" w:asciiTheme="minorEastAsia" w:hAnsiTheme="minorEastAsia" w:eastAsiaTheme="minorEastAsia"/>
                <w:szCs w:val="21"/>
              </w:rPr>
              <w:t>有限</w:t>
            </w:r>
            <w:r>
              <w:rPr>
                <w:rFonts w:hint="eastAsia" w:asciiTheme="minorEastAsia" w:hAnsiTheme="minorEastAsia" w:eastAsiaTheme="minorEastAsia"/>
                <w:szCs w:val="21"/>
                <w:lang w:val="en-US" w:eastAsia="zh-CN"/>
              </w:rPr>
              <w:t>责任</w:t>
            </w:r>
            <w:r>
              <w:rPr>
                <w:rFonts w:hint="eastAsia" w:asciiTheme="minorEastAsia" w:hAnsiTheme="minorEastAsia" w:eastAsiaTheme="minorEastAsia"/>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Align w:val="center"/>
          </w:tcPr>
          <w:p>
            <w:pPr>
              <w:jc w:val="center"/>
            </w:pPr>
            <w:r>
              <w:rPr>
                <w:rFonts w:hint="eastAsia"/>
              </w:rPr>
              <w:t>4</w:t>
            </w:r>
          </w:p>
        </w:tc>
        <w:tc>
          <w:tcPr>
            <w:tcW w:w="1843" w:type="dxa"/>
            <w:vAlign w:val="center"/>
          </w:tcPr>
          <w:p>
            <w:r>
              <w:rPr>
                <w:rFonts w:hint="eastAsia"/>
              </w:rPr>
              <w:t>建设规模</w:t>
            </w:r>
          </w:p>
        </w:tc>
        <w:tc>
          <w:tcPr>
            <w:tcW w:w="7229" w:type="dxa"/>
            <w:vAlign w:val="center"/>
          </w:tcPr>
          <w:p>
            <w:pPr>
              <w:spacing w:line="240" w:lineRule="auto"/>
              <w:ind w:right="-2" w:rightChars="-1"/>
              <w:rPr>
                <w:rFonts w:asciiTheme="minorEastAsia" w:hAnsiTheme="minorEastAsia" w:eastAsiaTheme="minorEastAsia"/>
                <w:iCs/>
                <w:szCs w:val="21"/>
              </w:rPr>
            </w:pPr>
            <w:r>
              <w:rPr>
                <w:rFonts w:hint="eastAsia" w:ascii="宋体" w:hAnsi="宋体"/>
              </w:rPr>
              <w:t>在用户地块内指定位置新建箱变，高压柜、变压器和低压柜置于新建箱变内，变压器容量为2</w:t>
            </w:r>
            <w:r>
              <w:rPr>
                <w:rFonts w:ascii="宋体" w:hAnsi="宋体"/>
              </w:rPr>
              <w:t>*</w:t>
            </w:r>
            <w:r>
              <w:rPr>
                <w:rFonts w:hint="eastAsia" w:ascii="宋体" w:hAnsi="宋体"/>
              </w:rPr>
              <w:t>800kVA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09" w:type="dxa"/>
            <w:vAlign w:val="center"/>
          </w:tcPr>
          <w:p>
            <w:pPr>
              <w:jc w:val="center"/>
              <w:rPr>
                <w:rFonts w:ascii="宋体" w:hAnsi="宋体"/>
                <w:color w:val="000000"/>
                <w:szCs w:val="21"/>
              </w:rPr>
            </w:pPr>
            <w:r>
              <w:rPr>
                <w:rFonts w:hint="eastAsia" w:ascii="宋体" w:hAnsi="宋体"/>
                <w:color w:val="000000"/>
                <w:szCs w:val="21"/>
              </w:rPr>
              <w:t>5</w:t>
            </w:r>
          </w:p>
        </w:tc>
        <w:tc>
          <w:tcPr>
            <w:tcW w:w="1843" w:type="dxa"/>
            <w:vAlign w:val="center"/>
          </w:tcPr>
          <w:p>
            <w:pPr>
              <w:jc w:val="left"/>
              <w:rPr>
                <w:rFonts w:ascii="宋体" w:hAnsi="宋体"/>
                <w:color w:val="000000"/>
                <w:szCs w:val="21"/>
              </w:rPr>
            </w:pPr>
            <w:r>
              <w:rPr>
                <w:rFonts w:hint="eastAsia" w:ascii="宋体" w:hAnsi="宋体"/>
                <w:color w:val="000000"/>
                <w:szCs w:val="21"/>
              </w:rPr>
              <w:t>含税上限控制价</w:t>
            </w:r>
          </w:p>
        </w:tc>
        <w:tc>
          <w:tcPr>
            <w:tcW w:w="7229" w:type="dxa"/>
            <w:vAlign w:val="center"/>
          </w:tcPr>
          <w:p>
            <w:pPr>
              <w:ind w:right="-2" w:rightChars="-1"/>
              <w:jc w:val="left"/>
              <w:rPr>
                <w:rFonts w:asciiTheme="minorEastAsia" w:hAnsiTheme="minorEastAsia" w:eastAsiaTheme="minorEastAsia"/>
                <w:b/>
                <w:szCs w:val="21"/>
              </w:rPr>
            </w:pPr>
            <w:r>
              <w:rPr>
                <w:rFonts w:hint="eastAsia" w:asciiTheme="minorEastAsia" w:hAnsiTheme="minorEastAsia" w:eastAsiaTheme="minorEastAsia"/>
                <w:b/>
                <w:szCs w:val="21"/>
                <w:highlight w:val="none"/>
              </w:rPr>
              <w:t>￥1006237.25元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09" w:type="dxa"/>
            <w:vAlign w:val="center"/>
          </w:tcPr>
          <w:p>
            <w:pPr>
              <w:jc w:val="center"/>
              <w:rPr>
                <w:rFonts w:ascii="宋体" w:hAnsi="宋体"/>
                <w:color w:val="000000"/>
                <w:szCs w:val="21"/>
              </w:rPr>
            </w:pPr>
            <w:r>
              <w:rPr>
                <w:rFonts w:hint="eastAsia" w:ascii="宋体" w:hAnsi="宋体"/>
                <w:color w:val="000000"/>
                <w:szCs w:val="21"/>
              </w:rPr>
              <w:t>6</w:t>
            </w:r>
          </w:p>
        </w:tc>
        <w:tc>
          <w:tcPr>
            <w:tcW w:w="1843" w:type="dxa"/>
            <w:vAlign w:val="center"/>
          </w:tcPr>
          <w:p>
            <w:pPr>
              <w:jc w:val="left"/>
              <w:rPr>
                <w:rFonts w:ascii="宋体" w:hAnsi="宋体"/>
                <w:color w:val="000000"/>
                <w:szCs w:val="21"/>
              </w:rPr>
            </w:pPr>
            <w:r>
              <w:rPr>
                <w:rFonts w:hint="eastAsia" w:ascii="宋体" w:hAnsi="宋体"/>
                <w:color w:val="000000"/>
                <w:szCs w:val="21"/>
              </w:rPr>
              <w:t>承包方式</w:t>
            </w:r>
          </w:p>
        </w:tc>
        <w:tc>
          <w:tcPr>
            <w:tcW w:w="7229"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固定</w:t>
            </w:r>
            <w:r>
              <w:rPr>
                <w:rFonts w:hint="eastAsia" w:asciiTheme="minorEastAsia" w:hAnsiTheme="minorEastAsia" w:eastAsiaTheme="minorEastAsia"/>
                <w:szCs w:val="21"/>
                <w:lang w:val="en-US" w:eastAsia="zh-CN"/>
              </w:rPr>
              <w:t>总价</w:t>
            </w:r>
            <w:r>
              <w:rPr>
                <w:rFonts w:hint="eastAsia" w:asciiTheme="minorEastAsia" w:hAnsiTheme="minorEastAsia" w:eastAsiaTheme="minorEastAsia"/>
                <w:szCs w:val="21"/>
              </w:rPr>
              <w:t>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709" w:type="dxa"/>
            <w:vAlign w:val="center"/>
          </w:tcPr>
          <w:p>
            <w:pPr>
              <w:jc w:val="center"/>
              <w:rPr>
                <w:rFonts w:ascii="宋体" w:hAnsi="宋体"/>
                <w:color w:val="000000"/>
                <w:szCs w:val="21"/>
              </w:rPr>
            </w:pPr>
            <w:r>
              <w:rPr>
                <w:rFonts w:hint="eastAsia" w:ascii="宋体" w:hAnsi="宋体"/>
                <w:color w:val="000000"/>
                <w:szCs w:val="21"/>
              </w:rPr>
              <w:t>7</w:t>
            </w:r>
          </w:p>
        </w:tc>
        <w:tc>
          <w:tcPr>
            <w:tcW w:w="1843" w:type="dxa"/>
            <w:vAlign w:val="center"/>
          </w:tcPr>
          <w:p>
            <w:pPr>
              <w:jc w:val="left"/>
              <w:rPr>
                <w:rFonts w:ascii="宋体" w:hAnsi="宋体"/>
                <w:color w:val="000000"/>
                <w:szCs w:val="21"/>
              </w:rPr>
            </w:pPr>
            <w:r>
              <w:rPr>
                <w:rFonts w:hint="eastAsia" w:ascii="宋体" w:hAnsi="宋体"/>
                <w:color w:val="000000"/>
                <w:szCs w:val="21"/>
              </w:rPr>
              <w:t>质量标准</w:t>
            </w:r>
          </w:p>
        </w:tc>
        <w:tc>
          <w:tcPr>
            <w:tcW w:w="7229" w:type="dxa"/>
            <w:vAlign w:val="center"/>
          </w:tcPr>
          <w:p>
            <w:pPr>
              <w:jc w:val="left"/>
              <w:rPr>
                <w:rFonts w:ascii="宋体" w:hAnsi="宋体"/>
                <w:dstrike/>
                <w:szCs w:val="21"/>
              </w:rPr>
            </w:pPr>
            <w:r>
              <w:rPr>
                <w:rFonts w:hint="eastAsia"/>
                <w:color w:val="000000"/>
                <w:szCs w:val="21"/>
              </w:rPr>
              <w:t>质量合格，符合国家相关技术规范要求，一次性通过南宁市供电管理部门的验收及接火通电。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09" w:type="dxa"/>
            <w:vAlign w:val="center"/>
          </w:tcPr>
          <w:p>
            <w:pPr>
              <w:jc w:val="center"/>
              <w:rPr>
                <w:rFonts w:ascii="宋体" w:hAnsi="宋体"/>
                <w:color w:val="000000"/>
                <w:szCs w:val="21"/>
              </w:rPr>
            </w:pPr>
            <w:r>
              <w:rPr>
                <w:rFonts w:hint="eastAsia" w:ascii="宋体" w:hAnsi="宋体"/>
                <w:color w:val="000000"/>
                <w:szCs w:val="21"/>
              </w:rPr>
              <w:t>8</w:t>
            </w:r>
          </w:p>
        </w:tc>
        <w:tc>
          <w:tcPr>
            <w:tcW w:w="1843" w:type="dxa"/>
            <w:vAlign w:val="center"/>
          </w:tcPr>
          <w:p>
            <w:pPr>
              <w:jc w:val="left"/>
              <w:rPr>
                <w:rFonts w:ascii="宋体" w:hAnsi="宋体"/>
                <w:color w:val="000000"/>
                <w:szCs w:val="21"/>
              </w:rPr>
            </w:pPr>
            <w:r>
              <w:rPr>
                <w:rFonts w:hint="eastAsia" w:ascii="宋体" w:hAnsi="宋体"/>
                <w:color w:val="000000"/>
                <w:szCs w:val="21"/>
              </w:rPr>
              <w:t>采购方式</w:t>
            </w:r>
          </w:p>
        </w:tc>
        <w:tc>
          <w:tcPr>
            <w:tcW w:w="7229" w:type="dxa"/>
            <w:vAlign w:val="center"/>
          </w:tcPr>
          <w:p>
            <w:pPr>
              <w:jc w:val="left"/>
              <w:rPr>
                <w:rFonts w:ascii="宋体" w:hAnsi="宋体"/>
                <w:szCs w:val="21"/>
              </w:rPr>
            </w:pPr>
            <w:r>
              <w:rPr>
                <w:rFonts w:hint="eastAsia" w:ascii="宋体" w:hAnsi="宋体"/>
                <w:szCs w:val="21"/>
              </w:rPr>
              <w:t>公开比选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09" w:type="dxa"/>
            <w:vAlign w:val="center"/>
          </w:tcPr>
          <w:p>
            <w:pPr>
              <w:jc w:val="center"/>
              <w:rPr>
                <w:rFonts w:ascii="宋体" w:hAnsi="宋体"/>
                <w:color w:val="000000"/>
                <w:szCs w:val="21"/>
              </w:rPr>
            </w:pPr>
            <w:r>
              <w:rPr>
                <w:rFonts w:hint="eastAsia" w:ascii="宋体" w:hAnsi="宋体"/>
                <w:color w:val="000000"/>
                <w:szCs w:val="21"/>
              </w:rPr>
              <w:t>9</w:t>
            </w:r>
          </w:p>
        </w:tc>
        <w:tc>
          <w:tcPr>
            <w:tcW w:w="1843" w:type="dxa"/>
            <w:vAlign w:val="center"/>
          </w:tcPr>
          <w:p>
            <w:pPr>
              <w:jc w:val="left"/>
              <w:rPr>
                <w:rFonts w:ascii="宋体" w:hAnsi="宋体"/>
                <w:color w:val="000000"/>
                <w:szCs w:val="21"/>
              </w:rPr>
            </w:pPr>
            <w:r>
              <w:rPr>
                <w:rFonts w:hint="eastAsia" w:ascii="宋体" w:hAnsi="宋体"/>
                <w:color w:val="000000"/>
                <w:szCs w:val="21"/>
              </w:rPr>
              <w:t>采购范围</w:t>
            </w:r>
          </w:p>
        </w:tc>
        <w:tc>
          <w:tcPr>
            <w:tcW w:w="7229" w:type="dxa"/>
            <w:vAlign w:val="center"/>
          </w:tcPr>
          <w:p>
            <w:pPr>
              <w:autoSpaceDE w:val="0"/>
              <w:autoSpaceDN w:val="0"/>
              <w:rPr>
                <w:rFonts w:ascii="宋体" w:hAnsi="宋体" w:cs="宋体"/>
                <w:szCs w:val="21"/>
                <w:lang w:val="zh-CN"/>
              </w:rPr>
            </w:pPr>
            <w:r>
              <w:rPr>
                <w:rFonts w:hint="eastAsia" w:ascii="宋体" w:hAnsi="宋体" w:cs="宋体"/>
                <w:szCs w:val="21"/>
                <w:lang w:val="zh-CN"/>
              </w:rPr>
              <w:t>（1）工程施工范围包含设施基础、设备吊运、翻新及管道安装、电缆敷设、电杆架设、系统调试以及按施工图中的内容及做法进行施工的所有内容。</w:t>
            </w:r>
          </w:p>
          <w:p>
            <w:pPr>
              <w:autoSpaceDE w:val="0"/>
              <w:autoSpaceDN w:val="0"/>
              <w:rPr>
                <w:rFonts w:ascii="宋体" w:hAnsi="宋体" w:cs="宋体"/>
                <w:szCs w:val="21"/>
                <w:lang w:val="zh-CN"/>
              </w:rPr>
            </w:pPr>
            <w:r>
              <w:rPr>
                <w:rFonts w:hint="eastAsia" w:ascii="宋体" w:hAnsi="宋体" w:cs="宋体"/>
                <w:szCs w:val="21"/>
                <w:lang w:val="zh-CN"/>
              </w:rPr>
              <w:t>（2）具体以采购人提供的图纸、工程量清单、答疑纪要及最后发出的澄清或修改为准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09" w:type="dxa"/>
            <w:vAlign w:val="center"/>
          </w:tcPr>
          <w:p>
            <w:pPr>
              <w:jc w:val="center"/>
              <w:rPr>
                <w:rFonts w:ascii="宋体" w:hAnsi="宋体"/>
                <w:color w:val="000000"/>
                <w:szCs w:val="21"/>
              </w:rPr>
            </w:pPr>
            <w:r>
              <w:rPr>
                <w:rFonts w:hint="eastAsia" w:ascii="宋体" w:hAnsi="宋体"/>
                <w:color w:val="000000"/>
                <w:szCs w:val="21"/>
              </w:rPr>
              <w:t>10</w:t>
            </w:r>
          </w:p>
        </w:tc>
        <w:tc>
          <w:tcPr>
            <w:tcW w:w="1843" w:type="dxa"/>
            <w:vAlign w:val="center"/>
          </w:tcPr>
          <w:p>
            <w:pPr>
              <w:jc w:val="left"/>
              <w:rPr>
                <w:rFonts w:ascii="宋体" w:hAnsi="宋体"/>
                <w:color w:val="000000"/>
                <w:szCs w:val="21"/>
              </w:rPr>
            </w:pPr>
            <w:r>
              <w:rPr>
                <w:rFonts w:hint="eastAsia" w:ascii="宋体" w:hAnsi="宋体"/>
                <w:color w:val="000000"/>
                <w:szCs w:val="21"/>
              </w:rPr>
              <w:t>工期要求</w:t>
            </w:r>
          </w:p>
        </w:tc>
        <w:tc>
          <w:tcPr>
            <w:tcW w:w="7229" w:type="dxa"/>
            <w:vAlign w:val="center"/>
          </w:tcPr>
          <w:p>
            <w:pPr>
              <w:spacing w:line="360" w:lineRule="auto"/>
              <w:textAlignment w:val="baseline"/>
              <w:rPr>
                <w:rFonts w:ascii="宋体" w:hAnsi="宋体"/>
                <w:szCs w:val="21"/>
              </w:rPr>
            </w:pPr>
            <w:r>
              <w:rPr>
                <w:rFonts w:hint="eastAsia" w:ascii="宋体" w:hAnsi="宋体"/>
                <w:szCs w:val="21"/>
              </w:rPr>
              <w:t>总工期</w:t>
            </w:r>
            <w:r>
              <w:rPr>
                <w:rFonts w:ascii="宋体" w:hAnsi="宋体"/>
                <w:szCs w:val="21"/>
              </w:rPr>
              <w:t>60</w:t>
            </w:r>
            <w:r>
              <w:rPr>
                <w:rFonts w:hint="eastAsia" w:ascii="宋体" w:hAnsi="宋体"/>
                <w:szCs w:val="21"/>
              </w:rPr>
              <w:t>天，具体为</w:t>
            </w:r>
            <w:r>
              <w:rPr>
                <w:rFonts w:ascii="宋体" w:hAnsi="宋体"/>
                <w:szCs w:val="21"/>
              </w:rPr>
              <w:t>40</w:t>
            </w:r>
            <w:r>
              <w:rPr>
                <w:rFonts w:hint="eastAsia" w:ascii="宋体" w:hAnsi="宋体"/>
                <w:szCs w:val="21"/>
              </w:rPr>
              <w:t xml:space="preserve">天内完成竣工验收，从竣工合格之日起算，5天内通过供电部门验收，然后 </w:t>
            </w:r>
            <w:r>
              <w:rPr>
                <w:rFonts w:ascii="宋体" w:hAnsi="宋体"/>
                <w:szCs w:val="21"/>
              </w:rPr>
              <w:t>15</w:t>
            </w:r>
            <w:r>
              <w:rPr>
                <w:rFonts w:hint="eastAsia" w:ascii="宋体" w:hAnsi="宋体"/>
                <w:szCs w:val="21"/>
              </w:rPr>
              <w:t xml:space="preserve"> 天内完成接火通电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09" w:type="dxa"/>
            <w:vAlign w:val="center"/>
          </w:tcPr>
          <w:p>
            <w:pPr>
              <w:jc w:val="center"/>
              <w:rPr>
                <w:rFonts w:ascii="宋体" w:hAnsi="宋体"/>
                <w:color w:val="000000"/>
                <w:szCs w:val="21"/>
              </w:rPr>
            </w:pPr>
            <w:r>
              <w:rPr>
                <w:rFonts w:hint="eastAsia" w:ascii="宋体" w:hAnsi="宋体"/>
                <w:color w:val="000000"/>
                <w:szCs w:val="21"/>
              </w:rPr>
              <w:t>11</w:t>
            </w:r>
          </w:p>
        </w:tc>
        <w:tc>
          <w:tcPr>
            <w:tcW w:w="1843" w:type="dxa"/>
            <w:vAlign w:val="center"/>
          </w:tcPr>
          <w:p>
            <w:pPr>
              <w:jc w:val="left"/>
              <w:rPr>
                <w:rFonts w:ascii="宋体" w:hAnsi="宋体"/>
                <w:color w:val="000000"/>
                <w:szCs w:val="21"/>
              </w:rPr>
            </w:pPr>
            <w:r>
              <w:rPr>
                <w:rFonts w:hint="eastAsia" w:ascii="宋体" w:hAnsi="宋体"/>
                <w:color w:val="000000"/>
                <w:szCs w:val="21"/>
              </w:rPr>
              <w:t>资金来源</w:t>
            </w:r>
          </w:p>
        </w:tc>
        <w:tc>
          <w:tcPr>
            <w:tcW w:w="7229" w:type="dxa"/>
            <w:vAlign w:val="center"/>
          </w:tcPr>
          <w:p>
            <w:pPr>
              <w:rPr>
                <w:rFonts w:ascii="宋体" w:hAnsi="宋体"/>
                <w:szCs w:val="21"/>
              </w:rPr>
            </w:pPr>
            <w:r>
              <w:rPr>
                <w:rFonts w:ascii="宋体" w:hAnsi="宋体"/>
                <w:bCs/>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09" w:type="dxa"/>
            <w:vAlign w:val="center"/>
          </w:tcPr>
          <w:p>
            <w:pPr>
              <w:jc w:val="center"/>
              <w:rPr>
                <w:rFonts w:ascii="宋体" w:hAnsi="宋体"/>
                <w:color w:val="000000"/>
                <w:szCs w:val="21"/>
              </w:rPr>
            </w:pPr>
            <w:r>
              <w:rPr>
                <w:rFonts w:hint="eastAsia" w:ascii="宋体" w:hAnsi="宋体"/>
                <w:color w:val="000000"/>
                <w:szCs w:val="21"/>
              </w:rPr>
              <w:t>12</w:t>
            </w:r>
          </w:p>
        </w:tc>
        <w:tc>
          <w:tcPr>
            <w:tcW w:w="1843" w:type="dxa"/>
            <w:vAlign w:val="center"/>
          </w:tcPr>
          <w:p>
            <w:pPr>
              <w:jc w:val="left"/>
              <w:rPr>
                <w:rFonts w:ascii="宋体" w:hAnsi="宋体"/>
                <w:color w:val="000000"/>
                <w:szCs w:val="21"/>
              </w:rPr>
            </w:pPr>
            <w:r>
              <w:rPr>
                <w:rFonts w:hint="eastAsia" w:ascii="宋体" w:hAnsi="宋体"/>
                <w:color w:val="000000"/>
                <w:szCs w:val="21"/>
              </w:rPr>
              <w:t>响应人资质</w:t>
            </w:r>
          </w:p>
          <w:p>
            <w:pPr>
              <w:jc w:val="left"/>
              <w:rPr>
                <w:rFonts w:ascii="宋体" w:hAnsi="宋体"/>
                <w:color w:val="000000"/>
                <w:szCs w:val="21"/>
              </w:rPr>
            </w:pPr>
            <w:r>
              <w:rPr>
                <w:rFonts w:hint="eastAsia" w:ascii="宋体" w:hAnsi="宋体"/>
                <w:color w:val="000000"/>
                <w:szCs w:val="21"/>
              </w:rPr>
              <w:t>等级要求</w:t>
            </w:r>
          </w:p>
        </w:tc>
        <w:tc>
          <w:tcPr>
            <w:tcW w:w="7229" w:type="dxa"/>
            <w:vAlign w:val="center"/>
          </w:tcPr>
          <w:p>
            <w:pPr>
              <w:pStyle w:val="20"/>
              <w:rPr>
                <w:rFonts w:hint="eastAsia" w:ascii="宋体" w:hAnsi="宋体" w:eastAsia="宋体"/>
                <w:szCs w:val="21"/>
                <w:lang w:eastAsia="zh-CN"/>
              </w:rPr>
            </w:pPr>
            <w:r>
              <w:rPr>
                <w:rFonts w:hint="eastAsia" w:hAnsi="宋体" w:cs="宋体"/>
                <w:color w:val="000000"/>
                <w:spacing w:val="-10"/>
                <w:lang w:eastAsia="zh-CN"/>
              </w:rPr>
              <w:t>要求具备电力工程施工总承包资质三级与承装（修、试）电力设施资质五级及以上，省外企业须在广西电网备案，具有成熟的配电工程施工经验及实力。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09" w:type="dxa"/>
            <w:vAlign w:val="center"/>
          </w:tcPr>
          <w:p>
            <w:pPr>
              <w:jc w:val="center"/>
              <w:rPr>
                <w:rFonts w:ascii="宋体" w:hAnsi="宋体"/>
                <w:color w:val="000000"/>
                <w:szCs w:val="21"/>
              </w:rPr>
            </w:pPr>
            <w:r>
              <w:rPr>
                <w:rFonts w:hint="eastAsia" w:ascii="宋体" w:hAnsi="宋体"/>
                <w:color w:val="000000"/>
                <w:szCs w:val="21"/>
              </w:rPr>
              <w:t>13</w:t>
            </w:r>
          </w:p>
        </w:tc>
        <w:tc>
          <w:tcPr>
            <w:tcW w:w="1843" w:type="dxa"/>
            <w:vAlign w:val="center"/>
          </w:tcPr>
          <w:p>
            <w:pPr>
              <w:jc w:val="left"/>
              <w:rPr>
                <w:rFonts w:ascii="宋体" w:hAnsi="宋体"/>
                <w:color w:val="000000"/>
                <w:szCs w:val="21"/>
              </w:rPr>
            </w:pPr>
            <w:r>
              <w:rPr>
                <w:rFonts w:hint="eastAsia" w:ascii="宋体" w:hAnsi="宋体"/>
                <w:color w:val="000000"/>
                <w:szCs w:val="21"/>
              </w:rPr>
              <w:t>工程报价方式</w:t>
            </w:r>
          </w:p>
        </w:tc>
        <w:tc>
          <w:tcPr>
            <w:tcW w:w="7229" w:type="dxa"/>
            <w:vAlign w:val="center"/>
          </w:tcPr>
          <w:p>
            <w:pPr>
              <w:rPr>
                <w:rFonts w:ascii="宋体" w:hAnsi="宋体"/>
                <w:dstrike/>
                <w:szCs w:val="21"/>
              </w:rPr>
            </w:pPr>
            <w:r>
              <w:rPr>
                <w:rFonts w:hint="eastAsia" w:ascii="宋体" w:hAnsi="宋体"/>
                <w:szCs w:val="21"/>
              </w:rPr>
              <w:t>工程量清单计价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09" w:type="dxa"/>
            <w:vAlign w:val="center"/>
          </w:tcPr>
          <w:p>
            <w:pPr>
              <w:jc w:val="center"/>
              <w:rPr>
                <w:rFonts w:hint="eastAsia" w:ascii="宋体" w:hAnsi="宋体"/>
                <w:color w:val="000000"/>
                <w:szCs w:val="21"/>
              </w:rPr>
            </w:pPr>
            <w:r>
              <w:rPr>
                <w:rFonts w:hint="eastAsia" w:ascii="宋体" w:hAnsi="宋体"/>
                <w:color w:val="000000"/>
                <w:szCs w:val="21"/>
              </w:rPr>
              <w:t>14</w:t>
            </w:r>
          </w:p>
        </w:tc>
        <w:tc>
          <w:tcPr>
            <w:tcW w:w="1843" w:type="dxa"/>
            <w:vAlign w:val="center"/>
          </w:tcPr>
          <w:p>
            <w:pPr>
              <w:jc w:val="left"/>
              <w:rPr>
                <w:rFonts w:hint="default" w:ascii="宋体" w:hAnsi="宋体" w:eastAsia="宋体"/>
                <w:color w:val="000000"/>
                <w:szCs w:val="21"/>
                <w:lang w:val="en-US" w:eastAsia="zh-CN"/>
              </w:rPr>
            </w:pPr>
            <w:r>
              <w:rPr>
                <w:rFonts w:hint="eastAsia" w:ascii="宋体" w:hAnsi="宋体"/>
                <w:color w:val="000000"/>
                <w:szCs w:val="21"/>
                <w:lang w:val="en-US" w:eastAsia="zh-CN"/>
              </w:rPr>
              <w:t>业绩要求</w:t>
            </w:r>
          </w:p>
        </w:tc>
        <w:tc>
          <w:tcPr>
            <w:tcW w:w="7229" w:type="dxa"/>
            <w:vAlign w:val="center"/>
          </w:tcPr>
          <w:p>
            <w:pPr>
              <w:rPr>
                <w:rFonts w:hint="eastAsia" w:ascii="宋体" w:hAnsi="宋体"/>
                <w:szCs w:val="21"/>
              </w:rPr>
            </w:pPr>
            <w:r>
              <w:rPr>
                <w:rFonts w:hint="eastAsia" w:ascii="宋体" w:hAnsi="宋体"/>
                <w:szCs w:val="21"/>
                <w:lang w:val="en-US" w:eastAsia="zh-CN"/>
              </w:rPr>
              <w:t>2019年-至今，</w:t>
            </w:r>
            <w:r>
              <w:rPr>
                <w:rFonts w:hint="eastAsia" w:ascii="宋体" w:hAnsi="宋体"/>
                <w:sz w:val="21"/>
                <w:szCs w:val="21"/>
              </w:rPr>
              <w:t>在南宁供电局</w:t>
            </w:r>
            <w:r>
              <w:rPr>
                <w:rFonts w:hint="eastAsia" w:ascii="宋体" w:hAnsi="宋体" w:eastAsia="宋体" w:cs="宋体"/>
                <w:sz w:val="21"/>
                <w:szCs w:val="21"/>
              </w:rPr>
              <w:t>城西</w:t>
            </w:r>
            <w:r>
              <w:rPr>
                <w:rFonts w:hint="eastAsia" w:ascii="宋体" w:hAnsi="宋体"/>
                <w:sz w:val="21"/>
                <w:szCs w:val="21"/>
              </w:rPr>
              <w:t>分局所辖区域有</w:t>
            </w:r>
            <w:r>
              <w:rPr>
                <w:rFonts w:hint="eastAsia" w:ascii="宋体" w:hAnsi="宋体" w:eastAsia="宋体"/>
                <w:sz w:val="21"/>
                <w:szCs w:val="21"/>
              </w:rPr>
              <w:t>5个安装变压器容量在2*630KVA及以上并通过验收的施工合同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jc w:val="center"/>
              <w:rPr>
                <w:rFonts w:ascii="宋体" w:hAnsi="宋体"/>
                <w:color w:val="000000"/>
                <w:szCs w:val="21"/>
              </w:rPr>
            </w:pPr>
            <w:r>
              <w:rPr>
                <w:rFonts w:hint="eastAsia" w:ascii="宋体" w:hAnsi="宋体"/>
                <w:color w:val="000000"/>
                <w:szCs w:val="21"/>
              </w:rPr>
              <w:t>15</w:t>
            </w:r>
          </w:p>
        </w:tc>
        <w:tc>
          <w:tcPr>
            <w:tcW w:w="1843" w:type="dxa"/>
            <w:vAlign w:val="center"/>
          </w:tcPr>
          <w:p>
            <w:pPr>
              <w:jc w:val="left"/>
              <w:rPr>
                <w:rFonts w:ascii="宋体" w:hAnsi="宋体"/>
                <w:szCs w:val="21"/>
              </w:rPr>
            </w:pPr>
            <w:r>
              <w:rPr>
                <w:rFonts w:hint="eastAsia" w:ascii="宋体" w:hAnsi="宋体"/>
                <w:szCs w:val="21"/>
              </w:rPr>
              <w:t>响应有效期</w:t>
            </w:r>
          </w:p>
        </w:tc>
        <w:tc>
          <w:tcPr>
            <w:tcW w:w="7229" w:type="dxa"/>
            <w:vAlign w:val="center"/>
          </w:tcPr>
          <w:p>
            <w:pPr>
              <w:jc w:val="left"/>
              <w:rPr>
                <w:rFonts w:ascii="宋体" w:hAnsi="宋体"/>
                <w:szCs w:val="21"/>
              </w:rPr>
            </w:pPr>
            <w:r>
              <w:rPr>
                <w:rFonts w:hint="eastAsia" w:ascii="宋体" w:hAnsi="宋体"/>
                <w:szCs w:val="21"/>
              </w:rPr>
              <w:t>60日历天（从响应截止之日算起）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09" w:type="dxa"/>
            <w:vAlign w:val="center"/>
          </w:tcPr>
          <w:p>
            <w:pPr>
              <w:jc w:val="center"/>
              <w:rPr>
                <w:rFonts w:ascii="宋体" w:hAnsi="宋体"/>
                <w:color w:val="000000"/>
                <w:szCs w:val="21"/>
              </w:rPr>
            </w:pPr>
            <w:r>
              <w:rPr>
                <w:rFonts w:hint="eastAsia" w:ascii="宋体" w:hAnsi="宋体"/>
                <w:color w:val="000000"/>
                <w:szCs w:val="21"/>
              </w:rPr>
              <w:t>16</w:t>
            </w:r>
          </w:p>
        </w:tc>
        <w:tc>
          <w:tcPr>
            <w:tcW w:w="1843" w:type="dxa"/>
            <w:vAlign w:val="center"/>
          </w:tcPr>
          <w:p>
            <w:pPr>
              <w:spacing w:line="360" w:lineRule="auto"/>
              <w:rPr>
                <w:rFonts w:ascii="宋体" w:hAnsi="宋体"/>
                <w:color w:val="000000"/>
                <w:szCs w:val="21"/>
              </w:rPr>
            </w:pPr>
            <w:r>
              <w:rPr>
                <w:rFonts w:hint="eastAsia" w:ascii="宋体" w:hAnsi="宋体"/>
                <w:color w:val="000000"/>
                <w:szCs w:val="21"/>
              </w:rPr>
              <w:t>采购施工图</w:t>
            </w:r>
          </w:p>
        </w:tc>
        <w:tc>
          <w:tcPr>
            <w:tcW w:w="7229" w:type="dxa"/>
            <w:vAlign w:val="center"/>
          </w:tcPr>
          <w:p>
            <w:pPr>
              <w:spacing w:line="360" w:lineRule="exact"/>
              <w:rPr>
                <w:rFonts w:hint="default" w:eastAsia="宋体"/>
                <w:szCs w:val="21"/>
                <w:lang w:val="en-US" w:eastAsia="zh-CN"/>
              </w:rPr>
            </w:pPr>
            <w:r>
              <w:rPr>
                <w:rFonts w:hint="eastAsia" w:cs="Arial"/>
                <w:bCs/>
                <w:szCs w:val="21"/>
              </w:rPr>
              <w:t>南宁轨道地产集团有限责任公司</w:t>
            </w:r>
            <w:r>
              <w:rPr>
                <w:rFonts w:hint="eastAsia" w:ascii="宋体" w:hAnsi="宋体"/>
                <w:szCs w:val="21"/>
              </w:rPr>
              <w:t>向响应人无偿提供项目使用的施工图纸</w:t>
            </w:r>
            <w:r>
              <w:rPr>
                <w:rFonts w:hint="eastAsia" w:ascii="宋体" w:hAnsi="宋体"/>
                <w:szCs w:val="21"/>
                <w:lang w:eastAsia="zh-CN"/>
              </w:rPr>
              <w:t>，</w:t>
            </w:r>
            <w:r>
              <w:rPr>
                <w:rFonts w:hint="eastAsia" w:ascii="宋体" w:hAnsi="宋体"/>
                <w:szCs w:val="21"/>
                <w:lang w:val="en-US" w:eastAsia="zh-CN"/>
              </w:rPr>
              <w:t>由响应自行</w:t>
            </w:r>
            <w:r>
              <w:rPr>
                <w:rFonts w:hint="eastAsia" w:ascii="宋体" w:hAnsi="宋体"/>
                <w:highlight w:val="none"/>
                <w:lang w:val="en-US" w:eastAsia="zh-CN"/>
              </w:rPr>
              <w:t>在南宁轨道地产集团有限责公司官网：</w:t>
            </w:r>
            <w:r>
              <w:rPr>
                <w:rFonts w:hint="eastAsia" w:ascii="宋体" w:hAnsi="宋体"/>
                <w:highlight w:val="none"/>
                <w:lang w:val="en-US" w:eastAsia="zh-CN"/>
              </w:rPr>
              <w:fldChar w:fldCharType="begin"/>
            </w:r>
            <w:r>
              <w:rPr>
                <w:rFonts w:hint="eastAsia" w:ascii="宋体" w:hAnsi="宋体"/>
                <w:highlight w:val="none"/>
                <w:lang w:val="en-US" w:eastAsia="zh-CN"/>
              </w:rPr>
              <w:instrText xml:space="preserve"> HYPERLINK "http://www.nngddc.com/" </w:instrText>
            </w:r>
            <w:r>
              <w:rPr>
                <w:rFonts w:hint="eastAsia" w:ascii="宋体" w:hAnsi="宋体"/>
                <w:highlight w:val="none"/>
                <w:lang w:val="en-US" w:eastAsia="zh-CN"/>
              </w:rPr>
              <w:fldChar w:fldCharType="separate"/>
            </w:r>
            <w:r>
              <w:rPr>
                <w:rStyle w:val="17"/>
                <w:rFonts w:hint="eastAsia" w:ascii="宋体" w:hAnsi="宋体"/>
                <w:highlight w:val="none"/>
                <w:lang w:val="en-US" w:eastAsia="zh-CN"/>
              </w:rPr>
              <w:t>http://www.nngddc.com/</w:t>
            </w:r>
            <w:r>
              <w:rPr>
                <w:rFonts w:hint="eastAsia" w:ascii="宋体" w:hAnsi="宋体"/>
                <w:highlight w:val="none"/>
                <w:lang w:val="en-US" w:eastAsia="zh-CN"/>
              </w:rPr>
              <w:fldChar w:fldCharType="end"/>
            </w:r>
            <w:r>
              <w:rPr>
                <w:rFonts w:hint="eastAsia" w:ascii="宋体" w:hAnsi="宋体"/>
                <w:highlight w:val="none"/>
                <w:lang w:val="en-US" w:eastAsia="zh-CN"/>
              </w:rPr>
              <w:t xml:space="preserve"> 的新闻中心的招标公告及公告栏下载。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09" w:type="dxa"/>
            <w:vAlign w:val="center"/>
          </w:tcPr>
          <w:p>
            <w:pPr>
              <w:jc w:val="center"/>
              <w:rPr>
                <w:rFonts w:ascii="宋体" w:hAnsi="宋体"/>
                <w:color w:val="000000"/>
                <w:szCs w:val="21"/>
              </w:rPr>
            </w:pPr>
            <w:r>
              <w:rPr>
                <w:rFonts w:hint="eastAsia" w:ascii="宋体" w:hAnsi="宋体"/>
                <w:color w:val="000000"/>
                <w:szCs w:val="21"/>
              </w:rPr>
              <w:t>17</w:t>
            </w:r>
          </w:p>
        </w:tc>
        <w:tc>
          <w:tcPr>
            <w:tcW w:w="1843" w:type="dxa"/>
            <w:vAlign w:val="center"/>
          </w:tcPr>
          <w:p>
            <w:pPr>
              <w:rPr>
                <w:rFonts w:ascii="宋体" w:hAnsi="宋体"/>
                <w:color w:val="000000"/>
                <w:szCs w:val="21"/>
              </w:rPr>
            </w:pPr>
            <w:r>
              <w:rPr>
                <w:rFonts w:hint="eastAsia" w:ascii="宋体" w:hAnsi="宋体"/>
                <w:color w:val="000000"/>
                <w:szCs w:val="21"/>
              </w:rPr>
              <w:t>踏勘现场</w:t>
            </w:r>
          </w:p>
        </w:tc>
        <w:tc>
          <w:tcPr>
            <w:tcW w:w="7229" w:type="dxa"/>
            <w:vAlign w:val="center"/>
          </w:tcPr>
          <w:p>
            <w:pPr>
              <w:rPr>
                <w:rFonts w:hint="default" w:ascii="宋体" w:hAnsi="宋体" w:eastAsia="宋体"/>
                <w:color w:val="000000"/>
                <w:szCs w:val="21"/>
                <w:lang w:val="en-US" w:eastAsia="zh-CN"/>
              </w:rPr>
            </w:pPr>
            <w:r>
              <w:rPr>
                <w:rFonts w:hint="eastAsia" w:ascii="宋体" w:hAnsi="宋体"/>
                <w:color w:val="000000"/>
                <w:szCs w:val="21"/>
              </w:rPr>
              <w:t>响应</w:t>
            </w:r>
            <w:r>
              <w:rPr>
                <w:rFonts w:hint="eastAsia" w:ascii="宋体" w:hAnsi="宋体"/>
                <w:color w:val="000000"/>
                <w:szCs w:val="21"/>
                <w:lang w:val="en-US" w:eastAsia="zh-CN"/>
              </w:rPr>
              <w:t>人</w:t>
            </w:r>
            <w:r>
              <w:rPr>
                <w:rFonts w:hint="eastAsia" w:ascii="宋体" w:hAnsi="宋体"/>
                <w:color w:val="000000"/>
                <w:szCs w:val="21"/>
              </w:rPr>
              <w:t>自行安排踏勘现场，采购人现场负责人：</w:t>
            </w:r>
            <w:r>
              <w:rPr>
                <w:rFonts w:hint="eastAsia" w:ascii="宋体" w:hAnsi="宋体"/>
                <w:b/>
                <w:szCs w:val="21"/>
                <w:u w:val="single"/>
                <w:lang w:val="en-US" w:eastAsia="zh-CN"/>
              </w:rPr>
              <w:t>卓韬 13657718098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09" w:type="dxa"/>
            <w:vAlign w:val="center"/>
          </w:tcPr>
          <w:p>
            <w:pPr>
              <w:jc w:val="center"/>
              <w:rPr>
                <w:rFonts w:ascii="宋体" w:hAnsi="宋体"/>
                <w:color w:val="000000"/>
                <w:szCs w:val="21"/>
              </w:rPr>
            </w:pPr>
            <w:r>
              <w:rPr>
                <w:rFonts w:hint="eastAsia" w:ascii="宋体" w:hAnsi="宋体"/>
                <w:color w:val="000000"/>
                <w:szCs w:val="21"/>
              </w:rPr>
              <w:t>18</w:t>
            </w:r>
          </w:p>
        </w:tc>
        <w:tc>
          <w:tcPr>
            <w:tcW w:w="1843" w:type="dxa"/>
            <w:vAlign w:val="center"/>
          </w:tcPr>
          <w:p>
            <w:pPr>
              <w:rPr>
                <w:rFonts w:ascii="宋体" w:hAnsi="宋体"/>
                <w:color w:val="000000"/>
                <w:szCs w:val="21"/>
              </w:rPr>
            </w:pPr>
            <w:r>
              <w:rPr>
                <w:rFonts w:hint="eastAsia" w:ascii="宋体" w:hAnsi="宋体"/>
                <w:color w:val="000000"/>
                <w:szCs w:val="21"/>
              </w:rPr>
              <w:t>响应文件份数</w:t>
            </w:r>
          </w:p>
        </w:tc>
        <w:tc>
          <w:tcPr>
            <w:tcW w:w="7229" w:type="dxa"/>
            <w:vAlign w:val="center"/>
          </w:tcPr>
          <w:p>
            <w:pPr>
              <w:rPr>
                <w:rFonts w:ascii="宋体" w:hAnsi="宋体"/>
                <w:color w:val="000000"/>
                <w:szCs w:val="21"/>
              </w:rPr>
            </w:pPr>
            <w:r>
              <w:rPr>
                <w:rFonts w:hint="eastAsia" w:ascii="宋体" w:hAnsi="宋体"/>
                <w:color w:val="000000"/>
                <w:szCs w:val="21"/>
              </w:rPr>
              <w:t>正本一份，副本</w:t>
            </w:r>
            <w:r>
              <w:rPr>
                <w:rFonts w:hint="eastAsia" w:ascii="宋体" w:hAnsi="宋体"/>
                <w:color w:val="000000"/>
                <w:szCs w:val="21"/>
                <w:lang w:val="en-US" w:eastAsia="zh-CN"/>
              </w:rPr>
              <w:t>四</w:t>
            </w:r>
            <w:r>
              <w:rPr>
                <w:rFonts w:hint="eastAsia" w:ascii="宋体" w:hAnsi="宋体"/>
                <w:color w:val="000000"/>
                <w:szCs w:val="21"/>
              </w:rPr>
              <w:t>份；分开装订成册，合并密封。</w:t>
            </w:r>
            <w:r>
              <w:rPr>
                <w:rFonts w:hint="eastAsia" w:ascii="宋体" w:hAnsi="宋体"/>
                <w:color w:val="000000"/>
                <w:szCs w:val="21"/>
                <w:lang w:val="en-US" w:eastAsia="zh-CN"/>
              </w:rPr>
              <w:t>电子响应文件以U盘形式储存，单独密封提交。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color w:val="000000"/>
                <w:szCs w:val="21"/>
              </w:rPr>
            </w:pPr>
            <w:r>
              <w:rPr>
                <w:rFonts w:hint="eastAsia" w:ascii="宋体" w:hAnsi="宋体"/>
                <w:color w:val="000000"/>
                <w:szCs w:val="21"/>
              </w:rPr>
              <w:t>19</w:t>
            </w:r>
          </w:p>
        </w:tc>
        <w:tc>
          <w:tcPr>
            <w:tcW w:w="1843" w:type="dxa"/>
            <w:vAlign w:val="center"/>
          </w:tcPr>
          <w:p>
            <w:pPr>
              <w:jc w:val="left"/>
              <w:rPr>
                <w:rFonts w:ascii="宋体" w:hAnsi="宋体"/>
                <w:color w:val="000000"/>
                <w:szCs w:val="21"/>
              </w:rPr>
            </w:pPr>
            <w:r>
              <w:rPr>
                <w:rFonts w:hint="eastAsia" w:ascii="宋体" w:hAnsi="宋体"/>
                <w:color w:val="000000"/>
                <w:szCs w:val="21"/>
              </w:rPr>
              <w:t>响应文件提交地点及截止时间</w:t>
            </w:r>
          </w:p>
        </w:tc>
        <w:tc>
          <w:tcPr>
            <w:tcW w:w="7229" w:type="dxa"/>
            <w:vAlign w:val="center"/>
          </w:tcPr>
          <w:p>
            <w:pPr>
              <w:rPr>
                <w:szCs w:val="21"/>
              </w:rPr>
            </w:pPr>
            <w:r>
              <w:rPr>
                <w:rFonts w:hint="eastAsia"/>
                <w:szCs w:val="21"/>
                <w:lang w:val="en-US" w:eastAsia="zh-CN"/>
              </w:rPr>
              <w:t>地址</w:t>
            </w:r>
            <w:r>
              <w:rPr>
                <w:rFonts w:hint="eastAsia"/>
                <w:szCs w:val="21"/>
              </w:rPr>
              <w:t>：</w:t>
            </w:r>
            <w:r>
              <w:rPr>
                <w:rFonts w:hint="eastAsia" w:cs="宋体" w:asciiTheme="minorEastAsia" w:hAnsiTheme="minorEastAsia"/>
                <w:bCs/>
                <w:spacing w:val="-10"/>
                <w:szCs w:val="21"/>
              </w:rPr>
              <w:t>广西南宁市青秀区凤岭北路111号（南宁国际旅游中心楼宇A座）10层南宁轨道地产集团有限责任公司合约</w:t>
            </w:r>
            <w:r>
              <w:rPr>
                <w:rFonts w:hint="eastAsia" w:cs="宋体" w:asciiTheme="minorEastAsia" w:hAnsiTheme="minorEastAsia"/>
                <w:bCs/>
                <w:spacing w:val="-10"/>
                <w:szCs w:val="21"/>
                <w:lang w:val="en-US" w:eastAsia="zh-CN"/>
              </w:rPr>
              <w:t>法规部</w:t>
            </w:r>
            <w:r>
              <w:rPr>
                <w:rFonts w:hint="eastAsia" w:cs="宋体" w:asciiTheme="minorEastAsia" w:hAnsiTheme="minorEastAsia"/>
                <w:bCs/>
                <w:spacing w:val="-10"/>
                <w:szCs w:val="21"/>
              </w:rPr>
              <w:t>1011号房。</w:t>
            </w:r>
          </w:p>
          <w:p>
            <w:pPr>
              <w:rPr>
                <w:b/>
                <w:szCs w:val="21"/>
              </w:rPr>
            </w:pPr>
            <w:r>
              <w:rPr>
                <w:rFonts w:hint="eastAsia"/>
                <w:color w:val="000000"/>
                <w:szCs w:val="21"/>
              </w:rPr>
              <w:t>截止</w:t>
            </w:r>
            <w:r>
              <w:rPr>
                <w:rFonts w:hint="eastAsia"/>
                <w:szCs w:val="21"/>
              </w:rPr>
              <w:t>时间：</w:t>
            </w:r>
            <w:r>
              <w:rPr>
                <w:rFonts w:hint="eastAsia"/>
                <w:b/>
                <w:szCs w:val="21"/>
                <w:u w:val="single"/>
              </w:rPr>
              <w:t>202</w:t>
            </w:r>
            <w:r>
              <w:rPr>
                <w:rFonts w:hint="eastAsia"/>
                <w:b/>
                <w:szCs w:val="21"/>
                <w:u w:val="single"/>
                <w:lang w:val="en-US" w:eastAsia="zh-CN"/>
              </w:rPr>
              <w:t>2</w:t>
            </w:r>
            <w:r>
              <w:rPr>
                <w:b/>
                <w:szCs w:val="21"/>
              </w:rPr>
              <w:t>年</w:t>
            </w:r>
            <w:r>
              <w:rPr>
                <w:rFonts w:hint="eastAsia"/>
                <w:b/>
                <w:szCs w:val="21"/>
                <w:u w:val="single"/>
                <w:lang w:val="en-US" w:eastAsia="zh-CN"/>
              </w:rPr>
              <w:t>11</w:t>
            </w:r>
            <w:r>
              <w:rPr>
                <w:b/>
                <w:szCs w:val="21"/>
              </w:rPr>
              <w:t>月</w:t>
            </w:r>
            <w:r>
              <w:rPr>
                <w:rFonts w:hint="eastAsia"/>
                <w:b/>
                <w:szCs w:val="21"/>
                <w:highlight w:val="yellow"/>
                <w:u w:val="single"/>
                <w:lang w:val="en-US" w:eastAsia="zh-CN"/>
              </w:rPr>
              <w:t>10</w:t>
            </w:r>
            <w:bookmarkStart w:id="61" w:name="_GoBack"/>
            <w:bookmarkEnd w:id="61"/>
            <w:r>
              <w:rPr>
                <w:b/>
                <w:szCs w:val="21"/>
              </w:rPr>
              <w:t>日北京时间</w:t>
            </w:r>
            <w:r>
              <w:rPr>
                <w:rFonts w:hint="eastAsia"/>
                <w:b/>
                <w:szCs w:val="21"/>
              </w:rPr>
              <w:t>上午</w:t>
            </w:r>
            <w:r>
              <w:rPr>
                <w:rFonts w:hint="eastAsia"/>
                <w:b/>
                <w:szCs w:val="21"/>
                <w:u w:val="single"/>
              </w:rPr>
              <w:t xml:space="preserve"> 09 </w:t>
            </w:r>
            <w:r>
              <w:rPr>
                <w:rFonts w:hint="eastAsia"/>
                <w:b/>
                <w:szCs w:val="21"/>
              </w:rPr>
              <w:t>:</w:t>
            </w:r>
            <w:r>
              <w:rPr>
                <w:rFonts w:hint="eastAsia"/>
                <w:b/>
                <w:szCs w:val="21"/>
                <w:u w:val="single"/>
                <w:lang w:val="en-US" w:eastAsia="zh-CN"/>
              </w:rPr>
              <w:t>3</w:t>
            </w:r>
            <w:r>
              <w:rPr>
                <w:rFonts w:hint="eastAsia"/>
                <w:b/>
                <w:szCs w:val="21"/>
                <w:u w:val="single"/>
              </w:rPr>
              <w:t>0</w:t>
            </w:r>
            <w:r>
              <w:rPr>
                <w:rFonts w:hint="eastAsia"/>
                <w:b/>
                <w:szCs w:val="21"/>
              </w:rPr>
              <w:t>前</w:t>
            </w:r>
          </w:p>
          <w:p>
            <w:pPr>
              <w:rPr>
                <w:szCs w:val="21"/>
              </w:rPr>
            </w:pPr>
            <w:r>
              <w:rPr>
                <w:rFonts w:hint="eastAsia"/>
                <w:szCs w:val="21"/>
              </w:rPr>
              <w:t>联系人：</w:t>
            </w:r>
            <w:r>
              <w:rPr>
                <w:rFonts w:hint="eastAsia"/>
                <w:szCs w:val="21"/>
                <w:lang w:val="en-US" w:eastAsia="zh-CN"/>
              </w:rPr>
              <w:t>张</w:t>
            </w:r>
            <w:r>
              <w:rPr>
                <w:rFonts w:hint="eastAsia"/>
                <w:szCs w:val="21"/>
              </w:rPr>
              <w:t>先生    电话：0771-5522035</w:t>
            </w:r>
          </w:p>
          <w:p>
            <w:pPr>
              <w:rPr>
                <w:szCs w:val="21"/>
              </w:rPr>
            </w:pPr>
            <w:r>
              <w:rPr>
                <w:rFonts w:hint="eastAsia"/>
                <w:b/>
                <w:szCs w:val="21"/>
              </w:rPr>
              <w:t>注：如超过有效时间提交的投标文件，视为无效文件。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709" w:type="dxa"/>
            <w:vAlign w:val="center"/>
          </w:tcPr>
          <w:p>
            <w:pPr>
              <w:jc w:val="center"/>
              <w:rPr>
                <w:rFonts w:ascii="宋体" w:hAnsi="宋体"/>
                <w:color w:val="000000"/>
                <w:szCs w:val="21"/>
              </w:rPr>
            </w:pPr>
            <w:r>
              <w:rPr>
                <w:rFonts w:hint="eastAsia" w:ascii="宋体" w:hAnsi="宋体"/>
                <w:color w:val="000000"/>
                <w:szCs w:val="21"/>
              </w:rPr>
              <w:t>20</w:t>
            </w:r>
          </w:p>
        </w:tc>
        <w:tc>
          <w:tcPr>
            <w:tcW w:w="1843" w:type="dxa"/>
            <w:vAlign w:val="center"/>
          </w:tcPr>
          <w:p>
            <w:pPr>
              <w:pStyle w:val="21"/>
              <w:rPr>
                <w:rFonts w:ascii="宋体" w:hAnsi="宋体"/>
                <w:szCs w:val="21"/>
              </w:rPr>
            </w:pPr>
            <w:r>
              <w:rPr>
                <w:rFonts w:hint="eastAsia" w:ascii="宋体" w:hAnsi="宋体"/>
                <w:szCs w:val="21"/>
              </w:rPr>
              <w:t>采购文件答疑时间</w:t>
            </w:r>
          </w:p>
        </w:tc>
        <w:tc>
          <w:tcPr>
            <w:tcW w:w="7229" w:type="dxa"/>
            <w:vAlign w:val="center"/>
          </w:tcPr>
          <w:p>
            <w:pPr>
              <w:pStyle w:val="21"/>
              <w:ind w:left="315" w:hanging="315" w:hangingChars="150"/>
              <w:rPr>
                <w:rFonts w:ascii="宋体" w:hAnsi="宋体"/>
                <w:szCs w:val="21"/>
              </w:rPr>
            </w:pPr>
            <w:r>
              <w:rPr>
                <w:rFonts w:hint="eastAsia" w:ascii="宋体" w:hAnsi="宋体"/>
                <w:szCs w:val="21"/>
              </w:rPr>
              <w:t>1、</w:t>
            </w:r>
            <w:r>
              <w:rPr>
                <w:rFonts w:hint="eastAsia" w:ascii="宋体" w:hAnsi="宋体"/>
                <w:szCs w:val="21"/>
                <w:lang w:val="en-US" w:eastAsia="zh-CN"/>
              </w:rPr>
              <w:t>各</w:t>
            </w:r>
            <w:r>
              <w:rPr>
                <w:rFonts w:hint="eastAsia" w:ascii="宋体" w:hAnsi="宋体"/>
                <w:szCs w:val="21"/>
              </w:rPr>
              <w:t>响应人需以书面形式通知采购人。采购人对收到的答疑将以书面形式予以答复并发给所有响应人。</w:t>
            </w:r>
          </w:p>
          <w:p>
            <w:pPr>
              <w:pStyle w:val="21"/>
              <w:rPr>
                <w:rFonts w:ascii="宋体" w:hAnsi="宋体"/>
                <w:b/>
                <w:szCs w:val="21"/>
              </w:rPr>
            </w:pPr>
            <w:r>
              <w:rPr>
                <w:rFonts w:hint="eastAsia" w:ascii="宋体" w:hAnsi="宋体"/>
                <w:b/>
                <w:szCs w:val="21"/>
              </w:rPr>
              <w:t>2、提交答疑截止时间为：</w:t>
            </w:r>
            <w:r>
              <w:rPr>
                <w:rFonts w:hint="eastAsia" w:ascii="宋体" w:hAnsi="宋体"/>
                <w:b/>
                <w:szCs w:val="21"/>
                <w:lang w:val="en-US" w:eastAsia="zh-CN"/>
              </w:rPr>
              <w:t>采购截止时间前3日</w:t>
            </w:r>
            <w:r>
              <w:rPr>
                <w:rFonts w:hint="eastAsia" w:ascii="宋体" w:hAnsi="宋体"/>
                <w:b/>
                <w:szCs w:val="21"/>
              </w:rPr>
              <w:t>。</w:t>
            </w:r>
          </w:p>
          <w:p>
            <w:pPr>
              <w:pStyle w:val="21"/>
              <w:rPr>
                <w:rFonts w:ascii="宋体" w:hAnsi="宋体"/>
                <w:b/>
                <w:szCs w:val="21"/>
              </w:rPr>
            </w:pPr>
            <w:r>
              <w:rPr>
                <w:rFonts w:hint="eastAsia" w:ascii="宋体" w:hAnsi="宋体"/>
                <w:b/>
                <w:szCs w:val="21"/>
              </w:rPr>
              <w:t>3、如超过上诉时间，采购人不再进行任何答疑回复，后果由响应人自行承担。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709" w:type="dxa"/>
            <w:vAlign w:val="center"/>
          </w:tcPr>
          <w:p>
            <w:pPr>
              <w:jc w:val="center"/>
              <w:rPr>
                <w:rFonts w:hint="eastAsia" w:ascii="宋体" w:hAnsi="宋体" w:eastAsia="宋体"/>
                <w:color w:val="000000"/>
                <w:szCs w:val="21"/>
                <w:lang w:eastAsia="zh-CN"/>
              </w:rPr>
            </w:pPr>
            <w:r>
              <w:rPr>
                <w:rFonts w:hint="eastAsia" w:ascii="宋体" w:hAnsi="宋体"/>
                <w:color w:val="000000"/>
                <w:szCs w:val="21"/>
              </w:rPr>
              <w:t>2</w:t>
            </w:r>
            <w:r>
              <w:rPr>
                <w:rFonts w:hint="eastAsia" w:ascii="宋体" w:hAnsi="宋体"/>
                <w:color w:val="000000"/>
                <w:szCs w:val="21"/>
                <w:lang w:val="en-US" w:eastAsia="zh-CN"/>
              </w:rPr>
              <w:t>1</w:t>
            </w:r>
          </w:p>
        </w:tc>
        <w:tc>
          <w:tcPr>
            <w:tcW w:w="1843" w:type="dxa"/>
            <w:vAlign w:val="center"/>
          </w:tcPr>
          <w:p>
            <w:pPr>
              <w:rPr>
                <w:rFonts w:ascii="宋体" w:hAnsi="宋体"/>
                <w:szCs w:val="21"/>
              </w:rPr>
            </w:pPr>
            <w:r>
              <w:rPr>
                <w:rFonts w:hint="eastAsia" w:ascii="宋体" w:hAnsi="宋体"/>
                <w:szCs w:val="21"/>
              </w:rPr>
              <w:t>评审方法及标准</w:t>
            </w:r>
          </w:p>
        </w:tc>
        <w:tc>
          <w:tcPr>
            <w:tcW w:w="7229" w:type="dxa"/>
            <w:vAlign w:val="center"/>
          </w:tcPr>
          <w:p>
            <w:pPr>
              <w:pStyle w:val="5"/>
              <w:widowControl/>
              <w:adjustRightInd/>
              <w:spacing w:line="240" w:lineRule="auto"/>
              <w:jc w:val="both"/>
              <w:textAlignment w:val="auto"/>
              <w:rPr>
                <w:rFonts w:ascii="宋体" w:hAnsi="宋体"/>
                <w:dstrike/>
                <w:sz w:val="21"/>
                <w:szCs w:val="21"/>
              </w:rPr>
            </w:pPr>
            <w:r>
              <w:rPr>
                <w:rFonts w:hint="eastAsia" w:ascii="宋体" w:hAnsi="宋体"/>
                <w:sz w:val="21"/>
                <w:szCs w:val="21"/>
                <w:lang w:val="en-US" w:eastAsia="zh-CN"/>
              </w:rPr>
              <w:t>最低价</w:t>
            </w:r>
            <w:r>
              <w:rPr>
                <w:rFonts w:hint="eastAsia" w:ascii="宋体" w:hAnsi="宋体"/>
                <w:sz w:val="21"/>
                <w:szCs w:val="21"/>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09" w:type="dxa"/>
            <w:vAlign w:val="center"/>
          </w:tcPr>
          <w:p>
            <w:pPr>
              <w:jc w:val="center"/>
              <w:rPr>
                <w:rFonts w:hint="eastAsia" w:ascii="宋体" w:hAnsi="宋体" w:eastAsia="宋体"/>
                <w:color w:val="000000"/>
                <w:szCs w:val="21"/>
                <w:lang w:eastAsia="zh-CN"/>
              </w:rPr>
            </w:pPr>
            <w:r>
              <w:rPr>
                <w:rFonts w:hint="eastAsia" w:ascii="宋体" w:hAnsi="宋体"/>
                <w:color w:val="000000"/>
                <w:szCs w:val="21"/>
              </w:rPr>
              <w:t>2</w:t>
            </w:r>
            <w:r>
              <w:rPr>
                <w:rFonts w:hint="eastAsia" w:ascii="宋体" w:hAnsi="宋体"/>
                <w:color w:val="000000"/>
                <w:szCs w:val="21"/>
                <w:lang w:val="en-US" w:eastAsia="zh-CN"/>
              </w:rPr>
              <w:t>2</w:t>
            </w:r>
          </w:p>
        </w:tc>
        <w:tc>
          <w:tcPr>
            <w:tcW w:w="1843" w:type="dxa"/>
            <w:vAlign w:val="center"/>
          </w:tcPr>
          <w:p>
            <w:pPr>
              <w:pStyle w:val="20"/>
              <w:rPr>
                <w:rFonts w:ascii="宋体" w:hAnsi="宋体"/>
                <w:szCs w:val="21"/>
              </w:rPr>
            </w:pPr>
            <w:r>
              <w:rPr>
                <w:rFonts w:hint="eastAsia" w:ascii="宋体" w:hAnsi="宋体"/>
                <w:szCs w:val="21"/>
              </w:rPr>
              <w:t>比选评审地点</w:t>
            </w:r>
          </w:p>
        </w:tc>
        <w:tc>
          <w:tcPr>
            <w:tcW w:w="7229" w:type="dxa"/>
            <w:vAlign w:val="center"/>
          </w:tcPr>
          <w:p>
            <w:pPr>
              <w:rPr>
                <w:b/>
                <w:szCs w:val="21"/>
              </w:rPr>
            </w:pPr>
            <w:r>
              <w:rPr>
                <w:rFonts w:hint="eastAsia" w:cs="Arial"/>
                <w:b/>
                <w:bCs/>
                <w:szCs w:val="21"/>
              </w:rPr>
              <w:t>南宁轨道地产集团有限责任公司</w:t>
            </w:r>
            <w:r>
              <w:rPr>
                <w:rFonts w:hint="eastAsia"/>
                <w:b/>
                <w:szCs w:val="21"/>
                <w:lang w:eastAsia="zh-CN"/>
              </w:rPr>
              <w:t>评审</w:t>
            </w:r>
            <w:r>
              <w:rPr>
                <w:rFonts w:hint="eastAsia"/>
                <w:b/>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09" w:type="dxa"/>
            <w:vAlign w:val="center"/>
          </w:tcPr>
          <w:p>
            <w:pPr>
              <w:jc w:val="center"/>
              <w:rPr>
                <w:rFonts w:hint="eastAsia" w:ascii="宋体" w:hAnsi="宋体" w:eastAsia="宋体"/>
                <w:color w:val="000000"/>
                <w:szCs w:val="21"/>
                <w:lang w:eastAsia="zh-CN"/>
              </w:rPr>
            </w:pPr>
            <w:r>
              <w:rPr>
                <w:rFonts w:hint="eastAsia" w:ascii="宋体" w:hAnsi="宋体"/>
                <w:color w:val="000000"/>
                <w:szCs w:val="21"/>
              </w:rPr>
              <w:t>2</w:t>
            </w:r>
            <w:r>
              <w:rPr>
                <w:rFonts w:hint="eastAsia" w:ascii="宋体" w:hAnsi="宋体"/>
                <w:color w:val="000000"/>
                <w:szCs w:val="21"/>
                <w:lang w:val="en-US" w:eastAsia="zh-CN"/>
              </w:rPr>
              <w:t>3</w:t>
            </w:r>
          </w:p>
        </w:tc>
        <w:tc>
          <w:tcPr>
            <w:tcW w:w="1843" w:type="dxa"/>
            <w:vAlign w:val="center"/>
          </w:tcPr>
          <w:p>
            <w:pPr>
              <w:pStyle w:val="20"/>
              <w:rPr>
                <w:rFonts w:ascii="宋体" w:hAnsi="宋体"/>
                <w:szCs w:val="21"/>
              </w:rPr>
            </w:pPr>
            <w:r>
              <w:rPr>
                <w:rFonts w:hint="eastAsia" w:ascii="宋体" w:hAnsi="宋体"/>
                <w:szCs w:val="21"/>
              </w:rPr>
              <w:t>成交结果</w:t>
            </w:r>
          </w:p>
        </w:tc>
        <w:tc>
          <w:tcPr>
            <w:tcW w:w="7229" w:type="dxa"/>
            <w:vAlign w:val="center"/>
          </w:tcPr>
          <w:p>
            <w:pPr>
              <w:rPr>
                <w:szCs w:val="21"/>
              </w:rPr>
            </w:pPr>
            <w:r>
              <w:rPr>
                <w:rFonts w:hint="eastAsia" w:ascii="宋体" w:hAnsi="宋体"/>
                <w:b/>
                <w:szCs w:val="24"/>
              </w:rPr>
              <w:t>评审结束后，请自行登录</w:t>
            </w:r>
            <w:r>
              <w:fldChar w:fldCharType="begin"/>
            </w:r>
            <w:r>
              <w:instrText xml:space="preserve"> HYPERLINK "http://www.nngddc.com" </w:instrText>
            </w:r>
            <w:r>
              <w:fldChar w:fldCharType="separate"/>
            </w:r>
            <w:r>
              <w:rPr>
                <w:rStyle w:val="17"/>
                <w:rFonts w:hint="eastAsia" w:ascii="宋体" w:hAnsi="宋体" w:cs="Arial"/>
                <w:b/>
                <w:szCs w:val="24"/>
              </w:rPr>
              <w:t>http://www.nngddc.com</w:t>
            </w:r>
            <w:r>
              <w:rPr>
                <w:rStyle w:val="17"/>
                <w:rFonts w:hint="eastAsia" w:ascii="宋体" w:hAnsi="宋体" w:cs="Arial"/>
                <w:b/>
                <w:szCs w:val="24"/>
              </w:rPr>
              <w:fldChar w:fldCharType="end"/>
            </w:r>
            <w:r>
              <w:rPr>
                <w:rFonts w:hint="eastAsia" w:ascii="宋体" w:hAnsi="宋体" w:cs="Arial"/>
                <w:b/>
                <w:szCs w:val="24"/>
              </w:rPr>
              <w:t>采购信息栏</w:t>
            </w:r>
            <w:r>
              <w:rPr>
                <w:rFonts w:hint="eastAsia" w:ascii="宋体" w:hAnsi="宋体"/>
                <w:b/>
                <w:szCs w:val="24"/>
              </w:rPr>
              <w:t>查询成交结果公示公告。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09" w:type="dxa"/>
            <w:vAlign w:val="center"/>
          </w:tcPr>
          <w:p>
            <w:pPr>
              <w:jc w:val="center"/>
              <w:rPr>
                <w:rFonts w:hint="eastAsia" w:ascii="宋体" w:hAnsi="宋体" w:eastAsia="宋体"/>
                <w:color w:val="000000"/>
                <w:szCs w:val="21"/>
                <w:lang w:eastAsia="zh-CN"/>
              </w:rPr>
            </w:pPr>
            <w:r>
              <w:rPr>
                <w:rFonts w:hint="eastAsia" w:ascii="宋体" w:hAnsi="宋体"/>
                <w:color w:val="000000"/>
                <w:szCs w:val="21"/>
              </w:rPr>
              <w:t>2</w:t>
            </w:r>
            <w:r>
              <w:rPr>
                <w:rFonts w:hint="eastAsia" w:ascii="宋体" w:hAnsi="宋体"/>
                <w:color w:val="000000"/>
                <w:szCs w:val="21"/>
                <w:lang w:val="en-US" w:eastAsia="zh-CN"/>
              </w:rPr>
              <w:t>4</w:t>
            </w:r>
          </w:p>
        </w:tc>
        <w:tc>
          <w:tcPr>
            <w:tcW w:w="1843" w:type="dxa"/>
            <w:vAlign w:val="center"/>
          </w:tcPr>
          <w:p>
            <w:pPr>
              <w:pStyle w:val="20"/>
              <w:rPr>
                <w:rFonts w:ascii="宋体" w:hAnsi="宋体"/>
                <w:szCs w:val="21"/>
              </w:rPr>
            </w:pPr>
            <w:r>
              <w:rPr>
                <w:rFonts w:hint="eastAsia" w:ascii="宋体" w:hAnsi="宋体"/>
                <w:szCs w:val="21"/>
              </w:rPr>
              <w:t>签订合同</w:t>
            </w:r>
          </w:p>
        </w:tc>
        <w:tc>
          <w:tcPr>
            <w:tcW w:w="7229" w:type="dxa"/>
            <w:vAlign w:val="center"/>
          </w:tcPr>
          <w:p>
            <w:pPr>
              <w:rPr>
                <w:szCs w:val="21"/>
              </w:rPr>
            </w:pPr>
            <w:r>
              <w:rPr>
                <w:rFonts w:hint="eastAsia"/>
                <w:szCs w:val="21"/>
              </w:rPr>
              <w:t>最终成交通知书发出后</w:t>
            </w:r>
            <w:r>
              <w:rPr>
                <w:rFonts w:hint="eastAsia"/>
                <w:szCs w:val="21"/>
                <w:u w:val="single"/>
              </w:rPr>
              <w:t>30</w:t>
            </w:r>
            <w:r>
              <w:rPr>
                <w:rFonts w:hint="eastAsia"/>
                <w:szCs w:val="21"/>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09" w:type="dxa"/>
            <w:vAlign w:val="center"/>
          </w:tcPr>
          <w:p>
            <w:pPr>
              <w:jc w:val="center"/>
              <w:rPr>
                <w:rFonts w:hint="default" w:ascii="宋体" w:hAnsi="宋体" w:eastAsia="宋体"/>
                <w:color w:val="000000"/>
                <w:szCs w:val="21"/>
                <w:lang w:val="en-US" w:eastAsia="zh-CN"/>
              </w:rPr>
            </w:pPr>
            <w:r>
              <w:rPr>
                <w:rFonts w:hint="eastAsia" w:ascii="宋体" w:hAnsi="宋体"/>
                <w:color w:val="000000"/>
                <w:szCs w:val="21"/>
                <w:lang w:val="en-US" w:eastAsia="zh-CN"/>
              </w:rPr>
              <w:t>25</w:t>
            </w:r>
          </w:p>
        </w:tc>
        <w:tc>
          <w:tcPr>
            <w:tcW w:w="1843" w:type="dxa"/>
            <w:vAlign w:val="center"/>
          </w:tcPr>
          <w:p>
            <w:pPr>
              <w:pStyle w:val="20"/>
              <w:rPr>
                <w:rFonts w:hint="eastAsia" w:ascii="宋体" w:hAnsi="宋体" w:eastAsia="宋体"/>
                <w:szCs w:val="21"/>
                <w:lang w:val="en-US" w:eastAsia="zh-CN"/>
              </w:rPr>
            </w:pPr>
            <w:r>
              <w:rPr>
                <w:rFonts w:hint="eastAsia" w:ascii="宋体" w:hAnsi="宋体"/>
                <w:szCs w:val="21"/>
                <w:lang w:val="en-US" w:eastAsia="zh-CN"/>
              </w:rPr>
              <w:t>履约保证金</w:t>
            </w:r>
          </w:p>
        </w:tc>
        <w:tc>
          <w:tcPr>
            <w:tcW w:w="722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ind w:left="0" w:right="0" w:firstLine="0" w:firstLineChars="0"/>
              <w:textAlignment w:val="auto"/>
              <w:rPr>
                <w:rFonts w:hint="eastAsia" w:ascii="宋体" w:hAnsi="宋体" w:eastAsia="宋体" w:cs="宋体"/>
                <w:bCs/>
                <w:color w:val="auto"/>
                <w:highlight w:val="none"/>
                <w:lang w:eastAsia="zh-CN"/>
              </w:rPr>
            </w:pPr>
            <w:r>
              <w:rPr>
                <w:rFonts w:hint="eastAsia" w:ascii="宋体" w:hAnsi="宋体" w:eastAsia="宋体" w:cs="宋体"/>
                <w:bCs/>
                <w:color w:val="auto"/>
                <w:highlight w:val="none"/>
              </w:rPr>
              <w:t>开户名称：</w:t>
            </w:r>
            <w:r>
              <w:rPr>
                <w:rFonts w:hint="eastAsia" w:ascii="宋体" w:hAnsi="宋体" w:cs="宋体"/>
                <w:bCs/>
                <w:color w:val="auto"/>
                <w:highlight w:val="none"/>
                <w:lang w:eastAsia="zh-CN"/>
              </w:rPr>
              <w:t>南宁轨道锦绣中尧房地产有限公司</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0" w:firstLineChars="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开户行：招商银行股份有限公司南宁分行</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0" w:firstLineChars="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银行帐号：771902854910101</w:t>
            </w:r>
          </w:p>
          <w:p>
            <w:pPr>
              <w:spacing w:line="360" w:lineRule="auto"/>
              <w:textAlignment w:val="baseline"/>
              <w:rPr>
                <w:rFonts w:hint="default" w:eastAsia="宋体"/>
                <w:szCs w:val="21"/>
                <w:lang w:val="en-US" w:eastAsia="zh-CN"/>
              </w:rPr>
            </w:pPr>
            <w:r>
              <w:rPr>
                <w:rFonts w:hint="eastAsia" w:ascii="宋体" w:hAnsi="宋体" w:eastAsia="宋体" w:cs="宋体"/>
                <w:bCs/>
                <w:color w:val="auto"/>
                <w:highlight w:val="none"/>
                <w:lang w:val="en-US" w:eastAsia="zh-CN"/>
              </w:rPr>
              <w:t>采购</w:t>
            </w:r>
            <w:r>
              <w:rPr>
                <w:rFonts w:hint="eastAsia" w:ascii="宋体" w:hAnsi="宋体" w:eastAsia="宋体" w:cs="宋体"/>
                <w:bCs/>
                <w:color w:val="auto"/>
                <w:highlight w:val="none"/>
              </w:rPr>
              <w:t>人与中</w:t>
            </w:r>
            <w:r>
              <w:rPr>
                <w:rFonts w:hint="eastAsia" w:ascii="宋体" w:hAnsi="宋体" w:eastAsia="宋体" w:cs="宋体"/>
                <w:bCs/>
                <w:color w:val="auto"/>
                <w:highlight w:val="none"/>
                <w:lang w:val="en-US" w:eastAsia="zh-CN"/>
              </w:rPr>
              <w:t>选</w:t>
            </w:r>
            <w:r>
              <w:rPr>
                <w:rFonts w:hint="eastAsia" w:ascii="宋体" w:hAnsi="宋体" w:eastAsia="宋体" w:cs="宋体"/>
                <w:bCs/>
                <w:color w:val="auto"/>
                <w:highlight w:val="none"/>
              </w:rPr>
              <w:t>人签订项目合同</w:t>
            </w:r>
            <w:r>
              <w:rPr>
                <w:rFonts w:hint="eastAsia" w:ascii="宋体" w:hAnsi="宋体" w:eastAsia="宋体" w:cs="宋体"/>
                <w:bCs/>
                <w:color w:val="auto"/>
                <w:highlight w:val="none"/>
                <w:lang w:val="en-US" w:eastAsia="zh-CN"/>
              </w:rPr>
              <w:t>前</w:t>
            </w:r>
            <w:r>
              <w:rPr>
                <w:rFonts w:hint="eastAsia" w:ascii="宋体" w:hAnsi="宋体" w:eastAsia="宋体" w:cs="宋体"/>
                <w:bCs/>
                <w:color w:val="auto"/>
                <w:highlight w:val="none"/>
              </w:rPr>
              <w:t>，中</w:t>
            </w:r>
            <w:r>
              <w:rPr>
                <w:rFonts w:hint="eastAsia" w:ascii="宋体" w:hAnsi="宋体" w:eastAsia="宋体" w:cs="宋体"/>
                <w:bCs/>
                <w:color w:val="auto"/>
                <w:highlight w:val="none"/>
                <w:lang w:val="en-US" w:eastAsia="zh-CN"/>
              </w:rPr>
              <w:t>选</w:t>
            </w:r>
            <w:r>
              <w:rPr>
                <w:rFonts w:hint="eastAsia" w:ascii="宋体" w:hAnsi="宋体" w:eastAsia="宋体" w:cs="宋体"/>
                <w:bCs/>
                <w:color w:val="auto"/>
                <w:highlight w:val="none"/>
              </w:rPr>
              <w:t>单位按中</w:t>
            </w:r>
            <w:r>
              <w:rPr>
                <w:rFonts w:hint="eastAsia" w:ascii="宋体" w:hAnsi="宋体" w:eastAsia="宋体" w:cs="宋体"/>
                <w:bCs/>
                <w:color w:val="auto"/>
                <w:highlight w:val="none"/>
                <w:lang w:val="en-US" w:eastAsia="zh-CN"/>
              </w:rPr>
              <w:t>选</w:t>
            </w:r>
            <w:r>
              <w:rPr>
                <w:rFonts w:hint="eastAsia" w:ascii="宋体" w:hAnsi="宋体" w:eastAsia="宋体" w:cs="宋体"/>
                <w:bCs/>
                <w:color w:val="auto"/>
                <w:highlight w:val="none"/>
              </w:rPr>
              <w:t>价</w:t>
            </w:r>
            <w:r>
              <w:rPr>
                <w:rFonts w:hint="eastAsia" w:ascii="宋体" w:hAnsi="宋体" w:cs="宋体"/>
                <w:bCs/>
                <w:color w:val="auto"/>
                <w:highlight w:val="none"/>
                <w:lang w:val="en-US" w:eastAsia="zh-CN"/>
              </w:rPr>
              <w:t>5</w:t>
            </w:r>
            <w:r>
              <w:rPr>
                <w:rFonts w:hint="eastAsia" w:ascii="宋体" w:hAnsi="宋体" w:eastAsia="宋体" w:cs="宋体"/>
                <w:bCs/>
                <w:color w:val="auto"/>
                <w:highlight w:val="none"/>
              </w:rPr>
              <w:t>%缴纳履约保证金。待本次</w:t>
            </w:r>
            <w:r>
              <w:rPr>
                <w:rFonts w:hint="eastAsia" w:ascii="宋体" w:hAnsi="宋体" w:eastAsia="宋体" w:cs="宋体"/>
                <w:bCs/>
                <w:color w:val="auto"/>
                <w:highlight w:val="none"/>
                <w:lang w:val="en-US" w:eastAsia="zh-CN"/>
              </w:rPr>
              <w:t>采购</w:t>
            </w:r>
            <w:r>
              <w:rPr>
                <w:rFonts w:hint="eastAsia" w:ascii="宋体" w:hAnsi="宋体" w:eastAsia="宋体" w:cs="宋体"/>
                <w:bCs/>
                <w:color w:val="auto"/>
                <w:highlight w:val="none"/>
              </w:rPr>
              <w:t>工程完成并经安装调试验收合格后，一次性退还履约保证金（不计利息）。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709" w:type="dxa"/>
            <w:vAlign w:val="center"/>
          </w:tcPr>
          <w:p>
            <w:pPr>
              <w:jc w:val="center"/>
              <w:rPr>
                <w:rFonts w:hint="default" w:ascii="宋体" w:hAnsi="宋体" w:eastAsia="宋体"/>
                <w:color w:val="000000"/>
                <w:szCs w:val="21"/>
                <w:lang w:val="en-US" w:eastAsia="zh-CN"/>
              </w:rPr>
            </w:pPr>
            <w:r>
              <w:rPr>
                <w:rFonts w:hint="eastAsia" w:ascii="宋体" w:hAnsi="宋体"/>
                <w:color w:val="000000"/>
                <w:szCs w:val="21"/>
                <w:lang w:val="en-US" w:eastAsia="zh-CN"/>
              </w:rPr>
              <w:t>26</w:t>
            </w:r>
          </w:p>
        </w:tc>
        <w:tc>
          <w:tcPr>
            <w:tcW w:w="1843" w:type="dxa"/>
            <w:vAlign w:val="center"/>
          </w:tcPr>
          <w:p>
            <w:pPr>
              <w:spacing w:line="360" w:lineRule="auto"/>
              <w:rPr>
                <w:rFonts w:ascii="宋体" w:hAnsi="宋体"/>
                <w:color w:val="000000"/>
                <w:szCs w:val="21"/>
              </w:rPr>
            </w:pPr>
            <w:r>
              <w:rPr>
                <w:rFonts w:hint="eastAsia" w:ascii="宋体" w:hAnsi="宋体"/>
                <w:color w:val="000000"/>
                <w:szCs w:val="21"/>
              </w:rPr>
              <w:t>备注</w:t>
            </w:r>
          </w:p>
        </w:tc>
        <w:tc>
          <w:tcPr>
            <w:tcW w:w="7229" w:type="dxa"/>
            <w:vAlign w:val="center"/>
          </w:tcPr>
          <w:p>
            <w:pPr>
              <w:numPr>
                <w:ilvl w:val="0"/>
                <w:numId w:val="6"/>
              </w:numPr>
              <w:rPr>
                <w:rFonts w:hint="eastAsia"/>
              </w:rPr>
            </w:pPr>
            <w:r>
              <w:rPr>
                <w:rFonts w:hint="eastAsia"/>
              </w:rPr>
              <w:t>采购期间所发生的任何费用，由响应人自行承担。</w:t>
            </w:r>
          </w:p>
          <w:p>
            <w:pPr>
              <w:numPr>
                <w:ilvl w:val="0"/>
                <w:numId w:val="6"/>
              </w:numPr>
              <w:rPr>
                <w:rFonts w:hint="eastAsia"/>
              </w:rPr>
            </w:pPr>
            <w:r>
              <w:rPr>
                <w:rFonts w:hint="eastAsia"/>
                <w:lang w:val="en-US" w:eastAsia="zh-CN"/>
              </w:rPr>
              <w:t>采购文件及澄清文件在发布公告的网站上发布之日起，视为响应人已收到该文件。响应人未及时关注采购人在网站上发布的文件造成的损失，由响应人自行负责。</w:t>
            </w:r>
          </w:p>
          <w:p>
            <w:pPr>
              <w:numPr>
                <w:ilvl w:val="0"/>
                <w:numId w:val="6"/>
              </w:numPr>
              <w:rPr>
                <w:rFonts w:hint="eastAsia" w:ascii="Times New Roman" w:hAnsi="Times New Roman" w:eastAsia="宋体" w:cs="Times New Roman"/>
              </w:rPr>
            </w:pPr>
            <w:r>
              <w:rPr>
                <w:rFonts w:hint="eastAsia" w:ascii="Times New Roman" w:hAnsi="Times New Roman" w:eastAsia="宋体" w:cs="Times New Roman"/>
              </w:rPr>
              <w:t>施工提前进场要求，因工期紧迫，确定最终成交单位后，成交单位在未签订合同前务必配合组织安排进场施工准备。</w:t>
            </w:r>
          </w:p>
          <w:p>
            <w:pPr>
              <w:numPr>
                <w:ilvl w:val="0"/>
                <w:numId w:val="6"/>
              </w:numPr>
            </w:pPr>
            <w:r>
              <w:rPr>
                <w:rFonts w:hint="eastAsia" w:ascii="Times New Roman" w:hAnsi="Times New Roman" w:eastAsia="宋体" w:cs="Times New Roman"/>
                <w:lang w:val="en-US" w:eastAsia="zh-CN"/>
              </w:rPr>
              <w:t>本项目采用含税报价，在签订本项目合同时，遵循国家现行税法的相关规定在中选人不含税单价和合价的基础上逐项增加税费，并明确相应税率和税金。本合同最终税金在结算阶段，按实际产生的税金进行核算，但合同不含税价格不因国家税率调整而调整。</w:t>
            </w:r>
          </w:p>
        </w:tc>
      </w:tr>
    </w:tbl>
    <w:p>
      <w:pPr>
        <w:spacing w:line="360" w:lineRule="auto"/>
        <w:jc w:val="left"/>
        <w:rPr>
          <w:rFonts w:ascii="宋体" w:hAnsi="宋体"/>
          <w:b/>
          <w:color w:val="000000"/>
          <w:sz w:val="24"/>
          <w:szCs w:val="24"/>
        </w:rPr>
      </w:pPr>
    </w:p>
    <w:p>
      <w:pPr>
        <w:spacing w:line="460" w:lineRule="exact"/>
        <w:rPr>
          <w:b/>
        </w:rPr>
      </w:pPr>
      <w:r>
        <w:rPr>
          <w:sz w:val="24"/>
          <w:szCs w:val="24"/>
        </w:rPr>
        <w:br w:type="page"/>
      </w:r>
      <w:r>
        <w:rPr>
          <w:b/>
        </w:rPr>
        <w:t>1、工程说明</w:t>
      </w:r>
      <w:r>
        <w:rPr>
          <w:rFonts w:hint="eastAsia"/>
          <w:b/>
        </w:rPr>
        <w:t>:</w:t>
      </w:r>
    </w:p>
    <w:p>
      <w:pPr>
        <w:spacing w:line="460" w:lineRule="exact"/>
        <w:ind w:firstLine="371" w:firstLineChars="177"/>
      </w:pPr>
      <w:r>
        <w:t>1.1工程综合说明</w:t>
      </w:r>
    </w:p>
    <w:p>
      <w:pPr>
        <w:spacing w:line="460" w:lineRule="exact"/>
        <w:ind w:firstLine="371" w:firstLineChars="177"/>
        <w:rPr>
          <w:u w:val="single"/>
        </w:rPr>
      </w:pPr>
      <w:r>
        <w:t>按</w:t>
      </w:r>
      <w:r>
        <w:rPr>
          <w:rFonts w:hint="eastAsia"/>
        </w:rPr>
        <w:t>响应</w:t>
      </w:r>
      <w:r>
        <w:t>须知“前附表（以下简称前附表）第</w:t>
      </w:r>
      <w:r>
        <w:rPr>
          <w:rFonts w:hint="eastAsia"/>
        </w:rPr>
        <w:t>1-16</w:t>
      </w:r>
      <w:r>
        <w:t>项</w:t>
      </w:r>
      <w:r>
        <w:rPr>
          <w:rFonts w:hint="eastAsia"/>
        </w:rPr>
        <w:t>。</w:t>
      </w:r>
    </w:p>
    <w:p>
      <w:pPr>
        <w:spacing w:line="460" w:lineRule="exact"/>
        <w:ind w:firstLine="371" w:firstLineChars="177"/>
      </w:pPr>
      <w:r>
        <w:t>1.2上述工程按照《中华人民共和国招标投标法》以及有关法律、法规和规章，现通过</w:t>
      </w:r>
      <w:r>
        <w:rPr>
          <w:rFonts w:hint="eastAsia"/>
        </w:rPr>
        <w:t>采购</w:t>
      </w:r>
      <w:r>
        <w:t>来择优选定施工单位。</w:t>
      </w:r>
    </w:p>
    <w:p>
      <w:pPr>
        <w:spacing w:line="460" w:lineRule="exact"/>
        <w:ind w:firstLine="371" w:firstLineChars="177"/>
      </w:pPr>
      <w:r>
        <w:rPr>
          <w:rFonts w:hint="eastAsia"/>
        </w:rPr>
        <w:t>1.3响应</w:t>
      </w:r>
      <w:r>
        <w:t>人审查标准：</w:t>
      </w:r>
      <w:r>
        <w:rPr>
          <w:rFonts w:hint="eastAsia"/>
        </w:rPr>
        <w:t>通过符合性审查才能进入详评。详见第七章。</w:t>
      </w:r>
    </w:p>
    <w:p>
      <w:pPr>
        <w:spacing w:line="460" w:lineRule="exact"/>
        <w:rPr>
          <w:b/>
        </w:rPr>
      </w:pPr>
      <w:bookmarkStart w:id="10" w:name="_Toc516067340"/>
      <w:r>
        <w:rPr>
          <w:b/>
        </w:rPr>
        <w:t>2、资金情况</w:t>
      </w:r>
      <w:bookmarkEnd w:id="10"/>
      <w:r>
        <w:rPr>
          <w:rFonts w:hint="eastAsia"/>
          <w:b/>
        </w:rPr>
        <w:t>:</w:t>
      </w:r>
    </w:p>
    <w:p>
      <w:pPr>
        <w:spacing w:line="460" w:lineRule="exact"/>
        <w:ind w:firstLine="371" w:firstLineChars="177"/>
      </w:pPr>
      <w:r>
        <w:t>2.1资金来源：</w:t>
      </w:r>
      <w:r>
        <w:rPr>
          <w:rFonts w:hint="eastAsia"/>
        </w:rPr>
        <w:t>采购人</w:t>
      </w:r>
      <w:r>
        <w:t>的资金通过</w:t>
      </w:r>
      <w:r>
        <w:rPr>
          <w:rFonts w:hint="eastAsia"/>
          <w:u w:val="single"/>
        </w:rPr>
        <w:t>企业自筹</w:t>
      </w:r>
      <w:r>
        <w:t>方式获得，并将部分资金用于本工程合同项下的合格支付。</w:t>
      </w:r>
    </w:p>
    <w:p>
      <w:pPr>
        <w:spacing w:line="460" w:lineRule="exact"/>
        <w:ind w:firstLine="371" w:firstLineChars="177"/>
        <w:rPr>
          <w:u w:val="single"/>
        </w:rPr>
      </w:pPr>
      <w:r>
        <w:t>2.2资金到位及落实情况：</w:t>
      </w:r>
      <w:r>
        <w:rPr>
          <w:u w:val="single"/>
        </w:rPr>
        <w:t>已落实</w:t>
      </w:r>
      <w:r>
        <w:rPr>
          <w:rFonts w:hint="eastAsia"/>
          <w:u w:val="single"/>
        </w:rPr>
        <w:t>。</w:t>
      </w:r>
    </w:p>
    <w:p>
      <w:pPr>
        <w:spacing w:line="460" w:lineRule="exact"/>
        <w:rPr>
          <w:b/>
        </w:rPr>
      </w:pPr>
      <w:bookmarkStart w:id="11" w:name="_Toc516067341"/>
      <w:r>
        <w:rPr>
          <w:b/>
        </w:rPr>
        <w:t>3、</w:t>
      </w:r>
      <w:r>
        <w:rPr>
          <w:rFonts w:hint="eastAsia"/>
          <w:b/>
        </w:rPr>
        <w:t>响应</w:t>
      </w:r>
      <w:r>
        <w:rPr>
          <w:b/>
        </w:rPr>
        <w:t>费用</w:t>
      </w:r>
      <w:bookmarkEnd w:id="11"/>
      <w:r>
        <w:rPr>
          <w:rFonts w:hint="eastAsia"/>
          <w:b/>
        </w:rPr>
        <w:t>:</w:t>
      </w:r>
    </w:p>
    <w:p>
      <w:pPr>
        <w:spacing w:line="460" w:lineRule="exact"/>
        <w:ind w:firstLine="371" w:firstLineChars="177"/>
      </w:pPr>
      <w:r>
        <w:rPr>
          <w:rFonts w:hint="eastAsia"/>
        </w:rPr>
        <w:t>响应</w:t>
      </w:r>
      <w:r>
        <w:t>人应承担其编制</w:t>
      </w:r>
      <w:r>
        <w:rPr>
          <w:rFonts w:hint="eastAsia"/>
        </w:rPr>
        <w:t>响应</w:t>
      </w:r>
      <w:r>
        <w:t>文件与</w:t>
      </w:r>
      <w:r>
        <w:rPr>
          <w:rFonts w:hint="eastAsia"/>
        </w:rPr>
        <w:t>响应</w:t>
      </w:r>
      <w:r>
        <w:t>文件所涉及的一切费用。不管</w:t>
      </w:r>
      <w:r>
        <w:rPr>
          <w:rFonts w:hint="eastAsia"/>
        </w:rPr>
        <w:t>评审</w:t>
      </w:r>
      <w:r>
        <w:t>结果如何，</w:t>
      </w:r>
      <w:r>
        <w:rPr>
          <w:rFonts w:hint="eastAsia"/>
        </w:rPr>
        <w:t>采购人</w:t>
      </w:r>
      <w:r>
        <w:t>对上述费用不负任何责任。</w:t>
      </w:r>
    </w:p>
    <w:p>
      <w:pPr>
        <w:spacing w:line="460" w:lineRule="exact"/>
        <w:rPr>
          <w:b/>
          <w:highlight w:val="none"/>
        </w:rPr>
      </w:pPr>
      <w:bookmarkStart w:id="12" w:name="_Toc516067342"/>
      <w:r>
        <w:rPr>
          <w:b/>
          <w:highlight w:val="none"/>
        </w:rPr>
        <w:t>4、</w:t>
      </w:r>
      <w:r>
        <w:rPr>
          <w:rFonts w:hint="eastAsia"/>
          <w:b/>
          <w:highlight w:val="none"/>
        </w:rPr>
        <w:t>采购</w:t>
      </w:r>
      <w:r>
        <w:rPr>
          <w:b/>
          <w:highlight w:val="none"/>
        </w:rPr>
        <w:t>文件的组成</w:t>
      </w:r>
      <w:bookmarkEnd w:id="12"/>
      <w:r>
        <w:rPr>
          <w:rFonts w:hint="eastAsia"/>
          <w:b/>
          <w:highlight w:val="none"/>
        </w:rPr>
        <w:t>:</w:t>
      </w:r>
    </w:p>
    <w:p>
      <w:pPr>
        <w:spacing w:line="460" w:lineRule="exact"/>
        <w:ind w:firstLine="371" w:firstLineChars="177"/>
      </w:pPr>
      <w:r>
        <w:t>4.1本合同的</w:t>
      </w:r>
      <w:r>
        <w:rPr>
          <w:rFonts w:hint="eastAsia"/>
        </w:rPr>
        <w:t>采购</w:t>
      </w:r>
      <w:r>
        <w:t>文件包括下列文件及所有按本须知第</w:t>
      </w:r>
      <w:r>
        <w:rPr>
          <w:rFonts w:hint="eastAsia"/>
        </w:rPr>
        <w:t>19</w:t>
      </w:r>
      <w:r>
        <w:t>条所述的</w:t>
      </w:r>
      <w:r>
        <w:rPr>
          <w:rFonts w:hint="eastAsia"/>
        </w:rPr>
        <w:t>采购文件</w:t>
      </w:r>
      <w:r>
        <w:t>补遗。</w:t>
      </w:r>
    </w:p>
    <w:p>
      <w:pPr>
        <w:spacing w:line="460" w:lineRule="exact"/>
        <w:ind w:firstLine="371" w:firstLineChars="177"/>
      </w:pPr>
      <w:r>
        <w:rPr>
          <w:rFonts w:hint="eastAsia"/>
        </w:rPr>
        <w:t>采购</w:t>
      </w:r>
      <w:r>
        <w:t>文件包括下列内容：</w:t>
      </w:r>
    </w:p>
    <w:p>
      <w:pPr>
        <w:spacing w:line="460" w:lineRule="exact"/>
        <w:ind w:firstLine="371" w:firstLineChars="177"/>
        <w:rPr>
          <w:rFonts w:hint="eastAsia" w:eastAsia="宋体"/>
          <w:lang w:eastAsia="zh-CN"/>
        </w:rPr>
      </w:pPr>
      <w:r>
        <w:t>第一章</w:t>
      </w:r>
      <w:r>
        <w:rPr>
          <w:rFonts w:hint="eastAsia"/>
        </w:rPr>
        <w:t xml:space="preserve">  </w:t>
      </w:r>
      <w:r>
        <w:rPr>
          <w:rFonts w:hint="eastAsia"/>
          <w:lang w:val="en-US" w:eastAsia="zh-CN"/>
        </w:rPr>
        <w:t>比选公告</w:t>
      </w:r>
    </w:p>
    <w:p>
      <w:pPr>
        <w:spacing w:line="460" w:lineRule="exact"/>
        <w:ind w:firstLine="371" w:firstLineChars="177"/>
        <w:rPr>
          <w:rFonts w:hint="eastAsia"/>
          <w:lang w:val="en-US" w:eastAsia="zh-CN"/>
        </w:rPr>
      </w:pPr>
      <w:r>
        <w:t>第二章</w:t>
      </w:r>
      <w:r>
        <w:rPr>
          <w:rFonts w:hint="eastAsia"/>
        </w:rPr>
        <w:t xml:space="preserve">  </w:t>
      </w:r>
      <w:r>
        <w:rPr>
          <w:rFonts w:hint="eastAsia"/>
          <w:lang w:val="en-US" w:eastAsia="zh-CN"/>
        </w:rPr>
        <w:t>响应人须知</w:t>
      </w:r>
    </w:p>
    <w:p>
      <w:pPr>
        <w:spacing w:line="460" w:lineRule="exact"/>
        <w:ind w:firstLine="371" w:firstLineChars="177"/>
        <w:rPr>
          <w:rFonts w:hint="default" w:eastAsia="宋体"/>
          <w:lang w:val="en-US" w:eastAsia="zh-CN"/>
        </w:rPr>
      </w:pPr>
      <w:r>
        <w:t>第</w:t>
      </w:r>
      <w:r>
        <w:rPr>
          <w:rFonts w:hint="eastAsia"/>
        </w:rPr>
        <w:t>三</w:t>
      </w:r>
      <w:r>
        <w:t>章</w:t>
      </w:r>
      <w:r>
        <w:rPr>
          <w:rFonts w:hint="eastAsia"/>
        </w:rPr>
        <w:t xml:space="preserve">  </w:t>
      </w:r>
      <w:r>
        <w:rPr>
          <w:rFonts w:hint="eastAsia"/>
          <w:lang w:val="en-US" w:eastAsia="zh-CN"/>
        </w:rPr>
        <w:t>合同格式</w:t>
      </w:r>
    </w:p>
    <w:p>
      <w:pPr>
        <w:spacing w:line="460" w:lineRule="exact"/>
        <w:ind w:firstLine="371" w:firstLineChars="177"/>
      </w:pPr>
      <w:r>
        <w:t>第</w:t>
      </w:r>
      <w:r>
        <w:rPr>
          <w:rFonts w:hint="eastAsia"/>
        </w:rPr>
        <w:t>四</w:t>
      </w:r>
      <w:r>
        <w:t>章</w:t>
      </w:r>
      <w:r>
        <w:rPr>
          <w:rFonts w:hint="eastAsia"/>
        </w:rPr>
        <w:t xml:space="preserve"> </w:t>
      </w:r>
      <w:r>
        <w:rPr>
          <w:rFonts w:hint="eastAsia"/>
          <w:lang w:val="en-US" w:eastAsia="zh-CN"/>
        </w:rPr>
        <w:t xml:space="preserve"> 图纸及工程量清单</w:t>
      </w:r>
    </w:p>
    <w:p>
      <w:pPr>
        <w:spacing w:line="460" w:lineRule="exact"/>
        <w:ind w:firstLine="371" w:firstLineChars="177"/>
        <w:rPr>
          <w:rFonts w:hint="eastAsia" w:eastAsia="宋体"/>
          <w:lang w:eastAsia="zh-CN"/>
        </w:rPr>
      </w:pPr>
      <w:r>
        <w:t>第</w:t>
      </w:r>
      <w:r>
        <w:rPr>
          <w:rFonts w:hint="eastAsia"/>
        </w:rPr>
        <w:t>五</w:t>
      </w:r>
      <w:r>
        <w:t>章</w:t>
      </w:r>
      <w:r>
        <w:rPr>
          <w:rFonts w:hint="eastAsia"/>
        </w:rPr>
        <w:t xml:space="preserve">  </w:t>
      </w:r>
      <w:r>
        <w:rPr>
          <w:rFonts w:hint="eastAsia"/>
          <w:lang w:val="en-US" w:eastAsia="zh-CN"/>
        </w:rPr>
        <w:t>技术规范</w:t>
      </w:r>
    </w:p>
    <w:p>
      <w:pPr>
        <w:spacing w:line="460" w:lineRule="exact"/>
        <w:ind w:firstLine="371" w:firstLineChars="177"/>
      </w:pPr>
      <w:r>
        <w:t>第</w:t>
      </w:r>
      <w:r>
        <w:rPr>
          <w:rFonts w:hint="eastAsia"/>
        </w:rPr>
        <w:t>六</w:t>
      </w:r>
      <w:r>
        <w:t>章</w:t>
      </w:r>
      <w:r>
        <w:rPr>
          <w:rFonts w:hint="eastAsia"/>
        </w:rPr>
        <w:t xml:space="preserve">  工程量清单报价说明</w:t>
      </w:r>
    </w:p>
    <w:p>
      <w:pPr>
        <w:spacing w:line="460" w:lineRule="exact"/>
        <w:ind w:firstLine="371" w:firstLineChars="177"/>
        <w:rPr>
          <w:rFonts w:hint="eastAsia"/>
        </w:rPr>
      </w:pPr>
      <w:r>
        <w:t>第</w:t>
      </w:r>
      <w:r>
        <w:rPr>
          <w:rFonts w:hint="eastAsia"/>
        </w:rPr>
        <w:t>七</w:t>
      </w:r>
      <w:r>
        <w:t>章</w:t>
      </w:r>
      <w:r>
        <w:rPr>
          <w:rFonts w:hint="eastAsia"/>
        </w:rPr>
        <w:t xml:space="preserve"> </w:t>
      </w:r>
      <w:r>
        <w:rPr>
          <w:rFonts w:hint="eastAsia"/>
          <w:lang w:val="en-US" w:eastAsia="zh-CN"/>
        </w:rPr>
        <w:t xml:space="preserve"> 响应文件格式</w:t>
      </w:r>
      <w:r>
        <w:rPr>
          <w:rFonts w:hint="eastAsia"/>
        </w:rPr>
        <w:t xml:space="preserve"> </w:t>
      </w:r>
    </w:p>
    <w:p>
      <w:pPr>
        <w:spacing w:line="460" w:lineRule="exact"/>
        <w:ind w:firstLine="371" w:firstLineChars="177"/>
        <w:rPr>
          <w:rFonts w:hint="default"/>
          <w:lang w:val="en-US" w:eastAsia="zh-CN"/>
        </w:rPr>
      </w:pPr>
      <w:r>
        <w:rPr>
          <w:rFonts w:hint="eastAsia"/>
          <w:lang w:val="en-US" w:eastAsia="zh-CN"/>
        </w:rPr>
        <w:t>第八章  评审细则</w:t>
      </w:r>
    </w:p>
    <w:p>
      <w:pPr>
        <w:spacing w:line="460" w:lineRule="exact"/>
        <w:ind w:firstLine="371" w:firstLineChars="177"/>
      </w:pPr>
      <w:r>
        <w:t>4.2</w:t>
      </w:r>
      <w:r>
        <w:rPr>
          <w:rFonts w:hint="eastAsia"/>
        </w:rPr>
        <w:t>响应</w:t>
      </w:r>
      <w:r>
        <w:t>人应认真审阅</w:t>
      </w:r>
      <w:r>
        <w:rPr>
          <w:rFonts w:hint="eastAsia"/>
        </w:rPr>
        <w:t>采购</w:t>
      </w:r>
      <w:r>
        <w:t>文件中所有的</w:t>
      </w:r>
      <w:r>
        <w:rPr>
          <w:rFonts w:hint="eastAsia"/>
        </w:rPr>
        <w:t>响应人</w:t>
      </w:r>
      <w:r>
        <w:t>须知、合同格式、技术规范和图纸。如果</w:t>
      </w:r>
      <w:r>
        <w:rPr>
          <w:rFonts w:hint="eastAsia"/>
        </w:rPr>
        <w:t>响应</w:t>
      </w:r>
      <w:r>
        <w:t>人编制的</w:t>
      </w:r>
      <w:r>
        <w:rPr>
          <w:rFonts w:hint="eastAsia"/>
        </w:rPr>
        <w:t>响应</w:t>
      </w:r>
      <w:r>
        <w:t>文件，实质上不响应</w:t>
      </w:r>
      <w:r>
        <w:rPr>
          <w:rFonts w:hint="eastAsia"/>
        </w:rPr>
        <w:t>采购</w:t>
      </w:r>
      <w:r>
        <w:t>文件要求，其</w:t>
      </w:r>
      <w:r>
        <w:rPr>
          <w:rFonts w:hint="eastAsia"/>
        </w:rPr>
        <w:t>响应</w:t>
      </w:r>
      <w:r>
        <w:t>文件将被</w:t>
      </w:r>
      <w:r>
        <w:rPr>
          <w:rFonts w:hint="eastAsia"/>
        </w:rPr>
        <w:t>采购</w:t>
      </w:r>
      <w:r>
        <w:t>人拒绝。</w:t>
      </w:r>
    </w:p>
    <w:p>
      <w:pPr>
        <w:spacing w:line="460" w:lineRule="exact"/>
        <w:rPr>
          <w:b/>
        </w:rPr>
      </w:pPr>
      <w:bookmarkStart w:id="13" w:name="_Toc516067343"/>
      <w:r>
        <w:rPr>
          <w:b/>
        </w:rPr>
        <w:t>5、</w:t>
      </w:r>
      <w:r>
        <w:rPr>
          <w:rFonts w:hint="eastAsia"/>
          <w:b/>
        </w:rPr>
        <w:t>采购</w:t>
      </w:r>
      <w:r>
        <w:rPr>
          <w:b/>
        </w:rPr>
        <w:t>文件的解释</w:t>
      </w:r>
      <w:bookmarkEnd w:id="13"/>
      <w:r>
        <w:rPr>
          <w:rFonts w:hint="eastAsia"/>
          <w:b/>
        </w:rPr>
        <w:t>:</w:t>
      </w:r>
    </w:p>
    <w:p>
      <w:pPr>
        <w:spacing w:line="460" w:lineRule="exact"/>
        <w:ind w:firstLine="371" w:firstLineChars="177"/>
      </w:pPr>
      <w:r>
        <w:rPr>
          <w:rFonts w:hint="eastAsia"/>
        </w:rPr>
        <w:t>响应</w:t>
      </w:r>
      <w:r>
        <w:t>人在收到</w:t>
      </w:r>
      <w:r>
        <w:rPr>
          <w:rFonts w:hint="eastAsia"/>
        </w:rPr>
        <w:t>采购</w:t>
      </w:r>
      <w:r>
        <w:t>文件后，若有问题需要澄清，应于收到</w:t>
      </w:r>
      <w:r>
        <w:rPr>
          <w:rFonts w:hint="eastAsia"/>
        </w:rPr>
        <w:t>采购</w:t>
      </w:r>
      <w:r>
        <w:t>文件后</w:t>
      </w:r>
      <w:r>
        <w:rPr>
          <w:rFonts w:hint="eastAsia"/>
          <w:u w:val="single"/>
          <w:lang w:val="en-US" w:eastAsia="zh-CN"/>
        </w:rPr>
        <w:t>3</w:t>
      </w:r>
      <w:r>
        <w:t>日内，以书面形式（包括书面文字、电传、传真、电报等，下同）向</w:t>
      </w:r>
      <w:r>
        <w:rPr>
          <w:rFonts w:hint="eastAsia"/>
        </w:rPr>
        <w:t>采购</w:t>
      </w:r>
      <w:r>
        <w:t>人提出，</w:t>
      </w:r>
      <w:r>
        <w:rPr>
          <w:rFonts w:hint="eastAsia"/>
        </w:rPr>
        <w:t>采购</w:t>
      </w:r>
      <w:r>
        <w:t>人将以书面形式予以解答，答复将送给所有获得</w:t>
      </w:r>
      <w:r>
        <w:rPr>
          <w:rFonts w:hint="eastAsia"/>
        </w:rPr>
        <w:t>采购</w:t>
      </w:r>
      <w:r>
        <w:t>文件的</w:t>
      </w:r>
      <w:r>
        <w:rPr>
          <w:rFonts w:hint="eastAsia"/>
        </w:rPr>
        <w:t>响应</w:t>
      </w:r>
      <w:r>
        <w:t>人。</w:t>
      </w:r>
    </w:p>
    <w:p>
      <w:pPr>
        <w:spacing w:line="460" w:lineRule="exact"/>
        <w:rPr>
          <w:b/>
        </w:rPr>
      </w:pPr>
      <w:bookmarkStart w:id="14" w:name="_Toc516067344"/>
      <w:r>
        <w:rPr>
          <w:b/>
        </w:rPr>
        <w:t>6、</w:t>
      </w:r>
      <w:r>
        <w:rPr>
          <w:rFonts w:hint="eastAsia"/>
          <w:b/>
        </w:rPr>
        <w:t>采购</w:t>
      </w:r>
      <w:r>
        <w:rPr>
          <w:b/>
        </w:rPr>
        <w:t>文件的修改</w:t>
      </w:r>
      <w:bookmarkEnd w:id="14"/>
      <w:r>
        <w:rPr>
          <w:rFonts w:hint="eastAsia"/>
          <w:b/>
        </w:rPr>
        <w:t>:</w:t>
      </w:r>
    </w:p>
    <w:p>
      <w:pPr>
        <w:spacing w:line="460" w:lineRule="exact"/>
        <w:ind w:firstLine="371" w:firstLineChars="177"/>
      </w:pPr>
      <w:r>
        <w:t>6.1在</w:t>
      </w:r>
      <w:r>
        <w:rPr>
          <w:rFonts w:hint="eastAsia"/>
        </w:rPr>
        <w:t>响应</w:t>
      </w:r>
      <w:r>
        <w:t>截止</w:t>
      </w:r>
      <w:r>
        <w:rPr>
          <w:rFonts w:hint="eastAsia"/>
          <w:lang w:val="en-US" w:eastAsia="zh-CN"/>
        </w:rPr>
        <w:t>3</w:t>
      </w:r>
      <w:r>
        <w:t>日期前，</w:t>
      </w:r>
      <w:r>
        <w:rPr>
          <w:rFonts w:hint="eastAsia"/>
        </w:rPr>
        <w:t>采购</w:t>
      </w:r>
      <w:r>
        <w:t>人可能会以补充通知的方式修改</w:t>
      </w:r>
      <w:r>
        <w:rPr>
          <w:rFonts w:hint="eastAsia"/>
        </w:rPr>
        <w:t>采购</w:t>
      </w:r>
      <w:r>
        <w:t>文件。</w:t>
      </w:r>
    </w:p>
    <w:p>
      <w:pPr>
        <w:spacing w:line="460" w:lineRule="exact"/>
        <w:ind w:firstLine="371" w:firstLineChars="177"/>
      </w:pPr>
      <w:r>
        <w:t>6.</w:t>
      </w:r>
      <w:r>
        <w:rPr>
          <w:rFonts w:hint="eastAsia"/>
        </w:rPr>
        <w:t>2</w:t>
      </w:r>
      <w:r>
        <w:t>如果</w:t>
      </w:r>
      <w:r>
        <w:rPr>
          <w:rFonts w:hint="eastAsia"/>
        </w:rPr>
        <w:t>采购</w:t>
      </w:r>
      <w:r>
        <w:t>文件原定的编制</w:t>
      </w:r>
      <w:r>
        <w:rPr>
          <w:rFonts w:hint="eastAsia"/>
        </w:rPr>
        <w:t>响应</w:t>
      </w:r>
      <w:r>
        <w:t>文件的时间没有考虑因</w:t>
      </w:r>
      <w:r>
        <w:rPr>
          <w:rFonts w:hint="eastAsia"/>
        </w:rPr>
        <w:t>采购</w:t>
      </w:r>
      <w:r>
        <w:t>文件修改而引起</w:t>
      </w:r>
      <w:r>
        <w:rPr>
          <w:rFonts w:hint="eastAsia"/>
        </w:rPr>
        <w:t>响应</w:t>
      </w:r>
      <w:r>
        <w:t>文件修改所必须的时间，</w:t>
      </w:r>
      <w:r>
        <w:rPr>
          <w:rFonts w:hint="eastAsia"/>
        </w:rPr>
        <w:t>相关</w:t>
      </w:r>
      <w:r>
        <w:t>人可酌情延长提交</w:t>
      </w:r>
      <w:r>
        <w:rPr>
          <w:rFonts w:hint="eastAsia"/>
        </w:rPr>
        <w:t>响应</w:t>
      </w:r>
      <w:r>
        <w:t>文件的截止日期。</w:t>
      </w:r>
    </w:p>
    <w:p>
      <w:pPr>
        <w:spacing w:line="460" w:lineRule="exact"/>
        <w:rPr>
          <w:b/>
        </w:rPr>
      </w:pPr>
      <w:bookmarkStart w:id="15" w:name="_Toc516067345"/>
      <w:r>
        <w:rPr>
          <w:b/>
        </w:rPr>
        <w:t>7、</w:t>
      </w:r>
      <w:r>
        <w:rPr>
          <w:rFonts w:hint="eastAsia"/>
          <w:b/>
        </w:rPr>
        <w:t>响应</w:t>
      </w:r>
      <w:r>
        <w:rPr>
          <w:b/>
        </w:rPr>
        <w:t>报价及价格</w:t>
      </w:r>
      <w:bookmarkEnd w:id="15"/>
      <w:r>
        <w:rPr>
          <w:rFonts w:hint="eastAsia"/>
          <w:b/>
        </w:rPr>
        <w:t>:</w:t>
      </w:r>
    </w:p>
    <w:p>
      <w:pPr>
        <w:spacing w:line="460" w:lineRule="exact"/>
        <w:ind w:firstLine="371" w:firstLineChars="177"/>
        <w:rPr>
          <w:bCs/>
        </w:rPr>
      </w:pPr>
      <w:r>
        <w:t>7.1</w:t>
      </w:r>
      <w:r>
        <w:rPr>
          <w:bCs/>
        </w:rPr>
        <w:t>本工程</w:t>
      </w:r>
      <w:r>
        <w:rPr>
          <w:rFonts w:hint="eastAsia"/>
          <w:bCs/>
        </w:rPr>
        <w:t>响应</w:t>
      </w:r>
      <w:r>
        <w:rPr>
          <w:bCs/>
        </w:rPr>
        <w:t>报价采用工程量清单报价</w:t>
      </w:r>
      <w:r>
        <w:rPr>
          <w:rFonts w:hint="eastAsia"/>
          <w:bCs/>
        </w:rPr>
        <w:t>：</w:t>
      </w:r>
    </w:p>
    <w:p>
      <w:pPr>
        <w:spacing w:line="460" w:lineRule="exact"/>
        <w:ind w:firstLine="371" w:firstLineChars="177"/>
        <w:rPr>
          <w:highlight w:val="none"/>
        </w:rPr>
      </w:pPr>
      <w:r>
        <w:rPr>
          <w:highlight w:val="none"/>
        </w:rPr>
        <w:t>7.1.1</w:t>
      </w:r>
      <w:r>
        <w:rPr>
          <w:bCs/>
          <w:highlight w:val="none"/>
        </w:rPr>
        <w:t>本工程采用固定</w:t>
      </w:r>
      <w:r>
        <w:rPr>
          <w:rFonts w:hint="eastAsia"/>
          <w:bCs/>
          <w:highlight w:val="none"/>
          <w:lang w:val="en-US" w:eastAsia="zh-CN"/>
        </w:rPr>
        <w:t>总价</w:t>
      </w:r>
      <w:r>
        <w:rPr>
          <w:rFonts w:hint="eastAsia"/>
          <w:bCs/>
          <w:highlight w:val="none"/>
        </w:rPr>
        <w:t>包干，</w:t>
      </w:r>
      <w:r>
        <w:rPr>
          <w:rFonts w:hint="eastAsia"/>
          <w:highlight w:val="none"/>
        </w:rPr>
        <w:t>响应</w:t>
      </w:r>
      <w:r>
        <w:rPr>
          <w:highlight w:val="none"/>
        </w:rPr>
        <w:t>报价为</w:t>
      </w:r>
      <w:r>
        <w:rPr>
          <w:rFonts w:hint="eastAsia"/>
          <w:highlight w:val="none"/>
        </w:rPr>
        <w:t>响应</w:t>
      </w:r>
      <w:r>
        <w:rPr>
          <w:highlight w:val="none"/>
        </w:rPr>
        <w:t>人在</w:t>
      </w:r>
      <w:r>
        <w:rPr>
          <w:rFonts w:hint="eastAsia"/>
          <w:highlight w:val="none"/>
        </w:rPr>
        <w:t>响应</w:t>
      </w:r>
      <w:r>
        <w:rPr>
          <w:highlight w:val="none"/>
        </w:rPr>
        <w:t>文件中提出的各项支付金额的总和</w:t>
      </w:r>
      <w:r>
        <w:rPr>
          <w:rFonts w:hint="eastAsia"/>
          <w:highlight w:val="none"/>
        </w:rPr>
        <w:t>，本工程所使用的施工垂直运输设备由响应人自行解决，此费用应在响应报价中综合考虑，严禁使用采购人的电梯等设备</w:t>
      </w:r>
      <w:r>
        <w:rPr>
          <w:highlight w:val="none"/>
        </w:rPr>
        <w:t>。</w:t>
      </w:r>
    </w:p>
    <w:p>
      <w:pPr>
        <w:spacing w:line="460" w:lineRule="exact"/>
        <w:ind w:firstLine="371" w:firstLineChars="177"/>
      </w:pPr>
      <w:r>
        <w:rPr>
          <w:highlight w:val="none"/>
        </w:rPr>
        <w:t>7.1.2</w:t>
      </w:r>
      <w:r>
        <w:rPr>
          <w:rFonts w:hint="eastAsia"/>
          <w:highlight w:val="none"/>
        </w:rPr>
        <w:t>如</w:t>
      </w:r>
      <w:r>
        <w:rPr>
          <w:rFonts w:hint="eastAsia"/>
        </w:rPr>
        <w:t>响应人工程量清单项目计价表中所报单价超出定额规定计算单价10%的，工程量变化部分则按定额规定计算，并乘以下浮系数（中标价/上控价）。</w:t>
      </w:r>
    </w:p>
    <w:p>
      <w:pPr>
        <w:spacing w:line="460" w:lineRule="exact"/>
        <w:ind w:firstLine="371" w:firstLineChars="177"/>
      </w:pPr>
      <w:r>
        <w:t>7.1.</w:t>
      </w:r>
      <w:r>
        <w:rPr>
          <w:rFonts w:hint="eastAsia"/>
        </w:rPr>
        <w:t>3响应</w:t>
      </w:r>
      <w:r>
        <w:t>人所填报的各项基价中的各种材料单价在合同实施期间不因市场价格变化因素而变动，</w:t>
      </w:r>
      <w:r>
        <w:rPr>
          <w:rFonts w:hint="eastAsia"/>
        </w:rPr>
        <w:t>响应</w:t>
      </w:r>
      <w:r>
        <w:t>人在报价时应考虑各种风险因素和自己的承受能力。</w:t>
      </w:r>
      <w:r>
        <w:rPr>
          <w:rFonts w:hint="eastAsia"/>
        </w:rPr>
        <w:t>合同价款中包括的风险范围：除工程设计变更、工程量清单错漏项以外的其他风险。</w:t>
      </w:r>
    </w:p>
    <w:p>
      <w:pPr>
        <w:spacing w:line="460" w:lineRule="exact"/>
        <w:ind w:firstLine="371" w:firstLineChars="177"/>
      </w:pPr>
      <w:r>
        <w:t>7.1.</w:t>
      </w:r>
      <w:r>
        <w:rPr>
          <w:rFonts w:hint="eastAsia"/>
        </w:rPr>
        <w:t>4</w:t>
      </w:r>
      <w:r>
        <w:rPr>
          <w:rFonts w:hint="eastAsia" w:hAnsi="Courier New"/>
        </w:rPr>
        <w:t>本工程合同价款为</w:t>
      </w:r>
      <w:r>
        <w:rPr>
          <w:rFonts w:hint="eastAsia" w:hAnsi="Courier New"/>
          <w:lang w:val="en-US" w:eastAsia="zh-CN"/>
        </w:rPr>
        <w:t>固定总价</w:t>
      </w:r>
      <w:r>
        <w:rPr>
          <w:rFonts w:hint="eastAsia" w:hAnsi="Courier New"/>
        </w:rPr>
        <w:t>金额，</w:t>
      </w:r>
      <w:r>
        <w:rPr>
          <w:rFonts w:hint="eastAsia"/>
        </w:rPr>
        <w:t>合同</w:t>
      </w:r>
      <w:r>
        <w:rPr>
          <w:rFonts w:hint="eastAsia" w:hAnsi="Courier New"/>
        </w:rPr>
        <w:t>价款调整方法：1、工程量按实结算，预算书中原有项目的工程量无论增减多少，均</w:t>
      </w:r>
      <w:r>
        <w:rPr>
          <w:rFonts w:hint="eastAsia" w:hAnsi="Courier New"/>
          <w:lang w:val="en-US" w:eastAsia="zh-CN"/>
        </w:rPr>
        <w:t>不调整原合同总价</w:t>
      </w:r>
      <w:r>
        <w:rPr>
          <w:rFonts w:hint="eastAsia" w:hAnsi="Courier New"/>
        </w:rPr>
        <w:t>。2、实际</w:t>
      </w:r>
      <w:r>
        <w:rPr>
          <w:rFonts w:hint="eastAsia"/>
        </w:rPr>
        <w:t>因设计变更、工程量清单错漏项导致工程内容、工程量发生变化的，变更合同价款按下列方法进行：合同中没有适用或类似清单项目的价格计算方法：有定额的套定额，并（☑乘以下浮系数中标价/招标控制价%，□不乘下浮系数）计算，其中：材料设备价格按施工期间的《南宁市建设工程造价信息》相应信息价的加权平均值计算，《南宁市建设工程造价信息》没有相应信息价的，由建设单位、施工单位、监理单位或造价咨询单位根据市场行情协商确定；无定额可套的，由建设单位、施工单位、监理单位或造价咨询单位根据市场行情协商确定包含除税金以外所有费用的税前综合价格。</w:t>
      </w:r>
    </w:p>
    <w:p>
      <w:pPr>
        <w:spacing w:line="460" w:lineRule="exact"/>
        <w:ind w:firstLine="371" w:firstLineChars="177"/>
      </w:pPr>
      <w:r>
        <w:t>7.1.</w:t>
      </w:r>
      <w:r>
        <w:rPr>
          <w:rFonts w:hint="eastAsia"/>
        </w:rPr>
        <w:t>5响应人</w:t>
      </w:r>
      <w:r>
        <w:t>应认真填写工程量清单中所列的所有各细目的单价和合价，填写工程量清单时应注意：</w:t>
      </w:r>
    </w:p>
    <w:p>
      <w:pPr>
        <w:spacing w:line="460" w:lineRule="exact"/>
        <w:ind w:firstLine="371" w:firstLineChars="177"/>
      </w:pPr>
      <w:r>
        <w:rPr>
          <w:rFonts w:hint="eastAsia"/>
        </w:rPr>
        <w:t>（1）有</w:t>
      </w:r>
      <w:r>
        <w:t>工程数量的应报单价和合价</w:t>
      </w:r>
      <w:r>
        <w:rPr>
          <w:rFonts w:hint="eastAsia"/>
        </w:rPr>
        <w:t>；</w:t>
      </w:r>
    </w:p>
    <w:p>
      <w:pPr>
        <w:spacing w:line="460" w:lineRule="exact"/>
        <w:ind w:firstLine="371" w:firstLineChars="177"/>
      </w:pPr>
      <w:r>
        <w:rPr>
          <w:rFonts w:hint="eastAsia"/>
        </w:rPr>
        <w:t>（2）</w:t>
      </w:r>
      <w:r>
        <w:t>无工程数量的项目不报价</w:t>
      </w:r>
      <w:r>
        <w:rPr>
          <w:rFonts w:hint="eastAsia"/>
        </w:rPr>
        <w:t>；</w:t>
      </w:r>
    </w:p>
    <w:p>
      <w:pPr>
        <w:spacing w:line="460" w:lineRule="exact"/>
        <w:ind w:firstLine="371" w:firstLineChars="177"/>
      </w:pPr>
      <w:r>
        <w:rPr>
          <w:rFonts w:hint="eastAsia"/>
        </w:rPr>
        <w:t>（3）</w:t>
      </w:r>
      <w:r>
        <w:t>除非</w:t>
      </w:r>
      <w:r>
        <w:rPr>
          <w:rFonts w:hint="eastAsia"/>
        </w:rPr>
        <w:t>采购</w:t>
      </w:r>
      <w:r>
        <w:t>人对</w:t>
      </w:r>
      <w:r>
        <w:rPr>
          <w:rFonts w:hint="eastAsia"/>
        </w:rPr>
        <w:t>采购</w:t>
      </w:r>
      <w:r>
        <w:t>文件予以修改，</w:t>
      </w:r>
      <w:r>
        <w:rPr>
          <w:rFonts w:hint="eastAsia"/>
        </w:rPr>
        <w:t>响应</w:t>
      </w:r>
      <w:r>
        <w:t>人应按</w:t>
      </w:r>
      <w:r>
        <w:rPr>
          <w:rFonts w:hint="eastAsia"/>
        </w:rPr>
        <w:t>采购</w:t>
      </w:r>
      <w:r>
        <w:t>人提供的工程量清单中列出的工程项目和工程量填报单价和合价。每一项目只允许有一个报价。任何有选择的报价将不予接受。</w:t>
      </w:r>
      <w:r>
        <w:rPr>
          <w:rFonts w:hint="eastAsia"/>
        </w:rPr>
        <w:t>响应</w:t>
      </w:r>
      <w:r>
        <w:t>人未填单价或合价的工程项目，在实施后，</w:t>
      </w:r>
      <w:r>
        <w:rPr>
          <w:rFonts w:hint="eastAsia"/>
        </w:rPr>
        <w:t>采购</w:t>
      </w:r>
      <w:r>
        <w:t>人将不予以支付，并视为该项费用已包括在其他有价款的单价或合价内，</w:t>
      </w:r>
      <w:r>
        <w:rPr>
          <w:rFonts w:hint="eastAsia"/>
        </w:rPr>
        <w:t>响应</w:t>
      </w:r>
      <w:r>
        <w:t>人必须按</w:t>
      </w:r>
      <w:r>
        <w:rPr>
          <w:rFonts w:hint="eastAsia"/>
        </w:rPr>
        <w:t>照采购人现场代表或采购人授权的</w:t>
      </w:r>
      <w:r>
        <w:t>监理工程师指令完成工程量清单中未填入单价或总额价的工程细目，但不能得到支付与结算。</w:t>
      </w:r>
    </w:p>
    <w:p>
      <w:pPr>
        <w:spacing w:line="460" w:lineRule="exact"/>
        <w:ind w:firstLine="371" w:firstLineChars="177"/>
      </w:pPr>
      <w:r>
        <w:t>7.1.</w:t>
      </w:r>
      <w:r>
        <w:rPr>
          <w:rFonts w:hint="eastAsia"/>
        </w:rPr>
        <w:t>6采购人</w:t>
      </w:r>
      <w:r>
        <w:t>所提供的工程量清单</w:t>
      </w:r>
      <w:r>
        <w:rPr>
          <w:rFonts w:hint="eastAsia"/>
        </w:rPr>
        <w:t>，</w:t>
      </w:r>
      <w:r>
        <w:t>已包括完成本工程的所有项目</w:t>
      </w:r>
      <w:r>
        <w:rPr>
          <w:rFonts w:hint="eastAsia"/>
        </w:rPr>
        <w:t>；响应人应认真查看图纸及采购文件，对采购人</w:t>
      </w:r>
      <w:r>
        <w:t>提供的工程量清单</w:t>
      </w:r>
      <w:r>
        <w:rPr>
          <w:rFonts w:hint="eastAsia"/>
        </w:rPr>
        <w:t>有异议的应在收到采购文件后5日以书面形式向采购人提出，采购人将进行复核修正</w:t>
      </w:r>
      <w:r>
        <w:t>。凡设计图纸已指明的工程或图纸所示的附属工程、相关工程、衔接与后续工程</w:t>
      </w:r>
      <w:r>
        <w:rPr>
          <w:rFonts w:hint="eastAsia"/>
        </w:rPr>
        <w:t>、临时工程</w:t>
      </w:r>
      <w:r>
        <w:t>所需的费用，</w:t>
      </w:r>
      <w:r>
        <w:rPr>
          <w:rFonts w:hint="eastAsia"/>
        </w:rPr>
        <w:t>响应人</w:t>
      </w:r>
      <w:r>
        <w:t>应计入相关项目的单价中。</w:t>
      </w:r>
    </w:p>
    <w:p>
      <w:pPr>
        <w:spacing w:line="460" w:lineRule="exact"/>
        <w:ind w:firstLine="371" w:firstLineChars="177"/>
      </w:pPr>
      <w:r>
        <w:t>7.1.</w:t>
      </w:r>
      <w:r>
        <w:rPr>
          <w:rFonts w:hint="eastAsia"/>
        </w:rPr>
        <w:t>7响应</w:t>
      </w:r>
      <w:r>
        <w:t>人的临时占地（含预制厂、料厂、拌和站、借弃土场、项目部驻地等）租用费（含拆迁补偿）、临时用地的环保、恢复及所有临时性占地的青苗补偿及地面附着物发生的费用均由</w:t>
      </w:r>
      <w:r>
        <w:rPr>
          <w:rFonts w:hint="eastAsia"/>
        </w:rPr>
        <w:t>响应</w:t>
      </w:r>
      <w:r>
        <w:t>人负责；由于</w:t>
      </w:r>
      <w:r>
        <w:rPr>
          <w:rFonts w:hint="eastAsia"/>
        </w:rPr>
        <w:t>响应</w:t>
      </w:r>
      <w:r>
        <w:t>人原因引起工期延长造成临时占地的租用费增加由</w:t>
      </w:r>
      <w:r>
        <w:rPr>
          <w:rFonts w:hint="eastAsia"/>
        </w:rPr>
        <w:t>响应</w:t>
      </w:r>
      <w:r>
        <w:t>人负责。以上费用在</w:t>
      </w:r>
      <w:r>
        <w:rPr>
          <w:rFonts w:hint="eastAsia"/>
        </w:rPr>
        <w:t>响应报</w:t>
      </w:r>
      <w:r>
        <w:t>价中自行考虑。</w:t>
      </w:r>
    </w:p>
    <w:p>
      <w:pPr>
        <w:spacing w:line="460" w:lineRule="exact"/>
        <w:ind w:firstLine="371" w:firstLineChars="177"/>
        <w:rPr>
          <w:dstrike/>
        </w:rPr>
      </w:pPr>
      <w:r>
        <w:t>7.1.</w:t>
      </w:r>
      <w:r>
        <w:rPr>
          <w:rFonts w:hint="eastAsia"/>
        </w:rPr>
        <w:t>8响应</w:t>
      </w:r>
      <w:r>
        <w:t>人在报价中所报的单价和合价，以及投标报价汇总表中的价格均包括完成该工程项目的成本</w:t>
      </w:r>
      <w:r>
        <w:rPr>
          <w:rFonts w:hint="eastAsia"/>
        </w:rPr>
        <w:t>（包括施工设备、劳务、管理、材料、安装、维护、保险、交通维护以及材料、机械设备二次及以上运输费等）</w:t>
      </w:r>
      <w:r>
        <w:t>、利润、税金、开办费、技术措施费、</w:t>
      </w:r>
      <w:r>
        <w:rPr>
          <w:rFonts w:hint="eastAsia"/>
        </w:rPr>
        <w:t>缩短工期增加费、专业分包工程配合费、</w:t>
      </w:r>
      <w:r>
        <w:t>大型机械进出场费、</w:t>
      </w:r>
      <w:r>
        <w:rPr>
          <w:rFonts w:hint="eastAsia"/>
        </w:rPr>
        <w:t>试验检测费、污水、废水、建筑垃圾处理费、内涝处理费、</w:t>
      </w:r>
      <w:r>
        <w:t>风险费</w:t>
      </w:r>
      <w:r>
        <w:rPr>
          <w:rFonts w:hint="eastAsia"/>
        </w:rPr>
        <w:t>、报建费</w:t>
      </w:r>
      <w:r>
        <w:t>等所有费用</w:t>
      </w:r>
      <w:r>
        <w:rPr>
          <w:rFonts w:hint="eastAsia"/>
        </w:rPr>
        <w:t>，以及完成本工程施工过程中的所涉及的报批报建手续</w:t>
      </w:r>
      <w:r>
        <w:t>。</w:t>
      </w:r>
    </w:p>
    <w:p>
      <w:pPr>
        <w:spacing w:line="460" w:lineRule="exact"/>
        <w:ind w:firstLine="371" w:firstLineChars="177"/>
      </w:pPr>
      <w:r>
        <w:rPr>
          <w:rFonts w:hint="eastAsia"/>
        </w:rPr>
        <w:t>7.1.9响应人所填报的单价在合同实施期间不因市场价格变化因素及其它任何因素而变动，响应人在提报单价和总价时，应考虑各种风险因素和自己的承受能力。自行结合实际情况，考虑工程量清单中所有的不确定因素的风险，自行考虑在本工程量图纸范围内的各分项工程（各项费用）的发生、存在的风险及完成该分项工程所需的费用，报价时，凡市场价与定额价有差价时的工程材料，响应人自行考虑市场的风险，确定包干单价。</w:t>
      </w:r>
    </w:p>
    <w:p>
      <w:pPr>
        <w:spacing w:line="460" w:lineRule="exact"/>
        <w:ind w:firstLine="371" w:firstLineChars="177"/>
      </w:pPr>
      <w:r>
        <w:t>7.1.</w:t>
      </w:r>
      <w:r>
        <w:rPr>
          <w:rFonts w:hint="eastAsia"/>
        </w:rPr>
        <w:t>10响应</w:t>
      </w:r>
      <w:r>
        <w:t>人承建本工程所需的水电报装（含设备的购买、安装、维修、使用、拆除、维护及场地租用、恢复等一切与此相关的费用）由</w:t>
      </w:r>
      <w:r>
        <w:rPr>
          <w:rFonts w:hint="eastAsia"/>
        </w:rPr>
        <w:t>响应</w:t>
      </w:r>
      <w:r>
        <w:t>人负责，以上费用在</w:t>
      </w:r>
      <w:r>
        <w:rPr>
          <w:rFonts w:hint="eastAsia"/>
        </w:rPr>
        <w:t>响应</w:t>
      </w:r>
      <w:r>
        <w:t>报价中综合考虑。</w:t>
      </w:r>
    </w:p>
    <w:p>
      <w:pPr>
        <w:spacing w:line="460" w:lineRule="exact"/>
        <w:ind w:firstLine="371" w:firstLineChars="177"/>
        <w:rPr>
          <w:u w:val="single"/>
        </w:rPr>
      </w:pPr>
      <w:r>
        <w:t>7.1.</w:t>
      </w:r>
      <w:r>
        <w:rPr>
          <w:rFonts w:hint="eastAsia"/>
        </w:rPr>
        <w:t>11</w:t>
      </w:r>
      <w:r>
        <w:rPr>
          <w:rFonts w:hint="eastAsia"/>
          <w:u w:val="single"/>
        </w:rPr>
        <w:t>响应</w:t>
      </w:r>
      <w:r>
        <w:rPr>
          <w:u w:val="single"/>
        </w:rPr>
        <w:t>人在进行工程量清单投标时，应按照</w:t>
      </w:r>
      <w:r>
        <w:rPr>
          <w:rFonts w:hint="eastAsia"/>
          <w:u w:val="single"/>
        </w:rPr>
        <w:t>采购</w:t>
      </w:r>
      <w:r>
        <w:rPr>
          <w:u w:val="single"/>
        </w:rPr>
        <w:t>人的工程量清单进行报价</w:t>
      </w:r>
      <w:r>
        <w:rPr>
          <w:rFonts w:hint="eastAsia"/>
          <w:u w:val="single"/>
        </w:rPr>
        <w:t>（有疑义的应提出，复核采购人进行修正）</w:t>
      </w:r>
      <w:r>
        <w:rPr>
          <w:u w:val="single"/>
        </w:rPr>
        <w:t>。</w:t>
      </w:r>
      <w:r>
        <w:rPr>
          <w:rFonts w:hint="eastAsia"/>
          <w:u w:val="single"/>
        </w:rPr>
        <w:t>响应</w:t>
      </w:r>
      <w:r>
        <w:rPr>
          <w:u w:val="single"/>
        </w:rPr>
        <w:t>人对自己所填写的项目编码、项目名称、</w:t>
      </w:r>
      <w:r>
        <w:rPr>
          <w:rFonts w:hint="eastAsia"/>
          <w:u w:val="single"/>
        </w:rPr>
        <w:t>项目特征、</w:t>
      </w:r>
      <w:r>
        <w:rPr>
          <w:u w:val="single"/>
        </w:rPr>
        <w:t>计量单位、工程数量负责。</w:t>
      </w:r>
      <w:r>
        <w:rPr>
          <w:rFonts w:hint="eastAsia"/>
          <w:u w:val="single"/>
          <w:lang w:eastAsia="zh-CN"/>
        </w:rPr>
        <w:t>评审</w:t>
      </w:r>
      <w:r>
        <w:rPr>
          <w:u w:val="single"/>
        </w:rPr>
        <w:t>中，如项目编码与项目名称不一致，以项目编码（共12位）为准；如项目编码与计量单位、工程数量无法一一对应，该清单项目作废，该清单项目的费用视为包含在其他清单中；如作废的清单项目达到3项以上（含本数）或作废的清单项目造价累计超过单位工程</w:t>
      </w:r>
      <w:r>
        <w:rPr>
          <w:rFonts w:hint="eastAsia"/>
          <w:u w:val="single"/>
        </w:rPr>
        <w:t>响应</w:t>
      </w:r>
      <w:r>
        <w:rPr>
          <w:u w:val="single"/>
        </w:rPr>
        <w:t>报价的2%（含本数），视为不响应</w:t>
      </w:r>
      <w:r>
        <w:rPr>
          <w:rFonts w:hint="eastAsia"/>
          <w:u w:val="single"/>
        </w:rPr>
        <w:t>采购</w:t>
      </w:r>
      <w:r>
        <w:rPr>
          <w:u w:val="single"/>
        </w:rPr>
        <w:t>文件实质性内容，作</w:t>
      </w:r>
      <w:r>
        <w:rPr>
          <w:rFonts w:hint="eastAsia"/>
          <w:u w:val="single"/>
        </w:rPr>
        <w:t>无效响应文件</w:t>
      </w:r>
      <w:r>
        <w:rPr>
          <w:u w:val="single"/>
        </w:rPr>
        <w:t>处理。</w:t>
      </w:r>
    </w:p>
    <w:p>
      <w:pPr>
        <w:spacing w:line="460" w:lineRule="exact"/>
        <w:ind w:firstLine="371" w:firstLineChars="177"/>
      </w:pPr>
      <w:r>
        <w:t>7.1.</w:t>
      </w:r>
      <w:r>
        <w:rPr>
          <w:rFonts w:hint="eastAsia"/>
        </w:rPr>
        <w:t>12因施工产生一切的污水、废水、建筑垃圾的处置由响应人负责，相关费用结合工程量清单综合考虑。</w:t>
      </w:r>
    </w:p>
    <w:p>
      <w:pPr>
        <w:spacing w:line="460" w:lineRule="exact"/>
        <w:ind w:firstLine="371" w:firstLineChars="177"/>
      </w:pPr>
      <w:r>
        <w:rPr>
          <w:rFonts w:hint="eastAsia"/>
        </w:rPr>
        <w:t>7.1.13响应</w:t>
      </w:r>
      <w:r>
        <w:t>人可先到工地踏勘以充分了解工地位置、情况、道路、储存空间、装卸限制及任何其他足以影响承包价的情况，任何因忽视或误解工地情况而导致的索赔或工期延长申请将不被批准。</w:t>
      </w:r>
    </w:p>
    <w:p>
      <w:pPr>
        <w:spacing w:line="460" w:lineRule="exact"/>
        <w:ind w:firstLine="371" w:firstLineChars="177"/>
      </w:pPr>
      <w:r>
        <w:rPr>
          <w:rFonts w:hint="eastAsia"/>
        </w:rPr>
        <w:t>7</w:t>
      </w:r>
      <w:r>
        <w:t>.1.1</w:t>
      </w:r>
      <w:r>
        <w:rPr>
          <w:rFonts w:hint="eastAsia"/>
        </w:rPr>
        <w:t>4响应人因承包本工程产生的工程赶工措施费、工程质量保证施工措施费、扰民施工措施费、场地不足施工措施费、施工安全及技术施工措施费由响应人承担，均包含在工程响应报价的总额价中，不单独列项支付。响应人在提交响应文件前应充分考虑施工时间以及天气等白天及夜间施工、雨天施工对工期及造价的影响。</w:t>
      </w:r>
    </w:p>
    <w:p>
      <w:pPr>
        <w:spacing w:line="460" w:lineRule="exact"/>
        <w:ind w:firstLine="371" w:firstLineChars="177"/>
      </w:pPr>
      <w:r>
        <w:rPr>
          <w:rFonts w:hint="eastAsia"/>
        </w:rPr>
        <w:t>7.1.15响应人应充分考虑材料及半成品运输和包装、半成品及成品保护、工程项目范围内二次搬运、完成合同内容所必须的所有安全文明施工措施、施工临时设施及各种施工必备手续的办理等一切可能发生的费用和工期，并已考虑了各种可能因素影响施工所增加的费用。</w:t>
      </w:r>
    </w:p>
    <w:p>
      <w:pPr>
        <w:spacing w:line="460" w:lineRule="exact"/>
        <w:ind w:firstLine="371" w:firstLineChars="177"/>
        <w:rPr>
          <w:dstrike/>
        </w:rPr>
      </w:pPr>
      <w:r>
        <w:t>7.2</w:t>
      </w:r>
      <w:r>
        <w:rPr>
          <w:rFonts w:hint="eastAsia"/>
        </w:rPr>
        <w:t>采购控制价及响应报价</w:t>
      </w:r>
      <w:r>
        <w:t>计算依据：</w:t>
      </w:r>
    </w:p>
    <w:p>
      <w:pPr>
        <w:spacing w:line="460" w:lineRule="exact"/>
        <w:ind w:firstLine="371" w:firstLineChars="177"/>
      </w:pPr>
      <w:r>
        <w:t>7.2.1</w:t>
      </w:r>
      <w:r>
        <w:rPr>
          <w:rFonts w:hint="eastAsia"/>
        </w:rPr>
        <w:t>本工程采购控制价计算</w:t>
      </w:r>
      <w:r>
        <w:t>依据</w:t>
      </w:r>
      <w:r>
        <w:rPr>
          <w:rFonts w:hint="eastAsia"/>
        </w:rPr>
        <w:t>：</w:t>
      </w:r>
    </w:p>
    <w:p>
      <w:pPr>
        <w:spacing w:line="460" w:lineRule="exact"/>
        <w:ind w:firstLine="525" w:firstLineChars="250"/>
        <w:rPr>
          <w:rFonts w:hint="eastAsia"/>
        </w:rPr>
      </w:pPr>
      <w:r>
        <w:rPr>
          <w:rFonts w:hint="eastAsia"/>
        </w:rPr>
        <w:t>1、《建设工程工程量清单计价规范》GB50500-2013、《建设工程工程量计算规范广西壮族自治区实施细则(修订本)》(GB50854～50862-2013)。</w:t>
      </w:r>
    </w:p>
    <w:p>
      <w:pPr>
        <w:spacing w:line="460" w:lineRule="exact"/>
        <w:ind w:firstLine="525" w:firstLineChars="250"/>
        <w:rPr>
          <w:rFonts w:hint="eastAsia"/>
        </w:rPr>
      </w:pPr>
      <w:r>
        <w:rPr>
          <w:rFonts w:hint="eastAsia"/>
        </w:rPr>
        <w:t>2、广西壮族自治区建设行政主管部门颁发的2015年《广西壮族自治区安装工程消耗量定额》、2013年《广西建筑装饰装修工程消耗量定额》、2016年《广西壮族自治区建设工程费用定额》及其补充定额、计价相关规定，《自治区住房城乡建设厅关于调整建设工程计价增值税税率的通知》（桂建标【2018】14号）、2018年《自治区住房城乡建设厅关于调整建设工程定额人工费及有关费率的通知》（桂建标【2018】19号）、2019年《自治区住房城乡建设厅关于调整建设工程计价增值税税率通知》（桂建标【2019】12号）及其补充定额、计价相关规定。</w:t>
      </w:r>
    </w:p>
    <w:p>
      <w:pPr>
        <w:spacing w:line="460" w:lineRule="exact"/>
        <w:ind w:firstLine="525" w:firstLineChars="250"/>
        <w:rPr>
          <w:rFonts w:hint="eastAsia"/>
        </w:rPr>
      </w:pPr>
      <w:r>
        <w:rPr>
          <w:rFonts w:hint="eastAsia"/>
        </w:rPr>
        <w:t>3、本工程施工图及相关的标准、规范、技术资料。</w:t>
      </w:r>
    </w:p>
    <w:p>
      <w:pPr>
        <w:spacing w:line="460" w:lineRule="exact"/>
        <w:ind w:firstLine="525" w:firstLineChars="250"/>
        <w:rPr>
          <w:rFonts w:hint="eastAsia"/>
        </w:rPr>
      </w:pPr>
      <w:r>
        <w:rPr>
          <w:rFonts w:hint="eastAsia"/>
        </w:rPr>
        <w:t>4、</w:t>
      </w:r>
      <w:r>
        <w:rPr>
          <w:rFonts w:hint="eastAsia"/>
          <w:lang w:val="en-US" w:eastAsia="zh-CN"/>
        </w:rPr>
        <w:t>比选</w:t>
      </w:r>
      <w:r>
        <w:rPr>
          <w:rFonts w:hint="eastAsia"/>
        </w:rPr>
        <w:t>文件中有关要求。</w:t>
      </w:r>
    </w:p>
    <w:p>
      <w:pPr>
        <w:spacing w:line="460" w:lineRule="exact"/>
        <w:ind w:firstLine="525" w:firstLineChars="250"/>
        <w:rPr>
          <w:rFonts w:hint="eastAsia"/>
        </w:rPr>
      </w:pPr>
      <w:r>
        <w:rPr>
          <w:rFonts w:hint="eastAsia"/>
        </w:rPr>
        <w:t>5、材料价格采用南宁市建设工程造价管</w:t>
      </w:r>
      <w:r>
        <w:rPr>
          <w:rFonts w:hint="eastAsia"/>
          <w:highlight w:val="none"/>
        </w:rPr>
        <w:t>理站</w:t>
      </w:r>
      <w:r>
        <w:rPr>
          <w:rFonts w:ascii="宋体" w:hAnsi="宋体" w:eastAsia="宋体" w:cs="Times New Roman"/>
          <w:color w:val="000000"/>
          <w:kern w:val="0"/>
          <w:sz w:val="21"/>
          <w:szCs w:val="21"/>
          <w:lang w:val="en-US" w:eastAsia="zh-CN" w:bidi="ar-SA"/>
        </w:rPr>
        <w:t>2022年第8</w:t>
      </w:r>
      <w:r>
        <w:rPr>
          <w:rFonts w:hint="eastAsia" w:ascii="宋体" w:hAnsi="宋体" w:cs="Times New Roman"/>
          <w:color w:val="000000"/>
          <w:kern w:val="0"/>
          <w:sz w:val="21"/>
          <w:szCs w:val="21"/>
          <w:lang w:val="en-US" w:eastAsia="zh-CN" w:bidi="ar-SA"/>
        </w:rPr>
        <w:t>期</w:t>
      </w:r>
      <w:r>
        <w:rPr>
          <w:rFonts w:hint="eastAsia" w:ascii="宋体" w:hAnsi="宋体" w:eastAsia="宋体" w:cs="Times New Roman"/>
          <w:color w:val="000000"/>
          <w:kern w:val="0"/>
          <w:sz w:val="21"/>
          <w:szCs w:val="21"/>
          <w:lang w:val="zh-CN" w:eastAsia="zh-CN" w:bidi="ar-SA"/>
        </w:rPr>
        <w:t>下半期</w:t>
      </w:r>
      <w:r>
        <w:rPr>
          <w:rFonts w:hint="eastAsia"/>
          <w:highlight w:val="none"/>
        </w:rPr>
        <w:t>《</w:t>
      </w:r>
      <w:r>
        <w:rPr>
          <w:rFonts w:hint="eastAsia"/>
        </w:rPr>
        <w:t>南宁市建设工程造价信息》发布的价格信息，对于工程信息没有发布价格信息的材料，其价格参照市场价。</w:t>
      </w:r>
    </w:p>
    <w:p>
      <w:pPr>
        <w:spacing w:line="460" w:lineRule="exact"/>
        <w:ind w:firstLine="371" w:firstLineChars="177"/>
      </w:pPr>
      <w:r>
        <w:t>7.2.2</w:t>
      </w:r>
      <w:r>
        <w:rPr>
          <w:rFonts w:hint="eastAsia"/>
        </w:rPr>
        <w:t>响应报价必须按照采购人提供的工程量清单及上采购控制价编制工程预算书作为项目的响应报价，材料、设备、元器件等采用部件参照或相当于的品牌详见技术部分的技术方案。在综合考虑系统兼容性及运行可靠性后，可自行决定所需更换部件的内容以及产品是否成套装备或搭配使用，作为编制预算书的依据。如响应报价书出现工程量清单与采购人提供的工程量清单不符、响应报价超工程采购控制价等以上情况中的任何一个，则其响应报价作无效处理。</w:t>
      </w:r>
      <w:r>
        <w:t>本工程的</w:t>
      </w:r>
      <w:r>
        <w:rPr>
          <w:rFonts w:hint="eastAsia"/>
        </w:rPr>
        <w:t>响应报价由响应人依据工程量清单、采购文件的有关要求、施工现场的实际情况并结合自身技术和管理水平、经营状况、机械配备以及制定的施工组织设计或施工方案，由响应人自主报价，但不得低于成本。</w:t>
      </w:r>
    </w:p>
    <w:p>
      <w:pPr>
        <w:spacing w:line="460" w:lineRule="exact"/>
        <w:ind w:firstLine="371" w:firstLineChars="177"/>
      </w:pPr>
      <w:r>
        <w:t>7.2</w:t>
      </w:r>
      <w:r>
        <w:rPr>
          <w:rFonts w:hint="eastAsia"/>
        </w:rPr>
        <w:t>.3根据桂政发[2012]42号文件规定，响应</w:t>
      </w:r>
      <w:r>
        <w:t>报价中</w:t>
      </w:r>
      <w:r>
        <w:rPr>
          <w:rFonts w:hint="eastAsia"/>
        </w:rPr>
        <w:t>包含建安劳保费</w:t>
      </w:r>
      <w:r>
        <w:t>。</w:t>
      </w:r>
    </w:p>
    <w:p>
      <w:pPr>
        <w:spacing w:line="460" w:lineRule="exact"/>
        <w:ind w:firstLine="371" w:firstLineChars="177"/>
      </w:pPr>
      <w:r>
        <w:t>7.2.</w:t>
      </w:r>
      <w:r>
        <w:rPr>
          <w:rFonts w:hint="eastAsia"/>
        </w:rPr>
        <w:t>4</w:t>
      </w:r>
      <w:r>
        <w:t>本工程</w:t>
      </w:r>
      <w:r>
        <w:rPr>
          <w:rFonts w:hint="eastAsia"/>
        </w:rPr>
        <w:t>措施项目中的安全施工增加费、文明施工增加费、环境保护费、临时设施费，不进行采购竞争，响应报价中该四项费用按南建质安[2009]11号文规定计取。</w:t>
      </w:r>
    </w:p>
    <w:p>
      <w:pPr>
        <w:spacing w:line="460" w:lineRule="exact"/>
        <w:ind w:firstLine="371" w:firstLineChars="177"/>
      </w:pPr>
      <w:r>
        <w:rPr>
          <w:rFonts w:hint="eastAsia"/>
        </w:rPr>
        <w:t>7</w:t>
      </w:r>
      <w:r>
        <w:t>.2.</w:t>
      </w:r>
      <w:r>
        <w:rPr>
          <w:rFonts w:hint="eastAsia"/>
        </w:rPr>
        <w:t>5工伤保险费的计取按桂建管[2008]37号文执行。</w:t>
      </w:r>
    </w:p>
    <w:p>
      <w:pPr>
        <w:spacing w:line="460" w:lineRule="exact"/>
        <w:ind w:firstLine="371" w:firstLineChars="177"/>
      </w:pPr>
      <w:r>
        <w:rPr>
          <w:rFonts w:hint="eastAsia"/>
        </w:rPr>
        <w:t>7</w:t>
      </w:r>
      <w:r>
        <w:t>.2.</w:t>
      </w:r>
      <w:r>
        <w:rPr>
          <w:rFonts w:hint="eastAsia"/>
        </w:rPr>
        <w:t>6响应</w:t>
      </w:r>
      <w:r>
        <w:rPr>
          <w:rFonts w:hint="eastAsia"/>
          <w:lang w:eastAsia="zh-CN"/>
        </w:rPr>
        <w:t>响应人</w:t>
      </w:r>
      <w:r>
        <w:rPr>
          <w:rFonts w:hint="eastAsia"/>
        </w:rPr>
        <w:t>工程量清单中原有项目的工程量结算无论增减多少，均按原</w:t>
      </w:r>
      <w:r>
        <w:rPr>
          <w:rFonts w:hint="eastAsia"/>
          <w:lang w:val="en-US" w:eastAsia="zh-CN"/>
        </w:rPr>
        <w:t>总价</w:t>
      </w:r>
      <w:r>
        <w:rPr>
          <w:rFonts w:hint="eastAsia"/>
        </w:rPr>
        <w:t>支付，响应人必须按采购人的指令进行施工，不得以任何理由拒绝，否则将视为违约，响应人必须在报价中充分考虑由工程量变化带来的风险。</w:t>
      </w:r>
    </w:p>
    <w:p>
      <w:pPr>
        <w:spacing w:line="460" w:lineRule="exact"/>
        <w:ind w:firstLine="371" w:firstLineChars="177"/>
        <w:rPr>
          <w:u w:val="single"/>
        </w:rPr>
      </w:pPr>
      <w:r>
        <w:rPr>
          <w:rFonts w:hint="eastAsia"/>
        </w:rPr>
        <w:t>7.2.7</w:t>
      </w:r>
      <w:r>
        <w:rPr>
          <w:rFonts w:hint="eastAsia"/>
          <w:u w:val="single"/>
        </w:rPr>
        <w:t>响应人不得采用总价优惠、总价百分比优惠或以报价调整函的方式进行响应报价，其优惠应直接体现在各项响应报价的单价中。</w:t>
      </w:r>
      <w:r>
        <w:rPr>
          <w:rFonts w:hint="eastAsia"/>
        </w:rPr>
        <w:t>不允许出现任意一项单价重大让利，低于成本价，</w:t>
      </w:r>
      <w:r>
        <w:rPr>
          <w:rFonts w:hint="eastAsia"/>
          <w:u w:val="single"/>
        </w:rPr>
        <w:t>响应报价函中的报价必须与工程量清单汇总表一致，否则作无效处理。</w:t>
      </w:r>
    </w:p>
    <w:p>
      <w:pPr>
        <w:spacing w:line="460" w:lineRule="exact"/>
        <w:ind w:firstLine="371" w:firstLineChars="177"/>
      </w:pPr>
      <w:bookmarkStart w:id="16" w:name="_Toc71782115"/>
      <w:r>
        <w:t>7.3</w:t>
      </w:r>
      <w:r>
        <w:rPr>
          <w:rFonts w:hint="eastAsia"/>
        </w:rPr>
        <w:t>采购</w:t>
      </w:r>
      <w:r>
        <w:t>上限控制价的公布和修改</w:t>
      </w:r>
      <w:bookmarkEnd w:id="16"/>
      <w:r>
        <w:rPr>
          <w:rFonts w:hint="eastAsia"/>
        </w:rPr>
        <w:t>：</w:t>
      </w:r>
    </w:p>
    <w:p>
      <w:pPr>
        <w:spacing w:line="460" w:lineRule="exact"/>
        <w:ind w:firstLine="371" w:firstLineChars="177"/>
      </w:pPr>
      <w:r>
        <w:t>7.3.1本工程的</w:t>
      </w:r>
      <w:r>
        <w:rPr>
          <w:rFonts w:hint="eastAsia"/>
        </w:rPr>
        <w:t>采购</w:t>
      </w:r>
      <w:r>
        <w:t>控制价由</w:t>
      </w:r>
      <w:r>
        <w:rPr>
          <w:rFonts w:hint="eastAsia"/>
        </w:rPr>
        <w:t>采购人</w:t>
      </w:r>
      <w:r>
        <w:t>委托具备相应造价咨询资质的单位编制。</w:t>
      </w:r>
    </w:p>
    <w:p>
      <w:pPr>
        <w:spacing w:line="460" w:lineRule="exact"/>
        <w:ind w:firstLine="371" w:firstLineChars="177"/>
      </w:pPr>
      <w:r>
        <w:t>7.3.2工程</w:t>
      </w:r>
      <w:r>
        <w:rPr>
          <w:rFonts w:hint="eastAsia"/>
        </w:rPr>
        <w:t>采购</w:t>
      </w:r>
      <w:r>
        <w:t>控制价</w:t>
      </w:r>
      <w:r>
        <w:rPr>
          <w:rFonts w:hint="eastAsia"/>
        </w:rPr>
        <w:t>与采购文件同时发放</w:t>
      </w:r>
      <w:r>
        <w:t>。</w:t>
      </w:r>
    </w:p>
    <w:p>
      <w:pPr>
        <w:spacing w:line="460" w:lineRule="exact"/>
        <w:ind w:firstLine="371" w:firstLineChars="177"/>
      </w:pPr>
      <w:r>
        <w:t>7.3.3</w:t>
      </w:r>
      <w:r>
        <w:rPr>
          <w:rFonts w:hint="eastAsia"/>
        </w:rPr>
        <w:t>响应</w:t>
      </w:r>
      <w:r>
        <w:t>人应认真对照施工设计图纸等文件核对</w:t>
      </w:r>
      <w:r>
        <w:rPr>
          <w:rFonts w:hint="eastAsia"/>
        </w:rPr>
        <w:t>采购</w:t>
      </w:r>
      <w:r>
        <w:t>人公布的工程</w:t>
      </w:r>
      <w:r>
        <w:rPr>
          <w:rFonts w:hint="eastAsia"/>
        </w:rPr>
        <w:t>采购</w:t>
      </w:r>
      <w:r>
        <w:t>控制价，发现工程</w:t>
      </w:r>
      <w:r>
        <w:rPr>
          <w:rFonts w:hint="eastAsia"/>
        </w:rPr>
        <w:t>采购</w:t>
      </w:r>
      <w:r>
        <w:t>控制价明显误差的，必须在</w:t>
      </w:r>
      <w:r>
        <w:rPr>
          <w:rFonts w:hint="eastAsia"/>
        </w:rPr>
        <w:t>收到采购文件后5</w:t>
      </w:r>
      <w:r>
        <w:t>天前向</w:t>
      </w:r>
      <w:r>
        <w:rPr>
          <w:rFonts w:hint="eastAsia"/>
        </w:rPr>
        <w:t>采购</w:t>
      </w:r>
      <w:r>
        <w:t>人提出书面异议或修正要求。</w:t>
      </w:r>
    </w:p>
    <w:p>
      <w:pPr>
        <w:spacing w:line="460" w:lineRule="exact"/>
        <w:ind w:firstLine="371" w:firstLineChars="177"/>
      </w:pPr>
      <w:r>
        <w:t>7.3.4</w:t>
      </w:r>
      <w:r>
        <w:rPr>
          <w:rFonts w:hint="eastAsia"/>
        </w:rPr>
        <w:t>采购</w:t>
      </w:r>
      <w:r>
        <w:t>人在收到</w:t>
      </w:r>
      <w:r>
        <w:rPr>
          <w:rFonts w:hint="eastAsia"/>
        </w:rPr>
        <w:t>响应</w:t>
      </w:r>
      <w:r>
        <w:t>人提出的书面异议或修正要求后，将对异议或修正要求进行核实。如</w:t>
      </w:r>
      <w:r>
        <w:rPr>
          <w:rFonts w:hint="eastAsia"/>
        </w:rPr>
        <w:t>采购</w:t>
      </w:r>
      <w:r>
        <w:t>人认为有必要对工程</w:t>
      </w:r>
      <w:r>
        <w:rPr>
          <w:rFonts w:hint="eastAsia"/>
        </w:rPr>
        <w:t>采购</w:t>
      </w:r>
      <w:r>
        <w:t>控制价进行修正的，将在</w:t>
      </w:r>
      <w:r>
        <w:rPr>
          <w:rFonts w:hint="eastAsia"/>
        </w:rPr>
        <w:t>响应</w:t>
      </w:r>
      <w:r>
        <w:t>截止时间3天前重新公布修正后的工程</w:t>
      </w:r>
      <w:r>
        <w:rPr>
          <w:rFonts w:hint="eastAsia"/>
        </w:rPr>
        <w:t>采购</w:t>
      </w:r>
      <w:r>
        <w:t>控制价。</w:t>
      </w:r>
    </w:p>
    <w:p>
      <w:pPr>
        <w:spacing w:line="460" w:lineRule="exact"/>
        <w:ind w:firstLine="371" w:firstLineChars="177"/>
      </w:pPr>
      <w:r>
        <w:t>7.3.5根据《广西壮族自治区房屋建筑和市政基础设施工程工程量清单计价施工招标评标暂行规定》，</w:t>
      </w:r>
      <w:r>
        <w:rPr>
          <w:rFonts w:hint="eastAsia"/>
        </w:rPr>
        <w:t>采购</w:t>
      </w:r>
      <w:r>
        <w:t>人最多只能对工程</w:t>
      </w:r>
      <w:r>
        <w:rPr>
          <w:rFonts w:hint="eastAsia"/>
        </w:rPr>
        <w:t>采购</w:t>
      </w:r>
      <w:r>
        <w:t>控制价进行一次修正。</w:t>
      </w:r>
    </w:p>
    <w:p>
      <w:pPr>
        <w:spacing w:line="460" w:lineRule="exact"/>
        <w:ind w:firstLine="371" w:firstLineChars="177"/>
      </w:pPr>
      <w:r>
        <w:t>7.4</w:t>
      </w:r>
      <w:r>
        <w:rPr>
          <w:rFonts w:hint="eastAsia"/>
        </w:rPr>
        <w:t>响应报价</w:t>
      </w:r>
      <w:r>
        <w:t>货币</w:t>
      </w:r>
      <w:r>
        <w:rPr>
          <w:rFonts w:hint="eastAsia"/>
        </w:rPr>
        <w:t>：</w:t>
      </w:r>
    </w:p>
    <w:p>
      <w:pPr>
        <w:spacing w:line="460" w:lineRule="exact"/>
        <w:ind w:firstLine="371" w:firstLineChars="177"/>
      </w:pPr>
      <w:r>
        <w:rPr>
          <w:rFonts w:hint="eastAsia"/>
        </w:rPr>
        <w:t>响应</w:t>
      </w:r>
      <w:r>
        <w:t>文件报价中的单价和合价全部采用人民币表示。</w:t>
      </w:r>
    </w:p>
    <w:p>
      <w:pPr>
        <w:spacing w:line="460" w:lineRule="exact"/>
        <w:rPr>
          <w:b/>
        </w:rPr>
      </w:pPr>
      <w:bookmarkStart w:id="17" w:name="_Toc516067346"/>
      <w:r>
        <w:rPr>
          <w:b/>
        </w:rPr>
        <w:t>8、</w:t>
      </w:r>
      <w:r>
        <w:rPr>
          <w:rFonts w:hint="eastAsia"/>
          <w:b/>
        </w:rPr>
        <w:t>响应</w:t>
      </w:r>
      <w:r>
        <w:rPr>
          <w:b/>
        </w:rPr>
        <w:t>文件的语言</w:t>
      </w:r>
      <w:bookmarkEnd w:id="17"/>
      <w:r>
        <w:rPr>
          <w:rFonts w:hint="eastAsia"/>
          <w:b/>
        </w:rPr>
        <w:t>:</w:t>
      </w:r>
    </w:p>
    <w:p>
      <w:pPr>
        <w:spacing w:line="460" w:lineRule="exact"/>
        <w:ind w:firstLine="371" w:firstLineChars="177"/>
      </w:pPr>
      <w:r>
        <w:rPr>
          <w:rFonts w:hint="eastAsia"/>
        </w:rPr>
        <w:t>响应</w:t>
      </w:r>
      <w:r>
        <w:t>文件及</w:t>
      </w:r>
      <w:r>
        <w:rPr>
          <w:rFonts w:hint="eastAsia"/>
        </w:rPr>
        <w:t>响应</w:t>
      </w:r>
      <w:r>
        <w:t>人与</w:t>
      </w:r>
      <w:r>
        <w:rPr>
          <w:rFonts w:hint="eastAsia"/>
        </w:rPr>
        <w:t>采购</w:t>
      </w:r>
      <w:r>
        <w:t>人之间有关的来往通知、函件和文件均应使用中文。</w:t>
      </w:r>
    </w:p>
    <w:p>
      <w:pPr>
        <w:spacing w:line="460" w:lineRule="exact"/>
        <w:rPr>
          <w:b/>
          <w:highlight w:val="none"/>
        </w:rPr>
      </w:pPr>
      <w:bookmarkStart w:id="18" w:name="_Toc516067347"/>
      <w:r>
        <w:rPr>
          <w:b/>
          <w:highlight w:val="none"/>
        </w:rPr>
        <w:t>9、</w:t>
      </w:r>
      <w:r>
        <w:rPr>
          <w:rFonts w:hint="eastAsia"/>
          <w:b/>
          <w:highlight w:val="none"/>
        </w:rPr>
        <w:t>响应</w:t>
      </w:r>
      <w:r>
        <w:rPr>
          <w:b/>
          <w:highlight w:val="none"/>
        </w:rPr>
        <w:t>文件的组成</w:t>
      </w:r>
      <w:bookmarkEnd w:id="18"/>
      <w:r>
        <w:rPr>
          <w:rFonts w:hint="eastAsia"/>
          <w:b/>
          <w:highlight w:val="none"/>
        </w:rPr>
        <w:t>:</w:t>
      </w:r>
    </w:p>
    <w:p>
      <w:pPr>
        <w:spacing w:line="460" w:lineRule="exact"/>
        <w:ind w:firstLine="371" w:firstLineChars="177"/>
        <w:rPr>
          <w:szCs w:val="21"/>
        </w:rPr>
      </w:pPr>
      <w:r>
        <w:rPr>
          <w:szCs w:val="21"/>
        </w:rPr>
        <w:t>主要包括下列内容：</w:t>
      </w:r>
    </w:p>
    <w:p>
      <w:pPr>
        <w:numPr>
          <w:ilvl w:val="0"/>
          <w:numId w:val="7"/>
        </w:numPr>
        <w:spacing w:line="460" w:lineRule="exact"/>
        <w:ind w:left="425" w:leftChars="0" w:hanging="425" w:firstLineChars="0"/>
        <w:rPr>
          <w:rFonts w:hint="eastAsia" w:ascii="宋体" w:hAnsi="宋体"/>
          <w:color w:val="000000"/>
          <w:szCs w:val="21"/>
        </w:rPr>
      </w:pPr>
      <w:r>
        <w:rPr>
          <w:rFonts w:hint="eastAsia" w:ascii="宋体" w:hAnsi="宋体"/>
          <w:color w:val="000000"/>
          <w:szCs w:val="21"/>
        </w:rPr>
        <w:t>法定代表人授权委托书</w:t>
      </w:r>
    </w:p>
    <w:p>
      <w:pPr>
        <w:numPr>
          <w:ilvl w:val="0"/>
          <w:numId w:val="7"/>
        </w:numPr>
        <w:spacing w:line="460" w:lineRule="exact"/>
        <w:ind w:left="425" w:leftChars="0" w:hanging="425" w:firstLineChars="0"/>
        <w:rPr>
          <w:szCs w:val="21"/>
        </w:rPr>
      </w:pPr>
      <w:r>
        <w:rPr>
          <w:rFonts w:hint="eastAsia" w:ascii="宋体" w:hAnsi="宋体"/>
          <w:color w:val="000000"/>
          <w:szCs w:val="21"/>
        </w:rPr>
        <w:t>企业营业执照证件</w:t>
      </w:r>
      <w:r>
        <w:rPr>
          <w:rFonts w:hint="eastAsia" w:ascii="宋体" w:hAnsi="宋体"/>
          <w:color w:val="000000"/>
          <w:szCs w:val="21"/>
          <w:lang w:eastAsia="zh-CN"/>
        </w:rPr>
        <w:t>、</w:t>
      </w:r>
      <w:r>
        <w:rPr>
          <w:rFonts w:hint="eastAsia" w:ascii="宋体" w:hAnsi="宋体"/>
          <w:color w:val="000000"/>
          <w:szCs w:val="21"/>
        </w:rPr>
        <w:t>企业资质证书证件</w:t>
      </w:r>
    </w:p>
    <w:p>
      <w:pPr>
        <w:numPr>
          <w:ilvl w:val="0"/>
          <w:numId w:val="7"/>
        </w:numPr>
        <w:spacing w:line="460" w:lineRule="exact"/>
        <w:ind w:left="425" w:leftChars="0" w:hanging="425" w:firstLineChars="0"/>
        <w:rPr>
          <w:rFonts w:hint="eastAsia" w:ascii="宋体" w:hAnsi="宋体"/>
          <w:color w:val="000000"/>
          <w:szCs w:val="21"/>
          <w:lang w:val="en-US" w:eastAsia="zh-CN"/>
        </w:rPr>
      </w:pPr>
      <w:r>
        <w:rPr>
          <w:rFonts w:hint="eastAsia" w:ascii="宋体" w:hAnsi="宋体"/>
          <w:color w:val="000000"/>
          <w:szCs w:val="21"/>
          <w:lang w:val="en-US" w:eastAsia="zh-CN"/>
        </w:rPr>
        <w:t>投标函</w:t>
      </w:r>
    </w:p>
    <w:p>
      <w:pPr>
        <w:numPr>
          <w:ilvl w:val="0"/>
          <w:numId w:val="7"/>
        </w:numPr>
        <w:spacing w:line="460" w:lineRule="exact"/>
        <w:ind w:left="425" w:leftChars="0" w:hanging="425" w:firstLineChars="0"/>
        <w:rPr>
          <w:rFonts w:hint="eastAsia" w:ascii="宋体" w:hAnsi="宋体"/>
          <w:color w:val="000000"/>
          <w:szCs w:val="21"/>
          <w:lang w:val="en-US" w:eastAsia="zh-CN"/>
        </w:rPr>
      </w:pPr>
      <w:r>
        <w:rPr>
          <w:rFonts w:hint="eastAsia" w:ascii="宋体" w:hAnsi="宋体"/>
          <w:color w:val="000000"/>
          <w:szCs w:val="21"/>
          <w:lang w:val="en-US" w:eastAsia="zh-CN"/>
        </w:rPr>
        <w:t>报价汇总表</w:t>
      </w:r>
    </w:p>
    <w:p>
      <w:pPr>
        <w:numPr>
          <w:ilvl w:val="0"/>
          <w:numId w:val="7"/>
        </w:numPr>
        <w:spacing w:line="460" w:lineRule="exact"/>
        <w:ind w:left="425" w:leftChars="0" w:hanging="425" w:firstLineChars="0"/>
        <w:rPr>
          <w:rFonts w:hint="eastAsia" w:ascii="宋体" w:hAnsi="宋体"/>
          <w:color w:val="000000"/>
          <w:szCs w:val="21"/>
          <w:lang w:val="en-US" w:eastAsia="zh-CN"/>
        </w:rPr>
      </w:pPr>
      <w:r>
        <w:rPr>
          <w:rFonts w:hint="eastAsia" w:ascii="宋体" w:hAnsi="宋体"/>
          <w:color w:val="000000"/>
          <w:szCs w:val="21"/>
          <w:lang w:val="en-US" w:eastAsia="zh-CN"/>
        </w:rPr>
        <w:t>报价文件格式</w:t>
      </w:r>
    </w:p>
    <w:p>
      <w:pPr>
        <w:numPr>
          <w:ilvl w:val="0"/>
          <w:numId w:val="7"/>
        </w:numPr>
        <w:spacing w:line="460" w:lineRule="exact"/>
        <w:ind w:left="425" w:leftChars="0" w:hanging="425" w:firstLineChars="0"/>
        <w:rPr>
          <w:rFonts w:hint="eastAsia" w:ascii="宋体" w:hAnsi="宋体"/>
          <w:color w:val="000000"/>
          <w:szCs w:val="21"/>
          <w:lang w:val="en-US" w:eastAsia="zh-CN"/>
        </w:rPr>
      </w:pPr>
      <w:r>
        <w:rPr>
          <w:rFonts w:hint="eastAsia" w:ascii="宋体" w:hAnsi="宋体"/>
          <w:color w:val="000000"/>
          <w:szCs w:val="21"/>
          <w:lang w:val="en-US" w:eastAsia="zh-CN"/>
        </w:rPr>
        <w:t>一般纳税人资格认定证明</w:t>
      </w:r>
    </w:p>
    <w:p>
      <w:pPr>
        <w:numPr>
          <w:ilvl w:val="0"/>
          <w:numId w:val="7"/>
        </w:numPr>
        <w:spacing w:line="460" w:lineRule="exact"/>
        <w:ind w:left="425" w:leftChars="0" w:hanging="425" w:firstLineChars="0"/>
        <w:rPr>
          <w:rFonts w:hint="eastAsia" w:ascii="宋体" w:hAnsi="宋体"/>
          <w:color w:val="000000"/>
          <w:szCs w:val="21"/>
          <w:lang w:val="en-US" w:eastAsia="zh-CN"/>
        </w:rPr>
      </w:pPr>
      <w:r>
        <w:rPr>
          <w:rFonts w:hint="eastAsia" w:ascii="宋体" w:hAnsi="宋体"/>
          <w:color w:val="000000"/>
          <w:szCs w:val="21"/>
          <w:lang w:val="en-US" w:eastAsia="zh-CN"/>
        </w:rPr>
        <w:t>承诺书</w:t>
      </w:r>
    </w:p>
    <w:p>
      <w:pPr>
        <w:numPr>
          <w:ilvl w:val="0"/>
          <w:numId w:val="7"/>
        </w:numPr>
        <w:spacing w:line="460" w:lineRule="exact"/>
        <w:ind w:left="425" w:leftChars="0" w:hanging="425" w:firstLineChars="0"/>
        <w:rPr>
          <w:rFonts w:hint="eastAsia" w:ascii="宋体" w:hAnsi="宋体"/>
          <w:color w:val="000000"/>
          <w:szCs w:val="21"/>
          <w:lang w:val="en-US" w:eastAsia="zh-CN"/>
        </w:rPr>
      </w:pPr>
      <w:r>
        <w:rPr>
          <w:rFonts w:hint="eastAsia" w:ascii="宋体" w:hAnsi="宋体"/>
          <w:color w:val="000000"/>
          <w:szCs w:val="21"/>
          <w:lang w:val="en-US" w:eastAsia="zh-CN"/>
        </w:rPr>
        <w:t>施工组织设计</w:t>
      </w:r>
    </w:p>
    <w:p>
      <w:pPr>
        <w:numPr>
          <w:ilvl w:val="0"/>
          <w:numId w:val="7"/>
        </w:numPr>
        <w:spacing w:line="460" w:lineRule="exact"/>
        <w:ind w:left="425" w:leftChars="0" w:hanging="425" w:firstLineChars="0"/>
        <w:rPr>
          <w:rFonts w:hint="eastAsia" w:ascii="宋体" w:hAnsi="宋体"/>
          <w:color w:val="000000"/>
          <w:szCs w:val="21"/>
          <w:lang w:val="en-US" w:eastAsia="zh-CN"/>
        </w:rPr>
      </w:pPr>
      <w:r>
        <w:rPr>
          <w:rFonts w:hint="eastAsia" w:ascii="宋体" w:hAnsi="宋体"/>
          <w:color w:val="000000"/>
          <w:szCs w:val="21"/>
          <w:lang w:val="en-US" w:eastAsia="zh-CN"/>
        </w:rPr>
        <w:t>同类项目业绩</w:t>
      </w:r>
    </w:p>
    <w:p>
      <w:pPr>
        <w:numPr>
          <w:ilvl w:val="0"/>
          <w:numId w:val="7"/>
        </w:numPr>
        <w:spacing w:line="460" w:lineRule="exact"/>
        <w:ind w:left="425" w:leftChars="0" w:hanging="425" w:firstLineChars="0"/>
        <w:rPr>
          <w:rFonts w:hint="eastAsia" w:ascii="宋体" w:hAnsi="宋体"/>
          <w:color w:val="000000"/>
          <w:szCs w:val="21"/>
          <w:highlight w:val="none"/>
          <w:lang w:val="en-US" w:eastAsia="zh-CN"/>
        </w:rPr>
      </w:pPr>
      <w:r>
        <w:rPr>
          <w:rFonts w:hint="eastAsia" w:ascii="宋体" w:hAnsi="宋体"/>
          <w:color w:val="000000"/>
          <w:szCs w:val="21"/>
          <w:highlight w:val="none"/>
          <w:lang w:val="en-US" w:eastAsia="zh-CN"/>
        </w:rPr>
        <w:t>技术要求响应表</w:t>
      </w:r>
    </w:p>
    <w:p>
      <w:pPr>
        <w:spacing w:line="460" w:lineRule="exact"/>
        <w:rPr>
          <w:b/>
          <w:highlight w:val="none"/>
        </w:rPr>
      </w:pPr>
      <w:r>
        <w:rPr>
          <w:b/>
          <w:highlight w:val="none"/>
        </w:rPr>
        <w:t>10、</w:t>
      </w:r>
      <w:r>
        <w:rPr>
          <w:rFonts w:hint="eastAsia"/>
          <w:b/>
          <w:highlight w:val="none"/>
        </w:rPr>
        <w:t>响应</w:t>
      </w:r>
      <w:r>
        <w:rPr>
          <w:b/>
          <w:highlight w:val="none"/>
        </w:rPr>
        <w:t>有效期</w:t>
      </w:r>
      <w:r>
        <w:rPr>
          <w:rFonts w:hint="eastAsia"/>
          <w:b/>
          <w:highlight w:val="none"/>
        </w:rPr>
        <w:t>:</w:t>
      </w:r>
    </w:p>
    <w:p>
      <w:pPr>
        <w:spacing w:line="460" w:lineRule="exact"/>
        <w:ind w:firstLine="371" w:firstLineChars="177"/>
      </w:pPr>
      <w:r>
        <w:t>10.1</w:t>
      </w:r>
      <w:r>
        <w:rPr>
          <w:rFonts w:hint="eastAsia"/>
        </w:rPr>
        <w:t>响应</w:t>
      </w:r>
      <w:r>
        <w:t>文件在</w:t>
      </w:r>
      <w:r>
        <w:rPr>
          <w:u w:val="single"/>
        </w:rPr>
        <w:t>“</w:t>
      </w:r>
      <w:r>
        <w:rPr>
          <w:rFonts w:hint="eastAsia"/>
          <w:u w:val="single"/>
        </w:rPr>
        <w:t>响应人</w:t>
      </w:r>
      <w:r>
        <w:rPr>
          <w:u w:val="single"/>
        </w:rPr>
        <w:t>须知</w:t>
      </w:r>
      <w:r>
        <w:rPr>
          <w:rFonts w:hint="eastAsia"/>
          <w:u w:val="single"/>
        </w:rPr>
        <w:t>前附表</w:t>
      </w:r>
      <w:r>
        <w:rPr>
          <w:u w:val="single"/>
        </w:rPr>
        <w:t>”</w:t>
      </w:r>
      <w:r>
        <w:t>规定的</w:t>
      </w:r>
      <w:r>
        <w:rPr>
          <w:rFonts w:hint="eastAsia"/>
        </w:rPr>
        <w:t>响应</w:t>
      </w:r>
      <w:r>
        <w:t>截止日期之后的</w:t>
      </w:r>
      <w:r>
        <w:rPr>
          <w:rFonts w:hint="eastAsia"/>
          <w:u w:val="single"/>
        </w:rPr>
        <w:t>60</w:t>
      </w:r>
      <w:r>
        <w:t>天（日历天）内有效。</w:t>
      </w:r>
    </w:p>
    <w:p>
      <w:pPr>
        <w:spacing w:line="460" w:lineRule="exact"/>
        <w:ind w:firstLine="371" w:firstLineChars="177"/>
      </w:pPr>
      <w:r>
        <w:t>10.2在原定</w:t>
      </w:r>
      <w:r>
        <w:rPr>
          <w:rFonts w:hint="eastAsia"/>
        </w:rPr>
        <w:t>响应</w:t>
      </w:r>
      <w:r>
        <w:t>有效期满之前，如果出现特殊情况，</w:t>
      </w:r>
      <w:r>
        <w:rPr>
          <w:rFonts w:hint="eastAsia"/>
        </w:rPr>
        <w:t>采购</w:t>
      </w:r>
      <w:r>
        <w:t>人可以书面形式向</w:t>
      </w:r>
      <w:r>
        <w:rPr>
          <w:rFonts w:hint="eastAsia"/>
        </w:rPr>
        <w:t>响应</w:t>
      </w:r>
      <w:r>
        <w:t>人提出延长</w:t>
      </w:r>
      <w:r>
        <w:rPr>
          <w:rFonts w:hint="eastAsia"/>
        </w:rPr>
        <w:t>响应</w:t>
      </w:r>
      <w:r>
        <w:t>有效期的要求，</w:t>
      </w:r>
      <w:r>
        <w:rPr>
          <w:rFonts w:hint="eastAsia"/>
        </w:rPr>
        <w:t>响应</w:t>
      </w:r>
      <w:r>
        <w:t>人须以书面形式予以答复。</w:t>
      </w:r>
      <w:r>
        <w:rPr>
          <w:rFonts w:hint="eastAsia"/>
        </w:rPr>
        <w:t>响应</w:t>
      </w:r>
      <w:r>
        <w:t>人可以拒绝这种要求而不被没收保证金。同意延长</w:t>
      </w:r>
      <w:r>
        <w:rPr>
          <w:rFonts w:hint="eastAsia"/>
        </w:rPr>
        <w:t>响应</w:t>
      </w:r>
      <w:r>
        <w:t>有效期的</w:t>
      </w:r>
      <w:r>
        <w:rPr>
          <w:rFonts w:hint="eastAsia"/>
        </w:rPr>
        <w:t>响应</w:t>
      </w:r>
      <w:r>
        <w:t>人不允许修改其</w:t>
      </w:r>
      <w:r>
        <w:rPr>
          <w:rFonts w:hint="eastAsia"/>
        </w:rPr>
        <w:t>响应</w:t>
      </w:r>
      <w:r>
        <w:t>文件，但需要相应地延长</w:t>
      </w:r>
      <w:r>
        <w:rPr>
          <w:rFonts w:hint="eastAsia"/>
        </w:rPr>
        <w:t>响应</w:t>
      </w:r>
      <w:r>
        <w:t>保证金的有效期，在延长期内本须知的第</w:t>
      </w:r>
      <w:r>
        <w:rPr>
          <w:rFonts w:hint="eastAsia"/>
        </w:rPr>
        <w:t>16</w:t>
      </w:r>
      <w:r>
        <w:t>条的规定仍然适用。</w:t>
      </w:r>
    </w:p>
    <w:p>
      <w:pPr>
        <w:spacing w:line="460" w:lineRule="exact"/>
        <w:rPr>
          <w:b/>
        </w:rPr>
      </w:pPr>
      <w:bookmarkStart w:id="19" w:name="_Toc516067348"/>
      <w:r>
        <w:rPr>
          <w:b/>
        </w:rPr>
        <w:t>11、</w:t>
      </w:r>
      <w:r>
        <w:rPr>
          <w:rFonts w:hint="eastAsia"/>
          <w:b/>
        </w:rPr>
        <w:t>响应</w:t>
      </w:r>
      <w:r>
        <w:rPr>
          <w:b/>
        </w:rPr>
        <w:t>保证金</w:t>
      </w:r>
      <w:bookmarkEnd w:id="19"/>
      <w:r>
        <w:rPr>
          <w:rFonts w:hint="eastAsia"/>
          <w:b/>
        </w:rPr>
        <w:t>:</w:t>
      </w:r>
    </w:p>
    <w:p>
      <w:pPr>
        <w:spacing w:line="460" w:lineRule="exact"/>
        <w:ind w:firstLine="420" w:firstLineChars="200"/>
        <w:rPr>
          <w:b/>
        </w:rPr>
      </w:pPr>
      <w:r>
        <w:rPr>
          <w:rFonts w:hint="eastAsia" w:ascii="宋体" w:hAnsi="宋体"/>
          <w:szCs w:val="21"/>
        </w:rPr>
        <w:t>保证金：</w:t>
      </w:r>
      <w:r>
        <w:rPr>
          <w:rFonts w:hint="eastAsia" w:ascii="宋体" w:hAnsi="宋体"/>
          <w:b/>
          <w:szCs w:val="21"/>
        </w:rPr>
        <w:t>无。</w:t>
      </w:r>
    </w:p>
    <w:p>
      <w:pPr>
        <w:spacing w:line="460" w:lineRule="exact"/>
        <w:rPr>
          <w:b/>
        </w:rPr>
      </w:pPr>
      <w:r>
        <w:rPr>
          <w:b/>
        </w:rPr>
        <w:t>12、</w:t>
      </w:r>
      <w:r>
        <w:rPr>
          <w:rFonts w:hint="eastAsia"/>
          <w:b/>
        </w:rPr>
        <w:t>响应</w:t>
      </w:r>
      <w:r>
        <w:rPr>
          <w:b/>
        </w:rPr>
        <w:t>预备</w:t>
      </w:r>
      <w:r>
        <w:rPr>
          <w:rFonts w:hint="eastAsia"/>
          <w:b/>
        </w:rPr>
        <w:t>:</w:t>
      </w:r>
    </w:p>
    <w:p>
      <w:pPr>
        <w:spacing w:line="460" w:lineRule="exact"/>
        <w:ind w:firstLine="371" w:firstLineChars="177"/>
      </w:pPr>
      <w:r>
        <w:t>12.1勘察现场</w:t>
      </w:r>
    </w:p>
    <w:p>
      <w:pPr>
        <w:spacing w:line="460" w:lineRule="exact"/>
        <w:ind w:firstLine="371" w:firstLineChars="177"/>
      </w:pPr>
      <w:r>
        <w:t>12.1.1</w:t>
      </w:r>
      <w:r>
        <w:rPr>
          <w:rFonts w:hint="eastAsia"/>
        </w:rPr>
        <w:t>响应</w:t>
      </w:r>
      <w:r>
        <w:t>人自行对工程施工现场和周围环境进行勘察，以获取编制</w:t>
      </w:r>
      <w:r>
        <w:rPr>
          <w:rFonts w:hint="eastAsia"/>
        </w:rPr>
        <w:t>响应</w:t>
      </w:r>
      <w:r>
        <w:t>文件和签署合同所需的资料</w:t>
      </w:r>
      <w:r>
        <w:rPr>
          <w:rFonts w:hint="eastAsia"/>
        </w:rPr>
        <w:t>，</w:t>
      </w:r>
      <w:r>
        <w:t>勘察现场所发生的费用由</w:t>
      </w:r>
      <w:r>
        <w:rPr>
          <w:rFonts w:hint="eastAsia"/>
        </w:rPr>
        <w:t>响应</w:t>
      </w:r>
      <w:r>
        <w:t>人自己承担。</w:t>
      </w:r>
    </w:p>
    <w:p>
      <w:pPr>
        <w:spacing w:line="460" w:lineRule="exact"/>
        <w:ind w:firstLine="371" w:firstLineChars="177"/>
      </w:pPr>
      <w:r>
        <w:t>12.1.2</w:t>
      </w:r>
      <w:r>
        <w:rPr>
          <w:rFonts w:hint="eastAsia"/>
        </w:rPr>
        <w:t>采购</w:t>
      </w:r>
      <w:r>
        <w:t>人向</w:t>
      </w:r>
      <w:r>
        <w:rPr>
          <w:rFonts w:hint="eastAsia"/>
        </w:rPr>
        <w:t>响应</w:t>
      </w:r>
      <w:r>
        <w:t>人提供的有关施工现场的资料和数据，是</w:t>
      </w:r>
      <w:r>
        <w:rPr>
          <w:rFonts w:hint="eastAsia"/>
        </w:rPr>
        <w:t>响应</w:t>
      </w:r>
      <w:r>
        <w:t>人现有的能使</w:t>
      </w:r>
      <w:r>
        <w:rPr>
          <w:rFonts w:hint="eastAsia"/>
        </w:rPr>
        <w:t>响应</w:t>
      </w:r>
      <w:r>
        <w:t>人利用的资料。</w:t>
      </w:r>
      <w:r>
        <w:rPr>
          <w:rFonts w:hint="eastAsia"/>
        </w:rPr>
        <w:t>采购</w:t>
      </w:r>
      <w:r>
        <w:t>人对</w:t>
      </w:r>
      <w:r>
        <w:rPr>
          <w:rFonts w:hint="eastAsia"/>
        </w:rPr>
        <w:t>响应</w:t>
      </w:r>
      <w:r>
        <w:t>人由此而做出的推论、理解和结论概不负责。</w:t>
      </w:r>
    </w:p>
    <w:p>
      <w:pPr>
        <w:spacing w:line="460" w:lineRule="exact"/>
        <w:ind w:firstLine="371" w:firstLineChars="177"/>
      </w:pPr>
      <w:r>
        <w:t>12.2</w:t>
      </w:r>
      <w:r>
        <w:rPr>
          <w:rFonts w:hint="eastAsia"/>
        </w:rPr>
        <w:t>采购文件</w:t>
      </w:r>
      <w:r>
        <w:t>答疑</w:t>
      </w:r>
    </w:p>
    <w:p>
      <w:pPr>
        <w:spacing w:line="460" w:lineRule="exact"/>
        <w:ind w:firstLine="371" w:firstLineChars="177"/>
        <w:rPr>
          <w:dstrike/>
        </w:rPr>
      </w:pPr>
      <w:r>
        <w:t>12.2.1</w:t>
      </w:r>
      <w:r>
        <w:rPr>
          <w:rFonts w:hint="eastAsia"/>
        </w:rPr>
        <w:t>响应</w:t>
      </w:r>
      <w:r>
        <w:t>人提出的与</w:t>
      </w:r>
      <w:r>
        <w:rPr>
          <w:rFonts w:hint="eastAsia"/>
        </w:rPr>
        <w:t>采购文件</w:t>
      </w:r>
      <w:r>
        <w:t>有关的任何问题</w:t>
      </w:r>
      <w:r>
        <w:rPr>
          <w:rFonts w:hint="eastAsia"/>
        </w:rPr>
        <w:t>应</w:t>
      </w:r>
      <w:r>
        <w:t>在</w:t>
      </w:r>
      <w:r>
        <w:rPr>
          <w:rFonts w:hint="eastAsia"/>
        </w:rPr>
        <w:t>收到采购文件后</w:t>
      </w:r>
      <w:r>
        <w:rPr>
          <w:rFonts w:hint="eastAsia"/>
          <w:u w:val="single"/>
        </w:rPr>
        <w:t>5</w:t>
      </w:r>
      <w:r>
        <w:t>天</w:t>
      </w:r>
      <w:r>
        <w:rPr>
          <w:rFonts w:hint="eastAsia"/>
        </w:rPr>
        <w:t>内</w:t>
      </w:r>
      <w:r>
        <w:t>，以书面形式送达</w:t>
      </w:r>
      <w:r>
        <w:rPr>
          <w:rFonts w:hint="eastAsia"/>
        </w:rPr>
        <w:t>采购</w:t>
      </w:r>
      <w:r>
        <w:t>人处。</w:t>
      </w:r>
    </w:p>
    <w:p>
      <w:pPr>
        <w:spacing w:line="460" w:lineRule="exact"/>
        <w:ind w:firstLine="371" w:firstLineChars="177"/>
      </w:pPr>
      <w:r>
        <w:t>12.2.</w:t>
      </w:r>
      <w:r>
        <w:rPr>
          <w:rFonts w:hint="eastAsia"/>
        </w:rPr>
        <w:t>2采购文件</w:t>
      </w:r>
      <w:r>
        <w:t>补遗包括所有问题和答复，补遗文件将迅速提供给所有获得</w:t>
      </w:r>
      <w:r>
        <w:rPr>
          <w:rFonts w:hint="eastAsia"/>
        </w:rPr>
        <w:t>采购</w:t>
      </w:r>
      <w:r>
        <w:t>文件的</w:t>
      </w:r>
      <w:r>
        <w:rPr>
          <w:rFonts w:hint="eastAsia"/>
        </w:rPr>
        <w:t>响应</w:t>
      </w:r>
      <w:r>
        <w:t>人。</w:t>
      </w:r>
    </w:p>
    <w:p>
      <w:pPr>
        <w:spacing w:line="460" w:lineRule="exact"/>
        <w:rPr>
          <w:b/>
        </w:rPr>
      </w:pPr>
      <w:r>
        <w:rPr>
          <w:b/>
        </w:rPr>
        <w:t>13、</w:t>
      </w:r>
      <w:r>
        <w:rPr>
          <w:rFonts w:hint="eastAsia"/>
          <w:b/>
        </w:rPr>
        <w:t>响应</w:t>
      </w:r>
      <w:r>
        <w:rPr>
          <w:b/>
        </w:rPr>
        <w:t>文件的份数和签署</w:t>
      </w:r>
      <w:r>
        <w:rPr>
          <w:rFonts w:hint="eastAsia"/>
          <w:b/>
        </w:rPr>
        <w:t>:</w:t>
      </w:r>
    </w:p>
    <w:p>
      <w:pPr>
        <w:spacing w:line="460" w:lineRule="exact"/>
        <w:ind w:firstLine="371" w:firstLineChars="177"/>
      </w:pPr>
      <w:r>
        <w:t>13.1</w:t>
      </w:r>
      <w:r>
        <w:rPr>
          <w:rFonts w:hint="eastAsia"/>
        </w:rPr>
        <w:t>响应</w:t>
      </w:r>
      <w:r>
        <w:t>人按</w:t>
      </w:r>
      <w:r>
        <w:rPr>
          <w:u w:val="single"/>
        </w:rPr>
        <w:t>“</w:t>
      </w:r>
      <w:r>
        <w:rPr>
          <w:rFonts w:hint="eastAsia"/>
          <w:u w:val="single"/>
        </w:rPr>
        <w:t>响应人</w:t>
      </w:r>
      <w:r>
        <w:rPr>
          <w:u w:val="single"/>
        </w:rPr>
        <w:t>须知</w:t>
      </w:r>
      <w:r>
        <w:rPr>
          <w:rFonts w:hint="eastAsia"/>
          <w:u w:val="single"/>
        </w:rPr>
        <w:t>前附表</w:t>
      </w:r>
      <w:r>
        <w:rPr>
          <w:u w:val="single"/>
        </w:rPr>
        <w:t>”</w:t>
      </w:r>
      <w:r>
        <w:t>的规定，编制所需</w:t>
      </w:r>
      <w:r>
        <w:rPr>
          <w:rFonts w:hint="eastAsia"/>
        </w:rPr>
        <w:t>响应</w:t>
      </w:r>
      <w:r>
        <w:t>文件“正本”和 “副本”份数，并明确标明“</w:t>
      </w:r>
      <w:r>
        <w:rPr>
          <w:rFonts w:hint="eastAsia"/>
        </w:rPr>
        <w:t>响应</w:t>
      </w:r>
      <w:r>
        <w:t>文件正本”和“</w:t>
      </w:r>
      <w:r>
        <w:rPr>
          <w:rFonts w:hint="eastAsia"/>
        </w:rPr>
        <w:t>响应</w:t>
      </w:r>
      <w:r>
        <w:t>文件副本”。</w:t>
      </w:r>
      <w:r>
        <w:rPr>
          <w:rFonts w:hint="eastAsia"/>
        </w:rPr>
        <w:t>响应</w:t>
      </w:r>
      <w:r>
        <w:t>文件正本和副本如有不一致之处，以正本为准。</w:t>
      </w:r>
    </w:p>
    <w:p>
      <w:pPr>
        <w:spacing w:line="460" w:lineRule="exact"/>
        <w:ind w:firstLine="371" w:firstLineChars="177"/>
      </w:pPr>
      <w:r>
        <w:t>13.2</w:t>
      </w:r>
      <w:r>
        <w:rPr>
          <w:rFonts w:hint="eastAsia"/>
        </w:rPr>
        <w:t>响应</w:t>
      </w:r>
      <w:r>
        <w:t>文件正本与副本均应使用不能擦去的墨水书写或打印，由</w:t>
      </w:r>
      <w:r>
        <w:rPr>
          <w:rFonts w:hint="eastAsia"/>
        </w:rPr>
        <w:t>响应</w:t>
      </w:r>
      <w:r>
        <w:t>人加盖法人单位公章，法定代表人或其委托代理人签署或加盖印鉴。</w:t>
      </w:r>
    </w:p>
    <w:p>
      <w:pPr>
        <w:spacing w:line="460" w:lineRule="exact"/>
        <w:ind w:firstLine="371" w:firstLineChars="177"/>
      </w:pPr>
      <w:r>
        <w:t>13.3全套</w:t>
      </w:r>
      <w:r>
        <w:rPr>
          <w:rFonts w:hint="eastAsia"/>
        </w:rPr>
        <w:t>响应</w:t>
      </w:r>
      <w:r>
        <w:t>文件应无涂改和行间插字，除非这些删改是根据</w:t>
      </w:r>
      <w:r>
        <w:rPr>
          <w:rFonts w:hint="eastAsia"/>
        </w:rPr>
        <w:t>采购</w:t>
      </w:r>
      <w:r>
        <w:t>人指示进行的或者是</w:t>
      </w:r>
      <w:r>
        <w:rPr>
          <w:rFonts w:hint="eastAsia"/>
        </w:rPr>
        <w:t>响应</w:t>
      </w:r>
      <w:r>
        <w:t>人造成的必须修改的错误。但修改处应由</w:t>
      </w:r>
      <w:r>
        <w:rPr>
          <w:rFonts w:hint="eastAsia"/>
        </w:rPr>
        <w:t>响应</w:t>
      </w:r>
      <w:r>
        <w:t>文件签字人签字证明或加盖印鉴，否则修改无效。</w:t>
      </w:r>
    </w:p>
    <w:p>
      <w:pPr>
        <w:spacing w:line="460" w:lineRule="exact"/>
        <w:rPr>
          <w:b/>
        </w:rPr>
      </w:pPr>
      <w:bookmarkStart w:id="20" w:name="_Toc516067349"/>
      <w:r>
        <w:rPr>
          <w:b/>
        </w:rPr>
        <w:t>14、</w:t>
      </w:r>
      <w:r>
        <w:rPr>
          <w:rFonts w:hint="eastAsia"/>
          <w:b/>
        </w:rPr>
        <w:t>响应</w:t>
      </w:r>
      <w:r>
        <w:rPr>
          <w:b/>
        </w:rPr>
        <w:t>文件提交截止时间</w:t>
      </w:r>
      <w:bookmarkEnd w:id="20"/>
      <w:r>
        <w:rPr>
          <w:rFonts w:hint="eastAsia"/>
          <w:b/>
        </w:rPr>
        <w:t>:</w:t>
      </w:r>
    </w:p>
    <w:p>
      <w:pPr>
        <w:spacing w:line="460" w:lineRule="exact"/>
        <w:ind w:firstLine="371" w:firstLineChars="177"/>
      </w:pPr>
      <w:r>
        <w:t>14.1</w:t>
      </w:r>
      <w:r>
        <w:rPr>
          <w:rFonts w:hint="eastAsia"/>
        </w:rPr>
        <w:t>响应</w:t>
      </w:r>
      <w:r>
        <w:t>文件提交截止时间：</w:t>
      </w:r>
      <w:r>
        <w:rPr>
          <w:rFonts w:hint="eastAsia"/>
        </w:rPr>
        <w:t>按</w:t>
      </w:r>
      <w:r>
        <w:rPr>
          <w:u w:val="single"/>
        </w:rPr>
        <w:t>“</w:t>
      </w:r>
      <w:r>
        <w:rPr>
          <w:rFonts w:hint="eastAsia"/>
          <w:u w:val="single"/>
        </w:rPr>
        <w:t>响应人</w:t>
      </w:r>
      <w:r>
        <w:rPr>
          <w:u w:val="single"/>
        </w:rPr>
        <w:t>须知</w:t>
      </w:r>
      <w:r>
        <w:rPr>
          <w:rFonts w:hint="eastAsia"/>
          <w:u w:val="single"/>
        </w:rPr>
        <w:t>前附表</w:t>
      </w:r>
      <w:r>
        <w:rPr>
          <w:u w:val="single"/>
        </w:rPr>
        <w:t>”</w:t>
      </w:r>
      <w:r>
        <w:t>的规定。</w:t>
      </w:r>
    </w:p>
    <w:p>
      <w:pPr>
        <w:spacing w:line="460" w:lineRule="exact"/>
        <w:ind w:firstLine="371" w:firstLineChars="177"/>
      </w:pPr>
      <w:r>
        <w:t>14.2</w:t>
      </w:r>
      <w:r>
        <w:rPr>
          <w:rFonts w:hint="eastAsia"/>
        </w:rPr>
        <w:t>采购</w:t>
      </w:r>
      <w:r>
        <w:t>人可</w:t>
      </w:r>
      <w:r>
        <w:rPr>
          <w:rFonts w:hint="eastAsia"/>
        </w:rPr>
        <w:t>按</w:t>
      </w:r>
      <w:r>
        <w:rPr>
          <w:u w:val="single"/>
        </w:rPr>
        <w:t>“</w:t>
      </w:r>
      <w:r>
        <w:rPr>
          <w:rFonts w:hint="eastAsia"/>
          <w:u w:val="single"/>
        </w:rPr>
        <w:t>响应人</w:t>
      </w:r>
      <w:r>
        <w:rPr>
          <w:u w:val="single"/>
        </w:rPr>
        <w:t>须知</w:t>
      </w:r>
      <w:r>
        <w:rPr>
          <w:rFonts w:hint="eastAsia"/>
          <w:u w:val="single"/>
        </w:rPr>
        <w:t>前附表</w:t>
      </w:r>
      <w:r>
        <w:rPr>
          <w:u w:val="single"/>
        </w:rPr>
        <w:t>”</w:t>
      </w:r>
      <w:r>
        <w:t>的规定以补充通知的方式，酌情延长提交</w:t>
      </w:r>
      <w:r>
        <w:rPr>
          <w:rFonts w:hint="eastAsia"/>
        </w:rPr>
        <w:t>响应</w:t>
      </w:r>
      <w:r>
        <w:t>文件的截止时间。在上述情况下，</w:t>
      </w:r>
      <w:r>
        <w:rPr>
          <w:rFonts w:hint="eastAsia"/>
        </w:rPr>
        <w:t>采购</w:t>
      </w:r>
      <w:r>
        <w:t>人与</w:t>
      </w:r>
      <w:r>
        <w:rPr>
          <w:rFonts w:hint="eastAsia"/>
        </w:rPr>
        <w:t>响应</w:t>
      </w:r>
      <w:r>
        <w:t>人的全部权力、责任和义务，将适用于延长后新的</w:t>
      </w:r>
      <w:r>
        <w:rPr>
          <w:rFonts w:hint="eastAsia"/>
        </w:rPr>
        <w:t>响应</w:t>
      </w:r>
      <w:r>
        <w:t>文件提交截止时间。</w:t>
      </w:r>
    </w:p>
    <w:p>
      <w:pPr>
        <w:spacing w:line="460" w:lineRule="exact"/>
        <w:rPr>
          <w:b/>
        </w:rPr>
      </w:pPr>
      <w:bookmarkStart w:id="21" w:name="_Toc516067350"/>
      <w:r>
        <w:rPr>
          <w:b/>
        </w:rPr>
        <w:t>15、</w:t>
      </w:r>
      <w:r>
        <w:rPr>
          <w:rFonts w:hint="eastAsia"/>
          <w:b/>
        </w:rPr>
        <w:t>响应</w:t>
      </w:r>
      <w:r>
        <w:rPr>
          <w:b/>
        </w:rPr>
        <w:t>文件的密封、装订、标志与提交</w:t>
      </w:r>
      <w:bookmarkEnd w:id="21"/>
      <w:r>
        <w:rPr>
          <w:rFonts w:hint="eastAsia"/>
          <w:b/>
        </w:rPr>
        <w:t>:</w:t>
      </w:r>
    </w:p>
    <w:p>
      <w:pPr>
        <w:spacing w:line="460" w:lineRule="exact"/>
        <w:ind w:firstLine="371" w:firstLineChars="177"/>
      </w:pPr>
      <w:r>
        <w:t>15.1</w:t>
      </w:r>
      <w:r>
        <w:rPr>
          <w:rFonts w:hint="eastAsia"/>
        </w:rPr>
        <w:t>响应</w:t>
      </w:r>
      <w:r>
        <w:t>文件装订要求：</w:t>
      </w:r>
      <w:r>
        <w:rPr>
          <w:rFonts w:hint="eastAsia"/>
          <w:u w:val="single"/>
        </w:rPr>
        <w:t>响应</w:t>
      </w:r>
      <w:r>
        <w:rPr>
          <w:u w:val="single"/>
        </w:rPr>
        <w:t>文件中商务部分</w:t>
      </w:r>
      <w:r>
        <w:rPr>
          <w:rFonts w:hint="eastAsia"/>
          <w:u w:val="single"/>
        </w:rPr>
        <w:t>、技术部分</w:t>
      </w:r>
      <w:r>
        <w:rPr>
          <w:u w:val="single"/>
        </w:rPr>
        <w:t>分开装订</w:t>
      </w:r>
      <w:r>
        <w:t>。</w:t>
      </w:r>
    </w:p>
    <w:p>
      <w:pPr>
        <w:spacing w:line="460" w:lineRule="exact"/>
        <w:ind w:firstLine="371" w:firstLineChars="177"/>
      </w:pPr>
      <w:r>
        <w:t>15.2</w:t>
      </w:r>
      <w:r>
        <w:rPr>
          <w:rFonts w:hint="eastAsia"/>
        </w:rPr>
        <w:t>响应</w:t>
      </w:r>
      <w:r>
        <w:t>人将</w:t>
      </w:r>
      <w:r>
        <w:rPr>
          <w:rFonts w:hint="eastAsia"/>
        </w:rPr>
        <w:t>响应</w:t>
      </w:r>
      <w:r>
        <w:t>文件</w:t>
      </w:r>
      <w:r>
        <w:rPr>
          <w:rFonts w:hint="eastAsia"/>
        </w:rPr>
        <w:t>中商务部分、技术部分</w:t>
      </w:r>
      <w:r>
        <w:t>的正本和副本</w:t>
      </w:r>
      <w:r>
        <w:rPr>
          <w:rFonts w:hint="eastAsia"/>
        </w:rPr>
        <w:t>分别</w:t>
      </w:r>
      <w:r>
        <w:t>密封</w:t>
      </w:r>
      <w:r>
        <w:rPr>
          <w:rFonts w:hint="eastAsia"/>
        </w:rPr>
        <w:t>在一个内</w:t>
      </w:r>
      <w:r>
        <w:t>层</w:t>
      </w:r>
      <w:r>
        <w:rPr>
          <w:rFonts w:hint="eastAsia"/>
        </w:rPr>
        <w:t>响应文件</w:t>
      </w:r>
      <w:r>
        <w:t>密封袋</w:t>
      </w:r>
      <w:r>
        <w:rPr>
          <w:rFonts w:hint="eastAsia"/>
        </w:rPr>
        <w:t>，然后将两个内</w:t>
      </w:r>
      <w:r>
        <w:t>层</w:t>
      </w:r>
      <w:r>
        <w:rPr>
          <w:rFonts w:hint="eastAsia"/>
        </w:rPr>
        <w:t>响应文件</w:t>
      </w:r>
      <w:r>
        <w:t>密封袋</w:t>
      </w:r>
      <w:r>
        <w:rPr>
          <w:rFonts w:hint="eastAsia"/>
        </w:rPr>
        <w:t>统一密封在一个外</w:t>
      </w:r>
      <w:r>
        <w:t>层</w:t>
      </w:r>
      <w:r>
        <w:rPr>
          <w:rFonts w:hint="eastAsia"/>
        </w:rPr>
        <w:t>响应</w:t>
      </w:r>
      <w:r>
        <w:t>文件密封袋中</w:t>
      </w:r>
      <w:r>
        <w:rPr>
          <w:rFonts w:hint="eastAsia"/>
        </w:rPr>
        <w:t>。</w:t>
      </w:r>
    </w:p>
    <w:p>
      <w:pPr>
        <w:spacing w:line="460" w:lineRule="exact"/>
        <w:ind w:firstLine="371" w:firstLineChars="177"/>
      </w:pPr>
      <w:r>
        <w:t>15.3在内层和外层投标文件密封袋上均应注明：</w:t>
      </w:r>
    </w:p>
    <w:p>
      <w:pPr>
        <w:spacing w:line="460" w:lineRule="exact"/>
        <w:ind w:firstLine="371" w:firstLineChars="177"/>
        <w:rPr>
          <w:rFonts w:cs="Arial"/>
          <w:u w:val="single"/>
        </w:rPr>
      </w:pPr>
      <w:r>
        <w:rPr>
          <w:rFonts w:hint="eastAsia" w:cs="Arial"/>
        </w:rPr>
        <w:t>（1）项目名称：</w:t>
      </w:r>
      <w:r>
        <w:rPr>
          <w:rFonts w:hint="eastAsia" w:cs="Arial"/>
          <w:u w:val="single"/>
        </w:rPr>
        <w:t xml:space="preserve">                            ；</w:t>
      </w:r>
    </w:p>
    <w:p>
      <w:pPr>
        <w:spacing w:line="460" w:lineRule="exact"/>
        <w:ind w:firstLine="371" w:firstLineChars="177"/>
        <w:rPr>
          <w:rFonts w:cs="Arial"/>
          <w:u w:val="single"/>
        </w:rPr>
      </w:pPr>
      <w:r>
        <w:rPr>
          <w:rFonts w:hint="eastAsia" w:cs="Arial"/>
        </w:rPr>
        <w:t>（2）采购编号：</w:t>
      </w:r>
      <w:r>
        <w:rPr>
          <w:rFonts w:hint="eastAsia" w:cs="Arial"/>
          <w:u w:val="single"/>
        </w:rPr>
        <w:t xml:space="preserve">                     ；</w:t>
      </w:r>
    </w:p>
    <w:p>
      <w:pPr>
        <w:spacing w:line="460" w:lineRule="exact"/>
        <w:ind w:firstLine="371" w:firstLineChars="177"/>
        <w:rPr>
          <w:rFonts w:cs="Arial"/>
          <w:u w:val="single"/>
        </w:rPr>
      </w:pPr>
      <w:r>
        <w:rPr>
          <w:rFonts w:hint="eastAsia" w:cs="Arial"/>
        </w:rPr>
        <w:t>（3）响应单位名称：</w:t>
      </w:r>
      <w:r>
        <w:rPr>
          <w:rFonts w:hint="eastAsia" w:cs="Arial"/>
          <w:u w:val="single"/>
        </w:rPr>
        <w:t xml:space="preserve">                        ；</w:t>
      </w:r>
    </w:p>
    <w:p>
      <w:pPr>
        <w:spacing w:line="460" w:lineRule="exact"/>
        <w:ind w:firstLine="371" w:firstLineChars="177"/>
        <w:rPr>
          <w:rFonts w:cs="Arial"/>
          <w:u w:val="single"/>
        </w:rPr>
      </w:pPr>
      <w:r>
        <w:rPr>
          <w:rFonts w:hint="eastAsia" w:cs="Arial"/>
        </w:rPr>
        <w:t>（4）日期：</w:t>
      </w:r>
      <w:r>
        <w:rPr>
          <w:rFonts w:hint="eastAsia" w:cs="Arial"/>
          <w:u w:val="single"/>
        </w:rPr>
        <w:t xml:space="preserve">                                  ；</w:t>
      </w:r>
    </w:p>
    <w:p>
      <w:pPr>
        <w:spacing w:line="460" w:lineRule="exact"/>
        <w:ind w:firstLine="371" w:firstLineChars="177"/>
      </w:pPr>
      <w:r>
        <w:t>15.</w:t>
      </w:r>
      <w:r>
        <w:rPr>
          <w:rFonts w:hint="eastAsia"/>
        </w:rPr>
        <w:t>4</w:t>
      </w:r>
      <w:r>
        <w:t>如果</w:t>
      </w:r>
      <w:r>
        <w:rPr>
          <w:rFonts w:hint="eastAsia"/>
        </w:rPr>
        <w:t>响应</w:t>
      </w:r>
      <w:r>
        <w:t>文件没有按规定装订和加写标记及密封，</w:t>
      </w:r>
      <w:r>
        <w:rPr>
          <w:rFonts w:hint="eastAsia"/>
        </w:rPr>
        <w:t>采购</w:t>
      </w:r>
      <w:r>
        <w:t>人将不承担</w:t>
      </w:r>
      <w:r>
        <w:rPr>
          <w:rFonts w:hint="eastAsia"/>
        </w:rPr>
        <w:t>响应</w:t>
      </w:r>
      <w:r>
        <w:t>文件提前开封的责任。对由此造成提前开封的</w:t>
      </w:r>
      <w:r>
        <w:rPr>
          <w:rFonts w:hint="eastAsia"/>
        </w:rPr>
        <w:t>采购</w:t>
      </w:r>
      <w:r>
        <w:t>文件将予以拒绝。</w:t>
      </w:r>
    </w:p>
    <w:p>
      <w:pPr>
        <w:spacing w:line="460" w:lineRule="exact"/>
        <w:ind w:firstLine="371" w:firstLineChars="177"/>
      </w:pPr>
      <w:r>
        <w:t>15.</w:t>
      </w:r>
      <w:r>
        <w:rPr>
          <w:rFonts w:hint="eastAsia"/>
        </w:rPr>
        <w:t>5</w:t>
      </w:r>
      <w:r>
        <w:t>所有</w:t>
      </w:r>
      <w:r>
        <w:rPr>
          <w:rFonts w:hint="eastAsia"/>
        </w:rPr>
        <w:t>响应</w:t>
      </w:r>
      <w:r>
        <w:t>文件的内层密封袋的封口处应加盖密封章或</w:t>
      </w:r>
      <w:r>
        <w:rPr>
          <w:rFonts w:hint="eastAsia"/>
        </w:rPr>
        <w:t>响应</w:t>
      </w:r>
      <w:r>
        <w:t>人公章，所有</w:t>
      </w:r>
      <w:r>
        <w:rPr>
          <w:rFonts w:hint="eastAsia"/>
        </w:rPr>
        <w:t>响应</w:t>
      </w:r>
      <w:r>
        <w:t>文件的外层密封袋的封口处应加盖密封章或</w:t>
      </w:r>
      <w:r>
        <w:rPr>
          <w:rFonts w:hint="eastAsia"/>
        </w:rPr>
        <w:t>响应</w:t>
      </w:r>
      <w:r>
        <w:t>人公章。</w:t>
      </w:r>
    </w:p>
    <w:p>
      <w:pPr>
        <w:spacing w:line="460" w:lineRule="exact"/>
        <w:ind w:firstLine="371" w:firstLineChars="177"/>
      </w:pPr>
      <w:r>
        <w:t>15.</w:t>
      </w:r>
      <w:r>
        <w:rPr>
          <w:rFonts w:hint="eastAsia"/>
        </w:rPr>
        <w:t>6采购</w:t>
      </w:r>
      <w:r>
        <w:t>人在</w:t>
      </w:r>
      <w:r>
        <w:rPr>
          <w:rFonts w:hint="eastAsia"/>
        </w:rPr>
        <w:t>按</w:t>
      </w:r>
      <w:r>
        <w:rPr>
          <w:u w:val="single"/>
        </w:rPr>
        <w:t>“</w:t>
      </w:r>
      <w:r>
        <w:rPr>
          <w:rFonts w:hint="eastAsia"/>
          <w:u w:val="single"/>
        </w:rPr>
        <w:t>响应人</w:t>
      </w:r>
      <w:r>
        <w:rPr>
          <w:u w:val="single"/>
        </w:rPr>
        <w:t>须知</w:t>
      </w:r>
      <w:r>
        <w:rPr>
          <w:rFonts w:hint="eastAsia"/>
          <w:u w:val="single"/>
        </w:rPr>
        <w:t>前附表</w:t>
      </w:r>
      <w:r>
        <w:rPr>
          <w:u w:val="single"/>
        </w:rPr>
        <w:t>”</w:t>
      </w:r>
      <w:r>
        <w:t>的规定</w:t>
      </w:r>
      <w:r>
        <w:rPr>
          <w:rFonts w:hint="eastAsia"/>
        </w:rPr>
        <w:t>响应文件</w:t>
      </w:r>
      <w:r>
        <w:t>截止时间以后</w:t>
      </w:r>
      <w:r>
        <w:rPr>
          <w:rFonts w:hint="eastAsia"/>
        </w:rPr>
        <w:t>收</w:t>
      </w:r>
      <w:r>
        <w:t>到的</w:t>
      </w:r>
      <w:r>
        <w:rPr>
          <w:rFonts w:hint="eastAsia"/>
        </w:rPr>
        <w:t>响应</w:t>
      </w:r>
      <w:r>
        <w:t>文件，将被拒绝并退回给</w:t>
      </w:r>
      <w:r>
        <w:rPr>
          <w:rFonts w:hint="eastAsia"/>
        </w:rPr>
        <w:t>响应</w:t>
      </w:r>
      <w:r>
        <w:t>人。</w:t>
      </w:r>
    </w:p>
    <w:p>
      <w:pPr>
        <w:spacing w:line="460" w:lineRule="exact"/>
        <w:rPr>
          <w:b/>
        </w:rPr>
      </w:pPr>
      <w:bookmarkStart w:id="22" w:name="_Toc516067351"/>
      <w:r>
        <w:rPr>
          <w:b/>
        </w:rPr>
        <w:t>16、</w:t>
      </w:r>
      <w:r>
        <w:rPr>
          <w:rFonts w:hint="eastAsia"/>
          <w:b/>
        </w:rPr>
        <w:t>响应</w:t>
      </w:r>
      <w:r>
        <w:rPr>
          <w:b/>
        </w:rPr>
        <w:t>文件的修改与撤回</w:t>
      </w:r>
      <w:bookmarkEnd w:id="22"/>
      <w:r>
        <w:rPr>
          <w:rFonts w:hint="eastAsia"/>
          <w:b/>
        </w:rPr>
        <w:t>:</w:t>
      </w:r>
    </w:p>
    <w:p>
      <w:pPr>
        <w:spacing w:line="460" w:lineRule="exact"/>
        <w:ind w:firstLine="371" w:firstLineChars="177"/>
      </w:pPr>
      <w:r>
        <w:t>16.1</w:t>
      </w:r>
      <w:r>
        <w:rPr>
          <w:rFonts w:hint="eastAsia"/>
        </w:rPr>
        <w:t>响应</w:t>
      </w:r>
      <w:r>
        <w:t>人可以在提交</w:t>
      </w:r>
      <w:r>
        <w:rPr>
          <w:rFonts w:hint="eastAsia"/>
        </w:rPr>
        <w:t>响应</w:t>
      </w:r>
      <w:r>
        <w:t>文件以后，在规定的</w:t>
      </w:r>
      <w:r>
        <w:rPr>
          <w:rFonts w:hint="eastAsia"/>
        </w:rPr>
        <w:t>响应</w:t>
      </w:r>
      <w:r>
        <w:t>文件提交截止时间之前，以书面形式向</w:t>
      </w:r>
      <w:r>
        <w:rPr>
          <w:rFonts w:hint="eastAsia"/>
        </w:rPr>
        <w:t>采购</w:t>
      </w:r>
      <w:r>
        <w:t>人提交修改其</w:t>
      </w:r>
      <w:r>
        <w:rPr>
          <w:rFonts w:hint="eastAsia"/>
        </w:rPr>
        <w:t>响应</w:t>
      </w:r>
      <w:r>
        <w:t>文件的通知。在</w:t>
      </w:r>
      <w:r>
        <w:rPr>
          <w:rFonts w:hint="eastAsia"/>
        </w:rPr>
        <w:t>响应</w:t>
      </w:r>
      <w:r>
        <w:t>文件提交截止时间以后，不能更改</w:t>
      </w:r>
      <w:r>
        <w:rPr>
          <w:rFonts w:hint="eastAsia"/>
        </w:rPr>
        <w:t>响应</w:t>
      </w:r>
      <w:r>
        <w:t>文件。</w:t>
      </w:r>
    </w:p>
    <w:p>
      <w:pPr>
        <w:spacing w:line="460" w:lineRule="exact"/>
        <w:ind w:firstLine="371" w:firstLineChars="177"/>
      </w:pPr>
      <w:r>
        <w:t>16.2</w:t>
      </w:r>
      <w:r>
        <w:rPr>
          <w:rFonts w:hint="eastAsia"/>
        </w:rPr>
        <w:t>响应</w:t>
      </w:r>
      <w:r>
        <w:t>人的修改通知，应</w:t>
      </w:r>
      <w:r>
        <w:rPr>
          <w:rFonts w:hint="eastAsia"/>
        </w:rPr>
        <w:t>按</w:t>
      </w:r>
      <w:r>
        <w:rPr>
          <w:u w:val="single"/>
        </w:rPr>
        <w:t>“</w:t>
      </w:r>
      <w:r>
        <w:rPr>
          <w:rFonts w:hint="eastAsia"/>
          <w:u w:val="single"/>
        </w:rPr>
        <w:t>响应人</w:t>
      </w:r>
      <w:r>
        <w:rPr>
          <w:u w:val="single"/>
        </w:rPr>
        <w:t>须知</w:t>
      </w:r>
      <w:r>
        <w:rPr>
          <w:rFonts w:hint="eastAsia"/>
          <w:u w:val="single"/>
        </w:rPr>
        <w:t>前附表</w:t>
      </w:r>
      <w:r>
        <w:rPr>
          <w:u w:val="single"/>
        </w:rPr>
        <w:t>”</w:t>
      </w:r>
      <w:r>
        <w:t>的规定编制、密封、标志和提交（在内封包上标明“修改”字样）。</w:t>
      </w:r>
    </w:p>
    <w:p>
      <w:pPr>
        <w:spacing w:line="460" w:lineRule="exact"/>
        <w:rPr>
          <w:b/>
        </w:rPr>
      </w:pPr>
      <w:bookmarkStart w:id="23" w:name="_Toc516067352"/>
      <w:r>
        <w:rPr>
          <w:b/>
        </w:rPr>
        <w:t>17、</w:t>
      </w:r>
      <w:bookmarkEnd w:id="23"/>
      <w:r>
        <w:rPr>
          <w:rFonts w:hint="eastAsia"/>
          <w:b/>
        </w:rPr>
        <w:t>比选评审:</w:t>
      </w:r>
    </w:p>
    <w:p>
      <w:pPr>
        <w:spacing w:line="460" w:lineRule="exact"/>
        <w:ind w:firstLine="371" w:firstLineChars="177"/>
      </w:pPr>
      <w:r>
        <w:t>17.1</w:t>
      </w:r>
      <w:r>
        <w:rPr>
          <w:rFonts w:hint="eastAsia"/>
        </w:rPr>
        <w:t>采购</w:t>
      </w:r>
      <w:r>
        <w:t>人</w:t>
      </w:r>
      <w:r>
        <w:rPr>
          <w:rFonts w:hint="eastAsia"/>
        </w:rPr>
        <w:t>组织比选评审工作。</w:t>
      </w:r>
    </w:p>
    <w:p>
      <w:pPr>
        <w:spacing w:line="460" w:lineRule="exact"/>
        <w:ind w:firstLine="371" w:firstLineChars="177"/>
      </w:pPr>
      <w:r>
        <w:t>17</w:t>
      </w:r>
      <w:r>
        <w:rPr>
          <w:rFonts w:hint="eastAsia"/>
        </w:rPr>
        <w:t>.2响应</w:t>
      </w:r>
      <w:r>
        <w:t>文件有下列情况之一者将视为无效</w:t>
      </w:r>
      <w:r>
        <w:rPr>
          <w:rFonts w:hint="eastAsia"/>
        </w:rPr>
        <w:t>：</w:t>
      </w:r>
    </w:p>
    <w:p>
      <w:pPr>
        <w:spacing w:line="460" w:lineRule="exact"/>
        <w:ind w:firstLine="371" w:firstLineChars="177"/>
        <w:rPr>
          <w:bCs/>
        </w:rPr>
      </w:pPr>
      <w:r>
        <w:rPr>
          <w:bCs/>
        </w:rPr>
        <w:t>17.</w:t>
      </w:r>
      <w:r>
        <w:rPr>
          <w:rFonts w:hint="eastAsia"/>
          <w:bCs/>
        </w:rPr>
        <w:t>2</w:t>
      </w:r>
      <w:r>
        <w:rPr>
          <w:bCs/>
        </w:rPr>
        <w:t>.1</w:t>
      </w:r>
      <w:r>
        <w:rPr>
          <w:rFonts w:hint="eastAsia"/>
          <w:bCs/>
        </w:rPr>
        <w:t>响应</w:t>
      </w:r>
      <w:r>
        <w:rPr>
          <w:bCs/>
        </w:rPr>
        <w:t>文件未按要求装订、密封和标记的；</w:t>
      </w:r>
    </w:p>
    <w:p>
      <w:pPr>
        <w:spacing w:line="460" w:lineRule="exact"/>
        <w:ind w:firstLine="371" w:firstLineChars="177"/>
        <w:rPr>
          <w:bCs/>
        </w:rPr>
      </w:pPr>
      <w:r>
        <w:rPr>
          <w:bCs/>
        </w:rPr>
        <w:t>17.</w:t>
      </w:r>
      <w:r>
        <w:rPr>
          <w:rFonts w:hint="eastAsia"/>
          <w:bCs/>
        </w:rPr>
        <w:t>2</w:t>
      </w:r>
      <w:r>
        <w:rPr>
          <w:bCs/>
        </w:rPr>
        <w:t>.2</w:t>
      </w:r>
      <w:r>
        <w:rPr>
          <w:rFonts w:hint="eastAsia"/>
          <w:bCs/>
        </w:rPr>
        <w:t>未按</w:t>
      </w:r>
      <w:r>
        <w:rPr>
          <w:bCs/>
        </w:rPr>
        <w:t>规定加盖</w:t>
      </w:r>
      <w:r>
        <w:rPr>
          <w:rFonts w:hint="eastAsia"/>
          <w:bCs/>
        </w:rPr>
        <w:t>响应人印</w:t>
      </w:r>
      <w:r>
        <w:rPr>
          <w:bCs/>
        </w:rPr>
        <w:t>章的，未随</w:t>
      </w:r>
      <w:r>
        <w:rPr>
          <w:rFonts w:hint="eastAsia"/>
          <w:bCs/>
        </w:rPr>
        <w:t>响应</w:t>
      </w:r>
      <w:r>
        <w:rPr>
          <w:bCs/>
        </w:rPr>
        <w:t>文件一起提交有效的“授权委托书”原件的；</w:t>
      </w:r>
    </w:p>
    <w:p>
      <w:pPr>
        <w:spacing w:line="460" w:lineRule="exact"/>
        <w:ind w:firstLine="371" w:firstLineChars="177"/>
        <w:rPr>
          <w:bCs/>
        </w:rPr>
      </w:pPr>
      <w:r>
        <w:rPr>
          <w:bCs/>
        </w:rPr>
        <w:t>17.</w:t>
      </w:r>
      <w:r>
        <w:rPr>
          <w:rFonts w:hint="eastAsia"/>
          <w:bCs/>
        </w:rPr>
        <w:t>2</w:t>
      </w:r>
      <w:r>
        <w:rPr>
          <w:bCs/>
        </w:rPr>
        <w:t>.</w:t>
      </w:r>
      <w:r>
        <w:rPr>
          <w:rFonts w:hint="eastAsia"/>
          <w:bCs/>
        </w:rPr>
        <w:t>3</w:t>
      </w:r>
      <w:r>
        <w:rPr>
          <w:bCs/>
        </w:rPr>
        <w:t xml:space="preserve"> </w:t>
      </w:r>
      <w:r>
        <w:rPr>
          <w:rFonts w:hint="eastAsia"/>
          <w:bCs/>
        </w:rPr>
        <w:t>响应</w:t>
      </w:r>
      <w:r>
        <w:rPr>
          <w:bCs/>
        </w:rPr>
        <w:t>文件的关键内容字迹模糊、辩认不清；</w:t>
      </w:r>
    </w:p>
    <w:p>
      <w:pPr>
        <w:spacing w:line="460" w:lineRule="exact"/>
        <w:ind w:firstLine="371" w:firstLineChars="177"/>
        <w:rPr>
          <w:bCs/>
        </w:rPr>
      </w:pPr>
      <w:r>
        <w:rPr>
          <w:bCs/>
        </w:rPr>
        <w:t>17.</w:t>
      </w:r>
      <w:r>
        <w:rPr>
          <w:rFonts w:hint="eastAsia"/>
          <w:bCs/>
        </w:rPr>
        <w:t>2</w:t>
      </w:r>
      <w:r>
        <w:rPr>
          <w:bCs/>
        </w:rPr>
        <w:t>.</w:t>
      </w:r>
      <w:r>
        <w:rPr>
          <w:rFonts w:hint="eastAsia"/>
          <w:bCs/>
        </w:rPr>
        <w:t>4响应</w:t>
      </w:r>
      <w:r>
        <w:rPr>
          <w:bCs/>
        </w:rPr>
        <w:t>文件内容不真实</w:t>
      </w:r>
      <w:r>
        <w:rPr>
          <w:rFonts w:hint="eastAsia"/>
          <w:bCs/>
        </w:rPr>
        <w:t>；</w:t>
      </w:r>
    </w:p>
    <w:p>
      <w:pPr>
        <w:spacing w:line="460" w:lineRule="exact"/>
        <w:ind w:firstLine="371" w:firstLineChars="177"/>
        <w:rPr>
          <w:bCs/>
        </w:rPr>
      </w:pPr>
      <w:r>
        <w:rPr>
          <w:bCs/>
        </w:rPr>
        <w:t>17.</w:t>
      </w:r>
      <w:r>
        <w:rPr>
          <w:rFonts w:hint="eastAsia"/>
          <w:bCs/>
        </w:rPr>
        <w:t>2</w:t>
      </w:r>
      <w:r>
        <w:rPr>
          <w:bCs/>
        </w:rPr>
        <w:t>.</w:t>
      </w:r>
      <w:r>
        <w:rPr>
          <w:rFonts w:hint="eastAsia"/>
          <w:bCs/>
        </w:rPr>
        <w:t>5响应</w:t>
      </w:r>
      <w:r>
        <w:rPr>
          <w:bCs/>
        </w:rPr>
        <w:t>文件实质上没有响应</w:t>
      </w:r>
      <w:r>
        <w:rPr>
          <w:rFonts w:hint="eastAsia"/>
          <w:bCs/>
        </w:rPr>
        <w:t>采购</w:t>
      </w:r>
      <w:r>
        <w:rPr>
          <w:bCs/>
        </w:rPr>
        <w:t>文件的要求；</w:t>
      </w:r>
    </w:p>
    <w:p>
      <w:pPr>
        <w:spacing w:line="460" w:lineRule="exact"/>
        <w:ind w:firstLine="371" w:firstLineChars="177"/>
        <w:rPr>
          <w:bCs/>
        </w:rPr>
      </w:pPr>
      <w:r>
        <w:rPr>
          <w:bCs/>
        </w:rPr>
        <w:t>17.</w:t>
      </w:r>
      <w:r>
        <w:rPr>
          <w:rFonts w:hint="eastAsia"/>
          <w:bCs/>
        </w:rPr>
        <w:t>2</w:t>
      </w:r>
      <w:r>
        <w:rPr>
          <w:bCs/>
        </w:rPr>
        <w:t>.</w:t>
      </w:r>
      <w:r>
        <w:rPr>
          <w:rFonts w:hint="eastAsia"/>
          <w:bCs/>
        </w:rPr>
        <w:t>6响应人在进行工程量清单投标时，应按照采购人的工程量清单进行报价。响应人对自己所填写的项目编码、项目名称、计量单位、工程数量负责。评审中，如项目编码与项目名称不一致，以项目编码（共12位）为准；如项目编码与计量单位、工程数量无法一一对应，该清单项目作废，该清单项目的费用视为包含在其他清单中；如作废的清单项目达到3项以上（含本数）或作废的清单项目造价累计超过单位工程响应报价的2%（含本数），视为不响应采购文件实质性内容，作无效响应文件处理。</w:t>
      </w:r>
    </w:p>
    <w:p>
      <w:pPr>
        <w:spacing w:line="460" w:lineRule="exact"/>
        <w:ind w:firstLine="371" w:firstLineChars="177"/>
        <w:rPr>
          <w:bCs/>
        </w:rPr>
      </w:pPr>
      <w:r>
        <w:rPr>
          <w:bCs/>
        </w:rPr>
        <w:t>17.</w:t>
      </w:r>
      <w:r>
        <w:rPr>
          <w:rFonts w:hint="eastAsia"/>
          <w:bCs/>
        </w:rPr>
        <w:t>2.7只接受独立法人资格的施工企业单独参加本次采购活动，不允许任何施工企业就本工程提交一个以上的响应文件，任何违反这一规定的响应人将被拒绝。</w:t>
      </w:r>
    </w:p>
    <w:p>
      <w:pPr>
        <w:spacing w:line="460" w:lineRule="exact"/>
        <w:ind w:firstLine="371" w:firstLineChars="177"/>
        <w:rPr>
          <w:bCs/>
        </w:rPr>
      </w:pPr>
      <w:r>
        <w:rPr>
          <w:rFonts w:hint="eastAsia"/>
          <w:bCs/>
        </w:rPr>
        <w:t>17.2.8响应人拟投入本工程的项目经理在在建项目中任经理的。</w:t>
      </w:r>
    </w:p>
    <w:p>
      <w:pPr>
        <w:spacing w:line="460" w:lineRule="exact"/>
        <w:ind w:firstLine="371" w:firstLineChars="177"/>
        <w:rPr>
          <w:bCs/>
        </w:rPr>
      </w:pPr>
      <w:r>
        <w:rPr>
          <w:rFonts w:hint="eastAsia"/>
          <w:bCs/>
        </w:rPr>
        <w:t>17.2.9响应人未按照要求提交</w:t>
      </w:r>
      <w:r>
        <w:rPr>
          <w:rFonts w:hint="eastAsia"/>
        </w:rPr>
        <w:t>安全防护、文明施工措施方案的承诺书的</w:t>
      </w:r>
      <w:r>
        <w:rPr>
          <w:rFonts w:hint="eastAsia"/>
          <w:bCs/>
        </w:rPr>
        <w:t>。</w:t>
      </w:r>
    </w:p>
    <w:p>
      <w:pPr>
        <w:spacing w:line="460" w:lineRule="exact"/>
        <w:rPr>
          <w:b/>
        </w:rPr>
      </w:pPr>
      <w:bookmarkStart w:id="24" w:name="_Toc516067353"/>
      <w:r>
        <w:rPr>
          <w:b/>
        </w:rPr>
        <w:t>18、</w:t>
      </w:r>
      <w:r>
        <w:rPr>
          <w:rFonts w:hint="eastAsia"/>
          <w:b/>
        </w:rPr>
        <w:t>比选评审过程</w:t>
      </w:r>
      <w:r>
        <w:rPr>
          <w:b/>
        </w:rPr>
        <w:t>的保密</w:t>
      </w:r>
      <w:bookmarkEnd w:id="24"/>
      <w:r>
        <w:rPr>
          <w:rFonts w:hint="eastAsia"/>
          <w:b/>
        </w:rPr>
        <w:t>:</w:t>
      </w:r>
    </w:p>
    <w:p>
      <w:pPr>
        <w:spacing w:line="460" w:lineRule="exact"/>
        <w:ind w:firstLine="371" w:firstLineChars="177"/>
      </w:pPr>
      <w:r>
        <w:t>18.1</w:t>
      </w:r>
      <w:r>
        <w:rPr>
          <w:rFonts w:hint="eastAsia"/>
        </w:rPr>
        <w:t>比选评审启动</w:t>
      </w:r>
      <w:r>
        <w:t>后，直到宣布授予</w:t>
      </w:r>
      <w:r>
        <w:rPr>
          <w:rFonts w:hint="eastAsia"/>
        </w:rPr>
        <w:t>最终成交人</w:t>
      </w:r>
      <w:r>
        <w:t>合同为止，凡属于审查、澄清、评价和比较的所有资料，有关授予合同的信息，都不应向</w:t>
      </w:r>
      <w:r>
        <w:rPr>
          <w:rFonts w:hint="eastAsia"/>
        </w:rPr>
        <w:t>响应</w:t>
      </w:r>
      <w:r>
        <w:t>人或与</w:t>
      </w:r>
      <w:r>
        <w:rPr>
          <w:rFonts w:hint="eastAsia"/>
        </w:rPr>
        <w:t>评审</w:t>
      </w:r>
      <w:r>
        <w:t>无关的其他人泄露。</w:t>
      </w:r>
    </w:p>
    <w:p>
      <w:pPr>
        <w:spacing w:line="460" w:lineRule="exact"/>
        <w:ind w:firstLine="371" w:firstLineChars="177"/>
      </w:pPr>
      <w:r>
        <w:t>18.2在</w:t>
      </w:r>
      <w:r>
        <w:rPr>
          <w:rFonts w:hint="eastAsia"/>
        </w:rPr>
        <w:t>响应</w:t>
      </w:r>
      <w:r>
        <w:t>文件的审查、澄清、评价和比较以及授予合同的过程中，</w:t>
      </w:r>
      <w:r>
        <w:rPr>
          <w:rFonts w:hint="eastAsia"/>
        </w:rPr>
        <w:t>响应</w:t>
      </w:r>
      <w:r>
        <w:t>人对</w:t>
      </w:r>
      <w:r>
        <w:rPr>
          <w:rFonts w:hint="eastAsia"/>
        </w:rPr>
        <w:t>采购</w:t>
      </w:r>
      <w:r>
        <w:t>人</w:t>
      </w:r>
      <w:r>
        <w:rPr>
          <w:rFonts w:hint="eastAsia"/>
        </w:rPr>
        <w:t>或采购比选工作小组人员</w:t>
      </w:r>
      <w:r>
        <w:t>施加影响的任何行为，都将导致取消其</w:t>
      </w:r>
      <w:r>
        <w:rPr>
          <w:rFonts w:hint="eastAsia"/>
        </w:rPr>
        <w:t>参与</w:t>
      </w:r>
      <w:r>
        <w:t>资格。</w:t>
      </w:r>
    </w:p>
    <w:p>
      <w:pPr>
        <w:spacing w:line="460" w:lineRule="exact"/>
        <w:rPr>
          <w:b/>
        </w:rPr>
      </w:pPr>
      <w:bookmarkStart w:id="25" w:name="_Toc516067354"/>
      <w:r>
        <w:rPr>
          <w:b/>
        </w:rPr>
        <w:t>19、</w:t>
      </w:r>
      <w:r>
        <w:rPr>
          <w:rFonts w:hint="eastAsia"/>
          <w:b/>
        </w:rPr>
        <w:t>响应</w:t>
      </w:r>
      <w:r>
        <w:rPr>
          <w:b/>
        </w:rPr>
        <w:t>文件计算错误的修正</w:t>
      </w:r>
      <w:bookmarkEnd w:id="25"/>
      <w:r>
        <w:rPr>
          <w:rFonts w:hint="eastAsia"/>
          <w:b/>
        </w:rPr>
        <w:t>:</w:t>
      </w:r>
    </w:p>
    <w:p>
      <w:pPr>
        <w:spacing w:line="460" w:lineRule="exact"/>
        <w:ind w:firstLine="371" w:firstLineChars="177"/>
      </w:pPr>
      <w:r>
        <w:t>19.1</w:t>
      </w:r>
      <w:r>
        <w:rPr>
          <w:rFonts w:hint="eastAsia"/>
        </w:rPr>
        <w:t>采购比选工作小组人员</w:t>
      </w:r>
      <w:r>
        <w:t>将对确定为实质上响应</w:t>
      </w:r>
      <w:r>
        <w:rPr>
          <w:rFonts w:hint="eastAsia"/>
        </w:rPr>
        <w:t>采购</w:t>
      </w:r>
      <w:r>
        <w:t>文件要求的</w:t>
      </w:r>
      <w:r>
        <w:rPr>
          <w:rFonts w:hint="eastAsia"/>
        </w:rPr>
        <w:t>响应</w:t>
      </w:r>
      <w:r>
        <w:t>文件进行校核，看其是否有计算或表达上的错误，修正错误的原则如下：</w:t>
      </w:r>
    </w:p>
    <w:p>
      <w:pPr>
        <w:spacing w:line="460" w:lineRule="exact"/>
        <w:ind w:firstLine="371" w:firstLineChars="177"/>
      </w:pPr>
      <w:r>
        <w:t>19.1.1如果数字表示的金额和用文字表示的金额不一致时，应以文字表示的金额为准；</w:t>
      </w:r>
    </w:p>
    <w:p>
      <w:pPr>
        <w:spacing w:line="460" w:lineRule="exact"/>
        <w:ind w:firstLine="371" w:firstLineChars="177"/>
      </w:pPr>
      <w:r>
        <w:t>19.1.2当单价与数量的乘积与合价不一致时，以单价为准，除非</w:t>
      </w:r>
      <w:r>
        <w:rPr>
          <w:rFonts w:hint="eastAsia"/>
        </w:rPr>
        <w:t>采购比选工作小组人员</w:t>
      </w:r>
      <w:r>
        <w:t>认为单价有明显的小数点错误，此时应以标出的合价为准，并修改单价。</w:t>
      </w:r>
    </w:p>
    <w:p>
      <w:pPr>
        <w:spacing w:line="460" w:lineRule="exact"/>
        <w:ind w:firstLine="371" w:firstLineChars="177"/>
      </w:pPr>
      <w:r>
        <w:t>19.</w:t>
      </w:r>
      <w:r>
        <w:rPr>
          <w:rFonts w:hint="eastAsia"/>
        </w:rPr>
        <w:t>1.</w:t>
      </w:r>
      <w:r>
        <w:t>3</w:t>
      </w:r>
      <w:r>
        <w:rPr>
          <w:rFonts w:hint="eastAsia"/>
        </w:rPr>
        <w:t>响应</w:t>
      </w:r>
      <w:r>
        <w:t>文件正本与投标文件副本不符的以正本为准。</w:t>
      </w:r>
    </w:p>
    <w:p>
      <w:pPr>
        <w:spacing w:line="460" w:lineRule="exact"/>
        <w:ind w:firstLine="371" w:firstLineChars="177"/>
      </w:pPr>
      <w:r>
        <w:t>19.2按上述修正错误的原则及方法调整或修正</w:t>
      </w:r>
      <w:r>
        <w:rPr>
          <w:rFonts w:hint="eastAsia"/>
        </w:rPr>
        <w:t>响应</w:t>
      </w:r>
      <w:r>
        <w:t>文件的</w:t>
      </w:r>
      <w:r>
        <w:rPr>
          <w:rFonts w:hint="eastAsia"/>
        </w:rPr>
        <w:t>响应</w:t>
      </w:r>
      <w:r>
        <w:t>报价，</w:t>
      </w:r>
      <w:r>
        <w:rPr>
          <w:rFonts w:hint="eastAsia"/>
        </w:rPr>
        <w:t>采购</w:t>
      </w:r>
      <w:r>
        <w:t>人同意后，调整后的</w:t>
      </w:r>
      <w:r>
        <w:rPr>
          <w:rFonts w:hint="eastAsia"/>
        </w:rPr>
        <w:t>响应</w:t>
      </w:r>
      <w:r>
        <w:t>报价对</w:t>
      </w:r>
      <w:r>
        <w:rPr>
          <w:rFonts w:hint="eastAsia"/>
        </w:rPr>
        <w:t>响应</w:t>
      </w:r>
      <w:r>
        <w:t>人起约束作用。如果</w:t>
      </w:r>
      <w:r>
        <w:rPr>
          <w:rFonts w:hint="eastAsia"/>
        </w:rPr>
        <w:t>采购</w:t>
      </w:r>
      <w:r>
        <w:t>人不接受修正后的</w:t>
      </w:r>
      <w:r>
        <w:rPr>
          <w:rFonts w:hint="eastAsia"/>
        </w:rPr>
        <w:t>响应</w:t>
      </w:r>
      <w:r>
        <w:t>报价，则其将被拒绝并且</w:t>
      </w:r>
      <w:r>
        <w:rPr>
          <w:rFonts w:hint="eastAsia"/>
        </w:rPr>
        <w:t>视为无效响应文件处理</w:t>
      </w:r>
      <w:r>
        <w:t>，并不影响</w:t>
      </w:r>
      <w:r>
        <w:rPr>
          <w:rFonts w:hint="eastAsia"/>
        </w:rPr>
        <w:t>评审</w:t>
      </w:r>
      <w:r>
        <w:t>工作。</w:t>
      </w:r>
    </w:p>
    <w:p>
      <w:pPr>
        <w:spacing w:line="460" w:lineRule="exact"/>
        <w:rPr>
          <w:b/>
        </w:rPr>
      </w:pPr>
      <w:bookmarkStart w:id="26" w:name="_Toc516067355"/>
      <w:r>
        <w:rPr>
          <w:b/>
        </w:rPr>
        <w:t>20、</w:t>
      </w:r>
      <w:r>
        <w:rPr>
          <w:rFonts w:hint="eastAsia"/>
          <w:b/>
        </w:rPr>
        <w:t>响应</w:t>
      </w:r>
      <w:r>
        <w:rPr>
          <w:b/>
        </w:rPr>
        <w:t>文件的符合性鉴定</w:t>
      </w:r>
      <w:bookmarkEnd w:id="26"/>
      <w:r>
        <w:rPr>
          <w:rFonts w:hint="eastAsia"/>
          <w:b/>
        </w:rPr>
        <w:t>:</w:t>
      </w:r>
    </w:p>
    <w:p>
      <w:pPr>
        <w:spacing w:line="460" w:lineRule="exact"/>
        <w:ind w:firstLine="371" w:firstLineChars="177"/>
      </w:pPr>
      <w:r>
        <w:t>20.1在详细评</w:t>
      </w:r>
      <w:r>
        <w:rPr>
          <w:rFonts w:hint="eastAsia"/>
        </w:rPr>
        <w:t>审</w:t>
      </w:r>
      <w:r>
        <w:t>之前，</w:t>
      </w:r>
      <w:r>
        <w:rPr>
          <w:rFonts w:hint="eastAsia"/>
        </w:rPr>
        <w:t>采购比选工作小组人员</w:t>
      </w:r>
      <w:r>
        <w:t>会将首先审定每份</w:t>
      </w:r>
      <w:r>
        <w:rPr>
          <w:rFonts w:hint="eastAsia"/>
        </w:rPr>
        <w:t>响应</w:t>
      </w:r>
      <w:r>
        <w:t>文件是否在实质上响应了</w:t>
      </w:r>
      <w:r>
        <w:rPr>
          <w:rFonts w:hint="eastAsia"/>
        </w:rPr>
        <w:t>采购</w:t>
      </w:r>
      <w:r>
        <w:t>文件的要求。</w:t>
      </w:r>
    </w:p>
    <w:p>
      <w:pPr>
        <w:spacing w:line="460" w:lineRule="exact"/>
        <w:ind w:left="0" w:leftChars="0" w:firstLine="420" w:firstLineChars="200"/>
      </w:pPr>
      <w:r>
        <w:t>20.2就本条款而言，实质上响应要求的</w:t>
      </w:r>
      <w:r>
        <w:rPr>
          <w:rFonts w:hint="eastAsia"/>
        </w:rPr>
        <w:t>响应</w:t>
      </w:r>
      <w:r>
        <w:t>文件，应该与</w:t>
      </w:r>
      <w:r>
        <w:rPr>
          <w:rFonts w:hint="eastAsia"/>
        </w:rPr>
        <w:t>采购</w:t>
      </w:r>
      <w:r>
        <w:t>文件的所有规定要求、条件、条款和规范相符，无显著差异或保留。所谓显著差异或保留是指对工程的发包范围、质量标准及运用产生实质性影响；或者对合同中规定的</w:t>
      </w:r>
      <w:r>
        <w:rPr>
          <w:rFonts w:hint="eastAsia"/>
        </w:rPr>
        <w:t>采购</w:t>
      </w:r>
      <w:r>
        <w:t>人的权力及</w:t>
      </w:r>
      <w:r>
        <w:rPr>
          <w:rFonts w:hint="eastAsia"/>
        </w:rPr>
        <w:t>响应</w:t>
      </w:r>
      <w:r>
        <w:t>人的责任造成实质性限制；而且纠正这种差异或保留，将会对其他实质上响应要求的</w:t>
      </w:r>
      <w:r>
        <w:rPr>
          <w:rFonts w:hint="eastAsia"/>
        </w:rPr>
        <w:t>响应</w:t>
      </w:r>
      <w:r>
        <w:t>人的竞争地位产生不公正的影响。</w:t>
      </w:r>
    </w:p>
    <w:p>
      <w:pPr>
        <w:spacing w:line="460" w:lineRule="exact"/>
        <w:ind w:left="0" w:leftChars="0" w:firstLine="420" w:firstLineChars="200"/>
      </w:pPr>
      <w:r>
        <w:t>20.3如果</w:t>
      </w:r>
      <w:r>
        <w:rPr>
          <w:rFonts w:hint="eastAsia"/>
        </w:rPr>
        <w:t>响应</w:t>
      </w:r>
      <w:r>
        <w:t>文件实质上不响应</w:t>
      </w:r>
      <w:r>
        <w:rPr>
          <w:rFonts w:hint="eastAsia"/>
        </w:rPr>
        <w:t>采购</w:t>
      </w:r>
      <w:r>
        <w:t>文件的要求，</w:t>
      </w:r>
      <w:r>
        <w:rPr>
          <w:rFonts w:hint="eastAsia"/>
        </w:rPr>
        <w:t>采购</w:t>
      </w:r>
      <w:r>
        <w:t>人将予以拒绝，并且不允许通过修正或撤消其不符合要求的差异或保留，使之成为具有响应性的</w:t>
      </w:r>
      <w:r>
        <w:rPr>
          <w:rFonts w:hint="eastAsia"/>
        </w:rPr>
        <w:t>响应</w:t>
      </w:r>
      <w:r>
        <w:t>文件。</w:t>
      </w:r>
    </w:p>
    <w:p>
      <w:pPr>
        <w:spacing w:line="460" w:lineRule="exact"/>
        <w:rPr>
          <w:b/>
        </w:rPr>
      </w:pPr>
      <w:bookmarkStart w:id="27" w:name="_Toc516067356"/>
      <w:bookmarkStart w:id="28" w:name="_Toc289178094"/>
      <w:r>
        <w:rPr>
          <w:b/>
        </w:rPr>
        <w:t>21、</w:t>
      </w:r>
      <w:r>
        <w:rPr>
          <w:rFonts w:hint="eastAsia"/>
          <w:b/>
        </w:rPr>
        <w:t>响应</w:t>
      </w:r>
      <w:r>
        <w:rPr>
          <w:b/>
        </w:rPr>
        <w:t>文件的评价与比较</w:t>
      </w:r>
      <w:bookmarkEnd w:id="27"/>
      <w:bookmarkEnd w:id="28"/>
      <w:r>
        <w:rPr>
          <w:rFonts w:hint="eastAsia"/>
          <w:b/>
        </w:rPr>
        <w:t>:</w:t>
      </w:r>
    </w:p>
    <w:p>
      <w:pPr>
        <w:spacing w:line="460" w:lineRule="exact"/>
        <w:ind w:firstLine="371" w:firstLineChars="177"/>
      </w:pPr>
      <w:r>
        <w:rPr>
          <w:rFonts w:hint="eastAsia"/>
        </w:rPr>
        <w:t>符合性审查条件及评审</w:t>
      </w:r>
      <w:r>
        <w:t>细则详见</w:t>
      </w:r>
      <w:r>
        <w:rPr>
          <w:rFonts w:hint="eastAsia"/>
        </w:rPr>
        <w:t>本采购文件“</w:t>
      </w:r>
      <w:r>
        <w:t>第</w:t>
      </w:r>
      <w:r>
        <w:rPr>
          <w:rFonts w:hint="eastAsia"/>
        </w:rPr>
        <w:t>七</w:t>
      </w:r>
      <w:r>
        <w:t>章</w:t>
      </w:r>
      <w:r>
        <w:rPr>
          <w:rFonts w:hint="eastAsia"/>
        </w:rPr>
        <w:t>”的内容</w:t>
      </w:r>
      <w:r>
        <w:t>。</w:t>
      </w:r>
    </w:p>
    <w:p>
      <w:pPr>
        <w:spacing w:line="460" w:lineRule="exact"/>
        <w:rPr>
          <w:b/>
        </w:rPr>
      </w:pPr>
      <w:bookmarkStart w:id="29" w:name="_Toc289178096"/>
      <w:bookmarkStart w:id="30" w:name="_Toc516067357"/>
      <w:r>
        <w:rPr>
          <w:b/>
        </w:rPr>
        <w:t>2</w:t>
      </w:r>
      <w:r>
        <w:rPr>
          <w:rFonts w:hint="eastAsia"/>
          <w:b/>
        </w:rPr>
        <w:t>2</w:t>
      </w:r>
      <w:r>
        <w:rPr>
          <w:b/>
        </w:rPr>
        <w:t>、</w:t>
      </w:r>
      <w:r>
        <w:rPr>
          <w:rFonts w:hint="eastAsia"/>
          <w:b/>
        </w:rPr>
        <w:t>最终成交</w:t>
      </w:r>
      <w:r>
        <w:rPr>
          <w:b/>
        </w:rPr>
        <w:t>通知书</w:t>
      </w:r>
      <w:bookmarkEnd w:id="29"/>
      <w:bookmarkEnd w:id="30"/>
      <w:r>
        <w:rPr>
          <w:rFonts w:hint="eastAsia"/>
          <w:b/>
        </w:rPr>
        <w:t>:</w:t>
      </w:r>
    </w:p>
    <w:p>
      <w:pPr>
        <w:spacing w:line="460" w:lineRule="exact"/>
        <w:ind w:firstLine="371" w:firstLineChars="177"/>
      </w:pPr>
      <w:r>
        <w:t>2</w:t>
      </w:r>
      <w:r>
        <w:rPr>
          <w:rFonts w:hint="eastAsia"/>
        </w:rPr>
        <w:t>2</w:t>
      </w:r>
      <w:r>
        <w:t>.</w:t>
      </w:r>
      <w:r>
        <w:rPr>
          <w:rFonts w:hint="eastAsia"/>
        </w:rPr>
        <w:t>1最终成交</w:t>
      </w:r>
      <w:r>
        <w:t>通知书注明</w:t>
      </w:r>
      <w:r>
        <w:rPr>
          <w:rFonts w:hint="eastAsia"/>
        </w:rPr>
        <w:t>成交</w:t>
      </w:r>
      <w:r>
        <w:t>金额、施工时间</w:t>
      </w:r>
      <w:r>
        <w:rPr>
          <w:rFonts w:hint="eastAsia"/>
        </w:rPr>
        <w:t>及</w:t>
      </w:r>
      <w:r>
        <w:t>质量等。</w:t>
      </w:r>
    </w:p>
    <w:p>
      <w:pPr>
        <w:spacing w:line="460" w:lineRule="exact"/>
        <w:ind w:firstLine="371" w:firstLineChars="177"/>
      </w:pPr>
      <w:r>
        <w:t>2</w:t>
      </w:r>
      <w:r>
        <w:rPr>
          <w:rFonts w:hint="eastAsia"/>
        </w:rPr>
        <w:t>2</w:t>
      </w:r>
      <w:r>
        <w:t>.</w:t>
      </w:r>
      <w:r>
        <w:rPr>
          <w:rFonts w:hint="eastAsia"/>
        </w:rPr>
        <w:t>2最终成交</w:t>
      </w:r>
      <w:r>
        <w:t>通知书为合同的组成部分。</w:t>
      </w:r>
    </w:p>
    <w:p>
      <w:pPr>
        <w:spacing w:line="460" w:lineRule="exact"/>
        <w:rPr>
          <w:b/>
        </w:rPr>
      </w:pPr>
      <w:bookmarkStart w:id="31" w:name="_Toc516067358"/>
      <w:bookmarkStart w:id="32" w:name="_Toc289178097"/>
      <w:r>
        <w:rPr>
          <w:b/>
        </w:rPr>
        <w:t>2</w:t>
      </w:r>
      <w:r>
        <w:rPr>
          <w:rFonts w:hint="eastAsia"/>
          <w:b/>
        </w:rPr>
        <w:t>3</w:t>
      </w:r>
      <w:r>
        <w:rPr>
          <w:b/>
        </w:rPr>
        <w:t>、合同签订</w:t>
      </w:r>
      <w:bookmarkEnd w:id="31"/>
      <w:bookmarkEnd w:id="32"/>
      <w:r>
        <w:rPr>
          <w:rFonts w:hint="eastAsia"/>
          <w:b/>
        </w:rPr>
        <w:t>:</w:t>
      </w:r>
    </w:p>
    <w:p>
      <w:pPr>
        <w:spacing w:line="460" w:lineRule="exact"/>
        <w:ind w:firstLine="371" w:firstLineChars="177"/>
      </w:pPr>
      <w:r>
        <w:t>2</w:t>
      </w:r>
      <w:r>
        <w:rPr>
          <w:rFonts w:hint="eastAsia"/>
        </w:rPr>
        <w:t>3</w:t>
      </w:r>
      <w:r>
        <w:t>.1</w:t>
      </w:r>
      <w:r>
        <w:rPr>
          <w:rFonts w:hint="eastAsia"/>
        </w:rPr>
        <w:t>采购</w:t>
      </w:r>
      <w:r>
        <w:t>人与</w:t>
      </w:r>
      <w:r>
        <w:rPr>
          <w:rFonts w:hint="eastAsia"/>
        </w:rPr>
        <w:t>最终成交人</w:t>
      </w:r>
      <w:r>
        <w:t>将于</w:t>
      </w:r>
      <w:r>
        <w:rPr>
          <w:rFonts w:hint="eastAsia"/>
        </w:rPr>
        <w:t>发出成交通知书后</w:t>
      </w:r>
      <w:r>
        <w:rPr>
          <w:rFonts w:hint="eastAsia"/>
          <w:u w:val="single"/>
        </w:rPr>
        <w:t xml:space="preserve"> </w:t>
      </w:r>
      <w:r>
        <w:rPr>
          <w:rFonts w:hint="eastAsia"/>
          <w:u w:val="single"/>
          <w:lang w:val="en-US" w:eastAsia="zh-CN"/>
        </w:rPr>
        <w:t>3</w:t>
      </w:r>
      <w:r>
        <w:rPr>
          <w:rFonts w:hint="eastAsia"/>
          <w:u w:val="single"/>
        </w:rPr>
        <w:t>0</w:t>
      </w:r>
      <w:r>
        <w:rPr>
          <w:rFonts w:hint="eastAsia"/>
        </w:rPr>
        <w:t>日内</w:t>
      </w:r>
      <w:r>
        <w:t>，按照</w:t>
      </w:r>
      <w:r>
        <w:rPr>
          <w:rFonts w:hint="eastAsia"/>
        </w:rPr>
        <w:t>采购</w:t>
      </w:r>
      <w:r>
        <w:t>文件和</w:t>
      </w:r>
      <w:r>
        <w:rPr>
          <w:rFonts w:hint="eastAsia"/>
        </w:rPr>
        <w:t>成交</w:t>
      </w:r>
      <w:r>
        <w:t>人的</w:t>
      </w:r>
      <w:r>
        <w:rPr>
          <w:rFonts w:hint="eastAsia"/>
        </w:rPr>
        <w:t>响应</w:t>
      </w:r>
      <w:r>
        <w:t>文件订立书面工程施工合同，</w:t>
      </w:r>
      <w:r>
        <w:rPr>
          <w:rFonts w:hint="eastAsia"/>
        </w:rPr>
        <w:t>采购</w:t>
      </w:r>
      <w:r>
        <w:t>人和</w:t>
      </w:r>
      <w:r>
        <w:rPr>
          <w:rFonts w:hint="eastAsia"/>
        </w:rPr>
        <w:t>成交</w:t>
      </w:r>
      <w:r>
        <w:t>人不得再行订立背离合同实质性内容的其它协议。</w:t>
      </w:r>
    </w:p>
    <w:p>
      <w:pPr>
        <w:spacing w:line="460" w:lineRule="exact"/>
        <w:rPr>
          <w:b/>
        </w:rPr>
      </w:pPr>
      <w:bookmarkStart w:id="33" w:name="_Toc516067359"/>
      <w:bookmarkStart w:id="34" w:name="_Toc289178099"/>
      <w:r>
        <w:rPr>
          <w:b/>
        </w:rPr>
        <w:t>2</w:t>
      </w:r>
      <w:r>
        <w:rPr>
          <w:rFonts w:hint="eastAsia"/>
          <w:b/>
        </w:rPr>
        <w:t>4</w:t>
      </w:r>
      <w:r>
        <w:rPr>
          <w:b/>
        </w:rPr>
        <w:t>、解释权</w:t>
      </w:r>
      <w:bookmarkEnd w:id="33"/>
      <w:bookmarkEnd w:id="34"/>
      <w:r>
        <w:rPr>
          <w:rFonts w:hint="eastAsia"/>
          <w:b/>
        </w:rPr>
        <w:t>:</w:t>
      </w:r>
    </w:p>
    <w:p>
      <w:pPr>
        <w:spacing w:line="460" w:lineRule="exact"/>
        <w:ind w:firstLine="371" w:firstLineChars="177"/>
      </w:pPr>
      <w:r>
        <w:t>本</w:t>
      </w:r>
      <w:r>
        <w:rPr>
          <w:rFonts w:hint="eastAsia"/>
        </w:rPr>
        <w:t>采购</w:t>
      </w:r>
      <w:r>
        <w:t>文件是根据《中华人民共和国招标投标法》及相关法律法规编制，解释权属本</w:t>
      </w:r>
      <w:r>
        <w:rPr>
          <w:rFonts w:hint="eastAsia"/>
        </w:rPr>
        <w:t>采购人</w:t>
      </w:r>
      <w:r>
        <w:t>。</w:t>
      </w:r>
    </w:p>
    <w:p>
      <w:pPr>
        <w:spacing w:line="460" w:lineRule="exact"/>
        <w:rPr>
          <w:b/>
        </w:rPr>
      </w:pPr>
      <w:bookmarkStart w:id="35" w:name="_Toc289178100"/>
      <w:bookmarkStart w:id="36" w:name="_Toc516067360"/>
      <w:r>
        <w:rPr>
          <w:rFonts w:hint="eastAsia"/>
          <w:b/>
        </w:rPr>
        <w:t>25、其它须知</w:t>
      </w:r>
      <w:bookmarkEnd w:id="35"/>
      <w:bookmarkEnd w:id="36"/>
      <w:r>
        <w:rPr>
          <w:rFonts w:hint="eastAsia"/>
          <w:b/>
        </w:rPr>
        <w:t>:无。</w:t>
      </w:r>
    </w:p>
    <w:p>
      <w:pPr>
        <w:rPr>
          <w:sz w:val="24"/>
          <w:szCs w:val="24"/>
        </w:rPr>
      </w:pPr>
      <w:r>
        <w:rPr>
          <w:sz w:val="24"/>
          <w:szCs w:val="24"/>
        </w:rPr>
        <w:br w:type="page"/>
      </w:r>
    </w:p>
    <w:p>
      <w:pPr>
        <w:pStyle w:val="6"/>
        <w:spacing w:line="360" w:lineRule="auto"/>
        <w:jc w:val="center"/>
        <w:outlineLvl w:val="0"/>
        <w:rPr>
          <w:rFonts w:hAnsi="宋体"/>
          <w:b/>
          <w:color w:val="000000"/>
          <w:sz w:val="28"/>
          <w:szCs w:val="28"/>
        </w:rPr>
      </w:pPr>
      <w:bookmarkStart w:id="37" w:name="_Toc12903"/>
      <w:r>
        <w:rPr>
          <w:b/>
          <w:sz w:val="28"/>
          <w:szCs w:val="28"/>
        </w:rPr>
        <w:t>第</w:t>
      </w:r>
      <w:r>
        <w:rPr>
          <w:rFonts w:hint="eastAsia"/>
          <w:b/>
          <w:sz w:val="28"/>
          <w:szCs w:val="28"/>
          <w:lang w:val="en-US" w:eastAsia="zh-CN"/>
        </w:rPr>
        <w:t>三</w:t>
      </w:r>
      <w:r>
        <w:rPr>
          <w:b/>
          <w:sz w:val="28"/>
          <w:szCs w:val="28"/>
        </w:rPr>
        <w:t>章</w:t>
      </w:r>
      <w:r>
        <w:rPr>
          <w:rFonts w:hint="eastAsia"/>
          <w:b/>
          <w:sz w:val="28"/>
          <w:szCs w:val="28"/>
        </w:rPr>
        <w:t xml:space="preserve">  </w:t>
      </w:r>
      <w:r>
        <w:rPr>
          <w:b/>
          <w:sz w:val="28"/>
          <w:szCs w:val="28"/>
        </w:rPr>
        <w:t>合同格式</w:t>
      </w:r>
      <w:bookmarkEnd w:id="37"/>
    </w:p>
    <w:p>
      <w:pPr>
        <w:spacing w:line="600" w:lineRule="exact"/>
        <w:rPr>
          <w:rFonts w:ascii="黑体" w:hAnsi="宋体" w:eastAsia="黑体"/>
          <w:b/>
          <w:color w:val="000000"/>
          <w:sz w:val="28"/>
          <w:szCs w:val="28"/>
        </w:rPr>
      </w:pPr>
    </w:p>
    <w:p>
      <w:pPr>
        <w:spacing w:afterLines="100" w:line="580" w:lineRule="exact"/>
        <w:jc w:val="left"/>
        <w:rPr>
          <w:rFonts w:ascii="宋体" w:hAnsi="宋体"/>
          <w:b/>
          <w:color w:val="000000"/>
          <w:szCs w:val="21"/>
          <w:u w:val="single"/>
        </w:rPr>
      </w:pPr>
      <w:r>
        <w:rPr>
          <w:rFonts w:hint="eastAsia" w:ascii="宋体" w:hAnsi="宋体"/>
          <w:szCs w:val="21"/>
        </w:rPr>
        <w:t>合同编号：</w:t>
      </w:r>
    </w:p>
    <w:p>
      <w:pPr>
        <w:jc w:val="center"/>
        <w:rPr>
          <w:sz w:val="18"/>
        </w:rPr>
      </w:pPr>
      <w:r>
        <w:rPr>
          <w:rFonts w:hint="eastAsia" w:ascii="Cambria" w:hAnsi="Cambria"/>
          <w:b/>
          <w:bCs/>
          <w:sz w:val="44"/>
          <w:szCs w:val="52"/>
          <w:lang w:eastAsia="zh-CN"/>
        </w:rPr>
        <w:t>轨道西悦项目基建变工程</w:t>
      </w:r>
      <w:r>
        <w:rPr>
          <w:rFonts w:hint="eastAsia"/>
          <w:b/>
          <w:bCs/>
          <w:sz w:val="44"/>
          <w:szCs w:val="44"/>
        </w:rPr>
        <w:t>施工合同</w:t>
      </w:r>
    </w:p>
    <w:p>
      <w:pPr>
        <w:pStyle w:val="12"/>
        <w:spacing w:line="330" w:lineRule="atLeast"/>
        <w:jc w:val="center"/>
        <w:rPr>
          <w:rFonts w:ascii="黑体" w:eastAsia="黑体"/>
          <w:b/>
          <w:bCs/>
          <w:sz w:val="52"/>
          <w:szCs w:val="52"/>
        </w:rPr>
      </w:pPr>
    </w:p>
    <w:p>
      <w:pPr>
        <w:spacing w:afterLines="100" w:line="580" w:lineRule="exact"/>
        <w:jc w:val="left"/>
        <w:rPr>
          <w:rFonts w:ascii="黑体" w:hAnsi="宋体" w:eastAsia="黑体"/>
          <w:sz w:val="52"/>
          <w:szCs w:val="52"/>
        </w:rPr>
      </w:pPr>
    </w:p>
    <w:p>
      <w:pPr>
        <w:spacing w:afterLines="100" w:line="580" w:lineRule="exact"/>
        <w:jc w:val="left"/>
        <w:rPr>
          <w:rFonts w:ascii="黑体" w:hAnsi="宋体" w:eastAsia="黑体"/>
          <w:sz w:val="52"/>
          <w:szCs w:val="52"/>
        </w:rPr>
      </w:pPr>
    </w:p>
    <w:p>
      <w:pPr>
        <w:spacing w:afterLines="100" w:line="580" w:lineRule="exact"/>
        <w:jc w:val="left"/>
        <w:rPr>
          <w:rFonts w:ascii="黑体" w:hAnsi="宋体" w:eastAsia="黑体"/>
          <w:sz w:val="52"/>
          <w:szCs w:val="52"/>
        </w:rPr>
      </w:pPr>
    </w:p>
    <w:p>
      <w:pPr>
        <w:spacing w:afterLines="100" w:line="580" w:lineRule="exact"/>
        <w:jc w:val="left"/>
        <w:rPr>
          <w:rFonts w:ascii="黑体" w:hAnsi="宋体" w:eastAsia="黑体"/>
          <w:sz w:val="52"/>
          <w:szCs w:val="52"/>
        </w:rPr>
      </w:pPr>
    </w:p>
    <w:p>
      <w:pPr>
        <w:spacing w:afterLines="100" w:line="580" w:lineRule="exact"/>
        <w:jc w:val="left"/>
        <w:rPr>
          <w:rFonts w:ascii="黑体" w:hAnsi="宋体" w:eastAsia="黑体"/>
          <w:sz w:val="52"/>
          <w:szCs w:val="52"/>
        </w:rPr>
      </w:pPr>
    </w:p>
    <w:p>
      <w:pPr>
        <w:spacing w:afterLines="100" w:line="580" w:lineRule="exact"/>
        <w:jc w:val="left"/>
        <w:rPr>
          <w:rFonts w:ascii="黑体" w:hAnsi="宋体" w:eastAsia="黑体"/>
          <w:szCs w:val="21"/>
        </w:rPr>
      </w:pPr>
    </w:p>
    <w:p>
      <w:pPr>
        <w:spacing w:line="800" w:lineRule="exact"/>
        <w:ind w:firstLine="900" w:firstLineChars="300"/>
        <w:jc w:val="left"/>
        <w:rPr>
          <w:rFonts w:hint="eastAsia" w:eastAsia="宋体"/>
          <w:sz w:val="30"/>
          <w:szCs w:val="30"/>
          <w:lang w:eastAsia="zh-CN"/>
        </w:rPr>
      </w:pPr>
      <w:r>
        <w:rPr>
          <w:rFonts w:hint="eastAsia"/>
          <w:sz w:val="30"/>
          <w:szCs w:val="30"/>
        </w:rPr>
        <w:t>发包方：</w:t>
      </w:r>
      <w:r>
        <w:rPr>
          <w:rFonts w:hint="eastAsia" w:hAnsi="宋体" w:cs="宋体"/>
          <w:color w:val="000000"/>
          <w:spacing w:val="-10"/>
          <w:sz w:val="32"/>
          <w:szCs w:val="32"/>
          <w:u w:val="single"/>
          <w:lang w:eastAsia="zh-CN"/>
        </w:rPr>
        <w:t>南宁轨道锦绣中尧房地产有限公司</w:t>
      </w:r>
    </w:p>
    <w:p>
      <w:pPr>
        <w:spacing w:line="800" w:lineRule="exact"/>
        <w:ind w:firstLine="900" w:firstLineChars="300"/>
        <w:jc w:val="left"/>
        <w:rPr>
          <w:sz w:val="30"/>
          <w:szCs w:val="30"/>
          <w:u w:val="single"/>
        </w:rPr>
      </w:pPr>
      <w:r>
        <w:rPr>
          <w:rFonts w:hint="eastAsia"/>
          <w:sz w:val="30"/>
          <w:szCs w:val="30"/>
        </w:rPr>
        <w:t>承包方：</w:t>
      </w:r>
      <w:r>
        <w:rPr>
          <w:rFonts w:hint="eastAsia" w:ascii="宋体" w:hAnsi="宋体"/>
          <w:szCs w:val="21"/>
          <w:u w:val="single"/>
        </w:rPr>
        <w:t xml:space="preserve">                                       </w:t>
      </w:r>
    </w:p>
    <w:p>
      <w:pPr>
        <w:spacing w:line="800" w:lineRule="exact"/>
        <w:ind w:firstLine="900" w:firstLineChars="300"/>
        <w:jc w:val="left"/>
        <w:rPr>
          <w:sz w:val="30"/>
          <w:szCs w:val="30"/>
        </w:rPr>
      </w:pPr>
      <w:r>
        <w:rPr>
          <w:rFonts w:hint="eastAsia"/>
          <w:sz w:val="30"/>
          <w:szCs w:val="30"/>
        </w:rPr>
        <w:t>签约时间：</w:t>
      </w:r>
      <w:r>
        <w:rPr>
          <w:rFonts w:hint="eastAsia"/>
          <w:sz w:val="30"/>
          <w:szCs w:val="30"/>
          <w:u w:val="single"/>
        </w:rPr>
        <w:t xml:space="preserve">        年</w:t>
      </w:r>
      <w:r>
        <w:rPr>
          <w:rFonts w:hint="eastAsia" w:ascii="宋体" w:hAnsi="宋体"/>
          <w:szCs w:val="21"/>
          <w:u w:val="single"/>
        </w:rPr>
        <w:t xml:space="preserve">         </w:t>
      </w:r>
      <w:r>
        <w:rPr>
          <w:rFonts w:hint="eastAsia"/>
          <w:sz w:val="30"/>
          <w:szCs w:val="30"/>
          <w:u w:val="single"/>
        </w:rPr>
        <w:t>月</w:t>
      </w:r>
    </w:p>
    <w:p>
      <w:pPr>
        <w:spacing w:line="440" w:lineRule="exact"/>
        <w:ind w:firstLine="211" w:firstLineChars="100"/>
        <w:rPr>
          <w:rFonts w:ascii="黑体" w:hAnsi="宋体" w:eastAsia="黑体"/>
          <w:b/>
          <w:color w:val="000000"/>
          <w:szCs w:val="21"/>
          <w:u w:val="single"/>
        </w:rPr>
      </w:pPr>
      <w:r>
        <w:rPr>
          <w:rFonts w:ascii="黑体" w:hAnsi="宋体" w:eastAsia="黑体"/>
          <w:b/>
          <w:color w:val="000000"/>
          <w:szCs w:val="21"/>
          <w:u w:val="single"/>
        </w:rPr>
        <w:br w:type="page"/>
      </w:r>
    </w:p>
    <w:p>
      <w:pPr>
        <w:pStyle w:val="12"/>
        <w:spacing w:line="440" w:lineRule="exact"/>
        <w:jc w:val="center"/>
        <w:rPr>
          <w:b/>
          <w:bCs/>
          <w:sz w:val="32"/>
          <w:szCs w:val="32"/>
        </w:rPr>
      </w:pPr>
      <w:r>
        <w:rPr>
          <w:rFonts w:hint="eastAsia" w:ascii="Cambria" w:hAnsi="Cambria"/>
          <w:b/>
          <w:bCs/>
          <w:sz w:val="32"/>
          <w:szCs w:val="32"/>
          <w:lang w:eastAsia="zh-CN"/>
        </w:rPr>
        <w:t>轨道西悦项目基建变工程</w:t>
      </w:r>
      <w:r>
        <w:rPr>
          <w:rFonts w:hint="eastAsia"/>
          <w:b/>
          <w:bCs/>
          <w:sz w:val="32"/>
          <w:szCs w:val="32"/>
        </w:rPr>
        <w:t>工程施工合同</w:t>
      </w:r>
    </w:p>
    <w:p>
      <w:pPr>
        <w:jc w:val="center"/>
      </w:pPr>
    </w:p>
    <w:p>
      <w:pPr>
        <w:spacing w:line="440" w:lineRule="exact"/>
        <w:rPr>
          <w:rFonts w:ascii="黑体" w:hAnsi="宋体" w:eastAsia="黑体"/>
          <w:b/>
          <w:color w:val="000000"/>
          <w:szCs w:val="21"/>
          <w:u w:val="single"/>
        </w:rPr>
      </w:pPr>
    </w:p>
    <w:p>
      <w:pPr>
        <w:spacing w:line="500" w:lineRule="exact"/>
        <w:rPr>
          <w:rFonts w:asciiTheme="minorEastAsia" w:hAnsiTheme="minorEastAsia" w:eastAsiaTheme="minorEastAsia"/>
          <w:szCs w:val="21"/>
        </w:rPr>
      </w:pPr>
      <w:r>
        <w:rPr>
          <w:rFonts w:hint="eastAsia" w:asciiTheme="minorEastAsia" w:hAnsiTheme="minorEastAsia" w:eastAsiaTheme="minorEastAsia"/>
          <w:b/>
          <w:szCs w:val="21"/>
        </w:rPr>
        <w:t>发包方（全称）：</w:t>
      </w:r>
      <w:r>
        <w:rPr>
          <w:rFonts w:hint="eastAsia" w:ascii="宋体" w:hAnsi="宋体" w:eastAsiaTheme="minorEastAsia"/>
          <w:szCs w:val="21"/>
          <w:u w:val="single"/>
          <w:lang w:eastAsia="zh-CN"/>
        </w:rPr>
        <w:t>南宁轨道锦绣中尧房地产有限公司</w:t>
      </w:r>
      <w:r>
        <w:rPr>
          <w:rFonts w:hint="eastAsia" w:asciiTheme="minorEastAsia" w:hAnsiTheme="minorEastAsia" w:eastAsiaTheme="minorEastAsia"/>
          <w:szCs w:val="21"/>
        </w:rPr>
        <w:t>（以下简称“甲方”）</w:t>
      </w:r>
    </w:p>
    <w:p>
      <w:pPr>
        <w:spacing w:line="500" w:lineRule="exact"/>
        <w:rPr>
          <w:rFonts w:asciiTheme="minorEastAsia" w:hAnsiTheme="minorEastAsia" w:eastAsiaTheme="minorEastAsia"/>
          <w:szCs w:val="21"/>
        </w:rPr>
      </w:pPr>
      <w:r>
        <w:rPr>
          <w:rFonts w:hint="eastAsia" w:asciiTheme="minorEastAsia" w:hAnsiTheme="minorEastAsia" w:eastAsiaTheme="minorEastAsia"/>
          <w:b/>
          <w:szCs w:val="21"/>
        </w:rPr>
        <w:t>承包方（全称）：</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rPr>
        <w:t xml:space="preserve">  </w:t>
      </w:r>
      <w:r>
        <w:rPr>
          <w:rFonts w:hint="eastAsia" w:asciiTheme="minorEastAsia" w:hAnsiTheme="minorEastAsia" w:eastAsiaTheme="minorEastAsia"/>
          <w:szCs w:val="21"/>
        </w:rPr>
        <w:t>（以下简称“乙方”）</w:t>
      </w:r>
    </w:p>
    <w:p>
      <w:pPr>
        <w:spacing w:line="500" w:lineRule="exact"/>
        <w:ind w:firstLine="200"/>
        <w:rPr>
          <w:rFonts w:asciiTheme="minorEastAsia" w:hAnsiTheme="minorEastAsia" w:eastAsiaTheme="minorEastAsia"/>
          <w:szCs w:val="21"/>
        </w:rPr>
      </w:pPr>
    </w:p>
    <w:p>
      <w:pPr>
        <w:pStyle w:val="3"/>
        <w:spacing w:line="500" w:lineRule="exact"/>
        <w:ind w:firstLine="359" w:firstLineChars="171"/>
        <w:textAlignment w:val="auto"/>
        <w:rPr>
          <w:rFonts w:asciiTheme="minorEastAsia" w:hAnsiTheme="minorEastAsia" w:eastAsiaTheme="minorEastAsia"/>
          <w:kern w:val="2"/>
          <w:sz w:val="21"/>
          <w:szCs w:val="21"/>
        </w:rPr>
      </w:pPr>
      <w:r>
        <w:rPr>
          <w:i w:val="0"/>
          <w:iCs w:val="0"/>
          <w:caps w:val="0"/>
          <w:color w:val="333333"/>
          <w:spacing w:val="0"/>
          <w:sz w:val="21"/>
          <w:szCs w:val="21"/>
          <w:shd w:val="clear" w:fill="F9FCF5"/>
        </w:rPr>
        <w:t>依照《中华人民共和国民法典》</w:t>
      </w:r>
      <w:r>
        <w:rPr>
          <w:rFonts w:hint="eastAsia" w:asciiTheme="minorEastAsia" w:hAnsiTheme="minorEastAsia" w:eastAsiaTheme="minorEastAsia"/>
          <w:kern w:val="2"/>
          <w:sz w:val="21"/>
          <w:szCs w:val="21"/>
        </w:rPr>
        <w:t>、《中华人民共和国建筑法》及其他有关法律、行政法规，遵循平等、自愿、公平和诚实信用的原则，甲、乙双方就“</w:t>
      </w:r>
      <w:r>
        <w:rPr>
          <w:rFonts w:hint="eastAsia" w:asciiTheme="minorEastAsia" w:hAnsiTheme="minorEastAsia" w:eastAsiaTheme="minorEastAsia"/>
          <w:kern w:val="2"/>
          <w:sz w:val="21"/>
          <w:szCs w:val="21"/>
          <w:u w:val="single"/>
        </w:rPr>
        <w:t xml:space="preserve"> </w:t>
      </w:r>
      <w:r>
        <w:rPr>
          <w:rFonts w:hint="eastAsia" w:asciiTheme="minorEastAsia" w:hAnsiTheme="minorEastAsia" w:eastAsiaTheme="minorEastAsia"/>
          <w:kern w:val="2"/>
          <w:sz w:val="21"/>
          <w:szCs w:val="21"/>
          <w:u w:val="single"/>
          <w:lang w:eastAsia="zh-CN"/>
        </w:rPr>
        <w:t>轨道西悦项目基建变工程</w:t>
      </w:r>
      <w:r>
        <w:rPr>
          <w:rFonts w:hint="eastAsia" w:asciiTheme="minorEastAsia" w:hAnsiTheme="minorEastAsia" w:eastAsiaTheme="minorEastAsia"/>
          <w:kern w:val="2"/>
          <w:sz w:val="21"/>
          <w:szCs w:val="21"/>
          <w:u w:val="single"/>
        </w:rPr>
        <w:t xml:space="preserve">  </w:t>
      </w:r>
      <w:r>
        <w:rPr>
          <w:rFonts w:hint="eastAsia" w:asciiTheme="minorEastAsia" w:hAnsiTheme="minorEastAsia" w:eastAsiaTheme="minorEastAsia"/>
          <w:kern w:val="2"/>
          <w:sz w:val="21"/>
          <w:szCs w:val="21"/>
        </w:rPr>
        <w:t>”工程（以下简称“工程”）的施工事宜协商一致，订立本合同。</w:t>
      </w:r>
    </w:p>
    <w:p>
      <w:pPr>
        <w:pStyle w:val="3"/>
        <w:spacing w:line="500" w:lineRule="exact"/>
        <w:ind w:firstLine="359" w:firstLineChars="171"/>
        <w:textAlignment w:val="auto"/>
        <w:rPr>
          <w:rFonts w:asciiTheme="minorEastAsia" w:hAnsiTheme="minorEastAsia" w:eastAsiaTheme="minorEastAsia"/>
          <w:kern w:val="2"/>
          <w:sz w:val="21"/>
          <w:szCs w:val="21"/>
        </w:rPr>
      </w:pPr>
    </w:p>
    <w:p>
      <w:pPr>
        <w:numPr>
          <w:ilvl w:val="0"/>
          <w:numId w:val="8"/>
        </w:numPr>
        <w:spacing w:line="500" w:lineRule="exact"/>
        <w:ind w:left="0" w:firstLine="200"/>
        <w:textAlignment w:val="auto"/>
        <w:rPr>
          <w:rFonts w:asciiTheme="minorEastAsia" w:hAnsiTheme="minorEastAsia" w:eastAsiaTheme="minorEastAsia"/>
          <w:b/>
          <w:szCs w:val="21"/>
        </w:rPr>
      </w:pPr>
      <w:r>
        <w:rPr>
          <w:rFonts w:asciiTheme="minorEastAsia" w:hAnsiTheme="minorEastAsia" w:eastAsiaTheme="minorEastAsia"/>
          <w:b/>
          <w:szCs w:val="21"/>
        </w:rPr>
        <w:t xml:space="preserve"> 工程概况</w:t>
      </w:r>
    </w:p>
    <w:p>
      <w:pPr>
        <w:spacing w:line="500" w:lineRule="exact"/>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1.1</w:t>
      </w:r>
      <w:r>
        <w:rPr>
          <w:rFonts w:hint="eastAsia" w:asciiTheme="minorEastAsia" w:hAnsiTheme="minorEastAsia" w:eastAsiaTheme="minorEastAsia"/>
          <w:szCs w:val="21"/>
        </w:rPr>
        <w:t>工程名称：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1.2</w:t>
      </w:r>
      <w:r>
        <w:rPr>
          <w:rFonts w:hint="eastAsia" w:asciiTheme="minorEastAsia" w:hAnsiTheme="minorEastAsia" w:eastAsiaTheme="minorEastAsia"/>
          <w:szCs w:val="21"/>
        </w:rPr>
        <w:t>工程地点：</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1.3</w:t>
      </w:r>
      <w:r>
        <w:rPr>
          <w:rFonts w:hint="eastAsia" w:asciiTheme="minorEastAsia" w:hAnsiTheme="minorEastAsia" w:eastAsiaTheme="minorEastAsia"/>
          <w:szCs w:val="21"/>
        </w:rPr>
        <w:t>工程内容：</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spacing w:line="500" w:lineRule="exact"/>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1.4</w:t>
      </w:r>
      <w:r>
        <w:rPr>
          <w:rFonts w:hint="eastAsia" w:asciiTheme="minorEastAsia" w:hAnsiTheme="minorEastAsia" w:eastAsiaTheme="minorEastAsia"/>
          <w:szCs w:val="21"/>
        </w:rPr>
        <w:t>资金来源：</w:t>
      </w:r>
      <w:r>
        <w:rPr>
          <w:rFonts w:hint="eastAsia" w:asciiTheme="minorEastAsia" w:hAnsiTheme="minorEastAsia" w:eastAsiaTheme="minorEastAsia"/>
          <w:szCs w:val="21"/>
          <w:u w:val="single"/>
        </w:rPr>
        <w:t>自筹。</w:t>
      </w:r>
    </w:p>
    <w:p>
      <w:pPr>
        <w:spacing w:line="500" w:lineRule="exact"/>
        <w:ind w:firstLine="420" w:firstLineChars="200"/>
        <w:rPr>
          <w:rFonts w:asciiTheme="minorEastAsia" w:hAnsiTheme="minorEastAsia" w:eastAsiaTheme="minorEastAsia"/>
          <w:szCs w:val="21"/>
        </w:rPr>
      </w:pPr>
    </w:p>
    <w:p>
      <w:pPr>
        <w:numPr>
          <w:ilvl w:val="0"/>
          <w:numId w:val="8"/>
        </w:numPr>
        <w:spacing w:line="500" w:lineRule="exact"/>
        <w:ind w:left="0" w:firstLine="200"/>
        <w:textAlignment w:val="auto"/>
        <w:rPr>
          <w:rFonts w:asciiTheme="minorEastAsia" w:hAnsiTheme="minorEastAsia" w:eastAsiaTheme="minorEastAsia"/>
          <w:b/>
          <w:szCs w:val="21"/>
        </w:rPr>
      </w:pPr>
      <w:r>
        <w:rPr>
          <w:rFonts w:asciiTheme="minorEastAsia" w:hAnsiTheme="minorEastAsia" w:eastAsiaTheme="minorEastAsia"/>
          <w:b/>
          <w:szCs w:val="21"/>
        </w:rPr>
        <w:t xml:space="preserve"> 工程承包范围</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2.1</w:t>
      </w:r>
      <w:r>
        <w:rPr>
          <w:rFonts w:hint="eastAsia" w:asciiTheme="minorEastAsia" w:hAnsiTheme="minorEastAsia" w:eastAsiaTheme="minorEastAsia"/>
          <w:szCs w:val="21"/>
        </w:rPr>
        <w:t xml:space="preserve">承包范围：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（具体详见双方书面确认的工程量清单及施工图纸）。</w:t>
      </w:r>
    </w:p>
    <w:p>
      <w:pPr>
        <w:spacing w:line="500" w:lineRule="exact"/>
        <w:ind w:firstLine="420" w:firstLineChars="200"/>
        <w:rPr>
          <w:rFonts w:asciiTheme="minorEastAsia" w:hAnsiTheme="minorEastAsia" w:eastAsiaTheme="minorEastAsia"/>
          <w:szCs w:val="21"/>
        </w:rPr>
      </w:pPr>
    </w:p>
    <w:p>
      <w:pPr>
        <w:numPr>
          <w:ilvl w:val="0"/>
          <w:numId w:val="8"/>
        </w:numPr>
        <w:spacing w:line="500" w:lineRule="exact"/>
        <w:ind w:left="0" w:firstLine="200"/>
        <w:textAlignment w:val="auto"/>
        <w:rPr>
          <w:rFonts w:asciiTheme="minorEastAsia" w:hAnsiTheme="minorEastAsia" w:eastAsiaTheme="minorEastAsia"/>
          <w:b/>
          <w:szCs w:val="21"/>
        </w:rPr>
      </w:pPr>
      <w:r>
        <w:rPr>
          <w:rFonts w:asciiTheme="minorEastAsia" w:hAnsiTheme="minorEastAsia" w:eastAsiaTheme="minorEastAsia"/>
          <w:b/>
          <w:szCs w:val="21"/>
        </w:rPr>
        <w:t xml:space="preserve"> </w:t>
      </w:r>
      <w:r>
        <w:rPr>
          <w:rFonts w:hint="eastAsia" w:asciiTheme="minorEastAsia" w:hAnsiTheme="minorEastAsia" w:eastAsiaTheme="minorEastAsia"/>
          <w:b/>
          <w:szCs w:val="21"/>
        </w:rPr>
        <w:t xml:space="preserve"> </w:t>
      </w:r>
      <w:r>
        <w:rPr>
          <w:rFonts w:asciiTheme="minorEastAsia" w:hAnsiTheme="minorEastAsia" w:eastAsiaTheme="minorEastAsia"/>
          <w:b/>
          <w:szCs w:val="21"/>
        </w:rPr>
        <w:t>合同工期</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3.1</w:t>
      </w:r>
      <w:r>
        <w:rPr>
          <w:rFonts w:hint="eastAsia" w:asciiTheme="minorEastAsia" w:hAnsiTheme="minorEastAsia" w:eastAsiaTheme="minorEastAsia"/>
          <w:szCs w:val="21"/>
        </w:rPr>
        <w:t>计划开工日期：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日（具体以甲方现场代表签发的开工指令中载明的开工日期为准。如因甲方原因不能按时开工的，工期相应顺延，除此之外，甲方不承担任何违约或赔偿责任。）</w:t>
      </w:r>
    </w:p>
    <w:p>
      <w:pPr>
        <w:spacing w:line="500" w:lineRule="exact"/>
        <w:ind w:firstLine="420" w:firstLineChars="200"/>
        <w:rPr>
          <w:rFonts w:hint="eastAsia" w:asciiTheme="minorEastAsia" w:hAnsiTheme="minorEastAsia" w:eastAsiaTheme="minorEastAsia"/>
          <w:szCs w:val="21"/>
          <w:lang w:eastAsia="zh-CN"/>
        </w:rPr>
      </w:pPr>
      <w:r>
        <w:rPr>
          <w:rFonts w:asciiTheme="minorEastAsia" w:hAnsiTheme="minorEastAsia" w:eastAsiaTheme="minorEastAsia"/>
          <w:szCs w:val="21"/>
        </w:rPr>
        <w:t>3.2</w:t>
      </w:r>
      <w:r>
        <w:rPr>
          <w:rFonts w:hint="eastAsia" w:asciiTheme="minorEastAsia" w:hAnsiTheme="minorEastAsia" w:eastAsiaTheme="minorEastAsia"/>
          <w:szCs w:val="21"/>
        </w:rPr>
        <w:t>总工期</w:t>
      </w:r>
      <w:r>
        <w:rPr>
          <w:rFonts w:asciiTheme="minorEastAsia" w:hAnsiTheme="minorEastAsia" w:eastAsiaTheme="minorEastAsia"/>
          <w:szCs w:val="21"/>
        </w:rPr>
        <w:t>60</w:t>
      </w:r>
      <w:r>
        <w:rPr>
          <w:rFonts w:hint="eastAsia" w:asciiTheme="minorEastAsia" w:hAnsiTheme="minorEastAsia" w:eastAsiaTheme="minorEastAsia"/>
          <w:szCs w:val="21"/>
        </w:rPr>
        <w:t>天</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自正式开工之日起计算</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，具体为</w:t>
      </w:r>
      <w:r>
        <w:rPr>
          <w:rFonts w:asciiTheme="minorEastAsia" w:hAnsiTheme="minorEastAsia" w:eastAsiaTheme="minorEastAsia"/>
          <w:szCs w:val="21"/>
        </w:rPr>
        <w:t>40</w:t>
      </w:r>
      <w:r>
        <w:rPr>
          <w:rFonts w:hint="eastAsia" w:asciiTheme="minorEastAsia" w:hAnsiTheme="minorEastAsia" w:eastAsiaTheme="minorEastAsia"/>
          <w:szCs w:val="21"/>
        </w:rPr>
        <w:t xml:space="preserve">天内完成竣工验收，从竣工合格之日起算，5天内通过供电部门验收，然后 </w:t>
      </w:r>
      <w:r>
        <w:rPr>
          <w:rFonts w:asciiTheme="minorEastAsia" w:hAnsiTheme="minorEastAsia" w:eastAsiaTheme="minorEastAsia"/>
          <w:szCs w:val="21"/>
        </w:rPr>
        <w:t>15</w:t>
      </w:r>
      <w:r>
        <w:rPr>
          <w:rFonts w:hint="eastAsia" w:asciiTheme="minorEastAsia" w:hAnsiTheme="minorEastAsia" w:eastAsiaTheme="minorEastAsia"/>
          <w:szCs w:val="21"/>
        </w:rPr>
        <w:t xml:space="preserve"> 天内完成接火通电</w:t>
      </w:r>
      <w:r>
        <w:rPr>
          <w:rFonts w:hint="eastAsia" w:asciiTheme="minorEastAsia" w:hAnsiTheme="minorEastAsia" w:eastAsiaTheme="minorEastAsia"/>
          <w:szCs w:val="21"/>
          <w:lang w:eastAsia="zh-CN"/>
        </w:rPr>
        <w:t>。</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3.3</w:t>
      </w:r>
      <w:r>
        <w:rPr>
          <w:rFonts w:hint="eastAsia" w:asciiTheme="minorEastAsia" w:hAnsiTheme="minorEastAsia" w:eastAsiaTheme="minorEastAsia"/>
          <w:szCs w:val="21"/>
        </w:rPr>
        <w:t>如遇到项目现场未能提供工作面，以甲乙双方确认的时间为工程累计的工作天数。乙方应严格按合同约定工期执行，若逾期完工须按本合同约定承担相应的违约责任。施工期间，乙方应严格执行工程进出场登记，并以此作为工程结算资料之一。</w:t>
      </w:r>
    </w:p>
    <w:p>
      <w:pPr>
        <w:spacing w:line="500" w:lineRule="exact"/>
        <w:ind w:firstLine="411" w:firstLineChars="196"/>
        <w:rPr>
          <w:rFonts w:asciiTheme="minorEastAsia" w:hAnsiTheme="minorEastAsia" w:eastAsiaTheme="minorEastAsia"/>
          <w:szCs w:val="21"/>
        </w:rPr>
      </w:pPr>
    </w:p>
    <w:p>
      <w:pPr>
        <w:spacing w:line="50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第四条  工程质量标准</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4.1</w:t>
      </w:r>
      <w:r>
        <w:rPr>
          <w:rFonts w:hint="eastAsia" w:asciiTheme="minorEastAsia" w:hAnsiTheme="minorEastAsia" w:eastAsiaTheme="minorEastAsia"/>
          <w:szCs w:val="21"/>
        </w:rPr>
        <w:t>工程质量标准：工程应达到国家规定的合格标准及图纸约定的标准，并能通过甲方、监理单位和南宁市供电部门的验收。</w:t>
      </w:r>
    </w:p>
    <w:p>
      <w:pPr>
        <w:spacing w:line="500" w:lineRule="exact"/>
        <w:ind w:firstLine="422" w:firstLineChars="200"/>
        <w:rPr>
          <w:rFonts w:hint="eastAsia" w:asciiTheme="minorEastAsia" w:hAnsiTheme="minorEastAsia" w:eastAsiaTheme="minorEastAsia"/>
          <w:b/>
          <w:szCs w:val="21"/>
        </w:rPr>
      </w:pPr>
    </w:p>
    <w:p>
      <w:pPr>
        <w:spacing w:line="50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第五条  合同价款</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5.1</w:t>
      </w:r>
      <w:r>
        <w:rPr>
          <w:rFonts w:hint="eastAsia" w:asciiTheme="minorEastAsia" w:hAnsiTheme="minorEastAsia" w:eastAsiaTheme="minorEastAsia"/>
          <w:szCs w:val="21"/>
        </w:rPr>
        <w:t>合同价款</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5.1.1</w:t>
      </w:r>
      <w:r>
        <w:rPr>
          <w:rFonts w:hint="eastAsia" w:asciiTheme="minorEastAsia" w:hAnsiTheme="minorEastAsia" w:eastAsiaTheme="minorEastAsia"/>
          <w:szCs w:val="21"/>
        </w:rPr>
        <w:t>本合同</w:t>
      </w:r>
      <w:r>
        <w:rPr>
          <w:rFonts w:hint="eastAsia" w:asciiTheme="minorEastAsia" w:hAnsiTheme="minorEastAsia" w:eastAsiaTheme="minorEastAsia"/>
          <w:szCs w:val="21"/>
          <w:lang w:val="en-US" w:eastAsia="zh-CN"/>
        </w:rPr>
        <w:t>固</w:t>
      </w:r>
      <w:r>
        <w:rPr>
          <w:rFonts w:hint="eastAsia" w:asciiTheme="minorEastAsia" w:hAnsiTheme="minorEastAsia" w:eastAsiaTheme="minorEastAsia"/>
          <w:szCs w:val="21"/>
        </w:rPr>
        <w:t>定总价款（含税</w:t>
      </w:r>
      <w:r>
        <w:rPr>
          <w:rFonts w:hint="eastAsia" w:asciiTheme="minorEastAsia" w:hAnsiTheme="minorEastAsia" w:eastAsiaTheme="minorEastAsia"/>
          <w:b/>
          <w:szCs w:val="21"/>
          <w:u w:val="single"/>
        </w:rPr>
        <w:t>XXXXXX</w:t>
      </w:r>
      <w:r>
        <w:rPr>
          <w:rFonts w:hint="eastAsia" w:asciiTheme="minorEastAsia" w:hAnsiTheme="minorEastAsia" w:eastAsiaTheme="minorEastAsia"/>
          <w:szCs w:val="21"/>
        </w:rPr>
        <w:t>%）为</w:t>
      </w:r>
      <w:r>
        <w:rPr>
          <w:rFonts w:hint="eastAsia" w:asciiTheme="minorEastAsia" w:hAnsiTheme="minorEastAsia" w:eastAsiaTheme="minorEastAsia"/>
          <w:szCs w:val="21"/>
          <w:u w:val="single"/>
        </w:rPr>
        <w:t>人民币（大写）</w:t>
      </w:r>
      <w:r>
        <w:rPr>
          <w:rFonts w:hint="eastAsia" w:asciiTheme="minorEastAsia" w:hAnsiTheme="minorEastAsia" w:eastAsiaTheme="minorEastAsia"/>
          <w:b/>
          <w:szCs w:val="21"/>
          <w:u w:val="single"/>
        </w:rPr>
        <w:t>XXXXXX</w:t>
      </w:r>
      <w:r>
        <w:rPr>
          <w:rFonts w:hint="eastAsia" w:asciiTheme="minorEastAsia" w:hAnsiTheme="minorEastAsia" w:eastAsiaTheme="minorEastAsia"/>
          <w:szCs w:val="21"/>
          <w:u w:val="single"/>
        </w:rPr>
        <w:t>（￥</w:t>
      </w:r>
      <w:r>
        <w:rPr>
          <w:rFonts w:hint="eastAsia" w:asciiTheme="minorEastAsia" w:hAnsiTheme="minorEastAsia" w:eastAsiaTheme="minorEastAsia"/>
          <w:b/>
          <w:szCs w:val="21"/>
          <w:u w:val="single"/>
        </w:rPr>
        <w:t>XXXXXX</w:t>
      </w:r>
      <w:r>
        <w:rPr>
          <w:rFonts w:hint="eastAsia" w:asciiTheme="minorEastAsia" w:hAnsiTheme="minorEastAsia" w:eastAsiaTheme="minorEastAsia"/>
          <w:szCs w:val="21"/>
          <w:u w:val="single"/>
        </w:rPr>
        <w:t>元）。</w:t>
      </w:r>
      <w:r>
        <w:rPr>
          <w:rFonts w:hint="eastAsia" w:asciiTheme="minorEastAsia" w:hAnsiTheme="minorEastAsia" w:eastAsiaTheme="minorEastAsia" w:cstheme="minorEastAsia"/>
          <w:szCs w:val="21"/>
        </w:rPr>
        <w:t>其中不含税价为人民币</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b/>
          <w:szCs w:val="21"/>
          <w:u w:val="single"/>
        </w:rPr>
        <w:t>XXXXXX</w:t>
      </w:r>
      <w:r>
        <w:rPr>
          <w:rFonts w:hint="eastAsia" w:asciiTheme="minorEastAsia" w:hAnsiTheme="minorEastAsia" w:eastAsiaTheme="minorEastAsia" w:cstheme="minorEastAsia"/>
          <w:szCs w:val="21"/>
        </w:rPr>
        <w:t>，增值税为人民币</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b/>
          <w:szCs w:val="21"/>
          <w:u w:val="single"/>
        </w:rPr>
        <w:t>XXXXXX</w:t>
      </w:r>
      <w:r>
        <w:rPr>
          <w:rFonts w:hint="eastAsia" w:asciiTheme="minorEastAsia" w:hAnsiTheme="minorEastAsia" w:eastAsiaTheme="minorEastAsia" w:cstheme="minorEastAsia"/>
          <w:szCs w:val="21"/>
        </w:rPr>
        <w:t>。</w:t>
      </w:r>
    </w:p>
    <w:p>
      <w:pPr>
        <w:spacing w:line="500" w:lineRule="exact"/>
        <w:ind w:firstLine="420" w:firstLineChars="200"/>
        <w:rPr>
          <w:rFonts w:hint="eastAsia" w:asciiTheme="minorEastAsia" w:hAnsiTheme="minorEastAsia" w:eastAsiaTheme="minorEastAsia"/>
          <w:szCs w:val="21"/>
          <w:highlight w:val="none"/>
        </w:rPr>
      </w:pPr>
      <w:r>
        <w:rPr>
          <w:rFonts w:asciiTheme="minorEastAsia" w:hAnsiTheme="minorEastAsia" w:eastAsiaTheme="minorEastAsia"/>
          <w:szCs w:val="21"/>
          <w:highlight w:val="none"/>
        </w:rPr>
        <w:t>5.1.2</w:t>
      </w:r>
      <w:r>
        <w:rPr>
          <w:rFonts w:hint="eastAsia" w:asciiTheme="minorEastAsia" w:hAnsiTheme="minorEastAsia" w:eastAsiaTheme="minorEastAsia"/>
          <w:szCs w:val="21"/>
          <w:highlight w:val="none"/>
        </w:rPr>
        <w:t>工程采用固定</w:t>
      </w:r>
      <w:r>
        <w:rPr>
          <w:rFonts w:hint="eastAsia" w:asciiTheme="minorEastAsia" w:hAnsiTheme="minorEastAsia" w:eastAsiaTheme="minorEastAsia"/>
          <w:szCs w:val="21"/>
          <w:highlight w:val="none"/>
          <w:lang w:val="en-US" w:eastAsia="zh-CN"/>
        </w:rPr>
        <w:t>总价</w:t>
      </w:r>
      <w:r>
        <w:rPr>
          <w:rFonts w:hint="eastAsia" w:asciiTheme="minorEastAsia" w:hAnsiTheme="minorEastAsia" w:eastAsiaTheme="minorEastAsia"/>
          <w:szCs w:val="21"/>
          <w:highlight w:val="none"/>
        </w:rPr>
        <w:t>包干方式，最终合同总价款按双方共同确认的</w:t>
      </w:r>
      <w:r>
        <w:rPr>
          <w:rFonts w:hint="eastAsia" w:asciiTheme="minorEastAsia" w:hAnsiTheme="minorEastAsia" w:eastAsiaTheme="minorEastAsia"/>
          <w:szCs w:val="21"/>
          <w:highlight w:val="none"/>
          <w:lang w:val="en-US" w:eastAsia="zh-CN"/>
        </w:rPr>
        <w:t>结算书</w:t>
      </w:r>
      <w:r>
        <w:rPr>
          <w:rFonts w:hint="eastAsia" w:asciiTheme="minorEastAsia" w:hAnsiTheme="minorEastAsia" w:eastAsiaTheme="minorEastAsia"/>
          <w:szCs w:val="21"/>
          <w:highlight w:val="none"/>
        </w:rPr>
        <w:t>进行结算。</w:t>
      </w:r>
    </w:p>
    <w:p>
      <w:pPr>
        <w:spacing w:line="500" w:lineRule="exact"/>
        <w:ind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5.1.3本合同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pStyle w:val="2"/>
        <w:rPr>
          <w:rFonts w:hint="default"/>
          <w:lang w:val="en-US" w:eastAsia="zh-CN"/>
        </w:rPr>
      </w:pPr>
    </w:p>
    <w:p>
      <w:pPr>
        <w:spacing w:line="500" w:lineRule="exact"/>
        <w:ind w:firstLine="422" w:firstLineChars="200"/>
        <w:rPr>
          <w:rFonts w:asciiTheme="minorEastAsia" w:hAnsiTheme="minorEastAsia" w:eastAsiaTheme="minorEastAsia"/>
          <w:szCs w:val="21"/>
          <w:highlight w:val="none"/>
        </w:rPr>
      </w:pPr>
      <w:r>
        <w:rPr>
          <w:rFonts w:hint="eastAsia" w:asciiTheme="minorEastAsia" w:hAnsiTheme="minorEastAsia" w:eastAsiaTheme="minorEastAsia"/>
          <w:b/>
          <w:szCs w:val="21"/>
        </w:rPr>
        <w:t>第六条</w:t>
      </w:r>
      <w:r>
        <w:rPr>
          <w:rFonts w:hint="eastAsia" w:asciiTheme="minorEastAsia" w:hAnsiTheme="minorEastAsia" w:eastAsiaTheme="minorEastAsia"/>
          <w:b/>
          <w:szCs w:val="21"/>
          <w:lang w:val="en-US" w:eastAsia="zh-CN"/>
        </w:rPr>
        <w:t xml:space="preserve"> 变更及变更费用调整</w:t>
      </w:r>
    </w:p>
    <w:p>
      <w:pPr>
        <w:spacing w:line="5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lang w:val="en-US" w:eastAsia="zh-CN"/>
        </w:rPr>
        <w:t>6.1</w:t>
      </w:r>
      <w:r>
        <w:rPr>
          <w:rFonts w:asciiTheme="minorEastAsia" w:hAnsiTheme="minorEastAsia" w:eastAsiaTheme="minorEastAsia"/>
          <w:szCs w:val="21"/>
          <w:highlight w:val="none"/>
        </w:rPr>
        <w:t>合同执行过程中，除以下情况外，合同总价均不予调整：（1）本项目范围发生变化的；（2）本合同约定的其他予以调整的情况。</w:t>
      </w:r>
    </w:p>
    <w:p>
      <w:pPr>
        <w:spacing w:line="500" w:lineRule="exact"/>
        <w:ind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6.2合同价格调整原则：</w:t>
      </w:r>
    </w:p>
    <w:p>
      <w:pPr>
        <w:numPr>
          <w:ilvl w:val="0"/>
          <w:numId w:val="0"/>
        </w:numPr>
        <w:spacing w:line="500" w:lineRule="exact"/>
        <w:ind w:left="0" w:leftChars="0"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6.2.1投标报价清单有相同项目的，按照相同项目单价计算；</w:t>
      </w:r>
    </w:p>
    <w:p>
      <w:pPr>
        <w:numPr>
          <w:ilvl w:val="0"/>
          <w:numId w:val="0"/>
        </w:numPr>
        <w:spacing w:line="500" w:lineRule="exact"/>
        <w:ind w:left="0" w:leftChars="0"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lang w:val="en-US" w:eastAsia="zh-CN"/>
        </w:rPr>
        <w:t>6.2.2响应</w:t>
      </w:r>
      <w:r>
        <w:rPr>
          <w:rFonts w:asciiTheme="minorEastAsia" w:hAnsiTheme="minorEastAsia" w:eastAsiaTheme="minorEastAsia"/>
          <w:szCs w:val="21"/>
          <w:highlight w:val="none"/>
        </w:rPr>
        <w:t>报价清单中无相同项目，</w:t>
      </w:r>
      <w:r>
        <w:rPr>
          <w:rFonts w:hint="eastAsia"/>
        </w:rPr>
        <w:t>有定额的套定额，并乘以下浮系数中标价/招标控制价%计算</w:t>
      </w:r>
      <w:r>
        <w:rPr>
          <w:rFonts w:hint="eastAsia"/>
          <w:lang w:eastAsia="zh-CN"/>
        </w:rPr>
        <w:t>。</w:t>
      </w:r>
      <w:r>
        <w:rPr>
          <w:rFonts w:asciiTheme="minorEastAsia" w:hAnsiTheme="minorEastAsia" w:eastAsiaTheme="minorEastAsia"/>
          <w:szCs w:val="21"/>
          <w:highlight w:val="none"/>
        </w:rPr>
        <w:t>有类似项目的，应根据需调整单价的项目特征，对类似项目单价的变化部分进行调整（但管理费、利润等的取费标准不得调整），并按调整后的单价计算需调整的合同价格</w:t>
      </w:r>
      <w:r>
        <w:rPr>
          <w:rFonts w:hint="eastAsia" w:asciiTheme="minorEastAsia" w:hAnsiTheme="minorEastAsia" w:eastAsiaTheme="minorEastAsia"/>
          <w:szCs w:val="21"/>
          <w:highlight w:val="none"/>
          <w:lang w:eastAsia="zh-CN"/>
        </w:rPr>
        <w:t>。</w:t>
      </w:r>
    </w:p>
    <w:p>
      <w:pPr>
        <w:spacing w:line="500" w:lineRule="exact"/>
        <w:ind w:firstLine="422" w:firstLineChars="200"/>
        <w:rPr>
          <w:rFonts w:hint="eastAsia" w:asciiTheme="minorEastAsia" w:hAnsiTheme="minorEastAsia" w:eastAsiaTheme="minorEastAsia"/>
          <w:b/>
          <w:szCs w:val="21"/>
        </w:rPr>
      </w:pPr>
    </w:p>
    <w:p>
      <w:pPr>
        <w:spacing w:line="50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lang w:val="en-US" w:eastAsia="zh-CN"/>
        </w:rPr>
        <w:t xml:space="preserve">第七条 </w:t>
      </w:r>
      <w:r>
        <w:rPr>
          <w:rFonts w:hint="eastAsia" w:asciiTheme="minorEastAsia" w:hAnsiTheme="minorEastAsia" w:eastAsiaTheme="minorEastAsia"/>
          <w:b/>
          <w:szCs w:val="21"/>
        </w:rPr>
        <w:t>合同价款的支付方式</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.1本</w:t>
      </w:r>
      <w:r>
        <w:rPr>
          <w:rFonts w:hint="eastAsia" w:asciiTheme="minorEastAsia" w:hAnsiTheme="minorEastAsia" w:eastAsiaTheme="minorEastAsia"/>
          <w:szCs w:val="21"/>
        </w:rPr>
        <w:t>合同工程款按工程实施进度支付，如本合同工程分有多个标段，则每个标段按工程实施进度支付：</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.1.1</w:t>
      </w:r>
      <w:r>
        <w:rPr>
          <w:rFonts w:hint="eastAsia" w:asciiTheme="minorEastAsia" w:hAnsiTheme="minorEastAsia" w:eastAsiaTheme="minorEastAsia"/>
          <w:szCs w:val="21"/>
          <w:lang w:val="en-US" w:eastAsia="zh-CN"/>
        </w:rPr>
        <w:t>工程开工，</w:t>
      </w:r>
      <w:r>
        <w:rPr>
          <w:rFonts w:hint="eastAsia" w:asciiTheme="minorEastAsia" w:hAnsiTheme="minorEastAsia" w:eastAsiaTheme="minorEastAsia"/>
          <w:szCs w:val="21"/>
        </w:rPr>
        <w:t>完成形象进度的</w:t>
      </w:r>
      <w:r>
        <w:rPr>
          <w:rFonts w:asciiTheme="minorEastAsia" w:hAnsiTheme="minorEastAsia" w:eastAsiaTheme="minorEastAsia"/>
          <w:szCs w:val="21"/>
        </w:rPr>
        <w:t>50％并经甲方</w:t>
      </w:r>
      <w:r>
        <w:rPr>
          <w:rFonts w:hint="eastAsia" w:asciiTheme="minorEastAsia" w:hAnsiTheme="minorEastAsia" w:eastAsiaTheme="minorEastAsia"/>
          <w:szCs w:val="21"/>
        </w:rPr>
        <w:t>书面确认后，甲方在收到乙方的请款报告后</w:t>
      </w:r>
      <w:r>
        <w:rPr>
          <w:rFonts w:asciiTheme="minorEastAsia" w:hAnsiTheme="minorEastAsia" w:eastAsiaTheme="minorEastAsia"/>
          <w:szCs w:val="21"/>
        </w:rPr>
        <w:t>10个工作日内，</w:t>
      </w:r>
      <w:r>
        <w:rPr>
          <w:rFonts w:hint="eastAsia" w:asciiTheme="minorEastAsia" w:hAnsiTheme="minorEastAsia" w:eastAsiaTheme="minorEastAsia"/>
          <w:szCs w:val="21"/>
        </w:rPr>
        <w:t>向乙方支付该标段总价款的</w:t>
      </w:r>
      <w:r>
        <w:rPr>
          <w:rFonts w:asciiTheme="minorEastAsia" w:hAnsiTheme="minorEastAsia" w:eastAsiaTheme="minorEastAsia"/>
          <w:szCs w:val="21"/>
        </w:rPr>
        <w:t xml:space="preserve">30% </w:t>
      </w:r>
      <w:r>
        <w:rPr>
          <w:rFonts w:hint="eastAsia" w:asciiTheme="minorEastAsia" w:hAnsiTheme="minorEastAsia" w:eastAsiaTheme="minorEastAsia"/>
          <w:szCs w:val="21"/>
        </w:rPr>
        <w:t>；</w:t>
      </w:r>
    </w:p>
    <w:p>
      <w:pPr>
        <w:spacing w:line="50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.1.2工程完工并经甲方书面确认后，甲方在收到乙方的请款报告后</w:t>
      </w:r>
      <w:r>
        <w:rPr>
          <w:rFonts w:hint="eastAsia" w:asciiTheme="minorEastAsia" w:hAnsiTheme="minorEastAsia" w:eastAsiaTheme="minorEastAsia"/>
          <w:szCs w:val="21"/>
          <w:lang w:val="en-US" w:eastAsia="zh-CN"/>
        </w:rPr>
        <w:t>45</w:t>
      </w:r>
      <w:r>
        <w:rPr>
          <w:rFonts w:hint="eastAsia" w:asciiTheme="minorEastAsia" w:hAnsiTheme="minorEastAsia" w:eastAsiaTheme="minorEastAsia"/>
          <w:szCs w:val="21"/>
        </w:rPr>
        <w:t>个工作日内，向乙方支付该标段总价款的</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5%。</w:t>
      </w:r>
    </w:p>
    <w:p>
      <w:pPr>
        <w:spacing w:line="50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工程竣工且经甲方、监理单位及南宁市供电部门验收，确认达到合同约定的质量标准并完成高压接火通电后</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双方办理合同价款的最终结算手续，结算完成（即乙方根据甲方要求完成结算报审并经甲方审定。乙方向甲方提供以下合格材料，并经甲方审核无误：①乙方开具相应金额的增值税专用发票。②乙方出具的支付申请书。③结算审定材料。）后20个工作日内，除预留本工程结算造价的</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%作为工程质量保证金外，甲方将余款全部支付给乙方。</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.2</w:t>
      </w:r>
      <w:r>
        <w:rPr>
          <w:rFonts w:hint="eastAsia" w:asciiTheme="minorEastAsia" w:hAnsiTheme="minorEastAsia" w:eastAsiaTheme="minorEastAsia"/>
          <w:szCs w:val="21"/>
        </w:rPr>
        <w:t>乙方应在甲方每次付款前足额开具增值税专用发票（</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%税率</w:t>
      </w:r>
      <w:r>
        <w:rPr>
          <w:rFonts w:hint="eastAsia" w:asciiTheme="minorEastAsia" w:hAnsiTheme="minorEastAsia" w:eastAsiaTheme="minorEastAsia"/>
          <w:szCs w:val="21"/>
        </w:rPr>
        <w:t>，工程质量保证金金额与甲方向乙方支付的结算金额余款合计开具发票）给甲方，否则甲方有权拒绝付款且无须承担任何违约责任。</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.3</w:t>
      </w:r>
      <w:r>
        <w:rPr>
          <w:rFonts w:hint="eastAsia" w:asciiTheme="minorEastAsia" w:hAnsiTheme="minorEastAsia" w:eastAsiaTheme="minorEastAsia"/>
          <w:szCs w:val="21"/>
        </w:rPr>
        <w:t>工程质量保证届满后，甲、乙双方办理工程质量保证金结算手续后</w:t>
      </w:r>
      <w:r>
        <w:rPr>
          <w:rFonts w:asciiTheme="minorEastAsia" w:hAnsiTheme="minorEastAsia" w:eastAsiaTheme="minorEastAsia"/>
          <w:szCs w:val="21"/>
        </w:rPr>
        <w:t>14个工作日内，</w:t>
      </w:r>
      <w:r>
        <w:rPr>
          <w:rFonts w:hint="eastAsia" w:asciiTheme="minorEastAsia" w:hAnsiTheme="minorEastAsia" w:eastAsiaTheme="minorEastAsia"/>
          <w:szCs w:val="21"/>
        </w:rPr>
        <w:t>甲方将剩余的工程质量保证金支付给乙方（无息）。</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.4</w:t>
      </w:r>
      <w:r>
        <w:rPr>
          <w:rFonts w:hint="eastAsia" w:asciiTheme="minorEastAsia" w:hAnsiTheme="minorEastAsia" w:eastAsiaTheme="minorEastAsia"/>
          <w:szCs w:val="21"/>
        </w:rPr>
        <w:t>乙方指定账户如下</w:t>
      </w:r>
      <w:r>
        <w:rPr>
          <w:rFonts w:asciiTheme="minorEastAsia" w:hAnsiTheme="minorEastAsia" w:eastAsiaTheme="minorEastAsia"/>
          <w:szCs w:val="21"/>
        </w:rPr>
        <w:t>:</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公司名称：</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开户银行：</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银行账号：</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如乙方银行账户发生变更的，应于变更后</w:t>
      </w:r>
      <w:r>
        <w:rPr>
          <w:rFonts w:asciiTheme="minorEastAsia" w:hAnsiTheme="minorEastAsia" w:eastAsiaTheme="minorEastAsia"/>
          <w:szCs w:val="21"/>
        </w:rPr>
        <w:t>3日内书面通知甲方，否则由此导致的逾期收款后果由乙方自行承担。</w:t>
      </w:r>
    </w:p>
    <w:p>
      <w:pPr>
        <w:spacing w:line="500" w:lineRule="exact"/>
        <w:ind w:firstLine="420" w:firstLineChars="200"/>
        <w:rPr>
          <w:rFonts w:asciiTheme="minorEastAsia" w:hAnsiTheme="minorEastAsia" w:eastAsiaTheme="minorEastAsia"/>
          <w:szCs w:val="21"/>
        </w:rPr>
      </w:pPr>
    </w:p>
    <w:p>
      <w:pPr>
        <w:spacing w:line="50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w:t>
      </w:r>
      <w:r>
        <w:rPr>
          <w:rFonts w:hint="eastAsia" w:asciiTheme="minorEastAsia" w:hAnsiTheme="minorEastAsia" w:eastAsiaTheme="minorEastAsia"/>
          <w:b/>
          <w:szCs w:val="21"/>
          <w:lang w:val="en-US" w:eastAsia="zh-CN"/>
        </w:rPr>
        <w:t>八</w:t>
      </w:r>
      <w:r>
        <w:rPr>
          <w:rFonts w:hint="eastAsia" w:asciiTheme="minorEastAsia" w:hAnsiTheme="minorEastAsia" w:eastAsiaTheme="minorEastAsia"/>
          <w:b/>
          <w:szCs w:val="21"/>
        </w:rPr>
        <w:t>条  履约保证金</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.1</w:t>
      </w:r>
      <w:r>
        <w:rPr>
          <w:rFonts w:hint="eastAsia" w:asciiTheme="minorEastAsia" w:hAnsiTheme="minorEastAsia" w:eastAsiaTheme="minorEastAsia"/>
          <w:szCs w:val="21"/>
        </w:rPr>
        <w:t>本合同履约保证金按照下列</w:t>
      </w:r>
      <w:r>
        <w:rPr>
          <w:rFonts w:asciiTheme="minorEastAsia" w:hAnsiTheme="minorEastAsia" w:eastAsiaTheme="minorEastAsia"/>
          <w:szCs w:val="21"/>
        </w:rPr>
        <w:t>第</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8</w:t>
      </w:r>
      <w:r>
        <w:rPr>
          <w:rFonts w:hint="eastAsia" w:asciiTheme="minorEastAsia" w:hAnsiTheme="minorEastAsia" w:eastAsiaTheme="minorEastAsia"/>
          <w:szCs w:val="21"/>
          <w:u w:val="single"/>
        </w:rPr>
        <w:t>.1.2</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项的约定执行：</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.1.1本合同乙方未缴纳履约保证金；</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.1.2乙方应在签订本合同之同时向甲方交纳履约保证金人民币</w:t>
      </w:r>
      <w:r>
        <w:rPr>
          <w:rFonts w:hint="eastAsia" w:asciiTheme="minorEastAsia" w:hAnsiTheme="minorEastAsia" w:eastAsiaTheme="minorEastAsia"/>
          <w:szCs w:val="21"/>
        </w:rPr>
        <w:t>（</w:t>
      </w:r>
      <w:r>
        <w:rPr>
          <w:rFonts w:asciiTheme="minorEastAsia" w:hAnsiTheme="minorEastAsia" w:eastAsiaTheme="minorEastAsia"/>
          <w:szCs w:val="21"/>
        </w:rPr>
        <w:t>大写）</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元（￥</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）如乙方在合同履行过程中出现违约行为的，甲方有权以履约保证金直接抵扣乙方应承担的违约金或应赔偿的损失，履约保证金不足以弥补违约金及赔偿损失的，乙方还应另行赔付。</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.2</w:t>
      </w:r>
      <w:r>
        <w:rPr>
          <w:rFonts w:hint="eastAsia" w:asciiTheme="minorEastAsia" w:hAnsiTheme="minorEastAsia" w:eastAsiaTheme="minorEastAsia"/>
          <w:szCs w:val="21"/>
        </w:rPr>
        <w:t>履约保证金抵扣后，乙方应在五个工作日内补足，逾期未补足的，每逾期一日按未补足履约保证金的万分</w:t>
      </w:r>
      <w:r>
        <w:rPr>
          <w:rFonts w:asciiTheme="minorEastAsia" w:hAnsiTheme="minorEastAsia" w:eastAsiaTheme="minorEastAsia"/>
          <w:szCs w:val="21"/>
        </w:rPr>
        <w:t>之五向甲方支付违约金。</w:t>
      </w:r>
      <w:r>
        <w:rPr>
          <w:rFonts w:hint="eastAsia" w:asciiTheme="minorEastAsia" w:hAnsiTheme="minorEastAsia" w:eastAsiaTheme="minorEastAsia"/>
          <w:szCs w:val="21"/>
        </w:rPr>
        <w:t>在乙方按合同约定完成全部工作内容后，甲方一次性退还给乙方剩余的履约保证金（无息）。</w:t>
      </w:r>
    </w:p>
    <w:p>
      <w:pPr>
        <w:spacing w:line="500" w:lineRule="exact"/>
        <w:ind w:firstLine="560"/>
        <w:rPr>
          <w:rFonts w:asciiTheme="minorEastAsia" w:hAnsiTheme="minorEastAsia" w:eastAsiaTheme="minorEastAsia"/>
          <w:szCs w:val="21"/>
        </w:rPr>
      </w:pPr>
    </w:p>
    <w:p>
      <w:pPr>
        <w:spacing w:line="50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w:t>
      </w:r>
      <w:r>
        <w:rPr>
          <w:rFonts w:hint="eastAsia" w:asciiTheme="minorEastAsia" w:hAnsiTheme="minorEastAsia" w:eastAsiaTheme="minorEastAsia"/>
          <w:b/>
          <w:szCs w:val="21"/>
          <w:lang w:val="en-US" w:eastAsia="zh-CN"/>
        </w:rPr>
        <w:t>九</w:t>
      </w:r>
      <w:r>
        <w:rPr>
          <w:rFonts w:hint="eastAsia" w:asciiTheme="minorEastAsia" w:hAnsiTheme="minorEastAsia" w:eastAsiaTheme="minorEastAsia"/>
          <w:b/>
          <w:szCs w:val="21"/>
        </w:rPr>
        <w:t>条  工程验收</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.1材料的验收</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.1.1乙方提供的材料必须符合合同的约定且为厂家的合格品，并具有产品出厂合格证书、产品质检证明及产品说明书等国家规定的合格证件。</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.1.2乙方用于施工的所有材料必须经甲方及监理方书面确认符合要求后才能进场用于施工</w:t>
      </w:r>
      <w:r>
        <w:rPr>
          <w:rFonts w:hint="eastAsia" w:asciiTheme="minorEastAsia" w:hAnsiTheme="minorEastAsia" w:eastAsiaTheme="minorEastAsia"/>
          <w:szCs w:val="21"/>
        </w:rPr>
        <w:t>，否则乙方应按甲方要求将其清运出场，并同时重新采购符合要求的材料，由此产生的费用由乙方承担。</w:t>
      </w:r>
    </w:p>
    <w:p>
      <w:pPr>
        <w:spacing w:line="500" w:lineRule="exact"/>
        <w:ind w:firstLine="525" w:firstLineChars="250"/>
        <w:rPr>
          <w:rFonts w:asciiTheme="minorEastAsia" w:hAnsiTheme="minorEastAsia" w:eastAsiaTheme="minorEastAsia"/>
          <w:szCs w:val="21"/>
        </w:rPr>
      </w:pPr>
      <w:r>
        <w:rPr>
          <w:rFonts w:hint="eastAsia" w:asciiTheme="minorEastAsia" w:hAnsiTheme="minorEastAsia" w:eastAsiaTheme="minorEastAsia"/>
          <w:szCs w:val="21"/>
        </w:rPr>
        <w:t>若乙方逾期未能清运出场或未能按甲方要求重新采购符合合同要求的材料的，甲方有权自行或委托第三方进行清场或采购，如由此造成工期延误、甲方或其他施工方经济损失的，乙方应负责赔偿。</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.2竣工验收</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.2.1乙方应在完成本合同约定的所有项目并自检通过后</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日内，以书面形式通知甲方及监理方进行验收，同时向甲方及监理方各提供完整的竣工验收资料（包括所有许可证、产品说明书、合格证、竣工图）一式四套。</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.2.2甲方及监理方在收到乙方提供的完整的竣工验收资料之日</w:t>
      </w:r>
      <w:r>
        <w:rPr>
          <w:rFonts w:hint="eastAsia" w:asciiTheme="minorEastAsia" w:hAnsiTheme="minorEastAsia" w:eastAsiaTheme="minorEastAsia"/>
          <w:szCs w:val="21"/>
        </w:rPr>
        <w:t>起</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日内，与南宁市供电部门按施工图、设计变更、选型样板及国家颁发的验收规范、质量检验标准和有关技术要求进行竣工验收。如工程竣工验收不合格的，乙方应在</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日内按要求进行整改，使其达到本合同约定的合格标准。若逾期，乙方应按本合同约定承担逾期完工的违约责任。再次进行竣工验收而产生的所有费用由乙方承担。</w:t>
      </w:r>
    </w:p>
    <w:p>
      <w:pPr>
        <w:spacing w:line="500" w:lineRule="exact"/>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工程竣工验收合格以南宁市供电部门出具竣工验收工单为准。</w:t>
      </w:r>
    </w:p>
    <w:p>
      <w:pPr>
        <w:spacing w:line="500" w:lineRule="exact"/>
        <w:ind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w:t>
      </w:r>
      <w:r>
        <w:rPr>
          <w:rFonts w:hint="eastAsia" w:asciiTheme="minorEastAsia" w:hAnsiTheme="minorEastAsia" w:eastAsiaTheme="minorEastAsia"/>
          <w:b/>
          <w:szCs w:val="21"/>
          <w:lang w:val="en-US" w:eastAsia="zh-CN"/>
        </w:rPr>
        <w:t>十</w:t>
      </w:r>
      <w:r>
        <w:rPr>
          <w:rFonts w:hint="eastAsia" w:asciiTheme="minorEastAsia" w:hAnsiTheme="minorEastAsia" w:eastAsiaTheme="minorEastAsia"/>
          <w:b/>
          <w:szCs w:val="21"/>
        </w:rPr>
        <w:t>条  工程的移交</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asciiTheme="minorEastAsia" w:hAnsiTheme="minorEastAsia" w:eastAsiaTheme="minorEastAsia"/>
          <w:szCs w:val="21"/>
        </w:rPr>
        <w:t>.1</w:t>
      </w:r>
      <w:r>
        <w:rPr>
          <w:rFonts w:hint="eastAsia" w:asciiTheme="minorEastAsia" w:hAnsiTheme="minorEastAsia" w:eastAsiaTheme="minorEastAsia"/>
          <w:szCs w:val="21"/>
        </w:rPr>
        <w:t>甲乙双方应当在南宁市供电部门出具竣工验收工单后</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日内完成工程的移交。</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asciiTheme="minorEastAsia" w:hAnsiTheme="minorEastAsia" w:eastAsiaTheme="minorEastAsia"/>
          <w:szCs w:val="21"/>
        </w:rPr>
        <w:t>.2</w:t>
      </w:r>
      <w:r>
        <w:rPr>
          <w:rFonts w:hint="eastAsia" w:asciiTheme="minorEastAsia" w:hAnsiTheme="minorEastAsia" w:eastAsiaTheme="minorEastAsia"/>
          <w:szCs w:val="21"/>
        </w:rPr>
        <w:t>乙方无正当理由不移交工程的，应承担工程照管、成品保护、保管等与工程有关的各项费用，并按本合同约定承担逾期移交的违约责任。</w:t>
      </w:r>
    </w:p>
    <w:p>
      <w:pPr>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w:t>
      </w:r>
      <w:r>
        <w:rPr>
          <w:rFonts w:hint="eastAsia" w:asciiTheme="minorEastAsia" w:hAnsiTheme="minorEastAsia" w:eastAsiaTheme="minorEastAsia"/>
          <w:b/>
          <w:szCs w:val="21"/>
          <w:lang w:val="en-US" w:eastAsia="zh-CN"/>
        </w:rPr>
        <w:t>一</w:t>
      </w:r>
      <w:r>
        <w:rPr>
          <w:rFonts w:hint="eastAsia" w:asciiTheme="minorEastAsia" w:hAnsiTheme="minorEastAsia" w:eastAsiaTheme="minorEastAsia"/>
          <w:b/>
          <w:szCs w:val="21"/>
        </w:rPr>
        <w:t>条  工程竣工结算</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1</w:t>
      </w:r>
      <w:r>
        <w:rPr>
          <w:rFonts w:asciiTheme="minorEastAsia" w:hAnsiTheme="minorEastAsia" w:eastAsiaTheme="minorEastAsia"/>
          <w:szCs w:val="21"/>
        </w:rPr>
        <w:t>.1</w:t>
      </w:r>
      <w:r>
        <w:rPr>
          <w:rFonts w:hint="eastAsia" w:asciiTheme="minorEastAsia" w:hAnsiTheme="minorEastAsia" w:eastAsiaTheme="minorEastAsia"/>
          <w:szCs w:val="21"/>
        </w:rPr>
        <w:t>工程竣工验收合格之日起</w:t>
      </w:r>
      <w:r>
        <w:rPr>
          <w:rFonts w:asciiTheme="minorEastAsia" w:hAnsiTheme="minorEastAsia" w:eastAsiaTheme="minorEastAsia"/>
          <w:szCs w:val="21"/>
        </w:rPr>
        <w:t>7日</w:t>
      </w:r>
      <w:r>
        <w:rPr>
          <w:rFonts w:hint="eastAsia" w:asciiTheme="minorEastAsia" w:hAnsiTheme="minorEastAsia" w:eastAsiaTheme="minorEastAsia"/>
          <w:szCs w:val="21"/>
        </w:rPr>
        <w:t>内，双方办理工程竣工结算手续。乙方须在验收合格后30</w:t>
      </w:r>
      <w:r>
        <w:rPr>
          <w:rFonts w:asciiTheme="minorEastAsia" w:hAnsiTheme="minorEastAsia" w:eastAsiaTheme="minorEastAsia"/>
          <w:szCs w:val="21"/>
        </w:rPr>
        <w:t>日内将全套完整的工程竣工结算资料提交甲方，若乙方逾期提交的，应按本合同承担逾期提交竣工结算资料的违约责任。若逾期超</w:t>
      </w:r>
      <w:r>
        <w:rPr>
          <w:rFonts w:hint="eastAsia" w:asciiTheme="minorEastAsia" w:hAnsiTheme="minorEastAsia" w:eastAsiaTheme="minorEastAsia"/>
          <w:szCs w:val="21"/>
        </w:rPr>
        <w:t>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14</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日乙方仍未向甲方提交完整的竣工结算资料的，甲方将有权单方自行或委托有资质的工程造价咨询机构对工程造价进行核算，并以该核算结果作为与乙方结算工程价款的最终依据。</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1</w:t>
      </w:r>
      <w:r>
        <w:rPr>
          <w:rFonts w:asciiTheme="minorEastAsia" w:hAnsiTheme="minorEastAsia" w:eastAsiaTheme="minorEastAsia"/>
          <w:szCs w:val="21"/>
        </w:rPr>
        <w:t>.2</w:t>
      </w:r>
      <w:r>
        <w:rPr>
          <w:rFonts w:hint="eastAsia" w:asciiTheme="minorEastAsia" w:hAnsiTheme="minorEastAsia" w:eastAsiaTheme="minorEastAsia"/>
          <w:szCs w:val="21"/>
        </w:rPr>
        <w:t>若甲方在收到乙方完整的结算资料后15</w:t>
      </w:r>
      <w:r>
        <w:rPr>
          <w:rFonts w:asciiTheme="minorEastAsia" w:hAnsiTheme="minorEastAsia" w:eastAsiaTheme="minorEastAsia"/>
          <w:szCs w:val="21"/>
        </w:rPr>
        <w:t>日内未给出审定意见的，视为认可乙方的结算结果。</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1</w:t>
      </w:r>
      <w:r>
        <w:rPr>
          <w:rFonts w:asciiTheme="minorEastAsia" w:hAnsiTheme="minorEastAsia" w:eastAsiaTheme="minorEastAsia"/>
          <w:szCs w:val="21"/>
        </w:rPr>
        <w:t>.3</w:t>
      </w:r>
      <w:r>
        <w:rPr>
          <w:rFonts w:hint="eastAsia" w:asciiTheme="minorEastAsia" w:hAnsiTheme="minorEastAsia" w:eastAsiaTheme="minorEastAsia"/>
          <w:szCs w:val="21"/>
        </w:rPr>
        <w:t>乙方承诺，不因其与甲方的纠纷而拒绝配合结算、拒绝验收或拒绝向甲方移交本工程，否则应按本合同约定承担违约责任。</w:t>
      </w:r>
    </w:p>
    <w:p>
      <w:pPr>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w:t>
      </w:r>
      <w:r>
        <w:rPr>
          <w:rFonts w:hint="eastAsia" w:asciiTheme="minorEastAsia" w:hAnsiTheme="minorEastAsia" w:eastAsiaTheme="minorEastAsia"/>
          <w:b/>
          <w:szCs w:val="21"/>
          <w:lang w:val="en-US" w:eastAsia="zh-CN"/>
        </w:rPr>
        <w:t>二</w:t>
      </w:r>
      <w:r>
        <w:rPr>
          <w:rFonts w:hint="eastAsia" w:asciiTheme="minorEastAsia" w:hAnsiTheme="minorEastAsia" w:eastAsiaTheme="minorEastAsia"/>
          <w:b/>
          <w:szCs w:val="21"/>
        </w:rPr>
        <w:t>条  甲乙双方的权利、义务</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 xml:space="preserve">.1 </w:t>
      </w:r>
      <w:r>
        <w:rPr>
          <w:rFonts w:hint="eastAsia" w:asciiTheme="minorEastAsia" w:hAnsiTheme="minorEastAsia" w:eastAsiaTheme="minorEastAsia"/>
          <w:szCs w:val="21"/>
        </w:rPr>
        <w:t>甲方的权利、义务</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.1.1有权对乙方的施工进行协调、监督，并有权提出相关整改意见或建议。</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.1.2开工前</w:t>
      </w:r>
      <w:r>
        <w:rPr>
          <w:rFonts w:hint="eastAsia" w:asciiTheme="minorEastAsia" w:hAnsiTheme="minorEastAsia" w:eastAsiaTheme="minorEastAsia"/>
          <w:szCs w:val="21"/>
        </w:rPr>
        <w:t>三</w:t>
      </w:r>
      <w:r>
        <w:rPr>
          <w:rFonts w:asciiTheme="minorEastAsia" w:hAnsiTheme="minorEastAsia" w:eastAsiaTheme="minorEastAsia"/>
          <w:szCs w:val="21"/>
        </w:rPr>
        <w:t>日将施工所需的水、电线路接至施工场地。</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.1.3委托南宁中宁建设监理服务有限责任公司负责整个施工阶段监理，职权按监理委托合同约定的内容执行，监理方指派</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（身份证号码：</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）为本工程的监理工程师。</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.1.4 按合同的约定支付合同价款。</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.1.5在必要时有权委托第三方对乙方所完成的工程进行检测，检测费用由责任方承担。</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.1.6甲方项目负责人：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（身份证号码：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），其权限为：负责本工程实施中的协调工作及往来文件签收。如甲方项目负责人发生变动的，须在两日内书面通知乙方。</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.2乙方</w:t>
      </w:r>
      <w:r>
        <w:rPr>
          <w:rFonts w:hint="eastAsia" w:asciiTheme="minorEastAsia" w:hAnsiTheme="minorEastAsia" w:eastAsiaTheme="minorEastAsia"/>
          <w:szCs w:val="21"/>
        </w:rPr>
        <w:t>的权利、义务</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 xml:space="preserve">.2.1 </w:t>
      </w:r>
      <w:r>
        <w:rPr>
          <w:rFonts w:hint="eastAsia" w:asciiTheme="minorEastAsia" w:hAnsiTheme="minorEastAsia" w:eastAsiaTheme="minorEastAsia"/>
          <w:szCs w:val="21"/>
        </w:rPr>
        <w:t>负责编制施工组织设计与施工方案，开工前</w:t>
      </w:r>
      <w:r>
        <w:rPr>
          <w:rFonts w:asciiTheme="minorEastAsia" w:hAnsiTheme="minorEastAsia" w:eastAsiaTheme="minorEastAsia"/>
          <w:szCs w:val="21"/>
        </w:rPr>
        <w:t>3日向甲方提供报表及施工进度计划、材料进场计划壹份。</w:t>
      </w:r>
      <w:r>
        <w:rPr>
          <w:rFonts w:hint="eastAsia" w:asciiTheme="minorEastAsia" w:hAnsiTheme="minorEastAsia" w:eastAsiaTheme="minorEastAsia"/>
          <w:szCs w:val="21"/>
        </w:rPr>
        <w:t>乙方应无条件接受甲方对施工工序及施工进度计划的调整，调整完毕后送交监理方、甲方各壹份。乙方及时向甲方提供年、季、月度工程进度计划及相应进度统计报表，并严格按照甲方审定的进度计划安排施工，保证节点及总体工期。</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.2.2</w:t>
      </w:r>
      <w:r>
        <w:rPr>
          <w:rFonts w:hint="eastAsia" w:asciiTheme="minorEastAsia" w:hAnsiTheme="minorEastAsia" w:eastAsiaTheme="minorEastAsia"/>
          <w:szCs w:val="21"/>
        </w:rPr>
        <w:t>负责按照甲方审定的进度计划中所确定的时间办理本工程施工涉及的相关报批报建手续。</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.2.3按照</w:t>
      </w:r>
      <w:r>
        <w:rPr>
          <w:rFonts w:hint="eastAsia" w:asciiTheme="minorEastAsia" w:hAnsiTheme="minorEastAsia" w:eastAsiaTheme="minorEastAsia"/>
          <w:szCs w:val="21"/>
        </w:rPr>
        <w:t>甲方审定的进度计划，及经过南宁市供电部门审批的施工图进行相关内容的施工，包括：</w:t>
      </w:r>
    </w:p>
    <w:p>
      <w:pPr>
        <w:tabs>
          <w:tab w:val="left" w:pos="960"/>
        </w:tabs>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①高压外电线路施工（架空线路或埋地线路）及相关土建施工，并及时恢复临时占用的市政道路及其他设施。</w:t>
      </w:r>
    </w:p>
    <w:p>
      <w:pPr>
        <w:tabs>
          <w:tab w:val="left" w:pos="960"/>
        </w:tabs>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②高低压配电设备、配电柜、变压器安装，及相关附属设施的安装并连接。</w:t>
      </w:r>
    </w:p>
    <w:p>
      <w:pPr>
        <w:tabs>
          <w:tab w:val="left" w:pos="960"/>
        </w:tabs>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③配电房及相关土建施工（设备基础、电缆沟等）。</w:t>
      </w:r>
    </w:p>
    <w:p>
      <w:pPr>
        <w:tabs>
          <w:tab w:val="left" w:pos="960"/>
        </w:tabs>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④高、低压电缆敷设工作。</w:t>
      </w:r>
    </w:p>
    <w:p>
      <w:pPr>
        <w:tabs>
          <w:tab w:val="left" w:pos="960"/>
        </w:tabs>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⑤系统调试并出具实验报告。</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.2.4</w:t>
      </w:r>
      <w:r>
        <w:rPr>
          <w:rFonts w:hint="eastAsia" w:asciiTheme="minorEastAsia" w:hAnsiTheme="minorEastAsia" w:eastAsiaTheme="minorEastAsia"/>
          <w:szCs w:val="21"/>
        </w:rPr>
        <w:t>按施工图纸、施工说明、图纸交底会审纪要、设计修改（或变更）通知单和国家现行《施工及技术验收规范》做好施工及自检工作。施工过程中，遇到图纸错误，或设计不合理之处应及时向甲方反映，经甲乙双方共同研究合理方案，并报南宁市供电部门审批后予以纠正。</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.2.5 在施工过程中接受甲方、监理方的监督管理，遵守工地各项管理制度，负责制定文明施工、安全责任制度等管理制度并贯彻执行。</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.2.6 在施工过程中遵守国家、地方及有关部门和工程总包方对施工现场的规定，妥善保护好施工现场周围建筑物、设备管线等不受损坏。</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.2.7 做好施工记录、隐蔽工程记录，汇编施工技术资料、制作竣工文件并经有关部门验收后移交甲方。</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.2.8 在施工过程中乙方不得扰民及污染环境，且须与其它施工方协同工作。</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.2.9 乙方提供的施工材料中如涉及设备材料的，乙方应保证在该设备的产品质量保证期内有充足备品，不能因该设备的停产而影响工程的正常使用。</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.2.10 负责对乙方施工人员进行管理，自费购买与施工相关的保险（含为在本工程中的施工人员办理人身保险），若在施工过程中出现人身、财产损害之情形的，概由乙方负责赔偿。</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.2.11 按工程需要提供施工照明、看守、维护和保卫等，遵守总包方安全文明管理要求。</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.2.12 工程施工过程中产生的垃圾由乙方负责运出施工现场或运至指定地点，相关费用由乙方自行承担</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.2.13</w:t>
      </w:r>
      <w:r>
        <w:rPr>
          <w:rFonts w:hint="eastAsia" w:asciiTheme="minorEastAsia" w:hAnsiTheme="minorEastAsia" w:eastAsiaTheme="minorEastAsia"/>
          <w:szCs w:val="21"/>
        </w:rPr>
        <w:t xml:space="preserve"> </w:t>
      </w:r>
      <w:r>
        <w:rPr>
          <w:rFonts w:asciiTheme="minorEastAsia" w:hAnsiTheme="minorEastAsia" w:eastAsiaTheme="minorEastAsia"/>
          <w:szCs w:val="21"/>
        </w:rPr>
        <w:t>工程竣工验收合格未交甲方接收之前，乙方负责保护。若在乙方保护期间发生损坏的，乙方负责出资修复并保证在甲方提出之日起3日内修复完毕，否则应按合同约定承担工期延误的违约责任；由于乙方或者其他施工方后期施工造成损坏的，费用由责任方承担。</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.2.14</w:t>
      </w:r>
      <w:r>
        <w:rPr>
          <w:rFonts w:hint="eastAsia" w:asciiTheme="minorEastAsia" w:hAnsiTheme="minorEastAsia" w:eastAsiaTheme="minorEastAsia"/>
          <w:szCs w:val="21"/>
        </w:rPr>
        <w:t xml:space="preserve"> 在完成本合同约定的所有项目并自检通过后</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日内向供电部门进行工程报验并最终通过南宁市供电部门工程验收，取得竣工验收工单，具备接火条件，由此产生的费用由乙方承担。</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.2.15 在南宁市供电部门出具竣工验收工单</w:t>
      </w:r>
      <w:r>
        <w:rPr>
          <w:rFonts w:hint="eastAsia" w:asciiTheme="minorEastAsia" w:hAnsiTheme="minorEastAsia" w:eastAsiaTheme="minorEastAsia"/>
          <w:szCs w:val="21"/>
        </w:rPr>
        <w:t>后</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日内，协调供电部门完成计量配表工作。</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.2.16</w:t>
      </w:r>
      <w:r>
        <w:rPr>
          <w:rFonts w:hint="eastAsia" w:asciiTheme="minorEastAsia" w:hAnsiTheme="minorEastAsia" w:eastAsiaTheme="minorEastAsia"/>
          <w:szCs w:val="21"/>
        </w:rPr>
        <w:t>在南宁市供电部门出具竣工验收工单后</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日内，配合甲方协调南宁市供电部门完成供配电合同签订工作。</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.2.17</w:t>
      </w:r>
      <w:r>
        <w:rPr>
          <w:rFonts w:hint="eastAsia" w:asciiTheme="minorEastAsia" w:hAnsiTheme="minorEastAsia" w:eastAsiaTheme="minorEastAsia"/>
          <w:szCs w:val="21"/>
        </w:rPr>
        <w:t>在南宁市供电部门出具竣工验收工单后</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日内，协调南宁市供电部门完成高压接火通电工作。</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 xml:space="preserve">.2.18 </w:t>
      </w:r>
      <w:r>
        <w:rPr>
          <w:rFonts w:hint="eastAsia" w:asciiTheme="minorEastAsia" w:hAnsiTheme="minorEastAsia" w:eastAsiaTheme="minorEastAsia"/>
          <w:szCs w:val="21"/>
        </w:rPr>
        <w:t>在工程质量保修期内，对于乙方材料或施工原因造成的工程质量问题，乙方负责返修，返修费用由乙方承担。</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 xml:space="preserve">.2.19 </w:t>
      </w:r>
      <w:r>
        <w:rPr>
          <w:rFonts w:hint="eastAsia" w:asciiTheme="minorEastAsia" w:hAnsiTheme="minorEastAsia" w:eastAsiaTheme="minorEastAsia"/>
          <w:szCs w:val="21"/>
        </w:rPr>
        <w:t>乙方项目负责人：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（身份证号码：</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），其权限为：负责工程的总体把控，及与甲方的所有业务往来及文件签收。</w:t>
      </w:r>
    </w:p>
    <w:p>
      <w:pPr>
        <w:tabs>
          <w:tab w:val="left" w:pos="960"/>
        </w:tabs>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.2.20乙方现场代表：</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（身份证号码：</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），其权限为：负责现场签证，及对因设计变更等原因而导致的合同价款调整进行审核、确认。</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.2.2</w:t>
      </w:r>
      <w:r>
        <w:rPr>
          <w:rFonts w:hint="eastAsia" w:asciiTheme="minorEastAsia" w:hAnsiTheme="minorEastAsia" w:eastAsiaTheme="minorEastAsia"/>
          <w:szCs w:val="21"/>
        </w:rPr>
        <w:t>1</w:t>
      </w:r>
      <w:r>
        <w:rPr>
          <w:rFonts w:asciiTheme="minorEastAsia" w:hAnsiTheme="minorEastAsia" w:eastAsiaTheme="minorEastAsia"/>
          <w:szCs w:val="21"/>
        </w:rPr>
        <w:t>如乙方因工作需要更换项目负责人、项目技术负责人、现场代表或专职安全生产管理人员的，须提</w:t>
      </w:r>
      <w:r>
        <w:rPr>
          <w:rFonts w:hint="eastAsia" w:asciiTheme="minorEastAsia" w:hAnsiTheme="minorEastAsia" w:eastAsiaTheme="minorEastAsia"/>
          <w:szCs w:val="21"/>
        </w:rPr>
        <w:t>前</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日书面通知甲方，否则应按本合同约定承担违约责任。</w:t>
      </w:r>
    </w:p>
    <w:p>
      <w:pPr>
        <w:tabs>
          <w:tab w:val="left" w:pos="960"/>
        </w:tabs>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w:t>
      </w:r>
      <w:r>
        <w:rPr>
          <w:rFonts w:hint="eastAsia" w:asciiTheme="minorEastAsia" w:hAnsiTheme="minorEastAsia" w:eastAsiaTheme="minorEastAsia"/>
          <w:b/>
          <w:szCs w:val="21"/>
          <w:lang w:val="en-US" w:eastAsia="zh-CN"/>
        </w:rPr>
        <w:t>三</w:t>
      </w:r>
      <w:r>
        <w:rPr>
          <w:rFonts w:hint="eastAsia" w:asciiTheme="minorEastAsia" w:hAnsiTheme="minorEastAsia" w:eastAsiaTheme="minorEastAsia"/>
          <w:b/>
          <w:szCs w:val="21"/>
        </w:rPr>
        <w:t>条  违约责任</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.1</w:t>
      </w:r>
      <w:r>
        <w:rPr>
          <w:rFonts w:hint="eastAsia" w:asciiTheme="minorEastAsia" w:hAnsiTheme="minorEastAsia" w:eastAsiaTheme="minorEastAsia"/>
          <w:szCs w:val="21"/>
        </w:rPr>
        <w:t>甲方如不能按本合同约定时限按时支付合同价款的，每逾期一日，甲方按拖欠款项的万分之五向乙方支付违约金。除此之外，因甲方其他原因造成本合同工程无法顺利施工的，工期相应顺延，甲方无需承担任何违约或赔偿责任。</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.2</w:t>
      </w:r>
      <w:r>
        <w:rPr>
          <w:rFonts w:hint="eastAsia" w:asciiTheme="minorEastAsia" w:hAnsiTheme="minorEastAsia" w:eastAsiaTheme="minorEastAsia"/>
          <w:szCs w:val="21"/>
        </w:rPr>
        <w:t>如乙方有下列情形之一的，每逾期一日，乙方应按本合同约定的合同总价款的</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向甲方支付违约金；如逾期超过</w:t>
      </w:r>
      <w:r>
        <w:rPr>
          <w:rFonts w:hint="eastAsia" w:asciiTheme="minorEastAsia" w:hAnsiTheme="minorEastAsia" w:eastAsiaTheme="minorEastAsia"/>
          <w:szCs w:val="21"/>
          <w:lang w:val="en-US" w:eastAsia="zh-CN"/>
        </w:rPr>
        <w:t>60</w:t>
      </w:r>
      <w:r>
        <w:rPr>
          <w:rFonts w:hint="eastAsia" w:asciiTheme="minorEastAsia" w:hAnsiTheme="minorEastAsia" w:eastAsiaTheme="minorEastAsia"/>
          <w:szCs w:val="21"/>
        </w:rPr>
        <w:t>日仍不能如期履行该义务的，则甲方有权解除本合同，并按本合同约定追究甲方行使合同解除权时乙方应承担的违约责任：</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.2.1</w:t>
      </w:r>
      <w:r>
        <w:rPr>
          <w:rFonts w:hint="eastAsia" w:asciiTheme="minorEastAsia" w:hAnsiTheme="minorEastAsia" w:eastAsiaTheme="minorEastAsia"/>
          <w:szCs w:val="21"/>
        </w:rPr>
        <w:t>未能按甲方及监理单位要求的时限进场施工的；</w:t>
      </w:r>
    </w:p>
    <w:p>
      <w:pPr>
        <w:spacing w:line="500" w:lineRule="exact"/>
        <w:ind w:left="0" w:leftChars="0" w:firstLine="420" w:firstLineChars="200"/>
        <w:rPr>
          <w:rFonts w:hint="eastAsia" w:asciiTheme="minorEastAsia" w:hAnsiTheme="minorEastAsia" w:eastAsiaTheme="minorEastAsia"/>
          <w:szCs w:val="21"/>
          <w:lang w:eastAsia="zh-CN"/>
        </w:rPr>
      </w:pPr>
      <w:r>
        <w:rPr>
          <w:rFonts w:asciiTheme="minorEastAsia" w:hAnsiTheme="minorEastAsia" w:eastAsiaTheme="minorEastAsia"/>
          <w:szCs w:val="21"/>
        </w:rPr>
        <w:t>12.2.2</w:t>
      </w:r>
      <w:r>
        <w:rPr>
          <w:rFonts w:hint="eastAsia" w:asciiTheme="minorEastAsia" w:hAnsiTheme="minorEastAsia" w:eastAsiaTheme="minorEastAsia"/>
          <w:szCs w:val="21"/>
        </w:rPr>
        <w:t>未能如期竣工的；未能按照其提供的施工进度计划表的时间完成形象进度，</w:t>
      </w:r>
      <w:r>
        <w:rPr>
          <w:rFonts w:hint="eastAsia" w:asciiTheme="minorEastAsia" w:hAnsiTheme="minorEastAsia" w:eastAsiaTheme="minorEastAsia"/>
          <w:szCs w:val="21"/>
          <w:lang w:val="en-US" w:eastAsia="zh-CN"/>
        </w:rPr>
        <w:t>非甲方原因</w:t>
      </w:r>
      <w:r>
        <w:rPr>
          <w:rFonts w:hint="eastAsia" w:asciiTheme="minorEastAsia" w:hAnsiTheme="minorEastAsia" w:eastAsiaTheme="minorEastAsia"/>
          <w:szCs w:val="21"/>
        </w:rPr>
        <w:t>逾期总天数达到要求工期</w:t>
      </w:r>
      <w:r>
        <w:rPr>
          <w:rFonts w:hint="eastAsia" w:asciiTheme="minorEastAsia" w:hAnsiTheme="minorEastAsia" w:eastAsiaTheme="minorEastAsia"/>
          <w:szCs w:val="21"/>
          <w:lang w:eastAsia="zh-CN"/>
        </w:rPr>
        <w:t>2</w:t>
      </w:r>
      <w:r>
        <w:rPr>
          <w:rFonts w:hint="eastAsia" w:asciiTheme="minorEastAsia" w:hAnsiTheme="minorEastAsia" w:eastAsiaTheme="minorEastAsia"/>
          <w:szCs w:val="21"/>
          <w:lang w:val="en-US" w:eastAsia="zh-CN"/>
        </w:rPr>
        <w:t>0</w:t>
      </w:r>
      <w:r>
        <w:rPr>
          <w:rFonts w:hint="eastAsia" w:asciiTheme="minorEastAsia" w:hAnsiTheme="minorEastAsia" w:eastAsiaTheme="minorEastAsia"/>
          <w:szCs w:val="21"/>
        </w:rPr>
        <w:t>%的</w:t>
      </w:r>
      <w:r>
        <w:rPr>
          <w:rFonts w:hint="eastAsia" w:asciiTheme="minorEastAsia" w:hAnsiTheme="minorEastAsia" w:eastAsiaTheme="minorEastAsia"/>
          <w:szCs w:val="21"/>
          <w:lang w:eastAsia="zh-CN"/>
        </w:rPr>
        <w:t>；</w:t>
      </w:r>
    </w:p>
    <w:p>
      <w:pPr>
        <w:spacing w:line="500" w:lineRule="exact"/>
        <w:ind w:left="0" w:leftChars="0" w:firstLine="420" w:firstLineChars="200"/>
        <w:rPr>
          <w:rFonts w:hint="eastAsia" w:cs="Times New Roman" w:asciiTheme="minorEastAsia" w:hAnsiTheme="minorEastAsia" w:eastAsiaTheme="minorEastAsia"/>
          <w:szCs w:val="21"/>
          <w:lang w:eastAsia="zh-CN"/>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.2.3</w:t>
      </w:r>
      <w:r>
        <w:rPr>
          <w:rFonts w:hint="eastAsia" w:cs="Times New Roman" w:asciiTheme="minorEastAsia" w:hAnsiTheme="minorEastAsia" w:eastAsiaTheme="minorEastAsia"/>
          <w:szCs w:val="21"/>
          <w:lang w:eastAsia="zh-CN"/>
        </w:rPr>
        <w:t>未经甲方或监理人书面批准，乙方私自将已按投标文件承诺进入现场的施工设备、材料等撤出项目工地，或拆除临时工程的；</w:t>
      </w:r>
    </w:p>
    <w:p>
      <w:pPr>
        <w:spacing w:line="500" w:lineRule="exact"/>
        <w:ind w:left="0" w:leftChars="0" w:firstLine="420" w:firstLineChars="200"/>
        <w:rPr>
          <w:rFonts w:hint="eastAsia" w:cs="Times New Roman" w:asciiTheme="minorEastAsia" w:hAnsiTheme="minorEastAsia" w:eastAsiaTheme="minorEastAsia"/>
          <w:szCs w:val="21"/>
          <w:lang w:eastAsia="zh-CN"/>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.2.4</w:t>
      </w:r>
      <w:r>
        <w:rPr>
          <w:rFonts w:hint="eastAsia" w:cs="Times New Roman" w:asciiTheme="minorEastAsia" w:hAnsiTheme="minorEastAsia" w:eastAsiaTheme="minorEastAsia"/>
          <w:szCs w:val="21"/>
          <w:lang w:eastAsia="zh-CN"/>
        </w:rPr>
        <w:t>甲方对施工过程中存在的安全隐患提出整改意见，但乙方拒不整改的；</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13.2.5</w:t>
      </w:r>
      <w:r>
        <w:rPr>
          <w:rFonts w:hint="eastAsia" w:asciiTheme="minorEastAsia" w:hAnsiTheme="minorEastAsia" w:eastAsiaTheme="minorEastAsia"/>
          <w:szCs w:val="21"/>
        </w:rPr>
        <w:t>未能如期向甲方移交工程的；</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13.2.6</w:t>
      </w:r>
      <w:r>
        <w:rPr>
          <w:rFonts w:hint="eastAsia" w:asciiTheme="minorEastAsia" w:hAnsiTheme="minorEastAsia" w:eastAsiaTheme="minorEastAsia"/>
          <w:szCs w:val="21"/>
        </w:rPr>
        <w:t>未能如期提供竣工验收资料、竣工结算资料的。</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.3  如工程质量达不到合同约定合格标准，</w:t>
      </w:r>
      <w:r>
        <w:rPr>
          <w:rFonts w:hint="eastAsia" w:asciiTheme="minorEastAsia" w:hAnsiTheme="minorEastAsia" w:eastAsiaTheme="minorEastAsia"/>
          <w:szCs w:val="21"/>
        </w:rPr>
        <w:t>未能通过南宁市供电部门竣工验收的，则乙方应向甲方支付合同总价款</w:t>
      </w:r>
      <w:r>
        <w:rPr>
          <w:rFonts w:hint="eastAsia" w:asciiTheme="minorEastAsia" w:hAnsiTheme="minorEastAsia" w:eastAsiaTheme="minorEastAsia"/>
          <w:szCs w:val="21"/>
          <w:u w:val="single"/>
        </w:rPr>
        <w:t xml:space="preserve">  30 </w:t>
      </w:r>
      <w:r>
        <w:rPr>
          <w:rFonts w:hint="eastAsia" w:asciiTheme="minorEastAsia" w:hAnsiTheme="minorEastAsia" w:eastAsiaTheme="minorEastAsia"/>
          <w:szCs w:val="21"/>
        </w:rPr>
        <w:t>%</w:t>
      </w:r>
      <w:r>
        <w:rPr>
          <w:rFonts w:asciiTheme="minorEastAsia" w:hAnsiTheme="minorEastAsia" w:eastAsiaTheme="minorEastAsia"/>
          <w:szCs w:val="21"/>
        </w:rPr>
        <w:t>的违约金，并负责返工直至符合合同约定的标准；若因此造成工期延误的，乙方除应按本合同约定向甲方承担工期延误的违约责任外，同时还应赔偿给其他施工单位造成的损失。</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 xml:space="preserve">.4 </w:t>
      </w:r>
      <w:r>
        <w:rPr>
          <w:rFonts w:hint="eastAsia" w:asciiTheme="minorEastAsia" w:hAnsiTheme="minorEastAsia" w:eastAsiaTheme="minorEastAsia"/>
          <w:szCs w:val="21"/>
        </w:rPr>
        <w:t>如工程通过竣工验收后，乙方未能按合同约定时间协调供电部门完成计量配表、供配电合同签订、高压接火通电工作的，每逾期一日，乙方应按本合同约定的合同总价款的万分之五向甲方支付违约金，并赔偿甲方及最终用户的损失。</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 xml:space="preserve">.5 </w:t>
      </w:r>
      <w:r>
        <w:rPr>
          <w:rFonts w:hint="eastAsia" w:asciiTheme="minorEastAsia" w:hAnsiTheme="minorEastAsia" w:eastAsiaTheme="minorEastAsia"/>
          <w:szCs w:val="21"/>
        </w:rPr>
        <w:t>如在工程质量保修期内工程出现质量隐患或缺陷，或发生工程质量事故的，则由乙方承担返工、维修、赔偿甲方及最终用户的损失等违约责任。</w:t>
      </w:r>
    </w:p>
    <w:p>
      <w:pPr>
        <w:pStyle w:val="22"/>
        <w:tabs>
          <w:tab w:val="left" w:pos="112"/>
        </w:tabs>
        <w:snapToGrid w:val="0"/>
        <w:spacing w:line="500" w:lineRule="exact"/>
        <w:ind w:left="0" w:leftChars="0" w:firstLine="420" w:firstLineChars="200"/>
        <w:jc w:val="both"/>
        <w:textAlignment w:val="auto"/>
        <w:rPr>
          <w:rFonts w:cs="Times New Roman" w:asciiTheme="minorEastAsia" w:hAnsiTheme="minorEastAsia" w:eastAsiaTheme="minorEastAsia"/>
          <w:b w:val="0"/>
          <w:kern w:val="2"/>
          <w:position w:val="0"/>
          <w:sz w:val="21"/>
          <w:szCs w:val="21"/>
        </w:rPr>
      </w:pPr>
      <w:r>
        <w:rPr>
          <w:rFonts w:hint="eastAsia" w:cs="Times New Roman" w:asciiTheme="minorEastAsia" w:hAnsiTheme="minorEastAsia" w:eastAsiaTheme="minorEastAsia"/>
          <w:b w:val="0"/>
          <w:kern w:val="2"/>
          <w:position w:val="0"/>
          <w:sz w:val="21"/>
          <w:szCs w:val="21"/>
        </w:rPr>
        <w:t>1</w:t>
      </w:r>
      <w:r>
        <w:rPr>
          <w:rFonts w:hint="eastAsia" w:cs="Times New Roman" w:asciiTheme="minorEastAsia" w:hAnsiTheme="minorEastAsia" w:eastAsiaTheme="minorEastAsia"/>
          <w:b w:val="0"/>
          <w:kern w:val="2"/>
          <w:position w:val="0"/>
          <w:sz w:val="21"/>
          <w:szCs w:val="21"/>
          <w:lang w:val="en-US" w:eastAsia="zh-CN"/>
        </w:rPr>
        <w:t>3</w:t>
      </w:r>
      <w:r>
        <w:rPr>
          <w:rFonts w:cs="Times New Roman" w:asciiTheme="minorEastAsia" w:hAnsiTheme="minorEastAsia" w:eastAsiaTheme="minorEastAsia"/>
          <w:b w:val="0"/>
          <w:kern w:val="2"/>
          <w:position w:val="0"/>
          <w:sz w:val="21"/>
          <w:szCs w:val="21"/>
        </w:rPr>
        <w:t>.6</w:t>
      </w:r>
      <w:r>
        <w:rPr>
          <w:rFonts w:hint="eastAsia" w:cs="Times New Roman" w:asciiTheme="minorEastAsia" w:hAnsiTheme="minorEastAsia" w:eastAsiaTheme="minorEastAsia"/>
          <w:b w:val="0"/>
          <w:kern w:val="2"/>
          <w:position w:val="0"/>
          <w:sz w:val="21"/>
          <w:szCs w:val="21"/>
        </w:rPr>
        <w:t>在工程质量保修期内如工程出现严重质量问题无法使用的，由乙方负责在甲方指定的期限内更换工程设备或予以修复，否则每逾期一日乙方向甲方支付元</w:t>
      </w:r>
      <w:r>
        <w:rPr>
          <w:rFonts w:cs="Times New Roman" w:asciiTheme="minorEastAsia" w:hAnsiTheme="minorEastAsia" w:eastAsiaTheme="minorEastAsia"/>
          <w:b w:val="0"/>
          <w:kern w:val="2"/>
          <w:position w:val="0"/>
          <w:sz w:val="21"/>
          <w:szCs w:val="21"/>
        </w:rPr>
        <w:t>/日的违约金。若乙方逾期更换</w:t>
      </w:r>
      <w:r>
        <w:rPr>
          <w:rFonts w:hint="eastAsia" w:cs="Times New Roman" w:asciiTheme="minorEastAsia" w:hAnsiTheme="minorEastAsia" w:eastAsiaTheme="minorEastAsia"/>
          <w:b w:val="0"/>
          <w:kern w:val="2"/>
          <w:position w:val="0"/>
          <w:sz w:val="21"/>
          <w:szCs w:val="21"/>
        </w:rPr>
        <w:t>、修复超过日，或更换、修复累计超过次仍无法满足合同要求的，甲方有权解除本合同，并按本合同约定追究甲方行使合同解除权时乙方应承担的违约责任。</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w:t>
      </w:r>
      <w:r>
        <w:rPr>
          <w:rFonts w:asciiTheme="minorEastAsia" w:hAnsiTheme="minorEastAsia" w:eastAsiaTheme="minorEastAsia"/>
          <w:szCs w:val="21"/>
        </w:rPr>
        <w:t>7 如乙方未经甲方书面同意擅自更换项目负责人、项目技术负责人、现场代表或专职安全生产管理人员的，应按</w:t>
      </w:r>
      <w:r>
        <w:rPr>
          <w:rFonts w:hint="eastAsia" w:asciiTheme="minorEastAsia" w:hAnsiTheme="minorEastAsia" w:eastAsiaTheme="minorEastAsia"/>
          <w:szCs w:val="21"/>
          <w:u w:val="single"/>
        </w:rPr>
        <w:t xml:space="preserve">  2000.00  </w:t>
      </w:r>
      <w:r>
        <w:rPr>
          <w:rFonts w:hint="eastAsia" w:asciiTheme="minorEastAsia" w:hAnsiTheme="minorEastAsia" w:eastAsiaTheme="minorEastAsia"/>
          <w:szCs w:val="21"/>
        </w:rPr>
        <w:t>元</w:t>
      </w:r>
      <w:r>
        <w:rPr>
          <w:rFonts w:hint="eastAsia" w:cs="宋体" w:asciiTheme="minorEastAsia" w:hAnsiTheme="minorEastAsia" w:eastAsiaTheme="minorEastAsia"/>
          <w:szCs w:val="21"/>
        </w:rPr>
        <w:t>∕</w:t>
      </w:r>
      <w:r>
        <w:rPr>
          <w:rFonts w:hint="eastAsia" w:asciiTheme="minorEastAsia" w:hAnsiTheme="minorEastAsia" w:eastAsiaTheme="minorEastAsia"/>
          <w:szCs w:val="21"/>
        </w:rPr>
        <w:t>人次的标准向甲方支付违约金。</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w:t>
      </w:r>
      <w:r>
        <w:rPr>
          <w:rFonts w:hint="eastAsia" w:asciiTheme="minorEastAsia" w:hAnsiTheme="minorEastAsia" w:eastAsiaTheme="minorEastAsia"/>
          <w:szCs w:val="21"/>
        </w:rPr>
        <w:t>8乙方应亲自完成本合同约定的全部工作内容，未经甲方书面同意，不允许转包、分包、联营或进行任何形式的挂靠承包，否则甲方有权解除本合同，并按本合同约定追究甲方行使合同解除权时乙方应承担的违约责任。</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w:t>
      </w:r>
      <w:r>
        <w:rPr>
          <w:rFonts w:hint="eastAsia" w:asciiTheme="minorEastAsia" w:hAnsiTheme="minorEastAsia" w:eastAsiaTheme="minorEastAsia"/>
          <w:szCs w:val="21"/>
        </w:rPr>
        <w:t xml:space="preserve">9 </w:t>
      </w:r>
      <w:r>
        <w:rPr>
          <w:rFonts w:asciiTheme="minorEastAsia" w:hAnsiTheme="minorEastAsia" w:eastAsiaTheme="minorEastAsia"/>
          <w:szCs w:val="21"/>
        </w:rPr>
        <w:t>甲乙双方中的任何一方均应对合同签订及履行过程中所知悉的对方的信息、知识产权、商业秘密等进行保密，未经对方书面同意，不得将对方的信息、资料及文件擅自修改或向第三方披露、转让，亦不得用于本合同项目外的项目。如发生以上情况的，违约方应承担由此引起的一切法律与经济赔偿责任。</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.1</w:t>
      </w:r>
      <w:r>
        <w:rPr>
          <w:rFonts w:hint="eastAsia" w:asciiTheme="minorEastAsia" w:hAnsiTheme="minorEastAsia" w:eastAsiaTheme="minorEastAsia"/>
          <w:szCs w:val="21"/>
        </w:rPr>
        <w:t>0除本合同的具体条款另有约定外，若本合同签订后因乙方违约导致甲方行使合同解除权的，乙方应同时承担如下违约责任：</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.10.1乙方除应自收到甲方解除合同通知之日</w:t>
      </w:r>
      <w:r>
        <w:rPr>
          <w:rFonts w:hint="eastAsia" w:asciiTheme="minorEastAsia" w:hAnsiTheme="minorEastAsia" w:eastAsiaTheme="minorEastAsia"/>
          <w:szCs w:val="21"/>
        </w:rPr>
        <w:t>起</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日内退还甲方已经支付的款项及利息（利息按全国银行间同业拆借中心公布的贷款市场报价利率的</w:t>
      </w:r>
      <w:r>
        <w:rPr>
          <w:rFonts w:hint="eastAsia" w:asciiTheme="minorEastAsia" w:hAnsiTheme="minorEastAsia" w:eastAsiaTheme="minorEastAsia"/>
          <w:szCs w:val="21"/>
          <w:u w:val="single"/>
        </w:rPr>
        <w:t xml:space="preserve">  2  </w:t>
      </w:r>
      <w:r>
        <w:rPr>
          <w:rFonts w:hint="eastAsia" w:asciiTheme="minorEastAsia" w:hAnsiTheme="minorEastAsia" w:eastAsiaTheme="minorEastAsia"/>
          <w:szCs w:val="21"/>
        </w:rPr>
        <w:t>倍计算）、按合同总价款的</w:t>
      </w:r>
      <w:r>
        <w:rPr>
          <w:rFonts w:hint="eastAsia" w:asciiTheme="minorEastAsia" w:hAnsiTheme="minorEastAsia" w:eastAsiaTheme="minorEastAsia"/>
          <w:szCs w:val="21"/>
          <w:u w:val="single"/>
        </w:rPr>
        <w:t xml:space="preserve">   50  </w:t>
      </w:r>
      <w:r>
        <w:rPr>
          <w:rFonts w:hint="eastAsia" w:asciiTheme="minorEastAsia" w:hAnsiTheme="minorEastAsia" w:eastAsiaTheme="minorEastAsia"/>
          <w:szCs w:val="21"/>
        </w:rPr>
        <w:t>%</w:t>
      </w:r>
      <w:r>
        <w:rPr>
          <w:rFonts w:asciiTheme="minorEastAsia" w:hAnsiTheme="minorEastAsia" w:eastAsiaTheme="minorEastAsia"/>
          <w:szCs w:val="21"/>
        </w:rPr>
        <w:t>向甲方支付违约金；如乙方逾期未退回所有甲方已付款项及利息的，甲方有权对乙方留在施工现场的物料、设施进行变卖并优先受偿，因此而造成的损失甲方有权要求乙方赔偿。</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 xml:space="preserve">.10.2  </w:t>
      </w:r>
      <w:r>
        <w:rPr>
          <w:rFonts w:hint="eastAsia" w:asciiTheme="minorEastAsia" w:hAnsiTheme="minorEastAsia" w:eastAsiaTheme="minorEastAsia"/>
          <w:szCs w:val="21"/>
        </w:rPr>
        <w:t>赔偿甲方所受损失，赔偿范围包括但不限于诉讼费、甲方聘请律师的费用、差旅费、鉴定费、公证费、甲方向第三方赔偿的款项、行政罚款以及解决纠纷所产生的其他费用。同时未付款项甲方不再支付，且剩余的履约保证金、工程质量保证金甲方有权不予退还。</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 xml:space="preserve">.10.3 </w:t>
      </w:r>
      <w:r>
        <w:rPr>
          <w:rFonts w:hint="eastAsia" w:asciiTheme="minorEastAsia" w:hAnsiTheme="minorEastAsia" w:eastAsiaTheme="minorEastAsia"/>
          <w:szCs w:val="21"/>
        </w:rPr>
        <w:t>在合同解除之日起</w:t>
      </w:r>
      <w:r>
        <w:rPr>
          <w:rFonts w:asciiTheme="minorEastAsia" w:hAnsiTheme="minorEastAsia" w:eastAsiaTheme="minorEastAsia"/>
          <w:szCs w:val="21"/>
        </w:rPr>
        <w:t>7日内，乙方应自行拆除、清理所有留在施工现场的物料、设施，否则甲方有权进行清场处理，由此支出的费用由乙方承担，且乙方应赔偿甲方所受损失。如施工现场因乙方拆除、清理而遭到破坏的，乙方还应负责修复，所产生的费用亦由乙方承担。</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w:t>
      </w:r>
      <w:r>
        <w:rPr>
          <w:rFonts w:hint="eastAsia" w:asciiTheme="minorEastAsia" w:hAnsiTheme="minorEastAsia" w:eastAsiaTheme="minorEastAsia"/>
          <w:szCs w:val="21"/>
        </w:rPr>
        <w:t>11乙方因违约而应向甲方支付的违约金、损失赔偿金等款项，甲方有权在应付未付款项、工程质量保证金和履约保证金中直接扣除。</w:t>
      </w:r>
    </w:p>
    <w:p>
      <w:pPr>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w:t>
      </w:r>
      <w:r>
        <w:rPr>
          <w:rFonts w:hint="eastAsia" w:asciiTheme="minorEastAsia" w:hAnsiTheme="minorEastAsia" w:eastAsiaTheme="minorEastAsia"/>
          <w:b/>
          <w:szCs w:val="21"/>
          <w:lang w:val="en-US" w:eastAsia="zh-CN"/>
        </w:rPr>
        <w:t>四</w:t>
      </w:r>
      <w:r>
        <w:rPr>
          <w:rFonts w:hint="eastAsia" w:asciiTheme="minorEastAsia" w:hAnsiTheme="minorEastAsia" w:eastAsiaTheme="minorEastAsia"/>
          <w:b/>
          <w:szCs w:val="21"/>
        </w:rPr>
        <w:t>条  工程保修</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 xml:space="preserve">.1  </w:t>
      </w:r>
      <w:r>
        <w:rPr>
          <w:rFonts w:hint="eastAsia" w:asciiTheme="minorEastAsia" w:hAnsiTheme="minorEastAsia" w:eastAsiaTheme="minorEastAsia"/>
          <w:szCs w:val="21"/>
        </w:rPr>
        <w:t>本工程由乙方负责保修，具体保修期限为：</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.1.1基础、主体结构、挡土墙工程为设计文件规定的该工程合理使用年限，防水工程为5年；</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.1.2装修部分工程为2年；</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.1.3电气管线、上下水管线安装工程为2年；</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.1.</w:t>
      </w:r>
      <w:r>
        <w:rPr>
          <w:rFonts w:hint="eastAsia" w:asciiTheme="minorEastAsia" w:hAnsiTheme="minorEastAsia" w:eastAsiaTheme="minorEastAsia"/>
          <w:szCs w:val="21"/>
        </w:rPr>
        <w:t>4</w:t>
      </w:r>
      <w:r>
        <w:rPr>
          <w:rFonts w:asciiTheme="minorEastAsia" w:hAnsiTheme="minorEastAsia" w:eastAsiaTheme="minorEastAsia"/>
          <w:szCs w:val="21"/>
        </w:rPr>
        <w:t>其他约定：除上述内容外的其他内容均保修2年。</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.2</w:t>
      </w:r>
      <w:r>
        <w:rPr>
          <w:rFonts w:hint="eastAsia" w:asciiTheme="minorEastAsia" w:hAnsiTheme="minorEastAsia" w:eastAsiaTheme="minorEastAsia"/>
          <w:szCs w:val="21"/>
        </w:rPr>
        <w:t>工程质量保修期从工程实际竣工并经南宁市供电部门验收合格之日起算（如发生返修的，从返修部分经甲方验收合格之日起算）。分单项竣工验收的工程，按该单项工程通过南宁市供电部门的验收之日起分别计算质量保修期。</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.3</w:t>
      </w:r>
      <w:r>
        <w:rPr>
          <w:rFonts w:hint="eastAsia" w:asciiTheme="minorEastAsia" w:hAnsiTheme="minorEastAsia" w:eastAsiaTheme="minorEastAsia"/>
          <w:szCs w:val="21"/>
        </w:rPr>
        <w:t>工程质量保修期内，属于保修范围和内容的项目，乙方应当在接到甲方或物业服务公司的通知后</w:t>
      </w:r>
      <w:r>
        <w:rPr>
          <w:rFonts w:hint="eastAsia" w:asciiTheme="minorEastAsia" w:hAnsiTheme="minorEastAsia" w:eastAsiaTheme="minorEastAsia"/>
          <w:szCs w:val="21"/>
          <w:u w:val="single"/>
        </w:rPr>
        <w:t xml:space="preserve">  120  </w:t>
      </w:r>
      <w:r>
        <w:rPr>
          <w:rFonts w:hint="eastAsia" w:asciiTheme="minorEastAsia" w:hAnsiTheme="minorEastAsia" w:eastAsiaTheme="minorEastAsia"/>
          <w:szCs w:val="21"/>
        </w:rPr>
        <w:t>分钟内派维修人员赶到现场，并应在保修通知中要求的时间内完成维修。如乙方不在约定期限内派人修理或不按甲方或物业服务公司通知的时间完成保修的，甲方可以委托第三方进行维修，维修费用从工程质量保证金中扣除，用款额度无须乙方确认，同时还应向甲方支付与修理费用等额的违约金，且乙方的保修义务不能因此而免除。</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.4</w:t>
      </w:r>
      <w:r>
        <w:rPr>
          <w:rFonts w:hint="eastAsia" w:asciiTheme="minorEastAsia" w:hAnsiTheme="minorEastAsia" w:eastAsiaTheme="minorEastAsia"/>
          <w:szCs w:val="21"/>
        </w:rPr>
        <w:t>由于乙方不履行保修责任，甲方按约定直接从工程质量保证金中扣除的相关费用累计超过原保证金总额的</w:t>
      </w:r>
      <w:r>
        <w:rPr>
          <w:rFonts w:asciiTheme="minorEastAsia" w:hAnsiTheme="minorEastAsia" w:eastAsiaTheme="minorEastAsia"/>
          <w:szCs w:val="21"/>
        </w:rPr>
        <w:t>50%的，甲方应以书面形式通知乙方。乙方应于甲方发出书面通知后十个工作日内，按甲方已扣除的费用额度补足工程质量保证金，否则</w:t>
      </w:r>
      <w:r>
        <w:rPr>
          <w:rFonts w:hint="eastAsia" w:asciiTheme="minorEastAsia" w:hAnsiTheme="minorEastAsia" w:eastAsiaTheme="minorEastAsia"/>
          <w:szCs w:val="21"/>
        </w:rPr>
        <w:t>按</w:t>
      </w:r>
      <w:r>
        <w:rPr>
          <w:rFonts w:hint="eastAsia" w:asciiTheme="minorEastAsia" w:hAnsiTheme="minorEastAsia" w:eastAsiaTheme="minorEastAsia"/>
          <w:szCs w:val="21"/>
          <w:u w:val="single"/>
        </w:rPr>
        <w:t xml:space="preserve">  1000.00  </w:t>
      </w:r>
      <w:r>
        <w:rPr>
          <w:rFonts w:hint="eastAsia" w:asciiTheme="minorEastAsia" w:hAnsiTheme="minorEastAsia" w:eastAsiaTheme="minorEastAsia"/>
          <w:szCs w:val="21"/>
        </w:rPr>
        <w:t>元</w:t>
      </w:r>
      <w:r>
        <w:rPr>
          <w:rFonts w:asciiTheme="minorEastAsia" w:hAnsiTheme="minorEastAsia" w:eastAsiaTheme="minorEastAsia"/>
          <w:szCs w:val="21"/>
        </w:rPr>
        <w:t>/日的标准向甲方支付违约金。</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w:t>
      </w:r>
      <w:r>
        <w:rPr>
          <w:rFonts w:hint="eastAsia" w:asciiTheme="minorEastAsia" w:hAnsiTheme="minorEastAsia" w:eastAsiaTheme="minorEastAsia"/>
          <w:szCs w:val="21"/>
        </w:rPr>
        <w:t>5工程质量保修期内如发生紧急抢修事故，乙方应在接到甲方或物业服务公司的通知后</w:t>
      </w:r>
      <w:r>
        <w:rPr>
          <w:rFonts w:asciiTheme="minorEastAsia" w:hAnsiTheme="minorEastAsia" w:eastAsiaTheme="minorEastAsia"/>
          <w:szCs w:val="21"/>
        </w:rPr>
        <w:t>1小时内到达事故现场抢修。非乙方施工质量引起的事故，抢修费用由责任方承担。</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w:t>
      </w:r>
      <w:r>
        <w:rPr>
          <w:rFonts w:hint="eastAsia" w:asciiTheme="minorEastAsia" w:hAnsiTheme="minorEastAsia" w:eastAsiaTheme="minorEastAsia"/>
          <w:szCs w:val="21"/>
        </w:rPr>
        <w:t>6质量保修完成后，由甲方组织相关部门进行验收。如验收不合格的，乙方应负责继续维修直至通过验收为止。在此期间乙方应按</w:t>
      </w:r>
      <w:r>
        <w:rPr>
          <w:rFonts w:hint="eastAsia" w:asciiTheme="minorEastAsia" w:hAnsiTheme="minorEastAsia" w:eastAsiaTheme="minorEastAsia"/>
          <w:szCs w:val="21"/>
          <w:u w:val="single"/>
        </w:rPr>
        <w:t xml:space="preserve">  1000.00  </w:t>
      </w:r>
      <w:r>
        <w:rPr>
          <w:rFonts w:hint="eastAsia" w:asciiTheme="minorEastAsia" w:hAnsiTheme="minorEastAsia" w:eastAsiaTheme="minorEastAsia"/>
          <w:szCs w:val="21"/>
        </w:rPr>
        <w:t>元/日的标准向甲方支付违约金。</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w:t>
      </w:r>
      <w:r>
        <w:rPr>
          <w:rFonts w:hint="eastAsia" w:asciiTheme="minorEastAsia" w:hAnsiTheme="minorEastAsia" w:eastAsiaTheme="minorEastAsia"/>
          <w:szCs w:val="21"/>
        </w:rPr>
        <w:t>7在工程质量保修期及国家规定的工程合理使用期限内，因乙方原因致使工程在合理使用期限内造成人身和财产损害的，乙方应承担全部损害赔偿责任。</w:t>
      </w:r>
    </w:p>
    <w:p>
      <w:pPr>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w:t>
      </w:r>
      <w:r>
        <w:rPr>
          <w:rFonts w:hint="eastAsia" w:asciiTheme="minorEastAsia" w:hAnsiTheme="minorEastAsia" w:eastAsiaTheme="minorEastAsia"/>
          <w:b/>
          <w:szCs w:val="21"/>
          <w:lang w:val="en-US" w:eastAsia="zh-CN"/>
        </w:rPr>
        <w:t>五</w:t>
      </w:r>
      <w:r>
        <w:rPr>
          <w:rFonts w:hint="eastAsia" w:asciiTheme="minorEastAsia" w:hAnsiTheme="minorEastAsia" w:eastAsiaTheme="minorEastAsia"/>
          <w:b/>
          <w:szCs w:val="21"/>
        </w:rPr>
        <w:t>条  通知和送达</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5</w:t>
      </w:r>
      <w:r>
        <w:rPr>
          <w:rFonts w:asciiTheme="minorEastAsia" w:hAnsiTheme="minorEastAsia" w:eastAsiaTheme="minorEastAsia"/>
          <w:szCs w:val="21"/>
        </w:rPr>
        <w:t>.1各方通讯方式如下：</w:t>
      </w:r>
      <w:r>
        <w:rPr>
          <w:rFonts w:hint="eastAsia" w:asciiTheme="minorEastAsia" w:hAnsiTheme="minorEastAsia" w:eastAsiaTheme="minorEastAsia"/>
          <w:szCs w:val="21"/>
        </w:rPr>
        <w:t>(提示：注意格式)</w:t>
      </w:r>
    </w:p>
    <w:p>
      <w:pPr>
        <w:spacing w:line="500" w:lineRule="exact"/>
        <w:ind w:left="0" w:leftChars="0"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甲方的通讯地址：</w:t>
      </w:r>
      <w:r>
        <w:rPr>
          <w:rFonts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；邮编：</w:t>
      </w:r>
      <w:r>
        <w:rPr>
          <w:rFonts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；联系人：</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；传真号：</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；电子邮箱地址：</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；手机号码：</w:t>
      </w:r>
      <w:r>
        <w:rPr>
          <w:rFonts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QQ号码：</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w:t>
      </w:r>
    </w:p>
    <w:p>
      <w:pPr>
        <w:spacing w:line="500" w:lineRule="exact"/>
        <w:ind w:left="0" w:leftChars="0"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乙方的通讯地址：</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；邮编：</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；联系人：</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；传真号：</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；电子邮箱地址：</w:t>
      </w:r>
      <w:r>
        <w:rPr>
          <w:rFonts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；手机号码：</w:t>
      </w:r>
      <w:r>
        <w:rPr>
          <w:rFonts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QQ号码：</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w:t>
      </w:r>
    </w:p>
    <w:p>
      <w:pPr>
        <w:spacing w:line="500" w:lineRule="exact"/>
        <w:ind w:left="0" w:leftChars="0" w:firstLine="420" w:firstLineChars="200"/>
        <w:rPr>
          <w:rFonts w:asciiTheme="minorEastAsia" w:hAnsiTheme="minorEastAsia" w:eastAsiaTheme="minorEastAsia"/>
          <w:szCs w:val="21"/>
        </w:rPr>
      </w:pPr>
      <w:r>
        <w:rPr>
          <w:rFonts w:hint="eastAsia" w:cs="仿宋_GB2312" w:asciiTheme="minorEastAsia" w:hAnsiTheme="minorEastAsia" w:eastAsiaTheme="minorEastAsia"/>
          <w:szCs w:val="21"/>
        </w:rPr>
        <w:t>1</w:t>
      </w:r>
      <w:r>
        <w:rPr>
          <w:rFonts w:hint="eastAsia" w:cs="仿宋_GB2312" w:asciiTheme="minorEastAsia" w:hAnsiTheme="minorEastAsia" w:eastAsiaTheme="minorEastAsia"/>
          <w:szCs w:val="21"/>
          <w:lang w:val="en-US" w:eastAsia="zh-CN"/>
        </w:rPr>
        <w:t>5</w:t>
      </w:r>
      <w:r>
        <w:rPr>
          <w:rFonts w:hint="eastAsia" w:asciiTheme="minorEastAsia" w:hAnsiTheme="minorEastAsia" w:eastAsiaTheme="minorEastAsia"/>
          <w:szCs w:val="21"/>
        </w:rPr>
        <w:t>.2任何一方改变上述列明的通讯地址、联系人、传真号码、电子邮箱地址、手机号码、QQ号码的，应该提前五个工作日内书面通知对方。否则对方向原通讯地址、联系人、传真号码、电子邮箱地址、手机号码、QQ号码发出的通知视为有效送达。</w:t>
      </w:r>
    </w:p>
    <w:p>
      <w:pPr>
        <w:widowControl/>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3任何一方发出通知，可以采取邮寄、快递寄送或者传真、发送电子邮件、手机短信、QQ信息等合法方式送达给对方。如通过邮寄或快递送达的，发出之日起届满五日的当日视为送达；如通过传真、发送电子邮件、手机短信、QQ信息送达的，发出之日的当日视为送达。</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.4除上述通知方式外，甲方还有权以报纸公告形式通知乙方，公告媒体为《南国早报》或《南宁晚报》。如以报纸公告形式通知的，则报纸公开发行之日即视为送达乙方。</w:t>
      </w:r>
    </w:p>
    <w:p>
      <w:pPr>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w:t>
      </w:r>
      <w:r>
        <w:rPr>
          <w:rFonts w:hint="eastAsia" w:asciiTheme="minorEastAsia" w:hAnsiTheme="minorEastAsia" w:eastAsiaTheme="minorEastAsia"/>
          <w:b/>
          <w:szCs w:val="21"/>
          <w:lang w:val="en-US" w:eastAsia="zh-CN"/>
        </w:rPr>
        <w:t>六</w:t>
      </w:r>
      <w:r>
        <w:rPr>
          <w:rFonts w:hint="eastAsia" w:asciiTheme="minorEastAsia" w:hAnsiTheme="minorEastAsia" w:eastAsiaTheme="minorEastAsia"/>
          <w:b/>
          <w:szCs w:val="21"/>
        </w:rPr>
        <w:t>条  不可抗力</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.1本合同所指不可抗力，是指不能预见、不能避免并不能克服的客观情况，包括但不限于：自然灾害（地震、洪水、雷击、火灾等）、战争或准战争状态、恐怖活动、戒严等公认的不可抗力事件。</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.2受不可抗力影响的一方应在遇到不可抗力之时起</w:t>
      </w:r>
      <w:r>
        <w:rPr>
          <w:rFonts w:hint="eastAsia" w:asciiTheme="minorEastAsia" w:hAnsiTheme="minorEastAsia" w:eastAsiaTheme="minorEastAsia"/>
          <w:szCs w:val="21"/>
        </w:rPr>
        <w:t>二</w:t>
      </w:r>
      <w:r>
        <w:rPr>
          <w:rFonts w:asciiTheme="minorEastAsia" w:hAnsiTheme="minorEastAsia" w:eastAsiaTheme="minorEastAsia"/>
          <w:szCs w:val="21"/>
        </w:rPr>
        <w:t>十四小时内，将所发生的不可抗力事件情况以电邮、传真等形式通知对方，并在事件发生之日起</w:t>
      </w:r>
      <w:r>
        <w:rPr>
          <w:rFonts w:hint="eastAsia" w:asciiTheme="minorEastAsia" w:hAnsiTheme="minorEastAsia" w:eastAsiaTheme="minorEastAsia"/>
          <w:szCs w:val="21"/>
        </w:rPr>
        <w:t>十</w:t>
      </w:r>
      <w:r>
        <w:rPr>
          <w:rFonts w:asciiTheme="minorEastAsia" w:hAnsiTheme="minorEastAsia" w:eastAsiaTheme="minorEastAsia"/>
          <w:szCs w:val="21"/>
        </w:rPr>
        <w:t>日内以特快专递或挂号信件将不可抗力发生地政府部门/机构出具的证明文件交对方确认。</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.3当不可抗力停止或消除后，受不可抗力影响的一方应在</w:t>
      </w:r>
      <w:r>
        <w:rPr>
          <w:rFonts w:hint="eastAsia" w:asciiTheme="minorEastAsia" w:hAnsiTheme="minorEastAsia" w:eastAsiaTheme="minorEastAsia"/>
          <w:szCs w:val="21"/>
        </w:rPr>
        <w:t>二</w:t>
      </w:r>
      <w:r>
        <w:rPr>
          <w:rFonts w:asciiTheme="minorEastAsia" w:hAnsiTheme="minorEastAsia" w:eastAsiaTheme="minorEastAsia"/>
          <w:szCs w:val="21"/>
        </w:rPr>
        <w:t>十四小时内以电子邮件、传真等形式通知对方，并在</w:t>
      </w:r>
      <w:r>
        <w:rPr>
          <w:rFonts w:hint="eastAsia" w:asciiTheme="minorEastAsia" w:hAnsiTheme="minorEastAsia" w:eastAsiaTheme="minorEastAsia"/>
          <w:szCs w:val="21"/>
        </w:rPr>
        <w:t>三</w:t>
      </w:r>
      <w:r>
        <w:rPr>
          <w:rFonts w:asciiTheme="minorEastAsia" w:hAnsiTheme="minorEastAsia" w:eastAsiaTheme="minorEastAsia"/>
          <w:szCs w:val="21"/>
        </w:rPr>
        <w:t>日内以特快专递或挂号信证实。</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4合同生效后，合同各方的任何一方由于不可抗力事件而影响到本合同履行时，则延长履行合同的期限，这一期限应相当于不可抗力所影响的时间，并可根据情况部分或全部免予承担违约责任，但一方延误履约后发生不可抗力的，不能免除责任。</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.5如果不可抗力的影响持续达</w:t>
      </w:r>
      <w:r>
        <w:rPr>
          <w:rFonts w:hint="eastAsia" w:asciiTheme="minorEastAsia" w:hAnsiTheme="minorEastAsia" w:eastAsiaTheme="minorEastAsia"/>
          <w:szCs w:val="21"/>
        </w:rPr>
        <w:t>三</w:t>
      </w:r>
      <w:r>
        <w:rPr>
          <w:rFonts w:asciiTheme="minorEastAsia" w:hAnsiTheme="minorEastAsia" w:eastAsiaTheme="minorEastAsia"/>
          <w:szCs w:val="21"/>
        </w:rPr>
        <w:t>十日或以上时，双方应根据该事件对本合同履行的影响程度协商对本合同的修改或终止。</w:t>
      </w:r>
    </w:p>
    <w:p>
      <w:pPr>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w:t>
      </w:r>
      <w:r>
        <w:rPr>
          <w:rFonts w:hint="eastAsia" w:asciiTheme="minorEastAsia" w:hAnsiTheme="minorEastAsia" w:eastAsiaTheme="minorEastAsia"/>
          <w:b/>
          <w:szCs w:val="21"/>
          <w:lang w:val="en-US" w:eastAsia="zh-CN"/>
        </w:rPr>
        <w:t>七</w:t>
      </w:r>
      <w:r>
        <w:rPr>
          <w:rFonts w:hint="eastAsia" w:asciiTheme="minorEastAsia" w:hAnsiTheme="minorEastAsia" w:eastAsiaTheme="minorEastAsia"/>
          <w:b/>
          <w:szCs w:val="21"/>
        </w:rPr>
        <w:t>条  争议解决</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在履行本合同过程中如发生争议，甲乙双方可协商解决；如协商不成需提起诉讼的，应向工程所在地有管辖权的人民法院提起。</w:t>
      </w:r>
    </w:p>
    <w:p>
      <w:pPr>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w:t>
      </w:r>
      <w:r>
        <w:rPr>
          <w:rFonts w:hint="eastAsia" w:asciiTheme="minorEastAsia" w:hAnsiTheme="minorEastAsia" w:eastAsiaTheme="minorEastAsia"/>
          <w:b/>
          <w:szCs w:val="21"/>
          <w:lang w:val="en-US" w:eastAsia="zh-CN"/>
        </w:rPr>
        <w:t>八</w:t>
      </w:r>
      <w:r>
        <w:rPr>
          <w:rFonts w:hint="eastAsia" w:asciiTheme="minorEastAsia" w:hAnsiTheme="minorEastAsia" w:eastAsiaTheme="minorEastAsia"/>
          <w:b/>
          <w:szCs w:val="21"/>
        </w:rPr>
        <w:t>条  其他</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.1乙方在施工过程的用水、用电费用由甲方按自来水公司、供电公司的收费标准向乙方收取，并按实际使用量分摊比例收取综合损耗费</w:t>
      </w:r>
      <w:r>
        <w:rPr>
          <w:rFonts w:hint="eastAsia" w:asciiTheme="minorEastAsia" w:hAnsiTheme="minorEastAsia" w:eastAsiaTheme="minorEastAsia"/>
          <w:szCs w:val="21"/>
        </w:rPr>
        <w:t>，有加压则加压水费按</w:t>
      </w:r>
      <w:r>
        <w:rPr>
          <w:rFonts w:asciiTheme="minorEastAsia" w:hAnsiTheme="minorEastAsia" w:eastAsiaTheme="minorEastAsia"/>
          <w:szCs w:val="21"/>
        </w:rPr>
        <w:t>0.30元/立方计。</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.2</w:t>
      </w:r>
      <w:r>
        <w:rPr>
          <w:rFonts w:hint="eastAsia" w:asciiTheme="minorEastAsia" w:hAnsiTheme="minorEastAsia" w:eastAsiaTheme="minorEastAsia"/>
          <w:szCs w:val="21"/>
        </w:rPr>
        <w:t>本合同未尽事宜，甲乙双方可协商另签补充协议。</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.3</w:t>
      </w:r>
      <w:r>
        <w:rPr>
          <w:rFonts w:hint="eastAsia" w:asciiTheme="minorEastAsia" w:hAnsiTheme="minorEastAsia" w:eastAsiaTheme="minorEastAsia"/>
          <w:szCs w:val="21"/>
        </w:rPr>
        <w:t>经甲乙双方盖章认可的合同附件、传真、会议纪要等均为本合同组成部分，与本合同具有同等法律效力。如上述文件与本合同条款内容存在冲突的，以本合同条款内容约定为准。</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4合同组成文件及解释顺序：</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1本施工合同条款；</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2</w:t>
      </w:r>
      <w:r>
        <w:rPr>
          <w:rFonts w:hint="eastAsia" w:asciiTheme="minorEastAsia" w:hAnsiTheme="minorEastAsia" w:eastAsiaTheme="minorEastAsia"/>
          <w:szCs w:val="21"/>
        </w:rPr>
        <w:t>投</w:t>
      </w:r>
      <w:r>
        <w:rPr>
          <w:rFonts w:asciiTheme="minorEastAsia" w:hAnsiTheme="minorEastAsia" w:eastAsiaTheme="minorEastAsia"/>
          <w:szCs w:val="21"/>
        </w:rPr>
        <w:t>标文件；</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.4.3</w:t>
      </w:r>
      <w:r>
        <w:rPr>
          <w:rFonts w:hint="eastAsia" w:asciiTheme="minorEastAsia" w:hAnsiTheme="minorEastAsia" w:eastAsiaTheme="minorEastAsia"/>
          <w:szCs w:val="21"/>
        </w:rPr>
        <w:t>《</w:t>
      </w:r>
      <w:r>
        <w:rPr>
          <w:rFonts w:asciiTheme="minorEastAsia" w:hAnsiTheme="minorEastAsia" w:eastAsiaTheme="minorEastAsia"/>
          <w:szCs w:val="21"/>
        </w:rPr>
        <w:t>建设工程施工合同（GF-2017-0201）</w:t>
      </w:r>
      <w:r>
        <w:rPr>
          <w:rFonts w:hint="eastAsia" w:asciiTheme="minorEastAsia" w:hAnsiTheme="minorEastAsia" w:eastAsiaTheme="minorEastAsia"/>
          <w:szCs w:val="21"/>
        </w:rPr>
        <w:t>》</w:t>
      </w:r>
      <w:r>
        <w:rPr>
          <w:rFonts w:asciiTheme="minorEastAsia" w:hAnsiTheme="minorEastAsia" w:eastAsiaTheme="minorEastAsia"/>
          <w:szCs w:val="21"/>
        </w:rPr>
        <w:t>的通用条款；</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4标准、规范及有关技术文件；</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5</w:t>
      </w:r>
      <w:r>
        <w:rPr>
          <w:rFonts w:hint="eastAsia" w:asciiTheme="minorEastAsia" w:hAnsiTheme="minorEastAsia" w:eastAsiaTheme="minorEastAsia"/>
          <w:szCs w:val="21"/>
        </w:rPr>
        <w:t>经南宁市供电部门审批通过的施工图；</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6</w:t>
      </w:r>
      <w:r>
        <w:rPr>
          <w:rFonts w:hint="eastAsia" w:asciiTheme="minorEastAsia" w:hAnsiTheme="minorEastAsia" w:eastAsiaTheme="minorEastAsia"/>
          <w:szCs w:val="21"/>
          <w:lang w:val="en-US" w:eastAsia="zh-CN"/>
        </w:rPr>
        <w:t>比选</w:t>
      </w:r>
      <w:r>
        <w:rPr>
          <w:rFonts w:asciiTheme="minorEastAsia" w:hAnsiTheme="minorEastAsia" w:eastAsiaTheme="minorEastAsia"/>
          <w:szCs w:val="21"/>
        </w:rPr>
        <w:t>文件；</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7双方另行约定的其他文件。</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5本合同经双方代表签字（或盖章）并加盖双方企业公章（或合同专用章）后生效。</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6本合同一式捌份，甲方持陆份，乙方持贰份，均具同等法律效力。</w:t>
      </w:r>
    </w:p>
    <w:p>
      <w:pPr>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合同附件：</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附件</w:t>
      </w:r>
      <w:r>
        <w:rPr>
          <w:rFonts w:asciiTheme="minorEastAsia" w:hAnsiTheme="minorEastAsia" w:eastAsiaTheme="minorEastAsia"/>
          <w:szCs w:val="21"/>
        </w:rPr>
        <w:t>1：</w:t>
      </w:r>
      <w:r>
        <w:rPr>
          <w:rFonts w:hint="eastAsia" w:asciiTheme="minorEastAsia" w:hAnsiTheme="minorEastAsia" w:eastAsiaTheme="minorEastAsia"/>
          <w:szCs w:val="21"/>
        </w:rPr>
        <w:t>工程维修服务承诺书</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附件</w:t>
      </w:r>
      <w:r>
        <w:rPr>
          <w:rFonts w:asciiTheme="minorEastAsia" w:hAnsiTheme="minorEastAsia" w:eastAsiaTheme="minorEastAsia"/>
          <w:szCs w:val="21"/>
        </w:rPr>
        <w:t>2：</w:t>
      </w:r>
      <w:r>
        <w:rPr>
          <w:rFonts w:hint="eastAsia" w:asciiTheme="minorEastAsia" w:hAnsiTheme="minorEastAsia" w:eastAsiaTheme="minorEastAsia"/>
          <w:szCs w:val="21"/>
        </w:rPr>
        <w:t>安全</w:t>
      </w:r>
      <w:r>
        <w:rPr>
          <w:rFonts w:asciiTheme="minorEastAsia" w:hAnsiTheme="minorEastAsia" w:eastAsiaTheme="minorEastAsia"/>
          <w:szCs w:val="21"/>
        </w:rPr>
        <w:t>生产责任书</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附件3</w:t>
      </w:r>
      <w:r>
        <w:rPr>
          <w:rFonts w:asciiTheme="minorEastAsia" w:hAnsiTheme="minorEastAsia" w:eastAsiaTheme="minorEastAsia"/>
          <w:szCs w:val="21"/>
        </w:rPr>
        <w:t>：</w:t>
      </w:r>
      <w:r>
        <w:rPr>
          <w:rFonts w:hint="eastAsia" w:asciiTheme="minorEastAsia" w:hAnsiTheme="minorEastAsia" w:eastAsiaTheme="minorEastAsia"/>
          <w:szCs w:val="21"/>
        </w:rPr>
        <w:t>工程</w:t>
      </w:r>
      <w:r>
        <w:rPr>
          <w:rFonts w:asciiTheme="minorEastAsia" w:hAnsiTheme="minorEastAsia" w:eastAsiaTheme="minorEastAsia"/>
          <w:szCs w:val="21"/>
        </w:rPr>
        <w:t>预算书</w:t>
      </w:r>
    </w:p>
    <w:p>
      <w:pPr>
        <w:spacing w:line="500" w:lineRule="exact"/>
        <w:ind w:left="0" w:leftChars="0"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附件4：采购需求书</w:t>
      </w:r>
    </w:p>
    <w:p>
      <w:pPr>
        <w:spacing w:line="500" w:lineRule="exact"/>
        <w:ind w:left="0" w:leftChars="0" w:firstLine="420" w:firstLineChars="200"/>
        <w:rPr>
          <w:rFonts w:asciiTheme="minorEastAsia" w:hAnsiTheme="minorEastAsia" w:eastAsiaTheme="minorEastAsia"/>
          <w:szCs w:val="21"/>
        </w:rPr>
      </w:pPr>
    </w:p>
    <w:p>
      <w:pPr>
        <w:pStyle w:val="6"/>
        <w:spacing w:line="500" w:lineRule="exact"/>
        <w:ind w:left="0" w:leftChars="0" w:firstLine="420" w:firstLineChars="200"/>
        <w:textAlignment w:val="auto"/>
        <w:rPr>
          <w:rFonts w:asciiTheme="minorEastAsia" w:hAnsiTheme="minorEastAsia" w:eastAsiaTheme="minorEastAsia"/>
          <w:kern w:val="2"/>
          <w:szCs w:val="21"/>
        </w:rPr>
      </w:pPr>
      <w:r>
        <w:rPr>
          <w:rFonts w:asciiTheme="minorEastAsia" w:hAnsiTheme="minorEastAsia" w:eastAsiaTheme="minorEastAsia"/>
          <w:kern w:val="2"/>
          <w:szCs w:val="21"/>
        </w:rPr>
        <w:t>(以下无正文</w:t>
      </w:r>
      <w:r>
        <w:rPr>
          <w:rFonts w:hint="eastAsia" w:asciiTheme="minorEastAsia" w:hAnsiTheme="minorEastAsia" w:eastAsiaTheme="minorEastAsia"/>
          <w:kern w:val="2"/>
          <w:szCs w:val="21"/>
        </w:rPr>
        <w:t>)</w:t>
      </w:r>
    </w:p>
    <w:p>
      <w:pPr>
        <w:spacing w:line="460" w:lineRule="exact"/>
        <w:ind w:left="0" w:leftChars="0" w:firstLine="420" w:firstLineChars="200"/>
        <w:rPr>
          <w:rFonts w:ascii="宋体" w:hAnsi="宋体"/>
          <w:b/>
          <w:szCs w:val="21"/>
        </w:rPr>
      </w:pPr>
      <w:r>
        <w:rPr>
          <w:u w:val="single"/>
        </w:rPr>
        <w:br w:type="page"/>
      </w:r>
    </w:p>
    <w:p>
      <w:pPr>
        <w:pStyle w:val="2"/>
      </w:pPr>
    </w:p>
    <w:tbl>
      <w:tblPr>
        <w:tblStyle w:val="14"/>
        <w:tblW w:w="8188" w:type="dxa"/>
        <w:tblInd w:w="0" w:type="dxa"/>
        <w:tblLayout w:type="fixed"/>
        <w:tblCellMar>
          <w:top w:w="0" w:type="dxa"/>
          <w:left w:w="108" w:type="dxa"/>
          <w:bottom w:w="0" w:type="dxa"/>
          <w:right w:w="108" w:type="dxa"/>
        </w:tblCellMar>
      </w:tblPr>
      <w:tblGrid>
        <w:gridCol w:w="4219"/>
        <w:gridCol w:w="3969"/>
      </w:tblGrid>
      <w:tr>
        <w:tblPrEx>
          <w:tblCellMar>
            <w:top w:w="0" w:type="dxa"/>
            <w:left w:w="108" w:type="dxa"/>
            <w:bottom w:w="0" w:type="dxa"/>
            <w:right w:w="108" w:type="dxa"/>
          </w:tblCellMar>
        </w:tblPrEx>
        <w:trPr>
          <w:trHeight w:val="851" w:hRule="atLeast"/>
        </w:trPr>
        <w:tc>
          <w:tcPr>
            <w:tcW w:w="4219" w:type="dxa"/>
          </w:tcPr>
          <w:p>
            <w:pPr>
              <w:spacing w:line="460" w:lineRule="exact"/>
              <w:rPr>
                <w:rFonts w:ascii="宋体" w:hAnsi="宋体"/>
                <w:color w:val="000000"/>
                <w:sz w:val="24"/>
              </w:rPr>
            </w:pPr>
            <w:r>
              <w:rPr>
                <w:rFonts w:hint="eastAsia" w:ascii="宋体" w:hAnsi="宋体"/>
                <w:color w:val="000000"/>
                <w:sz w:val="24"/>
              </w:rPr>
              <w:t>（本页为签章页</w:t>
            </w:r>
            <w:r>
              <w:rPr>
                <w:rFonts w:hint="eastAsia" w:ascii="宋体" w:hAnsi="宋体"/>
                <w:sz w:val="24"/>
              </w:rPr>
              <w:t>,无正文</w:t>
            </w:r>
            <w:r>
              <w:rPr>
                <w:rFonts w:hint="eastAsia" w:ascii="宋体" w:hAnsi="宋体"/>
                <w:color w:val="000000"/>
                <w:sz w:val="24"/>
              </w:rPr>
              <w:t>）</w:t>
            </w:r>
          </w:p>
          <w:p>
            <w:pPr>
              <w:ind w:left="1200" w:hanging="1200" w:hangingChars="500"/>
              <w:rPr>
                <w:rFonts w:ascii="宋体" w:hAnsi="宋体"/>
                <w:color w:val="000000"/>
                <w:sz w:val="24"/>
              </w:rPr>
            </w:pPr>
          </w:p>
          <w:p>
            <w:pPr>
              <w:ind w:left="1200" w:hanging="1200" w:hangingChars="500"/>
              <w:rPr>
                <w:rFonts w:ascii="宋体" w:hAnsi="宋体"/>
                <w:color w:val="000000"/>
                <w:sz w:val="24"/>
              </w:rPr>
            </w:pPr>
          </w:p>
          <w:p>
            <w:pPr>
              <w:ind w:left="1200" w:hanging="1200" w:hangingChars="500"/>
              <w:rPr>
                <w:rFonts w:ascii="宋体" w:hAnsi="宋体"/>
                <w:color w:val="000000"/>
                <w:sz w:val="24"/>
              </w:rPr>
            </w:pPr>
          </w:p>
        </w:tc>
        <w:tc>
          <w:tcPr>
            <w:tcW w:w="3969" w:type="dxa"/>
          </w:tcPr>
          <w:p>
            <w:pPr>
              <w:rPr>
                <w:rFonts w:ascii="宋体" w:hAnsi="宋体"/>
                <w:color w:val="000000"/>
                <w:szCs w:val="21"/>
              </w:rPr>
            </w:pPr>
          </w:p>
        </w:tc>
      </w:tr>
      <w:tr>
        <w:tblPrEx>
          <w:tblCellMar>
            <w:top w:w="0" w:type="dxa"/>
            <w:left w:w="108" w:type="dxa"/>
            <w:bottom w:w="0" w:type="dxa"/>
            <w:right w:w="108" w:type="dxa"/>
          </w:tblCellMar>
        </w:tblPrEx>
        <w:trPr>
          <w:trHeight w:val="680" w:hRule="atLeast"/>
        </w:trPr>
        <w:tc>
          <w:tcPr>
            <w:tcW w:w="4219" w:type="dxa"/>
          </w:tcPr>
          <w:p>
            <w:pPr>
              <w:ind w:left="1050" w:hanging="1050" w:hangingChars="500"/>
              <w:rPr>
                <w:rFonts w:hint="eastAsia" w:ascii="宋体" w:hAnsi="宋体" w:eastAsia="宋体" w:cs="Arial"/>
                <w:szCs w:val="21"/>
                <w:lang w:eastAsia="zh-CN"/>
              </w:rPr>
            </w:pPr>
            <w:r>
              <w:rPr>
                <w:rFonts w:hint="eastAsia" w:ascii="宋体" w:hAnsi="宋体"/>
                <w:color w:val="000000"/>
                <w:szCs w:val="21"/>
              </w:rPr>
              <w:t>发包方：</w:t>
            </w:r>
            <w:r>
              <w:rPr>
                <w:rFonts w:hint="eastAsia" w:ascii="宋体" w:hAnsi="宋体"/>
                <w:szCs w:val="21"/>
                <w:lang w:eastAsia="zh-CN"/>
              </w:rPr>
              <w:t>南宁轨道锦绣中尧房地产有限公司</w:t>
            </w:r>
          </w:p>
          <w:p>
            <w:pPr>
              <w:rPr>
                <w:rFonts w:ascii="宋体" w:hAnsi="宋体"/>
                <w:color w:val="000000"/>
                <w:szCs w:val="21"/>
              </w:rPr>
            </w:pPr>
            <w:r>
              <w:rPr>
                <w:rFonts w:hint="eastAsia" w:ascii="宋体" w:hAnsi="宋体"/>
                <w:color w:val="000000"/>
                <w:szCs w:val="21"/>
              </w:rPr>
              <w:t>（盖章）</w:t>
            </w:r>
          </w:p>
          <w:p>
            <w:pPr>
              <w:ind w:left="1050" w:hanging="1050" w:hangingChars="500"/>
              <w:rPr>
                <w:rFonts w:ascii="宋体" w:hAnsi="宋体"/>
                <w:szCs w:val="21"/>
              </w:rPr>
            </w:pPr>
          </w:p>
        </w:tc>
        <w:tc>
          <w:tcPr>
            <w:tcW w:w="3969" w:type="dxa"/>
          </w:tcPr>
          <w:p>
            <w:pPr>
              <w:ind w:left="2908" w:leftChars="-2" w:hanging="2912" w:hangingChars="1387"/>
              <w:rPr>
                <w:rFonts w:ascii="宋体" w:hAnsi="宋体"/>
                <w:szCs w:val="21"/>
                <w:u w:val="single"/>
              </w:rPr>
            </w:pPr>
            <w:r>
              <w:rPr>
                <w:rFonts w:hint="eastAsia" w:ascii="宋体" w:hAnsi="宋体"/>
                <w:color w:val="000000"/>
                <w:szCs w:val="21"/>
              </w:rPr>
              <w:t>承包方：（盖章）</w:t>
            </w:r>
          </w:p>
        </w:tc>
      </w:tr>
      <w:tr>
        <w:tblPrEx>
          <w:tblCellMar>
            <w:top w:w="0" w:type="dxa"/>
            <w:left w:w="108" w:type="dxa"/>
            <w:bottom w:w="0" w:type="dxa"/>
            <w:right w:w="108" w:type="dxa"/>
          </w:tblCellMar>
        </w:tblPrEx>
        <w:tc>
          <w:tcPr>
            <w:tcW w:w="4219" w:type="dxa"/>
          </w:tcPr>
          <w:p>
            <w:pPr>
              <w:rPr>
                <w:rFonts w:ascii="宋体" w:hAnsi="宋体"/>
                <w:color w:val="000000"/>
                <w:szCs w:val="21"/>
              </w:rPr>
            </w:pPr>
            <w:r>
              <w:rPr>
                <w:rFonts w:hint="eastAsia" w:ascii="宋体" w:hAnsi="宋体"/>
                <w:color w:val="000000"/>
                <w:szCs w:val="21"/>
              </w:rPr>
              <w:t>法定代表人(签章)：</w:t>
            </w:r>
          </w:p>
          <w:p>
            <w:pPr>
              <w:rPr>
                <w:rFonts w:ascii="宋体" w:hAnsi="宋体"/>
                <w:szCs w:val="21"/>
              </w:rPr>
            </w:pPr>
          </w:p>
        </w:tc>
        <w:tc>
          <w:tcPr>
            <w:tcW w:w="3969" w:type="dxa"/>
          </w:tcPr>
          <w:p>
            <w:pPr>
              <w:rPr>
                <w:rFonts w:ascii="宋体" w:hAnsi="宋体"/>
                <w:szCs w:val="21"/>
              </w:rPr>
            </w:pPr>
            <w:r>
              <w:rPr>
                <w:rFonts w:hint="eastAsia" w:ascii="宋体" w:hAnsi="宋体"/>
                <w:color w:val="000000"/>
                <w:szCs w:val="21"/>
              </w:rPr>
              <w:t>法定代表人(签章)：</w:t>
            </w:r>
          </w:p>
        </w:tc>
      </w:tr>
      <w:tr>
        <w:tblPrEx>
          <w:tblCellMar>
            <w:top w:w="0" w:type="dxa"/>
            <w:left w:w="108" w:type="dxa"/>
            <w:bottom w:w="0" w:type="dxa"/>
            <w:right w:w="108" w:type="dxa"/>
          </w:tblCellMar>
        </w:tblPrEx>
        <w:tc>
          <w:tcPr>
            <w:tcW w:w="4219" w:type="dxa"/>
          </w:tcPr>
          <w:p>
            <w:pPr>
              <w:rPr>
                <w:rFonts w:ascii="宋体" w:hAnsi="宋体"/>
                <w:color w:val="000000"/>
                <w:szCs w:val="21"/>
              </w:rPr>
            </w:pPr>
            <w:r>
              <w:rPr>
                <w:rFonts w:hint="eastAsia" w:ascii="宋体" w:hAnsi="宋体"/>
                <w:color w:val="000000"/>
                <w:szCs w:val="21"/>
              </w:rPr>
              <w:t>委托代理人(签章)：</w:t>
            </w:r>
          </w:p>
          <w:p>
            <w:pPr>
              <w:rPr>
                <w:rFonts w:ascii="宋体" w:hAnsi="宋体"/>
                <w:szCs w:val="21"/>
              </w:rPr>
            </w:pPr>
          </w:p>
        </w:tc>
        <w:tc>
          <w:tcPr>
            <w:tcW w:w="3969" w:type="dxa"/>
          </w:tcPr>
          <w:p>
            <w:pPr>
              <w:rPr>
                <w:rFonts w:ascii="宋体" w:hAnsi="宋体"/>
                <w:szCs w:val="21"/>
              </w:rPr>
            </w:pPr>
            <w:r>
              <w:rPr>
                <w:rFonts w:hint="eastAsia" w:ascii="宋体" w:hAnsi="宋体"/>
                <w:color w:val="000000"/>
                <w:szCs w:val="21"/>
              </w:rPr>
              <w:t>委托代理人(签章)：</w:t>
            </w:r>
          </w:p>
        </w:tc>
      </w:tr>
      <w:tr>
        <w:tblPrEx>
          <w:tblCellMar>
            <w:top w:w="0" w:type="dxa"/>
            <w:left w:w="108" w:type="dxa"/>
            <w:bottom w:w="0" w:type="dxa"/>
            <w:right w:w="108" w:type="dxa"/>
          </w:tblCellMar>
        </w:tblPrEx>
        <w:trPr>
          <w:trHeight w:val="585" w:hRule="atLeast"/>
        </w:trPr>
        <w:tc>
          <w:tcPr>
            <w:tcW w:w="4219" w:type="dxa"/>
          </w:tcPr>
          <w:p>
            <w:pPr>
              <w:rPr>
                <w:rFonts w:hint="default" w:ascii="宋体" w:hAnsi="宋体" w:eastAsia="宋体"/>
                <w:color w:val="000000"/>
                <w:szCs w:val="21"/>
                <w:lang w:val="en-US" w:eastAsia="zh-CN"/>
              </w:rPr>
            </w:pPr>
            <w:r>
              <w:rPr>
                <w:rFonts w:hint="eastAsia" w:ascii="宋体" w:hAnsi="宋体"/>
                <w:color w:val="000000"/>
                <w:szCs w:val="21"/>
              </w:rPr>
              <w:t>地址：南宁市青秀区南湖街道凤岭北路111号南宁国际旅游中心1#楼8层 </w:t>
            </w:r>
          </w:p>
          <w:p>
            <w:pPr>
              <w:rPr>
                <w:rFonts w:ascii="宋体" w:hAnsi="宋体"/>
                <w:szCs w:val="21"/>
              </w:rPr>
            </w:pPr>
          </w:p>
          <w:p>
            <w:pPr>
              <w:rPr>
                <w:rFonts w:ascii="宋体" w:hAnsi="宋体"/>
                <w:szCs w:val="21"/>
              </w:rPr>
            </w:pPr>
          </w:p>
        </w:tc>
        <w:tc>
          <w:tcPr>
            <w:tcW w:w="3969" w:type="dxa"/>
          </w:tcPr>
          <w:p>
            <w:pPr>
              <w:pStyle w:val="20"/>
              <w:rPr>
                <w:rFonts w:ascii="宋体" w:hAnsi="宋体"/>
                <w:szCs w:val="21"/>
                <w:u w:val="single"/>
              </w:rPr>
            </w:pPr>
            <w:r>
              <w:rPr>
                <w:rFonts w:hint="eastAsia" w:ascii="宋体" w:hAnsi="宋体"/>
                <w:color w:val="000000"/>
                <w:szCs w:val="21"/>
              </w:rPr>
              <w:t>地址：</w:t>
            </w:r>
          </w:p>
        </w:tc>
      </w:tr>
      <w:tr>
        <w:tblPrEx>
          <w:tblCellMar>
            <w:top w:w="0" w:type="dxa"/>
            <w:left w:w="108" w:type="dxa"/>
            <w:bottom w:w="0" w:type="dxa"/>
            <w:right w:w="108" w:type="dxa"/>
          </w:tblCellMar>
        </w:tblPrEx>
        <w:tc>
          <w:tcPr>
            <w:tcW w:w="4219" w:type="dxa"/>
          </w:tcPr>
          <w:p>
            <w:pPr>
              <w:rPr>
                <w:rFonts w:ascii="宋体" w:hAnsi="宋体"/>
                <w:color w:val="000000"/>
                <w:szCs w:val="21"/>
              </w:rPr>
            </w:pPr>
            <w:r>
              <w:rPr>
                <w:rFonts w:hint="eastAsia" w:ascii="宋体" w:hAnsi="宋体"/>
                <w:color w:val="000000"/>
                <w:szCs w:val="21"/>
              </w:rPr>
              <w:t>电话：</w:t>
            </w:r>
            <w:r>
              <w:rPr>
                <w:rFonts w:hint="eastAsia" w:ascii="宋体" w:hAnsi="宋体"/>
                <w:color w:val="000000"/>
                <w:szCs w:val="21"/>
                <w:u w:val="single"/>
              </w:rPr>
              <w:t>0771-5522035</w:t>
            </w:r>
          </w:p>
          <w:p>
            <w:pPr>
              <w:rPr>
                <w:rFonts w:ascii="宋体" w:hAnsi="宋体"/>
                <w:szCs w:val="21"/>
              </w:rPr>
            </w:pPr>
          </w:p>
        </w:tc>
        <w:tc>
          <w:tcPr>
            <w:tcW w:w="3969" w:type="dxa"/>
          </w:tcPr>
          <w:p>
            <w:pPr>
              <w:rPr>
                <w:rFonts w:ascii="宋体" w:hAnsi="宋体"/>
                <w:szCs w:val="21"/>
                <w:u w:val="single"/>
              </w:rPr>
            </w:pPr>
            <w:r>
              <w:rPr>
                <w:rFonts w:hint="eastAsia" w:ascii="宋体" w:hAnsi="宋体"/>
                <w:color w:val="000000"/>
                <w:szCs w:val="21"/>
              </w:rPr>
              <w:t>电话：</w:t>
            </w:r>
          </w:p>
        </w:tc>
      </w:tr>
      <w:tr>
        <w:tblPrEx>
          <w:tblCellMar>
            <w:top w:w="0" w:type="dxa"/>
            <w:left w:w="108" w:type="dxa"/>
            <w:bottom w:w="0" w:type="dxa"/>
            <w:right w:w="108" w:type="dxa"/>
          </w:tblCellMar>
        </w:tblPrEx>
        <w:tc>
          <w:tcPr>
            <w:tcW w:w="4219" w:type="dxa"/>
          </w:tcPr>
          <w:p>
            <w:pPr>
              <w:rPr>
                <w:rFonts w:ascii="宋体" w:hAnsi="宋体"/>
                <w:color w:val="000000"/>
                <w:szCs w:val="21"/>
              </w:rPr>
            </w:pPr>
            <w:r>
              <w:rPr>
                <w:rFonts w:hint="eastAsia" w:ascii="宋体" w:hAnsi="宋体"/>
                <w:color w:val="000000"/>
                <w:szCs w:val="21"/>
              </w:rPr>
              <w:t>传真：</w:t>
            </w:r>
            <w:r>
              <w:rPr>
                <w:rFonts w:hint="eastAsia" w:ascii="宋体" w:hAnsi="宋体"/>
                <w:color w:val="000000"/>
                <w:szCs w:val="21"/>
                <w:u w:val="single"/>
              </w:rPr>
              <w:t>0771-5522582</w:t>
            </w:r>
          </w:p>
          <w:p>
            <w:pPr>
              <w:rPr>
                <w:rFonts w:ascii="宋体" w:hAnsi="宋体"/>
                <w:szCs w:val="21"/>
              </w:rPr>
            </w:pPr>
          </w:p>
        </w:tc>
        <w:tc>
          <w:tcPr>
            <w:tcW w:w="3969" w:type="dxa"/>
          </w:tcPr>
          <w:p>
            <w:pPr>
              <w:rPr>
                <w:rFonts w:ascii="宋体" w:hAnsi="宋体"/>
                <w:szCs w:val="21"/>
                <w:u w:val="single"/>
              </w:rPr>
            </w:pPr>
            <w:r>
              <w:rPr>
                <w:rFonts w:hint="eastAsia" w:ascii="宋体" w:hAnsi="宋体"/>
                <w:color w:val="000000"/>
                <w:szCs w:val="21"/>
              </w:rPr>
              <w:t>传真：</w:t>
            </w:r>
          </w:p>
        </w:tc>
      </w:tr>
      <w:tr>
        <w:tblPrEx>
          <w:tblCellMar>
            <w:top w:w="0" w:type="dxa"/>
            <w:left w:w="108" w:type="dxa"/>
            <w:bottom w:w="0" w:type="dxa"/>
            <w:right w:w="108" w:type="dxa"/>
          </w:tblCellMar>
        </w:tblPrEx>
        <w:tc>
          <w:tcPr>
            <w:tcW w:w="4219" w:type="dxa"/>
          </w:tcPr>
          <w:p>
            <w:pPr>
              <w:rPr>
                <w:rFonts w:ascii="宋体" w:hAnsi="宋体"/>
                <w:szCs w:val="21"/>
              </w:rPr>
            </w:pPr>
            <w:r>
              <w:rPr>
                <w:rFonts w:hint="eastAsia" w:ascii="宋体" w:hAnsi="宋体"/>
                <w:color w:val="000000"/>
                <w:szCs w:val="21"/>
              </w:rPr>
              <w:t>开户银行：招商银行股份有限公司南宁分行</w:t>
            </w:r>
          </w:p>
        </w:tc>
        <w:tc>
          <w:tcPr>
            <w:tcW w:w="3969" w:type="dxa"/>
          </w:tcPr>
          <w:p>
            <w:pPr>
              <w:rPr>
                <w:rFonts w:ascii="宋体" w:hAnsi="宋体"/>
                <w:b/>
                <w:bCs/>
                <w:sz w:val="24"/>
              </w:rPr>
            </w:pPr>
            <w:r>
              <w:rPr>
                <w:rFonts w:hint="eastAsia" w:ascii="宋体" w:hAnsi="宋体"/>
                <w:color w:val="000000"/>
                <w:szCs w:val="21"/>
              </w:rPr>
              <w:t>开户银行：</w:t>
            </w:r>
          </w:p>
          <w:p>
            <w:pPr>
              <w:rPr>
                <w:rFonts w:ascii="宋体" w:hAnsi="宋体"/>
                <w:szCs w:val="21"/>
              </w:rPr>
            </w:pPr>
          </w:p>
        </w:tc>
      </w:tr>
      <w:tr>
        <w:tblPrEx>
          <w:tblCellMar>
            <w:top w:w="0" w:type="dxa"/>
            <w:left w:w="108" w:type="dxa"/>
            <w:bottom w:w="0" w:type="dxa"/>
            <w:right w:w="108" w:type="dxa"/>
          </w:tblCellMar>
        </w:tblPrEx>
        <w:trPr>
          <w:trHeight w:val="1619" w:hRule="atLeast"/>
        </w:trPr>
        <w:tc>
          <w:tcPr>
            <w:tcW w:w="4219" w:type="dxa"/>
          </w:tcPr>
          <w:p>
            <w:pPr>
              <w:rPr>
                <w:rFonts w:ascii="宋体" w:hAnsi="宋体"/>
                <w:szCs w:val="21"/>
                <w:u w:val="single"/>
              </w:rPr>
            </w:pPr>
            <w:r>
              <w:rPr>
                <w:rFonts w:hint="eastAsia" w:ascii="宋体" w:hAnsi="宋体"/>
                <w:szCs w:val="21"/>
              </w:rPr>
              <w:t>账号：771902854910101</w:t>
            </w:r>
          </w:p>
          <w:p>
            <w:pPr>
              <w:rPr>
                <w:rFonts w:ascii="宋体" w:hAnsi="宋体"/>
                <w:szCs w:val="21"/>
              </w:rPr>
            </w:pPr>
          </w:p>
          <w:p>
            <w:pPr>
              <w:rPr>
                <w:rFonts w:ascii="宋体" w:hAnsi="宋体"/>
                <w:szCs w:val="21"/>
                <w:u w:val="single"/>
              </w:rPr>
            </w:pPr>
            <w:r>
              <w:rPr>
                <w:rFonts w:hint="eastAsia" w:ascii="宋体" w:hAnsi="宋体"/>
                <w:szCs w:val="21"/>
                <w:lang w:val="en-US" w:eastAsia="zh-CN"/>
              </w:rPr>
              <w:t>纳税人识别</w:t>
            </w:r>
            <w:r>
              <w:rPr>
                <w:rFonts w:hint="eastAsia" w:ascii="宋体" w:hAnsi="宋体"/>
                <w:szCs w:val="21"/>
              </w:rPr>
              <w:t>号：91450100MAA7LNB68J</w:t>
            </w:r>
          </w:p>
          <w:p>
            <w:pPr>
              <w:rPr>
                <w:rFonts w:ascii="宋体" w:hAnsi="宋体"/>
                <w:szCs w:val="21"/>
              </w:rPr>
            </w:pPr>
          </w:p>
        </w:tc>
        <w:tc>
          <w:tcPr>
            <w:tcW w:w="3969" w:type="dxa"/>
          </w:tcPr>
          <w:p>
            <w:pPr>
              <w:rPr>
                <w:rFonts w:ascii="宋体" w:hAnsi="宋体"/>
                <w:szCs w:val="21"/>
              </w:rPr>
            </w:pPr>
            <w:r>
              <w:rPr>
                <w:rFonts w:hint="eastAsia" w:ascii="宋体" w:hAnsi="宋体"/>
                <w:szCs w:val="21"/>
              </w:rPr>
              <w:t>账号：</w:t>
            </w:r>
          </w:p>
          <w:p>
            <w:pPr>
              <w:rPr>
                <w:rFonts w:ascii="宋体" w:hAnsi="宋体"/>
                <w:szCs w:val="21"/>
              </w:rPr>
            </w:pPr>
          </w:p>
          <w:p>
            <w:pPr>
              <w:rPr>
                <w:rFonts w:ascii="宋体" w:hAnsi="宋体"/>
                <w:szCs w:val="21"/>
                <w:u w:val="single"/>
              </w:rPr>
            </w:pPr>
            <w:r>
              <w:rPr>
                <w:rFonts w:hint="eastAsia" w:ascii="宋体" w:hAnsi="宋体"/>
                <w:szCs w:val="21"/>
                <w:lang w:val="en-US" w:eastAsia="zh-CN"/>
              </w:rPr>
              <w:t>纳税人识别</w:t>
            </w:r>
            <w:r>
              <w:rPr>
                <w:rFonts w:hint="eastAsia" w:ascii="宋体" w:hAnsi="宋体"/>
                <w:szCs w:val="21"/>
              </w:rPr>
              <w:t>号：</w:t>
            </w:r>
          </w:p>
          <w:p>
            <w:pPr>
              <w:rPr>
                <w:rFonts w:ascii="宋体" w:hAnsi="宋体" w:cs="宋体"/>
                <w:color w:val="000000"/>
                <w:szCs w:val="21"/>
                <w:u w:val="single"/>
              </w:rPr>
            </w:pPr>
          </w:p>
          <w:p>
            <w:pPr>
              <w:rPr>
                <w:rFonts w:ascii="宋体" w:hAnsi="宋体"/>
                <w:szCs w:val="21"/>
              </w:rPr>
            </w:pPr>
          </w:p>
        </w:tc>
      </w:tr>
      <w:tr>
        <w:tblPrEx>
          <w:tblCellMar>
            <w:top w:w="0" w:type="dxa"/>
            <w:left w:w="108" w:type="dxa"/>
            <w:bottom w:w="0" w:type="dxa"/>
            <w:right w:w="108" w:type="dxa"/>
          </w:tblCellMar>
        </w:tblPrEx>
        <w:tc>
          <w:tcPr>
            <w:tcW w:w="4219" w:type="dxa"/>
          </w:tcPr>
          <w:p>
            <w:pPr>
              <w:rPr>
                <w:rFonts w:ascii="宋体" w:hAnsi="宋体"/>
                <w:szCs w:val="21"/>
              </w:rPr>
            </w:pPr>
            <w:r>
              <w:rPr>
                <w:rFonts w:hint="eastAsia" w:ascii="宋体" w:hAnsi="宋体"/>
                <w:color w:val="000000"/>
                <w:szCs w:val="21"/>
              </w:rPr>
              <w:t>签订日期：    年   月  日</w:t>
            </w:r>
          </w:p>
        </w:tc>
        <w:tc>
          <w:tcPr>
            <w:tcW w:w="3969" w:type="dxa"/>
          </w:tcPr>
          <w:p>
            <w:pPr>
              <w:rPr>
                <w:rFonts w:ascii="宋体" w:hAnsi="宋体"/>
                <w:szCs w:val="21"/>
              </w:rPr>
            </w:pPr>
          </w:p>
        </w:tc>
      </w:tr>
      <w:tr>
        <w:tblPrEx>
          <w:tblCellMar>
            <w:top w:w="0" w:type="dxa"/>
            <w:left w:w="108" w:type="dxa"/>
            <w:bottom w:w="0" w:type="dxa"/>
            <w:right w:w="108" w:type="dxa"/>
          </w:tblCellMar>
        </w:tblPrEx>
        <w:trPr>
          <w:trHeight w:val="598" w:hRule="atLeast"/>
        </w:trPr>
        <w:tc>
          <w:tcPr>
            <w:tcW w:w="4219" w:type="dxa"/>
          </w:tcPr>
          <w:p>
            <w:pPr>
              <w:rPr>
                <w:rFonts w:ascii="宋体" w:hAnsi="宋体"/>
                <w:color w:val="000000"/>
                <w:szCs w:val="21"/>
              </w:rPr>
            </w:pPr>
          </w:p>
          <w:p>
            <w:pPr>
              <w:rPr>
                <w:rFonts w:ascii="宋体" w:hAnsi="宋体"/>
                <w:szCs w:val="21"/>
              </w:rPr>
            </w:pPr>
            <w:r>
              <w:rPr>
                <w:rFonts w:hint="eastAsia" w:ascii="宋体" w:hAnsi="宋体"/>
                <w:color w:val="000000"/>
                <w:szCs w:val="21"/>
              </w:rPr>
              <w:t>合同签订地：广西南宁市青秀区</w:t>
            </w:r>
          </w:p>
        </w:tc>
        <w:tc>
          <w:tcPr>
            <w:tcW w:w="3969" w:type="dxa"/>
          </w:tcPr>
          <w:p>
            <w:pPr>
              <w:rPr>
                <w:rFonts w:ascii="宋体" w:hAnsi="宋体"/>
                <w:color w:val="000000"/>
                <w:szCs w:val="21"/>
              </w:rPr>
            </w:pPr>
          </w:p>
        </w:tc>
      </w:tr>
    </w:tbl>
    <w:p>
      <w:pPr>
        <w:spacing w:line="460" w:lineRule="exact"/>
        <w:rPr>
          <w:rFonts w:ascii="宋体" w:hAnsi="宋体"/>
          <w:b/>
          <w:szCs w:val="21"/>
        </w:rPr>
      </w:pPr>
    </w:p>
    <w:p>
      <w:pPr>
        <w:spacing w:line="360" w:lineRule="auto"/>
        <w:ind w:firstLine="1044" w:firstLineChars="495"/>
        <w:rPr>
          <w:rFonts w:ascii="宋体" w:hAnsi="宋体"/>
          <w:b/>
          <w:szCs w:val="21"/>
        </w:rPr>
      </w:pPr>
    </w:p>
    <w:p>
      <w:pPr>
        <w:spacing w:line="360" w:lineRule="auto"/>
        <w:ind w:firstLine="1044" w:firstLineChars="495"/>
        <w:rPr>
          <w:rFonts w:ascii="宋体" w:hAnsi="宋体"/>
          <w:b/>
          <w:szCs w:val="21"/>
        </w:rPr>
      </w:pPr>
    </w:p>
    <w:p>
      <w:pPr>
        <w:spacing w:line="360" w:lineRule="auto"/>
        <w:ind w:firstLine="1044" w:firstLineChars="495"/>
        <w:rPr>
          <w:rFonts w:ascii="宋体" w:hAnsi="宋体"/>
          <w:b/>
          <w:szCs w:val="21"/>
        </w:rPr>
      </w:pPr>
    </w:p>
    <w:p>
      <w:pPr>
        <w:spacing w:line="600" w:lineRule="exact"/>
        <w:rPr>
          <w:rFonts w:ascii="黑体" w:hAnsi="宋体" w:eastAsia="黑体"/>
          <w:b/>
          <w:color w:val="000000"/>
          <w:sz w:val="28"/>
          <w:szCs w:val="28"/>
        </w:rPr>
      </w:pPr>
    </w:p>
    <w:p>
      <w:pPr>
        <w:spacing w:line="600" w:lineRule="exact"/>
        <w:rPr>
          <w:rFonts w:ascii="黑体" w:hAnsi="宋体" w:eastAsia="黑体"/>
          <w:b/>
          <w:color w:val="000000"/>
          <w:sz w:val="28"/>
          <w:szCs w:val="28"/>
        </w:rPr>
      </w:pPr>
      <w:r>
        <w:rPr>
          <w:rFonts w:ascii="黑体" w:hAnsi="宋体" w:eastAsia="黑体"/>
          <w:b/>
          <w:color w:val="000000"/>
          <w:sz w:val="28"/>
          <w:szCs w:val="28"/>
        </w:rPr>
        <w:br w:type="page"/>
      </w:r>
      <w:r>
        <w:rPr>
          <w:rFonts w:hint="eastAsia" w:ascii="宋体" w:hAnsi="宋体"/>
          <w:b/>
          <w:color w:val="000000"/>
          <w:sz w:val="24"/>
          <w:szCs w:val="32"/>
        </w:rPr>
        <w:t>附件1：</w:t>
      </w:r>
    </w:p>
    <w:p>
      <w:pPr>
        <w:spacing w:line="600" w:lineRule="exact"/>
        <w:jc w:val="center"/>
      </w:pPr>
      <w:r>
        <w:rPr>
          <w:rFonts w:hint="eastAsia" w:hAnsi="宋体" w:cs="宋体"/>
          <w:b/>
          <w:color w:val="000000"/>
          <w:spacing w:val="-10"/>
          <w:sz w:val="30"/>
          <w:szCs w:val="30"/>
        </w:rPr>
        <w:t>轨道</w:t>
      </w:r>
      <w:r>
        <w:rPr>
          <w:rFonts w:hint="eastAsia" w:hAnsi="宋体" w:cs="宋体"/>
          <w:b/>
          <w:color w:val="000000"/>
          <w:spacing w:val="-10"/>
          <w:sz w:val="30"/>
          <w:szCs w:val="30"/>
          <w:lang w:val="en-US" w:eastAsia="zh-CN"/>
        </w:rPr>
        <w:t>西悦基建变</w:t>
      </w:r>
      <w:r>
        <w:rPr>
          <w:rFonts w:hint="eastAsia" w:hAnsi="宋体" w:cs="宋体"/>
          <w:b/>
          <w:color w:val="000000"/>
          <w:spacing w:val="-10"/>
          <w:sz w:val="30"/>
          <w:szCs w:val="30"/>
        </w:rPr>
        <w:t>工程</w:t>
      </w:r>
      <w:r>
        <w:rPr>
          <w:rFonts w:hint="eastAsia" w:ascii="宋体" w:hAnsi="宋体"/>
          <w:b/>
          <w:color w:val="000000"/>
          <w:sz w:val="32"/>
          <w:szCs w:val="32"/>
        </w:rPr>
        <w:t>维修服务承诺书</w:t>
      </w:r>
    </w:p>
    <w:p>
      <w:pPr>
        <w:spacing w:line="360" w:lineRule="auto"/>
        <w:jc w:val="center"/>
        <w:rPr>
          <w:rFonts w:ascii="黑体" w:hAnsi="宋体" w:eastAsia="黑体"/>
          <w:b/>
          <w:color w:val="000000"/>
          <w:sz w:val="28"/>
          <w:szCs w:val="28"/>
        </w:rPr>
      </w:pPr>
    </w:p>
    <w:p>
      <w:pPr>
        <w:spacing w:line="360" w:lineRule="exact"/>
        <w:rPr>
          <w:rFonts w:ascii="宋体" w:hAnsi="宋体"/>
          <w:color w:val="000000"/>
          <w:szCs w:val="21"/>
        </w:rPr>
      </w:pPr>
      <w:r>
        <w:rPr>
          <w:rFonts w:hint="eastAsia" w:ascii="宋体" w:hAnsi="宋体"/>
          <w:szCs w:val="21"/>
          <w:u w:val="single"/>
          <w:lang w:eastAsia="zh-CN"/>
        </w:rPr>
        <w:t>南宁轨道锦绣中尧房地产有限公司</w:t>
      </w:r>
      <w:r>
        <w:rPr>
          <w:rFonts w:hint="eastAsia" w:ascii="宋体" w:hAnsi="宋体"/>
          <w:color w:val="000000"/>
          <w:szCs w:val="21"/>
        </w:rPr>
        <w:t>：</w:t>
      </w:r>
    </w:p>
    <w:p>
      <w:pPr>
        <w:spacing w:line="360" w:lineRule="exact"/>
        <w:ind w:firstLine="420" w:firstLineChars="200"/>
        <w:rPr>
          <w:rFonts w:ascii="宋体" w:hAnsi="宋体"/>
          <w:szCs w:val="21"/>
        </w:rPr>
      </w:pPr>
      <w:r>
        <w:rPr>
          <w:rFonts w:hint="eastAsia" w:ascii="宋体" w:hAnsi="宋体"/>
          <w:szCs w:val="21"/>
        </w:rPr>
        <w:t>为配合贵公司的客户服务工作，也为了体现我公司与贵公司良好合作的意愿，根据贵公司提供的</w:t>
      </w:r>
      <w:r>
        <w:rPr>
          <w:rFonts w:hint="eastAsia" w:ascii="宋体" w:hAnsi="宋体"/>
          <w:szCs w:val="21"/>
          <w:lang w:val="en-US" w:eastAsia="zh-CN"/>
        </w:rPr>
        <w:t>比选</w:t>
      </w:r>
      <w:r>
        <w:rPr>
          <w:rFonts w:hint="eastAsia" w:ascii="宋体" w:hAnsi="宋体"/>
          <w:szCs w:val="21"/>
        </w:rPr>
        <w:t>文件和合同的有关工程保修条款的精神，如果贵公司的</w:t>
      </w:r>
      <w:r>
        <w:rPr>
          <w:rFonts w:hint="eastAsia" w:hAnsi="宋体" w:cs="宋体"/>
          <w:b/>
          <w:color w:val="000000"/>
          <w:spacing w:val="-10"/>
          <w:szCs w:val="21"/>
          <w:u w:val="single"/>
          <w:lang w:eastAsia="zh-CN"/>
        </w:rPr>
        <w:t>轨道西悦项目基建变工程</w:t>
      </w:r>
      <w:r>
        <w:rPr>
          <w:rFonts w:hint="eastAsia" w:ascii="宋体" w:hAnsi="宋体"/>
          <w:szCs w:val="21"/>
        </w:rPr>
        <w:t>由我公司中标，我公司向贵公司就维修服务郑重承诺如下：</w:t>
      </w:r>
    </w:p>
    <w:p>
      <w:pPr>
        <w:spacing w:line="360" w:lineRule="exact"/>
        <w:ind w:firstLine="420" w:firstLineChars="200"/>
        <w:rPr>
          <w:rFonts w:ascii="宋体" w:hAnsi="宋体"/>
          <w:szCs w:val="21"/>
        </w:rPr>
      </w:pPr>
      <w:r>
        <w:rPr>
          <w:rFonts w:hint="eastAsia" w:ascii="宋体" w:hAnsi="宋体"/>
          <w:szCs w:val="21"/>
        </w:rPr>
        <w:t>1、我公司将遵照合同及</w:t>
      </w:r>
      <w:r>
        <w:rPr>
          <w:rFonts w:hint="eastAsia" w:ascii="宋体" w:hAnsi="宋体"/>
          <w:szCs w:val="21"/>
          <w:lang w:val="en-US" w:eastAsia="zh-CN"/>
        </w:rPr>
        <w:t>比选</w:t>
      </w:r>
      <w:r>
        <w:rPr>
          <w:rFonts w:hint="eastAsia" w:ascii="宋体" w:hAnsi="宋体"/>
          <w:szCs w:val="21"/>
        </w:rPr>
        <w:t>文件的各项条款，保质、保量、如期地完成工程责任范围内的各项工作，并按照合同履行保修义务。</w:t>
      </w:r>
    </w:p>
    <w:p>
      <w:pPr>
        <w:spacing w:line="360" w:lineRule="exact"/>
        <w:ind w:firstLine="420" w:firstLineChars="200"/>
        <w:rPr>
          <w:rFonts w:ascii="宋体" w:hAnsi="宋体"/>
          <w:szCs w:val="21"/>
        </w:rPr>
      </w:pPr>
      <w:r>
        <w:rPr>
          <w:rFonts w:hint="eastAsia" w:ascii="宋体" w:hAnsi="宋体"/>
          <w:szCs w:val="21"/>
        </w:rPr>
        <w:t>2、在工程保修期间，属于保修范围、内容的项目，我公司承诺在接到保修通知的4小时内响应，24小时内派人维修完毕，否则，贵公司有优先派遣其它任何专业维修商进行维修的权利。</w:t>
      </w:r>
    </w:p>
    <w:p>
      <w:pPr>
        <w:spacing w:line="360" w:lineRule="exact"/>
        <w:ind w:firstLine="420" w:firstLineChars="200"/>
        <w:rPr>
          <w:rFonts w:ascii="宋体" w:hAnsi="宋体"/>
          <w:szCs w:val="21"/>
        </w:rPr>
      </w:pPr>
      <w:r>
        <w:rPr>
          <w:rFonts w:hint="eastAsia" w:ascii="宋体" w:hAnsi="宋体"/>
          <w:szCs w:val="21"/>
        </w:rPr>
        <w:t>3、当贵公司派遣的施工单位在维修时，我公司确保提供包括材料、技术、前期施工情况等方面的支持、帮助和交底，以协调其快速且优质地完成维修工作。</w:t>
      </w:r>
    </w:p>
    <w:p>
      <w:pPr>
        <w:spacing w:line="360" w:lineRule="exact"/>
        <w:ind w:firstLine="420" w:firstLineChars="200"/>
        <w:rPr>
          <w:rFonts w:ascii="宋体" w:hAnsi="宋体"/>
          <w:szCs w:val="21"/>
        </w:rPr>
      </w:pPr>
      <w:r>
        <w:rPr>
          <w:rFonts w:hint="eastAsia" w:ascii="宋体" w:hAnsi="宋体"/>
          <w:szCs w:val="21"/>
        </w:rPr>
        <w:t>4、贵公司所派遣的专业维修商进行维修费用的计算方法，按照专业维修商的计价取费独立核算，我公司同意贵公司可直接从我公司的保修金中扣除，如保修金不足扣除部分，到时将由我公司支付。我公司充分相信贵公司在处理费用支付问题时将会持公平和公正的立场。</w:t>
      </w:r>
    </w:p>
    <w:p>
      <w:pPr>
        <w:spacing w:line="360" w:lineRule="exact"/>
        <w:ind w:firstLine="420" w:firstLineChars="200"/>
        <w:rPr>
          <w:rFonts w:ascii="宋体" w:hAnsi="宋体"/>
          <w:szCs w:val="21"/>
        </w:rPr>
      </w:pPr>
      <w:r>
        <w:rPr>
          <w:rFonts w:hint="eastAsia" w:ascii="宋体" w:hAnsi="宋体"/>
          <w:szCs w:val="21"/>
        </w:rPr>
        <w:t>5、在工程保修期间，我公司会认真听从贵公司相关人员的指挥调度等方面的要求，做到服务周到、随叫随到，保证工程维修的质量及效果。</w:t>
      </w:r>
    </w:p>
    <w:p>
      <w:pPr>
        <w:spacing w:line="360" w:lineRule="exact"/>
        <w:ind w:firstLine="420" w:firstLineChars="200"/>
        <w:rPr>
          <w:rFonts w:ascii="宋体" w:hAnsi="宋体"/>
          <w:szCs w:val="21"/>
        </w:rPr>
      </w:pPr>
      <w:r>
        <w:rPr>
          <w:rFonts w:hint="eastAsia" w:ascii="宋体" w:hAnsi="宋体"/>
          <w:szCs w:val="21"/>
        </w:rPr>
        <w:t>6、在工程保修期间，如因我公司工作质量（包括实体质量和服务质量）原因而发生任何有损贵公司声誉的问题，由我公司承担一切责任，且贵公司另行派遣专业维修商进行工程维修时所发生的费用均由我公司承担。</w:t>
      </w:r>
    </w:p>
    <w:p>
      <w:pPr>
        <w:spacing w:line="360" w:lineRule="exact"/>
        <w:ind w:firstLine="420" w:firstLineChars="200"/>
        <w:rPr>
          <w:rFonts w:ascii="宋体" w:hAnsi="宋体"/>
          <w:szCs w:val="21"/>
        </w:rPr>
      </w:pPr>
      <w:r>
        <w:rPr>
          <w:rFonts w:hint="eastAsia" w:ascii="宋体" w:hAnsi="宋体"/>
          <w:szCs w:val="21"/>
        </w:rPr>
        <w:t>7、保修期间可能发生的窝工、交通费、额外费等已由我公司充分考虑。</w:t>
      </w:r>
    </w:p>
    <w:p>
      <w:pPr>
        <w:spacing w:line="360" w:lineRule="exact"/>
        <w:ind w:firstLine="420" w:firstLineChars="200"/>
        <w:rPr>
          <w:rFonts w:ascii="宋体" w:hAnsi="宋体"/>
          <w:szCs w:val="21"/>
        </w:rPr>
      </w:pPr>
      <w:r>
        <w:rPr>
          <w:rFonts w:hint="eastAsia" w:ascii="宋体" w:hAnsi="宋体"/>
          <w:szCs w:val="21"/>
        </w:rPr>
        <w:t>8、维修保证金不足以支付因我公司工程施工原因造成的维修费用时，我公司将在贵公司提出要求的拾日内与贵公司协商后叁日内支付，超出拾日且我公司未作实质性答复时，贵公司所提要求均视为被我公司认可。</w:t>
      </w:r>
    </w:p>
    <w:p>
      <w:pPr>
        <w:spacing w:line="360" w:lineRule="exact"/>
        <w:ind w:firstLine="420" w:firstLineChars="200"/>
        <w:rPr>
          <w:rFonts w:ascii="宋体" w:hAnsi="宋体"/>
          <w:szCs w:val="21"/>
        </w:rPr>
      </w:pPr>
      <w:r>
        <w:rPr>
          <w:rFonts w:hint="eastAsia" w:ascii="宋体" w:hAnsi="宋体"/>
          <w:szCs w:val="21"/>
        </w:rPr>
        <w:t>9、我公司在合同价款中已充分考虑了本承诺书的各项因素，不再对此提出异议。</w:t>
      </w:r>
    </w:p>
    <w:p>
      <w:pPr>
        <w:spacing w:line="360" w:lineRule="exact"/>
        <w:ind w:firstLine="420" w:firstLineChars="200"/>
        <w:rPr>
          <w:rFonts w:ascii="宋体" w:hAnsi="宋体"/>
          <w:szCs w:val="21"/>
        </w:rPr>
      </w:pPr>
      <w:r>
        <w:rPr>
          <w:rFonts w:hint="eastAsia" w:ascii="宋体" w:hAnsi="宋体"/>
          <w:szCs w:val="21"/>
        </w:rPr>
        <w:t>10、在工程保修期满后，我公司仍对我公司所实施的产品承担维修义务。系统如出现故障或其他问题时，收到贵公司的通知后，我公司将立即派遣维修人员到现场进行维修。如涉及系统配件更换或更新等，则我公司仍按投标单价收取费用。</w:t>
      </w:r>
    </w:p>
    <w:p>
      <w:pPr>
        <w:spacing w:line="360" w:lineRule="exact"/>
        <w:rPr>
          <w:rFonts w:ascii="宋体" w:hAnsi="宋体"/>
          <w:sz w:val="24"/>
          <w:szCs w:val="24"/>
        </w:rPr>
      </w:pPr>
    </w:p>
    <w:p>
      <w:pPr>
        <w:spacing w:line="360" w:lineRule="exact"/>
        <w:ind w:firstLine="4935" w:firstLineChars="2350"/>
        <w:rPr>
          <w:rFonts w:ascii="宋体" w:hAnsi="宋体"/>
          <w:szCs w:val="21"/>
        </w:rPr>
      </w:pPr>
      <w:r>
        <w:rPr>
          <w:rFonts w:hint="eastAsia" w:ascii="宋体" w:hAnsi="宋体"/>
          <w:szCs w:val="21"/>
        </w:rPr>
        <w:t>单位名称：           （盖章）</w:t>
      </w:r>
    </w:p>
    <w:p>
      <w:pPr>
        <w:spacing w:line="360" w:lineRule="exact"/>
        <w:ind w:firstLine="4935" w:firstLineChars="2350"/>
        <w:rPr>
          <w:rFonts w:ascii="宋体" w:hAnsi="宋体"/>
          <w:szCs w:val="21"/>
        </w:rPr>
      </w:pPr>
      <w:r>
        <w:rPr>
          <w:rFonts w:hint="eastAsia" w:ascii="宋体" w:hAnsi="宋体"/>
          <w:szCs w:val="21"/>
        </w:rPr>
        <w:t>法定代表人或委托代理人：</w:t>
      </w:r>
    </w:p>
    <w:p>
      <w:pPr>
        <w:spacing w:line="360" w:lineRule="exact"/>
        <w:ind w:firstLine="4935" w:firstLineChars="2350"/>
        <w:rPr>
          <w:rFonts w:ascii="宋体" w:hAnsi="宋体"/>
          <w:color w:val="000000"/>
          <w:szCs w:val="21"/>
        </w:rPr>
      </w:pPr>
      <w:r>
        <w:rPr>
          <w:rFonts w:ascii="宋体" w:hAnsi="宋体"/>
          <w:color w:val="000000"/>
          <w:szCs w:val="21"/>
        </w:rPr>
        <w:t>日期：</w:t>
      </w:r>
      <w:r>
        <w:rPr>
          <w:rFonts w:hint="eastAsia" w:ascii="宋体" w:hAnsi="宋体"/>
          <w:color w:val="000000"/>
          <w:szCs w:val="21"/>
        </w:rPr>
        <w:t xml:space="preserve">     </w:t>
      </w:r>
      <w:r>
        <w:rPr>
          <w:rFonts w:ascii="宋体" w:hAnsi="宋体"/>
          <w:color w:val="000000"/>
          <w:szCs w:val="21"/>
        </w:rPr>
        <w:t>年      月      日</w:t>
      </w:r>
    </w:p>
    <w:p>
      <w:pPr>
        <w:spacing w:line="360" w:lineRule="exact"/>
        <w:rPr>
          <w:rFonts w:hAnsi="宋体"/>
          <w:b/>
          <w:color w:val="000000"/>
          <w:sz w:val="28"/>
          <w:szCs w:val="32"/>
        </w:rPr>
      </w:pPr>
      <w:r>
        <w:rPr>
          <w:rFonts w:ascii="宋体" w:hAnsi="宋体"/>
          <w:color w:val="000000"/>
          <w:szCs w:val="21"/>
        </w:rPr>
        <w:br w:type="page"/>
      </w:r>
      <w:r>
        <w:rPr>
          <w:rFonts w:hint="eastAsia" w:hAnsi="宋体"/>
          <w:b/>
          <w:color w:val="000000"/>
          <w:sz w:val="28"/>
          <w:szCs w:val="32"/>
        </w:rPr>
        <w:t>附件2：</w:t>
      </w:r>
    </w:p>
    <w:p>
      <w:pPr>
        <w:jc w:val="center"/>
        <w:rPr>
          <w:b/>
          <w:sz w:val="28"/>
          <w:szCs w:val="28"/>
        </w:rPr>
      </w:pPr>
      <w:bookmarkStart w:id="38" w:name="_Toc423001067"/>
      <w:r>
        <w:rPr>
          <w:rFonts w:hint="eastAsia"/>
          <w:b/>
          <w:sz w:val="28"/>
          <w:szCs w:val="28"/>
        </w:rPr>
        <w:t>安全生产责任书</w:t>
      </w:r>
      <w:bookmarkEnd w:id="38"/>
    </w:p>
    <w:p>
      <w:pPr>
        <w:spacing w:line="360" w:lineRule="auto"/>
        <w:rPr>
          <w:szCs w:val="21"/>
        </w:rPr>
      </w:pPr>
    </w:p>
    <w:p>
      <w:pPr>
        <w:spacing w:line="360" w:lineRule="auto"/>
        <w:rPr>
          <w:rFonts w:hint="eastAsia" w:eastAsia="宋体"/>
          <w:szCs w:val="21"/>
          <w:lang w:eastAsia="zh-CN"/>
        </w:rPr>
      </w:pPr>
      <w:r>
        <w:rPr>
          <w:szCs w:val="21"/>
        </w:rPr>
        <w:t>发包人(全称)：</w:t>
      </w:r>
      <w:r>
        <w:rPr>
          <w:rFonts w:hint="eastAsia" w:ascii="宋体" w:hAnsi="宋体"/>
          <w:b/>
          <w:szCs w:val="21"/>
          <w:u w:val="single"/>
          <w:lang w:eastAsia="zh-CN"/>
        </w:rPr>
        <w:t>南宁轨道锦绣中尧房地产有限公司</w:t>
      </w:r>
    </w:p>
    <w:p>
      <w:pPr>
        <w:spacing w:line="360" w:lineRule="auto"/>
        <w:rPr>
          <w:szCs w:val="21"/>
          <w:u w:val="single"/>
        </w:rPr>
      </w:pPr>
      <w:r>
        <w:rPr>
          <w:szCs w:val="21"/>
        </w:rPr>
        <w:t>承包人(全称)：</w:t>
      </w:r>
    </w:p>
    <w:p>
      <w:pPr>
        <w:spacing w:line="360" w:lineRule="auto"/>
        <w:ind w:firstLine="420" w:firstLineChars="200"/>
        <w:rPr>
          <w:szCs w:val="21"/>
        </w:rPr>
      </w:pPr>
      <w:r>
        <w:rPr>
          <w:szCs w:val="21"/>
        </w:rPr>
        <w:t>为确保</w:t>
      </w:r>
      <w:r>
        <w:rPr>
          <w:rFonts w:hint="eastAsia" w:hAnsi="宋体" w:cs="宋体"/>
          <w:b/>
          <w:color w:val="000000"/>
          <w:spacing w:val="-10"/>
          <w:szCs w:val="21"/>
          <w:u w:val="single"/>
          <w:lang w:eastAsia="zh-CN"/>
        </w:rPr>
        <w:t>轨道西悦项目基建变工程</w:t>
      </w:r>
      <w:r>
        <w:rPr>
          <w:szCs w:val="21"/>
        </w:rPr>
        <w:t>项目的施工安全，依照国家、住建部（原建设部）及广西壮族自治区、南宁市有关法律、法规，发包人、承包人</w:t>
      </w:r>
      <w:r>
        <w:rPr>
          <w:rFonts w:hint="eastAsia"/>
          <w:szCs w:val="21"/>
        </w:rPr>
        <w:t>双</w:t>
      </w:r>
      <w:r>
        <w:rPr>
          <w:szCs w:val="21"/>
        </w:rPr>
        <w:t>方经协商，特签订本协议：</w:t>
      </w:r>
    </w:p>
    <w:p>
      <w:pPr>
        <w:spacing w:line="360" w:lineRule="auto"/>
        <w:ind w:firstLine="420" w:firstLineChars="200"/>
        <w:rPr>
          <w:szCs w:val="21"/>
        </w:rPr>
      </w:pPr>
      <w:r>
        <w:rPr>
          <w:szCs w:val="21"/>
        </w:rPr>
        <w:t>第一条</w:t>
      </w:r>
      <w:r>
        <w:rPr>
          <w:rFonts w:hint="eastAsia"/>
          <w:szCs w:val="21"/>
        </w:rPr>
        <w:t>双</w:t>
      </w:r>
      <w:r>
        <w:rPr>
          <w:szCs w:val="21"/>
        </w:rPr>
        <w:t>方必须严格遵守国家、行业和广西壮族自治区、南宁市安全生产法律、法规的规定，保证本工程安全生产，依法承担建设工程安全生产责任。</w:t>
      </w:r>
    </w:p>
    <w:p>
      <w:pPr>
        <w:spacing w:line="360" w:lineRule="auto"/>
        <w:ind w:firstLine="420" w:firstLineChars="200"/>
        <w:rPr>
          <w:szCs w:val="21"/>
        </w:rPr>
      </w:pPr>
      <w:r>
        <w:rPr>
          <w:szCs w:val="21"/>
        </w:rPr>
        <w:t>第二条发包人的权利与义务：</w:t>
      </w:r>
    </w:p>
    <w:p>
      <w:pPr>
        <w:spacing w:line="360" w:lineRule="auto"/>
        <w:ind w:firstLine="420" w:firstLineChars="200"/>
        <w:rPr>
          <w:szCs w:val="21"/>
        </w:rPr>
      </w:pPr>
      <w:r>
        <w:rPr>
          <w:szCs w:val="21"/>
        </w:rPr>
        <w:t>（一）审核承包人的资质及合同履行能力，审核项目负责人、技术负责人、专职安全管理人员的资质。</w:t>
      </w:r>
    </w:p>
    <w:p>
      <w:pPr>
        <w:spacing w:line="360" w:lineRule="auto"/>
        <w:ind w:firstLine="420" w:firstLineChars="200"/>
        <w:rPr>
          <w:szCs w:val="21"/>
        </w:rPr>
      </w:pPr>
      <w:r>
        <w:rPr>
          <w:szCs w:val="21"/>
        </w:rPr>
        <w:t>（二）向承包人移交本工程施工场地，并明确承包人进入施工场地的安全责任。</w:t>
      </w:r>
    </w:p>
    <w:p>
      <w:pPr>
        <w:spacing w:line="360" w:lineRule="auto"/>
        <w:ind w:firstLine="420" w:firstLineChars="200"/>
        <w:rPr>
          <w:szCs w:val="21"/>
        </w:rPr>
      </w:pPr>
      <w:r>
        <w:rPr>
          <w:szCs w:val="21"/>
        </w:rPr>
        <w:t>（三）在工程施工前向承包人提供本工程施工现场及毗邻区域内地上、地下管线资料；气象和水文地质资料；相邻建(构)筑物资料。</w:t>
      </w:r>
    </w:p>
    <w:p>
      <w:pPr>
        <w:spacing w:line="360" w:lineRule="auto"/>
        <w:ind w:firstLine="420" w:firstLineChars="200"/>
        <w:rPr>
          <w:szCs w:val="21"/>
        </w:rPr>
      </w:pPr>
      <w:r>
        <w:rPr>
          <w:szCs w:val="21"/>
        </w:rPr>
        <w:t>（</w:t>
      </w:r>
      <w:r>
        <w:rPr>
          <w:rFonts w:hint="eastAsia"/>
          <w:szCs w:val="21"/>
        </w:rPr>
        <w:t>四</w:t>
      </w:r>
      <w:r>
        <w:rPr>
          <w:szCs w:val="21"/>
        </w:rPr>
        <w:t>）不对承包人提出不符合建设工程安全生产法律、法规和强制性标准规定的要求，不压缩合同约定的工期。</w:t>
      </w:r>
    </w:p>
    <w:p>
      <w:pPr>
        <w:spacing w:line="360" w:lineRule="auto"/>
        <w:ind w:firstLine="420" w:firstLineChars="200"/>
        <w:rPr>
          <w:szCs w:val="21"/>
        </w:rPr>
      </w:pPr>
      <w:r>
        <w:rPr>
          <w:szCs w:val="21"/>
        </w:rPr>
        <w:t>（</w:t>
      </w:r>
      <w:r>
        <w:rPr>
          <w:rFonts w:hint="eastAsia"/>
          <w:szCs w:val="21"/>
        </w:rPr>
        <w:t>五</w:t>
      </w:r>
      <w:r>
        <w:rPr>
          <w:szCs w:val="21"/>
        </w:rPr>
        <w:t>）不明示或者暗示承包人购买、租赁、使用不符合安全施工要求的安全防护用具、机械设备、施工机具及配件、消防设施和器材。</w:t>
      </w:r>
    </w:p>
    <w:p>
      <w:pPr>
        <w:spacing w:line="360" w:lineRule="auto"/>
        <w:ind w:firstLine="420" w:firstLineChars="200"/>
        <w:rPr>
          <w:szCs w:val="21"/>
        </w:rPr>
      </w:pPr>
      <w:r>
        <w:rPr>
          <w:szCs w:val="21"/>
        </w:rPr>
        <w:t>（</w:t>
      </w:r>
      <w:r>
        <w:rPr>
          <w:rFonts w:hint="eastAsia"/>
          <w:szCs w:val="21"/>
        </w:rPr>
        <w:t>六</w:t>
      </w:r>
      <w:r>
        <w:rPr>
          <w:szCs w:val="21"/>
        </w:rPr>
        <w:t>）有权对承包人安全生产进行监督检查，对存在的问题和隐患，有权制止，责成其改正，并可视为违约给予经济处罚；</w:t>
      </w:r>
      <w:r>
        <w:rPr>
          <w:rFonts w:hint="eastAsia" w:ascii="宋体" w:hAnsi="宋体" w:cs="宋体"/>
        </w:rPr>
        <w:t>违反操作规程造成重大安全事故，从而对建设方经营效益造成影响者，每例罚款</w:t>
      </w:r>
      <w:r>
        <w:rPr>
          <w:rFonts w:ascii="宋体" w:hAnsi="宋体" w:cs="宋体"/>
        </w:rPr>
        <w:t>1000</w:t>
      </w:r>
      <w:r>
        <w:rPr>
          <w:rFonts w:hint="eastAsia" w:ascii="宋体" w:hAnsi="宋体" w:cs="宋体"/>
        </w:rPr>
        <w:t>～</w:t>
      </w:r>
      <w:r>
        <w:rPr>
          <w:rFonts w:ascii="宋体" w:hAnsi="宋体" w:cs="宋体"/>
        </w:rPr>
        <w:t>5000</w:t>
      </w:r>
      <w:r>
        <w:rPr>
          <w:rFonts w:hint="eastAsia" w:ascii="宋体" w:hAnsi="宋体" w:cs="宋体"/>
        </w:rPr>
        <w:t>元。凡发生安全事故或工程结构质量事故，均应按顺序第一时间逐级向监理单位和建设单位报告，隐瞒不报者，每次罚款</w:t>
      </w:r>
      <w:r>
        <w:rPr>
          <w:rFonts w:ascii="宋体" w:hAnsi="宋体" w:cs="宋体"/>
        </w:rPr>
        <w:t>1000</w:t>
      </w:r>
      <w:r>
        <w:rPr>
          <w:rFonts w:hint="eastAsia" w:ascii="宋体" w:hAnsi="宋体" w:cs="宋体"/>
        </w:rPr>
        <w:t>～</w:t>
      </w:r>
      <w:r>
        <w:rPr>
          <w:rFonts w:ascii="宋体" w:hAnsi="宋体" w:cs="宋体"/>
        </w:rPr>
        <w:t>5000</w:t>
      </w:r>
      <w:r>
        <w:rPr>
          <w:rFonts w:hint="eastAsia" w:ascii="宋体" w:hAnsi="宋体" w:cs="宋体"/>
        </w:rPr>
        <w:t>元。</w:t>
      </w:r>
      <w:r>
        <w:rPr>
          <w:szCs w:val="21"/>
        </w:rPr>
        <w:t>对不按要求改正者，发包人有权加重经济处罚；对拒不整改的，发包人有权按照合同约定追究承包人的违约责任，并向有关部门报告；凡发生事故的，发包人可按其造成的后果及影响，追究承包人的违约责任。</w:t>
      </w:r>
    </w:p>
    <w:p>
      <w:pPr>
        <w:spacing w:line="360" w:lineRule="auto"/>
        <w:ind w:firstLine="420" w:firstLineChars="200"/>
        <w:rPr>
          <w:szCs w:val="21"/>
        </w:rPr>
      </w:pPr>
      <w:r>
        <w:rPr>
          <w:szCs w:val="21"/>
        </w:rPr>
        <w:t>（</w:t>
      </w:r>
      <w:r>
        <w:rPr>
          <w:rFonts w:hint="eastAsia"/>
          <w:szCs w:val="21"/>
        </w:rPr>
        <w:t>七</w:t>
      </w:r>
      <w:r>
        <w:rPr>
          <w:szCs w:val="21"/>
        </w:rPr>
        <w:t>）行使与承包人签订的施工合同中安全方面条款规定的发包人的权利与义务。</w:t>
      </w:r>
    </w:p>
    <w:p>
      <w:pPr>
        <w:spacing w:line="360" w:lineRule="auto"/>
        <w:ind w:firstLine="420" w:firstLineChars="200"/>
        <w:rPr>
          <w:szCs w:val="21"/>
        </w:rPr>
      </w:pPr>
      <w:r>
        <w:rPr>
          <w:szCs w:val="21"/>
        </w:rPr>
        <w:t>第三条承包人的权利和义务：</w:t>
      </w:r>
    </w:p>
    <w:p>
      <w:pPr>
        <w:spacing w:line="360" w:lineRule="auto"/>
        <w:ind w:firstLine="420" w:firstLineChars="200"/>
        <w:rPr>
          <w:szCs w:val="21"/>
        </w:rPr>
      </w:pPr>
      <w:r>
        <w:rPr>
          <w:szCs w:val="21"/>
        </w:rPr>
        <w:t>（一）承包人是本工程施工现场安全生产总负责单位，对本工程施工现场安全生产工作全面负责，确保生产安全、工程安全和不因工程施工而危及周边建(构)筑物、各种管线、道路交通等公众环境安全及人身财产安全。</w:t>
      </w:r>
    </w:p>
    <w:p>
      <w:pPr>
        <w:spacing w:line="360" w:lineRule="auto"/>
        <w:ind w:firstLine="420" w:firstLineChars="200"/>
        <w:rPr>
          <w:szCs w:val="21"/>
        </w:rPr>
      </w:pPr>
      <w:r>
        <w:rPr>
          <w:szCs w:val="21"/>
        </w:rPr>
        <w:t>（二）建立健全并落实本工程项目的安全生产责任制度、各项安全生产规章制度和操作规程，设立安全生产管理机构，确定主管安全的负责人，配备专业齐全且不少于合同约定数量的专职安全生产管理人员。承包人的项目负责人、项目技术负责人、专职安全生产管理人员须有相应的执业资格，经建设行政主管部门考核合格，并取得安全生产考核合格证书。上述人员应报</w:t>
      </w:r>
      <w:r>
        <w:rPr>
          <w:rFonts w:hint="eastAsia"/>
          <w:szCs w:val="21"/>
        </w:rPr>
        <w:t>监理人</w:t>
      </w:r>
      <w:r>
        <w:rPr>
          <w:szCs w:val="21"/>
        </w:rPr>
        <w:t>核查、报发包人备案，未经发包人同意不得随意更换，对施工中的特种作业人员承包人必须选取合格的持证人员上岗。</w:t>
      </w:r>
    </w:p>
    <w:p>
      <w:pPr>
        <w:spacing w:line="360" w:lineRule="auto"/>
        <w:ind w:firstLine="420" w:firstLineChars="200"/>
        <w:rPr>
          <w:szCs w:val="21"/>
        </w:rPr>
      </w:pPr>
      <w:r>
        <w:rPr>
          <w:szCs w:val="21"/>
        </w:rPr>
        <w:t>（三）施工合同中明确的安全文明施工措施费用必须用于所承担的工程项目施工安全防护用具及设施的采购和更新、安全施工措施的落实、安全生产条件的改善，不得挪作他用。在财务管理中应单独列出安全文明施工措施项目清单和费用清单。</w:t>
      </w:r>
    </w:p>
    <w:p>
      <w:pPr>
        <w:spacing w:line="360" w:lineRule="auto"/>
        <w:ind w:firstLine="420" w:firstLineChars="200"/>
        <w:rPr>
          <w:szCs w:val="21"/>
        </w:rPr>
      </w:pPr>
      <w:r>
        <w:rPr>
          <w:szCs w:val="21"/>
        </w:rPr>
        <w:t>（四）依据有关规定和合同约定履行施工现场总负责单位的权利、义务，与其他和工程有关的由发包人直接发包的承包人签订安全生产协议书，明确各自的安全生产方面的权利、义务，统一管理施工现场临时用电、防护设施、明火作业和进出洞口等，并承担相应的责任。</w:t>
      </w:r>
    </w:p>
    <w:p>
      <w:pPr>
        <w:spacing w:line="360" w:lineRule="auto"/>
        <w:ind w:firstLine="420" w:firstLineChars="200"/>
        <w:rPr>
          <w:szCs w:val="21"/>
        </w:rPr>
      </w:pPr>
      <w:r>
        <w:rPr>
          <w:szCs w:val="21"/>
        </w:rPr>
        <w:t>（</w:t>
      </w:r>
      <w:r>
        <w:rPr>
          <w:rFonts w:hint="eastAsia"/>
          <w:szCs w:val="21"/>
        </w:rPr>
        <w:t>五</w:t>
      </w:r>
      <w:r>
        <w:rPr>
          <w:szCs w:val="21"/>
        </w:rPr>
        <w:t>）建立完整的安全教育培训计划和培训档案，按计划、定期组织安全教育培训，施工作业前必须按有关规定向作业人员进行安全技术交底，不得安排未经安全生产教育培训或考试不合格的施工人员上岗作业；使用新技术、新工艺、新设备、新材料时应对作业人员进行相应的安全生产教育培训。</w:t>
      </w:r>
    </w:p>
    <w:p>
      <w:pPr>
        <w:spacing w:line="360" w:lineRule="auto"/>
        <w:ind w:firstLine="420" w:firstLineChars="200"/>
        <w:rPr>
          <w:szCs w:val="21"/>
        </w:rPr>
      </w:pPr>
      <w:r>
        <w:rPr>
          <w:szCs w:val="21"/>
        </w:rPr>
        <w:t>（</w:t>
      </w:r>
      <w:r>
        <w:rPr>
          <w:rFonts w:hint="eastAsia"/>
          <w:szCs w:val="21"/>
        </w:rPr>
        <w:t>六</w:t>
      </w:r>
      <w:r>
        <w:rPr>
          <w:szCs w:val="21"/>
        </w:rPr>
        <w:t>）进行定期、不定期的全面和专项安全检查，及时消除安全事故隐患，对涉及相邻建(构)筑物、地下线管线等周边环境安全的重大风险点和危险性较大的分部分项工程，应派专人监督安全生产，对每个作业班次安全生产情况进行监督检查，关键工序实施现场时时监督检查，检查应留有记录。</w:t>
      </w:r>
    </w:p>
    <w:p>
      <w:pPr>
        <w:spacing w:line="360" w:lineRule="auto"/>
        <w:ind w:firstLine="420" w:firstLineChars="200"/>
        <w:rPr>
          <w:szCs w:val="21"/>
        </w:rPr>
      </w:pPr>
      <w:r>
        <w:rPr>
          <w:szCs w:val="21"/>
        </w:rPr>
        <w:t>（</w:t>
      </w:r>
      <w:r>
        <w:rPr>
          <w:rFonts w:hint="eastAsia"/>
          <w:szCs w:val="21"/>
        </w:rPr>
        <w:t>七</w:t>
      </w:r>
      <w:r>
        <w:rPr>
          <w:szCs w:val="21"/>
        </w:rPr>
        <w:t>）认真执行国家、行业和广西壮族自治区、南宁市关于安全生产的规范、标准、有关规定，做好施工现场实体防护，并在施工现场的各个危险部位设置符合国家标准的明显的安全警示标志。</w:t>
      </w:r>
    </w:p>
    <w:p>
      <w:pPr>
        <w:spacing w:line="360" w:lineRule="auto"/>
        <w:ind w:firstLine="420" w:firstLineChars="200"/>
        <w:rPr>
          <w:szCs w:val="21"/>
        </w:rPr>
      </w:pPr>
      <w:r>
        <w:rPr>
          <w:szCs w:val="21"/>
        </w:rPr>
        <w:t>（</w:t>
      </w:r>
      <w:r>
        <w:rPr>
          <w:rFonts w:hint="eastAsia"/>
          <w:szCs w:val="21"/>
        </w:rPr>
        <w:t>八</w:t>
      </w:r>
      <w:r>
        <w:rPr>
          <w:szCs w:val="21"/>
        </w:rPr>
        <w:t>）对发包人提供的地质勘查、市政管线、相邻建（构）筑物等相关资料的准确性进行核查，如果发现资料与实际不符，应当立即向发包人和</w:t>
      </w:r>
      <w:r>
        <w:rPr>
          <w:rFonts w:hint="eastAsia"/>
          <w:szCs w:val="21"/>
        </w:rPr>
        <w:t>监理人</w:t>
      </w:r>
      <w:r>
        <w:rPr>
          <w:szCs w:val="21"/>
        </w:rPr>
        <w:t>报告，并要求补充相关资料。施工作业前必须对地下管线进行物探。</w:t>
      </w:r>
    </w:p>
    <w:p>
      <w:pPr>
        <w:spacing w:line="360" w:lineRule="auto"/>
        <w:ind w:firstLine="420" w:firstLineChars="200"/>
        <w:rPr>
          <w:szCs w:val="21"/>
        </w:rPr>
      </w:pPr>
      <w:r>
        <w:rPr>
          <w:szCs w:val="21"/>
        </w:rPr>
        <w:t>（</w:t>
      </w:r>
      <w:r>
        <w:rPr>
          <w:rFonts w:hint="eastAsia"/>
          <w:szCs w:val="21"/>
        </w:rPr>
        <w:t>九</w:t>
      </w:r>
      <w:r>
        <w:rPr>
          <w:szCs w:val="21"/>
        </w:rPr>
        <w:t>）根据有关规范、规程、标准及发包人提供的相关资料，制定有针对性的施工组织设计，施工组织设计应有包括保证相邻建（构）筑物、地下线管线及周边公众环境安全在内的安全技术措施和施工现场临时用电方案；对涉及相邻建（构）筑物、地下线管线等周边环境安全的重大风险点和达到一定规模的危险性较大的分部分项工程应编制专项施工方案，组织专家论证，并应符合编制、审批程序。</w:t>
      </w:r>
    </w:p>
    <w:p>
      <w:pPr>
        <w:spacing w:line="360" w:lineRule="auto"/>
        <w:ind w:firstLine="420" w:firstLineChars="200"/>
        <w:rPr>
          <w:szCs w:val="21"/>
        </w:rPr>
      </w:pPr>
      <w:r>
        <w:rPr>
          <w:szCs w:val="21"/>
        </w:rPr>
        <w:t>（十）施工前，须认真审阅经发包人确认并提供的施工图纸，发现设计图纸与规范要求不符或设计图纸标注不明时，应立即与设计单位联系，并及时形成文字记录。对有关安全施工的技术要求向施工作业班组、作业人员作出详细说明，由双方签字确认。</w:t>
      </w:r>
    </w:p>
    <w:p>
      <w:pPr>
        <w:spacing w:line="360" w:lineRule="auto"/>
        <w:ind w:firstLine="420" w:firstLineChars="200"/>
        <w:rPr>
          <w:szCs w:val="21"/>
        </w:rPr>
      </w:pPr>
      <w:r>
        <w:rPr>
          <w:szCs w:val="21"/>
        </w:rPr>
        <w:t>（十</w:t>
      </w:r>
      <w:r>
        <w:rPr>
          <w:rFonts w:hint="eastAsia"/>
          <w:szCs w:val="21"/>
        </w:rPr>
        <w:t>一</w:t>
      </w:r>
      <w:r>
        <w:rPr>
          <w:szCs w:val="21"/>
        </w:rPr>
        <w:t>）在施工过程中，应严格按照工程建设强制性标准和审查后的施工图纸、施工方案施工，不允许随意改变、简化施工程序、工法、工艺和各项安全防范措施，落实对周边建（构）筑物、地下管线、道路设施等公众环境的保护措施，严格控制地表沉降，如遇有不明情况，应及时与有关部门联系，确定解决方案。</w:t>
      </w:r>
    </w:p>
    <w:p>
      <w:pPr>
        <w:spacing w:line="360" w:lineRule="auto"/>
        <w:ind w:firstLine="420" w:firstLineChars="200"/>
        <w:rPr>
          <w:szCs w:val="21"/>
        </w:rPr>
      </w:pPr>
      <w:r>
        <w:rPr>
          <w:szCs w:val="21"/>
        </w:rPr>
        <w:t>（十</w:t>
      </w:r>
      <w:r>
        <w:rPr>
          <w:rFonts w:hint="eastAsia"/>
          <w:szCs w:val="21"/>
        </w:rPr>
        <w:t>二</w:t>
      </w:r>
      <w:r>
        <w:rPr>
          <w:szCs w:val="21"/>
        </w:rPr>
        <w:t>）做好工程及周边环境的监控量测工作，施工前应制订监控量测方案，监控量测方案及其布点应符合设计和相关标准要求。监控量测数据要求准确可靠，并及时绘制曲线图表，出现异常情况要及时采取有效措施，并立即报告发包人、</w:t>
      </w:r>
      <w:r>
        <w:rPr>
          <w:rFonts w:hint="eastAsia"/>
          <w:szCs w:val="21"/>
        </w:rPr>
        <w:t>监理人</w:t>
      </w:r>
      <w:r>
        <w:rPr>
          <w:szCs w:val="21"/>
        </w:rPr>
        <w:t>。</w:t>
      </w:r>
    </w:p>
    <w:p>
      <w:pPr>
        <w:spacing w:line="360" w:lineRule="auto"/>
        <w:ind w:firstLine="420" w:firstLineChars="200"/>
        <w:rPr>
          <w:szCs w:val="21"/>
        </w:rPr>
      </w:pPr>
      <w:r>
        <w:rPr>
          <w:szCs w:val="21"/>
        </w:rPr>
        <w:t>（十</w:t>
      </w:r>
      <w:r>
        <w:rPr>
          <w:rFonts w:hint="eastAsia"/>
          <w:szCs w:val="21"/>
        </w:rPr>
        <w:t>三</w:t>
      </w:r>
      <w:r>
        <w:rPr>
          <w:szCs w:val="21"/>
        </w:rPr>
        <w:t>）根据不同施工阶段和周围环境及季节、气候的变化，采取相应的安全施工措施；根据有关规定，落实各项文明施工和环境保护措施；施工现场暂时停止施工的，应当做好现场防护。</w:t>
      </w:r>
    </w:p>
    <w:p>
      <w:pPr>
        <w:spacing w:line="360" w:lineRule="auto"/>
        <w:ind w:firstLine="420" w:firstLineChars="200"/>
        <w:rPr>
          <w:szCs w:val="21"/>
        </w:rPr>
      </w:pPr>
      <w:r>
        <w:rPr>
          <w:szCs w:val="21"/>
        </w:rPr>
        <w:t>（十</w:t>
      </w:r>
      <w:r>
        <w:rPr>
          <w:rFonts w:hint="eastAsia"/>
          <w:szCs w:val="21"/>
        </w:rPr>
        <w:t>四</w:t>
      </w:r>
      <w:r>
        <w:rPr>
          <w:szCs w:val="21"/>
        </w:rPr>
        <w:t>）施工现场使用的安全防护用具、车辆、机械设备和施工机具及配件应符合国家标准或行业标准，起重机械、大型机械设备必须符合国家标准，应当具有生产制造单位的生产（制造）许可证、产品合格证，相应资质的检测机构出具的在有效的检测期内的检测合格证明，并经进场查验合格后方可使用；使用中应设有专人管理，定期进行检查、维修和保养；不得使用存在安全隐患或国家规定应该报废和淘汰的车辆、设备、机具、设施。</w:t>
      </w:r>
    </w:p>
    <w:p>
      <w:pPr>
        <w:spacing w:line="360" w:lineRule="auto"/>
        <w:ind w:firstLine="420" w:firstLineChars="200"/>
        <w:rPr>
          <w:szCs w:val="21"/>
        </w:rPr>
      </w:pPr>
      <w:r>
        <w:rPr>
          <w:szCs w:val="21"/>
        </w:rPr>
        <w:t>按有关规定在施工现场安装、拆卸施工起重机械和设施等，必须由具有相应资质的单位承担，应当编制拆装方案、制定安全施工措施，并由专业技术人员现场监督。安装完毕后，安装单位应当自检，出具自检合格证明，并向施工单位进行安全使用说明，办理验收手续并签字。</w:t>
      </w:r>
    </w:p>
    <w:p>
      <w:pPr>
        <w:spacing w:line="360" w:lineRule="auto"/>
        <w:ind w:firstLine="420" w:firstLineChars="200"/>
        <w:rPr>
          <w:szCs w:val="21"/>
        </w:rPr>
      </w:pPr>
      <w:r>
        <w:rPr>
          <w:szCs w:val="21"/>
        </w:rPr>
        <w:t>（十</w:t>
      </w:r>
      <w:r>
        <w:rPr>
          <w:rFonts w:hint="eastAsia"/>
          <w:szCs w:val="21"/>
        </w:rPr>
        <w:t>五</w:t>
      </w:r>
      <w:r>
        <w:rPr>
          <w:szCs w:val="21"/>
        </w:rPr>
        <w:t>）建立施工现场消防安全责任制度，确定消防安全责任人，制定各项消防安全管理制度和操作规程，按有关法律法规和强制性标准要求设置消防通道、消防水源、配备消防设施和灭火器材，并在施工现场入口处设置明显标志。</w:t>
      </w:r>
    </w:p>
    <w:p>
      <w:pPr>
        <w:spacing w:line="360" w:lineRule="auto"/>
        <w:ind w:firstLine="420" w:firstLineChars="200"/>
        <w:rPr>
          <w:szCs w:val="21"/>
        </w:rPr>
      </w:pPr>
      <w:r>
        <w:rPr>
          <w:szCs w:val="21"/>
        </w:rPr>
        <w:t>（十</w:t>
      </w:r>
      <w:r>
        <w:rPr>
          <w:rFonts w:hint="eastAsia"/>
          <w:szCs w:val="21"/>
        </w:rPr>
        <w:t>六</w:t>
      </w:r>
      <w:r>
        <w:rPr>
          <w:szCs w:val="21"/>
        </w:rPr>
        <w:t>）结合所承担工程项目的实际情况，制定应对包括自然灾害在内的各种突发事件应急救援预案，建立应急救援组织，配备应急救援人员和必要的应急救援器材、设备，并定期组织演练。发生突发事件立即组织进行紧急处置避免事态扩大，并按有关法律、法规和强制性标准的要求立即上报，并立即通知监理人，同时通知发包人；发包人有权向有关政府部门报告，但不替代承包人的上报。</w:t>
      </w:r>
    </w:p>
    <w:p>
      <w:pPr>
        <w:spacing w:line="360" w:lineRule="auto"/>
        <w:ind w:firstLine="420" w:firstLineChars="200"/>
        <w:rPr>
          <w:szCs w:val="21"/>
        </w:rPr>
      </w:pPr>
      <w:r>
        <w:rPr>
          <w:szCs w:val="21"/>
        </w:rPr>
        <w:t>（十</w:t>
      </w:r>
      <w:r>
        <w:rPr>
          <w:rFonts w:hint="eastAsia"/>
          <w:szCs w:val="21"/>
        </w:rPr>
        <w:t>七</w:t>
      </w:r>
      <w:r>
        <w:rPr>
          <w:szCs w:val="21"/>
        </w:rPr>
        <w:t>）按照规定为施工作业人员和工程管理人员及其他按照国家和广西壮族自治区、南宁市的规定应当承保的人员承保意外伤害险和工伤保险。</w:t>
      </w:r>
    </w:p>
    <w:p>
      <w:pPr>
        <w:spacing w:line="360" w:lineRule="auto"/>
        <w:ind w:firstLine="420" w:firstLineChars="200"/>
        <w:rPr>
          <w:szCs w:val="21"/>
        </w:rPr>
      </w:pPr>
      <w:r>
        <w:rPr>
          <w:szCs w:val="21"/>
        </w:rPr>
        <w:t>（十</w:t>
      </w:r>
      <w:r>
        <w:rPr>
          <w:rFonts w:hint="eastAsia"/>
          <w:szCs w:val="21"/>
        </w:rPr>
        <w:t>八</w:t>
      </w:r>
      <w:r>
        <w:rPr>
          <w:szCs w:val="21"/>
        </w:rPr>
        <w:t>）接受发包人和</w:t>
      </w:r>
      <w:r>
        <w:rPr>
          <w:rFonts w:hint="eastAsia"/>
          <w:szCs w:val="21"/>
        </w:rPr>
        <w:t>监理人</w:t>
      </w:r>
      <w:r>
        <w:rPr>
          <w:szCs w:val="21"/>
        </w:rPr>
        <w:t>对安全生产的监督管理，对发包人、</w:t>
      </w:r>
      <w:r>
        <w:rPr>
          <w:rFonts w:hint="eastAsia"/>
          <w:szCs w:val="21"/>
        </w:rPr>
        <w:t>监理人</w:t>
      </w:r>
      <w:r>
        <w:rPr>
          <w:szCs w:val="21"/>
        </w:rPr>
        <w:t>及有关方面在安全检查中要求进行整改的安全事故隐患和不安全行为，立即进行改正。参加发包人组织的安全评比活动，并按活动规则接受奖惩。</w:t>
      </w:r>
    </w:p>
    <w:p>
      <w:pPr>
        <w:spacing w:line="360" w:lineRule="auto"/>
        <w:ind w:firstLine="420" w:firstLineChars="200"/>
        <w:rPr>
          <w:szCs w:val="21"/>
        </w:rPr>
      </w:pPr>
      <w:r>
        <w:rPr>
          <w:szCs w:val="21"/>
        </w:rPr>
        <w:t>（</w:t>
      </w:r>
      <w:r>
        <w:rPr>
          <w:rFonts w:hint="eastAsia"/>
          <w:szCs w:val="21"/>
        </w:rPr>
        <w:t>十九</w:t>
      </w:r>
      <w:r>
        <w:rPr>
          <w:szCs w:val="21"/>
        </w:rPr>
        <w:t>）行使与发包人签订的施工合同中安全方面条款规定的承包人的权利与义务。</w:t>
      </w:r>
    </w:p>
    <w:p>
      <w:pPr>
        <w:spacing w:line="360" w:lineRule="auto"/>
        <w:ind w:firstLine="420" w:firstLineChars="200"/>
        <w:rPr>
          <w:szCs w:val="21"/>
        </w:rPr>
      </w:pPr>
      <w:r>
        <w:rPr>
          <w:szCs w:val="21"/>
        </w:rPr>
        <w:t>第</w:t>
      </w:r>
      <w:r>
        <w:rPr>
          <w:rFonts w:hint="eastAsia"/>
          <w:szCs w:val="21"/>
        </w:rPr>
        <w:t>四</w:t>
      </w:r>
      <w:r>
        <w:rPr>
          <w:szCs w:val="21"/>
        </w:rPr>
        <w:t>条违约责任</w:t>
      </w:r>
    </w:p>
    <w:p>
      <w:pPr>
        <w:spacing w:line="360" w:lineRule="auto"/>
        <w:ind w:firstLine="420" w:firstLineChars="200"/>
        <w:rPr>
          <w:szCs w:val="21"/>
        </w:rPr>
      </w:pPr>
      <w:r>
        <w:rPr>
          <w:szCs w:val="21"/>
        </w:rPr>
        <w:t>（一）发生安全事故，承包人应在抢救受伤人员、减少进一步损失、保护现场的同时，按有关法律、法规和强制性标准的要求立即上报，并立即通知监理人，同时通知发包人，并不得隐瞒事故真相，如有违反，导致事故责任无法确认的，事故责任及事故损失均由承包人承担。发包人有权向有关政府部门报告，但不替代承包人的上报</w:t>
      </w:r>
      <w:r>
        <w:rPr>
          <w:rFonts w:hint="eastAsia"/>
          <w:szCs w:val="21"/>
        </w:rPr>
        <w:t>。</w:t>
      </w:r>
    </w:p>
    <w:p>
      <w:pPr>
        <w:spacing w:line="360" w:lineRule="auto"/>
        <w:ind w:firstLine="420" w:firstLineChars="200"/>
        <w:rPr>
          <w:szCs w:val="21"/>
        </w:rPr>
      </w:pPr>
      <w:r>
        <w:rPr>
          <w:szCs w:val="21"/>
        </w:rPr>
        <w:t>（二）发生《生产安全事故</w:t>
      </w:r>
      <w:r>
        <w:rPr>
          <w:rFonts w:hint="eastAsia"/>
          <w:szCs w:val="21"/>
        </w:rPr>
        <w:t>报告和</w:t>
      </w:r>
      <w:r>
        <w:rPr>
          <w:szCs w:val="21"/>
        </w:rPr>
        <w:t>调查处理条例》（国务院第493号令）中规定的一般等级以上（含一般）事故的，以及发生因轨道交通工程施工原因导致对地面建（构）筑物等周边环境或各类市政基础设施的安全运营造成重大隐患，影响其使用功能或损坏，需要组织社会力量紧急抢险的事故，除发包人有权视情况从应支付给承包人的工程款中扣除</w:t>
      </w:r>
      <w:r>
        <w:rPr>
          <w:rFonts w:hint="eastAsia"/>
          <w:szCs w:val="21"/>
          <w:u w:val="single"/>
        </w:rPr>
        <w:t>10</w:t>
      </w:r>
      <w:r>
        <w:rPr>
          <w:rFonts w:hint="eastAsia"/>
          <w:szCs w:val="21"/>
        </w:rPr>
        <w:t>万</w:t>
      </w:r>
      <w:r>
        <w:rPr>
          <w:szCs w:val="21"/>
        </w:rPr>
        <w:t>元作为违约金外，承包人还应按有关规定承担因事故造成的经济损失及因承包人责任给发包人造成的连带经济损失</w:t>
      </w:r>
      <w:r>
        <w:rPr>
          <w:rFonts w:hint="eastAsia"/>
          <w:szCs w:val="21"/>
        </w:rPr>
        <w:t>。</w:t>
      </w:r>
    </w:p>
    <w:p>
      <w:pPr>
        <w:spacing w:line="360" w:lineRule="auto"/>
        <w:ind w:firstLine="420" w:firstLineChars="200"/>
        <w:rPr>
          <w:szCs w:val="21"/>
        </w:rPr>
      </w:pPr>
      <w:r>
        <w:rPr>
          <w:szCs w:val="21"/>
        </w:rPr>
        <w:t>（三）对在各级各类安全检查中问题较多或情况比较严重或未按要求整改的，发包人有权从应支付给承包人的工程款中扣处</w:t>
      </w:r>
      <w:r>
        <w:rPr>
          <w:rFonts w:hint="eastAsia"/>
          <w:szCs w:val="21"/>
          <w:u w:val="single"/>
        </w:rPr>
        <w:t>1000</w:t>
      </w:r>
      <w:r>
        <w:rPr>
          <w:rFonts w:hint="eastAsia" w:ascii="宋体" w:hAnsi="宋体"/>
          <w:szCs w:val="21"/>
          <w:u w:val="single"/>
        </w:rPr>
        <w:t>～</w:t>
      </w:r>
      <w:r>
        <w:rPr>
          <w:rFonts w:hint="eastAsia"/>
          <w:szCs w:val="21"/>
          <w:u w:val="single"/>
        </w:rPr>
        <w:t>50000</w:t>
      </w:r>
      <w:r>
        <w:rPr>
          <w:szCs w:val="21"/>
        </w:rPr>
        <w:t>元</w:t>
      </w:r>
      <w:r>
        <w:rPr>
          <w:rFonts w:hint="eastAsia"/>
          <w:szCs w:val="21"/>
        </w:rPr>
        <w:t>/次</w:t>
      </w:r>
      <w:r>
        <w:rPr>
          <w:szCs w:val="21"/>
        </w:rPr>
        <w:t>作为违约金。</w:t>
      </w:r>
    </w:p>
    <w:p>
      <w:pPr>
        <w:spacing w:line="360" w:lineRule="auto"/>
        <w:ind w:firstLine="420" w:firstLineChars="200"/>
        <w:rPr>
          <w:szCs w:val="21"/>
        </w:rPr>
      </w:pPr>
      <w:r>
        <w:rPr>
          <w:szCs w:val="21"/>
        </w:rPr>
        <w:t>第六条本协议条款与国家和广西壮族自治区、南宁市的有关法规不符时，按国家和广西壮族自治区、南宁市的有关法律法规执行。</w:t>
      </w:r>
    </w:p>
    <w:p>
      <w:pPr>
        <w:spacing w:line="360" w:lineRule="auto"/>
        <w:ind w:firstLine="420" w:firstLineChars="200"/>
        <w:rPr>
          <w:szCs w:val="21"/>
        </w:rPr>
      </w:pPr>
      <w:r>
        <w:rPr>
          <w:szCs w:val="21"/>
        </w:rPr>
        <w:t>第七条本协议作为发包人、承包人</w:t>
      </w:r>
      <w:r>
        <w:rPr>
          <w:rFonts w:hint="eastAsia"/>
          <w:szCs w:val="21"/>
        </w:rPr>
        <w:t>双</w:t>
      </w:r>
      <w:r>
        <w:rPr>
          <w:szCs w:val="21"/>
        </w:rPr>
        <w:t>方签订的施工合同的附件，与上述合同具有同等法律效力，与上述合同</w:t>
      </w:r>
      <w:r>
        <w:rPr>
          <w:rFonts w:hint="eastAsia"/>
          <w:szCs w:val="21"/>
        </w:rPr>
        <w:t>同</w:t>
      </w:r>
      <w:r>
        <w:rPr>
          <w:szCs w:val="21"/>
        </w:rPr>
        <w:t>时生效和终止。</w:t>
      </w:r>
    </w:p>
    <w:p>
      <w:pPr>
        <w:spacing w:line="360" w:lineRule="auto"/>
        <w:ind w:firstLine="420" w:firstLineChars="200"/>
        <w:rPr>
          <w:szCs w:val="21"/>
        </w:rPr>
      </w:pPr>
      <w:r>
        <w:rPr>
          <w:szCs w:val="21"/>
        </w:rPr>
        <w:t>第八条本协议未尽之事项，依据国家和广西壮族自治区、南宁市的有关法律、法规处理，法律法规未作明确规定的，可由</w:t>
      </w:r>
      <w:r>
        <w:rPr>
          <w:rFonts w:hint="eastAsia"/>
          <w:szCs w:val="21"/>
        </w:rPr>
        <w:t>双</w:t>
      </w:r>
      <w:r>
        <w:rPr>
          <w:szCs w:val="21"/>
        </w:rPr>
        <w:t>方协商处理解决。</w:t>
      </w: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r>
        <w:rPr>
          <w:szCs w:val="21"/>
        </w:rPr>
        <w:t>发包人：</w:t>
      </w:r>
      <w:r>
        <w:rPr>
          <w:rFonts w:hint="eastAsia" w:ascii="宋体" w:hAnsi="宋体"/>
          <w:b/>
          <w:szCs w:val="21"/>
          <w:u w:val="single"/>
          <w:lang w:eastAsia="zh-CN"/>
        </w:rPr>
        <w:t>南宁轨道锦绣中尧房地产有限公司</w:t>
      </w:r>
      <w:r>
        <w:rPr>
          <w:rFonts w:hint="eastAsia" w:ascii="宋体" w:hAnsi="宋体"/>
          <w:b/>
          <w:bCs/>
          <w:szCs w:val="21"/>
        </w:rPr>
        <w:t xml:space="preserve">          </w:t>
      </w:r>
      <w:r>
        <w:rPr>
          <w:rFonts w:hint="eastAsia"/>
          <w:szCs w:val="21"/>
        </w:rPr>
        <w:t>承包</w:t>
      </w:r>
      <w:r>
        <w:rPr>
          <w:szCs w:val="21"/>
        </w:rPr>
        <w:t>人：</w:t>
      </w:r>
    </w:p>
    <w:p>
      <w:pPr>
        <w:spacing w:line="360" w:lineRule="auto"/>
        <w:ind w:firstLine="420" w:firstLineChars="200"/>
        <w:rPr>
          <w:szCs w:val="21"/>
        </w:rPr>
      </w:pPr>
    </w:p>
    <w:p>
      <w:pPr>
        <w:spacing w:line="360" w:lineRule="auto"/>
        <w:ind w:firstLine="420" w:firstLineChars="200"/>
        <w:rPr>
          <w:szCs w:val="21"/>
        </w:rPr>
      </w:pPr>
      <w:r>
        <w:rPr>
          <w:szCs w:val="21"/>
        </w:rPr>
        <w:t>法定代表人：　　　　　　</w:t>
      </w:r>
      <w:r>
        <w:rPr>
          <w:rFonts w:hint="eastAsia"/>
          <w:szCs w:val="21"/>
        </w:rPr>
        <w:t xml:space="preserve">                      </w:t>
      </w:r>
      <w:r>
        <w:rPr>
          <w:szCs w:val="21"/>
        </w:rPr>
        <w:t>法定代表人：</w:t>
      </w:r>
    </w:p>
    <w:p>
      <w:pPr>
        <w:spacing w:line="360" w:lineRule="auto"/>
        <w:ind w:firstLine="420" w:firstLineChars="200"/>
        <w:rPr>
          <w:szCs w:val="21"/>
        </w:rPr>
      </w:pPr>
    </w:p>
    <w:p>
      <w:pPr>
        <w:spacing w:line="360" w:lineRule="auto"/>
        <w:ind w:firstLine="420" w:firstLineChars="200"/>
        <w:rPr>
          <w:szCs w:val="21"/>
        </w:rPr>
      </w:pPr>
      <w:r>
        <w:rPr>
          <w:rFonts w:hint="eastAsia"/>
          <w:szCs w:val="21"/>
        </w:rPr>
        <w:t>或委托代理人：                                或委托代理人：</w:t>
      </w:r>
    </w:p>
    <w:p>
      <w:pPr>
        <w:spacing w:line="360" w:lineRule="auto"/>
        <w:ind w:firstLine="420" w:firstLineChars="200"/>
        <w:rPr>
          <w:szCs w:val="21"/>
        </w:rPr>
      </w:pPr>
    </w:p>
    <w:p>
      <w:pPr>
        <w:spacing w:line="360" w:lineRule="auto"/>
        <w:ind w:firstLine="840" w:firstLineChars="400"/>
        <w:rPr>
          <w:szCs w:val="21"/>
        </w:rPr>
      </w:pPr>
      <w:r>
        <w:rPr>
          <w:szCs w:val="21"/>
        </w:rPr>
        <w:t>年</w:t>
      </w:r>
      <w:r>
        <w:rPr>
          <w:rFonts w:hint="eastAsia"/>
          <w:szCs w:val="21"/>
        </w:rPr>
        <w:t xml:space="preserve">   </w:t>
      </w:r>
      <w:r>
        <w:rPr>
          <w:szCs w:val="21"/>
        </w:rPr>
        <w:t>月</w:t>
      </w:r>
      <w:r>
        <w:rPr>
          <w:rFonts w:hint="eastAsia"/>
          <w:szCs w:val="21"/>
        </w:rPr>
        <w:t xml:space="preserve">  </w:t>
      </w:r>
      <w:r>
        <w:rPr>
          <w:szCs w:val="21"/>
        </w:rPr>
        <w:t>日</w:t>
      </w: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p>
      <w:r>
        <w:br w:type="page"/>
      </w:r>
    </w:p>
    <w:p>
      <w:pPr>
        <w:spacing w:line="360" w:lineRule="exact"/>
        <w:rPr>
          <w:rFonts w:hint="eastAsia" w:hAnsi="宋体"/>
          <w:b/>
          <w:color w:val="000000"/>
          <w:sz w:val="28"/>
          <w:szCs w:val="32"/>
          <w:lang w:val="en-US" w:eastAsia="zh-CN"/>
        </w:rPr>
      </w:pPr>
      <w:r>
        <w:rPr>
          <w:rFonts w:hint="eastAsia" w:hAnsi="宋体"/>
          <w:b/>
          <w:color w:val="000000"/>
          <w:sz w:val="28"/>
          <w:szCs w:val="32"/>
          <w:lang w:val="en-US" w:eastAsia="zh-CN"/>
        </w:rPr>
        <w:t>附件3：工程预算书（另附）</w:t>
      </w:r>
    </w:p>
    <w:p>
      <w:pPr>
        <w:spacing w:line="360" w:lineRule="exact"/>
        <w:rPr>
          <w:rFonts w:hint="eastAsia" w:hAnsi="宋体"/>
          <w:b/>
          <w:color w:val="000000"/>
          <w:sz w:val="28"/>
          <w:szCs w:val="32"/>
          <w:lang w:val="en-US" w:eastAsia="zh-CN"/>
        </w:rPr>
      </w:pPr>
    </w:p>
    <w:p>
      <w:pPr>
        <w:spacing w:line="360" w:lineRule="exact"/>
        <w:rPr>
          <w:rFonts w:hint="eastAsia" w:hAnsi="宋体"/>
          <w:b/>
          <w:color w:val="000000"/>
          <w:sz w:val="28"/>
          <w:szCs w:val="32"/>
          <w:lang w:val="en-US" w:eastAsia="zh-CN"/>
        </w:rPr>
      </w:pPr>
      <w:r>
        <w:rPr>
          <w:rFonts w:hint="eastAsia" w:hAnsi="宋体"/>
          <w:b/>
          <w:color w:val="000000"/>
          <w:sz w:val="28"/>
          <w:szCs w:val="32"/>
          <w:lang w:val="en-US" w:eastAsia="zh-CN"/>
        </w:rPr>
        <w:t>附件4：采购需求书</w:t>
      </w:r>
    </w:p>
    <w:p>
      <w:pPr>
        <w:pStyle w:val="2"/>
        <w:rPr>
          <w:rFonts w:hint="default"/>
          <w:lang w:val="en-US" w:eastAsia="zh-CN"/>
        </w:rPr>
      </w:pPr>
    </w:p>
    <w:tbl>
      <w:tblPr>
        <w:tblStyle w:val="15"/>
        <w:tblW w:w="9044"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3490"/>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pStyle w:val="2"/>
              <w:ind w:left="0" w:leftChars="0" w:firstLine="0" w:firstLineChars="0"/>
              <w:jc w:val="center"/>
              <w:rPr>
                <w:rFonts w:eastAsiaTheme="minorEastAsia"/>
                <w:lang w:val="zh-CN"/>
              </w:rPr>
            </w:pPr>
            <w:r>
              <w:rPr>
                <w:rFonts w:hint="eastAsia" w:eastAsiaTheme="minorEastAsia"/>
                <w:lang w:val="zh-CN"/>
              </w:rPr>
              <w:t>序号</w:t>
            </w:r>
          </w:p>
        </w:tc>
        <w:tc>
          <w:tcPr>
            <w:tcW w:w="3490" w:type="dxa"/>
            <w:vAlign w:val="center"/>
          </w:tcPr>
          <w:p>
            <w:pPr>
              <w:pStyle w:val="2"/>
              <w:ind w:left="0" w:leftChars="0" w:firstLine="0" w:firstLineChars="0"/>
              <w:jc w:val="center"/>
              <w:rPr>
                <w:rFonts w:eastAsiaTheme="minorEastAsia"/>
                <w:lang w:val="zh-CN"/>
              </w:rPr>
            </w:pPr>
            <w:r>
              <w:rPr>
                <w:rFonts w:hint="eastAsia" w:eastAsiaTheme="minorEastAsia"/>
                <w:lang w:val="zh-CN"/>
              </w:rPr>
              <w:t>服务名称及内容</w:t>
            </w:r>
          </w:p>
        </w:tc>
        <w:tc>
          <w:tcPr>
            <w:tcW w:w="4678" w:type="dxa"/>
            <w:vAlign w:val="center"/>
          </w:tcPr>
          <w:p>
            <w:pPr>
              <w:pStyle w:val="2"/>
              <w:ind w:left="0" w:leftChars="0" w:firstLine="0" w:firstLineChars="0"/>
              <w:jc w:val="center"/>
              <w:rPr>
                <w:rFonts w:eastAsiaTheme="minorEastAsia"/>
                <w:lang w:val="zh-CN"/>
              </w:rPr>
            </w:pPr>
            <w:r>
              <w:rPr>
                <w:rFonts w:hint="eastAsia" w:eastAsiaTheme="minorEastAsia"/>
                <w:lang w:val="zh-CN"/>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pStyle w:val="2"/>
              <w:ind w:left="0" w:leftChars="0" w:firstLine="0" w:firstLineChars="0"/>
              <w:jc w:val="center"/>
              <w:rPr>
                <w:rFonts w:eastAsiaTheme="minorEastAsia"/>
                <w:lang w:val="zh-CN"/>
              </w:rPr>
            </w:pPr>
            <w:r>
              <w:rPr>
                <w:rFonts w:hint="eastAsia" w:eastAsiaTheme="minorEastAsia"/>
                <w:lang w:val="zh-CN"/>
              </w:rPr>
              <w:t>1</w:t>
            </w:r>
            <w:r>
              <w:rPr>
                <w:rFonts w:hint="eastAsia" w:ascii="宋体" w:hAnsi="宋体" w:cs="仿宋"/>
                <w:lang w:val="zh-CN"/>
              </w:rPr>
              <w:t>★</w:t>
            </w:r>
          </w:p>
        </w:tc>
        <w:tc>
          <w:tcPr>
            <w:tcW w:w="3490" w:type="dxa"/>
            <w:vAlign w:val="center"/>
          </w:tcPr>
          <w:p>
            <w:pPr>
              <w:pStyle w:val="2"/>
              <w:spacing w:line="440" w:lineRule="exact"/>
              <w:ind w:left="0" w:leftChars="0" w:firstLine="0" w:firstLineChars="0"/>
              <w:jc w:val="center"/>
              <w:rPr>
                <w:rFonts w:eastAsiaTheme="minorEastAsia"/>
                <w:lang w:val="zh-CN"/>
              </w:rPr>
            </w:pPr>
            <w:r>
              <w:rPr>
                <w:rFonts w:hint="eastAsia" w:eastAsiaTheme="minorEastAsia"/>
                <w:lang w:val="zh-CN"/>
              </w:rPr>
              <w:t>变压器基础、变压器安装与电缆敷设、系统调试等，确保通过南宁供电局验收</w:t>
            </w:r>
          </w:p>
        </w:tc>
        <w:tc>
          <w:tcPr>
            <w:tcW w:w="4678" w:type="dxa"/>
          </w:tcPr>
          <w:p>
            <w:pPr>
              <w:pStyle w:val="2"/>
              <w:ind w:left="0" w:leftChars="0" w:firstLine="0" w:firstLineChars="0"/>
              <w:rPr>
                <w:rFonts w:eastAsiaTheme="minorEastAsia"/>
                <w:lang w:val="zh-CN"/>
              </w:rPr>
            </w:pPr>
            <w:r>
              <w:rPr>
                <w:rFonts w:hint="eastAsia" w:ascii="宋体" w:hAnsi="宋体" w:eastAsia="宋体" w:cs="宋体"/>
              </w:rPr>
              <w:t>符合</w:t>
            </w:r>
            <w:r>
              <w:rPr>
                <w:rFonts w:cs="Calibri"/>
              </w:rPr>
              <w:t> </w:t>
            </w:r>
            <w:r>
              <w:rPr>
                <w:rFonts w:hint="eastAsia" w:ascii="宋体" w:hAnsi="宋体" w:eastAsia="宋体" w:cs="宋体"/>
              </w:rPr>
              <w:t>《供电方案协议》、《供配电系统设计规范》（</w:t>
            </w:r>
            <w:r>
              <w:rPr>
                <w:rFonts w:cs="Calibri"/>
              </w:rPr>
              <w:t>GB50052-2009</w:t>
            </w:r>
            <w:r>
              <w:rPr>
                <w:rFonts w:hint="eastAsia" w:ascii="宋体" w:hAnsi="宋体" w:eastAsia="宋体" w:cs="宋体"/>
              </w:rPr>
              <w:t>）、《</w:t>
            </w:r>
            <w:r>
              <w:rPr>
                <w:rFonts w:cs="Calibri"/>
              </w:rPr>
              <w:t>20KV</w:t>
            </w:r>
            <w:r>
              <w:rPr>
                <w:rFonts w:hint="eastAsia" w:ascii="宋体" w:hAnsi="宋体" w:eastAsia="宋体" w:cs="宋体"/>
              </w:rPr>
              <w:t>及以下变电所设计规范》（</w:t>
            </w:r>
            <w:r>
              <w:rPr>
                <w:rFonts w:cs="Calibri"/>
              </w:rPr>
              <w:t>GB50053-2013</w:t>
            </w:r>
            <w:r>
              <w:rPr>
                <w:rFonts w:hint="eastAsia" w:ascii="宋体" w:hAnsi="宋体" w:eastAsia="宋体" w:cs="宋体"/>
              </w:rPr>
              <w:t>）、《电力工程电缆设计规范》（</w:t>
            </w:r>
            <w:r>
              <w:rPr>
                <w:rFonts w:cs="Calibri"/>
              </w:rPr>
              <w:t>GB50017-2018</w:t>
            </w:r>
            <w:r>
              <w:rPr>
                <w:rFonts w:hint="eastAsia" w:ascii="宋体" w:hAnsi="宋体" w:eastAsia="宋体" w:cs="宋体"/>
              </w:rPr>
              <w:t>）、广西壮族自治区《居民供配电设施建设规范》（</w:t>
            </w:r>
            <w:r>
              <w:rPr>
                <w:rFonts w:cs="Calibri"/>
              </w:rPr>
              <w:t>DBJ/45-004-2012</w:t>
            </w:r>
            <w:r>
              <w:rPr>
                <w:rFonts w:hint="eastAsia" w:ascii="宋体" w:hAnsi="宋体" w:eastAsia="宋体" w:cs="宋体"/>
              </w:rPr>
              <w:t>）</w:t>
            </w:r>
            <w:r>
              <w:t>、</w:t>
            </w:r>
            <w:r>
              <w:rPr>
                <w:rFonts w:hint="eastAsia" w:ascii="宋体" w:hAnsi="宋体" w:eastAsia="宋体" w:cs="宋体"/>
              </w:rPr>
              <w:t>《南方电网公司</w:t>
            </w:r>
            <w:r>
              <w:rPr>
                <w:rFonts w:cs="Calibri"/>
              </w:rPr>
              <w:t>10KV</w:t>
            </w:r>
            <w:r>
              <w:rPr>
                <w:rFonts w:hint="eastAsia" w:ascii="宋体" w:hAnsi="宋体" w:eastAsia="宋体" w:cs="宋体"/>
              </w:rPr>
              <w:t>及以下业扩受电工程典型设计图集（</w:t>
            </w:r>
            <w:r>
              <w:rPr>
                <w:rFonts w:cs="Calibri"/>
              </w:rPr>
              <w:t>2018</w:t>
            </w:r>
            <w:r>
              <w:rPr>
                <w:rFonts w:hint="eastAsia" w:ascii="宋体" w:hAnsi="宋体" w:eastAsia="宋体" w:cs="宋体"/>
              </w:rPr>
              <w:t>版）》</w:t>
            </w:r>
            <w:r>
              <w:t>，确保顺利通过南宁供电局验收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pStyle w:val="2"/>
              <w:ind w:left="0" w:leftChars="0" w:firstLine="0" w:firstLineChars="0"/>
              <w:jc w:val="center"/>
              <w:rPr>
                <w:rFonts w:eastAsiaTheme="minorEastAsia"/>
                <w:lang w:val="zh-CN"/>
              </w:rPr>
            </w:pPr>
            <w:r>
              <w:rPr>
                <w:rFonts w:hint="eastAsia" w:eastAsiaTheme="minorEastAsia"/>
                <w:lang w:val="zh-CN"/>
              </w:rPr>
              <w:t>2</w:t>
            </w:r>
            <w:r>
              <w:rPr>
                <w:rFonts w:hint="eastAsia" w:ascii="宋体" w:hAnsi="宋体" w:cs="仿宋"/>
                <w:lang w:val="zh-CN"/>
              </w:rPr>
              <w:t>★</w:t>
            </w:r>
          </w:p>
        </w:tc>
        <w:tc>
          <w:tcPr>
            <w:tcW w:w="3490" w:type="dxa"/>
            <w:vAlign w:val="center"/>
          </w:tcPr>
          <w:p>
            <w:pPr>
              <w:pStyle w:val="2"/>
              <w:ind w:left="0" w:leftChars="0" w:firstLine="0" w:firstLineChars="0"/>
              <w:jc w:val="center"/>
              <w:rPr>
                <w:rFonts w:eastAsiaTheme="minorEastAsia"/>
                <w:lang w:val="zh-CN"/>
              </w:rPr>
            </w:pPr>
            <w:r>
              <w:rPr>
                <w:rFonts w:hint="eastAsia" w:eastAsiaTheme="minorEastAsia"/>
                <w:lang w:val="zh-CN"/>
              </w:rPr>
              <w:t>变压器接火通电要求</w:t>
            </w:r>
          </w:p>
        </w:tc>
        <w:tc>
          <w:tcPr>
            <w:tcW w:w="4678" w:type="dxa"/>
            <w:vAlign w:val="center"/>
          </w:tcPr>
          <w:p>
            <w:pPr>
              <w:pStyle w:val="2"/>
              <w:ind w:left="0" w:leftChars="0" w:firstLine="0" w:firstLineChars="0"/>
              <w:jc w:val="center"/>
              <w:rPr>
                <w:rFonts w:eastAsiaTheme="minorEastAsia"/>
                <w:lang w:val="zh-CN"/>
              </w:rPr>
            </w:pPr>
            <w:r>
              <w:rPr>
                <w:rFonts w:hint="eastAsia" w:ascii="宋体" w:hAnsi="宋体" w:cs="楷体"/>
                <w:lang w:val="zh-CN"/>
              </w:rPr>
              <w:t>在南宁市供电部门出具竣工验收工单后 5  日内，协调南宁市供电部门完成高压接火通电工作</w:t>
            </w:r>
          </w:p>
        </w:tc>
      </w:tr>
    </w:tbl>
    <w:p>
      <w:pPr>
        <w:spacing w:line="460" w:lineRule="exact"/>
        <w:jc w:val="center"/>
        <w:rPr>
          <w:rFonts w:ascii="宋体" w:hAnsi="宋体"/>
          <w:b/>
          <w:color w:val="000000"/>
          <w:sz w:val="28"/>
          <w:szCs w:val="28"/>
        </w:rPr>
      </w:pPr>
      <w:r>
        <w:br w:type="page"/>
      </w:r>
      <w:bookmarkStart w:id="39" w:name="_Toc101237568"/>
      <w:bookmarkStart w:id="40" w:name="_Toc516067361"/>
      <w:bookmarkStart w:id="41" w:name="_Toc68452841"/>
      <w:bookmarkStart w:id="42" w:name="_Toc68547805"/>
      <w:r>
        <w:rPr>
          <w:rFonts w:ascii="宋体" w:hAnsi="宋体"/>
          <w:b/>
          <w:color w:val="000000"/>
          <w:sz w:val="28"/>
          <w:szCs w:val="28"/>
        </w:rPr>
        <w:t>三</w:t>
      </w:r>
      <w:r>
        <w:rPr>
          <w:rFonts w:hint="eastAsia" w:ascii="宋体" w:hAnsi="宋体"/>
          <w:b/>
          <w:color w:val="000000"/>
          <w:sz w:val="28"/>
          <w:szCs w:val="28"/>
        </w:rPr>
        <w:t>、</w:t>
      </w:r>
      <w:r>
        <w:rPr>
          <w:rFonts w:ascii="宋体" w:hAnsi="宋体"/>
          <w:b/>
          <w:color w:val="000000"/>
          <w:sz w:val="28"/>
          <w:szCs w:val="28"/>
        </w:rPr>
        <w:t>通用条款</w:t>
      </w:r>
      <w:bookmarkEnd w:id="39"/>
      <w:bookmarkEnd w:id="40"/>
      <w:bookmarkEnd w:id="41"/>
      <w:bookmarkEnd w:id="42"/>
    </w:p>
    <w:p>
      <w:pPr>
        <w:spacing w:line="460" w:lineRule="exact"/>
        <w:ind w:firstLine="420" w:firstLineChars="200"/>
        <w:jc w:val="left"/>
        <w:rPr>
          <w:rFonts w:ascii="宋体" w:hAnsi="宋体"/>
          <w:color w:val="000000"/>
          <w:szCs w:val="21"/>
        </w:rPr>
      </w:pPr>
      <w:r>
        <w:rPr>
          <w:rFonts w:ascii="宋体" w:hAnsi="宋体"/>
          <w:color w:val="000000"/>
          <w:szCs w:val="21"/>
        </w:rPr>
        <w:t>采用国家工商行政管理局和建设部颁发的《建设工程施工合同》(GF-1999-0201)的通用条款。</w:t>
      </w:r>
    </w:p>
    <w:p>
      <w:pPr>
        <w:spacing w:line="360" w:lineRule="auto"/>
        <w:ind w:firstLine="480" w:firstLineChars="200"/>
        <w:jc w:val="left"/>
        <w:rPr>
          <w:rFonts w:ascii="宋体" w:hAnsi="宋体"/>
          <w:color w:val="000000"/>
          <w:sz w:val="24"/>
          <w:szCs w:val="24"/>
        </w:rPr>
      </w:pPr>
    </w:p>
    <w:p>
      <w:pPr>
        <w:jc w:val="center"/>
        <w:rPr>
          <w:rFonts w:hint="eastAsia" w:ascii="宋体" w:hAnsi="宋体"/>
          <w:b/>
          <w:color w:val="000000"/>
          <w:sz w:val="28"/>
          <w:szCs w:val="28"/>
        </w:rPr>
      </w:pPr>
      <w:bookmarkStart w:id="43" w:name="_Toc101237570"/>
    </w:p>
    <w:p>
      <w:pPr>
        <w:jc w:val="center"/>
        <w:rPr>
          <w:rFonts w:hint="eastAsia" w:ascii="宋体" w:hAnsi="宋体"/>
          <w:b/>
          <w:color w:val="000000"/>
          <w:sz w:val="28"/>
          <w:szCs w:val="28"/>
        </w:rPr>
      </w:pPr>
    </w:p>
    <w:p>
      <w:pPr>
        <w:jc w:val="center"/>
        <w:outlineLvl w:val="0"/>
        <w:rPr>
          <w:rFonts w:ascii="宋体" w:hAnsi="宋体"/>
          <w:color w:val="000000"/>
          <w:sz w:val="28"/>
          <w:szCs w:val="28"/>
        </w:rPr>
      </w:pPr>
      <w:bookmarkStart w:id="44" w:name="_Toc6472"/>
      <w:r>
        <w:rPr>
          <w:rFonts w:hint="eastAsia" w:ascii="宋体" w:hAnsi="宋体"/>
          <w:b/>
          <w:color w:val="000000"/>
          <w:sz w:val="28"/>
          <w:szCs w:val="28"/>
        </w:rPr>
        <w:t>第</w:t>
      </w:r>
      <w:r>
        <w:rPr>
          <w:rFonts w:hint="eastAsia" w:ascii="宋体" w:hAnsi="宋体"/>
          <w:b/>
          <w:color w:val="000000"/>
          <w:sz w:val="28"/>
          <w:szCs w:val="28"/>
          <w:lang w:val="en-US" w:eastAsia="zh-CN"/>
        </w:rPr>
        <w:t>四</w:t>
      </w:r>
      <w:r>
        <w:rPr>
          <w:rFonts w:hint="eastAsia" w:ascii="宋体" w:hAnsi="宋体"/>
          <w:b/>
          <w:color w:val="000000"/>
          <w:sz w:val="28"/>
          <w:szCs w:val="28"/>
        </w:rPr>
        <w:t>章  图纸及</w:t>
      </w:r>
      <w:r>
        <w:rPr>
          <w:rFonts w:ascii="宋体" w:hAnsi="宋体"/>
          <w:b/>
          <w:color w:val="000000"/>
          <w:sz w:val="28"/>
          <w:szCs w:val="28"/>
        </w:rPr>
        <w:t>工程量清单</w:t>
      </w:r>
      <w:bookmarkEnd w:id="43"/>
      <w:bookmarkEnd w:id="44"/>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（由响应人自行在</w:t>
      </w:r>
      <w:r>
        <w:rPr>
          <w:rFonts w:hint="eastAsia" w:ascii="宋体" w:hAnsi="宋体"/>
          <w:highlight w:val="none"/>
          <w:lang w:val="en-US" w:eastAsia="zh-CN"/>
        </w:rPr>
        <w:t>南宁轨道地产集团有限责公司官网：</w:t>
      </w:r>
      <w:r>
        <w:rPr>
          <w:rFonts w:hint="eastAsia" w:ascii="宋体" w:hAnsi="宋体"/>
          <w:highlight w:val="none"/>
          <w:lang w:val="en-US" w:eastAsia="zh-CN"/>
        </w:rPr>
        <w:fldChar w:fldCharType="begin"/>
      </w:r>
      <w:r>
        <w:rPr>
          <w:rFonts w:hint="eastAsia" w:ascii="宋体" w:hAnsi="宋体"/>
          <w:highlight w:val="none"/>
          <w:lang w:val="en-US" w:eastAsia="zh-CN"/>
        </w:rPr>
        <w:instrText xml:space="preserve"> HYPERLINK "http://www.nngddc.com/" </w:instrText>
      </w:r>
      <w:r>
        <w:rPr>
          <w:rFonts w:hint="eastAsia" w:ascii="宋体" w:hAnsi="宋体"/>
          <w:highlight w:val="none"/>
          <w:lang w:val="en-US" w:eastAsia="zh-CN"/>
        </w:rPr>
        <w:fldChar w:fldCharType="separate"/>
      </w:r>
      <w:r>
        <w:rPr>
          <w:rStyle w:val="17"/>
          <w:rFonts w:hint="eastAsia" w:ascii="宋体" w:hAnsi="宋体"/>
          <w:highlight w:val="none"/>
          <w:lang w:val="en-US" w:eastAsia="zh-CN"/>
        </w:rPr>
        <w:t>http://www.nngddc.com/</w:t>
      </w:r>
      <w:r>
        <w:rPr>
          <w:rFonts w:hint="eastAsia" w:ascii="宋体" w:hAnsi="宋体"/>
          <w:highlight w:val="none"/>
          <w:lang w:val="en-US" w:eastAsia="zh-CN"/>
        </w:rPr>
        <w:fldChar w:fldCharType="end"/>
      </w:r>
      <w:r>
        <w:rPr>
          <w:rFonts w:hint="eastAsia" w:ascii="宋体" w:hAnsi="宋体"/>
          <w:highlight w:val="none"/>
          <w:lang w:val="en-US" w:eastAsia="zh-CN"/>
        </w:rPr>
        <w:t xml:space="preserve"> 的新闻中心的</w:t>
      </w:r>
      <w:r>
        <w:rPr>
          <w:rFonts w:hint="eastAsia" w:hAnsi="宋体"/>
          <w:highlight w:val="none"/>
          <w:lang w:val="en-US" w:eastAsia="zh-CN"/>
        </w:rPr>
        <w:t>采购</w:t>
      </w:r>
      <w:r>
        <w:rPr>
          <w:rFonts w:hint="eastAsia" w:ascii="宋体" w:hAnsi="宋体" w:eastAsia="宋体" w:cs="Times New Roman"/>
          <w:highlight w:val="none"/>
          <w:lang w:val="en-US" w:eastAsia="zh-CN"/>
        </w:rPr>
        <w:t>公告及公告栏下载。）</w:t>
      </w:r>
    </w:p>
    <w:p>
      <w:pPr>
        <w:spacing w:line="460" w:lineRule="exact"/>
        <w:jc w:val="center"/>
        <w:rPr>
          <w:rFonts w:ascii="宋体" w:hAnsi="宋体"/>
          <w:b/>
          <w:bCs/>
          <w:color w:val="000000"/>
          <w:sz w:val="28"/>
          <w:szCs w:val="28"/>
        </w:rPr>
      </w:pPr>
    </w:p>
    <w:p>
      <w:pPr>
        <w:pStyle w:val="4"/>
        <w:outlineLvl w:val="9"/>
      </w:pPr>
    </w:p>
    <w:p>
      <w:pPr>
        <w:spacing w:line="460" w:lineRule="exact"/>
        <w:jc w:val="center"/>
        <w:outlineLvl w:val="0"/>
        <w:rPr>
          <w:b/>
          <w:sz w:val="28"/>
          <w:szCs w:val="28"/>
        </w:rPr>
      </w:pPr>
      <w:bookmarkStart w:id="45" w:name="_Toc516067362"/>
      <w:bookmarkStart w:id="46" w:name="_Toc19995"/>
      <w:r>
        <w:rPr>
          <w:b/>
          <w:sz w:val="28"/>
          <w:szCs w:val="28"/>
        </w:rPr>
        <w:t>第</w:t>
      </w:r>
      <w:r>
        <w:rPr>
          <w:rFonts w:hint="eastAsia"/>
          <w:b/>
          <w:sz w:val="28"/>
          <w:szCs w:val="28"/>
          <w:lang w:val="en-US" w:eastAsia="zh-CN"/>
        </w:rPr>
        <w:t>五</w:t>
      </w:r>
      <w:r>
        <w:rPr>
          <w:b/>
          <w:sz w:val="28"/>
          <w:szCs w:val="28"/>
        </w:rPr>
        <w:t>章</w:t>
      </w:r>
      <w:r>
        <w:rPr>
          <w:rFonts w:hint="eastAsia"/>
          <w:b/>
          <w:sz w:val="28"/>
          <w:szCs w:val="28"/>
        </w:rPr>
        <w:t xml:space="preserve">  </w:t>
      </w:r>
      <w:r>
        <w:rPr>
          <w:b/>
          <w:sz w:val="28"/>
          <w:szCs w:val="28"/>
        </w:rPr>
        <w:t>技术规范</w:t>
      </w:r>
      <w:bookmarkEnd w:id="45"/>
      <w:bookmarkEnd w:id="46"/>
    </w:p>
    <w:p>
      <w:pPr>
        <w:pStyle w:val="20"/>
        <w:spacing w:line="460" w:lineRule="exact"/>
        <w:ind w:firstLine="420" w:firstLineChars="200"/>
        <w:jc w:val="left"/>
        <w:outlineLvl w:val="0"/>
        <w:rPr>
          <w:rFonts w:ascii="宋体" w:hAnsi="宋体" w:eastAsia="宋体" w:cs="Times New Roman"/>
          <w:color w:val="000000"/>
          <w:kern w:val="0"/>
          <w:sz w:val="21"/>
          <w:szCs w:val="21"/>
          <w:lang w:val="zh-CN" w:eastAsia="zh-CN" w:bidi="ar-SA"/>
        </w:rPr>
      </w:pPr>
      <w:bookmarkStart w:id="47" w:name="_Toc11247"/>
      <w:r>
        <w:rPr>
          <w:rFonts w:hint="eastAsia" w:ascii="宋体" w:hAnsi="宋体" w:eastAsia="宋体" w:cs="Times New Roman"/>
          <w:color w:val="000000"/>
          <w:kern w:val="0"/>
          <w:sz w:val="21"/>
          <w:szCs w:val="21"/>
          <w:lang w:val="zh-CN" w:eastAsia="zh-CN" w:bidi="ar-SA"/>
        </w:rPr>
        <w:t>技术标准和要求 《供电方案协议》、《供配电系统设计规范》（GB50052-2009）、《20KV及以下变电所设计规范》（GB50053-2013）、《电力工程电缆设计规范》（GB50017-2018）、广西壮族自治区《居民供配电设施建设规范》（DBJ/45-004-2012）、《广西城市中低压配电网建设与改造技术导则》（Q/GXD 122.01-2006）、《南方电网公司10KV及以下业扩受电工程典型设计图集（2018版）》、《客户测电能计量装置典型设计》</w:t>
      </w:r>
      <w:bookmarkEnd w:id="47"/>
    </w:p>
    <w:p>
      <w:pPr>
        <w:spacing w:line="460" w:lineRule="exact"/>
        <w:rPr>
          <w:rFonts w:ascii="宋体" w:hAnsi="宋体"/>
          <w:color w:val="000000"/>
          <w:sz w:val="24"/>
          <w:szCs w:val="24"/>
        </w:rPr>
      </w:pPr>
    </w:p>
    <w:p>
      <w:pPr>
        <w:rPr>
          <w:b/>
          <w:sz w:val="28"/>
          <w:szCs w:val="28"/>
          <w:highlight w:val="yellow"/>
        </w:rPr>
      </w:pPr>
      <w:bookmarkStart w:id="48" w:name="_Toc516067363"/>
      <w:r>
        <w:rPr>
          <w:b/>
          <w:sz w:val="28"/>
          <w:szCs w:val="28"/>
          <w:highlight w:val="yellow"/>
        </w:rPr>
        <w:br w:type="page"/>
      </w:r>
    </w:p>
    <w:p>
      <w:pPr>
        <w:spacing w:line="460" w:lineRule="exact"/>
        <w:jc w:val="center"/>
        <w:outlineLvl w:val="0"/>
        <w:rPr>
          <w:b/>
          <w:sz w:val="28"/>
          <w:szCs w:val="28"/>
          <w:highlight w:val="none"/>
        </w:rPr>
      </w:pPr>
      <w:bookmarkStart w:id="49" w:name="_Toc13180"/>
      <w:r>
        <w:rPr>
          <w:b/>
          <w:sz w:val="28"/>
          <w:szCs w:val="28"/>
          <w:highlight w:val="none"/>
        </w:rPr>
        <w:t>第</w:t>
      </w:r>
      <w:r>
        <w:rPr>
          <w:rFonts w:hint="eastAsia"/>
          <w:b/>
          <w:sz w:val="28"/>
          <w:szCs w:val="28"/>
          <w:highlight w:val="none"/>
          <w:lang w:val="en-US" w:eastAsia="zh-CN"/>
        </w:rPr>
        <w:t>六</w:t>
      </w:r>
      <w:r>
        <w:rPr>
          <w:b/>
          <w:sz w:val="28"/>
          <w:szCs w:val="28"/>
          <w:highlight w:val="none"/>
        </w:rPr>
        <w:t>章</w:t>
      </w:r>
      <w:r>
        <w:rPr>
          <w:rFonts w:hint="eastAsia"/>
          <w:b/>
          <w:sz w:val="28"/>
          <w:szCs w:val="28"/>
          <w:highlight w:val="none"/>
        </w:rPr>
        <w:t xml:space="preserve">  </w:t>
      </w:r>
      <w:r>
        <w:rPr>
          <w:b/>
          <w:sz w:val="28"/>
          <w:szCs w:val="28"/>
          <w:highlight w:val="none"/>
        </w:rPr>
        <w:t>工程量清单报价说明</w:t>
      </w:r>
      <w:bookmarkEnd w:id="48"/>
      <w:bookmarkEnd w:id="49"/>
    </w:p>
    <w:p>
      <w:pPr>
        <w:pStyle w:val="20"/>
        <w:spacing w:line="460" w:lineRule="exact"/>
        <w:ind w:firstLine="420" w:firstLineChars="200"/>
        <w:jc w:val="left"/>
        <w:outlineLvl w:val="0"/>
        <w:rPr>
          <w:rFonts w:hint="eastAsia" w:ascii="宋体" w:hAnsi="宋体" w:eastAsia="宋体" w:cs="Times New Roman"/>
          <w:color w:val="000000"/>
          <w:kern w:val="0"/>
          <w:sz w:val="21"/>
          <w:szCs w:val="21"/>
          <w:lang w:val="zh-CN" w:eastAsia="zh-CN" w:bidi="ar-SA"/>
        </w:rPr>
      </w:pPr>
      <w:bookmarkStart w:id="50" w:name="_Toc14312"/>
      <w:bookmarkStart w:id="51" w:name="_Toc435172867"/>
      <w:bookmarkStart w:id="52" w:name="_Toc516067364"/>
      <w:r>
        <w:rPr>
          <w:rFonts w:hint="eastAsia" w:ascii="宋体" w:hAnsi="宋体" w:eastAsia="宋体" w:cs="Times New Roman"/>
          <w:color w:val="000000"/>
          <w:kern w:val="0"/>
          <w:sz w:val="21"/>
          <w:szCs w:val="21"/>
          <w:lang w:val="zh-CN" w:eastAsia="zh-CN" w:bidi="ar-SA"/>
        </w:rPr>
        <w:t>本工程为轨道西悦项目基建变工程。</w:t>
      </w:r>
      <w:r>
        <w:rPr>
          <w:rFonts w:hint="eastAsia" w:ascii="宋体" w:hAnsi="宋体" w:eastAsia="宋体" w:cs="Times New Roman"/>
          <w:color w:val="000000"/>
          <w:kern w:val="0"/>
          <w:sz w:val="21"/>
          <w:szCs w:val="21"/>
          <w:lang w:val="zh-CN" w:eastAsia="zh-CN" w:bidi="ar-SA"/>
        </w:rPr>
        <w:br w:type="textWrapping"/>
      </w:r>
      <w:r>
        <w:rPr>
          <w:rFonts w:hint="eastAsia" w:ascii="宋体" w:hAnsi="宋体" w:eastAsia="宋体" w:cs="Times New Roman"/>
          <w:color w:val="000000"/>
          <w:kern w:val="0"/>
          <w:sz w:val="21"/>
          <w:szCs w:val="21"/>
          <w:lang w:val="zh-CN" w:eastAsia="zh-CN" w:bidi="ar-SA"/>
        </w:rPr>
        <w:t>    1号基建变主要内容为：新建1台10kV户外开闭所（三摇自动化配置）、1台1号箱变 SCB11-800kVA、高压电缆 YJV22-8.7/15KV-3*70m185米、高压电缆 YJV22-8.7/15KV-3*300m20米、电缆保护管 C-PVC-167*8.5 355米、通讯管 UPVC32*725米；</w:t>
      </w:r>
      <w:r>
        <w:rPr>
          <w:rFonts w:hint="eastAsia" w:ascii="宋体" w:hAnsi="宋体" w:eastAsia="宋体" w:cs="Times New Roman"/>
          <w:color w:val="000000"/>
          <w:kern w:val="0"/>
          <w:sz w:val="21"/>
          <w:szCs w:val="21"/>
          <w:lang w:val="zh-CN" w:eastAsia="zh-CN" w:bidi="ar-SA"/>
        </w:rPr>
        <w:br w:type="textWrapping"/>
      </w:r>
      <w:r>
        <w:rPr>
          <w:rFonts w:hint="eastAsia" w:ascii="宋体" w:hAnsi="宋体" w:eastAsia="宋体" w:cs="Times New Roman"/>
          <w:color w:val="000000"/>
          <w:kern w:val="0"/>
          <w:sz w:val="21"/>
          <w:szCs w:val="21"/>
          <w:lang w:val="zh-CN" w:eastAsia="zh-CN" w:bidi="ar-SA"/>
        </w:rPr>
        <w:t>新建电缆井2000*1000*1300mm2座、新建电缆井2000*2000*1300mm3座、开闭所基础1座、箱变基础1座。</w:t>
      </w:r>
      <w:r>
        <w:rPr>
          <w:rFonts w:hint="eastAsia" w:ascii="宋体" w:hAnsi="宋体" w:eastAsia="宋体" w:cs="Times New Roman"/>
          <w:color w:val="000000"/>
          <w:kern w:val="0"/>
          <w:sz w:val="21"/>
          <w:szCs w:val="21"/>
          <w:lang w:val="zh-CN" w:eastAsia="zh-CN" w:bidi="ar-SA"/>
        </w:rPr>
        <w:br w:type="textWrapping"/>
      </w:r>
      <w:r>
        <w:rPr>
          <w:rFonts w:hint="eastAsia" w:ascii="宋体" w:hAnsi="宋体" w:eastAsia="宋体" w:cs="Times New Roman"/>
          <w:color w:val="000000"/>
          <w:kern w:val="0"/>
          <w:sz w:val="21"/>
          <w:szCs w:val="21"/>
          <w:lang w:val="zh-CN" w:eastAsia="zh-CN" w:bidi="ar-SA"/>
        </w:rPr>
        <w:t>    2号基建变主要内容为：新建2号箱式变电站 800kVA、高压电缆 YJV22-8.7/15KV-3*70m205米、电缆保护管 C-PVC-167*8.5 370米；</w:t>
      </w:r>
      <w:r>
        <w:rPr>
          <w:rFonts w:hint="eastAsia" w:ascii="宋体" w:hAnsi="宋体" w:eastAsia="宋体" w:cs="Times New Roman"/>
          <w:color w:val="000000"/>
          <w:kern w:val="0"/>
          <w:sz w:val="21"/>
          <w:szCs w:val="21"/>
          <w:lang w:val="zh-CN" w:eastAsia="zh-CN" w:bidi="ar-SA"/>
        </w:rPr>
        <w:br w:type="textWrapping"/>
      </w:r>
      <w:r>
        <w:rPr>
          <w:rFonts w:hint="eastAsia" w:ascii="宋体" w:hAnsi="宋体" w:eastAsia="宋体" w:cs="Times New Roman"/>
          <w:color w:val="000000"/>
          <w:kern w:val="0"/>
          <w:sz w:val="21"/>
          <w:szCs w:val="21"/>
          <w:lang w:val="zh-CN" w:eastAsia="zh-CN" w:bidi="ar-SA"/>
        </w:rPr>
        <w:t>新建电缆井2000*1000*1300mm2座、新建电缆井2000*2000*1300mm3座、箱变基础1座。</w:t>
      </w:r>
      <w:r>
        <w:rPr>
          <w:rFonts w:hint="eastAsia" w:ascii="宋体" w:hAnsi="宋体" w:eastAsia="宋体" w:cs="Times New Roman"/>
          <w:color w:val="000000"/>
          <w:kern w:val="0"/>
          <w:sz w:val="21"/>
          <w:szCs w:val="21"/>
          <w:lang w:val="zh-CN" w:eastAsia="zh-CN" w:bidi="ar-SA"/>
        </w:rPr>
        <w:br w:type="textWrapping"/>
      </w:r>
      <w:r>
        <w:rPr>
          <w:rFonts w:hint="eastAsia" w:ascii="宋体" w:hAnsi="宋体" w:eastAsia="宋体" w:cs="Times New Roman"/>
          <w:color w:val="000000"/>
          <w:kern w:val="0"/>
          <w:sz w:val="21"/>
          <w:szCs w:val="21"/>
          <w:lang w:val="zh-CN" w:eastAsia="zh-CN" w:bidi="ar-SA"/>
        </w:rPr>
        <w:t>二、编制依据：</w:t>
      </w:r>
      <w:r>
        <w:rPr>
          <w:rFonts w:hint="eastAsia" w:ascii="宋体" w:hAnsi="宋体" w:eastAsia="宋体" w:cs="Times New Roman"/>
          <w:color w:val="000000"/>
          <w:kern w:val="0"/>
          <w:sz w:val="21"/>
          <w:szCs w:val="21"/>
          <w:lang w:val="zh-CN" w:eastAsia="zh-CN" w:bidi="ar-SA"/>
        </w:rPr>
        <w:br w:type="textWrapping"/>
      </w:r>
      <w:r>
        <w:rPr>
          <w:rFonts w:hint="eastAsia" w:ascii="宋体" w:hAnsi="宋体" w:eastAsia="宋体" w:cs="Times New Roman"/>
          <w:color w:val="000000"/>
          <w:kern w:val="0"/>
          <w:sz w:val="21"/>
          <w:szCs w:val="21"/>
          <w:lang w:val="zh-CN" w:eastAsia="zh-CN" w:bidi="ar-SA"/>
        </w:rPr>
        <w:t>  1、《建设工程工程量清单计价规范》（GB50500-2013）、《建设工程工程量清单计价规范（GB50500-2013）广西壮族自治区实施细则》；</w:t>
      </w:r>
      <w:r>
        <w:rPr>
          <w:rFonts w:hint="eastAsia" w:ascii="宋体" w:hAnsi="宋体" w:eastAsia="宋体" w:cs="Times New Roman"/>
          <w:color w:val="000000"/>
          <w:kern w:val="0"/>
          <w:sz w:val="21"/>
          <w:szCs w:val="21"/>
          <w:lang w:val="zh-CN" w:eastAsia="zh-CN" w:bidi="ar-SA"/>
        </w:rPr>
        <w:br w:type="textWrapping"/>
      </w:r>
      <w:r>
        <w:rPr>
          <w:rFonts w:hint="eastAsia" w:ascii="宋体" w:hAnsi="宋体" w:eastAsia="宋体" w:cs="Times New Roman"/>
          <w:color w:val="000000"/>
          <w:kern w:val="0"/>
          <w:sz w:val="21"/>
          <w:szCs w:val="21"/>
          <w:lang w:val="zh-CN" w:eastAsia="zh-CN" w:bidi="ar-SA"/>
        </w:rPr>
        <w:t>  2、套用定额：执行《广西壮族自治区安装工程消耗量定额》2015版、《广西壮族自治区市政工程工程消耗量定额》2014版、2013年《广西壮族自治区安装拆除工程消耗量定额》及配套的费用定额；。    </w:t>
      </w:r>
      <w:r>
        <w:rPr>
          <w:rFonts w:hint="eastAsia" w:ascii="宋体" w:hAnsi="宋体" w:eastAsia="宋体" w:cs="Times New Roman"/>
          <w:color w:val="000000"/>
          <w:kern w:val="0"/>
          <w:sz w:val="21"/>
          <w:szCs w:val="21"/>
          <w:lang w:val="zh-CN" w:eastAsia="zh-CN" w:bidi="ar-SA"/>
        </w:rPr>
        <w:br w:type="textWrapping"/>
      </w:r>
      <w:r>
        <w:rPr>
          <w:rFonts w:hint="eastAsia" w:ascii="宋体" w:hAnsi="宋体" w:eastAsia="宋体" w:cs="Times New Roman"/>
          <w:color w:val="000000"/>
          <w:kern w:val="0"/>
          <w:sz w:val="21"/>
          <w:szCs w:val="21"/>
          <w:lang w:val="zh-CN" w:eastAsia="zh-CN" w:bidi="ar-SA"/>
        </w:rPr>
        <w:t>  3、费用定额：执行与《广西壮族自治区安装工程消耗量定额》配套的安装工程费用定额，费用有区间值的按中限值取定。 借用其他专业定额子目的定额管理费及利润留成取费标准按相应专业定额标准计取，其他相关费用按主体专业（安装工程Ⅰ类取费标准；执行桂建标[2016]16号文《自治区住房城乡建设厅关于颁布2016年&lt;广西壮族自治区建设工程费用定额＞的通知》。    </w:t>
      </w:r>
      <w:r>
        <w:rPr>
          <w:rFonts w:hint="eastAsia" w:ascii="宋体" w:hAnsi="宋体" w:eastAsia="宋体" w:cs="Times New Roman"/>
          <w:color w:val="000000"/>
          <w:kern w:val="0"/>
          <w:sz w:val="21"/>
          <w:szCs w:val="21"/>
          <w:lang w:val="zh-CN" w:eastAsia="zh-CN" w:bidi="ar-SA"/>
        </w:rPr>
        <w:br w:type="textWrapping"/>
      </w:r>
      <w:r>
        <w:rPr>
          <w:rFonts w:hint="eastAsia" w:ascii="宋体" w:hAnsi="宋体" w:eastAsia="宋体" w:cs="Times New Roman"/>
          <w:color w:val="000000"/>
          <w:kern w:val="0"/>
          <w:sz w:val="21"/>
          <w:szCs w:val="21"/>
          <w:lang w:val="zh-CN" w:eastAsia="zh-CN" w:bidi="ar-SA"/>
        </w:rPr>
        <w:t>  4、消耗量定额及有关要素价格的基期价调整：执行桂建标[2016]17号文《自治区住房城乡建设厅关于建筑业实施营业税改征增值税后广西壮族自治区建设工程计价依据调整的通知》。    </w:t>
      </w:r>
      <w:r>
        <w:rPr>
          <w:rFonts w:hint="eastAsia" w:ascii="宋体" w:hAnsi="宋体" w:eastAsia="宋体" w:cs="Times New Roman"/>
          <w:color w:val="000000"/>
          <w:kern w:val="0"/>
          <w:sz w:val="21"/>
          <w:szCs w:val="21"/>
          <w:lang w:val="zh-CN" w:eastAsia="zh-CN" w:bidi="ar-SA"/>
        </w:rPr>
        <w:br w:type="textWrapping"/>
      </w:r>
      <w:r>
        <w:rPr>
          <w:rFonts w:hint="eastAsia" w:ascii="宋体" w:hAnsi="宋体" w:eastAsia="宋体" w:cs="Times New Roman"/>
          <w:color w:val="000000"/>
          <w:kern w:val="0"/>
          <w:sz w:val="21"/>
          <w:szCs w:val="21"/>
          <w:lang w:val="zh-CN" w:eastAsia="zh-CN" w:bidi="ar-SA"/>
        </w:rPr>
        <w:t>  5、材料价：      </w:t>
      </w:r>
      <w:r>
        <w:rPr>
          <w:rFonts w:hint="eastAsia" w:ascii="宋体" w:hAnsi="宋体" w:eastAsia="宋体" w:cs="Times New Roman"/>
          <w:color w:val="000000"/>
          <w:kern w:val="0"/>
          <w:sz w:val="21"/>
          <w:szCs w:val="21"/>
          <w:lang w:val="zh-CN" w:eastAsia="zh-CN" w:bidi="ar-SA"/>
        </w:rPr>
        <w:br w:type="textWrapping"/>
      </w:r>
      <w:r>
        <w:rPr>
          <w:rFonts w:hint="eastAsia" w:ascii="宋体" w:hAnsi="宋体" w:eastAsia="宋体" w:cs="Times New Roman"/>
          <w:color w:val="000000"/>
          <w:kern w:val="0"/>
          <w:sz w:val="21"/>
          <w:szCs w:val="21"/>
          <w:lang w:val="zh-CN" w:eastAsia="zh-CN" w:bidi="ar-SA"/>
        </w:rPr>
        <w:t>  5.1主要设备：广西电网公司2022年第二季度电网工程主要设备材料信息价及结合市场报价综合计列。      </w:t>
      </w:r>
      <w:r>
        <w:rPr>
          <w:rFonts w:hint="eastAsia" w:ascii="宋体" w:hAnsi="宋体" w:eastAsia="宋体" w:cs="Times New Roman"/>
          <w:color w:val="000000"/>
          <w:kern w:val="0"/>
          <w:sz w:val="21"/>
          <w:szCs w:val="21"/>
          <w:lang w:val="zh-CN" w:eastAsia="zh-CN" w:bidi="ar-SA"/>
        </w:rPr>
        <w:br w:type="textWrapping"/>
      </w:r>
      <w:r>
        <w:rPr>
          <w:rFonts w:hint="eastAsia" w:ascii="宋体" w:hAnsi="宋体" w:eastAsia="宋体" w:cs="Times New Roman"/>
          <w:color w:val="000000"/>
          <w:kern w:val="0"/>
          <w:sz w:val="21"/>
          <w:szCs w:val="21"/>
          <w:lang w:val="zh-CN" w:eastAsia="zh-CN" w:bidi="ar-SA"/>
        </w:rPr>
        <w:t>  5.2其余材料：参考《南宁建设工程造价信息》2022年第8期下半期及结合市场价综合计列。   </w:t>
      </w:r>
      <w:r>
        <w:rPr>
          <w:rFonts w:hint="eastAsia" w:ascii="宋体" w:hAnsi="宋体" w:eastAsia="宋体" w:cs="Times New Roman"/>
          <w:color w:val="000000"/>
          <w:kern w:val="0"/>
          <w:sz w:val="21"/>
          <w:szCs w:val="21"/>
          <w:lang w:val="zh-CN" w:eastAsia="zh-CN" w:bidi="ar-SA"/>
        </w:rPr>
        <w:br w:type="textWrapping"/>
      </w:r>
      <w:r>
        <w:rPr>
          <w:rFonts w:hint="eastAsia" w:ascii="宋体" w:hAnsi="宋体" w:eastAsia="宋体" w:cs="Times New Roman"/>
          <w:color w:val="000000"/>
          <w:kern w:val="0"/>
          <w:sz w:val="21"/>
          <w:szCs w:val="21"/>
          <w:lang w:val="zh-CN" w:eastAsia="zh-CN" w:bidi="ar-SA"/>
        </w:rPr>
        <w:t>  6、其他说明：无</w:t>
      </w:r>
    </w:p>
    <w:p>
      <w:pPr>
        <w:rPr>
          <w:rFonts w:hint="eastAsia" w:ascii="宋体" w:hAnsi="宋体" w:eastAsia="宋体" w:cs="Times New Roman"/>
          <w:color w:val="000000"/>
          <w:kern w:val="0"/>
          <w:sz w:val="21"/>
          <w:szCs w:val="21"/>
          <w:lang w:val="zh-CN" w:eastAsia="zh-CN" w:bidi="ar-SA"/>
        </w:rPr>
      </w:pPr>
      <w:r>
        <w:rPr>
          <w:rFonts w:hint="eastAsia" w:ascii="宋体" w:hAnsi="宋体" w:eastAsia="宋体" w:cs="Times New Roman"/>
          <w:color w:val="000000"/>
          <w:kern w:val="0"/>
          <w:sz w:val="21"/>
          <w:szCs w:val="21"/>
          <w:lang w:val="zh-CN" w:eastAsia="zh-CN" w:bidi="ar-SA"/>
        </w:rPr>
        <w:br w:type="page"/>
      </w:r>
    </w:p>
    <w:p>
      <w:pPr>
        <w:pStyle w:val="20"/>
        <w:spacing w:line="460" w:lineRule="exact"/>
        <w:ind w:firstLine="602" w:firstLineChars="200"/>
        <w:jc w:val="left"/>
        <w:outlineLvl w:val="0"/>
        <w:rPr>
          <w:rFonts w:hint="eastAsia" w:ascii="宋体" w:hAnsi="宋体" w:eastAsia="宋体" w:cs="宋体"/>
          <w:b/>
          <w:color w:val="000000"/>
          <w:kern w:val="0"/>
          <w:sz w:val="30"/>
          <w:szCs w:val="30"/>
          <w:lang w:val="en-US" w:eastAsia="zh-CN" w:bidi="ar-SA"/>
        </w:rPr>
      </w:pPr>
      <w:r>
        <w:rPr>
          <w:rFonts w:hint="eastAsia" w:ascii="宋体" w:hAnsi="宋体" w:eastAsia="宋体" w:cs="宋体"/>
          <w:b/>
          <w:color w:val="000000"/>
          <w:kern w:val="0"/>
          <w:sz w:val="30"/>
          <w:szCs w:val="30"/>
          <w:lang w:val="en-US" w:eastAsia="zh-CN" w:bidi="ar-SA"/>
        </w:rPr>
        <w:t>第七章  响应文件格式</w:t>
      </w:r>
      <w:bookmarkEnd w:id="50"/>
      <w:bookmarkEnd w:id="51"/>
      <w:bookmarkEnd w:id="52"/>
    </w:p>
    <w:p>
      <w:pPr>
        <w:pStyle w:val="20"/>
        <w:spacing w:line="460" w:lineRule="exact"/>
        <w:ind w:firstLine="602" w:firstLineChars="200"/>
        <w:jc w:val="center"/>
        <w:rPr>
          <w:rFonts w:hint="eastAsia" w:ascii="宋体" w:hAnsi="宋体" w:eastAsia="宋体" w:cs="宋体"/>
          <w:b/>
          <w:color w:val="000000"/>
          <w:kern w:val="0"/>
          <w:sz w:val="30"/>
          <w:szCs w:val="30"/>
          <w:lang w:val="en-US" w:eastAsia="zh-CN" w:bidi="ar-SA"/>
        </w:rPr>
      </w:pPr>
    </w:p>
    <w:p>
      <w:pPr>
        <w:pStyle w:val="4"/>
        <w:outlineLvl w:val="9"/>
        <w:rPr>
          <w:rFonts w:hint="eastAsia"/>
        </w:rPr>
      </w:pPr>
    </w:p>
    <w:p>
      <w:pPr>
        <w:spacing w:beforeLines="100"/>
        <w:jc w:val="center"/>
        <w:rPr>
          <w:rFonts w:cs="宋体"/>
          <w:sz w:val="52"/>
          <w:szCs w:val="52"/>
          <w:u w:val="single"/>
        </w:rPr>
      </w:pPr>
      <w:r>
        <w:rPr>
          <w:rFonts w:hint="eastAsia" w:cs="宋体"/>
          <w:sz w:val="52"/>
          <w:szCs w:val="52"/>
          <w:u w:val="single"/>
          <w:lang w:val="zh-CN"/>
        </w:rPr>
        <w:t>轨道西悦项目基建变工程</w:t>
      </w:r>
    </w:p>
    <w:p>
      <w:pPr>
        <w:spacing w:beforeLines="100"/>
        <w:jc w:val="center"/>
        <w:rPr>
          <w:rFonts w:cs="宋体"/>
          <w:sz w:val="52"/>
          <w:szCs w:val="52"/>
          <w:u w:val="single"/>
        </w:rPr>
      </w:pPr>
    </w:p>
    <w:p>
      <w:pPr>
        <w:spacing w:beforeLines="100"/>
        <w:jc w:val="center"/>
        <w:rPr>
          <w:rFonts w:hint="eastAsia" w:eastAsiaTheme="minorEastAsia"/>
          <w:sz w:val="52"/>
          <w:szCs w:val="52"/>
          <w:lang w:eastAsia="zh-CN"/>
        </w:rPr>
      </w:pPr>
      <w:r>
        <w:rPr>
          <w:rFonts w:hint="eastAsia" w:cs="宋体"/>
          <w:sz w:val="52"/>
          <w:szCs w:val="52"/>
          <w:lang w:eastAsia="zh-CN"/>
        </w:rPr>
        <w:t>响应文件</w:t>
      </w:r>
    </w:p>
    <w:p>
      <w:pPr>
        <w:rPr>
          <w:sz w:val="32"/>
          <w:szCs w:val="32"/>
        </w:rPr>
      </w:pPr>
    </w:p>
    <w:p>
      <w:pPr>
        <w:rPr>
          <w:sz w:val="32"/>
          <w:szCs w:val="32"/>
        </w:rPr>
      </w:pPr>
    </w:p>
    <w:p>
      <w:pPr>
        <w:jc w:val="center"/>
        <w:rPr>
          <w:sz w:val="32"/>
          <w:szCs w:val="32"/>
        </w:rPr>
      </w:pPr>
      <w:r>
        <w:rPr>
          <w:rFonts w:hint="eastAsia" w:cs="宋体"/>
          <w:sz w:val="32"/>
          <w:szCs w:val="32"/>
        </w:rPr>
        <w:t>（正本</w:t>
      </w:r>
      <w:r>
        <w:rPr>
          <w:sz w:val="32"/>
          <w:szCs w:val="32"/>
        </w:rPr>
        <w:t>/</w:t>
      </w:r>
      <w:r>
        <w:rPr>
          <w:rFonts w:hint="eastAsia" w:cs="宋体"/>
          <w:sz w:val="32"/>
          <w:szCs w:val="32"/>
        </w:rPr>
        <w:t>副本）</w:t>
      </w:r>
    </w:p>
    <w:p>
      <w:pPr>
        <w:jc w:val="center"/>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rPr>
          <w:sz w:val="32"/>
          <w:szCs w:val="32"/>
        </w:rPr>
      </w:pPr>
    </w:p>
    <w:p>
      <w:pPr>
        <w:rPr>
          <w:sz w:val="32"/>
          <w:szCs w:val="32"/>
        </w:rPr>
      </w:pPr>
    </w:p>
    <w:p>
      <w:pPr>
        <w:spacing w:line="360" w:lineRule="auto"/>
        <w:ind w:left="1680" w:leftChars="800" w:firstLine="0" w:firstLineChars="0"/>
        <w:rPr>
          <w:sz w:val="28"/>
          <w:szCs w:val="28"/>
        </w:rPr>
      </w:pPr>
      <w:r>
        <w:rPr>
          <w:rFonts w:hint="eastAsia" w:cs="宋体"/>
          <w:sz w:val="28"/>
          <w:szCs w:val="28"/>
          <w:lang w:eastAsia="zh-CN"/>
        </w:rPr>
        <w:t>响应人</w:t>
      </w:r>
      <w:r>
        <w:rPr>
          <w:rFonts w:hint="eastAsia" w:cs="宋体"/>
          <w:sz w:val="28"/>
          <w:szCs w:val="28"/>
        </w:rPr>
        <w:t>：（盖单位章）</w:t>
      </w:r>
    </w:p>
    <w:p>
      <w:pPr>
        <w:spacing w:line="360" w:lineRule="auto"/>
        <w:ind w:left="1680" w:leftChars="800" w:firstLine="0" w:firstLineChars="0"/>
        <w:rPr>
          <w:sz w:val="28"/>
          <w:szCs w:val="28"/>
        </w:rPr>
      </w:pPr>
      <w:r>
        <w:rPr>
          <w:rFonts w:hint="eastAsia" w:cs="宋体"/>
          <w:sz w:val="28"/>
          <w:szCs w:val="28"/>
        </w:rPr>
        <w:t>法定代表人或其委托代理人：（签字）</w:t>
      </w:r>
    </w:p>
    <w:p>
      <w:pPr>
        <w:jc w:val="center"/>
        <w:rPr>
          <w:sz w:val="28"/>
          <w:szCs w:val="28"/>
        </w:rPr>
      </w:pPr>
    </w:p>
    <w:p>
      <w:pPr>
        <w:jc w:val="center"/>
        <w:rPr>
          <w:sz w:val="28"/>
          <w:szCs w:val="28"/>
        </w:rPr>
      </w:pPr>
    </w:p>
    <w:p>
      <w:pPr>
        <w:jc w:val="center"/>
        <w:rPr>
          <w:sz w:val="28"/>
          <w:szCs w:val="28"/>
        </w:rPr>
      </w:pPr>
      <w:r>
        <w:rPr>
          <w:rFonts w:hint="eastAsia" w:cs="宋体"/>
          <w:sz w:val="28"/>
          <w:szCs w:val="28"/>
        </w:rPr>
        <w:t>年</w:t>
      </w:r>
      <w:r>
        <w:rPr>
          <w:rFonts w:hint="eastAsia" w:cs="宋体"/>
          <w:sz w:val="28"/>
          <w:szCs w:val="28"/>
          <w:lang w:val="en-US" w:eastAsia="zh-CN"/>
        </w:rPr>
        <w:t xml:space="preserve">  </w:t>
      </w:r>
      <w:r>
        <w:rPr>
          <w:rFonts w:hint="eastAsia" w:cs="宋体"/>
          <w:sz w:val="28"/>
          <w:szCs w:val="28"/>
        </w:rPr>
        <w:t>月</w:t>
      </w:r>
      <w:r>
        <w:rPr>
          <w:rFonts w:hint="eastAsia" w:cs="宋体"/>
          <w:sz w:val="28"/>
          <w:szCs w:val="28"/>
          <w:lang w:val="en-US" w:eastAsia="zh-CN"/>
        </w:rPr>
        <w:t xml:space="preserve">  </w:t>
      </w:r>
      <w:r>
        <w:rPr>
          <w:rFonts w:hint="eastAsia" w:cs="宋体"/>
          <w:sz w:val="28"/>
          <w:szCs w:val="28"/>
        </w:rPr>
        <w:t>日</w:t>
      </w:r>
    </w:p>
    <w:p>
      <w:pPr>
        <w:pStyle w:val="19"/>
        <w:spacing w:line="360" w:lineRule="auto"/>
        <w:ind w:firstLine="0" w:firstLineChars="0"/>
        <w:rPr>
          <w:sz w:val="24"/>
          <w:szCs w:val="22"/>
        </w:rPr>
      </w:pPr>
    </w:p>
    <w:p>
      <w:pPr>
        <w:pStyle w:val="19"/>
        <w:spacing w:line="360" w:lineRule="auto"/>
        <w:ind w:left="420" w:leftChars="200" w:firstLine="0" w:firstLineChars="0"/>
        <w:rPr>
          <w:sz w:val="24"/>
          <w:szCs w:val="22"/>
        </w:rPr>
      </w:pPr>
      <w:r>
        <w:rPr>
          <w:rFonts w:hint="eastAsia"/>
          <w:sz w:val="24"/>
          <w:szCs w:val="22"/>
        </w:rPr>
        <w:br w:type="page"/>
      </w:r>
    </w:p>
    <w:p>
      <w:pPr>
        <w:overflowPunct w:val="0"/>
        <w:autoSpaceDE w:val="0"/>
        <w:autoSpaceDN w:val="0"/>
        <w:adjustRightInd w:val="0"/>
        <w:snapToGrid w:val="0"/>
        <w:spacing w:line="480" w:lineRule="atLeast"/>
        <w:jc w:val="center"/>
        <w:rPr>
          <w:rFonts w:ascii="宋体" w:hAnsi="宋体"/>
          <w:b/>
          <w:sz w:val="24"/>
          <w:szCs w:val="24"/>
        </w:rPr>
      </w:pPr>
      <w:r>
        <w:rPr>
          <w:rFonts w:hint="eastAsia" w:ascii="宋体" w:hAnsi="宋体"/>
          <w:b/>
          <w:sz w:val="24"/>
          <w:szCs w:val="24"/>
        </w:rPr>
        <w:t>法定代表人授权委托书</w:t>
      </w:r>
    </w:p>
    <w:p>
      <w:pPr>
        <w:spacing w:after="156" w:line="400" w:lineRule="exact"/>
        <w:rPr>
          <w:rFonts w:ascii="宋体" w:hAnsi="宋体"/>
          <w:b/>
          <w:color w:val="000000"/>
          <w:sz w:val="24"/>
          <w:szCs w:val="24"/>
        </w:rPr>
      </w:pPr>
    </w:p>
    <w:p>
      <w:pPr>
        <w:pStyle w:val="7"/>
        <w:overflowPunct w:val="0"/>
        <w:autoSpaceDE w:val="0"/>
        <w:autoSpaceDN w:val="0"/>
        <w:adjustRightInd w:val="0"/>
        <w:snapToGrid w:val="0"/>
        <w:spacing w:line="360" w:lineRule="auto"/>
        <w:ind w:left="0" w:leftChars="0" w:firstLine="482" w:firstLineChars="200"/>
        <w:rPr>
          <w:rFonts w:ascii="宋体" w:hAnsi="宋体"/>
          <w:sz w:val="24"/>
          <w:szCs w:val="24"/>
        </w:rPr>
      </w:pPr>
      <w:r>
        <w:rPr>
          <w:rFonts w:hint="eastAsia" w:ascii="宋体" w:hAnsi="宋体"/>
          <w:sz w:val="24"/>
          <w:szCs w:val="24"/>
        </w:rPr>
        <w:t>本授权委托书声明：（姓名）系（</w:t>
      </w:r>
      <w:r>
        <w:rPr>
          <w:rFonts w:hint="eastAsia" w:ascii="宋体" w:hAnsi="宋体"/>
          <w:sz w:val="24"/>
          <w:szCs w:val="24"/>
          <w:lang w:eastAsia="zh-CN"/>
        </w:rPr>
        <w:t>响应人</w:t>
      </w:r>
      <w:r>
        <w:rPr>
          <w:rFonts w:hint="eastAsia" w:ascii="宋体" w:hAnsi="宋体"/>
          <w:sz w:val="24"/>
          <w:szCs w:val="24"/>
        </w:rPr>
        <w:t>名称）的法定代表人，现授权委托 （姓名）为我公司签署</w:t>
      </w:r>
      <w:r>
        <w:rPr>
          <w:rFonts w:hint="eastAsia" w:hAnsi="宋体"/>
          <w:color w:val="0000FF"/>
          <w:sz w:val="24"/>
          <w:szCs w:val="24"/>
          <w:lang w:eastAsia="zh-CN"/>
        </w:rPr>
        <w:t>轨道西悦项目基建变工程</w:t>
      </w:r>
      <w:r>
        <w:rPr>
          <w:rFonts w:hint="eastAsia" w:ascii="宋体" w:hAnsi="宋体"/>
          <w:sz w:val="24"/>
          <w:szCs w:val="24"/>
        </w:rPr>
        <w:t>的</w:t>
      </w:r>
      <w:r>
        <w:rPr>
          <w:rFonts w:hint="eastAsia" w:ascii="宋体" w:hAnsi="宋体"/>
          <w:sz w:val="24"/>
          <w:szCs w:val="24"/>
          <w:lang w:eastAsia="zh-CN"/>
        </w:rPr>
        <w:t>响应文件</w:t>
      </w:r>
      <w:r>
        <w:rPr>
          <w:rFonts w:hint="eastAsia" w:ascii="宋体" w:hAnsi="宋体"/>
          <w:sz w:val="24"/>
          <w:szCs w:val="24"/>
        </w:rPr>
        <w:t>的法定代表人授权委托代理人，我承认代理人全权代表我所签署的本工程的</w:t>
      </w:r>
      <w:r>
        <w:rPr>
          <w:rFonts w:hint="eastAsia" w:ascii="宋体" w:hAnsi="宋体"/>
          <w:sz w:val="24"/>
          <w:szCs w:val="24"/>
          <w:lang w:eastAsia="zh-CN"/>
        </w:rPr>
        <w:t>响应文件</w:t>
      </w:r>
      <w:r>
        <w:rPr>
          <w:rFonts w:hint="eastAsia" w:ascii="宋体" w:hAnsi="宋体"/>
          <w:sz w:val="24"/>
          <w:szCs w:val="24"/>
        </w:rPr>
        <w:t>的内容。</w:t>
      </w:r>
    </w:p>
    <w:p>
      <w:pPr>
        <w:pStyle w:val="7"/>
        <w:overflowPunct w:val="0"/>
        <w:autoSpaceDE w:val="0"/>
        <w:autoSpaceDN w:val="0"/>
        <w:adjustRightInd w:val="0"/>
        <w:snapToGrid w:val="0"/>
        <w:spacing w:line="360" w:lineRule="auto"/>
        <w:ind w:left="0" w:leftChars="0" w:firstLine="482" w:firstLineChars="200"/>
        <w:rPr>
          <w:rFonts w:ascii="宋体" w:hAnsi="宋体"/>
          <w:sz w:val="24"/>
          <w:szCs w:val="24"/>
        </w:rPr>
      </w:pPr>
      <w:r>
        <w:rPr>
          <w:rFonts w:hint="eastAsia" w:ascii="宋体" w:hAnsi="宋体"/>
          <w:sz w:val="24"/>
          <w:szCs w:val="24"/>
        </w:rPr>
        <w:t>代理人无转委托权，特此委托。</w:t>
      </w:r>
    </w:p>
    <w:p>
      <w:pPr>
        <w:pStyle w:val="7"/>
        <w:overflowPunct w:val="0"/>
        <w:autoSpaceDE w:val="0"/>
        <w:autoSpaceDN w:val="0"/>
        <w:adjustRightInd w:val="0"/>
        <w:snapToGrid w:val="0"/>
        <w:spacing w:line="360" w:lineRule="auto"/>
        <w:ind w:left="0" w:leftChars="0" w:firstLine="562" w:firstLineChars="200"/>
        <w:rPr>
          <w:rFonts w:ascii="宋体" w:hAnsi="宋体"/>
          <w:sz w:val="28"/>
          <w:szCs w:val="28"/>
        </w:rPr>
      </w:pPr>
    </w:p>
    <w:p>
      <w:pPr>
        <w:pStyle w:val="7"/>
        <w:overflowPunct w:val="0"/>
        <w:autoSpaceDE w:val="0"/>
        <w:autoSpaceDN w:val="0"/>
        <w:adjustRightInd w:val="0"/>
        <w:snapToGrid w:val="0"/>
        <w:spacing w:line="360" w:lineRule="auto"/>
        <w:ind w:left="0" w:leftChars="0" w:firstLine="562" w:firstLineChars="200"/>
        <w:rPr>
          <w:rFonts w:ascii="宋体" w:hAnsi="宋体"/>
          <w:sz w:val="28"/>
          <w:szCs w:val="28"/>
        </w:rPr>
      </w:pPr>
    </w:p>
    <w:p>
      <w:pPr>
        <w:pStyle w:val="7"/>
        <w:overflowPunct w:val="0"/>
        <w:autoSpaceDE w:val="0"/>
        <w:autoSpaceDN w:val="0"/>
        <w:adjustRightInd w:val="0"/>
        <w:snapToGrid w:val="0"/>
        <w:spacing w:line="360" w:lineRule="auto"/>
        <w:ind w:left="0" w:leftChars="0" w:firstLine="562" w:firstLineChars="200"/>
        <w:rPr>
          <w:rFonts w:ascii="宋体" w:hAnsi="宋体"/>
          <w:sz w:val="28"/>
          <w:szCs w:val="28"/>
        </w:rPr>
      </w:pPr>
    </w:p>
    <w:p>
      <w:pPr>
        <w:pStyle w:val="7"/>
        <w:overflowPunct w:val="0"/>
        <w:autoSpaceDE w:val="0"/>
        <w:autoSpaceDN w:val="0"/>
        <w:adjustRightInd w:val="0"/>
        <w:snapToGrid w:val="0"/>
        <w:spacing w:line="360" w:lineRule="auto"/>
        <w:ind w:left="0" w:leftChars="0" w:firstLine="562" w:firstLineChars="200"/>
        <w:rPr>
          <w:rFonts w:ascii="宋体" w:hAnsi="宋体"/>
          <w:sz w:val="28"/>
          <w:szCs w:val="28"/>
        </w:rPr>
      </w:pPr>
    </w:p>
    <w:p>
      <w:pPr>
        <w:pStyle w:val="7"/>
        <w:overflowPunct w:val="0"/>
        <w:autoSpaceDE w:val="0"/>
        <w:autoSpaceDN w:val="0"/>
        <w:adjustRightInd w:val="0"/>
        <w:snapToGrid w:val="0"/>
        <w:spacing w:line="360" w:lineRule="auto"/>
        <w:ind w:left="0" w:leftChars="0" w:firstLine="562" w:firstLineChars="200"/>
        <w:rPr>
          <w:rFonts w:ascii="宋体" w:hAnsi="宋体"/>
          <w:sz w:val="28"/>
          <w:szCs w:val="28"/>
        </w:rPr>
      </w:pPr>
    </w:p>
    <w:p>
      <w:pPr>
        <w:pStyle w:val="7"/>
        <w:overflowPunct w:val="0"/>
        <w:autoSpaceDE w:val="0"/>
        <w:autoSpaceDN w:val="0"/>
        <w:adjustRightInd w:val="0"/>
        <w:snapToGrid w:val="0"/>
        <w:spacing w:line="360" w:lineRule="auto"/>
        <w:ind w:left="0" w:leftChars="0" w:firstLine="562" w:firstLineChars="200"/>
        <w:rPr>
          <w:rFonts w:ascii="宋体" w:hAnsi="宋体"/>
          <w:sz w:val="28"/>
          <w:szCs w:val="28"/>
        </w:rPr>
      </w:pPr>
    </w:p>
    <w:p>
      <w:pPr>
        <w:pStyle w:val="7"/>
        <w:overflowPunct w:val="0"/>
        <w:autoSpaceDE w:val="0"/>
        <w:autoSpaceDN w:val="0"/>
        <w:adjustRightInd w:val="0"/>
        <w:snapToGrid w:val="0"/>
        <w:spacing w:line="360" w:lineRule="auto"/>
        <w:ind w:left="0" w:leftChars="0" w:firstLine="2891" w:firstLineChars="1200"/>
        <w:rPr>
          <w:rFonts w:ascii="宋体" w:hAnsi="宋体"/>
          <w:sz w:val="24"/>
          <w:szCs w:val="24"/>
        </w:rPr>
      </w:pPr>
    </w:p>
    <w:p>
      <w:pPr>
        <w:pStyle w:val="7"/>
        <w:overflowPunct w:val="0"/>
        <w:autoSpaceDE w:val="0"/>
        <w:autoSpaceDN w:val="0"/>
        <w:adjustRightInd w:val="0"/>
        <w:snapToGrid w:val="0"/>
        <w:spacing w:line="360" w:lineRule="auto"/>
        <w:ind w:left="0" w:leftChars="0" w:firstLine="2891" w:firstLineChars="1200"/>
        <w:rPr>
          <w:rFonts w:ascii="宋体" w:hAnsi="宋体"/>
          <w:sz w:val="24"/>
          <w:szCs w:val="24"/>
        </w:rPr>
      </w:pPr>
      <w:r>
        <w:rPr>
          <w:rFonts w:hint="eastAsia" w:ascii="宋体" w:hAnsi="宋体"/>
          <w:sz w:val="24"/>
          <w:szCs w:val="24"/>
        </w:rPr>
        <w:t xml:space="preserve">代理人：   （签字）   </w:t>
      </w:r>
    </w:p>
    <w:p>
      <w:pPr>
        <w:pStyle w:val="7"/>
        <w:overflowPunct w:val="0"/>
        <w:autoSpaceDE w:val="0"/>
        <w:autoSpaceDN w:val="0"/>
        <w:adjustRightInd w:val="0"/>
        <w:snapToGrid w:val="0"/>
        <w:spacing w:line="360" w:lineRule="auto"/>
        <w:ind w:left="0" w:leftChars="0" w:firstLine="2891" w:firstLineChars="1200"/>
        <w:rPr>
          <w:rFonts w:ascii="宋体" w:hAnsi="宋体"/>
          <w:sz w:val="24"/>
          <w:szCs w:val="24"/>
        </w:rPr>
      </w:pPr>
      <w:r>
        <w:rPr>
          <w:rFonts w:hint="eastAsia" w:ascii="宋体" w:hAnsi="宋体"/>
          <w:sz w:val="24"/>
          <w:szCs w:val="24"/>
        </w:rPr>
        <w:t xml:space="preserve">身份证号码：                 </w:t>
      </w:r>
    </w:p>
    <w:p>
      <w:pPr>
        <w:pStyle w:val="7"/>
        <w:overflowPunct w:val="0"/>
        <w:autoSpaceDE w:val="0"/>
        <w:autoSpaceDN w:val="0"/>
        <w:adjustRightInd w:val="0"/>
        <w:snapToGrid w:val="0"/>
        <w:spacing w:line="360" w:lineRule="auto"/>
        <w:ind w:left="0" w:leftChars="0" w:firstLine="2891" w:firstLineChars="1200"/>
        <w:rPr>
          <w:rFonts w:ascii="宋体" w:hAnsi="宋体"/>
          <w:sz w:val="24"/>
          <w:szCs w:val="24"/>
        </w:rPr>
      </w:pPr>
      <w:r>
        <w:rPr>
          <w:rFonts w:hint="eastAsia" w:ascii="宋体" w:hAnsi="宋体"/>
          <w:sz w:val="24"/>
          <w:szCs w:val="24"/>
          <w:lang w:eastAsia="zh-CN"/>
        </w:rPr>
        <w:t>响应人</w:t>
      </w:r>
      <w:r>
        <w:rPr>
          <w:rFonts w:hint="eastAsia" w:ascii="宋体" w:hAnsi="宋体"/>
          <w:sz w:val="24"/>
          <w:szCs w:val="24"/>
        </w:rPr>
        <w:t xml:space="preserve">：                         </w:t>
      </w:r>
    </w:p>
    <w:p>
      <w:pPr>
        <w:pStyle w:val="7"/>
        <w:overflowPunct w:val="0"/>
        <w:autoSpaceDE w:val="0"/>
        <w:autoSpaceDN w:val="0"/>
        <w:adjustRightInd w:val="0"/>
        <w:snapToGrid w:val="0"/>
        <w:spacing w:line="360" w:lineRule="auto"/>
        <w:ind w:left="0" w:leftChars="0" w:firstLine="2891" w:firstLineChars="1200"/>
        <w:rPr>
          <w:rFonts w:ascii="宋体" w:hAnsi="宋体"/>
          <w:sz w:val="24"/>
          <w:szCs w:val="24"/>
        </w:rPr>
      </w:pPr>
      <w:r>
        <w:rPr>
          <w:rFonts w:hint="eastAsia" w:ascii="宋体" w:hAnsi="宋体"/>
          <w:sz w:val="24"/>
          <w:szCs w:val="24"/>
        </w:rPr>
        <w:t xml:space="preserve">法定代表人：    （签字或盖章）                 </w:t>
      </w:r>
    </w:p>
    <w:p>
      <w:pPr>
        <w:pStyle w:val="7"/>
        <w:overflowPunct w:val="0"/>
        <w:autoSpaceDE w:val="0"/>
        <w:autoSpaceDN w:val="0"/>
        <w:adjustRightInd w:val="0"/>
        <w:snapToGrid w:val="0"/>
        <w:spacing w:line="360" w:lineRule="auto"/>
        <w:ind w:left="0" w:leftChars="0" w:firstLine="2891" w:firstLineChars="1200"/>
        <w:rPr>
          <w:rFonts w:ascii="宋体" w:hAnsi="宋体"/>
          <w:sz w:val="24"/>
          <w:szCs w:val="24"/>
        </w:rPr>
      </w:pPr>
      <w:r>
        <w:rPr>
          <w:rFonts w:hint="eastAsia" w:ascii="宋体" w:hAnsi="宋体"/>
          <w:sz w:val="24"/>
          <w:szCs w:val="24"/>
        </w:rPr>
        <w:t>授权委托日期：     年     月   日</w:t>
      </w:r>
    </w:p>
    <w:p>
      <w:pPr>
        <w:rPr>
          <w:rFonts w:hint="eastAsia" w:ascii="宋体" w:hAnsi="宋体"/>
          <w:b/>
          <w:sz w:val="24"/>
          <w:szCs w:val="24"/>
        </w:rPr>
      </w:pPr>
      <w:r>
        <w:rPr>
          <w:rFonts w:hint="eastAsia" w:ascii="宋体" w:hAnsi="宋体"/>
          <w:b/>
          <w:sz w:val="24"/>
          <w:szCs w:val="24"/>
        </w:rPr>
        <w:br w:type="page"/>
      </w:r>
    </w:p>
    <w:p>
      <w:pPr>
        <w:overflowPunct w:val="0"/>
        <w:autoSpaceDE w:val="0"/>
        <w:autoSpaceDN w:val="0"/>
        <w:adjustRightInd w:val="0"/>
        <w:snapToGrid w:val="0"/>
        <w:spacing w:line="480" w:lineRule="atLeast"/>
        <w:jc w:val="center"/>
        <w:rPr>
          <w:rFonts w:hint="default" w:ascii="宋体" w:hAnsi="宋体" w:eastAsia="宋体"/>
          <w:b/>
          <w:sz w:val="24"/>
          <w:szCs w:val="24"/>
          <w:lang w:val="en-US" w:eastAsia="zh-CN"/>
        </w:rPr>
      </w:pPr>
      <w:r>
        <w:rPr>
          <w:rFonts w:hint="eastAsia" w:ascii="宋体" w:hAnsi="宋体"/>
          <w:b/>
          <w:sz w:val="24"/>
          <w:szCs w:val="24"/>
        </w:rPr>
        <w:t>企业证照</w:t>
      </w:r>
      <w:r>
        <w:rPr>
          <w:rFonts w:hint="eastAsia" w:ascii="宋体" w:hAnsi="宋体"/>
          <w:b/>
          <w:sz w:val="24"/>
          <w:szCs w:val="24"/>
          <w:lang w:eastAsia="zh-CN"/>
        </w:rPr>
        <w:t>、</w:t>
      </w:r>
      <w:r>
        <w:rPr>
          <w:rFonts w:hint="eastAsia" w:ascii="宋体" w:hAnsi="宋体"/>
          <w:b/>
          <w:sz w:val="24"/>
          <w:szCs w:val="24"/>
          <w:lang w:val="en-US" w:eastAsia="zh-CN"/>
        </w:rPr>
        <w:t>资质证书</w:t>
      </w:r>
    </w:p>
    <w:p>
      <w:pPr>
        <w:spacing w:line="360" w:lineRule="auto"/>
        <w:jc w:val="center"/>
        <w:rPr>
          <w:rFonts w:hint="eastAsia" w:ascii="宋体" w:hAnsi="宋体" w:cs="Arial"/>
          <w:sz w:val="24"/>
          <w:szCs w:val="24"/>
          <w:lang w:val="en-US" w:eastAsia="zh-CN"/>
        </w:rPr>
      </w:pPr>
      <w:r>
        <w:rPr>
          <w:rFonts w:hint="eastAsia" w:ascii="宋体" w:hAnsi="宋体" w:cs="Arial"/>
          <w:sz w:val="24"/>
          <w:szCs w:val="24"/>
          <w:lang w:val="en-US" w:eastAsia="zh-CN"/>
        </w:rPr>
        <w:t>【复印件并加盖公章】</w:t>
      </w:r>
    </w:p>
    <w:p>
      <w:pPr>
        <w:overflowPunct w:val="0"/>
        <w:autoSpaceDE w:val="0"/>
        <w:autoSpaceDN w:val="0"/>
        <w:adjustRightInd w:val="0"/>
        <w:snapToGrid w:val="0"/>
        <w:spacing w:line="480" w:lineRule="atLeast"/>
        <w:jc w:val="both"/>
        <w:rPr>
          <w:rFonts w:ascii="宋体" w:hAnsi="宋体"/>
          <w:b/>
          <w:sz w:val="28"/>
          <w:szCs w:val="28"/>
        </w:rPr>
      </w:pPr>
      <w:r>
        <w:rPr>
          <w:rFonts w:hint="eastAsia" w:ascii="宋体" w:hAnsi="宋体"/>
          <w:b/>
          <w:sz w:val="28"/>
          <w:szCs w:val="28"/>
        </w:rPr>
        <w:br w:type="page"/>
      </w:r>
    </w:p>
    <w:p>
      <w:pPr>
        <w:overflowPunct w:val="0"/>
        <w:autoSpaceDE w:val="0"/>
        <w:autoSpaceDN w:val="0"/>
        <w:adjustRightInd w:val="0"/>
        <w:snapToGrid w:val="0"/>
        <w:spacing w:line="480" w:lineRule="atLeast"/>
        <w:jc w:val="center"/>
        <w:rPr>
          <w:rFonts w:ascii="宋体" w:hAnsi="宋体"/>
          <w:b/>
          <w:sz w:val="30"/>
          <w:szCs w:val="30"/>
        </w:rPr>
      </w:pPr>
      <w:r>
        <w:rPr>
          <w:rFonts w:hint="eastAsia" w:ascii="宋体" w:hAnsi="宋体"/>
          <w:b/>
          <w:sz w:val="30"/>
          <w:szCs w:val="30"/>
        </w:rPr>
        <w:t>投 标 函</w:t>
      </w:r>
    </w:p>
    <w:p>
      <w:pPr>
        <w:overflowPunct w:val="0"/>
        <w:autoSpaceDE w:val="0"/>
        <w:autoSpaceDN w:val="0"/>
        <w:adjustRightInd w:val="0"/>
        <w:snapToGrid w:val="0"/>
        <w:spacing w:line="480" w:lineRule="atLeast"/>
        <w:ind w:firstLine="562" w:firstLineChars="200"/>
        <w:jc w:val="center"/>
        <w:rPr>
          <w:rFonts w:ascii="宋体" w:hAnsi="宋体"/>
          <w:b/>
          <w:sz w:val="28"/>
          <w:szCs w:val="28"/>
        </w:rPr>
      </w:pPr>
    </w:p>
    <w:p>
      <w:pPr>
        <w:spacing w:line="360" w:lineRule="auto"/>
        <w:rPr>
          <w:rFonts w:hint="default" w:ascii="宋体" w:hAnsi="宋体" w:cs="Arial" w:eastAsiaTheme="minorEastAsia"/>
          <w:sz w:val="24"/>
          <w:szCs w:val="24"/>
          <w:lang w:val="en-US" w:eastAsia="zh-CN"/>
        </w:rPr>
      </w:pPr>
      <w:r>
        <w:rPr>
          <w:rFonts w:hint="eastAsia" w:ascii="宋体" w:hAnsi="宋体"/>
          <w:sz w:val="24"/>
          <w:szCs w:val="24"/>
        </w:rPr>
        <w:t>致：</w:t>
      </w:r>
      <w:r>
        <w:rPr>
          <w:rFonts w:hint="eastAsia" w:ascii="宋体" w:hAnsi="宋体" w:cs="Arial"/>
          <w:sz w:val="24"/>
          <w:szCs w:val="24"/>
          <w:lang w:val="en-US" w:eastAsia="zh-CN"/>
        </w:rPr>
        <w:t>南宁轨道锦绣中尧房地产有限公司</w:t>
      </w:r>
    </w:p>
    <w:p>
      <w:pPr>
        <w:pStyle w:val="7"/>
        <w:overflowPunct w:val="0"/>
        <w:autoSpaceDE w:val="0"/>
        <w:autoSpaceDN w:val="0"/>
        <w:adjustRightInd w:val="0"/>
        <w:snapToGrid w:val="0"/>
        <w:spacing w:line="360" w:lineRule="auto"/>
        <w:ind w:left="0" w:leftChars="0" w:firstLine="482" w:firstLineChars="200"/>
        <w:rPr>
          <w:rFonts w:ascii="宋体" w:hAnsi="宋体"/>
          <w:bCs/>
          <w:color w:val="FF0000"/>
          <w:sz w:val="24"/>
          <w:szCs w:val="24"/>
          <w:u w:val="single"/>
        </w:rPr>
      </w:pPr>
      <w:r>
        <w:rPr>
          <w:rFonts w:hint="eastAsia" w:ascii="宋体" w:hAnsi="宋体"/>
          <w:sz w:val="24"/>
          <w:szCs w:val="24"/>
        </w:rPr>
        <w:t>根据《</w:t>
      </w:r>
      <w:r>
        <w:rPr>
          <w:rFonts w:hint="eastAsia" w:hAnsi="宋体"/>
          <w:color w:val="0000FF"/>
          <w:sz w:val="24"/>
          <w:szCs w:val="24"/>
          <w:lang w:eastAsia="zh-CN"/>
        </w:rPr>
        <w:t>轨道西悦项目基建变工程</w:t>
      </w:r>
      <w:r>
        <w:rPr>
          <w:rFonts w:hint="eastAsia" w:ascii="宋体" w:hAnsi="宋体"/>
          <w:sz w:val="24"/>
          <w:szCs w:val="24"/>
        </w:rPr>
        <w:t>》</w:t>
      </w:r>
      <w:r>
        <w:rPr>
          <w:rFonts w:hint="eastAsia" w:ascii="宋体" w:hAnsi="宋体"/>
          <w:sz w:val="24"/>
          <w:szCs w:val="24"/>
          <w:lang w:val="en-US" w:eastAsia="zh-CN"/>
        </w:rPr>
        <w:t>采购文件</w:t>
      </w:r>
      <w:r>
        <w:rPr>
          <w:rFonts w:hint="eastAsia" w:ascii="宋体" w:hAnsi="宋体"/>
          <w:sz w:val="24"/>
          <w:szCs w:val="24"/>
        </w:rPr>
        <w:t>，经详细研究，我公司决定：</w:t>
      </w:r>
    </w:p>
    <w:p>
      <w:pPr>
        <w:overflowPunct w:val="0"/>
        <w:autoSpaceDE w:val="0"/>
        <w:autoSpaceDN w:val="0"/>
        <w:adjustRightInd w:val="0"/>
        <w:snapToGrid w:val="0"/>
        <w:spacing w:line="360" w:lineRule="auto"/>
        <w:ind w:firstLine="600" w:firstLineChars="250"/>
        <w:rPr>
          <w:rFonts w:ascii="宋体" w:hAnsi="宋体"/>
          <w:sz w:val="24"/>
          <w:szCs w:val="24"/>
          <w:highlight w:val="none"/>
        </w:rPr>
      </w:pPr>
      <w:r>
        <w:rPr>
          <w:rFonts w:hint="eastAsia" w:ascii="宋体" w:hAnsi="宋体"/>
          <w:sz w:val="24"/>
          <w:szCs w:val="24"/>
        </w:rPr>
        <w:t>1、我单位愿以</w:t>
      </w:r>
      <w:r>
        <w:rPr>
          <w:rFonts w:hint="eastAsia" w:ascii="宋体" w:hAnsi="宋体"/>
          <w:sz w:val="24"/>
          <w:szCs w:val="24"/>
          <w:lang w:val="en-US" w:eastAsia="zh-CN"/>
        </w:rPr>
        <w:t>含税</w:t>
      </w:r>
      <w:r>
        <w:rPr>
          <w:rFonts w:hint="eastAsia" w:ascii="宋体" w:hAnsi="宋体"/>
          <w:sz w:val="24"/>
          <w:szCs w:val="24"/>
        </w:rPr>
        <w:t>总</w:t>
      </w:r>
      <w:r>
        <w:rPr>
          <w:rFonts w:hint="eastAsia" w:ascii="宋体" w:hAnsi="宋体"/>
          <w:sz w:val="24"/>
          <w:szCs w:val="24"/>
          <w:lang w:eastAsia="zh-CN"/>
        </w:rPr>
        <w:t>响应</w:t>
      </w:r>
      <w:r>
        <w:rPr>
          <w:rFonts w:hint="eastAsia" w:ascii="宋体" w:hAnsi="宋体"/>
          <w:sz w:val="24"/>
          <w:szCs w:val="24"/>
        </w:rPr>
        <w:t>报价人民币（大写）(￥元 )</w:t>
      </w:r>
      <w:r>
        <w:rPr>
          <w:rFonts w:hint="eastAsia" w:ascii="宋体" w:hAnsi="宋体"/>
          <w:sz w:val="24"/>
          <w:szCs w:val="24"/>
          <w:lang w:eastAsia="zh-CN"/>
        </w:rPr>
        <w:t>。</w:t>
      </w:r>
      <w:r>
        <w:rPr>
          <w:rFonts w:hint="eastAsia" w:ascii="宋体" w:hAnsi="宋体"/>
          <w:sz w:val="24"/>
          <w:szCs w:val="24"/>
          <w:highlight w:val="none"/>
        </w:rPr>
        <w:t>并按照</w:t>
      </w:r>
      <w:r>
        <w:rPr>
          <w:rFonts w:hint="eastAsia" w:ascii="宋体" w:hAnsi="宋体"/>
          <w:sz w:val="24"/>
          <w:szCs w:val="24"/>
          <w:highlight w:val="none"/>
          <w:u w:val="single"/>
          <w:lang w:val="en-US" w:eastAsia="zh-CN"/>
        </w:rPr>
        <w:t>采购文件</w:t>
      </w:r>
      <w:r>
        <w:rPr>
          <w:rFonts w:hint="eastAsia" w:ascii="宋体" w:hAnsi="宋体"/>
          <w:sz w:val="24"/>
          <w:szCs w:val="24"/>
          <w:highlight w:val="none"/>
        </w:rPr>
        <w:t>中的要求</w:t>
      </w:r>
      <w:r>
        <w:rPr>
          <w:rFonts w:hint="eastAsia" w:ascii="宋体" w:hAnsi="宋体"/>
          <w:sz w:val="24"/>
          <w:szCs w:val="24"/>
          <w:highlight w:val="none"/>
          <w:lang w:val="en-US" w:eastAsia="zh-CN"/>
        </w:rPr>
        <w:t>进行施工并完成验收接火通电</w:t>
      </w:r>
      <w:r>
        <w:rPr>
          <w:rFonts w:hint="eastAsia" w:ascii="宋体" w:hAnsi="宋体"/>
          <w:sz w:val="24"/>
          <w:szCs w:val="24"/>
          <w:highlight w:val="none"/>
        </w:rPr>
        <w:t>。</w:t>
      </w:r>
    </w:p>
    <w:p>
      <w:pPr>
        <w:overflowPunct w:val="0"/>
        <w:autoSpaceDE w:val="0"/>
        <w:autoSpaceDN w:val="0"/>
        <w:adjustRightInd w:val="0"/>
        <w:snapToGrid w:val="0"/>
        <w:spacing w:line="360" w:lineRule="auto"/>
        <w:ind w:firstLine="360" w:firstLineChars="150"/>
        <w:rPr>
          <w:rFonts w:ascii="宋体" w:hAnsi="宋体"/>
          <w:sz w:val="24"/>
          <w:szCs w:val="24"/>
          <w:highlight w:val="none"/>
        </w:rPr>
      </w:pPr>
      <w:r>
        <w:rPr>
          <w:rFonts w:hint="eastAsia" w:ascii="宋体" w:hAnsi="宋体"/>
          <w:sz w:val="24"/>
          <w:szCs w:val="24"/>
          <w:highlight w:val="none"/>
        </w:rPr>
        <w:t>2、我单位愿意按照文件要求、政府及相关行业规范按质按</w:t>
      </w:r>
      <w:r>
        <w:rPr>
          <w:rFonts w:hint="eastAsia" w:ascii="宋体" w:hAnsi="宋体"/>
          <w:sz w:val="24"/>
          <w:szCs w:val="24"/>
          <w:highlight w:val="none"/>
          <w:lang w:val="en-US" w:eastAsia="zh-CN"/>
        </w:rPr>
        <w:t>工期要求完成基建变的安装施工、调试及协调供电部门通电工作，并完成供电资料编制</w:t>
      </w:r>
      <w:r>
        <w:rPr>
          <w:rFonts w:hint="eastAsia" w:ascii="宋体" w:hAnsi="宋体"/>
          <w:sz w:val="24"/>
          <w:szCs w:val="24"/>
          <w:highlight w:val="none"/>
        </w:rPr>
        <w:t>。</w:t>
      </w:r>
    </w:p>
    <w:p>
      <w:pPr>
        <w:overflowPunct w:val="0"/>
        <w:autoSpaceDE w:val="0"/>
        <w:autoSpaceDN w:val="0"/>
        <w:adjustRightInd w:val="0"/>
        <w:snapToGrid w:val="0"/>
        <w:spacing w:line="480" w:lineRule="atLeast"/>
        <w:ind w:firstLine="980" w:firstLineChars="350"/>
        <w:rPr>
          <w:rFonts w:ascii="宋体" w:hAnsi="宋体"/>
          <w:sz w:val="28"/>
          <w:szCs w:val="28"/>
          <w:highlight w:val="yellow"/>
        </w:rPr>
      </w:pPr>
    </w:p>
    <w:p>
      <w:pPr>
        <w:overflowPunct w:val="0"/>
        <w:autoSpaceDE w:val="0"/>
        <w:autoSpaceDN w:val="0"/>
        <w:adjustRightInd w:val="0"/>
        <w:snapToGrid w:val="0"/>
        <w:spacing w:line="480" w:lineRule="atLeast"/>
        <w:ind w:firstLine="980" w:firstLineChars="350"/>
        <w:rPr>
          <w:rFonts w:ascii="宋体" w:hAnsi="宋体"/>
          <w:sz w:val="28"/>
          <w:szCs w:val="28"/>
        </w:rPr>
      </w:pPr>
    </w:p>
    <w:p>
      <w:pPr>
        <w:overflowPunct w:val="0"/>
        <w:autoSpaceDE w:val="0"/>
        <w:autoSpaceDN w:val="0"/>
        <w:adjustRightInd w:val="0"/>
        <w:snapToGrid w:val="0"/>
        <w:spacing w:line="480" w:lineRule="atLeast"/>
        <w:ind w:firstLine="980" w:firstLineChars="350"/>
        <w:rPr>
          <w:rFonts w:ascii="宋体" w:hAnsi="宋体"/>
          <w:sz w:val="28"/>
          <w:szCs w:val="28"/>
        </w:rPr>
      </w:pPr>
    </w:p>
    <w:p>
      <w:pPr>
        <w:overflowPunct w:val="0"/>
        <w:autoSpaceDE w:val="0"/>
        <w:autoSpaceDN w:val="0"/>
        <w:adjustRightInd w:val="0"/>
        <w:snapToGrid w:val="0"/>
        <w:spacing w:line="480" w:lineRule="atLeast"/>
        <w:ind w:firstLine="560" w:firstLineChars="200"/>
        <w:rPr>
          <w:rFonts w:ascii="宋体" w:hAnsi="宋体"/>
          <w:sz w:val="28"/>
          <w:szCs w:val="28"/>
        </w:rPr>
      </w:pPr>
    </w:p>
    <w:p>
      <w:pPr>
        <w:overflowPunct w:val="0"/>
        <w:autoSpaceDE w:val="0"/>
        <w:autoSpaceDN w:val="0"/>
        <w:adjustRightInd w:val="0"/>
        <w:snapToGrid w:val="0"/>
        <w:spacing w:line="480" w:lineRule="atLeast"/>
        <w:ind w:firstLine="480" w:firstLineChars="200"/>
        <w:rPr>
          <w:rFonts w:ascii="宋体" w:hAnsi="宋体"/>
          <w:sz w:val="24"/>
          <w:szCs w:val="24"/>
        </w:rPr>
      </w:pPr>
    </w:p>
    <w:p>
      <w:pPr>
        <w:overflowPunct w:val="0"/>
        <w:autoSpaceDE w:val="0"/>
        <w:autoSpaceDN w:val="0"/>
        <w:adjustRightInd w:val="0"/>
        <w:snapToGrid w:val="0"/>
        <w:spacing w:line="480" w:lineRule="atLeast"/>
        <w:ind w:firstLine="480" w:firstLineChars="200"/>
        <w:rPr>
          <w:rFonts w:ascii="宋体" w:hAnsi="宋体"/>
          <w:sz w:val="24"/>
          <w:szCs w:val="24"/>
        </w:rPr>
      </w:pPr>
    </w:p>
    <w:p>
      <w:pPr>
        <w:overflowPunct w:val="0"/>
        <w:autoSpaceDE w:val="0"/>
        <w:autoSpaceDN w:val="0"/>
        <w:adjustRightInd w:val="0"/>
        <w:snapToGrid w:val="0"/>
        <w:spacing w:line="480" w:lineRule="atLeast"/>
        <w:ind w:left="3780" w:leftChars="1800"/>
        <w:rPr>
          <w:rFonts w:ascii="宋体" w:hAnsi="宋体"/>
          <w:sz w:val="24"/>
          <w:szCs w:val="24"/>
        </w:rPr>
      </w:pPr>
      <w:r>
        <w:rPr>
          <w:rFonts w:hint="eastAsia" w:ascii="宋体" w:hAnsi="宋体"/>
          <w:sz w:val="24"/>
          <w:szCs w:val="24"/>
          <w:lang w:eastAsia="zh-CN"/>
        </w:rPr>
        <w:t>响应人</w:t>
      </w:r>
      <w:r>
        <w:rPr>
          <w:rFonts w:hint="eastAsia" w:ascii="宋体" w:hAnsi="宋体"/>
          <w:sz w:val="24"/>
          <w:szCs w:val="24"/>
        </w:rPr>
        <w:t xml:space="preserve">：(盖章)                  </w:t>
      </w:r>
    </w:p>
    <w:p>
      <w:pPr>
        <w:overflowPunct w:val="0"/>
        <w:autoSpaceDE w:val="0"/>
        <w:autoSpaceDN w:val="0"/>
        <w:adjustRightInd w:val="0"/>
        <w:snapToGrid w:val="0"/>
        <w:spacing w:line="480" w:lineRule="atLeast"/>
        <w:ind w:left="3780" w:leftChars="1800"/>
        <w:rPr>
          <w:rFonts w:ascii="宋体" w:hAnsi="宋体"/>
          <w:sz w:val="24"/>
          <w:szCs w:val="24"/>
        </w:rPr>
      </w:pPr>
    </w:p>
    <w:p>
      <w:pPr>
        <w:overflowPunct w:val="0"/>
        <w:autoSpaceDE w:val="0"/>
        <w:autoSpaceDN w:val="0"/>
        <w:adjustRightInd w:val="0"/>
        <w:snapToGrid w:val="0"/>
        <w:spacing w:line="480" w:lineRule="atLeast"/>
        <w:ind w:left="3780" w:leftChars="1800"/>
        <w:rPr>
          <w:rFonts w:ascii="宋体" w:hAnsi="宋体"/>
          <w:sz w:val="24"/>
          <w:szCs w:val="24"/>
        </w:rPr>
      </w:pPr>
      <w:r>
        <w:rPr>
          <w:rFonts w:hint="eastAsia" w:ascii="宋体" w:hAnsi="宋体"/>
          <w:sz w:val="24"/>
          <w:szCs w:val="24"/>
        </w:rPr>
        <w:t>法定代表人：        （签字或盖章）</w:t>
      </w:r>
    </w:p>
    <w:p>
      <w:pPr>
        <w:overflowPunct w:val="0"/>
        <w:autoSpaceDE w:val="0"/>
        <w:autoSpaceDN w:val="0"/>
        <w:adjustRightInd w:val="0"/>
        <w:snapToGrid w:val="0"/>
        <w:spacing w:line="480" w:lineRule="atLeast"/>
        <w:ind w:left="3780" w:leftChars="1800"/>
        <w:rPr>
          <w:rFonts w:ascii="宋体" w:hAnsi="宋体"/>
          <w:sz w:val="24"/>
          <w:szCs w:val="24"/>
        </w:rPr>
      </w:pPr>
    </w:p>
    <w:p>
      <w:pPr>
        <w:overflowPunct w:val="0"/>
        <w:autoSpaceDE w:val="0"/>
        <w:autoSpaceDN w:val="0"/>
        <w:adjustRightInd w:val="0"/>
        <w:snapToGrid w:val="0"/>
        <w:spacing w:line="480" w:lineRule="atLeast"/>
        <w:ind w:left="3780" w:leftChars="1800"/>
        <w:rPr>
          <w:rFonts w:ascii="宋体" w:hAnsi="宋体"/>
          <w:sz w:val="24"/>
          <w:szCs w:val="24"/>
        </w:rPr>
      </w:pPr>
      <w:r>
        <w:rPr>
          <w:rFonts w:hint="eastAsia" w:ascii="宋体" w:hAnsi="宋体"/>
          <w:sz w:val="24"/>
          <w:szCs w:val="24"/>
        </w:rPr>
        <w:t xml:space="preserve">授权代理人：        （签字） </w:t>
      </w:r>
    </w:p>
    <w:p>
      <w:pPr>
        <w:overflowPunct w:val="0"/>
        <w:autoSpaceDE w:val="0"/>
        <w:autoSpaceDN w:val="0"/>
        <w:adjustRightInd w:val="0"/>
        <w:snapToGrid w:val="0"/>
        <w:spacing w:line="480" w:lineRule="atLeast"/>
        <w:ind w:left="3780" w:leftChars="1800"/>
        <w:rPr>
          <w:rFonts w:ascii="宋体" w:hAnsi="宋体"/>
          <w:sz w:val="24"/>
          <w:szCs w:val="24"/>
        </w:rPr>
      </w:pPr>
    </w:p>
    <w:p>
      <w:pPr>
        <w:overflowPunct w:val="0"/>
        <w:autoSpaceDE w:val="0"/>
        <w:autoSpaceDN w:val="0"/>
        <w:adjustRightInd w:val="0"/>
        <w:snapToGrid w:val="0"/>
        <w:spacing w:line="480" w:lineRule="atLeast"/>
        <w:ind w:left="3780" w:leftChars="1800" w:firstLine="1200" w:firstLineChars="500"/>
        <w:rPr>
          <w:rFonts w:ascii="宋体" w:hAnsi="宋体"/>
          <w:sz w:val="24"/>
          <w:szCs w:val="24"/>
        </w:rPr>
      </w:pPr>
      <w:r>
        <w:rPr>
          <w:rFonts w:hint="eastAsia" w:ascii="宋体" w:hAnsi="宋体"/>
          <w:sz w:val="24"/>
          <w:szCs w:val="24"/>
        </w:rPr>
        <w:t xml:space="preserve"> 年   月   日   </w:t>
      </w:r>
    </w:p>
    <w:p>
      <w:pPr>
        <w:pStyle w:val="19"/>
        <w:spacing w:line="360" w:lineRule="auto"/>
        <w:ind w:left="420" w:leftChars="200" w:firstLine="0" w:firstLineChars="0"/>
        <w:rPr>
          <w:sz w:val="24"/>
          <w:szCs w:val="24"/>
        </w:rPr>
      </w:pPr>
    </w:p>
    <w:p>
      <w:pPr>
        <w:pStyle w:val="19"/>
        <w:spacing w:line="360" w:lineRule="auto"/>
        <w:ind w:firstLineChars="0"/>
        <w:jc w:val="left"/>
        <w:rPr>
          <w:rFonts w:ascii="宋体" w:hAnsi="宋体" w:cs="Arial"/>
          <w:sz w:val="24"/>
        </w:rPr>
      </w:pPr>
    </w:p>
    <w:p>
      <w:pPr>
        <w:spacing w:line="260" w:lineRule="exact"/>
        <w:rPr>
          <w:rFonts w:ascii="宋体" w:hAnsi="宋体"/>
          <w:sz w:val="24"/>
        </w:rPr>
      </w:pPr>
      <w:r>
        <w:rPr>
          <w:rFonts w:hint="eastAsia" w:ascii="宋体" w:hAnsi="宋体" w:cs="Arial"/>
          <w:b/>
          <w:color w:val="000000"/>
          <w:sz w:val="36"/>
          <w:szCs w:val="36"/>
        </w:rPr>
        <w:br w:type="page"/>
      </w:r>
    </w:p>
    <w:p>
      <w:pPr>
        <w:overflowPunct w:val="0"/>
        <w:autoSpaceDE w:val="0"/>
        <w:autoSpaceDN w:val="0"/>
        <w:adjustRightInd w:val="0"/>
        <w:snapToGrid w:val="0"/>
        <w:spacing w:line="480" w:lineRule="atLeast"/>
        <w:jc w:val="center"/>
        <w:rPr>
          <w:rFonts w:ascii="宋体" w:hAnsi="宋体"/>
          <w:sz w:val="28"/>
          <w:szCs w:val="28"/>
        </w:rPr>
      </w:pPr>
      <w:r>
        <w:rPr>
          <w:rFonts w:hint="eastAsia" w:ascii="宋体" w:hAnsi="宋体"/>
          <w:b/>
          <w:sz w:val="28"/>
          <w:szCs w:val="28"/>
        </w:rPr>
        <w:t>报价汇总表</w:t>
      </w:r>
    </w:p>
    <w:p>
      <w:pPr>
        <w:spacing w:line="260" w:lineRule="exact"/>
        <w:ind w:firstLine="5971" w:firstLineChars="2488"/>
        <w:rPr>
          <w:rFonts w:ascii="宋体" w:hAnsi="宋体"/>
          <w:sz w:val="24"/>
        </w:rPr>
      </w:pPr>
    </w:p>
    <w:tbl>
      <w:tblPr>
        <w:tblStyle w:val="14"/>
        <w:tblpPr w:leftFromText="180" w:rightFromText="180" w:vertAnchor="text" w:horzAnchor="page" w:tblpX="1372" w:tblpY="432"/>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194"/>
        <w:gridCol w:w="465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序号</w:t>
            </w:r>
          </w:p>
        </w:tc>
        <w:tc>
          <w:tcPr>
            <w:tcW w:w="2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项目</w:t>
            </w:r>
          </w:p>
        </w:tc>
        <w:tc>
          <w:tcPr>
            <w:tcW w:w="4651" w:type="dxa"/>
            <w:tcBorders>
              <w:top w:val="single" w:color="auto" w:sz="4" w:space="0"/>
              <w:left w:val="single" w:color="auto" w:sz="4" w:space="0"/>
              <w:bottom w:val="single" w:color="auto" w:sz="4" w:space="0"/>
            </w:tcBorders>
            <w:vAlign w:val="center"/>
          </w:tcPr>
          <w:p>
            <w:pPr>
              <w:spacing w:line="400" w:lineRule="exact"/>
              <w:jc w:val="center"/>
              <w:rPr>
                <w:rFonts w:ascii="宋体" w:hAnsi="宋体"/>
                <w:b/>
                <w:sz w:val="24"/>
              </w:rPr>
            </w:pPr>
            <w:r>
              <w:rPr>
                <w:rFonts w:hint="eastAsia" w:ascii="宋体" w:hAnsi="宋体"/>
                <w:b/>
                <w:sz w:val="24"/>
              </w:rPr>
              <w:t>报价</w:t>
            </w:r>
          </w:p>
        </w:tc>
        <w:tc>
          <w:tcPr>
            <w:tcW w:w="1705"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056"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1</w:t>
            </w:r>
          </w:p>
        </w:tc>
        <w:tc>
          <w:tcPr>
            <w:tcW w:w="2194" w:type="dxa"/>
            <w:vMerge w:val="restart"/>
            <w:tcBorders>
              <w:top w:val="single" w:color="auto" w:sz="4" w:space="0"/>
              <w:left w:val="single" w:color="auto" w:sz="4" w:space="0"/>
              <w:right w:val="single" w:color="auto" w:sz="4" w:space="0"/>
            </w:tcBorders>
            <w:vAlign w:val="center"/>
          </w:tcPr>
          <w:p>
            <w:pPr>
              <w:spacing w:line="400" w:lineRule="exact"/>
              <w:jc w:val="left"/>
              <w:rPr>
                <w:rFonts w:ascii="宋体" w:hAnsi="宋体"/>
                <w:sz w:val="24"/>
              </w:rPr>
            </w:pPr>
            <w:r>
              <w:rPr>
                <w:rFonts w:hint="eastAsia" w:ascii="仿宋_GB2312"/>
                <w:b/>
                <w:color w:val="0000FF"/>
                <w:sz w:val="28"/>
                <w:szCs w:val="28"/>
                <w:lang w:eastAsia="zh-CN"/>
              </w:rPr>
              <w:t>轨道西悦项目基建变工程</w:t>
            </w:r>
          </w:p>
        </w:tc>
        <w:tc>
          <w:tcPr>
            <w:tcW w:w="4651" w:type="dxa"/>
            <w:tcBorders>
              <w:top w:val="single" w:color="auto" w:sz="4" w:space="0"/>
              <w:left w:val="single" w:color="auto" w:sz="4" w:space="0"/>
              <w:bottom w:val="single" w:color="auto" w:sz="4" w:space="0"/>
            </w:tcBorders>
            <w:vAlign w:val="center"/>
          </w:tcPr>
          <w:p>
            <w:pPr>
              <w:overflowPunct w:val="0"/>
              <w:autoSpaceDE w:val="0"/>
              <w:autoSpaceDN w:val="0"/>
              <w:adjustRightInd w:val="0"/>
              <w:snapToGrid w:val="0"/>
              <w:spacing w:line="360" w:lineRule="auto"/>
              <w:ind w:left="0" w:leftChars="0" w:firstLine="0" w:firstLineChars="0"/>
              <w:rPr>
                <w:rFonts w:hint="eastAsia" w:ascii="宋体" w:hAnsi="宋体"/>
                <w:sz w:val="28"/>
                <w:szCs w:val="28"/>
              </w:rPr>
            </w:pPr>
            <w:r>
              <w:rPr>
                <w:rFonts w:hint="eastAsia" w:ascii="宋体" w:hAnsi="宋体"/>
                <w:sz w:val="28"/>
                <w:szCs w:val="28"/>
              </w:rPr>
              <w:t>含税</w:t>
            </w:r>
            <w:r>
              <w:rPr>
                <w:rFonts w:hint="eastAsia" w:ascii="宋体" w:hAnsi="宋体"/>
                <w:sz w:val="28"/>
                <w:szCs w:val="28"/>
                <w:lang w:val="en-US" w:eastAsia="zh-CN"/>
              </w:rPr>
              <w:t>总价</w:t>
            </w:r>
            <w:r>
              <w:rPr>
                <w:rFonts w:hint="eastAsia" w:ascii="宋体" w:hAnsi="宋体"/>
                <w:sz w:val="28"/>
                <w:szCs w:val="28"/>
              </w:rPr>
              <w:t>金额大写：</w:t>
            </w:r>
          </w:p>
          <w:p>
            <w:pPr>
              <w:overflowPunct w:val="0"/>
              <w:autoSpaceDE w:val="0"/>
              <w:autoSpaceDN w:val="0"/>
              <w:adjustRightInd w:val="0"/>
              <w:snapToGrid w:val="0"/>
              <w:spacing w:line="360" w:lineRule="auto"/>
              <w:ind w:left="0" w:leftChars="0" w:firstLine="0" w:firstLineChars="0"/>
              <w:rPr>
                <w:rFonts w:hint="eastAsia" w:ascii="宋体" w:hAnsi="宋体"/>
                <w:sz w:val="28"/>
                <w:szCs w:val="28"/>
              </w:rPr>
            </w:pPr>
            <w:r>
              <w:rPr>
                <w:rFonts w:hint="eastAsia" w:ascii="宋体" w:hAnsi="宋体"/>
                <w:sz w:val="28"/>
                <w:szCs w:val="28"/>
              </w:rPr>
              <w:t>小写：</w:t>
            </w:r>
          </w:p>
          <w:p>
            <w:pPr>
              <w:overflowPunct w:val="0"/>
              <w:autoSpaceDE w:val="0"/>
              <w:autoSpaceDN w:val="0"/>
              <w:adjustRightInd w:val="0"/>
              <w:snapToGrid w:val="0"/>
              <w:spacing w:line="360" w:lineRule="auto"/>
              <w:ind w:left="0" w:leftChars="0" w:firstLine="0" w:firstLineChars="0"/>
              <w:rPr>
                <w:rFonts w:hint="eastAsia" w:ascii="宋体" w:hAnsi="宋体"/>
                <w:sz w:val="28"/>
                <w:szCs w:val="28"/>
                <w:lang w:val="en-US" w:eastAsia="zh-CN"/>
              </w:rPr>
            </w:pPr>
            <w:r>
              <w:rPr>
                <w:rFonts w:hint="eastAsia" w:ascii="宋体" w:hAnsi="宋体"/>
                <w:sz w:val="28"/>
                <w:szCs w:val="28"/>
                <w:lang w:val="en-US" w:eastAsia="zh-CN"/>
              </w:rPr>
              <w:t>税金：</w:t>
            </w:r>
          </w:p>
          <w:p>
            <w:pPr>
              <w:overflowPunct w:val="0"/>
              <w:autoSpaceDE w:val="0"/>
              <w:autoSpaceDN w:val="0"/>
              <w:adjustRightInd w:val="0"/>
              <w:snapToGrid w:val="0"/>
              <w:spacing w:line="360" w:lineRule="auto"/>
              <w:ind w:left="0" w:leftChars="0" w:firstLine="0" w:firstLineChars="0"/>
              <w:rPr>
                <w:rFonts w:hint="default"/>
                <w:lang w:val="en-US" w:eastAsia="zh-CN"/>
              </w:rPr>
            </w:pPr>
            <w:r>
              <w:rPr>
                <w:rFonts w:hint="eastAsia" w:ascii="宋体" w:hAnsi="宋体"/>
                <w:sz w:val="28"/>
                <w:szCs w:val="28"/>
                <w:lang w:val="en-US" w:eastAsia="zh-CN"/>
              </w:rPr>
              <w:t>税率：</w:t>
            </w:r>
          </w:p>
        </w:tc>
        <w:tc>
          <w:tcPr>
            <w:tcW w:w="1705" w:type="dxa"/>
            <w:vAlign w:val="center"/>
          </w:tcPr>
          <w:p>
            <w:pPr>
              <w:spacing w:line="400" w:lineRule="exact"/>
              <w:jc w:val="center"/>
              <w:rPr>
                <w:rFonts w:ascii="宋体" w:hAnsi="宋体"/>
                <w:sz w:val="24"/>
              </w:rPr>
            </w:pPr>
            <w:r>
              <w:rPr>
                <w:rFonts w:hint="eastAsia" w:ascii="宋体" w:hAnsi="宋体"/>
                <w:sz w:val="24"/>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056" w:type="dxa"/>
            <w:vMerge w:val="continue"/>
            <w:tcBorders>
              <w:left w:val="single" w:color="auto" w:sz="4" w:space="0"/>
              <w:right w:val="single" w:color="auto" w:sz="4" w:space="0"/>
            </w:tcBorders>
            <w:vAlign w:val="center"/>
          </w:tcPr>
          <w:p>
            <w:pPr>
              <w:spacing w:line="400" w:lineRule="exact"/>
              <w:jc w:val="center"/>
              <w:rPr>
                <w:rFonts w:hint="eastAsia" w:ascii="宋体" w:hAnsi="宋体"/>
                <w:sz w:val="24"/>
              </w:rPr>
            </w:pPr>
          </w:p>
        </w:tc>
        <w:tc>
          <w:tcPr>
            <w:tcW w:w="2194" w:type="dxa"/>
            <w:vMerge w:val="continue"/>
            <w:tcBorders>
              <w:left w:val="single" w:color="auto" w:sz="4" w:space="0"/>
              <w:right w:val="single" w:color="auto" w:sz="4" w:space="0"/>
            </w:tcBorders>
            <w:vAlign w:val="center"/>
          </w:tcPr>
          <w:p>
            <w:pPr>
              <w:spacing w:line="400" w:lineRule="exact"/>
              <w:jc w:val="left"/>
              <w:rPr>
                <w:rFonts w:hint="eastAsia" w:ascii="仿宋_GB2312" w:hAnsi="Times New Roman"/>
                <w:b/>
                <w:color w:val="0000FF"/>
                <w:sz w:val="28"/>
                <w:szCs w:val="28"/>
                <w:lang w:eastAsia="zh-CN"/>
              </w:rPr>
            </w:pPr>
          </w:p>
        </w:tc>
        <w:tc>
          <w:tcPr>
            <w:tcW w:w="4651" w:type="dxa"/>
            <w:tcBorders>
              <w:top w:val="single" w:color="auto" w:sz="4" w:space="0"/>
              <w:left w:val="single" w:color="auto" w:sz="4" w:space="0"/>
              <w:bottom w:val="single" w:color="auto" w:sz="4" w:space="0"/>
            </w:tcBorders>
            <w:vAlign w:val="center"/>
          </w:tcPr>
          <w:p>
            <w:pPr>
              <w:overflowPunct w:val="0"/>
              <w:autoSpaceDE w:val="0"/>
              <w:autoSpaceDN w:val="0"/>
              <w:adjustRightInd w:val="0"/>
              <w:snapToGrid w:val="0"/>
              <w:spacing w:line="360" w:lineRule="auto"/>
              <w:ind w:left="0" w:leftChars="0" w:firstLine="0" w:firstLineChars="0"/>
              <w:rPr>
                <w:rFonts w:hint="default" w:ascii="宋体" w:hAnsi="宋体"/>
                <w:sz w:val="28"/>
                <w:szCs w:val="28"/>
                <w:lang w:val="en-US" w:eastAsia="zh-CN"/>
              </w:rPr>
            </w:pPr>
            <w:r>
              <w:rPr>
                <w:rFonts w:hint="eastAsia" w:ascii="宋体" w:hAnsi="宋体"/>
                <w:sz w:val="28"/>
                <w:szCs w:val="28"/>
                <w:lang w:val="en-US" w:eastAsia="zh-CN"/>
              </w:rPr>
              <w:t>工期：总工期</w:t>
            </w:r>
            <w:r>
              <w:rPr>
                <w:rFonts w:hint="eastAsia" w:ascii="宋体" w:hAnsi="宋体"/>
                <w:sz w:val="28"/>
                <w:szCs w:val="28"/>
                <w:u w:val="single"/>
                <w:lang w:val="en-US" w:eastAsia="zh-CN"/>
              </w:rPr>
              <w:t xml:space="preserve">    </w:t>
            </w:r>
            <w:r>
              <w:rPr>
                <w:rFonts w:hint="eastAsia" w:ascii="宋体" w:hAnsi="宋体"/>
                <w:sz w:val="28"/>
                <w:szCs w:val="28"/>
                <w:lang w:val="en-US" w:eastAsia="zh-CN"/>
              </w:rPr>
              <w:t>天。具体为</w:t>
            </w:r>
            <w:r>
              <w:rPr>
                <w:rFonts w:hint="eastAsia" w:ascii="宋体" w:hAnsi="宋体"/>
                <w:sz w:val="28"/>
                <w:szCs w:val="28"/>
                <w:u w:val="single"/>
                <w:lang w:val="en-US" w:eastAsia="zh-CN"/>
              </w:rPr>
              <w:t xml:space="preserve">   </w:t>
            </w:r>
            <w:r>
              <w:rPr>
                <w:rFonts w:hint="eastAsia" w:ascii="宋体" w:hAnsi="宋体"/>
                <w:sz w:val="28"/>
                <w:szCs w:val="28"/>
                <w:lang w:val="en-US" w:eastAsia="zh-CN"/>
              </w:rPr>
              <w:t>天内完成竣工验收，从竣工合格之日起算，</w:t>
            </w:r>
            <w:r>
              <w:rPr>
                <w:rFonts w:hint="eastAsia" w:ascii="宋体" w:hAnsi="宋体"/>
                <w:sz w:val="28"/>
                <w:szCs w:val="28"/>
                <w:u w:val="single"/>
                <w:lang w:val="en-US" w:eastAsia="zh-CN"/>
              </w:rPr>
              <w:t xml:space="preserve">   </w:t>
            </w:r>
            <w:r>
              <w:rPr>
                <w:rFonts w:hint="eastAsia" w:ascii="宋体" w:hAnsi="宋体"/>
                <w:sz w:val="28"/>
                <w:szCs w:val="28"/>
                <w:lang w:val="en-US" w:eastAsia="zh-CN"/>
              </w:rPr>
              <w:t>天内通过供电部门验收，然后</w:t>
            </w:r>
            <w:r>
              <w:rPr>
                <w:rFonts w:hint="eastAsia" w:ascii="宋体" w:hAnsi="宋体"/>
                <w:sz w:val="28"/>
                <w:szCs w:val="28"/>
                <w:u w:val="single"/>
                <w:lang w:val="en-US" w:eastAsia="zh-CN"/>
              </w:rPr>
              <w:t xml:space="preserve">   </w:t>
            </w:r>
            <w:r>
              <w:rPr>
                <w:rFonts w:hint="eastAsia" w:ascii="宋体" w:hAnsi="宋体"/>
                <w:sz w:val="28"/>
                <w:szCs w:val="28"/>
                <w:lang w:val="en-US" w:eastAsia="zh-CN"/>
              </w:rPr>
              <w:t>天内完成接火通电。</w:t>
            </w:r>
          </w:p>
        </w:tc>
        <w:tc>
          <w:tcPr>
            <w:tcW w:w="1705" w:type="dxa"/>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9606" w:type="dxa"/>
            <w:gridSpan w:val="4"/>
            <w:tcBorders>
              <w:left w:val="single" w:color="auto" w:sz="4" w:space="0"/>
              <w:bottom w:val="single" w:color="auto" w:sz="4" w:space="0"/>
            </w:tcBorders>
            <w:vAlign w:val="center"/>
          </w:tcPr>
          <w:p>
            <w:pPr>
              <w:overflowPunct w:val="0"/>
              <w:autoSpaceDE w:val="0"/>
              <w:autoSpaceDN w:val="0"/>
              <w:adjustRightInd w:val="0"/>
              <w:snapToGrid w:val="0"/>
              <w:spacing w:line="360" w:lineRule="auto"/>
              <w:ind w:left="0" w:leftChars="0" w:firstLine="0" w:firstLineChars="0"/>
              <w:rPr>
                <w:rFonts w:hint="eastAsia" w:ascii="宋体" w:hAnsi="宋体"/>
                <w:sz w:val="28"/>
                <w:szCs w:val="28"/>
                <w:lang w:val="en-US" w:eastAsia="zh-CN"/>
              </w:rPr>
            </w:pPr>
            <w:r>
              <w:rPr>
                <w:rFonts w:hint="eastAsia" w:ascii="宋体" w:hAnsi="宋体"/>
                <w:sz w:val="28"/>
                <w:szCs w:val="28"/>
                <w:lang w:val="en-US" w:eastAsia="zh-CN"/>
              </w:rPr>
              <w:t>备注：</w:t>
            </w:r>
          </w:p>
          <w:p>
            <w:pPr>
              <w:overflowPunct w:val="0"/>
              <w:autoSpaceDE w:val="0"/>
              <w:autoSpaceDN w:val="0"/>
              <w:adjustRightInd w:val="0"/>
              <w:snapToGrid w:val="0"/>
              <w:spacing w:line="360" w:lineRule="auto"/>
              <w:ind w:left="0" w:leftChars="0" w:firstLine="0" w:firstLineChars="0"/>
              <w:rPr>
                <w:rFonts w:hint="eastAsia" w:ascii="宋体" w:hAnsi="宋体" w:eastAsiaTheme="minorEastAsia"/>
                <w:sz w:val="24"/>
                <w:lang w:val="en-US" w:eastAsia="zh-CN"/>
              </w:rPr>
            </w:pPr>
          </w:p>
        </w:tc>
      </w:tr>
    </w:tbl>
    <w:p>
      <w:pPr>
        <w:spacing w:line="260" w:lineRule="exact"/>
        <w:ind w:firstLine="5971" w:firstLineChars="2488"/>
        <w:rPr>
          <w:rFonts w:ascii="宋体" w:hAnsi="宋体"/>
          <w:sz w:val="24"/>
        </w:rPr>
      </w:pPr>
    </w:p>
    <w:p>
      <w:pPr>
        <w:spacing w:line="260" w:lineRule="exact"/>
        <w:rPr>
          <w:rFonts w:hint="eastAsia" w:ascii="宋体" w:hAnsi="宋体"/>
          <w:sz w:val="24"/>
          <w:lang w:val="en-US" w:eastAsia="zh-CN"/>
        </w:rPr>
      </w:pPr>
    </w:p>
    <w:p>
      <w:pPr>
        <w:spacing w:line="260" w:lineRule="exact"/>
        <w:rPr>
          <w:rFonts w:hint="eastAsia" w:ascii="宋体" w:hAnsi="宋体"/>
          <w:sz w:val="24"/>
          <w:lang w:val="en-US" w:eastAsia="zh-CN"/>
        </w:rPr>
      </w:pPr>
    </w:p>
    <w:p>
      <w:pPr>
        <w:overflowPunct w:val="0"/>
        <w:autoSpaceDE w:val="0"/>
        <w:autoSpaceDN w:val="0"/>
        <w:adjustRightInd w:val="0"/>
        <w:snapToGrid w:val="0"/>
        <w:spacing w:line="480" w:lineRule="atLeast"/>
        <w:ind w:left="5256" w:leftChars="2503" w:firstLine="0" w:firstLineChars="0"/>
        <w:rPr>
          <w:rFonts w:hint="eastAsia" w:ascii="宋体" w:hAnsi="宋体"/>
          <w:sz w:val="28"/>
          <w:szCs w:val="28"/>
          <w:lang w:val="en-US" w:eastAsia="zh-CN"/>
        </w:rPr>
      </w:pPr>
    </w:p>
    <w:p>
      <w:pPr>
        <w:overflowPunct w:val="0"/>
        <w:autoSpaceDE w:val="0"/>
        <w:autoSpaceDN w:val="0"/>
        <w:adjustRightInd w:val="0"/>
        <w:snapToGrid w:val="0"/>
        <w:spacing w:line="480" w:lineRule="atLeast"/>
        <w:ind w:left="5256" w:leftChars="2503" w:firstLine="0" w:firstLineChars="0"/>
        <w:rPr>
          <w:rFonts w:hint="eastAsia" w:ascii="宋体" w:hAnsi="宋体"/>
          <w:sz w:val="28"/>
          <w:szCs w:val="28"/>
          <w:lang w:eastAsia="zh-CN"/>
        </w:rPr>
      </w:pPr>
      <w:r>
        <w:rPr>
          <w:rFonts w:hint="eastAsia" w:ascii="宋体" w:hAnsi="宋体"/>
          <w:sz w:val="28"/>
          <w:szCs w:val="28"/>
          <w:lang w:val="en-US" w:eastAsia="zh-CN"/>
        </w:rPr>
        <w:t>响应</w:t>
      </w:r>
      <w:r>
        <w:rPr>
          <w:rFonts w:hint="eastAsia" w:ascii="宋体" w:hAnsi="宋体"/>
          <w:sz w:val="28"/>
          <w:szCs w:val="28"/>
          <w:lang w:eastAsia="zh-CN"/>
        </w:rPr>
        <w:t>人：</w:t>
      </w:r>
    </w:p>
    <w:p>
      <w:pPr>
        <w:overflowPunct w:val="0"/>
        <w:autoSpaceDE w:val="0"/>
        <w:autoSpaceDN w:val="0"/>
        <w:adjustRightInd w:val="0"/>
        <w:snapToGrid w:val="0"/>
        <w:spacing w:line="480" w:lineRule="atLeast"/>
        <w:ind w:left="5256" w:leftChars="2503" w:firstLine="0" w:firstLineChars="0"/>
        <w:rPr>
          <w:rFonts w:hint="eastAsia" w:ascii="宋体" w:hAnsi="宋体"/>
          <w:sz w:val="28"/>
          <w:szCs w:val="28"/>
          <w:lang w:eastAsia="zh-CN"/>
        </w:rPr>
      </w:pPr>
    </w:p>
    <w:p>
      <w:pPr>
        <w:overflowPunct w:val="0"/>
        <w:autoSpaceDE w:val="0"/>
        <w:autoSpaceDN w:val="0"/>
        <w:adjustRightInd w:val="0"/>
        <w:snapToGrid w:val="0"/>
        <w:spacing w:line="480" w:lineRule="atLeast"/>
        <w:ind w:left="5256" w:leftChars="2503" w:firstLine="0" w:firstLineChars="0"/>
        <w:rPr>
          <w:rFonts w:hint="eastAsia" w:ascii="宋体" w:hAnsi="宋体"/>
          <w:sz w:val="28"/>
          <w:szCs w:val="28"/>
          <w:lang w:eastAsia="zh-CN"/>
        </w:rPr>
      </w:pPr>
      <w:r>
        <w:rPr>
          <w:rFonts w:hint="eastAsia" w:ascii="宋体" w:hAnsi="宋体"/>
          <w:sz w:val="28"/>
          <w:szCs w:val="28"/>
          <w:lang w:eastAsia="zh-CN"/>
        </w:rPr>
        <w:t>年   月   日</w:t>
      </w:r>
    </w:p>
    <w:p>
      <w:pPr>
        <w:overflowPunct w:val="0"/>
        <w:autoSpaceDE w:val="0"/>
        <w:autoSpaceDN w:val="0"/>
        <w:adjustRightInd w:val="0"/>
        <w:snapToGrid w:val="0"/>
        <w:spacing w:line="480" w:lineRule="atLeast"/>
        <w:ind w:left="5256" w:leftChars="2503" w:firstLine="0" w:firstLineChars="0"/>
        <w:jc w:val="center"/>
        <w:rPr>
          <w:rFonts w:hint="eastAsia" w:ascii="宋体" w:hAnsi="宋体"/>
          <w:b/>
          <w:sz w:val="28"/>
          <w:szCs w:val="28"/>
        </w:rPr>
      </w:pPr>
    </w:p>
    <w:p>
      <w:pPr>
        <w:pStyle w:val="4"/>
        <w:ind w:left="5256" w:leftChars="2503" w:firstLine="0" w:firstLineChars="0"/>
        <w:outlineLvl w:val="9"/>
        <w:rPr>
          <w:rFonts w:hint="eastAsia"/>
        </w:rPr>
      </w:pPr>
    </w:p>
    <w:p>
      <w:pPr>
        <w:rPr>
          <w:rFonts w:hint="eastAsia" w:ascii="宋体" w:hAnsi="宋体"/>
          <w:b/>
          <w:sz w:val="28"/>
          <w:szCs w:val="28"/>
        </w:rPr>
      </w:pPr>
      <w:r>
        <w:rPr>
          <w:rFonts w:hint="eastAsia" w:ascii="宋体" w:hAnsi="宋体"/>
          <w:b/>
          <w:sz w:val="28"/>
          <w:szCs w:val="28"/>
        </w:rPr>
        <w:br w:type="page"/>
      </w:r>
    </w:p>
    <w:p>
      <w:pPr>
        <w:jc w:val="center"/>
        <w:rPr>
          <w:rFonts w:hint="eastAsia" w:ascii="宋体" w:hAnsi="宋体"/>
          <w:b/>
          <w:sz w:val="28"/>
          <w:szCs w:val="28"/>
          <w:lang w:val="en-US" w:eastAsia="zh-CN"/>
        </w:rPr>
      </w:pPr>
      <w:r>
        <w:rPr>
          <w:rFonts w:hint="eastAsia" w:ascii="宋体" w:hAnsi="宋体"/>
          <w:b/>
          <w:sz w:val="28"/>
          <w:szCs w:val="28"/>
          <w:lang w:val="en-US" w:eastAsia="zh-CN"/>
        </w:rPr>
        <w:t>报价文件格式</w:t>
      </w:r>
    </w:p>
    <w:p>
      <w:pPr>
        <w:pStyle w:val="6"/>
        <w:jc w:val="center"/>
        <w:rPr>
          <w:rFonts w:hint="eastAsia"/>
          <w:b w:val="0"/>
          <w:bCs/>
          <w:lang w:val="en-US" w:eastAsia="zh-CN"/>
        </w:rPr>
      </w:pPr>
      <w:r>
        <w:rPr>
          <w:rFonts w:hint="eastAsia" w:hAnsi="宋体"/>
          <w:b w:val="0"/>
          <w:bCs/>
          <w:sz w:val="28"/>
          <w:szCs w:val="28"/>
          <w:lang w:val="en-US" w:eastAsia="zh-CN"/>
        </w:rPr>
        <w:t>（响应人严格按照清单格式报价，清单另附）</w:t>
      </w:r>
    </w:p>
    <w:p>
      <w:pPr>
        <w:pStyle w:val="6"/>
        <w:rPr>
          <w:rFonts w:hint="eastAsia"/>
        </w:rPr>
      </w:pPr>
    </w:p>
    <w:p>
      <w:pPr>
        <w:pStyle w:val="6"/>
        <w:rPr>
          <w:rFonts w:hint="default"/>
          <w:lang w:val="en-US" w:eastAsia="zh-CN"/>
        </w:rPr>
      </w:pPr>
    </w:p>
    <w:p>
      <w:pPr>
        <w:rPr>
          <w:rFonts w:hint="default" w:ascii="宋体" w:hAnsi="宋体"/>
          <w:b/>
          <w:sz w:val="28"/>
          <w:szCs w:val="28"/>
          <w:lang w:val="en-US" w:eastAsia="zh-CN"/>
        </w:rPr>
      </w:pPr>
    </w:p>
    <w:p>
      <w:pPr>
        <w:rPr>
          <w:rFonts w:hint="eastAsia" w:ascii="宋体" w:hAnsi="宋体"/>
          <w:b/>
          <w:sz w:val="28"/>
          <w:szCs w:val="28"/>
        </w:rPr>
      </w:pPr>
    </w:p>
    <w:p>
      <w:pPr>
        <w:rPr>
          <w:rFonts w:hint="eastAsia" w:ascii="宋体" w:hAnsi="宋体"/>
          <w:b/>
          <w:sz w:val="28"/>
          <w:szCs w:val="28"/>
        </w:rPr>
      </w:pPr>
      <w:r>
        <w:rPr>
          <w:rFonts w:hint="eastAsia" w:ascii="宋体" w:hAnsi="宋体"/>
          <w:b/>
          <w:sz w:val="28"/>
          <w:szCs w:val="28"/>
        </w:rPr>
        <w:br w:type="page"/>
      </w:r>
    </w:p>
    <w:p>
      <w:pPr>
        <w:overflowPunct w:val="0"/>
        <w:autoSpaceDE w:val="0"/>
        <w:autoSpaceDN w:val="0"/>
        <w:adjustRightInd w:val="0"/>
        <w:snapToGrid w:val="0"/>
        <w:spacing w:line="480" w:lineRule="atLeast"/>
        <w:jc w:val="center"/>
        <w:rPr>
          <w:rFonts w:ascii="宋体" w:hAnsi="宋体"/>
          <w:b/>
          <w:sz w:val="28"/>
          <w:szCs w:val="28"/>
        </w:rPr>
      </w:pPr>
      <w:r>
        <w:rPr>
          <w:rFonts w:hint="eastAsia" w:ascii="宋体" w:hAnsi="宋体"/>
          <w:b/>
          <w:sz w:val="28"/>
          <w:szCs w:val="28"/>
        </w:rPr>
        <w:t>一般纳税人证明（不附视为小规模纳税人）</w:t>
      </w:r>
    </w:p>
    <w:p>
      <w:pPr>
        <w:jc w:val="center"/>
        <w:rPr>
          <w:rFonts w:ascii="宋体" w:hAnsi="宋体" w:cs="宋体"/>
          <w:b/>
          <w:kern w:val="0"/>
          <w:sz w:val="52"/>
          <w:szCs w:val="52"/>
        </w:rPr>
      </w:pPr>
      <w:r>
        <w:rPr>
          <w:rFonts w:hint="eastAsia" w:ascii="宋体" w:hAnsi="宋体" w:cs="宋体"/>
          <w:b/>
          <w:kern w:val="0"/>
          <w:sz w:val="52"/>
          <w:szCs w:val="52"/>
        </w:rPr>
        <w:br w:type="page"/>
      </w:r>
    </w:p>
    <w:p>
      <w:pPr>
        <w:pStyle w:val="2"/>
        <w:ind w:left="0" w:leftChars="0" w:firstLine="0" w:firstLineChars="0"/>
        <w:jc w:val="center"/>
        <w:rPr>
          <w:rFonts w:hint="eastAsia" w:ascii="宋体" w:hAnsi="宋体" w:cstheme="minorBidi"/>
          <w:b/>
          <w:bCs/>
          <w:kern w:val="2"/>
          <w:sz w:val="32"/>
          <w:szCs w:val="32"/>
          <w:lang w:val="en-US" w:eastAsia="zh-CN" w:bidi="ar-SA"/>
        </w:rPr>
      </w:pPr>
      <w:r>
        <w:rPr>
          <w:rFonts w:hint="eastAsia" w:ascii="宋体" w:hAnsi="宋体" w:cstheme="minorBidi"/>
          <w:b/>
          <w:bCs/>
          <w:kern w:val="2"/>
          <w:sz w:val="32"/>
          <w:szCs w:val="32"/>
          <w:lang w:val="en-US" w:eastAsia="zh-CN" w:bidi="ar-SA"/>
        </w:rPr>
        <w:t>承诺书</w:t>
      </w:r>
    </w:p>
    <w:p>
      <w:pPr>
        <w:pStyle w:val="2"/>
        <w:ind w:left="0" w:leftChars="0" w:firstLine="0" w:firstLineChars="0"/>
        <w:jc w:val="center"/>
        <w:rPr>
          <w:rFonts w:hint="eastAsia" w:ascii="宋体" w:hAnsi="宋体" w:cstheme="minorBidi"/>
          <w:b/>
          <w:bCs/>
          <w:kern w:val="2"/>
          <w:sz w:val="32"/>
          <w:szCs w:val="32"/>
          <w:lang w:val="en-US" w:eastAsia="zh-CN" w:bidi="ar-SA"/>
        </w:rPr>
      </w:pPr>
    </w:p>
    <w:p>
      <w:pPr>
        <w:overflowPunct w:val="0"/>
        <w:autoSpaceDE w:val="0"/>
        <w:autoSpaceDN w:val="0"/>
        <w:adjustRightInd w:val="0"/>
        <w:snapToGrid w:val="0"/>
        <w:spacing w:line="360" w:lineRule="auto"/>
        <w:ind w:left="0" w:leftChars="0" w:firstLine="0" w:firstLineChars="0"/>
        <w:rPr>
          <w:rFonts w:hint="eastAsia" w:ascii="宋体" w:hAnsi="宋体" w:eastAsia="宋体"/>
          <w:sz w:val="28"/>
          <w:szCs w:val="28"/>
          <w:lang w:eastAsia="zh-CN"/>
        </w:rPr>
      </w:pPr>
      <w:r>
        <w:rPr>
          <w:rFonts w:hint="eastAsia" w:ascii="宋体" w:hAnsi="宋体"/>
          <w:sz w:val="28"/>
          <w:szCs w:val="28"/>
        </w:rPr>
        <w:t>致：</w:t>
      </w:r>
      <w:r>
        <w:rPr>
          <w:rFonts w:hint="eastAsia" w:ascii="宋体" w:hAnsi="宋体"/>
          <w:sz w:val="28"/>
          <w:szCs w:val="28"/>
          <w:lang w:eastAsia="zh-CN"/>
        </w:rPr>
        <w:t>南宁轨道锦绣中尧房地产有限公司</w:t>
      </w:r>
    </w:p>
    <w:p>
      <w:pPr>
        <w:overflowPunct w:val="0"/>
        <w:autoSpaceDE w:val="0"/>
        <w:autoSpaceDN w:val="0"/>
        <w:adjustRightInd w:val="0"/>
        <w:snapToGrid w:val="0"/>
        <w:spacing w:line="360" w:lineRule="auto"/>
        <w:ind w:firstLine="420" w:firstLineChars="150"/>
        <w:rPr>
          <w:rFonts w:hint="eastAsia" w:ascii="宋体" w:hAnsi="宋体"/>
          <w:sz w:val="28"/>
          <w:szCs w:val="28"/>
        </w:rPr>
      </w:pPr>
      <w:r>
        <w:rPr>
          <w:rFonts w:hint="eastAsia" w:ascii="宋体" w:hAnsi="宋体"/>
          <w:sz w:val="28"/>
          <w:szCs w:val="28"/>
        </w:rPr>
        <w:t>我司郑重承诺：我公司没有处于被责令停业，或投标资格被住建部、应急管理部（原国家安监总局）、广西区或南宁市建设行政主管部门取消，或财产被接管、冻结、破产状态；在投标截止前3年内没有骗取中标、严重违约或重大安全质量事故；我方与其他投标人之间不存在单位负责人为同一人或者控股、管理关系的情况；我方未列入</w:t>
      </w:r>
      <w:r>
        <w:rPr>
          <w:rFonts w:hint="eastAsia" w:ascii="宋体" w:hAnsi="宋体"/>
          <w:sz w:val="28"/>
          <w:szCs w:val="28"/>
          <w:lang w:val="en-US" w:eastAsia="zh-CN"/>
        </w:rPr>
        <w:t>采购</w:t>
      </w:r>
      <w:r>
        <w:rPr>
          <w:rFonts w:hint="eastAsia" w:ascii="宋体" w:hAnsi="宋体"/>
          <w:sz w:val="28"/>
          <w:szCs w:val="28"/>
        </w:rPr>
        <w:t>人不良信用名单。</w:t>
      </w:r>
    </w:p>
    <w:p>
      <w:pPr>
        <w:overflowPunct w:val="0"/>
        <w:autoSpaceDE w:val="0"/>
        <w:autoSpaceDN w:val="0"/>
        <w:adjustRightInd w:val="0"/>
        <w:snapToGrid w:val="0"/>
        <w:spacing w:line="360" w:lineRule="auto"/>
        <w:ind w:firstLine="420" w:firstLineChars="150"/>
        <w:rPr>
          <w:rFonts w:hint="eastAsia" w:ascii="宋体" w:hAnsi="宋体"/>
          <w:sz w:val="28"/>
          <w:szCs w:val="28"/>
        </w:rPr>
      </w:pPr>
      <w:r>
        <w:rPr>
          <w:rFonts w:hint="eastAsia" w:ascii="宋体" w:hAnsi="宋体"/>
          <w:sz w:val="28"/>
          <w:szCs w:val="28"/>
        </w:rPr>
        <w:t>如果在该项目投标过程中或者在中标后，</w:t>
      </w:r>
      <w:r>
        <w:rPr>
          <w:rFonts w:hint="eastAsia" w:ascii="宋体" w:hAnsi="宋体"/>
          <w:sz w:val="28"/>
          <w:szCs w:val="28"/>
          <w:lang w:eastAsia="zh-CN"/>
        </w:rPr>
        <w:t>采购</w:t>
      </w:r>
      <w:r>
        <w:rPr>
          <w:rFonts w:hint="eastAsia" w:ascii="宋体" w:hAnsi="宋体"/>
          <w:sz w:val="28"/>
          <w:szCs w:val="28"/>
        </w:rPr>
        <w:t>人或者有管辖权的</w:t>
      </w:r>
      <w:r>
        <w:rPr>
          <w:rFonts w:hint="eastAsia" w:ascii="宋体" w:hAnsi="宋体"/>
          <w:sz w:val="28"/>
          <w:szCs w:val="28"/>
          <w:lang w:eastAsia="zh-CN"/>
        </w:rPr>
        <w:t>采购</w:t>
      </w:r>
      <w:r>
        <w:rPr>
          <w:rFonts w:hint="eastAsia" w:ascii="宋体" w:hAnsi="宋体"/>
          <w:sz w:val="28"/>
          <w:szCs w:val="28"/>
        </w:rPr>
        <w:t>投标行政监管机构发现并查实我公司在所填报的该项目投标文件中存在提供虚假或不真实的信息或者伪造数据、资料或证书等情况，不管</w:t>
      </w:r>
      <w:r>
        <w:rPr>
          <w:rFonts w:hint="eastAsia" w:ascii="宋体" w:hAnsi="宋体"/>
          <w:sz w:val="28"/>
          <w:szCs w:val="28"/>
          <w:lang w:eastAsia="zh-CN"/>
        </w:rPr>
        <w:t>采购</w:t>
      </w:r>
      <w:r>
        <w:rPr>
          <w:rFonts w:hint="eastAsia" w:ascii="宋体" w:hAnsi="宋体"/>
          <w:sz w:val="28"/>
          <w:szCs w:val="28"/>
        </w:rPr>
        <w:t>人或有管辖权的招标投标监管机构是否有合法的处罚依据，我公司将无条件地自动放弃该项目的中标资格；如果我公司已经收到中标通知书，我公司无条件地承认，我公司所收到的该项目中标通知书为无效文件，对</w:t>
      </w:r>
      <w:r>
        <w:rPr>
          <w:rFonts w:hint="eastAsia" w:ascii="宋体" w:hAnsi="宋体"/>
          <w:sz w:val="28"/>
          <w:szCs w:val="28"/>
          <w:lang w:eastAsia="zh-CN"/>
        </w:rPr>
        <w:t>采购</w:t>
      </w:r>
      <w:r>
        <w:rPr>
          <w:rFonts w:hint="eastAsia" w:ascii="宋体" w:hAnsi="宋体"/>
          <w:sz w:val="28"/>
          <w:szCs w:val="28"/>
        </w:rPr>
        <w:t>人不具任何法律约束力；由此造成的任何后果和损失均由我公司承担。本段承诺既是我公司投标文件的有效组成内容，也是我公司真实意思的表示，对我公司在与该项目有关的任何行为中始终具有优先的法律约束力。</w:t>
      </w:r>
    </w:p>
    <w:p>
      <w:pPr>
        <w:overflowPunct w:val="0"/>
        <w:autoSpaceDE w:val="0"/>
        <w:autoSpaceDN w:val="0"/>
        <w:adjustRightInd w:val="0"/>
        <w:snapToGrid w:val="0"/>
        <w:spacing w:line="360" w:lineRule="auto"/>
        <w:ind w:firstLine="420" w:firstLineChars="150"/>
        <w:rPr>
          <w:rFonts w:hint="eastAsia" w:ascii="宋体" w:hAnsi="宋体"/>
          <w:sz w:val="28"/>
          <w:szCs w:val="28"/>
        </w:rPr>
      </w:pPr>
    </w:p>
    <w:p>
      <w:pPr>
        <w:overflowPunct w:val="0"/>
        <w:autoSpaceDE w:val="0"/>
        <w:autoSpaceDN w:val="0"/>
        <w:adjustRightInd w:val="0"/>
        <w:snapToGrid w:val="0"/>
        <w:spacing w:line="360" w:lineRule="auto"/>
        <w:ind w:firstLine="420" w:firstLineChars="150"/>
        <w:rPr>
          <w:rFonts w:hint="eastAsia" w:ascii="宋体" w:hAnsi="宋体"/>
          <w:sz w:val="28"/>
          <w:szCs w:val="28"/>
        </w:rPr>
      </w:pPr>
    </w:p>
    <w:p>
      <w:pPr>
        <w:overflowPunct w:val="0"/>
        <w:autoSpaceDE w:val="0"/>
        <w:autoSpaceDN w:val="0"/>
        <w:adjustRightInd w:val="0"/>
        <w:snapToGrid w:val="0"/>
        <w:spacing w:line="360" w:lineRule="auto"/>
        <w:ind w:left="4014" w:leftChars="1904" w:hanging="16" w:hangingChars="6"/>
        <w:rPr>
          <w:rFonts w:hint="eastAsia" w:ascii="宋体" w:hAnsi="宋体"/>
          <w:sz w:val="28"/>
          <w:szCs w:val="28"/>
        </w:rPr>
      </w:pPr>
      <w:r>
        <w:rPr>
          <w:rFonts w:hint="eastAsia" w:ascii="宋体" w:hAnsi="宋体"/>
          <w:sz w:val="28"/>
          <w:szCs w:val="28"/>
          <w:lang w:eastAsia="zh-CN"/>
        </w:rPr>
        <w:t>响应</w:t>
      </w:r>
      <w:r>
        <w:rPr>
          <w:rFonts w:hint="eastAsia" w:ascii="宋体" w:hAnsi="宋体"/>
          <w:sz w:val="28"/>
          <w:szCs w:val="28"/>
        </w:rPr>
        <w:t xml:space="preserve">人：（公章）  </w:t>
      </w:r>
    </w:p>
    <w:p>
      <w:pPr>
        <w:overflowPunct w:val="0"/>
        <w:autoSpaceDE w:val="0"/>
        <w:autoSpaceDN w:val="0"/>
        <w:adjustRightInd w:val="0"/>
        <w:snapToGrid w:val="0"/>
        <w:spacing w:line="360" w:lineRule="auto"/>
        <w:ind w:left="4014" w:leftChars="1904" w:hanging="16" w:hangingChars="6"/>
        <w:rPr>
          <w:rFonts w:hint="eastAsia" w:ascii="宋体" w:hAnsi="宋体"/>
          <w:sz w:val="28"/>
          <w:szCs w:val="28"/>
        </w:rPr>
      </w:pPr>
      <w:r>
        <w:rPr>
          <w:rFonts w:hint="eastAsia" w:ascii="宋体" w:hAnsi="宋体"/>
          <w:sz w:val="28"/>
          <w:szCs w:val="28"/>
        </w:rPr>
        <w:t>法定代表人或其委托代理人：（签字或盖章）</w:t>
      </w:r>
    </w:p>
    <w:p>
      <w:pPr>
        <w:rPr>
          <w:rFonts w:hint="eastAsia"/>
          <w:sz w:val="52"/>
          <w:szCs w:val="52"/>
          <w:u w:val="single"/>
          <w:lang w:eastAsia="zh-CN"/>
        </w:rPr>
      </w:pPr>
    </w:p>
    <w:p>
      <w:pPr>
        <w:rPr>
          <w:rFonts w:hint="eastAsia"/>
          <w:sz w:val="52"/>
          <w:szCs w:val="52"/>
          <w:u w:val="single"/>
          <w:lang w:eastAsia="zh-CN"/>
        </w:rPr>
      </w:pPr>
      <w:r>
        <w:rPr>
          <w:rFonts w:hint="eastAsia"/>
          <w:sz w:val="52"/>
          <w:szCs w:val="52"/>
          <w:u w:val="single"/>
          <w:lang w:eastAsia="zh-CN"/>
        </w:rPr>
        <w:br w:type="page"/>
      </w:r>
    </w:p>
    <w:p>
      <w:pPr>
        <w:spacing w:line="260" w:lineRule="exact"/>
        <w:ind w:firstLine="5971" w:firstLineChars="2488"/>
        <w:jc w:val="left"/>
        <w:rPr>
          <w:rFonts w:ascii="宋体" w:hAnsi="宋体"/>
          <w:sz w:val="24"/>
        </w:rPr>
      </w:pPr>
    </w:p>
    <w:p>
      <w:pPr>
        <w:overflowPunct w:val="0"/>
        <w:autoSpaceDE w:val="0"/>
        <w:autoSpaceDN w:val="0"/>
        <w:adjustRightInd w:val="0"/>
        <w:snapToGrid w:val="0"/>
        <w:spacing w:line="480" w:lineRule="atLeast"/>
        <w:jc w:val="center"/>
        <w:rPr>
          <w:rFonts w:hint="eastAsia" w:ascii="宋体" w:hAnsi="宋体"/>
          <w:b/>
          <w:sz w:val="28"/>
          <w:szCs w:val="28"/>
        </w:rPr>
      </w:pPr>
      <w:r>
        <w:rPr>
          <w:rFonts w:hint="eastAsia" w:ascii="宋体" w:hAnsi="宋体"/>
          <w:b/>
          <w:sz w:val="28"/>
          <w:szCs w:val="28"/>
        </w:rPr>
        <w:t>施工组织设计</w:t>
      </w:r>
    </w:p>
    <w:p>
      <w:pPr>
        <w:pStyle w:val="2"/>
        <w:rPr>
          <w:rFonts w:hint="eastAsia"/>
        </w:rPr>
      </w:pPr>
    </w:p>
    <w:p>
      <w:pPr>
        <w:spacing w:line="360" w:lineRule="auto"/>
        <w:ind w:firstLine="562" w:firstLineChars="200"/>
        <w:rPr>
          <w:rFonts w:ascii="宋体" w:hAnsi="宋体"/>
          <w:b/>
          <w:sz w:val="28"/>
          <w:szCs w:val="28"/>
        </w:rPr>
      </w:pPr>
      <w:r>
        <w:rPr>
          <w:rFonts w:hint="eastAsia" w:ascii="宋体" w:hAnsi="宋体"/>
          <w:b/>
          <w:sz w:val="28"/>
          <w:szCs w:val="28"/>
        </w:rPr>
        <w:t>（格式自拟</w:t>
      </w:r>
      <w:r>
        <w:rPr>
          <w:rFonts w:hint="eastAsia" w:ascii="宋体" w:hAnsi="宋体"/>
          <w:b/>
          <w:sz w:val="28"/>
          <w:szCs w:val="28"/>
          <w:lang w:eastAsia="zh-CN"/>
        </w:rPr>
        <w:t>。</w:t>
      </w:r>
      <w:r>
        <w:rPr>
          <w:rFonts w:hint="eastAsia" w:ascii="宋体" w:hAnsi="宋体"/>
          <w:b/>
          <w:sz w:val="28"/>
          <w:szCs w:val="28"/>
          <w:lang w:val="en-US" w:eastAsia="zh-CN"/>
        </w:rPr>
        <w:t>必须</w:t>
      </w:r>
      <w:r>
        <w:rPr>
          <w:rFonts w:hint="eastAsia" w:ascii="宋体" w:hAnsi="宋体"/>
          <w:b/>
          <w:sz w:val="28"/>
          <w:szCs w:val="28"/>
          <w:lang w:eastAsia="zh-CN"/>
        </w:rPr>
        <w:t>包含</w:t>
      </w:r>
      <w:r>
        <w:rPr>
          <w:rFonts w:hint="eastAsia" w:ascii="宋体" w:hAnsi="宋体" w:eastAsia="宋体" w:cs="Times New Roman"/>
          <w:b/>
          <w:sz w:val="28"/>
          <w:szCs w:val="28"/>
          <w:lang w:eastAsia="zh-CN"/>
        </w:rPr>
        <w:t>概述、主要施工方法、拟投入的主要物资计划、劳动力安排计划、确保工程质量的技术组织措施、确保安全生产的技术组织措施、确保工期的技术组织措施、确保文明施工的技术组织措施、工程施工的重点和难点及保证措施、施工总平面布置图、其他</w:t>
      </w:r>
      <w:r>
        <w:rPr>
          <w:rFonts w:hint="eastAsia" w:ascii="宋体" w:hAnsi="宋体"/>
          <w:b/>
          <w:sz w:val="28"/>
          <w:szCs w:val="28"/>
          <w:lang w:eastAsia="zh-CN"/>
        </w:rPr>
        <w:t>等方面的内容，该项内容由响应人自行描述</w:t>
      </w:r>
      <w:r>
        <w:rPr>
          <w:rFonts w:hint="eastAsia" w:ascii="宋体" w:hAnsi="宋体"/>
          <w:b/>
          <w:sz w:val="28"/>
          <w:szCs w:val="28"/>
        </w:rPr>
        <w:t>）</w:t>
      </w:r>
      <w:r>
        <w:rPr>
          <w:rFonts w:hint="eastAsia" w:ascii="宋体" w:hAnsi="宋体" w:cs="Arial"/>
          <w:b/>
          <w:color w:val="000000"/>
          <w:sz w:val="36"/>
          <w:szCs w:val="36"/>
        </w:rPr>
        <w:br w:type="page"/>
      </w:r>
    </w:p>
    <w:p>
      <w:pPr>
        <w:overflowPunct w:val="0"/>
        <w:autoSpaceDE w:val="0"/>
        <w:autoSpaceDN w:val="0"/>
        <w:adjustRightInd w:val="0"/>
        <w:snapToGrid w:val="0"/>
        <w:spacing w:line="480" w:lineRule="atLeast"/>
        <w:jc w:val="center"/>
        <w:rPr>
          <w:rFonts w:ascii="宋体" w:hAnsi="宋体"/>
          <w:b/>
          <w:sz w:val="28"/>
          <w:szCs w:val="28"/>
        </w:rPr>
      </w:pPr>
      <w:r>
        <w:rPr>
          <w:rFonts w:hint="eastAsia" w:ascii="宋体" w:hAnsi="宋体"/>
          <w:b/>
          <w:sz w:val="28"/>
          <w:szCs w:val="28"/>
        </w:rPr>
        <w:t>同类项目业绩</w:t>
      </w:r>
    </w:p>
    <w:p>
      <w:pPr>
        <w:tabs>
          <w:tab w:val="right" w:pos="9497"/>
        </w:tabs>
        <w:rPr>
          <w:rFonts w:ascii="宋体" w:hAnsi="宋体" w:cs="Arial"/>
          <w:b/>
          <w:color w:val="000000"/>
          <w:sz w:val="36"/>
          <w:szCs w:val="36"/>
        </w:rPr>
      </w:pPr>
    </w:p>
    <w:p>
      <w:pPr>
        <w:tabs>
          <w:tab w:val="right" w:pos="9497"/>
        </w:tabs>
        <w:jc w:val="center"/>
        <w:rPr>
          <w:sz w:val="24"/>
          <w:szCs w:val="22"/>
        </w:rPr>
      </w:pPr>
      <w:r>
        <w:rPr>
          <w:rFonts w:hint="eastAsia"/>
          <w:sz w:val="24"/>
          <w:szCs w:val="22"/>
        </w:rPr>
        <w:t>201</w:t>
      </w:r>
      <w:r>
        <w:rPr>
          <w:rFonts w:hint="eastAsia"/>
          <w:sz w:val="24"/>
          <w:szCs w:val="22"/>
          <w:lang w:val="en-US" w:eastAsia="zh-CN"/>
        </w:rPr>
        <w:t>9</w:t>
      </w:r>
      <w:r>
        <w:rPr>
          <w:rFonts w:hint="eastAsia"/>
          <w:sz w:val="24"/>
          <w:szCs w:val="22"/>
        </w:rPr>
        <w:t>年至今在南宁供电局城西分局所辖区域有5个安装变压器容量在2*630KVA及以上并通过验收的施工合同业绩</w:t>
      </w:r>
    </w:p>
    <w:tbl>
      <w:tblPr>
        <w:tblStyle w:val="14"/>
        <w:tblW w:w="8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2236"/>
        <w:gridCol w:w="1573"/>
        <w:gridCol w:w="1266"/>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20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建设单位</w:t>
            </w:r>
          </w:p>
        </w:tc>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项目名称</w:t>
            </w:r>
          </w:p>
        </w:tc>
        <w:tc>
          <w:tcPr>
            <w:tcW w:w="15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规模</w:t>
            </w:r>
          </w:p>
          <w:p>
            <w:pPr>
              <w:spacing w:line="400" w:lineRule="exact"/>
              <w:jc w:val="center"/>
              <w:rPr>
                <w:rFonts w:ascii="宋体" w:hAnsi="宋体"/>
                <w:sz w:val="24"/>
              </w:rPr>
            </w:pPr>
            <w:r>
              <w:rPr>
                <w:rFonts w:hint="eastAsia" w:ascii="宋体" w:hAnsi="宋体"/>
                <w:sz w:val="24"/>
              </w:rPr>
              <w:t>（㎡）</w:t>
            </w:r>
          </w:p>
        </w:tc>
        <w:tc>
          <w:tcPr>
            <w:tcW w:w="12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p>
            <w:pPr>
              <w:spacing w:line="400" w:lineRule="exact"/>
              <w:jc w:val="center"/>
              <w:rPr>
                <w:rFonts w:ascii="宋体" w:hAnsi="宋体"/>
                <w:sz w:val="24"/>
              </w:rPr>
            </w:pPr>
            <w:r>
              <w:rPr>
                <w:rFonts w:hint="eastAsia" w:ascii="宋体" w:hAnsi="宋体"/>
                <w:sz w:val="24"/>
              </w:rPr>
              <w:t>金额（元）</w:t>
            </w:r>
          </w:p>
        </w:tc>
        <w:tc>
          <w:tcPr>
            <w:tcW w:w="142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p>
            <w:pPr>
              <w:spacing w:line="400" w:lineRule="exact"/>
              <w:ind w:firstLine="480" w:firstLineChars="200"/>
              <w:rPr>
                <w:rFonts w:ascii="宋体" w:hAnsi="宋体"/>
                <w:sz w:val="24"/>
              </w:rPr>
            </w:pPr>
            <w:r>
              <w:rPr>
                <w:rFonts w:hint="eastAsia" w:ascii="宋体" w:hAnsi="宋体"/>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0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c>
          <w:tcPr>
            <w:tcW w:w="142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0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c>
          <w:tcPr>
            <w:tcW w:w="142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0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c>
          <w:tcPr>
            <w:tcW w:w="142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0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c>
          <w:tcPr>
            <w:tcW w:w="142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0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c>
          <w:tcPr>
            <w:tcW w:w="142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0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c>
          <w:tcPr>
            <w:tcW w:w="142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r>
    </w:tbl>
    <w:p>
      <w:pPr>
        <w:tabs>
          <w:tab w:val="right" w:pos="9497"/>
        </w:tabs>
        <w:jc w:val="center"/>
        <w:rPr>
          <w:sz w:val="24"/>
          <w:szCs w:val="22"/>
        </w:rPr>
      </w:pPr>
    </w:p>
    <w:p>
      <w:pPr>
        <w:overflowPunct w:val="0"/>
        <w:autoSpaceDE w:val="0"/>
        <w:autoSpaceDN w:val="0"/>
        <w:adjustRightInd w:val="0"/>
        <w:snapToGrid w:val="0"/>
        <w:spacing w:line="360" w:lineRule="auto"/>
        <w:jc w:val="left"/>
        <w:rPr>
          <w:rFonts w:ascii="宋体" w:hAnsi="宋体" w:cs="Arial"/>
          <w:b/>
          <w:sz w:val="24"/>
          <w:szCs w:val="24"/>
        </w:rPr>
      </w:pPr>
      <w:r>
        <w:rPr>
          <w:rFonts w:hint="eastAsia" w:ascii="宋体" w:hAnsi="宋体"/>
          <w:b/>
          <w:sz w:val="24"/>
          <w:szCs w:val="24"/>
        </w:rPr>
        <w:t>注：此表须附相应合同复印件。</w:t>
      </w:r>
    </w:p>
    <w:p>
      <w:pPr>
        <w:pStyle w:val="6"/>
        <w:rPr>
          <w:rFonts w:hint="eastAsia"/>
          <w:lang w:val="en-US" w:eastAsia="zh-CN"/>
        </w:rPr>
      </w:pPr>
      <w:r>
        <w:rPr>
          <w:rFonts w:hint="eastAsia"/>
          <w:sz w:val="24"/>
          <w:szCs w:val="22"/>
        </w:rPr>
        <w:br w:type="page"/>
      </w:r>
    </w:p>
    <w:p>
      <w:pPr>
        <w:spacing w:line="360" w:lineRule="auto"/>
        <w:jc w:val="center"/>
        <w:rPr>
          <w:rFonts w:ascii="宋体" w:hAnsi="宋体"/>
          <w:b/>
          <w:bCs/>
          <w:kern w:val="0"/>
          <w:sz w:val="28"/>
          <w:szCs w:val="28"/>
        </w:rPr>
      </w:pPr>
      <w:r>
        <w:rPr>
          <w:rFonts w:hint="eastAsia" w:ascii="宋体" w:hAnsi="宋体"/>
          <w:b/>
          <w:bCs/>
          <w:kern w:val="0"/>
          <w:sz w:val="28"/>
          <w:szCs w:val="28"/>
        </w:rPr>
        <w:t>技术</w:t>
      </w:r>
      <w:r>
        <w:rPr>
          <w:rFonts w:hint="eastAsia" w:ascii="宋体" w:hAnsi="宋体"/>
          <w:b/>
          <w:bCs/>
          <w:kern w:val="0"/>
          <w:sz w:val="28"/>
          <w:szCs w:val="28"/>
          <w:lang w:val="en-US" w:eastAsia="zh-CN"/>
        </w:rPr>
        <w:t>要求</w:t>
      </w:r>
      <w:r>
        <w:rPr>
          <w:rFonts w:hint="eastAsia" w:ascii="宋体" w:hAnsi="宋体"/>
          <w:b/>
          <w:bCs/>
          <w:kern w:val="0"/>
          <w:sz w:val="28"/>
          <w:szCs w:val="28"/>
        </w:rPr>
        <w:t>响应表</w:t>
      </w:r>
    </w:p>
    <w:tbl>
      <w:tblPr>
        <w:tblStyle w:val="14"/>
        <w:tblW w:w="49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37"/>
        <w:gridCol w:w="1454"/>
        <w:gridCol w:w="1810"/>
        <w:gridCol w:w="1817"/>
        <w:gridCol w:w="1634"/>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5" w:hRule="atLeast"/>
          <w:jc w:val="center"/>
        </w:trPr>
        <w:tc>
          <w:tcPr>
            <w:tcW w:w="406" w:type="pct"/>
            <w:noWrap w:val="0"/>
            <w:vAlign w:val="center"/>
          </w:tcPr>
          <w:p>
            <w:pPr>
              <w:adjustRightInd w:val="0"/>
              <w:jc w:val="center"/>
              <w:rPr>
                <w:rFonts w:ascii="Arial" w:hAnsi="Arial" w:cs="Arial"/>
                <w:b/>
                <w:szCs w:val="21"/>
              </w:rPr>
            </w:pPr>
            <w:r>
              <w:rPr>
                <w:rFonts w:hint="eastAsia" w:ascii="Arial" w:hAnsi="Arial" w:cs="Arial"/>
                <w:b/>
                <w:szCs w:val="21"/>
              </w:rPr>
              <w:t>序号</w:t>
            </w:r>
          </w:p>
        </w:tc>
        <w:tc>
          <w:tcPr>
            <w:tcW w:w="800" w:type="pct"/>
            <w:noWrap w:val="0"/>
            <w:vAlign w:val="center"/>
          </w:tcPr>
          <w:p>
            <w:pPr>
              <w:adjustRightInd w:val="0"/>
              <w:jc w:val="center"/>
              <w:rPr>
                <w:rFonts w:ascii="Arial" w:hAnsi="Arial" w:cs="Arial"/>
                <w:b/>
                <w:szCs w:val="21"/>
              </w:rPr>
            </w:pPr>
            <w:r>
              <w:rPr>
                <w:rFonts w:hint="eastAsia" w:ascii="Arial" w:hAnsi="Arial" w:cs="Arial"/>
                <w:b/>
                <w:szCs w:val="21"/>
                <w:lang w:val="en-US" w:eastAsia="zh-CN"/>
              </w:rPr>
              <w:t>采购</w:t>
            </w:r>
            <w:r>
              <w:rPr>
                <w:rFonts w:hint="eastAsia" w:ascii="Arial" w:hAnsi="Arial" w:cs="Arial"/>
                <w:b/>
                <w:szCs w:val="21"/>
              </w:rPr>
              <w:t>文件</w:t>
            </w:r>
          </w:p>
          <w:p>
            <w:pPr>
              <w:adjustRightInd w:val="0"/>
              <w:jc w:val="center"/>
              <w:rPr>
                <w:rFonts w:ascii="Arial" w:hAnsi="Arial" w:cs="Arial"/>
                <w:b/>
                <w:szCs w:val="21"/>
              </w:rPr>
            </w:pPr>
            <w:r>
              <w:rPr>
                <w:rFonts w:hint="eastAsia" w:ascii="Arial" w:hAnsi="Arial" w:cs="Arial"/>
                <w:b/>
                <w:szCs w:val="21"/>
              </w:rPr>
              <w:t>条目号</w:t>
            </w:r>
          </w:p>
        </w:tc>
        <w:tc>
          <w:tcPr>
            <w:tcW w:w="996" w:type="pct"/>
            <w:noWrap w:val="0"/>
            <w:vAlign w:val="center"/>
          </w:tcPr>
          <w:p>
            <w:pPr>
              <w:adjustRightInd w:val="0"/>
              <w:jc w:val="center"/>
              <w:rPr>
                <w:rFonts w:ascii="Arial" w:hAnsi="Arial" w:cs="Arial"/>
                <w:b/>
                <w:szCs w:val="21"/>
              </w:rPr>
            </w:pPr>
            <w:r>
              <w:rPr>
                <w:rFonts w:hint="eastAsia" w:ascii="Arial" w:hAnsi="Arial" w:cs="Arial"/>
                <w:b/>
                <w:szCs w:val="21"/>
                <w:lang w:val="en-US" w:eastAsia="zh-CN"/>
              </w:rPr>
              <w:t>比选</w:t>
            </w:r>
            <w:r>
              <w:rPr>
                <w:rFonts w:hint="eastAsia" w:ascii="Arial" w:hAnsi="Arial" w:cs="Arial"/>
                <w:b/>
                <w:szCs w:val="21"/>
              </w:rPr>
              <w:t>文件要求</w:t>
            </w:r>
          </w:p>
        </w:tc>
        <w:tc>
          <w:tcPr>
            <w:tcW w:w="1000" w:type="pct"/>
            <w:noWrap w:val="0"/>
            <w:vAlign w:val="center"/>
          </w:tcPr>
          <w:p>
            <w:pPr>
              <w:adjustRightInd w:val="0"/>
              <w:jc w:val="center"/>
              <w:rPr>
                <w:rFonts w:ascii="Arial" w:hAnsi="Arial" w:cs="Arial"/>
                <w:b/>
                <w:szCs w:val="21"/>
              </w:rPr>
            </w:pPr>
            <w:r>
              <w:rPr>
                <w:rFonts w:hint="eastAsia" w:ascii="Arial" w:hAnsi="Arial" w:cs="Arial"/>
                <w:b/>
                <w:szCs w:val="21"/>
              </w:rPr>
              <w:t>投标文件</w:t>
            </w:r>
          </w:p>
          <w:p>
            <w:pPr>
              <w:adjustRightInd w:val="0"/>
              <w:jc w:val="center"/>
              <w:rPr>
                <w:rFonts w:ascii="Arial" w:hAnsi="Arial" w:cs="Arial"/>
                <w:b/>
                <w:szCs w:val="21"/>
              </w:rPr>
            </w:pPr>
            <w:r>
              <w:rPr>
                <w:rFonts w:hint="eastAsia" w:ascii="Arial" w:hAnsi="Arial" w:cs="Arial"/>
                <w:b/>
                <w:szCs w:val="21"/>
              </w:rPr>
              <w:t>响应</w:t>
            </w:r>
          </w:p>
        </w:tc>
        <w:tc>
          <w:tcPr>
            <w:tcW w:w="899" w:type="pct"/>
            <w:noWrap w:val="0"/>
            <w:vAlign w:val="center"/>
          </w:tcPr>
          <w:p>
            <w:pPr>
              <w:adjustRightInd w:val="0"/>
              <w:jc w:val="center"/>
              <w:rPr>
                <w:rFonts w:ascii="Arial" w:hAnsi="Arial" w:cs="Arial"/>
                <w:b/>
                <w:szCs w:val="21"/>
              </w:rPr>
            </w:pPr>
            <w:r>
              <w:rPr>
                <w:rFonts w:hint="eastAsia" w:ascii="Arial" w:hAnsi="Arial" w:cs="Arial"/>
                <w:b/>
                <w:szCs w:val="21"/>
              </w:rPr>
              <w:t>偏离</w:t>
            </w:r>
          </w:p>
        </w:tc>
        <w:tc>
          <w:tcPr>
            <w:tcW w:w="899" w:type="pct"/>
            <w:noWrap w:val="0"/>
            <w:vAlign w:val="center"/>
          </w:tcPr>
          <w:p>
            <w:pPr>
              <w:adjustRightInd w:val="0"/>
              <w:jc w:val="center"/>
              <w:rPr>
                <w:rFonts w:ascii="Arial" w:hAnsi="Arial" w:cs="Arial"/>
                <w:b/>
                <w:szCs w:val="21"/>
              </w:rPr>
            </w:pPr>
            <w:r>
              <w:rPr>
                <w:rFonts w:hint="eastAsia" w:ascii="Arial" w:hAnsi="Arial" w:cs="Arial"/>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noWrap w:val="0"/>
            <w:vAlign w:val="center"/>
          </w:tcPr>
          <w:p>
            <w:pPr>
              <w:adjustRightInd w:val="0"/>
              <w:spacing w:line="440" w:lineRule="exact"/>
              <w:jc w:val="center"/>
              <w:rPr>
                <w:rFonts w:ascii="Arial" w:hAnsi="Arial" w:cs="Arial"/>
                <w:sz w:val="24"/>
                <w:u w:val="single"/>
              </w:rPr>
            </w:pPr>
          </w:p>
        </w:tc>
        <w:tc>
          <w:tcPr>
            <w:tcW w:w="800" w:type="pct"/>
            <w:noWrap w:val="0"/>
            <w:vAlign w:val="center"/>
          </w:tcPr>
          <w:p>
            <w:pPr>
              <w:adjustRightInd w:val="0"/>
              <w:spacing w:line="440" w:lineRule="exact"/>
              <w:jc w:val="center"/>
              <w:rPr>
                <w:rFonts w:ascii="Arial" w:hAnsi="Arial" w:cs="Arial"/>
                <w:sz w:val="24"/>
                <w:u w:val="single"/>
              </w:rPr>
            </w:pPr>
          </w:p>
        </w:tc>
        <w:tc>
          <w:tcPr>
            <w:tcW w:w="996" w:type="pct"/>
            <w:noWrap w:val="0"/>
            <w:vAlign w:val="center"/>
          </w:tcPr>
          <w:p>
            <w:pPr>
              <w:adjustRightInd w:val="0"/>
              <w:spacing w:line="440" w:lineRule="exact"/>
              <w:jc w:val="center"/>
              <w:rPr>
                <w:rFonts w:ascii="Arial" w:hAnsi="Arial" w:cs="Arial"/>
                <w:sz w:val="24"/>
                <w:u w:val="single"/>
              </w:rPr>
            </w:pPr>
          </w:p>
        </w:tc>
        <w:tc>
          <w:tcPr>
            <w:tcW w:w="1000" w:type="pct"/>
            <w:noWrap w:val="0"/>
            <w:vAlign w:val="center"/>
          </w:tcPr>
          <w:p>
            <w:pPr>
              <w:adjustRightInd w:val="0"/>
              <w:spacing w:line="440" w:lineRule="exact"/>
              <w:jc w:val="center"/>
              <w:rPr>
                <w:rFonts w:ascii="Arial" w:hAnsi="Arial" w:cs="Arial"/>
                <w:sz w:val="24"/>
                <w:u w:val="single"/>
              </w:rPr>
            </w:pPr>
          </w:p>
        </w:tc>
        <w:tc>
          <w:tcPr>
            <w:tcW w:w="899" w:type="pct"/>
            <w:noWrap w:val="0"/>
            <w:vAlign w:val="center"/>
          </w:tcPr>
          <w:p>
            <w:pPr>
              <w:adjustRightInd w:val="0"/>
              <w:spacing w:line="440" w:lineRule="exact"/>
              <w:jc w:val="center"/>
              <w:rPr>
                <w:rFonts w:ascii="Arial" w:hAnsi="Arial" w:cs="Arial"/>
                <w:sz w:val="24"/>
                <w:u w:val="single"/>
              </w:rPr>
            </w:pPr>
          </w:p>
        </w:tc>
        <w:tc>
          <w:tcPr>
            <w:tcW w:w="899" w:type="pct"/>
            <w:noWrap w:val="0"/>
            <w:vAlign w:val="top"/>
          </w:tcPr>
          <w:p>
            <w:pPr>
              <w:adjustRightInd w:val="0"/>
              <w:spacing w:line="440" w:lineRule="exact"/>
              <w:jc w:val="center"/>
              <w:rPr>
                <w:rFonts w:ascii="Arial" w:hAnsi="Arial" w:cs="Arial"/>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noWrap w:val="0"/>
            <w:vAlign w:val="center"/>
          </w:tcPr>
          <w:p>
            <w:pPr>
              <w:adjustRightInd w:val="0"/>
              <w:spacing w:line="440" w:lineRule="exact"/>
              <w:jc w:val="center"/>
              <w:rPr>
                <w:rFonts w:ascii="Arial" w:hAnsi="Arial" w:cs="Arial"/>
                <w:sz w:val="24"/>
                <w:u w:val="single"/>
              </w:rPr>
            </w:pPr>
          </w:p>
        </w:tc>
        <w:tc>
          <w:tcPr>
            <w:tcW w:w="800" w:type="pct"/>
            <w:noWrap w:val="0"/>
            <w:vAlign w:val="center"/>
          </w:tcPr>
          <w:p>
            <w:pPr>
              <w:adjustRightInd w:val="0"/>
              <w:spacing w:line="440" w:lineRule="exact"/>
              <w:jc w:val="center"/>
              <w:rPr>
                <w:rFonts w:ascii="Arial" w:hAnsi="Arial" w:cs="Arial"/>
                <w:sz w:val="24"/>
                <w:u w:val="single"/>
              </w:rPr>
            </w:pPr>
          </w:p>
        </w:tc>
        <w:tc>
          <w:tcPr>
            <w:tcW w:w="996" w:type="pct"/>
            <w:noWrap w:val="0"/>
            <w:vAlign w:val="center"/>
          </w:tcPr>
          <w:p>
            <w:pPr>
              <w:adjustRightInd w:val="0"/>
              <w:spacing w:line="440" w:lineRule="exact"/>
              <w:jc w:val="center"/>
              <w:rPr>
                <w:rFonts w:ascii="Arial" w:hAnsi="Arial" w:cs="Arial"/>
                <w:sz w:val="24"/>
                <w:u w:val="single"/>
              </w:rPr>
            </w:pPr>
          </w:p>
        </w:tc>
        <w:tc>
          <w:tcPr>
            <w:tcW w:w="1000" w:type="pct"/>
            <w:noWrap w:val="0"/>
            <w:vAlign w:val="center"/>
          </w:tcPr>
          <w:p>
            <w:pPr>
              <w:adjustRightInd w:val="0"/>
              <w:spacing w:line="440" w:lineRule="exact"/>
              <w:jc w:val="center"/>
              <w:rPr>
                <w:rFonts w:ascii="Arial" w:hAnsi="Arial" w:cs="Arial"/>
                <w:sz w:val="24"/>
                <w:u w:val="single"/>
              </w:rPr>
            </w:pPr>
          </w:p>
        </w:tc>
        <w:tc>
          <w:tcPr>
            <w:tcW w:w="899" w:type="pct"/>
            <w:noWrap w:val="0"/>
            <w:vAlign w:val="center"/>
          </w:tcPr>
          <w:p>
            <w:pPr>
              <w:adjustRightInd w:val="0"/>
              <w:spacing w:line="440" w:lineRule="exact"/>
              <w:jc w:val="center"/>
              <w:rPr>
                <w:rFonts w:ascii="Arial" w:hAnsi="Arial" w:cs="Arial"/>
                <w:sz w:val="24"/>
                <w:u w:val="single"/>
              </w:rPr>
            </w:pPr>
          </w:p>
        </w:tc>
        <w:tc>
          <w:tcPr>
            <w:tcW w:w="899" w:type="pct"/>
            <w:noWrap w:val="0"/>
            <w:vAlign w:val="top"/>
          </w:tcPr>
          <w:p>
            <w:pPr>
              <w:adjustRightInd w:val="0"/>
              <w:spacing w:line="440" w:lineRule="exact"/>
              <w:jc w:val="center"/>
              <w:rPr>
                <w:rFonts w:ascii="Arial" w:hAnsi="Arial" w:cs="Arial"/>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noWrap w:val="0"/>
            <w:vAlign w:val="center"/>
          </w:tcPr>
          <w:p>
            <w:pPr>
              <w:adjustRightInd w:val="0"/>
              <w:spacing w:line="440" w:lineRule="exact"/>
              <w:jc w:val="center"/>
              <w:rPr>
                <w:rFonts w:ascii="Arial" w:hAnsi="Arial" w:cs="Arial"/>
                <w:sz w:val="24"/>
                <w:u w:val="single"/>
              </w:rPr>
            </w:pPr>
          </w:p>
        </w:tc>
        <w:tc>
          <w:tcPr>
            <w:tcW w:w="800" w:type="pct"/>
            <w:noWrap w:val="0"/>
            <w:vAlign w:val="center"/>
          </w:tcPr>
          <w:p>
            <w:pPr>
              <w:adjustRightInd w:val="0"/>
              <w:spacing w:line="440" w:lineRule="exact"/>
              <w:jc w:val="center"/>
              <w:rPr>
                <w:rFonts w:ascii="Arial" w:hAnsi="Arial" w:cs="Arial"/>
                <w:sz w:val="24"/>
                <w:u w:val="single"/>
              </w:rPr>
            </w:pPr>
          </w:p>
        </w:tc>
        <w:tc>
          <w:tcPr>
            <w:tcW w:w="996" w:type="pct"/>
            <w:noWrap w:val="0"/>
            <w:vAlign w:val="center"/>
          </w:tcPr>
          <w:p>
            <w:pPr>
              <w:adjustRightInd w:val="0"/>
              <w:spacing w:line="440" w:lineRule="exact"/>
              <w:jc w:val="center"/>
              <w:rPr>
                <w:rFonts w:ascii="Arial" w:hAnsi="Arial" w:cs="Arial"/>
                <w:sz w:val="24"/>
                <w:u w:val="single"/>
              </w:rPr>
            </w:pPr>
          </w:p>
        </w:tc>
        <w:tc>
          <w:tcPr>
            <w:tcW w:w="1000" w:type="pct"/>
            <w:noWrap w:val="0"/>
            <w:vAlign w:val="center"/>
          </w:tcPr>
          <w:p>
            <w:pPr>
              <w:adjustRightInd w:val="0"/>
              <w:spacing w:line="440" w:lineRule="exact"/>
              <w:jc w:val="center"/>
              <w:rPr>
                <w:rFonts w:ascii="Arial" w:hAnsi="Arial" w:cs="Arial"/>
                <w:sz w:val="24"/>
                <w:u w:val="single"/>
              </w:rPr>
            </w:pPr>
          </w:p>
        </w:tc>
        <w:tc>
          <w:tcPr>
            <w:tcW w:w="899" w:type="pct"/>
            <w:noWrap w:val="0"/>
            <w:vAlign w:val="center"/>
          </w:tcPr>
          <w:p>
            <w:pPr>
              <w:adjustRightInd w:val="0"/>
              <w:spacing w:line="440" w:lineRule="exact"/>
              <w:jc w:val="center"/>
              <w:rPr>
                <w:rFonts w:ascii="Arial" w:hAnsi="Arial" w:cs="Arial"/>
                <w:sz w:val="24"/>
                <w:u w:val="single"/>
              </w:rPr>
            </w:pPr>
          </w:p>
        </w:tc>
        <w:tc>
          <w:tcPr>
            <w:tcW w:w="899" w:type="pct"/>
            <w:noWrap w:val="0"/>
            <w:vAlign w:val="top"/>
          </w:tcPr>
          <w:p>
            <w:pPr>
              <w:adjustRightInd w:val="0"/>
              <w:spacing w:line="440" w:lineRule="exact"/>
              <w:jc w:val="center"/>
              <w:rPr>
                <w:rFonts w:ascii="Arial" w:hAnsi="Arial" w:cs="Arial"/>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noWrap w:val="0"/>
            <w:vAlign w:val="center"/>
          </w:tcPr>
          <w:p>
            <w:pPr>
              <w:adjustRightInd w:val="0"/>
              <w:spacing w:line="440" w:lineRule="exact"/>
              <w:jc w:val="center"/>
              <w:rPr>
                <w:rFonts w:ascii="Arial" w:hAnsi="Arial" w:cs="Arial"/>
                <w:sz w:val="24"/>
                <w:u w:val="single"/>
              </w:rPr>
            </w:pPr>
          </w:p>
        </w:tc>
        <w:tc>
          <w:tcPr>
            <w:tcW w:w="800" w:type="pct"/>
            <w:noWrap w:val="0"/>
            <w:vAlign w:val="center"/>
          </w:tcPr>
          <w:p>
            <w:pPr>
              <w:adjustRightInd w:val="0"/>
              <w:spacing w:line="440" w:lineRule="exact"/>
              <w:jc w:val="center"/>
              <w:rPr>
                <w:rFonts w:ascii="Arial" w:hAnsi="Arial" w:cs="Arial"/>
                <w:sz w:val="24"/>
                <w:u w:val="single"/>
              </w:rPr>
            </w:pPr>
          </w:p>
        </w:tc>
        <w:tc>
          <w:tcPr>
            <w:tcW w:w="996" w:type="pct"/>
            <w:noWrap w:val="0"/>
            <w:vAlign w:val="center"/>
          </w:tcPr>
          <w:p>
            <w:pPr>
              <w:adjustRightInd w:val="0"/>
              <w:spacing w:line="440" w:lineRule="exact"/>
              <w:jc w:val="center"/>
              <w:rPr>
                <w:rFonts w:ascii="Arial" w:hAnsi="Arial" w:cs="Arial"/>
                <w:sz w:val="24"/>
                <w:u w:val="single"/>
              </w:rPr>
            </w:pPr>
          </w:p>
        </w:tc>
        <w:tc>
          <w:tcPr>
            <w:tcW w:w="1000" w:type="pct"/>
            <w:noWrap w:val="0"/>
            <w:vAlign w:val="center"/>
          </w:tcPr>
          <w:p>
            <w:pPr>
              <w:adjustRightInd w:val="0"/>
              <w:spacing w:line="440" w:lineRule="exact"/>
              <w:jc w:val="center"/>
              <w:rPr>
                <w:rFonts w:ascii="Arial" w:hAnsi="Arial" w:cs="Arial"/>
                <w:sz w:val="24"/>
                <w:u w:val="single"/>
              </w:rPr>
            </w:pPr>
          </w:p>
        </w:tc>
        <w:tc>
          <w:tcPr>
            <w:tcW w:w="899" w:type="pct"/>
            <w:noWrap w:val="0"/>
            <w:vAlign w:val="center"/>
          </w:tcPr>
          <w:p>
            <w:pPr>
              <w:adjustRightInd w:val="0"/>
              <w:spacing w:line="440" w:lineRule="exact"/>
              <w:jc w:val="center"/>
              <w:rPr>
                <w:rFonts w:ascii="Arial" w:hAnsi="Arial" w:cs="Arial"/>
                <w:sz w:val="24"/>
                <w:u w:val="single"/>
              </w:rPr>
            </w:pPr>
          </w:p>
        </w:tc>
        <w:tc>
          <w:tcPr>
            <w:tcW w:w="899" w:type="pct"/>
            <w:noWrap w:val="0"/>
            <w:vAlign w:val="top"/>
          </w:tcPr>
          <w:p>
            <w:pPr>
              <w:adjustRightInd w:val="0"/>
              <w:spacing w:line="440" w:lineRule="exact"/>
              <w:jc w:val="center"/>
              <w:rPr>
                <w:rFonts w:ascii="Arial" w:hAnsi="Arial" w:cs="Arial"/>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noWrap w:val="0"/>
            <w:vAlign w:val="center"/>
          </w:tcPr>
          <w:p>
            <w:pPr>
              <w:adjustRightInd w:val="0"/>
              <w:spacing w:line="440" w:lineRule="exact"/>
              <w:jc w:val="center"/>
              <w:rPr>
                <w:rFonts w:ascii="Arial" w:hAnsi="Arial" w:cs="Arial"/>
                <w:sz w:val="24"/>
                <w:u w:val="single"/>
              </w:rPr>
            </w:pPr>
          </w:p>
        </w:tc>
        <w:tc>
          <w:tcPr>
            <w:tcW w:w="800" w:type="pct"/>
            <w:noWrap w:val="0"/>
            <w:vAlign w:val="center"/>
          </w:tcPr>
          <w:p>
            <w:pPr>
              <w:adjustRightInd w:val="0"/>
              <w:spacing w:line="440" w:lineRule="exact"/>
              <w:jc w:val="center"/>
              <w:rPr>
                <w:rFonts w:ascii="Arial" w:hAnsi="Arial" w:cs="Arial"/>
                <w:sz w:val="24"/>
                <w:u w:val="single"/>
              </w:rPr>
            </w:pPr>
          </w:p>
        </w:tc>
        <w:tc>
          <w:tcPr>
            <w:tcW w:w="996" w:type="pct"/>
            <w:noWrap w:val="0"/>
            <w:vAlign w:val="center"/>
          </w:tcPr>
          <w:p>
            <w:pPr>
              <w:adjustRightInd w:val="0"/>
              <w:spacing w:line="440" w:lineRule="exact"/>
              <w:jc w:val="center"/>
              <w:rPr>
                <w:rFonts w:ascii="Arial" w:hAnsi="Arial" w:cs="Arial"/>
                <w:sz w:val="24"/>
                <w:u w:val="single"/>
              </w:rPr>
            </w:pPr>
          </w:p>
        </w:tc>
        <w:tc>
          <w:tcPr>
            <w:tcW w:w="1000" w:type="pct"/>
            <w:noWrap w:val="0"/>
            <w:vAlign w:val="center"/>
          </w:tcPr>
          <w:p>
            <w:pPr>
              <w:adjustRightInd w:val="0"/>
              <w:spacing w:line="440" w:lineRule="exact"/>
              <w:jc w:val="center"/>
              <w:rPr>
                <w:rFonts w:ascii="Arial" w:hAnsi="Arial" w:cs="Arial"/>
                <w:sz w:val="24"/>
                <w:u w:val="single"/>
              </w:rPr>
            </w:pPr>
          </w:p>
        </w:tc>
        <w:tc>
          <w:tcPr>
            <w:tcW w:w="899" w:type="pct"/>
            <w:noWrap w:val="0"/>
            <w:vAlign w:val="center"/>
          </w:tcPr>
          <w:p>
            <w:pPr>
              <w:adjustRightInd w:val="0"/>
              <w:spacing w:line="440" w:lineRule="exact"/>
              <w:jc w:val="center"/>
              <w:rPr>
                <w:rFonts w:ascii="Arial" w:hAnsi="Arial" w:cs="Arial"/>
                <w:sz w:val="24"/>
                <w:u w:val="single"/>
              </w:rPr>
            </w:pPr>
          </w:p>
        </w:tc>
        <w:tc>
          <w:tcPr>
            <w:tcW w:w="899" w:type="pct"/>
            <w:noWrap w:val="0"/>
            <w:vAlign w:val="top"/>
          </w:tcPr>
          <w:p>
            <w:pPr>
              <w:adjustRightInd w:val="0"/>
              <w:spacing w:line="440" w:lineRule="exact"/>
              <w:jc w:val="center"/>
              <w:rPr>
                <w:rFonts w:ascii="Arial" w:hAnsi="Arial" w:cs="Arial"/>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83" w:hRule="atLeast"/>
          <w:jc w:val="center"/>
        </w:trPr>
        <w:tc>
          <w:tcPr>
            <w:tcW w:w="5000" w:type="pct"/>
            <w:gridSpan w:val="6"/>
            <w:noWrap w:val="0"/>
            <w:vAlign w:val="center"/>
          </w:tcPr>
          <w:p>
            <w:pPr>
              <w:spacing w:line="440" w:lineRule="exact"/>
              <w:rPr>
                <w:rFonts w:ascii="Arial" w:hAnsi="Arial" w:cs="Arial"/>
                <w:szCs w:val="21"/>
              </w:rPr>
            </w:pPr>
            <w:r>
              <w:rPr>
                <w:rFonts w:hint="eastAsia" w:ascii="Arial" w:hAnsi="Arial" w:cs="Arial"/>
                <w:szCs w:val="21"/>
              </w:rPr>
              <w:t>我方确认：除了表中所列的条款外，我方的投标函将依从</w:t>
            </w:r>
            <w:r>
              <w:rPr>
                <w:rFonts w:hint="eastAsia" w:ascii="Arial" w:hAnsi="Arial" w:cs="Arial"/>
                <w:szCs w:val="21"/>
                <w:lang w:val="en-US" w:eastAsia="zh-CN"/>
              </w:rPr>
              <w:t>采购</w:t>
            </w:r>
            <w:r>
              <w:rPr>
                <w:rFonts w:hint="eastAsia" w:ascii="Arial" w:hAnsi="Arial" w:cs="Arial"/>
                <w:szCs w:val="21"/>
              </w:rPr>
              <w:t>文件对于技术的全部要求和规定。</w:t>
            </w:r>
          </w:p>
        </w:tc>
      </w:tr>
    </w:tbl>
    <w:p>
      <w:pPr>
        <w:tabs>
          <w:tab w:val="left" w:pos="9120"/>
        </w:tabs>
        <w:ind w:firstLine="420" w:firstLineChars="200"/>
        <w:rPr>
          <w:rFonts w:ascii="宋体" w:hAnsi="宋体" w:cs="Arial"/>
        </w:rPr>
      </w:pPr>
      <w:r>
        <w:rPr>
          <w:rFonts w:hint="eastAsia" w:ascii="宋体" w:hAnsi="宋体" w:cs="Arial"/>
        </w:rPr>
        <w:t>注：</w:t>
      </w:r>
    </w:p>
    <w:p>
      <w:pPr>
        <w:tabs>
          <w:tab w:val="left" w:pos="9120"/>
        </w:tabs>
        <w:spacing w:line="360" w:lineRule="auto"/>
        <w:ind w:firstLine="420" w:firstLineChars="200"/>
        <w:rPr>
          <w:rFonts w:ascii="宋体" w:hAnsi="宋体" w:cs="Arial"/>
          <w:kern w:val="0"/>
        </w:rPr>
      </w:pPr>
      <w:r>
        <w:rPr>
          <w:rFonts w:hint="eastAsia" w:ascii="宋体" w:hAnsi="宋体" w:cs="Arial"/>
        </w:rPr>
        <w:t>1、</w:t>
      </w:r>
      <w:r>
        <w:rPr>
          <w:rFonts w:hint="eastAsia" w:ascii="宋体" w:hAnsi="宋体" w:cs="Arial"/>
          <w:kern w:val="0"/>
        </w:rPr>
        <w:t>投标人必须仔细阅读</w:t>
      </w:r>
      <w:r>
        <w:rPr>
          <w:rFonts w:hint="eastAsia" w:ascii="宋体" w:hAnsi="宋体" w:cs="Arial"/>
          <w:kern w:val="0"/>
          <w:lang w:val="en-US" w:eastAsia="zh-CN"/>
        </w:rPr>
        <w:t>采购</w:t>
      </w:r>
      <w:r>
        <w:rPr>
          <w:rFonts w:hint="eastAsia" w:ascii="宋体" w:hAnsi="宋体" w:cs="Arial"/>
          <w:kern w:val="0"/>
        </w:rPr>
        <w:t>文件所有条款，并对所有偏离的条目列入上表，未列入上表的视作投标人完全接受。</w:t>
      </w:r>
    </w:p>
    <w:p>
      <w:pPr>
        <w:tabs>
          <w:tab w:val="left" w:pos="9120"/>
        </w:tabs>
        <w:spacing w:line="360" w:lineRule="auto"/>
        <w:ind w:firstLine="420" w:firstLineChars="200"/>
        <w:rPr>
          <w:rFonts w:ascii="宋体" w:hAnsi="宋体" w:cs="Arial"/>
          <w:b/>
        </w:rPr>
      </w:pPr>
      <w:r>
        <w:rPr>
          <w:rFonts w:hint="eastAsia" w:ascii="宋体" w:hAnsi="宋体" w:cs="Arial"/>
          <w:kern w:val="0"/>
        </w:rPr>
        <w:t>2、投标人如无偏离，可在上表空格中填写内容 “/”或者“完全响应”表示。</w:t>
      </w:r>
    </w:p>
    <w:p/>
    <w:p>
      <w:pPr>
        <w:rPr>
          <w:rFonts w:hint="eastAsia" w:ascii="宋体" w:hAnsi="宋体" w:cs="宋体"/>
          <w:b/>
          <w:color w:val="000000"/>
          <w:sz w:val="30"/>
          <w:szCs w:val="30"/>
        </w:rPr>
      </w:pPr>
      <w:r>
        <w:rPr>
          <w:rFonts w:hint="eastAsia" w:ascii="宋体" w:hAnsi="宋体" w:cs="宋体"/>
          <w:b/>
          <w:color w:val="000000"/>
          <w:sz w:val="30"/>
          <w:szCs w:val="30"/>
        </w:rPr>
        <w:br w:type="page"/>
      </w:r>
    </w:p>
    <w:p>
      <w:pPr>
        <w:pStyle w:val="20"/>
        <w:spacing w:line="460" w:lineRule="exact"/>
        <w:ind w:firstLine="602" w:firstLineChars="200"/>
        <w:jc w:val="center"/>
        <w:outlineLvl w:val="0"/>
        <w:rPr>
          <w:rFonts w:hint="eastAsia" w:ascii="宋体" w:hAnsi="宋体" w:eastAsia="宋体" w:cs="宋体"/>
          <w:b/>
          <w:color w:val="000000"/>
          <w:kern w:val="0"/>
          <w:sz w:val="30"/>
          <w:szCs w:val="30"/>
          <w:lang w:val="en-US" w:eastAsia="zh-CN" w:bidi="ar-SA"/>
        </w:rPr>
      </w:pPr>
      <w:r>
        <w:rPr>
          <w:rFonts w:hint="eastAsia" w:ascii="宋体" w:hAnsi="宋体" w:eastAsia="宋体" w:cs="宋体"/>
          <w:b/>
          <w:color w:val="000000"/>
          <w:kern w:val="0"/>
          <w:sz w:val="30"/>
          <w:szCs w:val="30"/>
          <w:lang w:val="en-US" w:eastAsia="zh-CN" w:bidi="ar-SA"/>
        </w:rPr>
        <w:t xml:space="preserve"> </w:t>
      </w:r>
      <w:bookmarkStart w:id="53" w:name="_Toc7901"/>
      <w:r>
        <w:rPr>
          <w:rFonts w:hint="eastAsia" w:ascii="宋体" w:hAnsi="宋体" w:eastAsia="宋体" w:cs="宋体"/>
          <w:b/>
          <w:color w:val="000000"/>
          <w:kern w:val="0"/>
          <w:sz w:val="30"/>
          <w:szCs w:val="30"/>
          <w:lang w:val="en-US" w:eastAsia="zh-CN" w:bidi="ar-SA"/>
        </w:rPr>
        <w:t>第八章 比选评审细则</w:t>
      </w:r>
      <w:bookmarkEnd w:id="53"/>
    </w:p>
    <w:p>
      <w:pPr>
        <w:pStyle w:val="4"/>
        <w:outlineLvl w:val="9"/>
        <w:rPr>
          <w:rFonts w:hint="eastAsia"/>
        </w:rPr>
      </w:pPr>
    </w:p>
    <w:p>
      <w:pPr>
        <w:pStyle w:val="19"/>
        <w:spacing w:line="360" w:lineRule="auto"/>
        <w:ind w:left="0" w:leftChars="0" w:firstLine="420" w:firstLineChars="175"/>
        <w:rPr>
          <w:rFonts w:hint="eastAsia"/>
          <w:sz w:val="24"/>
          <w:szCs w:val="22"/>
          <w:lang w:val="en-US" w:eastAsia="zh-CN"/>
        </w:rPr>
      </w:pPr>
      <w:r>
        <w:rPr>
          <w:rFonts w:hint="eastAsia"/>
          <w:sz w:val="24"/>
          <w:szCs w:val="22"/>
          <w:lang w:val="en-US" w:eastAsia="zh-CN"/>
        </w:rPr>
        <w:t>1.1本项目先对响应文件的资格性和符合性检查，合格的响应人进入价格评审环节，本项目采用最低评审价法进行评审。</w:t>
      </w:r>
    </w:p>
    <w:p>
      <w:pPr>
        <w:pStyle w:val="19"/>
        <w:spacing w:line="360" w:lineRule="auto"/>
        <w:ind w:left="0" w:leftChars="0" w:firstLine="420" w:firstLineChars="175"/>
        <w:rPr>
          <w:rFonts w:hint="default"/>
          <w:sz w:val="24"/>
          <w:szCs w:val="22"/>
          <w:lang w:val="en-US" w:eastAsia="zh-CN"/>
        </w:rPr>
      </w:pPr>
      <w:r>
        <w:rPr>
          <w:rFonts w:hint="eastAsia"/>
          <w:sz w:val="24"/>
          <w:szCs w:val="22"/>
          <w:lang w:val="en-US" w:eastAsia="zh-CN"/>
        </w:rPr>
        <w:t>1.2评审委员会将依照本采购文件相关规定对质量和服务均能满足实质性响应要求的响应人所提交的报价，按照由低到高的顺序提出1-3名中标候选人，采用最低价法评审出最终成交供应商。并编写评审报告。</w:t>
      </w:r>
    </w:p>
    <w:p>
      <w:pPr>
        <w:pStyle w:val="19"/>
        <w:spacing w:line="360" w:lineRule="auto"/>
        <w:ind w:left="0" w:leftChars="0" w:firstLine="420" w:firstLineChars="175"/>
        <w:rPr>
          <w:rFonts w:hint="eastAsia"/>
          <w:sz w:val="24"/>
          <w:szCs w:val="22"/>
          <w:lang w:val="en-US" w:eastAsia="zh-CN"/>
        </w:rPr>
      </w:pPr>
      <w:r>
        <w:rPr>
          <w:rFonts w:hint="eastAsia"/>
          <w:sz w:val="24"/>
          <w:szCs w:val="22"/>
          <w:lang w:val="en-US" w:eastAsia="zh-CN"/>
        </w:rPr>
        <w:t>1.3若响应人的报价相同，以评审委员会记名投票的方式按少数服从多数的原则决定其排名顺序。</w:t>
      </w:r>
    </w:p>
    <w:p>
      <w:pPr>
        <w:pStyle w:val="19"/>
        <w:spacing w:line="360" w:lineRule="auto"/>
        <w:ind w:left="0" w:leftChars="0" w:firstLine="420" w:firstLineChars="175"/>
        <w:rPr>
          <w:rFonts w:hint="eastAsia"/>
          <w:sz w:val="24"/>
          <w:szCs w:val="22"/>
          <w:lang w:val="en-US" w:eastAsia="zh-CN"/>
        </w:rPr>
      </w:pPr>
      <w:r>
        <w:rPr>
          <w:rFonts w:hint="eastAsia"/>
          <w:sz w:val="24"/>
          <w:szCs w:val="22"/>
          <w:lang w:val="en-US" w:eastAsia="zh-CN"/>
        </w:rPr>
        <w:t>2.出现下列情况的将不通过价格评审：</w:t>
      </w:r>
    </w:p>
    <w:p>
      <w:pPr>
        <w:pStyle w:val="19"/>
        <w:spacing w:line="360" w:lineRule="auto"/>
        <w:ind w:left="0" w:leftChars="0" w:firstLine="420" w:firstLineChars="175"/>
        <w:rPr>
          <w:rFonts w:hint="eastAsia"/>
          <w:sz w:val="24"/>
          <w:szCs w:val="22"/>
          <w:lang w:val="en-US" w:eastAsia="zh-CN"/>
        </w:rPr>
      </w:pPr>
      <w:r>
        <w:rPr>
          <w:rFonts w:hint="eastAsia"/>
          <w:sz w:val="24"/>
          <w:szCs w:val="22"/>
          <w:lang w:val="en-US" w:eastAsia="zh-CN"/>
        </w:rPr>
        <w:t>评审委员会发现响应人的报价明显低于其他响应报价，或者在设有标底时明显低于标底，使得其响应报价可能低于其个别成本的，应当要求该响应人作出书面说明并提供相应的证明材料。响应人不能合理说明或者不能提供相应证明材料的，评审委员会应当认定该响应人以低于成本报价，否决其响应文件。</w:t>
      </w:r>
    </w:p>
    <w:p>
      <w:pPr>
        <w:pStyle w:val="19"/>
        <w:spacing w:line="360" w:lineRule="auto"/>
        <w:ind w:left="0" w:leftChars="0" w:firstLine="420" w:firstLineChars="175"/>
        <w:rPr>
          <w:rFonts w:hint="eastAsia"/>
          <w:sz w:val="24"/>
          <w:szCs w:val="22"/>
          <w:lang w:val="en-US" w:eastAsia="zh-CN"/>
        </w:rPr>
      </w:pPr>
      <w:r>
        <w:rPr>
          <w:rFonts w:hint="eastAsia"/>
          <w:sz w:val="24"/>
          <w:szCs w:val="22"/>
          <w:lang w:val="en-US" w:eastAsia="zh-CN"/>
        </w:rPr>
        <w:t>3.价格评审结果</w:t>
      </w:r>
    </w:p>
    <w:p>
      <w:pPr>
        <w:pStyle w:val="19"/>
        <w:spacing w:line="360" w:lineRule="auto"/>
        <w:ind w:left="0" w:leftChars="0" w:firstLine="420" w:firstLineChars="175"/>
        <w:rPr>
          <w:rFonts w:hint="eastAsia"/>
          <w:sz w:val="24"/>
          <w:szCs w:val="22"/>
          <w:lang w:val="en-US" w:eastAsia="zh-CN"/>
        </w:rPr>
      </w:pPr>
      <w:r>
        <w:rPr>
          <w:rFonts w:hint="eastAsia"/>
          <w:sz w:val="24"/>
          <w:szCs w:val="22"/>
          <w:lang w:val="en-US" w:eastAsia="zh-CN"/>
        </w:rPr>
        <w:t>通过价格评审计算出响应人的实际评审总价，填写《响应价格评审表》，由评审委员根据通过资格审查及符合性评审的响应人报价按照由低到高的顺序提出1-3名中标候选人，并编写评审报告。</w:t>
      </w:r>
    </w:p>
    <w:p>
      <w:pPr>
        <w:rPr>
          <w:rFonts w:hAnsi="宋体"/>
          <w:b/>
          <w:color w:val="auto"/>
          <w:highlight w:val="none"/>
        </w:rPr>
      </w:pPr>
      <w:r>
        <w:rPr>
          <w:rFonts w:hAnsi="宋体"/>
          <w:b/>
          <w:color w:val="auto"/>
          <w:highlight w:val="none"/>
        </w:rPr>
        <w:br w:type="page"/>
      </w:r>
    </w:p>
    <w:p>
      <w:pPr>
        <w:pStyle w:val="19"/>
        <w:spacing w:line="360" w:lineRule="auto"/>
        <w:ind w:left="0" w:leftChars="0" w:firstLine="422" w:firstLineChars="175"/>
        <w:rPr>
          <w:rFonts w:hint="eastAsia"/>
          <w:b/>
          <w:bCs/>
          <w:sz w:val="24"/>
          <w:szCs w:val="22"/>
          <w:lang w:val="en-US" w:eastAsia="zh-CN"/>
        </w:rPr>
      </w:pPr>
      <w:r>
        <w:rPr>
          <w:rFonts w:hint="eastAsia"/>
          <w:b/>
          <w:bCs/>
          <w:sz w:val="24"/>
          <w:szCs w:val="22"/>
          <w:lang w:val="en-US" w:eastAsia="zh-CN"/>
        </w:rPr>
        <w:t>符合性评审表</w:t>
      </w:r>
    </w:p>
    <w:p>
      <w:pPr>
        <w:pStyle w:val="19"/>
        <w:spacing w:line="360" w:lineRule="auto"/>
        <w:ind w:left="0" w:leftChars="0" w:firstLine="420" w:firstLineChars="175"/>
        <w:rPr>
          <w:rFonts w:hint="eastAsia"/>
          <w:sz w:val="24"/>
          <w:szCs w:val="22"/>
          <w:lang w:val="en-US" w:eastAsia="zh-CN"/>
        </w:rPr>
      </w:pPr>
    </w:p>
    <w:tbl>
      <w:tblPr>
        <w:tblStyle w:val="14"/>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5798"/>
        <w:gridCol w:w="1432"/>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9003" w:type="dxa"/>
            <w:gridSpan w:val="4"/>
            <w:tcBorders>
              <w:top w:val="single" w:color="auto" w:sz="12" w:space="0"/>
            </w:tcBorders>
            <w:vAlign w:val="center"/>
          </w:tcPr>
          <w:p>
            <w:pPr>
              <w:pStyle w:val="19"/>
              <w:spacing w:line="360" w:lineRule="auto"/>
              <w:ind w:left="0" w:leftChars="0" w:firstLine="420" w:firstLineChars="175"/>
              <w:rPr>
                <w:rFonts w:hint="eastAsia"/>
                <w:sz w:val="24"/>
                <w:szCs w:val="22"/>
                <w:lang w:val="en-US" w:eastAsia="zh-CN"/>
              </w:rPr>
            </w:pPr>
            <w:r>
              <w:rPr>
                <w:rFonts w:hint="eastAsia"/>
                <w:sz w:val="24"/>
                <w:szCs w:val="22"/>
                <w:lang w:val="en-US" w:eastAsia="zh-CN"/>
              </w:rPr>
              <w:t>响应人名称：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pStyle w:val="19"/>
              <w:spacing w:line="360" w:lineRule="auto"/>
              <w:ind w:left="0" w:leftChars="0" w:firstLine="0" w:firstLineChars="0"/>
              <w:jc w:val="center"/>
              <w:rPr>
                <w:rFonts w:hint="eastAsia"/>
                <w:sz w:val="24"/>
                <w:szCs w:val="22"/>
                <w:lang w:val="en-US" w:eastAsia="zh-CN"/>
              </w:rPr>
            </w:pPr>
            <w:r>
              <w:rPr>
                <w:rFonts w:hint="eastAsia"/>
                <w:sz w:val="24"/>
                <w:szCs w:val="22"/>
                <w:lang w:val="en-US" w:eastAsia="zh-CN"/>
              </w:rPr>
              <w:t>序号</w:t>
            </w:r>
          </w:p>
        </w:tc>
        <w:tc>
          <w:tcPr>
            <w:tcW w:w="5798" w:type="dxa"/>
            <w:tcBorders>
              <w:top w:val="single" w:color="auto" w:sz="12" w:space="0"/>
            </w:tcBorders>
            <w:vAlign w:val="center"/>
          </w:tcPr>
          <w:p>
            <w:pPr>
              <w:pStyle w:val="19"/>
              <w:spacing w:line="360" w:lineRule="auto"/>
              <w:ind w:left="0" w:leftChars="0" w:firstLine="420" w:firstLineChars="175"/>
              <w:jc w:val="center"/>
              <w:rPr>
                <w:rFonts w:hint="eastAsia"/>
                <w:sz w:val="24"/>
                <w:szCs w:val="22"/>
                <w:lang w:val="en-US" w:eastAsia="zh-CN"/>
              </w:rPr>
            </w:pPr>
            <w:r>
              <w:rPr>
                <w:rFonts w:hint="eastAsia"/>
                <w:sz w:val="24"/>
                <w:szCs w:val="22"/>
                <w:lang w:val="en-US" w:eastAsia="zh-CN"/>
              </w:rPr>
              <w:t>评审项目</w:t>
            </w:r>
          </w:p>
        </w:tc>
        <w:tc>
          <w:tcPr>
            <w:tcW w:w="1432" w:type="dxa"/>
            <w:tcBorders>
              <w:top w:val="single" w:color="auto" w:sz="12" w:space="0"/>
            </w:tcBorders>
            <w:vAlign w:val="center"/>
          </w:tcPr>
          <w:p>
            <w:pPr>
              <w:pStyle w:val="19"/>
              <w:spacing w:line="360" w:lineRule="auto"/>
              <w:ind w:left="0" w:leftChars="0" w:firstLine="0" w:firstLineChars="0"/>
              <w:jc w:val="both"/>
              <w:rPr>
                <w:rFonts w:hint="eastAsia"/>
                <w:sz w:val="24"/>
                <w:szCs w:val="22"/>
                <w:lang w:val="en-US" w:eastAsia="zh-CN"/>
              </w:rPr>
            </w:pPr>
            <w:r>
              <w:rPr>
                <w:rFonts w:hint="eastAsia"/>
                <w:sz w:val="24"/>
                <w:szCs w:val="22"/>
                <w:lang w:val="en-US" w:eastAsia="zh-CN"/>
              </w:rPr>
              <w:t>评审结果</w:t>
            </w:r>
          </w:p>
        </w:tc>
        <w:tc>
          <w:tcPr>
            <w:tcW w:w="1098" w:type="dxa"/>
            <w:tcBorders>
              <w:top w:val="single" w:color="auto" w:sz="12" w:space="0"/>
            </w:tcBorders>
            <w:vAlign w:val="center"/>
          </w:tcPr>
          <w:p>
            <w:pPr>
              <w:pStyle w:val="19"/>
              <w:spacing w:line="360" w:lineRule="auto"/>
              <w:ind w:left="0" w:leftChars="0" w:firstLine="0" w:firstLineChars="0"/>
              <w:jc w:val="both"/>
              <w:rPr>
                <w:rFonts w:hint="eastAsia"/>
                <w:sz w:val="24"/>
                <w:szCs w:val="22"/>
                <w:lang w:val="en-US" w:eastAsia="zh-CN"/>
              </w:rPr>
            </w:pPr>
            <w:r>
              <w:rPr>
                <w:rFonts w:hint="eastAsia"/>
                <w:sz w:val="24"/>
                <w:szCs w:val="22"/>
                <w:lang w:val="en-US" w:eastAsia="zh-CN"/>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pStyle w:val="19"/>
              <w:spacing w:line="360" w:lineRule="auto"/>
              <w:ind w:left="0" w:leftChars="0" w:firstLine="0" w:firstLineChars="0"/>
              <w:jc w:val="center"/>
              <w:rPr>
                <w:rFonts w:hint="eastAsia"/>
                <w:sz w:val="24"/>
                <w:szCs w:val="22"/>
                <w:lang w:val="en-US" w:eastAsia="zh-CN"/>
              </w:rPr>
            </w:pPr>
            <w:r>
              <w:rPr>
                <w:rFonts w:hint="eastAsia"/>
                <w:sz w:val="24"/>
                <w:szCs w:val="22"/>
                <w:lang w:val="en-US" w:eastAsia="zh-CN"/>
              </w:rPr>
              <w:t>1</w:t>
            </w:r>
          </w:p>
        </w:tc>
        <w:tc>
          <w:tcPr>
            <w:tcW w:w="5798" w:type="dxa"/>
            <w:vAlign w:val="center"/>
          </w:tcPr>
          <w:p>
            <w:pPr>
              <w:pStyle w:val="19"/>
              <w:spacing w:line="360" w:lineRule="auto"/>
              <w:ind w:left="0" w:leftChars="0" w:firstLine="420" w:firstLineChars="175"/>
              <w:jc w:val="center"/>
              <w:rPr>
                <w:rFonts w:hint="eastAsia"/>
                <w:sz w:val="24"/>
                <w:szCs w:val="22"/>
                <w:lang w:val="en-US" w:eastAsia="zh-CN"/>
              </w:rPr>
            </w:pPr>
            <w:r>
              <w:rPr>
                <w:rFonts w:hint="eastAsia"/>
                <w:sz w:val="24"/>
                <w:szCs w:val="22"/>
                <w:lang w:val="en-US" w:eastAsia="zh-CN"/>
              </w:rPr>
              <w:t>响应文件按规定签署和盖章。</w:t>
            </w:r>
          </w:p>
        </w:tc>
        <w:tc>
          <w:tcPr>
            <w:tcW w:w="1432" w:type="dxa"/>
          </w:tcPr>
          <w:p>
            <w:pPr>
              <w:pStyle w:val="19"/>
              <w:spacing w:line="360" w:lineRule="auto"/>
              <w:ind w:left="0" w:leftChars="0" w:firstLine="420" w:firstLineChars="175"/>
              <w:jc w:val="center"/>
              <w:rPr>
                <w:rFonts w:hint="eastAsia"/>
                <w:sz w:val="24"/>
                <w:szCs w:val="22"/>
                <w:lang w:val="en-US" w:eastAsia="zh-CN"/>
              </w:rPr>
            </w:pPr>
          </w:p>
        </w:tc>
        <w:tc>
          <w:tcPr>
            <w:tcW w:w="1098" w:type="dxa"/>
            <w:vMerge w:val="restart"/>
            <w:vAlign w:val="center"/>
          </w:tcPr>
          <w:p>
            <w:pPr>
              <w:pStyle w:val="19"/>
              <w:spacing w:line="360" w:lineRule="auto"/>
              <w:ind w:left="0" w:leftChars="0" w:firstLine="420" w:firstLineChars="175"/>
              <w:jc w:val="center"/>
              <w:rPr>
                <w:rFonts w:hint="eastAsia"/>
                <w:sz w:val="24"/>
                <w:szCs w:val="22"/>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pStyle w:val="19"/>
              <w:spacing w:line="360" w:lineRule="auto"/>
              <w:ind w:left="0" w:leftChars="0" w:firstLine="0" w:firstLineChars="0"/>
              <w:jc w:val="center"/>
              <w:rPr>
                <w:rFonts w:hint="eastAsia"/>
                <w:sz w:val="24"/>
                <w:szCs w:val="22"/>
                <w:lang w:val="en-US" w:eastAsia="zh-CN"/>
              </w:rPr>
            </w:pPr>
            <w:r>
              <w:rPr>
                <w:rFonts w:hint="eastAsia"/>
                <w:sz w:val="24"/>
                <w:szCs w:val="22"/>
                <w:lang w:val="en-US" w:eastAsia="zh-CN"/>
              </w:rPr>
              <w:t>2</w:t>
            </w:r>
          </w:p>
        </w:tc>
        <w:tc>
          <w:tcPr>
            <w:tcW w:w="5798" w:type="dxa"/>
            <w:vAlign w:val="center"/>
          </w:tcPr>
          <w:p>
            <w:pPr>
              <w:pStyle w:val="19"/>
              <w:spacing w:line="360" w:lineRule="auto"/>
              <w:ind w:left="0" w:leftChars="0" w:firstLine="420" w:firstLineChars="175"/>
              <w:jc w:val="center"/>
              <w:rPr>
                <w:rFonts w:hint="eastAsia"/>
                <w:sz w:val="24"/>
                <w:szCs w:val="22"/>
                <w:lang w:val="en-US" w:eastAsia="zh-CN"/>
              </w:rPr>
            </w:pPr>
            <w:r>
              <w:rPr>
                <w:rFonts w:hint="eastAsia"/>
                <w:sz w:val="24"/>
                <w:szCs w:val="22"/>
                <w:lang w:val="en-US" w:eastAsia="zh-CN"/>
              </w:rPr>
              <w:t>响应报价未超过采购控制价或分项采购控制价的。</w:t>
            </w:r>
          </w:p>
        </w:tc>
        <w:tc>
          <w:tcPr>
            <w:tcW w:w="1432" w:type="dxa"/>
          </w:tcPr>
          <w:p>
            <w:pPr>
              <w:pStyle w:val="19"/>
              <w:spacing w:line="360" w:lineRule="auto"/>
              <w:ind w:left="0" w:leftChars="0" w:firstLine="420" w:firstLineChars="175"/>
              <w:jc w:val="center"/>
              <w:rPr>
                <w:rFonts w:hint="eastAsia"/>
                <w:sz w:val="24"/>
                <w:szCs w:val="22"/>
                <w:lang w:val="en-US" w:eastAsia="zh-CN"/>
              </w:rPr>
            </w:pPr>
          </w:p>
        </w:tc>
        <w:tc>
          <w:tcPr>
            <w:tcW w:w="1098" w:type="dxa"/>
            <w:vMerge w:val="continue"/>
            <w:vAlign w:val="center"/>
          </w:tcPr>
          <w:p>
            <w:pPr>
              <w:pStyle w:val="19"/>
              <w:spacing w:line="360" w:lineRule="auto"/>
              <w:ind w:left="0" w:leftChars="0" w:firstLine="420" w:firstLineChars="175"/>
              <w:jc w:val="center"/>
              <w:rPr>
                <w:rFonts w:hint="eastAsia"/>
                <w:sz w:val="24"/>
                <w:szCs w:val="22"/>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pStyle w:val="19"/>
              <w:spacing w:line="360" w:lineRule="auto"/>
              <w:ind w:left="0" w:leftChars="0" w:firstLine="0" w:firstLineChars="0"/>
              <w:jc w:val="center"/>
              <w:rPr>
                <w:rFonts w:hint="eastAsia"/>
                <w:sz w:val="24"/>
                <w:szCs w:val="22"/>
                <w:lang w:val="en-US" w:eastAsia="zh-CN"/>
              </w:rPr>
            </w:pPr>
            <w:r>
              <w:rPr>
                <w:rFonts w:hint="eastAsia"/>
                <w:sz w:val="24"/>
                <w:szCs w:val="22"/>
                <w:lang w:val="en-US" w:eastAsia="zh-CN"/>
              </w:rPr>
              <w:t>3</w:t>
            </w:r>
          </w:p>
        </w:tc>
        <w:tc>
          <w:tcPr>
            <w:tcW w:w="5798" w:type="dxa"/>
            <w:vAlign w:val="center"/>
          </w:tcPr>
          <w:p>
            <w:pPr>
              <w:pStyle w:val="19"/>
              <w:spacing w:line="360" w:lineRule="auto"/>
              <w:ind w:left="0" w:leftChars="0" w:firstLine="420" w:firstLineChars="175"/>
              <w:jc w:val="center"/>
              <w:rPr>
                <w:rFonts w:hint="eastAsia"/>
                <w:sz w:val="24"/>
                <w:szCs w:val="22"/>
                <w:lang w:val="en-US" w:eastAsia="zh-CN"/>
              </w:rPr>
            </w:pPr>
            <w:r>
              <w:rPr>
                <w:rFonts w:hint="eastAsia"/>
                <w:sz w:val="24"/>
                <w:szCs w:val="22"/>
                <w:lang w:val="en-US" w:eastAsia="zh-CN"/>
              </w:rPr>
              <w:t>满足采购文件工期要求。</w:t>
            </w:r>
          </w:p>
        </w:tc>
        <w:tc>
          <w:tcPr>
            <w:tcW w:w="1432" w:type="dxa"/>
          </w:tcPr>
          <w:p>
            <w:pPr>
              <w:pStyle w:val="19"/>
              <w:spacing w:line="360" w:lineRule="auto"/>
              <w:ind w:left="0" w:leftChars="0" w:firstLine="420" w:firstLineChars="175"/>
              <w:jc w:val="center"/>
              <w:rPr>
                <w:rFonts w:hint="eastAsia"/>
                <w:sz w:val="24"/>
                <w:szCs w:val="22"/>
                <w:lang w:val="en-US" w:eastAsia="zh-CN"/>
              </w:rPr>
            </w:pPr>
          </w:p>
        </w:tc>
        <w:tc>
          <w:tcPr>
            <w:tcW w:w="1098" w:type="dxa"/>
            <w:vMerge w:val="continue"/>
            <w:vAlign w:val="center"/>
          </w:tcPr>
          <w:p>
            <w:pPr>
              <w:pStyle w:val="19"/>
              <w:spacing w:line="360" w:lineRule="auto"/>
              <w:ind w:left="0" w:leftChars="0" w:firstLine="420" w:firstLineChars="175"/>
              <w:jc w:val="center"/>
              <w:rPr>
                <w:rFonts w:hint="eastAsia"/>
                <w:sz w:val="24"/>
                <w:szCs w:val="22"/>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pStyle w:val="19"/>
              <w:spacing w:line="360" w:lineRule="auto"/>
              <w:ind w:left="0" w:leftChars="0" w:firstLine="0" w:firstLineChars="0"/>
              <w:jc w:val="center"/>
              <w:rPr>
                <w:rFonts w:hint="eastAsia"/>
                <w:sz w:val="24"/>
                <w:szCs w:val="22"/>
                <w:lang w:val="en-US" w:eastAsia="zh-CN"/>
              </w:rPr>
            </w:pPr>
            <w:r>
              <w:rPr>
                <w:rFonts w:hint="eastAsia"/>
                <w:sz w:val="24"/>
                <w:szCs w:val="22"/>
                <w:lang w:val="en-US" w:eastAsia="zh-CN"/>
              </w:rPr>
              <w:t>4</w:t>
            </w:r>
          </w:p>
        </w:tc>
        <w:tc>
          <w:tcPr>
            <w:tcW w:w="5798" w:type="dxa"/>
            <w:vAlign w:val="center"/>
          </w:tcPr>
          <w:p>
            <w:pPr>
              <w:pStyle w:val="19"/>
              <w:spacing w:line="360" w:lineRule="auto"/>
              <w:ind w:left="0" w:leftChars="0" w:firstLine="420" w:firstLineChars="175"/>
              <w:jc w:val="center"/>
              <w:rPr>
                <w:rFonts w:hint="eastAsia"/>
                <w:sz w:val="24"/>
                <w:szCs w:val="22"/>
                <w:lang w:val="en-US" w:eastAsia="zh-CN"/>
              </w:rPr>
            </w:pPr>
            <w:r>
              <w:rPr>
                <w:rFonts w:hint="eastAsia"/>
                <w:sz w:val="24"/>
                <w:szCs w:val="22"/>
                <w:lang w:val="en-US" w:eastAsia="zh-CN"/>
              </w:rPr>
              <w:t>响应报价清单无缺、漏项。</w:t>
            </w:r>
          </w:p>
        </w:tc>
        <w:tc>
          <w:tcPr>
            <w:tcW w:w="1432" w:type="dxa"/>
          </w:tcPr>
          <w:p>
            <w:pPr>
              <w:pStyle w:val="19"/>
              <w:spacing w:line="360" w:lineRule="auto"/>
              <w:ind w:left="0" w:leftChars="0" w:firstLine="420" w:firstLineChars="175"/>
              <w:jc w:val="center"/>
              <w:rPr>
                <w:rFonts w:hint="eastAsia"/>
                <w:sz w:val="24"/>
                <w:szCs w:val="22"/>
                <w:lang w:val="en-US" w:eastAsia="zh-CN"/>
              </w:rPr>
            </w:pPr>
          </w:p>
        </w:tc>
        <w:tc>
          <w:tcPr>
            <w:tcW w:w="1098" w:type="dxa"/>
            <w:vMerge w:val="continue"/>
            <w:vAlign w:val="center"/>
          </w:tcPr>
          <w:p>
            <w:pPr>
              <w:pStyle w:val="19"/>
              <w:spacing w:line="360" w:lineRule="auto"/>
              <w:ind w:left="0" w:leftChars="0" w:firstLine="420" w:firstLineChars="175"/>
              <w:jc w:val="center"/>
              <w:rPr>
                <w:rFonts w:hint="eastAsia"/>
                <w:sz w:val="24"/>
                <w:szCs w:val="22"/>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pStyle w:val="19"/>
              <w:spacing w:line="360" w:lineRule="auto"/>
              <w:ind w:left="0" w:leftChars="0" w:firstLine="0" w:firstLineChars="0"/>
              <w:jc w:val="center"/>
              <w:rPr>
                <w:rFonts w:hint="default"/>
                <w:sz w:val="24"/>
                <w:szCs w:val="22"/>
                <w:lang w:val="en-US" w:eastAsia="zh-CN"/>
              </w:rPr>
            </w:pPr>
            <w:r>
              <w:rPr>
                <w:rFonts w:hint="eastAsia"/>
                <w:sz w:val="24"/>
                <w:szCs w:val="22"/>
                <w:lang w:val="en-US" w:eastAsia="zh-CN"/>
              </w:rPr>
              <w:t>5</w:t>
            </w:r>
          </w:p>
        </w:tc>
        <w:tc>
          <w:tcPr>
            <w:tcW w:w="5798" w:type="dxa"/>
            <w:vAlign w:val="center"/>
          </w:tcPr>
          <w:p>
            <w:pPr>
              <w:pStyle w:val="19"/>
              <w:spacing w:line="360" w:lineRule="auto"/>
              <w:ind w:left="0" w:leftChars="0" w:firstLine="420" w:firstLineChars="175"/>
              <w:jc w:val="center"/>
              <w:rPr>
                <w:rFonts w:hint="eastAsia"/>
                <w:sz w:val="24"/>
                <w:szCs w:val="22"/>
                <w:lang w:val="en-US" w:eastAsia="zh-CN"/>
              </w:rPr>
            </w:pPr>
            <w:r>
              <w:rPr>
                <w:rFonts w:hint="eastAsia"/>
                <w:sz w:val="24"/>
                <w:szCs w:val="22"/>
                <w:lang w:val="en-US" w:eastAsia="zh-CN"/>
              </w:rPr>
              <w:t>技术要求响应表部分无偏离的。</w:t>
            </w:r>
          </w:p>
        </w:tc>
        <w:tc>
          <w:tcPr>
            <w:tcW w:w="1432" w:type="dxa"/>
          </w:tcPr>
          <w:p>
            <w:pPr>
              <w:pStyle w:val="19"/>
              <w:spacing w:line="360" w:lineRule="auto"/>
              <w:ind w:left="0" w:leftChars="0" w:firstLine="420" w:firstLineChars="175"/>
              <w:jc w:val="center"/>
              <w:rPr>
                <w:rFonts w:hint="eastAsia"/>
                <w:sz w:val="24"/>
                <w:szCs w:val="22"/>
                <w:lang w:val="en-US" w:eastAsia="zh-CN"/>
              </w:rPr>
            </w:pPr>
          </w:p>
        </w:tc>
        <w:tc>
          <w:tcPr>
            <w:tcW w:w="1098" w:type="dxa"/>
            <w:vMerge w:val="continue"/>
            <w:vAlign w:val="center"/>
          </w:tcPr>
          <w:p>
            <w:pPr>
              <w:pStyle w:val="19"/>
              <w:spacing w:line="360" w:lineRule="auto"/>
              <w:ind w:left="0" w:leftChars="0" w:firstLine="420" w:firstLineChars="175"/>
              <w:jc w:val="center"/>
              <w:rPr>
                <w:rFonts w:hint="eastAsia"/>
                <w:sz w:val="24"/>
                <w:szCs w:val="22"/>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pStyle w:val="19"/>
              <w:spacing w:line="360" w:lineRule="auto"/>
              <w:ind w:left="0" w:leftChars="0" w:firstLine="0" w:firstLineChars="0"/>
              <w:jc w:val="center"/>
              <w:rPr>
                <w:rFonts w:hint="default"/>
                <w:sz w:val="24"/>
                <w:szCs w:val="22"/>
                <w:lang w:val="en-US" w:eastAsia="zh-CN"/>
              </w:rPr>
            </w:pPr>
            <w:r>
              <w:rPr>
                <w:rFonts w:hint="eastAsia"/>
                <w:sz w:val="24"/>
                <w:szCs w:val="22"/>
                <w:lang w:val="en-US" w:eastAsia="zh-CN"/>
              </w:rPr>
              <w:t>6</w:t>
            </w:r>
          </w:p>
        </w:tc>
        <w:tc>
          <w:tcPr>
            <w:tcW w:w="5798" w:type="dxa"/>
            <w:vAlign w:val="center"/>
          </w:tcPr>
          <w:p>
            <w:pPr>
              <w:pStyle w:val="19"/>
              <w:spacing w:line="360" w:lineRule="auto"/>
              <w:ind w:left="0" w:leftChars="0" w:firstLine="420" w:firstLineChars="175"/>
              <w:jc w:val="center"/>
              <w:rPr>
                <w:rFonts w:hint="default"/>
                <w:sz w:val="24"/>
                <w:szCs w:val="22"/>
                <w:lang w:val="en-US" w:eastAsia="zh-CN"/>
              </w:rPr>
            </w:pPr>
            <w:r>
              <w:rPr>
                <w:rFonts w:hint="eastAsia"/>
                <w:sz w:val="24"/>
                <w:szCs w:val="22"/>
                <w:lang w:val="en-US" w:eastAsia="zh-CN"/>
              </w:rPr>
              <w:t>类似业绩满足采购文件要求。</w:t>
            </w:r>
          </w:p>
        </w:tc>
        <w:tc>
          <w:tcPr>
            <w:tcW w:w="1432" w:type="dxa"/>
          </w:tcPr>
          <w:p>
            <w:pPr>
              <w:pStyle w:val="19"/>
              <w:spacing w:line="360" w:lineRule="auto"/>
              <w:ind w:left="0" w:leftChars="0" w:firstLine="420" w:firstLineChars="175"/>
              <w:jc w:val="center"/>
              <w:rPr>
                <w:rFonts w:hint="eastAsia"/>
                <w:sz w:val="24"/>
                <w:szCs w:val="22"/>
                <w:lang w:val="en-US" w:eastAsia="zh-CN"/>
              </w:rPr>
            </w:pPr>
          </w:p>
        </w:tc>
        <w:tc>
          <w:tcPr>
            <w:tcW w:w="1098" w:type="dxa"/>
            <w:vMerge w:val="continue"/>
            <w:vAlign w:val="center"/>
          </w:tcPr>
          <w:p>
            <w:pPr>
              <w:pStyle w:val="19"/>
              <w:spacing w:line="360" w:lineRule="auto"/>
              <w:ind w:left="0" w:leftChars="0" w:firstLine="420" w:firstLineChars="175"/>
              <w:jc w:val="center"/>
              <w:rPr>
                <w:rFonts w:hint="eastAsia"/>
                <w:sz w:val="24"/>
                <w:szCs w:val="22"/>
                <w:lang w:val="en-US" w:eastAsia="zh-CN"/>
              </w:rPr>
            </w:pPr>
          </w:p>
        </w:tc>
      </w:tr>
    </w:tbl>
    <w:p>
      <w:pPr>
        <w:pStyle w:val="19"/>
        <w:spacing w:line="360" w:lineRule="auto"/>
        <w:ind w:left="0" w:leftChars="0" w:firstLine="420" w:firstLineChars="175"/>
        <w:jc w:val="center"/>
        <w:rPr>
          <w:rFonts w:hint="eastAsia"/>
          <w:sz w:val="24"/>
          <w:szCs w:val="22"/>
          <w:lang w:val="en-US" w:eastAsia="zh-CN"/>
        </w:rPr>
      </w:pPr>
    </w:p>
    <w:p>
      <w:pPr>
        <w:pStyle w:val="19"/>
        <w:spacing w:line="360" w:lineRule="auto"/>
        <w:ind w:left="0" w:leftChars="0" w:firstLine="420" w:firstLineChars="175"/>
        <w:rPr>
          <w:rFonts w:hint="eastAsia"/>
          <w:sz w:val="24"/>
          <w:szCs w:val="22"/>
          <w:lang w:val="en-US" w:eastAsia="zh-CN"/>
        </w:rPr>
      </w:pPr>
      <w:r>
        <w:rPr>
          <w:rFonts w:hint="eastAsia"/>
          <w:sz w:val="24"/>
          <w:szCs w:val="22"/>
          <w:lang w:val="en-US" w:eastAsia="zh-CN"/>
        </w:rPr>
        <w:t>注：1.评审结果填写合格打√，不合格打×，凡评审结果有一项不合格者，结论为不通过。本表内容由经济评审组评审使用。</w:t>
      </w:r>
    </w:p>
    <w:p>
      <w:pPr>
        <w:pStyle w:val="19"/>
        <w:spacing w:line="360" w:lineRule="auto"/>
        <w:ind w:left="0" w:leftChars="0" w:firstLine="420" w:firstLineChars="175"/>
        <w:rPr>
          <w:rFonts w:hint="eastAsia"/>
          <w:sz w:val="24"/>
          <w:szCs w:val="22"/>
          <w:lang w:val="en-US" w:eastAsia="zh-CN"/>
        </w:rPr>
      </w:pPr>
      <w:r>
        <w:rPr>
          <w:rFonts w:hint="eastAsia"/>
          <w:sz w:val="24"/>
          <w:szCs w:val="22"/>
          <w:lang w:val="en-US" w:eastAsia="zh-CN"/>
        </w:rPr>
        <w:t>2.“缺、漏项”是指响应人未按照采购人提供的清单项进行报价，响应人的报价清单中缺少某项清单或报价</w:t>
      </w:r>
    </w:p>
    <w:p>
      <w:pPr>
        <w:rPr>
          <w:rFonts w:hint="eastAsia"/>
          <w:sz w:val="24"/>
          <w:szCs w:val="22"/>
          <w:lang w:val="en-US" w:eastAsia="zh-CN"/>
        </w:rPr>
      </w:pPr>
      <w:r>
        <w:rPr>
          <w:rFonts w:hint="eastAsia"/>
          <w:sz w:val="24"/>
          <w:szCs w:val="22"/>
          <w:lang w:val="en-US" w:eastAsia="zh-CN"/>
        </w:rPr>
        <w:br w:type="page"/>
      </w:r>
    </w:p>
    <w:p>
      <w:pPr>
        <w:pStyle w:val="19"/>
        <w:spacing w:line="360" w:lineRule="auto"/>
        <w:ind w:left="0" w:leftChars="0" w:firstLine="420" w:firstLineChars="175"/>
        <w:rPr>
          <w:rFonts w:hint="eastAsia"/>
          <w:sz w:val="24"/>
          <w:szCs w:val="22"/>
          <w:lang w:val="en-US" w:eastAsia="zh-CN"/>
        </w:rPr>
      </w:pPr>
    </w:p>
    <w:p>
      <w:pPr>
        <w:pStyle w:val="19"/>
        <w:spacing w:line="360" w:lineRule="auto"/>
        <w:ind w:left="0" w:leftChars="0" w:firstLine="422" w:firstLineChars="175"/>
        <w:rPr>
          <w:rFonts w:hint="eastAsia"/>
          <w:b/>
          <w:bCs/>
          <w:sz w:val="24"/>
          <w:szCs w:val="22"/>
          <w:lang w:val="en-US" w:eastAsia="zh-CN"/>
        </w:rPr>
      </w:pPr>
      <w:r>
        <w:rPr>
          <w:rFonts w:hint="eastAsia"/>
          <w:b/>
          <w:bCs/>
          <w:sz w:val="24"/>
          <w:szCs w:val="22"/>
          <w:lang w:val="en-US" w:eastAsia="zh-CN"/>
        </w:rPr>
        <w:t>响应价格评审表</w:t>
      </w:r>
    </w:p>
    <w:p>
      <w:pPr>
        <w:pStyle w:val="19"/>
        <w:spacing w:line="360" w:lineRule="auto"/>
        <w:ind w:left="0" w:leftChars="0" w:firstLine="420" w:firstLineChars="175"/>
        <w:rPr>
          <w:rFonts w:hint="eastAsia"/>
          <w:sz w:val="24"/>
          <w:szCs w:val="22"/>
          <w:lang w:val="en-US" w:eastAsia="zh-CN"/>
        </w:rPr>
      </w:pPr>
    </w:p>
    <w:tbl>
      <w:tblPr>
        <w:tblStyle w:val="14"/>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r>
              <w:rPr>
                <w:rFonts w:hint="eastAsia"/>
                <w:sz w:val="24"/>
                <w:szCs w:val="22"/>
                <w:lang w:val="en-US" w:eastAsia="zh-CN"/>
              </w:rPr>
              <w:t>序号</w:t>
            </w:r>
          </w:p>
        </w:tc>
        <w:tc>
          <w:tcPr>
            <w:tcW w:w="4536" w:type="dxa"/>
            <w:tcBorders>
              <w:left w:val="single" w:color="auto" w:sz="4" w:space="0"/>
              <w:bottom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r>
              <w:rPr>
                <w:rFonts w:hint="eastAsia"/>
                <w:sz w:val="24"/>
                <w:szCs w:val="22"/>
                <w:lang w:val="en-US" w:eastAsia="zh-CN"/>
              </w:rPr>
              <w:t>响应人名称</w:t>
            </w:r>
          </w:p>
        </w:tc>
        <w:tc>
          <w:tcPr>
            <w:tcW w:w="1843" w:type="dxa"/>
            <w:tcBorders>
              <w:top w:val="single" w:color="auto" w:sz="4" w:space="0"/>
              <w:left w:val="single" w:color="auto" w:sz="4" w:space="0"/>
              <w:bottom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r>
              <w:rPr>
                <w:rFonts w:hint="eastAsia"/>
                <w:sz w:val="24"/>
                <w:szCs w:val="22"/>
                <w:lang w:val="en-US" w:eastAsia="zh-CN"/>
              </w:rPr>
              <w:t>含税响应报价价（元）</w:t>
            </w:r>
          </w:p>
        </w:tc>
        <w:tc>
          <w:tcPr>
            <w:tcW w:w="2126" w:type="dxa"/>
            <w:tcBorders>
              <w:top w:val="single" w:color="auto" w:sz="4" w:space="0"/>
              <w:left w:val="single" w:color="auto" w:sz="4" w:space="0"/>
              <w:bottom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r>
              <w:rPr>
                <w:rFonts w:hint="eastAsia"/>
                <w:sz w:val="24"/>
                <w:szCs w:val="22"/>
                <w:lang w:val="en-US" w:eastAsia="zh-CN"/>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c>
          <w:tcPr>
            <w:tcW w:w="4536" w:type="dxa"/>
            <w:tcBorders>
              <w:left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c>
          <w:tcPr>
            <w:tcW w:w="1843" w:type="dxa"/>
            <w:tcBorders>
              <w:top w:val="single" w:color="auto" w:sz="4" w:space="0"/>
              <w:left w:val="single" w:color="auto" w:sz="4" w:space="0"/>
              <w:bottom w:val="single" w:color="auto" w:sz="4" w:space="0"/>
              <w:right w:val="single" w:color="auto" w:sz="4" w:space="0"/>
            </w:tcBorders>
          </w:tcPr>
          <w:p>
            <w:pPr>
              <w:pStyle w:val="19"/>
              <w:spacing w:line="360" w:lineRule="auto"/>
              <w:ind w:left="0" w:leftChars="0" w:firstLine="420" w:firstLineChars="175"/>
              <w:rPr>
                <w:rFonts w:hint="eastAsia"/>
                <w:sz w:val="24"/>
                <w:szCs w:val="22"/>
                <w:lang w:val="en-US" w:eastAsia="zh-CN"/>
              </w:rPr>
            </w:pPr>
          </w:p>
        </w:tc>
        <w:tc>
          <w:tcPr>
            <w:tcW w:w="2126" w:type="dxa"/>
            <w:tcBorders>
              <w:top w:val="single" w:color="auto" w:sz="4" w:space="0"/>
              <w:left w:val="single" w:color="auto" w:sz="4" w:space="0"/>
              <w:bottom w:val="single" w:color="auto" w:sz="4" w:space="0"/>
              <w:right w:val="single" w:color="auto" w:sz="4" w:space="0"/>
            </w:tcBorders>
          </w:tcPr>
          <w:p>
            <w:pPr>
              <w:pStyle w:val="19"/>
              <w:spacing w:line="360" w:lineRule="auto"/>
              <w:ind w:left="0" w:leftChars="0" w:firstLine="420" w:firstLineChars="175"/>
              <w:rPr>
                <w:rFonts w:hint="eastAsia"/>
                <w:sz w:val="24"/>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c>
          <w:tcPr>
            <w:tcW w:w="4536" w:type="dxa"/>
            <w:tcBorders>
              <w:left w:val="single" w:color="auto" w:sz="4" w:space="0"/>
              <w:bottom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c>
          <w:tcPr>
            <w:tcW w:w="4536" w:type="dxa"/>
            <w:tcBorders>
              <w:left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c>
          <w:tcPr>
            <w:tcW w:w="4536" w:type="dxa"/>
            <w:tcBorders>
              <w:left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c>
          <w:tcPr>
            <w:tcW w:w="4536" w:type="dxa"/>
            <w:tcBorders>
              <w:left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9"/>
              <w:spacing w:line="360" w:lineRule="auto"/>
              <w:ind w:left="0" w:leftChars="0" w:firstLine="420" w:firstLineChars="175"/>
              <w:rPr>
                <w:rFonts w:hint="eastAsia"/>
                <w:sz w:val="24"/>
                <w:szCs w:val="22"/>
                <w:lang w:val="en-US" w:eastAsia="zh-CN"/>
              </w:rPr>
            </w:pPr>
          </w:p>
        </w:tc>
      </w:tr>
    </w:tbl>
    <w:p>
      <w:pPr>
        <w:pStyle w:val="19"/>
        <w:spacing w:line="360" w:lineRule="auto"/>
        <w:ind w:left="0" w:leftChars="0" w:firstLine="420" w:firstLineChars="175"/>
        <w:rPr>
          <w:rFonts w:hint="eastAsia"/>
          <w:sz w:val="24"/>
          <w:szCs w:val="22"/>
          <w:lang w:val="en-US" w:eastAsia="zh-CN"/>
        </w:rPr>
      </w:pPr>
    </w:p>
    <w:p>
      <w:pPr>
        <w:pStyle w:val="19"/>
        <w:spacing w:line="360" w:lineRule="auto"/>
        <w:ind w:left="0" w:leftChars="0" w:firstLine="420" w:firstLineChars="175"/>
        <w:rPr>
          <w:rFonts w:hint="default"/>
          <w:sz w:val="24"/>
          <w:szCs w:val="22"/>
          <w:lang w:val="en-US" w:eastAsia="zh-CN"/>
        </w:rPr>
      </w:pPr>
      <w:r>
        <w:rPr>
          <w:rFonts w:hint="eastAsia"/>
          <w:sz w:val="24"/>
          <w:szCs w:val="22"/>
          <w:lang w:val="en-US" w:eastAsia="zh-CN"/>
        </w:rPr>
        <w:t>注：评审委员会将依照本采购文件相关规定对质量和服务均能满足实质性响应要求的响应人所提交的报价，按照由低到高的顺序提出1-3名中标候选人，采用最低价法评审出最终成交供应商。并编写评审报告。</w:t>
      </w:r>
    </w:p>
    <w:p>
      <w:pPr>
        <w:pStyle w:val="19"/>
        <w:spacing w:line="360" w:lineRule="auto"/>
        <w:ind w:left="0" w:leftChars="0" w:firstLine="422" w:firstLineChars="175"/>
        <w:rPr>
          <w:rFonts w:hint="eastAsia"/>
          <w:b/>
          <w:bCs/>
          <w:sz w:val="24"/>
          <w:szCs w:val="22"/>
          <w:lang w:val="en-US" w:eastAsia="zh-CN"/>
        </w:rPr>
      </w:pPr>
      <w:bookmarkStart w:id="54" w:name="_Toc22407"/>
      <w:bookmarkStart w:id="55" w:name="_Toc32680"/>
    </w:p>
    <w:p>
      <w:pPr>
        <w:pStyle w:val="19"/>
        <w:spacing w:line="360" w:lineRule="auto"/>
        <w:ind w:left="0" w:leftChars="0" w:firstLine="422" w:firstLineChars="175"/>
        <w:rPr>
          <w:rFonts w:hint="eastAsia"/>
          <w:b/>
          <w:bCs/>
          <w:sz w:val="24"/>
          <w:szCs w:val="22"/>
          <w:lang w:val="en-US" w:eastAsia="zh-CN"/>
        </w:rPr>
      </w:pPr>
    </w:p>
    <w:p>
      <w:pPr>
        <w:rPr>
          <w:rFonts w:hint="eastAsia"/>
          <w:b/>
          <w:bCs/>
          <w:sz w:val="24"/>
          <w:szCs w:val="22"/>
          <w:lang w:val="en-US" w:eastAsia="zh-CN"/>
        </w:rPr>
      </w:pPr>
      <w:r>
        <w:rPr>
          <w:rFonts w:hint="eastAsia"/>
          <w:b/>
          <w:bCs/>
          <w:sz w:val="24"/>
          <w:szCs w:val="22"/>
          <w:lang w:val="en-US" w:eastAsia="zh-CN"/>
        </w:rPr>
        <w:br w:type="page"/>
      </w:r>
    </w:p>
    <w:p>
      <w:pPr>
        <w:pStyle w:val="20"/>
        <w:spacing w:line="460" w:lineRule="exact"/>
        <w:ind w:firstLine="602" w:firstLineChars="200"/>
        <w:jc w:val="center"/>
        <w:outlineLvl w:val="0"/>
        <w:rPr>
          <w:rFonts w:hint="default" w:ascii="宋体" w:hAnsi="宋体" w:eastAsia="宋体" w:cs="宋体"/>
          <w:b/>
          <w:color w:val="000000"/>
          <w:kern w:val="0"/>
          <w:sz w:val="30"/>
          <w:szCs w:val="30"/>
          <w:lang w:val="en-US" w:eastAsia="zh-CN" w:bidi="ar-SA"/>
        </w:rPr>
      </w:pPr>
      <w:bookmarkStart w:id="56" w:name="_Toc32004"/>
      <w:r>
        <w:rPr>
          <w:rFonts w:hint="eastAsia" w:ascii="宋体" w:hAnsi="宋体" w:cs="宋体"/>
          <w:b/>
          <w:color w:val="000000"/>
          <w:kern w:val="0"/>
          <w:sz w:val="30"/>
          <w:szCs w:val="30"/>
          <w:lang w:val="en-US" w:eastAsia="zh-CN" w:bidi="ar-SA"/>
        </w:rPr>
        <w:t xml:space="preserve">第九章 </w:t>
      </w:r>
      <w:r>
        <w:rPr>
          <w:rFonts w:hint="eastAsia" w:ascii="宋体" w:hAnsi="宋体" w:eastAsia="宋体" w:cs="宋体"/>
          <w:b/>
          <w:color w:val="000000"/>
          <w:kern w:val="0"/>
          <w:sz w:val="30"/>
          <w:szCs w:val="30"/>
          <w:lang w:val="en-US" w:eastAsia="zh-CN" w:bidi="ar-SA"/>
        </w:rPr>
        <w:t>采购技术要求</w:t>
      </w:r>
      <w:bookmarkEnd w:id="54"/>
      <w:bookmarkEnd w:id="55"/>
      <w:bookmarkEnd w:id="56"/>
    </w:p>
    <w:p>
      <w:pPr>
        <w:pStyle w:val="19"/>
        <w:spacing w:line="360" w:lineRule="auto"/>
        <w:ind w:left="0" w:leftChars="0" w:firstLine="422" w:firstLineChars="175"/>
        <w:jc w:val="center"/>
        <w:rPr>
          <w:rFonts w:hint="eastAsia"/>
          <w:b/>
          <w:bCs/>
          <w:sz w:val="24"/>
          <w:szCs w:val="22"/>
          <w:lang w:val="en-US" w:eastAsia="zh-CN"/>
        </w:rPr>
      </w:pPr>
      <w:bookmarkStart w:id="57" w:name="_Toc16240"/>
    </w:p>
    <w:p>
      <w:pPr>
        <w:pStyle w:val="19"/>
        <w:spacing w:line="360" w:lineRule="auto"/>
        <w:ind w:left="0" w:leftChars="0" w:firstLine="422" w:firstLineChars="175"/>
        <w:jc w:val="center"/>
        <w:rPr>
          <w:rFonts w:hint="default"/>
          <w:b/>
          <w:bCs/>
          <w:sz w:val="24"/>
          <w:szCs w:val="22"/>
          <w:lang w:val="en-US" w:eastAsia="zh-CN"/>
        </w:rPr>
      </w:pPr>
      <w:r>
        <w:rPr>
          <w:rFonts w:hint="eastAsia"/>
          <w:b/>
          <w:bCs/>
          <w:sz w:val="24"/>
          <w:szCs w:val="22"/>
          <w:lang w:val="en-US" w:eastAsia="zh-CN"/>
        </w:rPr>
        <w:t>技术要求表</w:t>
      </w:r>
      <w:bookmarkEnd w:id="57"/>
    </w:p>
    <w:tbl>
      <w:tblPr>
        <w:tblStyle w:val="15"/>
        <w:tblW w:w="9044"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3490"/>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pStyle w:val="2"/>
              <w:ind w:left="0" w:leftChars="0" w:firstLine="0" w:firstLineChars="0"/>
              <w:jc w:val="center"/>
              <w:rPr>
                <w:rFonts w:eastAsiaTheme="minorEastAsia"/>
                <w:lang w:val="zh-CN"/>
              </w:rPr>
            </w:pPr>
            <w:bookmarkStart w:id="58" w:name="_Toc294519923"/>
            <w:bookmarkStart w:id="59" w:name="_Toc272250924"/>
            <w:bookmarkStart w:id="60" w:name="_Toc292794206"/>
            <w:r>
              <w:rPr>
                <w:rFonts w:hint="eastAsia" w:eastAsiaTheme="minorEastAsia"/>
                <w:lang w:val="zh-CN"/>
              </w:rPr>
              <w:t>序号</w:t>
            </w:r>
          </w:p>
        </w:tc>
        <w:tc>
          <w:tcPr>
            <w:tcW w:w="3490" w:type="dxa"/>
            <w:vAlign w:val="center"/>
          </w:tcPr>
          <w:p>
            <w:pPr>
              <w:pStyle w:val="2"/>
              <w:ind w:left="0" w:leftChars="0" w:firstLine="0" w:firstLineChars="0"/>
              <w:jc w:val="center"/>
              <w:rPr>
                <w:rFonts w:eastAsiaTheme="minorEastAsia"/>
                <w:lang w:val="zh-CN"/>
              </w:rPr>
            </w:pPr>
            <w:r>
              <w:rPr>
                <w:rFonts w:hint="eastAsia" w:eastAsiaTheme="minorEastAsia"/>
                <w:lang w:val="zh-CN"/>
              </w:rPr>
              <w:t>服务名称及内容</w:t>
            </w:r>
          </w:p>
        </w:tc>
        <w:tc>
          <w:tcPr>
            <w:tcW w:w="4678" w:type="dxa"/>
            <w:vAlign w:val="center"/>
          </w:tcPr>
          <w:p>
            <w:pPr>
              <w:pStyle w:val="2"/>
              <w:ind w:left="0" w:leftChars="0" w:firstLine="0" w:firstLineChars="0"/>
              <w:jc w:val="center"/>
              <w:rPr>
                <w:rFonts w:eastAsiaTheme="minorEastAsia"/>
                <w:lang w:val="zh-CN"/>
              </w:rPr>
            </w:pPr>
            <w:r>
              <w:rPr>
                <w:rFonts w:hint="eastAsia" w:eastAsiaTheme="minorEastAsia"/>
                <w:lang w:val="zh-CN"/>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pStyle w:val="2"/>
              <w:ind w:left="0" w:leftChars="0" w:firstLine="0" w:firstLineChars="0"/>
              <w:jc w:val="center"/>
              <w:rPr>
                <w:rFonts w:eastAsiaTheme="minorEastAsia"/>
                <w:lang w:val="zh-CN"/>
              </w:rPr>
            </w:pPr>
            <w:r>
              <w:rPr>
                <w:rFonts w:hint="eastAsia" w:eastAsiaTheme="minorEastAsia"/>
                <w:lang w:val="zh-CN"/>
              </w:rPr>
              <w:t>1</w:t>
            </w:r>
            <w:r>
              <w:rPr>
                <w:rFonts w:hint="eastAsia" w:ascii="宋体" w:hAnsi="宋体" w:cs="仿宋"/>
                <w:lang w:val="zh-CN"/>
              </w:rPr>
              <w:t>★</w:t>
            </w:r>
          </w:p>
        </w:tc>
        <w:tc>
          <w:tcPr>
            <w:tcW w:w="3490" w:type="dxa"/>
            <w:vAlign w:val="center"/>
          </w:tcPr>
          <w:p>
            <w:pPr>
              <w:pStyle w:val="2"/>
              <w:spacing w:line="440" w:lineRule="exact"/>
              <w:ind w:left="0" w:leftChars="0" w:firstLine="0" w:firstLineChars="0"/>
              <w:jc w:val="center"/>
              <w:rPr>
                <w:rFonts w:eastAsiaTheme="minorEastAsia"/>
                <w:lang w:val="zh-CN"/>
              </w:rPr>
            </w:pPr>
            <w:r>
              <w:rPr>
                <w:rFonts w:hint="eastAsia" w:eastAsiaTheme="minorEastAsia"/>
                <w:lang w:val="zh-CN"/>
              </w:rPr>
              <w:t>变压器基础、变压器安装与电缆敷设、系统调试等，确保通过南宁供电局验收</w:t>
            </w:r>
          </w:p>
        </w:tc>
        <w:tc>
          <w:tcPr>
            <w:tcW w:w="4678" w:type="dxa"/>
          </w:tcPr>
          <w:p>
            <w:pPr>
              <w:pStyle w:val="2"/>
              <w:ind w:left="0" w:leftChars="0" w:firstLine="0" w:firstLineChars="0"/>
              <w:rPr>
                <w:rFonts w:eastAsiaTheme="minorEastAsia"/>
                <w:lang w:val="zh-CN"/>
              </w:rPr>
            </w:pPr>
            <w:r>
              <w:rPr>
                <w:rFonts w:hint="eastAsia" w:ascii="宋体" w:hAnsi="宋体" w:eastAsia="宋体" w:cs="宋体"/>
              </w:rPr>
              <w:t>符合</w:t>
            </w:r>
            <w:r>
              <w:rPr>
                <w:rFonts w:cs="Calibri"/>
              </w:rPr>
              <w:t> </w:t>
            </w:r>
            <w:r>
              <w:rPr>
                <w:rFonts w:hint="eastAsia" w:ascii="宋体" w:hAnsi="宋体" w:eastAsia="宋体" w:cs="宋体"/>
              </w:rPr>
              <w:t>《供电方案协议》、《供配电系统设计规范》（</w:t>
            </w:r>
            <w:r>
              <w:rPr>
                <w:rFonts w:cs="Calibri"/>
              </w:rPr>
              <w:t>GB50052-2009</w:t>
            </w:r>
            <w:r>
              <w:rPr>
                <w:rFonts w:hint="eastAsia" w:ascii="宋体" w:hAnsi="宋体" w:eastAsia="宋体" w:cs="宋体"/>
              </w:rPr>
              <w:t>）、《</w:t>
            </w:r>
            <w:r>
              <w:rPr>
                <w:rFonts w:cs="Calibri"/>
              </w:rPr>
              <w:t>20KV</w:t>
            </w:r>
            <w:r>
              <w:rPr>
                <w:rFonts w:hint="eastAsia" w:ascii="宋体" w:hAnsi="宋体" w:eastAsia="宋体" w:cs="宋体"/>
              </w:rPr>
              <w:t>及以下变电所设计规范》（</w:t>
            </w:r>
            <w:r>
              <w:rPr>
                <w:rFonts w:cs="Calibri"/>
              </w:rPr>
              <w:t>GB50053-2013</w:t>
            </w:r>
            <w:r>
              <w:rPr>
                <w:rFonts w:hint="eastAsia" w:ascii="宋体" w:hAnsi="宋体" w:eastAsia="宋体" w:cs="宋体"/>
              </w:rPr>
              <w:t>）、《电力工程电缆设计规范》（</w:t>
            </w:r>
            <w:r>
              <w:rPr>
                <w:rFonts w:cs="Calibri"/>
              </w:rPr>
              <w:t>GB50017-2018</w:t>
            </w:r>
            <w:r>
              <w:rPr>
                <w:rFonts w:hint="eastAsia" w:ascii="宋体" w:hAnsi="宋体" w:eastAsia="宋体" w:cs="宋体"/>
              </w:rPr>
              <w:t>）、广西壮族自治区《居民供配电设施建设规范》（</w:t>
            </w:r>
            <w:r>
              <w:rPr>
                <w:rFonts w:cs="Calibri"/>
              </w:rPr>
              <w:t>DBJ/45-004-2012</w:t>
            </w:r>
            <w:r>
              <w:rPr>
                <w:rFonts w:hint="eastAsia" w:ascii="宋体" w:hAnsi="宋体" w:eastAsia="宋体" w:cs="宋体"/>
              </w:rPr>
              <w:t>）</w:t>
            </w:r>
            <w:r>
              <w:t>、</w:t>
            </w:r>
            <w:r>
              <w:rPr>
                <w:rFonts w:hint="eastAsia" w:ascii="宋体" w:hAnsi="宋体" w:eastAsia="宋体" w:cs="宋体"/>
              </w:rPr>
              <w:t>《南方电网公司</w:t>
            </w:r>
            <w:r>
              <w:rPr>
                <w:rFonts w:cs="Calibri"/>
              </w:rPr>
              <w:t>10KV</w:t>
            </w:r>
            <w:r>
              <w:rPr>
                <w:rFonts w:hint="eastAsia" w:ascii="宋体" w:hAnsi="宋体" w:eastAsia="宋体" w:cs="宋体"/>
              </w:rPr>
              <w:t>及以下业扩受电工程典型设计图集（</w:t>
            </w:r>
            <w:r>
              <w:rPr>
                <w:rFonts w:cs="Calibri"/>
              </w:rPr>
              <w:t>2018</w:t>
            </w:r>
            <w:r>
              <w:rPr>
                <w:rFonts w:hint="eastAsia" w:ascii="宋体" w:hAnsi="宋体" w:eastAsia="宋体" w:cs="宋体"/>
              </w:rPr>
              <w:t>版）》</w:t>
            </w:r>
            <w:r>
              <w:t>，确保顺利通过南宁供电局验收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pStyle w:val="2"/>
              <w:ind w:left="0" w:leftChars="0" w:firstLine="0" w:firstLineChars="0"/>
              <w:jc w:val="center"/>
              <w:rPr>
                <w:rFonts w:eastAsiaTheme="minorEastAsia"/>
                <w:lang w:val="zh-CN"/>
              </w:rPr>
            </w:pPr>
            <w:r>
              <w:rPr>
                <w:rFonts w:hint="eastAsia" w:eastAsiaTheme="minorEastAsia"/>
                <w:lang w:val="zh-CN"/>
              </w:rPr>
              <w:t>2</w:t>
            </w:r>
            <w:r>
              <w:rPr>
                <w:rFonts w:hint="eastAsia" w:ascii="宋体" w:hAnsi="宋体" w:cs="仿宋"/>
                <w:lang w:val="zh-CN"/>
              </w:rPr>
              <w:t>★</w:t>
            </w:r>
          </w:p>
        </w:tc>
        <w:tc>
          <w:tcPr>
            <w:tcW w:w="3490" w:type="dxa"/>
            <w:vAlign w:val="center"/>
          </w:tcPr>
          <w:p>
            <w:pPr>
              <w:pStyle w:val="2"/>
              <w:ind w:left="0" w:leftChars="0" w:firstLine="0" w:firstLineChars="0"/>
              <w:jc w:val="center"/>
              <w:rPr>
                <w:rFonts w:eastAsiaTheme="minorEastAsia"/>
                <w:lang w:val="zh-CN"/>
              </w:rPr>
            </w:pPr>
            <w:r>
              <w:rPr>
                <w:rFonts w:hint="eastAsia" w:eastAsiaTheme="minorEastAsia"/>
                <w:lang w:val="zh-CN"/>
              </w:rPr>
              <w:t>变压器接火通电要求</w:t>
            </w:r>
          </w:p>
        </w:tc>
        <w:tc>
          <w:tcPr>
            <w:tcW w:w="4678" w:type="dxa"/>
            <w:vAlign w:val="center"/>
          </w:tcPr>
          <w:p>
            <w:pPr>
              <w:pStyle w:val="2"/>
              <w:ind w:left="0" w:leftChars="0" w:firstLine="0" w:firstLineChars="0"/>
              <w:jc w:val="center"/>
              <w:rPr>
                <w:rFonts w:eastAsiaTheme="minorEastAsia"/>
                <w:lang w:val="zh-CN"/>
              </w:rPr>
            </w:pPr>
            <w:r>
              <w:rPr>
                <w:rFonts w:hint="eastAsia" w:ascii="宋体" w:hAnsi="宋体" w:cs="楷体"/>
                <w:lang w:val="zh-CN"/>
              </w:rPr>
              <w:t>在南宁市供电部门出具竣工验收工单后 5  日内，协调南宁市供电部门完成高压接火通电工作</w:t>
            </w:r>
          </w:p>
        </w:tc>
      </w:tr>
    </w:tbl>
    <w:p>
      <w:pPr>
        <w:pStyle w:val="19"/>
        <w:spacing w:line="360" w:lineRule="auto"/>
        <w:ind w:left="0" w:leftChars="0" w:firstLine="420" w:firstLineChars="175"/>
        <w:rPr>
          <w:rFonts w:hint="eastAsia"/>
          <w:sz w:val="24"/>
          <w:szCs w:val="22"/>
          <w:lang w:val="zh-CN" w:eastAsia="zh-CN"/>
        </w:rPr>
      </w:pPr>
    </w:p>
    <w:p>
      <w:pPr>
        <w:pStyle w:val="19"/>
        <w:spacing w:line="360" w:lineRule="auto"/>
        <w:ind w:left="0" w:leftChars="0" w:firstLine="422" w:firstLineChars="175"/>
        <w:rPr>
          <w:rFonts w:hint="eastAsia"/>
          <w:b/>
          <w:bCs/>
          <w:sz w:val="24"/>
          <w:szCs w:val="22"/>
          <w:lang w:val="zh-CN" w:eastAsia="zh-CN"/>
        </w:rPr>
      </w:pPr>
      <w:r>
        <w:rPr>
          <w:rFonts w:hint="eastAsia"/>
          <w:b/>
          <w:bCs/>
          <w:sz w:val="24"/>
          <w:szCs w:val="22"/>
          <w:lang w:val="zh-CN" w:eastAsia="zh-CN"/>
        </w:rPr>
        <w:t>注：本表请按如下要求进行标注：</w:t>
      </w:r>
    </w:p>
    <w:p>
      <w:pPr>
        <w:pStyle w:val="19"/>
        <w:spacing w:line="360" w:lineRule="auto"/>
        <w:ind w:left="0" w:leftChars="0" w:firstLine="422" w:firstLineChars="175"/>
        <w:rPr>
          <w:rFonts w:hint="default"/>
          <w:b/>
          <w:bCs/>
          <w:sz w:val="24"/>
          <w:szCs w:val="22"/>
          <w:lang w:val="en-US" w:eastAsia="zh-CN"/>
        </w:rPr>
      </w:pPr>
      <w:r>
        <w:rPr>
          <w:rFonts w:hint="eastAsia"/>
          <w:b/>
          <w:bCs/>
          <w:sz w:val="24"/>
          <w:szCs w:val="22"/>
          <w:lang w:val="zh-CN" w:eastAsia="zh-CN"/>
        </w:rPr>
        <w:t>带“★”条款为实质性条款，响应人必须按照</w:t>
      </w:r>
      <w:r>
        <w:rPr>
          <w:rFonts w:hint="eastAsia"/>
          <w:b/>
          <w:bCs/>
          <w:sz w:val="24"/>
          <w:szCs w:val="22"/>
          <w:lang w:val="en-US" w:eastAsia="zh-CN"/>
        </w:rPr>
        <w:t>比选</w:t>
      </w:r>
      <w:r>
        <w:rPr>
          <w:rFonts w:hint="eastAsia"/>
          <w:b/>
          <w:bCs/>
          <w:sz w:val="24"/>
          <w:szCs w:val="22"/>
          <w:lang w:val="zh-CN" w:eastAsia="zh-CN"/>
        </w:rPr>
        <w:t>文件的要求做出实质性响应，有一项不满足的即为无效</w:t>
      </w:r>
      <w:r>
        <w:rPr>
          <w:rFonts w:hint="eastAsia"/>
          <w:b/>
          <w:bCs/>
          <w:sz w:val="24"/>
          <w:szCs w:val="22"/>
          <w:lang w:val="en-US" w:eastAsia="zh-CN"/>
        </w:rPr>
        <w:t>响应</w:t>
      </w:r>
      <w:r>
        <w:rPr>
          <w:rFonts w:hint="eastAsia"/>
          <w:b/>
          <w:bCs/>
          <w:sz w:val="24"/>
          <w:szCs w:val="22"/>
          <w:lang w:val="zh-CN" w:eastAsia="zh-CN"/>
        </w:rPr>
        <w:t>。</w:t>
      </w:r>
      <w:bookmarkEnd w:id="58"/>
      <w:bookmarkEnd w:id="59"/>
      <w:bookmarkEnd w:id="60"/>
    </w:p>
    <w:p>
      <w:pPr>
        <w:pStyle w:val="2"/>
        <w:sectPr>
          <w:footerReference r:id="rId5" w:type="default"/>
          <w:pgSz w:w="11905" w:h="16838"/>
          <w:pgMar w:top="1417" w:right="1417" w:bottom="1417" w:left="1276" w:header="454" w:footer="567" w:gutter="0"/>
          <w:cols w:space="720" w:num="1"/>
          <w:docGrid w:linePitch="312" w:charSpace="0"/>
        </w:sectPr>
      </w:pPr>
    </w:p>
    <w:p/>
    <w:sectPr>
      <w:footerReference r:id="rId8" w:type="first"/>
      <w:headerReference r:id="rId6" w:type="default"/>
      <w:footerReference r:id="rId7" w:type="default"/>
      <w:pgSz w:w="11906" w:h="16838"/>
      <w:pgMar w:top="1440" w:right="1800" w:bottom="1440" w:left="1800" w:header="851" w:footer="992" w:gutter="0"/>
      <w:pgNumType w:start="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before="0"/>
      <w:ind w:right="-57" w:firstLine="0"/>
      <w:jc w:val="both"/>
      <w:rPr>
        <w:rFonts w:ascii="宋体" w:hAnsi="宋体"/>
        <w:color w:val="000000"/>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AA00E2"/>
    <w:multiLevelType w:val="singleLevel"/>
    <w:tmpl w:val="DBAA00E2"/>
    <w:lvl w:ilvl="0" w:tentative="0">
      <w:start w:val="2"/>
      <w:numFmt w:val="decimal"/>
      <w:suff w:val="nothing"/>
      <w:lvlText w:val="（%1）"/>
      <w:lvlJc w:val="left"/>
    </w:lvl>
  </w:abstractNum>
  <w:abstractNum w:abstractNumId="1">
    <w:nsid w:val="E785C00B"/>
    <w:multiLevelType w:val="singleLevel"/>
    <w:tmpl w:val="E785C00B"/>
    <w:lvl w:ilvl="0" w:tentative="0">
      <w:start w:val="1"/>
      <w:numFmt w:val="decimal"/>
      <w:lvlText w:val="(%1)"/>
      <w:lvlJc w:val="left"/>
      <w:pPr>
        <w:ind w:left="425" w:hanging="425"/>
      </w:pPr>
      <w:rPr>
        <w:rFonts w:hint="default"/>
      </w:rPr>
    </w:lvl>
  </w:abstractNum>
  <w:abstractNum w:abstractNumId="2">
    <w:nsid w:val="F95BEE6E"/>
    <w:multiLevelType w:val="singleLevel"/>
    <w:tmpl w:val="F95BEE6E"/>
    <w:lvl w:ilvl="0" w:tentative="0">
      <w:start w:val="8"/>
      <w:numFmt w:val="chineseCounting"/>
      <w:suff w:val="nothing"/>
      <w:lvlText w:val="%1、"/>
      <w:lvlJc w:val="left"/>
      <w:rPr>
        <w:rFonts w:hint="eastAsia"/>
      </w:rPr>
    </w:lvl>
  </w:abstractNum>
  <w:abstractNum w:abstractNumId="3">
    <w:nsid w:val="0677B3A8"/>
    <w:multiLevelType w:val="singleLevel"/>
    <w:tmpl w:val="0677B3A8"/>
    <w:lvl w:ilvl="0" w:tentative="0">
      <w:start w:val="1"/>
      <w:numFmt w:val="decimal"/>
      <w:suff w:val="nothing"/>
      <w:lvlText w:val="%1、"/>
      <w:lvlJc w:val="left"/>
    </w:lvl>
  </w:abstractNum>
  <w:abstractNum w:abstractNumId="4">
    <w:nsid w:val="3C4B5426"/>
    <w:multiLevelType w:val="multilevel"/>
    <w:tmpl w:val="3C4B5426"/>
    <w:lvl w:ilvl="0" w:tentative="0">
      <w:start w:val="1"/>
      <w:numFmt w:val="japaneseCounting"/>
      <w:lvlText w:val="第%1条"/>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9FAC3DB"/>
    <w:multiLevelType w:val="singleLevel"/>
    <w:tmpl w:val="59FAC3DB"/>
    <w:lvl w:ilvl="0" w:tentative="0">
      <w:start w:val="2"/>
      <w:numFmt w:val="chineseCounting"/>
      <w:suff w:val="nothing"/>
      <w:lvlText w:val="%1、"/>
      <w:lvlJc w:val="left"/>
    </w:lvl>
  </w:abstractNum>
  <w:abstractNum w:abstractNumId="6">
    <w:nsid w:val="5A015929"/>
    <w:multiLevelType w:val="singleLevel"/>
    <w:tmpl w:val="5A015929"/>
    <w:lvl w:ilvl="0" w:tentative="0">
      <w:start w:val="1"/>
      <w:numFmt w:val="decimal"/>
      <w:suff w:val="nothing"/>
      <w:lvlText w:val="%1、"/>
      <w:lvlJc w:val="left"/>
    </w:lvl>
  </w:abstractNum>
  <w:abstractNum w:abstractNumId="7">
    <w:nsid w:val="5E93E381"/>
    <w:multiLevelType w:val="singleLevel"/>
    <w:tmpl w:val="5E93E381"/>
    <w:lvl w:ilvl="0" w:tentative="0">
      <w:start w:val="1"/>
      <w:numFmt w:val="chineseCounting"/>
      <w:suff w:val="space"/>
      <w:lvlText w:val="第%1章"/>
      <w:lvlJc w:val="left"/>
      <w:rPr>
        <w:rFonts w:hint="eastAsia"/>
      </w:rPr>
    </w:lvl>
  </w:abstractNum>
  <w:num w:numId="1">
    <w:abstractNumId w:val="7"/>
  </w:num>
  <w:num w:numId="2">
    <w:abstractNumId w:val="5"/>
  </w:num>
  <w:num w:numId="3">
    <w:abstractNumId w:val="0"/>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ZjEwZDU1MDZjYjgyMzlkMGYyNTBiMjY2ZTZhYjQifQ=="/>
  </w:docVars>
  <w:rsids>
    <w:rsidRoot w:val="21EE2188"/>
    <w:rsid w:val="03296F0B"/>
    <w:rsid w:val="06154CA2"/>
    <w:rsid w:val="06B804F2"/>
    <w:rsid w:val="07DF2E3D"/>
    <w:rsid w:val="089D1134"/>
    <w:rsid w:val="08D56868"/>
    <w:rsid w:val="10595278"/>
    <w:rsid w:val="110B0495"/>
    <w:rsid w:val="13A64AFB"/>
    <w:rsid w:val="13E27967"/>
    <w:rsid w:val="15FB0C86"/>
    <w:rsid w:val="1AD53D6C"/>
    <w:rsid w:val="1CB03F03"/>
    <w:rsid w:val="1CEF57D3"/>
    <w:rsid w:val="21EE2188"/>
    <w:rsid w:val="240F327D"/>
    <w:rsid w:val="2A701752"/>
    <w:rsid w:val="36097B7A"/>
    <w:rsid w:val="37BB0F1D"/>
    <w:rsid w:val="44275334"/>
    <w:rsid w:val="47103D27"/>
    <w:rsid w:val="49526249"/>
    <w:rsid w:val="4A651AF2"/>
    <w:rsid w:val="4B08476C"/>
    <w:rsid w:val="4BCD25D0"/>
    <w:rsid w:val="51062649"/>
    <w:rsid w:val="5D294CFB"/>
    <w:rsid w:val="5DD22D84"/>
    <w:rsid w:val="5F1457DC"/>
    <w:rsid w:val="62652744"/>
    <w:rsid w:val="62710AF0"/>
    <w:rsid w:val="68025351"/>
    <w:rsid w:val="6FED6CAD"/>
    <w:rsid w:val="78AA23D7"/>
    <w:rsid w:val="7FA95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rPr>
      <w:rFonts w:ascii="Calibri" w:hAnsi="Calibri" w:eastAsia="Times New Roman"/>
      <w:sz w:val="24"/>
      <w:szCs w:val="24"/>
    </w:rPr>
  </w:style>
  <w:style w:type="paragraph" w:styleId="3">
    <w:name w:val="Body Text Indent"/>
    <w:basedOn w:val="1"/>
    <w:qFormat/>
    <w:uiPriority w:val="0"/>
    <w:pPr>
      <w:spacing w:line="360" w:lineRule="auto"/>
      <w:ind w:firstLine="480"/>
    </w:pPr>
    <w:rPr>
      <w:rFonts w:ascii="宋体"/>
      <w:sz w:val="24"/>
    </w:rPr>
  </w:style>
  <w:style w:type="paragraph" w:styleId="5">
    <w:name w:val="annotation text"/>
    <w:basedOn w:val="1"/>
    <w:semiHidden/>
    <w:qFormat/>
    <w:uiPriority w:val="0"/>
    <w:pPr>
      <w:spacing w:line="360" w:lineRule="atLeast"/>
      <w:jc w:val="left"/>
    </w:pPr>
    <w:rPr>
      <w:sz w:val="24"/>
    </w:rPr>
  </w:style>
  <w:style w:type="paragraph" w:styleId="6">
    <w:name w:val="Plain Text"/>
    <w:basedOn w:val="1"/>
    <w:qFormat/>
    <w:uiPriority w:val="0"/>
    <w:rPr>
      <w:rFonts w:ascii="宋体" w:hAnsi="Courier New"/>
    </w:rPr>
  </w:style>
  <w:style w:type="paragraph" w:styleId="7">
    <w:name w:val="Date"/>
    <w:basedOn w:val="1"/>
    <w:next w:val="1"/>
    <w:qFormat/>
    <w:uiPriority w:val="0"/>
    <w:rPr>
      <w:rFonts w:ascii="宋体"/>
      <w:b/>
      <w:sz w:val="44"/>
    </w:rPr>
  </w:style>
  <w:style w:type="paragraph" w:styleId="8">
    <w:name w:val="footer"/>
    <w:basedOn w:val="1"/>
    <w:qFormat/>
    <w:uiPriority w:val="99"/>
    <w:pPr>
      <w:tabs>
        <w:tab w:val="center" w:pos="4153"/>
        <w:tab w:val="right" w:pos="8306"/>
      </w:tabs>
      <w:spacing w:line="240" w:lineRule="atLeast"/>
      <w:jc w:val="left"/>
    </w:pPr>
    <w:rPr>
      <w:sz w:val="18"/>
    </w:rPr>
  </w:style>
  <w:style w:type="paragraph" w:styleId="9">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widowControl/>
      <w:adjustRightInd/>
      <w:spacing w:before="100" w:beforeAutospacing="1" w:after="100" w:afterAutospacing="1" w:line="240" w:lineRule="auto"/>
      <w:jc w:val="left"/>
      <w:textAlignment w:val="auto"/>
    </w:pPr>
    <w:rPr>
      <w:rFonts w:ascii="宋体" w:hAnsi="宋体"/>
      <w:sz w:val="24"/>
      <w:szCs w:val="24"/>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table" w:styleId="15">
    <w:name w:val="Table Grid"/>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qFormat/>
    <w:uiPriority w:val="99"/>
    <w:rPr>
      <w:color w:val="0000FF"/>
      <w:u w:val="single"/>
    </w:rPr>
  </w:style>
  <w:style w:type="character" w:customStyle="1" w:styleId="18">
    <w:name w:val="标题 2 Char"/>
    <w:qFormat/>
    <w:uiPriority w:val="8"/>
    <w:rPr>
      <w:rFonts w:ascii="Arial" w:hAnsi="Arial" w:eastAsia="黑体"/>
      <w:b/>
      <w:sz w:val="32"/>
      <w:szCs w:val="32"/>
    </w:rPr>
  </w:style>
  <w:style w:type="paragraph" w:customStyle="1" w:styleId="19">
    <w:name w:val="_Style 1"/>
    <w:basedOn w:val="1"/>
    <w:qFormat/>
    <w:uiPriority w:val="0"/>
    <w:pPr>
      <w:ind w:firstLine="420" w:firstLineChars="200"/>
    </w:pPr>
  </w:style>
  <w:style w:type="paragraph" w:styleId="20">
    <w:name w:val="No Spacing"/>
    <w:qFormat/>
    <w:uiPriority w:val="1"/>
    <w:pPr>
      <w:widowControl w:val="0"/>
      <w:adjustRightInd w:val="0"/>
      <w:jc w:val="both"/>
      <w:textAlignment w:val="baseline"/>
    </w:pPr>
    <w:rPr>
      <w:rFonts w:ascii="Times New Roman" w:hAnsi="Times New Roman" w:eastAsia="宋体" w:cs="Times New Roman"/>
      <w:kern w:val="0"/>
      <w:sz w:val="21"/>
      <w:szCs w:val="20"/>
      <w:lang w:val="en-US" w:eastAsia="zh-CN" w:bidi="ar-SA"/>
    </w:rPr>
  </w:style>
  <w:style w:type="paragraph" w:customStyle="1" w:styleId="21">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正文1"/>
    <w:qFormat/>
    <w:uiPriority w:val="0"/>
    <w:pPr>
      <w:widowControl w:val="0"/>
      <w:adjustRightInd w:val="0"/>
      <w:spacing w:line="360" w:lineRule="atLeast"/>
      <w:textAlignment w:val="baseline"/>
    </w:pPr>
    <w:rPr>
      <w:rFonts w:ascii="宋体" w:hAnsi="Times New Roman" w:eastAsia="宋体" w:cs="Calibri"/>
      <w:b/>
      <w:kern w:val="0"/>
      <w:position w:val="-10"/>
      <w:sz w:val="24"/>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26941</Words>
  <Characters>28484</Characters>
  <Lines>0</Lines>
  <Paragraphs>0</Paragraphs>
  <TotalTime>205</TotalTime>
  <ScaleCrop>false</ScaleCrop>
  <LinksUpToDate>false</LinksUpToDate>
  <CharactersWithSpaces>29856</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2022-10-14T08:54:00Z</dcterms:created>
  <dc:creator>张航,zhanghang</dc:creator>
  <cp:lastModifiedBy>张航,zhanghang</cp:lastModifiedBy>
  <dcterms:modified xsi:type="dcterms:W3CDTF">2022-10-31T07:33:34Z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63C8B6A9FD774A9792A33609736864A5</vt:lpwstr>
  </property>
</Properties>
</file>