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291" w:name="_GoBack"/>
      <w:bookmarkEnd w:id="291"/>
      <w:bookmarkStart w:id="0" w:name="_Toc286386830"/>
      <w:bookmarkStart w:id="1" w:name="_Toc114052410"/>
      <w:bookmarkStart w:id="2" w:name="_Toc114052336"/>
      <w:bookmarkStart w:id="3" w:name="_Toc21919"/>
      <w:bookmarkStart w:id="4" w:name="_Toc12281"/>
      <w:bookmarkStart w:id="5" w:name="_Toc9725"/>
      <w:bookmarkStart w:id="6" w:name="_Toc25920"/>
      <w:bookmarkStart w:id="7" w:name="_Toc7547"/>
      <w:bookmarkStart w:id="8" w:name="_Toc14991"/>
      <w:bookmarkStart w:id="9" w:name="_Toc23292"/>
      <w:bookmarkStart w:id="10" w:name="_Toc16340"/>
      <w:bookmarkStart w:id="11" w:name="_Toc13323"/>
      <w:bookmarkStart w:id="12" w:name="_Toc9991"/>
      <w:bookmarkStart w:id="13" w:name="_Toc17022"/>
      <w:bookmarkStart w:id="14" w:name="_Toc11424"/>
      <w:bookmarkStart w:id="15" w:name="_Toc4003"/>
      <w:bookmarkStart w:id="16" w:name="_Toc9458"/>
      <w:bookmarkStart w:id="17" w:name="_Toc1179"/>
      <w:bookmarkStart w:id="18" w:name="_Toc28464"/>
      <w:bookmarkStart w:id="19" w:name="_Toc15740"/>
      <w:bookmarkStart w:id="20" w:name="_Toc25750632"/>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rFonts w:hint="eastAsia"/>
          <w:color w:val="auto"/>
          <w:sz w:val="44"/>
          <w:szCs w:val="44"/>
        </w:rPr>
      </w:pPr>
      <w:r>
        <w:rPr>
          <w:rFonts w:hint="eastAsia"/>
          <w:color w:val="auto"/>
          <w:sz w:val="44"/>
          <w:szCs w:val="44"/>
        </w:rPr>
        <w:t>南宁轨道交通运营有限公司2022年通号</w:t>
      </w:r>
    </w:p>
    <w:p>
      <w:pPr>
        <w:spacing w:before="0" w:afterAutospacing="0" w:line="360" w:lineRule="auto"/>
        <w:ind w:left="-709" w:right="0" w:firstLine="880" w:firstLineChars="200"/>
        <w:jc w:val="center"/>
        <w:rPr>
          <w:rFonts w:ascii="楷体_GB2312" w:eastAsia="楷体_GB2312"/>
          <w:color w:val="auto"/>
          <w:sz w:val="24"/>
        </w:rPr>
      </w:pPr>
      <w:r>
        <w:rPr>
          <w:rFonts w:hint="eastAsia"/>
          <w:color w:val="auto"/>
          <w:sz w:val="44"/>
          <w:szCs w:val="44"/>
        </w:rPr>
        <w:t>中心紧急物资采购项目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仿宋" w:hAnsi="仿宋" w:eastAsia="仿宋" w:cs="仿宋"/>
                <w:kern w:val="2"/>
                <w:sz w:val="28"/>
                <w:szCs w:val="28"/>
              </w:rPr>
              <w:t>202210140004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9264"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rFonts w:hint="default" w:eastAsia="宋体"/>
          <w:color w:val="auto"/>
          <w:sz w:val="28"/>
          <w:szCs w:val="28"/>
          <w:lang w:val="en-US" w:eastAsia="zh-CN"/>
        </w:rPr>
      </w:pPr>
      <w:r>
        <w:rPr>
          <w:rFonts w:hint="eastAsia" w:ascii="宋体" w:hAnsi="宋体"/>
          <w:b/>
          <w:color w:val="auto"/>
          <w:sz w:val="28"/>
          <w:szCs w:val="28"/>
        </w:rPr>
        <w:t>甲    方：</w:t>
      </w:r>
      <w:r>
        <w:rPr>
          <w:rFonts w:hint="eastAsia"/>
          <w:color w:val="auto"/>
          <w:sz w:val="28"/>
          <w:szCs w:val="28"/>
        </w:rPr>
        <w:t>南宁轨道交通</w:t>
      </w:r>
      <w:r>
        <w:rPr>
          <w:rFonts w:hint="eastAsia"/>
          <w:color w:val="auto"/>
          <w:sz w:val="28"/>
          <w:szCs w:val="28"/>
          <w:lang w:val="en-US" w:eastAsia="zh-CN"/>
        </w:rPr>
        <w:t>运营有限公司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hint="eastAsia" w:ascii="宋体" w:hAnsi="宋体"/>
          <w:bCs/>
          <w:color w:val="auto"/>
          <w:sz w:val="28"/>
          <w:szCs w:val="28"/>
          <w:u w:val="single"/>
          <w:lang w:val="en-US" w:eastAsia="zh-CN"/>
        </w:rPr>
        <w:t>2</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5" w:type="default"/>
          <w:footerReference r:id="rId7" w:type="default"/>
          <w:headerReference r:id="rId6" w:type="even"/>
          <w:footerReference r:id="rId8" w:type="even"/>
          <w:pgSz w:w="11906" w:h="16838"/>
          <w:pgMar w:top="1134" w:right="851" w:bottom="1134" w:left="1134" w:header="454" w:footer="454" w:gutter="0"/>
          <w:pgNumType w:fmt="decimal"/>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4"/>
          <w:rFonts w:hint="eastAsia"/>
          <w:color w:val="auto"/>
        </w:rPr>
      </w:pPr>
      <w:bookmarkStart w:id="21" w:name="_Toc15840"/>
      <w:bookmarkStart w:id="22" w:name="_Toc1289"/>
      <w:bookmarkStart w:id="23" w:name="_Toc6950"/>
      <w:bookmarkStart w:id="24" w:name="_Toc31368"/>
      <w:bookmarkStart w:id="25" w:name="_Toc2618"/>
      <w:bookmarkStart w:id="26" w:name="_Toc25750633"/>
      <w:bookmarkStart w:id="27" w:name="_Toc25828"/>
      <w:bookmarkStart w:id="28" w:name="_Toc4026"/>
      <w:bookmarkStart w:id="29" w:name="_Toc7236"/>
      <w:bookmarkStart w:id="30" w:name="_Toc3488"/>
      <w:bookmarkStart w:id="31" w:name="_Toc13761"/>
      <w:bookmarkStart w:id="32" w:name="_Toc20060"/>
      <w:bookmarkStart w:id="33" w:name="_Toc32403"/>
      <w:bookmarkStart w:id="34" w:name="_Toc8999"/>
      <w:bookmarkStart w:id="35" w:name="_Toc14463"/>
      <w:bookmarkStart w:id="36" w:name="_Toc7587"/>
      <w:bookmarkStart w:id="37" w:name="_Toc12983547"/>
      <w:bookmarkStart w:id="38" w:name="_Toc6190"/>
      <w:bookmarkStart w:id="39" w:name="_Toc29797"/>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rFonts w:hint="eastAsia"/>
          <w:color w:val="auto"/>
        </w:rPr>
      </w:pPr>
    </w:p>
    <w:p>
      <w:pPr>
        <w:spacing w:before="0" w:line="360" w:lineRule="auto"/>
        <w:ind w:right="0" w:firstLine="643" w:firstLineChars="200"/>
        <w:jc w:val="center"/>
        <w:outlineLvl w:val="1"/>
        <w:rPr>
          <w:rStyle w:val="14"/>
          <w:color w:val="auto"/>
          <w:szCs w:val="22"/>
        </w:rPr>
      </w:pPr>
      <w:r>
        <w:rPr>
          <w:rStyle w:val="14"/>
          <w:rFonts w:hint="eastAsia"/>
          <w:color w:val="auto"/>
        </w:rPr>
        <w:t xml:space="preserve">第一部分 </w:t>
      </w:r>
      <w:r>
        <w:rPr>
          <w:rStyle w:val="14"/>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w:t>
      </w:r>
      <w:r>
        <w:rPr>
          <w:rFonts w:hint="eastAsia" w:ascii="宋体" w:hAnsi="宋体"/>
          <w:color w:val="auto"/>
          <w:u w:val="single"/>
          <w:lang w:val="en-US" w:eastAsia="zh-CN"/>
        </w:rPr>
        <w:t>运营有限公司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w:t>
      </w:r>
      <w:r>
        <w:rPr>
          <w:rFonts w:hint="eastAsia" w:ascii="宋体" w:hAnsi="宋体"/>
          <w:color w:val="auto"/>
          <w:lang w:val="en-US" w:eastAsia="zh-CN"/>
        </w:rPr>
        <w:t>运营有限公司</w:t>
      </w:r>
      <w:r>
        <w:rPr>
          <w:rFonts w:hint="eastAsia" w:ascii="宋体" w:hAnsi="宋体"/>
          <w:color w:val="auto"/>
        </w:rPr>
        <w:t>（下称“甲方”或业主）与（下称“乙方”），双方根据</w:t>
      </w:r>
      <w:r>
        <w:rPr>
          <w:rFonts w:hint="eastAsia" w:ascii="宋体" w:hAnsi="宋体"/>
          <w:color w:val="auto"/>
          <w:u w:val="single"/>
          <w:lang w:eastAsia="zh-CN"/>
        </w:rPr>
        <w:t>南宁轨道交通</w:t>
      </w:r>
      <w:r>
        <w:rPr>
          <w:rFonts w:hint="eastAsia" w:ascii="宋体" w:hAnsi="宋体"/>
          <w:color w:val="auto"/>
          <w:u w:val="single"/>
          <w:lang w:val="en-US" w:eastAsia="zh-CN"/>
        </w:rPr>
        <w:t>运营有限公司2022年通号中心紧急物资采购项目</w:t>
      </w:r>
      <w:r>
        <w:rPr>
          <w:rFonts w:hint="eastAsia" w:ascii="宋体" w:hAnsi="宋体"/>
          <w:color w:val="auto"/>
        </w:rPr>
        <w:t>（项目编号：202210140004）询比价结果，依据《中华人民共和国民法典》的规定，签订协议。具体内容如下：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南宁轨道交通</w:t>
      </w:r>
      <w:r>
        <w:rPr>
          <w:rFonts w:hint="eastAsia" w:ascii="宋体" w:hAnsi="宋体"/>
          <w:color w:val="auto"/>
          <w:u w:val="single"/>
          <w:lang w:val="en-US" w:eastAsia="zh-CN"/>
        </w:rPr>
        <w:t>运营有限公司2022年通号中心紧急物资采购项目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w:t>
      </w:r>
      <w:r>
        <w:rPr>
          <w:rFonts w:hint="eastAsia" w:ascii="宋体" w:hAnsi="宋体"/>
          <w:color w:val="auto"/>
          <w:lang w:val="en-US" w:eastAsia="zh-CN"/>
        </w:rPr>
        <w:t>技术规格书</w:t>
      </w:r>
      <w:r>
        <w:rPr>
          <w:rFonts w:hint="eastAsia" w:ascii="宋体" w:hAnsi="宋体"/>
          <w:color w:val="auto"/>
        </w:rPr>
        <w:t>；</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8.买卖双方承诺，遵守合同条款关于合同标的、数量质量、合同价格、进度计划等双方各自义务及关于违约责任与索赔、解决争议方式等各项约定。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9.本合同用中文书写，正本2份，甲乙方各1份；副本 9 份，甲方持 8 份，乙方持 1 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10.本合同经双方法定代表人或授权代表签字、加盖单位公章（或合同专用章）后生效。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甲方：</w:t>
            </w:r>
            <w:r>
              <w:rPr>
                <w:rFonts w:hint="eastAsia" w:hAnsi="宋体" w:cs="Courier New"/>
                <w:color w:val="auto"/>
                <w:sz w:val="21"/>
                <w:szCs w:val="21"/>
                <w:u w:val="single"/>
              </w:rPr>
              <w:t>南宁轨道交通运营</w:t>
            </w:r>
            <w:r>
              <w:rPr>
                <w:rFonts w:hint="eastAsia" w:hAnsi="宋体" w:cs="Courier New"/>
                <w:color w:val="auto"/>
                <w:sz w:val="21"/>
                <w:szCs w:val="21"/>
                <w:u w:val="single"/>
                <w:lang w:eastAsia="zh-CN"/>
              </w:rPr>
              <w:t>有限公司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val="en-US" w:eastAsia="zh-CN"/>
              </w:rPr>
              <w:t>83</w:t>
            </w:r>
            <w:r>
              <w:rPr>
                <w:rFonts w:hint="eastAsia" w:hAnsi="宋体" w:cs="Courier New"/>
                <w:color w:val="auto"/>
                <w:sz w:val="21"/>
                <w:szCs w:val="21"/>
                <w:u w:val="single"/>
              </w:rPr>
              <w:t>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0771-2778167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u w:val="single"/>
              </w:rPr>
              <w:t>开户银行：建行南宁市朝阳支行</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91450100MAA7LA2147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14469"/>
      <w:bookmarkStart w:id="41" w:name="_Toc16743"/>
      <w:bookmarkStart w:id="42" w:name="_Toc29876"/>
      <w:bookmarkStart w:id="43" w:name="_Toc18460"/>
      <w:bookmarkStart w:id="44" w:name="_Toc4133"/>
      <w:bookmarkStart w:id="45" w:name="_Toc11253"/>
      <w:bookmarkStart w:id="46" w:name="_Toc25942"/>
      <w:bookmarkStart w:id="47" w:name="_Toc24098"/>
      <w:bookmarkStart w:id="48" w:name="_Toc10196"/>
      <w:bookmarkStart w:id="49" w:name="_Toc24973"/>
      <w:bookmarkStart w:id="50" w:name="_Toc7689"/>
      <w:bookmarkStart w:id="51" w:name="_Toc9188"/>
      <w:bookmarkStart w:id="52" w:name="_Toc997"/>
      <w:bookmarkStart w:id="53" w:name="_Toc12155"/>
      <w:bookmarkStart w:id="54" w:name="_Toc7529"/>
      <w:bookmarkStart w:id="55" w:name="_Toc258"/>
      <w:bookmarkStart w:id="56" w:name="_Toc25750634"/>
      <w:bookmarkStart w:id="57" w:name="_Toc9438"/>
      <w:r>
        <w:rPr>
          <w:rStyle w:val="14"/>
          <w:rFonts w:hint="eastAsia"/>
          <w:color w:val="auto"/>
        </w:rPr>
        <w:t xml:space="preserve">第二部分 </w:t>
      </w:r>
      <w:r>
        <w:rPr>
          <w:rStyle w:val="14"/>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15707"/>
      <w:bookmarkStart w:id="59" w:name="_Toc22880"/>
      <w:bookmarkStart w:id="60" w:name="_Toc29932"/>
      <w:bookmarkStart w:id="61" w:name="_Toc385427838"/>
      <w:bookmarkStart w:id="62" w:name="_Toc2614"/>
      <w:bookmarkStart w:id="63" w:name="_Toc31691"/>
      <w:bookmarkStart w:id="64" w:name="_Toc19920"/>
      <w:bookmarkStart w:id="65" w:name="_Toc20484"/>
      <w:bookmarkStart w:id="66" w:name="_Toc28024"/>
      <w:bookmarkStart w:id="67" w:name="_Toc492478763"/>
      <w:bookmarkStart w:id="68" w:name="_Toc25750635"/>
      <w:bookmarkStart w:id="69" w:name="_Toc43"/>
      <w:bookmarkStart w:id="70" w:name="_Toc14287"/>
      <w:bookmarkStart w:id="71" w:name="_Toc370933855"/>
      <w:bookmarkStart w:id="72" w:name="_Toc18727"/>
      <w:bookmarkStart w:id="73" w:name="_Toc12080"/>
      <w:bookmarkStart w:id="74" w:name="_Toc10730"/>
      <w:bookmarkStart w:id="75" w:name="_Toc390098464"/>
      <w:bookmarkStart w:id="76" w:name="_Toc25643"/>
      <w:bookmarkStart w:id="77" w:name="_Toc378514952"/>
      <w:bookmarkStart w:id="78" w:name="_Toc6054"/>
      <w:bookmarkStart w:id="79" w:name="_Toc4032"/>
      <w:bookmarkStart w:id="80" w:name="_Toc12256"/>
      <w:bookmarkStart w:id="81" w:name="_Toc7961"/>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w:t>
      </w:r>
      <w:r>
        <w:rPr>
          <w:rFonts w:hint="eastAsia" w:ascii="宋体" w:hAnsi="宋体"/>
          <w:color w:val="auto"/>
          <w:lang w:val="en-US" w:eastAsia="zh-CN"/>
        </w:rPr>
        <w:t>运营有限公司</w:t>
      </w:r>
      <w:r>
        <w:rPr>
          <w:rFonts w:hint="eastAsia" w:ascii="宋体" w:hAnsi="宋体"/>
          <w:color w:val="auto"/>
        </w:rPr>
        <w:t>。</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val="en-US" w:eastAsia="zh-CN"/>
        </w:rPr>
        <w:t>乙方</w:t>
      </w:r>
      <w:r>
        <w:rPr>
          <w:rFonts w:hint="eastAsia" w:ascii="宋体" w:hAnsi="宋体"/>
          <w:color w:val="auto"/>
        </w:rPr>
        <w:t>须向</w:t>
      </w:r>
      <w:r>
        <w:rPr>
          <w:rFonts w:hint="eastAsia" w:ascii="宋体" w:hAnsi="宋体"/>
          <w:color w:val="auto"/>
          <w:lang w:val="en-US" w:eastAsia="zh-CN"/>
        </w:rPr>
        <w:t>甲方</w:t>
      </w:r>
      <w:r>
        <w:rPr>
          <w:rFonts w:hint="eastAsia" w:ascii="宋体" w:hAnsi="宋体"/>
          <w:color w:val="auto"/>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val="en-US" w:eastAsia="zh-CN"/>
        </w:rPr>
        <w:t>乙方</w:t>
      </w:r>
      <w:r>
        <w:rPr>
          <w:rFonts w:hint="eastAsia" w:ascii="宋体" w:hAnsi="宋体"/>
          <w:color w:val="auto"/>
        </w:rPr>
        <w:t>须向</w:t>
      </w:r>
      <w:r>
        <w:rPr>
          <w:rFonts w:hint="eastAsia" w:ascii="宋体" w:hAnsi="宋体"/>
          <w:color w:val="auto"/>
          <w:lang w:val="en-US" w:eastAsia="zh-CN"/>
        </w:rPr>
        <w:t>甲方</w:t>
      </w:r>
      <w:r>
        <w:rPr>
          <w:rFonts w:hint="eastAsia" w:ascii="宋体" w:hAnsi="宋体"/>
          <w:color w:val="auto"/>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w:t>
      </w:r>
      <w:r>
        <w:rPr>
          <w:rFonts w:hint="eastAsia" w:ascii="宋体" w:hAnsi="宋体"/>
          <w:color w:val="auto"/>
          <w:lang w:val="en-US"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val="en-US" w:eastAsia="zh-CN"/>
        </w:rPr>
        <w:t>乙方</w:t>
      </w:r>
      <w:r>
        <w:rPr>
          <w:rFonts w:hint="eastAsia" w:ascii="宋体" w:hAnsi="宋体"/>
          <w:color w:val="auto"/>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w:t>
      </w:r>
      <w:r>
        <w:rPr>
          <w:rFonts w:hint="eastAsia" w:ascii="宋体" w:hAnsi="宋体" w:cs="Arial"/>
          <w:b/>
          <w:color w:val="auto"/>
          <w:lang w:val="en-US" w:eastAsia="zh-CN"/>
        </w:rPr>
        <w:t>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23112"/>
      <w:bookmarkStart w:id="83" w:name="_Toc30815"/>
      <w:bookmarkStart w:id="84" w:name="_Toc370933856"/>
      <w:bookmarkStart w:id="85" w:name="_Toc7813"/>
      <w:bookmarkStart w:id="86" w:name="_Toc25750636"/>
      <w:bookmarkStart w:id="87" w:name="_Toc4212"/>
      <w:bookmarkStart w:id="88" w:name="_Toc5955"/>
      <w:bookmarkStart w:id="89" w:name="_Toc378514953"/>
      <w:bookmarkStart w:id="90" w:name="_Toc23247"/>
      <w:bookmarkStart w:id="91" w:name="_Toc4301"/>
      <w:bookmarkStart w:id="92" w:name="_Toc390098465"/>
      <w:bookmarkStart w:id="93" w:name="_Toc385427839"/>
      <w:bookmarkStart w:id="94" w:name="_Toc4255"/>
      <w:bookmarkStart w:id="95" w:name="_Toc15944"/>
      <w:bookmarkStart w:id="96" w:name="_Toc19899"/>
      <w:bookmarkStart w:id="97" w:name="_Toc13835"/>
      <w:bookmarkStart w:id="98" w:name="_Toc1169"/>
      <w:bookmarkStart w:id="99" w:name="_Toc3180"/>
      <w:bookmarkStart w:id="100" w:name="_Toc18178"/>
      <w:bookmarkStart w:id="101" w:name="_Toc23305"/>
      <w:bookmarkStart w:id="102" w:name="_Toc492478764"/>
      <w:bookmarkStart w:id="103" w:name="_Toc25826"/>
      <w:bookmarkStart w:id="104" w:name="_Toc8477"/>
      <w:bookmarkStart w:id="105" w:name="_Toc7059"/>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15308"/>
      <w:bookmarkStart w:id="107" w:name="_Toc378514954"/>
      <w:bookmarkStart w:id="108" w:name="_Toc12248"/>
      <w:bookmarkStart w:id="109" w:name="_Toc25750637"/>
      <w:bookmarkStart w:id="110" w:name="_Toc3131"/>
      <w:bookmarkStart w:id="111" w:name="_Toc21065"/>
      <w:bookmarkStart w:id="112" w:name="_Toc4969"/>
      <w:bookmarkStart w:id="113" w:name="_Toc11803"/>
      <w:bookmarkStart w:id="114" w:name="_Toc26983"/>
      <w:bookmarkStart w:id="115" w:name="_Toc3674"/>
      <w:bookmarkStart w:id="116" w:name="_Toc4898"/>
      <w:bookmarkStart w:id="117" w:name="_Toc385427840"/>
      <w:bookmarkStart w:id="118" w:name="_Toc370933857"/>
      <w:bookmarkStart w:id="119" w:name="_Toc4738"/>
      <w:bookmarkStart w:id="120" w:name="_Toc13801"/>
      <w:bookmarkStart w:id="121" w:name="_Toc18092"/>
      <w:bookmarkStart w:id="122" w:name="_Toc5253"/>
      <w:bookmarkStart w:id="123" w:name="_Toc3397"/>
      <w:bookmarkStart w:id="124" w:name="_Toc21603"/>
      <w:bookmarkStart w:id="125" w:name="_Toc9864"/>
      <w:bookmarkStart w:id="126" w:name="_Toc14437"/>
      <w:bookmarkStart w:id="127" w:name="_Toc390098466"/>
      <w:bookmarkStart w:id="128" w:name="_Toc492478765"/>
      <w:bookmarkStart w:id="129" w:name="_Toc9306"/>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11524"/>
      <w:bookmarkStart w:id="131" w:name="_Toc16646"/>
      <w:bookmarkStart w:id="132" w:name="_Toc27450"/>
      <w:bookmarkStart w:id="133" w:name="_Toc2708"/>
      <w:bookmarkStart w:id="134" w:name="_Toc11626"/>
      <w:bookmarkStart w:id="135" w:name="_Toc12180"/>
      <w:bookmarkStart w:id="136" w:name="_Toc21289"/>
      <w:bookmarkStart w:id="137" w:name="_Toc18548"/>
      <w:bookmarkStart w:id="138" w:name="_Toc19514"/>
      <w:bookmarkStart w:id="139" w:name="_Toc492478766"/>
      <w:bookmarkStart w:id="140" w:name="_Toc390098467"/>
      <w:bookmarkStart w:id="141" w:name="_Toc14713"/>
      <w:bookmarkStart w:id="142" w:name="_Toc3318"/>
      <w:bookmarkStart w:id="143" w:name="_Toc21356"/>
      <w:bookmarkStart w:id="144" w:name="_Toc10807"/>
      <w:bookmarkStart w:id="145" w:name="_Toc378514955"/>
      <w:bookmarkStart w:id="146" w:name="_Toc25750638"/>
      <w:bookmarkStart w:id="147" w:name="_Toc23249"/>
      <w:bookmarkStart w:id="148" w:name="_Toc21641"/>
      <w:bookmarkStart w:id="149" w:name="_Toc25311"/>
      <w:bookmarkStart w:id="150" w:name="_Toc385427841"/>
      <w:bookmarkStart w:id="151" w:name="_Toc14273"/>
      <w:bookmarkStart w:id="152" w:name="_Toc23258"/>
      <w:bookmarkStart w:id="153" w:name="_Toc370933858"/>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10995"/>
      <w:bookmarkStart w:id="155" w:name="_Toc2352"/>
      <w:bookmarkStart w:id="156" w:name="_Toc14089"/>
      <w:bookmarkStart w:id="157" w:name="_Toc385427842"/>
      <w:bookmarkStart w:id="158" w:name="_Toc11487"/>
      <w:bookmarkStart w:id="159" w:name="_Toc20372"/>
      <w:bookmarkStart w:id="160" w:name="_Toc13516"/>
      <w:bookmarkStart w:id="161" w:name="_Toc22040"/>
      <w:bookmarkStart w:id="162" w:name="_Toc18813"/>
      <w:bookmarkStart w:id="163" w:name="_Toc370933859"/>
      <w:bookmarkStart w:id="164" w:name="_Toc25750639"/>
      <w:bookmarkStart w:id="165" w:name="_Toc24783"/>
      <w:bookmarkStart w:id="166" w:name="_Toc3165"/>
      <w:bookmarkStart w:id="167" w:name="_Toc4048"/>
      <w:bookmarkStart w:id="168" w:name="_Toc31912"/>
      <w:bookmarkStart w:id="169" w:name="_Toc378514956"/>
      <w:bookmarkStart w:id="170" w:name="_Toc390098468"/>
      <w:bookmarkStart w:id="171" w:name="_Toc492478767"/>
      <w:bookmarkStart w:id="172" w:name="_Toc23539"/>
      <w:bookmarkStart w:id="173" w:name="_Toc2304"/>
      <w:bookmarkStart w:id="174" w:name="_Toc27620"/>
      <w:bookmarkStart w:id="175" w:name="_Toc18617"/>
      <w:bookmarkStart w:id="176" w:name="_Toc17081"/>
      <w:bookmarkStart w:id="177" w:name="_Toc19358"/>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w:t>
      </w:r>
      <w:r>
        <w:rPr>
          <w:rFonts w:hint="eastAsia" w:ascii="宋体" w:hAnsi="宋体"/>
          <w:color w:val="auto"/>
          <w:lang w:val="en-US" w:eastAsia="zh-CN"/>
        </w:rPr>
        <w:t>运营有限公司</w:t>
      </w:r>
      <w:r>
        <w:rPr>
          <w:rFonts w:hint="eastAsia" w:ascii="宋体" w:hAnsi="宋体"/>
          <w:color w:val="auto"/>
        </w:rPr>
        <w:t>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2340"/>
      <w:bookmarkStart w:id="179" w:name="_Toc5930"/>
      <w:bookmarkStart w:id="180" w:name="_Toc17908"/>
      <w:bookmarkStart w:id="181" w:name="_Toc4739"/>
      <w:bookmarkStart w:id="182" w:name="_Toc23542"/>
      <w:bookmarkStart w:id="183" w:name="_Toc24189"/>
      <w:bookmarkStart w:id="184" w:name="_Toc17100"/>
      <w:bookmarkStart w:id="185" w:name="_Toc385427843"/>
      <w:bookmarkStart w:id="186" w:name="_Toc12048"/>
      <w:bookmarkStart w:id="187" w:name="_Toc25750640"/>
      <w:bookmarkStart w:id="188" w:name="_Toc16891"/>
      <w:bookmarkStart w:id="189" w:name="_Toc17102"/>
      <w:bookmarkStart w:id="190" w:name="_Toc18946"/>
      <w:bookmarkStart w:id="191" w:name="_Toc25104"/>
      <w:bookmarkStart w:id="192" w:name="_Toc492478768"/>
      <w:bookmarkStart w:id="193" w:name="_Toc390098469"/>
      <w:bookmarkStart w:id="194" w:name="_Toc16793"/>
      <w:bookmarkStart w:id="195" w:name="_Toc378514957"/>
      <w:bookmarkStart w:id="196" w:name="_Toc25049"/>
      <w:bookmarkStart w:id="197" w:name="_Toc8848"/>
      <w:bookmarkStart w:id="198" w:name="_Toc15801"/>
      <w:bookmarkStart w:id="199" w:name="_Toc23274"/>
      <w:bookmarkStart w:id="200" w:name="_Toc370933860"/>
      <w:bookmarkStart w:id="201" w:name="_Toc2096"/>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17489"/>
      <w:bookmarkStart w:id="203" w:name="_Toc390098470"/>
      <w:bookmarkStart w:id="204" w:name="_Toc29337"/>
      <w:bookmarkStart w:id="205" w:name="_Toc6777"/>
      <w:bookmarkStart w:id="206" w:name="_Toc29127"/>
      <w:bookmarkStart w:id="207" w:name="_Toc25750641"/>
      <w:bookmarkStart w:id="208" w:name="_Toc20551"/>
      <w:bookmarkStart w:id="209" w:name="_Toc1869"/>
      <w:bookmarkStart w:id="210" w:name="_Toc370933861"/>
      <w:bookmarkStart w:id="211" w:name="_Toc385427844"/>
      <w:bookmarkStart w:id="212" w:name="_Toc7907"/>
      <w:bookmarkStart w:id="213" w:name="_Toc21848"/>
      <w:bookmarkStart w:id="214" w:name="_Toc2076"/>
      <w:bookmarkStart w:id="215" w:name="_Toc7187"/>
      <w:bookmarkStart w:id="216" w:name="_Toc25888"/>
      <w:bookmarkStart w:id="217" w:name="_Toc11516"/>
      <w:bookmarkStart w:id="218" w:name="_Toc25327"/>
      <w:bookmarkStart w:id="219" w:name="_Toc21755"/>
      <w:bookmarkStart w:id="220" w:name="_Toc828"/>
      <w:bookmarkStart w:id="221" w:name="_Toc7460"/>
      <w:bookmarkStart w:id="222" w:name="_Toc17901"/>
      <w:bookmarkStart w:id="223" w:name="_Toc492478769"/>
      <w:bookmarkStart w:id="224" w:name="_Toc378514958"/>
      <w:bookmarkStart w:id="225" w:name="_Toc24887"/>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i w:val="0"/>
          <w:iCs w:val="0"/>
          <w:caps w:val="0"/>
          <w:color w:val="171A1D"/>
          <w:spacing w:val="0"/>
          <w:sz w:val="21"/>
          <w:szCs w:val="21"/>
          <w:highlight w:val="none"/>
          <w:shd w:val="clear" w:fill="FFFFFF"/>
        </w:rPr>
        <w:t>在合同签订前，乙方应向甲方提供履约保证金，履约保证金的金额为中标价格的5%，币种应为人民币</w:t>
      </w:r>
      <w:r>
        <w:rPr>
          <w:rFonts w:hint="eastAsia" w:asciiTheme="minorEastAsia" w:hAnsiTheme="minorEastAsia" w:eastAsiaTheme="minorEastAsia" w:cstheme="minorEastAsia"/>
          <w:color w:val="auto"/>
          <w:highlight w:val="none"/>
        </w:rPr>
        <w:t>。</w:t>
      </w:r>
    </w:p>
    <w:p>
      <w:pPr>
        <w:numPr>
          <w:ilvl w:val="0"/>
          <w:numId w:val="7"/>
        </w:numPr>
        <w:tabs>
          <w:tab w:val="left" w:pos="840"/>
          <w:tab w:val="left" w:pos="8364"/>
          <w:tab w:val="clear" w:pos="1134"/>
        </w:tabs>
        <w:spacing w:before="0" w:afterAutospacing="0" w:line="360" w:lineRule="auto"/>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i w:val="0"/>
          <w:iCs w:val="0"/>
          <w:caps w:val="0"/>
          <w:color w:val="171A1D"/>
          <w:spacing w:val="0"/>
          <w:sz w:val="21"/>
          <w:szCs w:val="21"/>
          <w:highlight w:val="none"/>
          <w:shd w:val="clear" w:fill="FFFFFF"/>
        </w:rPr>
        <w:t>履约保证金可以采用转账或电汇或银行保函的形式。乙方采用电汇或转账的形式，应从基本账户中递交至甲方指定账户；采用履约保函的形式，原则上使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i w:val="0"/>
          <w:iCs w:val="0"/>
          <w:caps w:val="0"/>
          <w:color w:val="171A1D"/>
          <w:spacing w:val="0"/>
          <w:sz w:val="21"/>
          <w:szCs w:val="21"/>
          <w:highlight w:val="none"/>
          <w:shd w:val="clear" w:fill="FFFFFF"/>
        </w:rPr>
        <w:t>履约保证金应从生效之日起至全部货物验收合格之日后四十五（45）天一直有效。如本项目实际全部货物验收合格日期超出该履约保证金写明的日期，则乙方应相应延长履约保证金的日期，当出现逾期验收而未及时办理保函续期手续时，甲方有权暂停剩余费用的支付，并收取合同总价万分之五的违约金</w:t>
      </w:r>
      <w:r>
        <w:rPr>
          <w:rFonts w:hint="eastAsia" w:asciiTheme="minorEastAsia" w:hAnsiTheme="minorEastAsia" w:eastAsiaTheme="minorEastAsia" w:cstheme="minorEastAsia"/>
          <w:color w:val="auto"/>
          <w:highlight w:val="none"/>
        </w:rPr>
        <w:t>。</w:t>
      </w:r>
    </w:p>
    <w:p>
      <w:pPr>
        <w:numPr>
          <w:ilvl w:val="0"/>
          <w:numId w:val="7"/>
        </w:numPr>
        <w:tabs>
          <w:tab w:val="left" w:pos="840"/>
          <w:tab w:val="left" w:pos="8364"/>
          <w:tab w:val="clear" w:pos="1134"/>
        </w:tabs>
        <w:spacing w:before="0" w:afterAutospacing="0" w:line="360" w:lineRule="auto"/>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i w:val="0"/>
          <w:iCs w:val="0"/>
          <w:caps w:val="0"/>
          <w:color w:val="171A1D"/>
          <w:spacing w:val="0"/>
          <w:sz w:val="21"/>
          <w:szCs w:val="21"/>
          <w:highlight w:val="none"/>
          <w:shd w:val="clear" w:fill="FFFFFF"/>
        </w:rPr>
        <w:t>乙方提交履约保证金所产生的费用由乙方承担</w:t>
      </w:r>
      <w:r>
        <w:rPr>
          <w:rFonts w:hint="eastAsia" w:asciiTheme="minorEastAsia" w:hAnsiTheme="minorEastAsia" w:eastAsiaTheme="minorEastAsia" w:cstheme="minorEastAsia"/>
          <w:color w:val="auto"/>
          <w:highlight w:val="none"/>
        </w:rPr>
        <w:t>。</w:t>
      </w:r>
    </w:p>
    <w:p>
      <w:pPr>
        <w:numPr>
          <w:ilvl w:val="0"/>
          <w:numId w:val="7"/>
        </w:numPr>
        <w:tabs>
          <w:tab w:val="left" w:pos="840"/>
          <w:tab w:val="left" w:pos="8364"/>
          <w:tab w:val="clear" w:pos="1134"/>
        </w:tabs>
        <w:spacing w:before="0" w:afterAutospacing="0" w:line="360" w:lineRule="auto"/>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i w:val="0"/>
          <w:iCs w:val="0"/>
          <w:caps w:val="0"/>
          <w:color w:val="171A1D"/>
          <w:spacing w:val="0"/>
          <w:sz w:val="21"/>
          <w:szCs w:val="21"/>
          <w:highlight w:val="none"/>
          <w:shd w:val="clear" w:fill="FFFFFF"/>
        </w:rPr>
        <w:t>如果在交货期内乙方不能履行其在合同项下的义务，则乙方应承担相应的违约责任，同时甲方有权用履约保证金的资金补偿其任何损失或有权通过银行保函追索，但其剩余的履约保证金仍应满足中标价格5%，乙方应在期限内及时补足担保金额，每逾期一天，按照应补未补部分的万分之五向甲方支付违约金，甲方有权在货款中扣减</w:t>
      </w:r>
      <w:r>
        <w:rPr>
          <w:rFonts w:hint="eastAsia" w:asciiTheme="minorEastAsia" w:hAnsiTheme="minorEastAsia" w:eastAsiaTheme="minorEastAsia" w:cstheme="minorEastAsia"/>
          <w:color w:val="auto"/>
          <w:highlight w:val="none"/>
        </w:rPr>
        <w:t>。</w:t>
      </w:r>
    </w:p>
    <w:p>
      <w:pPr>
        <w:numPr>
          <w:ilvl w:val="0"/>
          <w:numId w:val="7"/>
        </w:numPr>
        <w:tabs>
          <w:tab w:val="left" w:pos="840"/>
          <w:tab w:val="left" w:pos="8364"/>
          <w:tab w:val="clear" w:pos="1134"/>
        </w:tabs>
        <w:spacing w:before="0" w:afterAutospacing="0" w:line="360" w:lineRule="auto"/>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i w:val="0"/>
          <w:iCs w:val="0"/>
          <w:caps w:val="0"/>
          <w:color w:val="171A1D"/>
          <w:spacing w:val="0"/>
          <w:sz w:val="21"/>
          <w:szCs w:val="21"/>
          <w:highlight w:val="none"/>
          <w:shd w:val="clear" w:fill="FFFFFF"/>
        </w:rPr>
        <w:t>履约保证金在本合同全部货物验收合格之日起四十五（45）天后，根据履约期间甲方的索赔情况，将剩余履约保证金款项无息退还乙方</w:t>
      </w:r>
      <w:r>
        <w:rPr>
          <w:rFonts w:hint="eastAsia" w:asciiTheme="minorEastAsia" w:hAnsiTheme="minorEastAsia" w:eastAsiaTheme="minorEastAsia" w:cstheme="minorEastAsia"/>
          <w:color w:val="auto"/>
          <w:highlight w:val="none"/>
        </w:rPr>
        <w:t>。</w:t>
      </w:r>
    </w:p>
    <w:p>
      <w:pPr>
        <w:numPr>
          <w:ilvl w:val="0"/>
          <w:numId w:val="7"/>
        </w:numPr>
        <w:tabs>
          <w:tab w:val="left" w:pos="840"/>
          <w:tab w:val="left" w:pos="8364"/>
          <w:tab w:val="clear" w:pos="1134"/>
        </w:tabs>
        <w:spacing w:before="0" w:afterAutospacing="0" w:line="360" w:lineRule="auto"/>
        <w:ind w:left="0" w:right="0"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i w:val="0"/>
          <w:iCs w:val="0"/>
          <w:caps w:val="0"/>
          <w:color w:val="171A1D"/>
          <w:spacing w:val="0"/>
          <w:sz w:val="21"/>
          <w:szCs w:val="21"/>
          <w:highlight w:val="none"/>
          <w:shd w:val="clear" w:fill="FFFFFF"/>
        </w:rPr>
        <w:t>若发生以下行为，甲方将不退还履约保证金：</w:t>
      </w:r>
    </w:p>
    <w:p>
      <w:pPr>
        <w:numPr>
          <w:ilvl w:val="0"/>
          <w:numId w:val="0"/>
        </w:numPr>
        <w:tabs>
          <w:tab w:val="left" w:pos="840"/>
          <w:tab w:val="left" w:pos="8364"/>
        </w:tabs>
        <w:spacing w:before="0" w:afterAutospacing="0" w:line="360" w:lineRule="auto"/>
        <w:ind w:leftChars="200" w:right="0" w:rightChars="0"/>
        <w:rPr>
          <w:rFonts w:hint="eastAsia" w:asciiTheme="minorEastAsia" w:hAnsiTheme="minorEastAsia" w:eastAsiaTheme="minorEastAsia" w:cstheme="minorEastAsia"/>
          <w:i w:val="0"/>
          <w:iCs w:val="0"/>
          <w:caps w:val="0"/>
          <w:color w:val="171A1D"/>
          <w:spacing w:val="0"/>
          <w:sz w:val="21"/>
          <w:szCs w:val="21"/>
          <w:highlight w:val="none"/>
          <w:shd w:val="clear" w:fill="FFFFFF"/>
        </w:rPr>
      </w:pPr>
      <w:r>
        <w:rPr>
          <w:rFonts w:hint="eastAsia" w:asciiTheme="minorEastAsia" w:hAnsiTheme="minorEastAsia" w:eastAsiaTheme="minorEastAsia" w:cstheme="minorEastAsia"/>
          <w:i w:val="0"/>
          <w:iCs w:val="0"/>
          <w:caps w:val="0"/>
          <w:color w:val="171A1D"/>
          <w:spacing w:val="0"/>
          <w:sz w:val="21"/>
          <w:szCs w:val="21"/>
          <w:highlight w:val="none"/>
          <w:shd w:val="clear" w:fill="FFFFFF"/>
          <w:lang w:val="en-US" w:eastAsia="zh-CN"/>
        </w:rPr>
        <w:t xml:space="preserve">7.7.1 </w:t>
      </w:r>
      <w:r>
        <w:rPr>
          <w:rFonts w:hint="eastAsia" w:asciiTheme="minorEastAsia" w:hAnsiTheme="minorEastAsia" w:eastAsiaTheme="minorEastAsia" w:cstheme="minorEastAsia"/>
          <w:i w:val="0"/>
          <w:iCs w:val="0"/>
          <w:caps w:val="0"/>
          <w:color w:val="171A1D"/>
          <w:spacing w:val="0"/>
          <w:sz w:val="21"/>
          <w:szCs w:val="21"/>
          <w:highlight w:val="none"/>
          <w:shd w:val="clear" w:fill="FFFFFF"/>
        </w:rPr>
        <w:t>在合同履行期间，乙方明确表示或者以自己的行为表明不履行主要义务的；</w:t>
      </w:r>
    </w:p>
    <w:p>
      <w:pPr>
        <w:numPr>
          <w:ilvl w:val="0"/>
          <w:numId w:val="0"/>
        </w:numPr>
        <w:tabs>
          <w:tab w:val="left" w:pos="840"/>
          <w:tab w:val="left" w:pos="8364"/>
        </w:tabs>
        <w:spacing w:before="0" w:afterAutospacing="0" w:line="360" w:lineRule="auto"/>
        <w:ind w:leftChars="200" w:right="0" w:rightChars="0"/>
        <w:rPr>
          <w:rFonts w:hint="eastAsia" w:asciiTheme="minorEastAsia" w:hAnsiTheme="minorEastAsia" w:eastAsiaTheme="minorEastAsia" w:cstheme="minorEastAsia"/>
          <w:i w:val="0"/>
          <w:iCs w:val="0"/>
          <w:caps w:val="0"/>
          <w:color w:val="171A1D"/>
          <w:spacing w:val="0"/>
          <w:sz w:val="21"/>
          <w:szCs w:val="21"/>
          <w:highlight w:val="none"/>
          <w:shd w:val="clear" w:fill="FFFFFF"/>
        </w:rPr>
      </w:pPr>
      <w:r>
        <w:rPr>
          <w:rFonts w:hint="eastAsia" w:asciiTheme="minorEastAsia" w:hAnsiTheme="minorEastAsia" w:eastAsiaTheme="minorEastAsia" w:cstheme="minorEastAsia"/>
          <w:i w:val="0"/>
          <w:iCs w:val="0"/>
          <w:caps w:val="0"/>
          <w:color w:val="171A1D"/>
          <w:spacing w:val="0"/>
          <w:sz w:val="21"/>
          <w:szCs w:val="21"/>
          <w:highlight w:val="none"/>
          <w:shd w:val="clear" w:fill="FFFFFF"/>
          <w:lang w:val="en-US" w:eastAsia="zh-CN"/>
        </w:rPr>
        <w:t xml:space="preserve">7.7.2 </w:t>
      </w:r>
      <w:r>
        <w:rPr>
          <w:rFonts w:hint="eastAsia" w:asciiTheme="minorEastAsia" w:hAnsiTheme="minorEastAsia" w:eastAsiaTheme="minorEastAsia" w:cstheme="minorEastAsia"/>
          <w:i w:val="0"/>
          <w:iCs w:val="0"/>
          <w:caps w:val="0"/>
          <w:color w:val="171A1D"/>
          <w:spacing w:val="0"/>
          <w:sz w:val="21"/>
          <w:szCs w:val="21"/>
          <w:highlight w:val="none"/>
          <w:shd w:val="clear" w:fill="FFFFFF"/>
        </w:rPr>
        <w:t>乙方迟延履行主要义务，经催告后在合理期限内仍未履行的；</w:t>
      </w:r>
    </w:p>
    <w:p>
      <w:pPr>
        <w:numPr>
          <w:ilvl w:val="0"/>
          <w:numId w:val="0"/>
        </w:numPr>
        <w:tabs>
          <w:tab w:val="left" w:pos="840"/>
          <w:tab w:val="left" w:pos="8364"/>
        </w:tabs>
        <w:spacing w:before="0" w:afterAutospacing="0" w:line="360" w:lineRule="auto"/>
        <w:ind w:leftChars="200" w:right="0" w:rightChars="0"/>
        <w:rPr>
          <w:rFonts w:hint="eastAsia" w:asciiTheme="minorEastAsia" w:hAnsiTheme="minorEastAsia" w:eastAsiaTheme="minorEastAsia" w:cstheme="minorEastAsia"/>
          <w:i w:val="0"/>
          <w:iCs w:val="0"/>
          <w:caps w:val="0"/>
          <w:color w:val="171A1D"/>
          <w:spacing w:val="0"/>
          <w:sz w:val="21"/>
          <w:szCs w:val="21"/>
          <w:highlight w:val="none"/>
          <w:shd w:val="clear" w:fill="FFFFFF"/>
        </w:rPr>
      </w:pPr>
      <w:r>
        <w:rPr>
          <w:rFonts w:hint="eastAsia" w:asciiTheme="minorEastAsia" w:hAnsiTheme="minorEastAsia" w:eastAsiaTheme="minorEastAsia" w:cstheme="minorEastAsia"/>
          <w:i w:val="0"/>
          <w:iCs w:val="0"/>
          <w:caps w:val="0"/>
          <w:color w:val="171A1D"/>
          <w:spacing w:val="0"/>
          <w:sz w:val="21"/>
          <w:szCs w:val="21"/>
          <w:highlight w:val="none"/>
          <w:shd w:val="clear" w:fill="FFFFFF"/>
          <w:lang w:val="en-US" w:eastAsia="zh-CN"/>
        </w:rPr>
        <w:t xml:space="preserve">7.7.3 </w:t>
      </w:r>
      <w:r>
        <w:rPr>
          <w:rFonts w:hint="eastAsia" w:asciiTheme="minorEastAsia" w:hAnsiTheme="minorEastAsia" w:eastAsiaTheme="minorEastAsia" w:cstheme="minorEastAsia"/>
          <w:i w:val="0"/>
          <w:iCs w:val="0"/>
          <w:caps w:val="0"/>
          <w:color w:val="171A1D"/>
          <w:spacing w:val="0"/>
          <w:sz w:val="21"/>
          <w:szCs w:val="21"/>
          <w:highlight w:val="none"/>
          <w:shd w:val="clear" w:fill="FFFFFF"/>
        </w:rPr>
        <w:t>乙方履行的义务不符合合同约定，经甲方催告后未在合理期限内整改完毕的；</w:t>
      </w:r>
    </w:p>
    <w:p>
      <w:pPr>
        <w:numPr>
          <w:ilvl w:val="0"/>
          <w:numId w:val="0"/>
        </w:numPr>
        <w:tabs>
          <w:tab w:val="left" w:pos="840"/>
          <w:tab w:val="left" w:pos="8364"/>
        </w:tabs>
        <w:spacing w:before="0" w:afterAutospacing="0" w:line="360" w:lineRule="auto"/>
        <w:ind w:leftChars="200" w:right="0" w:rightChars="0"/>
        <w:rPr>
          <w:rFonts w:hint="eastAsia" w:asciiTheme="minorEastAsia" w:hAnsiTheme="minorEastAsia" w:eastAsiaTheme="minorEastAsia" w:cstheme="minorEastAsia"/>
          <w:i w:val="0"/>
          <w:iCs w:val="0"/>
          <w:caps w:val="0"/>
          <w:color w:val="171A1D"/>
          <w:spacing w:val="0"/>
          <w:sz w:val="21"/>
          <w:szCs w:val="21"/>
          <w:highlight w:val="none"/>
          <w:shd w:val="clear" w:fill="FFFFFF"/>
          <w:lang w:val="en-US" w:eastAsia="zh-CN"/>
        </w:rPr>
      </w:pPr>
      <w:r>
        <w:rPr>
          <w:rFonts w:hint="eastAsia" w:asciiTheme="minorEastAsia" w:hAnsiTheme="minorEastAsia" w:eastAsiaTheme="minorEastAsia" w:cstheme="minorEastAsia"/>
          <w:i w:val="0"/>
          <w:iCs w:val="0"/>
          <w:caps w:val="0"/>
          <w:color w:val="171A1D"/>
          <w:spacing w:val="0"/>
          <w:sz w:val="21"/>
          <w:szCs w:val="21"/>
          <w:highlight w:val="none"/>
          <w:shd w:val="clear" w:fill="FFFFFF"/>
          <w:lang w:val="en-US" w:eastAsia="zh-CN"/>
        </w:rPr>
        <w:t xml:space="preserve">7.7.4 </w:t>
      </w:r>
      <w:r>
        <w:rPr>
          <w:rFonts w:hint="eastAsia" w:asciiTheme="minorEastAsia" w:hAnsiTheme="minorEastAsia" w:eastAsiaTheme="minorEastAsia" w:cstheme="minorEastAsia"/>
          <w:i w:val="0"/>
          <w:iCs w:val="0"/>
          <w:caps w:val="0"/>
          <w:color w:val="171A1D"/>
          <w:spacing w:val="0"/>
          <w:sz w:val="21"/>
          <w:szCs w:val="21"/>
          <w:highlight w:val="none"/>
          <w:shd w:val="clear" w:fill="FFFFFF"/>
        </w:rPr>
        <w:t>乙方其他违约行为导致合同解除或终止的。</w:t>
      </w:r>
    </w:p>
    <w:p>
      <w:pPr>
        <w:tabs>
          <w:tab w:val="left" w:pos="640"/>
          <w:tab w:val="left" w:pos="1843"/>
        </w:tabs>
        <w:spacing w:before="0" w:afterAutospacing="0"/>
        <w:ind w:left="425" w:right="0"/>
        <w:outlineLvl w:val="1"/>
        <w:rPr>
          <w:rFonts w:ascii="宋体" w:hAnsi="宋体"/>
          <w:b/>
          <w:color w:val="auto"/>
        </w:rPr>
      </w:pPr>
      <w:bookmarkStart w:id="226" w:name="_Toc31795"/>
      <w:bookmarkStart w:id="227" w:name="_Toc30234"/>
      <w:bookmarkStart w:id="228" w:name="_Toc25750642"/>
      <w:bookmarkStart w:id="229" w:name="_Toc20899"/>
      <w:bookmarkStart w:id="230" w:name="_Toc32382"/>
      <w:bookmarkStart w:id="231" w:name="_Toc26034"/>
      <w:bookmarkStart w:id="232" w:name="_Toc25873"/>
      <w:bookmarkStart w:id="233" w:name="_Toc29729"/>
      <w:bookmarkStart w:id="234" w:name="_Toc97"/>
      <w:bookmarkStart w:id="235" w:name="_Toc12113"/>
      <w:bookmarkStart w:id="236" w:name="_Toc15512"/>
      <w:bookmarkStart w:id="237" w:name="_Toc1990"/>
      <w:bookmarkStart w:id="238" w:name="_Toc20252"/>
      <w:bookmarkStart w:id="239" w:name="_Toc5676"/>
      <w:bookmarkStart w:id="240" w:name="_Toc2613"/>
      <w:bookmarkStart w:id="241" w:name="_Toc21872"/>
      <w:bookmarkStart w:id="242" w:name="_Toc20550"/>
      <w:bookmarkStart w:id="243" w:name="_Toc7801"/>
      <w:bookmarkStart w:id="244" w:name="_Toc32711"/>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w:t>
      </w:r>
      <w:r>
        <w:rPr>
          <w:rFonts w:hint="eastAsia" w:ascii="宋体" w:hAnsi="宋体"/>
          <w:color w:val="auto"/>
          <w:lang w:val="en-US" w:eastAsia="zh-CN"/>
        </w:rPr>
        <w:t>运营有限公司</w:t>
      </w:r>
      <w:r>
        <w:rPr>
          <w:rFonts w:ascii="宋体" w:hAnsi="宋体"/>
          <w:color w:val="auto"/>
        </w:rPr>
        <w:t>”，检验产生的所有费用包含在项目报价中。中华人民共和国强制检定的工作计量器具明细目录内的仪器仪表必须出具第三方计量检定报告。（如有）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w:t>
      </w:r>
      <w:r>
        <w:rPr>
          <w:rFonts w:hint="eastAsia" w:ascii="宋体" w:hAnsi="宋体"/>
          <w:color w:val="auto"/>
          <w:lang w:val="en-US" w:eastAsia="zh-CN"/>
        </w:rPr>
        <w:t>运营有限公司</w:t>
      </w:r>
      <w:r>
        <w:rPr>
          <w:rFonts w:hint="eastAsia" w:ascii="宋体" w:hAnsi="宋体"/>
          <w:color w:val="auto"/>
        </w:rPr>
        <w:t>”，检验产生的所有费用包含在项目报价中。（如有）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keepNext w:val="0"/>
        <w:keepLines w:val="0"/>
        <w:pageBreakBefore w:val="0"/>
        <w:widowControl/>
        <w:numPr>
          <w:ilvl w:val="1"/>
          <w:numId w:val="8"/>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乙方负责的部分</w:t>
      </w:r>
    </w:p>
    <w:p>
      <w:pPr>
        <w:keepNext w:val="0"/>
        <w:keepLines w:val="0"/>
        <w:pageBreakBefore w:val="0"/>
        <w:widowControl/>
        <w:tabs>
          <w:tab w:val="left" w:pos="1440"/>
        </w:tabs>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乙方负责货物制造过程中货物质量控制检验以及货物运抵现场前后必要的调试。</w:t>
      </w:r>
    </w:p>
    <w:p>
      <w:pPr>
        <w:keepNext w:val="0"/>
        <w:keepLines w:val="0"/>
        <w:pageBreakBefore w:val="0"/>
        <w:widowControl/>
        <w:tabs>
          <w:tab w:val="left" w:pos="1440"/>
        </w:tabs>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乙方应协助甲方组织有关联调、验收工作。</w:t>
      </w:r>
    </w:p>
    <w:p>
      <w:pPr>
        <w:keepNext w:val="0"/>
        <w:keepLines w:val="0"/>
        <w:pageBreakBefore w:val="0"/>
        <w:widowControl/>
        <w:numPr>
          <w:ilvl w:val="1"/>
          <w:numId w:val="8"/>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甲方负责的部分</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甲方参加到货检查、开箱检验等工作直至全部货物验收合格。</w:t>
      </w:r>
    </w:p>
    <w:p>
      <w:pPr>
        <w:keepNext w:val="0"/>
        <w:keepLines w:val="0"/>
        <w:pageBreakBefore w:val="0"/>
        <w:widowControl/>
        <w:numPr>
          <w:ilvl w:val="1"/>
          <w:numId w:val="8"/>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为检验提供货物</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keepNext w:val="0"/>
        <w:keepLines w:val="0"/>
        <w:pageBreakBefore w:val="0"/>
        <w:widowControl/>
        <w:numPr>
          <w:ilvl w:val="1"/>
          <w:numId w:val="8"/>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检验和验收过程中涉及的赔偿条款在合同条款第32条中规定。</w:t>
      </w:r>
    </w:p>
    <w:p>
      <w:pPr>
        <w:keepNext w:val="0"/>
        <w:keepLines w:val="0"/>
        <w:pageBreakBefore w:val="0"/>
        <w:widowControl/>
        <w:numPr>
          <w:ilvl w:val="1"/>
          <w:numId w:val="8"/>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492478771"/>
      <w:bookmarkStart w:id="246" w:name="_Toc385427846"/>
      <w:bookmarkStart w:id="247" w:name="_Toc13241"/>
      <w:bookmarkStart w:id="248" w:name="_Toc1637"/>
      <w:bookmarkStart w:id="249" w:name="_Toc15199"/>
      <w:bookmarkStart w:id="250" w:name="_Toc24667"/>
      <w:bookmarkStart w:id="251" w:name="_Toc4089"/>
      <w:bookmarkStart w:id="252" w:name="_Toc28074"/>
      <w:bookmarkStart w:id="253" w:name="_Toc15424"/>
      <w:bookmarkStart w:id="254" w:name="_Toc378514960"/>
      <w:bookmarkStart w:id="255" w:name="_Toc16105"/>
      <w:bookmarkStart w:id="256" w:name="_Toc8743"/>
      <w:bookmarkStart w:id="257" w:name="_Toc390098472"/>
      <w:bookmarkStart w:id="258" w:name="_Toc6736"/>
      <w:bookmarkStart w:id="259" w:name="_Toc25750643"/>
      <w:bookmarkStart w:id="260" w:name="_Toc17625"/>
      <w:bookmarkStart w:id="261" w:name="_Toc19218"/>
      <w:bookmarkStart w:id="262" w:name="_Toc22940"/>
      <w:bookmarkStart w:id="263" w:name="_Toc23750"/>
      <w:bookmarkStart w:id="264" w:name="_Toc489"/>
      <w:bookmarkStart w:id="265" w:name="_Toc17673"/>
      <w:bookmarkStart w:id="266" w:name="_Toc8820"/>
      <w:bookmarkStart w:id="267" w:name="_Toc4466"/>
      <w:bookmarkStart w:id="268" w:name="_Toc370933863"/>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keepNext w:val="0"/>
        <w:keepLines w:val="0"/>
        <w:pageBreakBefore w:val="0"/>
        <w:widowControl/>
        <w:numPr>
          <w:ilvl w:val="1"/>
          <w:numId w:val="9"/>
        </w:numPr>
        <w:tabs>
          <w:tab w:val="left" w:pos="840"/>
          <w:tab w:val="left" w:leader="dot" w:pos="14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keepNext w:val="0"/>
        <w:keepLines w:val="0"/>
        <w:pageBreakBefore w:val="0"/>
        <w:widowControl/>
        <w:numPr>
          <w:ilvl w:val="1"/>
          <w:numId w:val="9"/>
        </w:numPr>
        <w:tabs>
          <w:tab w:val="left" w:pos="840"/>
          <w:tab w:val="left" w:leader="dot" w:pos="14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乙方在包装货物时应考虑甲方现场实际条件。</w:t>
      </w:r>
    </w:p>
    <w:p>
      <w:pPr>
        <w:keepNext w:val="0"/>
        <w:keepLines w:val="0"/>
        <w:pageBreakBefore w:val="0"/>
        <w:widowControl/>
        <w:numPr>
          <w:ilvl w:val="1"/>
          <w:numId w:val="9"/>
        </w:numPr>
        <w:tabs>
          <w:tab w:val="left" w:pos="840"/>
          <w:tab w:val="left" w:leader="dot" w:pos="14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各种货物的松散零部件应采用好的包装方式，装入尺寸适当的箱内。</w:t>
      </w:r>
    </w:p>
    <w:p>
      <w:pPr>
        <w:keepNext w:val="0"/>
        <w:keepLines w:val="0"/>
        <w:pageBreakBefore w:val="0"/>
        <w:widowControl/>
        <w:numPr>
          <w:ilvl w:val="1"/>
          <w:numId w:val="9"/>
        </w:numPr>
        <w:tabs>
          <w:tab w:val="left" w:pos="840"/>
          <w:tab w:val="left" w:leader="dot" w:pos="14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对于裸装货物，乙方应采取特殊措施保护货物及方便搬运。</w:t>
      </w:r>
    </w:p>
    <w:p>
      <w:pPr>
        <w:keepNext w:val="0"/>
        <w:keepLines w:val="0"/>
        <w:pageBreakBefore w:val="0"/>
        <w:widowControl/>
        <w:numPr>
          <w:ilvl w:val="1"/>
          <w:numId w:val="9"/>
        </w:numPr>
        <w:tabs>
          <w:tab w:val="left" w:pos="840"/>
          <w:tab w:val="left" w:leader="dot" w:pos="14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keepNext w:val="0"/>
        <w:keepLines w:val="0"/>
        <w:pageBreakBefore w:val="0"/>
        <w:widowControl/>
        <w:tabs>
          <w:tab w:val="left" w:pos="840"/>
          <w:tab w:val="left" w:pos="1134"/>
        </w:tabs>
        <w:kinsoku/>
        <w:wordWrap/>
        <w:overflowPunct/>
        <w:topLinePunct w:val="0"/>
        <w:autoSpaceDE/>
        <w:autoSpaceDN/>
        <w:bidi w:val="0"/>
        <w:adjustRightInd/>
        <w:snapToGrid/>
        <w:spacing w:before="0" w:afterAutospacing="0" w:line="360" w:lineRule="auto"/>
        <w:ind w:right="0" w:firstLine="422" w:firstLineChars="200"/>
        <w:textAlignment w:val="auto"/>
        <w:outlineLvl w:val="1"/>
        <w:rPr>
          <w:rFonts w:ascii="宋体" w:hAnsi="宋体"/>
          <w:b/>
          <w:color w:val="auto"/>
        </w:rPr>
      </w:pPr>
      <w:r>
        <w:rPr>
          <w:rFonts w:ascii="宋体" w:hAnsi="宋体"/>
          <w:b/>
          <w:color w:val="auto"/>
        </w:rPr>
        <w:t>10.交货和单据</w:t>
      </w:r>
    </w:p>
    <w:p>
      <w:pPr>
        <w:keepNext w:val="0"/>
        <w:keepLines w:val="0"/>
        <w:pageBreakBefore w:val="0"/>
        <w:widowControl/>
        <w:numPr>
          <w:ilvl w:val="1"/>
          <w:numId w:val="10"/>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交货期：</w:t>
      </w:r>
      <w:r>
        <w:t>合同签订之日起</w:t>
      </w:r>
      <w:r>
        <w:rPr>
          <w:rFonts w:hint="eastAsia"/>
          <w:lang w:val="en-US" w:eastAsia="zh-CN"/>
        </w:rPr>
        <w:t>90天</w:t>
      </w:r>
      <w:r>
        <w:t>内完成供货</w:t>
      </w:r>
      <w:r>
        <w:rPr>
          <w:rFonts w:ascii="宋体" w:hAnsi="宋体"/>
          <w:color w:val="auto"/>
        </w:rPr>
        <w:t>，如遇进口物资，进口物资交货期可适当延长，延长情况以</w:t>
      </w:r>
      <w:r>
        <w:rPr>
          <w:rFonts w:hint="eastAsia" w:ascii="宋体" w:hAnsi="宋体"/>
          <w:color w:val="auto"/>
          <w:lang w:val="en-US" w:eastAsia="zh-CN"/>
        </w:rPr>
        <w:t>乙方</w:t>
      </w:r>
      <w:r>
        <w:rPr>
          <w:rFonts w:ascii="宋体" w:hAnsi="宋体"/>
          <w:color w:val="auto"/>
        </w:rPr>
        <w:t>提供的报关单或其他相关证明材料为准，</w:t>
      </w:r>
      <w:r>
        <w:rPr>
          <w:rFonts w:hint="eastAsia" w:ascii="宋体" w:hAnsi="宋体"/>
          <w:color w:val="auto"/>
          <w:lang w:val="en-US" w:eastAsia="zh-CN"/>
        </w:rPr>
        <w:t>原则上</w:t>
      </w:r>
      <w:r>
        <w:rPr>
          <w:rFonts w:ascii="宋体" w:hAnsi="宋体"/>
          <w:color w:val="auto"/>
        </w:rPr>
        <w:t>不超过6</w:t>
      </w:r>
      <w:r>
        <w:rPr>
          <w:rFonts w:hint="eastAsia" w:ascii="宋体" w:hAnsi="宋体"/>
          <w:color w:val="auto"/>
        </w:rPr>
        <w:t>个月。</w:t>
      </w:r>
    </w:p>
    <w:p>
      <w:pPr>
        <w:keepNext w:val="0"/>
        <w:keepLines w:val="0"/>
        <w:pageBreakBefore w:val="0"/>
        <w:widowControl/>
        <w:numPr>
          <w:ilvl w:val="1"/>
          <w:numId w:val="10"/>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keepNext w:val="0"/>
        <w:keepLines w:val="0"/>
        <w:pageBreakBefore w:val="0"/>
        <w:widowControl/>
        <w:numPr>
          <w:ilvl w:val="1"/>
          <w:numId w:val="10"/>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keepNext w:val="0"/>
        <w:keepLines w:val="0"/>
        <w:pageBreakBefore w:val="0"/>
        <w:widowControl/>
        <w:numPr>
          <w:ilvl w:val="1"/>
          <w:numId w:val="10"/>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keepNext w:val="0"/>
        <w:keepLines w:val="0"/>
        <w:pageBreakBefore w:val="0"/>
        <w:widowControl/>
        <w:numPr>
          <w:ilvl w:val="1"/>
          <w:numId w:val="10"/>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乙方应提交的单据执行合同条款的具体规定。</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bookmarkStart w:id="269" w:name="_Toc25750645"/>
      <w:r>
        <w:rPr>
          <w:rFonts w:ascii="宋体" w:hAnsi="宋体"/>
          <w:b/>
          <w:color w:val="auto"/>
        </w:rPr>
        <w:t>11.所有权与风险转移</w:t>
      </w:r>
      <w:bookmarkEnd w:id="269"/>
    </w:p>
    <w:p>
      <w:pPr>
        <w:keepNext w:val="0"/>
        <w:keepLines w:val="0"/>
        <w:pageBreakBefore w:val="0"/>
        <w:widowControl/>
        <w:numPr>
          <w:ilvl w:val="1"/>
          <w:numId w:val="11"/>
        </w:numPr>
        <w:tabs>
          <w:tab w:val="left" w:pos="9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keepNext w:val="0"/>
        <w:keepLines w:val="0"/>
        <w:pageBreakBefore w:val="0"/>
        <w:widowControl/>
        <w:numPr>
          <w:ilvl w:val="1"/>
          <w:numId w:val="11"/>
        </w:numPr>
        <w:tabs>
          <w:tab w:val="left" w:pos="9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货物毁损、灭失的风险在验收合格并移交完毕后由乙方转移到甲方。</w:t>
      </w:r>
    </w:p>
    <w:p>
      <w:pPr>
        <w:keepNext w:val="0"/>
        <w:keepLines w:val="0"/>
        <w:pageBreakBefore w:val="0"/>
        <w:widowControl/>
        <w:numPr>
          <w:ilvl w:val="1"/>
          <w:numId w:val="11"/>
        </w:numPr>
        <w:tabs>
          <w:tab w:val="left" w:pos="9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在拒收情况下，或者解除合同的，货物毁损、灭失的风险由乙方承担。</w:t>
      </w:r>
    </w:p>
    <w:p>
      <w:pPr>
        <w:keepNext w:val="0"/>
        <w:keepLines w:val="0"/>
        <w:pageBreakBefore w:val="0"/>
        <w:widowControl/>
        <w:numPr>
          <w:ilvl w:val="1"/>
          <w:numId w:val="11"/>
        </w:numPr>
        <w:tabs>
          <w:tab w:val="left" w:pos="9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keepNext w:val="0"/>
        <w:keepLines w:val="0"/>
        <w:pageBreakBefore w:val="0"/>
        <w:widowControl/>
        <w:tabs>
          <w:tab w:val="left" w:pos="540"/>
          <w:tab w:val="left" w:pos="840"/>
          <w:tab w:val="left" w:pos="1134"/>
        </w:tabs>
        <w:kinsoku/>
        <w:wordWrap/>
        <w:overflowPunct/>
        <w:topLinePunct w:val="0"/>
        <w:autoSpaceDE/>
        <w:autoSpaceDN/>
        <w:bidi w:val="0"/>
        <w:adjustRightInd/>
        <w:snapToGrid/>
        <w:spacing w:before="0" w:afterAutospacing="0" w:line="360" w:lineRule="auto"/>
        <w:ind w:right="0" w:firstLine="422" w:firstLineChars="200"/>
        <w:textAlignment w:val="auto"/>
        <w:outlineLvl w:val="1"/>
        <w:rPr>
          <w:rFonts w:ascii="宋体" w:hAnsi="宋体"/>
          <w:b/>
          <w:color w:val="auto"/>
        </w:rPr>
      </w:pPr>
      <w:bookmarkStart w:id="270" w:name="_Toc25750646"/>
      <w:r>
        <w:rPr>
          <w:rFonts w:ascii="宋体" w:hAnsi="宋体"/>
          <w:b/>
          <w:color w:val="auto"/>
        </w:rPr>
        <w:t>12.运输</w:t>
      </w:r>
      <w:bookmarkEnd w:id="270"/>
    </w:p>
    <w:p>
      <w:pPr>
        <w:keepNext w:val="0"/>
        <w:keepLines w:val="0"/>
        <w:pageBreakBefore w:val="0"/>
        <w:widowControl/>
        <w:numPr>
          <w:ilvl w:val="0"/>
          <w:numId w:val="12"/>
        </w:numPr>
        <w:tabs>
          <w:tab w:val="left" w:pos="960"/>
          <w:tab w:val="left" w:pos="8364"/>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keepNext w:val="0"/>
        <w:keepLines w:val="0"/>
        <w:pageBreakBefore w:val="0"/>
        <w:widowControl/>
        <w:numPr>
          <w:ilvl w:val="0"/>
          <w:numId w:val="12"/>
        </w:numPr>
        <w:tabs>
          <w:tab w:val="left" w:pos="960"/>
          <w:tab w:val="left" w:pos="8364"/>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bookmarkStart w:id="271" w:name="_Toc25750647"/>
      <w:r>
        <w:rPr>
          <w:rFonts w:ascii="宋体" w:hAnsi="宋体"/>
          <w:b/>
          <w:color w:val="auto"/>
        </w:rPr>
        <w:t>13.服务</w:t>
      </w:r>
      <w:bookmarkEnd w:id="271"/>
    </w:p>
    <w:p>
      <w:pPr>
        <w:keepNext w:val="0"/>
        <w:keepLines w:val="0"/>
        <w:pageBreakBefore w:val="0"/>
        <w:widowControl/>
        <w:numPr>
          <w:ilvl w:val="1"/>
          <w:numId w:val="13"/>
        </w:numPr>
        <w:tabs>
          <w:tab w:val="left" w:pos="10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乙方提供的服务的费用已含在合同价格中。</w:t>
      </w:r>
    </w:p>
    <w:p>
      <w:pPr>
        <w:keepNext w:val="0"/>
        <w:keepLines w:val="0"/>
        <w:pageBreakBefore w:val="0"/>
        <w:widowControl/>
        <w:numPr>
          <w:ilvl w:val="1"/>
          <w:numId w:val="13"/>
        </w:numPr>
        <w:tabs>
          <w:tab w:val="left" w:pos="10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w:t>
      </w:r>
      <w:r>
        <w:rPr>
          <w:rFonts w:hint="eastAsia" w:ascii="宋体" w:hAnsi="宋体"/>
          <w:b/>
          <w:color w:val="auto"/>
          <w:u w:val="single"/>
          <w:lang w:val="en-US" w:eastAsia="zh-CN"/>
        </w:rPr>
        <w:t>12</w:t>
      </w:r>
      <w:r>
        <w:rPr>
          <w:rFonts w:ascii="宋体" w:hAnsi="宋体"/>
          <w:b/>
          <w:color w:val="auto"/>
          <w:u w:val="single"/>
        </w:rPr>
        <w:t xml:space="preserve">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w:t>
      </w:r>
      <w:r>
        <w:rPr>
          <w:rFonts w:hint="eastAsia" w:ascii="宋体" w:hAnsi="宋体"/>
          <w:b/>
          <w:bCs/>
          <w:color w:val="auto"/>
          <w:u w:val="single"/>
          <w:lang w:val="en-US" w:eastAsia="zh-CN"/>
        </w:rPr>
        <w:t>12</w:t>
      </w:r>
      <w:r>
        <w:rPr>
          <w:rFonts w:ascii="宋体" w:hAnsi="宋体"/>
          <w:b/>
          <w:bCs/>
          <w:color w:val="auto"/>
          <w:u w:val="single"/>
        </w:rPr>
        <w:t xml:space="preserve"> </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hint="eastAsia" w:ascii="宋体" w:hAnsi="宋体" w:cs="Arial"/>
          <w:color w:val="auto"/>
        </w:rPr>
      </w:pPr>
      <w:r>
        <w:rPr>
          <w:rFonts w:hint="eastAsia" w:ascii="宋体" w:hAnsi="宋体" w:cs="Arial"/>
          <w:color w:val="auto"/>
        </w:rPr>
        <w:t>②双方确认的质保期满后产品合格证明。</w:t>
      </w:r>
    </w:p>
    <w:p>
      <w:pPr>
        <w:tabs>
          <w:tab w:val="left" w:pos="375"/>
          <w:tab w:val="left" w:pos="960"/>
          <w:tab w:val="left" w:pos="8364"/>
        </w:tabs>
        <w:spacing w:before="0" w:afterAutospacing="0" w:line="360" w:lineRule="auto"/>
        <w:ind w:left="567" w:right="0"/>
        <w:rPr>
          <w:rFonts w:hint="eastAsia" w:ascii="宋体" w:hAnsi="宋体" w:cs="Arial"/>
          <w:color w:val="auto"/>
        </w:rPr>
      </w:pPr>
      <w:r>
        <w:rPr>
          <w:rFonts w:hint="eastAsia" w:ascii="宋体" w:hAnsi="宋体" w:cs="Arial"/>
          <w:color w:val="auto"/>
          <w:lang w:val="en-US" w:eastAsia="zh-CN"/>
        </w:rPr>
        <w:t xml:space="preserve">15.4 </w:t>
      </w: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375"/>
          <w:tab w:val="left" w:pos="960"/>
          <w:tab w:val="left" w:pos="8364"/>
        </w:tabs>
        <w:spacing w:before="0" w:afterAutospacing="0" w:line="360" w:lineRule="auto"/>
        <w:ind w:left="567" w:right="0"/>
        <w:rPr>
          <w:rFonts w:ascii="宋体" w:hAnsi="宋体"/>
          <w:color w:val="auto"/>
        </w:rPr>
      </w:pPr>
      <w:r>
        <w:rPr>
          <w:rFonts w:hint="eastAsia" w:ascii="宋体" w:hAnsi="宋体" w:cs="Arial"/>
          <w:color w:val="auto"/>
          <w:lang w:val="en-US" w:eastAsia="zh-CN"/>
        </w:rPr>
        <w:t>15.5 支付的货币应以人民币支付，但不限于银行转账、汇票、国内信用证、供应链金融产品等支付形式</w:t>
      </w:r>
      <w:r>
        <w:rPr>
          <w:rFonts w:hint="eastAsia" w:ascii="宋体" w:hAnsi="宋体" w:cs="Arial"/>
          <w:color w:val="auto"/>
        </w:rPr>
        <w:t>。</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hint="eastAsia" w:ascii="宋体" w:hAnsi="宋体"/>
          <w:color w:val="auto"/>
          <w:lang w:val="en-US" w:eastAsia="zh-CN"/>
        </w:rPr>
        <w:t>2</w:t>
      </w:r>
      <w:r>
        <w:rPr>
          <w:rFonts w:ascii="宋体" w:hAnsi="宋体"/>
          <w:color w:val="auto"/>
        </w:rPr>
        <w:t>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keepNext w:val="0"/>
        <w:keepLines w:val="0"/>
        <w:pageBreakBefore w:val="0"/>
        <w:widowControl/>
        <w:numPr>
          <w:ilvl w:val="0"/>
          <w:numId w:val="16"/>
        </w:numPr>
        <w:tabs>
          <w:tab w:val="left" w:pos="960"/>
          <w:tab w:val="left" w:pos="8364"/>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hint="eastAsia" w:ascii="宋体" w:hAnsi="宋体"/>
          <w:color w:val="auto"/>
        </w:rPr>
      </w:pPr>
      <w:r>
        <w:rPr>
          <w:rFonts w:hint="eastAsia" w:ascii="宋体" w:hAnsi="宋体"/>
          <w:color w:val="auto"/>
        </w:rPr>
        <w:t>现场知晓</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keepNext w:val="0"/>
        <w:keepLines w:val="0"/>
        <w:pageBreakBefore w:val="0"/>
        <w:widowControl/>
        <w:numPr>
          <w:ilvl w:val="0"/>
          <w:numId w:val="16"/>
        </w:numPr>
        <w:tabs>
          <w:tab w:val="left" w:pos="960"/>
          <w:tab w:val="left" w:pos="8364"/>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价格的充分性</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应当认为乙方已彻底查清，并在本合同价格中充分考虑到了以下各项：</w:t>
      </w:r>
    </w:p>
    <w:p>
      <w:pPr>
        <w:keepNext w:val="0"/>
        <w:keepLines w:val="0"/>
        <w:pageBreakBefore w:val="0"/>
        <w:widowControl/>
        <w:numPr>
          <w:ilvl w:val="0"/>
          <w:numId w:val="17"/>
        </w:numPr>
        <w:tabs>
          <w:tab w:val="left" w:pos="836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影响合同价格的全部条件和情况；</w:t>
      </w:r>
    </w:p>
    <w:p>
      <w:pPr>
        <w:keepNext w:val="0"/>
        <w:keepLines w:val="0"/>
        <w:pageBreakBefore w:val="0"/>
        <w:widowControl/>
        <w:numPr>
          <w:ilvl w:val="0"/>
          <w:numId w:val="17"/>
        </w:numPr>
        <w:tabs>
          <w:tab w:val="left" w:pos="836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完成合同中所述项目的可能性；</w:t>
      </w:r>
    </w:p>
    <w:p>
      <w:pPr>
        <w:keepNext w:val="0"/>
        <w:keepLines w:val="0"/>
        <w:pageBreakBefore w:val="0"/>
        <w:widowControl/>
        <w:numPr>
          <w:ilvl w:val="0"/>
          <w:numId w:val="17"/>
        </w:numPr>
        <w:tabs>
          <w:tab w:val="left" w:pos="836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现场的综合情况；</w:t>
      </w:r>
    </w:p>
    <w:p>
      <w:pPr>
        <w:keepNext w:val="0"/>
        <w:keepLines w:val="0"/>
        <w:pageBreakBefore w:val="0"/>
        <w:widowControl/>
        <w:numPr>
          <w:ilvl w:val="0"/>
          <w:numId w:val="17"/>
        </w:numPr>
        <w:tabs>
          <w:tab w:val="left" w:pos="836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现场总的劳务情况；</w:t>
      </w:r>
    </w:p>
    <w:p>
      <w:pPr>
        <w:keepNext w:val="0"/>
        <w:keepLines w:val="0"/>
        <w:pageBreakBefore w:val="0"/>
        <w:widowControl/>
        <w:numPr>
          <w:ilvl w:val="0"/>
          <w:numId w:val="17"/>
        </w:numPr>
        <w:tabs>
          <w:tab w:val="left" w:pos="836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r>
        <w:rPr>
          <w:rFonts w:ascii="宋体" w:hAnsi="宋体"/>
          <w:b/>
          <w:color w:val="auto"/>
        </w:rPr>
        <w:t>17.合同变更与修改</w:t>
      </w:r>
    </w:p>
    <w:p>
      <w:pPr>
        <w:keepNext w:val="0"/>
        <w:keepLines w:val="0"/>
        <w:pageBreakBefore w:val="0"/>
        <w:widowControl/>
        <w:numPr>
          <w:ilvl w:val="1"/>
          <w:numId w:val="18"/>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keepNext w:val="0"/>
        <w:keepLines w:val="0"/>
        <w:pageBreakBefore w:val="0"/>
        <w:widowControl/>
        <w:numPr>
          <w:ilvl w:val="1"/>
          <w:numId w:val="18"/>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keepNext w:val="0"/>
        <w:keepLines w:val="0"/>
        <w:pageBreakBefore w:val="0"/>
        <w:widowControl/>
        <w:numPr>
          <w:ilvl w:val="1"/>
          <w:numId w:val="18"/>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keepNext w:val="0"/>
        <w:keepLines w:val="0"/>
        <w:pageBreakBefore w:val="0"/>
        <w:widowControl/>
        <w:numPr>
          <w:ilvl w:val="1"/>
          <w:numId w:val="18"/>
        </w:numPr>
        <w:tabs>
          <w:tab w:val="left" w:pos="9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合同项下提供的货物是专为甲方制造时，变更图纸、设计或规格；</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运输或包装的方法；</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交货时间；</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交货地点；</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供货期；</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乙方提供的货物数量及服务；</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w:t>
      </w:r>
      <w:r>
        <w:rPr>
          <w:rFonts w:hint="eastAsia" w:ascii="宋体" w:hAnsi="宋体"/>
          <w:color w:val="auto"/>
        </w:rPr>
        <w:t>中华人民共和国民法典</w:t>
      </w:r>
      <w:r>
        <w:rPr>
          <w:rFonts w:hint="eastAsia" w:ascii="宋体" w:hAnsi="宋体"/>
          <w:color w:val="auto"/>
          <w:lang w:eastAsia="zh-CN"/>
        </w:rPr>
        <w:t>》</w:t>
      </w:r>
      <w:r>
        <w:rPr>
          <w:rFonts w:hint="eastAsia" w:ascii="宋体" w:hAnsi="宋体"/>
          <w:color w:val="auto"/>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keepNext w:val="0"/>
        <w:keepLines w:val="0"/>
        <w:pageBreakBefore w:val="0"/>
        <w:widowControl/>
        <w:numPr>
          <w:ilvl w:val="1"/>
          <w:numId w:val="21"/>
        </w:numPr>
        <w:tabs>
          <w:tab w:val="left" w:pos="9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乙方应按合同条款中规定的交货计划交货。</w:t>
      </w:r>
    </w:p>
    <w:p>
      <w:pPr>
        <w:keepNext w:val="0"/>
        <w:keepLines w:val="0"/>
        <w:pageBreakBefore w:val="0"/>
        <w:widowControl/>
        <w:numPr>
          <w:ilvl w:val="1"/>
          <w:numId w:val="21"/>
        </w:numPr>
        <w:tabs>
          <w:tab w:val="left" w:pos="9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乙方在下列情况下可要求延期交货：</w:t>
      </w:r>
    </w:p>
    <w:p>
      <w:pPr>
        <w:keepNext w:val="0"/>
        <w:keepLines w:val="0"/>
        <w:pageBreakBefore w:val="0"/>
        <w:widowControl/>
        <w:numPr>
          <w:ilvl w:val="1"/>
          <w:numId w:val="22"/>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第</w:t>
      </w:r>
      <w:r>
        <w:rPr>
          <w:rFonts w:ascii="宋体" w:hAnsi="宋体"/>
          <w:color w:val="auto"/>
        </w:rPr>
        <w:t>17条中的变更；</w:t>
      </w:r>
    </w:p>
    <w:p>
      <w:pPr>
        <w:keepNext w:val="0"/>
        <w:keepLines w:val="0"/>
        <w:pageBreakBefore w:val="0"/>
        <w:widowControl/>
        <w:numPr>
          <w:ilvl w:val="1"/>
          <w:numId w:val="22"/>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第</w:t>
      </w:r>
      <w:r>
        <w:rPr>
          <w:rFonts w:ascii="宋体" w:hAnsi="宋体"/>
          <w:color w:val="auto"/>
        </w:rPr>
        <w:t>19条所述之不可抗力；</w:t>
      </w:r>
    </w:p>
    <w:p>
      <w:pPr>
        <w:keepNext w:val="0"/>
        <w:keepLines w:val="0"/>
        <w:pageBreakBefore w:val="0"/>
        <w:widowControl/>
        <w:numPr>
          <w:ilvl w:val="1"/>
          <w:numId w:val="22"/>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甲方签发的延期执行合同的指令；</w:t>
      </w:r>
    </w:p>
    <w:p>
      <w:pPr>
        <w:pStyle w:val="6"/>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keepNext w:val="0"/>
        <w:keepLines w:val="0"/>
        <w:pageBreakBefore w:val="0"/>
        <w:widowControl/>
        <w:numPr>
          <w:ilvl w:val="1"/>
          <w:numId w:val="21"/>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r>
        <w:rPr>
          <w:rFonts w:ascii="宋体" w:hAnsi="宋体"/>
          <w:b/>
          <w:color w:val="auto"/>
        </w:rPr>
        <w:t>21.损失补偿</w:t>
      </w:r>
    </w:p>
    <w:p>
      <w:pPr>
        <w:keepNext w:val="0"/>
        <w:keepLines w:val="0"/>
        <w:pageBreakBefore w:val="0"/>
        <w:widowControl/>
        <w:numPr>
          <w:ilvl w:val="1"/>
          <w:numId w:val="23"/>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keepNext w:val="0"/>
        <w:keepLines w:val="0"/>
        <w:pageBreakBefore w:val="0"/>
        <w:widowControl/>
        <w:tabs>
          <w:tab w:val="left" w:pos="860"/>
          <w:tab w:val="left" w:pos="1134"/>
        </w:tabs>
        <w:kinsoku/>
        <w:wordWrap/>
        <w:overflowPunct/>
        <w:topLinePunct w:val="0"/>
        <w:autoSpaceDE/>
        <w:autoSpaceDN/>
        <w:bidi w:val="0"/>
        <w:adjustRightInd/>
        <w:snapToGrid/>
        <w:spacing w:before="0" w:afterAutospacing="0" w:line="360" w:lineRule="auto"/>
        <w:ind w:left="105" w:leftChars="50" w:right="0" w:firstLine="422" w:firstLineChars="200"/>
        <w:textAlignment w:val="auto"/>
        <w:outlineLvl w:val="1"/>
        <w:rPr>
          <w:rFonts w:ascii="宋体" w:hAnsi="宋体"/>
          <w:b/>
          <w:color w:val="auto"/>
        </w:rPr>
      </w:pPr>
      <w:r>
        <w:rPr>
          <w:rFonts w:ascii="宋体" w:hAnsi="宋体"/>
          <w:b/>
          <w:color w:val="auto"/>
        </w:rPr>
        <w:t>22.</w:t>
      </w:r>
      <w:r>
        <w:rPr>
          <w:rFonts w:hint="eastAsia" w:ascii="宋体" w:hAnsi="宋体"/>
          <w:b/>
          <w:color w:val="auto"/>
        </w:rPr>
        <w:t>拖期终止</w:t>
      </w:r>
    </w:p>
    <w:p>
      <w:pPr>
        <w:keepNext w:val="0"/>
        <w:keepLines w:val="0"/>
        <w:pageBreakBefore w:val="0"/>
        <w:widowControl/>
        <w:numPr>
          <w:ilvl w:val="1"/>
          <w:numId w:val="24"/>
        </w:numPr>
        <w:tabs>
          <w:tab w:val="left" w:pos="9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当发生以下情况时，甲方有权以书面形式通知部分或全部终止合同：</w:t>
      </w:r>
    </w:p>
    <w:p>
      <w:pPr>
        <w:keepNext w:val="0"/>
        <w:keepLines w:val="0"/>
        <w:pageBreakBefore w:val="0"/>
        <w:widowControl/>
        <w:numPr>
          <w:ilvl w:val="1"/>
          <w:numId w:val="25"/>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keepNext w:val="0"/>
        <w:keepLines w:val="0"/>
        <w:pageBreakBefore w:val="0"/>
        <w:widowControl/>
        <w:numPr>
          <w:ilvl w:val="1"/>
          <w:numId w:val="25"/>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如果乙方不能履行合同项下其他义务；</w:t>
      </w:r>
    </w:p>
    <w:p>
      <w:pPr>
        <w:keepNext w:val="0"/>
        <w:keepLines w:val="0"/>
        <w:pageBreakBefore w:val="0"/>
        <w:widowControl/>
        <w:numPr>
          <w:ilvl w:val="1"/>
          <w:numId w:val="25"/>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keepNext w:val="0"/>
        <w:keepLines w:val="0"/>
        <w:pageBreakBefore w:val="0"/>
        <w:widowControl/>
        <w:numPr>
          <w:ilvl w:val="1"/>
          <w:numId w:val="24"/>
        </w:numPr>
        <w:tabs>
          <w:tab w:val="left" w:pos="9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r>
        <w:rPr>
          <w:rFonts w:ascii="宋体" w:hAnsi="宋体"/>
          <w:b/>
          <w:color w:val="auto"/>
        </w:rPr>
        <w:t>23.破产终止</w:t>
      </w:r>
    </w:p>
    <w:p>
      <w:pPr>
        <w:keepNext w:val="0"/>
        <w:keepLines w:val="0"/>
        <w:pageBreakBefore w:val="0"/>
        <w:widowControl/>
        <w:numPr>
          <w:ilvl w:val="1"/>
          <w:numId w:val="26"/>
        </w:numPr>
        <w:tabs>
          <w:tab w:val="left" w:pos="9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如乙方破产，甲方有权可以在任意时间，以书面形式通知终止合同，且不必补偿供货人损失。</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r>
        <w:rPr>
          <w:rFonts w:ascii="宋体" w:hAnsi="宋体"/>
          <w:b/>
          <w:color w:val="auto"/>
        </w:rPr>
        <w:t>24.方便终止</w:t>
      </w:r>
    </w:p>
    <w:p>
      <w:pPr>
        <w:keepNext w:val="0"/>
        <w:keepLines w:val="0"/>
        <w:pageBreakBefore w:val="0"/>
        <w:widowControl/>
        <w:numPr>
          <w:ilvl w:val="1"/>
          <w:numId w:val="27"/>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keepNext w:val="0"/>
        <w:keepLines w:val="0"/>
        <w:pageBreakBefore w:val="0"/>
        <w:widowControl/>
        <w:tabs>
          <w:tab w:val="left" w:pos="420"/>
          <w:tab w:val="left" w:pos="1020"/>
        </w:tabs>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3"/>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3"/>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3"/>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3"/>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3"/>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3"/>
        <w:keepNext w:val="0"/>
        <w:keepLines w:val="0"/>
        <w:pageBreakBefore w:val="0"/>
        <w:widowControl/>
        <w:numPr>
          <w:ilvl w:val="0"/>
          <w:numId w:val="37"/>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3"/>
        <w:keepNext w:val="0"/>
        <w:keepLines w:val="0"/>
        <w:pageBreakBefore w:val="0"/>
        <w:widowControl/>
        <w:numPr>
          <w:ilvl w:val="0"/>
          <w:numId w:val="39"/>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修理</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3"/>
        <w:keepNext w:val="0"/>
        <w:keepLines w:val="0"/>
        <w:pageBreakBefore w:val="0"/>
        <w:widowControl/>
        <w:numPr>
          <w:ilvl w:val="0"/>
          <w:numId w:val="39"/>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替换</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3"/>
        <w:keepNext w:val="0"/>
        <w:keepLines w:val="0"/>
        <w:pageBreakBefore w:val="0"/>
        <w:widowControl/>
        <w:numPr>
          <w:ilvl w:val="0"/>
          <w:numId w:val="39"/>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退货</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拒收货物的运输和保险费及其它杂费应由乙方支付。</w:t>
      </w:r>
    </w:p>
    <w:p>
      <w:pPr>
        <w:pStyle w:val="13"/>
        <w:keepNext w:val="0"/>
        <w:keepLines w:val="0"/>
        <w:pageBreakBefore w:val="0"/>
        <w:widowControl/>
        <w:numPr>
          <w:ilvl w:val="0"/>
          <w:numId w:val="39"/>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延迟违约金</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3"/>
        <w:keepNext w:val="0"/>
        <w:keepLines w:val="0"/>
        <w:pageBreakBefore w:val="0"/>
        <w:widowControl/>
        <w:numPr>
          <w:ilvl w:val="0"/>
          <w:numId w:val="40"/>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延迟交付使用的，每天加收合同总价的万分之六的违约金；</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文件提交延误违约金</w:t>
      </w:r>
    </w:p>
    <w:p>
      <w:pPr>
        <w:pStyle w:val="13"/>
        <w:keepNext w:val="0"/>
        <w:keepLines w:val="0"/>
        <w:pageBreakBefore w:val="0"/>
        <w:widowControl/>
        <w:numPr>
          <w:ilvl w:val="0"/>
          <w:numId w:val="41"/>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质量保证期赔偿</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违约金与赔偿金额计算</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3"/>
        <w:keepNext w:val="0"/>
        <w:keepLines w:val="0"/>
        <w:pageBreakBefore w:val="0"/>
        <w:widowControl/>
        <w:numPr>
          <w:ilvl w:val="0"/>
          <w:numId w:val="35"/>
        </w:numPr>
        <w:tabs>
          <w:tab w:val="left" w:pos="100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违约金与赔偿金的支付</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3"/>
        <w:keepNext w:val="0"/>
        <w:keepLines w:val="0"/>
        <w:pageBreakBefore w:val="0"/>
        <w:widowControl/>
        <w:numPr>
          <w:ilvl w:val="0"/>
          <w:numId w:val="35"/>
        </w:numPr>
        <w:tabs>
          <w:tab w:val="left" w:pos="100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3"/>
        <w:keepNext w:val="0"/>
        <w:keepLines w:val="0"/>
        <w:pageBreakBefore w:val="0"/>
        <w:widowControl/>
        <w:numPr>
          <w:ilvl w:val="0"/>
          <w:numId w:val="35"/>
        </w:numPr>
        <w:tabs>
          <w:tab w:val="left" w:pos="100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3"/>
        <w:keepNext w:val="0"/>
        <w:keepLines w:val="0"/>
        <w:pageBreakBefore w:val="0"/>
        <w:widowControl/>
        <w:numPr>
          <w:ilvl w:val="0"/>
          <w:numId w:val="35"/>
        </w:numPr>
        <w:tabs>
          <w:tab w:val="left" w:pos="100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3"/>
        <w:keepNext w:val="0"/>
        <w:keepLines w:val="0"/>
        <w:pageBreakBefore w:val="0"/>
        <w:widowControl/>
        <w:numPr>
          <w:ilvl w:val="0"/>
          <w:numId w:val="35"/>
        </w:numPr>
        <w:tabs>
          <w:tab w:val="left" w:pos="100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3"/>
        <w:keepNext w:val="0"/>
        <w:keepLines w:val="0"/>
        <w:pageBreakBefore w:val="0"/>
        <w:widowControl/>
        <w:numPr>
          <w:ilvl w:val="0"/>
          <w:numId w:val="35"/>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r>
        <w:rPr>
          <w:rFonts w:ascii="宋体" w:hAnsi="宋体"/>
          <w:b/>
          <w:color w:val="auto"/>
        </w:rPr>
        <w:t>33.合同终止与暂停</w:t>
      </w:r>
    </w:p>
    <w:p>
      <w:pPr>
        <w:keepNext w:val="0"/>
        <w:keepLines w:val="0"/>
        <w:pageBreakBefore w:val="0"/>
        <w:widowControl/>
        <w:numPr>
          <w:ilvl w:val="1"/>
          <w:numId w:val="42"/>
        </w:numPr>
        <w:tabs>
          <w:tab w:val="left" w:pos="9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合同终止</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合同终止包括以下几种情形：</w:t>
      </w:r>
    </w:p>
    <w:p>
      <w:pPr>
        <w:keepNext w:val="0"/>
        <w:keepLines w:val="0"/>
        <w:pageBreakBefore w:val="0"/>
        <w:widowControl/>
        <w:numPr>
          <w:ilvl w:val="1"/>
          <w:numId w:val="43"/>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当买卖双方完成了合同中规定的所有责任和义务，合同终止；</w:t>
      </w:r>
    </w:p>
    <w:p>
      <w:pPr>
        <w:keepNext w:val="0"/>
        <w:keepLines w:val="0"/>
        <w:pageBreakBefore w:val="0"/>
        <w:widowControl/>
        <w:numPr>
          <w:ilvl w:val="1"/>
          <w:numId w:val="43"/>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乙方违约时的终止和甲方违约时的终止；</w:t>
      </w:r>
    </w:p>
    <w:p>
      <w:pPr>
        <w:keepNext w:val="0"/>
        <w:keepLines w:val="0"/>
        <w:pageBreakBefore w:val="0"/>
        <w:widowControl/>
        <w:numPr>
          <w:ilvl w:val="1"/>
          <w:numId w:val="43"/>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因甲方的便利而终止合同。</w:t>
      </w:r>
    </w:p>
    <w:p>
      <w:pPr>
        <w:keepNext w:val="0"/>
        <w:keepLines w:val="0"/>
        <w:pageBreakBefore w:val="0"/>
        <w:widowControl/>
        <w:numPr>
          <w:ilvl w:val="1"/>
          <w:numId w:val="42"/>
        </w:numPr>
        <w:tabs>
          <w:tab w:val="left" w:pos="10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违约通知</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keepNext w:val="0"/>
        <w:keepLines w:val="0"/>
        <w:pageBreakBefore w:val="0"/>
        <w:widowControl/>
        <w:numPr>
          <w:ilvl w:val="1"/>
          <w:numId w:val="42"/>
        </w:numPr>
        <w:tabs>
          <w:tab w:val="left" w:pos="10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乙方违约时的终止</w:t>
      </w:r>
    </w:p>
    <w:p>
      <w:pPr>
        <w:keepNext w:val="0"/>
        <w:keepLines w:val="0"/>
        <w:pageBreakBefore w:val="0"/>
        <w:widowControl/>
        <w:numPr>
          <w:ilvl w:val="1"/>
          <w:numId w:val="44"/>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如果乙方有以下情形之一：</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ascii="宋体" w:hAnsi="宋体"/>
          <w:color w:val="auto"/>
        </w:rPr>
        <w:t>33.3.1.2没有甲方的书面同意转让合同或将项目的全部或部分分包出去。</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为此目的，定义下述条件：</w:t>
      </w:r>
    </w:p>
    <w:p>
      <w:pPr>
        <w:keepNext w:val="0"/>
        <w:keepLines w:val="0"/>
        <w:pageBreakBefore w:val="0"/>
        <w:widowControl/>
        <w:tabs>
          <w:tab w:val="left" w:pos="1800"/>
        </w:tabs>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w:t>
      </w:r>
      <w:r>
        <w:rPr>
          <w:rFonts w:hint="eastAsia" w:ascii="宋体" w:hAnsi="宋体"/>
          <w:color w:val="auto"/>
          <w:lang w:val="en-US" w:eastAsia="zh-CN"/>
        </w:rPr>
        <w:t>证明文件（合格证书/出厂检测/检验报告）（如有）</w:t>
      </w:r>
      <w:r>
        <w:rPr>
          <w:rFonts w:hint="eastAsia" w:ascii="宋体" w:hAnsi="宋体"/>
          <w:color w:val="auto"/>
        </w:rPr>
        <w:t>、保修证书（如有）、产品使用说明书（如有）、制造商或其授权经销商出具的有效原厂供货证明</w:t>
      </w:r>
      <w:r>
        <w:rPr>
          <w:rFonts w:hint="eastAsia" w:ascii="宋体" w:hAnsi="宋体"/>
          <w:color w:val="auto"/>
          <w:lang w:val="en-US" w:eastAsia="zh-CN"/>
        </w:rPr>
        <w:t>文件（如有）</w:t>
      </w:r>
      <w:r>
        <w:rPr>
          <w:rFonts w:hint="eastAsia" w:ascii="宋体" w:hAnsi="宋体"/>
          <w:color w:val="auto"/>
        </w:rPr>
        <w:t>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16443"/>
      <w:bookmarkStart w:id="274" w:name="_Toc21635"/>
      <w:bookmarkStart w:id="275" w:name="_Toc29249"/>
      <w:bookmarkStart w:id="276" w:name="_Toc27316"/>
      <w:bookmarkStart w:id="277" w:name="_Toc5644"/>
      <w:bookmarkStart w:id="278" w:name="_Toc13288"/>
      <w:bookmarkStart w:id="279" w:name="_Toc19448"/>
      <w:bookmarkStart w:id="280" w:name="_Toc6194"/>
      <w:bookmarkStart w:id="281" w:name="_Toc12983548"/>
      <w:bookmarkStart w:id="282" w:name="_Toc12470"/>
      <w:bookmarkStart w:id="283" w:name="_Toc21372"/>
      <w:bookmarkStart w:id="284" w:name="_Toc14997"/>
      <w:bookmarkStart w:id="285" w:name="_Toc2753"/>
      <w:bookmarkStart w:id="286" w:name="_Toc5186"/>
      <w:bookmarkStart w:id="287" w:name="_Toc27258"/>
      <w:bookmarkStart w:id="288" w:name="_Toc21033"/>
      <w:bookmarkStart w:id="289" w:name="_Toc21659"/>
      <w:bookmarkStart w:id="290" w:name="_Toc16716"/>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hint="default" w:ascii="宋体" w:hAnsi="宋体" w:eastAsia="宋体"/>
          <w:color w:val="auto"/>
          <w:lang w:val="en-US" w:eastAsia="zh-CN"/>
        </w:rPr>
      </w:pPr>
      <w:r>
        <w:rPr>
          <w:rFonts w:hint="eastAsia" w:ascii="宋体" w:hAnsi="宋体"/>
          <w:color w:val="auto"/>
        </w:rPr>
        <w:t>致：南宁轨道交通</w:t>
      </w:r>
      <w:r>
        <w:rPr>
          <w:rFonts w:hint="eastAsia" w:ascii="宋体" w:hAnsi="宋体"/>
          <w:color w:val="auto"/>
          <w:lang w:val="en-US" w:eastAsia="zh-CN"/>
        </w:rPr>
        <w:t>运营有限公司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eastAsia="zh-CN"/>
        </w:rPr>
        <w:t>2021年卡斯柯备件</w:t>
      </w:r>
      <w:r>
        <w:rPr>
          <w:rFonts w:hint="eastAsia" w:ascii="宋体" w:hAnsi="宋体"/>
          <w:color w:val="auto"/>
          <w:u w:val="single"/>
          <w:lang w:val="en-US" w:eastAsia="zh-CN"/>
        </w:rPr>
        <w:t>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autoSpaceDE w:val="0"/>
        <w:autoSpaceDN w:val="0"/>
        <w:ind w:right="-57"/>
        <w:jc w:val="left"/>
        <w:rPr>
          <w:rFonts w:ascii="宋体" w:hAnsi="宋体"/>
          <w:color w:val="auto"/>
        </w:rPr>
      </w:pPr>
      <w:r>
        <w:rPr>
          <w:rFonts w:hint="eastAsia" w:ascii="宋体" w:hAnsi="宋体"/>
          <w:color w:val="auto"/>
        </w:rPr>
        <w:t>南宁轨道交通</w:t>
      </w:r>
      <w:r>
        <w:rPr>
          <w:rFonts w:hint="eastAsia" w:ascii="宋体" w:hAnsi="宋体"/>
          <w:color w:val="auto"/>
          <w:lang w:val="en-US" w:eastAsia="zh-CN"/>
        </w:rPr>
        <w:t>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（项目名称）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rPr>
        <w:t>南宁轨道交通</w:t>
      </w:r>
      <w:r>
        <w:rPr>
          <w:rFonts w:hint="eastAsia" w:ascii="宋体" w:hAnsi="宋体"/>
          <w:color w:val="auto"/>
          <w:lang w:val="en-US" w:eastAsia="zh-CN"/>
        </w:rPr>
        <w:t>运营有限公司</w:t>
      </w:r>
      <w:r>
        <w:rPr>
          <w:rFonts w:hint="eastAsia" w:ascii="宋体" w:hAnsi="宋体"/>
          <w:color w:val="auto"/>
          <w:sz w:val="24"/>
          <w:szCs w:val="24"/>
        </w:rPr>
        <w:t>：</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u w:val="single"/>
          <w:lang w:val="en-US" w:eastAsia="zh-CN"/>
        </w:rPr>
        <w:t xml:space="preserve"> </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w:t>
                  </w:r>
                  <w:r>
                    <w:rPr>
                      <w:rFonts w:hint="eastAsia" w:ascii="宋体" w:hAnsi="宋体" w:cs="宋体"/>
                      <w:b/>
                      <w:color w:val="auto"/>
                      <w:kern w:val="2"/>
                      <w:lang w:val="en-US" w:eastAsia="zh-CN" w:bidi="ar"/>
                    </w:rPr>
                    <w:t xml:space="preserve">有限公司 </w:t>
                  </w:r>
                  <w:r>
                    <w:rPr>
                      <w:rFonts w:hint="eastAsia"/>
                      <w:color w:val="auto"/>
                    </w:rPr>
                    <w:t xml:space="preserve"> </w:t>
                  </w:r>
                  <w:r>
                    <w:rPr>
                      <w:rFonts w:ascii="宋体" w:hAnsi="宋体" w:cs="宋体"/>
                      <w:b/>
                      <w:color w:val="auto"/>
                      <w:kern w:val="2"/>
                      <w:lang w:bidi="ar"/>
                    </w:rPr>
                    <w:t xml:space="preserve">采购项目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w:t>
                  </w:r>
                  <w:r>
                    <w:rPr>
                      <w:rFonts w:hint="eastAsia" w:ascii="宋体" w:hAnsi="宋体" w:cs="宋体"/>
                      <w:color w:val="auto"/>
                      <w:lang w:val="en-US" w:eastAsia="zh-CN" w:bidi="ar"/>
                    </w:rPr>
                    <w:t>运营有限公司</w:t>
                  </w:r>
                  <w:r>
                    <w:rPr>
                      <w:rFonts w:hint="eastAsia" w:ascii="宋体" w:hAnsi="宋体" w:cs="宋体"/>
                      <w:color w:val="auto"/>
                      <w:lang w:bidi="ar"/>
                    </w:rPr>
                    <w:t>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9" w:type="default"/>
          <w:pgSz w:w="11905" w:h="16838"/>
          <w:pgMar w:top="1417" w:right="1417" w:bottom="1417" w:left="1417" w:header="454" w:footer="567" w:gutter="0"/>
          <w:pgNumType w:fmt="decimal"/>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4"/>
          <w:color w:val="auto"/>
          <w:szCs w:val="22"/>
        </w:rPr>
      </w:pPr>
      <w:r>
        <w:rPr>
          <w:rStyle w:val="14"/>
          <w:rFonts w:hint="eastAsia"/>
          <w:color w:val="auto"/>
          <w:szCs w:val="22"/>
        </w:rPr>
        <w:t>价格组成文件</w:t>
      </w:r>
    </w:p>
    <w:p>
      <w:pPr>
        <w:numPr>
          <w:ilvl w:val="0"/>
          <w:numId w:val="0"/>
        </w:numPr>
        <w:spacing w:before="0" w:line="360" w:lineRule="auto"/>
        <w:ind w:right="0" w:rightChars="0"/>
        <w:jc w:val="both"/>
        <w:outlineLvl w:val="1"/>
        <w:rPr>
          <w:rStyle w:val="14"/>
          <w:color w:val="auto"/>
          <w:szCs w:val="22"/>
        </w:rPr>
      </w:pPr>
    </w:p>
    <w:p>
      <w:pPr>
        <w:numPr>
          <w:ilvl w:val="0"/>
          <w:numId w:val="52"/>
        </w:numPr>
        <w:spacing w:before="0" w:line="360" w:lineRule="auto"/>
        <w:ind w:left="420" w:leftChars="200" w:right="0"/>
        <w:jc w:val="center"/>
        <w:outlineLvl w:val="1"/>
        <w:rPr>
          <w:rStyle w:val="14"/>
          <w:color w:val="auto"/>
          <w:szCs w:val="22"/>
        </w:rPr>
      </w:pPr>
      <w:r>
        <w:rPr>
          <w:rStyle w:val="14"/>
          <w:rFonts w:hint="eastAsia"/>
          <w:color w:val="auto"/>
          <w:szCs w:val="22"/>
        </w:rPr>
        <w:t>技术</w:t>
      </w:r>
      <w:r>
        <w:rPr>
          <w:rStyle w:val="14"/>
          <w:rFonts w:hint="eastAsia"/>
          <w:color w:val="auto"/>
          <w:szCs w:val="22"/>
          <w:lang w:val="en-US" w:eastAsia="zh-CN"/>
        </w:rPr>
        <w:t>规格书</w:t>
      </w:r>
    </w:p>
    <w:p>
      <w:pPr>
        <w:spacing w:before="0" w:line="360" w:lineRule="auto"/>
        <w:ind w:left="420" w:leftChars="200" w:right="0"/>
        <w:jc w:val="center"/>
        <w:outlineLvl w:val="1"/>
        <w:rPr>
          <w:rStyle w:val="14"/>
          <w:color w:val="auto"/>
          <w:szCs w:val="22"/>
        </w:rPr>
      </w:pPr>
      <w:r>
        <w:rPr>
          <w:rStyle w:val="14"/>
          <w:rFonts w:hint="eastAsia"/>
          <w:color w:val="auto"/>
          <w:szCs w:val="22"/>
        </w:rPr>
        <w:t>详见附件3</w:t>
      </w:r>
    </w:p>
    <w:p>
      <w:pPr>
        <w:numPr>
          <w:ilvl w:val="0"/>
          <w:numId w:val="0"/>
        </w:numPr>
        <w:spacing w:before="0" w:line="360" w:lineRule="auto"/>
        <w:ind w:right="0" w:rightChars="0"/>
        <w:jc w:val="both"/>
        <w:outlineLvl w:val="1"/>
        <w:rPr>
          <w:rStyle w:val="14"/>
          <w:color w:val="auto"/>
          <w:szCs w:val="22"/>
        </w:rPr>
      </w:pPr>
    </w:p>
    <w:p>
      <w:pPr>
        <w:pStyle w:val="13"/>
        <w:numPr>
          <w:ilvl w:val="0"/>
          <w:numId w:val="52"/>
        </w:numPr>
        <w:jc w:val="center"/>
        <w:rPr>
          <w:rStyle w:val="14"/>
          <w:rFonts w:ascii="Times New Roman" w:hAnsi="Times New Roman"/>
          <w:color w:val="auto"/>
          <w:szCs w:val="22"/>
        </w:rPr>
      </w:pPr>
      <w:r>
        <w:rPr>
          <w:rStyle w:val="14"/>
          <w:rFonts w:hint="eastAsia" w:ascii="Times New Roman" w:hAnsi="Times New Roman"/>
          <w:color w:val="auto"/>
          <w:szCs w:val="22"/>
        </w:rPr>
        <w:t>询比价文件（另册）</w:t>
      </w:r>
    </w:p>
    <w:p>
      <w:pPr>
        <w:numPr>
          <w:ilvl w:val="0"/>
          <w:numId w:val="0"/>
        </w:numPr>
        <w:spacing w:before="0" w:line="360" w:lineRule="auto"/>
        <w:ind w:right="0" w:rightChars="0"/>
        <w:jc w:val="both"/>
        <w:outlineLvl w:val="1"/>
        <w:rPr>
          <w:rStyle w:val="14"/>
          <w:color w:val="auto"/>
          <w:szCs w:val="22"/>
        </w:rPr>
      </w:pPr>
    </w:p>
    <w:p>
      <w:pPr>
        <w:pStyle w:val="13"/>
        <w:numPr>
          <w:ilvl w:val="0"/>
          <w:numId w:val="52"/>
        </w:numPr>
        <w:jc w:val="center"/>
        <w:rPr>
          <w:rStyle w:val="14"/>
          <w:color w:val="auto"/>
          <w:szCs w:val="22"/>
        </w:rPr>
        <w:sectPr>
          <w:footerReference r:id="rId10" w:type="default"/>
          <w:pgSz w:w="11906" w:h="16838"/>
          <w:pgMar w:top="1440" w:right="1803" w:bottom="1440" w:left="1803" w:header="851" w:footer="992" w:gutter="0"/>
          <w:pgNumType w:fmt="decimal"/>
          <w:cols w:space="0" w:num="1"/>
          <w:docGrid w:type="lines" w:linePitch="319" w:charSpace="0"/>
        </w:sectPr>
      </w:pPr>
      <w:r>
        <w:rPr>
          <w:rStyle w:val="14"/>
          <w:rFonts w:hint="eastAsia" w:ascii="Times New Roman" w:hAnsi="Times New Roman"/>
          <w:color w:val="auto"/>
          <w:szCs w:val="22"/>
        </w:rPr>
        <w:t>询比价申请文件（另册）</w:t>
      </w:r>
    </w:p>
    <w:p>
      <w:pPr>
        <w:spacing w:before="0" w:line="360" w:lineRule="auto"/>
        <w:ind w:right="0"/>
        <w:outlineLvl w:val="1"/>
        <w:rPr>
          <w:rStyle w:val="14"/>
          <w:color w:val="auto"/>
          <w:szCs w:val="22"/>
        </w:rPr>
      </w:pPr>
    </w:p>
    <w:p>
      <w:pPr>
        <w:spacing w:before="0" w:line="360" w:lineRule="auto"/>
        <w:ind w:right="0"/>
        <w:outlineLvl w:val="1"/>
        <w:rPr>
          <w:rStyle w:val="14"/>
          <w:color w:val="auto"/>
          <w:szCs w:val="22"/>
        </w:rPr>
      </w:pPr>
    </w:p>
    <w:p>
      <w:pPr>
        <w:pStyle w:val="13"/>
        <w:ind w:left="0" w:leftChars="0" w:firstLine="0" w:firstLineChars="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spacing w:after="100"/>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spacing w:before="0" w:line="360" w:lineRule="auto"/>
        <w:ind w:left="420" w:leftChars="200" w:right="0"/>
        <w:outlineLvl w:val="1"/>
        <w:rPr>
          <w:rStyle w:val="14"/>
          <w:color w:val="auto"/>
          <w:szCs w:val="22"/>
        </w:rPr>
      </w:pPr>
    </w:p>
    <w:p>
      <w:pPr>
        <w:spacing w:before="0" w:line="360" w:lineRule="auto"/>
        <w:ind w:right="0"/>
        <w:jc w:val="center"/>
        <w:outlineLvl w:val="1"/>
        <w:rPr>
          <w:rStyle w:val="14"/>
          <w:color w:val="auto"/>
          <w:szCs w:val="22"/>
        </w:rPr>
      </w:pPr>
    </w:p>
    <w:sectPr>
      <w:pgSz w:w="11906" w:h="16838"/>
      <w:pgMar w:top="1440" w:right="1803" w:bottom="1440" w:left="1803" w:header="851" w:footer="992" w:gutter="0"/>
      <w:pgNumType w:fmt="decimal"/>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29</w:t>
                    </w:r>
                    <w:r>
                      <w:fldChar w:fldCharType="end"/>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NjFlMjQ2ZGIwMGY3NGRjZGFkYzlhN2IwYTZmYzIifQ=="/>
  </w:docVars>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D0DF0"/>
    <w:rsid w:val="00FE5826"/>
    <w:rsid w:val="00FE6A54"/>
    <w:rsid w:val="00FF56BF"/>
    <w:rsid w:val="019305E8"/>
    <w:rsid w:val="01CD45AC"/>
    <w:rsid w:val="02396843"/>
    <w:rsid w:val="02450123"/>
    <w:rsid w:val="02827A4B"/>
    <w:rsid w:val="035717DD"/>
    <w:rsid w:val="042A4508"/>
    <w:rsid w:val="042C53AA"/>
    <w:rsid w:val="052D0CFE"/>
    <w:rsid w:val="057B60E1"/>
    <w:rsid w:val="05D835FA"/>
    <w:rsid w:val="07FA49AB"/>
    <w:rsid w:val="08F14400"/>
    <w:rsid w:val="0D07455D"/>
    <w:rsid w:val="0D51071B"/>
    <w:rsid w:val="0EA944E5"/>
    <w:rsid w:val="114D1849"/>
    <w:rsid w:val="12072623"/>
    <w:rsid w:val="121E77F4"/>
    <w:rsid w:val="127C617D"/>
    <w:rsid w:val="12ED4399"/>
    <w:rsid w:val="132C3849"/>
    <w:rsid w:val="14792F82"/>
    <w:rsid w:val="15B00394"/>
    <w:rsid w:val="15B16090"/>
    <w:rsid w:val="160055A9"/>
    <w:rsid w:val="16855AD3"/>
    <w:rsid w:val="179B04F5"/>
    <w:rsid w:val="17A6670E"/>
    <w:rsid w:val="180C6BE2"/>
    <w:rsid w:val="19A3052F"/>
    <w:rsid w:val="1A5A63B0"/>
    <w:rsid w:val="1B0A660C"/>
    <w:rsid w:val="1BC21AF9"/>
    <w:rsid w:val="1C787B29"/>
    <w:rsid w:val="1FE838D2"/>
    <w:rsid w:val="205E2AB7"/>
    <w:rsid w:val="208A1627"/>
    <w:rsid w:val="20AA4C03"/>
    <w:rsid w:val="21681DFF"/>
    <w:rsid w:val="25B65426"/>
    <w:rsid w:val="27D73AAC"/>
    <w:rsid w:val="285366EF"/>
    <w:rsid w:val="28DA7D1A"/>
    <w:rsid w:val="2B3A7446"/>
    <w:rsid w:val="2CA05131"/>
    <w:rsid w:val="2D6523F7"/>
    <w:rsid w:val="2E0E3201"/>
    <w:rsid w:val="2E2B6222"/>
    <w:rsid w:val="2E547209"/>
    <w:rsid w:val="2E9473C9"/>
    <w:rsid w:val="30940782"/>
    <w:rsid w:val="30BC0E80"/>
    <w:rsid w:val="30CA1C2C"/>
    <w:rsid w:val="317C6BA3"/>
    <w:rsid w:val="34756877"/>
    <w:rsid w:val="35112B28"/>
    <w:rsid w:val="36CC7811"/>
    <w:rsid w:val="36FF6025"/>
    <w:rsid w:val="371E5229"/>
    <w:rsid w:val="379D15E7"/>
    <w:rsid w:val="37F40213"/>
    <w:rsid w:val="39070333"/>
    <w:rsid w:val="39EF23B4"/>
    <w:rsid w:val="3A355932"/>
    <w:rsid w:val="3A5C5BC7"/>
    <w:rsid w:val="3C1817DF"/>
    <w:rsid w:val="3CE178DF"/>
    <w:rsid w:val="3E1F7B3F"/>
    <w:rsid w:val="3EF53B63"/>
    <w:rsid w:val="3F584513"/>
    <w:rsid w:val="3F5A7455"/>
    <w:rsid w:val="3F5C7CA7"/>
    <w:rsid w:val="424C18A3"/>
    <w:rsid w:val="42A47387"/>
    <w:rsid w:val="433956A7"/>
    <w:rsid w:val="43B72F8D"/>
    <w:rsid w:val="43FA0FC1"/>
    <w:rsid w:val="473F1627"/>
    <w:rsid w:val="476D2268"/>
    <w:rsid w:val="4782345F"/>
    <w:rsid w:val="47904FB9"/>
    <w:rsid w:val="4BA42C26"/>
    <w:rsid w:val="4C6644FE"/>
    <w:rsid w:val="4D550455"/>
    <w:rsid w:val="4E0F2C27"/>
    <w:rsid w:val="4E700907"/>
    <w:rsid w:val="4EAD69ED"/>
    <w:rsid w:val="4F0B266E"/>
    <w:rsid w:val="504A7C44"/>
    <w:rsid w:val="52EA2463"/>
    <w:rsid w:val="55DE1203"/>
    <w:rsid w:val="567710EF"/>
    <w:rsid w:val="568052C3"/>
    <w:rsid w:val="570F3CBB"/>
    <w:rsid w:val="572E7817"/>
    <w:rsid w:val="574D099F"/>
    <w:rsid w:val="587D26A1"/>
    <w:rsid w:val="58D7463B"/>
    <w:rsid w:val="590F317D"/>
    <w:rsid w:val="59EB3107"/>
    <w:rsid w:val="5A850258"/>
    <w:rsid w:val="5BDF3AD5"/>
    <w:rsid w:val="5C3C1E1E"/>
    <w:rsid w:val="5DB74037"/>
    <w:rsid w:val="5ED97D1A"/>
    <w:rsid w:val="5F314DBF"/>
    <w:rsid w:val="5F891D3A"/>
    <w:rsid w:val="60C272CD"/>
    <w:rsid w:val="60E80DFA"/>
    <w:rsid w:val="621B2422"/>
    <w:rsid w:val="62B4510A"/>
    <w:rsid w:val="63E42CB7"/>
    <w:rsid w:val="651D232D"/>
    <w:rsid w:val="65B84BD8"/>
    <w:rsid w:val="65D96D86"/>
    <w:rsid w:val="66F4687E"/>
    <w:rsid w:val="67B60C43"/>
    <w:rsid w:val="686B4770"/>
    <w:rsid w:val="68A35D71"/>
    <w:rsid w:val="6999259D"/>
    <w:rsid w:val="6A475A9A"/>
    <w:rsid w:val="6B2C74C2"/>
    <w:rsid w:val="6D9E6D68"/>
    <w:rsid w:val="6E2D0D85"/>
    <w:rsid w:val="7159302D"/>
    <w:rsid w:val="720A5933"/>
    <w:rsid w:val="742D0851"/>
    <w:rsid w:val="74F51C1E"/>
    <w:rsid w:val="75201CD6"/>
    <w:rsid w:val="75E639E8"/>
    <w:rsid w:val="75F548DD"/>
    <w:rsid w:val="76563F83"/>
    <w:rsid w:val="76AF78B8"/>
    <w:rsid w:val="77251906"/>
    <w:rsid w:val="77527084"/>
    <w:rsid w:val="793A1BF7"/>
    <w:rsid w:val="79B05402"/>
    <w:rsid w:val="79F33210"/>
    <w:rsid w:val="79FB73EE"/>
    <w:rsid w:val="7A0A6478"/>
    <w:rsid w:val="7A726C1A"/>
    <w:rsid w:val="7AE4389D"/>
    <w:rsid w:val="7C0B5867"/>
    <w:rsid w:val="7C605B5B"/>
    <w:rsid w:val="7CB213CD"/>
    <w:rsid w:val="7D452A3C"/>
    <w:rsid w:val="7D994D1E"/>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4"/>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customStyle="1" w:styleId="12">
    <w:name w:val="标题 2 Char"/>
    <w:qFormat/>
    <w:uiPriority w:val="0"/>
    <w:rPr>
      <w:rFonts w:ascii="Arial" w:hAnsi="Arial" w:eastAsia="黑体"/>
      <w:b/>
      <w:sz w:val="32"/>
      <w:szCs w:val="32"/>
    </w:rPr>
  </w:style>
  <w:style w:type="paragraph" w:styleId="13">
    <w:name w:val="List Paragraph"/>
    <w:basedOn w:val="1"/>
    <w:qFormat/>
    <w:uiPriority w:val="34"/>
    <w:pPr>
      <w:ind w:firstLine="200"/>
    </w:pPr>
    <w:rPr>
      <w:rFonts w:ascii="Calibri" w:hAnsi="Calibri"/>
    </w:rPr>
  </w:style>
  <w:style w:type="character" w:customStyle="1" w:styleId="14">
    <w:name w:val="标题 1 字符"/>
    <w:link w:val="2"/>
    <w:qFormat/>
    <w:uiPriority w:val="0"/>
    <w:rPr>
      <w:b/>
      <w:kern w:val="44"/>
      <w:sz w:val="32"/>
    </w:rPr>
  </w:style>
  <w:style w:type="character" w:customStyle="1" w:styleId="15">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0</TotalTime>
  <ScaleCrop>false</ScaleCrop>
  <LinksUpToDate>false</LinksUpToDate>
  <CharactersWithSpaces>21754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K74Kkse8Ru1iUq8BbUI4NrKDT17xZjYuGhzqypurhDAFlO7l44hNOWWuLgFrzO2wxSleWKOm++xwL1mkZo+fGQ==</cp:lastModifiedBy>
  <dcterms:modified xsi:type="dcterms:W3CDTF">2022-11-09T07:29:37Z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E6A46426183B414AB1EC96964ED9EA97</vt:lpwstr>
  </property>
</Properties>
</file>